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185420</wp:posOffset>
            </wp:positionH>
            <wp:positionV relativeFrom="page">
              <wp:posOffset>523240</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540385</wp:posOffset>
            </wp:positionV>
            <wp:extent cx="716661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571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79"/>
        <w:spacing w:after="0"/>
        <w:rPr>
          <w:sz w:val="20"/>
          <w:szCs w:val="20"/>
          <w:color w:val="auto"/>
        </w:rPr>
      </w:pPr>
      <w:r>
        <w:rPr>
          <w:rFonts w:ascii="Arial" w:cs="Arial" w:eastAsia="Arial" w:hAnsi="Arial"/>
          <w:sz w:val="10"/>
          <w:szCs w:val="10"/>
          <w:color w:val="auto"/>
        </w:rPr>
        <w:t>Washington, D.C. 20549</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17"/>
          <w:szCs w:val="17"/>
          <w:color w:val="auto"/>
        </w:rPr>
        <w:t>Form 20-F</w:t>
      </w:r>
    </w:p>
    <w:p>
      <w:pPr>
        <w:spacing w:after="0" w:line="19" w:lineRule="exact"/>
        <w:rPr>
          <w:sz w:val="24"/>
          <w:szCs w:val="24"/>
          <w:color w:val="auto"/>
        </w:rPr>
      </w:pPr>
    </w:p>
    <w:p>
      <w:pPr>
        <w:ind w:left="4440"/>
        <w:spacing w:after="0"/>
        <w:rPr>
          <w:sz w:val="20"/>
          <w:szCs w:val="20"/>
          <w:color w:val="auto"/>
        </w:rPr>
      </w:pPr>
      <w:r>
        <w:rPr>
          <w:rFonts w:ascii="Arial" w:cs="Arial" w:eastAsia="Arial" w:hAnsi="Arial"/>
          <w:sz w:val="10"/>
          <w:szCs w:val="10"/>
          <w:color w:val="auto"/>
        </w:rPr>
        <w:t>ANNUAL REPORT PURSUANT TO SECTION 13 OR 15(d)</w:t>
      </w:r>
    </w:p>
    <w:p>
      <w:pPr>
        <w:spacing w:after="0" w:line="20" w:lineRule="exact"/>
        <w:rPr>
          <w:sz w:val="24"/>
          <w:szCs w:val="24"/>
          <w:color w:val="auto"/>
        </w:rPr>
      </w:pPr>
    </w:p>
    <w:p>
      <w:pPr>
        <w:ind w:left="4620"/>
        <w:spacing w:after="0"/>
        <w:rPr>
          <w:sz w:val="20"/>
          <w:szCs w:val="20"/>
          <w:color w:val="auto"/>
        </w:rPr>
      </w:pPr>
      <w:r>
        <w:rPr>
          <w:rFonts w:ascii="Arial" w:cs="Arial" w:eastAsia="Arial" w:hAnsi="Arial"/>
          <w:sz w:val="10"/>
          <w:szCs w:val="10"/>
          <w:color w:val="auto"/>
        </w:rPr>
        <w:t>OF THE SECURITIES EXCHANGE ACT OF 1934</w:t>
      </w:r>
    </w:p>
    <w:p>
      <w:pPr>
        <w:spacing w:after="0" w:line="20" w:lineRule="exact"/>
        <w:rPr>
          <w:sz w:val="24"/>
          <w:szCs w:val="24"/>
          <w:color w:val="auto"/>
        </w:rPr>
      </w:pPr>
    </w:p>
    <w:p>
      <w:pPr>
        <w:ind w:left="4780"/>
        <w:spacing w:after="0"/>
        <w:rPr>
          <w:sz w:val="20"/>
          <w:szCs w:val="20"/>
          <w:color w:val="auto"/>
        </w:rPr>
      </w:pPr>
      <w:r>
        <w:rPr>
          <w:rFonts w:ascii="Arial" w:cs="Arial" w:eastAsia="Arial" w:hAnsi="Arial"/>
          <w:sz w:val="10"/>
          <w:szCs w:val="10"/>
          <w:color w:val="auto"/>
        </w:rPr>
        <w:t>For the fiscal year ended December 31, 2020</w:t>
      </w:r>
    </w:p>
    <w:p>
      <w:pPr>
        <w:spacing w:after="0" w:line="11" w:lineRule="exact"/>
        <w:rPr>
          <w:sz w:val="24"/>
          <w:szCs w:val="24"/>
          <w:color w:val="auto"/>
        </w:rPr>
      </w:pPr>
    </w:p>
    <w:p>
      <w:pPr>
        <w:jc w:val="center"/>
        <w:ind w:right="-179"/>
        <w:spacing w:after="0"/>
        <w:rPr>
          <w:sz w:val="20"/>
          <w:szCs w:val="20"/>
          <w:color w:val="auto"/>
        </w:rPr>
      </w:pPr>
      <w:r>
        <w:rPr>
          <w:rFonts w:ascii="Arial" w:cs="Arial" w:eastAsia="Arial" w:hAnsi="Arial"/>
          <w:sz w:val="10"/>
          <w:szCs w:val="10"/>
          <w:color w:val="auto"/>
        </w:rPr>
        <w:t>Commission file number 001-32575</w:t>
      </w:r>
    </w:p>
    <w:p>
      <w:pPr>
        <w:spacing w:after="0" w:line="20"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Royal Dutch Shell plc</w:t>
      </w:r>
    </w:p>
    <w:p>
      <w:pPr>
        <w:sectPr>
          <w:pgSz w:w="11900" w:h="16838" w:orient="portrait"/>
          <w:cols w:equalWidth="0" w:num="1">
            <w:col w:w="11120"/>
          </w:cols>
          <w:pgMar w:left="300" w:top="908" w:right="479" w:bottom="1440" w:gutter="0" w:footer="0" w:header="0"/>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21"/>
        </w:trPr>
        <w:tc>
          <w:tcPr>
            <w:tcW w:w="7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3840" w:type="dxa"/>
            <w:vAlign w:val="bottom"/>
            <w:gridSpan w:val="3"/>
          </w:tcPr>
          <w:p>
            <w:pPr>
              <w:jc w:val="center"/>
              <w:ind w:left="552"/>
              <w:spacing w:after="0"/>
              <w:rPr>
                <w:sz w:val="20"/>
                <w:szCs w:val="20"/>
                <w:color w:val="auto"/>
              </w:rPr>
            </w:pPr>
            <w:r>
              <w:rPr>
                <w:rFonts w:ascii="Arial" w:cs="Arial" w:eastAsia="Arial" w:hAnsi="Arial"/>
                <w:sz w:val="10"/>
                <w:szCs w:val="10"/>
                <w:i w:val="1"/>
                <w:iCs w:val="1"/>
                <w:color w:val="auto"/>
                <w:w w:val="87"/>
              </w:rPr>
              <w:t>(Exact name of registrant as specified in its charter)</w:t>
            </w:r>
          </w:p>
        </w:tc>
        <w:tc>
          <w:tcPr>
            <w:tcW w:w="1800" w:type="dxa"/>
            <w:vAlign w:val="bottom"/>
          </w:tcPr>
          <w:p>
            <w:pPr>
              <w:spacing w:after="0"/>
              <w:rPr>
                <w:sz w:val="10"/>
                <w:szCs w:val="10"/>
                <w:color w:val="auto"/>
              </w:rPr>
            </w:pPr>
          </w:p>
        </w:tc>
      </w:tr>
      <w:tr>
        <w:trPr>
          <w:trHeight w:val="126"/>
        </w:trPr>
        <w:tc>
          <w:tcPr>
            <w:tcW w:w="7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3840" w:type="dxa"/>
            <w:vAlign w:val="bottom"/>
            <w:gridSpan w:val="3"/>
          </w:tcPr>
          <w:p>
            <w:pPr>
              <w:jc w:val="center"/>
              <w:ind w:left="572"/>
              <w:spacing w:after="0"/>
              <w:rPr>
                <w:sz w:val="20"/>
                <w:szCs w:val="20"/>
                <w:color w:val="auto"/>
              </w:rPr>
            </w:pPr>
            <w:r>
              <w:rPr>
                <w:rFonts w:ascii="Arial" w:cs="Arial" w:eastAsia="Arial" w:hAnsi="Arial"/>
                <w:sz w:val="10"/>
                <w:szCs w:val="10"/>
                <w:color w:val="auto"/>
                <w:w w:val="85"/>
              </w:rPr>
              <w:t>England and Wales</w:t>
            </w:r>
          </w:p>
        </w:tc>
        <w:tc>
          <w:tcPr>
            <w:tcW w:w="1800" w:type="dxa"/>
            <w:vAlign w:val="bottom"/>
          </w:tcPr>
          <w:p>
            <w:pPr>
              <w:spacing w:after="0"/>
              <w:rPr>
                <w:sz w:val="10"/>
                <w:szCs w:val="10"/>
                <w:color w:val="auto"/>
              </w:rPr>
            </w:pPr>
          </w:p>
        </w:tc>
      </w:tr>
      <w:tr>
        <w:trPr>
          <w:trHeight w:val="135"/>
        </w:trPr>
        <w:tc>
          <w:tcPr>
            <w:tcW w:w="7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840" w:type="dxa"/>
            <w:vAlign w:val="bottom"/>
            <w:gridSpan w:val="3"/>
          </w:tcPr>
          <w:p>
            <w:pPr>
              <w:jc w:val="center"/>
              <w:ind w:left="552"/>
              <w:spacing w:after="0"/>
              <w:rPr>
                <w:sz w:val="20"/>
                <w:szCs w:val="20"/>
                <w:color w:val="auto"/>
              </w:rPr>
            </w:pPr>
            <w:r>
              <w:rPr>
                <w:rFonts w:ascii="Arial" w:cs="Arial" w:eastAsia="Arial" w:hAnsi="Arial"/>
                <w:sz w:val="10"/>
                <w:szCs w:val="10"/>
                <w:i w:val="1"/>
                <w:iCs w:val="1"/>
                <w:color w:val="auto"/>
                <w:w w:val="91"/>
              </w:rPr>
              <w:t>(Jurisdiction of incorporation or organization)</w:t>
            </w:r>
          </w:p>
        </w:tc>
        <w:tc>
          <w:tcPr>
            <w:tcW w:w="18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840" w:type="dxa"/>
            <w:vAlign w:val="bottom"/>
            <w:gridSpan w:val="3"/>
          </w:tcPr>
          <w:p>
            <w:pPr>
              <w:jc w:val="center"/>
              <w:ind w:left="552"/>
              <w:spacing w:after="0"/>
              <w:rPr>
                <w:sz w:val="20"/>
                <w:szCs w:val="20"/>
                <w:color w:val="auto"/>
              </w:rPr>
            </w:pPr>
            <w:r>
              <w:rPr>
                <w:rFonts w:ascii="Arial" w:cs="Arial" w:eastAsia="Arial" w:hAnsi="Arial"/>
                <w:sz w:val="10"/>
                <w:szCs w:val="10"/>
                <w:color w:val="auto"/>
                <w:w w:val="86"/>
              </w:rPr>
              <w:t>Carel van Bylandtlaan 30, 2596 HR, The Hague, The Netherlands</w:t>
            </w:r>
          </w:p>
        </w:tc>
        <w:tc>
          <w:tcPr>
            <w:tcW w:w="1800" w:type="dxa"/>
            <w:vAlign w:val="bottom"/>
          </w:tcPr>
          <w:p>
            <w:pPr>
              <w:spacing w:after="0"/>
              <w:rPr>
                <w:sz w:val="11"/>
                <w:szCs w:val="11"/>
                <w:color w:val="auto"/>
              </w:rPr>
            </w:pPr>
          </w:p>
        </w:tc>
      </w:tr>
      <w:tr>
        <w:trPr>
          <w:trHeight w:val="126"/>
        </w:trPr>
        <w:tc>
          <w:tcPr>
            <w:tcW w:w="7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3840" w:type="dxa"/>
            <w:vAlign w:val="bottom"/>
            <w:gridSpan w:val="3"/>
          </w:tcPr>
          <w:p>
            <w:pPr>
              <w:jc w:val="center"/>
              <w:ind w:left="552"/>
              <w:spacing w:after="0"/>
              <w:rPr>
                <w:sz w:val="20"/>
                <w:szCs w:val="20"/>
                <w:color w:val="auto"/>
              </w:rPr>
            </w:pPr>
            <w:r>
              <w:rPr>
                <w:rFonts w:ascii="Arial" w:cs="Arial" w:eastAsia="Arial" w:hAnsi="Arial"/>
                <w:sz w:val="10"/>
                <w:szCs w:val="10"/>
                <w:color w:val="auto"/>
                <w:w w:val="86"/>
              </w:rPr>
              <w:t>Tel. no: 011 31 70 377 9111</w:t>
            </w:r>
          </w:p>
        </w:tc>
        <w:tc>
          <w:tcPr>
            <w:tcW w:w="1800" w:type="dxa"/>
            <w:vAlign w:val="bottom"/>
          </w:tcPr>
          <w:p>
            <w:pPr>
              <w:spacing w:after="0"/>
              <w:rPr>
                <w:sz w:val="10"/>
                <w:szCs w:val="10"/>
                <w:color w:val="auto"/>
              </w:rPr>
            </w:pPr>
          </w:p>
        </w:tc>
      </w:tr>
      <w:tr>
        <w:trPr>
          <w:trHeight w:val="135"/>
        </w:trPr>
        <w:tc>
          <w:tcPr>
            <w:tcW w:w="7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840" w:type="dxa"/>
            <w:vAlign w:val="bottom"/>
            <w:gridSpan w:val="3"/>
          </w:tcPr>
          <w:p>
            <w:pPr>
              <w:jc w:val="center"/>
              <w:ind w:left="552"/>
              <w:spacing w:after="0"/>
              <w:rPr>
                <w:sz w:val="20"/>
                <w:szCs w:val="20"/>
                <w:color w:val="auto"/>
              </w:rPr>
            </w:pPr>
            <w:r>
              <w:rPr>
                <w:rFonts w:ascii="Arial" w:cs="Arial" w:eastAsia="Arial" w:hAnsi="Arial"/>
                <w:sz w:val="10"/>
                <w:szCs w:val="10"/>
                <w:color w:val="auto"/>
                <w:w w:val="86"/>
              </w:rPr>
              <w:t>royaldutchshell.shareholders@shell.com</w:t>
            </w:r>
          </w:p>
        </w:tc>
        <w:tc>
          <w:tcPr>
            <w:tcW w:w="18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840" w:type="dxa"/>
            <w:vAlign w:val="bottom"/>
            <w:gridSpan w:val="3"/>
          </w:tcPr>
          <w:p>
            <w:pPr>
              <w:jc w:val="center"/>
              <w:ind w:left="572"/>
              <w:spacing w:after="0"/>
              <w:rPr>
                <w:sz w:val="20"/>
                <w:szCs w:val="20"/>
                <w:color w:val="auto"/>
              </w:rPr>
            </w:pPr>
            <w:r>
              <w:rPr>
                <w:rFonts w:ascii="Arial" w:cs="Arial" w:eastAsia="Arial" w:hAnsi="Arial"/>
                <w:sz w:val="10"/>
                <w:szCs w:val="10"/>
                <w:i w:val="1"/>
                <w:iCs w:val="1"/>
                <w:color w:val="auto"/>
                <w:w w:val="87"/>
              </w:rPr>
              <w:t>(Address of principal executive offices)</w:t>
            </w:r>
          </w:p>
        </w:tc>
        <w:tc>
          <w:tcPr>
            <w:tcW w:w="1800" w:type="dxa"/>
            <w:vAlign w:val="bottom"/>
          </w:tcPr>
          <w:p>
            <w:pPr>
              <w:spacing w:after="0"/>
              <w:rPr>
                <w:sz w:val="11"/>
                <w:szCs w:val="11"/>
                <w:color w:val="auto"/>
              </w:rPr>
            </w:pPr>
          </w:p>
        </w:tc>
      </w:tr>
      <w:tr>
        <w:trPr>
          <w:trHeight w:val="126"/>
        </w:trPr>
        <w:tc>
          <w:tcPr>
            <w:tcW w:w="7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3840" w:type="dxa"/>
            <w:vAlign w:val="bottom"/>
            <w:gridSpan w:val="3"/>
          </w:tcPr>
          <w:p>
            <w:pPr>
              <w:jc w:val="center"/>
              <w:ind w:left="572"/>
              <w:spacing w:after="0"/>
              <w:rPr>
                <w:sz w:val="20"/>
                <w:szCs w:val="20"/>
                <w:color w:val="auto"/>
              </w:rPr>
            </w:pPr>
            <w:r>
              <w:rPr>
                <w:rFonts w:ascii="Arial" w:cs="Arial" w:eastAsia="Arial" w:hAnsi="Arial"/>
                <w:sz w:val="10"/>
                <w:szCs w:val="10"/>
                <w:color w:val="auto"/>
                <w:w w:val="86"/>
              </w:rPr>
              <w:t>Securities registered pursuant to Section 12(b) of the Act</w:t>
            </w:r>
          </w:p>
        </w:tc>
        <w:tc>
          <w:tcPr>
            <w:tcW w:w="1800" w:type="dxa"/>
            <w:vAlign w:val="bottom"/>
          </w:tcPr>
          <w:p>
            <w:pPr>
              <w:spacing w:after="0"/>
              <w:rPr>
                <w:sz w:val="10"/>
                <w:szCs w:val="10"/>
                <w:color w:val="auto"/>
              </w:rPr>
            </w:pPr>
          </w:p>
        </w:tc>
      </w:tr>
      <w:tr>
        <w:trPr>
          <w:trHeight w:val="179"/>
        </w:trPr>
        <w:tc>
          <w:tcPr>
            <w:tcW w:w="74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86"/>
              </w:rPr>
              <w:t>Title of Each Class</w:t>
            </w:r>
          </w:p>
        </w:tc>
        <w:tc>
          <w:tcPr>
            <w:tcW w:w="26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85"/>
              </w:rPr>
              <w:t>Trading Symbols</w:t>
            </w:r>
          </w:p>
        </w:tc>
        <w:tc>
          <w:tcPr>
            <w:tcW w:w="400" w:type="dxa"/>
            <w:vAlign w:val="bottom"/>
          </w:tcPr>
          <w:p>
            <w:pPr>
              <w:spacing w:after="0"/>
              <w:rPr>
                <w:sz w:val="15"/>
                <w:szCs w:val="15"/>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86"/>
              </w:rPr>
              <w:t>Name of Each Exchange on Which Registered</w:t>
            </w:r>
          </w:p>
        </w:tc>
      </w:tr>
      <w:tr>
        <w:trPr>
          <w:trHeight w:val="97"/>
        </w:trPr>
        <w:tc>
          <w:tcPr>
            <w:tcW w:w="3420" w:type="dxa"/>
            <w:vAlign w:val="bottom"/>
            <w:gridSpan w:val="2"/>
          </w:tcPr>
          <w:p>
            <w:pPr>
              <w:spacing w:after="0" w:line="97" w:lineRule="exact"/>
              <w:rPr>
                <w:sz w:val="20"/>
                <w:szCs w:val="20"/>
                <w:color w:val="auto"/>
              </w:rPr>
            </w:pPr>
            <w:r>
              <w:rPr>
                <w:rFonts w:ascii="Arial" w:cs="Arial" w:eastAsia="Arial" w:hAnsi="Arial"/>
                <w:sz w:val="10"/>
                <w:szCs w:val="10"/>
                <w:color w:val="auto"/>
              </w:rPr>
              <w:t>American Depositary Shares representing two A ordinary shares</w:t>
            </w:r>
          </w:p>
        </w:tc>
        <w:tc>
          <w:tcPr>
            <w:tcW w:w="2780" w:type="dxa"/>
            <w:vAlign w:val="bottom"/>
          </w:tcPr>
          <w:p>
            <w:pPr>
              <w:spacing w:after="0"/>
              <w:rPr>
                <w:sz w:val="8"/>
                <w:szCs w:val="8"/>
                <w:color w:val="auto"/>
              </w:rPr>
            </w:pPr>
          </w:p>
        </w:tc>
        <w:tc>
          <w:tcPr>
            <w:tcW w:w="1060" w:type="dxa"/>
            <w:vAlign w:val="bottom"/>
            <w:gridSpan w:val="2"/>
          </w:tcPr>
          <w:p>
            <w:pPr>
              <w:spacing w:after="0" w:line="97" w:lineRule="exact"/>
              <w:rPr>
                <w:sz w:val="20"/>
                <w:szCs w:val="20"/>
                <w:color w:val="auto"/>
              </w:rPr>
            </w:pPr>
            <w:r>
              <w:rPr>
                <w:rFonts w:ascii="Arial" w:cs="Arial" w:eastAsia="Arial" w:hAnsi="Arial"/>
                <w:sz w:val="10"/>
                <w:szCs w:val="10"/>
                <w:color w:val="auto"/>
              </w:rPr>
              <w:t>RDS.A</w:t>
            </w:r>
          </w:p>
        </w:tc>
        <w:tc>
          <w:tcPr>
            <w:tcW w:w="1800" w:type="dxa"/>
            <w:vAlign w:val="bottom"/>
          </w:tcPr>
          <w:p>
            <w:pPr>
              <w:spacing w:after="0" w:line="97" w:lineRule="exact"/>
              <w:rPr>
                <w:sz w:val="20"/>
                <w:szCs w:val="20"/>
                <w:color w:val="auto"/>
              </w:rPr>
            </w:pPr>
            <w:r>
              <w:rPr>
                <w:rFonts w:ascii="Arial" w:cs="Arial" w:eastAsia="Arial" w:hAnsi="Arial"/>
                <w:sz w:val="10"/>
                <w:szCs w:val="10"/>
                <w:color w:val="auto"/>
              </w:rPr>
              <w:t>New York Stock Exchange</w:t>
            </w:r>
          </w:p>
        </w:tc>
      </w:tr>
      <w:tr>
        <w:trPr>
          <w:trHeight w:val="121"/>
        </w:trPr>
        <w:tc>
          <w:tcPr>
            <w:tcW w:w="3420" w:type="dxa"/>
            <w:vAlign w:val="bottom"/>
            <w:gridSpan w:val="2"/>
          </w:tcPr>
          <w:p>
            <w:pPr>
              <w:spacing w:after="0"/>
              <w:rPr>
                <w:sz w:val="20"/>
                <w:szCs w:val="20"/>
                <w:color w:val="auto"/>
              </w:rPr>
            </w:pPr>
            <w:r>
              <w:rPr>
                <w:rFonts w:ascii="Arial" w:cs="Arial" w:eastAsia="Arial" w:hAnsi="Arial"/>
                <w:sz w:val="10"/>
                <w:szCs w:val="10"/>
                <w:color w:val="auto"/>
              </w:rPr>
              <w:t>of the issuer with a nominal value of €0.07 each</w:t>
            </w:r>
          </w:p>
        </w:tc>
        <w:tc>
          <w:tcPr>
            <w:tcW w:w="2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95"/>
        </w:trPr>
        <w:tc>
          <w:tcPr>
            <w:tcW w:w="3420" w:type="dxa"/>
            <w:vAlign w:val="bottom"/>
            <w:gridSpan w:val="2"/>
          </w:tcPr>
          <w:p>
            <w:pPr>
              <w:spacing w:after="0" w:line="95" w:lineRule="exact"/>
              <w:rPr>
                <w:sz w:val="20"/>
                <w:szCs w:val="20"/>
                <w:color w:val="auto"/>
              </w:rPr>
            </w:pPr>
            <w:r>
              <w:rPr>
                <w:rFonts w:ascii="Arial" w:cs="Arial" w:eastAsia="Arial" w:hAnsi="Arial"/>
                <w:sz w:val="10"/>
                <w:szCs w:val="10"/>
                <w:color w:val="auto"/>
              </w:rPr>
              <w:t>American Depositary Shares representing two B ordinary shares</w:t>
            </w:r>
          </w:p>
        </w:tc>
        <w:tc>
          <w:tcPr>
            <w:tcW w:w="2780" w:type="dxa"/>
            <w:vAlign w:val="bottom"/>
          </w:tcPr>
          <w:p>
            <w:pPr>
              <w:spacing w:after="0"/>
              <w:rPr>
                <w:sz w:val="8"/>
                <w:szCs w:val="8"/>
                <w:color w:val="auto"/>
              </w:rPr>
            </w:pPr>
          </w:p>
        </w:tc>
        <w:tc>
          <w:tcPr>
            <w:tcW w:w="1060" w:type="dxa"/>
            <w:vAlign w:val="bottom"/>
            <w:gridSpan w:val="2"/>
          </w:tcPr>
          <w:p>
            <w:pPr>
              <w:spacing w:after="0" w:line="95" w:lineRule="exact"/>
              <w:rPr>
                <w:sz w:val="20"/>
                <w:szCs w:val="20"/>
                <w:color w:val="auto"/>
              </w:rPr>
            </w:pPr>
            <w:r>
              <w:rPr>
                <w:rFonts w:ascii="Arial" w:cs="Arial" w:eastAsia="Arial" w:hAnsi="Arial"/>
                <w:sz w:val="10"/>
                <w:szCs w:val="10"/>
                <w:color w:val="auto"/>
              </w:rPr>
              <w:t>RDS.B</w:t>
            </w:r>
          </w:p>
        </w:tc>
        <w:tc>
          <w:tcPr>
            <w:tcW w:w="1800" w:type="dxa"/>
            <w:vAlign w:val="bottom"/>
          </w:tcPr>
          <w:p>
            <w:pPr>
              <w:spacing w:after="0" w:line="95" w:lineRule="exact"/>
              <w:rPr>
                <w:sz w:val="20"/>
                <w:szCs w:val="20"/>
                <w:color w:val="auto"/>
              </w:rPr>
            </w:pPr>
            <w:r>
              <w:rPr>
                <w:rFonts w:ascii="Arial" w:cs="Arial" w:eastAsia="Arial" w:hAnsi="Arial"/>
                <w:sz w:val="10"/>
                <w:szCs w:val="10"/>
                <w:color w:val="auto"/>
              </w:rPr>
              <w:t>New York Stock Exchange</w:t>
            </w:r>
          </w:p>
        </w:tc>
      </w:tr>
      <w:tr>
        <w:trPr>
          <w:trHeight w:val="121"/>
        </w:trPr>
        <w:tc>
          <w:tcPr>
            <w:tcW w:w="3420" w:type="dxa"/>
            <w:vAlign w:val="bottom"/>
            <w:gridSpan w:val="2"/>
          </w:tcPr>
          <w:p>
            <w:pPr>
              <w:spacing w:after="0"/>
              <w:rPr>
                <w:sz w:val="20"/>
                <w:szCs w:val="20"/>
                <w:color w:val="auto"/>
              </w:rPr>
            </w:pPr>
            <w:r>
              <w:rPr>
                <w:rFonts w:ascii="Arial" w:cs="Arial" w:eastAsia="Arial" w:hAnsi="Arial"/>
                <w:sz w:val="10"/>
                <w:szCs w:val="10"/>
                <w:color w:val="auto"/>
              </w:rPr>
              <w:t>of the issuer with a nominal value of €0.07 each</w:t>
            </w:r>
          </w:p>
        </w:tc>
        <w:tc>
          <w:tcPr>
            <w:tcW w:w="2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23"/>
        </w:trPr>
        <w:tc>
          <w:tcPr>
            <w:tcW w:w="3420" w:type="dxa"/>
            <w:vAlign w:val="bottom"/>
            <w:gridSpan w:val="2"/>
          </w:tcPr>
          <w:p>
            <w:pPr>
              <w:spacing w:after="0"/>
              <w:rPr>
                <w:sz w:val="20"/>
                <w:szCs w:val="20"/>
                <w:color w:val="auto"/>
              </w:rPr>
            </w:pPr>
            <w:r>
              <w:rPr>
                <w:rFonts w:ascii="Arial" w:cs="Arial" w:eastAsia="Arial" w:hAnsi="Arial"/>
                <w:sz w:val="10"/>
                <w:szCs w:val="10"/>
                <w:color w:val="auto"/>
              </w:rPr>
              <w:t>1.75% Guaranteed Notes due 2021</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RDS/21</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1.875% Guaranteed Notes due 2021</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RDS.A/21</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2.375% Guaranteed Notes due 2022</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RDS/22</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0.375% Guaranteed Notes due 2023</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RDS.A/23B</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2.25% Guaranteed Notes due 2023</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RDS/23</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3.4% Guaranteed Notes due 2023</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RDS/223A</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3.5% Guaranteed Notes due 2023</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RDS.A/23</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Floating Rate Guaranteed Notes due 2023</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RDS.A/23A</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2% Guaranteed Notes due 2024</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RDS.A/24</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2.375% Guaranteed Notes due 2025</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RDS.A/25</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3.25% Guaranteed Notes due 2025</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RDS/25</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2.5% Guaranteed Notes due 2026</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RDS/26</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2.875% Guaranteed Notes due 2026</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RDS.A/26</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3.875% Guaranteed Notes due 2028</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RDS.A/28</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2.375% Guaranteed Notes due 2029</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RDS.A/29</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2.75% Guaranteed Notes due 2030</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RDS.A/30</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4.125% Guaranteed Notes due 2035</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RDS/35</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6.375% Guaranteed Notes due 2038</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RDS.A/38</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5.5% Guaranteed Notes due 2040</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RDS/40</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3.625% Guaranteed Notes due 2042</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RDS/42</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4.55% Guaranteed Notes due 2043</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RDS/43</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4.375% Guaranteed Notes due 2045</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RDS/45</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3.75% Guaranteed Notes due 2046</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RDS/46</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4.00% Guaranteed Notes due 2046</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RDS.A/46</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3.125% Guaranteed Notes due 2049</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RDS.A/49</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r>
        <w:trPr>
          <w:trHeight w:val="126"/>
        </w:trPr>
        <w:tc>
          <w:tcPr>
            <w:tcW w:w="3420" w:type="dxa"/>
            <w:vAlign w:val="bottom"/>
            <w:gridSpan w:val="2"/>
          </w:tcPr>
          <w:p>
            <w:pPr>
              <w:spacing w:after="0"/>
              <w:rPr>
                <w:sz w:val="20"/>
                <w:szCs w:val="20"/>
                <w:color w:val="auto"/>
              </w:rPr>
            </w:pPr>
            <w:r>
              <w:rPr>
                <w:rFonts w:ascii="Arial" w:cs="Arial" w:eastAsia="Arial" w:hAnsi="Arial"/>
                <w:sz w:val="10"/>
                <w:szCs w:val="10"/>
                <w:color w:val="auto"/>
              </w:rPr>
              <w:t>3.25% Guaranteed Notes due 2050</w:t>
            </w:r>
          </w:p>
        </w:tc>
        <w:tc>
          <w:tcPr>
            <w:tcW w:w="278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RDS.A/50</w:t>
            </w:r>
          </w:p>
        </w:tc>
        <w:tc>
          <w:tcPr>
            <w:tcW w:w="1800" w:type="dxa"/>
            <w:vAlign w:val="bottom"/>
          </w:tcPr>
          <w:p>
            <w:pPr>
              <w:spacing w:after="0"/>
              <w:rPr>
                <w:sz w:val="20"/>
                <w:szCs w:val="20"/>
                <w:color w:val="auto"/>
              </w:rPr>
            </w:pPr>
            <w:r>
              <w:rPr>
                <w:rFonts w:ascii="Arial" w:cs="Arial" w:eastAsia="Arial" w:hAnsi="Arial"/>
                <w:sz w:val="10"/>
                <w:szCs w:val="10"/>
                <w:color w:val="auto"/>
              </w:rPr>
              <w:t>New York Stock Exchange</w:t>
            </w:r>
          </w:p>
        </w:tc>
      </w:tr>
    </w:tbl>
    <w:p>
      <w:pPr>
        <w:spacing w:after="0" w:line="50" w:lineRule="exact"/>
        <w:rPr>
          <w:sz w:val="24"/>
          <w:szCs w:val="24"/>
          <w:color w:val="auto"/>
        </w:rPr>
      </w:pPr>
    </w:p>
    <w:p>
      <w:pPr>
        <w:jc w:val="center"/>
        <w:ind w:left="2220"/>
        <w:spacing w:after="0"/>
        <w:rPr>
          <w:sz w:val="20"/>
          <w:szCs w:val="20"/>
          <w:color w:val="auto"/>
        </w:rPr>
      </w:pPr>
      <w:r>
        <w:rPr>
          <w:rFonts w:ascii="Arial" w:cs="Arial" w:eastAsia="Arial" w:hAnsi="Arial"/>
          <w:sz w:val="10"/>
          <w:szCs w:val="10"/>
          <w:color w:val="auto"/>
        </w:rPr>
        <w:t>Securities registered pursuant to Section 12(g) of the Act: none</w:t>
      </w:r>
    </w:p>
    <w:p>
      <w:pPr>
        <w:spacing w:after="0" w:line="20" w:lineRule="exact"/>
        <w:rPr>
          <w:sz w:val="24"/>
          <w:szCs w:val="24"/>
          <w:color w:val="auto"/>
        </w:rPr>
      </w:pPr>
    </w:p>
    <w:p>
      <w:pPr>
        <w:jc w:val="center"/>
        <w:ind w:left="2220"/>
        <w:spacing w:after="0"/>
        <w:rPr>
          <w:sz w:val="20"/>
          <w:szCs w:val="20"/>
          <w:color w:val="auto"/>
        </w:rPr>
      </w:pPr>
      <w:r>
        <w:rPr>
          <w:rFonts w:ascii="Arial" w:cs="Arial" w:eastAsia="Arial" w:hAnsi="Arial"/>
          <w:sz w:val="10"/>
          <w:szCs w:val="10"/>
          <w:color w:val="auto"/>
        </w:rPr>
        <w:t>Securities for which there is a reporting obligation pursuant to Section 15(d) of the Act: none</w:t>
      </w:r>
    </w:p>
    <w:p>
      <w:pPr>
        <w:spacing w:after="0" w:line="20" w:lineRule="exact"/>
        <w:rPr>
          <w:sz w:val="24"/>
          <w:szCs w:val="24"/>
          <w:color w:val="auto"/>
        </w:rPr>
      </w:pPr>
    </w:p>
    <w:p>
      <w:pPr>
        <w:spacing w:after="0"/>
        <w:rPr>
          <w:sz w:val="20"/>
          <w:szCs w:val="20"/>
          <w:color w:val="auto"/>
        </w:rPr>
      </w:pPr>
      <w:r>
        <w:rPr>
          <w:rFonts w:ascii="Arial" w:cs="Arial" w:eastAsia="Arial" w:hAnsi="Arial"/>
          <w:sz w:val="10"/>
          <w:szCs w:val="10"/>
          <w:color w:val="auto"/>
        </w:rPr>
        <w:t>Indicate the number of outstanding shares of each of the issuer’s classes of capital or common stock as of the close of the period covered by the annual report.</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color w:val="auto"/>
        </w:rPr>
        <w:t>Outstanding as of December 31, 2020:</w:t>
      </w:r>
    </w:p>
    <w:p>
      <w:pPr>
        <w:spacing w:after="0" w:line="20" w:lineRule="exact"/>
        <w:rPr>
          <w:sz w:val="24"/>
          <w:szCs w:val="24"/>
          <w:color w:val="auto"/>
        </w:rPr>
      </w:pPr>
    </w:p>
    <w:p>
      <w:pPr>
        <w:spacing w:after="0"/>
        <w:rPr>
          <w:sz w:val="20"/>
          <w:szCs w:val="20"/>
          <w:color w:val="auto"/>
        </w:rPr>
      </w:pPr>
      <w:r>
        <w:rPr>
          <w:rFonts w:ascii="Arial" w:cs="Arial" w:eastAsia="Arial" w:hAnsi="Arial"/>
          <w:sz w:val="10"/>
          <w:szCs w:val="10"/>
          <w:color w:val="auto"/>
        </w:rPr>
        <w:t>4,101,239,499 A ordinary shares with a nominal value of €0.07 each.</w:t>
      </w:r>
    </w:p>
    <w:p>
      <w:pPr>
        <w:spacing w:after="0" w:line="20" w:lineRule="exact"/>
        <w:rPr>
          <w:sz w:val="24"/>
          <w:szCs w:val="24"/>
          <w:color w:val="auto"/>
        </w:rPr>
      </w:pPr>
    </w:p>
    <w:p>
      <w:pPr>
        <w:spacing w:after="0"/>
        <w:rPr>
          <w:sz w:val="20"/>
          <w:szCs w:val="20"/>
          <w:color w:val="auto"/>
        </w:rPr>
      </w:pPr>
      <w:r>
        <w:rPr>
          <w:rFonts w:ascii="Arial" w:cs="Arial" w:eastAsia="Arial" w:hAnsi="Arial"/>
          <w:sz w:val="10"/>
          <w:szCs w:val="10"/>
          <w:color w:val="auto"/>
        </w:rPr>
        <w:t>3,706,183,836 B ordinary shares with a nominal value of €0.07 each.</w:t>
      </w:r>
    </w:p>
    <w:p>
      <w:pPr>
        <w:spacing w:after="0" w:line="74"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if the registrant is a well-known seasoned issuer, as defined in Rule 405 of the Securities Act.</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color w:val="auto"/>
        </w:rPr>
        <w:t>If this report is an annual or transition report, indicate by check mark if the registrant is not required to file reports pursuant to Section 13 or 15(d) of the Securities Exchange Act of 1934.</w:t>
      </w:r>
    </w:p>
    <w:p>
      <w:pPr>
        <w:spacing w:after="0" w:line="11" w:lineRule="exact"/>
        <w:rPr>
          <w:sz w:val="24"/>
          <w:szCs w:val="24"/>
          <w:color w:val="auto"/>
        </w:rPr>
      </w:pPr>
    </w:p>
    <w:p>
      <w:pPr>
        <w:ind w:right="260"/>
        <w:spacing w:after="0" w:line="220" w:lineRule="auto"/>
        <w:rPr>
          <w:sz w:val="20"/>
          <w:szCs w:val="20"/>
          <w:color w:val="auto"/>
        </w:rPr>
      </w:pPr>
      <w:r>
        <w:rPr>
          <w:rFonts w:ascii="Arial" w:cs="Arial" w:eastAsia="Arial" w:hAnsi="Arial"/>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 w:lineRule="exact"/>
        <w:rPr>
          <w:sz w:val="24"/>
          <w:szCs w:val="24"/>
          <w:color w:val="auto"/>
        </w:rPr>
      </w:pPr>
    </w:p>
    <w:p>
      <w:pPr>
        <w:ind w:right="120"/>
        <w:spacing w:after="0" w:line="220" w:lineRule="auto"/>
        <w:rPr>
          <w:sz w:val="20"/>
          <w:szCs w:val="20"/>
          <w:color w:val="auto"/>
        </w:rPr>
      </w:pPr>
      <w:r>
        <w:rPr>
          <w:rFonts w:ascii="Arial" w:cs="Arial" w:eastAsia="Arial" w:hAnsi="Arial"/>
          <w:sz w:val="10"/>
          <w:szCs w:val="1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9"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or an emerging growth company.</w:t>
      </w:r>
    </w:p>
    <w:p>
      <w:pPr>
        <w:spacing w:after="0"/>
        <w:rPr>
          <w:sz w:val="20"/>
          <w:szCs w:val="20"/>
          <w:color w:val="auto"/>
        </w:rPr>
      </w:pPr>
      <w:r>
        <w:rPr>
          <w:rFonts w:ascii="Arial" w:cs="Arial" w:eastAsia="Arial" w:hAnsi="Arial"/>
          <w:sz w:val="10"/>
          <w:szCs w:val="10"/>
          <w:color w:val="auto"/>
        </w:rPr>
        <w:t>See definition of “large accelerated filer,” “accelerated filer,” and “emerging growth company” in Rule 12b-2 of the Exchange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0" w:type="dxa"/>
            <w:vAlign w:val="bottom"/>
          </w:tcPr>
          <w:p>
            <w:pPr>
              <w:spacing w:after="0" w:line="101" w:lineRule="exact"/>
              <w:rPr>
                <w:sz w:val="20"/>
                <w:szCs w:val="20"/>
                <w:color w:val="auto"/>
              </w:rPr>
            </w:pPr>
            <w:r>
              <w:rPr>
                <w:rFonts w:ascii="MS PGothic" w:cs="MS PGothic" w:eastAsia="MS PGothic" w:hAnsi="MS PGothic"/>
                <w:sz w:val="10"/>
                <w:szCs w:val="10"/>
                <w:color w:val="auto"/>
              </w:rPr>
              <w:t>☑</w:t>
            </w:r>
          </w:p>
        </w:tc>
        <w:tc>
          <w:tcPr>
            <w:tcW w:w="600" w:type="dxa"/>
            <w:vAlign w:val="bottom"/>
          </w:tcPr>
          <w:p>
            <w:pPr>
              <w:ind w:left="80"/>
              <w:spacing w:after="0"/>
              <w:rPr>
                <w:sz w:val="20"/>
                <w:szCs w:val="20"/>
                <w:color w:val="auto"/>
              </w:rPr>
            </w:pPr>
            <w:r>
              <w:rPr>
                <w:rFonts w:ascii="Arial" w:cs="Arial" w:eastAsia="Arial" w:hAnsi="Arial"/>
                <w:sz w:val="10"/>
                <w:szCs w:val="10"/>
                <w:color w:val="auto"/>
              </w:rPr>
              <w:t>Yes</w:t>
            </w:r>
          </w:p>
        </w:tc>
        <w:tc>
          <w:tcPr>
            <w:tcW w:w="560" w:type="dxa"/>
            <w:vAlign w:val="bottom"/>
          </w:tcPr>
          <w:p>
            <w:pPr>
              <w:ind w:left="380"/>
              <w:spacing w:after="0" w:line="101" w:lineRule="exact"/>
              <w:rPr>
                <w:sz w:val="20"/>
                <w:szCs w:val="20"/>
                <w:color w:val="auto"/>
              </w:rPr>
            </w:pPr>
            <w:r>
              <w:rPr>
                <w:rFonts w:ascii="MS PGothic" w:cs="MS PGothic" w:eastAsia="MS PGothic" w:hAnsi="MS PGothic"/>
                <w:sz w:val="10"/>
                <w:szCs w:val="10"/>
                <w:color w:val="auto"/>
              </w:rPr>
              <w:t>☐</w:t>
            </w:r>
          </w:p>
        </w:tc>
        <w:tc>
          <w:tcPr>
            <w:tcW w:w="200" w:type="dxa"/>
            <w:vAlign w:val="bottom"/>
          </w:tcPr>
          <w:p>
            <w:pPr>
              <w:ind w:left="100"/>
              <w:spacing w:after="0"/>
              <w:rPr>
                <w:sz w:val="20"/>
                <w:szCs w:val="20"/>
                <w:color w:val="auto"/>
              </w:rPr>
            </w:pPr>
            <w:r>
              <w:rPr>
                <w:rFonts w:ascii="Arial" w:cs="Arial" w:eastAsia="Arial" w:hAnsi="Arial"/>
                <w:sz w:val="8"/>
                <w:szCs w:val="8"/>
                <w:color w:val="auto"/>
                <w:w w:val="77"/>
              </w:rPr>
              <w:t>No</w:t>
            </w:r>
          </w:p>
        </w:tc>
      </w:tr>
      <w:tr>
        <w:trPr>
          <w:trHeight w:val="158"/>
        </w:trPr>
        <w:tc>
          <w:tcPr>
            <w:tcW w:w="160" w:type="dxa"/>
            <w:vAlign w:val="bottom"/>
          </w:tcPr>
          <w:p>
            <w:pPr>
              <w:spacing w:after="0" w:line="101" w:lineRule="exact"/>
              <w:rPr>
                <w:sz w:val="20"/>
                <w:szCs w:val="20"/>
                <w:color w:val="auto"/>
              </w:rPr>
            </w:pPr>
            <w:r>
              <w:rPr>
                <w:rFonts w:ascii="MS PGothic" w:cs="MS PGothic" w:eastAsia="MS PGothic" w:hAnsi="MS PGothic"/>
                <w:sz w:val="10"/>
                <w:szCs w:val="10"/>
                <w:color w:val="auto"/>
              </w:rPr>
              <w:t>☐</w:t>
            </w:r>
          </w:p>
        </w:tc>
        <w:tc>
          <w:tcPr>
            <w:tcW w:w="600" w:type="dxa"/>
            <w:vAlign w:val="bottom"/>
          </w:tcPr>
          <w:p>
            <w:pPr>
              <w:ind w:left="80"/>
              <w:spacing w:after="0"/>
              <w:rPr>
                <w:sz w:val="20"/>
                <w:szCs w:val="20"/>
                <w:color w:val="auto"/>
              </w:rPr>
            </w:pPr>
            <w:r>
              <w:rPr>
                <w:rFonts w:ascii="Arial" w:cs="Arial" w:eastAsia="Arial" w:hAnsi="Arial"/>
                <w:sz w:val="10"/>
                <w:szCs w:val="10"/>
                <w:color w:val="auto"/>
              </w:rPr>
              <w:t>Yes</w:t>
            </w:r>
          </w:p>
        </w:tc>
        <w:tc>
          <w:tcPr>
            <w:tcW w:w="560" w:type="dxa"/>
            <w:vAlign w:val="bottom"/>
          </w:tcPr>
          <w:p>
            <w:pPr>
              <w:ind w:left="380"/>
              <w:spacing w:after="0" w:line="101" w:lineRule="exact"/>
              <w:rPr>
                <w:sz w:val="20"/>
                <w:szCs w:val="20"/>
                <w:color w:val="auto"/>
              </w:rPr>
            </w:pPr>
            <w:r>
              <w:rPr>
                <w:rFonts w:ascii="MS PGothic" w:cs="MS PGothic" w:eastAsia="MS PGothic" w:hAnsi="MS PGothic"/>
                <w:sz w:val="10"/>
                <w:szCs w:val="10"/>
                <w:color w:val="auto"/>
              </w:rPr>
              <w:t>☑</w:t>
            </w:r>
          </w:p>
        </w:tc>
        <w:tc>
          <w:tcPr>
            <w:tcW w:w="200" w:type="dxa"/>
            <w:vAlign w:val="bottom"/>
          </w:tcPr>
          <w:p>
            <w:pPr>
              <w:ind w:left="100"/>
              <w:spacing w:after="0"/>
              <w:rPr>
                <w:sz w:val="20"/>
                <w:szCs w:val="20"/>
                <w:color w:val="auto"/>
              </w:rPr>
            </w:pPr>
            <w:r>
              <w:rPr>
                <w:rFonts w:ascii="Arial" w:cs="Arial" w:eastAsia="Arial" w:hAnsi="Arial"/>
                <w:sz w:val="8"/>
                <w:szCs w:val="8"/>
                <w:color w:val="auto"/>
                <w:w w:val="77"/>
              </w:rPr>
              <w:t>No</w:t>
            </w:r>
          </w:p>
        </w:tc>
      </w:tr>
      <w:tr>
        <w:trPr>
          <w:trHeight w:val="216"/>
        </w:trPr>
        <w:tc>
          <w:tcPr>
            <w:tcW w:w="160" w:type="dxa"/>
            <w:vAlign w:val="bottom"/>
          </w:tcPr>
          <w:p>
            <w:pPr>
              <w:spacing w:after="0" w:line="101" w:lineRule="exact"/>
              <w:rPr>
                <w:sz w:val="20"/>
                <w:szCs w:val="20"/>
                <w:color w:val="auto"/>
              </w:rPr>
            </w:pPr>
            <w:r>
              <w:rPr>
                <w:rFonts w:ascii="MS PGothic" w:cs="MS PGothic" w:eastAsia="MS PGothic" w:hAnsi="MS PGothic"/>
                <w:sz w:val="10"/>
                <w:szCs w:val="10"/>
                <w:color w:val="auto"/>
              </w:rPr>
              <w:t>☑</w:t>
            </w:r>
          </w:p>
        </w:tc>
        <w:tc>
          <w:tcPr>
            <w:tcW w:w="600" w:type="dxa"/>
            <w:vAlign w:val="bottom"/>
          </w:tcPr>
          <w:p>
            <w:pPr>
              <w:ind w:left="80"/>
              <w:spacing w:after="0"/>
              <w:rPr>
                <w:sz w:val="20"/>
                <w:szCs w:val="20"/>
                <w:color w:val="auto"/>
              </w:rPr>
            </w:pPr>
            <w:r>
              <w:rPr>
                <w:rFonts w:ascii="Arial" w:cs="Arial" w:eastAsia="Arial" w:hAnsi="Arial"/>
                <w:sz w:val="10"/>
                <w:szCs w:val="10"/>
                <w:color w:val="auto"/>
              </w:rPr>
              <w:t>Yes</w:t>
            </w:r>
          </w:p>
        </w:tc>
        <w:tc>
          <w:tcPr>
            <w:tcW w:w="560" w:type="dxa"/>
            <w:vAlign w:val="bottom"/>
          </w:tcPr>
          <w:p>
            <w:pPr>
              <w:ind w:left="380"/>
              <w:spacing w:after="0" w:line="101" w:lineRule="exact"/>
              <w:rPr>
                <w:sz w:val="20"/>
                <w:szCs w:val="20"/>
                <w:color w:val="auto"/>
              </w:rPr>
            </w:pPr>
            <w:r>
              <w:rPr>
                <w:rFonts w:ascii="MS PGothic" w:cs="MS PGothic" w:eastAsia="MS PGothic" w:hAnsi="MS PGothic"/>
                <w:sz w:val="10"/>
                <w:szCs w:val="10"/>
                <w:color w:val="auto"/>
              </w:rPr>
              <w:t>☐</w:t>
            </w:r>
          </w:p>
        </w:tc>
        <w:tc>
          <w:tcPr>
            <w:tcW w:w="200" w:type="dxa"/>
            <w:vAlign w:val="bottom"/>
          </w:tcPr>
          <w:p>
            <w:pPr>
              <w:ind w:left="100"/>
              <w:spacing w:after="0"/>
              <w:rPr>
                <w:sz w:val="20"/>
                <w:szCs w:val="20"/>
                <w:color w:val="auto"/>
              </w:rPr>
            </w:pPr>
            <w:r>
              <w:rPr>
                <w:rFonts w:ascii="Arial" w:cs="Arial" w:eastAsia="Arial" w:hAnsi="Arial"/>
                <w:sz w:val="8"/>
                <w:szCs w:val="8"/>
                <w:color w:val="auto"/>
                <w:w w:val="77"/>
              </w:rPr>
              <w:t>No</w:t>
            </w:r>
          </w:p>
        </w:tc>
      </w:tr>
      <w:tr>
        <w:trPr>
          <w:trHeight w:val="216"/>
        </w:trPr>
        <w:tc>
          <w:tcPr>
            <w:tcW w:w="160" w:type="dxa"/>
            <w:vAlign w:val="bottom"/>
          </w:tcPr>
          <w:p>
            <w:pPr>
              <w:spacing w:after="0" w:line="101" w:lineRule="exact"/>
              <w:rPr>
                <w:sz w:val="20"/>
                <w:szCs w:val="20"/>
                <w:color w:val="auto"/>
              </w:rPr>
            </w:pPr>
            <w:r>
              <w:rPr>
                <w:rFonts w:ascii="MS PGothic" w:cs="MS PGothic" w:eastAsia="MS PGothic" w:hAnsi="MS PGothic"/>
                <w:sz w:val="10"/>
                <w:szCs w:val="10"/>
                <w:color w:val="auto"/>
              </w:rPr>
              <w:t>☑</w:t>
            </w:r>
          </w:p>
        </w:tc>
        <w:tc>
          <w:tcPr>
            <w:tcW w:w="600" w:type="dxa"/>
            <w:vAlign w:val="bottom"/>
          </w:tcPr>
          <w:p>
            <w:pPr>
              <w:ind w:left="80"/>
              <w:spacing w:after="0"/>
              <w:rPr>
                <w:sz w:val="20"/>
                <w:szCs w:val="20"/>
                <w:color w:val="auto"/>
              </w:rPr>
            </w:pPr>
            <w:r>
              <w:rPr>
                <w:rFonts w:ascii="Arial" w:cs="Arial" w:eastAsia="Arial" w:hAnsi="Arial"/>
                <w:sz w:val="10"/>
                <w:szCs w:val="10"/>
                <w:color w:val="auto"/>
              </w:rPr>
              <w:t>Yes</w:t>
            </w:r>
          </w:p>
        </w:tc>
        <w:tc>
          <w:tcPr>
            <w:tcW w:w="560" w:type="dxa"/>
            <w:vAlign w:val="bottom"/>
          </w:tcPr>
          <w:p>
            <w:pPr>
              <w:ind w:left="380"/>
              <w:spacing w:after="0" w:line="101" w:lineRule="exact"/>
              <w:rPr>
                <w:sz w:val="20"/>
                <w:szCs w:val="20"/>
                <w:color w:val="auto"/>
              </w:rPr>
            </w:pPr>
            <w:r>
              <w:rPr>
                <w:rFonts w:ascii="MS PGothic" w:cs="MS PGothic" w:eastAsia="MS PGothic" w:hAnsi="MS PGothic"/>
                <w:sz w:val="10"/>
                <w:szCs w:val="10"/>
                <w:color w:val="auto"/>
              </w:rPr>
              <w:t>☐</w:t>
            </w:r>
          </w:p>
        </w:tc>
        <w:tc>
          <w:tcPr>
            <w:tcW w:w="200" w:type="dxa"/>
            <w:vAlign w:val="bottom"/>
          </w:tcPr>
          <w:p>
            <w:pPr>
              <w:ind w:left="100"/>
              <w:spacing w:after="0"/>
              <w:rPr>
                <w:sz w:val="20"/>
                <w:szCs w:val="20"/>
                <w:color w:val="auto"/>
              </w:rPr>
            </w:pPr>
            <w:r>
              <w:rPr>
                <w:rFonts w:ascii="Arial" w:cs="Arial" w:eastAsia="Arial" w:hAnsi="Arial"/>
                <w:sz w:val="8"/>
                <w:szCs w:val="8"/>
                <w:color w:val="auto"/>
                <w:w w:val="77"/>
              </w:rPr>
              <w:t>No</w:t>
            </w:r>
          </w:p>
        </w:tc>
      </w:tr>
    </w:tbl>
    <w:p>
      <w:pPr>
        <w:spacing w:after="0" w:line="345" w:lineRule="exact"/>
        <w:rPr>
          <w:sz w:val="24"/>
          <w:szCs w:val="24"/>
          <w:color w:val="auto"/>
        </w:rPr>
      </w:pPr>
    </w:p>
    <w:p>
      <w:pPr>
        <w:sectPr>
          <w:pgSz w:w="11900" w:h="16838" w:orient="portrait"/>
          <w:cols w:equalWidth="0" w:num="2">
            <w:col w:w="9060" w:space="540"/>
            <w:col w:w="1520"/>
          </w:cols>
          <w:pgMar w:left="300" w:top="908" w:right="479" w:bottom="1440" w:gutter="0" w:footer="0" w:header="0"/>
          <w:type w:val="continuous"/>
        </w:sectPr>
      </w:pPr>
    </w:p>
    <w:p>
      <w:pPr>
        <w:ind w:left="5620"/>
        <w:spacing w:after="0" w:line="115" w:lineRule="exact"/>
        <w:tabs>
          <w:tab w:leader="none" w:pos="6720" w:val="left"/>
          <w:tab w:leader="none" w:pos="7500" w:val="left"/>
          <w:tab w:leader="none" w:pos="8380" w:val="left"/>
          <w:tab w:leader="none" w:pos="9720" w:val="left"/>
          <w:tab w:leader="none" w:pos="10740" w:val="left"/>
        </w:tabs>
        <w:rPr>
          <w:sz w:val="20"/>
          <w:szCs w:val="20"/>
          <w:color w:val="auto"/>
        </w:rPr>
      </w:pPr>
      <w:r>
        <w:rPr>
          <w:rFonts w:ascii="Arial" w:cs="Arial" w:eastAsia="Arial" w:hAnsi="Arial"/>
          <w:sz w:val="10"/>
          <w:szCs w:val="10"/>
          <w:color w:val="auto"/>
        </w:rPr>
        <w:t>Large 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Non-accelerated filer</w:t>
      </w:r>
      <w:r>
        <w:rPr>
          <w:sz w:val="20"/>
          <w:szCs w:val="20"/>
          <w:color w:val="auto"/>
        </w:rPr>
        <w:tab/>
      </w:r>
      <w:r>
        <w:rPr>
          <w:rFonts w:ascii="MS PGothic" w:cs="MS PGothic" w:eastAsia="MS PGothic" w:hAnsi="MS PGothic"/>
          <w:sz w:val="8"/>
          <w:szCs w:val="8"/>
          <w:color w:val="auto"/>
        </w:rPr>
        <w:t>☐</w:t>
      </w:r>
    </w:p>
    <w:p>
      <w:pPr>
        <w:spacing w:after="0" w:line="33" w:lineRule="exact"/>
        <w:rPr>
          <w:sz w:val="24"/>
          <w:szCs w:val="24"/>
          <w:color w:val="auto"/>
        </w:rPr>
      </w:pPr>
    </w:p>
    <w:p>
      <w:pPr>
        <w:jc w:val="right"/>
        <w:ind w:right="280"/>
        <w:spacing w:after="0" w:line="115" w:lineRule="exact"/>
        <w:tabs>
          <w:tab w:leader="none" w:pos="60" w:val="left"/>
        </w:tabs>
        <w:rPr>
          <w:sz w:val="20"/>
          <w:szCs w:val="20"/>
          <w:color w:val="auto"/>
        </w:rPr>
      </w:pPr>
      <w:r>
        <w:rPr>
          <w:rFonts w:ascii="Arial" w:cs="Arial" w:eastAsia="Arial" w:hAnsi="Arial"/>
          <w:sz w:val="10"/>
          <w:szCs w:val="10"/>
          <w:color w:val="auto"/>
        </w:rPr>
        <w:t>Emerging growth company</w:t>
      </w:r>
      <w:r>
        <w:rPr>
          <w:sz w:val="20"/>
          <w:szCs w:val="20"/>
          <w:color w:val="auto"/>
        </w:rPr>
        <w:tab/>
      </w:r>
      <w:r>
        <w:rPr>
          <w:rFonts w:ascii="MS PGothic" w:cs="MS PGothic" w:eastAsia="MS PGothic" w:hAnsi="MS PGothic"/>
          <w:sz w:val="8"/>
          <w:szCs w:val="8"/>
          <w:color w:val="auto"/>
        </w:rPr>
        <w:t>☐</w:t>
      </w:r>
    </w:p>
    <w:p>
      <w:pPr>
        <w:sectPr>
          <w:pgSz w:w="11900" w:h="16838" w:orient="portrait"/>
          <w:cols w:equalWidth="0" w:num="1">
            <w:col w:w="11120"/>
          </w:cols>
          <w:pgMar w:left="300" w:top="908" w:right="479" w:bottom="1440" w:gutter="0" w:footer="0" w:header="0"/>
          <w:type w:val="continuous"/>
        </w:sectPr>
      </w:pPr>
    </w:p>
    <w:p>
      <w:pPr>
        <w:spacing w:after="0" w:line="12" w:lineRule="exact"/>
        <w:rPr>
          <w:sz w:val="24"/>
          <w:szCs w:val="24"/>
          <w:color w:val="auto"/>
        </w:rPr>
      </w:pPr>
    </w:p>
    <w:p>
      <w:pPr>
        <w:ind w:left="40"/>
        <w:spacing w:after="0" w:line="214" w:lineRule="auto"/>
        <w:rPr>
          <w:sz w:val="20"/>
          <w:szCs w:val="20"/>
          <w:color w:val="auto"/>
        </w:rPr>
      </w:pPr>
      <w:r>
        <w:rPr>
          <w:rFonts w:ascii="Arial" w:cs="Arial" w:eastAsia="Arial" w:hAnsi="Arial"/>
          <w:sz w:val="10"/>
          <w:szCs w:val="10"/>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w:t>
      </w:r>
    </w:p>
    <w:p>
      <w:pPr>
        <w:spacing w:after="0" w:line="59" w:lineRule="exact"/>
        <w:rPr>
          <w:sz w:val="24"/>
          <w:szCs w:val="24"/>
          <w:color w:val="auto"/>
        </w:rPr>
      </w:pPr>
    </w:p>
    <w:p>
      <w:pPr>
        <w:spacing w:after="0"/>
        <w:rPr>
          <w:sz w:val="20"/>
          <w:szCs w:val="20"/>
          <w:color w:val="auto"/>
        </w:rPr>
      </w:pPr>
      <w:r>
        <w:rPr>
          <w:rFonts w:ascii="Arial" w:cs="Arial" w:eastAsia="Arial" w:hAnsi="Arial"/>
          <w:sz w:val="8"/>
          <w:szCs w:val="8"/>
          <w:color w:val="auto"/>
        </w:rPr>
        <w:t>† The term “new or revised financial accounting standards” refers to any update issued by the Financial Accounting Standards Board to its Accounting Standards Codification after April 5, 2012.</w:t>
      </w:r>
    </w:p>
    <w:p>
      <w:pPr>
        <w:spacing w:after="0" w:line="124" w:lineRule="exact"/>
        <w:rPr>
          <w:sz w:val="24"/>
          <w:szCs w:val="24"/>
          <w:color w:val="auto"/>
        </w:rPr>
      </w:pPr>
    </w:p>
    <w:p>
      <w:pPr>
        <w:ind w:left="20" w:right="1820"/>
        <w:spacing w:after="0" w:line="281" w:lineRule="auto"/>
        <w:rPr>
          <w:sz w:val="20"/>
          <w:szCs w:val="20"/>
          <w:color w:val="auto"/>
        </w:rPr>
      </w:pPr>
      <w:r>
        <w:rPr>
          <w:rFonts w:ascii="Arial" w:cs="Arial" w:eastAsia="Arial" w:hAnsi="Arial"/>
          <w:sz w:val="8"/>
          <w:szCs w:val="8"/>
          <w:color w:val="auto"/>
        </w:rPr>
        <w:t>Indicate by check mark whether the registrant has filed a report on and attestation to its management's assessment on the effectiveness of its internal control over financial reporting under Section 404(b) of the Sarbanes-Oxley Act (15 U.S.C. 7262(b)) by the registered public accounting firm that prepared or issues its audit report.</w:t>
      </w:r>
    </w:p>
    <w:p>
      <w:pPr>
        <w:spacing w:after="0" w:line="1" w:lineRule="exact"/>
        <w:rPr>
          <w:sz w:val="24"/>
          <w:szCs w:val="24"/>
          <w:color w:val="auto"/>
        </w:rPr>
      </w:pPr>
    </w:p>
    <w:p>
      <w:pPr>
        <w:ind w:left="20"/>
        <w:spacing w:after="0"/>
        <w:rPr>
          <w:sz w:val="20"/>
          <w:szCs w:val="20"/>
          <w:color w:val="auto"/>
        </w:rPr>
      </w:pPr>
      <w:r>
        <w:rPr>
          <w:rFonts w:ascii="Arial" w:cs="Arial" w:eastAsia="Arial" w:hAnsi="Arial"/>
          <w:sz w:val="10"/>
          <w:szCs w:val="10"/>
          <w:color w:val="auto"/>
        </w:rPr>
        <w:t>Indicate by check mark which basis of accounting the registrant has used to prepare the financial statements included in this filing:</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0"/>
          <w:szCs w:val="10"/>
          <w:color w:val="auto"/>
        </w:rPr>
        <w:t>International Financial Reporting Standards as issued by the International Accounting Standards Board.</w:t>
      </w:r>
    </w:p>
    <w:p>
      <w:pPr>
        <w:spacing w:after="0" w:line="11" w:lineRule="exact"/>
        <w:rPr>
          <w:sz w:val="24"/>
          <w:szCs w:val="24"/>
          <w:color w:val="auto"/>
        </w:rPr>
      </w:pPr>
    </w:p>
    <w:p>
      <w:pPr>
        <w:ind w:left="20" w:right="200"/>
        <w:spacing w:after="0" w:line="276" w:lineRule="auto"/>
        <w:rPr>
          <w:sz w:val="20"/>
          <w:szCs w:val="20"/>
          <w:color w:val="auto"/>
        </w:rPr>
      </w:pPr>
      <w:r>
        <w:rPr>
          <w:rFonts w:ascii="Arial" w:cs="Arial" w:eastAsia="Arial" w:hAnsi="Arial"/>
          <w:sz w:val="10"/>
          <w:szCs w:val="10"/>
          <w:color w:val="auto"/>
        </w:rPr>
        <w:t>If “Other” has been checked in response to the previous question, indicate by check mark which financial statement item the registrant has elected to follow. Item 17 If this is an annual report, indicate by check mark whether the registrant is a shell company (as defined in Rule 12b-2 of the Exchange Act).</w:t>
      </w:r>
    </w:p>
    <w:p>
      <w:pPr>
        <w:spacing w:after="0" w:line="42" w:lineRule="exact"/>
        <w:rPr>
          <w:sz w:val="24"/>
          <w:szCs w:val="24"/>
          <w:color w:val="auto"/>
        </w:rPr>
      </w:pPr>
    </w:p>
    <w:p>
      <w:pPr>
        <w:spacing w:after="0"/>
        <w:rPr>
          <w:sz w:val="20"/>
          <w:szCs w:val="20"/>
          <w:color w:val="auto"/>
        </w:rPr>
      </w:pPr>
      <w:r>
        <w:rPr>
          <w:rFonts w:ascii="Arial" w:cs="Arial" w:eastAsia="Arial" w:hAnsi="Arial"/>
          <w:sz w:val="10"/>
          <w:szCs w:val="10"/>
          <w:color w:val="auto"/>
        </w:rPr>
        <w:t>Copies of notices and communications from the Securities and Exchange Commission should be sent to:</w:t>
      </w:r>
    </w:p>
    <w:p>
      <w:pPr>
        <w:spacing w:after="0" w:line="20" w:lineRule="exact"/>
        <w:rPr>
          <w:sz w:val="24"/>
          <w:szCs w:val="24"/>
          <w:color w:val="auto"/>
        </w:rPr>
      </w:pPr>
    </w:p>
    <w:p>
      <w:pPr>
        <w:spacing w:after="0"/>
        <w:rPr>
          <w:sz w:val="20"/>
          <w:szCs w:val="20"/>
          <w:color w:val="auto"/>
        </w:rPr>
      </w:pPr>
      <w:r>
        <w:rPr>
          <w:rFonts w:ascii="Arial" w:cs="Arial" w:eastAsia="Arial" w:hAnsi="Arial"/>
          <w:sz w:val="10"/>
          <w:szCs w:val="10"/>
          <w:color w:val="auto"/>
        </w:rPr>
        <w:t>Royal Dutch Shell plc</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color w:val="auto"/>
        </w:rPr>
        <w:t>Carel van Bylandtlaan 30</w:t>
      </w:r>
    </w:p>
    <w:p>
      <w:pPr>
        <w:spacing w:after="0" w:line="20" w:lineRule="exact"/>
        <w:rPr>
          <w:sz w:val="24"/>
          <w:szCs w:val="24"/>
          <w:color w:val="auto"/>
        </w:rPr>
      </w:pPr>
    </w:p>
    <w:p>
      <w:pPr>
        <w:spacing w:after="0"/>
        <w:rPr>
          <w:sz w:val="20"/>
          <w:szCs w:val="20"/>
          <w:color w:val="auto"/>
        </w:rPr>
      </w:pPr>
      <w:r>
        <w:rPr>
          <w:rFonts w:ascii="Arial" w:cs="Arial" w:eastAsia="Arial" w:hAnsi="Arial"/>
          <w:sz w:val="10"/>
          <w:szCs w:val="10"/>
          <w:color w:val="auto"/>
        </w:rPr>
        <w:t>2596 HR, The Hague, The Netherlands</w:t>
      </w:r>
    </w:p>
    <w:p>
      <w:pPr>
        <w:spacing w:after="0" w:line="20" w:lineRule="exact"/>
        <w:rPr>
          <w:sz w:val="24"/>
          <w:szCs w:val="24"/>
          <w:color w:val="auto"/>
        </w:rPr>
      </w:pPr>
    </w:p>
    <w:p>
      <w:pPr>
        <w:spacing w:after="0"/>
        <w:rPr>
          <w:sz w:val="20"/>
          <w:szCs w:val="20"/>
          <w:color w:val="auto"/>
        </w:rPr>
      </w:pPr>
      <w:r>
        <w:rPr>
          <w:rFonts w:ascii="Arial" w:cs="Arial" w:eastAsia="Arial" w:hAnsi="Arial"/>
          <w:sz w:val="10"/>
          <w:szCs w:val="10"/>
          <w:color w:val="auto"/>
        </w:rPr>
        <w:t>Attn: Linda M. Coulter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color w:val="auto"/>
        </w:rPr>
        <w:t>Tel. no: 011 31 70 377 9111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r>
        <w:trPr>
          <w:trHeight w:val="495"/>
        </w:trPr>
        <w:tc>
          <w:tcPr>
            <w:tcW w:w="960" w:type="dxa"/>
            <w:vAlign w:val="bottom"/>
          </w:tcPr>
          <w:p>
            <w:pPr>
              <w:spacing w:after="0" w:line="101" w:lineRule="exact"/>
              <w:rPr>
                <w:sz w:val="20"/>
                <w:szCs w:val="20"/>
                <w:color w:val="auto"/>
              </w:rPr>
            </w:pPr>
            <w:r>
              <w:rPr>
                <w:rFonts w:ascii="MS PGothic" w:cs="MS PGothic" w:eastAsia="MS PGothic" w:hAnsi="MS PGothic"/>
                <w:sz w:val="10"/>
                <w:szCs w:val="10"/>
                <w:color w:val="auto"/>
              </w:rPr>
              <w:t>☑</w:t>
            </w:r>
          </w:p>
        </w:tc>
        <w:tc>
          <w:tcPr>
            <w:tcW w:w="1260" w:type="dxa"/>
            <w:vAlign w:val="bottom"/>
            <w:vMerge w:val="restart"/>
          </w:tcPr>
          <w:p>
            <w:pPr>
              <w:jc w:val="right"/>
              <w:ind w:right="52"/>
              <w:spacing w:after="0"/>
              <w:rPr>
                <w:sz w:val="20"/>
                <w:szCs w:val="20"/>
                <w:color w:val="auto"/>
              </w:rPr>
            </w:pPr>
            <w:r>
              <w:rPr>
                <w:rFonts w:ascii="Arial" w:cs="Arial" w:eastAsia="Arial" w:hAnsi="Arial"/>
                <w:sz w:val="10"/>
                <w:szCs w:val="10"/>
                <w:color w:val="auto"/>
              </w:rPr>
              <w:t>U.S. GAAP</w:t>
            </w:r>
          </w:p>
        </w:tc>
        <w:tc>
          <w:tcPr>
            <w:tcW w:w="460" w:type="dxa"/>
            <w:vAlign w:val="bottom"/>
            <w:vMerge w:val="restart"/>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line="101" w:lineRule="exact"/>
              <w:rPr>
                <w:sz w:val="20"/>
                <w:szCs w:val="20"/>
                <w:color w:val="auto"/>
              </w:rPr>
            </w:pPr>
            <w:r>
              <w:rPr>
                <w:rFonts w:ascii="MS PGothic" w:cs="MS PGothic" w:eastAsia="MS PGothic" w:hAnsi="MS PGothic"/>
                <w:sz w:val="10"/>
                <w:szCs w:val="10"/>
                <w:color w:val="auto"/>
              </w:rPr>
              <w:t>☑</w:t>
            </w:r>
          </w:p>
        </w:tc>
        <w:tc>
          <w:tcPr>
            <w:tcW w:w="1260" w:type="dxa"/>
            <w:vAlign w:val="bottom"/>
          </w:tcPr>
          <w:p>
            <w:pPr>
              <w:jc w:val="right"/>
              <w:ind w:right="52"/>
              <w:spacing w:after="0"/>
              <w:rPr>
                <w:sz w:val="20"/>
                <w:szCs w:val="20"/>
                <w:color w:val="auto"/>
              </w:rPr>
            </w:pPr>
            <w:r>
              <w:rPr>
                <w:rFonts w:ascii="Arial" w:cs="Arial" w:eastAsia="Arial" w:hAnsi="Arial"/>
                <w:sz w:val="10"/>
                <w:szCs w:val="10"/>
                <w:color w:val="auto"/>
              </w:rPr>
              <w:t>Other</w:t>
            </w:r>
          </w:p>
        </w:tc>
        <w:tc>
          <w:tcPr>
            <w:tcW w:w="46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r>
        <w:trPr>
          <w:trHeight w:val="126"/>
        </w:trPr>
        <w:tc>
          <w:tcPr>
            <w:tcW w:w="960" w:type="dxa"/>
            <w:vAlign w:val="bottom"/>
          </w:tcPr>
          <w:p>
            <w:pPr>
              <w:spacing w:after="0" w:line="101" w:lineRule="exact"/>
              <w:rPr>
                <w:sz w:val="20"/>
                <w:szCs w:val="20"/>
                <w:color w:val="auto"/>
              </w:rPr>
            </w:pPr>
            <w:r>
              <w:rPr>
                <w:rFonts w:ascii="MS PGothic" w:cs="MS PGothic" w:eastAsia="MS PGothic" w:hAnsi="MS PGothic"/>
                <w:sz w:val="10"/>
                <w:szCs w:val="10"/>
                <w:color w:val="auto"/>
              </w:rPr>
              <w:t>☐</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Item 18</w:t>
            </w:r>
          </w:p>
        </w:tc>
        <w:tc>
          <w:tcPr>
            <w:tcW w:w="46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r>
        <w:trPr>
          <w:trHeight w:val="158"/>
        </w:trPr>
        <w:tc>
          <w:tcPr>
            <w:tcW w:w="960" w:type="dxa"/>
            <w:vAlign w:val="bottom"/>
          </w:tcPr>
          <w:p>
            <w:pP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Yes</w:t>
            </w:r>
          </w:p>
        </w:tc>
        <w:tc>
          <w:tcPr>
            <w:tcW w:w="1260" w:type="dxa"/>
            <w:vAlign w:val="bottom"/>
          </w:tcPr>
          <w:p>
            <w:pPr>
              <w:spacing w:after="0"/>
              <w:rPr>
                <w:sz w:val="13"/>
                <w:szCs w:val="13"/>
                <w:color w:val="auto"/>
              </w:rPr>
            </w:pPr>
          </w:p>
        </w:tc>
        <w:tc>
          <w:tcPr>
            <w:tcW w:w="460" w:type="dxa"/>
            <w:vAlign w:val="bottom"/>
          </w:tcPr>
          <w:p>
            <w:pPr>
              <w:ind w:left="100"/>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No</w:t>
            </w:r>
          </w:p>
        </w:tc>
        <w:tc>
          <w:tcPr>
            <w:tcW w:w="0" w:type="dxa"/>
            <w:vAlign w:val="bottom"/>
          </w:tcPr>
          <w:p>
            <w:pPr>
              <w:spacing w:after="0"/>
              <w:rPr>
                <w:sz w:val="1"/>
                <w:szCs w:val="1"/>
                <w:color w:val="auto"/>
              </w:rPr>
            </w:pPr>
          </w:p>
        </w:tc>
      </w:tr>
    </w:tbl>
    <w:p>
      <w:pPr>
        <w:sectPr>
          <w:pgSz w:w="11900" w:h="16838" w:orient="portrait"/>
          <w:cols w:equalWidth="0" w:num="2">
            <w:col w:w="8380" w:space="60"/>
            <w:col w:w="2680"/>
          </w:cols>
          <w:pgMar w:left="300" w:top="908" w:right="4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2"/>
          <w:szCs w:val="12"/>
          <w:color w:val="auto"/>
        </w:rPr>
        <w:t>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432435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color w:val="auto"/>
        </w:rPr>
        <w:t>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381000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644"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2"/>
          <w:szCs w:val="12"/>
          <w:color w:val="auto"/>
        </w:rPr>
        <w:t>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381000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644" w:right="1440"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CROSS REFERENCE TO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Part I</w:t>
            </w:r>
          </w:p>
        </w:tc>
        <w:tc>
          <w:tcPr>
            <w:tcW w:w="62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6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Pages</w:t>
            </w:r>
          </w:p>
        </w:tc>
      </w:tr>
      <w:tr>
        <w:trPr>
          <w:trHeight w:val="114"/>
        </w:trPr>
        <w:tc>
          <w:tcPr>
            <w:tcW w:w="660" w:type="dxa"/>
            <w:vAlign w:val="bottom"/>
          </w:tcPr>
          <w:p>
            <w:pPr>
              <w:spacing w:after="0"/>
              <w:rPr>
                <w:sz w:val="20"/>
                <w:szCs w:val="20"/>
                <w:color w:val="auto"/>
              </w:rPr>
            </w:pPr>
            <w:r>
              <w:rPr>
                <w:rFonts w:ascii="Arial" w:cs="Arial" w:eastAsia="Arial" w:hAnsi="Arial"/>
                <w:sz w:val="10"/>
                <w:szCs w:val="10"/>
                <w:color w:val="auto"/>
              </w:rPr>
              <w:t>Item 1.</w:t>
            </w:r>
          </w:p>
        </w:tc>
        <w:tc>
          <w:tcPr>
            <w:tcW w:w="4040" w:type="dxa"/>
            <w:vAlign w:val="bottom"/>
            <w:gridSpan w:val="2"/>
          </w:tcPr>
          <w:p>
            <w:pPr>
              <w:ind w:left="340"/>
              <w:spacing w:after="0"/>
              <w:rPr>
                <w:sz w:val="20"/>
                <w:szCs w:val="20"/>
                <w:color w:val="auto"/>
              </w:rPr>
            </w:pPr>
            <w:r>
              <w:rPr>
                <w:rFonts w:ascii="Arial" w:cs="Arial" w:eastAsia="Arial" w:hAnsi="Arial"/>
                <w:sz w:val="10"/>
                <w:szCs w:val="10"/>
                <w:color w:val="auto"/>
              </w:rPr>
              <w:t>Identity of Directors, Senior Management and Advisers</w:t>
            </w:r>
          </w:p>
        </w:tc>
        <w:tc>
          <w:tcPr>
            <w:tcW w:w="66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3"/>
        </w:trPr>
        <w:tc>
          <w:tcPr>
            <w:tcW w:w="660" w:type="dxa"/>
            <w:vAlign w:val="bottom"/>
          </w:tcPr>
          <w:p>
            <w:pPr>
              <w:spacing w:after="0"/>
              <w:rPr>
                <w:sz w:val="20"/>
                <w:szCs w:val="20"/>
                <w:color w:val="auto"/>
              </w:rPr>
            </w:pPr>
            <w:r>
              <w:rPr>
                <w:rFonts w:ascii="Arial" w:cs="Arial" w:eastAsia="Arial" w:hAnsi="Arial"/>
                <w:sz w:val="10"/>
                <w:szCs w:val="10"/>
                <w:color w:val="auto"/>
              </w:rPr>
              <w:t>Item 2.</w:t>
            </w:r>
          </w:p>
        </w:tc>
        <w:tc>
          <w:tcPr>
            <w:tcW w:w="4040" w:type="dxa"/>
            <w:vAlign w:val="bottom"/>
            <w:gridSpan w:val="2"/>
          </w:tcPr>
          <w:p>
            <w:pPr>
              <w:ind w:left="340"/>
              <w:spacing w:after="0"/>
              <w:rPr>
                <w:sz w:val="20"/>
                <w:szCs w:val="20"/>
                <w:color w:val="auto"/>
              </w:rPr>
            </w:pPr>
            <w:r>
              <w:rPr>
                <w:rFonts w:ascii="Arial" w:cs="Arial" w:eastAsia="Arial" w:hAnsi="Arial"/>
                <w:sz w:val="10"/>
                <w:szCs w:val="10"/>
                <w:color w:val="auto"/>
              </w:rPr>
              <w:t>Offer Statistics and Expected Timetable</w:t>
            </w:r>
          </w:p>
        </w:tc>
        <w:tc>
          <w:tcPr>
            <w:tcW w:w="66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660" w:type="dxa"/>
            <w:vAlign w:val="bottom"/>
          </w:tcPr>
          <w:p>
            <w:pPr>
              <w:spacing w:after="0"/>
              <w:rPr>
                <w:sz w:val="20"/>
                <w:szCs w:val="20"/>
                <w:color w:val="auto"/>
              </w:rPr>
            </w:pPr>
            <w:r>
              <w:rPr>
                <w:rFonts w:ascii="Arial" w:cs="Arial" w:eastAsia="Arial" w:hAnsi="Arial"/>
                <w:sz w:val="10"/>
                <w:szCs w:val="10"/>
                <w:color w:val="auto"/>
              </w:rPr>
              <w:t>Item 3.</w:t>
            </w:r>
          </w:p>
        </w:tc>
        <w:tc>
          <w:tcPr>
            <w:tcW w:w="4040" w:type="dxa"/>
            <w:vAlign w:val="bottom"/>
            <w:gridSpan w:val="2"/>
          </w:tcPr>
          <w:p>
            <w:pPr>
              <w:ind w:left="340"/>
              <w:spacing w:after="0"/>
              <w:rPr>
                <w:sz w:val="20"/>
                <w:szCs w:val="20"/>
                <w:color w:val="auto"/>
              </w:rPr>
            </w:pPr>
            <w:r>
              <w:rPr>
                <w:rFonts w:ascii="Arial" w:cs="Arial" w:eastAsia="Arial" w:hAnsi="Arial"/>
                <w:sz w:val="10"/>
                <w:szCs w:val="10"/>
                <w:color w:val="auto"/>
              </w:rPr>
              <w:t>Key Information</w:t>
            </w:r>
          </w:p>
        </w:tc>
        <w:tc>
          <w:tcPr>
            <w:tcW w:w="6600" w:type="dxa"/>
            <w:vAlign w:val="bottom"/>
          </w:tcPr>
          <w:p>
            <w:pPr>
              <w:spacing w:after="0"/>
              <w:rPr>
                <w:sz w:val="10"/>
                <w:szCs w:val="10"/>
                <w:color w:val="auto"/>
              </w:rPr>
            </w:pP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A.</w:t>
            </w:r>
          </w:p>
        </w:tc>
        <w:tc>
          <w:tcPr>
            <w:tcW w:w="3420" w:type="dxa"/>
            <w:vAlign w:val="bottom"/>
          </w:tcPr>
          <w:p>
            <w:pPr>
              <w:ind w:left="120"/>
              <w:spacing w:after="0"/>
              <w:rPr>
                <w:sz w:val="20"/>
                <w:szCs w:val="20"/>
                <w:color w:val="auto"/>
              </w:rPr>
            </w:pPr>
            <w:r>
              <w:rPr>
                <w:rFonts w:ascii="Arial" w:cs="Arial" w:eastAsia="Arial" w:hAnsi="Arial"/>
                <w:sz w:val="10"/>
                <w:szCs w:val="10"/>
                <w:color w:val="auto"/>
              </w:rPr>
              <w:t>Selected financial data</w:t>
            </w:r>
          </w:p>
        </w:tc>
        <w:tc>
          <w:tcPr>
            <w:tcW w:w="6600" w:type="dxa"/>
            <w:vAlign w:val="bottom"/>
          </w:tcPr>
          <w:p>
            <w:pPr>
              <w:jc w:val="right"/>
              <w:spacing w:after="0"/>
              <w:rPr>
                <w:sz w:val="20"/>
                <w:szCs w:val="20"/>
                <w:color w:val="auto"/>
              </w:rPr>
            </w:pPr>
            <w:r>
              <w:rPr>
                <w:rFonts w:ascii="Arial" w:cs="Arial" w:eastAsia="Arial" w:hAnsi="Arial"/>
                <w:sz w:val="10"/>
                <w:szCs w:val="10"/>
                <w:color w:val="auto"/>
              </w:rPr>
              <w:t>10, 236</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B.</w:t>
            </w:r>
          </w:p>
        </w:tc>
        <w:tc>
          <w:tcPr>
            <w:tcW w:w="3420" w:type="dxa"/>
            <w:vAlign w:val="bottom"/>
          </w:tcPr>
          <w:p>
            <w:pPr>
              <w:ind w:left="120"/>
              <w:spacing w:after="0"/>
              <w:rPr>
                <w:sz w:val="20"/>
                <w:szCs w:val="20"/>
                <w:color w:val="auto"/>
              </w:rPr>
            </w:pPr>
            <w:r>
              <w:rPr>
                <w:rFonts w:ascii="Arial" w:cs="Arial" w:eastAsia="Arial" w:hAnsi="Arial"/>
                <w:sz w:val="10"/>
                <w:szCs w:val="10"/>
                <w:color w:val="auto"/>
              </w:rPr>
              <w:t>Capitalization and indebtedness</w:t>
            </w:r>
          </w:p>
        </w:tc>
        <w:tc>
          <w:tcPr>
            <w:tcW w:w="66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C.</w:t>
            </w:r>
          </w:p>
        </w:tc>
        <w:tc>
          <w:tcPr>
            <w:tcW w:w="3420" w:type="dxa"/>
            <w:vAlign w:val="bottom"/>
          </w:tcPr>
          <w:p>
            <w:pPr>
              <w:ind w:left="120"/>
              <w:spacing w:after="0"/>
              <w:rPr>
                <w:sz w:val="20"/>
                <w:szCs w:val="20"/>
                <w:color w:val="auto"/>
              </w:rPr>
            </w:pPr>
            <w:r>
              <w:rPr>
                <w:rFonts w:ascii="Arial" w:cs="Arial" w:eastAsia="Arial" w:hAnsi="Arial"/>
                <w:sz w:val="10"/>
                <w:szCs w:val="10"/>
                <w:color w:val="auto"/>
              </w:rPr>
              <w:t>Reasons for the offer and use of proceeds</w:t>
            </w:r>
          </w:p>
        </w:tc>
        <w:tc>
          <w:tcPr>
            <w:tcW w:w="66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D.</w:t>
            </w:r>
          </w:p>
        </w:tc>
        <w:tc>
          <w:tcPr>
            <w:tcW w:w="3420" w:type="dxa"/>
            <w:vAlign w:val="bottom"/>
          </w:tcPr>
          <w:p>
            <w:pPr>
              <w:ind w:left="120"/>
              <w:spacing w:after="0"/>
              <w:rPr>
                <w:sz w:val="20"/>
                <w:szCs w:val="20"/>
                <w:color w:val="auto"/>
              </w:rPr>
            </w:pPr>
            <w:r>
              <w:rPr>
                <w:rFonts w:ascii="Arial" w:cs="Arial" w:eastAsia="Arial" w:hAnsi="Arial"/>
                <w:sz w:val="10"/>
                <w:szCs w:val="10"/>
                <w:color w:val="auto"/>
              </w:rPr>
              <w:t>Risk factors</w:t>
            </w:r>
          </w:p>
        </w:tc>
        <w:tc>
          <w:tcPr>
            <w:tcW w:w="6600" w:type="dxa"/>
            <w:vAlign w:val="bottom"/>
          </w:tcPr>
          <w:p>
            <w:pPr>
              <w:jc w:val="right"/>
              <w:spacing w:after="0"/>
              <w:rPr>
                <w:sz w:val="20"/>
                <w:szCs w:val="20"/>
                <w:color w:val="auto"/>
              </w:rPr>
            </w:pPr>
            <w:r>
              <w:rPr>
                <w:rFonts w:ascii="Arial" w:cs="Arial" w:eastAsia="Arial" w:hAnsi="Arial"/>
                <w:sz w:val="10"/>
                <w:szCs w:val="10"/>
                <w:color w:val="auto"/>
              </w:rPr>
              <w:t>18-22</w:t>
            </w:r>
          </w:p>
        </w:tc>
      </w:tr>
      <w:tr>
        <w:trPr>
          <w:trHeight w:val="126"/>
        </w:trPr>
        <w:tc>
          <w:tcPr>
            <w:tcW w:w="660" w:type="dxa"/>
            <w:vAlign w:val="bottom"/>
          </w:tcPr>
          <w:p>
            <w:pPr>
              <w:spacing w:after="0"/>
              <w:rPr>
                <w:sz w:val="20"/>
                <w:szCs w:val="20"/>
                <w:color w:val="auto"/>
              </w:rPr>
            </w:pPr>
            <w:r>
              <w:rPr>
                <w:rFonts w:ascii="Arial" w:cs="Arial" w:eastAsia="Arial" w:hAnsi="Arial"/>
                <w:sz w:val="10"/>
                <w:szCs w:val="10"/>
                <w:color w:val="auto"/>
              </w:rPr>
              <w:t>Item 4.</w:t>
            </w:r>
          </w:p>
        </w:tc>
        <w:tc>
          <w:tcPr>
            <w:tcW w:w="4040" w:type="dxa"/>
            <w:vAlign w:val="bottom"/>
            <w:gridSpan w:val="2"/>
          </w:tcPr>
          <w:p>
            <w:pPr>
              <w:ind w:left="340"/>
              <w:spacing w:after="0"/>
              <w:rPr>
                <w:sz w:val="20"/>
                <w:szCs w:val="20"/>
                <w:color w:val="auto"/>
              </w:rPr>
            </w:pPr>
            <w:r>
              <w:rPr>
                <w:rFonts w:ascii="Arial" w:cs="Arial" w:eastAsia="Arial" w:hAnsi="Arial"/>
                <w:sz w:val="10"/>
                <w:szCs w:val="10"/>
                <w:color w:val="auto"/>
              </w:rPr>
              <w:t>Information on the Company</w:t>
            </w:r>
          </w:p>
        </w:tc>
        <w:tc>
          <w:tcPr>
            <w:tcW w:w="6600" w:type="dxa"/>
            <w:vAlign w:val="bottom"/>
          </w:tcPr>
          <w:p>
            <w:pPr>
              <w:spacing w:after="0"/>
              <w:rPr>
                <w:sz w:val="10"/>
                <w:szCs w:val="10"/>
                <w:color w:val="auto"/>
              </w:rPr>
            </w:pP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A.</w:t>
            </w:r>
          </w:p>
        </w:tc>
        <w:tc>
          <w:tcPr>
            <w:tcW w:w="3420" w:type="dxa"/>
            <w:vAlign w:val="bottom"/>
          </w:tcPr>
          <w:p>
            <w:pPr>
              <w:ind w:left="120"/>
              <w:spacing w:after="0"/>
              <w:rPr>
                <w:sz w:val="20"/>
                <w:szCs w:val="20"/>
                <w:color w:val="auto"/>
              </w:rPr>
            </w:pPr>
            <w:r>
              <w:rPr>
                <w:rFonts w:ascii="Arial" w:cs="Arial" w:eastAsia="Arial" w:hAnsi="Arial"/>
                <w:sz w:val="10"/>
                <w:szCs w:val="10"/>
                <w:color w:val="auto"/>
              </w:rPr>
              <w:t>History and development of the company</w:t>
            </w:r>
          </w:p>
        </w:tc>
        <w:tc>
          <w:tcPr>
            <w:tcW w:w="6600" w:type="dxa"/>
            <w:vAlign w:val="bottom"/>
          </w:tcPr>
          <w:p>
            <w:pPr>
              <w:jc w:val="right"/>
              <w:spacing w:after="0"/>
              <w:rPr>
                <w:sz w:val="20"/>
                <w:szCs w:val="20"/>
                <w:color w:val="auto"/>
              </w:rPr>
            </w:pPr>
            <w:r>
              <w:rPr>
                <w:rFonts w:ascii="Arial" w:cs="Arial" w:eastAsia="Arial" w:hAnsi="Arial"/>
                <w:sz w:val="10"/>
                <w:szCs w:val="10"/>
                <w:color w:val="auto"/>
              </w:rPr>
              <w:t>9, 11-17, 26-27, 30-42, 51-54, 57-65, 235, 240-242</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B.</w:t>
            </w:r>
          </w:p>
        </w:tc>
        <w:tc>
          <w:tcPr>
            <w:tcW w:w="3420" w:type="dxa"/>
            <w:vAlign w:val="bottom"/>
          </w:tcPr>
          <w:p>
            <w:pPr>
              <w:ind w:left="120"/>
              <w:spacing w:after="0"/>
              <w:rPr>
                <w:sz w:val="20"/>
                <w:szCs w:val="20"/>
                <w:color w:val="auto"/>
              </w:rPr>
            </w:pPr>
            <w:r>
              <w:rPr>
                <w:rFonts w:ascii="Arial" w:cs="Arial" w:eastAsia="Arial" w:hAnsi="Arial"/>
                <w:sz w:val="10"/>
                <w:szCs w:val="10"/>
                <w:color w:val="auto"/>
              </w:rPr>
              <w:t>Business overview</w:t>
            </w:r>
          </w:p>
        </w:tc>
        <w:tc>
          <w:tcPr>
            <w:tcW w:w="6600" w:type="dxa"/>
            <w:vAlign w:val="bottom"/>
          </w:tcPr>
          <w:p>
            <w:pPr>
              <w:jc w:val="right"/>
              <w:spacing w:after="0"/>
              <w:rPr>
                <w:sz w:val="20"/>
                <w:szCs w:val="20"/>
                <w:color w:val="auto"/>
              </w:rPr>
            </w:pPr>
            <w:r>
              <w:rPr>
                <w:rFonts w:ascii="Arial" w:cs="Arial" w:eastAsia="Arial" w:hAnsi="Arial"/>
                <w:sz w:val="10"/>
                <w:szCs w:val="10"/>
                <w:color w:val="auto"/>
              </w:rPr>
              <w:t>11-27, 30-60, 65-72, 211-228, 239</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C.</w:t>
            </w:r>
          </w:p>
        </w:tc>
        <w:tc>
          <w:tcPr>
            <w:tcW w:w="3420" w:type="dxa"/>
            <w:vAlign w:val="bottom"/>
          </w:tcPr>
          <w:p>
            <w:pPr>
              <w:ind w:left="120"/>
              <w:spacing w:after="0"/>
              <w:rPr>
                <w:sz w:val="20"/>
                <w:szCs w:val="20"/>
                <w:color w:val="auto"/>
              </w:rPr>
            </w:pPr>
            <w:r>
              <w:rPr>
                <w:rFonts w:ascii="Arial" w:cs="Arial" w:eastAsia="Arial" w:hAnsi="Arial"/>
                <w:sz w:val="10"/>
                <w:szCs w:val="10"/>
                <w:color w:val="auto"/>
              </w:rPr>
              <w:t>Organizational structure</w:t>
            </w:r>
          </w:p>
        </w:tc>
        <w:tc>
          <w:tcPr>
            <w:tcW w:w="6600" w:type="dxa"/>
            <w:vAlign w:val="bottom"/>
          </w:tcPr>
          <w:p>
            <w:pPr>
              <w:jc w:val="right"/>
              <w:spacing w:after="0"/>
              <w:rPr>
                <w:sz w:val="20"/>
                <w:szCs w:val="20"/>
                <w:color w:val="auto"/>
              </w:rPr>
            </w:pPr>
            <w:r>
              <w:rPr>
                <w:rFonts w:ascii="Arial" w:cs="Arial" w:eastAsia="Arial" w:hAnsi="Arial"/>
                <w:sz w:val="10"/>
                <w:szCs w:val="10"/>
                <w:color w:val="auto"/>
              </w:rPr>
              <w:t>11-13, Exhibit 8.1</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D.</w:t>
            </w:r>
          </w:p>
        </w:tc>
        <w:tc>
          <w:tcPr>
            <w:tcW w:w="3420" w:type="dxa"/>
            <w:vAlign w:val="bottom"/>
          </w:tcPr>
          <w:p>
            <w:pPr>
              <w:ind w:left="120"/>
              <w:spacing w:after="0"/>
              <w:rPr>
                <w:sz w:val="20"/>
                <w:szCs w:val="20"/>
                <w:color w:val="auto"/>
              </w:rPr>
            </w:pPr>
            <w:r>
              <w:rPr>
                <w:rFonts w:ascii="Arial" w:cs="Arial" w:eastAsia="Arial" w:hAnsi="Arial"/>
                <w:sz w:val="10"/>
                <w:szCs w:val="10"/>
                <w:color w:val="auto"/>
              </w:rPr>
              <w:t>Property, plants and equipment</w:t>
            </w:r>
          </w:p>
        </w:tc>
        <w:tc>
          <w:tcPr>
            <w:tcW w:w="6600" w:type="dxa"/>
            <w:vAlign w:val="bottom"/>
          </w:tcPr>
          <w:p>
            <w:pPr>
              <w:jc w:val="right"/>
              <w:spacing w:after="0"/>
              <w:rPr>
                <w:sz w:val="20"/>
                <w:szCs w:val="20"/>
                <w:color w:val="auto"/>
              </w:rPr>
            </w:pPr>
            <w:r>
              <w:rPr>
                <w:rFonts w:ascii="Arial" w:cs="Arial" w:eastAsia="Arial" w:hAnsi="Arial"/>
                <w:sz w:val="10"/>
                <w:szCs w:val="10"/>
                <w:color w:val="auto"/>
              </w:rPr>
              <w:t>11-13, 18-22, 26-27, 30-60, 65-72, 211-228</w:t>
            </w:r>
          </w:p>
        </w:tc>
      </w:tr>
      <w:tr>
        <w:trPr>
          <w:trHeight w:val="126"/>
        </w:trPr>
        <w:tc>
          <w:tcPr>
            <w:tcW w:w="660" w:type="dxa"/>
            <w:vAlign w:val="bottom"/>
          </w:tcPr>
          <w:p>
            <w:pPr>
              <w:spacing w:after="0"/>
              <w:rPr>
                <w:sz w:val="20"/>
                <w:szCs w:val="20"/>
                <w:color w:val="auto"/>
              </w:rPr>
            </w:pPr>
            <w:r>
              <w:rPr>
                <w:rFonts w:ascii="Arial" w:cs="Arial" w:eastAsia="Arial" w:hAnsi="Arial"/>
                <w:sz w:val="10"/>
                <w:szCs w:val="10"/>
                <w:color w:val="auto"/>
              </w:rPr>
              <w:t>Item 4A.</w:t>
            </w:r>
          </w:p>
        </w:tc>
        <w:tc>
          <w:tcPr>
            <w:tcW w:w="4040" w:type="dxa"/>
            <w:vAlign w:val="bottom"/>
            <w:gridSpan w:val="2"/>
          </w:tcPr>
          <w:p>
            <w:pPr>
              <w:ind w:left="340"/>
              <w:spacing w:after="0"/>
              <w:rPr>
                <w:sz w:val="20"/>
                <w:szCs w:val="20"/>
                <w:color w:val="auto"/>
              </w:rPr>
            </w:pPr>
            <w:r>
              <w:rPr>
                <w:rFonts w:ascii="Arial" w:cs="Arial" w:eastAsia="Arial" w:hAnsi="Arial"/>
                <w:sz w:val="10"/>
                <w:szCs w:val="10"/>
                <w:color w:val="auto"/>
              </w:rPr>
              <w:t>Unresolved Staff Comments</w:t>
            </w:r>
          </w:p>
        </w:tc>
        <w:tc>
          <w:tcPr>
            <w:tcW w:w="66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660" w:type="dxa"/>
            <w:vAlign w:val="bottom"/>
          </w:tcPr>
          <w:p>
            <w:pPr>
              <w:spacing w:after="0"/>
              <w:rPr>
                <w:sz w:val="20"/>
                <w:szCs w:val="20"/>
                <w:color w:val="auto"/>
              </w:rPr>
            </w:pPr>
            <w:r>
              <w:rPr>
                <w:rFonts w:ascii="Arial" w:cs="Arial" w:eastAsia="Arial" w:hAnsi="Arial"/>
                <w:sz w:val="10"/>
                <w:szCs w:val="10"/>
                <w:color w:val="auto"/>
              </w:rPr>
              <w:t>Item 5.</w:t>
            </w:r>
          </w:p>
        </w:tc>
        <w:tc>
          <w:tcPr>
            <w:tcW w:w="4040" w:type="dxa"/>
            <w:vAlign w:val="bottom"/>
            <w:gridSpan w:val="2"/>
          </w:tcPr>
          <w:p>
            <w:pPr>
              <w:ind w:left="340"/>
              <w:spacing w:after="0"/>
              <w:rPr>
                <w:sz w:val="20"/>
                <w:szCs w:val="20"/>
                <w:color w:val="auto"/>
              </w:rPr>
            </w:pPr>
            <w:r>
              <w:rPr>
                <w:rFonts w:ascii="Arial" w:cs="Arial" w:eastAsia="Arial" w:hAnsi="Arial"/>
                <w:sz w:val="10"/>
                <w:szCs w:val="10"/>
                <w:color w:val="auto"/>
              </w:rPr>
              <w:t>Operating and Financial Review and Prospects</w:t>
            </w:r>
          </w:p>
        </w:tc>
        <w:tc>
          <w:tcPr>
            <w:tcW w:w="6600" w:type="dxa"/>
            <w:vAlign w:val="bottom"/>
          </w:tcPr>
          <w:p>
            <w:pPr>
              <w:spacing w:after="0"/>
              <w:rPr>
                <w:sz w:val="10"/>
                <w:szCs w:val="10"/>
                <w:color w:val="auto"/>
              </w:rPr>
            </w:pP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A.</w:t>
            </w:r>
          </w:p>
        </w:tc>
        <w:tc>
          <w:tcPr>
            <w:tcW w:w="3420" w:type="dxa"/>
            <w:vAlign w:val="bottom"/>
          </w:tcPr>
          <w:p>
            <w:pPr>
              <w:ind w:left="120"/>
              <w:spacing w:after="0"/>
              <w:rPr>
                <w:sz w:val="20"/>
                <w:szCs w:val="20"/>
                <w:color w:val="auto"/>
              </w:rPr>
            </w:pPr>
            <w:r>
              <w:rPr>
                <w:rFonts w:ascii="Arial" w:cs="Arial" w:eastAsia="Arial" w:hAnsi="Arial"/>
                <w:sz w:val="10"/>
                <w:szCs w:val="10"/>
                <w:color w:val="auto"/>
              </w:rPr>
              <w:t>Operating results</w:t>
            </w:r>
          </w:p>
        </w:tc>
        <w:tc>
          <w:tcPr>
            <w:tcW w:w="6600" w:type="dxa"/>
            <w:vAlign w:val="bottom"/>
          </w:tcPr>
          <w:p>
            <w:pPr>
              <w:jc w:val="right"/>
              <w:spacing w:after="0"/>
              <w:rPr>
                <w:sz w:val="20"/>
                <w:szCs w:val="20"/>
                <w:color w:val="auto"/>
              </w:rPr>
            </w:pPr>
            <w:r>
              <w:rPr>
                <w:rFonts w:ascii="Arial" w:cs="Arial" w:eastAsia="Arial" w:hAnsi="Arial"/>
                <w:sz w:val="10"/>
                <w:szCs w:val="10"/>
                <w:color w:val="auto"/>
              </w:rPr>
              <w:t>18-22, 26-64, 197-201</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B.</w:t>
            </w:r>
          </w:p>
        </w:tc>
        <w:tc>
          <w:tcPr>
            <w:tcW w:w="3420" w:type="dxa"/>
            <w:vAlign w:val="bottom"/>
          </w:tcPr>
          <w:p>
            <w:pPr>
              <w:ind w:left="120"/>
              <w:spacing w:after="0"/>
              <w:rPr>
                <w:sz w:val="20"/>
                <w:szCs w:val="20"/>
                <w:color w:val="auto"/>
              </w:rPr>
            </w:pPr>
            <w:r>
              <w:rPr>
                <w:rFonts w:ascii="Arial" w:cs="Arial" w:eastAsia="Arial" w:hAnsi="Arial"/>
                <w:sz w:val="10"/>
                <w:szCs w:val="10"/>
                <w:color w:val="auto"/>
              </w:rPr>
              <w:t>Liquidity and capital resources</w:t>
            </w:r>
          </w:p>
        </w:tc>
        <w:tc>
          <w:tcPr>
            <w:tcW w:w="6600" w:type="dxa"/>
            <w:vAlign w:val="bottom"/>
          </w:tcPr>
          <w:p>
            <w:pPr>
              <w:jc w:val="right"/>
              <w:spacing w:after="0"/>
              <w:rPr>
                <w:sz w:val="20"/>
                <w:szCs w:val="20"/>
                <w:color w:val="auto"/>
              </w:rPr>
            </w:pPr>
            <w:r>
              <w:rPr>
                <w:rFonts w:ascii="Arial" w:cs="Arial" w:eastAsia="Arial" w:hAnsi="Arial"/>
                <w:sz w:val="10"/>
                <w:szCs w:val="10"/>
                <w:color w:val="auto"/>
              </w:rPr>
              <w:t>12, 19, 26-27, 30-31, 36-37, 51-52, 57-58, 60-64, 174-176, 187-190, 198-202</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C.</w:t>
            </w:r>
          </w:p>
        </w:tc>
        <w:tc>
          <w:tcPr>
            <w:tcW w:w="3420" w:type="dxa"/>
            <w:vAlign w:val="bottom"/>
          </w:tcPr>
          <w:p>
            <w:pPr>
              <w:ind w:left="120"/>
              <w:spacing w:after="0"/>
              <w:rPr>
                <w:sz w:val="20"/>
                <w:szCs w:val="20"/>
                <w:color w:val="auto"/>
              </w:rPr>
            </w:pPr>
            <w:r>
              <w:rPr>
                <w:rFonts w:ascii="Arial" w:cs="Arial" w:eastAsia="Arial" w:hAnsi="Arial"/>
                <w:sz w:val="10"/>
                <w:szCs w:val="10"/>
                <w:color w:val="auto"/>
              </w:rPr>
              <w:t>Research and development, patents and licences, etc.</w:t>
            </w:r>
          </w:p>
        </w:tc>
        <w:tc>
          <w:tcPr>
            <w:tcW w:w="6600" w:type="dxa"/>
            <w:vAlign w:val="bottom"/>
          </w:tcPr>
          <w:p>
            <w:pPr>
              <w:jc w:val="right"/>
              <w:spacing w:after="0"/>
              <w:rPr>
                <w:sz w:val="20"/>
                <w:szCs w:val="20"/>
                <w:color w:val="auto"/>
              </w:rPr>
            </w:pPr>
            <w:r>
              <w:rPr>
                <w:rFonts w:ascii="Arial" w:cs="Arial" w:eastAsia="Arial" w:hAnsi="Arial"/>
                <w:sz w:val="10"/>
                <w:szCs w:val="10"/>
                <w:color w:val="auto"/>
              </w:rPr>
              <w:t>13</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D.</w:t>
            </w:r>
          </w:p>
        </w:tc>
        <w:tc>
          <w:tcPr>
            <w:tcW w:w="3420" w:type="dxa"/>
            <w:vAlign w:val="bottom"/>
          </w:tcPr>
          <w:p>
            <w:pPr>
              <w:ind w:left="120"/>
              <w:spacing w:after="0"/>
              <w:rPr>
                <w:sz w:val="20"/>
                <w:szCs w:val="20"/>
                <w:color w:val="auto"/>
              </w:rPr>
            </w:pPr>
            <w:r>
              <w:rPr>
                <w:rFonts w:ascii="Arial" w:cs="Arial" w:eastAsia="Arial" w:hAnsi="Arial"/>
                <w:sz w:val="10"/>
                <w:szCs w:val="10"/>
                <w:color w:val="auto"/>
              </w:rPr>
              <w:t>Trend information</w:t>
            </w:r>
          </w:p>
        </w:tc>
        <w:tc>
          <w:tcPr>
            <w:tcW w:w="6600" w:type="dxa"/>
            <w:vAlign w:val="bottom"/>
          </w:tcPr>
          <w:p>
            <w:pPr>
              <w:jc w:val="right"/>
              <w:spacing w:after="0"/>
              <w:rPr>
                <w:sz w:val="20"/>
                <w:szCs w:val="20"/>
                <w:color w:val="auto"/>
              </w:rPr>
            </w:pPr>
            <w:r>
              <w:rPr>
                <w:rFonts w:ascii="Arial" w:cs="Arial" w:eastAsia="Arial" w:hAnsi="Arial"/>
                <w:sz w:val="10"/>
                <w:szCs w:val="10"/>
                <w:color w:val="auto"/>
              </w:rPr>
              <w:t>13, 18-43, 51-54, 57-59, 65-86</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E.</w:t>
            </w:r>
          </w:p>
        </w:tc>
        <w:tc>
          <w:tcPr>
            <w:tcW w:w="3420" w:type="dxa"/>
            <w:vAlign w:val="bottom"/>
          </w:tcPr>
          <w:p>
            <w:pPr>
              <w:ind w:left="120"/>
              <w:spacing w:after="0"/>
              <w:rPr>
                <w:sz w:val="20"/>
                <w:szCs w:val="20"/>
                <w:color w:val="auto"/>
              </w:rPr>
            </w:pPr>
            <w:r>
              <w:rPr>
                <w:rFonts w:ascii="Arial" w:cs="Arial" w:eastAsia="Arial" w:hAnsi="Arial"/>
                <w:sz w:val="10"/>
                <w:szCs w:val="10"/>
                <w:color w:val="auto"/>
              </w:rPr>
              <w:t>Off-balance sheet arrangements</w:t>
            </w:r>
          </w:p>
        </w:tc>
        <w:tc>
          <w:tcPr>
            <w:tcW w:w="6600" w:type="dxa"/>
            <w:vAlign w:val="bottom"/>
          </w:tcPr>
          <w:p>
            <w:pPr>
              <w:jc w:val="right"/>
              <w:spacing w:after="0"/>
              <w:rPr>
                <w:sz w:val="20"/>
                <w:szCs w:val="20"/>
                <w:color w:val="auto"/>
              </w:rPr>
            </w:pPr>
            <w:r>
              <w:rPr>
                <w:rFonts w:ascii="Arial" w:cs="Arial" w:eastAsia="Arial" w:hAnsi="Arial"/>
                <w:sz w:val="10"/>
                <w:szCs w:val="10"/>
                <w:color w:val="auto"/>
              </w:rPr>
              <w:t>64</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F.</w:t>
            </w:r>
          </w:p>
        </w:tc>
        <w:tc>
          <w:tcPr>
            <w:tcW w:w="3420" w:type="dxa"/>
            <w:vAlign w:val="bottom"/>
          </w:tcPr>
          <w:p>
            <w:pPr>
              <w:ind w:left="120"/>
              <w:spacing w:after="0"/>
              <w:rPr>
                <w:sz w:val="20"/>
                <w:szCs w:val="20"/>
                <w:color w:val="auto"/>
              </w:rPr>
            </w:pPr>
            <w:r>
              <w:rPr>
                <w:rFonts w:ascii="Arial" w:cs="Arial" w:eastAsia="Arial" w:hAnsi="Arial"/>
                <w:sz w:val="10"/>
                <w:szCs w:val="10"/>
                <w:color w:val="auto"/>
              </w:rPr>
              <w:t>Tabular disclosure of contractual obligations</w:t>
            </w:r>
          </w:p>
        </w:tc>
        <w:tc>
          <w:tcPr>
            <w:tcW w:w="6600" w:type="dxa"/>
            <w:vAlign w:val="bottom"/>
          </w:tcPr>
          <w:p>
            <w:pPr>
              <w:jc w:val="right"/>
              <w:spacing w:after="0"/>
              <w:rPr>
                <w:sz w:val="20"/>
                <w:szCs w:val="20"/>
                <w:color w:val="auto"/>
              </w:rPr>
            </w:pPr>
            <w:r>
              <w:rPr>
                <w:rFonts w:ascii="Arial" w:cs="Arial" w:eastAsia="Arial" w:hAnsi="Arial"/>
                <w:sz w:val="10"/>
                <w:szCs w:val="10"/>
                <w:color w:val="auto"/>
              </w:rPr>
              <w:t>63-64</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G.</w:t>
            </w:r>
          </w:p>
        </w:tc>
        <w:tc>
          <w:tcPr>
            <w:tcW w:w="3420" w:type="dxa"/>
            <w:vAlign w:val="bottom"/>
          </w:tcPr>
          <w:p>
            <w:pPr>
              <w:ind w:left="120"/>
              <w:spacing w:after="0"/>
              <w:rPr>
                <w:sz w:val="20"/>
                <w:szCs w:val="20"/>
                <w:color w:val="auto"/>
              </w:rPr>
            </w:pPr>
            <w:r>
              <w:rPr>
                <w:rFonts w:ascii="Arial" w:cs="Arial" w:eastAsia="Arial" w:hAnsi="Arial"/>
                <w:sz w:val="10"/>
                <w:szCs w:val="10"/>
                <w:color w:val="auto"/>
              </w:rPr>
              <w:t>Safe harbor</w:t>
            </w:r>
          </w:p>
        </w:tc>
        <w:tc>
          <w:tcPr>
            <w:tcW w:w="6600" w:type="dxa"/>
            <w:vAlign w:val="bottom"/>
          </w:tcPr>
          <w:p>
            <w:pPr>
              <w:jc w:val="right"/>
              <w:spacing w:after="0"/>
              <w:rPr>
                <w:sz w:val="20"/>
                <w:szCs w:val="20"/>
                <w:color w:val="auto"/>
              </w:rPr>
            </w:pPr>
            <w:r>
              <w:rPr>
                <w:rFonts w:ascii="Arial" w:cs="Arial" w:eastAsia="Arial" w:hAnsi="Arial"/>
                <w:sz w:val="10"/>
                <w:szCs w:val="10"/>
                <w:color w:val="auto"/>
              </w:rPr>
              <w:t>8-9</w:t>
            </w:r>
          </w:p>
        </w:tc>
      </w:tr>
      <w:tr>
        <w:trPr>
          <w:trHeight w:val="126"/>
        </w:trPr>
        <w:tc>
          <w:tcPr>
            <w:tcW w:w="660" w:type="dxa"/>
            <w:vAlign w:val="bottom"/>
          </w:tcPr>
          <w:p>
            <w:pPr>
              <w:spacing w:after="0"/>
              <w:rPr>
                <w:sz w:val="20"/>
                <w:szCs w:val="20"/>
                <w:color w:val="auto"/>
              </w:rPr>
            </w:pPr>
            <w:r>
              <w:rPr>
                <w:rFonts w:ascii="Arial" w:cs="Arial" w:eastAsia="Arial" w:hAnsi="Arial"/>
                <w:sz w:val="10"/>
                <w:szCs w:val="10"/>
                <w:color w:val="auto"/>
              </w:rPr>
              <w:t>Item 6.</w:t>
            </w:r>
          </w:p>
        </w:tc>
        <w:tc>
          <w:tcPr>
            <w:tcW w:w="4040" w:type="dxa"/>
            <w:vAlign w:val="bottom"/>
            <w:gridSpan w:val="2"/>
          </w:tcPr>
          <w:p>
            <w:pPr>
              <w:ind w:left="340"/>
              <w:spacing w:after="0"/>
              <w:rPr>
                <w:sz w:val="20"/>
                <w:szCs w:val="20"/>
                <w:color w:val="auto"/>
              </w:rPr>
            </w:pPr>
            <w:r>
              <w:rPr>
                <w:rFonts w:ascii="Arial" w:cs="Arial" w:eastAsia="Arial" w:hAnsi="Arial"/>
                <w:sz w:val="10"/>
                <w:szCs w:val="10"/>
                <w:color w:val="auto"/>
              </w:rPr>
              <w:t>Directors, Senior Management and Employees</w:t>
            </w:r>
          </w:p>
        </w:tc>
        <w:tc>
          <w:tcPr>
            <w:tcW w:w="6600" w:type="dxa"/>
            <w:vAlign w:val="bottom"/>
          </w:tcPr>
          <w:p>
            <w:pPr>
              <w:spacing w:after="0"/>
              <w:rPr>
                <w:sz w:val="10"/>
                <w:szCs w:val="10"/>
                <w:color w:val="auto"/>
              </w:rPr>
            </w:pP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A.</w:t>
            </w:r>
          </w:p>
        </w:tc>
        <w:tc>
          <w:tcPr>
            <w:tcW w:w="3420" w:type="dxa"/>
            <w:vAlign w:val="bottom"/>
          </w:tcPr>
          <w:p>
            <w:pPr>
              <w:ind w:left="120"/>
              <w:spacing w:after="0"/>
              <w:rPr>
                <w:sz w:val="20"/>
                <w:szCs w:val="20"/>
                <w:color w:val="auto"/>
              </w:rPr>
            </w:pPr>
            <w:r>
              <w:rPr>
                <w:rFonts w:ascii="Arial" w:cs="Arial" w:eastAsia="Arial" w:hAnsi="Arial"/>
                <w:sz w:val="10"/>
                <w:szCs w:val="10"/>
                <w:color w:val="auto"/>
              </w:rPr>
              <w:t>Directors and senior management</w:t>
            </w:r>
          </w:p>
        </w:tc>
        <w:tc>
          <w:tcPr>
            <w:tcW w:w="6600" w:type="dxa"/>
            <w:vAlign w:val="bottom"/>
          </w:tcPr>
          <w:p>
            <w:pPr>
              <w:jc w:val="right"/>
              <w:spacing w:after="0"/>
              <w:rPr>
                <w:sz w:val="20"/>
                <w:szCs w:val="20"/>
                <w:color w:val="auto"/>
              </w:rPr>
            </w:pPr>
            <w:r>
              <w:rPr>
                <w:rFonts w:ascii="Arial" w:cs="Arial" w:eastAsia="Arial" w:hAnsi="Arial"/>
                <w:sz w:val="10"/>
                <w:szCs w:val="10"/>
                <w:color w:val="auto"/>
              </w:rPr>
              <w:t>89-95, 150-153</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B.</w:t>
            </w:r>
          </w:p>
        </w:tc>
        <w:tc>
          <w:tcPr>
            <w:tcW w:w="3420" w:type="dxa"/>
            <w:vAlign w:val="bottom"/>
          </w:tcPr>
          <w:p>
            <w:pPr>
              <w:ind w:left="120"/>
              <w:spacing w:after="0"/>
              <w:rPr>
                <w:sz w:val="20"/>
                <w:szCs w:val="20"/>
                <w:color w:val="auto"/>
              </w:rPr>
            </w:pPr>
            <w:r>
              <w:rPr>
                <w:rFonts w:ascii="Arial" w:cs="Arial" w:eastAsia="Arial" w:hAnsi="Arial"/>
                <w:sz w:val="10"/>
                <w:szCs w:val="10"/>
                <w:color w:val="auto"/>
              </w:rPr>
              <w:t>Compensation</w:t>
            </w:r>
          </w:p>
        </w:tc>
        <w:tc>
          <w:tcPr>
            <w:tcW w:w="6600" w:type="dxa"/>
            <w:vAlign w:val="bottom"/>
          </w:tcPr>
          <w:p>
            <w:pPr>
              <w:jc w:val="right"/>
              <w:spacing w:after="0"/>
              <w:rPr>
                <w:sz w:val="20"/>
                <w:szCs w:val="20"/>
                <w:color w:val="auto"/>
              </w:rPr>
            </w:pPr>
            <w:r>
              <w:rPr>
                <w:rFonts w:ascii="Arial" w:cs="Arial" w:eastAsia="Arial" w:hAnsi="Arial"/>
                <w:sz w:val="10"/>
                <w:szCs w:val="10"/>
                <w:color w:val="auto"/>
              </w:rPr>
              <w:t>146-147, 209</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C.</w:t>
            </w:r>
          </w:p>
        </w:tc>
        <w:tc>
          <w:tcPr>
            <w:tcW w:w="3420" w:type="dxa"/>
            <w:vAlign w:val="bottom"/>
          </w:tcPr>
          <w:p>
            <w:pPr>
              <w:ind w:left="120"/>
              <w:spacing w:after="0"/>
              <w:rPr>
                <w:sz w:val="20"/>
                <w:szCs w:val="20"/>
                <w:color w:val="auto"/>
              </w:rPr>
            </w:pPr>
            <w:r>
              <w:rPr>
                <w:rFonts w:ascii="Arial" w:cs="Arial" w:eastAsia="Arial" w:hAnsi="Arial"/>
                <w:sz w:val="10"/>
                <w:szCs w:val="10"/>
                <w:color w:val="auto"/>
              </w:rPr>
              <w:t>Board practices</w:t>
            </w:r>
          </w:p>
        </w:tc>
        <w:tc>
          <w:tcPr>
            <w:tcW w:w="6600" w:type="dxa"/>
            <w:vAlign w:val="bottom"/>
          </w:tcPr>
          <w:p>
            <w:pPr>
              <w:jc w:val="right"/>
              <w:spacing w:after="0"/>
              <w:rPr>
                <w:sz w:val="20"/>
                <w:szCs w:val="20"/>
                <w:color w:val="auto"/>
              </w:rPr>
            </w:pPr>
            <w:r>
              <w:rPr>
                <w:rFonts w:ascii="Arial" w:cs="Arial" w:eastAsia="Arial" w:hAnsi="Arial"/>
                <w:sz w:val="10"/>
                <w:szCs w:val="10"/>
                <w:color w:val="auto"/>
              </w:rPr>
              <w:t>89-136, 149-157</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D.</w:t>
            </w:r>
          </w:p>
        </w:tc>
        <w:tc>
          <w:tcPr>
            <w:tcW w:w="3420" w:type="dxa"/>
            <w:vAlign w:val="bottom"/>
          </w:tcPr>
          <w:p>
            <w:pPr>
              <w:ind w:left="120"/>
              <w:spacing w:after="0"/>
              <w:rPr>
                <w:sz w:val="20"/>
                <w:szCs w:val="20"/>
                <w:color w:val="auto"/>
              </w:rPr>
            </w:pPr>
            <w:r>
              <w:rPr>
                <w:rFonts w:ascii="Arial" w:cs="Arial" w:eastAsia="Arial" w:hAnsi="Arial"/>
                <w:sz w:val="10"/>
                <w:szCs w:val="10"/>
                <w:color w:val="auto"/>
              </w:rPr>
              <w:t>Employees</w:t>
            </w:r>
          </w:p>
        </w:tc>
        <w:tc>
          <w:tcPr>
            <w:tcW w:w="6600" w:type="dxa"/>
            <w:vAlign w:val="bottom"/>
          </w:tcPr>
          <w:p>
            <w:pPr>
              <w:jc w:val="right"/>
              <w:spacing w:after="0"/>
              <w:rPr>
                <w:sz w:val="20"/>
                <w:szCs w:val="20"/>
                <w:color w:val="auto"/>
              </w:rPr>
            </w:pPr>
            <w:r>
              <w:rPr>
                <w:rFonts w:ascii="Arial" w:cs="Arial" w:eastAsia="Arial" w:hAnsi="Arial"/>
                <w:sz w:val="10"/>
                <w:szCs w:val="10"/>
                <w:color w:val="auto"/>
              </w:rPr>
              <w:t>86-88, 208-209</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E.</w:t>
            </w:r>
          </w:p>
        </w:tc>
        <w:tc>
          <w:tcPr>
            <w:tcW w:w="3420" w:type="dxa"/>
            <w:vAlign w:val="bottom"/>
          </w:tcPr>
          <w:p>
            <w:pPr>
              <w:ind w:left="120"/>
              <w:spacing w:after="0"/>
              <w:rPr>
                <w:sz w:val="20"/>
                <w:szCs w:val="20"/>
                <w:color w:val="auto"/>
              </w:rPr>
            </w:pPr>
            <w:r>
              <w:rPr>
                <w:rFonts w:ascii="Arial" w:cs="Arial" w:eastAsia="Arial" w:hAnsi="Arial"/>
                <w:sz w:val="10"/>
                <w:szCs w:val="10"/>
                <w:color w:val="auto"/>
              </w:rPr>
              <w:t>Share ownership</w:t>
            </w:r>
          </w:p>
        </w:tc>
        <w:tc>
          <w:tcPr>
            <w:tcW w:w="6600" w:type="dxa"/>
            <w:vAlign w:val="bottom"/>
          </w:tcPr>
          <w:p>
            <w:pPr>
              <w:jc w:val="right"/>
              <w:spacing w:after="0"/>
              <w:rPr>
                <w:sz w:val="20"/>
                <w:szCs w:val="20"/>
                <w:color w:val="auto"/>
              </w:rPr>
            </w:pPr>
            <w:r>
              <w:rPr>
                <w:rFonts w:ascii="Arial" w:cs="Arial" w:eastAsia="Arial" w:hAnsi="Arial"/>
                <w:sz w:val="10"/>
                <w:szCs w:val="10"/>
                <w:color w:val="auto"/>
              </w:rPr>
              <w:t>88, 129, 150, 203, 236</w:t>
            </w:r>
          </w:p>
        </w:tc>
      </w:tr>
      <w:tr>
        <w:trPr>
          <w:trHeight w:val="126"/>
        </w:trPr>
        <w:tc>
          <w:tcPr>
            <w:tcW w:w="660" w:type="dxa"/>
            <w:vAlign w:val="bottom"/>
          </w:tcPr>
          <w:p>
            <w:pPr>
              <w:spacing w:after="0"/>
              <w:rPr>
                <w:sz w:val="20"/>
                <w:szCs w:val="20"/>
                <w:color w:val="auto"/>
              </w:rPr>
            </w:pPr>
            <w:r>
              <w:rPr>
                <w:rFonts w:ascii="Arial" w:cs="Arial" w:eastAsia="Arial" w:hAnsi="Arial"/>
                <w:sz w:val="10"/>
                <w:szCs w:val="10"/>
                <w:color w:val="auto"/>
              </w:rPr>
              <w:t>Item 7.</w:t>
            </w:r>
          </w:p>
        </w:tc>
        <w:tc>
          <w:tcPr>
            <w:tcW w:w="4040" w:type="dxa"/>
            <w:vAlign w:val="bottom"/>
            <w:gridSpan w:val="2"/>
          </w:tcPr>
          <w:p>
            <w:pPr>
              <w:ind w:left="340"/>
              <w:spacing w:after="0"/>
              <w:rPr>
                <w:sz w:val="20"/>
                <w:szCs w:val="20"/>
                <w:color w:val="auto"/>
              </w:rPr>
            </w:pPr>
            <w:r>
              <w:rPr>
                <w:rFonts w:ascii="Arial" w:cs="Arial" w:eastAsia="Arial" w:hAnsi="Arial"/>
                <w:sz w:val="10"/>
                <w:szCs w:val="10"/>
                <w:color w:val="auto"/>
              </w:rPr>
              <w:t>Major Shareholders and Related Party Transactions</w:t>
            </w:r>
          </w:p>
        </w:tc>
        <w:tc>
          <w:tcPr>
            <w:tcW w:w="6600" w:type="dxa"/>
            <w:vAlign w:val="bottom"/>
          </w:tcPr>
          <w:p>
            <w:pPr>
              <w:spacing w:after="0"/>
              <w:rPr>
                <w:sz w:val="10"/>
                <w:szCs w:val="10"/>
                <w:color w:val="auto"/>
              </w:rPr>
            </w:pP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A.</w:t>
            </w:r>
          </w:p>
        </w:tc>
        <w:tc>
          <w:tcPr>
            <w:tcW w:w="3420" w:type="dxa"/>
            <w:vAlign w:val="bottom"/>
          </w:tcPr>
          <w:p>
            <w:pPr>
              <w:ind w:left="120"/>
              <w:spacing w:after="0"/>
              <w:rPr>
                <w:sz w:val="20"/>
                <w:szCs w:val="20"/>
                <w:color w:val="auto"/>
              </w:rPr>
            </w:pPr>
            <w:r>
              <w:rPr>
                <w:rFonts w:ascii="Arial" w:cs="Arial" w:eastAsia="Arial" w:hAnsi="Arial"/>
                <w:sz w:val="10"/>
                <w:szCs w:val="10"/>
                <w:color w:val="auto"/>
              </w:rPr>
              <w:t>Major shareholders</w:t>
            </w:r>
          </w:p>
        </w:tc>
        <w:tc>
          <w:tcPr>
            <w:tcW w:w="6600" w:type="dxa"/>
            <w:vAlign w:val="bottom"/>
          </w:tcPr>
          <w:p>
            <w:pPr>
              <w:jc w:val="right"/>
              <w:spacing w:after="0"/>
              <w:rPr>
                <w:sz w:val="20"/>
                <w:szCs w:val="20"/>
                <w:color w:val="auto"/>
              </w:rPr>
            </w:pPr>
            <w:r>
              <w:rPr>
                <w:rFonts w:ascii="Arial" w:cs="Arial" w:eastAsia="Arial" w:hAnsi="Arial"/>
                <w:sz w:val="10"/>
                <w:szCs w:val="10"/>
                <w:color w:val="auto"/>
              </w:rPr>
              <w:t>236</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B.</w:t>
            </w:r>
          </w:p>
        </w:tc>
        <w:tc>
          <w:tcPr>
            <w:tcW w:w="3420" w:type="dxa"/>
            <w:vAlign w:val="bottom"/>
          </w:tcPr>
          <w:p>
            <w:pPr>
              <w:ind w:left="120"/>
              <w:spacing w:after="0"/>
              <w:rPr>
                <w:sz w:val="20"/>
                <w:szCs w:val="20"/>
                <w:color w:val="auto"/>
              </w:rPr>
            </w:pPr>
            <w:r>
              <w:rPr>
                <w:rFonts w:ascii="Arial" w:cs="Arial" w:eastAsia="Arial" w:hAnsi="Arial"/>
                <w:sz w:val="10"/>
                <w:szCs w:val="10"/>
                <w:color w:val="auto"/>
              </w:rPr>
              <w:t>Related party transactions</w:t>
            </w:r>
          </w:p>
        </w:tc>
        <w:tc>
          <w:tcPr>
            <w:tcW w:w="6600" w:type="dxa"/>
            <w:vAlign w:val="bottom"/>
          </w:tcPr>
          <w:p>
            <w:pPr>
              <w:jc w:val="right"/>
              <w:spacing w:after="0"/>
              <w:rPr>
                <w:sz w:val="20"/>
                <w:szCs w:val="20"/>
                <w:color w:val="auto"/>
              </w:rPr>
            </w:pPr>
            <w:r>
              <w:rPr>
                <w:rFonts w:ascii="Arial" w:cs="Arial" w:eastAsia="Arial" w:hAnsi="Arial"/>
                <w:sz w:val="10"/>
                <w:szCs w:val="10"/>
                <w:color w:val="auto"/>
              </w:rPr>
              <w:t>149, 173, 185-186, 209, 234</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C.</w:t>
            </w:r>
          </w:p>
        </w:tc>
        <w:tc>
          <w:tcPr>
            <w:tcW w:w="3420" w:type="dxa"/>
            <w:vAlign w:val="bottom"/>
          </w:tcPr>
          <w:p>
            <w:pPr>
              <w:ind w:left="120"/>
              <w:spacing w:after="0"/>
              <w:rPr>
                <w:sz w:val="20"/>
                <w:szCs w:val="20"/>
                <w:color w:val="auto"/>
              </w:rPr>
            </w:pPr>
            <w:r>
              <w:rPr>
                <w:rFonts w:ascii="Arial" w:cs="Arial" w:eastAsia="Arial" w:hAnsi="Arial"/>
                <w:sz w:val="10"/>
                <w:szCs w:val="10"/>
                <w:color w:val="auto"/>
              </w:rPr>
              <w:t>Interests of experts and counsel</w:t>
            </w:r>
          </w:p>
        </w:tc>
        <w:tc>
          <w:tcPr>
            <w:tcW w:w="66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660" w:type="dxa"/>
            <w:vAlign w:val="bottom"/>
          </w:tcPr>
          <w:p>
            <w:pPr>
              <w:spacing w:after="0"/>
              <w:rPr>
                <w:sz w:val="20"/>
                <w:szCs w:val="20"/>
                <w:color w:val="auto"/>
              </w:rPr>
            </w:pPr>
            <w:r>
              <w:rPr>
                <w:rFonts w:ascii="Arial" w:cs="Arial" w:eastAsia="Arial" w:hAnsi="Arial"/>
                <w:sz w:val="10"/>
                <w:szCs w:val="10"/>
                <w:color w:val="auto"/>
              </w:rPr>
              <w:t>Item 8.</w:t>
            </w:r>
          </w:p>
        </w:tc>
        <w:tc>
          <w:tcPr>
            <w:tcW w:w="4040" w:type="dxa"/>
            <w:vAlign w:val="bottom"/>
            <w:gridSpan w:val="2"/>
          </w:tcPr>
          <w:p>
            <w:pPr>
              <w:ind w:left="340"/>
              <w:spacing w:after="0"/>
              <w:rPr>
                <w:sz w:val="20"/>
                <w:szCs w:val="20"/>
                <w:color w:val="auto"/>
              </w:rPr>
            </w:pPr>
            <w:r>
              <w:rPr>
                <w:rFonts w:ascii="Arial" w:cs="Arial" w:eastAsia="Arial" w:hAnsi="Arial"/>
                <w:sz w:val="10"/>
                <w:szCs w:val="10"/>
                <w:color w:val="auto"/>
              </w:rPr>
              <w:t>Financial Information</w:t>
            </w:r>
          </w:p>
        </w:tc>
        <w:tc>
          <w:tcPr>
            <w:tcW w:w="6600" w:type="dxa"/>
            <w:vAlign w:val="bottom"/>
          </w:tcPr>
          <w:p>
            <w:pPr>
              <w:spacing w:after="0"/>
              <w:rPr>
                <w:sz w:val="10"/>
                <w:szCs w:val="10"/>
                <w:color w:val="auto"/>
              </w:rPr>
            </w:pP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A.</w:t>
            </w:r>
          </w:p>
        </w:tc>
        <w:tc>
          <w:tcPr>
            <w:tcW w:w="3420" w:type="dxa"/>
            <w:vAlign w:val="bottom"/>
          </w:tcPr>
          <w:p>
            <w:pPr>
              <w:ind w:left="120"/>
              <w:spacing w:after="0"/>
              <w:rPr>
                <w:sz w:val="20"/>
                <w:szCs w:val="20"/>
                <w:color w:val="auto"/>
              </w:rPr>
            </w:pPr>
            <w:r>
              <w:rPr>
                <w:rFonts w:ascii="Arial" w:cs="Arial" w:eastAsia="Arial" w:hAnsi="Arial"/>
                <w:sz w:val="10"/>
                <w:szCs w:val="10"/>
                <w:color w:val="auto"/>
              </w:rPr>
              <w:t>Consolidated Statements and Other Financial Information</w:t>
            </w:r>
          </w:p>
        </w:tc>
        <w:tc>
          <w:tcPr>
            <w:tcW w:w="6600" w:type="dxa"/>
            <w:vAlign w:val="bottom"/>
          </w:tcPr>
          <w:p>
            <w:pPr>
              <w:jc w:val="right"/>
              <w:spacing w:after="0"/>
              <w:rPr>
                <w:sz w:val="20"/>
                <w:szCs w:val="20"/>
                <w:color w:val="auto"/>
              </w:rPr>
            </w:pPr>
            <w:r>
              <w:rPr>
                <w:rFonts w:ascii="Arial" w:cs="Arial" w:eastAsia="Arial" w:hAnsi="Arial"/>
                <w:sz w:val="10"/>
                <w:szCs w:val="10"/>
                <w:color w:val="auto"/>
              </w:rPr>
              <w:t>61-64, 158-210, 229-234</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B.</w:t>
            </w:r>
          </w:p>
        </w:tc>
        <w:tc>
          <w:tcPr>
            <w:tcW w:w="3420" w:type="dxa"/>
            <w:vAlign w:val="bottom"/>
          </w:tcPr>
          <w:p>
            <w:pPr>
              <w:ind w:left="120"/>
              <w:spacing w:after="0"/>
              <w:rPr>
                <w:sz w:val="20"/>
                <w:szCs w:val="20"/>
                <w:color w:val="auto"/>
              </w:rPr>
            </w:pPr>
            <w:r>
              <w:rPr>
                <w:rFonts w:ascii="Arial" w:cs="Arial" w:eastAsia="Arial" w:hAnsi="Arial"/>
                <w:sz w:val="10"/>
                <w:szCs w:val="10"/>
                <w:color w:val="auto"/>
              </w:rPr>
              <w:t>Significant Changes</w:t>
            </w:r>
          </w:p>
        </w:tc>
        <w:tc>
          <w:tcPr>
            <w:tcW w:w="6600" w:type="dxa"/>
            <w:vAlign w:val="bottom"/>
          </w:tcPr>
          <w:p>
            <w:pPr>
              <w:jc w:val="right"/>
              <w:spacing w:after="0"/>
              <w:rPr>
                <w:sz w:val="20"/>
                <w:szCs w:val="20"/>
                <w:color w:val="auto"/>
              </w:rPr>
            </w:pPr>
            <w:r>
              <w:rPr>
                <w:rFonts w:ascii="Arial" w:cs="Arial" w:eastAsia="Arial" w:hAnsi="Arial"/>
                <w:sz w:val="10"/>
                <w:szCs w:val="10"/>
                <w:color w:val="auto"/>
              </w:rPr>
              <w:t>210</w:t>
            </w:r>
          </w:p>
        </w:tc>
      </w:tr>
      <w:tr>
        <w:trPr>
          <w:trHeight w:val="126"/>
        </w:trPr>
        <w:tc>
          <w:tcPr>
            <w:tcW w:w="660" w:type="dxa"/>
            <w:vAlign w:val="bottom"/>
          </w:tcPr>
          <w:p>
            <w:pPr>
              <w:spacing w:after="0"/>
              <w:rPr>
                <w:sz w:val="20"/>
                <w:szCs w:val="20"/>
                <w:color w:val="auto"/>
              </w:rPr>
            </w:pPr>
            <w:r>
              <w:rPr>
                <w:rFonts w:ascii="Arial" w:cs="Arial" w:eastAsia="Arial" w:hAnsi="Arial"/>
                <w:sz w:val="10"/>
                <w:szCs w:val="10"/>
                <w:color w:val="auto"/>
              </w:rPr>
              <w:t>Item 9.</w:t>
            </w:r>
          </w:p>
        </w:tc>
        <w:tc>
          <w:tcPr>
            <w:tcW w:w="4040" w:type="dxa"/>
            <w:vAlign w:val="bottom"/>
            <w:gridSpan w:val="2"/>
          </w:tcPr>
          <w:p>
            <w:pPr>
              <w:ind w:left="340"/>
              <w:spacing w:after="0"/>
              <w:rPr>
                <w:sz w:val="20"/>
                <w:szCs w:val="20"/>
                <w:color w:val="auto"/>
              </w:rPr>
            </w:pPr>
            <w:r>
              <w:rPr>
                <w:rFonts w:ascii="Arial" w:cs="Arial" w:eastAsia="Arial" w:hAnsi="Arial"/>
                <w:sz w:val="10"/>
                <w:szCs w:val="10"/>
                <w:color w:val="auto"/>
              </w:rPr>
              <w:t>The Offer and Listing</w:t>
            </w:r>
          </w:p>
        </w:tc>
        <w:tc>
          <w:tcPr>
            <w:tcW w:w="6600" w:type="dxa"/>
            <w:vAlign w:val="bottom"/>
          </w:tcPr>
          <w:p>
            <w:pPr>
              <w:spacing w:after="0"/>
              <w:rPr>
                <w:sz w:val="10"/>
                <w:szCs w:val="10"/>
                <w:color w:val="auto"/>
              </w:rPr>
            </w:pP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A.</w:t>
            </w:r>
          </w:p>
        </w:tc>
        <w:tc>
          <w:tcPr>
            <w:tcW w:w="3420" w:type="dxa"/>
            <w:vAlign w:val="bottom"/>
          </w:tcPr>
          <w:p>
            <w:pPr>
              <w:ind w:left="120"/>
              <w:spacing w:after="0"/>
              <w:rPr>
                <w:sz w:val="20"/>
                <w:szCs w:val="20"/>
                <w:color w:val="auto"/>
              </w:rPr>
            </w:pPr>
            <w:r>
              <w:rPr>
                <w:rFonts w:ascii="Arial" w:cs="Arial" w:eastAsia="Arial" w:hAnsi="Arial"/>
                <w:sz w:val="10"/>
                <w:szCs w:val="10"/>
                <w:color w:val="auto"/>
              </w:rPr>
              <w:t>Offer and listing details</w:t>
            </w:r>
          </w:p>
        </w:tc>
        <w:tc>
          <w:tcPr>
            <w:tcW w:w="6600" w:type="dxa"/>
            <w:vAlign w:val="bottom"/>
          </w:tcPr>
          <w:p>
            <w:pPr>
              <w:jc w:val="right"/>
              <w:spacing w:after="0"/>
              <w:rPr>
                <w:sz w:val="20"/>
                <w:szCs w:val="20"/>
                <w:color w:val="auto"/>
              </w:rPr>
            </w:pPr>
            <w:r>
              <w:rPr>
                <w:rFonts w:ascii="Arial" w:cs="Arial" w:eastAsia="Arial" w:hAnsi="Arial"/>
                <w:sz w:val="10"/>
                <w:szCs w:val="10"/>
                <w:color w:val="auto"/>
              </w:rPr>
              <w:t>150, 153-156, 235</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B.</w:t>
            </w:r>
          </w:p>
        </w:tc>
        <w:tc>
          <w:tcPr>
            <w:tcW w:w="3420" w:type="dxa"/>
            <w:vAlign w:val="bottom"/>
          </w:tcPr>
          <w:p>
            <w:pPr>
              <w:ind w:left="120"/>
              <w:spacing w:after="0"/>
              <w:rPr>
                <w:sz w:val="20"/>
                <w:szCs w:val="20"/>
                <w:color w:val="auto"/>
              </w:rPr>
            </w:pPr>
            <w:r>
              <w:rPr>
                <w:rFonts w:ascii="Arial" w:cs="Arial" w:eastAsia="Arial" w:hAnsi="Arial"/>
                <w:sz w:val="10"/>
                <w:szCs w:val="10"/>
                <w:color w:val="auto"/>
              </w:rPr>
              <w:t>Plan of distribution</w:t>
            </w:r>
          </w:p>
        </w:tc>
        <w:tc>
          <w:tcPr>
            <w:tcW w:w="66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66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0"/>
                <w:szCs w:val="10"/>
                <w:color w:val="auto"/>
              </w:rPr>
              <w:t>C.</w:t>
            </w:r>
          </w:p>
        </w:tc>
        <w:tc>
          <w:tcPr>
            <w:tcW w:w="3420" w:type="dxa"/>
            <w:vAlign w:val="bottom"/>
          </w:tcPr>
          <w:p>
            <w:pPr>
              <w:ind w:left="120"/>
              <w:spacing w:after="0"/>
              <w:rPr>
                <w:sz w:val="20"/>
                <w:szCs w:val="20"/>
                <w:color w:val="auto"/>
              </w:rPr>
            </w:pPr>
            <w:r>
              <w:rPr>
                <w:rFonts w:ascii="Arial" w:cs="Arial" w:eastAsia="Arial" w:hAnsi="Arial"/>
                <w:sz w:val="10"/>
                <w:szCs w:val="10"/>
                <w:color w:val="auto"/>
              </w:rPr>
              <w:t>Markets</w:t>
            </w:r>
          </w:p>
        </w:tc>
        <w:tc>
          <w:tcPr>
            <w:tcW w:w="6600" w:type="dxa"/>
            <w:vAlign w:val="bottom"/>
          </w:tcPr>
          <w:p>
            <w:pPr>
              <w:jc w:val="right"/>
              <w:spacing w:after="0"/>
              <w:rPr>
                <w:sz w:val="20"/>
                <w:szCs w:val="20"/>
                <w:color w:val="auto"/>
              </w:rPr>
            </w:pPr>
            <w:r>
              <w:rPr>
                <w:rFonts w:ascii="Arial" w:cs="Arial" w:eastAsia="Arial" w:hAnsi="Arial"/>
                <w:sz w:val="10"/>
                <w:szCs w:val="10"/>
                <w:color w:val="auto"/>
              </w:rPr>
              <w:t>235</w:t>
            </w:r>
          </w:p>
        </w:tc>
      </w:tr>
      <w:tr>
        <w:trPr>
          <w:trHeight w:val="512"/>
        </w:trPr>
        <w:tc>
          <w:tcPr>
            <w:tcW w:w="1280" w:type="dxa"/>
            <w:vAlign w:val="bottom"/>
            <w:gridSpan w:val="2"/>
          </w:tcPr>
          <w:p>
            <w:pPr>
              <w:ind w:left="40"/>
              <w:spacing w:after="0"/>
              <w:rPr>
                <w:sz w:val="20"/>
                <w:szCs w:val="20"/>
                <w:color w:val="auto"/>
              </w:rPr>
            </w:pPr>
            <w:r>
              <w:rPr>
                <w:rFonts w:ascii="Arial" w:cs="Arial" w:eastAsia="Arial" w:hAnsi="Arial"/>
                <w:sz w:val="6"/>
                <w:szCs w:val="6"/>
                <w:color w:val="auto"/>
              </w:rPr>
              <w:t>INTRODUCTION SHELL FORM 20-F 2020</w:t>
            </w:r>
          </w:p>
        </w:tc>
        <w:tc>
          <w:tcPr>
            <w:tcW w:w="3420" w:type="dxa"/>
            <w:vAlign w:val="bottom"/>
          </w:tcPr>
          <w:p>
            <w:pPr>
              <w:spacing w:after="0"/>
              <w:rPr>
                <w:sz w:val="24"/>
                <w:szCs w:val="24"/>
                <w:color w:val="auto"/>
              </w:rPr>
            </w:pPr>
          </w:p>
        </w:tc>
        <w:tc>
          <w:tcPr>
            <w:tcW w:w="6600" w:type="dxa"/>
            <w:vAlign w:val="bottom"/>
          </w:tcPr>
          <w:p>
            <w:pPr>
              <w:jc w:val="right"/>
              <w:ind w:right="5433"/>
              <w:spacing w:after="0"/>
              <w:rPr>
                <w:sz w:val="20"/>
                <w:szCs w:val="20"/>
                <w:color w:val="auto"/>
              </w:rPr>
            </w:pPr>
            <w:r>
              <w:rPr>
                <w:rFonts w:ascii="Arial" w:cs="Arial" w:eastAsia="Arial" w:hAnsi="Arial"/>
                <w:sz w:val="6"/>
                <w:szCs w:val="6"/>
                <w:color w:val="auto"/>
              </w:rPr>
              <w:t>2</w:t>
            </w:r>
          </w:p>
        </w:tc>
      </w:tr>
      <w:tr>
        <w:trPr>
          <w:trHeight w:val="144"/>
        </w:trPr>
        <w:tc>
          <w:tcPr>
            <w:tcW w:w="6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3420" w:type="dxa"/>
            <w:vAlign w:val="bottom"/>
            <w:tcBorders>
              <w:bottom w:val="single" w:sz="8" w:color="9A9A9A"/>
            </w:tcBorders>
          </w:tcPr>
          <w:p>
            <w:pPr>
              <w:spacing w:after="0"/>
              <w:rPr>
                <w:sz w:val="12"/>
                <w:szCs w:val="12"/>
                <w:color w:val="auto"/>
              </w:rPr>
            </w:pPr>
          </w:p>
        </w:tc>
        <w:tc>
          <w:tcPr>
            <w:tcW w:w="66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21"/>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D.</w:t>
            </w:r>
          </w:p>
        </w:tc>
        <w:tc>
          <w:tcPr>
            <w:tcW w:w="3820" w:type="dxa"/>
            <w:vAlign w:val="bottom"/>
          </w:tcPr>
          <w:p>
            <w:pPr>
              <w:ind w:left="120"/>
              <w:spacing w:after="0"/>
              <w:rPr>
                <w:sz w:val="20"/>
                <w:szCs w:val="20"/>
                <w:color w:val="auto"/>
              </w:rPr>
            </w:pPr>
            <w:r>
              <w:rPr>
                <w:rFonts w:ascii="Arial" w:cs="Arial" w:eastAsia="Arial" w:hAnsi="Arial"/>
                <w:sz w:val="10"/>
                <w:szCs w:val="10"/>
                <w:color w:val="auto"/>
              </w:rPr>
              <w:t>Selling shareholders</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E.</w:t>
            </w:r>
          </w:p>
        </w:tc>
        <w:tc>
          <w:tcPr>
            <w:tcW w:w="3820" w:type="dxa"/>
            <w:vAlign w:val="bottom"/>
          </w:tcPr>
          <w:p>
            <w:pPr>
              <w:ind w:left="120"/>
              <w:spacing w:after="0"/>
              <w:rPr>
                <w:sz w:val="20"/>
                <w:szCs w:val="20"/>
                <w:color w:val="auto"/>
              </w:rPr>
            </w:pPr>
            <w:r>
              <w:rPr>
                <w:rFonts w:ascii="Arial" w:cs="Arial" w:eastAsia="Arial" w:hAnsi="Arial"/>
                <w:sz w:val="10"/>
                <w:szCs w:val="10"/>
                <w:color w:val="auto"/>
              </w:rPr>
              <w:t>Dilution</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F.</w:t>
            </w:r>
          </w:p>
        </w:tc>
        <w:tc>
          <w:tcPr>
            <w:tcW w:w="3820" w:type="dxa"/>
            <w:vAlign w:val="bottom"/>
          </w:tcPr>
          <w:p>
            <w:pPr>
              <w:ind w:left="120"/>
              <w:spacing w:after="0"/>
              <w:rPr>
                <w:sz w:val="20"/>
                <w:szCs w:val="20"/>
                <w:color w:val="auto"/>
              </w:rPr>
            </w:pPr>
            <w:r>
              <w:rPr>
                <w:rFonts w:ascii="Arial" w:cs="Arial" w:eastAsia="Arial" w:hAnsi="Arial"/>
                <w:sz w:val="10"/>
                <w:szCs w:val="10"/>
                <w:color w:val="auto"/>
              </w:rPr>
              <w:t>Expenses of the issue</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10.</w:t>
            </w:r>
          </w:p>
        </w:tc>
        <w:tc>
          <w:tcPr>
            <w:tcW w:w="4400" w:type="dxa"/>
            <w:vAlign w:val="bottom"/>
            <w:gridSpan w:val="2"/>
          </w:tcPr>
          <w:p>
            <w:pPr>
              <w:ind w:left="300"/>
              <w:spacing w:after="0"/>
              <w:rPr>
                <w:sz w:val="20"/>
                <w:szCs w:val="20"/>
                <w:color w:val="auto"/>
              </w:rPr>
            </w:pPr>
            <w:r>
              <w:rPr>
                <w:rFonts w:ascii="Arial" w:cs="Arial" w:eastAsia="Arial" w:hAnsi="Arial"/>
                <w:sz w:val="10"/>
                <w:szCs w:val="10"/>
                <w:color w:val="auto"/>
              </w:rPr>
              <w:t>Additional Information</w:t>
            </w:r>
          </w:p>
        </w:tc>
        <w:tc>
          <w:tcPr>
            <w:tcW w:w="6200" w:type="dxa"/>
            <w:vAlign w:val="bottom"/>
          </w:tcPr>
          <w:p>
            <w:pPr>
              <w:spacing w:after="0"/>
              <w:rPr>
                <w:sz w:val="10"/>
                <w:szCs w:val="10"/>
                <w:color w:val="auto"/>
              </w:rPr>
            </w:pP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A.</w:t>
            </w:r>
          </w:p>
        </w:tc>
        <w:tc>
          <w:tcPr>
            <w:tcW w:w="3820" w:type="dxa"/>
            <w:vAlign w:val="bottom"/>
          </w:tcPr>
          <w:p>
            <w:pPr>
              <w:ind w:left="120"/>
              <w:spacing w:after="0"/>
              <w:rPr>
                <w:sz w:val="20"/>
                <w:szCs w:val="20"/>
                <w:color w:val="auto"/>
              </w:rPr>
            </w:pPr>
            <w:r>
              <w:rPr>
                <w:rFonts w:ascii="Arial" w:cs="Arial" w:eastAsia="Arial" w:hAnsi="Arial"/>
                <w:sz w:val="10"/>
                <w:szCs w:val="10"/>
                <w:color w:val="auto"/>
              </w:rPr>
              <w:t>Share capital</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B.</w:t>
            </w:r>
          </w:p>
        </w:tc>
        <w:tc>
          <w:tcPr>
            <w:tcW w:w="3820" w:type="dxa"/>
            <w:vAlign w:val="bottom"/>
          </w:tcPr>
          <w:p>
            <w:pPr>
              <w:ind w:left="120"/>
              <w:spacing w:after="0"/>
              <w:rPr>
                <w:sz w:val="20"/>
                <w:szCs w:val="20"/>
                <w:color w:val="auto"/>
              </w:rPr>
            </w:pPr>
            <w:r>
              <w:rPr>
                <w:rFonts w:ascii="Arial" w:cs="Arial" w:eastAsia="Arial" w:hAnsi="Arial"/>
                <w:sz w:val="10"/>
                <w:szCs w:val="10"/>
                <w:color w:val="auto"/>
              </w:rPr>
              <w:t>Memorandum and articles of association</w:t>
            </w:r>
          </w:p>
        </w:tc>
        <w:tc>
          <w:tcPr>
            <w:tcW w:w="6200" w:type="dxa"/>
            <w:vAlign w:val="bottom"/>
          </w:tcPr>
          <w:p>
            <w:pPr>
              <w:jc w:val="right"/>
              <w:spacing w:after="0"/>
              <w:rPr>
                <w:sz w:val="20"/>
                <w:szCs w:val="20"/>
                <w:color w:val="auto"/>
              </w:rPr>
            </w:pPr>
            <w:r>
              <w:rPr>
                <w:rFonts w:ascii="Arial" w:cs="Arial" w:eastAsia="Arial" w:hAnsi="Arial"/>
                <w:sz w:val="10"/>
                <w:szCs w:val="10"/>
                <w:color w:val="auto"/>
              </w:rPr>
              <w:t>151-156</w:t>
            </w: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C.</w:t>
            </w:r>
          </w:p>
        </w:tc>
        <w:tc>
          <w:tcPr>
            <w:tcW w:w="3820" w:type="dxa"/>
            <w:vAlign w:val="bottom"/>
          </w:tcPr>
          <w:p>
            <w:pPr>
              <w:ind w:left="120"/>
              <w:spacing w:after="0"/>
              <w:rPr>
                <w:sz w:val="20"/>
                <w:szCs w:val="20"/>
                <w:color w:val="auto"/>
              </w:rPr>
            </w:pPr>
            <w:r>
              <w:rPr>
                <w:rFonts w:ascii="Arial" w:cs="Arial" w:eastAsia="Arial" w:hAnsi="Arial"/>
                <w:sz w:val="10"/>
                <w:szCs w:val="10"/>
                <w:color w:val="auto"/>
              </w:rPr>
              <w:t>Material contracts</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D.</w:t>
            </w:r>
          </w:p>
        </w:tc>
        <w:tc>
          <w:tcPr>
            <w:tcW w:w="3820" w:type="dxa"/>
            <w:vAlign w:val="bottom"/>
          </w:tcPr>
          <w:p>
            <w:pPr>
              <w:ind w:left="120"/>
              <w:spacing w:after="0"/>
              <w:rPr>
                <w:sz w:val="20"/>
                <w:szCs w:val="20"/>
                <w:color w:val="auto"/>
              </w:rPr>
            </w:pPr>
            <w:r>
              <w:rPr>
                <w:rFonts w:ascii="Arial" w:cs="Arial" w:eastAsia="Arial" w:hAnsi="Arial"/>
                <w:sz w:val="10"/>
                <w:szCs w:val="10"/>
                <w:color w:val="auto"/>
              </w:rPr>
              <w:t>Exchange controls</w:t>
            </w:r>
          </w:p>
        </w:tc>
        <w:tc>
          <w:tcPr>
            <w:tcW w:w="6200" w:type="dxa"/>
            <w:vAlign w:val="bottom"/>
          </w:tcPr>
          <w:p>
            <w:pPr>
              <w:jc w:val="right"/>
              <w:spacing w:after="0"/>
              <w:rPr>
                <w:sz w:val="20"/>
                <w:szCs w:val="20"/>
                <w:color w:val="auto"/>
              </w:rPr>
            </w:pPr>
            <w:r>
              <w:rPr>
                <w:rFonts w:ascii="Arial" w:cs="Arial" w:eastAsia="Arial" w:hAnsi="Arial"/>
                <w:sz w:val="10"/>
                <w:szCs w:val="10"/>
                <w:color w:val="auto"/>
              </w:rPr>
              <w:t>237</w:t>
            </w: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E.</w:t>
            </w:r>
          </w:p>
        </w:tc>
        <w:tc>
          <w:tcPr>
            <w:tcW w:w="3820" w:type="dxa"/>
            <w:vAlign w:val="bottom"/>
          </w:tcPr>
          <w:p>
            <w:pPr>
              <w:ind w:left="120"/>
              <w:spacing w:after="0"/>
              <w:rPr>
                <w:sz w:val="20"/>
                <w:szCs w:val="20"/>
                <w:color w:val="auto"/>
              </w:rPr>
            </w:pPr>
            <w:r>
              <w:rPr>
                <w:rFonts w:ascii="Arial" w:cs="Arial" w:eastAsia="Arial" w:hAnsi="Arial"/>
                <w:sz w:val="10"/>
                <w:szCs w:val="10"/>
                <w:color w:val="auto"/>
              </w:rPr>
              <w:t>Taxation</w:t>
            </w:r>
          </w:p>
        </w:tc>
        <w:tc>
          <w:tcPr>
            <w:tcW w:w="6200" w:type="dxa"/>
            <w:vAlign w:val="bottom"/>
          </w:tcPr>
          <w:p>
            <w:pPr>
              <w:jc w:val="right"/>
              <w:spacing w:after="0"/>
              <w:rPr>
                <w:sz w:val="20"/>
                <w:szCs w:val="20"/>
                <w:color w:val="auto"/>
              </w:rPr>
            </w:pPr>
            <w:r>
              <w:rPr>
                <w:rFonts w:ascii="Arial" w:cs="Arial" w:eastAsia="Arial" w:hAnsi="Arial"/>
                <w:sz w:val="10"/>
                <w:szCs w:val="10"/>
                <w:color w:val="auto"/>
              </w:rPr>
              <w:t>237-238</w:t>
            </w: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F.</w:t>
            </w:r>
          </w:p>
        </w:tc>
        <w:tc>
          <w:tcPr>
            <w:tcW w:w="3820" w:type="dxa"/>
            <w:vAlign w:val="bottom"/>
          </w:tcPr>
          <w:p>
            <w:pPr>
              <w:ind w:left="120"/>
              <w:spacing w:after="0"/>
              <w:rPr>
                <w:sz w:val="20"/>
                <w:szCs w:val="20"/>
                <w:color w:val="auto"/>
              </w:rPr>
            </w:pPr>
            <w:r>
              <w:rPr>
                <w:rFonts w:ascii="Arial" w:cs="Arial" w:eastAsia="Arial" w:hAnsi="Arial"/>
                <w:sz w:val="10"/>
                <w:szCs w:val="10"/>
                <w:color w:val="auto"/>
              </w:rPr>
              <w:t>Dividends and paying agents</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G.</w:t>
            </w:r>
          </w:p>
        </w:tc>
        <w:tc>
          <w:tcPr>
            <w:tcW w:w="3820" w:type="dxa"/>
            <w:vAlign w:val="bottom"/>
          </w:tcPr>
          <w:p>
            <w:pPr>
              <w:ind w:left="120"/>
              <w:spacing w:after="0"/>
              <w:rPr>
                <w:sz w:val="20"/>
                <w:szCs w:val="20"/>
                <w:color w:val="auto"/>
              </w:rPr>
            </w:pPr>
            <w:r>
              <w:rPr>
                <w:rFonts w:ascii="Arial" w:cs="Arial" w:eastAsia="Arial" w:hAnsi="Arial"/>
                <w:sz w:val="10"/>
                <w:szCs w:val="10"/>
                <w:color w:val="auto"/>
              </w:rPr>
              <w:t>Statement by experts</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H.</w:t>
            </w:r>
          </w:p>
        </w:tc>
        <w:tc>
          <w:tcPr>
            <w:tcW w:w="3820" w:type="dxa"/>
            <w:vAlign w:val="bottom"/>
          </w:tcPr>
          <w:p>
            <w:pPr>
              <w:ind w:left="120"/>
              <w:spacing w:after="0"/>
              <w:rPr>
                <w:sz w:val="20"/>
                <w:szCs w:val="20"/>
                <w:color w:val="auto"/>
              </w:rPr>
            </w:pPr>
            <w:r>
              <w:rPr>
                <w:rFonts w:ascii="Arial" w:cs="Arial" w:eastAsia="Arial" w:hAnsi="Arial"/>
                <w:sz w:val="10"/>
                <w:szCs w:val="10"/>
                <w:color w:val="auto"/>
              </w:rPr>
              <w:t>Documents on display</w:t>
            </w:r>
          </w:p>
        </w:tc>
        <w:tc>
          <w:tcPr>
            <w:tcW w:w="6200" w:type="dxa"/>
            <w:vAlign w:val="bottom"/>
          </w:tcPr>
          <w:p>
            <w:pPr>
              <w:jc w:val="right"/>
              <w:spacing w:after="0"/>
              <w:rPr>
                <w:sz w:val="20"/>
                <w:szCs w:val="20"/>
                <w:color w:val="auto"/>
              </w:rPr>
            </w:pPr>
            <w:r>
              <w:rPr>
                <w:rFonts w:ascii="Arial" w:cs="Arial" w:eastAsia="Arial" w:hAnsi="Arial"/>
                <w:sz w:val="10"/>
                <w:szCs w:val="10"/>
                <w:color w:val="auto"/>
              </w:rPr>
              <w:t>9</w:t>
            </w: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I.</w:t>
            </w:r>
          </w:p>
        </w:tc>
        <w:tc>
          <w:tcPr>
            <w:tcW w:w="3820" w:type="dxa"/>
            <w:vAlign w:val="bottom"/>
          </w:tcPr>
          <w:p>
            <w:pPr>
              <w:ind w:left="120"/>
              <w:spacing w:after="0"/>
              <w:rPr>
                <w:sz w:val="20"/>
                <w:szCs w:val="20"/>
                <w:color w:val="auto"/>
              </w:rPr>
            </w:pPr>
            <w:r>
              <w:rPr>
                <w:rFonts w:ascii="Arial" w:cs="Arial" w:eastAsia="Arial" w:hAnsi="Arial"/>
                <w:sz w:val="10"/>
                <w:szCs w:val="10"/>
                <w:color w:val="auto"/>
              </w:rPr>
              <w:t>Subsidiary Information</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11.</w:t>
            </w:r>
          </w:p>
        </w:tc>
        <w:tc>
          <w:tcPr>
            <w:tcW w:w="4400" w:type="dxa"/>
            <w:vAlign w:val="bottom"/>
            <w:gridSpan w:val="2"/>
          </w:tcPr>
          <w:p>
            <w:pPr>
              <w:ind w:left="300"/>
              <w:spacing w:after="0"/>
              <w:rPr>
                <w:sz w:val="20"/>
                <w:szCs w:val="20"/>
                <w:color w:val="auto"/>
              </w:rPr>
            </w:pPr>
            <w:r>
              <w:rPr>
                <w:rFonts w:ascii="Arial" w:cs="Arial" w:eastAsia="Arial" w:hAnsi="Arial"/>
                <w:sz w:val="10"/>
                <w:szCs w:val="10"/>
                <w:color w:val="auto"/>
              </w:rPr>
              <w:t>Quantitative and Qualitative Disclosures About Market Risk</w:t>
            </w:r>
          </w:p>
        </w:tc>
        <w:tc>
          <w:tcPr>
            <w:tcW w:w="6200" w:type="dxa"/>
            <w:vAlign w:val="bottom"/>
          </w:tcPr>
          <w:p>
            <w:pPr>
              <w:jc w:val="right"/>
              <w:spacing w:after="0"/>
              <w:rPr>
                <w:sz w:val="20"/>
                <w:szCs w:val="20"/>
                <w:color w:val="auto"/>
              </w:rPr>
            </w:pPr>
            <w:r>
              <w:rPr>
                <w:rFonts w:ascii="Arial" w:cs="Arial" w:eastAsia="Arial" w:hAnsi="Arial"/>
                <w:sz w:val="10"/>
                <w:szCs w:val="10"/>
                <w:color w:val="auto"/>
              </w:rPr>
              <w:t>61, 186, 198-202</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12.</w:t>
            </w:r>
          </w:p>
        </w:tc>
        <w:tc>
          <w:tcPr>
            <w:tcW w:w="4400" w:type="dxa"/>
            <w:vAlign w:val="bottom"/>
            <w:gridSpan w:val="2"/>
          </w:tcPr>
          <w:p>
            <w:pPr>
              <w:ind w:left="300"/>
              <w:spacing w:after="0"/>
              <w:rPr>
                <w:sz w:val="20"/>
                <w:szCs w:val="20"/>
                <w:color w:val="auto"/>
              </w:rPr>
            </w:pPr>
            <w:r>
              <w:rPr>
                <w:rFonts w:ascii="Arial" w:cs="Arial" w:eastAsia="Arial" w:hAnsi="Arial"/>
                <w:sz w:val="10"/>
                <w:szCs w:val="10"/>
                <w:color w:val="auto"/>
              </w:rPr>
              <w:t>Description of Securities Other than Equity Securities</w:t>
            </w:r>
          </w:p>
        </w:tc>
        <w:tc>
          <w:tcPr>
            <w:tcW w:w="6200" w:type="dxa"/>
            <w:vAlign w:val="bottom"/>
          </w:tcPr>
          <w:p>
            <w:pPr>
              <w:spacing w:after="0"/>
              <w:rPr>
                <w:sz w:val="10"/>
                <w:szCs w:val="10"/>
                <w:color w:val="auto"/>
              </w:rPr>
            </w:pP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A.</w:t>
            </w:r>
          </w:p>
        </w:tc>
        <w:tc>
          <w:tcPr>
            <w:tcW w:w="3820" w:type="dxa"/>
            <w:vAlign w:val="bottom"/>
          </w:tcPr>
          <w:p>
            <w:pPr>
              <w:ind w:left="120"/>
              <w:spacing w:after="0"/>
              <w:rPr>
                <w:sz w:val="20"/>
                <w:szCs w:val="20"/>
                <w:color w:val="auto"/>
              </w:rPr>
            </w:pPr>
            <w:r>
              <w:rPr>
                <w:rFonts w:ascii="Arial" w:cs="Arial" w:eastAsia="Arial" w:hAnsi="Arial"/>
                <w:sz w:val="10"/>
                <w:szCs w:val="10"/>
                <w:color w:val="auto"/>
              </w:rPr>
              <w:t>Debt Securities</w:t>
            </w:r>
          </w:p>
        </w:tc>
        <w:tc>
          <w:tcPr>
            <w:tcW w:w="6200" w:type="dxa"/>
            <w:vAlign w:val="bottom"/>
          </w:tcPr>
          <w:p>
            <w:pPr>
              <w:jc w:val="right"/>
              <w:spacing w:after="0"/>
              <w:rPr>
                <w:sz w:val="20"/>
                <w:szCs w:val="20"/>
                <w:color w:val="auto"/>
              </w:rPr>
            </w:pPr>
            <w:r>
              <w:rPr>
                <w:rFonts w:ascii="Arial" w:cs="Arial" w:eastAsia="Arial" w:hAnsi="Arial"/>
                <w:sz w:val="10"/>
                <w:szCs w:val="10"/>
                <w:color w:val="auto"/>
              </w:rPr>
              <w:t>Exhibit 2.3</w:t>
            </w: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B.</w:t>
            </w:r>
          </w:p>
        </w:tc>
        <w:tc>
          <w:tcPr>
            <w:tcW w:w="3820" w:type="dxa"/>
            <w:vAlign w:val="bottom"/>
          </w:tcPr>
          <w:p>
            <w:pPr>
              <w:ind w:left="120"/>
              <w:spacing w:after="0"/>
              <w:rPr>
                <w:sz w:val="20"/>
                <w:szCs w:val="20"/>
                <w:color w:val="auto"/>
              </w:rPr>
            </w:pPr>
            <w:r>
              <w:rPr>
                <w:rFonts w:ascii="Arial" w:cs="Arial" w:eastAsia="Arial" w:hAnsi="Arial"/>
                <w:sz w:val="10"/>
                <w:szCs w:val="10"/>
                <w:color w:val="auto"/>
              </w:rPr>
              <w:t>Warrants and Rights</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C.</w:t>
            </w:r>
          </w:p>
        </w:tc>
        <w:tc>
          <w:tcPr>
            <w:tcW w:w="3820" w:type="dxa"/>
            <w:vAlign w:val="bottom"/>
          </w:tcPr>
          <w:p>
            <w:pPr>
              <w:ind w:left="120"/>
              <w:spacing w:after="0"/>
              <w:rPr>
                <w:sz w:val="20"/>
                <w:szCs w:val="20"/>
                <w:color w:val="auto"/>
              </w:rPr>
            </w:pPr>
            <w:r>
              <w:rPr>
                <w:rFonts w:ascii="Arial" w:cs="Arial" w:eastAsia="Arial" w:hAnsi="Arial"/>
                <w:sz w:val="10"/>
                <w:szCs w:val="10"/>
                <w:color w:val="auto"/>
              </w:rPr>
              <w:t>Other Securities</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700" w:type="dxa"/>
            <w:vAlign w:val="bottom"/>
          </w:tcPr>
          <w:p>
            <w:pPr>
              <w:spacing w:after="0"/>
              <w:rPr>
                <w:sz w:val="10"/>
                <w:szCs w:val="10"/>
                <w:color w:val="auto"/>
              </w:rPr>
            </w:pPr>
          </w:p>
        </w:tc>
        <w:tc>
          <w:tcPr>
            <w:tcW w:w="580" w:type="dxa"/>
            <w:vAlign w:val="bottom"/>
          </w:tcPr>
          <w:p>
            <w:pPr>
              <w:ind w:left="300"/>
              <w:spacing w:after="0"/>
              <w:rPr>
                <w:sz w:val="20"/>
                <w:szCs w:val="20"/>
                <w:color w:val="auto"/>
              </w:rPr>
            </w:pPr>
            <w:r>
              <w:rPr>
                <w:rFonts w:ascii="Arial" w:cs="Arial" w:eastAsia="Arial" w:hAnsi="Arial"/>
                <w:sz w:val="10"/>
                <w:szCs w:val="10"/>
                <w:color w:val="auto"/>
              </w:rPr>
              <w:t>D.</w:t>
            </w:r>
          </w:p>
        </w:tc>
        <w:tc>
          <w:tcPr>
            <w:tcW w:w="3820" w:type="dxa"/>
            <w:vAlign w:val="bottom"/>
          </w:tcPr>
          <w:p>
            <w:pPr>
              <w:ind w:left="120"/>
              <w:spacing w:after="0"/>
              <w:rPr>
                <w:sz w:val="20"/>
                <w:szCs w:val="20"/>
                <w:color w:val="auto"/>
              </w:rPr>
            </w:pPr>
            <w:r>
              <w:rPr>
                <w:rFonts w:ascii="Arial" w:cs="Arial" w:eastAsia="Arial" w:hAnsi="Arial"/>
                <w:sz w:val="10"/>
                <w:szCs w:val="10"/>
                <w:color w:val="auto"/>
              </w:rPr>
              <w:t>American Depositary Shares</w:t>
            </w:r>
          </w:p>
        </w:tc>
        <w:tc>
          <w:tcPr>
            <w:tcW w:w="6200" w:type="dxa"/>
            <w:vAlign w:val="bottom"/>
          </w:tcPr>
          <w:p>
            <w:pPr>
              <w:jc w:val="right"/>
              <w:spacing w:after="0"/>
              <w:rPr>
                <w:sz w:val="20"/>
                <w:szCs w:val="20"/>
                <w:color w:val="auto"/>
              </w:rPr>
            </w:pPr>
            <w:r>
              <w:rPr>
                <w:rFonts w:ascii="Arial" w:cs="Arial" w:eastAsia="Arial" w:hAnsi="Arial"/>
                <w:sz w:val="10"/>
                <w:szCs w:val="10"/>
                <w:color w:val="auto"/>
              </w:rPr>
              <w:t>235, 237, Exhibit 2.3</w:t>
            </w:r>
          </w:p>
        </w:tc>
      </w:tr>
      <w:tr>
        <w:trPr>
          <w:trHeight w:val="261"/>
        </w:trPr>
        <w:tc>
          <w:tcPr>
            <w:tcW w:w="700" w:type="dxa"/>
            <w:vAlign w:val="bottom"/>
          </w:tcPr>
          <w:p>
            <w:pPr>
              <w:spacing w:after="0"/>
              <w:rPr>
                <w:sz w:val="20"/>
                <w:szCs w:val="20"/>
                <w:color w:val="auto"/>
              </w:rPr>
            </w:pPr>
            <w:r>
              <w:rPr>
                <w:rFonts w:ascii="Arial" w:cs="Arial" w:eastAsia="Arial" w:hAnsi="Arial"/>
                <w:sz w:val="10"/>
                <w:szCs w:val="10"/>
                <w:color w:val="auto"/>
              </w:rPr>
              <w:t>Part II</w:t>
            </w:r>
          </w:p>
        </w:tc>
        <w:tc>
          <w:tcPr>
            <w:tcW w:w="58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6200" w:type="dxa"/>
            <w:vAlign w:val="bottom"/>
          </w:tcPr>
          <w:p>
            <w:pPr>
              <w:spacing w:after="0"/>
              <w:rPr>
                <w:sz w:val="22"/>
                <w:szCs w:val="22"/>
                <w:color w:val="auto"/>
              </w:rPr>
            </w:pP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13.</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Defaults, Dividend Arrearages and Delinquencies</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14.</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Material Modifications to the Rights of Security Holders and Use of Proceeds</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15.</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Controls and Procedures</w:t>
            </w:r>
          </w:p>
        </w:tc>
        <w:tc>
          <w:tcPr>
            <w:tcW w:w="6200" w:type="dxa"/>
            <w:vAlign w:val="bottom"/>
          </w:tcPr>
          <w:p>
            <w:pPr>
              <w:jc w:val="right"/>
              <w:spacing w:after="0"/>
              <w:rPr>
                <w:sz w:val="20"/>
                <w:szCs w:val="20"/>
                <w:color w:val="auto"/>
              </w:rPr>
            </w:pPr>
            <w:r>
              <w:rPr>
                <w:rFonts w:ascii="Arial" w:cs="Arial" w:eastAsia="Arial" w:hAnsi="Arial"/>
                <w:sz w:val="10"/>
                <w:szCs w:val="10"/>
                <w:color w:val="auto"/>
              </w:rPr>
              <w:t>148, 161-162, 229-230</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16.</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[Reserved]</w:t>
            </w:r>
          </w:p>
        </w:tc>
        <w:tc>
          <w:tcPr>
            <w:tcW w:w="6200" w:type="dxa"/>
            <w:vAlign w:val="bottom"/>
          </w:tcPr>
          <w:p>
            <w:pPr>
              <w:spacing w:after="0"/>
              <w:rPr>
                <w:sz w:val="10"/>
                <w:szCs w:val="10"/>
                <w:color w:val="auto"/>
              </w:rPr>
            </w:pP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16A.</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Audit committee financial expert</w:t>
            </w:r>
          </w:p>
        </w:tc>
        <w:tc>
          <w:tcPr>
            <w:tcW w:w="6200" w:type="dxa"/>
            <w:vAlign w:val="bottom"/>
          </w:tcPr>
          <w:p>
            <w:pPr>
              <w:jc w:val="right"/>
              <w:spacing w:after="0"/>
              <w:rPr>
                <w:sz w:val="20"/>
                <w:szCs w:val="20"/>
                <w:color w:val="auto"/>
              </w:rPr>
            </w:pPr>
            <w:r>
              <w:rPr>
                <w:rFonts w:ascii="Arial" w:cs="Arial" w:eastAsia="Arial" w:hAnsi="Arial"/>
                <w:sz w:val="10"/>
                <w:szCs w:val="10"/>
                <w:color w:val="auto"/>
              </w:rPr>
              <w:t>94, 109, 151</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16B.</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Code of Ethics</w:t>
            </w:r>
          </w:p>
        </w:tc>
        <w:tc>
          <w:tcPr>
            <w:tcW w:w="6200" w:type="dxa"/>
            <w:vAlign w:val="bottom"/>
          </w:tcPr>
          <w:p>
            <w:pPr>
              <w:jc w:val="right"/>
              <w:spacing w:after="0"/>
              <w:rPr>
                <w:sz w:val="20"/>
                <w:szCs w:val="20"/>
                <w:color w:val="auto"/>
              </w:rPr>
            </w:pPr>
            <w:r>
              <w:rPr>
                <w:rFonts w:ascii="Arial" w:cs="Arial" w:eastAsia="Arial" w:hAnsi="Arial"/>
                <w:sz w:val="10"/>
                <w:szCs w:val="10"/>
                <w:color w:val="auto"/>
              </w:rPr>
              <w:t>150</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16C.</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Principal Accountant Fees and Services</w:t>
            </w:r>
          </w:p>
        </w:tc>
        <w:tc>
          <w:tcPr>
            <w:tcW w:w="6200" w:type="dxa"/>
            <w:vAlign w:val="bottom"/>
          </w:tcPr>
          <w:p>
            <w:pPr>
              <w:jc w:val="right"/>
              <w:spacing w:after="0"/>
              <w:rPr>
                <w:sz w:val="20"/>
                <w:szCs w:val="20"/>
                <w:color w:val="auto"/>
              </w:rPr>
            </w:pPr>
            <w:r>
              <w:rPr>
                <w:rFonts w:ascii="Arial" w:cs="Arial" w:eastAsia="Arial" w:hAnsi="Arial"/>
                <w:sz w:val="10"/>
                <w:szCs w:val="10"/>
                <w:color w:val="auto"/>
              </w:rPr>
              <w:t>115, 209, 234</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16D.</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Exemptions from the Listing Standards for Audit Committees</w:t>
            </w:r>
          </w:p>
        </w:tc>
        <w:tc>
          <w:tcPr>
            <w:tcW w:w="6200" w:type="dxa"/>
            <w:vAlign w:val="bottom"/>
          </w:tcPr>
          <w:p>
            <w:pPr>
              <w:jc w:val="right"/>
              <w:spacing w:after="0"/>
              <w:rPr>
                <w:sz w:val="20"/>
                <w:szCs w:val="20"/>
                <w:color w:val="auto"/>
              </w:rPr>
            </w:pPr>
            <w:r>
              <w:rPr>
                <w:rFonts w:ascii="Arial" w:cs="Arial" w:eastAsia="Arial" w:hAnsi="Arial"/>
                <w:sz w:val="10"/>
                <w:szCs w:val="10"/>
                <w:color w:val="auto"/>
              </w:rPr>
              <w:t>151</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16E.</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Purchases of Equity Securities by the Issuer and Affiliated Purchasers</w:t>
            </w:r>
          </w:p>
        </w:tc>
        <w:tc>
          <w:tcPr>
            <w:tcW w:w="6200" w:type="dxa"/>
            <w:vAlign w:val="bottom"/>
          </w:tcPr>
          <w:p>
            <w:pPr>
              <w:jc w:val="right"/>
              <w:spacing w:after="0"/>
              <w:rPr>
                <w:sz w:val="20"/>
                <w:szCs w:val="20"/>
                <w:color w:val="auto"/>
              </w:rPr>
            </w:pPr>
            <w:r>
              <w:rPr>
                <w:rFonts w:ascii="Arial" w:cs="Arial" w:eastAsia="Arial" w:hAnsi="Arial"/>
                <w:sz w:val="10"/>
                <w:szCs w:val="10"/>
                <w:color w:val="auto"/>
              </w:rPr>
              <w:t>63, 148-149</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16F.</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Change in Registrant’s Certifying Accountant</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16G.</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Corporate Governance</w:t>
            </w:r>
          </w:p>
        </w:tc>
        <w:tc>
          <w:tcPr>
            <w:tcW w:w="6200" w:type="dxa"/>
            <w:vAlign w:val="bottom"/>
          </w:tcPr>
          <w:p>
            <w:pPr>
              <w:jc w:val="right"/>
              <w:spacing w:after="0"/>
              <w:rPr>
                <w:sz w:val="20"/>
                <w:szCs w:val="20"/>
                <w:color w:val="auto"/>
              </w:rPr>
            </w:pPr>
            <w:r>
              <w:rPr>
                <w:rFonts w:ascii="Arial" w:cs="Arial" w:eastAsia="Arial" w:hAnsi="Arial"/>
                <w:sz w:val="10"/>
                <w:szCs w:val="10"/>
                <w:color w:val="auto"/>
              </w:rPr>
              <w:t>150-157</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16H.</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Mine Safety Disclosure</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261"/>
        </w:trPr>
        <w:tc>
          <w:tcPr>
            <w:tcW w:w="700" w:type="dxa"/>
            <w:vAlign w:val="bottom"/>
          </w:tcPr>
          <w:p>
            <w:pPr>
              <w:spacing w:after="0"/>
              <w:rPr>
                <w:sz w:val="20"/>
                <w:szCs w:val="20"/>
                <w:color w:val="auto"/>
              </w:rPr>
            </w:pPr>
            <w:r>
              <w:rPr>
                <w:rFonts w:ascii="Arial" w:cs="Arial" w:eastAsia="Arial" w:hAnsi="Arial"/>
                <w:sz w:val="10"/>
                <w:szCs w:val="10"/>
                <w:color w:val="auto"/>
              </w:rPr>
              <w:t>Part III</w:t>
            </w:r>
          </w:p>
        </w:tc>
        <w:tc>
          <w:tcPr>
            <w:tcW w:w="58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6200" w:type="dxa"/>
            <w:vAlign w:val="bottom"/>
          </w:tcPr>
          <w:p>
            <w:pPr>
              <w:spacing w:after="0"/>
              <w:rPr>
                <w:sz w:val="22"/>
                <w:szCs w:val="22"/>
                <w:color w:val="auto"/>
              </w:rPr>
            </w:pP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17.</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Financial Statements</w:t>
            </w:r>
          </w:p>
        </w:tc>
        <w:tc>
          <w:tcPr>
            <w:tcW w:w="6200" w:type="dxa"/>
            <w:vAlign w:val="bottom"/>
          </w:tcPr>
          <w:p>
            <w:pPr>
              <w:jc w:val="right"/>
              <w:spacing w:after="0"/>
              <w:rPr>
                <w:sz w:val="20"/>
                <w:szCs w:val="20"/>
                <w:color w:val="auto"/>
              </w:rPr>
            </w:pPr>
            <w:r>
              <w:rPr>
                <w:rFonts w:ascii="Arial" w:cs="Arial" w:eastAsia="Arial" w:hAnsi="Arial"/>
                <w:sz w:val="10"/>
                <w:szCs w:val="10"/>
                <w:color w:val="auto"/>
              </w:rPr>
              <w:t>N/A</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18.</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Financial Statements</w:t>
            </w:r>
          </w:p>
        </w:tc>
        <w:tc>
          <w:tcPr>
            <w:tcW w:w="6200" w:type="dxa"/>
            <w:vAlign w:val="bottom"/>
          </w:tcPr>
          <w:p>
            <w:pPr>
              <w:jc w:val="right"/>
              <w:spacing w:after="0"/>
              <w:rPr>
                <w:sz w:val="20"/>
                <w:szCs w:val="20"/>
                <w:color w:val="auto"/>
              </w:rPr>
            </w:pPr>
            <w:r>
              <w:rPr>
                <w:rFonts w:ascii="Arial" w:cs="Arial" w:eastAsia="Arial" w:hAnsi="Arial"/>
                <w:sz w:val="10"/>
                <w:szCs w:val="10"/>
                <w:color w:val="auto"/>
              </w:rPr>
              <w:t>158-210, 229-234</w:t>
            </w:r>
          </w:p>
        </w:tc>
      </w:tr>
      <w:tr>
        <w:trPr>
          <w:trHeight w:val="126"/>
        </w:trPr>
        <w:tc>
          <w:tcPr>
            <w:tcW w:w="700" w:type="dxa"/>
            <w:vAlign w:val="bottom"/>
          </w:tcPr>
          <w:p>
            <w:pPr>
              <w:spacing w:after="0"/>
              <w:rPr>
                <w:sz w:val="20"/>
                <w:szCs w:val="20"/>
                <w:color w:val="auto"/>
              </w:rPr>
            </w:pPr>
            <w:r>
              <w:rPr>
                <w:rFonts w:ascii="Arial" w:cs="Arial" w:eastAsia="Arial" w:hAnsi="Arial"/>
                <w:sz w:val="10"/>
                <w:szCs w:val="10"/>
                <w:color w:val="auto"/>
              </w:rPr>
              <w:t>Item 19.</w:t>
            </w:r>
          </w:p>
        </w:tc>
        <w:tc>
          <w:tcPr>
            <w:tcW w:w="580" w:type="dxa"/>
            <w:vAlign w:val="bottom"/>
          </w:tcPr>
          <w:p>
            <w:pPr>
              <w:spacing w:after="0"/>
              <w:rPr>
                <w:sz w:val="10"/>
                <w:szCs w:val="10"/>
                <w:color w:val="auto"/>
              </w:rPr>
            </w:pPr>
          </w:p>
        </w:tc>
        <w:tc>
          <w:tcPr>
            <w:tcW w:w="3820" w:type="dxa"/>
            <w:vAlign w:val="bottom"/>
          </w:tcPr>
          <w:p>
            <w:pPr>
              <w:ind w:left="120"/>
              <w:spacing w:after="0"/>
              <w:rPr>
                <w:sz w:val="20"/>
                <w:szCs w:val="20"/>
                <w:color w:val="auto"/>
              </w:rPr>
            </w:pPr>
            <w:r>
              <w:rPr>
                <w:rFonts w:ascii="Arial" w:cs="Arial" w:eastAsia="Arial" w:hAnsi="Arial"/>
                <w:sz w:val="10"/>
                <w:szCs w:val="10"/>
                <w:color w:val="auto"/>
              </w:rPr>
              <w:t>Exhibits</w:t>
            </w:r>
          </w:p>
        </w:tc>
        <w:tc>
          <w:tcPr>
            <w:tcW w:w="6200" w:type="dxa"/>
            <w:vAlign w:val="bottom"/>
          </w:tcPr>
          <w:p>
            <w:pPr>
              <w:jc w:val="right"/>
              <w:spacing w:after="0"/>
              <w:rPr>
                <w:sz w:val="20"/>
                <w:szCs w:val="20"/>
                <w:color w:val="auto"/>
              </w:rPr>
            </w:pPr>
            <w:r>
              <w:rPr>
                <w:rFonts w:ascii="Arial" w:cs="Arial" w:eastAsia="Arial" w:hAnsi="Arial"/>
                <w:sz w:val="10"/>
                <w:szCs w:val="10"/>
                <w:color w:val="auto"/>
              </w:rPr>
              <w:t>243</w:t>
            </w:r>
          </w:p>
        </w:tc>
      </w:tr>
      <w:tr>
        <w:trPr>
          <w:trHeight w:val="674"/>
        </w:trPr>
        <w:tc>
          <w:tcPr>
            <w:tcW w:w="1280" w:type="dxa"/>
            <w:vAlign w:val="bottom"/>
            <w:gridSpan w:val="2"/>
          </w:tcPr>
          <w:p>
            <w:pPr>
              <w:ind w:left="40"/>
              <w:spacing w:after="0"/>
              <w:rPr>
                <w:sz w:val="20"/>
                <w:szCs w:val="20"/>
                <w:color w:val="auto"/>
              </w:rPr>
            </w:pPr>
            <w:r>
              <w:rPr>
                <w:rFonts w:ascii="Arial" w:cs="Arial" w:eastAsia="Arial" w:hAnsi="Arial"/>
                <w:sz w:val="6"/>
                <w:szCs w:val="6"/>
                <w:color w:val="auto"/>
              </w:rPr>
              <w:t>INTRODUCTION SHELL FORM 20-F 2020</w:t>
            </w:r>
          </w:p>
        </w:tc>
        <w:tc>
          <w:tcPr>
            <w:tcW w:w="3820" w:type="dxa"/>
            <w:vAlign w:val="bottom"/>
          </w:tcPr>
          <w:p>
            <w:pPr>
              <w:spacing w:after="0"/>
              <w:rPr>
                <w:sz w:val="24"/>
                <w:szCs w:val="24"/>
                <w:color w:val="auto"/>
              </w:rPr>
            </w:pPr>
          </w:p>
        </w:tc>
        <w:tc>
          <w:tcPr>
            <w:tcW w:w="6200" w:type="dxa"/>
            <w:vAlign w:val="bottom"/>
          </w:tcPr>
          <w:p>
            <w:pPr>
              <w:jc w:val="right"/>
              <w:ind w:right="5433"/>
              <w:spacing w:after="0"/>
              <w:rPr>
                <w:sz w:val="20"/>
                <w:szCs w:val="20"/>
                <w:color w:val="auto"/>
              </w:rPr>
            </w:pPr>
            <w:r>
              <w:rPr>
                <w:rFonts w:ascii="Arial" w:cs="Arial" w:eastAsia="Arial" w:hAnsi="Arial"/>
                <w:sz w:val="6"/>
                <w:szCs w:val="6"/>
                <w:color w:val="auto"/>
              </w:rPr>
              <w:t>3</w:t>
            </w:r>
          </w:p>
        </w:tc>
      </w:tr>
      <w:tr>
        <w:trPr>
          <w:trHeight w:val="135"/>
        </w:trPr>
        <w:tc>
          <w:tcPr>
            <w:tcW w:w="70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3820" w:type="dxa"/>
            <w:vAlign w:val="bottom"/>
            <w:tcBorders>
              <w:bottom w:val="single" w:sz="8" w:color="9A9A9A"/>
            </w:tcBorders>
          </w:tcPr>
          <w:p>
            <w:pPr>
              <w:spacing w:after="0"/>
              <w:rPr>
                <w:sz w:val="11"/>
                <w:szCs w:val="11"/>
                <w:color w:val="auto"/>
              </w:rPr>
            </w:pPr>
          </w:p>
        </w:tc>
        <w:tc>
          <w:tcPr>
            <w:tcW w:w="62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30" w:right="29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TERMS AND ABBREVIATIONS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6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Currencies</w:t>
            </w:r>
          </w:p>
        </w:tc>
        <w:tc>
          <w:tcPr>
            <w:tcW w:w="4160" w:type="dxa"/>
            <w:vAlign w:val="bottom"/>
            <w:tcBorders>
              <w:top w:val="single" w:sz="8" w:color="D9D9D9"/>
            </w:tcBorders>
          </w:tcPr>
          <w:p>
            <w:pPr>
              <w:spacing w:after="0"/>
              <w:rPr>
                <w:sz w:val="13"/>
                <w:szCs w:val="13"/>
                <w:color w:val="auto"/>
              </w:rPr>
            </w:pPr>
          </w:p>
        </w:tc>
      </w:tr>
      <w:tr>
        <w:trPr>
          <w:trHeight w:val="123"/>
        </w:trPr>
        <w:tc>
          <w:tcPr>
            <w:tcW w:w="1260" w:type="dxa"/>
            <w:vAlign w:val="bottom"/>
          </w:tcPr>
          <w:p>
            <w:pPr>
              <w:spacing w:after="0"/>
              <w:rPr>
                <w:sz w:val="20"/>
                <w:szCs w:val="20"/>
                <w:color w:val="auto"/>
              </w:rPr>
            </w:pPr>
            <w:r>
              <w:rPr>
                <w:rFonts w:ascii="Arial" w:cs="Arial" w:eastAsia="Arial" w:hAnsi="Arial"/>
                <w:sz w:val="10"/>
                <w:szCs w:val="10"/>
                <w:color w:val="auto"/>
              </w:rPr>
              <w:t>$</w:t>
            </w:r>
          </w:p>
        </w:tc>
        <w:tc>
          <w:tcPr>
            <w:tcW w:w="4160" w:type="dxa"/>
            <w:vAlign w:val="bottom"/>
          </w:tcPr>
          <w:p>
            <w:pPr>
              <w:ind w:left="400"/>
              <w:spacing w:after="0"/>
              <w:rPr>
                <w:sz w:val="20"/>
                <w:szCs w:val="20"/>
                <w:color w:val="auto"/>
              </w:rPr>
            </w:pPr>
            <w:r>
              <w:rPr>
                <w:rFonts w:ascii="Arial" w:cs="Arial" w:eastAsia="Arial" w:hAnsi="Arial"/>
                <w:sz w:val="10"/>
                <w:szCs w:val="10"/>
                <w:color w:val="auto"/>
              </w:rPr>
              <w:t>US dollar</w:t>
            </w:r>
          </w:p>
        </w:tc>
      </w:tr>
      <w:tr>
        <w:trPr>
          <w:trHeight w:val="126"/>
        </w:trPr>
        <w:tc>
          <w:tcPr>
            <w:tcW w:w="1260" w:type="dxa"/>
            <w:vAlign w:val="bottom"/>
          </w:tcPr>
          <w:p>
            <w:pPr>
              <w:spacing w:after="0"/>
              <w:rPr>
                <w:sz w:val="20"/>
                <w:szCs w:val="20"/>
                <w:color w:val="auto"/>
              </w:rPr>
            </w:pPr>
            <w:r>
              <w:rPr>
                <w:rFonts w:ascii="Arial" w:cs="Arial" w:eastAsia="Arial" w:hAnsi="Arial"/>
                <w:sz w:val="10"/>
                <w:szCs w:val="10"/>
                <w:color w:val="auto"/>
              </w:rPr>
              <w:t>€</w:t>
            </w:r>
          </w:p>
        </w:tc>
        <w:tc>
          <w:tcPr>
            <w:tcW w:w="4160" w:type="dxa"/>
            <w:vAlign w:val="bottom"/>
          </w:tcPr>
          <w:p>
            <w:pPr>
              <w:ind w:left="400"/>
              <w:spacing w:after="0"/>
              <w:rPr>
                <w:sz w:val="20"/>
                <w:szCs w:val="20"/>
                <w:color w:val="auto"/>
              </w:rPr>
            </w:pPr>
            <w:r>
              <w:rPr>
                <w:rFonts w:ascii="Arial" w:cs="Arial" w:eastAsia="Arial" w:hAnsi="Arial"/>
                <w:sz w:val="10"/>
                <w:szCs w:val="10"/>
                <w:color w:val="auto"/>
              </w:rPr>
              <w:t>euro</w:t>
            </w:r>
          </w:p>
        </w:tc>
      </w:tr>
      <w:tr>
        <w:trPr>
          <w:trHeight w:val="130"/>
        </w:trPr>
        <w:tc>
          <w:tcPr>
            <w:tcW w:w="1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t>
            </w:r>
          </w:p>
        </w:tc>
        <w:tc>
          <w:tcPr>
            <w:tcW w:w="4160" w:type="dxa"/>
            <w:vAlign w:val="bottom"/>
            <w:tcBorders>
              <w:bottom w:val="single" w:sz="8" w:color="auto"/>
            </w:tcBorders>
          </w:tcPr>
          <w:p>
            <w:pPr>
              <w:ind w:left="400"/>
              <w:spacing w:after="0"/>
              <w:rPr>
                <w:sz w:val="20"/>
                <w:szCs w:val="20"/>
                <w:color w:val="auto"/>
              </w:rPr>
            </w:pPr>
            <w:r>
              <w:rPr>
                <w:rFonts w:ascii="Arial" w:cs="Arial" w:eastAsia="Arial" w:hAnsi="Arial"/>
                <w:sz w:val="10"/>
                <w:szCs w:val="10"/>
                <w:color w:val="auto"/>
              </w:rPr>
              <w:t>sterling</w:t>
            </w:r>
          </w:p>
        </w:tc>
      </w:tr>
      <w:tr>
        <w:trPr>
          <w:trHeight w:val="114"/>
        </w:trPr>
        <w:tc>
          <w:tcPr>
            <w:tcW w:w="1260" w:type="dxa"/>
            <w:vAlign w:val="bottom"/>
          </w:tcPr>
          <w:p>
            <w:pPr>
              <w:spacing w:after="0"/>
              <w:rPr>
                <w:sz w:val="20"/>
                <w:szCs w:val="20"/>
                <w:color w:val="auto"/>
              </w:rPr>
            </w:pPr>
            <w:r>
              <w:rPr>
                <w:rFonts w:ascii="Arial" w:cs="Arial" w:eastAsia="Arial" w:hAnsi="Arial"/>
                <w:sz w:val="10"/>
                <w:szCs w:val="10"/>
                <w:color w:val="auto"/>
              </w:rPr>
              <w:t>Units of measurement</w:t>
            </w:r>
          </w:p>
        </w:tc>
        <w:tc>
          <w:tcPr>
            <w:tcW w:w="4160" w:type="dxa"/>
            <w:vAlign w:val="bottom"/>
          </w:tcPr>
          <w:p>
            <w:pPr>
              <w:spacing w:after="0"/>
              <w:rPr>
                <w:sz w:val="9"/>
                <w:szCs w:val="9"/>
                <w:color w:val="auto"/>
              </w:rPr>
            </w:pPr>
          </w:p>
        </w:tc>
      </w:tr>
      <w:tr>
        <w:trPr>
          <w:trHeight w:val="123"/>
        </w:trPr>
        <w:tc>
          <w:tcPr>
            <w:tcW w:w="1260" w:type="dxa"/>
            <w:vAlign w:val="bottom"/>
          </w:tcPr>
          <w:p>
            <w:pPr>
              <w:spacing w:after="0"/>
              <w:rPr>
                <w:sz w:val="20"/>
                <w:szCs w:val="20"/>
                <w:color w:val="auto"/>
              </w:rPr>
            </w:pPr>
            <w:r>
              <w:rPr>
                <w:rFonts w:ascii="Arial" w:cs="Arial" w:eastAsia="Arial" w:hAnsi="Arial"/>
                <w:sz w:val="10"/>
                <w:szCs w:val="10"/>
                <w:color w:val="auto"/>
              </w:rPr>
              <w:t>acre</w:t>
            </w:r>
          </w:p>
        </w:tc>
        <w:tc>
          <w:tcPr>
            <w:tcW w:w="4160" w:type="dxa"/>
            <w:vAlign w:val="bottom"/>
          </w:tcPr>
          <w:p>
            <w:pPr>
              <w:ind w:left="400"/>
              <w:spacing w:after="0"/>
              <w:rPr>
                <w:sz w:val="20"/>
                <w:szCs w:val="20"/>
                <w:color w:val="auto"/>
              </w:rPr>
            </w:pPr>
            <w:r>
              <w:rPr>
                <w:rFonts w:ascii="Arial" w:cs="Arial" w:eastAsia="Arial" w:hAnsi="Arial"/>
                <w:sz w:val="10"/>
                <w:szCs w:val="10"/>
                <w:color w:val="auto"/>
              </w:rPr>
              <w:t>approximately 0.004 square kilometres</w:t>
            </w:r>
          </w:p>
        </w:tc>
      </w:tr>
      <w:tr>
        <w:trPr>
          <w:trHeight w:val="126"/>
        </w:trPr>
        <w:tc>
          <w:tcPr>
            <w:tcW w:w="1260" w:type="dxa"/>
            <w:vAlign w:val="bottom"/>
          </w:tcPr>
          <w:p>
            <w:pPr>
              <w:spacing w:after="0"/>
              <w:rPr>
                <w:sz w:val="20"/>
                <w:szCs w:val="20"/>
                <w:color w:val="auto"/>
              </w:rPr>
            </w:pPr>
            <w:r>
              <w:rPr>
                <w:rFonts w:ascii="Arial" w:cs="Arial" w:eastAsia="Arial" w:hAnsi="Arial"/>
                <w:sz w:val="10"/>
                <w:szCs w:val="10"/>
                <w:color w:val="auto"/>
              </w:rPr>
              <w:t>b(/d)</w:t>
            </w:r>
          </w:p>
        </w:tc>
        <w:tc>
          <w:tcPr>
            <w:tcW w:w="4160" w:type="dxa"/>
            <w:vAlign w:val="bottom"/>
          </w:tcPr>
          <w:p>
            <w:pPr>
              <w:ind w:left="400"/>
              <w:spacing w:after="0"/>
              <w:rPr>
                <w:sz w:val="20"/>
                <w:szCs w:val="20"/>
                <w:color w:val="auto"/>
              </w:rPr>
            </w:pPr>
            <w:r>
              <w:rPr>
                <w:rFonts w:ascii="Arial" w:cs="Arial" w:eastAsia="Arial" w:hAnsi="Arial"/>
                <w:sz w:val="10"/>
                <w:szCs w:val="10"/>
                <w:color w:val="auto"/>
              </w:rPr>
              <w:t>barrels (per day)</w:t>
            </w:r>
          </w:p>
        </w:tc>
      </w:tr>
      <w:tr>
        <w:trPr>
          <w:trHeight w:val="98"/>
        </w:trPr>
        <w:tc>
          <w:tcPr>
            <w:tcW w:w="1260" w:type="dxa"/>
            <w:vAlign w:val="bottom"/>
          </w:tcPr>
          <w:p>
            <w:pPr>
              <w:spacing w:after="0" w:line="98" w:lineRule="exact"/>
              <w:rPr>
                <w:sz w:val="20"/>
                <w:szCs w:val="20"/>
                <w:color w:val="auto"/>
              </w:rPr>
            </w:pPr>
            <w:r>
              <w:rPr>
                <w:rFonts w:ascii="Arial" w:cs="Arial" w:eastAsia="Arial" w:hAnsi="Arial"/>
                <w:sz w:val="10"/>
                <w:szCs w:val="10"/>
                <w:color w:val="auto"/>
              </w:rPr>
              <w:t>boe(/d)</w:t>
            </w:r>
          </w:p>
        </w:tc>
        <w:tc>
          <w:tcPr>
            <w:tcW w:w="4160" w:type="dxa"/>
            <w:vAlign w:val="bottom"/>
          </w:tcPr>
          <w:p>
            <w:pPr>
              <w:ind w:left="400"/>
              <w:spacing w:after="0" w:line="98" w:lineRule="exact"/>
              <w:rPr>
                <w:sz w:val="20"/>
                <w:szCs w:val="20"/>
                <w:color w:val="auto"/>
              </w:rPr>
            </w:pPr>
            <w:r>
              <w:rPr>
                <w:rFonts w:ascii="Arial" w:cs="Arial" w:eastAsia="Arial" w:hAnsi="Arial"/>
                <w:sz w:val="10"/>
                <w:szCs w:val="10"/>
                <w:color w:val="auto"/>
                <w:w w:val="89"/>
              </w:rPr>
              <w:t>barrels of oil equivalent (per day); natural gas volumes are converted into oil equivalent using a</w:t>
            </w:r>
          </w:p>
        </w:tc>
      </w:tr>
      <w:tr>
        <w:trPr>
          <w:trHeight w:val="121"/>
        </w:trPr>
        <w:tc>
          <w:tcPr>
            <w:tcW w:w="1260" w:type="dxa"/>
            <w:vAlign w:val="bottom"/>
          </w:tcPr>
          <w:p>
            <w:pPr>
              <w:spacing w:after="0"/>
              <w:rPr>
                <w:sz w:val="10"/>
                <w:szCs w:val="10"/>
                <w:color w:val="auto"/>
              </w:rPr>
            </w:pPr>
          </w:p>
        </w:tc>
        <w:tc>
          <w:tcPr>
            <w:tcW w:w="4160" w:type="dxa"/>
            <w:vAlign w:val="bottom"/>
          </w:tcPr>
          <w:p>
            <w:pPr>
              <w:ind w:left="400"/>
              <w:spacing w:after="0"/>
              <w:rPr>
                <w:sz w:val="20"/>
                <w:szCs w:val="20"/>
                <w:color w:val="auto"/>
              </w:rPr>
            </w:pPr>
            <w:r>
              <w:rPr>
                <w:rFonts w:ascii="Arial" w:cs="Arial" w:eastAsia="Arial" w:hAnsi="Arial"/>
                <w:sz w:val="10"/>
                <w:szCs w:val="10"/>
                <w:color w:val="auto"/>
              </w:rPr>
              <w:t>factor of 5,800 scf per barrel</w:t>
            </w:r>
          </w:p>
        </w:tc>
      </w:tr>
      <w:tr>
        <w:trPr>
          <w:trHeight w:val="95"/>
        </w:trPr>
        <w:tc>
          <w:tcPr>
            <w:tcW w:w="1260" w:type="dxa"/>
            <w:vAlign w:val="bottom"/>
          </w:tcPr>
          <w:p>
            <w:pPr>
              <w:spacing w:after="0" w:line="95" w:lineRule="exact"/>
              <w:rPr>
                <w:sz w:val="20"/>
                <w:szCs w:val="20"/>
                <w:color w:val="auto"/>
              </w:rPr>
            </w:pPr>
            <w:r>
              <w:rPr>
                <w:rFonts w:ascii="Arial" w:cs="Arial" w:eastAsia="Arial" w:hAnsi="Arial"/>
                <w:sz w:val="10"/>
                <w:szCs w:val="10"/>
                <w:color w:val="auto"/>
              </w:rPr>
              <w:t>kboe(/d)</w:t>
            </w:r>
          </w:p>
        </w:tc>
        <w:tc>
          <w:tcPr>
            <w:tcW w:w="4160" w:type="dxa"/>
            <w:vAlign w:val="bottom"/>
          </w:tcPr>
          <w:p>
            <w:pPr>
              <w:ind w:left="400"/>
              <w:spacing w:after="0" w:line="95" w:lineRule="exact"/>
              <w:rPr>
                <w:sz w:val="20"/>
                <w:szCs w:val="20"/>
                <w:color w:val="auto"/>
              </w:rPr>
            </w:pPr>
            <w:r>
              <w:rPr>
                <w:rFonts w:ascii="Arial" w:cs="Arial" w:eastAsia="Arial" w:hAnsi="Arial"/>
                <w:sz w:val="10"/>
                <w:szCs w:val="10"/>
                <w:color w:val="auto"/>
                <w:w w:val="87"/>
              </w:rPr>
              <w:t>thousand barrels of oil equivalent (per day); natural gas volumes are converted into oil equivalent</w:t>
            </w:r>
          </w:p>
        </w:tc>
      </w:tr>
      <w:tr>
        <w:trPr>
          <w:trHeight w:val="121"/>
        </w:trPr>
        <w:tc>
          <w:tcPr>
            <w:tcW w:w="1260" w:type="dxa"/>
            <w:vAlign w:val="bottom"/>
          </w:tcPr>
          <w:p>
            <w:pPr>
              <w:spacing w:after="0"/>
              <w:rPr>
                <w:sz w:val="10"/>
                <w:szCs w:val="10"/>
                <w:color w:val="auto"/>
              </w:rPr>
            </w:pPr>
          </w:p>
        </w:tc>
        <w:tc>
          <w:tcPr>
            <w:tcW w:w="4160" w:type="dxa"/>
            <w:vAlign w:val="bottom"/>
          </w:tcPr>
          <w:p>
            <w:pPr>
              <w:ind w:left="400"/>
              <w:spacing w:after="0"/>
              <w:rPr>
                <w:sz w:val="20"/>
                <w:szCs w:val="20"/>
                <w:color w:val="auto"/>
              </w:rPr>
            </w:pPr>
            <w:r>
              <w:rPr>
                <w:rFonts w:ascii="Arial" w:cs="Arial" w:eastAsia="Arial" w:hAnsi="Arial"/>
                <w:sz w:val="10"/>
                <w:szCs w:val="10"/>
                <w:color w:val="auto"/>
              </w:rPr>
              <w:t>using a factor of 5,800 scf per barrel</w:t>
            </w:r>
          </w:p>
        </w:tc>
      </w:tr>
      <w:tr>
        <w:trPr>
          <w:trHeight w:val="123"/>
        </w:trPr>
        <w:tc>
          <w:tcPr>
            <w:tcW w:w="1260" w:type="dxa"/>
            <w:vAlign w:val="bottom"/>
          </w:tcPr>
          <w:p>
            <w:pPr>
              <w:spacing w:after="0"/>
              <w:rPr>
                <w:sz w:val="20"/>
                <w:szCs w:val="20"/>
                <w:color w:val="auto"/>
              </w:rPr>
            </w:pPr>
            <w:r>
              <w:rPr>
                <w:rFonts w:ascii="Arial" w:cs="Arial" w:eastAsia="Arial" w:hAnsi="Arial"/>
                <w:sz w:val="10"/>
                <w:szCs w:val="10"/>
                <w:color w:val="auto"/>
              </w:rPr>
              <w:t>MMBtu</w:t>
            </w:r>
          </w:p>
        </w:tc>
        <w:tc>
          <w:tcPr>
            <w:tcW w:w="4160" w:type="dxa"/>
            <w:vAlign w:val="bottom"/>
          </w:tcPr>
          <w:p>
            <w:pPr>
              <w:ind w:left="400"/>
              <w:spacing w:after="0"/>
              <w:rPr>
                <w:sz w:val="20"/>
                <w:szCs w:val="20"/>
                <w:color w:val="auto"/>
              </w:rPr>
            </w:pPr>
            <w:r>
              <w:rPr>
                <w:rFonts w:ascii="Arial" w:cs="Arial" w:eastAsia="Arial" w:hAnsi="Arial"/>
                <w:sz w:val="10"/>
                <w:szCs w:val="10"/>
                <w:color w:val="auto"/>
              </w:rPr>
              <w:t>million British thermal units</w:t>
            </w:r>
          </w:p>
        </w:tc>
      </w:tr>
      <w:tr>
        <w:trPr>
          <w:trHeight w:val="126"/>
        </w:trPr>
        <w:tc>
          <w:tcPr>
            <w:tcW w:w="1260" w:type="dxa"/>
            <w:vAlign w:val="bottom"/>
          </w:tcPr>
          <w:p>
            <w:pPr>
              <w:spacing w:after="0"/>
              <w:rPr>
                <w:sz w:val="20"/>
                <w:szCs w:val="20"/>
                <w:color w:val="auto"/>
              </w:rPr>
            </w:pPr>
            <w:r>
              <w:rPr>
                <w:rFonts w:ascii="Arial" w:cs="Arial" w:eastAsia="Arial" w:hAnsi="Arial"/>
                <w:sz w:val="10"/>
                <w:szCs w:val="10"/>
                <w:color w:val="auto"/>
              </w:rPr>
              <w:t>megajoule</w:t>
            </w:r>
          </w:p>
        </w:tc>
        <w:tc>
          <w:tcPr>
            <w:tcW w:w="4160" w:type="dxa"/>
            <w:vAlign w:val="bottom"/>
          </w:tcPr>
          <w:p>
            <w:pPr>
              <w:ind w:left="400"/>
              <w:spacing w:after="0"/>
              <w:rPr>
                <w:sz w:val="20"/>
                <w:szCs w:val="20"/>
                <w:color w:val="auto"/>
              </w:rPr>
            </w:pPr>
            <w:r>
              <w:rPr>
                <w:rFonts w:ascii="Arial" w:cs="Arial" w:eastAsia="Arial" w:hAnsi="Arial"/>
                <w:sz w:val="10"/>
                <w:szCs w:val="10"/>
                <w:color w:val="auto"/>
              </w:rPr>
              <w:t>a unit of energy equal to one million joules</w:t>
            </w:r>
          </w:p>
        </w:tc>
      </w:tr>
      <w:tr>
        <w:trPr>
          <w:trHeight w:val="126"/>
        </w:trPr>
        <w:tc>
          <w:tcPr>
            <w:tcW w:w="1260" w:type="dxa"/>
            <w:vAlign w:val="bottom"/>
          </w:tcPr>
          <w:p>
            <w:pPr>
              <w:spacing w:after="0"/>
              <w:rPr>
                <w:sz w:val="20"/>
                <w:szCs w:val="20"/>
                <w:color w:val="auto"/>
              </w:rPr>
            </w:pPr>
            <w:r>
              <w:rPr>
                <w:rFonts w:ascii="Arial" w:cs="Arial" w:eastAsia="Arial" w:hAnsi="Arial"/>
                <w:sz w:val="10"/>
                <w:szCs w:val="10"/>
                <w:color w:val="auto"/>
              </w:rPr>
              <w:t>mtpa</w:t>
            </w:r>
          </w:p>
        </w:tc>
        <w:tc>
          <w:tcPr>
            <w:tcW w:w="4160" w:type="dxa"/>
            <w:vAlign w:val="bottom"/>
          </w:tcPr>
          <w:p>
            <w:pPr>
              <w:ind w:left="400"/>
              <w:spacing w:after="0"/>
              <w:rPr>
                <w:sz w:val="20"/>
                <w:szCs w:val="20"/>
                <w:color w:val="auto"/>
              </w:rPr>
            </w:pPr>
            <w:r>
              <w:rPr>
                <w:rFonts w:ascii="Arial" w:cs="Arial" w:eastAsia="Arial" w:hAnsi="Arial"/>
                <w:sz w:val="10"/>
                <w:szCs w:val="10"/>
                <w:color w:val="auto"/>
              </w:rPr>
              <w:t>million tonnes per annum</w:t>
            </w:r>
          </w:p>
        </w:tc>
      </w:tr>
      <w:tr>
        <w:trPr>
          <w:trHeight w:val="126"/>
        </w:trPr>
        <w:tc>
          <w:tcPr>
            <w:tcW w:w="1260" w:type="dxa"/>
            <w:vAlign w:val="bottom"/>
          </w:tcPr>
          <w:p>
            <w:pPr>
              <w:spacing w:after="0"/>
              <w:rPr>
                <w:sz w:val="20"/>
                <w:szCs w:val="20"/>
                <w:color w:val="auto"/>
              </w:rPr>
            </w:pPr>
            <w:r>
              <w:rPr>
                <w:rFonts w:ascii="Arial" w:cs="Arial" w:eastAsia="Arial" w:hAnsi="Arial"/>
                <w:sz w:val="10"/>
                <w:szCs w:val="10"/>
                <w:color w:val="auto"/>
              </w:rPr>
              <w:t>per day</w:t>
            </w:r>
          </w:p>
        </w:tc>
        <w:tc>
          <w:tcPr>
            <w:tcW w:w="4160" w:type="dxa"/>
            <w:vAlign w:val="bottom"/>
          </w:tcPr>
          <w:p>
            <w:pPr>
              <w:ind w:left="400"/>
              <w:spacing w:after="0"/>
              <w:rPr>
                <w:sz w:val="20"/>
                <w:szCs w:val="20"/>
                <w:color w:val="auto"/>
              </w:rPr>
            </w:pPr>
            <w:r>
              <w:rPr>
                <w:rFonts w:ascii="Arial" w:cs="Arial" w:eastAsia="Arial" w:hAnsi="Arial"/>
                <w:sz w:val="10"/>
                <w:szCs w:val="10"/>
                <w:color w:val="auto"/>
              </w:rPr>
              <w:t>volumes are converted into a daily basis using a calendar year</w:t>
            </w:r>
          </w:p>
        </w:tc>
      </w:tr>
      <w:tr>
        <w:trPr>
          <w:trHeight w:val="130"/>
        </w:trPr>
        <w:tc>
          <w:tcPr>
            <w:tcW w:w="1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scf(/d)</w:t>
            </w:r>
          </w:p>
        </w:tc>
        <w:tc>
          <w:tcPr>
            <w:tcW w:w="4160" w:type="dxa"/>
            <w:vAlign w:val="bottom"/>
            <w:tcBorders>
              <w:bottom w:val="single" w:sz="8" w:color="auto"/>
            </w:tcBorders>
          </w:tcPr>
          <w:p>
            <w:pPr>
              <w:ind w:left="400"/>
              <w:spacing w:after="0"/>
              <w:rPr>
                <w:sz w:val="20"/>
                <w:szCs w:val="20"/>
                <w:color w:val="auto"/>
              </w:rPr>
            </w:pPr>
            <w:r>
              <w:rPr>
                <w:rFonts w:ascii="Arial" w:cs="Arial" w:eastAsia="Arial" w:hAnsi="Arial"/>
                <w:sz w:val="10"/>
                <w:szCs w:val="10"/>
                <w:color w:val="auto"/>
              </w:rPr>
              <w:t>standard cubic feet (per day)</w:t>
            </w:r>
          </w:p>
        </w:tc>
      </w:tr>
      <w:tr>
        <w:trPr>
          <w:trHeight w:val="114"/>
        </w:trPr>
        <w:tc>
          <w:tcPr>
            <w:tcW w:w="1260" w:type="dxa"/>
            <w:vAlign w:val="bottom"/>
          </w:tcPr>
          <w:p>
            <w:pPr>
              <w:spacing w:after="0"/>
              <w:rPr>
                <w:sz w:val="20"/>
                <w:szCs w:val="20"/>
                <w:color w:val="auto"/>
              </w:rPr>
            </w:pPr>
            <w:r>
              <w:rPr>
                <w:rFonts w:ascii="Arial" w:cs="Arial" w:eastAsia="Arial" w:hAnsi="Arial"/>
                <w:sz w:val="10"/>
                <w:szCs w:val="10"/>
                <w:color w:val="auto"/>
              </w:rPr>
              <w:t>Products</w:t>
            </w:r>
          </w:p>
        </w:tc>
        <w:tc>
          <w:tcPr>
            <w:tcW w:w="4160" w:type="dxa"/>
            <w:vAlign w:val="bottom"/>
          </w:tcPr>
          <w:p>
            <w:pPr>
              <w:spacing w:after="0"/>
              <w:rPr>
                <w:sz w:val="9"/>
                <w:szCs w:val="9"/>
                <w:color w:val="auto"/>
              </w:rPr>
            </w:pPr>
          </w:p>
        </w:tc>
      </w:tr>
      <w:tr>
        <w:trPr>
          <w:trHeight w:val="123"/>
        </w:trPr>
        <w:tc>
          <w:tcPr>
            <w:tcW w:w="1260" w:type="dxa"/>
            <w:vAlign w:val="bottom"/>
          </w:tcPr>
          <w:p>
            <w:pPr>
              <w:spacing w:after="0"/>
              <w:rPr>
                <w:sz w:val="20"/>
                <w:szCs w:val="20"/>
                <w:color w:val="auto"/>
              </w:rPr>
            </w:pPr>
            <w:r>
              <w:rPr>
                <w:rFonts w:ascii="Arial" w:cs="Arial" w:eastAsia="Arial" w:hAnsi="Arial"/>
                <w:sz w:val="10"/>
                <w:szCs w:val="10"/>
                <w:color w:val="auto"/>
              </w:rPr>
              <w:t>GTL</w:t>
            </w:r>
          </w:p>
        </w:tc>
        <w:tc>
          <w:tcPr>
            <w:tcW w:w="4160" w:type="dxa"/>
            <w:vAlign w:val="bottom"/>
          </w:tcPr>
          <w:p>
            <w:pPr>
              <w:ind w:left="400"/>
              <w:spacing w:after="0"/>
              <w:rPr>
                <w:sz w:val="20"/>
                <w:szCs w:val="20"/>
                <w:color w:val="auto"/>
              </w:rPr>
            </w:pPr>
            <w:r>
              <w:rPr>
                <w:rFonts w:ascii="Arial" w:cs="Arial" w:eastAsia="Arial" w:hAnsi="Arial"/>
                <w:sz w:val="10"/>
                <w:szCs w:val="10"/>
                <w:color w:val="auto"/>
              </w:rPr>
              <w:t>gas-to-liquids</w:t>
            </w:r>
          </w:p>
        </w:tc>
      </w:tr>
      <w:tr>
        <w:trPr>
          <w:trHeight w:val="126"/>
        </w:trPr>
        <w:tc>
          <w:tcPr>
            <w:tcW w:w="1260" w:type="dxa"/>
            <w:vAlign w:val="bottom"/>
          </w:tcPr>
          <w:p>
            <w:pPr>
              <w:spacing w:after="0"/>
              <w:rPr>
                <w:sz w:val="20"/>
                <w:szCs w:val="20"/>
                <w:color w:val="auto"/>
              </w:rPr>
            </w:pPr>
            <w:r>
              <w:rPr>
                <w:rFonts w:ascii="Arial" w:cs="Arial" w:eastAsia="Arial" w:hAnsi="Arial"/>
                <w:sz w:val="10"/>
                <w:szCs w:val="10"/>
                <w:color w:val="auto"/>
              </w:rPr>
              <w:t>LNG</w:t>
            </w:r>
          </w:p>
        </w:tc>
        <w:tc>
          <w:tcPr>
            <w:tcW w:w="4160" w:type="dxa"/>
            <w:vAlign w:val="bottom"/>
          </w:tcPr>
          <w:p>
            <w:pPr>
              <w:ind w:left="400"/>
              <w:spacing w:after="0"/>
              <w:rPr>
                <w:sz w:val="20"/>
                <w:szCs w:val="20"/>
                <w:color w:val="auto"/>
              </w:rPr>
            </w:pPr>
            <w:r>
              <w:rPr>
                <w:rFonts w:ascii="Arial" w:cs="Arial" w:eastAsia="Arial" w:hAnsi="Arial"/>
                <w:sz w:val="10"/>
                <w:szCs w:val="10"/>
                <w:color w:val="auto"/>
              </w:rPr>
              <w:t>liquefied natural gas</w:t>
            </w:r>
          </w:p>
        </w:tc>
      </w:tr>
      <w:tr>
        <w:trPr>
          <w:trHeight w:val="126"/>
        </w:trPr>
        <w:tc>
          <w:tcPr>
            <w:tcW w:w="1260" w:type="dxa"/>
            <w:vAlign w:val="bottom"/>
          </w:tcPr>
          <w:p>
            <w:pPr>
              <w:spacing w:after="0"/>
              <w:rPr>
                <w:sz w:val="20"/>
                <w:szCs w:val="20"/>
                <w:color w:val="auto"/>
              </w:rPr>
            </w:pPr>
            <w:r>
              <w:rPr>
                <w:rFonts w:ascii="Arial" w:cs="Arial" w:eastAsia="Arial" w:hAnsi="Arial"/>
                <w:sz w:val="10"/>
                <w:szCs w:val="10"/>
                <w:color w:val="auto"/>
              </w:rPr>
              <w:t>LPG</w:t>
            </w:r>
          </w:p>
        </w:tc>
        <w:tc>
          <w:tcPr>
            <w:tcW w:w="4160" w:type="dxa"/>
            <w:vAlign w:val="bottom"/>
          </w:tcPr>
          <w:p>
            <w:pPr>
              <w:ind w:left="400"/>
              <w:spacing w:after="0"/>
              <w:rPr>
                <w:sz w:val="20"/>
                <w:szCs w:val="20"/>
                <w:color w:val="auto"/>
              </w:rPr>
            </w:pPr>
            <w:r>
              <w:rPr>
                <w:rFonts w:ascii="Arial" w:cs="Arial" w:eastAsia="Arial" w:hAnsi="Arial"/>
                <w:sz w:val="10"/>
                <w:szCs w:val="10"/>
                <w:color w:val="auto"/>
              </w:rPr>
              <w:t>liquefied petroleum gas</w:t>
            </w:r>
          </w:p>
        </w:tc>
      </w:tr>
      <w:tr>
        <w:trPr>
          <w:trHeight w:val="126"/>
        </w:trPr>
        <w:tc>
          <w:tcPr>
            <w:tcW w:w="1260" w:type="dxa"/>
            <w:vAlign w:val="bottom"/>
          </w:tcPr>
          <w:p>
            <w:pPr>
              <w:spacing w:after="0"/>
              <w:rPr>
                <w:sz w:val="20"/>
                <w:szCs w:val="20"/>
                <w:color w:val="auto"/>
              </w:rPr>
            </w:pPr>
            <w:r>
              <w:rPr>
                <w:rFonts w:ascii="Arial" w:cs="Arial" w:eastAsia="Arial" w:hAnsi="Arial"/>
                <w:sz w:val="10"/>
                <w:szCs w:val="10"/>
                <w:color w:val="auto"/>
              </w:rPr>
              <w:t>NGL</w:t>
            </w:r>
          </w:p>
        </w:tc>
        <w:tc>
          <w:tcPr>
            <w:tcW w:w="4160" w:type="dxa"/>
            <w:vAlign w:val="bottom"/>
          </w:tcPr>
          <w:p>
            <w:pPr>
              <w:ind w:left="400"/>
              <w:spacing w:after="0"/>
              <w:rPr>
                <w:sz w:val="20"/>
                <w:szCs w:val="20"/>
                <w:color w:val="auto"/>
              </w:rPr>
            </w:pPr>
            <w:r>
              <w:rPr>
                <w:rFonts w:ascii="Arial" w:cs="Arial" w:eastAsia="Arial" w:hAnsi="Arial"/>
                <w:sz w:val="10"/>
                <w:szCs w:val="10"/>
                <w:color w:val="auto"/>
              </w:rPr>
              <w:t>natural gas liquids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Borders>
              <w:top w:val="single" w:sz="8" w:color="D9D9D9"/>
            </w:tcBorders>
          </w:tcPr>
          <w:p>
            <w:pPr>
              <w:ind w:left="20"/>
              <w:spacing w:after="0"/>
              <w:rPr>
                <w:sz w:val="20"/>
                <w:szCs w:val="20"/>
                <w:color w:val="auto"/>
              </w:rPr>
            </w:pPr>
            <w:r>
              <w:rPr>
                <w:rFonts w:ascii="Arial" w:cs="Arial" w:eastAsia="Arial" w:hAnsi="Arial"/>
                <w:sz w:val="10"/>
                <w:szCs w:val="10"/>
                <w:color w:val="auto"/>
              </w:rPr>
              <w:t>Miscellaneous</w:t>
            </w:r>
          </w:p>
        </w:tc>
        <w:tc>
          <w:tcPr>
            <w:tcW w:w="4300" w:type="dxa"/>
            <w:vAlign w:val="bottom"/>
            <w:tcBorders>
              <w:top w:val="single" w:sz="8" w:color="D9D9D9"/>
            </w:tcBorders>
          </w:tcPr>
          <w:p>
            <w:pPr>
              <w:spacing w:after="0"/>
              <w:rPr>
                <w:sz w:val="13"/>
                <w:szCs w:val="13"/>
                <w:color w:val="auto"/>
              </w:rPr>
            </w:pPr>
          </w:p>
        </w:tc>
      </w:tr>
      <w:tr>
        <w:trPr>
          <w:trHeight w:val="123"/>
        </w:trPr>
        <w:tc>
          <w:tcPr>
            <w:tcW w:w="1140" w:type="dxa"/>
            <w:vAlign w:val="bottom"/>
          </w:tcPr>
          <w:p>
            <w:pPr>
              <w:ind w:left="20"/>
              <w:spacing w:after="0"/>
              <w:rPr>
                <w:sz w:val="20"/>
                <w:szCs w:val="20"/>
                <w:color w:val="auto"/>
              </w:rPr>
            </w:pPr>
            <w:r>
              <w:rPr>
                <w:rFonts w:ascii="Arial" w:cs="Arial" w:eastAsia="Arial" w:hAnsi="Arial"/>
                <w:sz w:val="10"/>
                <w:szCs w:val="10"/>
                <w:color w:val="auto"/>
              </w:rPr>
              <w:t>ADS</w:t>
            </w:r>
          </w:p>
        </w:tc>
        <w:tc>
          <w:tcPr>
            <w:tcW w:w="4300" w:type="dxa"/>
            <w:vAlign w:val="bottom"/>
          </w:tcPr>
          <w:p>
            <w:pPr>
              <w:ind w:left="540"/>
              <w:spacing w:after="0"/>
              <w:rPr>
                <w:sz w:val="20"/>
                <w:szCs w:val="20"/>
                <w:color w:val="auto"/>
              </w:rPr>
            </w:pPr>
            <w:r>
              <w:rPr>
                <w:rFonts w:ascii="Arial" w:cs="Arial" w:eastAsia="Arial" w:hAnsi="Arial"/>
                <w:sz w:val="10"/>
                <w:szCs w:val="10"/>
                <w:color w:val="auto"/>
              </w:rPr>
              <w:t>American Depositary Share</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AGM</w:t>
            </w:r>
          </w:p>
        </w:tc>
        <w:tc>
          <w:tcPr>
            <w:tcW w:w="4300" w:type="dxa"/>
            <w:vAlign w:val="bottom"/>
          </w:tcPr>
          <w:p>
            <w:pPr>
              <w:ind w:left="540"/>
              <w:spacing w:after="0"/>
              <w:rPr>
                <w:sz w:val="20"/>
                <w:szCs w:val="20"/>
                <w:color w:val="auto"/>
              </w:rPr>
            </w:pPr>
            <w:r>
              <w:rPr>
                <w:rFonts w:ascii="Arial" w:cs="Arial" w:eastAsia="Arial" w:hAnsi="Arial"/>
                <w:sz w:val="10"/>
                <w:szCs w:val="10"/>
                <w:color w:val="auto"/>
              </w:rPr>
              <w:t>Annual General Meeting</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API</w:t>
            </w:r>
          </w:p>
        </w:tc>
        <w:tc>
          <w:tcPr>
            <w:tcW w:w="4300" w:type="dxa"/>
            <w:vAlign w:val="bottom"/>
          </w:tcPr>
          <w:p>
            <w:pPr>
              <w:ind w:left="540"/>
              <w:spacing w:after="0"/>
              <w:rPr>
                <w:sz w:val="20"/>
                <w:szCs w:val="20"/>
                <w:color w:val="auto"/>
              </w:rPr>
            </w:pPr>
            <w:r>
              <w:rPr>
                <w:rFonts w:ascii="Arial" w:cs="Arial" w:eastAsia="Arial" w:hAnsi="Arial"/>
                <w:sz w:val="10"/>
                <w:szCs w:val="10"/>
                <w:color w:val="auto"/>
              </w:rPr>
              <w:t>American Petroleum Institute</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CCS</w:t>
            </w:r>
          </w:p>
        </w:tc>
        <w:tc>
          <w:tcPr>
            <w:tcW w:w="4300" w:type="dxa"/>
            <w:vAlign w:val="bottom"/>
          </w:tcPr>
          <w:p>
            <w:pPr>
              <w:ind w:left="540"/>
              <w:spacing w:after="0"/>
              <w:rPr>
                <w:sz w:val="20"/>
                <w:szCs w:val="20"/>
                <w:color w:val="auto"/>
              </w:rPr>
            </w:pPr>
            <w:r>
              <w:rPr>
                <w:rFonts w:ascii="Arial" w:cs="Arial" w:eastAsia="Arial" w:hAnsi="Arial"/>
                <w:sz w:val="10"/>
                <w:szCs w:val="10"/>
                <w:color w:val="auto"/>
              </w:rPr>
              <w:t>carbon capture and storage</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CCS earnings</w:t>
            </w:r>
          </w:p>
        </w:tc>
        <w:tc>
          <w:tcPr>
            <w:tcW w:w="4300" w:type="dxa"/>
            <w:vAlign w:val="bottom"/>
          </w:tcPr>
          <w:p>
            <w:pPr>
              <w:ind w:left="540"/>
              <w:spacing w:after="0"/>
              <w:rPr>
                <w:sz w:val="20"/>
                <w:szCs w:val="20"/>
                <w:color w:val="auto"/>
              </w:rPr>
            </w:pPr>
            <w:r>
              <w:rPr>
                <w:rFonts w:ascii="Arial" w:cs="Arial" w:eastAsia="Arial" w:hAnsi="Arial"/>
                <w:sz w:val="10"/>
                <w:szCs w:val="10"/>
                <w:color w:val="auto"/>
              </w:rPr>
              <w:t>earnings on a current cost of supplies basis</w:t>
            </w:r>
          </w:p>
        </w:tc>
      </w:tr>
      <w:tr>
        <w:trPr>
          <w:trHeight w:val="162"/>
        </w:trPr>
        <w:tc>
          <w:tcPr>
            <w:tcW w:w="1140" w:type="dxa"/>
            <w:vAlign w:val="bottom"/>
          </w:tcPr>
          <w:p>
            <w:pPr>
              <w:ind w:left="20"/>
              <w:spacing w:after="0"/>
              <w:rPr>
                <w:sz w:val="20"/>
                <w:szCs w:val="20"/>
                <w:color w:val="auto"/>
              </w:rPr>
            </w:pPr>
            <w:r>
              <w:rPr>
                <w:rFonts w:ascii="Arial" w:cs="Arial" w:eastAsia="Arial" w:hAnsi="Arial"/>
                <w:sz w:val="10"/>
                <w:szCs w:val="10"/>
                <w:color w:val="auto"/>
              </w:rPr>
              <w:t>CO</w:t>
            </w:r>
            <w:r>
              <w:rPr>
                <w:rFonts w:ascii="Arial" w:cs="Arial" w:eastAsia="Arial" w:hAnsi="Arial"/>
                <w:sz w:val="6"/>
                <w:szCs w:val="6"/>
                <w:color w:val="auto"/>
              </w:rPr>
              <w:t>2</w:t>
            </w:r>
          </w:p>
        </w:tc>
        <w:tc>
          <w:tcPr>
            <w:tcW w:w="4300" w:type="dxa"/>
            <w:vAlign w:val="bottom"/>
          </w:tcPr>
          <w:p>
            <w:pPr>
              <w:ind w:left="540"/>
              <w:spacing w:after="0"/>
              <w:rPr>
                <w:sz w:val="20"/>
                <w:szCs w:val="20"/>
                <w:color w:val="auto"/>
              </w:rPr>
            </w:pPr>
            <w:r>
              <w:rPr>
                <w:rFonts w:ascii="Arial" w:cs="Arial" w:eastAsia="Arial" w:hAnsi="Arial"/>
                <w:sz w:val="10"/>
                <w:szCs w:val="10"/>
                <w:color w:val="auto"/>
              </w:rPr>
              <w:t>carbon dioxide</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EMTN</w:t>
            </w:r>
          </w:p>
        </w:tc>
        <w:tc>
          <w:tcPr>
            <w:tcW w:w="4300" w:type="dxa"/>
            <w:vAlign w:val="bottom"/>
          </w:tcPr>
          <w:p>
            <w:pPr>
              <w:ind w:left="540"/>
              <w:spacing w:after="0"/>
              <w:rPr>
                <w:sz w:val="20"/>
                <w:szCs w:val="20"/>
                <w:color w:val="auto"/>
              </w:rPr>
            </w:pPr>
            <w:r>
              <w:rPr>
                <w:rFonts w:ascii="Arial" w:cs="Arial" w:eastAsia="Arial" w:hAnsi="Arial"/>
                <w:sz w:val="10"/>
                <w:szCs w:val="10"/>
                <w:color w:val="auto"/>
              </w:rPr>
              <w:t>Euro medium-term note</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EPS</w:t>
            </w:r>
          </w:p>
        </w:tc>
        <w:tc>
          <w:tcPr>
            <w:tcW w:w="4300" w:type="dxa"/>
            <w:vAlign w:val="bottom"/>
          </w:tcPr>
          <w:p>
            <w:pPr>
              <w:ind w:left="540"/>
              <w:spacing w:after="0"/>
              <w:rPr>
                <w:sz w:val="20"/>
                <w:szCs w:val="20"/>
                <w:color w:val="auto"/>
              </w:rPr>
            </w:pPr>
            <w:r>
              <w:rPr>
                <w:rFonts w:ascii="Arial" w:cs="Arial" w:eastAsia="Arial" w:hAnsi="Arial"/>
                <w:sz w:val="10"/>
                <w:szCs w:val="10"/>
                <w:color w:val="auto"/>
              </w:rPr>
              <w:t>earnings per share</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FCF</w:t>
            </w:r>
          </w:p>
        </w:tc>
        <w:tc>
          <w:tcPr>
            <w:tcW w:w="4300" w:type="dxa"/>
            <w:vAlign w:val="bottom"/>
          </w:tcPr>
          <w:p>
            <w:pPr>
              <w:ind w:left="540"/>
              <w:spacing w:after="0"/>
              <w:rPr>
                <w:sz w:val="20"/>
                <w:szCs w:val="20"/>
                <w:color w:val="auto"/>
              </w:rPr>
            </w:pPr>
            <w:r>
              <w:rPr>
                <w:rFonts w:ascii="Arial" w:cs="Arial" w:eastAsia="Arial" w:hAnsi="Arial"/>
                <w:sz w:val="10"/>
                <w:szCs w:val="10"/>
                <w:color w:val="auto"/>
              </w:rPr>
              <w:t>free cash flow</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FID</w:t>
            </w:r>
          </w:p>
        </w:tc>
        <w:tc>
          <w:tcPr>
            <w:tcW w:w="4300" w:type="dxa"/>
            <w:vAlign w:val="bottom"/>
          </w:tcPr>
          <w:p>
            <w:pPr>
              <w:ind w:left="540"/>
              <w:spacing w:after="0"/>
              <w:rPr>
                <w:sz w:val="20"/>
                <w:szCs w:val="20"/>
                <w:color w:val="auto"/>
              </w:rPr>
            </w:pPr>
            <w:r>
              <w:rPr>
                <w:rFonts w:ascii="Arial" w:cs="Arial" w:eastAsia="Arial" w:hAnsi="Arial"/>
                <w:sz w:val="10"/>
                <w:szCs w:val="10"/>
                <w:color w:val="auto"/>
              </w:rPr>
              <w:t>final investment decision</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GAAP</w:t>
            </w:r>
          </w:p>
        </w:tc>
        <w:tc>
          <w:tcPr>
            <w:tcW w:w="4300" w:type="dxa"/>
            <w:vAlign w:val="bottom"/>
          </w:tcPr>
          <w:p>
            <w:pPr>
              <w:ind w:left="540"/>
              <w:spacing w:after="0"/>
              <w:rPr>
                <w:sz w:val="20"/>
                <w:szCs w:val="20"/>
                <w:color w:val="auto"/>
              </w:rPr>
            </w:pPr>
            <w:r>
              <w:rPr>
                <w:rFonts w:ascii="Arial" w:cs="Arial" w:eastAsia="Arial" w:hAnsi="Arial"/>
                <w:sz w:val="10"/>
                <w:szCs w:val="10"/>
                <w:color w:val="auto"/>
              </w:rPr>
              <w:t>generally accepted accounting principles</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GHG</w:t>
            </w:r>
          </w:p>
        </w:tc>
        <w:tc>
          <w:tcPr>
            <w:tcW w:w="4300" w:type="dxa"/>
            <w:vAlign w:val="bottom"/>
          </w:tcPr>
          <w:p>
            <w:pPr>
              <w:ind w:left="540"/>
              <w:spacing w:after="0"/>
              <w:rPr>
                <w:sz w:val="20"/>
                <w:szCs w:val="20"/>
                <w:color w:val="auto"/>
              </w:rPr>
            </w:pPr>
            <w:r>
              <w:rPr>
                <w:rFonts w:ascii="Arial" w:cs="Arial" w:eastAsia="Arial" w:hAnsi="Arial"/>
                <w:sz w:val="10"/>
                <w:szCs w:val="10"/>
                <w:color w:val="auto"/>
              </w:rPr>
              <w:t>greenhouse gas</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HSSE</w:t>
            </w:r>
          </w:p>
        </w:tc>
        <w:tc>
          <w:tcPr>
            <w:tcW w:w="4300" w:type="dxa"/>
            <w:vAlign w:val="bottom"/>
          </w:tcPr>
          <w:p>
            <w:pPr>
              <w:ind w:left="540"/>
              <w:spacing w:after="0"/>
              <w:rPr>
                <w:sz w:val="20"/>
                <w:szCs w:val="20"/>
                <w:color w:val="auto"/>
              </w:rPr>
            </w:pPr>
            <w:r>
              <w:rPr>
                <w:rFonts w:ascii="Arial" w:cs="Arial" w:eastAsia="Arial" w:hAnsi="Arial"/>
                <w:sz w:val="10"/>
                <w:szCs w:val="10"/>
                <w:color w:val="auto"/>
              </w:rPr>
              <w:t>health, safety, security and environment</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IAS</w:t>
            </w:r>
          </w:p>
        </w:tc>
        <w:tc>
          <w:tcPr>
            <w:tcW w:w="4300" w:type="dxa"/>
            <w:vAlign w:val="bottom"/>
          </w:tcPr>
          <w:p>
            <w:pPr>
              <w:ind w:left="540"/>
              <w:spacing w:after="0"/>
              <w:rPr>
                <w:sz w:val="20"/>
                <w:szCs w:val="20"/>
                <w:color w:val="auto"/>
              </w:rPr>
            </w:pPr>
            <w:r>
              <w:rPr>
                <w:rFonts w:ascii="Arial" w:cs="Arial" w:eastAsia="Arial" w:hAnsi="Arial"/>
                <w:sz w:val="10"/>
                <w:szCs w:val="10"/>
                <w:color w:val="auto"/>
              </w:rPr>
              <w:t>International Accounting Standard</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IEA</w:t>
            </w:r>
          </w:p>
        </w:tc>
        <w:tc>
          <w:tcPr>
            <w:tcW w:w="4300" w:type="dxa"/>
            <w:vAlign w:val="bottom"/>
          </w:tcPr>
          <w:p>
            <w:pPr>
              <w:ind w:left="540"/>
              <w:spacing w:after="0"/>
              <w:rPr>
                <w:sz w:val="20"/>
                <w:szCs w:val="20"/>
                <w:color w:val="auto"/>
              </w:rPr>
            </w:pPr>
            <w:r>
              <w:rPr>
                <w:rFonts w:ascii="Arial" w:cs="Arial" w:eastAsia="Arial" w:hAnsi="Arial"/>
                <w:sz w:val="10"/>
                <w:szCs w:val="10"/>
                <w:color w:val="auto"/>
              </w:rPr>
              <w:t>International Energy Agency</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IFRS</w:t>
            </w:r>
          </w:p>
        </w:tc>
        <w:tc>
          <w:tcPr>
            <w:tcW w:w="4300" w:type="dxa"/>
            <w:vAlign w:val="bottom"/>
          </w:tcPr>
          <w:p>
            <w:pPr>
              <w:ind w:left="540"/>
              <w:spacing w:after="0"/>
              <w:rPr>
                <w:sz w:val="20"/>
                <w:szCs w:val="20"/>
                <w:color w:val="auto"/>
              </w:rPr>
            </w:pPr>
            <w:r>
              <w:rPr>
                <w:rFonts w:ascii="Arial" w:cs="Arial" w:eastAsia="Arial" w:hAnsi="Arial"/>
                <w:sz w:val="10"/>
                <w:szCs w:val="10"/>
                <w:color w:val="auto"/>
              </w:rPr>
              <w:t>International Financial Reporting Standard(s)</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IOGP</w:t>
            </w:r>
          </w:p>
        </w:tc>
        <w:tc>
          <w:tcPr>
            <w:tcW w:w="4300" w:type="dxa"/>
            <w:vAlign w:val="bottom"/>
          </w:tcPr>
          <w:p>
            <w:pPr>
              <w:ind w:left="540"/>
              <w:spacing w:after="0"/>
              <w:rPr>
                <w:sz w:val="20"/>
                <w:szCs w:val="20"/>
                <w:color w:val="auto"/>
              </w:rPr>
            </w:pPr>
            <w:r>
              <w:rPr>
                <w:rFonts w:ascii="Arial" w:cs="Arial" w:eastAsia="Arial" w:hAnsi="Arial"/>
                <w:sz w:val="10"/>
                <w:szCs w:val="10"/>
                <w:color w:val="auto"/>
              </w:rPr>
              <w:t>International Association of Oil &amp; Gas Producers</w:t>
            </w:r>
          </w:p>
        </w:tc>
      </w:tr>
      <w:tr>
        <w:trPr>
          <w:trHeight w:val="98"/>
        </w:trPr>
        <w:tc>
          <w:tcPr>
            <w:tcW w:w="1140" w:type="dxa"/>
            <w:vAlign w:val="bottom"/>
          </w:tcPr>
          <w:p>
            <w:pPr>
              <w:ind w:left="20"/>
              <w:spacing w:after="0" w:line="98" w:lineRule="exact"/>
              <w:rPr>
                <w:sz w:val="20"/>
                <w:szCs w:val="20"/>
                <w:color w:val="auto"/>
              </w:rPr>
            </w:pPr>
            <w:r>
              <w:rPr>
                <w:rFonts w:ascii="Arial" w:cs="Arial" w:eastAsia="Arial" w:hAnsi="Arial"/>
                <w:sz w:val="10"/>
                <w:szCs w:val="10"/>
                <w:color w:val="auto"/>
              </w:rPr>
              <w:t>IPIECA</w:t>
            </w:r>
          </w:p>
        </w:tc>
        <w:tc>
          <w:tcPr>
            <w:tcW w:w="4300" w:type="dxa"/>
            <w:vAlign w:val="bottom"/>
          </w:tcPr>
          <w:p>
            <w:pPr>
              <w:ind w:left="540"/>
              <w:spacing w:after="0" w:line="98" w:lineRule="exact"/>
              <w:rPr>
                <w:sz w:val="20"/>
                <w:szCs w:val="20"/>
                <w:color w:val="auto"/>
              </w:rPr>
            </w:pPr>
            <w:r>
              <w:rPr>
                <w:rFonts w:ascii="Arial" w:cs="Arial" w:eastAsia="Arial" w:hAnsi="Arial"/>
                <w:sz w:val="10"/>
                <w:szCs w:val="10"/>
                <w:color w:val="auto"/>
                <w:w w:val="91"/>
              </w:rPr>
              <w:t>International Petroleum Industry Environmental Conservation Association (global oil and gas</w:t>
            </w:r>
          </w:p>
        </w:tc>
      </w:tr>
      <w:tr>
        <w:trPr>
          <w:trHeight w:val="121"/>
        </w:trPr>
        <w:tc>
          <w:tcPr>
            <w:tcW w:w="1140" w:type="dxa"/>
            <w:vAlign w:val="bottom"/>
          </w:tcPr>
          <w:p>
            <w:pPr>
              <w:spacing w:after="0"/>
              <w:rPr>
                <w:sz w:val="10"/>
                <w:szCs w:val="10"/>
                <w:color w:val="auto"/>
              </w:rPr>
            </w:pPr>
          </w:p>
        </w:tc>
        <w:tc>
          <w:tcPr>
            <w:tcW w:w="4300" w:type="dxa"/>
            <w:vAlign w:val="bottom"/>
          </w:tcPr>
          <w:p>
            <w:pPr>
              <w:ind w:left="540"/>
              <w:spacing w:after="0"/>
              <w:rPr>
                <w:sz w:val="20"/>
                <w:szCs w:val="20"/>
                <w:color w:val="auto"/>
              </w:rPr>
            </w:pPr>
            <w:r>
              <w:rPr>
                <w:rFonts w:ascii="Arial" w:cs="Arial" w:eastAsia="Arial" w:hAnsi="Arial"/>
                <w:sz w:val="10"/>
                <w:szCs w:val="10"/>
                <w:color w:val="auto"/>
              </w:rPr>
              <w:t>industry association for environmental and social issues)</w:t>
            </w:r>
          </w:p>
        </w:tc>
      </w:tr>
      <w:tr>
        <w:trPr>
          <w:trHeight w:val="123"/>
        </w:trPr>
        <w:tc>
          <w:tcPr>
            <w:tcW w:w="1140" w:type="dxa"/>
            <w:vAlign w:val="bottom"/>
          </w:tcPr>
          <w:p>
            <w:pPr>
              <w:ind w:left="20"/>
              <w:spacing w:after="0"/>
              <w:rPr>
                <w:sz w:val="20"/>
                <w:szCs w:val="20"/>
                <w:color w:val="auto"/>
              </w:rPr>
            </w:pPr>
            <w:r>
              <w:rPr>
                <w:rFonts w:ascii="Arial" w:cs="Arial" w:eastAsia="Arial" w:hAnsi="Arial"/>
                <w:sz w:val="10"/>
                <w:szCs w:val="10"/>
                <w:color w:val="auto"/>
              </w:rPr>
              <w:t>LTIP</w:t>
            </w:r>
          </w:p>
        </w:tc>
        <w:tc>
          <w:tcPr>
            <w:tcW w:w="4300" w:type="dxa"/>
            <w:vAlign w:val="bottom"/>
          </w:tcPr>
          <w:p>
            <w:pPr>
              <w:ind w:left="540"/>
              <w:spacing w:after="0"/>
              <w:rPr>
                <w:sz w:val="20"/>
                <w:szCs w:val="20"/>
                <w:color w:val="auto"/>
              </w:rPr>
            </w:pPr>
            <w:r>
              <w:rPr>
                <w:rFonts w:ascii="Arial" w:cs="Arial" w:eastAsia="Arial" w:hAnsi="Arial"/>
                <w:sz w:val="10"/>
                <w:szCs w:val="10"/>
                <w:color w:val="auto"/>
              </w:rPr>
              <w:t>Long-term Incentive Plan</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OECD</w:t>
            </w:r>
          </w:p>
        </w:tc>
        <w:tc>
          <w:tcPr>
            <w:tcW w:w="4300" w:type="dxa"/>
            <w:vAlign w:val="bottom"/>
          </w:tcPr>
          <w:p>
            <w:pPr>
              <w:ind w:left="540"/>
              <w:spacing w:after="0"/>
              <w:rPr>
                <w:sz w:val="20"/>
                <w:szCs w:val="20"/>
                <w:color w:val="auto"/>
              </w:rPr>
            </w:pPr>
            <w:r>
              <w:rPr>
                <w:rFonts w:ascii="Arial" w:cs="Arial" w:eastAsia="Arial" w:hAnsi="Arial"/>
                <w:sz w:val="10"/>
                <w:szCs w:val="10"/>
                <w:color w:val="auto"/>
              </w:rPr>
              <w:t>Organisation for Economic Co-operation and Development</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OML</w:t>
            </w:r>
          </w:p>
        </w:tc>
        <w:tc>
          <w:tcPr>
            <w:tcW w:w="4300" w:type="dxa"/>
            <w:vAlign w:val="bottom"/>
          </w:tcPr>
          <w:p>
            <w:pPr>
              <w:ind w:left="540"/>
              <w:spacing w:after="0"/>
              <w:rPr>
                <w:sz w:val="20"/>
                <w:szCs w:val="20"/>
                <w:color w:val="auto"/>
              </w:rPr>
            </w:pPr>
            <w:r>
              <w:rPr>
                <w:rFonts w:ascii="Arial" w:cs="Arial" w:eastAsia="Arial" w:hAnsi="Arial"/>
                <w:sz w:val="10"/>
                <w:szCs w:val="10"/>
                <w:color w:val="auto"/>
              </w:rPr>
              <w:t>oil mining lease</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OPEC</w:t>
            </w:r>
          </w:p>
        </w:tc>
        <w:tc>
          <w:tcPr>
            <w:tcW w:w="4300" w:type="dxa"/>
            <w:vAlign w:val="bottom"/>
          </w:tcPr>
          <w:p>
            <w:pPr>
              <w:ind w:left="540"/>
              <w:spacing w:after="0"/>
              <w:rPr>
                <w:sz w:val="20"/>
                <w:szCs w:val="20"/>
                <w:color w:val="auto"/>
              </w:rPr>
            </w:pPr>
            <w:r>
              <w:rPr>
                <w:rFonts w:ascii="Arial" w:cs="Arial" w:eastAsia="Arial" w:hAnsi="Arial"/>
                <w:sz w:val="10"/>
                <w:szCs w:val="10"/>
                <w:color w:val="auto"/>
              </w:rPr>
              <w:t>Organization of the Petroleum Exporting Countries</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OPL</w:t>
            </w:r>
          </w:p>
        </w:tc>
        <w:tc>
          <w:tcPr>
            <w:tcW w:w="4300" w:type="dxa"/>
            <w:vAlign w:val="bottom"/>
          </w:tcPr>
          <w:p>
            <w:pPr>
              <w:ind w:left="540"/>
              <w:spacing w:after="0"/>
              <w:rPr>
                <w:sz w:val="20"/>
                <w:szCs w:val="20"/>
                <w:color w:val="auto"/>
              </w:rPr>
            </w:pPr>
            <w:r>
              <w:rPr>
                <w:rFonts w:ascii="Arial" w:cs="Arial" w:eastAsia="Arial" w:hAnsi="Arial"/>
                <w:sz w:val="10"/>
                <w:szCs w:val="10"/>
                <w:color w:val="auto"/>
              </w:rPr>
              <w:t>oil prospecting licence</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PSC</w:t>
            </w:r>
          </w:p>
        </w:tc>
        <w:tc>
          <w:tcPr>
            <w:tcW w:w="4300" w:type="dxa"/>
            <w:vAlign w:val="bottom"/>
          </w:tcPr>
          <w:p>
            <w:pPr>
              <w:ind w:left="540"/>
              <w:spacing w:after="0"/>
              <w:rPr>
                <w:sz w:val="20"/>
                <w:szCs w:val="20"/>
                <w:color w:val="auto"/>
              </w:rPr>
            </w:pPr>
            <w:r>
              <w:rPr>
                <w:rFonts w:ascii="Arial" w:cs="Arial" w:eastAsia="Arial" w:hAnsi="Arial"/>
                <w:sz w:val="10"/>
                <w:szCs w:val="10"/>
                <w:color w:val="auto"/>
              </w:rPr>
              <w:t>production-sharing contract</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PSP</w:t>
            </w:r>
          </w:p>
        </w:tc>
        <w:tc>
          <w:tcPr>
            <w:tcW w:w="4300" w:type="dxa"/>
            <w:vAlign w:val="bottom"/>
          </w:tcPr>
          <w:p>
            <w:pPr>
              <w:ind w:left="540"/>
              <w:spacing w:after="0"/>
              <w:rPr>
                <w:sz w:val="20"/>
                <w:szCs w:val="20"/>
                <w:color w:val="auto"/>
              </w:rPr>
            </w:pPr>
            <w:r>
              <w:rPr>
                <w:rFonts w:ascii="Arial" w:cs="Arial" w:eastAsia="Arial" w:hAnsi="Arial"/>
                <w:sz w:val="10"/>
                <w:szCs w:val="10"/>
                <w:color w:val="auto"/>
              </w:rPr>
              <w:t>Performance Share Plan</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REMCO</w:t>
            </w:r>
          </w:p>
        </w:tc>
        <w:tc>
          <w:tcPr>
            <w:tcW w:w="4300" w:type="dxa"/>
            <w:vAlign w:val="bottom"/>
          </w:tcPr>
          <w:p>
            <w:pPr>
              <w:ind w:left="540"/>
              <w:spacing w:after="0"/>
              <w:rPr>
                <w:sz w:val="20"/>
                <w:szCs w:val="20"/>
                <w:color w:val="auto"/>
              </w:rPr>
            </w:pPr>
            <w:r>
              <w:rPr>
                <w:rFonts w:ascii="Arial" w:cs="Arial" w:eastAsia="Arial" w:hAnsi="Arial"/>
                <w:sz w:val="10"/>
                <w:szCs w:val="10"/>
                <w:color w:val="auto"/>
              </w:rPr>
              <w:t>Remuneration Committee</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SEC</w:t>
            </w:r>
          </w:p>
        </w:tc>
        <w:tc>
          <w:tcPr>
            <w:tcW w:w="4300" w:type="dxa"/>
            <w:vAlign w:val="bottom"/>
          </w:tcPr>
          <w:p>
            <w:pPr>
              <w:ind w:left="540"/>
              <w:spacing w:after="0"/>
              <w:rPr>
                <w:sz w:val="20"/>
                <w:szCs w:val="20"/>
                <w:color w:val="auto"/>
              </w:rPr>
            </w:pPr>
            <w:r>
              <w:rPr>
                <w:rFonts w:ascii="Arial" w:cs="Arial" w:eastAsia="Arial" w:hAnsi="Arial"/>
                <w:sz w:val="10"/>
                <w:szCs w:val="10"/>
                <w:color w:val="auto"/>
              </w:rPr>
              <w:t>US Securities and Exchange Commission</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TRCF</w:t>
            </w:r>
          </w:p>
        </w:tc>
        <w:tc>
          <w:tcPr>
            <w:tcW w:w="4300" w:type="dxa"/>
            <w:vAlign w:val="bottom"/>
          </w:tcPr>
          <w:p>
            <w:pPr>
              <w:ind w:left="540"/>
              <w:spacing w:after="0"/>
              <w:rPr>
                <w:sz w:val="20"/>
                <w:szCs w:val="20"/>
                <w:color w:val="auto"/>
              </w:rPr>
            </w:pPr>
            <w:r>
              <w:rPr>
                <w:rFonts w:ascii="Arial" w:cs="Arial" w:eastAsia="Arial" w:hAnsi="Arial"/>
                <w:sz w:val="10"/>
                <w:szCs w:val="10"/>
                <w:color w:val="auto"/>
              </w:rPr>
              <w:t>total recordable case frequency</w:t>
            </w:r>
          </w:p>
        </w:tc>
      </w:tr>
      <w:tr>
        <w:trPr>
          <w:trHeight w:val="126"/>
        </w:trPr>
        <w:tc>
          <w:tcPr>
            <w:tcW w:w="1140" w:type="dxa"/>
            <w:vAlign w:val="bottom"/>
          </w:tcPr>
          <w:p>
            <w:pPr>
              <w:ind w:left="20"/>
              <w:spacing w:after="0"/>
              <w:rPr>
                <w:sz w:val="20"/>
                <w:szCs w:val="20"/>
                <w:color w:val="auto"/>
              </w:rPr>
            </w:pPr>
            <w:r>
              <w:rPr>
                <w:rFonts w:ascii="Arial" w:cs="Arial" w:eastAsia="Arial" w:hAnsi="Arial"/>
                <w:sz w:val="10"/>
                <w:szCs w:val="10"/>
                <w:color w:val="auto"/>
              </w:rPr>
              <w:t>TSR</w:t>
            </w:r>
          </w:p>
        </w:tc>
        <w:tc>
          <w:tcPr>
            <w:tcW w:w="4300" w:type="dxa"/>
            <w:vAlign w:val="bottom"/>
          </w:tcPr>
          <w:p>
            <w:pPr>
              <w:ind w:left="540"/>
              <w:spacing w:after="0"/>
              <w:rPr>
                <w:sz w:val="20"/>
                <w:szCs w:val="20"/>
                <w:color w:val="auto"/>
              </w:rPr>
            </w:pPr>
            <w:r>
              <w:rPr>
                <w:rFonts w:ascii="Arial" w:cs="Arial" w:eastAsia="Arial" w:hAnsi="Arial"/>
                <w:sz w:val="10"/>
                <w:szCs w:val="10"/>
                <w:color w:val="auto"/>
              </w:rPr>
              <w:t>total shareholder return</w:t>
            </w:r>
          </w:p>
        </w:tc>
      </w:tr>
      <w:tr>
        <w:trPr>
          <w:trHeight w:val="130"/>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WTI</w:t>
            </w:r>
          </w:p>
        </w:tc>
        <w:tc>
          <w:tcPr>
            <w:tcW w:w="4300" w:type="dxa"/>
            <w:vAlign w:val="bottom"/>
            <w:tcBorders>
              <w:bottom w:val="single" w:sz="8" w:color="auto"/>
            </w:tcBorders>
          </w:tcPr>
          <w:p>
            <w:pPr>
              <w:ind w:left="540"/>
              <w:spacing w:after="0"/>
              <w:rPr>
                <w:sz w:val="20"/>
                <w:szCs w:val="20"/>
                <w:color w:val="auto"/>
              </w:rPr>
            </w:pPr>
            <w:r>
              <w:rPr>
                <w:rFonts w:ascii="Arial" w:cs="Arial" w:eastAsia="Arial" w:hAnsi="Arial"/>
                <w:sz w:val="10"/>
                <w:szCs w:val="10"/>
                <w:color w:val="auto"/>
              </w:rPr>
              <w:t>West Texas Intermediate</w:t>
            </w:r>
          </w:p>
        </w:tc>
      </w:tr>
    </w:tbl>
    <w:p>
      <w:pPr>
        <w:spacing w:after="0" w:line="200" w:lineRule="exact"/>
        <w:rPr>
          <w:sz w:val="20"/>
          <w:szCs w:val="20"/>
          <w:color w:val="auto"/>
        </w:rPr>
      </w:pPr>
    </w:p>
    <w:p>
      <w:pPr>
        <w:sectPr>
          <w:pgSz w:w="11900" w:h="16838" w:orient="portrait"/>
          <w:cols w:equalWidth="0" w:num="2">
            <w:col w:w="5420" w:space="300"/>
            <w:col w:w="5580"/>
          </w:cols>
          <w:pgMar w:left="300" w:top="721" w:right="299" w:bottom="1440" w:gutter="0" w:footer="0" w:header="0"/>
        </w:sect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3460" w:type="dxa"/>
            <w:vAlign w:val="bottom"/>
          </w:tcPr>
          <w:p>
            <w:pPr>
              <w:ind w:left="40"/>
              <w:spacing w:after="0"/>
              <w:rPr>
                <w:sz w:val="20"/>
                <w:szCs w:val="20"/>
                <w:color w:val="auto"/>
              </w:rPr>
            </w:pPr>
            <w:r>
              <w:rPr>
                <w:rFonts w:ascii="Arial" w:cs="Arial" w:eastAsia="Arial" w:hAnsi="Arial"/>
                <w:sz w:val="6"/>
                <w:szCs w:val="6"/>
                <w:color w:val="auto"/>
              </w:rPr>
              <w:t>INTRODUCTION SHELL FORM 20-F 2020</w:t>
            </w:r>
          </w:p>
        </w:tc>
        <w:tc>
          <w:tcPr>
            <w:tcW w:w="7840" w:type="dxa"/>
            <w:vAlign w:val="bottom"/>
          </w:tcPr>
          <w:p>
            <w:pPr>
              <w:jc w:val="right"/>
              <w:ind w:right="5450"/>
              <w:spacing w:after="0"/>
              <w:rPr>
                <w:sz w:val="20"/>
                <w:szCs w:val="20"/>
                <w:color w:val="auto"/>
              </w:rPr>
            </w:pPr>
            <w:r>
              <w:rPr>
                <w:rFonts w:ascii="Arial" w:cs="Arial" w:eastAsia="Arial" w:hAnsi="Arial"/>
                <w:sz w:val="6"/>
                <w:szCs w:val="6"/>
                <w:color w:val="auto"/>
              </w:rPr>
              <w:t>4</w:t>
            </w:r>
          </w:p>
        </w:tc>
      </w:tr>
      <w:tr>
        <w:trPr>
          <w:trHeight w:val="135"/>
        </w:trPr>
        <w:tc>
          <w:tcPr>
            <w:tcW w:w="3460" w:type="dxa"/>
            <w:vAlign w:val="bottom"/>
            <w:tcBorders>
              <w:bottom w:val="single" w:sz="8" w:color="9A9A9A"/>
            </w:tcBorders>
          </w:tcPr>
          <w:p>
            <w:pPr>
              <w:spacing w:after="0"/>
              <w:rPr>
                <w:sz w:val="11"/>
                <w:szCs w:val="11"/>
                <w:color w:val="auto"/>
              </w:rPr>
            </w:pPr>
          </w:p>
        </w:tc>
        <w:tc>
          <w:tcPr>
            <w:tcW w:w="78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2"/>
          <w:szCs w:val="22"/>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020" w:type="dxa"/>
            <w:vAlign w:val="bottom"/>
          </w:tcPr>
          <w:p>
            <w:pPr>
              <w:spacing w:after="0"/>
              <w:rPr>
                <w:sz w:val="20"/>
                <w:szCs w:val="20"/>
                <w:color w:val="auto"/>
              </w:rPr>
            </w:pPr>
            <w:r>
              <w:rPr>
                <w:rFonts w:ascii="Arial" w:cs="Arial" w:eastAsia="Arial" w:hAnsi="Arial"/>
                <w:sz w:val="10"/>
                <w:szCs w:val="10"/>
                <w:b w:val="1"/>
                <w:bCs w:val="1"/>
                <w:color w:val="auto"/>
              </w:rPr>
              <w:t>Cover</w:t>
            </w:r>
          </w:p>
        </w:tc>
        <w:tc>
          <w:tcPr>
            <w:tcW w:w="7280" w:type="dxa"/>
            <w:vAlign w:val="bottom"/>
          </w:tcPr>
          <w:p>
            <w:pPr>
              <w:ind w:left="3040"/>
              <w:spacing w:after="0"/>
              <w:rPr>
                <w:rFonts w:ascii="Arial" w:cs="Arial" w:eastAsia="Arial" w:hAnsi="Arial"/>
                <w:sz w:val="10"/>
                <w:szCs w:val="10"/>
                <w:u w:val="single" w:color="auto"/>
                <w:color w:val="auto"/>
              </w:rPr>
            </w:pPr>
            <w:hyperlink w:anchor="page1">
              <w:r>
                <w:rPr>
                  <w:rFonts w:ascii="Arial" w:cs="Arial" w:eastAsia="Arial" w:hAnsi="Arial"/>
                  <w:sz w:val="10"/>
                  <w:szCs w:val="10"/>
                  <w:u w:val="single" w:color="auto"/>
                  <w:color w:val="auto"/>
                </w:rPr>
                <w:t>1</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b w:val="1"/>
                <w:bCs w:val="1"/>
                <w:color w:val="auto"/>
              </w:rPr>
              <w:t>Cross reference to Form 20-F</w:t>
            </w:r>
          </w:p>
        </w:tc>
        <w:tc>
          <w:tcPr>
            <w:tcW w:w="7280" w:type="dxa"/>
            <w:vAlign w:val="bottom"/>
          </w:tcPr>
          <w:p>
            <w:pPr>
              <w:ind w:left="3040"/>
              <w:spacing w:after="0"/>
              <w:rPr>
                <w:rFonts w:ascii="Arial" w:cs="Arial" w:eastAsia="Arial" w:hAnsi="Arial"/>
                <w:sz w:val="10"/>
                <w:szCs w:val="10"/>
                <w:u w:val="single" w:color="auto"/>
                <w:color w:val="auto"/>
              </w:rPr>
            </w:pPr>
            <w:hyperlink w:anchor="page4">
              <w:r>
                <w:rPr>
                  <w:rFonts w:ascii="Arial" w:cs="Arial" w:eastAsia="Arial" w:hAnsi="Arial"/>
                  <w:sz w:val="10"/>
                  <w:szCs w:val="10"/>
                  <w:u w:val="single" w:color="auto"/>
                  <w:color w:val="auto"/>
                </w:rPr>
                <w:t>2</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b w:val="1"/>
                <w:bCs w:val="1"/>
                <w:color w:val="auto"/>
              </w:rPr>
              <w:t>Terms and abbreviations</w:t>
            </w:r>
          </w:p>
        </w:tc>
        <w:tc>
          <w:tcPr>
            <w:tcW w:w="7280" w:type="dxa"/>
            <w:vAlign w:val="bottom"/>
          </w:tcPr>
          <w:p>
            <w:pPr>
              <w:ind w:left="3040"/>
              <w:spacing w:after="0"/>
              <w:rPr>
                <w:rFonts w:ascii="Arial" w:cs="Arial" w:eastAsia="Arial" w:hAnsi="Arial"/>
                <w:sz w:val="10"/>
                <w:szCs w:val="10"/>
                <w:u w:val="single" w:color="auto"/>
                <w:color w:val="auto"/>
              </w:rPr>
            </w:pPr>
            <w:hyperlink w:anchor="page6">
              <w:r>
                <w:rPr>
                  <w:rFonts w:ascii="Arial" w:cs="Arial" w:eastAsia="Arial" w:hAnsi="Arial"/>
                  <w:sz w:val="10"/>
                  <w:szCs w:val="10"/>
                  <w:u w:val="single" w:color="auto"/>
                  <w:color w:val="auto"/>
                </w:rPr>
                <w:t>4</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b w:val="1"/>
                <w:bCs w:val="1"/>
                <w:color w:val="auto"/>
              </w:rPr>
              <w:t>About this report</w:t>
            </w:r>
          </w:p>
        </w:tc>
        <w:tc>
          <w:tcPr>
            <w:tcW w:w="7280" w:type="dxa"/>
            <w:vAlign w:val="bottom"/>
          </w:tcPr>
          <w:p>
            <w:pPr>
              <w:ind w:left="3040"/>
              <w:spacing w:after="0"/>
              <w:rPr>
                <w:rFonts w:ascii="Arial" w:cs="Arial" w:eastAsia="Arial" w:hAnsi="Arial"/>
                <w:sz w:val="10"/>
                <w:szCs w:val="10"/>
                <w:u w:val="single" w:color="auto"/>
                <w:color w:val="auto"/>
              </w:rPr>
            </w:pPr>
            <w:hyperlink w:anchor="page10">
              <w:r>
                <w:rPr>
                  <w:rFonts w:ascii="Arial" w:cs="Arial" w:eastAsia="Arial" w:hAnsi="Arial"/>
                  <w:sz w:val="10"/>
                  <w:szCs w:val="10"/>
                  <w:u w:val="single" w:color="auto"/>
                  <w:color w:val="auto"/>
                </w:rPr>
                <w:t>8</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b w:val="1"/>
                <w:bCs w:val="1"/>
                <w:color w:val="auto"/>
              </w:rPr>
              <w:t>Strategic Report</w:t>
            </w:r>
          </w:p>
        </w:tc>
        <w:tc>
          <w:tcPr>
            <w:tcW w:w="7280" w:type="dxa"/>
            <w:vAlign w:val="bottom"/>
          </w:tcPr>
          <w:p>
            <w:pPr>
              <w:ind w:left="3040"/>
              <w:spacing w:after="0"/>
              <w:rPr>
                <w:rFonts w:ascii="Arial" w:cs="Arial" w:eastAsia="Arial" w:hAnsi="Arial"/>
                <w:sz w:val="10"/>
                <w:szCs w:val="10"/>
                <w:u w:val="single" w:color="auto"/>
                <w:color w:val="auto"/>
              </w:rPr>
            </w:pPr>
            <w:hyperlink w:anchor="page13">
              <w:r>
                <w:rPr>
                  <w:rFonts w:ascii="Arial" w:cs="Arial" w:eastAsia="Arial" w:hAnsi="Arial"/>
                  <w:sz w:val="10"/>
                  <w:szCs w:val="10"/>
                  <w:u w:val="single" w:color="auto"/>
                  <w:color w:val="auto"/>
                </w:rPr>
                <w:t>10</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Selected financial data</w:t>
            </w:r>
          </w:p>
        </w:tc>
        <w:tc>
          <w:tcPr>
            <w:tcW w:w="7280" w:type="dxa"/>
            <w:vAlign w:val="bottom"/>
          </w:tcPr>
          <w:p>
            <w:pPr>
              <w:ind w:left="3040"/>
              <w:spacing w:after="0"/>
              <w:rPr>
                <w:rFonts w:ascii="Arial" w:cs="Arial" w:eastAsia="Arial" w:hAnsi="Arial"/>
                <w:sz w:val="10"/>
                <w:szCs w:val="10"/>
                <w:u w:val="single" w:color="auto"/>
                <w:color w:val="auto"/>
              </w:rPr>
            </w:pPr>
            <w:hyperlink w:anchor="page13">
              <w:r>
                <w:rPr>
                  <w:rFonts w:ascii="Arial" w:cs="Arial" w:eastAsia="Arial" w:hAnsi="Arial"/>
                  <w:sz w:val="10"/>
                  <w:szCs w:val="10"/>
                  <w:u w:val="single" w:color="auto"/>
                  <w:color w:val="auto"/>
                </w:rPr>
                <w:t>10</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Business overview</w:t>
            </w:r>
          </w:p>
        </w:tc>
        <w:tc>
          <w:tcPr>
            <w:tcW w:w="7280" w:type="dxa"/>
            <w:vAlign w:val="bottom"/>
          </w:tcPr>
          <w:p>
            <w:pPr>
              <w:ind w:left="3040"/>
              <w:spacing w:after="0"/>
              <w:rPr>
                <w:rFonts w:ascii="Arial" w:cs="Arial" w:eastAsia="Arial" w:hAnsi="Arial"/>
                <w:sz w:val="10"/>
                <w:szCs w:val="10"/>
                <w:u w:val="single" w:color="auto"/>
                <w:color w:val="auto"/>
              </w:rPr>
            </w:pPr>
            <w:hyperlink w:anchor="page13">
              <w:r>
                <w:rPr>
                  <w:rFonts w:ascii="Arial" w:cs="Arial" w:eastAsia="Arial" w:hAnsi="Arial"/>
                  <w:sz w:val="10"/>
                  <w:szCs w:val="10"/>
                  <w:u w:val="single" w:color="auto"/>
                  <w:color w:val="auto"/>
                </w:rPr>
                <w:t>11</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Strategy and outlook</w:t>
            </w:r>
          </w:p>
        </w:tc>
        <w:tc>
          <w:tcPr>
            <w:tcW w:w="7280" w:type="dxa"/>
            <w:vAlign w:val="bottom"/>
          </w:tcPr>
          <w:p>
            <w:pPr>
              <w:ind w:left="3040"/>
              <w:spacing w:after="0"/>
              <w:rPr>
                <w:rFonts w:ascii="Arial" w:cs="Arial" w:eastAsia="Arial" w:hAnsi="Arial"/>
                <w:sz w:val="10"/>
                <w:szCs w:val="10"/>
                <w:u w:val="single" w:color="auto"/>
                <w:color w:val="auto"/>
              </w:rPr>
            </w:pPr>
            <w:hyperlink w:anchor="page17">
              <w:r>
                <w:rPr>
                  <w:rFonts w:ascii="Arial" w:cs="Arial" w:eastAsia="Arial" w:hAnsi="Arial"/>
                  <w:sz w:val="10"/>
                  <w:szCs w:val="10"/>
                  <w:u w:val="single" w:color="auto"/>
                  <w:color w:val="auto"/>
                </w:rPr>
                <w:t>14</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Risk factors</w:t>
            </w:r>
          </w:p>
        </w:tc>
        <w:tc>
          <w:tcPr>
            <w:tcW w:w="7280" w:type="dxa"/>
            <w:vAlign w:val="bottom"/>
          </w:tcPr>
          <w:p>
            <w:pPr>
              <w:ind w:left="3040"/>
              <w:spacing w:after="0"/>
              <w:rPr>
                <w:rFonts w:ascii="Arial" w:cs="Arial" w:eastAsia="Arial" w:hAnsi="Arial"/>
                <w:sz w:val="10"/>
                <w:szCs w:val="10"/>
                <w:u w:val="single" w:color="auto"/>
                <w:color w:val="auto"/>
              </w:rPr>
            </w:pPr>
            <w:hyperlink w:anchor="page20">
              <w:r>
                <w:rPr>
                  <w:rFonts w:ascii="Arial" w:cs="Arial" w:eastAsia="Arial" w:hAnsi="Arial"/>
                  <w:sz w:val="10"/>
                  <w:szCs w:val="10"/>
                  <w:u w:val="single" w:color="auto"/>
                  <w:color w:val="auto"/>
                </w:rPr>
                <w:t>18</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Market overview</w:t>
            </w:r>
          </w:p>
        </w:tc>
        <w:tc>
          <w:tcPr>
            <w:tcW w:w="7280" w:type="dxa"/>
            <w:vAlign w:val="bottom"/>
          </w:tcPr>
          <w:p>
            <w:pPr>
              <w:ind w:left="3040"/>
              <w:spacing w:after="0"/>
              <w:rPr>
                <w:rFonts w:ascii="Arial" w:cs="Arial" w:eastAsia="Arial" w:hAnsi="Arial"/>
                <w:sz w:val="10"/>
                <w:szCs w:val="10"/>
                <w:u w:val="single" w:color="auto"/>
                <w:color w:val="auto"/>
              </w:rPr>
            </w:pPr>
            <w:hyperlink w:anchor="page25">
              <w:r>
                <w:rPr>
                  <w:rFonts w:ascii="Arial" w:cs="Arial" w:eastAsia="Arial" w:hAnsi="Arial"/>
                  <w:sz w:val="10"/>
                  <w:szCs w:val="10"/>
                  <w:u w:val="single" w:color="auto"/>
                  <w:color w:val="auto"/>
                </w:rPr>
                <w:t>23</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Summary of results</w:t>
            </w:r>
          </w:p>
        </w:tc>
        <w:tc>
          <w:tcPr>
            <w:tcW w:w="7280" w:type="dxa"/>
            <w:vAlign w:val="bottom"/>
          </w:tcPr>
          <w:p>
            <w:pPr>
              <w:ind w:left="3040"/>
              <w:spacing w:after="0"/>
              <w:rPr>
                <w:rFonts w:ascii="Arial" w:cs="Arial" w:eastAsia="Arial" w:hAnsi="Arial"/>
                <w:sz w:val="10"/>
                <w:szCs w:val="10"/>
                <w:u w:val="single" w:color="auto"/>
                <w:color w:val="auto"/>
              </w:rPr>
            </w:pPr>
            <w:hyperlink w:anchor="page28">
              <w:r>
                <w:rPr>
                  <w:rFonts w:ascii="Arial" w:cs="Arial" w:eastAsia="Arial" w:hAnsi="Arial"/>
                  <w:sz w:val="10"/>
                  <w:szCs w:val="10"/>
                  <w:u w:val="single" w:color="auto"/>
                  <w:color w:val="auto"/>
                </w:rPr>
                <w:t>26</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Performance indicators</w:t>
            </w:r>
          </w:p>
        </w:tc>
        <w:tc>
          <w:tcPr>
            <w:tcW w:w="7280" w:type="dxa"/>
            <w:vAlign w:val="bottom"/>
          </w:tcPr>
          <w:p>
            <w:pPr>
              <w:ind w:left="3040"/>
              <w:spacing w:after="0"/>
              <w:rPr>
                <w:rFonts w:ascii="Arial" w:cs="Arial" w:eastAsia="Arial" w:hAnsi="Arial"/>
                <w:sz w:val="10"/>
                <w:szCs w:val="10"/>
                <w:u w:val="single" w:color="auto"/>
                <w:color w:val="auto"/>
              </w:rPr>
            </w:pPr>
            <w:hyperlink w:anchor="page30">
              <w:r>
                <w:rPr>
                  <w:rFonts w:ascii="Arial" w:cs="Arial" w:eastAsia="Arial" w:hAnsi="Arial"/>
                  <w:sz w:val="10"/>
                  <w:szCs w:val="10"/>
                  <w:u w:val="single" w:color="auto"/>
                  <w:color w:val="auto"/>
                </w:rPr>
                <w:t>28</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Integrated gas</w:t>
            </w:r>
          </w:p>
        </w:tc>
        <w:tc>
          <w:tcPr>
            <w:tcW w:w="7280" w:type="dxa"/>
            <w:vAlign w:val="bottom"/>
          </w:tcPr>
          <w:p>
            <w:pPr>
              <w:ind w:left="3040"/>
              <w:spacing w:after="0"/>
              <w:rPr>
                <w:rFonts w:ascii="Arial" w:cs="Arial" w:eastAsia="Arial" w:hAnsi="Arial"/>
                <w:sz w:val="10"/>
                <w:szCs w:val="10"/>
                <w:u w:val="single" w:color="auto"/>
                <w:color w:val="auto"/>
              </w:rPr>
            </w:pPr>
            <w:hyperlink w:anchor="page32">
              <w:r>
                <w:rPr>
                  <w:rFonts w:ascii="Arial" w:cs="Arial" w:eastAsia="Arial" w:hAnsi="Arial"/>
                  <w:sz w:val="10"/>
                  <w:szCs w:val="10"/>
                  <w:u w:val="single" w:color="auto"/>
                  <w:color w:val="auto"/>
                </w:rPr>
                <w:t>30</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Upstream</w:t>
            </w:r>
          </w:p>
        </w:tc>
        <w:tc>
          <w:tcPr>
            <w:tcW w:w="7280" w:type="dxa"/>
            <w:vAlign w:val="bottom"/>
          </w:tcPr>
          <w:p>
            <w:pPr>
              <w:ind w:left="3040"/>
              <w:spacing w:after="0"/>
              <w:rPr>
                <w:rFonts w:ascii="Arial" w:cs="Arial" w:eastAsia="Arial" w:hAnsi="Arial"/>
                <w:sz w:val="10"/>
                <w:szCs w:val="10"/>
                <w:u w:val="single" w:color="auto"/>
                <w:color w:val="auto"/>
              </w:rPr>
            </w:pPr>
            <w:hyperlink w:anchor="page38">
              <w:r>
                <w:rPr>
                  <w:rFonts w:ascii="Arial" w:cs="Arial" w:eastAsia="Arial" w:hAnsi="Arial"/>
                  <w:sz w:val="10"/>
                  <w:szCs w:val="10"/>
                  <w:u w:val="single" w:color="auto"/>
                  <w:color w:val="auto"/>
                </w:rPr>
                <w:t>36</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Oil and gas information</w:t>
            </w:r>
          </w:p>
        </w:tc>
        <w:tc>
          <w:tcPr>
            <w:tcW w:w="7280" w:type="dxa"/>
            <w:vAlign w:val="bottom"/>
          </w:tcPr>
          <w:p>
            <w:pPr>
              <w:ind w:left="3040"/>
              <w:spacing w:after="0"/>
              <w:rPr>
                <w:rFonts w:ascii="Arial" w:cs="Arial" w:eastAsia="Arial" w:hAnsi="Arial"/>
                <w:sz w:val="10"/>
                <w:szCs w:val="10"/>
                <w:u w:val="single" w:color="auto"/>
                <w:color w:val="auto"/>
              </w:rPr>
            </w:pPr>
            <w:hyperlink w:anchor="page45">
              <w:r>
                <w:rPr>
                  <w:rFonts w:ascii="Arial" w:cs="Arial" w:eastAsia="Arial" w:hAnsi="Arial"/>
                  <w:sz w:val="10"/>
                  <w:szCs w:val="10"/>
                  <w:u w:val="single" w:color="auto"/>
                  <w:color w:val="auto"/>
                </w:rPr>
                <w:t>43</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Oil products</w:t>
            </w:r>
          </w:p>
        </w:tc>
        <w:tc>
          <w:tcPr>
            <w:tcW w:w="7280" w:type="dxa"/>
            <w:vAlign w:val="bottom"/>
          </w:tcPr>
          <w:p>
            <w:pPr>
              <w:ind w:left="3040"/>
              <w:spacing w:after="0"/>
              <w:rPr>
                <w:rFonts w:ascii="Arial" w:cs="Arial" w:eastAsia="Arial" w:hAnsi="Arial"/>
                <w:sz w:val="10"/>
                <w:szCs w:val="10"/>
                <w:u w:val="single" w:color="auto"/>
                <w:color w:val="auto"/>
              </w:rPr>
            </w:pPr>
            <w:hyperlink w:anchor="page53">
              <w:r>
                <w:rPr>
                  <w:rFonts w:ascii="Arial" w:cs="Arial" w:eastAsia="Arial" w:hAnsi="Arial"/>
                  <w:sz w:val="10"/>
                  <w:szCs w:val="10"/>
                  <w:u w:val="single" w:color="auto"/>
                  <w:color w:val="auto"/>
                </w:rPr>
                <w:t>51</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Chemicals</w:t>
            </w:r>
          </w:p>
        </w:tc>
        <w:tc>
          <w:tcPr>
            <w:tcW w:w="7280" w:type="dxa"/>
            <w:vAlign w:val="bottom"/>
          </w:tcPr>
          <w:p>
            <w:pPr>
              <w:ind w:left="3040"/>
              <w:spacing w:after="0"/>
              <w:rPr>
                <w:rFonts w:ascii="Arial" w:cs="Arial" w:eastAsia="Arial" w:hAnsi="Arial"/>
                <w:sz w:val="10"/>
                <w:szCs w:val="10"/>
                <w:u w:val="single" w:color="auto"/>
                <w:color w:val="auto"/>
              </w:rPr>
            </w:pPr>
            <w:hyperlink w:anchor="page59">
              <w:r>
                <w:rPr>
                  <w:rFonts w:ascii="Arial" w:cs="Arial" w:eastAsia="Arial" w:hAnsi="Arial"/>
                  <w:sz w:val="10"/>
                  <w:szCs w:val="10"/>
                  <w:u w:val="single" w:color="auto"/>
                  <w:color w:val="auto"/>
                </w:rPr>
                <w:t>57</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Corporate</w:t>
            </w:r>
          </w:p>
        </w:tc>
        <w:tc>
          <w:tcPr>
            <w:tcW w:w="7280" w:type="dxa"/>
            <w:vAlign w:val="bottom"/>
          </w:tcPr>
          <w:p>
            <w:pPr>
              <w:ind w:left="3040"/>
              <w:spacing w:after="0"/>
              <w:rPr>
                <w:rFonts w:ascii="Arial" w:cs="Arial" w:eastAsia="Arial" w:hAnsi="Arial"/>
                <w:sz w:val="10"/>
                <w:szCs w:val="10"/>
                <w:u w:val="single" w:color="auto"/>
                <w:color w:val="auto"/>
              </w:rPr>
            </w:pPr>
            <w:hyperlink w:anchor="page62">
              <w:r>
                <w:rPr>
                  <w:rFonts w:ascii="Arial" w:cs="Arial" w:eastAsia="Arial" w:hAnsi="Arial"/>
                  <w:sz w:val="10"/>
                  <w:szCs w:val="10"/>
                  <w:u w:val="single" w:color="auto"/>
                  <w:color w:val="auto"/>
                </w:rPr>
                <w:t>60</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Liquidity and capital resources</w:t>
            </w:r>
          </w:p>
        </w:tc>
        <w:tc>
          <w:tcPr>
            <w:tcW w:w="7280" w:type="dxa"/>
            <w:vAlign w:val="bottom"/>
          </w:tcPr>
          <w:p>
            <w:pPr>
              <w:ind w:left="3040"/>
              <w:spacing w:after="0"/>
              <w:rPr>
                <w:rFonts w:ascii="Arial" w:cs="Arial" w:eastAsia="Arial" w:hAnsi="Arial"/>
                <w:sz w:val="10"/>
                <w:szCs w:val="10"/>
                <w:u w:val="single" w:color="auto"/>
                <w:color w:val="auto"/>
              </w:rPr>
            </w:pPr>
            <w:hyperlink w:anchor="page63">
              <w:r>
                <w:rPr>
                  <w:rFonts w:ascii="Arial" w:cs="Arial" w:eastAsia="Arial" w:hAnsi="Arial"/>
                  <w:sz w:val="10"/>
                  <w:szCs w:val="10"/>
                  <w:u w:val="single" w:color="auto"/>
                  <w:color w:val="auto"/>
                </w:rPr>
                <w:t>61</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Environment and society</w:t>
            </w:r>
          </w:p>
        </w:tc>
        <w:tc>
          <w:tcPr>
            <w:tcW w:w="7280" w:type="dxa"/>
            <w:vAlign w:val="bottom"/>
          </w:tcPr>
          <w:p>
            <w:pPr>
              <w:ind w:left="3040"/>
              <w:spacing w:after="0"/>
              <w:rPr>
                <w:rFonts w:ascii="Arial" w:cs="Arial" w:eastAsia="Arial" w:hAnsi="Arial"/>
                <w:sz w:val="10"/>
                <w:szCs w:val="10"/>
                <w:u w:val="single" w:color="auto"/>
                <w:color w:val="auto"/>
              </w:rPr>
            </w:pPr>
            <w:hyperlink w:anchor="page67">
              <w:r>
                <w:rPr>
                  <w:rFonts w:ascii="Arial" w:cs="Arial" w:eastAsia="Arial" w:hAnsi="Arial"/>
                  <w:sz w:val="10"/>
                  <w:szCs w:val="10"/>
                  <w:u w:val="single" w:color="auto"/>
                  <w:color w:val="auto"/>
                </w:rPr>
                <w:t>65</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Climate change and energy transition</w:t>
            </w:r>
          </w:p>
        </w:tc>
        <w:tc>
          <w:tcPr>
            <w:tcW w:w="7280" w:type="dxa"/>
            <w:vAlign w:val="bottom"/>
          </w:tcPr>
          <w:p>
            <w:pPr>
              <w:ind w:left="3040"/>
              <w:spacing w:after="0"/>
              <w:rPr>
                <w:rFonts w:ascii="Arial" w:cs="Arial" w:eastAsia="Arial" w:hAnsi="Arial"/>
                <w:sz w:val="10"/>
                <w:szCs w:val="10"/>
                <w:u w:val="single" w:color="auto"/>
                <w:color w:val="auto"/>
              </w:rPr>
            </w:pPr>
            <w:hyperlink w:anchor="page75">
              <w:r>
                <w:rPr>
                  <w:rFonts w:ascii="Arial" w:cs="Arial" w:eastAsia="Arial" w:hAnsi="Arial"/>
                  <w:sz w:val="10"/>
                  <w:szCs w:val="10"/>
                  <w:u w:val="single" w:color="auto"/>
                  <w:color w:val="auto"/>
                </w:rPr>
                <w:t>73</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Our people</w:t>
            </w:r>
          </w:p>
        </w:tc>
        <w:tc>
          <w:tcPr>
            <w:tcW w:w="7280" w:type="dxa"/>
            <w:vAlign w:val="bottom"/>
          </w:tcPr>
          <w:p>
            <w:pPr>
              <w:ind w:left="3040"/>
              <w:spacing w:after="0"/>
              <w:rPr>
                <w:rFonts w:ascii="Arial" w:cs="Arial" w:eastAsia="Arial" w:hAnsi="Arial"/>
                <w:sz w:val="10"/>
                <w:szCs w:val="10"/>
                <w:u w:val="single" w:color="auto"/>
                <w:color w:val="auto"/>
              </w:rPr>
            </w:pPr>
            <w:hyperlink w:anchor="page88">
              <w:r>
                <w:rPr>
                  <w:rFonts w:ascii="Arial" w:cs="Arial" w:eastAsia="Arial" w:hAnsi="Arial"/>
                  <w:sz w:val="10"/>
                  <w:szCs w:val="10"/>
                  <w:u w:val="single" w:color="auto"/>
                  <w:color w:val="auto"/>
                </w:rPr>
                <w:t>86</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b w:val="1"/>
                <w:bCs w:val="1"/>
                <w:color w:val="auto"/>
              </w:rPr>
              <w:t>Governance</w:t>
            </w:r>
          </w:p>
        </w:tc>
        <w:tc>
          <w:tcPr>
            <w:tcW w:w="7280" w:type="dxa"/>
            <w:vAlign w:val="bottom"/>
          </w:tcPr>
          <w:p>
            <w:pPr>
              <w:ind w:left="3040"/>
              <w:spacing w:after="0"/>
              <w:rPr>
                <w:rFonts w:ascii="Arial" w:cs="Arial" w:eastAsia="Arial" w:hAnsi="Arial"/>
                <w:sz w:val="10"/>
                <w:szCs w:val="10"/>
                <w:u w:val="single" w:color="auto"/>
                <w:color w:val="auto"/>
              </w:rPr>
            </w:pPr>
            <w:hyperlink w:anchor="page91">
              <w:r>
                <w:rPr>
                  <w:rFonts w:ascii="Arial" w:cs="Arial" w:eastAsia="Arial" w:hAnsi="Arial"/>
                  <w:sz w:val="10"/>
                  <w:szCs w:val="10"/>
                  <w:u w:val="single" w:color="auto"/>
                  <w:color w:val="auto"/>
                </w:rPr>
                <w:t>89</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The Board of Royal Dutch Shell plc</w:t>
            </w:r>
          </w:p>
        </w:tc>
        <w:tc>
          <w:tcPr>
            <w:tcW w:w="7280" w:type="dxa"/>
            <w:vAlign w:val="bottom"/>
          </w:tcPr>
          <w:p>
            <w:pPr>
              <w:ind w:left="3040"/>
              <w:spacing w:after="0"/>
              <w:rPr>
                <w:rFonts w:ascii="Arial" w:cs="Arial" w:eastAsia="Arial" w:hAnsi="Arial"/>
                <w:sz w:val="10"/>
                <w:szCs w:val="10"/>
                <w:u w:val="single" w:color="auto"/>
                <w:color w:val="auto"/>
              </w:rPr>
            </w:pPr>
            <w:hyperlink w:anchor="page92">
              <w:r>
                <w:rPr>
                  <w:rFonts w:ascii="Arial" w:cs="Arial" w:eastAsia="Arial" w:hAnsi="Arial"/>
                  <w:sz w:val="10"/>
                  <w:szCs w:val="10"/>
                  <w:u w:val="single" w:color="auto"/>
                  <w:color w:val="auto"/>
                </w:rPr>
                <w:t>89</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Senior Management</w:t>
            </w:r>
          </w:p>
        </w:tc>
        <w:tc>
          <w:tcPr>
            <w:tcW w:w="7280" w:type="dxa"/>
            <w:vAlign w:val="bottom"/>
          </w:tcPr>
          <w:p>
            <w:pPr>
              <w:ind w:left="3040"/>
              <w:spacing w:after="0"/>
              <w:rPr>
                <w:rFonts w:ascii="Arial" w:cs="Arial" w:eastAsia="Arial" w:hAnsi="Arial"/>
                <w:sz w:val="10"/>
                <w:szCs w:val="10"/>
                <w:u w:val="single" w:color="auto"/>
                <w:color w:val="auto"/>
              </w:rPr>
            </w:pPr>
            <w:hyperlink w:anchor="page97">
              <w:r>
                <w:rPr>
                  <w:rFonts w:ascii="Arial" w:cs="Arial" w:eastAsia="Arial" w:hAnsi="Arial"/>
                  <w:sz w:val="10"/>
                  <w:szCs w:val="10"/>
                  <w:u w:val="single" w:color="auto"/>
                  <w:color w:val="auto"/>
                </w:rPr>
                <w:t>95</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Governance framework</w:t>
            </w:r>
          </w:p>
        </w:tc>
        <w:tc>
          <w:tcPr>
            <w:tcW w:w="7280" w:type="dxa"/>
            <w:vAlign w:val="bottom"/>
          </w:tcPr>
          <w:p>
            <w:pPr>
              <w:ind w:left="3040"/>
              <w:spacing w:after="0"/>
              <w:rPr>
                <w:rFonts w:ascii="Arial" w:cs="Arial" w:eastAsia="Arial" w:hAnsi="Arial"/>
                <w:sz w:val="10"/>
                <w:szCs w:val="10"/>
                <w:u w:val="single" w:color="auto"/>
                <w:color w:val="auto"/>
              </w:rPr>
            </w:pPr>
            <w:hyperlink w:anchor="page99">
              <w:r>
                <w:rPr>
                  <w:rFonts w:ascii="Arial" w:cs="Arial" w:eastAsia="Arial" w:hAnsi="Arial"/>
                  <w:sz w:val="10"/>
                  <w:szCs w:val="10"/>
                  <w:u w:val="single" w:color="auto"/>
                  <w:color w:val="auto"/>
                </w:rPr>
                <w:t>96</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Nomination and Succession Committee</w:t>
            </w:r>
          </w:p>
        </w:tc>
        <w:tc>
          <w:tcPr>
            <w:tcW w:w="7280" w:type="dxa"/>
            <w:vAlign w:val="bottom"/>
          </w:tcPr>
          <w:p>
            <w:pPr>
              <w:ind w:left="3040"/>
              <w:spacing w:after="0"/>
              <w:rPr>
                <w:rFonts w:ascii="Arial" w:cs="Arial" w:eastAsia="Arial" w:hAnsi="Arial"/>
                <w:sz w:val="10"/>
                <w:szCs w:val="10"/>
                <w:u w:val="single" w:color="auto"/>
                <w:color w:val="auto"/>
              </w:rPr>
            </w:pPr>
            <w:hyperlink w:anchor="page106">
              <w:r>
                <w:rPr>
                  <w:rFonts w:ascii="Arial" w:cs="Arial" w:eastAsia="Arial" w:hAnsi="Arial"/>
                  <w:sz w:val="10"/>
                  <w:szCs w:val="10"/>
                  <w:u w:val="single" w:color="auto"/>
                  <w:color w:val="auto"/>
                </w:rPr>
                <w:t>103</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Safety, Environment and Sustainability Committee</w:t>
            </w:r>
          </w:p>
        </w:tc>
        <w:tc>
          <w:tcPr>
            <w:tcW w:w="7280" w:type="dxa"/>
            <w:vAlign w:val="bottom"/>
          </w:tcPr>
          <w:p>
            <w:pPr>
              <w:ind w:left="3040"/>
              <w:spacing w:after="0"/>
              <w:rPr>
                <w:rFonts w:ascii="Arial" w:cs="Arial" w:eastAsia="Arial" w:hAnsi="Arial"/>
                <w:sz w:val="10"/>
                <w:szCs w:val="10"/>
                <w:u w:val="single" w:color="auto"/>
                <w:color w:val="auto"/>
              </w:rPr>
            </w:pPr>
            <w:hyperlink w:anchor="page109">
              <w:r>
                <w:rPr>
                  <w:rFonts w:ascii="Arial" w:cs="Arial" w:eastAsia="Arial" w:hAnsi="Arial"/>
                  <w:sz w:val="10"/>
                  <w:szCs w:val="10"/>
                  <w:u w:val="single" w:color="auto"/>
                  <w:color w:val="auto"/>
                </w:rPr>
                <w:t>106</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Audit Committee Report</w:t>
            </w:r>
          </w:p>
        </w:tc>
        <w:tc>
          <w:tcPr>
            <w:tcW w:w="7280" w:type="dxa"/>
            <w:vAlign w:val="bottom"/>
          </w:tcPr>
          <w:p>
            <w:pPr>
              <w:ind w:left="3040"/>
              <w:spacing w:after="0"/>
              <w:rPr>
                <w:rFonts w:ascii="Arial" w:cs="Arial" w:eastAsia="Arial" w:hAnsi="Arial"/>
                <w:sz w:val="10"/>
                <w:szCs w:val="10"/>
                <w:u w:val="single" w:color="auto"/>
                <w:color w:val="auto"/>
              </w:rPr>
            </w:pPr>
            <w:hyperlink w:anchor="page110">
              <w:r>
                <w:rPr>
                  <w:rFonts w:ascii="Arial" w:cs="Arial" w:eastAsia="Arial" w:hAnsi="Arial"/>
                  <w:sz w:val="10"/>
                  <w:szCs w:val="10"/>
                  <w:u w:val="single" w:color="auto"/>
                  <w:color w:val="auto"/>
                </w:rPr>
                <w:t>108</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Directors' Remuneration Report</w:t>
            </w:r>
          </w:p>
        </w:tc>
        <w:tc>
          <w:tcPr>
            <w:tcW w:w="7280" w:type="dxa"/>
            <w:vAlign w:val="bottom"/>
          </w:tcPr>
          <w:p>
            <w:pPr>
              <w:ind w:left="3040"/>
              <w:spacing w:after="0"/>
              <w:rPr>
                <w:rFonts w:ascii="Arial" w:cs="Arial" w:eastAsia="Arial" w:hAnsi="Arial"/>
                <w:sz w:val="10"/>
                <w:szCs w:val="10"/>
                <w:u w:val="single" w:color="auto"/>
                <w:color w:val="auto"/>
              </w:rPr>
            </w:pPr>
            <w:hyperlink w:anchor="page118">
              <w:r>
                <w:rPr>
                  <w:rFonts w:ascii="Arial" w:cs="Arial" w:eastAsia="Arial" w:hAnsi="Arial"/>
                  <w:sz w:val="10"/>
                  <w:szCs w:val="10"/>
                  <w:u w:val="single" w:color="auto"/>
                  <w:color w:val="auto"/>
                </w:rPr>
                <w:t>116</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Annual Report on Remuneration</w:t>
            </w:r>
          </w:p>
        </w:tc>
        <w:tc>
          <w:tcPr>
            <w:tcW w:w="7280" w:type="dxa"/>
            <w:vAlign w:val="bottom"/>
          </w:tcPr>
          <w:p>
            <w:pPr>
              <w:ind w:left="3040"/>
              <w:spacing w:after="0"/>
              <w:rPr>
                <w:rFonts w:ascii="Arial" w:cs="Arial" w:eastAsia="Arial" w:hAnsi="Arial"/>
                <w:sz w:val="10"/>
                <w:szCs w:val="10"/>
                <w:u w:val="single" w:color="auto"/>
                <w:color w:val="auto"/>
              </w:rPr>
            </w:pPr>
            <w:hyperlink w:anchor="page122">
              <w:r>
                <w:rPr>
                  <w:rFonts w:ascii="Arial" w:cs="Arial" w:eastAsia="Arial" w:hAnsi="Arial"/>
                  <w:sz w:val="10"/>
                  <w:szCs w:val="10"/>
                  <w:u w:val="single" w:color="auto"/>
                  <w:color w:val="auto"/>
                </w:rPr>
                <w:t>120</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Directors' Remuneration Policy</w:t>
            </w:r>
          </w:p>
        </w:tc>
        <w:tc>
          <w:tcPr>
            <w:tcW w:w="7280" w:type="dxa"/>
            <w:vAlign w:val="bottom"/>
          </w:tcPr>
          <w:p>
            <w:pPr>
              <w:ind w:left="3040"/>
              <w:spacing w:after="0"/>
              <w:rPr>
                <w:rFonts w:ascii="Arial" w:cs="Arial" w:eastAsia="Arial" w:hAnsi="Arial"/>
                <w:sz w:val="10"/>
                <w:szCs w:val="10"/>
                <w:u w:val="single" w:color="auto"/>
                <w:color w:val="auto"/>
              </w:rPr>
            </w:pPr>
            <w:hyperlink w:anchor="page139">
              <w:r>
                <w:rPr>
                  <w:rFonts w:ascii="Arial" w:cs="Arial" w:eastAsia="Arial" w:hAnsi="Arial"/>
                  <w:sz w:val="10"/>
                  <w:szCs w:val="10"/>
                  <w:u w:val="single" w:color="auto"/>
                  <w:color w:val="auto"/>
                </w:rPr>
                <w:t>137</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Governance</w:t>
            </w:r>
          </w:p>
        </w:tc>
        <w:tc>
          <w:tcPr>
            <w:tcW w:w="7280" w:type="dxa"/>
            <w:vAlign w:val="bottom"/>
          </w:tcPr>
          <w:p>
            <w:pPr>
              <w:ind w:left="3040"/>
              <w:spacing w:after="0"/>
              <w:rPr>
                <w:rFonts w:ascii="Arial" w:cs="Arial" w:eastAsia="Arial" w:hAnsi="Arial"/>
                <w:sz w:val="10"/>
                <w:szCs w:val="10"/>
                <w:u w:val="single" w:color="auto"/>
                <w:color w:val="auto"/>
              </w:rPr>
            </w:pPr>
            <w:hyperlink w:anchor="page150">
              <w:r>
                <w:rPr>
                  <w:rFonts w:ascii="Arial" w:cs="Arial" w:eastAsia="Arial" w:hAnsi="Arial"/>
                  <w:sz w:val="10"/>
                  <w:szCs w:val="10"/>
                  <w:u w:val="single" w:color="auto"/>
                  <w:color w:val="auto"/>
                </w:rPr>
                <w:t>148</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b w:val="1"/>
                <w:bCs w:val="1"/>
                <w:color w:val="auto"/>
              </w:rPr>
              <w:t>Financial Statements and Supplements</w:t>
            </w:r>
          </w:p>
        </w:tc>
        <w:tc>
          <w:tcPr>
            <w:tcW w:w="7280" w:type="dxa"/>
            <w:vAlign w:val="bottom"/>
          </w:tcPr>
          <w:p>
            <w:pPr>
              <w:ind w:left="3040"/>
              <w:spacing w:after="0"/>
              <w:rPr>
                <w:rFonts w:ascii="Arial" w:cs="Arial" w:eastAsia="Arial" w:hAnsi="Arial"/>
                <w:sz w:val="10"/>
                <w:szCs w:val="10"/>
                <w:u w:val="single" w:color="auto"/>
                <w:color w:val="auto"/>
              </w:rPr>
            </w:pPr>
            <w:hyperlink w:anchor="page160">
              <w:r>
                <w:rPr>
                  <w:rFonts w:ascii="Arial" w:cs="Arial" w:eastAsia="Arial" w:hAnsi="Arial"/>
                  <w:sz w:val="10"/>
                  <w:szCs w:val="10"/>
                  <w:u w:val="single" w:color="auto"/>
                  <w:color w:val="auto"/>
                </w:rPr>
                <w:t>158</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Report of Independent Registered Public Accounting Firm</w:t>
            </w:r>
          </w:p>
        </w:tc>
        <w:tc>
          <w:tcPr>
            <w:tcW w:w="7280" w:type="dxa"/>
            <w:vAlign w:val="bottom"/>
          </w:tcPr>
          <w:p>
            <w:pPr>
              <w:ind w:left="3040"/>
              <w:spacing w:after="0"/>
              <w:rPr>
                <w:rFonts w:ascii="Arial" w:cs="Arial" w:eastAsia="Arial" w:hAnsi="Arial"/>
                <w:sz w:val="10"/>
                <w:szCs w:val="10"/>
                <w:u w:val="single" w:color="auto"/>
                <w:color w:val="auto"/>
              </w:rPr>
            </w:pPr>
            <w:hyperlink w:anchor="page161">
              <w:r>
                <w:rPr>
                  <w:rFonts w:ascii="Arial" w:cs="Arial" w:eastAsia="Arial" w:hAnsi="Arial"/>
                  <w:sz w:val="10"/>
                  <w:szCs w:val="10"/>
                  <w:u w:val="single" w:color="auto"/>
                  <w:color w:val="auto"/>
                </w:rPr>
                <w:t>158</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b w:val="1"/>
                <w:bCs w:val="1"/>
                <w:color w:val="auto"/>
              </w:rPr>
              <w:t>Consolidated Financial Statements</w:t>
            </w:r>
          </w:p>
        </w:tc>
        <w:tc>
          <w:tcPr>
            <w:tcW w:w="7280" w:type="dxa"/>
            <w:vAlign w:val="bottom"/>
          </w:tcPr>
          <w:p>
            <w:pPr>
              <w:ind w:left="3040"/>
              <w:spacing w:after="0"/>
              <w:rPr>
                <w:rFonts w:ascii="Arial" w:cs="Arial" w:eastAsia="Arial" w:hAnsi="Arial"/>
                <w:sz w:val="10"/>
                <w:szCs w:val="10"/>
                <w:u w:val="single" w:color="auto"/>
                <w:color w:val="auto"/>
              </w:rPr>
            </w:pPr>
            <w:hyperlink w:anchor="page166">
              <w:r>
                <w:rPr>
                  <w:rFonts w:ascii="Arial" w:cs="Arial" w:eastAsia="Arial" w:hAnsi="Arial"/>
                  <w:sz w:val="10"/>
                  <w:szCs w:val="10"/>
                  <w:u w:val="single" w:color="auto"/>
                  <w:color w:val="auto"/>
                </w:rPr>
                <w:t>164</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Consolidated Statement of Income</w:t>
            </w:r>
          </w:p>
        </w:tc>
        <w:tc>
          <w:tcPr>
            <w:tcW w:w="7280" w:type="dxa"/>
            <w:vAlign w:val="bottom"/>
          </w:tcPr>
          <w:p>
            <w:pPr>
              <w:ind w:left="3040"/>
              <w:spacing w:after="0"/>
              <w:rPr>
                <w:rFonts w:ascii="Arial" w:cs="Arial" w:eastAsia="Arial" w:hAnsi="Arial"/>
                <w:sz w:val="10"/>
                <w:szCs w:val="10"/>
                <w:u w:val="single" w:color="auto"/>
                <w:color w:val="auto"/>
              </w:rPr>
            </w:pPr>
            <w:hyperlink w:anchor="page167">
              <w:r>
                <w:rPr>
                  <w:rFonts w:ascii="Arial" w:cs="Arial" w:eastAsia="Arial" w:hAnsi="Arial"/>
                  <w:sz w:val="10"/>
                  <w:szCs w:val="10"/>
                  <w:u w:val="single" w:color="auto"/>
                  <w:color w:val="auto"/>
                </w:rPr>
                <w:t>165</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Consolidated Statement of Comprehensive Income</w:t>
            </w:r>
          </w:p>
        </w:tc>
        <w:tc>
          <w:tcPr>
            <w:tcW w:w="7280" w:type="dxa"/>
            <w:vAlign w:val="bottom"/>
          </w:tcPr>
          <w:p>
            <w:pPr>
              <w:ind w:left="3040"/>
              <w:spacing w:after="0"/>
              <w:rPr>
                <w:rFonts w:ascii="Arial" w:cs="Arial" w:eastAsia="Arial" w:hAnsi="Arial"/>
                <w:sz w:val="10"/>
                <w:szCs w:val="10"/>
                <w:u w:val="single" w:color="auto"/>
                <w:color w:val="auto"/>
              </w:rPr>
            </w:pPr>
            <w:hyperlink w:anchor="page168">
              <w:r>
                <w:rPr>
                  <w:rFonts w:ascii="Arial" w:cs="Arial" w:eastAsia="Arial" w:hAnsi="Arial"/>
                  <w:sz w:val="10"/>
                  <w:szCs w:val="10"/>
                  <w:u w:val="single" w:color="auto"/>
                  <w:color w:val="auto"/>
                </w:rPr>
                <w:t>166</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Consolidated Balance Sheet</w:t>
            </w:r>
          </w:p>
        </w:tc>
        <w:tc>
          <w:tcPr>
            <w:tcW w:w="7280" w:type="dxa"/>
            <w:vAlign w:val="bottom"/>
          </w:tcPr>
          <w:p>
            <w:pPr>
              <w:ind w:left="3040"/>
              <w:spacing w:after="0"/>
              <w:rPr>
                <w:rFonts w:ascii="Arial" w:cs="Arial" w:eastAsia="Arial" w:hAnsi="Arial"/>
                <w:sz w:val="10"/>
                <w:szCs w:val="10"/>
                <w:u w:val="single" w:color="auto"/>
                <w:color w:val="auto"/>
              </w:rPr>
            </w:pPr>
            <w:hyperlink w:anchor="page169">
              <w:r>
                <w:rPr>
                  <w:rFonts w:ascii="Arial" w:cs="Arial" w:eastAsia="Arial" w:hAnsi="Arial"/>
                  <w:sz w:val="10"/>
                  <w:szCs w:val="10"/>
                  <w:u w:val="single" w:color="auto"/>
                  <w:color w:val="auto"/>
                </w:rPr>
                <w:t>167</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Consolidated Statement of Change in Equity</w:t>
            </w:r>
          </w:p>
        </w:tc>
        <w:tc>
          <w:tcPr>
            <w:tcW w:w="7280" w:type="dxa"/>
            <w:vAlign w:val="bottom"/>
          </w:tcPr>
          <w:p>
            <w:pPr>
              <w:ind w:left="3040"/>
              <w:spacing w:after="0"/>
              <w:rPr>
                <w:rFonts w:ascii="Arial" w:cs="Arial" w:eastAsia="Arial" w:hAnsi="Arial"/>
                <w:sz w:val="10"/>
                <w:szCs w:val="10"/>
                <w:u w:val="single" w:color="auto"/>
                <w:color w:val="auto"/>
              </w:rPr>
            </w:pPr>
            <w:hyperlink w:anchor="page170">
              <w:r>
                <w:rPr>
                  <w:rFonts w:ascii="Arial" w:cs="Arial" w:eastAsia="Arial" w:hAnsi="Arial"/>
                  <w:sz w:val="10"/>
                  <w:szCs w:val="10"/>
                  <w:u w:val="single" w:color="auto"/>
                  <w:color w:val="auto"/>
                </w:rPr>
                <w:t>168</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Consolidated Statement of Cash Flows</w:t>
            </w:r>
          </w:p>
        </w:tc>
        <w:tc>
          <w:tcPr>
            <w:tcW w:w="7280" w:type="dxa"/>
            <w:vAlign w:val="bottom"/>
          </w:tcPr>
          <w:p>
            <w:pPr>
              <w:ind w:left="3040"/>
              <w:spacing w:after="0"/>
              <w:rPr>
                <w:rFonts w:ascii="Arial" w:cs="Arial" w:eastAsia="Arial" w:hAnsi="Arial"/>
                <w:sz w:val="10"/>
                <w:szCs w:val="10"/>
                <w:u w:val="single" w:color="auto"/>
                <w:color w:val="auto"/>
              </w:rPr>
            </w:pPr>
            <w:hyperlink w:anchor="page171">
              <w:r>
                <w:rPr>
                  <w:rFonts w:ascii="Arial" w:cs="Arial" w:eastAsia="Arial" w:hAnsi="Arial"/>
                  <w:sz w:val="10"/>
                  <w:szCs w:val="10"/>
                  <w:u w:val="single" w:color="auto"/>
                  <w:color w:val="auto"/>
                </w:rPr>
                <w:t>169</w:t>
              </w:r>
            </w:hyperlink>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Notes to the Consolidated Financial Statements</w:t>
            </w:r>
          </w:p>
        </w:tc>
        <w:tc>
          <w:tcPr>
            <w:tcW w:w="7280" w:type="dxa"/>
            <w:vAlign w:val="bottom"/>
          </w:tcPr>
          <w:p>
            <w:pPr>
              <w:ind w:left="3040"/>
              <w:spacing w:after="0"/>
              <w:rPr>
                <w:rFonts w:ascii="Arial" w:cs="Arial" w:eastAsia="Arial" w:hAnsi="Arial"/>
                <w:sz w:val="10"/>
                <w:szCs w:val="10"/>
                <w:u w:val="single" w:color="auto"/>
                <w:color w:val="auto"/>
              </w:rPr>
            </w:pPr>
            <w:hyperlink w:anchor="page172">
              <w:r>
                <w:rPr>
                  <w:rFonts w:ascii="Arial" w:cs="Arial" w:eastAsia="Arial" w:hAnsi="Arial"/>
                  <w:sz w:val="10"/>
                  <w:szCs w:val="10"/>
                  <w:u w:val="single" w:color="auto"/>
                  <w:color w:val="auto"/>
                </w:rPr>
                <w:t>170</w:t>
              </w:r>
            </w:hyperlink>
          </w:p>
        </w:tc>
      </w:tr>
      <w:tr>
        <w:trPr>
          <w:trHeight w:val="521"/>
        </w:trPr>
        <w:tc>
          <w:tcPr>
            <w:tcW w:w="4020" w:type="dxa"/>
            <w:vAlign w:val="bottom"/>
          </w:tcPr>
          <w:p>
            <w:pPr>
              <w:ind w:left="40"/>
              <w:spacing w:after="0"/>
              <w:rPr>
                <w:sz w:val="20"/>
                <w:szCs w:val="20"/>
                <w:color w:val="auto"/>
              </w:rPr>
            </w:pPr>
            <w:r>
              <w:rPr>
                <w:rFonts w:ascii="Arial" w:cs="Arial" w:eastAsia="Arial" w:hAnsi="Arial"/>
                <w:sz w:val="6"/>
                <w:szCs w:val="6"/>
                <w:color w:val="auto"/>
              </w:rPr>
              <w:t>INTRODUCTION SHELL FORM 20-F 2020</w:t>
            </w:r>
          </w:p>
        </w:tc>
        <w:tc>
          <w:tcPr>
            <w:tcW w:w="7280" w:type="dxa"/>
            <w:vAlign w:val="bottom"/>
          </w:tcPr>
          <w:p>
            <w:pPr>
              <w:ind w:left="1780"/>
              <w:spacing w:after="0"/>
              <w:rPr>
                <w:sz w:val="20"/>
                <w:szCs w:val="20"/>
                <w:color w:val="auto"/>
              </w:rPr>
            </w:pPr>
            <w:r>
              <w:rPr>
                <w:rFonts w:ascii="Arial" w:cs="Arial" w:eastAsia="Arial" w:hAnsi="Arial"/>
                <w:sz w:val="6"/>
                <w:szCs w:val="6"/>
                <w:color w:val="auto"/>
              </w:rPr>
              <w:t>5</w:t>
            </w:r>
          </w:p>
        </w:tc>
      </w:tr>
      <w:tr>
        <w:trPr>
          <w:trHeight w:val="144"/>
        </w:trPr>
        <w:tc>
          <w:tcPr>
            <w:tcW w:w="4020" w:type="dxa"/>
            <w:vAlign w:val="bottom"/>
            <w:tcBorders>
              <w:bottom w:val="single" w:sz="8" w:color="9A9A9A"/>
            </w:tcBorders>
          </w:tcPr>
          <w:p>
            <w:pPr>
              <w:spacing w:after="0"/>
              <w:rPr>
                <w:sz w:val="12"/>
                <w:szCs w:val="12"/>
                <w:color w:val="auto"/>
              </w:rPr>
            </w:pPr>
          </w:p>
        </w:tc>
        <w:tc>
          <w:tcPr>
            <w:tcW w:w="7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21"/>
        </w:trPr>
        <w:tc>
          <w:tcPr>
            <w:tcW w:w="380" w:type="dxa"/>
            <w:vAlign w:val="bottom"/>
          </w:tcPr>
          <w:p>
            <w:pPr>
              <w:ind w:left="220"/>
              <w:spacing w:after="0"/>
              <w:rPr>
                <w:sz w:val="20"/>
                <w:szCs w:val="20"/>
                <w:color w:val="auto"/>
              </w:rPr>
            </w:pPr>
            <w:r>
              <w:rPr>
                <w:rFonts w:ascii="Arial" w:cs="Arial" w:eastAsia="Arial" w:hAnsi="Arial"/>
                <w:sz w:val="10"/>
                <w:szCs w:val="10"/>
                <w:color w:val="auto"/>
              </w:rPr>
              <w:t>1.</w:t>
            </w:r>
          </w:p>
        </w:tc>
        <w:tc>
          <w:tcPr>
            <w:tcW w:w="3880" w:type="dxa"/>
            <w:vAlign w:val="bottom"/>
          </w:tcPr>
          <w:p>
            <w:pPr>
              <w:ind w:left="60"/>
              <w:spacing w:after="0"/>
              <w:rPr>
                <w:sz w:val="20"/>
                <w:szCs w:val="20"/>
                <w:color w:val="auto"/>
              </w:rPr>
            </w:pPr>
            <w:r>
              <w:rPr>
                <w:rFonts w:ascii="Arial" w:cs="Arial" w:eastAsia="Arial" w:hAnsi="Arial"/>
                <w:sz w:val="10"/>
                <w:szCs w:val="10"/>
                <w:color w:val="auto"/>
              </w:rPr>
              <w:t>Basis of Preparation</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73">
              <w:r>
                <w:rPr>
                  <w:rFonts w:ascii="Arial" w:cs="Arial" w:eastAsia="Arial" w:hAnsi="Arial"/>
                  <w:sz w:val="10"/>
                  <w:szCs w:val="10"/>
                  <w:u w:val="single" w:color="auto"/>
                  <w:color w:val="auto"/>
                </w:rPr>
                <w:t>170</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2.</w:t>
            </w:r>
          </w:p>
        </w:tc>
        <w:tc>
          <w:tcPr>
            <w:tcW w:w="3880" w:type="dxa"/>
            <w:vAlign w:val="bottom"/>
          </w:tcPr>
          <w:p>
            <w:pPr>
              <w:ind w:left="60"/>
              <w:spacing w:after="0"/>
              <w:rPr>
                <w:sz w:val="20"/>
                <w:szCs w:val="20"/>
                <w:color w:val="auto"/>
              </w:rPr>
            </w:pPr>
            <w:r>
              <w:rPr>
                <w:rFonts w:ascii="Arial" w:cs="Arial" w:eastAsia="Arial" w:hAnsi="Arial"/>
                <w:sz w:val="10"/>
                <w:szCs w:val="10"/>
                <w:color w:val="auto"/>
              </w:rPr>
              <w:t>Significant Accounting Policies, Judgements and Estimates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73">
              <w:r>
                <w:rPr>
                  <w:rFonts w:ascii="Arial" w:cs="Arial" w:eastAsia="Arial" w:hAnsi="Arial"/>
                  <w:sz w:val="10"/>
                  <w:szCs w:val="10"/>
                  <w:u w:val="single" w:color="auto"/>
                  <w:color w:val="auto"/>
                </w:rPr>
                <w:t>170</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3.</w:t>
            </w:r>
          </w:p>
        </w:tc>
        <w:tc>
          <w:tcPr>
            <w:tcW w:w="3880" w:type="dxa"/>
            <w:vAlign w:val="bottom"/>
          </w:tcPr>
          <w:p>
            <w:pPr>
              <w:ind w:left="60"/>
              <w:spacing w:after="0"/>
              <w:rPr>
                <w:sz w:val="20"/>
                <w:szCs w:val="20"/>
                <w:color w:val="auto"/>
              </w:rPr>
            </w:pPr>
            <w:r>
              <w:rPr>
                <w:rFonts w:ascii="Arial" w:cs="Arial" w:eastAsia="Arial" w:hAnsi="Arial"/>
                <w:sz w:val="10"/>
                <w:szCs w:val="10"/>
                <w:color w:val="auto"/>
              </w:rPr>
              <w:t>Changes to IFRS not yet adopted</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80">
              <w:r>
                <w:rPr>
                  <w:rFonts w:ascii="Arial" w:cs="Arial" w:eastAsia="Arial" w:hAnsi="Arial"/>
                  <w:sz w:val="10"/>
                  <w:szCs w:val="10"/>
                  <w:u w:val="single" w:color="auto"/>
                  <w:color w:val="auto"/>
                </w:rPr>
                <w:t>178</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4.</w:t>
            </w:r>
          </w:p>
        </w:tc>
        <w:tc>
          <w:tcPr>
            <w:tcW w:w="3880" w:type="dxa"/>
            <w:vAlign w:val="bottom"/>
          </w:tcPr>
          <w:p>
            <w:pPr>
              <w:ind w:left="60"/>
              <w:spacing w:after="0"/>
              <w:rPr>
                <w:sz w:val="20"/>
                <w:szCs w:val="20"/>
                <w:color w:val="auto"/>
              </w:rPr>
            </w:pPr>
            <w:r>
              <w:rPr>
                <w:rFonts w:ascii="Arial" w:cs="Arial" w:eastAsia="Arial" w:hAnsi="Arial"/>
                <w:sz w:val="10"/>
                <w:szCs w:val="10"/>
                <w:color w:val="auto"/>
              </w:rPr>
              <w:t>Segment Information</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81">
              <w:r>
                <w:rPr>
                  <w:rFonts w:ascii="Arial" w:cs="Arial" w:eastAsia="Arial" w:hAnsi="Arial"/>
                  <w:sz w:val="10"/>
                  <w:szCs w:val="10"/>
                  <w:u w:val="single" w:color="auto"/>
                  <w:color w:val="auto"/>
                </w:rPr>
                <w:t>178</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5.</w:t>
            </w:r>
          </w:p>
        </w:tc>
        <w:tc>
          <w:tcPr>
            <w:tcW w:w="3880" w:type="dxa"/>
            <w:vAlign w:val="bottom"/>
          </w:tcPr>
          <w:p>
            <w:pPr>
              <w:ind w:left="60"/>
              <w:spacing w:after="0"/>
              <w:rPr>
                <w:sz w:val="20"/>
                <w:szCs w:val="20"/>
                <w:color w:val="auto"/>
              </w:rPr>
            </w:pPr>
            <w:r>
              <w:rPr>
                <w:rFonts w:ascii="Arial" w:cs="Arial" w:eastAsia="Arial" w:hAnsi="Arial"/>
                <w:sz w:val="10"/>
                <w:szCs w:val="10"/>
                <w:color w:val="auto"/>
              </w:rPr>
              <w:t>Interest and Other Income</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84">
              <w:r>
                <w:rPr>
                  <w:rFonts w:ascii="Arial" w:cs="Arial" w:eastAsia="Arial" w:hAnsi="Arial"/>
                  <w:sz w:val="10"/>
                  <w:szCs w:val="10"/>
                  <w:u w:val="single" w:color="auto"/>
                  <w:color w:val="auto"/>
                </w:rPr>
                <w:t>182</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6.</w:t>
            </w:r>
          </w:p>
        </w:tc>
        <w:tc>
          <w:tcPr>
            <w:tcW w:w="3880" w:type="dxa"/>
            <w:vAlign w:val="bottom"/>
          </w:tcPr>
          <w:p>
            <w:pPr>
              <w:ind w:left="60"/>
              <w:spacing w:after="0"/>
              <w:rPr>
                <w:sz w:val="20"/>
                <w:szCs w:val="20"/>
                <w:color w:val="auto"/>
              </w:rPr>
            </w:pPr>
            <w:r>
              <w:rPr>
                <w:rFonts w:ascii="Arial" w:cs="Arial" w:eastAsia="Arial" w:hAnsi="Arial"/>
                <w:sz w:val="10"/>
                <w:szCs w:val="10"/>
                <w:color w:val="auto"/>
              </w:rPr>
              <w:t>Interest Expense</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85">
              <w:r>
                <w:rPr>
                  <w:rFonts w:ascii="Arial" w:cs="Arial" w:eastAsia="Arial" w:hAnsi="Arial"/>
                  <w:sz w:val="10"/>
                  <w:szCs w:val="10"/>
                  <w:u w:val="single" w:color="auto"/>
                  <w:color w:val="auto"/>
                </w:rPr>
                <w:t>182</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7.</w:t>
            </w:r>
          </w:p>
        </w:tc>
        <w:tc>
          <w:tcPr>
            <w:tcW w:w="3880" w:type="dxa"/>
            <w:vAlign w:val="bottom"/>
          </w:tcPr>
          <w:p>
            <w:pPr>
              <w:ind w:left="60"/>
              <w:spacing w:after="0"/>
              <w:rPr>
                <w:sz w:val="20"/>
                <w:szCs w:val="20"/>
                <w:color w:val="auto"/>
              </w:rPr>
            </w:pPr>
            <w:r>
              <w:rPr>
                <w:rFonts w:ascii="Arial" w:cs="Arial" w:eastAsia="Arial" w:hAnsi="Arial"/>
                <w:sz w:val="10"/>
                <w:szCs w:val="10"/>
                <w:color w:val="auto"/>
              </w:rPr>
              <w:t>Intangible Assets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85">
              <w:r>
                <w:rPr>
                  <w:rFonts w:ascii="Arial" w:cs="Arial" w:eastAsia="Arial" w:hAnsi="Arial"/>
                  <w:sz w:val="10"/>
                  <w:szCs w:val="10"/>
                  <w:u w:val="single" w:color="auto"/>
                  <w:color w:val="auto"/>
                </w:rPr>
                <w:t>182</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8.</w:t>
            </w:r>
          </w:p>
        </w:tc>
        <w:tc>
          <w:tcPr>
            <w:tcW w:w="3880" w:type="dxa"/>
            <w:vAlign w:val="bottom"/>
          </w:tcPr>
          <w:p>
            <w:pPr>
              <w:ind w:left="60"/>
              <w:spacing w:after="0"/>
              <w:rPr>
                <w:sz w:val="20"/>
                <w:szCs w:val="20"/>
                <w:color w:val="auto"/>
              </w:rPr>
            </w:pPr>
            <w:r>
              <w:rPr>
                <w:rFonts w:ascii="Arial" w:cs="Arial" w:eastAsia="Arial" w:hAnsi="Arial"/>
                <w:sz w:val="10"/>
                <w:szCs w:val="10"/>
                <w:color w:val="auto"/>
              </w:rPr>
              <w:t>Property, Plant and Equipment</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86">
              <w:r>
                <w:rPr>
                  <w:rFonts w:ascii="Arial" w:cs="Arial" w:eastAsia="Arial" w:hAnsi="Arial"/>
                  <w:sz w:val="10"/>
                  <w:szCs w:val="10"/>
                  <w:u w:val="single" w:color="auto"/>
                  <w:color w:val="auto"/>
                </w:rPr>
                <w:t>183</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9.</w:t>
            </w:r>
          </w:p>
        </w:tc>
        <w:tc>
          <w:tcPr>
            <w:tcW w:w="3880" w:type="dxa"/>
            <w:vAlign w:val="bottom"/>
          </w:tcPr>
          <w:p>
            <w:pPr>
              <w:ind w:left="60"/>
              <w:spacing w:after="0"/>
              <w:rPr>
                <w:sz w:val="20"/>
                <w:szCs w:val="20"/>
                <w:color w:val="auto"/>
              </w:rPr>
            </w:pPr>
            <w:r>
              <w:rPr>
                <w:rFonts w:ascii="Arial" w:cs="Arial" w:eastAsia="Arial" w:hAnsi="Arial"/>
                <w:sz w:val="10"/>
                <w:szCs w:val="10"/>
                <w:color w:val="auto"/>
              </w:rPr>
              <w:t>Joint Ventures and Associates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89">
              <w:r>
                <w:rPr>
                  <w:rFonts w:ascii="Arial" w:cs="Arial" w:eastAsia="Arial" w:hAnsi="Arial"/>
                  <w:sz w:val="10"/>
                  <w:szCs w:val="10"/>
                  <w:u w:val="single" w:color="auto"/>
                  <w:color w:val="auto"/>
                </w:rPr>
                <w:t>186</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10.</w:t>
            </w:r>
          </w:p>
        </w:tc>
        <w:tc>
          <w:tcPr>
            <w:tcW w:w="3880" w:type="dxa"/>
            <w:vAlign w:val="bottom"/>
          </w:tcPr>
          <w:p>
            <w:pPr>
              <w:ind w:left="40"/>
              <w:spacing w:after="0"/>
              <w:rPr>
                <w:sz w:val="20"/>
                <w:szCs w:val="20"/>
                <w:color w:val="auto"/>
              </w:rPr>
            </w:pPr>
            <w:r>
              <w:rPr>
                <w:rFonts w:ascii="Arial" w:cs="Arial" w:eastAsia="Arial" w:hAnsi="Arial"/>
                <w:sz w:val="10"/>
                <w:szCs w:val="10"/>
                <w:color w:val="auto"/>
              </w:rPr>
              <w:t>Investments in Securities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90">
              <w:r>
                <w:rPr>
                  <w:rFonts w:ascii="Arial" w:cs="Arial" w:eastAsia="Arial" w:hAnsi="Arial"/>
                  <w:sz w:val="10"/>
                  <w:szCs w:val="10"/>
                  <w:u w:val="single" w:color="auto"/>
                  <w:color w:val="auto"/>
                </w:rPr>
                <w:t>187</w:t>
              </w:r>
            </w:hyperlink>
          </w:p>
        </w:tc>
      </w:tr>
      <w:tr>
        <w:trPr>
          <w:trHeight w:val="126"/>
        </w:trPr>
        <w:tc>
          <w:tcPr>
            <w:tcW w:w="4260" w:type="dxa"/>
            <w:vAlign w:val="bottom"/>
            <w:gridSpan w:val="2"/>
          </w:tcPr>
          <w:p>
            <w:pPr>
              <w:ind w:left="220"/>
              <w:spacing w:after="0"/>
              <w:rPr>
                <w:sz w:val="20"/>
                <w:szCs w:val="20"/>
                <w:color w:val="auto"/>
              </w:rPr>
            </w:pPr>
            <w:r>
              <w:rPr>
                <w:rFonts w:ascii="Arial" w:cs="Arial" w:eastAsia="Arial" w:hAnsi="Arial"/>
                <w:sz w:val="10"/>
                <w:szCs w:val="10"/>
                <w:color w:val="auto"/>
              </w:rPr>
              <w:t>11.  Trade and Other Receivables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90">
              <w:r>
                <w:rPr>
                  <w:rFonts w:ascii="Arial" w:cs="Arial" w:eastAsia="Arial" w:hAnsi="Arial"/>
                  <w:sz w:val="10"/>
                  <w:szCs w:val="10"/>
                  <w:u w:val="single" w:color="auto"/>
                  <w:color w:val="auto"/>
                </w:rPr>
                <w:t>187</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12.</w:t>
            </w:r>
          </w:p>
        </w:tc>
        <w:tc>
          <w:tcPr>
            <w:tcW w:w="3880" w:type="dxa"/>
            <w:vAlign w:val="bottom"/>
          </w:tcPr>
          <w:p>
            <w:pPr>
              <w:ind w:left="40"/>
              <w:spacing w:after="0"/>
              <w:rPr>
                <w:sz w:val="20"/>
                <w:szCs w:val="20"/>
                <w:color w:val="auto"/>
              </w:rPr>
            </w:pPr>
            <w:r>
              <w:rPr>
                <w:rFonts w:ascii="Arial" w:cs="Arial" w:eastAsia="Arial" w:hAnsi="Arial"/>
                <w:sz w:val="10"/>
                <w:szCs w:val="10"/>
                <w:color w:val="auto"/>
              </w:rPr>
              <w:t>Inventories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91">
              <w:r>
                <w:rPr>
                  <w:rFonts w:ascii="Arial" w:cs="Arial" w:eastAsia="Arial" w:hAnsi="Arial"/>
                  <w:sz w:val="10"/>
                  <w:szCs w:val="10"/>
                  <w:u w:val="single" w:color="auto"/>
                  <w:color w:val="auto"/>
                </w:rPr>
                <w:t>188</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13.</w:t>
            </w:r>
          </w:p>
        </w:tc>
        <w:tc>
          <w:tcPr>
            <w:tcW w:w="3880" w:type="dxa"/>
            <w:vAlign w:val="bottom"/>
          </w:tcPr>
          <w:p>
            <w:pPr>
              <w:ind w:left="40"/>
              <w:spacing w:after="0"/>
              <w:rPr>
                <w:sz w:val="20"/>
                <w:szCs w:val="20"/>
                <w:color w:val="auto"/>
              </w:rPr>
            </w:pPr>
            <w:r>
              <w:rPr>
                <w:rFonts w:ascii="Arial" w:cs="Arial" w:eastAsia="Arial" w:hAnsi="Arial"/>
                <w:sz w:val="10"/>
                <w:szCs w:val="10"/>
                <w:color w:val="auto"/>
              </w:rPr>
              <w:t>Cash and Cash Equivalents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91">
              <w:r>
                <w:rPr>
                  <w:rFonts w:ascii="Arial" w:cs="Arial" w:eastAsia="Arial" w:hAnsi="Arial"/>
                  <w:sz w:val="10"/>
                  <w:szCs w:val="10"/>
                  <w:u w:val="single" w:color="auto"/>
                  <w:color w:val="auto"/>
                </w:rPr>
                <w:t>188</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14.</w:t>
            </w:r>
          </w:p>
        </w:tc>
        <w:tc>
          <w:tcPr>
            <w:tcW w:w="3880" w:type="dxa"/>
            <w:vAlign w:val="bottom"/>
          </w:tcPr>
          <w:p>
            <w:pPr>
              <w:ind w:left="40"/>
              <w:spacing w:after="0"/>
              <w:rPr>
                <w:sz w:val="20"/>
                <w:szCs w:val="20"/>
                <w:color w:val="auto"/>
              </w:rPr>
            </w:pPr>
            <w:r>
              <w:rPr>
                <w:rFonts w:ascii="Arial" w:cs="Arial" w:eastAsia="Arial" w:hAnsi="Arial"/>
                <w:sz w:val="10"/>
                <w:szCs w:val="10"/>
                <w:color w:val="auto"/>
              </w:rPr>
              <w:t>Debt and Lease Arrangements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91">
              <w:r>
                <w:rPr>
                  <w:rFonts w:ascii="Arial" w:cs="Arial" w:eastAsia="Arial" w:hAnsi="Arial"/>
                  <w:sz w:val="10"/>
                  <w:szCs w:val="10"/>
                  <w:u w:val="single" w:color="auto"/>
                  <w:color w:val="auto"/>
                </w:rPr>
                <w:t>189</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15.</w:t>
            </w:r>
          </w:p>
        </w:tc>
        <w:tc>
          <w:tcPr>
            <w:tcW w:w="3880" w:type="dxa"/>
            <w:vAlign w:val="bottom"/>
          </w:tcPr>
          <w:p>
            <w:pPr>
              <w:ind w:left="40"/>
              <w:spacing w:after="0"/>
              <w:rPr>
                <w:sz w:val="20"/>
                <w:szCs w:val="20"/>
                <w:color w:val="auto"/>
              </w:rPr>
            </w:pPr>
            <w:r>
              <w:rPr>
                <w:rFonts w:ascii="Arial" w:cs="Arial" w:eastAsia="Arial" w:hAnsi="Arial"/>
                <w:sz w:val="10"/>
                <w:szCs w:val="10"/>
                <w:color w:val="auto"/>
              </w:rPr>
              <w:t>Trade and Other Payables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94">
              <w:r>
                <w:rPr>
                  <w:rFonts w:ascii="Arial" w:cs="Arial" w:eastAsia="Arial" w:hAnsi="Arial"/>
                  <w:sz w:val="10"/>
                  <w:szCs w:val="10"/>
                  <w:u w:val="single" w:color="auto"/>
                  <w:color w:val="auto"/>
                </w:rPr>
                <w:t>191</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16.</w:t>
            </w:r>
          </w:p>
        </w:tc>
        <w:tc>
          <w:tcPr>
            <w:tcW w:w="3880" w:type="dxa"/>
            <w:vAlign w:val="bottom"/>
          </w:tcPr>
          <w:p>
            <w:pPr>
              <w:ind w:left="40"/>
              <w:spacing w:after="0"/>
              <w:rPr>
                <w:sz w:val="20"/>
                <w:szCs w:val="20"/>
                <w:color w:val="auto"/>
              </w:rPr>
            </w:pPr>
            <w:r>
              <w:rPr>
                <w:rFonts w:ascii="Arial" w:cs="Arial" w:eastAsia="Arial" w:hAnsi="Arial"/>
                <w:sz w:val="10"/>
                <w:szCs w:val="10"/>
                <w:color w:val="auto"/>
              </w:rPr>
              <w:t>Taxation</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94">
              <w:r>
                <w:rPr>
                  <w:rFonts w:ascii="Arial" w:cs="Arial" w:eastAsia="Arial" w:hAnsi="Arial"/>
                  <w:sz w:val="10"/>
                  <w:szCs w:val="10"/>
                  <w:u w:val="single" w:color="auto"/>
                  <w:color w:val="auto"/>
                </w:rPr>
                <w:t>191</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17.</w:t>
            </w:r>
          </w:p>
        </w:tc>
        <w:tc>
          <w:tcPr>
            <w:tcW w:w="3880" w:type="dxa"/>
            <w:vAlign w:val="bottom"/>
          </w:tcPr>
          <w:p>
            <w:pPr>
              <w:ind w:left="40"/>
              <w:spacing w:after="0"/>
              <w:rPr>
                <w:sz w:val="20"/>
                <w:szCs w:val="20"/>
                <w:color w:val="auto"/>
              </w:rPr>
            </w:pPr>
            <w:r>
              <w:rPr>
                <w:rFonts w:ascii="Arial" w:cs="Arial" w:eastAsia="Arial" w:hAnsi="Arial"/>
                <w:sz w:val="10"/>
                <w:szCs w:val="10"/>
                <w:color w:val="auto"/>
              </w:rPr>
              <w:t>Retirement Benefits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196">
              <w:r>
                <w:rPr>
                  <w:rFonts w:ascii="Arial" w:cs="Arial" w:eastAsia="Arial" w:hAnsi="Arial"/>
                  <w:sz w:val="10"/>
                  <w:szCs w:val="10"/>
                  <w:u w:val="single" w:color="auto"/>
                  <w:color w:val="auto"/>
                </w:rPr>
                <w:t>194</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18.</w:t>
            </w:r>
          </w:p>
        </w:tc>
        <w:tc>
          <w:tcPr>
            <w:tcW w:w="3880" w:type="dxa"/>
            <w:vAlign w:val="bottom"/>
          </w:tcPr>
          <w:p>
            <w:pPr>
              <w:ind w:left="40"/>
              <w:spacing w:after="0"/>
              <w:rPr>
                <w:sz w:val="20"/>
                <w:szCs w:val="20"/>
                <w:color w:val="auto"/>
              </w:rPr>
            </w:pPr>
            <w:r>
              <w:rPr>
                <w:rFonts w:ascii="Arial" w:cs="Arial" w:eastAsia="Arial" w:hAnsi="Arial"/>
                <w:sz w:val="10"/>
                <w:szCs w:val="10"/>
                <w:color w:val="auto"/>
              </w:rPr>
              <w:t>Decommissioning and Other Provisions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00">
              <w:r>
                <w:rPr>
                  <w:rFonts w:ascii="Arial" w:cs="Arial" w:eastAsia="Arial" w:hAnsi="Arial"/>
                  <w:sz w:val="10"/>
                  <w:szCs w:val="10"/>
                  <w:u w:val="single" w:color="auto"/>
                  <w:color w:val="auto"/>
                </w:rPr>
                <w:t>198</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19.</w:t>
            </w:r>
          </w:p>
        </w:tc>
        <w:tc>
          <w:tcPr>
            <w:tcW w:w="3880" w:type="dxa"/>
            <w:vAlign w:val="bottom"/>
          </w:tcPr>
          <w:p>
            <w:pPr>
              <w:ind w:left="40"/>
              <w:spacing w:after="0"/>
              <w:rPr>
                <w:sz w:val="20"/>
                <w:szCs w:val="20"/>
                <w:color w:val="auto"/>
              </w:rPr>
            </w:pPr>
            <w:r>
              <w:rPr>
                <w:rFonts w:ascii="Arial" w:cs="Arial" w:eastAsia="Arial" w:hAnsi="Arial"/>
                <w:sz w:val="10"/>
                <w:szCs w:val="10"/>
                <w:color w:val="auto"/>
              </w:rPr>
              <w:t>Financial Instruments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01">
              <w:r>
                <w:rPr>
                  <w:rFonts w:ascii="Arial" w:cs="Arial" w:eastAsia="Arial" w:hAnsi="Arial"/>
                  <w:sz w:val="10"/>
                  <w:szCs w:val="10"/>
                  <w:u w:val="single" w:color="auto"/>
                  <w:color w:val="auto"/>
                </w:rPr>
                <w:t>199</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20.</w:t>
            </w:r>
          </w:p>
        </w:tc>
        <w:tc>
          <w:tcPr>
            <w:tcW w:w="3880" w:type="dxa"/>
            <w:vAlign w:val="bottom"/>
          </w:tcPr>
          <w:p>
            <w:pPr>
              <w:ind w:left="40"/>
              <w:spacing w:after="0"/>
              <w:rPr>
                <w:sz w:val="20"/>
                <w:szCs w:val="20"/>
                <w:color w:val="auto"/>
              </w:rPr>
            </w:pPr>
            <w:r>
              <w:rPr>
                <w:rFonts w:ascii="Arial" w:cs="Arial" w:eastAsia="Arial" w:hAnsi="Arial"/>
                <w:sz w:val="10"/>
                <w:szCs w:val="10"/>
                <w:color w:val="auto"/>
              </w:rPr>
              <w:t>Share Capital</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06">
              <w:r>
                <w:rPr>
                  <w:rFonts w:ascii="Arial" w:cs="Arial" w:eastAsia="Arial" w:hAnsi="Arial"/>
                  <w:sz w:val="10"/>
                  <w:szCs w:val="10"/>
                  <w:u w:val="single" w:color="auto"/>
                  <w:color w:val="auto"/>
                </w:rPr>
                <w:t>204</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21.</w:t>
            </w:r>
          </w:p>
        </w:tc>
        <w:tc>
          <w:tcPr>
            <w:tcW w:w="3880" w:type="dxa"/>
            <w:vAlign w:val="bottom"/>
          </w:tcPr>
          <w:p>
            <w:pPr>
              <w:ind w:left="40"/>
              <w:spacing w:after="0"/>
              <w:rPr>
                <w:sz w:val="20"/>
                <w:szCs w:val="20"/>
                <w:color w:val="auto"/>
              </w:rPr>
            </w:pPr>
            <w:r>
              <w:rPr>
                <w:rFonts w:ascii="Arial" w:cs="Arial" w:eastAsia="Arial" w:hAnsi="Arial"/>
                <w:sz w:val="10"/>
                <w:szCs w:val="10"/>
                <w:color w:val="auto"/>
              </w:rPr>
              <w:t>Share-Based Compensation Plans and Share Held In Trust</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07">
              <w:r>
                <w:rPr>
                  <w:rFonts w:ascii="Arial" w:cs="Arial" w:eastAsia="Arial" w:hAnsi="Arial"/>
                  <w:sz w:val="10"/>
                  <w:szCs w:val="10"/>
                  <w:u w:val="single" w:color="auto"/>
                  <w:color w:val="auto"/>
                </w:rPr>
                <w:t>204</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22.</w:t>
            </w:r>
          </w:p>
        </w:tc>
        <w:tc>
          <w:tcPr>
            <w:tcW w:w="3880" w:type="dxa"/>
            <w:vAlign w:val="bottom"/>
          </w:tcPr>
          <w:p>
            <w:pPr>
              <w:ind w:left="40"/>
              <w:spacing w:after="0"/>
              <w:rPr>
                <w:sz w:val="20"/>
                <w:szCs w:val="20"/>
                <w:color w:val="auto"/>
              </w:rPr>
            </w:pPr>
            <w:r>
              <w:rPr>
                <w:rFonts w:ascii="Arial" w:cs="Arial" w:eastAsia="Arial" w:hAnsi="Arial"/>
                <w:sz w:val="10"/>
                <w:szCs w:val="10"/>
                <w:color w:val="auto"/>
              </w:rPr>
              <w:t>Other Reserves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07">
              <w:r>
                <w:rPr>
                  <w:rFonts w:ascii="Arial" w:cs="Arial" w:eastAsia="Arial" w:hAnsi="Arial"/>
                  <w:sz w:val="10"/>
                  <w:szCs w:val="10"/>
                  <w:u w:val="single" w:color="auto"/>
                  <w:color w:val="auto"/>
                </w:rPr>
                <w:t>205</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23.</w:t>
            </w:r>
          </w:p>
        </w:tc>
        <w:tc>
          <w:tcPr>
            <w:tcW w:w="3880" w:type="dxa"/>
            <w:vAlign w:val="bottom"/>
          </w:tcPr>
          <w:p>
            <w:pPr>
              <w:ind w:left="40"/>
              <w:spacing w:after="0"/>
              <w:rPr>
                <w:sz w:val="20"/>
                <w:szCs w:val="20"/>
                <w:color w:val="auto"/>
              </w:rPr>
            </w:pPr>
            <w:r>
              <w:rPr>
                <w:rFonts w:ascii="Arial" w:cs="Arial" w:eastAsia="Arial" w:hAnsi="Arial"/>
                <w:sz w:val="10"/>
                <w:szCs w:val="10"/>
                <w:color w:val="auto"/>
              </w:rPr>
              <w:t>Dividends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09">
              <w:r>
                <w:rPr>
                  <w:rFonts w:ascii="Arial" w:cs="Arial" w:eastAsia="Arial" w:hAnsi="Arial"/>
                  <w:sz w:val="10"/>
                  <w:szCs w:val="10"/>
                  <w:u w:val="single" w:color="auto"/>
                  <w:color w:val="auto"/>
                </w:rPr>
                <w:t>207</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24.</w:t>
            </w:r>
          </w:p>
        </w:tc>
        <w:tc>
          <w:tcPr>
            <w:tcW w:w="3880" w:type="dxa"/>
            <w:vAlign w:val="bottom"/>
          </w:tcPr>
          <w:p>
            <w:pPr>
              <w:ind w:left="40"/>
              <w:spacing w:after="0"/>
              <w:rPr>
                <w:sz w:val="20"/>
                <w:szCs w:val="20"/>
                <w:color w:val="auto"/>
              </w:rPr>
            </w:pPr>
            <w:r>
              <w:rPr>
                <w:rFonts w:ascii="Arial" w:cs="Arial" w:eastAsia="Arial" w:hAnsi="Arial"/>
                <w:sz w:val="10"/>
                <w:szCs w:val="10"/>
                <w:color w:val="auto"/>
              </w:rPr>
              <w:t>Earnings Per Share</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10">
              <w:r>
                <w:rPr>
                  <w:rFonts w:ascii="Arial" w:cs="Arial" w:eastAsia="Arial" w:hAnsi="Arial"/>
                  <w:sz w:val="10"/>
                  <w:szCs w:val="10"/>
                  <w:u w:val="single" w:color="auto"/>
                  <w:color w:val="auto"/>
                </w:rPr>
                <w:t>207</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25.</w:t>
            </w:r>
          </w:p>
        </w:tc>
        <w:tc>
          <w:tcPr>
            <w:tcW w:w="3880" w:type="dxa"/>
            <w:vAlign w:val="bottom"/>
          </w:tcPr>
          <w:p>
            <w:pPr>
              <w:ind w:left="40"/>
              <w:spacing w:after="0"/>
              <w:rPr>
                <w:sz w:val="20"/>
                <w:szCs w:val="20"/>
                <w:color w:val="auto"/>
              </w:rPr>
            </w:pPr>
            <w:r>
              <w:rPr>
                <w:rFonts w:ascii="Arial" w:cs="Arial" w:eastAsia="Arial" w:hAnsi="Arial"/>
                <w:sz w:val="10"/>
                <w:szCs w:val="10"/>
                <w:color w:val="auto"/>
              </w:rPr>
              <w:t>Legal Proceedings and Other Contingencies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10">
              <w:r>
                <w:rPr>
                  <w:rFonts w:ascii="Arial" w:cs="Arial" w:eastAsia="Arial" w:hAnsi="Arial"/>
                  <w:sz w:val="10"/>
                  <w:szCs w:val="10"/>
                  <w:u w:val="single" w:color="auto"/>
                  <w:color w:val="auto"/>
                </w:rPr>
                <w:t>207</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26.</w:t>
            </w:r>
          </w:p>
        </w:tc>
        <w:tc>
          <w:tcPr>
            <w:tcW w:w="3880" w:type="dxa"/>
            <w:vAlign w:val="bottom"/>
          </w:tcPr>
          <w:p>
            <w:pPr>
              <w:ind w:left="40"/>
              <w:spacing w:after="0"/>
              <w:rPr>
                <w:sz w:val="20"/>
                <w:szCs w:val="20"/>
                <w:color w:val="auto"/>
              </w:rPr>
            </w:pPr>
            <w:r>
              <w:rPr>
                <w:rFonts w:ascii="Arial" w:cs="Arial" w:eastAsia="Arial" w:hAnsi="Arial"/>
                <w:sz w:val="10"/>
                <w:szCs w:val="10"/>
                <w:color w:val="auto"/>
              </w:rPr>
              <w:t>Employees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12">
              <w:r>
                <w:rPr>
                  <w:rFonts w:ascii="Arial" w:cs="Arial" w:eastAsia="Arial" w:hAnsi="Arial"/>
                  <w:sz w:val="10"/>
                  <w:szCs w:val="10"/>
                  <w:u w:val="single" w:color="auto"/>
                  <w:color w:val="auto"/>
                </w:rPr>
                <w:t>209</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27.</w:t>
            </w:r>
          </w:p>
        </w:tc>
        <w:tc>
          <w:tcPr>
            <w:tcW w:w="3880" w:type="dxa"/>
            <w:vAlign w:val="bottom"/>
          </w:tcPr>
          <w:p>
            <w:pPr>
              <w:ind w:left="40"/>
              <w:spacing w:after="0"/>
              <w:rPr>
                <w:sz w:val="20"/>
                <w:szCs w:val="20"/>
                <w:color w:val="auto"/>
              </w:rPr>
            </w:pPr>
            <w:r>
              <w:rPr>
                <w:rFonts w:ascii="Arial" w:cs="Arial" w:eastAsia="Arial" w:hAnsi="Arial"/>
                <w:sz w:val="10"/>
                <w:szCs w:val="10"/>
                <w:color w:val="auto"/>
              </w:rPr>
              <w:t>Directors and Senior Management</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13">
              <w:r>
                <w:rPr>
                  <w:rFonts w:ascii="Arial" w:cs="Arial" w:eastAsia="Arial" w:hAnsi="Arial"/>
                  <w:sz w:val="10"/>
                  <w:szCs w:val="10"/>
                  <w:u w:val="single" w:color="auto"/>
                  <w:color w:val="auto"/>
                </w:rPr>
                <w:t>210</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28.</w:t>
            </w:r>
          </w:p>
        </w:tc>
        <w:tc>
          <w:tcPr>
            <w:tcW w:w="3880" w:type="dxa"/>
            <w:vAlign w:val="bottom"/>
          </w:tcPr>
          <w:p>
            <w:pPr>
              <w:ind w:left="40"/>
              <w:spacing w:after="0"/>
              <w:rPr>
                <w:sz w:val="20"/>
                <w:szCs w:val="20"/>
                <w:color w:val="auto"/>
              </w:rPr>
            </w:pPr>
            <w:r>
              <w:rPr>
                <w:rFonts w:ascii="Arial" w:cs="Arial" w:eastAsia="Arial" w:hAnsi="Arial"/>
                <w:sz w:val="10"/>
                <w:szCs w:val="10"/>
                <w:color w:val="auto"/>
              </w:rPr>
              <w:t>Auditor's Remuneration</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13">
              <w:r>
                <w:rPr>
                  <w:rFonts w:ascii="Arial" w:cs="Arial" w:eastAsia="Arial" w:hAnsi="Arial"/>
                  <w:sz w:val="10"/>
                  <w:szCs w:val="10"/>
                  <w:u w:val="single" w:color="auto"/>
                  <w:color w:val="auto"/>
                </w:rPr>
                <w:t>210</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29.</w:t>
            </w:r>
          </w:p>
        </w:tc>
        <w:tc>
          <w:tcPr>
            <w:tcW w:w="3880" w:type="dxa"/>
            <w:vAlign w:val="bottom"/>
          </w:tcPr>
          <w:p>
            <w:pPr>
              <w:ind w:left="40"/>
              <w:spacing w:after="0"/>
              <w:rPr>
                <w:sz w:val="20"/>
                <w:szCs w:val="20"/>
                <w:color w:val="auto"/>
              </w:rPr>
            </w:pPr>
            <w:r>
              <w:rPr>
                <w:rFonts w:ascii="Arial" w:cs="Arial" w:eastAsia="Arial" w:hAnsi="Arial"/>
                <w:sz w:val="10"/>
                <w:szCs w:val="10"/>
                <w:color w:val="auto"/>
              </w:rPr>
              <w:t>Emission Schemes and Related Environmental Plans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13">
              <w:r>
                <w:rPr>
                  <w:rFonts w:ascii="Arial" w:cs="Arial" w:eastAsia="Arial" w:hAnsi="Arial"/>
                  <w:sz w:val="10"/>
                  <w:szCs w:val="10"/>
                  <w:u w:val="single" w:color="auto"/>
                  <w:color w:val="auto"/>
                </w:rPr>
                <w:t>210</w:t>
              </w:r>
            </w:hyperlink>
          </w:p>
        </w:tc>
      </w:tr>
      <w:tr>
        <w:trPr>
          <w:trHeight w:val="126"/>
        </w:trPr>
        <w:tc>
          <w:tcPr>
            <w:tcW w:w="4260" w:type="dxa"/>
            <w:vAlign w:val="bottom"/>
            <w:gridSpan w:val="2"/>
          </w:tcPr>
          <w:p>
            <w:pPr>
              <w:ind w:left="220"/>
              <w:spacing w:after="0"/>
              <w:rPr>
                <w:sz w:val="20"/>
                <w:szCs w:val="20"/>
                <w:color w:val="auto"/>
              </w:rPr>
            </w:pPr>
            <w:r>
              <w:rPr>
                <w:rFonts w:ascii="Arial" w:cs="Arial" w:eastAsia="Arial" w:hAnsi="Arial"/>
                <w:sz w:val="10"/>
                <w:szCs w:val="10"/>
                <w:color w:val="auto"/>
              </w:rPr>
              <w:t>30. Post-Balance Sheet Events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14">
              <w:r>
                <w:rPr>
                  <w:rFonts w:ascii="Arial" w:cs="Arial" w:eastAsia="Arial" w:hAnsi="Arial"/>
                  <w:sz w:val="10"/>
                  <w:szCs w:val="10"/>
                  <w:u w:val="single" w:color="auto"/>
                  <w:color w:val="auto"/>
                </w:rPr>
                <w:t>211</w:t>
              </w:r>
            </w:hyperlink>
          </w:p>
        </w:tc>
      </w:tr>
      <w:tr>
        <w:trPr>
          <w:trHeight w:val="126"/>
        </w:trPr>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Supplementary information - oil and gas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15">
              <w:r>
                <w:rPr>
                  <w:rFonts w:ascii="Arial" w:cs="Arial" w:eastAsia="Arial" w:hAnsi="Arial"/>
                  <w:sz w:val="10"/>
                  <w:szCs w:val="10"/>
                  <w:u w:val="single" w:color="auto"/>
                  <w:color w:val="auto"/>
                </w:rPr>
                <w:t>212</w:t>
              </w:r>
            </w:hyperlink>
          </w:p>
        </w:tc>
      </w:tr>
      <w:tr>
        <w:trPr>
          <w:trHeight w:val="126"/>
        </w:trPr>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Report of Independent Registered Public Accounting Firm</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32">
              <w:r>
                <w:rPr>
                  <w:rFonts w:ascii="Arial" w:cs="Arial" w:eastAsia="Arial" w:hAnsi="Arial"/>
                  <w:sz w:val="10"/>
                  <w:szCs w:val="10"/>
                  <w:u w:val="single" w:color="auto"/>
                  <w:color w:val="auto"/>
                </w:rPr>
                <w:t>230</w:t>
              </w:r>
            </w:hyperlink>
          </w:p>
        </w:tc>
      </w:tr>
      <w:tr>
        <w:trPr>
          <w:trHeight w:val="126"/>
        </w:trPr>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RDS Dividend Access Trust Financial Statements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34">
              <w:r>
                <w:rPr>
                  <w:rFonts w:ascii="Arial" w:cs="Arial" w:eastAsia="Arial" w:hAnsi="Arial"/>
                  <w:sz w:val="10"/>
                  <w:szCs w:val="10"/>
                  <w:u w:val="single" w:color="auto"/>
                  <w:color w:val="auto"/>
                </w:rPr>
                <w:t>232</w:t>
              </w:r>
            </w:hyperlink>
          </w:p>
        </w:tc>
      </w:tr>
      <w:tr>
        <w:trPr>
          <w:trHeight w:val="126"/>
        </w:trPr>
        <w:tc>
          <w:tcPr>
            <w:tcW w:w="4260" w:type="dxa"/>
            <w:vAlign w:val="bottom"/>
            <w:gridSpan w:val="2"/>
          </w:tcPr>
          <w:p>
            <w:pPr>
              <w:spacing w:after="0"/>
              <w:rPr>
                <w:sz w:val="20"/>
                <w:szCs w:val="20"/>
                <w:color w:val="auto"/>
              </w:rPr>
            </w:pPr>
            <w:r>
              <w:rPr>
                <w:rFonts w:ascii="Arial" w:cs="Arial" w:eastAsia="Arial" w:hAnsi="Arial"/>
                <w:sz w:val="10"/>
                <w:szCs w:val="10"/>
                <w:color w:val="auto"/>
              </w:rPr>
              <w:t>Statement of Income</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35">
              <w:r>
                <w:rPr>
                  <w:rFonts w:ascii="Arial" w:cs="Arial" w:eastAsia="Arial" w:hAnsi="Arial"/>
                  <w:sz w:val="10"/>
                  <w:szCs w:val="10"/>
                  <w:u w:val="single" w:color="auto"/>
                  <w:color w:val="auto"/>
                </w:rPr>
                <w:t>233</w:t>
              </w:r>
            </w:hyperlink>
          </w:p>
        </w:tc>
      </w:tr>
      <w:tr>
        <w:trPr>
          <w:trHeight w:val="126"/>
        </w:trPr>
        <w:tc>
          <w:tcPr>
            <w:tcW w:w="4260" w:type="dxa"/>
            <w:vAlign w:val="bottom"/>
            <w:gridSpan w:val="2"/>
          </w:tcPr>
          <w:p>
            <w:pPr>
              <w:spacing w:after="0"/>
              <w:rPr>
                <w:sz w:val="20"/>
                <w:szCs w:val="20"/>
                <w:color w:val="auto"/>
              </w:rPr>
            </w:pPr>
            <w:r>
              <w:rPr>
                <w:rFonts w:ascii="Arial" w:cs="Arial" w:eastAsia="Arial" w:hAnsi="Arial"/>
                <w:sz w:val="10"/>
                <w:szCs w:val="10"/>
                <w:color w:val="auto"/>
              </w:rPr>
              <w:t>Statement of Comprehensive Income</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36">
              <w:r>
                <w:rPr>
                  <w:rFonts w:ascii="Arial" w:cs="Arial" w:eastAsia="Arial" w:hAnsi="Arial"/>
                  <w:sz w:val="10"/>
                  <w:szCs w:val="10"/>
                  <w:u w:val="single" w:color="auto"/>
                  <w:color w:val="auto"/>
                </w:rPr>
                <w:t>233</w:t>
              </w:r>
            </w:hyperlink>
          </w:p>
        </w:tc>
      </w:tr>
      <w:tr>
        <w:trPr>
          <w:trHeight w:val="126"/>
        </w:trPr>
        <w:tc>
          <w:tcPr>
            <w:tcW w:w="4260" w:type="dxa"/>
            <w:vAlign w:val="bottom"/>
            <w:gridSpan w:val="2"/>
          </w:tcPr>
          <w:p>
            <w:pPr>
              <w:spacing w:after="0"/>
              <w:rPr>
                <w:sz w:val="20"/>
                <w:szCs w:val="20"/>
                <w:color w:val="auto"/>
              </w:rPr>
            </w:pPr>
            <w:r>
              <w:rPr>
                <w:rFonts w:ascii="Arial" w:cs="Arial" w:eastAsia="Arial" w:hAnsi="Arial"/>
                <w:sz w:val="10"/>
                <w:szCs w:val="10"/>
                <w:color w:val="auto"/>
              </w:rPr>
              <w:t>Balance Sheet</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36">
              <w:r>
                <w:rPr>
                  <w:rFonts w:ascii="Arial" w:cs="Arial" w:eastAsia="Arial" w:hAnsi="Arial"/>
                  <w:sz w:val="10"/>
                  <w:szCs w:val="10"/>
                  <w:u w:val="single" w:color="auto"/>
                  <w:color w:val="auto"/>
                </w:rPr>
                <w:t>233</w:t>
              </w:r>
            </w:hyperlink>
          </w:p>
        </w:tc>
      </w:tr>
      <w:tr>
        <w:trPr>
          <w:trHeight w:val="126"/>
        </w:trPr>
        <w:tc>
          <w:tcPr>
            <w:tcW w:w="4260" w:type="dxa"/>
            <w:vAlign w:val="bottom"/>
            <w:gridSpan w:val="2"/>
          </w:tcPr>
          <w:p>
            <w:pPr>
              <w:spacing w:after="0"/>
              <w:rPr>
                <w:sz w:val="20"/>
                <w:szCs w:val="20"/>
                <w:color w:val="auto"/>
              </w:rPr>
            </w:pPr>
            <w:r>
              <w:rPr>
                <w:rFonts w:ascii="Arial" w:cs="Arial" w:eastAsia="Arial" w:hAnsi="Arial"/>
                <w:sz w:val="10"/>
                <w:szCs w:val="10"/>
                <w:color w:val="auto"/>
              </w:rPr>
              <w:t>Statement of Changes in Equity</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36">
              <w:r>
                <w:rPr>
                  <w:rFonts w:ascii="Arial" w:cs="Arial" w:eastAsia="Arial" w:hAnsi="Arial"/>
                  <w:sz w:val="10"/>
                  <w:szCs w:val="10"/>
                  <w:u w:val="single" w:color="auto"/>
                  <w:color w:val="auto"/>
                </w:rPr>
                <w:t>233</w:t>
              </w:r>
            </w:hyperlink>
          </w:p>
        </w:tc>
      </w:tr>
      <w:tr>
        <w:trPr>
          <w:trHeight w:val="126"/>
        </w:trPr>
        <w:tc>
          <w:tcPr>
            <w:tcW w:w="4260" w:type="dxa"/>
            <w:vAlign w:val="bottom"/>
            <w:gridSpan w:val="2"/>
          </w:tcPr>
          <w:p>
            <w:pPr>
              <w:spacing w:after="0"/>
              <w:rPr>
                <w:sz w:val="20"/>
                <w:szCs w:val="20"/>
                <w:color w:val="auto"/>
              </w:rPr>
            </w:pPr>
            <w:r>
              <w:rPr>
                <w:rFonts w:ascii="Arial" w:cs="Arial" w:eastAsia="Arial" w:hAnsi="Arial"/>
                <w:sz w:val="10"/>
                <w:szCs w:val="10"/>
                <w:color w:val="auto"/>
              </w:rPr>
              <w:t>Statement of Cash Flows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36">
              <w:r>
                <w:rPr>
                  <w:rFonts w:ascii="Arial" w:cs="Arial" w:eastAsia="Arial" w:hAnsi="Arial"/>
                  <w:sz w:val="10"/>
                  <w:szCs w:val="10"/>
                  <w:u w:val="single" w:color="auto"/>
                  <w:color w:val="auto"/>
                </w:rPr>
                <w:t>234</w:t>
              </w:r>
            </w:hyperlink>
          </w:p>
        </w:tc>
      </w:tr>
      <w:tr>
        <w:trPr>
          <w:trHeight w:val="126"/>
        </w:trPr>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Notes to the RDS Dividend Access Trust Financial Statements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37">
              <w:r>
                <w:rPr>
                  <w:rFonts w:ascii="Arial" w:cs="Arial" w:eastAsia="Arial" w:hAnsi="Arial"/>
                  <w:sz w:val="10"/>
                  <w:szCs w:val="10"/>
                  <w:u w:val="single" w:color="auto"/>
                  <w:color w:val="auto"/>
                </w:rPr>
                <w:t>235</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1.</w:t>
            </w:r>
          </w:p>
        </w:tc>
        <w:tc>
          <w:tcPr>
            <w:tcW w:w="3880" w:type="dxa"/>
            <w:vAlign w:val="bottom"/>
          </w:tcPr>
          <w:p>
            <w:pPr>
              <w:ind w:left="60"/>
              <w:spacing w:after="0"/>
              <w:rPr>
                <w:sz w:val="20"/>
                <w:szCs w:val="20"/>
                <w:color w:val="auto"/>
              </w:rPr>
            </w:pPr>
            <w:r>
              <w:rPr>
                <w:rFonts w:ascii="Arial" w:cs="Arial" w:eastAsia="Arial" w:hAnsi="Arial"/>
                <w:sz w:val="10"/>
                <w:szCs w:val="10"/>
                <w:color w:val="auto"/>
              </w:rPr>
              <w:t>The Trust</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38">
              <w:r>
                <w:rPr>
                  <w:rFonts w:ascii="Arial" w:cs="Arial" w:eastAsia="Arial" w:hAnsi="Arial"/>
                  <w:sz w:val="10"/>
                  <w:szCs w:val="10"/>
                  <w:u w:val="single" w:color="auto"/>
                  <w:color w:val="auto"/>
                </w:rPr>
                <w:t>235</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2.</w:t>
            </w:r>
          </w:p>
        </w:tc>
        <w:tc>
          <w:tcPr>
            <w:tcW w:w="3880" w:type="dxa"/>
            <w:vAlign w:val="bottom"/>
          </w:tcPr>
          <w:p>
            <w:pPr>
              <w:ind w:left="60"/>
              <w:spacing w:after="0"/>
              <w:rPr>
                <w:sz w:val="20"/>
                <w:szCs w:val="20"/>
                <w:color w:val="auto"/>
              </w:rPr>
            </w:pPr>
            <w:r>
              <w:rPr>
                <w:rFonts w:ascii="Arial" w:cs="Arial" w:eastAsia="Arial" w:hAnsi="Arial"/>
                <w:sz w:val="10"/>
                <w:szCs w:val="10"/>
                <w:color w:val="auto"/>
              </w:rPr>
              <w:t>The Basis of Preparation</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38">
              <w:r>
                <w:rPr>
                  <w:rFonts w:ascii="Arial" w:cs="Arial" w:eastAsia="Arial" w:hAnsi="Arial"/>
                  <w:sz w:val="10"/>
                  <w:szCs w:val="10"/>
                  <w:u w:val="single" w:color="auto"/>
                  <w:color w:val="auto"/>
                </w:rPr>
                <w:t>235</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3.</w:t>
            </w:r>
          </w:p>
        </w:tc>
        <w:tc>
          <w:tcPr>
            <w:tcW w:w="3880" w:type="dxa"/>
            <w:vAlign w:val="bottom"/>
          </w:tcPr>
          <w:p>
            <w:pPr>
              <w:ind w:left="60"/>
              <w:spacing w:after="0"/>
              <w:rPr>
                <w:sz w:val="20"/>
                <w:szCs w:val="20"/>
                <w:color w:val="auto"/>
              </w:rPr>
            </w:pPr>
            <w:r>
              <w:rPr>
                <w:rFonts w:ascii="Arial" w:cs="Arial" w:eastAsia="Arial" w:hAnsi="Arial"/>
                <w:sz w:val="10"/>
                <w:szCs w:val="10"/>
                <w:color w:val="auto"/>
              </w:rPr>
              <w:t>Significant Accounting Policies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38">
              <w:r>
                <w:rPr>
                  <w:rFonts w:ascii="Arial" w:cs="Arial" w:eastAsia="Arial" w:hAnsi="Arial"/>
                  <w:sz w:val="10"/>
                  <w:szCs w:val="10"/>
                  <w:u w:val="single" w:color="auto"/>
                  <w:color w:val="auto"/>
                </w:rPr>
                <w:t>235</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4.</w:t>
            </w:r>
          </w:p>
        </w:tc>
        <w:tc>
          <w:tcPr>
            <w:tcW w:w="3880" w:type="dxa"/>
            <w:vAlign w:val="bottom"/>
          </w:tcPr>
          <w:p>
            <w:pPr>
              <w:ind w:left="60"/>
              <w:spacing w:after="0"/>
              <w:rPr>
                <w:sz w:val="20"/>
                <w:szCs w:val="20"/>
                <w:color w:val="auto"/>
              </w:rPr>
            </w:pPr>
            <w:r>
              <w:rPr>
                <w:rFonts w:ascii="Arial" w:cs="Arial" w:eastAsia="Arial" w:hAnsi="Arial"/>
                <w:sz w:val="10"/>
                <w:szCs w:val="10"/>
                <w:color w:val="auto"/>
              </w:rPr>
              <w:t>Unclaimed Dividends</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38">
              <w:r>
                <w:rPr>
                  <w:rFonts w:ascii="Arial" w:cs="Arial" w:eastAsia="Arial" w:hAnsi="Arial"/>
                  <w:sz w:val="10"/>
                  <w:szCs w:val="10"/>
                  <w:u w:val="single" w:color="auto"/>
                  <w:color w:val="auto"/>
                </w:rPr>
                <w:t>235</w:t>
              </w:r>
            </w:hyperlink>
          </w:p>
        </w:tc>
      </w:tr>
      <w:tr>
        <w:trPr>
          <w:trHeight w:val="126"/>
        </w:trPr>
        <w:tc>
          <w:tcPr>
            <w:tcW w:w="380" w:type="dxa"/>
            <w:vAlign w:val="bottom"/>
          </w:tcPr>
          <w:p>
            <w:pPr>
              <w:ind w:left="220"/>
              <w:spacing w:after="0"/>
              <w:rPr>
                <w:sz w:val="20"/>
                <w:szCs w:val="20"/>
                <w:color w:val="auto"/>
              </w:rPr>
            </w:pPr>
            <w:r>
              <w:rPr>
                <w:rFonts w:ascii="Arial" w:cs="Arial" w:eastAsia="Arial" w:hAnsi="Arial"/>
                <w:sz w:val="10"/>
                <w:szCs w:val="10"/>
                <w:color w:val="auto"/>
              </w:rPr>
              <w:t>5.</w:t>
            </w:r>
          </w:p>
        </w:tc>
        <w:tc>
          <w:tcPr>
            <w:tcW w:w="3880" w:type="dxa"/>
            <w:vAlign w:val="bottom"/>
          </w:tcPr>
          <w:p>
            <w:pPr>
              <w:ind w:left="60"/>
              <w:spacing w:after="0"/>
              <w:rPr>
                <w:sz w:val="20"/>
                <w:szCs w:val="20"/>
                <w:color w:val="auto"/>
              </w:rPr>
            </w:pPr>
            <w:r>
              <w:rPr>
                <w:rFonts w:ascii="Arial" w:cs="Arial" w:eastAsia="Arial" w:hAnsi="Arial"/>
                <w:sz w:val="10"/>
                <w:szCs w:val="10"/>
                <w:color w:val="auto"/>
              </w:rPr>
              <w:t>Capital Account</w:t>
            </w:r>
          </w:p>
        </w:tc>
        <w:tc>
          <w:tcPr>
            <w:tcW w:w="7040" w:type="dxa"/>
            <w:vAlign w:val="bottom"/>
          </w:tcPr>
          <w:p>
            <w:pPr>
              <w:jc w:val="right"/>
              <w:ind w:right="4052"/>
              <w:spacing w:after="0"/>
              <w:rPr>
                <w:rFonts w:ascii="Arial" w:cs="Arial" w:eastAsia="Arial" w:hAnsi="Arial"/>
                <w:sz w:val="10"/>
                <w:szCs w:val="10"/>
                <w:u w:val="single" w:color="auto"/>
                <w:color w:val="auto"/>
              </w:rPr>
            </w:pPr>
            <w:hyperlink w:anchor="page238">
              <w:r>
                <w:rPr>
                  <w:rFonts w:ascii="Arial" w:cs="Arial" w:eastAsia="Arial" w:hAnsi="Arial"/>
                  <w:sz w:val="10"/>
                  <w:szCs w:val="10"/>
                  <w:u w:val="single" w:color="auto"/>
                  <w:color w:val="auto"/>
                </w:rPr>
                <w:t>235</w:t>
              </w:r>
            </w:hyperlink>
          </w:p>
        </w:tc>
      </w:tr>
      <w:tr>
        <w:trPr>
          <w:trHeight w:val="521"/>
        </w:trPr>
        <w:tc>
          <w:tcPr>
            <w:tcW w:w="4260" w:type="dxa"/>
            <w:vAlign w:val="bottom"/>
            <w:gridSpan w:val="2"/>
          </w:tcPr>
          <w:p>
            <w:pPr>
              <w:ind w:left="40"/>
              <w:spacing w:after="0"/>
              <w:rPr>
                <w:sz w:val="20"/>
                <w:szCs w:val="20"/>
                <w:color w:val="auto"/>
              </w:rPr>
            </w:pPr>
            <w:r>
              <w:rPr>
                <w:rFonts w:ascii="Arial" w:cs="Arial" w:eastAsia="Arial" w:hAnsi="Arial"/>
                <w:sz w:val="6"/>
                <w:szCs w:val="6"/>
                <w:color w:val="auto"/>
              </w:rPr>
              <w:t>INTRODUCTION SHELL FORM 20-F 2020</w:t>
            </w:r>
          </w:p>
        </w:tc>
        <w:tc>
          <w:tcPr>
            <w:tcW w:w="7040" w:type="dxa"/>
            <w:vAlign w:val="bottom"/>
          </w:tcPr>
          <w:p>
            <w:pPr>
              <w:jc w:val="right"/>
              <w:ind w:right="5432"/>
              <w:spacing w:after="0"/>
              <w:rPr>
                <w:sz w:val="20"/>
                <w:szCs w:val="20"/>
                <w:color w:val="auto"/>
              </w:rPr>
            </w:pPr>
            <w:r>
              <w:rPr>
                <w:rFonts w:ascii="Arial" w:cs="Arial" w:eastAsia="Arial" w:hAnsi="Arial"/>
                <w:sz w:val="6"/>
                <w:szCs w:val="6"/>
                <w:color w:val="auto"/>
              </w:rPr>
              <w:t>6</w:t>
            </w:r>
          </w:p>
        </w:tc>
      </w:tr>
      <w:tr>
        <w:trPr>
          <w:trHeight w:val="144"/>
        </w:trPr>
        <w:tc>
          <w:tcPr>
            <w:tcW w:w="380" w:type="dxa"/>
            <w:vAlign w:val="bottom"/>
            <w:tcBorders>
              <w:bottom w:val="single" w:sz="8" w:color="9A9A9A"/>
            </w:tcBorders>
          </w:tcPr>
          <w:p>
            <w:pPr>
              <w:spacing w:after="0"/>
              <w:rPr>
                <w:sz w:val="12"/>
                <w:szCs w:val="12"/>
                <w:color w:val="auto"/>
              </w:rPr>
            </w:pPr>
          </w:p>
        </w:tc>
        <w:tc>
          <w:tcPr>
            <w:tcW w:w="3880" w:type="dxa"/>
            <w:vAlign w:val="bottom"/>
            <w:tcBorders>
              <w:bottom w:val="single" w:sz="8" w:color="9A9A9A"/>
            </w:tcBorders>
          </w:tcPr>
          <w:p>
            <w:pPr>
              <w:spacing w:after="0"/>
              <w:rPr>
                <w:sz w:val="12"/>
                <w:szCs w:val="12"/>
                <w:color w:val="auto"/>
              </w:rPr>
            </w:pPr>
          </w:p>
        </w:tc>
        <w:tc>
          <w:tcPr>
            <w:tcW w:w="70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21"/>
        </w:trPr>
        <w:tc>
          <w:tcPr>
            <w:tcW w:w="420" w:type="dxa"/>
            <w:vAlign w:val="bottom"/>
          </w:tcPr>
          <w:p>
            <w:pPr>
              <w:ind w:left="220"/>
              <w:spacing w:after="0"/>
              <w:rPr>
                <w:sz w:val="20"/>
                <w:szCs w:val="20"/>
                <w:color w:val="auto"/>
              </w:rPr>
            </w:pPr>
            <w:r>
              <w:rPr>
                <w:rFonts w:ascii="Arial" w:cs="Arial" w:eastAsia="Arial" w:hAnsi="Arial"/>
                <w:sz w:val="10"/>
                <w:szCs w:val="10"/>
                <w:color w:val="auto"/>
              </w:rPr>
              <w:t>6.</w:t>
            </w:r>
          </w:p>
        </w:tc>
        <w:tc>
          <w:tcPr>
            <w:tcW w:w="4400" w:type="dxa"/>
            <w:vAlign w:val="bottom"/>
          </w:tcPr>
          <w:p>
            <w:pPr>
              <w:ind w:left="20"/>
              <w:spacing w:after="0"/>
              <w:rPr>
                <w:sz w:val="20"/>
                <w:szCs w:val="20"/>
                <w:color w:val="auto"/>
              </w:rPr>
            </w:pPr>
            <w:r>
              <w:rPr>
                <w:rFonts w:ascii="Arial" w:cs="Arial" w:eastAsia="Arial" w:hAnsi="Arial"/>
                <w:sz w:val="10"/>
                <w:szCs w:val="10"/>
                <w:color w:val="auto"/>
              </w:rPr>
              <w:t>Distributions Made</w:t>
            </w:r>
          </w:p>
        </w:tc>
        <w:tc>
          <w:tcPr>
            <w:tcW w:w="2380" w:type="dxa"/>
            <w:vAlign w:val="bottom"/>
          </w:tcPr>
          <w:p>
            <w:pPr>
              <w:jc w:val="right"/>
              <w:spacing w:after="0"/>
              <w:rPr>
                <w:rFonts w:ascii="Arial" w:cs="Arial" w:eastAsia="Arial" w:hAnsi="Arial"/>
                <w:sz w:val="10"/>
                <w:szCs w:val="10"/>
                <w:u w:val="single" w:color="auto"/>
                <w:color w:val="auto"/>
              </w:rPr>
            </w:pPr>
            <w:hyperlink w:anchor="page238">
              <w:r>
                <w:rPr>
                  <w:rFonts w:ascii="Arial" w:cs="Arial" w:eastAsia="Arial" w:hAnsi="Arial"/>
                  <w:sz w:val="10"/>
                  <w:szCs w:val="10"/>
                  <w:u w:val="single" w:color="auto"/>
                  <w:color w:val="auto"/>
                </w:rPr>
                <w:t>235</w:t>
              </w:r>
            </w:hyperlink>
          </w:p>
        </w:tc>
      </w:tr>
      <w:tr>
        <w:trPr>
          <w:trHeight w:val="126"/>
        </w:trPr>
        <w:tc>
          <w:tcPr>
            <w:tcW w:w="420" w:type="dxa"/>
            <w:vAlign w:val="bottom"/>
          </w:tcPr>
          <w:p>
            <w:pPr>
              <w:ind w:left="220"/>
              <w:spacing w:after="0"/>
              <w:rPr>
                <w:sz w:val="20"/>
                <w:szCs w:val="20"/>
                <w:color w:val="auto"/>
              </w:rPr>
            </w:pPr>
            <w:r>
              <w:rPr>
                <w:rFonts w:ascii="Arial" w:cs="Arial" w:eastAsia="Arial" w:hAnsi="Arial"/>
                <w:sz w:val="10"/>
                <w:szCs w:val="10"/>
                <w:color w:val="auto"/>
              </w:rPr>
              <w:t>7.</w:t>
            </w:r>
          </w:p>
        </w:tc>
        <w:tc>
          <w:tcPr>
            <w:tcW w:w="4400" w:type="dxa"/>
            <w:vAlign w:val="bottom"/>
          </w:tcPr>
          <w:p>
            <w:pPr>
              <w:ind w:left="20"/>
              <w:spacing w:after="0"/>
              <w:rPr>
                <w:sz w:val="20"/>
                <w:szCs w:val="20"/>
                <w:color w:val="auto"/>
              </w:rPr>
            </w:pPr>
            <w:r>
              <w:rPr>
                <w:rFonts w:ascii="Arial" w:cs="Arial" w:eastAsia="Arial" w:hAnsi="Arial"/>
                <w:sz w:val="10"/>
                <w:szCs w:val="10"/>
                <w:color w:val="auto"/>
              </w:rPr>
              <w:t>Related Parties</w:t>
            </w:r>
          </w:p>
        </w:tc>
        <w:tc>
          <w:tcPr>
            <w:tcW w:w="2380" w:type="dxa"/>
            <w:vAlign w:val="bottom"/>
          </w:tcPr>
          <w:p>
            <w:pPr>
              <w:jc w:val="right"/>
              <w:spacing w:after="0"/>
              <w:rPr>
                <w:rFonts w:ascii="Arial" w:cs="Arial" w:eastAsia="Arial" w:hAnsi="Arial"/>
                <w:sz w:val="10"/>
                <w:szCs w:val="10"/>
                <w:u w:val="single" w:color="auto"/>
                <w:color w:val="auto"/>
              </w:rPr>
            </w:pPr>
            <w:hyperlink w:anchor="page238">
              <w:r>
                <w:rPr>
                  <w:rFonts w:ascii="Arial" w:cs="Arial" w:eastAsia="Arial" w:hAnsi="Arial"/>
                  <w:sz w:val="10"/>
                  <w:szCs w:val="10"/>
                  <w:u w:val="single" w:color="auto"/>
                  <w:color w:val="auto"/>
                </w:rPr>
                <w:t>235</w:t>
              </w:r>
            </w:hyperlink>
          </w:p>
        </w:tc>
      </w:tr>
      <w:tr>
        <w:trPr>
          <w:trHeight w:val="126"/>
        </w:trPr>
        <w:tc>
          <w:tcPr>
            <w:tcW w:w="420" w:type="dxa"/>
            <w:vAlign w:val="bottom"/>
          </w:tcPr>
          <w:p>
            <w:pPr>
              <w:ind w:left="220"/>
              <w:spacing w:after="0"/>
              <w:rPr>
                <w:sz w:val="20"/>
                <w:szCs w:val="20"/>
                <w:color w:val="auto"/>
              </w:rPr>
            </w:pPr>
            <w:r>
              <w:rPr>
                <w:rFonts w:ascii="Arial" w:cs="Arial" w:eastAsia="Arial" w:hAnsi="Arial"/>
                <w:sz w:val="10"/>
                <w:szCs w:val="10"/>
                <w:color w:val="auto"/>
              </w:rPr>
              <w:t>8.</w:t>
            </w:r>
          </w:p>
        </w:tc>
        <w:tc>
          <w:tcPr>
            <w:tcW w:w="4400" w:type="dxa"/>
            <w:vAlign w:val="bottom"/>
          </w:tcPr>
          <w:p>
            <w:pPr>
              <w:ind w:left="20"/>
              <w:spacing w:after="0"/>
              <w:rPr>
                <w:sz w:val="20"/>
                <w:szCs w:val="20"/>
                <w:color w:val="auto"/>
              </w:rPr>
            </w:pPr>
            <w:r>
              <w:rPr>
                <w:rFonts w:ascii="Arial" w:cs="Arial" w:eastAsia="Arial" w:hAnsi="Arial"/>
                <w:sz w:val="10"/>
                <w:szCs w:val="10"/>
                <w:color w:val="auto"/>
              </w:rPr>
              <w:t>Audit's Remuneration</w:t>
            </w:r>
          </w:p>
        </w:tc>
        <w:tc>
          <w:tcPr>
            <w:tcW w:w="2380" w:type="dxa"/>
            <w:vAlign w:val="bottom"/>
          </w:tcPr>
          <w:p>
            <w:pPr>
              <w:jc w:val="right"/>
              <w:spacing w:after="0"/>
              <w:rPr>
                <w:rFonts w:ascii="Arial" w:cs="Arial" w:eastAsia="Arial" w:hAnsi="Arial"/>
                <w:sz w:val="10"/>
                <w:szCs w:val="10"/>
                <w:u w:val="single" w:color="auto"/>
                <w:color w:val="auto"/>
              </w:rPr>
            </w:pPr>
            <w:hyperlink w:anchor="page238">
              <w:r>
                <w:rPr>
                  <w:rFonts w:ascii="Arial" w:cs="Arial" w:eastAsia="Arial" w:hAnsi="Arial"/>
                  <w:sz w:val="10"/>
                  <w:szCs w:val="10"/>
                  <w:u w:val="single" w:color="auto"/>
                  <w:color w:val="auto"/>
                </w:rPr>
                <w:t>235</w:t>
              </w:r>
            </w:hyperlink>
          </w:p>
        </w:tc>
      </w:tr>
      <w:tr>
        <w:trPr>
          <w:trHeight w:val="126"/>
        </w:trPr>
        <w:tc>
          <w:tcPr>
            <w:tcW w:w="4820" w:type="dxa"/>
            <w:vAlign w:val="bottom"/>
            <w:gridSpan w:val="2"/>
          </w:tcPr>
          <w:p>
            <w:pPr>
              <w:spacing w:after="0"/>
              <w:rPr>
                <w:sz w:val="20"/>
                <w:szCs w:val="20"/>
                <w:color w:val="auto"/>
              </w:rPr>
            </w:pPr>
            <w:r>
              <w:rPr>
                <w:rFonts w:ascii="Arial" w:cs="Arial" w:eastAsia="Arial" w:hAnsi="Arial"/>
                <w:sz w:val="10"/>
                <w:szCs w:val="10"/>
                <w:b w:val="1"/>
                <w:bCs w:val="1"/>
                <w:color w:val="auto"/>
              </w:rPr>
              <w:t>Additional Information</w:t>
            </w:r>
          </w:p>
        </w:tc>
        <w:tc>
          <w:tcPr>
            <w:tcW w:w="2380" w:type="dxa"/>
            <w:vAlign w:val="bottom"/>
          </w:tcPr>
          <w:p>
            <w:pPr>
              <w:jc w:val="right"/>
              <w:spacing w:after="0"/>
              <w:rPr>
                <w:rFonts w:ascii="Arial" w:cs="Arial" w:eastAsia="Arial" w:hAnsi="Arial"/>
                <w:sz w:val="10"/>
                <w:szCs w:val="10"/>
                <w:u w:val="single" w:color="auto"/>
                <w:color w:val="auto"/>
              </w:rPr>
            </w:pPr>
            <w:hyperlink w:anchor="page238">
              <w:r>
                <w:rPr>
                  <w:rFonts w:ascii="Arial" w:cs="Arial" w:eastAsia="Arial" w:hAnsi="Arial"/>
                  <w:sz w:val="10"/>
                  <w:szCs w:val="10"/>
                  <w:u w:val="single" w:color="auto"/>
                  <w:color w:val="auto"/>
                </w:rPr>
                <w:t>236</w:t>
              </w:r>
            </w:hyperlink>
          </w:p>
        </w:tc>
      </w:tr>
      <w:tr>
        <w:trPr>
          <w:trHeight w:val="126"/>
        </w:trPr>
        <w:tc>
          <w:tcPr>
            <w:tcW w:w="4820" w:type="dxa"/>
            <w:vAlign w:val="bottom"/>
            <w:gridSpan w:val="2"/>
          </w:tcPr>
          <w:p>
            <w:pPr>
              <w:spacing w:after="0"/>
              <w:rPr>
                <w:sz w:val="20"/>
                <w:szCs w:val="20"/>
                <w:color w:val="auto"/>
              </w:rPr>
            </w:pPr>
            <w:r>
              <w:rPr>
                <w:rFonts w:ascii="Arial" w:cs="Arial" w:eastAsia="Arial" w:hAnsi="Arial"/>
                <w:sz w:val="10"/>
                <w:szCs w:val="10"/>
                <w:color w:val="auto"/>
              </w:rPr>
              <w:t>Shareholder information</w:t>
            </w:r>
          </w:p>
        </w:tc>
        <w:tc>
          <w:tcPr>
            <w:tcW w:w="2380" w:type="dxa"/>
            <w:vAlign w:val="bottom"/>
          </w:tcPr>
          <w:p>
            <w:pPr>
              <w:jc w:val="right"/>
              <w:spacing w:after="0"/>
              <w:rPr>
                <w:rFonts w:ascii="Arial" w:cs="Arial" w:eastAsia="Arial" w:hAnsi="Arial"/>
                <w:sz w:val="10"/>
                <w:szCs w:val="10"/>
                <w:u w:val="single" w:color="auto"/>
                <w:color w:val="auto"/>
              </w:rPr>
            </w:pPr>
            <w:hyperlink w:anchor="page239">
              <w:r>
                <w:rPr>
                  <w:rFonts w:ascii="Arial" w:cs="Arial" w:eastAsia="Arial" w:hAnsi="Arial"/>
                  <w:sz w:val="10"/>
                  <w:szCs w:val="10"/>
                  <w:u w:val="single" w:color="auto"/>
                  <w:color w:val="auto"/>
                </w:rPr>
                <w:t>236</w:t>
              </w:r>
            </w:hyperlink>
          </w:p>
        </w:tc>
      </w:tr>
      <w:tr>
        <w:trPr>
          <w:trHeight w:val="126"/>
        </w:trPr>
        <w:tc>
          <w:tcPr>
            <w:tcW w:w="4820" w:type="dxa"/>
            <w:vAlign w:val="bottom"/>
            <w:gridSpan w:val="2"/>
          </w:tcPr>
          <w:p>
            <w:pPr>
              <w:spacing w:after="0"/>
              <w:rPr>
                <w:sz w:val="20"/>
                <w:szCs w:val="20"/>
                <w:color w:val="auto"/>
              </w:rPr>
            </w:pPr>
            <w:r>
              <w:rPr>
                <w:rFonts w:ascii="Arial" w:cs="Arial" w:eastAsia="Arial" w:hAnsi="Arial"/>
                <w:sz w:val="10"/>
                <w:szCs w:val="10"/>
                <w:color w:val="auto"/>
              </w:rPr>
              <w:t>Section 13(r) of the US Securities Exchange Act of 1934 disclosure</w:t>
            </w:r>
          </w:p>
        </w:tc>
        <w:tc>
          <w:tcPr>
            <w:tcW w:w="2380" w:type="dxa"/>
            <w:vAlign w:val="bottom"/>
          </w:tcPr>
          <w:p>
            <w:pPr>
              <w:jc w:val="right"/>
              <w:spacing w:after="0"/>
              <w:rPr>
                <w:rFonts w:ascii="Arial" w:cs="Arial" w:eastAsia="Arial" w:hAnsi="Arial"/>
                <w:sz w:val="10"/>
                <w:szCs w:val="10"/>
                <w:u w:val="single" w:color="auto"/>
                <w:color w:val="auto"/>
              </w:rPr>
            </w:pPr>
            <w:hyperlink w:anchor="page242">
              <w:r>
                <w:rPr>
                  <w:rFonts w:ascii="Arial" w:cs="Arial" w:eastAsia="Arial" w:hAnsi="Arial"/>
                  <w:sz w:val="10"/>
                  <w:szCs w:val="10"/>
                  <w:u w:val="single" w:color="auto"/>
                  <w:color w:val="auto"/>
                </w:rPr>
                <w:t>240</w:t>
              </w:r>
            </w:hyperlink>
          </w:p>
        </w:tc>
      </w:tr>
      <w:tr>
        <w:trPr>
          <w:trHeight w:val="126"/>
        </w:trPr>
        <w:tc>
          <w:tcPr>
            <w:tcW w:w="4820" w:type="dxa"/>
            <w:vAlign w:val="bottom"/>
            <w:gridSpan w:val="2"/>
          </w:tcPr>
          <w:p>
            <w:pPr>
              <w:spacing w:after="0"/>
              <w:rPr>
                <w:sz w:val="20"/>
                <w:szCs w:val="20"/>
                <w:color w:val="auto"/>
              </w:rPr>
            </w:pPr>
            <w:r>
              <w:rPr>
                <w:rFonts w:ascii="Arial" w:cs="Arial" w:eastAsia="Arial" w:hAnsi="Arial"/>
                <w:sz w:val="10"/>
                <w:szCs w:val="10"/>
                <w:color w:val="auto"/>
              </w:rPr>
              <w:t>Non-GAAP measures reconciliations</w:t>
            </w:r>
          </w:p>
        </w:tc>
        <w:tc>
          <w:tcPr>
            <w:tcW w:w="2380" w:type="dxa"/>
            <w:vAlign w:val="bottom"/>
          </w:tcPr>
          <w:p>
            <w:pPr>
              <w:jc w:val="right"/>
              <w:spacing w:after="0"/>
              <w:rPr>
                <w:rFonts w:ascii="Arial" w:cs="Arial" w:eastAsia="Arial" w:hAnsi="Arial"/>
                <w:sz w:val="10"/>
                <w:szCs w:val="10"/>
                <w:u w:val="single" w:color="auto"/>
                <w:color w:val="auto"/>
              </w:rPr>
            </w:pPr>
            <w:hyperlink w:anchor="page243">
              <w:r>
                <w:rPr>
                  <w:rFonts w:ascii="Arial" w:cs="Arial" w:eastAsia="Arial" w:hAnsi="Arial"/>
                  <w:sz w:val="10"/>
                  <w:szCs w:val="10"/>
                  <w:u w:val="single" w:color="auto"/>
                  <w:color w:val="auto"/>
                </w:rPr>
                <w:t>241</w:t>
              </w:r>
            </w:hyperlink>
          </w:p>
        </w:tc>
      </w:tr>
      <w:tr>
        <w:trPr>
          <w:trHeight w:val="126"/>
        </w:trPr>
        <w:tc>
          <w:tcPr>
            <w:tcW w:w="4820" w:type="dxa"/>
            <w:vAlign w:val="bottom"/>
            <w:gridSpan w:val="2"/>
          </w:tcPr>
          <w:p>
            <w:pPr>
              <w:spacing w:after="0"/>
              <w:rPr>
                <w:sz w:val="20"/>
                <w:szCs w:val="20"/>
                <w:color w:val="auto"/>
              </w:rPr>
            </w:pPr>
            <w:r>
              <w:rPr>
                <w:rFonts w:ascii="Arial" w:cs="Arial" w:eastAsia="Arial" w:hAnsi="Arial"/>
                <w:sz w:val="10"/>
                <w:szCs w:val="10"/>
                <w:color w:val="auto"/>
              </w:rPr>
              <w:t>Index to the Exhibits</w:t>
            </w:r>
          </w:p>
        </w:tc>
        <w:tc>
          <w:tcPr>
            <w:tcW w:w="2380" w:type="dxa"/>
            <w:vAlign w:val="bottom"/>
          </w:tcPr>
          <w:p>
            <w:pPr>
              <w:jc w:val="right"/>
              <w:spacing w:after="0"/>
              <w:rPr>
                <w:rFonts w:ascii="Arial" w:cs="Arial" w:eastAsia="Arial" w:hAnsi="Arial"/>
                <w:sz w:val="10"/>
                <w:szCs w:val="10"/>
                <w:u w:val="single" w:color="auto"/>
                <w:color w:val="auto"/>
              </w:rPr>
            </w:pPr>
            <w:hyperlink w:anchor="page246">
              <w:r>
                <w:rPr>
                  <w:rFonts w:ascii="Arial" w:cs="Arial" w:eastAsia="Arial" w:hAnsi="Arial"/>
                  <w:sz w:val="10"/>
                  <w:szCs w:val="10"/>
                  <w:u w:val="single" w:color="auto"/>
                  <w:color w:val="auto"/>
                </w:rPr>
                <w:t>244</w:t>
              </w:r>
            </w:hyperlink>
          </w:p>
        </w:tc>
      </w:tr>
      <w:tr>
        <w:trPr>
          <w:trHeight w:val="126"/>
        </w:trPr>
        <w:tc>
          <w:tcPr>
            <w:tcW w:w="420" w:type="dxa"/>
            <w:vAlign w:val="bottom"/>
          </w:tcPr>
          <w:p>
            <w:pPr>
              <w:spacing w:after="0"/>
              <w:rPr>
                <w:sz w:val="20"/>
                <w:szCs w:val="20"/>
                <w:color w:val="auto"/>
              </w:rPr>
            </w:pPr>
            <w:r>
              <w:rPr>
                <w:rFonts w:ascii="Arial" w:cs="Arial" w:eastAsia="Arial" w:hAnsi="Arial"/>
                <w:sz w:val="10"/>
                <w:szCs w:val="10"/>
                <w:color w:val="auto"/>
                <w:w w:val="83"/>
              </w:rPr>
              <w:t>Signatures</w:t>
            </w:r>
          </w:p>
        </w:tc>
        <w:tc>
          <w:tcPr>
            <w:tcW w:w="4400" w:type="dxa"/>
            <w:vAlign w:val="bottom"/>
          </w:tcPr>
          <w:p>
            <w:pPr>
              <w:spacing w:after="0"/>
              <w:rPr>
                <w:sz w:val="10"/>
                <w:szCs w:val="10"/>
                <w:color w:val="auto"/>
              </w:rPr>
            </w:pPr>
          </w:p>
        </w:tc>
        <w:tc>
          <w:tcPr>
            <w:tcW w:w="2380" w:type="dxa"/>
            <w:vAlign w:val="bottom"/>
          </w:tcPr>
          <w:p>
            <w:pPr>
              <w:jc w:val="right"/>
              <w:spacing w:after="0"/>
              <w:rPr>
                <w:rFonts w:ascii="Arial" w:cs="Arial" w:eastAsia="Arial" w:hAnsi="Arial"/>
                <w:sz w:val="10"/>
                <w:szCs w:val="10"/>
                <w:u w:val="single" w:color="auto"/>
                <w:color w:val="auto"/>
              </w:rPr>
            </w:pPr>
            <w:hyperlink w:anchor="page247">
              <w:r>
                <w:rPr>
                  <w:rFonts w:ascii="Arial" w:cs="Arial" w:eastAsia="Arial" w:hAnsi="Arial"/>
                  <w:sz w:val="10"/>
                  <w:szCs w:val="10"/>
                  <w:u w:val="single" w:color="auto"/>
                  <w:color w:val="auto"/>
                </w:rPr>
                <w:t>245</w:t>
              </w:r>
            </w:hyperlink>
          </w:p>
        </w:tc>
      </w:tr>
      <w:tr>
        <w:trPr>
          <w:trHeight w:val="126"/>
        </w:trPr>
        <w:tc>
          <w:tcPr>
            <w:tcW w:w="4820" w:type="dxa"/>
            <w:vAlign w:val="bottom"/>
            <w:gridSpan w:val="2"/>
          </w:tcPr>
          <w:p>
            <w:pPr>
              <w:spacing w:after="0"/>
              <w:rPr>
                <w:sz w:val="20"/>
                <w:szCs w:val="20"/>
                <w:color w:val="auto"/>
              </w:rPr>
            </w:pPr>
            <w:r>
              <w:rPr>
                <w:rFonts w:ascii="Arial" w:cs="Arial" w:eastAsia="Arial" w:hAnsi="Arial"/>
                <w:sz w:val="10"/>
                <w:szCs w:val="10"/>
                <w:color w:val="auto"/>
              </w:rPr>
              <w:t>Financial Calendar</w:t>
            </w:r>
          </w:p>
        </w:tc>
        <w:tc>
          <w:tcPr>
            <w:tcW w:w="2380" w:type="dxa"/>
            <w:vAlign w:val="bottom"/>
          </w:tcPr>
          <w:p>
            <w:pPr>
              <w:jc w:val="right"/>
              <w:spacing w:after="0"/>
              <w:rPr>
                <w:rFonts w:ascii="Arial" w:cs="Arial" w:eastAsia="Arial" w:hAnsi="Arial"/>
                <w:sz w:val="10"/>
                <w:szCs w:val="10"/>
                <w:u w:val="single" w:color="auto"/>
                <w:color w:val="auto"/>
              </w:rPr>
            </w:pPr>
            <w:hyperlink w:anchor="page250">
              <w:r>
                <w:rPr>
                  <w:rFonts w:ascii="Arial" w:cs="Arial" w:eastAsia="Arial" w:hAnsi="Arial"/>
                  <w:sz w:val="10"/>
                  <w:szCs w:val="10"/>
                  <w:u w:val="single" w:color="auto"/>
                  <w:color w:val="auto"/>
                </w:rPr>
                <w:t>248</w:t>
              </w:r>
            </w:hyperlink>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3460" w:type="dxa"/>
            <w:vAlign w:val="bottom"/>
          </w:tcPr>
          <w:p>
            <w:pPr>
              <w:ind w:left="40"/>
              <w:spacing w:after="0"/>
              <w:rPr>
                <w:sz w:val="20"/>
                <w:szCs w:val="20"/>
                <w:color w:val="auto"/>
              </w:rPr>
            </w:pPr>
            <w:r>
              <w:rPr>
                <w:rFonts w:ascii="Arial" w:cs="Arial" w:eastAsia="Arial" w:hAnsi="Arial"/>
                <w:sz w:val="6"/>
                <w:szCs w:val="6"/>
                <w:color w:val="auto"/>
              </w:rPr>
              <w:t>INTRODUCTION SHELL FORM 20-F 2020</w:t>
            </w:r>
          </w:p>
        </w:tc>
        <w:tc>
          <w:tcPr>
            <w:tcW w:w="7840" w:type="dxa"/>
            <w:vAlign w:val="bottom"/>
          </w:tcPr>
          <w:p>
            <w:pPr>
              <w:jc w:val="right"/>
              <w:ind w:right="5450"/>
              <w:spacing w:after="0"/>
              <w:rPr>
                <w:sz w:val="20"/>
                <w:szCs w:val="20"/>
                <w:color w:val="auto"/>
              </w:rPr>
            </w:pPr>
            <w:r>
              <w:rPr>
                <w:rFonts w:ascii="Arial" w:cs="Arial" w:eastAsia="Arial" w:hAnsi="Arial"/>
                <w:sz w:val="6"/>
                <w:szCs w:val="6"/>
                <w:color w:val="auto"/>
              </w:rPr>
              <w:t>7</w:t>
            </w:r>
          </w:p>
        </w:tc>
      </w:tr>
      <w:tr>
        <w:trPr>
          <w:trHeight w:val="144"/>
        </w:trPr>
        <w:tc>
          <w:tcPr>
            <w:tcW w:w="3460" w:type="dxa"/>
            <w:vAlign w:val="bottom"/>
            <w:tcBorders>
              <w:bottom w:val="single" w:sz="8" w:color="9A9A9A"/>
            </w:tcBorders>
          </w:tcPr>
          <w:p>
            <w:pPr>
              <w:spacing w:after="0"/>
              <w:rPr>
                <w:sz w:val="12"/>
                <w:szCs w:val="12"/>
                <w:color w:val="auto"/>
              </w:rPr>
            </w:pPr>
          </w:p>
        </w:tc>
        <w:tc>
          <w:tcPr>
            <w:tcW w:w="78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10" w:name="page11"/>
    <w:bookmarkEnd w:id="10"/>
    <w:p>
      <w:pPr>
        <w:ind w:left="8"/>
        <w:spacing w:after="0"/>
        <w:rPr>
          <w:sz w:val="20"/>
          <w:szCs w:val="20"/>
          <w:color w:val="auto"/>
        </w:rPr>
      </w:pPr>
      <w:r>
        <w:rPr>
          <w:rFonts w:ascii="Arial" w:cs="Arial" w:eastAsia="Arial" w:hAnsi="Arial"/>
          <w:sz w:val="22"/>
          <w:szCs w:val="22"/>
          <w:color w:val="auto"/>
        </w:rPr>
        <w:t>ABOUT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2915"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141" w:lineRule="exact"/>
        <w:rPr>
          <w:sz w:val="20"/>
          <w:szCs w:val="20"/>
          <w:color w:val="auto"/>
        </w:rPr>
      </w:pPr>
    </w:p>
    <w:p>
      <w:pPr>
        <w:ind w:left="8" w:right="20"/>
        <w:spacing w:after="0" w:line="292" w:lineRule="auto"/>
        <w:rPr>
          <w:sz w:val="20"/>
          <w:szCs w:val="20"/>
          <w:color w:val="auto"/>
        </w:rPr>
      </w:pPr>
      <w:r>
        <w:rPr>
          <w:rFonts w:ascii="Arial" w:cs="Arial" w:eastAsia="Arial" w:hAnsi="Arial"/>
          <w:sz w:val="8"/>
          <w:szCs w:val="8"/>
          <w:color w:val="auto"/>
        </w:rPr>
        <w:t>This Form 20-F as filed with the US Securities and Exchange Commission for the year ended December 31, 2020 (this Report) presents the Consolidated Financial Statements of Royal Dutch Shell plc (the Company) and its subsidiaries (collectively referred to as Shell) (pages 163-</w:t>
      </w:r>
    </w:p>
    <w:p>
      <w:pPr>
        <w:ind w:left="8" w:right="100" w:hanging="8"/>
        <w:spacing w:after="0" w:line="309" w:lineRule="auto"/>
        <w:tabs>
          <w:tab w:leader="none" w:pos="208" w:val="left"/>
        </w:tabs>
        <w:numPr>
          <w:ilvl w:val="0"/>
          <w:numId w:val="1"/>
        </w:numPr>
        <w:rPr>
          <w:rFonts w:ascii="Arial" w:cs="Arial" w:eastAsia="Arial" w:hAnsi="Arial"/>
          <w:sz w:val="8"/>
          <w:szCs w:val="8"/>
          <w:color w:val="auto"/>
        </w:rPr>
      </w:pPr>
      <w:r>
        <w:rPr>
          <w:rFonts w:ascii="Arial" w:cs="Arial" w:eastAsia="Arial" w:hAnsi="Arial"/>
          <w:sz w:val="8"/>
          <w:szCs w:val="8"/>
          <w:color w:val="auto"/>
        </w:rPr>
        <w:t>and the Financial Statements of the Royal Dutch Shell Dividend Access Trust (pages 231-234). Except for these Financial Statements, the numbers presented throughout this Report may not sum precisely to the totals provided and percentages may not precisely reflect the absolute figures due to rounding. Cross-references to Form 20-F are set out on pages 2-3 of this Report.</w:t>
      </w:r>
    </w:p>
    <w:p>
      <w:pPr>
        <w:spacing w:after="0" w:line="123" w:lineRule="exact"/>
        <w:rPr>
          <w:sz w:val="20"/>
          <w:szCs w:val="20"/>
          <w:color w:val="auto"/>
        </w:rPr>
      </w:pPr>
    </w:p>
    <w:p>
      <w:pPr>
        <w:ind w:left="8" w:right="60"/>
        <w:spacing w:after="0" w:line="234" w:lineRule="auto"/>
        <w:rPr>
          <w:sz w:val="20"/>
          <w:szCs w:val="20"/>
          <w:color w:val="auto"/>
        </w:rPr>
      </w:pPr>
      <w:r>
        <w:rPr>
          <w:rFonts w:ascii="Arial" w:cs="Arial" w:eastAsia="Arial" w:hAnsi="Arial"/>
          <w:sz w:val="10"/>
          <w:szCs w:val="10"/>
          <w:color w:val="auto"/>
        </w:rPr>
        <w:t>The financial statements contained in this Report have been prepared in accordance with International Financial Reporting Standards (IFRS) as issued by the IASB. IFRS as defined above includes interpretations issued by the IFRS Interpretations Committee. Financial reporting terms used in this Report are in accordance with IFRS.</w:t>
      </w:r>
    </w:p>
    <w:p>
      <w:pPr>
        <w:spacing w:after="0" w:line="150" w:lineRule="exact"/>
        <w:rPr>
          <w:sz w:val="20"/>
          <w:szCs w:val="20"/>
          <w:color w:val="auto"/>
        </w:rPr>
      </w:pPr>
    </w:p>
    <w:p>
      <w:pPr>
        <w:ind w:left="8" w:right="20"/>
        <w:spacing w:after="0" w:line="293" w:lineRule="auto"/>
        <w:rPr>
          <w:sz w:val="20"/>
          <w:szCs w:val="20"/>
          <w:color w:val="auto"/>
        </w:rPr>
      </w:pPr>
      <w:r>
        <w:rPr>
          <w:rFonts w:ascii="Arial" w:cs="Arial" w:eastAsia="Arial" w:hAnsi="Arial"/>
          <w:sz w:val="8"/>
          <w:szCs w:val="8"/>
          <w:color w:val="auto"/>
        </w:rPr>
        <w:t>This Report contains certain following forward-looking non-GAAP measures such as cash capital expenditure and divestments.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the company,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Royal Dutch Shell plc’s consolidated financial statements.</w:t>
      </w:r>
    </w:p>
    <w:p>
      <w:pPr>
        <w:spacing w:after="0" w:line="240" w:lineRule="exact"/>
        <w:rPr>
          <w:sz w:val="20"/>
          <w:szCs w:val="20"/>
          <w:color w:val="auto"/>
        </w:rPr>
      </w:pPr>
    </w:p>
    <w:p>
      <w:pPr>
        <w:ind w:left="8"/>
        <w:spacing w:after="0" w:line="292" w:lineRule="auto"/>
        <w:rPr>
          <w:sz w:val="20"/>
          <w:szCs w:val="20"/>
          <w:color w:val="auto"/>
        </w:rPr>
      </w:pPr>
      <w:r>
        <w:rPr>
          <w:rFonts w:ascii="Arial" w:cs="Arial" w:eastAsia="Arial" w:hAnsi="Arial"/>
          <w:sz w:val="8"/>
          <w:szCs w:val="8"/>
          <w:color w:val="auto"/>
        </w:rPr>
        <w:t>The companies in which Royal Dutch Shell plc directly or indirectly owns investments are separate legal entities. In addition to the term “Shell”, in this Report “Shell Group”, “we”, “us” and “our” are also used to refer to the Company and its subsidiaries in general or to those who work for them. These terms are also used where no useful purpose is served by identifying the particular entity or entities. “Subsidiaries” and “Shell subsidiaries” refer to those entities over which the Company has control, either directly or indirectly. Entities and unincorporated arrangements over which Shell has joint control are generally referred to as “joint ventures” and “joint operations”, respectively. “Joint ventures” and “joint operations” are collectively referred to as “joint arrangements”. Entities over which Shell has significant influence but neither control nor joint control are referred to as “associates”. The term “Shell interest” is used for convenience to indicate the direct and/or indirect ownership interest held by Shell in an entity or unincorporated joint arrangement, after exclusion of all third-party interest. Shell subsidiaries’ data include their interests in joint operations.</w:t>
      </w:r>
    </w:p>
    <w:p>
      <w:pPr>
        <w:spacing w:after="0" w:line="239" w:lineRule="exact"/>
        <w:rPr>
          <w:sz w:val="20"/>
          <w:szCs w:val="20"/>
          <w:color w:val="auto"/>
        </w:rPr>
      </w:pPr>
    </w:p>
    <w:p>
      <w:pPr>
        <w:ind w:left="8" w:right="40"/>
        <w:spacing w:after="0" w:line="294" w:lineRule="auto"/>
        <w:rPr>
          <w:sz w:val="20"/>
          <w:szCs w:val="20"/>
          <w:color w:val="auto"/>
        </w:rPr>
      </w:pPr>
      <w:r>
        <w:rPr>
          <w:rFonts w:ascii="Arial" w:cs="Arial" w:eastAsia="Arial" w:hAnsi="Arial"/>
          <w:sz w:val="8"/>
          <w:szCs w:val="8"/>
          <w:color w:val="auto"/>
        </w:rPr>
        <w:t>As used in this Report, “Accountable” is intended to mean</w:t>
      </w:r>
      <w:r>
        <w:rPr>
          <w:rFonts w:ascii="Arial" w:cs="Arial" w:eastAsia="Arial" w:hAnsi="Arial"/>
          <w:sz w:val="8"/>
          <w:szCs w:val="8"/>
          <w:color w:val="333333"/>
        </w:rPr>
        <w:t>: required or expected to justify actions or decisions. The Accountable person does</w:t>
      </w:r>
      <w:r>
        <w:rPr>
          <w:rFonts w:ascii="Arial" w:cs="Arial" w:eastAsia="Arial" w:hAnsi="Arial"/>
          <w:sz w:val="8"/>
          <w:szCs w:val="8"/>
          <w:color w:val="auto"/>
        </w:rPr>
        <w:t xml:space="preserve"> </w:t>
      </w:r>
      <w:r>
        <w:rPr>
          <w:rFonts w:ascii="Arial" w:cs="Arial" w:eastAsia="Arial" w:hAnsi="Arial"/>
          <w:sz w:val="8"/>
          <w:szCs w:val="8"/>
          <w:color w:val="333333"/>
        </w:rPr>
        <w:t xml:space="preserve">not necessarily implement the action or decision (implementation is usually carried out by the person who is Responsible) but must organise the implementation and verify that the action has been carried out as required. </w:t>
      </w:r>
      <w:r>
        <w:rPr>
          <w:rFonts w:ascii="Arial" w:cs="Arial" w:eastAsia="Arial" w:hAnsi="Arial"/>
          <w:sz w:val="8"/>
          <w:szCs w:val="8"/>
          <w:color w:val="000000"/>
        </w:rPr>
        <w:t>This includes obtaining requisite assurance from Shell</w:t>
      </w:r>
      <w:r>
        <w:rPr>
          <w:rFonts w:ascii="Arial" w:cs="Arial" w:eastAsia="Arial" w:hAnsi="Arial"/>
          <w:sz w:val="8"/>
          <w:szCs w:val="8"/>
          <w:color w:val="333333"/>
        </w:rPr>
        <w:t xml:space="preserve"> </w:t>
      </w:r>
      <w:r>
        <w:rPr>
          <w:rFonts w:ascii="Arial" w:cs="Arial" w:eastAsia="Arial" w:hAnsi="Arial"/>
          <w:sz w:val="8"/>
          <w:szCs w:val="8"/>
          <w:color w:val="000000"/>
        </w:rPr>
        <w:t>companies that the framework is operating effectively. “</w:t>
      </w:r>
      <w:r>
        <w:rPr>
          <w:rFonts w:ascii="Arial" w:cs="Arial" w:eastAsia="Arial" w:hAnsi="Arial"/>
          <w:sz w:val="8"/>
          <w:szCs w:val="8"/>
          <w:color w:val="333333"/>
        </w:rPr>
        <w:t>Responsible” is intended to mean: required or expected to implement actions or</w:t>
      </w:r>
      <w:r>
        <w:rPr>
          <w:rFonts w:ascii="Arial" w:cs="Arial" w:eastAsia="Arial" w:hAnsi="Arial"/>
          <w:sz w:val="8"/>
          <w:szCs w:val="8"/>
          <w:color w:val="000000"/>
        </w:rPr>
        <w:t xml:space="preserve"> </w:t>
      </w:r>
      <w:r>
        <w:rPr>
          <w:rFonts w:ascii="Arial" w:cs="Arial" w:eastAsia="Arial" w:hAnsi="Arial"/>
          <w:sz w:val="8"/>
          <w:szCs w:val="8"/>
          <w:color w:val="333333"/>
        </w:rPr>
        <w:t>decisions. Each Shell company and Shell operated venture is responsible for its operational performance and compliance with the Shell General Business Principles, Code of Conduct, Statement on Risk Management and Risk Manual, and Standards and Manuals</w:t>
      </w:r>
      <w:r>
        <w:rPr>
          <w:rFonts w:ascii="Arial" w:cs="Arial" w:eastAsia="Arial" w:hAnsi="Arial"/>
          <w:sz w:val="8"/>
          <w:szCs w:val="8"/>
          <w:color w:val="000000"/>
        </w:rPr>
        <w:t>. This includes</w:t>
      </w:r>
      <w:r>
        <w:rPr>
          <w:rFonts w:ascii="Arial" w:cs="Arial" w:eastAsia="Arial" w:hAnsi="Arial"/>
          <w:sz w:val="8"/>
          <w:szCs w:val="8"/>
          <w:color w:val="333333"/>
        </w:rPr>
        <w:t xml:space="preserve"> </w:t>
      </w:r>
      <w:r>
        <w:rPr>
          <w:rFonts w:ascii="Arial" w:cs="Arial" w:eastAsia="Arial" w:hAnsi="Arial"/>
          <w:sz w:val="8"/>
          <w:szCs w:val="8"/>
          <w:color w:val="000000"/>
        </w:rPr>
        <w:t>responsibility for the operationalisation and implementation of Shell Group strategies and policies.</w:t>
      </w:r>
    </w:p>
    <w:p>
      <w:pPr>
        <w:spacing w:after="0" w:line="129" w:lineRule="exact"/>
        <w:rPr>
          <w:sz w:val="20"/>
          <w:szCs w:val="20"/>
          <w:color w:val="auto"/>
        </w:rPr>
      </w:pPr>
    </w:p>
    <w:p>
      <w:pPr>
        <w:ind w:left="8"/>
        <w:spacing w:after="0" w:line="307" w:lineRule="auto"/>
        <w:rPr>
          <w:sz w:val="20"/>
          <w:szCs w:val="20"/>
          <w:color w:val="auto"/>
        </w:rPr>
      </w:pPr>
      <w:r>
        <w:rPr>
          <w:rFonts w:ascii="Arial" w:cs="Arial" w:eastAsia="Arial" w:hAnsi="Arial"/>
          <w:sz w:val="8"/>
          <w:szCs w:val="8"/>
          <w:color w:val="auto"/>
        </w:rPr>
        <w:t>Shell’s operating plan, outlook and budgets are forecasted for a ten-year period and are updated every year. They reflect the current economic environment and what we can reasonably expect to see over the next ten years. Accordingly, Shell’s operating plans, outlooks, budgets and pricing assumptions do not reflect our net-zero emissions target. In the future, as society moves towards net-zero emissions, we expect Shell’s operating plans, outlooks, budgets and pricing assumptions to reflect this movement.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right="220"/>
        <w:spacing w:after="0" w:line="307" w:lineRule="auto"/>
        <w:rPr>
          <w:sz w:val="20"/>
          <w:szCs w:val="20"/>
          <w:color w:val="auto"/>
        </w:rPr>
      </w:pPr>
      <w:r>
        <w:rPr>
          <w:rFonts w:ascii="Arial" w:cs="Arial" w:eastAsia="Arial" w:hAnsi="Arial"/>
          <w:sz w:val="8"/>
          <w:szCs w:val="8"/>
          <w:color w:val="auto"/>
        </w:rPr>
        <w:t>Shell’s “Net Carbon Footprint” referred to in this Report includes Shell’s carbon emissions from the production of our energy products, our suppliers’ carbon emissions in supplying energy for that production, and our customers’ carbon emissions associated with their use of the energy products we sell. Shell only controls its own emissions. The use of the term "Net Carbon Footprint” is for convenience only and not intended to suggest these emissions are those of Shell or its subsidiaries.</w:t>
      </w:r>
    </w:p>
    <w:p>
      <w:pPr>
        <w:spacing w:after="0" w:line="123" w:lineRule="exact"/>
        <w:rPr>
          <w:sz w:val="20"/>
          <w:szCs w:val="20"/>
          <w:color w:val="auto"/>
        </w:rPr>
      </w:pPr>
    </w:p>
    <w:p>
      <w:pPr>
        <w:ind w:right="160"/>
        <w:spacing w:after="0" w:line="299" w:lineRule="auto"/>
        <w:rPr>
          <w:sz w:val="20"/>
          <w:szCs w:val="20"/>
          <w:color w:val="auto"/>
        </w:rPr>
      </w:pPr>
      <w:r>
        <w:rPr>
          <w:rFonts w:ascii="Arial" w:cs="Arial" w:eastAsia="Arial" w:hAnsi="Arial"/>
          <w:sz w:val="8"/>
          <w:szCs w:val="8"/>
          <w:color w:val="auto"/>
        </w:rPr>
        <w:t>Except where indicated, the figures shown in the tables in this Report are in respect of subsidiaries only, without deduction of any non-controlling interest. However, the term “Shell share” is used for convenience to refer to the volumes of hydrocarbons that are produced, processed or sold through subsidiaries, joint ventures and associates. All of a subsidiary’s production, processing or sales volumes (including the share of joint operations) are included in the Shell share, even if Shell owns less than 100% of the subsidiary. In the case of joint ventures and associates, however, Shell-share figures are limited only to Shell’s entitlement. In all cases, royalty payments in kind are deducted from the Shell share.</w:t>
      </w:r>
    </w:p>
    <w:p>
      <w:pPr>
        <w:spacing w:after="0" w:line="237" w:lineRule="exact"/>
        <w:rPr>
          <w:sz w:val="20"/>
          <w:szCs w:val="20"/>
          <w:color w:val="auto"/>
        </w:rPr>
      </w:pPr>
    </w:p>
    <w:p>
      <w:pPr>
        <w:ind w:right="200"/>
        <w:spacing w:after="0" w:line="239" w:lineRule="auto"/>
        <w:rPr>
          <w:sz w:val="20"/>
          <w:szCs w:val="20"/>
          <w:color w:val="auto"/>
        </w:rPr>
      </w:pPr>
      <w:r>
        <w:rPr>
          <w:rFonts w:ascii="Arial" w:cs="Arial" w:eastAsia="Arial" w:hAnsi="Arial"/>
          <w:sz w:val="10"/>
          <w:szCs w:val="10"/>
          <w:color w:val="auto"/>
        </w:rPr>
        <w:t>Except where indicated, the figures shown in this Report are stated in US dollars. As used herein all references to “dollars” or “$” are to the US currency.</w:t>
      </w:r>
    </w:p>
    <w:p>
      <w:pPr>
        <w:spacing w:after="0" w:line="149" w:lineRule="exact"/>
        <w:rPr>
          <w:sz w:val="20"/>
          <w:szCs w:val="20"/>
          <w:color w:val="auto"/>
        </w:rPr>
      </w:pPr>
    </w:p>
    <w:p>
      <w:pPr>
        <w:ind w:right="120"/>
        <w:spacing w:after="0" w:line="285" w:lineRule="auto"/>
        <w:rPr>
          <w:sz w:val="20"/>
          <w:szCs w:val="20"/>
          <w:color w:val="auto"/>
        </w:rPr>
      </w:pPr>
      <w:r>
        <w:rPr>
          <w:rFonts w:ascii="Arial" w:cs="Arial" w:eastAsia="Arial" w:hAnsi="Arial"/>
          <w:sz w:val="8"/>
          <w:szCs w:val="8"/>
          <w:color w:val="auto"/>
        </w:rPr>
        <w:t>This Report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“believe”, “could”, “estimate”, “expect”, “goals”, “intend”, “may”, “objectives”, “outlook”, “plan”, “probably”, “project”, “risks”, “schedule”, “seek”, “should”, “target”, “will” and similar terms and phrases. There are a number of factors that could affect the future operations of Shell and could cause those results to differ materially from those expressed in the forward-looking statements included in this Report,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fiscal and regulatory developments including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such as the COVID-19 (coronavirus) outbreak; and (n) changes in trading conditions. Also see “Risk factors” on pages 18-22 for additional risks and further discussion. No assurance is provided that future dividend payments will match or exceed previous dividend payments. All forward-looking statements contained in this Report are expressly qualified in their entirety by the cautionary statements contained or referred to in this section. Readers should not place undue reliance on forward-looking statements. Each forward-looking statement speaks only as of the date of this Report. Neither the Company nor any of its subsidiaries undertake any obligation to publicly update or revise any forward-looking statement as a result of new information, future events or other information. In light of these risks, results could differ materially</w:t>
      </w:r>
    </w:p>
    <w:p>
      <w:pPr>
        <w:spacing w:after="0" w:line="589" w:lineRule="exact"/>
        <w:rPr>
          <w:sz w:val="20"/>
          <w:szCs w:val="20"/>
          <w:color w:val="auto"/>
        </w:rPr>
      </w:pPr>
    </w:p>
    <w:p>
      <w:pPr>
        <w:sectPr>
          <w:pgSz w:w="11900" w:h="16838" w:orient="portrait"/>
          <w:cols w:equalWidth="0" w:num="2">
            <w:col w:w="5448" w:space="280"/>
            <w:col w:w="5580"/>
          </w:cols>
          <w:pgMar w:left="292" w:top="721" w:right="299" w:bottom="1440" w:gutter="0" w:footer="0" w:header="0"/>
        </w:sectPr>
      </w:pPr>
    </w:p>
    <w:p>
      <w:pPr>
        <w:spacing w:after="0" w:line="148" w:lineRule="exact"/>
        <w:rPr>
          <w:sz w:val="20"/>
          <w:szCs w:val="20"/>
          <w:color w:val="auto"/>
        </w:rPr>
      </w:pPr>
    </w:p>
    <w:tbl>
      <w:tblPr>
        <w:tblLayout w:type="fixed"/>
        <w:tblInd w:w="8" w:type="dxa"/>
        <w:tblCellMar>
          <w:top w:w="0" w:type="dxa"/>
          <w:left w:w="0" w:type="dxa"/>
          <w:bottom w:w="0" w:type="dxa"/>
          <w:right w:w="0" w:type="dxa"/>
        </w:tblCellMar>
      </w:tblPr>
      <w:tr>
        <w:trPr>
          <w:trHeight w:val="75"/>
        </w:trPr>
        <w:tc>
          <w:tcPr>
            <w:tcW w:w="3460" w:type="dxa"/>
            <w:vAlign w:val="bottom"/>
          </w:tcPr>
          <w:p>
            <w:pPr>
              <w:ind w:left="40"/>
              <w:spacing w:after="0"/>
              <w:rPr>
                <w:sz w:val="20"/>
                <w:szCs w:val="20"/>
                <w:color w:val="auto"/>
              </w:rPr>
            </w:pPr>
            <w:r>
              <w:rPr>
                <w:rFonts w:ascii="Arial" w:cs="Arial" w:eastAsia="Arial" w:hAnsi="Arial"/>
                <w:sz w:val="6"/>
                <w:szCs w:val="6"/>
                <w:color w:val="auto"/>
              </w:rPr>
              <w:t>INTRODUCTION SHELL FORM 20-F 2020</w:t>
            </w:r>
          </w:p>
        </w:tc>
        <w:tc>
          <w:tcPr>
            <w:tcW w:w="7840" w:type="dxa"/>
            <w:vAlign w:val="bottom"/>
          </w:tcPr>
          <w:p>
            <w:pPr>
              <w:jc w:val="right"/>
              <w:ind w:right="5450"/>
              <w:spacing w:after="0"/>
              <w:rPr>
                <w:sz w:val="20"/>
                <w:szCs w:val="20"/>
                <w:color w:val="auto"/>
              </w:rPr>
            </w:pPr>
            <w:r>
              <w:rPr>
                <w:rFonts w:ascii="Arial" w:cs="Arial" w:eastAsia="Arial" w:hAnsi="Arial"/>
                <w:sz w:val="6"/>
                <w:szCs w:val="6"/>
                <w:color w:val="auto"/>
              </w:rPr>
              <w:t>8</w:t>
            </w:r>
          </w:p>
        </w:tc>
      </w:tr>
      <w:tr>
        <w:trPr>
          <w:trHeight w:val="135"/>
        </w:trPr>
        <w:tc>
          <w:tcPr>
            <w:tcW w:w="3460" w:type="dxa"/>
            <w:vAlign w:val="bottom"/>
            <w:tcBorders>
              <w:bottom w:val="single" w:sz="8" w:color="9A9A9A"/>
            </w:tcBorders>
          </w:tcPr>
          <w:p>
            <w:pPr>
              <w:spacing w:after="0"/>
              <w:rPr>
                <w:sz w:val="11"/>
                <w:szCs w:val="11"/>
                <w:color w:val="auto"/>
              </w:rPr>
            </w:pPr>
          </w:p>
        </w:tc>
        <w:tc>
          <w:tcPr>
            <w:tcW w:w="78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0"/>
          <w:szCs w:val="10"/>
          <w:color w:val="auto"/>
        </w:rPr>
        <w:t>from those stated, implied or inferred from the forward-looking statements contained in this Report.</w:t>
      </w:r>
    </w:p>
    <w:p>
      <w:pPr>
        <w:spacing w:after="0" w:line="155" w:lineRule="exact"/>
        <w:rPr>
          <w:sz w:val="20"/>
          <w:szCs w:val="20"/>
          <w:color w:val="auto"/>
        </w:rPr>
      </w:pPr>
    </w:p>
    <w:p>
      <w:pPr>
        <w:spacing w:after="0" w:line="307" w:lineRule="auto"/>
        <w:rPr>
          <w:sz w:val="20"/>
          <w:szCs w:val="20"/>
          <w:color w:val="auto"/>
        </w:rPr>
      </w:pPr>
      <w:r>
        <w:rPr>
          <w:rFonts w:ascii="Arial" w:cs="Arial" w:eastAsia="Arial" w:hAnsi="Arial"/>
          <w:sz w:val="8"/>
          <w:szCs w:val="8"/>
          <w:color w:val="auto"/>
        </w:rPr>
        <w:t>This Report contains references to Shell’s website, the Shell Sustainability Report, Tax Contribution Report, Industry Associations Climate Review and our report on Payments to Governments. These references are for the readers’ convenience only. Shell is not incorporating by reference into this report any information posted on www.shell.com or in the Shell Sustainability Report, Tax Contribution Report, Industry Associations Climate Review or our report on Payments to Governments.</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Shell V-Power and Shell LiveWire are Shell trademarks.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DOCUMENTS ON DISPLAY</w:t>
      </w:r>
    </w:p>
    <w:p>
      <w:pPr>
        <w:spacing w:after="0" w:line="154" w:lineRule="exact"/>
        <w:rPr>
          <w:sz w:val="20"/>
          <w:szCs w:val="20"/>
          <w:color w:val="auto"/>
        </w:rPr>
      </w:pPr>
    </w:p>
    <w:p>
      <w:pPr>
        <w:ind w:right="200"/>
        <w:spacing w:after="0" w:line="234" w:lineRule="auto"/>
        <w:rPr>
          <w:sz w:val="20"/>
          <w:szCs w:val="20"/>
          <w:color w:val="auto"/>
        </w:rPr>
      </w:pPr>
      <w:r>
        <w:rPr>
          <w:rFonts w:ascii="Arial" w:cs="Arial" w:eastAsia="Arial" w:hAnsi="Arial"/>
          <w:sz w:val="10"/>
          <w:szCs w:val="10"/>
          <w:color w:val="auto"/>
        </w:rPr>
        <w:t>The SEC maintains an Internet site that contains reports, proxy and information statements, and other information regarding issuers that file electronically with the SEC. All of the SEC filings made electronically by Shell are available to the public on the SEC website at www.sec.gov (commission file number 001-32575).</w:t>
      </w:r>
    </w:p>
    <w:p>
      <w:pPr>
        <w:spacing w:after="0" w:line="150" w:lineRule="exact"/>
        <w:rPr>
          <w:sz w:val="20"/>
          <w:szCs w:val="20"/>
          <w:color w:val="auto"/>
        </w:rPr>
      </w:pPr>
    </w:p>
    <w:p>
      <w:pPr>
        <w:ind w:right="400"/>
        <w:spacing w:after="0" w:line="358" w:lineRule="auto"/>
        <w:rPr>
          <w:sz w:val="20"/>
          <w:szCs w:val="20"/>
          <w:color w:val="auto"/>
        </w:rPr>
      </w:pPr>
      <w:r>
        <w:rPr>
          <w:rFonts w:ascii="Arial" w:cs="Arial" w:eastAsia="Arial" w:hAnsi="Arial"/>
          <w:sz w:val="8"/>
          <w:szCs w:val="8"/>
          <w:color w:val="auto"/>
        </w:rPr>
        <w:t>This Report is also available, free of charge, at www.shell.com/investors/financial-reporting/sec-filings or at the offices of Shell in The Hague, the Netherlands and London, United Kingdom. Copies of this Report also may be obtained, free of charge, by mail.</w:t>
      </w:r>
    </w:p>
    <w:p>
      <w:pPr>
        <w:spacing w:after="0" w:line="200" w:lineRule="exact"/>
        <w:rPr>
          <w:sz w:val="20"/>
          <w:szCs w:val="20"/>
          <w:color w:val="auto"/>
        </w:rPr>
      </w:pPr>
    </w:p>
    <w:p>
      <w:pPr>
        <w:sectPr>
          <w:pgSz w:w="11900" w:h="16838" w:orient="portrait"/>
          <w:cols w:equalWidth="0" w:num="2">
            <w:col w:w="5340" w:space="380"/>
            <w:col w:w="5580"/>
          </w:cols>
          <w:pgMar w:left="300" w:top="640" w:right="299" w:bottom="1440" w:gutter="0" w:footer="0" w:header="0"/>
        </w:sect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3460" w:type="dxa"/>
            <w:vAlign w:val="bottom"/>
          </w:tcPr>
          <w:p>
            <w:pPr>
              <w:ind w:left="40"/>
              <w:spacing w:after="0"/>
              <w:rPr>
                <w:sz w:val="20"/>
                <w:szCs w:val="20"/>
                <w:color w:val="auto"/>
              </w:rPr>
            </w:pPr>
            <w:r>
              <w:rPr>
                <w:rFonts w:ascii="Arial" w:cs="Arial" w:eastAsia="Arial" w:hAnsi="Arial"/>
                <w:sz w:val="6"/>
                <w:szCs w:val="6"/>
                <w:color w:val="auto"/>
              </w:rPr>
              <w:t>INTRODUCTION SHELL FORM 20-F 2020</w:t>
            </w:r>
          </w:p>
        </w:tc>
        <w:tc>
          <w:tcPr>
            <w:tcW w:w="7840" w:type="dxa"/>
            <w:vAlign w:val="bottom"/>
          </w:tcPr>
          <w:p>
            <w:pPr>
              <w:jc w:val="right"/>
              <w:ind w:right="5450"/>
              <w:spacing w:after="0"/>
              <w:rPr>
                <w:sz w:val="20"/>
                <w:szCs w:val="20"/>
                <w:color w:val="auto"/>
              </w:rPr>
            </w:pPr>
            <w:r>
              <w:rPr>
                <w:rFonts w:ascii="Arial" w:cs="Arial" w:eastAsia="Arial" w:hAnsi="Arial"/>
                <w:sz w:val="6"/>
                <w:szCs w:val="6"/>
                <w:color w:val="auto"/>
              </w:rPr>
              <w:t>9</w:t>
            </w:r>
          </w:p>
        </w:tc>
      </w:tr>
      <w:tr>
        <w:trPr>
          <w:trHeight w:val="144"/>
        </w:trPr>
        <w:tc>
          <w:tcPr>
            <w:tcW w:w="3460" w:type="dxa"/>
            <w:vAlign w:val="bottom"/>
            <w:tcBorders>
              <w:bottom w:val="single" w:sz="8" w:color="9A9A9A"/>
            </w:tcBorders>
          </w:tcPr>
          <w:p>
            <w:pPr>
              <w:spacing w:after="0"/>
              <w:rPr>
                <w:sz w:val="12"/>
                <w:szCs w:val="12"/>
                <w:color w:val="auto"/>
              </w:rPr>
            </w:pPr>
          </w:p>
        </w:tc>
        <w:tc>
          <w:tcPr>
            <w:tcW w:w="78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24"/>
          <w:szCs w:val="24"/>
          <w:b w:val="1"/>
          <w:bCs w:val="1"/>
          <w:color w:val="auto"/>
        </w:rPr>
        <w:t>STRATEGIC REPORT</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6985</wp:posOffset>
            </wp:positionV>
            <wp:extent cx="451485"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1485" cy="228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0"/>
          <w:szCs w:val="10"/>
          <w:color w:val="auto"/>
        </w:rPr>
        <w:t>The selected financial data set out below are derived, in part, from the “Consolidated Financial Statements”. These data should be read in conjunction with the “Consolidated Financial Statements” and related Notes, as well as with this Strategic Report.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60" w:type="dxa"/>
            <w:vAlign w:val="bottom"/>
            <w:tcBorders>
              <w:top w:val="single" w:sz="8" w:color="D9D9D9"/>
            </w:tcBorders>
            <w:gridSpan w:val="2"/>
          </w:tcPr>
          <w:p>
            <w:pPr>
              <w:spacing w:after="0"/>
              <w:rPr>
                <w:sz w:val="20"/>
                <w:szCs w:val="20"/>
                <w:color w:val="auto"/>
              </w:rPr>
            </w:pPr>
            <w:r>
              <w:rPr>
                <w:rFonts w:ascii="Arial" w:cs="Arial" w:eastAsia="Arial" w:hAnsi="Arial"/>
                <w:sz w:val="10"/>
                <w:szCs w:val="10"/>
                <w:color w:val="auto"/>
              </w:rPr>
              <w:t>Consolidated Statement of Income and of Comprehensive Income data</w:t>
            </w:r>
          </w:p>
        </w:tc>
        <w:tc>
          <w:tcPr>
            <w:tcW w:w="1300" w:type="dxa"/>
            <w:vAlign w:val="bottom"/>
            <w:tcBorders>
              <w:top w:val="single" w:sz="8" w:color="D9D9D9"/>
            </w:tcBorders>
          </w:tcPr>
          <w:p>
            <w:pPr>
              <w:spacing w:after="0"/>
              <w:rPr>
                <w:sz w:val="14"/>
                <w:szCs w:val="14"/>
                <w:color w:val="auto"/>
              </w:rPr>
            </w:pPr>
          </w:p>
        </w:tc>
        <w:tc>
          <w:tcPr>
            <w:tcW w:w="1820" w:type="dxa"/>
            <w:vAlign w:val="bottom"/>
            <w:tcBorders>
              <w:top w:val="single" w:sz="8" w:color="D9D9D9"/>
            </w:tcBorders>
          </w:tcPr>
          <w:p>
            <w:pPr>
              <w:spacing w:after="0"/>
              <w:rPr>
                <w:sz w:val="14"/>
                <w:szCs w:val="14"/>
                <w:color w:val="auto"/>
              </w:rPr>
            </w:pPr>
          </w:p>
        </w:tc>
        <w:tc>
          <w:tcPr>
            <w:tcW w:w="1340" w:type="dxa"/>
            <w:vAlign w:val="bottom"/>
            <w:tcBorders>
              <w:top w:val="single" w:sz="8" w:color="D9D9D9"/>
            </w:tcBorders>
          </w:tcPr>
          <w:p>
            <w:pPr>
              <w:spacing w:after="0"/>
              <w:rPr>
                <w:sz w:val="14"/>
                <w:szCs w:val="14"/>
                <w:color w:val="auto"/>
              </w:rPr>
            </w:pPr>
          </w:p>
        </w:tc>
        <w:tc>
          <w:tcPr>
            <w:tcW w:w="1300" w:type="dxa"/>
            <w:vAlign w:val="bottom"/>
            <w:tcBorders>
              <w:top w:val="single" w:sz="8" w:color="D9D9D9"/>
            </w:tcBorders>
          </w:tcPr>
          <w:p>
            <w:pPr>
              <w:spacing w:after="0"/>
              <w:rPr>
                <w:sz w:val="14"/>
                <w:szCs w:val="14"/>
                <w:color w:val="auto"/>
              </w:rPr>
            </w:pPr>
          </w:p>
        </w:tc>
        <w:tc>
          <w:tcPr>
            <w:tcW w:w="860" w:type="dxa"/>
            <w:vAlign w:val="bottom"/>
            <w:tcBorders>
              <w:top w:val="single" w:sz="8" w:color="D9D9D9"/>
            </w:tcBorders>
            <w:gridSpan w:val="2"/>
          </w:tcPr>
          <w:p>
            <w:pPr>
              <w:jc w:val="right"/>
              <w:ind w:right="20"/>
              <w:spacing w:after="0"/>
              <w:rPr>
                <w:sz w:val="20"/>
                <w:szCs w:val="20"/>
                <w:color w:val="auto"/>
              </w:rPr>
            </w:pPr>
            <w:r>
              <w:rPr>
                <w:rFonts w:ascii="Arial" w:cs="Arial" w:eastAsia="Arial" w:hAnsi="Arial"/>
                <w:sz w:val="10"/>
                <w:szCs w:val="10"/>
                <w:color w:val="auto"/>
              </w:rPr>
              <w:t>$ million</w:t>
            </w:r>
          </w:p>
        </w:tc>
        <w:tc>
          <w:tcPr>
            <w:tcW w:w="20" w:type="dxa"/>
            <w:vAlign w:val="bottom"/>
          </w:tcPr>
          <w:p>
            <w:pPr>
              <w:spacing w:after="0"/>
              <w:rPr>
                <w:sz w:val="14"/>
                <w:szCs w:val="14"/>
                <w:color w:val="auto"/>
              </w:rPr>
            </w:pPr>
          </w:p>
        </w:tc>
      </w:tr>
      <w:tr>
        <w:trPr>
          <w:trHeight w:val="130"/>
        </w:trPr>
        <w:tc>
          <w:tcPr>
            <w:tcW w:w="20" w:type="dxa"/>
            <w:vAlign w:val="bottom"/>
            <w:tcBorders>
              <w:bottom w:val="single" w:sz="8" w:color="auto"/>
            </w:tcBorders>
          </w:tcPr>
          <w:p>
            <w:pPr>
              <w:spacing w:after="0"/>
              <w:rPr>
                <w:sz w:val="11"/>
                <w:szCs w:val="11"/>
                <w:color w:val="auto"/>
              </w:rPr>
            </w:pPr>
          </w:p>
        </w:tc>
        <w:tc>
          <w:tcPr>
            <w:tcW w:w="46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2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2019</w:t>
            </w: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2018</w:t>
            </w:r>
          </w:p>
        </w:tc>
        <w:tc>
          <w:tcPr>
            <w:tcW w:w="13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2017</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2016</w:t>
            </w:r>
          </w:p>
        </w:tc>
        <w:tc>
          <w:tcPr>
            <w:tcW w:w="20" w:type="dxa"/>
            <w:vAlign w:val="bottom"/>
          </w:tcPr>
          <w:p>
            <w:pPr>
              <w:spacing w:after="0"/>
              <w:rPr>
                <w:sz w:val="11"/>
                <w:szCs w:val="11"/>
                <w:color w:val="auto"/>
              </w:rPr>
            </w:pPr>
          </w:p>
        </w:tc>
      </w:tr>
      <w:tr>
        <w:trPr>
          <w:trHeight w:val="114"/>
        </w:trPr>
        <w:tc>
          <w:tcPr>
            <w:tcW w:w="4660" w:type="dxa"/>
            <w:vAlign w:val="bottom"/>
            <w:gridSpan w:val="2"/>
          </w:tcPr>
          <w:p>
            <w:pPr>
              <w:spacing w:after="0"/>
              <w:rPr>
                <w:sz w:val="20"/>
                <w:szCs w:val="20"/>
                <w:color w:val="auto"/>
              </w:rPr>
            </w:pPr>
            <w:r>
              <w:rPr>
                <w:rFonts w:ascii="Arial" w:cs="Arial" w:eastAsia="Arial" w:hAnsi="Arial"/>
                <w:sz w:val="10"/>
                <w:szCs w:val="10"/>
                <w:color w:val="auto"/>
              </w:rPr>
              <w:t>Revenue</w:t>
            </w:r>
          </w:p>
        </w:tc>
        <w:tc>
          <w:tcPr>
            <w:tcW w:w="13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180,543</w:t>
            </w:r>
          </w:p>
        </w:tc>
        <w:tc>
          <w:tcPr>
            <w:tcW w:w="1820" w:type="dxa"/>
            <w:vAlign w:val="bottom"/>
            <w:tcBorders>
              <w:left w:val="single" w:sz="8" w:color="D9D9D9"/>
            </w:tcBorders>
          </w:tcPr>
          <w:p>
            <w:pPr>
              <w:jc w:val="right"/>
              <w:ind w:right="472"/>
              <w:spacing w:after="0"/>
              <w:rPr>
                <w:sz w:val="20"/>
                <w:szCs w:val="20"/>
                <w:color w:val="auto"/>
              </w:rPr>
            </w:pPr>
            <w:r>
              <w:rPr>
                <w:rFonts w:ascii="Arial" w:cs="Arial" w:eastAsia="Arial" w:hAnsi="Arial"/>
                <w:sz w:val="10"/>
                <w:szCs w:val="10"/>
                <w:color w:val="auto"/>
              </w:rPr>
              <w:t>344,877</w:t>
            </w: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388,379</w:t>
            </w:r>
          </w:p>
        </w:tc>
        <w:tc>
          <w:tcPr>
            <w:tcW w:w="1300" w:type="dxa"/>
            <w:vAlign w:val="bottom"/>
          </w:tcPr>
          <w:p>
            <w:pPr>
              <w:jc w:val="right"/>
              <w:ind w:right="452"/>
              <w:spacing w:after="0"/>
              <w:rPr>
                <w:sz w:val="20"/>
                <w:szCs w:val="20"/>
                <w:color w:val="auto"/>
              </w:rPr>
            </w:pPr>
            <w:r>
              <w:rPr>
                <w:rFonts w:ascii="Arial" w:cs="Arial" w:eastAsia="Arial" w:hAnsi="Arial"/>
                <w:sz w:val="10"/>
                <w:szCs w:val="10"/>
                <w:color w:val="auto"/>
              </w:rPr>
              <w:t>305,179</w:t>
            </w:r>
          </w:p>
        </w:tc>
        <w:tc>
          <w:tcPr>
            <w:tcW w:w="840" w:type="dxa"/>
            <w:vAlign w:val="bottom"/>
          </w:tcPr>
          <w:p>
            <w:pPr>
              <w:jc w:val="right"/>
              <w:spacing w:after="0"/>
              <w:rPr>
                <w:sz w:val="20"/>
                <w:szCs w:val="20"/>
                <w:color w:val="auto"/>
              </w:rPr>
            </w:pPr>
            <w:r>
              <w:rPr>
                <w:rFonts w:ascii="Arial" w:cs="Arial" w:eastAsia="Arial" w:hAnsi="Arial"/>
                <w:sz w:val="10"/>
                <w:szCs w:val="10"/>
                <w:color w:val="auto"/>
              </w:rPr>
              <w:t>233,591</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3"/>
        </w:trPr>
        <w:tc>
          <w:tcPr>
            <w:tcW w:w="4660" w:type="dxa"/>
            <w:vAlign w:val="bottom"/>
            <w:gridSpan w:val="2"/>
          </w:tcPr>
          <w:p>
            <w:pPr>
              <w:spacing w:after="0"/>
              <w:rPr>
                <w:sz w:val="20"/>
                <w:szCs w:val="20"/>
                <w:color w:val="auto"/>
              </w:rPr>
            </w:pPr>
            <w:r>
              <w:rPr>
                <w:rFonts w:ascii="Arial" w:cs="Arial" w:eastAsia="Arial" w:hAnsi="Arial"/>
                <w:sz w:val="10"/>
                <w:szCs w:val="10"/>
                <w:color w:val="auto"/>
              </w:rPr>
              <w:t>(Loss)/income for the period</w:t>
            </w:r>
          </w:p>
        </w:tc>
        <w:tc>
          <w:tcPr>
            <w:tcW w:w="13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(21,534)</w:t>
            </w:r>
          </w:p>
        </w:tc>
        <w:tc>
          <w:tcPr>
            <w:tcW w:w="1820" w:type="dxa"/>
            <w:vAlign w:val="bottom"/>
            <w:tcBorders>
              <w:left w:val="single" w:sz="8" w:color="D9D9D9"/>
            </w:tcBorders>
          </w:tcPr>
          <w:p>
            <w:pPr>
              <w:jc w:val="right"/>
              <w:ind w:right="472"/>
              <w:spacing w:after="0"/>
              <w:rPr>
                <w:sz w:val="20"/>
                <w:szCs w:val="20"/>
                <w:color w:val="auto"/>
              </w:rPr>
            </w:pPr>
            <w:r>
              <w:rPr>
                <w:rFonts w:ascii="Arial" w:cs="Arial" w:eastAsia="Arial" w:hAnsi="Arial"/>
                <w:sz w:val="10"/>
                <w:szCs w:val="10"/>
                <w:color w:val="auto"/>
              </w:rPr>
              <w:t>16,432</w:t>
            </w: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23,906</w:t>
            </w:r>
          </w:p>
        </w:tc>
        <w:tc>
          <w:tcPr>
            <w:tcW w:w="1300" w:type="dxa"/>
            <w:vAlign w:val="bottom"/>
          </w:tcPr>
          <w:p>
            <w:pPr>
              <w:jc w:val="right"/>
              <w:ind w:right="452"/>
              <w:spacing w:after="0"/>
              <w:rPr>
                <w:sz w:val="20"/>
                <w:szCs w:val="20"/>
                <w:color w:val="auto"/>
              </w:rPr>
            </w:pPr>
            <w:r>
              <w:rPr>
                <w:rFonts w:ascii="Arial" w:cs="Arial" w:eastAsia="Arial" w:hAnsi="Arial"/>
                <w:sz w:val="10"/>
                <w:szCs w:val="10"/>
                <w:color w:val="auto"/>
              </w:rPr>
              <w:t>13,435</w:t>
            </w:r>
          </w:p>
        </w:tc>
        <w:tc>
          <w:tcPr>
            <w:tcW w:w="840" w:type="dxa"/>
            <w:vAlign w:val="bottom"/>
          </w:tcPr>
          <w:p>
            <w:pPr>
              <w:jc w:val="right"/>
              <w:spacing w:after="0"/>
              <w:rPr>
                <w:sz w:val="20"/>
                <w:szCs w:val="20"/>
                <w:color w:val="auto"/>
              </w:rPr>
            </w:pPr>
            <w:r>
              <w:rPr>
                <w:rFonts w:ascii="Arial" w:cs="Arial" w:eastAsia="Arial" w:hAnsi="Arial"/>
                <w:sz w:val="10"/>
                <w:szCs w:val="10"/>
                <w:color w:val="auto"/>
              </w:rPr>
              <w:t>4,777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0"/>
        </w:trPr>
        <w:tc>
          <w:tcPr>
            <w:tcW w:w="46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Income attributable to non-controlling interest</w:t>
            </w:r>
          </w:p>
        </w:tc>
        <w:tc>
          <w:tcPr>
            <w:tcW w:w="13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146</w:t>
            </w:r>
          </w:p>
        </w:tc>
        <w:tc>
          <w:tcPr>
            <w:tcW w:w="1820" w:type="dxa"/>
            <w:vAlign w:val="bottom"/>
            <w:tcBorders>
              <w:left w:val="single" w:sz="8" w:color="D9D9D9"/>
              <w:bottom w:val="single" w:sz="8" w:color="auto"/>
            </w:tcBorders>
          </w:tcPr>
          <w:p>
            <w:pPr>
              <w:jc w:val="right"/>
              <w:ind w:right="472"/>
              <w:spacing w:after="0"/>
              <w:rPr>
                <w:sz w:val="20"/>
                <w:szCs w:val="20"/>
                <w:color w:val="auto"/>
              </w:rPr>
            </w:pPr>
            <w:r>
              <w:rPr>
                <w:rFonts w:ascii="Arial" w:cs="Arial" w:eastAsia="Arial" w:hAnsi="Arial"/>
                <w:sz w:val="10"/>
                <w:szCs w:val="10"/>
                <w:color w:val="auto"/>
              </w:rPr>
              <w:t>590</w:t>
            </w: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554</w:t>
            </w: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458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w:t>
            </w: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7"/>
        </w:trPr>
        <w:tc>
          <w:tcPr>
            <w:tcW w:w="46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(Loss)/income attributable to Royal Dutch Shell plc shareholders</w:t>
            </w:r>
          </w:p>
        </w:tc>
        <w:tc>
          <w:tcPr>
            <w:tcW w:w="13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(21,680)</w:t>
            </w:r>
          </w:p>
        </w:tc>
        <w:tc>
          <w:tcPr>
            <w:tcW w:w="1820" w:type="dxa"/>
            <w:vAlign w:val="bottom"/>
            <w:tcBorders>
              <w:left w:val="single" w:sz="8" w:color="D9D9D9"/>
              <w:bottom w:val="single" w:sz="8" w:color="auto"/>
            </w:tcBorders>
          </w:tcPr>
          <w:p>
            <w:pPr>
              <w:jc w:val="right"/>
              <w:ind w:right="472"/>
              <w:spacing w:after="0"/>
              <w:rPr>
                <w:sz w:val="20"/>
                <w:szCs w:val="20"/>
                <w:color w:val="auto"/>
              </w:rPr>
            </w:pPr>
            <w:r>
              <w:rPr>
                <w:rFonts w:ascii="Arial" w:cs="Arial" w:eastAsia="Arial" w:hAnsi="Arial"/>
                <w:sz w:val="10"/>
                <w:szCs w:val="10"/>
                <w:color w:val="auto"/>
              </w:rPr>
              <w:t>15,842</w:t>
            </w: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23,352</w:t>
            </w: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12,977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4,575</w:t>
            </w: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46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Comprehensive (loss)/income attributable to Royal Dutch Shell plc shareholders</w:t>
            </w:r>
          </w:p>
        </w:tc>
        <w:tc>
          <w:tcPr>
            <w:tcW w:w="13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(23,512)</w:t>
            </w:r>
          </w:p>
        </w:tc>
        <w:tc>
          <w:tcPr>
            <w:tcW w:w="1820" w:type="dxa"/>
            <w:vAlign w:val="bottom"/>
            <w:tcBorders>
              <w:left w:val="single" w:sz="8" w:color="D9D9D9"/>
              <w:bottom w:val="single" w:sz="8" w:color="auto"/>
            </w:tcBorders>
          </w:tcPr>
          <w:p>
            <w:pPr>
              <w:jc w:val="right"/>
              <w:ind w:right="472"/>
              <w:spacing w:after="0"/>
              <w:rPr>
                <w:sz w:val="20"/>
                <w:szCs w:val="20"/>
                <w:color w:val="auto"/>
              </w:rPr>
            </w:pPr>
            <w:r>
              <w:rPr>
                <w:rFonts w:ascii="Arial" w:cs="Arial" w:eastAsia="Arial" w:hAnsi="Arial"/>
                <w:sz w:val="10"/>
                <w:szCs w:val="10"/>
                <w:color w:val="auto"/>
              </w:rPr>
              <w:t>13,773</w:t>
            </w: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24,475</w:t>
            </w: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18,828</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(1,374)</w:t>
            </w:r>
          </w:p>
        </w:tc>
        <w:tc>
          <w:tcPr>
            <w:tcW w:w="20" w:type="dxa"/>
            <w:vAlign w:val="bottom"/>
          </w:tcPr>
          <w:p>
            <w:pPr>
              <w:spacing w:after="0"/>
              <w:rPr>
                <w:sz w:val="10"/>
                <w:szCs w:val="10"/>
                <w:color w:val="auto"/>
              </w:rPr>
            </w:pPr>
          </w:p>
        </w:tc>
      </w:tr>
      <w:tr>
        <w:trPr>
          <w:trHeight w:val="88"/>
        </w:trPr>
        <w:tc>
          <w:tcPr>
            <w:tcW w:w="20" w:type="dxa"/>
            <w:vAlign w:val="bottom"/>
            <w:tcBorders>
              <w:bottom w:val="single" w:sz="8" w:color="D9D9D9"/>
            </w:tcBorders>
          </w:tcPr>
          <w:p>
            <w:pPr>
              <w:spacing w:after="0"/>
              <w:rPr>
                <w:sz w:val="7"/>
                <w:szCs w:val="7"/>
                <w:color w:val="auto"/>
              </w:rPr>
            </w:pPr>
          </w:p>
        </w:tc>
        <w:tc>
          <w:tcPr>
            <w:tcW w:w="4640" w:type="dxa"/>
            <w:vAlign w:val="bottom"/>
            <w:tcBorders>
              <w:bottom w:val="single" w:sz="8" w:color="D9D9D9"/>
            </w:tcBorders>
          </w:tcPr>
          <w:p>
            <w:pPr>
              <w:spacing w:after="0"/>
              <w:rPr>
                <w:sz w:val="7"/>
                <w:szCs w:val="7"/>
                <w:color w:val="auto"/>
              </w:rPr>
            </w:pPr>
          </w:p>
        </w:tc>
        <w:tc>
          <w:tcPr>
            <w:tcW w:w="1300" w:type="dxa"/>
            <w:vAlign w:val="bottom"/>
            <w:tcBorders>
              <w:bottom w:val="single" w:sz="8" w:color="D9D9D9"/>
            </w:tcBorders>
          </w:tcPr>
          <w:p>
            <w:pPr>
              <w:spacing w:after="0"/>
              <w:rPr>
                <w:sz w:val="7"/>
                <w:szCs w:val="7"/>
                <w:color w:val="auto"/>
              </w:rPr>
            </w:pPr>
          </w:p>
        </w:tc>
        <w:tc>
          <w:tcPr>
            <w:tcW w:w="1820" w:type="dxa"/>
            <w:vAlign w:val="bottom"/>
            <w:tcBorders>
              <w:bottom w:val="single" w:sz="8" w:color="D9D9D9"/>
            </w:tcBorders>
          </w:tcPr>
          <w:p>
            <w:pPr>
              <w:spacing w:after="0"/>
              <w:rPr>
                <w:sz w:val="7"/>
                <w:szCs w:val="7"/>
                <w:color w:val="auto"/>
              </w:rPr>
            </w:pPr>
          </w:p>
        </w:tc>
        <w:tc>
          <w:tcPr>
            <w:tcW w:w="1340" w:type="dxa"/>
            <w:vAlign w:val="bottom"/>
            <w:tcBorders>
              <w:bottom w:val="single" w:sz="8" w:color="D9D9D9"/>
            </w:tcBorders>
          </w:tcPr>
          <w:p>
            <w:pPr>
              <w:spacing w:after="0"/>
              <w:rPr>
                <w:sz w:val="7"/>
                <w:szCs w:val="7"/>
                <w:color w:val="auto"/>
              </w:rPr>
            </w:pPr>
          </w:p>
        </w:tc>
        <w:tc>
          <w:tcPr>
            <w:tcW w:w="1300" w:type="dxa"/>
            <w:vAlign w:val="bottom"/>
            <w:tcBorders>
              <w:bottom w:val="single" w:sz="8" w:color="D9D9D9"/>
            </w:tcBorders>
          </w:tcPr>
          <w:p>
            <w:pPr>
              <w:spacing w:after="0"/>
              <w:rPr>
                <w:sz w:val="7"/>
                <w:szCs w:val="7"/>
                <w:color w:val="auto"/>
              </w:rPr>
            </w:pPr>
          </w:p>
        </w:tc>
        <w:tc>
          <w:tcPr>
            <w:tcW w:w="840" w:type="dxa"/>
            <w:vAlign w:val="bottom"/>
            <w:tcBorders>
              <w:bottom w:val="single" w:sz="8" w:color="D9D9D9"/>
            </w:tcBorders>
          </w:tcPr>
          <w:p>
            <w:pPr>
              <w:spacing w:after="0"/>
              <w:rPr>
                <w:sz w:val="7"/>
                <w:szCs w:val="7"/>
                <w:color w:val="auto"/>
              </w:rPr>
            </w:pPr>
          </w:p>
        </w:tc>
        <w:tc>
          <w:tcPr>
            <w:tcW w:w="20" w:type="dxa"/>
            <w:vAlign w:val="bottom"/>
            <w:tcBorders>
              <w:bottom w:val="single" w:sz="8" w:color="D9D9D9"/>
            </w:tcBorders>
          </w:tcPr>
          <w:p>
            <w:pPr>
              <w:spacing w:after="0"/>
              <w:rPr>
                <w:sz w:val="7"/>
                <w:szCs w:val="7"/>
                <w:color w:val="auto"/>
              </w:rPr>
            </w:pPr>
          </w:p>
        </w:tc>
        <w:tc>
          <w:tcPr>
            <w:tcW w:w="20" w:type="dxa"/>
            <w:vAlign w:val="bottom"/>
          </w:tcPr>
          <w:p>
            <w:pPr>
              <w:spacing w:after="0"/>
              <w:rPr>
                <w:sz w:val="7"/>
                <w:szCs w:val="7"/>
                <w:color w:val="auto"/>
              </w:rPr>
            </w:pPr>
          </w:p>
        </w:tc>
      </w:tr>
      <w:tr>
        <w:trPr>
          <w:trHeight w:val="136"/>
        </w:trPr>
        <w:tc>
          <w:tcPr>
            <w:tcW w:w="4660" w:type="dxa"/>
            <w:vAlign w:val="bottom"/>
            <w:gridSpan w:val="2"/>
          </w:tcPr>
          <w:p>
            <w:pPr>
              <w:spacing w:after="0"/>
              <w:rPr>
                <w:sz w:val="20"/>
                <w:szCs w:val="20"/>
                <w:color w:val="auto"/>
              </w:rPr>
            </w:pPr>
            <w:r>
              <w:rPr>
                <w:rFonts w:ascii="Arial" w:cs="Arial" w:eastAsia="Arial" w:hAnsi="Arial"/>
                <w:sz w:val="10"/>
                <w:szCs w:val="10"/>
                <w:color w:val="auto"/>
              </w:rPr>
              <w:t>Consolidated Balance Sheet data</w:t>
            </w:r>
          </w:p>
        </w:tc>
        <w:tc>
          <w:tcPr>
            <w:tcW w:w="13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0"/>
                <w:szCs w:val="10"/>
                <w:color w:val="auto"/>
              </w:rPr>
              <w:t>$ million</w:t>
            </w:r>
          </w:p>
        </w:tc>
      </w:tr>
      <w:tr>
        <w:trPr>
          <w:trHeight w:val="130"/>
        </w:trPr>
        <w:tc>
          <w:tcPr>
            <w:tcW w:w="20" w:type="dxa"/>
            <w:vAlign w:val="bottom"/>
            <w:tcBorders>
              <w:bottom w:val="single" w:sz="8" w:color="auto"/>
            </w:tcBorders>
          </w:tcPr>
          <w:p>
            <w:pPr>
              <w:spacing w:after="0"/>
              <w:rPr>
                <w:sz w:val="11"/>
                <w:szCs w:val="11"/>
                <w:color w:val="auto"/>
              </w:rPr>
            </w:pPr>
          </w:p>
        </w:tc>
        <w:tc>
          <w:tcPr>
            <w:tcW w:w="46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2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2019</w:t>
            </w: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2018</w:t>
            </w:r>
          </w:p>
        </w:tc>
        <w:tc>
          <w:tcPr>
            <w:tcW w:w="13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2017</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2016</w:t>
            </w:r>
          </w:p>
        </w:tc>
        <w:tc>
          <w:tcPr>
            <w:tcW w:w="20" w:type="dxa"/>
            <w:vAlign w:val="bottom"/>
          </w:tcPr>
          <w:p>
            <w:pPr>
              <w:spacing w:after="0"/>
              <w:rPr>
                <w:sz w:val="11"/>
                <w:szCs w:val="11"/>
                <w:color w:val="auto"/>
              </w:rPr>
            </w:pPr>
          </w:p>
        </w:tc>
      </w:tr>
      <w:tr>
        <w:trPr>
          <w:trHeight w:val="114"/>
        </w:trPr>
        <w:tc>
          <w:tcPr>
            <w:tcW w:w="4660" w:type="dxa"/>
            <w:vAlign w:val="bottom"/>
            <w:gridSpan w:val="2"/>
          </w:tcPr>
          <w:p>
            <w:pPr>
              <w:spacing w:after="0"/>
              <w:rPr>
                <w:sz w:val="20"/>
                <w:szCs w:val="20"/>
                <w:color w:val="auto"/>
              </w:rPr>
            </w:pPr>
            <w:r>
              <w:rPr>
                <w:rFonts w:ascii="Arial" w:cs="Arial" w:eastAsia="Arial" w:hAnsi="Arial"/>
                <w:sz w:val="10"/>
                <w:szCs w:val="10"/>
                <w:color w:val="auto"/>
              </w:rPr>
              <w:t>Total assets</w:t>
            </w:r>
          </w:p>
        </w:tc>
        <w:tc>
          <w:tcPr>
            <w:tcW w:w="13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379,268</w:t>
            </w:r>
          </w:p>
        </w:tc>
        <w:tc>
          <w:tcPr>
            <w:tcW w:w="1820" w:type="dxa"/>
            <w:vAlign w:val="bottom"/>
            <w:tcBorders>
              <w:left w:val="single" w:sz="8" w:color="D9D9D9"/>
            </w:tcBorders>
          </w:tcPr>
          <w:p>
            <w:pPr>
              <w:jc w:val="right"/>
              <w:ind w:right="472"/>
              <w:spacing w:after="0"/>
              <w:rPr>
                <w:sz w:val="20"/>
                <w:szCs w:val="20"/>
                <w:color w:val="auto"/>
              </w:rPr>
            </w:pPr>
            <w:r>
              <w:rPr>
                <w:rFonts w:ascii="Arial" w:cs="Arial" w:eastAsia="Arial" w:hAnsi="Arial"/>
                <w:sz w:val="10"/>
                <w:szCs w:val="10"/>
                <w:color w:val="auto"/>
              </w:rPr>
              <w:t>404,336</w:t>
            </w: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399,194</w:t>
            </w:r>
          </w:p>
        </w:tc>
        <w:tc>
          <w:tcPr>
            <w:tcW w:w="1300" w:type="dxa"/>
            <w:vAlign w:val="bottom"/>
          </w:tcPr>
          <w:p>
            <w:pPr>
              <w:jc w:val="right"/>
              <w:ind w:right="452"/>
              <w:spacing w:after="0"/>
              <w:rPr>
                <w:sz w:val="20"/>
                <w:szCs w:val="20"/>
                <w:color w:val="auto"/>
              </w:rPr>
            </w:pPr>
            <w:r>
              <w:rPr>
                <w:rFonts w:ascii="Arial" w:cs="Arial" w:eastAsia="Arial" w:hAnsi="Arial"/>
                <w:sz w:val="10"/>
                <w:szCs w:val="10"/>
                <w:color w:val="auto"/>
              </w:rPr>
              <w:t>407,097</w:t>
            </w:r>
          </w:p>
        </w:tc>
        <w:tc>
          <w:tcPr>
            <w:tcW w:w="840" w:type="dxa"/>
            <w:vAlign w:val="bottom"/>
          </w:tcPr>
          <w:p>
            <w:pPr>
              <w:jc w:val="right"/>
              <w:spacing w:after="0"/>
              <w:rPr>
                <w:sz w:val="20"/>
                <w:szCs w:val="20"/>
                <w:color w:val="auto"/>
              </w:rPr>
            </w:pPr>
            <w:r>
              <w:rPr>
                <w:rFonts w:ascii="Arial" w:cs="Arial" w:eastAsia="Arial" w:hAnsi="Arial"/>
                <w:sz w:val="10"/>
                <w:szCs w:val="10"/>
                <w:color w:val="auto"/>
              </w:rPr>
              <w:t>411,275</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3"/>
        </w:trPr>
        <w:tc>
          <w:tcPr>
            <w:tcW w:w="4660" w:type="dxa"/>
            <w:vAlign w:val="bottom"/>
            <w:gridSpan w:val="2"/>
          </w:tcPr>
          <w:p>
            <w:pPr>
              <w:spacing w:after="0"/>
              <w:rPr>
                <w:sz w:val="20"/>
                <w:szCs w:val="20"/>
                <w:color w:val="auto"/>
              </w:rPr>
            </w:pPr>
            <w:r>
              <w:rPr>
                <w:rFonts w:ascii="Arial" w:cs="Arial" w:eastAsia="Arial" w:hAnsi="Arial"/>
                <w:sz w:val="10"/>
                <w:szCs w:val="10"/>
                <w:color w:val="auto"/>
              </w:rPr>
              <w:t>Total debt [A]</w:t>
            </w:r>
          </w:p>
        </w:tc>
        <w:tc>
          <w:tcPr>
            <w:tcW w:w="13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108,014</w:t>
            </w:r>
          </w:p>
        </w:tc>
        <w:tc>
          <w:tcPr>
            <w:tcW w:w="1820" w:type="dxa"/>
            <w:vAlign w:val="bottom"/>
            <w:tcBorders>
              <w:left w:val="single" w:sz="8" w:color="D9D9D9"/>
            </w:tcBorders>
          </w:tcPr>
          <w:p>
            <w:pPr>
              <w:jc w:val="right"/>
              <w:ind w:right="472"/>
              <w:spacing w:after="0"/>
              <w:rPr>
                <w:sz w:val="20"/>
                <w:szCs w:val="20"/>
                <w:color w:val="auto"/>
              </w:rPr>
            </w:pPr>
            <w:r>
              <w:rPr>
                <w:rFonts w:ascii="Arial" w:cs="Arial" w:eastAsia="Arial" w:hAnsi="Arial"/>
                <w:sz w:val="10"/>
                <w:szCs w:val="10"/>
                <w:color w:val="auto"/>
              </w:rPr>
              <w:t>96,424</w:t>
            </w: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76,824</w:t>
            </w:r>
          </w:p>
        </w:tc>
        <w:tc>
          <w:tcPr>
            <w:tcW w:w="1300" w:type="dxa"/>
            <w:vAlign w:val="bottom"/>
          </w:tcPr>
          <w:p>
            <w:pPr>
              <w:jc w:val="right"/>
              <w:ind w:right="452"/>
              <w:spacing w:after="0"/>
              <w:rPr>
                <w:sz w:val="20"/>
                <w:szCs w:val="20"/>
                <w:color w:val="auto"/>
              </w:rPr>
            </w:pPr>
            <w:r>
              <w:rPr>
                <w:rFonts w:ascii="Arial" w:cs="Arial" w:eastAsia="Arial" w:hAnsi="Arial"/>
                <w:sz w:val="10"/>
                <w:szCs w:val="10"/>
                <w:color w:val="auto"/>
              </w:rPr>
              <w:t>85,665</w:t>
            </w:r>
          </w:p>
        </w:tc>
        <w:tc>
          <w:tcPr>
            <w:tcW w:w="840" w:type="dxa"/>
            <w:vAlign w:val="bottom"/>
          </w:tcPr>
          <w:p>
            <w:pPr>
              <w:jc w:val="right"/>
              <w:spacing w:after="0"/>
              <w:rPr>
                <w:sz w:val="20"/>
                <w:szCs w:val="20"/>
                <w:color w:val="auto"/>
              </w:rPr>
            </w:pPr>
            <w:r>
              <w:rPr>
                <w:rFonts w:ascii="Arial" w:cs="Arial" w:eastAsia="Arial" w:hAnsi="Arial"/>
                <w:sz w:val="10"/>
                <w:szCs w:val="10"/>
                <w:color w:val="auto"/>
              </w:rPr>
              <w:t>92,476</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4660" w:type="dxa"/>
            <w:vAlign w:val="bottom"/>
            <w:gridSpan w:val="2"/>
          </w:tcPr>
          <w:p>
            <w:pPr>
              <w:spacing w:after="0"/>
              <w:rPr>
                <w:sz w:val="20"/>
                <w:szCs w:val="20"/>
                <w:color w:val="auto"/>
              </w:rPr>
            </w:pPr>
            <w:r>
              <w:rPr>
                <w:rFonts w:ascii="Arial" w:cs="Arial" w:eastAsia="Arial" w:hAnsi="Arial"/>
                <w:sz w:val="10"/>
                <w:szCs w:val="10"/>
                <w:color w:val="auto"/>
              </w:rPr>
              <w:t>Net debt [A]</w:t>
            </w:r>
          </w:p>
        </w:tc>
        <w:tc>
          <w:tcPr>
            <w:tcW w:w="13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75,386</w:t>
            </w:r>
          </w:p>
        </w:tc>
        <w:tc>
          <w:tcPr>
            <w:tcW w:w="1820" w:type="dxa"/>
            <w:vAlign w:val="bottom"/>
            <w:tcBorders>
              <w:left w:val="single" w:sz="8" w:color="D9D9D9"/>
            </w:tcBorders>
          </w:tcPr>
          <w:p>
            <w:pPr>
              <w:jc w:val="right"/>
              <w:ind w:right="472"/>
              <w:spacing w:after="0"/>
              <w:rPr>
                <w:sz w:val="20"/>
                <w:szCs w:val="20"/>
                <w:color w:val="auto"/>
              </w:rPr>
            </w:pPr>
            <w:r>
              <w:rPr>
                <w:rFonts w:ascii="Arial" w:cs="Arial" w:eastAsia="Arial" w:hAnsi="Arial"/>
                <w:sz w:val="10"/>
                <w:szCs w:val="10"/>
                <w:color w:val="auto"/>
              </w:rPr>
              <w:t>79,093</w:t>
            </w: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51,428</w:t>
            </w:r>
          </w:p>
        </w:tc>
        <w:tc>
          <w:tcPr>
            <w:tcW w:w="1300" w:type="dxa"/>
            <w:vAlign w:val="bottom"/>
          </w:tcPr>
          <w:p>
            <w:pPr>
              <w:jc w:val="right"/>
              <w:ind w:right="452"/>
              <w:spacing w:after="0"/>
              <w:rPr>
                <w:sz w:val="20"/>
                <w:szCs w:val="20"/>
                <w:color w:val="auto"/>
              </w:rPr>
            </w:pPr>
            <w:r>
              <w:rPr>
                <w:rFonts w:ascii="Arial" w:cs="Arial" w:eastAsia="Arial" w:hAnsi="Arial"/>
                <w:sz w:val="10"/>
                <w:szCs w:val="10"/>
                <w:color w:val="auto"/>
              </w:rPr>
              <w:t>65,944</w:t>
            </w:r>
          </w:p>
        </w:tc>
        <w:tc>
          <w:tcPr>
            <w:tcW w:w="840" w:type="dxa"/>
            <w:vAlign w:val="bottom"/>
          </w:tcPr>
          <w:p>
            <w:pPr>
              <w:jc w:val="right"/>
              <w:spacing w:after="0"/>
              <w:rPr>
                <w:sz w:val="20"/>
                <w:szCs w:val="20"/>
                <w:color w:val="auto"/>
              </w:rPr>
            </w:pPr>
            <w:r>
              <w:rPr>
                <w:rFonts w:ascii="Arial" w:cs="Arial" w:eastAsia="Arial" w:hAnsi="Arial"/>
                <w:sz w:val="10"/>
                <w:szCs w:val="10"/>
                <w:color w:val="auto"/>
              </w:rPr>
              <w:t>73,346</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4660" w:type="dxa"/>
            <w:vAlign w:val="bottom"/>
            <w:gridSpan w:val="2"/>
          </w:tcPr>
          <w:p>
            <w:pPr>
              <w:spacing w:after="0"/>
              <w:rPr>
                <w:sz w:val="20"/>
                <w:szCs w:val="20"/>
                <w:color w:val="auto"/>
              </w:rPr>
            </w:pPr>
            <w:r>
              <w:rPr>
                <w:rFonts w:ascii="Arial" w:cs="Arial" w:eastAsia="Arial" w:hAnsi="Arial"/>
                <w:sz w:val="10"/>
                <w:szCs w:val="10"/>
                <w:color w:val="auto"/>
              </w:rPr>
              <w:t>Share capital</w:t>
            </w:r>
          </w:p>
        </w:tc>
        <w:tc>
          <w:tcPr>
            <w:tcW w:w="13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651</w:t>
            </w:r>
          </w:p>
        </w:tc>
        <w:tc>
          <w:tcPr>
            <w:tcW w:w="1820" w:type="dxa"/>
            <w:vAlign w:val="bottom"/>
            <w:tcBorders>
              <w:left w:val="single" w:sz="8" w:color="D9D9D9"/>
            </w:tcBorders>
          </w:tcPr>
          <w:p>
            <w:pPr>
              <w:jc w:val="right"/>
              <w:ind w:right="472"/>
              <w:spacing w:after="0"/>
              <w:rPr>
                <w:sz w:val="20"/>
                <w:szCs w:val="20"/>
                <w:color w:val="auto"/>
              </w:rPr>
            </w:pPr>
            <w:r>
              <w:rPr>
                <w:rFonts w:ascii="Arial" w:cs="Arial" w:eastAsia="Arial" w:hAnsi="Arial"/>
                <w:sz w:val="10"/>
                <w:szCs w:val="10"/>
                <w:color w:val="auto"/>
              </w:rPr>
              <w:t>657</w:t>
            </w: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685</w:t>
            </w:r>
          </w:p>
        </w:tc>
        <w:tc>
          <w:tcPr>
            <w:tcW w:w="1300" w:type="dxa"/>
            <w:vAlign w:val="bottom"/>
          </w:tcPr>
          <w:p>
            <w:pPr>
              <w:jc w:val="right"/>
              <w:ind w:right="452"/>
              <w:spacing w:after="0"/>
              <w:rPr>
                <w:sz w:val="20"/>
                <w:szCs w:val="20"/>
                <w:color w:val="auto"/>
              </w:rPr>
            </w:pPr>
            <w:r>
              <w:rPr>
                <w:rFonts w:ascii="Arial" w:cs="Arial" w:eastAsia="Arial" w:hAnsi="Arial"/>
                <w:sz w:val="10"/>
                <w:szCs w:val="10"/>
                <w:color w:val="auto"/>
              </w:rPr>
              <w:t>696</w:t>
            </w:r>
          </w:p>
        </w:tc>
        <w:tc>
          <w:tcPr>
            <w:tcW w:w="840" w:type="dxa"/>
            <w:vAlign w:val="bottom"/>
          </w:tcPr>
          <w:p>
            <w:pPr>
              <w:jc w:val="right"/>
              <w:spacing w:after="0"/>
              <w:rPr>
                <w:sz w:val="20"/>
                <w:szCs w:val="20"/>
                <w:color w:val="auto"/>
              </w:rPr>
            </w:pPr>
            <w:r>
              <w:rPr>
                <w:rFonts w:ascii="Arial" w:cs="Arial" w:eastAsia="Arial" w:hAnsi="Arial"/>
                <w:sz w:val="10"/>
                <w:szCs w:val="10"/>
                <w:color w:val="auto"/>
              </w:rPr>
              <w:t>683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4660" w:type="dxa"/>
            <w:vAlign w:val="bottom"/>
            <w:gridSpan w:val="2"/>
          </w:tcPr>
          <w:p>
            <w:pPr>
              <w:spacing w:after="0"/>
              <w:rPr>
                <w:sz w:val="20"/>
                <w:szCs w:val="20"/>
                <w:color w:val="auto"/>
              </w:rPr>
            </w:pPr>
            <w:r>
              <w:rPr>
                <w:rFonts w:ascii="Arial" w:cs="Arial" w:eastAsia="Arial" w:hAnsi="Arial"/>
                <w:sz w:val="10"/>
                <w:szCs w:val="10"/>
                <w:color w:val="auto"/>
              </w:rPr>
              <w:t>Equity attributable to Royal Dutch Shell plc shareholders</w:t>
            </w:r>
          </w:p>
        </w:tc>
        <w:tc>
          <w:tcPr>
            <w:tcW w:w="13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155,310</w:t>
            </w:r>
          </w:p>
        </w:tc>
        <w:tc>
          <w:tcPr>
            <w:tcW w:w="1820" w:type="dxa"/>
            <w:vAlign w:val="bottom"/>
            <w:tcBorders>
              <w:left w:val="single" w:sz="8" w:color="D9D9D9"/>
            </w:tcBorders>
          </w:tcPr>
          <w:p>
            <w:pPr>
              <w:jc w:val="right"/>
              <w:ind w:right="472"/>
              <w:spacing w:after="0"/>
              <w:rPr>
                <w:sz w:val="20"/>
                <w:szCs w:val="20"/>
                <w:color w:val="auto"/>
              </w:rPr>
            </w:pPr>
            <w:r>
              <w:rPr>
                <w:rFonts w:ascii="Arial" w:cs="Arial" w:eastAsia="Arial" w:hAnsi="Arial"/>
                <w:sz w:val="10"/>
                <w:szCs w:val="10"/>
                <w:color w:val="auto"/>
              </w:rPr>
              <w:t>186,476</w:t>
            </w: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198,646</w:t>
            </w:r>
          </w:p>
        </w:tc>
        <w:tc>
          <w:tcPr>
            <w:tcW w:w="1300" w:type="dxa"/>
            <w:vAlign w:val="bottom"/>
          </w:tcPr>
          <w:p>
            <w:pPr>
              <w:jc w:val="right"/>
              <w:ind w:right="452"/>
              <w:spacing w:after="0"/>
              <w:rPr>
                <w:sz w:val="20"/>
                <w:szCs w:val="20"/>
                <w:color w:val="auto"/>
              </w:rPr>
            </w:pPr>
            <w:r>
              <w:rPr>
                <w:rFonts w:ascii="Arial" w:cs="Arial" w:eastAsia="Arial" w:hAnsi="Arial"/>
                <w:sz w:val="10"/>
                <w:szCs w:val="10"/>
                <w:color w:val="auto"/>
              </w:rPr>
              <w:t>194,356</w:t>
            </w:r>
          </w:p>
        </w:tc>
        <w:tc>
          <w:tcPr>
            <w:tcW w:w="840" w:type="dxa"/>
            <w:vAlign w:val="bottom"/>
          </w:tcPr>
          <w:p>
            <w:pPr>
              <w:jc w:val="right"/>
              <w:spacing w:after="0"/>
              <w:rPr>
                <w:sz w:val="20"/>
                <w:szCs w:val="20"/>
                <w:color w:val="auto"/>
              </w:rPr>
            </w:pPr>
            <w:r>
              <w:rPr>
                <w:rFonts w:ascii="Arial" w:cs="Arial" w:eastAsia="Arial" w:hAnsi="Arial"/>
                <w:sz w:val="10"/>
                <w:szCs w:val="10"/>
                <w:color w:val="auto"/>
              </w:rPr>
              <w:t>186,646</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0"/>
        </w:trPr>
        <w:tc>
          <w:tcPr>
            <w:tcW w:w="46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Non-controlling interest</w:t>
            </w:r>
          </w:p>
        </w:tc>
        <w:tc>
          <w:tcPr>
            <w:tcW w:w="13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3,227</w:t>
            </w:r>
          </w:p>
        </w:tc>
        <w:tc>
          <w:tcPr>
            <w:tcW w:w="1820" w:type="dxa"/>
            <w:vAlign w:val="bottom"/>
            <w:tcBorders>
              <w:left w:val="single" w:sz="8" w:color="D9D9D9"/>
              <w:bottom w:val="single" w:sz="8" w:color="auto"/>
            </w:tcBorders>
          </w:tcPr>
          <w:p>
            <w:pPr>
              <w:jc w:val="right"/>
              <w:ind w:right="472"/>
              <w:spacing w:after="0"/>
              <w:rPr>
                <w:sz w:val="20"/>
                <w:szCs w:val="20"/>
                <w:color w:val="auto"/>
              </w:rPr>
            </w:pPr>
            <w:r>
              <w:rPr>
                <w:rFonts w:ascii="Arial" w:cs="Arial" w:eastAsia="Arial" w:hAnsi="Arial"/>
                <w:sz w:val="10"/>
                <w:szCs w:val="10"/>
                <w:color w:val="auto"/>
              </w:rPr>
              <w:t>3,987</w:t>
            </w: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3,888</w:t>
            </w: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3,456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1,865</w:t>
            </w: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4660" w:type="dxa"/>
            <w:vAlign w:val="bottom"/>
            <w:gridSpan w:val="2"/>
          </w:tcPr>
          <w:p>
            <w:pPr>
              <w:spacing w:after="0"/>
              <w:rPr>
                <w:sz w:val="20"/>
                <w:szCs w:val="20"/>
                <w:color w:val="auto"/>
              </w:rPr>
            </w:pPr>
            <w:r>
              <w:rPr>
                <w:rFonts w:ascii="Arial" w:cs="Arial" w:eastAsia="Arial" w:hAnsi="Arial"/>
                <w:sz w:val="7"/>
                <w:szCs w:val="7"/>
                <w:color w:val="auto"/>
              </w:rPr>
              <w:t>[A] Total debt and net debt figures for 2018 and earlier periods are on an IAS 17 basis.</w:t>
            </w:r>
          </w:p>
        </w:tc>
        <w:tc>
          <w:tcPr>
            <w:tcW w:w="1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86"/>
        </w:trPr>
        <w:tc>
          <w:tcPr>
            <w:tcW w:w="20" w:type="dxa"/>
            <w:vAlign w:val="bottom"/>
          </w:tcPr>
          <w:p>
            <w:pPr>
              <w:spacing w:after="0"/>
              <w:rPr>
                <w:sz w:val="7"/>
                <w:szCs w:val="7"/>
                <w:color w:val="auto"/>
              </w:rPr>
            </w:pPr>
          </w:p>
        </w:tc>
        <w:tc>
          <w:tcPr>
            <w:tcW w:w="4640" w:type="dxa"/>
            <w:vAlign w:val="bottom"/>
            <w:tcBorders>
              <w:bottom w:val="single" w:sz="8" w:color="D9D9D9"/>
            </w:tcBorders>
          </w:tcPr>
          <w:p>
            <w:pPr>
              <w:spacing w:after="0"/>
              <w:rPr>
                <w:sz w:val="7"/>
                <w:szCs w:val="7"/>
                <w:color w:val="auto"/>
              </w:rPr>
            </w:pPr>
          </w:p>
        </w:tc>
        <w:tc>
          <w:tcPr>
            <w:tcW w:w="1300" w:type="dxa"/>
            <w:vAlign w:val="bottom"/>
            <w:tcBorders>
              <w:bottom w:val="single" w:sz="8" w:color="D9D9D9"/>
            </w:tcBorders>
          </w:tcPr>
          <w:p>
            <w:pPr>
              <w:spacing w:after="0"/>
              <w:rPr>
                <w:sz w:val="7"/>
                <w:szCs w:val="7"/>
                <w:color w:val="auto"/>
              </w:rPr>
            </w:pPr>
          </w:p>
        </w:tc>
        <w:tc>
          <w:tcPr>
            <w:tcW w:w="1820" w:type="dxa"/>
            <w:vAlign w:val="bottom"/>
            <w:tcBorders>
              <w:bottom w:val="single" w:sz="8" w:color="D9D9D9"/>
            </w:tcBorders>
          </w:tcPr>
          <w:p>
            <w:pPr>
              <w:spacing w:after="0"/>
              <w:rPr>
                <w:sz w:val="7"/>
                <w:szCs w:val="7"/>
                <w:color w:val="auto"/>
              </w:rPr>
            </w:pPr>
          </w:p>
        </w:tc>
        <w:tc>
          <w:tcPr>
            <w:tcW w:w="1340" w:type="dxa"/>
            <w:vAlign w:val="bottom"/>
            <w:tcBorders>
              <w:bottom w:val="single" w:sz="8" w:color="D9D9D9"/>
            </w:tcBorders>
          </w:tcPr>
          <w:p>
            <w:pPr>
              <w:spacing w:after="0"/>
              <w:rPr>
                <w:sz w:val="7"/>
                <w:szCs w:val="7"/>
                <w:color w:val="auto"/>
              </w:rPr>
            </w:pPr>
          </w:p>
        </w:tc>
        <w:tc>
          <w:tcPr>
            <w:tcW w:w="1300" w:type="dxa"/>
            <w:vAlign w:val="bottom"/>
            <w:tcBorders>
              <w:bottom w:val="single" w:sz="8" w:color="D9D9D9"/>
            </w:tcBorders>
          </w:tcPr>
          <w:p>
            <w:pPr>
              <w:spacing w:after="0"/>
              <w:rPr>
                <w:sz w:val="7"/>
                <w:szCs w:val="7"/>
                <w:color w:val="auto"/>
              </w:rPr>
            </w:pPr>
          </w:p>
        </w:tc>
        <w:tc>
          <w:tcPr>
            <w:tcW w:w="840" w:type="dxa"/>
            <w:vAlign w:val="bottom"/>
            <w:tcBorders>
              <w:bottom w:val="single" w:sz="8" w:color="D9D9D9"/>
            </w:tcBorders>
          </w:tcPr>
          <w:p>
            <w:pPr>
              <w:spacing w:after="0"/>
              <w:rPr>
                <w:sz w:val="7"/>
                <w:szCs w:val="7"/>
                <w:color w:val="auto"/>
              </w:rPr>
            </w:pPr>
          </w:p>
        </w:tc>
        <w:tc>
          <w:tcPr>
            <w:tcW w:w="40" w:type="dxa"/>
            <w:vAlign w:val="bottom"/>
            <w:gridSpan w:val="2"/>
          </w:tcPr>
          <w:p>
            <w:pPr>
              <w:spacing w:after="0"/>
              <w:rPr>
                <w:sz w:val="7"/>
                <w:szCs w:val="7"/>
                <w:color w:val="auto"/>
              </w:rPr>
            </w:pPr>
          </w:p>
        </w:tc>
      </w:tr>
      <w:tr>
        <w:trPr>
          <w:trHeight w:val="136"/>
        </w:trPr>
        <w:tc>
          <w:tcPr>
            <w:tcW w:w="20" w:type="dxa"/>
            <w:vAlign w:val="bottom"/>
          </w:tcPr>
          <w:p>
            <w:pPr>
              <w:spacing w:after="0"/>
              <w:rPr>
                <w:sz w:val="11"/>
                <w:szCs w:val="11"/>
                <w:color w:val="auto"/>
              </w:rPr>
            </w:pPr>
          </w:p>
        </w:tc>
        <w:tc>
          <w:tcPr>
            <w:tcW w:w="4640" w:type="dxa"/>
            <w:vAlign w:val="bottom"/>
          </w:tcPr>
          <w:p>
            <w:pPr>
              <w:ind w:left="20"/>
              <w:spacing w:after="0"/>
              <w:rPr>
                <w:sz w:val="20"/>
                <w:szCs w:val="20"/>
                <w:color w:val="auto"/>
              </w:rPr>
            </w:pPr>
            <w:r>
              <w:rPr>
                <w:rFonts w:ascii="Arial" w:cs="Arial" w:eastAsia="Arial" w:hAnsi="Arial"/>
                <w:sz w:val="10"/>
                <w:szCs w:val="10"/>
                <w:color w:val="auto"/>
              </w:rPr>
              <w:t>Consolidated Statement of Cash Flows data [A]</w:t>
            </w:r>
          </w:p>
        </w:tc>
        <w:tc>
          <w:tcPr>
            <w:tcW w:w="13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3"/>
          </w:tcPr>
          <w:p>
            <w:pPr>
              <w:ind w:left="480"/>
              <w:spacing w:after="0"/>
              <w:rPr>
                <w:sz w:val="20"/>
                <w:szCs w:val="20"/>
                <w:color w:val="auto"/>
              </w:rPr>
            </w:pPr>
            <w:r>
              <w:rPr>
                <w:rFonts w:ascii="Arial" w:cs="Arial" w:eastAsia="Arial" w:hAnsi="Arial"/>
                <w:sz w:val="10"/>
                <w:szCs w:val="10"/>
                <w:color w:val="auto"/>
              </w:rPr>
              <w:t>$ million</w:t>
            </w:r>
          </w:p>
        </w:tc>
      </w:tr>
      <w:tr>
        <w:trPr>
          <w:trHeight w:val="130"/>
        </w:trPr>
        <w:tc>
          <w:tcPr>
            <w:tcW w:w="20" w:type="dxa"/>
            <w:vAlign w:val="bottom"/>
          </w:tcPr>
          <w:p>
            <w:pPr>
              <w:spacing w:after="0"/>
              <w:rPr>
                <w:sz w:val="11"/>
                <w:szCs w:val="11"/>
                <w:color w:val="auto"/>
              </w:rPr>
            </w:pPr>
          </w:p>
        </w:tc>
        <w:tc>
          <w:tcPr>
            <w:tcW w:w="46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2019</w:t>
            </w: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2018</w:t>
            </w: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4"/>
        </w:trPr>
        <w:tc>
          <w:tcPr>
            <w:tcW w:w="20" w:type="dxa"/>
            <w:vAlign w:val="bottom"/>
          </w:tcPr>
          <w:p>
            <w:pPr>
              <w:spacing w:after="0"/>
              <w:rPr>
                <w:sz w:val="9"/>
                <w:szCs w:val="9"/>
                <w:color w:val="auto"/>
              </w:rPr>
            </w:pPr>
          </w:p>
        </w:tc>
        <w:tc>
          <w:tcPr>
            <w:tcW w:w="4640" w:type="dxa"/>
            <w:vAlign w:val="bottom"/>
          </w:tcPr>
          <w:p>
            <w:pPr>
              <w:ind w:left="20"/>
              <w:spacing w:after="0"/>
              <w:rPr>
                <w:sz w:val="20"/>
                <w:szCs w:val="20"/>
                <w:color w:val="auto"/>
              </w:rPr>
            </w:pPr>
            <w:r>
              <w:rPr>
                <w:rFonts w:ascii="Arial" w:cs="Arial" w:eastAsia="Arial" w:hAnsi="Arial"/>
                <w:sz w:val="10"/>
                <w:szCs w:val="10"/>
                <w:color w:val="auto"/>
              </w:rPr>
              <w:t>Cash flow from operating activities</w:t>
            </w:r>
          </w:p>
        </w:tc>
        <w:tc>
          <w:tcPr>
            <w:tcW w:w="13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34,105</w:t>
            </w:r>
          </w:p>
        </w:tc>
        <w:tc>
          <w:tcPr>
            <w:tcW w:w="1820" w:type="dxa"/>
            <w:vAlign w:val="bottom"/>
          </w:tcPr>
          <w:p>
            <w:pPr>
              <w:jc w:val="right"/>
              <w:ind w:right="492"/>
              <w:spacing w:after="0"/>
              <w:rPr>
                <w:sz w:val="20"/>
                <w:szCs w:val="20"/>
                <w:color w:val="auto"/>
              </w:rPr>
            </w:pPr>
            <w:r>
              <w:rPr>
                <w:rFonts w:ascii="Arial" w:cs="Arial" w:eastAsia="Arial" w:hAnsi="Arial"/>
                <w:sz w:val="10"/>
                <w:szCs w:val="10"/>
                <w:color w:val="auto"/>
              </w:rPr>
              <w:t>42,178</w:t>
            </w:r>
          </w:p>
        </w:tc>
        <w:tc>
          <w:tcPr>
            <w:tcW w:w="1340" w:type="dxa"/>
            <w:vAlign w:val="bottom"/>
          </w:tcPr>
          <w:p>
            <w:pPr>
              <w:jc w:val="right"/>
              <w:ind w:right="492"/>
              <w:spacing w:after="0"/>
              <w:rPr>
                <w:sz w:val="20"/>
                <w:szCs w:val="20"/>
                <w:color w:val="auto"/>
              </w:rPr>
            </w:pPr>
            <w:r>
              <w:rPr>
                <w:rFonts w:ascii="Arial" w:cs="Arial" w:eastAsia="Arial" w:hAnsi="Arial"/>
                <w:sz w:val="10"/>
                <w:szCs w:val="10"/>
                <w:color w:val="auto"/>
              </w:rPr>
              <w:t>53,085</w:t>
            </w:r>
          </w:p>
        </w:tc>
        <w:tc>
          <w:tcPr>
            <w:tcW w:w="1300" w:type="dxa"/>
            <w:vAlign w:val="bottom"/>
          </w:tcPr>
          <w:p>
            <w:pPr>
              <w:jc w:val="right"/>
              <w:ind w:right="472"/>
              <w:spacing w:after="0"/>
              <w:rPr>
                <w:sz w:val="20"/>
                <w:szCs w:val="20"/>
                <w:color w:val="auto"/>
              </w:rPr>
            </w:pPr>
            <w:r>
              <w:rPr>
                <w:rFonts w:ascii="Arial" w:cs="Arial" w:eastAsia="Arial" w:hAnsi="Arial"/>
                <w:sz w:val="10"/>
                <w:szCs w:val="10"/>
                <w:color w:val="auto"/>
              </w:rPr>
              <w:t>35,650</w:t>
            </w:r>
          </w:p>
        </w:tc>
        <w:tc>
          <w:tcPr>
            <w:tcW w:w="840" w:type="dxa"/>
            <w:vAlign w:val="bottom"/>
          </w:tcPr>
          <w:p>
            <w:pPr>
              <w:jc w:val="right"/>
              <w:spacing w:after="0"/>
              <w:rPr>
                <w:sz w:val="20"/>
                <w:szCs w:val="20"/>
                <w:color w:val="auto"/>
              </w:rPr>
            </w:pPr>
            <w:r>
              <w:rPr>
                <w:rFonts w:ascii="Arial" w:cs="Arial" w:eastAsia="Arial" w:hAnsi="Arial"/>
                <w:sz w:val="10"/>
                <w:szCs w:val="10"/>
                <w:color w:val="auto"/>
              </w:rPr>
              <w:t>20,615</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3"/>
        </w:trPr>
        <w:tc>
          <w:tcPr>
            <w:tcW w:w="20" w:type="dxa"/>
            <w:vAlign w:val="bottom"/>
          </w:tcPr>
          <w:p>
            <w:pPr>
              <w:spacing w:after="0"/>
              <w:rPr>
                <w:sz w:val="10"/>
                <w:szCs w:val="10"/>
                <w:color w:val="auto"/>
              </w:rPr>
            </w:pPr>
          </w:p>
        </w:tc>
        <w:tc>
          <w:tcPr>
            <w:tcW w:w="4640" w:type="dxa"/>
            <w:vAlign w:val="bottom"/>
          </w:tcPr>
          <w:p>
            <w:pPr>
              <w:ind w:left="20"/>
              <w:spacing w:after="0"/>
              <w:rPr>
                <w:sz w:val="20"/>
                <w:szCs w:val="20"/>
                <w:color w:val="auto"/>
              </w:rPr>
            </w:pPr>
            <w:r>
              <w:rPr>
                <w:rFonts w:ascii="Arial" w:cs="Arial" w:eastAsia="Arial" w:hAnsi="Arial"/>
                <w:sz w:val="10"/>
                <w:szCs w:val="10"/>
                <w:color w:val="auto"/>
              </w:rPr>
              <w:t>Capital expenditure</w:t>
            </w:r>
          </w:p>
        </w:tc>
        <w:tc>
          <w:tcPr>
            <w:tcW w:w="13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16,585</w:t>
            </w:r>
          </w:p>
        </w:tc>
        <w:tc>
          <w:tcPr>
            <w:tcW w:w="1820" w:type="dxa"/>
            <w:vAlign w:val="bottom"/>
          </w:tcPr>
          <w:p>
            <w:pPr>
              <w:jc w:val="right"/>
              <w:ind w:right="452"/>
              <w:spacing w:after="0"/>
              <w:rPr>
                <w:sz w:val="20"/>
                <w:szCs w:val="20"/>
                <w:color w:val="auto"/>
              </w:rPr>
            </w:pPr>
            <w:r>
              <w:rPr>
                <w:rFonts w:ascii="Arial" w:cs="Arial" w:eastAsia="Arial" w:hAnsi="Arial"/>
                <w:sz w:val="10"/>
                <w:szCs w:val="10"/>
                <w:color w:val="auto"/>
              </w:rPr>
              <w:t>22,971</w:t>
            </w: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23,011</w:t>
            </w:r>
          </w:p>
        </w:tc>
        <w:tc>
          <w:tcPr>
            <w:tcW w:w="1300" w:type="dxa"/>
            <w:vAlign w:val="bottom"/>
          </w:tcPr>
          <w:p>
            <w:pPr>
              <w:jc w:val="right"/>
              <w:ind w:right="472"/>
              <w:spacing w:after="0"/>
              <w:rPr>
                <w:sz w:val="20"/>
                <w:szCs w:val="20"/>
                <w:color w:val="auto"/>
              </w:rPr>
            </w:pPr>
            <w:r>
              <w:rPr>
                <w:rFonts w:ascii="Arial" w:cs="Arial" w:eastAsia="Arial" w:hAnsi="Arial"/>
                <w:sz w:val="10"/>
                <w:szCs w:val="10"/>
                <w:color w:val="auto"/>
              </w:rPr>
              <w:t>20,845</w:t>
            </w:r>
          </w:p>
        </w:tc>
        <w:tc>
          <w:tcPr>
            <w:tcW w:w="840" w:type="dxa"/>
            <w:vAlign w:val="bottom"/>
          </w:tcPr>
          <w:p>
            <w:pPr>
              <w:jc w:val="right"/>
              <w:spacing w:after="0"/>
              <w:rPr>
                <w:sz w:val="20"/>
                <w:szCs w:val="20"/>
                <w:color w:val="auto"/>
              </w:rPr>
            </w:pPr>
            <w:r>
              <w:rPr>
                <w:rFonts w:ascii="Arial" w:cs="Arial" w:eastAsia="Arial" w:hAnsi="Arial"/>
                <w:sz w:val="10"/>
                <w:szCs w:val="10"/>
                <w:color w:val="auto"/>
              </w:rPr>
              <w:t>22,116</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4640" w:type="dxa"/>
            <w:vAlign w:val="bottom"/>
          </w:tcPr>
          <w:p>
            <w:pPr>
              <w:ind w:left="20"/>
              <w:spacing w:after="0"/>
              <w:rPr>
                <w:sz w:val="20"/>
                <w:szCs w:val="20"/>
                <w:color w:val="auto"/>
              </w:rPr>
            </w:pPr>
            <w:r>
              <w:rPr>
                <w:rFonts w:ascii="Arial" w:cs="Arial" w:eastAsia="Arial" w:hAnsi="Arial"/>
                <w:sz w:val="10"/>
                <w:szCs w:val="10"/>
                <w:color w:val="auto"/>
              </w:rPr>
              <w:t>Cash flow from investing activities</w:t>
            </w:r>
          </w:p>
        </w:tc>
        <w:tc>
          <w:tcPr>
            <w:tcW w:w="13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13,278</w:t>
            </w:r>
          </w:p>
        </w:tc>
        <w:tc>
          <w:tcPr>
            <w:tcW w:w="1820" w:type="dxa"/>
            <w:vAlign w:val="bottom"/>
          </w:tcPr>
          <w:p>
            <w:pPr>
              <w:jc w:val="right"/>
              <w:ind w:right="452"/>
              <w:spacing w:after="0"/>
              <w:rPr>
                <w:sz w:val="20"/>
                <w:szCs w:val="20"/>
                <w:color w:val="auto"/>
              </w:rPr>
            </w:pPr>
            <w:r>
              <w:rPr>
                <w:rFonts w:ascii="Arial" w:cs="Arial" w:eastAsia="Arial" w:hAnsi="Arial"/>
                <w:sz w:val="10"/>
                <w:szCs w:val="10"/>
                <w:color w:val="auto"/>
              </w:rPr>
              <w:t>15,779</w:t>
            </w: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13,659</w:t>
            </w:r>
          </w:p>
        </w:tc>
        <w:tc>
          <w:tcPr>
            <w:tcW w:w="1300" w:type="dxa"/>
            <w:vAlign w:val="bottom"/>
          </w:tcPr>
          <w:p>
            <w:pPr>
              <w:jc w:val="right"/>
              <w:ind w:right="472"/>
              <w:spacing w:after="0"/>
              <w:rPr>
                <w:sz w:val="20"/>
                <w:szCs w:val="20"/>
                <w:color w:val="auto"/>
              </w:rPr>
            </w:pPr>
            <w:r>
              <w:rPr>
                <w:rFonts w:ascii="Arial" w:cs="Arial" w:eastAsia="Arial" w:hAnsi="Arial"/>
                <w:sz w:val="10"/>
                <w:szCs w:val="10"/>
                <w:color w:val="auto"/>
              </w:rPr>
              <w:t>8,029</w:t>
            </w:r>
          </w:p>
        </w:tc>
        <w:tc>
          <w:tcPr>
            <w:tcW w:w="840" w:type="dxa"/>
            <w:vAlign w:val="bottom"/>
          </w:tcPr>
          <w:p>
            <w:pPr>
              <w:jc w:val="right"/>
              <w:spacing w:after="0"/>
              <w:rPr>
                <w:sz w:val="20"/>
                <w:szCs w:val="20"/>
                <w:color w:val="auto"/>
              </w:rPr>
            </w:pPr>
            <w:r>
              <w:rPr>
                <w:rFonts w:ascii="Arial" w:cs="Arial" w:eastAsia="Arial" w:hAnsi="Arial"/>
                <w:sz w:val="10"/>
                <w:szCs w:val="10"/>
                <w:color w:val="auto"/>
              </w:rPr>
              <w:t>30,963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4640" w:type="dxa"/>
            <w:vAlign w:val="bottom"/>
          </w:tcPr>
          <w:p>
            <w:pPr>
              <w:ind w:left="20"/>
              <w:spacing w:after="0"/>
              <w:rPr>
                <w:sz w:val="20"/>
                <w:szCs w:val="20"/>
                <w:color w:val="auto"/>
              </w:rPr>
            </w:pPr>
            <w:r>
              <w:rPr>
                <w:rFonts w:ascii="Arial" w:cs="Arial" w:eastAsia="Arial" w:hAnsi="Arial"/>
                <w:sz w:val="10"/>
                <w:szCs w:val="10"/>
                <w:color w:val="auto"/>
              </w:rPr>
              <w:t>Cash dividends paid to Royal Dutch Shell plc shareholders</w:t>
            </w:r>
          </w:p>
        </w:tc>
        <w:tc>
          <w:tcPr>
            <w:tcW w:w="13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7,424</w:t>
            </w:r>
          </w:p>
        </w:tc>
        <w:tc>
          <w:tcPr>
            <w:tcW w:w="1820" w:type="dxa"/>
            <w:vAlign w:val="bottom"/>
          </w:tcPr>
          <w:p>
            <w:pPr>
              <w:jc w:val="right"/>
              <w:ind w:right="452"/>
              <w:spacing w:after="0"/>
              <w:rPr>
                <w:sz w:val="20"/>
                <w:szCs w:val="20"/>
                <w:color w:val="auto"/>
              </w:rPr>
            </w:pPr>
            <w:r>
              <w:rPr>
                <w:rFonts w:ascii="Arial" w:cs="Arial" w:eastAsia="Arial" w:hAnsi="Arial"/>
                <w:sz w:val="10"/>
                <w:szCs w:val="10"/>
                <w:color w:val="auto"/>
              </w:rPr>
              <w:t>15,198</w:t>
            </w: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15,675</w:t>
            </w:r>
          </w:p>
        </w:tc>
        <w:tc>
          <w:tcPr>
            <w:tcW w:w="1300" w:type="dxa"/>
            <w:vAlign w:val="bottom"/>
          </w:tcPr>
          <w:p>
            <w:pPr>
              <w:jc w:val="right"/>
              <w:ind w:right="472"/>
              <w:spacing w:after="0"/>
              <w:rPr>
                <w:sz w:val="20"/>
                <w:szCs w:val="20"/>
                <w:color w:val="auto"/>
              </w:rPr>
            </w:pPr>
            <w:r>
              <w:rPr>
                <w:rFonts w:ascii="Arial" w:cs="Arial" w:eastAsia="Arial" w:hAnsi="Arial"/>
                <w:sz w:val="10"/>
                <w:szCs w:val="10"/>
                <w:color w:val="auto"/>
              </w:rPr>
              <w:t>10,877</w:t>
            </w:r>
          </w:p>
        </w:tc>
        <w:tc>
          <w:tcPr>
            <w:tcW w:w="840" w:type="dxa"/>
            <w:vAlign w:val="bottom"/>
          </w:tcPr>
          <w:p>
            <w:pPr>
              <w:jc w:val="right"/>
              <w:spacing w:after="0"/>
              <w:rPr>
                <w:sz w:val="20"/>
                <w:szCs w:val="20"/>
                <w:color w:val="auto"/>
              </w:rPr>
            </w:pPr>
            <w:r>
              <w:rPr>
                <w:rFonts w:ascii="Arial" w:cs="Arial" w:eastAsia="Arial" w:hAnsi="Arial"/>
                <w:sz w:val="10"/>
                <w:szCs w:val="10"/>
                <w:color w:val="auto"/>
              </w:rPr>
              <w:t>9,677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0"/>
        </w:trPr>
        <w:tc>
          <w:tcPr>
            <w:tcW w:w="20" w:type="dxa"/>
            <w:vAlign w:val="bottom"/>
          </w:tcPr>
          <w:p>
            <w:pPr>
              <w:spacing w:after="0"/>
              <w:rPr>
                <w:sz w:val="11"/>
                <w:szCs w:val="11"/>
                <w:color w:val="auto"/>
              </w:rPr>
            </w:pP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Repurchases of shares</w:t>
            </w:r>
          </w:p>
        </w:tc>
        <w:tc>
          <w:tcPr>
            <w:tcW w:w="13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1,702</w:t>
            </w:r>
          </w:p>
        </w:tc>
        <w:tc>
          <w:tcPr>
            <w:tcW w:w="18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10,188</w:t>
            </w: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3,947</w:t>
            </w: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gridSpan w:val="2"/>
          </w:tcPr>
          <w:p>
            <w:pPr>
              <w:spacing w:after="0"/>
              <w:rPr>
                <w:sz w:val="11"/>
                <w:szCs w:val="11"/>
                <w:color w:val="auto"/>
              </w:rPr>
            </w:pPr>
          </w:p>
        </w:tc>
      </w:tr>
      <w:tr>
        <w:trPr>
          <w:trHeight w:val="139"/>
        </w:trPr>
        <w:tc>
          <w:tcPr>
            <w:tcW w:w="4660" w:type="dxa"/>
            <w:vAlign w:val="bottom"/>
            <w:gridSpan w:val="2"/>
          </w:tcPr>
          <w:p>
            <w:pPr>
              <w:spacing w:after="0"/>
              <w:rPr>
                <w:sz w:val="20"/>
                <w:szCs w:val="20"/>
                <w:color w:val="auto"/>
              </w:rPr>
            </w:pPr>
            <w:r>
              <w:rPr>
                <w:rFonts w:ascii="Arial" w:cs="Arial" w:eastAsia="Arial" w:hAnsi="Arial"/>
                <w:sz w:val="7"/>
                <w:szCs w:val="7"/>
                <w:color w:val="auto"/>
              </w:rPr>
              <w:t>[A] With the exception of Cash flow from operating activities, which are cash inflows, all other items are cash outflows.</w:t>
            </w:r>
          </w:p>
        </w:tc>
        <w:tc>
          <w:tcPr>
            <w:tcW w:w="1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95"/>
        </w:trPr>
        <w:tc>
          <w:tcPr>
            <w:tcW w:w="4660" w:type="dxa"/>
            <w:vAlign w:val="bottom"/>
            <w:tcBorders>
              <w:bottom w:val="single" w:sz="8" w:color="D9D9D9"/>
            </w:tcBorders>
            <w:gridSpan w:val="2"/>
          </w:tcPr>
          <w:p>
            <w:pPr>
              <w:spacing w:after="0"/>
              <w:rPr>
                <w:sz w:val="8"/>
                <w:szCs w:val="8"/>
                <w:color w:val="auto"/>
              </w:rPr>
            </w:pPr>
          </w:p>
        </w:tc>
        <w:tc>
          <w:tcPr>
            <w:tcW w:w="1300" w:type="dxa"/>
            <w:vAlign w:val="bottom"/>
            <w:tcBorders>
              <w:bottom w:val="single" w:sz="8" w:color="D9D9D9"/>
            </w:tcBorders>
          </w:tcPr>
          <w:p>
            <w:pPr>
              <w:spacing w:after="0"/>
              <w:rPr>
                <w:sz w:val="8"/>
                <w:szCs w:val="8"/>
                <w:color w:val="auto"/>
              </w:rPr>
            </w:pPr>
          </w:p>
        </w:tc>
        <w:tc>
          <w:tcPr>
            <w:tcW w:w="1820" w:type="dxa"/>
            <w:vAlign w:val="bottom"/>
            <w:tcBorders>
              <w:bottom w:val="single" w:sz="8" w:color="D9D9D9"/>
            </w:tcBorders>
          </w:tcPr>
          <w:p>
            <w:pPr>
              <w:spacing w:after="0"/>
              <w:rPr>
                <w:sz w:val="8"/>
                <w:szCs w:val="8"/>
                <w:color w:val="auto"/>
              </w:rPr>
            </w:pPr>
          </w:p>
        </w:tc>
        <w:tc>
          <w:tcPr>
            <w:tcW w:w="1340" w:type="dxa"/>
            <w:vAlign w:val="bottom"/>
            <w:tcBorders>
              <w:bottom w:val="single" w:sz="8" w:color="D9D9D9"/>
            </w:tcBorders>
          </w:tcPr>
          <w:p>
            <w:pPr>
              <w:spacing w:after="0"/>
              <w:rPr>
                <w:sz w:val="8"/>
                <w:szCs w:val="8"/>
                <w:color w:val="auto"/>
              </w:rPr>
            </w:pPr>
          </w:p>
        </w:tc>
        <w:tc>
          <w:tcPr>
            <w:tcW w:w="1300" w:type="dxa"/>
            <w:vAlign w:val="bottom"/>
            <w:tcBorders>
              <w:bottom w:val="single" w:sz="8" w:color="D9D9D9"/>
            </w:tcBorders>
          </w:tcPr>
          <w:p>
            <w:pPr>
              <w:spacing w:after="0"/>
              <w:rPr>
                <w:sz w:val="8"/>
                <w:szCs w:val="8"/>
                <w:color w:val="auto"/>
              </w:rPr>
            </w:pPr>
          </w:p>
        </w:tc>
        <w:tc>
          <w:tcPr>
            <w:tcW w:w="860" w:type="dxa"/>
            <w:vAlign w:val="bottom"/>
            <w:tcBorders>
              <w:bottom w:val="single" w:sz="8" w:color="D9D9D9"/>
            </w:tcBorders>
            <w:gridSpan w:val="2"/>
          </w:tcPr>
          <w:p>
            <w:pPr>
              <w:spacing w:after="0"/>
              <w:rPr>
                <w:sz w:val="8"/>
                <w:szCs w:val="8"/>
                <w:color w:val="auto"/>
              </w:rPr>
            </w:pPr>
          </w:p>
        </w:tc>
        <w:tc>
          <w:tcPr>
            <w:tcW w:w="20" w:type="dxa"/>
            <w:vAlign w:val="bottom"/>
          </w:tcPr>
          <w:p>
            <w:pPr>
              <w:spacing w:after="0"/>
              <w:rPr>
                <w:sz w:val="8"/>
                <w:szCs w:val="8"/>
                <w:color w:val="auto"/>
              </w:rPr>
            </w:pPr>
          </w:p>
        </w:tc>
      </w:tr>
      <w:tr>
        <w:trPr>
          <w:trHeight w:val="136"/>
        </w:trPr>
        <w:tc>
          <w:tcPr>
            <w:tcW w:w="4660" w:type="dxa"/>
            <w:vAlign w:val="bottom"/>
            <w:gridSpan w:val="2"/>
          </w:tcPr>
          <w:p>
            <w:pPr>
              <w:spacing w:after="0"/>
              <w:rPr>
                <w:sz w:val="20"/>
                <w:szCs w:val="20"/>
                <w:color w:val="auto"/>
              </w:rPr>
            </w:pPr>
            <w:r>
              <w:rPr>
                <w:rFonts w:ascii="Arial" w:cs="Arial" w:eastAsia="Arial" w:hAnsi="Arial"/>
                <w:sz w:val="10"/>
                <w:szCs w:val="10"/>
                <w:color w:val="auto"/>
              </w:rPr>
              <w:t>Earnings per share</w:t>
            </w:r>
          </w:p>
        </w:tc>
        <w:tc>
          <w:tcPr>
            <w:tcW w:w="13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r>
      <w:tr>
        <w:trPr>
          <w:trHeight w:val="130"/>
        </w:trPr>
        <w:tc>
          <w:tcPr>
            <w:tcW w:w="20" w:type="dxa"/>
            <w:vAlign w:val="bottom"/>
            <w:tcBorders>
              <w:bottom w:val="single" w:sz="8" w:color="auto"/>
            </w:tcBorders>
          </w:tcPr>
          <w:p>
            <w:pPr>
              <w:spacing w:after="0"/>
              <w:rPr>
                <w:sz w:val="11"/>
                <w:szCs w:val="11"/>
                <w:color w:val="auto"/>
              </w:rPr>
            </w:pPr>
          </w:p>
        </w:tc>
        <w:tc>
          <w:tcPr>
            <w:tcW w:w="46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2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2019</w:t>
            </w: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2018</w:t>
            </w:r>
          </w:p>
        </w:tc>
        <w:tc>
          <w:tcPr>
            <w:tcW w:w="13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2017</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2016</w:t>
            </w:r>
          </w:p>
        </w:tc>
        <w:tc>
          <w:tcPr>
            <w:tcW w:w="20" w:type="dxa"/>
            <w:vAlign w:val="bottom"/>
          </w:tcPr>
          <w:p>
            <w:pPr>
              <w:spacing w:after="0"/>
              <w:rPr>
                <w:sz w:val="11"/>
                <w:szCs w:val="11"/>
                <w:color w:val="auto"/>
              </w:rPr>
            </w:pPr>
          </w:p>
        </w:tc>
      </w:tr>
      <w:tr>
        <w:trPr>
          <w:trHeight w:val="114"/>
        </w:trPr>
        <w:tc>
          <w:tcPr>
            <w:tcW w:w="4660" w:type="dxa"/>
            <w:vAlign w:val="bottom"/>
            <w:gridSpan w:val="2"/>
          </w:tcPr>
          <w:p>
            <w:pPr>
              <w:spacing w:after="0"/>
              <w:rPr>
                <w:sz w:val="20"/>
                <w:szCs w:val="20"/>
                <w:color w:val="auto"/>
              </w:rPr>
            </w:pPr>
            <w:r>
              <w:rPr>
                <w:rFonts w:ascii="Arial" w:cs="Arial" w:eastAsia="Arial" w:hAnsi="Arial"/>
                <w:sz w:val="10"/>
                <w:szCs w:val="10"/>
                <w:color w:val="auto"/>
              </w:rPr>
              <w:t>Basic earnings per €0.07 ordinary share</w:t>
            </w:r>
          </w:p>
        </w:tc>
        <w:tc>
          <w:tcPr>
            <w:tcW w:w="13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(2.78)</w:t>
            </w:r>
          </w:p>
        </w:tc>
        <w:tc>
          <w:tcPr>
            <w:tcW w:w="1820" w:type="dxa"/>
            <w:vAlign w:val="bottom"/>
            <w:tcBorders>
              <w:left w:val="single" w:sz="8" w:color="D9D9D9"/>
            </w:tcBorders>
          </w:tcPr>
          <w:p>
            <w:pPr>
              <w:jc w:val="right"/>
              <w:ind w:right="472"/>
              <w:spacing w:after="0"/>
              <w:rPr>
                <w:sz w:val="20"/>
                <w:szCs w:val="20"/>
                <w:color w:val="auto"/>
              </w:rPr>
            </w:pPr>
            <w:r>
              <w:rPr>
                <w:rFonts w:ascii="Arial" w:cs="Arial" w:eastAsia="Arial" w:hAnsi="Arial"/>
                <w:sz w:val="10"/>
                <w:szCs w:val="10"/>
                <w:color w:val="auto"/>
              </w:rPr>
              <w:t>1.97</w:t>
            </w: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2.82</w:t>
            </w:r>
          </w:p>
        </w:tc>
        <w:tc>
          <w:tcPr>
            <w:tcW w:w="1300" w:type="dxa"/>
            <w:vAlign w:val="bottom"/>
          </w:tcPr>
          <w:p>
            <w:pPr>
              <w:jc w:val="right"/>
              <w:ind w:right="452"/>
              <w:spacing w:after="0"/>
              <w:rPr>
                <w:sz w:val="20"/>
                <w:szCs w:val="20"/>
                <w:color w:val="auto"/>
              </w:rPr>
            </w:pPr>
            <w:r>
              <w:rPr>
                <w:rFonts w:ascii="Arial" w:cs="Arial" w:eastAsia="Arial" w:hAnsi="Arial"/>
                <w:sz w:val="10"/>
                <w:szCs w:val="10"/>
                <w:color w:val="auto"/>
              </w:rPr>
              <w:t>1.58</w:t>
            </w:r>
          </w:p>
        </w:tc>
        <w:tc>
          <w:tcPr>
            <w:tcW w:w="840" w:type="dxa"/>
            <w:vAlign w:val="bottom"/>
          </w:tcPr>
          <w:p>
            <w:pPr>
              <w:jc w:val="right"/>
              <w:spacing w:after="0"/>
              <w:rPr>
                <w:sz w:val="20"/>
                <w:szCs w:val="20"/>
                <w:color w:val="auto"/>
              </w:rPr>
            </w:pPr>
            <w:r>
              <w:rPr>
                <w:rFonts w:ascii="Arial" w:cs="Arial" w:eastAsia="Arial" w:hAnsi="Arial"/>
                <w:sz w:val="10"/>
                <w:szCs w:val="10"/>
                <w:color w:val="auto"/>
              </w:rPr>
              <w:t>0.58</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7"/>
        </w:trPr>
        <w:tc>
          <w:tcPr>
            <w:tcW w:w="46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Diluted earnings per €0.07 ordinary share</w:t>
            </w:r>
          </w:p>
        </w:tc>
        <w:tc>
          <w:tcPr>
            <w:tcW w:w="13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(2.78)</w:t>
            </w:r>
          </w:p>
        </w:tc>
        <w:tc>
          <w:tcPr>
            <w:tcW w:w="1820" w:type="dxa"/>
            <w:vAlign w:val="bottom"/>
            <w:tcBorders>
              <w:left w:val="single" w:sz="8" w:color="D9D9D9"/>
              <w:bottom w:val="single" w:sz="8" w:color="auto"/>
            </w:tcBorders>
          </w:tcPr>
          <w:p>
            <w:pPr>
              <w:jc w:val="right"/>
              <w:ind w:right="472"/>
              <w:spacing w:after="0"/>
              <w:rPr>
                <w:sz w:val="20"/>
                <w:szCs w:val="20"/>
                <w:color w:val="auto"/>
              </w:rPr>
            </w:pPr>
            <w:r>
              <w:rPr>
                <w:rFonts w:ascii="Arial" w:cs="Arial" w:eastAsia="Arial" w:hAnsi="Arial"/>
                <w:sz w:val="10"/>
                <w:szCs w:val="10"/>
                <w:color w:val="auto"/>
              </w:rPr>
              <w:t>1.95</w:t>
            </w: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2.80</w:t>
            </w: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1.56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0.58</w:t>
            </w: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20"/>
              <w:spacing w:after="0"/>
              <w:rPr>
                <w:sz w:val="20"/>
                <w:szCs w:val="20"/>
                <w:color w:val="auto"/>
              </w:rPr>
            </w:pPr>
            <w:r>
              <w:rPr>
                <w:rFonts w:ascii="Arial" w:cs="Arial" w:eastAsia="Arial" w:hAnsi="Arial"/>
                <w:sz w:val="10"/>
                <w:szCs w:val="10"/>
                <w:color w:val="auto"/>
              </w:rPr>
              <w:t>Dividend per share</w:t>
            </w:r>
          </w:p>
        </w:tc>
        <w:tc>
          <w:tcPr>
            <w:tcW w:w="1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0"/>
        </w:trPr>
        <w:tc>
          <w:tcPr>
            <w:tcW w:w="20" w:type="dxa"/>
            <w:vAlign w:val="bottom"/>
          </w:tcPr>
          <w:p>
            <w:pPr>
              <w:spacing w:after="0"/>
              <w:rPr>
                <w:sz w:val="11"/>
                <w:szCs w:val="11"/>
                <w:color w:val="auto"/>
              </w:rPr>
            </w:pPr>
          </w:p>
        </w:tc>
        <w:tc>
          <w:tcPr>
            <w:tcW w:w="46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2019</w:t>
            </w: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2018</w:t>
            </w: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7"/>
        </w:trPr>
        <w:tc>
          <w:tcPr>
            <w:tcW w:w="20" w:type="dxa"/>
            <w:vAlign w:val="bottom"/>
          </w:tcPr>
          <w:p>
            <w:pPr>
              <w:spacing w:after="0"/>
              <w:rPr>
                <w:sz w:val="10"/>
                <w:szCs w:val="10"/>
                <w:color w:val="auto"/>
              </w:rPr>
            </w:pP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Dividend per share</w:t>
            </w:r>
          </w:p>
        </w:tc>
        <w:tc>
          <w:tcPr>
            <w:tcW w:w="13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0.65</w:t>
            </w: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1.88</w:t>
            </w:r>
          </w:p>
        </w:tc>
        <w:tc>
          <w:tcPr>
            <w:tcW w:w="134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1.88</w:t>
            </w: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1.88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88"/>
        </w:trPr>
        <w:tc>
          <w:tcPr>
            <w:tcW w:w="4660" w:type="dxa"/>
            <w:vAlign w:val="bottom"/>
            <w:tcBorders>
              <w:bottom w:val="single" w:sz="8" w:color="D9D9D9"/>
            </w:tcBorders>
            <w:gridSpan w:val="2"/>
          </w:tcPr>
          <w:p>
            <w:pPr>
              <w:spacing w:after="0"/>
              <w:rPr>
                <w:sz w:val="7"/>
                <w:szCs w:val="7"/>
                <w:color w:val="auto"/>
              </w:rPr>
            </w:pPr>
          </w:p>
        </w:tc>
        <w:tc>
          <w:tcPr>
            <w:tcW w:w="1300" w:type="dxa"/>
            <w:vAlign w:val="bottom"/>
            <w:tcBorders>
              <w:bottom w:val="single" w:sz="8" w:color="D9D9D9"/>
            </w:tcBorders>
          </w:tcPr>
          <w:p>
            <w:pPr>
              <w:spacing w:after="0"/>
              <w:rPr>
                <w:sz w:val="7"/>
                <w:szCs w:val="7"/>
                <w:color w:val="auto"/>
              </w:rPr>
            </w:pPr>
          </w:p>
        </w:tc>
        <w:tc>
          <w:tcPr>
            <w:tcW w:w="1820" w:type="dxa"/>
            <w:vAlign w:val="bottom"/>
            <w:tcBorders>
              <w:bottom w:val="single" w:sz="8" w:color="D9D9D9"/>
            </w:tcBorders>
          </w:tcPr>
          <w:p>
            <w:pPr>
              <w:spacing w:after="0"/>
              <w:rPr>
                <w:sz w:val="7"/>
                <w:szCs w:val="7"/>
                <w:color w:val="auto"/>
              </w:rPr>
            </w:pPr>
          </w:p>
        </w:tc>
        <w:tc>
          <w:tcPr>
            <w:tcW w:w="1340" w:type="dxa"/>
            <w:vAlign w:val="bottom"/>
            <w:tcBorders>
              <w:bottom w:val="single" w:sz="8" w:color="D9D9D9"/>
            </w:tcBorders>
          </w:tcPr>
          <w:p>
            <w:pPr>
              <w:spacing w:after="0"/>
              <w:rPr>
                <w:sz w:val="7"/>
                <w:szCs w:val="7"/>
                <w:color w:val="auto"/>
              </w:rPr>
            </w:pPr>
          </w:p>
        </w:tc>
        <w:tc>
          <w:tcPr>
            <w:tcW w:w="1300" w:type="dxa"/>
            <w:vAlign w:val="bottom"/>
            <w:tcBorders>
              <w:bottom w:val="single" w:sz="8" w:color="D9D9D9"/>
            </w:tcBorders>
          </w:tcPr>
          <w:p>
            <w:pPr>
              <w:spacing w:after="0"/>
              <w:rPr>
                <w:sz w:val="7"/>
                <w:szCs w:val="7"/>
                <w:color w:val="auto"/>
              </w:rPr>
            </w:pPr>
          </w:p>
        </w:tc>
        <w:tc>
          <w:tcPr>
            <w:tcW w:w="860" w:type="dxa"/>
            <w:vAlign w:val="bottom"/>
            <w:tcBorders>
              <w:bottom w:val="single" w:sz="8" w:color="D9D9D9"/>
            </w:tcBorders>
            <w:gridSpan w:val="2"/>
          </w:tcPr>
          <w:p>
            <w:pPr>
              <w:spacing w:after="0"/>
              <w:rPr>
                <w:sz w:val="7"/>
                <w:szCs w:val="7"/>
                <w:color w:val="auto"/>
              </w:rPr>
            </w:pPr>
          </w:p>
        </w:tc>
        <w:tc>
          <w:tcPr>
            <w:tcW w:w="20" w:type="dxa"/>
            <w:vAlign w:val="bottom"/>
          </w:tcPr>
          <w:p>
            <w:pPr>
              <w:spacing w:after="0"/>
              <w:rPr>
                <w:sz w:val="7"/>
                <w:szCs w:val="7"/>
                <w:color w:val="auto"/>
              </w:rPr>
            </w:pPr>
          </w:p>
        </w:tc>
      </w:tr>
      <w:tr>
        <w:trPr>
          <w:trHeight w:val="136"/>
        </w:trPr>
        <w:tc>
          <w:tcPr>
            <w:tcW w:w="4660" w:type="dxa"/>
            <w:vAlign w:val="bottom"/>
            <w:gridSpan w:val="2"/>
          </w:tcPr>
          <w:p>
            <w:pPr>
              <w:spacing w:after="0"/>
              <w:rPr>
                <w:sz w:val="20"/>
                <w:szCs w:val="20"/>
                <w:color w:val="auto"/>
              </w:rPr>
            </w:pPr>
            <w:r>
              <w:rPr>
                <w:rFonts w:ascii="Arial" w:cs="Arial" w:eastAsia="Arial" w:hAnsi="Arial"/>
                <w:sz w:val="10"/>
                <w:szCs w:val="10"/>
                <w:color w:val="auto"/>
              </w:rPr>
              <w:t>Shares</w:t>
            </w:r>
          </w:p>
        </w:tc>
        <w:tc>
          <w:tcPr>
            <w:tcW w:w="13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0"/>
                <w:szCs w:val="10"/>
                <w:color w:val="auto"/>
              </w:rPr>
              <w:t>Million</w:t>
            </w:r>
          </w:p>
        </w:tc>
      </w:tr>
      <w:tr>
        <w:trPr>
          <w:trHeight w:val="130"/>
        </w:trPr>
        <w:tc>
          <w:tcPr>
            <w:tcW w:w="20" w:type="dxa"/>
            <w:vAlign w:val="bottom"/>
            <w:tcBorders>
              <w:bottom w:val="single" w:sz="8" w:color="auto"/>
            </w:tcBorders>
          </w:tcPr>
          <w:p>
            <w:pPr>
              <w:spacing w:after="0"/>
              <w:rPr>
                <w:sz w:val="11"/>
                <w:szCs w:val="11"/>
                <w:color w:val="auto"/>
              </w:rPr>
            </w:pPr>
          </w:p>
        </w:tc>
        <w:tc>
          <w:tcPr>
            <w:tcW w:w="46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2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2019</w:t>
            </w: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2018</w:t>
            </w:r>
          </w:p>
        </w:tc>
        <w:tc>
          <w:tcPr>
            <w:tcW w:w="13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2017</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2016</w:t>
            </w:r>
          </w:p>
        </w:tc>
        <w:tc>
          <w:tcPr>
            <w:tcW w:w="20" w:type="dxa"/>
            <w:vAlign w:val="bottom"/>
          </w:tcPr>
          <w:p>
            <w:pPr>
              <w:spacing w:after="0"/>
              <w:rPr>
                <w:sz w:val="11"/>
                <w:szCs w:val="11"/>
                <w:color w:val="auto"/>
              </w:rPr>
            </w:pPr>
          </w:p>
        </w:tc>
      </w:tr>
      <w:tr>
        <w:trPr>
          <w:trHeight w:val="114"/>
        </w:trPr>
        <w:tc>
          <w:tcPr>
            <w:tcW w:w="4660" w:type="dxa"/>
            <w:vAlign w:val="bottom"/>
            <w:gridSpan w:val="2"/>
          </w:tcPr>
          <w:p>
            <w:pPr>
              <w:spacing w:after="0"/>
              <w:rPr>
                <w:sz w:val="20"/>
                <w:szCs w:val="20"/>
                <w:color w:val="auto"/>
              </w:rPr>
            </w:pPr>
            <w:r>
              <w:rPr>
                <w:rFonts w:ascii="Arial" w:cs="Arial" w:eastAsia="Arial" w:hAnsi="Arial"/>
                <w:sz w:val="10"/>
                <w:szCs w:val="10"/>
                <w:color w:val="auto"/>
              </w:rPr>
              <w:t>Basic weighted average number of A and B shares</w:t>
            </w:r>
          </w:p>
        </w:tc>
        <w:tc>
          <w:tcPr>
            <w:tcW w:w="13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7,795.6</w:t>
            </w:r>
          </w:p>
        </w:tc>
        <w:tc>
          <w:tcPr>
            <w:tcW w:w="1820" w:type="dxa"/>
            <w:vAlign w:val="bottom"/>
            <w:tcBorders>
              <w:left w:val="single" w:sz="8" w:color="D9D9D9"/>
            </w:tcBorders>
          </w:tcPr>
          <w:p>
            <w:pPr>
              <w:jc w:val="right"/>
              <w:ind w:right="472"/>
              <w:spacing w:after="0"/>
              <w:rPr>
                <w:sz w:val="20"/>
                <w:szCs w:val="20"/>
                <w:color w:val="auto"/>
              </w:rPr>
            </w:pPr>
            <w:r>
              <w:rPr>
                <w:rFonts w:ascii="Arial" w:cs="Arial" w:eastAsia="Arial" w:hAnsi="Arial"/>
                <w:sz w:val="10"/>
                <w:szCs w:val="10"/>
                <w:color w:val="auto"/>
              </w:rPr>
              <w:t>8,058.3</w:t>
            </w: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8,282.8</w:t>
            </w:r>
          </w:p>
        </w:tc>
        <w:tc>
          <w:tcPr>
            <w:tcW w:w="1300" w:type="dxa"/>
            <w:vAlign w:val="bottom"/>
          </w:tcPr>
          <w:p>
            <w:pPr>
              <w:jc w:val="right"/>
              <w:ind w:right="452"/>
              <w:spacing w:after="0"/>
              <w:rPr>
                <w:sz w:val="20"/>
                <w:szCs w:val="20"/>
                <w:color w:val="auto"/>
              </w:rPr>
            </w:pPr>
            <w:r>
              <w:rPr>
                <w:rFonts w:ascii="Arial" w:cs="Arial" w:eastAsia="Arial" w:hAnsi="Arial"/>
                <w:sz w:val="10"/>
                <w:szCs w:val="10"/>
                <w:color w:val="auto"/>
              </w:rPr>
              <w:t>8,223.4</w:t>
            </w:r>
          </w:p>
        </w:tc>
        <w:tc>
          <w:tcPr>
            <w:tcW w:w="840" w:type="dxa"/>
            <w:vAlign w:val="bottom"/>
          </w:tcPr>
          <w:p>
            <w:pPr>
              <w:jc w:val="right"/>
              <w:spacing w:after="0"/>
              <w:rPr>
                <w:sz w:val="20"/>
                <w:szCs w:val="20"/>
                <w:color w:val="auto"/>
              </w:rPr>
            </w:pPr>
            <w:r>
              <w:rPr>
                <w:rFonts w:ascii="Arial" w:cs="Arial" w:eastAsia="Arial" w:hAnsi="Arial"/>
                <w:sz w:val="10"/>
                <w:szCs w:val="10"/>
                <w:color w:val="auto"/>
              </w:rPr>
              <w:t>7,833.7</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7"/>
        </w:trPr>
        <w:tc>
          <w:tcPr>
            <w:tcW w:w="46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Diluted weighted average number of A and B shares</w:t>
            </w:r>
          </w:p>
        </w:tc>
        <w:tc>
          <w:tcPr>
            <w:tcW w:w="13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7,795.6</w:t>
            </w:r>
          </w:p>
        </w:tc>
        <w:tc>
          <w:tcPr>
            <w:tcW w:w="1820" w:type="dxa"/>
            <w:vAlign w:val="bottom"/>
            <w:tcBorders>
              <w:left w:val="single" w:sz="8" w:color="D9D9D9"/>
              <w:bottom w:val="single" w:sz="8" w:color="auto"/>
            </w:tcBorders>
          </w:tcPr>
          <w:p>
            <w:pPr>
              <w:jc w:val="right"/>
              <w:ind w:right="472"/>
              <w:spacing w:after="0"/>
              <w:rPr>
                <w:sz w:val="20"/>
                <w:szCs w:val="20"/>
                <w:color w:val="auto"/>
              </w:rPr>
            </w:pPr>
            <w:r>
              <w:rPr>
                <w:rFonts w:ascii="Arial" w:cs="Arial" w:eastAsia="Arial" w:hAnsi="Arial"/>
                <w:sz w:val="10"/>
                <w:szCs w:val="10"/>
                <w:color w:val="auto"/>
              </w:rPr>
              <w:t>8,112.5</w:t>
            </w: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8,348.7</w:t>
            </w: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8,299.0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7,891.7</w:t>
            </w: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659"/>
        </w:trPr>
        <w:tc>
          <w:tcPr>
            <w:tcW w:w="2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Arial" w:cs="Arial" w:eastAsia="Arial" w:hAnsi="Arial"/>
                <w:sz w:val="6"/>
                <w:szCs w:val="6"/>
                <w:color w:val="auto"/>
              </w:rPr>
              <w:t>INTRODUCTION SHELL FORM 20-F 2020</w:t>
            </w:r>
          </w:p>
        </w:tc>
        <w:tc>
          <w:tcPr>
            <w:tcW w:w="1300" w:type="dxa"/>
            <w:vAlign w:val="bottom"/>
          </w:tcPr>
          <w:p>
            <w:pPr>
              <w:jc w:val="right"/>
              <w:ind w:right="93"/>
              <w:spacing w:after="0"/>
              <w:rPr>
                <w:sz w:val="20"/>
                <w:szCs w:val="20"/>
                <w:color w:val="auto"/>
              </w:rPr>
            </w:pPr>
            <w:r>
              <w:rPr>
                <w:rFonts w:ascii="Arial" w:cs="Arial" w:eastAsia="Arial" w:hAnsi="Arial"/>
                <w:sz w:val="6"/>
                <w:szCs w:val="6"/>
                <w:color w:val="auto"/>
              </w:rPr>
              <w:t>10</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4"/>
        </w:trPr>
        <w:tc>
          <w:tcPr>
            <w:tcW w:w="20" w:type="dxa"/>
            <w:vAlign w:val="bottom"/>
            <w:tcBorders>
              <w:bottom w:val="single" w:sz="8" w:color="9A9A9A"/>
            </w:tcBorders>
          </w:tcPr>
          <w:p>
            <w:pPr>
              <w:spacing w:after="0"/>
              <w:rPr>
                <w:sz w:val="12"/>
                <w:szCs w:val="12"/>
                <w:color w:val="auto"/>
              </w:rPr>
            </w:pPr>
          </w:p>
        </w:tc>
        <w:tc>
          <w:tcPr>
            <w:tcW w:w="46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041" w:right="299"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3909060" cy="4074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09060" cy="4074795"/>
                    </a:xfrm>
                    <a:prstGeom prst="rect">
                      <a:avLst/>
                    </a:prstGeom>
                    <a:noFill/>
                  </pic:spPr>
                </pic:pic>
              </a:graphicData>
            </a:graphic>
          </wp:anchor>
        </w:drawing>
      </w:r>
    </w:p>
    <w:p>
      <w:pPr>
        <w:sectPr>
          <w:pgSz w:w="11900" w:h="16838" w:orient="portrait"/>
          <w:cols w:equalWidth="0" w:num="1">
            <w:col w:w="11160"/>
          </w:cols>
          <w:pgMar w:left="300" w:top="7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0"/>
          <w:szCs w:val="10"/>
          <w:color w:val="auto"/>
        </w:rPr>
        <w:t>OUR ORGANISATION</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0"/>
          <w:szCs w:val="10"/>
          <w:color w:val="auto"/>
        </w:rPr>
        <w:t>We describe below how our activities are organised. Integrated Gas, Upstream and Downstream focus on our three business pillars (see “Strategy and outlook” on page 14). Our Projects &amp; Technology organisation manages the delivery of Shell’s major projects and drives research and innovation to develop new technology solutions.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INTEGRATED GAS (INCLUDING NEW ENERGIES)</w:t>
      </w:r>
    </w:p>
    <w:p>
      <w:pPr>
        <w:spacing w:after="0" w:line="200" w:lineRule="exact"/>
        <w:rPr>
          <w:sz w:val="20"/>
          <w:szCs w:val="20"/>
          <w:color w:val="auto"/>
        </w:rPr>
      </w:pPr>
    </w:p>
    <w:p>
      <w:pPr>
        <w:spacing w:after="0" w:line="279" w:lineRule="exact"/>
        <w:rPr>
          <w:sz w:val="20"/>
          <w:szCs w:val="20"/>
          <w:color w:val="auto"/>
        </w:rPr>
      </w:pPr>
    </w:p>
    <w:p>
      <w:pPr>
        <w:ind w:right="160"/>
        <w:spacing w:after="0" w:line="239" w:lineRule="auto"/>
        <w:rPr>
          <w:sz w:val="20"/>
          <w:szCs w:val="20"/>
          <w:color w:val="auto"/>
        </w:rPr>
      </w:pPr>
      <w:r>
        <w:rPr>
          <w:rFonts w:ascii="Arial" w:cs="Arial" w:eastAsia="Arial" w:hAnsi="Arial"/>
          <w:sz w:val="10"/>
          <w:szCs w:val="10"/>
          <w:color w:val="auto"/>
        </w:rPr>
        <w:t>Integrated Gas manages LNG activities and the conversion of natural gas into GTL fuels and other products. It includes natural gas exploration and extraction, and the operation of upstream and midstream infrastructure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6"/>
          <w:szCs w:val="6"/>
          <w:color w:val="auto"/>
        </w:rPr>
        <w:t>STRATEGIC REPORT SHELL FORM 20-F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39" w:lineRule="auto"/>
        <w:rPr>
          <w:sz w:val="20"/>
          <w:szCs w:val="20"/>
          <w:color w:val="auto"/>
        </w:rPr>
      </w:pPr>
      <w:r>
        <w:rPr>
          <w:rFonts w:ascii="Arial" w:cs="Arial" w:eastAsia="Arial" w:hAnsi="Arial"/>
          <w:sz w:val="10"/>
          <w:szCs w:val="10"/>
          <w:color w:val="auto"/>
        </w:rPr>
        <w:t>necessary to deliver gas to market. It markets and trades natural gas, LNG, electricity and carbon-emission rights and also markets and sells LNG as a fuel for heavy-duty vehicles and marine vessels.</w:t>
      </w:r>
    </w:p>
    <w:p>
      <w:pPr>
        <w:spacing w:after="0" w:line="149" w:lineRule="exact"/>
        <w:rPr>
          <w:sz w:val="20"/>
          <w:szCs w:val="20"/>
          <w:color w:val="auto"/>
        </w:rPr>
      </w:pPr>
    </w:p>
    <w:p>
      <w:pPr>
        <w:jc w:val="both"/>
        <w:spacing w:after="0" w:line="320" w:lineRule="auto"/>
        <w:rPr>
          <w:sz w:val="20"/>
          <w:szCs w:val="20"/>
          <w:color w:val="auto"/>
        </w:rPr>
      </w:pPr>
      <w:r>
        <w:rPr>
          <w:rFonts w:ascii="Arial" w:cs="Arial" w:eastAsia="Arial" w:hAnsi="Arial"/>
          <w:sz w:val="8"/>
          <w:szCs w:val="8"/>
          <w:color w:val="auto"/>
        </w:rPr>
        <w:t>In New Energies, which was rebranded to Renewables and Energy Solutions in 2021, we are exploring emerging opportunities and investing in those where we believe sufficient commercial value is available. We focus on new fuels for transport, such as advanced biofuels, hydrogen and charging for battery-electric vehicles; and power, including from natural gas and low-carbon sources such as wind and solar.</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UPSTREAM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6"/>
          <w:szCs w:val="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55245</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2">
            <w:col w:w="5180" w:space="540"/>
            <w:col w:w="5440"/>
          </w:cols>
          <w:pgMar w:left="300" w:top="721" w:right="439" w:bottom="1440" w:gutter="0" w:footer="0" w:header="0"/>
          <w:type w:val="continuous"/>
        </w:sectPr>
      </w:pPr>
    </w:p>
    <w:bookmarkStart w:id="14" w:name="page15"/>
    <w:bookmarkEnd w:id="14"/>
    <w:p>
      <w:pPr>
        <w:ind w:right="120"/>
        <w:spacing w:after="0" w:line="239" w:lineRule="auto"/>
        <w:rPr>
          <w:sz w:val="20"/>
          <w:szCs w:val="20"/>
          <w:color w:val="auto"/>
        </w:rPr>
      </w:pPr>
      <w:r>
        <w:rPr>
          <w:rFonts w:ascii="Arial" w:cs="Arial" w:eastAsia="Arial" w:hAnsi="Arial"/>
          <w:sz w:val="10"/>
          <w:szCs w:val="10"/>
          <w:color w:val="auto"/>
        </w:rPr>
        <w:t>Upstream manages the exploration for and extraction of crude oil, natural gas and natural gas liquids. It also markets and transports oil and gas, and operates infrastructure necessary to deliver them to market.</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DOWNSTREAM</w:t>
      </w:r>
    </w:p>
    <w:p>
      <w:pPr>
        <w:spacing w:after="0" w:line="155" w:lineRule="exact"/>
        <w:rPr>
          <w:sz w:val="20"/>
          <w:szCs w:val="20"/>
          <w:color w:val="auto"/>
        </w:rPr>
      </w:pPr>
    </w:p>
    <w:p>
      <w:pPr>
        <w:spacing w:after="0" w:line="300" w:lineRule="auto"/>
        <w:rPr>
          <w:sz w:val="20"/>
          <w:szCs w:val="20"/>
          <w:color w:val="auto"/>
        </w:rPr>
      </w:pPr>
      <w:r>
        <w:rPr>
          <w:rFonts w:ascii="Arial" w:cs="Arial" w:eastAsia="Arial" w:hAnsi="Arial"/>
          <w:sz w:val="8"/>
          <w:szCs w:val="8"/>
          <w:color w:val="auto"/>
        </w:rPr>
        <w:t>Downstream manages different Oil Products and Chemicals activities as part of an integrated value chain that trades and refines crude oil and other feedstocks into a range of products which are moved and marketed around the world for domestic, industrial and transport use. The products we sell include gasoline, diesel, heating oil, aviation fuel, marine fuel, biofuel, lubricants, bitumen and sulphur. We also produce and sell petrochemicals for industrial use worldwide. Our Downstream organisation also manages Oil Sands activities (the extraction of bitumen from mined oil sands and its conversion into synthetic crude oil).</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PROJECTS &amp; TECHNOLOGY</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0"/>
          <w:szCs w:val="10"/>
          <w:color w:val="auto"/>
        </w:rPr>
        <w:t>Our Projects &amp; Technology organisation manages the delivery of our major projects and drives research and innovation to develop new technology solutions. It provides technical services and technology capability for our Integrated Gas, Upstream and Downstream activities. It is also responsible for providing functional leadership across Shell in the areas of safety and environment, contracting and procurement, wells activities and greenhouse gas management.</w:t>
      </w:r>
    </w:p>
    <w:p>
      <w:pPr>
        <w:spacing w:after="0" w:line="149" w:lineRule="exact"/>
        <w:rPr>
          <w:sz w:val="20"/>
          <w:szCs w:val="20"/>
          <w:color w:val="auto"/>
        </w:rPr>
      </w:pPr>
    </w:p>
    <w:p>
      <w:pPr>
        <w:ind w:right="80"/>
        <w:spacing w:after="0" w:line="285" w:lineRule="auto"/>
        <w:rPr>
          <w:sz w:val="20"/>
          <w:szCs w:val="20"/>
          <w:color w:val="auto"/>
        </w:rPr>
      </w:pPr>
      <w:r>
        <w:rPr>
          <w:rFonts w:ascii="Arial" w:cs="Arial" w:eastAsia="Arial" w:hAnsi="Arial"/>
          <w:sz w:val="8"/>
          <w:szCs w:val="8"/>
          <w:color w:val="auto"/>
        </w:rPr>
        <w:t>Our future hydrocarbon production depends on the delivery of large and integrated projects (see “Risk factors” on pages 18-22). Systematic management of life-cycle technical and non-technical risks is in place for each opportunity, with assurance and control activities embedded throughout the project life cycle. We focus on the cost-effective delivery of projects through commercial agreements, supply-chain management, and construction and engineering productivity through effective planning and simplification of delivery processes. Development of our employees’ project management competencies is underpinned by project principles, standards and processes.</w:t>
      </w:r>
    </w:p>
    <w:p>
      <w:pPr>
        <w:spacing w:after="0" w:line="2" w:lineRule="exact"/>
        <w:rPr>
          <w:sz w:val="20"/>
          <w:szCs w:val="20"/>
          <w:color w:val="auto"/>
        </w:rPr>
      </w:pPr>
    </w:p>
    <w:p>
      <w:pPr>
        <w:ind w:right="160"/>
        <w:spacing w:after="0" w:line="231" w:lineRule="auto"/>
        <w:rPr>
          <w:sz w:val="20"/>
          <w:szCs w:val="20"/>
          <w:color w:val="auto"/>
        </w:rPr>
      </w:pPr>
      <w:r>
        <w:rPr>
          <w:rFonts w:ascii="Arial" w:cs="Arial" w:eastAsia="Arial" w:hAnsi="Arial"/>
          <w:sz w:val="10"/>
          <w:szCs w:val="10"/>
          <w:color w:val="auto"/>
        </w:rPr>
        <w:t>A dedicated competence framework, training, standards and processes exist for various technical disciplines. We also provide governance support for our non-Shell-operated ventures or projects.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SEGMENTAL REPORTING</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0"/>
          <w:szCs w:val="10"/>
          <w:color w:val="auto"/>
        </w:rPr>
        <w:t>Our reporting segments are Integrated Gas, Upstream, Oil Products, Chemicals and Corporate. Integrated Gas, Upstream, Oil Products and Chemicals include their respective elements of our Projects &amp; Technology organisation. The Corporate segment comprises our holdings and treasury organisation, self-insurance activities, and headquarters and central functions. See Note 4 to the “Consolidated Financial Statements” on pages 177-180.</w:t>
      </w:r>
    </w:p>
    <w:p>
      <w:pPr>
        <w:spacing w:after="0" w:line="149" w:lineRule="exact"/>
        <w:rPr>
          <w:sz w:val="20"/>
          <w:szCs w:val="20"/>
          <w:color w:val="auto"/>
        </w:rPr>
      </w:pPr>
    </w:p>
    <w:p>
      <w:pPr>
        <w:ind w:right="40"/>
        <w:spacing w:after="0" w:line="239" w:lineRule="auto"/>
        <w:rPr>
          <w:sz w:val="20"/>
          <w:szCs w:val="20"/>
          <w:color w:val="auto"/>
        </w:rPr>
      </w:pPr>
      <w:r>
        <w:rPr>
          <w:rFonts w:ascii="Arial" w:cs="Arial" w:eastAsia="Arial" w:hAnsi="Arial"/>
          <w:sz w:val="10"/>
          <w:szCs w:val="10"/>
          <w:color w:val="auto"/>
        </w:rPr>
        <w:t>With effect from January 1, 2020, additional contracts were classified as held for trading purposes and consequently revenue is reported on a net rather than gross basis.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6"/>
          <w:szCs w:val="6"/>
          <w:color w:val="auto"/>
        </w:rPr>
        <w:t>STRATEGIC REPORT SHELL FORM 20-F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800" w:type="dxa"/>
            <w:vAlign w:val="bottom"/>
            <w:tcBorders>
              <w:top w:val="single" w:sz="8" w:color="CDCDCD"/>
            </w:tcBorders>
            <w:gridSpan w:val="2"/>
          </w:tcPr>
          <w:p>
            <w:pPr>
              <w:ind w:left="20"/>
              <w:spacing w:after="0"/>
              <w:rPr>
                <w:sz w:val="20"/>
                <w:szCs w:val="20"/>
                <w:color w:val="auto"/>
              </w:rPr>
            </w:pPr>
            <w:r>
              <w:rPr>
                <w:rFonts w:ascii="Arial" w:cs="Arial" w:eastAsia="Arial" w:hAnsi="Arial"/>
                <w:sz w:val="10"/>
                <w:szCs w:val="10"/>
                <w:color w:val="616161"/>
              </w:rPr>
              <w:t>Revenue by business segment</w:t>
            </w:r>
          </w:p>
        </w:tc>
        <w:tc>
          <w:tcPr>
            <w:tcW w:w="860" w:type="dxa"/>
            <w:vAlign w:val="bottom"/>
            <w:tcBorders>
              <w:top w:val="single" w:sz="8" w:color="CDCDCD"/>
            </w:tcBorders>
          </w:tcPr>
          <w:p>
            <w:pPr>
              <w:spacing w:after="0"/>
              <w:rPr>
                <w:sz w:val="10"/>
                <w:szCs w:val="10"/>
                <w:color w:val="auto"/>
              </w:rPr>
            </w:pPr>
          </w:p>
        </w:tc>
        <w:tc>
          <w:tcPr>
            <w:tcW w:w="1140" w:type="dxa"/>
            <w:vAlign w:val="bottom"/>
            <w:tcBorders>
              <w:top w:val="single" w:sz="8" w:color="CDCDCD"/>
            </w:tcBorders>
          </w:tcPr>
          <w:p>
            <w:pPr>
              <w:spacing w:after="0"/>
              <w:rPr>
                <w:sz w:val="10"/>
                <w:szCs w:val="10"/>
                <w:color w:val="auto"/>
              </w:rPr>
            </w:pPr>
          </w:p>
        </w:tc>
        <w:tc>
          <w:tcPr>
            <w:tcW w:w="620" w:type="dxa"/>
            <w:vAlign w:val="bottom"/>
            <w:tcBorders>
              <w:top w:val="single" w:sz="8" w:color="CDCDCD"/>
            </w:tcBorders>
            <w:vMerge w:val="restart"/>
          </w:tcPr>
          <w:p>
            <w:pPr>
              <w:jc w:val="right"/>
              <w:spacing w:after="0"/>
              <w:rPr>
                <w:sz w:val="20"/>
                <w:szCs w:val="20"/>
                <w:color w:val="auto"/>
              </w:rPr>
            </w:pPr>
            <w:r>
              <w:rPr>
                <w:rFonts w:ascii="Arial" w:cs="Arial" w:eastAsia="Arial" w:hAnsi="Arial"/>
                <w:sz w:val="10"/>
                <w:szCs w:val="10"/>
                <w:color w:val="auto"/>
              </w:rPr>
              <w:t>$ million</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gridSpan w:val="2"/>
          </w:tcPr>
          <w:p>
            <w:pPr>
              <w:ind w:left="20"/>
              <w:spacing w:after="0"/>
              <w:rPr>
                <w:sz w:val="20"/>
                <w:szCs w:val="20"/>
                <w:color w:val="auto"/>
              </w:rPr>
            </w:pPr>
            <w:r>
              <w:rPr>
                <w:rFonts w:ascii="Arial" w:cs="Arial" w:eastAsia="Arial" w:hAnsi="Arial"/>
                <w:sz w:val="10"/>
                <w:szCs w:val="10"/>
                <w:color w:val="616161"/>
              </w:rPr>
              <w:t>(including inter-segment sales) [A]</w:t>
            </w: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2019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800" w:type="dxa"/>
            <w:vAlign w:val="bottom"/>
            <w:tcBorders>
              <w:right w:val="single" w:sz="8" w:color="D9D9D9"/>
            </w:tcBorders>
            <w:gridSpan w:val="2"/>
          </w:tcPr>
          <w:p>
            <w:pPr>
              <w:ind w:left="20"/>
              <w:spacing w:after="0"/>
              <w:rPr>
                <w:sz w:val="20"/>
                <w:szCs w:val="20"/>
                <w:color w:val="auto"/>
              </w:rPr>
            </w:pPr>
            <w:r>
              <w:rPr>
                <w:rFonts w:ascii="Arial" w:cs="Arial" w:eastAsia="Arial" w:hAnsi="Arial"/>
                <w:sz w:val="10"/>
                <w:szCs w:val="10"/>
                <w:color w:val="auto"/>
              </w:rPr>
              <w:t>Integrated Gas</w:t>
            </w:r>
          </w:p>
        </w:tc>
        <w:tc>
          <w:tcPr>
            <w:tcW w:w="860" w:type="dxa"/>
            <w:vAlign w:val="bottom"/>
            <w:shd w:val="clear" w:color="auto" w:fill="D9D9D9"/>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0" w:type="dxa"/>
            <w:vAlign w:val="bottom"/>
            <w:tcBorders>
              <w:right w:val="single" w:sz="8" w:color="D9D9D9"/>
            </w:tcBorders>
            <w:gridSpan w:val="2"/>
          </w:tcPr>
          <w:p>
            <w:pPr>
              <w:ind w:left="20"/>
              <w:spacing w:after="0"/>
              <w:rPr>
                <w:sz w:val="20"/>
                <w:szCs w:val="20"/>
                <w:color w:val="auto"/>
              </w:rPr>
            </w:pPr>
            <w:r>
              <w:rPr>
                <w:rFonts w:ascii="Arial" w:cs="Arial" w:eastAsia="Arial" w:hAnsi="Arial"/>
                <w:sz w:val="10"/>
                <w:szCs w:val="10"/>
                <w:color w:val="auto"/>
              </w:rPr>
              <w:t>Third parties</w:t>
            </w:r>
          </w:p>
        </w:tc>
        <w:tc>
          <w:tcPr>
            <w:tcW w:w="8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33,287</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41,322</w:t>
            </w:r>
          </w:p>
        </w:tc>
        <w:tc>
          <w:tcPr>
            <w:tcW w:w="620" w:type="dxa"/>
            <w:vAlign w:val="bottom"/>
          </w:tcPr>
          <w:p>
            <w:pPr>
              <w:jc w:val="right"/>
              <w:spacing w:after="0"/>
              <w:rPr>
                <w:sz w:val="20"/>
                <w:szCs w:val="20"/>
                <w:color w:val="auto"/>
              </w:rPr>
            </w:pPr>
            <w:r>
              <w:rPr>
                <w:rFonts w:ascii="Arial" w:cs="Arial" w:eastAsia="Arial" w:hAnsi="Arial"/>
                <w:sz w:val="10"/>
                <w:szCs w:val="10"/>
                <w:color w:val="auto"/>
              </w:rPr>
              <w:t>43,764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800" w:type="dxa"/>
            <w:vAlign w:val="bottom"/>
            <w:tcBorders>
              <w:bottom w:val="single" w:sz="8" w:color="auto"/>
              <w:right w:val="single" w:sz="8" w:color="D9D9D9"/>
            </w:tcBorders>
            <w:gridSpan w:val="2"/>
          </w:tcPr>
          <w:p>
            <w:pPr>
              <w:ind w:left="20"/>
              <w:spacing w:after="0"/>
              <w:rPr>
                <w:sz w:val="20"/>
                <w:szCs w:val="20"/>
                <w:color w:val="auto"/>
              </w:rPr>
            </w:pPr>
            <w:r>
              <w:rPr>
                <w:rFonts w:ascii="Arial" w:cs="Arial" w:eastAsia="Arial" w:hAnsi="Arial"/>
                <w:sz w:val="10"/>
                <w:szCs w:val="10"/>
                <w:color w:val="auto"/>
              </w:rPr>
              <w:t>Inter-segment</w:t>
            </w: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3,410</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4,280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800" w:type="dxa"/>
            <w:vAlign w:val="bottom"/>
            <w:tcBorders>
              <w:right w:val="single" w:sz="8" w:color="D9D9D9"/>
            </w:tcBorders>
            <w:gridSpan w:val="2"/>
          </w:tcPr>
          <w:p>
            <w:pPr>
              <w:ind w:left="20"/>
              <w:spacing w:after="0"/>
              <w:rPr>
                <w:sz w:val="20"/>
                <w:szCs w:val="20"/>
                <w:color w:val="auto"/>
              </w:rPr>
            </w:pPr>
            <w:r>
              <w:rPr>
                <w:rFonts w:ascii="Arial" w:cs="Arial" w:eastAsia="Arial" w:hAnsi="Arial"/>
                <w:sz w:val="10"/>
                <w:szCs w:val="10"/>
                <w:color w:val="auto"/>
              </w:rPr>
              <w:t>Total</w:t>
            </w:r>
          </w:p>
        </w:tc>
        <w:tc>
          <w:tcPr>
            <w:tcW w:w="8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36,697</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45,602</w:t>
            </w:r>
          </w:p>
        </w:tc>
        <w:tc>
          <w:tcPr>
            <w:tcW w:w="620" w:type="dxa"/>
            <w:vAlign w:val="bottom"/>
          </w:tcPr>
          <w:p>
            <w:pPr>
              <w:jc w:val="right"/>
              <w:spacing w:after="0"/>
              <w:rPr>
                <w:sz w:val="20"/>
                <w:szCs w:val="20"/>
                <w:color w:val="auto"/>
              </w:rPr>
            </w:pPr>
            <w:r>
              <w:rPr>
                <w:rFonts w:ascii="Arial" w:cs="Arial" w:eastAsia="Arial" w:hAnsi="Arial"/>
                <w:sz w:val="10"/>
                <w:szCs w:val="10"/>
                <w:color w:val="auto"/>
              </w:rPr>
              <w:t>48,795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0" w:type="dxa"/>
            <w:vAlign w:val="bottom"/>
            <w:tcBorders>
              <w:right w:val="single" w:sz="8" w:color="D9D9D9"/>
            </w:tcBorders>
            <w:gridSpan w:val="2"/>
          </w:tcPr>
          <w:p>
            <w:pPr>
              <w:ind w:left="20"/>
              <w:spacing w:after="0"/>
              <w:rPr>
                <w:sz w:val="20"/>
                <w:szCs w:val="20"/>
                <w:color w:val="auto"/>
              </w:rPr>
            </w:pPr>
            <w:r>
              <w:rPr>
                <w:rFonts w:ascii="Arial" w:cs="Arial" w:eastAsia="Arial" w:hAnsi="Arial"/>
                <w:sz w:val="10"/>
                <w:szCs w:val="10"/>
                <w:color w:val="auto"/>
              </w:rPr>
              <w:t>Upstream</w:t>
            </w:r>
          </w:p>
        </w:tc>
        <w:tc>
          <w:tcPr>
            <w:tcW w:w="860" w:type="dxa"/>
            <w:vAlign w:val="bottom"/>
            <w:shd w:val="clear" w:color="auto" w:fill="D9D9D9"/>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00" w:type="dxa"/>
            <w:vAlign w:val="bottom"/>
            <w:tcBorders>
              <w:right w:val="single" w:sz="8" w:color="D9D9D9"/>
            </w:tcBorders>
            <w:gridSpan w:val="2"/>
          </w:tcPr>
          <w:p>
            <w:pPr>
              <w:ind w:left="20"/>
              <w:spacing w:after="0"/>
              <w:rPr>
                <w:sz w:val="20"/>
                <w:szCs w:val="20"/>
                <w:color w:val="auto"/>
              </w:rPr>
            </w:pPr>
            <w:r>
              <w:rPr>
                <w:rFonts w:ascii="Arial" w:cs="Arial" w:eastAsia="Arial" w:hAnsi="Arial"/>
                <w:sz w:val="10"/>
                <w:szCs w:val="10"/>
                <w:color w:val="auto"/>
              </w:rPr>
              <w:t>Third parties</w:t>
            </w:r>
          </w:p>
        </w:tc>
        <w:tc>
          <w:tcPr>
            <w:tcW w:w="8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6,767</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9,482</w:t>
            </w:r>
          </w:p>
        </w:tc>
        <w:tc>
          <w:tcPr>
            <w:tcW w:w="620" w:type="dxa"/>
            <w:vAlign w:val="bottom"/>
          </w:tcPr>
          <w:p>
            <w:pPr>
              <w:jc w:val="right"/>
              <w:spacing w:after="0"/>
              <w:rPr>
                <w:sz w:val="20"/>
                <w:szCs w:val="20"/>
                <w:color w:val="auto"/>
              </w:rPr>
            </w:pPr>
            <w:r>
              <w:rPr>
                <w:rFonts w:ascii="Arial" w:cs="Arial" w:eastAsia="Arial" w:hAnsi="Arial"/>
                <w:sz w:val="10"/>
                <w:szCs w:val="10"/>
                <w:color w:val="auto"/>
              </w:rPr>
              <w:t>9,459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800" w:type="dxa"/>
            <w:vAlign w:val="bottom"/>
            <w:tcBorders>
              <w:bottom w:val="single" w:sz="8" w:color="auto"/>
              <w:right w:val="single" w:sz="8" w:color="D9D9D9"/>
            </w:tcBorders>
            <w:gridSpan w:val="2"/>
          </w:tcPr>
          <w:p>
            <w:pPr>
              <w:ind w:left="20"/>
              <w:spacing w:after="0"/>
              <w:rPr>
                <w:sz w:val="20"/>
                <w:szCs w:val="20"/>
                <w:color w:val="auto"/>
              </w:rPr>
            </w:pPr>
            <w:r>
              <w:rPr>
                <w:rFonts w:ascii="Arial" w:cs="Arial" w:eastAsia="Arial" w:hAnsi="Arial"/>
                <w:sz w:val="10"/>
                <w:szCs w:val="10"/>
                <w:color w:val="auto"/>
              </w:rPr>
              <w:t>Inter-segment</w:t>
            </w: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21,564</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35,735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37,125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00" w:type="dxa"/>
            <w:vAlign w:val="bottom"/>
            <w:tcBorders>
              <w:bottom w:val="single" w:sz="8" w:color="auto"/>
              <w:right w:val="single" w:sz="8" w:color="D9D9D9"/>
            </w:tcBorders>
            <w:gridSpan w:val="2"/>
          </w:tcPr>
          <w:p>
            <w:pPr>
              <w:ind w:left="20"/>
              <w:spacing w:after="0"/>
              <w:rPr>
                <w:sz w:val="20"/>
                <w:szCs w:val="20"/>
                <w:color w:val="auto"/>
              </w:rPr>
            </w:pPr>
            <w:r>
              <w:rPr>
                <w:rFonts w:ascii="Arial" w:cs="Arial" w:eastAsia="Arial" w:hAnsi="Arial"/>
                <w:sz w:val="10"/>
                <w:szCs w:val="10"/>
                <w:color w:val="auto"/>
              </w:rPr>
              <w:t>Total</w:t>
            </w: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28,330</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45,217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46,584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800" w:type="dxa"/>
            <w:vAlign w:val="bottom"/>
            <w:tcBorders>
              <w:right w:val="single" w:sz="8" w:color="D9D9D9"/>
            </w:tcBorders>
            <w:gridSpan w:val="2"/>
          </w:tcPr>
          <w:p>
            <w:pPr>
              <w:ind w:left="20"/>
              <w:spacing w:after="0" w:line="113" w:lineRule="exact"/>
              <w:rPr>
                <w:sz w:val="20"/>
                <w:szCs w:val="20"/>
                <w:color w:val="auto"/>
              </w:rPr>
            </w:pPr>
            <w:r>
              <w:rPr>
                <w:rFonts w:ascii="Arial" w:cs="Arial" w:eastAsia="Arial" w:hAnsi="Arial"/>
                <w:sz w:val="10"/>
                <w:szCs w:val="10"/>
                <w:color w:val="auto"/>
              </w:rPr>
              <w:t>Oil Products</w:t>
            </w:r>
          </w:p>
        </w:tc>
        <w:tc>
          <w:tcPr>
            <w:tcW w:w="860" w:type="dxa"/>
            <w:vAlign w:val="bottom"/>
            <w:shd w:val="clear" w:color="auto" w:fill="D9D9D9"/>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0" w:type="dxa"/>
            <w:vAlign w:val="bottom"/>
            <w:tcBorders>
              <w:right w:val="single" w:sz="8" w:color="D9D9D9"/>
            </w:tcBorders>
            <w:gridSpan w:val="2"/>
          </w:tcPr>
          <w:p>
            <w:pPr>
              <w:ind w:left="20"/>
              <w:spacing w:after="0"/>
              <w:rPr>
                <w:sz w:val="20"/>
                <w:szCs w:val="20"/>
                <w:color w:val="auto"/>
              </w:rPr>
            </w:pPr>
            <w:r>
              <w:rPr>
                <w:rFonts w:ascii="Arial" w:cs="Arial" w:eastAsia="Arial" w:hAnsi="Arial"/>
                <w:sz w:val="10"/>
                <w:szCs w:val="10"/>
                <w:color w:val="auto"/>
              </w:rPr>
              <w:t>Third parties</w:t>
            </w:r>
          </w:p>
        </w:tc>
        <w:tc>
          <w:tcPr>
            <w:tcW w:w="8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128,717</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280,460</w:t>
            </w:r>
          </w:p>
        </w:tc>
        <w:tc>
          <w:tcPr>
            <w:tcW w:w="620" w:type="dxa"/>
            <w:vAlign w:val="bottom"/>
          </w:tcPr>
          <w:p>
            <w:pPr>
              <w:jc w:val="right"/>
              <w:spacing w:after="0"/>
              <w:rPr>
                <w:sz w:val="20"/>
                <w:szCs w:val="20"/>
                <w:color w:val="auto"/>
              </w:rPr>
            </w:pPr>
            <w:r>
              <w:rPr>
                <w:rFonts w:ascii="Arial" w:cs="Arial" w:eastAsia="Arial" w:hAnsi="Arial"/>
                <w:sz w:val="10"/>
                <w:szCs w:val="10"/>
                <w:color w:val="auto"/>
              </w:rPr>
              <w:t>316,409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800" w:type="dxa"/>
            <w:vAlign w:val="bottom"/>
            <w:tcBorders>
              <w:bottom w:val="single" w:sz="8" w:color="auto"/>
              <w:right w:val="single" w:sz="8" w:color="D9D9D9"/>
            </w:tcBorders>
            <w:gridSpan w:val="2"/>
          </w:tcPr>
          <w:p>
            <w:pPr>
              <w:ind w:left="20"/>
              <w:spacing w:after="0"/>
              <w:rPr>
                <w:sz w:val="20"/>
                <w:szCs w:val="20"/>
                <w:color w:val="auto"/>
              </w:rPr>
            </w:pPr>
            <w:r>
              <w:rPr>
                <w:rFonts w:ascii="Arial" w:cs="Arial" w:eastAsia="Arial" w:hAnsi="Arial"/>
                <w:sz w:val="10"/>
                <w:szCs w:val="10"/>
                <w:color w:val="auto"/>
              </w:rPr>
              <w:t>Inter-segment</w:t>
            </w: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6,213</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7,819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10,613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00" w:type="dxa"/>
            <w:vAlign w:val="bottom"/>
            <w:tcBorders>
              <w:bottom w:val="single" w:sz="8" w:color="auto"/>
              <w:right w:val="single" w:sz="8" w:color="D9D9D9"/>
            </w:tcBorders>
            <w:gridSpan w:val="2"/>
          </w:tcPr>
          <w:p>
            <w:pPr>
              <w:ind w:left="20"/>
              <w:spacing w:after="0"/>
              <w:rPr>
                <w:sz w:val="20"/>
                <w:szCs w:val="20"/>
                <w:color w:val="auto"/>
              </w:rPr>
            </w:pPr>
            <w:r>
              <w:rPr>
                <w:rFonts w:ascii="Arial" w:cs="Arial" w:eastAsia="Arial" w:hAnsi="Arial"/>
                <w:sz w:val="10"/>
                <w:szCs w:val="10"/>
                <w:color w:val="auto"/>
              </w:rPr>
              <w:t>Total</w:t>
            </w: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134,930</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288,279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327,022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800" w:type="dxa"/>
            <w:vAlign w:val="bottom"/>
            <w:tcBorders>
              <w:right w:val="single" w:sz="8" w:color="D9D9D9"/>
            </w:tcBorders>
            <w:gridSpan w:val="2"/>
          </w:tcPr>
          <w:p>
            <w:pPr>
              <w:ind w:left="20"/>
              <w:spacing w:after="0" w:line="113" w:lineRule="exact"/>
              <w:rPr>
                <w:sz w:val="20"/>
                <w:szCs w:val="20"/>
                <w:color w:val="auto"/>
              </w:rPr>
            </w:pPr>
            <w:r>
              <w:rPr>
                <w:rFonts w:ascii="Arial" w:cs="Arial" w:eastAsia="Arial" w:hAnsi="Arial"/>
                <w:sz w:val="10"/>
                <w:szCs w:val="10"/>
                <w:color w:val="auto"/>
              </w:rPr>
              <w:t>Chemicals</w:t>
            </w:r>
          </w:p>
        </w:tc>
        <w:tc>
          <w:tcPr>
            <w:tcW w:w="860" w:type="dxa"/>
            <w:vAlign w:val="bottom"/>
            <w:shd w:val="clear" w:color="auto" w:fill="D9D9D9"/>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0" w:type="dxa"/>
            <w:vAlign w:val="bottom"/>
            <w:tcBorders>
              <w:right w:val="single" w:sz="8" w:color="D9D9D9"/>
            </w:tcBorders>
            <w:gridSpan w:val="2"/>
          </w:tcPr>
          <w:p>
            <w:pPr>
              <w:ind w:left="20"/>
              <w:spacing w:after="0"/>
              <w:rPr>
                <w:sz w:val="20"/>
                <w:szCs w:val="20"/>
                <w:color w:val="auto"/>
              </w:rPr>
            </w:pPr>
            <w:r>
              <w:rPr>
                <w:rFonts w:ascii="Arial" w:cs="Arial" w:eastAsia="Arial" w:hAnsi="Arial"/>
                <w:sz w:val="10"/>
                <w:szCs w:val="10"/>
                <w:color w:val="auto"/>
              </w:rPr>
              <w:t>Third parties</w:t>
            </w:r>
          </w:p>
        </w:tc>
        <w:tc>
          <w:tcPr>
            <w:tcW w:w="8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11,721</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13,568</w:t>
            </w:r>
          </w:p>
        </w:tc>
        <w:tc>
          <w:tcPr>
            <w:tcW w:w="620" w:type="dxa"/>
            <w:vAlign w:val="bottom"/>
          </w:tcPr>
          <w:p>
            <w:pPr>
              <w:jc w:val="right"/>
              <w:spacing w:after="0"/>
              <w:rPr>
                <w:sz w:val="20"/>
                <w:szCs w:val="20"/>
                <w:color w:val="auto"/>
              </w:rPr>
            </w:pPr>
            <w:r>
              <w:rPr>
                <w:rFonts w:ascii="Arial" w:cs="Arial" w:eastAsia="Arial" w:hAnsi="Arial"/>
                <w:sz w:val="10"/>
                <w:szCs w:val="10"/>
                <w:color w:val="auto"/>
              </w:rPr>
              <w:t>18,704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00" w:type="dxa"/>
            <w:vAlign w:val="bottom"/>
            <w:tcBorders>
              <w:right w:val="single" w:sz="8" w:color="D9D9D9"/>
            </w:tcBorders>
            <w:gridSpan w:val="2"/>
          </w:tcPr>
          <w:p>
            <w:pPr>
              <w:ind w:left="20"/>
              <w:spacing w:after="0"/>
              <w:rPr>
                <w:sz w:val="20"/>
                <w:szCs w:val="20"/>
                <w:color w:val="auto"/>
              </w:rPr>
            </w:pPr>
            <w:r>
              <w:rPr>
                <w:rFonts w:ascii="Arial" w:cs="Arial" w:eastAsia="Arial" w:hAnsi="Arial"/>
                <w:sz w:val="10"/>
                <w:szCs w:val="10"/>
                <w:color w:val="auto"/>
              </w:rPr>
              <w:t>Inter-segment</w:t>
            </w:r>
          </w:p>
        </w:tc>
        <w:tc>
          <w:tcPr>
            <w:tcW w:w="8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2,850</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3,917</w:t>
            </w:r>
          </w:p>
        </w:tc>
        <w:tc>
          <w:tcPr>
            <w:tcW w:w="620" w:type="dxa"/>
            <w:vAlign w:val="bottom"/>
          </w:tcPr>
          <w:p>
            <w:pPr>
              <w:jc w:val="right"/>
              <w:spacing w:after="0"/>
              <w:rPr>
                <w:sz w:val="20"/>
                <w:szCs w:val="20"/>
                <w:color w:val="auto"/>
              </w:rPr>
            </w:pPr>
            <w:r>
              <w:rPr>
                <w:rFonts w:ascii="Arial" w:cs="Arial" w:eastAsia="Arial" w:hAnsi="Arial"/>
                <w:sz w:val="10"/>
                <w:szCs w:val="10"/>
                <w:color w:val="auto"/>
              </w:rPr>
              <w:t>4,864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00" w:type="dxa"/>
            <w:vAlign w:val="bottom"/>
            <w:tcBorders>
              <w:right w:val="single" w:sz="8" w:color="D9D9D9"/>
            </w:tcBorders>
            <w:gridSpan w:val="2"/>
          </w:tcPr>
          <w:p>
            <w:pPr>
              <w:ind w:left="20"/>
              <w:spacing w:after="0"/>
              <w:rPr>
                <w:sz w:val="20"/>
                <w:szCs w:val="20"/>
                <w:color w:val="auto"/>
              </w:rPr>
            </w:pPr>
            <w:r>
              <w:rPr>
                <w:rFonts w:ascii="Arial" w:cs="Arial" w:eastAsia="Arial" w:hAnsi="Arial"/>
                <w:sz w:val="10"/>
                <w:szCs w:val="10"/>
                <w:color w:val="auto"/>
              </w:rPr>
              <w:t>Total</w:t>
            </w:r>
          </w:p>
        </w:tc>
        <w:tc>
          <w:tcPr>
            <w:tcW w:w="8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14,571</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17,485</w:t>
            </w:r>
          </w:p>
        </w:tc>
        <w:tc>
          <w:tcPr>
            <w:tcW w:w="620" w:type="dxa"/>
            <w:vAlign w:val="bottom"/>
          </w:tcPr>
          <w:p>
            <w:pPr>
              <w:jc w:val="right"/>
              <w:spacing w:after="0"/>
              <w:rPr>
                <w:sz w:val="20"/>
                <w:szCs w:val="20"/>
                <w:color w:val="auto"/>
              </w:rPr>
            </w:pPr>
            <w:r>
              <w:rPr>
                <w:rFonts w:ascii="Arial" w:cs="Arial" w:eastAsia="Arial" w:hAnsi="Arial"/>
                <w:sz w:val="10"/>
                <w:szCs w:val="10"/>
                <w:color w:val="auto"/>
              </w:rPr>
              <w:t>23,568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00" w:type="dxa"/>
            <w:vAlign w:val="bottom"/>
            <w:tcBorders>
              <w:right w:val="single" w:sz="8" w:color="D9D9D9"/>
            </w:tcBorders>
            <w:gridSpan w:val="2"/>
          </w:tcPr>
          <w:p>
            <w:pPr>
              <w:ind w:left="20"/>
              <w:spacing w:after="0"/>
              <w:rPr>
                <w:sz w:val="20"/>
                <w:szCs w:val="20"/>
                <w:color w:val="auto"/>
              </w:rPr>
            </w:pPr>
            <w:r>
              <w:rPr>
                <w:rFonts w:ascii="Arial" w:cs="Arial" w:eastAsia="Arial" w:hAnsi="Arial"/>
                <w:sz w:val="10"/>
                <w:szCs w:val="10"/>
                <w:color w:val="auto"/>
              </w:rPr>
              <w:t>Corporate</w:t>
            </w:r>
          </w:p>
        </w:tc>
        <w:tc>
          <w:tcPr>
            <w:tcW w:w="860" w:type="dxa"/>
            <w:vAlign w:val="bottom"/>
            <w:shd w:val="clear" w:color="auto" w:fill="D9D9D9"/>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800" w:type="dxa"/>
            <w:vAlign w:val="bottom"/>
            <w:tcBorders>
              <w:bottom w:val="single" w:sz="8" w:color="auto"/>
              <w:right w:val="single" w:sz="8" w:color="D9D9D9"/>
            </w:tcBorders>
            <w:gridSpan w:val="2"/>
          </w:tcPr>
          <w:p>
            <w:pPr>
              <w:ind w:left="20"/>
              <w:spacing w:after="0"/>
              <w:rPr>
                <w:sz w:val="20"/>
                <w:szCs w:val="20"/>
                <w:color w:val="auto"/>
              </w:rPr>
            </w:pPr>
            <w:r>
              <w:rPr>
                <w:rFonts w:ascii="Arial" w:cs="Arial" w:eastAsia="Arial" w:hAnsi="Arial"/>
                <w:sz w:val="10"/>
                <w:szCs w:val="10"/>
                <w:color w:val="auto"/>
              </w:rPr>
              <w:t>Third parties</w:t>
            </w: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51</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45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800" w:type="dxa"/>
            <w:vAlign w:val="bottom"/>
            <w:tcBorders>
              <w:right w:val="single" w:sz="8" w:color="D9D9D9"/>
            </w:tcBorders>
            <w:gridSpan w:val="2"/>
          </w:tcPr>
          <w:p>
            <w:pPr>
              <w:ind w:left="20"/>
              <w:spacing w:after="0"/>
              <w:rPr>
                <w:sz w:val="20"/>
                <w:szCs w:val="20"/>
                <w:color w:val="auto"/>
              </w:rPr>
            </w:pPr>
            <w:r>
              <w:rPr>
                <w:rFonts w:ascii="Arial" w:cs="Arial" w:eastAsia="Arial" w:hAnsi="Arial"/>
                <w:sz w:val="10"/>
                <w:szCs w:val="10"/>
                <w:color w:val="auto"/>
              </w:rPr>
              <w:t>Total</w:t>
            </w:r>
          </w:p>
        </w:tc>
        <w:tc>
          <w:tcPr>
            <w:tcW w:w="8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51</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45</w:t>
            </w:r>
          </w:p>
        </w:tc>
        <w:tc>
          <w:tcPr>
            <w:tcW w:w="620" w:type="dxa"/>
            <w:vAlign w:val="bottom"/>
          </w:tcPr>
          <w:p>
            <w:pPr>
              <w:jc w:val="right"/>
              <w:spacing w:after="0"/>
              <w:rPr>
                <w:sz w:val="20"/>
                <w:szCs w:val="20"/>
                <w:color w:val="auto"/>
              </w:rPr>
            </w:pPr>
            <w:r>
              <w:rPr>
                <w:rFonts w:ascii="Arial" w:cs="Arial" w:eastAsia="Arial" w:hAnsi="Arial"/>
                <w:sz w:val="10"/>
                <w:szCs w:val="10"/>
                <w:color w:val="auto"/>
              </w:rPr>
              <w:t>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780" w:type="dxa"/>
            <w:vAlign w:val="bottom"/>
            <w:tcBorders>
              <w:bottom w:val="single" w:sz="8" w:color="CDCDCD"/>
            </w:tcBorders>
          </w:tcPr>
          <w:p>
            <w:pPr>
              <w:spacing w:after="0"/>
              <w:rPr>
                <w:sz w:val="8"/>
                <w:szCs w:val="8"/>
                <w:color w:val="auto"/>
              </w:rPr>
            </w:pPr>
          </w:p>
        </w:tc>
        <w:tc>
          <w:tcPr>
            <w:tcW w:w="860" w:type="dxa"/>
            <w:vAlign w:val="bottom"/>
            <w:tcBorders>
              <w:bottom w:val="single" w:sz="8" w:color="CDCDCD"/>
            </w:tcBorders>
          </w:tcPr>
          <w:p>
            <w:pPr>
              <w:spacing w:after="0"/>
              <w:rPr>
                <w:sz w:val="8"/>
                <w:szCs w:val="8"/>
                <w:color w:val="auto"/>
              </w:rPr>
            </w:pPr>
          </w:p>
        </w:tc>
        <w:tc>
          <w:tcPr>
            <w:tcW w:w="1140" w:type="dxa"/>
            <w:vAlign w:val="bottom"/>
            <w:tcBorders>
              <w:bottom w:val="single" w:sz="8" w:color="CDCDCD"/>
            </w:tcBorders>
          </w:tcPr>
          <w:p>
            <w:pPr>
              <w:spacing w:after="0"/>
              <w:rPr>
                <w:sz w:val="8"/>
                <w:szCs w:val="8"/>
                <w:color w:val="auto"/>
              </w:rPr>
            </w:pPr>
          </w:p>
        </w:tc>
        <w:tc>
          <w:tcPr>
            <w:tcW w:w="640" w:type="dxa"/>
            <w:vAlign w:val="bottom"/>
            <w:tcBorders>
              <w:bottom w:val="single" w:sz="8" w:color="CDCDCD"/>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80" w:type="dxa"/>
            <w:vAlign w:val="bottom"/>
          </w:tcPr>
          <w:p>
            <w:pPr>
              <w:ind w:left="20"/>
              <w:spacing w:after="0"/>
              <w:rPr>
                <w:sz w:val="20"/>
                <w:szCs w:val="20"/>
                <w:color w:val="auto"/>
              </w:rPr>
            </w:pPr>
            <w:r>
              <w:rPr>
                <w:rFonts w:ascii="Arial" w:cs="Arial" w:eastAsia="Arial" w:hAnsi="Arial"/>
                <w:sz w:val="10"/>
                <w:szCs w:val="10"/>
                <w:color w:val="auto"/>
                <w:w w:val="92"/>
              </w:rPr>
              <w:t>Revenue by geographical area (excluding inter-segment sales) [A]</w:t>
            </w: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14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2019</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2018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80" w:type="dxa"/>
            <w:vAlign w:val="bottom"/>
          </w:tcPr>
          <w:p>
            <w:pPr>
              <w:ind w:left="20"/>
              <w:spacing w:after="0"/>
              <w:rPr>
                <w:sz w:val="20"/>
                <w:szCs w:val="20"/>
                <w:color w:val="auto"/>
              </w:rPr>
            </w:pPr>
            <w:r>
              <w:rPr>
                <w:rFonts w:ascii="Arial" w:cs="Arial" w:eastAsia="Arial" w:hAnsi="Arial"/>
                <w:sz w:val="10"/>
                <w:szCs w:val="10"/>
                <w:color w:val="auto"/>
              </w:rPr>
              <w:t>Europe</w:t>
            </w:r>
          </w:p>
        </w:tc>
        <w:tc>
          <w:tcPr>
            <w:tcW w:w="8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50,138</w:t>
            </w:r>
          </w:p>
        </w:tc>
        <w:tc>
          <w:tcPr>
            <w:tcW w:w="1140" w:type="dxa"/>
            <w:vAlign w:val="bottom"/>
            <w:tcBorders>
              <w:left w:val="single" w:sz="8" w:color="D9D9D9"/>
            </w:tcBorders>
          </w:tcPr>
          <w:p>
            <w:pPr>
              <w:jc w:val="right"/>
              <w:ind w:right="232"/>
              <w:spacing w:after="0"/>
              <w:rPr>
                <w:sz w:val="20"/>
                <w:szCs w:val="20"/>
                <w:color w:val="auto"/>
              </w:rPr>
            </w:pPr>
            <w:r>
              <w:rPr>
                <w:rFonts w:ascii="Arial" w:cs="Arial" w:eastAsia="Arial" w:hAnsi="Arial"/>
                <w:sz w:val="10"/>
                <w:szCs w:val="10"/>
                <w:color w:val="auto"/>
              </w:rPr>
              <w:t>98,455</w:t>
            </w:r>
          </w:p>
        </w:tc>
        <w:tc>
          <w:tcPr>
            <w:tcW w:w="620" w:type="dxa"/>
            <w:vAlign w:val="bottom"/>
          </w:tcPr>
          <w:p>
            <w:pPr>
              <w:jc w:val="right"/>
              <w:spacing w:after="0"/>
              <w:rPr>
                <w:sz w:val="20"/>
                <w:szCs w:val="20"/>
                <w:color w:val="auto"/>
              </w:rPr>
            </w:pPr>
            <w:r>
              <w:rPr>
                <w:rFonts w:ascii="Arial" w:cs="Arial" w:eastAsia="Arial" w:hAnsi="Arial"/>
                <w:sz w:val="10"/>
                <w:szCs w:val="10"/>
                <w:color w:val="auto"/>
              </w:rPr>
              <w:t>118,960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80" w:type="dxa"/>
            <w:vAlign w:val="bottom"/>
          </w:tcPr>
          <w:p>
            <w:pPr>
              <w:ind w:left="20"/>
              <w:spacing w:after="0"/>
              <w:rPr>
                <w:sz w:val="20"/>
                <w:szCs w:val="20"/>
                <w:color w:val="auto"/>
              </w:rPr>
            </w:pPr>
            <w:r>
              <w:rPr>
                <w:rFonts w:ascii="Arial" w:cs="Arial" w:eastAsia="Arial" w:hAnsi="Arial"/>
                <w:sz w:val="10"/>
                <w:szCs w:val="10"/>
                <w:color w:val="auto"/>
              </w:rPr>
              <w:t>Asia, Oceania, Africa</w:t>
            </w:r>
          </w:p>
        </w:tc>
        <w:tc>
          <w:tcPr>
            <w:tcW w:w="8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65,139</w:t>
            </w:r>
          </w:p>
        </w:tc>
        <w:tc>
          <w:tcPr>
            <w:tcW w:w="1140" w:type="dxa"/>
            <w:vAlign w:val="bottom"/>
            <w:tcBorders>
              <w:left w:val="single" w:sz="8" w:color="D9D9D9"/>
            </w:tcBorders>
          </w:tcPr>
          <w:p>
            <w:pPr>
              <w:jc w:val="right"/>
              <w:ind w:right="232"/>
              <w:spacing w:after="0"/>
              <w:rPr>
                <w:sz w:val="20"/>
                <w:szCs w:val="20"/>
                <w:color w:val="auto"/>
              </w:rPr>
            </w:pPr>
            <w:r>
              <w:rPr>
                <w:rFonts w:ascii="Arial" w:cs="Arial" w:eastAsia="Arial" w:hAnsi="Arial"/>
                <w:sz w:val="10"/>
                <w:szCs w:val="10"/>
                <w:color w:val="auto"/>
              </w:rPr>
              <w:t>139,916</w:t>
            </w:r>
          </w:p>
        </w:tc>
        <w:tc>
          <w:tcPr>
            <w:tcW w:w="620" w:type="dxa"/>
            <w:vAlign w:val="bottom"/>
          </w:tcPr>
          <w:p>
            <w:pPr>
              <w:jc w:val="right"/>
              <w:spacing w:after="0"/>
              <w:rPr>
                <w:sz w:val="20"/>
                <w:szCs w:val="20"/>
                <w:color w:val="auto"/>
              </w:rPr>
            </w:pPr>
            <w:r>
              <w:rPr>
                <w:rFonts w:ascii="Arial" w:cs="Arial" w:eastAsia="Arial" w:hAnsi="Arial"/>
                <w:sz w:val="10"/>
                <w:szCs w:val="10"/>
                <w:color w:val="auto"/>
              </w:rPr>
              <w:t>153,716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tcPr>
          <w:p>
            <w:pPr>
              <w:ind w:left="20"/>
              <w:spacing w:after="0"/>
              <w:rPr>
                <w:sz w:val="20"/>
                <w:szCs w:val="20"/>
                <w:color w:val="auto"/>
              </w:rPr>
            </w:pPr>
            <w:r>
              <w:rPr>
                <w:rFonts w:ascii="Arial" w:cs="Arial" w:eastAsia="Arial" w:hAnsi="Arial"/>
                <w:sz w:val="10"/>
                <w:szCs w:val="10"/>
                <w:color w:val="auto"/>
              </w:rPr>
              <w:t>USA</w:t>
            </w:r>
          </w:p>
        </w:tc>
        <w:tc>
          <w:tcPr>
            <w:tcW w:w="8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50,856</w:t>
            </w:r>
          </w:p>
        </w:tc>
        <w:tc>
          <w:tcPr>
            <w:tcW w:w="1140" w:type="dxa"/>
            <w:vAlign w:val="bottom"/>
            <w:tcBorders>
              <w:left w:val="single" w:sz="8" w:color="D9D9D9"/>
            </w:tcBorders>
          </w:tcPr>
          <w:p>
            <w:pPr>
              <w:jc w:val="right"/>
              <w:ind w:right="232"/>
              <w:spacing w:after="0"/>
              <w:rPr>
                <w:sz w:val="20"/>
                <w:szCs w:val="20"/>
                <w:color w:val="auto"/>
              </w:rPr>
            </w:pPr>
            <w:r>
              <w:rPr>
                <w:rFonts w:ascii="Arial" w:cs="Arial" w:eastAsia="Arial" w:hAnsi="Arial"/>
                <w:sz w:val="10"/>
                <w:szCs w:val="10"/>
                <w:color w:val="auto"/>
              </w:rPr>
              <w:t>83,212</w:t>
            </w:r>
          </w:p>
        </w:tc>
        <w:tc>
          <w:tcPr>
            <w:tcW w:w="620" w:type="dxa"/>
            <w:vAlign w:val="bottom"/>
          </w:tcPr>
          <w:p>
            <w:pPr>
              <w:jc w:val="right"/>
              <w:spacing w:after="0"/>
              <w:rPr>
                <w:sz w:val="20"/>
                <w:szCs w:val="20"/>
                <w:color w:val="auto"/>
              </w:rPr>
            </w:pPr>
            <w:r>
              <w:rPr>
                <w:rFonts w:ascii="Arial" w:cs="Arial" w:eastAsia="Arial" w:hAnsi="Arial"/>
                <w:sz w:val="10"/>
                <w:szCs w:val="10"/>
                <w:color w:val="auto"/>
              </w:rPr>
              <w:t>89,876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Other Americas</w:t>
            </w: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14,410</w:t>
            </w:r>
          </w:p>
        </w:tc>
        <w:tc>
          <w:tcPr>
            <w:tcW w:w="1140" w:type="dxa"/>
            <w:vAlign w:val="bottom"/>
            <w:tcBorders>
              <w:left w:val="single" w:sz="8" w:color="D9D9D9"/>
              <w:bottom w:val="single" w:sz="8" w:color="auto"/>
            </w:tcBorders>
          </w:tcPr>
          <w:p>
            <w:pPr>
              <w:jc w:val="right"/>
              <w:ind w:right="232"/>
              <w:spacing w:after="0"/>
              <w:rPr>
                <w:sz w:val="20"/>
                <w:szCs w:val="20"/>
                <w:color w:val="auto"/>
              </w:rPr>
            </w:pPr>
            <w:r>
              <w:rPr>
                <w:rFonts w:ascii="Arial" w:cs="Arial" w:eastAsia="Arial" w:hAnsi="Arial"/>
                <w:sz w:val="10"/>
                <w:szCs w:val="10"/>
                <w:color w:val="auto"/>
              </w:rPr>
              <w:t>23,294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25,827</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ind w:left="20"/>
              <w:spacing w:after="0"/>
              <w:rPr>
                <w:sz w:val="20"/>
                <w:szCs w:val="20"/>
                <w:color w:val="auto"/>
              </w:rPr>
            </w:pPr>
            <w:r>
              <w:rPr>
                <w:rFonts w:ascii="Arial" w:cs="Arial" w:eastAsia="Arial" w:hAnsi="Arial"/>
                <w:sz w:val="10"/>
                <w:szCs w:val="10"/>
                <w:color w:val="auto"/>
              </w:rPr>
              <w:t>Total</w:t>
            </w:r>
          </w:p>
        </w:tc>
        <w:tc>
          <w:tcPr>
            <w:tcW w:w="8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180,543</w:t>
            </w:r>
          </w:p>
        </w:tc>
        <w:tc>
          <w:tcPr>
            <w:tcW w:w="1140" w:type="dxa"/>
            <w:vAlign w:val="bottom"/>
            <w:tcBorders>
              <w:left w:val="single" w:sz="8" w:color="D9D9D9"/>
            </w:tcBorders>
          </w:tcPr>
          <w:p>
            <w:pPr>
              <w:jc w:val="right"/>
              <w:ind w:right="232"/>
              <w:spacing w:after="0"/>
              <w:rPr>
                <w:sz w:val="20"/>
                <w:szCs w:val="20"/>
                <w:color w:val="auto"/>
              </w:rPr>
            </w:pPr>
            <w:r>
              <w:rPr>
                <w:rFonts w:ascii="Arial" w:cs="Arial" w:eastAsia="Arial" w:hAnsi="Arial"/>
                <w:sz w:val="10"/>
                <w:szCs w:val="10"/>
                <w:color w:val="auto"/>
              </w:rPr>
              <w:t>344,877</w:t>
            </w:r>
          </w:p>
        </w:tc>
        <w:tc>
          <w:tcPr>
            <w:tcW w:w="620" w:type="dxa"/>
            <w:vAlign w:val="bottom"/>
          </w:tcPr>
          <w:p>
            <w:pPr>
              <w:jc w:val="right"/>
              <w:spacing w:after="0"/>
              <w:rPr>
                <w:sz w:val="20"/>
                <w:szCs w:val="20"/>
                <w:color w:val="auto"/>
              </w:rPr>
            </w:pPr>
            <w:r>
              <w:rPr>
                <w:rFonts w:ascii="Arial" w:cs="Arial" w:eastAsia="Arial" w:hAnsi="Arial"/>
                <w:sz w:val="10"/>
                <w:szCs w:val="10"/>
                <w:color w:val="auto"/>
              </w:rPr>
              <w:t>388,379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7"/>
          <w:szCs w:val="7"/>
          <w:color w:val="auto"/>
        </w:rPr>
        <w:t>[A] Historical comparatives are based on prevailing foreign exchange rates for respective years.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6"/>
          <w:szCs w:val="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55245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2">
            <w:col w:w="5440" w:space="280"/>
            <w:col w:w="5440"/>
          </w:cols>
          <w:pgMar w:left="300" w:top="640" w:right="439" w:bottom="1440" w:gutter="0" w:footer="0" w:header="0"/>
        </w:sectPr>
      </w:pPr>
    </w:p>
    <w:bookmarkStart w:id="15" w:name="page16"/>
    <w:bookmarkEnd w:id="15"/>
    <w:p>
      <w:pPr>
        <w:spacing w:after="0" w:line="162" w:lineRule="exact"/>
        <w:rPr>
          <w:sz w:val="20"/>
          <w:szCs w:val="20"/>
          <w:color w:val="auto"/>
        </w:rPr>
      </w:pPr>
    </w:p>
    <w:p>
      <w:pPr>
        <w:spacing w:after="0"/>
        <w:rPr>
          <w:sz w:val="20"/>
          <w:szCs w:val="20"/>
          <w:color w:val="auto"/>
        </w:rPr>
      </w:pPr>
      <w:r>
        <w:rPr>
          <w:rFonts w:ascii="Arial" w:cs="Arial" w:eastAsia="Arial" w:hAnsi="Arial"/>
          <w:sz w:val="10"/>
          <w:szCs w:val="10"/>
          <w:color w:val="auto"/>
        </w:rPr>
        <w:t>TECHNOLOGY AND INNOVATION</w:t>
      </w:r>
    </w:p>
    <w:p>
      <w:pPr>
        <w:spacing w:after="0" w:line="1" w:lineRule="exact"/>
        <w:rPr>
          <w:sz w:val="20"/>
          <w:szCs w:val="20"/>
          <w:color w:val="auto"/>
        </w:rPr>
      </w:pPr>
    </w:p>
    <w:p>
      <w:pPr>
        <w:spacing w:after="0"/>
        <w:rPr>
          <w:sz w:val="20"/>
          <w:szCs w:val="20"/>
          <w:color w:val="auto"/>
        </w:rPr>
      </w:pPr>
      <w:r>
        <w:rPr>
          <w:rFonts w:ascii="Arial" w:cs="Arial" w:eastAsia="Arial" w:hAnsi="Arial"/>
          <w:sz w:val="8"/>
          <w:szCs w:val="8"/>
          <w:color w:val="auto"/>
        </w:rPr>
        <w:t>Technology and innovation are essential to our efforts to meet the world’s energy needs in a competitive way. If we do not develop</w:t>
      </w:r>
    </w:p>
    <w:p>
      <w:pPr>
        <w:spacing w:after="0" w:line="16" w:lineRule="exact"/>
        <w:rPr>
          <w:sz w:val="20"/>
          <w:szCs w:val="20"/>
          <w:color w:val="auto"/>
        </w:rPr>
      </w:pPr>
    </w:p>
    <w:p>
      <w:pPr>
        <w:spacing w:after="0" w:line="228" w:lineRule="auto"/>
        <w:rPr>
          <w:sz w:val="20"/>
          <w:szCs w:val="20"/>
          <w:color w:val="auto"/>
        </w:rPr>
      </w:pPr>
      <w:r>
        <w:rPr>
          <w:rFonts w:ascii="Arial" w:cs="Arial" w:eastAsia="Arial" w:hAnsi="Arial"/>
          <w:sz w:val="10"/>
          <w:szCs w:val="10"/>
          <w:color w:val="auto"/>
        </w:rPr>
        <w:t>the right technology, do not have access to it or do not deploy it effectively, this could have a material adverse effect on the delivery of our strategy and our licence to operate (see “Risk factors” on pages 18-22). We continually look for technologies and innovations of potential relevance to our business. Our Chief Technology Officer oversees the development and deployment of new and differentiating technologies and innovations across Shell, seeking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align business and technology requirements throughout our technology maturation process.</w:t>
      </w:r>
    </w:p>
    <w:p>
      <w:pPr>
        <w:spacing w:after="0" w:line="155" w:lineRule="exact"/>
        <w:rPr>
          <w:sz w:val="20"/>
          <w:szCs w:val="20"/>
          <w:color w:val="auto"/>
        </w:rPr>
      </w:pPr>
    </w:p>
    <w:p>
      <w:pPr>
        <w:ind w:right="240"/>
        <w:spacing w:after="0" w:line="232" w:lineRule="auto"/>
        <w:rPr>
          <w:sz w:val="20"/>
          <w:szCs w:val="20"/>
          <w:color w:val="auto"/>
        </w:rPr>
      </w:pPr>
      <w:r>
        <w:rPr>
          <w:rFonts w:ascii="Arial" w:cs="Arial" w:eastAsia="Arial" w:hAnsi="Arial"/>
          <w:sz w:val="10"/>
          <w:szCs w:val="10"/>
          <w:color w:val="auto"/>
        </w:rPr>
        <w:t>In 2020, research and development expenses were $907 million, compared with $962 million in 2019, and $986 million in 2018. Our main technology centres are in India, the Netherlands and the USA, with other centres in Brazil, China, Germany, Oman, and Qatar. A strong patent portfolio underlies the technology that we employ in our various businesses. In total, we have around 8,480 granted patents and pending patent applications.</w:t>
      </w:r>
    </w:p>
    <w:p>
      <w:pPr>
        <w:spacing w:after="0" w:line="308" w:lineRule="exact"/>
        <w:rPr>
          <w:sz w:val="20"/>
          <w:szCs w:val="20"/>
          <w:color w:val="auto"/>
        </w:rPr>
      </w:pPr>
    </w:p>
    <w:p>
      <w:pPr>
        <w:sectPr>
          <w:pgSz w:w="11900" w:h="16838" w:orient="portrait"/>
          <w:cols w:equalWidth="0" w:num="2">
            <w:col w:w="5360" w:space="360"/>
            <w:col w:w="5580"/>
          </w:cols>
          <w:pgMar w:left="300" w:top="640" w:right="299" w:bottom="1440" w:gutter="0" w:footer="0" w:header="0"/>
        </w:sect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3480" w:type="dxa"/>
            <w:vAlign w:val="bottom"/>
          </w:tcPr>
          <w:p>
            <w:pPr>
              <w:spacing w:after="0"/>
              <w:rPr>
                <w:sz w:val="20"/>
                <w:szCs w:val="20"/>
                <w:color w:val="auto"/>
              </w:rPr>
            </w:pPr>
            <w:r>
              <w:rPr>
                <w:rFonts w:ascii="Arial" w:cs="Arial" w:eastAsia="Arial" w:hAnsi="Arial"/>
                <w:sz w:val="6"/>
                <w:szCs w:val="6"/>
                <w:color w:val="auto"/>
              </w:rPr>
              <w:t>STRATEGIC REPORT SHELL FORM 20-F 2020</w:t>
            </w:r>
          </w:p>
        </w:tc>
        <w:tc>
          <w:tcPr>
            <w:tcW w:w="7820" w:type="dxa"/>
            <w:vAlign w:val="bottom"/>
          </w:tcPr>
          <w:p>
            <w:pPr>
              <w:jc w:val="right"/>
              <w:ind w:right="5490"/>
              <w:spacing w:after="0"/>
              <w:rPr>
                <w:sz w:val="20"/>
                <w:szCs w:val="20"/>
                <w:color w:val="auto"/>
              </w:rPr>
            </w:pPr>
            <w:r>
              <w:rPr>
                <w:rFonts w:ascii="Arial" w:cs="Arial" w:eastAsia="Arial" w:hAnsi="Arial"/>
                <w:sz w:val="6"/>
                <w:szCs w:val="6"/>
                <w:color w:val="auto"/>
              </w:rPr>
              <w:t>13</w:t>
            </w:r>
          </w:p>
        </w:tc>
      </w:tr>
      <w:tr>
        <w:trPr>
          <w:trHeight w:val="81"/>
        </w:trPr>
        <w:tc>
          <w:tcPr>
            <w:tcW w:w="3480" w:type="dxa"/>
            <w:vAlign w:val="bottom"/>
            <w:tcBorders>
              <w:bottom w:val="single" w:sz="8" w:color="9A9A9A"/>
            </w:tcBorders>
          </w:tcPr>
          <w:p>
            <w:pPr>
              <w:spacing w:after="0"/>
              <w:rPr>
                <w:sz w:val="7"/>
                <w:szCs w:val="7"/>
                <w:color w:val="auto"/>
              </w:rPr>
            </w:pPr>
          </w:p>
        </w:tc>
        <w:tc>
          <w:tcPr>
            <w:tcW w:w="7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2"/>
          <w:szCs w:val="22"/>
          <w:color w:val="auto"/>
        </w:rPr>
        <w:t>STRATEGY AND OUTLOOK</w:t>
      </w:r>
    </w:p>
    <w:p>
      <w:pPr>
        <w:spacing w:after="0" w:line="143" w:lineRule="exact"/>
        <w:rPr>
          <w:sz w:val="20"/>
          <w:szCs w:val="20"/>
          <w:color w:val="auto"/>
        </w:rPr>
      </w:pPr>
    </w:p>
    <w:p>
      <w:pPr>
        <w:spacing w:after="0"/>
        <w:rPr>
          <w:sz w:val="20"/>
          <w:szCs w:val="20"/>
          <w:color w:val="auto"/>
        </w:rPr>
      </w:pPr>
      <w:r>
        <w:rPr>
          <w:rFonts w:ascii="Arial" w:cs="Arial" w:eastAsia="Arial" w:hAnsi="Arial"/>
          <w:sz w:val="10"/>
          <w:szCs w:val="10"/>
          <w:color w:val="auto"/>
        </w:rPr>
        <w:t>OUR STRATEGY</w:t>
      </w:r>
    </w:p>
    <w:p>
      <w:pPr>
        <w:spacing w:after="0" w:line="155" w:lineRule="exact"/>
        <w:rPr>
          <w:sz w:val="20"/>
          <w:szCs w:val="20"/>
          <w:color w:val="auto"/>
        </w:rPr>
      </w:pPr>
    </w:p>
    <w:p>
      <w:pPr>
        <w:ind w:right="300"/>
        <w:spacing w:after="0" w:line="239" w:lineRule="auto"/>
        <w:rPr>
          <w:sz w:val="20"/>
          <w:szCs w:val="20"/>
          <w:color w:val="auto"/>
        </w:rPr>
      </w:pPr>
      <w:r>
        <w:rPr>
          <w:rFonts w:ascii="Arial" w:cs="Arial" w:eastAsia="Arial" w:hAnsi="Arial"/>
          <w:sz w:val="10"/>
          <w:szCs w:val="10"/>
          <w:color w:val="auto"/>
        </w:rPr>
        <w:t>In February 2021, Shell launched Powering Progress which sets out our strategy to accelerate the transition of our business to net-zero emissions, in step with society, purposefully and profitably.</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CONTEXT</w:t>
      </w:r>
    </w:p>
    <w:p>
      <w:pPr>
        <w:spacing w:after="0" w:line="65" w:lineRule="exact"/>
        <w:rPr>
          <w:sz w:val="20"/>
          <w:szCs w:val="20"/>
          <w:color w:val="auto"/>
        </w:rPr>
      </w:pPr>
    </w:p>
    <w:p>
      <w:pPr>
        <w:spacing w:after="0" w:line="232" w:lineRule="auto"/>
        <w:rPr>
          <w:sz w:val="20"/>
          <w:szCs w:val="20"/>
          <w:color w:val="auto"/>
        </w:rPr>
      </w:pPr>
      <w:r>
        <w:rPr>
          <w:rFonts w:ascii="Arial" w:cs="Arial" w:eastAsia="Arial" w:hAnsi="Arial"/>
          <w:sz w:val="10"/>
          <w:szCs w:val="10"/>
          <w:color w:val="auto"/>
        </w:rPr>
        <w:t>Our strategy is founded on our outlook for the energy sector and the chance to grasp opportunities arising from the substantial changes in the world around us. We believe the rising standard of living of a growing global population will continue to drive demand for energy for years to come. The world will need to find a way to meet this growing demand, while transitioning to a net-zero emissions energy system to counter climate change.</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POWERING PROGRESS</w:t>
      </w:r>
    </w:p>
    <w:p>
      <w:pPr>
        <w:spacing w:after="0" w:line="155" w:lineRule="exact"/>
        <w:rPr>
          <w:sz w:val="20"/>
          <w:szCs w:val="20"/>
          <w:color w:val="auto"/>
        </w:rPr>
      </w:pPr>
    </w:p>
    <w:p>
      <w:pPr>
        <w:ind w:right="280"/>
        <w:spacing w:after="0" w:line="239" w:lineRule="auto"/>
        <w:rPr>
          <w:sz w:val="20"/>
          <w:szCs w:val="20"/>
          <w:color w:val="auto"/>
        </w:rPr>
      </w:pPr>
      <w:r>
        <w:rPr>
          <w:rFonts w:ascii="Arial" w:cs="Arial" w:eastAsia="Arial" w:hAnsi="Arial"/>
          <w:sz w:val="10"/>
          <w:szCs w:val="10"/>
          <w:color w:val="auto"/>
        </w:rPr>
        <w:t>In February 2021, Shell launched Powering Progress, which sets out our strategy to accelerate the transition of our business to net-zero emissions, in step with society, purposefully and profitably.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3909060" cy="26060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0906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16" w:lineRule="auto"/>
        <w:rPr>
          <w:sz w:val="20"/>
          <w:szCs w:val="20"/>
          <w:color w:val="auto"/>
        </w:rPr>
      </w:pPr>
      <w:r>
        <w:rPr>
          <w:rFonts w:ascii="Arial" w:cs="Arial" w:eastAsia="Arial" w:hAnsi="Arial"/>
          <w:sz w:val="10"/>
          <w:szCs w:val="10"/>
          <w:b w:val="1"/>
          <w:bCs w:val="1"/>
          <w:color w:val="auto"/>
        </w:rPr>
        <w:t xml:space="preserve">Generating shareholder value: </w:t>
      </w:r>
      <w:r>
        <w:rPr>
          <w:rFonts w:ascii="Arial" w:cs="Arial" w:eastAsia="Arial" w:hAnsi="Arial"/>
          <w:sz w:val="10"/>
          <w:szCs w:val="10"/>
          <w:color w:val="auto"/>
        </w:rPr>
        <w:t>We aim to create the conditions for share price appreciation by preparing our business for the future and</w:t>
      </w:r>
      <w:r>
        <w:rPr>
          <w:rFonts w:ascii="Arial" w:cs="Arial" w:eastAsia="Arial" w:hAnsi="Arial"/>
          <w:sz w:val="10"/>
          <w:szCs w:val="10"/>
          <w:b w:val="1"/>
          <w:bCs w:val="1"/>
          <w:color w:val="auto"/>
        </w:rPr>
        <w:t xml:space="preserve"> </w:t>
      </w:r>
      <w:r>
        <w:rPr>
          <w:rFonts w:ascii="Arial" w:cs="Arial" w:eastAsia="Arial" w:hAnsi="Arial"/>
          <w:sz w:val="10"/>
          <w:szCs w:val="10"/>
          <w:color w:val="auto"/>
        </w:rPr>
        <w:t>accessing the opportunities that the future of energy holds. We will do this while providing sustainable distributions today through our progressive dividend policy. The changing energy landscape means that Shell must take a dynamic approach to its portfolio of assets and products. That means continuing to provide the energy the world needs today, and increasing our investments in cleaner energy. We will keep a disciplined approach to capital investment, and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right="180"/>
        <w:spacing w:after="0" w:line="299" w:lineRule="auto"/>
        <w:rPr>
          <w:sz w:val="20"/>
          <w:szCs w:val="20"/>
          <w:color w:val="auto"/>
        </w:rPr>
      </w:pPr>
      <w:r>
        <w:rPr>
          <w:rFonts w:ascii="Arial" w:cs="Arial" w:eastAsia="Arial" w:hAnsi="Arial"/>
          <w:sz w:val="8"/>
          <w:szCs w:val="8"/>
          <w:color w:val="auto"/>
        </w:rPr>
        <w:t>We will build a strong and resilient business by putting customers at the centre of our strategy, innovating the products and solutions customers need on their journey to net zero. This includes partnering with others to reduce carbon emissions, especially in sectors that are hard to decarbonise. We aim to deliver value through our integrated assets and supply chains, optimising value and managing risk for Shell and our customers as we produce, buy, trade, transport and sell energy products across the world. This is a strategy that combines our financial strength and discipline with a dynamic approach to our portfolio of assets and products, so that we are ready to seize the significant opportunities that exist for us in the energy transition.</w:t>
      </w:r>
    </w:p>
    <w:p>
      <w:pPr>
        <w:spacing w:after="0" w:line="237" w:lineRule="exact"/>
        <w:rPr>
          <w:sz w:val="20"/>
          <w:szCs w:val="20"/>
          <w:color w:val="auto"/>
        </w:rPr>
      </w:pPr>
    </w:p>
    <w:p>
      <w:pPr>
        <w:ind w:right="200"/>
        <w:spacing w:after="0" w:line="320" w:lineRule="auto"/>
        <w:rPr>
          <w:sz w:val="20"/>
          <w:szCs w:val="20"/>
          <w:color w:val="auto"/>
        </w:rPr>
      </w:pPr>
      <w:r>
        <w:rPr>
          <w:rFonts w:ascii="Arial" w:cs="Arial" w:eastAsia="Arial" w:hAnsi="Arial"/>
          <w:sz w:val="8"/>
          <w:szCs w:val="8"/>
          <w:color w:val="auto"/>
        </w:rPr>
        <w:t>Powering Progress generates value for our shareholders, customers and wider society. It has four main goals which integrate sustainability with our business strategy. These goals support Shell's purpose, to power progress together by providing more and cleaner energy solutions. They are underpinned by our core values of honesty, integrity and respect for people, and our focus on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60"/>
        <w:spacing w:after="0" w:line="230" w:lineRule="auto"/>
        <w:rPr>
          <w:sz w:val="20"/>
          <w:szCs w:val="20"/>
          <w:color w:val="auto"/>
        </w:rPr>
      </w:pPr>
      <w:r>
        <w:rPr>
          <w:rFonts w:ascii="Arial" w:cs="Arial" w:eastAsia="Arial" w:hAnsi="Arial"/>
          <w:sz w:val="10"/>
          <w:szCs w:val="10"/>
          <w:color w:val="auto"/>
        </w:rPr>
        <w:t>strong balance sheet, so that our organisation remains strong and resilient. In this way, we will achieve our aim of being a compelling investment case for our shareholders.</w:t>
      </w:r>
    </w:p>
    <w:p>
      <w:pPr>
        <w:spacing w:after="0" w:line="138" w:lineRule="exact"/>
        <w:rPr>
          <w:sz w:val="20"/>
          <w:szCs w:val="20"/>
          <w:color w:val="auto"/>
        </w:rPr>
      </w:pPr>
    </w:p>
    <w:p>
      <w:pPr>
        <w:ind w:right="120"/>
        <w:spacing w:after="0" w:line="243" w:lineRule="auto"/>
        <w:rPr>
          <w:sz w:val="20"/>
          <w:szCs w:val="20"/>
          <w:color w:val="auto"/>
        </w:rPr>
      </w:pPr>
      <w:r>
        <w:rPr>
          <w:rFonts w:ascii="Arial" w:cs="Arial" w:eastAsia="Arial" w:hAnsi="Arial"/>
          <w:sz w:val="10"/>
          <w:szCs w:val="10"/>
          <w:b w:val="1"/>
          <w:bCs w:val="1"/>
          <w:color w:val="auto"/>
        </w:rPr>
        <w:t xml:space="preserve">Achieving net-zero emissions: </w:t>
      </w:r>
      <w:r>
        <w:rPr>
          <w:rFonts w:ascii="Arial" w:cs="Arial" w:eastAsia="Arial" w:hAnsi="Arial"/>
          <w:sz w:val="10"/>
          <w:szCs w:val="10"/>
          <w:color w:val="auto"/>
        </w:rPr>
        <w:t>Tackling climate change is an urgent challenge. That is why we have set a target to become a net-zero</w:t>
      </w:r>
      <w:r>
        <w:rPr>
          <w:rFonts w:ascii="Arial" w:cs="Arial" w:eastAsia="Arial" w:hAnsi="Arial"/>
          <w:sz w:val="10"/>
          <w:szCs w:val="10"/>
          <w:b w:val="1"/>
          <w:bCs w:val="1"/>
          <w:color w:val="auto"/>
        </w:rPr>
        <w:t xml:space="preserve"> </w:t>
      </w:r>
      <w:r>
        <w:rPr>
          <w:rFonts w:ascii="Arial" w:cs="Arial" w:eastAsia="Arial" w:hAnsi="Arial"/>
          <w:sz w:val="10"/>
          <w:szCs w:val="10"/>
          <w:color w:val="auto"/>
        </w:rPr>
        <w:t>emissions energy business by 2050, in step with society. We are transforming our</w:t>
      </w:r>
    </w:p>
    <w:p>
      <w:pPr>
        <w:spacing w:after="0" w:line="200" w:lineRule="exact"/>
        <w:rPr>
          <w:sz w:val="20"/>
          <w:szCs w:val="20"/>
          <w:color w:val="auto"/>
        </w:rPr>
      </w:pPr>
    </w:p>
    <w:p>
      <w:pPr>
        <w:sectPr>
          <w:pgSz w:w="11900" w:h="16838" w:orient="portrait"/>
          <w:cols w:equalWidth="0" w:num="2">
            <w:col w:w="5440" w:space="280"/>
            <w:col w:w="5580"/>
          </w:cols>
          <w:pgMar w:left="300" w:top="928" w:right="29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3480" w:type="dxa"/>
            <w:vAlign w:val="bottom"/>
          </w:tcPr>
          <w:p>
            <w:pPr>
              <w:spacing w:after="0"/>
              <w:rPr>
                <w:sz w:val="20"/>
                <w:szCs w:val="20"/>
                <w:color w:val="auto"/>
              </w:rPr>
            </w:pPr>
            <w:r>
              <w:rPr>
                <w:rFonts w:ascii="Arial" w:cs="Arial" w:eastAsia="Arial" w:hAnsi="Arial"/>
                <w:sz w:val="6"/>
                <w:szCs w:val="6"/>
                <w:color w:val="auto"/>
              </w:rPr>
              <w:t>STRATEGIC REPORT SHELL FORM 20-F 2020</w:t>
            </w:r>
          </w:p>
        </w:tc>
        <w:tc>
          <w:tcPr>
            <w:tcW w:w="7820" w:type="dxa"/>
            <w:vAlign w:val="bottom"/>
          </w:tcPr>
          <w:p>
            <w:pPr>
              <w:jc w:val="right"/>
              <w:ind w:right="5490"/>
              <w:spacing w:after="0"/>
              <w:rPr>
                <w:sz w:val="20"/>
                <w:szCs w:val="20"/>
                <w:color w:val="auto"/>
              </w:rPr>
            </w:pPr>
            <w:r>
              <w:rPr>
                <w:rFonts w:ascii="Arial" w:cs="Arial" w:eastAsia="Arial" w:hAnsi="Arial"/>
                <w:sz w:val="6"/>
                <w:szCs w:val="6"/>
                <w:color w:val="auto"/>
              </w:rPr>
              <w:t>14</w:t>
            </w:r>
          </w:p>
        </w:tc>
      </w:tr>
      <w:tr>
        <w:trPr>
          <w:trHeight w:val="81"/>
        </w:trPr>
        <w:tc>
          <w:tcPr>
            <w:tcW w:w="3480" w:type="dxa"/>
            <w:vAlign w:val="bottom"/>
            <w:tcBorders>
              <w:bottom w:val="single" w:sz="8" w:color="9A9A9A"/>
            </w:tcBorders>
          </w:tcPr>
          <w:p>
            <w:pPr>
              <w:spacing w:after="0"/>
              <w:rPr>
                <w:sz w:val="7"/>
                <w:szCs w:val="7"/>
                <w:color w:val="auto"/>
              </w:rPr>
            </w:pPr>
          </w:p>
        </w:tc>
        <w:tc>
          <w:tcPr>
            <w:tcW w:w="7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928" w:right="299" w:bottom="1440" w:gutter="0" w:footer="0" w:header="0"/>
          <w:type w:val="continuous"/>
        </w:sectPr>
      </w:pPr>
    </w:p>
    <w:bookmarkStart w:id="17" w:name="page18"/>
    <w:bookmarkEnd w:id="17"/>
    <w:p>
      <w:pPr>
        <w:jc w:val="both"/>
        <w:spacing w:after="0" w:line="231" w:lineRule="auto"/>
        <w:rPr>
          <w:sz w:val="20"/>
          <w:szCs w:val="20"/>
          <w:color w:val="auto"/>
        </w:rPr>
      </w:pPr>
      <w:r>
        <w:rPr>
          <w:rFonts w:ascii="Arial" w:cs="Arial" w:eastAsia="Arial" w:hAnsi="Arial"/>
          <w:sz w:val="10"/>
          <w:szCs w:val="10"/>
          <w:color w:val="auto"/>
        </w:rPr>
        <w:t>business and finding new opportunities – selling more low-carbon products such as biofuels, electricity generated by solar and wind power, hydrogen and charging for electric vehicles. We are partnering with customers, businesses and governments to address the energy transition and reduce emissions sector by sector. This includes in sectors that are harder to decarbonise, such as aviation, shipping, commercial road freight, power, heating and certain parts of industry. We also support government policies to reduce carbon emissions in the economy, sector by sector.</w:t>
      </w:r>
    </w:p>
    <w:p>
      <w:pPr>
        <w:spacing w:after="0" w:line="147" w:lineRule="exact"/>
        <w:rPr>
          <w:sz w:val="20"/>
          <w:szCs w:val="20"/>
          <w:color w:val="auto"/>
        </w:rPr>
      </w:pPr>
    </w:p>
    <w:p>
      <w:pPr>
        <w:ind w:right="80"/>
        <w:spacing w:after="0" w:line="216" w:lineRule="auto"/>
        <w:rPr>
          <w:sz w:val="20"/>
          <w:szCs w:val="20"/>
          <w:color w:val="auto"/>
        </w:rPr>
      </w:pPr>
      <w:r>
        <w:rPr>
          <w:rFonts w:ascii="Arial" w:cs="Arial" w:eastAsia="Arial" w:hAnsi="Arial"/>
          <w:sz w:val="10"/>
          <w:szCs w:val="10"/>
          <w:b w:val="1"/>
          <w:bCs w:val="1"/>
          <w:color w:val="auto"/>
        </w:rPr>
        <w:t xml:space="preserve">Powering lives: </w:t>
      </w:r>
      <w:r>
        <w:rPr>
          <w:rFonts w:ascii="Arial" w:cs="Arial" w:eastAsia="Arial" w:hAnsi="Arial"/>
          <w:sz w:val="10"/>
          <w:szCs w:val="10"/>
          <w:color w:val="auto"/>
        </w:rPr>
        <w:t>Shell helps to power lives and livelihoods by providing vital energy for homes, businesses and transport. The supply of</w:t>
      </w:r>
      <w:r>
        <w:rPr>
          <w:rFonts w:ascii="Arial" w:cs="Arial" w:eastAsia="Arial" w:hAnsi="Arial"/>
          <w:sz w:val="10"/>
          <w:szCs w:val="10"/>
          <w:b w:val="1"/>
          <w:bCs w:val="1"/>
          <w:color w:val="auto"/>
        </w:rPr>
        <w:t xml:space="preserve"> </w:t>
      </w:r>
      <w:r>
        <w:rPr>
          <w:rFonts w:ascii="Arial" w:cs="Arial" w:eastAsia="Arial" w:hAnsi="Arial"/>
          <w:sz w:val="10"/>
          <w:szCs w:val="10"/>
          <w:color w:val="auto"/>
        </w:rPr>
        <w:t>affordable, reliable and sustainable energy is also crucial for addressing global challenges, including those related to poverty and inequality. Our operations support livelihoods by providing employment and training in the communities where we operate. We are working to become one of the most diverse and inclusive companies in the world, a place where everyone feels valued and respected. We are focusing on four areas: gender, race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3909060" cy="26060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90906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color w:val="auto"/>
        </w:rPr>
        <w:t>B</w:t>
      </w:r>
      <w:r>
        <w:rPr>
          <w:rFonts w:ascii="Arial" w:cs="Arial" w:eastAsia="Arial" w:hAnsi="Arial"/>
          <w:sz w:val="9"/>
          <w:szCs w:val="9"/>
          <w:color w:val="auto"/>
        </w:rPr>
        <w:t>USINESS PILLARS</w:t>
      </w:r>
    </w:p>
    <w:p>
      <w:pPr>
        <w:spacing w:after="0" w:line="10" w:lineRule="exact"/>
        <w:rPr>
          <w:sz w:val="20"/>
          <w:szCs w:val="20"/>
          <w:color w:val="auto"/>
        </w:rPr>
      </w:pPr>
    </w:p>
    <w:p>
      <w:pPr>
        <w:ind w:right="40"/>
        <w:spacing w:after="0" w:line="228" w:lineRule="auto"/>
        <w:rPr>
          <w:sz w:val="20"/>
          <w:szCs w:val="20"/>
          <w:color w:val="auto"/>
        </w:rPr>
      </w:pPr>
      <w:r>
        <w:rPr>
          <w:rFonts w:ascii="Arial" w:cs="Arial" w:eastAsia="Arial" w:hAnsi="Arial"/>
          <w:sz w:val="10"/>
          <w:szCs w:val="10"/>
          <w:color w:val="auto"/>
        </w:rPr>
        <w:t>Powering Progress is a strategy that combines our financial strength and discipline with a dynamic approach to our portfolio of assets and products, so that we are ready to seize the significant opportunities that exist for us in the energy transition. Shell will reshape its portfolio of assets and products to meet the cleaner energy needs of its customers in the coming decades. We will deliver our strategy through three business pillars: Growth, Transition, and Upstream.</w:t>
      </w:r>
    </w:p>
    <w:p>
      <w:pPr>
        <w:spacing w:after="0" w:line="149" w:lineRule="exact"/>
        <w:rPr>
          <w:sz w:val="20"/>
          <w:szCs w:val="20"/>
          <w:color w:val="auto"/>
        </w:rPr>
      </w:pPr>
    </w:p>
    <w:p>
      <w:pPr>
        <w:spacing w:after="0"/>
        <w:rPr>
          <w:sz w:val="20"/>
          <w:szCs w:val="20"/>
          <w:color w:val="auto"/>
        </w:rPr>
      </w:pPr>
      <w:r>
        <w:rPr>
          <w:rFonts w:ascii="Arial" w:cs="Arial" w:eastAsia="Arial" w:hAnsi="Arial"/>
          <w:sz w:val="8"/>
          <w:szCs w:val="8"/>
          <w:color w:val="auto"/>
        </w:rPr>
        <w:t>Through these three areas, we are creating flexibility in investment opportunities while enabling growth in our customer-facing businesses.</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Our strategy delivers additional value through trading and optimisation.</w:t>
      </w:r>
    </w:p>
    <w:p>
      <w:pPr>
        <w:spacing w:after="0" w:line="149" w:lineRule="exact"/>
        <w:rPr>
          <w:sz w:val="20"/>
          <w:szCs w:val="20"/>
          <w:color w:val="auto"/>
        </w:rPr>
      </w:pPr>
    </w:p>
    <w:p>
      <w:pPr>
        <w:jc w:val="both"/>
        <w:spacing w:after="0" w:line="232" w:lineRule="auto"/>
        <w:rPr>
          <w:sz w:val="20"/>
          <w:szCs w:val="20"/>
          <w:color w:val="auto"/>
        </w:rPr>
      </w:pPr>
      <w:r>
        <w:rPr>
          <w:rFonts w:ascii="Arial" w:cs="Arial" w:eastAsia="Arial" w:hAnsi="Arial"/>
          <w:sz w:val="10"/>
          <w:szCs w:val="10"/>
          <w:color w:val="auto"/>
        </w:rPr>
        <w:t>Achieving our strategy depends on how we respond to competitive forces. We continually assess the external environment – the markets and the underlying economic, political, social and environmental drivers that shape them – to evaluate changes in competitive forces and business models. We use multiple future scenarios to assess the resilience of our strategy. We regularly review the markets where we operate, assessing our competitive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ethnicity, LGBT+ and disability. We respect human rights in all parts of our business.</w:t>
      </w:r>
    </w:p>
    <w:p>
      <w:pPr>
        <w:spacing w:after="0" w:line="144" w:lineRule="exact"/>
        <w:rPr>
          <w:sz w:val="20"/>
          <w:szCs w:val="20"/>
          <w:color w:val="auto"/>
        </w:rPr>
      </w:pPr>
    </w:p>
    <w:p>
      <w:pPr>
        <w:ind w:right="120"/>
        <w:spacing w:after="0" w:line="216" w:lineRule="auto"/>
        <w:rPr>
          <w:sz w:val="20"/>
          <w:szCs w:val="20"/>
          <w:color w:val="auto"/>
        </w:rPr>
      </w:pPr>
      <w:r>
        <w:rPr>
          <w:rFonts w:ascii="Arial" w:cs="Arial" w:eastAsia="Arial" w:hAnsi="Arial"/>
          <w:sz w:val="10"/>
          <w:szCs w:val="10"/>
          <w:b w:val="1"/>
          <w:bCs w:val="1"/>
          <w:color w:val="auto"/>
        </w:rPr>
        <w:t xml:space="preserve">Respecting nature: </w:t>
      </w:r>
      <w:r>
        <w:rPr>
          <w:rFonts w:ascii="Arial" w:cs="Arial" w:eastAsia="Arial" w:hAnsi="Arial"/>
          <w:sz w:val="10"/>
          <w:szCs w:val="10"/>
          <w:color w:val="auto"/>
        </w:rPr>
        <w:t>We are stepping up our environmental ambitions, shaping them to reflect the UN Sustainable Development Goals. Our</w:t>
      </w:r>
      <w:r>
        <w:rPr>
          <w:rFonts w:ascii="Arial" w:cs="Arial" w:eastAsia="Arial" w:hAnsi="Arial"/>
          <w:sz w:val="10"/>
          <w:szCs w:val="10"/>
          <w:b w:val="1"/>
          <w:bCs w:val="1"/>
          <w:color w:val="auto"/>
        </w:rPr>
        <w:t xml:space="preserve"> </w:t>
      </w:r>
      <w:r>
        <w:rPr>
          <w:rFonts w:ascii="Arial" w:cs="Arial" w:eastAsia="Arial" w:hAnsi="Arial"/>
          <w:sz w:val="10"/>
          <w:szCs w:val="10"/>
          <w:color w:val="auto"/>
        </w:rPr>
        <w:t>environmental ambitions include protecting and enhancing biodiversity. We are also focusing on using water and other resources more efficiently across all our activities, reusing as much of them as we can. We are reducing waste from our operations and increasing recycling of plastics. We are helping to improve air quality by reducing emissions from our operations and providing cleaner ways to power transport and industry.</w:t>
      </w:r>
    </w:p>
    <w:p>
      <w:pPr>
        <w:spacing w:after="0" w:line="142" w:lineRule="exact"/>
        <w:rPr>
          <w:sz w:val="20"/>
          <w:szCs w:val="20"/>
          <w:color w:val="auto"/>
        </w:rPr>
      </w:pPr>
    </w:p>
    <w:p>
      <w:pPr>
        <w:ind w:right="140"/>
        <w:spacing w:after="0" w:line="239" w:lineRule="auto"/>
        <w:rPr>
          <w:sz w:val="20"/>
          <w:szCs w:val="20"/>
          <w:color w:val="auto"/>
        </w:rPr>
      </w:pPr>
      <w:r>
        <w:rPr>
          <w:rFonts w:ascii="Arial" w:cs="Arial" w:eastAsia="Arial" w:hAnsi="Arial"/>
          <w:sz w:val="10"/>
          <w:szCs w:val="10"/>
          <w:color w:val="auto"/>
        </w:rPr>
        <w:t>Working with our partners and suppliers and developing new collaborations is key. We will join with others across industry, governments, our customers and supply chains to protect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8"/>
          <w:szCs w:val="8"/>
          <w:color w:val="auto"/>
        </w:rPr>
        <w:t>position by analysing trends, uncertainties, and the strengths and weaknesses of our traditional and non-traditional competitors.</w:t>
      </w:r>
    </w:p>
    <w:p>
      <w:pPr>
        <w:spacing w:after="0" w:line="178" w:lineRule="exact"/>
        <w:rPr>
          <w:sz w:val="20"/>
          <w:szCs w:val="20"/>
          <w:color w:val="auto"/>
        </w:rPr>
      </w:pPr>
    </w:p>
    <w:p>
      <w:pPr>
        <w:ind w:right="360"/>
        <w:spacing w:after="0" w:line="358" w:lineRule="auto"/>
        <w:rPr>
          <w:sz w:val="20"/>
          <w:szCs w:val="20"/>
          <w:color w:val="auto"/>
        </w:rPr>
      </w:pPr>
      <w:r>
        <w:rPr>
          <w:rFonts w:ascii="Arial" w:cs="Arial" w:eastAsia="Arial" w:hAnsi="Arial"/>
          <w:sz w:val="8"/>
          <w:szCs w:val="8"/>
          <w:color w:val="auto"/>
        </w:rPr>
        <w:t>To support the delivery of our strategy, we are redesigning Shell to put customers at the centre. That means organising ourselves to help economic sectors to decarbonise, by providing integrated, lower-carbon energy solutions, sector by sector.</w:t>
      </w:r>
    </w:p>
    <w:p>
      <w:pPr>
        <w:spacing w:after="0" w:line="104" w:lineRule="exact"/>
        <w:rPr>
          <w:sz w:val="20"/>
          <w:szCs w:val="20"/>
          <w:color w:val="auto"/>
        </w:rPr>
      </w:pPr>
    </w:p>
    <w:p>
      <w:pPr>
        <w:ind w:right="240"/>
        <w:spacing w:after="0" w:line="358" w:lineRule="auto"/>
        <w:rPr>
          <w:sz w:val="20"/>
          <w:szCs w:val="20"/>
          <w:color w:val="auto"/>
        </w:rPr>
      </w:pPr>
      <w:r>
        <w:rPr>
          <w:rFonts w:ascii="Arial" w:cs="Arial" w:eastAsia="Arial" w:hAnsi="Arial"/>
          <w:sz w:val="8"/>
          <w:szCs w:val="8"/>
          <w:color w:val="auto"/>
        </w:rPr>
        <w:t>We maintain business strategies and plans that focus on actions and capabilities to create and sustain competitive advantage. We maintain a risk management framework that regularly assesses our response to, and risk appetite for, identified risks.</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See "Risk factors" on page 18 and "Governance" on page 89.</w:t>
      </w:r>
    </w:p>
    <w:p>
      <w:pPr>
        <w:spacing w:after="0" w:line="155" w:lineRule="exact"/>
        <w:rPr>
          <w:sz w:val="20"/>
          <w:szCs w:val="20"/>
          <w:color w:val="auto"/>
        </w:rPr>
      </w:pPr>
    </w:p>
    <w:p>
      <w:pPr>
        <w:ind w:right="140"/>
        <w:spacing w:after="0" w:line="234" w:lineRule="auto"/>
        <w:rPr>
          <w:sz w:val="20"/>
          <w:szCs w:val="20"/>
          <w:color w:val="auto"/>
        </w:rPr>
      </w:pPr>
      <w:r>
        <w:rPr>
          <w:rFonts w:ascii="Arial" w:cs="Arial" w:eastAsia="Arial" w:hAnsi="Arial"/>
          <w:sz w:val="10"/>
          <w:szCs w:val="10"/>
          <w:color w:val="auto"/>
        </w:rPr>
        <w:t>Our Executive Directors’ remuneration is linked to the successful delivery of our strategy, based on performance indicators that are aligned with shareholder interests. Long-term incentives form the majority of the Executive Directors’ remuneration for above-target performance. In 2020, the Long-term Incentive Plan (LTIP) included cash generation, capital</w:t>
      </w:r>
    </w:p>
    <w:p>
      <w:pPr>
        <w:spacing w:after="0" w:line="290"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15</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8" w:name="page19"/>
    <w:bookmarkEnd w:id="18"/>
    <w:p>
      <w:pPr>
        <w:spacing w:after="0" w:line="239" w:lineRule="auto"/>
        <w:rPr>
          <w:sz w:val="20"/>
          <w:szCs w:val="20"/>
          <w:color w:val="auto"/>
        </w:rPr>
      </w:pPr>
      <w:r>
        <w:rPr>
          <w:rFonts w:ascii="Arial" w:cs="Arial" w:eastAsia="Arial" w:hAnsi="Arial"/>
          <w:sz w:val="10"/>
          <w:szCs w:val="10"/>
          <w:color w:val="auto"/>
        </w:rPr>
        <w:t>discipline, value created for shareholders, and an energy transition condition. For 2021, the weighting of the energy transition condition in the LTIP has been increased to 20%.</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See the “Directors’ Remuneration Report” on page 116</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For more details on how the strategic pillars are embedded into our businesses, see “Business Overview” on pages 11-13</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OUTLOOK FOR 2021 AND BEYOND</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0"/>
          <w:szCs w:val="10"/>
          <w:color w:val="auto"/>
        </w:rPr>
        <w:t>We believe that our integrated business model is key to driving our strategy. It means that our portfolio is greater than the sum of its parts. This competitive portfolio has a solid track record on cash generation, where Shell is leading its peer group. We intend to evolve our portfolio of assets and the mix of energy that we sell to meet the cleaner energy needs of our customers in the coming decades, while delivering value for our shareholders.</w:t>
      </w:r>
    </w:p>
    <w:p>
      <w:pPr>
        <w:spacing w:after="0" w:line="149" w:lineRule="exact"/>
        <w:rPr>
          <w:sz w:val="20"/>
          <w:szCs w:val="20"/>
          <w:color w:val="auto"/>
        </w:rPr>
      </w:pPr>
    </w:p>
    <w:p>
      <w:pPr>
        <w:ind w:right="60"/>
        <w:spacing w:after="0" w:line="232" w:lineRule="auto"/>
        <w:rPr>
          <w:sz w:val="20"/>
          <w:szCs w:val="20"/>
          <w:color w:val="auto"/>
        </w:rPr>
      </w:pPr>
      <w:r>
        <w:rPr>
          <w:rFonts w:ascii="Arial" w:cs="Arial" w:eastAsia="Arial" w:hAnsi="Arial"/>
          <w:sz w:val="10"/>
          <w:szCs w:val="10"/>
          <w:color w:val="auto"/>
        </w:rPr>
        <w:t>Delivering our strategy will require clear and deliberate capital allocation choices. We approach capital allocation at three levels: enterprise, portfolio and project. The enterprise level is about how we make choices between increasing distributions to our shareholders, investing in our business and/or strengthening our balance sheet. The portfolio level is about how we allocate capital between our three business pillars - Growth, Transition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302895</wp:posOffset>
            </wp:positionV>
            <wp:extent cx="3909060" cy="257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0906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60"/>
        <w:spacing w:after="0" w:line="277" w:lineRule="auto"/>
        <w:rPr>
          <w:sz w:val="20"/>
          <w:szCs w:val="20"/>
          <w:color w:val="auto"/>
        </w:rPr>
      </w:pPr>
      <w:r>
        <w:rPr>
          <w:rFonts w:ascii="Arial" w:cs="Arial" w:eastAsia="Arial" w:hAnsi="Arial"/>
          <w:sz w:val="8"/>
          <w:szCs w:val="8"/>
          <w:color w:val="auto"/>
        </w:rPr>
        <w:t>We fully support the Paris Agreement’s goal to keep the rise in global average temperature this century to well below two degrees Celsius above pre-industrial levels and to pursue efforts to limit temperature increase even further to 1.5 degrees Celsius. We announced a long-term target to become a net-zero emissions energy business by 2050, in step with society. This includes a target to be net zero on all emissions from the manufacture of all our products – (our Scope 1 and 2 emissions) – by 2050, and also net zero from the end use of all the energy products we sell (Scope 3 emissions). We aim to reduce the net carbon intensity of energy sold by 6-8% by 2023, 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Upstream. The project level is about how we evaluate and prioritise investment opportunities.</w:t>
      </w:r>
    </w:p>
    <w:p>
      <w:pPr>
        <w:spacing w:after="0" w:line="155" w:lineRule="exact"/>
        <w:rPr>
          <w:sz w:val="20"/>
          <w:szCs w:val="20"/>
          <w:color w:val="auto"/>
        </w:rPr>
      </w:pPr>
    </w:p>
    <w:p>
      <w:pPr>
        <w:ind w:right="400"/>
        <w:spacing w:after="0" w:line="239" w:lineRule="auto"/>
        <w:rPr>
          <w:sz w:val="20"/>
          <w:szCs w:val="20"/>
          <w:color w:val="auto"/>
        </w:rPr>
      </w:pPr>
      <w:r>
        <w:rPr>
          <w:rFonts w:ascii="Arial" w:cs="Arial" w:eastAsia="Arial" w:hAnsi="Arial"/>
          <w:sz w:val="10"/>
          <w:szCs w:val="10"/>
          <w:color w:val="auto"/>
        </w:rPr>
        <w:t>At the enterprise level, we look to achieve the right balance between shareholder distributions today and investing for value-enhancing growth.</w:t>
      </w:r>
    </w:p>
    <w:p>
      <w:pPr>
        <w:spacing w:after="0" w:line="149" w:lineRule="exact"/>
        <w:rPr>
          <w:sz w:val="20"/>
          <w:szCs w:val="20"/>
          <w:color w:val="auto"/>
        </w:rPr>
      </w:pPr>
    </w:p>
    <w:p>
      <w:pPr>
        <w:jc w:val="both"/>
        <w:ind w:right="120"/>
        <w:spacing w:after="0" w:line="320" w:lineRule="auto"/>
        <w:rPr>
          <w:sz w:val="20"/>
          <w:szCs w:val="20"/>
          <w:color w:val="auto"/>
        </w:rPr>
      </w:pPr>
      <w:r>
        <w:rPr>
          <w:rFonts w:ascii="Arial" w:cs="Arial" w:eastAsia="Arial" w:hAnsi="Arial"/>
          <w:sz w:val="8"/>
          <w:szCs w:val="8"/>
          <w:color w:val="auto"/>
        </w:rPr>
        <w:t>For cash capital expenditure, we plan to spend between $19 and 22 billion per annum in the near term. In addition, we expect operating costs to be no higher than $35 billion and to deliver a divestment programme totalling around $4 billion a year in this period. We remain committed to our progressive dividend policy and focused on targeting AA-equivalent credit metrics through the cycle.</w:t>
      </w:r>
    </w:p>
    <w:p>
      <w:pPr>
        <w:spacing w:after="0" w:line="118" w:lineRule="exact"/>
        <w:rPr>
          <w:sz w:val="20"/>
          <w:szCs w:val="20"/>
          <w:color w:val="auto"/>
        </w:rPr>
      </w:pPr>
    </w:p>
    <w:p>
      <w:pPr>
        <w:ind w:right="140"/>
        <w:spacing w:after="0" w:line="234" w:lineRule="auto"/>
        <w:rPr>
          <w:sz w:val="20"/>
          <w:szCs w:val="20"/>
          <w:color w:val="auto"/>
        </w:rPr>
      </w:pPr>
      <w:r>
        <w:rPr>
          <w:rFonts w:ascii="Arial" w:cs="Arial" w:eastAsia="Arial" w:hAnsi="Arial"/>
          <w:sz w:val="10"/>
          <w:szCs w:val="10"/>
          <w:color w:val="auto"/>
        </w:rPr>
        <w:t>Subject to Board approval, we aim to grow the dividend per share by around 4 percent every year. Once our net debt level has reached $65 billion, we will target the distribution of 20-30% of cash flow from operations to shareholders, and may choose to return cash to shareholders through a combination of dividends and share buybacks.</w:t>
      </w:r>
    </w:p>
    <w:p>
      <w:pPr>
        <w:spacing w:after="0" w:line="150" w:lineRule="exact"/>
        <w:rPr>
          <w:sz w:val="20"/>
          <w:szCs w:val="20"/>
          <w:color w:val="auto"/>
        </w:rPr>
      </w:pPr>
    </w:p>
    <w:p>
      <w:pPr>
        <w:ind w:right="280"/>
        <w:spacing w:after="0" w:line="239" w:lineRule="auto"/>
        <w:rPr>
          <w:sz w:val="20"/>
          <w:szCs w:val="20"/>
          <w:color w:val="auto"/>
        </w:rPr>
      </w:pPr>
      <w:r>
        <w:rPr>
          <w:rFonts w:ascii="Arial" w:cs="Arial" w:eastAsia="Arial" w:hAnsi="Arial"/>
          <w:sz w:val="10"/>
          <w:szCs w:val="10"/>
          <w:color w:val="auto"/>
        </w:rPr>
        <w:t>Once we have achieved this level of shareholder distributions, additional surplus cash will be allocated between further disciplined capital investments to deliver our strategy and further debt reduction to strengthen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80"/>
        <w:spacing w:after="0" w:line="335" w:lineRule="auto"/>
        <w:rPr>
          <w:sz w:val="20"/>
          <w:szCs w:val="20"/>
          <w:color w:val="auto"/>
        </w:rPr>
      </w:pPr>
      <w:r>
        <w:rPr>
          <w:rFonts w:ascii="Arial" w:cs="Arial" w:eastAsia="Arial" w:hAnsi="Arial"/>
          <w:sz w:val="8"/>
          <w:szCs w:val="8"/>
          <w:color w:val="auto"/>
        </w:rPr>
        <w:t>by 2030, 45% by 2035 and 100% by 2050, in comparison with 2016. We expect that our total carbon emissions from energy sold will stay below 2018 levels. Further details are in the "Climate change and energy transition" section on page 73.</w:t>
      </w:r>
    </w:p>
    <w:p>
      <w:pPr>
        <w:spacing w:after="0" w:line="103" w:lineRule="exact"/>
        <w:rPr>
          <w:sz w:val="20"/>
          <w:szCs w:val="20"/>
          <w:color w:val="auto"/>
        </w:rPr>
      </w:pPr>
    </w:p>
    <w:p>
      <w:pPr>
        <w:ind w:right="140"/>
        <w:spacing w:after="0" w:line="320" w:lineRule="auto"/>
        <w:rPr>
          <w:sz w:val="20"/>
          <w:szCs w:val="20"/>
          <w:color w:val="auto"/>
        </w:rPr>
      </w:pPr>
      <w:r>
        <w:rPr>
          <w:rFonts w:ascii="Arial" w:cs="Arial" w:eastAsia="Arial" w:hAnsi="Arial"/>
          <w:sz w:val="8"/>
          <w:szCs w:val="8"/>
          <w:color w:val="auto"/>
        </w:rPr>
        <w:t>As a result of COVID-19, there continues to be significant uncertainty in the macroeconomic conditions with an expected negative impact on demand for oil, gas and related products. Demand or regulatory requirements and/or constraints in infrastructure may cause Shell to take measures to curtail or reduce oil and/or gas production, LNG liquefaction and utilisation of</w:t>
      </w:r>
    </w:p>
    <w:p>
      <w:pPr>
        <w:spacing w:after="0" w:line="200"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16</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9" w:name="page20"/>
    <w:bookmarkEnd w:id="19"/>
    <w:p>
      <w:pPr>
        <w:ind w:right="80"/>
        <w:spacing w:after="0" w:line="239" w:lineRule="auto"/>
        <w:rPr>
          <w:sz w:val="20"/>
          <w:szCs w:val="20"/>
          <w:color w:val="auto"/>
        </w:rPr>
      </w:pPr>
      <w:r>
        <w:rPr>
          <w:rFonts w:ascii="Arial" w:cs="Arial" w:eastAsia="Arial" w:hAnsi="Arial"/>
          <w:sz w:val="10"/>
          <w:szCs w:val="10"/>
          <w:color w:val="auto"/>
        </w:rPr>
        <w:t>refining and chemicals plants. Sales volumes could be similarly affected. Such measures could impact our earnings, cash flow and financial condition.</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0"/>
          <w:szCs w:val="10"/>
          <w:color w:val="auto"/>
        </w:rPr>
        <w:t>The statements in this “Strategy and outlook” section, including those related to our growth strategies and our expected or potential future cash flow from operations, organic free cash flow, share buybacks, capital investment, divestments, production and Net Carbon Footprint, are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3909060" cy="22574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09060" cy="2257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34" w:lineRule="auto"/>
        <w:rPr>
          <w:sz w:val="20"/>
          <w:szCs w:val="20"/>
          <w:color w:val="auto"/>
        </w:rPr>
      </w:pPr>
      <w:r>
        <w:rPr>
          <w:rFonts w:ascii="Arial" w:cs="Arial" w:eastAsia="Arial" w:hAnsi="Arial"/>
          <w:sz w:val="10"/>
          <w:szCs w:val="10"/>
          <w:color w:val="auto"/>
        </w:rPr>
        <w:t>management’s current expectations and certain material assumptions and, accordingly, involve risks and uncertainties that could cause actual results, performance or events to differ materially from those expressed or implied herein. See “About this Report” on pages 8-9 and “Risk factors” on pages 18-22.</w:t>
      </w:r>
    </w:p>
    <w:p>
      <w:pPr>
        <w:spacing w:after="0" w:line="577" w:lineRule="exact"/>
        <w:rPr>
          <w:sz w:val="20"/>
          <w:szCs w:val="20"/>
          <w:color w:val="auto"/>
        </w:rPr>
      </w:pPr>
    </w:p>
    <w:p>
      <w:pPr>
        <w:sectPr>
          <w:pgSz w:w="11900" w:h="16838" w:orient="portrait"/>
          <w:cols w:equalWidth="0" w:num="2">
            <w:col w:w="5420" w:space="300"/>
            <w:col w:w="5580"/>
          </w:cols>
          <w:pgMar w:left="300" w:top="64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17</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2"/>
          <w:szCs w:val="22"/>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139" w:lineRule="exact"/>
        <w:rPr>
          <w:sz w:val="20"/>
          <w:szCs w:val="20"/>
          <w:color w:val="auto"/>
        </w:rPr>
      </w:pPr>
    </w:p>
    <w:p>
      <w:pPr>
        <w:ind w:right="340"/>
        <w:spacing w:after="0" w:line="243" w:lineRule="auto"/>
        <w:rPr>
          <w:sz w:val="20"/>
          <w:szCs w:val="20"/>
          <w:color w:val="auto"/>
        </w:rPr>
      </w:pPr>
      <w:r>
        <w:rPr>
          <w:rFonts w:ascii="Arial" w:cs="Arial" w:eastAsia="Arial" w:hAnsi="Arial"/>
          <w:sz w:val="10"/>
          <w:szCs w:val="10"/>
          <w:b w:val="1"/>
          <w:bCs w:val="1"/>
          <w:color w:val="auto"/>
        </w:rPr>
        <w:t>The risks discussed below could have a material adverse effect separately, or in combination, on our earnings, cash flows and financial condition. Accordingly, investors should carefully consider these risks.</w:t>
      </w:r>
    </w:p>
    <w:p>
      <w:pPr>
        <w:spacing w:after="0" w:line="147" w:lineRule="exact"/>
        <w:rPr>
          <w:sz w:val="20"/>
          <w:szCs w:val="20"/>
          <w:color w:val="auto"/>
        </w:rPr>
      </w:pPr>
    </w:p>
    <w:p>
      <w:pPr>
        <w:ind w:right="160"/>
        <w:spacing w:after="0" w:line="239" w:lineRule="auto"/>
        <w:rPr>
          <w:sz w:val="20"/>
          <w:szCs w:val="20"/>
          <w:color w:val="auto"/>
        </w:rPr>
      </w:pPr>
      <w:r>
        <w:rPr>
          <w:rFonts w:ascii="Arial" w:cs="Arial" w:eastAsia="Arial" w:hAnsi="Arial"/>
          <w:sz w:val="10"/>
          <w:szCs w:val="10"/>
          <w:color w:val="auto"/>
        </w:rPr>
        <w:t>Further background and measures that we use when assessing various risks are set out in the relevant sections of this Report, indicated by way of cross-references under each risk factor.</w:t>
      </w:r>
    </w:p>
    <w:p>
      <w:pPr>
        <w:spacing w:after="0" w:line="149" w:lineRule="exact"/>
        <w:rPr>
          <w:sz w:val="20"/>
          <w:szCs w:val="20"/>
          <w:color w:val="auto"/>
        </w:rPr>
      </w:pPr>
    </w:p>
    <w:p>
      <w:pPr>
        <w:ind w:right="220"/>
        <w:spacing w:after="0" w:line="239" w:lineRule="auto"/>
        <w:rPr>
          <w:sz w:val="20"/>
          <w:szCs w:val="20"/>
          <w:color w:val="auto"/>
        </w:rPr>
      </w:pPr>
      <w:r>
        <w:rPr>
          <w:rFonts w:ascii="Arial" w:cs="Arial" w:eastAsia="Arial" w:hAnsi="Arial"/>
          <w:sz w:val="10"/>
          <w:szCs w:val="10"/>
          <w:color w:val="auto"/>
        </w:rPr>
        <w:t>The Board’s responsibility for identifying, evaluating and managing our significant and emerging risks is discussed in “Governance” on pages 99-101.</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STRATEGIC RISKS</w:t>
      </w:r>
    </w:p>
    <w:p>
      <w:pPr>
        <w:spacing w:after="0" w:line="155"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We are exposed to macroeconomic risks including fluctuating prices of crude oil, natural gas, oil products and chemicals.</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8"/>
          <w:szCs w:val="8"/>
          <w:color w:val="auto"/>
        </w:rPr>
        <w:t>The prices of crude oil, natural gas, oil products and chemicals are affected by supply and demand, both globally and regionally. Macroeconomic, geopolitical and technological uncertainties can also affect production costs and demand for our products. Government actions may also affect the prices of crude oil, natural gas, oil products and chemicals. This could happen, for example, if governments promote the sale of lower-carbon electric vehicles or even prohibit future sales of new diesel or gasoline vehicles, such as the prohibition in the United Kingdom (UK) that is expected to come into force in 2030. Oil and gas prices can also move independently of each other. Factors that influence supply and demand include operational issues, natural disasters, weather, pandemics such as COVID-19, political instability, conflicts, economic conditions and actions by major oil and gas producing countries. In a low oil and gas price environment, we would generate less revenue from our Upstream and Integrated Gas businesses, and parts of those businesses could become less profitable or incur losses. Low oil and gas prices have also resulted and could continue to result in the debooking of proved oil or gas reserves, if they become uneconomic in this type of price environment. Prolonged periods of low oil and gas prices, or rising costs, have resulted and could continue to result in projects being delayed or cancelled. Assets have been impaired in the past, (including in 2020), and there could be impairments in the future. Low oil and gas prices could also affect our ability to maintain our long-term capital investment programme and dividend payments. Prolonged periods of low oil and gas prices could adversely affect the financial, fiscal, legal, political and social stability of countries that rely significantly on oil and gas revenue. In a high oil and gas price environment, we could experience sharp increases in costs, and, under some production-sharing contracts, our entitlement to proved reserves would be reduced. Higher prices could also reduce demand for our products, which could result in lower profitability, particularly in our Oil Products and Chemicals business. Higher prices can also lead to more capacity being built, potentially resulting in an oversupply of products that can negatively affect our LNG and Chemicals businesses.</w:t>
      </w:r>
    </w:p>
    <w:p>
      <w:pPr>
        <w:spacing w:after="0" w:line="203" w:lineRule="exact"/>
        <w:rPr>
          <w:sz w:val="20"/>
          <w:szCs w:val="20"/>
          <w:color w:val="auto"/>
        </w:rPr>
      </w:pPr>
    </w:p>
    <w:p>
      <w:pPr>
        <w:spacing w:after="0"/>
        <w:rPr>
          <w:sz w:val="20"/>
          <w:szCs w:val="20"/>
          <w:color w:val="auto"/>
        </w:rPr>
      </w:pPr>
      <w:r>
        <w:rPr>
          <w:rFonts w:ascii="Arial" w:cs="Arial" w:eastAsia="Arial" w:hAnsi="Arial"/>
          <w:sz w:val="10"/>
          <w:szCs w:val="10"/>
          <w:color w:val="auto"/>
        </w:rPr>
        <w:t>Accordingly, price fluctuations could have a material adverse effect on our earnings, cash flows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See “Market overview” on page 23.</w:t>
      </w:r>
    </w:p>
    <w:p>
      <w:pPr>
        <w:spacing w:after="0" w:line="153" w:lineRule="exact"/>
        <w:rPr>
          <w:sz w:val="20"/>
          <w:szCs w:val="20"/>
          <w:color w:val="auto"/>
        </w:rPr>
      </w:pPr>
    </w:p>
    <w:p>
      <w:pPr>
        <w:ind w:right="340"/>
        <w:spacing w:after="0" w:line="243" w:lineRule="auto"/>
        <w:rPr>
          <w:sz w:val="20"/>
          <w:szCs w:val="20"/>
          <w:color w:val="auto"/>
        </w:rPr>
      </w:pPr>
      <w:r>
        <w:rPr>
          <w:rFonts w:ascii="Arial" w:cs="Arial" w:eastAsia="Arial" w:hAnsi="Arial"/>
          <w:sz w:val="10"/>
          <w:szCs w:val="10"/>
          <w:b w:val="1"/>
          <w:bCs w:val="1"/>
          <w:color w:val="auto"/>
        </w:rPr>
        <w:t>Our ability to deliver competitive returns and pursue commercial opportunities depends in part on the accuracy of our price assumptions.</w:t>
      </w:r>
    </w:p>
    <w:p>
      <w:pPr>
        <w:spacing w:after="0" w:line="147" w:lineRule="exact"/>
        <w:rPr>
          <w:sz w:val="20"/>
          <w:szCs w:val="20"/>
          <w:color w:val="auto"/>
        </w:rPr>
      </w:pPr>
    </w:p>
    <w:p>
      <w:pPr>
        <w:ind w:right="20"/>
        <w:spacing w:after="0" w:line="234" w:lineRule="auto"/>
        <w:rPr>
          <w:sz w:val="20"/>
          <w:szCs w:val="20"/>
          <w:color w:val="auto"/>
        </w:rPr>
      </w:pPr>
      <w:r>
        <w:rPr>
          <w:rFonts w:ascii="Arial" w:cs="Arial" w:eastAsia="Arial" w:hAnsi="Arial"/>
          <w:sz w:val="10"/>
          <w:szCs w:val="10"/>
          <w:color w:val="auto"/>
        </w:rPr>
        <w:t>We use a range of oil and gas price assumptions, which we review on a periodic basis. These ranges help us to evaluate the robustness of our capital allocation for our evaluation of projects and commercial opportunities. If our assumptions prove to be incorrect, it could have a material adverse effect on our earnings, cash flows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See “Market overview” on page 24</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Our ability to achieve our strategic objectives depends on how we react to competitive forces.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140"/>
        <w:spacing w:after="0" w:line="294" w:lineRule="auto"/>
        <w:rPr>
          <w:sz w:val="20"/>
          <w:szCs w:val="20"/>
          <w:color w:val="auto"/>
        </w:rPr>
      </w:pPr>
      <w:r>
        <w:rPr>
          <w:rFonts w:ascii="Arial" w:cs="Arial" w:eastAsia="Arial" w:hAnsi="Arial"/>
          <w:sz w:val="8"/>
          <w:szCs w:val="8"/>
          <w:color w:val="auto"/>
        </w:rPr>
        <w:t>We face competition in all our businesses. In the crude oil, natural gas, Oil Products and Chemicals businesses we seek to differentiate our products, but many of them are competing in commodity-type markets. Accordingly, failure to manage our costs and our operational performance could result in a material adverse effect on our earnings, cash flows and financial condition. We also compete with state-owned oil and gas entities with access to vast financial resources. State-owned entities could be motivated by political or other factors in making their business decisions. Accordingly, when bidding on new leases or projects, we could find ourselves at a competitive disadvantage because these state-owned entities may not require a competitive return. If we are unable to obtain competitive returns when bidding on new leases or projects, this could have a material adverse effect on our earnings, cash flows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0"/>
          <w:szCs w:val="10"/>
          <w:color w:val="auto"/>
        </w:rPr>
        <w:t>See “Strategy and outlook” on page 15.</w:t>
      </w:r>
    </w:p>
    <w:p>
      <w:pPr>
        <w:spacing w:after="0" w:line="153" w:lineRule="exact"/>
        <w:rPr>
          <w:sz w:val="20"/>
          <w:szCs w:val="20"/>
          <w:color w:val="auto"/>
        </w:rPr>
      </w:pPr>
    </w:p>
    <w:p>
      <w:pPr>
        <w:ind w:right="160"/>
        <w:spacing w:after="0" w:line="243" w:lineRule="auto"/>
        <w:rPr>
          <w:sz w:val="20"/>
          <w:szCs w:val="20"/>
          <w:color w:val="auto"/>
        </w:rPr>
      </w:pPr>
      <w:r>
        <w:rPr>
          <w:rFonts w:ascii="Arial" w:cs="Arial" w:eastAsia="Arial" w:hAnsi="Arial"/>
          <w:sz w:val="10"/>
          <w:szCs w:val="10"/>
          <w:b w:val="1"/>
          <w:bCs w:val="1"/>
          <w:color w:val="auto"/>
        </w:rPr>
        <w:t>If we fail to stay in step with the pace and extent of society’s demands with regard to the energy transition to a low-carbon future, we could fail in sustaining and growing our business.</w:t>
      </w:r>
    </w:p>
    <w:p>
      <w:pPr>
        <w:spacing w:after="0" w:line="147" w:lineRule="exact"/>
        <w:rPr>
          <w:sz w:val="20"/>
          <w:szCs w:val="20"/>
          <w:color w:val="auto"/>
        </w:rPr>
      </w:pPr>
    </w:p>
    <w:p>
      <w:pPr>
        <w:ind w:right="260"/>
        <w:spacing w:after="0" w:line="231" w:lineRule="auto"/>
        <w:rPr>
          <w:sz w:val="20"/>
          <w:szCs w:val="20"/>
          <w:color w:val="auto"/>
        </w:rPr>
      </w:pPr>
      <w:r>
        <w:rPr>
          <w:rFonts w:ascii="Arial" w:cs="Arial" w:eastAsia="Arial" w:hAnsi="Arial"/>
          <w:sz w:val="10"/>
          <w:szCs w:val="10"/>
          <w:color w:val="auto"/>
        </w:rPr>
        <w:t>The pace and extent of the energy transition could pose a risk to Shell if our own transition towards decarbonisation moves at a different speed to society. If we are slower than society, customers may prefer a different supplier which would adversely impact our reputation and demand for our products. If we move much faster than society, we risk investing in technologies, markets or low-carbon products that are unsuccessful because there is limited demand for them. This could have a material adverse effect on our earnings, cash flows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See "Strategy and outlook" on page 16 and “Climate change and energy transition” on page 76.</w:t>
      </w:r>
    </w:p>
    <w:p>
      <w:pPr>
        <w:spacing w:after="0" w:line="153" w:lineRule="exact"/>
        <w:rPr>
          <w:sz w:val="20"/>
          <w:szCs w:val="20"/>
          <w:color w:val="auto"/>
        </w:rPr>
      </w:pPr>
    </w:p>
    <w:p>
      <w:pPr>
        <w:ind w:right="420"/>
        <w:spacing w:after="0" w:line="322" w:lineRule="auto"/>
        <w:rPr>
          <w:sz w:val="20"/>
          <w:szCs w:val="20"/>
          <w:color w:val="auto"/>
        </w:rPr>
      </w:pPr>
      <w:r>
        <w:rPr>
          <w:rFonts w:ascii="Arial" w:cs="Arial" w:eastAsia="Arial" w:hAnsi="Arial"/>
          <w:sz w:val="8"/>
          <w:szCs w:val="8"/>
          <w:b w:val="1"/>
          <w:bCs w:val="1"/>
          <w:color w:val="auto"/>
        </w:rPr>
        <w:t>Rising climate change concerns and the effects of the energy transition have led and could lead to a decrease in demand and potentially affect prices for fossil fuels. This may also lead to additional legal and/or regulatory measures which could result in project delays or cancellations, potential litigation, operational restrictions and additional compliance obligations.</w:t>
      </w:r>
    </w:p>
    <w:p>
      <w:pPr>
        <w:spacing w:after="0" w:line="118" w:lineRule="exact"/>
        <w:rPr>
          <w:sz w:val="20"/>
          <w:szCs w:val="20"/>
          <w:color w:val="auto"/>
        </w:rPr>
      </w:pPr>
    </w:p>
    <w:p>
      <w:pPr>
        <w:ind w:right="160"/>
        <w:spacing w:after="0" w:line="297" w:lineRule="auto"/>
        <w:rPr>
          <w:sz w:val="20"/>
          <w:szCs w:val="20"/>
          <w:color w:val="auto"/>
        </w:rPr>
      </w:pPr>
      <w:r>
        <w:rPr>
          <w:rFonts w:ascii="Arial" w:cs="Arial" w:eastAsia="Arial" w:hAnsi="Arial"/>
          <w:sz w:val="8"/>
          <w:szCs w:val="8"/>
          <w:color w:val="auto"/>
        </w:rPr>
        <w:t>Societal demand for urgent action has increased especially after the Intergovernmental Panel on Climate Change (IPCC) 1.5°C special report of 2018 and the Paris Agreement’s goal to keep the rise in global average temperature this century to well below two degrees Celsius above pre-industrial levels and to pursue efforts to limit the temperature increase even further to 1.5 degrees Celsius. Society's increasing focus on climate change and the effects of the energy transition has created a risk landscape that is changing rapidly in response to a wide range of stakeholder actions at global, local and business levels. The potential impact and likelihood of climate change effects on Shell could vary across different time horizons, depending on the specific components of the risk.</w:t>
      </w:r>
    </w:p>
    <w:p>
      <w:pPr>
        <w:spacing w:after="0" w:line="127" w:lineRule="exact"/>
        <w:rPr>
          <w:sz w:val="20"/>
          <w:szCs w:val="20"/>
          <w:color w:val="auto"/>
        </w:rPr>
      </w:pPr>
    </w:p>
    <w:p>
      <w:pPr>
        <w:ind w:right="120"/>
        <w:spacing w:after="0" w:line="299" w:lineRule="auto"/>
        <w:rPr>
          <w:sz w:val="20"/>
          <w:szCs w:val="20"/>
          <w:color w:val="auto"/>
        </w:rPr>
      </w:pPr>
      <w:r>
        <w:rPr>
          <w:rFonts w:ascii="Arial" w:cs="Arial" w:eastAsia="Arial" w:hAnsi="Arial"/>
          <w:sz w:val="8"/>
          <w:szCs w:val="8"/>
          <w:color w:val="auto"/>
        </w:rPr>
        <w:t>We expect that a growing share of our GHG emissions will be subject to regulation, resulting in increased compliance costs and operational restrictions. Regulators may seek to limit certain fossil fuel projects or make it more difficult to obtain required permits. Achieving our target to become net zero on all emissions from our operations will result in additional cost. We also expect that actions by customers to reduce their emissions will continue to lower demand and potentially affect prices for fossil fuels, as will GHG emissions regulation through taxes, fees and/or other incentives. This could be a factor contributing to additional provisions for our assets and result in lower earnings, cancelled projects and potential impairment of certain assets.</w:t>
      </w:r>
    </w:p>
    <w:p>
      <w:pPr>
        <w:spacing w:after="0" w:line="228" w:lineRule="exact"/>
        <w:rPr>
          <w:sz w:val="20"/>
          <w:szCs w:val="20"/>
          <w:color w:val="auto"/>
        </w:rPr>
      </w:pPr>
    </w:p>
    <w:p>
      <w:pPr>
        <w:ind w:right="320"/>
        <w:spacing w:after="0" w:line="205" w:lineRule="auto"/>
        <w:rPr>
          <w:sz w:val="20"/>
          <w:szCs w:val="20"/>
          <w:color w:val="auto"/>
        </w:rPr>
      </w:pPr>
      <w:r>
        <w:rPr>
          <w:rFonts w:ascii="Arial" w:cs="Arial" w:eastAsia="Arial" w:hAnsi="Arial"/>
          <w:sz w:val="10"/>
          <w:szCs w:val="10"/>
          <w:color w:val="auto"/>
        </w:rPr>
        <w:t>The physical effects of climate change such as, but not limited to, increases in temperature and sea levels and fluctuations in water levels could also adversely affect our operations and supply chains.</w:t>
      </w:r>
    </w:p>
    <w:p>
      <w:pPr>
        <w:spacing w:after="0" w:line="1" w:lineRule="exact"/>
        <w:rPr>
          <w:sz w:val="20"/>
          <w:szCs w:val="20"/>
          <w:color w:val="auto"/>
        </w:rPr>
      </w:pPr>
    </w:p>
    <w:p>
      <w:pPr>
        <w:ind w:right="260"/>
        <w:spacing w:after="0" w:line="309" w:lineRule="auto"/>
        <w:rPr>
          <w:sz w:val="20"/>
          <w:szCs w:val="20"/>
          <w:color w:val="auto"/>
        </w:rPr>
      </w:pPr>
      <w:r>
        <w:rPr>
          <w:rFonts w:ascii="Arial" w:cs="Arial" w:eastAsia="Arial" w:hAnsi="Arial"/>
          <w:sz w:val="8"/>
          <w:szCs w:val="8"/>
          <w:color w:val="auto"/>
        </w:rPr>
        <w:t>Some groups are putting pressure on certain investors to divest their investments in fossil fuel companies. If this were to continue, it could have a material adverse effect on the price of our securities and our ability to access capital markets. Groups are also putting pressure on commercial and investment banks to stop financing fossil fuel companies. According to press</w:t>
      </w:r>
    </w:p>
    <w:p>
      <w:pPr>
        <w:spacing w:after="0" w:line="417" w:lineRule="exact"/>
        <w:rPr>
          <w:sz w:val="20"/>
          <w:szCs w:val="20"/>
          <w:color w:val="auto"/>
        </w:rPr>
      </w:pPr>
    </w:p>
    <w:p>
      <w:pPr>
        <w:sectPr>
          <w:pgSz w:w="11900" w:h="16838" w:orient="portrait"/>
          <w:cols w:equalWidth="0" w:num="2">
            <w:col w:w="5420" w:space="300"/>
            <w:col w:w="5580"/>
          </w:cols>
          <w:pgMar w:left="300" w:top="721" w:right="299" w:bottom="1440" w:gutter="0" w:footer="0" w:header="0"/>
        </w:sect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18</w:t>
            </w:r>
          </w:p>
        </w:tc>
      </w:tr>
      <w:tr>
        <w:trPr>
          <w:trHeight w:val="142"/>
        </w:trPr>
        <w:tc>
          <w:tcPr>
            <w:tcW w:w="3500" w:type="dxa"/>
            <w:vAlign w:val="bottom"/>
            <w:tcBorders>
              <w:bottom w:val="single" w:sz="8" w:color="9A9A9A"/>
            </w:tcBorders>
          </w:tcPr>
          <w:p>
            <w:pPr>
              <w:spacing w:after="0"/>
              <w:rPr>
                <w:sz w:val="12"/>
                <w:szCs w:val="12"/>
                <w:color w:val="auto"/>
              </w:rPr>
            </w:pPr>
          </w:p>
        </w:tc>
        <w:tc>
          <w:tcPr>
            <w:tcW w:w="78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type w:val="continuous"/>
        </w:sectPr>
      </w:pPr>
    </w:p>
    <w:bookmarkStart w:id="21" w:name="page22"/>
    <w:bookmarkEnd w:id="21"/>
    <w:p>
      <w:pPr>
        <w:ind w:right="200"/>
        <w:spacing w:after="0" w:line="234" w:lineRule="auto"/>
        <w:rPr>
          <w:sz w:val="20"/>
          <w:szCs w:val="20"/>
          <w:color w:val="auto"/>
        </w:rPr>
      </w:pPr>
      <w:r>
        <w:rPr>
          <w:rFonts w:ascii="Arial" w:cs="Arial" w:eastAsia="Arial" w:hAnsi="Arial"/>
          <w:sz w:val="10"/>
          <w:szCs w:val="10"/>
          <w:color w:val="auto"/>
        </w:rPr>
        <w:t>reports, some financial institutions have started to limit their exposure to certain fossil fuel projects. Accordingly, our ability to use financing for these types of future projects may be adversely affected. This could also adversely affect our potential partners’ ability to finance their portion of costs, either through equity or debt.</w:t>
      </w:r>
    </w:p>
    <w:p>
      <w:pPr>
        <w:spacing w:after="0" w:line="150" w:lineRule="exact"/>
        <w:rPr>
          <w:sz w:val="20"/>
          <w:szCs w:val="20"/>
          <w:color w:val="auto"/>
        </w:rPr>
      </w:pPr>
    </w:p>
    <w:p>
      <w:pPr>
        <w:jc w:val="both"/>
        <w:ind w:right="220"/>
        <w:spacing w:after="0" w:line="234" w:lineRule="auto"/>
        <w:rPr>
          <w:sz w:val="20"/>
          <w:szCs w:val="20"/>
          <w:color w:val="auto"/>
        </w:rPr>
      </w:pPr>
      <w:r>
        <w:rPr>
          <w:rFonts w:ascii="Arial" w:cs="Arial" w:eastAsia="Arial" w:hAnsi="Arial"/>
          <w:sz w:val="10"/>
          <w:szCs w:val="10"/>
          <w:color w:val="auto"/>
        </w:rPr>
        <w:t>In some countries, governments, regulators, organisations and individuals have filed lawsuits seeking to hold fossil fuel companies liable for costs associated with climate change. While we believe these lawsuits to be without merit, losing any of them could have a material adverse effect on our earnings, cash flows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8"/>
          <w:szCs w:val="8"/>
          <w:color w:val="auto"/>
        </w:rPr>
        <w:t>In summary, rising climate change concerns and effects of the energy transition have led and could lead to a decrease in demand and</w:t>
      </w:r>
    </w:p>
    <w:p>
      <w:pPr>
        <w:spacing w:after="0" w:line="61" w:lineRule="exact"/>
        <w:rPr>
          <w:sz w:val="20"/>
          <w:szCs w:val="20"/>
          <w:color w:val="auto"/>
        </w:rPr>
      </w:pPr>
    </w:p>
    <w:p>
      <w:pPr>
        <w:ind w:right="260"/>
        <w:spacing w:after="0" w:line="315" w:lineRule="auto"/>
        <w:rPr>
          <w:sz w:val="20"/>
          <w:szCs w:val="20"/>
          <w:color w:val="auto"/>
        </w:rPr>
      </w:pPr>
      <w:r>
        <w:rPr>
          <w:rFonts w:ascii="Arial" w:cs="Arial" w:eastAsia="Arial" w:hAnsi="Arial"/>
          <w:sz w:val="8"/>
          <w:szCs w:val="8"/>
          <w:color w:val="auto"/>
        </w:rPr>
        <w:t>potentially affect prices for fossil fuels. If we are unable to find economically viable, publicly acceptable solutions that reduce our GHG emissions and/or GHG intensity for new and existing projects and for the products we sell, we could experience financial penalties or extra costs, delayed or cancelled projects, potential impairments of our assets, additional provisions and/or reduced production and product sales. This could have a material adverse effect on our earnings, cash flows and financial condition.</w:t>
      </w:r>
    </w:p>
    <w:p>
      <w:pPr>
        <w:spacing w:after="0" w:line="280" w:lineRule="exact"/>
        <w:rPr>
          <w:sz w:val="20"/>
          <w:szCs w:val="20"/>
          <w:color w:val="auto"/>
        </w:rPr>
      </w:pPr>
    </w:p>
    <w:p>
      <w:pPr>
        <w:ind w:right="500"/>
        <w:spacing w:after="0" w:line="243" w:lineRule="auto"/>
        <w:rPr>
          <w:sz w:val="20"/>
          <w:szCs w:val="20"/>
          <w:color w:val="auto"/>
        </w:rPr>
      </w:pPr>
      <w:r>
        <w:rPr>
          <w:rFonts w:ascii="Arial" w:cs="Arial" w:eastAsia="Arial" w:hAnsi="Arial"/>
          <w:sz w:val="10"/>
          <w:szCs w:val="10"/>
          <w:b w:val="1"/>
          <w:bCs w:val="1"/>
          <w:color w:val="auto"/>
        </w:rPr>
        <w:t>We seek to execute divestments in pursuing our strategy. We may be unable to divest these assets successfully in line with our strategy.</w:t>
      </w:r>
    </w:p>
    <w:p>
      <w:pPr>
        <w:spacing w:after="0" w:line="147" w:lineRule="exact"/>
        <w:rPr>
          <w:sz w:val="20"/>
          <w:szCs w:val="20"/>
          <w:color w:val="auto"/>
        </w:rPr>
      </w:pPr>
    </w:p>
    <w:p>
      <w:pPr>
        <w:ind w:right="200"/>
        <w:spacing w:after="0" w:line="230" w:lineRule="auto"/>
        <w:rPr>
          <w:sz w:val="20"/>
          <w:szCs w:val="20"/>
          <w:color w:val="auto"/>
        </w:rPr>
      </w:pPr>
      <w:r>
        <w:rPr>
          <w:rFonts w:ascii="Arial" w:cs="Arial" w:eastAsia="Arial" w:hAnsi="Arial"/>
          <w:sz w:val="10"/>
          <w:szCs w:val="10"/>
          <w:color w:val="auto"/>
        </w:rPr>
        <w:t>We may be unable to divest assets at acceptable prices or within the timeline envisaged because of market conditions or credit risk. This would result in increased pressure on our cash position and potential impairments. In some cases, we have also retained certain liabilities following a divestment. Even in cases where we have not expressly retained certain liabilities, we may still be held liable for past acts, failures to act or liabilities that are different from those foreseen. We may also face liabilities if a purchaser fails to honour their commitments. Accordingly, if any of the above circumstances arise, this could have a material adverse effect on our earnings, cash flows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See “Strategy and outlook” on page 17.</w:t>
      </w:r>
    </w:p>
    <w:p>
      <w:pPr>
        <w:spacing w:after="0" w:line="153" w:lineRule="exact"/>
        <w:rPr>
          <w:sz w:val="20"/>
          <w:szCs w:val="20"/>
          <w:color w:val="auto"/>
        </w:rPr>
      </w:pPr>
    </w:p>
    <w:p>
      <w:pPr>
        <w:jc w:val="both"/>
        <w:ind w:right="160"/>
        <w:spacing w:after="0" w:line="236" w:lineRule="auto"/>
        <w:rPr>
          <w:sz w:val="20"/>
          <w:szCs w:val="20"/>
          <w:color w:val="auto"/>
        </w:rPr>
      </w:pPr>
      <w:r>
        <w:rPr>
          <w:rFonts w:ascii="Arial" w:cs="Arial" w:eastAsia="Arial" w:hAnsi="Arial"/>
          <w:sz w:val="10"/>
          <w:szCs w:val="10"/>
          <w:b w:val="1"/>
          <w:bCs w:val="1"/>
          <w:color w:val="auto"/>
        </w:rPr>
        <w:t>We operate in more than 70 countries that have differing degrees of political, legal and fiscal stability. This exposes us to a wide range of political developments that could result in changes to contractual terms, laws and regulations. We and our joint arrangements and associates also face the risk of litigation and disputes worldwide.</w:t>
      </w:r>
    </w:p>
    <w:p>
      <w:pPr>
        <w:spacing w:after="0" w:line="149" w:lineRule="exact"/>
        <w:rPr>
          <w:sz w:val="20"/>
          <w:szCs w:val="20"/>
          <w:color w:val="auto"/>
        </w:rPr>
      </w:pPr>
    </w:p>
    <w:p>
      <w:pPr>
        <w:ind w:right="200"/>
        <w:spacing w:after="0" w:line="297" w:lineRule="auto"/>
        <w:rPr>
          <w:sz w:val="20"/>
          <w:szCs w:val="20"/>
          <w:color w:val="auto"/>
        </w:rPr>
      </w:pPr>
      <w:r>
        <w:rPr>
          <w:rFonts w:ascii="Arial" w:cs="Arial" w:eastAsia="Arial" w:hAnsi="Arial"/>
          <w:sz w:val="8"/>
          <w:szCs w:val="8"/>
          <w:color w:val="auto"/>
        </w:rPr>
        <w:t>Developments in politics, laws and regulations can and do affect our operations. Potential impacts include: forced divestment of assets; expropriation of property; cancellation or forced renegotiation of contract rights; additional taxes including windfall taxes, restrictions on deductions and retroactive tax claims; antitrust claims; changes to trade compliance regulations; price controls; local content requirements; foreign exchange controls; changes to environmental regulations; changes to regulatory interpretations and enforcement; and changes to disclosure requirements. Tensions between nation states can also affect our business. Any of these, individually or in aggregate, could have a material adverse effect on our earnings, cash flows and financial condition.</w:t>
      </w:r>
    </w:p>
    <w:p>
      <w:pPr>
        <w:spacing w:after="0" w:line="127" w:lineRule="exact"/>
        <w:rPr>
          <w:sz w:val="20"/>
          <w:szCs w:val="20"/>
          <w:color w:val="auto"/>
        </w:rPr>
      </w:pPr>
    </w:p>
    <w:p>
      <w:pPr>
        <w:ind w:right="240"/>
        <w:spacing w:after="0" w:line="234" w:lineRule="auto"/>
        <w:rPr>
          <w:sz w:val="20"/>
          <w:szCs w:val="20"/>
          <w:color w:val="auto"/>
        </w:rPr>
      </w:pPr>
      <w:r>
        <w:rPr>
          <w:rFonts w:ascii="Arial" w:cs="Arial" w:eastAsia="Arial" w:hAnsi="Arial"/>
          <w:sz w:val="10"/>
          <w:szCs w:val="10"/>
          <w:color w:val="auto"/>
        </w:rPr>
        <w:t>In 2020, many governments ran deficits to deal with the economic impacts of the COVID-19 pandemic. Given the ongoing nature of the pandemic, there will be uncertain long-term fiscal consequences, with possible subsequent effects on government policies that affect Shell’s business interests.</w:t>
      </w:r>
    </w:p>
    <w:p>
      <w:pPr>
        <w:spacing w:after="0" w:line="150" w:lineRule="exact"/>
        <w:rPr>
          <w:sz w:val="20"/>
          <w:szCs w:val="20"/>
          <w:color w:val="auto"/>
        </w:rPr>
      </w:pPr>
    </w:p>
    <w:p>
      <w:pPr>
        <w:ind w:right="200"/>
        <w:spacing w:after="0" w:line="115" w:lineRule="exact"/>
        <w:rPr>
          <w:sz w:val="20"/>
          <w:szCs w:val="20"/>
          <w:color w:val="auto"/>
        </w:rPr>
      </w:pPr>
      <w:r>
        <w:rPr>
          <w:rFonts w:ascii="Arial" w:cs="Arial" w:eastAsia="Arial" w:hAnsi="Arial"/>
          <w:sz w:val="8"/>
          <w:szCs w:val="8"/>
          <w:color w:val="auto"/>
        </w:rPr>
        <w:t>From time to time, social and political factors play a role in unprecedented and unanticipated judicial outcomes that could adversely affect Shell. Non</w:t>
      </w:r>
      <w:r>
        <w:rPr>
          <w:rFonts w:ascii="MS PGothic" w:cs="MS PGothic" w:eastAsia="MS PGothic" w:hAnsi="MS PGothic"/>
          <w:sz w:val="8"/>
          <w:szCs w:val="8"/>
          <w:color w:val="auto"/>
        </w:rPr>
        <w:t>‑</w:t>
      </w:r>
      <w:r>
        <w:rPr>
          <w:rFonts w:ascii="Arial" w:cs="Arial" w:eastAsia="Arial" w:hAnsi="Arial"/>
          <w:sz w:val="8"/>
          <w:szCs w:val="8"/>
          <w:color w:val="auto"/>
        </w:rPr>
        <w:t>compliance with policies and regulations could result in regulatory investigations, litigation and, ultimately, sanctions. Certain governments and regulatory bodies have, in Shell’s opinion, exceeded their constitutional authority by: attempting unilaterally to amend or cancel existing agreements or arrangements; failing to honour existing contractual commitments; and seeking to adjudicate disputes between private litigants. Certain governments have also adopted laws and regulations that could potentially conflict with other countries’ laws and regulations, potentially subjecting us to both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2100" w:type="dxa"/>
            <w:vAlign w:val="bottom"/>
          </w:tcPr>
          <w:p>
            <w:pPr>
              <w:jc w:val="right"/>
              <w:spacing w:after="0"/>
              <w:rPr>
                <w:sz w:val="20"/>
                <w:szCs w:val="20"/>
                <w:color w:val="auto"/>
              </w:rPr>
            </w:pPr>
            <w:r>
              <w:rPr>
                <w:rFonts w:ascii="Arial" w:cs="Arial" w:eastAsia="Arial" w:hAnsi="Arial"/>
                <w:sz w:val="7"/>
                <w:szCs w:val="7"/>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39" w:lineRule="auto"/>
        <w:rPr>
          <w:sz w:val="20"/>
          <w:szCs w:val="20"/>
          <w:color w:val="auto"/>
        </w:rPr>
      </w:pPr>
      <w:r>
        <w:rPr>
          <w:rFonts w:ascii="Arial" w:cs="Arial" w:eastAsia="Arial" w:hAnsi="Arial"/>
          <w:sz w:val="10"/>
          <w:szCs w:val="10"/>
          <w:color w:val="auto"/>
        </w:rPr>
        <w:t>criminal and civil sanctions. Such developments and outcomes could have a material adverse effect on our earnings, cash flows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See “Governance” on page 99.</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OPERATIONAL RISKS</w:t>
      </w:r>
    </w:p>
    <w:p>
      <w:pPr>
        <w:spacing w:after="0" w:line="155" w:lineRule="exact"/>
        <w:rPr>
          <w:sz w:val="20"/>
          <w:szCs w:val="20"/>
          <w:color w:val="auto"/>
        </w:rPr>
      </w:pPr>
    </w:p>
    <w:p>
      <w:pPr>
        <w:ind w:right="160"/>
        <w:spacing w:after="0" w:line="243" w:lineRule="auto"/>
        <w:rPr>
          <w:sz w:val="20"/>
          <w:szCs w:val="20"/>
          <w:color w:val="auto"/>
        </w:rPr>
      </w:pPr>
      <w:r>
        <w:rPr>
          <w:rFonts w:ascii="Arial" w:cs="Arial" w:eastAsia="Arial" w:hAnsi="Arial"/>
          <w:sz w:val="10"/>
          <w:szCs w:val="10"/>
          <w:b w:val="1"/>
          <w:bCs w:val="1"/>
          <w:color w:val="auto"/>
        </w:rPr>
        <w:t>Our future hydrocarbon production depends on the delivery of large and integrated projects, and our ability to replace proved oil and gas reserves.</w:t>
      </w:r>
    </w:p>
    <w:p>
      <w:pPr>
        <w:spacing w:after="0" w:line="147" w:lineRule="exact"/>
        <w:rPr>
          <w:sz w:val="20"/>
          <w:szCs w:val="20"/>
          <w:color w:val="auto"/>
        </w:rPr>
      </w:pPr>
    </w:p>
    <w:p>
      <w:pPr>
        <w:ind w:right="40"/>
        <w:spacing w:after="0" w:line="292" w:lineRule="auto"/>
        <w:rPr>
          <w:sz w:val="20"/>
          <w:szCs w:val="20"/>
          <w:color w:val="auto"/>
        </w:rPr>
      </w:pPr>
      <w:r>
        <w:rPr>
          <w:rFonts w:ascii="Arial" w:cs="Arial" w:eastAsia="Arial" w:hAnsi="Arial"/>
          <w:sz w:val="8"/>
          <w:szCs w:val="8"/>
          <w:color w:val="auto"/>
        </w:rPr>
        <w:t>We face numerous challenges in developing capital projects, especially those which are large and integrated. Challenges include: uncertain geology; frontier conditions; the existence and availability of necessary technology and engineering resources; the availability of skilled labour; the existence of transportation infrastructure; project delays; the expiration of licences; delays in obtaining required permits; potential cost overruns; and technical, fiscal, regulatory, political and other conditions. These challenges are particularly relevant in certain developing and emerging-market countries, in frontier areas and in deep-water fields, such as off the coast of Mexico. We may fail to assess or manage these and other risks properly. Such potential obstacles could impair our delivery of these projects, our ability to fulfil the full potential value of the project as assessed when the investment was approved, and/or our ability to fulfil related contractual commitments. This could lead to impairments and could have a material adverse effect on our earnings, cash flows and financial condition.</w:t>
      </w:r>
    </w:p>
    <w:p>
      <w:pPr>
        <w:spacing w:after="0" w:line="131" w:lineRule="exact"/>
        <w:rPr>
          <w:sz w:val="20"/>
          <w:szCs w:val="20"/>
          <w:color w:val="auto"/>
        </w:rPr>
      </w:pPr>
    </w:p>
    <w:p>
      <w:pPr>
        <w:jc w:val="both"/>
        <w:spacing w:after="0" w:line="307" w:lineRule="auto"/>
        <w:rPr>
          <w:sz w:val="20"/>
          <w:szCs w:val="20"/>
          <w:color w:val="auto"/>
        </w:rPr>
      </w:pPr>
      <w:r>
        <w:rPr>
          <w:rFonts w:ascii="Arial" w:cs="Arial" w:eastAsia="Arial" w:hAnsi="Arial"/>
          <w:sz w:val="8"/>
          <w:szCs w:val="8"/>
          <w:color w:val="auto"/>
        </w:rPr>
        <w:t>Future oil and gas production will depend on our access to new proved reserves through exploration, negotiations with governments and other owners of proved reserves and acquisitions, and through developing and applying new technologies and recovery processes to existing fields. Failure to replace proved reserves could result in an accelerated decrease of future production, potentially having a material adverse effect on our earnings, cash flows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See “Shell story” on page 12</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80" w:type="dxa"/>
            <w:vAlign w:val="bottom"/>
            <w:tcBorders>
              <w:top w:val="single" w:sz="8" w:color="CDCDCD"/>
            </w:tcBorders>
          </w:tcPr>
          <w:p>
            <w:pPr>
              <w:ind w:left="20"/>
              <w:spacing w:after="0"/>
              <w:rPr>
                <w:sz w:val="20"/>
                <w:szCs w:val="20"/>
                <w:color w:val="auto"/>
              </w:rPr>
            </w:pPr>
            <w:r>
              <w:rPr>
                <w:rFonts w:ascii="Arial" w:cs="Arial" w:eastAsia="Arial" w:hAnsi="Arial"/>
                <w:sz w:val="10"/>
                <w:szCs w:val="10"/>
                <w:color w:val="auto"/>
              </w:rPr>
              <w:t>Oil and gas production available for sale</w:t>
            </w:r>
          </w:p>
        </w:tc>
        <w:tc>
          <w:tcPr>
            <w:tcW w:w="880" w:type="dxa"/>
            <w:vAlign w:val="bottom"/>
            <w:tcBorders>
              <w:top w:val="single" w:sz="8" w:color="CDCDCD"/>
            </w:tcBorders>
          </w:tcPr>
          <w:p>
            <w:pPr>
              <w:spacing w:after="0"/>
              <w:rPr>
                <w:sz w:val="13"/>
                <w:szCs w:val="13"/>
                <w:color w:val="auto"/>
              </w:rPr>
            </w:pPr>
          </w:p>
        </w:tc>
        <w:tc>
          <w:tcPr>
            <w:tcW w:w="940" w:type="dxa"/>
            <w:vAlign w:val="bottom"/>
            <w:tcBorders>
              <w:top w:val="single" w:sz="8" w:color="CDCDCD"/>
            </w:tcBorders>
          </w:tcPr>
          <w:p>
            <w:pPr>
              <w:spacing w:after="0"/>
              <w:rPr>
                <w:sz w:val="13"/>
                <w:szCs w:val="13"/>
                <w:color w:val="auto"/>
              </w:rPr>
            </w:pPr>
          </w:p>
        </w:tc>
        <w:tc>
          <w:tcPr>
            <w:tcW w:w="82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Million boe [A]</w:t>
            </w:r>
          </w:p>
        </w:tc>
      </w:tr>
      <w:tr>
        <w:trPr>
          <w:trHeight w:val="127"/>
        </w:trPr>
        <w:tc>
          <w:tcPr>
            <w:tcW w:w="27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2780" w:type="dxa"/>
            <w:vAlign w:val="bottom"/>
          </w:tcPr>
          <w:p>
            <w:pPr>
              <w:ind w:left="20"/>
              <w:spacing w:after="0"/>
              <w:rPr>
                <w:sz w:val="20"/>
                <w:szCs w:val="20"/>
                <w:color w:val="auto"/>
              </w:rPr>
            </w:pPr>
            <w:r>
              <w:rPr>
                <w:rFonts w:ascii="Arial" w:cs="Arial" w:eastAsia="Arial" w:hAnsi="Arial"/>
                <w:sz w:val="10"/>
                <w:szCs w:val="10"/>
                <w:color w:val="auto"/>
              </w:rPr>
              <w:t>Shell subsidiaries</w:t>
            </w:r>
          </w:p>
        </w:tc>
        <w:tc>
          <w:tcPr>
            <w:tcW w:w="8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1,104</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1,182</w:t>
            </w:r>
          </w:p>
        </w:tc>
        <w:tc>
          <w:tcPr>
            <w:tcW w:w="820" w:type="dxa"/>
            <w:vAlign w:val="bottom"/>
          </w:tcPr>
          <w:p>
            <w:pPr>
              <w:jc w:val="right"/>
              <w:spacing w:after="0"/>
              <w:rPr>
                <w:sz w:val="20"/>
                <w:szCs w:val="20"/>
                <w:color w:val="auto"/>
              </w:rPr>
            </w:pPr>
            <w:r>
              <w:rPr>
                <w:rFonts w:ascii="Arial" w:cs="Arial" w:eastAsia="Arial" w:hAnsi="Arial"/>
                <w:sz w:val="10"/>
                <w:szCs w:val="10"/>
                <w:color w:val="auto"/>
              </w:rPr>
              <w:t>1,179</w:t>
            </w:r>
          </w:p>
        </w:tc>
      </w:tr>
      <w:tr>
        <w:trPr>
          <w:trHeight w:val="12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Shell share of joint ventures and associates</w:t>
            </w:r>
          </w:p>
        </w:tc>
        <w:tc>
          <w:tcPr>
            <w:tcW w:w="8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135</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156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159</w:t>
            </w:r>
          </w:p>
        </w:tc>
      </w:tr>
      <w:tr>
        <w:trPr>
          <w:trHeight w:val="11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8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1,239</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1,338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1,338</w:t>
            </w:r>
          </w:p>
        </w:tc>
      </w:tr>
      <w:tr>
        <w:trPr>
          <w:trHeight w:val="128"/>
        </w:trPr>
        <w:tc>
          <w:tcPr>
            <w:tcW w:w="2780" w:type="dxa"/>
            <w:vAlign w:val="bottom"/>
          </w:tcPr>
          <w:p>
            <w:pPr>
              <w:spacing w:after="0"/>
              <w:rPr>
                <w:sz w:val="20"/>
                <w:szCs w:val="20"/>
                <w:color w:val="auto"/>
              </w:rPr>
            </w:pPr>
            <w:r>
              <w:rPr>
                <w:rFonts w:ascii="Arial" w:cs="Arial" w:eastAsia="Arial" w:hAnsi="Arial"/>
                <w:sz w:val="7"/>
                <w:szCs w:val="7"/>
                <w:color w:val="auto"/>
                <w:w w:val="94"/>
              </w:rPr>
              <w:t>[A] Natural gas volumes are converted into oil equivalent using a factor of 5,800 scf per barrel.</w:t>
            </w: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95"/>
        </w:trPr>
        <w:tc>
          <w:tcPr>
            <w:tcW w:w="3660" w:type="dxa"/>
            <w:vAlign w:val="bottom"/>
            <w:tcBorders>
              <w:bottom w:val="single" w:sz="8" w:color="CDCDCD"/>
            </w:tcBorders>
            <w:gridSpan w:val="2"/>
          </w:tcPr>
          <w:p>
            <w:pPr>
              <w:spacing w:after="0"/>
              <w:rPr>
                <w:sz w:val="8"/>
                <w:szCs w:val="8"/>
                <w:color w:val="auto"/>
              </w:rPr>
            </w:pPr>
          </w:p>
        </w:tc>
        <w:tc>
          <w:tcPr>
            <w:tcW w:w="940" w:type="dxa"/>
            <w:vAlign w:val="bottom"/>
            <w:tcBorders>
              <w:bottom w:val="single" w:sz="8" w:color="CDCDCD"/>
            </w:tcBorders>
          </w:tcPr>
          <w:p>
            <w:pPr>
              <w:spacing w:after="0"/>
              <w:rPr>
                <w:sz w:val="8"/>
                <w:szCs w:val="8"/>
                <w:color w:val="auto"/>
              </w:rPr>
            </w:pPr>
          </w:p>
        </w:tc>
        <w:tc>
          <w:tcPr>
            <w:tcW w:w="820" w:type="dxa"/>
            <w:vAlign w:val="bottom"/>
            <w:tcBorders>
              <w:bottom w:val="single" w:sz="8" w:color="CDCDCD"/>
            </w:tcBorders>
          </w:tcPr>
          <w:p>
            <w:pPr>
              <w:spacing w:after="0"/>
              <w:rPr>
                <w:sz w:val="8"/>
                <w:szCs w:val="8"/>
                <w:color w:val="auto"/>
              </w:rPr>
            </w:pPr>
          </w:p>
        </w:tc>
      </w:tr>
      <w:tr>
        <w:trPr>
          <w:trHeight w:val="121"/>
        </w:trPr>
        <w:tc>
          <w:tcPr>
            <w:tcW w:w="3660" w:type="dxa"/>
            <w:vAlign w:val="bottom"/>
            <w:gridSpan w:val="2"/>
          </w:tcPr>
          <w:p>
            <w:pPr>
              <w:ind w:left="20"/>
              <w:spacing w:after="0"/>
              <w:rPr>
                <w:sz w:val="20"/>
                <w:szCs w:val="20"/>
                <w:color w:val="auto"/>
              </w:rPr>
            </w:pPr>
            <w:r>
              <w:rPr>
                <w:rFonts w:ascii="Arial" w:cs="Arial" w:eastAsia="Arial" w:hAnsi="Arial"/>
                <w:sz w:val="10"/>
                <w:szCs w:val="10"/>
                <w:color w:val="auto"/>
              </w:rPr>
              <w:t>Proved developed and undeveloped oil and gas reserves [A][B] (at December 31)</w:t>
            </w:r>
          </w:p>
        </w:tc>
        <w:tc>
          <w:tcPr>
            <w:tcW w:w="9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Million boe [C]</w:t>
            </w:r>
          </w:p>
        </w:tc>
      </w:tr>
      <w:tr>
        <w:trPr>
          <w:trHeight w:val="127"/>
        </w:trPr>
        <w:tc>
          <w:tcPr>
            <w:tcW w:w="27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7"/>
              </w:rPr>
              <w:t>December 31, 2020</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97"/>
              </w:rPr>
              <w:t>December 31,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1"/>
              </w:rPr>
              <w:t>December 31, 2018</w:t>
            </w:r>
          </w:p>
        </w:tc>
      </w:tr>
      <w:tr>
        <w:trPr>
          <w:trHeight w:val="114"/>
        </w:trPr>
        <w:tc>
          <w:tcPr>
            <w:tcW w:w="2780" w:type="dxa"/>
            <w:vAlign w:val="bottom"/>
          </w:tcPr>
          <w:p>
            <w:pPr>
              <w:ind w:left="20"/>
              <w:spacing w:after="0"/>
              <w:rPr>
                <w:sz w:val="20"/>
                <w:szCs w:val="20"/>
                <w:color w:val="auto"/>
              </w:rPr>
            </w:pPr>
            <w:r>
              <w:rPr>
                <w:rFonts w:ascii="Arial" w:cs="Arial" w:eastAsia="Arial" w:hAnsi="Arial"/>
                <w:sz w:val="10"/>
                <w:szCs w:val="10"/>
                <w:color w:val="auto"/>
              </w:rPr>
              <w:t>Shell subsidiaries</w:t>
            </w:r>
          </w:p>
        </w:tc>
        <w:tc>
          <w:tcPr>
            <w:tcW w:w="880" w:type="dxa"/>
            <w:vAlign w:val="bottom"/>
          </w:tcPr>
          <w:p>
            <w:pPr>
              <w:jc w:val="right"/>
              <w:spacing w:after="0"/>
              <w:rPr>
                <w:sz w:val="20"/>
                <w:szCs w:val="20"/>
                <w:color w:val="auto"/>
              </w:rPr>
            </w:pPr>
            <w:r>
              <w:rPr>
                <w:rFonts w:ascii="Arial" w:cs="Arial" w:eastAsia="Arial" w:hAnsi="Arial"/>
                <w:sz w:val="10"/>
                <w:szCs w:val="10"/>
                <w:color w:val="auto"/>
              </w:rPr>
              <w:t>8,222</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9,980</w:t>
            </w:r>
          </w:p>
        </w:tc>
        <w:tc>
          <w:tcPr>
            <w:tcW w:w="820" w:type="dxa"/>
            <w:vAlign w:val="bottom"/>
          </w:tcPr>
          <w:p>
            <w:pPr>
              <w:jc w:val="right"/>
              <w:spacing w:after="0"/>
              <w:rPr>
                <w:sz w:val="20"/>
                <w:szCs w:val="20"/>
                <w:color w:val="auto"/>
              </w:rPr>
            </w:pPr>
            <w:r>
              <w:rPr>
                <w:rFonts w:ascii="Arial" w:cs="Arial" w:eastAsia="Arial" w:hAnsi="Arial"/>
                <w:sz w:val="10"/>
                <w:szCs w:val="10"/>
                <w:color w:val="auto"/>
              </w:rPr>
              <w:t>10,294</w:t>
            </w:r>
          </w:p>
        </w:tc>
      </w:tr>
      <w:tr>
        <w:trPr>
          <w:trHeight w:val="12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Shell share of joint ventures and associates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902</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1,116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1,285</w:t>
            </w:r>
          </w:p>
        </w:tc>
      </w:tr>
      <w:tr>
        <w:trPr>
          <w:trHeight w:val="11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9,124</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11,096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11,578</w:t>
            </w:r>
          </w:p>
        </w:tc>
      </w:tr>
      <w:tr>
        <w:trPr>
          <w:trHeight w:val="115"/>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Attributable to non-controlling interest in Shell subsidiaries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322</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304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331</w:t>
            </w:r>
          </w:p>
        </w:tc>
      </w:tr>
    </w:tbl>
    <w:p>
      <w:pPr>
        <w:spacing w:after="0" w:line="56" w:lineRule="exact"/>
        <w:rPr>
          <w:sz w:val="20"/>
          <w:szCs w:val="20"/>
          <w:color w:val="auto"/>
        </w:rPr>
      </w:pPr>
    </w:p>
    <w:p>
      <w:pPr>
        <w:ind w:left="120" w:hanging="111"/>
        <w:spacing w:after="0"/>
        <w:tabs>
          <w:tab w:leader="none" w:pos="120" w:val="left"/>
        </w:tabs>
        <w:numPr>
          <w:ilvl w:val="0"/>
          <w:numId w:val="2"/>
        </w:numPr>
        <w:rPr>
          <w:rFonts w:ascii="Arial" w:cs="Arial" w:eastAsia="Arial" w:hAnsi="Arial"/>
          <w:sz w:val="7"/>
          <w:szCs w:val="7"/>
          <w:color w:val="auto"/>
        </w:rPr>
      </w:pPr>
      <w:r>
        <w:rPr>
          <w:rFonts w:ascii="Arial" w:cs="Arial" w:eastAsia="Arial" w:hAnsi="Arial"/>
          <w:sz w:val="7"/>
          <w:szCs w:val="7"/>
          <w:color w:val="auto"/>
        </w:rPr>
        <w:t>We manage our total proved reserves base without distinguishing between proved reserves from subsidiaries and those from joint ventures and associates.</w:t>
      </w:r>
    </w:p>
    <w:p>
      <w:pPr>
        <w:spacing w:after="0" w:line="6" w:lineRule="exact"/>
        <w:rPr>
          <w:rFonts w:ascii="Arial" w:cs="Arial" w:eastAsia="Arial" w:hAnsi="Arial"/>
          <w:sz w:val="7"/>
          <w:szCs w:val="7"/>
          <w:color w:val="auto"/>
        </w:rPr>
      </w:pPr>
    </w:p>
    <w:p>
      <w:pPr>
        <w:ind w:left="120" w:hanging="111"/>
        <w:spacing w:after="0"/>
        <w:tabs>
          <w:tab w:leader="none" w:pos="120" w:val="left"/>
        </w:tabs>
        <w:numPr>
          <w:ilvl w:val="0"/>
          <w:numId w:val="2"/>
        </w:numPr>
        <w:rPr>
          <w:rFonts w:ascii="Arial" w:cs="Arial" w:eastAsia="Arial" w:hAnsi="Arial"/>
          <w:sz w:val="7"/>
          <w:szCs w:val="7"/>
          <w:color w:val="auto"/>
        </w:rPr>
      </w:pPr>
      <w:r>
        <w:rPr>
          <w:rFonts w:ascii="Arial" w:cs="Arial" w:eastAsia="Arial" w:hAnsi="Arial"/>
          <w:sz w:val="7"/>
          <w:szCs w:val="7"/>
          <w:color w:val="auto"/>
        </w:rPr>
        <w:t>Includes proved reserves associated with future production that will be consumed in operations.</w:t>
      </w:r>
    </w:p>
    <w:p>
      <w:pPr>
        <w:ind w:left="120" w:hanging="111"/>
        <w:spacing w:after="0"/>
        <w:tabs>
          <w:tab w:leader="none" w:pos="120" w:val="left"/>
        </w:tabs>
        <w:numPr>
          <w:ilvl w:val="0"/>
          <w:numId w:val="2"/>
        </w:numPr>
        <w:rPr>
          <w:rFonts w:ascii="Arial" w:cs="Arial" w:eastAsia="Arial" w:hAnsi="Arial"/>
          <w:sz w:val="7"/>
          <w:szCs w:val="7"/>
          <w:color w:val="auto"/>
        </w:rPr>
      </w:pPr>
      <w:r>
        <w:rPr>
          <w:rFonts w:ascii="Arial" w:cs="Arial" w:eastAsia="Arial" w:hAnsi="Arial"/>
          <w:sz w:val="7"/>
          <w:szCs w:val="7"/>
          <w:color w:val="auto"/>
        </w:rPr>
        <w:t>Natural gas volumes are converted into oil equivalent using a factor of 5,800 scf per barrel.</w:t>
      </w:r>
    </w:p>
    <w:p>
      <w:pPr>
        <w:spacing w:after="0" w:line="149" w:lineRule="exact"/>
        <w:rPr>
          <w:sz w:val="20"/>
          <w:szCs w:val="20"/>
          <w:color w:val="auto"/>
        </w:rPr>
      </w:pPr>
    </w:p>
    <w:p>
      <w:pPr>
        <w:ind w:right="120"/>
        <w:spacing w:after="0" w:line="243" w:lineRule="auto"/>
        <w:rPr>
          <w:sz w:val="20"/>
          <w:szCs w:val="20"/>
          <w:color w:val="auto"/>
        </w:rPr>
      </w:pPr>
      <w:r>
        <w:rPr>
          <w:rFonts w:ascii="Arial" w:cs="Arial" w:eastAsia="Arial" w:hAnsi="Arial"/>
          <w:sz w:val="10"/>
          <w:szCs w:val="10"/>
          <w:b w:val="1"/>
          <w:bCs w:val="1"/>
          <w:color w:val="auto"/>
        </w:rPr>
        <w:t>The estimation of proved oil and gas reserves involves subjective judgements based on available information and the application of complex rules. This means subsequent downward adjustments are possible.</w:t>
      </w:r>
    </w:p>
    <w:p>
      <w:pPr>
        <w:spacing w:after="0" w:line="147" w:lineRule="exact"/>
        <w:rPr>
          <w:sz w:val="20"/>
          <w:szCs w:val="20"/>
          <w:color w:val="auto"/>
        </w:rPr>
      </w:pPr>
    </w:p>
    <w:p>
      <w:pPr>
        <w:ind w:right="20"/>
        <w:spacing w:after="0" w:line="234" w:lineRule="auto"/>
        <w:rPr>
          <w:sz w:val="20"/>
          <w:szCs w:val="20"/>
          <w:color w:val="auto"/>
        </w:rPr>
      </w:pPr>
      <w:r>
        <w:rPr>
          <w:rFonts w:ascii="Arial" w:cs="Arial" w:eastAsia="Arial" w:hAnsi="Arial"/>
          <w:sz w:val="10"/>
          <w:szCs w:val="10"/>
          <w:color w:val="auto"/>
        </w:rPr>
        <w:t>The estimation of proved oil and gas reserves involves subjective judgements and determinations based on available geological, technical, contractual and economic information. Estimates can change over time due to new information from production or drilling activities, changes in economic factors, such as oil and gas prices, alterations in the regulatory</w:t>
      </w:r>
    </w:p>
    <w:p>
      <w:pPr>
        <w:sectPr>
          <w:pgSz w:w="11900" w:h="16838" w:orient="portrait"/>
          <w:cols w:equalWidth="0" w:num="2">
            <w:col w:w="5600" w:space="120"/>
            <w:col w:w="5460"/>
          </w:cols>
          <w:pgMar w:left="300" w:top="640" w:right="419" w:bottom="1440" w:gutter="0" w:footer="0" w:header="0"/>
        </w:sectPr>
      </w:pPr>
    </w:p>
    <w:bookmarkStart w:id="22" w:name="page23"/>
    <w:bookmarkEnd w:id="22"/>
    <w:p>
      <w:pPr>
        <w:spacing w:after="0" w:line="231" w:lineRule="auto"/>
        <w:rPr>
          <w:sz w:val="20"/>
          <w:szCs w:val="20"/>
          <w:color w:val="auto"/>
        </w:rPr>
      </w:pPr>
      <w:r>
        <w:rPr>
          <w:rFonts w:ascii="Arial" w:cs="Arial" w:eastAsia="Arial" w:hAnsi="Arial"/>
          <w:sz w:val="10"/>
          <w:szCs w:val="10"/>
          <w:color w:val="auto"/>
        </w:rPr>
        <w:t>policies of host governments, or other events. Estimates also change to reflect acquisitions, divestments, new discoveries, extensions of existing fields and mines, and improved recovery techniques. Published proved oil and gas reserves estimates could also be subject to correction because of errors in the application of published rules and changes in guidance. Downward adjustments could indicate lower future production volumes and could also lead to impairment of assets. This could have a material adverse effect on our earnings, cash flows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See “Supplementary information - oil and gas (unaudited)” on page 211.</w:t>
      </w:r>
    </w:p>
    <w:p>
      <w:pPr>
        <w:spacing w:after="0" w:line="153" w:lineRule="exact"/>
        <w:rPr>
          <w:sz w:val="20"/>
          <w:szCs w:val="20"/>
          <w:color w:val="auto"/>
        </w:rPr>
      </w:pPr>
    </w:p>
    <w:p>
      <w:pPr>
        <w:ind w:right="280"/>
        <w:spacing w:after="0" w:line="243" w:lineRule="auto"/>
        <w:rPr>
          <w:sz w:val="20"/>
          <w:szCs w:val="20"/>
          <w:color w:val="auto"/>
        </w:rPr>
      </w:pPr>
      <w:r>
        <w:rPr>
          <w:rFonts w:ascii="Arial" w:cs="Arial" w:eastAsia="Arial" w:hAnsi="Arial"/>
          <w:sz w:val="10"/>
          <w:szCs w:val="10"/>
          <w:b w:val="1"/>
          <w:bCs w:val="1"/>
          <w:color w:val="auto"/>
        </w:rPr>
        <w:t>The nature of our operations exposes us, and the communities in which we work, to a wide range of health, safety, security and environment risks.</w:t>
      </w:r>
    </w:p>
    <w:p>
      <w:pPr>
        <w:spacing w:after="0" w:line="147" w:lineRule="exact"/>
        <w:rPr>
          <w:sz w:val="20"/>
          <w:szCs w:val="20"/>
          <w:color w:val="auto"/>
        </w:rPr>
      </w:pPr>
    </w:p>
    <w:p>
      <w:pPr>
        <w:ind w:right="20"/>
        <w:spacing w:after="0" w:line="297" w:lineRule="auto"/>
        <w:rPr>
          <w:sz w:val="20"/>
          <w:szCs w:val="20"/>
          <w:color w:val="auto"/>
        </w:rPr>
      </w:pPr>
      <w:r>
        <w:rPr>
          <w:rFonts w:ascii="Arial" w:cs="Arial" w:eastAsia="Arial" w:hAnsi="Arial"/>
          <w:sz w:val="8"/>
          <w:szCs w:val="8"/>
          <w:color w:val="auto"/>
        </w:rPr>
        <w:t>The health, safety, security and environment (HSSE) risks to which we and the communities in which we work are potentially exposed cover a wide spectrum, given the geographic range, operational diversity and technical complexity of our operations. These risks include the effects of natural disasters (including weather events), earthquakes, social unrest, pandemic diseases, criminal actions by external parties, and safety lapses. If a major risk materialises, such as an explosion or hydrocarbon leak or spill, this could result in injuries, loss of life, environmental harm, disruption of business activities, loss or suspension of permits, loss of our licence to operate and loss of our ability to bid on mineral rights. Accordingly, this could have a material adverse effect on our earnings, cash flows and financial condition.</w:t>
      </w:r>
    </w:p>
    <w:p>
      <w:pPr>
        <w:spacing w:after="0" w:line="127" w:lineRule="exact"/>
        <w:rPr>
          <w:sz w:val="20"/>
          <w:szCs w:val="20"/>
          <w:color w:val="auto"/>
        </w:rPr>
      </w:pPr>
    </w:p>
    <w:p>
      <w:pPr>
        <w:ind w:right="80"/>
        <w:spacing w:after="0" w:line="230" w:lineRule="auto"/>
        <w:rPr>
          <w:sz w:val="20"/>
          <w:szCs w:val="20"/>
          <w:color w:val="auto"/>
        </w:rPr>
      </w:pPr>
      <w:r>
        <w:rPr>
          <w:rFonts w:ascii="Arial" w:cs="Arial" w:eastAsia="Arial" w:hAnsi="Arial"/>
          <w:sz w:val="10"/>
          <w:szCs w:val="10"/>
          <w:color w:val="auto"/>
        </w:rPr>
        <w:t>Our operations are subject to extensive HSSE regulatory requirements that often change and are likely to become more stringent over time. Governments could require operators to adjust their future production plans, as has occurred in the Netherlands, affecting production and costs. We could incur significant extra costs in the future because of the need to comply with such requirements. We could also incur significant extra costs due to violations of or liabilities under laws and regulations that involve elements such as fines, penalties, clean-up costs and third-party claims. Therefore, if HSSE risks materialise, they could have a material adverse effect on our earnings, cash flows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See “Environment and society” on page 66.</w:t>
      </w:r>
    </w:p>
    <w:p>
      <w:pPr>
        <w:spacing w:after="0" w:line="153"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A further erosion of the business and operating environment in Nigeria could have a material adverse effect on us.</w:t>
      </w:r>
    </w:p>
    <w:p>
      <w:pPr>
        <w:spacing w:after="0" w:line="180" w:lineRule="exact"/>
        <w:rPr>
          <w:sz w:val="20"/>
          <w:szCs w:val="20"/>
          <w:color w:val="auto"/>
        </w:rPr>
      </w:pPr>
    </w:p>
    <w:p>
      <w:pPr>
        <w:ind w:right="40"/>
        <w:spacing w:after="0" w:line="231" w:lineRule="auto"/>
        <w:rPr>
          <w:sz w:val="20"/>
          <w:szCs w:val="20"/>
          <w:color w:val="auto"/>
        </w:rPr>
      </w:pPr>
      <w:r>
        <w:rPr>
          <w:rFonts w:ascii="Arial" w:cs="Arial" w:eastAsia="Arial" w:hAnsi="Arial"/>
          <w:sz w:val="10"/>
          <w:szCs w:val="10"/>
          <w:color w:val="auto"/>
        </w:rPr>
        <w:t>In our Nigerian operations, we face various risks and adverse conditions. These include: security issues affecting the safety of our people, host communities and operations; sabotage and theft; our ability to enforce existing contractual rights; litigation; limited infrastructure; potential legislation that could increase our taxes or operating costs; the effect of lower oil and gas prices on the government budget; and regional instability created by militant activities. These risks or adverse conditions could have a material adverse effect on our earnings, cash flows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See “Upstream” on page 40.</w:t>
      </w:r>
    </w:p>
    <w:p>
      <w:pPr>
        <w:spacing w:after="0" w:line="153" w:lineRule="exact"/>
        <w:rPr>
          <w:sz w:val="20"/>
          <w:szCs w:val="20"/>
          <w:color w:val="auto"/>
        </w:rPr>
      </w:pPr>
    </w:p>
    <w:p>
      <w:pPr>
        <w:spacing w:after="0" w:line="243" w:lineRule="auto"/>
        <w:rPr>
          <w:sz w:val="20"/>
          <w:szCs w:val="20"/>
          <w:color w:val="auto"/>
        </w:rPr>
      </w:pPr>
      <w:r>
        <w:rPr>
          <w:rFonts w:ascii="Arial" w:cs="Arial" w:eastAsia="Arial" w:hAnsi="Arial"/>
          <w:sz w:val="10"/>
          <w:szCs w:val="10"/>
          <w:b w:val="1"/>
          <w:bCs w:val="1"/>
          <w:color w:val="auto"/>
        </w:rPr>
        <w:t>An erosion of our business reputation could have a material adverse effect on our brand, our ability to secure new resources or access capital markets, and on our licence to operate.</w:t>
      </w:r>
    </w:p>
    <w:p>
      <w:pPr>
        <w:spacing w:after="0" w:line="147" w:lineRule="exact"/>
        <w:rPr>
          <w:sz w:val="20"/>
          <w:szCs w:val="20"/>
          <w:color w:val="auto"/>
        </w:rPr>
      </w:pPr>
    </w:p>
    <w:p>
      <w:pPr>
        <w:ind w:right="20"/>
        <w:spacing w:after="0" w:line="231" w:lineRule="auto"/>
        <w:rPr>
          <w:sz w:val="20"/>
          <w:szCs w:val="20"/>
          <w:color w:val="auto"/>
        </w:rPr>
      </w:pPr>
      <w:r>
        <w:rPr>
          <w:rFonts w:ascii="Arial" w:cs="Arial" w:eastAsia="Arial" w:hAnsi="Arial"/>
          <w:sz w:val="10"/>
          <w:szCs w:val="10"/>
          <w:color w:val="auto"/>
        </w:rPr>
        <w:t>Our reputation is an important asset. The Shell General Business Principles (Principles) govern how Shell and its individual companies conduct their affairs, and the Shell Code of Conduct tells employees and contract staff how to behave in line with the Principles. Our challenge is to ensure that all employees and contract staff comply with the Principles and the Code of Conduct. Real or perceived failures of governance or regulatory compliance or a perceived lack of understanding of how our operations affect surrounding communities could harm our reputation.</w:t>
      </w:r>
    </w:p>
    <w:p>
      <w:pPr>
        <w:spacing w:after="0" w:line="149" w:lineRule="exact"/>
        <w:rPr>
          <w:sz w:val="20"/>
          <w:szCs w:val="20"/>
          <w:color w:val="auto"/>
        </w:rPr>
      </w:pPr>
    </w:p>
    <w:p>
      <w:pPr>
        <w:ind w:right="200"/>
        <w:spacing w:after="0" w:line="232" w:lineRule="auto"/>
        <w:rPr>
          <w:sz w:val="20"/>
          <w:szCs w:val="20"/>
          <w:color w:val="auto"/>
        </w:rPr>
      </w:pPr>
      <w:r>
        <w:rPr>
          <w:rFonts w:ascii="Arial" w:cs="Arial" w:eastAsia="Arial" w:hAnsi="Arial"/>
          <w:sz w:val="10"/>
          <w:szCs w:val="10"/>
          <w:color w:val="auto"/>
        </w:rPr>
        <w:t>Societal expectations of businesses are increasing, with a focus on business ethics, quality of products, contribution to society, safety and minimising damage to the environment. There is increasing focus on the role of oil and gas in the context of climate change and energy transition. This could negatively affect our brand, reputation and licence to operate, which could limit our ability to deliver our strategy, reduce consumer demand for our</w:t>
      </w:r>
    </w:p>
    <w:p>
      <w:pPr>
        <w:spacing w:after="0" w:line="20" w:lineRule="exact"/>
        <w:rPr>
          <w:sz w:val="20"/>
          <w:szCs w:val="20"/>
          <w:color w:val="auto"/>
        </w:rPr>
      </w:pPr>
      <w:r>
        <w:rPr>
          <w:sz w:val="20"/>
          <w:szCs w:val="20"/>
          <w:color w:val="auto"/>
        </w:rPr>
        <w:br w:type="column"/>
      </w:r>
    </w:p>
    <w:p>
      <w:pPr>
        <w:jc w:val="both"/>
        <w:ind w:right="120"/>
        <w:spacing w:after="0" w:line="320" w:lineRule="auto"/>
        <w:rPr>
          <w:sz w:val="20"/>
          <w:szCs w:val="20"/>
          <w:color w:val="auto"/>
        </w:rPr>
      </w:pPr>
      <w:r>
        <w:rPr>
          <w:rFonts w:ascii="Arial" w:cs="Arial" w:eastAsia="Arial" w:hAnsi="Arial"/>
          <w:sz w:val="8"/>
          <w:szCs w:val="8"/>
          <w:color w:val="auto"/>
        </w:rPr>
        <w:t>branded and non-branded products, harm our ability to secure new resources and contracts, and restrict our ability to access capital markets or attract staff. Many other factors, including the materialisation of the risks discussed in several of the other risk factors, could negatively affect our reputation and could have a material adverse effect on our earnings, cash flows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See “Governance” on page 150 and "Our people" on page 87.</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We rely heavily on information technology systems in our operations.</w:t>
      </w:r>
    </w:p>
    <w:p>
      <w:pPr>
        <w:spacing w:after="0" w:line="157" w:lineRule="exact"/>
        <w:rPr>
          <w:sz w:val="20"/>
          <w:szCs w:val="20"/>
          <w:color w:val="auto"/>
        </w:rPr>
      </w:pPr>
    </w:p>
    <w:p>
      <w:pPr>
        <w:ind w:right="120"/>
        <w:spacing w:after="0" w:line="292" w:lineRule="auto"/>
        <w:rPr>
          <w:sz w:val="20"/>
          <w:szCs w:val="20"/>
          <w:color w:val="auto"/>
        </w:rPr>
      </w:pPr>
      <w:r>
        <w:rPr>
          <w:rFonts w:ascii="Arial" w:cs="Arial" w:eastAsia="Arial" w:hAnsi="Arial"/>
          <w:sz w:val="8"/>
          <w:szCs w:val="8"/>
          <w:color w:val="auto"/>
        </w:rPr>
        <w:t>The operation of many of our business processes depends on reliable information technology (IT) systems. Our IT systems are increasingly concentrated in terms of geography and number of systems. They are dependent on key contractors supporting the delivery of IT services. During 2020, information and cyber-security risks developed and changed rapidly. Globally the COVID-19 pandemic and geopolitical tensions have altered the IT threat landscape, increasing the frequency and ingenuity of malware attacks and increasing the temptation to attack targets for financial gain. Also, the prevalence of remote working introduces additional risk because it expands the IT threat landscape. We have experienced breaches and disruptions to our critical IT services in the past. These factors continue to contribute to potential breaches and disruptions of critical IT services. Additionally, breaches can lead to data privacy issues. If the breaches are not detected early and responded to effectively, they could harm our reputation and have a material adverse effect on our earnings, cash flows and financial condition.</w:t>
      </w:r>
    </w:p>
    <w:p>
      <w:pPr>
        <w:spacing w:after="0" w:line="239" w:lineRule="exact"/>
        <w:rPr>
          <w:sz w:val="20"/>
          <w:szCs w:val="20"/>
          <w:color w:val="auto"/>
        </w:rPr>
      </w:pPr>
    </w:p>
    <w:p>
      <w:pPr>
        <w:spacing w:after="0"/>
        <w:rPr>
          <w:sz w:val="20"/>
          <w:szCs w:val="20"/>
          <w:color w:val="auto"/>
        </w:rPr>
      </w:pPr>
      <w:r>
        <w:rPr>
          <w:rFonts w:ascii="Arial" w:cs="Arial" w:eastAsia="Arial" w:hAnsi="Arial"/>
          <w:sz w:val="10"/>
          <w:szCs w:val="10"/>
          <w:color w:val="auto"/>
        </w:rPr>
        <w:t>See “Corporate” on page 60.</w:t>
      </w:r>
    </w:p>
    <w:p>
      <w:pPr>
        <w:spacing w:after="0" w:line="153" w:lineRule="exact"/>
        <w:rPr>
          <w:sz w:val="20"/>
          <w:szCs w:val="20"/>
          <w:color w:val="auto"/>
        </w:rPr>
      </w:pPr>
    </w:p>
    <w:p>
      <w:pPr>
        <w:ind w:right="160"/>
        <w:spacing w:after="0" w:line="243" w:lineRule="auto"/>
        <w:rPr>
          <w:sz w:val="20"/>
          <w:szCs w:val="20"/>
          <w:color w:val="auto"/>
        </w:rPr>
      </w:pPr>
      <w:r>
        <w:rPr>
          <w:rFonts w:ascii="Arial" w:cs="Arial" w:eastAsia="Arial" w:hAnsi="Arial"/>
          <w:sz w:val="10"/>
          <w:szCs w:val="10"/>
          <w:b w:val="1"/>
          <w:bCs w:val="1"/>
          <w:color w:val="auto"/>
        </w:rPr>
        <w:t>Our business exposes us to risks of social instability, criminality, civil unrest, terrorism, piracy, cyber-disruption and acts of war that could have a material adverse effect on our operations.</w:t>
      </w:r>
    </w:p>
    <w:p>
      <w:pPr>
        <w:spacing w:after="0" w:line="147" w:lineRule="exact"/>
        <w:rPr>
          <w:sz w:val="20"/>
          <w:szCs w:val="20"/>
          <w:color w:val="auto"/>
        </w:rPr>
      </w:pPr>
    </w:p>
    <w:p>
      <w:pPr>
        <w:ind w:right="220"/>
        <w:spacing w:after="0" w:line="232" w:lineRule="auto"/>
        <w:rPr>
          <w:sz w:val="20"/>
          <w:szCs w:val="20"/>
          <w:color w:val="auto"/>
        </w:rPr>
      </w:pPr>
      <w:r>
        <w:rPr>
          <w:rFonts w:ascii="Arial" w:cs="Arial" w:eastAsia="Arial" w:hAnsi="Arial"/>
          <w:sz w:val="10"/>
          <w:szCs w:val="10"/>
          <w:color w:val="auto"/>
        </w:rPr>
        <w:t>As seen in recent years, these risks can manifest themselves in the countries where we operate and elsewhere. These risks affect people and assets. Potential risks include: acts of terrorism; acts of criminality including maritime piracy; cyber-espionage or disruptive cyber-attacks; conflicts including war, civil unrest and environmental and climate activism (including disruptions by non-governmental and political organisations).</w:t>
      </w:r>
    </w:p>
    <w:p>
      <w:pPr>
        <w:spacing w:after="0" w:line="149" w:lineRule="exact"/>
        <w:rPr>
          <w:sz w:val="20"/>
          <w:szCs w:val="20"/>
          <w:color w:val="auto"/>
        </w:rPr>
      </w:pPr>
    </w:p>
    <w:p>
      <w:pPr>
        <w:jc w:val="both"/>
        <w:ind w:right="120"/>
        <w:spacing w:after="0" w:line="234" w:lineRule="auto"/>
        <w:rPr>
          <w:sz w:val="20"/>
          <w:szCs w:val="20"/>
          <w:color w:val="auto"/>
        </w:rPr>
      </w:pPr>
      <w:r>
        <w:rPr>
          <w:rFonts w:ascii="Arial" w:cs="Arial" w:eastAsia="Arial" w:hAnsi="Arial"/>
          <w:sz w:val="10"/>
          <w:szCs w:val="10"/>
          <w:color w:val="auto"/>
        </w:rPr>
        <w:t>The above risks can threaten the safe operation of our facilities and the transport of our products. They can harm the well-being of our people, inflict loss of life and injuries, damage the environment and disrupt our operational activities. These risks could have a material adverse effect on our earnings, cash flows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See “Environment and society” on pages 67.</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Production from the Groningen field in the Netherlands causes earthquakes that affect local communities.</w:t>
      </w:r>
    </w:p>
    <w:p>
      <w:pPr>
        <w:spacing w:after="0" w:line="157" w:lineRule="exact"/>
        <w:rPr>
          <w:sz w:val="20"/>
          <w:szCs w:val="20"/>
          <w:color w:val="auto"/>
        </w:rPr>
      </w:pPr>
    </w:p>
    <w:p>
      <w:pPr>
        <w:ind w:right="140"/>
        <w:spacing w:after="0" w:line="293" w:lineRule="auto"/>
        <w:rPr>
          <w:sz w:val="20"/>
          <w:szCs w:val="20"/>
          <w:color w:val="auto"/>
        </w:rPr>
      </w:pPr>
      <w:r>
        <w:rPr>
          <w:rFonts w:ascii="Arial" w:cs="Arial" w:eastAsia="Arial" w:hAnsi="Arial"/>
          <w:sz w:val="8"/>
          <w:szCs w:val="8"/>
          <w:color w:val="auto"/>
        </w:rPr>
        <w:t>Shell and ExxonMobil are 50:50 shareholders in Nederlandse Aardolie Maatschappij B.V. (NAM). An important part of NAM’s gas production comes from the onshore Groningen gas field, in which EBN, a Dutch government entity, has a 40% interest and NAM a 60% interest. The gas field is in the process of being closed down due to earthquakes induced by gas production. Some of these earthquakes have damaged houses and other structures in the region, resulting in complaints and lawsuits from the local community. The government has announced it intends to accelerate the close-down, bringing the end of production forward from 2030 to possibly mid-2022. The exact shut-in date depends on security of supply considerations and is still to be decided. While we expect the earlier closing down of the Groningen gas field to further reduce the number and strength of earthquakes in the region, any additional earthquakes could have further adverse effects on our earnings, cash flows and financial condition.</w:t>
      </w:r>
    </w:p>
    <w:p>
      <w:pPr>
        <w:spacing w:after="0" w:line="240" w:lineRule="exact"/>
        <w:rPr>
          <w:sz w:val="20"/>
          <w:szCs w:val="20"/>
          <w:color w:val="auto"/>
        </w:rPr>
      </w:pPr>
    </w:p>
    <w:p>
      <w:pPr>
        <w:spacing w:after="0"/>
        <w:rPr>
          <w:sz w:val="20"/>
          <w:szCs w:val="20"/>
          <w:color w:val="auto"/>
        </w:rPr>
      </w:pPr>
      <w:r>
        <w:rPr>
          <w:rFonts w:ascii="Arial" w:cs="Arial" w:eastAsia="Arial" w:hAnsi="Arial"/>
          <w:sz w:val="10"/>
          <w:szCs w:val="10"/>
          <w:color w:val="auto"/>
        </w:rPr>
        <w:t>See “Upstream” on page 38.</w:t>
      </w:r>
    </w:p>
    <w:p>
      <w:pPr>
        <w:spacing w:after="0" w:line="153" w:lineRule="exact"/>
        <w:rPr>
          <w:sz w:val="20"/>
          <w:szCs w:val="20"/>
          <w:color w:val="auto"/>
        </w:rPr>
      </w:pPr>
    </w:p>
    <w:p>
      <w:pPr>
        <w:ind w:right="140"/>
        <w:spacing w:after="0" w:line="363" w:lineRule="auto"/>
        <w:rPr>
          <w:sz w:val="20"/>
          <w:szCs w:val="20"/>
          <w:color w:val="auto"/>
        </w:rPr>
      </w:pPr>
      <w:r>
        <w:rPr>
          <w:rFonts w:ascii="Arial" w:cs="Arial" w:eastAsia="Arial" w:hAnsi="Arial"/>
          <w:sz w:val="8"/>
          <w:szCs w:val="8"/>
          <w:b w:val="1"/>
          <w:bCs w:val="1"/>
          <w:color w:val="auto"/>
        </w:rPr>
        <w:t>We are exposed to treasury and trading risks, including liquidity risk, interest rate risk, foreign exchange risk and credit risk. We are affected by the global macroeconomic environment and the conditions of financial and commodity markets.</w:t>
      </w:r>
    </w:p>
    <w:p>
      <w:pPr>
        <w:spacing w:after="0" w:line="206"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20</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8"/>
          <w:szCs w:val="8"/>
          <w:color w:val="auto"/>
        </w:rPr>
        <w:t>Our subsidiaries, joint arrangements and associates are subject to differing economic and financial market conditions around the world.</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Political or economic instability affects such markets.</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0"/>
          <w:szCs w:val="10"/>
          <w:color w:val="auto"/>
        </w:rPr>
        <w:t>We use debt instruments, such as bonds and commercial paper, to raise significant amounts of capital. Should our access to debt markets become more difficult, the potential impact on our liquidity could have a material adverse effect on our operations. Our financing costs could also be affected by interest rate fluctuations or any credit rating deterioration.</w:t>
      </w:r>
    </w:p>
    <w:p>
      <w:pPr>
        <w:spacing w:after="0" w:line="150" w:lineRule="exact"/>
        <w:rPr>
          <w:sz w:val="20"/>
          <w:szCs w:val="20"/>
          <w:color w:val="auto"/>
        </w:rPr>
      </w:pPr>
    </w:p>
    <w:p>
      <w:pPr>
        <w:ind w:right="80"/>
        <w:spacing w:after="0" w:line="232" w:lineRule="auto"/>
        <w:rPr>
          <w:sz w:val="20"/>
          <w:szCs w:val="20"/>
          <w:color w:val="auto"/>
        </w:rPr>
      </w:pPr>
      <w:r>
        <w:rPr>
          <w:rFonts w:ascii="Arial" w:cs="Arial" w:eastAsia="Arial" w:hAnsi="Arial"/>
          <w:sz w:val="10"/>
          <w:szCs w:val="10"/>
          <w:color w:val="auto"/>
        </w:rPr>
        <w:t>We are exposed to changes in currency values and to exchange controls as a result of our substantial international operations. Our reporting currency is the US dollar, although, to a material extent, we also hold assets and are exposed to liabilities in other currencies. While we undertake some foreign exchange hedging, we do not do so for all our activities. Even where hedging is in place, it may not function as expected.</w:t>
      </w:r>
    </w:p>
    <w:p>
      <w:pPr>
        <w:spacing w:after="0" w:line="149" w:lineRule="exact"/>
        <w:rPr>
          <w:sz w:val="20"/>
          <w:szCs w:val="20"/>
          <w:color w:val="auto"/>
        </w:rPr>
      </w:pPr>
    </w:p>
    <w:p>
      <w:pPr>
        <w:ind w:right="60"/>
        <w:spacing w:after="0" w:line="307" w:lineRule="auto"/>
        <w:rPr>
          <w:sz w:val="20"/>
          <w:szCs w:val="20"/>
          <w:color w:val="auto"/>
        </w:rPr>
      </w:pPr>
      <w:r>
        <w:rPr>
          <w:rFonts w:ascii="Arial" w:cs="Arial" w:eastAsia="Arial" w:hAnsi="Arial"/>
          <w:sz w:val="8"/>
          <w:szCs w:val="8"/>
          <w:color w:val="auto"/>
        </w:rPr>
        <w:t>We are exposed to credit risk; our counterparties could fail or be unable to meet their payment and/or performance obligations under contractual arrangements. Although we do not have significant direct exposure to sovereign debt, it is possible that our partners and customers may have exposure which could impair their ability to meet their obligations. Our pension plans invest in government bonds, and could therefore be affected by a sovereign debt downgrade or other default.</w:t>
      </w:r>
    </w:p>
    <w:p>
      <w:pPr>
        <w:spacing w:after="0" w:line="123" w:lineRule="exact"/>
        <w:rPr>
          <w:sz w:val="20"/>
          <w:szCs w:val="20"/>
          <w:color w:val="auto"/>
        </w:rPr>
      </w:pPr>
    </w:p>
    <w:p>
      <w:pPr>
        <w:spacing w:after="0"/>
        <w:rPr>
          <w:sz w:val="20"/>
          <w:szCs w:val="20"/>
          <w:color w:val="auto"/>
        </w:rPr>
      </w:pPr>
      <w:r>
        <w:rPr>
          <w:rFonts w:ascii="Arial" w:cs="Arial" w:eastAsia="Arial" w:hAnsi="Arial"/>
          <w:sz w:val="8"/>
          <w:szCs w:val="8"/>
          <w:color w:val="auto"/>
        </w:rPr>
        <w:t>If any of the above risks materialise, they could have a material adverse effect on our earnings, cash flows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8"/>
          <w:szCs w:val="8"/>
          <w:color w:val="auto"/>
        </w:rPr>
        <w:t>See “Liquidity and capital resources” on page 61 and Note 19 to the “Consolidated Financial Statements” on pages 198-202.</w:t>
      </w:r>
    </w:p>
    <w:p>
      <w:pPr>
        <w:spacing w:after="0" w:line="176"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Our future performance depends on the successful development and deployment of new technologies and new products.</w:t>
      </w:r>
    </w:p>
    <w:p>
      <w:pPr>
        <w:spacing w:after="0" w:line="180" w:lineRule="exact"/>
        <w:rPr>
          <w:sz w:val="20"/>
          <w:szCs w:val="20"/>
          <w:color w:val="auto"/>
        </w:rPr>
      </w:pPr>
    </w:p>
    <w:p>
      <w:pPr>
        <w:spacing w:after="0" w:line="292" w:lineRule="auto"/>
        <w:rPr>
          <w:sz w:val="20"/>
          <w:szCs w:val="20"/>
          <w:color w:val="auto"/>
        </w:rPr>
      </w:pPr>
      <w:r>
        <w:rPr>
          <w:rFonts w:ascii="Arial" w:cs="Arial" w:eastAsia="Arial" w:hAnsi="Arial"/>
          <w:sz w:val="8"/>
          <w:szCs w:val="8"/>
          <w:color w:val="auto"/>
        </w:rPr>
        <w:t>Technology and innovation are essential to our efforts to meet the world’s energy demands competitively. If we fail to continue developing or deploying technology and new products, or fail to make full, effective use of our data in a timely and cost-effective manner, there could be a material adverse effect on the delivery of our strategy and our licence to operate. We operate in environments where advanced technologies are used. In developing new technologies and new products, unknown or unforeseeable technological failures or environmental and health effects could harm our reputation and licence to operate or expose us to litigation or sanctions. The associated costs of new technology are sometimes underestimated. Sometimes the development of new technology is subject to delays. If we are unable to develop the right technology and products in a timely and cost-effective manner, or if we develop technologies and products that harm the environment or people's health, there could be a material adverse effect on our earnings, cash flows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0"/>
          <w:szCs w:val="10"/>
          <w:color w:val="auto"/>
        </w:rPr>
        <w:t>See “Shell story” on page 13.</w:t>
      </w:r>
    </w:p>
    <w:p>
      <w:pPr>
        <w:spacing w:after="0" w:line="153"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We have substantial pension commitments, the funding of which is subject to capital market risks and other factors.</w:t>
      </w:r>
    </w:p>
    <w:p>
      <w:pPr>
        <w:spacing w:after="0" w:line="180" w:lineRule="exact"/>
        <w:rPr>
          <w:sz w:val="20"/>
          <w:szCs w:val="20"/>
          <w:color w:val="auto"/>
        </w:rPr>
      </w:pPr>
    </w:p>
    <w:p>
      <w:pPr>
        <w:ind w:right="40"/>
        <w:spacing w:after="0" w:line="296" w:lineRule="auto"/>
        <w:rPr>
          <w:sz w:val="20"/>
          <w:szCs w:val="20"/>
          <w:color w:val="auto"/>
        </w:rPr>
      </w:pPr>
      <w:r>
        <w:rPr>
          <w:rFonts w:ascii="Arial" w:cs="Arial" w:eastAsia="Arial" w:hAnsi="Arial"/>
          <w:sz w:val="8"/>
          <w:szCs w:val="8"/>
          <w:color w:val="auto"/>
        </w:rPr>
        <w:t>Liabilities associated with defined benefit pension plans are significant, and the cash funding requirement of such plans can also involve significant liabilities. They both depend on various assumptions. Volatility in capital markets or government policies could affect investment performance and interest rates, causing significant changes to the funding level of future liabilities. Changes in assumptions for mortality, retirement age or pensionable remuneration at retirement could also cause significant changes to the funding level of future liabilities. We operate a number of defined benefit pension plans and, in case of a shortfall, we could be required to make substantial cash contributions (depending on the applicable local regulations). This could result in a material adverse effect on our earnings, cash flows and financial condition.</w:t>
      </w:r>
    </w:p>
    <w:p>
      <w:pPr>
        <w:spacing w:after="0" w:line="237" w:lineRule="exact"/>
        <w:rPr>
          <w:sz w:val="20"/>
          <w:szCs w:val="20"/>
          <w:color w:val="auto"/>
        </w:rPr>
      </w:pPr>
    </w:p>
    <w:p>
      <w:pPr>
        <w:spacing w:after="0"/>
        <w:rPr>
          <w:sz w:val="20"/>
          <w:szCs w:val="20"/>
          <w:color w:val="auto"/>
        </w:rPr>
      </w:pPr>
      <w:r>
        <w:rPr>
          <w:rFonts w:ascii="Arial" w:cs="Arial" w:eastAsia="Arial" w:hAnsi="Arial"/>
          <w:sz w:val="10"/>
          <w:szCs w:val="10"/>
          <w:color w:val="auto"/>
        </w:rPr>
        <w:t>See “Liquidity and capital resources” on page 61.</w:t>
      </w:r>
    </w:p>
    <w:p>
      <w:pPr>
        <w:spacing w:after="0" w:line="1" w:lineRule="exact"/>
        <w:rPr>
          <w:sz w:val="20"/>
          <w:szCs w:val="20"/>
          <w:color w:val="auto"/>
        </w:rPr>
      </w:pPr>
    </w:p>
    <w:p>
      <w:pPr>
        <w:ind w:right="280"/>
        <w:spacing w:after="0" w:line="231" w:lineRule="auto"/>
        <w:rPr>
          <w:sz w:val="20"/>
          <w:szCs w:val="20"/>
          <w:color w:val="auto"/>
        </w:rPr>
      </w:pPr>
      <w:r>
        <w:rPr>
          <w:rFonts w:ascii="Arial" w:cs="Arial" w:eastAsia="Arial" w:hAnsi="Arial"/>
          <w:sz w:val="10"/>
          <w:szCs w:val="10"/>
          <w:b w:val="1"/>
          <w:bCs w:val="1"/>
          <w:color w:val="auto"/>
        </w:rPr>
        <w:t>We mainly self-insure our risk exposure. We could incur significant losses from different types of risks that are not covered by insurance from third-party insurers.</w:t>
      </w:r>
    </w:p>
    <w:p>
      <w:pPr>
        <w:spacing w:after="0" w:line="20" w:lineRule="exact"/>
        <w:rPr>
          <w:sz w:val="20"/>
          <w:szCs w:val="20"/>
          <w:color w:val="auto"/>
        </w:rPr>
      </w:pPr>
      <w:r>
        <w:rPr>
          <w:sz w:val="20"/>
          <w:szCs w:val="20"/>
          <w:color w:val="auto"/>
        </w:rPr>
        <w:br w:type="column"/>
      </w:r>
    </w:p>
    <w:p>
      <w:pPr>
        <w:ind w:right="180"/>
        <w:spacing w:after="0" w:line="300" w:lineRule="auto"/>
        <w:rPr>
          <w:sz w:val="20"/>
          <w:szCs w:val="20"/>
          <w:color w:val="auto"/>
        </w:rPr>
      </w:pPr>
      <w:r>
        <w:rPr>
          <w:rFonts w:ascii="Arial" w:cs="Arial" w:eastAsia="Arial" w:hAnsi="Arial"/>
          <w:sz w:val="8"/>
          <w:szCs w:val="8"/>
          <w:color w:val="auto"/>
        </w:rPr>
        <w:t>Our insurance subsidiaries provide hazard insurance coverage to other Shell entities, who may insure a portion of their risk exposures with third parties. Such insurance would not provide any material coverage in the event of a large-scale safety or environmental incident. Accordingly, in the event of a material incident, we would have to meet our obligations without access to material proceeds from third-party insurance companies. Therefore, we may incur significant losses from different types of risks that are not covered by insurance from third-party insurers, potentially resulting in a material adverse effect on our earnings, cash flows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See “Corporate” on page 60.</w:t>
      </w:r>
    </w:p>
    <w:p>
      <w:pPr>
        <w:spacing w:after="0" w:line="153" w:lineRule="exact"/>
        <w:rPr>
          <w:sz w:val="20"/>
          <w:szCs w:val="20"/>
          <w:color w:val="auto"/>
        </w:rPr>
      </w:pPr>
    </w:p>
    <w:p>
      <w:pPr>
        <w:ind w:right="200"/>
        <w:spacing w:after="0" w:line="243" w:lineRule="auto"/>
        <w:rPr>
          <w:sz w:val="20"/>
          <w:szCs w:val="20"/>
          <w:color w:val="auto"/>
        </w:rPr>
      </w:pPr>
      <w:r>
        <w:rPr>
          <w:rFonts w:ascii="Arial" w:cs="Arial" w:eastAsia="Arial" w:hAnsi="Arial"/>
          <w:sz w:val="10"/>
          <w:szCs w:val="10"/>
          <w:b w:val="1"/>
          <w:bCs w:val="1"/>
          <w:color w:val="auto"/>
        </w:rPr>
        <w:t>Many of our major projects and operations are conducted in joint arrangements or with associates. This could reduce our degree of control and our ability to identify and manage risks.</w:t>
      </w:r>
    </w:p>
    <w:p>
      <w:pPr>
        <w:spacing w:after="0" w:line="147" w:lineRule="exact"/>
        <w:rPr>
          <w:sz w:val="20"/>
          <w:szCs w:val="20"/>
          <w:color w:val="auto"/>
        </w:rPr>
      </w:pPr>
    </w:p>
    <w:p>
      <w:pPr>
        <w:ind w:right="140"/>
        <w:spacing w:after="0" w:line="294" w:lineRule="auto"/>
        <w:rPr>
          <w:sz w:val="20"/>
          <w:szCs w:val="20"/>
          <w:color w:val="auto"/>
        </w:rPr>
      </w:pPr>
      <w:r>
        <w:rPr>
          <w:rFonts w:ascii="Arial" w:cs="Arial" w:eastAsia="Arial" w:hAnsi="Arial"/>
          <w:sz w:val="8"/>
          <w:szCs w:val="8"/>
          <w:color w:val="auto"/>
        </w:rPr>
        <w:t>When we are not the operator, we have less influence and control over the behaviour, performance and operating costs of joint arrangements or associates. Despite having less control, we could still be exposed to the risks associated with these operations, including reputational, litigation (where joint and several liability could apply) and government sanction risks. For example, our partners or members of a joint arrangement or an associate, (particularly local partners in developing countries), may be unable to meet their financial or other obligations to projects, threatening the viability of a given project. Where we are the operator of a joint arrangement, the other partner(s) could still be able to veto or block certain decisions, which could be to our overall detriment. Accordingly, where we have limited influence, we are exposed to operational risks that could have a material adverse effect on our earnings, cash flows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0"/>
          <w:szCs w:val="10"/>
          <w:color w:val="auto"/>
        </w:rPr>
        <w:t>See “Governance” on page 99.</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CONDUCT RISKS</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We are exposed to commodity trading risks, including market and operational risks.</w:t>
      </w:r>
    </w:p>
    <w:p>
      <w:pPr>
        <w:spacing w:after="0" w:line="157" w:lineRule="exact"/>
        <w:rPr>
          <w:sz w:val="20"/>
          <w:szCs w:val="20"/>
          <w:color w:val="auto"/>
        </w:rPr>
      </w:pPr>
    </w:p>
    <w:p>
      <w:pPr>
        <w:ind w:right="180"/>
        <w:spacing w:after="0" w:line="296" w:lineRule="auto"/>
        <w:rPr>
          <w:sz w:val="20"/>
          <w:szCs w:val="20"/>
          <w:color w:val="auto"/>
        </w:rPr>
      </w:pPr>
      <w:r>
        <w:rPr>
          <w:rFonts w:ascii="Arial" w:cs="Arial" w:eastAsia="Arial" w:hAnsi="Arial"/>
          <w:sz w:val="8"/>
          <w:szCs w:val="8"/>
          <w:color w:val="auto"/>
        </w:rPr>
        <w:t>Commodity trading is an important component of our Upstream, Integrated Gas, Oil Products and Chemicals businesses and is integrated with our supply business. Processing, managing and monitoring many trading transactions across the world, some of them complex, exposes us to operational and market risks, including commodity price risks which saw significant levels of volatility in 2020. We use derivative instruments such as futures and contracts for differences to hedge market risks. We do not hedge all our activities and where hedging is in place, it may not function as expected. The risk of ineffective controls and oversight of trading activities, and the risk that traders could deliberately act outside limits and controls, either individually or as a group, could have material adverse effects on our earnings, cash flows and financial condition.</w:t>
      </w:r>
    </w:p>
    <w:p>
      <w:pPr>
        <w:spacing w:after="0" w:line="309" w:lineRule="exact"/>
        <w:rPr>
          <w:sz w:val="20"/>
          <w:szCs w:val="20"/>
          <w:color w:val="auto"/>
        </w:rPr>
      </w:pPr>
    </w:p>
    <w:p>
      <w:pPr>
        <w:spacing w:after="0"/>
        <w:rPr>
          <w:sz w:val="20"/>
          <w:szCs w:val="20"/>
          <w:color w:val="auto"/>
        </w:rPr>
      </w:pPr>
      <w:r>
        <w:rPr>
          <w:rFonts w:ascii="Arial" w:cs="Arial" w:eastAsia="Arial" w:hAnsi="Arial"/>
          <w:sz w:val="8"/>
          <w:szCs w:val="8"/>
          <w:color w:val="auto"/>
        </w:rPr>
        <w:t>See “Liquidity and capital resources” on page 61 and Note 19 to the “Consolidated Financial Statements” on pages 198-202</w:t>
      </w:r>
    </w:p>
    <w:p>
      <w:pPr>
        <w:spacing w:after="0" w:line="176" w:lineRule="exact"/>
        <w:rPr>
          <w:sz w:val="20"/>
          <w:szCs w:val="20"/>
          <w:color w:val="auto"/>
        </w:rPr>
      </w:pPr>
    </w:p>
    <w:p>
      <w:pPr>
        <w:jc w:val="center"/>
        <w:ind w:right="340"/>
        <w:spacing w:after="0"/>
        <w:rPr>
          <w:sz w:val="20"/>
          <w:szCs w:val="20"/>
          <w:color w:val="auto"/>
        </w:rPr>
      </w:pPr>
      <w:r>
        <w:rPr>
          <w:rFonts w:ascii="Arial" w:cs="Arial" w:eastAsia="Arial" w:hAnsi="Arial"/>
          <w:sz w:val="8"/>
          <w:szCs w:val="8"/>
          <w:b w:val="1"/>
          <w:bCs w:val="1"/>
          <w:color w:val="auto"/>
        </w:rPr>
        <w:t>Violations of antitrust and competition laws carry fines and expose us and/or our employees to criminal sanctions and civil suits.</w:t>
      </w:r>
    </w:p>
    <w:p>
      <w:pPr>
        <w:spacing w:after="0" w:line="180" w:lineRule="exact"/>
        <w:rPr>
          <w:sz w:val="20"/>
          <w:szCs w:val="20"/>
          <w:color w:val="auto"/>
        </w:rPr>
      </w:pPr>
    </w:p>
    <w:p>
      <w:pPr>
        <w:ind w:right="160"/>
        <w:spacing w:after="0" w:line="292" w:lineRule="auto"/>
        <w:rPr>
          <w:sz w:val="20"/>
          <w:szCs w:val="20"/>
          <w:color w:val="auto"/>
        </w:rPr>
      </w:pPr>
      <w:r>
        <w:rPr>
          <w:rFonts w:ascii="Arial" w:cs="Arial" w:eastAsia="Arial" w:hAnsi="Arial"/>
          <w:sz w:val="8"/>
          <w:szCs w:val="8"/>
          <w:color w:val="auto"/>
        </w:rPr>
        <w:t>Antitrust and competition laws apply to Shell and its joint arrangements and associates in the vast majority of countries where we do business. Shell and its joint arrangements and associates have been fined for violations of antitrust and competition laws in the past. This includes a number of fines by the European Commission Directorate-General for Competition (DG COMP). Because of DG COMP’s fining guidelines, any future conviction of Shell or any of its joint arrangements or associates for violation of EU competition law could potentially result in significantly larger fines and have a material adverse effect on us. Violation of antitrust laws is a criminal offence in many countries, and individuals can be imprisoned or fined. In certain circumstances, directors may receive director disqualification orders. It is also now common for persons or corporations allegedly injured by antitrust violations to sue for damages. Any violation of these laws can harm our reputation and could have a material adverse effect on our earnings, cash flows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0"/>
          <w:szCs w:val="10"/>
          <w:color w:val="auto"/>
        </w:rPr>
        <w:t>See “Governance” on pages 150.</w:t>
      </w:r>
    </w:p>
    <w:p>
      <w:pPr>
        <w:spacing w:after="0" w:line="200" w:lineRule="exact"/>
        <w:rPr>
          <w:sz w:val="20"/>
          <w:szCs w:val="20"/>
          <w:color w:val="auto"/>
        </w:rPr>
      </w:pPr>
    </w:p>
    <w:p>
      <w:pPr>
        <w:sectPr>
          <w:pgSz w:w="11900" w:h="16838" w:orient="portrait"/>
          <w:cols w:equalWidth="0" w:num="2">
            <w:col w:w="5420" w:space="300"/>
            <w:col w:w="5580"/>
          </w:cols>
          <w:pgMar w:left="300" w:top="640" w:right="299" w:bottom="1440" w:gutter="0" w:footer="0" w:header="0"/>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21</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24" w:name="page25"/>
    <w:bookmarkEnd w:id="24"/>
    <w:p>
      <w:pPr>
        <w:spacing w:after="0" w:line="160" w:lineRule="exact"/>
        <w:rPr>
          <w:sz w:val="20"/>
          <w:szCs w:val="20"/>
          <w:color w:val="auto"/>
        </w:rPr>
      </w:pPr>
    </w:p>
    <w:p>
      <w:pPr>
        <w:ind w:right="120"/>
        <w:spacing w:after="0" w:line="363" w:lineRule="auto"/>
        <w:rPr>
          <w:sz w:val="20"/>
          <w:szCs w:val="20"/>
          <w:color w:val="auto"/>
        </w:rPr>
      </w:pPr>
      <w:r>
        <w:rPr>
          <w:rFonts w:ascii="Arial" w:cs="Arial" w:eastAsia="Arial" w:hAnsi="Arial"/>
          <w:sz w:val="8"/>
          <w:szCs w:val="8"/>
          <w:b w:val="1"/>
          <w:bCs w:val="1"/>
          <w:color w:val="auto"/>
        </w:rPr>
        <w:t>Violations of anti-bribery, tax-evasion and anti-money laundering laws carry fines and expose us and/or our employees to criminal sanctions, civil suits and ancillary consequences (such as debarment and the revocation of licences).</w:t>
      </w:r>
    </w:p>
    <w:p>
      <w:pPr>
        <w:spacing w:after="0" w:line="102" w:lineRule="exact"/>
        <w:rPr>
          <w:sz w:val="20"/>
          <w:szCs w:val="20"/>
          <w:color w:val="auto"/>
        </w:rPr>
      </w:pPr>
    </w:p>
    <w:p>
      <w:pPr>
        <w:ind w:right="20"/>
        <w:spacing w:after="0" w:line="299" w:lineRule="auto"/>
        <w:rPr>
          <w:sz w:val="20"/>
          <w:szCs w:val="20"/>
          <w:color w:val="auto"/>
        </w:rPr>
      </w:pPr>
      <w:r>
        <w:rPr>
          <w:rFonts w:ascii="Arial" w:cs="Arial" w:eastAsia="Arial" w:hAnsi="Arial"/>
          <w:sz w:val="8"/>
          <w:szCs w:val="8"/>
          <w:color w:val="auto"/>
        </w:rPr>
        <w:t>Anti-bribery, tax-evasion and anti-money laundering laws apply to Shell, its joint arrangements and associates in all countries where we do business. Shell and its joint arrangements and associates have in the past settled with the US Securities and Exchange Commission regarding violations of the US Foreign Corrupt Practices Act. Any violation of anti-bribery, tax-evasion or anti-money laundering laws, including those potential violations associated with Shell Nigeria Exploration and Production Company Limited's investment in Nigerian oil block OPL 245 and the 2011 settlement of litigation pertaining to that block, could harm our reputation or have a material adverse effect on our earnings, cash flows and financial condition.</w:t>
      </w:r>
    </w:p>
    <w:p>
      <w:pPr>
        <w:spacing w:after="0" w:line="237" w:lineRule="exact"/>
        <w:rPr>
          <w:sz w:val="20"/>
          <w:szCs w:val="20"/>
          <w:color w:val="auto"/>
        </w:rPr>
      </w:pPr>
    </w:p>
    <w:p>
      <w:pPr>
        <w:spacing w:after="0"/>
        <w:rPr>
          <w:sz w:val="20"/>
          <w:szCs w:val="20"/>
          <w:color w:val="auto"/>
        </w:rPr>
      </w:pPr>
      <w:r>
        <w:rPr>
          <w:rFonts w:ascii="Arial" w:cs="Arial" w:eastAsia="Arial" w:hAnsi="Arial"/>
          <w:sz w:val="8"/>
          <w:szCs w:val="8"/>
          <w:color w:val="auto"/>
        </w:rPr>
        <w:t>See “Our people” on pages 87, “Governance” on page 150 and Note 25 to the “Consolidated Financial Statements” on pages 206-208.</w:t>
      </w:r>
    </w:p>
    <w:p>
      <w:pPr>
        <w:spacing w:after="0" w:line="176"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Violations of data protection laws carry fines and expose us and/or our employees to criminal sanctions and civil suits.</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8"/>
          <w:szCs w:val="8"/>
          <w:color w:val="auto"/>
        </w:rPr>
        <w:t>Data protection laws apply to Shell and its joint arrangements and associates in the vast majority of countries where we do business. Most of the countries we operate in have data protection laws and regulations. In some countries that are key to Shell’s business operations, legislation continues to be amended or introduced. Shell must be able to adapt dynamically to such legislative changes and be capable of updating our internal programmes if necessary. The EU General Data Protection Regulation (GDPR), which came into effect in May 2018, imposed increased financial penalties of up to a maximum of 4% of global annual turnover. It requires mandatory breach notification in certain situations, the standard which is also followed outside the EU (particularly in Asia). Non-compliance with data protection laws could expose us to regulatory investigations, which could result in fines, penalties and harm to our reputation. With regard to data breaches, we have breached the GDPR in the past and some investigations are still ongoing with European regulators. To date, no material fines have been imposed, but no assurance can be provided that future breaches would have similar outcomes. In addition to imposing fines, regulators may also issue orders to stop processing personal data, which could disrupt operations. We could also be subject to litigation from persons or entities allegedly affected by data protection violations.</w:t>
      </w:r>
    </w:p>
    <w:p>
      <w:pPr>
        <w:spacing w:after="0" w:line="91" w:lineRule="exact"/>
        <w:rPr>
          <w:sz w:val="20"/>
          <w:szCs w:val="20"/>
          <w:color w:val="auto"/>
        </w:rPr>
      </w:pPr>
    </w:p>
    <w:p>
      <w:pPr>
        <w:ind w:right="80"/>
        <w:spacing w:after="0" w:line="212" w:lineRule="auto"/>
        <w:rPr>
          <w:sz w:val="20"/>
          <w:szCs w:val="20"/>
          <w:color w:val="auto"/>
        </w:rPr>
      </w:pPr>
      <w:r>
        <w:rPr>
          <w:rFonts w:ascii="Arial" w:cs="Arial" w:eastAsia="Arial" w:hAnsi="Arial"/>
          <w:sz w:val="10"/>
          <w:szCs w:val="10"/>
          <w:color w:val="auto"/>
        </w:rPr>
        <w:t>With data privacy legislation now in force in the USA, the risk of class actions is increased. Class actions after large-scale data breaches are increasingly common in the UK.</w:t>
      </w:r>
    </w:p>
    <w:p>
      <w:pPr>
        <w:spacing w:after="0" w:line="86" w:lineRule="exact"/>
        <w:rPr>
          <w:sz w:val="20"/>
          <w:szCs w:val="20"/>
          <w:color w:val="auto"/>
        </w:rPr>
      </w:pPr>
    </w:p>
    <w:p>
      <w:pPr>
        <w:ind w:right="40"/>
        <w:spacing w:after="0" w:line="273" w:lineRule="auto"/>
        <w:rPr>
          <w:sz w:val="20"/>
          <w:szCs w:val="20"/>
          <w:color w:val="auto"/>
        </w:rPr>
      </w:pPr>
      <w:r>
        <w:rPr>
          <w:rFonts w:ascii="Arial" w:cs="Arial" w:eastAsia="Arial" w:hAnsi="Arial"/>
          <w:sz w:val="8"/>
          <w:szCs w:val="8"/>
          <w:color w:val="auto"/>
        </w:rPr>
        <w:t>The COVID-19 pandemic has increased the level of processing of personal data to track employees, suppliers or other visitors to our premises. Some governments require immediate disclosure of information, including sensitive personal data, to identify infected individuals, with some mandating technologies such as tracing applications on all devices, including corporate mobile phones.</w:t>
      </w:r>
    </w:p>
    <w:p>
      <w:pPr>
        <w:spacing w:after="0" w:line="82" w:lineRule="exact"/>
        <w:rPr>
          <w:sz w:val="20"/>
          <w:szCs w:val="20"/>
          <w:color w:val="auto"/>
        </w:rPr>
      </w:pPr>
    </w:p>
    <w:p>
      <w:pPr>
        <w:ind w:right="100"/>
        <w:spacing w:after="0" w:line="311" w:lineRule="auto"/>
        <w:rPr>
          <w:sz w:val="20"/>
          <w:szCs w:val="20"/>
          <w:color w:val="auto"/>
        </w:rPr>
      </w:pPr>
      <w:r>
        <w:rPr>
          <w:rFonts w:ascii="Arial" w:cs="Arial" w:eastAsia="Arial" w:hAnsi="Arial"/>
          <w:sz w:val="8"/>
          <w:szCs w:val="8"/>
          <w:color w:val="auto"/>
        </w:rPr>
        <w:t>Violation of data protection laws is a criminal offence in some countries, and individuals can be imprisoned or fined. Any violation of these laws or harm to our reputation could have a material adverse effect on our earnings, cash flows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0"/>
          <w:szCs w:val="10"/>
          <w:color w:val="auto"/>
        </w:rPr>
        <w:t>See “Governance” on page 150.</w:t>
      </w:r>
    </w:p>
    <w:p>
      <w:pPr>
        <w:spacing w:after="0" w:line="153" w:lineRule="exact"/>
        <w:rPr>
          <w:sz w:val="20"/>
          <w:szCs w:val="20"/>
          <w:color w:val="auto"/>
        </w:rPr>
      </w:pPr>
    </w:p>
    <w:p>
      <w:pPr>
        <w:ind w:right="160"/>
        <w:spacing w:after="0" w:line="243" w:lineRule="auto"/>
        <w:rPr>
          <w:sz w:val="20"/>
          <w:szCs w:val="20"/>
          <w:color w:val="auto"/>
        </w:rPr>
      </w:pPr>
      <w:r>
        <w:rPr>
          <w:rFonts w:ascii="Arial" w:cs="Arial" w:eastAsia="Arial" w:hAnsi="Arial"/>
          <w:sz w:val="10"/>
          <w:szCs w:val="10"/>
          <w:b w:val="1"/>
          <w:bCs w:val="1"/>
          <w:color w:val="auto"/>
        </w:rPr>
        <w:t>Violations of trade compliance laws and regulations, including sanctions, carry fines and expose us and our employees to criminal sanctions and civil suits.</w:t>
      </w:r>
    </w:p>
    <w:p>
      <w:pPr>
        <w:spacing w:after="0" w:line="147" w:lineRule="exact"/>
        <w:rPr>
          <w:sz w:val="20"/>
          <w:szCs w:val="20"/>
          <w:color w:val="auto"/>
        </w:rPr>
      </w:pPr>
    </w:p>
    <w:p>
      <w:pPr>
        <w:spacing w:after="0" w:line="299" w:lineRule="auto"/>
        <w:rPr>
          <w:sz w:val="20"/>
          <w:szCs w:val="20"/>
          <w:color w:val="auto"/>
        </w:rPr>
      </w:pPr>
      <w:r>
        <w:rPr>
          <w:rFonts w:ascii="Arial" w:cs="Arial" w:eastAsia="Arial" w:hAnsi="Arial"/>
          <w:sz w:val="8"/>
          <w:szCs w:val="8"/>
          <w:color w:val="auto"/>
        </w:rPr>
        <w:t>We use “trade compliance” as an umbrella term for various national and international laws designed to regulate the movement of items across national boundaries and restrict or prohibit trade and other dealings with certain parties. The number and breadth of such laws continue to expand. For example, the EU and the USA continue to impose restrictions and prohibitions on certain transactions involving countries such as Syria, Venezuela, Russia and Cuba. The USA continues to impose comprehensive sanctions against Iran, while the EU and other nations continue to maintain targeted sanctions. The EU and the USA imposed restrictions and controls on defined oil and gas activities in Russia in 2014, and these remain in force.</w:t>
      </w:r>
    </w:p>
    <w:p>
      <w:pPr>
        <w:spacing w:after="0" w:line="20" w:lineRule="exact"/>
        <w:rPr>
          <w:sz w:val="20"/>
          <w:szCs w:val="20"/>
          <w:color w:val="auto"/>
        </w:rPr>
      </w:pPr>
      <w:r>
        <w:rPr>
          <w:sz w:val="20"/>
          <w:szCs w:val="20"/>
          <w:color w:val="auto"/>
        </w:rPr>
        <w:br w:type="column"/>
      </w:r>
    </w:p>
    <w:p>
      <w:pPr>
        <w:ind w:right="200"/>
        <w:spacing w:after="0" w:line="292" w:lineRule="auto"/>
        <w:rPr>
          <w:sz w:val="20"/>
          <w:szCs w:val="20"/>
          <w:color w:val="auto"/>
        </w:rPr>
      </w:pPr>
      <w:r>
        <w:rPr>
          <w:rFonts w:ascii="Arial" w:cs="Arial" w:eastAsia="Arial" w:hAnsi="Arial"/>
          <w:sz w:val="8"/>
          <w:szCs w:val="8"/>
          <w:color w:val="auto"/>
        </w:rPr>
        <w:t>The USA introduced further restrictions regarding Russia in 2017, expanding them in 2018. The EU and the USA introduced sectoral sanctions against Venezuela in 2017, with the USA expanding them in 2018 and 2019. The US sanctions primarily target the government of Venezuela and the oil industry. Many other nations are also adopting trade-control programmes similar to those administered by the EU and the USA. The expansion of sanctions, the frequent additions of prohibited parties, the number of markets in which we operate and the large number of transactions we process, make compliance with all sanctions complex and sometimes challenging. Shell has voluntarily self-disclosed potential violations of sanctions in the past. The COVID-19 pandemic has increased trade compliance risks, due to factors such as growing state involvement in business dealings, the need to maintain and develop business opportunities and cross-border movement of goods and technologies, and the increasing likelihood that counterparties will change ownership as the economic crisis continues.</w:t>
      </w:r>
    </w:p>
    <w:p>
      <w:pPr>
        <w:spacing w:after="0" w:line="122" w:lineRule="exact"/>
        <w:rPr>
          <w:sz w:val="20"/>
          <w:szCs w:val="20"/>
          <w:color w:val="auto"/>
        </w:rPr>
      </w:pPr>
    </w:p>
    <w:p>
      <w:pPr>
        <w:ind w:right="520"/>
        <w:spacing w:after="0" w:line="311" w:lineRule="auto"/>
        <w:rPr>
          <w:sz w:val="20"/>
          <w:szCs w:val="20"/>
          <w:color w:val="auto"/>
        </w:rPr>
      </w:pPr>
      <w:r>
        <w:rPr>
          <w:rFonts w:ascii="Arial" w:cs="Arial" w:eastAsia="Arial" w:hAnsi="Arial"/>
          <w:sz w:val="8"/>
          <w:szCs w:val="8"/>
          <w:color w:val="auto"/>
        </w:rPr>
        <w:t>Any violation of sanctions could lead to loss of import or export privileges and significant penalties on or prosecution of Shell or its employees. This could harm our reputation and have a material adverse effect on our earnings, cash flows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0"/>
          <w:szCs w:val="10"/>
          <w:color w:val="auto"/>
        </w:rPr>
        <w:t>See “Governance” on page 150.</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Investors should also consider the following, which could limit shareholder remedies.</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(generally applicable to an investment in securities)</w:t>
      </w:r>
    </w:p>
    <w:p>
      <w:pPr>
        <w:spacing w:after="0" w:line="155"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The Company’s Articles of Association determine the jurisdiction for shareholder disputes. This could limit shareholder remedies.</w:t>
      </w:r>
    </w:p>
    <w:p>
      <w:pPr>
        <w:spacing w:after="0" w:line="180" w:lineRule="exact"/>
        <w:rPr>
          <w:sz w:val="20"/>
          <w:szCs w:val="20"/>
          <w:color w:val="auto"/>
        </w:rPr>
      </w:pPr>
    </w:p>
    <w:p>
      <w:pPr>
        <w:ind w:right="140"/>
        <w:spacing w:after="0" w:line="299" w:lineRule="auto"/>
        <w:rPr>
          <w:sz w:val="20"/>
          <w:szCs w:val="20"/>
          <w:color w:val="auto"/>
        </w:rPr>
      </w:pPr>
      <w:r>
        <w:rPr>
          <w:rFonts w:ascii="Arial" w:cs="Arial" w:eastAsia="Arial" w:hAnsi="Arial"/>
          <w:sz w:val="8"/>
          <w:szCs w:val="8"/>
          <w:color w:val="auto"/>
        </w:rPr>
        <w:t>Our Articles of Association generally require that all disputes between our shareholders in such capacity and the Company or our subsidiaries (or our Directors or former Directors), or between the Company and our Directors or former Directors, be exclusively resolved by arbitration in The Hague, the Netherlands, under the Rules of Arbitration of the International Chamber of Commerce. Our Articles of Association also provide that, if this provision is to be determined invalid or unenforceable for any reason, the dispute could only be brought before the courts of England and Wales. Accordingly, the ability of shareholders to obtain monetary or other relief, including in respect of securities law claims, could be determined in accordance with these provisions.</w:t>
      </w:r>
    </w:p>
    <w:p>
      <w:pPr>
        <w:spacing w:after="0" w:line="2512"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22</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2"/>
          <w:szCs w:val="22"/>
          <w:color w:val="auto"/>
        </w:rPr>
        <w:t>MARKET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141" w:lineRule="exact"/>
        <w:rPr>
          <w:sz w:val="20"/>
          <w:szCs w:val="20"/>
          <w:color w:val="auto"/>
        </w:rPr>
      </w:pPr>
    </w:p>
    <w:p>
      <w:pPr>
        <w:ind w:right="160"/>
        <w:spacing w:after="0" w:line="300" w:lineRule="auto"/>
        <w:rPr>
          <w:sz w:val="20"/>
          <w:szCs w:val="20"/>
          <w:color w:val="auto"/>
        </w:rPr>
      </w:pPr>
      <w:r>
        <w:rPr>
          <w:rFonts w:ascii="Arial" w:cs="Arial" w:eastAsia="Arial" w:hAnsi="Arial"/>
          <w:sz w:val="8"/>
          <w:szCs w:val="8"/>
          <w:color w:val="auto"/>
        </w:rPr>
        <w:t>We maintain a large business portfolio across an integrated value chain and are exposed to crude oil, natural gas, hydrocarbon product and chemical prices (see “Risk factors” on page 18). This diversified portfolio helps us mitigate the impact of price volatility. Our annual planning cycle and periodic portfolio reviews aim to ensure that our levels of capital investment and operating expenses are appropriate in the context of a volatile price environment. We test the resilience of our projects and other opportunities against a range of crude oil, natural gas, oil product and chemical prices and costs. We also aim to maintain a strong balance sheet to provide resilience against weak market prices.</w:t>
      </w: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color w:val="auto"/>
        </w:rPr>
        <w:t>GLOBAL ECONOMIC GROWTH</w:t>
      </w:r>
    </w:p>
    <w:p>
      <w:pPr>
        <w:ind w:right="180"/>
        <w:spacing w:after="0" w:line="300" w:lineRule="auto"/>
        <w:rPr>
          <w:sz w:val="20"/>
          <w:szCs w:val="20"/>
          <w:color w:val="auto"/>
        </w:rPr>
      </w:pPr>
      <w:r>
        <w:rPr>
          <w:rFonts w:ascii="Arial" w:cs="Arial" w:eastAsia="Arial" w:hAnsi="Arial"/>
          <w:sz w:val="8"/>
          <w:szCs w:val="8"/>
          <w:color w:val="auto"/>
        </w:rPr>
        <w:t xml:space="preserve">The COVID-19 pandemic has delivered an enormous global economic shock, leading to steep recessions in many countries. In the </w:t>
      </w:r>
      <w:r>
        <w:rPr>
          <w:rFonts w:ascii="Arial" w:cs="Arial" w:eastAsia="Arial" w:hAnsi="Arial"/>
          <w:sz w:val="8"/>
          <w:szCs w:val="8"/>
          <w:i w:val="1"/>
          <w:iCs w:val="1"/>
          <w:color w:val="auto"/>
        </w:rPr>
        <w:t>World</w:t>
      </w:r>
      <w:r>
        <w:rPr>
          <w:rFonts w:ascii="Arial" w:cs="Arial" w:eastAsia="Arial" w:hAnsi="Arial"/>
          <w:sz w:val="8"/>
          <w:szCs w:val="8"/>
          <w:color w:val="auto"/>
        </w:rPr>
        <w:t xml:space="preserve"> </w:t>
      </w:r>
      <w:r>
        <w:rPr>
          <w:rFonts w:ascii="Arial" w:cs="Arial" w:eastAsia="Arial" w:hAnsi="Arial"/>
          <w:sz w:val="8"/>
          <w:szCs w:val="8"/>
          <w:i w:val="1"/>
          <w:iCs w:val="1"/>
          <w:color w:val="auto"/>
        </w:rPr>
        <w:t xml:space="preserve">Economic Outlook </w:t>
      </w:r>
      <w:r>
        <w:rPr>
          <w:rFonts w:ascii="Arial" w:cs="Arial" w:eastAsia="Arial" w:hAnsi="Arial"/>
          <w:sz w:val="8"/>
          <w:szCs w:val="8"/>
          <w:color w:val="auto"/>
        </w:rPr>
        <w:t>of January 2021, the International Monetary Fund (IMF) estimates that despite unprecedented policy support, global GDP</w:t>
      </w:r>
      <w:r>
        <w:rPr>
          <w:rFonts w:ascii="Arial" w:cs="Arial" w:eastAsia="Arial" w:hAnsi="Arial"/>
          <w:sz w:val="8"/>
          <w:szCs w:val="8"/>
          <w:i w:val="1"/>
          <w:iCs w:val="1"/>
          <w:color w:val="auto"/>
        </w:rPr>
        <w:t xml:space="preserve"> </w:t>
      </w:r>
      <w:r>
        <w:rPr>
          <w:rFonts w:ascii="Arial" w:cs="Arial" w:eastAsia="Arial" w:hAnsi="Arial"/>
          <w:sz w:val="8"/>
          <w:szCs w:val="8"/>
          <w:color w:val="auto"/>
        </w:rPr>
        <w:t>contracted by 3.5% in 2020, one of the deepest global recessions in history. The most severe economic downturns occurred in India, Western Europe, the Middle East, and Latin America. China was the only major economy that recorded economic growth.</w:t>
      </w:r>
    </w:p>
    <w:p>
      <w:pPr>
        <w:spacing w:after="0" w:line="126" w:lineRule="exact"/>
        <w:rPr>
          <w:sz w:val="20"/>
          <w:szCs w:val="20"/>
          <w:color w:val="auto"/>
        </w:rPr>
      </w:pPr>
    </w:p>
    <w:p>
      <w:pPr>
        <w:ind w:right="180"/>
        <w:spacing w:after="0" w:line="229" w:lineRule="auto"/>
        <w:rPr>
          <w:sz w:val="20"/>
          <w:szCs w:val="20"/>
          <w:color w:val="auto"/>
        </w:rPr>
      </w:pPr>
      <w:r>
        <w:rPr>
          <w:rFonts w:ascii="Arial" w:cs="Arial" w:eastAsia="Arial" w:hAnsi="Arial"/>
          <w:sz w:val="10"/>
          <w:szCs w:val="10"/>
          <w:color w:val="auto"/>
        </w:rPr>
        <w:t>Developed countries were particularly vulnerable to lockdown measures, because of their economic structure. Services and consumption, which account for a higher share of GDP in developed countries, were disproportionately affected by restrictions on movement and closures of hospitality and leisure facilities. Developing economies suffered from collapses in capital inflows and commodity prices, and from a sharp compression in consumption and investment.</w:t>
      </w:r>
    </w:p>
    <w:p>
      <w:pPr>
        <w:spacing w:after="0" w:line="1" w:lineRule="exact"/>
        <w:rPr>
          <w:sz w:val="20"/>
          <w:szCs w:val="20"/>
          <w:color w:val="auto"/>
        </w:rPr>
      </w:pPr>
    </w:p>
    <w:p>
      <w:pPr>
        <w:ind w:right="400"/>
        <w:spacing w:after="0" w:line="229" w:lineRule="auto"/>
        <w:rPr>
          <w:sz w:val="20"/>
          <w:szCs w:val="20"/>
          <w:color w:val="auto"/>
        </w:rPr>
      </w:pPr>
      <w:r>
        <w:rPr>
          <w:rFonts w:ascii="Arial" w:cs="Arial" w:eastAsia="Arial" w:hAnsi="Arial"/>
          <w:sz w:val="10"/>
          <w:szCs w:val="10"/>
          <w:color w:val="auto"/>
        </w:rPr>
        <w:t>Massive fiscal and monetary support measures were deployed in the major economies. In China, the authorities funded infrastructure investments. In the USA and Europe, government transfers supplemented incomes and supported businesses, in order to prevent deeper declines in employment and disposable income.</w:t>
      </w:r>
    </w:p>
    <w:p>
      <w:pPr>
        <w:spacing w:after="0" w:line="149" w:lineRule="exact"/>
        <w:rPr>
          <w:sz w:val="20"/>
          <w:szCs w:val="20"/>
          <w:color w:val="auto"/>
        </w:rPr>
      </w:pPr>
    </w:p>
    <w:p>
      <w:pPr>
        <w:ind w:right="220"/>
        <w:spacing w:after="0" w:line="232" w:lineRule="auto"/>
        <w:rPr>
          <w:sz w:val="20"/>
          <w:szCs w:val="20"/>
          <w:color w:val="auto"/>
        </w:rPr>
      </w:pPr>
      <w:r>
        <w:rPr>
          <w:rFonts w:ascii="Arial" w:cs="Arial" w:eastAsia="Arial" w:hAnsi="Arial"/>
          <w:sz w:val="10"/>
          <w:szCs w:val="10"/>
          <w:color w:val="auto"/>
        </w:rPr>
        <w:t>Led by mainland China, the Asia-Pacific region led the recovery during the year, as public health measures helped to contain community transmission of COVID-19. In other countries, the pandemic proved more difficult to control. European countries experienced renewed rises in infection rates during the fourth quarter of 2020. They responded by reinstating restrictions on activities that have a high risk of transmitting COVID-19.</w:t>
      </w:r>
    </w:p>
    <w:p>
      <w:pPr>
        <w:spacing w:after="0" w:line="149" w:lineRule="exact"/>
        <w:rPr>
          <w:sz w:val="20"/>
          <w:szCs w:val="20"/>
          <w:color w:val="auto"/>
        </w:rPr>
      </w:pPr>
    </w:p>
    <w:p>
      <w:pPr>
        <w:ind w:right="220"/>
        <w:spacing w:after="0" w:line="231" w:lineRule="auto"/>
        <w:rPr>
          <w:sz w:val="20"/>
          <w:szCs w:val="20"/>
          <w:color w:val="auto"/>
        </w:rPr>
      </w:pPr>
      <w:r>
        <w:rPr>
          <w:rFonts w:ascii="Arial" w:cs="Arial" w:eastAsia="Arial" w:hAnsi="Arial"/>
          <w:sz w:val="10"/>
          <w:szCs w:val="10"/>
          <w:color w:val="auto"/>
        </w:rPr>
        <w:t>Encouraging news on vaccines and improvements in therapeutics have increased the chances of a recovery in 2021, but the global economic outlook remains precarious, because markets fear that more virulent variants of COVID-19 could trigger additional waves of infections. The deep recessions triggered by the pandemic could leave lasting scars in the form of: lower investment by companies; high unemployment; increased global debt; and a potential retreat from global trade and supply linkages. There is concern that these effects may well restrict growth in the medium term.</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GLOBAL PRICES, DEMAND AND SUPPLY</w:t>
      </w:r>
    </w:p>
    <w:p>
      <w:pPr>
        <w:spacing w:after="0" w:line="237" w:lineRule="auto"/>
        <w:rPr>
          <w:sz w:val="20"/>
          <w:szCs w:val="20"/>
          <w:color w:val="auto"/>
        </w:rPr>
      </w:pPr>
      <w:r>
        <w:rPr>
          <w:rFonts w:ascii="Arial" w:cs="Arial" w:eastAsia="Arial" w:hAnsi="Arial"/>
          <w:sz w:val="10"/>
          <w:szCs w:val="10"/>
          <w:color w:val="auto"/>
        </w:rPr>
        <w:t>The following table provides an overview of the main crude oil and natural gas price markers to which we are exposed: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6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Oil and gas average industry prices [A]</w:t>
            </w:r>
          </w:p>
        </w:tc>
        <w:tc>
          <w:tcPr>
            <w:tcW w:w="880" w:type="dxa"/>
            <w:vAlign w:val="bottom"/>
            <w:tcBorders>
              <w:top w:val="single" w:sz="8" w:color="D9D9D9"/>
            </w:tcBorders>
          </w:tcPr>
          <w:p>
            <w:pPr>
              <w:spacing w:after="0"/>
              <w:rPr>
                <w:sz w:val="13"/>
                <w:szCs w:val="13"/>
                <w:color w:val="auto"/>
              </w:rPr>
            </w:pPr>
          </w:p>
        </w:tc>
        <w:tc>
          <w:tcPr>
            <w:tcW w:w="1220" w:type="dxa"/>
            <w:vAlign w:val="bottom"/>
            <w:tcBorders>
              <w:top w:val="single" w:sz="8" w:color="D9D9D9"/>
            </w:tcBorders>
          </w:tcPr>
          <w:p>
            <w:pPr>
              <w:spacing w:after="0"/>
              <w:rPr>
                <w:sz w:val="13"/>
                <w:szCs w:val="13"/>
                <w:color w:val="auto"/>
              </w:rPr>
            </w:pPr>
          </w:p>
        </w:tc>
        <w:tc>
          <w:tcPr>
            <w:tcW w:w="540" w:type="dxa"/>
            <w:vAlign w:val="bottom"/>
            <w:tcBorders>
              <w:top w:val="single" w:sz="8" w:color="D9D9D9"/>
            </w:tcBorders>
          </w:tcPr>
          <w:p>
            <w:pPr>
              <w:spacing w:after="0"/>
              <w:rPr>
                <w:sz w:val="13"/>
                <w:szCs w:val="13"/>
                <w:color w:val="auto"/>
              </w:rPr>
            </w:pPr>
          </w:p>
        </w:tc>
      </w:tr>
      <w:tr>
        <w:trPr>
          <w:trHeight w:val="127"/>
        </w:trPr>
        <w:tc>
          <w:tcPr>
            <w:tcW w:w="27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2019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2760" w:type="dxa"/>
            <w:vAlign w:val="bottom"/>
          </w:tcPr>
          <w:p>
            <w:pPr>
              <w:spacing w:after="0"/>
              <w:rPr>
                <w:sz w:val="20"/>
                <w:szCs w:val="20"/>
                <w:color w:val="auto"/>
              </w:rPr>
            </w:pPr>
            <w:r>
              <w:rPr>
                <w:rFonts w:ascii="Arial" w:cs="Arial" w:eastAsia="Arial" w:hAnsi="Arial"/>
                <w:sz w:val="10"/>
                <w:szCs w:val="10"/>
                <w:color w:val="auto"/>
              </w:rPr>
              <w:t>Brent ($/b)</w:t>
            </w:r>
          </w:p>
        </w:tc>
        <w:tc>
          <w:tcPr>
            <w:tcW w:w="8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42</w:t>
            </w:r>
          </w:p>
        </w:tc>
        <w:tc>
          <w:tcPr>
            <w:tcW w:w="1220" w:type="dxa"/>
            <w:vAlign w:val="bottom"/>
          </w:tcPr>
          <w:p>
            <w:pPr>
              <w:jc w:val="right"/>
              <w:ind w:right="332"/>
              <w:spacing w:after="0"/>
              <w:rPr>
                <w:sz w:val="20"/>
                <w:szCs w:val="20"/>
                <w:color w:val="auto"/>
              </w:rPr>
            </w:pPr>
            <w:r>
              <w:rPr>
                <w:rFonts w:ascii="Arial" w:cs="Arial" w:eastAsia="Arial" w:hAnsi="Arial"/>
                <w:sz w:val="10"/>
                <w:szCs w:val="10"/>
                <w:color w:val="auto"/>
              </w:rPr>
              <w:t>64</w:t>
            </w:r>
          </w:p>
        </w:tc>
        <w:tc>
          <w:tcPr>
            <w:tcW w:w="540" w:type="dxa"/>
            <w:vAlign w:val="bottom"/>
          </w:tcPr>
          <w:p>
            <w:pPr>
              <w:jc w:val="right"/>
              <w:spacing w:after="0"/>
              <w:rPr>
                <w:sz w:val="20"/>
                <w:szCs w:val="20"/>
                <w:color w:val="auto"/>
              </w:rPr>
            </w:pPr>
            <w:r>
              <w:rPr>
                <w:rFonts w:ascii="Arial" w:cs="Arial" w:eastAsia="Arial" w:hAnsi="Arial"/>
                <w:sz w:val="10"/>
                <w:szCs w:val="10"/>
                <w:color w:val="auto"/>
              </w:rPr>
              <w:t>71</w:t>
            </w:r>
          </w:p>
        </w:tc>
      </w:tr>
      <w:tr>
        <w:trPr>
          <w:trHeight w:val="123"/>
        </w:trPr>
        <w:tc>
          <w:tcPr>
            <w:tcW w:w="2760" w:type="dxa"/>
            <w:vAlign w:val="bottom"/>
          </w:tcPr>
          <w:p>
            <w:pPr>
              <w:spacing w:after="0"/>
              <w:rPr>
                <w:sz w:val="20"/>
                <w:szCs w:val="20"/>
                <w:color w:val="auto"/>
              </w:rPr>
            </w:pPr>
            <w:r>
              <w:rPr>
                <w:rFonts w:ascii="Arial" w:cs="Arial" w:eastAsia="Arial" w:hAnsi="Arial"/>
                <w:sz w:val="10"/>
                <w:szCs w:val="10"/>
                <w:color w:val="auto"/>
              </w:rPr>
              <w:t>West Texas Intermediate ($/b)</w:t>
            </w:r>
          </w:p>
        </w:tc>
        <w:tc>
          <w:tcPr>
            <w:tcW w:w="8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39</w:t>
            </w:r>
          </w:p>
        </w:tc>
        <w:tc>
          <w:tcPr>
            <w:tcW w:w="1220" w:type="dxa"/>
            <w:vAlign w:val="bottom"/>
          </w:tcPr>
          <w:p>
            <w:pPr>
              <w:jc w:val="right"/>
              <w:ind w:right="332"/>
              <w:spacing w:after="0"/>
              <w:rPr>
                <w:sz w:val="20"/>
                <w:szCs w:val="20"/>
                <w:color w:val="auto"/>
              </w:rPr>
            </w:pPr>
            <w:r>
              <w:rPr>
                <w:rFonts w:ascii="Arial" w:cs="Arial" w:eastAsia="Arial" w:hAnsi="Arial"/>
                <w:sz w:val="10"/>
                <w:szCs w:val="10"/>
                <w:color w:val="auto"/>
              </w:rPr>
              <w:t>57</w:t>
            </w:r>
          </w:p>
        </w:tc>
        <w:tc>
          <w:tcPr>
            <w:tcW w:w="540" w:type="dxa"/>
            <w:vAlign w:val="bottom"/>
          </w:tcPr>
          <w:p>
            <w:pPr>
              <w:jc w:val="right"/>
              <w:spacing w:after="0"/>
              <w:rPr>
                <w:sz w:val="20"/>
                <w:szCs w:val="20"/>
                <w:color w:val="auto"/>
              </w:rPr>
            </w:pPr>
            <w:r>
              <w:rPr>
                <w:rFonts w:ascii="Arial" w:cs="Arial" w:eastAsia="Arial" w:hAnsi="Arial"/>
                <w:sz w:val="10"/>
                <w:szCs w:val="10"/>
                <w:color w:val="auto"/>
              </w:rPr>
              <w:t>65</w:t>
            </w:r>
          </w:p>
        </w:tc>
      </w:tr>
      <w:tr>
        <w:trPr>
          <w:trHeight w:val="126"/>
        </w:trPr>
        <w:tc>
          <w:tcPr>
            <w:tcW w:w="2760" w:type="dxa"/>
            <w:vAlign w:val="bottom"/>
          </w:tcPr>
          <w:p>
            <w:pPr>
              <w:spacing w:after="0"/>
              <w:rPr>
                <w:sz w:val="20"/>
                <w:szCs w:val="20"/>
                <w:color w:val="auto"/>
              </w:rPr>
            </w:pPr>
            <w:r>
              <w:rPr>
                <w:rFonts w:ascii="Arial" w:cs="Arial" w:eastAsia="Arial" w:hAnsi="Arial"/>
                <w:sz w:val="10"/>
                <w:szCs w:val="10"/>
                <w:color w:val="auto"/>
              </w:rPr>
              <w:t>Henry Hub ($/MMBtu)</w:t>
            </w:r>
          </w:p>
        </w:tc>
        <w:tc>
          <w:tcPr>
            <w:tcW w:w="8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2.0</w:t>
            </w:r>
          </w:p>
        </w:tc>
        <w:tc>
          <w:tcPr>
            <w:tcW w:w="1220" w:type="dxa"/>
            <w:vAlign w:val="bottom"/>
          </w:tcPr>
          <w:p>
            <w:pPr>
              <w:jc w:val="right"/>
              <w:ind w:right="332"/>
              <w:spacing w:after="0"/>
              <w:rPr>
                <w:sz w:val="20"/>
                <w:szCs w:val="20"/>
                <w:color w:val="auto"/>
              </w:rPr>
            </w:pPr>
            <w:r>
              <w:rPr>
                <w:rFonts w:ascii="Arial" w:cs="Arial" w:eastAsia="Arial" w:hAnsi="Arial"/>
                <w:sz w:val="10"/>
                <w:szCs w:val="10"/>
                <w:color w:val="auto"/>
              </w:rPr>
              <w:t>2.5</w:t>
            </w:r>
          </w:p>
        </w:tc>
        <w:tc>
          <w:tcPr>
            <w:tcW w:w="540" w:type="dxa"/>
            <w:vAlign w:val="bottom"/>
          </w:tcPr>
          <w:p>
            <w:pPr>
              <w:jc w:val="right"/>
              <w:spacing w:after="0"/>
              <w:rPr>
                <w:sz w:val="20"/>
                <w:szCs w:val="20"/>
                <w:color w:val="auto"/>
              </w:rPr>
            </w:pPr>
            <w:r>
              <w:rPr>
                <w:rFonts w:ascii="Arial" w:cs="Arial" w:eastAsia="Arial" w:hAnsi="Arial"/>
                <w:sz w:val="10"/>
                <w:szCs w:val="10"/>
                <w:color w:val="auto"/>
              </w:rPr>
              <w:t>3.1</w:t>
            </w:r>
          </w:p>
        </w:tc>
      </w:tr>
      <w:tr>
        <w:trPr>
          <w:trHeight w:val="126"/>
        </w:trPr>
        <w:tc>
          <w:tcPr>
            <w:tcW w:w="2760" w:type="dxa"/>
            <w:vAlign w:val="bottom"/>
          </w:tcPr>
          <w:p>
            <w:pPr>
              <w:spacing w:after="0"/>
              <w:rPr>
                <w:sz w:val="20"/>
                <w:szCs w:val="20"/>
                <w:color w:val="auto"/>
              </w:rPr>
            </w:pPr>
            <w:r>
              <w:rPr>
                <w:rFonts w:ascii="Arial" w:cs="Arial" w:eastAsia="Arial" w:hAnsi="Arial"/>
                <w:sz w:val="10"/>
                <w:szCs w:val="10"/>
                <w:color w:val="auto"/>
              </w:rPr>
              <w:t>UK National Balancing Point (pence/therm)</w:t>
            </w:r>
          </w:p>
        </w:tc>
        <w:tc>
          <w:tcPr>
            <w:tcW w:w="8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25</w:t>
            </w:r>
          </w:p>
        </w:tc>
        <w:tc>
          <w:tcPr>
            <w:tcW w:w="1220" w:type="dxa"/>
            <w:vAlign w:val="bottom"/>
          </w:tcPr>
          <w:p>
            <w:pPr>
              <w:jc w:val="right"/>
              <w:ind w:right="332"/>
              <w:spacing w:after="0"/>
              <w:rPr>
                <w:sz w:val="20"/>
                <w:szCs w:val="20"/>
                <w:color w:val="auto"/>
              </w:rPr>
            </w:pPr>
            <w:r>
              <w:rPr>
                <w:rFonts w:ascii="Arial" w:cs="Arial" w:eastAsia="Arial" w:hAnsi="Arial"/>
                <w:sz w:val="10"/>
                <w:szCs w:val="10"/>
                <w:color w:val="auto"/>
              </w:rPr>
              <w:t>35</w:t>
            </w:r>
          </w:p>
        </w:tc>
        <w:tc>
          <w:tcPr>
            <w:tcW w:w="540" w:type="dxa"/>
            <w:vAlign w:val="bottom"/>
          </w:tcPr>
          <w:p>
            <w:pPr>
              <w:jc w:val="right"/>
              <w:spacing w:after="0"/>
              <w:rPr>
                <w:sz w:val="20"/>
                <w:szCs w:val="20"/>
                <w:color w:val="auto"/>
              </w:rPr>
            </w:pPr>
            <w:r>
              <w:rPr>
                <w:rFonts w:ascii="Arial" w:cs="Arial" w:eastAsia="Arial" w:hAnsi="Arial"/>
                <w:sz w:val="10"/>
                <w:szCs w:val="10"/>
                <w:color w:val="auto"/>
              </w:rPr>
              <w:t>60</w:t>
            </w:r>
          </w:p>
        </w:tc>
      </w:tr>
      <w:tr>
        <w:trPr>
          <w:trHeight w:val="130"/>
        </w:trPr>
        <w:tc>
          <w:tcPr>
            <w:tcW w:w="2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Japan Customs-cleared Crude ($/b)</w:t>
            </w:r>
          </w:p>
        </w:tc>
        <w:tc>
          <w:tcPr>
            <w:tcW w:w="8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46</w:t>
            </w: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67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73</w:t>
            </w:r>
          </w:p>
        </w:tc>
      </w:tr>
    </w:tbl>
    <w:p>
      <w:pPr>
        <w:spacing w:after="0" w:line="56" w:lineRule="exact"/>
        <w:rPr>
          <w:sz w:val="20"/>
          <w:szCs w:val="20"/>
          <w:color w:val="auto"/>
        </w:rPr>
      </w:pPr>
    </w:p>
    <w:p>
      <w:pPr>
        <w:spacing w:after="0"/>
        <w:rPr>
          <w:sz w:val="20"/>
          <w:szCs w:val="20"/>
          <w:color w:val="auto"/>
        </w:rPr>
      </w:pPr>
      <w:r>
        <w:rPr>
          <w:rFonts w:ascii="Arial" w:cs="Arial" w:eastAsia="Arial" w:hAnsi="Arial"/>
          <w:sz w:val="7"/>
          <w:szCs w:val="7"/>
          <w:color w:val="auto"/>
        </w:rPr>
        <w:t>[A] Yearly average prices are based on daily spot prices. The 2020 average price for Japan Customs-cleared Crude excludes December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2100" w:type="dxa"/>
            <w:vAlign w:val="bottom"/>
          </w:tcPr>
          <w:p>
            <w:pPr>
              <w:jc w:val="right"/>
              <w:spacing w:after="0"/>
              <w:rPr>
                <w:sz w:val="20"/>
                <w:szCs w:val="20"/>
                <w:color w:val="auto"/>
              </w:rPr>
            </w:pPr>
            <w:r>
              <w:rPr>
                <w:rFonts w:ascii="Arial" w:cs="Arial" w:eastAsia="Arial" w:hAnsi="Arial"/>
                <w:sz w:val="7"/>
                <w:szCs w:val="7"/>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780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auto"/>
        </w:rPr>
        <w:t>CRUDE OIL</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8"/>
          <w:szCs w:val="8"/>
          <w:color w:val="auto"/>
        </w:rPr>
        <w:t>On a daily average basis, Brent crude oil, an international benchmark, traded between $13 per barrel (/b) and $70/b in 2020, ending the year around $50/b. Brent crude oil prices averaged $42/b for the year, 34% (or $22/b ) lower than in 2019.</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8"/>
          <w:szCs w:val="8"/>
          <w:color w:val="auto"/>
        </w:rPr>
        <w:t xml:space="preserve">In 2020, oil markets experienced unprecedented developments in demand driven by the COVID-19 pandemic. At the start of 2020, global oil demand for the year was expected to grow by 1.2 million barrels per day (b/d). Then in January, oil demand started to contract because demand fell in China as lockdown was imposed to contain the virus outbreak. In subsequent months, oil demand contracted further as the outbreak in China evolved into a global pandemic and lockdowns were introduced across the world. In April, oil demand fell to its lowest level, around 22 million b/d below year-average demand in 2019, according to an estimate of the International Energy Agency (IEA). Contraction of such magnitude has never been recorded before. Country lockdowns deeply impacted transportation sectors, especially passenger road and passenger air in </w:t>
      </w:r>
      <w:r>
        <w:rPr>
          <w:rFonts w:ascii="Arial" w:cs="Arial" w:eastAsia="Arial" w:hAnsi="Arial"/>
          <w:sz w:val="8"/>
          <w:szCs w:val="8"/>
          <w:color w:val="0B1E2D"/>
        </w:rPr>
        <w:t>Organisation for Economic Co-operation and Development (OECD)</w:t>
      </w:r>
      <w:r>
        <w:rPr>
          <w:rFonts w:ascii="Arial" w:cs="Arial" w:eastAsia="Arial" w:hAnsi="Arial"/>
          <w:sz w:val="8"/>
          <w:szCs w:val="8"/>
          <w:color w:val="auto"/>
        </w:rPr>
        <w:t xml:space="preserve"> economies. In subsequent months, oil demand started recovering, but only partially, because resurgences of COVID-19 triggered re-imposition of social distancing and travel restrictions. By the fourth quarter, global oil demand was still estimated to be around 5.5 million b/d below the 2019 level, according to the </w:t>
      </w:r>
      <w:r>
        <w:rPr>
          <w:rFonts w:ascii="Arial" w:cs="Arial" w:eastAsia="Arial" w:hAnsi="Arial"/>
          <w:sz w:val="8"/>
          <w:szCs w:val="8"/>
          <w:i w:val="1"/>
          <w:iCs w:val="1"/>
          <w:color w:val="auto"/>
        </w:rPr>
        <w:t xml:space="preserve">Oil Market Report </w:t>
      </w:r>
      <w:r>
        <w:rPr>
          <w:rFonts w:ascii="Arial" w:cs="Arial" w:eastAsia="Arial" w:hAnsi="Arial"/>
          <w:sz w:val="8"/>
          <w:szCs w:val="8"/>
          <w:color w:val="auto"/>
        </w:rPr>
        <w:t>published by the IEA in January 2021. Averaged for the full year, oil demand contracted by around 9 million b/d, or 9%, to</w:t>
      </w:r>
      <w:r>
        <w:rPr>
          <w:rFonts w:ascii="Arial" w:cs="Arial" w:eastAsia="Arial" w:hAnsi="Arial"/>
          <w:sz w:val="8"/>
          <w:szCs w:val="8"/>
          <w:i w:val="1"/>
          <w:iCs w:val="1"/>
          <w:color w:val="auto"/>
        </w:rPr>
        <w:t xml:space="preserve"> </w:t>
      </w:r>
      <w:r>
        <w:rPr>
          <w:rFonts w:ascii="Arial" w:cs="Arial" w:eastAsia="Arial" w:hAnsi="Arial"/>
          <w:sz w:val="8"/>
          <w:szCs w:val="8"/>
          <w:color w:val="auto"/>
        </w:rPr>
        <w:t>91.2 million b/d. Oil demand fell by 5.7 million b/d in OECD economies, and by 3.2 million b/d in non-OECD economies. By contrast, oil demand in 2019 was 0.8 million b/d higher than in 2018.</w:t>
      </w:r>
    </w:p>
    <w:p>
      <w:pPr>
        <w:spacing w:after="0" w:line="240" w:lineRule="exact"/>
        <w:rPr>
          <w:sz w:val="20"/>
          <w:szCs w:val="20"/>
          <w:color w:val="auto"/>
        </w:rPr>
      </w:pPr>
    </w:p>
    <w:p>
      <w:pPr>
        <w:ind w:right="20"/>
        <w:spacing w:after="0" w:line="296" w:lineRule="auto"/>
        <w:rPr>
          <w:sz w:val="20"/>
          <w:szCs w:val="20"/>
          <w:color w:val="auto"/>
        </w:rPr>
      </w:pPr>
      <w:r>
        <w:rPr>
          <w:rFonts w:ascii="Arial" w:cs="Arial" w:eastAsia="Arial" w:hAnsi="Arial"/>
          <w:sz w:val="8"/>
          <w:szCs w:val="8"/>
          <w:color w:val="auto"/>
        </w:rPr>
        <w:t>In 2020, oil markets also experienced unprecedented developments in supply. In March, there was a serious disagreement within the OPEC+ alliance, which consists of OPEC members and co-operating non-OPEC resource holders such as Russia. Saudi Arabia and Russia failed to agree on what to do about falling demand for oil. Saudi Arabia responded to the disagreement by boosting its production to almost 12 million b/d, a monthly record. By April, storage capacity was filling up quickly and oil prices were falling rapidly. On April 12, the OPEC+ alliance agreed to jointly reduce production by an unprecedented 9.7 million b/d for May and June. For the month of June, Saudi Arabia voluntarily cut production further, by around 1 million b/d. For the rest of the year, the OPEC+ alliance agreed on and complied with a production cut of 7.7 million b/d.</w:t>
      </w:r>
    </w:p>
    <w:p>
      <w:pPr>
        <w:spacing w:after="0" w:line="237" w:lineRule="exact"/>
        <w:rPr>
          <w:sz w:val="20"/>
          <w:szCs w:val="20"/>
          <w:color w:val="auto"/>
        </w:rPr>
      </w:pPr>
    </w:p>
    <w:p>
      <w:pPr>
        <w:ind w:right="100"/>
        <w:spacing w:after="0" w:line="307" w:lineRule="auto"/>
        <w:rPr>
          <w:sz w:val="20"/>
          <w:szCs w:val="20"/>
          <w:color w:val="auto"/>
        </w:rPr>
      </w:pPr>
      <w:r>
        <w:rPr>
          <w:rFonts w:ascii="Arial" w:cs="Arial" w:eastAsia="Arial" w:hAnsi="Arial"/>
          <w:sz w:val="8"/>
          <w:szCs w:val="8"/>
          <w:color w:val="auto"/>
        </w:rPr>
        <w:t>In April, supply from outside the OPEC+ alliance also started to fall, most notably in the USA. The US Energy Information Administration reported a supply contraction of around 2 million b/d by the end of May, from a level of around 13 million b/d at the start of the year. US producers cut budgets, leading to an unprecedented fall in the number of oil drill rigs to around 26% of the total at the start of the year. Supply from the USA occasionally fell even further to around 10 million b/d because of production shut-ins during the hurricane season.</w:t>
      </w:r>
    </w:p>
    <w:p>
      <w:pPr>
        <w:spacing w:after="0" w:line="123" w:lineRule="exact"/>
        <w:rPr>
          <w:sz w:val="20"/>
          <w:szCs w:val="20"/>
          <w:color w:val="auto"/>
        </w:rPr>
      </w:pPr>
    </w:p>
    <w:p>
      <w:pPr>
        <w:ind w:right="20"/>
        <w:spacing w:after="0" w:line="234" w:lineRule="auto"/>
        <w:rPr>
          <w:sz w:val="20"/>
          <w:szCs w:val="20"/>
          <w:color w:val="auto"/>
        </w:rPr>
      </w:pPr>
      <w:r>
        <w:rPr>
          <w:rFonts w:ascii="Arial" w:cs="Arial" w:eastAsia="Arial" w:hAnsi="Arial"/>
          <w:sz w:val="10"/>
          <w:szCs w:val="10"/>
          <w:color w:val="auto"/>
        </w:rPr>
        <w:t xml:space="preserve">In aggregate, production of oil supply in 2020 is estimated in the </w:t>
      </w:r>
      <w:r>
        <w:rPr>
          <w:rFonts w:ascii="Arial" w:cs="Arial" w:eastAsia="Arial" w:hAnsi="Arial"/>
          <w:sz w:val="10"/>
          <w:szCs w:val="10"/>
          <w:i w:val="1"/>
          <w:iCs w:val="1"/>
          <w:color w:val="auto"/>
        </w:rPr>
        <w:t>Oil Market Report</w:t>
      </w:r>
      <w:r>
        <w:rPr>
          <w:rFonts w:ascii="Arial" w:cs="Arial" w:eastAsia="Arial" w:hAnsi="Arial"/>
          <w:sz w:val="10"/>
          <w:szCs w:val="10"/>
          <w:color w:val="auto"/>
        </w:rPr>
        <w:t xml:space="preserve"> at 93.9 million b/d, which is 6.7 million b/d lower than in 2019. OPEC production is estimated to have fallen by 3.8 million b/d. Supply from the USA fell by 0.8 million b/d from 2019. By contrast, global oil supply in 2019 was 0.1 million b/d higher than in 2018.</w:t>
      </w:r>
    </w:p>
    <w:p>
      <w:pPr>
        <w:spacing w:after="0" w:line="150" w:lineRule="exact"/>
        <w:rPr>
          <w:sz w:val="20"/>
          <w:szCs w:val="20"/>
          <w:color w:val="auto"/>
        </w:rPr>
      </w:pPr>
    </w:p>
    <w:p>
      <w:pPr>
        <w:ind w:right="80"/>
        <w:spacing w:after="0" w:line="231" w:lineRule="auto"/>
        <w:rPr>
          <w:sz w:val="20"/>
          <w:szCs w:val="20"/>
          <w:color w:val="auto"/>
        </w:rPr>
      </w:pPr>
      <w:r>
        <w:rPr>
          <w:rFonts w:ascii="Arial" w:cs="Arial" w:eastAsia="Arial" w:hAnsi="Arial"/>
          <w:sz w:val="10"/>
          <w:szCs w:val="10"/>
          <w:color w:val="auto"/>
        </w:rPr>
        <w:t>Daily average oil prices reached a low at the end of April before the OPEC+ supply curtailments came into effect. Brent crude oil prices fell to around $14/b. Contract prices of some crude grades, such as West Texas Intermediate (WTI), even traded well below $0/b for a short period. Brent crude oil prices started to recover from May and traded in a price range of around $35-45/b from June. Towards the end of 2020, announcements of promising COVID-19 vaccines supported Brent crude oil prices, allowing them to break through the upper end of this range.</w:t>
      </w:r>
    </w:p>
    <w:p>
      <w:pPr>
        <w:spacing w:after="0" w:line="149" w:lineRule="exact"/>
        <w:rPr>
          <w:sz w:val="20"/>
          <w:szCs w:val="20"/>
          <w:color w:val="auto"/>
        </w:rPr>
      </w:pPr>
    </w:p>
    <w:p>
      <w:pPr>
        <w:ind w:right="160"/>
        <w:spacing w:after="0" w:line="239" w:lineRule="auto"/>
        <w:rPr>
          <w:sz w:val="20"/>
          <w:szCs w:val="20"/>
          <w:color w:val="auto"/>
        </w:rPr>
      </w:pPr>
      <w:r>
        <w:rPr>
          <w:rFonts w:ascii="Arial" w:cs="Arial" w:eastAsia="Arial" w:hAnsi="Arial"/>
          <w:sz w:val="10"/>
          <w:szCs w:val="10"/>
          <w:color w:val="auto"/>
        </w:rPr>
        <w:t>On a yearly average basis, WTI crude oil traded at a discount of about $2.5/b to Brent crude oil in 2020, compared with $7/b in 2019. The discount narrowed from 2019 because falling US supply prevented bottlenecks in</w:t>
      </w:r>
    </w:p>
    <w:p>
      <w:pPr>
        <w:sectPr>
          <w:pgSz w:w="11900" w:h="16838" w:orient="portrait"/>
          <w:cols w:equalWidth="0" w:num="2">
            <w:col w:w="5600" w:space="120"/>
            <w:col w:w="5460"/>
          </w:cols>
          <w:pgMar w:left="300" w:top="721" w:right="419" w:bottom="1440" w:gutter="0" w:footer="0" w:header="0"/>
        </w:sectPr>
      </w:pPr>
    </w:p>
    <w:bookmarkStart w:id="26" w:name="page27"/>
    <w:bookmarkEnd w:id="26"/>
    <w:p>
      <w:pPr>
        <w:ind w:right="60"/>
        <w:spacing w:after="0" w:line="234" w:lineRule="auto"/>
        <w:rPr>
          <w:sz w:val="20"/>
          <w:szCs w:val="20"/>
          <w:color w:val="auto"/>
        </w:rPr>
      </w:pPr>
      <w:r>
        <w:rPr>
          <w:rFonts w:ascii="Arial" w:cs="Arial" w:eastAsia="Arial" w:hAnsi="Arial"/>
          <w:sz w:val="10"/>
          <w:szCs w:val="10"/>
          <w:color w:val="auto"/>
        </w:rPr>
        <w:t>pipeline capacity from the landlocked Cushing storage hub to the US Gulf Coast. According to the US Energy Information Administration, US crude oil exports increased further to a yearly average of around 3.1 million b/d in 2020, up by 0.1 million b/d from 2019. This helped to ensure a narrow price differential between Brent and WTI.</w:t>
      </w:r>
    </w:p>
    <w:p>
      <w:pPr>
        <w:spacing w:after="0" w:line="150" w:lineRule="exact"/>
        <w:rPr>
          <w:sz w:val="20"/>
          <w:szCs w:val="20"/>
          <w:color w:val="auto"/>
        </w:rPr>
      </w:pPr>
    </w:p>
    <w:p>
      <w:pPr>
        <w:ind w:right="160"/>
        <w:spacing w:after="0" w:line="239" w:lineRule="auto"/>
        <w:rPr>
          <w:sz w:val="20"/>
          <w:szCs w:val="20"/>
          <w:color w:val="auto"/>
        </w:rPr>
      </w:pPr>
      <w:r>
        <w:rPr>
          <w:rFonts w:ascii="Arial" w:cs="Arial" w:eastAsia="Arial" w:hAnsi="Arial"/>
          <w:sz w:val="10"/>
          <w:szCs w:val="10"/>
          <w:color w:val="auto"/>
        </w:rPr>
        <w:t>Looking ahead, the IMF’s global economic outlook indicates some increase in global economic growth, which should support oil demand growth.</w:t>
      </w:r>
    </w:p>
    <w:p>
      <w:pPr>
        <w:spacing w:after="0" w:line="149" w:lineRule="exact"/>
        <w:rPr>
          <w:sz w:val="20"/>
          <w:szCs w:val="20"/>
          <w:color w:val="auto"/>
        </w:rPr>
      </w:pPr>
    </w:p>
    <w:p>
      <w:pPr>
        <w:spacing w:after="0" w:line="273" w:lineRule="auto"/>
        <w:rPr>
          <w:sz w:val="20"/>
          <w:szCs w:val="20"/>
          <w:color w:val="auto"/>
        </w:rPr>
      </w:pPr>
      <w:r>
        <w:rPr>
          <w:rFonts w:ascii="Arial" w:cs="Arial" w:eastAsia="Arial" w:hAnsi="Arial"/>
          <w:sz w:val="8"/>
          <w:szCs w:val="8"/>
          <w:color w:val="auto"/>
        </w:rPr>
        <w:t>Demand growth could accelerate further if vaccines can help contain COVID-19 and allow a return to pre-pandemic demand patterns in perhaps two or three years. According to the IEA, global oil demand is projected to increase by around 5.4 million b/d for 2021 to reach 96.6 million b/d. This is still 3.4 million b/d less than in 2019. OPEC+ members may have to carefully balance supply growth with sustained production curtailments in order to achieve price stability. In the near term, once demand has recovered to 2019 levels, the need for OPEC+ cuts may diminish. If there is further demand growth, tightness of supply could even develop. This is because any supply growth from the US shale basins could be limited, since US operators have shifted their focus from volume to value. We expect this shift to be permanent.</w:t>
      </w:r>
    </w:p>
    <w:p>
      <w:pPr>
        <w:spacing w:after="0" w:line="128" w:lineRule="exact"/>
        <w:rPr>
          <w:sz w:val="20"/>
          <w:szCs w:val="20"/>
          <w:color w:val="auto"/>
        </w:rPr>
      </w:pPr>
    </w:p>
    <w:p>
      <w:pPr>
        <w:ind w:right="60"/>
        <w:spacing w:after="0" w:line="230" w:lineRule="auto"/>
        <w:rPr>
          <w:sz w:val="20"/>
          <w:szCs w:val="20"/>
          <w:color w:val="auto"/>
        </w:rPr>
      </w:pPr>
      <w:r>
        <w:rPr>
          <w:rFonts w:ascii="Arial" w:cs="Arial" w:eastAsia="Arial" w:hAnsi="Arial"/>
          <w:sz w:val="10"/>
          <w:szCs w:val="10"/>
          <w:color w:val="auto"/>
        </w:rPr>
        <w:t>The supply growth potential from outside OPEC+ and the USA could be limited by industry-wide lack of investment in new supply projects which also tend to have a long lead time.</w:t>
      </w:r>
    </w:p>
    <w:p>
      <w:pPr>
        <w:spacing w:after="0" w:line="140" w:lineRule="exact"/>
        <w:rPr>
          <w:sz w:val="20"/>
          <w:szCs w:val="20"/>
          <w:color w:val="auto"/>
        </w:rPr>
      </w:pPr>
    </w:p>
    <w:p>
      <w:pPr>
        <w:ind w:right="40"/>
        <w:spacing w:after="0" w:line="232" w:lineRule="auto"/>
        <w:rPr>
          <w:sz w:val="20"/>
          <w:szCs w:val="20"/>
          <w:color w:val="auto"/>
        </w:rPr>
      </w:pPr>
      <w:r>
        <w:rPr>
          <w:rFonts w:ascii="Arial" w:cs="Arial" w:eastAsia="Arial" w:hAnsi="Arial"/>
          <w:sz w:val="10"/>
          <w:szCs w:val="10"/>
          <w:color w:val="auto"/>
        </w:rPr>
        <w:t>In the near term, prices could rise if demand is quicker to recover and OPEC+ members successfully constrain supply. On the other hand, the price environment could weaken if the impact of COVID-19 prevents full demand recovery, and/or OPEC and the non-OPEC resource holders relax their production agreement. The price environment could also weaken if there is an increase in supply from other non-OPEC producers, such as US shale producers.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NATURAL GAS</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8"/>
          <w:szCs w:val="8"/>
          <w:color w:val="auto"/>
        </w:rPr>
        <w:t>Global gas demand is estimated to have declined by around 2.4% in 2020, in contrast with the 2.5% annual growth rate observed since the start of the century. The deterioration in gas demand for power generation and in industry was mainly caused by lockdowns related to COVID-19. Resilient gas demand for heating helped offset the overall decline. Demand declined across all regions except non-OECD Asia. In non-OECD Asia, demand grew in China, which experienced a robust recovery after mitigating the impacts of COVID-19. Outside China, aggregate gas demand in non-OECD Asia remained flat year-on-year.</w:t>
      </w:r>
    </w:p>
    <w:p>
      <w:pPr>
        <w:spacing w:after="0" w:line="129" w:lineRule="exact"/>
        <w:rPr>
          <w:sz w:val="20"/>
          <w:szCs w:val="20"/>
          <w:color w:val="auto"/>
        </w:rPr>
      </w:pPr>
    </w:p>
    <w:p>
      <w:pPr>
        <w:spacing w:after="0" w:line="300" w:lineRule="auto"/>
        <w:rPr>
          <w:sz w:val="20"/>
          <w:szCs w:val="20"/>
          <w:color w:val="auto"/>
        </w:rPr>
      </w:pPr>
      <w:r>
        <w:rPr>
          <w:rFonts w:ascii="Arial" w:cs="Arial" w:eastAsia="Arial" w:hAnsi="Arial"/>
          <w:sz w:val="8"/>
          <w:szCs w:val="8"/>
          <w:color w:val="auto"/>
        </w:rPr>
        <w:t>In 2020, global LNG imports were almost unchanged from 2019, rising by about 2 million tonnes year-on-year to 360 million tonnes. Growth in LNG supply capacity was mostly limited to the USA, where 21 million tonnes of new liquefaction started commercial operations in 2020. Liquefaction plants already in operation in the USA responded to the weak gas price environment by significantly curtailing production in the middle of the year. Supply from major LNG-exporting countries such as Egypt, Malaysia and Norway was also lower year-on-year because of operational disruptions and shut-ins to prevent economic losses.</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Natural gas prices can vary from region to region.</w:t>
      </w:r>
    </w:p>
    <w:p>
      <w:pPr>
        <w:spacing w:after="0" w:line="155" w:lineRule="exact"/>
        <w:rPr>
          <w:sz w:val="20"/>
          <w:szCs w:val="20"/>
          <w:color w:val="auto"/>
        </w:rPr>
      </w:pPr>
    </w:p>
    <w:p>
      <w:pPr>
        <w:spacing w:after="0" w:line="297" w:lineRule="auto"/>
        <w:rPr>
          <w:sz w:val="20"/>
          <w:szCs w:val="20"/>
          <w:color w:val="auto"/>
        </w:rPr>
      </w:pPr>
      <w:r>
        <w:rPr>
          <w:rFonts w:ascii="Arial" w:cs="Arial" w:eastAsia="Arial" w:hAnsi="Arial"/>
          <w:sz w:val="8"/>
          <w:szCs w:val="8"/>
          <w:color w:val="auto"/>
        </w:rPr>
        <w:t>In the USA, the natural gas price at the Henry Hub averaged $2.0 per million British thermal units (MMBtu) in 2020, 21% lower than in 2019. It traded in a range of $1.5 to 3.2/MMBtu. In the earlier part of 2020, there was downward pressure on prices because of decreased demand from a mild winter, lower LNG exports and a weak domestic market caused by COVID-19. Supply fell because activity declined as producers cut investments and because lower oil production meant there was less associated gas. During the summer, prices found support from growing demand for gas that could generate power for cooling during the hotter months of the year. Later in 2020, demand strengthened because of storage ahead of the winter season and increasing US LNG exports.</w:t>
      </w:r>
    </w:p>
    <w:p>
      <w:pPr>
        <w:spacing w:after="0" w:line="127" w:lineRule="exact"/>
        <w:rPr>
          <w:sz w:val="20"/>
          <w:szCs w:val="20"/>
          <w:color w:val="auto"/>
        </w:rPr>
      </w:pPr>
    </w:p>
    <w:p>
      <w:pPr>
        <w:spacing w:after="0" w:line="320" w:lineRule="auto"/>
        <w:rPr>
          <w:sz w:val="20"/>
          <w:szCs w:val="20"/>
          <w:color w:val="auto"/>
        </w:rPr>
      </w:pPr>
      <w:r>
        <w:rPr>
          <w:rFonts w:ascii="Arial" w:cs="Arial" w:eastAsia="Arial" w:hAnsi="Arial"/>
          <w:sz w:val="8"/>
          <w:szCs w:val="8"/>
          <w:color w:val="auto"/>
        </w:rPr>
        <w:t>In Europe, the average price at the UK National Balancing Point (NBP) in 2020 was 28% lower than in 2019. At the main continental gas trading hubs – in the Netherlands, Belgium and Germany – prices were also lower, as reflected by weaker Dutch Title Transfer Facility (TTF) prices. European gas prices were lower because of: the slump in demand in power generation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industry; robust supply of pipeline gas; well-filled gas storage inventories at the start of the year; and competition with renewables in power.</w:t>
      </w:r>
    </w:p>
    <w:p>
      <w:pPr>
        <w:spacing w:after="0" w:line="178" w:lineRule="exact"/>
        <w:rPr>
          <w:sz w:val="20"/>
          <w:szCs w:val="20"/>
          <w:color w:val="auto"/>
        </w:rPr>
      </w:pPr>
    </w:p>
    <w:p>
      <w:pPr>
        <w:ind w:right="120"/>
        <w:spacing w:after="0" w:line="233" w:lineRule="auto"/>
        <w:rPr>
          <w:sz w:val="20"/>
          <w:szCs w:val="20"/>
          <w:color w:val="auto"/>
        </w:rPr>
      </w:pPr>
      <w:r>
        <w:rPr>
          <w:rFonts w:ascii="Arial" w:cs="Arial" w:eastAsia="Arial" w:hAnsi="Arial"/>
          <w:sz w:val="10"/>
          <w:szCs w:val="10"/>
          <w:color w:val="auto"/>
        </w:rPr>
        <w:t>We also produce and sell natural gas in regions where supply, demand and regulatory circumstances differ markedly from those in the USA or Europe.</w:t>
      </w:r>
    </w:p>
    <w:p>
      <w:pPr>
        <w:spacing w:after="0" w:line="1" w:lineRule="exact"/>
        <w:rPr>
          <w:sz w:val="20"/>
          <w:szCs w:val="20"/>
          <w:color w:val="auto"/>
        </w:rPr>
      </w:pPr>
    </w:p>
    <w:p>
      <w:pPr>
        <w:ind w:right="200"/>
        <w:spacing w:after="0" w:line="228" w:lineRule="auto"/>
        <w:rPr>
          <w:sz w:val="20"/>
          <w:szCs w:val="20"/>
          <w:color w:val="auto"/>
        </w:rPr>
      </w:pPr>
      <w:r>
        <w:rPr>
          <w:rFonts w:ascii="Arial" w:cs="Arial" w:eastAsia="Arial" w:hAnsi="Arial"/>
          <w:sz w:val="10"/>
          <w:szCs w:val="10"/>
          <w:color w:val="auto"/>
        </w:rPr>
        <w:t>Long-term contracted LNG prices in the Asia-Pacific region in 2020 were lower than in 2019 because they are predominantly indexed to oil prices, particularly the Japan Customs-cleared Crude (JCC) index which dropped by an 32% year-on-year, tracking Brent crude prices. Meanwhile, delivered North Asia spot prices, reflected by the Japan Korea Marker, declined by 20% compared with 2019, because of oversupply in the global LNG market and weak demand.</w:t>
      </w:r>
    </w:p>
    <w:p>
      <w:pPr>
        <w:spacing w:after="0" w:line="149" w:lineRule="exact"/>
        <w:rPr>
          <w:sz w:val="20"/>
          <w:szCs w:val="20"/>
          <w:color w:val="auto"/>
        </w:rPr>
      </w:pPr>
    </w:p>
    <w:p>
      <w:pPr>
        <w:ind w:right="480"/>
        <w:spacing w:after="0" w:line="239" w:lineRule="auto"/>
        <w:rPr>
          <w:sz w:val="20"/>
          <w:szCs w:val="20"/>
          <w:color w:val="auto"/>
        </w:rPr>
      </w:pPr>
      <w:r>
        <w:rPr>
          <w:rFonts w:ascii="Arial" w:cs="Arial" w:eastAsia="Arial" w:hAnsi="Arial"/>
          <w:sz w:val="10"/>
          <w:szCs w:val="10"/>
          <w:color w:val="auto"/>
        </w:rPr>
        <w:t>Looking ahead, we expect gas markets in North America, Europe and Asia-Pacific to find support from markets recovering from the pandemic. Price developments are very uncertain and dependent on many factors.</w:t>
      </w:r>
    </w:p>
    <w:p>
      <w:pPr>
        <w:spacing w:after="0" w:line="149" w:lineRule="exact"/>
        <w:rPr>
          <w:sz w:val="20"/>
          <w:szCs w:val="20"/>
          <w:color w:val="auto"/>
        </w:rPr>
      </w:pPr>
    </w:p>
    <w:p>
      <w:pPr>
        <w:ind w:right="120"/>
        <w:spacing w:after="0" w:line="283" w:lineRule="auto"/>
        <w:rPr>
          <w:sz w:val="20"/>
          <w:szCs w:val="20"/>
          <w:color w:val="auto"/>
        </w:rPr>
      </w:pPr>
      <w:r>
        <w:rPr>
          <w:rFonts w:ascii="Arial" w:cs="Arial" w:eastAsia="Arial" w:hAnsi="Arial"/>
          <w:sz w:val="8"/>
          <w:szCs w:val="8"/>
          <w:color w:val="auto"/>
        </w:rPr>
        <w:t>In the USA, Henry Hub gas prices are expected to increase over the next few years. This is because while production of gas is expected to recover by perhaps late 2021, it could lag behind demand, which may grow earlier, to supply LNG exports and exports to Mexico by pipeline, and to supply residential and industrial users. The Henry Hub gas price could rise more than expected if oil prices stay low, leading to the Permian Basin producing less oil and supplying less associated gas as a result.</w:t>
      </w:r>
    </w:p>
    <w:p>
      <w:pPr>
        <w:spacing w:after="0" w:line="124" w:lineRule="exact"/>
        <w:rPr>
          <w:sz w:val="20"/>
          <w:szCs w:val="20"/>
          <w:color w:val="auto"/>
        </w:rPr>
      </w:pPr>
    </w:p>
    <w:p>
      <w:pPr>
        <w:spacing w:after="0"/>
        <w:rPr>
          <w:sz w:val="20"/>
          <w:szCs w:val="20"/>
          <w:color w:val="auto"/>
        </w:rPr>
      </w:pPr>
      <w:r>
        <w:rPr>
          <w:rFonts w:ascii="Arial" w:cs="Arial" w:eastAsia="Arial" w:hAnsi="Arial"/>
          <w:sz w:val="8"/>
          <w:szCs w:val="8"/>
          <w:color w:val="auto"/>
        </w:rPr>
        <w:t>On the other hand, if producers increase investments substantially, the extra supply could exert downward pressure on prices.</w:t>
      </w:r>
    </w:p>
    <w:p>
      <w:pPr>
        <w:spacing w:after="0" w:line="178" w:lineRule="exact"/>
        <w:rPr>
          <w:sz w:val="20"/>
          <w:szCs w:val="20"/>
          <w:color w:val="auto"/>
        </w:rPr>
      </w:pPr>
    </w:p>
    <w:p>
      <w:pPr>
        <w:jc w:val="both"/>
        <w:ind w:right="160"/>
        <w:spacing w:after="0" w:line="234" w:lineRule="auto"/>
        <w:rPr>
          <w:sz w:val="20"/>
          <w:szCs w:val="20"/>
          <w:color w:val="auto"/>
        </w:rPr>
      </w:pPr>
      <w:r>
        <w:rPr>
          <w:rFonts w:ascii="Arial" w:cs="Arial" w:eastAsia="Arial" w:hAnsi="Arial"/>
          <w:sz w:val="10"/>
          <w:szCs w:val="10"/>
          <w:color w:val="auto"/>
        </w:rPr>
        <w:t>In Europe, we believe gas prices will be increasingly influenced by the cost of LNG imports from the USA. In the Asia-Pacific region, long-term gas prices are expected to continue to be strongly influenced by oil prices. Spot prices are expected to be increasingly influenced by gas supply and demand fundamentals.</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CRUDE OIL AND NATURAL GAS PRICE ASSUMPTIONS</w:t>
      </w:r>
    </w:p>
    <w:p>
      <w:pPr>
        <w:ind w:right="200"/>
        <w:spacing w:after="0" w:line="295" w:lineRule="auto"/>
        <w:rPr>
          <w:sz w:val="20"/>
          <w:szCs w:val="20"/>
          <w:color w:val="auto"/>
        </w:rPr>
      </w:pPr>
      <w:r>
        <w:rPr>
          <w:rFonts w:ascii="Arial" w:cs="Arial" w:eastAsia="Arial" w:hAnsi="Arial"/>
          <w:sz w:val="8"/>
          <w:szCs w:val="8"/>
          <w:color w:val="auto"/>
        </w:rPr>
        <w:t>Our ability to deliver competitive returns and pursue commercial opportunities ultimately depends on the accuracy of our price assumptions (see “Risk factors” on page 18). We use a rigorous assessment of short-, medium- and long-term market uncertainties to determine what ranges of future crude oil and natural gas prices to use in project and portfolio evaluations. Market uncertainties include, for example, future economic conditions, geopolitics, actions by major resource holders, production costs, technological progress and the balance of supply and demand. See also Note 8 to the “Consolidated Financial Statements” on pages 182-185.</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REFINING MARGINS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80" w:type="dxa"/>
            <w:vAlign w:val="bottom"/>
            <w:tcBorders>
              <w:top w:val="single" w:sz="8" w:color="CDCDCD"/>
            </w:tcBorders>
          </w:tcPr>
          <w:p>
            <w:pPr>
              <w:ind w:left="20"/>
              <w:spacing w:after="0"/>
              <w:rPr>
                <w:sz w:val="20"/>
                <w:szCs w:val="20"/>
                <w:color w:val="auto"/>
              </w:rPr>
            </w:pPr>
            <w:r>
              <w:rPr>
                <w:rFonts w:ascii="Arial" w:cs="Arial" w:eastAsia="Arial" w:hAnsi="Arial"/>
                <w:sz w:val="10"/>
                <w:szCs w:val="10"/>
                <w:color w:val="auto"/>
              </w:rPr>
              <w:t>Refining marker average industry gross margins</w:t>
            </w:r>
          </w:p>
        </w:tc>
        <w:tc>
          <w:tcPr>
            <w:tcW w:w="880" w:type="dxa"/>
            <w:vAlign w:val="bottom"/>
            <w:tcBorders>
              <w:top w:val="single" w:sz="8" w:color="CDCDCD"/>
            </w:tcBorders>
          </w:tcPr>
          <w:p>
            <w:pPr>
              <w:spacing w:after="0"/>
              <w:rPr>
                <w:sz w:val="13"/>
                <w:szCs w:val="13"/>
                <w:color w:val="auto"/>
              </w:rPr>
            </w:pPr>
          </w:p>
        </w:tc>
        <w:tc>
          <w:tcPr>
            <w:tcW w:w="1220" w:type="dxa"/>
            <w:vAlign w:val="bottom"/>
            <w:tcBorders>
              <w:top w:val="single" w:sz="8" w:color="CDCDCD"/>
            </w:tcBorders>
          </w:tcPr>
          <w:p>
            <w:pPr>
              <w:spacing w:after="0"/>
              <w:rPr>
                <w:sz w:val="13"/>
                <w:szCs w:val="13"/>
                <w:color w:val="auto"/>
              </w:rPr>
            </w:pPr>
          </w:p>
        </w:tc>
        <w:tc>
          <w:tcPr>
            <w:tcW w:w="54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$/b</w:t>
            </w:r>
          </w:p>
        </w:tc>
      </w:tr>
      <w:tr>
        <w:trPr>
          <w:trHeight w:val="127"/>
        </w:trPr>
        <w:tc>
          <w:tcPr>
            <w:tcW w:w="27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0"/>
                <w:szCs w:val="10"/>
                <w:color w:val="auto"/>
                <w:w w:val="80"/>
              </w:rPr>
              <w:t>2020</w:t>
            </w: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0"/>
                <w:szCs w:val="10"/>
                <w:color w:val="auto"/>
              </w:rPr>
              <w:t>2019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2780" w:type="dxa"/>
            <w:vAlign w:val="bottom"/>
          </w:tcPr>
          <w:p>
            <w:pPr>
              <w:ind w:left="20"/>
              <w:spacing w:after="0"/>
              <w:rPr>
                <w:sz w:val="20"/>
                <w:szCs w:val="20"/>
                <w:color w:val="auto"/>
              </w:rPr>
            </w:pPr>
            <w:r>
              <w:rPr>
                <w:rFonts w:ascii="Arial" w:cs="Arial" w:eastAsia="Arial" w:hAnsi="Arial"/>
                <w:sz w:val="10"/>
                <w:szCs w:val="10"/>
                <w:color w:val="auto"/>
              </w:rPr>
              <w:t>US West Coast</w:t>
            </w:r>
          </w:p>
        </w:tc>
        <w:tc>
          <w:tcPr>
            <w:tcW w:w="8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8.5</w:t>
            </w:r>
          </w:p>
        </w:tc>
        <w:tc>
          <w:tcPr>
            <w:tcW w:w="1220" w:type="dxa"/>
            <w:vAlign w:val="bottom"/>
          </w:tcPr>
          <w:p>
            <w:pPr>
              <w:jc w:val="right"/>
              <w:ind w:right="332"/>
              <w:spacing w:after="0"/>
              <w:rPr>
                <w:sz w:val="20"/>
                <w:szCs w:val="20"/>
                <w:color w:val="auto"/>
              </w:rPr>
            </w:pPr>
            <w:r>
              <w:rPr>
                <w:rFonts w:ascii="Arial" w:cs="Arial" w:eastAsia="Arial" w:hAnsi="Arial"/>
                <w:sz w:val="10"/>
                <w:szCs w:val="10"/>
                <w:color w:val="auto"/>
              </w:rPr>
              <w:t>13.5</w:t>
            </w:r>
          </w:p>
        </w:tc>
        <w:tc>
          <w:tcPr>
            <w:tcW w:w="540" w:type="dxa"/>
            <w:vAlign w:val="bottom"/>
          </w:tcPr>
          <w:p>
            <w:pPr>
              <w:jc w:val="right"/>
              <w:spacing w:after="0"/>
              <w:rPr>
                <w:sz w:val="20"/>
                <w:szCs w:val="20"/>
                <w:color w:val="auto"/>
              </w:rPr>
            </w:pPr>
            <w:r>
              <w:rPr>
                <w:rFonts w:ascii="Arial" w:cs="Arial" w:eastAsia="Arial" w:hAnsi="Arial"/>
                <w:sz w:val="10"/>
                <w:szCs w:val="10"/>
                <w:color w:val="auto"/>
              </w:rPr>
              <w:t>11.5</w:t>
            </w:r>
          </w:p>
        </w:tc>
      </w:tr>
      <w:tr>
        <w:trPr>
          <w:trHeight w:val="123"/>
        </w:trPr>
        <w:tc>
          <w:tcPr>
            <w:tcW w:w="2780" w:type="dxa"/>
            <w:vAlign w:val="bottom"/>
          </w:tcPr>
          <w:p>
            <w:pPr>
              <w:ind w:left="20"/>
              <w:spacing w:after="0"/>
              <w:rPr>
                <w:sz w:val="20"/>
                <w:szCs w:val="20"/>
                <w:color w:val="auto"/>
              </w:rPr>
            </w:pPr>
            <w:r>
              <w:rPr>
                <w:rFonts w:ascii="Arial" w:cs="Arial" w:eastAsia="Arial" w:hAnsi="Arial"/>
                <w:sz w:val="10"/>
                <w:szCs w:val="10"/>
                <w:color w:val="auto"/>
              </w:rPr>
              <w:t>US Gulf Coast Coking</w:t>
            </w:r>
          </w:p>
        </w:tc>
        <w:tc>
          <w:tcPr>
            <w:tcW w:w="8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2.3</w:t>
            </w:r>
          </w:p>
        </w:tc>
        <w:tc>
          <w:tcPr>
            <w:tcW w:w="1220" w:type="dxa"/>
            <w:vAlign w:val="bottom"/>
          </w:tcPr>
          <w:p>
            <w:pPr>
              <w:jc w:val="right"/>
              <w:ind w:right="332"/>
              <w:spacing w:after="0"/>
              <w:rPr>
                <w:sz w:val="20"/>
                <w:szCs w:val="20"/>
                <w:color w:val="auto"/>
              </w:rPr>
            </w:pPr>
            <w:r>
              <w:rPr>
                <w:rFonts w:ascii="Arial" w:cs="Arial" w:eastAsia="Arial" w:hAnsi="Arial"/>
                <w:sz w:val="10"/>
                <w:szCs w:val="10"/>
                <w:color w:val="auto"/>
              </w:rPr>
              <w:t>4.9</w:t>
            </w:r>
          </w:p>
        </w:tc>
        <w:tc>
          <w:tcPr>
            <w:tcW w:w="540" w:type="dxa"/>
            <w:vAlign w:val="bottom"/>
          </w:tcPr>
          <w:p>
            <w:pPr>
              <w:jc w:val="right"/>
              <w:spacing w:after="0"/>
              <w:rPr>
                <w:sz w:val="20"/>
                <w:szCs w:val="20"/>
                <w:color w:val="auto"/>
              </w:rPr>
            </w:pPr>
            <w:r>
              <w:rPr>
                <w:rFonts w:ascii="Arial" w:cs="Arial" w:eastAsia="Arial" w:hAnsi="Arial"/>
                <w:sz w:val="10"/>
                <w:szCs w:val="10"/>
                <w:color w:val="auto"/>
              </w:rPr>
              <w:t>7.0</w:t>
            </w:r>
          </w:p>
        </w:tc>
      </w:tr>
      <w:tr>
        <w:trPr>
          <w:trHeight w:val="126"/>
        </w:trPr>
        <w:tc>
          <w:tcPr>
            <w:tcW w:w="2780" w:type="dxa"/>
            <w:vAlign w:val="bottom"/>
          </w:tcPr>
          <w:p>
            <w:pPr>
              <w:ind w:left="20"/>
              <w:spacing w:after="0"/>
              <w:rPr>
                <w:sz w:val="20"/>
                <w:szCs w:val="20"/>
                <w:color w:val="auto"/>
              </w:rPr>
            </w:pPr>
            <w:r>
              <w:rPr>
                <w:rFonts w:ascii="Arial" w:cs="Arial" w:eastAsia="Arial" w:hAnsi="Arial"/>
                <w:sz w:val="10"/>
                <w:szCs w:val="10"/>
                <w:color w:val="auto"/>
              </w:rPr>
              <w:t>Rotterdam Complex</w:t>
            </w:r>
          </w:p>
        </w:tc>
        <w:tc>
          <w:tcPr>
            <w:tcW w:w="8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0.4</w:t>
            </w:r>
          </w:p>
        </w:tc>
        <w:tc>
          <w:tcPr>
            <w:tcW w:w="1220" w:type="dxa"/>
            <w:vAlign w:val="bottom"/>
          </w:tcPr>
          <w:p>
            <w:pPr>
              <w:jc w:val="right"/>
              <w:ind w:right="332"/>
              <w:spacing w:after="0"/>
              <w:rPr>
                <w:sz w:val="20"/>
                <w:szCs w:val="20"/>
                <w:color w:val="auto"/>
              </w:rPr>
            </w:pPr>
            <w:r>
              <w:rPr>
                <w:rFonts w:ascii="Arial" w:cs="Arial" w:eastAsia="Arial" w:hAnsi="Arial"/>
                <w:sz w:val="10"/>
                <w:szCs w:val="10"/>
                <w:color w:val="auto"/>
              </w:rPr>
              <w:t>2.3</w:t>
            </w:r>
          </w:p>
        </w:tc>
        <w:tc>
          <w:tcPr>
            <w:tcW w:w="540" w:type="dxa"/>
            <w:vAlign w:val="bottom"/>
          </w:tcPr>
          <w:p>
            <w:pPr>
              <w:jc w:val="right"/>
              <w:spacing w:after="0"/>
              <w:rPr>
                <w:sz w:val="20"/>
                <w:szCs w:val="20"/>
                <w:color w:val="auto"/>
              </w:rPr>
            </w:pPr>
            <w:r>
              <w:rPr>
                <w:rFonts w:ascii="Arial" w:cs="Arial" w:eastAsia="Arial" w:hAnsi="Arial"/>
                <w:sz w:val="10"/>
                <w:szCs w:val="10"/>
                <w:color w:val="auto"/>
              </w:rPr>
              <w:t>2.5</w:t>
            </w:r>
          </w:p>
        </w:tc>
      </w:tr>
      <w:tr>
        <w:trPr>
          <w:trHeight w:val="130"/>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Singapore</w:t>
            </w:r>
          </w:p>
        </w:tc>
        <w:tc>
          <w:tcPr>
            <w:tcW w:w="880" w:type="dxa"/>
            <w:vAlign w:val="bottom"/>
            <w:tcBorders>
              <w:bottom w:val="single" w:sz="8" w:color="auto"/>
            </w:tcBorders>
            <w:shd w:val="clear" w:color="auto" w:fill="D9D9D9"/>
          </w:tcPr>
          <w:p>
            <w:pPr>
              <w:ind w:left="680"/>
              <w:spacing w:after="0"/>
              <w:rPr>
                <w:sz w:val="20"/>
                <w:szCs w:val="20"/>
                <w:color w:val="auto"/>
              </w:rPr>
            </w:pPr>
            <w:r>
              <w:rPr>
                <w:rFonts w:ascii="Arial" w:cs="Arial" w:eastAsia="Arial" w:hAnsi="Arial"/>
                <w:sz w:val="10"/>
                <w:szCs w:val="10"/>
                <w:color w:val="auto"/>
                <w:w w:val="87"/>
              </w:rPr>
              <w:t>(0.5)</w:t>
            </w: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0"/>
                <w:szCs w:val="10"/>
                <w:color w:val="auto"/>
              </w:rPr>
              <w:t>(0.6)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w:t>
            </w:r>
          </w:p>
        </w:tc>
      </w:tr>
    </w:tbl>
    <w:p>
      <w:pPr>
        <w:spacing w:after="0" w:line="42" w:lineRule="exact"/>
        <w:rPr>
          <w:sz w:val="20"/>
          <w:szCs w:val="20"/>
          <w:color w:val="auto"/>
        </w:rPr>
      </w:pPr>
    </w:p>
    <w:p>
      <w:pPr>
        <w:ind w:right="140"/>
        <w:spacing w:after="0" w:line="300" w:lineRule="auto"/>
        <w:rPr>
          <w:sz w:val="20"/>
          <w:szCs w:val="20"/>
          <w:color w:val="auto"/>
        </w:rPr>
      </w:pPr>
      <w:r>
        <w:rPr>
          <w:rFonts w:ascii="Arial" w:cs="Arial" w:eastAsia="Arial" w:hAnsi="Arial"/>
          <w:sz w:val="8"/>
          <w:szCs w:val="8"/>
          <w:color w:val="auto"/>
        </w:rPr>
        <w:t>Industry gross refining margins weakened in 2020 because demand for oil products was significantly reduced by the fall in economic activity and increase in travel restrictions caused by COVID-19. Demand for transportation fuels such as gasoline for passenger cars and kerosene for air transportation was hit particularly hard. During most of the second half of the year, mobility and the resulting demand for transportation fuels improved in some parts of the world, especially in China and South-east Asia. At the end of the year, new waves of COVID-19 infections in Europe and the Americas severely limited any global increase in demand for transportation fuels.</w:t>
      </w:r>
    </w:p>
    <w:p>
      <w:pPr>
        <w:spacing w:after="0" w:line="127" w:lineRule="exact"/>
        <w:rPr>
          <w:sz w:val="20"/>
          <w:szCs w:val="20"/>
          <w:color w:val="auto"/>
        </w:rPr>
      </w:pPr>
    </w:p>
    <w:p>
      <w:pPr>
        <w:jc w:val="both"/>
        <w:ind w:right="380"/>
        <w:spacing w:after="0" w:line="320" w:lineRule="auto"/>
        <w:rPr>
          <w:sz w:val="20"/>
          <w:szCs w:val="20"/>
          <w:color w:val="auto"/>
        </w:rPr>
      </w:pPr>
      <w:r>
        <w:rPr>
          <w:rFonts w:ascii="Arial" w:cs="Arial" w:eastAsia="Arial" w:hAnsi="Arial"/>
          <w:sz w:val="8"/>
          <w:szCs w:val="8"/>
          <w:color w:val="auto"/>
        </w:rPr>
        <w:t>On January 1, 2020, the new International Maritime Organization low-sulphur shipping fuel specification came into effect, limiting the sulphur content of maritime fuel to 0.5%. This had a limited effect on margins because of the economic slowdown in 2020 and because companies had prepared for the new regulations by building inventory in the second half of 2019</w:t>
      </w:r>
    </w:p>
    <w:p>
      <w:pPr>
        <w:spacing w:after="0" w:line="200"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24</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27" w:name="page28"/>
    <w:bookmarkEnd w:id="27"/>
    <w:p>
      <w:pPr>
        <w:ind w:left="8"/>
        <w:spacing w:after="0"/>
        <w:rPr>
          <w:sz w:val="20"/>
          <w:szCs w:val="20"/>
          <w:color w:val="auto"/>
        </w:rPr>
      </w:pPr>
      <w:r>
        <w:rPr>
          <w:rFonts w:ascii="Arial" w:cs="Arial" w:eastAsia="Arial" w:hAnsi="Arial"/>
          <w:sz w:val="10"/>
          <w:szCs w:val="10"/>
          <w:color w:val="auto"/>
        </w:rPr>
        <w:t>The destruction of demand caused by COVID-19 led to industry idling some refinery capacity. Permanent refinery closures were also</w:t>
      </w:r>
    </w:p>
    <w:p>
      <w:pPr>
        <w:ind w:left="8"/>
        <w:spacing w:after="0"/>
        <w:rPr>
          <w:sz w:val="20"/>
          <w:szCs w:val="20"/>
          <w:color w:val="auto"/>
        </w:rPr>
      </w:pPr>
      <w:r>
        <w:rPr>
          <w:rFonts w:ascii="Arial" w:cs="Arial" w:eastAsia="Arial" w:hAnsi="Arial"/>
          <w:sz w:val="10"/>
          <w:szCs w:val="10"/>
          <w:color w:val="auto"/>
        </w:rPr>
        <w:t>announced in 2020, but construction of new capacity did occur during the year, especially in the Middle East and Asia.</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outlook for refining margins for the next few years will be influenced by the uncertainty around the pace of economic and demand</w:t>
      </w:r>
    </w:p>
    <w:p>
      <w:pPr>
        <w:ind w:left="8"/>
        <w:spacing w:after="0" w:line="227" w:lineRule="auto"/>
        <w:rPr>
          <w:sz w:val="20"/>
          <w:szCs w:val="20"/>
          <w:color w:val="auto"/>
        </w:rPr>
      </w:pPr>
      <w:r>
        <w:rPr>
          <w:rFonts w:ascii="Arial" w:cs="Arial" w:eastAsia="Arial" w:hAnsi="Arial"/>
          <w:sz w:val="10"/>
          <w:szCs w:val="10"/>
          <w:color w:val="auto"/>
        </w:rPr>
        <w:t>recovery from the pandemic, and by the continued addition of new refinery capacity in the Middle East and Asia, often integrated with</w:t>
      </w:r>
    </w:p>
    <w:p>
      <w:pPr>
        <w:ind w:left="8"/>
        <w:spacing w:after="0" w:line="237" w:lineRule="auto"/>
        <w:rPr>
          <w:sz w:val="20"/>
          <w:szCs w:val="20"/>
          <w:color w:val="auto"/>
        </w:rPr>
      </w:pPr>
      <w:r>
        <w:rPr>
          <w:rFonts w:ascii="Arial" w:cs="Arial" w:eastAsia="Arial" w:hAnsi="Arial"/>
          <w:sz w:val="10"/>
          <w:szCs w:val="10"/>
          <w:color w:val="auto"/>
        </w:rPr>
        <w:t>chemicals production. On balance, refining marker margins are expected to remain under pressure for 2021.</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1"/>
          <w:szCs w:val="11"/>
          <w:color w:val="auto"/>
        </w:rPr>
        <w:t>PETROCHEMICAL MARGINS</w:t>
      </w:r>
    </w:p>
    <w:p>
      <w:pPr>
        <w:spacing w:after="0" w:line="6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76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Cracker industry margins [A]</w:t>
            </w:r>
          </w:p>
        </w:tc>
        <w:tc>
          <w:tcPr>
            <w:tcW w:w="880" w:type="dxa"/>
            <w:vAlign w:val="bottom"/>
            <w:tcBorders>
              <w:top w:val="single" w:sz="8" w:color="CDCDCD"/>
            </w:tcBorders>
          </w:tcPr>
          <w:p>
            <w:pPr>
              <w:spacing w:after="0"/>
              <w:rPr>
                <w:sz w:val="13"/>
                <w:szCs w:val="13"/>
                <w:color w:val="auto"/>
              </w:rPr>
            </w:pPr>
          </w:p>
        </w:tc>
        <w:tc>
          <w:tcPr>
            <w:tcW w:w="1180" w:type="dxa"/>
            <w:vAlign w:val="bottom"/>
            <w:tcBorders>
              <w:top w:val="single" w:sz="8" w:color="CDCDCD"/>
            </w:tcBorders>
          </w:tcPr>
          <w:p>
            <w:pPr>
              <w:spacing w:after="0"/>
              <w:rPr>
                <w:sz w:val="13"/>
                <w:szCs w:val="13"/>
                <w:color w:val="auto"/>
              </w:rPr>
            </w:pPr>
          </w:p>
        </w:tc>
        <w:tc>
          <w:tcPr>
            <w:tcW w:w="580" w:type="dxa"/>
            <w:vAlign w:val="bottom"/>
            <w:tcBorders>
              <w:top w:val="single" w:sz="8" w:color="CDCDCD"/>
            </w:tcBorders>
          </w:tcPr>
          <w:p>
            <w:pPr>
              <w:ind w:left="300"/>
              <w:spacing w:after="0"/>
              <w:rPr>
                <w:sz w:val="20"/>
                <w:szCs w:val="20"/>
                <w:color w:val="auto"/>
              </w:rPr>
            </w:pPr>
            <w:r>
              <w:rPr>
                <w:rFonts w:ascii="Arial" w:cs="Arial" w:eastAsia="Arial" w:hAnsi="Arial"/>
                <w:sz w:val="10"/>
                <w:szCs w:val="10"/>
                <w:color w:val="auto"/>
                <w:w w:val="77"/>
              </w:rPr>
              <w:t>$/tonne</w:t>
            </w:r>
          </w:p>
        </w:tc>
      </w:tr>
      <w:tr>
        <w:trPr>
          <w:trHeight w:val="127"/>
        </w:trPr>
        <w:tc>
          <w:tcPr>
            <w:tcW w:w="27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left="632"/>
              <w:spacing w:after="0"/>
              <w:rPr>
                <w:sz w:val="20"/>
                <w:szCs w:val="20"/>
                <w:color w:val="auto"/>
              </w:rPr>
            </w:pPr>
            <w:r>
              <w:rPr>
                <w:rFonts w:ascii="Arial" w:cs="Arial" w:eastAsia="Arial" w:hAnsi="Arial"/>
                <w:sz w:val="10"/>
                <w:szCs w:val="10"/>
                <w:color w:val="auto"/>
                <w:w w:val="89"/>
              </w:rPr>
              <w:t>2020</w:t>
            </w:r>
          </w:p>
        </w:tc>
        <w:tc>
          <w:tcPr>
            <w:tcW w:w="1180" w:type="dxa"/>
            <w:vAlign w:val="bottom"/>
            <w:tcBorders>
              <w:bottom w:val="single" w:sz="8" w:color="auto"/>
            </w:tcBorders>
          </w:tcPr>
          <w:p>
            <w:pPr>
              <w:jc w:val="center"/>
              <w:ind w:left="332"/>
              <w:spacing w:after="0"/>
              <w:rPr>
                <w:sz w:val="20"/>
                <w:szCs w:val="20"/>
                <w:color w:val="auto"/>
              </w:rPr>
            </w:pPr>
            <w:r>
              <w:rPr>
                <w:rFonts w:ascii="Arial" w:cs="Arial" w:eastAsia="Arial" w:hAnsi="Arial"/>
                <w:sz w:val="10"/>
                <w:szCs w:val="10"/>
                <w:color w:val="auto"/>
                <w:w w:val="89"/>
              </w:rPr>
              <w:t>2019</w:t>
            </w:r>
          </w:p>
        </w:tc>
        <w:tc>
          <w:tcPr>
            <w:tcW w:w="580" w:type="dxa"/>
            <w:vAlign w:val="bottom"/>
            <w:tcBorders>
              <w:bottom w:val="single" w:sz="8" w:color="auto"/>
            </w:tcBorders>
          </w:tcPr>
          <w:p>
            <w:pPr>
              <w:jc w:val="center"/>
              <w:ind w:left="332"/>
              <w:spacing w:after="0"/>
              <w:rPr>
                <w:sz w:val="20"/>
                <w:szCs w:val="20"/>
                <w:color w:val="auto"/>
              </w:rPr>
            </w:pPr>
            <w:r>
              <w:rPr>
                <w:rFonts w:ascii="Arial" w:cs="Arial" w:eastAsia="Arial" w:hAnsi="Arial"/>
                <w:sz w:val="10"/>
                <w:szCs w:val="10"/>
                <w:color w:val="auto"/>
                <w:w w:val="89"/>
              </w:rPr>
              <w:t>2018</w:t>
            </w:r>
          </w:p>
        </w:tc>
      </w:tr>
      <w:tr>
        <w:trPr>
          <w:trHeight w:val="114"/>
        </w:trPr>
        <w:tc>
          <w:tcPr>
            <w:tcW w:w="2760" w:type="dxa"/>
            <w:vAlign w:val="bottom"/>
          </w:tcPr>
          <w:p>
            <w:pPr>
              <w:spacing w:after="0"/>
              <w:rPr>
                <w:sz w:val="20"/>
                <w:szCs w:val="20"/>
                <w:color w:val="auto"/>
              </w:rPr>
            </w:pPr>
            <w:r>
              <w:rPr>
                <w:rFonts w:ascii="Arial" w:cs="Arial" w:eastAsia="Arial" w:hAnsi="Arial"/>
                <w:sz w:val="10"/>
                <w:szCs w:val="10"/>
                <w:color w:val="auto"/>
              </w:rPr>
              <w:t>North East/South East Asia naphtha</w:t>
            </w:r>
          </w:p>
        </w:tc>
        <w:tc>
          <w:tcPr>
            <w:tcW w:w="880" w:type="dxa"/>
            <w:vAlign w:val="bottom"/>
            <w:shd w:val="clear" w:color="auto" w:fill="D9D9D9"/>
          </w:tcPr>
          <w:p>
            <w:pPr>
              <w:jc w:val="center"/>
              <w:ind w:left="612"/>
              <w:spacing w:after="0"/>
              <w:rPr>
                <w:sz w:val="20"/>
                <w:szCs w:val="20"/>
                <w:color w:val="auto"/>
              </w:rPr>
            </w:pPr>
            <w:r>
              <w:rPr>
                <w:rFonts w:ascii="Arial" w:cs="Arial" w:eastAsia="Arial" w:hAnsi="Arial"/>
                <w:sz w:val="10"/>
                <w:szCs w:val="10"/>
                <w:color w:val="auto"/>
                <w:w w:val="83"/>
              </w:rPr>
              <w:t>362</w:t>
            </w:r>
          </w:p>
        </w:tc>
        <w:tc>
          <w:tcPr>
            <w:tcW w:w="1180" w:type="dxa"/>
            <w:vAlign w:val="bottom"/>
          </w:tcPr>
          <w:p>
            <w:pPr>
              <w:jc w:val="center"/>
              <w:ind w:left="312"/>
              <w:spacing w:after="0"/>
              <w:rPr>
                <w:sz w:val="20"/>
                <w:szCs w:val="20"/>
                <w:color w:val="auto"/>
              </w:rPr>
            </w:pPr>
            <w:r>
              <w:rPr>
                <w:rFonts w:ascii="Arial" w:cs="Arial" w:eastAsia="Arial" w:hAnsi="Arial"/>
                <w:sz w:val="10"/>
                <w:szCs w:val="10"/>
                <w:color w:val="auto"/>
                <w:w w:val="83"/>
              </w:rPr>
              <w:t>302</w:t>
            </w:r>
          </w:p>
        </w:tc>
        <w:tc>
          <w:tcPr>
            <w:tcW w:w="580" w:type="dxa"/>
            <w:vAlign w:val="bottom"/>
          </w:tcPr>
          <w:p>
            <w:pPr>
              <w:jc w:val="center"/>
              <w:ind w:left="312"/>
              <w:spacing w:after="0"/>
              <w:rPr>
                <w:sz w:val="20"/>
                <w:szCs w:val="20"/>
                <w:color w:val="auto"/>
              </w:rPr>
            </w:pPr>
            <w:r>
              <w:rPr>
                <w:rFonts w:ascii="Arial" w:cs="Arial" w:eastAsia="Arial" w:hAnsi="Arial"/>
                <w:sz w:val="10"/>
                <w:szCs w:val="10"/>
                <w:color w:val="auto"/>
                <w:w w:val="83"/>
              </w:rPr>
              <w:t>594</w:t>
            </w:r>
          </w:p>
        </w:tc>
      </w:tr>
      <w:tr>
        <w:trPr>
          <w:trHeight w:val="123"/>
        </w:trPr>
        <w:tc>
          <w:tcPr>
            <w:tcW w:w="2760" w:type="dxa"/>
            <w:vAlign w:val="bottom"/>
          </w:tcPr>
          <w:p>
            <w:pPr>
              <w:spacing w:after="0"/>
              <w:rPr>
                <w:sz w:val="20"/>
                <w:szCs w:val="20"/>
                <w:color w:val="auto"/>
              </w:rPr>
            </w:pPr>
            <w:r>
              <w:rPr>
                <w:rFonts w:ascii="Arial" w:cs="Arial" w:eastAsia="Arial" w:hAnsi="Arial"/>
                <w:sz w:val="10"/>
                <w:szCs w:val="10"/>
                <w:color w:val="auto"/>
              </w:rPr>
              <w:t>Western Europe naphtha</w:t>
            </w:r>
          </w:p>
        </w:tc>
        <w:tc>
          <w:tcPr>
            <w:tcW w:w="880" w:type="dxa"/>
            <w:vAlign w:val="bottom"/>
            <w:shd w:val="clear" w:color="auto" w:fill="D9D9D9"/>
          </w:tcPr>
          <w:p>
            <w:pPr>
              <w:jc w:val="center"/>
              <w:ind w:left="612"/>
              <w:spacing w:after="0"/>
              <w:rPr>
                <w:sz w:val="20"/>
                <w:szCs w:val="20"/>
                <w:color w:val="auto"/>
              </w:rPr>
            </w:pPr>
            <w:r>
              <w:rPr>
                <w:rFonts w:ascii="Arial" w:cs="Arial" w:eastAsia="Arial" w:hAnsi="Arial"/>
                <w:sz w:val="10"/>
                <w:szCs w:val="10"/>
                <w:color w:val="auto"/>
                <w:w w:val="83"/>
              </w:rPr>
              <w:t>513</w:t>
            </w:r>
          </w:p>
        </w:tc>
        <w:tc>
          <w:tcPr>
            <w:tcW w:w="1180" w:type="dxa"/>
            <w:vAlign w:val="bottom"/>
          </w:tcPr>
          <w:p>
            <w:pPr>
              <w:jc w:val="center"/>
              <w:ind w:left="312"/>
              <w:spacing w:after="0"/>
              <w:rPr>
                <w:sz w:val="20"/>
                <w:szCs w:val="20"/>
                <w:color w:val="auto"/>
              </w:rPr>
            </w:pPr>
            <w:r>
              <w:rPr>
                <w:rFonts w:ascii="Arial" w:cs="Arial" w:eastAsia="Arial" w:hAnsi="Arial"/>
                <w:sz w:val="10"/>
                <w:szCs w:val="10"/>
                <w:color w:val="auto"/>
                <w:w w:val="83"/>
              </w:rPr>
              <w:t>528</w:t>
            </w:r>
          </w:p>
        </w:tc>
        <w:tc>
          <w:tcPr>
            <w:tcW w:w="580" w:type="dxa"/>
            <w:vAlign w:val="bottom"/>
          </w:tcPr>
          <w:p>
            <w:pPr>
              <w:jc w:val="center"/>
              <w:ind w:left="312"/>
              <w:spacing w:after="0"/>
              <w:rPr>
                <w:sz w:val="20"/>
                <w:szCs w:val="20"/>
                <w:color w:val="auto"/>
              </w:rPr>
            </w:pPr>
            <w:r>
              <w:rPr>
                <w:rFonts w:ascii="Arial" w:cs="Arial" w:eastAsia="Arial" w:hAnsi="Arial"/>
                <w:sz w:val="10"/>
                <w:szCs w:val="10"/>
                <w:color w:val="auto"/>
                <w:w w:val="83"/>
              </w:rPr>
              <w:t>562</w:t>
            </w:r>
          </w:p>
        </w:tc>
      </w:tr>
      <w:tr>
        <w:trPr>
          <w:trHeight w:val="130"/>
        </w:trPr>
        <w:tc>
          <w:tcPr>
            <w:tcW w:w="2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US ethane</w:t>
            </w:r>
          </w:p>
        </w:tc>
        <w:tc>
          <w:tcPr>
            <w:tcW w:w="880" w:type="dxa"/>
            <w:vAlign w:val="bottom"/>
            <w:tcBorders>
              <w:bottom w:val="single" w:sz="8" w:color="auto"/>
            </w:tcBorders>
            <w:shd w:val="clear" w:color="auto" w:fill="D9D9D9"/>
          </w:tcPr>
          <w:p>
            <w:pPr>
              <w:jc w:val="center"/>
              <w:ind w:left="612"/>
              <w:spacing w:after="0"/>
              <w:rPr>
                <w:sz w:val="20"/>
                <w:szCs w:val="20"/>
                <w:color w:val="auto"/>
              </w:rPr>
            </w:pPr>
            <w:r>
              <w:rPr>
                <w:rFonts w:ascii="Arial" w:cs="Arial" w:eastAsia="Arial" w:hAnsi="Arial"/>
                <w:sz w:val="10"/>
                <w:szCs w:val="10"/>
                <w:color w:val="auto"/>
                <w:w w:val="83"/>
              </w:rPr>
              <w:t>433</w:t>
            </w:r>
          </w:p>
        </w:tc>
        <w:tc>
          <w:tcPr>
            <w:tcW w:w="1180" w:type="dxa"/>
            <w:vAlign w:val="bottom"/>
            <w:tcBorders>
              <w:bottom w:val="single" w:sz="8" w:color="auto"/>
            </w:tcBorders>
          </w:tcPr>
          <w:p>
            <w:pPr>
              <w:jc w:val="center"/>
              <w:ind w:left="312"/>
              <w:spacing w:after="0"/>
              <w:rPr>
                <w:sz w:val="20"/>
                <w:szCs w:val="20"/>
                <w:color w:val="auto"/>
              </w:rPr>
            </w:pPr>
            <w:r>
              <w:rPr>
                <w:rFonts w:ascii="Arial" w:cs="Arial" w:eastAsia="Arial" w:hAnsi="Arial"/>
                <w:sz w:val="10"/>
                <w:szCs w:val="10"/>
                <w:color w:val="auto"/>
                <w:w w:val="83"/>
              </w:rPr>
              <w:t>440</w:t>
            </w:r>
          </w:p>
        </w:tc>
        <w:tc>
          <w:tcPr>
            <w:tcW w:w="580" w:type="dxa"/>
            <w:vAlign w:val="bottom"/>
            <w:tcBorders>
              <w:bottom w:val="single" w:sz="8" w:color="auto"/>
            </w:tcBorders>
          </w:tcPr>
          <w:p>
            <w:pPr>
              <w:jc w:val="center"/>
              <w:ind w:left="312"/>
              <w:spacing w:after="0"/>
              <w:rPr>
                <w:sz w:val="20"/>
                <w:szCs w:val="20"/>
                <w:color w:val="auto"/>
              </w:rPr>
            </w:pPr>
            <w:r>
              <w:rPr>
                <w:rFonts w:ascii="Arial" w:cs="Arial" w:eastAsia="Arial" w:hAnsi="Arial"/>
                <w:sz w:val="10"/>
                <w:szCs w:val="10"/>
                <w:color w:val="auto"/>
                <w:w w:val="83"/>
              </w:rPr>
              <w:t>412</w:t>
            </w:r>
          </w:p>
        </w:tc>
      </w:tr>
    </w:tbl>
    <w:p>
      <w:pPr>
        <w:spacing w:after="0" w:line="47" w:lineRule="exact"/>
        <w:rPr>
          <w:sz w:val="20"/>
          <w:szCs w:val="20"/>
          <w:color w:val="auto"/>
        </w:rPr>
      </w:pPr>
    </w:p>
    <w:p>
      <w:pPr>
        <w:ind w:left="8" w:right="5900" w:hanging="8"/>
        <w:spacing w:after="0" w:line="270" w:lineRule="auto"/>
        <w:tabs>
          <w:tab w:leader="none" w:pos="126" w:val="left"/>
        </w:tabs>
        <w:numPr>
          <w:ilvl w:val="0"/>
          <w:numId w:val="3"/>
        </w:numPr>
        <w:rPr>
          <w:rFonts w:ascii="Arial" w:cs="Arial" w:eastAsia="Arial" w:hAnsi="Arial"/>
          <w:sz w:val="7"/>
          <w:szCs w:val="7"/>
          <w:color w:val="auto"/>
        </w:rPr>
      </w:pPr>
      <w:r>
        <w:rPr>
          <w:rFonts w:ascii="Arial" w:cs="Arial" w:eastAsia="Arial" w:hAnsi="Arial"/>
          <w:sz w:val="7"/>
          <w:szCs w:val="7"/>
          <w:color w:val="auto"/>
        </w:rPr>
        <w:t>ICIS data is quoted. Cracker margins have been revised from the fourth quarter 2019 onwards due to updated cracker margin calculation methodology by ICIS. Further revisions based on available market information to external industry data provider up to the end of the period.</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0"/>
          <w:szCs w:val="10"/>
          <w:color w:val="auto"/>
        </w:rPr>
        <w:t>Cracker margins were volatile during 2020 because of how COVID-19 affected demand. Overall margins, however, were broadly similar to</w:t>
      </w:r>
    </w:p>
    <w:p>
      <w:pPr>
        <w:ind w:left="8"/>
        <w:spacing w:after="0" w:line="227" w:lineRule="auto"/>
        <w:rPr>
          <w:sz w:val="20"/>
          <w:szCs w:val="20"/>
          <w:color w:val="auto"/>
        </w:rPr>
      </w:pPr>
      <w:r>
        <w:rPr>
          <w:rFonts w:ascii="Arial" w:cs="Arial" w:eastAsia="Arial" w:hAnsi="Arial"/>
          <w:sz w:val="10"/>
          <w:szCs w:val="10"/>
          <w:color w:val="auto"/>
        </w:rPr>
        <w:t>those in 2019. The effect on chemicals depended on end use. Some sectors, such as automotive, were hit particularly hard, while others, such</w:t>
      </w:r>
    </w:p>
    <w:p>
      <w:pPr>
        <w:ind w:left="8"/>
        <w:spacing w:after="0" w:line="225" w:lineRule="auto"/>
        <w:rPr>
          <w:sz w:val="20"/>
          <w:szCs w:val="20"/>
          <w:color w:val="auto"/>
        </w:rPr>
      </w:pPr>
      <w:r>
        <w:rPr>
          <w:rFonts w:ascii="Arial" w:cs="Arial" w:eastAsia="Arial" w:hAnsi="Arial"/>
          <w:sz w:val="10"/>
          <w:szCs w:val="10"/>
          <w:color w:val="auto"/>
        </w:rPr>
        <w:t>as packaging, showed robust demand. Chinese demand recovered relatively quickly because the virus was swiftly brought under control.</w:t>
      </w:r>
    </w:p>
    <w:p>
      <w:pPr>
        <w:ind w:left="8"/>
        <w:spacing w:after="0" w:line="226" w:lineRule="auto"/>
        <w:rPr>
          <w:sz w:val="20"/>
          <w:szCs w:val="20"/>
          <w:color w:val="auto"/>
        </w:rPr>
      </w:pPr>
      <w:r>
        <w:rPr>
          <w:rFonts w:ascii="Arial" w:cs="Arial" w:eastAsia="Arial" w:hAnsi="Arial"/>
          <w:sz w:val="10"/>
          <w:szCs w:val="10"/>
          <w:color w:val="auto"/>
        </w:rPr>
        <w:t>Overall chemicals demand was not hit as hard as GDP. West European cracker margins were supported by the sudden fall in the price of</w:t>
      </w:r>
    </w:p>
    <w:p>
      <w:pPr>
        <w:ind w:left="8"/>
        <w:spacing w:after="0" w:line="225" w:lineRule="auto"/>
        <w:rPr>
          <w:sz w:val="20"/>
          <w:szCs w:val="20"/>
          <w:color w:val="auto"/>
        </w:rPr>
      </w:pPr>
      <w:r>
        <w:rPr>
          <w:rFonts w:ascii="Arial" w:cs="Arial" w:eastAsia="Arial" w:hAnsi="Arial"/>
          <w:sz w:val="10"/>
          <w:szCs w:val="10"/>
          <w:color w:val="auto"/>
        </w:rPr>
        <w:t>crude oil in March and April. The fact that crude oil was at a lower price than in 2019 reduced naphtha feedstock costs, which reduced</w:t>
      </w:r>
    </w:p>
    <w:p>
      <w:pPr>
        <w:ind w:left="8"/>
        <w:spacing w:after="0" w:line="237" w:lineRule="auto"/>
        <w:rPr>
          <w:sz w:val="20"/>
          <w:szCs w:val="20"/>
          <w:color w:val="auto"/>
        </w:rPr>
      </w:pPr>
      <w:r>
        <w:rPr>
          <w:rFonts w:ascii="Arial" w:cs="Arial" w:eastAsia="Arial" w:hAnsi="Arial"/>
          <w:sz w:val="10"/>
          <w:szCs w:val="10"/>
          <w:color w:val="auto"/>
        </w:rPr>
        <w:t>product prices. This in turn put pressure on US ethane cracker margins, although plentiful ethane supply helped counter the impact.</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outlook for petrochemical margins in 2021 and beyond depends on feedstock costs and supply and demand balances. Demand for</w:t>
      </w:r>
    </w:p>
    <w:p>
      <w:pPr>
        <w:ind w:left="8"/>
        <w:spacing w:after="0" w:line="227" w:lineRule="auto"/>
        <w:rPr>
          <w:sz w:val="20"/>
          <w:szCs w:val="20"/>
          <w:color w:val="auto"/>
        </w:rPr>
      </w:pPr>
      <w:r>
        <w:rPr>
          <w:rFonts w:ascii="Arial" w:cs="Arial" w:eastAsia="Arial" w:hAnsi="Arial"/>
          <w:sz w:val="10"/>
          <w:szCs w:val="10"/>
          <w:color w:val="auto"/>
        </w:rPr>
        <w:t>petrochemicals will be affected by the speed and extent of recovery from the COVID-19 pandemic. Supply of petrochemicals will depend on</w:t>
      </w:r>
    </w:p>
    <w:p>
      <w:pPr>
        <w:ind w:left="8"/>
        <w:spacing w:after="0" w:line="225" w:lineRule="auto"/>
        <w:rPr>
          <w:sz w:val="20"/>
          <w:szCs w:val="20"/>
          <w:color w:val="auto"/>
        </w:rPr>
      </w:pPr>
      <w:r>
        <w:rPr>
          <w:rFonts w:ascii="Arial" w:cs="Arial" w:eastAsia="Arial" w:hAnsi="Arial"/>
          <w:sz w:val="10"/>
          <w:szCs w:val="10"/>
          <w:color w:val="auto"/>
        </w:rPr>
        <w:t>the net capacity effect of new builds and plant closures (taking into account any delays or cancellations in building new plants or closing old</w:t>
      </w:r>
    </w:p>
    <w:p>
      <w:pPr>
        <w:ind w:left="8"/>
        <w:spacing w:after="0" w:line="226" w:lineRule="auto"/>
        <w:rPr>
          <w:sz w:val="20"/>
          <w:szCs w:val="20"/>
          <w:color w:val="auto"/>
        </w:rPr>
      </w:pPr>
      <w:r>
        <w:rPr>
          <w:rFonts w:ascii="Arial" w:cs="Arial" w:eastAsia="Arial" w:hAnsi="Arial"/>
          <w:sz w:val="10"/>
          <w:szCs w:val="10"/>
          <w:color w:val="auto"/>
        </w:rPr>
        <w:t>ones). Product prices reflect the prices of raw materials, which are closely linked to crude oil and natural gas prices. The balance of all these</w:t>
      </w:r>
    </w:p>
    <w:p>
      <w:pPr>
        <w:ind w:left="8"/>
        <w:spacing w:after="0" w:line="237" w:lineRule="auto"/>
        <w:rPr>
          <w:sz w:val="20"/>
          <w:szCs w:val="20"/>
          <w:color w:val="auto"/>
        </w:rPr>
      </w:pPr>
      <w:r>
        <w:rPr>
          <w:rFonts w:ascii="Arial" w:cs="Arial" w:eastAsia="Arial" w:hAnsi="Arial"/>
          <w:sz w:val="10"/>
          <w:szCs w:val="10"/>
          <w:color w:val="auto"/>
        </w:rPr>
        <w:t>factors will drive margins.</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statements in this “Market overview” section, including those related to our price forecasts, are forward-looking statements based on</w:t>
      </w:r>
    </w:p>
    <w:p>
      <w:pPr>
        <w:ind w:left="8"/>
        <w:spacing w:after="0" w:line="227" w:lineRule="auto"/>
        <w:rPr>
          <w:sz w:val="20"/>
          <w:szCs w:val="20"/>
          <w:color w:val="auto"/>
        </w:rPr>
      </w:pPr>
      <w:r>
        <w:rPr>
          <w:rFonts w:ascii="Arial" w:cs="Arial" w:eastAsia="Arial" w:hAnsi="Arial"/>
          <w:sz w:val="10"/>
          <w:szCs w:val="10"/>
          <w:color w:val="auto"/>
        </w:rPr>
        <w:t>management’s current expectations and certain material assumptions and, accordingly, involve risks and uncertainties that could cause actual</w:t>
      </w:r>
    </w:p>
    <w:p>
      <w:pPr>
        <w:ind w:left="8"/>
        <w:spacing w:after="0" w:line="225" w:lineRule="auto"/>
        <w:rPr>
          <w:sz w:val="20"/>
          <w:szCs w:val="20"/>
          <w:color w:val="auto"/>
        </w:rPr>
      </w:pPr>
      <w:r>
        <w:rPr>
          <w:rFonts w:ascii="Arial" w:cs="Arial" w:eastAsia="Arial" w:hAnsi="Arial"/>
          <w:sz w:val="10"/>
          <w:szCs w:val="10"/>
          <w:color w:val="auto"/>
        </w:rPr>
        <w:t>results, performance or events to differ materially from those expressed or implied herein. See “About this Report” on pages 8-9 and “Risk</w:t>
      </w:r>
    </w:p>
    <w:p>
      <w:pPr>
        <w:ind w:left="8"/>
        <w:spacing w:after="0" w:line="237" w:lineRule="auto"/>
        <w:rPr>
          <w:sz w:val="20"/>
          <w:szCs w:val="20"/>
          <w:color w:val="auto"/>
        </w:rPr>
      </w:pPr>
      <w:r>
        <w:rPr>
          <w:rFonts w:ascii="Arial" w:cs="Arial" w:eastAsia="Arial" w:hAnsi="Arial"/>
          <w:sz w:val="10"/>
          <w:szCs w:val="10"/>
          <w:color w:val="auto"/>
        </w:rPr>
        <w:t>factors” on pages 18-22.</w:t>
      </w:r>
    </w:p>
    <w:p>
      <w:pPr>
        <w:spacing w:after="0" w:line="200" w:lineRule="exact"/>
        <w:rPr>
          <w:sz w:val="20"/>
          <w:szCs w:val="20"/>
          <w:color w:val="auto"/>
        </w:r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25</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802" w:right="299" w:bottom="1440" w:gutter="0" w:footer="0" w:header="0"/>
        </w:sectPr>
      </w:pPr>
    </w:p>
    <w:bookmarkStart w:id="28" w:name="page29"/>
    <w:bookmarkEnd w:id="28"/>
    <w:p>
      <w:pPr>
        <w:ind w:left="8"/>
        <w:spacing w:after="0"/>
        <w:rPr>
          <w:sz w:val="20"/>
          <w:szCs w:val="20"/>
          <w:color w:val="auto"/>
        </w:rPr>
      </w:pPr>
      <w:r>
        <w:rPr>
          <w:rFonts w:ascii="Arial" w:cs="Arial" w:eastAsia="Arial" w:hAnsi="Arial"/>
          <w:sz w:val="22"/>
          <w:szCs w:val="22"/>
          <w:color w:val="auto"/>
        </w:rPr>
        <w:t>SUMMARY OF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2915" cy="22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291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66610" cy="22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6610" cy="22860"/>
                    </a:xfrm>
                    <a:prstGeom prst="rect">
                      <a:avLst/>
                    </a:prstGeom>
                    <a:noFill/>
                  </pic:spPr>
                </pic:pic>
              </a:graphicData>
            </a:graphic>
          </wp:anchor>
        </w:drawing>
      </w:r>
    </w:p>
    <w:p>
      <w:pPr>
        <w:spacing w:after="0" w:line="240"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7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w w:val="89"/>
              </w:rPr>
              <w:t>$ million, except where indicated</w:t>
            </w:r>
          </w:p>
        </w:tc>
      </w:tr>
      <w:tr>
        <w:trPr>
          <w:trHeight w:val="130"/>
        </w:trPr>
        <w:tc>
          <w:tcPr>
            <w:tcW w:w="7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2019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9"/>
        </w:trPr>
        <w:tc>
          <w:tcPr>
            <w:tcW w:w="7120" w:type="dxa"/>
            <w:vAlign w:val="bottom"/>
          </w:tcPr>
          <w:p>
            <w:pPr>
              <w:spacing w:after="0"/>
              <w:rPr>
                <w:sz w:val="20"/>
                <w:szCs w:val="20"/>
                <w:color w:val="auto"/>
              </w:rPr>
            </w:pPr>
            <w:r>
              <w:rPr>
                <w:rFonts w:ascii="Arial" w:cs="Arial" w:eastAsia="Arial" w:hAnsi="Arial"/>
                <w:sz w:val="10"/>
                <w:szCs w:val="10"/>
                <w:color w:val="auto"/>
              </w:rPr>
              <w:t>(Loss)/income for the period</w:t>
            </w:r>
          </w:p>
        </w:tc>
        <w:tc>
          <w:tcPr>
            <w:tcW w:w="1380" w:type="dxa"/>
            <w:vAlign w:val="bottom"/>
            <w:shd w:val="clear" w:color="auto" w:fill="D9D9D9"/>
          </w:tcPr>
          <w:p>
            <w:pPr>
              <w:jc w:val="right"/>
              <w:ind w:right="52"/>
              <w:spacing w:after="0"/>
              <w:rPr>
                <w:sz w:val="20"/>
                <w:szCs w:val="20"/>
                <w:color w:val="auto"/>
              </w:rPr>
            </w:pPr>
            <w:r>
              <w:rPr>
                <w:rFonts w:ascii="Arial" w:cs="Arial" w:eastAsia="Arial" w:hAnsi="Arial"/>
                <w:sz w:val="10"/>
                <w:szCs w:val="10"/>
                <w:color w:val="auto"/>
              </w:rPr>
              <w:t>(21,534)</w:t>
            </w:r>
          </w:p>
        </w:tc>
        <w:tc>
          <w:tcPr>
            <w:tcW w:w="1440" w:type="dxa"/>
            <w:vAlign w:val="bottom"/>
          </w:tcPr>
          <w:p>
            <w:pPr>
              <w:jc w:val="right"/>
              <w:ind w:right="132"/>
              <w:spacing w:after="0"/>
              <w:rPr>
                <w:sz w:val="20"/>
                <w:szCs w:val="20"/>
                <w:color w:val="auto"/>
              </w:rPr>
            </w:pPr>
            <w:r>
              <w:rPr>
                <w:rFonts w:ascii="Arial" w:cs="Arial" w:eastAsia="Arial" w:hAnsi="Arial"/>
                <w:sz w:val="10"/>
                <w:szCs w:val="10"/>
                <w:color w:val="auto"/>
              </w:rPr>
              <w:t>16,432</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23,906</w:t>
            </w:r>
          </w:p>
        </w:tc>
      </w:tr>
      <w:tr>
        <w:trPr>
          <w:trHeight w:val="124"/>
        </w:trPr>
        <w:tc>
          <w:tcPr>
            <w:tcW w:w="71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Current cost of supplies adjustment</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1,833</w:t>
            </w:r>
          </w:p>
        </w:tc>
        <w:tc>
          <w:tcPr>
            <w:tcW w:w="14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(605)</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458</w:t>
            </w:r>
          </w:p>
        </w:tc>
      </w:tr>
      <w:tr>
        <w:trPr>
          <w:trHeight w:val="113"/>
        </w:trPr>
        <w:tc>
          <w:tcPr>
            <w:tcW w:w="7120" w:type="dxa"/>
            <w:vAlign w:val="bottom"/>
          </w:tcPr>
          <w:p>
            <w:pPr>
              <w:spacing w:after="0" w:line="113" w:lineRule="exact"/>
              <w:rPr>
                <w:sz w:val="20"/>
                <w:szCs w:val="20"/>
                <w:color w:val="auto"/>
              </w:rPr>
            </w:pPr>
            <w:r>
              <w:rPr>
                <w:rFonts w:ascii="Arial" w:cs="Arial" w:eastAsia="Arial" w:hAnsi="Arial"/>
                <w:sz w:val="10"/>
                <w:szCs w:val="10"/>
                <w:color w:val="auto"/>
              </w:rPr>
              <w:t>Total segment earnings [A][B], of which:</w:t>
            </w:r>
          </w:p>
        </w:tc>
        <w:tc>
          <w:tcPr>
            <w:tcW w:w="1380" w:type="dxa"/>
            <w:vAlign w:val="bottom"/>
          </w:tcPr>
          <w:p>
            <w:pPr>
              <w:jc w:val="right"/>
              <w:ind w:right="52"/>
              <w:spacing w:after="0" w:line="113" w:lineRule="exact"/>
              <w:rPr>
                <w:sz w:val="20"/>
                <w:szCs w:val="20"/>
                <w:color w:val="auto"/>
              </w:rPr>
            </w:pPr>
            <w:r>
              <w:rPr>
                <w:rFonts w:ascii="Arial" w:cs="Arial" w:eastAsia="Arial" w:hAnsi="Arial"/>
                <w:sz w:val="10"/>
                <w:szCs w:val="10"/>
                <w:color w:val="auto"/>
              </w:rPr>
              <w:t>(19,701)</w:t>
            </w:r>
          </w:p>
        </w:tc>
        <w:tc>
          <w:tcPr>
            <w:tcW w:w="1440" w:type="dxa"/>
            <w:vAlign w:val="bottom"/>
          </w:tcPr>
          <w:p>
            <w:pPr>
              <w:jc w:val="right"/>
              <w:ind w:right="132"/>
              <w:spacing w:after="0" w:line="113" w:lineRule="exact"/>
              <w:rPr>
                <w:sz w:val="20"/>
                <w:szCs w:val="20"/>
                <w:color w:val="auto"/>
              </w:rPr>
            </w:pPr>
            <w:r>
              <w:rPr>
                <w:rFonts w:ascii="Arial" w:cs="Arial" w:eastAsia="Arial" w:hAnsi="Arial"/>
                <w:sz w:val="10"/>
                <w:szCs w:val="10"/>
                <w:color w:val="auto"/>
              </w:rPr>
              <w:t>15,827</w:t>
            </w:r>
          </w:p>
        </w:tc>
        <w:tc>
          <w:tcPr>
            <w:tcW w:w="1340" w:type="dxa"/>
            <w:vAlign w:val="bottom"/>
          </w:tcPr>
          <w:p>
            <w:pPr>
              <w:jc w:val="right"/>
              <w:ind w:right="72"/>
              <w:spacing w:after="0" w:line="113" w:lineRule="exact"/>
              <w:rPr>
                <w:sz w:val="20"/>
                <w:szCs w:val="20"/>
                <w:color w:val="auto"/>
              </w:rPr>
            </w:pPr>
            <w:r>
              <w:rPr>
                <w:rFonts w:ascii="Arial" w:cs="Arial" w:eastAsia="Arial" w:hAnsi="Arial"/>
                <w:sz w:val="10"/>
                <w:szCs w:val="10"/>
                <w:color w:val="auto"/>
              </w:rPr>
              <w:t>24,364</w:t>
            </w:r>
          </w:p>
        </w:tc>
      </w:tr>
      <w:tr>
        <w:trPr>
          <w:trHeight w:val="123"/>
        </w:trPr>
        <w:tc>
          <w:tcPr>
            <w:tcW w:w="7120" w:type="dxa"/>
            <w:vAlign w:val="bottom"/>
          </w:tcPr>
          <w:p>
            <w:pPr>
              <w:ind w:left="140"/>
              <w:spacing w:after="0"/>
              <w:rPr>
                <w:sz w:val="20"/>
                <w:szCs w:val="20"/>
                <w:color w:val="auto"/>
              </w:rPr>
            </w:pPr>
            <w:r>
              <w:rPr>
                <w:rFonts w:ascii="Arial" w:cs="Arial" w:eastAsia="Arial" w:hAnsi="Arial"/>
                <w:sz w:val="10"/>
                <w:szCs w:val="10"/>
                <w:color w:val="auto"/>
              </w:rPr>
              <w:t>Integrated Gas</w:t>
            </w:r>
          </w:p>
        </w:tc>
        <w:tc>
          <w:tcPr>
            <w:tcW w:w="1380" w:type="dxa"/>
            <w:vAlign w:val="bottom"/>
          </w:tcPr>
          <w:p>
            <w:pPr>
              <w:jc w:val="right"/>
              <w:ind w:right="52"/>
              <w:spacing w:after="0"/>
              <w:rPr>
                <w:sz w:val="20"/>
                <w:szCs w:val="20"/>
                <w:color w:val="auto"/>
              </w:rPr>
            </w:pPr>
            <w:r>
              <w:rPr>
                <w:rFonts w:ascii="Arial" w:cs="Arial" w:eastAsia="Arial" w:hAnsi="Arial"/>
                <w:sz w:val="10"/>
                <w:szCs w:val="10"/>
                <w:color w:val="auto"/>
              </w:rPr>
              <w:t>(6,278)</w:t>
            </w:r>
          </w:p>
        </w:tc>
        <w:tc>
          <w:tcPr>
            <w:tcW w:w="1440" w:type="dxa"/>
            <w:vAlign w:val="bottom"/>
          </w:tcPr>
          <w:p>
            <w:pPr>
              <w:jc w:val="right"/>
              <w:ind w:right="132"/>
              <w:spacing w:after="0"/>
              <w:rPr>
                <w:sz w:val="20"/>
                <w:szCs w:val="20"/>
                <w:color w:val="auto"/>
              </w:rPr>
            </w:pPr>
            <w:r>
              <w:rPr>
                <w:rFonts w:ascii="Arial" w:cs="Arial" w:eastAsia="Arial" w:hAnsi="Arial"/>
                <w:sz w:val="10"/>
                <w:szCs w:val="10"/>
                <w:color w:val="auto"/>
              </w:rPr>
              <w:t>8,628</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11,444</w:t>
            </w:r>
          </w:p>
        </w:tc>
      </w:tr>
      <w:tr>
        <w:trPr>
          <w:trHeight w:val="126"/>
        </w:trPr>
        <w:tc>
          <w:tcPr>
            <w:tcW w:w="7120" w:type="dxa"/>
            <w:vAlign w:val="bottom"/>
          </w:tcPr>
          <w:p>
            <w:pPr>
              <w:ind w:left="140"/>
              <w:spacing w:after="0"/>
              <w:rPr>
                <w:sz w:val="20"/>
                <w:szCs w:val="20"/>
                <w:color w:val="auto"/>
              </w:rPr>
            </w:pPr>
            <w:r>
              <w:rPr>
                <w:rFonts w:ascii="Arial" w:cs="Arial" w:eastAsia="Arial" w:hAnsi="Arial"/>
                <w:sz w:val="10"/>
                <w:szCs w:val="10"/>
                <w:color w:val="auto"/>
              </w:rPr>
              <w:t>Upstream</w:t>
            </w:r>
          </w:p>
        </w:tc>
        <w:tc>
          <w:tcPr>
            <w:tcW w:w="1380" w:type="dxa"/>
            <w:vAlign w:val="bottom"/>
          </w:tcPr>
          <w:p>
            <w:pPr>
              <w:jc w:val="right"/>
              <w:ind w:right="52"/>
              <w:spacing w:after="0"/>
              <w:rPr>
                <w:sz w:val="20"/>
                <w:szCs w:val="20"/>
                <w:color w:val="auto"/>
              </w:rPr>
            </w:pPr>
            <w:r>
              <w:rPr>
                <w:rFonts w:ascii="Arial" w:cs="Arial" w:eastAsia="Arial" w:hAnsi="Arial"/>
                <w:sz w:val="10"/>
                <w:szCs w:val="10"/>
                <w:color w:val="auto"/>
              </w:rPr>
              <w:t>(10,785)</w:t>
            </w:r>
          </w:p>
        </w:tc>
        <w:tc>
          <w:tcPr>
            <w:tcW w:w="1440" w:type="dxa"/>
            <w:vAlign w:val="bottom"/>
          </w:tcPr>
          <w:p>
            <w:pPr>
              <w:jc w:val="right"/>
              <w:ind w:right="132"/>
              <w:spacing w:after="0"/>
              <w:rPr>
                <w:sz w:val="20"/>
                <w:szCs w:val="20"/>
                <w:color w:val="auto"/>
              </w:rPr>
            </w:pPr>
            <w:r>
              <w:rPr>
                <w:rFonts w:ascii="Arial" w:cs="Arial" w:eastAsia="Arial" w:hAnsi="Arial"/>
                <w:sz w:val="10"/>
                <w:szCs w:val="10"/>
                <w:color w:val="auto"/>
              </w:rPr>
              <w:t>3,855</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6,490</w:t>
            </w:r>
          </w:p>
        </w:tc>
      </w:tr>
      <w:tr>
        <w:trPr>
          <w:trHeight w:val="126"/>
        </w:trPr>
        <w:tc>
          <w:tcPr>
            <w:tcW w:w="7120" w:type="dxa"/>
            <w:vAlign w:val="bottom"/>
          </w:tcPr>
          <w:p>
            <w:pPr>
              <w:ind w:left="140"/>
              <w:spacing w:after="0"/>
              <w:rPr>
                <w:sz w:val="20"/>
                <w:szCs w:val="20"/>
                <w:color w:val="auto"/>
              </w:rPr>
            </w:pPr>
            <w:r>
              <w:rPr>
                <w:rFonts w:ascii="Arial" w:cs="Arial" w:eastAsia="Arial" w:hAnsi="Arial"/>
                <w:sz w:val="10"/>
                <w:szCs w:val="10"/>
                <w:color w:val="auto"/>
              </w:rPr>
              <w:t>Oil Products</w:t>
            </w:r>
          </w:p>
        </w:tc>
        <w:tc>
          <w:tcPr>
            <w:tcW w:w="1380" w:type="dxa"/>
            <w:vAlign w:val="bottom"/>
          </w:tcPr>
          <w:p>
            <w:pPr>
              <w:jc w:val="right"/>
              <w:ind w:right="52"/>
              <w:spacing w:after="0"/>
              <w:rPr>
                <w:sz w:val="20"/>
                <w:szCs w:val="20"/>
                <w:color w:val="auto"/>
              </w:rPr>
            </w:pPr>
            <w:r>
              <w:rPr>
                <w:rFonts w:ascii="Arial" w:cs="Arial" w:eastAsia="Arial" w:hAnsi="Arial"/>
                <w:sz w:val="10"/>
                <w:szCs w:val="10"/>
                <w:color w:val="auto"/>
              </w:rPr>
              <w:t>(494)</w:t>
            </w:r>
          </w:p>
        </w:tc>
        <w:tc>
          <w:tcPr>
            <w:tcW w:w="1440" w:type="dxa"/>
            <w:vAlign w:val="bottom"/>
          </w:tcPr>
          <w:p>
            <w:pPr>
              <w:jc w:val="right"/>
              <w:ind w:right="132"/>
              <w:spacing w:after="0"/>
              <w:rPr>
                <w:sz w:val="20"/>
                <w:szCs w:val="20"/>
                <w:color w:val="auto"/>
              </w:rPr>
            </w:pPr>
            <w:r>
              <w:rPr>
                <w:rFonts w:ascii="Arial" w:cs="Arial" w:eastAsia="Arial" w:hAnsi="Arial"/>
                <w:sz w:val="10"/>
                <w:szCs w:val="10"/>
                <w:color w:val="auto"/>
              </w:rPr>
              <w:t>6,139</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6,025</w:t>
            </w:r>
          </w:p>
        </w:tc>
      </w:tr>
      <w:tr>
        <w:trPr>
          <w:trHeight w:val="126"/>
        </w:trPr>
        <w:tc>
          <w:tcPr>
            <w:tcW w:w="7120" w:type="dxa"/>
            <w:vAlign w:val="bottom"/>
          </w:tcPr>
          <w:p>
            <w:pPr>
              <w:ind w:left="140"/>
              <w:spacing w:after="0"/>
              <w:rPr>
                <w:sz w:val="20"/>
                <w:szCs w:val="20"/>
                <w:color w:val="auto"/>
              </w:rPr>
            </w:pPr>
            <w:r>
              <w:rPr>
                <w:rFonts w:ascii="Arial" w:cs="Arial" w:eastAsia="Arial" w:hAnsi="Arial"/>
                <w:sz w:val="10"/>
                <w:szCs w:val="10"/>
                <w:color w:val="auto"/>
              </w:rPr>
              <w:t>Chemicals</w:t>
            </w: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808</w:t>
            </w:r>
          </w:p>
        </w:tc>
        <w:tc>
          <w:tcPr>
            <w:tcW w:w="1440" w:type="dxa"/>
            <w:vAlign w:val="bottom"/>
          </w:tcPr>
          <w:p>
            <w:pPr>
              <w:jc w:val="right"/>
              <w:ind w:right="132"/>
              <w:spacing w:after="0"/>
              <w:rPr>
                <w:sz w:val="20"/>
                <w:szCs w:val="20"/>
                <w:color w:val="auto"/>
              </w:rPr>
            </w:pPr>
            <w:r>
              <w:rPr>
                <w:rFonts w:ascii="Arial" w:cs="Arial" w:eastAsia="Arial" w:hAnsi="Arial"/>
                <w:sz w:val="10"/>
                <w:szCs w:val="10"/>
                <w:color w:val="auto"/>
              </w:rPr>
              <w:t>478</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1,884</w:t>
            </w:r>
          </w:p>
        </w:tc>
      </w:tr>
      <w:tr>
        <w:trPr>
          <w:trHeight w:val="130"/>
        </w:trPr>
        <w:tc>
          <w:tcPr>
            <w:tcW w:w="712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Corporate</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(2,952)</w:t>
            </w:r>
          </w:p>
        </w:tc>
        <w:tc>
          <w:tcPr>
            <w:tcW w:w="14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(3,273)</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(1,479)</w:t>
            </w:r>
          </w:p>
        </w:tc>
      </w:tr>
      <w:tr>
        <w:trPr>
          <w:trHeight w:val="114"/>
        </w:trPr>
        <w:tc>
          <w:tcPr>
            <w:tcW w:w="7120" w:type="dxa"/>
            <w:vAlign w:val="bottom"/>
          </w:tcPr>
          <w:p>
            <w:pPr>
              <w:spacing w:after="0"/>
              <w:rPr>
                <w:sz w:val="20"/>
                <w:szCs w:val="20"/>
                <w:color w:val="auto"/>
              </w:rPr>
            </w:pPr>
            <w:r>
              <w:rPr>
                <w:rFonts w:ascii="Arial" w:cs="Arial" w:eastAsia="Arial" w:hAnsi="Arial"/>
                <w:sz w:val="10"/>
                <w:szCs w:val="10"/>
                <w:color w:val="auto"/>
              </w:rPr>
              <w:t>Identified Items [B]</w:t>
            </w:r>
          </w:p>
        </w:tc>
        <w:tc>
          <w:tcPr>
            <w:tcW w:w="1380" w:type="dxa"/>
            <w:vAlign w:val="bottom"/>
          </w:tcPr>
          <w:p>
            <w:pPr>
              <w:jc w:val="right"/>
              <w:ind w:right="52"/>
              <w:spacing w:after="0"/>
              <w:rPr>
                <w:sz w:val="20"/>
                <w:szCs w:val="20"/>
                <w:color w:val="auto"/>
              </w:rPr>
            </w:pPr>
            <w:r>
              <w:rPr>
                <w:rFonts w:ascii="Arial" w:cs="Arial" w:eastAsia="Arial" w:hAnsi="Arial"/>
                <w:sz w:val="10"/>
                <w:szCs w:val="10"/>
                <w:color w:val="auto"/>
              </w:rPr>
              <w:t>(24,767)</w:t>
            </w:r>
          </w:p>
        </w:tc>
        <w:tc>
          <w:tcPr>
            <w:tcW w:w="1440" w:type="dxa"/>
            <w:vAlign w:val="bottom"/>
          </w:tcPr>
          <w:p>
            <w:pPr>
              <w:jc w:val="right"/>
              <w:ind w:right="92"/>
              <w:spacing w:after="0"/>
              <w:rPr>
                <w:sz w:val="20"/>
                <w:szCs w:val="20"/>
                <w:color w:val="auto"/>
              </w:rPr>
            </w:pPr>
            <w:r>
              <w:rPr>
                <w:rFonts w:ascii="Arial" w:cs="Arial" w:eastAsia="Arial" w:hAnsi="Arial"/>
                <w:sz w:val="10"/>
                <w:szCs w:val="10"/>
                <w:color w:val="auto"/>
              </w:rPr>
              <w:t>(1,192)</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2,429</w:t>
            </w:r>
          </w:p>
        </w:tc>
      </w:tr>
      <w:tr>
        <w:trPr>
          <w:trHeight w:val="123"/>
        </w:trPr>
        <w:tc>
          <w:tcPr>
            <w:tcW w:w="7120" w:type="dxa"/>
            <w:vAlign w:val="bottom"/>
          </w:tcPr>
          <w:p>
            <w:pPr>
              <w:spacing w:after="0"/>
              <w:rPr>
                <w:sz w:val="20"/>
                <w:szCs w:val="20"/>
                <w:color w:val="auto"/>
              </w:rPr>
            </w:pPr>
            <w:r>
              <w:rPr>
                <w:rFonts w:ascii="Arial" w:cs="Arial" w:eastAsia="Arial" w:hAnsi="Arial"/>
                <w:sz w:val="10"/>
                <w:szCs w:val="10"/>
                <w:color w:val="auto"/>
              </w:rPr>
              <w:t>Adjusted Earnings [B]</w:t>
            </w: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4,846</w:t>
            </w:r>
          </w:p>
        </w:tc>
        <w:tc>
          <w:tcPr>
            <w:tcW w:w="1440" w:type="dxa"/>
            <w:vAlign w:val="bottom"/>
          </w:tcPr>
          <w:p>
            <w:pPr>
              <w:jc w:val="right"/>
              <w:ind w:right="132"/>
              <w:spacing w:after="0"/>
              <w:rPr>
                <w:sz w:val="20"/>
                <w:szCs w:val="20"/>
                <w:color w:val="auto"/>
              </w:rPr>
            </w:pPr>
            <w:r>
              <w:rPr>
                <w:rFonts w:ascii="Arial" w:cs="Arial" w:eastAsia="Arial" w:hAnsi="Arial"/>
                <w:sz w:val="10"/>
                <w:szCs w:val="10"/>
                <w:color w:val="auto"/>
              </w:rPr>
              <w:t>16,462</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21,404</w:t>
            </w:r>
          </w:p>
        </w:tc>
      </w:tr>
      <w:tr>
        <w:trPr>
          <w:trHeight w:val="126"/>
        </w:trPr>
        <w:tc>
          <w:tcPr>
            <w:tcW w:w="7120" w:type="dxa"/>
            <w:vAlign w:val="bottom"/>
          </w:tcPr>
          <w:p>
            <w:pPr>
              <w:spacing w:after="0"/>
              <w:rPr>
                <w:sz w:val="20"/>
                <w:szCs w:val="20"/>
                <w:color w:val="auto"/>
              </w:rPr>
            </w:pPr>
            <w:r>
              <w:rPr>
                <w:rFonts w:ascii="Arial" w:cs="Arial" w:eastAsia="Arial" w:hAnsi="Arial"/>
                <w:sz w:val="10"/>
                <w:szCs w:val="10"/>
                <w:color w:val="auto"/>
              </w:rPr>
              <w:t>Capital expenditure</w:t>
            </w: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16,585</w:t>
            </w:r>
          </w:p>
        </w:tc>
        <w:tc>
          <w:tcPr>
            <w:tcW w:w="1440" w:type="dxa"/>
            <w:vAlign w:val="bottom"/>
          </w:tcPr>
          <w:p>
            <w:pPr>
              <w:jc w:val="right"/>
              <w:ind w:right="132"/>
              <w:spacing w:after="0"/>
              <w:rPr>
                <w:sz w:val="20"/>
                <w:szCs w:val="20"/>
                <w:color w:val="auto"/>
              </w:rPr>
            </w:pPr>
            <w:r>
              <w:rPr>
                <w:rFonts w:ascii="Arial" w:cs="Arial" w:eastAsia="Arial" w:hAnsi="Arial"/>
                <w:sz w:val="10"/>
                <w:szCs w:val="10"/>
                <w:color w:val="auto"/>
              </w:rPr>
              <w:t>22,971</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23,011</w:t>
            </w:r>
          </w:p>
        </w:tc>
      </w:tr>
      <w:tr>
        <w:trPr>
          <w:trHeight w:val="126"/>
        </w:trPr>
        <w:tc>
          <w:tcPr>
            <w:tcW w:w="7120" w:type="dxa"/>
            <w:vAlign w:val="bottom"/>
          </w:tcPr>
          <w:p>
            <w:pPr>
              <w:spacing w:after="0"/>
              <w:rPr>
                <w:sz w:val="20"/>
                <w:szCs w:val="20"/>
                <w:color w:val="auto"/>
              </w:rPr>
            </w:pPr>
            <w:r>
              <w:rPr>
                <w:rFonts w:ascii="Arial" w:cs="Arial" w:eastAsia="Arial" w:hAnsi="Arial"/>
                <w:sz w:val="10"/>
                <w:szCs w:val="10"/>
                <w:color w:val="auto"/>
              </w:rPr>
              <w:t>Cash capital expenditure [B]</w:t>
            </w: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17,827</w:t>
            </w:r>
          </w:p>
        </w:tc>
        <w:tc>
          <w:tcPr>
            <w:tcW w:w="1440" w:type="dxa"/>
            <w:vAlign w:val="bottom"/>
          </w:tcPr>
          <w:p>
            <w:pPr>
              <w:jc w:val="right"/>
              <w:ind w:right="132"/>
              <w:spacing w:after="0"/>
              <w:rPr>
                <w:sz w:val="20"/>
                <w:szCs w:val="20"/>
                <w:color w:val="auto"/>
              </w:rPr>
            </w:pPr>
            <w:r>
              <w:rPr>
                <w:rFonts w:ascii="Arial" w:cs="Arial" w:eastAsia="Arial" w:hAnsi="Arial"/>
                <w:sz w:val="10"/>
                <w:szCs w:val="10"/>
                <w:color w:val="auto"/>
              </w:rPr>
              <w:t>23,919</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24,078</w:t>
            </w:r>
          </w:p>
        </w:tc>
      </w:tr>
      <w:tr>
        <w:trPr>
          <w:trHeight w:val="130"/>
        </w:trPr>
        <w:tc>
          <w:tcPr>
            <w:tcW w:w="71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Operating expenses [B]</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34,789</w:t>
            </w:r>
          </w:p>
        </w:tc>
        <w:tc>
          <w:tcPr>
            <w:tcW w:w="14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37,893</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39,316</w:t>
            </w:r>
          </w:p>
        </w:tc>
      </w:tr>
      <w:tr>
        <w:trPr>
          <w:trHeight w:val="114"/>
        </w:trPr>
        <w:tc>
          <w:tcPr>
            <w:tcW w:w="7120" w:type="dxa"/>
            <w:vAlign w:val="bottom"/>
          </w:tcPr>
          <w:p>
            <w:pPr>
              <w:spacing w:after="0"/>
              <w:rPr>
                <w:sz w:val="20"/>
                <w:szCs w:val="20"/>
                <w:color w:val="auto"/>
              </w:rPr>
            </w:pPr>
            <w:r>
              <w:rPr>
                <w:rFonts w:ascii="Arial" w:cs="Arial" w:eastAsia="Arial" w:hAnsi="Arial"/>
                <w:sz w:val="10"/>
                <w:szCs w:val="10"/>
                <w:color w:val="auto"/>
              </w:rPr>
              <w:t>Return on average capital employed [B]</w:t>
            </w:r>
          </w:p>
        </w:tc>
        <w:tc>
          <w:tcPr>
            <w:tcW w:w="1380" w:type="dxa"/>
            <w:vAlign w:val="bottom"/>
          </w:tcPr>
          <w:p>
            <w:pPr>
              <w:jc w:val="right"/>
              <w:spacing w:after="0"/>
              <w:rPr>
                <w:sz w:val="20"/>
                <w:szCs w:val="20"/>
                <w:color w:val="auto"/>
              </w:rPr>
            </w:pPr>
            <w:r>
              <w:rPr>
                <w:rFonts w:ascii="Arial" w:cs="Arial" w:eastAsia="Arial" w:hAnsi="Arial"/>
                <w:sz w:val="10"/>
                <w:szCs w:val="10"/>
                <w:color w:val="auto"/>
              </w:rPr>
              <w:t>(6.8)%</w:t>
            </w:r>
          </w:p>
        </w:tc>
        <w:tc>
          <w:tcPr>
            <w:tcW w:w="1440" w:type="dxa"/>
            <w:vAlign w:val="bottom"/>
          </w:tcPr>
          <w:p>
            <w:pPr>
              <w:jc w:val="right"/>
              <w:ind w:right="12"/>
              <w:spacing w:after="0"/>
              <w:rPr>
                <w:sz w:val="20"/>
                <w:szCs w:val="20"/>
                <w:color w:val="auto"/>
              </w:rPr>
            </w:pPr>
            <w:r>
              <w:rPr>
                <w:rFonts w:ascii="Arial" w:cs="Arial" w:eastAsia="Arial" w:hAnsi="Arial"/>
                <w:sz w:val="10"/>
                <w:szCs w:val="10"/>
                <w:color w:val="auto"/>
              </w:rPr>
              <w:t>6.7 %</w:t>
            </w:r>
          </w:p>
        </w:tc>
        <w:tc>
          <w:tcPr>
            <w:tcW w:w="1340" w:type="dxa"/>
            <w:vAlign w:val="bottom"/>
          </w:tcPr>
          <w:p>
            <w:pPr>
              <w:jc w:val="right"/>
              <w:spacing w:after="0"/>
              <w:rPr>
                <w:sz w:val="20"/>
                <w:szCs w:val="20"/>
                <w:color w:val="auto"/>
              </w:rPr>
            </w:pPr>
            <w:r>
              <w:rPr>
                <w:rFonts w:ascii="Arial" w:cs="Arial" w:eastAsia="Arial" w:hAnsi="Arial"/>
                <w:sz w:val="10"/>
                <w:szCs w:val="10"/>
                <w:color w:val="auto"/>
              </w:rPr>
              <w:t>9.4 %</w:t>
            </w:r>
          </w:p>
        </w:tc>
      </w:tr>
      <w:tr>
        <w:trPr>
          <w:trHeight w:val="123"/>
        </w:trPr>
        <w:tc>
          <w:tcPr>
            <w:tcW w:w="7120" w:type="dxa"/>
            <w:vAlign w:val="bottom"/>
          </w:tcPr>
          <w:p>
            <w:pPr>
              <w:spacing w:after="0"/>
              <w:rPr>
                <w:sz w:val="20"/>
                <w:szCs w:val="20"/>
                <w:color w:val="auto"/>
              </w:rPr>
            </w:pPr>
            <w:r>
              <w:rPr>
                <w:rFonts w:ascii="Arial" w:cs="Arial" w:eastAsia="Arial" w:hAnsi="Arial"/>
                <w:sz w:val="10"/>
                <w:szCs w:val="10"/>
                <w:color w:val="auto"/>
              </w:rPr>
              <w:t>Net Debt at December 31 [B]</w:t>
            </w: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75,386</w:t>
            </w:r>
          </w:p>
        </w:tc>
        <w:tc>
          <w:tcPr>
            <w:tcW w:w="1440" w:type="dxa"/>
            <w:vAlign w:val="bottom"/>
          </w:tcPr>
          <w:p>
            <w:pPr>
              <w:jc w:val="right"/>
              <w:ind w:right="132"/>
              <w:spacing w:after="0"/>
              <w:rPr>
                <w:sz w:val="20"/>
                <w:szCs w:val="20"/>
                <w:color w:val="auto"/>
              </w:rPr>
            </w:pPr>
            <w:r>
              <w:rPr>
                <w:rFonts w:ascii="Arial" w:cs="Arial" w:eastAsia="Arial" w:hAnsi="Arial"/>
                <w:sz w:val="10"/>
                <w:szCs w:val="10"/>
                <w:color w:val="auto"/>
              </w:rPr>
              <w:t>79,093</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51,428</w:t>
            </w:r>
          </w:p>
        </w:tc>
      </w:tr>
      <w:tr>
        <w:trPr>
          <w:trHeight w:val="130"/>
        </w:trPr>
        <w:tc>
          <w:tcPr>
            <w:tcW w:w="71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Gearing at December 31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32.2 %</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29.3 %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20.3 %</w:t>
            </w:r>
          </w:p>
        </w:tc>
      </w:tr>
      <w:tr>
        <w:trPr>
          <w:trHeight w:val="114"/>
        </w:trPr>
        <w:tc>
          <w:tcPr>
            <w:tcW w:w="7120" w:type="dxa"/>
            <w:vAlign w:val="bottom"/>
          </w:tcPr>
          <w:p>
            <w:pPr>
              <w:spacing w:after="0"/>
              <w:rPr>
                <w:sz w:val="20"/>
                <w:szCs w:val="20"/>
                <w:color w:val="auto"/>
              </w:rPr>
            </w:pPr>
            <w:r>
              <w:rPr>
                <w:rFonts w:ascii="Arial" w:cs="Arial" w:eastAsia="Arial" w:hAnsi="Arial"/>
                <w:sz w:val="10"/>
                <w:szCs w:val="10"/>
                <w:color w:val="auto"/>
              </w:rPr>
              <w:t>Oil and gas production (thousand boe/d)</w:t>
            </w: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3,386</w:t>
            </w:r>
          </w:p>
        </w:tc>
        <w:tc>
          <w:tcPr>
            <w:tcW w:w="1440" w:type="dxa"/>
            <w:vAlign w:val="bottom"/>
          </w:tcPr>
          <w:p>
            <w:pPr>
              <w:jc w:val="right"/>
              <w:ind w:right="132"/>
              <w:spacing w:after="0"/>
              <w:rPr>
                <w:sz w:val="20"/>
                <w:szCs w:val="20"/>
                <w:color w:val="auto"/>
              </w:rPr>
            </w:pPr>
            <w:r>
              <w:rPr>
                <w:rFonts w:ascii="Arial" w:cs="Arial" w:eastAsia="Arial" w:hAnsi="Arial"/>
                <w:sz w:val="10"/>
                <w:szCs w:val="10"/>
                <w:color w:val="auto"/>
              </w:rPr>
              <w:t>3,665</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3,666</w:t>
            </w:r>
          </w:p>
        </w:tc>
      </w:tr>
      <w:tr>
        <w:trPr>
          <w:trHeight w:val="127"/>
        </w:trPr>
        <w:tc>
          <w:tcPr>
            <w:tcW w:w="71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Proved oil and gas reserves at December 31 (million boe)</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9,124</w:t>
            </w:r>
          </w:p>
        </w:tc>
        <w:tc>
          <w:tcPr>
            <w:tcW w:w="14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11,096</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11,578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-1473835</wp:posOffset>
            </wp:positionV>
            <wp:extent cx="880110" cy="1468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0110" cy="1468755"/>
                    </a:xfrm>
                    <a:prstGeom prst="rect">
                      <a:avLst/>
                    </a:prstGeom>
                    <a:noFill/>
                  </pic:spPr>
                </pic:pic>
              </a:graphicData>
            </a:graphic>
          </wp:anchor>
        </w:drawing>
      </w:r>
    </w:p>
    <w:p>
      <w:pPr>
        <w:spacing w:after="0" w:line="36" w:lineRule="exact"/>
        <w:rPr>
          <w:sz w:val="20"/>
          <w:szCs w:val="20"/>
          <w:color w:val="auto"/>
        </w:rPr>
      </w:pPr>
    </w:p>
    <w:p>
      <w:pPr>
        <w:ind w:left="128" w:hanging="128"/>
        <w:spacing w:after="0"/>
        <w:tabs>
          <w:tab w:leader="none" w:pos="128" w:val="left"/>
        </w:tabs>
        <w:numPr>
          <w:ilvl w:val="0"/>
          <w:numId w:val="4"/>
        </w:numPr>
        <w:rPr>
          <w:rFonts w:ascii="Arial" w:cs="Arial" w:eastAsia="Arial" w:hAnsi="Arial"/>
          <w:sz w:val="7"/>
          <w:szCs w:val="7"/>
          <w:color w:val="auto"/>
        </w:rPr>
      </w:pPr>
      <w:r>
        <w:rPr>
          <w:rFonts w:ascii="Arial" w:cs="Arial" w:eastAsia="Arial" w:hAnsi="Arial"/>
          <w:sz w:val="7"/>
          <w:szCs w:val="7"/>
          <w:color w:val="auto"/>
        </w:rPr>
        <w:t>Segment earnings are presented on a current cost of supplies basis. See Note 4 to the “Consolidated Financial Statements” on pages 177-180.</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4"/>
        </w:numPr>
        <w:rPr>
          <w:rFonts w:ascii="Arial" w:cs="Arial" w:eastAsia="Arial" w:hAnsi="Arial"/>
          <w:sz w:val="7"/>
          <w:szCs w:val="7"/>
          <w:color w:val="auto"/>
        </w:rPr>
      </w:pPr>
      <w:r>
        <w:rPr>
          <w:rFonts w:ascii="Arial" w:cs="Arial" w:eastAsia="Arial" w:hAnsi="Arial"/>
          <w:sz w:val="7"/>
          <w:szCs w:val="7"/>
          <w:color w:val="auto"/>
        </w:rPr>
        <w:t>See “Non-GAAP measures reconciliations” on pages 240-242.</w:t>
      </w:r>
    </w:p>
    <w:p>
      <w:pPr>
        <w:sectPr>
          <w:pgSz w:w="11900" w:h="16838" w:orient="portrait"/>
          <w:cols w:equalWidth="0" w:num="1">
            <w:col w:w="11308"/>
          </w:cols>
          <w:pgMar w:left="292" w:top="721" w:right="299" w:bottom="1440" w:gutter="0" w:footer="0" w:header="0"/>
        </w:sectPr>
      </w:pPr>
    </w:p>
    <w:p>
      <w:pPr>
        <w:spacing w:after="0" w:line="158" w:lineRule="exact"/>
        <w:rPr>
          <w:sz w:val="20"/>
          <w:szCs w:val="20"/>
          <w:color w:val="auto"/>
        </w:rPr>
      </w:pPr>
    </w:p>
    <w:p>
      <w:pPr>
        <w:ind w:left="8"/>
        <w:spacing w:after="0"/>
        <w:rPr>
          <w:sz w:val="20"/>
          <w:szCs w:val="20"/>
          <w:color w:val="auto"/>
        </w:rPr>
      </w:pPr>
      <w:r>
        <w:rPr>
          <w:rFonts w:ascii="Arial" w:cs="Arial" w:eastAsia="Arial" w:hAnsi="Arial"/>
          <w:sz w:val="11"/>
          <w:szCs w:val="11"/>
          <w:color w:val="auto"/>
        </w:rPr>
        <w:t>EARNINGS 2020-2019</w:t>
      </w:r>
    </w:p>
    <w:p>
      <w:pPr>
        <w:ind w:left="8" w:right="220"/>
        <w:spacing w:after="0" w:line="337" w:lineRule="auto"/>
        <w:rPr>
          <w:sz w:val="20"/>
          <w:szCs w:val="20"/>
          <w:color w:val="auto"/>
        </w:rPr>
      </w:pPr>
      <w:r>
        <w:rPr>
          <w:rFonts w:ascii="Arial" w:cs="Arial" w:eastAsia="Arial" w:hAnsi="Arial"/>
          <w:sz w:val="8"/>
          <w:szCs w:val="8"/>
          <w:color w:val="auto"/>
        </w:rPr>
        <w:t>Income for the period was a loss of $21,534 million in 2020, compared with earnings of $16,432 million in 2019. After current cost of supplies adjustment, total segment earnings were a loss of $19,701 million in 2020, compared with earnings of $15,827 million in 2019.</w:t>
      </w:r>
    </w:p>
    <w:p>
      <w:pPr>
        <w:spacing w:after="0" w:line="112" w:lineRule="exact"/>
        <w:rPr>
          <w:sz w:val="20"/>
          <w:szCs w:val="20"/>
          <w:color w:val="auto"/>
        </w:rPr>
      </w:pPr>
    </w:p>
    <w:p>
      <w:pPr>
        <w:ind w:left="8" w:right="20"/>
        <w:spacing w:after="0" w:line="231" w:lineRule="auto"/>
        <w:rPr>
          <w:sz w:val="20"/>
          <w:szCs w:val="20"/>
          <w:color w:val="auto"/>
        </w:rPr>
      </w:pPr>
      <w:r>
        <w:rPr>
          <w:rFonts w:ascii="Arial" w:cs="Arial" w:eastAsia="Arial" w:hAnsi="Arial"/>
          <w:sz w:val="10"/>
          <w:szCs w:val="10"/>
          <w:color w:val="auto"/>
        </w:rPr>
        <w:t>Earnings on a current cost of supplies basis (CCS earnings) exclude the effect of changes in the oil price on inventory carrying amounts, after making allowance for the tax effect. The purchase price of volumes sold in the period is based on the current cost of supplies during the same period, rather than on the historic cost calculated on a first-in, first-out (FIFO) basis. Therefore, when oil prices are decreasing, CCS earnings are likely to be higher than earnings calculated on a FIFO basis and, when prices are increasing, CCS earnings are likely to be lower than earnings calculated on a FIFO basis.</w:t>
      </w:r>
    </w:p>
    <w:p>
      <w:pPr>
        <w:spacing w:after="0" w:line="149" w:lineRule="exact"/>
        <w:rPr>
          <w:sz w:val="20"/>
          <w:szCs w:val="20"/>
          <w:color w:val="auto"/>
        </w:rPr>
      </w:pPr>
    </w:p>
    <w:p>
      <w:pPr>
        <w:ind w:left="8"/>
        <w:spacing w:after="0" w:line="232" w:lineRule="auto"/>
        <w:rPr>
          <w:sz w:val="20"/>
          <w:szCs w:val="20"/>
          <w:color w:val="auto"/>
        </w:rPr>
      </w:pPr>
      <w:r>
        <w:rPr>
          <w:rFonts w:ascii="Arial" w:cs="Arial" w:eastAsia="Arial" w:hAnsi="Arial"/>
          <w:sz w:val="10"/>
          <w:szCs w:val="10"/>
          <w:color w:val="auto"/>
        </w:rPr>
        <w:t>Integrated Gas earnings in 2020 were a loss of $6,278 million, compared with earnings of $8,628 million in 2019. The decrease was mainly driven by higher impairments, lower realised oil, LNG and gas prices, higher charges related to fair value accounting of commodity derivatives and lower contributions from marketing and trading. These effects were partly offset by lower operating expenses. See “Integrated Gas” on pages 30-35.</w:t>
      </w:r>
    </w:p>
    <w:p>
      <w:pPr>
        <w:spacing w:after="0" w:line="149" w:lineRule="exact"/>
        <w:rPr>
          <w:sz w:val="20"/>
          <w:szCs w:val="20"/>
          <w:color w:val="auto"/>
        </w:rPr>
      </w:pPr>
    </w:p>
    <w:p>
      <w:pPr>
        <w:ind w:left="8" w:right="60"/>
        <w:spacing w:after="0" w:line="320" w:lineRule="auto"/>
        <w:rPr>
          <w:sz w:val="20"/>
          <w:szCs w:val="20"/>
          <w:color w:val="auto"/>
        </w:rPr>
      </w:pPr>
      <w:r>
        <w:rPr>
          <w:rFonts w:ascii="Arial" w:cs="Arial" w:eastAsia="Arial" w:hAnsi="Arial"/>
          <w:sz w:val="8"/>
          <w:szCs w:val="8"/>
          <w:color w:val="auto"/>
        </w:rPr>
        <w:t>Upstream earnings in 2020 were a loss of $10,785 million, compared with earnings of $3,855 million in 2019. The decrease was mainly driven by lower realised oil and gas prices, higher impairments, higher losses on sales of assets, lower production volumes and unfavourable deferred tax movements.This was partly offset by lower operating expenses and lower well write-offs. See “Upstream” on pages 36-42.</w:t>
      </w:r>
    </w:p>
    <w:p>
      <w:pPr>
        <w:spacing w:after="0" w:line="118" w:lineRule="exact"/>
        <w:rPr>
          <w:sz w:val="20"/>
          <w:szCs w:val="20"/>
          <w:color w:val="auto"/>
        </w:rPr>
      </w:pPr>
    </w:p>
    <w:p>
      <w:pPr>
        <w:ind w:left="8" w:right="80"/>
        <w:spacing w:after="0" w:line="320" w:lineRule="auto"/>
        <w:rPr>
          <w:sz w:val="20"/>
          <w:szCs w:val="20"/>
          <w:color w:val="auto"/>
        </w:rPr>
      </w:pPr>
      <w:r>
        <w:rPr>
          <w:rFonts w:ascii="Arial" w:cs="Arial" w:eastAsia="Arial" w:hAnsi="Arial"/>
          <w:sz w:val="8"/>
          <w:szCs w:val="8"/>
          <w:color w:val="auto"/>
        </w:rPr>
        <w:t>Oil Products earnings in 2020 were a loss of $494 million, compared with earnings of $6,139 million in 2019. The decrease was mainly driven by higher impairments, lower combined Refining and Trading margins as well as lower marketing margins. This was partly offset by lower operating expenses and other items mainly including taxation movements. See “Oil Products” on pages 51-56.</w:t>
      </w:r>
    </w:p>
    <w:p>
      <w:pPr>
        <w:spacing w:after="0" w:line="109" w:lineRule="exact"/>
        <w:rPr>
          <w:sz w:val="20"/>
          <w:szCs w:val="20"/>
          <w:color w:val="auto"/>
        </w:rPr>
      </w:pPr>
    </w:p>
    <w:p>
      <w:pPr>
        <w:ind w:left="8" w:right="260"/>
        <w:spacing w:after="0" w:line="209" w:lineRule="auto"/>
        <w:rPr>
          <w:sz w:val="20"/>
          <w:szCs w:val="20"/>
          <w:color w:val="auto"/>
        </w:rPr>
      </w:pPr>
      <w:r>
        <w:rPr>
          <w:rFonts w:ascii="Arial" w:cs="Arial" w:eastAsia="Arial" w:hAnsi="Arial"/>
          <w:sz w:val="10"/>
          <w:szCs w:val="10"/>
          <w:color w:val="auto"/>
        </w:rPr>
        <w:t>Chemicals earnings in 2020 were $808 million, compared with $478 million in 2019. The increase was mainly driven by lower tax and operating expenses and higher chemicals prices, which was partly offset by higher redundancy and restructuring charges and higher depreciation, depletion and amortisation. See "Chemicals" on pages 57-59.</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right="180"/>
        <w:spacing w:after="0" w:line="239" w:lineRule="auto"/>
        <w:rPr>
          <w:sz w:val="20"/>
          <w:szCs w:val="20"/>
          <w:color w:val="auto"/>
        </w:rPr>
      </w:pPr>
      <w:r>
        <w:rPr>
          <w:rFonts w:ascii="Arial" w:cs="Arial" w:eastAsia="Arial" w:hAnsi="Arial"/>
          <w:sz w:val="10"/>
          <w:szCs w:val="10"/>
          <w:color w:val="auto"/>
        </w:rPr>
        <w:t>Corporate segment in 2020 was an expense of $2,952 million, compared with $3,273 million in 2019. The lower expense was mainly driven by the favourable deferred tax movements. See “Corporate” on page 60.</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EARNINGS 2019-2018</w:t>
      </w:r>
    </w:p>
    <w:p>
      <w:pPr>
        <w:ind w:right="220"/>
        <w:spacing w:after="0" w:line="231" w:lineRule="auto"/>
        <w:rPr>
          <w:sz w:val="20"/>
          <w:szCs w:val="20"/>
          <w:color w:val="auto"/>
        </w:rPr>
      </w:pPr>
      <w:r>
        <w:rPr>
          <w:rFonts w:ascii="Arial" w:cs="Arial" w:eastAsia="Arial" w:hAnsi="Arial"/>
          <w:sz w:val="10"/>
          <w:szCs w:val="10"/>
          <w:color w:val="auto"/>
        </w:rPr>
        <w:t>Income for the period was $16,432 million in 2019, compared with $23,906 million in 2018. After current cost of supplies adjustment, total segment earnings were $15,827 million in 2019, compared with $24,364 million in 2018.</w:t>
      </w:r>
    </w:p>
    <w:p>
      <w:pPr>
        <w:spacing w:after="0" w:line="149" w:lineRule="exact"/>
        <w:rPr>
          <w:sz w:val="20"/>
          <w:szCs w:val="20"/>
          <w:color w:val="auto"/>
        </w:rPr>
      </w:pPr>
    </w:p>
    <w:p>
      <w:pPr>
        <w:ind w:right="180"/>
        <w:spacing w:after="0" w:line="307" w:lineRule="auto"/>
        <w:rPr>
          <w:sz w:val="20"/>
          <w:szCs w:val="20"/>
          <w:color w:val="auto"/>
        </w:rPr>
      </w:pPr>
      <w:r>
        <w:rPr>
          <w:rFonts w:ascii="Arial" w:cs="Arial" w:eastAsia="Arial" w:hAnsi="Arial"/>
          <w:sz w:val="8"/>
          <w:szCs w:val="8"/>
          <w:color w:val="auto"/>
        </w:rPr>
        <w:t>Integrated Gas earnings in 2019 were $8,628 million, compared with $11,444 million in 2018. The decrease was mainly driven by lower gains on sale of assets, lower realised oil, LNG and gas prices, higher impairments, higher operating expenses, negative movements in deferred tax positions and lower liquids production volumes. These effects were partly offset by stronger contributions from LNG marketing and trading, and gains related to the fair value accounting of commodity derivatives. See “Integrated Gas” on pages 30-35.</w:t>
      </w:r>
    </w:p>
    <w:p>
      <w:pPr>
        <w:spacing w:after="0" w:line="123" w:lineRule="exact"/>
        <w:rPr>
          <w:sz w:val="20"/>
          <w:szCs w:val="20"/>
          <w:color w:val="auto"/>
        </w:rPr>
      </w:pPr>
    </w:p>
    <w:p>
      <w:pPr>
        <w:ind w:right="260"/>
        <w:spacing w:after="0" w:line="234" w:lineRule="auto"/>
        <w:rPr>
          <w:sz w:val="20"/>
          <w:szCs w:val="20"/>
          <w:color w:val="auto"/>
        </w:rPr>
      </w:pPr>
      <w:r>
        <w:rPr>
          <w:rFonts w:ascii="Arial" w:cs="Arial" w:eastAsia="Arial" w:hAnsi="Arial"/>
          <w:sz w:val="10"/>
          <w:szCs w:val="10"/>
          <w:color w:val="auto"/>
        </w:rPr>
        <w:t>Upstream earnings in 2019 were $3,855 million, compared with $6,490 million in 2018. The decrease was mainly driven by higher impairments, lower realised oil and gas prices, higher depreciation and higher well write-offs. This was partly offset by increased gains on sale of assets and higher volumes. See “Upstream” on pages 36-42.</w:t>
      </w:r>
    </w:p>
    <w:p>
      <w:pPr>
        <w:spacing w:after="0" w:line="150" w:lineRule="exact"/>
        <w:rPr>
          <w:sz w:val="20"/>
          <w:szCs w:val="20"/>
          <w:color w:val="auto"/>
        </w:rPr>
      </w:pPr>
    </w:p>
    <w:p>
      <w:pPr>
        <w:ind w:right="220"/>
        <w:spacing w:after="0" w:line="358" w:lineRule="auto"/>
        <w:rPr>
          <w:sz w:val="20"/>
          <w:szCs w:val="20"/>
          <w:color w:val="auto"/>
        </w:rPr>
      </w:pPr>
      <w:r>
        <w:rPr>
          <w:rFonts w:ascii="Arial" w:cs="Arial" w:eastAsia="Arial" w:hAnsi="Arial"/>
          <w:sz w:val="8"/>
          <w:szCs w:val="8"/>
          <w:color w:val="auto"/>
        </w:rPr>
        <w:t>Oil Products earnings in 2019 were $6,139 million, compared with $6,025 million in 2018. The increase was mainly driven by higher Marketing margins and lower operating expenses partly offset by lower Refining and Trading margins . See "Oil Products" on pages 51-56.</w:t>
      </w:r>
    </w:p>
    <w:p>
      <w:pPr>
        <w:spacing w:after="0" w:line="95" w:lineRule="exact"/>
        <w:rPr>
          <w:sz w:val="20"/>
          <w:szCs w:val="20"/>
          <w:color w:val="auto"/>
        </w:rPr>
      </w:pPr>
    </w:p>
    <w:p>
      <w:pPr>
        <w:ind w:right="280"/>
        <w:spacing w:after="0" w:line="220" w:lineRule="auto"/>
        <w:rPr>
          <w:sz w:val="20"/>
          <w:szCs w:val="20"/>
          <w:color w:val="auto"/>
        </w:rPr>
      </w:pPr>
      <w:r>
        <w:rPr>
          <w:rFonts w:ascii="Arial" w:cs="Arial" w:eastAsia="Arial" w:hAnsi="Arial"/>
          <w:sz w:val="10"/>
          <w:szCs w:val="10"/>
          <w:color w:val="auto"/>
        </w:rPr>
        <w:t>Chemicals earnings in 2019 were $478 million, compared with $1,884 million in 2018. The decrease was mainly driven by lower margins and higher legal provisions. See "Chemicals" on pages 57-59.</w:t>
      </w:r>
    </w:p>
    <w:p>
      <w:pPr>
        <w:spacing w:after="0" w:line="140" w:lineRule="exact"/>
        <w:rPr>
          <w:sz w:val="20"/>
          <w:szCs w:val="20"/>
          <w:color w:val="auto"/>
        </w:rPr>
      </w:pPr>
    </w:p>
    <w:p>
      <w:pPr>
        <w:ind w:right="200"/>
        <w:spacing w:after="0" w:line="234" w:lineRule="auto"/>
        <w:rPr>
          <w:sz w:val="20"/>
          <w:szCs w:val="20"/>
          <w:color w:val="auto"/>
        </w:rPr>
      </w:pPr>
      <w:r>
        <w:rPr>
          <w:rFonts w:ascii="Arial" w:cs="Arial" w:eastAsia="Arial" w:hAnsi="Arial"/>
          <w:sz w:val="10"/>
          <w:szCs w:val="10"/>
          <w:color w:val="auto"/>
        </w:rPr>
        <w:t>Corporate segment in 2019 was an expense of $3,273 million, compared with $1,479 million in 2018. The higher loss was mainly driven by the introduction of IFRS 16 and reduced capitalised interest, as well as reduced tax credits from financing and one-off charges. See “Corporate” on page 60.</w:t>
      </w:r>
    </w:p>
    <w:p>
      <w:pPr>
        <w:spacing w:after="0" w:line="200" w:lineRule="exact"/>
        <w:rPr>
          <w:sz w:val="20"/>
          <w:szCs w:val="20"/>
          <w:color w:val="auto"/>
        </w:rPr>
      </w:pPr>
    </w:p>
    <w:p>
      <w:pPr>
        <w:sectPr>
          <w:pgSz w:w="11900" w:h="16838" w:orient="portrait"/>
          <w:cols w:equalWidth="0" w:num="2">
            <w:col w:w="5448" w:space="280"/>
            <w:col w:w="5580"/>
          </w:cols>
          <w:pgMar w:left="292" w:top="721" w:right="299" w:bottom="1440" w:gutter="0" w:footer="0" w:header="0"/>
          <w:type w:val="continuous"/>
        </w:sectPr>
      </w:pPr>
    </w:p>
    <w:p>
      <w:pPr>
        <w:spacing w:after="0" w:line="306"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26</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type w:val="continuous"/>
        </w:sectPr>
      </w:pPr>
    </w:p>
    <w:bookmarkStart w:id="29" w:name="page30"/>
    <w:bookmarkEnd w:id="29"/>
    <w:p>
      <w:pPr>
        <w:spacing w:after="0" w:line="7" w:lineRule="exact"/>
        <w:rPr>
          <w:sz w:val="20"/>
          <w:szCs w:val="20"/>
          <w:color w:val="auto"/>
        </w:rPr>
      </w:pPr>
    </w:p>
    <w:p>
      <w:pPr>
        <w:ind w:left="8"/>
        <w:spacing w:after="0"/>
        <w:rPr>
          <w:sz w:val="20"/>
          <w:szCs w:val="20"/>
          <w:color w:val="auto"/>
        </w:rPr>
      </w:pPr>
      <w:r>
        <w:rPr>
          <w:rFonts w:ascii="Arial" w:cs="Arial" w:eastAsia="Arial" w:hAnsi="Arial"/>
          <w:sz w:val="11"/>
          <w:szCs w:val="11"/>
          <w:color w:val="auto"/>
        </w:rPr>
        <w:t>PRODUCTION AVAILABLE FOR SALE</w:t>
      </w:r>
    </w:p>
    <w:p>
      <w:pPr>
        <w:ind w:left="8" w:right="40"/>
        <w:spacing w:after="0" w:line="309" w:lineRule="auto"/>
        <w:rPr>
          <w:sz w:val="20"/>
          <w:szCs w:val="20"/>
          <w:color w:val="auto"/>
        </w:rPr>
      </w:pPr>
      <w:r>
        <w:rPr>
          <w:rFonts w:ascii="Arial" w:cs="Arial" w:eastAsia="Arial" w:hAnsi="Arial"/>
          <w:sz w:val="8"/>
          <w:szCs w:val="8"/>
          <w:color w:val="auto"/>
        </w:rPr>
        <w:t>Oil and gas production available for sale in 2020 was 1,239 million barrels of oil equivalent (boe), or 3,386 thousand boe per day (boe/d), compared with 1,338 million boe, or 3,665 thousand boe/d, in 2019. In 2020, lower production was due to the impact of divestments, higher maintenance, demand reduction and OPEC+ restrictions. New fields and ramp-ups offset the impact of field declines.</w:t>
      </w:r>
    </w:p>
    <w:p>
      <w:pPr>
        <w:spacing w:after="0" w:line="34"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76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Oil and gas production</w:t>
            </w:r>
          </w:p>
        </w:tc>
        <w:tc>
          <w:tcPr>
            <w:tcW w:w="880" w:type="dxa"/>
            <w:vAlign w:val="bottom"/>
            <w:tcBorders>
              <w:top w:val="single" w:sz="8" w:color="CDCDCD"/>
            </w:tcBorders>
          </w:tcPr>
          <w:p>
            <w:pPr>
              <w:spacing w:after="0"/>
              <w:rPr>
                <w:sz w:val="10"/>
                <w:szCs w:val="10"/>
                <w:color w:val="auto"/>
              </w:rPr>
            </w:pPr>
          </w:p>
        </w:tc>
        <w:tc>
          <w:tcPr>
            <w:tcW w:w="1000" w:type="dxa"/>
            <w:vAlign w:val="bottom"/>
            <w:tcBorders>
              <w:top w:val="single" w:sz="8" w:color="CDCDCD"/>
            </w:tcBorders>
          </w:tcPr>
          <w:p>
            <w:pPr>
              <w:spacing w:after="0"/>
              <w:rPr>
                <w:sz w:val="10"/>
                <w:szCs w:val="10"/>
                <w:color w:val="auto"/>
              </w:rPr>
            </w:pPr>
          </w:p>
        </w:tc>
        <w:tc>
          <w:tcPr>
            <w:tcW w:w="760" w:type="dxa"/>
            <w:vAlign w:val="bottom"/>
            <w:tcBorders>
              <w:top w:val="single" w:sz="8" w:color="CDCDCD"/>
            </w:tcBorders>
            <w:vMerge w:val="restart"/>
          </w:tcPr>
          <w:p>
            <w:pPr>
              <w:jc w:val="right"/>
              <w:spacing w:after="0"/>
              <w:rPr>
                <w:sz w:val="20"/>
                <w:szCs w:val="20"/>
                <w:color w:val="auto"/>
              </w:rPr>
            </w:pPr>
            <w:r>
              <w:rPr>
                <w:rFonts w:ascii="Arial" w:cs="Arial" w:eastAsia="Arial" w:hAnsi="Arial"/>
                <w:sz w:val="10"/>
                <w:szCs w:val="10"/>
                <w:color w:val="auto"/>
              </w:rPr>
              <w:t>Thousand boe/d</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20"/>
                <w:szCs w:val="20"/>
                <w:color w:val="auto"/>
              </w:rPr>
            </w:pPr>
            <w:r>
              <w:rPr>
                <w:rFonts w:ascii="Arial" w:cs="Arial" w:eastAsia="Arial" w:hAnsi="Arial"/>
                <w:sz w:val="10"/>
                <w:szCs w:val="10"/>
                <w:color w:val="auto"/>
              </w:rPr>
              <w:t>available for sale [A]</w:t>
            </w: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7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2019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0" w:type="dxa"/>
            <w:vAlign w:val="bottom"/>
          </w:tcPr>
          <w:p>
            <w:pPr>
              <w:spacing w:after="0"/>
              <w:rPr>
                <w:sz w:val="1"/>
                <w:szCs w:val="1"/>
                <w:color w:val="auto"/>
              </w:rPr>
            </w:pPr>
          </w:p>
        </w:tc>
      </w:tr>
      <w:tr>
        <w:trPr>
          <w:trHeight w:val="114"/>
        </w:trPr>
        <w:tc>
          <w:tcPr>
            <w:tcW w:w="2760" w:type="dxa"/>
            <w:vAlign w:val="bottom"/>
          </w:tcPr>
          <w:p>
            <w:pPr>
              <w:spacing w:after="0"/>
              <w:rPr>
                <w:sz w:val="20"/>
                <w:szCs w:val="20"/>
                <w:color w:val="auto"/>
              </w:rPr>
            </w:pPr>
            <w:r>
              <w:rPr>
                <w:rFonts w:ascii="Arial" w:cs="Arial" w:eastAsia="Arial" w:hAnsi="Arial"/>
                <w:sz w:val="10"/>
                <w:szCs w:val="10"/>
                <w:color w:val="auto"/>
              </w:rPr>
              <w:t>Crude oil and natural gas liquids</w:t>
            </w:r>
          </w:p>
        </w:tc>
        <w:tc>
          <w:tcPr>
            <w:tcW w:w="8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1,752</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1,823</w:t>
            </w:r>
          </w:p>
        </w:tc>
        <w:tc>
          <w:tcPr>
            <w:tcW w:w="760" w:type="dxa"/>
            <w:vAlign w:val="bottom"/>
          </w:tcPr>
          <w:p>
            <w:pPr>
              <w:jc w:val="right"/>
              <w:spacing w:after="0"/>
              <w:rPr>
                <w:sz w:val="20"/>
                <w:szCs w:val="20"/>
                <w:color w:val="auto"/>
              </w:rPr>
            </w:pPr>
            <w:r>
              <w:rPr>
                <w:rFonts w:ascii="Arial" w:cs="Arial" w:eastAsia="Arial" w:hAnsi="Arial"/>
                <w:sz w:val="10"/>
                <w:szCs w:val="10"/>
                <w:color w:val="auto"/>
              </w:rPr>
              <w:t>1,749</w:t>
            </w:r>
          </w:p>
        </w:tc>
        <w:tc>
          <w:tcPr>
            <w:tcW w:w="0" w:type="dxa"/>
            <w:vAlign w:val="bottom"/>
          </w:tcPr>
          <w:p>
            <w:pPr>
              <w:spacing w:after="0"/>
              <w:rPr>
                <w:sz w:val="1"/>
                <w:szCs w:val="1"/>
                <w:color w:val="auto"/>
              </w:rPr>
            </w:pPr>
          </w:p>
        </w:tc>
      </w:tr>
      <w:tr>
        <w:trPr>
          <w:trHeight w:val="123"/>
        </w:trPr>
        <w:tc>
          <w:tcPr>
            <w:tcW w:w="2760" w:type="dxa"/>
            <w:vAlign w:val="bottom"/>
          </w:tcPr>
          <w:p>
            <w:pPr>
              <w:spacing w:after="0"/>
              <w:rPr>
                <w:sz w:val="20"/>
                <w:szCs w:val="20"/>
                <w:color w:val="auto"/>
              </w:rPr>
            </w:pPr>
            <w:r>
              <w:rPr>
                <w:rFonts w:ascii="Arial" w:cs="Arial" w:eastAsia="Arial" w:hAnsi="Arial"/>
                <w:sz w:val="10"/>
                <w:szCs w:val="10"/>
                <w:color w:val="auto"/>
              </w:rPr>
              <w:t>Synthetic crude oil</w:t>
            </w:r>
          </w:p>
        </w:tc>
        <w:tc>
          <w:tcPr>
            <w:tcW w:w="8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51</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52</w:t>
            </w:r>
          </w:p>
        </w:tc>
        <w:tc>
          <w:tcPr>
            <w:tcW w:w="760" w:type="dxa"/>
            <w:vAlign w:val="bottom"/>
          </w:tcPr>
          <w:p>
            <w:pPr>
              <w:jc w:val="right"/>
              <w:spacing w:after="0"/>
              <w:rPr>
                <w:sz w:val="20"/>
                <w:szCs w:val="20"/>
                <w:color w:val="auto"/>
              </w:rPr>
            </w:pPr>
            <w:r>
              <w:rPr>
                <w:rFonts w:ascii="Arial" w:cs="Arial" w:eastAsia="Arial" w:hAnsi="Arial"/>
                <w:sz w:val="10"/>
                <w:szCs w:val="10"/>
                <w:color w:val="auto"/>
              </w:rPr>
              <w:t>53</w:t>
            </w:r>
          </w:p>
        </w:tc>
        <w:tc>
          <w:tcPr>
            <w:tcW w:w="0" w:type="dxa"/>
            <w:vAlign w:val="bottom"/>
          </w:tcPr>
          <w:p>
            <w:pPr>
              <w:spacing w:after="0"/>
              <w:rPr>
                <w:sz w:val="1"/>
                <w:szCs w:val="1"/>
                <w:color w:val="auto"/>
              </w:rPr>
            </w:pPr>
          </w:p>
        </w:tc>
      </w:tr>
      <w:tr>
        <w:trPr>
          <w:trHeight w:val="130"/>
        </w:trPr>
        <w:tc>
          <w:tcPr>
            <w:tcW w:w="2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Natural gas [B]</w:t>
            </w:r>
          </w:p>
        </w:tc>
        <w:tc>
          <w:tcPr>
            <w:tcW w:w="8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1,583</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1,790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1,863</w:t>
            </w:r>
          </w:p>
        </w:tc>
        <w:tc>
          <w:tcPr>
            <w:tcW w:w="0" w:type="dxa"/>
            <w:vAlign w:val="bottom"/>
          </w:tcPr>
          <w:p>
            <w:pPr>
              <w:spacing w:after="0"/>
              <w:rPr>
                <w:sz w:val="1"/>
                <w:szCs w:val="1"/>
                <w:color w:val="auto"/>
              </w:rPr>
            </w:pPr>
          </w:p>
        </w:tc>
      </w:tr>
      <w:tr>
        <w:trPr>
          <w:trHeight w:val="114"/>
        </w:trPr>
        <w:tc>
          <w:tcPr>
            <w:tcW w:w="2760" w:type="dxa"/>
            <w:vAlign w:val="bottom"/>
          </w:tcPr>
          <w:p>
            <w:pPr>
              <w:spacing w:after="0"/>
              <w:rPr>
                <w:sz w:val="20"/>
                <w:szCs w:val="20"/>
                <w:color w:val="auto"/>
              </w:rPr>
            </w:pPr>
            <w:r>
              <w:rPr>
                <w:rFonts w:ascii="Arial" w:cs="Arial" w:eastAsia="Arial" w:hAnsi="Arial"/>
                <w:sz w:val="10"/>
                <w:szCs w:val="10"/>
                <w:color w:val="auto"/>
              </w:rPr>
              <w:t>Total</w:t>
            </w:r>
          </w:p>
        </w:tc>
        <w:tc>
          <w:tcPr>
            <w:tcW w:w="8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3,386</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3,665</w:t>
            </w:r>
          </w:p>
        </w:tc>
        <w:tc>
          <w:tcPr>
            <w:tcW w:w="760" w:type="dxa"/>
            <w:vAlign w:val="bottom"/>
          </w:tcPr>
          <w:p>
            <w:pPr>
              <w:jc w:val="right"/>
              <w:spacing w:after="0"/>
              <w:rPr>
                <w:sz w:val="20"/>
                <w:szCs w:val="20"/>
                <w:color w:val="auto"/>
              </w:rPr>
            </w:pPr>
            <w:r>
              <w:rPr>
                <w:rFonts w:ascii="Arial" w:cs="Arial" w:eastAsia="Arial" w:hAnsi="Arial"/>
                <w:sz w:val="10"/>
                <w:szCs w:val="10"/>
                <w:color w:val="auto"/>
              </w:rPr>
              <w:t>3,666</w:t>
            </w:r>
          </w:p>
        </w:tc>
        <w:tc>
          <w:tcPr>
            <w:tcW w:w="0" w:type="dxa"/>
            <w:vAlign w:val="bottom"/>
          </w:tcPr>
          <w:p>
            <w:pPr>
              <w:spacing w:after="0"/>
              <w:rPr>
                <w:sz w:val="1"/>
                <w:szCs w:val="1"/>
                <w:color w:val="auto"/>
              </w:rPr>
            </w:pPr>
          </w:p>
        </w:tc>
      </w:tr>
      <w:tr>
        <w:trPr>
          <w:trHeight w:val="123"/>
        </w:trPr>
        <w:tc>
          <w:tcPr>
            <w:tcW w:w="2760" w:type="dxa"/>
            <w:vAlign w:val="bottom"/>
          </w:tcPr>
          <w:p>
            <w:pPr>
              <w:spacing w:after="0"/>
              <w:rPr>
                <w:sz w:val="20"/>
                <w:szCs w:val="20"/>
                <w:color w:val="auto"/>
              </w:rPr>
            </w:pPr>
            <w:r>
              <w:rPr>
                <w:rFonts w:ascii="Arial" w:cs="Arial" w:eastAsia="Arial" w:hAnsi="Arial"/>
                <w:sz w:val="10"/>
                <w:szCs w:val="10"/>
                <w:color w:val="auto"/>
              </w:rPr>
              <w:t>Of which:</w:t>
            </w:r>
          </w:p>
        </w:tc>
        <w:tc>
          <w:tcPr>
            <w:tcW w:w="880" w:type="dxa"/>
            <w:vAlign w:val="bottom"/>
            <w:shd w:val="clear" w:color="auto" w:fill="D9D9D9"/>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60" w:type="dxa"/>
            <w:vAlign w:val="bottom"/>
          </w:tcPr>
          <w:p>
            <w:pPr>
              <w:ind w:left="140"/>
              <w:spacing w:after="0"/>
              <w:rPr>
                <w:sz w:val="20"/>
                <w:szCs w:val="20"/>
                <w:color w:val="auto"/>
              </w:rPr>
            </w:pPr>
            <w:r>
              <w:rPr>
                <w:rFonts w:ascii="Arial" w:cs="Arial" w:eastAsia="Arial" w:hAnsi="Arial"/>
                <w:sz w:val="10"/>
                <w:szCs w:val="10"/>
                <w:color w:val="auto"/>
              </w:rPr>
              <w:t>Integrated Gas</w:t>
            </w:r>
          </w:p>
        </w:tc>
        <w:tc>
          <w:tcPr>
            <w:tcW w:w="8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911</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922</w:t>
            </w:r>
          </w:p>
        </w:tc>
        <w:tc>
          <w:tcPr>
            <w:tcW w:w="760" w:type="dxa"/>
            <w:vAlign w:val="bottom"/>
          </w:tcPr>
          <w:p>
            <w:pPr>
              <w:jc w:val="right"/>
              <w:spacing w:after="0"/>
              <w:rPr>
                <w:sz w:val="20"/>
                <w:szCs w:val="20"/>
                <w:color w:val="auto"/>
              </w:rPr>
            </w:pPr>
            <w:r>
              <w:rPr>
                <w:rFonts w:ascii="Arial" w:cs="Arial" w:eastAsia="Arial" w:hAnsi="Arial"/>
                <w:sz w:val="10"/>
                <w:szCs w:val="10"/>
                <w:color w:val="auto"/>
              </w:rPr>
              <w:t>957</w:t>
            </w:r>
          </w:p>
        </w:tc>
        <w:tc>
          <w:tcPr>
            <w:tcW w:w="0" w:type="dxa"/>
            <w:vAlign w:val="bottom"/>
          </w:tcPr>
          <w:p>
            <w:pPr>
              <w:spacing w:after="0"/>
              <w:rPr>
                <w:sz w:val="1"/>
                <w:szCs w:val="1"/>
                <w:color w:val="auto"/>
              </w:rPr>
            </w:pPr>
          </w:p>
        </w:tc>
      </w:tr>
      <w:tr>
        <w:trPr>
          <w:trHeight w:val="126"/>
        </w:trPr>
        <w:tc>
          <w:tcPr>
            <w:tcW w:w="2760" w:type="dxa"/>
            <w:vAlign w:val="bottom"/>
          </w:tcPr>
          <w:p>
            <w:pPr>
              <w:ind w:left="140"/>
              <w:spacing w:after="0"/>
              <w:rPr>
                <w:sz w:val="20"/>
                <w:szCs w:val="20"/>
                <w:color w:val="auto"/>
              </w:rPr>
            </w:pPr>
            <w:r>
              <w:rPr>
                <w:rFonts w:ascii="Arial" w:cs="Arial" w:eastAsia="Arial" w:hAnsi="Arial"/>
                <w:sz w:val="10"/>
                <w:szCs w:val="10"/>
                <w:color w:val="auto"/>
              </w:rPr>
              <w:t>Upstream</w:t>
            </w:r>
          </w:p>
        </w:tc>
        <w:tc>
          <w:tcPr>
            <w:tcW w:w="8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2,424</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2,691</w:t>
            </w:r>
          </w:p>
        </w:tc>
        <w:tc>
          <w:tcPr>
            <w:tcW w:w="760" w:type="dxa"/>
            <w:vAlign w:val="bottom"/>
          </w:tcPr>
          <w:p>
            <w:pPr>
              <w:jc w:val="right"/>
              <w:spacing w:after="0"/>
              <w:rPr>
                <w:sz w:val="20"/>
                <w:szCs w:val="20"/>
                <w:color w:val="auto"/>
              </w:rPr>
            </w:pPr>
            <w:r>
              <w:rPr>
                <w:rFonts w:ascii="Arial" w:cs="Arial" w:eastAsia="Arial" w:hAnsi="Arial"/>
                <w:sz w:val="10"/>
                <w:szCs w:val="10"/>
                <w:color w:val="auto"/>
              </w:rPr>
              <w:t>2,656</w:t>
            </w:r>
          </w:p>
        </w:tc>
        <w:tc>
          <w:tcPr>
            <w:tcW w:w="0" w:type="dxa"/>
            <w:vAlign w:val="bottom"/>
          </w:tcPr>
          <w:p>
            <w:pPr>
              <w:spacing w:after="0"/>
              <w:rPr>
                <w:sz w:val="1"/>
                <w:szCs w:val="1"/>
                <w:color w:val="auto"/>
              </w:rPr>
            </w:pPr>
          </w:p>
        </w:tc>
      </w:tr>
      <w:tr>
        <w:trPr>
          <w:trHeight w:val="130"/>
        </w:trPr>
        <w:tc>
          <w:tcPr>
            <w:tcW w:w="276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Oil sands (reported as part of Oil Products)</w:t>
            </w:r>
          </w:p>
        </w:tc>
        <w:tc>
          <w:tcPr>
            <w:tcW w:w="8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51</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52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8" w:hanging="128"/>
        <w:spacing w:after="0"/>
        <w:tabs>
          <w:tab w:leader="none" w:pos="128" w:val="left"/>
        </w:tabs>
        <w:numPr>
          <w:ilvl w:val="0"/>
          <w:numId w:val="5"/>
        </w:numPr>
        <w:rPr>
          <w:rFonts w:ascii="Arial" w:cs="Arial" w:eastAsia="Arial" w:hAnsi="Arial"/>
          <w:sz w:val="7"/>
          <w:szCs w:val="7"/>
          <w:color w:val="auto"/>
        </w:rPr>
      </w:pPr>
      <w:r>
        <w:rPr>
          <w:rFonts w:ascii="Arial" w:cs="Arial" w:eastAsia="Arial" w:hAnsi="Arial"/>
          <w:sz w:val="7"/>
          <w:szCs w:val="7"/>
          <w:color w:val="auto"/>
        </w:rPr>
        <w:t>See “Oil and gas information” on pages 43-50.</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5"/>
        </w:numPr>
        <w:rPr>
          <w:rFonts w:ascii="Arial" w:cs="Arial" w:eastAsia="Arial" w:hAnsi="Arial"/>
          <w:sz w:val="7"/>
          <w:szCs w:val="7"/>
          <w:color w:val="auto"/>
        </w:rPr>
      </w:pPr>
      <w:r>
        <w:rPr>
          <w:rFonts w:ascii="Arial" w:cs="Arial" w:eastAsia="Arial" w:hAnsi="Arial"/>
          <w:sz w:val="7"/>
          <w:szCs w:val="7"/>
          <w:color w:val="auto"/>
        </w:rPr>
        <w:t>Natural gas volumes are converted into oil equivalent using a factor of 5,800 scf per barrel.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comprises a net decrease of 73 million boe from revisions and reclassifications.</w:t>
      </w:r>
    </w:p>
    <w:p>
      <w:pPr>
        <w:spacing w:after="0" w:line="155" w:lineRule="exact"/>
        <w:rPr>
          <w:sz w:val="20"/>
          <w:szCs w:val="20"/>
          <w:color w:val="auto"/>
        </w:rPr>
      </w:pPr>
    </w:p>
    <w:p>
      <w:pPr>
        <w:spacing w:after="0" w:line="232" w:lineRule="auto"/>
        <w:rPr>
          <w:sz w:val="20"/>
          <w:szCs w:val="20"/>
          <w:color w:val="auto"/>
        </w:rPr>
      </w:pPr>
      <w:r>
        <w:rPr>
          <w:rFonts w:ascii="Arial" w:cs="Arial" w:eastAsia="Arial" w:hAnsi="Arial"/>
          <w:sz w:val="10"/>
          <w:szCs w:val="10"/>
          <w:color w:val="auto"/>
        </w:rPr>
        <w:t>In 2020, total oil and gas production was 1,286 million boe, of which 1,239 million boe was available for sale and 47 million boe was consumed in operations. Production available for sale from subsidiaries was 1,104 million boe and 40 million boe was consumed in operations. The Shell share of the production available for sale of joint ventures and associates was 135 million boe and 7 million boe was consumed in operations.</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0"/>
          <w:szCs w:val="10"/>
          <w:color w:val="auto"/>
        </w:rPr>
        <w:t>Accordingly, after taking production into account, our proved reserves decreased by 1,972 million boe in 2020</w:t>
      </w:r>
      <w:r>
        <w:rPr>
          <w:rFonts w:ascii="Arial" w:cs="Arial" w:eastAsia="Arial" w:hAnsi="Arial"/>
          <w:sz w:val="10"/>
          <w:szCs w:val="10"/>
          <w:u w:val="single" w:color="auto"/>
          <w:color w:val="auto"/>
        </w:rPr>
        <w:t>,</w:t>
      </w:r>
      <w:r>
        <w:rPr>
          <w:rFonts w:ascii="Arial" w:cs="Arial" w:eastAsia="Arial" w:hAnsi="Arial"/>
          <w:sz w:val="10"/>
          <w:szCs w:val="10"/>
          <w:color w:val="auto"/>
        </w:rPr>
        <w:t xml:space="preserve"> to 9,124 million boe at December 31, 2020, with a decrease of 1,758 million boe from subsidiaries and a decrease of 214 million boe from the Shell share of joint ventures and associates.</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CASH CAPITAL EXPENDITURE AND OTHER INFORMATION</w:t>
      </w:r>
    </w:p>
    <w:p>
      <w:pPr>
        <w:spacing w:after="0" w:line="237" w:lineRule="auto"/>
        <w:rPr>
          <w:sz w:val="20"/>
          <w:szCs w:val="20"/>
          <w:color w:val="auto"/>
        </w:rPr>
      </w:pPr>
      <w:r>
        <w:rPr>
          <w:rFonts w:ascii="Arial" w:cs="Arial" w:eastAsia="Arial" w:hAnsi="Arial"/>
          <w:sz w:val="10"/>
          <w:szCs w:val="10"/>
          <w:color w:val="auto"/>
        </w:rPr>
        <w:t>Cash capital expenditure was $17.8 billion in 2020, compared with $23.9 billion in 2019.</w:t>
      </w:r>
    </w:p>
    <w:p>
      <w:pPr>
        <w:spacing w:after="0" w:line="176" w:lineRule="exact"/>
        <w:rPr>
          <w:sz w:val="20"/>
          <w:szCs w:val="20"/>
          <w:color w:val="auto"/>
        </w:rPr>
      </w:pPr>
    </w:p>
    <w:p>
      <w:pPr>
        <w:spacing w:after="0"/>
        <w:rPr>
          <w:sz w:val="20"/>
          <w:szCs w:val="20"/>
          <w:color w:val="auto"/>
        </w:rPr>
      </w:pPr>
      <w:r>
        <w:rPr>
          <w:rFonts w:ascii="Arial" w:cs="Arial" w:eastAsia="Arial" w:hAnsi="Arial"/>
          <w:sz w:val="10"/>
          <w:szCs w:val="10"/>
          <w:color w:val="auto"/>
        </w:rPr>
        <w:t>Operating expenses decreased by $3.1 billion in 2020, to $34.8 billion.</w:t>
      </w:r>
    </w:p>
    <w:p>
      <w:pPr>
        <w:spacing w:after="0" w:line="164" w:lineRule="exact"/>
        <w:rPr>
          <w:sz w:val="20"/>
          <w:szCs w:val="20"/>
          <w:color w:val="auto"/>
        </w:rPr>
      </w:pPr>
    </w:p>
    <w:p>
      <w:pPr>
        <w:ind w:right="80"/>
        <w:spacing w:after="0" w:line="239" w:lineRule="auto"/>
        <w:rPr>
          <w:sz w:val="20"/>
          <w:szCs w:val="20"/>
          <w:color w:val="auto"/>
        </w:rPr>
      </w:pPr>
      <w:r>
        <w:rPr>
          <w:rFonts w:ascii="Arial" w:cs="Arial" w:eastAsia="Arial" w:hAnsi="Arial"/>
          <w:sz w:val="10"/>
          <w:szCs w:val="10"/>
          <w:color w:val="auto"/>
        </w:rPr>
        <w:t>Our return on average capital employed (ROACE) decreased to (6.8)%, compared with 6.7% in 2019, mainly driven by lower income in 2020.</w:t>
      </w:r>
    </w:p>
    <w:p>
      <w:pPr>
        <w:spacing w:after="0" w:line="48" w:lineRule="exact"/>
        <w:rPr>
          <w:sz w:val="20"/>
          <w:szCs w:val="20"/>
          <w:color w:val="auto"/>
        </w:rPr>
      </w:pPr>
    </w:p>
    <w:p>
      <w:pPr>
        <w:sectPr>
          <w:pgSz w:w="11900" w:h="16838" w:orient="portrait"/>
          <w:cols w:equalWidth="0" w:num="2">
            <w:col w:w="5408" w:space="320"/>
            <w:col w:w="5320"/>
          </w:cols>
          <w:pgMar w:left="292" w:top="640" w:right="559" w:bottom="1440" w:gutter="0" w:footer="0" w:header="0"/>
        </w:sectPr>
      </w:pPr>
    </w:p>
    <w:p>
      <w:pPr>
        <w:ind w:left="8"/>
        <w:spacing w:after="0"/>
        <w:rPr>
          <w:sz w:val="20"/>
          <w:szCs w:val="20"/>
          <w:color w:val="auto"/>
        </w:rPr>
      </w:pPr>
      <w:r>
        <w:rPr>
          <w:rFonts w:ascii="Arial" w:cs="Arial" w:eastAsia="Arial" w:hAnsi="Arial"/>
          <w:sz w:val="11"/>
          <w:szCs w:val="11"/>
          <w:color w:val="auto"/>
        </w:rPr>
        <w:t>PROVED RESERVES</w:t>
      </w:r>
    </w:p>
    <w:p>
      <w:pPr>
        <w:jc w:val="both"/>
        <w:ind w:left="8" w:right="160"/>
        <w:spacing w:after="0" w:line="229" w:lineRule="auto"/>
        <w:rPr>
          <w:sz w:val="20"/>
          <w:szCs w:val="20"/>
          <w:color w:val="auto"/>
        </w:rPr>
      </w:pPr>
      <w:r>
        <w:rPr>
          <w:rFonts w:ascii="Arial" w:cs="Arial" w:eastAsia="Arial" w:hAnsi="Arial"/>
          <w:sz w:val="10"/>
          <w:szCs w:val="10"/>
          <w:color w:val="auto"/>
        </w:rPr>
        <w:t>The proved oil and gas reserves of Shell subsidiaries and the Shell share of the proved oil and gas reserves of joint ventures and associates are summarised in “Oil and gas information” on pages 43-50 and set out in more detail in “Supplementary information – oil and gas (unaudited)” on pages 211-228.</w:t>
      </w:r>
    </w:p>
    <w:p>
      <w:pPr>
        <w:spacing w:after="0" w:line="149" w:lineRule="exact"/>
        <w:rPr>
          <w:sz w:val="20"/>
          <w:szCs w:val="20"/>
          <w:color w:val="auto"/>
        </w:rPr>
      </w:pPr>
    </w:p>
    <w:p>
      <w:pPr>
        <w:ind w:left="8" w:right="240"/>
        <w:spacing w:after="0" w:line="305" w:lineRule="auto"/>
        <w:rPr>
          <w:sz w:val="20"/>
          <w:szCs w:val="20"/>
          <w:color w:val="auto"/>
        </w:rPr>
      </w:pPr>
      <w:r>
        <w:rPr>
          <w:rFonts w:ascii="Arial" w:cs="Arial" w:eastAsia="Arial" w:hAnsi="Arial"/>
          <w:sz w:val="8"/>
          <w:szCs w:val="8"/>
          <w:color w:val="auto"/>
        </w:rPr>
        <w:t>Before taking production into account, our proved reserves decreased by 686 million boe in 2020. This comprised decreases of 614 million boe from Shell subsidiaries and decreases of 72 million boe from the Shell share of joint ventures and associates. The decrease from Shell subsidiaries included a net decrease of 607 million boe from revisions and reclassifications, an increase of 88 million from extensions and discoveries and a net decrease of 95 million boe related to purchases and sales of minerals in place. The decrease of 72 million boe from the Shell share of joint ventures and associates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2100" w:type="dxa"/>
            <w:vAlign w:val="bottom"/>
          </w:tcPr>
          <w:p>
            <w:pPr>
              <w:jc w:val="right"/>
              <w:spacing w:after="0"/>
              <w:rPr>
                <w:sz w:val="20"/>
                <w:szCs w:val="20"/>
                <w:color w:val="auto"/>
              </w:rPr>
            </w:pPr>
            <w:r>
              <w:rPr>
                <w:rFonts w:ascii="Arial" w:cs="Arial" w:eastAsia="Arial" w:hAnsi="Arial"/>
                <w:sz w:val="7"/>
                <w:szCs w:val="7"/>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17804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239" w:lineRule="auto"/>
        <w:rPr>
          <w:sz w:val="20"/>
          <w:szCs w:val="20"/>
          <w:color w:val="auto"/>
        </w:rPr>
      </w:pPr>
      <w:r>
        <w:rPr>
          <w:rFonts w:ascii="Arial" w:cs="Arial" w:eastAsia="Arial" w:hAnsi="Arial"/>
          <w:sz w:val="10"/>
          <w:szCs w:val="10"/>
          <w:color w:val="auto"/>
        </w:rPr>
        <w:t>Net debt was $75.4 billion at the end of 2020, compared with $79.1 billion at the end of 2019, mainly driven by lower share buybacks and dividend payments.</w:t>
      </w:r>
    </w:p>
    <w:p>
      <w:pPr>
        <w:spacing w:after="0" w:line="149" w:lineRule="exact"/>
        <w:rPr>
          <w:sz w:val="20"/>
          <w:szCs w:val="20"/>
          <w:color w:val="auto"/>
        </w:rPr>
      </w:pPr>
    </w:p>
    <w:p>
      <w:pPr>
        <w:spacing w:after="0"/>
        <w:rPr>
          <w:sz w:val="20"/>
          <w:szCs w:val="20"/>
          <w:color w:val="auto"/>
        </w:rPr>
      </w:pPr>
      <w:r>
        <w:rPr>
          <w:rFonts w:ascii="Arial" w:cs="Arial" w:eastAsia="Arial" w:hAnsi="Arial"/>
          <w:sz w:val="8"/>
          <w:szCs w:val="8"/>
          <w:color w:val="auto"/>
        </w:rPr>
        <w:t>Gearing was 32.2% at the end of 2020, compared with 29.3% at the end of 2019, mainly driven by lower earnings in 2020.</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SIGNIFICANT ACCOUNTING ESTIMATES AND JUDGEMENTS</w:t>
      </w:r>
    </w:p>
    <w:p>
      <w:pPr>
        <w:spacing w:after="0" w:line="237" w:lineRule="auto"/>
        <w:rPr>
          <w:sz w:val="20"/>
          <w:szCs w:val="20"/>
          <w:color w:val="auto"/>
        </w:rPr>
      </w:pPr>
      <w:r>
        <w:rPr>
          <w:rFonts w:ascii="Arial" w:cs="Arial" w:eastAsia="Arial" w:hAnsi="Arial"/>
          <w:sz w:val="10"/>
          <w:szCs w:val="10"/>
          <w:color w:val="auto"/>
        </w:rPr>
        <w:t>See Note 2 to the “Consolidated Financial Statements” on pages 169-176.</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LEGAL PROCEEDINGS</w:t>
      </w:r>
    </w:p>
    <w:p>
      <w:pPr>
        <w:spacing w:after="0" w:line="237" w:lineRule="auto"/>
        <w:rPr>
          <w:sz w:val="20"/>
          <w:szCs w:val="20"/>
          <w:color w:val="auto"/>
        </w:rPr>
      </w:pPr>
      <w:r>
        <w:rPr>
          <w:rFonts w:ascii="Arial" w:cs="Arial" w:eastAsia="Arial" w:hAnsi="Arial"/>
          <w:sz w:val="10"/>
          <w:szCs w:val="10"/>
          <w:color w:val="auto"/>
        </w:rPr>
        <w:t>See Note 25 to the “Consolidated Financial Statements” on pages 206-208.</w:t>
      </w:r>
    </w:p>
    <w:p>
      <w:pPr>
        <w:sectPr>
          <w:pgSz w:w="11900" w:h="16838" w:orient="portrait"/>
          <w:cols w:equalWidth="0" w:num="2">
            <w:col w:w="5608" w:space="120"/>
            <w:col w:w="5320"/>
          </w:cols>
          <w:pgMar w:left="292" w:top="640" w:right="5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2"/>
          <w:szCs w:val="22"/>
          <w:color w:val="auto"/>
        </w:rPr>
        <w:t>PERFORMANCE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141" w:lineRule="exact"/>
        <w:rPr>
          <w:sz w:val="20"/>
          <w:szCs w:val="20"/>
          <w:color w:val="auto"/>
        </w:rPr>
      </w:pPr>
    </w:p>
    <w:p>
      <w:pPr>
        <w:ind w:right="380"/>
        <w:spacing w:after="0" w:line="234" w:lineRule="auto"/>
        <w:rPr>
          <w:sz w:val="20"/>
          <w:szCs w:val="20"/>
          <w:color w:val="auto"/>
        </w:rPr>
      </w:pPr>
      <w:r>
        <w:rPr>
          <w:rFonts w:ascii="Arial" w:cs="Arial" w:eastAsia="Arial" w:hAnsi="Arial"/>
          <w:sz w:val="10"/>
          <w:szCs w:val="10"/>
          <w:color w:val="auto"/>
        </w:rPr>
        <w:t>These indicators enable management to evaluate Shell’s performance against our strategy and operating plans. Those that are used in the determination of the Executive Directors’ remuneration are asterisked below and on the following page. See “Directors’ Remuneration Report” on pages 116-119.</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342900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0"/>
          <w:szCs w:val="10"/>
          <w:color w:val="auto"/>
        </w:rPr>
        <w:t>Total shareholder return (%)*</w:t>
      </w:r>
    </w:p>
    <w:p>
      <w:pPr>
        <w:spacing w:after="0" w:line="11" w:lineRule="exact"/>
        <w:rPr>
          <w:sz w:val="20"/>
          <w:szCs w:val="20"/>
          <w:color w:val="auto"/>
        </w:rPr>
      </w:pPr>
    </w:p>
    <w:p>
      <w:pPr>
        <w:spacing w:after="0"/>
        <w:tabs>
          <w:tab w:leader="none" w:pos="840" w:val="left"/>
          <w:tab w:leader="none" w:pos="2600" w:val="left"/>
          <w:tab w:leader="none" w:pos="346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(32.7)</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342900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54" w:lineRule="exact"/>
        <w:rPr>
          <w:sz w:val="20"/>
          <w:szCs w:val="20"/>
          <w:color w:val="auto"/>
        </w:rPr>
      </w:pPr>
    </w:p>
    <w:p>
      <w:pPr>
        <w:ind w:right="180"/>
        <w:spacing w:after="0" w:line="231" w:lineRule="auto"/>
        <w:rPr>
          <w:sz w:val="20"/>
          <w:szCs w:val="20"/>
          <w:color w:val="auto"/>
        </w:rPr>
      </w:pPr>
      <w:r>
        <w:rPr>
          <w:rFonts w:ascii="Arial" w:cs="Arial" w:eastAsia="Arial" w:hAnsi="Arial"/>
          <w:sz w:val="10"/>
          <w:szCs w:val="10"/>
          <w:color w:val="auto"/>
        </w:rPr>
        <w:t>Total shareholder return (TSR) is the difference between the share price at the beginning of the year and the share price at the end of the year (each averaged over 90 days), plus gross dividends delivered during the calendar year (reinvested quarterly), expressed as a percentage of the share price at the beginning of the year (averaged over 90 days). The data used are a weighted average in dollars for A and B shares. The TSRs of major publicly traded oil and gas companies can be compared directly, providing a way to determine how we are performing relative to our industry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34290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0"/>
          <w:szCs w:val="10"/>
          <w:color w:val="auto"/>
        </w:rPr>
        <w:t>Cash flow from operating activities ($ million)*</w:t>
      </w:r>
    </w:p>
    <w:p>
      <w:pPr>
        <w:spacing w:after="0" w:line="11" w:lineRule="exact"/>
        <w:rPr>
          <w:sz w:val="20"/>
          <w:szCs w:val="20"/>
          <w:color w:val="auto"/>
        </w:rPr>
      </w:pPr>
    </w:p>
    <w:p>
      <w:pPr>
        <w:spacing w:after="0"/>
        <w:tabs>
          <w:tab w:leader="none" w:pos="840" w:val="left"/>
          <w:tab w:leader="none" w:pos="2600" w:val="left"/>
          <w:tab w:leader="none" w:pos="346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34,105</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42,178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34290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54" w:lineRule="exact"/>
        <w:rPr>
          <w:sz w:val="20"/>
          <w:szCs w:val="20"/>
          <w:color w:val="auto"/>
        </w:rPr>
      </w:pPr>
    </w:p>
    <w:p>
      <w:pPr>
        <w:ind w:right="200"/>
        <w:spacing w:after="0" w:line="232" w:lineRule="auto"/>
        <w:rPr>
          <w:sz w:val="20"/>
          <w:szCs w:val="20"/>
          <w:color w:val="auto"/>
        </w:rPr>
      </w:pPr>
      <w:r>
        <w:rPr>
          <w:rFonts w:ascii="Arial" w:cs="Arial" w:eastAsia="Arial" w:hAnsi="Arial"/>
          <w:sz w:val="10"/>
          <w:szCs w:val="10"/>
          <w:color w:val="auto"/>
        </w:rPr>
        <w:t>Cash flow from operating activities is the total of all the cash receipts and payments associated with our sales of oil, gas, chemicals and other products. The components that provide a reconciliation from income for the period are listed in the “Consolidated Statement of Cash Flows”. This indicator reflects our ability to generate cash to service and reduce our debt and for distributions to shareholders and for investments. See “Liquidity and capital resources” on pages 61-64.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342900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0"/>
          <w:szCs w:val="10"/>
          <w:color w:val="auto"/>
        </w:rPr>
        <w:t>Free cash flow ($ million)*</w:t>
      </w:r>
    </w:p>
    <w:p>
      <w:pPr>
        <w:spacing w:after="0" w:line="11" w:lineRule="exact"/>
        <w:rPr>
          <w:sz w:val="20"/>
          <w:szCs w:val="20"/>
          <w:color w:val="auto"/>
        </w:rPr>
      </w:pPr>
    </w:p>
    <w:p>
      <w:pPr>
        <w:spacing w:after="0"/>
        <w:tabs>
          <w:tab w:leader="none" w:pos="840" w:val="left"/>
          <w:tab w:leader="none" w:pos="2600" w:val="left"/>
          <w:tab w:leader="none" w:pos="346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20,828</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26,399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34290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45" w:lineRule="exact"/>
        <w:rPr>
          <w:sz w:val="20"/>
          <w:szCs w:val="20"/>
          <w:color w:val="auto"/>
        </w:rPr>
      </w:pPr>
    </w:p>
    <w:p>
      <w:pPr>
        <w:ind w:right="360"/>
        <w:spacing w:after="0" w:line="320" w:lineRule="auto"/>
        <w:rPr>
          <w:sz w:val="20"/>
          <w:szCs w:val="20"/>
          <w:color w:val="auto"/>
        </w:rPr>
      </w:pPr>
      <w:r>
        <w:rPr>
          <w:rFonts w:ascii="Arial" w:cs="Arial" w:eastAsia="Arial" w:hAnsi="Arial"/>
          <w:sz w:val="8"/>
          <w:szCs w:val="8"/>
          <w:color w:val="auto"/>
        </w:rPr>
        <w:t>Free cash flow is the sum of "Cash flow from operating activities" and "Cash flow from investing activities", which are listed in the “Consolidated Statement of Cash Flows”. This indicator is used to evaluate the cash available for financing activities, including dividend payments, after investment in maintaining and growing our business. See “Non-GAAP measures reconciliations” on pages 240-242.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345186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Organic free cash flow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345186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tabs>
          <w:tab w:leader="none" w:pos="840" w:val="left"/>
          <w:tab w:leader="none" w:pos="2680" w:val="left"/>
          <w:tab w:leader="none" w:pos="356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17,634</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20,116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345186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54" w:lineRule="exact"/>
        <w:rPr>
          <w:sz w:val="20"/>
          <w:szCs w:val="20"/>
          <w:color w:val="auto"/>
        </w:rPr>
      </w:pPr>
    </w:p>
    <w:p>
      <w:pPr>
        <w:ind w:right="160"/>
        <w:spacing w:after="0" w:line="358" w:lineRule="auto"/>
        <w:rPr>
          <w:sz w:val="20"/>
          <w:szCs w:val="20"/>
          <w:color w:val="auto"/>
        </w:rPr>
      </w:pPr>
      <w:r>
        <w:rPr>
          <w:rFonts w:ascii="Arial" w:cs="Arial" w:eastAsia="Arial" w:hAnsi="Arial"/>
          <w:sz w:val="8"/>
          <w:szCs w:val="8"/>
          <w:color w:val="auto"/>
        </w:rPr>
        <w:t>Organic free cash flow is defined as free cash flow excluding the cash flows from acquisition and divestment activities. It is a measure used by management to evaluate the generation of cash flow without these activities. See “Non-GAAP measures reconciliations” on page 240-242.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42900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0"/>
          <w:szCs w:val="10"/>
          <w:color w:val="auto"/>
        </w:rPr>
        <w:t>Return on average capital employed (%)*</w:t>
      </w:r>
    </w:p>
    <w:p>
      <w:pPr>
        <w:spacing w:after="0" w:line="11" w:lineRule="exact"/>
        <w:rPr>
          <w:sz w:val="20"/>
          <w:szCs w:val="20"/>
          <w:color w:val="auto"/>
        </w:rPr>
      </w:pPr>
    </w:p>
    <w:p>
      <w:pPr>
        <w:spacing w:after="0"/>
        <w:tabs>
          <w:tab w:leader="none" w:pos="840" w:val="left"/>
          <w:tab w:leader="none" w:pos="2600" w:val="left"/>
          <w:tab w:leader="none" w:pos="346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(6.8)</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342900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54" w:lineRule="exact"/>
        <w:rPr>
          <w:sz w:val="20"/>
          <w:szCs w:val="20"/>
          <w:color w:val="auto"/>
        </w:rPr>
      </w:pPr>
    </w:p>
    <w:p>
      <w:pPr>
        <w:ind w:right="260"/>
        <w:spacing w:after="0" w:line="232" w:lineRule="auto"/>
        <w:rPr>
          <w:sz w:val="20"/>
          <w:szCs w:val="20"/>
          <w:color w:val="auto"/>
        </w:rPr>
      </w:pPr>
      <w:r>
        <w:rPr>
          <w:rFonts w:ascii="Arial" w:cs="Arial" w:eastAsia="Arial" w:hAnsi="Arial"/>
          <w:sz w:val="10"/>
          <w:szCs w:val="10"/>
          <w:color w:val="auto"/>
        </w:rPr>
        <w:t>ROACE is defined as income for the period, adjusted for after-tax interest expense, as a percentage of the average capital employed during the year. Capital employed is the sum of total equity and total debt. ROACE measures the efficiency of our utilisation of the capital that we employ and is a common measure of business performance. See “Summary of results” on pages 26-27 and “Non-GAAP measures reconciliations” on pages 240-242.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344043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0"/>
          <w:szCs w:val="10"/>
          <w:color w:val="auto"/>
        </w:rPr>
        <w:t>Adjusted earnings ($ million)</w:t>
      </w:r>
    </w:p>
    <w:p>
      <w:pPr>
        <w:spacing w:after="0" w:line="11" w:lineRule="exact"/>
        <w:rPr>
          <w:sz w:val="20"/>
          <w:szCs w:val="20"/>
          <w:color w:val="auto"/>
        </w:rPr>
      </w:pPr>
    </w:p>
    <w:p>
      <w:pPr>
        <w:spacing w:after="0"/>
        <w:tabs>
          <w:tab w:leader="none" w:pos="840" w:val="left"/>
          <w:tab w:leader="none" w:pos="2600" w:val="left"/>
          <w:tab w:leader="none" w:pos="348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4,846</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16,462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344043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63" w:lineRule="exact"/>
        <w:rPr>
          <w:sz w:val="20"/>
          <w:szCs w:val="20"/>
          <w:color w:val="auto"/>
        </w:rPr>
      </w:pPr>
    </w:p>
    <w:p>
      <w:pPr>
        <w:ind w:right="180"/>
        <w:spacing w:after="0" w:line="305" w:lineRule="auto"/>
        <w:rPr>
          <w:sz w:val="20"/>
          <w:szCs w:val="20"/>
          <w:color w:val="auto"/>
        </w:rPr>
      </w:pPr>
      <w:r>
        <w:rPr>
          <w:rFonts w:ascii="Arial" w:cs="Arial" w:eastAsia="Arial" w:hAnsi="Arial"/>
          <w:sz w:val="8"/>
          <w:szCs w:val="8"/>
          <w:color w:val="auto"/>
        </w:rPr>
        <w:t>Adjusted earnings are income/(loss) attributable to shareholders plus cost of sales adjustment and excluding identified items. This measure aims to facilitate a comparative understanding of Shell’s financial performance from period to period by removing the effects of oil price changes on inventory carrying amounts and removing the effects of identified items. These items are in some cases driven by external factors and may, either individually or collectively, hinder the comparative understanding of Shell's financial results from period to period. This measure excludes earnings attributable to non-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2100" w:type="dxa"/>
            <w:vAlign w:val="bottom"/>
          </w:tcPr>
          <w:p>
            <w:pPr>
              <w:jc w:val="right"/>
              <w:spacing w:after="0"/>
              <w:rPr>
                <w:sz w:val="20"/>
                <w:szCs w:val="20"/>
                <w:color w:val="auto"/>
              </w:rPr>
            </w:pPr>
            <w:r>
              <w:rPr>
                <w:rFonts w:ascii="Arial" w:cs="Arial" w:eastAsia="Arial" w:hAnsi="Arial"/>
                <w:sz w:val="7"/>
                <w:szCs w:val="7"/>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780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8"/>
          <w:szCs w:val="8"/>
          <w:color w:val="auto"/>
        </w:rPr>
        <w:t>controlling interest. See "Note 24 Earnings per Share" on page 206 and “Non-GAAP measures reconciliations” on pages 240-242.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344043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0"/>
          <w:szCs w:val="10"/>
          <w:color w:val="auto"/>
        </w:rPr>
        <w:t>Adjusted earnings per share ($)</w:t>
      </w:r>
    </w:p>
    <w:p>
      <w:pPr>
        <w:spacing w:after="0" w:line="11" w:lineRule="exact"/>
        <w:rPr>
          <w:sz w:val="20"/>
          <w:szCs w:val="20"/>
          <w:color w:val="auto"/>
        </w:rPr>
      </w:pPr>
    </w:p>
    <w:p>
      <w:pPr>
        <w:ind w:left="20"/>
        <w:spacing w:after="0"/>
        <w:tabs>
          <w:tab w:leader="none" w:pos="860" w:val="left"/>
          <w:tab w:leader="none" w:pos="2620" w:val="left"/>
          <w:tab w:leader="none" w:pos="350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0.62</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44043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63" w:lineRule="exact"/>
        <w:rPr>
          <w:sz w:val="20"/>
          <w:szCs w:val="20"/>
          <w:color w:val="auto"/>
        </w:rPr>
      </w:pPr>
    </w:p>
    <w:p>
      <w:pPr>
        <w:ind w:right="80"/>
        <w:spacing w:after="0" w:line="239" w:lineRule="auto"/>
        <w:rPr>
          <w:sz w:val="20"/>
          <w:szCs w:val="20"/>
          <w:color w:val="auto"/>
        </w:rPr>
      </w:pPr>
      <w:r>
        <w:rPr>
          <w:rFonts w:ascii="Arial" w:cs="Arial" w:eastAsia="Arial" w:hAnsi="Arial"/>
          <w:sz w:val="10"/>
          <w:szCs w:val="10"/>
          <w:color w:val="auto"/>
        </w:rPr>
        <w:t>Adjusted earnings per share is calculated as adjusted earnings, divided by the weighted average number of shares used as the basis for basic earnings per share.See “Non-GAAP measures reconciliations” on pages 240-242.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344043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0"/>
          <w:szCs w:val="10"/>
          <w:color w:val="auto"/>
        </w:rPr>
        <w:t>Divestment proceeds ($ million)</w:t>
      </w:r>
    </w:p>
    <w:p>
      <w:pPr>
        <w:spacing w:after="0" w:line="11" w:lineRule="exact"/>
        <w:rPr>
          <w:sz w:val="20"/>
          <w:szCs w:val="20"/>
          <w:color w:val="auto"/>
        </w:rPr>
      </w:pPr>
    </w:p>
    <w:p>
      <w:pPr>
        <w:ind w:left="20"/>
        <w:spacing w:after="0"/>
        <w:tabs>
          <w:tab w:leader="none" w:pos="860" w:val="left"/>
          <w:tab w:leader="none" w:pos="2620" w:val="left"/>
          <w:tab w:leader="none" w:pos="350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4,010</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7"/>
          <w:szCs w:val="7"/>
          <w:color w:val="auto"/>
        </w:rPr>
        <w:t>7,871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44043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54" w:lineRule="exact"/>
        <w:rPr>
          <w:sz w:val="20"/>
          <w:szCs w:val="20"/>
          <w:color w:val="auto"/>
        </w:rPr>
      </w:pPr>
    </w:p>
    <w:p>
      <w:pPr>
        <w:ind w:right="180"/>
        <w:spacing w:after="0" w:line="233" w:lineRule="auto"/>
        <w:rPr>
          <w:sz w:val="20"/>
          <w:szCs w:val="20"/>
          <w:color w:val="auto"/>
        </w:rPr>
      </w:pPr>
      <w:r>
        <w:rPr>
          <w:rFonts w:ascii="Arial" w:cs="Arial" w:eastAsia="Arial" w:hAnsi="Arial"/>
          <w:sz w:val="10"/>
          <w:szCs w:val="10"/>
          <w:color w:val="auto"/>
        </w:rPr>
        <w:t>Divestment proceeds represent cash received from divestment activities in the period. This is the sum of the following lines from the "Consolidated Statement of Cash flows": proceeds from sale of property, plant and equipment and businesses; proceeds from sale of joint ventures and associates [A]; and proceeds from sale of equity securities.</w:t>
      </w:r>
    </w:p>
    <w:p>
      <w:pPr>
        <w:spacing w:after="0" w:line="232" w:lineRule="auto"/>
        <w:rPr>
          <w:sz w:val="20"/>
          <w:szCs w:val="20"/>
          <w:color w:val="auto"/>
        </w:rPr>
      </w:pPr>
      <w:r>
        <w:rPr>
          <w:rFonts w:ascii="Arial" w:cs="Arial" w:eastAsia="Arial" w:hAnsi="Arial"/>
          <w:sz w:val="7"/>
          <w:szCs w:val="7"/>
          <w:color w:val="auto"/>
        </w:rPr>
        <w:t>[A] includes $313 million (2019: $155 million) of long-term loan repayments received from joint ventures and associates</w:t>
      </w:r>
    </w:p>
    <w:p>
      <w:pPr>
        <w:spacing w:after="0" w:line="237" w:lineRule="auto"/>
        <w:rPr>
          <w:sz w:val="20"/>
          <w:szCs w:val="20"/>
          <w:color w:val="auto"/>
        </w:rPr>
      </w:pPr>
      <w:r>
        <w:rPr>
          <w:rFonts w:ascii="Arial" w:cs="Arial" w:eastAsia="Arial" w:hAnsi="Arial"/>
          <w:sz w:val="10"/>
          <w:szCs w:val="10"/>
          <w:color w:val="auto"/>
        </w:rPr>
        <w:t>See “Non-GAAP measures reconciliations” on pages 240-242.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45085</wp:posOffset>
            </wp:positionV>
            <wp:extent cx="345186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0"/>
          <w:szCs w:val="10"/>
          <w:color w:val="auto"/>
        </w:rPr>
        <w:t>Cash capital expenditure ($ million)</w:t>
      </w:r>
    </w:p>
    <w:p>
      <w:pPr>
        <w:spacing w:after="0" w:line="11" w:lineRule="exact"/>
        <w:rPr>
          <w:sz w:val="20"/>
          <w:szCs w:val="20"/>
          <w:color w:val="auto"/>
        </w:rPr>
      </w:pPr>
    </w:p>
    <w:p>
      <w:pPr>
        <w:ind w:left="20"/>
        <w:spacing w:after="0"/>
        <w:tabs>
          <w:tab w:leader="none" w:pos="880" w:val="left"/>
          <w:tab w:leader="none" w:pos="2700" w:val="left"/>
          <w:tab w:leader="none" w:pos="358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17,827</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23,919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8890</wp:posOffset>
            </wp:positionV>
            <wp:extent cx="345186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54" w:lineRule="exact"/>
        <w:rPr>
          <w:sz w:val="20"/>
          <w:szCs w:val="20"/>
          <w:color w:val="auto"/>
        </w:rPr>
      </w:pPr>
    </w:p>
    <w:p>
      <w:pPr>
        <w:jc w:val="both"/>
        <w:ind w:right="60"/>
        <w:spacing w:after="0" w:line="320" w:lineRule="auto"/>
        <w:rPr>
          <w:sz w:val="20"/>
          <w:szCs w:val="20"/>
          <w:color w:val="auto"/>
        </w:rPr>
      </w:pPr>
      <w:r>
        <w:rPr>
          <w:rFonts w:ascii="Arial" w:cs="Arial" w:eastAsia="Arial" w:hAnsi="Arial"/>
          <w:sz w:val="8"/>
          <w:szCs w:val="8"/>
          <w:color w:val="auto"/>
        </w:rPr>
        <w:t>Cash capital expenditure is the sum of capital expenditure, investments in joint ventures and associates, and investments in equity securities, as reported in the "Consolidated Statement of Cash flows". It is used to monitor investing activities on a cash basis, excluding items such as lease additions that do not necessarily result in cash outflows in the period.See “Non-GAAP measures reconciliations” on pages 240-242.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345186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0"/>
          <w:szCs w:val="10"/>
          <w:color w:val="auto"/>
        </w:rPr>
        <w:t>Net debt ($ million)</w:t>
      </w:r>
    </w:p>
    <w:p>
      <w:pPr>
        <w:spacing w:after="0" w:line="11" w:lineRule="exact"/>
        <w:rPr>
          <w:sz w:val="20"/>
          <w:szCs w:val="20"/>
          <w:color w:val="auto"/>
        </w:rPr>
      </w:pPr>
    </w:p>
    <w:p>
      <w:pPr>
        <w:ind w:left="20"/>
        <w:spacing w:after="0"/>
        <w:tabs>
          <w:tab w:leader="none" w:pos="860" w:val="left"/>
          <w:tab w:leader="none" w:pos="2700" w:val="left"/>
          <w:tab w:leader="none" w:pos="358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75,386</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79,093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45186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63" w:lineRule="exact"/>
        <w:rPr>
          <w:sz w:val="20"/>
          <w:szCs w:val="20"/>
          <w:color w:val="auto"/>
        </w:rPr>
      </w:pPr>
    </w:p>
    <w:p>
      <w:pPr>
        <w:ind w:right="20"/>
        <w:spacing w:after="0" w:line="216" w:lineRule="auto"/>
        <w:rPr>
          <w:sz w:val="20"/>
          <w:szCs w:val="20"/>
          <w:color w:val="auto"/>
        </w:rPr>
      </w:pPr>
      <w:r>
        <w:rPr>
          <w:rFonts w:ascii="Arial" w:cs="Arial" w:eastAsia="Arial" w:hAnsi="Arial"/>
          <w:sz w:val="10"/>
          <w:szCs w:val="10"/>
          <w:color w:val="auto"/>
        </w:rPr>
        <w:t>Net debt is defined as the sum of current and non-current debt, less cash and cash equivalents. The net debt calculation includes the fair value of derivative financial instruments used to hedge foreign exchange, interest rate risks relating to debt and associated collateral balances. The inclusion of these debt-related derivative balances reduces the volatility of net debt caused by fluctuations in foreign exchange and interest rates, and eliminates the potential impact of related collateral payments or receipts.See “Note 14 Debt and Lease Arrangements” on pages 188-190.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344043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0"/>
          <w:szCs w:val="10"/>
          <w:color w:val="auto"/>
        </w:rPr>
        <w:t>Gearing (%)</w:t>
      </w:r>
    </w:p>
    <w:p>
      <w:pPr>
        <w:spacing w:after="0" w:line="11" w:lineRule="exact"/>
        <w:rPr>
          <w:sz w:val="20"/>
          <w:szCs w:val="20"/>
          <w:color w:val="auto"/>
        </w:rPr>
      </w:pPr>
    </w:p>
    <w:p>
      <w:pPr>
        <w:ind w:left="20"/>
        <w:spacing w:after="0"/>
        <w:tabs>
          <w:tab w:leader="none" w:pos="860" w:val="left"/>
          <w:tab w:leader="none" w:pos="2620" w:val="left"/>
          <w:tab w:leader="none" w:pos="352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32.2</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44043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45" w:lineRule="exact"/>
        <w:rPr>
          <w:sz w:val="20"/>
          <w:szCs w:val="20"/>
          <w:color w:val="auto"/>
        </w:rPr>
      </w:pPr>
    </w:p>
    <w:p>
      <w:pPr>
        <w:spacing w:after="0" w:line="234" w:lineRule="auto"/>
        <w:rPr>
          <w:sz w:val="20"/>
          <w:szCs w:val="20"/>
          <w:color w:val="auto"/>
        </w:rPr>
      </w:pPr>
      <w:r>
        <w:rPr>
          <w:rFonts w:ascii="Arial" w:cs="Arial" w:eastAsia="Arial" w:hAnsi="Arial"/>
          <w:sz w:val="10"/>
          <w:szCs w:val="10"/>
          <w:color w:val="auto"/>
        </w:rPr>
        <w:t>Gearing is defined as net debt as a percentage of total capital (net debt plus total equity) at December 31, and is a measure of the degree to which our operations are financed by debt.See “Liquidity and capital resources” on pages 61-64 and “Note 14 Debt and Lease Arrangements” on pages 188-190.</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342900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Production available for sale (thousand boe/d)*</w:t>
      </w:r>
    </w:p>
    <w:p>
      <w:pPr>
        <w:spacing w:after="0" w:line="11" w:lineRule="exact"/>
        <w:rPr>
          <w:sz w:val="20"/>
          <w:szCs w:val="20"/>
          <w:color w:val="auto"/>
        </w:rPr>
      </w:pPr>
    </w:p>
    <w:p>
      <w:pPr>
        <w:ind w:left="20"/>
        <w:spacing w:after="0"/>
        <w:tabs>
          <w:tab w:leader="none" w:pos="860" w:val="left"/>
          <w:tab w:leader="none" w:pos="2620" w:val="left"/>
          <w:tab w:leader="none" w:pos="348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3,386</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3,665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42900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54" w:lineRule="exact"/>
        <w:rPr>
          <w:sz w:val="20"/>
          <w:szCs w:val="20"/>
          <w:color w:val="auto"/>
        </w:rPr>
      </w:pPr>
    </w:p>
    <w:p>
      <w:pPr>
        <w:ind w:right="40"/>
        <w:spacing w:after="0" w:line="232" w:lineRule="auto"/>
        <w:rPr>
          <w:sz w:val="20"/>
          <w:szCs w:val="20"/>
          <w:color w:val="auto"/>
        </w:rPr>
      </w:pPr>
      <w:r>
        <w:rPr>
          <w:rFonts w:ascii="Arial" w:cs="Arial" w:eastAsia="Arial" w:hAnsi="Arial"/>
          <w:sz w:val="10"/>
          <w:szCs w:val="10"/>
          <w:color w:val="auto"/>
        </w:rPr>
        <w:t>Production is the sum of all the average daily volumes of unrefined oil and natural gas produced for sale by Shell subsidiaries and Shell’s share of those produced for sale by joint ventures and associates. The unrefined oil comprises crude oil, natural gas liquids (NGLs), synthetic crude oil and bitumen. The gas volume is converted into equivalent barrels of oil to make the summation possible.See “Summary of results” on pages 26-27.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34290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0"/>
          <w:szCs w:val="10"/>
          <w:color w:val="auto"/>
        </w:rPr>
        <w:t>LNG liquefaction volumes (million tonnes)*</w:t>
      </w:r>
    </w:p>
    <w:p>
      <w:pPr>
        <w:spacing w:after="0" w:line="11" w:lineRule="exact"/>
        <w:rPr>
          <w:sz w:val="20"/>
          <w:szCs w:val="20"/>
          <w:color w:val="auto"/>
        </w:rPr>
      </w:pPr>
    </w:p>
    <w:p>
      <w:pPr>
        <w:ind w:left="20"/>
        <w:spacing w:after="0"/>
        <w:tabs>
          <w:tab w:leader="none" w:pos="860" w:val="left"/>
          <w:tab w:leader="none" w:pos="2620" w:val="left"/>
          <w:tab w:leader="none" w:pos="348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33.2</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4290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54" w:lineRule="exact"/>
        <w:rPr>
          <w:sz w:val="20"/>
          <w:szCs w:val="20"/>
          <w:color w:val="auto"/>
        </w:rPr>
      </w:pPr>
    </w:p>
    <w:p>
      <w:pPr>
        <w:ind w:right="360"/>
        <w:spacing w:after="0" w:line="239" w:lineRule="auto"/>
        <w:rPr>
          <w:sz w:val="20"/>
          <w:szCs w:val="20"/>
          <w:color w:val="auto"/>
        </w:rPr>
      </w:pPr>
      <w:r>
        <w:rPr>
          <w:rFonts w:ascii="Arial" w:cs="Arial" w:eastAsia="Arial" w:hAnsi="Arial"/>
          <w:sz w:val="10"/>
          <w:szCs w:val="10"/>
          <w:color w:val="auto"/>
        </w:rPr>
        <w:t>LNG liquefaction volumes is a measure of the operational performance of our Integrated Gas business and LNG market demand.See “Integrated Gas” on pages 30-35.</w:t>
      </w:r>
    </w:p>
    <w:p>
      <w:pPr>
        <w:sectPr>
          <w:pgSz w:w="11900" w:h="16838" w:orient="portrait"/>
          <w:cols w:equalWidth="0" w:num="2">
            <w:col w:w="5600" w:space="120"/>
            <w:col w:w="5460"/>
          </w:cols>
          <w:pgMar w:left="300" w:top="721" w:right="419" w:bottom="1440" w:gutter="0" w:footer="0" w:header="0"/>
        </w:sectPr>
      </w:pPr>
    </w:p>
    <w:bookmarkStart w:id="31" w:name="page32"/>
    <w:bookmarkEnd w:id="31"/>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466090</wp:posOffset>
            </wp:positionV>
            <wp:extent cx="342900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Refinery and chemical plant availability (%)*</w:t>
      </w:r>
    </w:p>
    <w:p>
      <w:pPr>
        <w:spacing w:after="0" w:line="11" w:lineRule="exact"/>
        <w:rPr>
          <w:sz w:val="20"/>
          <w:szCs w:val="20"/>
          <w:color w:val="auto"/>
        </w:rPr>
      </w:pPr>
    </w:p>
    <w:p>
      <w:pPr>
        <w:spacing w:after="0"/>
        <w:tabs>
          <w:tab w:leader="none" w:pos="840" w:val="left"/>
          <w:tab w:leader="none" w:pos="2600" w:val="left"/>
          <w:tab w:leader="none" w:pos="346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95.5</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342900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45" w:lineRule="exact"/>
        <w:rPr>
          <w:sz w:val="20"/>
          <w:szCs w:val="20"/>
          <w:color w:val="auto"/>
        </w:rPr>
      </w:pPr>
    </w:p>
    <w:p>
      <w:pPr>
        <w:ind w:right="340"/>
        <w:spacing w:after="0" w:line="320" w:lineRule="auto"/>
        <w:rPr>
          <w:sz w:val="20"/>
          <w:szCs w:val="20"/>
          <w:color w:val="auto"/>
        </w:rPr>
      </w:pPr>
      <w:r>
        <w:rPr>
          <w:rFonts w:ascii="Arial" w:cs="Arial" w:eastAsia="Arial" w:hAnsi="Arial"/>
          <w:sz w:val="8"/>
          <w:szCs w:val="8"/>
          <w:color w:val="auto"/>
        </w:rPr>
        <w:t>Refinery and chemical plant availability is the weighted average of the actual uptime of plants as a percentage of their maximum possible uptime. The weighting is based on the capital employed, adjusted for cash and non-current liabilities. This indicator is a measure of the operational excellence of our refinery and chemical plant facilities.See “Oil Products” on pages 51-56 and "Chemicals" on pages 57-59.</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Project delivery on schedule (%)*</w:t>
            </w:r>
          </w:p>
        </w:tc>
        <w:tc>
          <w:tcPr>
            <w:tcW w:w="1180" w:type="dxa"/>
            <w:vAlign w:val="bottom"/>
            <w:tcBorders>
              <w:top w:val="single" w:sz="8" w:color="auto"/>
            </w:tcBorders>
          </w:tcPr>
          <w:p>
            <w:pPr>
              <w:spacing w:after="0"/>
              <w:rPr>
                <w:sz w:val="11"/>
                <w:szCs w:val="11"/>
                <w:color w:val="auto"/>
              </w:rPr>
            </w:pPr>
          </w:p>
        </w:tc>
        <w:tc>
          <w:tcPr>
            <w:tcW w:w="2260" w:type="dxa"/>
            <w:vAlign w:val="bottom"/>
            <w:tcBorders>
              <w:top w:val="single" w:sz="8" w:color="auto"/>
            </w:tcBorders>
          </w:tcPr>
          <w:p>
            <w:pPr>
              <w:spacing w:after="0"/>
              <w:rPr>
                <w:sz w:val="11"/>
                <w:szCs w:val="11"/>
                <w:color w:val="auto"/>
              </w:rPr>
            </w:pPr>
          </w:p>
        </w:tc>
      </w:tr>
      <w:tr>
        <w:trPr>
          <w:trHeight w:val="127"/>
        </w:trPr>
        <w:tc>
          <w:tcPr>
            <w:tcW w:w="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2020</w:t>
            </w: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0"/>
                <w:szCs w:val="10"/>
                <w:color w:val="auto"/>
              </w:rPr>
              <w:t>48</w:t>
            </w: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2019</w:t>
            </w:r>
          </w:p>
        </w:tc>
        <w:tc>
          <w:tcPr>
            <w:tcW w:w="2260" w:type="dxa"/>
            <w:vAlign w:val="bottom"/>
            <w:tcBorders>
              <w:bottom w:val="single" w:sz="8" w:color="auto"/>
            </w:tcBorders>
          </w:tcPr>
          <w:p>
            <w:pPr>
              <w:jc w:val="right"/>
              <w:ind w:right="1772"/>
              <w:spacing w:after="0"/>
              <w:rPr>
                <w:sz w:val="20"/>
                <w:szCs w:val="20"/>
                <w:color w:val="auto"/>
              </w:rPr>
            </w:pPr>
            <w:r>
              <w:rPr>
                <w:rFonts w:ascii="Arial" w:cs="Arial" w:eastAsia="Arial" w:hAnsi="Arial"/>
                <w:sz w:val="10"/>
                <w:szCs w:val="10"/>
                <w:color w:val="auto"/>
              </w:rPr>
              <w:t>90</w:t>
            </w:r>
          </w:p>
        </w:tc>
      </w:tr>
      <w:tr>
        <w:trPr>
          <w:trHeight w:val="114"/>
        </w:trPr>
        <w:tc>
          <w:tcPr>
            <w:tcW w:w="1960" w:type="dxa"/>
            <w:vAlign w:val="bottom"/>
            <w:gridSpan w:val="2"/>
          </w:tcPr>
          <w:p>
            <w:pPr>
              <w:spacing w:after="0"/>
              <w:rPr>
                <w:sz w:val="20"/>
                <w:szCs w:val="20"/>
                <w:color w:val="auto"/>
              </w:rPr>
            </w:pPr>
            <w:r>
              <w:rPr>
                <w:rFonts w:ascii="Arial" w:cs="Arial" w:eastAsia="Arial" w:hAnsi="Arial"/>
                <w:sz w:val="10"/>
                <w:szCs w:val="10"/>
                <w:color w:val="auto"/>
              </w:rPr>
              <w:t>Project delivery on budget (%)*</w:t>
            </w:r>
          </w:p>
        </w:tc>
        <w:tc>
          <w:tcPr>
            <w:tcW w:w="1180" w:type="dxa"/>
            <w:vAlign w:val="bottom"/>
          </w:tcPr>
          <w:p>
            <w:pPr>
              <w:spacing w:after="0"/>
              <w:rPr>
                <w:sz w:val="9"/>
                <w:szCs w:val="9"/>
                <w:color w:val="auto"/>
              </w:rPr>
            </w:pPr>
          </w:p>
        </w:tc>
        <w:tc>
          <w:tcPr>
            <w:tcW w:w="2260" w:type="dxa"/>
            <w:vAlign w:val="bottom"/>
          </w:tcPr>
          <w:p>
            <w:pPr>
              <w:spacing w:after="0"/>
              <w:rPr>
                <w:sz w:val="9"/>
                <w:szCs w:val="9"/>
                <w:color w:val="auto"/>
              </w:rPr>
            </w:pPr>
          </w:p>
        </w:tc>
      </w:tr>
      <w:tr>
        <w:trPr>
          <w:trHeight w:val="127"/>
        </w:trPr>
        <w:tc>
          <w:tcPr>
            <w:tcW w:w="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2020</w:t>
            </w: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0"/>
                <w:szCs w:val="10"/>
                <w:color w:val="auto"/>
              </w:rPr>
              <w:t>104</w:t>
            </w: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2019</w:t>
            </w:r>
          </w:p>
        </w:tc>
        <w:tc>
          <w:tcPr>
            <w:tcW w:w="2260" w:type="dxa"/>
            <w:vAlign w:val="bottom"/>
            <w:tcBorders>
              <w:bottom w:val="single" w:sz="8" w:color="auto"/>
            </w:tcBorders>
          </w:tcPr>
          <w:p>
            <w:pPr>
              <w:jc w:val="right"/>
              <w:ind w:right="1752"/>
              <w:spacing w:after="0"/>
              <w:rPr>
                <w:sz w:val="20"/>
                <w:szCs w:val="20"/>
                <w:color w:val="auto"/>
              </w:rPr>
            </w:pPr>
            <w:r>
              <w:rPr>
                <w:rFonts w:ascii="Arial" w:cs="Arial" w:eastAsia="Arial" w:hAnsi="Arial"/>
                <w:sz w:val="10"/>
                <w:szCs w:val="10"/>
                <w:color w:val="auto"/>
              </w:rPr>
              <w:t>99</w:t>
            </w:r>
          </w:p>
        </w:tc>
      </w:tr>
    </w:tbl>
    <w:p>
      <w:pPr>
        <w:spacing w:after="0" w:line="51" w:lineRule="exact"/>
        <w:rPr>
          <w:sz w:val="20"/>
          <w:szCs w:val="20"/>
          <w:color w:val="auto"/>
        </w:rPr>
      </w:pPr>
    </w:p>
    <w:p>
      <w:pPr>
        <w:ind w:right="200"/>
        <w:spacing w:after="0" w:line="320" w:lineRule="auto"/>
        <w:rPr>
          <w:sz w:val="20"/>
          <w:szCs w:val="20"/>
          <w:color w:val="auto"/>
        </w:rPr>
      </w:pPr>
      <w:r>
        <w:rPr>
          <w:rFonts w:ascii="Arial" w:cs="Arial" w:eastAsia="Arial" w:hAnsi="Arial"/>
          <w:sz w:val="8"/>
          <w:szCs w:val="8"/>
          <w:color w:val="auto"/>
        </w:rPr>
        <w:t>Project delivery reflects our capability to complete major projects on time and within budget on the basis of the targets set in our annual business plan. Project delivery on schedule measures the percentage of projects delivered on schedule. Project delivery on budget reflects the aggregate cost against the aggregate budget for those projects, where a figure greater than 100% means over-budget.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344043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Proved oil and gas reserves (million boe)</w:t>
      </w:r>
    </w:p>
    <w:p>
      <w:pPr>
        <w:spacing w:after="0" w:line="11" w:lineRule="exact"/>
        <w:rPr>
          <w:sz w:val="20"/>
          <w:szCs w:val="20"/>
          <w:color w:val="auto"/>
        </w:rPr>
      </w:pPr>
    </w:p>
    <w:p>
      <w:pPr>
        <w:ind w:left="20"/>
        <w:spacing w:after="0"/>
        <w:tabs>
          <w:tab w:leader="none" w:pos="860" w:val="left"/>
          <w:tab w:leader="none" w:pos="2620" w:val="left"/>
          <w:tab w:leader="none" w:pos="350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9,124</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11,096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344043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54" w:lineRule="exact"/>
        <w:rPr>
          <w:sz w:val="20"/>
          <w:szCs w:val="20"/>
          <w:color w:val="auto"/>
        </w:rPr>
      </w:pPr>
    </w:p>
    <w:p>
      <w:pPr>
        <w:ind w:right="220"/>
        <w:spacing w:after="0" w:line="297" w:lineRule="auto"/>
        <w:rPr>
          <w:sz w:val="20"/>
          <w:szCs w:val="20"/>
          <w:color w:val="auto"/>
        </w:rPr>
      </w:pPr>
      <w:r>
        <w:rPr>
          <w:rFonts w:ascii="Arial" w:cs="Arial" w:eastAsia="Arial" w:hAnsi="Arial"/>
          <w:sz w:val="8"/>
          <w:szCs w:val="8"/>
          <w:color w:val="auto"/>
        </w:rPr>
        <w:t>Proved oil and gas reserves are the total estimated quantities of oil and gas from Shell subsidiaries and Shell’s share from joint ventures and associates that geoscience and engineering data demonstrate, with reasonable certainty, to be recoverable in future years from known reservoirs, at December 31, under existing economic conditions, operating methods and government regulations. Gas volumes are converted into boe using a factor of 5,800 scf/b. Reserves estimates are subject to change owing to a wide variety of factors, some of which are unpredictable.See “Risk factors” on page 18-22, “Summary of results” on pages 26-27, “Oil and gas information” on pages 43-50 and “Supplementary information – oil and gas (unaudited)” on pages 211-228.</w:t>
      </w: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color w:val="auto"/>
        </w:rPr>
        <w:t>SAFETY AND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342900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0"/>
          <w:szCs w:val="10"/>
          <w:color w:val="auto"/>
        </w:rPr>
        <w:t>Total recordable case frequency (injuries per million working hours)*</w:t>
      </w:r>
    </w:p>
    <w:p>
      <w:pPr>
        <w:spacing w:after="0" w:line="11" w:lineRule="exact"/>
        <w:rPr>
          <w:sz w:val="20"/>
          <w:szCs w:val="20"/>
          <w:color w:val="auto"/>
        </w:rPr>
      </w:pPr>
    </w:p>
    <w:p>
      <w:pPr>
        <w:spacing w:after="0"/>
        <w:tabs>
          <w:tab w:leader="none" w:pos="840" w:val="left"/>
          <w:tab w:leader="none" w:pos="2600" w:val="left"/>
          <w:tab w:leader="none" w:pos="346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0.7</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342900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45" w:lineRule="exact"/>
        <w:rPr>
          <w:sz w:val="20"/>
          <w:szCs w:val="20"/>
          <w:color w:val="auto"/>
        </w:rPr>
      </w:pPr>
    </w:p>
    <w:p>
      <w:pPr>
        <w:ind w:right="360"/>
        <w:spacing w:after="0" w:line="358" w:lineRule="auto"/>
        <w:rPr>
          <w:sz w:val="20"/>
          <w:szCs w:val="20"/>
          <w:color w:val="auto"/>
        </w:rPr>
      </w:pPr>
      <w:r>
        <w:rPr>
          <w:rFonts w:ascii="Arial" w:cs="Arial" w:eastAsia="Arial" w:hAnsi="Arial"/>
          <w:sz w:val="8"/>
          <w:szCs w:val="8"/>
          <w:color w:val="auto"/>
        </w:rPr>
        <w:t>Total recordable case frequency (TRCF) is the number of employee and contract staff injuries requiring medical treatment or time off for every million hours worked. It is a standard measure of occupational safety.See “Environment and society” on pages 65-72.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42900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auto"/>
        </w:rPr>
        <w:t>Number of operational Tier 1 and 2 process safety events*</w:t>
      </w:r>
    </w:p>
    <w:p>
      <w:pPr>
        <w:spacing w:after="0" w:line="11" w:lineRule="exact"/>
        <w:rPr>
          <w:sz w:val="20"/>
          <w:szCs w:val="20"/>
          <w:color w:val="auto"/>
        </w:rPr>
      </w:pPr>
    </w:p>
    <w:p>
      <w:pPr>
        <w:spacing w:after="0"/>
        <w:tabs>
          <w:tab w:leader="none" w:pos="840" w:val="left"/>
          <w:tab w:leader="none" w:pos="2600" w:val="left"/>
          <w:tab w:leader="none" w:pos="346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103</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342900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54" w:lineRule="exact"/>
        <w:rPr>
          <w:sz w:val="20"/>
          <w:szCs w:val="20"/>
          <w:color w:val="auto"/>
        </w:rPr>
      </w:pPr>
    </w:p>
    <w:p>
      <w:pPr>
        <w:ind w:right="180"/>
        <w:spacing w:after="0" w:line="307" w:lineRule="auto"/>
        <w:rPr>
          <w:sz w:val="20"/>
          <w:szCs w:val="20"/>
          <w:color w:val="auto"/>
        </w:rPr>
      </w:pPr>
      <w:r>
        <w:rPr>
          <w:rFonts w:ascii="Arial" w:cs="Arial" w:eastAsia="Arial" w:hAnsi="Arial"/>
          <w:sz w:val="8"/>
          <w:szCs w:val="8"/>
          <w:color w:val="auto"/>
        </w:rPr>
        <w:t>A Tier 1 process safety event is an unplanned or uncontrolled release of any material, including non-toxic and non-flammable materials, from a process with the greatest actual consequence resulting in harm to employees, contract staff, or a neighbouring community, damage to equipment, or exceeding a threshold quantity, as defined by the API Recommended Practice 754 and IOGP Standard 456. A Tier 2 process safety event is a release of lesser consequence.See “Environment and society” on pages 65-72.</w:t>
      </w:r>
    </w:p>
    <w:p>
      <w:pPr>
        <w:spacing w:after="0" w:line="34" w:lineRule="exact"/>
        <w:rPr>
          <w:sz w:val="20"/>
          <w:szCs w:val="20"/>
          <w:color w:val="auto"/>
        </w:rPr>
      </w:pPr>
    </w:p>
    <w:p>
      <w:pPr>
        <w:spacing w:after="0" w:line="115" w:lineRule="exact"/>
        <w:rPr>
          <w:sz w:val="20"/>
          <w:szCs w:val="20"/>
          <w:color w:val="auto"/>
        </w:rPr>
      </w:pPr>
      <w:r>
        <w:rPr>
          <w:rFonts w:ascii="Arial" w:cs="Arial" w:eastAsia="Arial" w:hAnsi="Arial"/>
          <w:sz w:val="10"/>
          <w:szCs w:val="10"/>
          <w:color w:val="auto"/>
        </w:rPr>
        <w:t>Upstream and Integrated Gas GHG intensity (tonnes of CO</w:t>
      </w:r>
      <w:r>
        <w:rPr>
          <w:rFonts w:ascii="MS PGothic" w:cs="MS PGothic" w:eastAsia="MS PGothic" w:hAnsi="MS PGothic"/>
          <w:sz w:val="10"/>
          <w:szCs w:val="10"/>
          <w:color w:val="auto"/>
        </w:rPr>
        <w:t>₂</w:t>
      </w:r>
      <w:r>
        <w:rPr>
          <w:rFonts w:ascii="Arial" w:cs="Arial" w:eastAsia="Arial" w:hAnsi="Arial"/>
          <w:sz w:val="10"/>
          <w:szCs w:val="10"/>
          <w:color w:val="auto"/>
        </w:rPr>
        <w:t xml:space="preserve"> equivalent/tonne of hydrocarbon production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342900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14" w:lineRule="exact"/>
        <w:rPr>
          <w:sz w:val="20"/>
          <w:szCs w:val="20"/>
          <w:color w:val="auto"/>
        </w:rPr>
      </w:pPr>
    </w:p>
    <w:p>
      <w:pPr>
        <w:spacing w:after="0"/>
        <w:tabs>
          <w:tab w:leader="none" w:pos="840" w:val="left"/>
          <w:tab w:leader="none" w:pos="2600" w:val="left"/>
          <w:tab w:leader="none" w:pos="346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0.16</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4290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49" w:lineRule="exact"/>
        <w:rPr>
          <w:sz w:val="20"/>
          <w:szCs w:val="20"/>
          <w:color w:val="auto"/>
        </w:rPr>
      </w:pPr>
    </w:p>
    <w:p>
      <w:pPr>
        <w:jc w:val="both"/>
        <w:ind w:right="280"/>
        <w:spacing w:after="0" w:line="113" w:lineRule="exact"/>
        <w:rPr>
          <w:sz w:val="20"/>
          <w:szCs w:val="20"/>
          <w:color w:val="auto"/>
        </w:rPr>
      </w:pPr>
      <w:r>
        <w:rPr>
          <w:rFonts w:ascii="Arial" w:cs="Arial" w:eastAsia="Arial" w:hAnsi="Arial"/>
          <w:sz w:val="8"/>
          <w:szCs w:val="8"/>
          <w:color w:val="auto"/>
        </w:rPr>
        <w:t>Upstream/midstream GHG intensity is a measure of GHG emissions (direct and indirect GHG emissions associated with imported energy, excluding emissions from exported energy), expressed in metric tonnes of CO</w:t>
      </w:r>
      <w:r>
        <w:rPr>
          <w:rFonts w:ascii="MS PGothic" w:cs="MS PGothic" w:eastAsia="MS PGothic" w:hAnsi="MS PGothic"/>
          <w:sz w:val="8"/>
          <w:szCs w:val="8"/>
          <w:color w:val="auto"/>
        </w:rPr>
        <w:t>₂</w:t>
      </w:r>
      <w:r>
        <w:rPr>
          <w:rFonts w:ascii="Arial" w:cs="Arial" w:eastAsia="Arial" w:hAnsi="Arial"/>
          <w:sz w:val="8"/>
          <w:szCs w:val="8"/>
          <w:color w:val="auto"/>
        </w:rPr>
        <w:t xml:space="preserve"> equivalent, emitted into the atmosphere per metric tonne of hydrocarbon production available for sale.See “Climate change and energy transition” on pages 73-85.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52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0"/>
                <w:szCs w:val="10"/>
                <w:color w:val="auto"/>
                <w:w w:val="93"/>
              </w:rPr>
              <w:t>Refining GHG intensity (tonnes of CO</w:t>
            </w:r>
            <w:r>
              <w:rPr>
                <w:rFonts w:ascii="MS PGothic" w:cs="MS PGothic" w:eastAsia="MS PGothic" w:hAnsi="MS PGothic"/>
                <w:sz w:val="10"/>
                <w:szCs w:val="10"/>
                <w:color w:val="auto"/>
                <w:w w:val="93"/>
              </w:rPr>
              <w:t>₂</w:t>
            </w:r>
            <w:r>
              <w:rPr>
                <w:rFonts w:ascii="Arial" w:cs="Arial" w:eastAsia="Arial" w:hAnsi="Arial"/>
                <w:sz w:val="10"/>
                <w:szCs w:val="10"/>
                <w:color w:val="auto"/>
                <w:w w:val="93"/>
              </w:rPr>
              <w:t xml:space="preserve"> equivalent/UEDC</w:t>
            </w:r>
            <w:r>
              <w:rPr>
                <w:rFonts w:ascii="Arial" w:cs="Arial" w:eastAsia="Arial" w:hAnsi="Arial"/>
                <w:sz w:val="12"/>
                <w:szCs w:val="12"/>
                <w:color w:val="auto"/>
                <w:w w:val="93"/>
                <w:vertAlign w:val="superscript"/>
              </w:rPr>
              <w:t>TM</w:t>
            </w:r>
            <w:r>
              <w:rPr>
                <w:rFonts w:ascii="Arial" w:cs="Arial" w:eastAsia="Arial" w:hAnsi="Arial"/>
                <w:sz w:val="10"/>
                <w:szCs w:val="10"/>
                <w:color w:val="auto"/>
                <w:w w:val="93"/>
              </w:rPr>
              <w:t>)*</w:t>
            </w:r>
          </w:p>
        </w:tc>
        <w:tc>
          <w:tcPr>
            <w:tcW w:w="62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5"/>
        </w:trPr>
        <w:tc>
          <w:tcPr>
            <w:tcW w:w="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2020</w:t>
            </w:r>
          </w:p>
        </w:tc>
        <w:tc>
          <w:tcPr>
            <w:tcW w:w="1980" w:type="dxa"/>
            <w:vAlign w:val="bottom"/>
            <w:tcBorders>
              <w:bottom w:val="single" w:sz="8" w:color="auto"/>
            </w:tcBorders>
          </w:tcPr>
          <w:p>
            <w:pPr>
              <w:jc w:val="right"/>
              <w:ind w:right="1432"/>
              <w:spacing w:after="0"/>
              <w:rPr>
                <w:sz w:val="20"/>
                <w:szCs w:val="20"/>
                <w:color w:val="auto"/>
              </w:rPr>
            </w:pPr>
            <w:r>
              <w:rPr>
                <w:rFonts w:ascii="Arial" w:cs="Arial" w:eastAsia="Arial" w:hAnsi="Arial"/>
                <w:sz w:val="10"/>
                <w:szCs w:val="10"/>
                <w:color w:val="auto"/>
              </w:rPr>
              <w:t>1.05</w:t>
            </w:r>
          </w:p>
        </w:tc>
        <w:tc>
          <w:tcPr>
            <w:tcW w:w="6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2019</w:t>
            </w:r>
          </w:p>
        </w:tc>
        <w:tc>
          <w:tcPr>
            <w:tcW w:w="2260" w:type="dxa"/>
            <w:vAlign w:val="bottom"/>
            <w:tcBorders>
              <w:bottom w:val="single" w:sz="8" w:color="auto"/>
            </w:tcBorders>
          </w:tcPr>
          <w:p>
            <w:pPr>
              <w:jc w:val="right"/>
              <w:ind w:right="1698"/>
              <w:spacing w:after="0"/>
              <w:rPr>
                <w:sz w:val="20"/>
                <w:szCs w:val="20"/>
                <w:color w:val="auto"/>
              </w:rPr>
            </w:pPr>
            <w:r>
              <w:rPr>
                <w:rFonts w:ascii="Arial" w:cs="Arial" w:eastAsia="Arial" w:hAnsi="Arial"/>
                <w:sz w:val="10"/>
                <w:szCs w:val="10"/>
                <w:color w:val="auto"/>
              </w:rPr>
              <w:t>1.06</w:t>
            </w:r>
          </w:p>
        </w:tc>
        <w:tc>
          <w:tcPr>
            <w:tcW w:w="200" w:type="dxa"/>
            <w:vAlign w:val="bottom"/>
          </w:tcPr>
          <w:p>
            <w:pPr>
              <w:spacing w:after="0"/>
              <w:rPr>
                <w:sz w:val="10"/>
                <w:szCs w:val="10"/>
                <w:color w:val="auto"/>
              </w:rPr>
            </w:pPr>
          </w:p>
        </w:tc>
      </w:tr>
      <w:tr>
        <w:trPr>
          <w:trHeight w:val="481"/>
        </w:trPr>
        <w:tc>
          <w:tcPr>
            <w:tcW w:w="2520" w:type="dxa"/>
            <w:vAlign w:val="bottom"/>
            <w:gridSpan w:val="2"/>
          </w:tcPr>
          <w:p>
            <w:pPr>
              <w:spacing w:after="0"/>
              <w:rPr>
                <w:sz w:val="20"/>
                <w:szCs w:val="20"/>
                <w:color w:val="auto"/>
              </w:rPr>
            </w:pPr>
            <w:r>
              <w:rPr>
                <w:rFonts w:ascii="Arial" w:cs="Arial" w:eastAsia="Arial" w:hAnsi="Arial"/>
                <w:sz w:val="7"/>
                <w:szCs w:val="7"/>
                <w:color w:val="auto"/>
              </w:rPr>
              <w:t>STRATEGIC REPORT SHELL FORM 20-F 2020</w:t>
            </w:r>
          </w:p>
        </w:tc>
        <w:tc>
          <w:tcPr>
            <w:tcW w:w="620" w:type="dxa"/>
            <w:vAlign w:val="bottom"/>
          </w:tcPr>
          <w:p>
            <w:pPr>
              <w:spacing w:after="0"/>
              <w:rPr>
                <w:sz w:val="24"/>
                <w:szCs w:val="24"/>
                <w:color w:val="auto"/>
              </w:rPr>
            </w:pPr>
          </w:p>
        </w:tc>
        <w:tc>
          <w:tcPr>
            <w:tcW w:w="2460" w:type="dxa"/>
            <w:vAlign w:val="bottom"/>
            <w:gridSpan w:val="2"/>
          </w:tcPr>
          <w:p>
            <w:pPr>
              <w:jc w:val="right"/>
              <w:spacing w:after="0"/>
              <w:rPr>
                <w:sz w:val="20"/>
                <w:szCs w:val="20"/>
                <w:color w:val="auto"/>
              </w:rPr>
            </w:pPr>
            <w:r>
              <w:rPr>
                <w:rFonts w:ascii="Arial" w:cs="Arial" w:eastAsia="Arial" w:hAnsi="Arial"/>
                <w:sz w:val="7"/>
                <w:szCs w:val="7"/>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91" w:lineRule="exact"/>
        <w:rPr>
          <w:sz w:val="20"/>
          <w:szCs w:val="20"/>
          <w:color w:val="auto"/>
        </w:rPr>
      </w:pPr>
      <w:r>
        <w:rPr>
          <w:rFonts w:ascii="Arial" w:cs="Arial" w:eastAsia="Arial" w:hAnsi="Arial"/>
          <w:sz w:val="9"/>
          <w:szCs w:val="9"/>
          <w:color w:val="auto"/>
        </w:rPr>
        <w:t>Refining GHG intensity is a measure of GHG emissions (direct and indirect GHG emissions associated with imported energy, excluding emissions from exported energy), expressed in metric tonnes of CO</w:t>
      </w:r>
      <w:r>
        <w:rPr>
          <w:rFonts w:ascii="MS PGothic" w:cs="MS PGothic" w:eastAsia="MS PGothic" w:hAnsi="MS PGothic"/>
          <w:sz w:val="9"/>
          <w:szCs w:val="9"/>
          <w:color w:val="auto"/>
        </w:rPr>
        <w:t>₂</w:t>
      </w:r>
      <w:r>
        <w:rPr>
          <w:rFonts w:ascii="Arial" w:cs="Arial" w:eastAsia="Arial" w:hAnsi="Arial"/>
          <w:sz w:val="9"/>
          <w:szCs w:val="9"/>
          <w:color w:val="auto"/>
        </w:rPr>
        <w:t xml:space="preserve"> equivalent, emitted into the atmosphere per unit of Utilised Equivalent Distillation Capacity (UEDC</w:t>
      </w:r>
      <w:r>
        <w:rPr>
          <w:rFonts w:ascii="Arial" w:cs="Arial" w:eastAsia="Arial" w:hAnsi="Arial"/>
          <w:sz w:val="11"/>
          <w:szCs w:val="11"/>
          <w:color w:val="auto"/>
          <w:vertAlign w:val="superscript"/>
        </w:rPr>
        <w:t>TM</w:t>
      </w:r>
      <w:r>
        <w:rPr>
          <w:rFonts w:ascii="Arial" w:cs="Arial" w:eastAsia="Arial" w:hAnsi="Arial"/>
          <w:sz w:val="9"/>
          <w:szCs w:val="9"/>
          <w:color w:val="auto"/>
        </w:rPr>
        <w:t>). UEDC</w:t>
      </w:r>
      <w:r>
        <w:rPr>
          <w:rFonts w:ascii="Arial" w:cs="Arial" w:eastAsia="Arial" w:hAnsi="Arial"/>
          <w:sz w:val="11"/>
          <w:szCs w:val="11"/>
          <w:color w:val="auto"/>
          <w:vertAlign w:val="superscript"/>
        </w:rPr>
        <w:t>TM</w:t>
      </w:r>
      <w:r>
        <w:rPr>
          <w:rFonts w:ascii="Arial" w:cs="Arial" w:eastAsia="Arial" w:hAnsi="Arial"/>
          <w:sz w:val="9"/>
          <w:szCs w:val="9"/>
          <w:color w:val="auto"/>
        </w:rPr>
        <w:t xml:space="preserve"> is a proprietary metric of Solomon Associates. It is a complexity-weighted normalisation parameter that reflects the operating cost intensity of a refinery based on the size and configuration of its particular mix of process and non-process facilities.See “Climate change and energy transition” on pages 73-85.</w:t>
      </w:r>
    </w:p>
    <w:p>
      <w:pPr>
        <w:spacing w:after="0" w:line="79" w:lineRule="exact"/>
        <w:rPr>
          <w:sz w:val="20"/>
          <w:szCs w:val="20"/>
          <w:color w:val="auto"/>
        </w:rPr>
      </w:pPr>
    </w:p>
    <w:p>
      <w:pPr>
        <w:ind w:left="20"/>
        <w:spacing w:after="0" w:line="115" w:lineRule="exact"/>
        <w:rPr>
          <w:sz w:val="20"/>
          <w:szCs w:val="20"/>
          <w:color w:val="auto"/>
        </w:rPr>
      </w:pPr>
      <w:r>
        <w:rPr>
          <w:rFonts w:ascii="Arial" w:cs="Arial" w:eastAsia="Arial" w:hAnsi="Arial"/>
          <w:sz w:val="10"/>
          <w:szCs w:val="10"/>
          <w:color w:val="auto"/>
        </w:rPr>
        <w:t>Chemicals GHG intensity (tonnes of CO</w:t>
      </w:r>
      <w:r>
        <w:rPr>
          <w:rFonts w:ascii="MS PGothic" w:cs="MS PGothic" w:eastAsia="MS PGothic" w:hAnsi="MS PGothic"/>
          <w:sz w:val="10"/>
          <w:szCs w:val="10"/>
          <w:color w:val="auto"/>
        </w:rPr>
        <w:t>₂</w:t>
      </w:r>
      <w:r>
        <w:rPr>
          <w:rFonts w:ascii="Arial" w:cs="Arial" w:eastAsia="Arial" w:hAnsi="Arial"/>
          <w:sz w:val="10"/>
          <w:szCs w:val="10"/>
          <w:color w:val="auto"/>
        </w:rPr>
        <w:t xml:space="preserve"> equivalent/tonne petrochemicals produced)*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342900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860" w:val="left"/>
          <w:tab w:leader="none" w:pos="2620" w:val="left"/>
          <w:tab w:leader="none" w:pos="348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0.98</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342900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40" w:lineRule="exact"/>
        <w:rPr>
          <w:sz w:val="20"/>
          <w:szCs w:val="20"/>
          <w:color w:val="auto"/>
        </w:rPr>
      </w:pPr>
    </w:p>
    <w:p>
      <w:pPr>
        <w:ind w:right="160"/>
        <w:spacing w:after="0" w:line="113" w:lineRule="exact"/>
        <w:rPr>
          <w:sz w:val="20"/>
          <w:szCs w:val="20"/>
          <w:color w:val="auto"/>
        </w:rPr>
      </w:pPr>
      <w:r>
        <w:rPr>
          <w:rFonts w:ascii="Arial" w:cs="Arial" w:eastAsia="Arial" w:hAnsi="Arial"/>
          <w:sz w:val="8"/>
          <w:szCs w:val="8"/>
          <w:color w:val="auto"/>
        </w:rPr>
        <w:t>Chemicals GHG intensity is a measure of GHG emissions (direct and indirect GHG emissions associated with imported energy, excluding emissions from exported energy), expressed in metric tonnes of CO</w:t>
      </w:r>
      <w:r>
        <w:rPr>
          <w:rFonts w:ascii="MS PGothic" w:cs="MS PGothic" w:eastAsia="MS PGothic" w:hAnsi="MS PGothic"/>
          <w:sz w:val="8"/>
          <w:szCs w:val="8"/>
          <w:color w:val="auto"/>
        </w:rPr>
        <w:t>₂</w:t>
      </w:r>
      <w:r>
        <w:rPr>
          <w:rFonts w:ascii="Arial" w:cs="Arial" w:eastAsia="Arial" w:hAnsi="Arial"/>
          <w:sz w:val="8"/>
          <w:szCs w:val="8"/>
          <w:color w:val="auto"/>
        </w:rPr>
        <w:t xml:space="preserve"> equivalent, emitted into the atmosphere per metric tonne of steam cracker, high-value petrochemicals production.See “Climate change and energy transition” on pages 73-85.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344043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0"/>
          <w:szCs w:val="10"/>
          <w:color w:val="auto"/>
        </w:rPr>
        <w:t>Number of operational spills of more than 100 kilograms</w:t>
      </w:r>
    </w:p>
    <w:p>
      <w:pPr>
        <w:spacing w:after="0" w:line="11" w:lineRule="exact"/>
        <w:rPr>
          <w:sz w:val="20"/>
          <w:szCs w:val="20"/>
          <w:color w:val="auto"/>
        </w:rPr>
      </w:pPr>
    </w:p>
    <w:p>
      <w:pPr>
        <w:ind w:left="20"/>
        <w:spacing w:after="0"/>
        <w:tabs>
          <w:tab w:leader="none" w:pos="860" w:val="left"/>
          <w:tab w:leader="none" w:pos="2620" w:val="left"/>
          <w:tab w:leader="none" w:pos="350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68</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7"/>
          <w:szCs w:val="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44043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54" w:lineRule="exact"/>
        <w:rPr>
          <w:sz w:val="20"/>
          <w:szCs w:val="20"/>
          <w:color w:val="auto"/>
        </w:rPr>
      </w:pPr>
    </w:p>
    <w:p>
      <w:pPr>
        <w:jc w:val="both"/>
        <w:ind w:right="80"/>
        <w:spacing w:after="0" w:line="358" w:lineRule="auto"/>
        <w:rPr>
          <w:sz w:val="20"/>
          <w:szCs w:val="20"/>
          <w:color w:val="auto"/>
        </w:rPr>
      </w:pPr>
      <w:r>
        <w:rPr>
          <w:rFonts w:ascii="Arial" w:cs="Arial" w:eastAsia="Arial" w:hAnsi="Arial"/>
          <w:sz w:val="8"/>
          <w:szCs w:val="8"/>
          <w:color w:val="auto"/>
        </w:rPr>
        <w:t>The operational spills indicator is the number of incidents in respect of activities where we are the operator in which 100 kilograms or more of oil or oil products were spilled as a result of those activities and reached the environment. See “Environment and society” on page 65-72.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4043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12" w:lineRule="exact"/>
        <w:rPr>
          <w:sz w:val="20"/>
          <w:szCs w:val="20"/>
          <w:color w:val="auto"/>
        </w:rPr>
      </w:pPr>
    </w:p>
    <w:p>
      <w:pPr>
        <w:ind w:left="20"/>
        <w:spacing w:after="0" w:line="115" w:lineRule="exact"/>
        <w:rPr>
          <w:sz w:val="20"/>
          <w:szCs w:val="20"/>
          <w:color w:val="auto"/>
        </w:rPr>
      </w:pPr>
      <w:r>
        <w:rPr>
          <w:rFonts w:ascii="Arial" w:cs="Arial" w:eastAsia="Arial" w:hAnsi="Arial"/>
          <w:sz w:val="10"/>
          <w:szCs w:val="10"/>
          <w:color w:val="auto"/>
        </w:rPr>
        <w:t>Direct GHG emissions (million tonnes of CO</w:t>
      </w:r>
      <w:r>
        <w:rPr>
          <w:rFonts w:ascii="MS PGothic" w:cs="MS PGothic" w:eastAsia="MS PGothic" w:hAnsi="MS PGothic"/>
          <w:sz w:val="10"/>
          <w:szCs w:val="10"/>
          <w:color w:val="auto"/>
        </w:rPr>
        <w:t>₂</w:t>
      </w:r>
      <w:r>
        <w:rPr>
          <w:rFonts w:ascii="Arial" w:cs="Arial" w:eastAsia="Arial" w:hAnsi="Arial"/>
          <w:sz w:val="10"/>
          <w:szCs w:val="10"/>
          <w:color w:val="auto"/>
        </w:rPr>
        <w:t xml:space="preserve"> equivalent)</w:t>
      </w:r>
    </w:p>
    <w:p>
      <w:pPr>
        <w:spacing w:after="0" w:line="26" w:lineRule="exact"/>
        <w:rPr>
          <w:sz w:val="20"/>
          <w:szCs w:val="20"/>
          <w:color w:val="auto"/>
        </w:rPr>
      </w:pPr>
    </w:p>
    <w:p>
      <w:pPr>
        <w:ind w:left="20"/>
        <w:spacing w:after="0"/>
        <w:tabs>
          <w:tab w:leader="none" w:pos="860" w:val="left"/>
          <w:tab w:leader="none" w:pos="2620" w:val="left"/>
          <w:tab w:leader="none" w:pos="348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63</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44043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30" w:lineRule="exact"/>
        <w:rPr>
          <w:sz w:val="20"/>
          <w:szCs w:val="20"/>
          <w:color w:val="auto"/>
        </w:rPr>
      </w:pPr>
    </w:p>
    <w:p>
      <w:pPr>
        <w:ind w:right="220"/>
        <w:spacing w:after="0" w:line="124" w:lineRule="exact"/>
        <w:rPr>
          <w:sz w:val="20"/>
          <w:szCs w:val="20"/>
          <w:color w:val="auto"/>
        </w:rPr>
      </w:pPr>
      <w:r>
        <w:rPr>
          <w:rFonts w:ascii="Arial" w:cs="Arial" w:eastAsia="Arial" w:hAnsi="Arial"/>
          <w:sz w:val="10"/>
          <w:szCs w:val="10"/>
          <w:color w:val="auto"/>
        </w:rPr>
        <w:t>Direct GHG emissions from facilities operated by Shell, expressed in million tonnes of CO</w:t>
      </w:r>
      <w:r>
        <w:rPr>
          <w:rFonts w:ascii="MS PGothic" w:cs="MS PGothic" w:eastAsia="MS PGothic" w:hAnsi="MS PGothic"/>
          <w:sz w:val="10"/>
          <w:szCs w:val="10"/>
          <w:color w:val="auto"/>
        </w:rPr>
        <w:t>₂</w:t>
      </w:r>
      <w:r>
        <w:rPr>
          <w:rFonts w:ascii="Arial" w:cs="Arial" w:eastAsia="Arial" w:hAnsi="Arial"/>
          <w:sz w:val="10"/>
          <w:szCs w:val="10"/>
          <w:color w:val="auto"/>
        </w:rPr>
        <w:t xml:space="preserve"> equivalent.See “Climate change and energy transition” on pages 73-85.</w:t>
      </w:r>
    </w:p>
    <w:p>
      <w:pPr>
        <w:spacing w:after="0" w:line="78" w:lineRule="exact"/>
        <w:rPr>
          <w:sz w:val="20"/>
          <w:szCs w:val="20"/>
          <w:color w:val="auto"/>
        </w:rPr>
      </w:pPr>
    </w:p>
    <w:p>
      <w:pPr>
        <w:ind w:left="40"/>
        <w:spacing w:after="0" w:line="115" w:lineRule="exact"/>
        <w:rPr>
          <w:sz w:val="20"/>
          <w:szCs w:val="20"/>
          <w:color w:val="auto"/>
        </w:rPr>
      </w:pPr>
      <w:r>
        <w:rPr>
          <w:rFonts w:ascii="Arial" w:cs="Arial" w:eastAsia="Arial" w:hAnsi="Arial"/>
          <w:sz w:val="10"/>
          <w:szCs w:val="10"/>
          <w:color w:val="auto"/>
        </w:rPr>
        <w:t>Net Carbon Footprint (grams of CO</w:t>
      </w:r>
      <w:r>
        <w:rPr>
          <w:rFonts w:ascii="MS PGothic" w:cs="MS PGothic" w:eastAsia="MS PGothic" w:hAnsi="MS PGothic"/>
          <w:sz w:val="10"/>
          <w:szCs w:val="10"/>
          <w:color w:val="auto"/>
        </w:rPr>
        <w:t>₂</w:t>
      </w:r>
      <w:r>
        <w:rPr>
          <w:rFonts w:ascii="Arial" w:cs="Arial" w:eastAsia="Arial" w:hAnsi="Arial"/>
          <w:sz w:val="10"/>
          <w:szCs w:val="10"/>
          <w:color w:val="auto"/>
        </w:rPr>
        <w:t xml:space="preserve"> equivalent per megajoule)*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344043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14" w:lineRule="exact"/>
        <w:rPr>
          <w:sz w:val="20"/>
          <w:szCs w:val="20"/>
          <w:color w:val="auto"/>
        </w:rPr>
      </w:pPr>
    </w:p>
    <w:p>
      <w:pPr>
        <w:ind w:left="40"/>
        <w:spacing w:after="0"/>
        <w:tabs>
          <w:tab w:leader="none" w:pos="880" w:val="left"/>
          <w:tab w:leader="none" w:pos="2620" w:val="left"/>
          <w:tab w:leader="none" w:pos="3500" w:val="left"/>
        </w:tabs>
        <w:rPr>
          <w:sz w:val="20"/>
          <w:szCs w:val="20"/>
          <w:color w:val="auto"/>
        </w:rPr>
      </w:pPr>
      <w:r>
        <w:rPr>
          <w:rFonts w:ascii="Arial" w:cs="Arial" w:eastAsia="Arial" w:hAnsi="Arial"/>
          <w:sz w:val="10"/>
          <w:szCs w:val="10"/>
          <w:color w:val="auto"/>
        </w:rPr>
        <w:t>2020</w:t>
      </w:r>
      <w:r>
        <w:rPr>
          <w:sz w:val="20"/>
          <w:szCs w:val="20"/>
          <w:color w:val="auto"/>
        </w:rPr>
        <w:tab/>
      </w:r>
      <w:r>
        <w:rPr>
          <w:rFonts w:ascii="Arial" w:cs="Arial" w:eastAsia="Arial" w:hAnsi="Arial"/>
          <w:sz w:val="10"/>
          <w:szCs w:val="10"/>
          <w:color w:val="auto"/>
        </w:rPr>
        <w:t>75</w:t>
      </w:r>
      <w:r>
        <w:rPr>
          <w:sz w:val="20"/>
          <w:szCs w:val="20"/>
          <w:color w:val="auto"/>
        </w:rPr>
        <w:tab/>
      </w:r>
      <w:r>
        <w:rPr>
          <w:rFonts w:ascii="Arial" w:cs="Arial" w:eastAsia="Arial" w:hAnsi="Arial"/>
          <w:sz w:val="10"/>
          <w:szCs w:val="10"/>
          <w:color w:val="auto"/>
        </w:rPr>
        <w:t>2019</w:t>
      </w:r>
      <w:r>
        <w:rPr>
          <w:sz w:val="20"/>
          <w:szCs w:val="20"/>
          <w:color w:val="auto"/>
        </w:rPr>
        <w:tab/>
      </w:r>
      <w:r>
        <w:rPr>
          <w:rFonts w:ascii="Arial" w:cs="Arial" w:eastAsia="Arial" w:hAnsi="Arial"/>
          <w:sz w:val="8"/>
          <w:szCs w:val="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5715</wp:posOffset>
            </wp:positionV>
            <wp:extent cx="344043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40" w:lineRule="exact"/>
        <w:rPr>
          <w:sz w:val="20"/>
          <w:szCs w:val="20"/>
          <w:color w:val="auto"/>
        </w:rPr>
      </w:pPr>
    </w:p>
    <w:p>
      <w:pPr>
        <w:spacing w:after="0" w:line="110" w:lineRule="exact"/>
        <w:rPr>
          <w:sz w:val="20"/>
          <w:szCs w:val="20"/>
          <w:color w:val="auto"/>
        </w:rPr>
      </w:pPr>
      <w:r>
        <w:rPr>
          <w:rFonts w:ascii="Arial" w:cs="Arial" w:eastAsia="Arial" w:hAnsi="Arial"/>
          <w:sz w:val="8"/>
          <w:szCs w:val="8"/>
          <w:color w:val="auto"/>
        </w:rPr>
        <w:t>Net Carbon Footprint is a comprehensive measure of the life-cycle carbon intensity of the energy products we sell. It is a weighted average of the life-cycle CO</w:t>
      </w:r>
      <w:r>
        <w:rPr>
          <w:rFonts w:ascii="MS PGothic" w:cs="MS PGothic" w:eastAsia="MS PGothic" w:hAnsi="MS PGothic"/>
          <w:sz w:val="8"/>
          <w:szCs w:val="8"/>
          <w:color w:val="auto"/>
        </w:rPr>
        <w:t>₂</w:t>
      </w:r>
      <w:r>
        <w:rPr>
          <w:rFonts w:ascii="Arial" w:cs="Arial" w:eastAsia="Arial" w:hAnsi="Arial"/>
          <w:sz w:val="8"/>
          <w:szCs w:val="8"/>
          <w:color w:val="auto"/>
        </w:rPr>
        <w:t xml:space="preserve"> intensities of different energy products, normalised to the same point relative to their final end use. It includes emissions from the extraction, transportation and processing of crude oil or gas or other feedstocks, transport of products, and our customers’ emissions from the use of products we sell. Also included are emissions from elements of this life cycle not owned by Shell, such as oil and gas processed by Shell but not produced by Shell; or from oil products and electricity marketed by Shell that have not been processed or generated at a Shell facility. Emissions compensated through various measures are also included, such as emissions mitigated by nature-based solutions and carbon capture and storage technology.See “Climate change and energy transition” on pages 73-85.</w:t>
      </w:r>
    </w:p>
    <w:p>
      <w:pPr>
        <w:sectPr>
          <w:pgSz w:w="11900" w:h="16838" w:orient="portrait"/>
          <w:cols w:equalWidth="0" w:num="2">
            <w:col w:w="5600" w:space="120"/>
            <w:col w:w="5460"/>
          </w:cols>
          <w:pgMar w:left="300" w:top="640" w:right="419" w:bottom="1440" w:gutter="0" w:footer="0" w:header="0"/>
        </w:sectPr>
      </w:pPr>
    </w:p>
    <w:bookmarkStart w:id="32" w:name="page33"/>
    <w:bookmarkEnd w:id="32"/>
    <w:p>
      <w:pPr>
        <w:spacing w:after="0"/>
        <w:rPr>
          <w:sz w:val="20"/>
          <w:szCs w:val="20"/>
          <w:color w:val="auto"/>
        </w:rPr>
      </w:pPr>
      <w:r>
        <w:rPr>
          <w:rFonts w:ascii="Arial" w:cs="Arial" w:eastAsia="Arial" w:hAnsi="Arial"/>
          <w:sz w:val="24"/>
          <w:szCs w:val="24"/>
          <w:color w:val="auto"/>
        </w:rPr>
        <w:t>INTEGRATED GAS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Key statistics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526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w w:val="88"/>
              </w:rPr>
              <w:t>$ million, except where indicated</w:t>
            </w:r>
          </w:p>
        </w:tc>
      </w:tr>
      <w:tr>
        <w:trPr>
          <w:trHeight w:val="130"/>
        </w:trPr>
        <w:tc>
          <w:tcPr>
            <w:tcW w:w="526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5260" w:type="dxa"/>
            <w:vAlign w:val="bottom"/>
          </w:tcPr>
          <w:p>
            <w:pPr>
              <w:spacing w:after="0"/>
              <w:rPr>
                <w:sz w:val="20"/>
                <w:szCs w:val="20"/>
                <w:color w:val="auto"/>
              </w:rPr>
            </w:pPr>
            <w:r>
              <w:rPr>
                <w:rFonts w:ascii="Arial" w:cs="Arial" w:eastAsia="Arial" w:hAnsi="Arial"/>
                <w:sz w:val="10"/>
                <w:szCs w:val="10"/>
                <w:color w:val="auto"/>
              </w:rPr>
              <w:t>Segment earnings</w:t>
            </w:r>
          </w:p>
        </w:tc>
        <w:tc>
          <w:tcPr>
            <w:tcW w:w="3880" w:type="dxa"/>
            <w:vAlign w:val="bottom"/>
          </w:tcPr>
          <w:p>
            <w:pPr>
              <w:jc w:val="right"/>
              <w:ind w:right="472"/>
              <w:spacing w:after="0"/>
              <w:rPr>
                <w:sz w:val="20"/>
                <w:szCs w:val="20"/>
                <w:color w:val="auto"/>
              </w:rPr>
            </w:pPr>
            <w:r>
              <w:rPr>
                <w:rFonts w:ascii="Arial" w:cs="Arial" w:eastAsia="Arial" w:hAnsi="Arial"/>
                <w:sz w:val="10"/>
                <w:szCs w:val="10"/>
                <w:color w:val="auto"/>
              </w:rPr>
              <w:t>(6,278)</w:t>
            </w:r>
          </w:p>
        </w:tc>
        <w:tc>
          <w:tcPr>
            <w:tcW w:w="820" w:type="dxa"/>
            <w:vAlign w:val="bottom"/>
          </w:tcPr>
          <w:p>
            <w:pPr>
              <w:jc w:val="right"/>
              <w:spacing w:after="0"/>
              <w:rPr>
                <w:sz w:val="20"/>
                <w:szCs w:val="20"/>
                <w:color w:val="auto"/>
              </w:rPr>
            </w:pPr>
            <w:r>
              <w:rPr>
                <w:rFonts w:ascii="Arial" w:cs="Arial" w:eastAsia="Arial" w:hAnsi="Arial"/>
                <w:sz w:val="10"/>
                <w:szCs w:val="10"/>
                <w:color w:val="auto"/>
              </w:rPr>
              <w:t>8,628</w:t>
            </w:r>
          </w:p>
        </w:tc>
        <w:tc>
          <w:tcPr>
            <w:tcW w:w="1320" w:type="dxa"/>
            <w:vAlign w:val="bottom"/>
          </w:tcPr>
          <w:p>
            <w:pPr>
              <w:jc w:val="right"/>
              <w:spacing w:after="0"/>
              <w:rPr>
                <w:sz w:val="20"/>
                <w:szCs w:val="20"/>
                <w:color w:val="auto"/>
              </w:rPr>
            </w:pPr>
            <w:r>
              <w:rPr>
                <w:rFonts w:ascii="Arial" w:cs="Arial" w:eastAsia="Arial" w:hAnsi="Arial"/>
                <w:sz w:val="10"/>
                <w:szCs w:val="10"/>
                <w:color w:val="auto"/>
              </w:rPr>
              <w:t>11,444</w:t>
            </w:r>
          </w:p>
        </w:tc>
      </w:tr>
      <w:tr>
        <w:trPr>
          <w:trHeight w:val="123"/>
        </w:trPr>
        <w:tc>
          <w:tcPr>
            <w:tcW w:w="5260" w:type="dxa"/>
            <w:vAlign w:val="bottom"/>
          </w:tcPr>
          <w:p>
            <w:pPr>
              <w:spacing w:after="0"/>
              <w:rPr>
                <w:sz w:val="20"/>
                <w:szCs w:val="20"/>
                <w:color w:val="auto"/>
              </w:rPr>
            </w:pPr>
            <w:r>
              <w:rPr>
                <w:rFonts w:ascii="Arial" w:cs="Arial" w:eastAsia="Arial" w:hAnsi="Arial"/>
                <w:sz w:val="10"/>
                <w:szCs w:val="10"/>
                <w:color w:val="auto"/>
              </w:rPr>
              <w:t>Including:</w:t>
            </w:r>
          </w:p>
        </w:tc>
        <w:tc>
          <w:tcPr>
            <w:tcW w:w="3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26"/>
        </w:trPr>
        <w:tc>
          <w:tcPr>
            <w:tcW w:w="5260" w:type="dxa"/>
            <w:vAlign w:val="bottom"/>
          </w:tcPr>
          <w:p>
            <w:pPr>
              <w:ind w:left="140"/>
              <w:spacing w:after="0"/>
              <w:rPr>
                <w:sz w:val="20"/>
                <w:szCs w:val="20"/>
                <w:color w:val="auto"/>
              </w:rPr>
            </w:pPr>
            <w:r>
              <w:rPr>
                <w:rFonts w:ascii="Arial" w:cs="Arial" w:eastAsia="Arial" w:hAnsi="Arial"/>
                <w:sz w:val="10"/>
                <w:szCs w:val="10"/>
                <w:color w:val="auto"/>
              </w:rPr>
              <w:t>Revenue (including inter-segment sales)</w:t>
            </w:r>
          </w:p>
        </w:tc>
        <w:tc>
          <w:tcPr>
            <w:tcW w:w="3880" w:type="dxa"/>
            <w:vAlign w:val="bottom"/>
          </w:tcPr>
          <w:p>
            <w:pPr>
              <w:jc w:val="right"/>
              <w:ind w:right="492"/>
              <w:spacing w:after="0"/>
              <w:rPr>
                <w:sz w:val="20"/>
                <w:szCs w:val="20"/>
                <w:color w:val="auto"/>
              </w:rPr>
            </w:pPr>
            <w:r>
              <w:rPr>
                <w:rFonts w:ascii="Arial" w:cs="Arial" w:eastAsia="Arial" w:hAnsi="Arial"/>
                <w:sz w:val="10"/>
                <w:szCs w:val="10"/>
                <w:color w:val="auto"/>
              </w:rPr>
              <w:t>36,697</w:t>
            </w:r>
          </w:p>
        </w:tc>
        <w:tc>
          <w:tcPr>
            <w:tcW w:w="820" w:type="dxa"/>
            <w:vAlign w:val="bottom"/>
          </w:tcPr>
          <w:p>
            <w:pPr>
              <w:jc w:val="right"/>
              <w:spacing w:after="0"/>
              <w:rPr>
                <w:sz w:val="20"/>
                <w:szCs w:val="20"/>
                <w:color w:val="auto"/>
              </w:rPr>
            </w:pPr>
            <w:r>
              <w:rPr>
                <w:rFonts w:ascii="Arial" w:cs="Arial" w:eastAsia="Arial" w:hAnsi="Arial"/>
                <w:sz w:val="10"/>
                <w:szCs w:val="10"/>
                <w:color w:val="auto"/>
              </w:rPr>
              <w:t>45,602</w:t>
            </w:r>
          </w:p>
        </w:tc>
        <w:tc>
          <w:tcPr>
            <w:tcW w:w="1320" w:type="dxa"/>
            <w:vAlign w:val="bottom"/>
          </w:tcPr>
          <w:p>
            <w:pPr>
              <w:jc w:val="right"/>
              <w:spacing w:after="0"/>
              <w:rPr>
                <w:sz w:val="20"/>
                <w:szCs w:val="20"/>
                <w:color w:val="auto"/>
              </w:rPr>
            </w:pPr>
            <w:r>
              <w:rPr>
                <w:rFonts w:ascii="Arial" w:cs="Arial" w:eastAsia="Arial" w:hAnsi="Arial"/>
                <w:sz w:val="10"/>
                <w:szCs w:val="10"/>
                <w:color w:val="auto"/>
              </w:rPr>
              <w:t>48,795</w:t>
            </w:r>
          </w:p>
        </w:tc>
      </w:tr>
      <w:tr>
        <w:trPr>
          <w:trHeight w:val="126"/>
        </w:trPr>
        <w:tc>
          <w:tcPr>
            <w:tcW w:w="5260" w:type="dxa"/>
            <w:vAlign w:val="bottom"/>
          </w:tcPr>
          <w:p>
            <w:pPr>
              <w:ind w:left="140"/>
              <w:spacing w:after="0"/>
              <w:rPr>
                <w:sz w:val="20"/>
                <w:szCs w:val="20"/>
                <w:color w:val="auto"/>
              </w:rPr>
            </w:pPr>
            <w:r>
              <w:rPr>
                <w:rFonts w:ascii="Arial" w:cs="Arial" w:eastAsia="Arial" w:hAnsi="Arial"/>
                <w:sz w:val="10"/>
                <w:szCs w:val="10"/>
                <w:color w:val="auto"/>
              </w:rPr>
              <w:t>Share of profit of joint ventures and associates</w:t>
            </w:r>
          </w:p>
        </w:tc>
        <w:tc>
          <w:tcPr>
            <w:tcW w:w="3880" w:type="dxa"/>
            <w:vAlign w:val="bottom"/>
          </w:tcPr>
          <w:p>
            <w:pPr>
              <w:jc w:val="right"/>
              <w:ind w:right="492"/>
              <w:spacing w:after="0"/>
              <w:rPr>
                <w:sz w:val="20"/>
                <w:szCs w:val="20"/>
                <w:color w:val="auto"/>
              </w:rPr>
            </w:pPr>
            <w:r>
              <w:rPr>
                <w:rFonts w:ascii="Arial" w:cs="Arial" w:eastAsia="Arial" w:hAnsi="Arial"/>
                <w:sz w:val="10"/>
                <w:szCs w:val="10"/>
                <w:color w:val="auto"/>
              </w:rPr>
              <w:t>562</w:t>
            </w:r>
          </w:p>
        </w:tc>
        <w:tc>
          <w:tcPr>
            <w:tcW w:w="820" w:type="dxa"/>
            <w:vAlign w:val="bottom"/>
          </w:tcPr>
          <w:p>
            <w:pPr>
              <w:jc w:val="right"/>
              <w:spacing w:after="0"/>
              <w:rPr>
                <w:sz w:val="20"/>
                <w:szCs w:val="20"/>
                <w:color w:val="auto"/>
              </w:rPr>
            </w:pPr>
            <w:r>
              <w:rPr>
                <w:rFonts w:ascii="Arial" w:cs="Arial" w:eastAsia="Arial" w:hAnsi="Arial"/>
                <w:sz w:val="10"/>
                <w:szCs w:val="10"/>
                <w:color w:val="auto"/>
              </w:rPr>
              <w:t>1,791</w:t>
            </w:r>
          </w:p>
        </w:tc>
        <w:tc>
          <w:tcPr>
            <w:tcW w:w="1320" w:type="dxa"/>
            <w:vAlign w:val="bottom"/>
          </w:tcPr>
          <w:p>
            <w:pPr>
              <w:jc w:val="right"/>
              <w:spacing w:after="0"/>
              <w:rPr>
                <w:sz w:val="20"/>
                <w:szCs w:val="20"/>
                <w:color w:val="auto"/>
              </w:rPr>
            </w:pPr>
            <w:r>
              <w:rPr>
                <w:rFonts w:ascii="Arial" w:cs="Arial" w:eastAsia="Arial" w:hAnsi="Arial"/>
                <w:sz w:val="10"/>
                <w:szCs w:val="10"/>
                <w:color w:val="auto"/>
              </w:rPr>
              <w:t>2,273</w:t>
            </w:r>
          </w:p>
        </w:tc>
      </w:tr>
      <w:tr>
        <w:trPr>
          <w:trHeight w:val="126"/>
        </w:trPr>
        <w:tc>
          <w:tcPr>
            <w:tcW w:w="5260" w:type="dxa"/>
            <w:vAlign w:val="bottom"/>
          </w:tcPr>
          <w:p>
            <w:pPr>
              <w:ind w:left="140"/>
              <w:spacing w:after="0"/>
              <w:rPr>
                <w:sz w:val="20"/>
                <w:szCs w:val="20"/>
                <w:color w:val="auto"/>
              </w:rPr>
            </w:pPr>
            <w:r>
              <w:rPr>
                <w:rFonts w:ascii="Arial" w:cs="Arial" w:eastAsia="Arial" w:hAnsi="Arial"/>
                <w:sz w:val="10"/>
                <w:szCs w:val="10"/>
                <w:color w:val="auto"/>
              </w:rPr>
              <w:t>Interest and other income</w:t>
            </w:r>
          </w:p>
        </w:tc>
        <w:tc>
          <w:tcPr>
            <w:tcW w:w="3880" w:type="dxa"/>
            <w:vAlign w:val="bottom"/>
          </w:tcPr>
          <w:p>
            <w:pPr>
              <w:jc w:val="right"/>
              <w:ind w:right="492"/>
              <w:spacing w:after="0"/>
              <w:rPr>
                <w:sz w:val="20"/>
                <w:szCs w:val="20"/>
                <w:color w:val="auto"/>
              </w:rPr>
            </w:pPr>
            <w:r>
              <w:rPr>
                <w:rFonts w:ascii="Arial" w:cs="Arial" w:eastAsia="Arial" w:hAnsi="Arial"/>
                <w:sz w:val="10"/>
                <w:szCs w:val="10"/>
                <w:color w:val="auto"/>
              </w:rPr>
              <w:t>14</w:t>
            </w:r>
          </w:p>
        </w:tc>
        <w:tc>
          <w:tcPr>
            <w:tcW w:w="820" w:type="dxa"/>
            <w:vAlign w:val="bottom"/>
          </w:tcPr>
          <w:p>
            <w:pPr>
              <w:jc w:val="right"/>
              <w:spacing w:after="0"/>
              <w:rPr>
                <w:sz w:val="20"/>
                <w:szCs w:val="20"/>
                <w:color w:val="auto"/>
              </w:rPr>
            </w:pPr>
            <w:r>
              <w:rPr>
                <w:rFonts w:ascii="Arial" w:cs="Arial" w:eastAsia="Arial" w:hAnsi="Arial"/>
                <w:sz w:val="10"/>
                <w:szCs w:val="10"/>
                <w:color w:val="auto"/>
              </w:rPr>
              <w:t>263</w:t>
            </w:r>
          </w:p>
        </w:tc>
        <w:tc>
          <w:tcPr>
            <w:tcW w:w="1320" w:type="dxa"/>
            <w:vAlign w:val="bottom"/>
          </w:tcPr>
          <w:p>
            <w:pPr>
              <w:jc w:val="right"/>
              <w:spacing w:after="0"/>
              <w:rPr>
                <w:sz w:val="20"/>
                <w:szCs w:val="20"/>
                <w:color w:val="auto"/>
              </w:rPr>
            </w:pPr>
            <w:r>
              <w:rPr>
                <w:rFonts w:ascii="Arial" w:cs="Arial" w:eastAsia="Arial" w:hAnsi="Arial"/>
                <w:sz w:val="10"/>
                <w:szCs w:val="10"/>
                <w:color w:val="auto"/>
              </w:rPr>
              <w:t>2,230</w:t>
            </w:r>
          </w:p>
        </w:tc>
      </w:tr>
      <w:tr>
        <w:trPr>
          <w:trHeight w:val="126"/>
        </w:trPr>
        <w:tc>
          <w:tcPr>
            <w:tcW w:w="5260" w:type="dxa"/>
            <w:vAlign w:val="bottom"/>
          </w:tcPr>
          <w:p>
            <w:pPr>
              <w:ind w:left="140"/>
              <w:spacing w:after="0"/>
              <w:rPr>
                <w:sz w:val="20"/>
                <w:szCs w:val="20"/>
                <w:color w:val="auto"/>
              </w:rPr>
            </w:pPr>
            <w:r>
              <w:rPr>
                <w:rFonts w:ascii="Arial" w:cs="Arial" w:eastAsia="Arial" w:hAnsi="Arial"/>
                <w:sz w:val="10"/>
                <w:szCs w:val="10"/>
                <w:color w:val="auto"/>
              </w:rPr>
              <w:t>Operating expenses [A]</w:t>
            </w:r>
          </w:p>
        </w:tc>
        <w:tc>
          <w:tcPr>
            <w:tcW w:w="3880" w:type="dxa"/>
            <w:vAlign w:val="bottom"/>
          </w:tcPr>
          <w:p>
            <w:pPr>
              <w:jc w:val="right"/>
              <w:ind w:right="492"/>
              <w:spacing w:after="0"/>
              <w:rPr>
                <w:sz w:val="20"/>
                <w:szCs w:val="20"/>
                <w:color w:val="auto"/>
              </w:rPr>
            </w:pPr>
            <w:r>
              <w:rPr>
                <w:rFonts w:ascii="Arial" w:cs="Arial" w:eastAsia="Arial" w:hAnsi="Arial"/>
                <w:sz w:val="10"/>
                <w:szCs w:val="10"/>
                <w:color w:val="auto"/>
              </w:rPr>
              <w:t>6,555</w:t>
            </w:r>
          </w:p>
        </w:tc>
        <w:tc>
          <w:tcPr>
            <w:tcW w:w="820" w:type="dxa"/>
            <w:vAlign w:val="bottom"/>
          </w:tcPr>
          <w:p>
            <w:pPr>
              <w:jc w:val="right"/>
              <w:spacing w:after="0"/>
              <w:rPr>
                <w:sz w:val="20"/>
                <w:szCs w:val="20"/>
                <w:color w:val="auto"/>
              </w:rPr>
            </w:pPr>
            <w:r>
              <w:rPr>
                <w:rFonts w:ascii="Arial" w:cs="Arial" w:eastAsia="Arial" w:hAnsi="Arial"/>
                <w:sz w:val="10"/>
                <w:szCs w:val="10"/>
                <w:color w:val="auto"/>
              </w:rPr>
              <w:t>6,667</w:t>
            </w:r>
          </w:p>
        </w:tc>
        <w:tc>
          <w:tcPr>
            <w:tcW w:w="1320" w:type="dxa"/>
            <w:vAlign w:val="bottom"/>
          </w:tcPr>
          <w:p>
            <w:pPr>
              <w:jc w:val="right"/>
              <w:spacing w:after="0"/>
              <w:rPr>
                <w:sz w:val="20"/>
                <w:szCs w:val="20"/>
                <w:color w:val="auto"/>
              </w:rPr>
            </w:pPr>
            <w:r>
              <w:rPr>
                <w:rFonts w:ascii="Arial" w:cs="Arial" w:eastAsia="Arial" w:hAnsi="Arial"/>
                <w:sz w:val="10"/>
                <w:szCs w:val="10"/>
                <w:color w:val="auto"/>
              </w:rPr>
              <w:t>6,014</w:t>
            </w:r>
          </w:p>
        </w:tc>
      </w:tr>
      <w:tr>
        <w:trPr>
          <w:trHeight w:val="126"/>
        </w:trPr>
        <w:tc>
          <w:tcPr>
            <w:tcW w:w="5260" w:type="dxa"/>
            <w:vAlign w:val="bottom"/>
          </w:tcPr>
          <w:p>
            <w:pPr>
              <w:ind w:left="140"/>
              <w:spacing w:after="0"/>
              <w:rPr>
                <w:sz w:val="20"/>
                <w:szCs w:val="20"/>
                <w:color w:val="auto"/>
              </w:rPr>
            </w:pPr>
            <w:r>
              <w:rPr>
                <w:rFonts w:ascii="Arial" w:cs="Arial" w:eastAsia="Arial" w:hAnsi="Arial"/>
                <w:sz w:val="10"/>
                <w:szCs w:val="10"/>
                <w:color w:val="auto"/>
              </w:rPr>
              <w:t>Exploration</w:t>
            </w:r>
          </w:p>
        </w:tc>
        <w:tc>
          <w:tcPr>
            <w:tcW w:w="3880" w:type="dxa"/>
            <w:vAlign w:val="bottom"/>
          </w:tcPr>
          <w:p>
            <w:pPr>
              <w:jc w:val="right"/>
              <w:ind w:right="492"/>
              <w:spacing w:after="0"/>
              <w:rPr>
                <w:sz w:val="20"/>
                <w:szCs w:val="20"/>
                <w:color w:val="auto"/>
              </w:rPr>
            </w:pPr>
            <w:r>
              <w:rPr>
                <w:rFonts w:ascii="Arial" w:cs="Arial" w:eastAsia="Arial" w:hAnsi="Arial"/>
                <w:sz w:val="10"/>
                <w:szCs w:val="10"/>
                <w:color w:val="auto"/>
              </w:rPr>
              <w:t>611</w:t>
            </w:r>
          </w:p>
        </w:tc>
        <w:tc>
          <w:tcPr>
            <w:tcW w:w="820" w:type="dxa"/>
            <w:vAlign w:val="bottom"/>
          </w:tcPr>
          <w:p>
            <w:pPr>
              <w:jc w:val="right"/>
              <w:spacing w:after="0"/>
              <w:rPr>
                <w:sz w:val="20"/>
                <w:szCs w:val="20"/>
                <w:color w:val="auto"/>
              </w:rPr>
            </w:pPr>
            <w:r>
              <w:rPr>
                <w:rFonts w:ascii="Arial" w:cs="Arial" w:eastAsia="Arial" w:hAnsi="Arial"/>
                <w:sz w:val="10"/>
                <w:szCs w:val="10"/>
                <w:color w:val="auto"/>
              </w:rPr>
              <w:t>281</w:t>
            </w:r>
          </w:p>
        </w:tc>
        <w:tc>
          <w:tcPr>
            <w:tcW w:w="1320" w:type="dxa"/>
            <w:vAlign w:val="bottom"/>
          </w:tcPr>
          <w:p>
            <w:pPr>
              <w:jc w:val="right"/>
              <w:spacing w:after="0"/>
              <w:rPr>
                <w:sz w:val="20"/>
                <w:szCs w:val="20"/>
                <w:color w:val="auto"/>
              </w:rPr>
            </w:pPr>
            <w:r>
              <w:rPr>
                <w:rFonts w:ascii="Arial" w:cs="Arial" w:eastAsia="Arial" w:hAnsi="Arial"/>
                <w:sz w:val="10"/>
                <w:szCs w:val="10"/>
                <w:color w:val="auto"/>
              </w:rPr>
              <w:t>208</w:t>
            </w:r>
          </w:p>
        </w:tc>
      </w:tr>
      <w:tr>
        <w:trPr>
          <w:trHeight w:val="126"/>
        </w:trPr>
        <w:tc>
          <w:tcPr>
            <w:tcW w:w="5260" w:type="dxa"/>
            <w:vAlign w:val="bottom"/>
          </w:tcPr>
          <w:p>
            <w:pPr>
              <w:ind w:left="140"/>
              <w:spacing w:after="0"/>
              <w:rPr>
                <w:sz w:val="20"/>
                <w:szCs w:val="20"/>
                <w:color w:val="auto"/>
              </w:rPr>
            </w:pPr>
            <w:r>
              <w:rPr>
                <w:rFonts w:ascii="Arial" w:cs="Arial" w:eastAsia="Arial" w:hAnsi="Arial"/>
                <w:sz w:val="10"/>
                <w:szCs w:val="10"/>
                <w:color w:val="auto"/>
              </w:rPr>
              <w:t>Depreciation, depletion and amortisation</w:t>
            </w:r>
          </w:p>
        </w:tc>
        <w:tc>
          <w:tcPr>
            <w:tcW w:w="3880" w:type="dxa"/>
            <w:vAlign w:val="bottom"/>
          </w:tcPr>
          <w:p>
            <w:pPr>
              <w:jc w:val="right"/>
              <w:ind w:right="492"/>
              <w:spacing w:after="0"/>
              <w:rPr>
                <w:sz w:val="20"/>
                <w:szCs w:val="20"/>
                <w:color w:val="auto"/>
              </w:rPr>
            </w:pPr>
            <w:r>
              <w:rPr>
                <w:rFonts w:ascii="Arial" w:cs="Arial" w:eastAsia="Arial" w:hAnsi="Arial"/>
                <w:sz w:val="10"/>
                <w:szCs w:val="10"/>
                <w:color w:val="auto"/>
              </w:rPr>
              <w:t>17,704</w:t>
            </w:r>
          </w:p>
        </w:tc>
        <w:tc>
          <w:tcPr>
            <w:tcW w:w="820" w:type="dxa"/>
            <w:vAlign w:val="bottom"/>
          </w:tcPr>
          <w:p>
            <w:pPr>
              <w:jc w:val="right"/>
              <w:spacing w:after="0"/>
              <w:rPr>
                <w:sz w:val="20"/>
                <w:szCs w:val="20"/>
                <w:color w:val="auto"/>
              </w:rPr>
            </w:pPr>
            <w:r>
              <w:rPr>
                <w:rFonts w:ascii="Arial" w:cs="Arial" w:eastAsia="Arial" w:hAnsi="Arial"/>
                <w:sz w:val="10"/>
                <w:szCs w:val="10"/>
                <w:color w:val="auto"/>
              </w:rPr>
              <w:t>6,238</w:t>
            </w:r>
          </w:p>
        </w:tc>
        <w:tc>
          <w:tcPr>
            <w:tcW w:w="1320" w:type="dxa"/>
            <w:vAlign w:val="bottom"/>
          </w:tcPr>
          <w:p>
            <w:pPr>
              <w:jc w:val="right"/>
              <w:spacing w:after="0"/>
              <w:rPr>
                <w:sz w:val="20"/>
                <w:szCs w:val="20"/>
                <w:color w:val="auto"/>
              </w:rPr>
            </w:pPr>
            <w:r>
              <w:rPr>
                <w:rFonts w:ascii="Arial" w:cs="Arial" w:eastAsia="Arial" w:hAnsi="Arial"/>
                <w:sz w:val="10"/>
                <w:szCs w:val="10"/>
                <w:color w:val="auto"/>
              </w:rPr>
              <w:t>4,850</w:t>
            </w:r>
          </w:p>
        </w:tc>
      </w:tr>
      <w:tr>
        <w:trPr>
          <w:trHeight w:val="130"/>
        </w:trPr>
        <w:tc>
          <w:tcPr>
            <w:tcW w:w="526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Taxation charge</w:t>
            </w:r>
          </w:p>
        </w:tc>
        <w:tc>
          <w:tcPr>
            <w:tcW w:w="38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(2,507)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2,242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2,795</w:t>
            </w:r>
          </w:p>
        </w:tc>
      </w:tr>
      <w:tr>
        <w:trPr>
          <w:trHeight w:val="114"/>
        </w:trPr>
        <w:tc>
          <w:tcPr>
            <w:tcW w:w="5260" w:type="dxa"/>
            <w:vAlign w:val="bottom"/>
          </w:tcPr>
          <w:p>
            <w:pPr>
              <w:spacing w:after="0"/>
              <w:rPr>
                <w:sz w:val="20"/>
                <w:szCs w:val="20"/>
                <w:color w:val="auto"/>
              </w:rPr>
            </w:pPr>
            <w:r>
              <w:rPr>
                <w:rFonts w:ascii="Arial" w:cs="Arial" w:eastAsia="Arial" w:hAnsi="Arial"/>
                <w:sz w:val="10"/>
                <w:szCs w:val="10"/>
                <w:color w:val="auto"/>
              </w:rPr>
              <w:t>Identified Items [A]</w:t>
            </w:r>
          </w:p>
        </w:tc>
        <w:tc>
          <w:tcPr>
            <w:tcW w:w="3880" w:type="dxa"/>
            <w:vAlign w:val="bottom"/>
          </w:tcPr>
          <w:p>
            <w:pPr>
              <w:jc w:val="right"/>
              <w:ind w:right="472"/>
              <w:spacing w:after="0"/>
              <w:rPr>
                <w:sz w:val="20"/>
                <w:szCs w:val="20"/>
                <w:color w:val="auto"/>
              </w:rPr>
            </w:pPr>
            <w:r>
              <w:rPr>
                <w:rFonts w:ascii="Arial" w:cs="Arial" w:eastAsia="Arial" w:hAnsi="Arial"/>
                <w:sz w:val="10"/>
                <w:szCs w:val="10"/>
                <w:color w:val="auto"/>
              </w:rPr>
              <w:t>(10,661)</w:t>
            </w:r>
          </w:p>
        </w:tc>
        <w:tc>
          <w:tcPr>
            <w:tcW w:w="820" w:type="dxa"/>
            <w:vAlign w:val="bottom"/>
          </w:tcPr>
          <w:p>
            <w:pPr>
              <w:jc w:val="right"/>
              <w:spacing w:after="0"/>
              <w:rPr>
                <w:sz w:val="20"/>
                <w:szCs w:val="20"/>
                <w:color w:val="auto"/>
              </w:rPr>
            </w:pPr>
            <w:r>
              <w:rPr>
                <w:rFonts w:ascii="Arial" w:cs="Arial" w:eastAsia="Arial" w:hAnsi="Arial"/>
                <w:sz w:val="10"/>
                <w:szCs w:val="10"/>
                <w:color w:val="auto"/>
              </w:rPr>
              <w:t>(326)</w:t>
            </w:r>
          </w:p>
        </w:tc>
        <w:tc>
          <w:tcPr>
            <w:tcW w:w="1320" w:type="dxa"/>
            <w:vAlign w:val="bottom"/>
          </w:tcPr>
          <w:p>
            <w:pPr>
              <w:jc w:val="right"/>
              <w:spacing w:after="0"/>
              <w:rPr>
                <w:sz w:val="20"/>
                <w:szCs w:val="20"/>
                <w:color w:val="auto"/>
              </w:rPr>
            </w:pPr>
            <w:r>
              <w:rPr>
                <w:rFonts w:ascii="Arial" w:cs="Arial" w:eastAsia="Arial" w:hAnsi="Arial"/>
                <w:sz w:val="10"/>
                <w:szCs w:val="10"/>
                <w:color w:val="auto"/>
              </w:rPr>
              <w:t>2,045</w:t>
            </w:r>
          </w:p>
        </w:tc>
      </w:tr>
      <w:tr>
        <w:trPr>
          <w:trHeight w:val="123"/>
        </w:trPr>
        <w:tc>
          <w:tcPr>
            <w:tcW w:w="5260" w:type="dxa"/>
            <w:vAlign w:val="bottom"/>
          </w:tcPr>
          <w:p>
            <w:pPr>
              <w:spacing w:after="0"/>
              <w:rPr>
                <w:sz w:val="20"/>
                <w:szCs w:val="20"/>
                <w:color w:val="auto"/>
              </w:rPr>
            </w:pPr>
            <w:r>
              <w:rPr>
                <w:rFonts w:ascii="Arial" w:cs="Arial" w:eastAsia="Arial" w:hAnsi="Arial"/>
                <w:sz w:val="10"/>
                <w:szCs w:val="10"/>
                <w:color w:val="auto"/>
              </w:rPr>
              <w:t>Adjusted Earnings [A]</w:t>
            </w:r>
          </w:p>
        </w:tc>
        <w:tc>
          <w:tcPr>
            <w:tcW w:w="3880" w:type="dxa"/>
            <w:vAlign w:val="bottom"/>
          </w:tcPr>
          <w:p>
            <w:pPr>
              <w:jc w:val="right"/>
              <w:ind w:right="492"/>
              <w:spacing w:after="0"/>
              <w:rPr>
                <w:sz w:val="20"/>
                <w:szCs w:val="20"/>
                <w:color w:val="auto"/>
              </w:rPr>
            </w:pPr>
            <w:r>
              <w:rPr>
                <w:rFonts w:ascii="Arial" w:cs="Arial" w:eastAsia="Arial" w:hAnsi="Arial"/>
                <w:sz w:val="10"/>
                <w:szCs w:val="10"/>
                <w:color w:val="auto"/>
              </w:rPr>
              <w:t>4,383</w:t>
            </w:r>
          </w:p>
        </w:tc>
        <w:tc>
          <w:tcPr>
            <w:tcW w:w="820" w:type="dxa"/>
            <w:vAlign w:val="bottom"/>
          </w:tcPr>
          <w:p>
            <w:pPr>
              <w:jc w:val="right"/>
              <w:spacing w:after="0"/>
              <w:rPr>
                <w:sz w:val="20"/>
                <w:szCs w:val="20"/>
                <w:color w:val="auto"/>
              </w:rPr>
            </w:pPr>
            <w:r>
              <w:rPr>
                <w:rFonts w:ascii="Arial" w:cs="Arial" w:eastAsia="Arial" w:hAnsi="Arial"/>
                <w:sz w:val="10"/>
                <w:szCs w:val="10"/>
                <w:color w:val="auto"/>
              </w:rPr>
              <w:t>8,955</w:t>
            </w:r>
          </w:p>
        </w:tc>
        <w:tc>
          <w:tcPr>
            <w:tcW w:w="1320" w:type="dxa"/>
            <w:vAlign w:val="bottom"/>
          </w:tcPr>
          <w:p>
            <w:pPr>
              <w:jc w:val="right"/>
              <w:spacing w:after="0"/>
              <w:rPr>
                <w:sz w:val="20"/>
                <w:szCs w:val="20"/>
                <w:color w:val="auto"/>
              </w:rPr>
            </w:pPr>
            <w:r>
              <w:rPr>
                <w:rFonts w:ascii="Arial" w:cs="Arial" w:eastAsia="Arial" w:hAnsi="Arial"/>
                <w:sz w:val="10"/>
                <w:szCs w:val="10"/>
                <w:color w:val="auto"/>
              </w:rPr>
              <w:t>9,399</w:t>
            </w:r>
          </w:p>
        </w:tc>
      </w:tr>
      <w:tr>
        <w:trPr>
          <w:trHeight w:val="126"/>
        </w:trPr>
        <w:tc>
          <w:tcPr>
            <w:tcW w:w="5260" w:type="dxa"/>
            <w:vAlign w:val="bottom"/>
          </w:tcPr>
          <w:p>
            <w:pPr>
              <w:spacing w:after="0"/>
              <w:rPr>
                <w:sz w:val="20"/>
                <w:szCs w:val="20"/>
                <w:color w:val="auto"/>
              </w:rPr>
            </w:pPr>
            <w:r>
              <w:rPr>
                <w:rFonts w:ascii="Arial" w:cs="Arial" w:eastAsia="Arial" w:hAnsi="Arial"/>
                <w:sz w:val="10"/>
                <w:szCs w:val="10"/>
                <w:color w:val="auto"/>
              </w:rPr>
              <w:t>Capital expenditure</w:t>
            </w:r>
          </w:p>
        </w:tc>
        <w:tc>
          <w:tcPr>
            <w:tcW w:w="3880" w:type="dxa"/>
            <w:vAlign w:val="bottom"/>
          </w:tcPr>
          <w:p>
            <w:pPr>
              <w:jc w:val="right"/>
              <w:ind w:right="492"/>
              <w:spacing w:after="0"/>
              <w:rPr>
                <w:sz w:val="20"/>
                <w:szCs w:val="20"/>
                <w:color w:val="auto"/>
              </w:rPr>
            </w:pPr>
            <w:r>
              <w:rPr>
                <w:rFonts w:ascii="Arial" w:cs="Arial" w:eastAsia="Arial" w:hAnsi="Arial"/>
                <w:sz w:val="10"/>
                <w:szCs w:val="10"/>
                <w:color w:val="auto"/>
              </w:rPr>
              <w:t>3,661</w:t>
            </w:r>
          </w:p>
        </w:tc>
        <w:tc>
          <w:tcPr>
            <w:tcW w:w="820" w:type="dxa"/>
            <w:vAlign w:val="bottom"/>
          </w:tcPr>
          <w:p>
            <w:pPr>
              <w:jc w:val="right"/>
              <w:spacing w:after="0"/>
              <w:rPr>
                <w:sz w:val="20"/>
                <w:szCs w:val="20"/>
                <w:color w:val="auto"/>
              </w:rPr>
            </w:pPr>
            <w:r>
              <w:rPr>
                <w:rFonts w:ascii="Arial" w:cs="Arial" w:eastAsia="Arial" w:hAnsi="Arial"/>
                <w:sz w:val="10"/>
                <w:szCs w:val="10"/>
                <w:color w:val="auto"/>
              </w:rPr>
              <w:t>3,851</w:t>
            </w:r>
          </w:p>
        </w:tc>
        <w:tc>
          <w:tcPr>
            <w:tcW w:w="1320" w:type="dxa"/>
            <w:vAlign w:val="bottom"/>
          </w:tcPr>
          <w:p>
            <w:pPr>
              <w:jc w:val="right"/>
              <w:spacing w:after="0"/>
              <w:rPr>
                <w:sz w:val="20"/>
                <w:szCs w:val="20"/>
                <w:color w:val="auto"/>
              </w:rPr>
            </w:pPr>
            <w:r>
              <w:rPr>
                <w:rFonts w:ascii="Arial" w:cs="Arial" w:eastAsia="Arial" w:hAnsi="Arial"/>
                <w:sz w:val="10"/>
                <w:szCs w:val="10"/>
                <w:color w:val="auto"/>
              </w:rPr>
              <w:t>3,262</w:t>
            </w:r>
          </w:p>
        </w:tc>
      </w:tr>
      <w:tr>
        <w:trPr>
          <w:trHeight w:val="126"/>
        </w:trPr>
        <w:tc>
          <w:tcPr>
            <w:tcW w:w="5260" w:type="dxa"/>
            <w:vAlign w:val="bottom"/>
          </w:tcPr>
          <w:p>
            <w:pPr>
              <w:spacing w:after="0"/>
              <w:rPr>
                <w:sz w:val="20"/>
                <w:szCs w:val="20"/>
                <w:color w:val="auto"/>
              </w:rPr>
            </w:pPr>
            <w:r>
              <w:rPr>
                <w:rFonts w:ascii="Arial" w:cs="Arial" w:eastAsia="Arial" w:hAnsi="Arial"/>
                <w:sz w:val="10"/>
                <w:szCs w:val="10"/>
                <w:color w:val="auto"/>
              </w:rPr>
              <w:t>Cash capital expenditure [A]</w:t>
            </w:r>
          </w:p>
        </w:tc>
        <w:tc>
          <w:tcPr>
            <w:tcW w:w="3880" w:type="dxa"/>
            <w:vAlign w:val="bottom"/>
          </w:tcPr>
          <w:p>
            <w:pPr>
              <w:jc w:val="right"/>
              <w:ind w:right="492"/>
              <w:spacing w:after="0"/>
              <w:rPr>
                <w:sz w:val="20"/>
                <w:szCs w:val="20"/>
                <w:color w:val="auto"/>
              </w:rPr>
            </w:pPr>
            <w:r>
              <w:rPr>
                <w:rFonts w:ascii="Arial" w:cs="Arial" w:eastAsia="Arial" w:hAnsi="Arial"/>
                <w:sz w:val="10"/>
                <w:szCs w:val="10"/>
                <w:color w:val="auto"/>
              </w:rPr>
              <w:t>4,301</w:t>
            </w:r>
          </w:p>
        </w:tc>
        <w:tc>
          <w:tcPr>
            <w:tcW w:w="820" w:type="dxa"/>
            <w:vAlign w:val="bottom"/>
          </w:tcPr>
          <w:p>
            <w:pPr>
              <w:jc w:val="right"/>
              <w:spacing w:after="0"/>
              <w:rPr>
                <w:sz w:val="20"/>
                <w:szCs w:val="20"/>
                <w:color w:val="auto"/>
              </w:rPr>
            </w:pPr>
            <w:r>
              <w:rPr>
                <w:rFonts w:ascii="Arial" w:cs="Arial" w:eastAsia="Arial" w:hAnsi="Arial"/>
                <w:sz w:val="10"/>
                <w:szCs w:val="10"/>
                <w:color w:val="auto"/>
              </w:rPr>
              <w:t>4,299</w:t>
            </w:r>
          </w:p>
        </w:tc>
        <w:tc>
          <w:tcPr>
            <w:tcW w:w="1320" w:type="dxa"/>
            <w:vAlign w:val="bottom"/>
          </w:tcPr>
          <w:p>
            <w:pPr>
              <w:jc w:val="right"/>
              <w:spacing w:after="0"/>
              <w:rPr>
                <w:sz w:val="20"/>
                <w:szCs w:val="20"/>
                <w:color w:val="auto"/>
              </w:rPr>
            </w:pPr>
            <w:r>
              <w:rPr>
                <w:rFonts w:ascii="Arial" w:cs="Arial" w:eastAsia="Arial" w:hAnsi="Arial"/>
                <w:sz w:val="10"/>
                <w:szCs w:val="10"/>
                <w:color w:val="auto"/>
              </w:rPr>
              <w:t>3,819</w:t>
            </w:r>
          </w:p>
        </w:tc>
      </w:tr>
      <w:tr>
        <w:trPr>
          <w:trHeight w:val="126"/>
        </w:trPr>
        <w:tc>
          <w:tcPr>
            <w:tcW w:w="5260" w:type="dxa"/>
            <w:vAlign w:val="bottom"/>
          </w:tcPr>
          <w:p>
            <w:pPr>
              <w:spacing w:after="0"/>
              <w:rPr>
                <w:sz w:val="20"/>
                <w:szCs w:val="20"/>
                <w:color w:val="auto"/>
              </w:rPr>
            </w:pPr>
            <w:r>
              <w:rPr>
                <w:rFonts w:ascii="Arial" w:cs="Arial" w:eastAsia="Arial" w:hAnsi="Arial"/>
                <w:sz w:val="10"/>
                <w:szCs w:val="10"/>
                <w:color w:val="auto"/>
              </w:rPr>
              <w:t>Oil and gas production available for sale (thousand boe/d)</w:t>
            </w:r>
          </w:p>
        </w:tc>
        <w:tc>
          <w:tcPr>
            <w:tcW w:w="3880" w:type="dxa"/>
            <w:vAlign w:val="bottom"/>
          </w:tcPr>
          <w:p>
            <w:pPr>
              <w:jc w:val="right"/>
              <w:ind w:right="492"/>
              <w:spacing w:after="0"/>
              <w:rPr>
                <w:sz w:val="20"/>
                <w:szCs w:val="20"/>
                <w:color w:val="auto"/>
              </w:rPr>
            </w:pPr>
            <w:r>
              <w:rPr>
                <w:rFonts w:ascii="Arial" w:cs="Arial" w:eastAsia="Arial" w:hAnsi="Arial"/>
                <w:sz w:val="10"/>
                <w:szCs w:val="10"/>
                <w:color w:val="auto"/>
              </w:rPr>
              <w:t>911</w:t>
            </w:r>
          </w:p>
        </w:tc>
        <w:tc>
          <w:tcPr>
            <w:tcW w:w="820" w:type="dxa"/>
            <w:vAlign w:val="bottom"/>
          </w:tcPr>
          <w:p>
            <w:pPr>
              <w:jc w:val="right"/>
              <w:spacing w:after="0"/>
              <w:rPr>
                <w:sz w:val="20"/>
                <w:szCs w:val="20"/>
                <w:color w:val="auto"/>
              </w:rPr>
            </w:pPr>
            <w:r>
              <w:rPr>
                <w:rFonts w:ascii="Arial" w:cs="Arial" w:eastAsia="Arial" w:hAnsi="Arial"/>
                <w:sz w:val="10"/>
                <w:szCs w:val="10"/>
                <w:color w:val="auto"/>
              </w:rPr>
              <w:t>922</w:t>
            </w:r>
          </w:p>
        </w:tc>
        <w:tc>
          <w:tcPr>
            <w:tcW w:w="1320" w:type="dxa"/>
            <w:vAlign w:val="bottom"/>
          </w:tcPr>
          <w:p>
            <w:pPr>
              <w:jc w:val="right"/>
              <w:spacing w:after="0"/>
              <w:rPr>
                <w:sz w:val="20"/>
                <w:szCs w:val="20"/>
                <w:color w:val="auto"/>
              </w:rPr>
            </w:pPr>
            <w:r>
              <w:rPr>
                <w:rFonts w:ascii="Arial" w:cs="Arial" w:eastAsia="Arial" w:hAnsi="Arial"/>
                <w:sz w:val="10"/>
                <w:szCs w:val="10"/>
                <w:color w:val="auto"/>
              </w:rPr>
              <w:t>957</w:t>
            </w:r>
          </w:p>
        </w:tc>
      </w:tr>
      <w:tr>
        <w:trPr>
          <w:trHeight w:val="130"/>
        </w:trPr>
        <w:tc>
          <w:tcPr>
            <w:tcW w:w="5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LNG liquefaction volumes (million tonnes)</w:t>
            </w:r>
          </w:p>
        </w:tc>
        <w:tc>
          <w:tcPr>
            <w:tcW w:w="388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33.2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34.3</w:t>
            </w:r>
          </w:p>
        </w:tc>
      </w:tr>
    </w:tbl>
    <w:p>
      <w:pPr>
        <w:spacing w:after="0" w:line="47" w:lineRule="exact"/>
        <w:rPr>
          <w:sz w:val="20"/>
          <w:szCs w:val="20"/>
          <w:color w:val="auto"/>
        </w:rPr>
      </w:pPr>
    </w:p>
    <w:p>
      <w:pPr>
        <w:sectPr>
          <w:pgSz w:w="11900" w:h="16838" w:orient="portrait"/>
          <w:cols w:equalWidth="0" w:num="1">
            <w:col w:w="11300"/>
          </w:cols>
          <w:pgMar w:left="300" w:top="644" w:right="299" w:bottom="1440" w:gutter="0" w:footer="0" w:header="0"/>
        </w:sectPr>
      </w:pPr>
    </w:p>
    <w:p>
      <w:pPr>
        <w:spacing w:after="0"/>
        <w:rPr>
          <w:sz w:val="20"/>
          <w:szCs w:val="20"/>
          <w:color w:val="auto"/>
        </w:rPr>
      </w:pPr>
      <w:r>
        <w:rPr>
          <w:rFonts w:ascii="Arial" w:cs="Arial" w:eastAsia="Arial" w:hAnsi="Arial"/>
          <w:sz w:val="7"/>
          <w:szCs w:val="7"/>
          <w:color w:val="auto"/>
        </w:rPr>
        <w:t>[A] See “Non-GAAP measures reconciliations” on pages 240-242.</w:t>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color w:val="auto"/>
        </w:rPr>
        <w:t>OVERVIEW</w:t>
      </w:r>
    </w:p>
    <w:p>
      <w:pPr>
        <w:spacing w:after="0" w:line="295" w:lineRule="auto"/>
        <w:rPr>
          <w:sz w:val="20"/>
          <w:szCs w:val="20"/>
          <w:color w:val="auto"/>
        </w:rPr>
      </w:pPr>
      <w:r>
        <w:rPr>
          <w:rFonts w:ascii="Arial" w:cs="Arial" w:eastAsia="Arial" w:hAnsi="Arial"/>
          <w:sz w:val="8"/>
          <w:szCs w:val="8"/>
          <w:color w:val="auto"/>
        </w:rPr>
        <w:t>Our Integrated Gas segment includes liquefied natural gas (LNG) activities and the conversion of natural gas into gas-to-liquids (GTL) fuels and other products, as well as our New Energies businesses which were rebranded to Renewables and Energy Solutions in 2021. The segment includes natural gas and liquids exploration and extraction, and the operation of upstream and midstream infrastructure that delivers gas and liquids to market. It markets and trades natural gas, LNG, electricity and carbon-emission rights, and markets and sells LNG as a fuel for heavy-duty vehicles and marine vessels.</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color w:val="auto"/>
        </w:rPr>
        <w:t>BUSINESS CONDITIONS</w:t>
      </w:r>
    </w:p>
    <w:p>
      <w:pPr>
        <w:spacing w:after="0" w:line="248" w:lineRule="auto"/>
        <w:rPr>
          <w:sz w:val="20"/>
          <w:szCs w:val="20"/>
          <w:color w:val="auto"/>
        </w:rPr>
      </w:pPr>
      <w:r>
        <w:rPr>
          <w:rFonts w:ascii="Arial" w:cs="Arial" w:eastAsia="Arial" w:hAnsi="Arial"/>
          <w:sz w:val="8"/>
          <w:szCs w:val="8"/>
          <w:color w:val="auto"/>
        </w:rPr>
        <w:t>Global gas demand is estimated to have declined by around 2.4% in 2020, in contrast with the 2.5% annual growth rate observed since the start of the century. The deterioration in gas demand for power generation and in industry was mainly caused by lockdowns related to COVID-19. Resilient gas demand for heating helped offset the overall decline. Demand declined across all regions except non-OECD Asia. In non-OECD Asia, demand grew in China, which experienced a robust recovery after mitigating the impacts of COVID-19. Outside China, aggregate gas demand in non-OECD Asia remained flat year-on-year.</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delivered North Asia spot prices, reflected by the Japan Korea Marker, declined by 20% compared with 2019.</w:t>
      </w: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color w:val="auto"/>
        </w:rPr>
        <w:t>See “Market overview” on pages 23-25.</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color w:val="auto"/>
        </w:rPr>
        <w:t>PRODUCTION AVAILABLE FOR SALE</w:t>
      </w:r>
    </w:p>
    <w:p>
      <w:pPr>
        <w:ind w:right="240"/>
        <w:spacing w:after="0" w:line="246" w:lineRule="auto"/>
        <w:rPr>
          <w:sz w:val="20"/>
          <w:szCs w:val="20"/>
          <w:color w:val="auto"/>
        </w:rPr>
      </w:pPr>
      <w:r>
        <w:rPr>
          <w:rFonts w:ascii="Arial" w:cs="Arial" w:eastAsia="Arial" w:hAnsi="Arial"/>
          <w:sz w:val="8"/>
          <w:szCs w:val="8"/>
          <w:color w:val="auto"/>
        </w:rPr>
        <w:t>In 2020, production was 333 million barrels of oil equivalent (boe), or 911 thousand boe per day (boe/d), compared with 336 million boe, or 922 thousand boe/d in 2019. Natural gas production was 83% of total production in 2020 and 2019. In 2020 natural gas production decreased by 1% compared with 2019. This was mainly because of extended maintenance at the Prelude floating liquefied natural gas (FLNG) facility and maintenance activities at the Gorgon project in Australia, as well as lower wells performance. These were partially offset by the transfer of Rashpetco operations in Egypt from the Upstream segment and field ramp-ups. Liquids production decreased by 2%, in line with the decrease in natural gas production.</w:t>
      </w:r>
    </w:p>
    <w:p>
      <w:pPr>
        <w:spacing w:after="0" w:line="117" w:lineRule="exact"/>
        <w:rPr>
          <w:sz w:val="20"/>
          <w:szCs w:val="20"/>
          <w:color w:val="auto"/>
        </w:rPr>
      </w:pPr>
    </w:p>
    <w:p>
      <w:pPr>
        <w:sectPr>
          <w:pgSz w:w="11900" w:h="16838" w:orient="portrait"/>
          <w:cols w:equalWidth="0" w:num="2">
            <w:col w:w="5240" w:space="680"/>
            <w:col w:w="5380"/>
          </w:cols>
          <w:pgMar w:left="300" w:top="644" w:right="299" w:bottom="1440" w:gutter="0" w:footer="0" w:header="0"/>
          <w:type w:val="continuous"/>
        </w:sectPr>
      </w:pPr>
    </w:p>
    <w:p>
      <w:pPr>
        <w:spacing w:after="0" w:line="119" w:lineRule="exact"/>
        <w:rPr>
          <w:sz w:val="20"/>
          <w:szCs w:val="20"/>
          <w:color w:val="auto"/>
        </w:rPr>
      </w:pPr>
    </w:p>
    <w:p>
      <w:pPr>
        <w:ind w:right="80"/>
        <w:spacing w:after="0" w:line="254" w:lineRule="auto"/>
        <w:rPr>
          <w:sz w:val="20"/>
          <w:szCs w:val="20"/>
          <w:color w:val="auto"/>
        </w:rPr>
      </w:pPr>
      <w:r>
        <w:rPr>
          <w:rFonts w:ascii="Arial" w:cs="Arial" w:eastAsia="Arial" w:hAnsi="Arial"/>
          <w:sz w:val="8"/>
          <w:szCs w:val="8"/>
          <w:color w:val="auto"/>
        </w:rPr>
        <w:t>In 2020, global LNG imports were almost unchanged from 2019, rising by about 2 million tonnes year-on-year to 360 million tonnes. Growth in LNG supply capacity was mostly limited to the USA, where 21 million tonnes of new liquefaction started commercial operations in 2020. Liquefaction plants already in operation in the USA responded to the weak gas price environment by significantly curtailing production in the middle of the year. Supply from major LNG-exporting countries such as Egypt, Malaysia and Norway was also lower year-on-year because of operational disruptions and shut-ins to prevent economic losses.</w:t>
      </w:r>
    </w:p>
    <w:p>
      <w:pPr>
        <w:spacing w:after="0" w:line="125" w:lineRule="exact"/>
        <w:rPr>
          <w:sz w:val="20"/>
          <w:szCs w:val="20"/>
          <w:color w:val="auto"/>
        </w:rPr>
      </w:pPr>
    </w:p>
    <w:p>
      <w:pPr>
        <w:spacing w:after="0"/>
        <w:rPr>
          <w:sz w:val="20"/>
          <w:szCs w:val="20"/>
          <w:color w:val="auto"/>
        </w:rPr>
      </w:pPr>
      <w:r>
        <w:rPr>
          <w:rFonts w:ascii="Arial" w:cs="Arial" w:eastAsia="Arial" w:hAnsi="Arial"/>
          <w:sz w:val="10"/>
          <w:szCs w:val="10"/>
          <w:color w:val="auto"/>
        </w:rPr>
        <w:t>Natural gas prices can vary from region to region.</w:t>
      </w:r>
    </w:p>
    <w:p>
      <w:pPr>
        <w:spacing w:after="0" w:line="146" w:lineRule="exact"/>
        <w:rPr>
          <w:sz w:val="20"/>
          <w:szCs w:val="20"/>
          <w:color w:val="auto"/>
        </w:rPr>
      </w:pPr>
    </w:p>
    <w:p>
      <w:pPr>
        <w:ind w:right="20"/>
        <w:spacing w:after="0" w:line="239" w:lineRule="auto"/>
        <w:rPr>
          <w:sz w:val="20"/>
          <w:szCs w:val="20"/>
          <w:color w:val="auto"/>
        </w:rPr>
      </w:pPr>
      <w:r>
        <w:rPr>
          <w:rFonts w:ascii="Arial" w:cs="Arial" w:eastAsia="Arial" w:hAnsi="Arial"/>
          <w:sz w:val="10"/>
          <w:szCs w:val="10"/>
          <w:color w:val="auto"/>
        </w:rPr>
        <w:t>In the USA, the natural gas price at the Henry Hub averaged $2.0 per million British thermal units (MMBtu) in 2020, 21% lower than in 2019. It traded in a range of $1.5 to 3.2/MMBtu.</w:t>
      </w:r>
    </w:p>
    <w:p>
      <w:pPr>
        <w:spacing w:after="0" w:line="149" w:lineRule="exact"/>
        <w:rPr>
          <w:sz w:val="20"/>
          <w:szCs w:val="20"/>
          <w:color w:val="auto"/>
        </w:rPr>
      </w:pPr>
    </w:p>
    <w:p>
      <w:pPr>
        <w:ind w:right="120"/>
        <w:spacing w:after="0" w:line="234" w:lineRule="auto"/>
        <w:rPr>
          <w:sz w:val="20"/>
          <w:szCs w:val="20"/>
          <w:color w:val="auto"/>
        </w:rPr>
      </w:pPr>
      <w:r>
        <w:rPr>
          <w:rFonts w:ascii="Arial" w:cs="Arial" w:eastAsia="Arial" w:hAnsi="Arial"/>
          <w:sz w:val="10"/>
          <w:szCs w:val="10"/>
          <w:color w:val="auto"/>
        </w:rPr>
        <w:t>In Europe, the average price at the UK National Balancing Point (NBP) in 2020 was 28% lower than in 2019. At the main continental gas trading hubs – in the Netherlands, Belgium and Germany – prices were also lower, as reflected by weaker Dutch Title Transfer Facility (TTF) prices.</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0"/>
          <w:szCs w:val="10"/>
          <w:color w:val="auto"/>
        </w:rPr>
        <w:t>Long-term contracted LNG prices in the Asia-Pacific region in 2020 were lower than in 2019 because they are predominantly indexed to oil prices, particularly the Japan Customs-cleared Crude (JCC) index which dropped by an 32% year-on-year, tracking Brent crude prices. Meanwhile,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LNG LIQUEFACTION VOLUMES</w:t>
      </w:r>
    </w:p>
    <w:p>
      <w:pPr>
        <w:ind w:right="320"/>
        <w:spacing w:after="0" w:line="212" w:lineRule="auto"/>
        <w:rPr>
          <w:sz w:val="20"/>
          <w:szCs w:val="20"/>
          <w:color w:val="auto"/>
        </w:rPr>
      </w:pPr>
      <w:r>
        <w:rPr>
          <w:rFonts w:ascii="Arial" w:cs="Arial" w:eastAsia="Arial" w:hAnsi="Arial"/>
          <w:sz w:val="10"/>
          <w:szCs w:val="10"/>
          <w:color w:val="auto"/>
        </w:rPr>
        <w:t>LNG liquefaction volumes of 33.2 million tonnes in 2020 were 6% lower than in 2019, mainly driven by lower feedgas availability, higher maintenance activities, primarily at Prelude FLNG and Gorgon, as well as cargo timing.</w:t>
      </w:r>
    </w:p>
    <w:p>
      <w:pPr>
        <w:spacing w:after="0" w:line="131" w:lineRule="exact"/>
        <w:rPr>
          <w:sz w:val="20"/>
          <w:szCs w:val="20"/>
          <w:color w:val="auto"/>
        </w:rPr>
      </w:pPr>
    </w:p>
    <w:p>
      <w:pPr>
        <w:ind w:right="320"/>
        <w:spacing w:after="0" w:line="220" w:lineRule="auto"/>
        <w:rPr>
          <w:sz w:val="20"/>
          <w:szCs w:val="20"/>
          <w:color w:val="auto"/>
        </w:rPr>
      </w:pPr>
      <w:r>
        <w:rPr>
          <w:rFonts w:ascii="Arial" w:cs="Arial" w:eastAsia="Arial" w:hAnsi="Arial"/>
          <w:sz w:val="10"/>
          <w:szCs w:val="10"/>
          <w:color w:val="auto"/>
        </w:rPr>
        <w:t>LNG sales volumes of 69.67 million tonnes in 2020 were 6% lower than in 2019, driven by lower LNG liquefaction volumes partly offset by higher purchases from third parties.</w:t>
      </w:r>
    </w:p>
    <w:p>
      <w:pPr>
        <w:spacing w:after="0" w:line="131" w:lineRule="exact"/>
        <w:rPr>
          <w:sz w:val="20"/>
          <w:szCs w:val="20"/>
          <w:color w:val="auto"/>
        </w:rPr>
      </w:pPr>
    </w:p>
    <w:p>
      <w:pPr>
        <w:ind w:right="140"/>
        <w:spacing w:after="0" w:line="245" w:lineRule="auto"/>
        <w:rPr>
          <w:sz w:val="20"/>
          <w:szCs w:val="20"/>
          <w:color w:val="auto"/>
        </w:rPr>
      </w:pPr>
      <w:r>
        <w:rPr>
          <w:rFonts w:ascii="Arial" w:cs="Arial" w:eastAsia="Arial" w:hAnsi="Arial"/>
          <w:sz w:val="8"/>
          <w:szCs w:val="8"/>
          <w:color w:val="auto"/>
        </w:rPr>
        <w:t>Through our Shell Energy organisation, we market a portion of our share of equity production of LNG and sell and market LNG volumes around the world through our hubs in the UK, Dubai and Singapore. Shell has term sales contracts for the majority of our LNG liquefaction and term purchase contracts. We are able to maximize the income we generate from our LNG cargos through our shipping network, regasification terminals and ability to purchase and deliver LNG spot cargos from third parties. For example, if one customer does not need a scheduled cargo, we can deliver that cargo to another customer who is in need. Similarly, if a customer needs an additional cargo not available from our production facilities, we can contract with third parties to deliver the additional cargo. We also conduct paper trades primarily to manage commodity price risk related to sales and purchase contracts. We also sell trucked LNG in China, Singapore and Europe.</w:t>
      </w:r>
    </w:p>
    <w:p>
      <w:pPr>
        <w:spacing w:after="0" w:line="931" w:lineRule="exact"/>
        <w:rPr>
          <w:sz w:val="20"/>
          <w:szCs w:val="20"/>
          <w:color w:val="auto"/>
        </w:rPr>
      </w:pPr>
    </w:p>
    <w:p>
      <w:pPr>
        <w:sectPr>
          <w:pgSz w:w="11900" w:h="16838" w:orient="portrait"/>
          <w:cols w:equalWidth="0" w:num="2">
            <w:col w:w="5240" w:space="680"/>
            <w:col w:w="5380"/>
          </w:cols>
          <w:pgMar w:left="300" w:top="644" w:right="299" w:bottom="1440" w:gutter="0" w:footer="0" w:header="0"/>
          <w:type w:val="continuous"/>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30</w:t>
            </w:r>
          </w:p>
        </w:tc>
      </w:tr>
      <w:tr>
        <w:trPr>
          <w:trHeight w:val="142"/>
        </w:trPr>
        <w:tc>
          <w:tcPr>
            <w:tcW w:w="3500" w:type="dxa"/>
            <w:vAlign w:val="bottom"/>
            <w:tcBorders>
              <w:bottom w:val="single" w:sz="8" w:color="9A9A9A"/>
            </w:tcBorders>
          </w:tcPr>
          <w:p>
            <w:pPr>
              <w:spacing w:after="0"/>
              <w:rPr>
                <w:sz w:val="12"/>
                <w:szCs w:val="12"/>
                <w:color w:val="auto"/>
              </w:rPr>
            </w:pPr>
          </w:p>
        </w:tc>
        <w:tc>
          <w:tcPr>
            <w:tcW w:w="78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type w:val="continuous"/>
        </w:sectPr>
      </w:pPr>
    </w:p>
    <w:bookmarkStart w:id="33" w:name="page34"/>
    <w:bookmarkEnd w:id="33"/>
    <w:p>
      <w:pPr>
        <w:ind w:left="8"/>
        <w:spacing w:after="0"/>
        <w:rPr>
          <w:sz w:val="20"/>
          <w:szCs w:val="20"/>
          <w:color w:val="auto"/>
        </w:rPr>
      </w:pPr>
      <w:r>
        <w:rPr>
          <w:rFonts w:ascii="Arial" w:cs="Arial" w:eastAsia="Arial" w:hAnsi="Arial"/>
          <w:sz w:val="11"/>
          <w:szCs w:val="11"/>
          <w:color w:val="auto"/>
        </w:rPr>
        <w:t>INTEGRATED GAS DATA TABLE</w:t>
      </w:r>
    </w:p>
    <w:p>
      <w:pPr>
        <w:ind w:left="8"/>
        <w:spacing w:after="0"/>
        <w:rPr>
          <w:sz w:val="20"/>
          <w:szCs w:val="20"/>
          <w:color w:val="auto"/>
        </w:rPr>
      </w:pPr>
      <w:r>
        <w:rPr>
          <w:rFonts w:ascii="Arial" w:cs="Arial" w:eastAsia="Arial" w:hAnsi="Arial"/>
          <w:sz w:val="12"/>
          <w:szCs w:val="12"/>
          <w:color w:val="auto"/>
        </w:rPr>
        <w:t>LNG liquefaction volumes</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416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40" w:type="dxa"/>
            <w:vAlign w:val="bottom"/>
            <w:gridSpan w:val="2"/>
          </w:tcPr>
          <w:p>
            <w:pPr>
              <w:ind w:left="860"/>
              <w:spacing w:after="0"/>
              <w:rPr>
                <w:sz w:val="20"/>
                <w:szCs w:val="20"/>
                <w:color w:val="auto"/>
              </w:rPr>
            </w:pPr>
            <w:r>
              <w:rPr>
                <w:rFonts w:ascii="Arial" w:cs="Arial" w:eastAsia="Arial" w:hAnsi="Arial"/>
                <w:sz w:val="10"/>
                <w:szCs w:val="10"/>
                <w:color w:val="auto"/>
                <w:w w:val="91"/>
              </w:rPr>
              <w:t>Million tonnes</w:t>
            </w:r>
          </w:p>
        </w:tc>
      </w:tr>
      <w:tr>
        <w:trPr>
          <w:trHeight w:val="130"/>
        </w:trPr>
        <w:tc>
          <w:tcPr>
            <w:tcW w:w="4160" w:type="dxa"/>
            <w:vAlign w:val="bottom"/>
            <w:tcBorders>
              <w:bottom w:val="single" w:sz="8" w:color="auto"/>
            </w:tcBorders>
          </w:tcPr>
          <w:p>
            <w:pPr>
              <w:spacing w:after="0"/>
              <w:rPr>
                <w:sz w:val="11"/>
                <w:szCs w:val="11"/>
                <w:color w:val="auto"/>
              </w:rPr>
            </w:pPr>
          </w:p>
        </w:tc>
        <w:tc>
          <w:tcPr>
            <w:tcW w:w="41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2020</w:t>
            </w:r>
          </w:p>
        </w:tc>
        <w:tc>
          <w:tcPr>
            <w:tcW w:w="1560" w:type="dxa"/>
            <w:vAlign w:val="bottom"/>
            <w:tcBorders>
              <w:bottom w:val="single" w:sz="8" w:color="auto"/>
            </w:tcBorders>
          </w:tcPr>
          <w:p>
            <w:pPr>
              <w:jc w:val="right"/>
              <w:ind w:right="752"/>
              <w:spacing w:after="0"/>
              <w:rPr>
                <w:sz w:val="20"/>
                <w:szCs w:val="20"/>
                <w:color w:val="auto"/>
              </w:rPr>
            </w:pPr>
            <w:r>
              <w:rPr>
                <w:rFonts w:ascii="Arial" w:cs="Arial" w:eastAsia="Arial" w:hAnsi="Arial"/>
                <w:sz w:val="10"/>
                <w:szCs w:val="10"/>
                <w:color w:val="auto"/>
              </w:rPr>
              <w:t>2019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400" w:type="dxa"/>
            <w:vAlign w:val="bottom"/>
            <w:tcBorders>
              <w:bottom w:val="single" w:sz="8" w:color="auto"/>
            </w:tcBorders>
          </w:tcPr>
          <w:p>
            <w:pPr>
              <w:spacing w:after="0"/>
              <w:rPr>
                <w:sz w:val="11"/>
                <w:szCs w:val="11"/>
                <w:color w:val="auto"/>
              </w:rPr>
            </w:pPr>
          </w:p>
        </w:tc>
      </w:tr>
      <w:tr>
        <w:trPr>
          <w:trHeight w:val="114"/>
        </w:trPr>
        <w:tc>
          <w:tcPr>
            <w:tcW w:w="4160" w:type="dxa"/>
            <w:vAlign w:val="bottom"/>
          </w:tcPr>
          <w:p>
            <w:pPr>
              <w:spacing w:after="0"/>
              <w:rPr>
                <w:sz w:val="20"/>
                <w:szCs w:val="20"/>
                <w:color w:val="auto"/>
              </w:rPr>
            </w:pPr>
            <w:r>
              <w:rPr>
                <w:rFonts w:ascii="Arial" w:cs="Arial" w:eastAsia="Arial" w:hAnsi="Arial"/>
                <w:sz w:val="10"/>
                <w:szCs w:val="10"/>
                <w:color w:val="auto"/>
              </w:rPr>
              <w:t>Australia</w:t>
            </w:r>
          </w:p>
        </w:tc>
        <w:tc>
          <w:tcPr>
            <w:tcW w:w="4120" w:type="dxa"/>
            <w:vAlign w:val="bottom"/>
          </w:tcPr>
          <w:p>
            <w:pPr>
              <w:jc w:val="right"/>
              <w:ind w:right="552"/>
              <w:spacing w:after="0"/>
              <w:rPr>
                <w:sz w:val="20"/>
                <w:szCs w:val="20"/>
                <w:color w:val="auto"/>
              </w:rPr>
            </w:pPr>
            <w:r>
              <w:rPr>
                <w:rFonts w:ascii="Arial" w:cs="Arial" w:eastAsia="Arial" w:hAnsi="Arial"/>
                <w:sz w:val="10"/>
                <w:szCs w:val="10"/>
                <w:color w:val="auto"/>
              </w:rPr>
              <w:t>11.8</w:t>
            </w:r>
          </w:p>
        </w:tc>
        <w:tc>
          <w:tcPr>
            <w:tcW w:w="1560" w:type="dxa"/>
            <w:vAlign w:val="bottom"/>
          </w:tcPr>
          <w:p>
            <w:pPr>
              <w:jc w:val="right"/>
              <w:ind w:right="792"/>
              <w:spacing w:after="0"/>
              <w:rPr>
                <w:sz w:val="20"/>
                <w:szCs w:val="20"/>
                <w:color w:val="auto"/>
              </w:rPr>
            </w:pPr>
            <w:r>
              <w:rPr>
                <w:rFonts w:ascii="Arial" w:cs="Arial" w:eastAsia="Arial" w:hAnsi="Arial"/>
                <w:sz w:val="10"/>
                <w:szCs w:val="10"/>
                <w:color w:val="auto"/>
              </w:rPr>
              <w:t>12.5</w:t>
            </w:r>
          </w:p>
        </w:tc>
        <w:tc>
          <w:tcPr>
            <w:tcW w:w="1040" w:type="dxa"/>
            <w:vAlign w:val="bottom"/>
          </w:tcPr>
          <w:p>
            <w:pPr>
              <w:jc w:val="right"/>
              <w:spacing w:after="0"/>
              <w:rPr>
                <w:sz w:val="20"/>
                <w:szCs w:val="20"/>
                <w:color w:val="auto"/>
              </w:rPr>
            </w:pPr>
            <w:r>
              <w:rPr>
                <w:rFonts w:ascii="Arial" w:cs="Arial" w:eastAsia="Arial" w:hAnsi="Arial"/>
                <w:sz w:val="10"/>
                <w:szCs w:val="10"/>
                <w:color w:val="auto"/>
              </w:rPr>
              <w:t>12.1</w:t>
            </w:r>
          </w:p>
        </w:tc>
        <w:tc>
          <w:tcPr>
            <w:tcW w:w="400" w:type="dxa"/>
            <w:vAlign w:val="bottom"/>
          </w:tcPr>
          <w:p>
            <w:pPr>
              <w:spacing w:after="0"/>
              <w:rPr>
                <w:sz w:val="9"/>
                <w:szCs w:val="9"/>
                <w:color w:val="auto"/>
              </w:rPr>
            </w:pPr>
          </w:p>
        </w:tc>
      </w:tr>
      <w:tr>
        <w:trPr>
          <w:trHeight w:val="123"/>
        </w:trPr>
        <w:tc>
          <w:tcPr>
            <w:tcW w:w="4160" w:type="dxa"/>
            <w:vAlign w:val="bottom"/>
          </w:tcPr>
          <w:p>
            <w:pPr>
              <w:spacing w:after="0"/>
              <w:rPr>
                <w:sz w:val="20"/>
                <w:szCs w:val="20"/>
                <w:color w:val="auto"/>
              </w:rPr>
            </w:pPr>
            <w:r>
              <w:rPr>
                <w:rFonts w:ascii="Arial" w:cs="Arial" w:eastAsia="Arial" w:hAnsi="Arial"/>
                <w:sz w:val="10"/>
                <w:szCs w:val="10"/>
                <w:color w:val="auto"/>
              </w:rPr>
              <w:t>Brunei</w:t>
            </w:r>
          </w:p>
        </w:tc>
        <w:tc>
          <w:tcPr>
            <w:tcW w:w="4120" w:type="dxa"/>
            <w:vAlign w:val="bottom"/>
          </w:tcPr>
          <w:p>
            <w:pPr>
              <w:jc w:val="right"/>
              <w:ind w:right="552"/>
              <w:spacing w:after="0"/>
              <w:rPr>
                <w:sz w:val="20"/>
                <w:szCs w:val="20"/>
                <w:color w:val="auto"/>
              </w:rPr>
            </w:pPr>
            <w:r>
              <w:rPr>
                <w:rFonts w:ascii="Arial" w:cs="Arial" w:eastAsia="Arial" w:hAnsi="Arial"/>
                <w:sz w:val="10"/>
                <w:szCs w:val="10"/>
                <w:color w:val="auto"/>
              </w:rPr>
              <w:t>1.6</w:t>
            </w:r>
          </w:p>
        </w:tc>
        <w:tc>
          <w:tcPr>
            <w:tcW w:w="1560" w:type="dxa"/>
            <w:vAlign w:val="bottom"/>
          </w:tcPr>
          <w:p>
            <w:pPr>
              <w:jc w:val="right"/>
              <w:ind w:right="792"/>
              <w:spacing w:after="0"/>
              <w:rPr>
                <w:sz w:val="20"/>
                <w:szCs w:val="20"/>
                <w:color w:val="auto"/>
              </w:rPr>
            </w:pPr>
            <w:r>
              <w:rPr>
                <w:rFonts w:ascii="Arial" w:cs="Arial" w:eastAsia="Arial" w:hAnsi="Arial"/>
                <w:sz w:val="10"/>
                <w:szCs w:val="10"/>
                <w:color w:val="auto"/>
              </w:rPr>
              <w:t>1.6</w:t>
            </w:r>
          </w:p>
        </w:tc>
        <w:tc>
          <w:tcPr>
            <w:tcW w:w="1040" w:type="dxa"/>
            <w:vAlign w:val="bottom"/>
          </w:tcPr>
          <w:p>
            <w:pPr>
              <w:jc w:val="right"/>
              <w:spacing w:after="0"/>
              <w:rPr>
                <w:sz w:val="20"/>
                <w:szCs w:val="20"/>
                <w:color w:val="auto"/>
              </w:rPr>
            </w:pPr>
            <w:r>
              <w:rPr>
                <w:rFonts w:ascii="Arial" w:cs="Arial" w:eastAsia="Arial" w:hAnsi="Arial"/>
                <w:sz w:val="10"/>
                <w:szCs w:val="10"/>
                <w:color w:val="auto"/>
              </w:rPr>
              <w:t>1.6</w:t>
            </w:r>
          </w:p>
        </w:tc>
        <w:tc>
          <w:tcPr>
            <w:tcW w:w="400" w:type="dxa"/>
            <w:vAlign w:val="bottom"/>
          </w:tcPr>
          <w:p>
            <w:pPr>
              <w:spacing w:after="0"/>
              <w:rPr>
                <w:sz w:val="10"/>
                <w:szCs w:val="10"/>
                <w:color w:val="auto"/>
              </w:rPr>
            </w:pPr>
          </w:p>
        </w:tc>
      </w:tr>
      <w:tr>
        <w:trPr>
          <w:trHeight w:val="126"/>
        </w:trPr>
        <w:tc>
          <w:tcPr>
            <w:tcW w:w="4160" w:type="dxa"/>
            <w:vAlign w:val="bottom"/>
          </w:tcPr>
          <w:p>
            <w:pPr>
              <w:spacing w:after="0"/>
              <w:rPr>
                <w:sz w:val="20"/>
                <w:szCs w:val="20"/>
                <w:color w:val="auto"/>
              </w:rPr>
            </w:pPr>
            <w:r>
              <w:rPr>
                <w:rFonts w:ascii="Arial" w:cs="Arial" w:eastAsia="Arial" w:hAnsi="Arial"/>
                <w:sz w:val="10"/>
                <w:szCs w:val="10"/>
                <w:color w:val="auto"/>
              </w:rPr>
              <w:t>Egypt</w:t>
            </w:r>
          </w:p>
        </w:tc>
        <w:tc>
          <w:tcPr>
            <w:tcW w:w="4120" w:type="dxa"/>
            <w:vAlign w:val="bottom"/>
          </w:tcPr>
          <w:p>
            <w:pPr>
              <w:jc w:val="right"/>
              <w:ind w:right="552"/>
              <w:spacing w:after="0"/>
              <w:rPr>
                <w:sz w:val="20"/>
                <w:szCs w:val="20"/>
                <w:color w:val="auto"/>
              </w:rPr>
            </w:pPr>
            <w:r>
              <w:rPr>
                <w:rFonts w:ascii="Arial" w:cs="Arial" w:eastAsia="Arial" w:hAnsi="Arial"/>
                <w:sz w:val="10"/>
                <w:szCs w:val="10"/>
                <w:color w:val="auto"/>
              </w:rPr>
              <w:t>0.2</w:t>
            </w:r>
          </w:p>
        </w:tc>
        <w:tc>
          <w:tcPr>
            <w:tcW w:w="1560" w:type="dxa"/>
            <w:vAlign w:val="bottom"/>
          </w:tcPr>
          <w:p>
            <w:pPr>
              <w:jc w:val="right"/>
              <w:ind w:right="792"/>
              <w:spacing w:after="0"/>
              <w:rPr>
                <w:sz w:val="20"/>
                <w:szCs w:val="20"/>
                <w:color w:val="auto"/>
              </w:rPr>
            </w:pPr>
            <w:r>
              <w:rPr>
                <w:rFonts w:ascii="Arial" w:cs="Arial" w:eastAsia="Arial" w:hAnsi="Arial"/>
                <w:sz w:val="10"/>
                <w:szCs w:val="10"/>
                <w:color w:val="auto"/>
              </w:rPr>
              <w:t>0.4</w:t>
            </w:r>
          </w:p>
        </w:tc>
        <w:tc>
          <w:tcPr>
            <w:tcW w:w="1040" w:type="dxa"/>
            <w:vAlign w:val="bottom"/>
          </w:tcPr>
          <w:p>
            <w:pPr>
              <w:jc w:val="right"/>
              <w:spacing w:after="0"/>
              <w:rPr>
                <w:sz w:val="20"/>
                <w:szCs w:val="20"/>
                <w:color w:val="auto"/>
              </w:rPr>
            </w:pPr>
            <w:r>
              <w:rPr>
                <w:rFonts w:ascii="Arial" w:cs="Arial" w:eastAsia="Arial" w:hAnsi="Arial"/>
                <w:sz w:val="10"/>
                <w:szCs w:val="10"/>
                <w:color w:val="auto"/>
              </w:rPr>
              <w:t>0.3</w:t>
            </w:r>
          </w:p>
        </w:tc>
        <w:tc>
          <w:tcPr>
            <w:tcW w:w="400" w:type="dxa"/>
            <w:vAlign w:val="bottom"/>
          </w:tcPr>
          <w:p>
            <w:pPr>
              <w:spacing w:after="0"/>
              <w:rPr>
                <w:sz w:val="10"/>
                <w:szCs w:val="10"/>
                <w:color w:val="auto"/>
              </w:rPr>
            </w:pPr>
          </w:p>
        </w:tc>
      </w:tr>
      <w:tr>
        <w:trPr>
          <w:trHeight w:val="126"/>
        </w:trPr>
        <w:tc>
          <w:tcPr>
            <w:tcW w:w="4160" w:type="dxa"/>
            <w:vAlign w:val="bottom"/>
          </w:tcPr>
          <w:p>
            <w:pPr>
              <w:spacing w:after="0"/>
              <w:rPr>
                <w:sz w:val="20"/>
                <w:szCs w:val="20"/>
                <w:color w:val="auto"/>
              </w:rPr>
            </w:pPr>
            <w:r>
              <w:rPr>
                <w:rFonts w:ascii="Arial" w:cs="Arial" w:eastAsia="Arial" w:hAnsi="Arial"/>
                <w:sz w:val="10"/>
                <w:szCs w:val="10"/>
                <w:color w:val="auto"/>
              </w:rPr>
              <w:t>Malaysia</w:t>
            </w:r>
          </w:p>
        </w:tc>
        <w:tc>
          <w:tcPr>
            <w:tcW w:w="4120" w:type="dxa"/>
            <w:vAlign w:val="bottom"/>
          </w:tcPr>
          <w:p>
            <w:pPr>
              <w:jc w:val="right"/>
              <w:ind w:right="552"/>
              <w:spacing w:after="0"/>
              <w:rPr>
                <w:sz w:val="20"/>
                <w:szCs w:val="20"/>
                <w:color w:val="auto"/>
              </w:rPr>
            </w:pPr>
            <w:r>
              <w:rPr>
                <w:rFonts w:ascii="Arial" w:cs="Arial" w:eastAsia="Arial" w:hAnsi="Arial"/>
                <w:sz w:val="10"/>
                <w:szCs w:val="10"/>
                <w:color w:val="auto"/>
              </w:rPr>
              <w:t>—</w:t>
            </w:r>
          </w:p>
        </w:tc>
        <w:tc>
          <w:tcPr>
            <w:tcW w:w="1560" w:type="dxa"/>
            <w:vAlign w:val="bottom"/>
          </w:tcPr>
          <w:p>
            <w:pPr>
              <w:jc w:val="right"/>
              <w:ind w:right="792"/>
              <w:spacing w:after="0"/>
              <w:rPr>
                <w:sz w:val="20"/>
                <w:szCs w:val="20"/>
                <w:color w:val="auto"/>
              </w:rPr>
            </w:pPr>
            <w:r>
              <w:rPr>
                <w:rFonts w:ascii="Arial" w:cs="Arial" w:eastAsia="Arial" w:hAnsi="Arial"/>
                <w:sz w:val="10"/>
                <w:szCs w:val="10"/>
                <w:color w:val="auto"/>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0.6</w:t>
            </w:r>
          </w:p>
        </w:tc>
        <w:tc>
          <w:tcPr>
            <w:tcW w:w="400" w:type="dxa"/>
            <w:vAlign w:val="bottom"/>
          </w:tcPr>
          <w:p>
            <w:pPr>
              <w:spacing w:after="0"/>
              <w:rPr>
                <w:sz w:val="20"/>
                <w:szCs w:val="20"/>
                <w:color w:val="auto"/>
              </w:rPr>
            </w:pPr>
            <w:r>
              <w:rPr>
                <w:rFonts w:ascii="Arial" w:cs="Arial" w:eastAsia="Arial" w:hAnsi="Arial"/>
                <w:sz w:val="10"/>
                <w:szCs w:val="10"/>
                <w:color w:val="auto"/>
              </w:rPr>
              <w:t>[A]</w:t>
            </w:r>
          </w:p>
        </w:tc>
      </w:tr>
      <w:tr>
        <w:trPr>
          <w:trHeight w:val="126"/>
        </w:trPr>
        <w:tc>
          <w:tcPr>
            <w:tcW w:w="4160" w:type="dxa"/>
            <w:vAlign w:val="bottom"/>
          </w:tcPr>
          <w:p>
            <w:pPr>
              <w:spacing w:after="0"/>
              <w:rPr>
                <w:sz w:val="20"/>
                <w:szCs w:val="20"/>
                <w:color w:val="auto"/>
              </w:rPr>
            </w:pPr>
            <w:r>
              <w:rPr>
                <w:rFonts w:ascii="Arial" w:cs="Arial" w:eastAsia="Arial" w:hAnsi="Arial"/>
                <w:sz w:val="10"/>
                <w:szCs w:val="10"/>
                <w:color w:val="auto"/>
              </w:rPr>
              <w:t>Nigeria</w:t>
            </w:r>
          </w:p>
        </w:tc>
        <w:tc>
          <w:tcPr>
            <w:tcW w:w="4120" w:type="dxa"/>
            <w:vAlign w:val="bottom"/>
          </w:tcPr>
          <w:p>
            <w:pPr>
              <w:jc w:val="right"/>
              <w:ind w:right="552"/>
              <w:spacing w:after="0"/>
              <w:rPr>
                <w:sz w:val="20"/>
                <w:szCs w:val="20"/>
                <w:color w:val="auto"/>
              </w:rPr>
            </w:pPr>
            <w:r>
              <w:rPr>
                <w:rFonts w:ascii="Arial" w:cs="Arial" w:eastAsia="Arial" w:hAnsi="Arial"/>
                <w:sz w:val="10"/>
                <w:szCs w:val="10"/>
                <w:color w:val="auto"/>
              </w:rPr>
              <w:t>5.3</w:t>
            </w:r>
          </w:p>
        </w:tc>
        <w:tc>
          <w:tcPr>
            <w:tcW w:w="1560" w:type="dxa"/>
            <w:vAlign w:val="bottom"/>
          </w:tcPr>
          <w:p>
            <w:pPr>
              <w:jc w:val="right"/>
              <w:ind w:right="792"/>
              <w:spacing w:after="0"/>
              <w:rPr>
                <w:sz w:val="20"/>
                <w:szCs w:val="20"/>
                <w:color w:val="auto"/>
              </w:rPr>
            </w:pPr>
            <w:r>
              <w:rPr>
                <w:rFonts w:ascii="Arial" w:cs="Arial" w:eastAsia="Arial" w:hAnsi="Arial"/>
                <w:sz w:val="10"/>
                <w:szCs w:val="10"/>
                <w:color w:val="auto"/>
              </w:rPr>
              <w:t>5.3</w:t>
            </w:r>
          </w:p>
        </w:tc>
        <w:tc>
          <w:tcPr>
            <w:tcW w:w="1040" w:type="dxa"/>
            <w:vAlign w:val="bottom"/>
          </w:tcPr>
          <w:p>
            <w:pPr>
              <w:jc w:val="right"/>
              <w:spacing w:after="0"/>
              <w:rPr>
                <w:sz w:val="20"/>
                <w:szCs w:val="20"/>
                <w:color w:val="auto"/>
              </w:rPr>
            </w:pPr>
            <w:r>
              <w:rPr>
                <w:rFonts w:ascii="Arial" w:cs="Arial" w:eastAsia="Arial" w:hAnsi="Arial"/>
                <w:sz w:val="10"/>
                <w:szCs w:val="10"/>
                <w:color w:val="auto"/>
              </w:rPr>
              <w:t>5.1</w:t>
            </w:r>
          </w:p>
        </w:tc>
        <w:tc>
          <w:tcPr>
            <w:tcW w:w="400" w:type="dxa"/>
            <w:vAlign w:val="bottom"/>
          </w:tcPr>
          <w:p>
            <w:pPr>
              <w:spacing w:after="0"/>
              <w:rPr>
                <w:sz w:val="10"/>
                <w:szCs w:val="10"/>
                <w:color w:val="auto"/>
              </w:rPr>
            </w:pPr>
          </w:p>
        </w:tc>
      </w:tr>
      <w:tr>
        <w:trPr>
          <w:trHeight w:val="126"/>
        </w:trPr>
        <w:tc>
          <w:tcPr>
            <w:tcW w:w="4160" w:type="dxa"/>
            <w:vAlign w:val="bottom"/>
          </w:tcPr>
          <w:p>
            <w:pPr>
              <w:spacing w:after="0"/>
              <w:rPr>
                <w:sz w:val="20"/>
                <w:szCs w:val="20"/>
                <w:color w:val="auto"/>
              </w:rPr>
            </w:pPr>
            <w:r>
              <w:rPr>
                <w:rFonts w:ascii="Arial" w:cs="Arial" w:eastAsia="Arial" w:hAnsi="Arial"/>
                <w:sz w:val="10"/>
                <w:szCs w:val="10"/>
                <w:color w:val="auto"/>
              </w:rPr>
              <w:t>Norway</w:t>
            </w:r>
          </w:p>
        </w:tc>
        <w:tc>
          <w:tcPr>
            <w:tcW w:w="4120" w:type="dxa"/>
            <w:vAlign w:val="bottom"/>
          </w:tcPr>
          <w:p>
            <w:pPr>
              <w:jc w:val="right"/>
              <w:ind w:right="552"/>
              <w:spacing w:after="0"/>
              <w:rPr>
                <w:sz w:val="20"/>
                <w:szCs w:val="20"/>
                <w:color w:val="auto"/>
              </w:rPr>
            </w:pPr>
            <w:r>
              <w:rPr>
                <w:rFonts w:ascii="Arial" w:cs="Arial" w:eastAsia="Arial" w:hAnsi="Arial"/>
                <w:sz w:val="10"/>
                <w:szCs w:val="10"/>
                <w:color w:val="auto"/>
              </w:rPr>
              <w:t>0.1</w:t>
            </w:r>
          </w:p>
        </w:tc>
        <w:tc>
          <w:tcPr>
            <w:tcW w:w="1560" w:type="dxa"/>
            <w:vAlign w:val="bottom"/>
          </w:tcPr>
          <w:p>
            <w:pPr>
              <w:jc w:val="right"/>
              <w:ind w:right="792"/>
              <w:spacing w:after="0"/>
              <w:rPr>
                <w:sz w:val="20"/>
                <w:szCs w:val="20"/>
                <w:color w:val="auto"/>
              </w:rPr>
            </w:pPr>
            <w:r>
              <w:rPr>
                <w:rFonts w:ascii="Arial" w:cs="Arial" w:eastAsia="Arial" w:hAnsi="Arial"/>
                <w:sz w:val="10"/>
                <w:szCs w:val="10"/>
                <w:color w:val="auto"/>
              </w:rPr>
              <w:t>0.1</w:t>
            </w:r>
          </w:p>
        </w:tc>
        <w:tc>
          <w:tcPr>
            <w:tcW w:w="1040" w:type="dxa"/>
            <w:vAlign w:val="bottom"/>
          </w:tcPr>
          <w:p>
            <w:pPr>
              <w:jc w:val="right"/>
              <w:spacing w:after="0"/>
              <w:rPr>
                <w:sz w:val="20"/>
                <w:szCs w:val="20"/>
                <w:color w:val="auto"/>
              </w:rPr>
            </w:pPr>
            <w:r>
              <w:rPr>
                <w:rFonts w:ascii="Arial" w:cs="Arial" w:eastAsia="Arial" w:hAnsi="Arial"/>
                <w:sz w:val="10"/>
                <w:szCs w:val="10"/>
                <w:color w:val="auto"/>
              </w:rPr>
              <w:t>0.1</w:t>
            </w:r>
          </w:p>
        </w:tc>
        <w:tc>
          <w:tcPr>
            <w:tcW w:w="400" w:type="dxa"/>
            <w:vAlign w:val="bottom"/>
          </w:tcPr>
          <w:p>
            <w:pPr>
              <w:spacing w:after="0"/>
              <w:rPr>
                <w:sz w:val="10"/>
                <w:szCs w:val="10"/>
                <w:color w:val="auto"/>
              </w:rPr>
            </w:pPr>
          </w:p>
        </w:tc>
      </w:tr>
      <w:tr>
        <w:trPr>
          <w:trHeight w:val="126"/>
        </w:trPr>
        <w:tc>
          <w:tcPr>
            <w:tcW w:w="4160" w:type="dxa"/>
            <w:vAlign w:val="bottom"/>
          </w:tcPr>
          <w:p>
            <w:pPr>
              <w:spacing w:after="0"/>
              <w:rPr>
                <w:sz w:val="20"/>
                <w:szCs w:val="20"/>
                <w:color w:val="auto"/>
              </w:rPr>
            </w:pPr>
            <w:r>
              <w:rPr>
                <w:rFonts w:ascii="Arial" w:cs="Arial" w:eastAsia="Arial" w:hAnsi="Arial"/>
                <w:sz w:val="10"/>
                <w:szCs w:val="10"/>
                <w:color w:val="auto"/>
              </w:rPr>
              <w:t>Oman</w:t>
            </w:r>
          </w:p>
        </w:tc>
        <w:tc>
          <w:tcPr>
            <w:tcW w:w="4120" w:type="dxa"/>
            <w:vAlign w:val="bottom"/>
          </w:tcPr>
          <w:p>
            <w:pPr>
              <w:jc w:val="right"/>
              <w:ind w:right="552"/>
              <w:spacing w:after="0"/>
              <w:rPr>
                <w:sz w:val="20"/>
                <w:szCs w:val="20"/>
                <w:color w:val="auto"/>
              </w:rPr>
            </w:pPr>
            <w:r>
              <w:rPr>
                <w:rFonts w:ascii="Arial" w:cs="Arial" w:eastAsia="Arial" w:hAnsi="Arial"/>
                <w:sz w:val="10"/>
                <w:szCs w:val="10"/>
                <w:color w:val="auto"/>
              </w:rPr>
              <w:t>2.5</w:t>
            </w:r>
          </w:p>
        </w:tc>
        <w:tc>
          <w:tcPr>
            <w:tcW w:w="1560" w:type="dxa"/>
            <w:vAlign w:val="bottom"/>
          </w:tcPr>
          <w:p>
            <w:pPr>
              <w:jc w:val="right"/>
              <w:ind w:right="792"/>
              <w:spacing w:after="0"/>
              <w:rPr>
                <w:sz w:val="20"/>
                <w:szCs w:val="20"/>
                <w:color w:val="auto"/>
              </w:rPr>
            </w:pPr>
            <w:r>
              <w:rPr>
                <w:rFonts w:ascii="Arial" w:cs="Arial" w:eastAsia="Arial" w:hAnsi="Arial"/>
                <w:sz w:val="10"/>
                <w:szCs w:val="10"/>
                <w:color w:val="auto"/>
              </w:rPr>
              <w:t>2.6</w:t>
            </w:r>
          </w:p>
        </w:tc>
        <w:tc>
          <w:tcPr>
            <w:tcW w:w="1040" w:type="dxa"/>
            <w:vAlign w:val="bottom"/>
          </w:tcPr>
          <w:p>
            <w:pPr>
              <w:jc w:val="right"/>
              <w:spacing w:after="0"/>
              <w:rPr>
                <w:sz w:val="20"/>
                <w:szCs w:val="20"/>
                <w:color w:val="auto"/>
              </w:rPr>
            </w:pPr>
            <w:r>
              <w:rPr>
                <w:rFonts w:ascii="Arial" w:cs="Arial" w:eastAsia="Arial" w:hAnsi="Arial"/>
                <w:sz w:val="10"/>
                <w:szCs w:val="10"/>
                <w:color w:val="auto"/>
              </w:rPr>
              <w:t>2.4</w:t>
            </w:r>
          </w:p>
        </w:tc>
        <w:tc>
          <w:tcPr>
            <w:tcW w:w="400" w:type="dxa"/>
            <w:vAlign w:val="bottom"/>
          </w:tcPr>
          <w:p>
            <w:pPr>
              <w:spacing w:after="0"/>
              <w:rPr>
                <w:sz w:val="10"/>
                <w:szCs w:val="10"/>
                <w:color w:val="auto"/>
              </w:rPr>
            </w:pPr>
          </w:p>
        </w:tc>
      </w:tr>
      <w:tr>
        <w:trPr>
          <w:trHeight w:val="126"/>
        </w:trPr>
        <w:tc>
          <w:tcPr>
            <w:tcW w:w="4160" w:type="dxa"/>
            <w:vAlign w:val="bottom"/>
          </w:tcPr>
          <w:p>
            <w:pPr>
              <w:spacing w:after="0"/>
              <w:rPr>
                <w:sz w:val="20"/>
                <w:szCs w:val="20"/>
                <w:color w:val="auto"/>
              </w:rPr>
            </w:pPr>
            <w:r>
              <w:rPr>
                <w:rFonts w:ascii="Arial" w:cs="Arial" w:eastAsia="Arial" w:hAnsi="Arial"/>
                <w:sz w:val="10"/>
                <w:szCs w:val="10"/>
                <w:color w:val="auto"/>
              </w:rPr>
              <w:t>Peru</w:t>
            </w:r>
          </w:p>
        </w:tc>
        <w:tc>
          <w:tcPr>
            <w:tcW w:w="4120" w:type="dxa"/>
            <w:vAlign w:val="bottom"/>
          </w:tcPr>
          <w:p>
            <w:pPr>
              <w:jc w:val="right"/>
              <w:ind w:right="552"/>
              <w:spacing w:after="0"/>
              <w:rPr>
                <w:sz w:val="20"/>
                <w:szCs w:val="20"/>
                <w:color w:val="auto"/>
              </w:rPr>
            </w:pPr>
            <w:r>
              <w:rPr>
                <w:rFonts w:ascii="Arial" w:cs="Arial" w:eastAsia="Arial" w:hAnsi="Arial"/>
                <w:sz w:val="10"/>
                <w:szCs w:val="10"/>
                <w:color w:val="auto"/>
              </w:rPr>
              <w:t>0.9</w:t>
            </w:r>
          </w:p>
        </w:tc>
        <w:tc>
          <w:tcPr>
            <w:tcW w:w="1560" w:type="dxa"/>
            <w:vAlign w:val="bottom"/>
          </w:tcPr>
          <w:p>
            <w:pPr>
              <w:jc w:val="right"/>
              <w:ind w:right="792"/>
              <w:spacing w:after="0"/>
              <w:rPr>
                <w:sz w:val="20"/>
                <w:szCs w:val="20"/>
                <w:color w:val="auto"/>
              </w:rPr>
            </w:pPr>
            <w:r>
              <w:rPr>
                <w:rFonts w:ascii="Arial" w:cs="Arial" w:eastAsia="Arial" w:hAnsi="Arial"/>
                <w:sz w:val="10"/>
                <w:szCs w:val="10"/>
                <w:color w:val="auto"/>
              </w:rPr>
              <w:t>0.9</w:t>
            </w:r>
          </w:p>
        </w:tc>
        <w:tc>
          <w:tcPr>
            <w:tcW w:w="1040" w:type="dxa"/>
            <w:vAlign w:val="bottom"/>
          </w:tcPr>
          <w:p>
            <w:pPr>
              <w:jc w:val="right"/>
              <w:spacing w:after="0"/>
              <w:rPr>
                <w:sz w:val="20"/>
                <w:szCs w:val="20"/>
                <w:color w:val="auto"/>
              </w:rPr>
            </w:pPr>
            <w:r>
              <w:rPr>
                <w:rFonts w:ascii="Arial" w:cs="Arial" w:eastAsia="Arial" w:hAnsi="Arial"/>
                <w:sz w:val="10"/>
                <w:szCs w:val="10"/>
                <w:color w:val="auto"/>
              </w:rPr>
              <w:t>0.8</w:t>
            </w:r>
          </w:p>
        </w:tc>
        <w:tc>
          <w:tcPr>
            <w:tcW w:w="400" w:type="dxa"/>
            <w:vAlign w:val="bottom"/>
          </w:tcPr>
          <w:p>
            <w:pPr>
              <w:spacing w:after="0"/>
              <w:rPr>
                <w:sz w:val="10"/>
                <w:szCs w:val="10"/>
                <w:color w:val="auto"/>
              </w:rPr>
            </w:pPr>
          </w:p>
        </w:tc>
      </w:tr>
      <w:tr>
        <w:trPr>
          <w:trHeight w:val="126"/>
        </w:trPr>
        <w:tc>
          <w:tcPr>
            <w:tcW w:w="4160" w:type="dxa"/>
            <w:vAlign w:val="bottom"/>
          </w:tcPr>
          <w:p>
            <w:pPr>
              <w:spacing w:after="0"/>
              <w:rPr>
                <w:sz w:val="20"/>
                <w:szCs w:val="20"/>
                <w:color w:val="auto"/>
              </w:rPr>
            </w:pPr>
            <w:r>
              <w:rPr>
                <w:rFonts w:ascii="Arial" w:cs="Arial" w:eastAsia="Arial" w:hAnsi="Arial"/>
                <w:sz w:val="10"/>
                <w:szCs w:val="10"/>
                <w:color w:val="auto"/>
              </w:rPr>
              <w:t>Qatar</w:t>
            </w:r>
          </w:p>
        </w:tc>
        <w:tc>
          <w:tcPr>
            <w:tcW w:w="4120" w:type="dxa"/>
            <w:vAlign w:val="bottom"/>
          </w:tcPr>
          <w:p>
            <w:pPr>
              <w:jc w:val="right"/>
              <w:ind w:right="552"/>
              <w:spacing w:after="0"/>
              <w:rPr>
                <w:sz w:val="20"/>
                <w:szCs w:val="20"/>
                <w:color w:val="auto"/>
              </w:rPr>
            </w:pPr>
            <w:r>
              <w:rPr>
                <w:rFonts w:ascii="Arial" w:cs="Arial" w:eastAsia="Arial" w:hAnsi="Arial"/>
                <w:sz w:val="10"/>
                <w:szCs w:val="10"/>
                <w:color w:val="auto"/>
              </w:rPr>
              <w:t>2.4</w:t>
            </w:r>
          </w:p>
        </w:tc>
        <w:tc>
          <w:tcPr>
            <w:tcW w:w="1560" w:type="dxa"/>
            <w:vAlign w:val="bottom"/>
          </w:tcPr>
          <w:p>
            <w:pPr>
              <w:jc w:val="right"/>
              <w:ind w:right="792"/>
              <w:spacing w:after="0"/>
              <w:rPr>
                <w:sz w:val="20"/>
                <w:szCs w:val="20"/>
                <w:color w:val="auto"/>
              </w:rPr>
            </w:pPr>
            <w:r>
              <w:rPr>
                <w:rFonts w:ascii="Arial" w:cs="Arial" w:eastAsia="Arial" w:hAnsi="Arial"/>
                <w:sz w:val="10"/>
                <w:szCs w:val="10"/>
                <w:color w:val="auto"/>
              </w:rPr>
              <w:t>2.5</w:t>
            </w:r>
          </w:p>
        </w:tc>
        <w:tc>
          <w:tcPr>
            <w:tcW w:w="1040" w:type="dxa"/>
            <w:vAlign w:val="bottom"/>
          </w:tcPr>
          <w:p>
            <w:pPr>
              <w:jc w:val="right"/>
              <w:spacing w:after="0"/>
              <w:rPr>
                <w:sz w:val="20"/>
                <w:szCs w:val="20"/>
                <w:color w:val="auto"/>
              </w:rPr>
            </w:pPr>
            <w:r>
              <w:rPr>
                <w:rFonts w:ascii="Arial" w:cs="Arial" w:eastAsia="Arial" w:hAnsi="Arial"/>
                <w:sz w:val="10"/>
                <w:szCs w:val="10"/>
                <w:color w:val="auto"/>
              </w:rPr>
              <w:t>2.3</w:t>
            </w:r>
          </w:p>
        </w:tc>
        <w:tc>
          <w:tcPr>
            <w:tcW w:w="400" w:type="dxa"/>
            <w:vAlign w:val="bottom"/>
          </w:tcPr>
          <w:p>
            <w:pPr>
              <w:spacing w:after="0"/>
              <w:rPr>
                <w:sz w:val="10"/>
                <w:szCs w:val="10"/>
                <w:color w:val="auto"/>
              </w:rPr>
            </w:pPr>
          </w:p>
        </w:tc>
      </w:tr>
      <w:tr>
        <w:trPr>
          <w:trHeight w:val="126"/>
        </w:trPr>
        <w:tc>
          <w:tcPr>
            <w:tcW w:w="4160" w:type="dxa"/>
            <w:vAlign w:val="bottom"/>
          </w:tcPr>
          <w:p>
            <w:pPr>
              <w:spacing w:after="0"/>
              <w:rPr>
                <w:sz w:val="20"/>
                <w:szCs w:val="20"/>
                <w:color w:val="auto"/>
              </w:rPr>
            </w:pPr>
            <w:r>
              <w:rPr>
                <w:rFonts w:ascii="Arial" w:cs="Arial" w:eastAsia="Arial" w:hAnsi="Arial"/>
                <w:sz w:val="10"/>
                <w:szCs w:val="10"/>
                <w:color w:val="auto"/>
              </w:rPr>
              <w:t>Russia</w:t>
            </w:r>
          </w:p>
        </w:tc>
        <w:tc>
          <w:tcPr>
            <w:tcW w:w="4120" w:type="dxa"/>
            <w:vAlign w:val="bottom"/>
          </w:tcPr>
          <w:p>
            <w:pPr>
              <w:jc w:val="right"/>
              <w:ind w:right="552"/>
              <w:spacing w:after="0"/>
              <w:rPr>
                <w:sz w:val="20"/>
                <w:szCs w:val="20"/>
                <w:color w:val="auto"/>
              </w:rPr>
            </w:pPr>
            <w:r>
              <w:rPr>
                <w:rFonts w:ascii="Arial" w:cs="Arial" w:eastAsia="Arial" w:hAnsi="Arial"/>
                <w:sz w:val="10"/>
                <w:szCs w:val="10"/>
                <w:color w:val="auto"/>
              </w:rPr>
              <w:t>3.1</w:t>
            </w:r>
          </w:p>
        </w:tc>
        <w:tc>
          <w:tcPr>
            <w:tcW w:w="1560" w:type="dxa"/>
            <w:vAlign w:val="bottom"/>
          </w:tcPr>
          <w:p>
            <w:pPr>
              <w:jc w:val="right"/>
              <w:ind w:right="792"/>
              <w:spacing w:after="0"/>
              <w:rPr>
                <w:sz w:val="20"/>
                <w:szCs w:val="20"/>
                <w:color w:val="auto"/>
              </w:rPr>
            </w:pPr>
            <w:r>
              <w:rPr>
                <w:rFonts w:ascii="Arial" w:cs="Arial" w:eastAsia="Arial" w:hAnsi="Arial"/>
                <w:sz w:val="10"/>
                <w:szCs w:val="10"/>
                <w:color w:val="auto"/>
              </w:rPr>
              <w:t>3.0</w:t>
            </w:r>
          </w:p>
        </w:tc>
        <w:tc>
          <w:tcPr>
            <w:tcW w:w="1040" w:type="dxa"/>
            <w:vAlign w:val="bottom"/>
          </w:tcPr>
          <w:p>
            <w:pPr>
              <w:jc w:val="right"/>
              <w:spacing w:after="0"/>
              <w:rPr>
                <w:sz w:val="20"/>
                <w:szCs w:val="20"/>
                <w:color w:val="auto"/>
              </w:rPr>
            </w:pPr>
            <w:r>
              <w:rPr>
                <w:rFonts w:ascii="Arial" w:cs="Arial" w:eastAsia="Arial" w:hAnsi="Arial"/>
                <w:sz w:val="10"/>
                <w:szCs w:val="10"/>
                <w:color w:val="auto"/>
              </w:rPr>
              <w:t>3.1</w:t>
            </w:r>
          </w:p>
        </w:tc>
        <w:tc>
          <w:tcPr>
            <w:tcW w:w="400" w:type="dxa"/>
            <w:vAlign w:val="bottom"/>
          </w:tcPr>
          <w:p>
            <w:pPr>
              <w:spacing w:after="0"/>
              <w:rPr>
                <w:sz w:val="10"/>
                <w:szCs w:val="10"/>
                <w:color w:val="auto"/>
              </w:rPr>
            </w:pPr>
          </w:p>
        </w:tc>
      </w:tr>
      <w:tr>
        <w:trPr>
          <w:trHeight w:val="126"/>
        </w:trPr>
        <w:tc>
          <w:tcPr>
            <w:tcW w:w="4160" w:type="dxa"/>
            <w:vAlign w:val="bottom"/>
          </w:tcPr>
          <w:p>
            <w:pPr>
              <w:spacing w:after="0"/>
              <w:rPr>
                <w:sz w:val="20"/>
                <w:szCs w:val="20"/>
                <w:color w:val="auto"/>
              </w:rPr>
            </w:pPr>
            <w:r>
              <w:rPr>
                <w:rFonts w:ascii="Arial" w:cs="Arial" w:eastAsia="Arial" w:hAnsi="Arial"/>
                <w:sz w:val="10"/>
                <w:szCs w:val="10"/>
                <w:color w:val="auto"/>
              </w:rPr>
              <w:t>Trinidad and Tobago</w:t>
            </w:r>
          </w:p>
        </w:tc>
        <w:tc>
          <w:tcPr>
            <w:tcW w:w="4120" w:type="dxa"/>
            <w:vAlign w:val="bottom"/>
          </w:tcPr>
          <w:p>
            <w:pPr>
              <w:jc w:val="right"/>
              <w:ind w:right="552"/>
              <w:spacing w:after="0"/>
              <w:rPr>
                <w:sz w:val="20"/>
                <w:szCs w:val="20"/>
                <w:color w:val="auto"/>
              </w:rPr>
            </w:pPr>
            <w:r>
              <w:rPr>
                <w:rFonts w:ascii="Arial" w:cs="Arial" w:eastAsia="Arial" w:hAnsi="Arial"/>
                <w:sz w:val="10"/>
                <w:szCs w:val="10"/>
                <w:color w:val="auto"/>
              </w:rPr>
              <w:t>5.4</w:t>
            </w:r>
          </w:p>
        </w:tc>
        <w:tc>
          <w:tcPr>
            <w:tcW w:w="1560" w:type="dxa"/>
            <w:vAlign w:val="bottom"/>
          </w:tcPr>
          <w:p>
            <w:pPr>
              <w:jc w:val="right"/>
              <w:ind w:right="792"/>
              <w:spacing w:after="0"/>
              <w:rPr>
                <w:sz w:val="20"/>
                <w:szCs w:val="20"/>
                <w:color w:val="auto"/>
              </w:rPr>
            </w:pPr>
            <w:r>
              <w:rPr>
                <w:rFonts w:ascii="Arial" w:cs="Arial" w:eastAsia="Arial" w:hAnsi="Arial"/>
                <w:sz w:val="10"/>
                <w:szCs w:val="10"/>
                <w:color w:val="auto"/>
              </w:rPr>
              <w:t>6.7</w:t>
            </w:r>
          </w:p>
        </w:tc>
        <w:tc>
          <w:tcPr>
            <w:tcW w:w="1040" w:type="dxa"/>
            <w:vAlign w:val="bottom"/>
          </w:tcPr>
          <w:p>
            <w:pPr>
              <w:jc w:val="right"/>
              <w:spacing w:after="0"/>
              <w:rPr>
                <w:sz w:val="20"/>
                <w:szCs w:val="20"/>
                <w:color w:val="auto"/>
              </w:rPr>
            </w:pPr>
            <w:r>
              <w:rPr>
                <w:rFonts w:ascii="Arial" w:cs="Arial" w:eastAsia="Arial" w:hAnsi="Arial"/>
                <w:sz w:val="10"/>
                <w:szCs w:val="10"/>
                <w:color w:val="auto"/>
              </w:rPr>
              <w:t>5.8</w:t>
            </w:r>
          </w:p>
        </w:tc>
        <w:tc>
          <w:tcPr>
            <w:tcW w:w="400" w:type="dxa"/>
            <w:vAlign w:val="bottom"/>
          </w:tcPr>
          <w:p>
            <w:pPr>
              <w:spacing w:after="0"/>
              <w:rPr>
                <w:sz w:val="10"/>
                <w:szCs w:val="10"/>
                <w:color w:val="auto"/>
              </w:rPr>
            </w:pPr>
          </w:p>
        </w:tc>
      </w:tr>
      <w:tr>
        <w:trPr>
          <w:trHeight w:val="130"/>
        </w:trPr>
        <w:tc>
          <w:tcPr>
            <w:tcW w:w="4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United States</w:t>
            </w:r>
          </w:p>
        </w:tc>
        <w:tc>
          <w:tcPr>
            <w:tcW w:w="412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0.1</w:t>
            </w:r>
          </w:p>
        </w:tc>
        <w:tc>
          <w:tcPr>
            <w:tcW w:w="1560" w:type="dxa"/>
            <w:vAlign w:val="bottom"/>
            <w:tcBorders>
              <w:bottom w:val="single" w:sz="8" w:color="auto"/>
            </w:tcBorders>
          </w:tcPr>
          <w:p>
            <w:pPr>
              <w:jc w:val="right"/>
              <w:ind w:right="792"/>
              <w:spacing w:after="0"/>
              <w:rPr>
                <w:sz w:val="20"/>
                <w:szCs w:val="20"/>
                <w:color w:val="auto"/>
              </w:rPr>
            </w:pPr>
            <w:r>
              <w:rPr>
                <w:rFonts w:ascii="Arial" w:cs="Arial" w:eastAsia="Arial" w:hAnsi="Arial"/>
                <w:sz w:val="10"/>
                <w:szCs w:val="10"/>
                <w:color w:val="auto"/>
              </w:rPr>
              <w:t>0.1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auto"/>
            </w:tcBorders>
          </w:tcPr>
          <w:p>
            <w:pPr>
              <w:spacing w:after="0"/>
              <w:rPr>
                <w:sz w:val="11"/>
                <w:szCs w:val="11"/>
                <w:color w:val="auto"/>
              </w:rPr>
            </w:pPr>
          </w:p>
        </w:tc>
      </w:tr>
      <w:tr>
        <w:trPr>
          <w:trHeight w:val="117"/>
        </w:trPr>
        <w:tc>
          <w:tcPr>
            <w:tcW w:w="4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412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33.2</w:t>
            </w:r>
          </w:p>
        </w:tc>
        <w:tc>
          <w:tcPr>
            <w:tcW w:w="1560" w:type="dxa"/>
            <w:vAlign w:val="bottom"/>
            <w:tcBorders>
              <w:bottom w:val="single" w:sz="8" w:color="auto"/>
            </w:tcBorders>
          </w:tcPr>
          <w:p>
            <w:pPr>
              <w:jc w:val="right"/>
              <w:ind w:right="792"/>
              <w:spacing w:after="0"/>
              <w:rPr>
                <w:sz w:val="20"/>
                <w:szCs w:val="20"/>
                <w:color w:val="auto"/>
              </w:rPr>
            </w:pPr>
            <w:r>
              <w:rPr>
                <w:rFonts w:ascii="Arial" w:cs="Arial" w:eastAsia="Arial" w:hAnsi="Arial"/>
                <w:sz w:val="10"/>
                <w:szCs w:val="10"/>
                <w:color w:val="auto"/>
              </w:rPr>
              <w:t>35.6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34.3</w:t>
            </w:r>
          </w:p>
        </w:tc>
        <w:tc>
          <w:tcPr>
            <w:tcW w:w="400" w:type="dxa"/>
            <w:vAlign w:val="bottom"/>
            <w:tcBorders>
              <w:bottom w:val="single" w:sz="8" w:color="auto"/>
            </w:tcBorders>
          </w:tcPr>
          <w:p>
            <w:pPr>
              <w:spacing w:after="0"/>
              <w:rPr>
                <w:sz w:val="10"/>
                <w:szCs w:val="10"/>
                <w:color w:val="auto"/>
              </w:rPr>
            </w:pPr>
          </w:p>
        </w:tc>
      </w:tr>
    </w:tbl>
    <w:p>
      <w:pPr>
        <w:spacing w:after="0" w:line="155" w:lineRule="exact"/>
        <w:rPr>
          <w:sz w:val="20"/>
          <w:szCs w:val="20"/>
          <w:color w:val="auto"/>
        </w:rPr>
      </w:pPr>
    </w:p>
    <w:p>
      <w:pPr>
        <w:ind w:left="8"/>
        <w:spacing w:after="0"/>
        <w:rPr>
          <w:sz w:val="20"/>
          <w:szCs w:val="20"/>
          <w:color w:val="auto"/>
        </w:rPr>
      </w:pPr>
      <w:r>
        <w:rPr>
          <w:rFonts w:ascii="Arial" w:cs="Arial" w:eastAsia="Arial" w:hAnsi="Arial"/>
          <w:sz w:val="7"/>
          <w:szCs w:val="7"/>
          <w:color w:val="auto"/>
        </w:rPr>
        <w:t>[A] Includes LNG liquefaction volumes related to our share in equity securities of Malaysia LNG Tiga, which were disposed of in 2018.</w:t>
      </w:r>
    </w:p>
    <w:p>
      <w:pPr>
        <w:sectPr>
          <w:pgSz w:w="11900" w:h="16838" w:orient="portrait"/>
          <w:cols w:equalWidth="0" w:num="1">
            <w:col w:w="11308"/>
          </w:cols>
          <w:pgMar w:left="292" w:top="635" w:right="299" w:bottom="1440" w:gutter="0" w:footer="0" w:header="0"/>
        </w:sectPr>
      </w:pPr>
    </w:p>
    <w:p>
      <w:pPr>
        <w:spacing w:after="0" w:line="138" w:lineRule="exact"/>
        <w:rPr>
          <w:sz w:val="20"/>
          <w:szCs w:val="20"/>
          <w:color w:val="auto"/>
        </w:rPr>
      </w:pPr>
    </w:p>
    <w:p>
      <w:pPr>
        <w:ind w:left="8"/>
        <w:spacing w:after="0"/>
        <w:rPr>
          <w:sz w:val="20"/>
          <w:szCs w:val="20"/>
          <w:color w:val="auto"/>
        </w:rPr>
      </w:pPr>
      <w:r>
        <w:rPr>
          <w:rFonts w:ascii="Arial" w:cs="Arial" w:eastAsia="Arial" w:hAnsi="Arial"/>
          <w:sz w:val="11"/>
          <w:szCs w:val="11"/>
          <w:color w:val="auto"/>
        </w:rPr>
        <w:t>EARNINGS 2020-2019</w:t>
      </w:r>
    </w:p>
    <w:p>
      <w:pPr>
        <w:ind w:left="8" w:right="20"/>
        <w:spacing w:after="0" w:line="253" w:lineRule="auto"/>
        <w:rPr>
          <w:sz w:val="20"/>
          <w:szCs w:val="20"/>
          <w:color w:val="auto"/>
        </w:rPr>
      </w:pPr>
      <w:r>
        <w:rPr>
          <w:rFonts w:ascii="Arial" w:cs="Arial" w:eastAsia="Arial" w:hAnsi="Arial"/>
          <w:sz w:val="8"/>
          <w:szCs w:val="8"/>
          <w:color w:val="auto"/>
        </w:rPr>
        <w:t>Segment earnings in 2020 were a loss of $6,278 million, which included a net charge of $10,661 million. The net charge reflected impairment charges of $9,282 million mainly reflecting revisions to mid- and long-term price outlook assumptions and primarily related to the Queensland Curtis LNG and Prelude FLNG operations in Australia. It also comprised a net charge of $969 million due to the fair value accounting of commodity derivatives and a charge of $607 million related to onerous contract provisions.</w:t>
      </w:r>
    </w:p>
    <w:p>
      <w:pPr>
        <w:spacing w:after="0" w:line="126" w:lineRule="exact"/>
        <w:rPr>
          <w:sz w:val="20"/>
          <w:szCs w:val="20"/>
          <w:color w:val="auto"/>
        </w:rPr>
      </w:pPr>
    </w:p>
    <w:p>
      <w:pPr>
        <w:ind w:left="8"/>
        <w:spacing w:after="0" w:line="260" w:lineRule="auto"/>
        <w:rPr>
          <w:sz w:val="20"/>
          <w:szCs w:val="20"/>
          <w:color w:val="auto"/>
        </w:rPr>
      </w:pPr>
      <w:r>
        <w:rPr>
          <w:rFonts w:ascii="Arial" w:cs="Arial" w:eastAsia="Arial" w:hAnsi="Arial"/>
          <w:sz w:val="8"/>
          <w:szCs w:val="8"/>
          <w:color w:val="auto"/>
        </w:rPr>
        <w:t>Segment earnings in 2019 were $8,628 million, which included a net charge of $326 million. The net charge mainly reflected impairment charges of $890 million mostly in Australia, negative movements in deferred tax positions of $292 million in Australia and write-offs of $131 million in Trinidad and Tobago. These were partly offset by a gain of $787 million related to the fair value accounting of commodity derivatives and a gain of $203 million on a sale of assets in Australia.</w:t>
      </w:r>
    </w:p>
    <w:p>
      <w:pPr>
        <w:spacing w:after="0" w:line="123" w:lineRule="exact"/>
        <w:rPr>
          <w:sz w:val="20"/>
          <w:szCs w:val="20"/>
          <w:color w:val="auto"/>
        </w:rPr>
      </w:pPr>
    </w:p>
    <w:p>
      <w:pPr>
        <w:ind w:left="8" w:right="220"/>
        <w:spacing w:after="0" w:line="209" w:lineRule="auto"/>
        <w:rPr>
          <w:sz w:val="20"/>
          <w:szCs w:val="20"/>
          <w:color w:val="auto"/>
        </w:rPr>
      </w:pPr>
      <w:r>
        <w:rPr>
          <w:rFonts w:ascii="Arial" w:cs="Arial" w:eastAsia="Arial" w:hAnsi="Arial"/>
          <w:sz w:val="10"/>
          <w:szCs w:val="10"/>
          <w:color w:val="auto"/>
        </w:rPr>
        <w:t>Excluding the net charge described above, segment earnings were $4,383 million in 2020 compared with $8,955 million in 2019. Earnings were negatively impacted by lower realised LNG, oil and gas prices, and lower contributions from marketing and trading, partly offset by lower operating expenses.</w:t>
      </w:r>
    </w:p>
    <w:p>
      <w:pPr>
        <w:spacing w:after="0" w:line="283" w:lineRule="exact"/>
        <w:rPr>
          <w:sz w:val="20"/>
          <w:szCs w:val="20"/>
          <w:color w:val="auto"/>
        </w:rPr>
      </w:pPr>
    </w:p>
    <w:p>
      <w:pPr>
        <w:ind w:left="8"/>
        <w:spacing w:after="0"/>
        <w:rPr>
          <w:sz w:val="20"/>
          <w:szCs w:val="20"/>
          <w:color w:val="auto"/>
        </w:rPr>
      </w:pPr>
      <w:r>
        <w:rPr>
          <w:rFonts w:ascii="Arial" w:cs="Arial" w:eastAsia="Arial" w:hAnsi="Arial"/>
          <w:sz w:val="11"/>
          <w:szCs w:val="11"/>
          <w:color w:val="auto"/>
        </w:rPr>
        <w:t>EARNINGS 2019-2018</w:t>
      </w:r>
    </w:p>
    <w:p>
      <w:pPr>
        <w:ind w:left="8"/>
        <w:spacing w:after="0" w:line="236" w:lineRule="auto"/>
        <w:rPr>
          <w:sz w:val="20"/>
          <w:szCs w:val="20"/>
          <w:color w:val="auto"/>
        </w:rPr>
      </w:pPr>
      <w:r>
        <w:rPr>
          <w:rFonts w:ascii="Arial" w:cs="Arial" w:eastAsia="Arial" w:hAnsi="Arial"/>
          <w:sz w:val="10"/>
          <w:szCs w:val="10"/>
          <w:color w:val="auto"/>
        </w:rPr>
        <w:t>Segment earnings in 2019 were $8,628 million, which included a net charge of $326 million as described above.</w:t>
      </w:r>
    </w:p>
    <w:p>
      <w:pPr>
        <w:spacing w:after="0" w:line="131" w:lineRule="exact"/>
        <w:rPr>
          <w:sz w:val="20"/>
          <w:szCs w:val="20"/>
          <w:color w:val="auto"/>
        </w:rPr>
      </w:pPr>
    </w:p>
    <w:p>
      <w:pPr>
        <w:ind w:left="8" w:right="40"/>
        <w:spacing w:after="0" w:line="260" w:lineRule="auto"/>
        <w:rPr>
          <w:sz w:val="20"/>
          <w:szCs w:val="20"/>
          <w:color w:val="auto"/>
        </w:rPr>
      </w:pPr>
      <w:r>
        <w:rPr>
          <w:rFonts w:ascii="Arial" w:cs="Arial" w:eastAsia="Arial" w:hAnsi="Arial"/>
          <w:sz w:val="8"/>
          <w:szCs w:val="8"/>
          <w:color w:val="auto"/>
        </w:rPr>
        <w:t>Segment earnings in 2018 were $11,444 million, which included a net gain of $2,045 million. The net gain primarily reflected gains of $1,937 million on sale of assets, mainly related to the divestment of assets in Thailand, New Zealand and India. It also comprised a gain of $481 million related to the fair value accounting of commodity derivatives and impairment charges of $371 million related to investments in Trinidad and Tobago and Shell's investment in a joint venture.</w:t>
      </w:r>
    </w:p>
    <w:p>
      <w:pPr>
        <w:spacing w:after="0" w:line="123" w:lineRule="exact"/>
        <w:rPr>
          <w:sz w:val="20"/>
          <w:szCs w:val="20"/>
          <w:color w:val="auto"/>
        </w:rPr>
      </w:pPr>
    </w:p>
    <w:p>
      <w:pPr>
        <w:ind w:left="8"/>
        <w:spacing w:after="0" w:line="204" w:lineRule="auto"/>
        <w:rPr>
          <w:sz w:val="20"/>
          <w:szCs w:val="20"/>
          <w:color w:val="auto"/>
        </w:rPr>
      </w:pPr>
      <w:r>
        <w:rPr>
          <w:rFonts w:ascii="Arial" w:cs="Arial" w:eastAsia="Arial" w:hAnsi="Arial"/>
          <w:sz w:val="10"/>
          <w:szCs w:val="10"/>
          <w:color w:val="auto"/>
        </w:rPr>
        <w:t>Excluding the net charge above, segment earnings were $8,955 million in 2019 compared with $9,399 million in 2018. Earnings were negatively impacted by lower realised oil, LNG and gas prices, higher operating expenses (of which about 50% related to New Energies, reflecting underlying business growth), and lower liquids production volumes, partly offset by significantly stronger contributions from LNG marketing and trading.</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1"/>
          <w:szCs w:val="11"/>
          <w:color w:val="auto"/>
        </w:rPr>
        <w:t>CASH CAPITAL EXPENDITURE</w:t>
      </w:r>
    </w:p>
    <w:p>
      <w:pPr>
        <w:ind w:left="8" w:right="80"/>
        <w:spacing w:after="0" w:line="212" w:lineRule="auto"/>
        <w:rPr>
          <w:sz w:val="20"/>
          <w:szCs w:val="20"/>
          <w:color w:val="auto"/>
        </w:rPr>
      </w:pPr>
      <w:r>
        <w:rPr>
          <w:rFonts w:ascii="Arial" w:cs="Arial" w:eastAsia="Arial" w:hAnsi="Arial"/>
          <w:sz w:val="10"/>
          <w:szCs w:val="10"/>
          <w:color w:val="auto"/>
        </w:rPr>
        <w:t>Cash capital expenditure in 2020 was $4.3 billion, unchanged from $4.3 billion in 2019. Our cash capital expenditure is expected to be around $6 billion in 2021.</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1"/>
          <w:szCs w:val="11"/>
          <w:color w:val="auto"/>
        </w:rPr>
        <w:t>PORTFOLIO AND BUSINESS DEVELOPMENT</w:t>
      </w:r>
    </w:p>
    <w:p>
      <w:pPr>
        <w:ind w:left="8"/>
        <w:spacing w:after="0" w:line="236" w:lineRule="auto"/>
        <w:rPr>
          <w:sz w:val="20"/>
          <w:szCs w:val="20"/>
          <w:color w:val="auto"/>
        </w:rPr>
      </w:pPr>
      <w:r>
        <w:rPr>
          <w:rFonts w:ascii="Arial" w:cs="Arial" w:eastAsia="Arial" w:hAnsi="Arial"/>
          <w:sz w:val="10"/>
          <w:szCs w:val="10"/>
          <w:color w:val="auto"/>
        </w:rPr>
        <w:t>Key portfolio events in 2020 included the following:</w:t>
      </w:r>
    </w:p>
    <w:p>
      <w:pPr>
        <w:spacing w:after="0" w:line="293" w:lineRule="exact"/>
        <w:rPr>
          <w:sz w:val="20"/>
          <w:szCs w:val="20"/>
          <w:color w:val="auto"/>
        </w:rPr>
      </w:pPr>
    </w:p>
    <w:p>
      <w:pPr>
        <w:ind w:left="108" w:right="220" w:hanging="108"/>
        <w:spacing w:after="0" w:line="209" w:lineRule="auto"/>
        <w:tabs>
          <w:tab w:leader="none" w:pos="106" w:val="left"/>
        </w:tabs>
        <w:numPr>
          <w:ilvl w:val="0"/>
          <w:numId w:val="6"/>
        </w:numPr>
        <w:rPr>
          <w:rFonts w:ascii="Arial" w:cs="Arial" w:eastAsia="Arial" w:hAnsi="Arial"/>
          <w:sz w:val="10"/>
          <w:szCs w:val="10"/>
          <w:color w:val="auto"/>
        </w:rPr>
      </w:pPr>
      <w:r>
        <w:rPr>
          <w:rFonts w:ascii="Arial" w:cs="Arial" w:eastAsia="Arial" w:hAnsi="Arial"/>
          <w:sz w:val="10"/>
          <w:szCs w:val="10"/>
          <w:color w:val="auto"/>
        </w:rPr>
        <w:t>In February 2020, we announced that we will build and operate our first industrial-scale solar electricity farm near Wandoan in central Queensland, Australia. The solar farm will generate 120 MW of solar electricity and is expected to be completed in early 2021.</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20" w:right="260" w:hanging="113"/>
        <w:spacing w:after="0" w:line="196" w:lineRule="auto"/>
        <w:tabs>
          <w:tab w:leader="none" w:pos="118" w:val="left"/>
        </w:tabs>
        <w:numPr>
          <w:ilvl w:val="0"/>
          <w:numId w:val="7"/>
        </w:numPr>
        <w:rPr>
          <w:rFonts w:ascii="Arial" w:cs="Arial" w:eastAsia="Arial" w:hAnsi="Arial"/>
          <w:sz w:val="10"/>
          <w:szCs w:val="10"/>
          <w:color w:val="auto"/>
        </w:rPr>
      </w:pPr>
      <w:r>
        <w:rPr>
          <w:rFonts w:ascii="Arial" w:cs="Arial" w:eastAsia="Arial" w:hAnsi="Arial"/>
          <w:sz w:val="10"/>
          <w:szCs w:val="10"/>
          <w:color w:val="auto"/>
        </w:rPr>
        <w:t>In March 2020, we decided not to proceed with an equity interest in the proposed Lake Charles LNG project. Energy Transfer will take over as the project developer.</w:t>
      </w:r>
    </w:p>
    <w:p>
      <w:pPr>
        <w:jc w:val="both"/>
        <w:ind w:left="120" w:right="140" w:hanging="113"/>
        <w:spacing w:after="0" w:line="262" w:lineRule="auto"/>
        <w:tabs>
          <w:tab w:leader="none" w:pos="118" w:val="left"/>
        </w:tabs>
        <w:numPr>
          <w:ilvl w:val="0"/>
          <w:numId w:val="7"/>
        </w:numPr>
        <w:rPr>
          <w:rFonts w:ascii="Arial" w:cs="Arial" w:eastAsia="Arial" w:hAnsi="Arial"/>
          <w:sz w:val="8"/>
          <w:szCs w:val="8"/>
          <w:color w:val="auto"/>
        </w:rPr>
      </w:pPr>
      <w:r>
        <w:rPr>
          <w:rFonts w:ascii="Arial" w:cs="Arial" w:eastAsia="Arial" w:hAnsi="Arial"/>
          <w:sz w:val="8"/>
          <w:szCs w:val="8"/>
          <w:color w:val="auto"/>
        </w:rPr>
        <w:t>In July 2020, the CrossWind consortium, a joint venture between Shell in the Netherlands and Eneco, was awarded the tender for the offshore wind farm Hollandse Kust (noord). Both companies have already taken their final investment decisions (FID) on the project. The consortium plans to have Hollandse Kust (noord) operational in 2023 with an installed capacity of 759 MW.</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The following major milestones were reached in 2020:</w:t>
      </w:r>
    </w:p>
    <w:p>
      <w:pPr>
        <w:spacing w:after="0" w:line="137" w:lineRule="exact"/>
        <w:rPr>
          <w:sz w:val="20"/>
          <w:szCs w:val="20"/>
          <w:color w:val="auto"/>
        </w:rPr>
      </w:pPr>
    </w:p>
    <w:p>
      <w:pPr>
        <w:jc w:val="both"/>
        <w:ind w:left="120" w:right="180" w:hanging="113"/>
        <w:spacing w:after="0" w:line="199" w:lineRule="auto"/>
        <w:tabs>
          <w:tab w:leader="none" w:pos="118" w:val="left"/>
        </w:tabs>
        <w:numPr>
          <w:ilvl w:val="0"/>
          <w:numId w:val="8"/>
        </w:numPr>
        <w:rPr>
          <w:rFonts w:ascii="Arial" w:cs="Arial" w:eastAsia="Arial" w:hAnsi="Arial"/>
          <w:sz w:val="10"/>
          <w:szCs w:val="10"/>
          <w:color w:val="auto"/>
        </w:rPr>
      </w:pPr>
      <w:r>
        <w:rPr>
          <w:rFonts w:ascii="Arial" w:cs="Arial" w:eastAsia="Arial" w:hAnsi="Arial"/>
          <w:sz w:val="10"/>
          <w:szCs w:val="10"/>
          <w:color w:val="auto"/>
        </w:rPr>
        <w:t>In April 2020, we took a FID to develop the first phase of Arrow Energy’s Surat Gas Project in Queensland, Australia. This decision will bring up to 90 billion cubic feet per year of new gas by the end of the decade, which will flow to Shell-operated QGC to be sold locally and exported through its plant on Curtis Island.</w:t>
      </w:r>
    </w:p>
    <w:p>
      <w:pPr>
        <w:ind w:left="120" w:hanging="113"/>
        <w:spacing w:after="0" w:line="187" w:lineRule="auto"/>
        <w:tabs>
          <w:tab w:leader="none" w:pos="120" w:val="left"/>
        </w:tabs>
        <w:numPr>
          <w:ilvl w:val="0"/>
          <w:numId w:val="8"/>
        </w:numPr>
        <w:rPr>
          <w:rFonts w:ascii="Arial" w:cs="Arial" w:eastAsia="Arial" w:hAnsi="Arial"/>
          <w:sz w:val="10"/>
          <w:szCs w:val="10"/>
          <w:color w:val="auto"/>
        </w:rPr>
      </w:pPr>
      <w:r>
        <w:rPr>
          <w:rFonts w:ascii="Arial" w:cs="Arial" w:eastAsia="Arial" w:hAnsi="Arial"/>
          <w:sz w:val="10"/>
          <w:szCs w:val="10"/>
          <w:color w:val="auto"/>
        </w:rPr>
        <w:t>In May 2020, we took a FID on a new LNG processing unit known as Train 7 at Nigeria LNG (NLNG).</w:t>
      </w:r>
    </w:p>
    <w:p>
      <w:pPr>
        <w:ind w:left="120" w:right="160" w:hanging="113"/>
        <w:spacing w:after="0" w:line="197" w:lineRule="auto"/>
        <w:tabs>
          <w:tab w:leader="none" w:pos="118" w:val="left"/>
        </w:tabs>
        <w:numPr>
          <w:ilvl w:val="0"/>
          <w:numId w:val="8"/>
        </w:numPr>
        <w:rPr>
          <w:rFonts w:ascii="Arial" w:cs="Arial" w:eastAsia="Arial" w:hAnsi="Arial"/>
          <w:sz w:val="10"/>
          <w:szCs w:val="10"/>
          <w:color w:val="auto"/>
        </w:rPr>
      </w:pPr>
      <w:r>
        <w:rPr>
          <w:rFonts w:ascii="Arial" w:cs="Arial" w:eastAsia="Arial" w:hAnsi="Arial"/>
          <w:sz w:val="10"/>
          <w:szCs w:val="10"/>
          <w:color w:val="auto"/>
        </w:rPr>
        <w:t>In August 2020, the tenth and final movable modular liquefaction system (MMLS) unit at the Elba Island export terminal in Georgia, USA, was delivered to the energy infrastructure company Kinder Morgan.</w:t>
      </w:r>
    </w:p>
    <w:p>
      <w:pPr>
        <w:ind w:left="120" w:hanging="113"/>
        <w:spacing w:after="0"/>
        <w:tabs>
          <w:tab w:leader="none" w:pos="120" w:val="left"/>
        </w:tabs>
        <w:numPr>
          <w:ilvl w:val="0"/>
          <w:numId w:val="8"/>
        </w:numPr>
        <w:rPr>
          <w:rFonts w:ascii="Arial" w:cs="Arial" w:eastAsia="Arial" w:hAnsi="Arial"/>
          <w:sz w:val="8"/>
          <w:szCs w:val="8"/>
          <w:color w:val="auto"/>
        </w:rPr>
      </w:pPr>
      <w:r>
        <w:rPr>
          <w:rFonts w:ascii="Arial" w:cs="Arial" w:eastAsia="Arial" w:hAnsi="Arial"/>
          <w:sz w:val="8"/>
          <w:szCs w:val="8"/>
          <w:color w:val="auto"/>
        </w:rPr>
        <w:t>In August 2020, the Blauwwind consortium, which is developing offshore wind projects in the Netherlands, achieved its first power.</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We continued our divestment activities for selected assets during 2020, including:</w:t>
      </w:r>
    </w:p>
    <w:p>
      <w:pPr>
        <w:spacing w:after="0" w:line="164" w:lineRule="exact"/>
        <w:rPr>
          <w:sz w:val="20"/>
          <w:szCs w:val="20"/>
          <w:color w:val="auto"/>
        </w:rPr>
      </w:pPr>
    </w:p>
    <w:p>
      <w:pPr>
        <w:ind w:left="120" w:right="140" w:hanging="113"/>
        <w:spacing w:after="0" w:line="242" w:lineRule="auto"/>
        <w:tabs>
          <w:tab w:leader="none" w:pos="117" w:val="left"/>
        </w:tabs>
        <w:numPr>
          <w:ilvl w:val="0"/>
          <w:numId w:val="9"/>
        </w:numPr>
        <w:rPr>
          <w:rFonts w:ascii="Arial" w:cs="Arial" w:eastAsia="Arial" w:hAnsi="Arial"/>
          <w:sz w:val="10"/>
          <w:szCs w:val="10"/>
          <w:color w:val="auto"/>
        </w:rPr>
      </w:pPr>
      <w:r>
        <w:rPr>
          <w:rFonts w:ascii="Arial" w:cs="Arial" w:eastAsia="Arial" w:hAnsi="Arial"/>
          <w:sz w:val="8"/>
          <w:szCs w:val="8"/>
          <w:color w:val="auto"/>
        </w:rPr>
        <w:t>In December, QGC Common Facilities Company Pty Ltd, a wholly-owned subsidiary of Shell, announced it had agreed to the sale of a 26.25% interest in the Queensland Curtis LNG (QCLNG) Common Facilities to Global Infrastructure Partners Australia. The transaction is subject to regulatory approval in Australia and customary conditions. It is expected to complete in the first half of 2021.</w:t>
      </w:r>
    </w:p>
    <w:p>
      <w:pPr>
        <w:spacing w:after="0" w:line="2358" w:lineRule="exact"/>
        <w:rPr>
          <w:sz w:val="20"/>
          <w:szCs w:val="20"/>
          <w:color w:val="auto"/>
        </w:rPr>
      </w:pPr>
    </w:p>
    <w:p>
      <w:pPr>
        <w:sectPr>
          <w:pgSz w:w="11900" w:h="16838" w:orient="portrait"/>
          <w:cols w:equalWidth="0" w:num="2">
            <w:col w:w="5248" w:space="680"/>
            <w:col w:w="5380"/>
          </w:cols>
          <w:pgMar w:left="292" w:top="635" w:right="299" w:bottom="1440" w:gutter="0" w:footer="0" w:header="0"/>
          <w:type w:val="continuous"/>
        </w:sectPr>
      </w:pP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31</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35" w:right="299" w:bottom="1440" w:gutter="0" w:footer="0" w:header="0"/>
          <w:type w:val="continuous"/>
        </w:sectPr>
      </w:pPr>
    </w:p>
    <w:bookmarkStart w:id="34" w:name="page35"/>
    <w:bookmarkEnd w:id="34"/>
    <w:p>
      <w:pPr>
        <w:ind w:left="8"/>
        <w:spacing w:after="0"/>
        <w:rPr>
          <w:sz w:val="20"/>
          <w:szCs w:val="20"/>
          <w:color w:val="auto"/>
        </w:rPr>
      </w:pPr>
      <w:r>
        <w:rPr>
          <w:rFonts w:ascii="Arial" w:cs="Arial" w:eastAsia="Arial" w:hAnsi="Arial"/>
          <w:sz w:val="11"/>
          <w:szCs w:val="11"/>
          <w:color w:val="auto"/>
        </w:rPr>
        <w:t>BUSINESS AND PROPERTY</w:t>
      </w:r>
    </w:p>
    <w:p>
      <w:pPr>
        <w:ind w:left="8"/>
        <w:spacing w:after="0" w:line="236" w:lineRule="auto"/>
        <w:rPr>
          <w:sz w:val="20"/>
          <w:szCs w:val="20"/>
          <w:color w:val="auto"/>
        </w:rPr>
      </w:pPr>
      <w:r>
        <w:rPr>
          <w:rFonts w:ascii="Arial" w:cs="Arial" w:eastAsia="Arial" w:hAnsi="Arial"/>
          <w:sz w:val="10"/>
          <w:szCs w:val="10"/>
          <w:color w:val="auto"/>
        </w:rPr>
        <w:t>Integrated Gas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0"/>
          <w:szCs w:val="10"/>
          <w:color w:val="auto"/>
        </w:rPr>
        <w:t>Our complete list of LNG and GTL plants in operation and under construction in which we have an interest is provided below.</w:t>
      </w:r>
    </w:p>
    <w:p>
      <w:pPr>
        <w:ind w:left="8"/>
        <w:spacing w:after="0" w:line="236" w:lineRule="auto"/>
        <w:rPr>
          <w:sz w:val="20"/>
          <w:szCs w:val="20"/>
          <w:color w:val="auto"/>
        </w:rPr>
      </w:pPr>
      <w:r>
        <w:rPr>
          <w:rFonts w:ascii="Arial" w:cs="Arial" w:eastAsia="Arial" w:hAnsi="Arial"/>
          <w:sz w:val="10"/>
          <w:szCs w:val="10"/>
          <w:color w:val="auto"/>
        </w:rPr>
        <w:t>LNG liquefaction plants in operation at December 31, 2020</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11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ind w:left="160"/>
              <w:spacing w:after="0"/>
              <w:rPr>
                <w:sz w:val="20"/>
                <w:szCs w:val="20"/>
                <w:color w:val="auto"/>
              </w:rPr>
            </w:pPr>
            <w:r>
              <w:rPr>
                <w:rFonts w:ascii="Arial" w:cs="Arial" w:eastAsia="Arial" w:hAnsi="Arial"/>
                <w:sz w:val="10"/>
                <w:szCs w:val="10"/>
                <w:color w:val="auto"/>
              </w:rPr>
              <w:t>Asset</w:t>
            </w:r>
          </w:p>
        </w:tc>
        <w:tc>
          <w:tcPr>
            <w:tcW w:w="2820" w:type="dxa"/>
            <w:vAlign w:val="bottom"/>
            <w:tcBorders>
              <w:bottom w:val="single" w:sz="8" w:color="auto"/>
            </w:tcBorders>
          </w:tcPr>
          <w:p>
            <w:pPr>
              <w:ind w:left="740"/>
              <w:spacing w:after="0"/>
              <w:rPr>
                <w:sz w:val="20"/>
                <w:szCs w:val="20"/>
                <w:color w:val="auto"/>
              </w:rPr>
            </w:pPr>
            <w:r>
              <w:rPr>
                <w:rFonts w:ascii="Arial" w:cs="Arial" w:eastAsia="Arial" w:hAnsi="Arial"/>
                <w:sz w:val="10"/>
                <w:szCs w:val="10"/>
                <w:color w:val="auto"/>
              </w:rPr>
              <w:t>Location</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Shell interest (%)</w:t>
            </w:r>
          </w:p>
        </w:tc>
        <w:tc>
          <w:tcPr>
            <w:tcW w:w="4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 capacity (mtpa) [A]</w:t>
            </w:r>
          </w:p>
        </w:tc>
        <w:tc>
          <w:tcPr>
            <w:tcW w:w="1440" w:type="dxa"/>
            <w:vAlign w:val="bottom"/>
            <w:tcBorders>
              <w:bottom w:val="single" w:sz="8" w:color="auto"/>
            </w:tcBorders>
          </w:tcPr>
          <w:p>
            <w:pPr>
              <w:ind w:left="860"/>
              <w:spacing w:after="0"/>
              <w:rPr>
                <w:sz w:val="20"/>
                <w:szCs w:val="20"/>
                <w:color w:val="auto"/>
              </w:rPr>
            </w:pPr>
            <w:r>
              <w:rPr>
                <w:rFonts w:ascii="Arial" w:cs="Arial" w:eastAsia="Arial" w:hAnsi="Arial"/>
                <w:sz w:val="10"/>
                <w:szCs w:val="10"/>
                <w:color w:val="auto"/>
                <w:w w:val="86"/>
              </w:rPr>
              <w:t>Shell-operated</w:t>
            </w:r>
          </w:p>
        </w:tc>
      </w:tr>
      <w:tr>
        <w:trPr>
          <w:trHeight w:val="114"/>
        </w:trPr>
        <w:tc>
          <w:tcPr>
            <w:tcW w:w="1100" w:type="dxa"/>
            <w:vAlign w:val="bottom"/>
          </w:tcPr>
          <w:p>
            <w:pPr>
              <w:spacing w:after="0"/>
              <w:rPr>
                <w:sz w:val="20"/>
                <w:szCs w:val="20"/>
                <w:color w:val="auto"/>
              </w:rPr>
            </w:pPr>
            <w:r>
              <w:rPr>
                <w:rFonts w:ascii="Arial" w:cs="Arial" w:eastAsia="Arial" w:hAnsi="Arial"/>
                <w:sz w:val="10"/>
                <w:szCs w:val="10"/>
                <w:color w:val="auto"/>
              </w:rPr>
              <w:t>Europe</w:t>
            </w:r>
          </w:p>
        </w:tc>
        <w:tc>
          <w:tcPr>
            <w:tcW w:w="21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23"/>
        </w:trPr>
        <w:tc>
          <w:tcPr>
            <w:tcW w:w="1100" w:type="dxa"/>
            <w:vAlign w:val="bottom"/>
          </w:tcPr>
          <w:p>
            <w:pPr>
              <w:ind w:left="140"/>
              <w:spacing w:after="0"/>
              <w:rPr>
                <w:sz w:val="20"/>
                <w:szCs w:val="20"/>
                <w:color w:val="auto"/>
              </w:rPr>
            </w:pPr>
            <w:r>
              <w:rPr>
                <w:rFonts w:ascii="Arial" w:cs="Arial" w:eastAsia="Arial" w:hAnsi="Arial"/>
                <w:sz w:val="10"/>
                <w:szCs w:val="10"/>
                <w:color w:val="auto"/>
              </w:rPr>
              <w:t>Norway</w:t>
            </w:r>
          </w:p>
        </w:tc>
        <w:tc>
          <w:tcPr>
            <w:tcW w:w="2100" w:type="dxa"/>
            <w:vAlign w:val="bottom"/>
          </w:tcPr>
          <w:p>
            <w:pPr>
              <w:ind w:left="160"/>
              <w:spacing w:after="0"/>
              <w:rPr>
                <w:sz w:val="20"/>
                <w:szCs w:val="20"/>
                <w:color w:val="auto"/>
              </w:rPr>
            </w:pPr>
            <w:r>
              <w:rPr>
                <w:rFonts w:ascii="Arial" w:cs="Arial" w:eastAsia="Arial" w:hAnsi="Arial"/>
                <w:sz w:val="10"/>
                <w:szCs w:val="10"/>
                <w:color w:val="auto"/>
              </w:rPr>
              <w:t>Gasnor</w:t>
            </w:r>
          </w:p>
        </w:tc>
        <w:tc>
          <w:tcPr>
            <w:tcW w:w="2820" w:type="dxa"/>
            <w:vAlign w:val="bottom"/>
          </w:tcPr>
          <w:p>
            <w:pPr>
              <w:ind w:left="740"/>
              <w:spacing w:after="0"/>
              <w:rPr>
                <w:sz w:val="20"/>
                <w:szCs w:val="20"/>
                <w:color w:val="auto"/>
              </w:rPr>
            </w:pPr>
            <w:r>
              <w:rPr>
                <w:rFonts w:ascii="Arial" w:cs="Arial" w:eastAsia="Arial" w:hAnsi="Arial"/>
                <w:sz w:val="10"/>
                <w:szCs w:val="10"/>
                <w:color w:val="auto"/>
              </w:rPr>
              <w:t>Bergen</w:t>
            </w:r>
          </w:p>
        </w:tc>
        <w:tc>
          <w:tcPr>
            <w:tcW w:w="2040" w:type="dxa"/>
            <w:vAlign w:val="bottom"/>
          </w:tcPr>
          <w:p>
            <w:pPr>
              <w:jc w:val="right"/>
              <w:spacing w:after="0"/>
              <w:rPr>
                <w:sz w:val="20"/>
                <w:szCs w:val="20"/>
                <w:color w:val="auto"/>
              </w:rPr>
            </w:pPr>
            <w:r>
              <w:rPr>
                <w:rFonts w:ascii="Arial" w:cs="Arial" w:eastAsia="Arial" w:hAnsi="Arial"/>
                <w:sz w:val="10"/>
                <w:szCs w:val="10"/>
                <w:color w:val="auto"/>
              </w:rPr>
              <w:t>100</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0.3</w:t>
            </w:r>
          </w:p>
        </w:tc>
        <w:tc>
          <w:tcPr>
            <w:tcW w:w="1440" w:type="dxa"/>
            <w:vAlign w:val="bottom"/>
          </w:tcPr>
          <w:p>
            <w:pPr>
              <w:ind w:left="20"/>
              <w:spacing w:after="0"/>
              <w:rPr>
                <w:sz w:val="20"/>
                <w:szCs w:val="20"/>
                <w:color w:val="auto"/>
              </w:rPr>
            </w:pPr>
            <w:r>
              <w:rPr>
                <w:rFonts w:ascii="Arial" w:cs="Arial" w:eastAsia="Arial" w:hAnsi="Arial"/>
                <w:sz w:val="10"/>
                <w:szCs w:val="10"/>
                <w:color w:val="auto"/>
              </w:rPr>
              <w:t>Yes</w:t>
            </w:r>
          </w:p>
        </w:tc>
      </w:tr>
      <w:tr>
        <w:trPr>
          <w:trHeight w:val="126"/>
        </w:trPr>
        <w:tc>
          <w:tcPr>
            <w:tcW w:w="1100" w:type="dxa"/>
            <w:vAlign w:val="bottom"/>
          </w:tcPr>
          <w:p>
            <w:pPr>
              <w:spacing w:after="0"/>
              <w:rPr>
                <w:sz w:val="20"/>
                <w:szCs w:val="20"/>
                <w:color w:val="auto"/>
              </w:rPr>
            </w:pPr>
            <w:r>
              <w:rPr>
                <w:rFonts w:ascii="Arial" w:cs="Arial" w:eastAsia="Arial" w:hAnsi="Arial"/>
                <w:sz w:val="10"/>
                <w:szCs w:val="10"/>
                <w:color w:val="auto"/>
              </w:rPr>
              <w:t>Asia</w:t>
            </w:r>
          </w:p>
        </w:tc>
        <w:tc>
          <w:tcPr>
            <w:tcW w:w="21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26"/>
        </w:trPr>
        <w:tc>
          <w:tcPr>
            <w:tcW w:w="1100" w:type="dxa"/>
            <w:vAlign w:val="bottom"/>
          </w:tcPr>
          <w:p>
            <w:pPr>
              <w:ind w:left="140"/>
              <w:spacing w:after="0"/>
              <w:rPr>
                <w:sz w:val="20"/>
                <w:szCs w:val="20"/>
                <w:color w:val="auto"/>
              </w:rPr>
            </w:pPr>
            <w:r>
              <w:rPr>
                <w:rFonts w:ascii="Arial" w:cs="Arial" w:eastAsia="Arial" w:hAnsi="Arial"/>
                <w:sz w:val="10"/>
                <w:szCs w:val="10"/>
                <w:color w:val="auto"/>
              </w:rPr>
              <w:t>Brunei</w:t>
            </w:r>
          </w:p>
        </w:tc>
        <w:tc>
          <w:tcPr>
            <w:tcW w:w="2100" w:type="dxa"/>
            <w:vAlign w:val="bottom"/>
          </w:tcPr>
          <w:p>
            <w:pPr>
              <w:ind w:left="160"/>
              <w:spacing w:after="0"/>
              <w:rPr>
                <w:sz w:val="20"/>
                <w:szCs w:val="20"/>
                <w:color w:val="auto"/>
              </w:rPr>
            </w:pPr>
            <w:r>
              <w:rPr>
                <w:rFonts w:ascii="Arial" w:cs="Arial" w:eastAsia="Arial" w:hAnsi="Arial"/>
                <w:sz w:val="10"/>
                <w:szCs w:val="10"/>
                <w:color w:val="auto"/>
              </w:rPr>
              <w:t>Brunei LNG</w:t>
            </w:r>
          </w:p>
        </w:tc>
        <w:tc>
          <w:tcPr>
            <w:tcW w:w="2820" w:type="dxa"/>
            <w:vAlign w:val="bottom"/>
          </w:tcPr>
          <w:p>
            <w:pPr>
              <w:ind w:left="740"/>
              <w:spacing w:after="0"/>
              <w:rPr>
                <w:sz w:val="20"/>
                <w:szCs w:val="20"/>
                <w:color w:val="auto"/>
              </w:rPr>
            </w:pPr>
            <w:r>
              <w:rPr>
                <w:rFonts w:ascii="Arial" w:cs="Arial" w:eastAsia="Arial" w:hAnsi="Arial"/>
                <w:sz w:val="10"/>
                <w:szCs w:val="10"/>
                <w:color w:val="auto"/>
              </w:rPr>
              <w:t>Lumut</w:t>
            </w:r>
          </w:p>
        </w:tc>
        <w:tc>
          <w:tcPr>
            <w:tcW w:w="2040" w:type="dxa"/>
            <w:vAlign w:val="bottom"/>
          </w:tcPr>
          <w:p>
            <w:pPr>
              <w:jc w:val="right"/>
              <w:spacing w:after="0"/>
              <w:rPr>
                <w:sz w:val="20"/>
                <w:szCs w:val="20"/>
                <w:color w:val="auto"/>
              </w:rPr>
            </w:pPr>
            <w:r>
              <w:rPr>
                <w:rFonts w:ascii="Arial" w:cs="Arial" w:eastAsia="Arial" w:hAnsi="Arial"/>
                <w:sz w:val="10"/>
                <w:szCs w:val="10"/>
                <w:color w:val="auto"/>
              </w:rPr>
              <w:t>25</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7.6</w:t>
            </w:r>
          </w:p>
        </w:tc>
        <w:tc>
          <w:tcPr>
            <w:tcW w:w="1440" w:type="dxa"/>
            <w:vAlign w:val="bottom"/>
          </w:tcPr>
          <w:p>
            <w:pPr>
              <w:ind w:left="20"/>
              <w:spacing w:after="0"/>
              <w:rPr>
                <w:sz w:val="20"/>
                <w:szCs w:val="20"/>
                <w:color w:val="auto"/>
              </w:rPr>
            </w:pPr>
            <w:r>
              <w:rPr>
                <w:rFonts w:ascii="Arial" w:cs="Arial" w:eastAsia="Arial" w:hAnsi="Arial"/>
                <w:sz w:val="10"/>
                <w:szCs w:val="10"/>
                <w:color w:val="auto"/>
              </w:rPr>
              <w:t>No</w:t>
            </w:r>
          </w:p>
        </w:tc>
      </w:tr>
      <w:tr>
        <w:trPr>
          <w:trHeight w:val="126"/>
        </w:trPr>
        <w:tc>
          <w:tcPr>
            <w:tcW w:w="1100" w:type="dxa"/>
            <w:vAlign w:val="bottom"/>
          </w:tcPr>
          <w:p>
            <w:pPr>
              <w:ind w:left="140"/>
              <w:spacing w:after="0"/>
              <w:rPr>
                <w:sz w:val="20"/>
                <w:szCs w:val="20"/>
                <w:color w:val="auto"/>
              </w:rPr>
            </w:pPr>
            <w:r>
              <w:rPr>
                <w:rFonts w:ascii="Arial" w:cs="Arial" w:eastAsia="Arial" w:hAnsi="Arial"/>
                <w:sz w:val="10"/>
                <w:szCs w:val="10"/>
                <w:color w:val="auto"/>
              </w:rPr>
              <w:t>Oman</w:t>
            </w:r>
          </w:p>
        </w:tc>
        <w:tc>
          <w:tcPr>
            <w:tcW w:w="2100" w:type="dxa"/>
            <w:vAlign w:val="bottom"/>
          </w:tcPr>
          <w:p>
            <w:pPr>
              <w:ind w:left="160"/>
              <w:spacing w:after="0"/>
              <w:rPr>
                <w:sz w:val="20"/>
                <w:szCs w:val="20"/>
                <w:color w:val="auto"/>
              </w:rPr>
            </w:pPr>
            <w:r>
              <w:rPr>
                <w:rFonts w:ascii="Arial" w:cs="Arial" w:eastAsia="Arial" w:hAnsi="Arial"/>
                <w:sz w:val="10"/>
                <w:szCs w:val="10"/>
                <w:color w:val="auto"/>
              </w:rPr>
              <w:t>Oman LNG</w:t>
            </w:r>
          </w:p>
        </w:tc>
        <w:tc>
          <w:tcPr>
            <w:tcW w:w="2820" w:type="dxa"/>
            <w:vAlign w:val="bottom"/>
          </w:tcPr>
          <w:p>
            <w:pPr>
              <w:ind w:left="740"/>
              <w:spacing w:after="0"/>
              <w:rPr>
                <w:sz w:val="20"/>
                <w:szCs w:val="20"/>
                <w:color w:val="auto"/>
              </w:rPr>
            </w:pPr>
            <w:r>
              <w:rPr>
                <w:rFonts w:ascii="Arial" w:cs="Arial" w:eastAsia="Arial" w:hAnsi="Arial"/>
                <w:sz w:val="10"/>
                <w:szCs w:val="10"/>
                <w:color w:val="auto"/>
              </w:rPr>
              <w:t>Sur</w:t>
            </w:r>
          </w:p>
        </w:tc>
        <w:tc>
          <w:tcPr>
            <w:tcW w:w="2040" w:type="dxa"/>
            <w:vAlign w:val="bottom"/>
          </w:tcPr>
          <w:p>
            <w:pPr>
              <w:jc w:val="right"/>
              <w:spacing w:after="0"/>
              <w:rPr>
                <w:sz w:val="20"/>
                <w:szCs w:val="20"/>
                <w:color w:val="auto"/>
              </w:rPr>
            </w:pPr>
            <w:r>
              <w:rPr>
                <w:rFonts w:ascii="Arial" w:cs="Arial" w:eastAsia="Arial" w:hAnsi="Arial"/>
                <w:sz w:val="10"/>
                <w:szCs w:val="10"/>
                <w:color w:val="auto"/>
              </w:rPr>
              <w:t>30</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7.1</w:t>
            </w:r>
          </w:p>
        </w:tc>
        <w:tc>
          <w:tcPr>
            <w:tcW w:w="1440" w:type="dxa"/>
            <w:vAlign w:val="bottom"/>
          </w:tcPr>
          <w:p>
            <w:pPr>
              <w:ind w:left="20"/>
              <w:spacing w:after="0"/>
              <w:rPr>
                <w:sz w:val="20"/>
                <w:szCs w:val="20"/>
                <w:color w:val="auto"/>
              </w:rPr>
            </w:pPr>
            <w:r>
              <w:rPr>
                <w:rFonts w:ascii="Arial" w:cs="Arial" w:eastAsia="Arial" w:hAnsi="Arial"/>
                <w:sz w:val="10"/>
                <w:szCs w:val="10"/>
                <w:color w:val="auto"/>
              </w:rPr>
              <w:t>No</w:t>
            </w:r>
          </w:p>
        </w:tc>
      </w:tr>
      <w:tr>
        <w:trPr>
          <w:trHeight w:val="126"/>
        </w:trPr>
        <w:tc>
          <w:tcPr>
            <w:tcW w:w="1100" w:type="dxa"/>
            <w:vAlign w:val="bottom"/>
          </w:tcPr>
          <w:p>
            <w:pPr>
              <w:spacing w:after="0"/>
              <w:rPr>
                <w:sz w:val="10"/>
                <w:szCs w:val="10"/>
                <w:color w:val="auto"/>
              </w:rPr>
            </w:pPr>
          </w:p>
        </w:tc>
        <w:tc>
          <w:tcPr>
            <w:tcW w:w="2100" w:type="dxa"/>
            <w:vAlign w:val="bottom"/>
          </w:tcPr>
          <w:p>
            <w:pPr>
              <w:ind w:left="160"/>
              <w:spacing w:after="0"/>
              <w:rPr>
                <w:sz w:val="20"/>
                <w:szCs w:val="20"/>
                <w:color w:val="auto"/>
              </w:rPr>
            </w:pPr>
            <w:r>
              <w:rPr>
                <w:rFonts w:ascii="Arial" w:cs="Arial" w:eastAsia="Arial" w:hAnsi="Arial"/>
                <w:sz w:val="10"/>
                <w:szCs w:val="10"/>
                <w:color w:val="auto"/>
              </w:rPr>
              <w:t>Qalhat LNG</w:t>
            </w:r>
          </w:p>
        </w:tc>
        <w:tc>
          <w:tcPr>
            <w:tcW w:w="2820" w:type="dxa"/>
            <w:vAlign w:val="bottom"/>
          </w:tcPr>
          <w:p>
            <w:pPr>
              <w:ind w:left="740"/>
              <w:spacing w:after="0"/>
              <w:rPr>
                <w:sz w:val="20"/>
                <w:szCs w:val="20"/>
                <w:color w:val="auto"/>
              </w:rPr>
            </w:pPr>
            <w:r>
              <w:rPr>
                <w:rFonts w:ascii="Arial" w:cs="Arial" w:eastAsia="Arial" w:hAnsi="Arial"/>
                <w:sz w:val="10"/>
                <w:szCs w:val="10"/>
                <w:color w:val="auto"/>
              </w:rPr>
              <w:t>Sur</w:t>
            </w:r>
          </w:p>
        </w:tc>
        <w:tc>
          <w:tcPr>
            <w:tcW w:w="2040" w:type="dxa"/>
            <w:vAlign w:val="bottom"/>
          </w:tcPr>
          <w:p>
            <w:pPr>
              <w:jc w:val="right"/>
              <w:spacing w:after="0"/>
              <w:rPr>
                <w:sz w:val="20"/>
                <w:szCs w:val="20"/>
                <w:color w:val="auto"/>
              </w:rPr>
            </w:pPr>
            <w:r>
              <w:rPr>
                <w:rFonts w:ascii="Arial" w:cs="Arial" w:eastAsia="Arial" w:hAnsi="Arial"/>
                <w:sz w:val="10"/>
                <w:szCs w:val="10"/>
                <w:color w:val="auto"/>
              </w:rPr>
              <w:t>11</w:t>
            </w:r>
          </w:p>
        </w:tc>
        <w:tc>
          <w:tcPr>
            <w:tcW w:w="460" w:type="dxa"/>
            <w:vAlign w:val="bottom"/>
          </w:tcPr>
          <w:p>
            <w:pPr>
              <w:spacing w:after="0"/>
              <w:rPr>
                <w:sz w:val="20"/>
                <w:szCs w:val="20"/>
                <w:color w:val="auto"/>
              </w:rPr>
            </w:pPr>
            <w:r>
              <w:rPr>
                <w:rFonts w:ascii="Arial" w:cs="Arial" w:eastAsia="Arial" w:hAnsi="Arial"/>
                <w:sz w:val="10"/>
                <w:szCs w:val="10"/>
                <w:color w:val="auto"/>
              </w:rPr>
              <w:t>[B]</w:t>
            </w:r>
          </w:p>
        </w:tc>
        <w:tc>
          <w:tcPr>
            <w:tcW w:w="1340" w:type="dxa"/>
            <w:vAlign w:val="bottom"/>
          </w:tcPr>
          <w:p>
            <w:pPr>
              <w:jc w:val="right"/>
              <w:spacing w:after="0"/>
              <w:rPr>
                <w:sz w:val="20"/>
                <w:szCs w:val="20"/>
                <w:color w:val="auto"/>
              </w:rPr>
            </w:pPr>
            <w:r>
              <w:rPr>
                <w:rFonts w:ascii="Arial" w:cs="Arial" w:eastAsia="Arial" w:hAnsi="Arial"/>
                <w:sz w:val="10"/>
                <w:szCs w:val="10"/>
                <w:color w:val="auto"/>
              </w:rPr>
              <w:t>3.7</w:t>
            </w:r>
          </w:p>
        </w:tc>
        <w:tc>
          <w:tcPr>
            <w:tcW w:w="1440" w:type="dxa"/>
            <w:vAlign w:val="bottom"/>
          </w:tcPr>
          <w:p>
            <w:pPr>
              <w:ind w:left="20"/>
              <w:spacing w:after="0"/>
              <w:rPr>
                <w:sz w:val="20"/>
                <w:szCs w:val="20"/>
                <w:color w:val="auto"/>
              </w:rPr>
            </w:pPr>
            <w:r>
              <w:rPr>
                <w:rFonts w:ascii="Arial" w:cs="Arial" w:eastAsia="Arial" w:hAnsi="Arial"/>
                <w:sz w:val="10"/>
                <w:szCs w:val="10"/>
                <w:color w:val="auto"/>
              </w:rPr>
              <w:t>No</w:t>
            </w:r>
          </w:p>
        </w:tc>
      </w:tr>
      <w:tr>
        <w:trPr>
          <w:trHeight w:val="126"/>
        </w:trPr>
        <w:tc>
          <w:tcPr>
            <w:tcW w:w="1100" w:type="dxa"/>
            <w:vAlign w:val="bottom"/>
          </w:tcPr>
          <w:p>
            <w:pPr>
              <w:ind w:left="140"/>
              <w:spacing w:after="0"/>
              <w:rPr>
                <w:sz w:val="20"/>
                <w:szCs w:val="20"/>
                <w:color w:val="auto"/>
              </w:rPr>
            </w:pPr>
            <w:r>
              <w:rPr>
                <w:rFonts w:ascii="Arial" w:cs="Arial" w:eastAsia="Arial" w:hAnsi="Arial"/>
                <w:sz w:val="10"/>
                <w:szCs w:val="10"/>
                <w:color w:val="auto"/>
              </w:rPr>
              <w:t>Qatar</w:t>
            </w:r>
          </w:p>
        </w:tc>
        <w:tc>
          <w:tcPr>
            <w:tcW w:w="2100" w:type="dxa"/>
            <w:vAlign w:val="bottom"/>
          </w:tcPr>
          <w:p>
            <w:pPr>
              <w:ind w:left="160"/>
              <w:spacing w:after="0"/>
              <w:rPr>
                <w:sz w:val="20"/>
                <w:szCs w:val="20"/>
                <w:color w:val="auto"/>
              </w:rPr>
            </w:pPr>
            <w:r>
              <w:rPr>
                <w:rFonts w:ascii="Arial" w:cs="Arial" w:eastAsia="Arial" w:hAnsi="Arial"/>
                <w:sz w:val="10"/>
                <w:szCs w:val="10"/>
                <w:color w:val="auto"/>
              </w:rPr>
              <w:t>Qatargas 4 [C]</w:t>
            </w:r>
          </w:p>
        </w:tc>
        <w:tc>
          <w:tcPr>
            <w:tcW w:w="2820" w:type="dxa"/>
            <w:vAlign w:val="bottom"/>
          </w:tcPr>
          <w:p>
            <w:pPr>
              <w:ind w:left="740"/>
              <w:spacing w:after="0"/>
              <w:rPr>
                <w:sz w:val="20"/>
                <w:szCs w:val="20"/>
                <w:color w:val="auto"/>
              </w:rPr>
            </w:pPr>
            <w:r>
              <w:rPr>
                <w:rFonts w:ascii="Arial" w:cs="Arial" w:eastAsia="Arial" w:hAnsi="Arial"/>
                <w:sz w:val="10"/>
                <w:szCs w:val="10"/>
                <w:color w:val="auto"/>
              </w:rPr>
              <w:t>Ras Laffan</w:t>
            </w:r>
          </w:p>
        </w:tc>
        <w:tc>
          <w:tcPr>
            <w:tcW w:w="2040" w:type="dxa"/>
            <w:vAlign w:val="bottom"/>
          </w:tcPr>
          <w:p>
            <w:pPr>
              <w:jc w:val="right"/>
              <w:spacing w:after="0"/>
              <w:rPr>
                <w:sz w:val="20"/>
                <w:szCs w:val="20"/>
                <w:color w:val="auto"/>
              </w:rPr>
            </w:pPr>
            <w:r>
              <w:rPr>
                <w:rFonts w:ascii="Arial" w:cs="Arial" w:eastAsia="Arial" w:hAnsi="Arial"/>
                <w:sz w:val="10"/>
                <w:szCs w:val="10"/>
                <w:color w:val="auto"/>
              </w:rPr>
              <w:t>30</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7.8</w:t>
            </w:r>
          </w:p>
        </w:tc>
        <w:tc>
          <w:tcPr>
            <w:tcW w:w="1440" w:type="dxa"/>
            <w:vAlign w:val="bottom"/>
          </w:tcPr>
          <w:p>
            <w:pPr>
              <w:ind w:left="20"/>
              <w:spacing w:after="0"/>
              <w:rPr>
                <w:sz w:val="20"/>
                <w:szCs w:val="20"/>
                <w:color w:val="auto"/>
              </w:rPr>
            </w:pPr>
            <w:r>
              <w:rPr>
                <w:rFonts w:ascii="Arial" w:cs="Arial" w:eastAsia="Arial" w:hAnsi="Arial"/>
                <w:sz w:val="10"/>
                <w:szCs w:val="10"/>
                <w:color w:val="auto"/>
              </w:rPr>
              <w:t>No</w:t>
            </w:r>
          </w:p>
        </w:tc>
      </w:tr>
      <w:tr>
        <w:trPr>
          <w:trHeight w:val="126"/>
        </w:trPr>
        <w:tc>
          <w:tcPr>
            <w:tcW w:w="1100" w:type="dxa"/>
            <w:vAlign w:val="bottom"/>
          </w:tcPr>
          <w:p>
            <w:pPr>
              <w:ind w:left="140"/>
              <w:spacing w:after="0"/>
              <w:rPr>
                <w:sz w:val="20"/>
                <w:szCs w:val="20"/>
                <w:color w:val="auto"/>
              </w:rPr>
            </w:pPr>
            <w:r>
              <w:rPr>
                <w:rFonts w:ascii="Arial" w:cs="Arial" w:eastAsia="Arial" w:hAnsi="Arial"/>
                <w:sz w:val="10"/>
                <w:szCs w:val="10"/>
                <w:color w:val="auto"/>
              </w:rPr>
              <w:t>Russia</w:t>
            </w:r>
          </w:p>
        </w:tc>
        <w:tc>
          <w:tcPr>
            <w:tcW w:w="2100" w:type="dxa"/>
            <w:vAlign w:val="bottom"/>
          </w:tcPr>
          <w:p>
            <w:pPr>
              <w:ind w:left="160"/>
              <w:spacing w:after="0"/>
              <w:rPr>
                <w:sz w:val="20"/>
                <w:szCs w:val="20"/>
                <w:color w:val="auto"/>
              </w:rPr>
            </w:pPr>
            <w:r>
              <w:rPr>
                <w:rFonts w:ascii="Arial" w:cs="Arial" w:eastAsia="Arial" w:hAnsi="Arial"/>
                <w:sz w:val="10"/>
                <w:szCs w:val="10"/>
                <w:color w:val="auto"/>
              </w:rPr>
              <w:t>Sakhalin LNG [C]</w:t>
            </w:r>
          </w:p>
        </w:tc>
        <w:tc>
          <w:tcPr>
            <w:tcW w:w="2820" w:type="dxa"/>
            <w:vAlign w:val="bottom"/>
          </w:tcPr>
          <w:p>
            <w:pPr>
              <w:ind w:left="740"/>
              <w:spacing w:after="0"/>
              <w:rPr>
                <w:sz w:val="20"/>
                <w:szCs w:val="20"/>
                <w:color w:val="auto"/>
              </w:rPr>
            </w:pPr>
            <w:r>
              <w:rPr>
                <w:rFonts w:ascii="Arial" w:cs="Arial" w:eastAsia="Arial" w:hAnsi="Arial"/>
                <w:sz w:val="10"/>
                <w:szCs w:val="10"/>
                <w:color w:val="auto"/>
              </w:rPr>
              <w:t>Prigorodnoye</w:t>
            </w:r>
          </w:p>
        </w:tc>
        <w:tc>
          <w:tcPr>
            <w:tcW w:w="2040" w:type="dxa"/>
            <w:vAlign w:val="bottom"/>
          </w:tcPr>
          <w:p>
            <w:pPr>
              <w:jc w:val="right"/>
              <w:spacing w:after="0"/>
              <w:rPr>
                <w:sz w:val="20"/>
                <w:szCs w:val="20"/>
                <w:color w:val="auto"/>
              </w:rPr>
            </w:pPr>
            <w:r>
              <w:rPr>
                <w:rFonts w:ascii="Arial" w:cs="Arial" w:eastAsia="Arial" w:hAnsi="Arial"/>
                <w:sz w:val="10"/>
                <w:szCs w:val="10"/>
                <w:color w:val="auto"/>
              </w:rPr>
              <w:t>27.5</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10.9</w:t>
            </w:r>
          </w:p>
        </w:tc>
        <w:tc>
          <w:tcPr>
            <w:tcW w:w="1440" w:type="dxa"/>
            <w:vAlign w:val="bottom"/>
          </w:tcPr>
          <w:p>
            <w:pPr>
              <w:ind w:left="20"/>
              <w:spacing w:after="0"/>
              <w:rPr>
                <w:sz w:val="20"/>
                <w:szCs w:val="20"/>
                <w:color w:val="auto"/>
              </w:rPr>
            </w:pPr>
            <w:r>
              <w:rPr>
                <w:rFonts w:ascii="Arial" w:cs="Arial" w:eastAsia="Arial" w:hAnsi="Arial"/>
                <w:sz w:val="10"/>
                <w:szCs w:val="10"/>
                <w:color w:val="auto"/>
              </w:rPr>
              <w:t>No</w:t>
            </w:r>
          </w:p>
        </w:tc>
      </w:tr>
      <w:tr>
        <w:trPr>
          <w:trHeight w:val="126"/>
        </w:trPr>
        <w:tc>
          <w:tcPr>
            <w:tcW w:w="1100" w:type="dxa"/>
            <w:vAlign w:val="bottom"/>
          </w:tcPr>
          <w:p>
            <w:pPr>
              <w:spacing w:after="0"/>
              <w:rPr>
                <w:sz w:val="20"/>
                <w:szCs w:val="20"/>
                <w:color w:val="auto"/>
              </w:rPr>
            </w:pPr>
            <w:r>
              <w:rPr>
                <w:rFonts w:ascii="Arial" w:cs="Arial" w:eastAsia="Arial" w:hAnsi="Arial"/>
                <w:sz w:val="10"/>
                <w:szCs w:val="10"/>
                <w:color w:val="auto"/>
              </w:rPr>
              <w:t>Oceania</w:t>
            </w:r>
          </w:p>
        </w:tc>
        <w:tc>
          <w:tcPr>
            <w:tcW w:w="21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26"/>
        </w:trPr>
        <w:tc>
          <w:tcPr>
            <w:tcW w:w="1100" w:type="dxa"/>
            <w:vAlign w:val="bottom"/>
          </w:tcPr>
          <w:p>
            <w:pPr>
              <w:ind w:left="140"/>
              <w:spacing w:after="0"/>
              <w:rPr>
                <w:sz w:val="20"/>
                <w:szCs w:val="20"/>
                <w:color w:val="auto"/>
              </w:rPr>
            </w:pPr>
            <w:r>
              <w:rPr>
                <w:rFonts w:ascii="Arial" w:cs="Arial" w:eastAsia="Arial" w:hAnsi="Arial"/>
                <w:sz w:val="10"/>
                <w:szCs w:val="10"/>
                <w:color w:val="auto"/>
              </w:rPr>
              <w:t>Australia</w:t>
            </w:r>
          </w:p>
        </w:tc>
        <w:tc>
          <w:tcPr>
            <w:tcW w:w="2100" w:type="dxa"/>
            <w:vAlign w:val="bottom"/>
          </w:tcPr>
          <w:p>
            <w:pPr>
              <w:ind w:left="160"/>
              <w:spacing w:after="0"/>
              <w:rPr>
                <w:sz w:val="20"/>
                <w:szCs w:val="20"/>
                <w:color w:val="auto"/>
              </w:rPr>
            </w:pPr>
            <w:r>
              <w:rPr>
                <w:rFonts w:ascii="Arial" w:cs="Arial" w:eastAsia="Arial" w:hAnsi="Arial"/>
                <w:sz w:val="10"/>
                <w:szCs w:val="10"/>
                <w:color w:val="auto"/>
              </w:rPr>
              <w:t>Australia North West Shelf [C]</w:t>
            </w:r>
          </w:p>
        </w:tc>
        <w:tc>
          <w:tcPr>
            <w:tcW w:w="2820" w:type="dxa"/>
            <w:vAlign w:val="bottom"/>
          </w:tcPr>
          <w:p>
            <w:pPr>
              <w:ind w:left="740"/>
              <w:spacing w:after="0"/>
              <w:rPr>
                <w:sz w:val="20"/>
                <w:szCs w:val="20"/>
                <w:color w:val="auto"/>
              </w:rPr>
            </w:pPr>
            <w:r>
              <w:rPr>
                <w:rFonts w:ascii="Arial" w:cs="Arial" w:eastAsia="Arial" w:hAnsi="Arial"/>
                <w:sz w:val="10"/>
                <w:szCs w:val="10"/>
                <w:color w:val="auto"/>
              </w:rPr>
              <w:t>Karratha</w:t>
            </w:r>
          </w:p>
        </w:tc>
        <w:tc>
          <w:tcPr>
            <w:tcW w:w="2040" w:type="dxa"/>
            <w:vAlign w:val="bottom"/>
          </w:tcPr>
          <w:p>
            <w:pPr>
              <w:jc w:val="right"/>
              <w:spacing w:after="0"/>
              <w:rPr>
                <w:sz w:val="20"/>
                <w:szCs w:val="20"/>
                <w:color w:val="auto"/>
              </w:rPr>
            </w:pPr>
            <w:r>
              <w:rPr>
                <w:rFonts w:ascii="Arial" w:cs="Arial" w:eastAsia="Arial" w:hAnsi="Arial"/>
                <w:sz w:val="10"/>
                <w:szCs w:val="10"/>
                <w:color w:val="auto"/>
              </w:rPr>
              <w:t>16.7</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16.9</w:t>
            </w:r>
          </w:p>
        </w:tc>
        <w:tc>
          <w:tcPr>
            <w:tcW w:w="1440" w:type="dxa"/>
            <w:vAlign w:val="bottom"/>
          </w:tcPr>
          <w:p>
            <w:pPr>
              <w:ind w:left="20"/>
              <w:spacing w:after="0"/>
              <w:rPr>
                <w:sz w:val="20"/>
                <w:szCs w:val="20"/>
                <w:color w:val="auto"/>
              </w:rPr>
            </w:pPr>
            <w:r>
              <w:rPr>
                <w:rFonts w:ascii="Arial" w:cs="Arial" w:eastAsia="Arial" w:hAnsi="Arial"/>
                <w:sz w:val="10"/>
                <w:szCs w:val="10"/>
                <w:color w:val="auto"/>
              </w:rPr>
              <w:t>No</w:t>
            </w:r>
          </w:p>
        </w:tc>
      </w:tr>
      <w:tr>
        <w:trPr>
          <w:trHeight w:val="126"/>
        </w:trPr>
        <w:tc>
          <w:tcPr>
            <w:tcW w:w="1100" w:type="dxa"/>
            <w:vAlign w:val="bottom"/>
          </w:tcPr>
          <w:p>
            <w:pPr>
              <w:spacing w:after="0"/>
              <w:rPr>
                <w:sz w:val="10"/>
                <w:szCs w:val="10"/>
                <w:color w:val="auto"/>
              </w:rPr>
            </w:pPr>
          </w:p>
        </w:tc>
        <w:tc>
          <w:tcPr>
            <w:tcW w:w="2100" w:type="dxa"/>
            <w:vAlign w:val="bottom"/>
          </w:tcPr>
          <w:p>
            <w:pPr>
              <w:ind w:left="160"/>
              <w:spacing w:after="0"/>
              <w:rPr>
                <w:sz w:val="20"/>
                <w:szCs w:val="20"/>
                <w:color w:val="auto"/>
              </w:rPr>
            </w:pPr>
            <w:r>
              <w:rPr>
                <w:rFonts w:ascii="Arial" w:cs="Arial" w:eastAsia="Arial" w:hAnsi="Arial"/>
                <w:sz w:val="10"/>
                <w:szCs w:val="10"/>
                <w:color w:val="auto"/>
              </w:rPr>
              <w:t>Gorgon LNG [C]</w:t>
            </w:r>
          </w:p>
        </w:tc>
        <w:tc>
          <w:tcPr>
            <w:tcW w:w="2820" w:type="dxa"/>
            <w:vAlign w:val="bottom"/>
          </w:tcPr>
          <w:p>
            <w:pPr>
              <w:ind w:left="740"/>
              <w:spacing w:after="0"/>
              <w:rPr>
                <w:sz w:val="20"/>
                <w:szCs w:val="20"/>
                <w:color w:val="auto"/>
              </w:rPr>
            </w:pPr>
            <w:r>
              <w:rPr>
                <w:rFonts w:ascii="Arial" w:cs="Arial" w:eastAsia="Arial" w:hAnsi="Arial"/>
                <w:sz w:val="10"/>
                <w:szCs w:val="10"/>
                <w:color w:val="auto"/>
              </w:rPr>
              <w:t>Barrow Island</w:t>
            </w:r>
          </w:p>
        </w:tc>
        <w:tc>
          <w:tcPr>
            <w:tcW w:w="2040" w:type="dxa"/>
            <w:vAlign w:val="bottom"/>
          </w:tcPr>
          <w:p>
            <w:pPr>
              <w:jc w:val="right"/>
              <w:spacing w:after="0"/>
              <w:rPr>
                <w:sz w:val="20"/>
                <w:szCs w:val="20"/>
                <w:color w:val="auto"/>
              </w:rPr>
            </w:pPr>
            <w:r>
              <w:rPr>
                <w:rFonts w:ascii="Arial" w:cs="Arial" w:eastAsia="Arial" w:hAnsi="Arial"/>
                <w:sz w:val="10"/>
                <w:szCs w:val="10"/>
                <w:color w:val="auto"/>
              </w:rPr>
              <w:t>25</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15.6</w:t>
            </w:r>
          </w:p>
        </w:tc>
        <w:tc>
          <w:tcPr>
            <w:tcW w:w="1440" w:type="dxa"/>
            <w:vAlign w:val="bottom"/>
          </w:tcPr>
          <w:p>
            <w:pPr>
              <w:ind w:left="20"/>
              <w:spacing w:after="0"/>
              <w:rPr>
                <w:sz w:val="20"/>
                <w:szCs w:val="20"/>
                <w:color w:val="auto"/>
              </w:rPr>
            </w:pPr>
            <w:r>
              <w:rPr>
                <w:rFonts w:ascii="Arial" w:cs="Arial" w:eastAsia="Arial" w:hAnsi="Arial"/>
                <w:sz w:val="10"/>
                <w:szCs w:val="10"/>
                <w:color w:val="auto"/>
              </w:rPr>
              <w:t>No</w:t>
            </w:r>
          </w:p>
        </w:tc>
      </w:tr>
      <w:tr>
        <w:trPr>
          <w:trHeight w:val="126"/>
        </w:trPr>
        <w:tc>
          <w:tcPr>
            <w:tcW w:w="1100" w:type="dxa"/>
            <w:vAlign w:val="bottom"/>
          </w:tcPr>
          <w:p>
            <w:pPr>
              <w:spacing w:after="0"/>
              <w:rPr>
                <w:sz w:val="10"/>
                <w:szCs w:val="10"/>
                <w:color w:val="auto"/>
              </w:rPr>
            </w:pPr>
          </w:p>
        </w:tc>
        <w:tc>
          <w:tcPr>
            <w:tcW w:w="2100" w:type="dxa"/>
            <w:vAlign w:val="bottom"/>
          </w:tcPr>
          <w:p>
            <w:pPr>
              <w:ind w:left="160"/>
              <w:spacing w:after="0"/>
              <w:rPr>
                <w:sz w:val="20"/>
                <w:szCs w:val="20"/>
                <w:color w:val="auto"/>
              </w:rPr>
            </w:pPr>
            <w:r>
              <w:rPr>
                <w:rFonts w:ascii="Arial" w:cs="Arial" w:eastAsia="Arial" w:hAnsi="Arial"/>
                <w:sz w:val="10"/>
                <w:szCs w:val="10"/>
                <w:color w:val="auto"/>
              </w:rPr>
              <w:t>Prelude [C] [D]</w:t>
            </w:r>
          </w:p>
        </w:tc>
        <w:tc>
          <w:tcPr>
            <w:tcW w:w="2820" w:type="dxa"/>
            <w:vAlign w:val="bottom"/>
          </w:tcPr>
          <w:p>
            <w:pPr>
              <w:ind w:left="740"/>
              <w:spacing w:after="0"/>
              <w:rPr>
                <w:sz w:val="20"/>
                <w:szCs w:val="20"/>
                <w:color w:val="auto"/>
              </w:rPr>
            </w:pPr>
            <w:r>
              <w:rPr>
                <w:rFonts w:ascii="Arial" w:cs="Arial" w:eastAsia="Arial" w:hAnsi="Arial"/>
                <w:sz w:val="10"/>
                <w:szCs w:val="10"/>
                <w:color w:val="auto"/>
              </w:rPr>
              <w:t>Browse Basin</w:t>
            </w:r>
          </w:p>
        </w:tc>
        <w:tc>
          <w:tcPr>
            <w:tcW w:w="2040" w:type="dxa"/>
            <w:vAlign w:val="bottom"/>
          </w:tcPr>
          <w:p>
            <w:pPr>
              <w:jc w:val="right"/>
              <w:spacing w:after="0"/>
              <w:rPr>
                <w:sz w:val="20"/>
                <w:szCs w:val="20"/>
                <w:color w:val="auto"/>
              </w:rPr>
            </w:pPr>
            <w:r>
              <w:rPr>
                <w:rFonts w:ascii="Arial" w:cs="Arial" w:eastAsia="Arial" w:hAnsi="Arial"/>
                <w:sz w:val="10"/>
                <w:szCs w:val="10"/>
                <w:color w:val="auto"/>
              </w:rPr>
              <w:t>67.5</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3.6</w:t>
            </w:r>
          </w:p>
        </w:tc>
        <w:tc>
          <w:tcPr>
            <w:tcW w:w="1440" w:type="dxa"/>
            <w:vAlign w:val="bottom"/>
          </w:tcPr>
          <w:p>
            <w:pPr>
              <w:ind w:left="20"/>
              <w:spacing w:after="0"/>
              <w:rPr>
                <w:sz w:val="20"/>
                <w:szCs w:val="20"/>
                <w:color w:val="auto"/>
              </w:rPr>
            </w:pPr>
            <w:r>
              <w:rPr>
                <w:rFonts w:ascii="Arial" w:cs="Arial" w:eastAsia="Arial" w:hAnsi="Arial"/>
                <w:sz w:val="10"/>
                <w:szCs w:val="10"/>
                <w:color w:val="auto"/>
              </w:rPr>
              <w:t>Yes</w:t>
            </w:r>
          </w:p>
        </w:tc>
      </w:tr>
      <w:tr>
        <w:trPr>
          <w:trHeight w:val="126"/>
        </w:trPr>
        <w:tc>
          <w:tcPr>
            <w:tcW w:w="1100" w:type="dxa"/>
            <w:vAlign w:val="bottom"/>
          </w:tcPr>
          <w:p>
            <w:pPr>
              <w:spacing w:after="0"/>
              <w:rPr>
                <w:sz w:val="10"/>
                <w:szCs w:val="10"/>
                <w:color w:val="auto"/>
              </w:rPr>
            </w:pPr>
          </w:p>
        </w:tc>
        <w:tc>
          <w:tcPr>
            <w:tcW w:w="2100" w:type="dxa"/>
            <w:vAlign w:val="bottom"/>
          </w:tcPr>
          <w:p>
            <w:pPr>
              <w:ind w:left="160"/>
              <w:spacing w:after="0"/>
              <w:rPr>
                <w:sz w:val="20"/>
                <w:szCs w:val="20"/>
                <w:color w:val="auto"/>
              </w:rPr>
            </w:pPr>
            <w:r>
              <w:rPr>
                <w:rFonts w:ascii="Arial" w:cs="Arial" w:eastAsia="Arial" w:hAnsi="Arial"/>
                <w:sz w:val="10"/>
                <w:szCs w:val="10"/>
                <w:color w:val="auto"/>
              </w:rPr>
              <w:t>Queensland Curtis LNG T1 [C]</w:t>
            </w:r>
          </w:p>
        </w:tc>
        <w:tc>
          <w:tcPr>
            <w:tcW w:w="2820" w:type="dxa"/>
            <w:vAlign w:val="bottom"/>
          </w:tcPr>
          <w:p>
            <w:pPr>
              <w:ind w:left="740"/>
              <w:spacing w:after="0"/>
              <w:rPr>
                <w:sz w:val="20"/>
                <w:szCs w:val="20"/>
                <w:color w:val="auto"/>
              </w:rPr>
            </w:pPr>
            <w:r>
              <w:rPr>
                <w:rFonts w:ascii="Arial" w:cs="Arial" w:eastAsia="Arial" w:hAnsi="Arial"/>
                <w:sz w:val="10"/>
                <w:szCs w:val="10"/>
                <w:color w:val="auto"/>
              </w:rPr>
              <w:t>Curtis Island</w:t>
            </w:r>
          </w:p>
        </w:tc>
        <w:tc>
          <w:tcPr>
            <w:tcW w:w="2040" w:type="dxa"/>
            <w:vAlign w:val="bottom"/>
          </w:tcPr>
          <w:p>
            <w:pPr>
              <w:jc w:val="right"/>
              <w:spacing w:after="0"/>
              <w:rPr>
                <w:sz w:val="20"/>
                <w:szCs w:val="20"/>
                <w:color w:val="auto"/>
              </w:rPr>
            </w:pPr>
            <w:r>
              <w:rPr>
                <w:rFonts w:ascii="Arial" w:cs="Arial" w:eastAsia="Arial" w:hAnsi="Arial"/>
                <w:sz w:val="10"/>
                <w:szCs w:val="10"/>
                <w:color w:val="auto"/>
              </w:rPr>
              <w:t>50</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4.3</w:t>
            </w:r>
          </w:p>
        </w:tc>
        <w:tc>
          <w:tcPr>
            <w:tcW w:w="1440" w:type="dxa"/>
            <w:vAlign w:val="bottom"/>
          </w:tcPr>
          <w:p>
            <w:pPr>
              <w:ind w:left="20"/>
              <w:spacing w:after="0"/>
              <w:rPr>
                <w:sz w:val="20"/>
                <w:szCs w:val="20"/>
                <w:color w:val="auto"/>
              </w:rPr>
            </w:pPr>
            <w:r>
              <w:rPr>
                <w:rFonts w:ascii="Arial" w:cs="Arial" w:eastAsia="Arial" w:hAnsi="Arial"/>
                <w:sz w:val="10"/>
                <w:szCs w:val="10"/>
                <w:color w:val="auto"/>
              </w:rPr>
              <w:t>Yes</w:t>
            </w:r>
          </w:p>
        </w:tc>
      </w:tr>
      <w:tr>
        <w:trPr>
          <w:trHeight w:val="126"/>
        </w:trPr>
        <w:tc>
          <w:tcPr>
            <w:tcW w:w="1100" w:type="dxa"/>
            <w:vAlign w:val="bottom"/>
          </w:tcPr>
          <w:p>
            <w:pPr>
              <w:spacing w:after="0"/>
              <w:rPr>
                <w:sz w:val="10"/>
                <w:szCs w:val="10"/>
                <w:color w:val="auto"/>
              </w:rPr>
            </w:pPr>
          </w:p>
        </w:tc>
        <w:tc>
          <w:tcPr>
            <w:tcW w:w="2100" w:type="dxa"/>
            <w:vAlign w:val="bottom"/>
          </w:tcPr>
          <w:p>
            <w:pPr>
              <w:ind w:left="160"/>
              <w:spacing w:after="0"/>
              <w:rPr>
                <w:sz w:val="20"/>
                <w:szCs w:val="20"/>
                <w:color w:val="auto"/>
              </w:rPr>
            </w:pPr>
            <w:r>
              <w:rPr>
                <w:rFonts w:ascii="Arial" w:cs="Arial" w:eastAsia="Arial" w:hAnsi="Arial"/>
                <w:sz w:val="10"/>
                <w:szCs w:val="10"/>
                <w:color w:val="auto"/>
              </w:rPr>
              <w:t>Queensland Curtis LNG T2 [C]</w:t>
            </w:r>
          </w:p>
        </w:tc>
        <w:tc>
          <w:tcPr>
            <w:tcW w:w="2820" w:type="dxa"/>
            <w:vAlign w:val="bottom"/>
          </w:tcPr>
          <w:p>
            <w:pPr>
              <w:ind w:left="740"/>
              <w:spacing w:after="0"/>
              <w:rPr>
                <w:sz w:val="20"/>
                <w:szCs w:val="20"/>
                <w:color w:val="auto"/>
              </w:rPr>
            </w:pPr>
            <w:r>
              <w:rPr>
                <w:rFonts w:ascii="Arial" w:cs="Arial" w:eastAsia="Arial" w:hAnsi="Arial"/>
                <w:sz w:val="10"/>
                <w:szCs w:val="10"/>
                <w:color w:val="auto"/>
              </w:rPr>
              <w:t>Curtis Island</w:t>
            </w:r>
          </w:p>
        </w:tc>
        <w:tc>
          <w:tcPr>
            <w:tcW w:w="2040" w:type="dxa"/>
            <w:vAlign w:val="bottom"/>
          </w:tcPr>
          <w:p>
            <w:pPr>
              <w:jc w:val="right"/>
              <w:spacing w:after="0"/>
              <w:rPr>
                <w:sz w:val="20"/>
                <w:szCs w:val="20"/>
                <w:color w:val="auto"/>
              </w:rPr>
            </w:pPr>
            <w:r>
              <w:rPr>
                <w:rFonts w:ascii="Arial" w:cs="Arial" w:eastAsia="Arial" w:hAnsi="Arial"/>
                <w:sz w:val="10"/>
                <w:szCs w:val="10"/>
                <w:color w:val="auto"/>
              </w:rPr>
              <w:t>97.5</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4.3</w:t>
            </w:r>
          </w:p>
        </w:tc>
        <w:tc>
          <w:tcPr>
            <w:tcW w:w="1440" w:type="dxa"/>
            <w:vAlign w:val="bottom"/>
          </w:tcPr>
          <w:p>
            <w:pPr>
              <w:ind w:left="20"/>
              <w:spacing w:after="0"/>
              <w:rPr>
                <w:sz w:val="20"/>
                <w:szCs w:val="20"/>
                <w:color w:val="auto"/>
              </w:rPr>
            </w:pPr>
            <w:r>
              <w:rPr>
                <w:rFonts w:ascii="Arial" w:cs="Arial" w:eastAsia="Arial" w:hAnsi="Arial"/>
                <w:sz w:val="10"/>
                <w:szCs w:val="10"/>
                <w:color w:val="auto"/>
              </w:rPr>
              <w:t>Yes</w:t>
            </w:r>
          </w:p>
        </w:tc>
      </w:tr>
      <w:tr>
        <w:trPr>
          <w:trHeight w:val="126"/>
        </w:trPr>
        <w:tc>
          <w:tcPr>
            <w:tcW w:w="1100" w:type="dxa"/>
            <w:vAlign w:val="bottom"/>
          </w:tcPr>
          <w:p>
            <w:pPr>
              <w:spacing w:after="0"/>
              <w:rPr>
                <w:sz w:val="20"/>
                <w:szCs w:val="20"/>
                <w:color w:val="auto"/>
              </w:rPr>
            </w:pPr>
            <w:r>
              <w:rPr>
                <w:rFonts w:ascii="Arial" w:cs="Arial" w:eastAsia="Arial" w:hAnsi="Arial"/>
                <w:sz w:val="10"/>
                <w:szCs w:val="10"/>
                <w:color w:val="auto"/>
              </w:rPr>
              <w:t>Africa</w:t>
            </w:r>
          </w:p>
        </w:tc>
        <w:tc>
          <w:tcPr>
            <w:tcW w:w="21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26"/>
        </w:trPr>
        <w:tc>
          <w:tcPr>
            <w:tcW w:w="1100" w:type="dxa"/>
            <w:vAlign w:val="bottom"/>
          </w:tcPr>
          <w:p>
            <w:pPr>
              <w:ind w:left="140"/>
              <w:spacing w:after="0"/>
              <w:rPr>
                <w:sz w:val="20"/>
                <w:szCs w:val="20"/>
                <w:color w:val="auto"/>
              </w:rPr>
            </w:pPr>
            <w:r>
              <w:rPr>
                <w:rFonts w:ascii="Arial" w:cs="Arial" w:eastAsia="Arial" w:hAnsi="Arial"/>
                <w:sz w:val="10"/>
                <w:szCs w:val="10"/>
                <w:color w:val="auto"/>
              </w:rPr>
              <w:t>Egypt [E]</w:t>
            </w:r>
          </w:p>
        </w:tc>
        <w:tc>
          <w:tcPr>
            <w:tcW w:w="2100" w:type="dxa"/>
            <w:vAlign w:val="bottom"/>
          </w:tcPr>
          <w:p>
            <w:pPr>
              <w:ind w:left="160"/>
              <w:spacing w:after="0"/>
              <w:rPr>
                <w:sz w:val="20"/>
                <w:szCs w:val="20"/>
                <w:color w:val="auto"/>
              </w:rPr>
            </w:pPr>
            <w:r>
              <w:rPr>
                <w:rFonts w:ascii="Arial" w:cs="Arial" w:eastAsia="Arial" w:hAnsi="Arial"/>
                <w:sz w:val="10"/>
                <w:szCs w:val="10"/>
                <w:color w:val="auto"/>
              </w:rPr>
              <w:t>Egyptian LNG T1</w:t>
            </w:r>
          </w:p>
        </w:tc>
        <w:tc>
          <w:tcPr>
            <w:tcW w:w="2820" w:type="dxa"/>
            <w:vAlign w:val="bottom"/>
          </w:tcPr>
          <w:p>
            <w:pPr>
              <w:ind w:left="740"/>
              <w:spacing w:after="0"/>
              <w:rPr>
                <w:sz w:val="20"/>
                <w:szCs w:val="20"/>
                <w:color w:val="auto"/>
              </w:rPr>
            </w:pPr>
            <w:r>
              <w:rPr>
                <w:rFonts w:ascii="Arial" w:cs="Arial" w:eastAsia="Arial" w:hAnsi="Arial"/>
                <w:sz w:val="10"/>
                <w:szCs w:val="10"/>
                <w:color w:val="auto"/>
              </w:rPr>
              <w:t>Idku</w:t>
            </w:r>
          </w:p>
        </w:tc>
        <w:tc>
          <w:tcPr>
            <w:tcW w:w="2040" w:type="dxa"/>
            <w:vAlign w:val="bottom"/>
          </w:tcPr>
          <w:p>
            <w:pPr>
              <w:jc w:val="right"/>
              <w:spacing w:after="0"/>
              <w:rPr>
                <w:sz w:val="20"/>
                <w:szCs w:val="20"/>
                <w:color w:val="auto"/>
              </w:rPr>
            </w:pPr>
            <w:r>
              <w:rPr>
                <w:rFonts w:ascii="Arial" w:cs="Arial" w:eastAsia="Arial" w:hAnsi="Arial"/>
                <w:sz w:val="10"/>
                <w:szCs w:val="10"/>
                <w:color w:val="auto"/>
              </w:rPr>
              <w:t>35.5</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3.6</w:t>
            </w:r>
          </w:p>
        </w:tc>
        <w:tc>
          <w:tcPr>
            <w:tcW w:w="1440" w:type="dxa"/>
            <w:vAlign w:val="bottom"/>
          </w:tcPr>
          <w:p>
            <w:pPr>
              <w:ind w:left="20"/>
              <w:spacing w:after="0"/>
              <w:rPr>
                <w:sz w:val="20"/>
                <w:szCs w:val="20"/>
                <w:color w:val="auto"/>
              </w:rPr>
            </w:pPr>
            <w:r>
              <w:rPr>
                <w:rFonts w:ascii="Arial" w:cs="Arial" w:eastAsia="Arial" w:hAnsi="Arial"/>
                <w:sz w:val="10"/>
                <w:szCs w:val="10"/>
                <w:color w:val="auto"/>
              </w:rPr>
              <w:t>No</w:t>
            </w:r>
          </w:p>
        </w:tc>
      </w:tr>
      <w:tr>
        <w:trPr>
          <w:trHeight w:val="126"/>
        </w:trPr>
        <w:tc>
          <w:tcPr>
            <w:tcW w:w="1100" w:type="dxa"/>
            <w:vAlign w:val="bottom"/>
          </w:tcPr>
          <w:p>
            <w:pPr>
              <w:spacing w:after="0"/>
              <w:rPr>
                <w:sz w:val="10"/>
                <w:szCs w:val="10"/>
                <w:color w:val="auto"/>
              </w:rPr>
            </w:pPr>
          </w:p>
        </w:tc>
        <w:tc>
          <w:tcPr>
            <w:tcW w:w="2100" w:type="dxa"/>
            <w:vAlign w:val="bottom"/>
          </w:tcPr>
          <w:p>
            <w:pPr>
              <w:ind w:left="160"/>
              <w:spacing w:after="0"/>
              <w:rPr>
                <w:sz w:val="20"/>
                <w:szCs w:val="20"/>
                <w:color w:val="auto"/>
              </w:rPr>
            </w:pPr>
            <w:r>
              <w:rPr>
                <w:rFonts w:ascii="Arial" w:cs="Arial" w:eastAsia="Arial" w:hAnsi="Arial"/>
                <w:sz w:val="10"/>
                <w:szCs w:val="10"/>
                <w:color w:val="auto"/>
              </w:rPr>
              <w:t>Egyptian LNG T2</w:t>
            </w:r>
          </w:p>
        </w:tc>
        <w:tc>
          <w:tcPr>
            <w:tcW w:w="2820" w:type="dxa"/>
            <w:vAlign w:val="bottom"/>
          </w:tcPr>
          <w:p>
            <w:pPr>
              <w:ind w:left="740"/>
              <w:spacing w:after="0"/>
              <w:rPr>
                <w:sz w:val="20"/>
                <w:szCs w:val="20"/>
                <w:color w:val="auto"/>
              </w:rPr>
            </w:pPr>
            <w:r>
              <w:rPr>
                <w:rFonts w:ascii="Arial" w:cs="Arial" w:eastAsia="Arial" w:hAnsi="Arial"/>
                <w:sz w:val="10"/>
                <w:szCs w:val="10"/>
                <w:color w:val="auto"/>
              </w:rPr>
              <w:t>Idku</w:t>
            </w:r>
          </w:p>
        </w:tc>
        <w:tc>
          <w:tcPr>
            <w:tcW w:w="2040" w:type="dxa"/>
            <w:vAlign w:val="bottom"/>
          </w:tcPr>
          <w:p>
            <w:pPr>
              <w:jc w:val="right"/>
              <w:spacing w:after="0"/>
              <w:rPr>
                <w:sz w:val="20"/>
                <w:szCs w:val="20"/>
                <w:color w:val="auto"/>
              </w:rPr>
            </w:pPr>
            <w:r>
              <w:rPr>
                <w:rFonts w:ascii="Arial" w:cs="Arial" w:eastAsia="Arial" w:hAnsi="Arial"/>
                <w:sz w:val="10"/>
                <w:szCs w:val="10"/>
                <w:color w:val="auto"/>
              </w:rPr>
              <w:t>38</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3.6</w:t>
            </w:r>
          </w:p>
        </w:tc>
        <w:tc>
          <w:tcPr>
            <w:tcW w:w="1440" w:type="dxa"/>
            <w:vAlign w:val="bottom"/>
          </w:tcPr>
          <w:p>
            <w:pPr>
              <w:ind w:left="20"/>
              <w:spacing w:after="0"/>
              <w:rPr>
                <w:sz w:val="20"/>
                <w:szCs w:val="20"/>
                <w:color w:val="auto"/>
              </w:rPr>
            </w:pPr>
            <w:r>
              <w:rPr>
                <w:rFonts w:ascii="Arial" w:cs="Arial" w:eastAsia="Arial" w:hAnsi="Arial"/>
                <w:sz w:val="10"/>
                <w:szCs w:val="10"/>
                <w:color w:val="auto"/>
              </w:rPr>
              <w:t>No</w:t>
            </w:r>
          </w:p>
        </w:tc>
      </w:tr>
      <w:tr>
        <w:trPr>
          <w:trHeight w:val="126"/>
        </w:trPr>
        <w:tc>
          <w:tcPr>
            <w:tcW w:w="1100" w:type="dxa"/>
            <w:vAlign w:val="bottom"/>
          </w:tcPr>
          <w:p>
            <w:pPr>
              <w:ind w:left="140"/>
              <w:spacing w:after="0"/>
              <w:rPr>
                <w:sz w:val="20"/>
                <w:szCs w:val="20"/>
                <w:color w:val="auto"/>
              </w:rPr>
            </w:pPr>
            <w:r>
              <w:rPr>
                <w:rFonts w:ascii="Arial" w:cs="Arial" w:eastAsia="Arial" w:hAnsi="Arial"/>
                <w:sz w:val="10"/>
                <w:szCs w:val="10"/>
                <w:color w:val="auto"/>
              </w:rPr>
              <w:t>Nigeria</w:t>
            </w:r>
          </w:p>
        </w:tc>
        <w:tc>
          <w:tcPr>
            <w:tcW w:w="2100" w:type="dxa"/>
            <w:vAlign w:val="bottom"/>
          </w:tcPr>
          <w:p>
            <w:pPr>
              <w:ind w:left="160"/>
              <w:spacing w:after="0"/>
              <w:rPr>
                <w:sz w:val="20"/>
                <w:szCs w:val="20"/>
                <w:color w:val="auto"/>
              </w:rPr>
            </w:pPr>
            <w:r>
              <w:rPr>
                <w:rFonts w:ascii="Arial" w:cs="Arial" w:eastAsia="Arial" w:hAnsi="Arial"/>
                <w:sz w:val="10"/>
                <w:szCs w:val="10"/>
                <w:color w:val="auto"/>
              </w:rPr>
              <w:t>Nigeria LNG</w:t>
            </w:r>
          </w:p>
        </w:tc>
        <w:tc>
          <w:tcPr>
            <w:tcW w:w="2820" w:type="dxa"/>
            <w:vAlign w:val="bottom"/>
          </w:tcPr>
          <w:p>
            <w:pPr>
              <w:ind w:left="740"/>
              <w:spacing w:after="0"/>
              <w:rPr>
                <w:sz w:val="20"/>
                <w:szCs w:val="20"/>
                <w:color w:val="auto"/>
              </w:rPr>
            </w:pPr>
            <w:r>
              <w:rPr>
                <w:rFonts w:ascii="Arial" w:cs="Arial" w:eastAsia="Arial" w:hAnsi="Arial"/>
                <w:sz w:val="10"/>
                <w:szCs w:val="10"/>
                <w:color w:val="auto"/>
              </w:rPr>
              <w:t>Bonny</w:t>
            </w:r>
          </w:p>
        </w:tc>
        <w:tc>
          <w:tcPr>
            <w:tcW w:w="2040" w:type="dxa"/>
            <w:vAlign w:val="bottom"/>
          </w:tcPr>
          <w:p>
            <w:pPr>
              <w:jc w:val="right"/>
              <w:spacing w:after="0"/>
              <w:rPr>
                <w:sz w:val="20"/>
                <w:szCs w:val="20"/>
                <w:color w:val="auto"/>
              </w:rPr>
            </w:pPr>
            <w:r>
              <w:rPr>
                <w:rFonts w:ascii="Arial" w:cs="Arial" w:eastAsia="Arial" w:hAnsi="Arial"/>
                <w:sz w:val="10"/>
                <w:szCs w:val="10"/>
                <w:color w:val="auto"/>
              </w:rPr>
              <w:t>25.6</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24.1</w:t>
            </w:r>
          </w:p>
        </w:tc>
        <w:tc>
          <w:tcPr>
            <w:tcW w:w="1440" w:type="dxa"/>
            <w:vAlign w:val="bottom"/>
          </w:tcPr>
          <w:p>
            <w:pPr>
              <w:ind w:left="20"/>
              <w:spacing w:after="0"/>
              <w:rPr>
                <w:sz w:val="20"/>
                <w:szCs w:val="20"/>
                <w:color w:val="auto"/>
              </w:rPr>
            </w:pPr>
            <w:r>
              <w:rPr>
                <w:rFonts w:ascii="Arial" w:cs="Arial" w:eastAsia="Arial" w:hAnsi="Arial"/>
                <w:sz w:val="10"/>
                <w:szCs w:val="10"/>
                <w:color w:val="auto"/>
              </w:rPr>
              <w:t>No</w:t>
            </w:r>
          </w:p>
        </w:tc>
      </w:tr>
      <w:tr>
        <w:trPr>
          <w:trHeight w:val="126"/>
        </w:trPr>
        <w:tc>
          <w:tcPr>
            <w:tcW w:w="1100" w:type="dxa"/>
            <w:vAlign w:val="bottom"/>
          </w:tcPr>
          <w:p>
            <w:pPr>
              <w:spacing w:after="0"/>
              <w:rPr>
                <w:sz w:val="20"/>
                <w:szCs w:val="20"/>
                <w:color w:val="auto"/>
              </w:rPr>
            </w:pPr>
            <w:r>
              <w:rPr>
                <w:rFonts w:ascii="Arial" w:cs="Arial" w:eastAsia="Arial" w:hAnsi="Arial"/>
                <w:sz w:val="10"/>
                <w:szCs w:val="10"/>
                <w:color w:val="auto"/>
              </w:rPr>
              <w:t>South America</w:t>
            </w:r>
          </w:p>
        </w:tc>
        <w:tc>
          <w:tcPr>
            <w:tcW w:w="21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26"/>
        </w:trPr>
        <w:tc>
          <w:tcPr>
            <w:tcW w:w="1100" w:type="dxa"/>
            <w:vAlign w:val="bottom"/>
          </w:tcPr>
          <w:p>
            <w:pPr>
              <w:ind w:left="140"/>
              <w:spacing w:after="0"/>
              <w:rPr>
                <w:sz w:val="20"/>
                <w:szCs w:val="20"/>
                <w:color w:val="auto"/>
              </w:rPr>
            </w:pPr>
            <w:r>
              <w:rPr>
                <w:rFonts w:ascii="Arial" w:cs="Arial" w:eastAsia="Arial" w:hAnsi="Arial"/>
                <w:sz w:val="10"/>
                <w:szCs w:val="10"/>
                <w:color w:val="auto"/>
              </w:rPr>
              <w:t>Peru</w:t>
            </w:r>
          </w:p>
        </w:tc>
        <w:tc>
          <w:tcPr>
            <w:tcW w:w="2100" w:type="dxa"/>
            <w:vAlign w:val="bottom"/>
          </w:tcPr>
          <w:p>
            <w:pPr>
              <w:ind w:left="160"/>
              <w:spacing w:after="0"/>
              <w:rPr>
                <w:sz w:val="20"/>
                <w:szCs w:val="20"/>
                <w:color w:val="auto"/>
              </w:rPr>
            </w:pPr>
            <w:r>
              <w:rPr>
                <w:rFonts w:ascii="Arial" w:cs="Arial" w:eastAsia="Arial" w:hAnsi="Arial"/>
                <w:sz w:val="10"/>
                <w:szCs w:val="10"/>
                <w:color w:val="auto"/>
              </w:rPr>
              <w:t>Peru LNG</w:t>
            </w:r>
          </w:p>
        </w:tc>
        <w:tc>
          <w:tcPr>
            <w:tcW w:w="2820" w:type="dxa"/>
            <w:vAlign w:val="bottom"/>
          </w:tcPr>
          <w:p>
            <w:pPr>
              <w:ind w:left="740"/>
              <w:spacing w:after="0"/>
              <w:rPr>
                <w:sz w:val="20"/>
                <w:szCs w:val="20"/>
                <w:color w:val="auto"/>
              </w:rPr>
            </w:pPr>
            <w:r>
              <w:rPr>
                <w:rFonts w:ascii="Arial" w:cs="Arial" w:eastAsia="Arial" w:hAnsi="Arial"/>
                <w:sz w:val="10"/>
                <w:szCs w:val="10"/>
                <w:color w:val="auto"/>
              </w:rPr>
              <w:t>Pampa Melchorita</w:t>
            </w:r>
          </w:p>
        </w:tc>
        <w:tc>
          <w:tcPr>
            <w:tcW w:w="2040" w:type="dxa"/>
            <w:vAlign w:val="bottom"/>
          </w:tcPr>
          <w:p>
            <w:pPr>
              <w:jc w:val="right"/>
              <w:spacing w:after="0"/>
              <w:rPr>
                <w:sz w:val="20"/>
                <w:szCs w:val="20"/>
                <w:color w:val="auto"/>
              </w:rPr>
            </w:pPr>
            <w:r>
              <w:rPr>
                <w:rFonts w:ascii="Arial" w:cs="Arial" w:eastAsia="Arial" w:hAnsi="Arial"/>
                <w:sz w:val="10"/>
                <w:szCs w:val="10"/>
                <w:color w:val="auto"/>
              </w:rPr>
              <w:t>20</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4.5</w:t>
            </w:r>
          </w:p>
        </w:tc>
        <w:tc>
          <w:tcPr>
            <w:tcW w:w="1440" w:type="dxa"/>
            <w:vAlign w:val="bottom"/>
          </w:tcPr>
          <w:p>
            <w:pPr>
              <w:ind w:left="20"/>
              <w:spacing w:after="0"/>
              <w:rPr>
                <w:sz w:val="20"/>
                <w:szCs w:val="20"/>
                <w:color w:val="auto"/>
              </w:rPr>
            </w:pPr>
            <w:r>
              <w:rPr>
                <w:rFonts w:ascii="Arial" w:cs="Arial" w:eastAsia="Arial" w:hAnsi="Arial"/>
                <w:sz w:val="10"/>
                <w:szCs w:val="10"/>
                <w:color w:val="auto"/>
              </w:rPr>
              <w:t>No</w:t>
            </w:r>
          </w:p>
        </w:tc>
      </w:tr>
      <w:tr>
        <w:trPr>
          <w:trHeight w:val="126"/>
        </w:trPr>
        <w:tc>
          <w:tcPr>
            <w:tcW w:w="1100" w:type="dxa"/>
            <w:vAlign w:val="bottom"/>
          </w:tcPr>
          <w:p>
            <w:pPr>
              <w:ind w:left="140"/>
              <w:spacing w:after="0"/>
              <w:rPr>
                <w:sz w:val="20"/>
                <w:szCs w:val="20"/>
                <w:color w:val="auto"/>
              </w:rPr>
            </w:pPr>
            <w:r>
              <w:rPr>
                <w:rFonts w:ascii="Arial" w:cs="Arial" w:eastAsia="Arial" w:hAnsi="Arial"/>
                <w:sz w:val="10"/>
                <w:szCs w:val="10"/>
                <w:color w:val="auto"/>
              </w:rPr>
              <w:t>Trinidad and Tobago</w:t>
            </w:r>
          </w:p>
        </w:tc>
        <w:tc>
          <w:tcPr>
            <w:tcW w:w="2100" w:type="dxa"/>
            <w:vAlign w:val="bottom"/>
          </w:tcPr>
          <w:p>
            <w:pPr>
              <w:ind w:left="160"/>
              <w:spacing w:after="0"/>
              <w:rPr>
                <w:sz w:val="20"/>
                <w:szCs w:val="20"/>
                <w:color w:val="auto"/>
              </w:rPr>
            </w:pPr>
            <w:r>
              <w:rPr>
                <w:rFonts w:ascii="Arial" w:cs="Arial" w:eastAsia="Arial" w:hAnsi="Arial"/>
                <w:sz w:val="10"/>
                <w:szCs w:val="10"/>
                <w:color w:val="auto"/>
              </w:rPr>
              <w:t>Atlantic LNG T1</w:t>
            </w:r>
          </w:p>
        </w:tc>
        <w:tc>
          <w:tcPr>
            <w:tcW w:w="2820" w:type="dxa"/>
            <w:vAlign w:val="bottom"/>
          </w:tcPr>
          <w:p>
            <w:pPr>
              <w:ind w:left="740"/>
              <w:spacing w:after="0"/>
              <w:rPr>
                <w:sz w:val="20"/>
                <w:szCs w:val="20"/>
                <w:color w:val="auto"/>
              </w:rPr>
            </w:pPr>
            <w:r>
              <w:rPr>
                <w:rFonts w:ascii="Arial" w:cs="Arial" w:eastAsia="Arial" w:hAnsi="Arial"/>
                <w:sz w:val="10"/>
                <w:szCs w:val="10"/>
                <w:color w:val="auto"/>
              </w:rPr>
              <w:t>Point Fortin</w:t>
            </w:r>
          </w:p>
        </w:tc>
        <w:tc>
          <w:tcPr>
            <w:tcW w:w="2040" w:type="dxa"/>
            <w:vAlign w:val="bottom"/>
          </w:tcPr>
          <w:p>
            <w:pPr>
              <w:jc w:val="right"/>
              <w:spacing w:after="0"/>
              <w:rPr>
                <w:sz w:val="20"/>
                <w:szCs w:val="20"/>
                <w:color w:val="auto"/>
              </w:rPr>
            </w:pPr>
            <w:r>
              <w:rPr>
                <w:rFonts w:ascii="Arial" w:cs="Arial" w:eastAsia="Arial" w:hAnsi="Arial"/>
                <w:sz w:val="10"/>
                <w:szCs w:val="10"/>
                <w:color w:val="auto"/>
              </w:rPr>
              <w:t>46</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3</w:t>
            </w:r>
          </w:p>
        </w:tc>
        <w:tc>
          <w:tcPr>
            <w:tcW w:w="1440" w:type="dxa"/>
            <w:vAlign w:val="bottom"/>
          </w:tcPr>
          <w:p>
            <w:pPr>
              <w:ind w:left="20"/>
              <w:spacing w:after="0"/>
              <w:rPr>
                <w:sz w:val="20"/>
                <w:szCs w:val="20"/>
                <w:color w:val="auto"/>
              </w:rPr>
            </w:pPr>
            <w:r>
              <w:rPr>
                <w:rFonts w:ascii="Arial" w:cs="Arial" w:eastAsia="Arial" w:hAnsi="Arial"/>
                <w:sz w:val="10"/>
                <w:szCs w:val="10"/>
                <w:color w:val="auto"/>
              </w:rPr>
              <w:t>No</w:t>
            </w:r>
          </w:p>
        </w:tc>
      </w:tr>
      <w:tr>
        <w:trPr>
          <w:trHeight w:val="126"/>
        </w:trPr>
        <w:tc>
          <w:tcPr>
            <w:tcW w:w="1100" w:type="dxa"/>
            <w:vAlign w:val="bottom"/>
          </w:tcPr>
          <w:p>
            <w:pPr>
              <w:spacing w:after="0"/>
              <w:rPr>
                <w:sz w:val="10"/>
                <w:szCs w:val="10"/>
                <w:color w:val="auto"/>
              </w:rPr>
            </w:pPr>
          </w:p>
        </w:tc>
        <w:tc>
          <w:tcPr>
            <w:tcW w:w="2100" w:type="dxa"/>
            <w:vAlign w:val="bottom"/>
          </w:tcPr>
          <w:p>
            <w:pPr>
              <w:ind w:left="160"/>
              <w:spacing w:after="0"/>
              <w:rPr>
                <w:sz w:val="20"/>
                <w:szCs w:val="20"/>
                <w:color w:val="auto"/>
              </w:rPr>
            </w:pPr>
            <w:r>
              <w:rPr>
                <w:rFonts w:ascii="Arial" w:cs="Arial" w:eastAsia="Arial" w:hAnsi="Arial"/>
                <w:sz w:val="10"/>
                <w:szCs w:val="10"/>
                <w:color w:val="auto"/>
              </w:rPr>
              <w:t>Atlantic LNG T2/T3</w:t>
            </w:r>
          </w:p>
        </w:tc>
        <w:tc>
          <w:tcPr>
            <w:tcW w:w="2820" w:type="dxa"/>
            <w:vAlign w:val="bottom"/>
          </w:tcPr>
          <w:p>
            <w:pPr>
              <w:ind w:left="740"/>
              <w:spacing w:after="0"/>
              <w:rPr>
                <w:sz w:val="20"/>
                <w:szCs w:val="20"/>
                <w:color w:val="auto"/>
              </w:rPr>
            </w:pPr>
            <w:r>
              <w:rPr>
                <w:rFonts w:ascii="Arial" w:cs="Arial" w:eastAsia="Arial" w:hAnsi="Arial"/>
                <w:sz w:val="10"/>
                <w:szCs w:val="10"/>
                <w:color w:val="auto"/>
              </w:rPr>
              <w:t>Point Fortin</w:t>
            </w:r>
          </w:p>
        </w:tc>
        <w:tc>
          <w:tcPr>
            <w:tcW w:w="2040" w:type="dxa"/>
            <w:vAlign w:val="bottom"/>
          </w:tcPr>
          <w:p>
            <w:pPr>
              <w:jc w:val="right"/>
              <w:spacing w:after="0"/>
              <w:rPr>
                <w:sz w:val="20"/>
                <w:szCs w:val="20"/>
                <w:color w:val="auto"/>
              </w:rPr>
            </w:pPr>
            <w:r>
              <w:rPr>
                <w:rFonts w:ascii="Arial" w:cs="Arial" w:eastAsia="Arial" w:hAnsi="Arial"/>
                <w:sz w:val="10"/>
                <w:szCs w:val="10"/>
                <w:color w:val="auto"/>
              </w:rPr>
              <w:t>57.5</w:t>
            </w:r>
          </w:p>
        </w:tc>
        <w:tc>
          <w:tcPr>
            <w:tcW w:w="46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6.6</w:t>
            </w:r>
          </w:p>
        </w:tc>
        <w:tc>
          <w:tcPr>
            <w:tcW w:w="1440" w:type="dxa"/>
            <w:vAlign w:val="bottom"/>
          </w:tcPr>
          <w:p>
            <w:pPr>
              <w:ind w:left="20"/>
              <w:spacing w:after="0"/>
              <w:rPr>
                <w:sz w:val="20"/>
                <w:szCs w:val="20"/>
                <w:color w:val="auto"/>
              </w:rPr>
            </w:pPr>
            <w:r>
              <w:rPr>
                <w:rFonts w:ascii="Arial" w:cs="Arial" w:eastAsia="Arial" w:hAnsi="Arial"/>
                <w:sz w:val="10"/>
                <w:szCs w:val="10"/>
                <w:color w:val="auto"/>
              </w:rPr>
              <w:t>No</w:t>
            </w:r>
          </w:p>
        </w:tc>
      </w:tr>
      <w:tr>
        <w:trPr>
          <w:trHeight w:val="130"/>
        </w:trPr>
        <w:tc>
          <w:tcPr>
            <w:tcW w:w="110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ind w:left="160"/>
              <w:spacing w:after="0"/>
              <w:rPr>
                <w:sz w:val="20"/>
                <w:szCs w:val="20"/>
                <w:color w:val="auto"/>
              </w:rPr>
            </w:pPr>
            <w:r>
              <w:rPr>
                <w:rFonts w:ascii="Arial" w:cs="Arial" w:eastAsia="Arial" w:hAnsi="Arial"/>
                <w:sz w:val="10"/>
                <w:szCs w:val="10"/>
                <w:color w:val="auto"/>
              </w:rPr>
              <w:t>Atlantic LNG T4</w:t>
            </w:r>
          </w:p>
        </w:tc>
        <w:tc>
          <w:tcPr>
            <w:tcW w:w="2820" w:type="dxa"/>
            <w:vAlign w:val="bottom"/>
            <w:tcBorders>
              <w:bottom w:val="single" w:sz="8" w:color="auto"/>
            </w:tcBorders>
          </w:tcPr>
          <w:p>
            <w:pPr>
              <w:ind w:left="740"/>
              <w:spacing w:after="0"/>
              <w:rPr>
                <w:sz w:val="20"/>
                <w:szCs w:val="20"/>
                <w:color w:val="auto"/>
              </w:rPr>
            </w:pPr>
            <w:r>
              <w:rPr>
                <w:rFonts w:ascii="Arial" w:cs="Arial" w:eastAsia="Arial" w:hAnsi="Arial"/>
                <w:sz w:val="10"/>
                <w:szCs w:val="10"/>
                <w:color w:val="auto"/>
              </w:rPr>
              <w:t>Point Fortin</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51.1</w:t>
            </w:r>
          </w:p>
        </w:tc>
        <w:tc>
          <w:tcPr>
            <w:tcW w:w="4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w:t>
            </w: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No</w:t>
            </w:r>
          </w:p>
        </w:tc>
      </w:tr>
    </w:tbl>
    <w:p>
      <w:pPr>
        <w:spacing w:after="0" w:line="65" w:lineRule="exact"/>
        <w:rPr>
          <w:sz w:val="20"/>
          <w:szCs w:val="20"/>
          <w:color w:val="auto"/>
        </w:rPr>
      </w:pPr>
    </w:p>
    <w:p>
      <w:pPr>
        <w:ind w:left="128" w:hanging="128"/>
        <w:spacing w:after="0"/>
        <w:tabs>
          <w:tab w:leader="none" w:pos="128" w:val="left"/>
        </w:tabs>
        <w:numPr>
          <w:ilvl w:val="0"/>
          <w:numId w:val="10"/>
        </w:numPr>
        <w:rPr>
          <w:rFonts w:ascii="Arial" w:cs="Arial" w:eastAsia="Arial" w:hAnsi="Arial"/>
          <w:sz w:val="7"/>
          <w:szCs w:val="7"/>
          <w:color w:val="auto"/>
        </w:rPr>
      </w:pPr>
      <w:r>
        <w:rPr>
          <w:rFonts w:ascii="Arial" w:cs="Arial" w:eastAsia="Arial" w:hAnsi="Arial"/>
          <w:sz w:val="7"/>
          <w:szCs w:val="7"/>
          <w:color w:val="auto"/>
        </w:rPr>
        <w:t>100% capacity represents the total capacity that all trains can process as reported by the operator.</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0"/>
        </w:numPr>
        <w:rPr>
          <w:rFonts w:ascii="Arial" w:cs="Arial" w:eastAsia="Arial" w:hAnsi="Arial"/>
          <w:sz w:val="7"/>
          <w:szCs w:val="7"/>
          <w:color w:val="auto"/>
        </w:rPr>
      </w:pPr>
      <w:r>
        <w:rPr>
          <w:rFonts w:ascii="Arial" w:cs="Arial" w:eastAsia="Arial" w:hAnsi="Arial"/>
          <w:sz w:val="7"/>
          <w:szCs w:val="7"/>
          <w:color w:val="auto"/>
        </w:rPr>
        <w:t>Interest, or part of the interest, is held via indirect shareholding.</w:t>
      </w:r>
    </w:p>
    <w:p>
      <w:pPr>
        <w:ind w:left="108" w:hanging="108"/>
        <w:spacing w:after="0"/>
        <w:tabs>
          <w:tab w:leader="none" w:pos="108" w:val="left"/>
        </w:tabs>
        <w:numPr>
          <w:ilvl w:val="0"/>
          <w:numId w:val="10"/>
        </w:numPr>
        <w:rPr>
          <w:rFonts w:ascii="Arial" w:cs="Arial" w:eastAsia="Arial" w:hAnsi="Arial"/>
          <w:sz w:val="7"/>
          <w:szCs w:val="7"/>
          <w:color w:val="auto"/>
        </w:rPr>
      </w:pPr>
      <w:r>
        <w:rPr>
          <w:rFonts w:ascii="Arial" w:cs="Arial" w:eastAsia="Arial" w:hAnsi="Arial"/>
          <w:sz w:val="7"/>
          <w:szCs w:val="7"/>
          <w:color w:val="auto"/>
        </w:rPr>
        <w:t>These assets are clustered as integrated assets and have onshore or offshore upstream production.</w:t>
      </w:r>
    </w:p>
    <w:p>
      <w:pPr>
        <w:ind w:left="128" w:hanging="128"/>
        <w:spacing w:after="0"/>
        <w:tabs>
          <w:tab w:leader="none" w:pos="128" w:val="left"/>
        </w:tabs>
        <w:numPr>
          <w:ilvl w:val="0"/>
          <w:numId w:val="10"/>
        </w:numPr>
        <w:rPr>
          <w:rFonts w:ascii="Arial" w:cs="Arial" w:eastAsia="Arial" w:hAnsi="Arial"/>
          <w:sz w:val="7"/>
          <w:szCs w:val="7"/>
          <w:color w:val="auto"/>
        </w:rPr>
      </w:pPr>
      <w:r>
        <w:rPr>
          <w:rFonts w:ascii="Arial" w:cs="Arial" w:eastAsia="Arial" w:hAnsi="Arial"/>
          <w:sz w:val="7"/>
          <w:szCs w:val="7"/>
          <w:color w:val="auto"/>
        </w:rPr>
        <w:t>Following a number of operational issues and shutdown since February 2020, Prelude continues to progress towards safe and reliable operations with LNG rundown restart in late December 2020.</w:t>
      </w:r>
    </w:p>
    <w:p>
      <w:pPr>
        <w:ind w:left="108" w:hanging="108"/>
        <w:spacing w:after="0"/>
        <w:tabs>
          <w:tab w:leader="none" w:pos="108" w:val="left"/>
        </w:tabs>
        <w:numPr>
          <w:ilvl w:val="0"/>
          <w:numId w:val="10"/>
        </w:numPr>
        <w:rPr>
          <w:rFonts w:ascii="Arial" w:cs="Arial" w:eastAsia="Arial" w:hAnsi="Arial"/>
          <w:sz w:val="7"/>
          <w:szCs w:val="7"/>
          <w:color w:val="auto"/>
        </w:rPr>
      </w:pPr>
      <w:r>
        <w:rPr>
          <w:rFonts w:ascii="Arial" w:cs="Arial" w:eastAsia="Arial" w:hAnsi="Arial"/>
          <w:sz w:val="7"/>
          <w:szCs w:val="7"/>
          <w:color w:val="auto"/>
        </w:rPr>
        <w:t>In January 2014, force majeure notices were issued under the LNG agreements as a result of domestic gas diversions severely restricting volumes available to the ELNG plant. These notices remain in place.</w:t>
      </w:r>
    </w:p>
    <w:p>
      <w:pPr>
        <w:spacing w:after="0" w:line="200" w:lineRule="exact"/>
        <w:rPr>
          <w:sz w:val="20"/>
          <w:szCs w:val="20"/>
          <w:color w:val="auto"/>
        </w:rPr>
      </w:pPr>
    </w:p>
    <w:p>
      <w:pPr>
        <w:spacing w:after="0" w:line="308"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32</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21" w:right="299" w:bottom="1440" w:gutter="0" w:footer="0" w:header="0"/>
        </w:sectPr>
      </w:pPr>
    </w:p>
    <w:bookmarkStart w:id="35" w:name="page36"/>
    <w:bookmarkEnd w:id="35"/>
    <w:tbl>
      <w:tblPr>
        <w:tblLayout w:type="fixed"/>
        <w:tblInd w:w="8" w:type="dxa"/>
        <w:tblCellMar>
          <w:top w:w="0" w:type="dxa"/>
          <w:left w:w="0" w:type="dxa"/>
          <w:bottom w:w="0" w:type="dxa"/>
          <w:right w:w="0" w:type="dxa"/>
        </w:tblCellMar>
      </w:tblPr>
      <w:tr>
        <w:trPr>
          <w:trHeight w:val="121"/>
        </w:trPr>
        <w:tc>
          <w:tcPr>
            <w:tcW w:w="2960" w:type="dxa"/>
            <w:vAlign w:val="bottom"/>
            <w:gridSpan w:val="2"/>
          </w:tcPr>
          <w:p>
            <w:pPr>
              <w:spacing w:after="0"/>
              <w:rPr>
                <w:sz w:val="20"/>
                <w:szCs w:val="20"/>
                <w:color w:val="auto"/>
              </w:rPr>
            </w:pPr>
            <w:r>
              <w:rPr>
                <w:rFonts w:ascii="Arial" w:cs="Arial" w:eastAsia="Arial" w:hAnsi="Arial"/>
                <w:sz w:val="10"/>
                <w:szCs w:val="10"/>
                <w:color w:val="auto"/>
              </w:rPr>
              <w:t>LNG liquefaction plants under construction at December 31, 2020</w:t>
            </w:r>
          </w:p>
        </w:tc>
        <w:tc>
          <w:tcPr>
            <w:tcW w:w="2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39"/>
        </w:trPr>
        <w:tc>
          <w:tcPr>
            <w:tcW w:w="7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Asset</w:t>
            </w:r>
          </w:p>
        </w:tc>
        <w:tc>
          <w:tcPr>
            <w:tcW w:w="212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Location</w:t>
            </w:r>
          </w:p>
        </w:tc>
        <w:tc>
          <w:tcPr>
            <w:tcW w:w="2920" w:type="dxa"/>
            <w:vAlign w:val="bottom"/>
            <w:tcBorders>
              <w:bottom w:val="single" w:sz="8" w:color="auto"/>
            </w:tcBorders>
          </w:tcPr>
          <w:p>
            <w:pPr>
              <w:jc w:val="right"/>
              <w:ind w:right="852"/>
              <w:spacing w:after="0"/>
              <w:rPr>
                <w:sz w:val="20"/>
                <w:szCs w:val="20"/>
                <w:color w:val="auto"/>
              </w:rPr>
            </w:pPr>
            <w:r>
              <w:rPr>
                <w:rFonts w:ascii="Arial" w:cs="Arial" w:eastAsia="Arial" w:hAnsi="Arial"/>
                <w:sz w:val="10"/>
                <w:szCs w:val="10"/>
                <w:color w:val="auto"/>
              </w:rPr>
              <w:t>Shell interest (%)</w:t>
            </w:r>
          </w:p>
        </w:tc>
        <w:tc>
          <w:tcPr>
            <w:tcW w:w="23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100% capacity (mtpa) [A]</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Shell-operated</w:t>
            </w:r>
          </w:p>
        </w:tc>
      </w:tr>
      <w:tr>
        <w:trPr>
          <w:trHeight w:val="114"/>
        </w:trPr>
        <w:tc>
          <w:tcPr>
            <w:tcW w:w="780" w:type="dxa"/>
            <w:vAlign w:val="bottom"/>
          </w:tcPr>
          <w:p>
            <w:pPr>
              <w:spacing w:after="0"/>
              <w:rPr>
                <w:sz w:val="20"/>
                <w:szCs w:val="20"/>
                <w:color w:val="auto"/>
              </w:rPr>
            </w:pPr>
            <w:r>
              <w:rPr>
                <w:rFonts w:ascii="Arial" w:cs="Arial" w:eastAsia="Arial" w:hAnsi="Arial"/>
                <w:sz w:val="10"/>
                <w:szCs w:val="10"/>
                <w:color w:val="auto"/>
              </w:rPr>
              <w:t>Africa</w:t>
            </w:r>
          </w:p>
        </w:tc>
        <w:tc>
          <w:tcPr>
            <w:tcW w:w="21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27"/>
        </w:trPr>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Nigeria</w:t>
            </w:r>
          </w:p>
        </w:tc>
        <w:tc>
          <w:tcPr>
            <w:tcW w:w="218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Train 7 [B]</w:t>
            </w:r>
          </w:p>
        </w:tc>
        <w:tc>
          <w:tcPr>
            <w:tcW w:w="212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Bonny</w:t>
            </w:r>
          </w:p>
        </w:tc>
        <w:tc>
          <w:tcPr>
            <w:tcW w:w="2920" w:type="dxa"/>
            <w:vAlign w:val="bottom"/>
            <w:tcBorders>
              <w:bottom w:val="single" w:sz="8" w:color="auto"/>
            </w:tcBorders>
          </w:tcPr>
          <w:p>
            <w:pPr>
              <w:jc w:val="right"/>
              <w:ind w:right="872"/>
              <w:spacing w:after="0"/>
              <w:rPr>
                <w:sz w:val="20"/>
                <w:szCs w:val="20"/>
                <w:color w:val="auto"/>
              </w:rPr>
            </w:pPr>
            <w:r>
              <w:rPr>
                <w:rFonts w:ascii="Arial" w:cs="Arial" w:eastAsia="Arial" w:hAnsi="Arial"/>
                <w:sz w:val="10"/>
                <w:szCs w:val="10"/>
                <w:color w:val="auto"/>
              </w:rPr>
              <w:t>25.6</w:t>
            </w:r>
          </w:p>
        </w:tc>
        <w:tc>
          <w:tcPr>
            <w:tcW w:w="23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7.6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w:t>
            </w:r>
          </w:p>
        </w:tc>
      </w:tr>
      <w:tr>
        <w:trPr>
          <w:trHeight w:val="114"/>
        </w:trPr>
        <w:tc>
          <w:tcPr>
            <w:tcW w:w="780" w:type="dxa"/>
            <w:vAlign w:val="bottom"/>
          </w:tcPr>
          <w:p>
            <w:pPr>
              <w:spacing w:after="0"/>
              <w:rPr>
                <w:sz w:val="20"/>
                <w:szCs w:val="20"/>
                <w:color w:val="auto"/>
              </w:rPr>
            </w:pPr>
            <w:r>
              <w:rPr>
                <w:rFonts w:ascii="Arial" w:cs="Arial" w:eastAsia="Arial" w:hAnsi="Arial"/>
                <w:sz w:val="10"/>
                <w:szCs w:val="10"/>
                <w:color w:val="auto"/>
              </w:rPr>
              <w:t>North America</w:t>
            </w:r>
          </w:p>
        </w:tc>
        <w:tc>
          <w:tcPr>
            <w:tcW w:w="21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27"/>
        </w:trPr>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Canada</w:t>
            </w:r>
          </w:p>
        </w:tc>
        <w:tc>
          <w:tcPr>
            <w:tcW w:w="218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LNG Canada T1-2 [C]</w:t>
            </w:r>
          </w:p>
        </w:tc>
        <w:tc>
          <w:tcPr>
            <w:tcW w:w="212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Kitimat</w:t>
            </w:r>
          </w:p>
        </w:tc>
        <w:tc>
          <w:tcPr>
            <w:tcW w:w="2920" w:type="dxa"/>
            <w:vAlign w:val="bottom"/>
            <w:tcBorders>
              <w:bottom w:val="single" w:sz="8" w:color="auto"/>
            </w:tcBorders>
          </w:tcPr>
          <w:p>
            <w:pPr>
              <w:jc w:val="right"/>
              <w:ind w:right="872"/>
              <w:spacing w:after="0"/>
              <w:rPr>
                <w:sz w:val="20"/>
                <w:szCs w:val="20"/>
                <w:color w:val="auto"/>
              </w:rPr>
            </w:pPr>
            <w:r>
              <w:rPr>
                <w:rFonts w:ascii="Arial" w:cs="Arial" w:eastAsia="Arial" w:hAnsi="Arial"/>
                <w:sz w:val="10"/>
                <w:szCs w:val="10"/>
                <w:color w:val="auto"/>
              </w:rPr>
              <w:t>40.0</w:t>
            </w:r>
          </w:p>
        </w:tc>
        <w:tc>
          <w:tcPr>
            <w:tcW w:w="23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14.0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w:t>
            </w:r>
          </w:p>
        </w:tc>
      </w:tr>
    </w:tbl>
    <w:p>
      <w:pPr>
        <w:spacing w:after="0" w:line="65" w:lineRule="exact"/>
        <w:rPr>
          <w:sz w:val="20"/>
          <w:szCs w:val="20"/>
          <w:color w:val="auto"/>
        </w:rPr>
      </w:pPr>
    </w:p>
    <w:p>
      <w:pPr>
        <w:ind w:left="128" w:hanging="128"/>
        <w:spacing w:after="0"/>
        <w:tabs>
          <w:tab w:leader="none" w:pos="128" w:val="left"/>
        </w:tabs>
        <w:numPr>
          <w:ilvl w:val="0"/>
          <w:numId w:val="11"/>
        </w:numPr>
        <w:rPr>
          <w:rFonts w:ascii="Arial" w:cs="Arial" w:eastAsia="Arial" w:hAnsi="Arial"/>
          <w:sz w:val="7"/>
          <w:szCs w:val="7"/>
          <w:color w:val="auto"/>
        </w:rPr>
      </w:pPr>
      <w:r>
        <w:rPr>
          <w:rFonts w:ascii="Arial" w:cs="Arial" w:eastAsia="Arial" w:hAnsi="Arial"/>
          <w:sz w:val="7"/>
          <w:szCs w:val="7"/>
          <w:color w:val="auto"/>
        </w:rPr>
        <w:t>100% capacity represents the total capacity that all trains can process as reported by the operator.</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1"/>
        </w:numPr>
        <w:rPr>
          <w:rFonts w:ascii="Arial" w:cs="Arial" w:eastAsia="Arial" w:hAnsi="Arial"/>
          <w:sz w:val="7"/>
          <w:szCs w:val="7"/>
          <w:color w:val="auto"/>
        </w:rPr>
      </w:pPr>
      <w:r>
        <w:rPr>
          <w:rFonts w:ascii="Arial" w:cs="Arial" w:eastAsia="Arial" w:hAnsi="Arial"/>
          <w:sz w:val="7"/>
          <w:szCs w:val="7"/>
          <w:color w:val="auto"/>
        </w:rPr>
        <w:t>First LNG is expected in the middle of the 2020s.</w:t>
      </w:r>
    </w:p>
    <w:p>
      <w:pPr>
        <w:ind w:left="108" w:hanging="108"/>
        <w:spacing w:after="0"/>
        <w:tabs>
          <w:tab w:leader="none" w:pos="108" w:val="left"/>
        </w:tabs>
        <w:numPr>
          <w:ilvl w:val="0"/>
          <w:numId w:val="11"/>
        </w:numPr>
        <w:rPr>
          <w:rFonts w:ascii="Arial" w:cs="Arial" w:eastAsia="Arial" w:hAnsi="Arial"/>
          <w:sz w:val="7"/>
          <w:szCs w:val="7"/>
          <w:color w:val="auto"/>
        </w:rPr>
      </w:pPr>
      <w:r>
        <w:rPr>
          <w:rFonts w:ascii="Arial" w:cs="Arial" w:eastAsia="Arial" w:hAnsi="Arial"/>
          <w:sz w:val="7"/>
          <w:szCs w:val="7"/>
          <w:color w:val="auto"/>
        </w:rPr>
        <w:t>Construction started in October 2018 and first LNG is expected before the middle of the 2020s.</w:t>
      </w:r>
    </w:p>
    <w:p>
      <w:pPr>
        <w:spacing w:after="0" w:line="151"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2560" w:type="dxa"/>
            <w:vAlign w:val="bottom"/>
            <w:gridSpan w:val="2"/>
          </w:tcPr>
          <w:p>
            <w:pPr>
              <w:spacing w:after="0"/>
              <w:rPr>
                <w:sz w:val="20"/>
                <w:szCs w:val="20"/>
                <w:color w:val="auto"/>
              </w:rPr>
            </w:pPr>
            <w:r>
              <w:rPr>
                <w:rFonts w:ascii="Arial" w:cs="Arial" w:eastAsia="Arial" w:hAnsi="Arial"/>
                <w:sz w:val="10"/>
                <w:szCs w:val="10"/>
                <w:color w:val="auto"/>
              </w:rPr>
              <w:t>GTL plants in operation at December 31, 2020</w:t>
            </w:r>
          </w:p>
        </w:tc>
        <w:tc>
          <w:tcPr>
            <w:tcW w:w="25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02"/>
        </w:trPr>
        <w:tc>
          <w:tcPr>
            <w:tcW w:w="8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ind w:left="400"/>
              <w:spacing w:after="0"/>
              <w:rPr>
                <w:sz w:val="20"/>
                <w:szCs w:val="20"/>
                <w:color w:val="auto"/>
              </w:rPr>
            </w:pPr>
            <w:r>
              <w:rPr>
                <w:rFonts w:ascii="Arial" w:cs="Arial" w:eastAsia="Arial" w:hAnsi="Arial"/>
                <w:sz w:val="10"/>
                <w:szCs w:val="10"/>
                <w:color w:val="auto"/>
              </w:rPr>
              <w:t>Asset</w:t>
            </w:r>
          </w:p>
        </w:tc>
        <w:tc>
          <w:tcPr>
            <w:tcW w:w="2500" w:type="dxa"/>
            <w:vAlign w:val="bottom"/>
            <w:tcBorders>
              <w:bottom w:val="single" w:sz="8" w:color="auto"/>
            </w:tcBorders>
          </w:tcPr>
          <w:p>
            <w:pPr>
              <w:ind w:left="760"/>
              <w:spacing w:after="0"/>
              <w:rPr>
                <w:sz w:val="20"/>
                <w:szCs w:val="20"/>
                <w:color w:val="auto"/>
              </w:rPr>
            </w:pPr>
            <w:r>
              <w:rPr>
                <w:rFonts w:ascii="Arial" w:cs="Arial" w:eastAsia="Arial" w:hAnsi="Arial"/>
                <w:sz w:val="10"/>
                <w:szCs w:val="10"/>
                <w:color w:val="auto"/>
              </w:rPr>
              <w:t>Location</w:t>
            </w:r>
          </w:p>
        </w:tc>
        <w:tc>
          <w:tcPr>
            <w:tcW w:w="2920" w:type="dxa"/>
            <w:vAlign w:val="bottom"/>
            <w:tcBorders>
              <w:bottom w:val="single" w:sz="8" w:color="auto"/>
            </w:tcBorders>
          </w:tcPr>
          <w:p>
            <w:pPr>
              <w:jc w:val="right"/>
              <w:ind w:right="872"/>
              <w:spacing w:after="0"/>
              <w:rPr>
                <w:sz w:val="20"/>
                <w:szCs w:val="20"/>
                <w:color w:val="auto"/>
              </w:rPr>
            </w:pPr>
            <w:r>
              <w:rPr>
                <w:rFonts w:ascii="Arial" w:cs="Arial" w:eastAsia="Arial" w:hAnsi="Arial"/>
                <w:sz w:val="10"/>
                <w:szCs w:val="10"/>
                <w:color w:val="auto"/>
              </w:rPr>
              <w:t>Shell interest (%)</w:t>
            </w:r>
          </w:p>
        </w:tc>
        <w:tc>
          <w:tcPr>
            <w:tcW w:w="22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100% capacity (b/d) [A]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Shell-operated</w:t>
            </w:r>
          </w:p>
        </w:tc>
      </w:tr>
      <w:tr>
        <w:trPr>
          <w:trHeight w:val="114"/>
        </w:trPr>
        <w:tc>
          <w:tcPr>
            <w:tcW w:w="880" w:type="dxa"/>
            <w:vAlign w:val="bottom"/>
          </w:tcPr>
          <w:p>
            <w:pPr>
              <w:spacing w:after="0"/>
              <w:rPr>
                <w:sz w:val="20"/>
                <w:szCs w:val="20"/>
                <w:color w:val="auto"/>
              </w:rPr>
            </w:pPr>
            <w:r>
              <w:rPr>
                <w:rFonts w:ascii="Arial" w:cs="Arial" w:eastAsia="Arial" w:hAnsi="Arial"/>
                <w:sz w:val="10"/>
                <w:szCs w:val="10"/>
                <w:color w:val="auto"/>
              </w:rPr>
              <w:t>Asia</w:t>
            </w:r>
          </w:p>
        </w:tc>
        <w:tc>
          <w:tcPr>
            <w:tcW w:w="16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23"/>
        </w:trPr>
        <w:tc>
          <w:tcPr>
            <w:tcW w:w="880" w:type="dxa"/>
            <w:vAlign w:val="bottom"/>
          </w:tcPr>
          <w:p>
            <w:pPr>
              <w:ind w:left="140"/>
              <w:spacing w:after="0"/>
              <w:rPr>
                <w:sz w:val="20"/>
                <w:szCs w:val="20"/>
                <w:color w:val="auto"/>
              </w:rPr>
            </w:pPr>
            <w:r>
              <w:rPr>
                <w:rFonts w:ascii="Arial" w:cs="Arial" w:eastAsia="Arial" w:hAnsi="Arial"/>
                <w:sz w:val="10"/>
                <w:szCs w:val="10"/>
                <w:color w:val="auto"/>
              </w:rPr>
              <w:t>Malaysia</w:t>
            </w:r>
          </w:p>
        </w:tc>
        <w:tc>
          <w:tcPr>
            <w:tcW w:w="1680" w:type="dxa"/>
            <w:vAlign w:val="bottom"/>
          </w:tcPr>
          <w:p>
            <w:pPr>
              <w:ind w:left="400"/>
              <w:spacing w:after="0"/>
              <w:rPr>
                <w:sz w:val="20"/>
                <w:szCs w:val="20"/>
                <w:color w:val="auto"/>
              </w:rPr>
            </w:pPr>
            <w:r>
              <w:rPr>
                <w:rFonts w:ascii="Arial" w:cs="Arial" w:eastAsia="Arial" w:hAnsi="Arial"/>
                <w:sz w:val="10"/>
                <w:szCs w:val="10"/>
                <w:color w:val="auto"/>
              </w:rPr>
              <w:t>Shell MDS</w:t>
            </w:r>
          </w:p>
        </w:tc>
        <w:tc>
          <w:tcPr>
            <w:tcW w:w="2500" w:type="dxa"/>
            <w:vAlign w:val="bottom"/>
          </w:tcPr>
          <w:p>
            <w:pPr>
              <w:ind w:left="760"/>
              <w:spacing w:after="0"/>
              <w:rPr>
                <w:sz w:val="20"/>
                <w:szCs w:val="20"/>
                <w:color w:val="auto"/>
              </w:rPr>
            </w:pPr>
            <w:r>
              <w:rPr>
                <w:rFonts w:ascii="Arial" w:cs="Arial" w:eastAsia="Arial" w:hAnsi="Arial"/>
                <w:sz w:val="10"/>
                <w:szCs w:val="10"/>
                <w:color w:val="auto"/>
              </w:rPr>
              <w:t>Bintulu</w:t>
            </w:r>
          </w:p>
        </w:tc>
        <w:tc>
          <w:tcPr>
            <w:tcW w:w="2920" w:type="dxa"/>
            <w:vAlign w:val="bottom"/>
          </w:tcPr>
          <w:p>
            <w:pPr>
              <w:jc w:val="right"/>
              <w:ind w:right="912"/>
              <w:spacing w:after="0"/>
              <w:rPr>
                <w:sz w:val="20"/>
                <w:szCs w:val="20"/>
                <w:color w:val="auto"/>
              </w:rPr>
            </w:pPr>
            <w:r>
              <w:rPr>
                <w:rFonts w:ascii="Arial" w:cs="Arial" w:eastAsia="Arial" w:hAnsi="Arial"/>
                <w:sz w:val="10"/>
                <w:szCs w:val="10"/>
                <w:color w:val="auto"/>
              </w:rPr>
              <w:t>72.0</w:t>
            </w:r>
          </w:p>
        </w:tc>
        <w:tc>
          <w:tcPr>
            <w:tcW w:w="2260" w:type="dxa"/>
            <w:vAlign w:val="bottom"/>
          </w:tcPr>
          <w:p>
            <w:pPr>
              <w:jc w:val="right"/>
              <w:ind w:right="392"/>
              <w:spacing w:after="0"/>
              <w:rPr>
                <w:sz w:val="20"/>
                <w:szCs w:val="20"/>
                <w:color w:val="auto"/>
              </w:rPr>
            </w:pPr>
            <w:r>
              <w:rPr>
                <w:rFonts w:ascii="Arial" w:cs="Arial" w:eastAsia="Arial" w:hAnsi="Arial"/>
                <w:sz w:val="10"/>
                <w:szCs w:val="10"/>
                <w:color w:val="auto"/>
              </w:rPr>
              <w:t>14,700</w:t>
            </w:r>
          </w:p>
        </w:tc>
        <w:tc>
          <w:tcPr>
            <w:tcW w:w="980" w:type="dxa"/>
            <w:vAlign w:val="bottom"/>
          </w:tcPr>
          <w:p>
            <w:pPr>
              <w:jc w:val="right"/>
              <w:spacing w:after="0"/>
              <w:rPr>
                <w:sz w:val="20"/>
                <w:szCs w:val="20"/>
                <w:color w:val="auto"/>
              </w:rPr>
            </w:pPr>
            <w:r>
              <w:rPr>
                <w:rFonts w:ascii="Arial" w:cs="Arial" w:eastAsia="Arial" w:hAnsi="Arial"/>
                <w:sz w:val="10"/>
                <w:szCs w:val="10"/>
                <w:color w:val="auto"/>
              </w:rPr>
              <w:t>Yes</w:t>
            </w:r>
          </w:p>
        </w:tc>
      </w:tr>
      <w:tr>
        <w:trPr>
          <w:trHeight w:val="130"/>
        </w:trPr>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Qatar</w:t>
            </w:r>
          </w:p>
        </w:tc>
        <w:tc>
          <w:tcPr>
            <w:tcW w:w="1680" w:type="dxa"/>
            <w:vAlign w:val="bottom"/>
            <w:tcBorders>
              <w:bottom w:val="single" w:sz="8" w:color="auto"/>
            </w:tcBorders>
          </w:tcPr>
          <w:p>
            <w:pPr>
              <w:ind w:left="400"/>
              <w:spacing w:after="0"/>
              <w:rPr>
                <w:sz w:val="20"/>
                <w:szCs w:val="20"/>
                <w:color w:val="auto"/>
              </w:rPr>
            </w:pPr>
            <w:r>
              <w:rPr>
                <w:rFonts w:ascii="Arial" w:cs="Arial" w:eastAsia="Arial" w:hAnsi="Arial"/>
                <w:sz w:val="10"/>
                <w:szCs w:val="10"/>
                <w:color w:val="auto"/>
              </w:rPr>
              <w:t>Pearl</w:t>
            </w:r>
          </w:p>
        </w:tc>
        <w:tc>
          <w:tcPr>
            <w:tcW w:w="2500" w:type="dxa"/>
            <w:vAlign w:val="bottom"/>
            <w:tcBorders>
              <w:bottom w:val="single" w:sz="8" w:color="auto"/>
            </w:tcBorders>
          </w:tcPr>
          <w:p>
            <w:pPr>
              <w:ind w:left="760"/>
              <w:spacing w:after="0"/>
              <w:rPr>
                <w:sz w:val="20"/>
                <w:szCs w:val="20"/>
                <w:color w:val="auto"/>
              </w:rPr>
            </w:pPr>
            <w:r>
              <w:rPr>
                <w:rFonts w:ascii="Arial" w:cs="Arial" w:eastAsia="Arial" w:hAnsi="Arial"/>
                <w:sz w:val="10"/>
                <w:szCs w:val="10"/>
                <w:color w:val="auto"/>
              </w:rPr>
              <w:t>Ras Laffan</w:t>
            </w:r>
          </w:p>
        </w:tc>
        <w:tc>
          <w:tcPr>
            <w:tcW w:w="2920" w:type="dxa"/>
            <w:vAlign w:val="bottom"/>
            <w:tcBorders>
              <w:bottom w:val="single" w:sz="8" w:color="auto"/>
            </w:tcBorders>
          </w:tcPr>
          <w:p>
            <w:pPr>
              <w:jc w:val="right"/>
              <w:ind w:right="912"/>
              <w:spacing w:after="0"/>
              <w:rPr>
                <w:sz w:val="20"/>
                <w:szCs w:val="20"/>
                <w:color w:val="auto"/>
              </w:rPr>
            </w:pPr>
            <w:r>
              <w:rPr>
                <w:rFonts w:ascii="Arial" w:cs="Arial" w:eastAsia="Arial" w:hAnsi="Arial"/>
                <w:sz w:val="10"/>
                <w:szCs w:val="10"/>
                <w:color w:val="auto"/>
              </w:rPr>
              <w:t>100.0</w:t>
            </w:r>
          </w:p>
        </w:tc>
        <w:tc>
          <w:tcPr>
            <w:tcW w:w="226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140,000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Yes</w:t>
            </w:r>
          </w:p>
        </w:tc>
      </w:tr>
    </w:tbl>
    <w:p>
      <w:pPr>
        <w:spacing w:after="0" w:line="47" w:lineRule="exact"/>
        <w:rPr>
          <w:sz w:val="20"/>
          <w:szCs w:val="20"/>
          <w:color w:val="auto"/>
        </w:rPr>
      </w:pPr>
    </w:p>
    <w:p>
      <w:pPr>
        <w:ind w:left="8"/>
        <w:spacing w:after="0"/>
        <w:rPr>
          <w:sz w:val="20"/>
          <w:szCs w:val="20"/>
          <w:color w:val="auto"/>
        </w:rPr>
      </w:pPr>
      <w:r>
        <w:rPr>
          <w:rFonts w:ascii="Arial" w:cs="Arial" w:eastAsia="Arial" w:hAnsi="Arial"/>
          <w:sz w:val="7"/>
          <w:szCs w:val="7"/>
          <w:color w:val="auto"/>
        </w:rPr>
        <w:t>[A] 100% capacity represents the total capacity of the plant.</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0"/>
          <w:szCs w:val="10"/>
          <w:color w:val="auto"/>
        </w:rPr>
        <w:t>We also have interests and rights in various regasification terminals listed below. Extension of leases or rights beyond the periods mentioned below will be reviewed on a case-by-case basis.</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2060" w:type="dxa"/>
            <w:vAlign w:val="bottom"/>
          </w:tcPr>
          <w:p>
            <w:pPr>
              <w:spacing w:after="0"/>
              <w:rPr>
                <w:sz w:val="20"/>
                <w:szCs w:val="20"/>
                <w:color w:val="auto"/>
              </w:rPr>
            </w:pPr>
            <w:r>
              <w:rPr>
                <w:rFonts w:ascii="Arial" w:cs="Arial" w:eastAsia="Arial" w:hAnsi="Arial"/>
                <w:sz w:val="10"/>
                <w:szCs w:val="10"/>
                <w:color w:val="auto"/>
              </w:rPr>
              <w:t>LNG regasification terminals</w:t>
            </w:r>
          </w:p>
        </w:tc>
        <w:tc>
          <w:tcPr>
            <w:tcW w:w="20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139"/>
        </w:trPr>
        <w:tc>
          <w:tcPr>
            <w:tcW w:w="2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Project name</w:t>
            </w:r>
          </w:p>
        </w:tc>
        <w:tc>
          <w:tcPr>
            <w:tcW w:w="2060" w:type="dxa"/>
            <w:vAlign w:val="bottom"/>
            <w:tcBorders>
              <w:bottom w:val="single" w:sz="8" w:color="auto"/>
            </w:tcBorders>
          </w:tcPr>
          <w:p>
            <w:pPr>
              <w:ind w:left="320"/>
              <w:spacing w:after="0"/>
              <w:rPr>
                <w:sz w:val="20"/>
                <w:szCs w:val="20"/>
                <w:color w:val="auto"/>
              </w:rPr>
            </w:pPr>
            <w:r>
              <w:rPr>
                <w:rFonts w:ascii="Arial" w:cs="Arial" w:eastAsia="Arial" w:hAnsi="Arial"/>
                <w:sz w:val="10"/>
                <w:szCs w:val="10"/>
                <w:color w:val="auto"/>
              </w:rPr>
              <w:t>Location</w:t>
            </w:r>
          </w:p>
        </w:tc>
        <w:tc>
          <w:tcPr>
            <w:tcW w:w="2360" w:type="dxa"/>
            <w:vAlign w:val="bottom"/>
            <w:tcBorders>
              <w:bottom w:val="single" w:sz="8" w:color="auto"/>
            </w:tcBorders>
          </w:tcPr>
          <w:p>
            <w:pPr>
              <w:ind w:left="640"/>
              <w:spacing w:after="0"/>
              <w:rPr>
                <w:sz w:val="20"/>
                <w:szCs w:val="20"/>
                <w:color w:val="auto"/>
              </w:rPr>
            </w:pPr>
            <w:r>
              <w:rPr>
                <w:rFonts w:ascii="Arial" w:cs="Arial" w:eastAsia="Arial" w:hAnsi="Arial"/>
                <w:sz w:val="10"/>
                <w:szCs w:val="10"/>
                <w:color w:val="auto"/>
              </w:rPr>
              <w:t>Shell capacity rights (mtpa)</w:t>
            </w:r>
          </w:p>
        </w:tc>
        <w:tc>
          <w:tcPr>
            <w:tcW w:w="1780" w:type="dxa"/>
            <w:vAlign w:val="bottom"/>
            <w:tcBorders>
              <w:bottom w:val="single" w:sz="8" w:color="auto"/>
            </w:tcBorders>
          </w:tcPr>
          <w:p>
            <w:pPr>
              <w:ind w:left="660"/>
              <w:spacing w:after="0"/>
              <w:rPr>
                <w:sz w:val="20"/>
                <w:szCs w:val="20"/>
                <w:color w:val="auto"/>
              </w:rPr>
            </w:pPr>
            <w:r>
              <w:rPr>
                <w:rFonts w:ascii="Arial" w:cs="Arial" w:eastAsia="Arial" w:hAnsi="Arial"/>
                <w:sz w:val="10"/>
                <w:szCs w:val="10"/>
                <w:color w:val="auto"/>
              </w:rPr>
              <w:t>Capacity rights period</w:t>
            </w: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0"/>
                <w:szCs w:val="10"/>
                <w:color w:val="auto"/>
              </w:rPr>
              <w:t>Status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Shell interest (%) and Rights</w:t>
            </w:r>
          </w:p>
        </w:tc>
      </w:tr>
      <w:tr>
        <w:trPr>
          <w:trHeight w:val="114"/>
        </w:trPr>
        <w:tc>
          <w:tcPr>
            <w:tcW w:w="2060" w:type="dxa"/>
            <w:vAlign w:val="bottom"/>
          </w:tcPr>
          <w:p>
            <w:pPr>
              <w:spacing w:after="0"/>
              <w:rPr>
                <w:sz w:val="20"/>
                <w:szCs w:val="20"/>
                <w:color w:val="auto"/>
              </w:rPr>
            </w:pPr>
            <w:r>
              <w:rPr>
                <w:rFonts w:ascii="Arial" w:cs="Arial" w:eastAsia="Arial" w:hAnsi="Arial"/>
                <w:sz w:val="10"/>
                <w:szCs w:val="10"/>
                <w:color w:val="auto"/>
              </w:rPr>
              <w:t>Altamira</w:t>
            </w:r>
          </w:p>
        </w:tc>
        <w:tc>
          <w:tcPr>
            <w:tcW w:w="2060" w:type="dxa"/>
            <w:vAlign w:val="bottom"/>
          </w:tcPr>
          <w:p>
            <w:pPr>
              <w:ind w:left="320"/>
              <w:spacing w:after="0"/>
              <w:rPr>
                <w:sz w:val="20"/>
                <w:szCs w:val="20"/>
                <w:color w:val="auto"/>
              </w:rPr>
            </w:pPr>
            <w:r>
              <w:rPr>
                <w:rFonts w:ascii="Arial" w:cs="Arial" w:eastAsia="Arial" w:hAnsi="Arial"/>
                <w:sz w:val="10"/>
                <w:szCs w:val="10"/>
                <w:color w:val="auto"/>
              </w:rPr>
              <w:t>Tamaulipas, Mexico</w:t>
            </w:r>
          </w:p>
        </w:tc>
        <w:tc>
          <w:tcPr>
            <w:tcW w:w="2360" w:type="dxa"/>
            <w:vAlign w:val="bottom"/>
          </w:tcPr>
          <w:p>
            <w:pPr>
              <w:ind w:left="640"/>
              <w:spacing w:after="0"/>
              <w:rPr>
                <w:sz w:val="20"/>
                <w:szCs w:val="20"/>
                <w:color w:val="auto"/>
              </w:rPr>
            </w:pPr>
            <w:r>
              <w:rPr>
                <w:rFonts w:ascii="Arial" w:cs="Arial" w:eastAsia="Arial" w:hAnsi="Arial"/>
                <w:sz w:val="10"/>
                <w:szCs w:val="10"/>
                <w:color w:val="auto"/>
              </w:rPr>
              <w:t>3.3 [A]</w:t>
            </w:r>
          </w:p>
        </w:tc>
        <w:tc>
          <w:tcPr>
            <w:tcW w:w="1780" w:type="dxa"/>
            <w:vAlign w:val="bottom"/>
          </w:tcPr>
          <w:p>
            <w:pPr>
              <w:ind w:left="660"/>
              <w:spacing w:after="0"/>
              <w:rPr>
                <w:sz w:val="20"/>
                <w:szCs w:val="20"/>
                <w:color w:val="auto"/>
              </w:rPr>
            </w:pPr>
            <w:r>
              <w:rPr>
                <w:rFonts w:ascii="Arial" w:cs="Arial" w:eastAsia="Arial" w:hAnsi="Arial"/>
                <w:sz w:val="10"/>
                <w:szCs w:val="10"/>
                <w:color w:val="auto"/>
              </w:rPr>
              <w:t>2006–2021</w:t>
            </w:r>
          </w:p>
        </w:tc>
        <w:tc>
          <w:tcPr>
            <w:tcW w:w="1320" w:type="dxa"/>
            <w:vAlign w:val="bottom"/>
          </w:tcPr>
          <w:p>
            <w:pPr>
              <w:ind w:left="260"/>
              <w:spacing w:after="0"/>
              <w:rPr>
                <w:sz w:val="20"/>
                <w:szCs w:val="20"/>
                <w:color w:val="auto"/>
              </w:rPr>
            </w:pPr>
            <w:r>
              <w:rPr>
                <w:rFonts w:ascii="Arial" w:cs="Arial" w:eastAsia="Arial" w:hAnsi="Arial"/>
                <w:sz w:val="10"/>
                <w:szCs w:val="10"/>
                <w:color w:val="auto"/>
              </w:rPr>
              <w:t>In operation</w:t>
            </w:r>
          </w:p>
        </w:tc>
        <w:tc>
          <w:tcPr>
            <w:tcW w:w="1720" w:type="dxa"/>
            <w:vAlign w:val="bottom"/>
          </w:tcPr>
          <w:p>
            <w:pPr>
              <w:jc w:val="right"/>
              <w:spacing w:after="0"/>
              <w:rPr>
                <w:sz w:val="20"/>
                <w:szCs w:val="20"/>
                <w:color w:val="auto"/>
              </w:rPr>
            </w:pPr>
            <w:r>
              <w:rPr>
                <w:rFonts w:ascii="Arial" w:cs="Arial" w:eastAsia="Arial" w:hAnsi="Arial"/>
                <w:sz w:val="10"/>
                <w:szCs w:val="10"/>
                <w:color w:val="auto"/>
              </w:rPr>
              <w:t>Leased</w:t>
            </w:r>
          </w:p>
        </w:tc>
      </w:tr>
      <w:tr>
        <w:trPr>
          <w:trHeight w:val="123"/>
        </w:trPr>
        <w:tc>
          <w:tcPr>
            <w:tcW w:w="2060" w:type="dxa"/>
            <w:vAlign w:val="bottom"/>
          </w:tcPr>
          <w:p>
            <w:pPr>
              <w:spacing w:after="0"/>
              <w:rPr>
                <w:sz w:val="20"/>
                <w:szCs w:val="20"/>
                <w:color w:val="auto"/>
              </w:rPr>
            </w:pPr>
            <w:r>
              <w:rPr>
                <w:rFonts w:ascii="Arial" w:cs="Arial" w:eastAsia="Arial" w:hAnsi="Arial"/>
                <w:sz w:val="10"/>
                <w:szCs w:val="10"/>
                <w:color w:val="auto"/>
              </w:rPr>
              <w:t>Costa Azul</w:t>
            </w:r>
          </w:p>
        </w:tc>
        <w:tc>
          <w:tcPr>
            <w:tcW w:w="2060" w:type="dxa"/>
            <w:vAlign w:val="bottom"/>
          </w:tcPr>
          <w:p>
            <w:pPr>
              <w:ind w:left="320"/>
              <w:spacing w:after="0"/>
              <w:rPr>
                <w:sz w:val="20"/>
                <w:szCs w:val="20"/>
                <w:color w:val="auto"/>
              </w:rPr>
            </w:pPr>
            <w:r>
              <w:rPr>
                <w:rFonts w:ascii="Arial" w:cs="Arial" w:eastAsia="Arial" w:hAnsi="Arial"/>
                <w:sz w:val="10"/>
                <w:szCs w:val="10"/>
                <w:color w:val="auto"/>
              </w:rPr>
              <w:t>Baja California, Mexico</w:t>
            </w:r>
          </w:p>
        </w:tc>
        <w:tc>
          <w:tcPr>
            <w:tcW w:w="2360" w:type="dxa"/>
            <w:vAlign w:val="bottom"/>
          </w:tcPr>
          <w:p>
            <w:pPr>
              <w:ind w:left="640"/>
              <w:spacing w:after="0"/>
              <w:rPr>
                <w:sz w:val="20"/>
                <w:szCs w:val="20"/>
                <w:color w:val="auto"/>
              </w:rPr>
            </w:pPr>
            <w:r>
              <w:rPr>
                <w:rFonts w:ascii="Arial" w:cs="Arial" w:eastAsia="Arial" w:hAnsi="Arial"/>
                <w:sz w:val="10"/>
                <w:szCs w:val="10"/>
                <w:color w:val="auto"/>
              </w:rPr>
              <w:t>2.7</w:t>
            </w:r>
          </w:p>
        </w:tc>
        <w:tc>
          <w:tcPr>
            <w:tcW w:w="1780" w:type="dxa"/>
            <w:vAlign w:val="bottom"/>
          </w:tcPr>
          <w:p>
            <w:pPr>
              <w:ind w:left="660"/>
              <w:spacing w:after="0"/>
              <w:rPr>
                <w:sz w:val="20"/>
                <w:szCs w:val="20"/>
                <w:color w:val="auto"/>
              </w:rPr>
            </w:pPr>
            <w:r>
              <w:rPr>
                <w:rFonts w:ascii="Arial" w:cs="Arial" w:eastAsia="Arial" w:hAnsi="Arial"/>
                <w:sz w:val="10"/>
                <w:szCs w:val="10"/>
                <w:color w:val="auto"/>
              </w:rPr>
              <w:t>2008–2028</w:t>
            </w:r>
          </w:p>
        </w:tc>
        <w:tc>
          <w:tcPr>
            <w:tcW w:w="1320" w:type="dxa"/>
            <w:vAlign w:val="bottom"/>
          </w:tcPr>
          <w:p>
            <w:pPr>
              <w:ind w:left="260"/>
              <w:spacing w:after="0"/>
              <w:rPr>
                <w:sz w:val="20"/>
                <w:szCs w:val="20"/>
                <w:color w:val="auto"/>
              </w:rPr>
            </w:pPr>
            <w:r>
              <w:rPr>
                <w:rFonts w:ascii="Arial" w:cs="Arial" w:eastAsia="Arial" w:hAnsi="Arial"/>
                <w:sz w:val="10"/>
                <w:szCs w:val="10"/>
                <w:color w:val="auto"/>
              </w:rPr>
              <w:t>In operation</w:t>
            </w:r>
          </w:p>
        </w:tc>
        <w:tc>
          <w:tcPr>
            <w:tcW w:w="1720" w:type="dxa"/>
            <w:vAlign w:val="bottom"/>
          </w:tcPr>
          <w:p>
            <w:pPr>
              <w:jc w:val="right"/>
              <w:spacing w:after="0"/>
              <w:rPr>
                <w:sz w:val="20"/>
                <w:szCs w:val="20"/>
                <w:color w:val="auto"/>
              </w:rPr>
            </w:pPr>
            <w:r>
              <w:rPr>
                <w:rFonts w:ascii="Arial" w:cs="Arial" w:eastAsia="Arial" w:hAnsi="Arial"/>
                <w:sz w:val="10"/>
                <w:szCs w:val="10"/>
                <w:color w:val="auto"/>
              </w:rPr>
              <w:t>Leased</w:t>
            </w:r>
          </w:p>
        </w:tc>
      </w:tr>
      <w:tr>
        <w:trPr>
          <w:trHeight w:val="126"/>
        </w:trPr>
        <w:tc>
          <w:tcPr>
            <w:tcW w:w="2060" w:type="dxa"/>
            <w:vAlign w:val="bottom"/>
          </w:tcPr>
          <w:p>
            <w:pPr>
              <w:spacing w:after="0"/>
              <w:rPr>
                <w:sz w:val="20"/>
                <w:szCs w:val="20"/>
                <w:color w:val="auto"/>
              </w:rPr>
            </w:pPr>
            <w:r>
              <w:rPr>
                <w:rFonts w:ascii="Arial" w:cs="Arial" w:eastAsia="Arial" w:hAnsi="Arial"/>
                <w:sz w:val="10"/>
                <w:szCs w:val="10"/>
                <w:color w:val="auto"/>
              </w:rPr>
              <w:t>Cove Point</w:t>
            </w:r>
          </w:p>
        </w:tc>
        <w:tc>
          <w:tcPr>
            <w:tcW w:w="2060" w:type="dxa"/>
            <w:vAlign w:val="bottom"/>
          </w:tcPr>
          <w:p>
            <w:pPr>
              <w:ind w:left="320"/>
              <w:spacing w:after="0"/>
              <w:rPr>
                <w:sz w:val="20"/>
                <w:szCs w:val="20"/>
                <w:color w:val="auto"/>
              </w:rPr>
            </w:pPr>
            <w:r>
              <w:rPr>
                <w:rFonts w:ascii="Arial" w:cs="Arial" w:eastAsia="Arial" w:hAnsi="Arial"/>
                <w:sz w:val="10"/>
                <w:szCs w:val="10"/>
                <w:color w:val="auto"/>
              </w:rPr>
              <w:t>Lusby, MD, USA</w:t>
            </w:r>
          </w:p>
        </w:tc>
        <w:tc>
          <w:tcPr>
            <w:tcW w:w="2360" w:type="dxa"/>
            <w:vAlign w:val="bottom"/>
          </w:tcPr>
          <w:p>
            <w:pPr>
              <w:ind w:left="640"/>
              <w:spacing w:after="0"/>
              <w:rPr>
                <w:sz w:val="20"/>
                <w:szCs w:val="20"/>
                <w:color w:val="auto"/>
              </w:rPr>
            </w:pPr>
            <w:r>
              <w:rPr>
                <w:rFonts w:ascii="Arial" w:cs="Arial" w:eastAsia="Arial" w:hAnsi="Arial"/>
                <w:sz w:val="10"/>
                <w:szCs w:val="10"/>
                <w:color w:val="auto"/>
              </w:rPr>
              <w:t>1.8</w:t>
            </w:r>
          </w:p>
        </w:tc>
        <w:tc>
          <w:tcPr>
            <w:tcW w:w="1780" w:type="dxa"/>
            <w:vAlign w:val="bottom"/>
          </w:tcPr>
          <w:p>
            <w:pPr>
              <w:ind w:left="660"/>
              <w:spacing w:after="0"/>
              <w:rPr>
                <w:sz w:val="20"/>
                <w:szCs w:val="20"/>
                <w:color w:val="auto"/>
              </w:rPr>
            </w:pPr>
            <w:r>
              <w:rPr>
                <w:rFonts w:ascii="Arial" w:cs="Arial" w:eastAsia="Arial" w:hAnsi="Arial"/>
                <w:sz w:val="10"/>
                <w:szCs w:val="10"/>
                <w:color w:val="auto"/>
              </w:rPr>
              <w:t>2003–2023</w:t>
            </w:r>
          </w:p>
        </w:tc>
        <w:tc>
          <w:tcPr>
            <w:tcW w:w="1320" w:type="dxa"/>
            <w:vAlign w:val="bottom"/>
          </w:tcPr>
          <w:p>
            <w:pPr>
              <w:ind w:left="260"/>
              <w:spacing w:after="0"/>
              <w:rPr>
                <w:sz w:val="20"/>
                <w:szCs w:val="20"/>
                <w:color w:val="auto"/>
              </w:rPr>
            </w:pPr>
            <w:r>
              <w:rPr>
                <w:rFonts w:ascii="Arial" w:cs="Arial" w:eastAsia="Arial" w:hAnsi="Arial"/>
                <w:sz w:val="10"/>
                <w:szCs w:val="10"/>
                <w:color w:val="auto"/>
              </w:rPr>
              <w:t>In operation</w:t>
            </w:r>
          </w:p>
        </w:tc>
        <w:tc>
          <w:tcPr>
            <w:tcW w:w="1720" w:type="dxa"/>
            <w:vAlign w:val="bottom"/>
          </w:tcPr>
          <w:p>
            <w:pPr>
              <w:jc w:val="right"/>
              <w:spacing w:after="0"/>
              <w:rPr>
                <w:sz w:val="20"/>
                <w:szCs w:val="20"/>
                <w:color w:val="auto"/>
              </w:rPr>
            </w:pPr>
            <w:r>
              <w:rPr>
                <w:rFonts w:ascii="Arial" w:cs="Arial" w:eastAsia="Arial" w:hAnsi="Arial"/>
                <w:sz w:val="10"/>
                <w:szCs w:val="10"/>
                <w:color w:val="auto"/>
              </w:rPr>
              <w:t>Leased</w:t>
            </w:r>
          </w:p>
        </w:tc>
      </w:tr>
      <w:tr>
        <w:trPr>
          <w:trHeight w:val="126"/>
        </w:trPr>
        <w:tc>
          <w:tcPr>
            <w:tcW w:w="2060" w:type="dxa"/>
            <w:vAlign w:val="bottom"/>
          </w:tcPr>
          <w:p>
            <w:pPr>
              <w:spacing w:after="0"/>
              <w:rPr>
                <w:sz w:val="20"/>
                <w:szCs w:val="20"/>
                <w:color w:val="auto"/>
              </w:rPr>
            </w:pPr>
            <w:r>
              <w:rPr>
                <w:rFonts w:ascii="Arial" w:cs="Arial" w:eastAsia="Arial" w:hAnsi="Arial"/>
                <w:sz w:val="10"/>
                <w:szCs w:val="10"/>
                <w:color w:val="auto"/>
              </w:rPr>
              <w:t>Dragon LNG</w:t>
            </w:r>
          </w:p>
        </w:tc>
        <w:tc>
          <w:tcPr>
            <w:tcW w:w="2060" w:type="dxa"/>
            <w:vAlign w:val="bottom"/>
          </w:tcPr>
          <w:p>
            <w:pPr>
              <w:ind w:left="320"/>
              <w:spacing w:after="0"/>
              <w:rPr>
                <w:sz w:val="20"/>
                <w:szCs w:val="20"/>
                <w:color w:val="auto"/>
              </w:rPr>
            </w:pPr>
            <w:r>
              <w:rPr>
                <w:rFonts w:ascii="Arial" w:cs="Arial" w:eastAsia="Arial" w:hAnsi="Arial"/>
                <w:sz w:val="10"/>
                <w:szCs w:val="10"/>
                <w:color w:val="auto"/>
              </w:rPr>
              <w:t>Milford Haven, UK</w:t>
            </w:r>
          </w:p>
        </w:tc>
        <w:tc>
          <w:tcPr>
            <w:tcW w:w="2360" w:type="dxa"/>
            <w:vAlign w:val="bottom"/>
          </w:tcPr>
          <w:p>
            <w:pPr>
              <w:ind w:left="640"/>
              <w:spacing w:after="0"/>
              <w:rPr>
                <w:sz w:val="20"/>
                <w:szCs w:val="20"/>
                <w:color w:val="auto"/>
              </w:rPr>
            </w:pPr>
            <w:r>
              <w:rPr>
                <w:rFonts w:ascii="Arial" w:cs="Arial" w:eastAsia="Arial" w:hAnsi="Arial"/>
                <w:sz w:val="10"/>
                <w:szCs w:val="10"/>
                <w:color w:val="auto"/>
              </w:rPr>
              <w:t>3.1</w:t>
            </w:r>
          </w:p>
        </w:tc>
        <w:tc>
          <w:tcPr>
            <w:tcW w:w="1780" w:type="dxa"/>
            <w:vAlign w:val="bottom"/>
          </w:tcPr>
          <w:p>
            <w:pPr>
              <w:ind w:left="660"/>
              <w:spacing w:after="0"/>
              <w:rPr>
                <w:sz w:val="20"/>
                <w:szCs w:val="20"/>
                <w:color w:val="auto"/>
              </w:rPr>
            </w:pPr>
            <w:r>
              <w:rPr>
                <w:rFonts w:ascii="Arial" w:cs="Arial" w:eastAsia="Arial" w:hAnsi="Arial"/>
                <w:sz w:val="10"/>
                <w:szCs w:val="10"/>
                <w:color w:val="auto"/>
              </w:rPr>
              <w:t>2009–2029</w:t>
            </w:r>
          </w:p>
        </w:tc>
        <w:tc>
          <w:tcPr>
            <w:tcW w:w="1320" w:type="dxa"/>
            <w:vAlign w:val="bottom"/>
          </w:tcPr>
          <w:p>
            <w:pPr>
              <w:ind w:left="260"/>
              <w:spacing w:after="0"/>
              <w:rPr>
                <w:sz w:val="20"/>
                <w:szCs w:val="20"/>
                <w:color w:val="auto"/>
              </w:rPr>
            </w:pPr>
            <w:r>
              <w:rPr>
                <w:rFonts w:ascii="Arial" w:cs="Arial" w:eastAsia="Arial" w:hAnsi="Arial"/>
                <w:sz w:val="10"/>
                <w:szCs w:val="10"/>
                <w:color w:val="auto"/>
              </w:rPr>
              <w:t>In operation</w:t>
            </w:r>
          </w:p>
        </w:tc>
        <w:tc>
          <w:tcPr>
            <w:tcW w:w="1720" w:type="dxa"/>
            <w:vAlign w:val="bottom"/>
          </w:tcPr>
          <w:p>
            <w:pPr>
              <w:jc w:val="right"/>
              <w:ind w:right="12"/>
              <w:spacing w:after="0"/>
              <w:rPr>
                <w:sz w:val="20"/>
                <w:szCs w:val="20"/>
                <w:color w:val="auto"/>
              </w:rPr>
            </w:pPr>
            <w:r>
              <w:rPr>
                <w:rFonts w:ascii="Arial" w:cs="Arial" w:eastAsia="Arial" w:hAnsi="Arial"/>
                <w:sz w:val="10"/>
                <w:szCs w:val="10"/>
                <w:color w:val="auto"/>
              </w:rPr>
              <w:t>50</w:t>
            </w:r>
          </w:p>
        </w:tc>
      </w:tr>
      <w:tr>
        <w:trPr>
          <w:trHeight w:val="126"/>
        </w:trPr>
        <w:tc>
          <w:tcPr>
            <w:tcW w:w="2060" w:type="dxa"/>
            <w:vAlign w:val="bottom"/>
          </w:tcPr>
          <w:p>
            <w:pPr>
              <w:spacing w:after="0"/>
              <w:rPr>
                <w:sz w:val="20"/>
                <w:szCs w:val="20"/>
                <w:color w:val="auto"/>
              </w:rPr>
            </w:pPr>
            <w:r>
              <w:rPr>
                <w:rFonts w:ascii="Arial" w:cs="Arial" w:eastAsia="Arial" w:hAnsi="Arial"/>
                <w:sz w:val="10"/>
                <w:szCs w:val="10"/>
                <w:color w:val="auto"/>
              </w:rPr>
              <w:t>Elba Island Expansion</w:t>
            </w:r>
          </w:p>
        </w:tc>
        <w:tc>
          <w:tcPr>
            <w:tcW w:w="2060" w:type="dxa"/>
            <w:vAlign w:val="bottom"/>
          </w:tcPr>
          <w:p>
            <w:pPr>
              <w:ind w:left="320"/>
              <w:spacing w:after="0"/>
              <w:rPr>
                <w:sz w:val="20"/>
                <w:szCs w:val="20"/>
                <w:color w:val="auto"/>
              </w:rPr>
            </w:pPr>
            <w:r>
              <w:rPr>
                <w:rFonts w:ascii="Arial" w:cs="Arial" w:eastAsia="Arial" w:hAnsi="Arial"/>
                <w:sz w:val="10"/>
                <w:szCs w:val="10"/>
                <w:color w:val="auto"/>
              </w:rPr>
              <w:t>Elba Island, GA, USA</w:t>
            </w:r>
          </w:p>
        </w:tc>
        <w:tc>
          <w:tcPr>
            <w:tcW w:w="2360" w:type="dxa"/>
            <w:vAlign w:val="bottom"/>
          </w:tcPr>
          <w:p>
            <w:pPr>
              <w:ind w:left="640"/>
              <w:spacing w:after="0"/>
              <w:rPr>
                <w:sz w:val="20"/>
                <w:szCs w:val="20"/>
                <w:color w:val="auto"/>
              </w:rPr>
            </w:pPr>
            <w:r>
              <w:rPr>
                <w:rFonts w:ascii="Arial" w:cs="Arial" w:eastAsia="Arial" w:hAnsi="Arial"/>
                <w:sz w:val="10"/>
                <w:szCs w:val="10"/>
                <w:color w:val="auto"/>
              </w:rPr>
              <w:t>4.2</w:t>
            </w:r>
          </w:p>
        </w:tc>
        <w:tc>
          <w:tcPr>
            <w:tcW w:w="1780" w:type="dxa"/>
            <w:vAlign w:val="bottom"/>
          </w:tcPr>
          <w:p>
            <w:pPr>
              <w:ind w:left="660"/>
              <w:spacing w:after="0"/>
              <w:rPr>
                <w:sz w:val="20"/>
                <w:szCs w:val="20"/>
                <w:color w:val="auto"/>
              </w:rPr>
            </w:pPr>
            <w:r>
              <w:rPr>
                <w:rFonts w:ascii="Arial" w:cs="Arial" w:eastAsia="Arial" w:hAnsi="Arial"/>
                <w:sz w:val="10"/>
                <w:szCs w:val="10"/>
                <w:color w:val="auto"/>
              </w:rPr>
              <w:t>2010–2035</w:t>
            </w:r>
          </w:p>
        </w:tc>
        <w:tc>
          <w:tcPr>
            <w:tcW w:w="1320" w:type="dxa"/>
            <w:vAlign w:val="bottom"/>
          </w:tcPr>
          <w:p>
            <w:pPr>
              <w:ind w:left="260"/>
              <w:spacing w:after="0"/>
              <w:rPr>
                <w:sz w:val="20"/>
                <w:szCs w:val="20"/>
                <w:color w:val="auto"/>
              </w:rPr>
            </w:pPr>
            <w:r>
              <w:rPr>
                <w:rFonts w:ascii="Arial" w:cs="Arial" w:eastAsia="Arial" w:hAnsi="Arial"/>
                <w:sz w:val="10"/>
                <w:szCs w:val="10"/>
                <w:color w:val="auto"/>
              </w:rPr>
              <w:t>In operation</w:t>
            </w:r>
          </w:p>
        </w:tc>
        <w:tc>
          <w:tcPr>
            <w:tcW w:w="1720" w:type="dxa"/>
            <w:vAlign w:val="bottom"/>
          </w:tcPr>
          <w:p>
            <w:pPr>
              <w:jc w:val="right"/>
              <w:spacing w:after="0"/>
              <w:rPr>
                <w:sz w:val="20"/>
                <w:szCs w:val="20"/>
                <w:color w:val="auto"/>
              </w:rPr>
            </w:pPr>
            <w:r>
              <w:rPr>
                <w:rFonts w:ascii="Arial" w:cs="Arial" w:eastAsia="Arial" w:hAnsi="Arial"/>
                <w:sz w:val="10"/>
                <w:szCs w:val="10"/>
                <w:color w:val="auto"/>
              </w:rPr>
              <w:t>Leased</w:t>
            </w:r>
          </w:p>
        </w:tc>
      </w:tr>
      <w:tr>
        <w:trPr>
          <w:trHeight w:val="126"/>
        </w:trPr>
        <w:tc>
          <w:tcPr>
            <w:tcW w:w="2060" w:type="dxa"/>
            <w:vAlign w:val="bottom"/>
          </w:tcPr>
          <w:p>
            <w:pPr>
              <w:spacing w:after="0"/>
              <w:rPr>
                <w:sz w:val="20"/>
                <w:szCs w:val="20"/>
                <w:color w:val="auto"/>
              </w:rPr>
            </w:pPr>
            <w:r>
              <w:rPr>
                <w:rFonts w:ascii="Arial" w:cs="Arial" w:eastAsia="Arial" w:hAnsi="Arial"/>
                <w:sz w:val="10"/>
                <w:szCs w:val="10"/>
                <w:color w:val="auto"/>
              </w:rPr>
              <w:t>Elba Island</w:t>
            </w:r>
          </w:p>
        </w:tc>
        <w:tc>
          <w:tcPr>
            <w:tcW w:w="2060" w:type="dxa"/>
            <w:vAlign w:val="bottom"/>
          </w:tcPr>
          <w:p>
            <w:pPr>
              <w:ind w:left="320"/>
              <w:spacing w:after="0"/>
              <w:rPr>
                <w:sz w:val="20"/>
                <w:szCs w:val="20"/>
                <w:color w:val="auto"/>
              </w:rPr>
            </w:pPr>
            <w:r>
              <w:rPr>
                <w:rFonts w:ascii="Arial" w:cs="Arial" w:eastAsia="Arial" w:hAnsi="Arial"/>
                <w:sz w:val="10"/>
                <w:szCs w:val="10"/>
                <w:color w:val="auto"/>
              </w:rPr>
              <w:t>Elba Island, GA, USA</w:t>
            </w:r>
          </w:p>
        </w:tc>
        <w:tc>
          <w:tcPr>
            <w:tcW w:w="2360" w:type="dxa"/>
            <w:vAlign w:val="bottom"/>
          </w:tcPr>
          <w:p>
            <w:pPr>
              <w:ind w:left="640"/>
              <w:spacing w:after="0"/>
              <w:rPr>
                <w:sz w:val="20"/>
                <w:szCs w:val="20"/>
                <w:color w:val="auto"/>
              </w:rPr>
            </w:pPr>
            <w:r>
              <w:rPr>
                <w:rFonts w:ascii="Arial" w:cs="Arial" w:eastAsia="Arial" w:hAnsi="Arial"/>
                <w:sz w:val="10"/>
                <w:szCs w:val="10"/>
                <w:color w:val="auto"/>
              </w:rPr>
              <w:t>2.8</w:t>
            </w:r>
          </w:p>
        </w:tc>
        <w:tc>
          <w:tcPr>
            <w:tcW w:w="1780" w:type="dxa"/>
            <w:vAlign w:val="bottom"/>
          </w:tcPr>
          <w:p>
            <w:pPr>
              <w:ind w:left="660"/>
              <w:spacing w:after="0"/>
              <w:rPr>
                <w:sz w:val="20"/>
                <w:szCs w:val="20"/>
                <w:color w:val="auto"/>
              </w:rPr>
            </w:pPr>
            <w:r>
              <w:rPr>
                <w:rFonts w:ascii="Arial" w:cs="Arial" w:eastAsia="Arial" w:hAnsi="Arial"/>
                <w:sz w:val="10"/>
                <w:szCs w:val="10"/>
                <w:color w:val="auto"/>
              </w:rPr>
              <w:t>2006–2036</w:t>
            </w:r>
          </w:p>
        </w:tc>
        <w:tc>
          <w:tcPr>
            <w:tcW w:w="1320" w:type="dxa"/>
            <w:vAlign w:val="bottom"/>
          </w:tcPr>
          <w:p>
            <w:pPr>
              <w:ind w:left="260"/>
              <w:spacing w:after="0"/>
              <w:rPr>
                <w:sz w:val="20"/>
                <w:szCs w:val="20"/>
                <w:color w:val="auto"/>
              </w:rPr>
            </w:pPr>
            <w:r>
              <w:rPr>
                <w:rFonts w:ascii="Arial" w:cs="Arial" w:eastAsia="Arial" w:hAnsi="Arial"/>
                <w:sz w:val="10"/>
                <w:szCs w:val="10"/>
                <w:color w:val="auto"/>
              </w:rPr>
              <w:t>In operation</w:t>
            </w:r>
          </w:p>
        </w:tc>
        <w:tc>
          <w:tcPr>
            <w:tcW w:w="1720" w:type="dxa"/>
            <w:vAlign w:val="bottom"/>
          </w:tcPr>
          <w:p>
            <w:pPr>
              <w:jc w:val="right"/>
              <w:spacing w:after="0"/>
              <w:rPr>
                <w:sz w:val="20"/>
                <w:szCs w:val="20"/>
                <w:color w:val="auto"/>
              </w:rPr>
            </w:pPr>
            <w:r>
              <w:rPr>
                <w:rFonts w:ascii="Arial" w:cs="Arial" w:eastAsia="Arial" w:hAnsi="Arial"/>
                <w:sz w:val="10"/>
                <w:szCs w:val="10"/>
                <w:color w:val="auto"/>
              </w:rPr>
              <w:t>Leased</w:t>
            </w:r>
          </w:p>
        </w:tc>
      </w:tr>
      <w:tr>
        <w:trPr>
          <w:trHeight w:val="126"/>
        </w:trPr>
        <w:tc>
          <w:tcPr>
            <w:tcW w:w="2060" w:type="dxa"/>
            <w:vAlign w:val="bottom"/>
          </w:tcPr>
          <w:p>
            <w:pPr>
              <w:spacing w:after="0"/>
              <w:rPr>
                <w:sz w:val="20"/>
                <w:szCs w:val="20"/>
                <w:color w:val="auto"/>
              </w:rPr>
            </w:pPr>
            <w:r>
              <w:rPr>
                <w:rFonts w:ascii="Arial" w:cs="Arial" w:eastAsia="Arial" w:hAnsi="Arial"/>
                <w:sz w:val="10"/>
                <w:szCs w:val="10"/>
                <w:color w:val="auto"/>
              </w:rPr>
              <w:t>Elba Island</w:t>
            </w:r>
          </w:p>
        </w:tc>
        <w:tc>
          <w:tcPr>
            <w:tcW w:w="2060" w:type="dxa"/>
            <w:vAlign w:val="bottom"/>
          </w:tcPr>
          <w:p>
            <w:pPr>
              <w:ind w:left="320"/>
              <w:spacing w:after="0"/>
              <w:rPr>
                <w:sz w:val="20"/>
                <w:szCs w:val="20"/>
                <w:color w:val="auto"/>
              </w:rPr>
            </w:pPr>
            <w:r>
              <w:rPr>
                <w:rFonts w:ascii="Arial" w:cs="Arial" w:eastAsia="Arial" w:hAnsi="Arial"/>
                <w:sz w:val="10"/>
                <w:szCs w:val="10"/>
                <w:color w:val="auto"/>
              </w:rPr>
              <w:t>Elba Island, GA, USA</w:t>
            </w:r>
          </w:p>
        </w:tc>
        <w:tc>
          <w:tcPr>
            <w:tcW w:w="2360" w:type="dxa"/>
            <w:vAlign w:val="bottom"/>
          </w:tcPr>
          <w:p>
            <w:pPr>
              <w:ind w:left="640"/>
              <w:spacing w:after="0"/>
              <w:rPr>
                <w:sz w:val="20"/>
                <w:szCs w:val="20"/>
                <w:color w:val="auto"/>
              </w:rPr>
            </w:pPr>
            <w:r>
              <w:rPr>
                <w:rFonts w:ascii="Arial" w:cs="Arial" w:eastAsia="Arial" w:hAnsi="Arial"/>
                <w:sz w:val="10"/>
                <w:szCs w:val="10"/>
                <w:color w:val="auto"/>
              </w:rPr>
              <w:t>4.6</w:t>
            </w:r>
          </w:p>
        </w:tc>
        <w:tc>
          <w:tcPr>
            <w:tcW w:w="1780" w:type="dxa"/>
            <w:vAlign w:val="bottom"/>
          </w:tcPr>
          <w:p>
            <w:pPr>
              <w:ind w:left="660"/>
              <w:spacing w:after="0"/>
              <w:rPr>
                <w:sz w:val="20"/>
                <w:szCs w:val="20"/>
                <w:color w:val="auto"/>
              </w:rPr>
            </w:pPr>
            <w:r>
              <w:rPr>
                <w:rFonts w:ascii="Arial" w:cs="Arial" w:eastAsia="Arial" w:hAnsi="Arial"/>
                <w:sz w:val="10"/>
                <w:szCs w:val="10"/>
                <w:color w:val="auto"/>
              </w:rPr>
              <w:t>2003–2027</w:t>
            </w:r>
          </w:p>
        </w:tc>
        <w:tc>
          <w:tcPr>
            <w:tcW w:w="1320" w:type="dxa"/>
            <w:vAlign w:val="bottom"/>
          </w:tcPr>
          <w:p>
            <w:pPr>
              <w:ind w:left="260"/>
              <w:spacing w:after="0"/>
              <w:rPr>
                <w:sz w:val="20"/>
                <w:szCs w:val="20"/>
                <w:color w:val="auto"/>
              </w:rPr>
            </w:pPr>
            <w:r>
              <w:rPr>
                <w:rFonts w:ascii="Arial" w:cs="Arial" w:eastAsia="Arial" w:hAnsi="Arial"/>
                <w:sz w:val="10"/>
                <w:szCs w:val="10"/>
                <w:color w:val="auto"/>
              </w:rPr>
              <w:t>In operation</w:t>
            </w:r>
          </w:p>
        </w:tc>
        <w:tc>
          <w:tcPr>
            <w:tcW w:w="1720" w:type="dxa"/>
            <w:vAlign w:val="bottom"/>
          </w:tcPr>
          <w:p>
            <w:pPr>
              <w:jc w:val="right"/>
              <w:spacing w:after="0"/>
              <w:rPr>
                <w:sz w:val="20"/>
                <w:szCs w:val="20"/>
                <w:color w:val="auto"/>
              </w:rPr>
            </w:pPr>
            <w:r>
              <w:rPr>
                <w:rFonts w:ascii="Arial" w:cs="Arial" w:eastAsia="Arial" w:hAnsi="Arial"/>
                <w:sz w:val="10"/>
                <w:szCs w:val="10"/>
                <w:color w:val="auto"/>
              </w:rPr>
              <w:t>Leased</w:t>
            </w:r>
          </w:p>
        </w:tc>
      </w:tr>
      <w:tr>
        <w:trPr>
          <w:trHeight w:val="126"/>
        </w:trPr>
        <w:tc>
          <w:tcPr>
            <w:tcW w:w="2060" w:type="dxa"/>
            <w:vAlign w:val="bottom"/>
          </w:tcPr>
          <w:p>
            <w:pPr>
              <w:spacing w:after="0"/>
              <w:rPr>
                <w:sz w:val="20"/>
                <w:szCs w:val="20"/>
                <w:color w:val="auto"/>
              </w:rPr>
            </w:pPr>
            <w:r>
              <w:rPr>
                <w:rFonts w:ascii="Arial" w:cs="Arial" w:eastAsia="Arial" w:hAnsi="Arial"/>
                <w:sz w:val="10"/>
                <w:szCs w:val="10"/>
                <w:color w:val="auto"/>
              </w:rPr>
              <w:t>GATE (Gas Access to Europe)</w:t>
            </w:r>
          </w:p>
        </w:tc>
        <w:tc>
          <w:tcPr>
            <w:tcW w:w="2060" w:type="dxa"/>
            <w:vAlign w:val="bottom"/>
          </w:tcPr>
          <w:p>
            <w:pPr>
              <w:ind w:left="320"/>
              <w:spacing w:after="0"/>
              <w:rPr>
                <w:sz w:val="20"/>
                <w:szCs w:val="20"/>
                <w:color w:val="auto"/>
              </w:rPr>
            </w:pPr>
            <w:r>
              <w:rPr>
                <w:rFonts w:ascii="Arial" w:cs="Arial" w:eastAsia="Arial" w:hAnsi="Arial"/>
                <w:sz w:val="10"/>
                <w:szCs w:val="10"/>
                <w:color w:val="auto"/>
              </w:rPr>
              <w:t>Rotterdam, The Netherlands</w:t>
            </w:r>
          </w:p>
        </w:tc>
        <w:tc>
          <w:tcPr>
            <w:tcW w:w="2360" w:type="dxa"/>
            <w:vAlign w:val="bottom"/>
          </w:tcPr>
          <w:p>
            <w:pPr>
              <w:ind w:left="640"/>
              <w:spacing w:after="0"/>
              <w:rPr>
                <w:sz w:val="20"/>
                <w:szCs w:val="20"/>
                <w:color w:val="auto"/>
              </w:rPr>
            </w:pPr>
            <w:r>
              <w:rPr>
                <w:rFonts w:ascii="Arial" w:cs="Arial" w:eastAsia="Arial" w:hAnsi="Arial"/>
                <w:sz w:val="10"/>
                <w:szCs w:val="10"/>
                <w:color w:val="auto"/>
              </w:rPr>
              <w:t>1.5</w:t>
            </w:r>
          </w:p>
        </w:tc>
        <w:tc>
          <w:tcPr>
            <w:tcW w:w="1780" w:type="dxa"/>
            <w:vAlign w:val="bottom"/>
          </w:tcPr>
          <w:p>
            <w:pPr>
              <w:ind w:left="660"/>
              <w:spacing w:after="0"/>
              <w:rPr>
                <w:sz w:val="20"/>
                <w:szCs w:val="20"/>
                <w:color w:val="auto"/>
              </w:rPr>
            </w:pPr>
            <w:r>
              <w:rPr>
                <w:rFonts w:ascii="Arial" w:cs="Arial" w:eastAsia="Arial" w:hAnsi="Arial"/>
                <w:sz w:val="10"/>
                <w:szCs w:val="10"/>
                <w:color w:val="auto"/>
              </w:rPr>
              <w:t>2015–2031</w:t>
            </w:r>
          </w:p>
        </w:tc>
        <w:tc>
          <w:tcPr>
            <w:tcW w:w="1320" w:type="dxa"/>
            <w:vAlign w:val="bottom"/>
          </w:tcPr>
          <w:p>
            <w:pPr>
              <w:ind w:left="260"/>
              <w:spacing w:after="0"/>
              <w:rPr>
                <w:sz w:val="20"/>
                <w:szCs w:val="20"/>
                <w:color w:val="auto"/>
              </w:rPr>
            </w:pPr>
            <w:r>
              <w:rPr>
                <w:rFonts w:ascii="Arial" w:cs="Arial" w:eastAsia="Arial" w:hAnsi="Arial"/>
                <w:sz w:val="10"/>
                <w:szCs w:val="10"/>
                <w:color w:val="auto"/>
              </w:rPr>
              <w:t>In operation</w:t>
            </w:r>
          </w:p>
        </w:tc>
        <w:tc>
          <w:tcPr>
            <w:tcW w:w="1720" w:type="dxa"/>
            <w:vAlign w:val="bottom"/>
          </w:tcPr>
          <w:p>
            <w:pPr>
              <w:jc w:val="right"/>
              <w:spacing w:after="0"/>
              <w:rPr>
                <w:sz w:val="20"/>
                <w:szCs w:val="20"/>
                <w:color w:val="auto"/>
              </w:rPr>
            </w:pPr>
            <w:r>
              <w:rPr>
                <w:rFonts w:ascii="Arial" w:cs="Arial" w:eastAsia="Arial" w:hAnsi="Arial"/>
                <w:sz w:val="10"/>
                <w:szCs w:val="10"/>
                <w:color w:val="auto"/>
              </w:rPr>
              <w:t>Capacity rights</w:t>
            </w:r>
          </w:p>
        </w:tc>
      </w:tr>
      <w:tr>
        <w:trPr>
          <w:trHeight w:val="126"/>
        </w:trPr>
        <w:tc>
          <w:tcPr>
            <w:tcW w:w="2060" w:type="dxa"/>
            <w:vAlign w:val="bottom"/>
          </w:tcPr>
          <w:p>
            <w:pPr>
              <w:spacing w:after="0"/>
              <w:rPr>
                <w:sz w:val="20"/>
                <w:szCs w:val="20"/>
                <w:color w:val="auto"/>
              </w:rPr>
            </w:pPr>
            <w:r>
              <w:rPr>
                <w:rFonts w:ascii="Arial" w:cs="Arial" w:eastAsia="Arial" w:hAnsi="Arial"/>
                <w:sz w:val="10"/>
                <w:szCs w:val="10"/>
                <w:color w:val="auto"/>
              </w:rPr>
              <w:t>Shell Energy India Pvt Ltd (formerly Hazira)</w:t>
            </w:r>
          </w:p>
        </w:tc>
        <w:tc>
          <w:tcPr>
            <w:tcW w:w="2060" w:type="dxa"/>
            <w:vAlign w:val="bottom"/>
          </w:tcPr>
          <w:p>
            <w:pPr>
              <w:ind w:left="320"/>
              <w:spacing w:after="0"/>
              <w:rPr>
                <w:sz w:val="20"/>
                <w:szCs w:val="20"/>
                <w:color w:val="auto"/>
              </w:rPr>
            </w:pPr>
            <w:r>
              <w:rPr>
                <w:rFonts w:ascii="Arial" w:cs="Arial" w:eastAsia="Arial" w:hAnsi="Arial"/>
                <w:sz w:val="10"/>
                <w:szCs w:val="10"/>
                <w:color w:val="auto"/>
              </w:rPr>
              <w:t>Gujarat, India</w:t>
            </w:r>
          </w:p>
        </w:tc>
        <w:tc>
          <w:tcPr>
            <w:tcW w:w="2360" w:type="dxa"/>
            <w:vAlign w:val="bottom"/>
          </w:tcPr>
          <w:p>
            <w:pPr>
              <w:ind w:left="640"/>
              <w:spacing w:after="0"/>
              <w:rPr>
                <w:sz w:val="20"/>
                <w:szCs w:val="20"/>
                <w:color w:val="auto"/>
              </w:rPr>
            </w:pPr>
            <w:r>
              <w:rPr>
                <w:rFonts w:ascii="Arial" w:cs="Arial" w:eastAsia="Arial" w:hAnsi="Arial"/>
                <w:sz w:val="10"/>
                <w:szCs w:val="10"/>
                <w:color w:val="auto"/>
              </w:rPr>
              <w:t>5</w:t>
            </w:r>
          </w:p>
        </w:tc>
        <w:tc>
          <w:tcPr>
            <w:tcW w:w="1780" w:type="dxa"/>
            <w:vAlign w:val="bottom"/>
          </w:tcPr>
          <w:p>
            <w:pPr>
              <w:ind w:left="660"/>
              <w:spacing w:after="0"/>
              <w:rPr>
                <w:sz w:val="20"/>
                <w:szCs w:val="20"/>
                <w:color w:val="auto"/>
              </w:rPr>
            </w:pPr>
            <w:r>
              <w:rPr>
                <w:rFonts w:ascii="Arial" w:cs="Arial" w:eastAsia="Arial" w:hAnsi="Arial"/>
                <w:sz w:val="10"/>
                <w:szCs w:val="10"/>
                <w:color w:val="auto"/>
              </w:rPr>
              <w:t>2005–2035</w:t>
            </w:r>
          </w:p>
        </w:tc>
        <w:tc>
          <w:tcPr>
            <w:tcW w:w="1320" w:type="dxa"/>
            <w:vAlign w:val="bottom"/>
          </w:tcPr>
          <w:p>
            <w:pPr>
              <w:ind w:left="260"/>
              <w:spacing w:after="0"/>
              <w:rPr>
                <w:sz w:val="20"/>
                <w:szCs w:val="20"/>
                <w:color w:val="auto"/>
              </w:rPr>
            </w:pPr>
            <w:r>
              <w:rPr>
                <w:rFonts w:ascii="Arial" w:cs="Arial" w:eastAsia="Arial" w:hAnsi="Arial"/>
                <w:sz w:val="10"/>
                <w:szCs w:val="10"/>
                <w:color w:val="auto"/>
              </w:rPr>
              <w:t>In operation</w:t>
            </w:r>
          </w:p>
        </w:tc>
        <w:tc>
          <w:tcPr>
            <w:tcW w:w="1720" w:type="dxa"/>
            <w:vAlign w:val="bottom"/>
          </w:tcPr>
          <w:p>
            <w:pPr>
              <w:jc w:val="right"/>
              <w:ind w:right="12"/>
              <w:spacing w:after="0"/>
              <w:rPr>
                <w:sz w:val="20"/>
                <w:szCs w:val="20"/>
                <w:color w:val="auto"/>
              </w:rPr>
            </w:pPr>
            <w:r>
              <w:rPr>
                <w:rFonts w:ascii="Arial" w:cs="Arial" w:eastAsia="Arial" w:hAnsi="Arial"/>
                <w:sz w:val="10"/>
                <w:szCs w:val="10"/>
                <w:color w:val="auto"/>
              </w:rPr>
              <w:t>100</w:t>
            </w:r>
          </w:p>
        </w:tc>
      </w:tr>
      <w:tr>
        <w:trPr>
          <w:trHeight w:val="126"/>
        </w:trPr>
        <w:tc>
          <w:tcPr>
            <w:tcW w:w="2060" w:type="dxa"/>
            <w:vAlign w:val="bottom"/>
          </w:tcPr>
          <w:p>
            <w:pPr>
              <w:spacing w:after="0"/>
              <w:rPr>
                <w:sz w:val="20"/>
                <w:szCs w:val="20"/>
                <w:color w:val="auto"/>
              </w:rPr>
            </w:pPr>
            <w:r>
              <w:rPr>
                <w:rFonts w:ascii="Arial" w:cs="Arial" w:eastAsia="Arial" w:hAnsi="Arial"/>
                <w:sz w:val="10"/>
                <w:szCs w:val="10"/>
                <w:color w:val="auto"/>
              </w:rPr>
              <w:t>Lake Charles</w:t>
            </w:r>
          </w:p>
        </w:tc>
        <w:tc>
          <w:tcPr>
            <w:tcW w:w="2060" w:type="dxa"/>
            <w:vAlign w:val="bottom"/>
          </w:tcPr>
          <w:p>
            <w:pPr>
              <w:ind w:left="320"/>
              <w:spacing w:after="0"/>
              <w:rPr>
                <w:sz w:val="20"/>
                <w:szCs w:val="20"/>
                <w:color w:val="auto"/>
              </w:rPr>
            </w:pPr>
            <w:r>
              <w:rPr>
                <w:rFonts w:ascii="Arial" w:cs="Arial" w:eastAsia="Arial" w:hAnsi="Arial"/>
                <w:sz w:val="10"/>
                <w:szCs w:val="10"/>
                <w:color w:val="auto"/>
              </w:rPr>
              <w:t>Lake Charles, LA, USA</w:t>
            </w:r>
          </w:p>
        </w:tc>
        <w:tc>
          <w:tcPr>
            <w:tcW w:w="2360" w:type="dxa"/>
            <w:vAlign w:val="bottom"/>
          </w:tcPr>
          <w:p>
            <w:pPr>
              <w:ind w:left="640"/>
              <w:spacing w:after="0"/>
              <w:rPr>
                <w:sz w:val="20"/>
                <w:szCs w:val="20"/>
                <w:color w:val="auto"/>
              </w:rPr>
            </w:pPr>
            <w:r>
              <w:rPr>
                <w:rFonts w:ascii="Arial" w:cs="Arial" w:eastAsia="Arial" w:hAnsi="Arial"/>
                <w:sz w:val="10"/>
                <w:szCs w:val="10"/>
                <w:color w:val="auto"/>
              </w:rPr>
              <w:t>4.4</w:t>
            </w:r>
          </w:p>
        </w:tc>
        <w:tc>
          <w:tcPr>
            <w:tcW w:w="1780" w:type="dxa"/>
            <w:vAlign w:val="bottom"/>
          </w:tcPr>
          <w:p>
            <w:pPr>
              <w:ind w:left="660"/>
              <w:spacing w:after="0"/>
              <w:rPr>
                <w:sz w:val="20"/>
                <w:szCs w:val="20"/>
                <w:color w:val="auto"/>
              </w:rPr>
            </w:pPr>
            <w:r>
              <w:rPr>
                <w:rFonts w:ascii="Arial" w:cs="Arial" w:eastAsia="Arial" w:hAnsi="Arial"/>
                <w:sz w:val="10"/>
                <w:szCs w:val="10"/>
                <w:color w:val="auto"/>
              </w:rPr>
              <w:t>2002–2030</w:t>
            </w:r>
          </w:p>
        </w:tc>
        <w:tc>
          <w:tcPr>
            <w:tcW w:w="1320" w:type="dxa"/>
            <w:vAlign w:val="bottom"/>
          </w:tcPr>
          <w:p>
            <w:pPr>
              <w:ind w:left="260"/>
              <w:spacing w:after="0"/>
              <w:rPr>
                <w:sz w:val="20"/>
                <w:szCs w:val="20"/>
                <w:color w:val="auto"/>
              </w:rPr>
            </w:pPr>
            <w:r>
              <w:rPr>
                <w:rFonts w:ascii="Arial" w:cs="Arial" w:eastAsia="Arial" w:hAnsi="Arial"/>
                <w:sz w:val="10"/>
                <w:szCs w:val="10"/>
                <w:color w:val="auto"/>
              </w:rPr>
              <w:t>In operation</w:t>
            </w:r>
          </w:p>
        </w:tc>
        <w:tc>
          <w:tcPr>
            <w:tcW w:w="1720" w:type="dxa"/>
            <w:vAlign w:val="bottom"/>
          </w:tcPr>
          <w:p>
            <w:pPr>
              <w:jc w:val="right"/>
              <w:spacing w:after="0"/>
              <w:rPr>
                <w:sz w:val="20"/>
                <w:szCs w:val="20"/>
                <w:color w:val="auto"/>
              </w:rPr>
            </w:pPr>
            <w:r>
              <w:rPr>
                <w:rFonts w:ascii="Arial" w:cs="Arial" w:eastAsia="Arial" w:hAnsi="Arial"/>
                <w:sz w:val="10"/>
                <w:szCs w:val="10"/>
                <w:color w:val="auto"/>
              </w:rPr>
              <w:t>Leased</w:t>
            </w:r>
          </w:p>
        </w:tc>
      </w:tr>
      <w:tr>
        <w:trPr>
          <w:trHeight w:val="126"/>
        </w:trPr>
        <w:tc>
          <w:tcPr>
            <w:tcW w:w="2060" w:type="dxa"/>
            <w:vAlign w:val="bottom"/>
          </w:tcPr>
          <w:p>
            <w:pPr>
              <w:spacing w:after="0"/>
              <w:rPr>
                <w:sz w:val="20"/>
                <w:szCs w:val="20"/>
                <w:color w:val="auto"/>
              </w:rPr>
            </w:pPr>
            <w:r>
              <w:rPr>
                <w:rFonts w:ascii="Arial" w:cs="Arial" w:eastAsia="Arial" w:hAnsi="Arial"/>
                <w:sz w:val="10"/>
                <w:szCs w:val="10"/>
                <w:color w:val="auto"/>
              </w:rPr>
              <w:t>Lake Charles Expansion</w:t>
            </w:r>
          </w:p>
        </w:tc>
        <w:tc>
          <w:tcPr>
            <w:tcW w:w="2060" w:type="dxa"/>
            <w:vAlign w:val="bottom"/>
          </w:tcPr>
          <w:p>
            <w:pPr>
              <w:ind w:left="320"/>
              <w:spacing w:after="0"/>
              <w:rPr>
                <w:sz w:val="20"/>
                <w:szCs w:val="20"/>
                <w:color w:val="auto"/>
              </w:rPr>
            </w:pPr>
            <w:r>
              <w:rPr>
                <w:rFonts w:ascii="Arial" w:cs="Arial" w:eastAsia="Arial" w:hAnsi="Arial"/>
                <w:sz w:val="10"/>
                <w:szCs w:val="10"/>
                <w:color w:val="auto"/>
              </w:rPr>
              <w:t>Lake Charles, LA, USA</w:t>
            </w:r>
          </w:p>
        </w:tc>
        <w:tc>
          <w:tcPr>
            <w:tcW w:w="2360" w:type="dxa"/>
            <w:vAlign w:val="bottom"/>
          </w:tcPr>
          <w:p>
            <w:pPr>
              <w:ind w:left="640"/>
              <w:spacing w:after="0"/>
              <w:rPr>
                <w:sz w:val="20"/>
                <w:szCs w:val="20"/>
                <w:color w:val="auto"/>
              </w:rPr>
            </w:pPr>
            <w:r>
              <w:rPr>
                <w:rFonts w:ascii="Arial" w:cs="Arial" w:eastAsia="Arial" w:hAnsi="Arial"/>
                <w:sz w:val="10"/>
                <w:szCs w:val="10"/>
                <w:color w:val="auto"/>
              </w:rPr>
              <w:t>8.7</w:t>
            </w:r>
          </w:p>
        </w:tc>
        <w:tc>
          <w:tcPr>
            <w:tcW w:w="1780" w:type="dxa"/>
            <w:vAlign w:val="bottom"/>
          </w:tcPr>
          <w:p>
            <w:pPr>
              <w:ind w:left="660"/>
              <w:spacing w:after="0"/>
              <w:rPr>
                <w:sz w:val="20"/>
                <w:szCs w:val="20"/>
                <w:color w:val="auto"/>
              </w:rPr>
            </w:pPr>
            <w:r>
              <w:rPr>
                <w:rFonts w:ascii="Arial" w:cs="Arial" w:eastAsia="Arial" w:hAnsi="Arial"/>
                <w:sz w:val="10"/>
                <w:szCs w:val="10"/>
                <w:color w:val="auto"/>
              </w:rPr>
              <w:t>2005–2030</w:t>
            </w:r>
          </w:p>
        </w:tc>
        <w:tc>
          <w:tcPr>
            <w:tcW w:w="1320" w:type="dxa"/>
            <w:vAlign w:val="bottom"/>
          </w:tcPr>
          <w:p>
            <w:pPr>
              <w:ind w:left="260"/>
              <w:spacing w:after="0"/>
              <w:rPr>
                <w:sz w:val="20"/>
                <w:szCs w:val="20"/>
                <w:color w:val="auto"/>
              </w:rPr>
            </w:pPr>
            <w:r>
              <w:rPr>
                <w:rFonts w:ascii="Arial" w:cs="Arial" w:eastAsia="Arial" w:hAnsi="Arial"/>
                <w:sz w:val="10"/>
                <w:szCs w:val="10"/>
                <w:color w:val="auto"/>
              </w:rPr>
              <w:t>In operation</w:t>
            </w:r>
          </w:p>
        </w:tc>
        <w:tc>
          <w:tcPr>
            <w:tcW w:w="1720" w:type="dxa"/>
            <w:vAlign w:val="bottom"/>
          </w:tcPr>
          <w:p>
            <w:pPr>
              <w:jc w:val="right"/>
              <w:spacing w:after="0"/>
              <w:rPr>
                <w:sz w:val="20"/>
                <w:szCs w:val="20"/>
                <w:color w:val="auto"/>
              </w:rPr>
            </w:pPr>
            <w:r>
              <w:rPr>
                <w:rFonts w:ascii="Arial" w:cs="Arial" w:eastAsia="Arial" w:hAnsi="Arial"/>
                <w:sz w:val="10"/>
                <w:szCs w:val="10"/>
                <w:color w:val="auto"/>
              </w:rPr>
              <w:t>Leased</w:t>
            </w:r>
          </w:p>
        </w:tc>
      </w:tr>
      <w:tr>
        <w:trPr>
          <w:trHeight w:val="126"/>
        </w:trPr>
        <w:tc>
          <w:tcPr>
            <w:tcW w:w="2060" w:type="dxa"/>
            <w:vAlign w:val="bottom"/>
          </w:tcPr>
          <w:p>
            <w:pPr>
              <w:spacing w:after="0"/>
              <w:rPr>
                <w:sz w:val="20"/>
                <w:szCs w:val="20"/>
                <w:color w:val="auto"/>
              </w:rPr>
            </w:pPr>
            <w:r>
              <w:rPr>
                <w:rFonts w:ascii="Arial" w:cs="Arial" w:eastAsia="Arial" w:hAnsi="Arial"/>
                <w:sz w:val="10"/>
                <w:szCs w:val="10"/>
                <w:color w:val="auto"/>
              </w:rPr>
              <w:t>Singapore SGM</w:t>
            </w:r>
          </w:p>
        </w:tc>
        <w:tc>
          <w:tcPr>
            <w:tcW w:w="2060" w:type="dxa"/>
            <w:vAlign w:val="bottom"/>
          </w:tcPr>
          <w:p>
            <w:pPr>
              <w:ind w:left="320"/>
              <w:spacing w:after="0"/>
              <w:rPr>
                <w:sz w:val="20"/>
                <w:szCs w:val="20"/>
                <w:color w:val="auto"/>
              </w:rPr>
            </w:pPr>
            <w:r>
              <w:rPr>
                <w:rFonts w:ascii="Arial" w:cs="Arial" w:eastAsia="Arial" w:hAnsi="Arial"/>
                <w:sz w:val="10"/>
                <w:szCs w:val="10"/>
                <w:color w:val="auto"/>
              </w:rPr>
              <w:t>SLNG, Singapore</w:t>
            </w:r>
          </w:p>
        </w:tc>
        <w:tc>
          <w:tcPr>
            <w:tcW w:w="2360" w:type="dxa"/>
            <w:vAlign w:val="bottom"/>
          </w:tcPr>
          <w:p>
            <w:pPr>
              <w:ind w:left="640"/>
              <w:spacing w:after="0"/>
              <w:rPr>
                <w:sz w:val="20"/>
                <w:szCs w:val="20"/>
                <w:color w:val="auto"/>
              </w:rPr>
            </w:pPr>
            <w:r>
              <w:rPr>
                <w:rFonts w:ascii="Arial" w:cs="Arial" w:eastAsia="Arial" w:hAnsi="Arial"/>
                <w:sz w:val="10"/>
                <w:szCs w:val="10"/>
                <w:color w:val="auto"/>
              </w:rPr>
              <w:t>up to 3.0 [B]</w:t>
            </w:r>
          </w:p>
        </w:tc>
        <w:tc>
          <w:tcPr>
            <w:tcW w:w="1780" w:type="dxa"/>
            <w:vAlign w:val="bottom"/>
          </w:tcPr>
          <w:p>
            <w:pPr>
              <w:ind w:left="660"/>
              <w:spacing w:after="0"/>
              <w:rPr>
                <w:sz w:val="20"/>
                <w:szCs w:val="20"/>
                <w:color w:val="auto"/>
              </w:rPr>
            </w:pPr>
            <w:r>
              <w:rPr>
                <w:rFonts w:ascii="Arial" w:cs="Arial" w:eastAsia="Arial" w:hAnsi="Arial"/>
                <w:sz w:val="10"/>
                <w:szCs w:val="10"/>
                <w:color w:val="auto"/>
              </w:rPr>
              <w:t>2013–2029</w:t>
            </w:r>
          </w:p>
        </w:tc>
        <w:tc>
          <w:tcPr>
            <w:tcW w:w="1320" w:type="dxa"/>
            <w:vAlign w:val="bottom"/>
          </w:tcPr>
          <w:p>
            <w:pPr>
              <w:ind w:left="260"/>
              <w:spacing w:after="0"/>
              <w:rPr>
                <w:sz w:val="20"/>
                <w:szCs w:val="20"/>
                <w:color w:val="auto"/>
              </w:rPr>
            </w:pPr>
            <w:r>
              <w:rPr>
                <w:rFonts w:ascii="Arial" w:cs="Arial" w:eastAsia="Arial" w:hAnsi="Arial"/>
                <w:sz w:val="10"/>
                <w:szCs w:val="10"/>
                <w:color w:val="auto"/>
              </w:rPr>
              <w:t>In operation</w:t>
            </w:r>
          </w:p>
        </w:tc>
        <w:tc>
          <w:tcPr>
            <w:tcW w:w="1720" w:type="dxa"/>
            <w:vAlign w:val="bottom"/>
          </w:tcPr>
          <w:p>
            <w:pPr>
              <w:jc w:val="right"/>
              <w:spacing w:after="0"/>
              <w:rPr>
                <w:sz w:val="20"/>
                <w:szCs w:val="20"/>
                <w:color w:val="auto"/>
              </w:rPr>
            </w:pPr>
            <w:r>
              <w:rPr>
                <w:rFonts w:ascii="Arial" w:cs="Arial" w:eastAsia="Arial" w:hAnsi="Arial"/>
                <w:sz w:val="10"/>
                <w:szCs w:val="10"/>
                <w:color w:val="auto"/>
              </w:rPr>
              <w:t>Import rights</w:t>
            </w:r>
          </w:p>
        </w:tc>
      </w:tr>
      <w:tr>
        <w:trPr>
          <w:trHeight w:val="126"/>
        </w:trPr>
        <w:tc>
          <w:tcPr>
            <w:tcW w:w="2060" w:type="dxa"/>
            <w:vAlign w:val="bottom"/>
          </w:tcPr>
          <w:p>
            <w:pPr>
              <w:spacing w:after="0"/>
              <w:rPr>
                <w:sz w:val="20"/>
                <w:szCs w:val="20"/>
                <w:color w:val="auto"/>
              </w:rPr>
            </w:pPr>
            <w:r>
              <w:rPr>
                <w:rFonts w:ascii="Arial" w:cs="Arial" w:eastAsia="Arial" w:hAnsi="Arial"/>
                <w:sz w:val="10"/>
                <w:szCs w:val="10"/>
                <w:color w:val="auto"/>
              </w:rPr>
              <w:t>Singapore SETL</w:t>
            </w:r>
          </w:p>
        </w:tc>
        <w:tc>
          <w:tcPr>
            <w:tcW w:w="2060" w:type="dxa"/>
            <w:vAlign w:val="bottom"/>
          </w:tcPr>
          <w:p>
            <w:pPr>
              <w:ind w:left="320"/>
              <w:spacing w:after="0"/>
              <w:rPr>
                <w:sz w:val="20"/>
                <w:szCs w:val="20"/>
                <w:color w:val="auto"/>
              </w:rPr>
            </w:pPr>
            <w:r>
              <w:rPr>
                <w:rFonts w:ascii="Arial" w:cs="Arial" w:eastAsia="Arial" w:hAnsi="Arial"/>
                <w:sz w:val="10"/>
                <w:szCs w:val="10"/>
                <w:color w:val="auto"/>
              </w:rPr>
              <w:t>SLNG, Singapore</w:t>
            </w:r>
          </w:p>
        </w:tc>
        <w:tc>
          <w:tcPr>
            <w:tcW w:w="2360" w:type="dxa"/>
            <w:vAlign w:val="bottom"/>
          </w:tcPr>
          <w:p>
            <w:pPr>
              <w:ind w:left="640"/>
              <w:spacing w:after="0"/>
              <w:rPr>
                <w:sz w:val="20"/>
                <w:szCs w:val="20"/>
                <w:color w:val="auto"/>
              </w:rPr>
            </w:pPr>
            <w:r>
              <w:rPr>
                <w:rFonts w:ascii="Arial" w:cs="Arial" w:eastAsia="Arial" w:hAnsi="Arial"/>
                <w:sz w:val="10"/>
                <w:szCs w:val="10"/>
                <w:color w:val="auto"/>
              </w:rPr>
              <w:t>up to 1.0 [C]</w:t>
            </w:r>
          </w:p>
        </w:tc>
        <w:tc>
          <w:tcPr>
            <w:tcW w:w="1780" w:type="dxa"/>
            <w:vAlign w:val="bottom"/>
          </w:tcPr>
          <w:p>
            <w:pPr>
              <w:ind w:left="660"/>
              <w:spacing w:after="0"/>
              <w:rPr>
                <w:sz w:val="20"/>
                <w:szCs w:val="20"/>
                <w:color w:val="auto"/>
              </w:rPr>
            </w:pPr>
            <w:r>
              <w:rPr>
                <w:rFonts w:ascii="Arial" w:cs="Arial" w:eastAsia="Arial" w:hAnsi="Arial"/>
                <w:sz w:val="10"/>
                <w:szCs w:val="10"/>
                <w:color w:val="auto"/>
              </w:rPr>
              <w:t>2018–2035</w:t>
            </w:r>
          </w:p>
        </w:tc>
        <w:tc>
          <w:tcPr>
            <w:tcW w:w="1320" w:type="dxa"/>
            <w:vAlign w:val="bottom"/>
          </w:tcPr>
          <w:p>
            <w:pPr>
              <w:ind w:left="260"/>
              <w:spacing w:after="0"/>
              <w:rPr>
                <w:sz w:val="20"/>
                <w:szCs w:val="20"/>
                <w:color w:val="auto"/>
              </w:rPr>
            </w:pPr>
            <w:r>
              <w:rPr>
                <w:rFonts w:ascii="Arial" w:cs="Arial" w:eastAsia="Arial" w:hAnsi="Arial"/>
                <w:sz w:val="10"/>
                <w:szCs w:val="10"/>
                <w:color w:val="auto"/>
              </w:rPr>
              <w:t>In operation</w:t>
            </w:r>
          </w:p>
        </w:tc>
        <w:tc>
          <w:tcPr>
            <w:tcW w:w="1720" w:type="dxa"/>
            <w:vAlign w:val="bottom"/>
          </w:tcPr>
          <w:p>
            <w:pPr>
              <w:jc w:val="right"/>
              <w:spacing w:after="0"/>
              <w:rPr>
                <w:sz w:val="20"/>
                <w:szCs w:val="20"/>
                <w:color w:val="auto"/>
              </w:rPr>
            </w:pPr>
            <w:r>
              <w:rPr>
                <w:rFonts w:ascii="Arial" w:cs="Arial" w:eastAsia="Arial" w:hAnsi="Arial"/>
                <w:sz w:val="10"/>
                <w:szCs w:val="10"/>
                <w:color w:val="auto"/>
              </w:rPr>
              <w:t>Import rights</w:t>
            </w:r>
          </w:p>
        </w:tc>
      </w:tr>
      <w:tr>
        <w:trPr>
          <w:trHeight w:val="130"/>
        </w:trPr>
        <w:tc>
          <w:tcPr>
            <w:tcW w:w="2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Shell LNG Gibraltar</w:t>
            </w:r>
          </w:p>
        </w:tc>
        <w:tc>
          <w:tcPr>
            <w:tcW w:w="2060" w:type="dxa"/>
            <w:vAlign w:val="bottom"/>
            <w:tcBorders>
              <w:bottom w:val="single" w:sz="8" w:color="auto"/>
            </w:tcBorders>
          </w:tcPr>
          <w:p>
            <w:pPr>
              <w:ind w:left="320"/>
              <w:spacing w:after="0"/>
              <w:rPr>
                <w:sz w:val="20"/>
                <w:szCs w:val="20"/>
                <w:color w:val="auto"/>
              </w:rPr>
            </w:pPr>
            <w:r>
              <w:rPr>
                <w:rFonts w:ascii="Arial" w:cs="Arial" w:eastAsia="Arial" w:hAnsi="Arial"/>
                <w:sz w:val="10"/>
                <w:szCs w:val="10"/>
                <w:color w:val="auto"/>
              </w:rPr>
              <w:t>Gibraltar</w:t>
            </w:r>
          </w:p>
        </w:tc>
        <w:tc>
          <w:tcPr>
            <w:tcW w:w="2360" w:type="dxa"/>
            <w:vAlign w:val="bottom"/>
            <w:tcBorders>
              <w:bottom w:val="single" w:sz="8" w:color="auto"/>
            </w:tcBorders>
          </w:tcPr>
          <w:p>
            <w:pPr>
              <w:ind w:left="640"/>
              <w:spacing w:after="0"/>
              <w:rPr>
                <w:sz w:val="20"/>
                <w:szCs w:val="20"/>
                <w:color w:val="auto"/>
              </w:rPr>
            </w:pPr>
            <w:r>
              <w:rPr>
                <w:rFonts w:ascii="Arial" w:cs="Arial" w:eastAsia="Arial" w:hAnsi="Arial"/>
                <w:sz w:val="10"/>
                <w:szCs w:val="10"/>
                <w:color w:val="auto"/>
              </w:rPr>
              <w:t>up to 0.04</w:t>
            </w:r>
          </w:p>
        </w:tc>
        <w:tc>
          <w:tcPr>
            <w:tcW w:w="1780" w:type="dxa"/>
            <w:vAlign w:val="bottom"/>
            <w:tcBorders>
              <w:bottom w:val="single" w:sz="8" w:color="auto"/>
            </w:tcBorders>
          </w:tcPr>
          <w:p>
            <w:pPr>
              <w:ind w:left="660"/>
              <w:spacing w:after="0"/>
              <w:rPr>
                <w:sz w:val="20"/>
                <w:szCs w:val="20"/>
                <w:color w:val="auto"/>
              </w:rPr>
            </w:pPr>
            <w:r>
              <w:rPr>
                <w:rFonts w:ascii="Arial" w:cs="Arial" w:eastAsia="Arial" w:hAnsi="Arial"/>
                <w:sz w:val="10"/>
                <w:szCs w:val="10"/>
                <w:color w:val="auto"/>
              </w:rPr>
              <w:t>2018–2038</w:t>
            </w: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0"/>
                <w:szCs w:val="10"/>
                <w:color w:val="auto"/>
              </w:rPr>
              <w:t>In operation</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w:t>
            </w:r>
          </w:p>
        </w:tc>
      </w:tr>
    </w:tbl>
    <w:p>
      <w:pPr>
        <w:spacing w:after="0" w:line="65" w:lineRule="exact"/>
        <w:rPr>
          <w:sz w:val="20"/>
          <w:szCs w:val="20"/>
          <w:color w:val="auto"/>
        </w:rPr>
      </w:pPr>
    </w:p>
    <w:p>
      <w:pPr>
        <w:ind w:left="128" w:hanging="128"/>
        <w:spacing w:after="0"/>
        <w:tabs>
          <w:tab w:leader="none" w:pos="128" w:val="left"/>
        </w:tabs>
        <w:numPr>
          <w:ilvl w:val="0"/>
          <w:numId w:val="12"/>
        </w:numPr>
        <w:rPr>
          <w:rFonts w:ascii="Arial" w:cs="Arial" w:eastAsia="Arial" w:hAnsi="Arial"/>
          <w:sz w:val="7"/>
          <w:szCs w:val="7"/>
          <w:color w:val="auto"/>
        </w:rPr>
      </w:pPr>
      <w:r>
        <w:rPr>
          <w:rFonts w:ascii="Arial" w:cs="Arial" w:eastAsia="Arial" w:hAnsi="Arial"/>
          <w:sz w:val="7"/>
          <w:szCs w:val="7"/>
          <w:color w:val="auto"/>
        </w:rPr>
        <w:t>100% capacity rights are held by Gas del Litoral joint venture with which Shell has a contract to supply 75% of the volumes. Our capacity rights end in September 2021 and the contract will not be renewed.</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2"/>
        </w:numPr>
        <w:rPr>
          <w:rFonts w:ascii="Arial" w:cs="Arial" w:eastAsia="Arial" w:hAnsi="Arial"/>
          <w:sz w:val="7"/>
          <w:szCs w:val="7"/>
          <w:color w:val="auto"/>
        </w:rPr>
      </w:pPr>
      <w:r>
        <w:rPr>
          <w:rFonts w:ascii="Arial" w:cs="Arial" w:eastAsia="Arial" w:hAnsi="Arial"/>
          <w:sz w:val="7"/>
          <w:szCs w:val="7"/>
          <w:color w:val="auto"/>
        </w:rPr>
        <w:t>Exclusive licence to import LNG and sell regasified LNG in Singapore for up to 3.0 mtpa.</w:t>
      </w:r>
    </w:p>
    <w:p>
      <w:pPr>
        <w:ind w:left="108" w:hanging="108"/>
        <w:spacing w:after="0"/>
        <w:tabs>
          <w:tab w:leader="none" w:pos="108" w:val="left"/>
        </w:tabs>
        <w:numPr>
          <w:ilvl w:val="0"/>
          <w:numId w:val="12"/>
        </w:numPr>
        <w:rPr>
          <w:rFonts w:ascii="Arial" w:cs="Arial" w:eastAsia="Arial" w:hAnsi="Arial"/>
          <w:sz w:val="7"/>
          <w:szCs w:val="7"/>
          <w:color w:val="auto"/>
        </w:rPr>
      </w:pPr>
      <w:r>
        <w:rPr>
          <w:rFonts w:ascii="Arial" w:cs="Arial" w:eastAsia="Arial" w:hAnsi="Arial"/>
          <w:sz w:val="7"/>
          <w:szCs w:val="7"/>
          <w:color w:val="auto"/>
        </w:rPr>
        <w:t>Second licence to import LNG and sell regasified LNG in Singapore.</w:t>
      </w:r>
    </w:p>
    <w:p>
      <w:pPr>
        <w:sectPr>
          <w:pgSz w:w="11900" w:h="16838" w:orient="portrait"/>
          <w:cols w:equalWidth="0" w:num="1">
            <w:col w:w="11308"/>
          </w:cols>
          <w:pgMar w:left="292" w:top="640" w:right="299" w:bottom="1440" w:gutter="0" w:footer="0" w:header="0"/>
        </w:sectPr>
      </w:pPr>
    </w:p>
    <w:p>
      <w:pPr>
        <w:spacing w:after="0" w:line="142" w:lineRule="exact"/>
        <w:rPr>
          <w:sz w:val="20"/>
          <w:szCs w:val="20"/>
          <w:color w:val="auto"/>
        </w:rPr>
      </w:pPr>
    </w:p>
    <w:p>
      <w:pPr>
        <w:ind w:left="8"/>
        <w:spacing w:after="0"/>
        <w:rPr>
          <w:sz w:val="20"/>
          <w:szCs w:val="20"/>
          <w:color w:val="auto"/>
        </w:rPr>
      </w:pPr>
      <w:r>
        <w:rPr>
          <w:rFonts w:ascii="Arial" w:cs="Arial" w:eastAsia="Arial" w:hAnsi="Arial"/>
          <w:sz w:val="8"/>
          <w:szCs w:val="8"/>
          <w:color w:val="auto"/>
        </w:rPr>
        <w:t>Our Integrates Gas business also includes oil and natural gas production, exploration and development in the following locations: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0"/>
          <w:szCs w:val="10"/>
          <w:color w:val="auto"/>
        </w:rPr>
        <w:t>Australia</w:t>
      </w:r>
    </w:p>
    <w:p>
      <w:pPr>
        <w:ind w:left="8"/>
        <w:spacing w:after="0" w:line="262" w:lineRule="auto"/>
        <w:rPr>
          <w:sz w:val="20"/>
          <w:szCs w:val="20"/>
          <w:color w:val="auto"/>
        </w:rPr>
      </w:pPr>
      <w:r>
        <w:rPr>
          <w:rFonts w:ascii="Arial" w:cs="Arial" w:eastAsia="Arial" w:hAnsi="Arial"/>
          <w:sz w:val="8"/>
          <w:szCs w:val="8"/>
          <w:color w:val="auto"/>
        </w:rPr>
        <w:t>We have interests in offshore production, LNG liquefaction and exploration licences in the North West Shelf (NWS) and Greater Gorgon areas of the Carnarvon Basin and in the Browse Basin. Woodside is the operator on behalf of the NWS joint venture (Shell interest 16.7%). We have a 25% interest in the Chevron-operated Gorgon LNG joint venture that includes offshore production.</w:t>
      </w:r>
    </w:p>
    <w:p>
      <w:pPr>
        <w:spacing w:after="0" w:line="123" w:lineRule="exact"/>
        <w:rPr>
          <w:sz w:val="20"/>
          <w:szCs w:val="20"/>
          <w:color w:val="auto"/>
        </w:rPr>
      </w:pPr>
    </w:p>
    <w:p>
      <w:pPr>
        <w:ind w:left="8" w:right="60"/>
        <w:spacing w:after="0" w:line="220" w:lineRule="auto"/>
        <w:rPr>
          <w:sz w:val="20"/>
          <w:szCs w:val="20"/>
          <w:color w:val="auto"/>
        </w:rPr>
      </w:pPr>
      <w:r>
        <w:rPr>
          <w:rFonts w:ascii="Arial" w:cs="Arial" w:eastAsia="Arial" w:hAnsi="Arial"/>
          <w:sz w:val="10"/>
          <w:szCs w:val="10"/>
          <w:color w:val="auto"/>
        </w:rPr>
        <w:t>We relinquished positions in asset and exploration areas in the Exmouth Plateau, leading to us relinquishing four exploration permits in the Exmouth Plateau in June 2020.</w:t>
      </w:r>
    </w:p>
    <w:p>
      <w:pPr>
        <w:spacing w:after="0" w:line="140" w:lineRule="exact"/>
        <w:rPr>
          <w:sz w:val="20"/>
          <w:szCs w:val="20"/>
          <w:color w:val="auto"/>
        </w:rPr>
      </w:pPr>
    </w:p>
    <w:p>
      <w:pPr>
        <w:ind w:left="8" w:right="60"/>
        <w:spacing w:after="0" w:line="296" w:lineRule="auto"/>
        <w:rPr>
          <w:sz w:val="20"/>
          <w:szCs w:val="20"/>
          <w:color w:val="auto"/>
        </w:rPr>
      </w:pPr>
      <w:r>
        <w:rPr>
          <w:rFonts w:ascii="Arial" w:cs="Arial" w:eastAsia="Arial" w:hAnsi="Arial"/>
          <w:sz w:val="8"/>
          <w:szCs w:val="8"/>
          <w:color w:val="auto"/>
        </w:rPr>
        <w:t>Our interests in the Browse basin include joint arrangements, with Shell as the operator, for the Prelude field (Shell interest 67.5%), the pre-FID Crux gas and condensate field (Shell interest 82%), and other backfill and contingent resources for Prelude FLNG, including the Bratwurst field (Shell interest 100%). Bratwurst, discovered in 2019, is currently under evaluation as a future backfill opportunity.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300"/>
        <w:spacing w:after="0" w:line="220" w:lineRule="auto"/>
        <w:rPr>
          <w:sz w:val="20"/>
          <w:szCs w:val="20"/>
          <w:color w:val="auto"/>
        </w:rPr>
      </w:pPr>
      <w:r>
        <w:rPr>
          <w:rFonts w:ascii="Arial" w:cs="Arial" w:eastAsia="Arial" w:hAnsi="Arial"/>
          <w:sz w:val="10"/>
          <w:szCs w:val="10"/>
          <w:color w:val="auto"/>
        </w:rPr>
        <w:t>We are also a partner in the Browse joint arrangement (Shell interest 27%) covering the Brecknock, Calliance and Torosa gas fields, which are under development and operated by Woodside.</w:t>
      </w:r>
    </w:p>
    <w:p>
      <w:pPr>
        <w:spacing w:after="0" w:line="140" w:lineRule="exact"/>
        <w:rPr>
          <w:sz w:val="20"/>
          <w:szCs w:val="20"/>
          <w:color w:val="auto"/>
        </w:rPr>
      </w:pPr>
    </w:p>
    <w:p>
      <w:pPr>
        <w:ind w:right="260"/>
        <w:spacing w:after="0" w:line="218" w:lineRule="auto"/>
        <w:rPr>
          <w:sz w:val="20"/>
          <w:szCs w:val="20"/>
          <w:color w:val="auto"/>
        </w:rPr>
      </w:pPr>
      <w:r>
        <w:rPr>
          <w:rFonts w:ascii="Arial" w:cs="Arial" w:eastAsia="Arial" w:hAnsi="Arial"/>
          <w:sz w:val="10"/>
          <w:szCs w:val="10"/>
          <w:color w:val="auto"/>
        </w:rPr>
        <w:t>We also operate the Queensland Curtis LNG (QCLNG) venture’s natural gas operations, including wells, compression stations and processing plants, in Queensland’s Surat Basin. We have interests ranging from 44% to 74% in 25 field compression stations and six central processing plants. Our production of natural gas from the onshore Surat Basin supplies the QCLNG liquefaction plant and the domestic gas market.</w:t>
      </w:r>
    </w:p>
    <w:p>
      <w:pPr>
        <w:spacing w:after="0" w:line="131" w:lineRule="exact"/>
        <w:rPr>
          <w:sz w:val="20"/>
          <w:szCs w:val="20"/>
          <w:color w:val="auto"/>
        </w:rPr>
      </w:pPr>
    </w:p>
    <w:p>
      <w:pPr>
        <w:ind w:right="200"/>
        <w:spacing w:after="0" w:line="220" w:lineRule="auto"/>
        <w:rPr>
          <w:sz w:val="20"/>
          <w:szCs w:val="20"/>
          <w:color w:val="auto"/>
        </w:rPr>
      </w:pPr>
      <w:r>
        <w:rPr>
          <w:rFonts w:ascii="Arial" w:cs="Arial" w:eastAsia="Arial" w:hAnsi="Arial"/>
          <w:sz w:val="10"/>
          <w:szCs w:val="10"/>
          <w:color w:val="auto"/>
        </w:rPr>
        <w:t>We have a 50% interest in Arrow, a Queensland-based joint venture with China National Petroleum Corporation (CNPC). Arrow owns coal-bed methane assets and a domestic power business.</w:t>
      </w:r>
    </w:p>
    <w:p>
      <w:pPr>
        <w:spacing w:after="0" w:line="114" w:lineRule="exact"/>
        <w:rPr>
          <w:sz w:val="20"/>
          <w:szCs w:val="20"/>
          <w:color w:val="auto"/>
        </w:rPr>
      </w:pPr>
    </w:p>
    <w:p>
      <w:pPr>
        <w:spacing w:after="0"/>
        <w:rPr>
          <w:sz w:val="20"/>
          <w:szCs w:val="20"/>
          <w:color w:val="auto"/>
        </w:rPr>
      </w:pPr>
      <w:r>
        <w:rPr>
          <w:rFonts w:ascii="Arial" w:cs="Arial" w:eastAsia="Arial" w:hAnsi="Arial"/>
          <w:sz w:val="10"/>
          <w:szCs w:val="10"/>
          <w:color w:val="auto"/>
        </w:rPr>
        <w:t>Bolivia</w:t>
      </w:r>
    </w:p>
    <w:p>
      <w:pPr>
        <w:ind w:right="140"/>
        <w:spacing w:after="0" w:line="200" w:lineRule="auto"/>
        <w:rPr>
          <w:sz w:val="20"/>
          <w:szCs w:val="20"/>
          <w:color w:val="auto"/>
        </w:rPr>
      </w:pPr>
      <w:r>
        <w:rPr>
          <w:rFonts w:ascii="Arial" w:cs="Arial" w:eastAsia="Arial" w:hAnsi="Arial"/>
          <w:sz w:val="10"/>
          <w:szCs w:val="10"/>
          <w:color w:val="auto"/>
        </w:rPr>
        <w:t>We hold a 37.5% participating interest in the Caipipendi block where we produce and explore. We also have a 25% interest in Tarija XX West block where we produce from the Itaú field. We have the rights to explore and further develop the onshore Huacareta block (Shell interest 100% during exploration), and we are exploring there. We hold a 15% participating interest in the Repsol-operated Iniguazu exploration.</w:t>
      </w:r>
    </w:p>
    <w:p>
      <w:pPr>
        <w:spacing w:after="0" w:line="200" w:lineRule="exact"/>
        <w:rPr>
          <w:sz w:val="20"/>
          <w:szCs w:val="20"/>
          <w:color w:val="auto"/>
        </w:rPr>
      </w:pPr>
    </w:p>
    <w:p>
      <w:pPr>
        <w:sectPr>
          <w:pgSz w:w="11900" w:h="16838" w:orient="portrait"/>
          <w:cols w:equalWidth="0" w:num="2">
            <w:col w:w="5248" w:space="680"/>
            <w:col w:w="5380"/>
          </w:cols>
          <w:pgMar w:left="292" w:top="640" w:right="299" w:bottom="1440" w:gutter="0" w:footer="0" w:header="0"/>
          <w:type w:val="continuous"/>
        </w:sect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33</w:t>
            </w:r>
          </w:p>
        </w:tc>
      </w:tr>
      <w:tr>
        <w:trPr>
          <w:trHeight w:val="142"/>
        </w:trPr>
        <w:tc>
          <w:tcPr>
            <w:tcW w:w="3500" w:type="dxa"/>
            <w:vAlign w:val="bottom"/>
            <w:tcBorders>
              <w:bottom w:val="single" w:sz="8" w:color="9A9A9A"/>
            </w:tcBorders>
          </w:tcPr>
          <w:p>
            <w:pPr>
              <w:spacing w:after="0"/>
              <w:rPr>
                <w:sz w:val="12"/>
                <w:szCs w:val="12"/>
                <w:color w:val="auto"/>
              </w:rPr>
            </w:pPr>
          </w:p>
        </w:tc>
        <w:tc>
          <w:tcPr>
            <w:tcW w:w="78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0"/>
          <w:szCs w:val="10"/>
          <w:color w:val="auto"/>
        </w:rPr>
        <w:t>China</w:t>
      </w:r>
    </w:p>
    <w:p>
      <w:pPr>
        <w:ind w:right="500"/>
        <w:spacing w:after="0" w:line="290" w:lineRule="auto"/>
        <w:rPr>
          <w:sz w:val="20"/>
          <w:szCs w:val="20"/>
          <w:color w:val="auto"/>
        </w:rPr>
      </w:pPr>
      <w:r>
        <w:rPr>
          <w:rFonts w:ascii="Arial" w:cs="Arial" w:eastAsia="Arial" w:hAnsi="Arial"/>
          <w:sz w:val="8"/>
          <w:szCs w:val="8"/>
          <w:color w:val="auto"/>
        </w:rPr>
        <w:t>We jointly develop and produce from the onshore Changbei tight-gas field under a production-sharing contract (PSC) with CNPC. In 2017, we took the FID on the Changbei II Phase 1 project and started drilling activity in early 2019.</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Egypt</w:t>
      </w:r>
    </w:p>
    <w:p>
      <w:pPr>
        <w:ind w:right="380"/>
        <w:spacing w:after="0" w:line="286" w:lineRule="auto"/>
        <w:rPr>
          <w:sz w:val="20"/>
          <w:szCs w:val="20"/>
          <w:color w:val="auto"/>
        </w:rPr>
      </w:pPr>
      <w:r>
        <w:rPr>
          <w:rFonts w:ascii="Arial" w:cs="Arial" w:eastAsia="Arial" w:hAnsi="Arial"/>
          <w:sz w:val="8"/>
          <w:szCs w:val="8"/>
          <w:color w:val="auto"/>
        </w:rPr>
        <w:t>We have a 25% interest in the Burullus Gas Company (Burullus), a self-operated joint venture which operates the West Delta Deep Marine concession (Shell interest 50%) and supplies gas to the domestic market and the Egyptian LNG plant. We have a 50% interest in the Rashid Petroleum Company (Rashpetco), a self-operated joint venture which operates the Rosetta concession (Shell interest 100%).</w:t>
      </w:r>
    </w:p>
    <w:p>
      <w:pPr>
        <w:spacing w:after="0" w:line="113" w:lineRule="exact"/>
        <w:rPr>
          <w:sz w:val="20"/>
          <w:szCs w:val="20"/>
          <w:color w:val="auto"/>
        </w:rPr>
      </w:pPr>
    </w:p>
    <w:p>
      <w:pPr>
        <w:spacing w:after="0"/>
        <w:rPr>
          <w:sz w:val="20"/>
          <w:szCs w:val="20"/>
          <w:color w:val="auto"/>
        </w:rPr>
      </w:pPr>
      <w:r>
        <w:rPr>
          <w:rFonts w:ascii="Arial" w:cs="Arial" w:eastAsia="Arial" w:hAnsi="Arial"/>
          <w:sz w:val="8"/>
          <w:szCs w:val="8"/>
          <w:color w:val="auto"/>
        </w:rPr>
        <w:t>We have a 60% interest in the development rights for the Harmattan Deep discovery and the Notus discovery offshore the Nile Delta.</w:t>
      </w:r>
    </w:p>
    <w:p>
      <w:pPr>
        <w:spacing w:after="0" w:line="143" w:lineRule="exact"/>
        <w:rPr>
          <w:sz w:val="20"/>
          <w:szCs w:val="20"/>
          <w:color w:val="auto"/>
        </w:rPr>
      </w:pPr>
    </w:p>
    <w:p>
      <w:pPr>
        <w:spacing w:after="0"/>
        <w:rPr>
          <w:sz w:val="20"/>
          <w:szCs w:val="20"/>
          <w:color w:val="auto"/>
        </w:rPr>
      </w:pPr>
      <w:r>
        <w:rPr>
          <w:rFonts w:ascii="Arial" w:cs="Arial" w:eastAsia="Arial" w:hAnsi="Arial"/>
          <w:sz w:val="10"/>
          <w:szCs w:val="10"/>
          <w:color w:val="auto"/>
        </w:rPr>
        <w:t>Indonesia</w:t>
      </w:r>
    </w:p>
    <w:p>
      <w:pPr>
        <w:spacing w:after="0" w:line="236" w:lineRule="auto"/>
        <w:rPr>
          <w:sz w:val="20"/>
          <w:szCs w:val="20"/>
          <w:color w:val="auto"/>
        </w:rPr>
      </w:pPr>
      <w:r>
        <w:rPr>
          <w:rFonts w:ascii="Arial" w:cs="Arial" w:eastAsia="Arial" w:hAnsi="Arial"/>
          <w:sz w:val="10"/>
          <w:szCs w:val="10"/>
          <w:color w:val="auto"/>
        </w:rPr>
        <w:t>We have a 35% interest in the INPEX Masela Ltd joint venture which owns and operates the offshore Masela block.</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Oman</w:t>
      </w:r>
    </w:p>
    <w:p>
      <w:pPr>
        <w:ind w:right="400"/>
        <w:spacing w:after="0" w:line="286" w:lineRule="auto"/>
        <w:rPr>
          <w:sz w:val="20"/>
          <w:szCs w:val="20"/>
          <w:color w:val="auto"/>
        </w:rPr>
      </w:pPr>
      <w:r>
        <w:rPr>
          <w:rFonts w:ascii="Arial" w:cs="Arial" w:eastAsia="Arial" w:hAnsi="Arial"/>
          <w:sz w:val="8"/>
          <w:szCs w:val="8"/>
          <w:color w:val="auto"/>
        </w:rPr>
        <w:t>In February 2019, we signed an interim upstream agreement that detailed a funding and work programme for 2019 and 2020 to develop gas resources for projects to help meet the Sultanate of Oman’s growing need for energy. The other signatories were Petroleum Development Oman (PDO), Oman Oil Company (OOC) and Total. The project covers investments in gas exploration and production.</w:t>
      </w:r>
    </w:p>
    <w:p>
      <w:pPr>
        <w:spacing w:after="0" w:line="96" w:lineRule="exact"/>
        <w:rPr>
          <w:sz w:val="20"/>
          <w:szCs w:val="20"/>
          <w:color w:val="auto"/>
        </w:rPr>
      </w:pPr>
    </w:p>
    <w:p>
      <w:pPr>
        <w:spacing w:after="0"/>
        <w:rPr>
          <w:sz w:val="20"/>
          <w:szCs w:val="20"/>
          <w:color w:val="auto"/>
        </w:rPr>
      </w:pPr>
      <w:r>
        <w:rPr>
          <w:rFonts w:ascii="Arial" w:cs="Arial" w:eastAsia="Arial" w:hAnsi="Arial"/>
          <w:sz w:val="10"/>
          <w:szCs w:val="10"/>
          <w:color w:val="auto"/>
        </w:rPr>
        <w:t>Qatar</w:t>
      </w:r>
    </w:p>
    <w:p>
      <w:pPr>
        <w:jc w:val="both"/>
        <w:ind w:right="400"/>
        <w:spacing w:after="0" w:line="290" w:lineRule="auto"/>
        <w:rPr>
          <w:sz w:val="20"/>
          <w:szCs w:val="20"/>
          <w:color w:val="auto"/>
        </w:rPr>
      </w:pPr>
      <w:r>
        <w:rPr>
          <w:rFonts w:ascii="Arial" w:cs="Arial" w:eastAsia="Arial" w:hAnsi="Arial"/>
          <w:sz w:val="8"/>
          <w:szCs w:val="8"/>
          <w:color w:val="auto"/>
        </w:rPr>
        <w:t>We operate the Pearl GTL plant (Shell interest 100%) in Qatar under a development and PSC with the government. The fully integrated facility has the capacity to produce, process and transport 1.6 billion standard cubic feet per day (scf/d) of gas from Qatar’s North Field.</w:t>
      </w:r>
    </w:p>
    <w:p>
      <w:pPr>
        <w:spacing w:after="0" w:line="112" w:lineRule="exact"/>
        <w:rPr>
          <w:sz w:val="20"/>
          <w:szCs w:val="20"/>
          <w:color w:val="auto"/>
        </w:rPr>
      </w:pPr>
    </w:p>
    <w:p>
      <w:pPr>
        <w:ind w:right="400"/>
        <w:spacing w:after="0" w:line="220" w:lineRule="auto"/>
        <w:rPr>
          <w:sz w:val="20"/>
          <w:szCs w:val="20"/>
          <w:color w:val="auto"/>
        </w:rPr>
      </w:pPr>
      <w:r>
        <w:rPr>
          <w:rFonts w:ascii="Arial" w:cs="Arial" w:eastAsia="Arial" w:hAnsi="Arial"/>
          <w:sz w:val="10"/>
          <w:szCs w:val="10"/>
          <w:color w:val="auto"/>
        </w:rPr>
        <w:t>We have a 30% interest in Qatargas 4, which comprises integrated facilities to produce about 1.4 billion scf/d of gas from Qatar’s North Field, an onshore gas-processing facility.</w:t>
      </w:r>
    </w:p>
    <w:p>
      <w:pPr>
        <w:spacing w:after="0" w:line="114" w:lineRule="exact"/>
        <w:rPr>
          <w:sz w:val="20"/>
          <w:szCs w:val="20"/>
          <w:color w:val="auto"/>
        </w:rPr>
      </w:pPr>
    </w:p>
    <w:p>
      <w:pPr>
        <w:spacing w:after="0"/>
        <w:rPr>
          <w:sz w:val="20"/>
          <w:szCs w:val="20"/>
          <w:color w:val="auto"/>
        </w:rPr>
      </w:pPr>
      <w:r>
        <w:rPr>
          <w:rFonts w:ascii="Arial" w:cs="Arial" w:eastAsia="Arial" w:hAnsi="Arial"/>
          <w:sz w:val="10"/>
          <w:szCs w:val="10"/>
          <w:color w:val="auto"/>
        </w:rPr>
        <w:t>Russia</w:t>
      </w:r>
    </w:p>
    <w:p>
      <w:pPr>
        <w:spacing w:after="0"/>
        <w:rPr>
          <w:sz w:val="20"/>
          <w:szCs w:val="20"/>
          <w:color w:val="auto"/>
        </w:rPr>
      </w:pPr>
      <w:r>
        <w:rPr>
          <w:rFonts w:ascii="Arial" w:cs="Arial" w:eastAsia="Arial" w:hAnsi="Arial"/>
          <w:sz w:val="8"/>
          <w:szCs w:val="8"/>
          <w:color w:val="auto"/>
        </w:rPr>
        <w:t>We have a 27.5% interest in Sakhalin-2, the joint venture with Gazprom, an integrated oil and gas project located on Sakhalin island.</w:t>
      </w:r>
    </w:p>
    <w:p>
      <w:pPr>
        <w:spacing w:after="0" w:line="135" w:lineRule="exact"/>
        <w:rPr>
          <w:sz w:val="20"/>
          <w:szCs w:val="20"/>
          <w:color w:val="auto"/>
        </w:rPr>
      </w:pPr>
    </w:p>
    <w:p>
      <w:pPr>
        <w:spacing w:after="0"/>
        <w:rPr>
          <w:sz w:val="20"/>
          <w:szCs w:val="20"/>
          <w:color w:val="auto"/>
        </w:rPr>
      </w:pPr>
      <w:r>
        <w:rPr>
          <w:rFonts w:ascii="Arial" w:cs="Arial" w:eastAsia="Arial" w:hAnsi="Arial"/>
          <w:sz w:val="10"/>
          <w:szCs w:val="10"/>
          <w:color w:val="auto"/>
        </w:rPr>
        <w:t>Singapore</w:t>
      </w:r>
    </w:p>
    <w:p>
      <w:pPr>
        <w:ind w:right="420"/>
        <w:spacing w:after="0" w:line="204" w:lineRule="auto"/>
        <w:rPr>
          <w:sz w:val="20"/>
          <w:szCs w:val="20"/>
          <w:color w:val="auto"/>
        </w:rPr>
      </w:pPr>
      <w:r>
        <w:rPr>
          <w:rFonts w:ascii="Arial" w:cs="Arial" w:eastAsia="Arial" w:hAnsi="Arial"/>
          <w:sz w:val="10"/>
          <w:szCs w:val="10"/>
          <w:color w:val="auto"/>
        </w:rPr>
        <w:t>We have a 50% interest in a joint venture with KS Investments (the investment arm of Keppel Group) that holds a licence to supply LNG fuel for vessels in the Port of Singapore. We have aggregator licences to import LNG into Singapore and market the gas to power plants and other customers.</w:t>
      </w:r>
    </w:p>
    <w:p>
      <w:pPr>
        <w:spacing w:after="0" w:line="114" w:lineRule="exact"/>
        <w:rPr>
          <w:sz w:val="20"/>
          <w:szCs w:val="20"/>
          <w:color w:val="auto"/>
        </w:rPr>
      </w:pPr>
    </w:p>
    <w:p>
      <w:pPr>
        <w:spacing w:after="0"/>
        <w:rPr>
          <w:sz w:val="20"/>
          <w:szCs w:val="20"/>
          <w:color w:val="auto"/>
        </w:rPr>
      </w:pPr>
      <w:r>
        <w:rPr>
          <w:rFonts w:ascii="Arial" w:cs="Arial" w:eastAsia="Arial" w:hAnsi="Arial"/>
          <w:sz w:val="10"/>
          <w:szCs w:val="10"/>
          <w:color w:val="auto"/>
        </w:rPr>
        <w:t>Tanzania</w:t>
      </w:r>
    </w:p>
    <w:p>
      <w:pPr>
        <w:ind w:right="560"/>
        <w:spacing w:after="0" w:line="290" w:lineRule="auto"/>
        <w:rPr>
          <w:sz w:val="20"/>
          <w:szCs w:val="20"/>
          <w:color w:val="auto"/>
        </w:rPr>
      </w:pPr>
      <w:r>
        <w:rPr>
          <w:rFonts w:ascii="Arial" w:cs="Arial" w:eastAsia="Arial" w:hAnsi="Arial"/>
          <w:sz w:val="8"/>
          <w:szCs w:val="8"/>
          <w:color w:val="auto"/>
        </w:rPr>
        <w:t>We operate and have a 60% interest in Blocks 1 and 4 offshore southern Tanzania. In June 2020, the government granted a 4.5-year licence extension for both blocks. We continue to develop a potential domestic gas and LNG project.</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Trinidad and Tobago</w:t>
      </w:r>
    </w:p>
    <w:p>
      <w:pPr>
        <w:ind w:right="360"/>
        <w:spacing w:after="0" w:line="253" w:lineRule="auto"/>
        <w:rPr>
          <w:sz w:val="20"/>
          <w:szCs w:val="20"/>
          <w:color w:val="auto"/>
        </w:rPr>
      </w:pPr>
      <w:r>
        <w:rPr>
          <w:rFonts w:ascii="Arial" w:cs="Arial" w:eastAsia="Arial" w:hAnsi="Arial"/>
          <w:sz w:val="8"/>
          <w:szCs w:val="8"/>
          <w:color w:val="auto"/>
        </w:rPr>
        <w:t>We have interests in three concessions with producing fields: Central Block (Shell interest 65%), East Coast Marine Area (ECMA) (Shell interest 100%) and North Coast Marine Area (NCMA) (Shell interest 80.5%). We also own a 100% interest in Block 5(c), 90% interest in Block 22 and 80% interest in NCMA 4 which include five undeveloped discoveries. Our interests range from 35% to 100% in exploration activities in Blocks 5(d), 6(d), and Atlantic Area Blocks 3, 5, and 6.</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USA</w:t>
      </w:r>
    </w:p>
    <w:p>
      <w:pPr>
        <w:ind w:right="380"/>
        <w:spacing w:after="0" w:line="314" w:lineRule="auto"/>
        <w:rPr>
          <w:sz w:val="20"/>
          <w:szCs w:val="20"/>
          <w:color w:val="auto"/>
        </w:rPr>
      </w:pPr>
      <w:r>
        <w:rPr>
          <w:rFonts w:ascii="Arial" w:cs="Arial" w:eastAsia="Arial" w:hAnsi="Arial"/>
          <w:sz w:val="8"/>
          <w:szCs w:val="8"/>
          <w:color w:val="auto"/>
        </w:rPr>
        <w:t>We have offtake rights via a lease to 100% of the capacity (2.5 mtpa) of the Kinder Morgan-operated Elba Island liquefaction plant in Georgia which consists of 10 MMLS units. We also lease regasification capacity on Elba Island with a contracted capacity of 11.6 mtpa.</w:t>
      </w:r>
    </w:p>
    <w:p>
      <w:pPr>
        <w:spacing w:after="0" w:line="85" w:lineRule="exact"/>
        <w:rPr>
          <w:sz w:val="20"/>
          <w:szCs w:val="20"/>
          <w:color w:val="auto"/>
        </w:rPr>
      </w:pPr>
    </w:p>
    <w:p>
      <w:pPr>
        <w:spacing w:after="0"/>
        <w:rPr>
          <w:sz w:val="20"/>
          <w:szCs w:val="20"/>
          <w:color w:val="auto"/>
        </w:rPr>
      </w:pPr>
      <w:r>
        <w:rPr>
          <w:rFonts w:ascii="Arial" w:cs="Arial" w:eastAsia="Arial" w:hAnsi="Arial"/>
          <w:sz w:val="10"/>
          <w:szCs w:val="10"/>
          <w:color w:val="auto"/>
        </w:rPr>
        <w:t>Other</w:t>
      </w:r>
    </w:p>
    <w:p>
      <w:pPr>
        <w:ind w:right="740"/>
        <w:spacing w:after="0" w:line="212" w:lineRule="auto"/>
        <w:rPr>
          <w:sz w:val="20"/>
          <w:szCs w:val="20"/>
          <w:color w:val="auto"/>
        </w:rPr>
      </w:pPr>
      <w:r>
        <w:rPr>
          <w:rFonts w:ascii="Arial" w:cs="Arial" w:eastAsia="Arial" w:hAnsi="Arial"/>
          <w:sz w:val="10"/>
          <w:szCs w:val="10"/>
          <w:color w:val="auto"/>
        </w:rPr>
        <w:t>We have a 17.9% share in the West African Gas Pipeline Company Limited which owns and operates a 678-kilometre pipeline transporting gas from Nigeria to Ghana, Benin and Togo.</w:t>
      </w:r>
    </w:p>
    <w:p>
      <w:pPr>
        <w:spacing w:after="0" w:line="131" w:lineRule="exact"/>
        <w:rPr>
          <w:sz w:val="20"/>
          <w:szCs w:val="20"/>
          <w:color w:val="auto"/>
        </w:rPr>
      </w:pPr>
    </w:p>
    <w:p>
      <w:pPr>
        <w:spacing w:after="0"/>
        <w:rPr>
          <w:sz w:val="20"/>
          <w:szCs w:val="20"/>
          <w:color w:val="auto"/>
        </w:rPr>
      </w:pPr>
      <w:r>
        <w:rPr>
          <w:rFonts w:ascii="Arial" w:cs="Arial" w:eastAsia="Arial" w:hAnsi="Arial"/>
          <w:sz w:val="10"/>
          <w:szCs w:val="10"/>
          <w:color w:val="auto"/>
        </w:rPr>
        <w:t>We have a 40% interest in a gas pipeline connecting Uruguay to Argentina.</w:t>
      </w:r>
    </w:p>
    <w:p>
      <w:pPr>
        <w:spacing w:after="0" w:line="137" w:lineRule="exact"/>
        <w:rPr>
          <w:sz w:val="20"/>
          <w:szCs w:val="20"/>
          <w:color w:val="auto"/>
        </w:rPr>
      </w:pPr>
    </w:p>
    <w:p>
      <w:pPr>
        <w:ind w:right="400"/>
        <w:spacing w:after="0" w:line="273" w:lineRule="auto"/>
        <w:rPr>
          <w:sz w:val="20"/>
          <w:szCs w:val="20"/>
          <w:color w:val="auto"/>
        </w:rPr>
      </w:pPr>
      <w:r>
        <w:rPr>
          <w:rFonts w:ascii="Arial" w:cs="Arial" w:eastAsia="Arial" w:hAnsi="Arial"/>
          <w:sz w:val="8"/>
          <w:szCs w:val="8"/>
          <w:color w:val="auto"/>
        </w:rPr>
        <w:t>We have a 35% interest in Cyprus Block 12, holding the Aphrodite discovery, which is currently under appraisal. In Colombia, we have a 60% interest in two deep-water blocks that we operate and 50% interests in three other blocks that we operate. We have interests in offshore blocks in Myanmar. We have a 90% interest in one exploration block licence in Namibia.</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2100" w:type="dxa"/>
            <w:vAlign w:val="bottom"/>
          </w:tcPr>
          <w:p>
            <w:pPr>
              <w:jc w:val="right"/>
              <w:spacing w:after="0"/>
              <w:rPr>
                <w:sz w:val="20"/>
                <w:szCs w:val="20"/>
                <w:color w:val="auto"/>
              </w:rPr>
            </w:pPr>
            <w:r>
              <w:rPr>
                <w:rFonts w:ascii="Arial" w:cs="Arial" w:eastAsia="Arial" w:hAnsi="Arial"/>
                <w:sz w:val="7"/>
                <w:szCs w:val="7"/>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Renewables and Energy Solutions</w:t>
      </w:r>
    </w:p>
    <w:p>
      <w:pPr>
        <w:spacing w:after="0" w:line="146" w:lineRule="exact"/>
        <w:rPr>
          <w:sz w:val="20"/>
          <w:szCs w:val="20"/>
          <w:color w:val="auto"/>
        </w:rPr>
      </w:pPr>
    </w:p>
    <w:p>
      <w:pPr>
        <w:spacing w:after="0"/>
        <w:rPr>
          <w:sz w:val="20"/>
          <w:szCs w:val="20"/>
          <w:color w:val="auto"/>
        </w:rPr>
      </w:pPr>
      <w:r>
        <w:rPr>
          <w:rFonts w:ascii="Arial" w:cs="Arial" w:eastAsia="Arial" w:hAnsi="Arial"/>
          <w:sz w:val="8"/>
          <w:szCs w:val="8"/>
          <w:color w:val="auto"/>
        </w:rPr>
        <w:t>Renewables and Energy Solutions includes power generation, trading and supply, hydrogen and nature-based solutions.</w:t>
      </w: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8"/>
          <w:szCs w:val="8"/>
          <w:color w:val="auto"/>
        </w:rPr>
        <w:t>The Renewables and Energy Solutions portfolio is being built through organic growth and acquisitions. Most of these opportunities are in sectors that are different from Shell’s existing oil and gas businesses, but have some similarities and/or adjacencies to our downstream and gas and power trading businesses. Shell-controlled Renewables and Energy Solutions companies are subject to the Shell Control Framework. Some are not yet in full compliance with the Shell Control Framework and we are working to bring them into compliance with this framework in a fit-for-purpose manner.</w:t>
      </w:r>
    </w:p>
    <w:p>
      <w:pPr>
        <w:spacing w:after="0" w:line="223" w:lineRule="exact"/>
        <w:rPr>
          <w:sz w:val="20"/>
          <w:szCs w:val="20"/>
          <w:color w:val="auto"/>
        </w:rPr>
      </w:pPr>
    </w:p>
    <w:p>
      <w:pPr>
        <w:spacing w:after="0"/>
        <w:rPr>
          <w:sz w:val="20"/>
          <w:szCs w:val="20"/>
          <w:color w:val="auto"/>
        </w:rPr>
      </w:pPr>
      <w:r>
        <w:rPr>
          <w:rFonts w:ascii="Arial" w:cs="Arial" w:eastAsia="Arial" w:hAnsi="Arial"/>
          <w:sz w:val="10"/>
          <w:szCs w:val="10"/>
          <w:color w:val="auto"/>
        </w:rPr>
        <w:t>In 2020, cash capital expenditure in Renewables and Energy Solutions amounted to $0.9 billion.</w:t>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Power</w:t>
      </w:r>
    </w:p>
    <w:p>
      <w:pPr>
        <w:jc w:val="both"/>
        <w:ind w:right="240"/>
        <w:spacing w:after="0" w:line="234" w:lineRule="auto"/>
        <w:rPr>
          <w:sz w:val="20"/>
          <w:szCs w:val="20"/>
          <w:color w:val="auto"/>
        </w:rPr>
      </w:pPr>
      <w:r>
        <w:rPr>
          <w:rFonts w:ascii="Arial" w:cs="Arial" w:eastAsia="Arial" w:hAnsi="Arial"/>
          <w:sz w:val="8"/>
          <w:szCs w:val="8"/>
          <w:color w:val="auto"/>
        </w:rPr>
        <w:t>In the UK, through Shell Energy Retail, we supply 100% renewable electricity via the purchase of renewable energy guarantees of origin (REGO) certificates, and natural gas and smart home technology to more than 900 thousand homes. In Germany, we supply electricity and/or gas to more than 80 thousand homes through Shell Energy Retail GmBH.</w:t>
      </w:r>
    </w:p>
    <w:p>
      <w:pPr>
        <w:spacing w:after="0" w:line="1" w:lineRule="exact"/>
        <w:rPr>
          <w:sz w:val="20"/>
          <w:szCs w:val="20"/>
          <w:color w:val="auto"/>
        </w:rPr>
      </w:pPr>
    </w:p>
    <w:p>
      <w:pPr>
        <w:ind w:right="80"/>
        <w:spacing w:after="0" w:line="204" w:lineRule="auto"/>
        <w:rPr>
          <w:sz w:val="20"/>
          <w:szCs w:val="20"/>
          <w:color w:val="auto"/>
        </w:rPr>
      </w:pPr>
      <w:r>
        <w:rPr>
          <w:rFonts w:ascii="Arial" w:cs="Arial" w:eastAsia="Arial" w:hAnsi="Arial"/>
          <w:sz w:val="10"/>
          <w:szCs w:val="10"/>
          <w:color w:val="auto"/>
        </w:rPr>
        <w:t>Through sonnen, we provide battery storage systems to homes with solar panels, with over 60 thousand installations globally. Through our London-based energy technology firm Limejump, we manage distributed, renewable and flexible power generation assets in supplying power to the UK national grid.</w:t>
      </w:r>
    </w:p>
    <w:p>
      <w:pPr>
        <w:spacing w:after="0" w:line="131" w:lineRule="exact"/>
        <w:rPr>
          <w:sz w:val="20"/>
          <w:szCs w:val="20"/>
          <w:color w:val="auto"/>
        </w:rPr>
      </w:pPr>
    </w:p>
    <w:p>
      <w:pPr>
        <w:jc w:val="both"/>
        <w:ind w:right="40"/>
        <w:spacing w:after="0" w:line="273" w:lineRule="auto"/>
        <w:rPr>
          <w:sz w:val="20"/>
          <w:szCs w:val="20"/>
          <w:color w:val="auto"/>
        </w:rPr>
      </w:pPr>
      <w:r>
        <w:rPr>
          <w:rFonts w:ascii="Arial" w:cs="Arial" w:eastAsia="Arial" w:hAnsi="Arial"/>
          <w:sz w:val="8"/>
          <w:szCs w:val="8"/>
          <w:color w:val="auto"/>
        </w:rPr>
        <w:t>Our Shell Recharge electric vehicle (EV) charging service offers ways for drivers to recharge their vehicles at home, at their destination or during their journey. Shell New Energies is also developing charging networks for EV drivers through our NewMotion and Greenlots subsidiaries. NewMotion operates around 60 thousand private electric charge points in the Netherlands, Germany, France and the UK.</w:t>
      </w:r>
    </w:p>
    <w:p>
      <w:pPr>
        <w:spacing w:after="0" w:line="118" w:lineRule="exact"/>
        <w:rPr>
          <w:sz w:val="20"/>
          <w:szCs w:val="20"/>
          <w:color w:val="auto"/>
        </w:rPr>
      </w:pPr>
    </w:p>
    <w:p>
      <w:pPr>
        <w:ind w:right="60"/>
        <w:spacing w:after="0" w:line="220" w:lineRule="auto"/>
        <w:rPr>
          <w:sz w:val="20"/>
          <w:szCs w:val="20"/>
          <w:color w:val="auto"/>
        </w:rPr>
      </w:pPr>
      <w:r>
        <w:rPr>
          <w:rFonts w:ascii="Arial" w:cs="Arial" w:eastAsia="Arial" w:hAnsi="Arial"/>
          <w:sz w:val="10"/>
          <w:szCs w:val="10"/>
          <w:color w:val="auto"/>
        </w:rPr>
        <w:t>Greenlots provides EV charging posts, charging network software and grid services. It operates 8 thousand charge points for businesses and private drivers in the USA, Canada and Singapore.</w:t>
      </w:r>
    </w:p>
    <w:p>
      <w:pPr>
        <w:spacing w:after="0" w:line="131" w:lineRule="exact"/>
        <w:rPr>
          <w:sz w:val="20"/>
          <w:szCs w:val="20"/>
          <w:color w:val="auto"/>
        </w:rPr>
      </w:pPr>
    </w:p>
    <w:p>
      <w:pPr>
        <w:spacing w:after="0"/>
        <w:rPr>
          <w:sz w:val="20"/>
          <w:szCs w:val="20"/>
          <w:color w:val="auto"/>
        </w:rPr>
      </w:pPr>
      <w:r>
        <w:rPr>
          <w:rFonts w:ascii="Arial" w:cs="Arial" w:eastAsia="Arial" w:hAnsi="Arial"/>
          <w:sz w:val="8"/>
          <w:szCs w:val="8"/>
          <w:color w:val="auto"/>
        </w:rPr>
        <w:t>Through MP2, we provide retail electricity and renewable energy solutions to commercial and industrial customers across the USA.</w:t>
      </w:r>
    </w:p>
    <w:p>
      <w:pPr>
        <w:spacing w:after="0" w:line="160" w:lineRule="exact"/>
        <w:rPr>
          <w:sz w:val="20"/>
          <w:szCs w:val="20"/>
          <w:color w:val="auto"/>
        </w:rPr>
      </w:pPr>
    </w:p>
    <w:p>
      <w:pPr>
        <w:ind w:right="60"/>
        <w:spacing w:after="0" w:line="220" w:lineRule="auto"/>
        <w:rPr>
          <w:sz w:val="20"/>
          <w:szCs w:val="20"/>
          <w:color w:val="auto"/>
        </w:rPr>
      </w:pPr>
      <w:r>
        <w:rPr>
          <w:rFonts w:ascii="Arial" w:cs="Arial" w:eastAsia="Arial" w:hAnsi="Arial"/>
          <w:sz w:val="10"/>
          <w:szCs w:val="10"/>
          <w:color w:val="auto"/>
        </w:rPr>
        <w:t>Silicon Ranch is an independent power producer and Shell’s US solar platform, with a diverse portfolio of operating facilities including utility-scale solar.</w:t>
      </w:r>
    </w:p>
    <w:p>
      <w:pPr>
        <w:spacing w:after="0" w:line="131" w:lineRule="exact"/>
        <w:rPr>
          <w:sz w:val="20"/>
          <w:szCs w:val="20"/>
          <w:color w:val="auto"/>
        </w:rPr>
      </w:pPr>
    </w:p>
    <w:p>
      <w:pPr>
        <w:spacing w:after="0"/>
        <w:rPr>
          <w:sz w:val="20"/>
          <w:szCs w:val="20"/>
          <w:color w:val="auto"/>
        </w:rPr>
      </w:pPr>
      <w:r>
        <w:rPr>
          <w:rFonts w:ascii="Arial" w:cs="Arial" w:eastAsia="Arial" w:hAnsi="Arial"/>
          <w:sz w:val="10"/>
          <w:szCs w:val="10"/>
          <w:color w:val="auto"/>
        </w:rPr>
        <w:t>In Australia, through ERM, we are the second-largest electricity retailer serving commercial and industrial customers.</w:t>
      </w:r>
    </w:p>
    <w:p>
      <w:pPr>
        <w:sectPr>
          <w:pgSz w:w="11900" w:h="16838" w:orient="portrait"/>
          <w:cols w:equalWidth="0" w:num="2">
            <w:col w:w="5600" w:space="320"/>
            <w:col w:w="5260"/>
          </w:cols>
          <w:pgMar w:left="300" w:top="632" w:right="419" w:bottom="1440" w:gutter="0" w:footer="0" w:header="0"/>
        </w:sectPr>
      </w:pPr>
    </w:p>
    <w:bookmarkStart w:id="37" w:name="page38"/>
    <w:bookmarkEnd w:id="37"/>
    <w:p>
      <w:pPr>
        <w:ind w:left="8"/>
        <w:spacing w:after="0"/>
        <w:rPr>
          <w:sz w:val="20"/>
          <w:szCs w:val="20"/>
          <w:color w:val="auto"/>
        </w:rPr>
      </w:pPr>
      <w:r>
        <w:rPr>
          <w:rFonts w:ascii="Arial" w:cs="Arial" w:eastAsia="Arial" w:hAnsi="Arial"/>
          <w:sz w:val="10"/>
          <w:szCs w:val="10"/>
          <w:color w:val="auto"/>
        </w:rPr>
        <w:t>Our major renewable power projects in operation and in development are listed below:</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1560" w:type="dxa"/>
            <w:vAlign w:val="bottom"/>
          </w:tcPr>
          <w:p>
            <w:pPr>
              <w:spacing w:after="0"/>
              <w:rPr>
                <w:sz w:val="20"/>
                <w:szCs w:val="20"/>
                <w:color w:val="auto"/>
              </w:rPr>
            </w:pPr>
            <w:r>
              <w:rPr>
                <w:rFonts w:ascii="Arial" w:cs="Arial" w:eastAsia="Arial" w:hAnsi="Arial"/>
                <w:sz w:val="10"/>
                <w:szCs w:val="10"/>
                <w:color w:val="auto"/>
                <w:w w:val="89"/>
              </w:rPr>
              <w:t>Renewable power projects in operation</w:t>
            </w:r>
          </w:p>
        </w:tc>
        <w:tc>
          <w:tcPr>
            <w:tcW w:w="1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120" w:type="dxa"/>
            <w:vAlign w:val="bottom"/>
          </w:tcPr>
          <w:p>
            <w:pPr>
              <w:spacing w:after="0"/>
              <w:rPr>
                <w:sz w:val="10"/>
                <w:szCs w:val="10"/>
                <w:color w:val="auto"/>
              </w:rPr>
            </w:pPr>
          </w:p>
        </w:tc>
      </w:tr>
      <w:tr>
        <w:trPr>
          <w:trHeight w:val="130"/>
        </w:trPr>
        <w:tc>
          <w:tcPr>
            <w:tcW w:w="15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Project</w:t>
            </w: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Location</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Shell interest (%)</w:t>
            </w: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0"/>
                <w:szCs w:val="10"/>
                <w:color w:val="auto"/>
              </w:rPr>
              <w:t>100% capacity (MW)</w:t>
            </w:r>
          </w:p>
        </w:tc>
        <w:tc>
          <w:tcPr>
            <w:tcW w:w="1900" w:type="dxa"/>
            <w:vAlign w:val="bottom"/>
            <w:tcBorders>
              <w:bottom w:val="single" w:sz="8" w:color="auto"/>
            </w:tcBorders>
          </w:tcPr>
          <w:p>
            <w:pPr>
              <w:ind w:left="380"/>
              <w:spacing w:after="0"/>
              <w:rPr>
                <w:sz w:val="20"/>
                <w:szCs w:val="20"/>
                <w:color w:val="auto"/>
              </w:rPr>
            </w:pPr>
            <w:r>
              <w:rPr>
                <w:rFonts w:ascii="Arial" w:cs="Arial" w:eastAsia="Arial" w:hAnsi="Arial"/>
                <w:sz w:val="10"/>
                <w:szCs w:val="10"/>
                <w:color w:val="auto"/>
              </w:rPr>
              <w:t>Type</w:t>
            </w:r>
          </w:p>
        </w:tc>
        <w:tc>
          <w:tcPr>
            <w:tcW w:w="1600" w:type="dxa"/>
            <w:vAlign w:val="bottom"/>
            <w:tcBorders>
              <w:bottom w:val="single" w:sz="8" w:color="auto"/>
            </w:tcBorders>
          </w:tcPr>
          <w:p>
            <w:pPr>
              <w:ind w:left="520"/>
              <w:spacing w:after="0"/>
              <w:rPr>
                <w:sz w:val="20"/>
                <w:szCs w:val="20"/>
                <w:color w:val="auto"/>
              </w:rPr>
            </w:pPr>
            <w:r>
              <w:rPr>
                <w:rFonts w:ascii="Arial" w:cs="Arial" w:eastAsia="Arial" w:hAnsi="Arial"/>
                <w:sz w:val="10"/>
                <w:szCs w:val="10"/>
                <w:color w:val="auto"/>
              </w:rPr>
              <w:t>Theme</w:t>
            </w:r>
          </w:p>
        </w:tc>
        <w:tc>
          <w:tcPr>
            <w:tcW w:w="2120" w:type="dxa"/>
            <w:vAlign w:val="bottom"/>
            <w:tcBorders>
              <w:bottom w:val="single" w:sz="8" w:color="auto"/>
            </w:tcBorders>
          </w:tcPr>
          <w:p>
            <w:pPr>
              <w:ind w:left="520"/>
              <w:spacing w:after="0"/>
              <w:rPr>
                <w:sz w:val="20"/>
                <w:szCs w:val="20"/>
                <w:color w:val="auto"/>
              </w:rPr>
            </w:pPr>
            <w:r>
              <w:rPr>
                <w:rFonts w:ascii="Arial" w:cs="Arial" w:eastAsia="Arial" w:hAnsi="Arial"/>
                <w:sz w:val="10"/>
                <w:szCs w:val="10"/>
                <w:color w:val="auto"/>
              </w:rPr>
              <w:t>Shell-operated</w:t>
            </w:r>
          </w:p>
        </w:tc>
      </w:tr>
      <w:tr>
        <w:trPr>
          <w:trHeight w:val="114"/>
        </w:trPr>
        <w:tc>
          <w:tcPr>
            <w:tcW w:w="1560" w:type="dxa"/>
            <w:vAlign w:val="bottom"/>
          </w:tcPr>
          <w:p>
            <w:pPr>
              <w:spacing w:after="0"/>
              <w:rPr>
                <w:sz w:val="20"/>
                <w:szCs w:val="20"/>
                <w:color w:val="auto"/>
              </w:rPr>
            </w:pPr>
            <w:r>
              <w:rPr>
                <w:rFonts w:ascii="Arial" w:cs="Arial" w:eastAsia="Arial" w:hAnsi="Arial"/>
                <w:sz w:val="10"/>
                <w:szCs w:val="10"/>
                <w:color w:val="auto"/>
              </w:rPr>
              <w:t>Silicon Ranch</w:t>
            </w:r>
          </w:p>
        </w:tc>
        <w:tc>
          <w:tcPr>
            <w:tcW w:w="1180" w:type="dxa"/>
            <w:vAlign w:val="bottom"/>
          </w:tcPr>
          <w:p>
            <w:pPr>
              <w:ind w:left="60"/>
              <w:spacing w:after="0"/>
              <w:rPr>
                <w:sz w:val="20"/>
                <w:szCs w:val="20"/>
                <w:color w:val="auto"/>
              </w:rPr>
            </w:pPr>
            <w:r>
              <w:rPr>
                <w:rFonts w:ascii="Arial" w:cs="Arial" w:eastAsia="Arial" w:hAnsi="Arial"/>
                <w:sz w:val="10"/>
                <w:szCs w:val="10"/>
                <w:color w:val="auto"/>
              </w:rPr>
              <w:t>USA</w:t>
            </w:r>
          </w:p>
        </w:tc>
        <w:tc>
          <w:tcPr>
            <w:tcW w:w="1440" w:type="dxa"/>
            <w:vAlign w:val="bottom"/>
          </w:tcPr>
          <w:p>
            <w:pPr>
              <w:ind w:left="480"/>
              <w:spacing w:after="0"/>
              <w:rPr>
                <w:sz w:val="20"/>
                <w:szCs w:val="20"/>
                <w:color w:val="auto"/>
              </w:rPr>
            </w:pPr>
            <w:r>
              <w:rPr>
                <w:rFonts w:ascii="Arial" w:cs="Arial" w:eastAsia="Arial" w:hAnsi="Arial"/>
                <w:sz w:val="10"/>
                <w:szCs w:val="10"/>
                <w:color w:val="auto"/>
              </w:rPr>
              <w:t>46.47</w:t>
            </w:r>
          </w:p>
        </w:tc>
        <w:tc>
          <w:tcPr>
            <w:tcW w:w="1500" w:type="dxa"/>
            <w:vAlign w:val="bottom"/>
          </w:tcPr>
          <w:p>
            <w:pPr>
              <w:ind w:left="280"/>
              <w:spacing w:after="0"/>
              <w:rPr>
                <w:sz w:val="20"/>
                <w:szCs w:val="20"/>
                <w:color w:val="auto"/>
              </w:rPr>
            </w:pPr>
            <w:r>
              <w:rPr>
                <w:rFonts w:ascii="Arial" w:cs="Arial" w:eastAsia="Arial" w:hAnsi="Arial"/>
                <w:sz w:val="10"/>
                <w:szCs w:val="10"/>
                <w:color w:val="auto"/>
              </w:rPr>
              <w:t>1,130</w:t>
            </w:r>
          </w:p>
        </w:tc>
        <w:tc>
          <w:tcPr>
            <w:tcW w:w="1900" w:type="dxa"/>
            <w:vAlign w:val="bottom"/>
          </w:tcPr>
          <w:p>
            <w:pPr>
              <w:ind w:left="380"/>
              <w:spacing w:after="0"/>
              <w:rPr>
                <w:sz w:val="20"/>
                <w:szCs w:val="20"/>
                <w:color w:val="auto"/>
              </w:rPr>
            </w:pPr>
            <w:r>
              <w:rPr>
                <w:rFonts w:ascii="Arial" w:cs="Arial" w:eastAsia="Arial" w:hAnsi="Arial"/>
                <w:sz w:val="10"/>
                <w:szCs w:val="10"/>
                <w:color w:val="auto"/>
              </w:rPr>
              <w:t>Solar Developer</w:t>
            </w:r>
          </w:p>
        </w:tc>
        <w:tc>
          <w:tcPr>
            <w:tcW w:w="1600" w:type="dxa"/>
            <w:vAlign w:val="bottom"/>
          </w:tcPr>
          <w:p>
            <w:pPr>
              <w:ind w:left="520"/>
              <w:spacing w:after="0"/>
              <w:rPr>
                <w:sz w:val="20"/>
                <w:szCs w:val="20"/>
                <w:color w:val="auto"/>
              </w:rPr>
            </w:pPr>
            <w:r>
              <w:rPr>
                <w:rFonts w:ascii="Arial" w:cs="Arial" w:eastAsia="Arial" w:hAnsi="Arial"/>
                <w:sz w:val="10"/>
                <w:szCs w:val="10"/>
                <w:color w:val="auto"/>
              </w:rPr>
              <w:t>Solar</w:t>
            </w:r>
          </w:p>
        </w:tc>
        <w:tc>
          <w:tcPr>
            <w:tcW w:w="2120" w:type="dxa"/>
            <w:vAlign w:val="bottom"/>
          </w:tcPr>
          <w:p>
            <w:pPr>
              <w:ind w:left="520"/>
              <w:spacing w:after="0"/>
              <w:rPr>
                <w:sz w:val="20"/>
                <w:szCs w:val="20"/>
                <w:color w:val="auto"/>
              </w:rPr>
            </w:pPr>
            <w:r>
              <w:rPr>
                <w:rFonts w:ascii="Arial" w:cs="Arial" w:eastAsia="Arial" w:hAnsi="Arial"/>
                <w:sz w:val="10"/>
                <w:szCs w:val="10"/>
                <w:color w:val="auto"/>
              </w:rPr>
              <w:t>No</w:t>
            </w:r>
          </w:p>
        </w:tc>
      </w:tr>
      <w:tr>
        <w:trPr>
          <w:trHeight w:val="123"/>
        </w:trPr>
        <w:tc>
          <w:tcPr>
            <w:tcW w:w="1560" w:type="dxa"/>
            <w:vAlign w:val="bottom"/>
          </w:tcPr>
          <w:p>
            <w:pPr>
              <w:spacing w:after="0"/>
              <w:rPr>
                <w:sz w:val="20"/>
                <w:szCs w:val="20"/>
                <w:color w:val="auto"/>
              </w:rPr>
            </w:pPr>
            <w:r>
              <w:rPr>
                <w:rFonts w:ascii="Arial" w:cs="Arial" w:eastAsia="Arial" w:hAnsi="Arial"/>
                <w:sz w:val="10"/>
                <w:szCs w:val="10"/>
                <w:color w:val="auto"/>
              </w:rPr>
              <w:t>Cleantech Solar</w:t>
            </w:r>
          </w:p>
        </w:tc>
        <w:tc>
          <w:tcPr>
            <w:tcW w:w="1180" w:type="dxa"/>
            <w:vAlign w:val="bottom"/>
          </w:tcPr>
          <w:p>
            <w:pPr>
              <w:ind w:left="60"/>
              <w:spacing w:after="0"/>
              <w:rPr>
                <w:sz w:val="20"/>
                <w:szCs w:val="20"/>
                <w:color w:val="auto"/>
              </w:rPr>
            </w:pPr>
            <w:r>
              <w:rPr>
                <w:rFonts w:ascii="Arial" w:cs="Arial" w:eastAsia="Arial" w:hAnsi="Arial"/>
                <w:sz w:val="10"/>
                <w:szCs w:val="10"/>
                <w:color w:val="auto"/>
              </w:rPr>
              <w:t>Asia</w:t>
            </w:r>
          </w:p>
        </w:tc>
        <w:tc>
          <w:tcPr>
            <w:tcW w:w="1440" w:type="dxa"/>
            <w:vAlign w:val="bottom"/>
          </w:tcPr>
          <w:p>
            <w:pPr>
              <w:ind w:left="480"/>
              <w:spacing w:after="0"/>
              <w:rPr>
                <w:sz w:val="20"/>
                <w:szCs w:val="20"/>
                <w:color w:val="auto"/>
              </w:rPr>
            </w:pPr>
            <w:r>
              <w:rPr>
                <w:rFonts w:ascii="Arial" w:cs="Arial" w:eastAsia="Arial" w:hAnsi="Arial"/>
                <w:sz w:val="10"/>
                <w:szCs w:val="10"/>
                <w:color w:val="auto"/>
              </w:rPr>
              <w:t>24.5 [A]</w:t>
            </w:r>
          </w:p>
        </w:tc>
        <w:tc>
          <w:tcPr>
            <w:tcW w:w="1500" w:type="dxa"/>
            <w:vAlign w:val="bottom"/>
          </w:tcPr>
          <w:p>
            <w:pPr>
              <w:ind w:left="280"/>
              <w:spacing w:after="0"/>
              <w:rPr>
                <w:sz w:val="20"/>
                <w:szCs w:val="20"/>
                <w:color w:val="auto"/>
              </w:rPr>
            </w:pPr>
            <w:r>
              <w:rPr>
                <w:rFonts w:ascii="Arial" w:cs="Arial" w:eastAsia="Arial" w:hAnsi="Arial"/>
                <w:sz w:val="10"/>
                <w:szCs w:val="10"/>
                <w:color w:val="auto"/>
              </w:rPr>
              <w:t>252</w:t>
            </w:r>
          </w:p>
        </w:tc>
        <w:tc>
          <w:tcPr>
            <w:tcW w:w="1900" w:type="dxa"/>
            <w:vAlign w:val="bottom"/>
          </w:tcPr>
          <w:p>
            <w:pPr>
              <w:ind w:left="380"/>
              <w:spacing w:after="0"/>
              <w:rPr>
                <w:sz w:val="20"/>
                <w:szCs w:val="20"/>
                <w:color w:val="auto"/>
              </w:rPr>
            </w:pPr>
            <w:r>
              <w:rPr>
                <w:rFonts w:ascii="Arial" w:cs="Arial" w:eastAsia="Arial" w:hAnsi="Arial"/>
                <w:sz w:val="10"/>
                <w:szCs w:val="10"/>
                <w:color w:val="auto"/>
              </w:rPr>
              <w:t>Solar Developer</w:t>
            </w:r>
          </w:p>
        </w:tc>
        <w:tc>
          <w:tcPr>
            <w:tcW w:w="1600" w:type="dxa"/>
            <w:vAlign w:val="bottom"/>
          </w:tcPr>
          <w:p>
            <w:pPr>
              <w:ind w:left="520"/>
              <w:spacing w:after="0"/>
              <w:rPr>
                <w:sz w:val="20"/>
                <w:szCs w:val="20"/>
                <w:color w:val="auto"/>
              </w:rPr>
            </w:pPr>
            <w:r>
              <w:rPr>
                <w:rFonts w:ascii="Arial" w:cs="Arial" w:eastAsia="Arial" w:hAnsi="Arial"/>
                <w:sz w:val="10"/>
                <w:szCs w:val="10"/>
                <w:color w:val="auto"/>
              </w:rPr>
              <w:t>Solar</w:t>
            </w:r>
          </w:p>
        </w:tc>
        <w:tc>
          <w:tcPr>
            <w:tcW w:w="2120" w:type="dxa"/>
            <w:vAlign w:val="bottom"/>
          </w:tcPr>
          <w:p>
            <w:pPr>
              <w:ind w:left="520"/>
              <w:spacing w:after="0"/>
              <w:rPr>
                <w:sz w:val="20"/>
                <w:szCs w:val="20"/>
                <w:color w:val="auto"/>
              </w:rPr>
            </w:pPr>
            <w:r>
              <w:rPr>
                <w:rFonts w:ascii="Arial" w:cs="Arial" w:eastAsia="Arial" w:hAnsi="Arial"/>
                <w:sz w:val="10"/>
                <w:szCs w:val="10"/>
                <w:color w:val="auto"/>
              </w:rPr>
              <w:t>No</w:t>
            </w:r>
          </w:p>
        </w:tc>
      </w:tr>
      <w:tr>
        <w:trPr>
          <w:trHeight w:val="126"/>
        </w:trPr>
        <w:tc>
          <w:tcPr>
            <w:tcW w:w="1560" w:type="dxa"/>
            <w:vAlign w:val="bottom"/>
          </w:tcPr>
          <w:p>
            <w:pPr>
              <w:spacing w:after="0"/>
              <w:rPr>
                <w:sz w:val="20"/>
                <w:szCs w:val="20"/>
                <w:color w:val="auto"/>
              </w:rPr>
            </w:pPr>
            <w:r>
              <w:rPr>
                <w:rFonts w:ascii="Arial" w:cs="Arial" w:eastAsia="Arial" w:hAnsi="Arial"/>
                <w:sz w:val="10"/>
                <w:szCs w:val="10"/>
                <w:color w:val="auto"/>
              </w:rPr>
              <w:t>Moerdijk</w:t>
            </w:r>
          </w:p>
        </w:tc>
        <w:tc>
          <w:tcPr>
            <w:tcW w:w="1180" w:type="dxa"/>
            <w:vAlign w:val="bottom"/>
          </w:tcPr>
          <w:p>
            <w:pPr>
              <w:ind w:left="60"/>
              <w:spacing w:after="0"/>
              <w:rPr>
                <w:sz w:val="20"/>
                <w:szCs w:val="20"/>
                <w:color w:val="auto"/>
              </w:rPr>
            </w:pPr>
            <w:r>
              <w:rPr>
                <w:rFonts w:ascii="Arial" w:cs="Arial" w:eastAsia="Arial" w:hAnsi="Arial"/>
                <w:sz w:val="10"/>
                <w:szCs w:val="10"/>
                <w:color w:val="auto"/>
              </w:rPr>
              <w:t>The Netherlands</w:t>
            </w:r>
          </w:p>
        </w:tc>
        <w:tc>
          <w:tcPr>
            <w:tcW w:w="1440" w:type="dxa"/>
            <w:vAlign w:val="bottom"/>
          </w:tcPr>
          <w:p>
            <w:pPr>
              <w:ind w:left="480"/>
              <w:spacing w:after="0"/>
              <w:rPr>
                <w:sz w:val="20"/>
                <w:szCs w:val="20"/>
                <w:color w:val="auto"/>
              </w:rPr>
            </w:pPr>
            <w:r>
              <w:rPr>
                <w:rFonts w:ascii="Arial" w:cs="Arial" w:eastAsia="Arial" w:hAnsi="Arial"/>
                <w:sz w:val="10"/>
                <w:szCs w:val="10"/>
                <w:color w:val="auto"/>
              </w:rPr>
              <w:t>100</w:t>
            </w:r>
          </w:p>
        </w:tc>
        <w:tc>
          <w:tcPr>
            <w:tcW w:w="1500" w:type="dxa"/>
            <w:vAlign w:val="bottom"/>
          </w:tcPr>
          <w:p>
            <w:pPr>
              <w:ind w:left="280"/>
              <w:spacing w:after="0"/>
              <w:rPr>
                <w:sz w:val="20"/>
                <w:szCs w:val="20"/>
                <w:color w:val="auto"/>
              </w:rPr>
            </w:pPr>
            <w:r>
              <w:rPr>
                <w:rFonts w:ascii="Arial" w:cs="Arial" w:eastAsia="Arial" w:hAnsi="Arial"/>
                <w:sz w:val="10"/>
                <w:szCs w:val="10"/>
                <w:color w:val="auto"/>
              </w:rPr>
              <w:t>27</w:t>
            </w:r>
          </w:p>
        </w:tc>
        <w:tc>
          <w:tcPr>
            <w:tcW w:w="1900" w:type="dxa"/>
            <w:vAlign w:val="bottom"/>
          </w:tcPr>
          <w:p>
            <w:pPr>
              <w:ind w:left="380"/>
              <w:spacing w:after="0"/>
              <w:rPr>
                <w:sz w:val="20"/>
                <w:szCs w:val="20"/>
                <w:color w:val="auto"/>
              </w:rPr>
            </w:pPr>
            <w:r>
              <w:rPr>
                <w:rFonts w:ascii="Arial" w:cs="Arial" w:eastAsia="Arial" w:hAnsi="Arial"/>
                <w:sz w:val="10"/>
                <w:szCs w:val="10"/>
                <w:color w:val="auto"/>
              </w:rPr>
              <w:t>Solar Operations</w:t>
            </w:r>
          </w:p>
        </w:tc>
        <w:tc>
          <w:tcPr>
            <w:tcW w:w="1600" w:type="dxa"/>
            <w:vAlign w:val="bottom"/>
          </w:tcPr>
          <w:p>
            <w:pPr>
              <w:ind w:left="520"/>
              <w:spacing w:after="0"/>
              <w:rPr>
                <w:sz w:val="20"/>
                <w:szCs w:val="20"/>
                <w:color w:val="auto"/>
              </w:rPr>
            </w:pPr>
            <w:r>
              <w:rPr>
                <w:rFonts w:ascii="Arial" w:cs="Arial" w:eastAsia="Arial" w:hAnsi="Arial"/>
                <w:sz w:val="10"/>
                <w:szCs w:val="10"/>
                <w:color w:val="auto"/>
              </w:rPr>
              <w:t>Solar</w:t>
            </w:r>
          </w:p>
        </w:tc>
        <w:tc>
          <w:tcPr>
            <w:tcW w:w="2120" w:type="dxa"/>
            <w:vAlign w:val="bottom"/>
          </w:tcPr>
          <w:p>
            <w:pPr>
              <w:ind w:left="520"/>
              <w:spacing w:after="0"/>
              <w:rPr>
                <w:sz w:val="20"/>
                <w:szCs w:val="20"/>
                <w:color w:val="auto"/>
              </w:rPr>
            </w:pPr>
            <w:r>
              <w:rPr>
                <w:rFonts w:ascii="Arial" w:cs="Arial" w:eastAsia="Arial" w:hAnsi="Arial"/>
                <w:sz w:val="10"/>
                <w:szCs w:val="10"/>
                <w:color w:val="auto"/>
              </w:rPr>
              <w:t>Yes</w:t>
            </w:r>
          </w:p>
        </w:tc>
      </w:tr>
      <w:tr>
        <w:trPr>
          <w:trHeight w:val="126"/>
        </w:trPr>
        <w:tc>
          <w:tcPr>
            <w:tcW w:w="1560" w:type="dxa"/>
            <w:vAlign w:val="bottom"/>
          </w:tcPr>
          <w:p>
            <w:pPr>
              <w:spacing w:after="0"/>
              <w:rPr>
                <w:sz w:val="20"/>
                <w:szCs w:val="20"/>
                <w:color w:val="auto"/>
              </w:rPr>
            </w:pPr>
            <w:r>
              <w:rPr>
                <w:rFonts w:ascii="Arial" w:cs="Arial" w:eastAsia="Arial" w:hAnsi="Arial"/>
                <w:sz w:val="10"/>
                <w:szCs w:val="10"/>
                <w:color w:val="auto"/>
              </w:rPr>
              <w:t>Noordzee Wind NL</w:t>
            </w:r>
          </w:p>
        </w:tc>
        <w:tc>
          <w:tcPr>
            <w:tcW w:w="1180" w:type="dxa"/>
            <w:vAlign w:val="bottom"/>
          </w:tcPr>
          <w:p>
            <w:pPr>
              <w:ind w:left="60"/>
              <w:spacing w:after="0"/>
              <w:rPr>
                <w:sz w:val="20"/>
                <w:szCs w:val="20"/>
                <w:color w:val="auto"/>
              </w:rPr>
            </w:pPr>
            <w:r>
              <w:rPr>
                <w:rFonts w:ascii="Arial" w:cs="Arial" w:eastAsia="Arial" w:hAnsi="Arial"/>
                <w:sz w:val="10"/>
                <w:szCs w:val="10"/>
                <w:color w:val="auto"/>
              </w:rPr>
              <w:t>The Netherlands</w:t>
            </w:r>
          </w:p>
        </w:tc>
        <w:tc>
          <w:tcPr>
            <w:tcW w:w="1440" w:type="dxa"/>
            <w:vAlign w:val="bottom"/>
          </w:tcPr>
          <w:p>
            <w:pPr>
              <w:ind w:left="480"/>
              <w:spacing w:after="0"/>
              <w:rPr>
                <w:sz w:val="20"/>
                <w:szCs w:val="20"/>
                <w:color w:val="auto"/>
              </w:rPr>
            </w:pPr>
            <w:r>
              <w:rPr>
                <w:rFonts w:ascii="Arial" w:cs="Arial" w:eastAsia="Arial" w:hAnsi="Arial"/>
                <w:sz w:val="10"/>
                <w:szCs w:val="10"/>
                <w:color w:val="auto"/>
              </w:rPr>
              <w:t>50</w:t>
            </w:r>
          </w:p>
        </w:tc>
        <w:tc>
          <w:tcPr>
            <w:tcW w:w="1500" w:type="dxa"/>
            <w:vAlign w:val="bottom"/>
          </w:tcPr>
          <w:p>
            <w:pPr>
              <w:ind w:left="280"/>
              <w:spacing w:after="0"/>
              <w:rPr>
                <w:sz w:val="20"/>
                <w:szCs w:val="20"/>
                <w:color w:val="auto"/>
              </w:rPr>
            </w:pPr>
            <w:r>
              <w:rPr>
                <w:rFonts w:ascii="Arial" w:cs="Arial" w:eastAsia="Arial" w:hAnsi="Arial"/>
                <w:sz w:val="10"/>
                <w:szCs w:val="10"/>
                <w:color w:val="auto"/>
              </w:rPr>
              <w:t>108</w:t>
            </w:r>
          </w:p>
        </w:tc>
        <w:tc>
          <w:tcPr>
            <w:tcW w:w="1900" w:type="dxa"/>
            <w:vAlign w:val="bottom"/>
          </w:tcPr>
          <w:p>
            <w:pPr>
              <w:ind w:left="380"/>
              <w:spacing w:after="0"/>
              <w:rPr>
                <w:sz w:val="20"/>
                <w:szCs w:val="20"/>
                <w:color w:val="auto"/>
              </w:rPr>
            </w:pPr>
            <w:r>
              <w:rPr>
                <w:rFonts w:ascii="Arial" w:cs="Arial" w:eastAsia="Arial" w:hAnsi="Arial"/>
                <w:sz w:val="10"/>
                <w:szCs w:val="10"/>
                <w:color w:val="auto"/>
              </w:rPr>
              <w:t>Offshore Wind JV</w:t>
            </w:r>
          </w:p>
        </w:tc>
        <w:tc>
          <w:tcPr>
            <w:tcW w:w="1600" w:type="dxa"/>
            <w:vAlign w:val="bottom"/>
          </w:tcPr>
          <w:p>
            <w:pPr>
              <w:ind w:left="520"/>
              <w:spacing w:after="0"/>
              <w:rPr>
                <w:sz w:val="20"/>
                <w:szCs w:val="20"/>
                <w:color w:val="auto"/>
              </w:rPr>
            </w:pPr>
            <w:r>
              <w:rPr>
                <w:rFonts w:ascii="Arial" w:cs="Arial" w:eastAsia="Arial" w:hAnsi="Arial"/>
                <w:sz w:val="10"/>
                <w:szCs w:val="10"/>
                <w:color w:val="auto"/>
              </w:rPr>
              <w:t>Offshore wind</w:t>
            </w:r>
          </w:p>
        </w:tc>
        <w:tc>
          <w:tcPr>
            <w:tcW w:w="2120" w:type="dxa"/>
            <w:vAlign w:val="bottom"/>
          </w:tcPr>
          <w:p>
            <w:pPr>
              <w:ind w:left="520"/>
              <w:spacing w:after="0"/>
              <w:rPr>
                <w:sz w:val="20"/>
                <w:szCs w:val="20"/>
                <w:color w:val="auto"/>
              </w:rPr>
            </w:pPr>
            <w:r>
              <w:rPr>
                <w:rFonts w:ascii="Arial" w:cs="Arial" w:eastAsia="Arial" w:hAnsi="Arial"/>
                <w:sz w:val="10"/>
                <w:szCs w:val="10"/>
                <w:color w:val="auto"/>
              </w:rPr>
              <w:t>No</w:t>
            </w:r>
          </w:p>
        </w:tc>
      </w:tr>
      <w:tr>
        <w:trPr>
          <w:trHeight w:val="126"/>
        </w:trPr>
        <w:tc>
          <w:tcPr>
            <w:tcW w:w="1560" w:type="dxa"/>
            <w:vAlign w:val="bottom"/>
          </w:tcPr>
          <w:p>
            <w:pPr>
              <w:spacing w:after="0"/>
              <w:rPr>
                <w:sz w:val="20"/>
                <w:szCs w:val="20"/>
                <w:color w:val="auto"/>
              </w:rPr>
            </w:pPr>
            <w:r>
              <w:rPr>
                <w:rFonts w:ascii="Arial" w:cs="Arial" w:eastAsia="Arial" w:hAnsi="Arial"/>
                <w:sz w:val="10"/>
                <w:szCs w:val="10"/>
                <w:color w:val="auto"/>
              </w:rPr>
              <w:t>Brazos, TX</w:t>
            </w:r>
          </w:p>
        </w:tc>
        <w:tc>
          <w:tcPr>
            <w:tcW w:w="1180" w:type="dxa"/>
            <w:vAlign w:val="bottom"/>
          </w:tcPr>
          <w:p>
            <w:pPr>
              <w:ind w:left="60"/>
              <w:spacing w:after="0"/>
              <w:rPr>
                <w:sz w:val="20"/>
                <w:szCs w:val="20"/>
                <w:color w:val="auto"/>
              </w:rPr>
            </w:pPr>
            <w:r>
              <w:rPr>
                <w:rFonts w:ascii="Arial" w:cs="Arial" w:eastAsia="Arial" w:hAnsi="Arial"/>
                <w:sz w:val="10"/>
                <w:szCs w:val="10"/>
                <w:color w:val="auto"/>
              </w:rPr>
              <w:t>USA</w:t>
            </w:r>
          </w:p>
        </w:tc>
        <w:tc>
          <w:tcPr>
            <w:tcW w:w="1440" w:type="dxa"/>
            <w:vAlign w:val="bottom"/>
          </w:tcPr>
          <w:p>
            <w:pPr>
              <w:ind w:left="480"/>
              <w:spacing w:after="0"/>
              <w:rPr>
                <w:sz w:val="20"/>
                <w:szCs w:val="20"/>
                <w:color w:val="auto"/>
              </w:rPr>
            </w:pPr>
            <w:r>
              <w:rPr>
                <w:rFonts w:ascii="Arial" w:cs="Arial" w:eastAsia="Arial" w:hAnsi="Arial"/>
                <w:sz w:val="10"/>
                <w:szCs w:val="10"/>
                <w:color w:val="auto"/>
              </w:rPr>
              <w:t>100</w:t>
            </w:r>
          </w:p>
        </w:tc>
        <w:tc>
          <w:tcPr>
            <w:tcW w:w="1500" w:type="dxa"/>
            <w:vAlign w:val="bottom"/>
          </w:tcPr>
          <w:p>
            <w:pPr>
              <w:ind w:left="280"/>
              <w:spacing w:after="0"/>
              <w:rPr>
                <w:sz w:val="20"/>
                <w:szCs w:val="20"/>
                <w:color w:val="auto"/>
              </w:rPr>
            </w:pPr>
            <w:r>
              <w:rPr>
                <w:rFonts w:ascii="Arial" w:cs="Arial" w:eastAsia="Arial" w:hAnsi="Arial"/>
                <w:sz w:val="10"/>
                <w:szCs w:val="10"/>
                <w:color w:val="auto"/>
              </w:rPr>
              <w:t>160</w:t>
            </w:r>
          </w:p>
        </w:tc>
        <w:tc>
          <w:tcPr>
            <w:tcW w:w="1900" w:type="dxa"/>
            <w:vAlign w:val="bottom"/>
          </w:tcPr>
          <w:p>
            <w:pPr>
              <w:ind w:left="380"/>
              <w:spacing w:after="0"/>
              <w:rPr>
                <w:sz w:val="20"/>
                <w:szCs w:val="20"/>
                <w:color w:val="auto"/>
              </w:rPr>
            </w:pPr>
            <w:r>
              <w:rPr>
                <w:rFonts w:ascii="Arial" w:cs="Arial" w:eastAsia="Arial" w:hAnsi="Arial"/>
                <w:sz w:val="10"/>
                <w:szCs w:val="10"/>
                <w:color w:val="auto"/>
              </w:rPr>
              <w:t>Onshore wind Operations</w:t>
            </w:r>
          </w:p>
        </w:tc>
        <w:tc>
          <w:tcPr>
            <w:tcW w:w="1600" w:type="dxa"/>
            <w:vAlign w:val="bottom"/>
          </w:tcPr>
          <w:p>
            <w:pPr>
              <w:ind w:left="520"/>
              <w:spacing w:after="0"/>
              <w:rPr>
                <w:sz w:val="20"/>
                <w:szCs w:val="20"/>
                <w:color w:val="auto"/>
              </w:rPr>
            </w:pPr>
            <w:r>
              <w:rPr>
                <w:rFonts w:ascii="Arial" w:cs="Arial" w:eastAsia="Arial" w:hAnsi="Arial"/>
                <w:sz w:val="10"/>
                <w:szCs w:val="10"/>
                <w:color w:val="auto"/>
              </w:rPr>
              <w:t>Onshore wind</w:t>
            </w:r>
          </w:p>
        </w:tc>
        <w:tc>
          <w:tcPr>
            <w:tcW w:w="2120" w:type="dxa"/>
            <w:vAlign w:val="bottom"/>
          </w:tcPr>
          <w:p>
            <w:pPr>
              <w:ind w:left="520"/>
              <w:spacing w:after="0"/>
              <w:rPr>
                <w:sz w:val="20"/>
                <w:szCs w:val="20"/>
                <w:color w:val="auto"/>
              </w:rPr>
            </w:pPr>
            <w:r>
              <w:rPr>
                <w:rFonts w:ascii="Arial" w:cs="Arial" w:eastAsia="Arial" w:hAnsi="Arial"/>
                <w:sz w:val="10"/>
                <w:szCs w:val="10"/>
                <w:color w:val="auto"/>
              </w:rPr>
              <w:t>Yes</w:t>
            </w:r>
          </w:p>
        </w:tc>
      </w:tr>
      <w:tr>
        <w:trPr>
          <w:trHeight w:val="126"/>
        </w:trPr>
        <w:tc>
          <w:tcPr>
            <w:tcW w:w="1560" w:type="dxa"/>
            <w:vAlign w:val="bottom"/>
          </w:tcPr>
          <w:p>
            <w:pPr>
              <w:spacing w:after="0"/>
              <w:rPr>
                <w:sz w:val="20"/>
                <w:szCs w:val="20"/>
                <w:color w:val="auto"/>
              </w:rPr>
            </w:pPr>
            <w:r>
              <w:rPr>
                <w:rFonts w:ascii="Arial" w:cs="Arial" w:eastAsia="Arial" w:hAnsi="Arial"/>
                <w:sz w:val="10"/>
                <w:szCs w:val="10"/>
                <w:color w:val="auto"/>
              </w:rPr>
              <w:t>Whitewater Hill, CA</w:t>
            </w:r>
          </w:p>
        </w:tc>
        <w:tc>
          <w:tcPr>
            <w:tcW w:w="1180" w:type="dxa"/>
            <w:vAlign w:val="bottom"/>
          </w:tcPr>
          <w:p>
            <w:pPr>
              <w:ind w:left="60"/>
              <w:spacing w:after="0"/>
              <w:rPr>
                <w:sz w:val="20"/>
                <w:szCs w:val="20"/>
                <w:color w:val="auto"/>
              </w:rPr>
            </w:pPr>
            <w:r>
              <w:rPr>
                <w:rFonts w:ascii="Arial" w:cs="Arial" w:eastAsia="Arial" w:hAnsi="Arial"/>
                <w:sz w:val="10"/>
                <w:szCs w:val="10"/>
                <w:color w:val="auto"/>
              </w:rPr>
              <w:t>USA</w:t>
            </w:r>
          </w:p>
        </w:tc>
        <w:tc>
          <w:tcPr>
            <w:tcW w:w="1440" w:type="dxa"/>
            <w:vAlign w:val="bottom"/>
          </w:tcPr>
          <w:p>
            <w:pPr>
              <w:ind w:left="480"/>
              <w:spacing w:after="0"/>
              <w:rPr>
                <w:sz w:val="20"/>
                <w:szCs w:val="20"/>
                <w:color w:val="auto"/>
              </w:rPr>
            </w:pPr>
            <w:r>
              <w:rPr>
                <w:rFonts w:ascii="Arial" w:cs="Arial" w:eastAsia="Arial" w:hAnsi="Arial"/>
                <w:sz w:val="10"/>
                <w:szCs w:val="10"/>
                <w:color w:val="auto"/>
              </w:rPr>
              <w:t>50</w:t>
            </w:r>
          </w:p>
        </w:tc>
        <w:tc>
          <w:tcPr>
            <w:tcW w:w="1500" w:type="dxa"/>
            <w:vAlign w:val="bottom"/>
          </w:tcPr>
          <w:p>
            <w:pPr>
              <w:ind w:left="280"/>
              <w:spacing w:after="0"/>
              <w:rPr>
                <w:sz w:val="20"/>
                <w:szCs w:val="20"/>
                <w:color w:val="auto"/>
              </w:rPr>
            </w:pPr>
            <w:r>
              <w:rPr>
                <w:rFonts w:ascii="Arial" w:cs="Arial" w:eastAsia="Arial" w:hAnsi="Arial"/>
                <w:sz w:val="10"/>
                <w:szCs w:val="10"/>
                <w:color w:val="auto"/>
              </w:rPr>
              <w:t>61.5</w:t>
            </w:r>
          </w:p>
        </w:tc>
        <w:tc>
          <w:tcPr>
            <w:tcW w:w="1900" w:type="dxa"/>
            <w:vAlign w:val="bottom"/>
          </w:tcPr>
          <w:p>
            <w:pPr>
              <w:ind w:left="380"/>
              <w:spacing w:after="0"/>
              <w:rPr>
                <w:sz w:val="20"/>
                <w:szCs w:val="20"/>
                <w:color w:val="auto"/>
              </w:rPr>
            </w:pPr>
            <w:r>
              <w:rPr>
                <w:rFonts w:ascii="Arial" w:cs="Arial" w:eastAsia="Arial" w:hAnsi="Arial"/>
                <w:sz w:val="10"/>
                <w:szCs w:val="10"/>
                <w:color w:val="auto"/>
              </w:rPr>
              <w:t>Onshore wind Operations</w:t>
            </w:r>
          </w:p>
        </w:tc>
        <w:tc>
          <w:tcPr>
            <w:tcW w:w="1600" w:type="dxa"/>
            <w:vAlign w:val="bottom"/>
          </w:tcPr>
          <w:p>
            <w:pPr>
              <w:ind w:left="520"/>
              <w:spacing w:after="0"/>
              <w:rPr>
                <w:sz w:val="20"/>
                <w:szCs w:val="20"/>
                <w:color w:val="auto"/>
              </w:rPr>
            </w:pPr>
            <w:r>
              <w:rPr>
                <w:rFonts w:ascii="Arial" w:cs="Arial" w:eastAsia="Arial" w:hAnsi="Arial"/>
                <w:sz w:val="10"/>
                <w:szCs w:val="10"/>
                <w:color w:val="auto"/>
              </w:rPr>
              <w:t>Onshore wind</w:t>
            </w:r>
          </w:p>
        </w:tc>
        <w:tc>
          <w:tcPr>
            <w:tcW w:w="2120" w:type="dxa"/>
            <w:vAlign w:val="bottom"/>
          </w:tcPr>
          <w:p>
            <w:pPr>
              <w:ind w:left="520"/>
              <w:spacing w:after="0"/>
              <w:rPr>
                <w:sz w:val="20"/>
                <w:szCs w:val="20"/>
                <w:color w:val="auto"/>
              </w:rPr>
            </w:pPr>
            <w:r>
              <w:rPr>
                <w:rFonts w:ascii="Arial" w:cs="Arial" w:eastAsia="Arial" w:hAnsi="Arial"/>
                <w:sz w:val="10"/>
                <w:szCs w:val="10"/>
                <w:color w:val="auto"/>
              </w:rPr>
              <w:t>No</w:t>
            </w:r>
          </w:p>
        </w:tc>
      </w:tr>
      <w:tr>
        <w:trPr>
          <w:trHeight w:val="126"/>
        </w:trPr>
        <w:tc>
          <w:tcPr>
            <w:tcW w:w="1560" w:type="dxa"/>
            <w:vAlign w:val="bottom"/>
          </w:tcPr>
          <w:p>
            <w:pPr>
              <w:spacing w:after="0"/>
              <w:rPr>
                <w:sz w:val="20"/>
                <w:szCs w:val="20"/>
                <w:color w:val="auto"/>
              </w:rPr>
            </w:pPr>
            <w:r>
              <w:rPr>
                <w:rFonts w:ascii="Arial" w:cs="Arial" w:eastAsia="Arial" w:hAnsi="Arial"/>
                <w:sz w:val="10"/>
                <w:szCs w:val="10"/>
                <w:color w:val="auto"/>
              </w:rPr>
              <w:t>Rock River, WY</w:t>
            </w:r>
          </w:p>
        </w:tc>
        <w:tc>
          <w:tcPr>
            <w:tcW w:w="1180" w:type="dxa"/>
            <w:vAlign w:val="bottom"/>
          </w:tcPr>
          <w:p>
            <w:pPr>
              <w:ind w:left="60"/>
              <w:spacing w:after="0"/>
              <w:rPr>
                <w:sz w:val="20"/>
                <w:szCs w:val="20"/>
                <w:color w:val="auto"/>
              </w:rPr>
            </w:pPr>
            <w:r>
              <w:rPr>
                <w:rFonts w:ascii="Arial" w:cs="Arial" w:eastAsia="Arial" w:hAnsi="Arial"/>
                <w:sz w:val="10"/>
                <w:szCs w:val="10"/>
                <w:color w:val="auto"/>
              </w:rPr>
              <w:t>USA</w:t>
            </w:r>
          </w:p>
        </w:tc>
        <w:tc>
          <w:tcPr>
            <w:tcW w:w="1440" w:type="dxa"/>
            <w:vAlign w:val="bottom"/>
          </w:tcPr>
          <w:p>
            <w:pPr>
              <w:ind w:left="480"/>
              <w:spacing w:after="0"/>
              <w:rPr>
                <w:sz w:val="20"/>
                <w:szCs w:val="20"/>
                <w:color w:val="auto"/>
              </w:rPr>
            </w:pPr>
            <w:r>
              <w:rPr>
                <w:rFonts w:ascii="Arial" w:cs="Arial" w:eastAsia="Arial" w:hAnsi="Arial"/>
                <w:sz w:val="10"/>
                <w:szCs w:val="10"/>
                <w:color w:val="auto"/>
              </w:rPr>
              <w:t>50</w:t>
            </w:r>
          </w:p>
        </w:tc>
        <w:tc>
          <w:tcPr>
            <w:tcW w:w="1500" w:type="dxa"/>
            <w:vAlign w:val="bottom"/>
          </w:tcPr>
          <w:p>
            <w:pPr>
              <w:ind w:left="280"/>
              <w:spacing w:after="0"/>
              <w:rPr>
                <w:sz w:val="20"/>
                <w:szCs w:val="20"/>
                <w:color w:val="auto"/>
              </w:rPr>
            </w:pPr>
            <w:r>
              <w:rPr>
                <w:rFonts w:ascii="Arial" w:cs="Arial" w:eastAsia="Arial" w:hAnsi="Arial"/>
                <w:sz w:val="10"/>
                <w:szCs w:val="10"/>
                <w:color w:val="auto"/>
              </w:rPr>
              <w:t>49</w:t>
            </w:r>
          </w:p>
        </w:tc>
        <w:tc>
          <w:tcPr>
            <w:tcW w:w="1900" w:type="dxa"/>
            <w:vAlign w:val="bottom"/>
          </w:tcPr>
          <w:p>
            <w:pPr>
              <w:ind w:left="380"/>
              <w:spacing w:after="0"/>
              <w:rPr>
                <w:sz w:val="20"/>
                <w:szCs w:val="20"/>
                <w:color w:val="auto"/>
              </w:rPr>
            </w:pPr>
            <w:r>
              <w:rPr>
                <w:rFonts w:ascii="Arial" w:cs="Arial" w:eastAsia="Arial" w:hAnsi="Arial"/>
                <w:sz w:val="10"/>
                <w:szCs w:val="10"/>
                <w:color w:val="auto"/>
              </w:rPr>
              <w:t>Onshore wind Operations</w:t>
            </w:r>
          </w:p>
        </w:tc>
        <w:tc>
          <w:tcPr>
            <w:tcW w:w="1600" w:type="dxa"/>
            <w:vAlign w:val="bottom"/>
          </w:tcPr>
          <w:p>
            <w:pPr>
              <w:ind w:left="520"/>
              <w:spacing w:after="0"/>
              <w:rPr>
                <w:sz w:val="20"/>
                <w:szCs w:val="20"/>
                <w:color w:val="auto"/>
              </w:rPr>
            </w:pPr>
            <w:r>
              <w:rPr>
                <w:rFonts w:ascii="Arial" w:cs="Arial" w:eastAsia="Arial" w:hAnsi="Arial"/>
                <w:sz w:val="10"/>
                <w:szCs w:val="10"/>
                <w:color w:val="auto"/>
              </w:rPr>
              <w:t>Onshore wind</w:t>
            </w:r>
          </w:p>
        </w:tc>
        <w:tc>
          <w:tcPr>
            <w:tcW w:w="2120" w:type="dxa"/>
            <w:vAlign w:val="bottom"/>
          </w:tcPr>
          <w:p>
            <w:pPr>
              <w:ind w:left="520"/>
              <w:spacing w:after="0"/>
              <w:rPr>
                <w:sz w:val="20"/>
                <w:szCs w:val="20"/>
                <w:color w:val="auto"/>
              </w:rPr>
            </w:pPr>
            <w:r>
              <w:rPr>
                <w:rFonts w:ascii="Arial" w:cs="Arial" w:eastAsia="Arial" w:hAnsi="Arial"/>
                <w:sz w:val="10"/>
                <w:szCs w:val="10"/>
                <w:color w:val="auto"/>
              </w:rPr>
              <w:t>No</w:t>
            </w:r>
          </w:p>
        </w:tc>
      </w:tr>
      <w:tr>
        <w:trPr>
          <w:trHeight w:val="126"/>
        </w:trPr>
        <w:tc>
          <w:tcPr>
            <w:tcW w:w="1560" w:type="dxa"/>
            <w:vAlign w:val="bottom"/>
          </w:tcPr>
          <w:p>
            <w:pPr>
              <w:spacing w:after="0"/>
              <w:rPr>
                <w:sz w:val="20"/>
                <w:szCs w:val="20"/>
                <w:color w:val="auto"/>
              </w:rPr>
            </w:pPr>
            <w:r>
              <w:rPr>
                <w:rFonts w:ascii="Arial" w:cs="Arial" w:eastAsia="Arial" w:hAnsi="Arial"/>
                <w:sz w:val="10"/>
                <w:szCs w:val="10"/>
                <w:color w:val="auto"/>
              </w:rPr>
              <w:t>Cabazon Pass, CA</w:t>
            </w:r>
          </w:p>
        </w:tc>
        <w:tc>
          <w:tcPr>
            <w:tcW w:w="1180" w:type="dxa"/>
            <w:vAlign w:val="bottom"/>
          </w:tcPr>
          <w:p>
            <w:pPr>
              <w:ind w:left="60"/>
              <w:spacing w:after="0"/>
              <w:rPr>
                <w:sz w:val="20"/>
                <w:szCs w:val="20"/>
                <w:color w:val="auto"/>
              </w:rPr>
            </w:pPr>
            <w:r>
              <w:rPr>
                <w:rFonts w:ascii="Arial" w:cs="Arial" w:eastAsia="Arial" w:hAnsi="Arial"/>
                <w:sz w:val="10"/>
                <w:szCs w:val="10"/>
                <w:color w:val="auto"/>
              </w:rPr>
              <w:t>USA</w:t>
            </w:r>
          </w:p>
        </w:tc>
        <w:tc>
          <w:tcPr>
            <w:tcW w:w="1440" w:type="dxa"/>
            <w:vAlign w:val="bottom"/>
          </w:tcPr>
          <w:p>
            <w:pPr>
              <w:ind w:left="480"/>
              <w:spacing w:after="0"/>
              <w:rPr>
                <w:sz w:val="20"/>
                <w:szCs w:val="20"/>
                <w:color w:val="auto"/>
              </w:rPr>
            </w:pPr>
            <w:r>
              <w:rPr>
                <w:rFonts w:ascii="Arial" w:cs="Arial" w:eastAsia="Arial" w:hAnsi="Arial"/>
                <w:sz w:val="10"/>
                <w:szCs w:val="10"/>
                <w:color w:val="auto"/>
              </w:rPr>
              <w:t>50</w:t>
            </w:r>
          </w:p>
        </w:tc>
        <w:tc>
          <w:tcPr>
            <w:tcW w:w="1500" w:type="dxa"/>
            <w:vAlign w:val="bottom"/>
          </w:tcPr>
          <w:p>
            <w:pPr>
              <w:ind w:left="280"/>
              <w:spacing w:after="0"/>
              <w:rPr>
                <w:sz w:val="20"/>
                <w:szCs w:val="20"/>
                <w:color w:val="auto"/>
              </w:rPr>
            </w:pPr>
            <w:r>
              <w:rPr>
                <w:rFonts w:ascii="Arial" w:cs="Arial" w:eastAsia="Arial" w:hAnsi="Arial"/>
                <w:sz w:val="10"/>
                <w:szCs w:val="10"/>
                <w:color w:val="auto"/>
              </w:rPr>
              <w:t>41</w:t>
            </w:r>
          </w:p>
        </w:tc>
        <w:tc>
          <w:tcPr>
            <w:tcW w:w="1900" w:type="dxa"/>
            <w:vAlign w:val="bottom"/>
          </w:tcPr>
          <w:p>
            <w:pPr>
              <w:ind w:left="380"/>
              <w:spacing w:after="0"/>
              <w:rPr>
                <w:sz w:val="20"/>
                <w:szCs w:val="20"/>
                <w:color w:val="auto"/>
              </w:rPr>
            </w:pPr>
            <w:r>
              <w:rPr>
                <w:rFonts w:ascii="Arial" w:cs="Arial" w:eastAsia="Arial" w:hAnsi="Arial"/>
                <w:sz w:val="10"/>
                <w:szCs w:val="10"/>
                <w:color w:val="auto"/>
              </w:rPr>
              <w:t>Onshore wind Operations</w:t>
            </w:r>
          </w:p>
        </w:tc>
        <w:tc>
          <w:tcPr>
            <w:tcW w:w="1600" w:type="dxa"/>
            <w:vAlign w:val="bottom"/>
          </w:tcPr>
          <w:p>
            <w:pPr>
              <w:ind w:left="520"/>
              <w:spacing w:after="0"/>
              <w:rPr>
                <w:sz w:val="20"/>
                <w:szCs w:val="20"/>
                <w:color w:val="auto"/>
              </w:rPr>
            </w:pPr>
            <w:r>
              <w:rPr>
                <w:rFonts w:ascii="Arial" w:cs="Arial" w:eastAsia="Arial" w:hAnsi="Arial"/>
                <w:sz w:val="10"/>
                <w:szCs w:val="10"/>
                <w:color w:val="auto"/>
              </w:rPr>
              <w:t>Onshore wind</w:t>
            </w:r>
          </w:p>
        </w:tc>
        <w:tc>
          <w:tcPr>
            <w:tcW w:w="2120" w:type="dxa"/>
            <w:vAlign w:val="bottom"/>
          </w:tcPr>
          <w:p>
            <w:pPr>
              <w:ind w:left="520"/>
              <w:spacing w:after="0"/>
              <w:rPr>
                <w:sz w:val="20"/>
                <w:szCs w:val="20"/>
                <w:color w:val="auto"/>
              </w:rPr>
            </w:pPr>
            <w:r>
              <w:rPr>
                <w:rFonts w:ascii="Arial" w:cs="Arial" w:eastAsia="Arial" w:hAnsi="Arial"/>
                <w:sz w:val="10"/>
                <w:szCs w:val="10"/>
                <w:color w:val="auto"/>
              </w:rPr>
              <w:t>No</w:t>
            </w:r>
          </w:p>
        </w:tc>
      </w:tr>
      <w:tr>
        <w:trPr>
          <w:trHeight w:val="126"/>
        </w:trPr>
        <w:tc>
          <w:tcPr>
            <w:tcW w:w="1560" w:type="dxa"/>
            <w:vAlign w:val="bottom"/>
          </w:tcPr>
          <w:p>
            <w:pPr>
              <w:spacing w:after="0"/>
              <w:rPr>
                <w:sz w:val="20"/>
                <w:szCs w:val="20"/>
                <w:color w:val="auto"/>
              </w:rPr>
            </w:pPr>
            <w:r>
              <w:rPr>
                <w:rFonts w:ascii="Arial" w:cs="Arial" w:eastAsia="Arial" w:hAnsi="Arial"/>
                <w:sz w:val="10"/>
                <w:szCs w:val="10"/>
                <w:color w:val="auto"/>
              </w:rPr>
              <w:t>Sohar Solar Quabas</w:t>
            </w:r>
          </w:p>
        </w:tc>
        <w:tc>
          <w:tcPr>
            <w:tcW w:w="1180" w:type="dxa"/>
            <w:vAlign w:val="bottom"/>
          </w:tcPr>
          <w:p>
            <w:pPr>
              <w:ind w:left="60"/>
              <w:spacing w:after="0"/>
              <w:rPr>
                <w:sz w:val="20"/>
                <w:szCs w:val="20"/>
                <w:color w:val="auto"/>
              </w:rPr>
            </w:pPr>
            <w:r>
              <w:rPr>
                <w:rFonts w:ascii="Arial" w:cs="Arial" w:eastAsia="Arial" w:hAnsi="Arial"/>
                <w:sz w:val="10"/>
                <w:szCs w:val="10"/>
                <w:color w:val="auto"/>
              </w:rPr>
              <w:t>Oman</w:t>
            </w:r>
          </w:p>
        </w:tc>
        <w:tc>
          <w:tcPr>
            <w:tcW w:w="1440" w:type="dxa"/>
            <w:vAlign w:val="bottom"/>
          </w:tcPr>
          <w:p>
            <w:pPr>
              <w:ind w:left="480"/>
              <w:spacing w:after="0"/>
              <w:rPr>
                <w:sz w:val="20"/>
                <w:szCs w:val="20"/>
                <w:color w:val="auto"/>
              </w:rPr>
            </w:pPr>
            <w:r>
              <w:rPr>
                <w:rFonts w:ascii="Arial" w:cs="Arial" w:eastAsia="Arial" w:hAnsi="Arial"/>
                <w:sz w:val="10"/>
                <w:szCs w:val="10"/>
                <w:color w:val="auto"/>
              </w:rPr>
              <w:t>100</w:t>
            </w:r>
          </w:p>
        </w:tc>
        <w:tc>
          <w:tcPr>
            <w:tcW w:w="1500" w:type="dxa"/>
            <w:vAlign w:val="bottom"/>
          </w:tcPr>
          <w:p>
            <w:pPr>
              <w:ind w:left="280"/>
              <w:spacing w:after="0"/>
              <w:rPr>
                <w:sz w:val="20"/>
                <w:szCs w:val="20"/>
                <w:color w:val="auto"/>
              </w:rPr>
            </w:pPr>
            <w:r>
              <w:rPr>
                <w:rFonts w:ascii="Arial" w:cs="Arial" w:eastAsia="Arial" w:hAnsi="Arial"/>
                <w:sz w:val="10"/>
                <w:szCs w:val="10"/>
                <w:color w:val="auto"/>
              </w:rPr>
              <w:t>34</w:t>
            </w:r>
          </w:p>
        </w:tc>
        <w:tc>
          <w:tcPr>
            <w:tcW w:w="1900" w:type="dxa"/>
            <w:vAlign w:val="bottom"/>
          </w:tcPr>
          <w:p>
            <w:pPr>
              <w:ind w:left="380"/>
              <w:spacing w:after="0"/>
              <w:rPr>
                <w:sz w:val="20"/>
                <w:szCs w:val="20"/>
                <w:color w:val="auto"/>
              </w:rPr>
            </w:pPr>
            <w:r>
              <w:rPr>
                <w:rFonts w:ascii="Arial" w:cs="Arial" w:eastAsia="Arial" w:hAnsi="Arial"/>
                <w:sz w:val="10"/>
                <w:szCs w:val="10"/>
                <w:color w:val="auto"/>
              </w:rPr>
              <w:t>Solar Development</w:t>
            </w:r>
          </w:p>
        </w:tc>
        <w:tc>
          <w:tcPr>
            <w:tcW w:w="1600" w:type="dxa"/>
            <w:vAlign w:val="bottom"/>
          </w:tcPr>
          <w:p>
            <w:pPr>
              <w:ind w:left="520"/>
              <w:spacing w:after="0"/>
              <w:rPr>
                <w:sz w:val="20"/>
                <w:szCs w:val="20"/>
                <w:color w:val="auto"/>
              </w:rPr>
            </w:pPr>
            <w:r>
              <w:rPr>
                <w:rFonts w:ascii="Arial" w:cs="Arial" w:eastAsia="Arial" w:hAnsi="Arial"/>
                <w:sz w:val="10"/>
                <w:szCs w:val="10"/>
                <w:color w:val="auto"/>
              </w:rPr>
              <w:t>Solar</w:t>
            </w:r>
          </w:p>
        </w:tc>
        <w:tc>
          <w:tcPr>
            <w:tcW w:w="2120" w:type="dxa"/>
            <w:vAlign w:val="bottom"/>
          </w:tcPr>
          <w:p>
            <w:pPr>
              <w:ind w:left="520"/>
              <w:spacing w:after="0"/>
              <w:rPr>
                <w:sz w:val="20"/>
                <w:szCs w:val="20"/>
                <w:color w:val="auto"/>
              </w:rPr>
            </w:pPr>
            <w:r>
              <w:rPr>
                <w:rFonts w:ascii="Arial" w:cs="Arial" w:eastAsia="Arial" w:hAnsi="Arial"/>
                <w:sz w:val="10"/>
                <w:szCs w:val="10"/>
                <w:color w:val="auto"/>
              </w:rPr>
              <w:t>Yes</w:t>
            </w:r>
          </w:p>
        </w:tc>
      </w:tr>
      <w:tr>
        <w:trPr>
          <w:trHeight w:val="126"/>
        </w:trPr>
        <w:tc>
          <w:tcPr>
            <w:tcW w:w="1560" w:type="dxa"/>
            <w:vAlign w:val="bottom"/>
          </w:tcPr>
          <w:p>
            <w:pPr>
              <w:spacing w:after="0"/>
              <w:rPr>
                <w:sz w:val="20"/>
                <w:szCs w:val="20"/>
                <w:color w:val="auto"/>
              </w:rPr>
            </w:pPr>
            <w:r>
              <w:rPr>
                <w:rFonts w:ascii="Arial" w:cs="Arial" w:eastAsia="Arial" w:hAnsi="Arial"/>
                <w:sz w:val="10"/>
                <w:szCs w:val="10"/>
                <w:color w:val="auto"/>
              </w:rPr>
              <w:t>Emmen</w:t>
            </w:r>
          </w:p>
        </w:tc>
        <w:tc>
          <w:tcPr>
            <w:tcW w:w="1180" w:type="dxa"/>
            <w:vAlign w:val="bottom"/>
          </w:tcPr>
          <w:p>
            <w:pPr>
              <w:ind w:left="60"/>
              <w:spacing w:after="0"/>
              <w:rPr>
                <w:sz w:val="20"/>
                <w:szCs w:val="20"/>
                <w:color w:val="auto"/>
              </w:rPr>
            </w:pPr>
            <w:r>
              <w:rPr>
                <w:rFonts w:ascii="Arial" w:cs="Arial" w:eastAsia="Arial" w:hAnsi="Arial"/>
                <w:sz w:val="10"/>
                <w:szCs w:val="10"/>
                <w:color w:val="auto"/>
              </w:rPr>
              <w:t>The Netherlands</w:t>
            </w:r>
          </w:p>
        </w:tc>
        <w:tc>
          <w:tcPr>
            <w:tcW w:w="1440" w:type="dxa"/>
            <w:vAlign w:val="bottom"/>
          </w:tcPr>
          <w:p>
            <w:pPr>
              <w:ind w:left="480"/>
              <w:spacing w:after="0"/>
              <w:rPr>
                <w:sz w:val="20"/>
                <w:szCs w:val="20"/>
                <w:color w:val="auto"/>
              </w:rPr>
            </w:pPr>
            <w:r>
              <w:rPr>
                <w:rFonts w:ascii="Arial" w:cs="Arial" w:eastAsia="Arial" w:hAnsi="Arial"/>
                <w:sz w:val="10"/>
                <w:szCs w:val="10"/>
                <w:color w:val="auto"/>
              </w:rPr>
              <w:t>100</w:t>
            </w:r>
          </w:p>
        </w:tc>
        <w:tc>
          <w:tcPr>
            <w:tcW w:w="1500" w:type="dxa"/>
            <w:vAlign w:val="bottom"/>
          </w:tcPr>
          <w:p>
            <w:pPr>
              <w:ind w:left="280"/>
              <w:spacing w:after="0"/>
              <w:rPr>
                <w:sz w:val="20"/>
                <w:szCs w:val="20"/>
                <w:color w:val="auto"/>
              </w:rPr>
            </w:pPr>
            <w:r>
              <w:rPr>
                <w:rFonts w:ascii="Arial" w:cs="Arial" w:eastAsia="Arial" w:hAnsi="Arial"/>
                <w:sz w:val="10"/>
                <w:szCs w:val="10"/>
                <w:color w:val="auto"/>
              </w:rPr>
              <w:t>12</w:t>
            </w:r>
          </w:p>
        </w:tc>
        <w:tc>
          <w:tcPr>
            <w:tcW w:w="1900" w:type="dxa"/>
            <w:vAlign w:val="bottom"/>
          </w:tcPr>
          <w:p>
            <w:pPr>
              <w:ind w:left="380"/>
              <w:spacing w:after="0"/>
              <w:rPr>
                <w:sz w:val="20"/>
                <w:szCs w:val="20"/>
                <w:color w:val="auto"/>
              </w:rPr>
            </w:pPr>
            <w:r>
              <w:rPr>
                <w:rFonts w:ascii="Arial" w:cs="Arial" w:eastAsia="Arial" w:hAnsi="Arial"/>
                <w:sz w:val="10"/>
                <w:szCs w:val="10"/>
                <w:color w:val="auto"/>
              </w:rPr>
              <w:t>Solar Development</w:t>
            </w:r>
          </w:p>
        </w:tc>
        <w:tc>
          <w:tcPr>
            <w:tcW w:w="1600" w:type="dxa"/>
            <w:vAlign w:val="bottom"/>
          </w:tcPr>
          <w:p>
            <w:pPr>
              <w:ind w:left="520"/>
              <w:spacing w:after="0"/>
              <w:rPr>
                <w:sz w:val="20"/>
                <w:szCs w:val="20"/>
                <w:color w:val="auto"/>
              </w:rPr>
            </w:pPr>
            <w:r>
              <w:rPr>
                <w:rFonts w:ascii="Arial" w:cs="Arial" w:eastAsia="Arial" w:hAnsi="Arial"/>
                <w:sz w:val="10"/>
                <w:szCs w:val="10"/>
                <w:color w:val="auto"/>
              </w:rPr>
              <w:t>Solar</w:t>
            </w:r>
          </w:p>
        </w:tc>
        <w:tc>
          <w:tcPr>
            <w:tcW w:w="2120" w:type="dxa"/>
            <w:vAlign w:val="bottom"/>
          </w:tcPr>
          <w:p>
            <w:pPr>
              <w:ind w:left="520"/>
              <w:spacing w:after="0"/>
              <w:rPr>
                <w:sz w:val="20"/>
                <w:szCs w:val="20"/>
                <w:color w:val="auto"/>
              </w:rPr>
            </w:pPr>
            <w:r>
              <w:rPr>
                <w:rFonts w:ascii="Arial" w:cs="Arial" w:eastAsia="Arial" w:hAnsi="Arial"/>
                <w:sz w:val="10"/>
                <w:szCs w:val="10"/>
                <w:color w:val="auto"/>
              </w:rPr>
              <w:t>Yes</w:t>
            </w:r>
          </w:p>
        </w:tc>
      </w:tr>
      <w:tr>
        <w:trPr>
          <w:trHeight w:val="126"/>
        </w:trPr>
        <w:tc>
          <w:tcPr>
            <w:tcW w:w="1560" w:type="dxa"/>
            <w:vAlign w:val="bottom"/>
          </w:tcPr>
          <w:p>
            <w:pPr>
              <w:spacing w:after="0"/>
              <w:rPr>
                <w:sz w:val="20"/>
                <w:szCs w:val="20"/>
                <w:color w:val="auto"/>
              </w:rPr>
            </w:pPr>
            <w:r>
              <w:rPr>
                <w:rFonts w:ascii="Arial" w:cs="Arial" w:eastAsia="Arial" w:hAnsi="Arial"/>
                <w:sz w:val="10"/>
                <w:szCs w:val="10"/>
                <w:color w:val="auto"/>
              </w:rPr>
              <w:t>Heerenveen</w:t>
            </w:r>
          </w:p>
        </w:tc>
        <w:tc>
          <w:tcPr>
            <w:tcW w:w="1180" w:type="dxa"/>
            <w:vAlign w:val="bottom"/>
          </w:tcPr>
          <w:p>
            <w:pPr>
              <w:ind w:left="60"/>
              <w:spacing w:after="0"/>
              <w:rPr>
                <w:sz w:val="20"/>
                <w:szCs w:val="20"/>
                <w:color w:val="auto"/>
              </w:rPr>
            </w:pPr>
            <w:r>
              <w:rPr>
                <w:rFonts w:ascii="Arial" w:cs="Arial" w:eastAsia="Arial" w:hAnsi="Arial"/>
                <w:sz w:val="10"/>
                <w:szCs w:val="10"/>
                <w:color w:val="auto"/>
              </w:rPr>
              <w:t>The Netherlands</w:t>
            </w:r>
          </w:p>
        </w:tc>
        <w:tc>
          <w:tcPr>
            <w:tcW w:w="1440" w:type="dxa"/>
            <w:vAlign w:val="bottom"/>
          </w:tcPr>
          <w:p>
            <w:pPr>
              <w:ind w:left="480"/>
              <w:spacing w:after="0"/>
              <w:rPr>
                <w:sz w:val="20"/>
                <w:szCs w:val="20"/>
                <w:color w:val="auto"/>
              </w:rPr>
            </w:pPr>
            <w:r>
              <w:rPr>
                <w:rFonts w:ascii="Arial" w:cs="Arial" w:eastAsia="Arial" w:hAnsi="Arial"/>
                <w:sz w:val="10"/>
                <w:szCs w:val="10"/>
                <w:color w:val="auto"/>
              </w:rPr>
              <w:t>100</w:t>
            </w:r>
          </w:p>
        </w:tc>
        <w:tc>
          <w:tcPr>
            <w:tcW w:w="1500" w:type="dxa"/>
            <w:vAlign w:val="bottom"/>
          </w:tcPr>
          <w:p>
            <w:pPr>
              <w:ind w:left="280"/>
              <w:spacing w:after="0"/>
              <w:rPr>
                <w:sz w:val="20"/>
                <w:szCs w:val="20"/>
                <w:color w:val="auto"/>
              </w:rPr>
            </w:pPr>
            <w:r>
              <w:rPr>
                <w:rFonts w:ascii="Arial" w:cs="Arial" w:eastAsia="Arial" w:hAnsi="Arial"/>
                <w:sz w:val="10"/>
                <w:szCs w:val="10"/>
                <w:color w:val="auto"/>
              </w:rPr>
              <w:t>14.5</w:t>
            </w:r>
          </w:p>
        </w:tc>
        <w:tc>
          <w:tcPr>
            <w:tcW w:w="1900" w:type="dxa"/>
            <w:vAlign w:val="bottom"/>
          </w:tcPr>
          <w:p>
            <w:pPr>
              <w:ind w:left="380"/>
              <w:spacing w:after="0"/>
              <w:rPr>
                <w:sz w:val="20"/>
                <w:szCs w:val="20"/>
                <w:color w:val="auto"/>
              </w:rPr>
            </w:pPr>
            <w:r>
              <w:rPr>
                <w:rFonts w:ascii="Arial" w:cs="Arial" w:eastAsia="Arial" w:hAnsi="Arial"/>
                <w:sz w:val="10"/>
                <w:szCs w:val="10"/>
                <w:color w:val="auto"/>
              </w:rPr>
              <w:t>Solar Development</w:t>
            </w:r>
          </w:p>
        </w:tc>
        <w:tc>
          <w:tcPr>
            <w:tcW w:w="1600" w:type="dxa"/>
            <w:vAlign w:val="bottom"/>
          </w:tcPr>
          <w:p>
            <w:pPr>
              <w:ind w:left="520"/>
              <w:spacing w:after="0"/>
              <w:rPr>
                <w:sz w:val="20"/>
                <w:szCs w:val="20"/>
                <w:color w:val="auto"/>
              </w:rPr>
            </w:pPr>
            <w:r>
              <w:rPr>
                <w:rFonts w:ascii="Arial" w:cs="Arial" w:eastAsia="Arial" w:hAnsi="Arial"/>
                <w:sz w:val="10"/>
                <w:szCs w:val="10"/>
                <w:color w:val="auto"/>
              </w:rPr>
              <w:t>Solar</w:t>
            </w:r>
          </w:p>
        </w:tc>
        <w:tc>
          <w:tcPr>
            <w:tcW w:w="2120" w:type="dxa"/>
            <w:vAlign w:val="bottom"/>
          </w:tcPr>
          <w:p>
            <w:pPr>
              <w:ind w:left="520"/>
              <w:spacing w:after="0"/>
              <w:rPr>
                <w:sz w:val="20"/>
                <w:szCs w:val="20"/>
                <w:color w:val="auto"/>
              </w:rPr>
            </w:pPr>
            <w:r>
              <w:rPr>
                <w:rFonts w:ascii="Arial" w:cs="Arial" w:eastAsia="Arial" w:hAnsi="Arial"/>
                <w:sz w:val="10"/>
                <w:szCs w:val="10"/>
                <w:color w:val="auto"/>
              </w:rPr>
              <w:t>Yes</w:t>
            </w:r>
          </w:p>
        </w:tc>
      </w:tr>
    </w:tbl>
    <w:p>
      <w:pPr>
        <w:spacing w:after="0" w:line="73" w:lineRule="exact"/>
        <w:rPr>
          <w:sz w:val="20"/>
          <w:szCs w:val="20"/>
          <w:color w:val="auto"/>
        </w:rPr>
      </w:pPr>
    </w:p>
    <w:p>
      <w:pPr>
        <w:ind w:left="8"/>
        <w:spacing w:after="0"/>
        <w:rPr>
          <w:sz w:val="20"/>
          <w:szCs w:val="20"/>
          <w:color w:val="auto"/>
        </w:rPr>
      </w:pPr>
      <w:r>
        <w:rPr>
          <w:rFonts w:ascii="Arial" w:cs="Arial" w:eastAsia="Arial" w:hAnsi="Arial"/>
          <w:sz w:val="7"/>
          <w:szCs w:val="7"/>
          <w:color w:val="auto"/>
        </w:rPr>
        <w:t>[A] Shell interest in Cleantech is 49% where Cleantech owns 50% of the projects. Therefore 24.5% Shell interest is reported.</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2740" w:type="dxa"/>
            <w:vAlign w:val="bottom"/>
            <w:gridSpan w:val="2"/>
          </w:tcPr>
          <w:p>
            <w:pPr>
              <w:spacing w:after="0"/>
              <w:rPr>
                <w:sz w:val="20"/>
                <w:szCs w:val="20"/>
                <w:color w:val="auto"/>
              </w:rPr>
            </w:pPr>
            <w:r>
              <w:rPr>
                <w:rFonts w:ascii="Arial" w:cs="Arial" w:eastAsia="Arial" w:hAnsi="Arial"/>
                <w:sz w:val="10"/>
                <w:szCs w:val="10"/>
                <w:color w:val="auto"/>
              </w:rPr>
              <w:t>Renewable power projects under construction</w:t>
            </w:r>
          </w:p>
        </w:tc>
        <w:tc>
          <w:tcPr>
            <w:tcW w:w="14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20" w:type="dxa"/>
            <w:vAlign w:val="bottom"/>
          </w:tcPr>
          <w:p>
            <w:pPr>
              <w:spacing w:after="0"/>
              <w:rPr>
                <w:sz w:val="10"/>
                <w:szCs w:val="10"/>
                <w:color w:val="auto"/>
              </w:rPr>
            </w:pPr>
          </w:p>
        </w:tc>
      </w:tr>
      <w:tr>
        <w:trPr>
          <w:trHeight w:val="139"/>
        </w:trPr>
        <w:tc>
          <w:tcPr>
            <w:tcW w:w="1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Project</w:t>
            </w:r>
          </w:p>
        </w:tc>
        <w:tc>
          <w:tcPr>
            <w:tcW w:w="154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Location</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Shell interest (%)</w:t>
            </w: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0"/>
                <w:szCs w:val="10"/>
                <w:color w:val="auto"/>
              </w:rPr>
              <w:t>100% capacity (MW)</w:t>
            </w:r>
          </w:p>
        </w:tc>
        <w:tc>
          <w:tcPr>
            <w:tcW w:w="1960" w:type="dxa"/>
            <w:vAlign w:val="bottom"/>
            <w:tcBorders>
              <w:bottom w:val="single" w:sz="8" w:color="auto"/>
            </w:tcBorders>
          </w:tcPr>
          <w:p>
            <w:pPr>
              <w:ind w:left="380"/>
              <w:spacing w:after="0"/>
              <w:rPr>
                <w:sz w:val="20"/>
                <w:szCs w:val="20"/>
                <w:color w:val="auto"/>
              </w:rPr>
            </w:pPr>
            <w:r>
              <w:rPr>
                <w:rFonts w:ascii="Arial" w:cs="Arial" w:eastAsia="Arial" w:hAnsi="Arial"/>
                <w:sz w:val="10"/>
                <w:szCs w:val="10"/>
                <w:color w:val="auto"/>
              </w:rPr>
              <w:t>Type</w:t>
            </w: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0"/>
                <w:szCs w:val="10"/>
                <w:color w:val="auto"/>
              </w:rPr>
              <w:t>Theme</w:t>
            </w:r>
          </w:p>
        </w:tc>
        <w:tc>
          <w:tcPr>
            <w:tcW w:w="2120" w:type="dxa"/>
            <w:vAlign w:val="bottom"/>
            <w:tcBorders>
              <w:bottom w:val="single" w:sz="8" w:color="auto"/>
            </w:tcBorders>
          </w:tcPr>
          <w:p>
            <w:pPr>
              <w:ind w:left="520"/>
              <w:spacing w:after="0"/>
              <w:rPr>
                <w:sz w:val="20"/>
                <w:szCs w:val="20"/>
                <w:color w:val="auto"/>
              </w:rPr>
            </w:pPr>
            <w:r>
              <w:rPr>
                <w:rFonts w:ascii="Arial" w:cs="Arial" w:eastAsia="Arial" w:hAnsi="Arial"/>
                <w:sz w:val="10"/>
                <w:szCs w:val="10"/>
                <w:color w:val="auto"/>
              </w:rPr>
              <w:t>Shell-operated</w:t>
            </w:r>
          </w:p>
        </w:tc>
      </w:tr>
      <w:tr>
        <w:trPr>
          <w:trHeight w:val="114"/>
        </w:trPr>
        <w:tc>
          <w:tcPr>
            <w:tcW w:w="1200" w:type="dxa"/>
            <w:vAlign w:val="bottom"/>
          </w:tcPr>
          <w:p>
            <w:pPr>
              <w:spacing w:after="0"/>
              <w:rPr>
                <w:sz w:val="20"/>
                <w:szCs w:val="20"/>
                <w:color w:val="auto"/>
              </w:rPr>
            </w:pPr>
            <w:r>
              <w:rPr>
                <w:rFonts w:ascii="Arial" w:cs="Arial" w:eastAsia="Arial" w:hAnsi="Arial"/>
                <w:sz w:val="10"/>
                <w:szCs w:val="10"/>
                <w:color w:val="auto"/>
              </w:rPr>
              <w:t>Gangarri</w:t>
            </w:r>
          </w:p>
        </w:tc>
        <w:tc>
          <w:tcPr>
            <w:tcW w:w="1540" w:type="dxa"/>
            <w:vAlign w:val="bottom"/>
          </w:tcPr>
          <w:p>
            <w:pPr>
              <w:ind w:left="420"/>
              <w:spacing w:after="0"/>
              <w:rPr>
                <w:sz w:val="20"/>
                <w:szCs w:val="20"/>
                <w:color w:val="auto"/>
              </w:rPr>
            </w:pPr>
            <w:r>
              <w:rPr>
                <w:rFonts w:ascii="Arial" w:cs="Arial" w:eastAsia="Arial" w:hAnsi="Arial"/>
                <w:sz w:val="10"/>
                <w:szCs w:val="10"/>
                <w:color w:val="auto"/>
              </w:rPr>
              <w:t>Australia</w:t>
            </w:r>
          </w:p>
        </w:tc>
        <w:tc>
          <w:tcPr>
            <w:tcW w:w="1440" w:type="dxa"/>
            <w:vAlign w:val="bottom"/>
          </w:tcPr>
          <w:p>
            <w:pPr>
              <w:ind w:left="480"/>
              <w:spacing w:after="0"/>
              <w:rPr>
                <w:sz w:val="20"/>
                <w:szCs w:val="20"/>
                <w:color w:val="auto"/>
              </w:rPr>
            </w:pPr>
            <w:r>
              <w:rPr>
                <w:rFonts w:ascii="Arial" w:cs="Arial" w:eastAsia="Arial" w:hAnsi="Arial"/>
                <w:sz w:val="10"/>
                <w:szCs w:val="10"/>
                <w:color w:val="auto"/>
              </w:rPr>
              <w:t>100</w:t>
            </w:r>
          </w:p>
        </w:tc>
        <w:tc>
          <w:tcPr>
            <w:tcW w:w="1500" w:type="dxa"/>
            <w:vAlign w:val="bottom"/>
          </w:tcPr>
          <w:p>
            <w:pPr>
              <w:ind w:left="280"/>
              <w:spacing w:after="0"/>
              <w:rPr>
                <w:sz w:val="20"/>
                <w:szCs w:val="20"/>
                <w:color w:val="auto"/>
              </w:rPr>
            </w:pPr>
            <w:r>
              <w:rPr>
                <w:rFonts w:ascii="Arial" w:cs="Arial" w:eastAsia="Arial" w:hAnsi="Arial"/>
                <w:sz w:val="10"/>
                <w:szCs w:val="10"/>
                <w:color w:val="auto"/>
              </w:rPr>
              <w:t>120</w:t>
            </w:r>
          </w:p>
        </w:tc>
        <w:tc>
          <w:tcPr>
            <w:tcW w:w="1960" w:type="dxa"/>
            <w:vAlign w:val="bottom"/>
          </w:tcPr>
          <w:p>
            <w:pPr>
              <w:ind w:left="380"/>
              <w:spacing w:after="0"/>
              <w:rPr>
                <w:sz w:val="20"/>
                <w:szCs w:val="20"/>
                <w:color w:val="auto"/>
              </w:rPr>
            </w:pPr>
            <w:r>
              <w:rPr>
                <w:rFonts w:ascii="Arial" w:cs="Arial" w:eastAsia="Arial" w:hAnsi="Arial"/>
                <w:sz w:val="10"/>
                <w:szCs w:val="10"/>
                <w:color w:val="auto"/>
              </w:rPr>
              <w:t>Solar Development</w:t>
            </w:r>
          </w:p>
        </w:tc>
        <w:tc>
          <w:tcPr>
            <w:tcW w:w="1540" w:type="dxa"/>
            <w:vAlign w:val="bottom"/>
          </w:tcPr>
          <w:p>
            <w:pPr>
              <w:ind w:left="460"/>
              <w:spacing w:after="0"/>
              <w:rPr>
                <w:sz w:val="20"/>
                <w:szCs w:val="20"/>
                <w:color w:val="auto"/>
              </w:rPr>
            </w:pPr>
            <w:r>
              <w:rPr>
                <w:rFonts w:ascii="Arial" w:cs="Arial" w:eastAsia="Arial" w:hAnsi="Arial"/>
                <w:sz w:val="10"/>
                <w:szCs w:val="10"/>
                <w:color w:val="auto"/>
              </w:rPr>
              <w:t>Solar</w:t>
            </w:r>
          </w:p>
        </w:tc>
        <w:tc>
          <w:tcPr>
            <w:tcW w:w="2120" w:type="dxa"/>
            <w:vAlign w:val="bottom"/>
          </w:tcPr>
          <w:p>
            <w:pPr>
              <w:ind w:left="520"/>
              <w:spacing w:after="0"/>
              <w:rPr>
                <w:sz w:val="20"/>
                <w:szCs w:val="20"/>
                <w:color w:val="auto"/>
              </w:rPr>
            </w:pPr>
            <w:r>
              <w:rPr>
                <w:rFonts w:ascii="Arial" w:cs="Arial" w:eastAsia="Arial" w:hAnsi="Arial"/>
                <w:sz w:val="10"/>
                <w:szCs w:val="10"/>
                <w:color w:val="auto"/>
              </w:rPr>
              <w:t>Yes</w:t>
            </w:r>
          </w:p>
        </w:tc>
      </w:tr>
      <w:tr>
        <w:trPr>
          <w:trHeight w:val="123"/>
        </w:trPr>
        <w:tc>
          <w:tcPr>
            <w:tcW w:w="1200" w:type="dxa"/>
            <w:vAlign w:val="bottom"/>
          </w:tcPr>
          <w:p>
            <w:pPr>
              <w:spacing w:after="0"/>
              <w:rPr>
                <w:sz w:val="20"/>
                <w:szCs w:val="20"/>
                <w:color w:val="auto"/>
              </w:rPr>
            </w:pPr>
            <w:r>
              <w:rPr>
                <w:rFonts w:ascii="Arial" w:cs="Arial" w:eastAsia="Arial" w:hAnsi="Arial"/>
                <w:sz w:val="10"/>
                <w:szCs w:val="10"/>
                <w:color w:val="auto"/>
              </w:rPr>
              <w:t>Silicon Ranch [A]</w:t>
            </w:r>
          </w:p>
        </w:tc>
        <w:tc>
          <w:tcPr>
            <w:tcW w:w="1540" w:type="dxa"/>
            <w:vAlign w:val="bottom"/>
          </w:tcPr>
          <w:p>
            <w:pPr>
              <w:ind w:left="420"/>
              <w:spacing w:after="0"/>
              <w:rPr>
                <w:sz w:val="20"/>
                <w:szCs w:val="20"/>
                <w:color w:val="auto"/>
              </w:rPr>
            </w:pPr>
            <w:r>
              <w:rPr>
                <w:rFonts w:ascii="Arial" w:cs="Arial" w:eastAsia="Arial" w:hAnsi="Arial"/>
                <w:sz w:val="10"/>
                <w:szCs w:val="10"/>
                <w:color w:val="auto"/>
              </w:rPr>
              <w:t>USA</w:t>
            </w:r>
          </w:p>
        </w:tc>
        <w:tc>
          <w:tcPr>
            <w:tcW w:w="1440" w:type="dxa"/>
            <w:vAlign w:val="bottom"/>
          </w:tcPr>
          <w:p>
            <w:pPr>
              <w:ind w:left="480"/>
              <w:spacing w:after="0"/>
              <w:rPr>
                <w:sz w:val="20"/>
                <w:szCs w:val="20"/>
                <w:color w:val="auto"/>
              </w:rPr>
            </w:pPr>
            <w:r>
              <w:rPr>
                <w:rFonts w:ascii="Arial" w:cs="Arial" w:eastAsia="Arial" w:hAnsi="Arial"/>
                <w:sz w:val="10"/>
                <w:szCs w:val="10"/>
                <w:color w:val="auto"/>
              </w:rPr>
              <w:t>46.47</w:t>
            </w:r>
          </w:p>
        </w:tc>
        <w:tc>
          <w:tcPr>
            <w:tcW w:w="1500" w:type="dxa"/>
            <w:vAlign w:val="bottom"/>
          </w:tcPr>
          <w:p>
            <w:pPr>
              <w:ind w:left="280"/>
              <w:spacing w:after="0"/>
              <w:rPr>
                <w:sz w:val="20"/>
                <w:szCs w:val="20"/>
                <w:color w:val="auto"/>
              </w:rPr>
            </w:pPr>
            <w:r>
              <w:rPr>
                <w:rFonts w:ascii="Arial" w:cs="Arial" w:eastAsia="Arial" w:hAnsi="Arial"/>
                <w:sz w:val="10"/>
                <w:szCs w:val="10"/>
                <w:color w:val="auto"/>
              </w:rPr>
              <w:t>1,744</w:t>
            </w:r>
          </w:p>
        </w:tc>
        <w:tc>
          <w:tcPr>
            <w:tcW w:w="1960" w:type="dxa"/>
            <w:vAlign w:val="bottom"/>
          </w:tcPr>
          <w:p>
            <w:pPr>
              <w:ind w:left="380"/>
              <w:spacing w:after="0"/>
              <w:rPr>
                <w:sz w:val="20"/>
                <w:szCs w:val="20"/>
                <w:color w:val="auto"/>
              </w:rPr>
            </w:pPr>
            <w:r>
              <w:rPr>
                <w:rFonts w:ascii="Arial" w:cs="Arial" w:eastAsia="Arial" w:hAnsi="Arial"/>
                <w:sz w:val="10"/>
                <w:szCs w:val="10"/>
                <w:color w:val="auto"/>
              </w:rPr>
              <w:t>Solar Developer</w:t>
            </w:r>
          </w:p>
        </w:tc>
        <w:tc>
          <w:tcPr>
            <w:tcW w:w="1540" w:type="dxa"/>
            <w:vAlign w:val="bottom"/>
          </w:tcPr>
          <w:p>
            <w:pPr>
              <w:ind w:left="460"/>
              <w:spacing w:after="0"/>
              <w:rPr>
                <w:sz w:val="20"/>
                <w:szCs w:val="20"/>
                <w:color w:val="auto"/>
              </w:rPr>
            </w:pPr>
            <w:r>
              <w:rPr>
                <w:rFonts w:ascii="Arial" w:cs="Arial" w:eastAsia="Arial" w:hAnsi="Arial"/>
                <w:sz w:val="10"/>
                <w:szCs w:val="10"/>
                <w:color w:val="auto"/>
              </w:rPr>
              <w:t>Solar</w:t>
            </w:r>
          </w:p>
        </w:tc>
        <w:tc>
          <w:tcPr>
            <w:tcW w:w="2120" w:type="dxa"/>
            <w:vAlign w:val="bottom"/>
          </w:tcPr>
          <w:p>
            <w:pPr>
              <w:ind w:left="520"/>
              <w:spacing w:after="0"/>
              <w:rPr>
                <w:sz w:val="20"/>
                <w:szCs w:val="20"/>
                <w:color w:val="auto"/>
              </w:rPr>
            </w:pPr>
            <w:r>
              <w:rPr>
                <w:rFonts w:ascii="Arial" w:cs="Arial" w:eastAsia="Arial" w:hAnsi="Arial"/>
                <w:sz w:val="10"/>
                <w:szCs w:val="10"/>
                <w:color w:val="auto"/>
              </w:rPr>
              <w:t>No</w:t>
            </w:r>
          </w:p>
        </w:tc>
      </w:tr>
      <w:tr>
        <w:trPr>
          <w:trHeight w:val="126"/>
        </w:trPr>
        <w:tc>
          <w:tcPr>
            <w:tcW w:w="1200" w:type="dxa"/>
            <w:vAlign w:val="bottom"/>
          </w:tcPr>
          <w:p>
            <w:pPr>
              <w:spacing w:after="0"/>
              <w:rPr>
                <w:sz w:val="20"/>
                <w:szCs w:val="20"/>
                <w:color w:val="auto"/>
              </w:rPr>
            </w:pPr>
            <w:r>
              <w:rPr>
                <w:rFonts w:ascii="Arial" w:cs="Arial" w:eastAsia="Arial" w:hAnsi="Arial"/>
                <w:sz w:val="10"/>
                <w:szCs w:val="10"/>
                <w:color w:val="auto"/>
              </w:rPr>
              <w:t>Cleantech Solar [A]</w:t>
            </w:r>
          </w:p>
        </w:tc>
        <w:tc>
          <w:tcPr>
            <w:tcW w:w="1540" w:type="dxa"/>
            <w:vAlign w:val="bottom"/>
          </w:tcPr>
          <w:p>
            <w:pPr>
              <w:ind w:left="420"/>
              <w:spacing w:after="0"/>
              <w:rPr>
                <w:sz w:val="20"/>
                <w:szCs w:val="20"/>
                <w:color w:val="auto"/>
              </w:rPr>
            </w:pPr>
            <w:r>
              <w:rPr>
                <w:rFonts w:ascii="Arial" w:cs="Arial" w:eastAsia="Arial" w:hAnsi="Arial"/>
                <w:sz w:val="10"/>
                <w:szCs w:val="10"/>
                <w:color w:val="auto"/>
              </w:rPr>
              <w:t>Asia</w:t>
            </w:r>
          </w:p>
        </w:tc>
        <w:tc>
          <w:tcPr>
            <w:tcW w:w="1440" w:type="dxa"/>
            <w:vAlign w:val="bottom"/>
          </w:tcPr>
          <w:p>
            <w:pPr>
              <w:ind w:left="480"/>
              <w:spacing w:after="0"/>
              <w:rPr>
                <w:sz w:val="20"/>
                <w:szCs w:val="20"/>
                <w:color w:val="auto"/>
              </w:rPr>
            </w:pPr>
            <w:r>
              <w:rPr>
                <w:rFonts w:ascii="Arial" w:cs="Arial" w:eastAsia="Arial" w:hAnsi="Arial"/>
                <w:sz w:val="10"/>
                <w:szCs w:val="10"/>
                <w:color w:val="auto"/>
              </w:rPr>
              <w:t>24.5 [B]</w:t>
            </w:r>
          </w:p>
        </w:tc>
        <w:tc>
          <w:tcPr>
            <w:tcW w:w="1500" w:type="dxa"/>
            <w:vAlign w:val="bottom"/>
          </w:tcPr>
          <w:p>
            <w:pPr>
              <w:ind w:left="280"/>
              <w:spacing w:after="0"/>
              <w:rPr>
                <w:sz w:val="20"/>
                <w:szCs w:val="20"/>
                <w:color w:val="auto"/>
              </w:rPr>
            </w:pPr>
            <w:r>
              <w:rPr>
                <w:rFonts w:ascii="Arial" w:cs="Arial" w:eastAsia="Arial" w:hAnsi="Arial"/>
                <w:sz w:val="10"/>
                <w:szCs w:val="10"/>
                <w:color w:val="auto"/>
              </w:rPr>
              <w:t>174</w:t>
            </w:r>
          </w:p>
        </w:tc>
        <w:tc>
          <w:tcPr>
            <w:tcW w:w="1960" w:type="dxa"/>
            <w:vAlign w:val="bottom"/>
          </w:tcPr>
          <w:p>
            <w:pPr>
              <w:ind w:left="380"/>
              <w:spacing w:after="0"/>
              <w:rPr>
                <w:sz w:val="20"/>
                <w:szCs w:val="20"/>
                <w:color w:val="auto"/>
              </w:rPr>
            </w:pPr>
            <w:r>
              <w:rPr>
                <w:rFonts w:ascii="Arial" w:cs="Arial" w:eastAsia="Arial" w:hAnsi="Arial"/>
                <w:sz w:val="10"/>
                <w:szCs w:val="10"/>
                <w:color w:val="auto"/>
              </w:rPr>
              <w:t>Solar Developer</w:t>
            </w:r>
          </w:p>
        </w:tc>
        <w:tc>
          <w:tcPr>
            <w:tcW w:w="1540" w:type="dxa"/>
            <w:vAlign w:val="bottom"/>
          </w:tcPr>
          <w:p>
            <w:pPr>
              <w:ind w:left="460"/>
              <w:spacing w:after="0"/>
              <w:rPr>
                <w:sz w:val="20"/>
                <w:szCs w:val="20"/>
                <w:color w:val="auto"/>
              </w:rPr>
            </w:pPr>
            <w:r>
              <w:rPr>
                <w:rFonts w:ascii="Arial" w:cs="Arial" w:eastAsia="Arial" w:hAnsi="Arial"/>
                <w:sz w:val="10"/>
                <w:szCs w:val="10"/>
                <w:color w:val="auto"/>
              </w:rPr>
              <w:t>Solar</w:t>
            </w:r>
          </w:p>
        </w:tc>
        <w:tc>
          <w:tcPr>
            <w:tcW w:w="2120" w:type="dxa"/>
            <w:vAlign w:val="bottom"/>
          </w:tcPr>
          <w:p>
            <w:pPr>
              <w:ind w:left="520"/>
              <w:spacing w:after="0"/>
              <w:rPr>
                <w:sz w:val="20"/>
                <w:szCs w:val="20"/>
                <w:color w:val="auto"/>
              </w:rPr>
            </w:pPr>
            <w:r>
              <w:rPr>
                <w:rFonts w:ascii="Arial" w:cs="Arial" w:eastAsia="Arial" w:hAnsi="Arial"/>
                <w:sz w:val="10"/>
                <w:szCs w:val="10"/>
                <w:color w:val="auto"/>
              </w:rPr>
              <w:t>No</w:t>
            </w:r>
          </w:p>
        </w:tc>
      </w:tr>
      <w:tr>
        <w:trPr>
          <w:trHeight w:val="126"/>
        </w:trPr>
        <w:tc>
          <w:tcPr>
            <w:tcW w:w="1200" w:type="dxa"/>
            <w:vAlign w:val="bottom"/>
          </w:tcPr>
          <w:p>
            <w:pPr>
              <w:spacing w:after="0"/>
              <w:rPr>
                <w:sz w:val="20"/>
                <w:szCs w:val="20"/>
                <w:color w:val="auto"/>
              </w:rPr>
            </w:pPr>
            <w:r>
              <w:rPr>
                <w:rFonts w:ascii="Arial" w:cs="Arial" w:eastAsia="Arial" w:hAnsi="Arial"/>
                <w:sz w:val="10"/>
                <w:szCs w:val="10"/>
                <w:color w:val="auto"/>
              </w:rPr>
              <w:t>CrossWind</w:t>
            </w:r>
          </w:p>
        </w:tc>
        <w:tc>
          <w:tcPr>
            <w:tcW w:w="1540" w:type="dxa"/>
            <w:vAlign w:val="bottom"/>
          </w:tcPr>
          <w:p>
            <w:pPr>
              <w:ind w:left="420"/>
              <w:spacing w:after="0"/>
              <w:rPr>
                <w:sz w:val="20"/>
                <w:szCs w:val="20"/>
                <w:color w:val="auto"/>
              </w:rPr>
            </w:pPr>
            <w:r>
              <w:rPr>
                <w:rFonts w:ascii="Arial" w:cs="Arial" w:eastAsia="Arial" w:hAnsi="Arial"/>
                <w:sz w:val="10"/>
                <w:szCs w:val="10"/>
                <w:color w:val="auto"/>
              </w:rPr>
              <w:t>The Netherlands</w:t>
            </w:r>
          </w:p>
        </w:tc>
        <w:tc>
          <w:tcPr>
            <w:tcW w:w="1440" w:type="dxa"/>
            <w:vAlign w:val="bottom"/>
          </w:tcPr>
          <w:p>
            <w:pPr>
              <w:ind w:left="480"/>
              <w:spacing w:after="0"/>
              <w:rPr>
                <w:sz w:val="20"/>
                <w:szCs w:val="20"/>
                <w:color w:val="auto"/>
              </w:rPr>
            </w:pPr>
            <w:r>
              <w:rPr>
                <w:rFonts w:ascii="Arial" w:cs="Arial" w:eastAsia="Arial" w:hAnsi="Arial"/>
                <w:sz w:val="10"/>
                <w:szCs w:val="10"/>
                <w:color w:val="auto"/>
              </w:rPr>
              <w:t>79.9</w:t>
            </w:r>
          </w:p>
        </w:tc>
        <w:tc>
          <w:tcPr>
            <w:tcW w:w="1500" w:type="dxa"/>
            <w:vAlign w:val="bottom"/>
          </w:tcPr>
          <w:p>
            <w:pPr>
              <w:ind w:left="280"/>
              <w:spacing w:after="0"/>
              <w:rPr>
                <w:sz w:val="20"/>
                <w:szCs w:val="20"/>
                <w:color w:val="auto"/>
              </w:rPr>
            </w:pPr>
            <w:r>
              <w:rPr>
                <w:rFonts w:ascii="Arial" w:cs="Arial" w:eastAsia="Arial" w:hAnsi="Arial"/>
                <w:sz w:val="10"/>
                <w:szCs w:val="10"/>
                <w:color w:val="auto"/>
              </w:rPr>
              <w:t>759</w:t>
            </w:r>
          </w:p>
        </w:tc>
        <w:tc>
          <w:tcPr>
            <w:tcW w:w="1960" w:type="dxa"/>
            <w:vAlign w:val="bottom"/>
          </w:tcPr>
          <w:p>
            <w:pPr>
              <w:ind w:left="380"/>
              <w:spacing w:after="0"/>
              <w:rPr>
                <w:sz w:val="20"/>
                <w:szCs w:val="20"/>
                <w:color w:val="auto"/>
              </w:rPr>
            </w:pPr>
            <w:r>
              <w:rPr>
                <w:rFonts w:ascii="Arial" w:cs="Arial" w:eastAsia="Arial" w:hAnsi="Arial"/>
                <w:sz w:val="10"/>
                <w:szCs w:val="10"/>
                <w:color w:val="auto"/>
              </w:rPr>
              <w:t>Offshore Wind Development</w:t>
            </w:r>
          </w:p>
        </w:tc>
        <w:tc>
          <w:tcPr>
            <w:tcW w:w="1540" w:type="dxa"/>
            <w:vAlign w:val="bottom"/>
          </w:tcPr>
          <w:p>
            <w:pPr>
              <w:ind w:left="460"/>
              <w:spacing w:after="0"/>
              <w:rPr>
                <w:sz w:val="20"/>
                <w:szCs w:val="20"/>
                <w:color w:val="auto"/>
              </w:rPr>
            </w:pPr>
            <w:r>
              <w:rPr>
                <w:rFonts w:ascii="Arial" w:cs="Arial" w:eastAsia="Arial" w:hAnsi="Arial"/>
                <w:sz w:val="10"/>
                <w:szCs w:val="10"/>
                <w:color w:val="auto"/>
              </w:rPr>
              <w:t>Offshore wind</w:t>
            </w:r>
          </w:p>
        </w:tc>
        <w:tc>
          <w:tcPr>
            <w:tcW w:w="2120" w:type="dxa"/>
            <w:vAlign w:val="bottom"/>
          </w:tcPr>
          <w:p>
            <w:pPr>
              <w:ind w:left="520"/>
              <w:spacing w:after="0"/>
              <w:rPr>
                <w:sz w:val="20"/>
                <w:szCs w:val="20"/>
                <w:color w:val="auto"/>
              </w:rPr>
            </w:pPr>
            <w:r>
              <w:rPr>
                <w:rFonts w:ascii="Arial" w:cs="Arial" w:eastAsia="Arial" w:hAnsi="Arial"/>
                <w:sz w:val="10"/>
                <w:szCs w:val="10"/>
                <w:color w:val="auto"/>
              </w:rPr>
              <w:t>No</w:t>
            </w:r>
          </w:p>
        </w:tc>
      </w:tr>
      <w:tr>
        <w:trPr>
          <w:trHeight w:val="126"/>
        </w:trPr>
        <w:tc>
          <w:tcPr>
            <w:tcW w:w="1200" w:type="dxa"/>
            <w:vAlign w:val="bottom"/>
          </w:tcPr>
          <w:p>
            <w:pPr>
              <w:spacing w:after="0"/>
              <w:rPr>
                <w:sz w:val="20"/>
                <w:szCs w:val="20"/>
                <w:color w:val="auto"/>
              </w:rPr>
            </w:pPr>
            <w:r>
              <w:rPr>
                <w:rFonts w:ascii="Arial" w:cs="Arial" w:eastAsia="Arial" w:hAnsi="Arial"/>
                <w:sz w:val="10"/>
                <w:szCs w:val="10"/>
                <w:color w:val="auto"/>
              </w:rPr>
              <w:t>Borssele III and IV</w:t>
            </w:r>
          </w:p>
        </w:tc>
        <w:tc>
          <w:tcPr>
            <w:tcW w:w="1540" w:type="dxa"/>
            <w:vAlign w:val="bottom"/>
          </w:tcPr>
          <w:p>
            <w:pPr>
              <w:ind w:left="420"/>
              <w:spacing w:after="0"/>
              <w:rPr>
                <w:sz w:val="20"/>
                <w:szCs w:val="20"/>
                <w:color w:val="auto"/>
              </w:rPr>
            </w:pPr>
            <w:r>
              <w:rPr>
                <w:rFonts w:ascii="Arial" w:cs="Arial" w:eastAsia="Arial" w:hAnsi="Arial"/>
                <w:sz w:val="10"/>
                <w:szCs w:val="10"/>
                <w:color w:val="auto"/>
              </w:rPr>
              <w:t>The Netherlands</w:t>
            </w:r>
          </w:p>
        </w:tc>
        <w:tc>
          <w:tcPr>
            <w:tcW w:w="1440" w:type="dxa"/>
            <w:vAlign w:val="bottom"/>
          </w:tcPr>
          <w:p>
            <w:pPr>
              <w:ind w:left="480"/>
              <w:spacing w:after="0"/>
              <w:rPr>
                <w:sz w:val="20"/>
                <w:szCs w:val="20"/>
                <w:color w:val="auto"/>
              </w:rPr>
            </w:pPr>
            <w:r>
              <w:rPr>
                <w:rFonts w:ascii="Arial" w:cs="Arial" w:eastAsia="Arial" w:hAnsi="Arial"/>
                <w:sz w:val="10"/>
                <w:szCs w:val="10"/>
                <w:color w:val="auto"/>
              </w:rPr>
              <w:t>20</w:t>
            </w:r>
          </w:p>
        </w:tc>
        <w:tc>
          <w:tcPr>
            <w:tcW w:w="1500" w:type="dxa"/>
            <w:vAlign w:val="bottom"/>
          </w:tcPr>
          <w:p>
            <w:pPr>
              <w:ind w:left="280"/>
              <w:spacing w:after="0"/>
              <w:rPr>
                <w:sz w:val="20"/>
                <w:szCs w:val="20"/>
                <w:color w:val="auto"/>
              </w:rPr>
            </w:pPr>
            <w:r>
              <w:rPr>
                <w:rFonts w:ascii="Arial" w:cs="Arial" w:eastAsia="Arial" w:hAnsi="Arial"/>
                <w:sz w:val="10"/>
                <w:szCs w:val="10"/>
                <w:color w:val="auto"/>
              </w:rPr>
              <w:t>731.5</w:t>
            </w:r>
          </w:p>
        </w:tc>
        <w:tc>
          <w:tcPr>
            <w:tcW w:w="1960" w:type="dxa"/>
            <w:vAlign w:val="bottom"/>
          </w:tcPr>
          <w:p>
            <w:pPr>
              <w:ind w:left="380"/>
              <w:spacing w:after="0"/>
              <w:rPr>
                <w:sz w:val="20"/>
                <w:szCs w:val="20"/>
                <w:color w:val="auto"/>
              </w:rPr>
            </w:pPr>
            <w:r>
              <w:rPr>
                <w:rFonts w:ascii="Arial" w:cs="Arial" w:eastAsia="Arial" w:hAnsi="Arial"/>
                <w:sz w:val="10"/>
                <w:szCs w:val="10"/>
                <w:color w:val="auto"/>
              </w:rPr>
              <w:t>Offshore Wind Development</w:t>
            </w:r>
          </w:p>
        </w:tc>
        <w:tc>
          <w:tcPr>
            <w:tcW w:w="1540" w:type="dxa"/>
            <w:vAlign w:val="bottom"/>
          </w:tcPr>
          <w:p>
            <w:pPr>
              <w:ind w:left="460"/>
              <w:spacing w:after="0"/>
              <w:rPr>
                <w:sz w:val="20"/>
                <w:szCs w:val="20"/>
                <w:color w:val="auto"/>
              </w:rPr>
            </w:pPr>
            <w:r>
              <w:rPr>
                <w:rFonts w:ascii="Arial" w:cs="Arial" w:eastAsia="Arial" w:hAnsi="Arial"/>
                <w:sz w:val="10"/>
                <w:szCs w:val="10"/>
                <w:color w:val="auto"/>
              </w:rPr>
              <w:t>Offshore wind</w:t>
            </w:r>
          </w:p>
        </w:tc>
        <w:tc>
          <w:tcPr>
            <w:tcW w:w="2120" w:type="dxa"/>
            <w:vAlign w:val="bottom"/>
          </w:tcPr>
          <w:p>
            <w:pPr>
              <w:ind w:left="520"/>
              <w:spacing w:after="0"/>
              <w:rPr>
                <w:sz w:val="20"/>
                <w:szCs w:val="20"/>
                <w:color w:val="auto"/>
              </w:rPr>
            </w:pPr>
            <w:r>
              <w:rPr>
                <w:rFonts w:ascii="Arial" w:cs="Arial" w:eastAsia="Arial" w:hAnsi="Arial"/>
                <w:sz w:val="10"/>
                <w:szCs w:val="10"/>
                <w:color w:val="auto"/>
              </w:rPr>
              <w:t>No</w:t>
            </w:r>
          </w:p>
        </w:tc>
      </w:tr>
      <w:tr>
        <w:trPr>
          <w:trHeight w:val="130"/>
        </w:trPr>
        <w:tc>
          <w:tcPr>
            <w:tcW w:w="1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Sas van Gent</w:t>
            </w:r>
          </w:p>
        </w:tc>
        <w:tc>
          <w:tcPr>
            <w:tcW w:w="154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The Netherlands</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100</w:t>
            </w: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0"/>
                <w:szCs w:val="10"/>
                <w:color w:val="auto"/>
              </w:rPr>
              <w:t>29.6</w:t>
            </w:r>
          </w:p>
        </w:tc>
        <w:tc>
          <w:tcPr>
            <w:tcW w:w="1960" w:type="dxa"/>
            <w:vAlign w:val="bottom"/>
            <w:tcBorders>
              <w:bottom w:val="single" w:sz="8" w:color="auto"/>
            </w:tcBorders>
          </w:tcPr>
          <w:p>
            <w:pPr>
              <w:ind w:left="380"/>
              <w:spacing w:after="0"/>
              <w:rPr>
                <w:sz w:val="20"/>
                <w:szCs w:val="20"/>
                <w:color w:val="auto"/>
              </w:rPr>
            </w:pPr>
            <w:r>
              <w:rPr>
                <w:rFonts w:ascii="Arial" w:cs="Arial" w:eastAsia="Arial" w:hAnsi="Arial"/>
                <w:sz w:val="10"/>
                <w:szCs w:val="10"/>
                <w:color w:val="auto"/>
              </w:rPr>
              <w:t>Solar Development</w:t>
            </w: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0"/>
                <w:szCs w:val="10"/>
                <w:color w:val="auto"/>
              </w:rPr>
              <w:t>Solar</w:t>
            </w:r>
          </w:p>
        </w:tc>
        <w:tc>
          <w:tcPr>
            <w:tcW w:w="2120" w:type="dxa"/>
            <w:vAlign w:val="bottom"/>
            <w:tcBorders>
              <w:bottom w:val="single" w:sz="8" w:color="auto"/>
            </w:tcBorders>
          </w:tcPr>
          <w:p>
            <w:pPr>
              <w:ind w:left="520"/>
              <w:spacing w:after="0"/>
              <w:rPr>
                <w:sz w:val="20"/>
                <w:szCs w:val="20"/>
                <w:color w:val="auto"/>
              </w:rPr>
            </w:pPr>
            <w:r>
              <w:rPr>
                <w:rFonts w:ascii="Arial" w:cs="Arial" w:eastAsia="Arial" w:hAnsi="Arial"/>
                <w:sz w:val="10"/>
                <w:szCs w:val="10"/>
                <w:color w:val="auto"/>
              </w:rPr>
              <w:t>Yes</w:t>
            </w:r>
          </w:p>
        </w:tc>
      </w:tr>
    </w:tbl>
    <w:p>
      <w:pPr>
        <w:spacing w:after="0" w:line="65" w:lineRule="exact"/>
        <w:rPr>
          <w:sz w:val="20"/>
          <w:szCs w:val="20"/>
          <w:color w:val="auto"/>
        </w:rPr>
      </w:pPr>
    </w:p>
    <w:p>
      <w:pPr>
        <w:ind w:left="128" w:hanging="128"/>
        <w:spacing w:after="0"/>
        <w:tabs>
          <w:tab w:leader="none" w:pos="128" w:val="left"/>
        </w:tabs>
        <w:numPr>
          <w:ilvl w:val="0"/>
          <w:numId w:val="13"/>
        </w:numPr>
        <w:rPr>
          <w:rFonts w:ascii="Arial" w:cs="Arial" w:eastAsia="Arial" w:hAnsi="Arial"/>
          <w:sz w:val="7"/>
          <w:szCs w:val="7"/>
          <w:color w:val="auto"/>
        </w:rPr>
      </w:pPr>
      <w:r>
        <w:rPr>
          <w:rFonts w:ascii="Arial" w:cs="Arial" w:eastAsia="Arial" w:hAnsi="Arial"/>
          <w:sz w:val="7"/>
          <w:szCs w:val="7"/>
          <w:color w:val="auto"/>
        </w:rPr>
        <w:t>These solar projects are shown in Projects in operation and under construction as they are in multiple phases.</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3"/>
        </w:numPr>
        <w:rPr>
          <w:rFonts w:ascii="Arial" w:cs="Arial" w:eastAsia="Arial" w:hAnsi="Arial"/>
          <w:sz w:val="7"/>
          <w:szCs w:val="7"/>
          <w:color w:val="auto"/>
        </w:rPr>
      </w:pPr>
      <w:r>
        <w:rPr>
          <w:rFonts w:ascii="Arial" w:cs="Arial" w:eastAsia="Arial" w:hAnsi="Arial"/>
          <w:sz w:val="7"/>
          <w:szCs w:val="7"/>
          <w:color w:val="auto"/>
        </w:rPr>
        <w:t>Shell interest in Cleantech is 49% where Cleantech owns 50% of the projects. Therefore 24.5% Shell interest is reported.</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0"/>
          <w:szCs w:val="10"/>
          <w:color w:val="auto"/>
        </w:rPr>
        <w:t>Renewable power projects in development</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0"/>
          <w:szCs w:val="10"/>
          <w:color w:val="auto"/>
        </w:rPr>
        <w:t>Projects in development represent various earlier stages where FID has not yet been taken.</w:t>
      </w:r>
    </w:p>
    <w:p>
      <w:pPr>
        <w:spacing w:after="0" w:line="20"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11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Project</w:t>
            </w:r>
          </w:p>
        </w:tc>
        <w:tc>
          <w:tcPr>
            <w:tcW w:w="1620" w:type="dxa"/>
            <w:vAlign w:val="bottom"/>
            <w:tcBorders>
              <w:bottom w:val="single" w:sz="8" w:color="auto"/>
            </w:tcBorders>
          </w:tcPr>
          <w:p>
            <w:pPr>
              <w:ind w:left="500"/>
              <w:spacing w:after="0"/>
              <w:rPr>
                <w:sz w:val="20"/>
                <w:szCs w:val="20"/>
                <w:color w:val="auto"/>
              </w:rPr>
            </w:pPr>
            <w:r>
              <w:rPr>
                <w:rFonts w:ascii="Arial" w:cs="Arial" w:eastAsia="Arial" w:hAnsi="Arial"/>
                <w:sz w:val="10"/>
                <w:szCs w:val="10"/>
                <w:color w:val="auto"/>
              </w:rPr>
              <w:t>Location</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Shell interest (%)</w:t>
            </w: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0"/>
                <w:szCs w:val="10"/>
                <w:color w:val="auto"/>
              </w:rPr>
              <w:t>100% capacity (MW)</w:t>
            </w:r>
          </w:p>
        </w:tc>
        <w:tc>
          <w:tcPr>
            <w:tcW w:w="1880" w:type="dxa"/>
            <w:vAlign w:val="bottom"/>
            <w:tcBorders>
              <w:bottom w:val="single" w:sz="8" w:color="auto"/>
            </w:tcBorders>
          </w:tcPr>
          <w:p>
            <w:pPr>
              <w:ind w:left="380"/>
              <w:spacing w:after="0"/>
              <w:rPr>
                <w:sz w:val="20"/>
                <w:szCs w:val="20"/>
                <w:color w:val="auto"/>
              </w:rPr>
            </w:pPr>
            <w:r>
              <w:rPr>
                <w:rFonts w:ascii="Arial" w:cs="Arial" w:eastAsia="Arial" w:hAnsi="Arial"/>
                <w:sz w:val="10"/>
                <w:szCs w:val="10"/>
                <w:color w:val="auto"/>
              </w:rPr>
              <w:t>Type</w:t>
            </w:r>
          </w:p>
        </w:tc>
        <w:tc>
          <w:tcPr>
            <w:tcW w:w="1860" w:type="dxa"/>
            <w:vAlign w:val="bottom"/>
            <w:tcBorders>
              <w:bottom w:val="single" w:sz="8" w:color="auto"/>
            </w:tcBorders>
          </w:tcPr>
          <w:p>
            <w:pPr>
              <w:ind w:left="540"/>
              <w:spacing w:after="0"/>
              <w:rPr>
                <w:sz w:val="20"/>
                <w:szCs w:val="20"/>
                <w:color w:val="auto"/>
              </w:rPr>
            </w:pPr>
            <w:r>
              <w:rPr>
                <w:rFonts w:ascii="Arial" w:cs="Arial" w:eastAsia="Arial" w:hAnsi="Arial"/>
                <w:sz w:val="10"/>
                <w:szCs w:val="10"/>
                <w:color w:val="auto"/>
              </w:rPr>
              <w:t>Theme</w:t>
            </w:r>
          </w:p>
        </w:tc>
        <w:tc>
          <w:tcPr>
            <w:tcW w:w="1880" w:type="dxa"/>
            <w:vAlign w:val="bottom"/>
            <w:tcBorders>
              <w:bottom w:val="single" w:sz="8" w:color="auto"/>
            </w:tcBorders>
          </w:tcPr>
          <w:p>
            <w:pPr>
              <w:ind w:left="280"/>
              <w:spacing w:after="0"/>
              <w:rPr>
                <w:sz w:val="20"/>
                <w:szCs w:val="20"/>
                <w:color w:val="auto"/>
              </w:rPr>
            </w:pPr>
            <w:r>
              <w:rPr>
                <w:rFonts w:ascii="Arial" w:cs="Arial" w:eastAsia="Arial" w:hAnsi="Arial"/>
                <w:sz w:val="10"/>
                <w:szCs w:val="10"/>
                <w:color w:val="auto"/>
              </w:rPr>
              <w:t>Shell-operated</w:t>
            </w:r>
          </w:p>
        </w:tc>
      </w:tr>
      <w:tr>
        <w:trPr>
          <w:trHeight w:val="114"/>
        </w:trPr>
        <w:tc>
          <w:tcPr>
            <w:tcW w:w="1120" w:type="dxa"/>
            <w:vAlign w:val="bottom"/>
          </w:tcPr>
          <w:p>
            <w:pPr>
              <w:spacing w:after="0"/>
              <w:rPr>
                <w:sz w:val="20"/>
                <w:szCs w:val="20"/>
                <w:color w:val="auto"/>
              </w:rPr>
            </w:pPr>
            <w:r>
              <w:rPr>
                <w:rFonts w:ascii="Arial" w:cs="Arial" w:eastAsia="Arial" w:hAnsi="Arial"/>
                <w:sz w:val="10"/>
                <w:szCs w:val="10"/>
                <w:color w:val="auto"/>
              </w:rPr>
              <w:t>GBI</w:t>
            </w:r>
          </w:p>
        </w:tc>
        <w:tc>
          <w:tcPr>
            <w:tcW w:w="1620" w:type="dxa"/>
            <w:vAlign w:val="bottom"/>
          </w:tcPr>
          <w:p>
            <w:pPr>
              <w:ind w:left="500"/>
              <w:spacing w:after="0"/>
              <w:rPr>
                <w:sz w:val="20"/>
                <w:szCs w:val="20"/>
                <w:color w:val="auto"/>
              </w:rPr>
            </w:pPr>
            <w:r>
              <w:rPr>
                <w:rFonts w:ascii="Arial" w:cs="Arial" w:eastAsia="Arial" w:hAnsi="Arial"/>
                <w:sz w:val="10"/>
                <w:szCs w:val="10"/>
                <w:color w:val="auto"/>
              </w:rPr>
              <w:t>France</w:t>
            </w:r>
          </w:p>
        </w:tc>
        <w:tc>
          <w:tcPr>
            <w:tcW w:w="1440" w:type="dxa"/>
            <w:vAlign w:val="bottom"/>
          </w:tcPr>
          <w:p>
            <w:pPr>
              <w:ind w:left="480"/>
              <w:spacing w:after="0"/>
              <w:rPr>
                <w:sz w:val="20"/>
                <w:szCs w:val="20"/>
                <w:color w:val="auto"/>
              </w:rPr>
            </w:pPr>
            <w:r>
              <w:rPr>
                <w:rFonts w:ascii="Arial" w:cs="Arial" w:eastAsia="Arial" w:hAnsi="Arial"/>
                <w:sz w:val="10"/>
                <w:szCs w:val="10"/>
                <w:color w:val="auto"/>
              </w:rPr>
              <w:t>29.5</w:t>
            </w:r>
          </w:p>
        </w:tc>
        <w:tc>
          <w:tcPr>
            <w:tcW w:w="1500" w:type="dxa"/>
            <w:vAlign w:val="bottom"/>
          </w:tcPr>
          <w:p>
            <w:pPr>
              <w:ind w:left="280"/>
              <w:spacing w:after="0"/>
              <w:rPr>
                <w:sz w:val="20"/>
                <w:szCs w:val="20"/>
                <w:color w:val="auto"/>
              </w:rPr>
            </w:pPr>
            <w:r>
              <w:rPr>
                <w:rFonts w:ascii="Arial" w:cs="Arial" w:eastAsia="Arial" w:hAnsi="Arial"/>
                <w:sz w:val="10"/>
                <w:szCs w:val="10"/>
                <w:color w:val="auto"/>
              </w:rPr>
              <w:t>28.5</w:t>
            </w:r>
          </w:p>
        </w:tc>
        <w:tc>
          <w:tcPr>
            <w:tcW w:w="1880" w:type="dxa"/>
            <w:vAlign w:val="bottom"/>
          </w:tcPr>
          <w:p>
            <w:pPr>
              <w:ind w:left="380"/>
              <w:spacing w:after="0"/>
              <w:rPr>
                <w:sz w:val="20"/>
                <w:szCs w:val="20"/>
                <w:color w:val="auto"/>
              </w:rPr>
            </w:pPr>
            <w:r>
              <w:rPr>
                <w:rFonts w:ascii="Arial" w:cs="Arial" w:eastAsia="Arial" w:hAnsi="Arial"/>
                <w:sz w:val="10"/>
                <w:szCs w:val="10"/>
                <w:color w:val="auto"/>
              </w:rPr>
              <w:t>Offshore Wind JV</w:t>
            </w:r>
          </w:p>
        </w:tc>
        <w:tc>
          <w:tcPr>
            <w:tcW w:w="1860" w:type="dxa"/>
            <w:vAlign w:val="bottom"/>
          </w:tcPr>
          <w:p>
            <w:pPr>
              <w:ind w:left="540"/>
              <w:spacing w:after="0"/>
              <w:rPr>
                <w:sz w:val="20"/>
                <w:szCs w:val="20"/>
                <w:color w:val="auto"/>
              </w:rPr>
            </w:pPr>
            <w:r>
              <w:rPr>
                <w:rFonts w:ascii="Arial" w:cs="Arial" w:eastAsia="Arial" w:hAnsi="Arial"/>
                <w:sz w:val="10"/>
                <w:szCs w:val="10"/>
                <w:color w:val="auto"/>
              </w:rPr>
              <w:t>Offshore wind</w:t>
            </w:r>
          </w:p>
        </w:tc>
        <w:tc>
          <w:tcPr>
            <w:tcW w:w="1880" w:type="dxa"/>
            <w:vAlign w:val="bottom"/>
          </w:tcPr>
          <w:p>
            <w:pPr>
              <w:ind w:left="280"/>
              <w:spacing w:after="0"/>
              <w:rPr>
                <w:sz w:val="20"/>
                <w:szCs w:val="20"/>
                <w:color w:val="auto"/>
              </w:rPr>
            </w:pPr>
            <w:r>
              <w:rPr>
                <w:rFonts w:ascii="Arial" w:cs="Arial" w:eastAsia="Arial" w:hAnsi="Arial"/>
                <w:sz w:val="10"/>
                <w:szCs w:val="10"/>
                <w:color w:val="auto"/>
              </w:rPr>
              <w:t>Yes</w:t>
            </w:r>
          </w:p>
        </w:tc>
      </w:tr>
      <w:tr>
        <w:trPr>
          <w:trHeight w:val="123"/>
        </w:trPr>
        <w:tc>
          <w:tcPr>
            <w:tcW w:w="1120" w:type="dxa"/>
            <w:vAlign w:val="bottom"/>
          </w:tcPr>
          <w:p>
            <w:pPr>
              <w:spacing w:after="0"/>
              <w:rPr>
                <w:sz w:val="20"/>
                <w:szCs w:val="20"/>
                <w:color w:val="auto"/>
              </w:rPr>
            </w:pPr>
            <w:r>
              <w:rPr>
                <w:rFonts w:ascii="Arial" w:cs="Arial" w:eastAsia="Arial" w:hAnsi="Arial"/>
                <w:sz w:val="10"/>
                <w:szCs w:val="10"/>
                <w:color w:val="auto"/>
              </w:rPr>
              <w:t>Mayflower</w:t>
            </w:r>
          </w:p>
        </w:tc>
        <w:tc>
          <w:tcPr>
            <w:tcW w:w="1620" w:type="dxa"/>
            <w:vAlign w:val="bottom"/>
          </w:tcPr>
          <w:p>
            <w:pPr>
              <w:ind w:left="500"/>
              <w:spacing w:after="0"/>
              <w:rPr>
                <w:sz w:val="20"/>
                <w:szCs w:val="20"/>
                <w:color w:val="auto"/>
              </w:rPr>
            </w:pPr>
            <w:r>
              <w:rPr>
                <w:rFonts w:ascii="Arial" w:cs="Arial" w:eastAsia="Arial" w:hAnsi="Arial"/>
                <w:sz w:val="10"/>
                <w:szCs w:val="10"/>
                <w:color w:val="auto"/>
              </w:rPr>
              <w:t>USA</w:t>
            </w:r>
          </w:p>
        </w:tc>
        <w:tc>
          <w:tcPr>
            <w:tcW w:w="1440" w:type="dxa"/>
            <w:vAlign w:val="bottom"/>
          </w:tcPr>
          <w:p>
            <w:pPr>
              <w:ind w:left="480"/>
              <w:spacing w:after="0"/>
              <w:rPr>
                <w:sz w:val="20"/>
                <w:szCs w:val="20"/>
                <w:color w:val="auto"/>
              </w:rPr>
            </w:pPr>
            <w:r>
              <w:rPr>
                <w:rFonts w:ascii="Arial" w:cs="Arial" w:eastAsia="Arial" w:hAnsi="Arial"/>
                <w:sz w:val="10"/>
                <w:szCs w:val="10"/>
                <w:color w:val="auto"/>
              </w:rPr>
              <w:t>50</w:t>
            </w:r>
          </w:p>
        </w:tc>
        <w:tc>
          <w:tcPr>
            <w:tcW w:w="1500" w:type="dxa"/>
            <w:vAlign w:val="bottom"/>
          </w:tcPr>
          <w:p>
            <w:pPr>
              <w:ind w:left="280"/>
              <w:spacing w:after="0"/>
              <w:rPr>
                <w:sz w:val="20"/>
                <w:szCs w:val="20"/>
                <w:color w:val="auto"/>
              </w:rPr>
            </w:pPr>
            <w:r>
              <w:rPr>
                <w:rFonts w:ascii="Arial" w:cs="Arial" w:eastAsia="Arial" w:hAnsi="Arial"/>
                <w:sz w:val="10"/>
                <w:szCs w:val="10"/>
                <w:color w:val="auto"/>
              </w:rPr>
              <w:t>1,600</w:t>
            </w:r>
          </w:p>
        </w:tc>
        <w:tc>
          <w:tcPr>
            <w:tcW w:w="1880" w:type="dxa"/>
            <w:vAlign w:val="bottom"/>
          </w:tcPr>
          <w:p>
            <w:pPr>
              <w:ind w:left="380"/>
              <w:spacing w:after="0"/>
              <w:rPr>
                <w:sz w:val="20"/>
                <w:szCs w:val="20"/>
                <w:color w:val="auto"/>
              </w:rPr>
            </w:pPr>
            <w:r>
              <w:rPr>
                <w:rFonts w:ascii="Arial" w:cs="Arial" w:eastAsia="Arial" w:hAnsi="Arial"/>
                <w:sz w:val="10"/>
                <w:szCs w:val="10"/>
                <w:color w:val="auto"/>
              </w:rPr>
              <w:t>Offshore Wind JV</w:t>
            </w:r>
          </w:p>
        </w:tc>
        <w:tc>
          <w:tcPr>
            <w:tcW w:w="1860" w:type="dxa"/>
            <w:vAlign w:val="bottom"/>
          </w:tcPr>
          <w:p>
            <w:pPr>
              <w:ind w:left="540"/>
              <w:spacing w:after="0"/>
              <w:rPr>
                <w:sz w:val="20"/>
                <w:szCs w:val="20"/>
                <w:color w:val="auto"/>
              </w:rPr>
            </w:pPr>
            <w:r>
              <w:rPr>
                <w:rFonts w:ascii="Arial" w:cs="Arial" w:eastAsia="Arial" w:hAnsi="Arial"/>
                <w:sz w:val="10"/>
                <w:szCs w:val="10"/>
                <w:color w:val="auto"/>
              </w:rPr>
              <w:t>Offshore wind</w:t>
            </w:r>
          </w:p>
        </w:tc>
        <w:tc>
          <w:tcPr>
            <w:tcW w:w="1880" w:type="dxa"/>
            <w:vAlign w:val="bottom"/>
          </w:tcPr>
          <w:p>
            <w:pPr>
              <w:ind w:left="280"/>
              <w:spacing w:after="0"/>
              <w:rPr>
                <w:sz w:val="20"/>
                <w:szCs w:val="20"/>
                <w:color w:val="auto"/>
              </w:rPr>
            </w:pPr>
            <w:r>
              <w:rPr>
                <w:rFonts w:ascii="Arial" w:cs="Arial" w:eastAsia="Arial" w:hAnsi="Arial"/>
                <w:sz w:val="10"/>
                <w:szCs w:val="10"/>
                <w:color w:val="auto"/>
              </w:rPr>
              <w:t>No</w:t>
            </w:r>
          </w:p>
        </w:tc>
      </w:tr>
      <w:tr>
        <w:trPr>
          <w:trHeight w:val="126"/>
        </w:trPr>
        <w:tc>
          <w:tcPr>
            <w:tcW w:w="1120" w:type="dxa"/>
            <w:vAlign w:val="bottom"/>
          </w:tcPr>
          <w:p>
            <w:pPr>
              <w:spacing w:after="0"/>
              <w:rPr>
                <w:sz w:val="20"/>
                <w:szCs w:val="20"/>
                <w:color w:val="auto"/>
              </w:rPr>
            </w:pPr>
            <w:r>
              <w:rPr>
                <w:rFonts w:ascii="Arial" w:cs="Arial" w:eastAsia="Arial" w:hAnsi="Arial"/>
                <w:sz w:val="10"/>
                <w:szCs w:val="10"/>
                <w:color w:val="auto"/>
              </w:rPr>
              <w:t>Atlantic Shores</w:t>
            </w:r>
          </w:p>
        </w:tc>
        <w:tc>
          <w:tcPr>
            <w:tcW w:w="1620" w:type="dxa"/>
            <w:vAlign w:val="bottom"/>
          </w:tcPr>
          <w:p>
            <w:pPr>
              <w:ind w:left="500"/>
              <w:spacing w:after="0"/>
              <w:rPr>
                <w:sz w:val="20"/>
                <w:szCs w:val="20"/>
                <w:color w:val="auto"/>
              </w:rPr>
            </w:pPr>
            <w:r>
              <w:rPr>
                <w:rFonts w:ascii="Arial" w:cs="Arial" w:eastAsia="Arial" w:hAnsi="Arial"/>
                <w:sz w:val="10"/>
                <w:szCs w:val="10"/>
                <w:color w:val="auto"/>
              </w:rPr>
              <w:t>USA</w:t>
            </w:r>
          </w:p>
        </w:tc>
        <w:tc>
          <w:tcPr>
            <w:tcW w:w="1440" w:type="dxa"/>
            <w:vAlign w:val="bottom"/>
          </w:tcPr>
          <w:p>
            <w:pPr>
              <w:ind w:left="480"/>
              <w:spacing w:after="0"/>
              <w:rPr>
                <w:sz w:val="20"/>
                <w:szCs w:val="20"/>
                <w:color w:val="auto"/>
              </w:rPr>
            </w:pPr>
            <w:r>
              <w:rPr>
                <w:rFonts w:ascii="Arial" w:cs="Arial" w:eastAsia="Arial" w:hAnsi="Arial"/>
                <w:sz w:val="10"/>
                <w:szCs w:val="10"/>
                <w:color w:val="auto"/>
              </w:rPr>
              <w:t>50</w:t>
            </w:r>
          </w:p>
        </w:tc>
        <w:tc>
          <w:tcPr>
            <w:tcW w:w="1500" w:type="dxa"/>
            <w:vAlign w:val="bottom"/>
          </w:tcPr>
          <w:p>
            <w:pPr>
              <w:ind w:left="280"/>
              <w:spacing w:after="0"/>
              <w:rPr>
                <w:sz w:val="20"/>
                <w:szCs w:val="20"/>
                <w:color w:val="auto"/>
              </w:rPr>
            </w:pPr>
            <w:r>
              <w:rPr>
                <w:rFonts w:ascii="Arial" w:cs="Arial" w:eastAsia="Arial" w:hAnsi="Arial"/>
                <w:sz w:val="10"/>
                <w:szCs w:val="10"/>
                <w:color w:val="auto"/>
              </w:rPr>
              <w:t>2,500</w:t>
            </w:r>
          </w:p>
        </w:tc>
        <w:tc>
          <w:tcPr>
            <w:tcW w:w="1880" w:type="dxa"/>
            <w:vAlign w:val="bottom"/>
          </w:tcPr>
          <w:p>
            <w:pPr>
              <w:ind w:left="380"/>
              <w:spacing w:after="0"/>
              <w:rPr>
                <w:sz w:val="20"/>
                <w:szCs w:val="20"/>
                <w:color w:val="auto"/>
              </w:rPr>
            </w:pPr>
            <w:r>
              <w:rPr>
                <w:rFonts w:ascii="Arial" w:cs="Arial" w:eastAsia="Arial" w:hAnsi="Arial"/>
                <w:sz w:val="10"/>
                <w:szCs w:val="10"/>
                <w:color w:val="auto"/>
              </w:rPr>
              <w:t>Offshore Wind JV</w:t>
            </w:r>
          </w:p>
        </w:tc>
        <w:tc>
          <w:tcPr>
            <w:tcW w:w="1860" w:type="dxa"/>
            <w:vAlign w:val="bottom"/>
          </w:tcPr>
          <w:p>
            <w:pPr>
              <w:ind w:left="540"/>
              <w:spacing w:after="0"/>
              <w:rPr>
                <w:sz w:val="20"/>
                <w:szCs w:val="20"/>
                <w:color w:val="auto"/>
              </w:rPr>
            </w:pPr>
            <w:r>
              <w:rPr>
                <w:rFonts w:ascii="Arial" w:cs="Arial" w:eastAsia="Arial" w:hAnsi="Arial"/>
                <w:sz w:val="10"/>
                <w:szCs w:val="10"/>
                <w:color w:val="auto"/>
              </w:rPr>
              <w:t>Offshore wind</w:t>
            </w:r>
          </w:p>
        </w:tc>
        <w:tc>
          <w:tcPr>
            <w:tcW w:w="1880" w:type="dxa"/>
            <w:vAlign w:val="bottom"/>
          </w:tcPr>
          <w:p>
            <w:pPr>
              <w:ind w:left="280"/>
              <w:spacing w:after="0"/>
              <w:rPr>
                <w:sz w:val="20"/>
                <w:szCs w:val="20"/>
                <w:color w:val="auto"/>
              </w:rPr>
            </w:pPr>
            <w:r>
              <w:rPr>
                <w:rFonts w:ascii="Arial" w:cs="Arial" w:eastAsia="Arial" w:hAnsi="Arial"/>
                <w:sz w:val="10"/>
                <w:szCs w:val="10"/>
                <w:color w:val="auto"/>
              </w:rPr>
              <w:t>No</w:t>
            </w:r>
          </w:p>
        </w:tc>
      </w:tr>
      <w:tr>
        <w:trPr>
          <w:trHeight w:val="130"/>
        </w:trPr>
        <w:tc>
          <w:tcPr>
            <w:tcW w:w="11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Pottendijk</w:t>
            </w:r>
          </w:p>
        </w:tc>
        <w:tc>
          <w:tcPr>
            <w:tcW w:w="1620" w:type="dxa"/>
            <w:vAlign w:val="bottom"/>
            <w:tcBorders>
              <w:bottom w:val="single" w:sz="8" w:color="auto"/>
            </w:tcBorders>
          </w:tcPr>
          <w:p>
            <w:pPr>
              <w:ind w:left="500"/>
              <w:spacing w:after="0"/>
              <w:rPr>
                <w:sz w:val="20"/>
                <w:szCs w:val="20"/>
                <w:color w:val="auto"/>
              </w:rPr>
            </w:pPr>
            <w:r>
              <w:rPr>
                <w:rFonts w:ascii="Arial" w:cs="Arial" w:eastAsia="Arial" w:hAnsi="Arial"/>
                <w:sz w:val="10"/>
                <w:szCs w:val="10"/>
                <w:color w:val="auto"/>
              </w:rPr>
              <w:t>The Netherlands</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100</w:t>
            </w: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0"/>
                <w:szCs w:val="10"/>
                <w:color w:val="auto"/>
              </w:rPr>
              <w:t>100</w:t>
            </w:r>
          </w:p>
        </w:tc>
        <w:tc>
          <w:tcPr>
            <w:tcW w:w="1880" w:type="dxa"/>
            <w:vAlign w:val="bottom"/>
            <w:tcBorders>
              <w:bottom w:val="single" w:sz="8" w:color="auto"/>
            </w:tcBorders>
          </w:tcPr>
          <w:p>
            <w:pPr>
              <w:ind w:left="380"/>
              <w:spacing w:after="0"/>
              <w:rPr>
                <w:sz w:val="20"/>
                <w:szCs w:val="20"/>
                <w:color w:val="auto"/>
              </w:rPr>
            </w:pPr>
            <w:r>
              <w:rPr>
                <w:rFonts w:ascii="Arial" w:cs="Arial" w:eastAsia="Arial" w:hAnsi="Arial"/>
                <w:sz w:val="10"/>
                <w:szCs w:val="10"/>
                <w:color w:val="auto"/>
              </w:rPr>
              <w:t>Solar and Onshore Wind</w:t>
            </w:r>
          </w:p>
        </w:tc>
        <w:tc>
          <w:tcPr>
            <w:tcW w:w="1860" w:type="dxa"/>
            <w:vAlign w:val="bottom"/>
            <w:tcBorders>
              <w:bottom w:val="single" w:sz="8" w:color="auto"/>
            </w:tcBorders>
          </w:tcPr>
          <w:p>
            <w:pPr>
              <w:ind w:left="540"/>
              <w:spacing w:after="0"/>
              <w:rPr>
                <w:sz w:val="20"/>
                <w:szCs w:val="20"/>
                <w:color w:val="auto"/>
              </w:rPr>
            </w:pPr>
            <w:r>
              <w:rPr>
                <w:rFonts w:ascii="Arial" w:cs="Arial" w:eastAsia="Arial" w:hAnsi="Arial"/>
                <w:sz w:val="10"/>
                <w:szCs w:val="10"/>
                <w:color w:val="auto"/>
              </w:rPr>
              <w:t>Onshore Renewable Power</w:t>
            </w:r>
          </w:p>
        </w:tc>
        <w:tc>
          <w:tcPr>
            <w:tcW w:w="1880" w:type="dxa"/>
            <w:vAlign w:val="bottom"/>
            <w:tcBorders>
              <w:bottom w:val="single" w:sz="8" w:color="auto"/>
            </w:tcBorders>
          </w:tcPr>
          <w:p>
            <w:pPr>
              <w:ind w:left="280"/>
              <w:spacing w:after="0"/>
              <w:rPr>
                <w:sz w:val="20"/>
                <w:szCs w:val="20"/>
                <w:color w:val="auto"/>
              </w:rPr>
            </w:pPr>
            <w:r>
              <w:rPr>
                <w:rFonts w:ascii="Arial" w:cs="Arial" w:eastAsia="Arial" w:hAnsi="Arial"/>
                <w:sz w:val="10"/>
                <w:szCs w:val="10"/>
                <w:color w:val="auto"/>
              </w:rPr>
              <w:t>Yes</w:t>
            </w:r>
          </w:p>
        </w:tc>
      </w:tr>
    </w:tbl>
    <w:p>
      <w:pPr>
        <w:spacing w:after="0" w:line="200" w:lineRule="exact"/>
        <w:rPr>
          <w:sz w:val="20"/>
          <w:szCs w:val="20"/>
          <w:color w:val="auto"/>
        </w:rPr>
      </w:pPr>
    </w:p>
    <w:p>
      <w:pPr>
        <w:sectPr>
          <w:pgSz w:w="11900" w:h="16838" w:orient="portrait"/>
          <w:cols w:equalWidth="0" w:num="1">
            <w:col w:w="11308"/>
          </w:cols>
          <w:pgMar w:left="292" w:top="631" w:right="299" w:bottom="1440" w:gutter="0" w:footer="0" w:header="0"/>
        </w:sectPr>
      </w:pPr>
    </w:p>
    <w:p>
      <w:pPr>
        <w:spacing w:after="0" w:line="158"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Hydrogen</w:t>
      </w:r>
    </w:p>
    <w:p>
      <w:pPr>
        <w:ind w:left="8" w:right="40"/>
        <w:spacing w:after="0" w:line="204" w:lineRule="auto"/>
        <w:rPr>
          <w:sz w:val="20"/>
          <w:szCs w:val="20"/>
          <w:color w:val="auto"/>
        </w:rPr>
      </w:pPr>
      <w:r>
        <w:rPr>
          <w:rFonts w:ascii="Arial" w:cs="Arial" w:eastAsia="Arial" w:hAnsi="Arial"/>
          <w:sz w:val="10"/>
          <w:szCs w:val="10"/>
          <w:color w:val="auto"/>
        </w:rPr>
        <w:t>We are part of joint ventures and alliances that have built hydrogen filling stations for passenger cars in Canada, Germany, the UK and the US state of California. We have announced plans to build several hydrogen filling stations in the Netherlands, the first of which opened in the fourth quarter of 2020.</w:t>
      </w:r>
    </w:p>
    <w:p>
      <w:pPr>
        <w:spacing w:after="0" w:line="131" w:lineRule="exact"/>
        <w:rPr>
          <w:sz w:val="20"/>
          <w:szCs w:val="20"/>
          <w:color w:val="auto"/>
        </w:rPr>
      </w:pPr>
    </w:p>
    <w:p>
      <w:pPr>
        <w:ind w:left="8" w:right="60"/>
        <w:spacing w:after="0" w:line="209" w:lineRule="auto"/>
        <w:rPr>
          <w:sz w:val="20"/>
          <w:szCs w:val="20"/>
          <w:color w:val="auto"/>
        </w:rPr>
      </w:pPr>
      <w:r>
        <w:rPr>
          <w:rFonts w:ascii="Arial" w:cs="Arial" w:eastAsia="Arial" w:hAnsi="Arial"/>
          <w:sz w:val="10"/>
          <w:szCs w:val="10"/>
          <w:color w:val="auto"/>
        </w:rPr>
        <w:t>We aim to complete the construction of a 10 MW electrolyser at our Rheinland refinery in Germany by mid-2021. In China, Shell and Zhangjiakou City Transport have signed a joint-venture agreement to build a 20 MW renewable power electrolyser and hydrogen refuelling stations in Zhangjiakou City in the Beijing-Tianjin-Hebei region.</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Nature-based solutions</w:t>
      </w:r>
    </w:p>
    <w:p>
      <w:pPr>
        <w:ind w:left="8" w:right="360"/>
        <w:spacing w:after="0" w:line="212" w:lineRule="auto"/>
        <w:rPr>
          <w:sz w:val="20"/>
          <w:szCs w:val="20"/>
          <w:color w:val="auto"/>
        </w:rPr>
      </w:pPr>
      <w:r>
        <w:rPr>
          <w:rFonts w:ascii="Arial" w:cs="Arial" w:eastAsia="Arial" w:hAnsi="Arial"/>
          <w:sz w:val="10"/>
          <w:szCs w:val="10"/>
          <w:color w:val="auto"/>
        </w:rPr>
        <w:t>In 2020, we completed the acquisition of Select Carbon, a specialist company that partners with farmers, pastoralists and other landowners in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200"/>
        <w:spacing w:after="0" w:line="260" w:lineRule="auto"/>
        <w:rPr>
          <w:sz w:val="20"/>
          <w:szCs w:val="20"/>
          <w:color w:val="auto"/>
        </w:rPr>
      </w:pPr>
      <w:r>
        <w:rPr>
          <w:rFonts w:ascii="Arial" w:cs="Arial" w:eastAsia="Arial" w:hAnsi="Arial"/>
          <w:sz w:val="8"/>
          <w:szCs w:val="8"/>
          <w:color w:val="auto"/>
        </w:rPr>
        <w:t>Australia to develop carbon farming projects, where plants are grown and soil managed to absorb carbon dioxide from the atmosphere. Select Carbon represents the first corporate acquisition for our nature-based solutions programme. This programme invests in forests, grasslands, wetlands and other natural ecosystems around the world to offset emissions by using plants to absorb carbon dioxide. The investment in natural ecosystems also helps biodiversity.</w:t>
      </w:r>
    </w:p>
    <w:p>
      <w:pPr>
        <w:spacing w:after="0" w:line="106" w:lineRule="exact"/>
        <w:rPr>
          <w:sz w:val="20"/>
          <w:szCs w:val="20"/>
          <w:color w:val="auto"/>
        </w:rPr>
      </w:pPr>
    </w:p>
    <w:p>
      <w:pPr>
        <w:spacing w:after="0"/>
        <w:rPr>
          <w:sz w:val="20"/>
          <w:szCs w:val="20"/>
          <w:color w:val="auto"/>
        </w:rPr>
      </w:pPr>
      <w:r>
        <w:rPr>
          <w:rFonts w:ascii="Arial" w:cs="Arial" w:eastAsia="Arial" w:hAnsi="Arial"/>
          <w:sz w:val="10"/>
          <w:szCs w:val="10"/>
          <w:color w:val="auto"/>
        </w:rPr>
        <w:t>Marketing and Trading</w:t>
      </w:r>
    </w:p>
    <w:p>
      <w:pPr>
        <w:ind w:right="180"/>
        <w:spacing w:after="0" w:line="212" w:lineRule="auto"/>
        <w:rPr>
          <w:sz w:val="20"/>
          <w:szCs w:val="20"/>
          <w:color w:val="auto"/>
        </w:rPr>
      </w:pPr>
      <w:r>
        <w:rPr>
          <w:rFonts w:ascii="Arial" w:cs="Arial" w:eastAsia="Arial" w:hAnsi="Arial"/>
          <w:sz w:val="10"/>
          <w:szCs w:val="10"/>
          <w:color w:val="auto"/>
        </w:rPr>
        <w:t>We also market and trade natural gas, power and carbon-emission rights in multiple markets in North and South America, Europe, Asia and Australia, of which a portion includes equity volumes from our upstream operations.</w:t>
      </w:r>
    </w:p>
    <w:p>
      <w:pPr>
        <w:spacing w:after="0" w:line="131" w:lineRule="exact"/>
        <w:rPr>
          <w:sz w:val="20"/>
          <w:szCs w:val="20"/>
          <w:color w:val="auto"/>
        </w:rPr>
      </w:pPr>
    </w:p>
    <w:p>
      <w:pPr>
        <w:jc w:val="center"/>
        <w:ind w:right="860"/>
        <w:spacing w:after="0"/>
        <w:rPr>
          <w:sz w:val="20"/>
          <w:szCs w:val="20"/>
          <w:color w:val="auto"/>
        </w:rPr>
      </w:pPr>
      <w:r>
        <w:rPr>
          <w:rFonts w:ascii="Arial" w:cs="Arial" w:eastAsia="Arial" w:hAnsi="Arial"/>
          <w:sz w:val="8"/>
          <w:szCs w:val="8"/>
          <w:color w:val="auto"/>
        </w:rPr>
        <w:t>We have set up a power marketing and trading business in the Philippines and China which began operations in 2020.</w:t>
      </w:r>
    </w:p>
    <w:p>
      <w:pPr>
        <w:spacing w:after="0" w:line="409" w:lineRule="exact"/>
        <w:rPr>
          <w:sz w:val="20"/>
          <w:szCs w:val="20"/>
          <w:color w:val="auto"/>
        </w:rPr>
      </w:pPr>
    </w:p>
    <w:p>
      <w:pPr>
        <w:sectPr>
          <w:pgSz w:w="11900" w:h="16838" w:orient="portrait"/>
          <w:cols w:equalWidth="0" w:num="2">
            <w:col w:w="5208" w:space="720"/>
            <w:col w:w="5380"/>
          </w:cols>
          <w:pgMar w:left="292" w:top="631"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35</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31" w:right="2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22"/>
          <w:szCs w:val="22"/>
          <w:color w:val="auto"/>
        </w:rPr>
        <w:t>UPSTREAM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62915"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121285</wp:posOffset>
            </wp:positionV>
            <wp:extent cx="7166610" cy="457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6610" cy="45720"/>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7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w w:val="88"/>
              </w:rPr>
              <w:t>$ million, except where indicated</w:t>
            </w:r>
          </w:p>
        </w:tc>
      </w:tr>
      <w:tr>
        <w:trPr>
          <w:trHeight w:val="130"/>
        </w:trPr>
        <w:tc>
          <w:tcPr>
            <w:tcW w:w="73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7300" w:type="dxa"/>
            <w:vAlign w:val="bottom"/>
          </w:tcPr>
          <w:p>
            <w:pPr>
              <w:spacing w:after="0"/>
              <w:rPr>
                <w:sz w:val="20"/>
                <w:szCs w:val="20"/>
                <w:color w:val="auto"/>
              </w:rPr>
            </w:pPr>
            <w:r>
              <w:rPr>
                <w:rFonts w:ascii="Arial" w:cs="Arial" w:eastAsia="Arial" w:hAnsi="Arial"/>
                <w:sz w:val="10"/>
                <w:szCs w:val="10"/>
                <w:color w:val="auto"/>
              </w:rPr>
              <w:t>Segment earnings</w:t>
            </w:r>
          </w:p>
        </w:tc>
        <w:tc>
          <w:tcPr>
            <w:tcW w:w="1340" w:type="dxa"/>
            <w:vAlign w:val="bottom"/>
            <w:shd w:val="clear" w:color="auto" w:fill="D9D9D9"/>
          </w:tcPr>
          <w:p>
            <w:pPr>
              <w:jc w:val="right"/>
              <w:spacing w:after="0"/>
              <w:rPr>
                <w:sz w:val="20"/>
                <w:szCs w:val="20"/>
                <w:color w:val="auto"/>
              </w:rPr>
            </w:pPr>
            <w:r>
              <w:rPr>
                <w:rFonts w:ascii="Arial" w:cs="Arial" w:eastAsia="Arial" w:hAnsi="Arial"/>
                <w:sz w:val="8"/>
                <w:szCs w:val="8"/>
                <w:color w:val="auto"/>
              </w:rPr>
              <w:t>(10,785)</w:t>
            </w:r>
          </w:p>
        </w:tc>
        <w:tc>
          <w:tcPr>
            <w:tcW w:w="1320" w:type="dxa"/>
            <w:vAlign w:val="bottom"/>
          </w:tcPr>
          <w:p>
            <w:pPr>
              <w:jc w:val="right"/>
              <w:spacing w:after="0"/>
              <w:rPr>
                <w:sz w:val="20"/>
                <w:szCs w:val="20"/>
                <w:color w:val="auto"/>
              </w:rPr>
            </w:pPr>
            <w:r>
              <w:rPr>
                <w:rFonts w:ascii="Arial" w:cs="Arial" w:eastAsia="Arial" w:hAnsi="Arial"/>
                <w:sz w:val="8"/>
                <w:szCs w:val="8"/>
                <w:color w:val="auto"/>
              </w:rPr>
              <w:t>3,855</w:t>
            </w:r>
          </w:p>
        </w:tc>
        <w:tc>
          <w:tcPr>
            <w:tcW w:w="1320" w:type="dxa"/>
            <w:vAlign w:val="bottom"/>
          </w:tcPr>
          <w:p>
            <w:pPr>
              <w:jc w:val="right"/>
              <w:spacing w:after="0"/>
              <w:rPr>
                <w:sz w:val="20"/>
                <w:szCs w:val="20"/>
                <w:color w:val="auto"/>
              </w:rPr>
            </w:pPr>
            <w:r>
              <w:rPr>
                <w:rFonts w:ascii="Arial" w:cs="Arial" w:eastAsia="Arial" w:hAnsi="Arial"/>
                <w:sz w:val="8"/>
                <w:szCs w:val="8"/>
                <w:color w:val="auto"/>
              </w:rPr>
              <w:t>6,490</w:t>
            </w:r>
          </w:p>
        </w:tc>
      </w:tr>
      <w:tr>
        <w:trPr>
          <w:trHeight w:val="123"/>
        </w:trPr>
        <w:tc>
          <w:tcPr>
            <w:tcW w:w="7300" w:type="dxa"/>
            <w:vAlign w:val="bottom"/>
          </w:tcPr>
          <w:p>
            <w:pPr>
              <w:spacing w:after="0"/>
              <w:rPr>
                <w:sz w:val="20"/>
                <w:szCs w:val="20"/>
                <w:color w:val="auto"/>
              </w:rPr>
            </w:pPr>
            <w:r>
              <w:rPr>
                <w:rFonts w:ascii="Arial" w:cs="Arial" w:eastAsia="Arial" w:hAnsi="Arial"/>
                <w:sz w:val="10"/>
                <w:szCs w:val="10"/>
                <w:color w:val="auto"/>
              </w:rPr>
              <w:t>Including:</w:t>
            </w:r>
          </w:p>
        </w:tc>
        <w:tc>
          <w:tcPr>
            <w:tcW w:w="1340" w:type="dxa"/>
            <w:vAlign w:val="bottom"/>
            <w:shd w:val="clear" w:color="auto" w:fill="D9D9D9"/>
          </w:tcPr>
          <w:p>
            <w:pPr>
              <w:spacing w:after="0"/>
              <w:rPr>
                <w:sz w:val="10"/>
                <w:szCs w:val="10"/>
                <w:color w:val="auto"/>
              </w:rPr>
            </w:pPr>
          </w:p>
        </w:tc>
        <w:tc>
          <w:tcPr>
            <w:tcW w:w="132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26"/>
        </w:trPr>
        <w:tc>
          <w:tcPr>
            <w:tcW w:w="7300" w:type="dxa"/>
            <w:vAlign w:val="bottom"/>
          </w:tcPr>
          <w:p>
            <w:pPr>
              <w:ind w:left="140"/>
              <w:spacing w:after="0"/>
              <w:rPr>
                <w:sz w:val="20"/>
                <w:szCs w:val="20"/>
                <w:color w:val="auto"/>
              </w:rPr>
            </w:pPr>
            <w:r>
              <w:rPr>
                <w:rFonts w:ascii="Arial" w:cs="Arial" w:eastAsia="Arial" w:hAnsi="Arial"/>
                <w:sz w:val="10"/>
                <w:szCs w:val="10"/>
                <w:color w:val="auto"/>
              </w:rPr>
              <w:t>Revenue (including inter-segment sales)</w:t>
            </w:r>
          </w:p>
        </w:tc>
        <w:tc>
          <w:tcPr>
            <w:tcW w:w="1340" w:type="dxa"/>
            <w:vAlign w:val="bottom"/>
            <w:shd w:val="clear" w:color="auto" w:fill="D9D9D9"/>
          </w:tcPr>
          <w:p>
            <w:pPr>
              <w:jc w:val="right"/>
              <w:spacing w:after="0"/>
              <w:rPr>
                <w:sz w:val="20"/>
                <w:szCs w:val="20"/>
                <w:color w:val="auto"/>
              </w:rPr>
            </w:pPr>
            <w:r>
              <w:rPr>
                <w:rFonts w:ascii="Arial" w:cs="Arial" w:eastAsia="Arial" w:hAnsi="Arial"/>
                <w:sz w:val="8"/>
                <w:szCs w:val="8"/>
                <w:color w:val="auto"/>
              </w:rPr>
              <w:t>28,330</w:t>
            </w:r>
          </w:p>
        </w:tc>
        <w:tc>
          <w:tcPr>
            <w:tcW w:w="1320" w:type="dxa"/>
            <w:vAlign w:val="bottom"/>
          </w:tcPr>
          <w:p>
            <w:pPr>
              <w:jc w:val="right"/>
              <w:spacing w:after="0"/>
              <w:rPr>
                <w:sz w:val="20"/>
                <w:szCs w:val="20"/>
                <w:color w:val="auto"/>
              </w:rPr>
            </w:pPr>
            <w:r>
              <w:rPr>
                <w:rFonts w:ascii="Arial" w:cs="Arial" w:eastAsia="Arial" w:hAnsi="Arial"/>
                <w:sz w:val="8"/>
                <w:szCs w:val="8"/>
                <w:color w:val="auto"/>
              </w:rPr>
              <w:t>45,217</w:t>
            </w:r>
          </w:p>
        </w:tc>
        <w:tc>
          <w:tcPr>
            <w:tcW w:w="1320" w:type="dxa"/>
            <w:vAlign w:val="bottom"/>
          </w:tcPr>
          <w:p>
            <w:pPr>
              <w:jc w:val="right"/>
              <w:spacing w:after="0"/>
              <w:rPr>
                <w:sz w:val="20"/>
                <w:szCs w:val="20"/>
                <w:color w:val="auto"/>
              </w:rPr>
            </w:pPr>
            <w:r>
              <w:rPr>
                <w:rFonts w:ascii="Arial" w:cs="Arial" w:eastAsia="Arial" w:hAnsi="Arial"/>
                <w:sz w:val="8"/>
                <w:szCs w:val="8"/>
                <w:color w:val="auto"/>
              </w:rPr>
              <w:t>46,584</w:t>
            </w:r>
          </w:p>
        </w:tc>
      </w:tr>
      <w:tr>
        <w:trPr>
          <w:trHeight w:val="126"/>
        </w:trPr>
        <w:tc>
          <w:tcPr>
            <w:tcW w:w="7300" w:type="dxa"/>
            <w:vAlign w:val="bottom"/>
          </w:tcPr>
          <w:p>
            <w:pPr>
              <w:ind w:left="140"/>
              <w:spacing w:after="0"/>
              <w:rPr>
                <w:sz w:val="20"/>
                <w:szCs w:val="20"/>
                <w:color w:val="auto"/>
              </w:rPr>
            </w:pPr>
            <w:r>
              <w:rPr>
                <w:rFonts w:ascii="Arial" w:cs="Arial" w:eastAsia="Arial" w:hAnsi="Arial"/>
                <w:sz w:val="10"/>
                <w:szCs w:val="10"/>
                <w:color w:val="auto"/>
              </w:rPr>
              <w:t>Share of profit of joint ventures and associates</w:t>
            </w:r>
          </w:p>
        </w:tc>
        <w:tc>
          <w:tcPr>
            <w:tcW w:w="1340" w:type="dxa"/>
            <w:vAlign w:val="bottom"/>
            <w:shd w:val="clear" w:color="auto" w:fill="D9D9D9"/>
          </w:tcPr>
          <w:p>
            <w:pPr>
              <w:jc w:val="right"/>
              <w:spacing w:after="0"/>
              <w:rPr>
                <w:sz w:val="20"/>
                <w:szCs w:val="20"/>
                <w:color w:val="auto"/>
              </w:rPr>
            </w:pPr>
            <w:r>
              <w:rPr>
                <w:rFonts w:ascii="Arial" w:cs="Arial" w:eastAsia="Arial" w:hAnsi="Arial"/>
                <w:sz w:val="8"/>
                <w:szCs w:val="8"/>
                <w:color w:val="auto"/>
              </w:rPr>
              <w:t>(7)</w:t>
            </w:r>
          </w:p>
        </w:tc>
        <w:tc>
          <w:tcPr>
            <w:tcW w:w="1320" w:type="dxa"/>
            <w:vAlign w:val="bottom"/>
          </w:tcPr>
          <w:p>
            <w:pPr>
              <w:jc w:val="right"/>
              <w:spacing w:after="0"/>
              <w:rPr>
                <w:sz w:val="20"/>
                <w:szCs w:val="20"/>
                <w:color w:val="auto"/>
              </w:rPr>
            </w:pPr>
            <w:r>
              <w:rPr>
                <w:rFonts w:ascii="Arial" w:cs="Arial" w:eastAsia="Arial" w:hAnsi="Arial"/>
                <w:sz w:val="8"/>
                <w:szCs w:val="8"/>
                <w:color w:val="auto"/>
              </w:rPr>
              <w:t>379</w:t>
            </w:r>
          </w:p>
        </w:tc>
        <w:tc>
          <w:tcPr>
            <w:tcW w:w="1320" w:type="dxa"/>
            <w:vAlign w:val="bottom"/>
          </w:tcPr>
          <w:p>
            <w:pPr>
              <w:jc w:val="right"/>
              <w:spacing w:after="0"/>
              <w:rPr>
                <w:sz w:val="20"/>
                <w:szCs w:val="20"/>
                <w:color w:val="auto"/>
              </w:rPr>
            </w:pPr>
            <w:r>
              <w:rPr>
                <w:rFonts w:ascii="Arial" w:cs="Arial" w:eastAsia="Arial" w:hAnsi="Arial"/>
                <w:sz w:val="8"/>
                <w:szCs w:val="8"/>
                <w:color w:val="auto"/>
              </w:rPr>
              <w:t>285</w:t>
            </w:r>
          </w:p>
        </w:tc>
      </w:tr>
      <w:tr>
        <w:trPr>
          <w:trHeight w:val="126"/>
        </w:trPr>
        <w:tc>
          <w:tcPr>
            <w:tcW w:w="7300" w:type="dxa"/>
            <w:vAlign w:val="bottom"/>
          </w:tcPr>
          <w:p>
            <w:pPr>
              <w:ind w:left="140"/>
              <w:spacing w:after="0"/>
              <w:rPr>
                <w:sz w:val="20"/>
                <w:szCs w:val="20"/>
                <w:color w:val="auto"/>
              </w:rPr>
            </w:pPr>
            <w:r>
              <w:rPr>
                <w:rFonts w:ascii="Arial" w:cs="Arial" w:eastAsia="Arial" w:hAnsi="Arial"/>
                <w:sz w:val="10"/>
                <w:szCs w:val="10"/>
                <w:color w:val="auto"/>
              </w:rPr>
              <w:t>Interest and other income</w:t>
            </w:r>
          </w:p>
        </w:tc>
        <w:tc>
          <w:tcPr>
            <w:tcW w:w="1340" w:type="dxa"/>
            <w:vAlign w:val="bottom"/>
            <w:shd w:val="clear" w:color="auto" w:fill="D9D9D9"/>
          </w:tcPr>
          <w:p>
            <w:pPr>
              <w:jc w:val="right"/>
              <w:spacing w:after="0"/>
              <w:rPr>
                <w:sz w:val="20"/>
                <w:szCs w:val="20"/>
                <w:color w:val="auto"/>
              </w:rPr>
            </w:pPr>
            <w:r>
              <w:rPr>
                <w:rFonts w:ascii="Arial" w:cs="Arial" w:eastAsia="Arial" w:hAnsi="Arial"/>
                <w:sz w:val="8"/>
                <w:szCs w:val="8"/>
                <w:color w:val="auto"/>
              </w:rPr>
              <w:t>542</w:t>
            </w:r>
          </w:p>
        </w:tc>
        <w:tc>
          <w:tcPr>
            <w:tcW w:w="1320" w:type="dxa"/>
            <w:vAlign w:val="bottom"/>
          </w:tcPr>
          <w:p>
            <w:pPr>
              <w:jc w:val="right"/>
              <w:spacing w:after="0"/>
              <w:rPr>
                <w:sz w:val="20"/>
                <w:szCs w:val="20"/>
                <w:color w:val="auto"/>
              </w:rPr>
            </w:pPr>
            <w:r>
              <w:rPr>
                <w:rFonts w:ascii="Arial" w:cs="Arial" w:eastAsia="Arial" w:hAnsi="Arial"/>
                <w:sz w:val="8"/>
                <w:szCs w:val="8"/>
                <w:color w:val="auto"/>
              </w:rPr>
              <w:t>2,180</w:t>
            </w:r>
          </w:p>
        </w:tc>
        <w:tc>
          <w:tcPr>
            <w:tcW w:w="1320" w:type="dxa"/>
            <w:vAlign w:val="bottom"/>
          </w:tcPr>
          <w:p>
            <w:pPr>
              <w:jc w:val="right"/>
              <w:spacing w:after="0"/>
              <w:rPr>
                <w:sz w:val="20"/>
                <w:szCs w:val="20"/>
                <w:color w:val="auto"/>
              </w:rPr>
            </w:pPr>
            <w:r>
              <w:rPr>
                <w:rFonts w:ascii="Arial" w:cs="Arial" w:eastAsia="Arial" w:hAnsi="Arial"/>
                <w:sz w:val="8"/>
                <w:szCs w:val="8"/>
                <w:color w:val="auto"/>
              </w:rPr>
              <w:t>605</w:t>
            </w:r>
          </w:p>
        </w:tc>
      </w:tr>
      <w:tr>
        <w:trPr>
          <w:trHeight w:val="126"/>
        </w:trPr>
        <w:tc>
          <w:tcPr>
            <w:tcW w:w="7300" w:type="dxa"/>
            <w:vAlign w:val="bottom"/>
          </w:tcPr>
          <w:p>
            <w:pPr>
              <w:ind w:left="140"/>
              <w:spacing w:after="0"/>
              <w:rPr>
                <w:sz w:val="20"/>
                <w:szCs w:val="20"/>
                <w:color w:val="auto"/>
              </w:rPr>
            </w:pPr>
            <w:r>
              <w:rPr>
                <w:rFonts w:ascii="Arial" w:cs="Arial" w:eastAsia="Arial" w:hAnsi="Arial"/>
                <w:sz w:val="10"/>
                <w:szCs w:val="10"/>
                <w:color w:val="auto"/>
              </w:rPr>
              <w:t>Operating expenses [A]</w:t>
            </w:r>
          </w:p>
        </w:tc>
        <w:tc>
          <w:tcPr>
            <w:tcW w:w="1340" w:type="dxa"/>
            <w:vAlign w:val="bottom"/>
            <w:shd w:val="clear" w:color="auto" w:fill="D9D9D9"/>
          </w:tcPr>
          <w:p>
            <w:pPr>
              <w:jc w:val="right"/>
              <w:spacing w:after="0"/>
              <w:rPr>
                <w:sz w:val="20"/>
                <w:szCs w:val="20"/>
                <w:color w:val="auto"/>
              </w:rPr>
            </w:pPr>
            <w:r>
              <w:rPr>
                <w:rFonts w:ascii="Arial" w:cs="Arial" w:eastAsia="Arial" w:hAnsi="Arial"/>
                <w:sz w:val="8"/>
                <w:szCs w:val="8"/>
                <w:color w:val="auto"/>
              </w:rPr>
              <w:t>10,983</w:t>
            </w:r>
          </w:p>
        </w:tc>
        <w:tc>
          <w:tcPr>
            <w:tcW w:w="1320" w:type="dxa"/>
            <w:vAlign w:val="bottom"/>
          </w:tcPr>
          <w:p>
            <w:pPr>
              <w:jc w:val="right"/>
              <w:spacing w:after="0"/>
              <w:rPr>
                <w:sz w:val="20"/>
                <w:szCs w:val="20"/>
                <w:color w:val="auto"/>
              </w:rPr>
            </w:pPr>
            <w:r>
              <w:rPr>
                <w:rFonts w:ascii="Arial" w:cs="Arial" w:eastAsia="Arial" w:hAnsi="Arial"/>
                <w:sz w:val="8"/>
                <w:szCs w:val="8"/>
                <w:color w:val="auto"/>
              </w:rPr>
              <w:t>11,582</w:t>
            </w:r>
          </w:p>
        </w:tc>
        <w:tc>
          <w:tcPr>
            <w:tcW w:w="1320" w:type="dxa"/>
            <w:vAlign w:val="bottom"/>
          </w:tcPr>
          <w:p>
            <w:pPr>
              <w:jc w:val="right"/>
              <w:spacing w:after="0"/>
              <w:rPr>
                <w:sz w:val="20"/>
                <w:szCs w:val="20"/>
                <w:color w:val="auto"/>
              </w:rPr>
            </w:pPr>
            <w:r>
              <w:rPr>
                <w:rFonts w:ascii="Arial" w:cs="Arial" w:eastAsia="Arial" w:hAnsi="Arial"/>
                <w:sz w:val="8"/>
                <w:szCs w:val="8"/>
                <w:color w:val="auto"/>
              </w:rPr>
              <w:t>11,690</w:t>
            </w:r>
          </w:p>
        </w:tc>
      </w:tr>
      <w:tr>
        <w:trPr>
          <w:trHeight w:val="126"/>
        </w:trPr>
        <w:tc>
          <w:tcPr>
            <w:tcW w:w="7300" w:type="dxa"/>
            <w:vAlign w:val="bottom"/>
          </w:tcPr>
          <w:p>
            <w:pPr>
              <w:ind w:left="140"/>
              <w:spacing w:after="0"/>
              <w:rPr>
                <w:sz w:val="20"/>
                <w:szCs w:val="20"/>
                <w:color w:val="auto"/>
              </w:rPr>
            </w:pPr>
            <w:r>
              <w:rPr>
                <w:rFonts w:ascii="Arial" w:cs="Arial" w:eastAsia="Arial" w:hAnsi="Arial"/>
                <w:sz w:val="10"/>
                <w:szCs w:val="10"/>
                <w:color w:val="auto"/>
              </w:rPr>
              <w:t>Exploration</w:t>
            </w:r>
          </w:p>
        </w:tc>
        <w:tc>
          <w:tcPr>
            <w:tcW w:w="1340" w:type="dxa"/>
            <w:vAlign w:val="bottom"/>
            <w:shd w:val="clear" w:color="auto" w:fill="D9D9D9"/>
          </w:tcPr>
          <w:p>
            <w:pPr>
              <w:jc w:val="right"/>
              <w:spacing w:after="0"/>
              <w:rPr>
                <w:sz w:val="20"/>
                <w:szCs w:val="20"/>
                <w:color w:val="auto"/>
              </w:rPr>
            </w:pPr>
            <w:r>
              <w:rPr>
                <w:rFonts w:ascii="Arial" w:cs="Arial" w:eastAsia="Arial" w:hAnsi="Arial"/>
                <w:sz w:val="8"/>
                <w:szCs w:val="8"/>
                <w:color w:val="auto"/>
              </w:rPr>
              <w:t>1,136</w:t>
            </w:r>
          </w:p>
        </w:tc>
        <w:tc>
          <w:tcPr>
            <w:tcW w:w="1320" w:type="dxa"/>
            <w:vAlign w:val="bottom"/>
          </w:tcPr>
          <w:p>
            <w:pPr>
              <w:jc w:val="right"/>
              <w:spacing w:after="0"/>
              <w:rPr>
                <w:sz w:val="20"/>
                <w:szCs w:val="20"/>
                <w:color w:val="auto"/>
              </w:rPr>
            </w:pPr>
            <w:r>
              <w:rPr>
                <w:rFonts w:ascii="Arial" w:cs="Arial" w:eastAsia="Arial" w:hAnsi="Arial"/>
                <w:sz w:val="8"/>
                <w:szCs w:val="8"/>
                <w:color w:val="auto"/>
              </w:rPr>
              <w:t>2,073</w:t>
            </w:r>
          </w:p>
        </w:tc>
        <w:tc>
          <w:tcPr>
            <w:tcW w:w="1320" w:type="dxa"/>
            <w:vAlign w:val="bottom"/>
          </w:tcPr>
          <w:p>
            <w:pPr>
              <w:jc w:val="right"/>
              <w:spacing w:after="0"/>
              <w:rPr>
                <w:sz w:val="20"/>
                <w:szCs w:val="20"/>
                <w:color w:val="auto"/>
              </w:rPr>
            </w:pPr>
            <w:r>
              <w:rPr>
                <w:rFonts w:ascii="Arial" w:cs="Arial" w:eastAsia="Arial" w:hAnsi="Arial"/>
                <w:sz w:val="8"/>
                <w:szCs w:val="8"/>
                <w:color w:val="auto"/>
              </w:rPr>
              <w:t>1,132</w:t>
            </w:r>
          </w:p>
        </w:tc>
      </w:tr>
      <w:tr>
        <w:trPr>
          <w:trHeight w:val="126"/>
        </w:trPr>
        <w:tc>
          <w:tcPr>
            <w:tcW w:w="7300" w:type="dxa"/>
            <w:vAlign w:val="bottom"/>
          </w:tcPr>
          <w:p>
            <w:pPr>
              <w:ind w:left="140"/>
              <w:spacing w:after="0"/>
              <w:rPr>
                <w:sz w:val="20"/>
                <w:szCs w:val="20"/>
                <w:color w:val="auto"/>
              </w:rPr>
            </w:pPr>
            <w:r>
              <w:rPr>
                <w:rFonts w:ascii="Arial" w:cs="Arial" w:eastAsia="Arial" w:hAnsi="Arial"/>
                <w:sz w:val="10"/>
                <w:szCs w:val="10"/>
                <w:color w:val="auto"/>
              </w:rPr>
              <w:t>Depreciation, depletion and amortisation</w:t>
            </w:r>
          </w:p>
        </w:tc>
        <w:tc>
          <w:tcPr>
            <w:tcW w:w="1340" w:type="dxa"/>
            <w:vAlign w:val="bottom"/>
            <w:shd w:val="clear" w:color="auto" w:fill="D9D9D9"/>
          </w:tcPr>
          <w:p>
            <w:pPr>
              <w:jc w:val="right"/>
              <w:spacing w:after="0"/>
              <w:rPr>
                <w:sz w:val="20"/>
                <w:szCs w:val="20"/>
                <w:color w:val="auto"/>
              </w:rPr>
            </w:pPr>
            <w:r>
              <w:rPr>
                <w:rFonts w:ascii="Arial" w:cs="Arial" w:eastAsia="Arial" w:hAnsi="Arial"/>
                <w:sz w:val="8"/>
                <w:szCs w:val="8"/>
                <w:color w:val="auto"/>
              </w:rPr>
              <w:t>23,119</w:t>
            </w:r>
          </w:p>
        </w:tc>
        <w:tc>
          <w:tcPr>
            <w:tcW w:w="1320" w:type="dxa"/>
            <w:vAlign w:val="bottom"/>
          </w:tcPr>
          <w:p>
            <w:pPr>
              <w:jc w:val="right"/>
              <w:spacing w:after="0"/>
              <w:rPr>
                <w:sz w:val="20"/>
                <w:szCs w:val="20"/>
                <w:color w:val="auto"/>
              </w:rPr>
            </w:pPr>
            <w:r>
              <w:rPr>
                <w:rFonts w:ascii="Arial" w:cs="Arial" w:eastAsia="Arial" w:hAnsi="Arial"/>
                <w:sz w:val="8"/>
                <w:szCs w:val="8"/>
                <w:color w:val="auto"/>
              </w:rPr>
              <w:t>16,881</w:t>
            </w:r>
          </w:p>
        </w:tc>
        <w:tc>
          <w:tcPr>
            <w:tcW w:w="1320" w:type="dxa"/>
            <w:vAlign w:val="bottom"/>
          </w:tcPr>
          <w:p>
            <w:pPr>
              <w:jc w:val="right"/>
              <w:spacing w:after="0"/>
              <w:rPr>
                <w:sz w:val="20"/>
                <w:szCs w:val="20"/>
                <w:color w:val="auto"/>
              </w:rPr>
            </w:pPr>
            <w:r>
              <w:rPr>
                <w:rFonts w:ascii="Arial" w:cs="Arial" w:eastAsia="Arial" w:hAnsi="Arial"/>
                <w:sz w:val="8"/>
                <w:szCs w:val="8"/>
                <w:color w:val="auto"/>
              </w:rPr>
              <w:t>12,871</w:t>
            </w:r>
          </w:p>
        </w:tc>
      </w:tr>
      <w:tr>
        <w:trPr>
          <w:trHeight w:val="130"/>
        </w:trPr>
        <w:tc>
          <w:tcPr>
            <w:tcW w:w="730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Taxation charge/(credit)</w:t>
            </w: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(467)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5,878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8,756</w:t>
            </w:r>
          </w:p>
        </w:tc>
      </w:tr>
      <w:tr>
        <w:trPr>
          <w:trHeight w:val="114"/>
        </w:trPr>
        <w:tc>
          <w:tcPr>
            <w:tcW w:w="7300" w:type="dxa"/>
            <w:vAlign w:val="bottom"/>
          </w:tcPr>
          <w:p>
            <w:pPr>
              <w:spacing w:after="0"/>
              <w:rPr>
                <w:sz w:val="20"/>
                <w:szCs w:val="20"/>
                <w:color w:val="auto"/>
              </w:rPr>
            </w:pPr>
            <w:r>
              <w:rPr>
                <w:rFonts w:ascii="Arial" w:cs="Arial" w:eastAsia="Arial" w:hAnsi="Arial"/>
                <w:sz w:val="10"/>
                <w:szCs w:val="10"/>
                <w:color w:val="auto"/>
              </w:rPr>
              <w:t>Identified Items [A]</w:t>
            </w:r>
          </w:p>
        </w:tc>
        <w:tc>
          <w:tcPr>
            <w:tcW w:w="1340" w:type="dxa"/>
            <w:vAlign w:val="bottom"/>
            <w:shd w:val="clear" w:color="auto" w:fill="D9D9D9"/>
          </w:tcPr>
          <w:p>
            <w:pPr>
              <w:jc w:val="right"/>
              <w:spacing w:after="0"/>
              <w:rPr>
                <w:sz w:val="20"/>
                <w:szCs w:val="20"/>
                <w:color w:val="auto"/>
              </w:rPr>
            </w:pPr>
            <w:r>
              <w:rPr>
                <w:rFonts w:ascii="Arial" w:cs="Arial" w:eastAsia="Arial" w:hAnsi="Arial"/>
                <w:sz w:val="8"/>
                <w:szCs w:val="8"/>
                <w:color w:val="auto"/>
              </w:rPr>
              <w:t>(7,933)</w:t>
            </w:r>
          </w:p>
        </w:tc>
        <w:tc>
          <w:tcPr>
            <w:tcW w:w="1320" w:type="dxa"/>
            <w:vAlign w:val="bottom"/>
          </w:tcPr>
          <w:p>
            <w:pPr>
              <w:jc w:val="right"/>
              <w:spacing w:after="0"/>
              <w:rPr>
                <w:sz w:val="20"/>
                <w:szCs w:val="20"/>
                <w:color w:val="auto"/>
              </w:rPr>
            </w:pPr>
            <w:r>
              <w:rPr>
                <w:rFonts w:ascii="Arial" w:cs="Arial" w:eastAsia="Arial" w:hAnsi="Arial"/>
                <w:sz w:val="8"/>
                <w:szCs w:val="8"/>
                <w:color w:val="auto"/>
              </w:rPr>
              <w:t>(598)</w:t>
            </w:r>
          </w:p>
        </w:tc>
        <w:tc>
          <w:tcPr>
            <w:tcW w:w="1320" w:type="dxa"/>
            <w:vAlign w:val="bottom"/>
          </w:tcPr>
          <w:p>
            <w:pPr>
              <w:jc w:val="right"/>
              <w:spacing w:after="0"/>
              <w:rPr>
                <w:sz w:val="20"/>
                <w:szCs w:val="20"/>
                <w:color w:val="auto"/>
              </w:rPr>
            </w:pPr>
            <w:r>
              <w:rPr>
                <w:rFonts w:ascii="Arial" w:cs="Arial" w:eastAsia="Arial" w:hAnsi="Arial"/>
                <w:sz w:val="8"/>
                <w:szCs w:val="8"/>
                <w:color w:val="auto"/>
              </w:rPr>
              <w:t>19</w:t>
            </w:r>
          </w:p>
        </w:tc>
      </w:tr>
      <w:tr>
        <w:trPr>
          <w:trHeight w:val="123"/>
        </w:trPr>
        <w:tc>
          <w:tcPr>
            <w:tcW w:w="7300" w:type="dxa"/>
            <w:vAlign w:val="bottom"/>
          </w:tcPr>
          <w:p>
            <w:pPr>
              <w:spacing w:after="0"/>
              <w:rPr>
                <w:sz w:val="20"/>
                <w:szCs w:val="20"/>
                <w:color w:val="auto"/>
              </w:rPr>
            </w:pPr>
            <w:r>
              <w:rPr>
                <w:rFonts w:ascii="Arial" w:cs="Arial" w:eastAsia="Arial" w:hAnsi="Arial"/>
                <w:sz w:val="10"/>
                <w:szCs w:val="10"/>
                <w:color w:val="auto"/>
              </w:rPr>
              <w:t>Adjusted Earnings [A]</w:t>
            </w:r>
          </w:p>
        </w:tc>
        <w:tc>
          <w:tcPr>
            <w:tcW w:w="1340" w:type="dxa"/>
            <w:vAlign w:val="bottom"/>
            <w:shd w:val="clear" w:color="auto" w:fill="D9D9D9"/>
          </w:tcPr>
          <w:p>
            <w:pPr>
              <w:jc w:val="right"/>
              <w:spacing w:after="0"/>
              <w:rPr>
                <w:sz w:val="20"/>
                <w:szCs w:val="20"/>
                <w:color w:val="auto"/>
              </w:rPr>
            </w:pPr>
            <w:r>
              <w:rPr>
                <w:rFonts w:ascii="Arial" w:cs="Arial" w:eastAsia="Arial" w:hAnsi="Arial"/>
                <w:sz w:val="8"/>
                <w:szCs w:val="8"/>
                <w:color w:val="auto"/>
              </w:rPr>
              <w:t>(2,852)</w:t>
            </w:r>
          </w:p>
        </w:tc>
        <w:tc>
          <w:tcPr>
            <w:tcW w:w="1320" w:type="dxa"/>
            <w:vAlign w:val="bottom"/>
          </w:tcPr>
          <w:p>
            <w:pPr>
              <w:jc w:val="right"/>
              <w:spacing w:after="0"/>
              <w:rPr>
                <w:sz w:val="20"/>
                <w:szCs w:val="20"/>
                <w:color w:val="auto"/>
              </w:rPr>
            </w:pPr>
            <w:r>
              <w:rPr>
                <w:rFonts w:ascii="Arial" w:cs="Arial" w:eastAsia="Arial" w:hAnsi="Arial"/>
                <w:sz w:val="8"/>
                <w:szCs w:val="8"/>
                <w:color w:val="auto"/>
              </w:rPr>
              <w:t>4,452</w:t>
            </w:r>
          </w:p>
        </w:tc>
        <w:tc>
          <w:tcPr>
            <w:tcW w:w="1320" w:type="dxa"/>
            <w:vAlign w:val="bottom"/>
          </w:tcPr>
          <w:p>
            <w:pPr>
              <w:jc w:val="right"/>
              <w:spacing w:after="0"/>
              <w:rPr>
                <w:sz w:val="20"/>
                <w:szCs w:val="20"/>
                <w:color w:val="auto"/>
              </w:rPr>
            </w:pPr>
            <w:r>
              <w:rPr>
                <w:rFonts w:ascii="Arial" w:cs="Arial" w:eastAsia="Arial" w:hAnsi="Arial"/>
                <w:sz w:val="8"/>
                <w:szCs w:val="8"/>
                <w:color w:val="auto"/>
              </w:rPr>
              <w:t>6,472</w:t>
            </w:r>
          </w:p>
        </w:tc>
      </w:tr>
      <w:tr>
        <w:trPr>
          <w:trHeight w:val="126"/>
        </w:trPr>
        <w:tc>
          <w:tcPr>
            <w:tcW w:w="7300" w:type="dxa"/>
            <w:vAlign w:val="bottom"/>
          </w:tcPr>
          <w:p>
            <w:pPr>
              <w:spacing w:after="0"/>
              <w:rPr>
                <w:sz w:val="20"/>
                <w:szCs w:val="20"/>
                <w:color w:val="auto"/>
              </w:rPr>
            </w:pPr>
            <w:r>
              <w:rPr>
                <w:rFonts w:ascii="Arial" w:cs="Arial" w:eastAsia="Arial" w:hAnsi="Arial"/>
                <w:sz w:val="10"/>
                <w:szCs w:val="10"/>
                <w:color w:val="auto"/>
              </w:rPr>
              <w:t>Capital expenditure</w:t>
            </w:r>
          </w:p>
        </w:tc>
        <w:tc>
          <w:tcPr>
            <w:tcW w:w="1340" w:type="dxa"/>
            <w:vAlign w:val="bottom"/>
            <w:shd w:val="clear" w:color="auto" w:fill="D9D9D9"/>
          </w:tcPr>
          <w:p>
            <w:pPr>
              <w:jc w:val="right"/>
              <w:spacing w:after="0"/>
              <w:rPr>
                <w:sz w:val="20"/>
                <w:szCs w:val="20"/>
                <w:color w:val="auto"/>
              </w:rPr>
            </w:pPr>
            <w:r>
              <w:rPr>
                <w:rFonts w:ascii="Arial" w:cs="Arial" w:eastAsia="Arial" w:hAnsi="Arial"/>
                <w:sz w:val="8"/>
                <w:szCs w:val="8"/>
                <w:color w:val="auto"/>
              </w:rPr>
              <w:t>6,911</w:t>
            </w:r>
          </w:p>
        </w:tc>
        <w:tc>
          <w:tcPr>
            <w:tcW w:w="1320" w:type="dxa"/>
            <w:vAlign w:val="bottom"/>
          </w:tcPr>
          <w:p>
            <w:pPr>
              <w:jc w:val="right"/>
              <w:spacing w:after="0"/>
              <w:rPr>
                <w:sz w:val="20"/>
                <w:szCs w:val="20"/>
                <w:color w:val="auto"/>
              </w:rPr>
            </w:pPr>
            <w:r>
              <w:rPr>
                <w:rFonts w:ascii="Arial" w:cs="Arial" w:eastAsia="Arial" w:hAnsi="Arial"/>
                <w:sz w:val="8"/>
                <w:szCs w:val="8"/>
                <w:color w:val="auto"/>
              </w:rPr>
              <w:t>10,003</w:t>
            </w:r>
          </w:p>
        </w:tc>
        <w:tc>
          <w:tcPr>
            <w:tcW w:w="1320" w:type="dxa"/>
            <w:vAlign w:val="bottom"/>
          </w:tcPr>
          <w:p>
            <w:pPr>
              <w:jc w:val="right"/>
              <w:spacing w:after="0"/>
              <w:rPr>
                <w:sz w:val="20"/>
                <w:szCs w:val="20"/>
                <w:color w:val="auto"/>
              </w:rPr>
            </w:pPr>
            <w:r>
              <w:rPr>
                <w:rFonts w:ascii="Arial" w:cs="Arial" w:eastAsia="Arial" w:hAnsi="Arial"/>
                <w:sz w:val="8"/>
                <w:szCs w:val="8"/>
                <w:color w:val="auto"/>
              </w:rPr>
              <w:t>12,002</w:t>
            </w:r>
          </w:p>
        </w:tc>
      </w:tr>
      <w:tr>
        <w:trPr>
          <w:trHeight w:val="130"/>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Cash capital expenditure [A]</w:t>
            </w: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7,296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10,205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12,134</w:t>
            </w:r>
          </w:p>
        </w:tc>
      </w:tr>
      <w:tr>
        <w:trPr>
          <w:trHeight w:val="117"/>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Oil and gas production available for sale (thousand boe/d)</w:t>
            </w: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2,424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2,691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2,656</w:t>
            </w:r>
          </w:p>
        </w:tc>
      </w:tr>
    </w:tbl>
    <w:p>
      <w:pPr>
        <w:spacing w:after="0" w:line="56" w:lineRule="exact"/>
        <w:rPr>
          <w:sz w:val="20"/>
          <w:szCs w:val="20"/>
          <w:color w:val="auto"/>
        </w:rPr>
      </w:pPr>
    </w:p>
    <w:p>
      <w:pPr>
        <w:spacing w:after="0"/>
        <w:rPr>
          <w:sz w:val="20"/>
          <w:szCs w:val="20"/>
          <w:color w:val="auto"/>
        </w:rPr>
      </w:pPr>
      <w:r>
        <w:rPr>
          <w:rFonts w:ascii="Arial" w:cs="Arial" w:eastAsia="Arial" w:hAnsi="Arial"/>
          <w:sz w:val="7"/>
          <w:szCs w:val="7"/>
          <w:color w:val="auto"/>
        </w:rPr>
        <w:t>[A] See “Non-GAAP measures reconciliations” on pages 240-242.</w:t>
      </w:r>
    </w:p>
    <w:p>
      <w:pPr>
        <w:sectPr>
          <w:pgSz w:w="11900" w:h="16838" w:orient="portrait"/>
          <w:cols w:equalWidth="0" w:num="1">
            <w:col w:w="11300"/>
          </w:cols>
          <w:pgMar w:left="300" w:top="865" w:right="29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OVERVIEW</w:t>
      </w:r>
    </w:p>
    <w:p>
      <w:pPr>
        <w:ind w:right="60"/>
        <w:spacing w:after="0" w:line="231" w:lineRule="auto"/>
        <w:rPr>
          <w:sz w:val="20"/>
          <w:szCs w:val="20"/>
          <w:color w:val="auto"/>
        </w:rPr>
      </w:pPr>
      <w:r>
        <w:rPr>
          <w:rFonts w:ascii="Arial" w:cs="Arial" w:eastAsia="Arial" w:hAnsi="Arial"/>
          <w:sz w:val="10"/>
          <w:szCs w:val="10"/>
          <w:color w:val="auto"/>
        </w:rPr>
        <w:t>Our Upstream business explores for and extracts crude oil, natural gas and natural gas liquids. It also markets and transports oil and gas, and operates infrastructure necessary to deliver them to market.</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BUSINESS CONDITIONS</w:t>
      </w:r>
    </w:p>
    <w:p>
      <w:pPr>
        <w:spacing w:after="0" w:line="154" w:lineRule="exact"/>
        <w:rPr>
          <w:sz w:val="20"/>
          <w:szCs w:val="20"/>
          <w:color w:val="auto"/>
        </w:rPr>
      </w:pPr>
    </w:p>
    <w:p>
      <w:pPr>
        <w:spacing w:after="0" w:line="289" w:lineRule="auto"/>
        <w:rPr>
          <w:sz w:val="20"/>
          <w:szCs w:val="20"/>
          <w:color w:val="auto"/>
        </w:rPr>
      </w:pPr>
      <w:r>
        <w:rPr>
          <w:rFonts w:ascii="Arial" w:cs="Arial" w:eastAsia="Arial" w:hAnsi="Arial"/>
          <w:sz w:val="8"/>
          <w:szCs w:val="8"/>
          <w:color w:val="auto"/>
        </w:rPr>
        <w:t xml:space="preserve">In 2020, oil markets experienced unprecedented developments in demand driven by the COVID-19 pandemic. At the start of 2020, global oil demand for the year was expected to grow by 1.2 million barrels per day (b/d). Then in January, oil demand started to contract because demand fell in China as lockdown was imposed to contain the virus outbreak. In subsequent months, oil demand contracted further as the outbreak in China evolved into a global pandemic and lockdowns were introduced across the world. In April, oil demand fell to its lowest level, around 22 million b/d below year-average demand in 2019, according to an estimate of the International Energy Agency (IEA). Contraction of such magnitude has never been recorded before. Country lockdowns deeply impacted transportation sectors, especially passenger road and passenger air in </w:t>
      </w:r>
      <w:r>
        <w:rPr>
          <w:rFonts w:ascii="Arial" w:cs="Arial" w:eastAsia="Arial" w:hAnsi="Arial"/>
          <w:sz w:val="8"/>
          <w:szCs w:val="8"/>
          <w:color w:val="0B1E2D"/>
        </w:rPr>
        <w:t>Organisation for Economic Co-operation and Development (OECD)</w:t>
      </w:r>
      <w:r>
        <w:rPr>
          <w:rFonts w:ascii="Arial" w:cs="Arial" w:eastAsia="Arial" w:hAnsi="Arial"/>
          <w:sz w:val="8"/>
          <w:szCs w:val="8"/>
          <w:color w:val="auto"/>
        </w:rPr>
        <w:t xml:space="preserve"> economies. In subsequent months, oil demand started recovering, but only partially, because resurgences of COVID-19 triggered re-imposition of social distancing and travel restrictions. By the fourth quarter, global oil demand was still estimated to be around 5.5 million b/d below the 2019 level, according to the </w:t>
      </w:r>
      <w:r>
        <w:rPr>
          <w:rFonts w:ascii="Arial" w:cs="Arial" w:eastAsia="Arial" w:hAnsi="Arial"/>
          <w:sz w:val="8"/>
          <w:szCs w:val="8"/>
          <w:i w:val="1"/>
          <w:iCs w:val="1"/>
          <w:color w:val="auto"/>
        </w:rPr>
        <w:t xml:space="preserve">Oil Market Report </w:t>
      </w:r>
      <w:r>
        <w:rPr>
          <w:rFonts w:ascii="Arial" w:cs="Arial" w:eastAsia="Arial" w:hAnsi="Arial"/>
          <w:sz w:val="8"/>
          <w:szCs w:val="8"/>
          <w:color w:val="auto"/>
        </w:rPr>
        <w:t>published by the IEA in January 2021. Averaged for the full year, oil demand contracted by around 9 million b/d, or 9%, to</w:t>
      </w:r>
      <w:r>
        <w:rPr>
          <w:rFonts w:ascii="Arial" w:cs="Arial" w:eastAsia="Arial" w:hAnsi="Arial"/>
          <w:sz w:val="8"/>
          <w:szCs w:val="8"/>
          <w:i w:val="1"/>
          <w:iCs w:val="1"/>
          <w:color w:val="auto"/>
        </w:rPr>
        <w:t xml:space="preserve"> </w:t>
      </w:r>
      <w:r>
        <w:rPr>
          <w:rFonts w:ascii="Arial" w:cs="Arial" w:eastAsia="Arial" w:hAnsi="Arial"/>
          <w:sz w:val="8"/>
          <w:szCs w:val="8"/>
          <w:color w:val="auto"/>
        </w:rPr>
        <w:t>91.2 million b/d. Oil demand fell by 5.7 million b/d in OECD economies, and by 3.2 million b/d in non-OECD economies. By contrast, oil demand in 2019 was 0.8 million b/d higher than in 2018.</w:t>
      </w:r>
    </w:p>
    <w:p>
      <w:pPr>
        <w:spacing w:after="0" w:line="239" w:lineRule="exact"/>
        <w:rPr>
          <w:sz w:val="20"/>
          <w:szCs w:val="20"/>
          <w:color w:val="auto"/>
        </w:rPr>
      </w:pPr>
    </w:p>
    <w:p>
      <w:pPr>
        <w:ind w:right="80"/>
        <w:spacing w:after="0" w:line="358" w:lineRule="auto"/>
        <w:rPr>
          <w:sz w:val="20"/>
          <w:szCs w:val="20"/>
          <w:color w:val="auto"/>
        </w:rPr>
      </w:pPr>
      <w:r>
        <w:rPr>
          <w:rFonts w:ascii="Arial" w:cs="Arial" w:eastAsia="Arial" w:hAnsi="Arial"/>
          <w:sz w:val="8"/>
          <w:szCs w:val="8"/>
          <w:color w:val="auto"/>
        </w:rPr>
        <w:t>On a daily average basis, Brent crude oil, an international benchmark, traded between $13 per barrel (/b) and $70/b in 2020, ending the year around $50/b. Brent crude oil prices averaged $42/b for the year, 34% (or $22/b ) lower than in 2019.</w:t>
      </w:r>
    </w:p>
    <w:p>
      <w:pPr>
        <w:spacing w:after="0" w:line="104" w:lineRule="exact"/>
        <w:rPr>
          <w:sz w:val="20"/>
          <w:szCs w:val="20"/>
          <w:color w:val="auto"/>
        </w:rPr>
      </w:pPr>
    </w:p>
    <w:p>
      <w:pPr>
        <w:ind w:right="40"/>
        <w:spacing w:after="0" w:line="307" w:lineRule="auto"/>
        <w:rPr>
          <w:sz w:val="20"/>
          <w:szCs w:val="20"/>
          <w:color w:val="auto"/>
        </w:rPr>
      </w:pPr>
      <w:r>
        <w:rPr>
          <w:rFonts w:ascii="Arial" w:cs="Arial" w:eastAsia="Arial" w:hAnsi="Arial"/>
          <w:sz w:val="8"/>
          <w:szCs w:val="8"/>
          <w:color w:val="auto"/>
        </w:rPr>
        <w:t>On a yearly average basis, WTI crude oil traded at a discount of about $2.5/b to Brent crude oil in 2020, compared with $7/b in 2019. The discount narrowed from 2019 because falling US supply prevented bottlenecks in pipeline capacity from the landlocked Cushing storage hub to the US Gulf Coast. According to the US Energy Information Administration, US crude oil exports increased further to a yearly average of around 3.1 million b/d in 2020, up by 0.1 million b/d from 2019. This helped to ensure a narrow price differential between Brent and WTI.</w:t>
      </w:r>
    </w:p>
    <w:p>
      <w:pPr>
        <w:spacing w:after="0" w:line="123" w:lineRule="exact"/>
        <w:rPr>
          <w:sz w:val="20"/>
          <w:szCs w:val="20"/>
          <w:color w:val="auto"/>
        </w:rPr>
      </w:pPr>
    </w:p>
    <w:p>
      <w:pPr>
        <w:ind w:right="140"/>
        <w:spacing w:after="0" w:line="239" w:lineRule="auto"/>
        <w:rPr>
          <w:sz w:val="20"/>
          <w:szCs w:val="20"/>
          <w:color w:val="auto"/>
        </w:rPr>
      </w:pPr>
      <w:r>
        <w:rPr>
          <w:rFonts w:ascii="Arial" w:cs="Arial" w:eastAsia="Arial" w:hAnsi="Arial"/>
          <w:sz w:val="10"/>
          <w:szCs w:val="10"/>
          <w:color w:val="auto"/>
        </w:rPr>
        <w:t>Global gas demand is estimated to have declined by around 2.4% in 2020, in contrast with the 2.5% annual growth rate observed since the start of the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20"/>
        <w:spacing w:after="0" w:line="232" w:lineRule="auto"/>
        <w:rPr>
          <w:sz w:val="20"/>
          <w:szCs w:val="20"/>
          <w:color w:val="auto"/>
        </w:rPr>
      </w:pPr>
      <w:r>
        <w:rPr>
          <w:rFonts w:ascii="Arial" w:cs="Arial" w:eastAsia="Arial" w:hAnsi="Arial"/>
          <w:sz w:val="10"/>
          <w:szCs w:val="10"/>
          <w:color w:val="auto"/>
        </w:rPr>
        <w:t>century. The deterioration in gas demand for power generation and in industry was mainly caused by lockdowns related to COVID-19. Resilient gas demand for heating helped offset the overall decline. Demand declined across all regions except non-OECD Asia. In non-OECD Asia, demand grew in China, which experienced a robust recovery after mitigating the impacts of COVID-19. Outside China, aggregate gas demand in non-OECD Asia remained flat year-on-year.</w:t>
      </w:r>
    </w:p>
    <w:p>
      <w:pPr>
        <w:spacing w:after="0" w:line="149" w:lineRule="exact"/>
        <w:rPr>
          <w:sz w:val="20"/>
          <w:szCs w:val="20"/>
          <w:color w:val="auto"/>
        </w:rPr>
      </w:pPr>
    </w:p>
    <w:p>
      <w:pPr>
        <w:ind w:right="140"/>
        <w:spacing w:after="0" w:line="297" w:lineRule="auto"/>
        <w:rPr>
          <w:sz w:val="20"/>
          <w:szCs w:val="20"/>
          <w:color w:val="auto"/>
        </w:rPr>
      </w:pPr>
      <w:r>
        <w:rPr>
          <w:rFonts w:ascii="Arial" w:cs="Arial" w:eastAsia="Arial" w:hAnsi="Arial"/>
          <w:sz w:val="8"/>
          <w:szCs w:val="8"/>
          <w:color w:val="auto"/>
        </w:rPr>
        <w:t>In the USA, the natural gas price at the Henry Hub averaged $2.0 per million British thermal units (MMBtu) in 2020, 21% lower than in 2019. It traded in a range of $1.5 to 3.2/MMBtu. In the earlier part of 2020, there was downward pressure on prices because of decreased demand from a mild winter, lower LNG exports and a weak domestic market caused by COVID-19. Supply fell because activity declined as producers cut investments and because lower oil production meant there was less associated gas. During the summer, prices found support from growing demand for gas that could generate power for cooling during the hotter months of the year. Later in 2020, demand strengthened because of storage ahead of the winter season and increasing US LNG exports.</w:t>
      </w:r>
    </w:p>
    <w:p>
      <w:pPr>
        <w:spacing w:after="0" w:line="127" w:lineRule="exact"/>
        <w:rPr>
          <w:sz w:val="20"/>
          <w:szCs w:val="20"/>
          <w:color w:val="auto"/>
        </w:rPr>
      </w:pPr>
    </w:p>
    <w:p>
      <w:pPr>
        <w:ind w:right="140"/>
        <w:spacing w:after="0" w:line="307" w:lineRule="auto"/>
        <w:rPr>
          <w:sz w:val="20"/>
          <w:szCs w:val="20"/>
          <w:color w:val="auto"/>
        </w:rPr>
      </w:pPr>
      <w:r>
        <w:rPr>
          <w:rFonts w:ascii="Arial" w:cs="Arial" w:eastAsia="Arial" w:hAnsi="Arial"/>
          <w:sz w:val="8"/>
          <w:szCs w:val="8"/>
          <w:color w:val="auto"/>
        </w:rPr>
        <w:t>In Europe, the average price at the UK National Balancing Point (NBP) in 2020 was 28% lower than in 2019. At the main continental gas trading hubs – in the Netherlands, Belgium and Germany – prices were also lower, as reflected by weaker Dutch Title Transfer Facility (TTF) prices. European gas prices were lower because of: the slump in demand in power generation and industry; robust supply of pipeline gas; well-filled gas storage inventories at the start of the year; and competition with renewables in power.</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See “Market overview” on pages 23-25.</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PRODUCTION AVAILABLE FOR SALE</w:t>
      </w:r>
    </w:p>
    <w:p>
      <w:pPr>
        <w:ind w:right="160"/>
        <w:spacing w:after="0" w:line="231" w:lineRule="auto"/>
        <w:rPr>
          <w:sz w:val="20"/>
          <w:szCs w:val="20"/>
          <w:color w:val="auto"/>
        </w:rPr>
      </w:pPr>
      <w:r>
        <w:rPr>
          <w:rFonts w:ascii="Arial" w:cs="Arial" w:eastAsia="Arial" w:hAnsi="Arial"/>
          <w:sz w:val="10"/>
          <w:szCs w:val="10"/>
          <w:color w:val="auto"/>
        </w:rPr>
        <w:t>In 2020, production was 887 million boe, or 2,424 thousand boe/d, compared with 982 million boe, or 2,691 thousand boe/d in 2019. Liquids production decreased by 4% and natural gas production decreased by 19% compared with 2019.</w:t>
      </w:r>
    </w:p>
    <w:p>
      <w:pPr>
        <w:spacing w:after="0" w:line="149" w:lineRule="exact"/>
        <w:rPr>
          <w:sz w:val="20"/>
          <w:szCs w:val="20"/>
          <w:color w:val="auto"/>
        </w:rPr>
      </w:pPr>
    </w:p>
    <w:p>
      <w:pPr>
        <w:ind w:right="160"/>
        <w:spacing w:after="0" w:line="307" w:lineRule="auto"/>
        <w:rPr>
          <w:sz w:val="20"/>
          <w:szCs w:val="20"/>
          <w:color w:val="auto"/>
        </w:rPr>
      </w:pPr>
      <w:r>
        <w:rPr>
          <w:rFonts w:ascii="Arial" w:cs="Arial" w:eastAsia="Arial" w:hAnsi="Arial"/>
          <w:sz w:val="8"/>
          <w:szCs w:val="8"/>
          <w:color w:val="auto"/>
        </w:rPr>
        <w:t>The decrease in liquids production was mainly caused by divestments, OPEC+ curtailment, higher maintenance and hurricanes in the Gulf of Mexico interrupting production. Increased production from ramp-ups and new field start-ups more than offset field decline. The decrease in gas production was mainly caused by divestments, lower demand from Nederlandse Aardolie Maatschappij B.V. (NAM) in the Netherlands, and the transfer of Rashpetco operations in Egypt from Upstream to Shell's Integrated Gas segment.</w:t>
      </w:r>
    </w:p>
    <w:p>
      <w:pPr>
        <w:spacing w:after="0" w:line="408" w:lineRule="exact"/>
        <w:rPr>
          <w:sz w:val="20"/>
          <w:szCs w:val="20"/>
          <w:color w:val="auto"/>
        </w:rPr>
      </w:pPr>
    </w:p>
    <w:p>
      <w:pPr>
        <w:sectPr>
          <w:pgSz w:w="11900" w:h="16838" w:orient="portrait"/>
          <w:cols w:equalWidth="0" w:num="2">
            <w:col w:w="5440" w:space="280"/>
            <w:col w:w="5580"/>
          </w:cols>
          <w:pgMar w:left="300" w:top="865" w:right="299" w:bottom="1440" w:gutter="0" w:footer="0" w:header="0"/>
          <w:type w:val="continuous"/>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36</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65" w:right="299" w:bottom="1440" w:gutter="0" w:footer="0" w:header="0"/>
          <w:type w:val="continuous"/>
        </w:sectPr>
      </w:pPr>
    </w:p>
    <w:bookmarkStart w:id="39" w:name="page40"/>
    <w:bookmarkEnd w:id="39"/>
    <w:p>
      <w:pPr>
        <w:ind w:left="8" w:right="180"/>
        <w:spacing w:after="0" w:line="239" w:lineRule="auto"/>
        <w:rPr>
          <w:sz w:val="20"/>
          <w:szCs w:val="20"/>
          <w:color w:val="auto"/>
        </w:rPr>
      </w:pPr>
      <w:r>
        <w:rPr>
          <w:rFonts w:ascii="Arial" w:cs="Arial" w:eastAsia="Arial" w:hAnsi="Arial"/>
          <w:sz w:val="10"/>
          <w:szCs w:val="10"/>
          <w:color w:val="auto"/>
        </w:rPr>
        <w:t>We expect that oil production peaked in 2019. Going forward, we expect a gradual reduction in oil production of around 1-2% each year, including divestments and natural decline.</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1"/>
          <w:szCs w:val="11"/>
          <w:color w:val="auto"/>
        </w:rPr>
        <w:t>EARNINGS 2020-2019</w:t>
      </w:r>
    </w:p>
    <w:p>
      <w:pPr>
        <w:ind w:left="8" w:right="40"/>
        <w:spacing w:after="0" w:line="300" w:lineRule="auto"/>
        <w:rPr>
          <w:sz w:val="20"/>
          <w:szCs w:val="20"/>
          <w:color w:val="auto"/>
        </w:rPr>
      </w:pPr>
      <w:r>
        <w:rPr>
          <w:rFonts w:ascii="Arial" w:cs="Arial" w:eastAsia="Arial" w:hAnsi="Arial"/>
          <w:sz w:val="8"/>
          <w:szCs w:val="8"/>
          <w:color w:val="auto"/>
        </w:rPr>
        <w:t>Segment earnings in 2020 were a loss of $10,785 million, which included a net charge of $6,447 million related to impairments, primarily in the US Gulf of Mexico, unconventional assets in North America, offshore assets in Brazil and Europe, and a project in Nigeria (OPL245), mainly triggered by revision of Shell's mid- and long-term commodity price and updated Appomattox sub surface understanding. Also included was a net charge of $782 million related to the impact of the weakening Brazilian real on a deferred tax position.</w:t>
      </w:r>
    </w:p>
    <w:p>
      <w:pPr>
        <w:spacing w:after="0" w:line="126" w:lineRule="exact"/>
        <w:rPr>
          <w:sz w:val="20"/>
          <w:szCs w:val="20"/>
          <w:color w:val="auto"/>
        </w:rPr>
      </w:pPr>
    </w:p>
    <w:p>
      <w:pPr>
        <w:jc w:val="both"/>
        <w:ind w:left="8" w:right="140"/>
        <w:spacing w:after="0" w:line="234" w:lineRule="auto"/>
        <w:rPr>
          <w:sz w:val="20"/>
          <w:szCs w:val="20"/>
          <w:color w:val="auto"/>
        </w:rPr>
      </w:pPr>
      <w:r>
        <w:rPr>
          <w:rFonts w:ascii="Arial" w:cs="Arial" w:eastAsia="Arial" w:hAnsi="Arial"/>
          <w:sz w:val="10"/>
          <w:szCs w:val="10"/>
          <w:color w:val="auto"/>
        </w:rPr>
        <w:t>Segment earnings in 2019 were $3,855 million, which included a net charge of $1,930 million related to impairments, primarily in the US Appalachia unconventional gas assets and a drilling rig joint venture, partly offset by a gain of $1,609 million on sale of assets, mainly in Denmark and the US Gulf of Mexico.</w:t>
      </w:r>
    </w:p>
    <w:p>
      <w:pPr>
        <w:spacing w:after="0" w:line="150" w:lineRule="exact"/>
        <w:rPr>
          <w:sz w:val="20"/>
          <w:szCs w:val="20"/>
          <w:color w:val="auto"/>
        </w:rPr>
      </w:pPr>
    </w:p>
    <w:p>
      <w:pPr>
        <w:jc w:val="both"/>
        <w:ind w:left="8"/>
        <w:spacing w:after="0" w:line="320" w:lineRule="auto"/>
        <w:rPr>
          <w:sz w:val="20"/>
          <w:szCs w:val="20"/>
          <w:color w:val="auto"/>
        </w:rPr>
      </w:pPr>
      <w:r>
        <w:rPr>
          <w:rFonts w:ascii="Arial" w:cs="Arial" w:eastAsia="Arial" w:hAnsi="Arial"/>
          <w:sz w:val="8"/>
          <w:szCs w:val="8"/>
          <w:color w:val="auto"/>
        </w:rPr>
        <w:t>Excluding the net charges described above, segment earnings in 2020 were a loss of $2,852 million, compared with a profit of $4,452 million in 2019. Earnings excluding the net charges were adversely impacted by lower prices and lower volumes, mainly driven by the unfavourable macroeconomic conditions as described in the business condition section and severe weather conditions in the Gulf of Mexico.</w:t>
      </w:r>
    </w:p>
    <w:p>
      <w:pPr>
        <w:spacing w:after="0" w:line="109" w:lineRule="exact"/>
        <w:rPr>
          <w:sz w:val="20"/>
          <w:szCs w:val="20"/>
          <w:color w:val="auto"/>
        </w:rPr>
      </w:pPr>
    </w:p>
    <w:p>
      <w:pPr>
        <w:ind w:left="8" w:right="100"/>
        <w:spacing w:after="0" w:line="220" w:lineRule="auto"/>
        <w:rPr>
          <w:sz w:val="20"/>
          <w:szCs w:val="20"/>
          <w:color w:val="auto"/>
        </w:rPr>
      </w:pPr>
      <w:r>
        <w:rPr>
          <w:rFonts w:ascii="Arial" w:cs="Arial" w:eastAsia="Arial" w:hAnsi="Arial"/>
          <w:sz w:val="10"/>
          <w:szCs w:val="10"/>
          <w:color w:val="auto"/>
        </w:rPr>
        <w:t>In the second quarter of 2020, we made cost interventions by reducing the size of our contingent workforce and initiating an organisational review in line with Reshape.</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1"/>
          <w:szCs w:val="11"/>
          <w:color w:val="auto"/>
        </w:rPr>
        <w:t>EARNINGS 2019-2018</w:t>
      </w:r>
    </w:p>
    <w:p>
      <w:pPr>
        <w:ind w:left="8"/>
        <w:spacing w:after="0" w:line="237" w:lineRule="auto"/>
        <w:rPr>
          <w:sz w:val="20"/>
          <w:szCs w:val="20"/>
          <w:color w:val="auto"/>
        </w:rPr>
      </w:pPr>
      <w:r>
        <w:rPr>
          <w:rFonts w:ascii="Arial" w:cs="Arial" w:eastAsia="Arial" w:hAnsi="Arial"/>
          <w:sz w:val="10"/>
          <w:szCs w:val="10"/>
          <w:color w:val="auto"/>
        </w:rPr>
        <w:t>Segment earnings in 2019 were $3,855 million, which included a net charge of $598 million as described above.</w:t>
      </w:r>
    </w:p>
    <w:p>
      <w:pPr>
        <w:spacing w:after="0" w:line="149" w:lineRule="exact"/>
        <w:rPr>
          <w:sz w:val="20"/>
          <w:szCs w:val="20"/>
          <w:color w:val="auto"/>
        </w:rPr>
      </w:pPr>
    </w:p>
    <w:p>
      <w:pPr>
        <w:ind w:left="8" w:right="40"/>
        <w:spacing w:after="0" w:line="300" w:lineRule="auto"/>
        <w:rPr>
          <w:sz w:val="20"/>
          <w:szCs w:val="20"/>
          <w:color w:val="auto"/>
        </w:rPr>
      </w:pPr>
      <w:r>
        <w:rPr>
          <w:rFonts w:ascii="Arial" w:cs="Arial" w:eastAsia="Arial" w:hAnsi="Arial"/>
          <w:sz w:val="8"/>
          <w:szCs w:val="8"/>
          <w:color w:val="auto"/>
        </w:rPr>
        <w:t>Segment earnings in 2018 were $6,490 million, which included a net gain of $19 million. This included a net gain of $888 million on sale of assets, mainly related to our divestments in Iraq, Malaysia, Oman and Ireland, and a gain of $152 million related to the fair value accounting of commodity derivatives. These gains were partly offset by a charge of $561 million related to the impact of the weakening of the Brazilian real on a deferred tax position, a net impairment charge of $350 million mainly related to assets in North America and deep-water rig joint ventures, and a charge of $90 million related to the release of historic currency differences.</w:t>
      </w:r>
    </w:p>
    <w:p>
      <w:pPr>
        <w:spacing w:after="0" w:line="127" w:lineRule="exact"/>
        <w:rPr>
          <w:sz w:val="20"/>
          <w:szCs w:val="20"/>
          <w:color w:val="auto"/>
        </w:rPr>
      </w:pPr>
    </w:p>
    <w:p>
      <w:pPr>
        <w:ind w:left="8"/>
        <w:spacing w:after="0" w:line="320" w:lineRule="auto"/>
        <w:rPr>
          <w:sz w:val="20"/>
          <w:szCs w:val="20"/>
          <w:color w:val="auto"/>
        </w:rPr>
      </w:pPr>
      <w:r>
        <w:rPr>
          <w:rFonts w:ascii="Arial" w:cs="Arial" w:eastAsia="Arial" w:hAnsi="Arial"/>
          <w:sz w:val="8"/>
          <w:szCs w:val="8"/>
          <w:color w:val="auto"/>
        </w:rPr>
        <w:t>Excluding the net charges described above, segment earnings in 2019 were $4,452 million compared with $6,472 million in 2018. Earnings excluding the net charge were adversely impacted by lower realised oil and gas prices, higher depreciation and higher well write-offs, mainly in Albania and Kazakhstan, partly offset by higher sales volumes associated with the timing of liftings.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1"/>
          <w:szCs w:val="11"/>
          <w:color w:val="auto"/>
        </w:rPr>
        <w:t>CASH CAPITAL EXPENDITURE</w:t>
      </w:r>
    </w:p>
    <w:p>
      <w:pPr>
        <w:ind w:left="8" w:right="260"/>
        <w:spacing w:after="0" w:line="231" w:lineRule="auto"/>
        <w:rPr>
          <w:sz w:val="20"/>
          <w:szCs w:val="20"/>
          <w:color w:val="auto"/>
        </w:rPr>
      </w:pPr>
      <w:r>
        <w:rPr>
          <w:rFonts w:ascii="Arial" w:cs="Arial" w:eastAsia="Arial" w:hAnsi="Arial"/>
          <w:sz w:val="10"/>
          <w:szCs w:val="10"/>
          <w:color w:val="auto"/>
        </w:rPr>
        <w:t>Cash capital expenditure in 2020 was $7.3 billion, compared with $10.2 billion in 2019. Our cash capital expenditure is expected to be around $8 billion in 2021.</w:t>
      </w:r>
    </w:p>
    <w:p>
      <w:pPr>
        <w:spacing w:after="0" w:line="149" w:lineRule="exact"/>
        <w:rPr>
          <w:sz w:val="20"/>
          <w:szCs w:val="20"/>
          <w:color w:val="auto"/>
        </w:rPr>
      </w:pPr>
    </w:p>
    <w:p>
      <w:pPr>
        <w:ind w:left="8" w:right="300"/>
        <w:spacing w:after="0" w:line="358" w:lineRule="auto"/>
        <w:rPr>
          <w:sz w:val="20"/>
          <w:szCs w:val="20"/>
          <w:color w:val="auto"/>
        </w:rPr>
      </w:pPr>
      <w:r>
        <w:rPr>
          <w:rFonts w:ascii="Arial" w:cs="Arial" w:eastAsia="Arial" w:hAnsi="Arial"/>
          <w:sz w:val="8"/>
          <w:szCs w:val="8"/>
          <w:color w:val="auto"/>
        </w:rPr>
        <w:t>Lower cash capital expenditure in 2020 was mainly driven by actions to preserve cash. The lower cash capital expenditure and capital investments in 2020 also reflected our continuing efforts to improve capital efficiency by pursuing developments which cost less.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1"/>
          <w:szCs w:val="11"/>
          <w:color w:val="auto"/>
        </w:rPr>
        <w:t>PORTFOLIO AND BUSINESS DEVELOPMENT</w:t>
      </w:r>
    </w:p>
    <w:p>
      <w:pPr>
        <w:ind w:left="8"/>
        <w:spacing w:after="0" w:line="225" w:lineRule="auto"/>
        <w:rPr>
          <w:sz w:val="20"/>
          <w:szCs w:val="20"/>
          <w:color w:val="auto"/>
        </w:rPr>
      </w:pPr>
      <w:r>
        <w:rPr>
          <w:rFonts w:ascii="Arial" w:cs="Arial" w:eastAsia="Arial" w:hAnsi="Arial"/>
          <w:sz w:val="10"/>
          <w:szCs w:val="10"/>
          <w:color w:val="auto"/>
        </w:rPr>
        <w:t>We took the following key portfolio decisions during 2020:</w:t>
      </w:r>
    </w:p>
    <w:p>
      <w:pPr>
        <w:ind w:left="108" w:hanging="108"/>
        <w:spacing w:after="0" w:line="216" w:lineRule="auto"/>
        <w:tabs>
          <w:tab w:leader="none" w:pos="106" w:val="left"/>
        </w:tabs>
        <w:numPr>
          <w:ilvl w:val="0"/>
          <w:numId w:val="14"/>
        </w:numPr>
        <w:rPr>
          <w:rFonts w:ascii="Arial" w:cs="Arial" w:eastAsia="Arial" w:hAnsi="Arial"/>
          <w:sz w:val="10"/>
          <w:szCs w:val="10"/>
          <w:color w:val="auto"/>
        </w:rPr>
      </w:pPr>
      <w:r>
        <w:rPr>
          <w:rFonts w:ascii="Arial" w:cs="Arial" w:eastAsia="Arial" w:hAnsi="Arial"/>
          <w:sz w:val="10"/>
          <w:szCs w:val="10"/>
          <w:color w:val="auto"/>
        </w:rPr>
        <w:t>In Argentina, in January 2020, partnering with Equinor, we completed the acquisition of Schlumberger’s 60% interest in the Bandurria Sur block, located in the Vaca Muerta Basin (Shell interest 30%).</w:t>
      </w:r>
    </w:p>
    <w:p>
      <w:pPr>
        <w:ind w:left="108" w:right="80" w:hanging="108"/>
        <w:spacing w:after="0" w:line="197" w:lineRule="auto"/>
        <w:tabs>
          <w:tab w:leader="none" w:pos="106" w:val="left"/>
        </w:tabs>
        <w:numPr>
          <w:ilvl w:val="0"/>
          <w:numId w:val="14"/>
        </w:numPr>
        <w:rPr>
          <w:rFonts w:ascii="Arial" w:cs="Arial" w:eastAsia="Arial" w:hAnsi="Arial"/>
          <w:sz w:val="10"/>
          <w:szCs w:val="10"/>
          <w:color w:val="auto"/>
        </w:rPr>
      </w:pPr>
      <w:r>
        <w:rPr>
          <w:rFonts w:ascii="Arial" w:cs="Arial" w:eastAsia="Arial" w:hAnsi="Arial"/>
          <w:sz w:val="10"/>
          <w:szCs w:val="10"/>
          <w:color w:val="auto"/>
        </w:rPr>
        <w:t>In Brazil, in August 2020, we took the final investment decision (FID) to contract the Mero 3 floating production, storage and offloading (FPSO) vessel to be deployed at the Mero field within the offshore Santos Basin.</w:t>
      </w:r>
    </w:p>
    <w:p>
      <w:pPr>
        <w:ind w:left="108" w:hanging="108"/>
        <w:spacing w:after="0" w:line="236" w:lineRule="auto"/>
        <w:tabs>
          <w:tab w:leader="none" w:pos="108" w:val="left"/>
        </w:tabs>
        <w:numPr>
          <w:ilvl w:val="0"/>
          <w:numId w:val="14"/>
        </w:numPr>
        <w:rPr>
          <w:rFonts w:ascii="Arial" w:cs="Arial" w:eastAsia="Arial" w:hAnsi="Arial"/>
          <w:sz w:val="10"/>
          <w:szCs w:val="10"/>
          <w:color w:val="auto"/>
        </w:rPr>
      </w:pPr>
      <w:r>
        <w:rPr>
          <w:rFonts w:ascii="Arial" w:cs="Arial" w:eastAsia="Arial" w:hAnsi="Arial"/>
          <w:sz w:val="10"/>
          <w:szCs w:val="10"/>
          <w:color w:val="auto"/>
        </w:rPr>
        <w:t>In Brunei, in March 2020, we completed the acquisition of deep-water exploration Block CA-1 (Shell interest 86.95%).</w:t>
      </w:r>
    </w:p>
    <w:p>
      <w:pPr>
        <w:spacing w:after="0" w:line="20" w:lineRule="exact"/>
        <w:rPr>
          <w:sz w:val="20"/>
          <w:szCs w:val="20"/>
          <w:color w:val="auto"/>
        </w:rPr>
      </w:pPr>
      <w:r>
        <w:rPr>
          <w:sz w:val="20"/>
          <w:szCs w:val="20"/>
          <w:color w:val="auto"/>
        </w:rPr>
        <w:br w:type="column"/>
      </w:r>
    </w:p>
    <w:p>
      <w:pPr>
        <w:ind w:left="120" w:right="120" w:hanging="111"/>
        <w:spacing w:after="0" w:line="268" w:lineRule="auto"/>
        <w:tabs>
          <w:tab w:leader="none" w:pos="118" w:val="left"/>
        </w:tabs>
        <w:numPr>
          <w:ilvl w:val="0"/>
          <w:numId w:val="15"/>
        </w:numPr>
        <w:rPr>
          <w:rFonts w:ascii="Arial" w:cs="Arial" w:eastAsia="Arial" w:hAnsi="Arial"/>
          <w:sz w:val="8"/>
          <w:szCs w:val="8"/>
          <w:color w:val="auto"/>
        </w:rPr>
      </w:pPr>
      <w:r>
        <w:rPr>
          <w:rFonts w:ascii="Arial" w:cs="Arial" w:eastAsia="Arial" w:hAnsi="Arial"/>
          <w:sz w:val="8"/>
          <w:szCs w:val="8"/>
          <w:color w:val="auto"/>
        </w:rPr>
        <w:t>In Kazakhstan, in December 2020, we successfully settled a long-running contractual dispute with the Republic of Kazakhstan government about the profit share between the parties in the Karachaganak joint venture. Shell paid $424 million as its share of the settlement.</w:t>
      </w:r>
    </w:p>
    <w:p>
      <w:pPr>
        <w:jc w:val="both"/>
        <w:ind w:left="120" w:right="200" w:hanging="111"/>
        <w:spacing w:after="0" w:line="219" w:lineRule="auto"/>
        <w:tabs>
          <w:tab w:leader="none" w:pos="118"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 Norway, in May 2020, partnering with Equinor and Total, we made a final investment decision on the Northern Lights carbon capture and storage (CCS) project. The project will involve the capture, transport and storage of carbon dioxide produced from industrial regions around the Norwegian continental shelf. Equinor is the operator of the project.</w:t>
      </w:r>
    </w:p>
    <w:p>
      <w:pPr>
        <w:ind w:left="120" w:hanging="111"/>
        <w:spacing w:after="0"/>
        <w:tabs>
          <w:tab w:leader="none" w:pos="120" w:val="left"/>
        </w:tabs>
        <w:numPr>
          <w:ilvl w:val="0"/>
          <w:numId w:val="15"/>
        </w:numPr>
        <w:rPr>
          <w:rFonts w:ascii="Arial" w:cs="Arial" w:eastAsia="Arial" w:hAnsi="Arial"/>
          <w:sz w:val="8"/>
          <w:szCs w:val="8"/>
          <w:color w:val="auto"/>
        </w:rPr>
      </w:pPr>
      <w:r>
        <w:rPr>
          <w:rFonts w:ascii="Arial" w:cs="Arial" w:eastAsia="Arial" w:hAnsi="Arial"/>
          <w:sz w:val="8"/>
          <w:szCs w:val="8"/>
          <w:color w:val="auto"/>
        </w:rPr>
        <w:t>In Russia, in April 2020, we cancelled our acquisition of the 50% participation interest in LLC Meretoyahaneftegaz from Gazprom Neft.</w:t>
      </w:r>
    </w:p>
    <w:p>
      <w:pPr>
        <w:spacing w:after="0" w:line="7" w:lineRule="exact"/>
        <w:rPr>
          <w:rFonts w:ascii="Arial" w:cs="Arial" w:eastAsia="Arial" w:hAnsi="Arial"/>
          <w:sz w:val="8"/>
          <w:szCs w:val="8"/>
          <w:color w:val="auto"/>
        </w:rPr>
      </w:pPr>
    </w:p>
    <w:p>
      <w:pPr>
        <w:ind w:left="120" w:right="720" w:hanging="111"/>
        <w:spacing w:after="0" w:line="281" w:lineRule="auto"/>
        <w:tabs>
          <w:tab w:leader="none" w:pos="118" w:val="left"/>
        </w:tabs>
        <w:numPr>
          <w:ilvl w:val="0"/>
          <w:numId w:val="15"/>
        </w:numPr>
        <w:rPr>
          <w:rFonts w:ascii="Arial" w:cs="Arial" w:eastAsia="Arial" w:hAnsi="Arial"/>
          <w:sz w:val="8"/>
          <w:szCs w:val="8"/>
          <w:color w:val="auto"/>
        </w:rPr>
      </w:pPr>
      <w:r>
        <w:rPr>
          <w:rFonts w:ascii="Arial" w:cs="Arial" w:eastAsia="Arial" w:hAnsi="Arial"/>
          <w:sz w:val="8"/>
          <w:szCs w:val="8"/>
          <w:color w:val="auto"/>
        </w:rPr>
        <w:t>In Russia, with Gazprom Neft, we established a joint venture (Shell interest 50%) to explore and develop the Leskinsky and Pukhutsayakhsky blocks in the Gydan peninsula, in north-western Siberia. The deal was completed in November 2020.</w:t>
      </w:r>
    </w:p>
    <w:p>
      <w:pPr>
        <w:ind w:left="120" w:right="180" w:hanging="111"/>
        <w:spacing w:after="0" w:line="225" w:lineRule="auto"/>
        <w:tabs>
          <w:tab w:leader="none" w:pos="118"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 September, we agreed to acquire seven exploration licences in four countries from Kosmos Energy. Suriname represents a new country entry for Shell. In São Tomé and Príncipe, we will deepen our position in two blocks and enter two others. In both Namibia and South Africa, we will expand our position in two blocks. Transfer has been completed in Suriname, São Tomé and Príncipe and Namibia. South Africa is expected to complete in 2021.</w:t>
      </w:r>
    </w:p>
    <w:p>
      <w:pPr>
        <w:ind w:left="120" w:hanging="111"/>
        <w:spacing w:after="0"/>
        <w:tabs>
          <w:tab w:leader="none" w:pos="120" w:val="left"/>
        </w:tabs>
        <w:numPr>
          <w:ilvl w:val="0"/>
          <w:numId w:val="15"/>
        </w:numPr>
        <w:rPr>
          <w:rFonts w:ascii="Arial" w:cs="Arial" w:eastAsia="Arial" w:hAnsi="Arial"/>
          <w:sz w:val="8"/>
          <w:szCs w:val="8"/>
          <w:color w:val="auto"/>
        </w:rPr>
      </w:pPr>
      <w:r>
        <w:rPr>
          <w:rFonts w:ascii="Arial" w:cs="Arial" w:eastAsia="Arial" w:hAnsi="Arial"/>
          <w:sz w:val="8"/>
          <w:szCs w:val="8"/>
          <w:color w:val="auto"/>
        </w:rPr>
        <w:t>In the US Gulf of Mexico, in March 2020, we acquired seven blocks across multiple plays in the Gulf of Mexico Lease 254.</w:t>
      </w:r>
    </w:p>
    <w:p>
      <w:pPr>
        <w:spacing w:after="0" w:line="170" w:lineRule="exact"/>
        <w:rPr>
          <w:sz w:val="20"/>
          <w:szCs w:val="20"/>
          <w:color w:val="auto"/>
        </w:rPr>
      </w:pPr>
    </w:p>
    <w:p>
      <w:pPr>
        <w:spacing w:after="0"/>
        <w:rPr>
          <w:sz w:val="20"/>
          <w:szCs w:val="20"/>
          <w:color w:val="auto"/>
        </w:rPr>
      </w:pPr>
      <w:r>
        <w:rPr>
          <w:rFonts w:ascii="Arial" w:cs="Arial" w:eastAsia="Arial" w:hAnsi="Arial"/>
          <w:sz w:val="10"/>
          <w:szCs w:val="10"/>
          <w:color w:val="auto"/>
        </w:rPr>
        <w:t>We achieved the following operational milestones in 2020:</w:t>
      </w:r>
    </w:p>
    <w:p>
      <w:pPr>
        <w:spacing w:after="0" w:line="1" w:lineRule="exact"/>
        <w:rPr>
          <w:sz w:val="20"/>
          <w:szCs w:val="20"/>
          <w:color w:val="auto"/>
        </w:rPr>
      </w:pPr>
    </w:p>
    <w:p>
      <w:pPr>
        <w:ind w:right="2000" w:firstLine="9"/>
        <w:spacing w:after="0" w:line="231" w:lineRule="auto"/>
        <w:tabs>
          <w:tab w:leader="none" w:pos="106"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 Brazil, Atapu 1, (the FPSO vessel P-70), came on stream and delivered first oil in June. We continued to divest selected assets during 2020, including:</w:t>
      </w:r>
    </w:p>
    <w:p>
      <w:pPr>
        <w:spacing w:after="0" w:line="148" w:lineRule="exact"/>
        <w:rPr>
          <w:rFonts w:ascii="Arial" w:cs="Arial" w:eastAsia="Arial" w:hAnsi="Arial"/>
          <w:sz w:val="10"/>
          <w:szCs w:val="10"/>
          <w:color w:val="auto"/>
        </w:rPr>
      </w:pPr>
    </w:p>
    <w:p>
      <w:pPr>
        <w:ind w:left="120" w:right="280" w:hanging="111"/>
        <w:spacing w:after="0" w:line="233" w:lineRule="auto"/>
        <w:tabs>
          <w:tab w:leader="none" w:pos="118"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 Brazil, in June 2020, we sold a 30% interest in the Gato do Mato project in the Santos Basin. We are still the project operator, with a 50% interest.</w:t>
      </w:r>
    </w:p>
    <w:p>
      <w:pPr>
        <w:ind w:left="120" w:hanging="111"/>
        <w:spacing w:after="0"/>
        <w:tabs>
          <w:tab w:leader="none" w:pos="120" w:val="left"/>
        </w:tabs>
        <w:numPr>
          <w:ilvl w:val="0"/>
          <w:numId w:val="16"/>
        </w:numPr>
        <w:rPr>
          <w:rFonts w:ascii="Arial" w:cs="Arial" w:eastAsia="Arial" w:hAnsi="Arial"/>
          <w:sz w:val="8"/>
          <w:szCs w:val="8"/>
          <w:color w:val="auto"/>
        </w:rPr>
      </w:pPr>
      <w:r>
        <w:rPr>
          <w:rFonts w:ascii="Arial" w:cs="Arial" w:eastAsia="Arial" w:hAnsi="Arial"/>
          <w:sz w:val="8"/>
          <w:szCs w:val="8"/>
          <w:color w:val="auto"/>
        </w:rPr>
        <w:t>In Brazil, we agreed to sell our 23% interest in the P-71 FPSO vessel, the deal is expected to be completed in the first quarter of 2021.</w:t>
      </w:r>
    </w:p>
    <w:p>
      <w:pPr>
        <w:spacing w:after="0" w:line="16" w:lineRule="exact"/>
        <w:rPr>
          <w:rFonts w:ascii="Arial" w:cs="Arial" w:eastAsia="Arial" w:hAnsi="Arial"/>
          <w:sz w:val="8"/>
          <w:szCs w:val="8"/>
          <w:color w:val="auto"/>
        </w:rPr>
      </w:pPr>
    </w:p>
    <w:p>
      <w:pPr>
        <w:ind w:left="120" w:hanging="111"/>
        <w:spacing w:after="0" w:line="225" w:lineRule="auto"/>
        <w:tabs>
          <w:tab w:leader="none" w:pos="12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 Canada, in August 2020, we completed the sale of our Tourmaline shares.</w:t>
      </w:r>
    </w:p>
    <w:p>
      <w:pPr>
        <w:ind w:left="120" w:right="140" w:hanging="111"/>
        <w:spacing w:after="0" w:line="225" w:lineRule="auto"/>
        <w:tabs>
          <w:tab w:leader="none" w:pos="118"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 Canada, we agreed to sell our Duvernay shale light oil position in Alberta. The deal is expected to be completed in the second quarter of 2021.</w:t>
      </w:r>
    </w:p>
    <w:p>
      <w:pPr>
        <w:ind w:left="120" w:hanging="111"/>
        <w:spacing w:after="0" w:line="206" w:lineRule="auto"/>
        <w:tabs>
          <w:tab w:leader="none" w:pos="12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 Nigeria, we agreed to sell our 30% interest in oil mining lease (OML17). The deal was completed in January 2021.</w:t>
      </w:r>
    </w:p>
    <w:p>
      <w:pPr>
        <w:ind w:left="120" w:hanging="111"/>
        <w:spacing w:after="0" w:line="187" w:lineRule="auto"/>
        <w:tabs>
          <w:tab w:leader="none" w:pos="12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 the USA, we completed the sale of our Appalachia shale gas position. The deal was completed in July 2020.</w:t>
      </w:r>
    </w:p>
    <w:p>
      <w:pPr>
        <w:ind w:left="120" w:hanging="111"/>
        <w:spacing w:after="0"/>
        <w:tabs>
          <w:tab w:leader="none" w:pos="120" w:val="left"/>
        </w:tabs>
        <w:numPr>
          <w:ilvl w:val="0"/>
          <w:numId w:val="16"/>
        </w:numPr>
        <w:rPr>
          <w:rFonts w:ascii="Arial" w:cs="Arial" w:eastAsia="Arial" w:hAnsi="Arial"/>
          <w:sz w:val="8"/>
          <w:szCs w:val="8"/>
          <w:color w:val="auto"/>
        </w:rPr>
      </w:pPr>
      <w:r>
        <w:rPr>
          <w:rFonts w:ascii="Arial" w:cs="Arial" w:eastAsia="Arial" w:hAnsi="Arial"/>
          <w:sz w:val="8"/>
          <w:szCs w:val="8"/>
          <w:color w:val="auto"/>
        </w:rPr>
        <w:t>In Egypt, we agreed to sell our onshore assets in the Western Desert. The deal is expected to be completed in the second half of 2021.</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BUSINESS AND PROPERTY</w:t>
      </w:r>
    </w:p>
    <w:p>
      <w:pPr>
        <w:ind w:right="140"/>
        <w:spacing w:after="0" w:line="229" w:lineRule="auto"/>
        <w:rPr>
          <w:sz w:val="20"/>
          <w:szCs w:val="20"/>
          <w:color w:val="auto"/>
        </w:rPr>
      </w:pPr>
      <w:r>
        <w:rPr>
          <w:rFonts w:ascii="Arial" w:cs="Arial" w:eastAsia="Arial" w:hAnsi="Arial"/>
          <w:sz w:val="10"/>
          <w:szCs w:val="10"/>
          <w:color w:val="auto"/>
        </w:rPr>
        <w:t>Our subsidiaries, joint ventures and associates are involved in all aspects of upstream activities, including such matters as land tenure, entitlement to produced hydrocarbons, production rates, royalties, pricing, environmental protection, social impact, exports, taxes and foreign exchange.</w:t>
      </w:r>
    </w:p>
    <w:p>
      <w:pPr>
        <w:spacing w:after="0" w:line="149" w:lineRule="exact"/>
        <w:rPr>
          <w:sz w:val="20"/>
          <w:szCs w:val="20"/>
          <w:color w:val="auto"/>
        </w:rPr>
      </w:pPr>
    </w:p>
    <w:p>
      <w:pPr>
        <w:ind w:right="200"/>
        <w:spacing w:after="0" w:line="231" w:lineRule="auto"/>
        <w:rPr>
          <w:sz w:val="20"/>
          <w:szCs w:val="20"/>
          <w:color w:val="auto"/>
        </w:rPr>
      </w:pPr>
      <w:r>
        <w:rPr>
          <w:rFonts w:ascii="Arial" w:cs="Arial" w:eastAsia="Arial" w:hAnsi="Arial"/>
          <w:sz w:val="10"/>
          <w:szCs w:val="10"/>
          <w:color w:val="auto"/>
        </w:rPr>
        <w:t>The conditions of the leases, licences and contracts under which oil and gas interests are held vary from country to country. In almost all cases outside North America, legal agreements are generally granted by, or entered into with, a government, state-owned company, government-run oil and gas company or agency. The exploration risk usually rests with the independent oil and gas company. In North America, these agreements may also be with private parties that own mineral rights. Of these agreements, the following are most relevant to our interests:</w:t>
      </w:r>
    </w:p>
    <w:p>
      <w:pPr>
        <w:spacing w:after="0" w:line="167" w:lineRule="exact"/>
        <w:rPr>
          <w:sz w:val="20"/>
          <w:szCs w:val="20"/>
          <w:color w:val="auto"/>
        </w:rPr>
      </w:pPr>
    </w:p>
    <w:p>
      <w:pPr>
        <w:ind w:left="120" w:right="120" w:hanging="111"/>
        <w:spacing w:after="0" w:line="213" w:lineRule="auto"/>
        <w:tabs>
          <w:tab w:leader="none" w:pos="118" w:val="left"/>
        </w:tabs>
        <w:numPr>
          <w:ilvl w:val="0"/>
          <w:numId w:val="17"/>
        </w:numPr>
        <w:rPr>
          <w:rFonts w:ascii="Arial" w:cs="Arial" w:eastAsia="Arial" w:hAnsi="Arial"/>
          <w:sz w:val="11"/>
          <w:szCs w:val="11"/>
          <w:color w:val="auto"/>
        </w:rPr>
      </w:pPr>
      <w:r>
        <w:rPr>
          <w:rFonts w:ascii="Arial" w:cs="Arial" w:eastAsia="Arial" w:hAnsi="Arial"/>
          <w:sz w:val="9"/>
          <w:szCs w:val="9"/>
          <w:color w:val="auto"/>
        </w:rPr>
        <w:t>Licences (or concessions), which entitle the holder to explore for hydrocarbons and exploit any commercial discoveries. Under a licence, the holder bears the risk of exploration, development and production activities, and is responsible for financing these activities. In principle, the licence holder is entitled to the totality of production less any royalties in kind. The government, state-owned company or government-run oil and gas company may sometimes enter into a joint arrangement as a participant, sharing the rights and obligations of the licence but usually without sharing the exploration risk. In a few cases, the state-owned company, government-run oil and gas company or agency has an option to purchase a certain share of production.</w:t>
      </w:r>
    </w:p>
    <w:p>
      <w:pPr>
        <w:spacing w:after="0" w:line="811" w:lineRule="exact"/>
        <w:rPr>
          <w:sz w:val="20"/>
          <w:szCs w:val="20"/>
          <w:color w:val="auto"/>
        </w:rPr>
      </w:pPr>
    </w:p>
    <w:p>
      <w:pPr>
        <w:sectPr>
          <w:pgSz w:w="11900" w:h="16838" w:orient="portrait"/>
          <w:cols w:equalWidth="0" w:num="2">
            <w:col w:w="5428" w:space="300"/>
            <w:col w:w="5580"/>
          </w:cols>
          <w:pgMar w:left="292" w:top="640" w:right="299" w:bottom="1440" w:gutter="0" w:footer="0" w:header="0"/>
        </w:sectPr>
      </w:pP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37</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40" w:name="page41"/>
    <w:bookmarkEnd w:id="40"/>
    <w:p>
      <w:pPr>
        <w:spacing w:after="0" w:line="18" w:lineRule="exact"/>
        <w:rPr>
          <w:sz w:val="20"/>
          <w:szCs w:val="20"/>
          <w:color w:val="auto"/>
        </w:rPr>
      </w:pPr>
    </w:p>
    <w:p>
      <w:pPr>
        <w:ind w:left="108" w:right="200" w:hanging="108"/>
        <w:spacing w:after="0" w:line="200" w:lineRule="auto"/>
        <w:tabs>
          <w:tab w:leader="none" w:pos="105" w:val="left"/>
        </w:tabs>
        <w:numPr>
          <w:ilvl w:val="0"/>
          <w:numId w:val="18"/>
        </w:numPr>
        <w:rPr>
          <w:rFonts w:ascii="Arial" w:cs="Arial" w:eastAsia="Arial" w:hAnsi="Arial"/>
          <w:sz w:val="12"/>
          <w:szCs w:val="12"/>
          <w:color w:val="auto"/>
        </w:rPr>
      </w:pPr>
      <w:r>
        <w:rPr>
          <w:rFonts w:ascii="Arial" w:cs="Arial" w:eastAsia="Arial" w:hAnsi="Arial"/>
          <w:sz w:val="10"/>
          <w:szCs w:val="10"/>
          <w:color w:val="auto"/>
        </w:rPr>
        <w:t>Lease agreements, which are typically used in North America and are usually governed by terms similar to licences. Participants may include governments or private entities. Royalties are either paid in cash or in kind.</w:t>
      </w:r>
    </w:p>
    <w:p>
      <w:pPr>
        <w:ind w:left="108" w:hanging="108"/>
        <w:spacing w:after="0" w:line="236" w:lineRule="auto"/>
        <w:tabs>
          <w:tab w:leader="none" w:pos="105" w:val="left"/>
        </w:tabs>
        <w:numPr>
          <w:ilvl w:val="0"/>
          <w:numId w:val="18"/>
        </w:numPr>
        <w:rPr>
          <w:rFonts w:ascii="Arial" w:cs="Arial" w:eastAsia="Arial" w:hAnsi="Arial"/>
          <w:sz w:val="10"/>
          <w:szCs w:val="10"/>
          <w:color w:val="auto"/>
        </w:rPr>
      </w:pPr>
      <w:r>
        <w:rPr>
          <w:rFonts w:ascii="Arial" w:cs="Arial" w:eastAsia="Arial" w:hAnsi="Arial"/>
          <w:sz w:val="8"/>
          <w:szCs w:val="8"/>
          <w:color w:val="auto"/>
        </w:rPr>
        <w:t>Production-sharing contracts (PSCs) entered into with a government, state-owned company or government-run oil and gas company. PSCs generally oblige the independent oil and gas company, as contractor, to provide all the financing and bear the risk of exploration, development and production activities in exchange for a share of the production. Usually, this share consists of a fixed or variable part that is reserved for the recovery of the contractor’s cost (cost oil). The remaining production is split with the government, state-owned company or government-run oil and gas company on a fixed or volume/revenue-dependent basis. In some cases, the government, state-owned company or government-run oil and gas company will participate in the rights and obligations of the contractor and will share in the costs of development and production. Such participation can be across the venture or on a field-by-field basis. Additionally, as the price of oil or gas increases above certain predetermined levels, the independent oil and gas company’s entitlement share of production normally decreases, and vice versa. Accordingly, its interest in a project may not be the same as its entitlement.</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1"/>
          <w:szCs w:val="11"/>
          <w:color w:val="auto"/>
        </w:rPr>
        <w:t>Europe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0"/>
          <w:szCs w:val="10"/>
          <w:color w:val="auto"/>
        </w:rPr>
        <w:t>Italy</w:t>
      </w:r>
    </w:p>
    <w:p>
      <w:pPr>
        <w:ind w:left="8"/>
        <w:spacing w:after="0" w:line="227" w:lineRule="auto"/>
        <w:rPr>
          <w:sz w:val="20"/>
          <w:szCs w:val="20"/>
          <w:color w:val="auto"/>
        </w:rPr>
      </w:pPr>
      <w:r>
        <w:rPr>
          <w:rFonts w:ascii="Arial" w:cs="Arial" w:eastAsia="Arial" w:hAnsi="Arial"/>
          <w:sz w:val="10"/>
          <w:szCs w:val="10"/>
          <w:color w:val="auto"/>
        </w:rPr>
        <w:t>We have a 39% interest in the Val d’Agri producing concession, operated by ENI.</w:t>
      </w:r>
    </w:p>
    <w:p>
      <w:pPr>
        <w:ind w:left="8"/>
        <w:spacing w:after="0" w:line="237" w:lineRule="auto"/>
        <w:rPr>
          <w:sz w:val="20"/>
          <w:szCs w:val="20"/>
          <w:color w:val="auto"/>
        </w:rPr>
      </w:pPr>
      <w:r>
        <w:rPr>
          <w:rFonts w:ascii="Arial" w:cs="Arial" w:eastAsia="Arial" w:hAnsi="Arial"/>
          <w:sz w:val="10"/>
          <w:szCs w:val="10"/>
          <w:color w:val="auto"/>
        </w:rPr>
        <w:t>We also have a 25% interest in the Tempa Rossa producing concession operated by Total.</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Netherlands</w:t>
      </w:r>
    </w:p>
    <w:p>
      <w:pPr>
        <w:spacing w:after="0" w:line="1" w:lineRule="exact"/>
        <w:rPr>
          <w:sz w:val="20"/>
          <w:szCs w:val="20"/>
          <w:color w:val="auto"/>
        </w:rPr>
      </w:pPr>
    </w:p>
    <w:p>
      <w:pPr>
        <w:ind w:left="8" w:right="20"/>
        <w:spacing w:after="0" w:line="229" w:lineRule="auto"/>
        <w:rPr>
          <w:sz w:val="20"/>
          <w:szCs w:val="20"/>
          <w:color w:val="auto"/>
        </w:rPr>
      </w:pPr>
      <w:r>
        <w:rPr>
          <w:rFonts w:ascii="Arial" w:cs="Arial" w:eastAsia="Arial" w:hAnsi="Arial"/>
          <w:sz w:val="10"/>
          <w:szCs w:val="10"/>
          <w:color w:val="auto"/>
        </w:rPr>
        <w:t>Shell and ExxonMobil are 50:50 shareholders in Nederlandse Aardolie Maatschappij B.V. (NAM). A significant part of NAM’s gas production comes from the onshore Groningen gas field, in which NAM holds a 60% interest. The remaining 40% interest is held by EBN, a Dutch government entity.</w:t>
      </w:r>
    </w:p>
    <w:p>
      <w:pPr>
        <w:spacing w:after="0" w:line="149" w:lineRule="exact"/>
        <w:rPr>
          <w:sz w:val="20"/>
          <w:szCs w:val="20"/>
          <w:color w:val="auto"/>
        </w:rPr>
      </w:pPr>
    </w:p>
    <w:p>
      <w:pPr>
        <w:jc w:val="both"/>
        <w:ind w:left="8"/>
        <w:spacing w:after="0" w:line="320" w:lineRule="auto"/>
        <w:rPr>
          <w:sz w:val="20"/>
          <w:szCs w:val="20"/>
          <w:color w:val="auto"/>
        </w:rPr>
      </w:pPr>
      <w:r>
        <w:rPr>
          <w:rFonts w:ascii="Arial" w:cs="Arial" w:eastAsia="Arial" w:hAnsi="Arial"/>
          <w:sz w:val="8"/>
          <w:szCs w:val="8"/>
          <w:color w:val="auto"/>
        </w:rPr>
        <w:t>Production from the Groningen field induces earthquakes that have damaged houses and other buildings and structures in the region. This has led to complaints and claims for compensation for damage from the local community. NAM is working with the Dutch government and other stakeholders to fulfil its obligations to the residents of the area. These obligations include compensating for earthquake damage.</w:t>
      </w:r>
    </w:p>
    <w:p>
      <w:pPr>
        <w:spacing w:after="0" w:line="118" w:lineRule="exact"/>
        <w:rPr>
          <w:sz w:val="20"/>
          <w:szCs w:val="20"/>
          <w:color w:val="auto"/>
        </w:rPr>
      </w:pPr>
    </w:p>
    <w:p>
      <w:pPr>
        <w:ind w:left="8" w:right="120"/>
        <w:spacing w:after="0" w:line="320" w:lineRule="auto"/>
        <w:rPr>
          <w:sz w:val="20"/>
          <w:szCs w:val="20"/>
          <w:color w:val="auto"/>
        </w:rPr>
      </w:pPr>
      <w:r>
        <w:rPr>
          <w:rFonts w:ascii="Arial" w:cs="Arial" w:eastAsia="Arial" w:hAnsi="Arial"/>
          <w:sz w:val="8"/>
          <w:szCs w:val="8"/>
          <w:color w:val="auto"/>
        </w:rPr>
        <w:t>Since 2013, the Dutch Minister of Economic Affairs and Climate (the Minister) has set an annual production level for the Groningen field, taking into account all interests, including residents' safety, security of supply in the domestic gas market and supply commitments in EU member states. The production level in the gas year 2019-2020 (ending October 1, 2020) was 8.7 billion cubic meters.</w:t>
      </w:r>
    </w:p>
    <w:p>
      <w:pPr>
        <w:spacing w:after="0" w:line="118" w:lineRule="exact"/>
        <w:rPr>
          <w:sz w:val="20"/>
          <w:szCs w:val="20"/>
          <w:color w:val="auto"/>
        </w:rPr>
      </w:pPr>
    </w:p>
    <w:p>
      <w:pPr>
        <w:ind w:left="8" w:right="20"/>
        <w:spacing w:after="0" w:line="297" w:lineRule="auto"/>
        <w:rPr>
          <w:sz w:val="20"/>
          <w:szCs w:val="20"/>
          <w:color w:val="auto"/>
        </w:rPr>
      </w:pPr>
      <w:r>
        <w:rPr>
          <w:rFonts w:ascii="Arial" w:cs="Arial" w:eastAsia="Arial" w:hAnsi="Arial"/>
          <w:sz w:val="8"/>
          <w:szCs w:val="8"/>
          <w:color w:val="auto"/>
        </w:rPr>
        <w:t>In June 2018, NAM’s shareholders and the Dutch government signed a heads of agreement (HoA) to reduce production from Groningen and to ensure the financial robustness of NAM to fulfil its obligations. In the HoA, NAM’s shareholders agreed not to declare dividends for 2018 and 2019. Dividend payments in 2020 and beyond will be made only if a solvency ratio of 25% is reached and maintained. In September 2018, detailed agreements were signed to further implement the HoA. As part of these agreements, Shell guarantees NAM’s payment obligations vis-à-vis the Dutch government in relation to earthquake-related damages and costs of strengthening houses, up to a maximum of 30%. This maximum equates to Shell’s indirect interest in the Groningen production system.</w:t>
      </w:r>
    </w:p>
    <w:p>
      <w:pPr>
        <w:spacing w:after="0" w:line="127" w:lineRule="exact"/>
        <w:rPr>
          <w:sz w:val="20"/>
          <w:szCs w:val="20"/>
          <w:color w:val="auto"/>
        </w:rPr>
      </w:pPr>
    </w:p>
    <w:p>
      <w:pPr>
        <w:ind w:left="8" w:right="60"/>
        <w:spacing w:after="0" w:line="231" w:lineRule="auto"/>
        <w:rPr>
          <w:sz w:val="20"/>
          <w:szCs w:val="20"/>
          <w:color w:val="auto"/>
        </w:rPr>
      </w:pPr>
      <w:r>
        <w:rPr>
          <w:rFonts w:ascii="Arial" w:cs="Arial" w:eastAsia="Arial" w:hAnsi="Arial"/>
          <w:sz w:val="10"/>
          <w:szCs w:val="10"/>
          <w:color w:val="auto"/>
        </w:rPr>
        <w:t>In conjunction with the HoA, it was agreed that NAM would cease all involvement in handling damage claims or strengthening buildings to make them safe. The Dutch government has stepped into these two roles and has developed legislation and policies to deal with earthquake-related matters. One of the consequences of the legislation is that duty of care has shifted from NAM to the Dutch government. The Dutch government passes on to NAM the cost of the elements for which NAM is liable. There are escalation and arbitration options to settle any disputes.</w:t>
      </w:r>
    </w:p>
    <w:p>
      <w:pPr>
        <w:spacing w:after="0" w:line="20" w:lineRule="exact"/>
        <w:rPr>
          <w:sz w:val="20"/>
          <w:szCs w:val="20"/>
          <w:color w:val="auto"/>
        </w:rPr>
      </w:pPr>
      <w:r>
        <w:rPr>
          <w:sz w:val="20"/>
          <w:szCs w:val="20"/>
          <w:color w:val="auto"/>
        </w:rPr>
        <w:br w:type="column"/>
      </w:r>
    </w:p>
    <w:p>
      <w:pPr>
        <w:jc w:val="both"/>
        <w:ind w:right="120"/>
        <w:spacing w:after="0" w:line="307" w:lineRule="auto"/>
        <w:rPr>
          <w:sz w:val="20"/>
          <w:szCs w:val="20"/>
          <w:color w:val="auto"/>
        </w:rPr>
      </w:pPr>
      <w:r>
        <w:rPr>
          <w:rFonts w:ascii="Arial" w:cs="Arial" w:eastAsia="Arial" w:hAnsi="Arial"/>
          <w:sz w:val="8"/>
          <w:szCs w:val="8"/>
          <w:color w:val="auto"/>
        </w:rPr>
        <w:t>In September 2019, the government issued an update announcing that it was able to reduce Groningen production faster, stopping production in 2022, eight years earlier than initially planned. Negotiations are ongoing between the government and the NAM shareholders regarding the compensation payable by the government to NAM in order to restore the balance of the package of arrangements laid down in the 2018 HoA. If no agreement can be reached on such re-balancing, NAM shareholders can go to arbitration to resolve the matter.</w:t>
      </w:r>
    </w:p>
    <w:p>
      <w:pPr>
        <w:spacing w:after="0" w:line="123" w:lineRule="exact"/>
        <w:rPr>
          <w:sz w:val="20"/>
          <w:szCs w:val="20"/>
          <w:color w:val="auto"/>
        </w:rPr>
      </w:pPr>
    </w:p>
    <w:p>
      <w:pPr>
        <w:ind w:right="160"/>
        <w:spacing w:after="0" w:line="239" w:lineRule="auto"/>
        <w:rPr>
          <w:sz w:val="20"/>
          <w:szCs w:val="20"/>
          <w:color w:val="auto"/>
        </w:rPr>
      </w:pPr>
      <w:r>
        <w:rPr>
          <w:rFonts w:ascii="Arial" w:cs="Arial" w:eastAsia="Arial" w:hAnsi="Arial"/>
          <w:sz w:val="10"/>
          <w:szCs w:val="10"/>
          <w:color w:val="auto"/>
        </w:rPr>
        <w:t>NAM also has a 60% interest in the Schoonebeek oil field and operates 25 other hydrocarbon production licences. Some of these are onshore and others are offshore in the North Sea.</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Norway</w:t>
      </w:r>
    </w:p>
    <w:p>
      <w:pPr>
        <w:spacing w:after="0" w:line="1" w:lineRule="exact"/>
        <w:rPr>
          <w:sz w:val="20"/>
          <w:szCs w:val="20"/>
          <w:color w:val="auto"/>
        </w:rPr>
      </w:pPr>
    </w:p>
    <w:p>
      <w:pPr>
        <w:ind w:right="160"/>
        <w:spacing w:after="0" w:line="229" w:lineRule="auto"/>
        <w:rPr>
          <w:sz w:val="20"/>
          <w:szCs w:val="20"/>
          <w:color w:val="auto"/>
        </w:rPr>
      </w:pPr>
      <w:r>
        <w:rPr>
          <w:rFonts w:ascii="Arial" w:cs="Arial" w:eastAsia="Arial" w:hAnsi="Arial"/>
          <w:sz w:val="10"/>
          <w:szCs w:val="10"/>
          <w:color w:val="auto"/>
        </w:rPr>
        <w:t>We are a partner in 27 production licences on the Norwegian continental shelf. We are the operator in 14 of these, of which two are producing: the Knarr field (Shell interest 45%), and the Ormen Lange gas field (Shell interest 17.8%). We have a non-operated interest in the producing field Troll.</w:t>
      </w:r>
    </w:p>
    <w:p>
      <w:pPr>
        <w:spacing w:after="0" w:line="149" w:lineRule="exact"/>
        <w:rPr>
          <w:sz w:val="20"/>
          <w:szCs w:val="20"/>
          <w:color w:val="auto"/>
        </w:rPr>
      </w:pPr>
    </w:p>
    <w:p>
      <w:pPr>
        <w:ind w:right="560"/>
        <w:spacing w:after="0" w:line="239" w:lineRule="auto"/>
        <w:rPr>
          <w:sz w:val="20"/>
          <w:szCs w:val="20"/>
          <w:color w:val="auto"/>
        </w:rPr>
      </w:pPr>
      <w:r>
        <w:rPr>
          <w:rFonts w:ascii="Arial" w:cs="Arial" w:eastAsia="Arial" w:hAnsi="Arial"/>
          <w:sz w:val="10"/>
          <w:szCs w:val="10"/>
          <w:color w:val="auto"/>
        </w:rPr>
        <w:t>We are a partner in the Northern Lights carbon dioxide transport and storage project. In this phase the partnership is governed by a collaboration agreement between Equinor, Shell and Total (equal partners).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UK</w:t>
      </w:r>
    </w:p>
    <w:p>
      <w:pPr>
        <w:spacing w:after="0" w:line="1" w:lineRule="exact"/>
        <w:rPr>
          <w:sz w:val="20"/>
          <w:szCs w:val="20"/>
          <w:color w:val="auto"/>
        </w:rPr>
      </w:pPr>
    </w:p>
    <w:p>
      <w:pPr>
        <w:ind w:right="180"/>
        <w:spacing w:after="0" w:line="227" w:lineRule="auto"/>
        <w:rPr>
          <w:sz w:val="20"/>
          <w:szCs w:val="20"/>
          <w:color w:val="auto"/>
        </w:rPr>
      </w:pPr>
      <w:r>
        <w:rPr>
          <w:rFonts w:ascii="Arial" w:cs="Arial" w:eastAsia="Arial" w:hAnsi="Arial"/>
          <w:sz w:val="10"/>
          <w:szCs w:val="10"/>
          <w:color w:val="auto"/>
        </w:rPr>
        <w:t>We operate a significant number of our interests on the UK continental shelf under a 50:50 joint-venture agreement with ExxonMobil. On February 24, 2021, ExxonMobil announced that it had signed an agreement with HitecVision (through its wholly owned portfolio company Neo Energy) for the sale of most of its non-operated upstream assets in the UK central and northern North Sea, including a number of interests subject to the Shell ExxonMobil 50:50 joint venture agreement. The sale, which ExxonMobil expects will close later in 2021, is subject to regulatory and third-party approvals. In addition to our oil and gas production from North Sea fields, we have various interests in the Atlantic Margin area where we are not the operator, principally in the West of Shetland area (Clair, Shell interest 28%), and Schiehallion (Shell interest 44.89%).</w:t>
      </w:r>
    </w:p>
    <w:p>
      <w:pPr>
        <w:spacing w:after="0" w:line="149" w:lineRule="exact"/>
        <w:rPr>
          <w:sz w:val="20"/>
          <w:szCs w:val="20"/>
          <w:color w:val="auto"/>
        </w:rPr>
      </w:pPr>
    </w:p>
    <w:p>
      <w:pPr>
        <w:ind w:right="140"/>
        <w:spacing w:after="0" w:line="234" w:lineRule="auto"/>
        <w:rPr>
          <w:sz w:val="20"/>
          <w:szCs w:val="20"/>
          <w:color w:val="auto"/>
        </w:rPr>
      </w:pPr>
      <w:r>
        <w:rPr>
          <w:rFonts w:ascii="Arial" w:cs="Arial" w:eastAsia="Arial" w:hAnsi="Arial"/>
          <w:sz w:val="10"/>
          <w:szCs w:val="10"/>
          <w:color w:val="auto"/>
        </w:rPr>
        <w:t>In 2020, new production came on stream in the Fram (Shell interest 32%), Shearwater (Shell interest 28%) and Pierce (Shell interest 92.52%) fields. We are a participant in the Acorn project, which is in its early stages and will involve carbon capture, utilisation and storage (CCUS) and hydrogen production (joint venture, Shell interest 25%).</w:t>
      </w:r>
    </w:p>
    <w:p>
      <w:pPr>
        <w:spacing w:after="0" w:line="150" w:lineRule="exact"/>
        <w:rPr>
          <w:sz w:val="20"/>
          <w:szCs w:val="20"/>
          <w:color w:val="auto"/>
        </w:rPr>
      </w:pPr>
    </w:p>
    <w:p>
      <w:pPr>
        <w:ind w:right="160"/>
        <w:spacing w:after="0" w:line="296" w:lineRule="auto"/>
        <w:rPr>
          <w:sz w:val="20"/>
          <w:szCs w:val="20"/>
          <w:color w:val="auto"/>
        </w:rPr>
      </w:pPr>
      <w:r>
        <w:rPr>
          <w:rFonts w:ascii="Arial" w:cs="Arial" w:eastAsia="Arial" w:hAnsi="Arial"/>
          <w:sz w:val="8"/>
          <w:szCs w:val="8"/>
          <w:color w:val="auto"/>
        </w:rPr>
        <w:t>We continued with decommissioning Heather assets and the Curlew FPSO, and continued Brent decommissioning. In June 2020 the Pioneering Spirit vessel safely completed the single-lift removal of the 17,000-tonne Brent Alpha topside from the North Sea. This was followed in August 2020 by the SSCV Sleipnir vessel safely lifting and removing the upper portion of the Brent Alpha jacket. Brent Alpha is the third of four platforms, after Brent Delta and Brent Bravo, to be decommissioned and removed from the Brent oil and gas field. In July 2020, the UK government approved the Brent Alpha decommissioning programme, including the derogation to leave in place the Brent Alpha steel jacket footings. A decision on the proposed derogations to leave in place each of the gravity-based concrete installations of Brent Bravo, Brent Charlie and Brent Delta is expected in the first half of 2021.</w:t>
      </w:r>
    </w:p>
    <w:p>
      <w:pPr>
        <w:spacing w:after="0" w:line="237" w:lineRule="exact"/>
        <w:rPr>
          <w:sz w:val="20"/>
          <w:szCs w:val="20"/>
          <w:color w:val="auto"/>
        </w:rPr>
      </w:pPr>
    </w:p>
    <w:p>
      <w:pPr>
        <w:spacing w:after="0"/>
        <w:rPr>
          <w:sz w:val="20"/>
          <w:szCs w:val="20"/>
          <w:color w:val="auto"/>
        </w:rPr>
      </w:pPr>
      <w:r>
        <w:rPr>
          <w:rFonts w:ascii="Arial" w:cs="Arial" w:eastAsia="Arial" w:hAnsi="Arial"/>
          <w:sz w:val="10"/>
          <w:szCs w:val="10"/>
          <w:color w:val="auto"/>
        </w:rPr>
        <w:t>Rest of Europe</w:t>
      </w:r>
    </w:p>
    <w:p>
      <w:pPr>
        <w:spacing w:after="0"/>
        <w:rPr>
          <w:sz w:val="20"/>
          <w:szCs w:val="20"/>
          <w:color w:val="auto"/>
        </w:rPr>
      </w:pPr>
      <w:r>
        <w:rPr>
          <w:rFonts w:ascii="Arial" w:cs="Arial" w:eastAsia="Arial" w:hAnsi="Arial"/>
          <w:sz w:val="10"/>
          <w:szCs w:val="10"/>
          <w:color w:val="auto"/>
        </w:rPr>
        <w:t>We also have interests in Albania, Bulgaria and Germany.</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Asia (including the Middle East and Russia)</w:t>
      </w:r>
    </w:p>
    <w:p>
      <w:pPr>
        <w:spacing w:after="0" w:line="225" w:lineRule="auto"/>
        <w:rPr>
          <w:sz w:val="20"/>
          <w:szCs w:val="20"/>
          <w:color w:val="auto"/>
        </w:rPr>
      </w:pPr>
      <w:r>
        <w:rPr>
          <w:rFonts w:ascii="Arial" w:cs="Arial" w:eastAsia="Arial" w:hAnsi="Arial"/>
          <w:sz w:val="10"/>
          <w:szCs w:val="10"/>
          <w:color w:val="auto"/>
        </w:rPr>
        <w:t>Brunei</w:t>
      </w:r>
    </w:p>
    <w:p>
      <w:pPr>
        <w:jc w:val="both"/>
        <w:ind w:right="140"/>
        <w:spacing w:after="0" w:line="309" w:lineRule="auto"/>
        <w:rPr>
          <w:sz w:val="20"/>
          <w:szCs w:val="20"/>
          <w:color w:val="auto"/>
        </w:rPr>
      </w:pPr>
      <w:r>
        <w:rPr>
          <w:rFonts w:ascii="Arial" w:cs="Arial" w:eastAsia="Arial" w:hAnsi="Arial"/>
          <w:sz w:val="8"/>
          <w:szCs w:val="8"/>
          <w:color w:val="auto"/>
        </w:rPr>
        <w:t>Shell and the Brunei government are 50:50 shareholders in Brunei Shell Petroleum Company Sendirian Berhad (BSP). BSP has long-term oil and gas concession rights onshore and offshore Brunei, and sells most of its gas production to Brunei LNG Sendirian Berhad (see “Integrated Gas” on pages 30-35), with the remainder (23% in 2020) sold in the domestic market.</w:t>
      </w:r>
    </w:p>
    <w:p>
      <w:pPr>
        <w:spacing w:after="0" w:line="123" w:lineRule="exact"/>
        <w:rPr>
          <w:sz w:val="20"/>
          <w:szCs w:val="20"/>
          <w:color w:val="auto"/>
        </w:rPr>
      </w:pPr>
    </w:p>
    <w:p>
      <w:pPr>
        <w:ind w:right="260"/>
        <w:spacing w:after="0" w:line="239" w:lineRule="auto"/>
        <w:rPr>
          <w:sz w:val="20"/>
          <w:szCs w:val="20"/>
          <w:color w:val="auto"/>
        </w:rPr>
      </w:pPr>
      <w:r>
        <w:rPr>
          <w:rFonts w:ascii="Arial" w:cs="Arial" w:eastAsia="Arial" w:hAnsi="Arial"/>
          <w:sz w:val="10"/>
          <w:szCs w:val="10"/>
          <w:color w:val="auto"/>
        </w:rPr>
        <w:t>In addition to our interest in BSP, we have a 35% non-operating interest in the offshore Block B concession, where gas and condensate are produced from the Maharaja Lela field.</w:t>
      </w:r>
    </w:p>
    <w:p>
      <w:pPr>
        <w:spacing w:after="0" w:line="200" w:lineRule="exact"/>
        <w:rPr>
          <w:sz w:val="20"/>
          <w:szCs w:val="20"/>
          <w:color w:val="auto"/>
        </w:rPr>
      </w:pPr>
    </w:p>
    <w:p>
      <w:pPr>
        <w:sectPr>
          <w:pgSz w:w="11900" w:h="16838" w:orient="portrait"/>
          <w:cols w:equalWidth="0" w:num="2">
            <w:col w:w="5428" w:space="300"/>
            <w:col w:w="5580"/>
          </w:cols>
          <w:pgMar w:left="292" w:top="640" w:right="299" w:bottom="1440" w:gutter="0" w:footer="0" w:header="0"/>
        </w:sect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38</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41" w:name="page42"/>
    <w:bookmarkEnd w:id="41"/>
    <w:p>
      <w:pPr>
        <w:ind w:right="120"/>
        <w:spacing w:after="0" w:line="239" w:lineRule="auto"/>
        <w:rPr>
          <w:sz w:val="20"/>
          <w:szCs w:val="20"/>
          <w:color w:val="auto"/>
        </w:rPr>
      </w:pPr>
      <w:r>
        <w:rPr>
          <w:rFonts w:ascii="Arial" w:cs="Arial" w:eastAsia="Arial" w:hAnsi="Arial"/>
          <w:sz w:val="10"/>
          <w:szCs w:val="10"/>
          <w:color w:val="auto"/>
        </w:rPr>
        <w:t>We also have non-operating interest in a gas holding area for deep-water exploration Block CA-2 (Shell interest 12.5%), under a PSC. The exploration acreage in Block CA-2 was relinquished in 2020.</w:t>
      </w:r>
    </w:p>
    <w:p>
      <w:pPr>
        <w:spacing w:after="0" w:line="149" w:lineRule="exact"/>
        <w:rPr>
          <w:sz w:val="20"/>
          <w:szCs w:val="20"/>
          <w:color w:val="auto"/>
        </w:rPr>
      </w:pPr>
    </w:p>
    <w:p>
      <w:pPr>
        <w:ind w:right="20"/>
        <w:spacing w:after="0" w:line="358" w:lineRule="auto"/>
        <w:rPr>
          <w:sz w:val="20"/>
          <w:szCs w:val="20"/>
          <w:color w:val="auto"/>
        </w:rPr>
      </w:pPr>
      <w:r>
        <w:rPr>
          <w:rFonts w:ascii="Arial" w:cs="Arial" w:eastAsia="Arial" w:hAnsi="Arial"/>
          <w:sz w:val="8"/>
          <w:szCs w:val="8"/>
          <w:color w:val="auto"/>
        </w:rPr>
        <w:t>We completed the acquisition of Total E&amp;P Deep Offshore Borneo B.V. on March 31, 2020, and renamed the company Shell Exploration and Production Brunei B.V. The acquisition gives us an operator interest in the deep-water Block CA-1 (Shell interest 86.95%), under a PSC.</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Iraq</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0"/>
          <w:szCs w:val="10"/>
          <w:color w:val="auto"/>
        </w:rPr>
        <w:t>We have a 44% interest in the Basrah Gas Company, which gathers, treats and processes associated gas that was previously being flared from the Rumaila, West Qurna 1 and Zubair fields. The processed gas and associated products, such as condensate and LPG, are sold to the domestic market. Any surplus condensate and LPG is exported.</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Kazakhstan</w:t>
      </w:r>
    </w:p>
    <w:p>
      <w:pPr>
        <w:spacing w:after="0" w:line="1" w:lineRule="exact"/>
        <w:rPr>
          <w:sz w:val="20"/>
          <w:szCs w:val="20"/>
          <w:color w:val="auto"/>
        </w:rPr>
      </w:pPr>
    </w:p>
    <w:p>
      <w:pPr>
        <w:ind w:right="60"/>
        <w:spacing w:after="0" w:line="309" w:lineRule="auto"/>
        <w:rPr>
          <w:sz w:val="20"/>
          <w:szCs w:val="20"/>
          <w:color w:val="auto"/>
        </w:rPr>
      </w:pPr>
      <w:r>
        <w:rPr>
          <w:rFonts w:ascii="Arial" w:cs="Arial" w:eastAsia="Arial" w:hAnsi="Arial"/>
          <w:sz w:val="8"/>
          <w:szCs w:val="8"/>
          <w:color w:val="auto"/>
        </w:rPr>
        <w:t>We are the joint operator of the onshore Karachaganak oil and condensate field (Shell interest 29.3%), where we have a licence until the end of 2037. In December 2020, we successfully settled a long-running contractual dispute with the Republic of Kazakhstan government about the profit share between the parties in the Karachaganak joint venture. Shell paid $424 million as its share of the settlement.</w:t>
      </w:r>
    </w:p>
    <w:p>
      <w:pPr>
        <w:spacing w:after="0" w:line="123" w:lineRule="exact"/>
        <w:rPr>
          <w:sz w:val="20"/>
          <w:szCs w:val="20"/>
          <w:color w:val="auto"/>
        </w:rPr>
      </w:pPr>
    </w:p>
    <w:p>
      <w:pPr>
        <w:jc w:val="both"/>
        <w:ind w:right="60"/>
        <w:spacing w:after="0" w:line="307" w:lineRule="auto"/>
        <w:rPr>
          <w:sz w:val="20"/>
          <w:szCs w:val="20"/>
          <w:color w:val="auto"/>
        </w:rPr>
      </w:pPr>
      <w:r>
        <w:rPr>
          <w:rFonts w:ascii="Arial" w:cs="Arial" w:eastAsia="Arial" w:hAnsi="Arial"/>
          <w:sz w:val="8"/>
          <w:szCs w:val="8"/>
          <w:color w:val="auto"/>
        </w:rPr>
        <w:t>We have an interest in the North Caspian Sea production-sharing agreement (Shell interest 16.8%) which includes the Kashagan field in the Kazakh sector of the Caspian Sea. The North Caspian Operating Company is the operator. This shallow-water field covers an area of around 3,400 square kilometres. Phase 1 development of the field is expected to lead to plateau oil production capacity of around 66 thousand boe/d (Shell interest) by 2021, with the possibility of increases after later phases of development.</w:t>
      </w:r>
    </w:p>
    <w:p>
      <w:pPr>
        <w:spacing w:after="0" w:line="123" w:lineRule="exact"/>
        <w:rPr>
          <w:sz w:val="20"/>
          <w:szCs w:val="20"/>
          <w:color w:val="auto"/>
        </w:rPr>
      </w:pPr>
    </w:p>
    <w:p>
      <w:pPr>
        <w:ind w:right="140"/>
        <w:spacing w:after="0" w:line="239" w:lineRule="auto"/>
        <w:rPr>
          <w:sz w:val="20"/>
          <w:szCs w:val="20"/>
          <w:color w:val="auto"/>
        </w:rPr>
      </w:pPr>
      <w:r>
        <w:rPr>
          <w:rFonts w:ascii="Arial" w:cs="Arial" w:eastAsia="Arial" w:hAnsi="Arial"/>
          <w:sz w:val="10"/>
          <w:szCs w:val="10"/>
          <w:color w:val="auto"/>
        </w:rPr>
        <w:t>We have a 7.4% interest in the Caspian Pipeline Consortium, which owns and operates an oil pipeline running from the Caspian Sea to the Black Sea, across parts of Kazakhstan and Russia.</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Malaysia</w:t>
      </w:r>
    </w:p>
    <w:p>
      <w:pPr>
        <w:spacing w:after="0" w:line="1" w:lineRule="exact"/>
        <w:rPr>
          <w:sz w:val="20"/>
          <w:szCs w:val="20"/>
          <w:color w:val="auto"/>
        </w:rPr>
      </w:pPr>
    </w:p>
    <w:p>
      <w:pPr>
        <w:spacing w:after="0"/>
        <w:rPr>
          <w:sz w:val="20"/>
          <w:szCs w:val="20"/>
          <w:color w:val="auto"/>
        </w:rPr>
      </w:pPr>
      <w:r>
        <w:rPr>
          <w:rFonts w:ascii="Arial" w:cs="Arial" w:eastAsia="Arial" w:hAnsi="Arial"/>
          <w:sz w:val="8"/>
          <w:szCs w:val="8"/>
          <w:color w:val="auto"/>
        </w:rPr>
        <w:t>We explore for and produce oil and gas offshore Sabah and Sarawak under 16 PSCs, in which our interests range from 20% to 85%.</w:t>
      </w:r>
    </w:p>
    <w:p>
      <w:pPr>
        <w:spacing w:after="0" w:line="161" w:lineRule="exact"/>
        <w:rPr>
          <w:sz w:val="20"/>
          <w:szCs w:val="20"/>
          <w:color w:val="auto"/>
        </w:rPr>
      </w:pPr>
    </w:p>
    <w:p>
      <w:pPr>
        <w:spacing w:after="0" w:line="260" w:lineRule="auto"/>
        <w:rPr>
          <w:sz w:val="20"/>
          <w:szCs w:val="20"/>
          <w:color w:val="auto"/>
        </w:rPr>
      </w:pPr>
      <w:r>
        <w:rPr>
          <w:rFonts w:ascii="Arial" w:cs="Arial" w:eastAsia="Arial" w:hAnsi="Arial"/>
          <w:sz w:val="8"/>
          <w:szCs w:val="8"/>
          <w:color w:val="auto"/>
        </w:rPr>
        <w:t>Early in 2020, the Malaysian Inland Revenue Board (MIRB) started a tax audit on Sabah and Sarawak Contiguous, which comprises the Sabah and Sarawak upstream businesses. This resulted in preliminary audit findings. The Company has determined it is probable that each uncertain tax treatment used in its income tax filings will ultimately be defensible, either during the next phase of the audit or on appeal to the courts. To date, no notices of additional assessments have been received.</w:t>
      </w:r>
    </w:p>
    <w:p>
      <w:pPr>
        <w:spacing w:after="0" w:line="132" w:lineRule="exact"/>
        <w:rPr>
          <w:sz w:val="20"/>
          <w:szCs w:val="20"/>
          <w:color w:val="auto"/>
        </w:rPr>
      </w:pPr>
    </w:p>
    <w:p>
      <w:pPr>
        <w:ind w:right="80"/>
        <w:spacing w:after="0" w:line="288" w:lineRule="auto"/>
        <w:rPr>
          <w:sz w:val="20"/>
          <w:szCs w:val="20"/>
          <w:color w:val="auto"/>
        </w:rPr>
      </w:pPr>
      <w:r>
        <w:rPr>
          <w:rFonts w:ascii="Arial" w:cs="Arial" w:eastAsia="Arial" w:hAnsi="Arial"/>
          <w:sz w:val="8"/>
          <w:szCs w:val="8"/>
          <w:color w:val="auto"/>
        </w:rPr>
        <w:t>Offshore Sabah, we operate two producing oil fields. These are the Gumusut-Kakap deep-water field (Shell interest 29%), and the Malikai deep-water field (Shell interest 35%). In August 2020, we took FID on phase 3 of the Gumusut-Kakap project. The project involves drilling four subsea wells, (two oil producers and two water injectors), to enhance Gumusut-Kakap’s expected recoverable oil volumes.</w:t>
      </w:r>
    </w:p>
    <w:p>
      <w:pPr>
        <w:spacing w:after="0" w:line="1" w:lineRule="exact"/>
        <w:rPr>
          <w:sz w:val="20"/>
          <w:szCs w:val="20"/>
          <w:color w:val="auto"/>
        </w:rPr>
      </w:pPr>
    </w:p>
    <w:p>
      <w:pPr>
        <w:ind w:right="100"/>
        <w:spacing w:after="0" w:line="229" w:lineRule="auto"/>
        <w:rPr>
          <w:sz w:val="20"/>
          <w:szCs w:val="20"/>
          <w:color w:val="auto"/>
        </w:rPr>
      </w:pPr>
      <w:r>
        <w:rPr>
          <w:rFonts w:ascii="Arial" w:cs="Arial" w:eastAsia="Arial" w:hAnsi="Arial"/>
          <w:sz w:val="10"/>
          <w:szCs w:val="10"/>
          <w:color w:val="auto"/>
        </w:rPr>
        <w:t>In October 2020, drilling started for phase 2 of the Malikai project. Phase 2 is expected to deliver first oil in 2021. We also have a 21% interest in the Siakap North-Petai deep-water field and a 30% interest in the Kebabangan field, both operated by third parties. We also have exploration interests in Blocks SB-J, SB-G, SB-N, SB-3G, ND-6 and ND-7.</w:t>
      </w:r>
    </w:p>
    <w:p>
      <w:pPr>
        <w:spacing w:after="0" w:line="149" w:lineRule="exact"/>
        <w:rPr>
          <w:sz w:val="20"/>
          <w:szCs w:val="20"/>
          <w:color w:val="auto"/>
        </w:rPr>
      </w:pPr>
    </w:p>
    <w:p>
      <w:pPr>
        <w:ind w:right="20"/>
        <w:spacing w:after="0" w:line="297" w:lineRule="auto"/>
        <w:rPr>
          <w:sz w:val="20"/>
          <w:szCs w:val="20"/>
          <w:color w:val="auto"/>
        </w:rPr>
      </w:pPr>
      <w:r>
        <w:rPr>
          <w:rFonts w:ascii="Arial" w:cs="Arial" w:eastAsia="Arial" w:hAnsi="Arial"/>
          <w:sz w:val="8"/>
          <w:szCs w:val="8"/>
          <w:color w:val="auto"/>
        </w:rPr>
        <w:t>Offshore Sarawak, in 2020 we were the operator of eight producing gas fields (Shell interest 30%-50%) and one field producing oil and gas (Shell interest 50%). Shell handed over interest and operations of the E11 field/hub, one of the eight producing gas fields, to Petronas at the end of December 2020. After a binding heads of agreement (HoA) in December 2019 to extend the MLNG PSC, the PSC and joint operating agreement (JOA) were amended on November 16, 2020. Under the extended MLNG PSC, as of January 1, 2021, Shell (with 40% interest) will continue to be the operator of the F6 and F23 hubs and the producing E8, F13 East and F13 West fields. Shell will also continue to be the operator for new exploration acreage and new fields (F22, F27, Selasih).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Shell is also the operator for Block SK318 PSC (Shell interest 75%), which contains the discovered Rosmari, Marjoram and Timi fields.</w:t>
      </w:r>
    </w:p>
    <w:p>
      <w:pPr>
        <w:spacing w:after="0" w:line="24" w:lineRule="exact"/>
        <w:rPr>
          <w:sz w:val="20"/>
          <w:szCs w:val="20"/>
          <w:color w:val="auto"/>
        </w:rPr>
      </w:pPr>
    </w:p>
    <w:p>
      <w:pPr>
        <w:spacing w:after="0"/>
        <w:rPr>
          <w:sz w:val="20"/>
          <w:szCs w:val="20"/>
          <w:color w:val="auto"/>
        </w:rPr>
      </w:pPr>
      <w:r>
        <w:rPr>
          <w:rFonts w:ascii="Arial" w:cs="Arial" w:eastAsia="Arial" w:hAnsi="Arial"/>
          <w:sz w:val="8"/>
          <w:szCs w:val="8"/>
          <w:color w:val="auto"/>
        </w:rPr>
        <w:t>In Block SK408 (Shell interest 30%), first gas was successfully produced from the Gorek field in May 2020 and from Bakong in June 2020.</w:t>
      </w:r>
    </w:p>
    <w:p>
      <w:pPr>
        <w:spacing w:after="0" w:line="14" w:lineRule="exact"/>
        <w:rPr>
          <w:sz w:val="20"/>
          <w:szCs w:val="20"/>
          <w:color w:val="auto"/>
        </w:rPr>
      </w:pPr>
    </w:p>
    <w:p>
      <w:pPr>
        <w:spacing w:after="0"/>
        <w:rPr>
          <w:sz w:val="20"/>
          <w:szCs w:val="20"/>
          <w:color w:val="auto"/>
        </w:rPr>
      </w:pPr>
      <w:r>
        <w:rPr>
          <w:rFonts w:ascii="Arial" w:cs="Arial" w:eastAsia="Arial" w:hAnsi="Arial"/>
          <w:sz w:val="10"/>
          <w:szCs w:val="10"/>
          <w:color w:val="auto"/>
        </w:rPr>
        <w:t>The block also contains the producing Larak gas field.</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For SK308 PSC, first oil and gas for phase 2 of the E6 project is expected in 2021.</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First gas is expected from the Pegaga field in Block SK320 (Shell interest 20%) by the fourth quarter of 2021.</w:t>
      </w:r>
    </w:p>
    <w:p>
      <w:pPr>
        <w:spacing w:after="0" w:line="155" w:lineRule="exact"/>
        <w:rPr>
          <w:sz w:val="20"/>
          <w:szCs w:val="20"/>
          <w:color w:val="auto"/>
        </w:rPr>
      </w:pPr>
    </w:p>
    <w:p>
      <w:pPr>
        <w:ind w:right="120"/>
        <w:spacing w:after="0" w:line="239" w:lineRule="auto"/>
        <w:rPr>
          <w:sz w:val="20"/>
          <w:szCs w:val="20"/>
          <w:color w:val="auto"/>
        </w:rPr>
      </w:pPr>
      <w:r>
        <w:rPr>
          <w:rFonts w:ascii="Arial" w:cs="Arial" w:eastAsia="Arial" w:hAnsi="Arial"/>
          <w:sz w:val="10"/>
          <w:szCs w:val="10"/>
          <w:color w:val="auto"/>
        </w:rPr>
        <w:t>Nearly all the gas produced offshore Sarawak is supplied to Malaysia LNG and to our gas-to-liquids plant in Bintulu. See “Integrated Gas” on pages 30-35.</w:t>
      </w:r>
    </w:p>
    <w:p>
      <w:pPr>
        <w:spacing w:after="0" w:line="149" w:lineRule="exact"/>
        <w:rPr>
          <w:sz w:val="20"/>
          <w:szCs w:val="20"/>
          <w:color w:val="auto"/>
        </w:rPr>
      </w:pPr>
    </w:p>
    <w:p>
      <w:pPr>
        <w:jc w:val="both"/>
        <w:ind w:right="280"/>
        <w:spacing w:after="0" w:line="234" w:lineRule="auto"/>
        <w:rPr>
          <w:sz w:val="20"/>
          <w:szCs w:val="20"/>
          <w:color w:val="auto"/>
        </w:rPr>
      </w:pPr>
      <w:r>
        <w:rPr>
          <w:rFonts w:ascii="Arial" w:cs="Arial" w:eastAsia="Arial" w:hAnsi="Arial"/>
          <w:sz w:val="10"/>
          <w:szCs w:val="10"/>
          <w:color w:val="auto"/>
        </w:rPr>
        <w:t>Shell has exploration interests in Block SK320. Exploration periods expired in June 2020 for Blocks SK318 and SK408, and in December 2020 for Block SK319. We also have a 40% interest in the amended 2011 Baram Delta enhanced oil recovery PSC, and a 50% interest in Block SK-307.</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Oman</w:t>
      </w:r>
    </w:p>
    <w:p>
      <w:pPr>
        <w:spacing w:after="0" w:line="1" w:lineRule="exact"/>
        <w:rPr>
          <w:sz w:val="20"/>
          <w:szCs w:val="20"/>
          <w:color w:val="auto"/>
        </w:rPr>
      </w:pPr>
    </w:p>
    <w:p>
      <w:pPr>
        <w:ind w:right="180"/>
        <w:spacing w:after="0" w:line="229" w:lineRule="auto"/>
        <w:rPr>
          <w:sz w:val="20"/>
          <w:szCs w:val="20"/>
          <w:color w:val="auto"/>
        </w:rPr>
      </w:pPr>
      <w:r>
        <w:rPr>
          <w:rFonts w:ascii="Arial" w:cs="Arial" w:eastAsia="Arial" w:hAnsi="Arial"/>
          <w:sz w:val="10"/>
          <w:szCs w:val="10"/>
          <w:color w:val="auto"/>
        </w:rPr>
        <w:t>We have a 34% interest in the Block 6 concession and its operator Petroleum Development Oman (PDO); the Omani government has a 60% interest. PDO is the operator of more than 200 oil fields, mainly located in central and southern Oman, over an area of 90,874 square kilometres.</w:t>
      </w:r>
    </w:p>
    <w:p>
      <w:pPr>
        <w:spacing w:after="0" w:line="149" w:lineRule="exact"/>
        <w:rPr>
          <w:sz w:val="20"/>
          <w:szCs w:val="20"/>
          <w:color w:val="auto"/>
        </w:rPr>
      </w:pPr>
    </w:p>
    <w:p>
      <w:pPr>
        <w:jc w:val="both"/>
        <w:ind w:right="120"/>
        <w:spacing w:after="0" w:line="320" w:lineRule="auto"/>
        <w:rPr>
          <w:sz w:val="20"/>
          <w:szCs w:val="20"/>
          <w:color w:val="auto"/>
        </w:rPr>
      </w:pPr>
      <w:r>
        <w:rPr>
          <w:rFonts w:ascii="Arial" w:cs="Arial" w:eastAsia="Arial" w:hAnsi="Arial"/>
          <w:sz w:val="8"/>
          <w:szCs w:val="8"/>
          <w:color w:val="auto"/>
        </w:rPr>
        <w:t>We have a 50% interest in the Block 42 exploration and production-sharing agreement. Oman Oil (OQ) has the remaining 50% interest. Shell is the operator of Block 42, an area of 31,068 square kilometres. We have signed an exploration and production-sharing agreement that makes us the operator and gives us a 100% working interest in Block 55, an area of 7,564 square kilometres.</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Russia</w:t>
      </w:r>
    </w:p>
    <w:p>
      <w:pPr>
        <w:spacing w:after="0" w:line="1" w:lineRule="exact"/>
        <w:rPr>
          <w:sz w:val="20"/>
          <w:szCs w:val="20"/>
          <w:color w:val="auto"/>
        </w:rPr>
      </w:pPr>
    </w:p>
    <w:p>
      <w:pPr>
        <w:ind w:right="180"/>
        <w:spacing w:after="0" w:line="309" w:lineRule="auto"/>
        <w:rPr>
          <w:sz w:val="20"/>
          <w:szCs w:val="20"/>
          <w:color w:val="auto"/>
        </w:rPr>
      </w:pPr>
      <w:r>
        <w:rPr>
          <w:rFonts w:ascii="Arial" w:cs="Arial" w:eastAsia="Arial" w:hAnsi="Arial"/>
          <w:sz w:val="8"/>
          <w:szCs w:val="8"/>
          <w:color w:val="auto"/>
        </w:rPr>
        <w:t>We have a 50% interest in Salym Petroleum Development N.V., a joint venture with Gazprom Neft that is developing the Salym fields in the Khanty Mansiysk Autonomous District of western Siberia. In March 2020, Salym Petroleum Development N.V. expanded its area of operations by acquiring a 100% interest in LLC Salymsky 2, holder of the licence for the Salymsky 2 block.</w:t>
      </w:r>
    </w:p>
    <w:p>
      <w:pPr>
        <w:spacing w:after="0" w:line="123" w:lineRule="exact"/>
        <w:rPr>
          <w:sz w:val="20"/>
          <w:szCs w:val="20"/>
          <w:color w:val="auto"/>
        </w:rPr>
      </w:pPr>
    </w:p>
    <w:p>
      <w:pPr>
        <w:ind w:right="320"/>
        <w:spacing w:after="0" w:line="307" w:lineRule="auto"/>
        <w:rPr>
          <w:sz w:val="20"/>
          <w:szCs w:val="20"/>
          <w:color w:val="auto"/>
        </w:rPr>
      </w:pPr>
      <w:r>
        <w:rPr>
          <w:rFonts w:ascii="Arial" w:cs="Arial" w:eastAsia="Arial" w:hAnsi="Arial"/>
          <w:sz w:val="8"/>
          <w:szCs w:val="8"/>
          <w:color w:val="auto"/>
        </w:rPr>
        <w:t>Shell and Gazprom Neft each have a 50% interest in the Khanty-Mansiysk Petroleum Alliance VOF partnership. Through this, Shell is a holder of 50% of shares in the JSC Khanty-Mansiysk Petroleum Alliance. Acquisition of the 50% participating interest in LLC Meretoyahaneftegaz from Gazprom Neft through the VOF was cancelled in April 2020. Since then, neither Khanty-Mansiysk Petroleum Alliance VOF partnership nor JSC Khanty-Mansiysk Petroleum Alliance has undertaken any significant activities.</w:t>
      </w:r>
    </w:p>
    <w:p>
      <w:pPr>
        <w:spacing w:after="0" w:line="123" w:lineRule="exact"/>
        <w:rPr>
          <w:sz w:val="20"/>
          <w:szCs w:val="20"/>
          <w:color w:val="auto"/>
        </w:rPr>
      </w:pPr>
    </w:p>
    <w:p>
      <w:pPr>
        <w:ind w:right="420"/>
        <w:spacing w:after="0" w:line="358" w:lineRule="auto"/>
        <w:rPr>
          <w:sz w:val="20"/>
          <w:szCs w:val="20"/>
          <w:color w:val="auto"/>
        </w:rPr>
      </w:pPr>
      <w:r>
        <w:rPr>
          <w:rFonts w:ascii="Arial" w:cs="Arial" w:eastAsia="Arial" w:hAnsi="Arial"/>
          <w:sz w:val="8"/>
          <w:szCs w:val="8"/>
          <w:color w:val="auto"/>
        </w:rPr>
        <w:t>Because European Union and US sanctions prohibit certain defined oil and gas activities in Russia, we have since 2014 suspended our support to Salym Petroleum Development N.V. and JSC Khanty-Mansiysk Petroleum Alliance in relation to shale oil activities.</w:t>
      </w:r>
    </w:p>
    <w:p>
      <w:pPr>
        <w:spacing w:after="0" w:line="95" w:lineRule="exact"/>
        <w:rPr>
          <w:sz w:val="20"/>
          <w:szCs w:val="20"/>
          <w:color w:val="auto"/>
        </w:rPr>
      </w:pPr>
    </w:p>
    <w:p>
      <w:pPr>
        <w:ind w:right="200"/>
        <w:spacing w:after="0" w:line="273" w:lineRule="auto"/>
        <w:rPr>
          <w:sz w:val="20"/>
          <w:szCs w:val="20"/>
          <w:color w:val="auto"/>
        </w:rPr>
      </w:pPr>
      <w:r>
        <w:rPr>
          <w:rFonts w:ascii="Arial" w:cs="Arial" w:eastAsia="Arial" w:hAnsi="Arial"/>
          <w:sz w:val="8"/>
          <w:szCs w:val="8"/>
          <w:color w:val="auto"/>
        </w:rPr>
        <w:t>In November 2020, Shell acquired from Gazprom Neft a 50% shareholding in LLC Gazpromneft-Aero Bryansk, which holds the Leskinsky and Pukhutsayakhsky licences on the Gydan peninsula. The joint venture will be managed by Gazprom Neft and Shell on a parity basis aiming to develop an exploration cluster in the north-eastern part of the Gydan Peninsula.</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United Arab Emirates</w:t>
      </w:r>
    </w:p>
    <w:p>
      <w:pPr>
        <w:spacing w:after="0" w:line="1" w:lineRule="exact"/>
        <w:rPr>
          <w:sz w:val="20"/>
          <w:szCs w:val="20"/>
          <w:color w:val="auto"/>
        </w:rPr>
      </w:pPr>
    </w:p>
    <w:p>
      <w:pPr>
        <w:ind w:right="380"/>
        <w:spacing w:after="0" w:line="337" w:lineRule="auto"/>
        <w:rPr>
          <w:sz w:val="20"/>
          <w:szCs w:val="20"/>
          <w:color w:val="auto"/>
        </w:rPr>
      </w:pPr>
      <w:r>
        <w:rPr>
          <w:rFonts w:ascii="Arial" w:cs="Arial" w:eastAsia="Arial" w:hAnsi="Arial"/>
          <w:sz w:val="8"/>
          <w:szCs w:val="8"/>
          <w:color w:val="auto"/>
        </w:rPr>
        <w:t>In Abu Dhabi, we have a 15% interest in the licence of ADNOC Gas Processing. ADNOC Gas Processing exports propane, butane and heavier-liquid hydrocarbons, which it extracts from the wet gas associated with the oil produced by ADNOC Onshore.</w:t>
      </w:r>
    </w:p>
    <w:p>
      <w:pPr>
        <w:spacing w:after="0" w:line="86" w:lineRule="exact"/>
        <w:rPr>
          <w:sz w:val="20"/>
          <w:szCs w:val="20"/>
          <w:color w:val="auto"/>
        </w:rPr>
      </w:pPr>
    </w:p>
    <w:p>
      <w:pPr>
        <w:spacing w:after="0"/>
        <w:rPr>
          <w:sz w:val="20"/>
          <w:szCs w:val="20"/>
          <w:color w:val="auto"/>
        </w:rPr>
      </w:pPr>
      <w:r>
        <w:rPr>
          <w:rFonts w:ascii="Arial" w:cs="Arial" w:eastAsia="Arial" w:hAnsi="Arial"/>
          <w:sz w:val="10"/>
          <w:szCs w:val="10"/>
          <w:color w:val="auto"/>
        </w:rPr>
        <w:t>Syria</w:t>
      </w:r>
    </w:p>
    <w:p>
      <w:pPr>
        <w:ind w:right="220"/>
        <w:spacing w:after="0" w:line="262" w:lineRule="auto"/>
        <w:rPr>
          <w:sz w:val="20"/>
          <w:szCs w:val="20"/>
          <w:color w:val="auto"/>
        </w:rPr>
      </w:pPr>
      <w:r>
        <w:rPr>
          <w:rFonts w:ascii="Arial" w:cs="Arial" w:eastAsia="Arial" w:hAnsi="Arial"/>
          <w:sz w:val="8"/>
          <w:szCs w:val="8"/>
          <w:color w:val="auto"/>
        </w:rPr>
        <w:t>Shell holds a 65% interest in Shell Petroleum Development B.V. (SSPD), a joint venture between Shell and the China National Petroleum Corporation (CNPC). SSPD holds a 31.3% interest in Al Furat Petroleum Company (AFPC), a Syrian joint stock company, which performs operations under SSPD contracts. In December 2011, in compliance with international</w:t>
      </w:r>
    </w:p>
    <w:p>
      <w:pPr>
        <w:spacing w:after="0" w:line="200"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39</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42" w:name="page43"/>
    <w:bookmarkEnd w:id="42"/>
    <w:p>
      <w:pPr>
        <w:ind w:left="8"/>
        <w:spacing w:after="0"/>
        <w:rPr>
          <w:sz w:val="20"/>
          <w:szCs w:val="20"/>
          <w:color w:val="auto"/>
        </w:rPr>
      </w:pPr>
      <w:r>
        <w:rPr>
          <w:rFonts w:ascii="Arial" w:cs="Arial" w:eastAsia="Arial" w:hAnsi="Arial"/>
          <w:sz w:val="8"/>
          <w:szCs w:val="8"/>
          <w:color w:val="auto"/>
        </w:rPr>
        <w:t>sanctions on Syria, including European Council Decision 2011/782/CFSP, Shell suspended all exploration and production activities in Syria</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0"/>
          <w:szCs w:val="10"/>
          <w:color w:val="auto"/>
        </w:rPr>
        <w:t>Rest of Asia</w:t>
      </w:r>
    </w:p>
    <w:p>
      <w:pPr>
        <w:ind w:left="8"/>
        <w:spacing w:after="0" w:line="208" w:lineRule="auto"/>
        <w:rPr>
          <w:sz w:val="20"/>
          <w:szCs w:val="20"/>
          <w:color w:val="auto"/>
        </w:rPr>
      </w:pPr>
      <w:r>
        <w:rPr>
          <w:rFonts w:ascii="Arial" w:cs="Arial" w:eastAsia="Arial" w:hAnsi="Arial"/>
          <w:sz w:val="10"/>
          <w:szCs w:val="10"/>
          <w:color w:val="auto"/>
        </w:rPr>
        <w:t>We also have interests in Kuwait, the Philippines and Turkey.</w:t>
      </w:r>
    </w:p>
    <w:p>
      <w:pPr>
        <w:ind w:left="8"/>
        <w:spacing w:after="0" w:line="237" w:lineRule="auto"/>
        <w:rPr>
          <w:sz w:val="20"/>
          <w:szCs w:val="20"/>
          <w:color w:val="auto"/>
        </w:rPr>
      </w:pPr>
      <w:r>
        <w:rPr>
          <w:rFonts w:ascii="Arial" w:cs="Arial" w:eastAsia="Arial" w:hAnsi="Arial"/>
          <w:sz w:val="10"/>
          <w:szCs w:val="10"/>
          <w:color w:val="auto"/>
        </w:rPr>
        <w:t>In the Philippines, Shell is exploring options to divest its interest in SC 38 (Malampaya).</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1"/>
          <w:szCs w:val="11"/>
          <w:color w:val="auto"/>
        </w:rPr>
        <w:t>Africa</w:t>
      </w:r>
    </w:p>
    <w:p>
      <w:pPr>
        <w:ind w:left="8"/>
        <w:spacing w:after="0" w:line="225" w:lineRule="auto"/>
        <w:rPr>
          <w:sz w:val="20"/>
          <w:szCs w:val="20"/>
          <w:color w:val="auto"/>
        </w:rPr>
      </w:pPr>
      <w:r>
        <w:rPr>
          <w:rFonts w:ascii="Arial" w:cs="Arial" w:eastAsia="Arial" w:hAnsi="Arial"/>
          <w:sz w:val="10"/>
          <w:szCs w:val="10"/>
          <w:color w:val="auto"/>
        </w:rPr>
        <w:t>Egypt</w:t>
      </w:r>
    </w:p>
    <w:p>
      <w:pPr>
        <w:ind w:left="8" w:right="20"/>
        <w:spacing w:after="0" w:line="295" w:lineRule="auto"/>
        <w:rPr>
          <w:sz w:val="20"/>
          <w:szCs w:val="20"/>
          <w:color w:val="auto"/>
        </w:rPr>
      </w:pPr>
      <w:r>
        <w:rPr>
          <w:rFonts w:ascii="Arial" w:cs="Arial" w:eastAsia="Arial" w:hAnsi="Arial"/>
          <w:sz w:val="8"/>
          <w:szCs w:val="8"/>
          <w:color w:val="auto"/>
        </w:rPr>
        <w:t>We have a 50% interest in the Badr Petroleum Company (BAPETCO), a joint venture between Shell and the Egyptian General Petroleum Corporation (EGPC). BAPETCO operates 10 oil- and gas-producing concessions and two exploration concessions, (North East Obaiyed, North Matruh), in the Western Desert. We also have onshore concessions with 100% Shell interest (West El Fayum, South East Horus, South Abu Sennan) and one producing concession extension (Bed 2-17). In 2021, we agreed to sell our onshore upstream assets in Egypt. The deal is expected to be completed in the second half of 2021.</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0"/>
          <w:szCs w:val="10"/>
          <w:color w:val="auto"/>
        </w:rPr>
        <w:t>Nigeria</w:t>
      </w:r>
    </w:p>
    <w:p>
      <w:pPr>
        <w:spacing w:after="0" w:line="1" w:lineRule="exact"/>
        <w:rPr>
          <w:sz w:val="20"/>
          <w:szCs w:val="20"/>
          <w:color w:val="auto"/>
        </w:rPr>
      </w:pPr>
    </w:p>
    <w:p>
      <w:pPr>
        <w:ind w:left="8"/>
        <w:spacing w:after="0"/>
        <w:rPr>
          <w:sz w:val="20"/>
          <w:szCs w:val="20"/>
          <w:color w:val="auto"/>
        </w:rPr>
      </w:pPr>
      <w:r>
        <w:rPr>
          <w:rFonts w:ascii="Arial" w:cs="Arial" w:eastAsia="Arial" w:hAnsi="Arial"/>
          <w:sz w:val="8"/>
          <w:szCs w:val="8"/>
          <w:color w:val="auto"/>
        </w:rPr>
        <w:t>Our share of production, onshore and offshore, in Nigeria was 223 thousand boe/d in 2020, compared with 266 thousand boe/d in 2019.</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0"/>
          <w:szCs w:val="10"/>
          <w:color w:val="auto"/>
        </w:rPr>
        <w:t>Security issues, sabotage and crude oil theft in the Niger Delta remained significant challenges in 2020.</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Onshore</w:t>
      </w:r>
    </w:p>
    <w:p>
      <w:pPr>
        <w:spacing w:after="0" w:line="1" w:lineRule="exact"/>
        <w:rPr>
          <w:sz w:val="20"/>
          <w:szCs w:val="20"/>
          <w:color w:val="auto"/>
        </w:rPr>
      </w:pPr>
    </w:p>
    <w:p>
      <w:pPr>
        <w:ind w:left="8" w:right="60"/>
        <w:spacing w:after="0" w:line="337" w:lineRule="auto"/>
        <w:rPr>
          <w:sz w:val="20"/>
          <w:szCs w:val="20"/>
          <w:color w:val="auto"/>
        </w:rPr>
      </w:pPr>
      <w:r>
        <w:rPr>
          <w:rFonts w:ascii="Arial" w:cs="Arial" w:eastAsia="Arial" w:hAnsi="Arial"/>
          <w:sz w:val="8"/>
          <w:szCs w:val="8"/>
          <w:color w:val="auto"/>
        </w:rPr>
        <w:t>The Shell Petroleum Development Company of Nigeria Limited (SPDC) is the operator of a joint venture (Shell interest 30%) that, after the completion of the sale of its interest in OML 17 on 15 January 2021, has 16 Niger Delta onshore oil mining leases (OML).</w:t>
      </w:r>
    </w:p>
    <w:p>
      <w:pPr>
        <w:spacing w:after="0" w:line="112" w:lineRule="exact"/>
        <w:rPr>
          <w:sz w:val="20"/>
          <w:szCs w:val="20"/>
          <w:color w:val="auto"/>
        </w:rPr>
      </w:pPr>
    </w:p>
    <w:p>
      <w:pPr>
        <w:ind w:left="8"/>
        <w:spacing w:after="0" w:line="297" w:lineRule="auto"/>
        <w:rPr>
          <w:sz w:val="20"/>
          <w:szCs w:val="20"/>
          <w:color w:val="auto"/>
        </w:rPr>
      </w:pPr>
      <w:r>
        <w:rPr>
          <w:rFonts w:ascii="Arial" w:cs="Arial" w:eastAsia="Arial" w:hAnsi="Arial"/>
          <w:sz w:val="8"/>
          <w:szCs w:val="8"/>
          <w:color w:val="auto"/>
        </w:rPr>
        <w:t>SPDC started litigation in May 2019 against the Federal Government (FGN) in the domestic court to challenge the non-renewal of oil mining lease 11 (OML 11). In August 2019, the Federal High Court ruled in favour of SPDC, affirming that it has fulfilled its obligations under the law for the renewal of OML 11. The court ordered the FGN to renew OML 11 for 20 years. In December 2019, the court refused to grant an application by the FGN to suspend the implementation of the judgement. The FGN appealed the court's decision and, in February 2021, the Court of Appeal granted a stay of the judgment in favour of FGN thereby suspending implementation pending a determination of the appeal on the merits. SPDC is taking various steps to protect its right to continue operating OML 11 pending a determination of the appeal.</w:t>
      </w:r>
    </w:p>
    <w:p>
      <w:pPr>
        <w:spacing w:after="0" w:line="127" w:lineRule="exact"/>
        <w:rPr>
          <w:sz w:val="20"/>
          <w:szCs w:val="20"/>
          <w:color w:val="auto"/>
        </w:rPr>
      </w:pPr>
    </w:p>
    <w:p>
      <w:pPr>
        <w:ind w:left="8"/>
        <w:spacing w:after="0" w:line="232" w:lineRule="auto"/>
        <w:rPr>
          <w:sz w:val="20"/>
          <w:szCs w:val="20"/>
          <w:color w:val="auto"/>
        </w:rPr>
      </w:pPr>
      <w:r>
        <w:rPr>
          <w:rFonts w:ascii="Arial" w:cs="Arial" w:eastAsia="Arial" w:hAnsi="Arial"/>
          <w:sz w:val="10"/>
          <w:szCs w:val="10"/>
          <w:color w:val="auto"/>
        </w:rPr>
        <w:t>In separate litigation, in August 2020, the Rivers State Government (RVSG) obtained judgment against SPDC. This judgement, by the Rivers State High Court, sought to reinforce the RVSG’s purported purchase of SPDC’s interest in OML 11. The purported purchase was said to have occurred through a court-auction sale arising out of the Ejema Ebubu (Ogoniland) community litigation. SPDC has appealed against the judgement of the Rivers State High Court.</w:t>
      </w:r>
    </w:p>
    <w:p>
      <w:pPr>
        <w:spacing w:after="0" w:line="149" w:lineRule="exact"/>
        <w:rPr>
          <w:sz w:val="20"/>
          <w:szCs w:val="20"/>
          <w:color w:val="auto"/>
        </w:rPr>
      </w:pPr>
    </w:p>
    <w:p>
      <w:pPr>
        <w:ind w:left="8" w:right="20"/>
        <w:spacing w:after="0" w:line="239" w:lineRule="auto"/>
        <w:rPr>
          <w:sz w:val="20"/>
          <w:szCs w:val="20"/>
          <w:color w:val="auto"/>
        </w:rPr>
      </w:pPr>
      <w:r>
        <w:rPr>
          <w:rFonts w:ascii="Arial" w:cs="Arial" w:eastAsia="Arial" w:hAnsi="Arial"/>
          <w:sz w:val="10"/>
          <w:szCs w:val="10"/>
          <w:color w:val="auto"/>
        </w:rPr>
        <w:t>Notwithstanding the FGN appeal and the judgement in favour of the RVSG, SPDC continues to operate OML 11. In doing so, it is supported by the August 2019 Federal High Court judgement in its favour, which remains in force.</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8"/>
          <w:szCs w:val="8"/>
          <w:color w:val="auto"/>
        </w:rPr>
        <w:t>SPDC supplies gas to Nigeria LNG Ltd (see “Integrated Gas” on pages 30-35) mainly through its Gbaran-Ubie and Soku projects.</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0"/>
          <w:szCs w:val="10"/>
          <w:color w:val="auto"/>
        </w:rPr>
        <w:t>Offshore</w:t>
      </w:r>
    </w:p>
    <w:p>
      <w:pPr>
        <w:spacing w:after="0" w:line="1" w:lineRule="exact"/>
        <w:rPr>
          <w:sz w:val="20"/>
          <w:szCs w:val="20"/>
          <w:color w:val="auto"/>
        </w:rPr>
      </w:pPr>
    </w:p>
    <w:p>
      <w:pPr>
        <w:ind w:left="8" w:right="160"/>
        <w:spacing w:after="0" w:line="281" w:lineRule="auto"/>
        <w:rPr>
          <w:sz w:val="20"/>
          <w:szCs w:val="20"/>
          <w:color w:val="auto"/>
        </w:rPr>
      </w:pPr>
      <w:r>
        <w:rPr>
          <w:rFonts w:ascii="Arial" w:cs="Arial" w:eastAsia="Arial" w:hAnsi="Arial"/>
          <w:sz w:val="8"/>
          <w:szCs w:val="8"/>
          <w:color w:val="auto"/>
        </w:rPr>
        <w:t>Our main offshore deep-water activities are carried out by Shell Nigeria Exploration and Production Company Limited (SNEPCO, Shell interest 100%). SNEPCO has interests in four deep-water blocks, three of which are under PSC terms: the producing assets Bonga (OML</w:t>
      </w:r>
    </w:p>
    <w:p>
      <w:pPr>
        <w:spacing w:after="0" w:line="1" w:lineRule="exact"/>
        <w:rPr>
          <w:sz w:val="20"/>
          <w:szCs w:val="20"/>
          <w:color w:val="auto"/>
        </w:rPr>
      </w:pPr>
    </w:p>
    <w:p>
      <w:pPr>
        <w:ind w:left="8" w:right="80" w:hanging="8"/>
        <w:spacing w:after="0" w:line="228" w:lineRule="auto"/>
        <w:tabs>
          <w:tab w:leader="none" w:pos="204" w:val="left"/>
        </w:tabs>
        <w:numPr>
          <w:ilvl w:val="0"/>
          <w:numId w:val="19"/>
        </w:numPr>
        <w:rPr>
          <w:rFonts w:ascii="Arial" w:cs="Arial" w:eastAsia="Arial" w:hAnsi="Arial"/>
          <w:sz w:val="10"/>
          <w:szCs w:val="10"/>
          <w:color w:val="auto"/>
        </w:rPr>
      </w:pPr>
      <w:r>
        <w:rPr>
          <w:rFonts w:ascii="Arial" w:cs="Arial" w:eastAsia="Arial" w:hAnsi="Arial"/>
          <w:sz w:val="10"/>
          <w:szCs w:val="10"/>
          <w:color w:val="auto"/>
        </w:rPr>
        <w:t>and Erha (OML 133) and the non-producing asset Bolia Chota (OML 135). SNEPCO operates OMLs 118 (including the Bonga field FPSO, Shell interest 55%) and 135 (Bolia and Doro, Shell interest 55%) and has a 43.8% non-operating interest in OML 133 (including the Erha FPSO). Separately, SNEPCO holds a 50% non-operating interest in oil prospecting licence (OPL) 245 (Zabazaba, Etan) under a production-sharing agreement.</w:t>
      </w:r>
    </w:p>
    <w:p>
      <w:pPr>
        <w:spacing w:after="0" w:line="20" w:lineRule="exact"/>
        <w:rPr>
          <w:sz w:val="20"/>
          <w:szCs w:val="20"/>
          <w:color w:val="auto"/>
        </w:rPr>
      </w:pPr>
      <w:r>
        <w:rPr>
          <w:sz w:val="20"/>
          <w:szCs w:val="20"/>
          <w:color w:val="auto"/>
        </w:rPr>
        <w:br w:type="column"/>
      </w:r>
    </w:p>
    <w:p>
      <w:pPr>
        <w:ind w:right="500"/>
        <w:spacing w:after="0" w:line="358" w:lineRule="auto"/>
        <w:rPr>
          <w:sz w:val="20"/>
          <w:szCs w:val="20"/>
          <w:color w:val="auto"/>
        </w:rPr>
      </w:pPr>
      <w:r>
        <w:rPr>
          <w:rFonts w:ascii="Arial" w:cs="Arial" w:eastAsia="Arial" w:hAnsi="Arial"/>
          <w:sz w:val="8"/>
          <w:szCs w:val="8"/>
          <w:color w:val="auto"/>
        </w:rPr>
        <w:t>Authorities in various countries are investigating our investment in Nigerian oil block OPL 245 and the 2011 settlement of litigation pertaining to that block. See Note 25 to the “Consolidated Financial Statements” on pages 206-208.</w:t>
      </w:r>
    </w:p>
    <w:p>
      <w:pPr>
        <w:spacing w:after="0" w:line="104" w:lineRule="exact"/>
        <w:rPr>
          <w:sz w:val="20"/>
          <w:szCs w:val="20"/>
          <w:color w:val="auto"/>
        </w:rPr>
      </w:pPr>
    </w:p>
    <w:p>
      <w:pPr>
        <w:ind w:right="260"/>
        <w:spacing w:after="0" w:line="239" w:lineRule="auto"/>
        <w:rPr>
          <w:sz w:val="20"/>
          <w:szCs w:val="20"/>
          <w:color w:val="auto"/>
        </w:rPr>
      </w:pPr>
      <w:r>
        <w:rPr>
          <w:rFonts w:ascii="Arial" w:cs="Arial" w:eastAsia="Arial" w:hAnsi="Arial"/>
          <w:sz w:val="10"/>
          <w:szCs w:val="10"/>
          <w:color w:val="auto"/>
        </w:rPr>
        <w:t>SPDC also has three shallow-water licences (OMLs 74, 77 and 79) and a 40% interest in the non-Shell-operated Sunlink joint venture that has one shallow-water licence (OML 144).</w:t>
      </w:r>
    </w:p>
    <w:p>
      <w:pPr>
        <w:spacing w:after="0" w:line="149" w:lineRule="exact"/>
        <w:rPr>
          <w:sz w:val="20"/>
          <w:szCs w:val="20"/>
          <w:color w:val="auto"/>
        </w:rPr>
      </w:pPr>
    </w:p>
    <w:p>
      <w:pPr>
        <w:ind w:right="140"/>
        <w:spacing w:after="0" w:line="292" w:lineRule="auto"/>
        <w:rPr>
          <w:sz w:val="20"/>
          <w:szCs w:val="20"/>
          <w:color w:val="auto"/>
        </w:rPr>
      </w:pPr>
      <w:r>
        <w:rPr>
          <w:rFonts w:ascii="Arial" w:cs="Arial" w:eastAsia="Arial" w:hAnsi="Arial"/>
          <w:sz w:val="8"/>
          <w:szCs w:val="8"/>
          <w:color w:val="auto"/>
        </w:rPr>
        <w:t>In our Nigerian operations, we face various risks and adverse conditions which could have a significant adverse effect on our operational performance, earnings, cash flows and financial condition (see “Risk factors” on pages 18-22. There are limitations to the extent to which we can mitigate these risks. We carry out regular portfolio assessments to remain a competitive player in Nigeria for the long term. We support the Nigerian government’s efforts to improve the efficiency, functionality and domestic benefits of Nigeria’s oil and gas industry. We monitor legislative developments and the security situation. We liaise with host communities, governmental and non-governmental organisations to help promote peace and safe operations. We continue to be transparent about how we manage and report spills, and how we deploy oil-spill response capability and technology. We implement a maintenance strategy to support sustainable equipment reliability and have begun a multi-year programme to reduce routine flaring of associated gas. See “Climate change and energy transition” on pages 73-85.</w:t>
      </w:r>
    </w:p>
    <w:p>
      <w:pPr>
        <w:spacing w:after="0" w:line="131" w:lineRule="exact"/>
        <w:rPr>
          <w:sz w:val="20"/>
          <w:szCs w:val="20"/>
          <w:color w:val="auto"/>
        </w:rPr>
      </w:pPr>
    </w:p>
    <w:p>
      <w:pPr>
        <w:spacing w:after="0"/>
        <w:rPr>
          <w:sz w:val="20"/>
          <w:szCs w:val="20"/>
          <w:color w:val="auto"/>
        </w:rPr>
      </w:pPr>
      <w:r>
        <w:rPr>
          <w:rFonts w:ascii="Arial" w:cs="Arial" w:eastAsia="Arial" w:hAnsi="Arial"/>
          <w:sz w:val="10"/>
          <w:szCs w:val="10"/>
          <w:color w:val="auto"/>
        </w:rPr>
        <w:t>Rest of Africa</w:t>
      </w:r>
    </w:p>
    <w:p>
      <w:pPr>
        <w:spacing w:after="0"/>
        <w:rPr>
          <w:sz w:val="20"/>
          <w:szCs w:val="20"/>
          <w:color w:val="auto"/>
        </w:rPr>
      </w:pPr>
      <w:r>
        <w:rPr>
          <w:rFonts w:ascii="Arial" w:cs="Arial" w:eastAsia="Arial" w:hAnsi="Arial"/>
          <w:sz w:val="10"/>
          <w:szCs w:val="10"/>
          <w:color w:val="auto"/>
        </w:rPr>
        <w:t>We also have interests in Algeria, Mauritania, Namibia, São Tomé and Principe, South Africa, Tanzania and Tunisia.</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North America</w:t>
      </w:r>
    </w:p>
    <w:p>
      <w:pPr>
        <w:spacing w:after="0" w:line="237" w:lineRule="auto"/>
        <w:rPr>
          <w:sz w:val="20"/>
          <w:szCs w:val="20"/>
          <w:color w:val="auto"/>
        </w:rPr>
      </w:pPr>
      <w:r>
        <w:rPr>
          <w:rFonts w:ascii="Arial" w:cs="Arial" w:eastAsia="Arial" w:hAnsi="Arial"/>
          <w:sz w:val="10"/>
          <w:szCs w:val="10"/>
          <w:color w:val="auto"/>
        </w:rPr>
        <w:t>Bitumen and synthetic crude oil</w:t>
      </w:r>
    </w:p>
    <w:p>
      <w:pPr>
        <w:spacing w:after="0" w:line="149" w:lineRule="exact"/>
        <w:rPr>
          <w:sz w:val="20"/>
          <w:szCs w:val="20"/>
          <w:color w:val="auto"/>
        </w:rPr>
      </w:pPr>
    </w:p>
    <w:p>
      <w:pPr>
        <w:ind w:right="220"/>
        <w:spacing w:after="0" w:line="239" w:lineRule="auto"/>
        <w:rPr>
          <w:sz w:val="20"/>
          <w:szCs w:val="20"/>
          <w:color w:val="auto"/>
        </w:rPr>
      </w:pPr>
      <w:r>
        <w:rPr>
          <w:rFonts w:ascii="Arial" w:cs="Arial" w:eastAsia="Arial" w:hAnsi="Arial"/>
          <w:sz w:val="10"/>
          <w:szCs w:val="10"/>
          <w:color w:val="auto"/>
        </w:rPr>
        <w:t>From January 1, 2020, our interest in bitumen and synthetic crude oil is reported in the Oil Products segment. Comparative information has not been restated.</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Canada</w:t>
      </w:r>
    </w:p>
    <w:p>
      <w:pPr>
        <w:spacing w:after="0" w:line="1" w:lineRule="exact"/>
        <w:rPr>
          <w:sz w:val="20"/>
          <w:szCs w:val="20"/>
          <w:color w:val="auto"/>
        </w:rPr>
      </w:pPr>
    </w:p>
    <w:p>
      <w:pPr>
        <w:spacing w:after="0"/>
        <w:rPr>
          <w:sz w:val="20"/>
          <w:szCs w:val="20"/>
          <w:color w:val="auto"/>
        </w:rPr>
      </w:pPr>
      <w:r>
        <w:rPr>
          <w:rFonts w:ascii="Arial" w:cs="Arial" w:eastAsia="Arial" w:hAnsi="Arial"/>
          <w:sz w:val="8"/>
          <w:szCs w:val="8"/>
          <w:color w:val="auto"/>
        </w:rPr>
        <w:t>We have mineral leases mainly in Alberta and British Columbia. We produce and market natural gas, natural gas liquids and condensate.</w:t>
      </w:r>
    </w:p>
    <w:p>
      <w:pPr>
        <w:spacing w:after="0" w:line="170" w:lineRule="exact"/>
        <w:rPr>
          <w:sz w:val="20"/>
          <w:szCs w:val="20"/>
          <w:color w:val="auto"/>
        </w:rPr>
      </w:pPr>
    </w:p>
    <w:p>
      <w:pPr>
        <w:spacing w:after="0"/>
        <w:rPr>
          <w:sz w:val="20"/>
          <w:szCs w:val="20"/>
          <w:color w:val="auto"/>
        </w:rPr>
      </w:pPr>
      <w:r>
        <w:rPr>
          <w:rFonts w:ascii="Arial" w:cs="Arial" w:eastAsia="Arial" w:hAnsi="Arial"/>
          <w:sz w:val="10"/>
          <w:szCs w:val="10"/>
          <w:color w:val="auto"/>
        </w:rPr>
        <w:t>Shales</w:t>
      </w:r>
    </w:p>
    <w:p>
      <w:pPr>
        <w:spacing w:after="0" w:line="1" w:lineRule="exact"/>
        <w:rPr>
          <w:sz w:val="20"/>
          <w:szCs w:val="20"/>
          <w:color w:val="auto"/>
        </w:rPr>
      </w:pPr>
    </w:p>
    <w:p>
      <w:pPr>
        <w:ind w:right="140"/>
        <w:spacing w:after="0" w:line="225" w:lineRule="auto"/>
        <w:rPr>
          <w:sz w:val="20"/>
          <w:szCs w:val="20"/>
          <w:color w:val="auto"/>
        </w:rPr>
      </w:pPr>
      <w:r>
        <w:rPr>
          <w:rFonts w:ascii="Arial" w:cs="Arial" w:eastAsia="Arial" w:hAnsi="Arial"/>
          <w:sz w:val="10"/>
          <w:szCs w:val="10"/>
          <w:color w:val="auto"/>
        </w:rPr>
        <w:t>We have around 1.3 million net mineral acres, primarily in the Duvernay play in Alberta and the Montney play in British Columbia. Our Groundbirch asset in British Columbia will be an integral part of the LNG Canada value chain. We currently operate four natural gas processing area facilities in British Columbia. In 2021 we agreed to sell our Duvernay shale light oil position in Alberta. The deal is expected to be completed in the second quarter of 2021.</w:t>
      </w:r>
    </w:p>
    <w:p>
      <w:pPr>
        <w:spacing w:after="0"/>
        <w:rPr>
          <w:sz w:val="20"/>
          <w:szCs w:val="20"/>
          <w:color w:val="auto"/>
        </w:rPr>
      </w:pPr>
      <w:r>
        <w:rPr>
          <w:rFonts w:ascii="Arial" w:cs="Arial" w:eastAsia="Arial" w:hAnsi="Arial"/>
          <w:sz w:val="10"/>
          <w:szCs w:val="10"/>
          <w:color w:val="auto"/>
        </w:rPr>
        <w:t>In 2020, we drilled and brought 17 wells on stream. We have interests in 757 productive wells.</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USA</w:t>
      </w:r>
    </w:p>
    <w:p>
      <w:pPr>
        <w:spacing w:after="0" w:line="1" w:lineRule="exact"/>
        <w:rPr>
          <w:sz w:val="20"/>
          <w:szCs w:val="20"/>
          <w:color w:val="auto"/>
        </w:rPr>
      </w:pPr>
    </w:p>
    <w:p>
      <w:pPr>
        <w:ind w:right="120"/>
        <w:spacing w:after="0" w:line="295" w:lineRule="auto"/>
        <w:rPr>
          <w:sz w:val="20"/>
          <w:szCs w:val="20"/>
          <w:color w:val="auto"/>
        </w:rPr>
      </w:pPr>
      <w:r>
        <w:rPr>
          <w:rFonts w:ascii="Arial" w:cs="Arial" w:eastAsia="Arial" w:hAnsi="Arial"/>
          <w:sz w:val="8"/>
          <w:szCs w:val="8"/>
          <w:color w:val="auto"/>
        </w:rPr>
        <w:t>We produce oil and gas in deep water in the Gulf of Mexico, heavy oil in California and oil and gas in Texas. The majority of our oil and gas production interests are acquired under leases granted by the owner of the minerals underlying the relevant acreage, including many leases for federal offshore tracts. Such leases usually run on an initial fixed term that is automatically extended by the establishment of production for as long as production continues, subject to compliance with the terms of the lease (including, in the case of federal leases, extensive regulations imposed by federal law). Our total share of production in the USA was 571 thousand boe/d in 2020.</w:t>
      </w:r>
    </w:p>
    <w:p>
      <w:pPr>
        <w:spacing w:after="0" w:line="129" w:lineRule="exact"/>
        <w:rPr>
          <w:sz w:val="20"/>
          <w:szCs w:val="20"/>
          <w:color w:val="auto"/>
        </w:rPr>
      </w:pPr>
    </w:p>
    <w:p>
      <w:pPr>
        <w:spacing w:after="0"/>
        <w:rPr>
          <w:sz w:val="20"/>
          <w:szCs w:val="20"/>
          <w:color w:val="auto"/>
        </w:rPr>
      </w:pPr>
      <w:r>
        <w:rPr>
          <w:rFonts w:ascii="Arial" w:cs="Arial" w:eastAsia="Arial" w:hAnsi="Arial"/>
          <w:sz w:val="10"/>
          <w:szCs w:val="10"/>
          <w:color w:val="auto"/>
        </w:rPr>
        <w:t>Gulf of Mexico</w:t>
      </w:r>
    </w:p>
    <w:p>
      <w:pPr>
        <w:spacing w:after="0" w:line="1" w:lineRule="exact"/>
        <w:rPr>
          <w:sz w:val="20"/>
          <w:szCs w:val="20"/>
          <w:color w:val="auto"/>
        </w:rPr>
      </w:pPr>
    </w:p>
    <w:p>
      <w:pPr>
        <w:jc w:val="both"/>
        <w:ind w:right="220"/>
        <w:spacing w:after="0" w:line="309" w:lineRule="auto"/>
        <w:rPr>
          <w:sz w:val="20"/>
          <w:szCs w:val="20"/>
          <w:color w:val="auto"/>
        </w:rPr>
      </w:pPr>
      <w:r>
        <w:rPr>
          <w:rFonts w:ascii="Arial" w:cs="Arial" w:eastAsia="Arial" w:hAnsi="Arial"/>
          <w:sz w:val="8"/>
          <w:szCs w:val="8"/>
          <w:color w:val="auto"/>
        </w:rPr>
        <w:t>The Gulf of Mexico is our major production area in the USA and accounts for around 55% of our oil and gas production in the country. We have an interest in around 315 active federal offshore leases and secured a further 19 blocks as an outcome of the US Gulf of Mexico Lease Sale 256 held in November 2020. Our share of production averaged 313 thousand boe/d in 2020.</w:t>
      </w:r>
    </w:p>
    <w:p>
      <w:pPr>
        <w:spacing w:after="0" w:line="245" w:lineRule="exact"/>
        <w:rPr>
          <w:sz w:val="20"/>
          <w:szCs w:val="20"/>
          <w:color w:val="auto"/>
        </w:rPr>
      </w:pPr>
    </w:p>
    <w:p>
      <w:pPr>
        <w:sectPr>
          <w:pgSz w:w="11900" w:h="16838" w:orient="portrait"/>
          <w:cols w:equalWidth="0" w:num="2">
            <w:col w:w="5428" w:space="300"/>
            <w:col w:w="5580"/>
          </w:cols>
          <w:pgMar w:left="292" w:top="631" w:right="299" w:bottom="1440" w:gutter="0" w:footer="0" w:header="0"/>
        </w:sect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40</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31" w:right="299" w:bottom="1440" w:gutter="0" w:footer="0" w:header="0"/>
          <w:type w:val="continuous"/>
        </w:sectPr>
      </w:pPr>
    </w:p>
    <w:bookmarkStart w:id="43" w:name="page44"/>
    <w:bookmarkEnd w:id="43"/>
    <w:p>
      <w:pPr>
        <w:ind w:right="360"/>
        <w:spacing w:after="0" w:line="288" w:lineRule="auto"/>
        <w:rPr>
          <w:sz w:val="20"/>
          <w:szCs w:val="20"/>
          <w:color w:val="auto"/>
        </w:rPr>
      </w:pPr>
      <w:r>
        <w:rPr>
          <w:rFonts w:ascii="Arial" w:cs="Arial" w:eastAsia="Arial" w:hAnsi="Arial"/>
          <w:sz w:val="8"/>
          <w:szCs w:val="8"/>
          <w:color w:val="auto"/>
        </w:rPr>
        <w:t>We are the operator of eight production hubs - Mars, Olympus, Auger, Perdido, Ursa, Enchilada/Salsa, Appomattox and Stones - and the West Delta 143 processing facilities (Shell interests ranging from 33% to 100%). We continue to produce from Coulomb (Shell interest 100%) which ties into the Na Kika platform, where Shell has a 50% non-operating interest.</w:t>
      </w:r>
    </w:p>
    <w:p>
      <w:pPr>
        <w:spacing w:after="0"/>
        <w:rPr>
          <w:sz w:val="20"/>
          <w:szCs w:val="20"/>
          <w:color w:val="auto"/>
        </w:rPr>
      </w:pPr>
      <w:r>
        <w:rPr>
          <w:rFonts w:ascii="Arial" w:cs="Arial" w:eastAsia="Arial" w:hAnsi="Arial"/>
          <w:sz w:val="10"/>
          <w:szCs w:val="10"/>
          <w:color w:val="auto"/>
        </w:rPr>
        <w:t>We continued exploration, development and abandonment activities in the Gulf of Mexico in 2020.</w:t>
      </w:r>
    </w:p>
    <w:p>
      <w:pPr>
        <w:spacing w:after="0" w:line="148" w:lineRule="exact"/>
        <w:rPr>
          <w:sz w:val="20"/>
          <w:szCs w:val="20"/>
          <w:color w:val="auto"/>
        </w:rPr>
      </w:pPr>
    </w:p>
    <w:p>
      <w:pPr>
        <w:ind w:right="220"/>
        <w:spacing w:after="0" w:line="232" w:lineRule="auto"/>
        <w:rPr>
          <w:sz w:val="20"/>
          <w:szCs w:val="20"/>
          <w:color w:val="auto"/>
        </w:rPr>
      </w:pPr>
      <w:r>
        <w:rPr>
          <w:rFonts w:ascii="Arial" w:cs="Arial" w:eastAsia="Arial" w:hAnsi="Arial"/>
          <w:sz w:val="10"/>
          <w:szCs w:val="10"/>
          <w:color w:val="auto"/>
        </w:rPr>
        <w:t>We continued the ramp-up of the Appomattox floating production system, which started production in May 2019. We also advanced the development of Powernap and Vito, which are both in the execution phase. Powernap, a subsea tie-back to the Olympus production hub, is expected to produce up to 35 thousand boe/d. Vito, Shell’s eleventh deep-water project in the Gulf of Mexico, is expected to achieve first oil in 2022 and reach around 100 thousand boe/d at peak rates.</w:t>
      </w:r>
    </w:p>
    <w:p>
      <w:pPr>
        <w:spacing w:after="0" w:line="149" w:lineRule="exact"/>
        <w:rPr>
          <w:sz w:val="20"/>
          <w:szCs w:val="20"/>
          <w:color w:val="auto"/>
        </w:rPr>
      </w:pPr>
    </w:p>
    <w:p>
      <w:pPr>
        <w:ind w:right="220"/>
        <w:spacing w:after="0" w:line="358" w:lineRule="auto"/>
        <w:rPr>
          <w:sz w:val="20"/>
          <w:szCs w:val="20"/>
          <w:color w:val="auto"/>
        </w:rPr>
      </w:pPr>
      <w:r>
        <w:rPr>
          <w:rFonts w:ascii="Arial" w:cs="Arial" w:eastAsia="Arial" w:hAnsi="Arial"/>
          <w:sz w:val="8"/>
          <w:szCs w:val="8"/>
          <w:color w:val="auto"/>
        </w:rPr>
        <w:t>The 2020 Atlantic hurricane season adversely impacted production at our US Gulf of Mexico assets. We experienced extended shutdowns at our Auger and Enchilada/Salsa production hubs because of the storms and the subsequent recovery efforts.</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Shales</w:t>
      </w:r>
    </w:p>
    <w:p>
      <w:pPr>
        <w:spacing w:after="0" w:line="1" w:lineRule="exact"/>
        <w:rPr>
          <w:sz w:val="20"/>
          <w:szCs w:val="20"/>
          <w:color w:val="auto"/>
        </w:rPr>
      </w:pPr>
    </w:p>
    <w:p>
      <w:pPr>
        <w:ind w:right="200"/>
        <w:spacing w:after="0" w:line="228" w:lineRule="auto"/>
        <w:rPr>
          <w:sz w:val="20"/>
          <w:szCs w:val="20"/>
          <w:color w:val="auto"/>
        </w:rPr>
      </w:pPr>
      <w:r>
        <w:rPr>
          <w:rFonts w:ascii="Arial" w:cs="Arial" w:eastAsia="Arial" w:hAnsi="Arial"/>
          <w:sz w:val="10"/>
          <w:szCs w:val="10"/>
          <w:color w:val="auto"/>
        </w:rPr>
        <w:t>We have around 410 thousand net mineral acres. Our activity is focused in the Permian Basin, following our divestment of the Appalachia asset. This was completed in July 2020 and covered the sale of around 443 thousand net leasehold acres across Pennsylvania, with around 358 producing wells in the Marcellus and Utica shale formations, and associated facilities in Tioga County. The transaction also included the transfer of owned and operated midstream infrastructure.</w:t>
      </w:r>
    </w:p>
    <w:p>
      <w:pPr>
        <w:spacing w:after="0" w:line="149" w:lineRule="exact"/>
        <w:rPr>
          <w:sz w:val="20"/>
          <w:szCs w:val="20"/>
          <w:color w:val="auto"/>
        </w:rPr>
      </w:pPr>
    </w:p>
    <w:p>
      <w:pPr>
        <w:ind w:right="480"/>
        <w:spacing w:after="0" w:line="239" w:lineRule="auto"/>
        <w:rPr>
          <w:sz w:val="20"/>
          <w:szCs w:val="20"/>
          <w:color w:val="auto"/>
        </w:rPr>
      </w:pPr>
      <w:r>
        <w:rPr>
          <w:rFonts w:ascii="Arial" w:cs="Arial" w:eastAsia="Arial" w:hAnsi="Arial"/>
          <w:sz w:val="10"/>
          <w:szCs w:val="10"/>
          <w:color w:val="auto"/>
        </w:rPr>
        <w:t>In 2020, we drilled and brought on stream 181 wells. We have interests in 1,588 productive wells and operate eight central processing facilities.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California</w:t>
      </w:r>
    </w:p>
    <w:p>
      <w:pPr>
        <w:spacing w:after="0" w:line="1" w:lineRule="exact"/>
        <w:rPr>
          <w:sz w:val="20"/>
          <w:szCs w:val="20"/>
          <w:color w:val="auto"/>
        </w:rPr>
      </w:pPr>
    </w:p>
    <w:p>
      <w:pPr>
        <w:ind w:right="400"/>
        <w:spacing w:after="0" w:line="231" w:lineRule="auto"/>
        <w:rPr>
          <w:sz w:val="20"/>
          <w:szCs w:val="20"/>
          <w:color w:val="auto"/>
        </w:rPr>
      </w:pPr>
      <w:r>
        <w:rPr>
          <w:rFonts w:ascii="Arial" w:cs="Arial" w:eastAsia="Arial" w:hAnsi="Arial"/>
          <w:sz w:val="10"/>
          <w:szCs w:val="10"/>
          <w:color w:val="auto"/>
        </w:rPr>
        <w:t>We have a 51.8% interest in Aera Energy LLC which operates around 13 thousand wells in the San Joaquin Valley in California, mostly producing heavy oil and associated gas.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Alaska</w:t>
      </w:r>
    </w:p>
    <w:p>
      <w:pPr>
        <w:spacing w:after="0" w:line="1" w:lineRule="exact"/>
        <w:rPr>
          <w:sz w:val="20"/>
          <w:szCs w:val="20"/>
          <w:color w:val="auto"/>
        </w:rPr>
      </w:pPr>
    </w:p>
    <w:p>
      <w:pPr>
        <w:ind w:right="220"/>
        <w:spacing w:after="0" w:line="228" w:lineRule="auto"/>
        <w:rPr>
          <w:sz w:val="20"/>
          <w:szCs w:val="20"/>
          <w:color w:val="auto"/>
        </w:rPr>
      </w:pPr>
      <w:r>
        <w:rPr>
          <w:rFonts w:ascii="Arial" w:cs="Arial" w:eastAsia="Arial" w:hAnsi="Arial"/>
          <w:sz w:val="10"/>
          <w:szCs w:val="10"/>
          <w:color w:val="auto"/>
        </w:rPr>
        <w:t>We have sold or relinquished all frontier licences in Alaska and have no plans for frontier exploration offshore Alaska. We retain two exploration acreage positions in the long-established North Slope area of Alaska. One is a non-operating interest of 50% in 13 federal leases held since 2007 and operated by ENI. The other position consists of 18 state leases in nearby West Harrison Bay that have been held since 2012, which we plan to turn over to an alternative operator.</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Rest of North America</w:t>
      </w:r>
    </w:p>
    <w:p>
      <w:pPr>
        <w:spacing w:after="0" w:line="1" w:lineRule="exact"/>
        <w:rPr>
          <w:sz w:val="20"/>
          <w:szCs w:val="20"/>
          <w:color w:val="auto"/>
        </w:rPr>
      </w:pPr>
    </w:p>
    <w:p>
      <w:pPr>
        <w:ind w:right="160"/>
        <w:spacing w:after="0" w:line="231" w:lineRule="auto"/>
        <w:rPr>
          <w:sz w:val="20"/>
          <w:szCs w:val="20"/>
          <w:color w:val="auto"/>
        </w:rPr>
      </w:pPr>
      <w:r>
        <w:rPr>
          <w:rFonts w:ascii="Arial" w:cs="Arial" w:eastAsia="Arial" w:hAnsi="Arial"/>
          <w:sz w:val="10"/>
          <w:szCs w:val="10"/>
          <w:color w:val="auto"/>
        </w:rPr>
        <w:t>Shell has equity in nine deep-water licences and one shallow-water licence in Mexico (Shell interest 40%-100%). We are currently evaluating these positions through exploration drilling.</w:t>
      </w:r>
    </w:p>
    <w:p>
      <w:pPr>
        <w:spacing w:after="0" w:line="149" w:lineRule="exact"/>
        <w:rPr>
          <w:sz w:val="20"/>
          <w:szCs w:val="20"/>
          <w:color w:val="auto"/>
        </w:rPr>
      </w:pPr>
    </w:p>
    <w:p>
      <w:pPr>
        <w:ind w:right="260"/>
        <w:spacing w:after="0" w:line="234" w:lineRule="auto"/>
        <w:rPr>
          <w:sz w:val="20"/>
          <w:szCs w:val="20"/>
          <w:color w:val="auto"/>
        </w:rPr>
      </w:pPr>
      <w:r>
        <w:rPr>
          <w:rFonts w:ascii="Arial" w:cs="Arial" w:eastAsia="Arial" w:hAnsi="Arial"/>
          <w:sz w:val="10"/>
          <w:szCs w:val="10"/>
          <w:color w:val="auto"/>
        </w:rPr>
        <w:t>In November 2020, we agreed a farm-in transaction with the China National Offshore Oil Corporation (CNOOC) E&amp;P Mexico, acquiring a participating interest (Shell interest 30%) in the deep-water round 1.4 Block 4 exploration licence in the offshore Mexico Perdido. This transaction is subject to regulatory approval.</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South America</w:t>
      </w:r>
    </w:p>
    <w:p>
      <w:pPr>
        <w:spacing w:after="0" w:line="225" w:lineRule="auto"/>
        <w:rPr>
          <w:sz w:val="20"/>
          <w:szCs w:val="20"/>
          <w:color w:val="auto"/>
        </w:rPr>
      </w:pPr>
      <w:r>
        <w:rPr>
          <w:rFonts w:ascii="Arial" w:cs="Arial" w:eastAsia="Arial" w:hAnsi="Arial"/>
          <w:sz w:val="10"/>
          <w:szCs w:val="10"/>
          <w:color w:val="auto"/>
        </w:rPr>
        <w:t>Argentina</w:t>
      </w:r>
    </w:p>
    <w:p>
      <w:pPr>
        <w:spacing w:after="0" w:line="226" w:lineRule="auto"/>
        <w:rPr>
          <w:sz w:val="20"/>
          <w:szCs w:val="20"/>
          <w:color w:val="auto"/>
        </w:rPr>
      </w:pPr>
      <w:r>
        <w:rPr>
          <w:rFonts w:ascii="Arial" w:cs="Arial" w:eastAsia="Arial" w:hAnsi="Arial"/>
          <w:sz w:val="10"/>
          <w:szCs w:val="10"/>
          <w:color w:val="auto"/>
        </w:rPr>
        <w:t>Shales</w:t>
      </w:r>
    </w:p>
    <w:p>
      <w:pPr>
        <w:ind w:right="260"/>
        <w:spacing w:after="0" w:line="228" w:lineRule="auto"/>
        <w:rPr>
          <w:sz w:val="20"/>
          <w:szCs w:val="20"/>
          <w:color w:val="auto"/>
        </w:rPr>
      </w:pPr>
      <w:r>
        <w:rPr>
          <w:rFonts w:ascii="Arial" w:cs="Arial" w:eastAsia="Arial" w:hAnsi="Arial"/>
          <w:sz w:val="10"/>
          <w:szCs w:val="10"/>
          <w:color w:val="auto"/>
        </w:rPr>
        <w:t>We have more than 178 thousand net mineral acres in the Vaca Muerta Basin, a liquids- and gas-rich play located in the Neuquén Province. The operated acreage includes blocks in Cruz de Lorena and Sierras Blancas (Shell interest 90%), Coiron Amargo Sur Oeste (Shell interest 80%), and Bajada de Añelo (Shell interest 50%). We have a 45% non-Shell-operated interest in the Rincon La Ceniza and La Escalonada blocks.</w:t>
      </w:r>
    </w:p>
    <w:p>
      <w:pPr>
        <w:spacing w:after="0" w:line="149" w:lineRule="exact"/>
        <w:rPr>
          <w:sz w:val="20"/>
          <w:szCs w:val="20"/>
          <w:color w:val="auto"/>
        </w:rPr>
      </w:pPr>
    </w:p>
    <w:p>
      <w:pPr>
        <w:ind w:right="220"/>
        <w:spacing w:after="0" w:line="239" w:lineRule="auto"/>
        <w:rPr>
          <w:sz w:val="20"/>
          <w:szCs w:val="20"/>
          <w:color w:val="auto"/>
        </w:rPr>
      </w:pPr>
      <w:r>
        <w:rPr>
          <w:rFonts w:ascii="Arial" w:cs="Arial" w:eastAsia="Arial" w:hAnsi="Arial"/>
          <w:sz w:val="10"/>
          <w:szCs w:val="10"/>
          <w:color w:val="auto"/>
        </w:rPr>
        <w:t>In 2020, we drilled and brought 23 wells on stream. We have interests in 88 producing wells. We have a 90% interest in our operated Sierras Blancas/Cruz de Lorena central processing facility.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2100" w:type="dxa"/>
            <w:vAlign w:val="bottom"/>
          </w:tcPr>
          <w:p>
            <w:pPr>
              <w:jc w:val="right"/>
              <w:spacing w:after="0"/>
              <w:rPr>
                <w:sz w:val="20"/>
                <w:szCs w:val="20"/>
                <w:color w:val="auto"/>
              </w:rPr>
            </w:pPr>
            <w:r>
              <w:rPr>
                <w:rFonts w:ascii="Arial" w:cs="Arial" w:eastAsia="Arial" w:hAnsi="Arial"/>
                <w:sz w:val="7"/>
                <w:szCs w:val="7"/>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39" w:lineRule="auto"/>
        <w:rPr>
          <w:sz w:val="20"/>
          <w:szCs w:val="20"/>
          <w:color w:val="auto"/>
        </w:rPr>
      </w:pPr>
      <w:r>
        <w:rPr>
          <w:rFonts w:ascii="Arial" w:cs="Arial" w:eastAsia="Arial" w:hAnsi="Arial"/>
          <w:sz w:val="10"/>
          <w:szCs w:val="10"/>
          <w:color w:val="auto"/>
        </w:rPr>
        <w:t>In 2020, in a 50:50 partnership with Equinor, we acquired a 60% working interest (Shell 30% interest) in the Bandurria Sur block, operated by YPF S.A., in the Vaca Muerta Basin.</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Offshore</w:t>
      </w:r>
    </w:p>
    <w:p>
      <w:pPr>
        <w:spacing w:after="0"/>
        <w:rPr>
          <w:sz w:val="20"/>
          <w:szCs w:val="20"/>
          <w:color w:val="auto"/>
        </w:rPr>
      </w:pPr>
      <w:r>
        <w:rPr>
          <w:rFonts w:ascii="Arial" w:cs="Arial" w:eastAsia="Arial" w:hAnsi="Arial"/>
          <w:sz w:val="10"/>
          <w:szCs w:val="10"/>
          <w:color w:val="auto"/>
        </w:rPr>
        <w:t>We have two frontier exploration blocks offshore Argentina. For both blocks, Shell is the operator with a 60% interest.</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Brazil</w:t>
      </w:r>
    </w:p>
    <w:p>
      <w:pPr>
        <w:spacing w:after="0"/>
        <w:rPr>
          <w:sz w:val="20"/>
          <w:szCs w:val="20"/>
          <w:color w:val="auto"/>
        </w:rPr>
      </w:pPr>
      <w:r>
        <w:rPr>
          <w:rFonts w:ascii="Arial" w:cs="Arial" w:eastAsia="Arial" w:hAnsi="Arial"/>
          <w:sz w:val="10"/>
          <w:szCs w:val="10"/>
          <w:color w:val="auto"/>
        </w:rPr>
        <w:t>Our total share of production in Brazil was an average of 394 thousand boe/d in 2020.</w:t>
      </w:r>
    </w:p>
    <w:p>
      <w:pPr>
        <w:spacing w:after="0" w:line="142" w:lineRule="exact"/>
        <w:rPr>
          <w:sz w:val="20"/>
          <w:szCs w:val="20"/>
          <w:color w:val="auto"/>
        </w:rPr>
      </w:pPr>
    </w:p>
    <w:p>
      <w:pPr>
        <w:spacing w:after="0"/>
        <w:rPr>
          <w:sz w:val="20"/>
          <w:szCs w:val="20"/>
          <w:color w:val="auto"/>
        </w:rPr>
      </w:pPr>
      <w:r>
        <w:rPr>
          <w:rFonts w:ascii="Arial" w:cs="Arial" w:eastAsia="Arial" w:hAnsi="Arial"/>
          <w:sz w:val="10"/>
          <w:szCs w:val="10"/>
          <w:color w:val="auto"/>
        </w:rPr>
        <w:t>Our operated portfolio consists of offshore assets in:</w:t>
      </w:r>
    </w:p>
    <w:p>
      <w:pPr>
        <w:ind w:left="440" w:hanging="215"/>
        <w:spacing w:after="0" w:line="236" w:lineRule="auto"/>
        <w:tabs>
          <w:tab w:leader="none" w:pos="440" w:val="left"/>
        </w:tabs>
        <w:numPr>
          <w:ilvl w:val="0"/>
          <w:numId w:val="20"/>
        </w:numPr>
        <w:rPr>
          <w:rFonts w:ascii="Arial" w:cs="Arial" w:eastAsia="Arial" w:hAnsi="Arial"/>
          <w:sz w:val="13"/>
          <w:szCs w:val="13"/>
          <w:color w:val="auto"/>
        </w:rPr>
      </w:pPr>
      <w:r>
        <w:rPr>
          <w:rFonts w:ascii="Arial" w:cs="Arial" w:eastAsia="Arial" w:hAnsi="Arial"/>
          <w:sz w:val="10"/>
          <w:szCs w:val="10"/>
          <w:color w:val="auto"/>
        </w:rPr>
        <w:t>the Bijupirá and Salema fields (Shell interest 80%) and the BC-10 field (Shell interest 50%) in the Campos Basin;</w:t>
      </w:r>
    </w:p>
    <w:p>
      <w:pPr>
        <w:spacing w:after="0" w:line="13" w:lineRule="exact"/>
        <w:rPr>
          <w:rFonts w:ascii="Arial" w:cs="Arial" w:eastAsia="Arial" w:hAnsi="Arial"/>
          <w:sz w:val="13"/>
          <w:szCs w:val="13"/>
          <w:color w:val="auto"/>
        </w:rPr>
      </w:pPr>
    </w:p>
    <w:p>
      <w:pPr>
        <w:ind w:left="440" w:hanging="215"/>
        <w:spacing w:after="0" w:line="219" w:lineRule="auto"/>
        <w:tabs>
          <w:tab w:leader="none" w:pos="432" w:val="left"/>
        </w:tabs>
        <w:numPr>
          <w:ilvl w:val="0"/>
          <w:numId w:val="20"/>
        </w:numPr>
        <w:rPr>
          <w:rFonts w:ascii="Arial" w:cs="Arial" w:eastAsia="Arial" w:hAnsi="Arial"/>
          <w:sz w:val="12"/>
          <w:szCs w:val="12"/>
          <w:color w:val="auto"/>
        </w:rPr>
      </w:pPr>
      <w:r>
        <w:rPr>
          <w:rFonts w:ascii="Arial" w:cs="Arial" w:eastAsia="Arial" w:hAnsi="Arial"/>
          <w:sz w:val="9"/>
          <w:szCs w:val="9"/>
          <w:color w:val="auto"/>
        </w:rPr>
        <w:t>the Gato do Mato field in the Santos Basin and the adjacent Sul de Gato do Mato area (Shell interest 50%, after the completed sale of a 30% stake to Ecopetrol in 2020), subject to unitisation, with development options under evaluation; and</w:t>
      </w:r>
    </w:p>
    <w:p>
      <w:pPr>
        <w:ind w:left="440" w:hanging="215"/>
        <w:spacing w:after="0" w:line="202" w:lineRule="auto"/>
        <w:tabs>
          <w:tab w:leader="none" w:pos="440" w:val="left"/>
        </w:tabs>
        <w:numPr>
          <w:ilvl w:val="0"/>
          <w:numId w:val="20"/>
        </w:numPr>
        <w:rPr>
          <w:rFonts w:ascii="Arial" w:cs="Arial" w:eastAsia="Arial" w:hAnsi="Arial"/>
          <w:sz w:val="13"/>
          <w:szCs w:val="13"/>
          <w:color w:val="auto"/>
        </w:rPr>
      </w:pPr>
      <w:r>
        <w:rPr>
          <w:rFonts w:ascii="Arial" w:cs="Arial" w:eastAsia="Arial" w:hAnsi="Arial"/>
          <w:sz w:val="10"/>
          <w:szCs w:val="10"/>
          <w:color w:val="auto"/>
        </w:rPr>
        <w:t>a total of 17 exploration blocks in the following areas:</w:t>
      </w:r>
    </w:p>
    <w:p>
      <w:pPr>
        <w:spacing w:after="0" w:line="10" w:lineRule="exact"/>
        <w:rPr>
          <w:rFonts w:ascii="Arial" w:cs="Arial" w:eastAsia="Arial" w:hAnsi="Arial"/>
          <w:sz w:val="13"/>
          <w:szCs w:val="13"/>
          <w:color w:val="auto"/>
        </w:rPr>
      </w:pPr>
    </w:p>
    <w:p>
      <w:pPr>
        <w:ind w:left="660"/>
        <w:spacing w:after="0" w:line="216" w:lineRule="auto"/>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9"/>
          <w:szCs w:val="9"/>
          <w:color w:val="auto"/>
        </w:rPr>
        <w:t>Barreirinhas Basin (10 blocks with Shell interests ranging from 50% to 100%);</w:t>
      </w:r>
    </w:p>
    <w:p>
      <w:pPr>
        <w:ind w:left="660"/>
        <w:spacing w:after="0" w:line="216" w:lineRule="auto"/>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9"/>
          <w:szCs w:val="9"/>
          <w:color w:val="auto"/>
        </w:rPr>
        <w:t>Santos Basin (Alto Cabo Frio Oeste PSC, Shell interest 55%; Saturno PSC, Shell interest 45%);</w:t>
      </w:r>
    </w:p>
    <w:p>
      <w:pPr>
        <w:ind w:left="660"/>
        <w:spacing w:after="0" w:line="216" w:lineRule="auto"/>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9"/>
          <w:szCs w:val="9"/>
          <w:color w:val="auto"/>
        </w:rPr>
        <w:t>Potiguar Basin (POT-M-948, Shell interest 100%); and</w:t>
      </w:r>
    </w:p>
    <w:p>
      <w:pPr>
        <w:ind w:left="880" w:right="20" w:hanging="216"/>
        <w:spacing w:after="0" w:line="187" w:lineRule="auto"/>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9"/>
          <w:szCs w:val="9"/>
          <w:color w:val="auto"/>
        </w:rPr>
        <w:t>Campos Basin (C-M-659, Shell interest 40%; C-M-713, Shell interest 40%; C-M-791, Shell interest 40% and C-M-757, Shell interest 100%). (Block C-M-757 was awarded to Shell in the National Petroleum Agency (ANP) permanent offer round in December 2020 and is awaiting ratification.)</w:t>
      </w: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color w:val="auto"/>
        </w:rPr>
        <w:t>Our non-operated portfolio consists of the following fields in the offshore Santos Basin:</w:t>
      </w:r>
    </w:p>
    <w:p>
      <w:pPr>
        <w:spacing w:after="0" w:line="26" w:lineRule="exact"/>
        <w:rPr>
          <w:sz w:val="20"/>
          <w:szCs w:val="20"/>
          <w:color w:val="auto"/>
        </w:rPr>
      </w:pPr>
    </w:p>
    <w:p>
      <w:pPr>
        <w:ind w:left="440" w:right="260" w:hanging="215"/>
        <w:spacing w:after="0" w:line="200" w:lineRule="auto"/>
        <w:tabs>
          <w:tab w:leader="none" w:pos="432" w:val="left"/>
        </w:tabs>
        <w:numPr>
          <w:ilvl w:val="0"/>
          <w:numId w:val="21"/>
        </w:numPr>
        <w:rPr>
          <w:rFonts w:ascii="Arial" w:cs="Arial" w:eastAsia="Arial" w:hAnsi="Arial"/>
          <w:sz w:val="13"/>
          <w:szCs w:val="13"/>
          <w:color w:val="auto"/>
        </w:rPr>
      </w:pPr>
      <w:r>
        <w:rPr>
          <w:rFonts w:ascii="Arial" w:cs="Arial" w:eastAsia="Arial" w:hAnsi="Arial"/>
          <w:sz w:val="10"/>
          <w:szCs w:val="10"/>
          <w:color w:val="auto"/>
        </w:rPr>
        <w:t>Sapinhoá field (Shell interest 30%, operated by Petrobras), straddling the BM-S-9 and Entorno de Sapinhoá blocks, already unitised;</w:t>
      </w:r>
    </w:p>
    <w:p>
      <w:pPr>
        <w:ind w:left="440" w:hanging="215"/>
        <w:spacing w:after="0" w:line="202" w:lineRule="auto"/>
        <w:tabs>
          <w:tab w:leader="none" w:pos="440" w:val="left"/>
        </w:tabs>
        <w:numPr>
          <w:ilvl w:val="0"/>
          <w:numId w:val="21"/>
        </w:numPr>
        <w:rPr>
          <w:rFonts w:ascii="Arial" w:cs="Arial" w:eastAsia="Arial" w:hAnsi="Arial"/>
          <w:sz w:val="13"/>
          <w:szCs w:val="13"/>
          <w:color w:val="auto"/>
        </w:rPr>
      </w:pPr>
      <w:r>
        <w:rPr>
          <w:rFonts w:ascii="Arial" w:cs="Arial" w:eastAsia="Arial" w:hAnsi="Arial"/>
          <w:sz w:val="10"/>
          <w:szCs w:val="10"/>
          <w:color w:val="auto"/>
        </w:rPr>
        <w:t>Lapa field (Shell interest 30%, operated by Total) in Block BM-S-9A;</w:t>
      </w:r>
    </w:p>
    <w:p>
      <w:pPr>
        <w:spacing w:after="0" w:line="13" w:lineRule="exact"/>
        <w:rPr>
          <w:rFonts w:ascii="Arial" w:cs="Arial" w:eastAsia="Arial" w:hAnsi="Arial"/>
          <w:sz w:val="13"/>
          <w:szCs w:val="13"/>
          <w:color w:val="auto"/>
        </w:rPr>
      </w:pPr>
    </w:p>
    <w:p>
      <w:pPr>
        <w:ind w:left="440" w:right="360" w:hanging="215"/>
        <w:spacing w:after="0" w:line="200" w:lineRule="auto"/>
        <w:tabs>
          <w:tab w:leader="none" w:pos="432" w:val="left"/>
        </w:tabs>
        <w:numPr>
          <w:ilvl w:val="0"/>
          <w:numId w:val="21"/>
        </w:numPr>
        <w:rPr>
          <w:rFonts w:ascii="Arial" w:cs="Arial" w:eastAsia="Arial" w:hAnsi="Arial"/>
          <w:sz w:val="13"/>
          <w:szCs w:val="13"/>
          <w:color w:val="auto"/>
        </w:rPr>
      </w:pPr>
      <w:r>
        <w:rPr>
          <w:rFonts w:ascii="Arial" w:cs="Arial" w:eastAsia="Arial" w:hAnsi="Arial"/>
          <w:sz w:val="10"/>
          <w:szCs w:val="10"/>
          <w:color w:val="auto"/>
        </w:rPr>
        <w:t>Berbigão and Sururu fields (Shell interest 25%, subject to ongoing discussions about unitisation agreements, operated by Petrobras) in Block BM-S-11A;</w:t>
      </w:r>
    </w:p>
    <w:p>
      <w:pPr>
        <w:ind w:left="440" w:hanging="215"/>
        <w:spacing w:after="0" w:line="201" w:lineRule="auto"/>
        <w:tabs>
          <w:tab w:leader="none" w:pos="440" w:val="left"/>
        </w:tabs>
        <w:numPr>
          <w:ilvl w:val="0"/>
          <w:numId w:val="21"/>
        </w:numPr>
        <w:rPr>
          <w:rFonts w:ascii="Arial" w:cs="Arial" w:eastAsia="Arial" w:hAnsi="Arial"/>
          <w:sz w:val="14"/>
          <w:szCs w:val="14"/>
          <w:color w:val="auto"/>
        </w:rPr>
      </w:pPr>
      <w:r>
        <w:rPr>
          <w:rFonts w:ascii="Arial" w:cs="Arial" w:eastAsia="Arial" w:hAnsi="Arial"/>
          <w:sz w:val="10"/>
          <w:szCs w:val="10"/>
          <w:color w:val="auto"/>
        </w:rPr>
        <w:t>Atapu field (Shell interest 4%, unitised in September 2019) in Block BM-S-11A;</w:t>
      </w:r>
    </w:p>
    <w:p>
      <w:pPr>
        <w:spacing w:after="0" w:line="22" w:lineRule="exact"/>
        <w:rPr>
          <w:rFonts w:ascii="Arial" w:cs="Arial" w:eastAsia="Arial" w:hAnsi="Arial"/>
          <w:sz w:val="14"/>
          <w:szCs w:val="14"/>
          <w:color w:val="auto"/>
        </w:rPr>
      </w:pPr>
    </w:p>
    <w:p>
      <w:pPr>
        <w:ind w:left="440" w:right="160" w:hanging="215"/>
        <w:spacing w:after="0" w:line="191" w:lineRule="auto"/>
        <w:tabs>
          <w:tab w:leader="none" w:pos="436" w:val="left"/>
        </w:tabs>
        <w:numPr>
          <w:ilvl w:val="0"/>
          <w:numId w:val="21"/>
        </w:numPr>
        <w:rPr>
          <w:rFonts w:ascii="Arial" w:cs="Arial" w:eastAsia="Arial" w:hAnsi="Arial"/>
          <w:sz w:val="14"/>
          <w:szCs w:val="14"/>
          <w:color w:val="auto"/>
        </w:rPr>
      </w:pPr>
      <w:r>
        <w:rPr>
          <w:rFonts w:ascii="Arial" w:cs="Arial" w:eastAsia="Arial" w:hAnsi="Arial"/>
          <w:sz w:val="10"/>
          <w:szCs w:val="10"/>
          <w:color w:val="auto"/>
        </w:rPr>
        <w:t>Lula field in Block BM-S-11, recently renamed the Tupi field because of a court decision (subject to unitisation in effect since April 2019, Shell interest 23%, operated by Petrobras);</w:t>
      </w:r>
    </w:p>
    <w:p>
      <w:pPr>
        <w:ind w:left="440" w:hanging="215"/>
        <w:spacing w:after="0" w:line="201" w:lineRule="auto"/>
        <w:tabs>
          <w:tab w:leader="none" w:pos="440" w:val="left"/>
        </w:tabs>
        <w:numPr>
          <w:ilvl w:val="0"/>
          <w:numId w:val="21"/>
        </w:numPr>
        <w:rPr>
          <w:rFonts w:ascii="Arial" w:cs="Arial" w:eastAsia="Arial" w:hAnsi="Arial"/>
          <w:sz w:val="14"/>
          <w:szCs w:val="14"/>
          <w:color w:val="auto"/>
        </w:rPr>
      </w:pPr>
      <w:r>
        <w:rPr>
          <w:rFonts w:ascii="Arial" w:cs="Arial" w:eastAsia="Arial" w:hAnsi="Arial"/>
          <w:sz w:val="10"/>
          <w:szCs w:val="10"/>
          <w:color w:val="auto"/>
        </w:rPr>
        <w:t>Iracema field in Block BM-S-11 (Shell interest 25%, not subject to unitisation, operated by Petrobras); and</w:t>
      </w:r>
    </w:p>
    <w:p>
      <w:pPr>
        <w:spacing w:after="0" w:line="22" w:lineRule="exact"/>
        <w:rPr>
          <w:rFonts w:ascii="Arial" w:cs="Arial" w:eastAsia="Arial" w:hAnsi="Arial"/>
          <w:sz w:val="14"/>
          <w:szCs w:val="14"/>
          <w:color w:val="auto"/>
        </w:rPr>
      </w:pPr>
    </w:p>
    <w:p>
      <w:pPr>
        <w:ind w:left="440" w:right="220" w:hanging="215"/>
        <w:spacing w:after="0" w:line="191" w:lineRule="auto"/>
        <w:tabs>
          <w:tab w:leader="none" w:pos="436" w:val="left"/>
        </w:tabs>
        <w:numPr>
          <w:ilvl w:val="0"/>
          <w:numId w:val="21"/>
        </w:numPr>
        <w:rPr>
          <w:rFonts w:ascii="Arial" w:cs="Arial" w:eastAsia="Arial" w:hAnsi="Arial"/>
          <w:sz w:val="14"/>
          <w:szCs w:val="14"/>
          <w:color w:val="auto"/>
        </w:rPr>
      </w:pPr>
      <w:r>
        <w:rPr>
          <w:rFonts w:ascii="Arial" w:cs="Arial" w:eastAsia="Arial" w:hAnsi="Arial"/>
          <w:sz w:val="10"/>
          <w:szCs w:val="10"/>
          <w:color w:val="auto"/>
        </w:rPr>
        <w:t>Mero field in the Libra PSC area (Shell interest 20%, unitisation with an adjoining area still subject to government approval, operated by Petrobras).</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In addition to the producing assets, we hold interests in two non-operated exploration blocks in the Santos Basin:</w:t>
      </w:r>
    </w:p>
    <w:p>
      <w:pPr>
        <w:ind w:left="440" w:hanging="215"/>
        <w:spacing w:after="0" w:line="236"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0"/>
          <w:szCs w:val="10"/>
          <w:color w:val="auto"/>
        </w:rPr>
        <w:t>BM-S-50, containing the Sagitário discovery (Shell interest 20%, operated by Petrobras); and</w:t>
      </w:r>
    </w:p>
    <w:p>
      <w:pPr>
        <w:spacing w:after="0" w:line="14" w:lineRule="exact"/>
        <w:rPr>
          <w:rFonts w:ascii="Arial" w:cs="Arial" w:eastAsia="Arial" w:hAnsi="Arial"/>
          <w:sz w:val="14"/>
          <w:szCs w:val="14"/>
          <w:color w:val="auto"/>
        </w:rPr>
      </w:pPr>
    </w:p>
    <w:p>
      <w:pPr>
        <w:ind w:left="440" w:hanging="215"/>
        <w:spacing w:after="0" w:line="193"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0"/>
          <w:szCs w:val="10"/>
          <w:color w:val="auto"/>
        </w:rPr>
        <w:t>Tres Marias (Shell interest 40%, operated by Petrobras).</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We also hold interests in two non-operated exploration blocks in the Potiguar Basin:</w:t>
      </w:r>
    </w:p>
    <w:p>
      <w:pPr>
        <w:ind w:left="440" w:hanging="215"/>
        <w:spacing w:after="0" w:line="236" w:lineRule="auto"/>
        <w:tabs>
          <w:tab w:leader="none" w:pos="440" w:val="left"/>
        </w:tabs>
        <w:numPr>
          <w:ilvl w:val="0"/>
          <w:numId w:val="23"/>
        </w:numPr>
        <w:rPr>
          <w:rFonts w:ascii="Arial" w:cs="Arial" w:eastAsia="Arial" w:hAnsi="Arial"/>
          <w:sz w:val="14"/>
          <w:szCs w:val="14"/>
          <w:color w:val="auto"/>
        </w:rPr>
      </w:pPr>
      <w:r>
        <w:rPr>
          <w:rFonts w:ascii="Arial" w:cs="Arial" w:eastAsia="Arial" w:hAnsi="Arial"/>
          <w:sz w:val="10"/>
          <w:szCs w:val="10"/>
          <w:color w:val="auto"/>
        </w:rPr>
        <w:t>POT-M-859 (Shell interest 40%, operated by Petrobras); and</w:t>
      </w:r>
    </w:p>
    <w:p>
      <w:pPr>
        <w:spacing w:after="0" w:line="14" w:lineRule="exact"/>
        <w:rPr>
          <w:rFonts w:ascii="Arial" w:cs="Arial" w:eastAsia="Arial" w:hAnsi="Arial"/>
          <w:sz w:val="14"/>
          <w:szCs w:val="14"/>
          <w:color w:val="auto"/>
        </w:rPr>
      </w:pPr>
    </w:p>
    <w:p>
      <w:pPr>
        <w:ind w:left="440" w:hanging="215"/>
        <w:spacing w:after="0" w:line="193" w:lineRule="auto"/>
        <w:tabs>
          <w:tab w:leader="none" w:pos="440" w:val="left"/>
        </w:tabs>
        <w:numPr>
          <w:ilvl w:val="0"/>
          <w:numId w:val="23"/>
        </w:numPr>
        <w:rPr>
          <w:rFonts w:ascii="Arial" w:cs="Arial" w:eastAsia="Arial" w:hAnsi="Arial"/>
          <w:sz w:val="14"/>
          <w:szCs w:val="14"/>
          <w:color w:val="auto"/>
        </w:rPr>
      </w:pPr>
      <w:r>
        <w:rPr>
          <w:rFonts w:ascii="Arial" w:cs="Arial" w:eastAsia="Arial" w:hAnsi="Arial"/>
          <w:sz w:val="10"/>
          <w:szCs w:val="10"/>
          <w:color w:val="auto"/>
        </w:rPr>
        <w:t>POT-M-952 (Shell interest 40%, operated by Petrobras).</w:t>
      </w:r>
    </w:p>
    <w:p>
      <w:pPr>
        <w:sectPr>
          <w:pgSz w:w="11900" w:h="16838" w:orient="portrait"/>
          <w:cols w:equalWidth="0" w:num="2">
            <w:col w:w="5600" w:space="120"/>
            <w:col w:w="5440"/>
          </w:cols>
          <w:pgMar w:left="300" w:top="640" w:right="439" w:bottom="1440" w:gutter="0" w:footer="0" w:header="0"/>
        </w:sectPr>
      </w:pPr>
    </w:p>
    <w:bookmarkStart w:id="44" w:name="page45"/>
    <w:bookmarkEnd w:id="44"/>
    <w:p>
      <w:pPr>
        <w:spacing w:after="0"/>
        <w:rPr>
          <w:sz w:val="20"/>
          <w:szCs w:val="20"/>
          <w:color w:val="auto"/>
        </w:rPr>
      </w:pPr>
      <w:r>
        <w:rPr>
          <w:rFonts w:ascii="Arial" w:cs="Arial" w:eastAsia="Arial" w:hAnsi="Arial"/>
          <w:sz w:val="10"/>
          <w:szCs w:val="10"/>
          <w:color w:val="auto"/>
        </w:rPr>
        <w:t>The activities of operated and non-operated fields are currently supported by 17 producing deep-water FPSOs, of which the 17th (P-70)</w:t>
      </w:r>
    </w:p>
    <w:p>
      <w:pPr>
        <w:spacing w:after="0" w:line="227" w:lineRule="auto"/>
        <w:rPr>
          <w:sz w:val="20"/>
          <w:szCs w:val="20"/>
          <w:color w:val="auto"/>
        </w:rPr>
      </w:pPr>
      <w:r>
        <w:rPr>
          <w:rFonts w:ascii="Arial" w:cs="Arial" w:eastAsia="Arial" w:hAnsi="Arial"/>
          <w:sz w:val="10"/>
          <w:szCs w:val="10"/>
          <w:color w:val="auto"/>
        </w:rPr>
        <w:t>delivered first oil in June 2020. Two additional FPSOs are expected to be brought online over the period 2022-2023 (Mero 1 and Mero 2). In</w:t>
      </w:r>
    </w:p>
    <w:p>
      <w:pPr>
        <w:spacing w:after="0" w:line="225" w:lineRule="auto"/>
        <w:rPr>
          <w:sz w:val="20"/>
          <w:szCs w:val="20"/>
          <w:color w:val="auto"/>
        </w:rPr>
      </w:pPr>
      <w:r>
        <w:rPr>
          <w:rFonts w:ascii="Arial" w:cs="Arial" w:eastAsia="Arial" w:hAnsi="Arial"/>
          <w:sz w:val="10"/>
          <w:szCs w:val="10"/>
          <w:color w:val="auto"/>
        </w:rPr>
        <w:t>August 2020, we announced the final investment decision to contract the Mero 3 FPSO vessel to be deployed at the Mero field. We agreed to</w:t>
      </w:r>
    </w:p>
    <w:p>
      <w:pPr>
        <w:spacing w:after="0" w:line="237" w:lineRule="auto"/>
        <w:rPr>
          <w:sz w:val="20"/>
          <w:szCs w:val="20"/>
          <w:color w:val="auto"/>
        </w:rPr>
      </w:pPr>
      <w:r>
        <w:rPr>
          <w:rFonts w:ascii="Arial" w:cs="Arial" w:eastAsia="Arial" w:hAnsi="Arial"/>
          <w:sz w:val="10"/>
          <w:szCs w:val="10"/>
          <w:color w:val="auto"/>
        </w:rPr>
        <w:t>sell our 23% interest in the P-71 FPSO, the deal is expected to be completed in the first quarter of 2021.</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Rest of South America</w:t>
      </w:r>
    </w:p>
    <w:p>
      <w:pPr>
        <w:spacing w:after="0"/>
        <w:rPr>
          <w:sz w:val="20"/>
          <w:szCs w:val="20"/>
          <w:color w:val="auto"/>
        </w:rPr>
      </w:pPr>
      <w:r>
        <w:rPr>
          <w:rFonts w:ascii="Arial" w:cs="Arial" w:eastAsia="Arial" w:hAnsi="Arial"/>
          <w:sz w:val="10"/>
          <w:szCs w:val="10"/>
          <w:color w:val="auto"/>
        </w:rPr>
        <w:t>We also have interests in Suriname and Uruguay.</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TRADING AND SUPPLY</w:t>
      </w:r>
    </w:p>
    <w:p>
      <w:pPr>
        <w:spacing w:after="0" w:line="237" w:lineRule="auto"/>
        <w:rPr>
          <w:sz w:val="20"/>
          <w:szCs w:val="20"/>
          <w:color w:val="auto"/>
        </w:rPr>
      </w:pPr>
      <w:r>
        <w:rPr>
          <w:rFonts w:ascii="Arial" w:cs="Arial" w:eastAsia="Arial" w:hAnsi="Arial"/>
          <w:sz w:val="10"/>
          <w:szCs w:val="10"/>
          <w:color w:val="auto"/>
        </w:rPr>
        <w:t>We market and trade crude oil from most of our Upstream operations.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42</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45" w:name="page46"/>
    <w:bookmarkEnd w:id="45"/>
    <w:p>
      <w:pPr>
        <w:ind w:left="8"/>
        <w:spacing w:after="0"/>
        <w:rPr>
          <w:sz w:val="20"/>
          <w:szCs w:val="20"/>
          <w:color w:val="auto"/>
        </w:rPr>
      </w:pPr>
      <w:r>
        <w:rPr>
          <w:rFonts w:ascii="Arial" w:cs="Arial" w:eastAsia="Arial" w:hAnsi="Arial"/>
          <w:sz w:val="22"/>
          <w:szCs w:val="22"/>
          <w:color w:val="auto"/>
        </w:rPr>
        <w:t>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2915" cy="22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6291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66610" cy="228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6610" cy="22860"/>
                    </a:xfrm>
                    <a:prstGeom prst="rect">
                      <a:avLst/>
                    </a:prstGeom>
                    <a:noFill/>
                  </pic:spPr>
                </pic:pic>
              </a:graphicData>
            </a:graphic>
          </wp:anchor>
        </w:drawing>
      </w:r>
    </w:p>
    <w:p>
      <w:pPr>
        <w:spacing w:after="0" w:line="202"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Proved developed and undeveloped reserves of Shell subsidiaries and Shell share of joint ventures and associates</w:t>
      </w:r>
    </w:p>
    <w:p>
      <w:pPr>
        <w:spacing w:after="0" w:line="41" w:lineRule="exact"/>
        <w:rPr>
          <w:sz w:val="20"/>
          <w:szCs w:val="20"/>
          <w:color w:val="auto"/>
        </w:rPr>
      </w:pPr>
    </w:p>
    <w:tbl>
      <w:tblPr>
        <w:tblLayout w:type="fixed"/>
        <w:tblInd w:w="8" w:type="dxa"/>
        <w:tblCellMar>
          <w:top w:w="0" w:type="dxa"/>
          <w:left w:w="0" w:type="dxa"/>
          <w:bottom w:w="0" w:type="dxa"/>
          <w:right w:w="0" w:type="dxa"/>
        </w:tblCellMar>
      </w:tblPr>
      <w:tr>
        <w:trPr>
          <w:trHeight w:val="92"/>
        </w:trPr>
        <w:tc>
          <w:tcPr>
            <w:tcW w:w="4140" w:type="dxa"/>
            <w:vAlign w:val="bottom"/>
          </w:tcPr>
          <w:p>
            <w:pPr>
              <w:spacing w:after="0"/>
              <w:rPr>
                <w:sz w:val="7"/>
                <w:szCs w:val="7"/>
                <w:color w:val="auto"/>
              </w:rPr>
            </w:pPr>
          </w:p>
        </w:tc>
        <w:tc>
          <w:tcPr>
            <w:tcW w:w="1860" w:type="dxa"/>
            <w:vAlign w:val="bottom"/>
          </w:tcPr>
          <w:p>
            <w:pPr>
              <w:jc w:val="right"/>
              <w:spacing w:after="0"/>
              <w:rPr>
                <w:sz w:val="20"/>
                <w:szCs w:val="20"/>
                <w:color w:val="auto"/>
              </w:rPr>
            </w:pPr>
            <w:r>
              <w:rPr>
                <w:rFonts w:ascii="Arial" w:cs="Arial" w:eastAsia="Arial" w:hAnsi="Arial"/>
                <w:sz w:val="8"/>
                <w:szCs w:val="8"/>
                <w:b w:val="1"/>
                <w:bCs w:val="1"/>
                <w:color w:val="auto"/>
              </w:rPr>
              <w:t>Crude oil and natural gas liquids</w:t>
            </w:r>
          </w:p>
        </w:tc>
        <w:tc>
          <w:tcPr>
            <w:tcW w:w="1500" w:type="dxa"/>
            <w:vAlign w:val="bottom"/>
            <w:vMerge w:val="restart"/>
          </w:tcPr>
          <w:p>
            <w:pPr>
              <w:jc w:val="right"/>
              <w:ind w:right="152"/>
              <w:spacing w:after="0"/>
              <w:rPr>
                <w:sz w:val="20"/>
                <w:szCs w:val="20"/>
                <w:color w:val="auto"/>
              </w:rPr>
            </w:pPr>
            <w:r>
              <w:rPr>
                <w:rFonts w:ascii="Arial" w:cs="Arial" w:eastAsia="Arial" w:hAnsi="Arial"/>
                <w:sz w:val="8"/>
                <w:szCs w:val="8"/>
                <w:b w:val="1"/>
                <w:bCs w:val="1"/>
                <w:color w:val="auto"/>
                <w:w w:val="95"/>
              </w:rPr>
              <w:t>Synthetic crude oil (million barrels)</w:t>
            </w:r>
          </w:p>
        </w:tc>
        <w:tc>
          <w:tcPr>
            <w:tcW w:w="1180" w:type="dxa"/>
            <w:vAlign w:val="bottom"/>
            <w:vMerge w:val="restart"/>
          </w:tcPr>
          <w:p>
            <w:pPr>
              <w:ind w:left="200"/>
              <w:spacing w:after="0"/>
              <w:rPr>
                <w:sz w:val="20"/>
                <w:szCs w:val="20"/>
                <w:color w:val="auto"/>
              </w:rPr>
            </w:pPr>
            <w:r>
              <w:rPr>
                <w:rFonts w:ascii="Arial" w:cs="Arial" w:eastAsia="Arial" w:hAnsi="Arial"/>
                <w:sz w:val="8"/>
                <w:szCs w:val="8"/>
                <w:b w:val="1"/>
                <w:bCs w:val="1"/>
                <w:color w:val="auto"/>
              </w:rPr>
              <w:t>Bitumen (million barrels)</w:t>
            </w:r>
          </w:p>
        </w:tc>
        <w:tc>
          <w:tcPr>
            <w:tcW w:w="1540" w:type="dxa"/>
            <w:vAlign w:val="bottom"/>
            <w:vMerge w:val="restart"/>
          </w:tcPr>
          <w:p>
            <w:pPr>
              <w:jc w:val="right"/>
              <w:ind w:right="232"/>
              <w:spacing w:after="0"/>
              <w:rPr>
                <w:sz w:val="20"/>
                <w:szCs w:val="20"/>
                <w:color w:val="auto"/>
              </w:rPr>
            </w:pPr>
            <w:r>
              <w:rPr>
                <w:rFonts w:ascii="Arial" w:cs="Arial" w:eastAsia="Arial" w:hAnsi="Arial"/>
                <w:sz w:val="8"/>
                <w:szCs w:val="8"/>
                <w:b w:val="1"/>
                <w:bCs w:val="1"/>
                <w:color w:val="auto"/>
                <w:w w:val="96"/>
              </w:rPr>
              <w:t>Natural gas (thousand million scf)</w:t>
            </w:r>
          </w:p>
        </w:tc>
        <w:tc>
          <w:tcPr>
            <w:tcW w:w="10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Total (million boe)[A]</w:t>
            </w:r>
          </w:p>
        </w:tc>
        <w:tc>
          <w:tcPr>
            <w:tcW w:w="0" w:type="dxa"/>
            <w:vAlign w:val="bottom"/>
          </w:tcPr>
          <w:p>
            <w:pPr>
              <w:spacing w:after="0"/>
              <w:rPr>
                <w:sz w:val="1"/>
                <w:szCs w:val="1"/>
                <w:color w:val="auto"/>
              </w:rPr>
            </w:pPr>
          </w:p>
        </w:tc>
      </w:tr>
      <w:tr>
        <w:trPr>
          <w:trHeight w:val="112"/>
        </w:trPr>
        <w:tc>
          <w:tcPr>
            <w:tcW w:w="414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(million barrels)</w:t>
            </w:r>
          </w:p>
        </w:tc>
        <w:tc>
          <w:tcPr>
            <w:tcW w:w="150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140" w:type="dxa"/>
            <w:vAlign w:val="bottom"/>
          </w:tcPr>
          <w:p>
            <w:pPr>
              <w:spacing w:after="0"/>
              <w:rPr>
                <w:sz w:val="20"/>
                <w:szCs w:val="20"/>
                <w:color w:val="auto"/>
              </w:rPr>
            </w:pPr>
            <w:r>
              <w:rPr>
                <w:rFonts w:ascii="Arial" w:cs="Arial" w:eastAsia="Arial" w:hAnsi="Arial"/>
                <w:sz w:val="10"/>
                <w:szCs w:val="10"/>
                <w:color w:val="auto"/>
              </w:rPr>
              <w:t>Shell subsidiaries</w:t>
            </w:r>
          </w:p>
        </w:tc>
        <w:tc>
          <w:tcPr>
            <w:tcW w:w="18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140" w:type="dxa"/>
            <w:vAlign w:val="bottom"/>
          </w:tcPr>
          <w:p>
            <w:pPr>
              <w:spacing w:after="0"/>
              <w:rPr>
                <w:sz w:val="20"/>
                <w:szCs w:val="20"/>
                <w:color w:val="auto"/>
              </w:rPr>
            </w:pPr>
            <w:r>
              <w:rPr>
                <w:rFonts w:ascii="Arial" w:cs="Arial" w:eastAsia="Arial" w:hAnsi="Arial"/>
                <w:sz w:val="10"/>
                <w:szCs w:val="10"/>
                <w:color w:val="auto"/>
              </w:rPr>
              <w:t>Increase/(decrease) in 2020:</w:t>
            </w:r>
          </w:p>
        </w:tc>
        <w:tc>
          <w:tcPr>
            <w:tcW w:w="18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40" w:type="dxa"/>
            <w:vAlign w:val="bottom"/>
          </w:tcPr>
          <w:p>
            <w:pPr>
              <w:ind w:left="140"/>
              <w:spacing w:after="0"/>
              <w:rPr>
                <w:sz w:val="20"/>
                <w:szCs w:val="20"/>
                <w:color w:val="auto"/>
              </w:rPr>
            </w:pPr>
            <w:r>
              <w:rPr>
                <w:rFonts w:ascii="Arial" w:cs="Arial" w:eastAsia="Arial" w:hAnsi="Arial"/>
                <w:sz w:val="10"/>
                <w:szCs w:val="10"/>
                <w:color w:val="auto"/>
              </w:rPr>
              <w:t>Revisions and reclassifications</w:t>
            </w:r>
          </w:p>
        </w:tc>
        <w:tc>
          <w:tcPr>
            <w:tcW w:w="1860" w:type="dxa"/>
            <w:vAlign w:val="bottom"/>
          </w:tcPr>
          <w:p>
            <w:pPr>
              <w:jc w:val="right"/>
              <w:spacing w:after="0"/>
              <w:rPr>
                <w:sz w:val="20"/>
                <w:szCs w:val="20"/>
                <w:color w:val="auto"/>
              </w:rPr>
            </w:pPr>
            <w:r>
              <w:rPr>
                <w:rFonts w:ascii="Arial" w:cs="Arial" w:eastAsia="Arial" w:hAnsi="Arial"/>
                <w:sz w:val="10"/>
                <w:szCs w:val="10"/>
                <w:color w:val="auto"/>
              </w:rPr>
              <w:t>(63)</w:t>
            </w:r>
          </w:p>
        </w:tc>
        <w:tc>
          <w:tcPr>
            <w:tcW w:w="1500" w:type="dxa"/>
            <w:vAlign w:val="bottom"/>
          </w:tcPr>
          <w:p>
            <w:pPr>
              <w:jc w:val="right"/>
              <w:ind w:right="192"/>
              <w:spacing w:after="0"/>
              <w:rPr>
                <w:sz w:val="20"/>
                <w:szCs w:val="20"/>
                <w:color w:val="auto"/>
              </w:rPr>
            </w:pPr>
            <w:r>
              <w:rPr>
                <w:rFonts w:ascii="Arial" w:cs="Arial" w:eastAsia="Arial" w:hAnsi="Arial"/>
                <w:sz w:val="10"/>
                <w:szCs w:val="10"/>
                <w:color w:val="auto"/>
              </w:rPr>
              <w:t>57</w:t>
            </w:r>
          </w:p>
        </w:tc>
        <w:tc>
          <w:tcPr>
            <w:tcW w:w="1180" w:type="dxa"/>
            <w:vAlign w:val="bottom"/>
          </w:tcPr>
          <w:p>
            <w:pPr>
              <w:ind w:left="10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232"/>
              <w:spacing w:after="0"/>
              <w:rPr>
                <w:sz w:val="20"/>
                <w:szCs w:val="20"/>
                <w:color w:val="auto"/>
              </w:rPr>
            </w:pPr>
            <w:r>
              <w:rPr>
                <w:rFonts w:ascii="Arial" w:cs="Arial" w:eastAsia="Arial" w:hAnsi="Arial"/>
                <w:sz w:val="10"/>
                <w:szCs w:val="10"/>
                <w:color w:val="auto"/>
              </w:rPr>
              <w:t>(3,477)</w:t>
            </w:r>
          </w:p>
        </w:tc>
        <w:tc>
          <w:tcPr>
            <w:tcW w:w="1060" w:type="dxa"/>
            <w:vAlign w:val="bottom"/>
          </w:tcPr>
          <w:p>
            <w:pPr>
              <w:jc w:val="right"/>
              <w:spacing w:after="0"/>
              <w:rPr>
                <w:sz w:val="20"/>
                <w:szCs w:val="20"/>
                <w:color w:val="auto"/>
              </w:rPr>
            </w:pPr>
            <w:r>
              <w:rPr>
                <w:rFonts w:ascii="Arial" w:cs="Arial" w:eastAsia="Arial" w:hAnsi="Arial"/>
                <w:sz w:val="10"/>
                <w:szCs w:val="10"/>
                <w:color w:val="auto"/>
              </w:rPr>
              <w:t>(607)</w:t>
            </w:r>
          </w:p>
        </w:tc>
        <w:tc>
          <w:tcPr>
            <w:tcW w:w="0" w:type="dxa"/>
            <w:vAlign w:val="bottom"/>
          </w:tcPr>
          <w:p>
            <w:pPr>
              <w:spacing w:after="0"/>
              <w:rPr>
                <w:sz w:val="1"/>
                <w:szCs w:val="1"/>
                <w:color w:val="auto"/>
              </w:rPr>
            </w:pPr>
          </w:p>
        </w:tc>
      </w:tr>
      <w:tr>
        <w:trPr>
          <w:trHeight w:val="126"/>
        </w:trPr>
        <w:tc>
          <w:tcPr>
            <w:tcW w:w="4140" w:type="dxa"/>
            <w:vAlign w:val="bottom"/>
          </w:tcPr>
          <w:p>
            <w:pPr>
              <w:ind w:left="140"/>
              <w:spacing w:after="0"/>
              <w:rPr>
                <w:sz w:val="20"/>
                <w:szCs w:val="20"/>
                <w:color w:val="auto"/>
              </w:rPr>
            </w:pPr>
            <w:r>
              <w:rPr>
                <w:rFonts w:ascii="Arial" w:cs="Arial" w:eastAsia="Arial" w:hAnsi="Arial"/>
                <w:sz w:val="10"/>
                <w:szCs w:val="10"/>
                <w:color w:val="auto"/>
              </w:rPr>
              <w:t>Improved recovery</w:t>
            </w:r>
          </w:p>
        </w:tc>
        <w:tc>
          <w:tcPr>
            <w:tcW w:w="18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80" w:type="dxa"/>
            <w:vAlign w:val="bottom"/>
          </w:tcPr>
          <w:p>
            <w:pPr>
              <w:ind w:left="10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4140" w:type="dxa"/>
            <w:vAlign w:val="bottom"/>
          </w:tcPr>
          <w:p>
            <w:pPr>
              <w:ind w:left="140"/>
              <w:spacing w:after="0"/>
              <w:rPr>
                <w:sz w:val="20"/>
                <w:szCs w:val="20"/>
                <w:color w:val="auto"/>
              </w:rPr>
            </w:pPr>
            <w:r>
              <w:rPr>
                <w:rFonts w:ascii="Arial" w:cs="Arial" w:eastAsia="Arial" w:hAnsi="Arial"/>
                <w:sz w:val="10"/>
                <w:szCs w:val="10"/>
                <w:color w:val="auto"/>
              </w:rPr>
              <w:t>Extensions and discoveries</w:t>
            </w:r>
          </w:p>
        </w:tc>
        <w:tc>
          <w:tcPr>
            <w:tcW w:w="1860" w:type="dxa"/>
            <w:vAlign w:val="bottom"/>
          </w:tcPr>
          <w:p>
            <w:pPr>
              <w:jc w:val="right"/>
              <w:ind w:right="12"/>
              <w:spacing w:after="0"/>
              <w:rPr>
                <w:sz w:val="20"/>
                <w:szCs w:val="20"/>
                <w:color w:val="auto"/>
              </w:rPr>
            </w:pPr>
            <w:r>
              <w:rPr>
                <w:rFonts w:ascii="Arial" w:cs="Arial" w:eastAsia="Arial" w:hAnsi="Arial"/>
                <w:sz w:val="10"/>
                <w:szCs w:val="10"/>
                <w:color w:val="auto"/>
              </w:rPr>
              <w:t>48</w:t>
            </w:r>
          </w:p>
        </w:tc>
        <w:tc>
          <w:tcPr>
            <w:tcW w:w="15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80" w:type="dxa"/>
            <w:vAlign w:val="bottom"/>
          </w:tcPr>
          <w:p>
            <w:pPr>
              <w:ind w:left="10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252"/>
              <w:spacing w:after="0"/>
              <w:rPr>
                <w:sz w:val="20"/>
                <w:szCs w:val="20"/>
                <w:color w:val="auto"/>
              </w:rPr>
            </w:pPr>
            <w:r>
              <w:rPr>
                <w:rFonts w:ascii="Arial" w:cs="Arial" w:eastAsia="Arial" w:hAnsi="Arial"/>
                <w:sz w:val="10"/>
                <w:szCs w:val="10"/>
                <w:color w:val="auto"/>
              </w:rPr>
              <w:t>228</w:t>
            </w:r>
          </w:p>
        </w:tc>
        <w:tc>
          <w:tcPr>
            <w:tcW w:w="1060" w:type="dxa"/>
            <w:vAlign w:val="bottom"/>
          </w:tcPr>
          <w:p>
            <w:pPr>
              <w:jc w:val="right"/>
              <w:spacing w:after="0"/>
              <w:rPr>
                <w:sz w:val="20"/>
                <w:szCs w:val="20"/>
                <w:color w:val="auto"/>
              </w:rPr>
            </w:pPr>
            <w:r>
              <w:rPr>
                <w:rFonts w:ascii="Arial" w:cs="Arial" w:eastAsia="Arial" w:hAnsi="Arial"/>
                <w:sz w:val="10"/>
                <w:szCs w:val="10"/>
                <w:color w:val="auto"/>
              </w:rPr>
              <w:t>88</w:t>
            </w:r>
          </w:p>
        </w:tc>
        <w:tc>
          <w:tcPr>
            <w:tcW w:w="0" w:type="dxa"/>
            <w:vAlign w:val="bottom"/>
          </w:tcPr>
          <w:p>
            <w:pPr>
              <w:spacing w:after="0"/>
              <w:rPr>
                <w:sz w:val="1"/>
                <w:szCs w:val="1"/>
                <w:color w:val="auto"/>
              </w:rPr>
            </w:pPr>
          </w:p>
        </w:tc>
      </w:tr>
      <w:tr>
        <w:trPr>
          <w:trHeight w:val="130"/>
        </w:trPr>
        <w:tc>
          <w:tcPr>
            <w:tcW w:w="41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Purchases and sales of minerals in place</w:t>
            </w: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(599)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(95)</w:t>
            </w:r>
          </w:p>
        </w:tc>
        <w:tc>
          <w:tcPr>
            <w:tcW w:w="0" w:type="dxa"/>
            <w:vAlign w:val="bottom"/>
          </w:tcPr>
          <w:p>
            <w:pPr>
              <w:spacing w:after="0"/>
              <w:rPr>
                <w:sz w:val="1"/>
                <w:szCs w:val="1"/>
                <w:color w:val="auto"/>
              </w:rPr>
            </w:pPr>
          </w:p>
        </w:tc>
      </w:tr>
      <w:tr>
        <w:trPr>
          <w:trHeight w:val="114"/>
        </w:trPr>
        <w:tc>
          <w:tcPr>
            <w:tcW w:w="4140" w:type="dxa"/>
            <w:vAlign w:val="bottom"/>
          </w:tcPr>
          <w:p>
            <w:pPr>
              <w:ind w:left="140"/>
              <w:spacing w:after="0"/>
              <w:rPr>
                <w:sz w:val="20"/>
                <w:szCs w:val="20"/>
                <w:color w:val="auto"/>
              </w:rPr>
            </w:pPr>
            <w:r>
              <w:rPr>
                <w:rFonts w:ascii="Arial" w:cs="Arial" w:eastAsia="Arial" w:hAnsi="Arial"/>
                <w:sz w:val="10"/>
                <w:szCs w:val="10"/>
                <w:color w:val="auto"/>
              </w:rPr>
              <w:t>Total before taking production into account</w:t>
            </w:r>
          </w:p>
        </w:tc>
        <w:tc>
          <w:tcPr>
            <w:tcW w:w="1860" w:type="dxa"/>
            <w:vAlign w:val="bottom"/>
          </w:tcPr>
          <w:p>
            <w:pPr>
              <w:jc w:val="right"/>
              <w:spacing w:after="0"/>
              <w:rPr>
                <w:sz w:val="20"/>
                <w:szCs w:val="20"/>
                <w:color w:val="auto"/>
              </w:rPr>
            </w:pPr>
            <w:r>
              <w:rPr>
                <w:rFonts w:ascii="Arial" w:cs="Arial" w:eastAsia="Arial" w:hAnsi="Arial"/>
                <w:sz w:val="10"/>
                <w:szCs w:val="10"/>
                <w:color w:val="auto"/>
              </w:rPr>
              <w:t>(7)</w:t>
            </w:r>
          </w:p>
        </w:tc>
        <w:tc>
          <w:tcPr>
            <w:tcW w:w="1500" w:type="dxa"/>
            <w:vAlign w:val="bottom"/>
          </w:tcPr>
          <w:p>
            <w:pPr>
              <w:jc w:val="right"/>
              <w:ind w:right="192"/>
              <w:spacing w:after="0"/>
              <w:rPr>
                <w:sz w:val="20"/>
                <w:szCs w:val="20"/>
                <w:color w:val="auto"/>
              </w:rPr>
            </w:pPr>
            <w:r>
              <w:rPr>
                <w:rFonts w:ascii="Arial" w:cs="Arial" w:eastAsia="Arial" w:hAnsi="Arial"/>
                <w:sz w:val="10"/>
                <w:szCs w:val="10"/>
                <w:color w:val="auto"/>
              </w:rPr>
              <w:t>57</w:t>
            </w:r>
          </w:p>
        </w:tc>
        <w:tc>
          <w:tcPr>
            <w:tcW w:w="1180" w:type="dxa"/>
            <w:vAlign w:val="bottom"/>
          </w:tcPr>
          <w:p>
            <w:pPr>
              <w:ind w:left="10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232"/>
              <w:spacing w:after="0"/>
              <w:rPr>
                <w:sz w:val="20"/>
                <w:szCs w:val="20"/>
                <w:color w:val="auto"/>
              </w:rPr>
            </w:pPr>
            <w:r>
              <w:rPr>
                <w:rFonts w:ascii="Arial" w:cs="Arial" w:eastAsia="Arial" w:hAnsi="Arial"/>
                <w:sz w:val="10"/>
                <w:szCs w:val="10"/>
                <w:color w:val="auto"/>
              </w:rPr>
              <w:t>(3,848)</w:t>
            </w:r>
          </w:p>
        </w:tc>
        <w:tc>
          <w:tcPr>
            <w:tcW w:w="1060" w:type="dxa"/>
            <w:vAlign w:val="bottom"/>
          </w:tcPr>
          <w:p>
            <w:pPr>
              <w:jc w:val="right"/>
              <w:spacing w:after="0"/>
              <w:rPr>
                <w:sz w:val="20"/>
                <w:szCs w:val="20"/>
                <w:color w:val="auto"/>
              </w:rPr>
            </w:pPr>
            <w:r>
              <w:rPr>
                <w:rFonts w:ascii="Arial" w:cs="Arial" w:eastAsia="Arial" w:hAnsi="Arial"/>
                <w:sz w:val="10"/>
                <w:szCs w:val="10"/>
                <w:color w:val="auto"/>
              </w:rPr>
              <w:t>(614)</w:t>
            </w:r>
          </w:p>
        </w:tc>
        <w:tc>
          <w:tcPr>
            <w:tcW w:w="0" w:type="dxa"/>
            <w:vAlign w:val="bottom"/>
          </w:tcPr>
          <w:p>
            <w:pPr>
              <w:spacing w:after="0"/>
              <w:rPr>
                <w:sz w:val="1"/>
                <w:szCs w:val="1"/>
                <w:color w:val="auto"/>
              </w:rPr>
            </w:pPr>
          </w:p>
        </w:tc>
      </w:tr>
      <w:tr>
        <w:trPr>
          <w:trHeight w:val="127"/>
        </w:trPr>
        <w:tc>
          <w:tcPr>
            <w:tcW w:w="41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Production [B]</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(606)</w:t>
            </w: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(20)</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(3,012)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(1,144)</w:t>
            </w:r>
          </w:p>
        </w:tc>
        <w:tc>
          <w:tcPr>
            <w:tcW w:w="0" w:type="dxa"/>
            <w:vAlign w:val="bottom"/>
          </w:tcPr>
          <w:p>
            <w:pPr>
              <w:spacing w:after="0"/>
              <w:rPr>
                <w:sz w:val="1"/>
                <w:szCs w:val="1"/>
                <w:color w:val="auto"/>
              </w:rPr>
            </w:pPr>
          </w:p>
        </w:tc>
      </w:tr>
      <w:tr>
        <w:trPr>
          <w:trHeight w:val="114"/>
        </w:trPr>
        <w:tc>
          <w:tcPr>
            <w:tcW w:w="4140" w:type="dxa"/>
            <w:vAlign w:val="bottom"/>
          </w:tcPr>
          <w:p>
            <w:pPr>
              <w:ind w:left="140"/>
              <w:spacing w:after="0"/>
              <w:rPr>
                <w:sz w:val="20"/>
                <w:szCs w:val="20"/>
                <w:color w:val="auto"/>
              </w:rPr>
            </w:pPr>
            <w:r>
              <w:rPr>
                <w:rFonts w:ascii="Arial" w:cs="Arial" w:eastAsia="Arial" w:hAnsi="Arial"/>
                <w:sz w:val="10"/>
                <w:szCs w:val="10"/>
                <w:color w:val="auto"/>
              </w:rPr>
              <w:t>Total</w:t>
            </w:r>
          </w:p>
        </w:tc>
        <w:tc>
          <w:tcPr>
            <w:tcW w:w="1860" w:type="dxa"/>
            <w:vAlign w:val="bottom"/>
          </w:tcPr>
          <w:p>
            <w:pPr>
              <w:jc w:val="right"/>
              <w:spacing w:after="0"/>
              <w:rPr>
                <w:sz w:val="20"/>
                <w:szCs w:val="20"/>
                <w:color w:val="auto"/>
              </w:rPr>
            </w:pPr>
            <w:r>
              <w:rPr>
                <w:rFonts w:ascii="Arial" w:cs="Arial" w:eastAsia="Arial" w:hAnsi="Arial"/>
                <w:sz w:val="10"/>
                <w:szCs w:val="10"/>
                <w:color w:val="auto"/>
              </w:rPr>
              <w:t>(613)</w:t>
            </w:r>
          </w:p>
        </w:tc>
        <w:tc>
          <w:tcPr>
            <w:tcW w:w="1500" w:type="dxa"/>
            <w:vAlign w:val="bottom"/>
          </w:tcPr>
          <w:p>
            <w:pPr>
              <w:jc w:val="right"/>
              <w:ind w:right="192"/>
              <w:spacing w:after="0"/>
              <w:rPr>
                <w:sz w:val="20"/>
                <w:szCs w:val="20"/>
                <w:color w:val="auto"/>
              </w:rPr>
            </w:pPr>
            <w:r>
              <w:rPr>
                <w:rFonts w:ascii="Arial" w:cs="Arial" w:eastAsia="Arial" w:hAnsi="Arial"/>
                <w:sz w:val="10"/>
                <w:szCs w:val="10"/>
                <w:color w:val="auto"/>
              </w:rPr>
              <w:t>37</w:t>
            </w:r>
          </w:p>
        </w:tc>
        <w:tc>
          <w:tcPr>
            <w:tcW w:w="1180" w:type="dxa"/>
            <w:vAlign w:val="bottom"/>
          </w:tcPr>
          <w:p>
            <w:pPr>
              <w:ind w:left="10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232"/>
              <w:spacing w:after="0"/>
              <w:rPr>
                <w:sz w:val="20"/>
                <w:szCs w:val="20"/>
                <w:color w:val="auto"/>
              </w:rPr>
            </w:pPr>
            <w:r>
              <w:rPr>
                <w:rFonts w:ascii="Arial" w:cs="Arial" w:eastAsia="Arial" w:hAnsi="Arial"/>
                <w:sz w:val="10"/>
                <w:szCs w:val="10"/>
                <w:color w:val="auto"/>
              </w:rPr>
              <w:t>(6,860)</w:t>
            </w:r>
          </w:p>
        </w:tc>
        <w:tc>
          <w:tcPr>
            <w:tcW w:w="1060" w:type="dxa"/>
            <w:vAlign w:val="bottom"/>
          </w:tcPr>
          <w:p>
            <w:pPr>
              <w:jc w:val="right"/>
              <w:spacing w:after="0"/>
              <w:rPr>
                <w:sz w:val="20"/>
                <w:szCs w:val="20"/>
                <w:color w:val="auto"/>
              </w:rPr>
            </w:pPr>
            <w:r>
              <w:rPr>
                <w:rFonts w:ascii="Arial" w:cs="Arial" w:eastAsia="Arial" w:hAnsi="Arial"/>
                <w:sz w:val="10"/>
                <w:szCs w:val="10"/>
                <w:color w:val="auto"/>
              </w:rPr>
              <w:t>(1,758)</w:t>
            </w:r>
          </w:p>
        </w:tc>
        <w:tc>
          <w:tcPr>
            <w:tcW w:w="0" w:type="dxa"/>
            <w:vAlign w:val="bottom"/>
          </w:tcPr>
          <w:p>
            <w:pPr>
              <w:spacing w:after="0"/>
              <w:rPr>
                <w:sz w:val="1"/>
                <w:szCs w:val="1"/>
                <w:color w:val="auto"/>
              </w:rPr>
            </w:pPr>
          </w:p>
        </w:tc>
      </w:tr>
      <w:tr>
        <w:trPr>
          <w:trHeight w:val="127"/>
        </w:trPr>
        <w:tc>
          <w:tcPr>
            <w:tcW w:w="4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January 1, 2020</w:t>
            </w: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4,374</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607</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28,992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9,980</w:t>
            </w:r>
          </w:p>
        </w:tc>
        <w:tc>
          <w:tcPr>
            <w:tcW w:w="0" w:type="dxa"/>
            <w:vAlign w:val="bottom"/>
          </w:tcPr>
          <w:p>
            <w:pPr>
              <w:spacing w:after="0"/>
              <w:rPr>
                <w:sz w:val="1"/>
                <w:szCs w:val="1"/>
                <w:color w:val="auto"/>
              </w:rPr>
            </w:pPr>
          </w:p>
        </w:tc>
      </w:tr>
      <w:tr>
        <w:trPr>
          <w:trHeight w:val="117"/>
        </w:trPr>
        <w:tc>
          <w:tcPr>
            <w:tcW w:w="4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2020</w:t>
            </w: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3,761</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644</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22,132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8,222</w:t>
            </w:r>
          </w:p>
        </w:tc>
        <w:tc>
          <w:tcPr>
            <w:tcW w:w="0" w:type="dxa"/>
            <w:vAlign w:val="bottom"/>
          </w:tcPr>
          <w:p>
            <w:pPr>
              <w:spacing w:after="0"/>
              <w:rPr>
                <w:sz w:val="1"/>
                <w:szCs w:val="1"/>
                <w:color w:val="auto"/>
              </w:rPr>
            </w:pPr>
          </w:p>
        </w:tc>
      </w:tr>
      <w:tr>
        <w:trPr>
          <w:trHeight w:val="113"/>
        </w:trPr>
        <w:tc>
          <w:tcPr>
            <w:tcW w:w="4140" w:type="dxa"/>
            <w:vAlign w:val="bottom"/>
          </w:tcPr>
          <w:p>
            <w:pPr>
              <w:spacing w:after="0" w:line="113" w:lineRule="exact"/>
              <w:rPr>
                <w:sz w:val="20"/>
                <w:szCs w:val="20"/>
                <w:color w:val="auto"/>
              </w:rPr>
            </w:pPr>
            <w:r>
              <w:rPr>
                <w:rFonts w:ascii="Arial" w:cs="Arial" w:eastAsia="Arial" w:hAnsi="Arial"/>
                <w:sz w:val="10"/>
                <w:szCs w:val="10"/>
                <w:color w:val="auto"/>
              </w:rPr>
              <w:t>Shell share of joint ventures and associates</w:t>
            </w:r>
          </w:p>
        </w:tc>
        <w:tc>
          <w:tcPr>
            <w:tcW w:w="18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140" w:type="dxa"/>
            <w:vAlign w:val="bottom"/>
          </w:tcPr>
          <w:p>
            <w:pPr>
              <w:spacing w:after="0"/>
              <w:rPr>
                <w:sz w:val="20"/>
                <w:szCs w:val="20"/>
                <w:color w:val="auto"/>
              </w:rPr>
            </w:pPr>
            <w:r>
              <w:rPr>
                <w:rFonts w:ascii="Arial" w:cs="Arial" w:eastAsia="Arial" w:hAnsi="Arial"/>
                <w:sz w:val="10"/>
                <w:szCs w:val="10"/>
                <w:color w:val="auto"/>
              </w:rPr>
              <w:t>Increase/(decrease) in 2020:</w:t>
            </w:r>
          </w:p>
        </w:tc>
        <w:tc>
          <w:tcPr>
            <w:tcW w:w="18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40" w:type="dxa"/>
            <w:vAlign w:val="bottom"/>
          </w:tcPr>
          <w:p>
            <w:pPr>
              <w:ind w:left="140"/>
              <w:spacing w:after="0"/>
              <w:rPr>
                <w:sz w:val="20"/>
                <w:szCs w:val="20"/>
                <w:color w:val="auto"/>
              </w:rPr>
            </w:pPr>
            <w:r>
              <w:rPr>
                <w:rFonts w:ascii="Arial" w:cs="Arial" w:eastAsia="Arial" w:hAnsi="Arial"/>
                <w:sz w:val="10"/>
                <w:szCs w:val="10"/>
                <w:color w:val="auto"/>
              </w:rPr>
              <w:t>Revisions and reclassifications</w:t>
            </w:r>
          </w:p>
        </w:tc>
        <w:tc>
          <w:tcPr>
            <w:tcW w:w="1860" w:type="dxa"/>
            <w:vAlign w:val="bottom"/>
          </w:tcPr>
          <w:p>
            <w:pPr>
              <w:jc w:val="right"/>
              <w:spacing w:after="0"/>
              <w:rPr>
                <w:sz w:val="20"/>
                <w:szCs w:val="20"/>
                <w:color w:val="auto"/>
              </w:rPr>
            </w:pPr>
            <w:r>
              <w:rPr>
                <w:rFonts w:ascii="Arial" w:cs="Arial" w:eastAsia="Arial" w:hAnsi="Arial"/>
                <w:sz w:val="10"/>
                <w:szCs w:val="10"/>
                <w:color w:val="auto"/>
              </w:rPr>
              <w:t>(32)</w:t>
            </w:r>
          </w:p>
        </w:tc>
        <w:tc>
          <w:tcPr>
            <w:tcW w:w="15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80" w:type="dxa"/>
            <w:vAlign w:val="bottom"/>
          </w:tcPr>
          <w:p>
            <w:pPr>
              <w:ind w:left="10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232"/>
              <w:spacing w:after="0"/>
              <w:rPr>
                <w:sz w:val="20"/>
                <w:szCs w:val="20"/>
                <w:color w:val="auto"/>
              </w:rPr>
            </w:pPr>
            <w:r>
              <w:rPr>
                <w:rFonts w:ascii="Arial" w:cs="Arial" w:eastAsia="Arial" w:hAnsi="Arial"/>
                <w:sz w:val="10"/>
                <w:szCs w:val="10"/>
                <w:color w:val="auto"/>
              </w:rPr>
              <w:t>(234)</w:t>
            </w:r>
          </w:p>
        </w:tc>
        <w:tc>
          <w:tcPr>
            <w:tcW w:w="1060" w:type="dxa"/>
            <w:vAlign w:val="bottom"/>
          </w:tcPr>
          <w:p>
            <w:pPr>
              <w:jc w:val="right"/>
              <w:spacing w:after="0"/>
              <w:rPr>
                <w:sz w:val="20"/>
                <w:szCs w:val="20"/>
                <w:color w:val="auto"/>
              </w:rPr>
            </w:pPr>
            <w:r>
              <w:rPr>
                <w:rFonts w:ascii="Arial" w:cs="Arial" w:eastAsia="Arial" w:hAnsi="Arial"/>
                <w:sz w:val="10"/>
                <w:szCs w:val="10"/>
                <w:color w:val="auto"/>
              </w:rPr>
              <w:t>(73)</w:t>
            </w:r>
          </w:p>
        </w:tc>
        <w:tc>
          <w:tcPr>
            <w:tcW w:w="0" w:type="dxa"/>
            <w:vAlign w:val="bottom"/>
          </w:tcPr>
          <w:p>
            <w:pPr>
              <w:spacing w:after="0"/>
              <w:rPr>
                <w:sz w:val="1"/>
                <w:szCs w:val="1"/>
                <w:color w:val="auto"/>
              </w:rPr>
            </w:pPr>
          </w:p>
        </w:tc>
      </w:tr>
      <w:tr>
        <w:trPr>
          <w:trHeight w:val="126"/>
        </w:trPr>
        <w:tc>
          <w:tcPr>
            <w:tcW w:w="4140" w:type="dxa"/>
            <w:vAlign w:val="bottom"/>
          </w:tcPr>
          <w:p>
            <w:pPr>
              <w:ind w:left="140"/>
              <w:spacing w:after="0"/>
              <w:rPr>
                <w:sz w:val="20"/>
                <w:szCs w:val="20"/>
                <w:color w:val="auto"/>
              </w:rPr>
            </w:pPr>
            <w:r>
              <w:rPr>
                <w:rFonts w:ascii="Arial" w:cs="Arial" w:eastAsia="Arial" w:hAnsi="Arial"/>
                <w:sz w:val="10"/>
                <w:szCs w:val="10"/>
                <w:color w:val="auto"/>
              </w:rPr>
              <w:t>Improved recovery</w:t>
            </w:r>
          </w:p>
        </w:tc>
        <w:tc>
          <w:tcPr>
            <w:tcW w:w="18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80" w:type="dxa"/>
            <w:vAlign w:val="bottom"/>
          </w:tcPr>
          <w:p>
            <w:pPr>
              <w:ind w:left="10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4140" w:type="dxa"/>
            <w:vAlign w:val="bottom"/>
          </w:tcPr>
          <w:p>
            <w:pPr>
              <w:ind w:left="140"/>
              <w:spacing w:after="0"/>
              <w:rPr>
                <w:sz w:val="20"/>
                <w:szCs w:val="20"/>
                <w:color w:val="auto"/>
              </w:rPr>
            </w:pPr>
            <w:r>
              <w:rPr>
                <w:rFonts w:ascii="Arial" w:cs="Arial" w:eastAsia="Arial" w:hAnsi="Arial"/>
                <w:sz w:val="10"/>
                <w:szCs w:val="10"/>
                <w:color w:val="auto"/>
              </w:rPr>
              <w:t>Extensions and discoveries</w:t>
            </w:r>
          </w:p>
        </w:tc>
        <w:tc>
          <w:tcPr>
            <w:tcW w:w="186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15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80" w:type="dxa"/>
            <w:vAlign w:val="bottom"/>
          </w:tcPr>
          <w:p>
            <w:pPr>
              <w:ind w:left="10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252"/>
              <w:spacing w:after="0"/>
              <w:rPr>
                <w:sz w:val="20"/>
                <w:szCs w:val="20"/>
                <w:color w:val="auto"/>
              </w:rPr>
            </w:pPr>
            <w:r>
              <w:rPr>
                <w:rFonts w:ascii="Arial" w:cs="Arial" w:eastAsia="Arial" w:hAnsi="Arial"/>
                <w:sz w:val="10"/>
                <w:szCs w:val="10"/>
                <w:color w:val="auto"/>
              </w:rPr>
              <w:t>2</w:t>
            </w:r>
          </w:p>
        </w:tc>
        <w:tc>
          <w:tcPr>
            <w:tcW w:w="1060" w:type="dxa"/>
            <w:vAlign w:val="bottom"/>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0"/>
        </w:trPr>
        <w:tc>
          <w:tcPr>
            <w:tcW w:w="41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Purchases and sales of minerals in place</w:t>
            </w: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4"/>
        </w:trPr>
        <w:tc>
          <w:tcPr>
            <w:tcW w:w="4140" w:type="dxa"/>
            <w:vAlign w:val="bottom"/>
          </w:tcPr>
          <w:p>
            <w:pPr>
              <w:ind w:left="140"/>
              <w:spacing w:after="0"/>
              <w:rPr>
                <w:sz w:val="20"/>
                <w:szCs w:val="20"/>
                <w:color w:val="auto"/>
              </w:rPr>
            </w:pPr>
            <w:r>
              <w:rPr>
                <w:rFonts w:ascii="Arial" w:cs="Arial" w:eastAsia="Arial" w:hAnsi="Arial"/>
                <w:sz w:val="10"/>
                <w:szCs w:val="10"/>
                <w:color w:val="auto"/>
              </w:rPr>
              <w:t>Total before taking production into account</w:t>
            </w:r>
          </w:p>
        </w:tc>
        <w:tc>
          <w:tcPr>
            <w:tcW w:w="1860" w:type="dxa"/>
            <w:vAlign w:val="bottom"/>
          </w:tcPr>
          <w:p>
            <w:pPr>
              <w:jc w:val="right"/>
              <w:spacing w:after="0"/>
              <w:rPr>
                <w:sz w:val="20"/>
                <w:szCs w:val="20"/>
                <w:color w:val="auto"/>
              </w:rPr>
            </w:pPr>
            <w:r>
              <w:rPr>
                <w:rFonts w:ascii="Arial" w:cs="Arial" w:eastAsia="Arial" w:hAnsi="Arial"/>
                <w:sz w:val="10"/>
                <w:szCs w:val="10"/>
                <w:color w:val="auto"/>
              </w:rPr>
              <w:t>(31)</w:t>
            </w:r>
          </w:p>
        </w:tc>
        <w:tc>
          <w:tcPr>
            <w:tcW w:w="15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80" w:type="dxa"/>
            <w:vAlign w:val="bottom"/>
          </w:tcPr>
          <w:p>
            <w:pPr>
              <w:ind w:left="10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232"/>
              <w:spacing w:after="0"/>
              <w:rPr>
                <w:sz w:val="20"/>
                <w:szCs w:val="20"/>
                <w:color w:val="auto"/>
              </w:rPr>
            </w:pPr>
            <w:r>
              <w:rPr>
                <w:rFonts w:ascii="Arial" w:cs="Arial" w:eastAsia="Arial" w:hAnsi="Arial"/>
                <w:sz w:val="10"/>
                <w:szCs w:val="10"/>
                <w:color w:val="auto"/>
              </w:rPr>
              <w:t>(232)</w:t>
            </w:r>
          </w:p>
        </w:tc>
        <w:tc>
          <w:tcPr>
            <w:tcW w:w="1060" w:type="dxa"/>
            <w:vAlign w:val="bottom"/>
          </w:tcPr>
          <w:p>
            <w:pPr>
              <w:jc w:val="right"/>
              <w:spacing w:after="0"/>
              <w:rPr>
                <w:sz w:val="20"/>
                <w:szCs w:val="20"/>
                <w:color w:val="auto"/>
              </w:rPr>
            </w:pPr>
            <w:r>
              <w:rPr>
                <w:rFonts w:ascii="Arial" w:cs="Arial" w:eastAsia="Arial" w:hAnsi="Arial"/>
                <w:sz w:val="10"/>
                <w:szCs w:val="10"/>
                <w:color w:val="auto"/>
              </w:rPr>
              <w:t>(72)</w:t>
            </w:r>
          </w:p>
        </w:tc>
        <w:tc>
          <w:tcPr>
            <w:tcW w:w="0" w:type="dxa"/>
            <w:vAlign w:val="bottom"/>
          </w:tcPr>
          <w:p>
            <w:pPr>
              <w:spacing w:after="0"/>
              <w:rPr>
                <w:sz w:val="1"/>
                <w:szCs w:val="1"/>
                <w:color w:val="auto"/>
              </w:rPr>
            </w:pPr>
          </w:p>
        </w:tc>
      </w:tr>
      <w:tr>
        <w:trPr>
          <w:trHeight w:val="127"/>
        </w:trPr>
        <w:tc>
          <w:tcPr>
            <w:tcW w:w="41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Production [C]</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(615)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(142)</w:t>
            </w:r>
          </w:p>
        </w:tc>
        <w:tc>
          <w:tcPr>
            <w:tcW w:w="0" w:type="dxa"/>
            <w:vAlign w:val="bottom"/>
          </w:tcPr>
          <w:p>
            <w:pPr>
              <w:spacing w:after="0"/>
              <w:rPr>
                <w:sz w:val="1"/>
                <w:szCs w:val="1"/>
                <w:color w:val="auto"/>
              </w:rPr>
            </w:pPr>
          </w:p>
        </w:tc>
      </w:tr>
      <w:tr>
        <w:trPr>
          <w:trHeight w:val="114"/>
        </w:trPr>
        <w:tc>
          <w:tcPr>
            <w:tcW w:w="4140" w:type="dxa"/>
            <w:vAlign w:val="bottom"/>
          </w:tcPr>
          <w:p>
            <w:pPr>
              <w:ind w:left="140"/>
              <w:spacing w:after="0"/>
              <w:rPr>
                <w:sz w:val="20"/>
                <w:szCs w:val="20"/>
                <w:color w:val="auto"/>
              </w:rPr>
            </w:pPr>
            <w:r>
              <w:rPr>
                <w:rFonts w:ascii="Arial" w:cs="Arial" w:eastAsia="Arial" w:hAnsi="Arial"/>
                <w:sz w:val="10"/>
                <w:szCs w:val="10"/>
                <w:color w:val="auto"/>
              </w:rPr>
              <w:t>Total</w:t>
            </w:r>
          </w:p>
        </w:tc>
        <w:tc>
          <w:tcPr>
            <w:tcW w:w="1860" w:type="dxa"/>
            <w:vAlign w:val="bottom"/>
          </w:tcPr>
          <w:p>
            <w:pPr>
              <w:jc w:val="right"/>
              <w:spacing w:after="0"/>
              <w:rPr>
                <w:sz w:val="20"/>
                <w:szCs w:val="20"/>
                <w:color w:val="auto"/>
              </w:rPr>
            </w:pPr>
            <w:r>
              <w:rPr>
                <w:rFonts w:ascii="Arial" w:cs="Arial" w:eastAsia="Arial" w:hAnsi="Arial"/>
                <w:sz w:val="10"/>
                <w:szCs w:val="10"/>
                <w:color w:val="auto"/>
              </w:rPr>
              <w:t>(67)</w:t>
            </w:r>
          </w:p>
        </w:tc>
        <w:tc>
          <w:tcPr>
            <w:tcW w:w="15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80" w:type="dxa"/>
            <w:vAlign w:val="bottom"/>
          </w:tcPr>
          <w:p>
            <w:pPr>
              <w:ind w:left="10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232"/>
              <w:spacing w:after="0"/>
              <w:rPr>
                <w:sz w:val="20"/>
                <w:szCs w:val="20"/>
                <w:color w:val="auto"/>
              </w:rPr>
            </w:pPr>
            <w:r>
              <w:rPr>
                <w:rFonts w:ascii="Arial" w:cs="Arial" w:eastAsia="Arial" w:hAnsi="Arial"/>
                <w:sz w:val="10"/>
                <w:szCs w:val="10"/>
                <w:color w:val="auto"/>
              </w:rPr>
              <w:t>(847)</w:t>
            </w:r>
          </w:p>
        </w:tc>
        <w:tc>
          <w:tcPr>
            <w:tcW w:w="1060" w:type="dxa"/>
            <w:vAlign w:val="bottom"/>
          </w:tcPr>
          <w:p>
            <w:pPr>
              <w:jc w:val="right"/>
              <w:spacing w:after="0"/>
              <w:rPr>
                <w:sz w:val="20"/>
                <w:szCs w:val="20"/>
                <w:color w:val="auto"/>
              </w:rPr>
            </w:pPr>
            <w:r>
              <w:rPr>
                <w:rFonts w:ascii="Arial" w:cs="Arial" w:eastAsia="Arial" w:hAnsi="Arial"/>
                <w:sz w:val="10"/>
                <w:szCs w:val="10"/>
                <w:color w:val="auto"/>
              </w:rPr>
              <w:t>(214)</w:t>
            </w:r>
          </w:p>
        </w:tc>
        <w:tc>
          <w:tcPr>
            <w:tcW w:w="0" w:type="dxa"/>
            <w:vAlign w:val="bottom"/>
          </w:tcPr>
          <w:p>
            <w:pPr>
              <w:spacing w:after="0"/>
              <w:rPr>
                <w:sz w:val="1"/>
                <w:szCs w:val="1"/>
                <w:color w:val="auto"/>
              </w:rPr>
            </w:pPr>
          </w:p>
        </w:tc>
      </w:tr>
      <w:tr>
        <w:trPr>
          <w:trHeight w:val="127"/>
        </w:trPr>
        <w:tc>
          <w:tcPr>
            <w:tcW w:w="4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January 1, 2020</w:t>
            </w: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283</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4,829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1,116</w:t>
            </w:r>
          </w:p>
        </w:tc>
        <w:tc>
          <w:tcPr>
            <w:tcW w:w="0" w:type="dxa"/>
            <w:vAlign w:val="bottom"/>
          </w:tcPr>
          <w:p>
            <w:pPr>
              <w:spacing w:after="0"/>
              <w:rPr>
                <w:sz w:val="1"/>
                <w:szCs w:val="1"/>
                <w:color w:val="auto"/>
              </w:rPr>
            </w:pPr>
          </w:p>
        </w:tc>
      </w:tr>
      <w:tr>
        <w:trPr>
          <w:trHeight w:val="117"/>
        </w:trPr>
        <w:tc>
          <w:tcPr>
            <w:tcW w:w="4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2020</w:t>
            </w: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216</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3,982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902</w:t>
            </w:r>
          </w:p>
        </w:tc>
        <w:tc>
          <w:tcPr>
            <w:tcW w:w="0" w:type="dxa"/>
            <w:vAlign w:val="bottom"/>
          </w:tcPr>
          <w:p>
            <w:pPr>
              <w:spacing w:after="0"/>
              <w:rPr>
                <w:sz w:val="1"/>
                <w:szCs w:val="1"/>
                <w:color w:val="auto"/>
              </w:rPr>
            </w:pPr>
          </w:p>
        </w:tc>
      </w:tr>
      <w:tr>
        <w:trPr>
          <w:trHeight w:val="113"/>
        </w:trPr>
        <w:tc>
          <w:tcPr>
            <w:tcW w:w="4140" w:type="dxa"/>
            <w:vAlign w:val="bottom"/>
          </w:tcPr>
          <w:p>
            <w:pPr>
              <w:spacing w:after="0" w:line="113" w:lineRule="exact"/>
              <w:rPr>
                <w:sz w:val="20"/>
                <w:szCs w:val="20"/>
                <w:color w:val="auto"/>
              </w:rPr>
            </w:pPr>
            <w:r>
              <w:rPr>
                <w:rFonts w:ascii="Arial" w:cs="Arial" w:eastAsia="Arial" w:hAnsi="Arial"/>
                <w:sz w:val="10"/>
                <w:szCs w:val="10"/>
                <w:color w:val="auto"/>
              </w:rPr>
              <w:t>Total</w:t>
            </w:r>
          </w:p>
        </w:tc>
        <w:tc>
          <w:tcPr>
            <w:tcW w:w="18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140" w:type="dxa"/>
            <w:vAlign w:val="bottom"/>
          </w:tcPr>
          <w:p>
            <w:pPr>
              <w:ind w:left="140"/>
              <w:spacing w:after="0"/>
              <w:rPr>
                <w:sz w:val="20"/>
                <w:szCs w:val="20"/>
                <w:color w:val="auto"/>
              </w:rPr>
            </w:pPr>
            <w:r>
              <w:rPr>
                <w:rFonts w:ascii="Arial" w:cs="Arial" w:eastAsia="Arial" w:hAnsi="Arial"/>
                <w:sz w:val="10"/>
                <w:szCs w:val="10"/>
                <w:color w:val="auto"/>
              </w:rPr>
              <w:t>Increase/(decrease) before taking production into account</w:t>
            </w:r>
          </w:p>
        </w:tc>
        <w:tc>
          <w:tcPr>
            <w:tcW w:w="1860" w:type="dxa"/>
            <w:vAlign w:val="bottom"/>
          </w:tcPr>
          <w:p>
            <w:pPr>
              <w:jc w:val="right"/>
              <w:spacing w:after="0"/>
              <w:rPr>
                <w:sz w:val="20"/>
                <w:szCs w:val="20"/>
                <w:color w:val="auto"/>
              </w:rPr>
            </w:pPr>
            <w:r>
              <w:rPr>
                <w:rFonts w:ascii="Arial" w:cs="Arial" w:eastAsia="Arial" w:hAnsi="Arial"/>
                <w:sz w:val="10"/>
                <w:szCs w:val="10"/>
                <w:color w:val="auto"/>
              </w:rPr>
              <w:t>(38)</w:t>
            </w:r>
          </w:p>
        </w:tc>
        <w:tc>
          <w:tcPr>
            <w:tcW w:w="1500" w:type="dxa"/>
            <w:vAlign w:val="bottom"/>
          </w:tcPr>
          <w:p>
            <w:pPr>
              <w:jc w:val="right"/>
              <w:ind w:right="192"/>
              <w:spacing w:after="0"/>
              <w:rPr>
                <w:sz w:val="20"/>
                <w:szCs w:val="20"/>
                <w:color w:val="auto"/>
              </w:rPr>
            </w:pPr>
            <w:r>
              <w:rPr>
                <w:rFonts w:ascii="Arial" w:cs="Arial" w:eastAsia="Arial" w:hAnsi="Arial"/>
                <w:sz w:val="10"/>
                <w:szCs w:val="10"/>
                <w:color w:val="auto"/>
              </w:rPr>
              <w:t>57</w:t>
            </w:r>
          </w:p>
        </w:tc>
        <w:tc>
          <w:tcPr>
            <w:tcW w:w="1180" w:type="dxa"/>
            <w:vAlign w:val="bottom"/>
          </w:tcPr>
          <w:p>
            <w:pPr>
              <w:ind w:left="10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232"/>
              <w:spacing w:after="0"/>
              <w:rPr>
                <w:sz w:val="20"/>
                <w:szCs w:val="20"/>
                <w:color w:val="auto"/>
              </w:rPr>
            </w:pPr>
            <w:r>
              <w:rPr>
                <w:rFonts w:ascii="Arial" w:cs="Arial" w:eastAsia="Arial" w:hAnsi="Arial"/>
                <w:sz w:val="10"/>
                <w:szCs w:val="10"/>
                <w:color w:val="auto"/>
              </w:rPr>
              <w:t>(4,080)</w:t>
            </w:r>
          </w:p>
        </w:tc>
        <w:tc>
          <w:tcPr>
            <w:tcW w:w="1060" w:type="dxa"/>
            <w:vAlign w:val="bottom"/>
          </w:tcPr>
          <w:p>
            <w:pPr>
              <w:jc w:val="right"/>
              <w:spacing w:after="0"/>
              <w:rPr>
                <w:sz w:val="20"/>
                <w:szCs w:val="20"/>
                <w:color w:val="auto"/>
              </w:rPr>
            </w:pPr>
            <w:r>
              <w:rPr>
                <w:rFonts w:ascii="Arial" w:cs="Arial" w:eastAsia="Arial" w:hAnsi="Arial"/>
                <w:sz w:val="10"/>
                <w:szCs w:val="10"/>
                <w:color w:val="auto"/>
              </w:rPr>
              <w:t>(686)</w:t>
            </w:r>
          </w:p>
        </w:tc>
        <w:tc>
          <w:tcPr>
            <w:tcW w:w="0" w:type="dxa"/>
            <w:vAlign w:val="bottom"/>
          </w:tcPr>
          <w:p>
            <w:pPr>
              <w:spacing w:after="0"/>
              <w:rPr>
                <w:sz w:val="1"/>
                <w:szCs w:val="1"/>
                <w:color w:val="auto"/>
              </w:rPr>
            </w:pPr>
          </w:p>
        </w:tc>
      </w:tr>
      <w:tr>
        <w:trPr>
          <w:trHeight w:val="130"/>
        </w:trPr>
        <w:tc>
          <w:tcPr>
            <w:tcW w:w="41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Production</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(642)</w:t>
            </w: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(20)</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(3,627)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(1,286)</w:t>
            </w:r>
          </w:p>
        </w:tc>
        <w:tc>
          <w:tcPr>
            <w:tcW w:w="0" w:type="dxa"/>
            <w:vAlign w:val="bottom"/>
          </w:tcPr>
          <w:p>
            <w:pPr>
              <w:spacing w:after="0"/>
              <w:rPr>
                <w:sz w:val="1"/>
                <w:szCs w:val="1"/>
                <w:color w:val="auto"/>
              </w:rPr>
            </w:pPr>
          </w:p>
        </w:tc>
      </w:tr>
      <w:tr>
        <w:trPr>
          <w:trHeight w:val="114"/>
        </w:trPr>
        <w:tc>
          <w:tcPr>
            <w:tcW w:w="4140" w:type="dxa"/>
            <w:vAlign w:val="bottom"/>
          </w:tcPr>
          <w:p>
            <w:pPr>
              <w:ind w:left="140"/>
              <w:spacing w:after="0"/>
              <w:rPr>
                <w:sz w:val="20"/>
                <w:szCs w:val="20"/>
                <w:color w:val="auto"/>
              </w:rPr>
            </w:pPr>
            <w:r>
              <w:rPr>
                <w:rFonts w:ascii="Arial" w:cs="Arial" w:eastAsia="Arial" w:hAnsi="Arial"/>
                <w:sz w:val="10"/>
                <w:szCs w:val="10"/>
                <w:color w:val="auto"/>
              </w:rPr>
              <w:t>Increase/(decrease)</w:t>
            </w:r>
          </w:p>
        </w:tc>
        <w:tc>
          <w:tcPr>
            <w:tcW w:w="1860" w:type="dxa"/>
            <w:vAlign w:val="bottom"/>
          </w:tcPr>
          <w:p>
            <w:pPr>
              <w:jc w:val="right"/>
              <w:spacing w:after="0"/>
              <w:rPr>
                <w:sz w:val="20"/>
                <w:szCs w:val="20"/>
                <w:color w:val="auto"/>
              </w:rPr>
            </w:pPr>
            <w:r>
              <w:rPr>
                <w:rFonts w:ascii="Arial" w:cs="Arial" w:eastAsia="Arial" w:hAnsi="Arial"/>
                <w:sz w:val="10"/>
                <w:szCs w:val="10"/>
                <w:color w:val="auto"/>
              </w:rPr>
              <w:t>(680)</w:t>
            </w:r>
          </w:p>
        </w:tc>
        <w:tc>
          <w:tcPr>
            <w:tcW w:w="1500" w:type="dxa"/>
            <w:vAlign w:val="bottom"/>
          </w:tcPr>
          <w:p>
            <w:pPr>
              <w:jc w:val="right"/>
              <w:ind w:right="192"/>
              <w:spacing w:after="0"/>
              <w:rPr>
                <w:sz w:val="20"/>
                <w:szCs w:val="20"/>
                <w:color w:val="auto"/>
              </w:rPr>
            </w:pPr>
            <w:r>
              <w:rPr>
                <w:rFonts w:ascii="Arial" w:cs="Arial" w:eastAsia="Arial" w:hAnsi="Arial"/>
                <w:sz w:val="10"/>
                <w:szCs w:val="10"/>
                <w:color w:val="auto"/>
              </w:rPr>
              <w:t>37</w:t>
            </w:r>
          </w:p>
        </w:tc>
        <w:tc>
          <w:tcPr>
            <w:tcW w:w="1180" w:type="dxa"/>
            <w:vAlign w:val="bottom"/>
          </w:tcPr>
          <w:p>
            <w:pPr>
              <w:ind w:left="10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232"/>
              <w:spacing w:after="0"/>
              <w:rPr>
                <w:sz w:val="20"/>
                <w:szCs w:val="20"/>
                <w:color w:val="auto"/>
              </w:rPr>
            </w:pPr>
            <w:r>
              <w:rPr>
                <w:rFonts w:ascii="Arial" w:cs="Arial" w:eastAsia="Arial" w:hAnsi="Arial"/>
                <w:sz w:val="10"/>
                <w:szCs w:val="10"/>
                <w:color w:val="auto"/>
              </w:rPr>
              <w:t>(7,707)</w:t>
            </w:r>
          </w:p>
        </w:tc>
        <w:tc>
          <w:tcPr>
            <w:tcW w:w="1060" w:type="dxa"/>
            <w:vAlign w:val="bottom"/>
          </w:tcPr>
          <w:p>
            <w:pPr>
              <w:jc w:val="right"/>
              <w:spacing w:after="0"/>
              <w:rPr>
                <w:sz w:val="20"/>
                <w:szCs w:val="20"/>
                <w:color w:val="auto"/>
              </w:rPr>
            </w:pPr>
            <w:r>
              <w:rPr>
                <w:rFonts w:ascii="Arial" w:cs="Arial" w:eastAsia="Arial" w:hAnsi="Arial"/>
                <w:sz w:val="10"/>
                <w:szCs w:val="10"/>
                <w:color w:val="auto"/>
              </w:rPr>
              <w:t>(1,972)</w:t>
            </w:r>
          </w:p>
        </w:tc>
        <w:tc>
          <w:tcPr>
            <w:tcW w:w="0" w:type="dxa"/>
            <w:vAlign w:val="bottom"/>
          </w:tcPr>
          <w:p>
            <w:pPr>
              <w:spacing w:after="0"/>
              <w:rPr>
                <w:sz w:val="1"/>
                <w:szCs w:val="1"/>
                <w:color w:val="auto"/>
              </w:rPr>
            </w:pPr>
          </w:p>
        </w:tc>
      </w:tr>
      <w:tr>
        <w:trPr>
          <w:trHeight w:val="127"/>
        </w:trPr>
        <w:tc>
          <w:tcPr>
            <w:tcW w:w="4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January 1, 2020</w:t>
            </w: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4,657</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607</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33,821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11,096</w:t>
            </w:r>
          </w:p>
        </w:tc>
        <w:tc>
          <w:tcPr>
            <w:tcW w:w="0" w:type="dxa"/>
            <w:vAlign w:val="bottom"/>
          </w:tcPr>
          <w:p>
            <w:pPr>
              <w:spacing w:after="0"/>
              <w:rPr>
                <w:sz w:val="1"/>
                <w:szCs w:val="1"/>
                <w:color w:val="auto"/>
              </w:rPr>
            </w:pPr>
          </w:p>
        </w:tc>
      </w:tr>
      <w:tr>
        <w:trPr>
          <w:trHeight w:val="117"/>
        </w:trPr>
        <w:tc>
          <w:tcPr>
            <w:tcW w:w="4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2020</w:t>
            </w: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3,977</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644</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26,114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9,124</w:t>
            </w:r>
          </w:p>
        </w:tc>
        <w:tc>
          <w:tcPr>
            <w:tcW w:w="0" w:type="dxa"/>
            <w:vAlign w:val="bottom"/>
          </w:tcPr>
          <w:p>
            <w:pPr>
              <w:spacing w:after="0"/>
              <w:rPr>
                <w:sz w:val="1"/>
                <w:szCs w:val="1"/>
                <w:color w:val="auto"/>
              </w:rPr>
            </w:pPr>
          </w:p>
        </w:tc>
      </w:tr>
      <w:tr>
        <w:trPr>
          <w:trHeight w:val="115"/>
        </w:trPr>
        <w:tc>
          <w:tcPr>
            <w:tcW w:w="4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Reserves attributable to non-controlling interest in Shell subsidiaries at December 31, 2020</w:t>
            </w: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322</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322</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28" w:hanging="128"/>
        <w:spacing w:after="0"/>
        <w:tabs>
          <w:tab w:leader="none" w:pos="128" w:val="left"/>
        </w:tabs>
        <w:numPr>
          <w:ilvl w:val="0"/>
          <w:numId w:val="24"/>
        </w:numPr>
        <w:rPr>
          <w:rFonts w:ascii="Arial" w:cs="Arial" w:eastAsia="Arial" w:hAnsi="Arial"/>
          <w:sz w:val="7"/>
          <w:szCs w:val="7"/>
          <w:color w:val="auto"/>
        </w:rPr>
      </w:pPr>
      <w:r>
        <w:rPr>
          <w:rFonts w:ascii="Arial" w:cs="Arial" w:eastAsia="Arial" w:hAnsi="Arial"/>
          <w:sz w:val="7"/>
          <w:szCs w:val="7"/>
          <w:color w:val="auto"/>
        </w:rPr>
        <w:t>Natural gas volumes are converted into oil equivalent using a factor of 5,800 standard cubic feet (scf) per barrel.</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24"/>
        </w:numPr>
        <w:rPr>
          <w:rFonts w:ascii="Arial" w:cs="Arial" w:eastAsia="Arial" w:hAnsi="Arial"/>
          <w:sz w:val="7"/>
          <w:szCs w:val="7"/>
          <w:color w:val="auto"/>
        </w:rPr>
      </w:pPr>
      <w:r>
        <w:rPr>
          <w:rFonts w:ascii="Arial" w:cs="Arial" w:eastAsia="Arial" w:hAnsi="Arial"/>
          <w:sz w:val="7"/>
          <w:szCs w:val="7"/>
          <w:color w:val="auto"/>
        </w:rPr>
        <w:t>Included 40 million boe consumed in operations (natural gas: 225 thousand million scf; synthetic crude oil: 1 million barrels).</w:t>
      </w:r>
    </w:p>
    <w:p>
      <w:pPr>
        <w:ind w:left="108" w:hanging="108"/>
        <w:spacing w:after="0"/>
        <w:tabs>
          <w:tab w:leader="none" w:pos="108" w:val="left"/>
        </w:tabs>
        <w:numPr>
          <w:ilvl w:val="0"/>
          <w:numId w:val="24"/>
        </w:numPr>
        <w:rPr>
          <w:rFonts w:ascii="Arial" w:cs="Arial" w:eastAsia="Arial" w:hAnsi="Arial"/>
          <w:sz w:val="7"/>
          <w:szCs w:val="7"/>
          <w:color w:val="auto"/>
        </w:rPr>
      </w:pPr>
      <w:r>
        <w:rPr>
          <w:rFonts w:ascii="Arial" w:cs="Arial" w:eastAsia="Arial" w:hAnsi="Arial"/>
          <w:sz w:val="7"/>
          <w:szCs w:val="7"/>
          <w:color w:val="auto"/>
        </w:rPr>
        <w:t>Included 7 million boe consumed in operations (natural gas: 42 thousand million scf).</w:t>
      </w:r>
    </w:p>
    <w:p>
      <w:pPr>
        <w:sectPr>
          <w:pgSz w:w="11900" w:h="16838" w:orient="portrait"/>
          <w:cols w:equalWidth="0" w:num="1">
            <w:col w:w="11308"/>
          </w:cols>
          <w:pgMar w:left="292" w:top="721" w:right="299" w:bottom="1440" w:gutter="0" w:footer="0" w:header="0"/>
        </w:sectPr>
      </w:pPr>
    </w:p>
    <w:p>
      <w:pPr>
        <w:spacing w:after="0" w:line="158" w:lineRule="exact"/>
        <w:rPr>
          <w:sz w:val="20"/>
          <w:szCs w:val="20"/>
          <w:color w:val="auto"/>
        </w:rPr>
      </w:pPr>
    </w:p>
    <w:p>
      <w:pPr>
        <w:ind w:left="8"/>
        <w:spacing w:after="0"/>
        <w:rPr>
          <w:sz w:val="20"/>
          <w:szCs w:val="20"/>
          <w:color w:val="auto"/>
        </w:rPr>
      </w:pPr>
      <w:r>
        <w:rPr>
          <w:rFonts w:ascii="Arial" w:cs="Arial" w:eastAsia="Arial" w:hAnsi="Arial"/>
          <w:sz w:val="11"/>
          <w:szCs w:val="11"/>
          <w:color w:val="auto"/>
        </w:rPr>
        <w:t>PROVED RESERVES</w:t>
      </w:r>
    </w:p>
    <w:p>
      <w:pPr>
        <w:ind w:left="8" w:right="320"/>
        <w:spacing w:after="0" w:line="337" w:lineRule="auto"/>
        <w:rPr>
          <w:sz w:val="20"/>
          <w:szCs w:val="20"/>
          <w:color w:val="auto"/>
        </w:rPr>
      </w:pPr>
      <w:r>
        <w:rPr>
          <w:rFonts w:ascii="Arial" w:cs="Arial" w:eastAsia="Arial" w:hAnsi="Arial"/>
          <w:sz w:val="8"/>
          <w:szCs w:val="8"/>
          <w:color w:val="auto"/>
        </w:rPr>
        <w:t>The proved oil and gas reserves of Shell subsidiaries and the Shell share of the proved oil and gas reserves of joint ventures and associates are set out in more detail in “Supplementary information - oil and gas (unaudited)” on pages 211-228.</w:t>
      </w:r>
    </w:p>
    <w:p>
      <w:pPr>
        <w:spacing w:after="0" w:line="112" w:lineRule="exact"/>
        <w:rPr>
          <w:sz w:val="20"/>
          <w:szCs w:val="20"/>
          <w:color w:val="auto"/>
        </w:rPr>
      </w:pPr>
    </w:p>
    <w:p>
      <w:pPr>
        <w:ind w:left="8" w:right="60"/>
        <w:spacing w:after="0" w:line="358" w:lineRule="auto"/>
        <w:rPr>
          <w:sz w:val="20"/>
          <w:szCs w:val="20"/>
          <w:color w:val="auto"/>
        </w:rPr>
      </w:pPr>
      <w:r>
        <w:rPr>
          <w:rFonts w:ascii="Arial" w:cs="Arial" w:eastAsia="Arial" w:hAnsi="Arial"/>
          <w:sz w:val="8"/>
          <w:szCs w:val="8"/>
          <w:color w:val="auto"/>
        </w:rPr>
        <w:t>Before taking production into account, our proved reserves decreased by 686 million boe in 2020. This comprised of decreases of 614 million boe from Shell subsidiaries and of decreases of 72 million boe from the Shell share of joint ventures and associates.</w:t>
      </w:r>
    </w:p>
    <w:p>
      <w:pPr>
        <w:spacing w:after="0" w:line="104" w:lineRule="exact"/>
        <w:rPr>
          <w:sz w:val="20"/>
          <w:szCs w:val="20"/>
          <w:color w:val="auto"/>
        </w:rPr>
      </w:pPr>
    </w:p>
    <w:p>
      <w:pPr>
        <w:ind w:left="8"/>
        <w:spacing w:after="0" w:line="239" w:lineRule="auto"/>
        <w:rPr>
          <w:sz w:val="20"/>
          <w:szCs w:val="20"/>
          <w:color w:val="auto"/>
        </w:rPr>
      </w:pPr>
      <w:r>
        <w:rPr>
          <w:rFonts w:ascii="Arial" w:cs="Arial" w:eastAsia="Arial" w:hAnsi="Arial"/>
          <w:sz w:val="10"/>
          <w:szCs w:val="10"/>
          <w:color w:val="auto"/>
        </w:rPr>
        <w:t xml:space="preserve">After taking production into account, our proved reserves decreased by 1,972 million boe in </w:t>
      </w:r>
      <w:r>
        <w:rPr>
          <w:rFonts w:ascii="Arial" w:cs="Arial" w:eastAsia="Arial" w:hAnsi="Arial"/>
          <w:sz w:val="10"/>
          <w:szCs w:val="10"/>
          <w:u w:val="single" w:color="auto"/>
          <w:color w:val="auto"/>
        </w:rPr>
        <w:t>2020</w:t>
      </w:r>
      <w:r>
        <w:rPr>
          <w:rFonts w:ascii="Arial" w:cs="Arial" w:eastAsia="Arial" w:hAnsi="Arial"/>
          <w:sz w:val="10"/>
          <w:szCs w:val="10"/>
          <w:color w:val="auto"/>
        </w:rPr>
        <w:t xml:space="preserve"> to 9,124 million boe at December 31, </w:t>
      </w:r>
      <w:r>
        <w:rPr>
          <w:rFonts w:ascii="Arial" w:cs="Arial" w:eastAsia="Arial" w:hAnsi="Arial"/>
          <w:sz w:val="10"/>
          <w:szCs w:val="10"/>
          <w:u w:val="single" w:color="auto"/>
          <w:color w:val="auto"/>
        </w:rPr>
        <w:t>2020</w:t>
      </w:r>
      <w:r>
        <w:rPr>
          <w:rFonts w:ascii="Arial" w:cs="Arial" w:eastAsia="Arial" w:hAnsi="Arial"/>
          <w:sz w:val="10"/>
          <w:szCs w:val="10"/>
          <w:color w:val="auto"/>
        </w:rPr>
        <w:t>.</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1"/>
          <w:szCs w:val="11"/>
          <w:color w:val="auto"/>
        </w:rPr>
        <w:t>SHELL SUBSIDIARIES</w:t>
      </w:r>
    </w:p>
    <w:p>
      <w:pPr>
        <w:ind w:left="8"/>
        <w:spacing w:after="0" w:line="309" w:lineRule="auto"/>
        <w:rPr>
          <w:sz w:val="20"/>
          <w:szCs w:val="20"/>
          <w:color w:val="auto"/>
        </w:rPr>
      </w:pPr>
      <w:r>
        <w:rPr>
          <w:rFonts w:ascii="Arial" w:cs="Arial" w:eastAsia="Arial" w:hAnsi="Arial"/>
          <w:sz w:val="8"/>
          <w:szCs w:val="8"/>
          <w:color w:val="auto"/>
        </w:rPr>
        <w:t>Before taking production into account, Shell subsidiaries’ proved reserves decreased by 614 million boe in 2020. This comprised decreases of 7 million barrels of crude oil and natural gas liquids and 664 million boe (3,848 thousand million scf) of natural gas and an increase of 57 million barrels of synthetic crude oil. The 614 million boe decrease is the net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140"/>
        <w:spacing w:after="0" w:line="231" w:lineRule="auto"/>
        <w:rPr>
          <w:sz w:val="20"/>
          <w:szCs w:val="20"/>
          <w:color w:val="auto"/>
        </w:rPr>
      </w:pPr>
      <w:r>
        <w:rPr>
          <w:rFonts w:ascii="Arial" w:cs="Arial" w:eastAsia="Arial" w:hAnsi="Arial"/>
          <w:sz w:val="10"/>
          <w:szCs w:val="10"/>
          <w:color w:val="auto"/>
        </w:rPr>
        <w:t>effect of a net decrease of 607 million boe from revisions and reclassifications, an increase of 88 million boe from extensions and discoveries, and a net decrease of 95 million boe related to purchases and sales of minerals in place. On January 15th 2021 Shell announced that the Shell Petroleum Development Company of Nigeria Limited (SPDC) had completed the sale of its 30% interest in Oil Mining Lease (OML17) in the Eastern Niger Delta, and associated infrastructure. Proved reserves at end-2020 associated with this transaction were 26 million boe</w:t>
      </w:r>
    </w:p>
    <w:p>
      <w:pPr>
        <w:spacing w:after="0" w:line="149" w:lineRule="exact"/>
        <w:rPr>
          <w:sz w:val="20"/>
          <w:szCs w:val="20"/>
          <w:color w:val="auto"/>
        </w:rPr>
      </w:pPr>
    </w:p>
    <w:p>
      <w:pPr>
        <w:ind w:right="140"/>
        <w:spacing w:after="0" w:line="237" w:lineRule="auto"/>
        <w:rPr>
          <w:sz w:val="20"/>
          <w:szCs w:val="20"/>
          <w:color w:val="auto"/>
        </w:rPr>
      </w:pPr>
      <w:r>
        <w:rPr>
          <w:rFonts w:ascii="Arial" w:cs="Arial" w:eastAsia="Arial" w:hAnsi="Arial"/>
          <w:sz w:val="10"/>
          <w:szCs w:val="10"/>
          <w:color w:val="auto"/>
        </w:rPr>
        <w:t>After taking into account production of 1,144 million boe (of which 40 million boe were consumed in operations), Shell subsidiaries’ proved reserves decreased by 1,758 million boe in 2020 to 8,222 million boe. In 2020, Shell subsidiaries’ proved developed reserves (PD) decreased by 872 million boe to 6,978 million boe, and proved undeveloped reserves (PUD) decreased by 886 million boe to 1,244 million boe.</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SHELL SHARE OF JOINT VENTURES AND ASSOCIATES</w:t>
      </w:r>
    </w:p>
    <w:p>
      <w:pPr>
        <w:ind w:right="220"/>
        <w:spacing w:after="0" w:line="231" w:lineRule="auto"/>
        <w:rPr>
          <w:sz w:val="20"/>
          <w:szCs w:val="20"/>
          <w:color w:val="auto"/>
        </w:rPr>
      </w:pPr>
      <w:r>
        <w:rPr>
          <w:rFonts w:ascii="Arial" w:cs="Arial" w:eastAsia="Arial" w:hAnsi="Arial"/>
          <w:sz w:val="10"/>
          <w:szCs w:val="10"/>
          <w:color w:val="auto"/>
        </w:rPr>
        <w:t>Before taking production into account, the Shell share of joint ventures and associates’ proved reserves decreased by 72 million boe in 2020. This comprised a decrease of 31 million barrels of crude oil and natural gas</w:t>
      </w:r>
    </w:p>
    <w:p>
      <w:pPr>
        <w:spacing w:after="0" w:line="288" w:lineRule="exact"/>
        <w:rPr>
          <w:sz w:val="20"/>
          <w:szCs w:val="20"/>
          <w:color w:val="auto"/>
        </w:rPr>
      </w:pPr>
    </w:p>
    <w:p>
      <w:pPr>
        <w:sectPr>
          <w:pgSz w:w="11900" w:h="16838" w:orient="portrait"/>
          <w:cols w:equalWidth="0" w:num="2">
            <w:col w:w="5208" w:space="720"/>
            <w:col w:w="5380"/>
          </w:cols>
          <w:pgMar w:left="292" w:top="721" w:right="299" w:bottom="1440" w:gutter="0" w:footer="0" w:header="0"/>
          <w:type w:val="continuous"/>
        </w:sectPr>
      </w:pPr>
    </w:p>
    <w:p>
      <w:pPr>
        <w:spacing w:after="0" w:line="117"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43</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type w:val="continuous"/>
        </w:sectPr>
      </w:pPr>
    </w:p>
    <w:bookmarkStart w:id="46" w:name="page47"/>
    <w:bookmarkEnd w:id="46"/>
    <w:p>
      <w:pPr>
        <w:ind w:right="380"/>
        <w:spacing w:after="0" w:line="358" w:lineRule="auto"/>
        <w:rPr>
          <w:sz w:val="20"/>
          <w:szCs w:val="20"/>
          <w:color w:val="auto"/>
        </w:rPr>
      </w:pPr>
      <w:r>
        <w:rPr>
          <w:rFonts w:ascii="Arial" w:cs="Arial" w:eastAsia="Arial" w:hAnsi="Arial"/>
          <w:sz w:val="8"/>
          <w:szCs w:val="8"/>
          <w:color w:val="auto"/>
        </w:rPr>
        <w:t>liquids and a decrease of 41 million boe (232 thousand million scf) of natural gas. The 72 million boe decrease comprises a net decrease of 73 million boe from revisions and reclassifications and an increase of 1 million boe from extensions and discoveries.</w:t>
      </w:r>
    </w:p>
    <w:p>
      <w:pPr>
        <w:spacing w:after="0" w:line="104" w:lineRule="exact"/>
        <w:rPr>
          <w:sz w:val="20"/>
          <w:szCs w:val="20"/>
          <w:color w:val="auto"/>
        </w:rPr>
      </w:pPr>
    </w:p>
    <w:p>
      <w:pPr>
        <w:ind w:right="440"/>
        <w:spacing w:after="0" w:line="358" w:lineRule="auto"/>
        <w:rPr>
          <w:sz w:val="20"/>
          <w:szCs w:val="20"/>
          <w:color w:val="auto"/>
        </w:rPr>
      </w:pPr>
      <w:r>
        <w:rPr>
          <w:rFonts w:ascii="Arial" w:cs="Arial" w:eastAsia="Arial" w:hAnsi="Arial"/>
          <w:sz w:val="8"/>
          <w:szCs w:val="8"/>
          <w:color w:val="auto"/>
        </w:rPr>
        <w:t>After taking into account production of 142 million boe (of which 7 million boe were consumed in operations), the Shell share of joint ventures and associates’ proved reserves decreased by 214 million boe to 902 million boe at December 31, 2020.</w:t>
      </w:r>
    </w:p>
    <w:p>
      <w:pPr>
        <w:spacing w:after="0" w:line="104" w:lineRule="exact"/>
        <w:rPr>
          <w:sz w:val="20"/>
          <w:szCs w:val="20"/>
          <w:color w:val="auto"/>
        </w:rPr>
      </w:pPr>
    </w:p>
    <w:p>
      <w:pPr>
        <w:ind w:right="400"/>
        <w:spacing w:after="0" w:line="239" w:lineRule="auto"/>
        <w:rPr>
          <w:sz w:val="20"/>
          <w:szCs w:val="20"/>
          <w:color w:val="auto"/>
        </w:rPr>
      </w:pPr>
      <w:r>
        <w:rPr>
          <w:rFonts w:ascii="Arial" w:cs="Arial" w:eastAsia="Arial" w:hAnsi="Arial"/>
          <w:sz w:val="10"/>
          <w:szCs w:val="10"/>
          <w:color w:val="424242"/>
        </w:rPr>
        <w:t>The Shell share of joint ventures and associates’ PD decreased by 169 million boe to 791 million boe, and proved undeveloped reserves (PUD) decreased by 45 million boe to 111 million boe.</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424242"/>
        </w:rPr>
        <w:t>For further information, see "Supplementary Information - oil and gas (unaudited)" on pages 211-228.</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PROVED UNDEVELOPED RESERVES</w:t>
      </w:r>
    </w:p>
    <w:p>
      <w:pPr>
        <w:ind w:right="380"/>
        <w:spacing w:after="0" w:line="227" w:lineRule="auto"/>
        <w:rPr>
          <w:sz w:val="20"/>
          <w:szCs w:val="20"/>
          <w:color w:val="auto"/>
        </w:rPr>
      </w:pPr>
      <w:r>
        <w:rPr>
          <w:rFonts w:ascii="Arial" w:cs="Arial" w:eastAsia="Arial" w:hAnsi="Arial"/>
          <w:sz w:val="10"/>
          <w:szCs w:val="10"/>
          <w:color w:val="auto"/>
        </w:rPr>
        <w:t>In 2020, Shell subsidiaries and the Shell share of joint ventures and associates’ PUD decreased by 932 million boe to 1,355 million boe. There were decreases of 339 million boe due to maturation to proved developed - mainly 98 million boe in Brazil, 95 million boe in the USA and 146 million boe spread across other countries. There were also decreases of 682 million boe due to other revisions resulting mainly from a combination of lower year average price and reductions in planned capital expenditure (mainly in Australia (354 million boe), USA (121 million boe) and Brazil (100 million boe)), partly offset by net increases of 89 million boe due to extensions and discoveries.</w:t>
      </w:r>
    </w:p>
    <w:p>
      <w:pPr>
        <w:spacing w:after="0" w:line="149" w:lineRule="exact"/>
        <w:rPr>
          <w:sz w:val="20"/>
          <w:szCs w:val="20"/>
          <w:color w:val="auto"/>
        </w:rPr>
      </w:pPr>
    </w:p>
    <w:p>
      <w:pPr>
        <w:ind w:right="400"/>
        <w:spacing w:after="0" w:line="239" w:lineRule="auto"/>
        <w:rPr>
          <w:sz w:val="20"/>
          <w:szCs w:val="20"/>
          <w:color w:val="auto"/>
        </w:rPr>
      </w:pPr>
      <w:r>
        <w:rPr>
          <w:rFonts w:ascii="Arial" w:cs="Arial" w:eastAsia="Arial" w:hAnsi="Arial"/>
          <w:sz w:val="10"/>
          <w:szCs w:val="10"/>
          <w:color w:val="auto"/>
        </w:rPr>
        <w:t>In addition to the maturation of 339 million boe from PUD to PD, 75 million boe was matured to PD from contingent resources through PUD as a result of project execution during the year.</w:t>
      </w:r>
    </w:p>
    <w:p>
      <w:pPr>
        <w:spacing w:after="0" w:line="149" w:lineRule="exact"/>
        <w:rPr>
          <w:sz w:val="20"/>
          <w:szCs w:val="20"/>
          <w:color w:val="auto"/>
        </w:rPr>
      </w:pPr>
    </w:p>
    <w:p>
      <w:pPr>
        <w:ind w:right="360"/>
        <w:spacing w:after="0" w:line="283" w:lineRule="auto"/>
        <w:rPr>
          <w:sz w:val="20"/>
          <w:szCs w:val="20"/>
          <w:color w:val="auto"/>
        </w:rPr>
      </w:pPr>
      <w:r>
        <w:rPr>
          <w:rFonts w:ascii="Arial" w:cs="Arial" w:eastAsia="Arial" w:hAnsi="Arial"/>
          <w:sz w:val="8"/>
          <w:szCs w:val="8"/>
          <w:color w:val="auto"/>
        </w:rPr>
        <w:t>PUD held for five years or more (PUD5+) at December 31, 2020, amounted to 184 million boe, a decrease of 74 million boe compared with the end of 2019. These PUD5+ remain undeveloped because development either requires the installation of compression equipment and the drilling of additional wells, which will be executed when required to support existing gas delivery commitments (Russia), or will take longer than five years because of the complexity and scale of the project (Australia and the UK).</w:t>
      </w:r>
    </w:p>
    <w:p>
      <w:pPr>
        <w:spacing w:after="0" w:line="124" w:lineRule="exact"/>
        <w:rPr>
          <w:sz w:val="20"/>
          <w:szCs w:val="20"/>
          <w:color w:val="auto"/>
        </w:rPr>
      </w:pPr>
    </w:p>
    <w:p>
      <w:pPr>
        <w:spacing w:after="0"/>
        <w:rPr>
          <w:sz w:val="20"/>
          <w:szCs w:val="20"/>
          <w:color w:val="auto"/>
        </w:rPr>
      </w:pPr>
      <w:r>
        <w:rPr>
          <w:rFonts w:ascii="Arial" w:cs="Arial" w:eastAsia="Arial" w:hAnsi="Arial"/>
          <w:sz w:val="10"/>
          <w:szCs w:val="10"/>
          <w:color w:val="auto"/>
        </w:rPr>
        <w:t>The decrease in PUD5+ during 2020 was driven mainly by changes in Jansz-Io (Australia) and Clair (UK).</w:t>
      </w:r>
    </w:p>
    <w:p>
      <w:pPr>
        <w:spacing w:after="0" w:line="155" w:lineRule="exact"/>
        <w:rPr>
          <w:sz w:val="20"/>
          <w:szCs w:val="20"/>
          <w:color w:val="auto"/>
        </w:rPr>
      </w:pPr>
    </w:p>
    <w:p>
      <w:pPr>
        <w:spacing w:after="0"/>
        <w:rPr>
          <w:sz w:val="20"/>
          <w:szCs w:val="20"/>
          <w:color w:val="auto"/>
        </w:rPr>
      </w:pPr>
      <w:r>
        <w:rPr>
          <w:rFonts w:ascii="Arial" w:cs="Arial" w:eastAsia="Arial" w:hAnsi="Arial"/>
          <w:sz w:val="8"/>
          <w:szCs w:val="8"/>
          <w:color w:val="auto"/>
        </w:rPr>
        <w:t>The fields with the largest PUD5+ at December 31, 2020, were Lunskoye (Russia), Gorgon and Jansz-Io (Australia) and Clair (UK).</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During 2020, we spent $6.5 billion on development activities related to PUD maturation.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2100" w:type="dxa"/>
            <w:vAlign w:val="bottom"/>
          </w:tcPr>
          <w:p>
            <w:pPr>
              <w:jc w:val="right"/>
              <w:spacing w:after="0"/>
              <w:rPr>
                <w:sz w:val="20"/>
                <w:szCs w:val="20"/>
                <w:color w:val="auto"/>
              </w:rPr>
            </w:pPr>
            <w:r>
              <w:rPr>
                <w:rFonts w:ascii="Arial" w:cs="Arial" w:eastAsia="Arial" w:hAnsi="Arial"/>
                <w:sz w:val="7"/>
                <w:szCs w:val="7"/>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color w:val="auto"/>
        </w:rPr>
        <w:t>DELIVERY COMMITMENTS</w:t>
      </w:r>
    </w:p>
    <w:p>
      <w:pPr>
        <w:ind w:right="20"/>
        <w:spacing w:after="0" w:line="229" w:lineRule="auto"/>
        <w:rPr>
          <w:sz w:val="20"/>
          <w:szCs w:val="20"/>
          <w:color w:val="auto"/>
        </w:rPr>
      </w:pPr>
      <w:r>
        <w:rPr>
          <w:rFonts w:ascii="Arial" w:cs="Arial" w:eastAsia="Arial" w:hAnsi="Arial"/>
          <w:sz w:val="10"/>
          <w:szCs w:val="10"/>
          <w:color w:val="auto"/>
        </w:rPr>
        <w:t>We sell crude oil and natural gas from our producing operations under a variety of contractual obligations. Most contracts generally commit us to sell quantities based on production from specified properties, although some natural gas sales contracts specify delivery of fixed and determinable quantities, as discussed below.</w:t>
      </w:r>
    </w:p>
    <w:p>
      <w:pPr>
        <w:spacing w:after="0" w:line="149" w:lineRule="exact"/>
        <w:rPr>
          <w:sz w:val="20"/>
          <w:szCs w:val="20"/>
          <w:color w:val="auto"/>
        </w:rPr>
      </w:pPr>
    </w:p>
    <w:p>
      <w:pPr>
        <w:ind w:right="80"/>
        <w:spacing w:after="0" w:line="231" w:lineRule="auto"/>
        <w:rPr>
          <w:sz w:val="20"/>
          <w:szCs w:val="20"/>
          <w:color w:val="auto"/>
        </w:rPr>
      </w:pPr>
      <w:r>
        <w:rPr>
          <w:rFonts w:ascii="Arial" w:cs="Arial" w:eastAsia="Arial" w:hAnsi="Arial"/>
          <w:sz w:val="10"/>
          <w:szCs w:val="10"/>
          <w:color w:val="auto"/>
        </w:rPr>
        <w:t>In the past three years, we met our contractual delivery commitments, with the notable exceptions of Egypt, Trinidad and Tobago, and Malaysia. In the period 2021-2023, we are contractually committed to deliver to third parties, joint ventures and associates a total of 7,490 billion scf of natural gas from our subsidiaries, joint ventures and associates. The sales contracts contain a mixture of fixed and variable pricing formulae that are generally referenced to the prevailing market price for crude oil, natural gas or other petroleum products at the time of delivery.</w:t>
      </w:r>
    </w:p>
    <w:p>
      <w:pPr>
        <w:spacing w:after="0" w:line="140" w:lineRule="exact"/>
        <w:rPr>
          <w:sz w:val="20"/>
          <w:szCs w:val="20"/>
          <w:color w:val="auto"/>
        </w:rPr>
      </w:pPr>
    </w:p>
    <w:p>
      <w:pPr>
        <w:ind w:right="180"/>
        <w:spacing w:after="0" w:line="273" w:lineRule="auto"/>
        <w:rPr>
          <w:sz w:val="20"/>
          <w:szCs w:val="20"/>
          <w:color w:val="auto"/>
        </w:rPr>
      </w:pPr>
      <w:r>
        <w:rPr>
          <w:rFonts w:ascii="Arial" w:cs="Arial" w:eastAsia="Arial" w:hAnsi="Arial"/>
          <w:sz w:val="8"/>
          <w:szCs w:val="8"/>
          <w:color w:val="auto"/>
        </w:rPr>
        <w:t>In the period 2021-2023, we expect to meet our delivery commitments for almost all the areas in which they are carried, with an estimated 71.9% coming from PD, 5.5% through the delivery of gas that becomes available to us from paying royalties in cash, and 22.6% from the development of PUD as well as other new projects and purchases.</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The key exceptions are:</w:t>
      </w:r>
    </w:p>
    <w:p>
      <w:pPr>
        <w:spacing w:after="0" w:line="182" w:lineRule="exact"/>
        <w:rPr>
          <w:sz w:val="20"/>
          <w:szCs w:val="20"/>
          <w:color w:val="auto"/>
        </w:rPr>
      </w:pPr>
    </w:p>
    <w:p>
      <w:pPr>
        <w:ind w:left="220" w:hanging="213"/>
        <w:spacing w:after="0" w:line="225" w:lineRule="auto"/>
        <w:tabs>
          <w:tab w:leader="none" w:pos="217" w:val="left"/>
        </w:tabs>
        <w:numPr>
          <w:ilvl w:val="0"/>
          <w:numId w:val="25"/>
        </w:numPr>
        <w:rPr>
          <w:rFonts w:ascii="Arial" w:cs="Arial" w:eastAsia="Arial" w:hAnsi="Arial"/>
          <w:sz w:val="12"/>
          <w:szCs w:val="12"/>
          <w:color w:val="auto"/>
        </w:rPr>
      </w:pPr>
      <w:r>
        <w:rPr>
          <w:rFonts w:ascii="Arial" w:cs="Arial" w:eastAsia="Arial" w:hAnsi="Arial"/>
          <w:sz w:val="10"/>
          <w:szCs w:val="10"/>
          <w:color w:val="auto"/>
        </w:rPr>
        <w:t>BG Egypt Development NOV: The government decision to divert gas from the offshore West Delta Deep Marine fields to domestic use has caused a tangible shortfall of 770 billion scf (83% of the promised gas delivery), expected to continue in the near future leaving LNG gas commitment mostly under force majeure;</w:t>
      </w:r>
    </w:p>
    <w:p>
      <w:pPr>
        <w:spacing w:after="0" w:line="15" w:lineRule="exact"/>
        <w:rPr>
          <w:rFonts w:ascii="Arial" w:cs="Arial" w:eastAsia="Arial" w:hAnsi="Arial"/>
          <w:sz w:val="12"/>
          <w:szCs w:val="12"/>
          <w:color w:val="auto"/>
        </w:rPr>
      </w:pPr>
    </w:p>
    <w:p>
      <w:pPr>
        <w:ind w:left="220" w:right="40" w:hanging="213"/>
        <w:spacing w:after="0" w:line="249" w:lineRule="auto"/>
        <w:tabs>
          <w:tab w:leader="none" w:pos="217" w:val="left"/>
        </w:tabs>
        <w:numPr>
          <w:ilvl w:val="0"/>
          <w:numId w:val="25"/>
        </w:numPr>
        <w:rPr>
          <w:rFonts w:ascii="Arial" w:cs="Arial" w:eastAsia="Arial" w:hAnsi="Arial"/>
          <w:sz w:val="11"/>
          <w:szCs w:val="11"/>
          <w:color w:val="auto"/>
        </w:rPr>
      </w:pPr>
      <w:r>
        <w:rPr>
          <w:rFonts w:ascii="Arial" w:cs="Arial" w:eastAsia="Arial" w:hAnsi="Arial"/>
          <w:sz w:val="9"/>
          <w:szCs w:val="9"/>
          <w:color w:val="auto"/>
        </w:rPr>
        <w:t>Trinidad and Tobago (East Coast Marine Area and North Coast Marine Area), where PD for all fields fail the economic test at the yearly average price for natural gas. But we expect to cover 86% of our delivery commitments from existing developed resource volumes and new projects, resulting in an expected true shortfall of some 103 billion scf; and</w:t>
      </w:r>
    </w:p>
    <w:p>
      <w:pPr>
        <w:spacing w:after="0" w:line="14" w:lineRule="exact"/>
        <w:rPr>
          <w:rFonts w:ascii="Arial" w:cs="Arial" w:eastAsia="Arial" w:hAnsi="Arial"/>
          <w:sz w:val="11"/>
          <w:szCs w:val="11"/>
          <w:color w:val="auto"/>
        </w:rPr>
      </w:pPr>
    </w:p>
    <w:p>
      <w:pPr>
        <w:ind w:left="220" w:hanging="213"/>
        <w:spacing w:after="0" w:line="225" w:lineRule="auto"/>
        <w:tabs>
          <w:tab w:leader="none" w:pos="217" w:val="left"/>
        </w:tabs>
        <w:numPr>
          <w:ilvl w:val="0"/>
          <w:numId w:val="25"/>
        </w:numPr>
        <w:rPr>
          <w:rFonts w:ascii="Arial" w:cs="Arial" w:eastAsia="Arial" w:hAnsi="Arial"/>
          <w:sz w:val="12"/>
          <w:szCs w:val="12"/>
          <w:color w:val="auto"/>
        </w:rPr>
      </w:pPr>
      <w:r>
        <w:rPr>
          <w:rFonts w:ascii="Arial" w:cs="Arial" w:eastAsia="Arial" w:hAnsi="Arial"/>
          <w:sz w:val="10"/>
          <w:szCs w:val="10"/>
          <w:color w:val="auto"/>
        </w:rPr>
        <w:t>In Malaysia, one of the third-party gas supply lines which was under maintenance has not been repaired during 2020. Force majeure has been declared, and no penalties have been incurred, resulting in an expected true shortfall of some 72 billion scf (54% of the promised gas delivery).</w:t>
      </w:r>
    </w:p>
    <w:p>
      <w:pPr>
        <w:sectPr>
          <w:pgSz w:w="11900" w:h="16838" w:orient="portrait"/>
          <w:cols w:equalWidth="0" w:num="2">
            <w:col w:w="5600" w:space="320"/>
            <w:col w:w="5240"/>
          </w:cols>
          <w:pgMar w:left="300" w:top="640" w:right="4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57"/>
        </w:trPr>
        <w:tc>
          <w:tcPr>
            <w:tcW w:w="5480" w:type="dxa"/>
            <w:vAlign w:val="bottom"/>
            <w:tcBorders>
              <w:top w:val="single" w:sz="8" w:color="CDCDCD"/>
            </w:tcBorders>
          </w:tcPr>
          <w:p>
            <w:pPr>
              <w:spacing w:after="0"/>
              <w:rPr>
                <w:sz w:val="20"/>
                <w:szCs w:val="20"/>
                <w:color w:val="auto"/>
              </w:rPr>
            </w:pPr>
            <w:r>
              <w:rPr>
                <w:rFonts w:ascii="Arial" w:cs="Arial" w:eastAsia="Arial" w:hAnsi="Arial"/>
                <w:sz w:val="10"/>
                <w:szCs w:val="10"/>
                <w:color w:val="auto"/>
                <w:w w:val="91"/>
              </w:rPr>
              <w:t>Summary of proved oil and gas reserves of Shell subsidiaries and Shell share of joint ventures and associates (at December 31, 2020)</w:t>
            </w:r>
          </w:p>
        </w:tc>
        <w:tc>
          <w:tcPr>
            <w:tcW w:w="1720" w:type="dxa"/>
            <w:vAlign w:val="bottom"/>
            <w:tcBorders>
              <w:top w:val="single" w:sz="8" w:color="CDCDCD"/>
            </w:tcBorders>
          </w:tcPr>
          <w:p>
            <w:pPr>
              <w:spacing w:after="0"/>
              <w:rPr>
                <w:sz w:val="13"/>
                <w:szCs w:val="13"/>
                <w:color w:val="auto"/>
              </w:rPr>
            </w:pPr>
          </w:p>
        </w:tc>
        <w:tc>
          <w:tcPr>
            <w:tcW w:w="1540" w:type="dxa"/>
            <w:vAlign w:val="bottom"/>
            <w:tcBorders>
              <w:top w:val="single" w:sz="8" w:color="CDCDCD"/>
            </w:tcBorders>
          </w:tcPr>
          <w:p>
            <w:pPr>
              <w:spacing w:after="0"/>
              <w:rPr>
                <w:sz w:val="13"/>
                <w:szCs w:val="13"/>
                <w:color w:val="auto"/>
              </w:rPr>
            </w:pPr>
          </w:p>
        </w:tc>
        <w:tc>
          <w:tcPr>
            <w:tcW w:w="124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w w:val="85"/>
              </w:rPr>
              <w:t>Based on average prices for 2020</w:t>
            </w:r>
          </w:p>
        </w:tc>
        <w:tc>
          <w:tcPr>
            <w:tcW w:w="0" w:type="dxa"/>
            <w:vAlign w:val="bottom"/>
          </w:tcPr>
          <w:p>
            <w:pPr>
              <w:spacing w:after="0"/>
              <w:rPr>
                <w:sz w:val="1"/>
                <w:szCs w:val="1"/>
                <w:color w:val="auto"/>
              </w:rPr>
            </w:pPr>
          </w:p>
        </w:tc>
      </w:tr>
      <w:tr>
        <w:trPr>
          <w:trHeight w:val="98"/>
        </w:trPr>
        <w:tc>
          <w:tcPr>
            <w:tcW w:w="5480" w:type="dxa"/>
            <w:vAlign w:val="bottom"/>
          </w:tcPr>
          <w:p>
            <w:pPr>
              <w:spacing w:after="0"/>
              <w:rPr>
                <w:sz w:val="8"/>
                <w:szCs w:val="8"/>
                <w:color w:val="auto"/>
              </w:rPr>
            </w:pPr>
          </w:p>
        </w:tc>
        <w:tc>
          <w:tcPr>
            <w:tcW w:w="172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Crude oil and natural gas liquids</w:t>
            </w:r>
          </w:p>
        </w:tc>
        <w:tc>
          <w:tcPr>
            <w:tcW w:w="1540" w:type="dxa"/>
            <w:vAlign w:val="bottom"/>
            <w:vMerge w:val="restart"/>
          </w:tcPr>
          <w:p>
            <w:pPr>
              <w:jc w:val="right"/>
              <w:ind w:right="72"/>
              <w:spacing w:after="0"/>
              <w:rPr>
                <w:sz w:val="20"/>
                <w:szCs w:val="20"/>
                <w:color w:val="auto"/>
              </w:rPr>
            </w:pPr>
            <w:r>
              <w:rPr>
                <w:rFonts w:ascii="Arial" w:cs="Arial" w:eastAsia="Arial" w:hAnsi="Arial"/>
                <w:sz w:val="10"/>
                <w:szCs w:val="10"/>
                <w:b w:val="1"/>
                <w:bCs w:val="1"/>
                <w:color w:val="auto"/>
                <w:w w:val="86"/>
              </w:rPr>
              <w:t>Natural gas (thousand million scf)</w:t>
            </w:r>
          </w:p>
        </w:tc>
        <w:tc>
          <w:tcPr>
            <w:tcW w:w="1240" w:type="dxa"/>
            <w:vAlign w:val="bottom"/>
          </w:tcPr>
          <w:p>
            <w:pPr>
              <w:jc w:val="right"/>
              <w:spacing w:after="0" w:line="98" w:lineRule="exact"/>
              <w:rPr>
                <w:sz w:val="20"/>
                <w:szCs w:val="20"/>
                <w:color w:val="auto"/>
              </w:rPr>
            </w:pPr>
            <w:r>
              <w:rPr>
                <w:rFonts w:ascii="Arial" w:cs="Arial" w:eastAsia="Arial" w:hAnsi="Arial"/>
                <w:sz w:val="10"/>
                <w:szCs w:val="10"/>
                <w:b w:val="1"/>
                <w:bCs w:val="1"/>
                <w:color w:val="auto"/>
                <w:w w:val="93"/>
              </w:rPr>
              <w:t>Synthetic crude oil (million</w:t>
            </w:r>
          </w:p>
        </w:tc>
        <w:tc>
          <w:tcPr>
            <w:tcW w:w="13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Total (million boe)[A]</w:t>
            </w:r>
          </w:p>
        </w:tc>
        <w:tc>
          <w:tcPr>
            <w:tcW w:w="0" w:type="dxa"/>
            <w:vAlign w:val="bottom"/>
          </w:tcPr>
          <w:p>
            <w:pPr>
              <w:spacing w:after="0"/>
              <w:rPr>
                <w:sz w:val="1"/>
                <w:szCs w:val="1"/>
                <w:color w:val="auto"/>
              </w:rPr>
            </w:pPr>
          </w:p>
        </w:tc>
      </w:tr>
      <w:tr>
        <w:trPr>
          <w:trHeight w:val="125"/>
        </w:trPr>
        <w:tc>
          <w:tcPr>
            <w:tcW w:w="54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(million barrels)</w:t>
            </w:r>
          </w:p>
        </w:tc>
        <w:tc>
          <w:tcPr>
            <w:tcW w:w="1540" w:type="dxa"/>
            <w:vAlign w:val="bottom"/>
            <w:tcBorders>
              <w:bottom w:val="single" w:sz="8" w:color="auto"/>
            </w:tcBorders>
            <w:vMerge w:val="continue"/>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barrels)</w:t>
            </w: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Arial" w:cs="Arial" w:eastAsia="Arial" w:hAnsi="Arial"/>
                <w:sz w:val="10"/>
                <w:szCs w:val="10"/>
                <w:b w:val="1"/>
                <w:bCs w:val="1"/>
                <w:color w:val="auto"/>
              </w:rPr>
              <w:t>Proved developed</w:t>
            </w:r>
          </w:p>
        </w:tc>
        <w:tc>
          <w:tcPr>
            <w:tcW w:w="1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480" w:type="dxa"/>
            <w:vAlign w:val="bottom"/>
          </w:tcPr>
          <w:p>
            <w:pPr>
              <w:spacing w:after="0"/>
              <w:rPr>
                <w:sz w:val="20"/>
                <w:szCs w:val="20"/>
                <w:color w:val="auto"/>
              </w:rPr>
            </w:pPr>
            <w:r>
              <w:rPr>
                <w:rFonts w:ascii="Arial" w:cs="Arial" w:eastAsia="Arial" w:hAnsi="Arial"/>
                <w:sz w:val="10"/>
                <w:szCs w:val="10"/>
                <w:color w:val="auto"/>
              </w:rPr>
              <w:t>Europe</w:t>
            </w:r>
          </w:p>
        </w:tc>
        <w:tc>
          <w:tcPr>
            <w:tcW w:w="1720" w:type="dxa"/>
            <w:vAlign w:val="bottom"/>
          </w:tcPr>
          <w:p>
            <w:pPr>
              <w:jc w:val="right"/>
              <w:spacing w:after="0"/>
              <w:rPr>
                <w:sz w:val="20"/>
                <w:szCs w:val="20"/>
                <w:color w:val="auto"/>
              </w:rPr>
            </w:pPr>
            <w:r>
              <w:rPr>
                <w:rFonts w:ascii="Arial" w:cs="Arial" w:eastAsia="Arial" w:hAnsi="Arial"/>
                <w:sz w:val="10"/>
                <w:szCs w:val="10"/>
                <w:color w:val="auto"/>
              </w:rPr>
              <w:t>108</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1,817</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421</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Asia</w:t>
            </w:r>
          </w:p>
        </w:tc>
        <w:tc>
          <w:tcPr>
            <w:tcW w:w="1720" w:type="dxa"/>
            <w:vAlign w:val="bottom"/>
          </w:tcPr>
          <w:p>
            <w:pPr>
              <w:jc w:val="right"/>
              <w:spacing w:after="0"/>
              <w:rPr>
                <w:sz w:val="20"/>
                <w:szCs w:val="20"/>
                <w:color w:val="auto"/>
              </w:rPr>
            </w:pPr>
            <w:r>
              <w:rPr>
                <w:rFonts w:ascii="Arial" w:cs="Arial" w:eastAsia="Arial" w:hAnsi="Arial"/>
                <w:sz w:val="10"/>
                <w:szCs w:val="10"/>
                <w:color w:val="auto"/>
              </w:rPr>
              <w:t>1,609</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12,850</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3,825</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Oceania</w:t>
            </w:r>
          </w:p>
        </w:tc>
        <w:tc>
          <w:tcPr>
            <w:tcW w:w="1720" w:type="dxa"/>
            <w:vAlign w:val="bottom"/>
          </w:tcPr>
          <w:p>
            <w:pPr>
              <w:jc w:val="right"/>
              <w:spacing w:after="0"/>
              <w:rPr>
                <w:sz w:val="20"/>
                <w:szCs w:val="20"/>
                <w:color w:val="auto"/>
              </w:rPr>
            </w:pPr>
            <w:r>
              <w:rPr>
                <w:rFonts w:ascii="Arial" w:cs="Arial" w:eastAsia="Arial" w:hAnsi="Arial"/>
                <w:sz w:val="10"/>
                <w:szCs w:val="10"/>
                <w:color w:val="auto"/>
              </w:rPr>
              <w:t>68</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3,699</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707</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Africa</w:t>
            </w:r>
          </w:p>
        </w:tc>
        <w:tc>
          <w:tcPr>
            <w:tcW w:w="1720" w:type="dxa"/>
            <w:vAlign w:val="bottom"/>
          </w:tcPr>
          <w:p>
            <w:pPr>
              <w:jc w:val="right"/>
              <w:spacing w:after="0"/>
              <w:rPr>
                <w:sz w:val="20"/>
                <w:szCs w:val="20"/>
                <w:color w:val="auto"/>
              </w:rPr>
            </w:pPr>
            <w:r>
              <w:rPr>
                <w:rFonts w:ascii="Arial" w:cs="Arial" w:eastAsia="Arial" w:hAnsi="Arial"/>
                <w:sz w:val="10"/>
                <w:szCs w:val="10"/>
                <w:color w:val="auto"/>
              </w:rPr>
              <w:t>316</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1,341</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548</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North America</w:t>
            </w:r>
          </w:p>
        </w:tc>
        <w:tc>
          <w:tcPr>
            <w:tcW w:w="1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80" w:type="dxa"/>
            <w:vAlign w:val="bottom"/>
          </w:tcPr>
          <w:p>
            <w:pPr>
              <w:ind w:left="140"/>
              <w:spacing w:after="0"/>
              <w:rPr>
                <w:sz w:val="20"/>
                <w:szCs w:val="20"/>
                <w:color w:val="auto"/>
              </w:rPr>
            </w:pPr>
            <w:r>
              <w:rPr>
                <w:rFonts w:ascii="Arial" w:cs="Arial" w:eastAsia="Arial" w:hAnsi="Arial"/>
                <w:sz w:val="10"/>
                <w:szCs w:val="10"/>
                <w:color w:val="auto"/>
              </w:rPr>
              <w:t>USA</w:t>
            </w:r>
          </w:p>
        </w:tc>
        <w:tc>
          <w:tcPr>
            <w:tcW w:w="1720" w:type="dxa"/>
            <w:vAlign w:val="bottom"/>
          </w:tcPr>
          <w:p>
            <w:pPr>
              <w:jc w:val="right"/>
              <w:spacing w:after="0"/>
              <w:rPr>
                <w:sz w:val="20"/>
                <w:szCs w:val="20"/>
                <w:color w:val="auto"/>
              </w:rPr>
            </w:pPr>
            <w:r>
              <w:rPr>
                <w:rFonts w:ascii="Arial" w:cs="Arial" w:eastAsia="Arial" w:hAnsi="Arial"/>
                <w:sz w:val="10"/>
                <w:szCs w:val="10"/>
                <w:color w:val="auto"/>
              </w:rPr>
              <w:t>539</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669</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654</w:t>
            </w:r>
          </w:p>
        </w:tc>
        <w:tc>
          <w:tcPr>
            <w:tcW w:w="0" w:type="dxa"/>
            <w:vAlign w:val="bottom"/>
          </w:tcPr>
          <w:p>
            <w:pPr>
              <w:spacing w:after="0"/>
              <w:rPr>
                <w:sz w:val="1"/>
                <w:szCs w:val="1"/>
                <w:color w:val="auto"/>
              </w:rPr>
            </w:pPr>
          </w:p>
        </w:tc>
      </w:tr>
      <w:tr>
        <w:trPr>
          <w:trHeight w:val="126"/>
        </w:trPr>
        <w:tc>
          <w:tcPr>
            <w:tcW w:w="5480" w:type="dxa"/>
            <w:vAlign w:val="bottom"/>
          </w:tcPr>
          <w:p>
            <w:pPr>
              <w:ind w:left="140"/>
              <w:spacing w:after="0"/>
              <w:rPr>
                <w:sz w:val="20"/>
                <w:szCs w:val="20"/>
                <w:color w:val="auto"/>
              </w:rPr>
            </w:pPr>
            <w:r>
              <w:rPr>
                <w:rFonts w:ascii="Arial" w:cs="Arial" w:eastAsia="Arial" w:hAnsi="Arial"/>
                <w:sz w:val="10"/>
                <w:szCs w:val="10"/>
                <w:color w:val="auto"/>
              </w:rPr>
              <w:t>Canada</w:t>
            </w:r>
          </w:p>
        </w:tc>
        <w:tc>
          <w:tcPr>
            <w:tcW w:w="1720" w:type="dxa"/>
            <w:vAlign w:val="bottom"/>
          </w:tcPr>
          <w:p>
            <w:pPr>
              <w:jc w:val="right"/>
              <w:spacing w:after="0"/>
              <w:rPr>
                <w:sz w:val="20"/>
                <w:szCs w:val="20"/>
                <w:color w:val="auto"/>
              </w:rPr>
            </w:pPr>
            <w:r>
              <w:rPr>
                <w:rFonts w:ascii="Arial" w:cs="Arial" w:eastAsia="Arial" w:hAnsi="Arial"/>
                <w:sz w:val="10"/>
                <w:szCs w:val="10"/>
                <w:color w:val="auto"/>
              </w:rPr>
              <w:t>12</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720</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644</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780</w:t>
            </w:r>
          </w:p>
        </w:tc>
        <w:tc>
          <w:tcPr>
            <w:tcW w:w="0" w:type="dxa"/>
            <w:vAlign w:val="bottom"/>
          </w:tcPr>
          <w:p>
            <w:pPr>
              <w:spacing w:after="0"/>
              <w:rPr>
                <w:sz w:val="1"/>
                <w:szCs w:val="1"/>
                <w:color w:val="auto"/>
              </w:rPr>
            </w:pPr>
          </w:p>
        </w:tc>
      </w:tr>
      <w:tr>
        <w:trPr>
          <w:trHeight w:val="130"/>
        </w:trPr>
        <w:tc>
          <w:tcPr>
            <w:tcW w:w="5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South America</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675</w:t>
            </w:r>
          </w:p>
        </w:tc>
        <w:tc>
          <w:tcPr>
            <w:tcW w:w="15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925</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834</w:t>
            </w:r>
          </w:p>
        </w:tc>
        <w:tc>
          <w:tcPr>
            <w:tcW w:w="0" w:type="dxa"/>
            <w:vAlign w:val="bottom"/>
          </w:tcPr>
          <w:p>
            <w:pPr>
              <w:spacing w:after="0"/>
              <w:rPr>
                <w:sz w:val="1"/>
                <w:szCs w:val="1"/>
                <w:color w:val="auto"/>
              </w:rPr>
            </w:pPr>
          </w:p>
        </w:tc>
      </w:tr>
      <w:tr>
        <w:trPr>
          <w:trHeight w:val="114"/>
        </w:trPr>
        <w:tc>
          <w:tcPr>
            <w:tcW w:w="5480" w:type="dxa"/>
            <w:vAlign w:val="bottom"/>
          </w:tcPr>
          <w:p>
            <w:pPr>
              <w:spacing w:after="0" w:line="114" w:lineRule="exact"/>
              <w:rPr>
                <w:sz w:val="20"/>
                <w:szCs w:val="20"/>
                <w:color w:val="auto"/>
              </w:rPr>
            </w:pPr>
            <w:r>
              <w:rPr>
                <w:rFonts w:ascii="Arial" w:cs="Arial" w:eastAsia="Arial" w:hAnsi="Arial"/>
                <w:sz w:val="10"/>
                <w:szCs w:val="10"/>
                <w:b w:val="1"/>
                <w:bCs w:val="1"/>
                <w:color w:val="auto"/>
              </w:rPr>
              <w:t>Total proved developed</w:t>
            </w:r>
          </w:p>
        </w:tc>
        <w:tc>
          <w:tcPr>
            <w:tcW w:w="1720" w:type="dxa"/>
            <w:vAlign w:val="bottom"/>
          </w:tcPr>
          <w:p>
            <w:pPr>
              <w:jc w:val="right"/>
              <w:spacing w:after="0" w:line="114" w:lineRule="exact"/>
              <w:rPr>
                <w:sz w:val="20"/>
                <w:szCs w:val="20"/>
                <w:color w:val="auto"/>
              </w:rPr>
            </w:pPr>
            <w:r>
              <w:rPr>
                <w:rFonts w:ascii="Arial" w:cs="Arial" w:eastAsia="Arial" w:hAnsi="Arial"/>
                <w:sz w:val="10"/>
                <w:szCs w:val="10"/>
                <w:color w:val="auto"/>
              </w:rPr>
              <w:t>3,327</w:t>
            </w:r>
          </w:p>
        </w:tc>
        <w:tc>
          <w:tcPr>
            <w:tcW w:w="1540" w:type="dxa"/>
            <w:vAlign w:val="bottom"/>
          </w:tcPr>
          <w:p>
            <w:pPr>
              <w:jc w:val="right"/>
              <w:ind w:right="92"/>
              <w:spacing w:after="0" w:line="114" w:lineRule="exact"/>
              <w:rPr>
                <w:sz w:val="20"/>
                <w:szCs w:val="20"/>
                <w:color w:val="auto"/>
              </w:rPr>
            </w:pPr>
            <w:r>
              <w:rPr>
                <w:rFonts w:ascii="Arial" w:cs="Arial" w:eastAsia="Arial" w:hAnsi="Arial"/>
                <w:sz w:val="10"/>
                <w:szCs w:val="10"/>
                <w:color w:val="auto"/>
              </w:rPr>
              <w:t>22,021</w:t>
            </w:r>
          </w:p>
        </w:tc>
        <w:tc>
          <w:tcPr>
            <w:tcW w:w="1240" w:type="dxa"/>
            <w:vAlign w:val="bottom"/>
          </w:tcPr>
          <w:p>
            <w:pPr>
              <w:jc w:val="right"/>
              <w:ind w:right="12"/>
              <w:spacing w:after="0" w:line="114" w:lineRule="exact"/>
              <w:rPr>
                <w:sz w:val="20"/>
                <w:szCs w:val="20"/>
                <w:color w:val="auto"/>
              </w:rPr>
            </w:pPr>
            <w:r>
              <w:rPr>
                <w:rFonts w:ascii="Arial" w:cs="Arial" w:eastAsia="Arial" w:hAnsi="Arial"/>
                <w:sz w:val="10"/>
                <w:szCs w:val="10"/>
                <w:color w:val="auto"/>
              </w:rPr>
              <w:t>644</w:t>
            </w:r>
          </w:p>
        </w:tc>
        <w:tc>
          <w:tcPr>
            <w:tcW w:w="1320" w:type="dxa"/>
            <w:vAlign w:val="bottom"/>
          </w:tcPr>
          <w:p>
            <w:pPr>
              <w:jc w:val="right"/>
              <w:ind w:right="12"/>
              <w:spacing w:after="0" w:line="114" w:lineRule="exact"/>
              <w:rPr>
                <w:sz w:val="20"/>
                <w:szCs w:val="20"/>
                <w:color w:val="auto"/>
              </w:rPr>
            </w:pPr>
            <w:r>
              <w:rPr>
                <w:rFonts w:ascii="Arial" w:cs="Arial" w:eastAsia="Arial" w:hAnsi="Arial"/>
                <w:sz w:val="10"/>
                <w:szCs w:val="10"/>
                <w:color w:val="auto"/>
              </w:rPr>
              <w:t>7,769</w:t>
            </w:r>
          </w:p>
        </w:tc>
        <w:tc>
          <w:tcPr>
            <w:tcW w:w="0" w:type="dxa"/>
            <w:vAlign w:val="bottom"/>
          </w:tcPr>
          <w:p>
            <w:pPr>
              <w:spacing w:after="0"/>
              <w:rPr>
                <w:sz w:val="1"/>
                <w:szCs w:val="1"/>
                <w:color w:val="auto"/>
              </w:rPr>
            </w:pPr>
          </w:p>
        </w:tc>
      </w:tr>
      <w:tr>
        <w:trPr>
          <w:trHeight w:val="123"/>
        </w:trPr>
        <w:tc>
          <w:tcPr>
            <w:tcW w:w="5480" w:type="dxa"/>
            <w:vAlign w:val="bottom"/>
          </w:tcPr>
          <w:p>
            <w:pPr>
              <w:spacing w:after="0"/>
              <w:rPr>
                <w:sz w:val="20"/>
                <w:szCs w:val="20"/>
                <w:color w:val="auto"/>
              </w:rPr>
            </w:pPr>
            <w:r>
              <w:rPr>
                <w:rFonts w:ascii="Arial" w:cs="Arial" w:eastAsia="Arial" w:hAnsi="Arial"/>
                <w:sz w:val="10"/>
                <w:szCs w:val="10"/>
                <w:b w:val="1"/>
                <w:bCs w:val="1"/>
                <w:color w:val="auto"/>
              </w:rPr>
              <w:t>Proved undeveloped</w:t>
            </w:r>
          </w:p>
        </w:tc>
        <w:tc>
          <w:tcPr>
            <w:tcW w:w="1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Europe</w:t>
            </w:r>
          </w:p>
        </w:tc>
        <w:tc>
          <w:tcPr>
            <w:tcW w:w="1720" w:type="dxa"/>
            <w:vAlign w:val="bottom"/>
          </w:tcPr>
          <w:p>
            <w:pPr>
              <w:jc w:val="right"/>
              <w:spacing w:after="0"/>
              <w:rPr>
                <w:sz w:val="20"/>
                <w:szCs w:val="20"/>
                <w:color w:val="auto"/>
              </w:rPr>
            </w:pPr>
            <w:r>
              <w:rPr>
                <w:rFonts w:ascii="Arial" w:cs="Arial" w:eastAsia="Arial" w:hAnsi="Arial"/>
                <w:sz w:val="10"/>
                <w:szCs w:val="10"/>
                <w:color w:val="auto"/>
              </w:rPr>
              <w:t>76</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886</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229</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Asia</w:t>
            </w:r>
          </w:p>
        </w:tc>
        <w:tc>
          <w:tcPr>
            <w:tcW w:w="1720" w:type="dxa"/>
            <w:vAlign w:val="bottom"/>
          </w:tcPr>
          <w:p>
            <w:pPr>
              <w:jc w:val="right"/>
              <w:spacing w:after="0"/>
              <w:rPr>
                <w:sz w:val="20"/>
                <w:szCs w:val="20"/>
                <w:color w:val="auto"/>
              </w:rPr>
            </w:pPr>
            <w:r>
              <w:rPr>
                <w:rFonts w:ascii="Arial" w:cs="Arial" w:eastAsia="Arial" w:hAnsi="Arial"/>
                <w:sz w:val="10"/>
                <w:szCs w:val="10"/>
                <w:color w:val="auto"/>
              </w:rPr>
              <w:t>174</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755</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304</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Oceania</w:t>
            </w:r>
          </w:p>
        </w:tc>
        <w:tc>
          <w:tcPr>
            <w:tcW w:w="1720" w:type="dxa"/>
            <w:vAlign w:val="bottom"/>
          </w:tcPr>
          <w:p>
            <w:pPr>
              <w:jc w:val="right"/>
              <w:spacing w:after="0"/>
              <w:rPr>
                <w:sz w:val="20"/>
                <w:szCs w:val="20"/>
                <w:color w:val="auto"/>
              </w:rPr>
            </w:pPr>
            <w:r>
              <w:rPr>
                <w:rFonts w:ascii="Arial" w:cs="Arial" w:eastAsia="Arial" w:hAnsi="Arial"/>
                <w:sz w:val="10"/>
                <w:szCs w:val="10"/>
                <w:color w:val="auto"/>
              </w:rPr>
              <w:t>5</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520</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93</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Africa</w:t>
            </w:r>
          </w:p>
        </w:tc>
        <w:tc>
          <w:tcPr>
            <w:tcW w:w="1720" w:type="dxa"/>
            <w:vAlign w:val="bottom"/>
          </w:tcPr>
          <w:p>
            <w:pPr>
              <w:jc w:val="right"/>
              <w:spacing w:after="0"/>
              <w:rPr>
                <w:sz w:val="20"/>
                <w:szCs w:val="20"/>
                <w:color w:val="auto"/>
              </w:rPr>
            </w:pPr>
            <w:r>
              <w:rPr>
                <w:rFonts w:ascii="Arial" w:cs="Arial" w:eastAsia="Arial" w:hAnsi="Arial"/>
                <w:sz w:val="10"/>
                <w:szCs w:val="10"/>
                <w:color w:val="auto"/>
              </w:rPr>
              <w:t>63</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1,022</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239</w:t>
            </w:r>
          </w:p>
        </w:tc>
        <w:tc>
          <w:tcPr>
            <w:tcW w:w="0" w:type="dxa"/>
            <w:vAlign w:val="bottom"/>
          </w:tcPr>
          <w:p>
            <w:pPr>
              <w:spacing w:after="0"/>
              <w:rPr>
                <w:sz w:val="1"/>
                <w:szCs w:val="1"/>
                <w:color w:val="auto"/>
              </w:rPr>
            </w:pPr>
          </w:p>
        </w:tc>
      </w:tr>
      <w:tr>
        <w:trPr>
          <w:trHeight w:val="126"/>
        </w:trPr>
        <w:tc>
          <w:tcPr>
            <w:tcW w:w="5480" w:type="dxa"/>
            <w:vAlign w:val="bottom"/>
          </w:tcPr>
          <w:p>
            <w:pPr>
              <w:ind w:left="140"/>
              <w:spacing w:after="0"/>
              <w:rPr>
                <w:sz w:val="20"/>
                <w:szCs w:val="20"/>
                <w:color w:val="auto"/>
              </w:rPr>
            </w:pPr>
            <w:r>
              <w:rPr>
                <w:rFonts w:ascii="Arial" w:cs="Arial" w:eastAsia="Arial" w:hAnsi="Arial"/>
                <w:sz w:val="10"/>
                <w:szCs w:val="10"/>
                <w:color w:val="auto"/>
              </w:rPr>
              <w:t>North America</w:t>
            </w:r>
          </w:p>
        </w:tc>
        <w:tc>
          <w:tcPr>
            <w:tcW w:w="1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80" w:type="dxa"/>
            <w:vAlign w:val="bottom"/>
          </w:tcPr>
          <w:p>
            <w:pPr>
              <w:ind w:left="140"/>
              <w:spacing w:after="0"/>
              <w:rPr>
                <w:sz w:val="20"/>
                <w:szCs w:val="20"/>
                <w:color w:val="auto"/>
              </w:rPr>
            </w:pPr>
            <w:r>
              <w:rPr>
                <w:rFonts w:ascii="Arial" w:cs="Arial" w:eastAsia="Arial" w:hAnsi="Arial"/>
                <w:sz w:val="10"/>
                <w:szCs w:val="10"/>
                <w:color w:val="auto"/>
              </w:rPr>
              <w:t>USA</w:t>
            </w:r>
          </w:p>
        </w:tc>
        <w:tc>
          <w:tcPr>
            <w:tcW w:w="1720" w:type="dxa"/>
            <w:vAlign w:val="bottom"/>
          </w:tcPr>
          <w:p>
            <w:pPr>
              <w:jc w:val="right"/>
              <w:spacing w:after="0"/>
              <w:rPr>
                <w:sz w:val="20"/>
                <w:szCs w:val="20"/>
                <w:color w:val="auto"/>
              </w:rPr>
            </w:pPr>
            <w:r>
              <w:rPr>
                <w:rFonts w:ascii="Arial" w:cs="Arial" w:eastAsia="Arial" w:hAnsi="Arial"/>
                <w:sz w:val="10"/>
                <w:szCs w:val="10"/>
                <w:color w:val="auto"/>
              </w:rPr>
              <w:t>189</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132</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212</w:t>
            </w:r>
          </w:p>
        </w:tc>
        <w:tc>
          <w:tcPr>
            <w:tcW w:w="0" w:type="dxa"/>
            <w:vAlign w:val="bottom"/>
          </w:tcPr>
          <w:p>
            <w:pPr>
              <w:spacing w:after="0"/>
              <w:rPr>
                <w:sz w:val="1"/>
                <w:szCs w:val="1"/>
                <w:color w:val="auto"/>
              </w:rPr>
            </w:pPr>
          </w:p>
        </w:tc>
      </w:tr>
      <w:tr>
        <w:trPr>
          <w:trHeight w:val="130"/>
        </w:trPr>
        <w:tc>
          <w:tcPr>
            <w:tcW w:w="5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Canada</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15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575</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102</w:t>
            </w:r>
          </w:p>
        </w:tc>
        <w:tc>
          <w:tcPr>
            <w:tcW w:w="0" w:type="dxa"/>
            <w:vAlign w:val="bottom"/>
          </w:tcPr>
          <w:p>
            <w:pPr>
              <w:spacing w:after="0"/>
              <w:rPr>
                <w:sz w:val="1"/>
                <w:szCs w:val="1"/>
                <w:color w:val="auto"/>
              </w:rPr>
            </w:pPr>
          </w:p>
        </w:tc>
      </w:tr>
      <w:tr>
        <w:trPr>
          <w:trHeight w:val="117"/>
        </w:trPr>
        <w:tc>
          <w:tcPr>
            <w:tcW w:w="5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South America</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140</w:t>
            </w:r>
          </w:p>
        </w:tc>
        <w:tc>
          <w:tcPr>
            <w:tcW w:w="15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203</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176</w:t>
            </w:r>
          </w:p>
        </w:tc>
        <w:tc>
          <w:tcPr>
            <w:tcW w:w="0" w:type="dxa"/>
            <w:vAlign w:val="bottom"/>
          </w:tcPr>
          <w:p>
            <w:pPr>
              <w:spacing w:after="0"/>
              <w:rPr>
                <w:sz w:val="1"/>
                <w:szCs w:val="1"/>
                <w:color w:val="auto"/>
              </w:rPr>
            </w:pPr>
          </w:p>
        </w:tc>
      </w:tr>
      <w:tr>
        <w:trPr>
          <w:trHeight w:val="112"/>
        </w:trPr>
        <w:tc>
          <w:tcPr>
            <w:tcW w:w="5480" w:type="dxa"/>
            <w:vAlign w:val="bottom"/>
          </w:tcPr>
          <w:p>
            <w:pPr>
              <w:spacing w:after="0" w:line="112" w:lineRule="exact"/>
              <w:rPr>
                <w:sz w:val="20"/>
                <w:szCs w:val="20"/>
                <w:color w:val="auto"/>
              </w:rPr>
            </w:pPr>
            <w:r>
              <w:rPr>
                <w:rFonts w:ascii="Arial" w:cs="Arial" w:eastAsia="Arial" w:hAnsi="Arial"/>
                <w:sz w:val="10"/>
                <w:szCs w:val="10"/>
                <w:b w:val="1"/>
                <w:bCs w:val="1"/>
                <w:color w:val="auto"/>
              </w:rPr>
              <w:t>Total proved undeveloped</w:t>
            </w:r>
          </w:p>
        </w:tc>
        <w:tc>
          <w:tcPr>
            <w:tcW w:w="1720" w:type="dxa"/>
            <w:vAlign w:val="bottom"/>
          </w:tcPr>
          <w:p>
            <w:pPr>
              <w:jc w:val="right"/>
              <w:spacing w:after="0" w:line="112" w:lineRule="exact"/>
              <w:rPr>
                <w:sz w:val="20"/>
                <w:szCs w:val="20"/>
                <w:color w:val="auto"/>
              </w:rPr>
            </w:pPr>
            <w:r>
              <w:rPr>
                <w:rFonts w:ascii="Arial" w:cs="Arial" w:eastAsia="Arial" w:hAnsi="Arial"/>
                <w:sz w:val="10"/>
                <w:szCs w:val="10"/>
                <w:color w:val="auto"/>
              </w:rPr>
              <w:t>650</w:t>
            </w:r>
          </w:p>
        </w:tc>
        <w:tc>
          <w:tcPr>
            <w:tcW w:w="1540" w:type="dxa"/>
            <w:vAlign w:val="bottom"/>
          </w:tcPr>
          <w:p>
            <w:pPr>
              <w:jc w:val="right"/>
              <w:ind w:right="92"/>
              <w:spacing w:after="0" w:line="112" w:lineRule="exact"/>
              <w:rPr>
                <w:sz w:val="20"/>
                <w:szCs w:val="20"/>
                <w:color w:val="auto"/>
              </w:rPr>
            </w:pPr>
            <w:r>
              <w:rPr>
                <w:rFonts w:ascii="Arial" w:cs="Arial" w:eastAsia="Arial" w:hAnsi="Arial"/>
                <w:sz w:val="10"/>
                <w:szCs w:val="10"/>
                <w:color w:val="auto"/>
              </w:rPr>
              <w:t>4,093</w:t>
            </w:r>
          </w:p>
        </w:tc>
        <w:tc>
          <w:tcPr>
            <w:tcW w:w="1240" w:type="dxa"/>
            <w:vAlign w:val="bottom"/>
          </w:tcPr>
          <w:p>
            <w:pPr>
              <w:jc w:val="right"/>
              <w:ind w:right="12"/>
              <w:spacing w:after="0" w:line="112" w:lineRule="exact"/>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line="112" w:lineRule="exact"/>
              <w:rPr>
                <w:sz w:val="20"/>
                <w:szCs w:val="20"/>
                <w:color w:val="auto"/>
              </w:rPr>
            </w:pPr>
            <w:r>
              <w:rPr>
                <w:rFonts w:ascii="Arial" w:cs="Arial" w:eastAsia="Arial" w:hAnsi="Arial"/>
                <w:sz w:val="10"/>
                <w:szCs w:val="10"/>
                <w:color w:val="auto"/>
              </w:rPr>
              <w:t>1,355</w:t>
            </w:r>
          </w:p>
        </w:tc>
        <w:tc>
          <w:tcPr>
            <w:tcW w:w="0" w:type="dxa"/>
            <w:vAlign w:val="bottom"/>
          </w:tcPr>
          <w:p>
            <w:pPr>
              <w:spacing w:after="0"/>
              <w:rPr>
                <w:sz w:val="1"/>
                <w:szCs w:val="1"/>
                <w:color w:val="auto"/>
              </w:rPr>
            </w:pPr>
          </w:p>
        </w:tc>
      </w:tr>
      <w:tr>
        <w:trPr>
          <w:trHeight w:val="123"/>
        </w:trPr>
        <w:tc>
          <w:tcPr>
            <w:tcW w:w="5480" w:type="dxa"/>
            <w:vAlign w:val="bottom"/>
          </w:tcPr>
          <w:p>
            <w:pPr>
              <w:spacing w:after="0"/>
              <w:rPr>
                <w:sz w:val="20"/>
                <w:szCs w:val="20"/>
                <w:color w:val="auto"/>
              </w:rPr>
            </w:pPr>
            <w:r>
              <w:rPr>
                <w:rFonts w:ascii="Arial" w:cs="Arial" w:eastAsia="Arial" w:hAnsi="Arial"/>
                <w:sz w:val="10"/>
                <w:szCs w:val="10"/>
                <w:b w:val="1"/>
                <w:bCs w:val="1"/>
                <w:color w:val="auto"/>
              </w:rPr>
              <w:t>Total proved developed and undeveloped</w:t>
            </w:r>
          </w:p>
        </w:tc>
        <w:tc>
          <w:tcPr>
            <w:tcW w:w="1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Europe</w:t>
            </w:r>
          </w:p>
        </w:tc>
        <w:tc>
          <w:tcPr>
            <w:tcW w:w="1720" w:type="dxa"/>
            <w:vAlign w:val="bottom"/>
          </w:tcPr>
          <w:p>
            <w:pPr>
              <w:jc w:val="right"/>
              <w:spacing w:after="0"/>
              <w:rPr>
                <w:sz w:val="20"/>
                <w:szCs w:val="20"/>
                <w:color w:val="auto"/>
              </w:rPr>
            </w:pPr>
            <w:r>
              <w:rPr>
                <w:rFonts w:ascii="Arial" w:cs="Arial" w:eastAsia="Arial" w:hAnsi="Arial"/>
                <w:sz w:val="10"/>
                <w:szCs w:val="10"/>
                <w:color w:val="auto"/>
              </w:rPr>
              <w:t>184</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2,703</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650</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Asia</w:t>
            </w:r>
          </w:p>
        </w:tc>
        <w:tc>
          <w:tcPr>
            <w:tcW w:w="1720" w:type="dxa"/>
            <w:vAlign w:val="bottom"/>
          </w:tcPr>
          <w:p>
            <w:pPr>
              <w:jc w:val="right"/>
              <w:spacing w:after="0"/>
              <w:rPr>
                <w:sz w:val="20"/>
                <w:szCs w:val="20"/>
                <w:color w:val="auto"/>
              </w:rPr>
            </w:pPr>
            <w:r>
              <w:rPr>
                <w:rFonts w:ascii="Arial" w:cs="Arial" w:eastAsia="Arial" w:hAnsi="Arial"/>
                <w:sz w:val="10"/>
                <w:szCs w:val="10"/>
                <w:color w:val="auto"/>
              </w:rPr>
              <w:t>1,783</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13,605</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4,129</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Oceania</w:t>
            </w:r>
          </w:p>
        </w:tc>
        <w:tc>
          <w:tcPr>
            <w:tcW w:w="1720" w:type="dxa"/>
            <w:vAlign w:val="bottom"/>
          </w:tcPr>
          <w:p>
            <w:pPr>
              <w:jc w:val="right"/>
              <w:spacing w:after="0"/>
              <w:rPr>
                <w:sz w:val="20"/>
                <w:szCs w:val="20"/>
                <w:color w:val="auto"/>
              </w:rPr>
            </w:pPr>
            <w:r>
              <w:rPr>
                <w:rFonts w:ascii="Arial" w:cs="Arial" w:eastAsia="Arial" w:hAnsi="Arial"/>
                <w:sz w:val="10"/>
                <w:szCs w:val="10"/>
                <w:color w:val="auto"/>
              </w:rPr>
              <w:t>73</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4,219</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800</w:t>
            </w:r>
          </w:p>
        </w:tc>
        <w:tc>
          <w:tcPr>
            <w:tcW w:w="0" w:type="dxa"/>
            <w:vAlign w:val="bottom"/>
          </w:tcPr>
          <w:p>
            <w:pPr>
              <w:spacing w:after="0"/>
              <w:rPr>
                <w:sz w:val="1"/>
                <w:szCs w:val="1"/>
                <w:color w:val="auto"/>
              </w:rPr>
            </w:pPr>
          </w:p>
        </w:tc>
      </w:tr>
      <w:tr>
        <w:trPr>
          <w:trHeight w:val="126"/>
        </w:trPr>
        <w:tc>
          <w:tcPr>
            <w:tcW w:w="5480" w:type="dxa"/>
            <w:vAlign w:val="bottom"/>
          </w:tcPr>
          <w:p>
            <w:pPr>
              <w:ind w:left="140"/>
              <w:spacing w:after="0"/>
              <w:rPr>
                <w:sz w:val="20"/>
                <w:szCs w:val="20"/>
                <w:color w:val="auto"/>
              </w:rPr>
            </w:pPr>
            <w:r>
              <w:rPr>
                <w:rFonts w:ascii="Arial" w:cs="Arial" w:eastAsia="Arial" w:hAnsi="Arial"/>
                <w:sz w:val="10"/>
                <w:szCs w:val="10"/>
                <w:color w:val="auto"/>
              </w:rPr>
              <w:t>Africa</w:t>
            </w:r>
          </w:p>
        </w:tc>
        <w:tc>
          <w:tcPr>
            <w:tcW w:w="1720" w:type="dxa"/>
            <w:vAlign w:val="bottom"/>
          </w:tcPr>
          <w:p>
            <w:pPr>
              <w:jc w:val="right"/>
              <w:spacing w:after="0"/>
              <w:rPr>
                <w:sz w:val="20"/>
                <w:szCs w:val="20"/>
                <w:color w:val="auto"/>
              </w:rPr>
            </w:pPr>
            <w:r>
              <w:rPr>
                <w:rFonts w:ascii="Arial" w:cs="Arial" w:eastAsia="Arial" w:hAnsi="Arial"/>
                <w:sz w:val="10"/>
                <w:szCs w:val="10"/>
                <w:color w:val="auto"/>
              </w:rPr>
              <w:t>379</w:t>
            </w:r>
          </w:p>
        </w:tc>
        <w:tc>
          <w:tcPr>
            <w:tcW w:w="1540" w:type="dxa"/>
            <w:vAlign w:val="bottom"/>
          </w:tcPr>
          <w:p>
            <w:pPr>
              <w:jc w:val="right"/>
              <w:ind w:right="92"/>
              <w:spacing w:after="0"/>
              <w:rPr>
                <w:sz w:val="20"/>
                <w:szCs w:val="20"/>
                <w:color w:val="auto"/>
              </w:rPr>
            </w:pPr>
            <w:r>
              <w:rPr>
                <w:rFonts w:ascii="Arial" w:cs="Arial" w:eastAsia="Arial" w:hAnsi="Arial"/>
                <w:sz w:val="10"/>
                <w:szCs w:val="10"/>
                <w:color w:val="auto"/>
              </w:rPr>
              <w:t>2,363</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787</w:t>
            </w:r>
          </w:p>
        </w:tc>
        <w:tc>
          <w:tcPr>
            <w:tcW w:w="0" w:type="dxa"/>
            <w:vAlign w:val="bottom"/>
          </w:tcPr>
          <w:p>
            <w:pPr>
              <w:spacing w:after="0"/>
              <w:rPr>
                <w:sz w:val="1"/>
                <w:szCs w:val="1"/>
                <w:color w:val="auto"/>
              </w:rPr>
            </w:pPr>
          </w:p>
        </w:tc>
      </w:tr>
      <w:tr>
        <w:trPr>
          <w:trHeight w:val="126"/>
        </w:trPr>
        <w:tc>
          <w:tcPr>
            <w:tcW w:w="5480" w:type="dxa"/>
            <w:vAlign w:val="bottom"/>
          </w:tcPr>
          <w:p>
            <w:pPr>
              <w:ind w:left="140"/>
              <w:spacing w:after="0"/>
              <w:rPr>
                <w:sz w:val="20"/>
                <w:szCs w:val="20"/>
                <w:color w:val="auto"/>
              </w:rPr>
            </w:pPr>
            <w:r>
              <w:rPr>
                <w:rFonts w:ascii="Arial" w:cs="Arial" w:eastAsia="Arial" w:hAnsi="Arial"/>
                <w:sz w:val="10"/>
                <w:szCs w:val="10"/>
                <w:color w:val="auto"/>
              </w:rPr>
              <w:t>North America</w:t>
            </w:r>
          </w:p>
        </w:tc>
        <w:tc>
          <w:tcPr>
            <w:tcW w:w="1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USA</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728</w:t>
            </w:r>
          </w:p>
        </w:tc>
        <w:tc>
          <w:tcPr>
            <w:tcW w:w="15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801</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866</w:t>
            </w:r>
          </w:p>
        </w:tc>
        <w:tc>
          <w:tcPr>
            <w:tcW w:w="0" w:type="dxa"/>
            <w:vAlign w:val="bottom"/>
          </w:tcPr>
          <w:p>
            <w:pPr>
              <w:spacing w:after="0"/>
              <w:rPr>
                <w:sz w:val="1"/>
                <w:szCs w:val="1"/>
                <w:color w:val="auto"/>
              </w:rPr>
            </w:pPr>
          </w:p>
        </w:tc>
      </w:tr>
      <w:tr>
        <w:trPr>
          <w:trHeight w:val="117"/>
        </w:trPr>
        <w:tc>
          <w:tcPr>
            <w:tcW w:w="5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Canada</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w:t>
            </w:r>
          </w:p>
        </w:tc>
        <w:tc>
          <w:tcPr>
            <w:tcW w:w="15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1,295</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644</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882</w:t>
            </w:r>
          </w:p>
        </w:tc>
        <w:tc>
          <w:tcPr>
            <w:tcW w:w="0" w:type="dxa"/>
            <w:vAlign w:val="bottom"/>
          </w:tcPr>
          <w:p>
            <w:pPr>
              <w:spacing w:after="0"/>
              <w:rPr>
                <w:sz w:val="1"/>
                <w:szCs w:val="1"/>
                <w:color w:val="auto"/>
              </w:rPr>
            </w:pPr>
          </w:p>
        </w:tc>
      </w:tr>
      <w:tr>
        <w:trPr>
          <w:trHeight w:val="112"/>
        </w:trPr>
        <w:tc>
          <w:tcPr>
            <w:tcW w:w="5480" w:type="dxa"/>
            <w:vAlign w:val="bottom"/>
          </w:tcPr>
          <w:p>
            <w:pPr>
              <w:spacing w:after="0" w:line="112" w:lineRule="exact"/>
              <w:rPr>
                <w:sz w:val="20"/>
                <w:szCs w:val="20"/>
                <w:color w:val="auto"/>
              </w:rPr>
            </w:pPr>
            <w:r>
              <w:rPr>
                <w:rFonts w:ascii="Arial" w:cs="Arial" w:eastAsia="Arial" w:hAnsi="Arial"/>
                <w:sz w:val="10"/>
                <w:szCs w:val="10"/>
                <w:color w:val="auto"/>
              </w:rPr>
              <w:t>South America</w:t>
            </w:r>
          </w:p>
        </w:tc>
        <w:tc>
          <w:tcPr>
            <w:tcW w:w="1720" w:type="dxa"/>
            <w:vAlign w:val="bottom"/>
          </w:tcPr>
          <w:p>
            <w:pPr>
              <w:jc w:val="right"/>
              <w:spacing w:after="0" w:line="112" w:lineRule="exact"/>
              <w:rPr>
                <w:sz w:val="20"/>
                <w:szCs w:val="20"/>
                <w:color w:val="auto"/>
              </w:rPr>
            </w:pPr>
            <w:r>
              <w:rPr>
                <w:rFonts w:ascii="Arial" w:cs="Arial" w:eastAsia="Arial" w:hAnsi="Arial"/>
                <w:sz w:val="10"/>
                <w:szCs w:val="10"/>
                <w:color w:val="auto"/>
              </w:rPr>
              <w:t>815</w:t>
            </w:r>
          </w:p>
        </w:tc>
        <w:tc>
          <w:tcPr>
            <w:tcW w:w="1540" w:type="dxa"/>
            <w:vAlign w:val="bottom"/>
          </w:tcPr>
          <w:p>
            <w:pPr>
              <w:jc w:val="right"/>
              <w:ind w:right="92"/>
              <w:spacing w:after="0" w:line="112" w:lineRule="exact"/>
              <w:rPr>
                <w:sz w:val="20"/>
                <w:szCs w:val="20"/>
                <w:color w:val="auto"/>
              </w:rPr>
            </w:pPr>
            <w:r>
              <w:rPr>
                <w:rFonts w:ascii="Arial" w:cs="Arial" w:eastAsia="Arial" w:hAnsi="Arial"/>
                <w:sz w:val="10"/>
                <w:szCs w:val="10"/>
                <w:color w:val="auto"/>
              </w:rPr>
              <w:t>1,128</w:t>
            </w:r>
          </w:p>
        </w:tc>
        <w:tc>
          <w:tcPr>
            <w:tcW w:w="1240" w:type="dxa"/>
            <w:vAlign w:val="bottom"/>
          </w:tcPr>
          <w:p>
            <w:pPr>
              <w:jc w:val="right"/>
              <w:ind w:right="12"/>
              <w:spacing w:after="0" w:line="112" w:lineRule="exact"/>
              <w:rPr>
                <w:sz w:val="20"/>
                <w:szCs w:val="20"/>
                <w:color w:val="auto"/>
              </w:rPr>
            </w:pPr>
            <w:r>
              <w:rPr>
                <w:rFonts w:ascii="Arial" w:cs="Arial" w:eastAsia="Arial" w:hAnsi="Arial"/>
                <w:sz w:val="10"/>
                <w:szCs w:val="10"/>
                <w:color w:val="auto"/>
              </w:rPr>
              <w:t>—</w:t>
            </w:r>
          </w:p>
        </w:tc>
        <w:tc>
          <w:tcPr>
            <w:tcW w:w="1320" w:type="dxa"/>
            <w:vAlign w:val="bottom"/>
          </w:tcPr>
          <w:p>
            <w:pPr>
              <w:jc w:val="right"/>
              <w:ind w:right="12"/>
              <w:spacing w:after="0" w:line="112" w:lineRule="exact"/>
              <w:rPr>
                <w:sz w:val="20"/>
                <w:szCs w:val="20"/>
                <w:color w:val="auto"/>
              </w:rPr>
            </w:pPr>
            <w:r>
              <w:rPr>
                <w:rFonts w:ascii="Arial" w:cs="Arial" w:eastAsia="Arial" w:hAnsi="Arial"/>
                <w:sz w:val="10"/>
                <w:szCs w:val="10"/>
                <w:color w:val="auto"/>
              </w:rPr>
              <w:t>1,010</w:t>
            </w:r>
          </w:p>
        </w:tc>
        <w:tc>
          <w:tcPr>
            <w:tcW w:w="0" w:type="dxa"/>
            <w:vAlign w:val="bottom"/>
          </w:tcPr>
          <w:p>
            <w:pPr>
              <w:spacing w:after="0"/>
              <w:rPr>
                <w:sz w:val="1"/>
                <w:szCs w:val="1"/>
                <w:color w:val="auto"/>
              </w:rPr>
            </w:pPr>
          </w:p>
        </w:tc>
      </w:tr>
      <w:tr>
        <w:trPr>
          <w:trHeight w:val="127"/>
        </w:trPr>
        <w:tc>
          <w:tcPr>
            <w:tcW w:w="54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3,977</w:t>
            </w:r>
          </w:p>
        </w:tc>
        <w:tc>
          <w:tcPr>
            <w:tcW w:w="15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26,114</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644</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9,124</w:t>
            </w:r>
          </w:p>
        </w:tc>
        <w:tc>
          <w:tcPr>
            <w:tcW w:w="0" w:type="dxa"/>
            <w:vAlign w:val="bottom"/>
          </w:tcPr>
          <w:p>
            <w:pPr>
              <w:spacing w:after="0"/>
              <w:rPr>
                <w:sz w:val="1"/>
                <w:szCs w:val="1"/>
                <w:color w:val="auto"/>
              </w:rPr>
            </w:pPr>
          </w:p>
        </w:tc>
      </w:tr>
      <w:tr>
        <w:trPr>
          <w:trHeight w:val="118"/>
        </w:trPr>
        <w:tc>
          <w:tcPr>
            <w:tcW w:w="54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Reserves attributable to non-controlling interest in Shell subsidiaries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322</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322</w:t>
            </w: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7"/>
          <w:szCs w:val="7"/>
          <w:color w:val="auto"/>
        </w:rPr>
        <w:t>[A] Natural gas volumes are converted into oil equivalent using a factor of 5,800 scf per barrel.</w:t>
      </w:r>
    </w:p>
    <w:p>
      <w:pPr>
        <w:sectPr>
          <w:pgSz w:w="11900" w:h="16838" w:orient="portrait"/>
          <w:cols w:equalWidth="0" w:num="1">
            <w:col w:w="11300"/>
          </w:cols>
          <w:pgMar w:left="300" w:top="714" w:right="29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EXPLORATION</w:t>
      </w:r>
    </w:p>
    <w:p>
      <w:pPr>
        <w:spacing w:after="0" w:line="237" w:lineRule="auto"/>
        <w:rPr>
          <w:sz w:val="20"/>
          <w:szCs w:val="20"/>
          <w:color w:val="auto"/>
        </w:rPr>
      </w:pPr>
      <w:r>
        <w:rPr>
          <w:rFonts w:ascii="Arial" w:cs="Arial" w:eastAsia="Arial" w:hAnsi="Arial"/>
          <w:sz w:val="10"/>
          <w:szCs w:val="10"/>
          <w:color w:val="auto"/>
        </w:rPr>
        <w:t>We continue to focus and high-grade our portfolio of growth options.</w:t>
      </w:r>
    </w:p>
    <w:p>
      <w:pPr>
        <w:spacing w:after="0" w:line="114" w:lineRule="exact"/>
        <w:rPr>
          <w:sz w:val="20"/>
          <w:szCs w:val="20"/>
          <w:color w:val="auto"/>
        </w:rPr>
      </w:pPr>
    </w:p>
    <w:p>
      <w:pPr>
        <w:spacing w:after="0"/>
        <w:rPr>
          <w:sz w:val="20"/>
          <w:szCs w:val="20"/>
          <w:color w:val="auto"/>
        </w:rPr>
      </w:pPr>
      <w:r>
        <w:rPr>
          <w:rFonts w:ascii="Arial" w:cs="Arial" w:eastAsia="Arial" w:hAnsi="Arial"/>
          <w:sz w:val="10"/>
          <w:szCs w:val="10"/>
          <w:color w:val="auto"/>
        </w:rPr>
        <w:t>In February 2020:</w:t>
      </w:r>
    </w:p>
    <w:p>
      <w:pPr>
        <w:ind w:right="180"/>
        <w:spacing w:after="0" w:line="202" w:lineRule="auto"/>
        <w:rPr>
          <w:sz w:val="20"/>
          <w:szCs w:val="20"/>
          <w:color w:val="auto"/>
        </w:rPr>
      </w:pPr>
      <w:r>
        <w:rPr>
          <w:rFonts w:ascii="Arial" w:cs="Arial" w:eastAsia="Arial" w:hAnsi="Arial"/>
          <w:sz w:val="10"/>
          <w:szCs w:val="10"/>
          <w:color w:val="auto"/>
        </w:rPr>
        <w:t>We acquired a 70% interest as operator of the UK Southern North Sea licences P2304 and P1929 which contain the Resolution gas discovery. Our appraisal programme consists of 3D seismic and a contingent appraisal well.</w:t>
      </w:r>
    </w:p>
    <w:p>
      <w:pPr>
        <w:spacing w:after="0" w:line="122" w:lineRule="exact"/>
        <w:rPr>
          <w:sz w:val="20"/>
          <w:szCs w:val="20"/>
          <w:color w:val="auto"/>
        </w:rPr>
      </w:pPr>
    </w:p>
    <w:p>
      <w:pPr>
        <w:spacing w:after="0"/>
        <w:rPr>
          <w:sz w:val="20"/>
          <w:szCs w:val="20"/>
          <w:color w:val="auto"/>
        </w:rPr>
      </w:pPr>
      <w:r>
        <w:rPr>
          <w:rFonts w:ascii="Arial" w:cs="Arial" w:eastAsia="Arial" w:hAnsi="Arial"/>
          <w:sz w:val="8"/>
          <w:szCs w:val="8"/>
          <w:color w:val="auto"/>
        </w:rPr>
        <w:t>We added 4,553 square kilometres of exploration licences in the UK and Netherlands Southern North Sea across multiple plays.</w:t>
      </w:r>
    </w:p>
    <w:p>
      <w:pPr>
        <w:spacing w:after="0" w:line="160" w:lineRule="exact"/>
        <w:rPr>
          <w:sz w:val="20"/>
          <w:szCs w:val="20"/>
          <w:color w:val="auto"/>
        </w:rPr>
      </w:pPr>
    </w:p>
    <w:p>
      <w:pPr>
        <w:ind w:right="80"/>
        <w:spacing w:after="0" w:line="239" w:lineRule="auto"/>
        <w:rPr>
          <w:sz w:val="20"/>
          <w:szCs w:val="20"/>
          <w:color w:val="auto"/>
        </w:rPr>
      </w:pPr>
      <w:r>
        <w:rPr>
          <w:rFonts w:ascii="Arial" w:cs="Arial" w:eastAsia="Arial" w:hAnsi="Arial"/>
          <w:sz w:val="10"/>
          <w:szCs w:val="10"/>
          <w:color w:val="auto"/>
        </w:rPr>
        <w:t>We signed a farm-out agreement with Ecopetrol into the Colombia Offshore COL-5, Purple Angel, and Fuerte Sur blocks, as operator with a 50% working interest. Government ratification was obtained in December 2020.</w:t>
      </w:r>
    </w:p>
    <w:p>
      <w:pPr>
        <w:spacing w:after="0" w:line="149" w:lineRule="exact"/>
        <w:rPr>
          <w:sz w:val="20"/>
          <w:szCs w:val="20"/>
          <w:color w:val="auto"/>
        </w:rPr>
      </w:pPr>
    </w:p>
    <w:p>
      <w:pPr>
        <w:ind w:right="40"/>
        <w:spacing w:after="0" w:line="320" w:lineRule="auto"/>
        <w:rPr>
          <w:sz w:val="20"/>
          <w:szCs w:val="20"/>
          <w:color w:val="auto"/>
        </w:rPr>
      </w:pPr>
      <w:r>
        <w:rPr>
          <w:rFonts w:ascii="Arial" w:cs="Arial" w:eastAsia="Arial" w:hAnsi="Arial"/>
          <w:sz w:val="8"/>
          <w:szCs w:val="8"/>
          <w:color w:val="auto"/>
        </w:rPr>
        <w:t>Two exploration blocks, C-M-659 and C-M-713, awarded through Brazil's 16th National Petroleum Agency (ANP) bid round, were ratified. These Shell-operated blocks (Shell interest 40%) are located in the outboard Campos Basin and cover an area of around 1,800 square kilometres. The joint venture has a commitment to acquire 3D seismic in both blocks and to drill one well in Block C-M-659.</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40"/>
        <w:spacing w:after="0" w:line="232" w:lineRule="auto"/>
        <w:rPr>
          <w:sz w:val="20"/>
          <w:szCs w:val="20"/>
          <w:color w:val="auto"/>
        </w:rPr>
      </w:pPr>
      <w:r>
        <w:rPr>
          <w:rFonts w:ascii="Arial" w:cs="Arial" w:eastAsia="Arial" w:hAnsi="Arial"/>
          <w:sz w:val="10"/>
          <w:szCs w:val="10"/>
          <w:color w:val="auto"/>
        </w:rPr>
        <w:t>We completed the sale and purchase agreement signed in October 2019 for the acquisition of Total E&amp;P Deep Offshore Borneo B.V. and all its interests in the deep-water exploration Block CA-1 (Shell interest 86.95%) production-sharing agreement (PSA). We assumed operatorship of Block CA-1, with a total area of around 5,800 square kilometres which is largely unexplored. The deal also gave us access to the Jagus East oil field which lies within CA-1.</w:t>
      </w:r>
    </w:p>
    <w:p>
      <w:pPr>
        <w:spacing w:after="0" w:line="149" w:lineRule="exact"/>
        <w:rPr>
          <w:sz w:val="20"/>
          <w:szCs w:val="20"/>
          <w:color w:val="auto"/>
        </w:rPr>
      </w:pPr>
    </w:p>
    <w:p>
      <w:pPr>
        <w:jc w:val="both"/>
        <w:ind w:right="140"/>
        <w:spacing w:after="0" w:line="320" w:lineRule="auto"/>
        <w:rPr>
          <w:sz w:val="20"/>
          <w:szCs w:val="20"/>
          <w:color w:val="auto"/>
        </w:rPr>
      </w:pPr>
      <w:r>
        <w:rPr>
          <w:rFonts w:ascii="Arial" w:cs="Arial" w:eastAsia="Arial" w:hAnsi="Arial"/>
          <w:sz w:val="8"/>
          <w:szCs w:val="8"/>
          <w:color w:val="auto"/>
        </w:rPr>
        <w:t>An exploration and production-sharing agreement for Block 55 in the south-east of the Sultanate of Oman was ratified by Royal Decree. Oman Shell now has a 100% working interest and operatorship of Block 55, with a total area of 7,564 square kilometres. The agreement includes a work programme of regional studies, seismic acquisition and other potential exploration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0"/>
          <w:szCs w:val="10"/>
          <w:color w:val="auto"/>
        </w:rPr>
        <w:t>In US Gulf of Mexico Lease Sale 254, we acquired seven blocks across multiple plays in the US Gulf of Mexico.</w:t>
      </w:r>
    </w:p>
    <w:p>
      <w:pPr>
        <w:spacing w:after="0" w:line="137" w:lineRule="exact"/>
        <w:rPr>
          <w:sz w:val="20"/>
          <w:szCs w:val="20"/>
          <w:color w:val="auto"/>
        </w:rPr>
      </w:pPr>
    </w:p>
    <w:p>
      <w:pPr>
        <w:ind w:right="240"/>
        <w:spacing w:after="0" w:line="234" w:lineRule="auto"/>
        <w:rPr>
          <w:sz w:val="20"/>
          <w:szCs w:val="20"/>
          <w:color w:val="auto"/>
        </w:rPr>
      </w:pPr>
      <w:r>
        <w:rPr>
          <w:rFonts w:ascii="Arial" w:cs="Arial" w:eastAsia="Arial" w:hAnsi="Arial"/>
          <w:sz w:val="10"/>
          <w:szCs w:val="10"/>
          <w:color w:val="auto"/>
        </w:rPr>
        <w:t>In July 2020, we signed a sales and purchase agreement for the Esenin deal, a 50% farm-in into two Gazprom Neft-held blocks on the Gydan peninsula in north-west Siberia, Russia. The deal was finalised in November 2020. The blocks cover an area of around 3,850 square kilometres.</w:t>
      </w:r>
    </w:p>
    <w:p>
      <w:pPr>
        <w:spacing w:after="0" w:line="239" w:lineRule="exact"/>
        <w:rPr>
          <w:sz w:val="20"/>
          <w:szCs w:val="20"/>
          <w:color w:val="auto"/>
        </w:rPr>
      </w:pPr>
    </w:p>
    <w:p>
      <w:pPr>
        <w:sectPr>
          <w:pgSz w:w="11900" w:h="16838" w:orient="portrait"/>
          <w:cols w:equalWidth="0" w:num="2">
            <w:col w:w="5200" w:space="720"/>
            <w:col w:w="5380"/>
          </w:cols>
          <w:pgMar w:left="300" w:top="714" w:right="299" w:bottom="1440" w:gutter="0" w:footer="0" w:header="0"/>
          <w:type w:val="continuous"/>
        </w:sectPr>
      </w:pPr>
    </w:p>
    <w:p>
      <w:pPr>
        <w:spacing w:after="0"/>
        <w:rPr>
          <w:sz w:val="20"/>
          <w:szCs w:val="20"/>
          <w:color w:val="auto"/>
        </w:rPr>
      </w:pPr>
      <w:r>
        <w:rPr>
          <w:rFonts w:ascii="Arial" w:cs="Arial" w:eastAsia="Arial" w:hAnsi="Arial"/>
          <w:sz w:val="10"/>
          <w:szCs w:val="10"/>
          <w:color w:val="auto"/>
        </w:rPr>
        <w:t>In March 2020:</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45</w:t>
            </w:r>
          </w:p>
        </w:tc>
      </w:tr>
      <w:tr>
        <w:trPr>
          <w:trHeight w:val="142"/>
        </w:trPr>
        <w:tc>
          <w:tcPr>
            <w:tcW w:w="3500" w:type="dxa"/>
            <w:vAlign w:val="bottom"/>
            <w:tcBorders>
              <w:bottom w:val="single" w:sz="8" w:color="9A9A9A"/>
            </w:tcBorders>
          </w:tcPr>
          <w:p>
            <w:pPr>
              <w:spacing w:after="0"/>
              <w:rPr>
                <w:sz w:val="12"/>
                <w:szCs w:val="12"/>
                <w:color w:val="auto"/>
              </w:rPr>
            </w:pPr>
          </w:p>
        </w:tc>
        <w:tc>
          <w:tcPr>
            <w:tcW w:w="78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type w:val="continuous"/>
        </w:sectPr>
      </w:pPr>
    </w:p>
    <w:bookmarkStart w:id="48" w:name="page49"/>
    <w:bookmarkEnd w:id="48"/>
    <w:p>
      <w:pPr>
        <w:ind w:right="380"/>
        <w:spacing w:after="0" w:line="296" w:lineRule="auto"/>
        <w:rPr>
          <w:sz w:val="20"/>
          <w:szCs w:val="20"/>
          <w:color w:val="auto"/>
        </w:rPr>
      </w:pPr>
      <w:r>
        <w:rPr>
          <w:rFonts w:ascii="Arial" w:cs="Arial" w:eastAsia="Arial" w:hAnsi="Arial"/>
          <w:sz w:val="8"/>
          <w:szCs w:val="8"/>
          <w:color w:val="auto"/>
        </w:rPr>
        <w:t>In September 2020, Shell and Kosmos Energy executed a portfolio transaction under which Kosmos divested seven deep-water exploration licences to Shell across four countries: Suriname, São Tomé and Príncipe, Namibia and South Africa. Suriname (Block 42) represents a new country entry for Shell with a 33.33% participating interest. In São Tomé and Príncipe, Shell will expand its position in two blocks – (Block 6 by 25% working interest and Block 11 by 35% working interest) – and enter two others (10 and 13) with a 35% interest in both. In both Namibia and South Africa, Shell will deepen its position by 45% working interest in the two blocks, PEL0039 and NCUD. The agreement received all necessary regulatory approvals and third-party consents in December 2020, with the exception of South Africa which is expected to be completed in 2021.</w:t>
      </w:r>
    </w:p>
    <w:p>
      <w:pPr>
        <w:spacing w:after="0" w:line="237" w:lineRule="exact"/>
        <w:rPr>
          <w:sz w:val="20"/>
          <w:szCs w:val="20"/>
          <w:color w:val="auto"/>
        </w:rPr>
      </w:pPr>
    </w:p>
    <w:p>
      <w:pPr>
        <w:spacing w:after="0"/>
        <w:rPr>
          <w:sz w:val="20"/>
          <w:szCs w:val="20"/>
          <w:color w:val="auto"/>
        </w:rPr>
      </w:pPr>
      <w:r>
        <w:rPr>
          <w:rFonts w:ascii="Arial" w:cs="Arial" w:eastAsia="Arial" w:hAnsi="Arial"/>
          <w:sz w:val="10"/>
          <w:szCs w:val="10"/>
          <w:color w:val="auto"/>
        </w:rPr>
        <w:t>In November 2020:</w:t>
      </w:r>
    </w:p>
    <w:p>
      <w:pPr>
        <w:spacing w:after="0" w:line="1" w:lineRule="exact"/>
        <w:rPr>
          <w:sz w:val="20"/>
          <w:szCs w:val="20"/>
          <w:color w:val="auto"/>
        </w:rPr>
      </w:pPr>
    </w:p>
    <w:p>
      <w:pPr>
        <w:ind w:right="520"/>
        <w:spacing w:after="0" w:line="337" w:lineRule="auto"/>
        <w:rPr>
          <w:sz w:val="20"/>
          <w:szCs w:val="20"/>
          <w:color w:val="auto"/>
        </w:rPr>
      </w:pPr>
      <w:r>
        <w:rPr>
          <w:rFonts w:ascii="Arial" w:cs="Arial" w:eastAsia="Arial" w:hAnsi="Arial"/>
          <w:sz w:val="8"/>
          <w:szCs w:val="8"/>
          <w:color w:val="auto"/>
        </w:rPr>
        <w:t>We agreed a farm-in transaction with CNOOC E&amp;P Mexico, acquiring a participating interest (Shell interest 30%) in the deep-water round 1.4 Block 4 exploration licence in the offshore Mexico Perdido. This transaction is subject to regulatory approval.</w:t>
      </w:r>
    </w:p>
    <w:p>
      <w:pPr>
        <w:spacing w:after="0" w:line="112" w:lineRule="exact"/>
        <w:rPr>
          <w:sz w:val="20"/>
          <w:szCs w:val="20"/>
          <w:color w:val="auto"/>
        </w:rPr>
      </w:pPr>
    </w:p>
    <w:p>
      <w:pPr>
        <w:ind w:right="380"/>
        <w:spacing w:after="0" w:line="320" w:lineRule="auto"/>
        <w:rPr>
          <w:sz w:val="20"/>
          <w:szCs w:val="20"/>
          <w:color w:val="auto"/>
        </w:rPr>
      </w:pPr>
      <w:r>
        <w:rPr>
          <w:rFonts w:ascii="Arial" w:cs="Arial" w:eastAsia="Arial" w:hAnsi="Arial"/>
          <w:sz w:val="8"/>
          <w:szCs w:val="8"/>
          <w:color w:val="auto"/>
        </w:rPr>
        <w:t>We agreed a farm-in transaction with Impact Africa Limited to acquire a 50% participating interest in the frontier deep-water blocks Transkei/Algoa (ER252) off the east coast of South Africa, with an area of around 46,000 square kilometres. Pursuant to the agreement, we will secure the operatorship from the counterparty. The agreement is subject to customary conditions including regulatory approvals.</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In the delayed US Gulf of Mexico Lease Sale 256 held in November 2020, Shell secured a further 19 blocks.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2100" w:type="dxa"/>
            <w:vAlign w:val="bottom"/>
          </w:tcPr>
          <w:p>
            <w:pPr>
              <w:jc w:val="right"/>
              <w:spacing w:after="0"/>
              <w:rPr>
                <w:sz w:val="20"/>
                <w:szCs w:val="20"/>
                <w:color w:val="auto"/>
              </w:rPr>
            </w:pPr>
            <w:r>
              <w:rPr>
                <w:rFonts w:ascii="Arial" w:cs="Arial" w:eastAsia="Arial" w:hAnsi="Arial"/>
                <w:sz w:val="7"/>
                <w:szCs w:val="7"/>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In December 2020:</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8"/>
          <w:szCs w:val="8"/>
          <w:color w:val="auto"/>
        </w:rPr>
        <w:t>Our exploration presence in offshore Egypt was bolstered by entries into new blocks in the West Mediterranean and the Red Sea. For the West Mediterranean, Herodotus Block 3 North Ras Kanais (Shell interest 30%) was ratified in December 2020 with more than 4,400 square kilometres of acreage. Red Sea Block 3 (Shell interest 90%, operator) was ratified in December 2020 and covers more than 3,000 square kilometres in an under-explored area south of the Gulf of Suez. Some blocks have been awarded but are yet to be ratified; Red Sea Block 4 (Shell interest 63%, operator) and Herodotus Blocks 6 (North Marina, Shell interest 63%) and 7 (North Cleopatra Offshore, Shell interest 63%) all of which are awaiting government ratification.</w:t>
      </w:r>
    </w:p>
    <w:p>
      <w:pPr>
        <w:spacing w:after="0" w:line="130" w:lineRule="exact"/>
        <w:rPr>
          <w:sz w:val="20"/>
          <w:szCs w:val="20"/>
          <w:color w:val="auto"/>
        </w:rPr>
      </w:pPr>
    </w:p>
    <w:p>
      <w:pPr>
        <w:ind w:right="40"/>
        <w:spacing w:after="0" w:line="239" w:lineRule="auto"/>
        <w:rPr>
          <w:sz w:val="20"/>
          <w:szCs w:val="20"/>
          <w:color w:val="auto"/>
        </w:rPr>
      </w:pPr>
      <w:r>
        <w:rPr>
          <w:rFonts w:ascii="Arial" w:cs="Arial" w:eastAsia="Arial" w:hAnsi="Arial"/>
          <w:sz w:val="10"/>
          <w:szCs w:val="10"/>
          <w:color w:val="auto"/>
        </w:rPr>
        <w:t>In Brazil, we were awarded Block C-M-757 (Outboard Campos Basin) (Shell interest 100%) in the Permanent Offer Bid Round. This is awaiting ratification.</w:t>
      </w:r>
    </w:p>
    <w:p>
      <w:pPr>
        <w:spacing w:after="0" w:line="149" w:lineRule="exact"/>
        <w:rPr>
          <w:sz w:val="20"/>
          <w:szCs w:val="20"/>
          <w:color w:val="auto"/>
        </w:rPr>
      </w:pPr>
    </w:p>
    <w:p>
      <w:pPr>
        <w:ind w:right="240"/>
        <w:spacing w:after="0" w:line="320" w:lineRule="auto"/>
        <w:rPr>
          <w:sz w:val="20"/>
          <w:szCs w:val="20"/>
          <w:color w:val="auto"/>
        </w:rPr>
      </w:pPr>
      <w:r>
        <w:rPr>
          <w:rFonts w:ascii="Arial" w:cs="Arial" w:eastAsia="Arial" w:hAnsi="Arial"/>
          <w:sz w:val="8"/>
          <w:szCs w:val="8"/>
          <w:color w:val="auto"/>
        </w:rPr>
        <w:t>In total, the net undeveloped acreage in our exploration portfolio increased by around 9.4 million acres in 2020. The largest contributions were licence entries in São Tomé and Príncipe, the Sultanate of Oman, the Arab Republic of Egypt, Namibia and the Nation of Brunei. There were some relinquishments and divestments, with the largest being in Australia, Norway and Italy.</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For further information, see "Supplementary Information - oil and gas (unaudited)" on pages 211-228</w:t>
      </w:r>
    </w:p>
    <w:p>
      <w:pPr>
        <w:sectPr>
          <w:pgSz w:w="11900" w:h="16838" w:orient="portrait"/>
          <w:cols w:equalWidth="0" w:num="2">
            <w:col w:w="5600" w:space="320"/>
            <w:col w:w="5260"/>
          </w:cols>
          <w:pgMar w:left="300" w:top="640" w:right="419" w:bottom="1440" w:gutter="0" w:footer="0" w:header="0"/>
        </w:sectPr>
      </w:pPr>
    </w:p>
    <w:bookmarkStart w:id="49" w:name="page50"/>
    <w:bookmarkEnd w:id="49"/>
    <w:p>
      <w:pPr>
        <w:ind w:left="8"/>
        <w:spacing w:after="0"/>
        <w:rPr>
          <w:sz w:val="20"/>
          <w:szCs w:val="20"/>
          <w:color w:val="auto"/>
        </w:rPr>
      </w:pPr>
      <w:r>
        <w:rPr>
          <w:rFonts w:ascii="Arial" w:cs="Arial" w:eastAsia="Arial" w:hAnsi="Arial"/>
          <w:sz w:val="10"/>
          <w:szCs w:val="10"/>
          <w:color w:val="auto"/>
        </w:rPr>
        <w:t>LOCATION OF OIL AND GAS EXPLORATION AND PRODUCTION ACTIVITIES</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45"/>
        </w:trPr>
        <w:tc>
          <w:tcPr>
            <w:tcW w:w="786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Location of oil and gas exploration and production activities [A] (at December 31, 2020)</w:t>
            </w:r>
          </w:p>
        </w:tc>
        <w:tc>
          <w:tcPr>
            <w:tcW w:w="460" w:type="dxa"/>
            <w:vAlign w:val="bottom"/>
            <w:tcBorders>
              <w:top w:val="single" w:sz="8" w:color="CDCDCD"/>
            </w:tcBorders>
          </w:tcPr>
          <w:p>
            <w:pPr>
              <w:spacing w:after="0"/>
              <w:rPr>
                <w:sz w:val="12"/>
                <w:szCs w:val="12"/>
                <w:color w:val="auto"/>
              </w:rPr>
            </w:pPr>
          </w:p>
        </w:tc>
        <w:tc>
          <w:tcPr>
            <w:tcW w:w="1600" w:type="dxa"/>
            <w:vAlign w:val="bottom"/>
            <w:tcBorders>
              <w:top w:val="single" w:sz="8" w:color="CDCDCD"/>
            </w:tcBorders>
          </w:tcPr>
          <w:p>
            <w:pPr>
              <w:spacing w:after="0"/>
              <w:rPr>
                <w:sz w:val="12"/>
                <w:szCs w:val="12"/>
                <w:color w:val="auto"/>
              </w:rPr>
            </w:pPr>
          </w:p>
        </w:tc>
        <w:tc>
          <w:tcPr>
            <w:tcW w:w="1360" w:type="dxa"/>
            <w:vAlign w:val="bottom"/>
            <w:tcBorders>
              <w:top w:val="single" w:sz="8" w:color="CDCDCD"/>
            </w:tcBorders>
          </w:tcPr>
          <w:p>
            <w:pPr>
              <w:spacing w:after="0"/>
              <w:rPr>
                <w:sz w:val="12"/>
                <w:szCs w:val="12"/>
                <w:color w:val="auto"/>
              </w:rPr>
            </w:pPr>
          </w:p>
        </w:tc>
      </w:tr>
      <w:tr>
        <w:trPr>
          <w:trHeight w:val="123"/>
        </w:trPr>
        <w:tc>
          <w:tcPr>
            <w:tcW w:w="7860" w:type="dxa"/>
            <w:vAlign w:val="bottom"/>
          </w:tcPr>
          <w:p>
            <w:pPr>
              <w:ind w:left="7320"/>
              <w:spacing w:after="0"/>
              <w:rPr>
                <w:sz w:val="20"/>
                <w:szCs w:val="20"/>
                <w:color w:val="auto"/>
              </w:rPr>
            </w:pPr>
            <w:r>
              <w:rPr>
                <w:rFonts w:ascii="Arial" w:cs="Arial" w:eastAsia="Arial" w:hAnsi="Arial"/>
                <w:sz w:val="10"/>
                <w:szCs w:val="10"/>
                <w:color w:val="auto"/>
              </w:rPr>
              <w:t>Exploration</w:t>
            </w:r>
          </w:p>
        </w:tc>
        <w:tc>
          <w:tcPr>
            <w:tcW w:w="460" w:type="dxa"/>
            <w:vAlign w:val="bottom"/>
          </w:tcPr>
          <w:p>
            <w:pPr>
              <w:spacing w:after="0"/>
              <w:rPr>
                <w:sz w:val="10"/>
                <w:szCs w:val="10"/>
                <w:color w:val="auto"/>
              </w:rPr>
            </w:pPr>
          </w:p>
        </w:tc>
        <w:tc>
          <w:tcPr>
            <w:tcW w:w="1600" w:type="dxa"/>
            <w:vAlign w:val="bottom"/>
          </w:tcPr>
          <w:p>
            <w:pPr>
              <w:ind w:left="320"/>
              <w:spacing w:after="0"/>
              <w:rPr>
                <w:sz w:val="20"/>
                <w:szCs w:val="20"/>
                <w:color w:val="auto"/>
              </w:rPr>
            </w:pPr>
            <w:r>
              <w:rPr>
                <w:rFonts w:ascii="Arial" w:cs="Arial" w:eastAsia="Arial" w:hAnsi="Arial"/>
                <w:sz w:val="10"/>
                <w:szCs w:val="10"/>
                <w:color w:val="auto"/>
                <w:w w:val="89"/>
              </w:rPr>
              <w:t>Development and/or Production</w:t>
            </w:r>
          </w:p>
        </w:tc>
        <w:tc>
          <w:tcPr>
            <w:tcW w:w="1360" w:type="dxa"/>
            <w:vAlign w:val="bottom"/>
          </w:tcPr>
          <w:p>
            <w:pPr>
              <w:ind w:left="40"/>
              <w:spacing w:after="0"/>
              <w:rPr>
                <w:sz w:val="20"/>
                <w:szCs w:val="20"/>
                <w:color w:val="auto"/>
              </w:rPr>
            </w:pPr>
            <w:r>
              <w:rPr>
                <w:rFonts w:ascii="Arial" w:cs="Arial" w:eastAsia="Arial" w:hAnsi="Arial"/>
                <w:sz w:val="10"/>
                <w:szCs w:val="10"/>
                <w:color w:val="auto"/>
              </w:rPr>
              <w:t>Shell operator [B]</w:t>
            </w:r>
          </w:p>
        </w:tc>
      </w:tr>
      <w:tr>
        <w:trPr>
          <w:trHeight w:val="126"/>
        </w:trPr>
        <w:tc>
          <w:tcPr>
            <w:tcW w:w="7860" w:type="dxa"/>
            <w:vAlign w:val="bottom"/>
          </w:tcPr>
          <w:p>
            <w:pPr>
              <w:spacing w:after="0"/>
              <w:rPr>
                <w:sz w:val="20"/>
                <w:szCs w:val="20"/>
                <w:color w:val="auto"/>
              </w:rPr>
            </w:pPr>
            <w:r>
              <w:rPr>
                <w:rFonts w:ascii="Arial" w:cs="Arial" w:eastAsia="Arial" w:hAnsi="Arial"/>
                <w:sz w:val="10"/>
                <w:szCs w:val="10"/>
                <w:b w:val="1"/>
                <w:bCs w:val="1"/>
                <w:color w:val="auto"/>
              </w:rPr>
              <w:t>Europe</w:t>
            </w:r>
          </w:p>
        </w:tc>
        <w:tc>
          <w:tcPr>
            <w:tcW w:w="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Albania</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Bulgaria</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Cyprus</w:t>
            </w:r>
          </w:p>
        </w:tc>
        <w:tc>
          <w:tcPr>
            <w:tcW w:w="460" w:type="dxa"/>
            <w:vAlign w:val="bottom"/>
          </w:tcPr>
          <w:p>
            <w:pPr>
              <w:spacing w:after="0"/>
              <w:rPr>
                <w:sz w:val="10"/>
                <w:szCs w:val="10"/>
                <w:color w:val="auto"/>
              </w:rPr>
            </w:pP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spacing w:after="0"/>
              <w:rPr>
                <w:sz w:val="10"/>
                <w:szCs w:val="10"/>
                <w:color w:val="auto"/>
              </w:rPr>
            </w:pP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Germany</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spacing w:after="0"/>
              <w:rPr>
                <w:sz w:val="10"/>
                <w:szCs w:val="10"/>
                <w:color w:val="auto"/>
              </w:rPr>
            </w:pP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Italy</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spacing w:after="0"/>
              <w:rPr>
                <w:sz w:val="10"/>
                <w:szCs w:val="10"/>
                <w:color w:val="auto"/>
              </w:rPr>
            </w:pP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Netherlands</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Norway</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30"/>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UK</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tcPr>
          <w:p>
            <w:pPr>
              <w:ind w:left="940"/>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ind w:left="660"/>
              <w:spacing w:after="0"/>
              <w:rPr>
                <w:sz w:val="20"/>
                <w:szCs w:val="20"/>
                <w:color w:val="auto"/>
              </w:rPr>
            </w:pPr>
            <w:r>
              <w:rPr>
                <w:rFonts w:ascii="Arial" w:cs="Arial" w:eastAsia="Arial" w:hAnsi="Arial"/>
                <w:sz w:val="10"/>
                <w:szCs w:val="10"/>
                <w:color w:val="auto"/>
              </w:rPr>
              <w:t>●</w:t>
            </w:r>
          </w:p>
        </w:tc>
      </w:tr>
      <w:tr>
        <w:trPr>
          <w:trHeight w:val="116"/>
        </w:trPr>
        <w:tc>
          <w:tcPr>
            <w:tcW w:w="7860" w:type="dxa"/>
            <w:vAlign w:val="bottom"/>
          </w:tcPr>
          <w:p>
            <w:pPr>
              <w:spacing w:after="0"/>
              <w:rPr>
                <w:sz w:val="20"/>
                <w:szCs w:val="20"/>
                <w:color w:val="auto"/>
              </w:rPr>
            </w:pPr>
            <w:r>
              <w:rPr>
                <w:rFonts w:ascii="Arial" w:cs="Arial" w:eastAsia="Arial" w:hAnsi="Arial"/>
                <w:sz w:val="10"/>
                <w:szCs w:val="10"/>
                <w:b w:val="1"/>
                <w:bCs w:val="1"/>
                <w:color w:val="auto"/>
              </w:rPr>
              <w:t>Asia</w:t>
            </w:r>
          </w:p>
        </w:tc>
        <w:tc>
          <w:tcPr>
            <w:tcW w:w="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21"/>
        </w:trPr>
        <w:tc>
          <w:tcPr>
            <w:tcW w:w="7860" w:type="dxa"/>
            <w:vAlign w:val="bottom"/>
          </w:tcPr>
          <w:p>
            <w:pPr>
              <w:ind w:left="140"/>
              <w:spacing w:after="0"/>
              <w:rPr>
                <w:sz w:val="20"/>
                <w:szCs w:val="20"/>
                <w:color w:val="auto"/>
              </w:rPr>
            </w:pPr>
            <w:r>
              <w:rPr>
                <w:rFonts w:ascii="Arial" w:cs="Arial" w:eastAsia="Arial" w:hAnsi="Arial"/>
                <w:sz w:val="10"/>
                <w:szCs w:val="10"/>
                <w:color w:val="auto"/>
              </w:rPr>
              <w:t>Brunei</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China</w:t>
            </w:r>
          </w:p>
        </w:tc>
        <w:tc>
          <w:tcPr>
            <w:tcW w:w="460" w:type="dxa"/>
            <w:vAlign w:val="bottom"/>
          </w:tcPr>
          <w:p>
            <w:pPr>
              <w:spacing w:after="0"/>
              <w:rPr>
                <w:sz w:val="10"/>
                <w:szCs w:val="10"/>
                <w:color w:val="auto"/>
              </w:rPr>
            </w:pP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Indonesia</w:t>
            </w:r>
          </w:p>
        </w:tc>
        <w:tc>
          <w:tcPr>
            <w:tcW w:w="460" w:type="dxa"/>
            <w:vAlign w:val="bottom"/>
          </w:tcPr>
          <w:p>
            <w:pPr>
              <w:spacing w:after="0"/>
              <w:rPr>
                <w:sz w:val="10"/>
                <w:szCs w:val="10"/>
                <w:color w:val="auto"/>
              </w:rPr>
            </w:pP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spacing w:after="0"/>
              <w:rPr>
                <w:sz w:val="10"/>
                <w:szCs w:val="10"/>
                <w:color w:val="auto"/>
              </w:rPr>
            </w:pP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Kazakhstan</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spacing w:after="0"/>
              <w:rPr>
                <w:sz w:val="10"/>
                <w:szCs w:val="10"/>
                <w:color w:val="auto"/>
              </w:rPr>
            </w:pP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Malaysia</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Myanmar</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Oman</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Philippines</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Qatar</w:t>
            </w:r>
          </w:p>
        </w:tc>
        <w:tc>
          <w:tcPr>
            <w:tcW w:w="460" w:type="dxa"/>
            <w:vAlign w:val="bottom"/>
          </w:tcPr>
          <w:p>
            <w:pPr>
              <w:spacing w:after="0"/>
              <w:rPr>
                <w:sz w:val="10"/>
                <w:szCs w:val="10"/>
                <w:color w:val="auto"/>
              </w:rPr>
            </w:pP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Russia</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spacing w:after="0"/>
              <w:rPr>
                <w:sz w:val="10"/>
                <w:szCs w:val="10"/>
                <w:color w:val="auto"/>
              </w:rPr>
            </w:pP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Turkey</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Oceania</w:t>
            </w:r>
          </w:p>
        </w:tc>
        <w:tc>
          <w:tcPr>
            <w:tcW w:w="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30"/>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Australia</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tcPr>
          <w:p>
            <w:pPr>
              <w:ind w:left="940"/>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ind w:left="660"/>
              <w:spacing w:after="0"/>
              <w:rPr>
                <w:sz w:val="20"/>
                <w:szCs w:val="20"/>
                <w:color w:val="auto"/>
              </w:rPr>
            </w:pPr>
            <w:r>
              <w:rPr>
                <w:rFonts w:ascii="Arial" w:cs="Arial" w:eastAsia="Arial" w:hAnsi="Arial"/>
                <w:sz w:val="10"/>
                <w:szCs w:val="10"/>
                <w:color w:val="auto"/>
              </w:rPr>
              <w:t>●</w:t>
            </w:r>
          </w:p>
        </w:tc>
      </w:tr>
      <w:tr>
        <w:trPr>
          <w:trHeight w:val="116"/>
        </w:trPr>
        <w:tc>
          <w:tcPr>
            <w:tcW w:w="7860" w:type="dxa"/>
            <w:vAlign w:val="bottom"/>
          </w:tcPr>
          <w:p>
            <w:pPr>
              <w:spacing w:after="0"/>
              <w:rPr>
                <w:sz w:val="20"/>
                <w:szCs w:val="20"/>
                <w:color w:val="auto"/>
              </w:rPr>
            </w:pPr>
            <w:r>
              <w:rPr>
                <w:rFonts w:ascii="Arial" w:cs="Arial" w:eastAsia="Arial" w:hAnsi="Arial"/>
                <w:sz w:val="10"/>
                <w:szCs w:val="10"/>
                <w:b w:val="1"/>
                <w:bCs w:val="1"/>
                <w:color w:val="auto"/>
              </w:rPr>
              <w:t>Africa</w:t>
            </w:r>
          </w:p>
        </w:tc>
        <w:tc>
          <w:tcPr>
            <w:tcW w:w="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21"/>
        </w:trPr>
        <w:tc>
          <w:tcPr>
            <w:tcW w:w="7860" w:type="dxa"/>
            <w:vAlign w:val="bottom"/>
          </w:tcPr>
          <w:p>
            <w:pPr>
              <w:ind w:left="140"/>
              <w:spacing w:after="0"/>
              <w:rPr>
                <w:sz w:val="20"/>
                <w:szCs w:val="20"/>
                <w:color w:val="auto"/>
              </w:rPr>
            </w:pPr>
            <w:r>
              <w:rPr>
                <w:rFonts w:ascii="Arial" w:cs="Arial" w:eastAsia="Arial" w:hAnsi="Arial"/>
                <w:sz w:val="10"/>
                <w:szCs w:val="10"/>
                <w:color w:val="auto"/>
              </w:rPr>
              <w:t>Egypt</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Mauritania</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Morocco</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Namibia</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Nigeria</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Sao Tome and Principe</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South Africa</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Tanzania</w:t>
            </w:r>
          </w:p>
        </w:tc>
        <w:tc>
          <w:tcPr>
            <w:tcW w:w="460" w:type="dxa"/>
            <w:vAlign w:val="bottom"/>
          </w:tcPr>
          <w:p>
            <w:pPr>
              <w:spacing w:after="0"/>
              <w:rPr>
                <w:sz w:val="10"/>
                <w:szCs w:val="10"/>
                <w:color w:val="auto"/>
              </w:rPr>
            </w:pP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30"/>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Tunisia</w:t>
            </w:r>
          </w:p>
        </w:tc>
        <w:tc>
          <w:tcPr>
            <w:tcW w:w="4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ind w:left="940"/>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ind w:left="660"/>
              <w:spacing w:after="0"/>
              <w:rPr>
                <w:sz w:val="20"/>
                <w:szCs w:val="20"/>
                <w:color w:val="auto"/>
              </w:rPr>
            </w:pPr>
            <w:r>
              <w:rPr>
                <w:rFonts w:ascii="Arial" w:cs="Arial" w:eastAsia="Arial" w:hAnsi="Arial"/>
                <w:sz w:val="10"/>
                <w:szCs w:val="10"/>
                <w:color w:val="auto"/>
              </w:rPr>
              <w:t>●</w:t>
            </w:r>
          </w:p>
        </w:tc>
      </w:tr>
      <w:tr>
        <w:trPr>
          <w:trHeight w:val="116"/>
        </w:trPr>
        <w:tc>
          <w:tcPr>
            <w:tcW w:w="7860" w:type="dxa"/>
            <w:vAlign w:val="bottom"/>
          </w:tcPr>
          <w:p>
            <w:pPr>
              <w:spacing w:after="0"/>
              <w:rPr>
                <w:sz w:val="20"/>
                <w:szCs w:val="20"/>
                <w:color w:val="auto"/>
              </w:rPr>
            </w:pPr>
            <w:r>
              <w:rPr>
                <w:rFonts w:ascii="Arial" w:cs="Arial" w:eastAsia="Arial" w:hAnsi="Arial"/>
                <w:sz w:val="10"/>
                <w:szCs w:val="10"/>
                <w:b w:val="1"/>
                <w:bCs w:val="1"/>
                <w:color w:val="auto"/>
              </w:rPr>
              <w:t>North America - USA</w:t>
            </w:r>
          </w:p>
        </w:tc>
        <w:tc>
          <w:tcPr>
            <w:tcW w:w="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21"/>
        </w:trPr>
        <w:tc>
          <w:tcPr>
            <w:tcW w:w="7860" w:type="dxa"/>
            <w:vAlign w:val="bottom"/>
          </w:tcPr>
          <w:p>
            <w:pPr>
              <w:ind w:left="140"/>
              <w:spacing w:after="0"/>
              <w:rPr>
                <w:sz w:val="20"/>
                <w:szCs w:val="20"/>
                <w:color w:val="auto"/>
              </w:rPr>
            </w:pPr>
            <w:r>
              <w:rPr>
                <w:rFonts w:ascii="Arial" w:cs="Arial" w:eastAsia="Arial" w:hAnsi="Arial"/>
                <w:sz w:val="10"/>
                <w:szCs w:val="10"/>
                <w:color w:val="auto"/>
              </w:rPr>
              <w:t>Mexico</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30"/>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USA</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tcPr>
          <w:p>
            <w:pPr>
              <w:ind w:left="940"/>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ind w:left="660"/>
              <w:spacing w:after="0"/>
              <w:rPr>
                <w:sz w:val="20"/>
                <w:szCs w:val="20"/>
                <w:color w:val="auto"/>
              </w:rPr>
            </w:pPr>
            <w:r>
              <w:rPr>
                <w:rFonts w:ascii="Arial" w:cs="Arial" w:eastAsia="Arial" w:hAnsi="Arial"/>
                <w:sz w:val="10"/>
                <w:szCs w:val="10"/>
                <w:color w:val="auto"/>
              </w:rPr>
              <w:t>●</w:t>
            </w:r>
          </w:p>
        </w:tc>
      </w:tr>
      <w:tr>
        <w:trPr>
          <w:trHeight w:val="116"/>
        </w:trPr>
        <w:tc>
          <w:tcPr>
            <w:tcW w:w="7860" w:type="dxa"/>
            <w:vAlign w:val="bottom"/>
          </w:tcPr>
          <w:p>
            <w:pPr>
              <w:spacing w:after="0"/>
              <w:rPr>
                <w:sz w:val="20"/>
                <w:szCs w:val="20"/>
                <w:color w:val="auto"/>
              </w:rPr>
            </w:pPr>
            <w:r>
              <w:rPr>
                <w:rFonts w:ascii="Arial" w:cs="Arial" w:eastAsia="Arial" w:hAnsi="Arial"/>
                <w:sz w:val="10"/>
                <w:szCs w:val="10"/>
                <w:b w:val="1"/>
                <w:bCs w:val="1"/>
                <w:color w:val="auto"/>
              </w:rPr>
              <w:t>North America - Canada</w:t>
            </w:r>
          </w:p>
        </w:tc>
        <w:tc>
          <w:tcPr>
            <w:tcW w:w="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25"/>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Canada</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tcPr>
          <w:p>
            <w:pPr>
              <w:ind w:left="940"/>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ind w:left="660"/>
              <w:spacing w:after="0"/>
              <w:rPr>
                <w:sz w:val="20"/>
                <w:szCs w:val="20"/>
                <w:color w:val="auto"/>
              </w:rPr>
            </w:pPr>
            <w:r>
              <w:rPr>
                <w:rFonts w:ascii="Arial" w:cs="Arial" w:eastAsia="Arial" w:hAnsi="Arial"/>
                <w:sz w:val="10"/>
                <w:szCs w:val="10"/>
                <w:color w:val="auto"/>
              </w:rPr>
              <w:t>●</w:t>
            </w:r>
          </w:p>
        </w:tc>
      </w:tr>
      <w:tr>
        <w:trPr>
          <w:trHeight w:val="116"/>
        </w:trPr>
        <w:tc>
          <w:tcPr>
            <w:tcW w:w="7860" w:type="dxa"/>
            <w:vAlign w:val="bottom"/>
          </w:tcPr>
          <w:p>
            <w:pPr>
              <w:spacing w:after="0"/>
              <w:rPr>
                <w:sz w:val="20"/>
                <w:szCs w:val="20"/>
                <w:color w:val="auto"/>
              </w:rPr>
            </w:pPr>
            <w:r>
              <w:rPr>
                <w:rFonts w:ascii="Arial" w:cs="Arial" w:eastAsia="Arial" w:hAnsi="Arial"/>
                <w:sz w:val="10"/>
                <w:szCs w:val="10"/>
                <w:b w:val="1"/>
                <w:bCs w:val="1"/>
                <w:color w:val="auto"/>
              </w:rPr>
              <w:t>South America</w:t>
            </w:r>
          </w:p>
        </w:tc>
        <w:tc>
          <w:tcPr>
            <w:tcW w:w="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21"/>
        </w:trPr>
        <w:tc>
          <w:tcPr>
            <w:tcW w:w="7860" w:type="dxa"/>
            <w:vAlign w:val="bottom"/>
          </w:tcPr>
          <w:p>
            <w:pPr>
              <w:ind w:left="140"/>
              <w:spacing w:after="0"/>
              <w:rPr>
                <w:sz w:val="20"/>
                <w:szCs w:val="20"/>
                <w:color w:val="auto"/>
              </w:rPr>
            </w:pPr>
            <w:r>
              <w:rPr>
                <w:rFonts w:ascii="Arial" w:cs="Arial" w:eastAsia="Arial" w:hAnsi="Arial"/>
                <w:sz w:val="10"/>
                <w:szCs w:val="10"/>
                <w:color w:val="auto"/>
              </w:rPr>
              <w:t>Argentina</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Bolivia</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Brazil</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Colombia</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Suriname</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Trinidad &amp; Tobago</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ind w:left="940"/>
              <w:spacing w:after="0"/>
              <w:rPr>
                <w:sz w:val="20"/>
                <w:szCs w:val="20"/>
                <w:color w:val="auto"/>
              </w:rPr>
            </w:pPr>
            <w:r>
              <w:rPr>
                <w:rFonts w:ascii="Arial" w:cs="Arial" w:eastAsia="Arial" w:hAnsi="Arial"/>
                <w:sz w:val="10"/>
                <w:szCs w:val="10"/>
                <w:color w:val="auto"/>
              </w:rPr>
              <w:t>●</w:t>
            </w: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r>
        <w:trPr>
          <w:trHeight w:val="126"/>
        </w:trPr>
        <w:tc>
          <w:tcPr>
            <w:tcW w:w="7860" w:type="dxa"/>
            <w:vAlign w:val="bottom"/>
          </w:tcPr>
          <w:p>
            <w:pPr>
              <w:ind w:left="140"/>
              <w:spacing w:after="0"/>
              <w:rPr>
                <w:sz w:val="20"/>
                <w:szCs w:val="20"/>
                <w:color w:val="auto"/>
              </w:rPr>
            </w:pPr>
            <w:r>
              <w:rPr>
                <w:rFonts w:ascii="Arial" w:cs="Arial" w:eastAsia="Arial" w:hAnsi="Arial"/>
                <w:sz w:val="10"/>
                <w:szCs w:val="10"/>
                <w:color w:val="auto"/>
              </w:rPr>
              <w:t>Uruguay</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1360" w:type="dxa"/>
            <w:vAlign w:val="bottom"/>
          </w:tcPr>
          <w:p>
            <w:pPr>
              <w:ind w:left="660"/>
              <w:spacing w:after="0"/>
              <w:rPr>
                <w:sz w:val="20"/>
                <w:szCs w:val="20"/>
                <w:color w:val="auto"/>
              </w:rPr>
            </w:pPr>
            <w:r>
              <w:rPr>
                <w:rFonts w:ascii="Arial" w:cs="Arial" w:eastAsia="Arial" w:hAnsi="Arial"/>
                <w:sz w:val="10"/>
                <w:szCs w:val="10"/>
                <w:color w:val="auto"/>
              </w:rPr>
              <w:t>●</w:t>
            </w:r>
          </w:p>
        </w:tc>
      </w:tr>
    </w:tbl>
    <w:p>
      <w:pPr>
        <w:spacing w:after="0" w:line="55" w:lineRule="exact"/>
        <w:rPr>
          <w:sz w:val="20"/>
          <w:szCs w:val="20"/>
          <w:color w:val="auto"/>
        </w:rPr>
      </w:pPr>
    </w:p>
    <w:p>
      <w:pPr>
        <w:ind w:left="128" w:hanging="128"/>
        <w:spacing w:after="0"/>
        <w:tabs>
          <w:tab w:leader="none" w:pos="128" w:val="left"/>
        </w:tabs>
        <w:numPr>
          <w:ilvl w:val="0"/>
          <w:numId w:val="26"/>
        </w:numPr>
        <w:rPr>
          <w:rFonts w:ascii="Arial" w:cs="Arial" w:eastAsia="Arial" w:hAnsi="Arial"/>
          <w:sz w:val="7"/>
          <w:szCs w:val="7"/>
          <w:color w:val="auto"/>
        </w:rPr>
      </w:pPr>
      <w:r>
        <w:rPr>
          <w:rFonts w:ascii="Arial" w:cs="Arial" w:eastAsia="Arial" w:hAnsi="Arial"/>
          <w:sz w:val="7"/>
          <w:szCs w:val="7"/>
          <w:color w:val="auto"/>
        </w:rPr>
        <w:t>Includes joint ventures and associates. Where a joint venture or an associate has properties outside its base country, those properties are not shown in this table.</w:t>
      </w:r>
    </w:p>
    <w:p>
      <w:pPr>
        <w:spacing w:after="0" w:line="9" w:lineRule="exact"/>
        <w:rPr>
          <w:rFonts w:ascii="Arial" w:cs="Arial" w:eastAsia="Arial" w:hAnsi="Arial"/>
          <w:sz w:val="7"/>
          <w:szCs w:val="7"/>
          <w:color w:val="auto"/>
        </w:rPr>
      </w:pPr>
    </w:p>
    <w:p>
      <w:pPr>
        <w:ind w:left="108" w:hanging="108"/>
        <w:spacing w:after="0"/>
        <w:tabs>
          <w:tab w:leader="none" w:pos="108" w:val="left"/>
        </w:tabs>
        <w:numPr>
          <w:ilvl w:val="0"/>
          <w:numId w:val="26"/>
        </w:numPr>
        <w:rPr>
          <w:rFonts w:ascii="Arial" w:cs="Arial" w:eastAsia="Arial" w:hAnsi="Arial"/>
          <w:sz w:val="7"/>
          <w:szCs w:val="7"/>
          <w:color w:val="auto"/>
        </w:rPr>
      </w:pPr>
      <w:r>
        <w:rPr>
          <w:rFonts w:ascii="Arial" w:cs="Arial" w:eastAsia="Arial" w:hAnsi="Arial"/>
          <w:sz w:val="7"/>
          <w:szCs w:val="7"/>
          <w:color w:val="auto"/>
        </w:rPr>
        <w:t>In several countries where “Shell operator” is indicated, Shell is the operator of some but not all exploration and/or production ventures</w:t>
      </w:r>
      <w:r>
        <w:rPr>
          <w:rFonts w:ascii="Arial" w:cs="Arial" w:eastAsia="Arial" w:hAnsi="Arial"/>
          <w:sz w:val="8"/>
          <w:szCs w:val="8"/>
          <w:color w:val="auto"/>
        </w:rPr>
        <w:t>.</w:t>
      </w:r>
    </w:p>
    <w:p>
      <w:pPr>
        <w:spacing w:after="0" w:line="358"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47</w:t>
            </w:r>
          </w:p>
        </w:tc>
      </w:tr>
      <w:tr>
        <w:trPr>
          <w:trHeight w:val="142"/>
        </w:trPr>
        <w:tc>
          <w:tcPr>
            <w:tcW w:w="3500" w:type="dxa"/>
            <w:vAlign w:val="bottom"/>
            <w:tcBorders>
              <w:bottom w:val="single" w:sz="8" w:color="9A9A9A"/>
            </w:tcBorders>
          </w:tcPr>
          <w:p>
            <w:pPr>
              <w:spacing w:after="0"/>
              <w:rPr>
                <w:sz w:val="12"/>
                <w:szCs w:val="12"/>
                <w:color w:val="auto"/>
              </w:rPr>
            </w:pPr>
          </w:p>
        </w:tc>
        <w:tc>
          <w:tcPr>
            <w:tcW w:w="78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30" w:right="299" w:bottom="1440" w:gutter="0" w:footer="0" w:header="0"/>
        </w:sectPr>
      </w:pPr>
    </w:p>
    <w:bookmarkStart w:id="50" w:name="page51"/>
    <w:bookmarkEnd w:id="50"/>
    <w:p>
      <w:pPr>
        <w:ind w:left="8"/>
        <w:spacing w:after="0"/>
        <w:rPr>
          <w:sz w:val="20"/>
          <w:szCs w:val="20"/>
          <w:color w:val="auto"/>
        </w:rPr>
      </w:pPr>
      <w:r>
        <w:rPr>
          <w:rFonts w:ascii="Arial" w:cs="Arial" w:eastAsia="Arial" w:hAnsi="Arial"/>
          <w:sz w:val="11"/>
          <w:szCs w:val="11"/>
          <w:color w:val="auto"/>
        </w:rPr>
        <w:t>OIL AND GAS PRODUCTION AVAILABLE FOR SALE</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2880" w:type="dxa"/>
            <w:vAlign w:val="bottom"/>
          </w:tcPr>
          <w:p>
            <w:pPr>
              <w:spacing w:after="0"/>
              <w:rPr>
                <w:sz w:val="20"/>
                <w:szCs w:val="20"/>
                <w:color w:val="auto"/>
              </w:rPr>
            </w:pPr>
            <w:r>
              <w:rPr>
                <w:rFonts w:ascii="Arial" w:cs="Arial" w:eastAsia="Arial" w:hAnsi="Arial"/>
                <w:sz w:val="10"/>
                <w:szCs w:val="10"/>
                <w:color w:val="auto"/>
              </w:rPr>
              <w:t>Crude oil and natural gas liquids [A]</w:t>
            </w:r>
          </w:p>
        </w:tc>
        <w:tc>
          <w:tcPr>
            <w:tcW w:w="1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Thousand barrels</w:t>
            </w:r>
          </w:p>
        </w:tc>
        <w:tc>
          <w:tcPr>
            <w:tcW w:w="0" w:type="dxa"/>
            <w:vAlign w:val="bottom"/>
          </w:tcPr>
          <w:p>
            <w:pPr>
              <w:spacing w:after="0"/>
              <w:rPr>
                <w:sz w:val="1"/>
                <w:szCs w:val="1"/>
                <w:color w:val="auto"/>
              </w:rPr>
            </w:pPr>
          </w:p>
        </w:tc>
      </w:tr>
      <w:tr>
        <w:trPr>
          <w:trHeight w:val="130"/>
        </w:trPr>
        <w:tc>
          <w:tcPr>
            <w:tcW w:w="2880" w:type="dxa"/>
            <w:vAlign w:val="bottom"/>
          </w:tcPr>
          <w:p>
            <w:pPr>
              <w:spacing w:after="0"/>
              <w:rPr>
                <w:sz w:val="11"/>
                <w:szCs w:val="11"/>
                <w:color w:val="auto"/>
              </w:rPr>
            </w:pPr>
          </w:p>
        </w:tc>
        <w:tc>
          <w:tcPr>
            <w:tcW w:w="1840" w:type="dxa"/>
            <w:vAlign w:val="bottom"/>
            <w:tcBorders>
              <w:bottom w:val="single" w:sz="8" w:color="auto"/>
            </w:tcBorders>
          </w:tcPr>
          <w:p>
            <w:pPr>
              <w:jc w:val="right"/>
              <w:ind w:right="333"/>
              <w:spacing w:after="0"/>
              <w:rPr>
                <w:sz w:val="20"/>
                <w:szCs w:val="20"/>
                <w:color w:val="auto"/>
              </w:rPr>
            </w:pPr>
            <w:r>
              <w:rPr>
                <w:rFonts w:ascii="Arial" w:cs="Arial" w:eastAsia="Arial" w:hAnsi="Arial"/>
                <w:sz w:val="8"/>
                <w:szCs w:val="8"/>
                <w:color w:val="auto"/>
              </w:rPr>
              <w:t>2020</w:t>
            </w: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2019</w:t>
            </w: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Borders>
              <w:bottom w:val="single" w:sz="8" w:color="auto"/>
            </w:tcBorders>
          </w:tcPr>
          <w:p>
            <w:pPr>
              <w:jc w:val="right"/>
              <w:ind w:right="253"/>
              <w:spacing w:after="0"/>
              <w:rPr>
                <w:sz w:val="20"/>
                <w:szCs w:val="20"/>
                <w:color w:val="auto"/>
              </w:rPr>
            </w:pPr>
            <w:r>
              <w:rPr>
                <w:rFonts w:ascii="Arial" w:cs="Arial" w:eastAsia="Arial" w:hAnsi="Arial"/>
                <w:sz w:val="8"/>
                <w:szCs w:val="8"/>
                <w:color w:val="auto"/>
              </w:rPr>
              <w:t>2018</w:t>
            </w: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880" w:type="dxa"/>
            <w:vAlign w:val="bottom"/>
          </w:tcPr>
          <w:p>
            <w:pPr>
              <w:spacing w:after="0"/>
              <w:rPr>
                <w:sz w:val="8"/>
                <w:szCs w:val="8"/>
                <w:color w:val="auto"/>
              </w:rPr>
            </w:pPr>
          </w:p>
        </w:tc>
        <w:tc>
          <w:tcPr>
            <w:tcW w:w="1840" w:type="dxa"/>
            <w:vAlign w:val="bottom"/>
            <w:vMerge w:val="restart"/>
          </w:tcPr>
          <w:p>
            <w:pPr>
              <w:jc w:val="right"/>
              <w:ind w:right="433"/>
              <w:spacing w:after="0"/>
              <w:rPr>
                <w:sz w:val="20"/>
                <w:szCs w:val="20"/>
                <w:color w:val="auto"/>
              </w:rPr>
            </w:pPr>
            <w:r>
              <w:rPr>
                <w:rFonts w:ascii="Arial" w:cs="Arial" w:eastAsia="Arial" w:hAnsi="Arial"/>
                <w:sz w:val="8"/>
                <w:szCs w:val="8"/>
                <w:color w:val="auto"/>
              </w:rPr>
              <w:t>Shell</w:t>
            </w:r>
          </w:p>
        </w:tc>
        <w:tc>
          <w:tcPr>
            <w:tcW w:w="1020" w:type="dxa"/>
            <w:vAlign w:val="bottom"/>
            <w:gridSpan w:val="2"/>
          </w:tcPr>
          <w:p>
            <w:pPr>
              <w:jc w:val="right"/>
              <w:ind w:right="140"/>
              <w:spacing w:after="0"/>
              <w:rPr>
                <w:sz w:val="20"/>
                <w:szCs w:val="20"/>
                <w:color w:val="auto"/>
              </w:rPr>
            </w:pPr>
            <w:r>
              <w:rPr>
                <w:rFonts w:ascii="Arial" w:cs="Arial" w:eastAsia="Arial" w:hAnsi="Arial"/>
                <w:sz w:val="8"/>
                <w:szCs w:val="8"/>
                <w:color w:val="auto"/>
              </w:rPr>
              <w:t>Shell share of</w:t>
            </w:r>
          </w:p>
        </w:tc>
        <w:tc>
          <w:tcPr>
            <w:tcW w:w="1800" w:type="dxa"/>
            <w:vAlign w:val="bottom"/>
            <w:vMerge w:val="restart"/>
          </w:tcPr>
          <w:p>
            <w:pPr>
              <w:jc w:val="right"/>
              <w:ind w:right="412"/>
              <w:spacing w:after="0"/>
              <w:rPr>
                <w:sz w:val="20"/>
                <w:szCs w:val="20"/>
                <w:color w:val="auto"/>
              </w:rPr>
            </w:pPr>
            <w:r>
              <w:rPr>
                <w:rFonts w:ascii="Arial" w:cs="Arial" w:eastAsia="Arial" w:hAnsi="Arial"/>
                <w:sz w:val="10"/>
                <w:szCs w:val="10"/>
                <w:color w:val="auto"/>
              </w:rPr>
              <w:t>Shell</w:t>
            </w:r>
          </w:p>
        </w:tc>
        <w:tc>
          <w:tcPr>
            <w:tcW w:w="920" w:type="dxa"/>
            <w:vAlign w:val="bottom"/>
          </w:tcPr>
          <w:p>
            <w:pPr>
              <w:jc w:val="right"/>
              <w:spacing w:after="0" w:line="101" w:lineRule="exact"/>
              <w:rPr>
                <w:sz w:val="20"/>
                <w:szCs w:val="20"/>
                <w:color w:val="auto"/>
              </w:rPr>
            </w:pPr>
            <w:r>
              <w:rPr>
                <w:rFonts w:ascii="Arial" w:cs="Arial" w:eastAsia="Arial" w:hAnsi="Arial"/>
                <w:sz w:val="10"/>
                <w:szCs w:val="10"/>
                <w:color w:val="auto"/>
              </w:rPr>
              <w:t>Shell share of</w:t>
            </w:r>
          </w:p>
        </w:tc>
        <w:tc>
          <w:tcPr>
            <w:tcW w:w="120" w:type="dxa"/>
            <w:vAlign w:val="bottom"/>
          </w:tcPr>
          <w:p>
            <w:pPr>
              <w:spacing w:after="0"/>
              <w:rPr>
                <w:sz w:val="8"/>
                <w:szCs w:val="8"/>
                <w:color w:val="auto"/>
              </w:rPr>
            </w:pPr>
          </w:p>
        </w:tc>
        <w:tc>
          <w:tcPr>
            <w:tcW w:w="1740" w:type="dxa"/>
            <w:vAlign w:val="bottom"/>
            <w:vMerge w:val="restart"/>
          </w:tcPr>
          <w:p>
            <w:pPr>
              <w:jc w:val="right"/>
              <w:ind w:right="353"/>
              <w:spacing w:after="0"/>
              <w:rPr>
                <w:sz w:val="20"/>
                <w:szCs w:val="20"/>
                <w:color w:val="auto"/>
              </w:rPr>
            </w:pPr>
            <w:r>
              <w:rPr>
                <w:rFonts w:ascii="Arial" w:cs="Arial" w:eastAsia="Arial" w:hAnsi="Arial"/>
                <w:sz w:val="8"/>
                <w:szCs w:val="8"/>
                <w:color w:val="auto"/>
              </w:rPr>
              <w:t>Shell</w:t>
            </w:r>
          </w:p>
        </w:tc>
        <w:tc>
          <w:tcPr>
            <w:tcW w:w="980" w:type="dxa"/>
            <w:vAlign w:val="bottom"/>
          </w:tcPr>
          <w:p>
            <w:pPr>
              <w:jc w:val="right"/>
              <w:spacing w:after="0"/>
              <w:rPr>
                <w:sz w:val="20"/>
                <w:szCs w:val="20"/>
                <w:color w:val="auto"/>
              </w:rPr>
            </w:pPr>
            <w:r>
              <w:rPr>
                <w:rFonts w:ascii="Arial" w:cs="Arial" w:eastAsia="Arial" w:hAnsi="Arial"/>
                <w:sz w:val="8"/>
                <w:szCs w:val="8"/>
                <w:color w:val="auto"/>
              </w:rPr>
              <w:t>Shell share of</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020" w:type="dxa"/>
            <w:vAlign w:val="bottom"/>
            <w:gridSpan w:val="2"/>
          </w:tcPr>
          <w:p>
            <w:pPr>
              <w:jc w:val="right"/>
              <w:ind w:right="140"/>
              <w:spacing w:after="0" w:line="81" w:lineRule="exact"/>
              <w:rPr>
                <w:sz w:val="20"/>
                <w:szCs w:val="20"/>
                <w:color w:val="auto"/>
              </w:rPr>
            </w:pPr>
            <w:r>
              <w:rPr>
                <w:rFonts w:ascii="Arial" w:cs="Arial" w:eastAsia="Arial" w:hAnsi="Arial"/>
                <w:sz w:val="8"/>
                <w:szCs w:val="8"/>
                <w:color w:val="auto"/>
              </w:rPr>
              <w:t>joint ventures</w:t>
            </w:r>
          </w:p>
        </w:tc>
        <w:tc>
          <w:tcPr>
            <w:tcW w:w="1800" w:type="dxa"/>
            <w:vAlign w:val="bottom"/>
            <w:vMerge w:val="continue"/>
          </w:tcPr>
          <w:p>
            <w:pPr>
              <w:spacing w:after="0"/>
              <w:rPr>
                <w:sz w:val="7"/>
                <w:szCs w:val="7"/>
                <w:color w:val="auto"/>
              </w:rPr>
            </w:pPr>
          </w:p>
        </w:tc>
        <w:tc>
          <w:tcPr>
            <w:tcW w:w="1040" w:type="dxa"/>
            <w:vAlign w:val="bottom"/>
            <w:gridSpan w:val="2"/>
          </w:tcPr>
          <w:p>
            <w:pPr>
              <w:jc w:val="right"/>
              <w:ind w:right="140"/>
              <w:spacing w:after="0" w:line="81" w:lineRule="exact"/>
              <w:rPr>
                <w:sz w:val="20"/>
                <w:szCs w:val="20"/>
                <w:color w:val="auto"/>
              </w:rPr>
            </w:pPr>
            <w:r>
              <w:rPr>
                <w:rFonts w:ascii="Arial" w:cs="Arial" w:eastAsia="Arial" w:hAnsi="Arial"/>
                <w:sz w:val="8"/>
                <w:szCs w:val="8"/>
                <w:color w:val="auto"/>
              </w:rPr>
              <w:t>joint ventures</w:t>
            </w:r>
          </w:p>
        </w:tc>
        <w:tc>
          <w:tcPr>
            <w:tcW w:w="1740" w:type="dxa"/>
            <w:vAlign w:val="bottom"/>
            <w:vMerge w:val="continue"/>
          </w:tcPr>
          <w:p>
            <w:pPr>
              <w:spacing w:after="0"/>
              <w:rPr>
                <w:sz w:val="7"/>
                <w:szCs w:val="7"/>
                <w:color w:val="auto"/>
              </w:rPr>
            </w:pPr>
          </w:p>
        </w:tc>
        <w:tc>
          <w:tcPr>
            <w:tcW w:w="980" w:type="dxa"/>
            <w:vAlign w:val="bottom"/>
          </w:tcPr>
          <w:p>
            <w:pPr>
              <w:jc w:val="right"/>
              <w:spacing w:after="0" w:line="81" w:lineRule="exact"/>
              <w:rPr>
                <w:sz w:val="20"/>
                <w:szCs w:val="20"/>
                <w:color w:val="auto"/>
              </w:rPr>
            </w:pPr>
            <w:r>
              <w:rPr>
                <w:rFonts w:ascii="Arial" w:cs="Arial" w:eastAsia="Arial" w:hAnsi="Arial"/>
                <w:sz w:val="8"/>
                <w:szCs w:val="8"/>
                <w:color w:val="auto"/>
              </w:rPr>
              <w:t>joint ventures</w:t>
            </w: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840" w:type="dxa"/>
            <w:vAlign w:val="bottom"/>
          </w:tcPr>
          <w:p>
            <w:pPr>
              <w:jc w:val="right"/>
              <w:ind w:right="433"/>
              <w:spacing w:after="0"/>
              <w:rPr>
                <w:sz w:val="20"/>
                <w:szCs w:val="20"/>
                <w:color w:val="auto"/>
              </w:rPr>
            </w:pPr>
            <w:r>
              <w:rPr>
                <w:rFonts w:ascii="Arial" w:cs="Arial" w:eastAsia="Arial" w:hAnsi="Arial"/>
                <w:sz w:val="8"/>
                <w:szCs w:val="8"/>
                <w:color w:val="auto"/>
              </w:rPr>
              <w:t>subsidiaries</w:t>
            </w:r>
          </w:p>
        </w:tc>
        <w:tc>
          <w:tcPr>
            <w:tcW w:w="1020" w:type="dxa"/>
            <w:vAlign w:val="bottom"/>
            <w:gridSpan w:val="2"/>
          </w:tcPr>
          <w:p>
            <w:pPr>
              <w:jc w:val="right"/>
              <w:ind w:right="140"/>
              <w:spacing w:after="0"/>
              <w:rPr>
                <w:sz w:val="20"/>
                <w:szCs w:val="20"/>
                <w:color w:val="auto"/>
              </w:rPr>
            </w:pPr>
            <w:r>
              <w:rPr>
                <w:rFonts w:ascii="Arial" w:cs="Arial" w:eastAsia="Arial" w:hAnsi="Arial"/>
                <w:sz w:val="8"/>
                <w:szCs w:val="8"/>
                <w:color w:val="auto"/>
              </w:rPr>
              <w:t>and associates</w:t>
            </w:r>
          </w:p>
        </w:tc>
        <w:tc>
          <w:tcPr>
            <w:tcW w:w="1800" w:type="dxa"/>
            <w:vAlign w:val="bottom"/>
          </w:tcPr>
          <w:p>
            <w:pPr>
              <w:jc w:val="right"/>
              <w:ind w:right="412"/>
              <w:spacing w:after="0"/>
              <w:rPr>
                <w:sz w:val="20"/>
                <w:szCs w:val="20"/>
                <w:color w:val="auto"/>
              </w:rPr>
            </w:pPr>
            <w:r>
              <w:rPr>
                <w:rFonts w:ascii="Arial" w:cs="Arial" w:eastAsia="Arial" w:hAnsi="Arial"/>
                <w:sz w:val="10"/>
                <w:szCs w:val="10"/>
                <w:color w:val="auto"/>
              </w:rPr>
              <w:t>subsidiaries</w:t>
            </w:r>
          </w:p>
        </w:tc>
        <w:tc>
          <w:tcPr>
            <w:tcW w:w="1040" w:type="dxa"/>
            <w:vAlign w:val="bottom"/>
            <w:gridSpan w:val="2"/>
          </w:tcPr>
          <w:p>
            <w:pPr>
              <w:jc w:val="right"/>
              <w:ind w:right="140"/>
              <w:spacing w:after="0"/>
              <w:rPr>
                <w:sz w:val="20"/>
                <w:szCs w:val="20"/>
                <w:color w:val="auto"/>
              </w:rPr>
            </w:pPr>
            <w:r>
              <w:rPr>
                <w:rFonts w:ascii="Arial" w:cs="Arial" w:eastAsia="Arial" w:hAnsi="Arial"/>
                <w:sz w:val="10"/>
                <w:szCs w:val="10"/>
                <w:color w:val="auto"/>
              </w:rPr>
              <w:t>and associates</w:t>
            </w:r>
          </w:p>
        </w:tc>
        <w:tc>
          <w:tcPr>
            <w:tcW w:w="1740" w:type="dxa"/>
            <w:vAlign w:val="bottom"/>
          </w:tcPr>
          <w:p>
            <w:pPr>
              <w:jc w:val="right"/>
              <w:ind w:right="353"/>
              <w:spacing w:after="0"/>
              <w:rPr>
                <w:sz w:val="20"/>
                <w:szCs w:val="20"/>
                <w:color w:val="auto"/>
              </w:rPr>
            </w:pPr>
            <w:r>
              <w:rPr>
                <w:rFonts w:ascii="Arial" w:cs="Arial" w:eastAsia="Arial" w:hAnsi="Arial"/>
                <w:sz w:val="8"/>
                <w:szCs w:val="8"/>
                <w:color w:val="auto"/>
              </w:rPr>
              <w:t>subsidiaries</w:t>
            </w:r>
          </w:p>
        </w:tc>
        <w:tc>
          <w:tcPr>
            <w:tcW w:w="980" w:type="dxa"/>
            <w:vAlign w:val="bottom"/>
          </w:tcPr>
          <w:p>
            <w:pPr>
              <w:jc w:val="right"/>
              <w:spacing w:after="0"/>
              <w:rPr>
                <w:sz w:val="20"/>
                <w:szCs w:val="20"/>
                <w:color w:val="auto"/>
              </w:rPr>
            </w:pPr>
            <w:r>
              <w:rPr>
                <w:rFonts w:ascii="Arial" w:cs="Arial" w:eastAsia="Arial" w:hAnsi="Arial"/>
                <w:sz w:val="8"/>
                <w:szCs w:val="8"/>
                <w:color w:val="auto"/>
              </w:rPr>
              <w:t>and associates</w:t>
            </w:r>
          </w:p>
        </w:tc>
        <w:tc>
          <w:tcPr>
            <w:tcW w:w="0" w:type="dxa"/>
            <w:vAlign w:val="bottom"/>
          </w:tcPr>
          <w:p>
            <w:pPr>
              <w:spacing w:after="0"/>
              <w:rPr>
                <w:sz w:val="1"/>
                <w:szCs w:val="1"/>
                <w:color w:val="auto"/>
              </w:rPr>
            </w:pPr>
          </w:p>
        </w:tc>
      </w:tr>
      <w:tr>
        <w:trPr>
          <w:trHeight w:val="112"/>
        </w:trPr>
        <w:tc>
          <w:tcPr>
            <w:tcW w:w="2880" w:type="dxa"/>
            <w:vAlign w:val="bottom"/>
            <w:tcBorders>
              <w:top w:val="single" w:sz="8" w:color="auto"/>
            </w:tcBorders>
          </w:tcPr>
          <w:p>
            <w:pPr>
              <w:spacing w:after="0" w:line="112" w:lineRule="exact"/>
              <w:rPr>
                <w:sz w:val="20"/>
                <w:szCs w:val="20"/>
                <w:color w:val="auto"/>
              </w:rPr>
            </w:pPr>
            <w:r>
              <w:rPr>
                <w:rFonts w:ascii="Arial" w:cs="Arial" w:eastAsia="Arial" w:hAnsi="Arial"/>
                <w:sz w:val="10"/>
                <w:szCs w:val="10"/>
                <w:b w:val="1"/>
                <w:bCs w:val="1"/>
                <w:color w:val="auto"/>
              </w:rPr>
              <w:t>Europe</w:t>
            </w:r>
          </w:p>
        </w:tc>
        <w:tc>
          <w:tcPr>
            <w:tcW w:w="18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80" w:type="dxa"/>
            <w:vAlign w:val="bottom"/>
          </w:tcPr>
          <w:p>
            <w:pPr>
              <w:ind w:left="140"/>
              <w:spacing w:after="0"/>
              <w:rPr>
                <w:sz w:val="20"/>
                <w:szCs w:val="20"/>
                <w:color w:val="auto"/>
              </w:rPr>
            </w:pPr>
            <w:r>
              <w:rPr>
                <w:rFonts w:ascii="Arial" w:cs="Arial" w:eastAsia="Arial" w:hAnsi="Arial"/>
                <w:sz w:val="10"/>
                <w:szCs w:val="10"/>
                <w:color w:val="auto"/>
              </w:rPr>
              <w:t>Denmark</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7,490</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13,036</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880" w:type="dxa"/>
            <w:vAlign w:val="bottom"/>
          </w:tcPr>
          <w:p>
            <w:pPr>
              <w:ind w:left="140"/>
              <w:spacing w:after="0"/>
              <w:rPr>
                <w:sz w:val="20"/>
                <w:szCs w:val="20"/>
                <w:color w:val="auto"/>
              </w:rPr>
            </w:pPr>
            <w:r>
              <w:rPr>
                <w:rFonts w:ascii="Arial" w:cs="Arial" w:eastAsia="Arial" w:hAnsi="Arial"/>
                <w:sz w:val="10"/>
                <w:szCs w:val="10"/>
                <w:color w:val="auto"/>
              </w:rPr>
              <w:t>Italy</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11,342</w:t>
            </w: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9,747</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10,921</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880" w:type="dxa"/>
            <w:vAlign w:val="bottom"/>
          </w:tcPr>
          <w:p>
            <w:pPr>
              <w:ind w:left="140"/>
              <w:spacing w:after="0"/>
              <w:rPr>
                <w:sz w:val="20"/>
                <w:szCs w:val="20"/>
                <w:color w:val="auto"/>
              </w:rPr>
            </w:pPr>
            <w:r>
              <w:rPr>
                <w:rFonts w:ascii="Arial" w:cs="Arial" w:eastAsia="Arial" w:hAnsi="Arial"/>
                <w:sz w:val="10"/>
                <w:szCs w:val="10"/>
                <w:color w:val="auto"/>
              </w:rPr>
              <w:t>Norway</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6,914</w:t>
            </w: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7,025</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13,528</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880" w:type="dxa"/>
            <w:vAlign w:val="bottom"/>
          </w:tcPr>
          <w:p>
            <w:pPr>
              <w:ind w:left="140"/>
              <w:spacing w:after="0"/>
              <w:rPr>
                <w:sz w:val="20"/>
                <w:szCs w:val="20"/>
                <w:color w:val="auto"/>
              </w:rPr>
            </w:pPr>
            <w:r>
              <w:rPr>
                <w:rFonts w:ascii="Arial" w:cs="Arial" w:eastAsia="Arial" w:hAnsi="Arial"/>
                <w:sz w:val="10"/>
                <w:szCs w:val="10"/>
                <w:color w:val="auto"/>
              </w:rPr>
              <w:t>UK</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30,061</w:t>
            </w: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30,677</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31,431</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288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Other [B]</w:t>
            </w:r>
          </w:p>
        </w:tc>
        <w:tc>
          <w:tcPr>
            <w:tcW w:w="1840" w:type="dxa"/>
            <w:vAlign w:val="bottom"/>
            <w:tcBorders>
              <w:bottom w:val="single" w:sz="8" w:color="auto"/>
            </w:tcBorders>
          </w:tcPr>
          <w:p>
            <w:pPr>
              <w:jc w:val="right"/>
              <w:ind w:right="473"/>
              <w:spacing w:after="0"/>
              <w:rPr>
                <w:sz w:val="20"/>
                <w:szCs w:val="20"/>
                <w:color w:val="auto"/>
              </w:rPr>
            </w:pPr>
            <w:r>
              <w:rPr>
                <w:rFonts w:ascii="Arial" w:cs="Arial" w:eastAsia="Arial" w:hAnsi="Arial"/>
                <w:sz w:val="10"/>
                <w:szCs w:val="10"/>
                <w:color w:val="auto"/>
              </w:rPr>
              <w:t>609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1,084</w:t>
            </w:r>
          </w:p>
        </w:tc>
        <w:tc>
          <w:tcPr>
            <w:tcW w:w="140" w:type="dxa"/>
            <w:vAlign w:val="bottom"/>
          </w:tcPr>
          <w:p>
            <w:pPr>
              <w:spacing w:after="0"/>
              <w:rPr>
                <w:sz w:val="11"/>
                <w:szCs w:val="11"/>
                <w:color w:val="auto"/>
              </w:rPr>
            </w:pPr>
          </w:p>
        </w:tc>
        <w:tc>
          <w:tcPr>
            <w:tcW w:w="18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723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1,135</w:t>
            </w:r>
          </w:p>
        </w:tc>
        <w:tc>
          <w:tcPr>
            <w:tcW w:w="120" w:type="dxa"/>
            <w:vAlign w:val="bottom"/>
          </w:tcPr>
          <w:p>
            <w:pPr>
              <w:spacing w:after="0"/>
              <w:rPr>
                <w:sz w:val="11"/>
                <w:szCs w:val="11"/>
                <w:color w:val="auto"/>
              </w:rPr>
            </w:pPr>
          </w:p>
        </w:tc>
        <w:tc>
          <w:tcPr>
            <w:tcW w:w="1740" w:type="dxa"/>
            <w:vAlign w:val="bottom"/>
            <w:tcBorders>
              <w:bottom w:val="single" w:sz="8" w:color="auto"/>
            </w:tcBorders>
          </w:tcPr>
          <w:p>
            <w:pPr>
              <w:jc w:val="right"/>
              <w:ind w:right="373"/>
              <w:spacing w:after="0"/>
              <w:rPr>
                <w:sz w:val="20"/>
                <w:szCs w:val="20"/>
                <w:color w:val="auto"/>
              </w:rPr>
            </w:pPr>
            <w:r>
              <w:rPr>
                <w:rFonts w:ascii="Arial" w:cs="Arial" w:eastAsia="Arial" w:hAnsi="Arial"/>
                <w:sz w:val="10"/>
                <w:szCs w:val="10"/>
                <w:color w:val="auto"/>
              </w:rPr>
              <w:t>795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1,417</w:t>
            </w:r>
          </w:p>
        </w:tc>
        <w:tc>
          <w:tcPr>
            <w:tcW w:w="0" w:type="dxa"/>
            <w:vAlign w:val="bottom"/>
          </w:tcPr>
          <w:p>
            <w:pPr>
              <w:spacing w:after="0"/>
              <w:rPr>
                <w:sz w:val="1"/>
                <w:szCs w:val="1"/>
                <w:color w:val="auto"/>
              </w:rPr>
            </w:pPr>
          </w:p>
        </w:tc>
      </w:tr>
      <w:tr>
        <w:trPr>
          <w:trHeight w:val="117"/>
        </w:trPr>
        <w:tc>
          <w:tcPr>
            <w:tcW w:w="2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Europe</w:t>
            </w:r>
          </w:p>
        </w:tc>
        <w:tc>
          <w:tcPr>
            <w:tcW w:w="1840" w:type="dxa"/>
            <w:vAlign w:val="bottom"/>
            <w:tcBorders>
              <w:bottom w:val="single" w:sz="8" w:color="auto"/>
            </w:tcBorders>
          </w:tcPr>
          <w:p>
            <w:pPr>
              <w:jc w:val="right"/>
              <w:ind w:right="473"/>
              <w:spacing w:after="0"/>
              <w:rPr>
                <w:sz w:val="20"/>
                <w:szCs w:val="20"/>
                <w:color w:val="auto"/>
              </w:rPr>
            </w:pPr>
            <w:r>
              <w:rPr>
                <w:rFonts w:ascii="Arial" w:cs="Arial" w:eastAsia="Arial" w:hAnsi="Arial"/>
                <w:sz w:val="10"/>
                <w:szCs w:val="10"/>
                <w:color w:val="auto"/>
              </w:rPr>
              <w:t>48,926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1,084</w:t>
            </w:r>
          </w:p>
        </w:tc>
        <w:tc>
          <w:tcPr>
            <w:tcW w:w="140" w:type="dxa"/>
            <w:vAlign w:val="bottom"/>
          </w:tcPr>
          <w:p>
            <w:pPr>
              <w:spacing w:after="0"/>
              <w:rPr>
                <w:sz w:val="10"/>
                <w:szCs w:val="10"/>
                <w:color w:val="auto"/>
              </w:rPr>
            </w:pPr>
          </w:p>
        </w:tc>
        <w:tc>
          <w:tcPr>
            <w:tcW w:w="18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55,662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1,135</w:t>
            </w:r>
          </w:p>
        </w:tc>
        <w:tc>
          <w:tcPr>
            <w:tcW w:w="120" w:type="dxa"/>
            <w:vAlign w:val="bottom"/>
          </w:tcPr>
          <w:p>
            <w:pPr>
              <w:spacing w:after="0"/>
              <w:rPr>
                <w:sz w:val="10"/>
                <w:szCs w:val="10"/>
                <w:color w:val="auto"/>
              </w:rPr>
            </w:pPr>
          </w:p>
        </w:tc>
        <w:tc>
          <w:tcPr>
            <w:tcW w:w="1740" w:type="dxa"/>
            <w:vAlign w:val="bottom"/>
            <w:tcBorders>
              <w:bottom w:val="single" w:sz="8" w:color="auto"/>
            </w:tcBorders>
          </w:tcPr>
          <w:p>
            <w:pPr>
              <w:jc w:val="right"/>
              <w:ind w:right="373"/>
              <w:spacing w:after="0"/>
              <w:rPr>
                <w:sz w:val="20"/>
                <w:szCs w:val="20"/>
                <w:color w:val="auto"/>
              </w:rPr>
            </w:pPr>
            <w:r>
              <w:rPr>
                <w:rFonts w:ascii="Arial" w:cs="Arial" w:eastAsia="Arial" w:hAnsi="Arial"/>
                <w:sz w:val="10"/>
                <w:szCs w:val="10"/>
                <w:color w:val="auto"/>
              </w:rPr>
              <w:t>69,711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1,417</w:t>
            </w:r>
          </w:p>
        </w:tc>
        <w:tc>
          <w:tcPr>
            <w:tcW w:w="0" w:type="dxa"/>
            <w:vAlign w:val="bottom"/>
          </w:tcPr>
          <w:p>
            <w:pPr>
              <w:spacing w:after="0"/>
              <w:rPr>
                <w:sz w:val="1"/>
                <w:szCs w:val="1"/>
                <w:color w:val="auto"/>
              </w:rPr>
            </w:pPr>
          </w:p>
        </w:tc>
      </w:tr>
      <w:tr>
        <w:trPr>
          <w:trHeight w:val="114"/>
        </w:trPr>
        <w:tc>
          <w:tcPr>
            <w:tcW w:w="2880" w:type="dxa"/>
            <w:vAlign w:val="bottom"/>
          </w:tcPr>
          <w:p>
            <w:pPr>
              <w:spacing w:after="0" w:line="114" w:lineRule="exact"/>
              <w:rPr>
                <w:sz w:val="20"/>
                <w:szCs w:val="20"/>
                <w:color w:val="auto"/>
              </w:rPr>
            </w:pPr>
            <w:r>
              <w:rPr>
                <w:rFonts w:ascii="Arial" w:cs="Arial" w:eastAsia="Arial" w:hAnsi="Arial"/>
                <w:sz w:val="10"/>
                <w:szCs w:val="10"/>
                <w:b w:val="1"/>
                <w:bCs w:val="1"/>
                <w:color w:val="auto"/>
              </w:rPr>
              <w:t>Asia</w:t>
            </w:r>
          </w:p>
        </w:tc>
        <w:tc>
          <w:tcPr>
            <w:tcW w:w="1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80" w:type="dxa"/>
            <w:vAlign w:val="bottom"/>
          </w:tcPr>
          <w:p>
            <w:pPr>
              <w:ind w:left="140"/>
              <w:spacing w:after="0"/>
              <w:rPr>
                <w:sz w:val="20"/>
                <w:szCs w:val="20"/>
                <w:color w:val="auto"/>
              </w:rPr>
            </w:pPr>
            <w:r>
              <w:rPr>
                <w:rFonts w:ascii="Arial" w:cs="Arial" w:eastAsia="Arial" w:hAnsi="Arial"/>
                <w:sz w:val="10"/>
                <w:szCs w:val="10"/>
                <w:color w:val="auto"/>
              </w:rPr>
              <w:t>Brunei</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387</w:t>
            </w:r>
          </w:p>
        </w:tc>
        <w:tc>
          <w:tcPr>
            <w:tcW w:w="880" w:type="dxa"/>
            <w:vAlign w:val="bottom"/>
          </w:tcPr>
          <w:p>
            <w:pPr>
              <w:jc w:val="right"/>
              <w:spacing w:after="0"/>
              <w:rPr>
                <w:sz w:val="20"/>
                <w:szCs w:val="20"/>
                <w:color w:val="auto"/>
              </w:rPr>
            </w:pPr>
            <w:r>
              <w:rPr>
                <w:rFonts w:ascii="Arial" w:cs="Arial" w:eastAsia="Arial" w:hAnsi="Arial"/>
                <w:sz w:val="10"/>
                <w:szCs w:val="10"/>
                <w:color w:val="auto"/>
              </w:rPr>
              <w:t>17,094</w:t>
            </w:r>
          </w:p>
        </w:tc>
        <w:tc>
          <w:tcPr>
            <w:tcW w:w="140" w:type="dxa"/>
            <w:vAlign w:val="bottom"/>
          </w:tcPr>
          <w:p>
            <w:pPr>
              <w:spacing w:after="0"/>
              <w:rPr>
                <w:sz w:val="10"/>
                <w:szCs w:val="10"/>
                <w:color w:val="auto"/>
              </w:rPr>
            </w:pP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196</w:t>
            </w:r>
          </w:p>
        </w:tc>
        <w:tc>
          <w:tcPr>
            <w:tcW w:w="920" w:type="dxa"/>
            <w:vAlign w:val="bottom"/>
          </w:tcPr>
          <w:p>
            <w:pPr>
              <w:jc w:val="right"/>
              <w:spacing w:after="0"/>
              <w:rPr>
                <w:sz w:val="20"/>
                <w:szCs w:val="20"/>
                <w:color w:val="auto"/>
              </w:rPr>
            </w:pPr>
            <w:r>
              <w:rPr>
                <w:rFonts w:ascii="Arial" w:cs="Arial" w:eastAsia="Arial" w:hAnsi="Arial"/>
                <w:sz w:val="10"/>
                <w:szCs w:val="10"/>
                <w:color w:val="auto"/>
              </w:rPr>
              <w:t>20,002</w:t>
            </w:r>
          </w:p>
        </w:tc>
        <w:tc>
          <w:tcPr>
            <w:tcW w:w="120" w:type="dxa"/>
            <w:vAlign w:val="bottom"/>
          </w:tcPr>
          <w:p>
            <w:pPr>
              <w:spacing w:after="0"/>
              <w:rPr>
                <w:sz w:val="10"/>
                <w:szCs w:val="10"/>
                <w:color w:val="auto"/>
              </w:rPr>
            </w:pP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283</w:t>
            </w:r>
          </w:p>
        </w:tc>
        <w:tc>
          <w:tcPr>
            <w:tcW w:w="980" w:type="dxa"/>
            <w:vAlign w:val="bottom"/>
          </w:tcPr>
          <w:p>
            <w:pPr>
              <w:jc w:val="right"/>
              <w:spacing w:after="0"/>
              <w:rPr>
                <w:sz w:val="20"/>
                <w:szCs w:val="20"/>
                <w:color w:val="auto"/>
              </w:rPr>
            </w:pPr>
            <w:r>
              <w:rPr>
                <w:rFonts w:ascii="Arial" w:cs="Arial" w:eastAsia="Arial" w:hAnsi="Arial"/>
                <w:sz w:val="10"/>
                <w:szCs w:val="10"/>
                <w:color w:val="auto"/>
              </w:rPr>
              <w:t>18,738</w:t>
            </w:r>
          </w:p>
        </w:tc>
        <w:tc>
          <w:tcPr>
            <w:tcW w:w="0" w:type="dxa"/>
            <w:vAlign w:val="bottom"/>
          </w:tcPr>
          <w:p>
            <w:pPr>
              <w:spacing w:after="0"/>
              <w:rPr>
                <w:sz w:val="1"/>
                <w:szCs w:val="1"/>
                <w:color w:val="auto"/>
              </w:rPr>
            </w:pPr>
          </w:p>
        </w:tc>
      </w:tr>
      <w:tr>
        <w:trPr>
          <w:trHeight w:val="126"/>
        </w:trPr>
        <w:tc>
          <w:tcPr>
            <w:tcW w:w="2880" w:type="dxa"/>
            <w:vAlign w:val="bottom"/>
          </w:tcPr>
          <w:p>
            <w:pPr>
              <w:ind w:left="140"/>
              <w:spacing w:after="0"/>
              <w:rPr>
                <w:sz w:val="20"/>
                <w:szCs w:val="20"/>
                <w:color w:val="auto"/>
              </w:rPr>
            </w:pPr>
            <w:r>
              <w:rPr>
                <w:rFonts w:ascii="Arial" w:cs="Arial" w:eastAsia="Arial" w:hAnsi="Arial"/>
                <w:sz w:val="10"/>
                <w:szCs w:val="10"/>
                <w:color w:val="auto"/>
              </w:rPr>
              <w:t>Kazakhstan</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37,769</w:t>
            </w: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34,269</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32,432</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880" w:type="dxa"/>
            <w:vAlign w:val="bottom"/>
          </w:tcPr>
          <w:p>
            <w:pPr>
              <w:ind w:left="140"/>
              <w:spacing w:after="0"/>
              <w:rPr>
                <w:sz w:val="20"/>
                <w:szCs w:val="20"/>
                <w:color w:val="auto"/>
              </w:rPr>
            </w:pPr>
            <w:r>
              <w:rPr>
                <w:rFonts w:ascii="Arial" w:cs="Arial" w:eastAsia="Arial" w:hAnsi="Arial"/>
                <w:sz w:val="10"/>
                <w:szCs w:val="10"/>
                <w:color w:val="auto"/>
              </w:rPr>
              <w:t>Malaysia</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18,494</w:t>
            </w: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21,993</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24,650</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880" w:type="dxa"/>
            <w:vAlign w:val="bottom"/>
          </w:tcPr>
          <w:p>
            <w:pPr>
              <w:ind w:left="140"/>
              <w:spacing w:after="0"/>
              <w:rPr>
                <w:sz w:val="20"/>
                <w:szCs w:val="20"/>
                <w:color w:val="auto"/>
              </w:rPr>
            </w:pPr>
            <w:r>
              <w:rPr>
                <w:rFonts w:ascii="Arial" w:cs="Arial" w:eastAsia="Arial" w:hAnsi="Arial"/>
                <w:sz w:val="10"/>
                <w:szCs w:val="10"/>
                <w:color w:val="auto"/>
              </w:rPr>
              <w:t>Oman</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74,854</w:t>
            </w: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76,493</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76,847</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880" w:type="dxa"/>
            <w:vAlign w:val="bottom"/>
          </w:tcPr>
          <w:p>
            <w:pPr>
              <w:ind w:left="140"/>
              <w:spacing w:after="0"/>
              <w:rPr>
                <w:sz w:val="20"/>
                <w:szCs w:val="20"/>
                <w:color w:val="auto"/>
              </w:rPr>
            </w:pPr>
            <w:r>
              <w:rPr>
                <w:rFonts w:ascii="Arial" w:cs="Arial" w:eastAsia="Arial" w:hAnsi="Arial"/>
                <w:sz w:val="10"/>
                <w:szCs w:val="10"/>
                <w:color w:val="auto"/>
              </w:rPr>
              <w:t>Russia</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20,816</w:t>
            </w:r>
          </w:p>
        </w:tc>
        <w:tc>
          <w:tcPr>
            <w:tcW w:w="880" w:type="dxa"/>
            <w:vAlign w:val="bottom"/>
          </w:tcPr>
          <w:p>
            <w:pPr>
              <w:jc w:val="right"/>
              <w:spacing w:after="0"/>
              <w:rPr>
                <w:sz w:val="20"/>
                <w:szCs w:val="20"/>
                <w:color w:val="auto"/>
              </w:rPr>
            </w:pPr>
            <w:r>
              <w:rPr>
                <w:rFonts w:ascii="Arial" w:cs="Arial" w:eastAsia="Arial" w:hAnsi="Arial"/>
                <w:sz w:val="10"/>
                <w:szCs w:val="10"/>
                <w:color w:val="auto"/>
              </w:rPr>
              <w:t>9,050</w:t>
            </w:r>
          </w:p>
        </w:tc>
        <w:tc>
          <w:tcPr>
            <w:tcW w:w="140" w:type="dxa"/>
            <w:vAlign w:val="bottom"/>
          </w:tcPr>
          <w:p>
            <w:pPr>
              <w:spacing w:after="0"/>
              <w:rPr>
                <w:sz w:val="10"/>
                <w:szCs w:val="10"/>
                <w:color w:val="auto"/>
              </w:rPr>
            </w:pP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22,442</w:t>
            </w:r>
          </w:p>
        </w:tc>
        <w:tc>
          <w:tcPr>
            <w:tcW w:w="920" w:type="dxa"/>
            <w:vAlign w:val="bottom"/>
          </w:tcPr>
          <w:p>
            <w:pPr>
              <w:jc w:val="right"/>
              <w:spacing w:after="0"/>
              <w:rPr>
                <w:sz w:val="20"/>
                <w:szCs w:val="20"/>
                <w:color w:val="auto"/>
              </w:rPr>
            </w:pPr>
            <w:r>
              <w:rPr>
                <w:rFonts w:ascii="Arial" w:cs="Arial" w:eastAsia="Arial" w:hAnsi="Arial"/>
                <w:sz w:val="10"/>
                <w:szCs w:val="10"/>
                <w:color w:val="auto"/>
              </w:rPr>
              <w:t>9,413</w:t>
            </w:r>
          </w:p>
        </w:tc>
        <w:tc>
          <w:tcPr>
            <w:tcW w:w="120" w:type="dxa"/>
            <w:vAlign w:val="bottom"/>
          </w:tcPr>
          <w:p>
            <w:pPr>
              <w:spacing w:after="0"/>
              <w:rPr>
                <w:sz w:val="10"/>
                <w:szCs w:val="10"/>
                <w:color w:val="auto"/>
              </w:rPr>
            </w:pP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22,003</w:t>
            </w:r>
          </w:p>
        </w:tc>
        <w:tc>
          <w:tcPr>
            <w:tcW w:w="980" w:type="dxa"/>
            <w:vAlign w:val="bottom"/>
          </w:tcPr>
          <w:p>
            <w:pPr>
              <w:jc w:val="right"/>
              <w:spacing w:after="0"/>
              <w:rPr>
                <w:sz w:val="20"/>
                <w:szCs w:val="20"/>
                <w:color w:val="auto"/>
              </w:rPr>
            </w:pPr>
            <w:r>
              <w:rPr>
                <w:rFonts w:ascii="Arial" w:cs="Arial" w:eastAsia="Arial" w:hAnsi="Arial"/>
                <w:sz w:val="10"/>
                <w:szCs w:val="10"/>
                <w:color w:val="auto"/>
              </w:rPr>
              <w:t>10,403</w:t>
            </w:r>
          </w:p>
        </w:tc>
        <w:tc>
          <w:tcPr>
            <w:tcW w:w="0" w:type="dxa"/>
            <w:vAlign w:val="bottom"/>
          </w:tcPr>
          <w:p>
            <w:pPr>
              <w:spacing w:after="0"/>
              <w:rPr>
                <w:sz w:val="1"/>
                <w:szCs w:val="1"/>
                <w:color w:val="auto"/>
              </w:rPr>
            </w:pPr>
          </w:p>
        </w:tc>
      </w:tr>
      <w:tr>
        <w:trPr>
          <w:trHeight w:val="130"/>
        </w:trPr>
        <w:tc>
          <w:tcPr>
            <w:tcW w:w="288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Other [B]</w:t>
            </w:r>
          </w:p>
        </w:tc>
        <w:tc>
          <w:tcPr>
            <w:tcW w:w="1840" w:type="dxa"/>
            <w:vAlign w:val="bottom"/>
            <w:tcBorders>
              <w:bottom w:val="single" w:sz="8" w:color="auto"/>
            </w:tcBorders>
          </w:tcPr>
          <w:p>
            <w:pPr>
              <w:jc w:val="right"/>
              <w:ind w:right="473"/>
              <w:spacing w:after="0"/>
              <w:rPr>
                <w:sz w:val="20"/>
                <w:szCs w:val="20"/>
                <w:color w:val="auto"/>
              </w:rPr>
            </w:pPr>
            <w:r>
              <w:rPr>
                <w:rFonts w:ascii="Arial" w:cs="Arial" w:eastAsia="Arial" w:hAnsi="Arial"/>
                <w:sz w:val="10"/>
                <w:szCs w:val="10"/>
                <w:color w:val="auto"/>
              </w:rPr>
              <w:t>30,101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7,629</w:t>
            </w:r>
          </w:p>
        </w:tc>
        <w:tc>
          <w:tcPr>
            <w:tcW w:w="140" w:type="dxa"/>
            <w:vAlign w:val="bottom"/>
          </w:tcPr>
          <w:p>
            <w:pPr>
              <w:spacing w:after="0"/>
              <w:rPr>
                <w:sz w:val="11"/>
                <w:szCs w:val="11"/>
                <w:color w:val="auto"/>
              </w:rPr>
            </w:pPr>
          </w:p>
        </w:tc>
        <w:tc>
          <w:tcPr>
            <w:tcW w:w="18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28,796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7,709</w:t>
            </w:r>
          </w:p>
        </w:tc>
        <w:tc>
          <w:tcPr>
            <w:tcW w:w="120" w:type="dxa"/>
            <w:vAlign w:val="bottom"/>
          </w:tcPr>
          <w:p>
            <w:pPr>
              <w:spacing w:after="0"/>
              <w:rPr>
                <w:sz w:val="11"/>
                <w:szCs w:val="11"/>
                <w:color w:val="auto"/>
              </w:rPr>
            </w:pPr>
          </w:p>
        </w:tc>
        <w:tc>
          <w:tcPr>
            <w:tcW w:w="1740" w:type="dxa"/>
            <w:vAlign w:val="bottom"/>
            <w:tcBorders>
              <w:bottom w:val="single" w:sz="8" w:color="auto"/>
            </w:tcBorders>
          </w:tcPr>
          <w:p>
            <w:pPr>
              <w:jc w:val="right"/>
              <w:ind w:right="373"/>
              <w:spacing w:after="0"/>
              <w:rPr>
                <w:sz w:val="20"/>
                <w:szCs w:val="20"/>
                <w:color w:val="auto"/>
              </w:rPr>
            </w:pPr>
            <w:r>
              <w:rPr>
                <w:rFonts w:ascii="Arial" w:cs="Arial" w:eastAsia="Arial" w:hAnsi="Arial"/>
                <w:sz w:val="10"/>
                <w:szCs w:val="10"/>
                <w:color w:val="auto"/>
              </w:rPr>
              <w:t>28,769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7,768</w:t>
            </w:r>
          </w:p>
        </w:tc>
        <w:tc>
          <w:tcPr>
            <w:tcW w:w="0" w:type="dxa"/>
            <w:vAlign w:val="bottom"/>
          </w:tcPr>
          <w:p>
            <w:pPr>
              <w:spacing w:after="0"/>
              <w:rPr>
                <w:sz w:val="1"/>
                <w:szCs w:val="1"/>
                <w:color w:val="auto"/>
              </w:rPr>
            </w:pPr>
          </w:p>
        </w:tc>
      </w:tr>
      <w:tr>
        <w:trPr>
          <w:trHeight w:val="117"/>
        </w:trPr>
        <w:tc>
          <w:tcPr>
            <w:tcW w:w="2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Asia</w:t>
            </w:r>
          </w:p>
        </w:tc>
        <w:tc>
          <w:tcPr>
            <w:tcW w:w="1840" w:type="dxa"/>
            <w:vAlign w:val="bottom"/>
            <w:tcBorders>
              <w:bottom w:val="single" w:sz="8" w:color="auto"/>
            </w:tcBorders>
          </w:tcPr>
          <w:p>
            <w:pPr>
              <w:jc w:val="right"/>
              <w:ind w:right="473"/>
              <w:spacing w:after="0"/>
              <w:rPr>
                <w:sz w:val="20"/>
                <w:szCs w:val="20"/>
                <w:color w:val="auto"/>
              </w:rPr>
            </w:pPr>
            <w:r>
              <w:rPr>
                <w:rFonts w:ascii="Arial" w:cs="Arial" w:eastAsia="Arial" w:hAnsi="Arial"/>
                <w:sz w:val="10"/>
                <w:szCs w:val="10"/>
                <w:color w:val="auto"/>
              </w:rPr>
              <w:t>182,421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33,773</w:t>
            </w:r>
          </w:p>
        </w:tc>
        <w:tc>
          <w:tcPr>
            <w:tcW w:w="140" w:type="dxa"/>
            <w:vAlign w:val="bottom"/>
          </w:tcPr>
          <w:p>
            <w:pPr>
              <w:spacing w:after="0"/>
              <w:rPr>
                <w:sz w:val="10"/>
                <w:szCs w:val="10"/>
                <w:color w:val="auto"/>
              </w:rPr>
            </w:pPr>
          </w:p>
        </w:tc>
        <w:tc>
          <w:tcPr>
            <w:tcW w:w="18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184,189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37,124</w:t>
            </w:r>
          </w:p>
        </w:tc>
        <w:tc>
          <w:tcPr>
            <w:tcW w:w="120" w:type="dxa"/>
            <w:vAlign w:val="bottom"/>
          </w:tcPr>
          <w:p>
            <w:pPr>
              <w:spacing w:after="0"/>
              <w:rPr>
                <w:sz w:val="10"/>
                <w:szCs w:val="10"/>
                <w:color w:val="auto"/>
              </w:rPr>
            </w:pPr>
          </w:p>
        </w:tc>
        <w:tc>
          <w:tcPr>
            <w:tcW w:w="1740" w:type="dxa"/>
            <w:vAlign w:val="bottom"/>
            <w:tcBorders>
              <w:bottom w:val="single" w:sz="8" w:color="auto"/>
            </w:tcBorders>
          </w:tcPr>
          <w:p>
            <w:pPr>
              <w:jc w:val="right"/>
              <w:ind w:right="373"/>
              <w:spacing w:after="0"/>
              <w:rPr>
                <w:sz w:val="20"/>
                <w:szCs w:val="20"/>
                <w:color w:val="auto"/>
              </w:rPr>
            </w:pPr>
            <w:r>
              <w:rPr>
                <w:rFonts w:ascii="Arial" w:cs="Arial" w:eastAsia="Arial" w:hAnsi="Arial"/>
                <w:sz w:val="10"/>
                <w:szCs w:val="10"/>
                <w:color w:val="auto"/>
              </w:rPr>
              <w:t>184,984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36,909</w:t>
            </w:r>
          </w:p>
        </w:tc>
        <w:tc>
          <w:tcPr>
            <w:tcW w:w="0" w:type="dxa"/>
            <w:vAlign w:val="bottom"/>
          </w:tcPr>
          <w:p>
            <w:pPr>
              <w:spacing w:after="0"/>
              <w:rPr>
                <w:sz w:val="1"/>
                <w:szCs w:val="1"/>
                <w:color w:val="auto"/>
              </w:rPr>
            </w:pPr>
          </w:p>
        </w:tc>
      </w:tr>
      <w:tr>
        <w:trPr>
          <w:trHeight w:val="115"/>
        </w:trPr>
        <w:tc>
          <w:tcPr>
            <w:tcW w:w="2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Oceania [B]</w:t>
            </w:r>
          </w:p>
        </w:tc>
        <w:tc>
          <w:tcPr>
            <w:tcW w:w="1840" w:type="dxa"/>
            <w:vAlign w:val="bottom"/>
            <w:tcBorders>
              <w:bottom w:val="single" w:sz="8" w:color="auto"/>
            </w:tcBorders>
          </w:tcPr>
          <w:p>
            <w:pPr>
              <w:jc w:val="right"/>
              <w:ind w:right="473"/>
              <w:spacing w:after="0"/>
              <w:rPr>
                <w:sz w:val="20"/>
                <w:szCs w:val="20"/>
                <w:color w:val="auto"/>
              </w:rPr>
            </w:pPr>
            <w:r>
              <w:rPr>
                <w:rFonts w:ascii="Arial" w:cs="Arial" w:eastAsia="Arial" w:hAnsi="Arial"/>
                <w:sz w:val="10"/>
                <w:szCs w:val="10"/>
                <w:color w:val="auto"/>
              </w:rPr>
              <w:t>7,416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8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10,058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740" w:type="dxa"/>
            <w:vAlign w:val="bottom"/>
            <w:tcBorders>
              <w:bottom w:val="single" w:sz="8" w:color="auto"/>
            </w:tcBorders>
          </w:tcPr>
          <w:p>
            <w:pPr>
              <w:jc w:val="right"/>
              <w:ind w:right="373"/>
              <w:spacing w:after="0"/>
              <w:rPr>
                <w:sz w:val="20"/>
                <w:szCs w:val="20"/>
                <w:color w:val="auto"/>
              </w:rPr>
            </w:pPr>
            <w:r>
              <w:rPr>
                <w:rFonts w:ascii="Arial" w:cs="Arial" w:eastAsia="Arial" w:hAnsi="Arial"/>
                <w:sz w:val="10"/>
                <w:szCs w:val="10"/>
                <w:color w:val="auto"/>
              </w:rPr>
              <w:t>8,883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4"/>
        </w:trPr>
        <w:tc>
          <w:tcPr>
            <w:tcW w:w="2880" w:type="dxa"/>
            <w:vAlign w:val="bottom"/>
          </w:tcPr>
          <w:p>
            <w:pPr>
              <w:spacing w:after="0" w:line="114" w:lineRule="exact"/>
              <w:rPr>
                <w:sz w:val="20"/>
                <w:szCs w:val="20"/>
                <w:color w:val="auto"/>
              </w:rPr>
            </w:pPr>
            <w:r>
              <w:rPr>
                <w:rFonts w:ascii="Arial" w:cs="Arial" w:eastAsia="Arial" w:hAnsi="Arial"/>
                <w:sz w:val="10"/>
                <w:szCs w:val="10"/>
                <w:b w:val="1"/>
                <w:bCs w:val="1"/>
                <w:color w:val="auto"/>
              </w:rPr>
              <w:t>Africa</w:t>
            </w:r>
          </w:p>
        </w:tc>
        <w:tc>
          <w:tcPr>
            <w:tcW w:w="1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80" w:type="dxa"/>
            <w:vAlign w:val="bottom"/>
          </w:tcPr>
          <w:p>
            <w:pPr>
              <w:ind w:left="140"/>
              <w:spacing w:after="0"/>
              <w:rPr>
                <w:sz w:val="20"/>
                <w:szCs w:val="20"/>
                <w:color w:val="auto"/>
              </w:rPr>
            </w:pPr>
            <w:r>
              <w:rPr>
                <w:rFonts w:ascii="Arial" w:cs="Arial" w:eastAsia="Arial" w:hAnsi="Arial"/>
                <w:sz w:val="10"/>
                <w:szCs w:val="10"/>
                <w:color w:val="auto"/>
              </w:rPr>
              <w:t>Nigeria</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48,620</w:t>
            </w: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56,589</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53,102</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2880" w:type="dxa"/>
            <w:vAlign w:val="bottom"/>
          </w:tcPr>
          <w:p>
            <w:pPr>
              <w:ind w:left="140"/>
              <w:spacing w:after="0"/>
              <w:rPr>
                <w:sz w:val="20"/>
                <w:szCs w:val="20"/>
                <w:color w:val="auto"/>
              </w:rPr>
            </w:pPr>
            <w:r>
              <w:rPr>
                <w:rFonts w:ascii="Arial" w:cs="Arial" w:eastAsia="Arial" w:hAnsi="Arial"/>
                <w:sz w:val="10"/>
                <w:szCs w:val="10"/>
                <w:color w:val="auto"/>
              </w:rPr>
              <w:t>Other [B]</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8,485</w:t>
            </w: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7,802</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8,265</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Total Africa</w:t>
            </w:r>
          </w:p>
        </w:tc>
        <w:tc>
          <w:tcPr>
            <w:tcW w:w="18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0"/>
                <w:szCs w:val="10"/>
                <w:color w:val="auto"/>
              </w:rPr>
              <w:t>57,105</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8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0"/>
                <w:szCs w:val="10"/>
                <w:color w:val="auto"/>
              </w:rPr>
              <w:t>64,391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7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0"/>
                <w:szCs w:val="10"/>
                <w:color w:val="auto"/>
              </w:rPr>
              <w:t>61,367</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4"/>
        </w:trPr>
        <w:tc>
          <w:tcPr>
            <w:tcW w:w="2880" w:type="dxa"/>
            <w:vAlign w:val="bottom"/>
          </w:tcPr>
          <w:p>
            <w:pPr>
              <w:spacing w:after="0" w:line="114" w:lineRule="exact"/>
              <w:rPr>
                <w:sz w:val="20"/>
                <w:szCs w:val="20"/>
                <w:color w:val="auto"/>
              </w:rPr>
            </w:pPr>
            <w:r>
              <w:rPr>
                <w:rFonts w:ascii="Arial" w:cs="Arial" w:eastAsia="Arial" w:hAnsi="Arial"/>
                <w:sz w:val="10"/>
                <w:szCs w:val="10"/>
                <w:b w:val="1"/>
                <w:bCs w:val="1"/>
                <w:color w:val="auto"/>
              </w:rPr>
              <w:t>North America</w:t>
            </w:r>
          </w:p>
        </w:tc>
        <w:tc>
          <w:tcPr>
            <w:tcW w:w="1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80" w:type="dxa"/>
            <w:vAlign w:val="bottom"/>
          </w:tcPr>
          <w:p>
            <w:pPr>
              <w:ind w:left="140"/>
              <w:spacing w:after="0"/>
              <w:rPr>
                <w:sz w:val="20"/>
                <w:szCs w:val="20"/>
                <w:color w:val="auto"/>
              </w:rPr>
            </w:pPr>
            <w:r>
              <w:rPr>
                <w:rFonts w:ascii="Arial" w:cs="Arial" w:eastAsia="Arial" w:hAnsi="Arial"/>
                <w:sz w:val="10"/>
                <w:szCs w:val="10"/>
                <w:color w:val="auto"/>
              </w:rPr>
              <w:t>USA</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165,169</w:t>
            </w: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171,204</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140,035</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2880" w:type="dxa"/>
            <w:vAlign w:val="bottom"/>
          </w:tcPr>
          <w:p>
            <w:pPr>
              <w:ind w:left="140"/>
              <w:spacing w:after="0"/>
              <w:rPr>
                <w:sz w:val="20"/>
                <w:szCs w:val="20"/>
                <w:color w:val="auto"/>
              </w:rPr>
            </w:pPr>
            <w:r>
              <w:rPr>
                <w:rFonts w:ascii="Arial" w:cs="Arial" w:eastAsia="Arial" w:hAnsi="Arial"/>
                <w:sz w:val="10"/>
                <w:szCs w:val="10"/>
                <w:color w:val="auto"/>
              </w:rPr>
              <w:t>Canada</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8,128</w:t>
            </w: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11,506</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13,111</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Total North America</w:t>
            </w:r>
          </w:p>
        </w:tc>
        <w:tc>
          <w:tcPr>
            <w:tcW w:w="18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0"/>
                <w:szCs w:val="10"/>
                <w:color w:val="auto"/>
              </w:rPr>
              <w:t>173,297</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8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0"/>
                <w:szCs w:val="10"/>
                <w:color w:val="auto"/>
              </w:rPr>
              <w:t>182,710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7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0"/>
                <w:szCs w:val="10"/>
                <w:color w:val="auto"/>
              </w:rPr>
              <w:t>153,146</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4"/>
        </w:trPr>
        <w:tc>
          <w:tcPr>
            <w:tcW w:w="2880" w:type="dxa"/>
            <w:vAlign w:val="bottom"/>
          </w:tcPr>
          <w:p>
            <w:pPr>
              <w:spacing w:after="0" w:line="114" w:lineRule="exact"/>
              <w:rPr>
                <w:sz w:val="20"/>
                <w:szCs w:val="20"/>
                <w:color w:val="auto"/>
              </w:rPr>
            </w:pPr>
            <w:r>
              <w:rPr>
                <w:rFonts w:ascii="Arial" w:cs="Arial" w:eastAsia="Arial" w:hAnsi="Arial"/>
                <w:sz w:val="10"/>
                <w:szCs w:val="10"/>
                <w:b w:val="1"/>
                <w:bCs w:val="1"/>
                <w:color w:val="auto"/>
              </w:rPr>
              <w:t>South America</w:t>
            </w:r>
          </w:p>
        </w:tc>
        <w:tc>
          <w:tcPr>
            <w:tcW w:w="1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80" w:type="dxa"/>
            <w:vAlign w:val="bottom"/>
          </w:tcPr>
          <w:p>
            <w:pPr>
              <w:ind w:left="140"/>
              <w:spacing w:after="0"/>
              <w:rPr>
                <w:sz w:val="20"/>
                <w:szCs w:val="20"/>
                <w:color w:val="auto"/>
              </w:rPr>
            </w:pPr>
            <w:r>
              <w:rPr>
                <w:rFonts w:ascii="Arial" w:cs="Arial" w:eastAsia="Arial" w:hAnsi="Arial"/>
                <w:sz w:val="10"/>
                <w:szCs w:val="10"/>
                <w:color w:val="auto"/>
              </w:rPr>
              <w:t>Brazil</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131,339</w:t>
            </w: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126,366</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118,681</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2880" w:type="dxa"/>
            <w:vAlign w:val="bottom"/>
          </w:tcPr>
          <w:p>
            <w:pPr>
              <w:ind w:left="140"/>
              <w:spacing w:after="0"/>
              <w:rPr>
                <w:sz w:val="20"/>
                <w:szCs w:val="20"/>
                <w:color w:val="auto"/>
              </w:rPr>
            </w:pPr>
            <w:r>
              <w:rPr>
                <w:rFonts w:ascii="Arial" w:cs="Arial" w:eastAsia="Arial" w:hAnsi="Arial"/>
                <w:sz w:val="10"/>
                <w:szCs w:val="10"/>
                <w:color w:val="auto"/>
              </w:rPr>
              <w:t>Other [B]</w:t>
            </w:r>
          </w:p>
        </w:tc>
        <w:tc>
          <w:tcPr>
            <w:tcW w:w="1840" w:type="dxa"/>
            <w:vAlign w:val="bottom"/>
          </w:tcPr>
          <w:p>
            <w:pPr>
              <w:jc w:val="right"/>
              <w:ind w:right="473"/>
              <w:spacing w:after="0"/>
              <w:rPr>
                <w:sz w:val="20"/>
                <w:szCs w:val="20"/>
                <w:color w:val="auto"/>
              </w:rPr>
            </w:pPr>
            <w:r>
              <w:rPr>
                <w:rFonts w:ascii="Arial" w:cs="Arial" w:eastAsia="Arial" w:hAnsi="Arial"/>
                <w:sz w:val="10"/>
                <w:szCs w:val="10"/>
                <w:color w:val="auto"/>
              </w:rPr>
              <w:t>5,072</w:t>
            </w:r>
          </w:p>
        </w:tc>
        <w:tc>
          <w:tcPr>
            <w:tcW w:w="880" w:type="dxa"/>
            <w:vAlign w:val="bottom"/>
          </w:tcPr>
          <w:p>
            <w:pPr>
              <w:jc w:val="right"/>
              <w:spacing w:after="0"/>
              <w:rPr>
                <w:sz w:val="20"/>
                <w:szCs w:val="20"/>
                <w:color w:val="auto"/>
              </w:rPr>
            </w:pPr>
            <w:r>
              <w:rPr>
                <w:rFonts w:ascii="Arial" w:cs="Arial" w:eastAsia="Arial" w:hAnsi="Arial"/>
                <w:sz w:val="10"/>
                <w:szCs w:val="10"/>
                <w:color w:val="auto"/>
              </w:rPr>
              <w:t>729</w:t>
            </w:r>
          </w:p>
        </w:tc>
        <w:tc>
          <w:tcPr>
            <w:tcW w:w="140" w:type="dxa"/>
            <w:vAlign w:val="bottom"/>
          </w:tcPr>
          <w:p>
            <w:pPr>
              <w:spacing w:after="0"/>
              <w:rPr>
                <w:sz w:val="11"/>
                <w:szCs w:val="11"/>
                <w:color w:val="auto"/>
              </w:rPr>
            </w:pP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3,900</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740" w:type="dxa"/>
            <w:vAlign w:val="bottom"/>
          </w:tcPr>
          <w:p>
            <w:pPr>
              <w:jc w:val="right"/>
              <w:ind w:right="373"/>
              <w:spacing w:after="0"/>
              <w:rPr>
                <w:sz w:val="20"/>
                <w:szCs w:val="20"/>
                <w:color w:val="auto"/>
              </w:rPr>
            </w:pPr>
            <w:r>
              <w:rPr>
                <w:rFonts w:ascii="Arial" w:cs="Arial" w:eastAsia="Arial" w:hAnsi="Arial"/>
                <w:sz w:val="10"/>
                <w:szCs w:val="10"/>
                <w:color w:val="auto"/>
              </w:rPr>
              <w:t>3,414</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Total South America</w:t>
            </w:r>
          </w:p>
        </w:tc>
        <w:tc>
          <w:tcPr>
            <w:tcW w:w="18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0"/>
                <w:szCs w:val="10"/>
                <w:color w:val="auto"/>
              </w:rPr>
              <w:t>136,411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729</w:t>
            </w:r>
          </w:p>
        </w:tc>
        <w:tc>
          <w:tcPr>
            <w:tcW w:w="140" w:type="dxa"/>
            <w:vAlign w:val="bottom"/>
          </w:tcPr>
          <w:p>
            <w:pPr>
              <w:spacing w:after="0"/>
              <w:rPr>
                <w:sz w:val="10"/>
                <w:szCs w:val="10"/>
                <w:color w:val="auto"/>
              </w:rPr>
            </w:pPr>
          </w:p>
        </w:tc>
        <w:tc>
          <w:tcPr>
            <w:tcW w:w="18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0"/>
                <w:szCs w:val="10"/>
                <w:color w:val="auto"/>
              </w:rPr>
              <w:t>130,266</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7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0"/>
                <w:szCs w:val="10"/>
                <w:color w:val="auto"/>
              </w:rPr>
              <w:t>122,095</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2880" w:type="dxa"/>
            <w:vAlign w:val="bottom"/>
          </w:tcPr>
          <w:p>
            <w:pPr>
              <w:spacing w:after="0" w:line="113" w:lineRule="exact"/>
              <w:rPr>
                <w:sz w:val="20"/>
                <w:szCs w:val="20"/>
                <w:color w:val="auto"/>
              </w:rPr>
            </w:pPr>
            <w:r>
              <w:rPr>
                <w:rFonts w:ascii="Arial" w:cs="Arial" w:eastAsia="Arial" w:hAnsi="Arial"/>
                <w:sz w:val="10"/>
                <w:szCs w:val="10"/>
                <w:color w:val="auto"/>
              </w:rPr>
              <w:t>Total</w:t>
            </w:r>
          </w:p>
        </w:tc>
        <w:tc>
          <w:tcPr>
            <w:tcW w:w="1840" w:type="dxa"/>
            <w:vAlign w:val="bottom"/>
          </w:tcPr>
          <w:p>
            <w:pPr>
              <w:jc w:val="right"/>
              <w:ind w:right="473"/>
              <w:spacing w:after="0" w:line="113" w:lineRule="exact"/>
              <w:rPr>
                <w:sz w:val="20"/>
                <w:szCs w:val="20"/>
                <w:color w:val="auto"/>
              </w:rPr>
            </w:pPr>
            <w:r>
              <w:rPr>
                <w:rFonts w:ascii="Arial" w:cs="Arial" w:eastAsia="Arial" w:hAnsi="Arial"/>
                <w:sz w:val="10"/>
                <w:szCs w:val="10"/>
                <w:color w:val="auto"/>
              </w:rPr>
              <w:t>605,576</w:t>
            </w:r>
          </w:p>
        </w:tc>
        <w:tc>
          <w:tcPr>
            <w:tcW w:w="880" w:type="dxa"/>
            <w:vAlign w:val="bottom"/>
          </w:tcPr>
          <w:p>
            <w:pPr>
              <w:jc w:val="right"/>
              <w:spacing w:after="0" w:line="113" w:lineRule="exact"/>
              <w:rPr>
                <w:sz w:val="20"/>
                <w:szCs w:val="20"/>
                <w:color w:val="auto"/>
              </w:rPr>
            </w:pPr>
            <w:r>
              <w:rPr>
                <w:rFonts w:ascii="Arial" w:cs="Arial" w:eastAsia="Arial" w:hAnsi="Arial"/>
                <w:sz w:val="10"/>
                <w:szCs w:val="10"/>
                <w:color w:val="auto"/>
              </w:rPr>
              <w:t>35,586</w:t>
            </w:r>
          </w:p>
        </w:tc>
        <w:tc>
          <w:tcPr>
            <w:tcW w:w="140" w:type="dxa"/>
            <w:vAlign w:val="bottom"/>
          </w:tcPr>
          <w:p>
            <w:pPr>
              <w:spacing w:after="0"/>
              <w:rPr>
                <w:sz w:val="9"/>
                <w:szCs w:val="9"/>
                <w:color w:val="auto"/>
              </w:rPr>
            </w:pPr>
          </w:p>
        </w:tc>
        <w:tc>
          <w:tcPr>
            <w:tcW w:w="1800" w:type="dxa"/>
            <w:vAlign w:val="bottom"/>
          </w:tcPr>
          <w:p>
            <w:pPr>
              <w:jc w:val="right"/>
              <w:ind w:right="432"/>
              <w:spacing w:after="0" w:line="113" w:lineRule="exact"/>
              <w:rPr>
                <w:sz w:val="20"/>
                <w:szCs w:val="20"/>
                <w:color w:val="auto"/>
              </w:rPr>
            </w:pPr>
            <w:r>
              <w:rPr>
                <w:rFonts w:ascii="Arial" w:cs="Arial" w:eastAsia="Arial" w:hAnsi="Arial"/>
                <w:sz w:val="10"/>
                <w:szCs w:val="10"/>
                <w:color w:val="auto"/>
              </w:rPr>
              <w:t>627,276</w:t>
            </w: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38,259</w:t>
            </w:r>
          </w:p>
        </w:tc>
        <w:tc>
          <w:tcPr>
            <w:tcW w:w="120" w:type="dxa"/>
            <w:vAlign w:val="bottom"/>
          </w:tcPr>
          <w:p>
            <w:pPr>
              <w:spacing w:after="0"/>
              <w:rPr>
                <w:sz w:val="9"/>
                <w:szCs w:val="9"/>
                <w:color w:val="auto"/>
              </w:rPr>
            </w:pPr>
          </w:p>
        </w:tc>
        <w:tc>
          <w:tcPr>
            <w:tcW w:w="1740" w:type="dxa"/>
            <w:vAlign w:val="bottom"/>
          </w:tcPr>
          <w:p>
            <w:pPr>
              <w:jc w:val="right"/>
              <w:ind w:right="373"/>
              <w:spacing w:after="0" w:line="113" w:lineRule="exact"/>
              <w:rPr>
                <w:sz w:val="20"/>
                <w:szCs w:val="20"/>
                <w:color w:val="auto"/>
              </w:rPr>
            </w:pPr>
            <w:r>
              <w:rPr>
                <w:rFonts w:ascii="Arial" w:cs="Arial" w:eastAsia="Arial" w:hAnsi="Arial"/>
                <w:sz w:val="10"/>
                <w:szCs w:val="10"/>
                <w:color w:val="auto"/>
              </w:rPr>
              <w:t>600,186</w:t>
            </w:r>
          </w:p>
        </w:tc>
        <w:tc>
          <w:tcPr>
            <w:tcW w:w="980" w:type="dxa"/>
            <w:vAlign w:val="bottom"/>
          </w:tcPr>
          <w:p>
            <w:pPr>
              <w:jc w:val="right"/>
              <w:spacing w:after="0" w:line="113" w:lineRule="exact"/>
              <w:rPr>
                <w:sz w:val="20"/>
                <w:szCs w:val="20"/>
                <w:color w:val="auto"/>
              </w:rPr>
            </w:pPr>
            <w:r>
              <w:rPr>
                <w:rFonts w:ascii="Arial" w:cs="Arial" w:eastAsia="Arial" w:hAnsi="Arial"/>
                <w:sz w:val="10"/>
                <w:szCs w:val="10"/>
                <w:color w:val="auto"/>
              </w:rPr>
              <w:t>38,326</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28" w:hanging="128"/>
        <w:spacing w:after="0"/>
        <w:tabs>
          <w:tab w:leader="none" w:pos="128" w:val="left"/>
        </w:tabs>
        <w:numPr>
          <w:ilvl w:val="0"/>
          <w:numId w:val="27"/>
        </w:numPr>
        <w:rPr>
          <w:rFonts w:ascii="Arial" w:cs="Arial" w:eastAsia="Arial" w:hAnsi="Arial"/>
          <w:sz w:val="7"/>
          <w:szCs w:val="7"/>
          <w:color w:val="auto"/>
        </w:rPr>
      </w:pPr>
      <w:r>
        <w:rPr>
          <w:rFonts w:ascii="Arial" w:cs="Arial" w:eastAsia="Arial" w:hAnsi="Arial"/>
          <w:sz w:val="7"/>
          <w:szCs w:val="7"/>
          <w:color w:val="auto"/>
        </w:rPr>
        <w:t>Reflects 100% of production of subsidiaries except in respect of production-sharing contracts (PSCs), where the figures shown represent the entitlement of the subsidiaries concerned under those contracts.</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27"/>
        </w:numPr>
        <w:rPr>
          <w:rFonts w:ascii="Arial" w:cs="Arial" w:eastAsia="Arial" w:hAnsi="Arial"/>
          <w:sz w:val="7"/>
          <w:szCs w:val="7"/>
          <w:color w:val="auto"/>
        </w:rPr>
      </w:pPr>
      <w:r>
        <w:rPr>
          <w:rFonts w:ascii="Arial" w:cs="Arial" w:eastAsia="Arial" w:hAnsi="Arial"/>
          <w:sz w:val="7"/>
          <w:szCs w:val="7"/>
          <w:color w:val="auto"/>
        </w:rPr>
        <w:t>Comprises countries where 2020 production was lower than 10,100 thousand barrels or where specific disclosures are prohibited.</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72"/>
        </w:trPr>
        <w:tc>
          <w:tcPr>
            <w:tcW w:w="4520" w:type="dxa"/>
            <w:vAlign w:val="bottom"/>
            <w:shd w:val="clear" w:color="auto" w:fill="CDCDCD"/>
          </w:tcPr>
          <w:p>
            <w:pPr>
              <w:spacing w:after="0"/>
              <w:rPr>
                <w:sz w:val="6"/>
                <w:szCs w:val="6"/>
                <w:color w:val="auto"/>
              </w:rPr>
            </w:pPr>
          </w:p>
        </w:tc>
        <w:tc>
          <w:tcPr>
            <w:tcW w:w="2140" w:type="dxa"/>
            <w:vAlign w:val="bottom"/>
            <w:shd w:val="clear" w:color="auto" w:fill="CDCDCD"/>
          </w:tcPr>
          <w:p>
            <w:pPr>
              <w:spacing w:after="0"/>
              <w:rPr>
                <w:sz w:val="6"/>
                <w:szCs w:val="6"/>
                <w:color w:val="auto"/>
              </w:rPr>
            </w:pPr>
          </w:p>
        </w:tc>
        <w:tc>
          <w:tcPr>
            <w:tcW w:w="140" w:type="dxa"/>
            <w:vAlign w:val="bottom"/>
          </w:tcPr>
          <w:p>
            <w:pPr>
              <w:spacing w:after="0"/>
              <w:rPr>
                <w:sz w:val="6"/>
                <w:szCs w:val="6"/>
                <w:color w:val="auto"/>
              </w:rPr>
            </w:pPr>
          </w:p>
        </w:tc>
        <w:tc>
          <w:tcPr>
            <w:tcW w:w="2140" w:type="dxa"/>
            <w:vAlign w:val="bottom"/>
            <w:shd w:val="clear" w:color="auto" w:fill="CDCDCD"/>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shd w:val="clear" w:color="auto" w:fill="CDCDCD"/>
          </w:tcPr>
          <w:p>
            <w:pPr>
              <w:spacing w:after="0"/>
              <w:rPr>
                <w:sz w:val="6"/>
                <w:szCs w:val="6"/>
                <w:color w:val="auto"/>
              </w:rPr>
            </w:pPr>
          </w:p>
        </w:tc>
        <w:tc>
          <w:tcPr>
            <w:tcW w:w="100" w:type="dxa"/>
            <w:vAlign w:val="bottom"/>
          </w:tcPr>
          <w:p>
            <w:pPr>
              <w:spacing w:after="0"/>
              <w:rPr>
                <w:sz w:val="6"/>
                <w:szCs w:val="6"/>
                <w:color w:val="auto"/>
              </w:rPr>
            </w:pPr>
          </w:p>
        </w:tc>
      </w:tr>
      <w:tr>
        <w:trPr>
          <w:trHeight w:val="121"/>
        </w:trPr>
        <w:tc>
          <w:tcPr>
            <w:tcW w:w="4520" w:type="dxa"/>
            <w:vAlign w:val="bottom"/>
          </w:tcPr>
          <w:p>
            <w:pPr>
              <w:spacing w:after="0"/>
              <w:rPr>
                <w:sz w:val="20"/>
                <w:szCs w:val="20"/>
                <w:color w:val="auto"/>
              </w:rPr>
            </w:pPr>
            <w:r>
              <w:rPr>
                <w:rFonts w:ascii="Arial" w:cs="Arial" w:eastAsia="Arial" w:hAnsi="Arial"/>
                <w:sz w:val="10"/>
                <w:szCs w:val="10"/>
                <w:color w:val="auto"/>
              </w:rPr>
              <w:t>Synthetic crude oil</w:t>
            </w:r>
          </w:p>
        </w:tc>
        <w:tc>
          <w:tcPr>
            <w:tcW w:w="2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gridSpan w:val="2"/>
          </w:tcPr>
          <w:p>
            <w:pPr>
              <w:jc w:val="right"/>
              <w:ind w:right="100"/>
              <w:spacing w:after="0"/>
              <w:rPr>
                <w:sz w:val="20"/>
                <w:szCs w:val="20"/>
                <w:color w:val="auto"/>
              </w:rPr>
            </w:pPr>
            <w:r>
              <w:rPr>
                <w:rFonts w:ascii="Arial" w:cs="Arial" w:eastAsia="Arial" w:hAnsi="Arial"/>
                <w:sz w:val="10"/>
                <w:szCs w:val="10"/>
                <w:color w:val="auto"/>
              </w:rPr>
              <w:t>Thousand barrels</w:t>
            </w:r>
          </w:p>
        </w:tc>
      </w:tr>
      <w:tr>
        <w:trPr>
          <w:trHeight w:val="127"/>
        </w:trPr>
        <w:tc>
          <w:tcPr>
            <w:tcW w:w="4520" w:type="dxa"/>
            <w:vAlign w:val="bottom"/>
          </w:tcPr>
          <w:p>
            <w:pPr>
              <w:spacing w:after="0"/>
              <w:rPr>
                <w:sz w:val="11"/>
                <w:szCs w:val="11"/>
                <w:color w:val="auto"/>
              </w:rPr>
            </w:pPr>
          </w:p>
        </w:tc>
        <w:tc>
          <w:tcPr>
            <w:tcW w:w="2140" w:type="dxa"/>
            <w:vAlign w:val="bottom"/>
          </w:tcPr>
          <w:p>
            <w:pPr>
              <w:jc w:val="right"/>
              <w:spacing w:after="0"/>
              <w:rPr>
                <w:sz w:val="20"/>
                <w:szCs w:val="20"/>
                <w:color w:val="auto"/>
              </w:rPr>
            </w:pPr>
            <w:r>
              <w:rPr>
                <w:rFonts w:ascii="Arial" w:cs="Arial" w:eastAsia="Arial" w:hAnsi="Arial"/>
                <w:sz w:val="10"/>
                <w:szCs w:val="10"/>
                <w:color w:val="auto"/>
              </w:rPr>
              <w:t>2020</w:t>
            </w:r>
          </w:p>
        </w:tc>
        <w:tc>
          <w:tcPr>
            <w:tcW w:w="2280" w:type="dxa"/>
            <w:vAlign w:val="bottom"/>
            <w:gridSpan w:val="2"/>
          </w:tcPr>
          <w:p>
            <w:pPr>
              <w:jc w:val="right"/>
              <w:spacing w:after="0"/>
              <w:rPr>
                <w:sz w:val="20"/>
                <w:szCs w:val="20"/>
                <w:color w:val="auto"/>
              </w:rPr>
            </w:pPr>
            <w:r>
              <w:rPr>
                <w:rFonts w:ascii="Arial" w:cs="Arial" w:eastAsia="Arial" w:hAnsi="Arial"/>
                <w:sz w:val="10"/>
                <w:szCs w:val="10"/>
                <w:color w:val="auto"/>
              </w:rPr>
              <w:t>2019</w:t>
            </w:r>
          </w:p>
        </w:tc>
        <w:tc>
          <w:tcPr>
            <w:tcW w:w="2260" w:type="dxa"/>
            <w:vAlign w:val="bottom"/>
            <w:gridSpan w:val="2"/>
          </w:tcPr>
          <w:p>
            <w:pPr>
              <w:jc w:val="right"/>
              <w:spacing w:after="0"/>
              <w:rPr>
                <w:sz w:val="20"/>
                <w:szCs w:val="20"/>
                <w:color w:val="auto"/>
              </w:rPr>
            </w:pPr>
            <w:r>
              <w:rPr>
                <w:rFonts w:ascii="Arial" w:cs="Arial" w:eastAsia="Arial" w:hAnsi="Arial"/>
                <w:sz w:val="10"/>
                <w:szCs w:val="10"/>
                <w:color w:val="auto"/>
              </w:rPr>
              <w:t>2018</w:t>
            </w:r>
          </w:p>
        </w:tc>
        <w:tc>
          <w:tcPr>
            <w:tcW w:w="100" w:type="dxa"/>
            <w:vAlign w:val="bottom"/>
          </w:tcPr>
          <w:p>
            <w:pPr>
              <w:spacing w:after="0"/>
              <w:rPr>
                <w:sz w:val="11"/>
                <w:szCs w:val="11"/>
                <w:color w:val="auto"/>
              </w:rPr>
            </w:pPr>
          </w:p>
        </w:tc>
      </w:tr>
      <w:tr>
        <w:trPr>
          <w:trHeight w:val="83"/>
        </w:trPr>
        <w:tc>
          <w:tcPr>
            <w:tcW w:w="4520" w:type="dxa"/>
            <w:vAlign w:val="bottom"/>
          </w:tcPr>
          <w:p>
            <w:pPr>
              <w:spacing w:after="0"/>
              <w:rPr>
                <w:sz w:val="7"/>
                <w:szCs w:val="7"/>
                <w:color w:val="auto"/>
              </w:rPr>
            </w:pPr>
          </w:p>
        </w:tc>
        <w:tc>
          <w:tcPr>
            <w:tcW w:w="2140" w:type="dxa"/>
            <w:vAlign w:val="bottom"/>
            <w:tcBorders>
              <w:top w:val="single" w:sz="8" w:color="auto"/>
            </w:tcBorders>
          </w:tcPr>
          <w:p>
            <w:pPr>
              <w:jc w:val="right"/>
              <w:spacing w:after="0" w:line="83" w:lineRule="exact"/>
              <w:rPr>
                <w:sz w:val="20"/>
                <w:szCs w:val="20"/>
                <w:color w:val="auto"/>
              </w:rPr>
            </w:pPr>
            <w:r>
              <w:rPr>
                <w:rFonts w:ascii="Arial" w:cs="Arial" w:eastAsia="Arial" w:hAnsi="Arial"/>
                <w:sz w:val="8"/>
                <w:szCs w:val="8"/>
                <w:color w:val="auto"/>
              </w:rPr>
              <w:t>Shell</w:t>
            </w:r>
          </w:p>
        </w:tc>
        <w:tc>
          <w:tcPr>
            <w:tcW w:w="140" w:type="dxa"/>
            <w:vAlign w:val="bottom"/>
          </w:tcPr>
          <w:p>
            <w:pPr>
              <w:spacing w:after="0"/>
              <w:rPr>
                <w:sz w:val="7"/>
                <w:szCs w:val="7"/>
                <w:color w:val="auto"/>
              </w:rPr>
            </w:pPr>
          </w:p>
        </w:tc>
        <w:tc>
          <w:tcPr>
            <w:tcW w:w="2140" w:type="dxa"/>
            <w:vAlign w:val="bottom"/>
            <w:tcBorders>
              <w:top w:val="single" w:sz="8" w:color="auto"/>
            </w:tcBorders>
          </w:tcPr>
          <w:p>
            <w:pPr>
              <w:jc w:val="right"/>
              <w:spacing w:after="0" w:line="83" w:lineRule="exact"/>
              <w:rPr>
                <w:sz w:val="20"/>
                <w:szCs w:val="20"/>
                <w:color w:val="auto"/>
              </w:rPr>
            </w:pPr>
            <w:r>
              <w:rPr>
                <w:rFonts w:ascii="Arial" w:cs="Arial" w:eastAsia="Arial" w:hAnsi="Arial"/>
                <w:sz w:val="8"/>
                <w:szCs w:val="8"/>
                <w:color w:val="auto"/>
              </w:rPr>
              <w:t>Shell</w:t>
            </w:r>
          </w:p>
        </w:tc>
        <w:tc>
          <w:tcPr>
            <w:tcW w:w="120" w:type="dxa"/>
            <w:vAlign w:val="bottom"/>
          </w:tcPr>
          <w:p>
            <w:pPr>
              <w:spacing w:after="0"/>
              <w:rPr>
                <w:sz w:val="7"/>
                <w:szCs w:val="7"/>
                <w:color w:val="auto"/>
              </w:rPr>
            </w:pPr>
          </w:p>
        </w:tc>
        <w:tc>
          <w:tcPr>
            <w:tcW w:w="2140" w:type="dxa"/>
            <w:vAlign w:val="bottom"/>
            <w:tcBorders>
              <w:top w:val="single" w:sz="8" w:color="auto"/>
            </w:tcBorders>
          </w:tcPr>
          <w:p>
            <w:pPr>
              <w:jc w:val="right"/>
              <w:spacing w:after="0" w:line="83" w:lineRule="exact"/>
              <w:rPr>
                <w:sz w:val="20"/>
                <w:szCs w:val="20"/>
                <w:color w:val="auto"/>
              </w:rPr>
            </w:pPr>
            <w:r>
              <w:rPr>
                <w:rFonts w:ascii="Arial" w:cs="Arial" w:eastAsia="Arial" w:hAnsi="Arial"/>
                <w:sz w:val="8"/>
                <w:szCs w:val="8"/>
                <w:color w:val="auto"/>
              </w:rPr>
              <w:t>Shell</w:t>
            </w:r>
          </w:p>
        </w:tc>
        <w:tc>
          <w:tcPr>
            <w:tcW w:w="100" w:type="dxa"/>
            <w:vAlign w:val="bottom"/>
          </w:tcPr>
          <w:p>
            <w:pPr>
              <w:spacing w:after="0"/>
              <w:rPr>
                <w:sz w:val="7"/>
                <w:szCs w:val="7"/>
                <w:color w:val="auto"/>
              </w:rPr>
            </w:pPr>
          </w:p>
        </w:tc>
      </w:tr>
      <w:tr>
        <w:trPr>
          <w:trHeight w:val="124"/>
        </w:trPr>
        <w:tc>
          <w:tcPr>
            <w:tcW w:w="4520" w:type="dxa"/>
            <w:vAlign w:val="bottom"/>
          </w:tcPr>
          <w:p>
            <w:pPr>
              <w:spacing w:after="0"/>
              <w:rPr>
                <w:sz w:val="10"/>
                <w:szCs w:val="10"/>
                <w:color w:val="auto"/>
              </w:rPr>
            </w:pPr>
          </w:p>
        </w:tc>
        <w:tc>
          <w:tcPr>
            <w:tcW w:w="2140" w:type="dxa"/>
            <w:vAlign w:val="bottom"/>
          </w:tcPr>
          <w:p>
            <w:pPr>
              <w:jc w:val="right"/>
              <w:spacing w:after="0"/>
              <w:rPr>
                <w:sz w:val="20"/>
                <w:szCs w:val="20"/>
                <w:color w:val="auto"/>
              </w:rPr>
            </w:pPr>
            <w:r>
              <w:rPr>
                <w:rFonts w:ascii="Arial" w:cs="Arial" w:eastAsia="Arial" w:hAnsi="Arial"/>
                <w:sz w:val="10"/>
                <w:szCs w:val="10"/>
                <w:color w:val="auto"/>
              </w:rPr>
              <w:t>subsidiaries</w:t>
            </w:r>
          </w:p>
        </w:tc>
        <w:tc>
          <w:tcPr>
            <w:tcW w:w="140" w:type="dxa"/>
            <w:vAlign w:val="bottom"/>
          </w:tcPr>
          <w:p>
            <w:pPr>
              <w:spacing w:after="0"/>
              <w:rPr>
                <w:sz w:val="10"/>
                <w:szCs w:val="10"/>
                <w:color w:val="auto"/>
              </w:rPr>
            </w:pPr>
          </w:p>
        </w:tc>
        <w:tc>
          <w:tcPr>
            <w:tcW w:w="2140" w:type="dxa"/>
            <w:vAlign w:val="bottom"/>
          </w:tcPr>
          <w:p>
            <w:pPr>
              <w:jc w:val="right"/>
              <w:spacing w:after="0"/>
              <w:rPr>
                <w:sz w:val="20"/>
                <w:szCs w:val="20"/>
                <w:color w:val="auto"/>
              </w:rPr>
            </w:pPr>
            <w:r>
              <w:rPr>
                <w:rFonts w:ascii="Arial" w:cs="Arial" w:eastAsia="Arial" w:hAnsi="Arial"/>
                <w:sz w:val="10"/>
                <w:szCs w:val="10"/>
                <w:color w:val="auto"/>
              </w:rPr>
              <w:t>subsidiaries</w:t>
            </w:r>
          </w:p>
        </w:tc>
        <w:tc>
          <w:tcPr>
            <w:tcW w:w="120" w:type="dxa"/>
            <w:vAlign w:val="bottom"/>
          </w:tcPr>
          <w:p>
            <w:pPr>
              <w:spacing w:after="0"/>
              <w:rPr>
                <w:sz w:val="10"/>
                <w:szCs w:val="10"/>
                <w:color w:val="auto"/>
              </w:rPr>
            </w:pPr>
          </w:p>
        </w:tc>
        <w:tc>
          <w:tcPr>
            <w:tcW w:w="2240" w:type="dxa"/>
            <w:vAlign w:val="bottom"/>
            <w:gridSpan w:val="2"/>
          </w:tcPr>
          <w:p>
            <w:pPr>
              <w:jc w:val="right"/>
              <w:ind w:right="100"/>
              <w:spacing w:after="0"/>
              <w:rPr>
                <w:sz w:val="20"/>
                <w:szCs w:val="20"/>
                <w:color w:val="auto"/>
              </w:rPr>
            </w:pPr>
            <w:r>
              <w:rPr>
                <w:rFonts w:ascii="Arial" w:cs="Arial" w:eastAsia="Arial" w:hAnsi="Arial"/>
                <w:sz w:val="10"/>
                <w:szCs w:val="10"/>
                <w:color w:val="auto"/>
              </w:rPr>
              <w:t>subsidiaries</w:t>
            </w:r>
          </w:p>
        </w:tc>
      </w:tr>
      <w:tr>
        <w:trPr>
          <w:trHeight w:val="115"/>
        </w:trPr>
        <w:tc>
          <w:tcPr>
            <w:tcW w:w="4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North America - Canada</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18,920</w:t>
            </w:r>
          </w:p>
        </w:tc>
        <w:tc>
          <w:tcPr>
            <w:tcW w:w="140" w:type="dxa"/>
            <w:vAlign w:val="bottom"/>
          </w:tcPr>
          <w:p>
            <w:pPr>
              <w:spacing w:after="0"/>
              <w:rPr>
                <w:sz w:val="10"/>
                <w:szCs w:val="10"/>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19,076</w:t>
            </w:r>
          </w:p>
        </w:tc>
        <w:tc>
          <w:tcPr>
            <w:tcW w:w="120" w:type="dxa"/>
            <w:vAlign w:val="bottom"/>
          </w:tcPr>
          <w:p>
            <w:pPr>
              <w:spacing w:after="0"/>
              <w:rPr>
                <w:sz w:val="10"/>
                <w:szCs w:val="10"/>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19,514</w:t>
            </w:r>
          </w:p>
        </w:tc>
        <w:tc>
          <w:tcPr>
            <w:tcW w:w="100" w:type="dxa"/>
            <w:vAlign w:val="bottom"/>
          </w:tcPr>
          <w:p>
            <w:pPr>
              <w:spacing w:after="0"/>
              <w:rPr>
                <w:sz w:val="10"/>
                <w:szCs w:val="10"/>
                <w:color w:val="auto"/>
              </w:rPr>
            </w:pPr>
          </w:p>
        </w:tc>
      </w:tr>
      <w:tr>
        <w:trPr>
          <w:trHeight w:val="650"/>
        </w:trPr>
        <w:tc>
          <w:tcPr>
            <w:tcW w:w="452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2140" w:type="dxa"/>
            <w:vAlign w:val="bottom"/>
          </w:tcPr>
          <w:p>
            <w:pPr>
              <w:jc w:val="right"/>
              <w:ind w:right="1016"/>
              <w:spacing w:after="0"/>
              <w:rPr>
                <w:sz w:val="20"/>
                <w:szCs w:val="20"/>
                <w:color w:val="auto"/>
              </w:rPr>
            </w:pPr>
            <w:r>
              <w:rPr>
                <w:rFonts w:ascii="Arial" w:cs="Arial" w:eastAsia="Arial" w:hAnsi="Arial"/>
                <w:sz w:val="7"/>
                <w:szCs w:val="7"/>
                <w:color w:val="auto"/>
              </w:rPr>
              <w:t>48</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1"/>
        </w:trPr>
        <w:tc>
          <w:tcPr>
            <w:tcW w:w="4520" w:type="dxa"/>
            <w:vAlign w:val="bottom"/>
            <w:tcBorders>
              <w:bottom w:val="single" w:sz="8" w:color="9A9A9A"/>
            </w:tcBorders>
          </w:tcPr>
          <w:p>
            <w:pPr>
              <w:spacing w:after="0"/>
              <w:rPr>
                <w:sz w:val="13"/>
                <w:szCs w:val="13"/>
                <w:color w:val="auto"/>
              </w:rPr>
            </w:pPr>
          </w:p>
        </w:tc>
        <w:tc>
          <w:tcPr>
            <w:tcW w:w="2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37" w:right="299" w:bottom="1440" w:gutter="0" w:footer="0" w:header="0"/>
        </w:sectPr>
      </w:pPr>
    </w:p>
    <w:bookmarkStart w:id="51" w:name="page52"/>
    <w:bookmarkEnd w:id="51"/>
    <w:tbl>
      <w:tblPr>
        <w:tblLayout w:type="fixed"/>
        <w:tblInd w:w="8" w:type="dxa"/>
        <w:tblCellMar>
          <w:top w:w="0" w:type="dxa"/>
          <w:left w:w="0" w:type="dxa"/>
          <w:bottom w:w="0" w:type="dxa"/>
          <w:right w:w="0" w:type="dxa"/>
        </w:tblCellMar>
      </w:tblPr>
      <w:tr>
        <w:trPr>
          <w:trHeight w:val="121"/>
        </w:trPr>
        <w:tc>
          <w:tcPr>
            <w:tcW w:w="3340" w:type="dxa"/>
            <w:vAlign w:val="bottom"/>
          </w:tcPr>
          <w:p>
            <w:pPr>
              <w:spacing w:after="0"/>
              <w:rPr>
                <w:sz w:val="20"/>
                <w:szCs w:val="20"/>
                <w:color w:val="auto"/>
              </w:rPr>
            </w:pPr>
            <w:r>
              <w:rPr>
                <w:rFonts w:ascii="Arial" w:cs="Arial" w:eastAsia="Arial" w:hAnsi="Arial"/>
                <w:sz w:val="10"/>
                <w:szCs w:val="10"/>
                <w:color w:val="auto"/>
              </w:rPr>
              <w:t>Natural gas [A]</w:t>
            </w:r>
          </w:p>
        </w:tc>
        <w:tc>
          <w:tcPr>
            <w:tcW w:w="1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Million standard cubic feet</w:t>
            </w: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8"/>
                <w:szCs w:val="8"/>
                <w:color w:val="auto"/>
              </w:rPr>
              <w:t>2020</w:t>
            </w:r>
          </w:p>
        </w:tc>
        <w:tc>
          <w:tcPr>
            <w:tcW w:w="13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8"/>
                <w:szCs w:val="8"/>
                <w:color w:val="auto"/>
              </w:rPr>
              <w:t>2019</w:t>
            </w:r>
          </w:p>
        </w:tc>
        <w:tc>
          <w:tcPr>
            <w:tcW w:w="10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2018</w:t>
            </w:r>
          </w:p>
        </w:tc>
        <w:tc>
          <w:tcPr>
            <w:tcW w:w="0" w:type="dxa"/>
            <w:vAlign w:val="bottom"/>
          </w:tcPr>
          <w:p>
            <w:pPr>
              <w:spacing w:after="0"/>
              <w:rPr>
                <w:sz w:val="1"/>
                <w:szCs w:val="1"/>
                <w:color w:val="auto"/>
              </w:rPr>
            </w:pPr>
          </w:p>
        </w:tc>
      </w:tr>
      <w:tr>
        <w:trPr>
          <w:trHeight w:val="76"/>
        </w:trPr>
        <w:tc>
          <w:tcPr>
            <w:tcW w:w="3340" w:type="dxa"/>
            <w:vAlign w:val="bottom"/>
          </w:tcPr>
          <w:p>
            <w:pPr>
              <w:spacing w:after="0"/>
              <w:rPr>
                <w:sz w:val="6"/>
                <w:szCs w:val="6"/>
                <w:color w:val="auto"/>
              </w:rPr>
            </w:pPr>
          </w:p>
        </w:tc>
        <w:tc>
          <w:tcPr>
            <w:tcW w:w="1740" w:type="dxa"/>
            <w:vAlign w:val="bottom"/>
            <w:vMerge w:val="restart"/>
          </w:tcPr>
          <w:p>
            <w:pPr>
              <w:jc w:val="right"/>
              <w:ind w:right="372"/>
              <w:spacing w:after="0"/>
              <w:rPr>
                <w:sz w:val="20"/>
                <w:szCs w:val="20"/>
                <w:color w:val="auto"/>
              </w:rPr>
            </w:pPr>
            <w:r>
              <w:rPr>
                <w:rFonts w:ascii="Arial" w:cs="Arial" w:eastAsia="Arial" w:hAnsi="Arial"/>
                <w:sz w:val="8"/>
                <w:szCs w:val="8"/>
                <w:color w:val="auto"/>
              </w:rPr>
              <w:t>Shell</w:t>
            </w:r>
          </w:p>
        </w:tc>
        <w:tc>
          <w:tcPr>
            <w:tcW w:w="1340" w:type="dxa"/>
            <w:vAlign w:val="bottom"/>
          </w:tcPr>
          <w:p>
            <w:pPr>
              <w:jc w:val="right"/>
              <w:ind w:right="393"/>
              <w:spacing w:after="0" w:line="76" w:lineRule="exact"/>
              <w:rPr>
                <w:sz w:val="20"/>
                <w:szCs w:val="20"/>
                <w:color w:val="auto"/>
              </w:rPr>
            </w:pPr>
            <w:r>
              <w:rPr>
                <w:rFonts w:ascii="Arial" w:cs="Arial" w:eastAsia="Arial" w:hAnsi="Arial"/>
                <w:sz w:val="8"/>
                <w:szCs w:val="8"/>
                <w:color w:val="auto"/>
              </w:rPr>
              <w:t>Shell share of</w:t>
            </w:r>
          </w:p>
        </w:tc>
        <w:tc>
          <w:tcPr>
            <w:tcW w:w="1300" w:type="dxa"/>
            <w:vAlign w:val="bottom"/>
            <w:vMerge w:val="restart"/>
          </w:tcPr>
          <w:p>
            <w:pPr>
              <w:jc w:val="right"/>
              <w:ind w:right="372"/>
              <w:spacing w:after="0"/>
              <w:rPr>
                <w:sz w:val="20"/>
                <w:szCs w:val="20"/>
                <w:color w:val="auto"/>
              </w:rPr>
            </w:pPr>
            <w:r>
              <w:rPr>
                <w:rFonts w:ascii="Arial" w:cs="Arial" w:eastAsia="Arial" w:hAnsi="Arial"/>
                <w:sz w:val="8"/>
                <w:szCs w:val="8"/>
                <w:color w:val="auto"/>
              </w:rPr>
              <w:t>Shell</w:t>
            </w:r>
          </w:p>
        </w:tc>
        <w:tc>
          <w:tcPr>
            <w:tcW w:w="1360" w:type="dxa"/>
            <w:vAlign w:val="bottom"/>
          </w:tcPr>
          <w:p>
            <w:pPr>
              <w:jc w:val="right"/>
              <w:ind w:right="413"/>
              <w:spacing w:after="0" w:line="76" w:lineRule="exact"/>
              <w:rPr>
                <w:sz w:val="20"/>
                <w:szCs w:val="20"/>
                <w:color w:val="auto"/>
              </w:rPr>
            </w:pPr>
            <w:r>
              <w:rPr>
                <w:rFonts w:ascii="Arial" w:cs="Arial" w:eastAsia="Arial" w:hAnsi="Arial"/>
                <w:sz w:val="8"/>
                <w:szCs w:val="8"/>
                <w:color w:val="auto"/>
              </w:rPr>
              <w:t>Shell share of</w:t>
            </w:r>
          </w:p>
        </w:tc>
        <w:tc>
          <w:tcPr>
            <w:tcW w:w="1000" w:type="dxa"/>
            <w:vAlign w:val="bottom"/>
            <w:vMerge w:val="restart"/>
          </w:tcPr>
          <w:p>
            <w:pPr>
              <w:jc w:val="right"/>
              <w:ind w:right="92"/>
              <w:spacing w:after="0"/>
              <w:rPr>
                <w:sz w:val="20"/>
                <w:szCs w:val="20"/>
                <w:color w:val="auto"/>
              </w:rPr>
            </w:pPr>
            <w:r>
              <w:rPr>
                <w:rFonts w:ascii="Arial" w:cs="Arial" w:eastAsia="Arial" w:hAnsi="Arial"/>
                <w:sz w:val="8"/>
                <w:szCs w:val="8"/>
                <w:color w:val="auto"/>
              </w:rPr>
              <w:t>Shell</w:t>
            </w:r>
          </w:p>
        </w:tc>
        <w:tc>
          <w:tcPr>
            <w:tcW w:w="1200" w:type="dxa"/>
            <w:vAlign w:val="bottom"/>
          </w:tcPr>
          <w:p>
            <w:pPr>
              <w:jc w:val="right"/>
              <w:spacing w:after="0" w:line="76" w:lineRule="exact"/>
              <w:rPr>
                <w:sz w:val="20"/>
                <w:szCs w:val="20"/>
                <w:color w:val="auto"/>
              </w:rPr>
            </w:pPr>
            <w:r>
              <w:rPr>
                <w:rFonts w:ascii="Arial" w:cs="Arial" w:eastAsia="Arial" w:hAnsi="Arial"/>
                <w:sz w:val="8"/>
                <w:szCs w:val="8"/>
                <w:color w:val="auto"/>
              </w:rPr>
              <w:t>Shell share of</w:t>
            </w: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1340" w:type="dxa"/>
            <w:vAlign w:val="bottom"/>
          </w:tcPr>
          <w:p>
            <w:pPr>
              <w:jc w:val="right"/>
              <w:ind w:right="393"/>
              <w:spacing w:after="0" w:line="81" w:lineRule="exact"/>
              <w:rPr>
                <w:sz w:val="20"/>
                <w:szCs w:val="20"/>
                <w:color w:val="auto"/>
              </w:rPr>
            </w:pPr>
            <w:r>
              <w:rPr>
                <w:rFonts w:ascii="Arial" w:cs="Arial" w:eastAsia="Arial" w:hAnsi="Arial"/>
                <w:sz w:val="8"/>
                <w:szCs w:val="8"/>
                <w:color w:val="auto"/>
              </w:rPr>
              <w:t>joint ventures</w:t>
            </w:r>
          </w:p>
        </w:tc>
        <w:tc>
          <w:tcPr>
            <w:tcW w:w="1300" w:type="dxa"/>
            <w:vAlign w:val="bottom"/>
            <w:vMerge w:val="continue"/>
          </w:tcPr>
          <w:p>
            <w:pPr>
              <w:spacing w:after="0"/>
              <w:rPr>
                <w:sz w:val="7"/>
                <w:szCs w:val="7"/>
                <w:color w:val="auto"/>
              </w:rPr>
            </w:pPr>
          </w:p>
        </w:tc>
        <w:tc>
          <w:tcPr>
            <w:tcW w:w="1360" w:type="dxa"/>
            <w:vAlign w:val="bottom"/>
          </w:tcPr>
          <w:p>
            <w:pPr>
              <w:jc w:val="right"/>
              <w:ind w:right="413"/>
              <w:spacing w:after="0" w:line="81" w:lineRule="exact"/>
              <w:rPr>
                <w:sz w:val="20"/>
                <w:szCs w:val="20"/>
                <w:color w:val="auto"/>
              </w:rPr>
            </w:pPr>
            <w:r>
              <w:rPr>
                <w:rFonts w:ascii="Arial" w:cs="Arial" w:eastAsia="Arial" w:hAnsi="Arial"/>
                <w:sz w:val="8"/>
                <w:szCs w:val="8"/>
                <w:color w:val="auto"/>
              </w:rPr>
              <w:t>joint ventures</w:t>
            </w:r>
          </w:p>
        </w:tc>
        <w:tc>
          <w:tcPr>
            <w:tcW w:w="1000" w:type="dxa"/>
            <w:vAlign w:val="bottom"/>
            <w:vMerge w:val="continue"/>
          </w:tcPr>
          <w:p>
            <w:pPr>
              <w:spacing w:after="0"/>
              <w:rPr>
                <w:sz w:val="7"/>
                <w:szCs w:val="7"/>
                <w:color w:val="auto"/>
              </w:rPr>
            </w:pPr>
          </w:p>
        </w:tc>
        <w:tc>
          <w:tcPr>
            <w:tcW w:w="1200" w:type="dxa"/>
            <w:vAlign w:val="bottom"/>
          </w:tcPr>
          <w:p>
            <w:pPr>
              <w:jc w:val="right"/>
              <w:spacing w:after="0" w:line="81" w:lineRule="exact"/>
              <w:rPr>
                <w:sz w:val="20"/>
                <w:szCs w:val="20"/>
                <w:color w:val="auto"/>
              </w:rPr>
            </w:pPr>
            <w:r>
              <w:rPr>
                <w:rFonts w:ascii="Arial" w:cs="Arial" w:eastAsia="Arial" w:hAnsi="Arial"/>
                <w:sz w:val="8"/>
                <w:szCs w:val="8"/>
                <w:color w:val="auto"/>
              </w:rPr>
              <w:t>joint ventures</w:t>
            </w:r>
          </w:p>
        </w:tc>
        <w:tc>
          <w:tcPr>
            <w:tcW w:w="0" w:type="dxa"/>
            <w:vAlign w:val="bottom"/>
          </w:tcPr>
          <w:p>
            <w:pPr>
              <w:spacing w:after="0"/>
              <w:rPr>
                <w:sz w:val="1"/>
                <w:szCs w:val="1"/>
                <w:color w:val="auto"/>
              </w:rPr>
            </w:pPr>
          </w:p>
        </w:tc>
      </w:tr>
      <w:tr>
        <w:trPr>
          <w:trHeight w:val="111"/>
        </w:trPr>
        <w:tc>
          <w:tcPr>
            <w:tcW w:w="33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jc w:val="right"/>
              <w:ind w:right="372"/>
              <w:spacing w:after="0"/>
              <w:rPr>
                <w:sz w:val="20"/>
                <w:szCs w:val="20"/>
                <w:color w:val="auto"/>
              </w:rPr>
            </w:pPr>
            <w:r>
              <w:rPr>
                <w:rFonts w:ascii="Arial" w:cs="Arial" w:eastAsia="Arial" w:hAnsi="Arial"/>
                <w:sz w:val="8"/>
                <w:szCs w:val="8"/>
                <w:color w:val="auto"/>
              </w:rPr>
              <w:t>subsidiaries</w:t>
            </w: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8"/>
                <w:szCs w:val="8"/>
                <w:color w:val="auto"/>
              </w:rPr>
              <w:t>and associates</w:t>
            </w: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8"/>
                <w:szCs w:val="8"/>
                <w:color w:val="auto"/>
              </w:rPr>
              <w:t>subsidiaries</w:t>
            </w: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8"/>
                <w:szCs w:val="8"/>
                <w:color w:val="auto"/>
              </w:rPr>
              <w:t>and associates</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8"/>
                <w:szCs w:val="8"/>
                <w:color w:val="auto"/>
              </w:rPr>
              <w:t>subsidiaries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and associates</w:t>
            </w:r>
          </w:p>
        </w:tc>
        <w:tc>
          <w:tcPr>
            <w:tcW w:w="0" w:type="dxa"/>
            <w:vAlign w:val="bottom"/>
          </w:tcPr>
          <w:p>
            <w:pPr>
              <w:spacing w:after="0"/>
              <w:rPr>
                <w:sz w:val="1"/>
                <w:szCs w:val="1"/>
                <w:color w:val="auto"/>
              </w:rPr>
            </w:pPr>
          </w:p>
        </w:tc>
      </w:tr>
      <w:tr>
        <w:trPr>
          <w:trHeight w:val="118"/>
        </w:trPr>
        <w:tc>
          <w:tcPr>
            <w:tcW w:w="3340" w:type="dxa"/>
            <w:vAlign w:val="bottom"/>
          </w:tcPr>
          <w:p>
            <w:pPr>
              <w:spacing w:after="0"/>
              <w:rPr>
                <w:sz w:val="20"/>
                <w:szCs w:val="20"/>
                <w:color w:val="auto"/>
              </w:rPr>
            </w:pPr>
            <w:r>
              <w:rPr>
                <w:rFonts w:ascii="Arial" w:cs="Arial" w:eastAsia="Arial" w:hAnsi="Arial"/>
                <w:sz w:val="10"/>
                <w:szCs w:val="10"/>
                <w:b w:val="1"/>
                <w:bCs w:val="1"/>
                <w:color w:val="auto"/>
              </w:rPr>
              <w:t>Europe</w:t>
            </w:r>
          </w:p>
        </w:tc>
        <w:tc>
          <w:tcPr>
            <w:tcW w:w="1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140"/>
              <w:spacing w:after="0"/>
              <w:rPr>
                <w:sz w:val="20"/>
                <w:szCs w:val="20"/>
                <w:color w:val="auto"/>
              </w:rPr>
            </w:pPr>
            <w:r>
              <w:rPr>
                <w:rFonts w:ascii="Arial" w:cs="Arial" w:eastAsia="Arial" w:hAnsi="Arial"/>
                <w:sz w:val="10"/>
                <w:szCs w:val="10"/>
                <w:color w:val="auto"/>
              </w:rPr>
              <w:t>Denmark</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24,433</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45,027</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340" w:type="dxa"/>
            <w:vAlign w:val="bottom"/>
          </w:tcPr>
          <w:p>
            <w:pPr>
              <w:ind w:left="140"/>
              <w:spacing w:after="0"/>
              <w:rPr>
                <w:sz w:val="20"/>
                <w:szCs w:val="20"/>
                <w:color w:val="auto"/>
              </w:rPr>
            </w:pPr>
            <w:r>
              <w:rPr>
                <w:rFonts w:ascii="Arial" w:cs="Arial" w:eastAsia="Arial" w:hAnsi="Arial"/>
                <w:sz w:val="10"/>
                <w:szCs w:val="10"/>
                <w:color w:val="auto"/>
              </w:rPr>
              <w:t>Germany</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35,918</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41,846</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40,368</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340" w:type="dxa"/>
            <w:vAlign w:val="bottom"/>
          </w:tcPr>
          <w:p>
            <w:pPr>
              <w:ind w:left="140"/>
              <w:spacing w:after="0"/>
              <w:rPr>
                <w:sz w:val="20"/>
                <w:szCs w:val="20"/>
                <w:color w:val="auto"/>
              </w:rPr>
            </w:pPr>
            <w:r>
              <w:rPr>
                <w:rFonts w:ascii="Arial" w:cs="Arial" w:eastAsia="Arial" w:hAnsi="Arial"/>
                <w:sz w:val="10"/>
                <w:szCs w:val="10"/>
                <w:color w:val="auto"/>
              </w:rPr>
              <w:t>Ireland</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44,833</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340" w:type="dxa"/>
            <w:vAlign w:val="bottom"/>
          </w:tcPr>
          <w:p>
            <w:pPr>
              <w:ind w:left="140"/>
              <w:spacing w:after="0"/>
              <w:rPr>
                <w:sz w:val="20"/>
                <w:szCs w:val="20"/>
                <w:color w:val="auto"/>
              </w:rPr>
            </w:pPr>
            <w:r>
              <w:rPr>
                <w:rFonts w:ascii="Arial" w:cs="Arial" w:eastAsia="Arial" w:hAnsi="Arial"/>
                <w:sz w:val="10"/>
                <w:szCs w:val="10"/>
                <w:color w:val="auto"/>
              </w:rPr>
              <w:t>Netherlands</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131,648</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244,286</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271,303</w:t>
            </w:r>
          </w:p>
        </w:tc>
        <w:tc>
          <w:tcPr>
            <w:tcW w:w="0" w:type="dxa"/>
            <w:vAlign w:val="bottom"/>
          </w:tcPr>
          <w:p>
            <w:pPr>
              <w:spacing w:after="0"/>
              <w:rPr>
                <w:sz w:val="1"/>
                <w:szCs w:val="1"/>
                <w:color w:val="auto"/>
              </w:rPr>
            </w:pPr>
          </w:p>
        </w:tc>
      </w:tr>
      <w:tr>
        <w:trPr>
          <w:trHeight w:val="126"/>
        </w:trPr>
        <w:tc>
          <w:tcPr>
            <w:tcW w:w="3340" w:type="dxa"/>
            <w:vAlign w:val="bottom"/>
          </w:tcPr>
          <w:p>
            <w:pPr>
              <w:ind w:left="140"/>
              <w:spacing w:after="0"/>
              <w:rPr>
                <w:sz w:val="20"/>
                <w:szCs w:val="20"/>
                <w:color w:val="auto"/>
              </w:rPr>
            </w:pPr>
            <w:r>
              <w:rPr>
                <w:rFonts w:ascii="Arial" w:cs="Arial" w:eastAsia="Arial" w:hAnsi="Arial"/>
                <w:sz w:val="10"/>
                <w:szCs w:val="10"/>
                <w:color w:val="auto"/>
              </w:rPr>
              <w:t>Norway</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187,627</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182,683</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239,253</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340" w:type="dxa"/>
            <w:vAlign w:val="bottom"/>
          </w:tcPr>
          <w:p>
            <w:pPr>
              <w:ind w:left="140"/>
              <w:spacing w:after="0"/>
              <w:rPr>
                <w:sz w:val="20"/>
                <w:szCs w:val="20"/>
                <w:color w:val="auto"/>
              </w:rPr>
            </w:pPr>
            <w:r>
              <w:rPr>
                <w:rFonts w:ascii="Arial" w:cs="Arial" w:eastAsia="Arial" w:hAnsi="Arial"/>
                <w:sz w:val="10"/>
                <w:szCs w:val="10"/>
                <w:color w:val="auto"/>
              </w:rPr>
              <w:t>UK</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65,012</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62,174</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82,695</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33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Other [B]</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13,005</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15,062</w:t>
            </w: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16,422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Europe</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301,562</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131,648</w:t>
            </w: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326,198</w:t>
            </w: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244,286</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468,598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271,303</w:t>
            </w:r>
          </w:p>
        </w:tc>
        <w:tc>
          <w:tcPr>
            <w:tcW w:w="0" w:type="dxa"/>
            <w:vAlign w:val="bottom"/>
          </w:tcPr>
          <w:p>
            <w:pPr>
              <w:spacing w:after="0"/>
              <w:rPr>
                <w:sz w:val="1"/>
                <w:szCs w:val="1"/>
                <w:color w:val="auto"/>
              </w:rPr>
            </w:pPr>
          </w:p>
        </w:tc>
      </w:tr>
      <w:tr>
        <w:trPr>
          <w:trHeight w:val="114"/>
        </w:trPr>
        <w:tc>
          <w:tcPr>
            <w:tcW w:w="3340" w:type="dxa"/>
            <w:vAlign w:val="bottom"/>
          </w:tcPr>
          <w:p>
            <w:pPr>
              <w:spacing w:after="0" w:line="114" w:lineRule="exact"/>
              <w:rPr>
                <w:sz w:val="20"/>
                <w:szCs w:val="20"/>
                <w:color w:val="auto"/>
              </w:rPr>
            </w:pPr>
            <w:r>
              <w:rPr>
                <w:rFonts w:ascii="Arial" w:cs="Arial" w:eastAsia="Arial" w:hAnsi="Arial"/>
                <w:sz w:val="10"/>
                <w:szCs w:val="10"/>
                <w:b w:val="1"/>
                <w:bCs w:val="1"/>
                <w:color w:val="auto"/>
              </w:rPr>
              <w:t>Asia</w:t>
            </w:r>
          </w:p>
        </w:tc>
        <w:tc>
          <w:tcPr>
            <w:tcW w:w="1740" w:type="dxa"/>
            <w:vAlign w:val="bottom"/>
          </w:tcPr>
          <w:p>
            <w:pPr>
              <w:jc w:val="right"/>
              <w:ind w:right="412"/>
              <w:spacing w:after="0" w:line="114" w:lineRule="exact"/>
              <w:rPr>
                <w:sz w:val="20"/>
                <w:szCs w:val="20"/>
                <w:color w:val="auto"/>
              </w:rPr>
            </w:pPr>
            <w:r>
              <w:rPr>
                <w:rFonts w:ascii="Arial" w:cs="Arial" w:eastAsia="Arial" w:hAnsi="Arial"/>
                <w:sz w:val="10"/>
                <w:szCs w:val="10"/>
                <w:color w:val="auto"/>
              </w:rPr>
              <w:t>—</w:t>
            </w:r>
          </w:p>
        </w:tc>
        <w:tc>
          <w:tcPr>
            <w:tcW w:w="1340" w:type="dxa"/>
            <w:vAlign w:val="bottom"/>
          </w:tcPr>
          <w:p>
            <w:pPr>
              <w:jc w:val="right"/>
              <w:ind w:right="433"/>
              <w:spacing w:after="0" w:line="114" w:lineRule="exact"/>
              <w:rPr>
                <w:sz w:val="20"/>
                <w:szCs w:val="20"/>
                <w:color w:val="auto"/>
              </w:rPr>
            </w:pPr>
            <w:r>
              <w:rPr>
                <w:rFonts w:ascii="Arial" w:cs="Arial" w:eastAsia="Arial" w:hAnsi="Arial"/>
                <w:sz w:val="10"/>
                <w:szCs w:val="10"/>
                <w:color w:val="auto"/>
              </w:rPr>
              <w:t>—</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140"/>
              <w:spacing w:after="0"/>
              <w:rPr>
                <w:sz w:val="20"/>
                <w:szCs w:val="20"/>
                <w:color w:val="auto"/>
              </w:rPr>
            </w:pPr>
            <w:r>
              <w:rPr>
                <w:rFonts w:ascii="Arial" w:cs="Arial" w:eastAsia="Arial" w:hAnsi="Arial"/>
                <w:sz w:val="10"/>
                <w:szCs w:val="10"/>
                <w:color w:val="auto"/>
              </w:rPr>
              <w:t>Brunei</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21,025</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159,846</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22,185</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160,648</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21,205</w:t>
            </w:r>
          </w:p>
        </w:tc>
        <w:tc>
          <w:tcPr>
            <w:tcW w:w="1200" w:type="dxa"/>
            <w:vAlign w:val="bottom"/>
          </w:tcPr>
          <w:p>
            <w:pPr>
              <w:jc w:val="right"/>
              <w:spacing w:after="0"/>
              <w:rPr>
                <w:sz w:val="20"/>
                <w:szCs w:val="20"/>
                <w:color w:val="auto"/>
              </w:rPr>
            </w:pPr>
            <w:r>
              <w:rPr>
                <w:rFonts w:ascii="Arial" w:cs="Arial" w:eastAsia="Arial" w:hAnsi="Arial"/>
                <w:sz w:val="10"/>
                <w:szCs w:val="10"/>
                <w:color w:val="auto"/>
              </w:rPr>
              <w:t>157,476</w:t>
            </w:r>
          </w:p>
        </w:tc>
        <w:tc>
          <w:tcPr>
            <w:tcW w:w="0" w:type="dxa"/>
            <w:vAlign w:val="bottom"/>
          </w:tcPr>
          <w:p>
            <w:pPr>
              <w:spacing w:after="0"/>
              <w:rPr>
                <w:sz w:val="1"/>
                <w:szCs w:val="1"/>
                <w:color w:val="auto"/>
              </w:rPr>
            </w:pPr>
          </w:p>
        </w:tc>
      </w:tr>
      <w:tr>
        <w:trPr>
          <w:trHeight w:val="126"/>
        </w:trPr>
        <w:tc>
          <w:tcPr>
            <w:tcW w:w="3340" w:type="dxa"/>
            <w:vAlign w:val="bottom"/>
          </w:tcPr>
          <w:p>
            <w:pPr>
              <w:ind w:left="140"/>
              <w:spacing w:after="0"/>
              <w:rPr>
                <w:sz w:val="20"/>
                <w:szCs w:val="20"/>
                <w:color w:val="auto"/>
              </w:rPr>
            </w:pPr>
            <w:r>
              <w:rPr>
                <w:rFonts w:ascii="Arial" w:cs="Arial" w:eastAsia="Arial" w:hAnsi="Arial"/>
                <w:sz w:val="10"/>
                <w:szCs w:val="10"/>
                <w:color w:val="auto"/>
              </w:rPr>
              <w:t>China</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46,750</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44,510</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42,419</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340" w:type="dxa"/>
            <w:vAlign w:val="bottom"/>
          </w:tcPr>
          <w:p>
            <w:pPr>
              <w:ind w:left="140"/>
              <w:spacing w:after="0"/>
              <w:rPr>
                <w:sz w:val="20"/>
                <w:szCs w:val="20"/>
                <w:color w:val="auto"/>
              </w:rPr>
            </w:pPr>
            <w:r>
              <w:rPr>
                <w:rFonts w:ascii="Arial" w:cs="Arial" w:eastAsia="Arial" w:hAnsi="Arial"/>
                <w:sz w:val="10"/>
                <w:szCs w:val="10"/>
                <w:color w:val="auto"/>
              </w:rPr>
              <w:t>Kazakhstan</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86,999</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84,499</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78,575</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340" w:type="dxa"/>
            <w:vAlign w:val="bottom"/>
          </w:tcPr>
          <w:p>
            <w:pPr>
              <w:ind w:left="140"/>
              <w:spacing w:after="0"/>
              <w:rPr>
                <w:sz w:val="20"/>
                <w:szCs w:val="20"/>
                <w:color w:val="auto"/>
              </w:rPr>
            </w:pPr>
            <w:r>
              <w:rPr>
                <w:rFonts w:ascii="Arial" w:cs="Arial" w:eastAsia="Arial" w:hAnsi="Arial"/>
                <w:sz w:val="10"/>
                <w:szCs w:val="10"/>
                <w:color w:val="auto"/>
              </w:rPr>
              <w:t>Malaysia</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226,791</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226,277</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237,102</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340" w:type="dxa"/>
            <w:vAlign w:val="bottom"/>
          </w:tcPr>
          <w:p>
            <w:pPr>
              <w:ind w:left="140"/>
              <w:spacing w:after="0"/>
              <w:rPr>
                <w:sz w:val="20"/>
                <w:szCs w:val="20"/>
                <w:color w:val="auto"/>
              </w:rPr>
            </w:pPr>
            <w:r>
              <w:rPr>
                <w:rFonts w:ascii="Arial" w:cs="Arial" w:eastAsia="Arial" w:hAnsi="Arial"/>
                <w:sz w:val="10"/>
                <w:szCs w:val="10"/>
                <w:color w:val="auto"/>
              </w:rPr>
              <w:t>Philippines</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40,549</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44,374</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44,017</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340" w:type="dxa"/>
            <w:vAlign w:val="bottom"/>
          </w:tcPr>
          <w:p>
            <w:pPr>
              <w:ind w:left="140"/>
              <w:spacing w:after="0"/>
              <w:rPr>
                <w:sz w:val="20"/>
                <w:szCs w:val="20"/>
                <w:color w:val="auto"/>
              </w:rPr>
            </w:pPr>
            <w:r>
              <w:rPr>
                <w:rFonts w:ascii="Arial" w:cs="Arial" w:eastAsia="Arial" w:hAnsi="Arial"/>
                <w:sz w:val="10"/>
                <w:szCs w:val="10"/>
                <w:color w:val="auto"/>
              </w:rPr>
              <w:t>Russia</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4,301</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142,418</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4,563</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134,807</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4,044</w:t>
            </w:r>
          </w:p>
        </w:tc>
        <w:tc>
          <w:tcPr>
            <w:tcW w:w="1200" w:type="dxa"/>
            <w:vAlign w:val="bottom"/>
          </w:tcPr>
          <w:p>
            <w:pPr>
              <w:jc w:val="right"/>
              <w:spacing w:after="0"/>
              <w:rPr>
                <w:sz w:val="20"/>
                <w:szCs w:val="20"/>
                <w:color w:val="auto"/>
              </w:rPr>
            </w:pPr>
            <w:r>
              <w:rPr>
                <w:rFonts w:ascii="Arial" w:cs="Arial" w:eastAsia="Arial" w:hAnsi="Arial"/>
                <w:sz w:val="10"/>
                <w:szCs w:val="10"/>
                <w:color w:val="auto"/>
              </w:rPr>
              <w:t>136,652</w:t>
            </w:r>
          </w:p>
        </w:tc>
        <w:tc>
          <w:tcPr>
            <w:tcW w:w="0" w:type="dxa"/>
            <w:vAlign w:val="bottom"/>
          </w:tcPr>
          <w:p>
            <w:pPr>
              <w:spacing w:after="0"/>
              <w:rPr>
                <w:sz w:val="1"/>
                <w:szCs w:val="1"/>
                <w:color w:val="auto"/>
              </w:rPr>
            </w:pPr>
          </w:p>
        </w:tc>
      </w:tr>
      <w:tr>
        <w:trPr>
          <w:trHeight w:val="126"/>
        </w:trPr>
        <w:tc>
          <w:tcPr>
            <w:tcW w:w="3340" w:type="dxa"/>
            <w:vAlign w:val="bottom"/>
          </w:tcPr>
          <w:p>
            <w:pPr>
              <w:ind w:left="140"/>
              <w:spacing w:after="0"/>
              <w:rPr>
                <w:sz w:val="20"/>
                <w:szCs w:val="20"/>
                <w:color w:val="auto"/>
              </w:rPr>
            </w:pPr>
            <w:r>
              <w:rPr>
                <w:rFonts w:ascii="Arial" w:cs="Arial" w:eastAsia="Arial" w:hAnsi="Arial"/>
                <w:sz w:val="10"/>
                <w:szCs w:val="10"/>
                <w:color w:val="auto"/>
              </w:rPr>
              <w:t>Thailand</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25,973</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33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Other [B]</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411,979</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118,153</w:t>
            </w: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407,899</w:t>
            </w: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118,253</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378,785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117,976</w:t>
            </w:r>
          </w:p>
        </w:tc>
        <w:tc>
          <w:tcPr>
            <w:tcW w:w="0" w:type="dxa"/>
            <w:vAlign w:val="bottom"/>
          </w:tcPr>
          <w:p>
            <w:pPr>
              <w:spacing w:after="0"/>
              <w:rPr>
                <w:sz w:val="1"/>
                <w:szCs w:val="1"/>
                <w:color w:val="auto"/>
              </w:rPr>
            </w:pPr>
          </w:p>
        </w:tc>
      </w:tr>
      <w:tr>
        <w:trPr>
          <w:trHeight w:val="117"/>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Asia</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838,394</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420,417</w:t>
            </w: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834,307</w:t>
            </w: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413,708</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832,120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412,104</w:t>
            </w:r>
          </w:p>
        </w:tc>
        <w:tc>
          <w:tcPr>
            <w:tcW w:w="0" w:type="dxa"/>
            <w:vAlign w:val="bottom"/>
          </w:tcPr>
          <w:p>
            <w:pPr>
              <w:spacing w:after="0"/>
              <w:rPr>
                <w:sz w:val="1"/>
                <w:szCs w:val="1"/>
                <w:color w:val="auto"/>
              </w:rPr>
            </w:pPr>
          </w:p>
        </w:tc>
      </w:tr>
      <w:tr>
        <w:trPr>
          <w:trHeight w:val="114"/>
        </w:trPr>
        <w:tc>
          <w:tcPr>
            <w:tcW w:w="3340" w:type="dxa"/>
            <w:vAlign w:val="bottom"/>
          </w:tcPr>
          <w:p>
            <w:pPr>
              <w:spacing w:after="0" w:line="114" w:lineRule="exact"/>
              <w:rPr>
                <w:sz w:val="20"/>
                <w:szCs w:val="20"/>
                <w:color w:val="auto"/>
              </w:rPr>
            </w:pPr>
            <w:r>
              <w:rPr>
                <w:rFonts w:ascii="Arial" w:cs="Arial" w:eastAsia="Arial" w:hAnsi="Arial"/>
                <w:sz w:val="10"/>
                <w:szCs w:val="10"/>
                <w:b w:val="1"/>
                <w:bCs w:val="1"/>
                <w:color w:val="auto"/>
              </w:rPr>
              <w:t>Oceania</w:t>
            </w:r>
          </w:p>
        </w:tc>
        <w:tc>
          <w:tcPr>
            <w:tcW w:w="1740" w:type="dxa"/>
            <w:vAlign w:val="bottom"/>
          </w:tcPr>
          <w:p>
            <w:pPr>
              <w:jc w:val="right"/>
              <w:ind w:right="412"/>
              <w:spacing w:after="0" w:line="114" w:lineRule="exact"/>
              <w:rPr>
                <w:sz w:val="20"/>
                <w:szCs w:val="20"/>
                <w:color w:val="auto"/>
              </w:rPr>
            </w:pPr>
            <w:r>
              <w:rPr>
                <w:rFonts w:ascii="Arial" w:cs="Arial" w:eastAsia="Arial" w:hAnsi="Arial"/>
                <w:sz w:val="10"/>
                <w:szCs w:val="10"/>
                <w:color w:val="auto"/>
              </w:rPr>
              <w:t>—</w:t>
            </w:r>
          </w:p>
        </w:tc>
        <w:tc>
          <w:tcPr>
            <w:tcW w:w="1340" w:type="dxa"/>
            <w:vAlign w:val="bottom"/>
          </w:tcPr>
          <w:p>
            <w:pPr>
              <w:jc w:val="right"/>
              <w:ind w:right="433"/>
              <w:spacing w:after="0" w:line="114" w:lineRule="exact"/>
              <w:rPr>
                <w:sz w:val="20"/>
                <w:szCs w:val="20"/>
                <w:color w:val="auto"/>
              </w:rPr>
            </w:pPr>
            <w:r>
              <w:rPr>
                <w:rFonts w:ascii="Arial" w:cs="Arial" w:eastAsia="Arial" w:hAnsi="Arial"/>
                <w:sz w:val="10"/>
                <w:szCs w:val="10"/>
                <w:color w:val="auto"/>
              </w:rPr>
              <w:t>—</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140"/>
              <w:spacing w:after="0"/>
              <w:rPr>
                <w:sz w:val="20"/>
                <w:szCs w:val="20"/>
                <w:color w:val="auto"/>
              </w:rPr>
            </w:pPr>
            <w:r>
              <w:rPr>
                <w:rFonts w:ascii="Arial" w:cs="Arial" w:eastAsia="Arial" w:hAnsi="Arial"/>
                <w:sz w:val="10"/>
                <w:szCs w:val="10"/>
                <w:color w:val="auto"/>
              </w:rPr>
              <w:t>Australia</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633,580</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20,646</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686,956</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20,840</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648,735</w:t>
            </w:r>
          </w:p>
        </w:tc>
        <w:tc>
          <w:tcPr>
            <w:tcW w:w="1200" w:type="dxa"/>
            <w:vAlign w:val="bottom"/>
          </w:tcPr>
          <w:p>
            <w:pPr>
              <w:jc w:val="right"/>
              <w:spacing w:after="0"/>
              <w:rPr>
                <w:sz w:val="20"/>
                <w:szCs w:val="20"/>
                <w:color w:val="auto"/>
              </w:rPr>
            </w:pPr>
            <w:r>
              <w:rPr>
                <w:rFonts w:ascii="Arial" w:cs="Arial" w:eastAsia="Arial" w:hAnsi="Arial"/>
                <w:sz w:val="10"/>
                <w:szCs w:val="10"/>
                <w:color w:val="auto"/>
              </w:rPr>
              <w:t>18,923</w:t>
            </w:r>
          </w:p>
        </w:tc>
        <w:tc>
          <w:tcPr>
            <w:tcW w:w="0" w:type="dxa"/>
            <w:vAlign w:val="bottom"/>
          </w:tcPr>
          <w:p>
            <w:pPr>
              <w:spacing w:after="0"/>
              <w:rPr>
                <w:sz w:val="1"/>
                <w:szCs w:val="1"/>
                <w:color w:val="auto"/>
              </w:rPr>
            </w:pPr>
          </w:p>
        </w:tc>
      </w:tr>
      <w:tr>
        <w:trPr>
          <w:trHeight w:val="130"/>
        </w:trPr>
        <w:tc>
          <w:tcPr>
            <w:tcW w:w="33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New Zealand</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40,153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Oceania</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633,580</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20,646</w:t>
            </w: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686,956</w:t>
            </w: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20,840</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688,888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18,923</w:t>
            </w:r>
          </w:p>
        </w:tc>
        <w:tc>
          <w:tcPr>
            <w:tcW w:w="0" w:type="dxa"/>
            <w:vAlign w:val="bottom"/>
          </w:tcPr>
          <w:p>
            <w:pPr>
              <w:spacing w:after="0"/>
              <w:rPr>
                <w:sz w:val="1"/>
                <w:szCs w:val="1"/>
                <w:color w:val="auto"/>
              </w:rPr>
            </w:pPr>
          </w:p>
        </w:tc>
      </w:tr>
      <w:tr>
        <w:trPr>
          <w:trHeight w:val="114"/>
        </w:trPr>
        <w:tc>
          <w:tcPr>
            <w:tcW w:w="3340" w:type="dxa"/>
            <w:vAlign w:val="bottom"/>
          </w:tcPr>
          <w:p>
            <w:pPr>
              <w:ind w:left="140"/>
              <w:spacing w:after="0" w:line="114" w:lineRule="exact"/>
              <w:rPr>
                <w:sz w:val="20"/>
                <w:szCs w:val="20"/>
                <w:color w:val="auto"/>
              </w:rPr>
            </w:pPr>
            <w:r>
              <w:rPr>
                <w:rFonts w:ascii="Arial" w:cs="Arial" w:eastAsia="Arial" w:hAnsi="Arial"/>
                <w:sz w:val="10"/>
                <w:szCs w:val="10"/>
                <w:b w:val="1"/>
                <w:bCs w:val="1"/>
                <w:color w:val="auto"/>
              </w:rPr>
              <w:t>Africa</w:t>
            </w:r>
          </w:p>
        </w:tc>
        <w:tc>
          <w:tcPr>
            <w:tcW w:w="1740" w:type="dxa"/>
            <w:vAlign w:val="bottom"/>
          </w:tcPr>
          <w:p>
            <w:pPr>
              <w:jc w:val="right"/>
              <w:ind w:right="412"/>
              <w:spacing w:after="0" w:line="114" w:lineRule="exact"/>
              <w:rPr>
                <w:sz w:val="20"/>
                <w:szCs w:val="20"/>
                <w:color w:val="auto"/>
              </w:rPr>
            </w:pPr>
            <w:r>
              <w:rPr>
                <w:rFonts w:ascii="Arial" w:cs="Arial" w:eastAsia="Arial" w:hAnsi="Arial"/>
                <w:sz w:val="10"/>
                <w:szCs w:val="10"/>
                <w:color w:val="auto"/>
              </w:rPr>
              <w:t>—</w:t>
            </w:r>
          </w:p>
        </w:tc>
        <w:tc>
          <w:tcPr>
            <w:tcW w:w="1340" w:type="dxa"/>
            <w:vAlign w:val="bottom"/>
          </w:tcPr>
          <w:p>
            <w:pPr>
              <w:jc w:val="right"/>
              <w:ind w:right="433"/>
              <w:spacing w:after="0" w:line="114" w:lineRule="exact"/>
              <w:rPr>
                <w:sz w:val="20"/>
                <w:szCs w:val="20"/>
                <w:color w:val="auto"/>
              </w:rPr>
            </w:pPr>
            <w:r>
              <w:rPr>
                <w:rFonts w:ascii="Arial" w:cs="Arial" w:eastAsia="Arial" w:hAnsi="Arial"/>
                <w:sz w:val="10"/>
                <w:szCs w:val="10"/>
                <w:color w:val="auto"/>
              </w:rPr>
              <w:t>—</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140"/>
              <w:spacing w:after="0"/>
              <w:rPr>
                <w:sz w:val="20"/>
                <w:szCs w:val="20"/>
                <w:color w:val="auto"/>
              </w:rPr>
            </w:pPr>
            <w:r>
              <w:rPr>
                <w:rFonts w:ascii="Arial" w:cs="Arial" w:eastAsia="Arial" w:hAnsi="Arial"/>
                <w:sz w:val="10"/>
                <w:szCs w:val="10"/>
                <w:color w:val="auto"/>
              </w:rPr>
              <w:t>Egypt</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104,946</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92,169</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148,721</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340" w:type="dxa"/>
            <w:vAlign w:val="bottom"/>
          </w:tcPr>
          <w:p>
            <w:pPr>
              <w:ind w:left="140"/>
              <w:spacing w:after="0"/>
              <w:rPr>
                <w:sz w:val="20"/>
                <w:szCs w:val="20"/>
                <w:color w:val="auto"/>
              </w:rPr>
            </w:pPr>
            <w:r>
              <w:rPr>
                <w:rFonts w:ascii="Arial" w:cs="Arial" w:eastAsia="Arial" w:hAnsi="Arial"/>
                <w:sz w:val="10"/>
                <w:szCs w:val="10"/>
                <w:color w:val="auto"/>
              </w:rPr>
              <w:t>Nigeria</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190,982</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234,332</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232,899</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33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Other [B]</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27,438</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30,266</w:t>
            </w: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30,669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Africa</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323,366</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356,767</w:t>
            </w: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412,289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4"/>
        </w:trPr>
        <w:tc>
          <w:tcPr>
            <w:tcW w:w="3340" w:type="dxa"/>
            <w:vAlign w:val="bottom"/>
          </w:tcPr>
          <w:p>
            <w:pPr>
              <w:ind w:left="140"/>
              <w:spacing w:after="0" w:line="114" w:lineRule="exact"/>
              <w:rPr>
                <w:sz w:val="20"/>
                <w:szCs w:val="20"/>
                <w:color w:val="auto"/>
              </w:rPr>
            </w:pPr>
            <w:r>
              <w:rPr>
                <w:rFonts w:ascii="Arial" w:cs="Arial" w:eastAsia="Arial" w:hAnsi="Arial"/>
                <w:sz w:val="10"/>
                <w:szCs w:val="10"/>
                <w:b w:val="1"/>
                <w:bCs w:val="1"/>
                <w:color w:val="auto"/>
              </w:rPr>
              <w:t>North America</w:t>
            </w:r>
          </w:p>
        </w:tc>
        <w:tc>
          <w:tcPr>
            <w:tcW w:w="1740" w:type="dxa"/>
            <w:vAlign w:val="bottom"/>
          </w:tcPr>
          <w:p>
            <w:pPr>
              <w:jc w:val="right"/>
              <w:ind w:right="412"/>
              <w:spacing w:after="0" w:line="114" w:lineRule="exact"/>
              <w:rPr>
                <w:sz w:val="20"/>
                <w:szCs w:val="20"/>
                <w:color w:val="auto"/>
              </w:rPr>
            </w:pPr>
            <w:r>
              <w:rPr>
                <w:rFonts w:ascii="Arial" w:cs="Arial" w:eastAsia="Arial" w:hAnsi="Arial"/>
                <w:sz w:val="10"/>
                <w:szCs w:val="10"/>
                <w:color w:val="auto"/>
              </w:rPr>
              <w:t>—</w:t>
            </w:r>
          </w:p>
        </w:tc>
        <w:tc>
          <w:tcPr>
            <w:tcW w:w="1340" w:type="dxa"/>
            <w:vAlign w:val="bottom"/>
          </w:tcPr>
          <w:p>
            <w:pPr>
              <w:jc w:val="right"/>
              <w:ind w:right="433"/>
              <w:spacing w:after="0" w:line="114" w:lineRule="exact"/>
              <w:rPr>
                <w:sz w:val="20"/>
                <w:szCs w:val="20"/>
                <w:color w:val="auto"/>
              </w:rPr>
            </w:pPr>
            <w:r>
              <w:rPr>
                <w:rFonts w:ascii="Arial" w:cs="Arial" w:eastAsia="Arial" w:hAnsi="Arial"/>
                <w:sz w:val="10"/>
                <w:szCs w:val="10"/>
                <w:color w:val="auto"/>
              </w:rPr>
              <w:t>—</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140"/>
              <w:spacing w:after="0"/>
              <w:rPr>
                <w:sz w:val="20"/>
                <w:szCs w:val="20"/>
                <w:color w:val="auto"/>
              </w:rPr>
            </w:pPr>
            <w:r>
              <w:rPr>
                <w:rFonts w:ascii="Arial" w:cs="Arial" w:eastAsia="Arial" w:hAnsi="Arial"/>
                <w:sz w:val="10"/>
                <w:szCs w:val="10"/>
                <w:color w:val="auto"/>
              </w:rPr>
              <w:t>USA</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255,383</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389,130</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355,075</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33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Canada</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164,451</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220,005</w:t>
            </w: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247,890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North America</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419,834</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609,135</w:t>
            </w: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602,965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4"/>
        </w:trPr>
        <w:tc>
          <w:tcPr>
            <w:tcW w:w="3340" w:type="dxa"/>
            <w:vAlign w:val="bottom"/>
          </w:tcPr>
          <w:p>
            <w:pPr>
              <w:spacing w:after="0" w:line="114" w:lineRule="exact"/>
              <w:rPr>
                <w:sz w:val="20"/>
                <w:szCs w:val="20"/>
                <w:color w:val="auto"/>
              </w:rPr>
            </w:pPr>
            <w:r>
              <w:rPr>
                <w:rFonts w:ascii="Arial" w:cs="Arial" w:eastAsia="Arial" w:hAnsi="Arial"/>
                <w:sz w:val="10"/>
                <w:szCs w:val="10"/>
                <w:b w:val="1"/>
                <w:bCs w:val="1"/>
                <w:color w:val="auto"/>
              </w:rPr>
              <w:t>South America</w:t>
            </w:r>
          </w:p>
        </w:tc>
        <w:tc>
          <w:tcPr>
            <w:tcW w:w="1740" w:type="dxa"/>
            <w:vAlign w:val="bottom"/>
          </w:tcPr>
          <w:p>
            <w:pPr>
              <w:jc w:val="right"/>
              <w:ind w:right="412"/>
              <w:spacing w:after="0" w:line="114" w:lineRule="exact"/>
              <w:rPr>
                <w:sz w:val="20"/>
                <w:szCs w:val="20"/>
                <w:color w:val="auto"/>
              </w:rPr>
            </w:pPr>
            <w:r>
              <w:rPr>
                <w:rFonts w:ascii="Arial" w:cs="Arial" w:eastAsia="Arial" w:hAnsi="Arial"/>
                <w:sz w:val="10"/>
                <w:szCs w:val="10"/>
                <w:color w:val="auto"/>
              </w:rPr>
              <w:t>—</w:t>
            </w:r>
          </w:p>
        </w:tc>
        <w:tc>
          <w:tcPr>
            <w:tcW w:w="1340" w:type="dxa"/>
            <w:vAlign w:val="bottom"/>
          </w:tcPr>
          <w:p>
            <w:pPr>
              <w:jc w:val="right"/>
              <w:ind w:right="433"/>
              <w:spacing w:after="0" w:line="114" w:lineRule="exact"/>
              <w:rPr>
                <w:sz w:val="20"/>
                <w:szCs w:val="20"/>
                <w:color w:val="auto"/>
              </w:rPr>
            </w:pPr>
            <w:r>
              <w:rPr>
                <w:rFonts w:ascii="Arial" w:cs="Arial" w:eastAsia="Arial" w:hAnsi="Arial"/>
                <w:sz w:val="10"/>
                <w:szCs w:val="10"/>
                <w:color w:val="auto"/>
              </w:rPr>
              <w:t>—</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140"/>
              <w:spacing w:after="0"/>
              <w:rPr>
                <w:sz w:val="20"/>
                <w:szCs w:val="20"/>
                <w:color w:val="auto"/>
              </w:rPr>
            </w:pPr>
            <w:r>
              <w:rPr>
                <w:rFonts w:ascii="Arial" w:cs="Arial" w:eastAsia="Arial" w:hAnsi="Arial"/>
                <w:sz w:val="10"/>
                <w:szCs w:val="10"/>
                <w:color w:val="auto"/>
              </w:rPr>
              <w:t>Bolivia</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45,015</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48,501</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55,480</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340" w:type="dxa"/>
            <w:vAlign w:val="bottom"/>
          </w:tcPr>
          <w:p>
            <w:pPr>
              <w:ind w:left="140"/>
              <w:spacing w:after="0"/>
              <w:rPr>
                <w:sz w:val="20"/>
                <w:szCs w:val="20"/>
                <w:color w:val="auto"/>
              </w:rPr>
            </w:pPr>
            <w:r>
              <w:rPr>
                <w:rFonts w:ascii="Arial" w:cs="Arial" w:eastAsia="Arial" w:hAnsi="Arial"/>
                <w:sz w:val="10"/>
                <w:szCs w:val="10"/>
                <w:color w:val="auto"/>
              </w:rPr>
              <w:t>Brazil</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73,914</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78,526</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68,865</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340" w:type="dxa"/>
            <w:vAlign w:val="bottom"/>
          </w:tcPr>
          <w:p>
            <w:pPr>
              <w:ind w:left="140"/>
              <w:spacing w:after="0"/>
              <w:rPr>
                <w:sz w:val="20"/>
                <w:szCs w:val="20"/>
                <w:color w:val="auto"/>
              </w:rPr>
            </w:pPr>
            <w:r>
              <w:rPr>
                <w:rFonts w:ascii="Arial" w:cs="Arial" w:eastAsia="Arial" w:hAnsi="Arial"/>
                <w:sz w:val="10"/>
                <w:szCs w:val="10"/>
                <w:color w:val="auto"/>
              </w:rPr>
              <w:t>Trinidad and Tobago</w:t>
            </w:r>
          </w:p>
        </w:tc>
        <w:tc>
          <w:tcPr>
            <w:tcW w:w="1740" w:type="dxa"/>
            <w:vAlign w:val="bottom"/>
          </w:tcPr>
          <w:p>
            <w:pPr>
              <w:jc w:val="right"/>
              <w:ind w:right="412"/>
              <w:spacing w:after="0"/>
              <w:rPr>
                <w:sz w:val="20"/>
                <w:szCs w:val="20"/>
                <w:color w:val="auto"/>
              </w:rPr>
            </w:pPr>
            <w:r>
              <w:rPr>
                <w:rFonts w:ascii="Arial" w:cs="Arial" w:eastAsia="Arial" w:hAnsi="Arial"/>
                <w:sz w:val="10"/>
                <w:szCs w:val="10"/>
                <w:color w:val="auto"/>
              </w:rPr>
              <w:t>141,576</w:t>
            </w:r>
          </w:p>
        </w:tc>
        <w:tc>
          <w:tcPr>
            <w:tcW w:w="134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412"/>
              <w:spacing w:after="0"/>
              <w:rPr>
                <w:sz w:val="20"/>
                <w:szCs w:val="20"/>
                <w:color w:val="auto"/>
              </w:rPr>
            </w:pPr>
            <w:r>
              <w:rPr>
                <w:rFonts w:ascii="Arial" w:cs="Arial" w:eastAsia="Arial" w:hAnsi="Arial"/>
                <w:sz w:val="10"/>
                <w:szCs w:val="10"/>
                <w:color w:val="auto"/>
              </w:rPr>
              <w:t>159,698</w:t>
            </w:r>
          </w:p>
        </w:tc>
        <w:tc>
          <w:tcPr>
            <w:tcW w:w="1360" w:type="dxa"/>
            <w:vAlign w:val="bottom"/>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104,454</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33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Other [B]</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9,609</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830</w:t>
            </w: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8,662</w:t>
            </w: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8,062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South America</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270,114</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830</w:t>
            </w: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295,387</w:t>
            </w: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236,861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2,786,850</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573,541</w:t>
            </w: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3,108,750</w:t>
            </w: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678,834</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3,241,721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702,330</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8" w:hanging="128"/>
        <w:spacing w:after="0"/>
        <w:tabs>
          <w:tab w:leader="none" w:pos="128" w:val="left"/>
        </w:tabs>
        <w:numPr>
          <w:ilvl w:val="0"/>
          <w:numId w:val="28"/>
        </w:numPr>
        <w:rPr>
          <w:rFonts w:ascii="Arial" w:cs="Arial" w:eastAsia="Arial" w:hAnsi="Arial"/>
          <w:sz w:val="7"/>
          <w:szCs w:val="7"/>
          <w:color w:val="auto"/>
        </w:rPr>
      </w:pPr>
      <w:r>
        <w:rPr>
          <w:rFonts w:ascii="Arial" w:cs="Arial" w:eastAsia="Arial" w:hAnsi="Arial"/>
          <w:sz w:val="7"/>
          <w:szCs w:val="7"/>
          <w:color w:val="auto"/>
        </w:rPr>
        <w:t>Reflects 100% of production of subsidiaries except in respect of PSCs, where the figures shown represent the entitlement of the subsidiaries concerned under those contracts.</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28"/>
        </w:numPr>
        <w:rPr>
          <w:rFonts w:ascii="Arial" w:cs="Arial" w:eastAsia="Arial" w:hAnsi="Arial"/>
          <w:sz w:val="7"/>
          <w:szCs w:val="7"/>
          <w:color w:val="auto"/>
        </w:rPr>
      </w:pPr>
      <w:r>
        <w:rPr>
          <w:rFonts w:ascii="Arial" w:cs="Arial" w:eastAsia="Arial" w:hAnsi="Arial"/>
          <w:sz w:val="7"/>
          <w:szCs w:val="7"/>
          <w:color w:val="auto"/>
        </w:rPr>
        <w:t>Comprises countries where 2020 production was lower than 41,795 million scf or where specific disclosures are prohibited.</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49</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67" w:right="299" w:bottom="1440" w:gutter="0" w:footer="0" w:header="0"/>
        </w:sectPr>
      </w:pPr>
    </w:p>
    <w:bookmarkStart w:id="52" w:name="page53"/>
    <w:bookmarkEnd w:id="52"/>
    <w:p>
      <w:pPr>
        <w:spacing w:after="0"/>
        <w:rPr>
          <w:sz w:val="20"/>
          <w:szCs w:val="20"/>
          <w:color w:val="auto"/>
        </w:rPr>
      </w:pPr>
      <w:r>
        <w:rPr>
          <w:rFonts w:ascii="Arial" w:cs="Arial" w:eastAsia="Arial" w:hAnsi="Arial"/>
          <w:sz w:val="11"/>
          <w:szCs w:val="11"/>
          <w:color w:val="auto"/>
        </w:rPr>
        <w:t>AVERAGE REALISED PRICE BY GEOGRAPHICAL AREA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76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Crude oil and natural gas liquids</w:t>
            </w:r>
          </w:p>
        </w:tc>
        <w:tc>
          <w:tcPr>
            <w:tcW w:w="320" w:type="dxa"/>
            <w:vAlign w:val="bottom"/>
            <w:tcBorders>
              <w:top w:val="single" w:sz="8" w:color="CDCDCD"/>
            </w:tcBorders>
          </w:tcPr>
          <w:p>
            <w:pPr>
              <w:spacing w:after="0"/>
              <w:rPr>
                <w:sz w:val="12"/>
                <w:szCs w:val="12"/>
                <w:color w:val="auto"/>
              </w:rPr>
            </w:pPr>
          </w:p>
        </w:tc>
        <w:tc>
          <w:tcPr>
            <w:tcW w:w="180" w:type="dxa"/>
            <w:vAlign w:val="bottom"/>
            <w:tcBorders>
              <w:top w:val="single" w:sz="8" w:color="CDCDCD"/>
            </w:tcBorders>
          </w:tcPr>
          <w:p>
            <w:pPr>
              <w:spacing w:after="0"/>
              <w:rPr>
                <w:sz w:val="12"/>
                <w:szCs w:val="12"/>
                <w:color w:val="auto"/>
              </w:rPr>
            </w:pPr>
          </w:p>
        </w:tc>
        <w:tc>
          <w:tcPr>
            <w:tcW w:w="480" w:type="dxa"/>
            <w:vAlign w:val="bottom"/>
            <w:tcBorders>
              <w:top w:val="single" w:sz="8" w:color="CDCDCD"/>
            </w:tcBorders>
          </w:tcPr>
          <w:p>
            <w:pPr>
              <w:spacing w:after="0"/>
              <w:rPr>
                <w:sz w:val="12"/>
                <w:szCs w:val="12"/>
                <w:color w:val="auto"/>
              </w:rPr>
            </w:pPr>
          </w:p>
        </w:tc>
        <w:tc>
          <w:tcPr>
            <w:tcW w:w="60" w:type="dxa"/>
            <w:vAlign w:val="bottom"/>
            <w:tcBorders>
              <w:top w:val="single" w:sz="8" w:color="CDCDCD"/>
            </w:tcBorders>
          </w:tcPr>
          <w:p>
            <w:pPr>
              <w:spacing w:after="0"/>
              <w:rPr>
                <w:sz w:val="12"/>
                <w:szCs w:val="12"/>
                <w:color w:val="auto"/>
              </w:rPr>
            </w:pPr>
          </w:p>
        </w:tc>
        <w:tc>
          <w:tcPr>
            <w:tcW w:w="500" w:type="dxa"/>
            <w:vAlign w:val="bottom"/>
            <w:tcBorders>
              <w:top w:val="single" w:sz="8" w:color="CDCDCD"/>
            </w:tcBorders>
          </w:tcPr>
          <w:p>
            <w:pPr>
              <w:spacing w:after="0"/>
              <w:rPr>
                <w:sz w:val="12"/>
                <w:szCs w:val="12"/>
                <w:color w:val="auto"/>
              </w:rPr>
            </w:pPr>
          </w:p>
        </w:tc>
        <w:tc>
          <w:tcPr>
            <w:tcW w:w="620" w:type="dxa"/>
            <w:vAlign w:val="bottom"/>
            <w:tcBorders>
              <w:top w:val="single" w:sz="8" w:color="CDCDCD"/>
            </w:tcBorders>
          </w:tcPr>
          <w:p>
            <w:pPr>
              <w:spacing w:after="0"/>
              <w:rPr>
                <w:sz w:val="12"/>
                <w:szCs w:val="12"/>
                <w:color w:val="auto"/>
              </w:rPr>
            </w:pPr>
          </w:p>
        </w:tc>
        <w:tc>
          <w:tcPr>
            <w:tcW w:w="60" w:type="dxa"/>
            <w:vAlign w:val="bottom"/>
            <w:tcBorders>
              <w:top w:val="single" w:sz="8" w:color="CDCDCD"/>
            </w:tcBorders>
          </w:tcPr>
          <w:p>
            <w:pPr>
              <w:spacing w:after="0"/>
              <w:rPr>
                <w:sz w:val="12"/>
                <w:szCs w:val="12"/>
                <w:color w:val="auto"/>
              </w:rPr>
            </w:pPr>
          </w:p>
        </w:tc>
        <w:tc>
          <w:tcPr>
            <w:tcW w:w="80" w:type="dxa"/>
            <w:vAlign w:val="bottom"/>
            <w:tcBorders>
              <w:top w:val="single" w:sz="8" w:color="CDCDCD"/>
            </w:tcBorders>
          </w:tcPr>
          <w:p>
            <w:pPr>
              <w:spacing w:after="0"/>
              <w:rPr>
                <w:sz w:val="12"/>
                <w:szCs w:val="12"/>
                <w:color w:val="auto"/>
              </w:rPr>
            </w:pPr>
          </w:p>
        </w:tc>
        <w:tc>
          <w:tcPr>
            <w:tcW w:w="480" w:type="dxa"/>
            <w:vAlign w:val="bottom"/>
            <w:tcBorders>
              <w:top w:val="single" w:sz="8" w:color="CDCDCD"/>
            </w:tcBorders>
          </w:tcPr>
          <w:p>
            <w:pPr>
              <w:spacing w:after="0"/>
              <w:rPr>
                <w:sz w:val="12"/>
                <w:szCs w:val="12"/>
                <w:color w:val="auto"/>
              </w:rPr>
            </w:pPr>
          </w:p>
        </w:tc>
        <w:tc>
          <w:tcPr>
            <w:tcW w:w="80" w:type="dxa"/>
            <w:vAlign w:val="bottom"/>
            <w:tcBorders>
              <w:top w:val="single" w:sz="8" w:color="CDCDCD"/>
            </w:tcBorders>
          </w:tcPr>
          <w:p>
            <w:pPr>
              <w:spacing w:after="0"/>
              <w:rPr>
                <w:sz w:val="12"/>
                <w:szCs w:val="12"/>
                <w:color w:val="auto"/>
              </w:rPr>
            </w:pPr>
          </w:p>
        </w:tc>
        <w:tc>
          <w:tcPr>
            <w:tcW w:w="480" w:type="dxa"/>
            <w:vAlign w:val="bottom"/>
            <w:tcBorders>
              <w:top w:val="single" w:sz="8" w:color="CDCDCD"/>
            </w:tcBorders>
          </w:tcPr>
          <w:p>
            <w:pPr>
              <w:spacing w:after="0"/>
              <w:rPr>
                <w:sz w:val="12"/>
                <w:szCs w:val="12"/>
                <w:color w:val="auto"/>
              </w:rPr>
            </w:pPr>
          </w:p>
        </w:tc>
        <w:tc>
          <w:tcPr>
            <w:tcW w:w="140" w:type="dxa"/>
            <w:vAlign w:val="bottom"/>
            <w:tcBorders>
              <w:top w:val="single" w:sz="8" w:color="CDCDCD"/>
            </w:tcBorders>
          </w:tcPr>
          <w:p>
            <w:pPr>
              <w:spacing w:after="0"/>
              <w:rPr>
                <w:sz w:val="12"/>
                <w:szCs w:val="12"/>
                <w:color w:val="auto"/>
              </w:rPr>
            </w:pPr>
          </w:p>
        </w:tc>
        <w:tc>
          <w:tcPr>
            <w:tcW w:w="1060" w:type="dxa"/>
            <w:vAlign w:val="bottom"/>
            <w:tcBorders>
              <w:top w:val="single" w:sz="8" w:color="CDCDCD"/>
            </w:tcBorders>
          </w:tcPr>
          <w:p>
            <w:pPr>
              <w:spacing w:after="0"/>
              <w:rPr>
                <w:sz w:val="12"/>
                <w:szCs w:val="12"/>
                <w:color w:val="auto"/>
              </w:rPr>
            </w:pPr>
          </w:p>
        </w:tc>
        <w:tc>
          <w:tcPr>
            <w:tcW w:w="120" w:type="dxa"/>
            <w:vAlign w:val="bottom"/>
            <w:tcBorders>
              <w:top w:val="single" w:sz="8" w:color="CDCDCD"/>
            </w:tcBorders>
          </w:tcPr>
          <w:p>
            <w:pPr>
              <w:spacing w:after="0"/>
              <w:rPr>
                <w:sz w:val="12"/>
                <w:szCs w:val="12"/>
                <w:color w:val="auto"/>
              </w:rPr>
            </w:pPr>
          </w:p>
        </w:tc>
        <w:tc>
          <w:tcPr>
            <w:tcW w:w="320" w:type="dxa"/>
            <w:vAlign w:val="bottom"/>
            <w:tcBorders>
              <w:top w:val="single" w:sz="8" w:color="CDCDCD"/>
            </w:tcBorders>
          </w:tcPr>
          <w:p>
            <w:pPr>
              <w:spacing w:after="0"/>
              <w:rPr>
                <w:sz w:val="12"/>
                <w:szCs w:val="12"/>
                <w:color w:val="auto"/>
              </w:rPr>
            </w:pPr>
          </w:p>
        </w:tc>
        <w:tc>
          <w:tcPr>
            <w:tcW w:w="120" w:type="dxa"/>
            <w:vAlign w:val="bottom"/>
            <w:tcBorders>
              <w:top w:val="single" w:sz="8" w:color="CDCDCD"/>
            </w:tcBorders>
          </w:tcPr>
          <w:p>
            <w:pPr>
              <w:spacing w:after="0"/>
              <w:rPr>
                <w:sz w:val="12"/>
                <w:szCs w:val="12"/>
                <w:color w:val="auto"/>
              </w:rPr>
            </w:pPr>
          </w:p>
        </w:tc>
        <w:tc>
          <w:tcPr>
            <w:tcW w:w="840" w:type="dxa"/>
            <w:vAlign w:val="bottom"/>
            <w:tcBorders>
              <w:top w:val="single" w:sz="8" w:color="CDCDCD"/>
            </w:tcBorders>
          </w:tcPr>
          <w:p>
            <w:pPr>
              <w:spacing w:after="0"/>
              <w:rPr>
                <w:sz w:val="12"/>
                <w:szCs w:val="12"/>
                <w:color w:val="auto"/>
              </w:rPr>
            </w:pPr>
          </w:p>
        </w:tc>
        <w:tc>
          <w:tcPr>
            <w:tcW w:w="1100" w:type="dxa"/>
            <w:vAlign w:val="bottom"/>
            <w:tcBorders>
              <w:top w:val="single" w:sz="8" w:color="CDCDCD"/>
            </w:tcBorders>
          </w:tcPr>
          <w:p>
            <w:pPr>
              <w:spacing w:after="0"/>
              <w:rPr>
                <w:sz w:val="12"/>
                <w:szCs w:val="12"/>
                <w:color w:val="auto"/>
              </w:rPr>
            </w:pPr>
          </w:p>
        </w:tc>
        <w:tc>
          <w:tcPr>
            <w:tcW w:w="120" w:type="dxa"/>
            <w:vAlign w:val="bottom"/>
            <w:tcBorders>
              <w:top w:val="single" w:sz="8" w:color="CDCDCD"/>
            </w:tcBorders>
          </w:tcPr>
          <w:p>
            <w:pPr>
              <w:spacing w:after="0"/>
              <w:rPr>
                <w:sz w:val="12"/>
                <w:szCs w:val="12"/>
                <w:color w:val="auto"/>
              </w:rPr>
            </w:pPr>
          </w:p>
        </w:tc>
        <w:tc>
          <w:tcPr>
            <w:tcW w:w="80" w:type="dxa"/>
            <w:vAlign w:val="bottom"/>
            <w:tcBorders>
              <w:top w:val="single" w:sz="8" w:color="CDCDCD"/>
            </w:tcBorders>
          </w:tcPr>
          <w:p>
            <w:pPr>
              <w:spacing w:after="0"/>
              <w:rPr>
                <w:sz w:val="12"/>
                <w:szCs w:val="12"/>
                <w:color w:val="auto"/>
              </w:rPr>
            </w:pPr>
          </w:p>
        </w:tc>
        <w:tc>
          <w:tcPr>
            <w:tcW w:w="120" w:type="dxa"/>
            <w:vAlign w:val="bottom"/>
            <w:tcBorders>
              <w:top w:val="single" w:sz="8" w:color="CDCDCD"/>
            </w:tcBorders>
          </w:tcPr>
          <w:p>
            <w:pPr>
              <w:spacing w:after="0"/>
              <w:rPr>
                <w:sz w:val="12"/>
                <w:szCs w:val="12"/>
                <w:color w:val="auto"/>
              </w:rPr>
            </w:pPr>
          </w:p>
        </w:tc>
        <w:tc>
          <w:tcPr>
            <w:tcW w:w="1380" w:type="dxa"/>
            <w:vAlign w:val="bottom"/>
            <w:tcBorders>
              <w:top w:val="single" w:sz="8" w:color="CDCDCD"/>
            </w:tcBorders>
          </w:tcPr>
          <w:p>
            <w:pPr>
              <w:spacing w:after="0"/>
              <w:rPr>
                <w:sz w:val="12"/>
                <w:szCs w:val="12"/>
                <w:color w:val="auto"/>
              </w:rPr>
            </w:pPr>
          </w:p>
        </w:tc>
        <w:tc>
          <w:tcPr>
            <w:tcW w:w="800" w:type="dxa"/>
            <w:vAlign w:val="bottom"/>
            <w:tcBorders>
              <w:top w:val="single" w:sz="8" w:color="CDCDCD"/>
            </w:tcBorders>
            <w:gridSpan w:val="2"/>
          </w:tcPr>
          <w:p>
            <w:pPr>
              <w:jc w:val="right"/>
              <w:ind w:right="20"/>
              <w:spacing w:after="0"/>
              <w:rPr>
                <w:sz w:val="20"/>
                <w:szCs w:val="20"/>
                <w:color w:val="auto"/>
              </w:rPr>
            </w:pPr>
            <w:r>
              <w:rPr>
                <w:rFonts w:ascii="Arial" w:cs="Arial" w:eastAsia="Arial" w:hAnsi="Arial"/>
                <w:sz w:val="10"/>
                <w:szCs w:val="10"/>
                <w:color w:val="auto"/>
              </w:rPr>
              <w:t>$/barrel</w:t>
            </w:r>
          </w:p>
        </w:tc>
        <w:tc>
          <w:tcPr>
            <w:tcW w:w="0" w:type="dxa"/>
            <w:vAlign w:val="bottom"/>
          </w:tcPr>
          <w:p>
            <w:pPr>
              <w:spacing w:after="0"/>
              <w:rPr>
                <w:sz w:val="1"/>
                <w:szCs w:val="1"/>
                <w:color w:val="auto"/>
              </w:rPr>
            </w:pPr>
          </w:p>
        </w:tc>
      </w:tr>
      <w:tr>
        <w:trPr>
          <w:trHeight w:val="116"/>
        </w:trPr>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8"/>
                <w:szCs w:val="8"/>
                <w:color w:val="auto"/>
              </w:rPr>
              <w:t>2020</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8"/>
                <w:szCs w:val="8"/>
                <w:color w:val="auto"/>
              </w:rPr>
              <w:t>2019</w:t>
            </w:r>
          </w:p>
        </w:tc>
        <w:tc>
          <w:tcPr>
            <w:tcW w:w="8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jc w:val="right"/>
              <w:ind w:right="578"/>
              <w:spacing w:after="0"/>
              <w:rPr>
                <w:sz w:val="20"/>
                <w:szCs w:val="20"/>
                <w:color w:val="auto"/>
              </w:rPr>
            </w:pPr>
            <w:r>
              <w:rPr>
                <w:rFonts w:ascii="Arial" w:cs="Arial" w:eastAsia="Arial" w:hAnsi="Arial"/>
                <w:sz w:val="8"/>
                <w:szCs w:val="8"/>
                <w:color w:val="auto"/>
              </w:rPr>
              <w:t>2018</w:t>
            </w: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gridSpan w:val="2"/>
            <w:vMerge w:val="restart"/>
          </w:tcPr>
          <w:p>
            <w:pPr>
              <w:jc w:val="right"/>
              <w:ind w:right="420"/>
              <w:spacing w:after="0"/>
              <w:rPr>
                <w:sz w:val="20"/>
                <w:szCs w:val="20"/>
                <w:color w:val="auto"/>
              </w:rPr>
            </w:pPr>
            <w:r>
              <w:rPr>
                <w:rFonts w:ascii="Arial" w:cs="Arial" w:eastAsia="Arial" w:hAnsi="Arial"/>
                <w:sz w:val="8"/>
                <w:szCs w:val="8"/>
                <w:color w:val="auto"/>
              </w:rPr>
              <w:t>Shell</w:t>
            </w: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gridSpan w:val="2"/>
          </w:tcPr>
          <w:p>
            <w:pPr>
              <w:jc w:val="right"/>
              <w:spacing w:after="0" w:line="76" w:lineRule="exact"/>
              <w:rPr>
                <w:sz w:val="20"/>
                <w:szCs w:val="20"/>
                <w:color w:val="auto"/>
              </w:rPr>
            </w:pPr>
            <w:r>
              <w:rPr>
                <w:rFonts w:ascii="Arial" w:cs="Arial" w:eastAsia="Arial" w:hAnsi="Arial"/>
                <w:sz w:val="8"/>
                <w:szCs w:val="8"/>
                <w:color w:val="auto"/>
              </w:rPr>
              <w:t>Shell share of</w:t>
            </w: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gridSpan w:val="2"/>
            <w:vMerge w:val="restart"/>
          </w:tcPr>
          <w:p>
            <w:pPr>
              <w:jc w:val="right"/>
              <w:ind w:right="180"/>
              <w:spacing w:after="0"/>
              <w:rPr>
                <w:sz w:val="20"/>
                <w:szCs w:val="20"/>
                <w:color w:val="auto"/>
              </w:rPr>
            </w:pPr>
            <w:r>
              <w:rPr>
                <w:rFonts w:ascii="Arial" w:cs="Arial" w:eastAsia="Arial" w:hAnsi="Arial"/>
                <w:sz w:val="8"/>
                <w:szCs w:val="8"/>
                <w:color w:val="auto"/>
              </w:rPr>
              <w:t>Shell</w:t>
            </w:r>
          </w:p>
        </w:tc>
        <w:tc>
          <w:tcPr>
            <w:tcW w:w="840" w:type="dxa"/>
            <w:vAlign w:val="bottom"/>
          </w:tcPr>
          <w:p>
            <w:pPr>
              <w:spacing w:after="0"/>
              <w:rPr>
                <w:sz w:val="6"/>
                <w:szCs w:val="6"/>
                <w:color w:val="auto"/>
              </w:rPr>
            </w:pPr>
          </w:p>
        </w:tc>
        <w:tc>
          <w:tcPr>
            <w:tcW w:w="1300" w:type="dxa"/>
            <w:vAlign w:val="bottom"/>
            <w:gridSpan w:val="3"/>
          </w:tcPr>
          <w:p>
            <w:pPr>
              <w:jc w:val="right"/>
              <w:ind w:right="820"/>
              <w:spacing w:after="0" w:line="76" w:lineRule="exact"/>
              <w:rPr>
                <w:sz w:val="20"/>
                <w:szCs w:val="20"/>
                <w:color w:val="auto"/>
              </w:rPr>
            </w:pPr>
            <w:r>
              <w:rPr>
                <w:rFonts w:ascii="Arial" w:cs="Arial" w:eastAsia="Arial" w:hAnsi="Arial"/>
                <w:sz w:val="8"/>
                <w:szCs w:val="8"/>
                <w:color w:val="auto"/>
                <w:w w:val="93"/>
              </w:rPr>
              <w:t>Shell share of</w:t>
            </w:r>
          </w:p>
        </w:tc>
        <w:tc>
          <w:tcPr>
            <w:tcW w:w="120" w:type="dxa"/>
            <w:vAlign w:val="bottom"/>
          </w:tcPr>
          <w:p>
            <w:pPr>
              <w:spacing w:after="0"/>
              <w:rPr>
                <w:sz w:val="6"/>
                <w:szCs w:val="6"/>
                <w:color w:val="auto"/>
              </w:rPr>
            </w:pPr>
          </w:p>
        </w:tc>
        <w:tc>
          <w:tcPr>
            <w:tcW w:w="1380" w:type="dxa"/>
            <w:vAlign w:val="bottom"/>
            <w:vMerge w:val="restart"/>
          </w:tcPr>
          <w:p>
            <w:pPr>
              <w:jc w:val="right"/>
              <w:ind w:right="658"/>
              <w:spacing w:after="0"/>
              <w:rPr>
                <w:sz w:val="20"/>
                <w:szCs w:val="20"/>
                <w:color w:val="auto"/>
              </w:rPr>
            </w:pPr>
            <w:r>
              <w:rPr>
                <w:rFonts w:ascii="Arial" w:cs="Arial" w:eastAsia="Arial" w:hAnsi="Arial"/>
                <w:sz w:val="8"/>
                <w:szCs w:val="8"/>
                <w:color w:val="auto"/>
              </w:rPr>
              <w:t>Shell</w:t>
            </w:r>
          </w:p>
        </w:tc>
        <w:tc>
          <w:tcPr>
            <w:tcW w:w="800" w:type="dxa"/>
            <w:vAlign w:val="bottom"/>
            <w:gridSpan w:val="2"/>
          </w:tcPr>
          <w:p>
            <w:pPr>
              <w:jc w:val="right"/>
              <w:ind w:right="20"/>
              <w:spacing w:after="0" w:line="76" w:lineRule="exact"/>
              <w:rPr>
                <w:sz w:val="20"/>
                <w:szCs w:val="20"/>
                <w:color w:val="auto"/>
              </w:rPr>
            </w:pPr>
            <w:r>
              <w:rPr>
                <w:rFonts w:ascii="Arial" w:cs="Arial" w:eastAsia="Arial" w:hAnsi="Arial"/>
                <w:sz w:val="8"/>
                <w:szCs w:val="8"/>
                <w:color w:val="auto"/>
              </w:rPr>
              <w:t>Shell share of</w:t>
            </w:r>
          </w:p>
        </w:tc>
        <w:tc>
          <w:tcPr>
            <w:tcW w:w="0" w:type="dxa"/>
            <w:vAlign w:val="bottom"/>
          </w:tcPr>
          <w:p>
            <w:pPr>
              <w:spacing w:after="0"/>
              <w:rPr>
                <w:sz w:val="1"/>
                <w:szCs w:val="1"/>
                <w:color w:val="auto"/>
              </w:rPr>
            </w:pPr>
          </w:p>
        </w:tc>
      </w:tr>
      <w:tr>
        <w:trPr>
          <w:trHeight w:val="81"/>
        </w:trPr>
        <w:tc>
          <w:tcPr>
            <w:tcW w:w="1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gridSpan w:val="2"/>
          </w:tcPr>
          <w:p>
            <w:pPr>
              <w:jc w:val="right"/>
              <w:spacing w:after="0" w:line="81" w:lineRule="exact"/>
              <w:rPr>
                <w:sz w:val="20"/>
                <w:szCs w:val="20"/>
                <w:color w:val="auto"/>
              </w:rPr>
            </w:pPr>
            <w:r>
              <w:rPr>
                <w:rFonts w:ascii="Arial" w:cs="Arial" w:eastAsia="Arial" w:hAnsi="Arial"/>
                <w:sz w:val="8"/>
                <w:szCs w:val="8"/>
                <w:color w:val="auto"/>
              </w:rPr>
              <w:t>joint ventures</w:t>
            </w: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gridSpan w:val="3"/>
          </w:tcPr>
          <w:p>
            <w:pPr>
              <w:jc w:val="right"/>
              <w:ind w:right="820"/>
              <w:spacing w:after="0" w:line="81" w:lineRule="exact"/>
              <w:rPr>
                <w:sz w:val="20"/>
                <w:szCs w:val="20"/>
                <w:color w:val="auto"/>
              </w:rPr>
            </w:pPr>
            <w:r>
              <w:rPr>
                <w:rFonts w:ascii="Arial" w:cs="Arial" w:eastAsia="Arial" w:hAnsi="Arial"/>
                <w:sz w:val="8"/>
                <w:szCs w:val="8"/>
                <w:color w:val="auto"/>
                <w:w w:val="96"/>
              </w:rPr>
              <w:t>joint ventures</w:t>
            </w:r>
          </w:p>
        </w:tc>
        <w:tc>
          <w:tcPr>
            <w:tcW w:w="1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800" w:type="dxa"/>
            <w:vAlign w:val="bottom"/>
            <w:gridSpan w:val="2"/>
          </w:tcPr>
          <w:p>
            <w:pPr>
              <w:jc w:val="right"/>
              <w:ind w:right="20"/>
              <w:spacing w:after="0" w:line="81" w:lineRule="exact"/>
              <w:rPr>
                <w:sz w:val="20"/>
                <w:szCs w:val="20"/>
                <w:color w:val="auto"/>
              </w:rPr>
            </w:pPr>
            <w:r>
              <w:rPr>
                <w:rFonts w:ascii="Arial" w:cs="Arial" w:eastAsia="Arial" w:hAnsi="Arial"/>
                <w:sz w:val="8"/>
                <w:szCs w:val="8"/>
                <w:color w:val="auto"/>
              </w:rPr>
              <w:t>joint ventures</w:t>
            </w:r>
          </w:p>
        </w:tc>
        <w:tc>
          <w:tcPr>
            <w:tcW w:w="0" w:type="dxa"/>
            <w:vAlign w:val="bottom"/>
          </w:tcPr>
          <w:p>
            <w:pPr>
              <w:spacing w:after="0"/>
              <w:rPr>
                <w:sz w:val="1"/>
                <w:szCs w:val="1"/>
                <w:color w:val="auto"/>
              </w:rPr>
            </w:pPr>
          </w:p>
        </w:tc>
      </w:tr>
      <w:tr>
        <w:trPr>
          <w:trHeight w:val="111"/>
        </w:trPr>
        <w:tc>
          <w:tcPr>
            <w:tcW w:w="17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8"/>
                <w:szCs w:val="8"/>
                <w:color w:val="auto"/>
              </w:rPr>
              <w:t>subsidiaries</w:t>
            </w: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w w:val="93"/>
              </w:rPr>
              <w:t>and associates</w:t>
            </w:r>
          </w:p>
        </w:tc>
        <w:tc>
          <w:tcPr>
            <w:tcW w:w="1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8"/>
                <w:szCs w:val="8"/>
                <w:color w:val="auto"/>
              </w:rPr>
              <w:t>subsidiaries</w:t>
            </w:r>
          </w:p>
        </w:tc>
        <w:tc>
          <w:tcPr>
            <w:tcW w:w="8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8"/>
                <w:szCs w:val="8"/>
                <w:color w:val="auto"/>
                <w:w w:val="86"/>
              </w:rPr>
              <w:t>and associates</w:t>
            </w: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jc w:val="right"/>
              <w:ind w:right="658"/>
              <w:spacing w:after="0"/>
              <w:rPr>
                <w:sz w:val="20"/>
                <w:szCs w:val="20"/>
                <w:color w:val="auto"/>
              </w:rPr>
            </w:pPr>
            <w:r>
              <w:rPr>
                <w:rFonts w:ascii="Arial" w:cs="Arial" w:eastAsia="Arial" w:hAnsi="Arial"/>
                <w:sz w:val="8"/>
                <w:szCs w:val="8"/>
                <w:color w:val="auto"/>
              </w:rPr>
              <w:t>subsidiaries</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8"/>
                <w:szCs w:val="8"/>
                <w:color w:val="auto"/>
              </w:rPr>
              <w:t>and associates</w:t>
            </w:r>
          </w:p>
        </w:tc>
        <w:tc>
          <w:tcPr>
            <w:tcW w:w="0" w:type="dxa"/>
            <w:vAlign w:val="bottom"/>
          </w:tcPr>
          <w:p>
            <w:pPr>
              <w:spacing w:after="0"/>
              <w:rPr>
                <w:sz w:val="1"/>
                <w:szCs w:val="1"/>
                <w:color w:val="auto"/>
              </w:rPr>
            </w:pPr>
          </w:p>
        </w:tc>
      </w:tr>
      <w:tr>
        <w:trPr>
          <w:trHeight w:val="116"/>
        </w:trPr>
        <w:tc>
          <w:tcPr>
            <w:tcW w:w="1760" w:type="dxa"/>
            <w:vAlign w:val="bottom"/>
          </w:tcPr>
          <w:p>
            <w:pPr>
              <w:spacing w:after="0"/>
              <w:rPr>
                <w:sz w:val="20"/>
                <w:szCs w:val="20"/>
                <w:color w:val="auto"/>
              </w:rPr>
            </w:pPr>
            <w:r>
              <w:rPr>
                <w:rFonts w:ascii="Arial" w:cs="Arial" w:eastAsia="Arial" w:hAnsi="Arial"/>
                <w:sz w:val="10"/>
                <w:szCs w:val="10"/>
                <w:color w:val="auto"/>
              </w:rPr>
              <w:t>Europe</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39.51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gridSpan w:val="2"/>
          </w:tcPr>
          <w:p>
            <w:pPr>
              <w:jc w:val="right"/>
              <w:ind w:right="35"/>
              <w:spacing w:after="0"/>
              <w:rPr>
                <w:sz w:val="20"/>
                <w:szCs w:val="20"/>
                <w:color w:val="auto"/>
              </w:rPr>
            </w:pPr>
            <w:r>
              <w:rPr>
                <w:rFonts w:ascii="Arial" w:cs="Arial" w:eastAsia="Arial" w:hAnsi="Arial"/>
                <w:sz w:val="10"/>
                <w:szCs w:val="10"/>
                <w:color w:val="auto"/>
              </w:rPr>
              <w:t>39.05</w:t>
            </w:r>
          </w:p>
        </w:tc>
        <w:tc>
          <w:tcPr>
            <w:tcW w:w="1640" w:type="dxa"/>
            <w:vAlign w:val="bottom"/>
            <w:gridSpan w:val="4"/>
          </w:tcPr>
          <w:p>
            <w:pPr>
              <w:jc w:val="center"/>
              <w:ind w:left="1194"/>
              <w:spacing w:after="0"/>
              <w:rPr>
                <w:sz w:val="20"/>
                <w:szCs w:val="20"/>
                <w:color w:val="auto"/>
              </w:rPr>
            </w:pPr>
            <w:r>
              <w:rPr>
                <w:rFonts w:ascii="Arial" w:cs="Arial" w:eastAsia="Arial" w:hAnsi="Arial"/>
                <w:sz w:val="10"/>
                <w:szCs w:val="10"/>
                <w:color w:val="auto"/>
                <w:w w:val="79"/>
              </w:rPr>
              <w:t>65.11</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jc w:val="right"/>
              <w:ind w:right="614"/>
              <w:spacing w:after="0"/>
              <w:rPr>
                <w:sz w:val="20"/>
                <w:szCs w:val="20"/>
                <w:color w:val="auto"/>
              </w:rPr>
            </w:pPr>
            <w:r>
              <w:rPr>
                <w:rFonts w:ascii="Arial" w:cs="Arial" w:eastAsia="Arial" w:hAnsi="Arial"/>
                <w:sz w:val="10"/>
                <w:szCs w:val="10"/>
                <w:color w:val="auto"/>
              </w:rPr>
              <w:t>58.08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tcPr>
          <w:p>
            <w:pPr>
              <w:jc w:val="right"/>
              <w:ind w:right="698"/>
              <w:spacing w:after="0"/>
              <w:rPr>
                <w:sz w:val="20"/>
                <w:szCs w:val="20"/>
                <w:color w:val="auto"/>
              </w:rPr>
            </w:pPr>
            <w:r>
              <w:rPr>
                <w:rFonts w:ascii="Arial" w:cs="Arial" w:eastAsia="Arial" w:hAnsi="Arial"/>
                <w:sz w:val="10"/>
                <w:szCs w:val="10"/>
                <w:color w:val="auto"/>
              </w:rPr>
              <w:t>68.23</w:t>
            </w:r>
          </w:p>
        </w:tc>
        <w:tc>
          <w:tcPr>
            <w:tcW w:w="760" w:type="dxa"/>
            <w:vAlign w:val="bottom"/>
          </w:tcPr>
          <w:p>
            <w:pPr>
              <w:jc w:val="right"/>
              <w:spacing w:after="0"/>
              <w:rPr>
                <w:sz w:val="20"/>
                <w:szCs w:val="20"/>
                <w:color w:val="auto"/>
              </w:rPr>
            </w:pPr>
            <w:r>
              <w:rPr>
                <w:rFonts w:ascii="Arial" w:cs="Arial" w:eastAsia="Arial" w:hAnsi="Arial"/>
                <w:sz w:val="10"/>
                <w:szCs w:val="10"/>
                <w:color w:val="auto"/>
              </w:rPr>
              <w:t>64.24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760" w:type="dxa"/>
            <w:vAlign w:val="bottom"/>
          </w:tcPr>
          <w:p>
            <w:pPr>
              <w:spacing w:after="0"/>
              <w:rPr>
                <w:sz w:val="20"/>
                <w:szCs w:val="20"/>
                <w:color w:val="auto"/>
              </w:rPr>
            </w:pPr>
            <w:r>
              <w:rPr>
                <w:rFonts w:ascii="Arial" w:cs="Arial" w:eastAsia="Arial" w:hAnsi="Arial"/>
                <w:sz w:val="10"/>
                <w:szCs w:val="10"/>
                <w:color w:val="auto"/>
              </w:rPr>
              <w:t>Asia</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38.73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gridSpan w:val="2"/>
          </w:tcPr>
          <w:p>
            <w:pPr>
              <w:jc w:val="right"/>
              <w:ind w:right="35"/>
              <w:spacing w:after="0"/>
              <w:rPr>
                <w:sz w:val="20"/>
                <w:szCs w:val="20"/>
                <w:color w:val="auto"/>
              </w:rPr>
            </w:pPr>
            <w:r>
              <w:rPr>
                <w:rFonts w:ascii="Arial" w:cs="Arial" w:eastAsia="Arial" w:hAnsi="Arial"/>
                <w:sz w:val="10"/>
                <w:szCs w:val="10"/>
                <w:color w:val="auto"/>
              </w:rPr>
              <w:t>42.51</w:t>
            </w:r>
          </w:p>
        </w:tc>
        <w:tc>
          <w:tcPr>
            <w:tcW w:w="1640" w:type="dxa"/>
            <w:vAlign w:val="bottom"/>
            <w:gridSpan w:val="4"/>
          </w:tcPr>
          <w:p>
            <w:pPr>
              <w:jc w:val="center"/>
              <w:ind w:left="1194"/>
              <w:spacing w:after="0"/>
              <w:rPr>
                <w:sz w:val="20"/>
                <w:szCs w:val="20"/>
                <w:color w:val="auto"/>
              </w:rPr>
            </w:pPr>
            <w:r>
              <w:rPr>
                <w:rFonts w:ascii="Arial" w:cs="Arial" w:eastAsia="Arial" w:hAnsi="Arial"/>
                <w:sz w:val="10"/>
                <w:szCs w:val="10"/>
                <w:color w:val="auto"/>
                <w:w w:val="79"/>
              </w:rPr>
              <w:t>58.16</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jc w:val="right"/>
              <w:ind w:right="614"/>
              <w:spacing w:after="0"/>
              <w:rPr>
                <w:sz w:val="20"/>
                <w:szCs w:val="20"/>
                <w:color w:val="auto"/>
              </w:rPr>
            </w:pPr>
            <w:r>
              <w:rPr>
                <w:rFonts w:ascii="Arial" w:cs="Arial" w:eastAsia="Arial" w:hAnsi="Arial"/>
                <w:sz w:val="10"/>
                <w:szCs w:val="10"/>
                <w:color w:val="auto"/>
              </w:rPr>
              <w:t>65.25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tcPr>
          <w:p>
            <w:pPr>
              <w:jc w:val="right"/>
              <w:ind w:right="698"/>
              <w:spacing w:after="0"/>
              <w:rPr>
                <w:sz w:val="20"/>
                <w:szCs w:val="20"/>
                <w:color w:val="auto"/>
              </w:rPr>
            </w:pPr>
            <w:r>
              <w:rPr>
                <w:rFonts w:ascii="Arial" w:cs="Arial" w:eastAsia="Arial" w:hAnsi="Arial"/>
                <w:sz w:val="10"/>
                <w:szCs w:val="10"/>
                <w:color w:val="auto"/>
              </w:rPr>
              <w:t>64.06</w:t>
            </w:r>
          </w:p>
        </w:tc>
        <w:tc>
          <w:tcPr>
            <w:tcW w:w="760" w:type="dxa"/>
            <w:vAlign w:val="bottom"/>
          </w:tcPr>
          <w:p>
            <w:pPr>
              <w:jc w:val="right"/>
              <w:spacing w:after="0"/>
              <w:rPr>
                <w:sz w:val="20"/>
                <w:szCs w:val="20"/>
                <w:color w:val="auto"/>
              </w:rPr>
            </w:pPr>
            <w:r>
              <w:rPr>
                <w:rFonts w:ascii="Arial" w:cs="Arial" w:eastAsia="Arial" w:hAnsi="Arial"/>
                <w:sz w:val="10"/>
                <w:szCs w:val="10"/>
                <w:color w:val="auto"/>
              </w:rPr>
              <w:t>70.66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20"/>
                <w:szCs w:val="20"/>
                <w:color w:val="auto"/>
              </w:rPr>
            </w:pPr>
            <w:r>
              <w:rPr>
                <w:rFonts w:ascii="Arial" w:cs="Arial" w:eastAsia="Arial" w:hAnsi="Arial"/>
                <w:sz w:val="10"/>
                <w:szCs w:val="10"/>
                <w:color w:val="auto"/>
              </w:rPr>
              <w:t>Oceania</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21.29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left="195"/>
              <w:spacing w:after="0"/>
              <w:rPr>
                <w:sz w:val="20"/>
                <w:szCs w:val="20"/>
                <w:color w:val="auto"/>
              </w:rPr>
            </w:pPr>
            <w:r>
              <w:rPr>
                <w:rFonts w:ascii="Arial" w:cs="Arial" w:eastAsia="Arial" w:hAnsi="Arial"/>
                <w:sz w:val="10"/>
                <w:szCs w:val="10"/>
                <w:color w:val="auto"/>
                <w:w w:val="79"/>
              </w:rPr>
              <w:t>—</w:t>
            </w:r>
          </w:p>
        </w:tc>
        <w:tc>
          <w:tcPr>
            <w:tcW w:w="1640" w:type="dxa"/>
            <w:vAlign w:val="bottom"/>
            <w:gridSpan w:val="4"/>
          </w:tcPr>
          <w:p>
            <w:pPr>
              <w:jc w:val="center"/>
              <w:ind w:left="1194"/>
              <w:spacing w:after="0"/>
              <w:rPr>
                <w:sz w:val="20"/>
                <w:szCs w:val="20"/>
                <w:color w:val="auto"/>
              </w:rPr>
            </w:pPr>
            <w:r>
              <w:rPr>
                <w:rFonts w:ascii="Arial" w:cs="Arial" w:eastAsia="Arial" w:hAnsi="Arial"/>
                <w:sz w:val="10"/>
                <w:szCs w:val="10"/>
                <w:color w:val="auto"/>
                <w:w w:val="79"/>
              </w:rPr>
              <w:t>51.51</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gridSpan w:val="3"/>
          </w:tcPr>
          <w:p>
            <w:pPr>
              <w:jc w:val="right"/>
              <w:ind w:right="860"/>
              <w:spacing w:after="0"/>
              <w:rPr>
                <w:sz w:val="20"/>
                <w:szCs w:val="20"/>
                <w:color w:val="auto"/>
              </w:rPr>
            </w:pPr>
            <w:r>
              <w:rPr>
                <w:rFonts w:ascii="Arial" w:cs="Arial" w:eastAsia="Arial" w:hAnsi="Arial"/>
                <w:sz w:val="10"/>
                <w:szCs w:val="10"/>
                <w:color w:val="auto"/>
              </w:rPr>
              <w:t>—</w:t>
            </w:r>
          </w:p>
        </w:tc>
        <w:tc>
          <w:tcPr>
            <w:tcW w:w="1500" w:type="dxa"/>
            <w:vAlign w:val="bottom"/>
            <w:gridSpan w:val="2"/>
          </w:tcPr>
          <w:p>
            <w:pPr>
              <w:jc w:val="right"/>
              <w:ind w:right="698"/>
              <w:spacing w:after="0"/>
              <w:rPr>
                <w:sz w:val="20"/>
                <w:szCs w:val="20"/>
                <w:color w:val="auto"/>
              </w:rPr>
            </w:pPr>
            <w:r>
              <w:rPr>
                <w:rFonts w:ascii="Arial" w:cs="Arial" w:eastAsia="Arial" w:hAnsi="Arial"/>
                <w:sz w:val="10"/>
                <w:szCs w:val="10"/>
                <w:color w:val="auto"/>
              </w:rPr>
              <w:t>61.63</w:t>
            </w: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1760" w:type="dxa"/>
            <w:vAlign w:val="bottom"/>
          </w:tcPr>
          <w:p>
            <w:pPr>
              <w:spacing w:after="0"/>
              <w:rPr>
                <w:sz w:val="20"/>
                <w:szCs w:val="20"/>
                <w:color w:val="auto"/>
              </w:rPr>
            </w:pPr>
            <w:r>
              <w:rPr>
                <w:rFonts w:ascii="Arial" w:cs="Arial" w:eastAsia="Arial" w:hAnsi="Arial"/>
                <w:sz w:val="10"/>
                <w:szCs w:val="10"/>
                <w:color w:val="auto"/>
              </w:rPr>
              <w:t>Africa</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41.23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left="195"/>
              <w:spacing w:after="0"/>
              <w:rPr>
                <w:sz w:val="20"/>
                <w:szCs w:val="20"/>
                <w:color w:val="auto"/>
              </w:rPr>
            </w:pPr>
            <w:r>
              <w:rPr>
                <w:rFonts w:ascii="Arial" w:cs="Arial" w:eastAsia="Arial" w:hAnsi="Arial"/>
                <w:sz w:val="10"/>
                <w:szCs w:val="10"/>
                <w:color w:val="auto"/>
                <w:w w:val="79"/>
              </w:rPr>
              <w:t>—</w:t>
            </w:r>
          </w:p>
        </w:tc>
        <w:tc>
          <w:tcPr>
            <w:tcW w:w="1640" w:type="dxa"/>
            <w:vAlign w:val="bottom"/>
            <w:gridSpan w:val="4"/>
          </w:tcPr>
          <w:p>
            <w:pPr>
              <w:jc w:val="center"/>
              <w:ind w:left="1194"/>
              <w:spacing w:after="0"/>
              <w:rPr>
                <w:sz w:val="20"/>
                <w:szCs w:val="20"/>
                <w:color w:val="auto"/>
              </w:rPr>
            </w:pPr>
            <w:r>
              <w:rPr>
                <w:rFonts w:ascii="Arial" w:cs="Arial" w:eastAsia="Arial" w:hAnsi="Arial"/>
                <w:sz w:val="10"/>
                <w:szCs w:val="10"/>
                <w:color w:val="auto"/>
                <w:w w:val="79"/>
              </w:rPr>
              <w:t>65.39</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gridSpan w:val="3"/>
          </w:tcPr>
          <w:p>
            <w:pPr>
              <w:jc w:val="right"/>
              <w:ind w:right="860"/>
              <w:spacing w:after="0"/>
              <w:rPr>
                <w:sz w:val="20"/>
                <w:szCs w:val="20"/>
                <w:color w:val="auto"/>
              </w:rPr>
            </w:pPr>
            <w:r>
              <w:rPr>
                <w:rFonts w:ascii="Arial" w:cs="Arial" w:eastAsia="Arial" w:hAnsi="Arial"/>
                <w:sz w:val="10"/>
                <w:szCs w:val="10"/>
                <w:color w:val="auto"/>
              </w:rPr>
              <w:t>—</w:t>
            </w:r>
          </w:p>
        </w:tc>
        <w:tc>
          <w:tcPr>
            <w:tcW w:w="1500" w:type="dxa"/>
            <w:vAlign w:val="bottom"/>
            <w:gridSpan w:val="2"/>
          </w:tcPr>
          <w:p>
            <w:pPr>
              <w:jc w:val="right"/>
              <w:ind w:right="698"/>
              <w:spacing w:after="0"/>
              <w:rPr>
                <w:sz w:val="20"/>
                <w:szCs w:val="20"/>
                <w:color w:val="auto"/>
              </w:rPr>
            </w:pPr>
            <w:r>
              <w:rPr>
                <w:rFonts w:ascii="Arial" w:cs="Arial" w:eastAsia="Arial" w:hAnsi="Arial"/>
                <w:sz w:val="10"/>
                <w:szCs w:val="10"/>
                <w:color w:val="auto"/>
              </w:rPr>
              <w:t>71.02</w:t>
            </w: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1760" w:type="dxa"/>
            <w:vAlign w:val="bottom"/>
          </w:tcPr>
          <w:p>
            <w:pPr>
              <w:spacing w:after="0"/>
              <w:rPr>
                <w:sz w:val="20"/>
                <w:szCs w:val="20"/>
                <w:color w:val="auto"/>
              </w:rPr>
            </w:pPr>
            <w:r>
              <w:rPr>
                <w:rFonts w:ascii="Arial" w:cs="Arial" w:eastAsia="Arial" w:hAnsi="Arial"/>
                <w:sz w:val="10"/>
                <w:szCs w:val="10"/>
                <w:color w:val="auto"/>
              </w:rPr>
              <w:t>North America - USA</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34.17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left="195"/>
              <w:spacing w:after="0"/>
              <w:rPr>
                <w:sz w:val="20"/>
                <w:szCs w:val="20"/>
                <w:color w:val="auto"/>
              </w:rPr>
            </w:pPr>
            <w:r>
              <w:rPr>
                <w:rFonts w:ascii="Arial" w:cs="Arial" w:eastAsia="Arial" w:hAnsi="Arial"/>
                <w:sz w:val="10"/>
                <w:szCs w:val="10"/>
                <w:color w:val="auto"/>
                <w:w w:val="79"/>
              </w:rPr>
              <w:t>—</w:t>
            </w:r>
          </w:p>
        </w:tc>
        <w:tc>
          <w:tcPr>
            <w:tcW w:w="1640" w:type="dxa"/>
            <w:vAlign w:val="bottom"/>
            <w:gridSpan w:val="4"/>
          </w:tcPr>
          <w:p>
            <w:pPr>
              <w:jc w:val="center"/>
              <w:ind w:left="1194"/>
              <w:spacing w:after="0"/>
              <w:rPr>
                <w:sz w:val="20"/>
                <w:szCs w:val="20"/>
                <w:color w:val="auto"/>
              </w:rPr>
            </w:pPr>
            <w:r>
              <w:rPr>
                <w:rFonts w:ascii="Arial" w:cs="Arial" w:eastAsia="Arial" w:hAnsi="Arial"/>
                <w:sz w:val="10"/>
                <w:szCs w:val="10"/>
                <w:color w:val="auto"/>
                <w:w w:val="79"/>
              </w:rPr>
              <w:t>54.56</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gridSpan w:val="3"/>
          </w:tcPr>
          <w:p>
            <w:pPr>
              <w:jc w:val="right"/>
              <w:ind w:right="860"/>
              <w:spacing w:after="0"/>
              <w:rPr>
                <w:sz w:val="20"/>
                <w:szCs w:val="20"/>
                <w:color w:val="auto"/>
              </w:rPr>
            </w:pPr>
            <w:r>
              <w:rPr>
                <w:rFonts w:ascii="Arial" w:cs="Arial" w:eastAsia="Arial" w:hAnsi="Arial"/>
                <w:sz w:val="10"/>
                <w:szCs w:val="10"/>
                <w:color w:val="auto"/>
              </w:rPr>
              <w:t>—</w:t>
            </w:r>
          </w:p>
        </w:tc>
        <w:tc>
          <w:tcPr>
            <w:tcW w:w="1500" w:type="dxa"/>
            <w:vAlign w:val="bottom"/>
            <w:gridSpan w:val="2"/>
          </w:tcPr>
          <w:p>
            <w:pPr>
              <w:jc w:val="right"/>
              <w:ind w:right="698"/>
              <w:spacing w:after="0"/>
              <w:rPr>
                <w:sz w:val="20"/>
                <w:szCs w:val="20"/>
                <w:color w:val="auto"/>
              </w:rPr>
            </w:pPr>
            <w:r>
              <w:rPr>
                <w:rFonts w:ascii="Arial" w:cs="Arial" w:eastAsia="Arial" w:hAnsi="Arial"/>
                <w:sz w:val="10"/>
                <w:szCs w:val="10"/>
                <w:color w:val="auto"/>
              </w:rPr>
              <w:t>61.87</w:t>
            </w: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1760" w:type="dxa"/>
            <w:vAlign w:val="bottom"/>
          </w:tcPr>
          <w:p>
            <w:pPr>
              <w:spacing w:after="0"/>
              <w:rPr>
                <w:sz w:val="20"/>
                <w:szCs w:val="20"/>
                <w:color w:val="auto"/>
              </w:rPr>
            </w:pPr>
            <w:r>
              <w:rPr>
                <w:rFonts w:ascii="Arial" w:cs="Arial" w:eastAsia="Arial" w:hAnsi="Arial"/>
                <w:sz w:val="10"/>
                <w:szCs w:val="10"/>
                <w:color w:val="auto"/>
              </w:rPr>
              <w:t>North America - Canada</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27.17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left="195"/>
              <w:spacing w:after="0"/>
              <w:rPr>
                <w:sz w:val="20"/>
                <w:szCs w:val="20"/>
                <w:color w:val="auto"/>
              </w:rPr>
            </w:pPr>
            <w:r>
              <w:rPr>
                <w:rFonts w:ascii="Arial" w:cs="Arial" w:eastAsia="Arial" w:hAnsi="Arial"/>
                <w:sz w:val="10"/>
                <w:szCs w:val="10"/>
                <w:color w:val="auto"/>
                <w:w w:val="79"/>
              </w:rPr>
              <w:t>—</w:t>
            </w:r>
          </w:p>
        </w:tc>
        <w:tc>
          <w:tcPr>
            <w:tcW w:w="1640" w:type="dxa"/>
            <w:vAlign w:val="bottom"/>
            <w:gridSpan w:val="4"/>
          </w:tcPr>
          <w:p>
            <w:pPr>
              <w:jc w:val="center"/>
              <w:ind w:left="1194"/>
              <w:spacing w:after="0"/>
              <w:rPr>
                <w:sz w:val="20"/>
                <w:szCs w:val="20"/>
                <w:color w:val="auto"/>
              </w:rPr>
            </w:pPr>
            <w:r>
              <w:rPr>
                <w:rFonts w:ascii="Arial" w:cs="Arial" w:eastAsia="Arial" w:hAnsi="Arial"/>
                <w:sz w:val="10"/>
                <w:szCs w:val="10"/>
                <w:color w:val="auto"/>
                <w:w w:val="79"/>
              </w:rPr>
              <w:t>36.61</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gridSpan w:val="3"/>
          </w:tcPr>
          <w:p>
            <w:pPr>
              <w:jc w:val="right"/>
              <w:ind w:right="860"/>
              <w:spacing w:after="0"/>
              <w:rPr>
                <w:sz w:val="20"/>
                <w:szCs w:val="20"/>
                <w:color w:val="auto"/>
              </w:rPr>
            </w:pPr>
            <w:r>
              <w:rPr>
                <w:rFonts w:ascii="Arial" w:cs="Arial" w:eastAsia="Arial" w:hAnsi="Arial"/>
                <w:sz w:val="10"/>
                <w:szCs w:val="10"/>
                <w:color w:val="auto"/>
              </w:rPr>
              <w:t>—</w:t>
            </w:r>
          </w:p>
        </w:tc>
        <w:tc>
          <w:tcPr>
            <w:tcW w:w="1500" w:type="dxa"/>
            <w:vAlign w:val="bottom"/>
            <w:gridSpan w:val="2"/>
          </w:tcPr>
          <w:p>
            <w:pPr>
              <w:jc w:val="right"/>
              <w:ind w:right="698"/>
              <w:spacing w:after="0"/>
              <w:rPr>
                <w:sz w:val="20"/>
                <w:szCs w:val="20"/>
                <w:color w:val="auto"/>
              </w:rPr>
            </w:pPr>
            <w:r>
              <w:rPr>
                <w:rFonts w:ascii="Arial" w:cs="Arial" w:eastAsia="Arial" w:hAnsi="Arial"/>
                <w:sz w:val="10"/>
                <w:szCs w:val="10"/>
                <w:color w:val="auto"/>
              </w:rPr>
              <w:t>43.72</w:t>
            </w: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1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South America</w:t>
            </w: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36.01</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0"/>
                <w:szCs w:val="10"/>
                <w:color w:val="auto"/>
              </w:rPr>
              <w:t>37.28</w:t>
            </w:r>
          </w:p>
        </w:tc>
        <w:tc>
          <w:tcPr>
            <w:tcW w:w="1640" w:type="dxa"/>
            <w:vAlign w:val="bottom"/>
            <w:tcBorders>
              <w:bottom w:val="single" w:sz="8" w:color="auto"/>
            </w:tcBorders>
            <w:gridSpan w:val="4"/>
          </w:tcPr>
          <w:p>
            <w:pPr>
              <w:jc w:val="center"/>
              <w:ind w:left="1194"/>
              <w:spacing w:after="0"/>
              <w:rPr>
                <w:sz w:val="20"/>
                <w:szCs w:val="20"/>
                <w:color w:val="auto"/>
              </w:rPr>
            </w:pPr>
            <w:r>
              <w:rPr>
                <w:rFonts w:ascii="Arial" w:cs="Arial" w:eastAsia="Arial" w:hAnsi="Arial"/>
                <w:sz w:val="10"/>
                <w:szCs w:val="10"/>
                <w:color w:val="auto"/>
                <w:w w:val="79"/>
              </w:rPr>
              <w:t>56.68</w:t>
            </w: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gridSpan w:val="2"/>
          </w:tcPr>
          <w:p>
            <w:pPr>
              <w:jc w:val="right"/>
              <w:ind w:right="698"/>
              <w:spacing w:after="0"/>
              <w:rPr>
                <w:sz w:val="20"/>
                <w:szCs w:val="20"/>
                <w:color w:val="auto"/>
              </w:rPr>
            </w:pPr>
            <w:r>
              <w:rPr>
                <w:rFonts w:ascii="Arial" w:cs="Arial" w:eastAsia="Arial" w:hAnsi="Arial"/>
                <w:sz w:val="10"/>
                <w:szCs w:val="10"/>
                <w:color w:val="auto"/>
              </w:rPr>
              <w:t>62.67</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1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36.72</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0"/>
                <w:szCs w:val="10"/>
                <w:color w:val="auto"/>
              </w:rPr>
              <w:t>42.31</w:t>
            </w:r>
          </w:p>
        </w:tc>
        <w:tc>
          <w:tcPr>
            <w:tcW w:w="1640" w:type="dxa"/>
            <w:vAlign w:val="bottom"/>
            <w:tcBorders>
              <w:bottom w:val="single" w:sz="8" w:color="auto"/>
            </w:tcBorders>
            <w:gridSpan w:val="4"/>
          </w:tcPr>
          <w:p>
            <w:pPr>
              <w:jc w:val="center"/>
              <w:ind w:left="1194"/>
              <w:spacing w:after="0"/>
              <w:rPr>
                <w:sz w:val="20"/>
                <w:szCs w:val="20"/>
                <w:color w:val="auto"/>
              </w:rPr>
            </w:pPr>
            <w:r>
              <w:rPr>
                <w:rFonts w:ascii="Arial" w:cs="Arial" w:eastAsia="Arial" w:hAnsi="Arial"/>
                <w:sz w:val="10"/>
                <w:szCs w:val="10"/>
                <w:color w:val="auto"/>
                <w:w w:val="79"/>
              </w:rPr>
              <w:t>57.56</w:t>
            </w: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614"/>
              <w:spacing w:after="0"/>
              <w:rPr>
                <w:sz w:val="20"/>
                <w:szCs w:val="20"/>
                <w:color w:val="auto"/>
              </w:rPr>
            </w:pPr>
            <w:r>
              <w:rPr>
                <w:rFonts w:ascii="Arial" w:cs="Arial" w:eastAsia="Arial" w:hAnsi="Arial"/>
                <w:sz w:val="10"/>
                <w:szCs w:val="10"/>
                <w:color w:val="auto"/>
              </w:rPr>
              <w:t>65.05</w:t>
            </w: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jc w:val="right"/>
              <w:ind w:right="698"/>
              <w:spacing w:after="0"/>
              <w:rPr>
                <w:sz w:val="20"/>
                <w:szCs w:val="20"/>
                <w:color w:val="auto"/>
              </w:rPr>
            </w:pPr>
            <w:r>
              <w:rPr>
                <w:rFonts w:ascii="Arial" w:cs="Arial" w:eastAsia="Arial" w:hAnsi="Arial"/>
                <w:sz w:val="10"/>
                <w:szCs w:val="10"/>
                <w:color w:val="auto"/>
              </w:rPr>
              <w:t>63.96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70.43</w:t>
            </w: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760" w:type="dxa"/>
            <w:vAlign w:val="bottom"/>
            <w:tcBorders>
              <w:bottom w:val="single" w:sz="8" w:color="CDCDCD"/>
            </w:tcBorders>
          </w:tcPr>
          <w:p>
            <w:pPr>
              <w:spacing w:after="0"/>
              <w:rPr>
                <w:sz w:val="6"/>
                <w:szCs w:val="6"/>
                <w:color w:val="auto"/>
              </w:rPr>
            </w:pPr>
          </w:p>
        </w:tc>
        <w:tc>
          <w:tcPr>
            <w:tcW w:w="320" w:type="dxa"/>
            <w:vAlign w:val="bottom"/>
            <w:tcBorders>
              <w:bottom w:val="single" w:sz="8" w:color="CDCDCD"/>
            </w:tcBorders>
          </w:tcPr>
          <w:p>
            <w:pPr>
              <w:spacing w:after="0"/>
              <w:rPr>
                <w:sz w:val="6"/>
                <w:szCs w:val="6"/>
                <w:color w:val="auto"/>
              </w:rPr>
            </w:pPr>
          </w:p>
        </w:tc>
        <w:tc>
          <w:tcPr>
            <w:tcW w:w="180" w:type="dxa"/>
            <w:vAlign w:val="bottom"/>
            <w:tcBorders>
              <w:bottom w:val="single" w:sz="8" w:color="CDCDCD"/>
            </w:tcBorders>
          </w:tcPr>
          <w:p>
            <w:pPr>
              <w:spacing w:after="0"/>
              <w:rPr>
                <w:sz w:val="6"/>
                <w:szCs w:val="6"/>
                <w:color w:val="auto"/>
              </w:rPr>
            </w:pPr>
          </w:p>
        </w:tc>
        <w:tc>
          <w:tcPr>
            <w:tcW w:w="480" w:type="dxa"/>
            <w:vAlign w:val="bottom"/>
            <w:tcBorders>
              <w:bottom w:val="single" w:sz="8" w:color="CDCDCD"/>
            </w:tcBorders>
          </w:tcPr>
          <w:p>
            <w:pPr>
              <w:spacing w:after="0"/>
              <w:rPr>
                <w:sz w:val="6"/>
                <w:szCs w:val="6"/>
                <w:color w:val="auto"/>
              </w:rPr>
            </w:pPr>
          </w:p>
        </w:tc>
        <w:tc>
          <w:tcPr>
            <w:tcW w:w="60" w:type="dxa"/>
            <w:vAlign w:val="bottom"/>
            <w:tcBorders>
              <w:bottom w:val="single" w:sz="8" w:color="CDCDCD"/>
            </w:tcBorders>
          </w:tcPr>
          <w:p>
            <w:pPr>
              <w:spacing w:after="0"/>
              <w:rPr>
                <w:sz w:val="6"/>
                <w:szCs w:val="6"/>
                <w:color w:val="auto"/>
              </w:rPr>
            </w:pPr>
          </w:p>
        </w:tc>
        <w:tc>
          <w:tcPr>
            <w:tcW w:w="500" w:type="dxa"/>
            <w:vAlign w:val="bottom"/>
            <w:tcBorders>
              <w:bottom w:val="single" w:sz="8" w:color="CDCDCD"/>
            </w:tcBorders>
          </w:tcPr>
          <w:p>
            <w:pPr>
              <w:spacing w:after="0"/>
              <w:rPr>
                <w:sz w:val="6"/>
                <w:szCs w:val="6"/>
                <w:color w:val="auto"/>
              </w:rPr>
            </w:pPr>
          </w:p>
        </w:tc>
        <w:tc>
          <w:tcPr>
            <w:tcW w:w="620" w:type="dxa"/>
            <w:vAlign w:val="bottom"/>
            <w:tcBorders>
              <w:bottom w:val="single" w:sz="8" w:color="CDCDCD"/>
            </w:tcBorders>
          </w:tcPr>
          <w:p>
            <w:pPr>
              <w:spacing w:after="0"/>
              <w:rPr>
                <w:sz w:val="6"/>
                <w:szCs w:val="6"/>
                <w:color w:val="auto"/>
              </w:rPr>
            </w:pPr>
          </w:p>
        </w:tc>
        <w:tc>
          <w:tcPr>
            <w:tcW w:w="60" w:type="dxa"/>
            <w:vAlign w:val="bottom"/>
            <w:tcBorders>
              <w:bottom w:val="single" w:sz="8" w:color="CDCDCD"/>
            </w:tcBorders>
          </w:tcPr>
          <w:p>
            <w:pPr>
              <w:spacing w:after="0"/>
              <w:rPr>
                <w:sz w:val="6"/>
                <w:szCs w:val="6"/>
                <w:color w:val="auto"/>
              </w:rPr>
            </w:pPr>
          </w:p>
        </w:tc>
        <w:tc>
          <w:tcPr>
            <w:tcW w:w="80" w:type="dxa"/>
            <w:vAlign w:val="bottom"/>
            <w:tcBorders>
              <w:bottom w:val="single" w:sz="8" w:color="CDCDCD"/>
            </w:tcBorders>
          </w:tcPr>
          <w:p>
            <w:pPr>
              <w:spacing w:after="0"/>
              <w:rPr>
                <w:sz w:val="6"/>
                <w:szCs w:val="6"/>
                <w:color w:val="auto"/>
              </w:rPr>
            </w:pPr>
          </w:p>
        </w:tc>
        <w:tc>
          <w:tcPr>
            <w:tcW w:w="480" w:type="dxa"/>
            <w:vAlign w:val="bottom"/>
            <w:tcBorders>
              <w:bottom w:val="single" w:sz="8" w:color="CDCDCD"/>
            </w:tcBorders>
          </w:tcPr>
          <w:p>
            <w:pPr>
              <w:spacing w:after="0"/>
              <w:rPr>
                <w:sz w:val="6"/>
                <w:szCs w:val="6"/>
                <w:color w:val="auto"/>
              </w:rPr>
            </w:pPr>
          </w:p>
        </w:tc>
        <w:tc>
          <w:tcPr>
            <w:tcW w:w="80" w:type="dxa"/>
            <w:vAlign w:val="bottom"/>
            <w:tcBorders>
              <w:bottom w:val="single" w:sz="8" w:color="CDCDCD"/>
            </w:tcBorders>
          </w:tcPr>
          <w:p>
            <w:pPr>
              <w:spacing w:after="0"/>
              <w:rPr>
                <w:sz w:val="6"/>
                <w:szCs w:val="6"/>
                <w:color w:val="auto"/>
              </w:rPr>
            </w:pPr>
          </w:p>
        </w:tc>
        <w:tc>
          <w:tcPr>
            <w:tcW w:w="480" w:type="dxa"/>
            <w:vAlign w:val="bottom"/>
            <w:tcBorders>
              <w:bottom w:val="single" w:sz="8" w:color="CDCDCD"/>
            </w:tcBorders>
          </w:tcPr>
          <w:p>
            <w:pPr>
              <w:spacing w:after="0"/>
              <w:rPr>
                <w:sz w:val="6"/>
                <w:szCs w:val="6"/>
                <w:color w:val="auto"/>
              </w:rPr>
            </w:pPr>
          </w:p>
        </w:tc>
        <w:tc>
          <w:tcPr>
            <w:tcW w:w="140" w:type="dxa"/>
            <w:vAlign w:val="bottom"/>
            <w:tcBorders>
              <w:bottom w:val="single" w:sz="8" w:color="CDCDCD"/>
            </w:tcBorders>
          </w:tcPr>
          <w:p>
            <w:pPr>
              <w:spacing w:after="0"/>
              <w:rPr>
                <w:sz w:val="6"/>
                <w:szCs w:val="6"/>
                <w:color w:val="auto"/>
              </w:rPr>
            </w:pPr>
          </w:p>
        </w:tc>
        <w:tc>
          <w:tcPr>
            <w:tcW w:w="1060" w:type="dxa"/>
            <w:vAlign w:val="bottom"/>
            <w:tcBorders>
              <w:bottom w:val="single" w:sz="8" w:color="CDCDCD"/>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CDCDCD"/>
            </w:tcBorders>
          </w:tcPr>
          <w:p>
            <w:pPr>
              <w:spacing w:after="0"/>
              <w:rPr>
                <w:sz w:val="6"/>
                <w:szCs w:val="6"/>
                <w:color w:val="auto"/>
              </w:rPr>
            </w:pPr>
          </w:p>
        </w:tc>
        <w:tc>
          <w:tcPr>
            <w:tcW w:w="120" w:type="dxa"/>
            <w:vAlign w:val="bottom"/>
            <w:tcBorders>
              <w:bottom w:val="single" w:sz="8" w:color="CDCDCD"/>
            </w:tcBorders>
          </w:tcPr>
          <w:p>
            <w:pPr>
              <w:spacing w:after="0"/>
              <w:rPr>
                <w:sz w:val="6"/>
                <w:szCs w:val="6"/>
                <w:color w:val="auto"/>
              </w:rPr>
            </w:pPr>
          </w:p>
        </w:tc>
        <w:tc>
          <w:tcPr>
            <w:tcW w:w="840" w:type="dxa"/>
            <w:vAlign w:val="bottom"/>
            <w:tcBorders>
              <w:bottom w:val="single" w:sz="8" w:color="CDCDCD"/>
            </w:tcBorders>
          </w:tcPr>
          <w:p>
            <w:pPr>
              <w:spacing w:after="0"/>
              <w:rPr>
                <w:sz w:val="6"/>
                <w:szCs w:val="6"/>
                <w:color w:val="auto"/>
              </w:rPr>
            </w:pPr>
          </w:p>
        </w:tc>
        <w:tc>
          <w:tcPr>
            <w:tcW w:w="1100" w:type="dxa"/>
            <w:vAlign w:val="bottom"/>
            <w:tcBorders>
              <w:bottom w:val="single" w:sz="8" w:color="CDCDCD"/>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CDCDCD"/>
            </w:tcBorders>
          </w:tcPr>
          <w:p>
            <w:pPr>
              <w:spacing w:after="0"/>
              <w:rPr>
                <w:sz w:val="6"/>
                <w:szCs w:val="6"/>
                <w:color w:val="auto"/>
              </w:rPr>
            </w:pPr>
          </w:p>
        </w:tc>
        <w:tc>
          <w:tcPr>
            <w:tcW w:w="120" w:type="dxa"/>
            <w:vAlign w:val="bottom"/>
            <w:tcBorders>
              <w:bottom w:val="single" w:sz="8" w:color="CDCDCD"/>
            </w:tcBorders>
          </w:tcPr>
          <w:p>
            <w:pPr>
              <w:spacing w:after="0"/>
              <w:rPr>
                <w:sz w:val="6"/>
                <w:szCs w:val="6"/>
                <w:color w:val="auto"/>
              </w:rPr>
            </w:pPr>
          </w:p>
        </w:tc>
        <w:tc>
          <w:tcPr>
            <w:tcW w:w="1380" w:type="dxa"/>
            <w:vAlign w:val="bottom"/>
            <w:tcBorders>
              <w:bottom w:val="single" w:sz="8" w:color="CDCDCD"/>
            </w:tcBorders>
          </w:tcPr>
          <w:p>
            <w:pPr>
              <w:spacing w:after="0"/>
              <w:rPr>
                <w:sz w:val="6"/>
                <w:szCs w:val="6"/>
                <w:color w:val="auto"/>
              </w:rPr>
            </w:pPr>
          </w:p>
        </w:tc>
        <w:tc>
          <w:tcPr>
            <w:tcW w:w="760" w:type="dxa"/>
            <w:vAlign w:val="bottom"/>
            <w:tcBorders>
              <w:bottom w:val="single" w:sz="8" w:color="CDCDCD"/>
            </w:tcBorders>
          </w:tcPr>
          <w:p>
            <w:pPr>
              <w:spacing w:after="0"/>
              <w:rPr>
                <w:sz w:val="6"/>
                <w:szCs w:val="6"/>
                <w:color w:val="auto"/>
              </w:rPr>
            </w:pPr>
          </w:p>
        </w:tc>
        <w:tc>
          <w:tcPr>
            <w:tcW w:w="40" w:type="dxa"/>
            <w:vAlign w:val="bottom"/>
            <w:tcBorders>
              <w:bottom w:val="single" w:sz="8" w:color="CDCDCD"/>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20"/>
                <w:szCs w:val="20"/>
                <w:color w:val="auto"/>
              </w:rPr>
            </w:pPr>
            <w:r>
              <w:rPr>
                <w:rFonts w:ascii="Arial" w:cs="Arial" w:eastAsia="Arial" w:hAnsi="Arial"/>
                <w:sz w:val="10"/>
                <w:szCs w:val="10"/>
                <w:color w:val="auto"/>
              </w:rPr>
              <w:t>Synthetic crude oil</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0"/>
                <w:szCs w:val="10"/>
                <w:color w:val="auto"/>
              </w:rPr>
              <w:t>$/barrel</w:t>
            </w:r>
          </w:p>
        </w:tc>
        <w:tc>
          <w:tcPr>
            <w:tcW w:w="0" w:type="dxa"/>
            <w:vAlign w:val="bottom"/>
          </w:tcPr>
          <w:p>
            <w:pPr>
              <w:spacing w:after="0"/>
              <w:rPr>
                <w:sz w:val="1"/>
                <w:szCs w:val="1"/>
                <w:color w:val="auto"/>
              </w:rPr>
            </w:pPr>
          </w:p>
        </w:tc>
      </w:tr>
      <w:tr>
        <w:trPr>
          <w:trHeight w:val="116"/>
        </w:trPr>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2020</w:t>
            </w:r>
          </w:p>
        </w:tc>
        <w:tc>
          <w:tcPr>
            <w:tcW w:w="1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2019</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8"/>
                <w:szCs w:val="8"/>
                <w:color w:val="auto"/>
              </w:rPr>
              <w:t>2018</w:t>
            </w:r>
          </w:p>
        </w:tc>
        <w:tc>
          <w:tcPr>
            <w:tcW w:w="0" w:type="dxa"/>
            <w:vAlign w:val="bottom"/>
          </w:tcPr>
          <w:p>
            <w:pPr>
              <w:spacing w:after="0"/>
              <w:rPr>
                <w:sz w:val="1"/>
                <w:szCs w:val="1"/>
                <w:color w:val="auto"/>
              </w:rPr>
            </w:pPr>
          </w:p>
        </w:tc>
      </w:tr>
      <w:tr>
        <w:trPr>
          <w:trHeight w:val="76"/>
        </w:trPr>
        <w:tc>
          <w:tcPr>
            <w:tcW w:w="1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20" w:type="dxa"/>
            <w:vAlign w:val="bottom"/>
            <w:gridSpan w:val="4"/>
          </w:tcPr>
          <w:p>
            <w:pPr>
              <w:jc w:val="right"/>
              <w:ind w:right="580"/>
              <w:spacing w:after="0" w:line="76" w:lineRule="exact"/>
              <w:rPr>
                <w:sz w:val="20"/>
                <w:szCs w:val="20"/>
                <w:color w:val="auto"/>
              </w:rPr>
            </w:pPr>
            <w:r>
              <w:rPr>
                <w:rFonts w:ascii="Arial" w:cs="Arial" w:eastAsia="Arial" w:hAnsi="Arial"/>
                <w:sz w:val="8"/>
                <w:szCs w:val="8"/>
                <w:color w:val="auto"/>
              </w:rPr>
              <w:t>Shell</w:t>
            </w:r>
          </w:p>
        </w:tc>
        <w:tc>
          <w:tcPr>
            <w:tcW w:w="840" w:type="dxa"/>
            <w:vAlign w:val="bottom"/>
          </w:tcPr>
          <w:p>
            <w:pPr>
              <w:spacing w:after="0"/>
              <w:rPr>
                <w:sz w:val="6"/>
                <w:szCs w:val="6"/>
                <w:color w:val="auto"/>
              </w:rPr>
            </w:pPr>
          </w:p>
        </w:tc>
        <w:tc>
          <w:tcPr>
            <w:tcW w:w="1300" w:type="dxa"/>
            <w:vAlign w:val="bottom"/>
            <w:gridSpan w:val="3"/>
          </w:tcPr>
          <w:p>
            <w:pPr>
              <w:jc w:val="right"/>
              <w:ind w:right="220"/>
              <w:spacing w:after="0" w:line="76" w:lineRule="exact"/>
              <w:rPr>
                <w:sz w:val="20"/>
                <w:szCs w:val="20"/>
                <w:color w:val="auto"/>
              </w:rPr>
            </w:pPr>
            <w:r>
              <w:rPr>
                <w:rFonts w:ascii="Arial" w:cs="Arial" w:eastAsia="Arial" w:hAnsi="Arial"/>
                <w:sz w:val="8"/>
                <w:szCs w:val="8"/>
                <w:color w:val="auto"/>
              </w:rPr>
              <w:t>Shell</w:t>
            </w: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0" w:type="dxa"/>
            <w:vAlign w:val="bottom"/>
            <w:gridSpan w:val="2"/>
          </w:tcPr>
          <w:p>
            <w:pPr>
              <w:jc w:val="right"/>
              <w:ind w:right="20"/>
              <w:spacing w:after="0" w:line="76" w:lineRule="exact"/>
              <w:rPr>
                <w:sz w:val="20"/>
                <w:szCs w:val="20"/>
                <w:color w:val="auto"/>
              </w:rPr>
            </w:pPr>
            <w:r>
              <w:rPr>
                <w:rFonts w:ascii="Arial" w:cs="Arial" w:eastAsia="Arial" w:hAnsi="Arial"/>
                <w:sz w:val="8"/>
                <w:szCs w:val="8"/>
                <w:color w:val="auto"/>
              </w:rPr>
              <w:t>Shell</w:t>
            </w:r>
          </w:p>
        </w:tc>
        <w:tc>
          <w:tcPr>
            <w:tcW w:w="0" w:type="dxa"/>
            <w:vAlign w:val="bottom"/>
          </w:tcPr>
          <w:p>
            <w:pPr>
              <w:spacing w:after="0"/>
              <w:rPr>
                <w:sz w:val="1"/>
                <w:szCs w:val="1"/>
                <w:color w:val="auto"/>
              </w:rPr>
            </w:pPr>
          </w:p>
        </w:tc>
      </w:tr>
      <w:tr>
        <w:trPr>
          <w:trHeight w:val="111"/>
        </w:trPr>
        <w:tc>
          <w:tcPr>
            <w:tcW w:w="1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4"/>
          </w:tcPr>
          <w:p>
            <w:pPr>
              <w:jc w:val="right"/>
              <w:ind w:right="580"/>
              <w:spacing w:after="0"/>
              <w:rPr>
                <w:sz w:val="20"/>
                <w:szCs w:val="20"/>
                <w:color w:val="auto"/>
              </w:rPr>
            </w:pPr>
            <w:r>
              <w:rPr>
                <w:rFonts w:ascii="Arial" w:cs="Arial" w:eastAsia="Arial" w:hAnsi="Arial"/>
                <w:sz w:val="8"/>
                <w:szCs w:val="8"/>
                <w:color w:val="auto"/>
              </w:rPr>
              <w:t>subsidiaries</w:t>
            </w:r>
          </w:p>
        </w:tc>
        <w:tc>
          <w:tcPr>
            <w:tcW w:w="840" w:type="dxa"/>
            <w:vAlign w:val="bottom"/>
          </w:tcPr>
          <w:p>
            <w:pPr>
              <w:spacing w:after="0"/>
              <w:rPr>
                <w:sz w:val="9"/>
                <w:szCs w:val="9"/>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8"/>
                <w:szCs w:val="8"/>
                <w:color w:val="auto"/>
              </w:rPr>
              <w:t>subsidiaries</w:t>
            </w: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8"/>
                <w:szCs w:val="8"/>
                <w:color w:val="auto"/>
              </w:rPr>
              <w:t>subsidiaries</w:t>
            </w:r>
          </w:p>
        </w:tc>
        <w:tc>
          <w:tcPr>
            <w:tcW w:w="0" w:type="dxa"/>
            <w:vAlign w:val="bottom"/>
          </w:tcPr>
          <w:p>
            <w:pPr>
              <w:spacing w:after="0"/>
              <w:rPr>
                <w:sz w:val="1"/>
                <w:szCs w:val="1"/>
                <w:color w:val="auto"/>
              </w:rPr>
            </w:pPr>
          </w:p>
        </w:tc>
      </w:tr>
      <w:tr>
        <w:trPr>
          <w:trHeight w:val="119"/>
        </w:trPr>
        <w:tc>
          <w:tcPr>
            <w:tcW w:w="1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North America - Canada</w:t>
            </w:r>
          </w:p>
        </w:tc>
        <w:tc>
          <w:tcPr>
            <w:tcW w:w="32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rPr>
              <w:t>31.13</w:t>
            </w:r>
          </w:p>
        </w:tc>
        <w:tc>
          <w:tcPr>
            <w:tcW w:w="120" w:type="dxa"/>
            <w:vAlign w:val="bottom"/>
            <w:tcBorders>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spacing w:after="0"/>
              <w:rPr>
                <w:sz w:val="10"/>
                <w:szCs w:val="1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50.27</w:t>
            </w:r>
          </w:p>
        </w:tc>
        <w:tc>
          <w:tcPr>
            <w:tcW w:w="12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3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48.90</w:t>
            </w:r>
          </w:p>
        </w:tc>
        <w:tc>
          <w:tcPr>
            <w:tcW w:w="4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1760" w:type="dxa"/>
            <w:vAlign w:val="bottom"/>
            <w:tcBorders>
              <w:bottom w:val="single" w:sz="8" w:color="CDCDCD"/>
            </w:tcBorders>
          </w:tcPr>
          <w:p>
            <w:pPr>
              <w:spacing w:after="0"/>
              <w:rPr>
                <w:sz w:val="24"/>
                <w:szCs w:val="24"/>
                <w:color w:val="auto"/>
              </w:rPr>
            </w:pPr>
          </w:p>
        </w:tc>
        <w:tc>
          <w:tcPr>
            <w:tcW w:w="320" w:type="dxa"/>
            <w:vAlign w:val="bottom"/>
            <w:tcBorders>
              <w:bottom w:val="single" w:sz="8" w:color="CDCDCD"/>
            </w:tcBorders>
          </w:tcPr>
          <w:p>
            <w:pPr>
              <w:spacing w:after="0"/>
              <w:rPr>
                <w:sz w:val="24"/>
                <w:szCs w:val="24"/>
                <w:color w:val="auto"/>
              </w:rPr>
            </w:pPr>
          </w:p>
        </w:tc>
        <w:tc>
          <w:tcPr>
            <w:tcW w:w="180" w:type="dxa"/>
            <w:vAlign w:val="bottom"/>
            <w:tcBorders>
              <w:bottom w:val="single" w:sz="8" w:color="CDCDCD"/>
            </w:tcBorders>
          </w:tcPr>
          <w:p>
            <w:pPr>
              <w:spacing w:after="0"/>
              <w:rPr>
                <w:sz w:val="24"/>
                <w:szCs w:val="24"/>
                <w:color w:val="auto"/>
              </w:rPr>
            </w:pPr>
          </w:p>
        </w:tc>
        <w:tc>
          <w:tcPr>
            <w:tcW w:w="480" w:type="dxa"/>
            <w:vAlign w:val="bottom"/>
            <w:tcBorders>
              <w:bottom w:val="single" w:sz="8" w:color="CDCDCD"/>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CDCDCD"/>
            </w:tcBorders>
          </w:tcPr>
          <w:p>
            <w:pPr>
              <w:spacing w:after="0"/>
              <w:rPr>
                <w:sz w:val="24"/>
                <w:szCs w:val="24"/>
                <w:color w:val="auto"/>
              </w:rPr>
            </w:pPr>
          </w:p>
        </w:tc>
        <w:tc>
          <w:tcPr>
            <w:tcW w:w="620" w:type="dxa"/>
            <w:vAlign w:val="bottom"/>
            <w:tcBorders>
              <w:bottom w:val="single" w:sz="8" w:color="CDCDCD"/>
            </w:tcBorders>
          </w:tcPr>
          <w:p>
            <w:pPr>
              <w:spacing w:after="0"/>
              <w:rPr>
                <w:sz w:val="24"/>
                <w:szCs w:val="24"/>
                <w:color w:val="auto"/>
              </w:rPr>
            </w:pPr>
          </w:p>
        </w:tc>
        <w:tc>
          <w:tcPr>
            <w:tcW w:w="60" w:type="dxa"/>
            <w:vAlign w:val="bottom"/>
            <w:tcBorders>
              <w:bottom w:val="single" w:sz="8" w:color="CDCDCD"/>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bottom w:val="single" w:sz="8" w:color="CDCDCD"/>
            </w:tcBorders>
          </w:tcPr>
          <w:p>
            <w:pPr>
              <w:spacing w:after="0"/>
              <w:rPr>
                <w:sz w:val="24"/>
                <w:szCs w:val="24"/>
                <w:color w:val="auto"/>
              </w:rPr>
            </w:pPr>
          </w:p>
        </w:tc>
        <w:tc>
          <w:tcPr>
            <w:tcW w:w="80" w:type="dxa"/>
            <w:vAlign w:val="bottom"/>
            <w:tcBorders>
              <w:bottom w:val="single" w:sz="8" w:color="CDCDCD"/>
            </w:tcBorders>
          </w:tcPr>
          <w:p>
            <w:pPr>
              <w:spacing w:after="0"/>
              <w:rPr>
                <w:sz w:val="24"/>
                <w:szCs w:val="24"/>
                <w:color w:val="auto"/>
              </w:rPr>
            </w:pPr>
          </w:p>
        </w:tc>
        <w:tc>
          <w:tcPr>
            <w:tcW w:w="620" w:type="dxa"/>
            <w:vAlign w:val="bottom"/>
            <w:tcBorders>
              <w:bottom w:val="single" w:sz="8" w:color="CDCDCD"/>
            </w:tcBorders>
            <w:gridSpan w:val="2"/>
          </w:tcPr>
          <w:p>
            <w:pPr>
              <w:spacing w:after="0"/>
              <w:rPr>
                <w:sz w:val="24"/>
                <w:szCs w:val="24"/>
                <w:color w:val="auto"/>
              </w:rPr>
            </w:pPr>
          </w:p>
        </w:tc>
        <w:tc>
          <w:tcPr>
            <w:tcW w:w="15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20"/>
                <w:szCs w:val="20"/>
                <w:color w:val="auto"/>
              </w:rPr>
            </w:pPr>
            <w:r>
              <w:rPr>
                <w:rFonts w:ascii="Arial" w:cs="Arial" w:eastAsia="Arial" w:hAnsi="Arial"/>
                <w:sz w:val="10"/>
                <w:szCs w:val="10"/>
                <w:color w:val="auto"/>
              </w:rPr>
              <w:t>Natural gas</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spacing w:after="0"/>
              <w:rPr>
                <w:sz w:val="20"/>
                <w:szCs w:val="20"/>
                <w:color w:val="auto"/>
              </w:rPr>
            </w:pPr>
            <w:r>
              <w:rPr>
                <w:rFonts w:ascii="Arial" w:cs="Arial" w:eastAsia="Arial" w:hAnsi="Arial"/>
                <w:sz w:val="10"/>
                <w:szCs w:val="10"/>
                <w:color w:val="auto"/>
                <w:w w:val="89"/>
              </w:rPr>
              <w:t>$/thousand scf</w:t>
            </w:r>
          </w:p>
        </w:tc>
        <w:tc>
          <w:tcPr>
            <w:tcW w:w="150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760" w:type="dxa"/>
            <w:vAlign w:val="bottom"/>
          </w:tcPr>
          <w:p>
            <w:pPr>
              <w:spacing w:after="0"/>
              <w:rPr>
                <w:sz w:val="10"/>
                <w:szCs w:val="10"/>
                <w:color w:val="auto"/>
              </w:rPr>
            </w:pPr>
          </w:p>
        </w:tc>
        <w:tc>
          <w:tcPr>
            <w:tcW w:w="98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8"/>
                <w:szCs w:val="8"/>
                <w:color w:val="auto"/>
              </w:rPr>
              <w:t>2020</w:t>
            </w:r>
          </w:p>
        </w:tc>
        <w:tc>
          <w:tcPr>
            <w:tcW w:w="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2019</w:t>
            </w:r>
          </w:p>
        </w:tc>
        <w:tc>
          <w:tcPr>
            <w:tcW w:w="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8"/>
                <w:szCs w:val="8"/>
                <w:color w:val="auto"/>
              </w:rPr>
              <w:t>2018</w:t>
            </w:r>
          </w:p>
        </w:tc>
        <w:tc>
          <w:tcPr>
            <w:tcW w:w="140" w:type="dxa"/>
            <w:vAlign w:val="bottom"/>
            <w:tcBorders>
              <w:bottom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jc w:val="right"/>
              <w:spacing w:after="0" w:line="76" w:lineRule="exact"/>
              <w:rPr>
                <w:sz w:val="20"/>
                <w:szCs w:val="20"/>
                <w:color w:val="auto"/>
              </w:rPr>
            </w:pPr>
            <w:r>
              <w:rPr>
                <w:rFonts w:ascii="Arial" w:cs="Arial" w:eastAsia="Arial" w:hAnsi="Arial"/>
                <w:sz w:val="8"/>
                <w:szCs w:val="8"/>
                <w:color w:val="auto"/>
                <w:w w:val="89"/>
              </w:rPr>
              <w:t>Shell share of</w:t>
            </w: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gridSpan w:val="2"/>
          </w:tcPr>
          <w:p>
            <w:pPr>
              <w:jc w:val="right"/>
              <w:spacing w:after="0" w:line="76" w:lineRule="exact"/>
              <w:rPr>
                <w:sz w:val="20"/>
                <w:szCs w:val="20"/>
                <w:color w:val="auto"/>
              </w:rPr>
            </w:pPr>
            <w:r>
              <w:rPr>
                <w:rFonts w:ascii="Arial" w:cs="Arial" w:eastAsia="Arial" w:hAnsi="Arial"/>
                <w:sz w:val="8"/>
                <w:szCs w:val="8"/>
                <w:color w:val="auto"/>
              </w:rPr>
              <w:t>Shell share of</w:t>
            </w: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gridSpan w:val="6"/>
          </w:tcPr>
          <w:p>
            <w:pPr>
              <w:jc w:val="right"/>
              <w:ind w:right="1640"/>
              <w:spacing w:after="0" w:line="76" w:lineRule="exact"/>
              <w:rPr>
                <w:sz w:val="20"/>
                <w:szCs w:val="20"/>
                <w:color w:val="auto"/>
              </w:rPr>
            </w:pPr>
            <w:r>
              <w:rPr>
                <w:rFonts w:ascii="Arial" w:cs="Arial" w:eastAsia="Arial" w:hAnsi="Arial"/>
                <w:sz w:val="8"/>
                <w:szCs w:val="8"/>
                <w:color w:val="auto"/>
              </w:rPr>
              <w:t>Shell share of</w:t>
            </w:r>
          </w:p>
        </w:tc>
        <w:tc>
          <w:tcPr>
            <w:tcW w:w="8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760" w:type="dxa"/>
            <w:vAlign w:val="bottom"/>
          </w:tcPr>
          <w:p>
            <w:pPr>
              <w:spacing w:after="0"/>
              <w:rPr>
                <w:sz w:val="7"/>
                <w:szCs w:val="7"/>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8"/>
                <w:szCs w:val="8"/>
                <w:color w:val="auto"/>
              </w:rPr>
              <w:t>Shell</w:t>
            </w:r>
          </w:p>
        </w:tc>
        <w:tc>
          <w:tcPr>
            <w:tcW w:w="480" w:type="dxa"/>
            <w:vAlign w:val="bottom"/>
          </w:tcPr>
          <w:p>
            <w:pPr>
              <w:jc w:val="right"/>
              <w:spacing w:after="0" w:line="81" w:lineRule="exact"/>
              <w:rPr>
                <w:sz w:val="20"/>
                <w:szCs w:val="20"/>
                <w:color w:val="auto"/>
              </w:rPr>
            </w:pPr>
            <w:r>
              <w:rPr>
                <w:rFonts w:ascii="Arial" w:cs="Arial" w:eastAsia="Arial" w:hAnsi="Arial"/>
                <w:sz w:val="8"/>
                <w:szCs w:val="8"/>
                <w:color w:val="auto"/>
                <w:w w:val="92"/>
              </w:rPr>
              <w:t>joint ventures</w:t>
            </w:r>
          </w:p>
        </w:tc>
        <w:tc>
          <w:tcPr>
            <w:tcW w:w="6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8"/>
                <w:szCs w:val="8"/>
                <w:color w:val="auto"/>
              </w:rPr>
              <w:t>Shell</w:t>
            </w:r>
          </w:p>
        </w:tc>
        <w:tc>
          <w:tcPr>
            <w:tcW w:w="680" w:type="dxa"/>
            <w:vAlign w:val="bottom"/>
            <w:gridSpan w:val="2"/>
          </w:tcPr>
          <w:p>
            <w:pPr>
              <w:jc w:val="right"/>
              <w:spacing w:after="0" w:line="81" w:lineRule="exact"/>
              <w:rPr>
                <w:sz w:val="20"/>
                <w:szCs w:val="20"/>
                <w:color w:val="auto"/>
              </w:rPr>
            </w:pPr>
            <w:r>
              <w:rPr>
                <w:rFonts w:ascii="Arial" w:cs="Arial" w:eastAsia="Arial" w:hAnsi="Arial"/>
                <w:sz w:val="8"/>
                <w:szCs w:val="8"/>
                <w:color w:val="auto"/>
              </w:rPr>
              <w:t>joint ventures</w:t>
            </w:r>
          </w:p>
        </w:tc>
        <w:tc>
          <w:tcPr>
            <w:tcW w:w="8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8"/>
                <w:szCs w:val="8"/>
                <w:color w:val="auto"/>
              </w:rPr>
              <w:t>Shell</w:t>
            </w:r>
          </w:p>
        </w:tc>
        <w:tc>
          <w:tcPr>
            <w:tcW w:w="80" w:type="dxa"/>
            <w:vAlign w:val="bottom"/>
          </w:tcPr>
          <w:p>
            <w:pPr>
              <w:spacing w:after="0"/>
              <w:rPr>
                <w:sz w:val="7"/>
                <w:szCs w:val="7"/>
                <w:color w:val="auto"/>
              </w:rPr>
            </w:pPr>
          </w:p>
        </w:tc>
        <w:tc>
          <w:tcPr>
            <w:tcW w:w="2240" w:type="dxa"/>
            <w:vAlign w:val="bottom"/>
            <w:gridSpan w:val="6"/>
          </w:tcPr>
          <w:p>
            <w:pPr>
              <w:jc w:val="right"/>
              <w:ind w:right="1640"/>
              <w:spacing w:after="0" w:line="81" w:lineRule="exact"/>
              <w:rPr>
                <w:sz w:val="20"/>
                <w:szCs w:val="20"/>
                <w:color w:val="auto"/>
              </w:rPr>
            </w:pPr>
            <w:r>
              <w:rPr>
                <w:rFonts w:ascii="Arial" w:cs="Arial" w:eastAsia="Arial" w:hAnsi="Arial"/>
                <w:sz w:val="8"/>
                <w:szCs w:val="8"/>
                <w:color w:val="auto"/>
              </w:rPr>
              <w:t>joint ventures</w:t>
            </w:r>
          </w:p>
        </w:tc>
        <w:tc>
          <w:tcPr>
            <w:tcW w:w="8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6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480" w:type="dxa"/>
            <w:vAlign w:val="bottom"/>
          </w:tcPr>
          <w:p>
            <w:pPr>
              <w:jc w:val="right"/>
              <w:spacing w:after="0" w:line="81" w:lineRule="exact"/>
              <w:rPr>
                <w:sz w:val="20"/>
                <w:szCs w:val="20"/>
                <w:color w:val="auto"/>
              </w:rPr>
            </w:pPr>
            <w:r>
              <w:rPr>
                <w:rFonts w:ascii="Arial" w:cs="Arial" w:eastAsia="Arial" w:hAnsi="Arial"/>
                <w:sz w:val="8"/>
                <w:szCs w:val="8"/>
                <w:color w:val="auto"/>
              </w:rPr>
              <w:t>and</w:t>
            </w:r>
          </w:p>
        </w:tc>
        <w:tc>
          <w:tcPr>
            <w:tcW w:w="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80" w:type="dxa"/>
            <w:vAlign w:val="bottom"/>
            <w:gridSpan w:val="2"/>
          </w:tcPr>
          <w:p>
            <w:pPr>
              <w:jc w:val="right"/>
              <w:spacing w:after="0" w:line="81" w:lineRule="exact"/>
              <w:rPr>
                <w:sz w:val="20"/>
                <w:szCs w:val="20"/>
                <w:color w:val="auto"/>
              </w:rPr>
            </w:pPr>
            <w:r>
              <w:rPr>
                <w:rFonts w:ascii="Arial" w:cs="Arial" w:eastAsia="Arial" w:hAnsi="Arial"/>
                <w:sz w:val="8"/>
                <w:szCs w:val="8"/>
                <w:color w:val="auto"/>
              </w:rPr>
              <w:t>and</w:t>
            </w:r>
          </w:p>
        </w:tc>
        <w:tc>
          <w:tcPr>
            <w:tcW w:w="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760" w:type="dxa"/>
            <w:vAlign w:val="bottom"/>
            <w:gridSpan w:val="5"/>
          </w:tcPr>
          <w:p>
            <w:pPr>
              <w:jc w:val="right"/>
              <w:ind w:right="1640"/>
              <w:spacing w:after="0" w:line="81" w:lineRule="exact"/>
              <w:rPr>
                <w:sz w:val="20"/>
                <w:szCs w:val="20"/>
                <w:color w:val="auto"/>
              </w:rPr>
            </w:pPr>
            <w:r>
              <w:rPr>
                <w:rFonts w:ascii="Arial" w:cs="Arial" w:eastAsia="Arial" w:hAnsi="Arial"/>
                <w:sz w:val="8"/>
                <w:szCs w:val="8"/>
                <w:color w:val="auto"/>
                <w:w w:val="74"/>
              </w:rPr>
              <w:t>and</w:t>
            </w:r>
          </w:p>
        </w:tc>
        <w:tc>
          <w:tcPr>
            <w:tcW w:w="8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760" w:type="dxa"/>
            <w:vAlign w:val="bottom"/>
          </w:tcPr>
          <w:p>
            <w:pPr>
              <w:spacing w:after="0"/>
              <w:rPr>
                <w:sz w:val="9"/>
                <w:szCs w:val="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8"/>
                <w:szCs w:val="8"/>
                <w:color w:val="auto"/>
              </w:rPr>
              <w:t>subsidiaries</w:t>
            </w:r>
          </w:p>
        </w:tc>
        <w:tc>
          <w:tcPr>
            <w:tcW w:w="480" w:type="dxa"/>
            <w:vAlign w:val="bottom"/>
          </w:tcPr>
          <w:p>
            <w:pPr>
              <w:jc w:val="right"/>
              <w:spacing w:after="0"/>
              <w:rPr>
                <w:sz w:val="20"/>
                <w:szCs w:val="20"/>
                <w:color w:val="auto"/>
              </w:rPr>
            </w:pPr>
            <w:r>
              <w:rPr>
                <w:rFonts w:ascii="Arial" w:cs="Arial" w:eastAsia="Arial" w:hAnsi="Arial"/>
                <w:sz w:val="8"/>
                <w:szCs w:val="8"/>
                <w:color w:val="auto"/>
              </w:rPr>
              <w:t>associates</w:t>
            </w: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subsidiaries</w:t>
            </w:r>
          </w:p>
        </w:tc>
        <w:tc>
          <w:tcPr>
            <w:tcW w:w="680" w:type="dxa"/>
            <w:vAlign w:val="bottom"/>
            <w:gridSpan w:val="2"/>
          </w:tcPr>
          <w:p>
            <w:pPr>
              <w:jc w:val="right"/>
              <w:spacing w:after="0"/>
              <w:rPr>
                <w:sz w:val="20"/>
                <w:szCs w:val="20"/>
                <w:color w:val="auto"/>
              </w:rPr>
            </w:pPr>
            <w:r>
              <w:rPr>
                <w:rFonts w:ascii="Arial" w:cs="Arial" w:eastAsia="Arial" w:hAnsi="Arial"/>
                <w:sz w:val="8"/>
                <w:szCs w:val="8"/>
                <w:color w:val="auto"/>
              </w:rPr>
              <w:t>associates</w:t>
            </w: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subsidiaries</w:t>
            </w:r>
          </w:p>
        </w:tc>
        <w:tc>
          <w:tcPr>
            <w:tcW w:w="80" w:type="dxa"/>
            <w:vAlign w:val="bottom"/>
          </w:tcPr>
          <w:p>
            <w:pPr>
              <w:spacing w:after="0"/>
              <w:rPr>
                <w:sz w:val="9"/>
                <w:szCs w:val="9"/>
                <w:color w:val="auto"/>
              </w:rPr>
            </w:pPr>
          </w:p>
        </w:tc>
        <w:tc>
          <w:tcPr>
            <w:tcW w:w="2240" w:type="dxa"/>
            <w:vAlign w:val="bottom"/>
            <w:gridSpan w:val="6"/>
          </w:tcPr>
          <w:p>
            <w:pPr>
              <w:jc w:val="right"/>
              <w:ind w:right="1640"/>
              <w:spacing w:after="0"/>
              <w:rPr>
                <w:sz w:val="20"/>
                <w:szCs w:val="20"/>
                <w:color w:val="auto"/>
              </w:rPr>
            </w:pPr>
            <w:r>
              <w:rPr>
                <w:rFonts w:ascii="Arial" w:cs="Arial" w:eastAsia="Arial" w:hAnsi="Arial"/>
                <w:sz w:val="8"/>
                <w:szCs w:val="8"/>
                <w:color w:val="auto"/>
              </w:rPr>
              <w:t>associates</w:t>
            </w:r>
          </w:p>
        </w:tc>
        <w:tc>
          <w:tcPr>
            <w:tcW w:w="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76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Europe</w:t>
            </w:r>
          </w:p>
        </w:tc>
        <w:tc>
          <w:tcPr>
            <w:tcW w:w="5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3.66</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3.76</w:t>
            </w:r>
          </w:p>
        </w:tc>
        <w:tc>
          <w:tcPr>
            <w:tcW w:w="60" w:type="dxa"/>
            <w:vAlign w:val="bottom"/>
          </w:tcPr>
          <w:p>
            <w:pPr>
              <w:spacing w:after="0"/>
              <w:rPr>
                <w:sz w:val="10"/>
                <w:szCs w:val="1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5.59</w:t>
            </w:r>
          </w:p>
        </w:tc>
        <w:tc>
          <w:tcPr>
            <w:tcW w:w="6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4.95</w:t>
            </w:r>
          </w:p>
        </w:tc>
        <w:tc>
          <w:tcPr>
            <w:tcW w:w="80" w:type="dxa"/>
            <w:vAlign w:val="bottom"/>
          </w:tcPr>
          <w:p>
            <w:pPr>
              <w:spacing w:after="0"/>
              <w:rPr>
                <w:sz w:val="10"/>
                <w:szCs w:val="1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7.08</w:t>
            </w: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0"/>
                <w:szCs w:val="10"/>
                <w:color w:val="auto"/>
              </w:rPr>
              <w:t>4.06</w:t>
            </w: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760" w:type="dxa"/>
            <w:vAlign w:val="bottom"/>
          </w:tcPr>
          <w:p>
            <w:pPr>
              <w:spacing w:after="0"/>
              <w:rPr>
                <w:sz w:val="20"/>
                <w:szCs w:val="20"/>
                <w:color w:val="auto"/>
              </w:rPr>
            </w:pPr>
            <w:r>
              <w:rPr>
                <w:rFonts w:ascii="Arial" w:cs="Arial" w:eastAsia="Arial" w:hAnsi="Arial"/>
                <w:sz w:val="10"/>
                <w:szCs w:val="10"/>
                <w:color w:val="auto"/>
              </w:rPr>
              <w:t>Asia</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2.68</w:t>
            </w:r>
          </w:p>
        </w:tc>
        <w:tc>
          <w:tcPr>
            <w:tcW w:w="480" w:type="dxa"/>
            <w:vAlign w:val="bottom"/>
          </w:tcPr>
          <w:p>
            <w:pPr>
              <w:jc w:val="right"/>
              <w:spacing w:after="0"/>
              <w:rPr>
                <w:sz w:val="20"/>
                <w:szCs w:val="20"/>
                <w:color w:val="auto"/>
              </w:rPr>
            </w:pPr>
            <w:r>
              <w:rPr>
                <w:rFonts w:ascii="Arial" w:cs="Arial" w:eastAsia="Arial" w:hAnsi="Arial"/>
                <w:sz w:val="10"/>
                <w:szCs w:val="10"/>
                <w:color w:val="auto"/>
              </w:rPr>
              <w:t>4.19</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2.66</w:t>
            </w:r>
          </w:p>
        </w:tc>
        <w:tc>
          <w:tcPr>
            <w:tcW w:w="680" w:type="dxa"/>
            <w:vAlign w:val="bottom"/>
            <w:gridSpan w:val="2"/>
          </w:tcPr>
          <w:p>
            <w:pPr>
              <w:jc w:val="right"/>
              <w:ind w:right="40"/>
              <w:spacing w:after="0"/>
              <w:rPr>
                <w:sz w:val="20"/>
                <w:szCs w:val="20"/>
                <w:color w:val="auto"/>
              </w:rPr>
            </w:pPr>
            <w:r>
              <w:rPr>
                <w:rFonts w:ascii="Arial" w:cs="Arial" w:eastAsia="Arial" w:hAnsi="Arial"/>
                <w:sz w:val="10"/>
                <w:szCs w:val="10"/>
                <w:color w:val="auto"/>
              </w:rPr>
              <w:t>6.34</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2.99</w:t>
            </w:r>
          </w:p>
        </w:tc>
        <w:tc>
          <w:tcPr>
            <w:tcW w:w="700" w:type="dxa"/>
            <w:vAlign w:val="bottom"/>
            <w:gridSpan w:val="3"/>
          </w:tcPr>
          <w:p>
            <w:pPr>
              <w:jc w:val="right"/>
              <w:spacing w:after="0"/>
              <w:rPr>
                <w:sz w:val="20"/>
                <w:szCs w:val="20"/>
                <w:color w:val="auto"/>
              </w:rPr>
            </w:pPr>
            <w:r>
              <w:rPr>
                <w:rFonts w:ascii="Arial" w:cs="Arial" w:eastAsia="Arial" w:hAnsi="Arial"/>
                <w:sz w:val="10"/>
                <w:szCs w:val="10"/>
                <w:color w:val="auto"/>
              </w:rPr>
              <w:t>7.06</w:t>
            </w: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20"/>
                <w:szCs w:val="20"/>
                <w:color w:val="auto"/>
              </w:rPr>
            </w:pPr>
            <w:r>
              <w:rPr>
                <w:rFonts w:ascii="Arial" w:cs="Arial" w:eastAsia="Arial" w:hAnsi="Arial"/>
                <w:sz w:val="10"/>
                <w:szCs w:val="10"/>
                <w:color w:val="auto"/>
              </w:rPr>
              <w:t>Oceania</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6.21</w:t>
            </w:r>
          </w:p>
        </w:tc>
        <w:tc>
          <w:tcPr>
            <w:tcW w:w="480" w:type="dxa"/>
            <w:vAlign w:val="bottom"/>
          </w:tcPr>
          <w:p>
            <w:pPr>
              <w:jc w:val="right"/>
              <w:spacing w:after="0"/>
              <w:rPr>
                <w:sz w:val="20"/>
                <w:szCs w:val="20"/>
                <w:color w:val="auto"/>
              </w:rPr>
            </w:pPr>
            <w:r>
              <w:rPr>
                <w:rFonts w:ascii="Arial" w:cs="Arial" w:eastAsia="Arial" w:hAnsi="Arial"/>
                <w:sz w:val="10"/>
                <w:szCs w:val="10"/>
                <w:color w:val="auto"/>
              </w:rPr>
              <w:t>3.15</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8.22</w:t>
            </w:r>
          </w:p>
        </w:tc>
        <w:tc>
          <w:tcPr>
            <w:tcW w:w="680" w:type="dxa"/>
            <w:vAlign w:val="bottom"/>
            <w:gridSpan w:val="2"/>
          </w:tcPr>
          <w:p>
            <w:pPr>
              <w:jc w:val="right"/>
              <w:ind w:right="40"/>
              <w:spacing w:after="0"/>
              <w:rPr>
                <w:sz w:val="20"/>
                <w:szCs w:val="20"/>
                <w:color w:val="auto"/>
              </w:rPr>
            </w:pPr>
            <w:r>
              <w:rPr>
                <w:rFonts w:ascii="Arial" w:cs="Arial" w:eastAsia="Arial" w:hAnsi="Arial"/>
                <w:sz w:val="10"/>
                <w:szCs w:val="10"/>
                <w:color w:val="auto"/>
              </w:rPr>
              <w:t>3.91</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8.66</w:t>
            </w:r>
          </w:p>
        </w:tc>
        <w:tc>
          <w:tcPr>
            <w:tcW w:w="700" w:type="dxa"/>
            <w:vAlign w:val="bottom"/>
            <w:gridSpan w:val="3"/>
          </w:tcPr>
          <w:p>
            <w:pPr>
              <w:jc w:val="right"/>
              <w:spacing w:after="0"/>
              <w:rPr>
                <w:sz w:val="20"/>
                <w:szCs w:val="20"/>
                <w:color w:val="auto"/>
              </w:rPr>
            </w:pPr>
            <w:r>
              <w:rPr>
                <w:rFonts w:ascii="Arial" w:cs="Arial" w:eastAsia="Arial" w:hAnsi="Arial"/>
                <w:sz w:val="10"/>
                <w:szCs w:val="10"/>
                <w:color w:val="auto"/>
              </w:rPr>
              <w:t>4.15</w:t>
            </w: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20"/>
                <w:szCs w:val="20"/>
                <w:color w:val="auto"/>
              </w:rPr>
            </w:pPr>
            <w:r>
              <w:rPr>
                <w:rFonts w:ascii="Arial" w:cs="Arial" w:eastAsia="Arial" w:hAnsi="Arial"/>
                <w:sz w:val="10"/>
                <w:szCs w:val="10"/>
                <w:color w:val="auto"/>
              </w:rPr>
              <w:t>Africa</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2.55</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2.92</w:t>
            </w:r>
          </w:p>
        </w:tc>
        <w:tc>
          <w:tcPr>
            <w:tcW w:w="6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3.02</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60" w:type="dxa"/>
            <w:vAlign w:val="bottom"/>
            <w:gridSpan w:val="5"/>
          </w:tcPr>
          <w:p>
            <w:pPr>
              <w:jc w:val="right"/>
              <w:ind w:right="1660"/>
              <w:spacing w:after="0"/>
              <w:rPr>
                <w:sz w:val="20"/>
                <w:szCs w:val="20"/>
                <w:color w:val="auto"/>
              </w:rPr>
            </w:pPr>
            <w:r>
              <w:rPr>
                <w:rFonts w:ascii="Arial" w:cs="Arial" w:eastAsia="Arial" w:hAnsi="Arial"/>
                <w:sz w:val="10"/>
                <w:szCs w:val="10"/>
                <w:color w:val="auto"/>
                <w:w w:val="79"/>
              </w:rPr>
              <w:t>—</w:t>
            </w: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20"/>
                <w:szCs w:val="20"/>
                <w:color w:val="auto"/>
              </w:rPr>
            </w:pPr>
            <w:r>
              <w:rPr>
                <w:rFonts w:ascii="Arial" w:cs="Arial" w:eastAsia="Arial" w:hAnsi="Arial"/>
                <w:sz w:val="10"/>
                <w:szCs w:val="10"/>
                <w:color w:val="auto"/>
              </w:rPr>
              <w:t>North America - USA</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1.72</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2.27</w:t>
            </w:r>
          </w:p>
        </w:tc>
        <w:tc>
          <w:tcPr>
            <w:tcW w:w="6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3.12</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60" w:type="dxa"/>
            <w:vAlign w:val="bottom"/>
            <w:gridSpan w:val="5"/>
          </w:tcPr>
          <w:p>
            <w:pPr>
              <w:jc w:val="right"/>
              <w:ind w:right="1660"/>
              <w:spacing w:after="0"/>
              <w:rPr>
                <w:sz w:val="20"/>
                <w:szCs w:val="20"/>
                <w:color w:val="auto"/>
              </w:rPr>
            </w:pPr>
            <w:r>
              <w:rPr>
                <w:rFonts w:ascii="Arial" w:cs="Arial" w:eastAsia="Arial" w:hAnsi="Arial"/>
                <w:sz w:val="10"/>
                <w:szCs w:val="10"/>
                <w:color w:val="auto"/>
                <w:w w:val="79"/>
              </w:rPr>
              <w:t>—</w:t>
            </w: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20"/>
                <w:szCs w:val="20"/>
                <w:color w:val="auto"/>
              </w:rPr>
            </w:pPr>
            <w:r>
              <w:rPr>
                <w:rFonts w:ascii="Arial" w:cs="Arial" w:eastAsia="Arial" w:hAnsi="Arial"/>
                <w:sz w:val="10"/>
                <w:szCs w:val="10"/>
                <w:color w:val="auto"/>
              </w:rPr>
              <w:t>North America - Canada</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1.61</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1.37</w:t>
            </w:r>
          </w:p>
        </w:tc>
        <w:tc>
          <w:tcPr>
            <w:tcW w:w="6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1.35</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60" w:type="dxa"/>
            <w:vAlign w:val="bottom"/>
            <w:gridSpan w:val="5"/>
          </w:tcPr>
          <w:p>
            <w:pPr>
              <w:jc w:val="right"/>
              <w:ind w:right="1660"/>
              <w:spacing w:after="0"/>
              <w:rPr>
                <w:sz w:val="20"/>
                <w:szCs w:val="20"/>
                <w:color w:val="auto"/>
              </w:rPr>
            </w:pPr>
            <w:r>
              <w:rPr>
                <w:rFonts w:ascii="Arial" w:cs="Arial" w:eastAsia="Arial" w:hAnsi="Arial"/>
                <w:sz w:val="10"/>
                <w:szCs w:val="10"/>
                <w:color w:val="auto"/>
                <w:w w:val="79"/>
              </w:rPr>
              <w:t>—</w:t>
            </w: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rPr>
                <w:sz w:val="20"/>
                <w:szCs w:val="20"/>
                <w:color w:val="auto"/>
              </w:rPr>
            </w:pPr>
            <w:r>
              <w:rPr>
                <w:rFonts w:ascii="Arial" w:cs="Arial" w:eastAsia="Arial" w:hAnsi="Arial"/>
                <w:sz w:val="10"/>
                <w:szCs w:val="10"/>
                <w:color w:val="auto"/>
              </w:rPr>
              <w:t>South America</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1.35</w:t>
            </w:r>
          </w:p>
        </w:tc>
        <w:tc>
          <w:tcPr>
            <w:tcW w:w="480" w:type="dxa"/>
            <w:vAlign w:val="bottom"/>
          </w:tcPr>
          <w:p>
            <w:pPr>
              <w:jc w:val="right"/>
              <w:spacing w:after="0"/>
              <w:rPr>
                <w:sz w:val="20"/>
                <w:szCs w:val="20"/>
                <w:color w:val="auto"/>
              </w:rPr>
            </w:pPr>
            <w:r>
              <w:rPr>
                <w:rFonts w:ascii="Arial" w:cs="Arial" w:eastAsia="Arial" w:hAnsi="Arial"/>
                <w:sz w:val="10"/>
                <w:szCs w:val="10"/>
                <w:color w:val="auto"/>
              </w:rPr>
              <w:t>1.90</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2.33</w:t>
            </w:r>
          </w:p>
        </w:tc>
        <w:tc>
          <w:tcPr>
            <w:tcW w:w="6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3.50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jc w:val="right"/>
              <w:ind w:right="1660"/>
              <w:spacing w:after="0"/>
              <w:rPr>
                <w:sz w:val="20"/>
                <w:szCs w:val="20"/>
                <w:color w:val="auto"/>
              </w:rPr>
            </w:pPr>
            <w:r>
              <w:rPr>
                <w:rFonts w:ascii="Arial" w:cs="Arial" w:eastAsia="Arial" w:hAnsi="Arial"/>
                <w:sz w:val="10"/>
                <w:szCs w:val="10"/>
                <w:color w:val="auto"/>
                <w:w w:val="79"/>
              </w:rPr>
              <w:t>—</w:t>
            </w: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Total</w:t>
            </w:r>
          </w:p>
        </w:tc>
        <w:tc>
          <w:tcPr>
            <w:tcW w:w="5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3.31</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4.06</w:t>
            </w:r>
          </w:p>
        </w:tc>
        <w:tc>
          <w:tcPr>
            <w:tcW w:w="6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3.95</w:t>
            </w: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5.80</w:t>
            </w:r>
          </w:p>
        </w:tc>
        <w:tc>
          <w:tcPr>
            <w:tcW w:w="8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4.63</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0"/>
                <w:szCs w:val="10"/>
                <w:color w:val="auto"/>
              </w:rPr>
              <w:t>5.74</w:t>
            </w: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3300" w:type="dxa"/>
            <w:vAlign w:val="bottom"/>
            <w:gridSpan w:val="6"/>
          </w:tcPr>
          <w:p>
            <w:pPr>
              <w:spacing w:after="0"/>
              <w:rPr>
                <w:sz w:val="20"/>
                <w:szCs w:val="20"/>
                <w:color w:val="auto"/>
              </w:rPr>
            </w:pPr>
            <w:r>
              <w:rPr>
                <w:rFonts w:ascii="Arial" w:cs="Arial" w:eastAsia="Arial" w:hAnsi="Arial"/>
                <w:sz w:val="11"/>
                <w:szCs w:val="11"/>
                <w:color w:val="auto"/>
              </w:rPr>
              <w:t>AVERAGE PRODUCTION COST BY GEOGRAPHICAL AREA</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260" w:type="dxa"/>
            <w:vAlign w:val="bottom"/>
            <w:gridSpan w:val="3"/>
          </w:tcPr>
          <w:p>
            <w:pPr>
              <w:spacing w:after="0"/>
              <w:rPr>
                <w:sz w:val="20"/>
                <w:szCs w:val="20"/>
                <w:color w:val="auto"/>
              </w:rPr>
            </w:pPr>
            <w:r>
              <w:rPr>
                <w:rFonts w:ascii="Arial" w:cs="Arial" w:eastAsia="Arial" w:hAnsi="Arial"/>
                <w:sz w:val="10"/>
                <w:szCs w:val="10"/>
                <w:color w:val="auto"/>
              </w:rPr>
              <w:t>Crude oil, natural gas liquids and natural gas [A]</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0"/>
                <w:szCs w:val="10"/>
                <w:color w:val="auto"/>
              </w:rPr>
              <w:t>$/boe</w:t>
            </w:r>
          </w:p>
        </w:tc>
        <w:tc>
          <w:tcPr>
            <w:tcW w:w="0" w:type="dxa"/>
            <w:vAlign w:val="bottom"/>
          </w:tcPr>
          <w:p>
            <w:pPr>
              <w:spacing w:after="0"/>
              <w:rPr>
                <w:sz w:val="1"/>
                <w:szCs w:val="1"/>
                <w:color w:val="auto"/>
              </w:rPr>
            </w:pPr>
          </w:p>
        </w:tc>
      </w:tr>
      <w:tr>
        <w:trPr>
          <w:trHeight w:val="119"/>
        </w:trPr>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8"/>
                <w:szCs w:val="8"/>
                <w:color w:val="auto"/>
              </w:rPr>
              <w:t>2020</w:t>
            </w: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2019</w:t>
            </w:r>
          </w:p>
        </w:tc>
        <w:tc>
          <w:tcPr>
            <w:tcW w:w="11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jc w:val="right"/>
              <w:ind w:right="258"/>
              <w:spacing w:after="0"/>
              <w:rPr>
                <w:sz w:val="20"/>
                <w:szCs w:val="20"/>
                <w:color w:val="auto"/>
              </w:rPr>
            </w:pPr>
            <w:r>
              <w:rPr>
                <w:rFonts w:ascii="Arial" w:cs="Arial" w:eastAsia="Arial" w:hAnsi="Arial"/>
                <w:sz w:val="8"/>
                <w:szCs w:val="8"/>
                <w:color w:val="auto"/>
              </w:rPr>
              <w:t>2018</w:t>
            </w: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Arial" w:cs="Arial" w:eastAsia="Arial" w:hAnsi="Arial"/>
                <w:sz w:val="8"/>
                <w:szCs w:val="8"/>
                <w:color w:val="auto"/>
              </w:rPr>
              <w:t>Shell</w:t>
            </w:r>
          </w:p>
        </w:tc>
        <w:tc>
          <w:tcPr>
            <w:tcW w:w="140" w:type="dxa"/>
            <w:vAlign w:val="bottom"/>
          </w:tcPr>
          <w:p>
            <w:pPr>
              <w:spacing w:after="0"/>
              <w:rPr>
                <w:sz w:val="6"/>
                <w:szCs w:val="6"/>
                <w:color w:val="auto"/>
              </w:rPr>
            </w:pPr>
          </w:p>
        </w:tc>
        <w:tc>
          <w:tcPr>
            <w:tcW w:w="1620" w:type="dxa"/>
            <w:vAlign w:val="bottom"/>
            <w:gridSpan w:val="4"/>
          </w:tcPr>
          <w:p>
            <w:pPr>
              <w:jc w:val="right"/>
              <w:ind w:right="580"/>
              <w:spacing w:after="0" w:line="76" w:lineRule="exact"/>
              <w:rPr>
                <w:sz w:val="20"/>
                <w:szCs w:val="20"/>
                <w:color w:val="auto"/>
              </w:rPr>
            </w:pPr>
            <w:r>
              <w:rPr>
                <w:rFonts w:ascii="Arial" w:cs="Arial" w:eastAsia="Arial" w:hAnsi="Arial"/>
                <w:sz w:val="8"/>
                <w:szCs w:val="8"/>
                <w:color w:val="auto"/>
              </w:rPr>
              <w:t>Shell share of</w:t>
            </w:r>
          </w:p>
        </w:tc>
        <w:tc>
          <w:tcPr>
            <w:tcW w:w="840" w:type="dxa"/>
            <w:vAlign w:val="bottom"/>
            <w:vMerge w:val="restart"/>
          </w:tcPr>
          <w:p>
            <w:pPr>
              <w:jc w:val="right"/>
              <w:ind w:right="54"/>
              <w:spacing w:after="0"/>
              <w:rPr>
                <w:sz w:val="20"/>
                <w:szCs w:val="20"/>
                <w:color w:val="auto"/>
              </w:rPr>
            </w:pPr>
            <w:r>
              <w:rPr>
                <w:rFonts w:ascii="Arial" w:cs="Arial" w:eastAsia="Arial" w:hAnsi="Arial"/>
                <w:sz w:val="8"/>
                <w:szCs w:val="8"/>
                <w:color w:val="auto"/>
              </w:rPr>
              <w:t>Shell</w:t>
            </w:r>
          </w:p>
        </w:tc>
        <w:tc>
          <w:tcPr>
            <w:tcW w:w="1300" w:type="dxa"/>
            <w:vAlign w:val="bottom"/>
            <w:gridSpan w:val="3"/>
          </w:tcPr>
          <w:p>
            <w:pPr>
              <w:jc w:val="right"/>
              <w:ind w:right="220"/>
              <w:spacing w:after="0" w:line="76" w:lineRule="exact"/>
              <w:rPr>
                <w:sz w:val="20"/>
                <w:szCs w:val="20"/>
                <w:color w:val="auto"/>
              </w:rPr>
            </w:pPr>
            <w:r>
              <w:rPr>
                <w:rFonts w:ascii="Arial" w:cs="Arial" w:eastAsia="Arial" w:hAnsi="Arial"/>
                <w:sz w:val="8"/>
                <w:szCs w:val="8"/>
                <w:color w:val="auto"/>
              </w:rPr>
              <w:t>Shell share of</w:t>
            </w:r>
          </w:p>
        </w:tc>
        <w:tc>
          <w:tcPr>
            <w:tcW w:w="120" w:type="dxa"/>
            <w:vAlign w:val="bottom"/>
          </w:tcPr>
          <w:p>
            <w:pPr>
              <w:spacing w:after="0"/>
              <w:rPr>
                <w:sz w:val="6"/>
                <w:szCs w:val="6"/>
                <w:color w:val="auto"/>
              </w:rPr>
            </w:pPr>
          </w:p>
        </w:tc>
        <w:tc>
          <w:tcPr>
            <w:tcW w:w="1380" w:type="dxa"/>
            <w:vAlign w:val="bottom"/>
            <w:vMerge w:val="restart"/>
          </w:tcPr>
          <w:p>
            <w:pPr>
              <w:jc w:val="right"/>
              <w:ind w:right="358"/>
              <w:spacing w:after="0"/>
              <w:rPr>
                <w:sz w:val="20"/>
                <w:szCs w:val="20"/>
                <w:color w:val="auto"/>
              </w:rPr>
            </w:pPr>
            <w:r>
              <w:rPr>
                <w:rFonts w:ascii="Arial" w:cs="Arial" w:eastAsia="Arial" w:hAnsi="Arial"/>
                <w:sz w:val="8"/>
                <w:szCs w:val="8"/>
                <w:color w:val="auto"/>
              </w:rPr>
              <w:t>Shell</w:t>
            </w:r>
          </w:p>
        </w:tc>
        <w:tc>
          <w:tcPr>
            <w:tcW w:w="800" w:type="dxa"/>
            <w:vAlign w:val="bottom"/>
            <w:gridSpan w:val="2"/>
          </w:tcPr>
          <w:p>
            <w:pPr>
              <w:jc w:val="right"/>
              <w:ind w:right="20"/>
              <w:spacing w:after="0" w:line="76" w:lineRule="exact"/>
              <w:rPr>
                <w:sz w:val="20"/>
                <w:szCs w:val="20"/>
                <w:color w:val="auto"/>
              </w:rPr>
            </w:pPr>
            <w:r>
              <w:rPr>
                <w:rFonts w:ascii="Arial" w:cs="Arial" w:eastAsia="Arial" w:hAnsi="Arial"/>
                <w:sz w:val="8"/>
                <w:szCs w:val="8"/>
                <w:color w:val="auto"/>
              </w:rPr>
              <w:t>Shell share of</w:t>
            </w:r>
          </w:p>
        </w:tc>
        <w:tc>
          <w:tcPr>
            <w:tcW w:w="0" w:type="dxa"/>
            <w:vAlign w:val="bottom"/>
          </w:tcPr>
          <w:p>
            <w:pPr>
              <w:spacing w:after="0"/>
              <w:rPr>
                <w:sz w:val="1"/>
                <w:szCs w:val="1"/>
                <w:color w:val="auto"/>
              </w:rPr>
            </w:pPr>
          </w:p>
        </w:tc>
      </w:tr>
      <w:tr>
        <w:trPr>
          <w:trHeight w:val="81"/>
        </w:trPr>
        <w:tc>
          <w:tcPr>
            <w:tcW w:w="1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620" w:type="dxa"/>
            <w:vAlign w:val="bottom"/>
            <w:gridSpan w:val="4"/>
          </w:tcPr>
          <w:p>
            <w:pPr>
              <w:jc w:val="right"/>
              <w:ind w:right="580"/>
              <w:spacing w:after="0" w:line="81" w:lineRule="exact"/>
              <w:rPr>
                <w:sz w:val="20"/>
                <w:szCs w:val="20"/>
                <w:color w:val="auto"/>
              </w:rPr>
            </w:pPr>
            <w:r>
              <w:rPr>
                <w:rFonts w:ascii="Arial" w:cs="Arial" w:eastAsia="Arial" w:hAnsi="Arial"/>
                <w:sz w:val="8"/>
                <w:szCs w:val="8"/>
                <w:color w:val="auto"/>
              </w:rPr>
              <w:t>joint ventures</w:t>
            </w:r>
          </w:p>
        </w:tc>
        <w:tc>
          <w:tcPr>
            <w:tcW w:w="840" w:type="dxa"/>
            <w:vAlign w:val="bottom"/>
            <w:vMerge w:val="continue"/>
          </w:tcPr>
          <w:p>
            <w:pPr>
              <w:spacing w:after="0"/>
              <w:rPr>
                <w:sz w:val="7"/>
                <w:szCs w:val="7"/>
                <w:color w:val="auto"/>
              </w:rPr>
            </w:pPr>
          </w:p>
        </w:tc>
        <w:tc>
          <w:tcPr>
            <w:tcW w:w="1300" w:type="dxa"/>
            <w:vAlign w:val="bottom"/>
            <w:gridSpan w:val="3"/>
          </w:tcPr>
          <w:p>
            <w:pPr>
              <w:jc w:val="right"/>
              <w:ind w:right="220"/>
              <w:spacing w:after="0" w:line="81" w:lineRule="exact"/>
              <w:rPr>
                <w:sz w:val="20"/>
                <w:szCs w:val="20"/>
                <w:color w:val="auto"/>
              </w:rPr>
            </w:pPr>
            <w:r>
              <w:rPr>
                <w:rFonts w:ascii="Arial" w:cs="Arial" w:eastAsia="Arial" w:hAnsi="Arial"/>
                <w:sz w:val="8"/>
                <w:szCs w:val="8"/>
                <w:color w:val="auto"/>
              </w:rPr>
              <w:t>joint ventures</w:t>
            </w:r>
          </w:p>
        </w:tc>
        <w:tc>
          <w:tcPr>
            <w:tcW w:w="1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800" w:type="dxa"/>
            <w:vAlign w:val="bottom"/>
            <w:gridSpan w:val="2"/>
          </w:tcPr>
          <w:p>
            <w:pPr>
              <w:jc w:val="right"/>
              <w:ind w:right="20"/>
              <w:spacing w:after="0" w:line="81" w:lineRule="exact"/>
              <w:rPr>
                <w:sz w:val="20"/>
                <w:szCs w:val="20"/>
                <w:color w:val="auto"/>
              </w:rPr>
            </w:pPr>
            <w:r>
              <w:rPr>
                <w:rFonts w:ascii="Arial" w:cs="Arial" w:eastAsia="Arial" w:hAnsi="Arial"/>
                <w:sz w:val="8"/>
                <w:szCs w:val="8"/>
                <w:color w:val="auto"/>
              </w:rPr>
              <w:t>joint ventures</w:t>
            </w:r>
          </w:p>
        </w:tc>
        <w:tc>
          <w:tcPr>
            <w:tcW w:w="0" w:type="dxa"/>
            <w:vAlign w:val="bottom"/>
          </w:tcPr>
          <w:p>
            <w:pPr>
              <w:spacing w:after="0"/>
              <w:rPr>
                <w:sz w:val="1"/>
                <w:szCs w:val="1"/>
                <w:color w:val="auto"/>
              </w:rPr>
            </w:pPr>
          </w:p>
        </w:tc>
      </w:tr>
      <w:tr>
        <w:trPr>
          <w:trHeight w:val="111"/>
        </w:trPr>
        <w:tc>
          <w:tcPr>
            <w:tcW w:w="1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subsidiaries</w:t>
            </w:r>
          </w:p>
        </w:tc>
        <w:tc>
          <w:tcPr>
            <w:tcW w:w="140" w:type="dxa"/>
            <w:vAlign w:val="bottom"/>
          </w:tcPr>
          <w:p>
            <w:pPr>
              <w:spacing w:after="0"/>
              <w:rPr>
                <w:sz w:val="9"/>
                <w:szCs w:val="9"/>
                <w:color w:val="auto"/>
              </w:rPr>
            </w:pPr>
          </w:p>
        </w:tc>
        <w:tc>
          <w:tcPr>
            <w:tcW w:w="1620" w:type="dxa"/>
            <w:vAlign w:val="bottom"/>
            <w:gridSpan w:val="4"/>
          </w:tcPr>
          <w:p>
            <w:pPr>
              <w:jc w:val="right"/>
              <w:ind w:right="580"/>
              <w:spacing w:after="0"/>
              <w:rPr>
                <w:sz w:val="20"/>
                <w:szCs w:val="20"/>
                <w:color w:val="auto"/>
              </w:rPr>
            </w:pPr>
            <w:r>
              <w:rPr>
                <w:rFonts w:ascii="Arial" w:cs="Arial" w:eastAsia="Arial" w:hAnsi="Arial"/>
                <w:sz w:val="8"/>
                <w:szCs w:val="8"/>
                <w:color w:val="auto"/>
              </w:rPr>
              <w:t>and associates</w:t>
            </w:r>
          </w:p>
        </w:tc>
        <w:tc>
          <w:tcPr>
            <w:tcW w:w="840" w:type="dxa"/>
            <w:vAlign w:val="bottom"/>
          </w:tcPr>
          <w:p>
            <w:pPr>
              <w:jc w:val="right"/>
              <w:ind w:right="54"/>
              <w:spacing w:after="0"/>
              <w:rPr>
                <w:sz w:val="20"/>
                <w:szCs w:val="20"/>
                <w:color w:val="auto"/>
              </w:rPr>
            </w:pPr>
            <w:r>
              <w:rPr>
                <w:rFonts w:ascii="Arial" w:cs="Arial" w:eastAsia="Arial" w:hAnsi="Arial"/>
                <w:sz w:val="8"/>
                <w:szCs w:val="8"/>
                <w:color w:val="auto"/>
              </w:rPr>
              <w:t>subsidiaries</w:t>
            </w:r>
          </w:p>
        </w:tc>
        <w:tc>
          <w:tcPr>
            <w:tcW w:w="1300" w:type="dxa"/>
            <w:vAlign w:val="bottom"/>
            <w:gridSpan w:val="3"/>
          </w:tcPr>
          <w:p>
            <w:pPr>
              <w:jc w:val="right"/>
              <w:ind w:right="220"/>
              <w:spacing w:after="0"/>
              <w:rPr>
                <w:sz w:val="20"/>
                <w:szCs w:val="20"/>
                <w:color w:val="auto"/>
              </w:rPr>
            </w:pPr>
            <w:r>
              <w:rPr>
                <w:rFonts w:ascii="Arial" w:cs="Arial" w:eastAsia="Arial" w:hAnsi="Arial"/>
                <w:sz w:val="8"/>
                <w:szCs w:val="8"/>
                <w:color w:val="auto"/>
              </w:rPr>
              <w:t>and associates</w:t>
            </w:r>
          </w:p>
        </w:tc>
        <w:tc>
          <w:tcPr>
            <w:tcW w:w="120" w:type="dxa"/>
            <w:vAlign w:val="bottom"/>
          </w:tcPr>
          <w:p>
            <w:pPr>
              <w:spacing w:after="0"/>
              <w:rPr>
                <w:sz w:val="9"/>
                <w:szCs w:val="9"/>
                <w:color w:val="auto"/>
              </w:rPr>
            </w:pPr>
          </w:p>
        </w:tc>
        <w:tc>
          <w:tcPr>
            <w:tcW w:w="1380" w:type="dxa"/>
            <w:vAlign w:val="bottom"/>
          </w:tcPr>
          <w:p>
            <w:pPr>
              <w:jc w:val="right"/>
              <w:ind w:right="358"/>
              <w:spacing w:after="0"/>
              <w:rPr>
                <w:sz w:val="20"/>
                <w:szCs w:val="20"/>
                <w:color w:val="auto"/>
              </w:rPr>
            </w:pPr>
            <w:r>
              <w:rPr>
                <w:rFonts w:ascii="Arial" w:cs="Arial" w:eastAsia="Arial" w:hAnsi="Arial"/>
                <w:sz w:val="8"/>
                <w:szCs w:val="8"/>
                <w:color w:val="auto"/>
              </w:rPr>
              <w:t>subsidiaries</w:t>
            </w:r>
          </w:p>
        </w:tc>
        <w:tc>
          <w:tcPr>
            <w:tcW w:w="800" w:type="dxa"/>
            <w:vAlign w:val="bottom"/>
            <w:gridSpan w:val="2"/>
          </w:tcPr>
          <w:p>
            <w:pPr>
              <w:jc w:val="right"/>
              <w:ind w:right="20"/>
              <w:spacing w:after="0"/>
              <w:rPr>
                <w:sz w:val="20"/>
                <w:szCs w:val="20"/>
                <w:color w:val="auto"/>
              </w:rPr>
            </w:pPr>
            <w:r>
              <w:rPr>
                <w:rFonts w:ascii="Arial" w:cs="Arial" w:eastAsia="Arial" w:hAnsi="Arial"/>
                <w:sz w:val="8"/>
                <w:szCs w:val="8"/>
                <w:color w:val="auto"/>
              </w:rPr>
              <w:t>and associates</w:t>
            </w:r>
          </w:p>
        </w:tc>
        <w:tc>
          <w:tcPr>
            <w:tcW w:w="0" w:type="dxa"/>
            <w:vAlign w:val="bottom"/>
          </w:tcPr>
          <w:p>
            <w:pPr>
              <w:spacing w:after="0"/>
              <w:rPr>
                <w:sz w:val="1"/>
                <w:szCs w:val="1"/>
                <w:color w:val="auto"/>
              </w:rPr>
            </w:pPr>
          </w:p>
        </w:tc>
      </w:tr>
      <w:tr>
        <w:trPr>
          <w:trHeight w:val="116"/>
        </w:trPr>
        <w:tc>
          <w:tcPr>
            <w:tcW w:w="176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Europe</w:t>
            </w: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color w:val="auto"/>
              </w:rPr>
              <w:t>20.50</w:t>
            </w: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color w:val="auto"/>
              </w:rPr>
              <w:t>11.44</w:t>
            </w:r>
          </w:p>
        </w:tc>
        <w:tc>
          <w:tcPr>
            <w:tcW w:w="1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94"/>
              <w:spacing w:after="0"/>
              <w:rPr>
                <w:sz w:val="20"/>
                <w:szCs w:val="20"/>
                <w:color w:val="auto"/>
              </w:rPr>
            </w:pPr>
            <w:r>
              <w:rPr>
                <w:rFonts w:ascii="Arial" w:cs="Arial" w:eastAsia="Arial" w:hAnsi="Arial"/>
                <w:sz w:val="10"/>
                <w:szCs w:val="10"/>
                <w:color w:val="auto"/>
              </w:rPr>
              <w:t>14.14</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5.76</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398"/>
              <w:spacing w:after="0"/>
              <w:rPr>
                <w:sz w:val="20"/>
                <w:szCs w:val="20"/>
                <w:color w:val="auto"/>
              </w:rPr>
            </w:pPr>
            <w:r>
              <w:rPr>
                <w:rFonts w:ascii="Arial" w:cs="Arial" w:eastAsia="Arial" w:hAnsi="Arial"/>
                <w:sz w:val="10"/>
                <w:szCs w:val="10"/>
                <w:color w:val="auto"/>
              </w:rPr>
              <w:t>15.03</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6.37</w:t>
            </w:r>
          </w:p>
        </w:tc>
        <w:tc>
          <w:tcPr>
            <w:tcW w:w="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760" w:type="dxa"/>
            <w:vAlign w:val="bottom"/>
          </w:tcPr>
          <w:p>
            <w:pPr>
              <w:spacing w:after="0"/>
              <w:rPr>
                <w:sz w:val="20"/>
                <w:szCs w:val="20"/>
                <w:color w:val="auto"/>
              </w:rPr>
            </w:pPr>
            <w:r>
              <w:rPr>
                <w:rFonts w:ascii="Arial" w:cs="Arial" w:eastAsia="Arial" w:hAnsi="Arial"/>
                <w:sz w:val="10"/>
                <w:szCs w:val="10"/>
                <w:color w:val="auto"/>
              </w:rPr>
              <w:t>Asia</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gridSpan w:val="2"/>
          </w:tcPr>
          <w:p>
            <w:pPr>
              <w:jc w:val="center"/>
              <w:ind w:left="273"/>
              <w:spacing w:after="0"/>
              <w:rPr>
                <w:sz w:val="20"/>
                <w:szCs w:val="20"/>
                <w:color w:val="auto"/>
              </w:rPr>
            </w:pPr>
            <w:r>
              <w:rPr>
                <w:rFonts w:ascii="Arial" w:cs="Arial" w:eastAsia="Arial" w:hAnsi="Arial"/>
                <w:sz w:val="10"/>
                <w:szCs w:val="10"/>
                <w:color w:val="auto"/>
                <w:w w:val="81"/>
              </w:rPr>
              <w:t>5.54</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6.83</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94"/>
              <w:spacing w:after="0"/>
              <w:rPr>
                <w:sz w:val="20"/>
                <w:szCs w:val="20"/>
                <w:color w:val="auto"/>
              </w:rPr>
            </w:pPr>
            <w:r>
              <w:rPr>
                <w:rFonts w:ascii="Arial" w:cs="Arial" w:eastAsia="Arial" w:hAnsi="Arial"/>
                <w:sz w:val="10"/>
                <w:szCs w:val="10"/>
                <w:color w:val="auto"/>
              </w:rPr>
              <w:t>6.30</w:t>
            </w:r>
          </w:p>
        </w:tc>
        <w:tc>
          <w:tcPr>
            <w:tcW w:w="1100" w:type="dxa"/>
            <w:vAlign w:val="bottom"/>
          </w:tcPr>
          <w:p>
            <w:pPr>
              <w:jc w:val="right"/>
              <w:spacing w:after="0"/>
              <w:rPr>
                <w:sz w:val="20"/>
                <w:szCs w:val="20"/>
                <w:color w:val="auto"/>
              </w:rPr>
            </w:pPr>
            <w:r>
              <w:rPr>
                <w:rFonts w:ascii="Arial" w:cs="Arial" w:eastAsia="Arial" w:hAnsi="Arial"/>
                <w:sz w:val="10"/>
                <w:szCs w:val="10"/>
                <w:color w:val="auto"/>
              </w:rPr>
              <w:t>6.17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tcPr>
          <w:p>
            <w:pPr>
              <w:jc w:val="right"/>
              <w:ind w:right="398"/>
              <w:spacing w:after="0"/>
              <w:rPr>
                <w:sz w:val="20"/>
                <w:szCs w:val="20"/>
                <w:color w:val="auto"/>
              </w:rPr>
            </w:pPr>
            <w:r>
              <w:rPr>
                <w:rFonts w:ascii="Arial" w:cs="Arial" w:eastAsia="Arial" w:hAnsi="Arial"/>
                <w:sz w:val="10"/>
                <w:szCs w:val="10"/>
                <w:color w:val="auto"/>
              </w:rPr>
              <w:t>6.52</w:t>
            </w:r>
          </w:p>
        </w:tc>
        <w:tc>
          <w:tcPr>
            <w:tcW w:w="760" w:type="dxa"/>
            <w:vAlign w:val="bottom"/>
          </w:tcPr>
          <w:p>
            <w:pPr>
              <w:jc w:val="right"/>
              <w:spacing w:after="0"/>
              <w:rPr>
                <w:sz w:val="20"/>
                <w:szCs w:val="20"/>
                <w:color w:val="auto"/>
              </w:rPr>
            </w:pPr>
            <w:r>
              <w:rPr>
                <w:rFonts w:ascii="Arial" w:cs="Arial" w:eastAsia="Arial" w:hAnsi="Arial"/>
                <w:sz w:val="10"/>
                <w:szCs w:val="10"/>
                <w:color w:val="auto"/>
              </w:rPr>
              <w:t>6.24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20"/>
                <w:szCs w:val="20"/>
                <w:color w:val="auto"/>
              </w:rPr>
            </w:pPr>
            <w:r>
              <w:rPr>
                <w:rFonts w:ascii="Arial" w:cs="Arial" w:eastAsia="Arial" w:hAnsi="Arial"/>
                <w:sz w:val="10"/>
                <w:szCs w:val="10"/>
                <w:color w:val="auto"/>
              </w:rPr>
              <w:t>Oceania</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gridSpan w:val="2"/>
          </w:tcPr>
          <w:p>
            <w:pPr>
              <w:jc w:val="center"/>
              <w:ind w:left="273"/>
              <w:spacing w:after="0"/>
              <w:rPr>
                <w:sz w:val="20"/>
                <w:szCs w:val="20"/>
                <w:color w:val="auto"/>
              </w:rPr>
            </w:pPr>
            <w:r>
              <w:rPr>
                <w:rFonts w:ascii="Arial" w:cs="Arial" w:eastAsia="Arial" w:hAnsi="Arial"/>
                <w:sz w:val="10"/>
                <w:szCs w:val="10"/>
                <w:color w:val="auto"/>
                <w:w w:val="81"/>
              </w:rPr>
              <w:t>8.92</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20.23</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94"/>
              <w:spacing w:after="0"/>
              <w:rPr>
                <w:sz w:val="20"/>
                <w:szCs w:val="20"/>
                <w:color w:val="auto"/>
              </w:rPr>
            </w:pPr>
            <w:r>
              <w:rPr>
                <w:rFonts w:ascii="Arial" w:cs="Arial" w:eastAsia="Arial" w:hAnsi="Arial"/>
                <w:sz w:val="10"/>
                <w:szCs w:val="10"/>
                <w:color w:val="auto"/>
              </w:rPr>
              <w:t>9.17</w:t>
            </w:r>
          </w:p>
        </w:tc>
        <w:tc>
          <w:tcPr>
            <w:tcW w:w="1100" w:type="dxa"/>
            <w:vAlign w:val="bottom"/>
          </w:tcPr>
          <w:p>
            <w:pPr>
              <w:jc w:val="right"/>
              <w:spacing w:after="0"/>
              <w:rPr>
                <w:sz w:val="20"/>
                <w:szCs w:val="20"/>
                <w:color w:val="auto"/>
              </w:rPr>
            </w:pPr>
            <w:r>
              <w:rPr>
                <w:rFonts w:ascii="Arial" w:cs="Arial" w:eastAsia="Arial" w:hAnsi="Arial"/>
                <w:sz w:val="10"/>
                <w:szCs w:val="10"/>
                <w:color w:val="auto"/>
              </w:rPr>
              <w:t>24.49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tcPr>
          <w:p>
            <w:pPr>
              <w:jc w:val="right"/>
              <w:ind w:right="398"/>
              <w:spacing w:after="0"/>
              <w:rPr>
                <w:sz w:val="20"/>
                <w:szCs w:val="20"/>
                <w:color w:val="auto"/>
              </w:rPr>
            </w:pPr>
            <w:r>
              <w:rPr>
                <w:rFonts w:ascii="Arial" w:cs="Arial" w:eastAsia="Arial" w:hAnsi="Arial"/>
                <w:sz w:val="10"/>
                <w:szCs w:val="10"/>
                <w:color w:val="auto"/>
              </w:rPr>
              <w:t>8.41</w:t>
            </w:r>
          </w:p>
        </w:tc>
        <w:tc>
          <w:tcPr>
            <w:tcW w:w="760" w:type="dxa"/>
            <w:vAlign w:val="bottom"/>
          </w:tcPr>
          <w:p>
            <w:pPr>
              <w:jc w:val="right"/>
              <w:spacing w:after="0"/>
              <w:rPr>
                <w:sz w:val="20"/>
                <w:szCs w:val="20"/>
                <w:color w:val="auto"/>
              </w:rPr>
            </w:pPr>
            <w:r>
              <w:rPr>
                <w:rFonts w:ascii="Arial" w:cs="Arial" w:eastAsia="Arial" w:hAnsi="Arial"/>
                <w:sz w:val="10"/>
                <w:szCs w:val="10"/>
                <w:color w:val="auto"/>
              </w:rPr>
              <w:t>32.18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20"/>
                <w:szCs w:val="20"/>
                <w:color w:val="auto"/>
              </w:rPr>
            </w:pPr>
            <w:r>
              <w:rPr>
                <w:rFonts w:ascii="Arial" w:cs="Arial" w:eastAsia="Arial" w:hAnsi="Arial"/>
                <w:sz w:val="10"/>
                <w:szCs w:val="10"/>
                <w:color w:val="auto"/>
              </w:rPr>
              <w:t>Africa</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gridSpan w:val="2"/>
          </w:tcPr>
          <w:p>
            <w:pPr>
              <w:jc w:val="center"/>
              <w:ind w:left="273"/>
              <w:spacing w:after="0"/>
              <w:rPr>
                <w:sz w:val="20"/>
                <w:szCs w:val="20"/>
                <w:color w:val="auto"/>
              </w:rPr>
            </w:pPr>
            <w:r>
              <w:rPr>
                <w:rFonts w:ascii="Arial" w:cs="Arial" w:eastAsia="Arial" w:hAnsi="Arial"/>
                <w:sz w:val="10"/>
                <w:szCs w:val="10"/>
                <w:color w:val="auto"/>
                <w:w w:val="81"/>
              </w:rPr>
              <w:t>9.43</w:t>
            </w:r>
          </w:p>
        </w:tc>
        <w:tc>
          <w:tcPr>
            <w:tcW w:w="140" w:type="dxa"/>
            <w:vAlign w:val="bottom"/>
          </w:tcPr>
          <w:p>
            <w:pPr>
              <w:spacing w:after="0"/>
              <w:rPr>
                <w:sz w:val="10"/>
                <w:szCs w:val="10"/>
                <w:color w:val="auto"/>
              </w:rPr>
            </w:pPr>
          </w:p>
        </w:tc>
        <w:tc>
          <w:tcPr>
            <w:tcW w:w="1620" w:type="dxa"/>
            <w:vAlign w:val="bottom"/>
            <w:gridSpan w:val="4"/>
          </w:tcPr>
          <w:p>
            <w:pPr>
              <w:jc w:val="right"/>
              <w:ind w:right="600"/>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94"/>
              <w:spacing w:after="0"/>
              <w:rPr>
                <w:sz w:val="20"/>
                <w:szCs w:val="20"/>
                <w:color w:val="auto"/>
              </w:rPr>
            </w:pPr>
            <w:r>
              <w:rPr>
                <w:rFonts w:ascii="Arial" w:cs="Arial" w:eastAsia="Arial" w:hAnsi="Arial"/>
                <w:sz w:val="10"/>
                <w:szCs w:val="10"/>
                <w:color w:val="auto"/>
              </w:rPr>
              <w:t>8.44</w:t>
            </w:r>
          </w:p>
        </w:tc>
        <w:tc>
          <w:tcPr>
            <w:tcW w:w="130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1500" w:type="dxa"/>
            <w:vAlign w:val="bottom"/>
            <w:gridSpan w:val="2"/>
          </w:tcPr>
          <w:p>
            <w:pPr>
              <w:jc w:val="right"/>
              <w:ind w:right="398"/>
              <w:spacing w:after="0"/>
              <w:rPr>
                <w:sz w:val="20"/>
                <w:szCs w:val="20"/>
                <w:color w:val="auto"/>
              </w:rPr>
            </w:pPr>
            <w:r>
              <w:rPr>
                <w:rFonts w:ascii="Arial" w:cs="Arial" w:eastAsia="Arial" w:hAnsi="Arial"/>
                <w:sz w:val="10"/>
                <w:szCs w:val="10"/>
                <w:color w:val="auto"/>
              </w:rPr>
              <w:t>8.25</w:t>
            </w: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1760" w:type="dxa"/>
            <w:vAlign w:val="bottom"/>
          </w:tcPr>
          <w:p>
            <w:pPr>
              <w:spacing w:after="0"/>
              <w:rPr>
                <w:sz w:val="20"/>
                <w:szCs w:val="20"/>
                <w:color w:val="auto"/>
              </w:rPr>
            </w:pPr>
            <w:r>
              <w:rPr>
                <w:rFonts w:ascii="Arial" w:cs="Arial" w:eastAsia="Arial" w:hAnsi="Arial"/>
                <w:sz w:val="10"/>
                <w:szCs w:val="10"/>
                <w:color w:val="auto"/>
              </w:rPr>
              <w:t>North America - USA</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12.50</w:t>
            </w:r>
          </w:p>
        </w:tc>
        <w:tc>
          <w:tcPr>
            <w:tcW w:w="140" w:type="dxa"/>
            <w:vAlign w:val="bottom"/>
          </w:tcPr>
          <w:p>
            <w:pPr>
              <w:spacing w:after="0"/>
              <w:rPr>
                <w:sz w:val="10"/>
                <w:szCs w:val="10"/>
                <w:color w:val="auto"/>
              </w:rPr>
            </w:pPr>
          </w:p>
        </w:tc>
        <w:tc>
          <w:tcPr>
            <w:tcW w:w="1620" w:type="dxa"/>
            <w:vAlign w:val="bottom"/>
            <w:gridSpan w:val="4"/>
          </w:tcPr>
          <w:p>
            <w:pPr>
              <w:jc w:val="right"/>
              <w:ind w:right="600"/>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94"/>
              <w:spacing w:after="0"/>
              <w:rPr>
                <w:sz w:val="20"/>
                <w:szCs w:val="20"/>
                <w:color w:val="auto"/>
              </w:rPr>
            </w:pPr>
            <w:r>
              <w:rPr>
                <w:rFonts w:ascii="Arial" w:cs="Arial" w:eastAsia="Arial" w:hAnsi="Arial"/>
                <w:sz w:val="10"/>
                <w:szCs w:val="10"/>
                <w:color w:val="auto"/>
              </w:rPr>
              <w:t>11.78</w:t>
            </w:r>
          </w:p>
        </w:tc>
        <w:tc>
          <w:tcPr>
            <w:tcW w:w="130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1500" w:type="dxa"/>
            <w:vAlign w:val="bottom"/>
            <w:gridSpan w:val="2"/>
          </w:tcPr>
          <w:p>
            <w:pPr>
              <w:jc w:val="right"/>
              <w:ind w:right="398"/>
              <w:spacing w:after="0"/>
              <w:rPr>
                <w:sz w:val="20"/>
                <w:szCs w:val="20"/>
                <w:color w:val="auto"/>
              </w:rPr>
            </w:pPr>
            <w:r>
              <w:rPr>
                <w:rFonts w:ascii="Arial" w:cs="Arial" w:eastAsia="Arial" w:hAnsi="Arial"/>
                <w:sz w:val="10"/>
                <w:szCs w:val="10"/>
                <w:color w:val="auto"/>
              </w:rPr>
              <w:t>12.78</w:t>
            </w: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1760" w:type="dxa"/>
            <w:vAlign w:val="bottom"/>
          </w:tcPr>
          <w:p>
            <w:pPr>
              <w:spacing w:after="0"/>
              <w:rPr>
                <w:sz w:val="20"/>
                <w:szCs w:val="20"/>
                <w:color w:val="auto"/>
              </w:rPr>
            </w:pPr>
            <w:r>
              <w:rPr>
                <w:rFonts w:ascii="Arial" w:cs="Arial" w:eastAsia="Arial" w:hAnsi="Arial"/>
                <w:sz w:val="10"/>
                <w:szCs w:val="10"/>
                <w:color w:val="auto"/>
              </w:rPr>
              <w:t>North America - Canada</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10.52</w:t>
            </w:r>
          </w:p>
        </w:tc>
        <w:tc>
          <w:tcPr>
            <w:tcW w:w="140" w:type="dxa"/>
            <w:vAlign w:val="bottom"/>
          </w:tcPr>
          <w:p>
            <w:pPr>
              <w:spacing w:after="0"/>
              <w:rPr>
                <w:sz w:val="10"/>
                <w:szCs w:val="10"/>
                <w:color w:val="auto"/>
              </w:rPr>
            </w:pPr>
          </w:p>
        </w:tc>
        <w:tc>
          <w:tcPr>
            <w:tcW w:w="1620" w:type="dxa"/>
            <w:vAlign w:val="bottom"/>
            <w:gridSpan w:val="4"/>
          </w:tcPr>
          <w:p>
            <w:pPr>
              <w:jc w:val="right"/>
              <w:ind w:right="600"/>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94"/>
              <w:spacing w:after="0"/>
              <w:rPr>
                <w:sz w:val="20"/>
                <w:szCs w:val="20"/>
                <w:color w:val="auto"/>
              </w:rPr>
            </w:pPr>
            <w:r>
              <w:rPr>
                <w:rFonts w:ascii="Arial" w:cs="Arial" w:eastAsia="Arial" w:hAnsi="Arial"/>
                <w:sz w:val="10"/>
                <w:szCs w:val="10"/>
                <w:color w:val="auto"/>
              </w:rPr>
              <w:t>11.88</w:t>
            </w:r>
          </w:p>
        </w:tc>
        <w:tc>
          <w:tcPr>
            <w:tcW w:w="130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1500" w:type="dxa"/>
            <w:vAlign w:val="bottom"/>
            <w:gridSpan w:val="2"/>
          </w:tcPr>
          <w:p>
            <w:pPr>
              <w:jc w:val="right"/>
              <w:ind w:right="398"/>
              <w:spacing w:after="0"/>
              <w:rPr>
                <w:sz w:val="20"/>
                <w:szCs w:val="20"/>
                <w:color w:val="auto"/>
              </w:rPr>
            </w:pPr>
            <w:r>
              <w:rPr>
                <w:rFonts w:ascii="Arial" w:cs="Arial" w:eastAsia="Arial" w:hAnsi="Arial"/>
                <w:sz w:val="10"/>
                <w:szCs w:val="10"/>
                <w:color w:val="auto"/>
              </w:rPr>
              <w:t>11.58</w:t>
            </w: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1760" w:type="dxa"/>
            <w:vAlign w:val="bottom"/>
          </w:tcPr>
          <w:p>
            <w:pPr>
              <w:spacing w:after="0"/>
              <w:rPr>
                <w:sz w:val="20"/>
                <w:szCs w:val="20"/>
                <w:color w:val="auto"/>
              </w:rPr>
            </w:pPr>
            <w:r>
              <w:rPr>
                <w:rFonts w:ascii="Arial" w:cs="Arial" w:eastAsia="Arial" w:hAnsi="Arial"/>
                <w:sz w:val="10"/>
                <w:szCs w:val="10"/>
                <w:color w:val="auto"/>
              </w:rPr>
              <w:t>South America</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gridSpan w:val="2"/>
          </w:tcPr>
          <w:p>
            <w:pPr>
              <w:jc w:val="center"/>
              <w:ind w:left="273"/>
              <w:spacing w:after="0"/>
              <w:rPr>
                <w:sz w:val="20"/>
                <w:szCs w:val="20"/>
                <w:color w:val="auto"/>
              </w:rPr>
            </w:pPr>
            <w:r>
              <w:rPr>
                <w:rFonts w:ascii="Arial" w:cs="Arial" w:eastAsia="Arial" w:hAnsi="Arial"/>
                <w:sz w:val="10"/>
                <w:szCs w:val="10"/>
                <w:color w:val="auto"/>
                <w:w w:val="81"/>
              </w:rPr>
              <w:t>5.12</w:t>
            </w:r>
          </w:p>
        </w:tc>
        <w:tc>
          <w:tcPr>
            <w:tcW w:w="140" w:type="dxa"/>
            <w:vAlign w:val="bottom"/>
          </w:tcPr>
          <w:p>
            <w:pPr>
              <w:spacing w:after="0"/>
              <w:rPr>
                <w:sz w:val="11"/>
                <w:szCs w:val="11"/>
                <w:color w:val="auto"/>
              </w:rPr>
            </w:pPr>
          </w:p>
        </w:tc>
        <w:tc>
          <w:tcPr>
            <w:tcW w:w="1620" w:type="dxa"/>
            <w:vAlign w:val="bottom"/>
            <w:gridSpan w:val="4"/>
          </w:tcPr>
          <w:p>
            <w:pPr>
              <w:jc w:val="right"/>
              <w:ind w:right="600"/>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94"/>
              <w:spacing w:after="0"/>
              <w:rPr>
                <w:sz w:val="20"/>
                <w:szCs w:val="20"/>
                <w:color w:val="auto"/>
              </w:rPr>
            </w:pPr>
            <w:r>
              <w:rPr>
                <w:rFonts w:ascii="Arial" w:cs="Arial" w:eastAsia="Arial" w:hAnsi="Arial"/>
                <w:sz w:val="10"/>
                <w:szCs w:val="10"/>
                <w:color w:val="auto"/>
              </w:rPr>
              <w:t>6.26</w:t>
            </w:r>
          </w:p>
        </w:tc>
        <w:tc>
          <w:tcPr>
            <w:tcW w:w="130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1500" w:type="dxa"/>
            <w:vAlign w:val="bottom"/>
            <w:gridSpan w:val="2"/>
          </w:tcPr>
          <w:p>
            <w:pPr>
              <w:jc w:val="right"/>
              <w:ind w:right="398"/>
              <w:spacing w:after="0"/>
              <w:rPr>
                <w:sz w:val="20"/>
                <w:szCs w:val="20"/>
                <w:color w:val="auto"/>
              </w:rPr>
            </w:pPr>
            <w:r>
              <w:rPr>
                <w:rFonts w:ascii="Arial" w:cs="Arial" w:eastAsia="Arial" w:hAnsi="Arial"/>
                <w:sz w:val="10"/>
                <w:szCs w:val="10"/>
                <w:color w:val="auto"/>
              </w:rPr>
              <w:t>8.60</w:t>
            </w: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1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Total</w:t>
            </w:r>
          </w:p>
        </w:tc>
        <w:tc>
          <w:tcPr>
            <w:tcW w:w="32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gridSpan w:val="2"/>
          </w:tcPr>
          <w:p>
            <w:pPr>
              <w:jc w:val="center"/>
              <w:ind w:left="273"/>
              <w:spacing w:after="0"/>
              <w:rPr>
                <w:sz w:val="20"/>
                <w:szCs w:val="20"/>
                <w:color w:val="auto"/>
              </w:rPr>
            </w:pPr>
            <w:r>
              <w:rPr>
                <w:rFonts w:ascii="Arial" w:cs="Arial" w:eastAsia="Arial" w:hAnsi="Arial"/>
                <w:sz w:val="10"/>
                <w:szCs w:val="10"/>
                <w:color w:val="auto"/>
                <w:w w:val="81"/>
              </w:rPr>
              <w:t>8.49</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rPr>
              <w:t>6.94</w:t>
            </w:r>
          </w:p>
        </w:tc>
        <w:tc>
          <w:tcPr>
            <w:tcW w:w="120" w:type="dxa"/>
            <w:vAlign w:val="bottom"/>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0"/>
                <w:szCs w:val="10"/>
                <w:color w:val="auto"/>
              </w:rPr>
              <w:t>8.95</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6.48</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500" w:type="dxa"/>
            <w:vAlign w:val="bottom"/>
            <w:tcBorders>
              <w:top w:val="single" w:sz="8" w:color="auto"/>
              <w:bottom w:val="single" w:sz="8" w:color="auto"/>
            </w:tcBorders>
            <w:gridSpan w:val="2"/>
          </w:tcPr>
          <w:p>
            <w:pPr>
              <w:jc w:val="right"/>
              <w:ind w:right="398"/>
              <w:spacing w:after="0"/>
              <w:rPr>
                <w:sz w:val="20"/>
                <w:szCs w:val="20"/>
                <w:color w:val="auto"/>
              </w:rPr>
            </w:pPr>
            <w:r>
              <w:rPr>
                <w:rFonts w:ascii="Arial" w:cs="Arial" w:eastAsia="Arial" w:hAnsi="Arial"/>
                <w:sz w:val="10"/>
                <w:szCs w:val="10"/>
                <w:color w:val="auto"/>
              </w:rPr>
              <w:t>9.66</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6.81</w:t>
            </w:r>
          </w:p>
        </w:tc>
        <w:tc>
          <w:tcPr>
            <w:tcW w:w="4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40" w:type="dxa"/>
            <w:vAlign w:val="bottom"/>
            <w:gridSpan w:val="4"/>
          </w:tcPr>
          <w:p>
            <w:pPr>
              <w:spacing w:after="0"/>
              <w:rPr>
                <w:sz w:val="20"/>
                <w:szCs w:val="20"/>
                <w:color w:val="auto"/>
              </w:rPr>
            </w:pPr>
            <w:r>
              <w:rPr>
                <w:rFonts w:ascii="Arial" w:cs="Arial" w:eastAsia="Arial" w:hAnsi="Arial"/>
                <w:sz w:val="7"/>
                <w:szCs w:val="7"/>
                <w:color w:val="auto"/>
                <w:w w:val="93"/>
              </w:rPr>
              <w:t>[A] Natural gas volumes are converted into oil equivalent using a factor of 5,800 scf per barrel.</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60" w:type="dxa"/>
            <w:vAlign w:val="bottom"/>
            <w:tcBorders>
              <w:bottom w:val="single" w:sz="8" w:color="CDCDCD"/>
            </w:tcBorders>
          </w:tcPr>
          <w:p>
            <w:pPr>
              <w:spacing w:after="0"/>
              <w:rPr>
                <w:sz w:val="8"/>
                <w:szCs w:val="8"/>
                <w:color w:val="auto"/>
              </w:rPr>
            </w:pPr>
          </w:p>
        </w:tc>
        <w:tc>
          <w:tcPr>
            <w:tcW w:w="320" w:type="dxa"/>
            <w:vAlign w:val="bottom"/>
            <w:tcBorders>
              <w:bottom w:val="single" w:sz="8" w:color="CDCDCD"/>
            </w:tcBorders>
          </w:tcPr>
          <w:p>
            <w:pPr>
              <w:spacing w:after="0"/>
              <w:rPr>
                <w:sz w:val="8"/>
                <w:szCs w:val="8"/>
                <w:color w:val="auto"/>
              </w:rPr>
            </w:pPr>
          </w:p>
        </w:tc>
        <w:tc>
          <w:tcPr>
            <w:tcW w:w="180" w:type="dxa"/>
            <w:vAlign w:val="bottom"/>
            <w:tcBorders>
              <w:bottom w:val="single" w:sz="8" w:color="CDCDCD"/>
            </w:tcBorders>
          </w:tcPr>
          <w:p>
            <w:pPr>
              <w:spacing w:after="0"/>
              <w:rPr>
                <w:sz w:val="8"/>
                <w:szCs w:val="8"/>
                <w:color w:val="auto"/>
              </w:rPr>
            </w:pPr>
          </w:p>
        </w:tc>
        <w:tc>
          <w:tcPr>
            <w:tcW w:w="480" w:type="dxa"/>
            <w:vAlign w:val="bottom"/>
            <w:tcBorders>
              <w:bottom w:val="single" w:sz="8" w:color="CDCDCD"/>
            </w:tcBorders>
          </w:tcPr>
          <w:p>
            <w:pPr>
              <w:spacing w:after="0"/>
              <w:rPr>
                <w:sz w:val="8"/>
                <w:szCs w:val="8"/>
                <w:color w:val="auto"/>
              </w:rPr>
            </w:pPr>
          </w:p>
        </w:tc>
        <w:tc>
          <w:tcPr>
            <w:tcW w:w="60" w:type="dxa"/>
            <w:vAlign w:val="bottom"/>
            <w:tcBorders>
              <w:bottom w:val="single" w:sz="8" w:color="CDCDCD"/>
            </w:tcBorders>
          </w:tcPr>
          <w:p>
            <w:pPr>
              <w:spacing w:after="0"/>
              <w:rPr>
                <w:sz w:val="8"/>
                <w:szCs w:val="8"/>
                <w:color w:val="auto"/>
              </w:rPr>
            </w:pPr>
          </w:p>
        </w:tc>
        <w:tc>
          <w:tcPr>
            <w:tcW w:w="500" w:type="dxa"/>
            <w:vAlign w:val="bottom"/>
            <w:tcBorders>
              <w:bottom w:val="single" w:sz="8" w:color="CDCDCD"/>
            </w:tcBorders>
          </w:tcPr>
          <w:p>
            <w:pPr>
              <w:spacing w:after="0"/>
              <w:rPr>
                <w:sz w:val="8"/>
                <w:szCs w:val="8"/>
                <w:color w:val="auto"/>
              </w:rPr>
            </w:pPr>
          </w:p>
        </w:tc>
        <w:tc>
          <w:tcPr>
            <w:tcW w:w="620" w:type="dxa"/>
            <w:vAlign w:val="bottom"/>
            <w:tcBorders>
              <w:bottom w:val="single" w:sz="8" w:color="CDCDCD"/>
            </w:tcBorders>
          </w:tcPr>
          <w:p>
            <w:pPr>
              <w:spacing w:after="0"/>
              <w:rPr>
                <w:sz w:val="8"/>
                <w:szCs w:val="8"/>
                <w:color w:val="auto"/>
              </w:rPr>
            </w:pPr>
          </w:p>
        </w:tc>
        <w:tc>
          <w:tcPr>
            <w:tcW w:w="60" w:type="dxa"/>
            <w:vAlign w:val="bottom"/>
            <w:tcBorders>
              <w:bottom w:val="single" w:sz="8" w:color="CDCDCD"/>
            </w:tcBorders>
          </w:tcPr>
          <w:p>
            <w:pPr>
              <w:spacing w:after="0"/>
              <w:rPr>
                <w:sz w:val="8"/>
                <w:szCs w:val="8"/>
                <w:color w:val="auto"/>
              </w:rPr>
            </w:pPr>
          </w:p>
        </w:tc>
        <w:tc>
          <w:tcPr>
            <w:tcW w:w="80" w:type="dxa"/>
            <w:vAlign w:val="bottom"/>
            <w:tcBorders>
              <w:bottom w:val="single" w:sz="8" w:color="CDCDCD"/>
            </w:tcBorders>
          </w:tcPr>
          <w:p>
            <w:pPr>
              <w:spacing w:after="0"/>
              <w:rPr>
                <w:sz w:val="8"/>
                <w:szCs w:val="8"/>
                <w:color w:val="auto"/>
              </w:rPr>
            </w:pPr>
          </w:p>
        </w:tc>
        <w:tc>
          <w:tcPr>
            <w:tcW w:w="480" w:type="dxa"/>
            <w:vAlign w:val="bottom"/>
            <w:tcBorders>
              <w:bottom w:val="single" w:sz="8" w:color="CDCDCD"/>
            </w:tcBorders>
          </w:tcPr>
          <w:p>
            <w:pPr>
              <w:spacing w:after="0"/>
              <w:rPr>
                <w:sz w:val="8"/>
                <w:szCs w:val="8"/>
                <w:color w:val="auto"/>
              </w:rPr>
            </w:pPr>
          </w:p>
        </w:tc>
        <w:tc>
          <w:tcPr>
            <w:tcW w:w="80" w:type="dxa"/>
            <w:vAlign w:val="bottom"/>
            <w:tcBorders>
              <w:bottom w:val="single" w:sz="8" w:color="CDCDCD"/>
            </w:tcBorders>
          </w:tcPr>
          <w:p>
            <w:pPr>
              <w:spacing w:after="0"/>
              <w:rPr>
                <w:sz w:val="8"/>
                <w:szCs w:val="8"/>
                <w:color w:val="auto"/>
              </w:rPr>
            </w:pPr>
          </w:p>
        </w:tc>
        <w:tc>
          <w:tcPr>
            <w:tcW w:w="480" w:type="dxa"/>
            <w:vAlign w:val="bottom"/>
            <w:tcBorders>
              <w:bottom w:val="single" w:sz="8" w:color="CDCDCD"/>
            </w:tcBorders>
          </w:tcPr>
          <w:p>
            <w:pPr>
              <w:spacing w:after="0"/>
              <w:rPr>
                <w:sz w:val="8"/>
                <w:szCs w:val="8"/>
                <w:color w:val="auto"/>
              </w:rPr>
            </w:pPr>
          </w:p>
        </w:tc>
        <w:tc>
          <w:tcPr>
            <w:tcW w:w="140" w:type="dxa"/>
            <w:vAlign w:val="bottom"/>
            <w:tcBorders>
              <w:bottom w:val="single" w:sz="8" w:color="CDCDCD"/>
            </w:tcBorders>
          </w:tcPr>
          <w:p>
            <w:pPr>
              <w:spacing w:after="0"/>
              <w:rPr>
                <w:sz w:val="8"/>
                <w:szCs w:val="8"/>
                <w:color w:val="auto"/>
              </w:rPr>
            </w:pPr>
          </w:p>
        </w:tc>
        <w:tc>
          <w:tcPr>
            <w:tcW w:w="1060" w:type="dxa"/>
            <w:vAlign w:val="bottom"/>
            <w:tcBorders>
              <w:bottom w:val="single" w:sz="8" w:color="CDCDCD"/>
            </w:tcBorders>
          </w:tcPr>
          <w:p>
            <w:pPr>
              <w:spacing w:after="0"/>
              <w:rPr>
                <w:sz w:val="8"/>
                <w:szCs w:val="8"/>
                <w:color w:val="auto"/>
              </w:rPr>
            </w:pPr>
          </w:p>
        </w:tc>
        <w:tc>
          <w:tcPr>
            <w:tcW w:w="120" w:type="dxa"/>
            <w:vAlign w:val="bottom"/>
            <w:tcBorders>
              <w:bottom w:val="single" w:sz="8" w:color="CDCDCD"/>
            </w:tcBorders>
          </w:tcPr>
          <w:p>
            <w:pPr>
              <w:spacing w:after="0"/>
              <w:rPr>
                <w:sz w:val="8"/>
                <w:szCs w:val="8"/>
                <w:color w:val="auto"/>
              </w:rPr>
            </w:pPr>
          </w:p>
        </w:tc>
        <w:tc>
          <w:tcPr>
            <w:tcW w:w="320" w:type="dxa"/>
            <w:vAlign w:val="bottom"/>
            <w:tcBorders>
              <w:bottom w:val="single" w:sz="8" w:color="CDCDCD"/>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CDCDCD"/>
            </w:tcBorders>
          </w:tcPr>
          <w:p>
            <w:pPr>
              <w:spacing w:after="0"/>
              <w:rPr>
                <w:sz w:val="8"/>
                <w:szCs w:val="8"/>
                <w:color w:val="auto"/>
              </w:rPr>
            </w:pPr>
          </w:p>
        </w:tc>
        <w:tc>
          <w:tcPr>
            <w:tcW w:w="1100" w:type="dxa"/>
            <w:vAlign w:val="bottom"/>
            <w:tcBorders>
              <w:bottom w:val="single" w:sz="8" w:color="CDCDCD"/>
            </w:tcBorders>
          </w:tcPr>
          <w:p>
            <w:pPr>
              <w:spacing w:after="0"/>
              <w:rPr>
                <w:sz w:val="8"/>
                <w:szCs w:val="8"/>
                <w:color w:val="auto"/>
              </w:rPr>
            </w:pPr>
          </w:p>
        </w:tc>
        <w:tc>
          <w:tcPr>
            <w:tcW w:w="120" w:type="dxa"/>
            <w:vAlign w:val="bottom"/>
            <w:tcBorders>
              <w:bottom w:val="single" w:sz="8" w:color="CDCDCD"/>
            </w:tcBorders>
          </w:tcPr>
          <w:p>
            <w:pPr>
              <w:spacing w:after="0"/>
              <w:rPr>
                <w:sz w:val="8"/>
                <w:szCs w:val="8"/>
                <w:color w:val="auto"/>
              </w:rPr>
            </w:pPr>
          </w:p>
        </w:tc>
        <w:tc>
          <w:tcPr>
            <w:tcW w:w="80" w:type="dxa"/>
            <w:vAlign w:val="bottom"/>
            <w:tcBorders>
              <w:bottom w:val="single" w:sz="8" w:color="CDCDCD"/>
            </w:tcBorders>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Borders>
              <w:bottom w:val="single" w:sz="8" w:color="CDCDCD"/>
            </w:tcBorders>
          </w:tcPr>
          <w:p>
            <w:pPr>
              <w:spacing w:after="0"/>
              <w:rPr>
                <w:sz w:val="8"/>
                <w:szCs w:val="8"/>
                <w:color w:val="auto"/>
              </w:rPr>
            </w:pPr>
          </w:p>
        </w:tc>
        <w:tc>
          <w:tcPr>
            <w:tcW w:w="760" w:type="dxa"/>
            <w:vAlign w:val="bottom"/>
            <w:tcBorders>
              <w:bottom w:val="single" w:sz="8" w:color="CDCDCD"/>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20"/>
                <w:szCs w:val="20"/>
                <w:color w:val="auto"/>
              </w:rPr>
            </w:pPr>
            <w:r>
              <w:rPr>
                <w:rFonts w:ascii="Arial" w:cs="Arial" w:eastAsia="Arial" w:hAnsi="Arial"/>
                <w:sz w:val="10"/>
                <w:szCs w:val="10"/>
                <w:color w:val="auto"/>
              </w:rPr>
              <w:t>Synthetic crude oil</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$/barrel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8"/>
                <w:szCs w:val="8"/>
                <w:color w:val="auto"/>
              </w:rPr>
              <w:t>2020</w:t>
            </w:r>
          </w:p>
        </w:tc>
        <w:tc>
          <w:tcPr>
            <w:tcW w:w="12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8"/>
                <w:szCs w:val="8"/>
                <w:color w:val="auto"/>
              </w:rPr>
              <w:t>2019</w:t>
            </w:r>
          </w:p>
        </w:tc>
        <w:tc>
          <w:tcPr>
            <w:tcW w:w="120" w:type="dxa"/>
            <w:vAlign w:val="bottom"/>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gridSpan w:val="2"/>
          </w:tcPr>
          <w:p>
            <w:pPr>
              <w:jc w:val="right"/>
              <w:ind w:right="120"/>
              <w:spacing w:after="0" w:line="76" w:lineRule="exact"/>
              <w:rPr>
                <w:sz w:val="20"/>
                <w:szCs w:val="20"/>
                <w:color w:val="auto"/>
              </w:rPr>
            </w:pPr>
            <w:r>
              <w:rPr>
                <w:rFonts w:ascii="Arial" w:cs="Arial" w:eastAsia="Arial" w:hAnsi="Arial"/>
                <w:sz w:val="8"/>
                <w:szCs w:val="8"/>
                <w:color w:val="auto"/>
              </w:rPr>
              <w:t>Shell</w:t>
            </w:r>
          </w:p>
        </w:tc>
        <w:tc>
          <w:tcPr>
            <w:tcW w:w="8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gridSpan w:val="2"/>
          </w:tcPr>
          <w:p>
            <w:pPr>
              <w:jc w:val="right"/>
              <w:ind w:right="20"/>
              <w:spacing w:after="0" w:line="76" w:lineRule="exact"/>
              <w:rPr>
                <w:sz w:val="20"/>
                <w:szCs w:val="20"/>
                <w:color w:val="auto"/>
              </w:rPr>
            </w:pPr>
            <w:r>
              <w:rPr>
                <w:rFonts w:ascii="Arial" w:cs="Arial" w:eastAsia="Arial" w:hAnsi="Arial"/>
                <w:sz w:val="8"/>
                <w:szCs w:val="8"/>
                <w:color w:val="auto"/>
                <w:w w:val="89"/>
              </w:rPr>
              <w:t>Shell</w:t>
            </w: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0" w:type="dxa"/>
            <w:vAlign w:val="bottom"/>
            <w:gridSpan w:val="2"/>
          </w:tcPr>
          <w:p>
            <w:pPr>
              <w:jc w:val="right"/>
              <w:ind w:right="60"/>
              <w:spacing w:after="0" w:line="76" w:lineRule="exact"/>
              <w:rPr>
                <w:sz w:val="20"/>
                <w:szCs w:val="20"/>
                <w:color w:val="auto"/>
              </w:rPr>
            </w:pPr>
            <w:r>
              <w:rPr>
                <w:rFonts w:ascii="Arial" w:cs="Arial" w:eastAsia="Arial" w:hAnsi="Arial"/>
                <w:sz w:val="8"/>
                <w:szCs w:val="8"/>
                <w:color w:val="auto"/>
              </w:rPr>
              <w:t>Shell</w:t>
            </w:r>
          </w:p>
        </w:tc>
        <w:tc>
          <w:tcPr>
            <w:tcW w:w="0" w:type="dxa"/>
            <w:vAlign w:val="bottom"/>
          </w:tcPr>
          <w:p>
            <w:pPr>
              <w:spacing w:after="0"/>
              <w:rPr>
                <w:sz w:val="1"/>
                <w:szCs w:val="1"/>
                <w:color w:val="auto"/>
              </w:rPr>
            </w:pPr>
          </w:p>
        </w:tc>
      </w:tr>
      <w:tr>
        <w:trPr>
          <w:trHeight w:val="111"/>
        </w:trPr>
        <w:tc>
          <w:tcPr>
            <w:tcW w:w="1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gridSpan w:val="3"/>
          </w:tcPr>
          <w:p>
            <w:pPr>
              <w:jc w:val="center"/>
              <w:ind w:right="80"/>
              <w:spacing w:after="0"/>
              <w:rPr>
                <w:sz w:val="20"/>
                <w:szCs w:val="20"/>
                <w:color w:val="auto"/>
              </w:rPr>
            </w:pPr>
            <w:r>
              <w:rPr>
                <w:rFonts w:ascii="Arial" w:cs="Arial" w:eastAsia="Arial" w:hAnsi="Arial"/>
                <w:sz w:val="8"/>
                <w:szCs w:val="8"/>
                <w:color w:val="auto"/>
                <w:w w:val="94"/>
              </w:rPr>
              <w:t>subsidiaries</w:t>
            </w:r>
          </w:p>
        </w:tc>
        <w:tc>
          <w:tcPr>
            <w:tcW w:w="840" w:type="dxa"/>
            <w:vAlign w:val="bottom"/>
          </w:tcPr>
          <w:p>
            <w:pPr>
              <w:spacing w:after="0"/>
              <w:rPr>
                <w:sz w:val="9"/>
                <w:szCs w:val="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8"/>
                <w:szCs w:val="8"/>
                <w:color w:val="auto"/>
              </w:rPr>
              <w:t>subsidiaries</w:t>
            </w: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8"/>
                <w:szCs w:val="8"/>
                <w:color w:val="auto"/>
              </w:rPr>
              <w:t>subsidiaries</w:t>
            </w:r>
          </w:p>
        </w:tc>
        <w:tc>
          <w:tcPr>
            <w:tcW w:w="0" w:type="dxa"/>
            <w:vAlign w:val="bottom"/>
          </w:tcPr>
          <w:p>
            <w:pPr>
              <w:spacing w:after="0"/>
              <w:rPr>
                <w:sz w:val="1"/>
                <w:szCs w:val="1"/>
                <w:color w:val="auto"/>
              </w:rPr>
            </w:pPr>
          </w:p>
        </w:tc>
      </w:tr>
      <w:tr>
        <w:trPr>
          <w:trHeight w:val="119"/>
        </w:trPr>
        <w:tc>
          <w:tcPr>
            <w:tcW w:w="1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North America - Canada</w:t>
            </w:r>
          </w:p>
        </w:tc>
        <w:tc>
          <w:tcPr>
            <w:tcW w:w="32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1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0"/>
                <w:szCs w:val="10"/>
                <w:color w:val="auto"/>
              </w:rPr>
              <w:t>18.28</w:t>
            </w:r>
          </w:p>
        </w:tc>
        <w:tc>
          <w:tcPr>
            <w:tcW w:w="120" w:type="dxa"/>
            <w:vAlign w:val="bottom"/>
          </w:tcPr>
          <w:p>
            <w:pPr>
              <w:spacing w:after="0"/>
              <w:rPr>
                <w:sz w:val="10"/>
                <w:szCs w:val="10"/>
                <w:color w:val="auto"/>
              </w:rPr>
            </w:pPr>
          </w:p>
        </w:tc>
        <w:tc>
          <w:tcPr>
            <w:tcW w:w="840" w:type="dxa"/>
            <w:vAlign w:val="bottom"/>
            <w:tcBorders>
              <w:top w:val="single" w:sz="8" w:color="auto"/>
              <w:bottom w:val="single" w:sz="8" w:color="auto"/>
            </w:tcBorders>
          </w:tcPr>
          <w:p>
            <w:pPr>
              <w:spacing w:after="0"/>
              <w:rPr>
                <w:sz w:val="10"/>
                <w:szCs w:val="10"/>
                <w:color w:val="auto"/>
              </w:rPr>
            </w:pPr>
          </w:p>
        </w:tc>
        <w:tc>
          <w:tcPr>
            <w:tcW w:w="130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0"/>
                <w:szCs w:val="10"/>
                <w:color w:val="auto"/>
              </w:rPr>
              <w:t>19.29</w:t>
            </w:r>
          </w:p>
        </w:tc>
        <w:tc>
          <w:tcPr>
            <w:tcW w:w="120" w:type="dxa"/>
            <w:vAlign w:val="bottom"/>
          </w:tcPr>
          <w:p>
            <w:pPr>
              <w:spacing w:after="0"/>
              <w:rPr>
                <w:sz w:val="10"/>
                <w:szCs w:val="10"/>
                <w:color w:val="auto"/>
              </w:rPr>
            </w:pPr>
          </w:p>
        </w:tc>
        <w:tc>
          <w:tcPr>
            <w:tcW w:w="13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20.15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0"/>
        </w:trPr>
        <w:tc>
          <w:tcPr>
            <w:tcW w:w="176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gridSpan w:val="2"/>
          </w:tcPr>
          <w:p>
            <w:pPr>
              <w:jc w:val="right"/>
              <w:ind w:right="656"/>
              <w:spacing w:after="0"/>
              <w:rPr>
                <w:sz w:val="20"/>
                <w:szCs w:val="20"/>
                <w:color w:val="auto"/>
              </w:rPr>
            </w:pPr>
            <w:r>
              <w:rPr>
                <w:rFonts w:ascii="Arial" w:cs="Arial" w:eastAsia="Arial" w:hAnsi="Arial"/>
                <w:sz w:val="7"/>
                <w:szCs w:val="7"/>
                <w:color w:val="auto"/>
              </w:rPr>
              <w:t>50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sectPr>
      </w:pPr>
    </w:p>
    <w:bookmarkStart w:id="53" w:name="page54"/>
    <w:bookmarkEnd w:id="53"/>
    <w:p>
      <w:pPr>
        <w:ind w:left="8"/>
        <w:spacing w:after="0"/>
        <w:rPr>
          <w:sz w:val="20"/>
          <w:szCs w:val="20"/>
          <w:color w:val="auto"/>
        </w:rPr>
      </w:pPr>
      <w:r>
        <w:rPr>
          <w:rFonts w:ascii="Arial" w:cs="Arial" w:eastAsia="Arial" w:hAnsi="Arial"/>
          <w:sz w:val="24"/>
          <w:szCs w:val="24"/>
          <w:color w:val="auto"/>
        </w:rPr>
        <w:t>OIL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62915" cy="228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8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732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spacing w:after="0"/>
              <w:rPr>
                <w:sz w:val="13"/>
                <w:szCs w:val="13"/>
                <w:color w:val="auto"/>
              </w:rPr>
            </w:pPr>
          </w:p>
        </w:tc>
        <w:tc>
          <w:tcPr>
            <w:tcW w:w="134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w w:val="88"/>
              </w:rPr>
              <w:t>$ million, except where indicated</w:t>
            </w:r>
          </w:p>
        </w:tc>
      </w:tr>
      <w:tr>
        <w:trPr>
          <w:trHeight w:val="116"/>
        </w:trPr>
        <w:tc>
          <w:tcPr>
            <w:tcW w:w="73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2020</w:t>
            </w:r>
          </w:p>
        </w:tc>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8"/>
                <w:szCs w:val="8"/>
                <w:color w:val="auto"/>
                <w:w w:val="89"/>
              </w:rPr>
              <w:t>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2018</w:t>
            </w:r>
          </w:p>
        </w:tc>
      </w:tr>
      <w:tr>
        <w:trPr>
          <w:trHeight w:val="116"/>
        </w:trPr>
        <w:tc>
          <w:tcPr>
            <w:tcW w:w="7320" w:type="dxa"/>
            <w:vAlign w:val="bottom"/>
          </w:tcPr>
          <w:p>
            <w:pPr>
              <w:spacing w:after="0"/>
              <w:rPr>
                <w:sz w:val="20"/>
                <w:szCs w:val="20"/>
                <w:color w:val="auto"/>
              </w:rPr>
            </w:pPr>
            <w:r>
              <w:rPr>
                <w:rFonts w:ascii="Arial" w:cs="Arial" w:eastAsia="Arial" w:hAnsi="Arial"/>
                <w:sz w:val="10"/>
                <w:szCs w:val="10"/>
                <w:color w:val="auto"/>
              </w:rPr>
              <w:t>Segment earnings [A]</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(494)</w:t>
            </w:r>
          </w:p>
        </w:tc>
        <w:tc>
          <w:tcPr>
            <w:tcW w:w="1340" w:type="dxa"/>
            <w:vAlign w:val="bottom"/>
          </w:tcPr>
          <w:p>
            <w:pPr>
              <w:jc w:val="right"/>
              <w:spacing w:after="0"/>
              <w:rPr>
                <w:sz w:val="20"/>
                <w:szCs w:val="20"/>
                <w:color w:val="auto"/>
              </w:rPr>
            </w:pPr>
            <w:r>
              <w:rPr>
                <w:rFonts w:ascii="Arial" w:cs="Arial" w:eastAsia="Arial" w:hAnsi="Arial"/>
                <w:sz w:val="10"/>
                <w:szCs w:val="10"/>
                <w:color w:val="auto"/>
              </w:rPr>
              <w:t>6,139</w:t>
            </w:r>
          </w:p>
        </w:tc>
        <w:tc>
          <w:tcPr>
            <w:tcW w:w="1320" w:type="dxa"/>
            <w:vAlign w:val="bottom"/>
          </w:tcPr>
          <w:p>
            <w:pPr>
              <w:jc w:val="right"/>
              <w:spacing w:after="0"/>
              <w:rPr>
                <w:sz w:val="20"/>
                <w:szCs w:val="20"/>
                <w:color w:val="auto"/>
              </w:rPr>
            </w:pPr>
            <w:r>
              <w:rPr>
                <w:rFonts w:ascii="Arial" w:cs="Arial" w:eastAsia="Arial" w:hAnsi="Arial"/>
                <w:sz w:val="10"/>
                <w:szCs w:val="10"/>
                <w:color w:val="auto"/>
              </w:rPr>
              <w:t>6,025</w:t>
            </w:r>
          </w:p>
        </w:tc>
      </w:tr>
      <w:tr>
        <w:trPr>
          <w:trHeight w:val="123"/>
        </w:trPr>
        <w:tc>
          <w:tcPr>
            <w:tcW w:w="7320" w:type="dxa"/>
            <w:vAlign w:val="bottom"/>
          </w:tcPr>
          <w:p>
            <w:pPr>
              <w:spacing w:after="0"/>
              <w:rPr>
                <w:sz w:val="20"/>
                <w:szCs w:val="20"/>
                <w:color w:val="auto"/>
              </w:rPr>
            </w:pPr>
            <w:r>
              <w:rPr>
                <w:rFonts w:ascii="Arial" w:cs="Arial" w:eastAsia="Arial" w:hAnsi="Arial"/>
                <w:sz w:val="10"/>
                <w:szCs w:val="10"/>
                <w:color w:val="auto"/>
              </w:rPr>
              <w:t>Including:</w:t>
            </w:r>
          </w:p>
        </w:tc>
        <w:tc>
          <w:tcPr>
            <w:tcW w:w="1320" w:type="dxa"/>
            <w:vAlign w:val="bottom"/>
            <w:shd w:val="clear" w:color="auto" w:fill="D9D9D9"/>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26"/>
        </w:trPr>
        <w:tc>
          <w:tcPr>
            <w:tcW w:w="7320" w:type="dxa"/>
            <w:vAlign w:val="bottom"/>
          </w:tcPr>
          <w:p>
            <w:pPr>
              <w:ind w:left="140"/>
              <w:spacing w:after="0"/>
              <w:rPr>
                <w:sz w:val="20"/>
                <w:szCs w:val="20"/>
                <w:color w:val="auto"/>
              </w:rPr>
            </w:pPr>
            <w:r>
              <w:rPr>
                <w:rFonts w:ascii="Arial" w:cs="Arial" w:eastAsia="Arial" w:hAnsi="Arial"/>
                <w:sz w:val="10"/>
                <w:szCs w:val="10"/>
                <w:color w:val="auto"/>
              </w:rPr>
              <w:t>Revenue (including inter-segment sales)</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134,930</w:t>
            </w:r>
          </w:p>
        </w:tc>
        <w:tc>
          <w:tcPr>
            <w:tcW w:w="1340" w:type="dxa"/>
            <w:vAlign w:val="bottom"/>
          </w:tcPr>
          <w:p>
            <w:pPr>
              <w:jc w:val="right"/>
              <w:spacing w:after="0"/>
              <w:rPr>
                <w:sz w:val="20"/>
                <w:szCs w:val="20"/>
                <w:color w:val="auto"/>
              </w:rPr>
            </w:pPr>
            <w:r>
              <w:rPr>
                <w:rFonts w:ascii="Arial" w:cs="Arial" w:eastAsia="Arial" w:hAnsi="Arial"/>
                <w:sz w:val="10"/>
                <w:szCs w:val="10"/>
                <w:color w:val="auto"/>
              </w:rPr>
              <w:t>288,279</w:t>
            </w:r>
          </w:p>
        </w:tc>
        <w:tc>
          <w:tcPr>
            <w:tcW w:w="1320" w:type="dxa"/>
            <w:vAlign w:val="bottom"/>
          </w:tcPr>
          <w:p>
            <w:pPr>
              <w:jc w:val="right"/>
              <w:spacing w:after="0"/>
              <w:rPr>
                <w:sz w:val="20"/>
                <w:szCs w:val="20"/>
                <w:color w:val="auto"/>
              </w:rPr>
            </w:pPr>
            <w:r>
              <w:rPr>
                <w:rFonts w:ascii="Arial" w:cs="Arial" w:eastAsia="Arial" w:hAnsi="Arial"/>
                <w:sz w:val="10"/>
                <w:szCs w:val="10"/>
                <w:color w:val="auto"/>
              </w:rPr>
              <w:t>327,022</w:t>
            </w:r>
          </w:p>
        </w:tc>
      </w:tr>
      <w:tr>
        <w:trPr>
          <w:trHeight w:val="126"/>
        </w:trPr>
        <w:tc>
          <w:tcPr>
            <w:tcW w:w="7320" w:type="dxa"/>
            <w:vAlign w:val="bottom"/>
          </w:tcPr>
          <w:p>
            <w:pPr>
              <w:ind w:left="140"/>
              <w:spacing w:after="0"/>
              <w:rPr>
                <w:sz w:val="20"/>
                <w:szCs w:val="20"/>
                <w:color w:val="auto"/>
              </w:rPr>
            </w:pPr>
            <w:r>
              <w:rPr>
                <w:rFonts w:ascii="Arial" w:cs="Arial" w:eastAsia="Arial" w:hAnsi="Arial"/>
                <w:sz w:val="10"/>
                <w:szCs w:val="10"/>
                <w:color w:val="auto"/>
              </w:rPr>
              <w:t>Share of profit of joint ventures and associates [A]</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988</w:t>
            </w:r>
          </w:p>
        </w:tc>
        <w:tc>
          <w:tcPr>
            <w:tcW w:w="1340" w:type="dxa"/>
            <w:vAlign w:val="bottom"/>
          </w:tcPr>
          <w:p>
            <w:pPr>
              <w:jc w:val="right"/>
              <w:spacing w:after="0"/>
              <w:rPr>
                <w:sz w:val="20"/>
                <w:szCs w:val="20"/>
                <w:color w:val="auto"/>
              </w:rPr>
            </w:pPr>
            <w:r>
              <w:rPr>
                <w:rFonts w:ascii="Arial" w:cs="Arial" w:eastAsia="Arial" w:hAnsi="Arial"/>
                <w:sz w:val="10"/>
                <w:szCs w:val="10"/>
                <w:color w:val="auto"/>
              </w:rPr>
              <w:t>1,179</w:t>
            </w:r>
          </w:p>
        </w:tc>
        <w:tc>
          <w:tcPr>
            <w:tcW w:w="1320" w:type="dxa"/>
            <w:vAlign w:val="bottom"/>
          </w:tcPr>
          <w:p>
            <w:pPr>
              <w:jc w:val="right"/>
              <w:spacing w:after="0"/>
              <w:rPr>
                <w:sz w:val="20"/>
                <w:szCs w:val="20"/>
                <w:color w:val="auto"/>
              </w:rPr>
            </w:pPr>
            <w:r>
              <w:rPr>
                <w:rFonts w:ascii="Arial" w:cs="Arial" w:eastAsia="Arial" w:hAnsi="Arial"/>
                <w:sz w:val="10"/>
                <w:szCs w:val="10"/>
                <w:color w:val="auto"/>
              </w:rPr>
              <w:t>1,101</w:t>
            </w:r>
          </w:p>
        </w:tc>
      </w:tr>
      <w:tr>
        <w:trPr>
          <w:trHeight w:val="126"/>
        </w:trPr>
        <w:tc>
          <w:tcPr>
            <w:tcW w:w="7320" w:type="dxa"/>
            <w:vAlign w:val="bottom"/>
          </w:tcPr>
          <w:p>
            <w:pPr>
              <w:ind w:left="140"/>
              <w:spacing w:after="0"/>
              <w:rPr>
                <w:sz w:val="20"/>
                <w:szCs w:val="20"/>
                <w:color w:val="auto"/>
              </w:rPr>
            </w:pPr>
            <w:r>
              <w:rPr>
                <w:rFonts w:ascii="Arial" w:cs="Arial" w:eastAsia="Arial" w:hAnsi="Arial"/>
                <w:sz w:val="10"/>
                <w:szCs w:val="10"/>
                <w:color w:val="auto"/>
              </w:rPr>
              <w:t>Interest and other income</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(93)</w:t>
            </w:r>
          </w:p>
        </w:tc>
        <w:tc>
          <w:tcPr>
            <w:tcW w:w="1340" w:type="dxa"/>
            <w:vAlign w:val="bottom"/>
          </w:tcPr>
          <w:p>
            <w:pPr>
              <w:jc w:val="right"/>
              <w:spacing w:after="0"/>
              <w:rPr>
                <w:sz w:val="20"/>
                <w:szCs w:val="20"/>
                <w:color w:val="auto"/>
              </w:rPr>
            </w:pPr>
            <w:r>
              <w:rPr>
                <w:rFonts w:ascii="Arial" w:cs="Arial" w:eastAsia="Arial" w:hAnsi="Arial"/>
                <w:sz w:val="10"/>
                <w:szCs w:val="10"/>
                <w:color w:val="auto"/>
              </w:rPr>
              <w:t>273</w:t>
            </w:r>
          </w:p>
        </w:tc>
        <w:tc>
          <w:tcPr>
            <w:tcW w:w="1320" w:type="dxa"/>
            <w:vAlign w:val="bottom"/>
          </w:tcPr>
          <w:p>
            <w:pPr>
              <w:jc w:val="right"/>
              <w:spacing w:after="0"/>
              <w:rPr>
                <w:sz w:val="20"/>
                <w:szCs w:val="20"/>
                <w:color w:val="auto"/>
              </w:rPr>
            </w:pPr>
            <w:r>
              <w:rPr>
                <w:rFonts w:ascii="Arial" w:cs="Arial" w:eastAsia="Arial" w:hAnsi="Arial"/>
                <w:sz w:val="10"/>
                <w:szCs w:val="10"/>
                <w:color w:val="auto"/>
              </w:rPr>
              <w:t>393</w:t>
            </w:r>
          </w:p>
        </w:tc>
      </w:tr>
      <w:tr>
        <w:trPr>
          <w:trHeight w:val="126"/>
        </w:trPr>
        <w:tc>
          <w:tcPr>
            <w:tcW w:w="7320" w:type="dxa"/>
            <w:vAlign w:val="bottom"/>
          </w:tcPr>
          <w:p>
            <w:pPr>
              <w:ind w:left="140"/>
              <w:spacing w:after="0"/>
              <w:rPr>
                <w:sz w:val="20"/>
                <w:szCs w:val="20"/>
                <w:color w:val="auto"/>
              </w:rPr>
            </w:pPr>
            <w:r>
              <w:rPr>
                <w:rFonts w:ascii="Arial" w:cs="Arial" w:eastAsia="Arial" w:hAnsi="Arial"/>
                <w:sz w:val="10"/>
                <w:szCs w:val="10"/>
                <w:color w:val="auto"/>
              </w:rPr>
              <w:t>Operating expenses [B]</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13,511</w:t>
            </w:r>
          </w:p>
        </w:tc>
        <w:tc>
          <w:tcPr>
            <w:tcW w:w="1340" w:type="dxa"/>
            <w:vAlign w:val="bottom"/>
          </w:tcPr>
          <w:p>
            <w:pPr>
              <w:jc w:val="right"/>
              <w:spacing w:after="0"/>
              <w:rPr>
                <w:sz w:val="20"/>
                <w:szCs w:val="20"/>
                <w:color w:val="auto"/>
              </w:rPr>
            </w:pPr>
            <w:r>
              <w:rPr>
                <w:rFonts w:ascii="Arial" w:cs="Arial" w:eastAsia="Arial" w:hAnsi="Arial"/>
                <w:sz w:val="10"/>
                <w:szCs w:val="10"/>
                <w:color w:val="auto"/>
              </w:rPr>
              <w:t>15,730</w:t>
            </w:r>
          </w:p>
        </w:tc>
        <w:tc>
          <w:tcPr>
            <w:tcW w:w="1320" w:type="dxa"/>
            <w:vAlign w:val="bottom"/>
          </w:tcPr>
          <w:p>
            <w:pPr>
              <w:jc w:val="right"/>
              <w:spacing w:after="0"/>
              <w:rPr>
                <w:sz w:val="20"/>
                <w:szCs w:val="20"/>
                <w:color w:val="auto"/>
              </w:rPr>
            </w:pPr>
            <w:r>
              <w:rPr>
                <w:rFonts w:ascii="Arial" w:cs="Arial" w:eastAsia="Arial" w:hAnsi="Arial"/>
                <w:sz w:val="10"/>
                <w:szCs w:val="10"/>
                <w:color w:val="auto"/>
              </w:rPr>
              <w:t>17,615</w:t>
            </w:r>
          </w:p>
        </w:tc>
      </w:tr>
      <w:tr>
        <w:trPr>
          <w:trHeight w:val="126"/>
        </w:trPr>
        <w:tc>
          <w:tcPr>
            <w:tcW w:w="7320" w:type="dxa"/>
            <w:vAlign w:val="bottom"/>
          </w:tcPr>
          <w:p>
            <w:pPr>
              <w:ind w:left="140"/>
              <w:spacing w:after="0"/>
              <w:rPr>
                <w:sz w:val="20"/>
                <w:szCs w:val="20"/>
                <w:color w:val="auto"/>
              </w:rPr>
            </w:pPr>
            <w:r>
              <w:rPr>
                <w:rFonts w:ascii="Arial" w:cs="Arial" w:eastAsia="Arial" w:hAnsi="Arial"/>
                <w:sz w:val="10"/>
                <w:szCs w:val="10"/>
                <w:color w:val="auto"/>
              </w:rPr>
              <w:t>Depreciation, depletion and amortisation</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10,473</w:t>
            </w:r>
          </w:p>
        </w:tc>
        <w:tc>
          <w:tcPr>
            <w:tcW w:w="1340" w:type="dxa"/>
            <w:vAlign w:val="bottom"/>
          </w:tcPr>
          <w:p>
            <w:pPr>
              <w:jc w:val="right"/>
              <w:spacing w:after="0"/>
              <w:rPr>
                <w:sz w:val="20"/>
                <w:szCs w:val="20"/>
                <w:color w:val="auto"/>
              </w:rPr>
            </w:pPr>
            <w:r>
              <w:rPr>
                <w:rFonts w:ascii="Arial" w:cs="Arial" w:eastAsia="Arial" w:hAnsi="Arial"/>
                <w:sz w:val="10"/>
                <w:szCs w:val="10"/>
                <w:color w:val="auto"/>
              </w:rPr>
              <w:t>4,461</w:t>
            </w:r>
          </w:p>
        </w:tc>
        <w:tc>
          <w:tcPr>
            <w:tcW w:w="1320" w:type="dxa"/>
            <w:vAlign w:val="bottom"/>
          </w:tcPr>
          <w:p>
            <w:pPr>
              <w:jc w:val="right"/>
              <w:spacing w:after="0"/>
              <w:rPr>
                <w:sz w:val="20"/>
                <w:szCs w:val="20"/>
                <w:color w:val="auto"/>
              </w:rPr>
            </w:pPr>
            <w:r>
              <w:rPr>
                <w:rFonts w:ascii="Arial" w:cs="Arial" w:eastAsia="Arial" w:hAnsi="Arial"/>
                <w:sz w:val="10"/>
                <w:szCs w:val="10"/>
                <w:color w:val="auto"/>
              </w:rPr>
              <w:t>3,165</w:t>
            </w:r>
          </w:p>
        </w:tc>
      </w:tr>
      <w:tr>
        <w:trPr>
          <w:trHeight w:val="130"/>
        </w:trPr>
        <w:tc>
          <w:tcPr>
            <w:tcW w:w="732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Taxation charge [A]</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(898)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1,211</w:t>
            </w:r>
          </w:p>
        </w:tc>
      </w:tr>
      <w:tr>
        <w:trPr>
          <w:trHeight w:val="114"/>
        </w:trPr>
        <w:tc>
          <w:tcPr>
            <w:tcW w:w="7320" w:type="dxa"/>
            <w:vAlign w:val="bottom"/>
          </w:tcPr>
          <w:p>
            <w:pPr>
              <w:spacing w:after="0"/>
              <w:rPr>
                <w:sz w:val="20"/>
                <w:szCs w:val="20"/>
                <w:color w:val="auto"/>
              </w:rPr>
            </w:pPr>
            <w:r>
              <w:rPr>
                <w:rFonts w:ascii="Arial" w:cs="Arial" w:eastAsia="Arial" w:hAnsi="Arial"/>
                <w:sz w:val="10"/>
                <w:szCs w:val="10"/>
                <w:color w:val="auto"/>
              </w:rPr>
              <w:t>Identified Items [B]</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(6,489)</w:t>
            </w:r>
          </w:p>
        </w:tc>
        <w:tc>
          <w:tcPr>
            <w:tcW w:w="1340" w:type="dxa"/>
            <w:vAlign w:val="bottom"/>
          </w:tcPr>
          <w:p>
            <w:pPr>
              <w:ind w:left="1160"/>
              <w:spacing w:after="0"/>
              <w:rPr>
                <w:sz w:val="20"/>
                <w:szCs w:val="20"/>
                <w:color w:val="auto"/>
              </w:rPr>
            </w:pPr>
            <w:r>
              <w:rPr>
                <w:rFonts w:ascii="Arial" w:cs="Arial" w:eastAsia="Arial" w:hAnsi="Arial"/>
                <w:sz w:val="10"/>
                <w:szCs w:val="10"/>
                <w:color w:val="auto"/>
                <w:w w:val="89"/>
              </w:rPr>
              <w:t>(93)</w:t>
            </w:r>
          </w:p>
        </w:tc>
        <w:tc>
          <w:tcPr>
            <w:tcW w:w="1320" w:type="dxa"/>
            <w:vAlign w:val="bottom"/>
          </w:tcPr>
          <w:p>
            <w:pPr>
              <w:jc w:val="right"/>
              <w:spacing w:after="0"/>
              <w:rPr>
                <w:sz w:val="20"/>
                <w:szCs w:val="20"/>
                <w:color w:val="auto"/>
              </w:rPr>
            </w:pPr>
            <w:r>
              <w:rPr>
                <w:rFonts w:ascii="Arial" w:cs="Arial" w:eastAsia="Arial" w:hAnsi="Arial"/>
                <w:sz w:val="10"/>
                <w:szCs w:val="10"/>
                <w:color w:val="auto"/>
              </w:rPr>
              <w:t>231</w:t>
            </w:r>
          </w:p>
        </w:tc>
      </w:tr>
      <w:tr>
        <w:trPr>
          <w:trHeight w:val="123"/>
        </w:trPr>
        <w:tc>
          <w:tcPr>
            <w:tcW w:w="7320" w:type="dxa"/>
            <w:vAlign w:val="bottom"/>
          </w:tcPr>
          <w:p>
            <w:pPr>
              <w:spacing w:after="0"/>
              <w:rPr>
                <w:sz w:val="20"/>
                <w:szCs w:val="20"/>
                <w:color w:val="auto"/>
              </w:rPr>
            </w:pPr>
            <w:r>
              <w:rPr>
                <w:rFonts w:ascii="Arial" w:cs="Arial" w:eastAsia="Arial" w:hAnsi="Arial"/>
                <w:sz w:val="10"/>
                <w:szCs w:val="10"/>
                <w:color w:val="auto"/>
              </w:rPr>
              <w:t>Adjusted Earnings [B]</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5,995</w:t>
            </w:r>
          </w:p>
        </w:tc>
        <w:tc>
          <w:tcPr>
            <w:tcW w:w="1340" w:type="dxa"/>
            <w:vAlign w:val="bottom"/>
          </w:tcPr>
          <w:p>
            <w:pPr>
              <w:jc w:val="right"/>
              <w:spacing w:after="0"/>
              <w:rPr>
                <w:sz w:val="20"/>
                <w:szCs w:val="20"/>
                <w:color w:val="auto"/>
              </w:rPr>
            </w:pPr>
            <w:r>
              <w:rPr>
                <w:rFonts w:ascii="Arial" w:cs="Arial" w:eastAsia="Arial" w:hAnsi="Arial"/>
                <w:sz w:val="10"/>
                <w:szCs w:val="10"/>
                <w:color w:val="auto"/>
              </w:rPr>
              <w:t>6,231</w:t>
            </w:r>
          </w:p>
        </w:tc>
        <w:tc>
          <w:tcPr>
            <w:tcW w:w="1320" w:type="dxa"/>
            <w:vAlign w:val="bottom"/>
          </w:tcPr>
          <w:p>
            <w:pPr>
              <w:jc w:val="right"/>
              <w:spacing w:after="0"/>
              <w:rPr>
                <w:sz w:val="20"/>
                <w:szCs w:val="20"/>
                <w:color w:val="auto"/>
              </w:rPr>
            </w:pPr>
            <w:r>
              <w:rPr>
                <w:rFonts w:ascii="Arial" w:cs="Arial" w:eastAsia="Arial" w:hAnsi="Arial"/>
                <w:sz w:val="10"/>
                <w:szCs w:val="10"/>
                <w:color w:val="auto"/>
              </w:rPr>
              <w:t>5,794</w:t>
            </w:r>
          </w:p>
        </w:tc>
      </w:tr>
      <w:tr>
        <w:trPr>
          <w:trHeight w:val="126"/>
        </w:trPr>
        <w:tc>
          <w:tcPr>
            <w:tcW w:w="7320" w:type="dxa"/>
            <w:vAlign w:val="bottom"/>
          </w:tcPr>
          <w:p>
            <w:pPr>
              <w:spacing w:after="0"/>
              <w:rPr>
                <w:sz w:val="20"/>
                <w:szCs w:val="20"/>
                <w:color w:val="auto"/>
              </w:rPr>
            </w:pPr>
            <w:r>
              <w:rPr>
                <w:rFonts w:ascii="Arial" w:cs="Arial" w:eastAsia="Arial" w:hAnsi="Arial"/>
                <w:sz w:val="10"/>
                <w:szCs w:val="10"/>
                <w:color w:val="auto"/>
              </w:rPr>
              <w:t>Capital expenditure</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3,236</w:t>
            </w:r>
          </w:p>
        </w:tc>
        <w:tc>
          <w:tcPr>
            <w:tcW w:w="1340" w:type="dxa"/>
            <w:vAlign w:val="bottom"/>
          </w:tcPr>
          <w:p>
            <w:pPr>
              <w:jc w:val="right"/>
              <w:spacing w:after="0"/>
              <w:rPr>
                <w:sz w:val="20"/>
                <w:szCs w:val="20"/>
                <w:color w:val="auto"/>
              </w:rPr>
            </w:pPr>
            <w:r>
              <w:rPr>
                <w:rFonts w:ascii="Arial" w:cs="Arial" w:eastAsia="Arial" w:hAnsi="Arial"/>
                <w:sz w:val="10"/>
                <w:szCs w:val="10"/>
                <w:color w:val="auto"/>
              </w:rPr>
              <w:t>4,654</w:t>
            </w:r>
          </w:p>
        </w:tc>
        <w:tc>
          <w:tcPr>
            <w:tcW w:w="1320" w:type="dxa"/>
            <w:vAlign w:val="bottom"/>
          </w:tcPr>
          <w:p>
            <w:pPr>
              <w:jc w:val="right"/>
              <w:spacing w:after="0"/>
              <w:rPr>
                <w:sz w:val="20"/>
                <w:szCs w:val="20"/>
                <w:color w:val="auto"/>
              </w:rPr>
            </w:pPr>
            <w:r>
              <w:rPr>
                <w:rFonts w:ascii="Arial" w:cs="Arial" w:eastAsia="Arial" w:hAnsi="Arial"/>
                <w:sz w:val="10"/>
                <w:szCs w:val="10"/>
                <w:color w:val="auto"/>
              </w:rPr>
              <w:t>4,389</w:t>
            </w:r>
          </w:p>
        </w:tc>
      </w:tr>
      <w:tr>
        <w:trPr>
          <w:trHeight w:val="126"/>
        </w:trPr>
        <w:tc>
          <w:tcPr>
            <w:tcW w:w="7320" w:type="dxa"/>
            <w:vAlign w:val="bottom"/>
          </w:tcPr>
          <w:p>
            <w:pPr>
              <w:spacing w:after="0"/>
              <w:rPr>
                <w:sz w:val="20"/>
                <w:szCs w:val="20"/>
                <w:color w:val="auto"/>
              </w:rPr>
            </w:pPr>
            <w:r>
              <w:rPr>
                <w:rFonts w:ascii="Arial" w:cs="Arial" w:eastAsia="Arial" w:hAnsi="Arial"/>
                <w:sz w:val="10"/>
                <w:szCs w:val="10"/>
                <w:color w:val="auto"/>
              </w:rPr>
              <w:t>Cash capital expenditure [B]</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3,328</w:t>
            </w:r>
          </w:p>
        </w:tc>
        <w:tc>
          <w:tcPr>
            <w:tcW w:w="1340" w:type="dxa"/>
            <w:vAlign w:val="bottom"/>
          </w:tcPr>
          <w:p>
            <w:pPr>
              <w:jc w:val="right"/>
              <w:spacing w:after="0"/>
              <w:rPr>
                <w:sz w:val="20"/>
                <w:szCs w:val="20"/>
                <w:color w:val="auto"/>
              </w:rPr>
            </w:pPr>
            <w:r>
              <w:rPr>
                <w:rFonts w:ascii="Arial" w:cs="Arial" w:eastAsia="Arial" w:hAnsi="Arial"/>
                <w:sz w:val="10"/>
                <w:szCs w:val="10"/>
                <w:color w:val="auto"/>
              </w:rPr>
              <w:t>4,907</w:t>
            </w:r>
          </w:p>
        </w:tc>
        <w:tc>
          <w:tcPr>
            <w:tcW w:w="1320" w:type="dxa"/>
            <w:vAlign w:val="bottom"/>
          </w:tcPr>
          <w:p>
            <w:pPr>
              <w:jc w:val="right"/>
              <w:spacing w:after="0"/>
              <w:rPr>
                <w:sz w:val="20"/>
                <w:szCs w:val="20"/>
                <w:color w:val="auto"/>
              </w:rPr>
            </w:pPr>
            <w:r>
              <w:rPr>
                <w:rFonts w:ascii="Arial" w:cs="Arial" w:eastAsia="Arial" w:hAnsi="Arial"/>
                <w:sz w:val="10"/>
                <w:szCs w:val="10"/>
                <w:color w:val="auto"/>
              </w:rPr>
              <w:t>4,643</w:t>
            </w:r>
          </w:p>
        </w:tc>
      </w:tr>
      <w:tr>
        <w:trPr>
          <w:trHeight w:val="126"/>
        </w:trPr>
        <w:tc>
          <w:tcPr>
            <w:tcW w:w="7320" w:type="dxa"/>
            <w:vAlign w:val="bottom"/>
          </w:tcPr>
          <w:p>
            <w:pPr>
              <w:spacing w:after="0"/>
              <w:rPr>
                <w:sz w:val="20"/>
                <w:szCs w:val="20"/>
                <w:color w:val="auto"/>
              </w:rPr>
            </w:pPr>
            <w:r>
              <w:rPr>
                <w:rFonts w:ascii="Arial" w:cs="Arial" w:eastAsia="Arial" w:hAnsi="Arial"/>
                <w:sz w:val="10"/>
                <w:szCs w:val="10"/>
                <w:color w:val="auto"/>
              </w:rPr>
              <w:t>Refinery utilisation (%) [C]</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72</w:t>
            </w:r>
          </w:p>
        </w:tc>
        <w:tc>
          <w:tcPr>
            <w:tcW w:w="1340" w:type="dxa"/>
            <w:vAlign w:val="bottom"/>
          </w:tcPr>
          <w:p>
            <w:pPr>
              <w:jc w:val="right"/>
              <w:spacing w:after="0"/>
              <w:rPr>
                <w:sz w:val="20"/>
                <w:szCs w:val="20"/>
                <w:color w:val="auto"/>
              </w:rPr>
            </w:pPr>
            <w:r>
              <w:rPr>
                <w:rFonts w:ascii="Arial" w:cs="Arial" w:eastAsia="Arial" w:hAnsi="Arial"/>
                <w:sz w:val="10"/>
                <w:szCs w:val="10"/>
                <w:color w:val="auto"/>
              </w:rPr>
              <w:t>78</w:t>
            </w:r>
          </w:p>
        </w:tc>
        <w:tc>
          <w:tcPr>
            <w:tcW w:w="1320" w:type="dxa"/>
            <w:vAlign w:val="bottom"/>
          </w:tcPr>
          <w:p>
            <w:pPr>
              <w:jc w:val="right"/>
              <w:spacing w:after="0"/>
              <w:rPr>
                <w:sz w:val="20"/>
                <w:szCs w:val="20"/>
                <w:color w:val="auto"/>
              </w:rPr>
            </w:pPr>
            <w:r>
              <w:rPr>
                <w:rFonts w:ascii="Arial" w:cs="Arial" w:eastAsia="Arial" w:hAnsi="Arial"/>
                <w:sz w:val="10"/>
                <w:szCs w:val="10"/>
                <w:color w:val="auto"/>
              </w:rPr>
              <w:t>78</w:t>
            </w:r>
          </w:p>
        </w:tc>
      </w:tr>
      <w:tr>
        <w:trPr>
          <w:trHeight w:val="126"/>
        </w:trPr>
        <w:tc>
          <w:tcPr>
            <w:tcW w:w="7320" w:type="dxa"/>
            <w:vAlign w:val="bottom"/>
          </w:tcPr>
          <w:p>
            <w:pPr>
              <w:spacing w:after="0"/>
              <w:rPr>
                <w:sz w:val="20"/>
                <w:szCs w:val="20"/>
                <w:color w:val="auto"/>
              </w:rPr>
            </w:pPr>
            <w:r>
              <w:rPr>
                <w:rFonts w:ascii="Arial" w:cs="Arial" w:eastAsia="Arial" w:hAnsi="Arial"/>
                <w:sz w:val="10"/>
                <w:szCs w:val="10"/>
                <w:color w:val="auto"/>
              </w:rPr>
              <w:t>Refinery processing intake (thousand b/d)</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2,063</w:t>
            </w:r>
          </w:p>
        </w:tc>
        <w:tc>
          <w:tcPr>
            <w:tcW w:w="1340" w:type="dxa"/>
            <w:vAlign w:val="bottom"/>
          </w:tcPr>
          <w:p>
            <w:pPr>
              <w:jc w:val="right"/>
              <w:spacing w:after="0"/>
              <w:rPr>
                <w:sz w:val="20"/>
                <w:szCs w:val="20"/>
                <w:color w:val="auto"/>
              </w:rPr>
            </w:pPr>
            <w:r>
              <w:rPr>
                <w:rFonts w:ascii="Arial" w:cs="Arial" w:eastAsia="Arial" w:hAnsi="Arial"/>
                <w:sz w:val="10"/>
                <w:szCs w:val="10"/>
                <w:color w:val="auto"/>
              </w:rPr>
              <w:t>2,564</w:t>
            </w:r>
          </w:p>
        </w:tc>
        <w:tc>
          <w:tcPr>
            <w:tcW w:w="1320" w:type="dxa"/>
            <w:vAlign w:val="bottom"/>
          </w:tcPr>
          <w:p>
            <w:pPr>
              <w:jc w:val="right"/>
              <w:spacing w:after="0"/>
              <w:rPr>
                <w:sz w:val="20"/>
                <w:szCs w:val="20"/>
                <w:color w:val="auto"/>
              </w:rPr>
            </w:pPr>
            <w:r>
              <w:rPr>
                <w:rFonts w:ascii="Arial" w:cs="Arial" w:eastAsia="Arial" w:hAnsi="Arial"/>
                <w:sz w:val="10"/>
                <w:szCs w:val="10"/>
                <w:color w:val="auto"/>
              </w:rPr>
              <w:t>2,648</w:t>
            </w:r>
          </w:p>
        </w:tc>
      </w:tr>
      <w:tr>
        <w:trPr>
          <w:trHeight w:val="130"/>
        </w:trPr>
        <w:tc>
          <w:tcPr>
            <w:tcW w:w="7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Oil Products sales volumes (thousand b/d)</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4,710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6,561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6,783</w:t>
            </w:r>
          </w:p>
        </w:tc>
      </w:tr>
    </w:tbl>
    <w:p>
      <w:pPr>
        <w:spacing w:after="0" w:line="56" w:lineRule="exact"/>
        <w:rPr>
          <w:sz w:val="20"/>
          <w:szCs w:val="20"/>
          <w:color w:val="auto"/>
        </w:rPr>
      </w:pPr>
    </w:p>
    <w:p>
      <w:pPr>
        <w:ind w:left="128" w:hanging="128"/>
        <w:spacing w:after="0"/>
        <w:tabs>
          <w:tab w:leader="none" w:pos="128" w:val="left"/>
        </w:tabs>
        <w:numPr>
          <w:ilvl w:val="0"/>
          <w:numId w:val="29"/>
        </w:numPr>
        <w:rPr>
          <w:rFonts w:ascii="Arial" w:cs="Arial" w:eastAsia="Arial" w:hAnsi="Arial"/>
          <w:sz w:val="7"/>
          <w:szCs w:val="7"/>
          <w:color w:val="auto"/>
        </w:rPr>
      </w:pPr>
      <w:r>
        <w:rPr>
          <w:rFonts w:ascii="Arial" w:cs="Arial" w:eastAsia="Arial" w:hAnsi="Arial"/>
          <w:sz w:val="7"/>
          <w:szCs w:val="7"/>
          <w:color w:val="auto"/>
        </w:rPr>
        <w:t>See Note 4 to the “Consolidated Financial Statements” on pages 177-180. Segment earnings are presented on a current cost of supplies basis.</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29"/>
        </w:numPr>
        <w:rPr>
          <w:rFonts w:ascii="Arial" w:cs="Arial" w:eastAsia="Arial" w:hAnsi="Arial"/>
          <w:sz w:val="7"/>
          <w:szCs w:val="7"/>
          <w:color w:val="auto"/>
        </w:rPr>
      </w:pPr>
      <w:r>
        <w:rPr>
          <w:rFonts w:ascii="Arial" w:cs="Arial" w:eastAsia="Arial" w:hAnsi="Arial"/>
          <w:sz w:val="7"/>
          <w:szCs w:val="7"/>
          <w:color w:val="auto"/>
        </w:rPr>
        <w:t>See “Non-GAAP measures reconciliations” on pages 240-242.</w:t>
      </w:r>
    </w:p>
    <w:p>
      <w:pPr>
        <w:ind w:left="108" w:hanging="108"/>
        <w:spacing w:after="0"/>
        <w:tabs>
          <w:tab w:leader="none" w:pos="108" w:val="left"/>
        </w:tabs>
        <w:numPr>
          <w:ilvl w:val="0"/>
          <w:numId w:val="29"/>
        </w:numPr>
        <w:rPr>
          <w:rFonts w:ascii="Arial" w:cs="Arial" w:eastAsia="Arial" w:hAnsi="Arial"/>
          <w:sz w:val="7"/>
          <w:szCs w:val="7"/>
          <w:color w:val="auto"/>
        </w:rPr>
      </w:pPr>
      <w:r>
        <w:rPr>
          <w:rFonts w:ascii="Arial" w:cs="Arial" w:eastAsia="Arial" w:hAnsi="Arial"/>
          <w:sz w:val="7"/>
          <w:szCs w:val="7"/>
          <w:color w:val="auto"/>
        </w:rPr>
        <w:t>With effect from January 1, 2020, Shell discloses utilisation instead of availability to improve transparency on refinery production volumes. Utilisation is defined as the actual usage of the plants as a percentage of the rated capacity.</w:t>
      </w:r>
    </w:p>
    <w:p>
      <w:pPr>
        <w:sectPr>
          <w:pgSz w:w="11900" w:h="16838" w:orient="portrait"/>
          <w:cols w:equalWidth="0" w:num="1">
            <w:col w:w="11308"/>
          </w:cols>
          <w:pgMar w:left="292" w:top="743" w:right="299" w:bottom="1440" w:gutter="0" w:footer="0" w:header="0"/>
        </w:sectPr>
      </w:pPr>
    </w:p>
    <w:p>
      <w:pPr>
        <w:spacing w:after="0" w:line="158" w:lineRule="exact"/>
        <w:rPr>
          <w:sz w:val="20"/>
          <w:szCs w:val="20"/>
          <w:color w:val="auto"/>
        </w:rPr>
      </w:pPr>
    </w:p>
    <w:p>
      <w:pPr>
        <w:ind w:left="8"/>
        <w:spacing w:after="0"/>
        <w:rPr>
          <w:sz w:val="20"/>
          <w:szCs w:val="20"/>
          <w:color w:val="auto"/>
        </w:rPr>
      </w:pPr>
      <w:r>
        <w:rPr>
          <w:rFonts w:ascii="Arial" w:cs="Arial" w:eastAsia="Arial" w:hAnsi="Arial"/>
          <w:sz w:val="11"/>
          <w:szCs w:val="11"/>
          <w:color w:val="auto"/>
        </w:rPr>
        <w:t>OVERVIEW</w:t>
      </w:r>
    </w:p>
    <w:p>
      <w:pPr>
        <w:ind w:left="8"/>
        <w:spacing w:after="0" w:line="300" w:lineRule="auto"/>
        <w:rPr>
          <w:sz w:val="20"/>
          <w:szCs w:val="20"/>
          <w:color w:val="auto"/>
        </w:rPr>
      </w:pPr>
      <w:r>
        <w:rPr>
          <w:rFonts w:ascii="Arial" w:cs="Arial" w:eastAsia="Arial" w:hAnsi="Arial"/>
          <w:sz w:val="8"/>
          <w:szCs w:val="8"/>
          <w:color w:val="auto"/>
        </w:rPr>
        <w:t>Our Oil Products business is part of an integrated value chain that refines crude oil and other feedstocks into products that are moved and marketed around the world for domestic, industrial and transport use. The products we sell include gasoline, diesel, heating oil, aviation fuel, marine fuel, low-carbon fuels, lubricants, bitumen and sulphur. We also trade crude oil, oil products and petrochemicals. We provide access to electric vehicle charge points at home, at work and on-the-go, including at our forecourts and at a range of public locations.</w:t>
      </w:r>
    </w:p>
    <w:p>
      <w:pPr>
        <w:spacing w:after="0" w:line="126" w:lineRule="exact"/>
        <w:rPr>
          <w:sz w:val="20"/>
          <w:szCs w:val="20"/>
          <w:color w:val="auto"/>
        </w:rPr>
      </w:pPr>
    </w:p>
    <w:p>
      <w:pPr>
        <w:ind w:left="8"/>
        <w:spacing w:after="0" w:line="230" w:lineRule="auto"/>
        <w:rPr>
          <w:sz w:val="20"/>
          <w:szCs w:val="20"/>
          <w:color w:val="auto"/>
        </w:rPr>
      </w:pPr>
      <w:r>
        <w:rPr>
          <w:rFonts w:ascii="Arial" w:cs="Arial" w:eastAsia="Arial" w:hAnsi="Arial"/>
          <w:sz w:val="10"/>
          <w:szCs w:val="10"/>
          <w:color w:val="auto"/>
        </w:rPr>
        <w:t>Our Oil Products activities comprise Refining and Trading, and Marketing. These are referred to as classes of business. Marketing includes Retail, Lubricants, Business-to-Business (B2B), Pipelines and Low-Carbon Fuels (biofuels and renewable natural gas (RNG)). In Trading and Supply, we trade crude oil, oil products and petrochemicals to optimise feedstocks for Refining, to supply our Marketing businesses and third parties, and for our own profit. We also manage Oil Sands activities – the extraction of bitumen from mined Oil Sands and its conversion into synthetic crude oil. Our Oil Sands activities were previously reported under Upstream. As of January 1, 2020, they are reported under Oil Products.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1"/>
          <w:szCs w:val="11"/>
          <w:color w:val="auto"/>
        </w:rPr>
        <w:t>BUSINESS CONDITIONS</w:t>
      </w:r>
    </w:p>
    <w:p>
      <w:pPr>
        <w:ind w:left="8"/>
        <w:spacing w:after="0"/>
        <w:rPr>
          <w:sz w:val="20"/>
          <w:szCs w:val="20"/>
          <w:color w:val="auto"/>
        </w:rPr>
      </w:pPr>
      <w:r>
        <w:rPr>
          <w:rFonts w:ascii="Arial" w:cs="Arial" w:eastAsia="Arial" w:hAnsi="Arial"/>
          <w:sz w:val="8"/>
          <w:szCs w:val="8"/>
          <w:color w:val="auto"/>
        </w:rPr>
        <w:t>In 2020, oil markets experienced unprecedented developments in demand driven by the COVID-19 pandemic. At the start of 2020, global oil demand for the year was expected to grow by 1.2 million barrels per day (b/d). Then in January, oil demand started to contract because demand fell in China as lockdown was imposed to contain the virus outbreak. In subsequent months, oil demand contracted further as the outbreak in China evolved into a global pandemic and lockdowns were introduced across the world. In April, oil demand fell to its lowest level, around 22 million b/d below year-average demand in 2019, according to an estimate of the International Energy Agency (IEA). Contraction of such magnitude has never been recorded before. Country lockdowns deeply impacted transportation sectors, especially passenger road and passenger air in Organisation for Economic Co-operation and Development (OECD) economies. In subsequent months, oil demand started recovering, but only partially, because resurgences of COVID-19 triggered re-imposition of social distancing and travel restrictions. By the fourth quarter, global oil demand was still estimated to be around 5.5 million b/d below the 2019 level, according to the Oil Market Report published by the IEA in January 2021. Averaged for the full year, oil demand contracted by around 9 million b/d, or 9%, to 91.2 million b/d. Oil demand fell by 5.7 million b/d in OECD economies, and by 3.2 million b/d in non-OECD economies. By contrast, oil demand in 2019 was 0.8 million b/d higher than in 2018.</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140"/>
        <w:spacing w:after="0" w:line="254" w:lineRule="auto"/>
        <w:rPr>
          <w:sz w:val="20"/>
          <w:szCs w:val="20"/>
          <w:color w:val="auto"/>
        </w:rPr>
      </w:pPr>
      <w:r>
        <w:rPr>
          <w:rFonts w:ascii="Arial" w:cs="Arial" w:eastAsia="Arial" w:hAnsi="Arial"/>
          <w:sz w:val="8"/>
          <w:szCs w:val="8"/>
          <w:color w:val="auto"/>
        </w:rPr>
        <w:t>Industry gross refining margins weakened in 2020 because demand for oil products was significantly reduced by the fall in economic activity and increase in travel restrictions caused by COVID-19. Demand for transportation fuels such as gasoline for passenger cars and kerosene for air transportation was hit particularly hard. During most of the second half of the year, mobility and the resulting demand for transportation fuels improved in some parts of the world, especially in China and South-east Asia. At the end of the year, new waves of COVID-19 infections in Europe and the Americas severely limited any global increase in demand for transportation fuels.</w:t>
      </w:r>
    </w:p>
    <w:p>
      <w:pPr>
        <w:spacing w:after="0" w:line="134" w:lineRule="exact"/>
        <w:rPr>
          <w:sz w:val="20"/>
          <w:szCs w:val="20"/>
          <w:color w:val="auto"/>
        </w:rPr>
      </w:pPr>
    </w:p>
    <w:p>
      <w:pPr>
        <w:jc w:val="both"/>
        <w:ind w:right="380"/>
        <w:spacing w:after="0" w:line="320" w:lineRule="auto"/>
        <w:rPr>
          <w:sz w:val="20"/>
          <w:szCs w:val="20"/>
          <w:color w:val="auto"/>
        </w:rPr>
      </w:pPr>
      <w:r>
        <w:rPr>
          <w:rFonts w:ascii="Arial" w:cs="Arial" w:eastAsia="Arial" w:hAnsi="Arial"/>
          <w:sz w:val="8"/>
          <w:szCs w:val="8"/>
          <w:color w:val="auto"/>
        </w:rPr>
        <w:t>On January 1, 2020, the new International Maritime Organization low-sulphur shipping fuel specification came into effect, limiting the sulphur content of maritime fuel to 0.5%. This had a limited effect on margins because of the economic slowdown in 2020 and because companies had prepared for the new regulations by building inventory in the second half of 2019.</w:t>
      </w:r>
    </w:p>
    <w:p>
      <w:pPr>
        <w:spacing w:after="0" w:line="118" w:lineRule="exact"/>
        <w:rPr>
          <w:sz w:val="20"/>
          <w:szCs w:val="20"/>
          <w:color w:val="auto"/>
        </w:rPr>
      </w:pPr>
    </w:p>
    <w:p>
      <w:pPr>
        <w:ind w:right="460"/>
        <w:spacing w:after="0" w:line="358" w:lineRule="auto"/>
        <w:rPr>
          <w:sz w:val="20"/>
          <w:szCs w:val="20"/>
          <w:color w:val="auto"/>
        </w:rPr>
      </w:pPr>
      <w:r>
        <w:rPr>
          <w:rFonts w:ascii="Arial" w:cs="Arial" w:eastAsia="Arial" w:hAnsi="Arial"/>
          <w:sz w:val="8"/>
          <w:szCs w:val="8"/>
          <w:color w:val="auto"/>
        </w:rPr>
        <w:t>The destruction of demand caused by COVID-19 led to industry idling some refinery capacity. Permanent refinery closures were also announced in 2020, but construction of new capacity did occur during the year, especially in the Middle East and Asia.</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See “Market overview” on pages 23-25.</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REFINERY UTILISATION</w:t>
      </w:r>
    </w:p>
    <w:p>
      <w:pPr>
        <w:spacing w:after="0"/>
        <w:rPr>
          <w:sz w:val="20"/>
          <w:szCs w:val="20"/>
          <w:color w:val="auto"/>
        </w:rPr>
      </w:pPr>
      <w:r>
        <w:rPr>
          <w:rFonts w:ascii="Arial" w:cs="Arial" w:eastAsia="Arial" w:hAnsi="Arial"/>
          <w:sz w:val="8"/>
          <w:szCs w:val="8"/>
          <w:color w:val="auto"/>
        </w:rPr>
        <w:t>With effect from January 1, 2020, Shell discloses utilisation instead of availability to improve transparency on refinery production volumes.</w:t>
      </w:r>
    </w:p>
    <w:p>
      <w:pPr>
        <w:spacing w:after="0" w:line="14" w:lineRule="exact"/>
        <w:rPr>
          <w:sz w:val="20"/>
          <w:szCs w:val="20"/>
          <w:color w:val="auto"/>
        </w:rPr>
      </w:pPr>
    </w:p>
    <w:p>
      <w:pPr>
        <w:spacing w:after="0"/>
        <w:rPr>
          <w:sz w:val="20"/>
          <w:szCs w:val="20"/>
          <w:color w:val="auto"/>
        </w:rPr>
      </w:pPr>
      <w:r>
        <w:rPr>
          <w:rFonts w:ascii="Arial" w:cs="Arial" w:eastAsia="Arial" w:hAnsi="Arial"/>
          <w:sz w:val="10"/>
          <w:szCs w:val="10"/>
          <w:color w:val="auto"/>
        </w:rPr>
        <w:t>Utilisation is defined as the actual usage of the plants as a percentage of the rated capacity.</w:t>
      </w:r>
    </w:p>
    <w:p>
      <w:pPr>
        <w:spacing w:after="0" w:line="149" w:lineRule="exact"/>
        <w:rPr>
          <w:sz w:val="20"/>
          <w:szCs w:val="20"/>
          <w:color w:val="auto"/>
        </w:rPr>
      </w:pPr>
    </w:p>
    <w:p>
      <w:pPr>
        <w:ind w:right="300"/>
        <w:spacing w:after="0" w:line="239" w:lineRule="auto"/>
        <w:rPr>
          <w:sz w:val="20"/>
          <w:szCs w:val="20"/>
          <w:color w:val="auto"/>
        </w:rPr>
      </w:pPr>
      <w:r>
        <w:rPr>
          <w:rFonts w:ascii="Arial" w:cs="Arial" w:eastAsia="Arial" w:hAnsi="Arial"/>
          <w:sz w:val="10"/>
          <w:szCs w:val="10"/>
          <w:color w:val="auto"/>
        </w:rPr>
        <w:t>Utilisation was 72% in 2020, compared with 78% in 2019. Lower utilisation in 2020 was mainly because of lower demand and economic optimisation of sites.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OIL PRODUCTS SALES</w:t>
      </w:r>
    </w:p>
    <w:p>
      <w:pPr>
        <w:ind w:right="140"/>
        <w:spacing w:after="0" w:line="232" w:lineRule="auto"/>
        <w:rPr>
          <w:sz w:val="20"/>
          <w:szCs w:val="20"/>
          <w:color w:val="auto"/>
        </w:rPr>
      </w:pPr>
      <w:r>
        <w:rPr>
          <w:rFonts w:ascii="Arial" w:cs="Arial" w:eastAsia="Arial" w:hAnsi="Arial"/>
          <w:sz w:val="10"/>
          <w:szCs w:val="10"/>
          <w:color w:val="auto"/>
        </w:rPr>
        <w:t>Oil Products sales volumes decreased by 28% in 2020 compared with 2019 The decrease in sales volumes was largely driven by the COVID-19 pandemic affecting Marketing volumes. There was also a reporting change effective from January 1, 2020 and certain additional Oil Products contracts held for trading purposes were reported on a net rather than a gross basis. This reporting change decreased sales volumes by 10%</w:t>
      </w:r>
      <w:r>
        <w:rPr>
          <w:rFonts w:ascii="Arial" w:cs="Arial" w:eastAsia="Arial" w:hAnsi="Arial"/>
          <w:sz w:val="10"/>
          <w:szCs w:val="10"/>
          <w:color w:val="4472C4"/>
        </w:rPr>
        <w:t>.</w:t>
      </w:r>
    </w:p>
    <w:p>
      <w:pPr>
        <w:spacing w:after="0" w:line="200" w:lineRule="exact"/>
        <w:rPr>
          <w:sz w:val="20"/>
          <w:szCs w:val="20"/>
          <w:color w:val="auto"/>
        </w:rPr>
      </w:pPr>
    </w:p>
    <w:p>
      <w:pPr>
        <w:sectPr>
          <w:pgSz w:w="11900" w:h="16838" w:orient="portrait"/>
          <w:cols w:equalWidth="0" w:num="2">
            <w:col w:w="5448" w:space="280"/>
            <w:col w:w="5580"/>
          </w:cols>
          <w:pgMar w:left="292" w:top="743" w:right="299" w:bottom="1440" w:gutter="0" w:footer="0" w:header="0"/>
          <w:type w:val="continuous"/>
        </w:sectPr>
      </w:pPr>
    </w:p>
    <w:p>
      <w:pPr>
        <w:spacing w:after="0" w:line="334"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51</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type w:val="continuous"/>
        </w:sectPr>
      </w:pPr>
    </w:p>
    <w:bookmarkStart w:id="54" w:name="page55"/>
    <w:bookmarkEnd w:id="54"/>
    <w:p>
      <w:pPr>
        <w:ind w:left="8"/>
        <w:spacing w:after="0"/>
        <w:rPr>
          <w:sz w:val="20"/>
          <w:szCs w:val="20"/>
          <w:color w:val="auto"/>
        </w:rPr>
      </w:pPr>
      <w:r>
        <w:rPr>
          <w:rFonts w:ascii="Arial" w:cs="Arial" w:eastAsia="Arial" w:hAnsi="Arial"/>
          <w:sz w:val="11"/>
          <w:szCs w:val="11"/>
          <w:color w:val="auto"/>
        </w:rPr>
        <w:t>EARNINGS 2020-2019</w:t>
      </w:r>
    </w:p>
    <w:p>
      <w:pPr>
        <w:spacing w:after="0" w:line="154" w:lineRule="exact"/>
        <w:rPr>
          <w:sz w:val="20"/>
          <w:szCs w:val="20"/>
          <w:color w:val="auto"/>
        </w:rPr>
      </w:pPr>
    </w:p>
    <w:p>
      <w:pPr>
        <w:ind w:left="8" w:right="300"/>
        <w:spacing w:after="0" w:line="358" w:lineRule="auto"/>
        <w:rPr>
          <w:sz w:val="20"/>
          <w:szCs w:val="20"/>
          <w:color w:val="auto"/>
        </w:rPr>
      </w:pPr>
      <w:r>
        <w:rPr>
          <w:rFonts w:ascii="Arial" w:cs="Arial" w:eastAsia="Arial" w:hAnsi="Arial"/>
          <w:sz w:val="8"/>
          <w:szCs w:val="8"/>
          <w:color w:val="auto"/>
        </w:rPr>
        <w:t>Segment earnings in 2020 came to a loss of $494 million, 108% lower than in 2019. Earnings in 2020 included a net charge of $6,489 million, compared with a net charge of $93 million in 2019 which is described at the end of this section.</w:t>
      </w:r>
    </w:p>
    <w:p>
      <w:pPr>
        <w:spacing w:after="0" w:line="104" w:lineRule="exact"/>
        <w:rPr>
          <w:sz w:val="20"/>
          <w:szCs w:val="20"/>
          <w:color w:val="auto"/>
        </w:rPr>
      </w:pPr>
    </w:p>
    <w:p>
      <w:pPr>
        <w:ind w:left="8" w:right="40"/>
        <w:spacing w:after="0" w:line="239" w:lineRule="auto"/>
        <w:rPr>
          <w:sz w:val="20"/>
          <w:szCs w:val="20"/>
          <w:color w:val="auto"/>
        </w:rPr>
      </w:pPr>
      <w:r>
        <w:rPr>
          <w:rFonts w:ascii="Arial" w:cs="Arial" w:eastAsia="Arial" w:hAnsi="Arial"/>
          <w:sz w:val="10"/>
          <w:szCs w:val="10"/>
          <w:color w:val="auto"/>
        </w:rPr>
        <w:t>Excluding the impact of the net charges, earnings in 2020 were $5,995 million, compared with $6,231 million in 2019. Marketing accounted for 76% of these 2020 earnings, Refining for -19% and Trading &amp; Supply for 43%.</w:t>
      </w:r>
    </w:p>
    <w:p>
      <w:pPr>
        <w:spacing w:after="0" w:line="149" w:lineRule="exact"/>
        <w:rPr>
          <w:sz w:val="20"/>
          <w:szCs w:val="20"/>
          <w:color w:val="auto"/>
        </w:rPr>
      </w:pPr>
    </w:p>
    <w:p>
      <w:pPr>
        <w:ind w:left="8" w:right="200"/>
        <w:spacing w:after="0" w:line="296" w:lineRule="auto"/>
        <w:rPr>
          <w:sz w:val="20"/>
          <w:szCs w:val="20"/>
          <w:color w:val="auto"/>
        </w:rPr>
      </w:pPr>
      <w:r>
        <w:rPr>
          <w:rFonts w:ascii="Arial" w:cs="Arial" w:eastAsia="Arial" w:hAnsi="Arial"/>
          <w:sz w:val="8"/>
          <w:szCs w:val="8"/>
          <w:color w:val="auto"/>
        </w:rPr>
        <w:t>The decrease in Oil Products earnings, excluding the net charge, was $236 million (4%) lower compared with 2019 . This was driven by lower Refining and Trading margins (around $2,400 million), lower Marketing margins (around $600 million), partly offset by lower operating expenses (around $2,000 million) and other items mainly including tax movements (around $700 million).</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decrease in earnings of $236 million, analysed by class of business was as follows:</w:t>
      </w:r>
    </w:p>
    <w:p>
      <w:pPr>
        <w:spacing w:after="0" w:line="182" w:lineRule="exact"/>
        <w:rPr>
          <w:sz w:val="20"/>
          <w:szCs w:val="20"/>
          <w:color w:val="auto"/>
        </w:rPr>
      </w:pPr>
    </w:p>
    <w:p>
      <w:pPr>
        <w:jc w:val="both"/>
        <w:ind w:left="208" w:right="200" w:hanging="208"/>
        <w:spacing w:after="0" w:line="249" w:lineRule="auto"/>
        <w:tabs>
          <w:tab w:leader="none" w:pos="205" w:val="left"/>
        </w:tabs>
        <w:numPr>
          <w:ilvl w:val="0"/>
          <w:numId w:val="30"/>
        </w:numPr>
        <w:rPr>
          <w:rFonts w:ascii="Arial" w:cs="Arial" w:eastAsia="Arial" w:hAnsi="Arial"/>
          <w:sz w:val="11"/>
          <w:szCs w:val="11"/>
          <w:color w:val="auto"/>
        </w:rPr>
      </w:pPr>
      <w:r>
        <w:rPr>
          <w:rFonts w:ascii="Arial" w:cs="Arial" w:eastAsia="Arial" w:hAnsi="Arial"/>
          <w:sz w:val="9"/>
          <w:szCs w:val="9"/>
          <w:color w:val="auto"/>
        </w:rPr>
        <w:t>Refining and Trading earnings were $101 million lower than in 2019, mainly because of lower realised refining margins driven by lower demand because of the pandemic and its effect on the economy. This was partly offset by higher earnings from crude and oil products trading and optimisation, lower operating expenses and favourable deferred tax movements.</w:t>
      </w:r>
    </w:p>
    <w:p>
      <w:pPr>
        <w:spacing w:after="0" w:line="14" w:lineRule="exact"/>
        <w:rPr>
          <w:rFonts w:ascii="Arial" w:cs="Arial" w:eastAsia="Arial" w:hAnsi="Arial"/>
          <w:sz w:val="11"/>
          <w:szCs w:val="11"/>
          <w:color w:val="auto"/>
        </w:rPr>
      </w:pPr>
    </w:p>
    <w:p>
      <w:pPr>
        <w:ind w:left="208" w:right="140" w:hanging="208"/>
        <w:spacing w:after="0" w:line="225" w:lineRule="auto"/>
        <w:tabs>
          <w:tab w:leader="none" w:pos="205" w:val="left"/>
        </w:tabs>
        <w:numPr>
          <w:ilvl w:val="0"/>
          <w:numId w:val="30"/>
        </w:numPr>
        <w:rPr>
          <w:rFonts w:ascii="Arial" w:cs="Arial" w:eastAsia="Arial" w:hAnsi="Arial"/>
          <w:sz w:val="12"/>
          <w:szCs w:val="12"/>
          <w:color w:val="auto"/>
        </w:rPr>
      </w:pPr>
      <w:r>
        <w:rPr>
          <w:rFonts w:ascii="Arial" w:cs="Arial" w:eastAsia="Arial" w:hAnsi="Arial"/>
          <w:sz w:val="10"/>
          <w:szCs w:val="10"/>
          <w:color w:val="auto"/>
        </w:rPr>
        <w:t>Marketing earnings were $135 million lower than in 2019, mainly driven by lower sales volumes due to the impact of the pandemic. This was largely offset by strong margins in Retail and Lubricants on account of better margin management, higher penetration of premium fuels and lower operating expenses.</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0"/>
          <w:szCs w:val="10"/>
          <w:color w:val="auto"/>
        </w:rPr>
        <w:t>Segment earnings in 2020 included a net charge of $6,489 million.</w:t>
      </w:r>
    </w:p>
    <w:p>
      <w:pPr>
        <w:ind w:left="8"/>
        <w:spacing w:after="0" w:line="206" w:lineRule="auto"/>
        <w:rPr>
          <w:sz w:val="20"/>
          <w:szCs w:val="20"/>
          <w:color w:val="auto"/>
        </w:rPr>
      </w:pPr>
      <w:r>
        <w:rPr>
          <w:rFonts w:ascii="Arial" w:cs="Arial" w:eastAsia="Arial" w:hAnsi="Arial"/>
          <w:sz w:val="10"/>
          <w:szCs w:val="10"/>
          <w:color w:val="auto"/>
        </w:rPr>
        <w:t>This included:</w:t>
      </w:r>
    </w:p>
    <w:p>
      <w:pPr>
        <w:ind w:left="428" w:hanging="212"/>
        <w:spacing w:after="0" w:line="281" w:lineRule="auto"/>
        <w:tabs>
          <w:tab w:leader="none" w:pos="425" w:val="left"/>
        </w:tabs>
        <w:numPr>
          <w:ilvl w:val="0"/>
          <w:numId w:val="31"/>
        </w:numPr>
        <w:rPr>
          <w:rFonts w:ascii="Arial" w:cs="Arial" w:eastAsia="Arial" w:hAnsi="Arial"/>
          <w:sz w:val="8"/>
          <w:szCs w:val="8"/>
          <w:color w:val="auto"/>
        </w:rPr>
      </w:pPr>
      <w:r>
        <w:rPr>
          <w:rFonts w:ascii="Arial" w:cs="Arial" w:eastAsia="Arial" w:hAnsi="Arial"/>
          <w:sz w:val="8"/>
          <w:szCs w:val="8"/>
          <w:color w:val="auto"/>
        </w:rPr>
        <w:t>impairment charges of $5,530 million (across sites, reflecting revisions to medium- and long-term price outlook assumptions in light of: changes in supply and demand fundamentals in the energy market; macroeconomic conditions; the COVID-19 pandemic; expenditure at Pulau Bukom in Singapore including transformation; and the shutdown of the Convent refinery in Louisiana, USA;</w:t>
      </w:r>
    </w:p>
    <w:p>
      <w:pPr>
        <w:ind w:left="428" w:right="300" w:hanging="212"/>
        <w:spacing w:after="0" w:line="225" w:lineRule="auto"/>
        <w:tabs>
          <w:tab w:leader="none" w:pos="425" w:val="left"/>
        </w:tabs>
        <w:numPr>
          <w:ilvl w:val="0"/>
          <w:numId w:val="31"/>
        </w:numPr>
        <w:rPr>
          <w:rFonts w:ascii="Arial" w:cs="Arial" w:eastAsia="Arial" w:hAnsi="Arial"/>
          <w:sz w:val="10"/>
          <w:szCs w:val="10"/>
          <w:color w:val="auto"/>
        </w:rPr>
      </w:pPr>
      <w:r>
        <w:rPr>
          <w:rFonts w:ascii="Arial" w:cs="Arial" w:eastAsia="Arial" w:hAnsi="Arial"/>
          <w:sz w:val="10"/>
          <w:szCs w:val="10"/>
          <w:color w:val="auto"/>
        </w:rPr>
        <w:t>restructuring costs of $365 million (mainly shutdown of Convent, Bukom transformation and various initiatives across Oil Products);</w:t>
      </w:r>
    </w:p>
    <w:p>
      <w:pPr>
        <w:ind w:left="428" w:hanging="212"/>
        <w:spacing w:after="0" w:line="225" w:lineRule="auto"/>
        <w:tabs>
          <w:tab w:leader="none" w:pos="428" w:val="left"/>
        </w:tabs>
        <w:numPr>
          <w:ilvl w:val="0"/>
          <w:numId w:val="31"/>
        </w:numPr>
        <w:rPr>
          <w:rFonts w:ascii="Arial" w:cs="Arial" w:eastAsia="Arial" w:hAnsi="Arial"/>
          <w:sz w:val="10"/>
          <w:szCs w:val="10"/>
          <w:color w:val="auto"/>
        </w:rPr>
      </w:pPr>
      <w:r>
        <w:rPr>
          <w:rFonts w:ascii="Arial" w:cs="Arial" w:eastAsia="Arial" w:hAnsi="Arial"/>
          <w:sz w:val="10"/>
          <w:szCs w:val="10"/>
          <w:color w:val="auto"/>
        </w:rPr>
        <w:t>other net charges of $552 million (mainly onerous contract provisions due to shutdown of Convent); and</w:t>
      </w:r>
    </w:p>
    <w:p>
      <w:pPr>
        <w:ind w:left="428" w:hanging="212"/>
        <w:spacing w:after="0" w:line="236" w:lineRule="auto"/>
        <w:tabs>
          <w:tab w:leader="none" w:pos="428" w:val="left"/>
        </w:tabs>
        <w:numPr>
          <w:ilvl w:val="0"/>
          <w:numId w:val="31"/>
        </w:numPr>
        <w:rPr>
          <w:rFonts w:ascii="Arial" w:cs="Arial" w:eastAsia="Arial" w:hAnsi="Arial"/>
          <w:sz w:val="10"/>
          <w:szCs w:val="10"/>
          <w:color w:val="auto"/>
        </w:rPr>
      </w:pPr>
      <w:r>
        <w:rPr>
          <w:rFonts w:ascii="Arial" w:cs="Arial" w:eastAsia="Arial" w:hAnsi="Arial"/>
          <w:sz w:val="10"/>
          <w:szCs w:val="10"/>
          <w:color w:val="auto"/>
        </w:rPr>
        <w:t>a net charge of $101 million due to the fair value accounting of commodity derivatives.</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These charges were partly offset by:</w:t>
      </w:r>
    </w:p>
    <w:p>
      <w:pPr>
        <w:spacing w:after="0" w:line="1" w:lineRule="exact"/>
        <w:rPr>
          <w:sz w:val="20"/>
          <w:szCs w:val="20"/>
          <w:color w:val="auto"/>
        </w:rPr>
      </w:pPr>
    </w:p>
    <w:p>
      <w:pPr>
        <w:ind w:left="8" w:right="3000" w:firstLine="208"/>
        <w:spacing w:after="0" w:line="693" w:lineRule="auto"/>
        <w:tabs>
          <w:tab w:leader="none" w:pos="437" w:val="left"/>
        </w:tabs>
        <w:numPr>
          <w:ilvl w:val="0"/>
          <w:numId w:val="32"/>
        </w:numPr>
        <w:rPr>
          <w:rFonts w:ascii="Arial" w:cs="Arial" w:eastAsia="Arial" w:hAnsi="Arial"/>
          <w:sz w:val="8"/>
          <w:szCs w:val="8"/>
          <w:color w:val="auto"/>
        </w:rPr>
      </w:pPr>
      <w:r>
        <w:rPr>
          <w:rFonts w:ascii="Arial" w:cs="Arial" w:eastAsia="Arial" w:hAnsi="Arial"/>
          <w:sz w:val="8"/>
          <w:szCs w:val="8"/>
          <w:color w:val="auto"/>
        </w:rPr>
        <w:t>net gains from disposal of assets of $59 million. Segment earnings in 2019 included a net charge of $93 million.</w:t>
      </w:r>
    </w:p>
    <w:p>
      <w:pPr>
        <w:spacing w:after="0" w:line="1" w:lineRule="exact"/>
        <w:rPr>
          <w:sz w:val="20"/>
          <w:szCs w:val="20"/>
          <w:color w:val="auto"/>
        </w:rPr>
      </w:pPr>
    </w:p>
    <w:p>
      <w:pPr>
        <w:ind w:left="8"/>
        <w:spacing w:after="0"/>
        <w:rPr>
          <w:sz w:val="20"/>
          <w:szCs w:val="20"/>
          <w:color w:val="auto"/>
        </w:rPr>
      </w:pPr>
      <w:r>
        <w:rPr>
          <w:rFonts w:ascii="Arial" w:cs="Arial" w:eastAsia="Arial" w:hAnsi="Arial"/>
          <w:sz w:val="10"/>
          <w:szCs w:val="10"/>
          <w:color w:val="auto"/>
        </w:rPr>
        <w:t>This included:</w:t>
      </w:r>
    </w:p>
    <w:p>
      <w:pPr>
        <w:ind w:left="428" w:hanging="212"/>
        <w:spacing w:after="0" w:line="227" w:lineRule="auto"/>
        <w:tabs>
          <w:tab w:leader="none" w:pos="428" w:val="left"/>
        </w:tabs>
        <w:numPr>
          <w:ilvl w:val="0"/>
          <w:numId w:val="33"/>
        </w:numPr>
        <w:rPr>
          <w:rFonts w:ascii="Arial" w:cs="Arial" w:eastAsia="Arial" w:hAnsi="Arial"/>
          <w:sz w:val="10"/>
          <w:szCs w:val="10"/>
          <w:color w:val="auto"/>
        </w:rPr>
      </w:pPr>
      <w:r>
        <w:rPr>
          <w:rFonts w:ascii="Arial" w:cs="Arial" w:eastAsia="Arial" w:hAnsi="Arial"/>
          <w:sz w:val="10"/>
          <w:szCs w:val="10"/>
          <w:color w:val="auto"/>
        </w:rPr>
        <w:t>impairment charges of $337 million (mainly expenditure at Bukom and other assets);</w:t>
      </w:r>
    </w:p>
    <w:p>
      <w:pPr>
        <w:ind w:left="428" w:hanging="212"/>
        <w:spacing w:after="0" w:line="225" w:lineRule="auto"/>
        <w:tabs>
          <w:tab w:leader="none" w:pos="428" w:val="left"/>
        </w:tabs>
        <w:numPr>
          <w:ilvl w:val="0"/>
          <w:numId w:val="33"/>
        </w:numPr>
        <w:rPr>
          <w:rFonts w:ascii="Arial" w:cs="Arial" w:eastAsia="Arial" w:hAnsi="Arial"/>
          <w:sz w:val="10"/>
          <w:szCs w:val="10"/>
          <w:color w:val="auto"/>
        </w:rPr>
      </w:pPr>
      <w:r>
        <w:rPr>
          <w:rFonts w:ascii="Arial" w:cs="Arial" w:eastAsia="Arial" w:hAnsi="Arial"/>
          <w:sz w:val="10"/>
          <w:szCs w:val="10"/>
          <w:color w:val="auto"/>
        </w:rPr>
        <w:t>costs of $84 million relating to restructuring (various initiatives across Oil Products);</w:t>
      </w:r>
    </w:p>
    <w:p>
      <w:pPr>
        <w:ind w:left="428" w:hanging="212"/>
        <w:spacing w:after="0" w:line="206" w:lineRule="auto"/>
        <w:tabs>
          <w:tab w:leader="none" w:pos="428" w:val="left"/>
        </w:tabs>
        <w:numPr>
          <w:ilvl w:val="0"/>
          <w:numId w:val="33"/>
        </w:numPr>
        <w:rPr>
          <w:rFonts w:ascii="Arial" w:cs="Arial" w:eastAsia="Arial" w:hAnsi="Arial"/>
          <w:sz w:val="10"/>
          <w:szCs w:val="10"/>
          <w:color w:val="auto"/>
        </w:rPr>
      </w:pPr>
      <w:r>
        <w:rPr>
          <w:rFonts w:ascii="Arial" w:cs="Arial" w:eastAsia="Arial" w:hAnsi="Arial"/>
          <w:sz w:val="10"/>
          <w:szCs w:val="10"/>
          <w:color w:val="auto"/>
        </w:rPr>
        <w:t>net charge of $66 million due to the fair value accounting of commodity derivatives; and</w:t>
      </w:r>
    </w:p>
    <w:p>
      <w:pPr>
        <w:ind w:left="428" w:hanging="212"/>
        <w:spacing w:after="0" w:line="206" w:lineRule="auto"/>
        <w:tabs>
          <w:tab w:leader="none" w:pos="428" w:val="left"/>
        </w:tabs>
        <w:numPr>
          <w:ilvl w:val="0"/>
          <w:numId w:val="33"/>
        </w:numPr>
        <w:rPr>
          <w:rFonts w:ascii="Arial" w:cs="Arial" w:eastAsia="Arial" w:hAnsi="Arial"/>
          <w:sz w:val="10"/>
          <w:szCs w:val="10"/>
          <w:color w:val="auto"/>
        </w:rPr>
      </w:pPr>
      <w:r>
        <w:rPr>
          <w:rFonts w:ascii="Arial" w:cs="Arial" w:eastAsia="Arial" w:hAnsi="Arial"/>
          <w:sz w:val="10"/>
          <w:szCs w:val="10"/>
          <w:color w:val="auto"/>
        </w:rPr>
        <w:t>other net charges of $26 million (mainly provision for discount rate change).</w:t>
      </w:r>
    </w:p>
    <w:p>
      <w:pPr>
        <w:ind w:left="8"/>
        <w:spacing w:after="0" w:line="226" w:lineRule="auto"/>
        <w:rPr>
          <w:sz w:val="20"/>
          <w:szCs w:val="20"/>
          <w:color w:val="auto"/>
        </w:rPr>
      </w:pPr>
      <w:r>
        <w:rPr>
          <w:rFonts w:ascii="Arial" w:cs="Arial" w:eastAsia="Arial" w:hAnsi="Arial"/>
          <w:sz w:val="10"/>
          <w:szCs w:val="10"/>
          <w:color w:val="auto"/>
        </w:rPr>
        <w:t>The above were partly offset by:</w:t>
      </w:r>
    </w:p>
    <w:p>
      <w:pPr>
        <w:ind w:left="428" w:hanging="212"/>
        <w:spacing w:after="0" w:line="225" w:lineRule="auto"/>
        <w:tabs>
          <w:tab w:leader="none" w:pos="428" w:val="left"/>
        </w:tabs>
        <w:numPr>
          <w:ilvl w:val="0"/>
          <w:numId w:val="34"/>
        </w:numPr>
        <w:rPr>
          <w:rFonts w:ascii="Arial" w:cs="Arial" w:eastAsia="Arial" w:hAnsi="Arial"/>
          <w:sz w:val="10"/>
          <w:szCs w:val="10"/>
          <w:color w:val="auto"/>
        </w:rPr>
      </w:pPr>
      <w:r>
        <w:rPr>
          <w:rFonts w:ascii="Arial" w:cs="Arial" w:eastAsia="Arial" w:hAnsi="Arial"/>
          <w:sz w:val="10"/>
          <w:szCs w:val="10"/>
          <w:color w:val="auto"/>
        </w:rPr>
        <w:t>net gains of $329 million from disposal of assets; and</w:t>
      </w:r>
    </w:p>
    <w:p>
      <w:pPr>
        <w:ind w:left="428" w:hanging="212"/>
        <w:spacing w:after="0" w:line="236" w:lineRule="auto"/>
        <w:tabs>
          <w:tab w:leader="none" w:pos="428" w:val="left"/>
        </w:tabs>
        <w:numPr>
          <w:ilvl w:val="0"/>
          <w:numId w:val="34"/>
        </w:numPr>
        <w:rPr>
          <w:rFonts w:ascii="Arial" w:cs="Arial" w:eastAsia="Arial" w:hAnsi="Arial"/>
          <w:sz w:val="10"/>
          <w:szCs w:val="10"/>
          <w:color w:val="auto"/>
        </w:rPr>
      </w:pPr>
      <w:r>
        <w:rPr>
          <w:rFonts w:ascii="Arial" w:cs="Arial" w:eastAsia="Arial" w:hAnsi="Arial"/>
          <w:sz w:val="10"/>
          <w:szCs w:val="10"/>
          <w:color w:val="auto"/>
        </w:rPr>
        <w:t>gains from one-off tax items of $91 million (tax rate changes in Alberta, Canada).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EARNINGS 2019-2018</w:t>
      </w:r>
    </w:p>
    <w:p>
      <w:pPr>
        <w:spacing w:after="0" w:line="154" w:lineRule="exact"/>
        <w:rPr>
          <w:sz w:val="20"/>
          <w:szCs w:val="20"/>
          <w:color w:val="auto"/>
        </w:rPr>
      </w:pPr>
    </w:p>
    <w:p>
      <w:pPr>
        <w:ind w:right="180"/>
        <w:spacing w:after="0" w:line="285" w:lineRule="auto"/>
        <w:rPr>
          <w:sz w:val="20"/>
          <w:szCs w:val="20"/>
          <w:color w:val="auto"/>
        </w:rPr>
      </w:pPr>
      <w:r>
        <w:rPr>
          <w:rFonts w:ascii="Arial" w:cs="Arial" w:eastAsia="Arial" w:hAnsi="Arial"/>
          <w:sz w:val="8"/>
          <w:szCs w:val="8"/>
          <w:color w:val="auto"/>
        </w:rPr>
        <w:t>Segment earnings in 2019 of $6,139 million were 2% higher than in 2018. Earnings in 2019 included a net charge of $93 million described above. Earnings in 2018 included a net gain of $231 million, reflecting gains on disposal of assets of $273 million (mainly our Oil Products assets in Argentina and other smaller disposals), a net gain from fair value accounting of commodity derivatives of $224 million, gains from one-off tax items of $91 million (mainly corporate income tax rate changes in the Netherlands and the USA) and other net gains of $50 million (which included a one-off gain from the Ontario cap-and-trade scheme). These were partly offset by impairment charges of $309 million and redundancy and restructuring charges of $98 million.</w:t>
      </w:r>
    </w:p>
    <w:p>
      <w:pPr>
        <w:spacing w:after="0" w:line="1" w:lineRule="exact"/>
        <w:rPr>
          <w:sz w:val="20"/>
          <w:szCs w:val="20"/>
          <w:color w:val="auto"/>
        </w:rPr>
      </w:pPr>
    </w:p>
    <w:p>
      <w:pPr>
        <w:ind w:right="180"/>
        <w:spacing w:after="0" w:line="231" w:lineRule="auto"/>
        <w:rPr>
          <w:sz w:val="20"/>
          <w:szCs w:val="20"/>
          <w:color w:val="auto"/>
        </w:rPr>
      </w:pPr>
      <w:r>
        <w:rPr>
          <w:rFonts w:ascii="Arial" w:cs="Arial" w:eastAsia="Arial" w:hAnsi="Arial"/>
          <w:sz w:val="10"/>
          <w:szCs w:val="10"/>
          <w:color w:val="auto"/>
        </w:rPr>
        <w:t>Excluding the impact of these items, earnings in 2019 were $6,231 million, compared with $5,794 million in 2018. Marketing accounted for 75% of these 2019 earnings, Refining for 4% and Trading &amp; Supply for 21%.</w:t>
      </w:r>
    </w:p>
    <w:p>
      <w:pPr>
        <w:spacing w:after="0" w:line="149" w:lineRule="exact"/>
        <w:rPr>
          <w:sz w:val="20"/>
          <w:szCs w:val="20"/>
          <w:color w:val="auto"/>
        </w:rPr>
      </w:pPr>
    </w:p>
    <w:p>
      <w:pPr>
        <w:ind w:right="180"/>
        <w:spacing w:after="0" w:line="294" w:lineRule="auto"/>
        <w:rPr>
          <w:sz w:val="20"/>
          <w:szCs w:val="20"/>
          <w:color w:val="auto"/>
        </w:rPr>
      </w:pPr>
      <w:r>
        <w:rPr>
          <w:rFonts w:ascii="Arial" w:cs="Arial" w:eastAsia="Arial" w:hAnsi="Arial"/>
          <w:sz w:val="8"/>
          <w:szCs w:val="8"/>
          <w:color w:val="auto"/>
        </w:rPr>
        <w:t>The increase in Oil Products earnings, excluding the net charge, was $437 million (8%) compared with 2018. The increase was driven by higher Marketing margins (around $500 million), benefit from foreign exchange (around $250 million) and the change in accounting policy IFRS 16 (around $140 million). This was partly offset by lower Refining and Trading margins (around $400 million) and other impacts resulting in a net charge of around $50 million. Marketing margins benefited from stronger unit margins. These were partly offset by lower earnings from Raízen, the joint venture (Shell interest 50%) in Brazil, caused by adverse foreign exchange and lower fuel margins. Refining and Trading margins were lower than in 2018, mainly because of lower realised refining margins caused by adverse price variance across all regions, driven by lower global demand growth and an increase in worldwide refining capacity.</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CASH CAPITAL EXPENDITURE</w:t>
      </w:r>
    </w:p>
    <w:p>
      <w:pPr>
        <w:spacing w:after="0" w:line="237" w:lineRule="auto"/>
        <w:rPr>
          <w:sz w:val="20"/>
          <w:szCs w:val="20"/>
          <w:color w:val="auto"/>
        </w:rPr>
      </w:pPr>
      <w:r>
        <w:rPr>
          <w:rFonts w:ascii="Arial" w:cs="Arial" w:eastAsia="Arial" w:hAnsi="Arial"/>
          <w:sz w:val="10"/>
          <w:szCs w:val="10"/>
          <w:color w:val="auto"/>
        </w:rPr>
        <w:t>Cash capital expenditure (cash capex) was $3.3 billion in 2020, compared with $4.9 billion in 2019.</w:t>
      </w:r>
    </w:p>
    <w:p>
      <w:pPr>
        <w:spacing w:after="0" w:line="149" w:lineRule="exact"/>
        <w:rPr>
          <w:sz w:val="20"/>
          <w:szCs w:val="20"/>
          <w:color w:val="auto"/>
        </w:rPr>
      </w:pPr>
    </w:p>
    <w:p>
      <w:pPr>
        <w:ind w:right="320"/>
        <w:spacing w:after="0" w:line="232" w:lineRule="auto"/>
        <w:rPr>
          <w:sz w:val="20"/>
          <w:szCs w:val="20"/>
          <w:color w:val="auto"/>
        </w:rPr>
      </w:pPr>
      <w:r>
        <w:rPr>
          <w:rFonts w:ascii="Arial" w:cs="Arial" w:eastAsia="Arial" w:hAnsi="Arial"/>
          <w:sz w:val="10"/>
          <w:szCs w:val="10"/>
          <w:color w:val="auto"/>
        </w:rPr>
        <w:t>Cash capital expenditure in Refining and Trading decreased by $1.3 billion mainly because of cash preservation initiatives (lower capital expenditure spends including turnaround deferrals). In Marketing, cash capital expenditure decreased by $0.3 billion as a result of cash preservation initiatives and reduced spending in US pipelines projects as they are nearing completion. Our cash capital expenditure is expected to be around $4-4.5 billion in 2021.</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PORTFOLIO AND BUSINESS DEVELOPMENTS</w:t>
      </w:r>
    </w:p>
    <w:p>
      <w:pPr>
        <w:spacing w:after="0" w:line="154" w:lineRule="exact"/>
        <w:rPr>
          <w:sz w:val="20"/>
          <w:szCs w:val="20"/>
          <w:color w:val="auto"/>
        </w:rPr>
      </w:pPr>
    </w:p>
    <w:p>
      <w:pPr>
        <w:ind w:right="380"/>
        <w:spacing w:after="0" w:line="230" w:lineRule="auto"/>
        <w:rPr>
          <w:sz w:val="20"/>
          <w:szCs w:val="20"/>
          <w:color w:val="auto"/>
        </w:rPr>
      </w:pPr>
      <w:r>
        <w:rPr>
          <w:rFonts w:ascii="Arial" w:cs="Arial" w:eastAsia="Arial" w:hAnsi="Arial"/>
          <w:sz w:val="10"/>
          <w:szCs w:val="10"/>
          <w:color w:val="auto"/>
        </w:rPr>
        <w:t>Shell announced its plans to reshape its portfolio of assets and products to meet the cleaner energy needs of its customers in the coming decades.</w:t>
      </w:r>
    </w:p>
    <w:p>
      <w:pPr>
        <w:spacing w:after="0" w:line="140" w:lineRule="exact"/>
        <w:rPr>
          <w:sz w:val="20"/>
          <w:szCs w:val="20"/>
          <w:color w:val="auto"/>
        </w:rPr>
      </w:pPr>
    </w:p>
    <w:p>
      <w:pPr>
        <w:spacing w:after="0"/>
        <w:rPr>
          <w:sz w:val="20"/>
          <w:szCs w:val="20"/>
          <w:color w:val="auto"/>
        </w:rPr>
      </w:pPr>
      <w:r>
        <w:rPr>
          <w:rFonts w:ascii="Arial" w:cs="Arial" w:eastAsia="Arial" w:hAnsi="Arial"/>
          <w:sz w:val="10"/>
          <w:szCs w:val="10"/>
          <w:color w:val="auto"/>
        </w:rPr>
        <w:t>Significant portfolio and business developments during 2020 included:</w:t>
      </w:r>
    </w:p>
    <w:p>
      <w:pPr>
        <w:spacing w:after="0" w:line="173" w:lineRule="exact"/>
        <w:rPr>
          <w:sz w:val="20"/>
          <w:szCs w:val="20"/>
          <w:color w:val="auto"/>
        </w:rPr>
      </w:pPr>
    </w:p>
    <w:p>
      <w:pPr>
        <w:ind w:left="120" w:right="120" w:hanging="111"/>
        <w:spacing w:after="0" w:line="225" w:lineRule="auto"/>
        <w:tabs>
          <w:tab w:leader="none" w:pos="118" w:val="left"/>
        </w:tabs>
        <w:numPr>
          <w:ilvl w:val="0"/>
          <w:numId w:val="35"/>
        </w:numPr>
        <w:rPr>
          <w:rFonts w:ascii="Arial" w:cs="Arial" w:eastAsia="Arial" w:hAnsi="Arial"/>
          <w:sz w:val="12"/>
          <w:szCs w:val="12"/>
          <w:color w:val="auto"/>
        </w:rPr>
      </w:pPr>
      <w:r>
        <w:rPr>
          <w:rFonts w:ascii="Arial" w:cs="Arial" w:eastAsia="Arial" w:hAnsi="Arial"/>
          <w:sz w:val="10"/>
          <w:szCs w:val="10"/>
          <w:color w:val="auto"/>
        </w:rPr>
        <w:t>In the USA, in February 2020, our subsidiary Equilon Enterprises LLC, doing business as Shell Oil Products US (Shell) completed the sale of the Martinez refinery to PBF Holding Company LLC in the USA for a consideration of $1.2 billion, which included the refinery and inventory.</w:t>
      </w:r>
    </w:p>
    <w:p>
      <w:pPr>
        <w:spacing w:after="0" w:line="15" w:lineRule="exact"/>
        <w:rPr>
          <w:rFonts w:ascii="Arial" w:cs="Arial" w:eastAsia="Arial" w:hAnsi="Arial"/>
          <w:sz w:val="12"/>
          <w:szCs w:val="12"/>
          <w:color w:val="auto"/>
        </w:rPr>
      </w:pPr>
    </w:p>
    <w:p>
      <w:pPr>
        <w:ind w:left="120" w:right="360" w:hanging="111"/>
        <w:spacing w:after="0" w:line="226" w:lineRule="auto"/>
        <w:tabs>
          <w:tab w:leader="none" w:pos="118" w:val="left"/>
        </w:tabs>
        <w:numPr>
          <w:ilvl w:val="0"/>
          <w:numId w:val="35"/>
        </w:numPr>
        <w:rPr>
          <w:rFonts w:ascii="Arial" w:cs="Arial" w:eastAsia="Arial" w:hAnsi="Arial"/>
          <w:sz w:val="12"/>
          <w:szCs w:val="12"/>
          <w:color w:val="auto"/>
        </w:rPr>
      </w:pPr>
      <w:r>
        <w:rPr>
          <w:rFonts w:ascii="Arial" w:cs="Arial" w:eastAsia="Arial" w:hAnsi="Arial"/>
          <w:sz w:val="10"/>
          <w:szCs w:val="10"/>
          <w:color w:val="auto"/>
        </w:rPr>
        <w:t>Also in the USA, in March 2020, we announced our intention to sell the Puget Sound refinery in Washington State and Mobile site in Alabama.</w:t>
      </w:r>
    </w:p>
    <w:p>
      <w:pPr>
        <w:spacing w:after="0" w:line="13" w:lineRule="exact"/>
        <w:rPr>
          <w:rFonts w:ascii="Arial" w:cs="Arial" w:eastAsia="Arial" w:hAnsi="Arial"/>
          <w:sz w:val="12"/>
          <w:szCs w:val="12"/>
          <w:color w:val="auto"/>
        </w:rPr>
      </w:pPr>
    </w:p>
    <w:p>
      <w:pPr>
        <w:ind w:left="120" w:right="120" w:hanging="111"/>
        <w:spacing w:after="0" w:line="276" w:lineRule="auto"/>
        <w:tabs>
          <w:tab w:leader="none" w:pos="118" w:val="left"/>
        </w:tabs>
        <w:numPr>
          <w:ilvl w:val="0"/>
          <w:numId w:val="35"/>
        </w:numPr>
        <w:rPr>
          <w:rFonts w:ascii="Arial" w:cs="Arial" w:eastAsia="Arial" w:hAnsi="Arial"/>
          <w:sz w:val="10"/>
          <w:szCs w:val="10"/>
          <w:color w:val="auto"/>
        </w:rPr>
      </w:pPr>
      <w:r>
        <w:rPr>
          <w:rFonts w:ascii="Arial" w:cs="Arial" w:eastAsia="Arial" w:hAnsi="Arial"/>
          <w:sz w:val="8"/>
          <w:szCs w:val="8"/>
          <w:color w:val="auto"/>
        </w:rPr>
        <w:t>In August 2020, Pilipinas Shell Petroleum Corporation, a subsidiary of Royal Dutch Shell in which we have an interest of 55%, announced that it will permanently shut down its Tabangao Refinery in Batangas City, Philippines, and convert it to a full import terminal.</w:t>
      </w:r>
    </w:p>
    <w:p>
      <w:pPr>
        <w:ind w:left="120" w:right="160" w:hanging="111"/>
        <w:spacing w:after="0" w:line="303" w:lineRule="auto"/>
        <w:tabs>
          <w:tab w:leader="none" w:pos="118" w:val="left"/>
        </w:tabs>
        <w:numPr>
          <w:ilvl w:val="0"/>
          <w:numId w:val="35"/>
        </w:numPr>
        <w:rPr>
          <w:rFonts w:ascii="Arial" w:cs="Arial" w:eastAsia="Arial" w:hAnsi="Arial"/>
          <w:sz w:val="8"/>
          <w:szCs w:val="8"/>
          <w:color w:val="auto"/>
        </w:rPr>
      </w:pPr>
      <w:r>
        <w:rPr>
          <w:rFonts w:ascii="Arial" w:cs="Arial" w:eastAsia="Arial" w:hAnsi="Arial"/>
          <w:sz w:val="8"/>
          <w:szCs w:val="8"/>
          <w:color w:val="auto"/>
        </w:rPr>
        <w:t>In November 2020, we announced that we had begun transforming our Shell Pulau Bukom manufacturing site in Singapore into an energy and chemicals park. This is part of our strategy to integrate our refining portfolio with Chemicals, resulting in approximately six high-value energy and chemicals parks, of which Bukom will be one. Bukom will switch from a crude-oil, fuels-based product slate towards new low-carbon value chains. Crude processing capacity at Bukom will be reduced by around half.</w:t>
      </w:r>
    </w:p>
    <w:p>
      <w:pPr>
        <w:spacing w:after="0" w:line="200" w:lineRule="exact"/>
        <w:rPr>
          <w:sz w:val="20"/>
          <w:szCs w:val="20"/>
          <w:color w:val="auto"/>
        </w:rPr>
      </w:pPr>
    </w:p>
    <w:p>
      <w:pPr>
        <w:sectPr>
          <w:pgSz w:w="11900" w:h="16838" w:orient="portrait"/>
          <w:cols w:equalWidth="0" w:num="2">
            <w:col w:w="5428" w:space="300"/>
            <w:col w:w="5580"/>
          </w:cols>
          <w:pgMar w:left="292" w:top="674" w:right="299" w:bottom="1440" w:gutter="0" w:footer="0" w:header="0"/>
        </w:sectPr>
      </w:pP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52</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74" w:right="299" w:bottom="1440" w:gutter="0" w:footer="0" w:header="0"/>
          <w:type w:val="continuous"/>
        </w:sectPr>
      </w:pPr>
    </w:p>
    <w:bookmarkStart w:id="55" w:name="page56"/>
    <w:bookmarkEnd w:id="55"/>
    <w:p>
      <w:pPr>
        <w:ind w:left="108" w:right="100" w:hanging="108"/>
        <w:spacing w:after="0" w:line="299" w:lineRule="auto"/>
        <w:tabs>
          <w:tab w:leader="none" w:pos="106" w:val="left"/>
        </w:tabs>
        <w:numPr>
          <w:ilvl w:val="0"/>
          <w:numId w:val="36"/>
        </w:numPr>
        <w:rPr>
          <w:rFonts w:ascii="Arial" w:cs="Arial" w:eastAsia="Arial" w:hAnsi="Arial"/>
          <w:sz w:val="8"/>
          <w:szCs w:val="8"/>
          <w:color w:val="auto"/>
        </w:rPr>
      </w:pPr>
      <w:r>
        <w:rPr>
          <w:rFonts w:ascii="Arial" w:cs="Arial" w:eastAsia="Arial" w:hAnsi="Arial"/>
          <w:sz w:val="8"/>
          <w:szCs w:val="8"/>
          <w:color w:val="auto"/>
        </w:rPr>
        <w:t>In November 2020, we announced that we are shutting down the Convent Refinery in Louisiana, USA. Shell continues to assess market interest for the potential divestment of the asset during and after the shutdown, but does not intend to operate it in the future.</w:t>
      </w:r>
    </w:p>
    <w:p>
      <w:pPr>
        <w:spacing w:after="0" w:line="13" w:lineRule="exact"/>
        <w:rPr>
          <w:rFonts w:ascii="Arial" w:cs="Arial" w:eastAsia="Arial" w:hAnsi="Arial"/>
          <w:sz w:val="8"/>
          <w:szCs w:val="8"/>
          <w:color w:val="auto"/>
        </w:rPr>
      </w:pPr>
    </w:p>
    <w:p>
      <w:pPr>
        <w:ind w:left="108" w:right="80" w:hanging="108"/>
        <w:spacing w:after="0" w:line="201" w:lineRule="auto"/>
        <w:tabs>
          <w:tab w:leader="none" w:pos="110" w:val="left"/>
        </w:tabs>
        <w:numPr>
          <w:ilvl w:val="0"/>
          <w:numId w:val="36"/>
        </w:numPr>
        <w:rPr>
          <w:rFonts w:ascii="Arial" w:cs="Arial" w:eastAsia="Arial" w:hAnsi="Arial"/>
          <w:sz w:val="13"/>
          <w:szCs w:val="13"/>
          <w:color w:val="auto"/>
        </w:rPr>
      </w:pPr>
      <w:r>
        <w:rPr>
          <w:rFonts w:ascii="Arial" w:cs="Arial" w:eastAsia="Arial" w:hAnsi="Arial"/>
          <w:sz w:val="10"/>
          <w:szCs w:val="10"/>
          <w:color w:val="auto"/>
        </w:rPr>
        <w:t>In January 2021, Shell reached an agreement with Postlane for the sale of A/S Dansk Shell in Denmark, which consists of the Fredericia Refinery and local trading and supply activities</w:t>
      </w:r>
      <w:r>
        <w:rPr>
          <w:rFonts w:ascii="Arial" w:cs="Arial" w:eastAsia="Arial" w:hAnsi="Arial"/>
          <w:sz w:val="13"/>
          <w:szCs w:val="13"/>
          <w:color w:val="auto"/>
        </w:rPr>
        <w:t>.</w:t>
      </w:r>
    </w:p>
    <w:p>
      <w:pPr>
        <w:ind w:left="108" w:right="120" w:hanging="108"/>
        <w:spacing w:after="0" w:line="206" w:lineRule="auto"/>
        <w:tabs>
          <w:tab w:leader="none" w:pos="106" w:val="left"/>
        </w:tabs>
        <w:numPr>
          <w:ilvl w:val="0"/>
          <w:numId w:val="36"/>
        </w:numPr>
        <w:rPr>
          <w:rFonts w:ascii="Arial" w:cs="Arial" w:eastAsia="Arial" w:hAnsi="Arial"/>
          <w:sz w:val="10"/>
          <w:szCs w:val="10"/>
          <w:color w:val="auto"/>
        </w:rPr>
      </w:pPr>
      <w:r>
        <w:rPr>
          <w:rFonts w:ascii="Arial" w:cs="Arial" w:eastAsia="Arial" w:hAnsi="Arial"/>
          <w:sz w:val="10"/>
          <w:szCs w:val="10"/>
          <w:color w:val="auto"/>
        </w:rPr>
        <w:t>In January 2021, Shell signed an agreement to acquire 100% of ubitricity, a leading European provider of on-street charging for electric vehicles. The acquisition was completed in February 2021.</w:t>
      </w:r>
    </w:p>
    <w:p>
      <w:pPr>
        <w:ind w:left="108" w:right="60" w:hanging="108"/>
        <w:spacing w:after="0" w:line="214" w:lineRule="auto"/>
        <w:tabs>
          <w:tab w:leader="none" w:pos="106" w:val="left"/>
        </w:tabs>
        <w:numPr>
          <w:ilvl w:val="0"/>
          <w:numId w:val="36"/>
        </w:numPr>
        <w:rPr>
          <w:rFonts w:ascii="Arial" w:cs="Arial" w:eastAsia="Arial" w:hAnsi="Arial"/>
          <w:sz w:val="10"/>
          <w:szCs w:val="10"/>
          <w:color w:val="auto"/>
        </w:rPr>
      </w:pPr>
      <w:r>
        <w:rPr>
          <w:rFonts w:ascii="Arial" w:cs="Arial" w:eastAsia="Arial" w:hAnsi="Arial"/>
          <w:sz w:val="10"/>
          <w:szCs w:val="10"/>
          <w:color w:val="auto"/>
        </w:rPr>
        <w:t>In January 2021, Shell announced the signing of commercial agreements to invest in Varennes Carbon Recycling, the first waste to low-carbon fuels plant in Québec, Canada. Shell will have a 40% interest in the plant, which will use technology developed by Enerkem. The facility will produce low-carbon fuels and renewable chemicals products from non-recyclable waste. Commissioning of the first phase of the facility is scheduled for 2023.</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1"/>
          <w:szCs w:val="11"/>
          <w:color w:val="auto"/>
        </w:rPr>
        <w:t>BUSINESS AND PROPERTY</w:t>
      </w:r>
    </w:p>
    <w:p>
      <w:pPr>
        <w:spacing w:after="0" w:line="7" w:lineRule="exact"/>
        <w:rPr>
          <w:sz w:val="20"/>
          <w:szCs w:val="20"/>
          <w:color w:val="auto"/>
        </w:rPr>
      </w:pPr>
    </w:p>
    <w:p>
      <w:pPr>
        <w:ind w:left="8"/>
        <w:spacing w:after="0"/>
        <w:rPr>
          <w:sz w:val="20"/>
          <w:szCs w:val="20"/>
          <w:color w:val="auto"/>
        </w:rPr>
      </w:pPr>
      <w:r>
        <w:rPr>
          <w:rFonts w:ascii="Arial" w:cs="Arial" w:eastAsia="Arial" w:hAnsi="Arial"/>
          <w:sz w:val="11"/>
          <w:szCs w:val="11"/>
          <w:color w:val="auto"/>
        </w:rPr>
        <w:t>Refining and Trading</w:t>
      </w:r>
    </w:p>
    <w:p>
      <w:pPr>
        <w:ind w:left="8"/>
        <w:spacing w:after="0" w:line="225" w:lineRule="auto"/>
        <w:rPr>
          <w:sz w:val="20"/>
          <w:szCs w:val="20"/>
          <w:color w:val="auto"/>
        </w:rPr>
      </w:pPr>
      <w:r>
        <w:rPr>
          <w:rFonts w:ascii="Arial" w:cs="Arial" w:eastAsia="Arial" w:hAnsi="Arial"/>
          <w:sz w:val="11"/>
          <w:szCs w:val="11"/>
          <w:color w:val="auto"/>
        </w:rPr>
        <w:t>Refining</w:t>
      </w:r>
    </w:p>
    <w:p>
      <w:pPr>
        <w:ind w:left="8"/>
        <w:spacing w:after="0" w:line="228" w:lineRule="auto"/>
        <w:rPr>
          <w:sz w:val="20"/>
          <w:szCs w:val="20"/>
          <w:color w:val="auto"/>
        </w:rPr>
      </w:pPr>
      <w:r>
        <w:rPr>
          <w:rFonts w:ascii="Arial" w:cs="Arial" w:eastAsia="Arial" w:hAnsi="Arial"/>
          <w:sz w:val="10"/>
          <w:szCs w:val="10"/>
          <w:color w:val="auto"/>
        </w:rPr>
        <w:t xml:space="preserve">We have interests in 13 refineries worldwide, (after converting Tabangao in </w:t>
      </w:r>
      <w:r>
        <w:rPr>
          <w:rFonts w:ascii="Arial" w:cs="Arial" w:eastAsia="Arial" w:hAnsi="Arial"/>
          <w:sz w:val="10"/>
          <w:szCs w:val="10"/>
          <w:color w:val="4D5156"/>
        </w:rPr>
        <w:t>the Philippines</w:t>
      </w:r>
      <w:r>
        <w:rPr>
          <w:rFonts w:ascii="Arial" w:cs="Arial" w:eastAsia="Arial" w:hAnsi="Arial"/>
          <w:sz w:val="10"/>
          <w:szCs w:val="10"/>
          <w:color w:val="auto"/>
        </w:rPr>
        <w:t xml:space="preserve"> into a terminal and deciding in November 2020 to shut down Convent, in </w:t>
      </w:r>
      <w:r>
        <w:rPr>
          <w:rFonts w:ascii="Arial" w:cs="Arial" w:eastAsia="Arial" w:hAnsi="Arial"/>
          <w:sz w:val="10"/>
          <w:szCs w:val="10"/>
          <w:color w:val="4D5156"/>
        </w:rPr>
        <w:t>Louisiana, USA</w:t>
      </w:r>
      <w:r>
        <w:rPr>
          <w:rFonts w:ascii="Arial" w:cs="Arial" w:eastAsia="Arial" w:hAnsi="Arial"/>
          <w:sz w:val="10"/>
          <w:szCs w:val="10"/>
          <w:color w:val="auto"/>
        </w:rPr>
        <w:t>). We have the capacity to process a total of 2.2 million barrels of crude oil per day (Shell share, before it was announced that Bukom's crude capacity would reduce by around 200 thousand b/d). The distribution of our refining capacity is 46% in Europe and Africa, 33% in the Americas and 21% in Asia.</w:t>
      </w:r>
    </w:p>
    <w:p>
      <w:pPr>
        <w:spacing w:after="0" w:line="149" w:lineRule="exact"/>
        <w:rPr>
          <w:sz w:val="20"/>
          <w:szCs w:val="20"/>
          <w:color w:val="auto"/>
        </w:rPr>
      </w:pPr>
    </w:p>
    <w:p>
      <w:pPr>
        <w:ind w:left="8" w:right="60"/>
        <w:spacing w:after="0" w:line="358" w:lineRule="auto"/>
        <w:rPr>
          <w:sz w:val="20"/>
          <w:szCs w:val="20"/>
          <w:color w:val="auto"/>
        </w:rPr>
      </w:pPr>
      <w:r>
        <w:rPr>
          <w:rFonts w:ascii="Arial" w:cs="Arial" w:eastAsia="Arial" w:hAnsi="Arial"/>
          <w:sz w:val="8"/>
          <w:szCs w:val="8"/>
          <w:color w:val="auto"/>
        </w:rPr>
        <w:t>Shell’s Refining business is transforming. We will further concentrate our refineries portfolio to meet our strategic aims and to capitalise on the strong integration between our customers, trading operations, chemical plants and, increasingly, our low-carbon fuels output.</w:t>
      </w:r>
    </w:p>
    <w:p>
      <w:pPr>
        <w:spacing w:after="0" w:line="104" w:lineRule="exact"/>
        <w:rPr>
          <w:sz w:val="20"/>
          <w:szCs w:val="20"/>
          <w:color w:val="auto"/>
        </w:rPr>
      </w:pPr>
    </w:p>
    <w:p>
      <w:pPr>
        <w:ind w:left="8" w:right="120"/>
        <w:spacing w:after="0" w:line="239" w:lineRule="auto"/>
        <w:rPr>
          <w:sz w:val="20"/>
          <w:szCs w:val="20"/>
          <w:color w:val="auto"/>
        </w:rPr>
      </w:pPr>
      <w:r>
        <w:rPr>
          <w:rFonts w:ascii="Arial" w:cs="Arial" w:eastAsia="Arial" w:hAnsi="Arial"/>
          <w:sz w:val="10"/>
          <w:szCs w:val="10"/>
          <w:color w:val="auto"/>
        </w:rPr>
        <w:t>The six sites expected to form our energy and chemicals parks include Deer Park and Norco in the USA, Scotford in Canada, Pernis in the Netherlands, Rheinland in Germany and Pulau Bukom in Singapore,</w:t>
      </w:r>
    </w:p>
    <w:p>
      <w:pPr>
        <w:spacing w:after="0" w:line="149" w:lineRule="exact"/>
        <w:rPr>
          <w:sz w:val="20"/>
          <w:szCs w:val="20"/>
          <w:color w:val="auto"/>
        </w:rPr>
      </w:pPr>
    </w:p>
    <w:p>
      <w:pPr>
        <w:ind w:left="8" w:right="340"/>
        <w:spacing w:after="0" w:line="230" w:lineRule="auto"/>
        <w:rPr>
          <w:sz w:val="20"/>
          <w:szCs w:val="20"/>
          <w:color w:val="auto"/>
        </w:rPr>
      </w:pPr>
      <w:r>
        <w:rPr>
          <w:rFonts w:ascii="Arial" w:cs="Arial" w:eastAsia="Arial" w:hAnsi="Arial"/>
          <w:sz w:val="10"/>
          <w:szCs w:val="10"/>
          <w:color w:val="auto"/>
        </w:rPr>
        <w:t>Our Bukom refinery will move from a crude-oil, fuels-based product slate towards new, low-carbon products. It will reduce its crude processing capacity as a result by around 200 thousand b/d sometime in July 2021.</w:t>
      </w:r>
    </w:p>
    <w:p>
      <w:pPr>
        <w:spacing w:after="0" w:line="140" w:lineRule="exact"/>
        <w:rPr>
          <w:sz w:val="20"/>
          <w:szCs w:val="20"/>
          <w:color w:val="auto"/>
        </w:rPr>
      </w:pPr>
    </w:p>
    <w:p>
      <w:pPr>
        <w:jc w:val="both"/>
        <w:ind w:left="8" w:right="80"/>
        <w:spacing w:after="0" w:line="335" w:lineRule="auto"/>
        <w:rPr>
          <w:sz w:val="20"/>
          <w:szCs w:val="20"/>
          <w:color w:val="auto"/>
        </w:rPr>
      </w:pPr>
      <w:r>
        <w:rPr>
          <w:rFonts w:ascii="Arial" w:cs="Arial" w:eastAsia="Arial" w:hAnsi="Arial"/>
          <w:sz w:val="8"/>
          <w:szCs w:val="8"/>
          <w:color w:val="auto"/>
        </w:rPr>
        <w:t>In 2020, Pilipinas Shell Petroleum Corporation (PSPC) approved the transformation of the Tabangao refinery into an import terminal. Shell also decided to shut down the Convent Refinery in Louisiana, USA, starting the process in November 2020.</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1"/>
          <w:szCs w:val="11"/>
          <w:color w:val="auto"/>
        </w:rPr>
        <w:t>Trading and Supply</w:t>
      </w:r>
    </w:p>
    <w:p>
      <w:pPr>
        <w:jc w:val="both"/>
        <w:ind w:left="8" w:right="100"/>
        <w:spacing w:after="0" w:line="229" w:lineRule="auto"/>
        <w:rPr>
          <w:sz w:val="20"/>
          <w:szCs w:val="20"/>
          <w:color w:val="auto"/>
        </w:rPr>
      </w:pPr>
      <w:r>
        <w:rPr>
          <w:rFonts w:ascii="Arial" w:cs="Arial" w:eastAsia="Arial" w:hAnsi="Arial"/>
          <w:sz w:val="10"/>
          <w:szCs w:val="10"/>
          <w:color w:val="auto"/>
        </w:rPr>
        <w:t>Through our main trading offices in London, Houston, Singapore and Rotterdam, we trade crude oil, refined products, chemical feedstocks and environmental products. Trading and Supply trades in physical and financial contracts, lease storage and transportation capacities, and manages shipping and wholesale commercial fuel activities globally.</w:t>
      </w:r>
    </w:p>
    <w:p>
      <w:pPr>
        <w:spacing w:after="0" w:line="149" w:lineRule="exact"/>
        <w:rPr>
          <w:sz w:val="20"/>
          <w:szCs w:val="20"/>
          <w:color w:val="auto"/>
        </w:rPr>
      </w:pPr>
    </w:p>
    <w:p>
      <w:pPr>
        <w:ind w:left="8" w:right="20"/>
        <w:spacing w:after="0" w:line="239" w:lineRule="auto"/>
        <w:rPr>
          <w:sz w:val="20"/>
          <w:szCs w:val="20"/>
          <w:color w:val="auto"/>
        </w:rPr>
      </w:pPr>
      <w:r>
        <w:rPr>
          <w:rFonts w:ascii="Arial" w:cs="Arial" w:eastAsia="Arial" w:hAnsi="Arial"/>
          <w:sz w:val="10"/>
          <w:szCs w:val="10"/>
          <w:color w:val="auto"/>
        </w:rPr>
        <w:t>Operating in around 25 countries, with more than 125 Shell and joint-venture terminals, we believe our supply and distribution infrastructure is well positioned to make deliveries around the world.</w:t>
      </w:r>
    </w:p>
    <w:p>
      <w:pPr>
        <w:spacing w:after="0" w:line="149" w:lineRule="exact"/>
        <w:rPr>
          <w:sz w:val="20"/>
          <w:szCs w:val="20"/>
          <w:color w:val="auto"/>
        </w:rPr>
      </w:pPr>
    </w:p>
    <w:p>
      <w:pPr>
        <w:ind w:left="8" w:right="120"/>
        <w:spacing w:after="0" w:line="358" w:lineRule="auto"/>
        <w:rPr>
          <w:sz w:val="20"/>
          <w:szCs w:val="20"/>
          <w:color w:val="auto"/>
        </w:rPr>
      </w:pPr>
      <w:r>
        <w:rPr>
          <w:rFonts w:ascii="Arial" w:cs="Arial" w:eastAsia="Arial" w:hAnsi="Arial"/>
          <w:sz w:val="8"/>
          <w:szCs w:val="8"/>
          <w:color w:val="auto"/>
        </w:rPr>
        <w:t>Shipping and Maritime enables the safe delivery of the Shell Trading and Supply contracts. This includes supplying feedstocks for our refineries and chemical plants, and finished products such as gasoline, diesel and aviation fuel to our Marketing businesses and customers.</w:t>
      </w:r>
    </w:p>
    <w:p>
      <w:pPr>
        <w:spacing w:after="0" w:line="104" w:lineRule="exact"/>
        <w:rPr>
          <w:sz w:val="20"/>
          <w:szCs w:val="20"/>
          <w:color w:val="auto"/>
        </w:rPr>
      </w:pPr>
    </w:p>
    <w:p>
      <w:pPr>
        <w:ind w:left="8" w:right="60"/>
        <w:spacing w:after="0" w:line="239" w:lineRule="auto"/>
        <w:rPr>
          <w:sz w:val="20"/>
          <w:szCs w:val="20"/>
          <w:color w:val="auto"/>
        </w:rPr>
      </w:pPr>
      <w:r>
        <w:rPr>
          <w:rFonts w:ascii="Arial" w:cs="Arial" w:eastAsia="Arial" w:hAnsi="Arial"/>
          <w:sz w:val="10"/>
          <w:szCs w:val="10"/>
          <w:color w:val="auto"/>
        </w:rPr>
        <w:t>Shell Wholesale Commercial Fuels provides fuels for transport, industry and heating. Our range of products, from reliable main-grade fuels to premium products, is designed to provide tangible vehicle and business benefits.</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1"/>
          <w:szCs w:val="11"/>
          <w:color w:val="auto"/>
        </w:rPr>
        <w:t>Oil Sands</w:t>
      </w:r>
    </w:p>
    <w:p>
      <w:pPr>
        <w:ind w:left="8" w:right="60"/>
        <w:spacing w:after="0" w:line="309" w:lineRule="auto"/>
        <w:rPr>
          <w:sz w:val="20"/>
          <w:szCs w:val="20"/>
          <w:color w:val="auto"/>
        </w:rPr>
      </w:pPr>
      <w:r>
        <w:rPr>
          <w:rFonts w:ascii="Arial" w:cs="Arial" w:eastAsia="Arial" w:hAnsi="Arial"/>
          <w:sz w:val="8"/>
          <w:szCs w:val="8"/>
          <w:color w:val="auto"/>
        </w:rPr>
        <w:t>Synthetic crude oil is produced by mining bitumen-saturated sands, extracting the bitumen, and transporting it to a processing facility where hydrogen is added to make a wide range of feedstocks for refineries. The Athabasca Oil Sands Project (AOSP) includes the Albian Sands mining and extraction operations, the Scotford upgrader and the Quest carbon capture and storage (CCS) project</w:t>
      </w:r>
      <w:r>
        <w:rPr>
          <w:rFonts w:ascii="Arial" w:cs="Arial" w:eastAsia="Arial" w:hAnsi="Arial"/>
          <w:sz w:val="8"/>
          <w:szCs w:val="8"/>
          <w:color w:val="595959"/>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both"/>
        <w:ind w:right="240"/>
        <w:spacing w:after="0" w:line="320" w:lineRule="auto"/>
        <w:rPr>
          <w:sz w:val="20"/>
          <w:szCs w:val="20"/>
          <w:color w:val="auto"/>
        </w:rPr>
      </w:pPr>
      <w:r>
        <w:rPr>
          <w:rFonts w:ascii="Arial" w:cs="Arial" w:eastAsia="Arial" w:hAnsi="Arial"/>
          <w:sz w:val="8"/>
          <w:szCs w:val="8"/>
          <w:color w:val="auto"/>
        </w:rPr>
        <w:t>We have a 50% interest in 1745844 Alberta Ltd. (formerly known as Marathon Oil Canada Corporation), which holds a 20% interest in the Athabasca Oil Sands Project. With effect from January 1, 2020, Oil Sands is reported under Oil Products. It was previously reported under Upstream. Prior-period information has been restated for comparative purposes.</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Marketing</w:t>
      </w:r>
    </w:p>
    <w:p>
      <w:pPr>
        <w:spacing w:after="0"/>
        <w:rPr>
          <w:sz w:val="20"/>
          <w:szCs w:val="20"/>
          <w:color w:val="auto"/>
        </w:rPr>
      </w:pPr>
      <w:r>
        <w:rPr>
          <w:rFonts w:ascii="Arial" w:cs="Arial" w:eastAsia="Arial" w:hAnsi="Arial"/>
          <w:sz w:val="11"/>
          <w:szCs w:val="11"/>
          <w:color w:val="auto"/>
        </w:rPr>
        <w:t>Retail</w:t>
      </w:r>
    </w:p>
    <w:p>
      <w:pPr>
        <w:ind w:right="280"/>
        <w:spacing w:after="0" w:line="337" w:lineRule="auto"/>
        <w:rPr>
          <w:sz w:val="20"/>
          <w:szCs w:val="20"/>
          <w:color w:val="auto"/>
        </w:rPr>
      </w:pPr>
      <w:r>
        <w:rPr>
          <w:rFonts w:ascii="Arial" w:cs="Arial" w:eastAsia="Arial" w:hAnsi="Arial"/>
          <w:sz w:val="8"/>
          <w:szCs w:val="8"/>
          <w:color w:val="auto"/>
        </w:rPr>
        <w:t>Shell is the world’s largest mobility retailer, by number of sites, with almost 46,000 service stations operating in nearly 80 countries at the end of 2020. We operate different models across these markets, from full ownership of retail sites through to brand licensing agreements.</w:t>
      </w:r>
    </w:p>
    <w:p>
      <w:pPr>
        <w:spacing w:after="0" w:line="112" w:lineRule="exact"/>
        <w:rPr>
          <w:sz w:val="20"/>
          <w:szCs w:val="20"/>
          <w:color w:val="auto"/>
        </w:rPr>
      </w:pPr>
    </w:p>
    <w:p>
      <w:pPr>
        <w:ind w:right="140"/>
        <w:spacing w:after="0" w:line="234" w:lineRule="auto"/>
        <w:rPr>
          <w:sz w:val="20"/>
          <w:szCs w:val="20"/>
          <w:color w:val="auto"/>
        </w:rPr>
      </w:pPr>
      <w:r>
        <w:rPr>
          <w:rFonts w:ascii="Arial" w:cs="Arial" w:eastAsia="Arial" w:hAnsi="Arial"/>
          <w:sz w:val="10"/>
          <w:szCs w:val="10"/>
          <w:color w:val="auto"/>
        </w:rPr>
        <w:t>Every day, around 30 million customers visit these sites to buy fuel, convenience items including beverages and fresh food, and services such as lubricant changes and car washes. We offer our business customers Shell Fleet Solutions, through which they can obtain items including fuel cards, road services and carbon-neutral offers.</w:t>
      </w:r>
    </w:p>
    <w:p>
      <w:pPr>
        <w:spacing w:after="0" w:line="150" w:lineRule="exact"/>
        <w:rPr>
          <w:sz w:val="20"/>
          <w:szCs w:val="20"/>
          <w:color w:val="auto"/>
        </w:rPr>
      </w:pPr>
    </w:p>
    <w:p>
      <w:pPr>
        <w:ind w:right="180"/>
        <w:spacing w:after="0" w:line="234" w:lineRule="auto"/>
        <w:rPr>
          <w:sz w:val="20"/>
          <w:szCs w:val="20"/>
          <w:color w:val="auto"/>
        </w:rPr>
      </w:pPr>
      <w:r>
        <w:rPr>
          <w:rFonts w:ascii="Arial" w:cs="Arial" w:eastAsia="Arial" w:hAnsi="Arial"/>
          <w:sz w:val="10"/>
          <w:szCs w:val="10"/>
          <w:color w:val="auto"/>
        </w:rPr>
        <w:t>We have more than 100 years’ experience in fuel development. Aided by our partnership with Scuderia Ferrari, we have concentrated on developing fuels with special formulations designed to clean engines and improve performance. We sold such fuels under the Shell V-Power brand in 64 countries in 2020.</w:t>
      </w:r>
    </w:p>
    <w:p>
      <w:pPr>
        <w:spacing w:after="0" w:line="150" w:lineRule="exact"/>
        <w:rPr>
          <w:sz w:val="20"/>
          <w:szCs w:val="20"/>
          <w:color w:val="auto"/>
        </w:rPr>
      </w:pPr>
    </w:p>
    <w:p>
      <w:pPr>
        <w:ind w:right="120"/>
        <w:spacing w:after="0" w:line="307" w:lineRule="auto"/>
        <w:rPr>
          <w:sz w:val="20"/>
          <w:szCs w:val="20"/>
          <w:color w:val="auto"/>
        </w:rPr>
      </w:pPr>
      <w:r>
        <w:rPr>
          <w:rFonts w:ascii="Arial" w:cs="Arial" w:eastAsia="Arial" w:hAnsi="Arial"/>
          <w:sz w:val="8"/>
          <w:szCs w:val="8"/>
          <w:color w:val="auto"/>
        </w:rPr>
        <w:t>In a growing number of markets, we are offering customers lower-emission products and services, including biofuels, electric vehicle fast charging, hydrogen and various gaseous fuels such as LNG. In 2020, we launched carbon-neutral driving offers in five new countries. Across the seven countries where we now offer carbon-neutral driving, we helped offset customer emissions from more than 1 billion litres of fuel by buying carbon credits linked to projects that plant and protect forests, wetlands and other natural ecosystems.</w:t>
      </w:r>
    </w:p>
    <w:p>
      <w:pPr>
        <w:spacing w:after="0" w:line="123" w:lineRule="exact"/>
        <w:rPr>
          <w:sz w:val="20"/>
          <w:szCs w:val="20"/>
          <w:color w:val="auto"/>
        </w:rPr>
      </w:pPr>
    </w:p>
    <w:p>
      <w:pPr>
        <w:ind w:right="220"/>
        <w:spacing w:after="0" w:line="239" w:lineRule="auto"/>
        <w:rPr>
          <w:sz w:val="20"/>
          <w:szCs w:val="20"/>
          <w:color w:val="auto"/>
        </w:rPr>
      </w:pPr>
      <w:r>
        <w:rPr>
          <w:rFonts w:ascii="Arial" w:cs="Arial" w:eastAsia="Arial" w:hAnsi="Arial"/>
          <w:sz w:val="10"/>
          <w:szCs w:val="10"/>
          <w:color w:val="auto"/>
        </w:rPr>
        <w:t>Shell operates more than 60,000 electric vehicle charge points. This includes over 1,000 charge points at Shell forecourts and new locations as well as operated charge points owned by our individual and business customers.</w:t>
      </w:r>
    </w:p>
    <w:p>
      <w:pPr>
        <w:spacing w:after="0" w:line="149" w:lineRule="exact"/>
        <w:rPr>
          <w:sz w:val="20"/>
          <w:szCs w:val="20"/>
          <w:color w:val="auto"/>
        </w:rPr>
      </w:pPr>
    </w:p>
    <w:p>
      <w:pPr>
        <w:ind w:right="140"/>
        <w:spacing w:after="0" w:line="234" w:lineRule="auto"/>
        <w:rPr>
          <w:sz w:val="20"/>
          <w:szCs w:val="20"/>
          <w:color w:val="auto"/>
        </w:rPr>
      </w:pPr>
      <w:r>
        <w:rPr>
          <w:rFonts w:ascii="Arial" w:cs="Arial" w:eastAsia="Arial" w:hAnsi="Arial"/>
          <w:sz w:val="10"/>
          <w:szCs w:val="10"/>
          <w:color w:val="auto"/>
        </w:rPr>
        <w:t>In January 2021, Shell signed an agreement to acquire 100% of ubitricity, a leading European provider of on-street charging for electric vehicles. The move represents a further step in Shell’s efforts to support drivers as they switch to lower-carbon transport. The acquisition was completed in February 2021.</w:t>
      </w:r>
    </w:p>
    <w:p>
      <w:pPr>
        <w:spacing w:after="0" w:line="150" w:lineRule="exact"/>
        <w:rPr>
          <w:sz w:val="20"/>
          <w:szCs w:val="20"/>
          <w:color w:val="auto"/>
        </w:rPr>
      </w:pPr>
    </w:p>
    <w:p>
      <w:pPr>
        <w:spacing w:after="0"/>
        <w:rPr>
          <w:sz w:val="20"/>
          <w:szCs w:val="20"/>
          <w:color w:val="auto"/>
        </w:rPr>
      </w:pPr>
      <w:r>
        <w:rPr>
          <w:rFonts w:ascii="Arial" w:cs="Arial" w:eastAsia="Arial" w:hAnsi="Arial"/>
          <w:sz w:val="8"/>
          <w:szCs w:val="8"/>
          <w:color w:val="auto"/>
        </w:rPr>
        <w:t>We have around 50 hydrogen retail sites in Europe and North America, where drivers can fill up their vehicles with hydrogen fuel.</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Lubricants</w:t>
      </w:r>
    </w:p>
    <w:p>
      <w:pPr>
        <w:ind w:right="160"/>
        <w:spacing w:after="0" w:line="309" w:lineRule="auto"/>
        <w:rPr>
          <w:sz w:val="20"/>
          <w:szCs w:val="20"/>
          <w:color w:val="auto"/>
        </w:rPr>
      </w:pPr>
      <w:r>
        <w:rPr>
          <w:rFonts w:ascii="Arial" w:cs="Arial" w:eastAsia="Arial" w:hAnsi="Arial"/>
          <w:sz w:val="8"/>
          <w:szCs w:val="8"/>
          <w:color w:val="auto"/>
        </w:rPr>
        <w:t>Shell Lubricants has been the number one global finished lubricants supplier in terms of market share for 14 consecutive years, according to Kline &amp; Company data for 2019. Across more than 160 markets, we produce, market and sell technically advanced lubricants for passenger cars, motorcycles, trucks, coaches, and machinery used in the manufacturing, mining, power generation, agriculture and construction sectors.</w:t>
      </w:r>
    </w:p>
    <w:p>
      <w:pPr>
        <w:spacing w:after="0" w:line="123" w:lineRule="exact"/>
        <w:rPr>
          <w:sz w:val="20"/>
          <w:szCs w:val="20"/>
          <w:color w:val="auto"/>
        </w:rPr>
      </w:pPr>
    </w:p>
    <w:p>
      <w:pPr>
        <w:ind w:right="240"/>
        <w:spacing w:after="0" w:line="358" w:lineRule="auto"/>
        <w:rPr>
          <w:sz w:val="20"/>
          <w:szCs w:val="20"/>
          <w:color w:val="auto"/>
        </w:rPr>
      </w:pPr>
      <w:r>
        <w:rPr>
          <w:rFonts w:ascii="Arial" w:cs="Arial" w:eastAsia="Arial" w:hAnsi="Arial"/>
          <w:sz w:val="8"/>
          <w:szCs w:val="8"/>
          <w:color w:val="auto"/>
        </w:rPr>
        <w:t>We also manufacture premium lubricants for conventional vehicles and Shell E-fluids for electric vehicles using gas-to-liquids (GTL) base oils that are made from natural gas at our Pearl GTL plant in Qatar (see “Integrated Gas” on pages 30-35).</w:t>
      </w:r>
    </w:p>
    <w:p>
      <w:pPr>
        <w:spacing w:after="0" w:line="104" w:lineRule="exact"/>
        <w:rPr>
          <w:sz w:val="20"/>
          <w:szCs w:val="20"/>
          <w:color w:val="auto"/>
        </w:rPr>
      </w:pPr>
    </w:p>
    <w:p>
      <w:pPr>
        <w:ind w:right="320"/>
        <w:spacing w:after="0" w:line="239" w:lineRule="auto"/>
        <w:rPr>
          <w:sz w:val="20"/>
          <w:szCs w:val="20"/>
          <w:color w:val="auto"/>
        </w:rPr>
      </w:pPr>
      <w:r>
        <w:rPr>
          <w:rFonts w:ascii="Arial" w:cs="Arial" w:eastAsia="Arial" w:hAnsi="Arial"/>
          <w:sz w:val="10"/>
          <w:szCs w:val="10"/>
          <w:color w:val="auto"/>
        </w:rPr>
        <w:t>We have a global lubricants supply chain with a network of four base oil manufacturing plants, 32 lubricant blending plants, eight grease plants and four GTL base oil storage hubs.</w:t>
      </w:r>
    </w:p>
    <w:p>
      <w:pPr>
        <w:spacing w:after="0" w:line="149" w:lineRule="exact"/>
        <w:rPr>
          <w:sz w:val="20"/>
          <w:szCs w:val="20"/>
          <w:color w:val="auto"/>
        </w:rPr>
      </w:pPr>
    </w:p>
    <w:p>
      <w:pPr>
        <w:ind w:right="160"/>
        <w:spacing w:after="0" w:line="234" w:lineRule="auto"/>
        <w:rPr>
          <w:sz w:val="20"/>
          <w:szCs w:val="20"/>
          <w:color w:val="auto"/>
        </w:rPr>
      </w:pPr>
      <w:r>
        <w:rPr>
          <w:rFonts w:ascii="Arial" w:cs="Arial" w:eastAsia="Arial" w:hAnsi="Arial"/>
          <w:sz w:val="10"/>
          <w:szCs w:val="10"/>
          <w:color w:val="auto"/>
        </w:rPr>
        <w:t>Through our marine activities, we primarily provide the shipping and maritime sectors with lubricants, but also with fuels, chemical products and related technical and digital services. We supply 259 grades of lubricants and six types of fuel to vessels worldwide, ranging from large ocean-going tankers to small fishing boats.</w:t>
      </w:r>
    </w:p>
    <w:p>
      <w:pPr>
        <w:spacing w:after="0" w:line="433" w:lineRule="exact"/>
        <w:rPr>
          <w:sz w:val="20"/>
          <w:szCs w:val="20"/>
          <w:color w:val="auto"/>
        </w:rPr>
      </w:pPr>
    </w:p>
    <w:p>
      <w:pPr>
        <w:sectPr>
          <w:pgSz w:w="11900" w:h="16838" w:orient="portrait"/>
          <w:cols w:equalWidth="0" w:num="2">
            <w:col w:w="5428" w:space="300"/>
            <w:col w:w="5580"/>
          </w:cols>
          <w:pgMar w:left="292" w:top="676" w:right="299" w:bottom="1440" w:gutter="0" w:footer="0" w:header="0"/>
        </w:sectPr>
      </w:pP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53</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76" w:right="299" w:bottom="1440" w:gutter="0" w:footer="0" w:header="0"/>
          <w:type w:val="continuous"/>
        </w:sectPr>
      </w:pPr>
    </w:p>
    <w:bookmarkStart w:id="56" w:name="page57"/>
    <w:bookmarkEnd w:id="56"/>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Business-to-Business</w:t>
      </w:r>
    </w:p>
    <w:p>
      <w:pPr>
        <w:ind w:right="260"/>
        <w:spacing w:after="0" w:line="231" w:lineRule="auto"/>
        <w:rPr>
          <w:sz w:val="20"/>
          <w:szCs w:val="20"/>
          <w:color w:val="auto"/>
        </w:rPr>
      </w:pPr>
      <w:r>
        <w:rPr>
          <w:rFonts w:ascii="Arial" w:cs="Arial" w:eastAsia="Arial" w:hAnsi="Arial"/>
          <w:sz w:val="10"/>
          <w:szCs w:val="10"/>
          <w:color w:val="auto"/>
        </w:rPr>
        <w:t>Our Business-to-Business (B2B) activities encompass the sale of fuels, speciality products and services to a broad range of commercial customers.</w:t>
      </w:r>
    </w:p>
    <w:p>
      <w:pPr>
        <w:spacing w:after="0" w:line="149" w:lineRule="exact"/>
        <w:rPr>
          <w:sz w:val="20"/>
          <w:szCs w:val="20"/>
          <w:color w:val="auto"/>
        </w:rPr>
      </w:pPr>
    </w:p>
    <w:p>
      <w:pPr>
        <w:jc w:val="both"/>
        <w:ind w:right="200"/>
        <w:spacing w:after="0" w:line="320" w:lineRule="auto"/>
        <w:rPr>
          <w:sz w:val="20"/>
          <w:szCs w:val="20"/>
          <w:color w:val="auto"/>
        </w:rPr>
      </w:pPr>
      <w:r>
        <w:rPr>
          <w:rFonts w:ascii="Arial" w:cs="Arial" w:eastAsia="Arial" w:hAnsi="Arial"/>
          <w:sz w:val="8"/>
          <w:szCs w:val="8"/>
          <w:color w:val="auto"/>
        </w:rPr>
        <w:t xml:space="preserve">Shell Aviation provides aviation fuel, lubricants and low-carbon solutions globally. </w:t>
      </w:r>
      <w:r>
        <w:rPr>
          <w:rFonts w:ascii="Arial" w:cs="Arial" w:eastAsia="Arial" w:hAnsi="Arial"/>
          <w:sz w:val="8"/>
          <w:szCs w:val="8"/>
          <w:color w:val="595959"/>
        </w:rPr>
        <w:t>In 2020,</w:t>
      </w:r>
      <w:r>
        <w:rPr>
          <w:rFonts w:ascii="Arial" w:cs="Arial" w:eastAsia="Arial" w:hAnsi="Arial"/>
          <w:sz w:val="8"/>
          <w:szCs w:val="8"/>
          <w:color w:val="auto"/>
        </w:rPr>
        <w:t xml:space="preserve"> we collaborated with many organisations to develop a scalable supply of sustainable aviation fuel made from renewable raw materials and waste products. In partnership with World Energy, Shell Aviation has agreed to supply up to 6 million gallons of sustainable aviation fuel to Amazon Air.</w:t>
      </w:r>
    </w:p>
    <w:p>
      <w:pPr>
        <w:spacing w:after="0" w:line="118" w:lineRule="exact"/>
        <w:rPr>
          <w:sz w:val="20"/>
          <w:szCs w:val="20"/>
          <w:color w:val="auto"/>
        </w:rPr>
      </w:pPr>
    </w:p>
    <w:p>
      <w:pPr>
        <w:spacing w:after="0" w:line="239" w:lineRule="auto"/>
        <w:rPr>
          <w:sz w:val="20"/>
          <w:szCs w:val="20"/>
          <w:color w:val="auto"/>
        </w:rPr>
      </w:pPr>
      <w:r>
        <w:rPr>
          <w:rFonts w:ascii="Arial" w:cs="Arial" w:eastAsia="Arial" w:hAnsi="Arial"/>
          <w:sz w:val="10"/>
          <w:szCs w:val="10"/>
          <w:color w:val="auto"/>
        </w:rPr>
        <w:t>Shell Bitumen supplies customers across 60 markets and provides enough bitumen to resurface 500 kilometres of road lanes every day. It also invests in research and development to create innovative products.</w:t>
      </w:r>
    </w:p>
    <w:p>
      <w:pPr>
        <w:spacing w:after="0" w:line="20" w:lineRule="exact"/>
        <w:rPr>
          <w:sz w:val="20"/>
          <w:szCs w:val="20"/>
          <w:color w:val="auto"/>
        </w:rPr>
      </w:pPr>
      <w:r>
        <w:rPr>
          <w:sz w:val="20"/>
          <w:szCs w:val="20"/>
          <w:color w:val="auto"/>
        </w:rPr>
        <w:br w:type="column"/>
      </w:r>
    </w:p>
    <w:p>
      <w:pPr>
        <w:ind w:right="300"/>
        <w:spacing w:after="0" w:line="230" w:lineRule="auto"/>
        <w:rPr>
          <w:sz w:val="20"/>
          <w:szCs w:val="20"/>
          <w:color w:val="auto"/>
        </w:rPr>
      </w:pPr>
      <w:r>
        <w:rPr>
          <w:rFonts w:ascii="Arial" w:cs="Arial" w:eastAsia="Arial" w:hAnsi="Arial"/>
          <w:sz w:val="10"/>
          <w:szCs w:val="10"/>
          <w:color w:val="auto"/>
        </w:rPr>
        <w:t>Shell’s products distribution complex in Carson, California. The R-CNG will be sourced from Shell’s portfolio of anaerobic digestion projects.</w:t>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color w:val="auto"/>
        </w:rPr>
        <w:t>BUSINESS ACTIVITIES WITH SUDAN, SYRIA AND CUBA</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Sudan</w:t>
      </w:r>
    </w:p>
    <w:p>
      <w:pPr>
        <w:ind w:right="120"/>
        <w:spacing w:after="0" w:line="225" w:lineRule="auto"/>
        <w:rPr>
          <w:sz w:val="20"/>
          <w:szCs w:val="20"/>
          <w:color w:val="auto"/>
        </w:rPr>
      </w:pPr>
      <w:r>
        <w:rPr>
          <w:rFonts w:ascii="Arial" w:cs="Arial" w:eastAsia="Arial" w:hAnsi="Arial"/>
          <w:sz w:val="10"/>
          <w:szCs w:val="10"/>
          <w:color w:val="auto"/>
        </w:rPr>
        <w:t>We ceased all operational activities in Sudan in 2008. In 2020, we registered a trademark right in Sudan (north) and paid $8 to the General Intellectual Property Register Office, and $79 in agent and handling fees.</w:t>
      </w:r>
    </w:p>
    <w:p>
      <w:pPr>
        <w:spacing w:after="0" w:line="237" w:lineRule="auto"/>
        <w:rPr>
          <w:sz w:val="20"/>
          <w:szCs w:val="20"/>
          <w:color w:val="auto"/>
        </w:rPr>
      </w:pPr>
      <w:r>
        <w:rPr>
          <w:rFonts w:ascii="Arial" w:cs="Arial" w:eastAsia="Arial" w:hAnsi="Arial"/>
          <w:sz w:val="10"/>
          <w:szCs w:val="10"/>
          <w:color w:val="auto"/>
        </w:rPr>
        <w:t>The renewal of the trademark rights is not indicative of any sales of products in Sudan</w:t>
      </w:r>
    </w:p>
    <w:p>
      <w:pPr>
        <w:spacing w:after="0" w:line="146" w:lineRule="exact"/>
        <w:rPr>
          <w:sz w:val="20"/>
          <w:szCs w:val="20"/>
          <w:color w:val="auto"/>
        </w:rPr>
      </w:pPr>
    </w:p>
    <w:p>
      <w:pPr>
        <w:sectPr>
          <w:pgSz w:w="11900" w:h="16838" w:orient="portrait"/>
          <w:cols w:equalWidth="0" w:num="2">
            <w:col w:w="5440" w:space="280"/>
            <w:col w:w="5440"/>
          </w:cols>
          <w:pgMar w:left="300" w:top="667" w:right="439" w:bottom="1440" w:gutter="0" w:footer="0" w:header="0"/>
        </w:sectPr>
      </w:pPr>
    </w:p>
    <w:p>
      <w:pPr>
        <w:spacing w:after="0" w:line="110" w:lineRule="exact"/>
        <w:rPr>
          <w:sz w:val="20"/>
          <w:szCs w:val="20"/>
          <w:color w:val="auto"/>
        </w:rPr>
      </w:pPr>
    </w:p>
    <w:p>
      <w:pPr>
        <w:ind w:right="180"/>
        <w:spacing w:after="0" w:line="234" w:lineRule="auto"/>
        <w:rPr>
          <w:sz w:val="20"/>
          <w:szCs w:val="20"/>
          <w:color w:val="auto"/>
        </w:rPr>
      </w:pPr>
      <w:r>
        <w:rPr>
          <w:rFonts w:ascii="Arial" w:cs="Arial" w:eastAsia="Arial" w:hAnsi="Arial"/>
          <w:sz w:val="10"/>
          <w:szCs w:val="10"/>
          <w:color w:val="auto"/>
        </w:rPr>
        <w:t>Shell Sulphur Solutions is a business that manages the complete value chain of sulphur, from refining to marketing. The business provides sulphur for use in applications such as fertiliser, mining and chemicals. It also develops new technologies for sulphur that benefit sectors such as agriculture.</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Pipelines</w:t>
      </w:r>
    </w:p>
    <w:p>
      <w:pPr>
        <w:ind w:right="280"/>
        <w:spacing w:after="0" w:line="300" w:lineRule="auto"/>
        <w:rPr>
          <w:sz w:val="20"/>
          <w:szCs w:val="20"/>
          <w:color w:val="auto"/>
        </w:rPr>
      </w:pPr>
      <w:r>
        <w:rPr>
          <w:rFonts w:ascii="Arial" w:cs="Arial" w:eastAsia="Arial" w:hAnsi="Arial"/>
          <w:sz w:val="8"/>
          <w:szCs w:val="8"/>
          <w:color w:val="auto"/>
        </w:rPr>
        <w:t>Shell Pipeline Company LP (Shell interest 100%) operates 9 tank farms across the USA, owns all of the interest in one such tank farm and, through its subsidiaries, has a majority ownership interest in the other 8 tank farms. It transports around 2 billion barrels of crude oil and refined products a year through around 6,000 kilometres of pipelines in the Gulf of Mexico and five US states. Our various non-Shell-operated ownership interests provide a further 14,000 pipeline kilometres.</w:t>
      </w:r>
    </w:p>
    <w:p>
      <w:pPr>
        <w:spacing w:after="0" w:line="126" w:lineRule="exact"/>
        <w:rPr>
          <w:sz w:val="20"/>
          <w:szCs w:val="20"/>
          <w:color w:val="auto"/>
        </w:rPr>
      </w:pPr>
    </w:p>
    <w:p>
      <w:pPr>
        <w:ind w:right="240"/>
        <w:spacing w:after="0" w:line="239" w:lineRule="auto"/>
        <w:rPr>
          <w:sz w:val="20"/>
          <w:szCs w:val="20"/>
          <w:color w:val="auto"/>
        </w:rPr>
      </w:pPr>
      <w:r>
        <w:rPr>
          <w:rFonts w:ascii="Arial" w:cs="Arial" w:eastAsia="Arial" w:hAnsi="Arial"/>
          <w:sz w:val="10"/>
          <w:szCs w:val="10"/>
          <w:color w:val="auto"/>
        </w:rPr>
        <w:t>We carry more than 40 types of crude oil and more than 20 grades of fuel and chemicals, including gasoline, diesel, aviation fuel, chemicals and ethylene.</w:t>
      </w:r>
    </w:p>
    <w:p>
      <w:pPr>
        <w:spacing w:after="0" w:line="149" w:lineRule="exact"/>
        <w:rPr>
          <w:sz w:val="20"/>
          <w:szCs w:val="20"/>
          <w:color w:val="auto"/>
        </w:rPr>
      </w:pPr>
    </w:p>
    <w:p>
      <w:pPr>
        <w:ind w:right="180"/>
        <w:spacing w:after="0" w:line="297" w:lineRule="auto"/>
        <w:rPr>
          <w:sz w:val="20"/>
          <w:szCs w:val="20"/>
          <w:color w:val="auto"/>
        </w:rPr>
      </w:pPr>
      <w:r>
        <w:rPr>
          <w:rFonts w:ascii="Arial" w:cs="Arial" w:eastAsia="Arial" w:hAnsi="Arial"/>
          <w:sz w:val="8"/>
          <w:szCs w:val="8"/>
          <w:color w:val="auto"/>
        </w:rPr>
        <w:t>Shell Midstream Partners, L.P., a midstream master limited partnership, owns, operates, develops and acquires pipelines and other midstream assets in the USA. Its assets consist of interests in entities that own pipelines and terminals for crude oil and refined products. These serve as key infrastructure that transports crude oil produced onshore and offshore to the refining markets of the US Gulf Coast and Midwest. Shell Midstream Partners also delivers refined products from these markets to major demand centres. Its assets also include interests in entities that own natural gas and refinery gas pipelines. These transport offshore natural gas to market hubs, and deliver refinery gas from plants and refineries to chemical sites along the Gulf Coast. Shell controls the general partner.</w:t>
      </w:r>
    </w:p>
    <w:p>
      <w:pPr>
        <w:spacing w:after="0" w:line="127" w:lineRule="exact"/>
        <w:rPr>
          <w:sz w:val="20"/>
          <w:szCs w:val="20"/>
          <w:color w:val="auto"/>
        </w:rPr>
      </w:pPr>
    </w:p>
    <w:p>
      <w:pPr>
        <w:spacing w:after="0"/>
        <w:rPr>
          <w:sz w:val="20"/>
          <w:szCs w:val="20"/>
          <w:color w:val="auto"/>
        </w:rPr>
      </w:pPr>
      <w:r>
        <w:rPr>
          <w:rFonts w:ascii="Arial" w:cs="Arial" w:eastAsia="Arial" w:hAnsi="Arial"/>
          <w:sz w:val="8"/>
          <w:szCs w:val="8"/>
          <w:color w:val="auto"/>
        </w:rPr>
        <w:t>See "Governance - Related Party Transactions" on page 149 for information on transactions between Shell and Shell Midstream Partners, L.P.</w:t>
      </w:r>
    </w:p>
    <w:p>
      <w:pPr>
        <w:spacing w:after="0" w:line="175" w:lineRule="exact"/>
        <w:rPr>
          <w:sz w:val="20"/>
          <w:szCs w:val="20"/>
          <w:color w:val="auto"/>
        </w:rPr>
      </w:pPr>
    </w:p>
    <w:p>
      <w:pPr>
        <w:spacing w:after="0"/>
        <w:rPr>
          <w:sz w:val="20"/>
          <w:szCs w:val="20"/>
          <w:color w:val="auto"/>
        </w:rPr>
      </w:pPr>
      <w:r>
        <w:rPr>
          <w:rFonts w:ascii="Arial" w:cs="Arial" w:eastAsia="Arial" w:hAnsi="Arial"/>
          <w:sz w:val="11"/>
          <w:szCs w:val="11"/>
          <w:color w:val="auto"/>
        </w:rPr>
        <w:t>Low-Carbon Fuels</w:t>
      </w:r>
    </w:p>
    <w:p>
      <w:pPr>
        <w:spacing w:after="0"/>
        <w:rPr>
          <w:sz w:val="20"/>
          <w:szCs w:val="20"/>
          <w:color w:val="auto"/>
        </w:rPr>
      </w:pPr>
      <w:r>
        <w:rPr>
          <w:rFonts w:ascii="Arial" w:cs="Arial" w:eastAsia="Arial" w:hAnsi="Arial"/>
          <w:sz w:val="11"/>
          <w:szCs w:val="11"/>
          <w:color w:val="auto"/>
        </w:rPr>
        <w:t>Biofuels</w:t>
      </w:r>
    </w:p>
    <w:p>
      <w:pPr>
        <w:spacing w:after="0"/>
        <w:rPr>
          <w:sz w:val="20"/>
          <w:szCs w:val="20"/>
          <w:color w:val="auto"/>
        </w:rPr>
      </w:pPr>
      <w:r>
        <w:rPr>
          <w:rFonts w:ascii="Arial" w:cs="Arial" w:eastAsia="Arial" w:hAnsi="Arial"/>
          <w:sz w:val="10"/>
          <w:szCs w:val="10"/>
          <w:color w:val="auto"/>
        </w:rPr>
        <w:t xml:space="preserve">In 2020, around 9.5 billion litres of biofuels went into Shell's fuels </w:t>
      </w:r>
      <w:r>
        <w:rPr>
          <w:rFonts w:ascii="Arial" w:cs="Arial" w:eastAsia="Arial" w:hAnsi="Arial"/>
          <w:sz w:val="10"/>
          <w:szCs w:val="10"/>
          <w:color w:val="595959"/>
        </w:rPr>
        <w:t>worldwide, which includes</w:t>
      </w:r>
      <w:r>
        <w:rPr>
          <w:rFonts w:ascii="Arial" w:cs="Arial" w:eastAsia="Arial" w:hAnsi="Arial"/>
          <w:sz w:val="10"/>
          <w:szCs w:val="10"/>
          <w:color w:val="auto"/>
        </w:rPr>
        <w:t xml:space="preserve"> Raízen </w:t>
      </w:r>
      <w:r>
        <w:rPr>
          <w:rFonts w:ascii="Arial" w:cs="Arial" w:eastAsia="Arial" w:hAnsi="Arial"/>
          <w:sz w:val="10"/>
          <w:szCs w:val="10"/>
          <w:color w:val="595959"/>
        </w:rPr>
        <w:t>sales.</w:t>
      </w:r>
    </w:p>
    <w:p>
      <w:pPr>
        <w:spacing w:after="0" w:line="148" w:lineRule="exact"/>
        <w:rPr>
          <w:sz w:val="20"/>
          <w:szCs w:val="20"/>
          <w:color w:val="auto"/>
        </w:rPr>
      </w:pPr>
    </w:p>
    <w:p>
      <w:pPr>
        <w:jc w:val="both"/>
        <w:ind w:right="260"/>
        <w:spacing w:after="0" w:line="234" w:lineRule="auto"/>
        <w:rPr>
          <w:sz w:val="20"/>
          <w:szCs w:val="20"/>
          <w:color w:val="auto"/>
        </w:rPr>
      </w:pPr>
      <w:r>
        <w:rPr>
          <w:rFonts w:ascii="Arial" w:cs="Arial" w:eastAsia="Arial" w:hAnsi="Arial"/>
          <w:sz w:val="10"/>
          <w:szCs w:val="10"/>
          <w:color w:val="auto"/>
        </w:rPr>
        <w:t>Raízen, our joint venture in Brazil (Shell interest 50%), produced around 2.5 billion litres of ethanol and around 4.4 million tonnes of sugar from sugar cane in 2020. In 2015, Raízen opened its first cellulosic ethanol plant at its Costa Pinto mill in Brazil. This produced almost 25 million litres of ethanol in 2020.</w:t>
      </w:r>
    </w:p>
    <w:p>
      <w:pPr>
        <w:spacing w:after="0" w:line="150" w:lineRule="exact"/>
        <w:rPr>
          <w:sz w:val="20"/>
          <w:szCs w:val="20"/>
          <w:color w:val="auto"/>
        </w:rPr>
      </w:pPr>
    </w:p>
    <w:p>
      <w:pPr>
        <w:ind w:right="240"/>
        <w:spacing w:after="0" w:line="234" w:lineRule="auto"/>
        <w:rPr>
          <w:sz w:val="20"/>
          <w:szCs w:val="20"/>
          <w:color w:val="auto"/>
        </w:rPr>
      </w:pPr>
      <w:r>
        <w:rPr>
          <w:rFonts w:ascii="Arial" w:cs="Arial" w:eastAsia="Arial" w:hAnsi="Arial"/>
          <w:sz w:val="10"/>
          <w:szCs w:val="10"/>
          <w:color w:val="auto"/>
        </w:rPr>
        <w:t>In February 2021, Raízen announced the acquisition of Biosev, adding an additional 50% of production capacity in low-carbon fuels. It will allow to increase Raízen’s bioethanol production capacity to a 3.75 billion litres a year. The transaction contributes to Shell’s target to be a net-zero emissions energy business by 2050, in step with society.</w:t>
      </w:r>
    </w:p>
    <w:p>
      <w:pPr>
        <w:spacing w:after="0" w:line="148" w:lineRule="exact"/>
        <w:rPr>
          <w:sz w:val="20"/>
          <w:szCs w:val="20"/>
          <w:color w:val="auto"/>
        </w:rPr>
      </w:pPr>
    </w:p>
    <w:p>
      <w:pPr>
        <w:spacing w:after="0"/>
        <w:rPr>
          <w:sz w:val="20"/>
          <w:szCs w:val="20"/>
          <w:color w:val="auto"/>
        </w:rPr>
      </w:pPr>
      <w:r>
        <w:rPr>
          <w:rFonts w:ascii="Arial" w:cs="Arial" w:eastAsia="Arial" w:hAnsi="Arial"/>
          <w:sz w:val="11"/>
          <w:szCs w:val="11"/>
          <w:color w:val="auto"/>
        </w:rPr>
        <w:t>RNG</w:t>
      </w:r>
    </w:p>
    <w:p>
      <w:pPr>
        <w:spacing w:after="0" w:line="145" w:lineRule="exact"/>
        <w:rPr>
          <w:sz w:val="20"/>
          <w:szCs w:val="20"/>
          <w:color w:val="auto"/>
        </w:rPr>
      </w:pPr>
    </w:p>
    <w:p>
      <w:pPr>
        <w:ind w:right="160"/>
        <w:spacing w:after="0" w:line="222" w:lineRule="auto"/>
        <w:rPr>
          <w:sz w:val="20"/>
          <w:szCs w:val="20"/>
          <w:color w:val="auto"/>
        </w:rPr>
      </w:pPr>
      <w:r>
        <w:rPr>
          <w:rFonts w:ascii="Arial" w:cs="Arial" w:eastAsia="Arial" w:hAnsi="Arial"/>
          <w:sz w:val="10"/>
          <w:szCs w:val="10"/>
          <w:color w:val="auto"/>
        </w:rPr>
        <w:t>Renewable natural gas (RNG), also known as biomethane, is gas derived from processing organic waste in a controlled environment until it is fully interchangeable with conventional natural gas. Shell has taken a final investment decision to construct, own and operate its first renewable compressed natural gas (R-CNG) fuelling site in the USA. This will be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2100" w:type="dxa"/>
            <w:vAlign w:val="bottom"/>
          </w:tcPr>
          <w:p>
            <w:pPr>
              <w:jc w:val="right"/>
              <w:spacing w:after="0"/>
              <w:rPr>
                <w:sz w:val="20"/>
                <w:szCs w:val="20"/>
                <w:color w:val="auto"/>
              </w:rPr>
            </w:pPr>
            <w:r>
              <w:rPr>
                <w:rFonts w:ascii="Arial" w:cs="Arial" w:eastAsia="Arial" w:hAnsi="Arial"/>
                <w:sz w:val="7"/>
                <w:szCs w:val="7"/>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Syria</w:t>
      </w:r>
    </w:p>
    <w:p>
      <w:pPr>
        <w:jc w:val="both"/>
        <w:ind w:right="20"/>
        <w:spacing w:after="0" w:line="191" w:lineRule="auto"/>
        <w:rPr>
          <w:sz w:val="20"/>
          <w:szCs w:val="20"/>
          <w:color w:val="auto"/>
        </w:rPr>
      </w:pPr>
      <w:r>
        <w:rPr>
          <w:rFonts w:ascii="Arial" w:cs="Arial" w:eastAsia="Arial" w:hAnsi="Arial"/>
          <w:sz w:val="10"/>
          <w:szCs w:val="10"/>
          <w:color w:val="auto"/>
        </w:rPr>
        <w:t>We ceased all operational activities in Syria in 2011. In 2020, we renewed our trademark rights in Syria and paid $1,914 to the Directorate of Industrial and Commercial Property Protection, and $551 in agent and handling fees. The renewal of the trademark rights is not indicative of any sales of products in Syria.</w:t>
      </w:r>
    </w:p>
    <w:p>
      <w:pPr>
        <w:spacing w:after="0" w:line="131" w:lineRule="exact"/>
        <w:rPr>
          <w:sz w:val="20"/>
          <w:szCs w:val="20"/>
          <w:color w:val="auto"/>
        </w:rPr>
      </w:pPr>
    </w:p>
    <w:p>
      <w:pPr>
        <w:spacing w:after="0"/>
        <w:rPr>
          <w:sz w:val="20"/>
          <w:szCs w:val="20"/>
          <w:color w:val="auto"/>
        </w:rPr>
      </w:pPr>
      <w:r>
        <w:rPr>
          <w:rFonts w:ascii="Arial" w:cs="Arial" w:eastAsia="Arial" w:hAnsi="Arial"/>
          <w:sz w:val="10"/>
          <w:szCs w:val="10"/>
          <w:color w:val="auto"/>
        </w:rPr>
        <w:t>Cuba</w:t>
      </w:r>
    </w:p>
    <w:p>
      <w:pPr>
        <w:spacing w:after="0" w:line="1" w:lineRule="exact"/>
        <w:rPr>
          <w:sz w:val="20"/>
          <w:szCs w:val="20"/>
          <w:color w:val="auto"/>
        </w:rPr>
      </w:pPr>
    </w:p>
    <w:p>
      <w:pPr>
        <w:jc w:val="both"/>
        <w:ind w:right="240"/>
        <w:spacing w:after="0" w:line="229" w:lineRule="auto"/>
        <w:rPr>
          <w:sz w:val="20"/>
          <w:szCs w:val="20"/>
          <w:color w:val="auto"/>
        </w:rPr>
      </w:pPr>
      <w:r>
        <w:rPr>
          <w:rFonts w:ascii="Arial" w:cs="Arial" w:eastAsia="Arial" w:hAnsi="Arial"/>
          <w:sz w:val="10"/>
          <w:szCs w:val="10"/>
          <w:color w:val="auto"/>
        </w:rPr>
        <w:t>We do not have any operational activities in Cuba. In January 2021, we renewed a trademark right in Cuba and paid $300 to the Cuban Industrial Property Office, and $420 in agent and handling fees. The registration of this trademark right is not indicative of any sales of products in Cuba.</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OIL PRODUCTS DATA TABLES</w:t>
      </w:r>
    </w:p>
    <w:p>
      <w:pPr>
        <w:spacing w:after="0" w:line="228" w:lineRule="auto"/>
        <w:rPr>
          <w:sz w:val="20"/>
          <w:szCs w:val="20"/>
          <w:color w:val="auto"/>
        </w:rPr>
      </w:pPr>
      <w:r>
        <w:rPr>
          <w:rFonts w:ascii="Arial" w:cs="Arial" w:eastAsia="Arial" w:hAnsi="Arial"/>
          <w:sz w:val="10"/>
          <w:szCs w:val="10"/>
          <w:color w:val="auto"/>
        </w:rPr>
        <w:t>The tables below reflect Shell subsidiaries and instances where Shell owns the crude oil or feedstocks processed by a refinery. The tables include Martinez refinery until the date of divestment in February 2020, Tabangao refinery until the date of transformation into a terminal in August 2020 and Convent refinery until the date of shutdown in December 2020. Other joint ventures and associates are only included where explicitly stated.</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Oil products - cost of crude oil processed or consumed [A]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440" w:type="dxa"/>
            <w:vAlign w:val="bottom"/>
            <w:tcBorders>
              <w:top w:val="single" w:sz="8" w:color="CDCDCD"/>
            </w:tcBorders>
          </w:tcPr>
          <w:p>
            <w:pPr>
              <w:spacing w:after="0"/>
              <w:rPr>
                <w:sz w:val="13"/>
                <w:szCs w:val="13"/>
                <w:color w:val="auto"/>
              </w:rPr>
            </w:pPr>
          </w:p>
        </w:tc>
        <w:tc>
          <w:tcPr>
            <w:tcW w:w="1000" w:type="dxa"/>
            <w:vAlign w:val="bottom"/>
            <w:tcBorders>
              <w:top w:val="single" w:sz="8" w:color="CDCDCD"/>
            </w:tcBorders>
          </w:tcPr>
          <w:p>
            <w:pPr>
              <w:spacing w:after="0"/>
              <w:rPr>
                <w:sz w:val="13"/>
                <w:szCs w:val="13"/>
                <w:color w:val="auto"/>
              </w:rPr>
            </w:pPr>
          </w:p>
        </w:tc>
        <w:tc>
          <w:tcPr>
            <w:tcW w:w="460" w:type="dxa"/>
            <w:vAlign w:val="bottom"/>
            <w:tcBorders>
              <w:top w:val="single" w:sz="8" w:color="CDCDCD"/>
            </w:tcBorders>
          </w:tcPr>
          <w:p>
            <w:pPr>
              <w:spacing w:after="0"/>
              <w:rPr>
                <w:sz w:val="13"/>
                <w:szCs w:val="13"/>
                <w:color w:val="auto"/>
              </w:rPr>
            </w:pPr>
          </w:p>
        </w:tc>
        <w:tc>
          <w:tcPr>
            <w:tcW w:w="880" w:type="dxa"/>
            <w:vAlign w:val="bottom"/>
            <w:tcBorders>
              <w:top w:val="single" w:sz="8" w:color="CDCDCD"/>
            </w:tcBorders>
          </w:tcPr>
          <w:p>
            <w:pPr>
              <w:spacing w:after="0"/>
              <w:rPr>
                <w:sz w:val="13"/>
                <w:szCs w:val="13"/>
                <w:color w:val="auto"/>
              </w:rPr>
            </w:pPr>
          </w:p>
        </w:tc>
        <w:tc>
          <w:tcPr>
            <w:tcW w:w="66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$/barrel</w:t>
            </w:r>
          </w:p>
        </w:tc>
      </w:tr>
      <w:tr>
        <w:trPr>
          <w:trHeight w:val="152"/>
        </w:trPr>
        <w:tc>
          <w:tcPr>
            <w:tcW w:w="2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2020</w:t>
            </w: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8"/>
                <w:szCs w:val="8"/>
                <w:color w:val="auto"/>
              </w:rPr>
              <w:t>2019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2018</w:t>
            </w:r>
          </w:p>
        </w:tc>
      </w:tr>
      <w:tr>
        <w:trPr>
          <w:trHeight w:val="119"/>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10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35.03</w:t>
            </w:r>
          </w:p>
        </w:tc>
        <w:tc>
          <w:tcPr>
            <w:tcW w:w="4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54.97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59.94</w:t>
            </w:r>
          </w:p>
        </w:tc>
      </w:tr>
      <w:tr>
        <w:trPr>
          <w:trHeight w:val="236"/>
        </w:trPr>
        <w:tc>
          <w:tcPr>
            <w:tcW w:w="3900" w:type="dxa"/>
            <w:vAlign w:val="bottom"/>
            <w:gridSpan w:val="3"/>
          </w:tcPr>
          <w:p>
            <w:pPr>
              <w:spacing w:after="0"/>
              <w:rPr>
                <w:sz w:val="20"/>
                <w:szCs w:val="20"/>
                <w:color w:val="auto"/>
              </w:rPr>
            </w:pPr>
            <w:r>
              <w:rPr>
                <w:rFonts w:ascii="Arial" w:cs="Arial" w:eastAsia="Arial" w:hAnsi="Arial"/>
                <w:sz w:val="7"/>
                <w:szCs w:val="7"/>
                <w:color w:val="auto"/>
              </w:rPr>
              <w:t>[A] Includes Upstream and Integrated Gas margins on crude oil supplied by Shell subsidiaries, joint ventures and associates.</w:t>
            </w: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69"/>
        </w:trPr>
        <w:tc>
          <w:tcPr>
            <w:tcW w:w="2440" w:type="dxa"/>
            <w:vAlign w:val="bottom"/>
          </w:tcPr>
          <w:p>
            <w:pPr>
              <w:spacing w:after="0"/>
              <w:rPr>
                <w:sz w:val="20"/>
                <w:szCs w:val="20"/>
                <w:color w:val="auto"/>
              </w:rPr>
            </w:pPr>
            <w:r>
              <w:rPr>
                <w:rFonts w:ascii="Arial" w:cs="Arial" w:eastAsia="Arial" w:hAnsi="Arial"/>
                <w:sz w:val="10"/>
                <w:szCs w:val="10"/>
                <w:color w:val="auto"/>
              </w:rPr>
              <w:t>Crude distillation capacity [A]</w:t>
            </w: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96"/>
        </w:trPr>
        <w:tc>
          <w:tcPr>
            <w:tcW w:w="2440" w:type="dxa"/>
            <w:vAlign w:val="bottom"/>
            <w:tcBorders>
              <w:bottom w:val="single" w:sz="8" w:color="CDCDCD"/>
            </w:tcBorders>
          </w:tcPr>
          <w:p>
            <w:pPr>
              <w:spacing w:after="0"/>
              <w:rPr>
                <w:sz w:val="8"/>
                <w:szCs w:val="8"/>
                <w:color w:val="auto"/>
              </w:rPr>
            </w:pPr>
          </w:p>
        </w:tc>
        <w:tc>
          <w:tcPr>
            <w:tcW w:w="1000" w:type="dxa"/>
            <w:vAlign w:val="bottom"/>
            <w:tcBorders>
              <w:bottom w:val="single" w:sz="8" w:color="CDCDCD"/>
            </w:tcBorders>
          </w:tcPr>
          <w:p>
            <w:pPr>
              <w:spacing w:after="0"/>
              <w:rPr>
                <w:sz w:val="8"/>
                <w:szCs w:val="8"/>
                <w:color w:val="auto"/>
              </w:rPr>
            </w:pPr>
          </w:p>
        </w:tc>
        <w:tc>
          <w:tcPr>
            <w:tcW w:w="460" w:type="dxa"/>
            <w:vAlign w:val="bottom"/>
            <w:tcBorders>
              <w:bottom w:val="single" w:sz="8" w:color="CDCDCD"/>
            </w:tcBorders>
          </w:tcPr>
          <w:p>
            <w:pPr>
              <w:spacing w:after="0"/>
              <w:rPr>
                <w:sz w:val="8"/>
                <w:szCs w:val="8"/>
                <w:color w:val="auto"/>
              </w:rPr>
            </w:pPr>
          </w:p>
        </w:tc>
        <w:tc>
          <w:tcPr>
            <w:tcW w:w="1540" w:type="dxa"/>
            <w:vAlign w:val="bottom"/>
            <w:tcBorders>
              <w:bottom w:val="single" w:sz="8" w:color="CDCDCD"/>
            </w:tcBorders>
            <w:gridSpan w:val="2"/>
          </w:tcPr>
          <w:p>
            <w:pPr>
              <w:spacing w:after="0"/>
              <w:rPr>
                <w:sz w:val="8"/>
                <w:szCs w:val="8"/>
                <w:color w:val="auto"/>
              </w:rPr>
            </w:pPr>
          </w:p>
        </w:tc>
      </w:tr>
      <w:tr>
        <w:trPr>
          <w:trHeight w:val="121"/>
        </w:trPr>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Thousand b/stream day [B]</w:t>
            </w:r>
          </w:p>
        </w:tc>
      </w:tr>
      <w:tr>
        <w:trPr>
          <w:trHeight w:val="116"/>
        </w:trPr>
        <w:tc>
          <w:tcPr>
            <w:tcW w:w="2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2020</w:t>
            </w:r>
          </w:p>
        </w:tc>
        <w:tc>
          <w:tcPr>
            <w:tcW w:w="4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8"/>
                <w:szCs w:val="8"/>
                <w:color w:val="auto"/>
              </w:rPr>
              <w:t>2019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2018</w:t>
            </w:r>
          </w:p>
        </w:tc>
      </w:tr>
      <w:tr>
        <w:trPr>
          <w:trHeight w:val="116"/>
        </w:trPr>
        <w:tc>
          <w:tcPr>
            <w:tcW w:w="2440" w:type="dxa"/>
            <w:vAlign w:val="bottom"/>
          </w:tcPr>
          <w:p>
            <w:pPr>
              <w:ind w:left="20"/>
              <w:spacing w:after="0"/>
              <w:rPr>
                <w:sz w:val="20"/>
                <w:szCs w:val="20"/>
                <w:color w:val="auto"/>
              </w:rPr>
            </w:pPr>
            <w:r>
              <w:rPr>
                <w:rFonts w:ascii="Arial" w:cs="Arial" w:eastAsia="Arial" w:hAnsi="Arial"/>
                <w:sz w:val="10"/>
                <w:szCs w:val="10"/>
                <w:color w:val="auto"/>
              </w:rPr>
              <w:t>Europe</w:t>
            </w:r>
          </w:p>
        </w:tc>
        <w:tc>
          <w:tcPr>
            <w:tcW w:w="10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1,059</w:t>
            </w:r>
          </w:p>
        </w:tc>
        <w:tc>
          <w:tcPr>
            <w:tcW w:w="460" w:type="dxa"/>
            <w:vAlign w:val="bottom"/>
          </w:tcPr>
          <w:p>
            <w:pPr>
              <w:spacing w:after="0"/>
              <w:rPr>
                <w:sz w:val="10"/>
                <w:szCs w:val="10"/>
                <w:color w:val="auto"/>
              </w:rPr>
            </w:pPr>
          </w:p>
        </w:tc>
        <w:tc>
          <w:tcPr>
            <w:tcW w:w="880" w:type="dxa"/>
            <w:vAlign w:val="bottom"/>
          </w:tcPr>
          <w:p>
            <w:pPr>
              <w:jc w:val="right"/>
              <w:ind w:right="333"/>
              <w:spacing w:after="0"/>
              <w:rPr>
                <w:sz w:val="20"/>
                <w:szCs w:val="20"/>
                <w:color w:val="auto"/>
              </w:rPr>
            </w:pPr>
            <w:r>
              <w:rPr>
                <w:rFonts w:ascii="Arial" w:cs="Arial" w:eastAsia="Arial" w:hAnsi="Arial"/>
                <w:sz w:val="10"/>
                <w:szCs w:val="10"/>
                <w:color w:val="auto"/>
              </w:rPr>
              <w:t>1,057</w:t>
            </w:r>
          </w:p>
        </w:tc>
        <w:tc>
          <w:tcPr>
            <w:tcW w:w="660" w:type="dxa"/>
            <w:vAlign w:val="bottom"/>
          </w:tcPr>
          <w:p>
            <w:pPr>
              <w:jc w:val="right"/>
              <w:spacing w:after="0"/>
              <w:rPr>
                <w:sz w:val="20"/>
                <w:szCs w:val="20"/>
                <w:color w:val="auto"/>
              </w:rPr>
            </w:pPr>
            <w:r>
              <w:rPr>
                <w:rFonts w:ascii="Arial" w:cs="Arial" w:eastAsia="Arial" w:hAnsi="Arial"/>
                <w:sz w:val="10"/>
                <w:szCs w:val="10"/>
                <w:color w:val="auto"/>
              </w:rPr>
              <w:t>1,056</w:t>
            </w:r>
          </w:p>
        </w:tc>
      </w:tr>
      <w:tr>
        <w:trPr>
          <w:trHeight w:val="123"/>
        </w:trPr>
        <w:tc>
          <w:tcPr>
            <w:tcW w:w="2440" w:type="dxa"/>
            <w:vAlign w:val="bottom"/>
          </w:tcPr>
          <w:p>
            <w:pPr>
              <w:ind w:left="20"/>
              <w:spacing w:after="0"/>
              <w:rPr>
                <w:sz w:val="20"/>
                <w:szCs w:val="20"/>
                <w:color w:val="auto"/>
              </w:rPr>
            </w:pPr>
            <w:r>
              <w:rPr>
                <w:rFonts w:ascii="Arial" w:cs="Arial" w:eastAsia="Arial" w:hAnsi="Arial"/>
                <w:sz w:val="10"/>
                <w:szCs w:val="10"/>
                <w:color w:val="auto"/>
              </w:rPr>
              <w:t>Asia</w:t>
            </w:r>
          </w:p>
        </w:tc>
        <w:tc>
          <w:tcPr>
            <w:tcW w:w="10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573</w:t>
            </w:r>
          </w:p>
        </w:tc>
        <w:tc>
          <w:tcPr>
            <w:tcW w:w="460" w:type="dxa"/>
            <w:vAlign w:val="bottom"/>
          </w:tcPr>
          <w:p>
            <w:pPr>
              <w:spacing w:after="0"/>
              <w:rPr>
                <w:sz w:val="10"/>
                <w:szCs w:val="10"/>
                <w:color w:val="auto"/>
              </w:rPr>
            </w:pPr>
          </w:p>
        </w:tc>
        <w:tc>
          <w:tcPr>
            <w:tcW w:w="880" w:type="dxa"/>
            <w:vAlign w:val="bottom"/>
          </w:tcPr>
          <w:p>
            <w:pPr>
              <w:jc w:val="right"/>
              <w:ind w:right="333"/>
              <w:spacing w:after="0"/>
              <w:rPr>
                <w:sz w:val="20"/>
                <w:szCs w:val="20"/>
                <w:color w:val="auto"/>
              </w:rPr>
            </w:pPr>
            <w:r>
              <w:rPr>
                <w:rFonts w:ascii="Arial" w:cs="Arial" w:eastAsia="Arial" w:hAnsi="Arial"/>
                <w:sz w:val="10"/>
                <w:szCs w:val="10"/>
                <w:color w:val="auto"/>
              </w:rPr>
              <w:t>767</w:t>
            </w:r>
          </w:p>
        </w:tc>
        <w:tc>
          <w:tcPr>
            <w:tcW w:w="660" w:type="dxa"/>
            <w:vAlign w:val="bottom"/>
          </w:tcPr>
          <w:p>
            <w:pPr>
              <w:jc w:val="right"/>
              <w:spacing w:after="0"/>
              <w:rPr>
                <w:sz w:val="20"/>
                <w:szCs w:val="20"/>
                <w:color w:val="auto"/>
              </w:rPr>
            </w:pPr>
            <w:r>
              <w:rPr>
                <w:rFonts w:ascii="Arial" w:cs="Arial" w:eastAsia="Arial" w:hAnsi="Arial"/>
                <w:sz w:val="10"/>
                <w:szCs w:val="10"/>
                <w:color w:val="auto"/>
              </w:rPr>
              <w:t>767</w:t>
            </w:r>
          </w:p>
        </w:tc>
      </w:tr>
      <w:tr>
        <w:trPr>
          <w:trHeight w:val="126"/>
        </w:trPr>
        <w:tc>
          <w:tcPr>
            <w:tcW w:w="2440" w:type="dxa"/>
            <w:vAlign w:val="bottom"/>
          </w:tcPr>
          <w:p>
            <w:pPr>
              <w:ind w:left="20"/>
              <w:spacing w:after="0"/>
              <w:rPr>
                <w:sz w:val="20"/>
                <w:szCs w:val="20"/>
                <w:color w:val="auto"/>
              </w:rPr>
            </w:pPr>
            <w:r>
              <w:rPr>
                <w:rFonts w:ascii="Arial" w:cs="Arial" w:eastAsia="Arial" w:hAnsi="Arial"/>
                <w:sz w:val="10"/>
                <w:szCs w:val="10"/>
                <w:color w:val="auto"/>
              </w:rPr>
              <w:t>Africa</w:t>
            </w:r>
          </w:p>
        </w:tc>
        <w:tc>
          <w:tcPr>
            <w:tcW w:w="10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90</w:t>
            </w:r>
          </w:p>
        </w:tc>
        <w:tc>
          <w:tcPr>
            <w:tcW w:w="460" w:type="dxa"/>
            <w:vAlign w:val="bottom"/>
          </w:tcPr>
          <w:p>
            <w:pPr>
              <w:spacing w:after="0"/>
              <w:rPr>
                <w:sz w:val="10"/>
                <w:szCs w:val="10"/>
                <w:color w:val="auto"/>
              </w:rPr>
            </w:pPr>
          </w:p>
        </w:tc>
        <w:tc>
          <w:tcPr>
            <w:tcW w:w="880" w:type="dxa"/>
            <w:vAlign w:val="bottom"/>
          </w:tcPr>
          <w:p>
            <w:pPr>
              <w:jc w:val="right"/>
              <w:ind w:right="333"/>
              <w:spacing w:after="0"/>
              <w:rPr>
                <w:sz w:val="20"/>
                <w:szCs w:val="20"/>
                <w:color w:val="auto"/>
              </w:rPr>
            </w:pPr>
            <w:r>
              <w:rPr>
                <w:rFonts w:ascii="Arial" w:cs="Arial" w:eastAsia="Arial" w:hAnsi="Arial"/>
                <w:sz w:val="10"/>
                <w:szCs w:val="10"/>
                <w:color w:val="auto"/>
              </w:rPr>
              <w:t>90</w:t>
            </w:r>
          </w:p>
        </w:tc>
        <w:tc>
          <w:tcPr>
            <w:tcW w:w="660" w:type="dxa"/>
            <w:vAlign w:val="bottom"/>
          </w:tcPr>
          <w:p>
            <w:pPr>
              <w:jc w:val="right"/>
              <w:spacing w:after="0"/>
              <w:rPr>
                <w:sz w:val="20"/>
                <w:szCs w:val="20"/>
                <w:color w:val="auto"/>
              </w:rPr>
            </w:pPr>
            <w:r>
              <w:rPr>
                <w:rFonts w:ascii="Arial" w:cs="Arial" w:eastAsia="Arial" w:hAnsi="Arial"/>
                <w:sz w:val="10"/>
                <w:szCs w:val="10"/>
                <w:color w:val="auto"/>
              </w:rPr>
              <w:t>90</w:t>
            </w:r>
          </w:p>
        </w:tc>
      </w:tr>
      <w:tr>
        <w:trPr>
          <w:trHeight w:val="130"/>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Americas</w:t>
            </w:r>
          </w:p>
        </w:tc>
        <w:tc>
          <w:tcPr>
            <w:tcW w:w="10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1,028</w:t>
            </w:r>
          </w:p>
        </w:tc>
        <w:tc>
          <w:tcPr>
            <w:tcW w:w="4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1,171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1,261</w:t>
            </w:r>
          </w:p>
        </w:tc>
      </w:tr>
      <w:tr>
        <w:trPr>
          <w:trHeight w:val="117"/>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10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2,750</w:t>
            </w:r>
          </w:p>
        </w:tc>
        <w:tc>
          <w:tcPr>
            <w:tcW w:w="4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3,085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3,174</w:t>
            </w:r>
          </w:p>
        </w:tc>
      </w:tr>
    </w:tbl>
    <w:p>
      <w:pPr>
        <w:spacing w:after="0" w:line="47" w:lineRule="exact"/>
        <w:rPr>
          <w:sz w:val="20"/>
          <w:szCs w:val="20"/>
          <w:color w:val="auto"/>
        </w:rPr>
      </w:pPr>
    </w:p>
    <w:p>
      <w:pPr>
        <w:ind w:left="120" w:hanging="111"/>
        <w:spacing w:after="0"/>
        <w:tabs>
          <w:tab w:leader="none" w:pos="120" w:val="left"/>
        </w:tabs>
        <w:numPr>
          <w:ilvl w:val="0"/>
          <w:numId w:val="37"/>
        </w:numPr>
        <w:rPr>
          <w:rFonts w:ascii="Arial" w:cs="Arial" w:eastAsia="Arial" w:hAnsi="Arial"/>
          <w:sz w:val="7"/>
          <w:szCs w:val="7"/>
          <w:color w:val="auto"/>
        </w:rPr>
      </w:pPr>
      <w:r>
        <w:rPr>
          <w:rFonts w:ascii="Arial" w:cs="Arial" w:eastAsia="Arial" w:hAnsi="Arial"/>
          <w:sz w:val="7"/>
          <w:szCs w:val="7"/>
          <w:color w:val="auto"/>
        </w:rPr>
        <w:t>Average operating capacity for the year, excluding mothballed capacity.</w:t>
      </w:r>
    </w:p>
    <w:p>
      <w:pPr>
        <w:spacing w:after="0" w:line="6" w:lineRule="exact"/>
        <w:rPr>
          <w:rFonts w:ascii="Arial" w:cs="Arial" w:eastAsia="Arial" w:hAnsi="Arial"/>
          <w:sz w:val="7"/>
          <w:szCs w:val="7"/>
          <w:color w:val="auto"/>
        </w:rPr>
      </w:pPr>
    </w:p>
    <w:p>
      <w:pPr>
        <w:ind w:left="120" w:hanging="111"/>
        <w:spacing w:after="0"/>
        <w:tabs>
          <w:tab w:leader="none" w:pos="120" w:val="left"/>
        </w:tabs>
        <w:numPr>
          <w:ilvl w:val="0"/>
          <w:numId w:val="37"/>
        </w:numPr>
        <w:rPr>
          <w:rFonts w:ascii="Arial" w:cs="Arial" w:eastAsia="Arial" w:hAnsi="Arial"/>
          <w:sz w:val="7"/>
          <w:szCs w:val="7"/>
          <w:color w:val="auto"/>
        </w:rPr>
      </w:pPr>
      <w:r>
        <w:rPr>
          <w:rFonts w:ascii="Arial" w:cs="Arial" w:eastAsia="Arial" w:hAnsi="Arial"/>
          <w:sz w:val="7"/>
          <w:szCs w:val="7"/>
          <w:color w:val="auto"/>
        </w:rPr>
        <w:t>Stream day capacity is the maximum capacity with no allowance for downtime.</w:t>
      </w:r>
    </w:p>
    <w:p>
      <w:pPr>
        <w:spacing w:after="0" w:line="142" w:lineRule="exact"/>
        <w:rPr>
          <w:sz w:val="20"/>
          <w:szCs w:val="20"/>
          <w:color w:val="auto"/>
        </w:rPr>
      </w:pPr>
    </w:p>
    <w:p>
      <w:pPr>
        <w:spacing w:after="0"/>
        <w:rPr>
          <w:sz w:val="20"/>
          <w:szCs w:val="20"/>
          <w:color w:val="auto"/>
        </w:rPr>
      </w:pPr>
      <w:r>
        <w:rPr>
          <w:rFonts w:ascii="Arial" w:cs="Arial" w:eastAsia="Arial" w:hAnsi="Arial"/>
          <w:sz w:val="10"/>
          <w:szCs w:val="10"/>
          <w:color w:val="auto"/>
        </w:rPr>
        <w:t>Oil products - crude oil processed [A]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40" w:type="dxa"/>
            <w:vAlign w:val="bottom"/>
            <w:tcBorders>
              <w:top w:val="single" w:sz="8" w:color="CDCDCD"/>
            </w:tcBorders>
          </w:tcPr>
          <w:p>
            <w:pPr>
              <w:spacing w:after="0"/>
              <w:rPr>
                <w:sz w:val="12"/>
                <w:szCs w:val="12"/>
                <w:color w:val="auto"/>
              </w:rPr>
            </w:pPr>
          </w:p>
        </w:tc>
        <w:tc>
          <w:tcPr>
            <w:tcW w:w="1000" w:type="dxa"/>
            <w:vAlign w:val="bottom"/>
            <w:tcBorders>
              <w:top w:val="single" w:sz="8" w:color="CDCDCD"/>
            </w:tcBorders>
          </w:tcPr>
          <w:p>
            <w:pPr>
              <w:spacing w:after="0"/>
              <w:rPr>
                <w:sz w:val="12"/>
                <w:szCs w:val="12"/>
                <w:color w:val="auto"/>
              </w:rPr>
            </w:pPr>
          </w:p>
        </w:tc>
        <w:tc>
          <w:tcPr>
            <w:tcW w:w="1240" w:type="dxa"/>
            <w:vAlign w:val="bottom"/>
            <w:tcBorders>
              <w:top w:val="single" w:sz="8" w:color="CDCDCD"/>
            </w:tcBorders>
          </w:tcPr>
          <w:p>
            <w:pPr>
              <w:spacing w:after="0"/>
              <w:rPr>
                <w:sz w:val="12"/>
                <w:szCs w:val="12"/>
                <w:color w:val="auto"/>
              </w:rPr>
            </w:pPr>
          </w:p>
        </w:tc>
        <w:tc>
          <w:tcPr>
            <w:tcW w:w="76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Thousand b/d</w:t>
            </w:r>
          </w:p>
        </w:tc>
      </w:tr>
      <w:tr>
        <w:trPr>
          <w:trHeight w:val="116"/>
        </w:trPr>
        <w:tc>
          <w:tcPr>
            <w:tcW w:w="2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2020</w:t>
            </w: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8"/>
                <w:szCs w:val="8"/>
                <w:color w:val="auto"/>
              </w:rPr>
              <w:t>2019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2018</w:t>
            </w:r>
          </w:p>
        </w:tc>
      </w:tr>
      <w:tr>
        <w:trPr>
          <w:trHeight w:val="116"/>
        </w:trPr>
        <w:tc>
          <w:tcPr>
            <w:tcW w:w="2440" w:type="dxa"/>
            <w:vAlign w:val="bottom"/>
          </w:tcPr>
          <w:p>
            <w:pPr>
              <w:ind w:left="20"/>
              <w:spacing w:after="0"/>
              <w:rPr>
                <w:sz w:val="20"/>
                <w:szCs w:val="20"/>
                <w:color w:val="auto"/>
              </w:rPr>
            </w:pPr>
            <w:r>
              <w:rPr>
                <w:rFonts w:ascii="Arial" w:cs="Arial" w:eastAsia="Arial" w:hAnsi="Arial"/>
                <w:sz w:val="10"/>
                <w:szCs w:val="10"/>
                <w:color w:val="auto"/>
              </w:rPr>
              <w:t>Europe</w:t>
            </w:r>
          </w:p>
        </w:tc>
        <w:tc>
          <w:tcPr>
            <w:tcW w:w="10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810</w:t>
            </w:r>
          </w:p>
        </w:tc>
        <w:tc>
          <w:tcPr>
            <w:tcW w:w="1240" w:type="dxa"/>
            <w:vAlign w:val="bottom"/>
          </w:tcPr>
          <w:p>
            <w:pPr>
              <w:jc w:val="right"/>
              <w:ind w:right="233"/>
              <w:spacing w:after="0"/>
              <w:rPr>
                <w:sz w:val="20"/>
                <w:szCs w:val="20"/>
                <w:color w:val="auto"/>
              </w:rPr>
            </w:pPr>
            <w:r>
              <w:rPr>
                <w:rFonts w:ascii="Arial" w:cs="Arial" w:eastAsia="Arial" w:hAnsi="Arial"/>
                <w:sz w:val="10"/>
                <w:szCs w:val="10"/>
                <w:color w:val="auto"/>
              </w:rPr>
              <w:t>829</w:t>
            </w:r>
          </w:p>
        </w:tc>
        <w:tc>
          <w:tcPr>
            <w:tcW w:w="760" w:type="dxa"/>
            <w:vAlign w:val="bottom"/>
          </w:tcPr>
          <w:p>
            <w:pPr>
              <w:jc w:val="right"/>
              <w:spacing w:after="0"/>
              <w:rPr>
                <w:sz w:val="20"/>
                <w:szCs w:val="20"/>
                <w:color w:val="auto"/>
              </w:rPr>
            </w:pPr>
            <w:r>
              <w:rPr>
                <w:rFonts w:ascii="Arial" w:cs="Arial" w:eastAsia="Arial" w:hAnsi="Arial"/>
                <w:sz w:val="10"/>
                <w:szCs w:val="10"/>
                <w:color w:val="auto"/>
              </w:rPr>
              <w:t>897</w:t>
            </w:r>
          </w:p>
        </w:tc>
      </w:tr>
      <w:tr>
        <w:trPr>
          <w:trHeight w:val="123"/>
        </w:trPr>
        <w:tc>
          <w:tcPr>
            <w:tcW w:w="2440" w:type="dxa"/>
            <w:vAlign w:val="bottom"/>
          </w:tcPr>
          <w:p>
            <w:pPr>
              <w:ind w:left="20"/>
              <w:spacing w:after="0"/>
              <w:rPr>
                <w:sz w:val="20"/>
                <w:szCs w:val="20"/>
                <w:color w:val="auto"/>
              </w:rPr>
            </w:pPr>
            <w:r>
              <w:rPr>
                <w:rFonts w:ascii="Arial" w:cs="Arial" w:eastAsia="Arial" w:hAnsi="Arial"/>
                <w:sz w:val="10"/>
                <w:szCs w:val="10"/>
                <w:color w:val="auto"/>
              </w:rPr>
              <w:t>Asia</w:t>
            </w:r>
          </w:p>
        </w:tc>
        <w:tc>
          <w:tcPr>
            <w:tcW w:w="10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292</w:t>
            </w:r>
          </w:p>
        </w:tc>
        <w:tc>
          <w:tcPr>
            <w:tcW w:w="1240" w:type="dxa"/>
            <w:vAlign w:val="bottom"/>
          </w:tcPr>
          <w:p>
            <w:pPr>
              <w:jc w:val="right"/>
              <w:ind w:right="233"/>
              <w:spacing w:after="0"/>
              <w:rPr>
                <w:sz w:val="20"/>
                <w:szCs w:val="20"/>
                <w:color w:val="auto"/>
              </w:rPr>
            </w:pPr>
            <w:r>
              <w:rPr>
                <w:rFonts w:ascii="Arial" w:cs="Arial" w:eastAsia="Arial" w:hAnsi="Arial"/>
                <w:sz w:val="10"/>
                <w:szCs w:val="10"/>
                <w:color w:val="auto"/>
              </w:rPr>
              <w:t>498</w:t>
            </w:r>
          </w:p>
        </w:tc>
        <w:tc>
          <w:tcPr>
            <w:tcW w:w="760" w:type="dxa"/>
            <w:vAlign w:val="bottom"/>
          </w:tcPr>
          <w:p>
            <w:pPr>
              <w:jc w:val="right"/>
              <w:spacing w:after="0"/>
              <w:rPr>
                <w:sz w:val="20"/>
                <w:szCs w:val="20"/>
                <w:color w:val="auto"/>
              </w:rPr>
            </w:pPr>
            <w:r>
              <w:rPr>
                <w:rFonts w:ascii="Arial" w:cs="Arial" w:eastAsia="Arial" w:hAnsi="Arial"/>
                <w:sz w:val="10"/>
                <w:szCs w:val="10"/>
                <w:color w:val="auto"/>
              </w:rPr>
              <w:t>545</w:t>
            </w:r>
          </w:p>
        </w:tc>
      </w:tr>
      <w:tr>
        <w:trPr>
          <w:trHeight w:val="126"/>
        </w:trPr>
        <w:tc>
          <w:tcPr>
            <w:tcW w:w="2440" w:type="dxa"/>
            <w:vAlign w:val="bottom"/>
          </w:tcPr>
          <w:p>
            <w:pPr>
              <w:ind w:left="20"/>
              <w:spacing w:after="0"/>
              <w:rPr>
                <w:sz w:val="20"/>
                <w:szCs w:val="20"/>
                <w:color w:val="auto"/>
              </w:rPr>
            </w:pPr>
            <w:r>
              <w:rPr>
                <w:rFonts w:ascii="Arial" w:cs="Arial" w:eastAsia="Arial" w:hAnsi="Arial"/>
                <w:sz w:val="10"/>
                <w:szCs w:val="10"/>
                <w:color w:val="auto"/>
              </w:rPr>
              <w:t>Africa</w:t>
            </w:r>
          </w:p>
        </w:tc>
        <w:tc>
          <w:tcPr>
            <w:tcW w:w="10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54</w:t>
            </w:r>
          </w:p>
        </w:tc>
        <w:tc>
          <w:tcPr>
            <w:tcW w:w="1240" w:type="dxa"/>
            <w:vAlign w:val="bottom"/>
          </w:tcPr>
          <w:p>
            <w:pPr>
              <w:jc w:val="right"/>
              <w:ind w:right="233"/>
              <w:spacing w:after="0"/>
              <w:rPr>
                <w:sz w:val="20"/>
                <w:szCs w:val="20"/>
                <w:color w:val="auto"/>
              </w:rPr>
            </w:pPr>
            <w:r>
              <w:rPr>
                <w:rFonts w:ascii="Arial" w:cs="Arial" w:eastAsia="Arial" w:hAnsi="Arial"/>
                <w:sz w:val="10"/>
                <w:szCs w:val="10"/>
                <w:color w:val="auto"/>
              </w:rPr>
              <w:t>55</w:t>
            </w:r>
          </w:p>
        </w:tc>
        <w:tc>
          <w:tcPr>
            <w:tcW w:w="760" w:type="dxa"/>
            <w:vAlign w:val="bottom"/>
          </w:tcPr>
          <w:p>
            <w:pPr>
              <w:jc w:val="right"/>
              <w:spacing w:after="0"/>
              <w:rPr>
                <w:sz w:val="20"/>
                <w:szCs w:val="20"/>
                <w:color w:val="auto"/>
              </w:rPr>
            </w:pPr>
            <w:r>
              <w:rPr>
                <w:rFonts w:ascii="Arial" w:cs="Arial" w:eastAsia="Arial" w:hAnsi="Arial"/>
                <w:sz w:val="10"/>
                <w:szCs w:val="10"/>
                <w:color w:val="auto"/>
              </w:rPr>
              <w:t>66</w:t>
            </w:r>
          </w:p>
        </w:tc>
      </w:tr>
      <w:tr>
        <w:trPr>
          <w:trHeight w:val="130"/>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Americas</w:t>
            </w:r>
          </w:p>
        </w:tc>
        <w:tc>
          <w:tcPr>
            <w:tcW w:w="10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719</w:t>
            </w: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0"/>
                <w:szCs w:val="10"/>
                <w:color w:val="auto"/>
              </w:rPr>
              <w:t>1,004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1,041</w:t>
            </w:r>
          </w:p>
        </w:tc>
      </w:tr>
      <w:tr>
        <w:trPr>
          <w:trHeight w:val="117"/>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10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1,875</w:t>
            </w: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0"/>
                <w:szCs w:val="10"/>
                <w:color w:val="auto"/>
              </w:rPr>
              <w:t>2,386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2,549</w:t>
            </w:r>
          </w:p>
        </w:tc>
      </w:tr>
    </w:tbl>
    <w:p>
      <w:pPr>
        <w:spacing w:after="0" w:line="155" w:lineRule="exact"/>
        <w:rPr>
          <w:sz w:val="20"/>
          <w:szCs w:val="20"/>
          <w:color w:val="auto"/>
        </w:rPr>
      </w:pPr>
    </w:p>
    <w:p>
      <w:pPr>
        <w:spacing w:after="0"/>
        <w:rPr>
          <w:sz w:val="20"/>
          <w:szCs w:val="20"/>
          <w:color w:val="auto"/>
        </w:rPr>
      </w:pPr>
      <w:r>
        <w:rPr>
          <w:rFonts w:ascii="Arial" w:cs="Arial" w:eastAsia="Arial" w:hAnsi="Arial"/>
          <w:sz w:val="7"/>
          <w:szCs w:val="7"/>
          <w:color w:val="auto"/>
        </w:rPr>
        <w:t>[A] Includes natural gas liquids, share of joint ventures and associates and processing for others.</w:t>
      </w:r>
    </w:p>
    <w:p>
      <w:pPr>
        <w:sectPr>
          <w:pgSz w:w="11900" w:h="16838" w:orient="portrait"/>
          <w:cols w:equalWidth="0" w:num="2">
            <w:col w:w="5600" w:space="120"/>
            <w:col w:w="5440"/>
          </w:cols>
          <w:pgMar w:left="300" w:top="667" w:right="4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0"/>
          <w:szCs w:val="10"/>
          <w:color w:val="auto"/>
        </w:rPr>
        <w:t>Refinery processing intake [A]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40" w:type="dxa"/>
            <w:vAlign w:val="bottom"/>
            <w:tcBorders>
              <w:top w:val="single" w:sz="8" w:color="CDCDCD"/>
            </w:tcBorders>
          </w:tcPr>
          <w:p>
            <w:pPr>
              <w:spacing w:after="0"/>
              <w:rPr>
                <w:sz w:val="13"/>
                <w:szCs w:val="13"/>
                <w:color w:val="auto"/>
              </w:rPr>
            </w:pPr>
          </w:p>
        </w:tc>
        <w:tc>
          <w:tcPr>
            <w:tcW w:w="980" w:type="dxa"/>
            <w:vAlign w:val="bottom"/>
            <w:tcBorders>
              <w:top w:val="single" w:sz="8" w:color="CDCDCD"/>
            </w:tcBorders>
          </w:tcPr>
          <w:p>
            <w:pPr>
              <w:spacing w:after="0"/>
              <w:rPr>
                <w:sz w:val="13"/>
                <w:szCs w:val="13"/>
                <w:color w:val="auto"/>
              </w:rPr>
            </w:pPr>
          </w:p>
        </w:tc>
        <w:tc>
          <w:tcPr>
            <w:tcW w:w="1240" w:type="dxa"/>
            <w:vAlign w:val="bottom"/>
            <w:tcBorders>
              <w:top w:val="single" w:sz="8" w:color="CDCDCD"/>
            </w:tcBorders>
          </w:tcPr>
          <w:p>
            <w:pPr>
              <w:spacing w:after="0"/>
              <w:rPr>
                <w:sz w:val="13"/>
                <w:szCs w:val="13"/>
                <w:color w:val="auto"/>
              </w:rPr>
            </w:pPr>
          </w:p>
        </w:tc>
        <w:tc>
          <w:tcPr>
            <w:tcW w:w="76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Thousand b/d</w:t>
            </w:r>
          </w:p>
        </w:tc>
      </w:tr>
      <w:tr>
        <w:trPr>
          <w:trHeight w:val="116"/>
        </w:trPr>
        <w:tc>
          <w:tcPr>
            <w:tcW w:w="24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2020</w:t>
            </w: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8"/>
                <w:szCs w:val="8"/>
                <w:color w:val="auto"/>
              </w:rPr>
              <w:t>2019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2018</w:t>
            </w:r>
          </w:p>
        </w:tc>
      </w:tr>
      <w:tr>
        <w:trPr>
          <w:trHeight w:val="116"/>
        </w:trPr>
        <w:tc>
          <w:tcPr>
            <w:tcW w:w="2440" w:type="dxa"/>
            <w:vAlign w:val="bottom"/>
          </w:tcPr>
          <w:p>
            <w:pPr>
              <w:spacing w:after="0"/>
              <w:rPr>
                <w:sz w:val="20"/>
                <w:szCs w:val="20"/>
                <w:color w:val="auto"/>
              </w:rPr>
            </w:pPr>
            <w:r>
              <w:rPr>
                <w:rFonts w:ascii="Arial" w:cs="Arial" w:eastAsia="Arial" w:hAnsi="Arial"/>
                <w:sz w:val="10"/>
                <w:szCs w:val="10"/>
                <w:color w:val="auto"/>
              </w:rPr>
              <w:t>Crude oil</w:t>
            </w:r>
          </w:p>
        </w:tc>
        <w:tc>
          <w:tcPr>
            <w:tcW w:w="9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1,876</w:t>
            </w:r>
          </w:p>
        </w:tc>
        <w:tc>
          <w:tcPr>
            <w:tcW w:w="1240" w:type="dxa"/>
            <w:vAlign w:val="bottom"/>
          </w:tcPr>
          <w:p>
            <w:pPr>
              <w:jc w:val="right"/>
              <w:ind w:right="233"/>
              <w:spacing w:after="0"/>
              <w:rPr>
                <w:sz w:val="20"/>
                <w:szCs w:val="20"/>
                <w:color w:val="auto"/>
              </w:rPr>
            </w:pPr>
            <w:r>
              <w:rPr>
                <w:rFonts w:ascii="Arial" w:cs="Arial" w:eastAsia="Arial" w:hAnsi="Arial"/>
                <w:sz w:val="10"/>
                <w:szCs w:val="10"/>
                <w:color w:val="auto"/>
              </w:rPr>
              <w:t>2,342</w:t>
            </w:r>
          </w:p>
        </w:tc>
        <w:tc>
          <w:tcPr>
            <w:tcW w:w="760" w:type="dxa"/>
            <w:vAlign w:val="bottom"/>
          </w:tcPr>
          <w:p>
            <w:pPr>
              <w:jc w:val="right"/>
              <w:spacing w:after="0"/>
              <w:rPr>
                <w:sz w:val="20"/>
                <w:szCs w:val="20"/>
                <w:color w:val="auto"/>
              </w:rPr>
            </w:pPr>
            <w:r>
              <w:rPr>
                <w:rFonts w:ascii="Arial" w:cs="Arial" w:eastAsia="Arial" w:hAnsi="Arial"/>
                <w:sz w:val="10"/>
                <w:szCs w:val="10"/>
                <w:color w:val="auto"/>
              </w:rPr>
              <w:t>2,434</w:t>
            </w:r>
          </w:p>
        </w:tc>
      </w:tr>
      <w:tr>
        <w:trPr>
          <w:trHeight w:val="127"/>
        </w:trPr>
        <w:tc>
          <w:tcPr>
            <w:tcW w:w="2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Feedstocks</w:t>
            </w:r>
          </w:p>
        </w:tc>
        <w:tc>
          <w:tcPr>
            <w:tcW w:w="9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187</w:t>
            </w: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0"/>
                <w:szCs w:val="10"/>
                <w:color w:val="auto"/>
              </w:rPr>
              <w:t>222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214</w:t>
            </w:r>
          </w:p>
        </w:tc>
      </w:tr>
      <w:tr>
        <w:trPr>
          <w:trHeight w:val="117"/>
        </w:trPr>
        <w:tc>
          <w:tcPr>
            <w:tcW w:w="2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9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2,063</w:t>
            </w: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0"/>
                <w:szCs w:val="10"/>
                <w:color w:val="auto"/>
              </w:rPr>
              <w:t>2,564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2,648</w:t>
            </w:r>
          </w:p>
        </w:tc>
      </w:tr>
      <w:tr>
        <w:trPr>
          <w:trHeight w:val="113"/>
        </w:trPr>
        <w:tc>
          <w:tcPr>
            <w:tcW w:w="2440" w:type="dxa"/>
            <w:vAlign w:val="bottom"/>
          </w:tcPr>
          <w:p>
            <w:pPr>
              <w:spacing w:after="0" w:line="113" w:lineRule="exact"/>
              <w:rPr>
                <w:sz w:val="20"/>
                <w:szCs w:val="20"/>
                <w:color w:val="auto"/>
              </w:rPr>
            </w:pPr>
            <w:r>
              <w:rPr>
                <w:rFonts w:ascii="Arial" w:cs="Arial" w:eastAsia="Arial" w:hAnsi="Arial"/>
                <w:sz w:val="10"/>
                <w:szCs w:val="10"/>
                <w:color w:val="auto"/>
              </w:rPr>
              <w:t>Europe</w:t>
            </w:r>
          </w:p>
        </w:tc>
        <w:tc>
          <w:tcPr>
            <w:tcW w:w="980" w:type="dxa"/>
            <w:vAlign w:val="bottom"/>
            <w:shd w:val="clear" w:color="auto" w:fill="D9D9D9"/>
          </w:tcPr>
          <w:p>
            <w:pPr>
              <w:jc w:val="right"/>
              <w:spacing w:after="0" w:line="113" w:lineRule="exact"/>
              <w:rPr>
                <w:sz w:val="20"/>
                <w:szCs w:val="20"/>
                <w:color w:val="auto"/>
              </w:rPr>
            </w:pPr>
            <w:r>
              <w:rPr>
                <w:rFonts w:ascii="Arial" w:cs="Arial" w:eastAsia="Arial" w:hAnsi="Arial"/>
                <w:sz w:val="10"/>
                <w:szCs w:val="10"/>
                <w:color w:val="auto"/>
              </w:rPr>
              <w:t>854</w:t>
            </w:r>
          </w:p>
        </w:tc>
        <w:tc>
          <w:tcPr>
            <w:tcW w:w="1240" w:type="dxa"/>
            <w:vAlign w:val="bottom"/>
          </w:tcPr>
          <w:p>
            <w:pPr>
              <w:jc w:val="right"/>
              <w:ind w:right="233"/>
              <w:spacing w:after="0" w:line="113" w:lineRule="exact"/>
              <w:rPr>
                <w:sz w:val="20"/>
                <w:szCs w:val="20"/>
                <w:color w:val="auto"/>
              </w:rPr>
            </w:pPr>
            <w:r>
              <w:rPr>
                <w:rFonts w:ascii="Arial" w:cs="Arial" w:eastAsia="Arial" w:hAnsi="Arial"/>
                <w:sz w:val="10"/>
                <w:szCs w:val="10"/>
                <w:color w:val="auto"/>
              </w:rPr>
              <w:t>875</w:t>
            </w:r>
          </w:p>
        </w:tc>
        <w:tc>
          <w:tcPr>
            <w:tcW w:w="760" w:type="dxa"/>
            <w:vAlign w:val="bottom"/>
          </w:tcPr>
          <w:p>
            <w:pPr>
              <w:jc w:val="right"/>
              <w:spacing w:after="0" w:line="113" w:lineRule="exact"/>
              <w:rPr>
                <w:sz w:val="20"/>
                <w:szCs w:val="20"/>
                <w:color w:val="auto"/>
              </w:rPr>
            </w:pPr>
            <w:r>
              <w:rPr>
                <w:rFonts w:ascii="Arial" w:cs="Arial" w:eastAsia="Arial" w:hAnsi="Arial"/>
                <w:sz w:val="10"/>
                <w:szCs w:val="10"/>
                <w:color w:val="auto"/>
              </w:rPr>
              <w:t>896</w:t>
            </w:r>
          </w:p>
        </w:tc>
      </w:tr>
      <w:tr>
        <w:trPr>
          <w:trHeight w:val="123"/>
        </w:trPr>
        <w:tc>
          <w:tcPr>
            <w:tcW w:w="2440" w:type="dxa"/>
            <w:vAlign w:val="bottom"/>
          </w:tcPr>
          <w:p>
            <w:pPr>
              <w:spacing w:after="0"/>
              <w:rPr>
                <w:sz w:val="20"/>
                <w:szCs w:val="20"/>
                <w:color w:val="auto"/>
              </w:rPr>
            </w:pPr>
            <w:r>
              <w:rPr>
                <w:rFonts w:ascii="Arial" w:cs="Arial" w:eastAsia="Arial" w:hAnsi="Arial"/>
                <w:sz w:val="10"/>
                <w:szCs w:val="10"/>
                <w:color w:val="auto"/>
              </w:rPr>
              <w:t>Asia</w:t>
            </w:r>
          </w:p>
        </w:tc>
        <w:tc>
          <w:tcPr>
            <w:tcW w:w="9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302</w:t>
            </w:r>
          </w:p>
        </w:tc>
        <w:tc>
          <w:tcPr>
            <w:tcW w:w="1240" w:type="dxa"/>
            <w:vAlign w:val="bottom"/>
          </w:tcPr>
          <w:p>
            <w:pPr>
              <w:jc w:val="right"/>
              <w:ind w:right="233"/>
              <w:spacing w:after="0"/>
              <w:rPr>
                <w:sz w:val="20"/>
                <w:szCs w:val="20"/>
                <w:color w:val="auto"/>
              </w:rPr>
            </w:pPr>
            <w:r>
              <w:rPr>
                <w:rFonts w:ascii="Arial" w:cs="Arial" w:eastAsia="Arial" w:hAnsi="Arial"/>
                <w:sz w:val="10"/>
                <w:szCs w:val="10"/>
                <w:color w:val="auto"/>
              </w:rPr>
              <w:t>517</w:t>
            </w:r>
          </w:p>
        </w:tc>
        <w:tc>
          <w:tcPr>
            <w:tcW w:w="760" w:type="dxa"/>
            <w:vAlign w:val="bottom"/>
          </w:tcPr>
          <w:p>
            <w:pPr>
              <w:jc w:val="right"/>
              <w:spacing w:after="0"/>
              <w:rPr>
                <w:sz w:val="20"/>
                <w:szCs w:val="20"/>
                <w:color w:val="auto"/>
              </w:rPr>
            </w:pPr>
            <w:r>
              <w:rPr>
                <w:rFonts w:ascii="Arial" w:cs="Arial" w:eastAsia="Arial" w:hAnsi="Arial"/>
                <w:sz w:val="10"/>
                <w:szCs w:val="10"/>
                <w:color w:val="auto"/>
              </w:rPr>
              <w:t>543</w:t>
            </w:r>
          </w:p>
        </w:tc>
      </w:tr>
      <w:tr>
        <w:trPr>
          <w:trHeight w:val="126"/>
        </w:trPr>
        <w:tc>
          <w:tcPr>
            <w:tcW w:w="2440" w:type="dxa"/>
            <w:vAlign w:val="bottom"/>
          </w:tcPr>
          <w:p>
            <w:pPr>
              <w:spacing w:after="0"/>
              <w:rPr>
                <w:sz w:val="20"/>
                <w:szCs w:val="20"/>
                <w:color w:val="auto"/>
              </w:rPr>
            </w:pPr>
            <w:r>
              <w:rPr>
                <w:rFonts w:ascii="Arial" w:cs="Arial" w:eastAsia="Arial" w:hAnsi="Arial"/>
                <w:sz w:val="10"/>
                <w:szCs w:val="10"/>
                <w:color w:val="auto"/>
              </w:rPr>
              <w:t>Africa</w:t>
            </w:r>
          </w:p>
        </w:tc>
        <w:tc>
          <w:tcPr>
            <w:tcW w:w="9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54</w:t>
            </w:r>
          </w:p>
        </w:tc>
        <w:tc>
          <w:tcPr>
            <w:tcW w:w="1240" w:type="dxa"/>
            <w:vAlign w:val="bottom"/>
          </w:tcPr>
          <w:p>
            <w:pPr>
              <w:jc w:val="right"/>
              <w:ind w:right="233"/>
              <w:spacing w:after="0"/>
              <w:rPr>
                <w:sz w:val="20"/>
                <w:szCs w:val="20"/>
                <w:color w:val="auto"/>
              </w:rPr>
            </w:pPr>
            <w:r>
              <w:rPr>
                <w:rFonts w:ascii="Arial" w:cs="Arial" w:eastAsia="Arial" w:hAnsi="Arial"/>
                <w:sz w:val="10"/>
                <w:szCs w:val="10"/>
                <w:color w:val="auto"/>
              </w:rPr>
              <w:t>55</w:t>
            </w:r>
          </w:p>
        </w:tc>
        <w:tc>
          <w:tcPr>
            <w:tcW w:w="760" w:type="dxa"/>
            <w:vAlign w:val="bottom"/>
          </w:tcPr>
          <w:p>
            <w:pPr>
              <w:jc w:val="right"/>
              <w:spacing w:after="0"/>
              <w:rPr>
                <w:sz w:val="20"/>
                <w:szCs w:val="20"/>
                <w:color w:val="auto"/>
              </w:rPr>
            </w:pPr>
            <w:r>
              <w:rPr>
                <w:rFonts w:ascii="Arial" w:cs="Arial" w:eastAsia="Arial" w:hAnsi="Arial"/>
                <w:sz w:val="10"/>
                <w:szCs w:val="10"/>
                <w:color w:val="auto"/>
              </w:rPr>
              <w:t>66</w:t>
            </w:r>
          </w:p>
        </w:tc>
      </w:tr>
      <w:tr>
        <w:trPr>
          <w:trHeight w:val="130"/>
        </w:trPr>
        <w:tc>
          <w:tcPr>
            <w:tcW w:w="2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Americas</w:t>
            </w:r>
          </w:p>
        </w:tc>
        <w:tc>
          <w:tcPr>
            <w:tcW w:w="9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853</w:t>
            </w: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0"/>
                <w:szCs w:val="10"/>
                <w:color w:val="auto"/>
              </w:rPr>
              <w:t>1,117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1,143</w:t>
            </w:r>
          </w:p>
        </w:tc>
      </w:tr>
      <w:tr>
        <w:trPr>
          <w:trHeight w:val="117"/>
        </w:trPr>
        <w:tc>
          <w:tcPr>
            <w:tcW w:w="2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9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2,063</w:t>
            </w: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0"/>
                <w:szCs w:val="10"/>
                <w:color w:val="auto"/>
              </w:rPr>
              <w:t>2,564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2,648</w:t>
            </w:r>
          </w:p>
        </w:tc>
      </w:tr>
    </w:tbl>
    <w:p>
      <w:pPr>
        <w:spacing w:after="0" w:line="47" w:lineRule="exact"/>
        <w:rPr>
          <w:sz w:val="20"/>
          <w:szCs w:val="20"/>
          <w:color w:val="auto"/>
        </w:rPr>
      </w:pPr>
    </w:p>
    <w:p>
      <w:pPr>
        <w:spacing w:after="0"/>
        <w:rPr>
          <w:sz w:val="20"/>
          <w:szCs w:val="20"/>
          <w:color w:val="auto"/>
        </w:rPr>
      </w:pPr>
      <w:r>
        <w:rPr>
          <w:rFonts w:ascii="Arial" w:cs="Arial" w:eastAsia="Arial" w:hAnsi="Arial"/>
          <w:sz w:val="7"/>
          <w:szCs w:val="7"/>
          <w:color w:val="auto"/>
        </w:rPr>
        <w:t>[A] Includes crude oil, natural gas liquids and feedstocks processed in crude distillation units and in secondary conversion units.</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Refinery processing outturn [A]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40" w:type="dxa"/>
            <w:vAlign w:val="bottom"/>
            <w:tcBorders>
              <w:top w:val="single" w:sz="8" w:color="CDCDCD"/>
            </w:tcBorders>
          </w:tcPr>
          <w:p>
            <w:pPr>
              <w:spacing w:after="0"/>
              <w:rPr>
                <w:sz w:val="12"/>
                <w:szCs w:val="12"/>
                <w:color w:val="auto"/>
              </w:rPr>
            </w:pPr>
          </w:p>
        </w:tc>
        <w:tc>
          <w:tcPr>
            <w:tcW w:w="980" w:type="dxa"/>
            <w:vAlign w:val="bottom"/>
            <w:tcBorders>
              <w:top w:val="single" w:sz="8" w:color="CDCDCD"/>
            </w:tcBorders>
          </w:tcPr>
          <w:p>
            <w:pPr>
              <w:spacing w:after="0"/>
              <w:rPr>
                <w:sz w:val="12"/>
                <w:szCs w:val="12"/>
                <w:color w:val="auto"/>
              </w:rPr>
            </w:pPr>
          </w:p>
        </w:tc>
        <w:tc>
          <w:tcPr>
            <w:tcW w:w="1240" w:type="dxa"/>
            <w:vAlign w:val="bottom"/>
            <w:tcBorders>
              <w:top w:val="single" w:sz="8" w:color="CDCDCD"/>
            </w:tcBorders>
          </w:tcPr>
          <w:p>
            <w:pPr>
              <w:spacing w:after="0"/>
              <w:rPr>
                <w:sz w:val="12"/>
                <w:szCs w:val="12"/>
                <w:color w:val="auto"/>
              </w:rPr>
            </w:pPr>
          </w:p>
        </w:tc>
        <w:tc>
          <w:tcPr>
            <w:tcW w:w="76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Thousand b/d</w:t>
            </w:r>
          </w:p>
        </w:tc>
      </w:tr>
      <w:tr>
        <w:trPr>
          <w:trHeight w:val="116"/>
        </w:trPr>
        <w:tc>
          <w:tcPr>
            <w:tcW w:w="24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2020</w:t>
            </w: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8"/>
                <w:szCs w:val="8"/>
                <w:color w:val="auto"/>
              </w:rPr>
              <w:t>2019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2018</w:t>
            </w:r>
          </w:p>
        </w:tc>
      </w:tr>
      <w:tr>
        <w:trPr>
          <w:trHeight w:val="116"/>
        </w:trPr>
        <w:tc>
          <w:tcPr>
            <w:tcW w:w="2440" w:type="dxa"/>
            <w:vAlign w:val="bottom"/>
          </w:tcPr>
          <w:p>
            <w:pPr>
              <w:spacing w:after="0"/>
              <w:rPr>
                <w:sz w:val="20"/>
                <w:szCs w:val="20"/>
                <w:color w:val="auto"/>
              </w:rPr>
            </w:pPr>
            <w:r>
              <w:rPr>
                <w:rFonts w:ascii="Arial" w:cs="Arial" w:eastAsia="Arial" w:hAnsi="Arial"/>
                <w:sz w:val="10"/>
                <w:szCs w:val="10"/>
                <w:color w:val="auto"/>
              </w:rPr>
              <w:t>Gasolines</w:t>
            </w:r>
          </w:p>
        </w:tc>
        <w:tc>
          <w:tcPr>
            <w:tcW w:w="9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771</w:t>
            </w:r>
          </w:p>
        </w:tc>
        <w:tc>
          <w:tcPr>
            <w:tcW w:w="1240" w:type="dxa"/>
            <w:vAlign w:val="bottom"/>
          </w:tcPr>
          <w:p>
            <w:pPr>
              <w:jc w:val="right"/>
              <w:ind w:right="233"/>
              <w:spacing w:after="0"/>
              <w:rPr>
                <w:sz w:val="20"/>
                <w:szCs w:val="20"/>
                <w:color w:val="auto"/>
              </w:rPr>
            </w:pPr>
            <w:r>
              <w:rPr>
                <w:rFonts w:ascii="Arial" w:cs="Arial" w:eastAsia="Arial" w:hAnsi="Arial"/>
                <w:sz w:val="10"/>
                <w:szCs w:val="10"/>
                <w:color w:val="auto"/>
              </w:rPr>
              <w:t>952</w:t>
            </w:r>
          </w:p>
        </w:tc>
        <w:tc>
          <w:tcPr>
            <w:tcW w:w="760" w:type="dxa"/>
            <w:vAlign w:val="bottom"/>
          </w:tcPr>
          <w:p>
            <w:pPr>
              <w:jc w:val="right"/>
              <w:spacing w:after="0"/>
              <w:rPr>
                <w:sz w:val="20"/>
                <w:szCs w:val="20"/>
                <w:color w:val="auto"/>
              </w:rPr>
            </w:pPr>
            <w:r>
              <w:rPr>
                <w:rFonts w:ascii="Arial" w:cs="Arial" w:eastAsia="Arial" w:hAnsi="Arial"/>
                <w:sz w:val="10"/>
                <w:szCs w:val="10"/>
                <w:color w:val="auto"/>
              </w:rPr>
              <w:t>966</w:t>
            </w:r>
          </w:p>
        </w:tc>
      </w:tr>
      <w:tr>
        <w:trPr>
          <w:trHeight w:val="123"/>
        </w:trPr>
        <w:tc>
          <w:tcPr>
            <w:tcW w:w="2440" w:type="dxa"/>
            <w:vAlign w:val="bottom"/>
          </w:tcPr>
          <w:p>
            <w:pPr>
              <w:spacing w:after="0"/>
              <w:rPr>
                <w:sz w:val="20"/>
                <w:szCs w:val="20"/>
                <w:color w:val="auto"/>
              </w:rPr>
            </w:pPr>
            <w:r>
              <w:rPr>
                <w:rFonts w:ascii="Arial" w:cs="Arial" w:eastAsia="Arial" w:hAnsi="Arial"/>
                <w:sz w:val="10"/>
                <w:szCs w:val="10"/>
                <w:color w:val="auto"/>
              </w:rPr>
              <w:t>Kerosines</w:t>
            </w:r>
          </w:p>
        </w:tc>
        <w:tc>
          <w:tcPr>
            <w:tcW w:w="9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158</w:t>
            </w:r>
          </w:p>
        </w:tc>
        <w:tc>
          <w:tcPr>
            <w:tcW w:w="1240" w:type="dxa"/>
            <w:vAlign w:val="bottom"/>
          </w:tcPr>
          <w:p>
            <w:pPr>
              <w:jc w:val="right"/>
              <w:ind w:right="233"/>
              <w:spacing w:after="0"/>
              <w:rPr>
                <w:sz w:val="20"/>
                <w:szCs w:val="20"/>
                <w:color w:val="auto"/>
              </w:rPr>
            </w:pPr>
            <w:r>
              <w:rPr>
                <w:rFonts w:ascii="Arial" w:cs="Arial" w:eastAsia="Arial" w:hAnsi="Arial"/>
                <w:sz w:val="10"/>
                <w:szCs w:val="10"/>
                <w:color w:val="auto"/>
              </w:rPr>
              <w:t>417</w:t>
            </w:r>
          </w:p>
        </w:tc>
        <w:tc>
          <w:tcPr>
            <w:tcW w:w="760" w:type="dxa"/>
            <w:vAlign w:val="bottom"/>
          </w:tcPr>
          <w:p>
            <w:pPr>
              <w:jc w:val="right"/>
              <w:spacing w:after="0"/>
              <w:rPr>
                <w:sz w:val="20"/>
                <w:szCs w:val="20"/>
                <w:color w:val="auto"/>
              </w:rPr>
            </w:pPr>
            <w:r>
              <w:rPr>
                <w:rFonts w:ascii="Arial" w:cs="Arial" w:eastAsia="Arial" w:hAnsi="Arial"/>
                <w:sz w:val="10"/>
                <w:szCs w:val="10"/>
                <w:color w:val="auto"/>
              </w:rPr>
              <w:t>321</w:t>
            </w:r>
          </w:p>
        </w:tc>
      </w:tr>
      <w:tr>
        <w:trPr>
          <w:trHeight w:val="126"/>
        </w:trPr>
        <w:tc>
          <w:tcPr>
            <w:tcW w:w="2440" w:type="dxa"/>
            <w:vAlign w:val="bottom"/>
          </w:tcPr>
          <w:p>
            <w:pPr>
              <w:spacing w:after="0"/>
              <w:rPr>
                <w:sz w:val="20"/>
                <w:szCs w:val="20"/>
                <w:color w:val="auto"/>
              </w:rPr>
            </w:pPr>
            <w:r>
              <w:rPr>
                <w:rFonts w:ascii="Arial" w:cs="Arial" w:eastAsia="Arial" w:hAnsi="Arial"/>
                <w:sz w:val="10"/>
                <w:szCs w:val="10"/>
                <w:color w:val="auto"/>
              </w:rPr>
              <w:t>Gas/Diesel oils</w:t>
            </w:r>
          </w:p>
        </w:tc>
        <w:tc>
          <w:tcPr>
            <w:tcW w:w="9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774</w:t>
            </w:r>
          </w:p>
        </w:tc>
        <w:tc>
          <w:tcPr>
            <w:tcW w:w="1240" w:type="dxa"/>
            <w:vAlign w:val="bottom"/>
          </w:tcPr>
          <w:p>
            <w:pPr>
              <w:jc w:val="right"/>
              <w:ind w:right="233"/>
              <w:spacing w:after="0"/>
              <w:rPr>
                <w:sz w:val="20"/>
                <w:szCs w:val="20"/>
                <w:color w:val="auto"/>
              </w:rPr>
            </w:pPr>
            <w:r>
              <w:rPr>
                <w:rFonts w:ascii="Arial" w:cs="Arial" w:eastAsia="Arial" w:hAnsi="Arial"/>
                <w:sz w:val="10"/>
                <w:szCs w:val="10"/>
                <w:color w:val="auto"/>
              </w:rPr>
              <w:t>818</w:t>
            </w:r>
          </w:p>
        </w:tc>
        <w:tc>
          <w:tcPr>
            <w:tcW w:w="760" w:type="dxa"/>
            <w:vAlign w:val="bottom"/>
          </w:tcPr>
          <w:p>
            <w:pPr>
              <w:jc w:val="right"/>
              <w:spacing w:after="0"/>
              <w:rPr>
                <w:sz w:val="20"/>
                <w:szCs w:val="20"/>
                <w:color w:val="auto"/>
              </w:rPr>
            </w:pPr>
            <w:r>
              <w:rPr>
                <w:rFonts w:ascii="Arial" w:cs="Arial" w:eastAsia="Arial" w:hAnsi="Arial"/>
                <w:sz w:val="10"/>
                <w:szCs w:val="10"/>
                <w:color w:val="auto"/>
              </w:rPr>
              <w:t>965</w:t>
            </w:r>
          </w:p>
        </w:tc>
      </w:tr>
      <w:tr>
        <w:trPr>
          <w:trHeight w:val="126"/>
        </w:trPr>
        <w:tc>
          <w:tcPr>
            <w:tcW w:w="2440" w:type="dxa"/>
            <w:vAlign w:val="bottom"/>
          </w:tcPr>
          <w:p>
            <w:pPr>
              <w:spacing w:after="0"/>
              <w:rPr>
                <w:sz w:val="20"/>
                <w:szCs w:val="20"/>
                <w:color w:val="auto"/>
              </w:rPr>
            </w:pPr>
            <w:r>
              <w:rPr>
                <w:rFonts w:ascii="Arial" w:cs="Arial" w:eastAsia="Arial" w:hAnsi="Arial"/>
                <w:sz w:val="10"/>
                <w:szCs w:val="10"/>
                <w:color w:val="auto"/>
              </w:rPr>
              <w:t>Fuel oil</w:t>
            </w:r>
          </w:p>
        </w:tc>
        <w:tc>
          <w:tcPr>
            <w:tcW w:w="9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140</w:t>
            </w:r>
          </w:p>
        </w:tc>
        <w:tc>
          <w:tcPr>
            <w:tcW w:w="1240" w:type="dxa"/>
            <w:vAlign w:val="bottom"/>
          </w:tcPr>
          <w:p>
            <w:pPr>
              <w:jc w:val="right"/>
              <w:ind w:right="233"/>
              <w:spacing w:after="0"/>
              <w:rPr>
                <w:sz w:val="20"/>
                <w:szCs w:val="20"/>
                <w:color w:val="auto"/>
              </w:rPr>
            </w:pPr>
            <w:r>
              <w:rPr>
                <w:rFonts w:ascii="Arial" w:cs="Arial" w:eastAsia="Arial" w:hAnsi="Arial"/>
                <w:sz w:val="10"/>
                <w:szCs w:val="10"/>
                <w:color w:val="auto"/>
              </w:rPr>
              <w:t>223</w:t>
            </w:r>
          </w:p>
        </w:tc>
        <w:tc>
          <w:tcPr>
            <w:tcW w:w="760" w:type="dxa"/>
            <w:vAlign w:val="bottom"/>
          </w:tcPr>
          <w:p>
            <w:pPr>
              <w:jc w:val="right"/>
              <w:spacing w:after="0"/>
              <w:rPr>
                <w:sz w:val="20"/>
                <w:szCs w:val="20"/>
                <w:color w:val="auto"/>
              </w:rPr>
            </w:pPr>
            <w:r>
              <w:rPr>
                <w:rFonts w:ascii="Arial" w:cs="Arial" w:eastAsia="Arial" w:hAnsi="Arial"/>
                <w:sz w:val="10"/>
                <w:szCs w:val="10"/>
                <w:color w:val="auto"/>
              </w:rPr>
              <w:t>284</w:t>
            </w:r>
          </w:p>
        </w:tc>
      </w:tr>
      <w:tr>
        <w:trPr>
          <w:trHeight w:val="130"/>
        </w:trPr>
        <w:tc>
          <w:tcPr>
            <w:tcW w:w="2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w:t>
            </w:r>
          </w:p>
        </w:tc>
        <w:tc>
          <w:tcPr>
            <w:tcW w:w="9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279</w:t>
            </w: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0"/>
                <w:szCs w:val="10"/>
                <w:color w:val="auto"/>
              </w:rPr>
              <w:t>282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321</w:t>
            </w:r>
          </w:p>
        </w:tc>
      </w:tr>
      <w:tr>
        <w:trPr>
          <w:trHeight w:val="117"/>
        </w:trPr>
        <w:tc>
          <w:tcPr>
            <w:tcW w:w="2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9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2,122</w:t>
            </w: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0"/>
                <w:szCs w:val="10"/>
                <w:color w:val="auto"/>
              </w:rPr>
              <w:t>2,692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2,858</w:t>
            </w:r>
          </w:p>
        </w:tc>
      </w:tr>
    </w:tbl>
    <w:p>
      <w:pPr>
        <w:spacing w:after="0" w:line="155" w:lineRule="exact"/>
        <w:rPr>
          <w:sz w:val="20"/>
          <w:szCs w:val="20"/>
          <w:color w:val="auto"/>
        </w:rPr>
      </w:pPr>
    </w:p>
    <w:p>
      <w:pPr>
        <w:spacing w:after="0"/>
        <w:rPr>
          <w:sz w:val="20"/>
          <w:szCs w:val="20"/>
          <w:color w:val="auto"/>
        </w:rPr>
      </w:pPr>
      <w:r>
        <w:rPr>
          <w:rFonts w:ascii="Arial" w:cs="Arial" w:eastAsia="Arial" w:hAnsi="Arial"/>
          <w:sz w:val="7"/>
          <w:szCs w:val="7"/>
          <w:color w:val="auto"/>
        </w:rPr>
        <w:t>[A] Excludes own use and products acquired for blending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1"/>
          <w:szCs w:val="11"/>
          <w:color w:val="auto"/>
        </w:rPr>
        <w:t>MANUFACTURING PLANTS AT DECEMBER 31, 2020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Refineries in operation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Oil Products sales volumes [A][B]</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00" w:type="dxa"/>
            <w:vAlign w:val="bottom"/>
            <w:tcBorders>
              <w:top w:val="single" w:sz="8" w:color="CDCDCD"/>
            </w:tcBorders>
          </w:tcPr>
          <w:p>
            <w:pPr>
              <w:spacing w:after="0"/>
              <w:rPr>
                <w:sz w:val="13"/>
                <w:szCs w:val="13"/>
                <w:color w:val="auto"/>
              </w:rPr>
            </w:pPr>
          </w:p>
        </w:tc>
        <w:tc>
          <w:tcPr>
            <w:tcW w:w="960" w:type="dxa"/>
            <w:vAlign w:val="bottom"/>
            <w:tcBorders>
              <w:top w:val="single" w:sz="8" w:color="CDCDCD"/>
            </w:tcBorders>
          </w:tcPr>
          <w:p>
            <w:pPr>
              <w:spacing w:after="0"/>
              <w:rPr>
                <w:sz w:val="13"/>
                <w:szCs w:val="13"/>
                <w:color w:val="auto"/>
              </w:rPr>
            </w:pPr>
          </w:p>
        </w:tc>
        <w:tc>
          <w:tcPr>
            <w:tcW w:w="1220" w:type="dxa"/>
            <w:vAlign w:val="bottom"/>
            <w:tcBorders>
              <w:top w:val="single" w:sz="8" w:color="CDCDCD"/>
            </w:tcBorders>
          </w:tcPr>
          <w:p>
            <w:pPr>
              <w:spacing w:after="0"/>
              <w:rPr>
                <w:sz w:val="13"/>
                <w:szCs w:val="13"/>
                <w:color w:val="auto"/>
              </w:rPr>
            </w:pPr>
          </w:p>
        </w:tc>
        <w:tc>
          <w:tcPr>
            <w:tcW w:w="76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Thousand b/d</w:t>
            </w:r>
          </w:p>
        </w:tc>
      </w:tr>
      <w:tr>
        <w:trPr>
          <w:trHeight w:val="116"/>
        </w:trPr>
        <w:tc>
          <w:tcPr>
            <w:tcW w:w="2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8"/>
                <w:szCs w:val="8"/>
                <w:color w:val="auto"/>
                <w:w w:val="89"/>
              </w:rPr>
              <w:t>2020</w:t>
            </w: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8"/>
                <w:szCs w:val="8"/>
                <w:color w:val="auto"/>
              </w:rPr>
              <w:t>2019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2018</w:t>
            </w:r>
          </w:p>
        </w:tc>
      </w:tr>
      <w:tr>
        <w:trPr>
          <w:trHeight w:val="116"/>
        </w:trPr>
        <w:tc>
          <w:tcPr>
            <w:tcW w:w="2500" w:type="dxa"/>
            <w:vAlign w:val="bottom"/>
          </w:tcPr>
          <w:p>
            <w:pPr>
              <w:ind w:left="20"/>
              <w:spacing w:after="0"/>
              <w:rPr>
                <w:sz w:val="20"/>
                <w:szCs w:val="20"/>
                <w:color w:val="auto"/>
              </w:rPr>
            </w:pPr>
            <w:r>
              <w:rPr>
                <w:rFonts w:ascii="Arial" w:cs="Arial" w:eastAsia="Arial" w:hAnsi="Arial"/>
                <w:sz w:val="10"/>
                <w:szCs w:val="10"/>
                <w:color w:val="auto"/>
              </w:rPr>
              <w:t>Europe</w:t>
            </w:r>
          </w:p>
        </w:tc>
        <w:tc>
          <w:tcPr>
            <w:tcW w:w="960" w:type="dxa"/>
            <w:vAlign w:val="bottom"/>
            <w:shd w:val="clear" w:color="auto" w:fill="D9D9D9"/>
          </w:tcPr>
          <w:p>
            <w:pPr>
              <w:spacing w:after="0"/>
              <w:rPr>
                <w:sz w:val="10"/>
                <w:szCs w:val="10"/>
                <w:color w:val="auto"/>
              </w:rPr>
            </w:pPr>
          </w:p>
        </w:tc>
        <w:tc>
          <w:tcPr>
            <w:tcW w:w="12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3"/>
        </w:trPr>
        <w:tc>
          <w:tcPr>
            <w:tcW w:w="2500" w:type="dxa"/>
            <w:vAlign w:val="bottom"/>
          </w:tcPr>
          <w:p>
            <w:pPr>
              <w:ind w:left="160"/>
              <w:spacing w:after="0"/>
              <w:rPr>
                <w:sz w:val="20"/>
                <w:szCs w:val="20"/>
                <w:color w:val="auto"/>
              </w:rPr>
            </w:pPr>
            <w:r>
              <w:rPr>
                <w:rFonts w:ascii="Arial" w:cs="Arial" w:eastAsia="Arial" w:hAnsi="Arial"/>
                <w:sz w:val="10"/>
                <w:szCs w:val="10"/>
                <w:color w:val="auto"/>
              </w:rPr>
              <w:t>Gasolines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224</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334</w:t>
            </w:r>
          </w:p>
        </w:tc>
        <w:tc>
          <w:tcPr>
            <w:tcW w:w="760" w:type="dxa"/>
            <w:vAlign w:val="bottom"/>
          </w:tcPr>
          <w:p>
            <w:pPr>
              <w:jc w:val="right"/>
              <w:spacing w:after="0"/>
              <w:rPr>
                <w:sz w:val="20"/>
                <w:szCs w:val="20"/>
                <w:color w:val="auto"/>
              </w:rPr>
            </w:pPr>
            <w:r>
              <w:rPr>
                <w:rFonts w:ascii="Arial" w:cs="Arial" w:eastAsia="Arial" w:hAnsi="Arial"/>
                <w:sz w:val="10"/>
                <w:szCs w:val="10"/>
                <w:color w:val="auto"/>
              </w:rPr>
              <w:t>323</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Kerosines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165</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317</w:t>
            </w:r>
          </w:p>
        </w:tc>
        <w:tc>
          <w:tcPr>
            <w:tcW w:w="760" w:type="dxa"/>
            <w:vAlign w:val="bottom"/>
          </w:tcPr>
          <w:p>
            <w:pPr>
              <w:jc w:val="right"/>
              <w:spacing w:after="0"/>
              <w:rPr>
                <w:sz w:val="20"/>
                <w:szCs w:val="20"/>
                <w:color w:val="auto"/>
              </w:rPr>
            </w:pPr>
            <w:r>
              <w:rPr>
                <w:rFonts w:ascii="Arial" w:cs="Arial" w:eastAsia="Arial" w:hAnsi="Arial"/>
                <w:sz w:val="10"/>
                <w:szCs w:val="10"/>
                <w:color w:val="auto"/>
              </w:rPr>
              <w:t>294</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Gas/Diesel oils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610</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720</w:t>
            </w:r>
          </w:p>
        </w:tc>
        <w:tc>
          <w:tcPr>
            <w:tcW w:w="760" w:type="dxa"/>
            <w:vAlign w:val="bottom"/>
          </w:tcPr>
          <w:p>
            <w:pPr>
              <w:jc w:val="right"/>
              <w:spacing w:after="0"/>
              <w:rPr>
                <w:sz w:val="20"/>
                <w:szCs w:val="20"/>
                <w:color w:val="auto"/>
              </w:rPr>
            </w:pPr>
            <w:r>
              <w:rPr>
                <w:rFonts w:ascii="Arial" w:cs="Arial" w:eastAsia="Arial" w:hAnsi="Arial"/>
                <w:sz w:val="10"/>
                <w:szCs w:val="10"/>
                <w:color w:val="auto"/>
              </w:rPr>
              <w:t>745</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Fuel oil</w:t>
            </w:r>
          </w:p>
        </w:tc>
        <w:tc>
          <w:tcPr>
            <w:tcW w:w="960" w:type="dxa"/>
            <w:vAlign w:val="bottom"/>
            <w:shd w:val="clear" w:color="auto" w:fill="D9D9D9"/>
          </w:tcPr>
          <w:p>
            <w:pPr>
              <w:ind w:left="780"/>
              <w:spacing w:after="0"/>
              <w:rPr>
                <w:sz w:val="20"/>
                <w:szCs w:val="20"/>
                <w:color w:val="auto"/>
              </w:rPr>
            </w:pPr>
            <w:r>
              <w:rPr>
                <w:rFonts w:ascii="Arial" w:cs="Arial" w:eastAsia="Arial" w:hAnsi="Arial"/>
                <w:sz w:val="10"/>
                <w:szCs w:val="10"/>
                <w:color w:val="auto"/>
                <w:w w:val="89"/>
              </w:rPr>
              <w:t>(42)</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138</w:t>
            </w:r>
          </w:p>
        </w:tc>
        <w:tc>
          <w:tcPr>
            <w:tcW w:w="760" w:type="dxa"/>
            <w:vAlign w:val="bottom"/>
          </w:tcPr>
          <w:p>
            <w:pPr>
              <w:jc w:val="right"/>
              <w:spacing w:after="0"/>
              <w:rPr>
                <w:sz w:val="20"/>
                <w:szCs w:val="20"/>
                <w:color w:val="auto"/>
              </w:rPr>
            </w:pPr>
            <w:r>
              <w:rPr>
                <w:rFonts w:ascii="Arial" w:cs="Arial" w:eastAsia="Arial" w:hAnsi="Arial"/>
                <w:sz w:val="10"/>
                <w:szCs w:val="10"/>
                <w:color w:val="auto"/>
              </w:rPr>
              <w:t>178</w:t>
            </w:r>
          </w:p>
        </w:tc>
      </w:tr>
      <w:tr>
        <w:trPr>
          <w:trHeight w:val="130"/>
        </w:trPr>
        <w:tc>
          <w:tcPr>
            <w:tcW w:w="2500" w:type="dxa"/>
            <w:vAlign w:val="bottom"/>
            <w:tcBorders>
              <w:bottom w:val="single" w:sz="8" w:color="auto"/>
            </w:tcBorders>
          </w:tcPr>
          <w:p>
            <w:pPr>
              <w:ind w:left="160"/>
              <w:spacing w:after="0"/>
              <w:rPr>
                <w:sz w:val="20"/>
                <w:szCs w:val="20"/>
                <w:color w:val="auto"/>
              </w:rPr>
            </w:pPr>
            <w:r>
              <w:rPr>
                <w:rFonts w:ascii="Arial" w:cs="Arial" w:eastAsia="Arial" w:hAnsi="Arial"/>
                <w:sz w:val="10"/>
                <w:szCs w:val="10"/>
                <w:color w:val="auto"/>
              </w:rPr>
              <w:t>Other products</w:t>
            </w:r>
          </w:p>
        </w:tc>
        <w:tc>
          <w:tcPr>
            <w:tcW w:w="960" w:type="dxa"/>
            <w:vAlign w:val="bottom"/>
            <w:tcBorders>
              <w:bottom w:val="single" w:sz="8" w:color="auto"/>
            </w:tcBorders>
            <w:shd w:val="clear" w:color="auto" w:fill="D9D9D9"/>
          </w:tcPr>
          <w:p>
            <w:pPr>
              <w:ind w:left="780"/>
              <w:spacing w:after="0"/>
              <w:rPr>
                <w:sz w:val="20"/>
                <w:szCs w:val="20"/>
                <w:color w:val="auto"/>
              </w:rPr>
            </w:pPr>
            <w:r>
              <w:rPr>
                <w:rFonts w:ascii="Arial" w:cs="Arial" w:eastAsia="Arial" w:hAnsi="Arial"/>
                <w:sz w:val="10"/>
                <w:szCs w:val="10"/>
                <w:color w:val="auto"/>
                <w:w w:val="89"/>
              </w:rPr>
              <w:t>(19)</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278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314</w:t>
            </w:r>
          </w:p>
        </w:tc>
      </w:tr>
      <w:tr>
        <w:trPr>
          <w:trHeight w:val="117"/>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9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938</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1,787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1,854</w:t>
            </w:r>
          </w:p>
        </w:tc>
      </w:tr>
      <w:tr>
        <w:trPr>
          <w:trHeight w:val="113"/>
        </w:trPr>
        <w:tc>
          <w:tcPr>
            <w:tcW w:w="2500" w:type="dxa"/>
            <w:vAlign w:val="bottom"/>
          </w:tcPr>
          <w:p>
            <w:pPr>
              <w:ind w:left="20"/>
              <w:spacing w:after="0" w:line="113" w:lineRule="exact"/>
              <w:rPr>
                <w:sz w:val="20"/>
                <w:szCs w:val="20"/>
                <w:color w:val="auto"/>
              </w:rPr>
            </w:pPr>
            <w:r>
              <w:rPr>
                <w:rFonts w:ascii="Arial" w:cs="Arial" w:eastAsia="Arial" w:hAnsi="Arial"/>
                <w:sz w:val="10"/>
                <w:szCs w:val="10"/>
                <w:color w:val="auto"/>
              </w:rPr>
              <w:t>Asia</w:t>
            </w:r>
          </w:p>
        </w:tc>
        <w:tc>
          <w:tcPr>
            <w:tcW w:w="960" w:type="dxa"/>
            <w:vAlign w:val="bottom"/>
            <w:shd w:val="clear" w:color="auto" w:fill="D9D9D9"/>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23"/>
        </w:trPr>
        <w:tc>
          <w:tcPr>
            <w:tcW w:w="2500" w:type="dxa"/>
            <w:vAlign w:val="bottom"/>
          </w:tcPr>
          <w:p>
            <w:pPr>
              <w:ind w:left="160"/>
              <w:spacing w:after="0"/>
              <w:rPr>
                <w:sz w:val="20"/>
                <w:szCs w:val="20"/>
                <w:color w:val="auto"/>
              </w:rPr>
            </w:pPr>
            <w:r>
              <w:rPr>
                <w:rFonts w:ascii="Arial" w:cs="Arial" w:eastAsia="Arial" w:hAnsi="Arial"/>
                <w:sz w:val="10"/>
                <w:szCs w:val="10"/>
                <w:color w:val="auto"/>
              </w:rPr>
              <w:t>Gasolines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346</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408</w:t>
            </w:r>
          </w:p>
        </w:tc>
        <w:tc>
          <w:tcPr>
            <w:tcW w:w="760" w:type="dxa"/>
            <w:vAlign w:val="bottom"/>
          </w:tcPr>
          <w:p>
            <w:pPr>
              <w:jc w:val="right"/>
              <w:spacing w:after="0"/>
              <w:rPr>
                <w:sz w:val="20"/>
                <w:szCs w:val="20"/>
                <w:color w:val="auto"/>
              </w:rPr>
            </w:pPr>
            <w:r>
              <w:rPr>
                <w:rFonts w:ascii="Arial" w:cs="Arial" w:eastAsia="Arial" w:hAnsi="Arial"/>
                <w:sz w:val="10"/>
                <w:szCs w:val="10"/>
                <w:color w:val="auto"/>
              </w:rPr>
              <w:t>373</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Kerosines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98</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208</w:t>
            </w:r>
          </w:p>
        </w:tc>
        <w:tc>
          <w:tcPr>
            <w:tcW w:w="760" w:type="dxa"/>
            <w:vAlign w:val="bottom"/>
          </w:tcPr>
          <w:p>
            <w:pPr>
              <w:jc w:val="right"/>
              <w:spacing w:after="0"/>
              <w:rPr>
                <w:sz w:val="20"/>
                <w:szCs w:val="20"/>
                <w:color w:val="auto"/>
              </w:rPr>
            </w:pPr>
            <w:r>
              <w:rPr>
                <w:rFonts w:ascii="Arial" w:cs="Arial" w:eastAsia="Arial" w:hAnsi="Arial"/>
                <w:sz w:val="10"/>
                <w:szCs w:val="10"/>
                <w:color w:val="auto"/>
              </w:rPr>
              <w:t>210</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Gas/Diesel oils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455</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535</w:t>
            </w:r>
          </w:p>
        </w:tc>
        <w:tc>
          <w:tcPr>
            <w:tcW w:w="760" w:type="dxa"/>
            <w:vAlign w:val="bottom"/>
          </w:tcPr>
          <w:p>
            <w:pPr>
              <w:jc w:val="right"/>
              <w:spacing w:after="0"/>
              <w:rPr>
                <w:sz w:val="20"/>
                <w:szCs w:val="20"/>
                <w:color w:val="auto"/>
              </w:rPr>
            </w:pPr>
            <w:r>
              <w:rPr>
                <w:rFonts w:ascii="Arial" w:cs="Arial" w:eastAsia="Arial" w:hAnsi="Arial"/>
                <w:sz w:val="10"/>
                <w:szCs w:val="10"/>
                <w:color w:val="auto"/>
              </w:rPr>
              <w:t>543</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Fuel oil</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308</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330</w:t>
            </w:r>
          </w:p>
        </w:tc>
        <w:tc>
          <w:tcPr>
            <w:tcW w:w="760" w:type="dxa"/>
            <w:vAlign w:val="bottom"/>
          </w:tcPr>
          <w:p>
            <w:pPr>
              <w:jc w:val="right"/>
              <w:spacing w:after="0"/>
              <w:rPr>
                <w:sz w:val="20"/>
                <w:szCs w:val="20"/>
                <w:color w:val="auto"/>
              </w:rPr>
            </w:pPr>
            <w:r>
              <w:rPr>
                <w:rFonts w:ascii="Arial" w:cs="Arial" w:eastAsia="Arial" w:hAnsi="Arial"/>
                <w:sz w:val="10"/>
                <w:szCs w:val="10"/>
                <w:color w:val="auto"/>
              </w:rPr>
              <w:t>407</w:t>
            </w:r>
          </w:p>
        </w:tc>
      </w:tr>
      <w:tr>
        <w:trPr>
          <w:trHeight w:val="130"/>
        </w:trPr>
        <w:tc>
          <w:tcPr>
            <w:tcW w:w="2500" w:type="dxa"/>
            <w:vAlign w:val="bottom"/>
            <w:tcBorders>
              <w:bottom w:val="single" w:sz="8" w:color="auto"/>
            </w:tcBorders>
          </w:tcPr>
          <w:p>
            <w:pPr>
              <w:ind w:left="160"/>
              <w:spacing w:after="0"/>
              <w:rPr>
                <w:sz w:val="20"/>
                <w:szCs w:val="20"/>
                <w:color w:val="auto"/>
              </w:rPr>
            </w:pPr>
            <w:r>
              <w:rPr>
                <w:rFonts w:ascii="Arial" w:cs="Arial" w:eastAsia="Arial" w:hAnsi="Arial"/>
                <w:sz w:val="10"/>
                <w:szCs w:val="10"/>
                <w:color w:val="auto"/>
              </w:rPr>
              <w:t>Other products</w:t>
            </w:r>
          </w:p>
        </w:tc>
        <w:tc>
          <w:tcPr>
            <w:tcW w:w="9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383</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518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620</w:t>
            </w:r>
          </w:p>
        </w:tc>
      </w:tr>
      <w:tr>
        <w:trPr>
          <w:trHeight w:val="117"/>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9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1,590</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2,000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2,153</w:t>
            </w:r>
          </w:p>
        </w:tc>
      </w:tr>
      <w:tr>
        <w:trPr>
          <w:trHeight w:val="113"/>
        </w:trPr>
        <w:tc>
          <w:tcPr>
            <w:tcW w:w="2500" w:type="dxa"/>
            <w:vAlign w:val="bottom"/>
          </w:tcPr>
          <w:p>
            <w:pPr>
              <w:ind w:left="20"/>
              <w:spacing w:after="0" w:line="113" w:lineRule="exact"/>
              <w:rPr>
                <w:sz w:val="20"/>
                <w:szCs w:val="20"/>
                <w:color w:val="auto"/>
              </w:rPr>
            </w:pPr>
            <w:r>
              <w:rPr>
                <w:rFonts w:ascii="Arial" w:cs="Arial" w:eastAsia="Arial" w:hAnsi="Arial"/>
                <w:sz w:val="10"/>
                <w:szCs w:val="10"/>
                <w:color w:val="auto"/>
              </w:rPr>
              <w:t>Africa</w:t>
            </w:r>
          </w:p>
        </w:tc>
        <w:tc>
          <w:tcPr>
            <w:tcW w:w="960" w:type="dxa"/>
            <w:vAlign w:val="bottom"/>
            <w:shd w:val="clear" w:color="auto" w:fill="D9D9D9"/>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23"/>
        </w:trPr>
        <w:tc>
          <w:tcPr>
            <w:tcW w:w="2500" w:type="dxa"/>
            <w:vAlign w:val="bottom"/>
          </w:tcPr>
          <w:p>
            <w:pPr>
              <w:ind w:left="160"/>
              <w:spacing w:after="0"/>
              <w:rPr>
                <w:sz w:val="20"/>
                <w:szCs w:val="20"/>
                <w:color w:val="auto"/>
              </w:rPr>
            </w:pPr>
            <w:r>
              <w:rPr>
                <w:rFonts w:ascii="Arial" w:cs="Arial" w:eastAsia="Arial" w:hAnsi="Arial"/>
                <w:sz w:val="10"/>
                <w:szCs w:val="10"/>
                <w:color w:val="auto"/>
              </w:rPr>
              <w:t>Gasolines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43</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46</w:t>
            </w:r>
          </w:p>
        </w:tc>
        <w:tc>
          <w:tcPr>
            <w:tcW w:w="760" w:type="dxa"/>
            <w:vAlign w:val="bottom"/>
          </w:tcPr>
          <w:p>
            <w:pPr>
              <w:jc w:val="right"/>
              <w:spacing w:after="0"/>
              <w:rPr>
                <w:sz w:val="20"/>
                <w:szCs w:val="20"/>
                <w:color w:val="auto"/>
              </w:rPr>
            </w:pPr>
            <w:r>
              <w:rPr>
                <w:rFonts w:ascii="Arial" w:cs="Arial" w:eastAsia="Arial" w:hAnsi="Arial"/>
                <w:sz w:val="10"/>
                <w:szCs w:val="10"/>
                <w:color w:val="auto"/>
              </w:rPr>
              <w:t>42</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Kerosines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11</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13</w:t>
            </w:r>
          </w:p>
        </w:tc>
        <w:tc>
          <w:tcPr>
            <w:tcW w:w="760" w:type="dxa"/>
            <w:vAlign w:val="bottom"/>
          </w:tcPr>
          <w:p>
            <w:pPr>
              <w:jc w:val="right"/>
              <w:spacing w:after="0"/>
              <w:rPr>
                <w:sz w:val="20"/>
                <w:szCs w:val="20"/>
                <w:color w:val="auto"/>
              </w:rPr>
            </w:pPr>
            <w:r>
              <w:rPr>
                <w:rFonts w:ascii="Arial" w:cs="Arial" w:eastAsia="Arial" w:hAnsi="Arial"/>
                <w:sz w:val="10"/>
                <w:szCs w:val="10"/>
                <w:color w:val="auto"/>
              </w:rPr>
              <w:t>10</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Gas/Diesel oils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59</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70</w:t>
            </w:r>
          </w:p>
        </w:tc>
        <w:tc>
          <w:tcPr>
            <w:tcW w:w="760" w:type="dxa"/>
            <w:vAlign w:val="bottom"/>
          </w:tcPr>
          <w:p>
            <w:pPr>
              <w:jc w:val="right"/>
              <w:spacing w:after="0"/>
              <w:rPr>
                <w:sz w:val="20"/>
                <w:szCs w:val="20"/>
                <w:color w:val="auto"/>
              </w:rPr>
            </w:pPr>
            <w:r>
              <w:rPr>
                <w:rFonts w:ascii="Arial" w:cs="Arial" w:eastAsia="Arial" w:hAnsi="Arial"/>
                <w:sz w:val="10"/>
                <w:szCs w:val="10"/>
                <w:color w:val="auto"/>
              </w:rPr>
              <w:t>74</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Fuel oil</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2</w:t>
            </w: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r>
      <w:tr>
        <w:trPr>
          <w:trHeight w:val="130"/>
        </w:trPr>
        <w:tc>
          <w:tcPr>
            <w:tcW w:w="2500" w:type="dxa"/>
            <w:vAlign w:val="bottom"/>
            <w:tcBorders>
              <w:bottom w:val="single" w:sz="8" w:color="auto"/>
            </w:tcBorders>
          </w:tcPr>
          <w:p>
            <w:pPr>
              <w:ind w:left="160"/>
              <w:spacing w:after="0"/>
              <w:rPr>
                <w:sz w:val="20"/>
                <w:szCs w:val="20"/>
                <w:color w:val="auto"/>
              </w:rPr>
            </w:pPr>
            <w:r>
              <w:rPr>
                <w:rFonts w:ascii="Arial" w:cs="Arial" w:eastAsia="Arial" w:hAnsi="Arial"/>
                <w:sz w:val="10"/>
                <w:szCs w:val="10"/>
                <w:color w:val="auto"/>
              </w:rPr>
              <w:t>Other products</w:t>
            </w:r>
          </w:p>
        </w:tc>
        <w:tc>
          <w:tcPr>
            <w:tcW w:w="9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6</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w:t>
            </w:r>
          </w:p>
        </w:tc>
      </w:tr>
      <w:tr>
        <w:trPr>
          <w:trHeight w:val="117"/>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9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120</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137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w:t>
            </w:r>
          </w:p>
        </w:tc>
      </w:tr>
      <w:tr>
        <w:trPr>
          <w:trHeight w:val="113"/>
        </w:trPr>
        <w:tc>
          <w:tcPr>
            <w:tcW w:w="2500" w:type="dxa"/>
            <w:vAlign w:val="bottom"/>
          </w:tcPr>
          <w:p>
            <w:pPr>
              <w:ind w:left="20"/>
              <w:spacing w:after="0" w:line="113" w:lineRule="exact"/>
              <w:rPr>
                <w:sz w:val="20"/>
                <w:szCs w:val="20"/>
                <w:color w:val="auto"/>
              </w:rPr>
            </w:pPr>
            <w:r>
              <w:rPr>
                <w:rFonts w:ascii="Arial" w:cs="Arial" w:eastAsia="Arial" w:hAnsi="Arial"/>
                <w:sz w:val="10"/>
                <w:szCs w:val="10"/>
                <w:color w:val="auto"/>
              </w:rPr>
              <w:t>Americas</w:t>
            </w:r>
          </w:p>
        </w:tc>
        <w:tc>
          <w:tcPr>
            <w:tcW w:w="960" w:type="dxa"/>
            <w:vAlign w:val="bottom"/>
            <w:shd w:val="clear" w:color="auto" w:fill="D9D9D9"/>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23"/>
        </w:trPr>
        <w:tc>
          <w:tcPr>
            <w:tcW w:w="2500" w:type="dxa"/>
            <w:vAlign w:val="bottom"/>
          </w:tcPr>
          <w:p>
            <w:pPr>
              <w:ind w:left="160"/>
              <w:spacing w:after="0"/>
              <w:rPr>
                <w:sz w:val="20"/>
                <w:szCs w:val="20"/>
                <w:color w:val="auto"/>
              </w:rPr>
            </w:pPr>
            <w:r>
              <w:rPr>
                <w:rFonts w:ascii="Arial" w:cs="Arial" w:eastAsia="Arial" w:hAnsi="Arial"/>
                <w:sz w:val="10"/>
                <w:szCs w:val="10"/>
                <w:color w:val="auto"/>
              </w:rPr>
              <w:t>Gasolines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1,136</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1,419</w:t>
            </w:r>
          </w:p>
        </w:tc>
        <w:tc>
          <w:tcPr>
            <w:tcW w:w="760" w:type="dxa"/>
            <w:vAlign w:val="bottom"/>
          </w:tcPr>
          <w:p>
            <w:pPr>
              <w:jc w:val="right"/>
              <w:spacing w:after="0"/>
              <w:rPr>
                <w:sz w:val="20"/>
                <w:szCs w:val="20"/>
                <w:color w:val="auto"/>
              </w:rPr>
            </w:pPr>
            <w:r>
              <w:rPr>
                <w:rFonts w:ascii="Arial" w:cs="Arial" w:eastAsia="Arial" w:hAnsi="Arial"/>
                <w:sz w:val="10"/>
                <w:szCs w:val="10"/>
                <w:color w:val="auto"/>
              </w:rPr>
              <w:t>1,446</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Kerosines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103</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239</w:t>
            </w:r>
          </w:p>
        </w:tc>
        <w:tc>
          <w:tcPr>
            <w:tcW w:w="760" w:type="dxa"/>
            <w:vAlign w:val="bottom"/>
          </w:tcPr>
          <w:p>
            <w:pPr>
              <w:jc w:val="right"/>
              <w:spacing w:after="0"/>
              <w:rPr>
                <w:sz w:val="20"/>
                <w:szCs w:val="20"/>
                <w:color w:val="auto"/>
              </w:rPr>
            </w:pPr>
            <w:r>
              <w:rPr>
                <w:rFonts w:ascii="Arial" w:cs="Arial" w:eastAsia="Arial" w:hAnsi="Arial"/>
                <w:sz w:val="10"/>
                <w:szCs w:val="10"/>
                <w:color w:val="auto"/>
              </w:rPr>
              <w:t>236</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Gas/Diesel oils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496</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582</w:t>
            </w:r>
          </w:p>
        </w:tc>
        <w:tc>
          <w:tcPr>
            <w:tcW w:w="760" w:type="dxa"/>
            <w:vAlign w:val="bottom"/>
          </w:tcPr>
          <w:p>
            <w:pPr>
              <w:jc w:val="right"/>
              <w:spacing w:after="0"/>
              <w:rPr>
                <w:sz w:val="20"/>
                <w:szCs w:val="20"/>
                <w:color w:val="auto"/>
              </w:rPr>
            </w:pPr>
            <w:r>
              <w:rPr>
                <w:rFonts w:ascii="Arial" w:cs="Arial" w:eastAsia="Arial" w:hAnsi="Arial"/>
                <w:sz w:val="10"/>
                <w:szCs w:val="10"/>
                <w:color w:val="auto"/>
              </w:rPr>
              <w:t>567</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Fuel oil</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87</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120</w:t>
            </w:r>
          </w:p>
        </w:tc>
        <w:tc>
          <w:tcPr>
            <w:tcW w:w="760" w:type="dxa"/>
            <w:vAlign w:val="bottom"/>
          </w:tcPr>
          <w:p>
            <w:pPr>
              <w:jc w:val="right"/>
              <w:spacing w:after="0"/>
              <w:rPr>
                <w:sz w:val="20"/>
                <w:szCs w:val="20"/>
                <w:color w:val="auto"/>
              </w:rPr>
            </w:pPr>
            <w:r>
              <w:rPr>
                <w:rFonts w:ascii="Arial" w:cs="Arial" w:eastAsia="Arial" w:hAnsi="Arial"/>
                <w:sz w:val="10"/>
                <w:szCs w:val="10"/>
                <w:color w:val="auto"/>
              </w:rPr>
              <w:t>117</w:t>
            </w:r>
          </w:p>
        </w:tc>
      </w:tr>
      <w:tr>
        <w:trPr>
          <w:trHeight w:val="130"/>
        </w:trPr>
        <w:tc>
          <w:tcPr>
            <w:tcW w:w="2500" w:type="dxa"/>
            <w:vAlign w:val="bottom"/>
            <w:tcBorders>
              <w:bottom w:val="single" w:sz="8" w:color="auto"/>
            </w:tcBorders>
          </w:tcPr>
          <w:p>
            <w:pPr>
              <w:ind w:left="160"/>
              <w:spacing w:after="0"/>
              <w:rPr>
                <w:sz w:val="20"/>
                <w:szCs w:val="20"/>
                <w:color w:val="auto"/>
              </w:rPr>
            </w:pPr>
            <w:r>
              <w:rPr>
                <w:rFonts w:ascii="Arial" w:cs="Arial" w:eastAsia="Arial" w:hAnsi="Arial"/>
                <w:sz w:val="10"/>
                <w:szCs w:val="10"/>
                <w:color w:val="auto"/>
              </w:rPr>
              <w:t>Other products</w:t>
            </w:r>
          </w:p>
        </w:tc>
        <w:tc>
          <w:tcPr>
            <w:tcW w:w="9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240</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277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276</w:t>
            </w:r>
          </w:p>
        </w:tc>
      </w:tr>
      <w:tr>
        <w:trPr>
          <w:trHeight w:val="117"/>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9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2,062</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2,637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2,642</w:t>
            </w:r>
          </w:p>
        </w:tc>
      </w:tr>
      <w:tr>
        <w:trPr>
          <w:trHeight w:val="113"/>
        </w:trPr>
        <w:tc>
          <w:tcPr>
            <w:tcW w:w="2500" w:type="dxa"/>
            <w:vAlign w:val="bottom"/>
          </w:tcPr>
          <w:p>
            <w:pPr>
              <w:ind w:left="20"/>
              <w:spacing w:after="0" w:line="113" w:lineRule="exact"/>
              <w:rPr>
                <w:sz w:val="20"/>
                <w:szCs w:val="20"/>
                <w:color w:val="auto"/>
              </w:rPr>
            </w:pPr>
            <w:r>
              <w:rPr>
                <w:rFonts w:ascii="Arial" w:cs="Arial" w:eastAsia="Arial" w:hAnsi="Arial"/>
                <w:sz w:val="10"/>
                <w:szCs w:val="10"/>
                <w:color w:val="auto"/>
              </w:rPr>
              <w:t>Total product sales [C][D]</w:t>
            </w:r>
          </w:p>
        </w:tc>
        <w:tc>
          <w:tcPr>
            <w:tcW w:w="960" w:type="dxa"/>
            <w:vAlign w:val="bottom"/>
            <w:shd w:val="clear" w:color="auto" w:fill="D9D9D9"/>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23"/>
        </w:trPr>
        <w:tc>
          <w:tcPr>
            <w:tcW w:w="2500" w:type="dxa"/>
            <w:vAlign w:val="bottom"/>
          </w:tcPr>
          <w:p>
            <w:pPr>
              <w:ind w:left="160"/>
              <w:spacing w:after="0"/>
              <w:rPr>
                <w:sz w:val="20"/>
                <w:szCs w:val="20"/>
                <w:color w:val="auto"/>
              </w:rPr>
            </w:pPr>
            <w:r>
              <w:rPr>
                <w:rFonts w:ascii="Arial" w:cs="Arial" w:eastAsia="Arial" w:hAnsi="Arial"/>
                <w:sz w:val="10"/>
                <w:szCs w:val="10"/>
                <w:color w:val="auto"/>
              </w:rPr>
              <w:t>Gasolines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1,749</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2,207</w:t>
            </w:r>
          </w:p>
        </w:tc>
        <w:tc>
          <w:tcPr>
            <w:tcW w:w="760" w:type="dxa"/>
            <w:vAlign w:val="bottom"/>
          </w:tcPr>
          <w:p>
            <w:pPr>
              <w:jc w:val="right"/>
              <w:spacing w:after="0"/>
              <w:rPr>
                <w:sz w:val="20"/>
                <w:szCs w:val="20"/>
                <w:color w:val="auto"/>
              </w:rPr>
            </w:pPr>
            <w:r>
              <w:rPr>
                <w:rFonts w:ascii="Arial" w:cs="Arial" w:eastAsia="Arial" w:hAnsi="Arial"/>
                <w:sz w:val="10"/>
                <w:szCs w:val="10"/>
                <w:color w:val="auto"/>
              </w:rPr>
              <w:t>2,184</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Kerosines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377</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777</w:t>
            </w:r>
          </w:p>
        </w:tc>
        <w:tc>
          <w:tcPr>
            <w:tcW w:w="760" w:type="dxa"/>
            <w:vAlign w:val="bottom"/>
          </w:tcPr>
          <w:p>
            <w:pPr>
              <w:jc w:val="right"/>
              <w:spacing w:after="0"/>
              <w:rPr>
                <w:sz w:val="20"/>
                <w:szCs w:val="20"/>
                <w:color w:val="auto"/>
              </w:rPr>
            </w:pPr>
            <w:r>
              <w:rPr>
                <w:rFonts w:ascii="Arial" w:cs="Arial" w:eastAsia="Arial" w:hAnsi="Arial"/>
                <w:sz w:val="10"/>
                <w:szCs w:val="10"/>
                <w:color w:val="auto"/>
              </w:rPr>
              <w:t>750</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Gas/Diesel oils</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1,620</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1,907</w:t>
            </w:r>
          </w:p>
        </w:tc>
        <w:tc>
          <w:tcPr>
            <w:tcW w:w="760" w:type="dxa"/>
            <w:vAlign w:val="bottom"/>
          </w:tcPr>
          <w:p>
            <w:pPr>
              <w:jc w:val="right"/>
              <w:spacing w:after="0"/>
              <w:rPr>
                <w:sz w:val="20"/>
                <w:szCs w:val="20"/>
                <w:color w:val="auto"/>
              </w:rPr>
            </w:pPr>
            <w:r>
              <w:rPr>
                <w:rFonts w:ascii="Arial" w:cs="Arial" w:eastAsia="Arial" w:hAnsi="Arial"/>
                <w:sz w:val="10"/>
                <w:szCs w:val="10"/>
                <w:color w:val="auto"/>
              </w:rPr>
              <w:t>1,929</w:t>
            </w:r>
          </w:p>
        </w:tc>
      </w:tr>
      <w:tr>
        <w:trPr>
          <w:trHeight w:val="126"/>
        </w:trPr>
        <w:tc>
          <w:tcPr>
            <w:tcW w:w="2500" w:type="dxa"/>
            <w:vAlign w:val="bottom"/>
          </w:tcPr>
          <w:p>
            <w:pPr>
              <w:ind w:left="160"/>
              <w:spacing w:after="0"/>
              <w:rPr>
                <w:sz w:val="20"/>
                <w:szCs w:val="20"/>
                <w:color w:val="auto"/>
              </w:rPr>
            </w:pPr>
            <w:r>
              <w:rPr>
                <w:rFonts w:ascii="Arial" w:cs="Arial" w:eastAsia="Arial" w:hAnsi="Arial"/>
                <w:sz w:val="10"/>
                <w:szCs w:val="10"/>
                <w:color w:val="auto"/>
              </w:rPr>
              <w:t>Fuel oil</w:t>
            </w:r>
          </w:p>
        </w:tc>
        <w:tc>
          <w:tcPr>
            <w:tcW w:w="96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354</w:t>
            </w:r>
          </w:p>
        </w:tc>
        <w:tc>
          <w:tcPr>
            <w:tcW w:w="1220" w:type="dxa"/>
            <w:vAlign w:val="bottom"/>
          </w:tcPr>
          <w:p>
            <w:pPr>
              <w:jc w:val="right"/>
              <w:ind w:right="212"/>
              <w:spacing w:after="0"/>
              <w:rPr>
                <w:sz w:val="20"/>
                <w:szCs w:val="20"/>
                <w:color w:val="auto"/>
              </w:rPr>
            </w:pPr>
            <w:r>
              <w:rPr>
                <w:rFonts w:ascii="Arial" w:cs="Arial" w:eastAsia="Arial" w:hAnsi="Arial"/>
                <w:sz w:val="10"/>
                <w:szCs w:val="10"/>
                <w:color w:val="auto"/>
              </w:rPr>
              <w:t>590</w:t>
            </w:r>
          </w:p>
        </w:tc>
        <w:tc>
          <w:tcPr>
            <w:tcW w:w="760" w:type="dxa"/>
            <w:vAlign w:val="bottom"/>
          </w:tcPr>
          <w:p>
            <w:pPr>
              <w:jc w:val="right"/>
              <w:spacing w:after="0"/>
              <w:rPr>
                <w:sz w:val="20"/>
                <w:szCs w:val="20"/>
                <w:color w:val="auto"/>
              </w:rPr>
            </w:pPr>
            <w:r>
              <w:rPr>
                <w:rFonts w:ascii="Arial" w:cs="Arial" w:eastAsia="Arial" w:hAnsi="Arial"/>
                <w:sz w:val="10"/>
                <w:szCs w:val="10"/>
                <w:color w:val="auto"/>
              </w:rPr>
              <w:t>704</w:t>
            </w:r>
          </w:p>
        </w:tc>
      </w:tr>
      <w:tr>
        <w:trPr>
          <w:trHeight w:val="130"/>
        </w:trPr>
        <w:tc>
          <w:tcPr>
            <w:tcW w:w="2500" w:type="dxa"/>
            <w:vAlign w:val="bottom"/>
            <w:tcBorders>
              <w:bottom w:val="single" w:sz="8" w:color="auto"/>
            </w:tcBorders>
          </w:tcPr>
          <w:p>
            <w:pPr>
              <w:ind w:left="160"/>
              <w:spacing w:after="0"/>
              <w:rPr>
                <w:sz w:val="20"/>
                <w:szCs w:val="20"/>
                <w:color w:val="auto"/>
              </w:rPr>
            </w:pPr>
            <w:r>
              <w:rPr>
                <w:rFonts w:ascii="Arial" w:cs="Arial" w:eastAsia="Arial" w:hAnsi="Arial"/>
                <w:sz w:val="10"/>
                <w:szCs w:val="10"/>
                <w:color w:val="auto"/>
              </w:rPr>
              <w:t>Other products</w:t>
            </w:r>
          </w:p>
        </w:tc>
        <w:tc>
          <w:tcPr>
            <w:tcW w:w="9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610</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1,079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1,216</w:t>
            </w:r>
          </w:p>
        </w:tc>
      </w:tr>
      <w:tr>
        <w:trPr>
          <w:trHeight w:val="117"/>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9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4,710</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6,561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6,783</w:t>
            </w:r>
          </w:p>
        </w:tc>
      </w:tr>
    </w:tbl>
    <w:p>
      <w:pPr>
        <w:spacing w:after="0" w:line="47" w:lineRule="exact"/>
        <w:rPr>
          <w:sz w:val="20"/>
          <w:szCs w:val="20"/>
          <w:color w:val="auto"/>
        </w:rPr>
      </w:pPr>
    </w:p>
    <w:p>
      <w:pPr>
        <w:ind w:left="120" w:hanging="111"/>
        <w:spacing w:after="0"/>
        <w:tabs>
          <w:tab w:leader="none" w:pos="120" w:val="left"/>
        </w:tabs>
        <w:numPr>
          <w:ilvl w:val="0"/>
          <w:numId w:val="38"/>
        </w:numPr>
        <w:rPr>
          <w:rFonts w:ascii="Arial" w:cs="Arial" w:eastAsia="Arial" w:hAnsi="Arial"/>
          <w:sz w:val="6"/>
          <w:szCs w:val="6"/>
          <w:color w:val="auto"/>
        </w:rPr>
      </w:pPr>
      <w:r>
        <w:rPr>
          <w:rFonts w:ascii="Arial" w:cs="Arial" w:eastAsia="Arial" w:hAnsi="Arial"/>
          <w:sz w:val="6"/>
          <w:szCs w:val="6"/>
          <w:color w:val="auto"/>
        </w:rPr>
        <w:t>Excludes deliveries to other companies under reciprocal sale and purchase arrangements, that are in the nature of exchanges. Sales of condensate and natural gas liquids are included.</w:t>
      </w:r>
    </w:p>
    <w:p>
      <w:pPr>
        <w:spacing w:after="0" w:line="18" w:lineRule="exact"/>
        <w:rPr>
          <w:rFonts w:ascii="Arial" w:cs="Arial" w:eastAsia="Arial" w:hAnsi="Arial"/>
          <w:sz w:val="6"/>
          <w:szCs w:val="6"/>
          <w:color w:val="auto"/>
        </w:rPr>
      </w:pPr>
    </w:p>
    <w:p>
      <w:pPr>
        <w:ind w:left="120" w:hanging="111"/>
        <w:spacing w:after="0"/>
        <w:tabs>
          <w:tab w:leader="none" w:pos="120" w:val="left"/>
        </w:tabs>
        <w:numPr>
          <w:ilvl w:val="0"/>
          <w:numId w:val="38"/>
        </w:numPr>
        <w:rPr>
          <w:rFonts w:ascii="Arial" w:cs="Arial" w:eastAsia="Arial" w:hAnsi="Arial"/>
          <w:sz w:val="7"/>
          <w:szCs w:val="7"/>
          <w:color w:val="auto"/>
        </w:rPr>
      </w:pPr>
      <w:r>
        <w:rPr>
          <w:rFonts w:ascii="Arial" w:cs="Arial" w:eastAsia="Arial" w:hAnsi="Arial"/>
          <w:sz w:val="7"/>
          <w:szCs w:val="7"/>
          <w:color w:val="auto"/>
        </w:rPr>
        <w:t>Includes the Shell share of Raízen’s sales volumes.</w:t>
      </w:r>
    </w:p>
    <w:p>
      <w:pPr>
        <w:ind w:left="120" w:hanging="111"/>
        <w:spacing w:after="0"/>
        <w:tabs>
          <w:tab w:leader="none" w:pos="120" w:val="left"/>
        </w:tabs>
        <w:numPr>
          <w:ilvl w:val="0"/>
          <w:numId w:val="38"/>
        </w:numPr>
        <w:rPr>
          <w:rFonts w:ascii="Arial" w:cs="Arial" w:eastAsia="Arial" w:hAnsi="Arial"/>
          <w:sz w:val="6"/>
          <w:szCs w:val="6"/>
          <w:color w:val="auto"/>
        </w:rPr>
      </w:pPr>
      <w:r>
        <w:rPr>
          <w:rFonts w:ascii="Arial" w:cs="Arial" w:eastAsia="Arial" w:hAnsi="Arial"/>
          <w:sz w:val="6"/>
          <w:szCs w:val="6"/>
          <w:color w:val="auto"/>
        </w:rPr>
        <w:t>Certain contracts are held for trading purposes and reported net rather than gross. The effect in 2020 was a reduction in oil product sales of approximately 1,284,000 b/d (2019:</w:t>
      </w:r>
    </w:p>
    <w:p>
      <w:pPr>
        <w:spacing w:after="0" w:line="12" w:lineRule="exact"/>
        <w:rPr>
          <w:rFonts w:ascii="Arial" w:cs="Arial" w:eastAsia="Arial" w:hAnsi="Arial"/>
          <w:sz w:val="6"/>
          <w:szCs w:val="6"/>
          <w:color w:val="auto"/>
        </w:rPr>
      </w:pPr>
    </w:p>
    <w:p>
      <w:pPr>
        <w:spacing w:after="0"/>
        <w:rPr>
          <w:rFonts w:ascii="Arial" w:cs="Arial" w:eastAsia="Arial" w:hAnsi="Arial"/>
          <w:sz w:val="6"/>
          <w:szCs w:val="6"/>
          <w:color w:val="auto"/>
        </w:rPr>
      </w:pPr>
      <w:r>
        <w:rPr>
          <w:rFonts w:ascii="Arial" w:cs="Arial" w:eastAsia="Arial" w:hAnsi="Arial"/>
          <w:sz w:val="6"/>
          <w:szCs w:val="6"/>
          <w:color w:val="auto"/>
        </w:rPr>
        <w:t>546,000 b/d; 2018: 458,000 b/d). With effect from January 1, 2020 certain contracts held for trading purposes and reported net for Europe and Asia regions are consolidated in Europe.</w:t>
      </w:r>
    </w:p>
    <w:p>
      <w:pPr>
        <w:spacing w:after="0" w:line="12" w:lineRule="exact"/>
        <w:rPr>
          <w:rFonts w:ascii="Arial" w:cs="Arial" w:eastAsia="Arial" w:hAnsi="Arial"/>
          <w:sz w:val="6"/>
          <w:szCs w:val="6"/>
          <w:color w:val="auto"/>
        </w:rPr>
      </w:pPr>
    </w:p>
    <w:p>
      <w:pPr>
        <w:ind w:left="120" w:hanging="111"/>
        <w:spacing w:after="0"/>
        <w:tabs>
          <w:tab w:leader="none" w:pos="120" w:val="left"/>
        </w:tabs>
        <w:numPr>
          <w:ilvl w:val="0"/>
          <w:numId w:val="38"/>
        </w:numPr>
        <w:rPr>
          <w:rFonts w:ascii="Arial" w:cs="Arial" w:eastAsia="Arial" w:hAnsi="Arial"/>
          <w:sz w:val="7"/>
          <w:szCs w:val="7"/>
          <w:color w:val="auto"/>
        </w:rPr>
      </w:pPr>
      <w:r>
        <w:rPr>
          <w:rFonts w:ascii="Arial" w:cs="Arial" w:eastAsia="Arial" w:hAnsi="Arial"/>
          <w:sz w:val="7"/>
          <w:szCs w:val="7"/>
          <w:color w:val="auto"/>
        </w:rPr>
        <w:t>Reported volumes in 2020 and 2019 include the Shell joint ventures' sales volumes from key countries.</w:t>
      </w:r>
    </w:p>
    <w:p>
      <w:pPr>
        <w:spacing w:after="0" w:line="628" w:lineRule="exact"/>
        <w:rPr>
          <w:sz w:val="20"/>
          <w:szCs w:val="20"/>
          <w:color w:val="auto"/>
        </w:rPr>
      </w:pPr>
    </w:p>
    <w:p>
      <w:pPr>
        <w:sectPr>
          <w:pgSz w:w="11900" w:h="16838" w:orient="portrait"/>
          <w:cols w:equalWidth="0" w:num="2">
            <w:col w:w="5420" w:space="300"/>
            <w:col w:w="5580"/>
          </w:cols>
          <w:pgMar w:left="300" w:top="658" w:right="299" w:bottom="1440" w:gutter="0" w:footer="0" w:header="0"/>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55</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type w:val="continuous"/>
        </w:sectPr>
      </w:pPr>
    </w:p>
    <w:bookmarkStart w:id="58" w:name="page59"/>
    <w:bookmarkEnd w:id="58"/>
    <w:p>
      <w:pPr>
        <w:ind w:left="9388"/>
        <w:spacing w:after="0"/>
        <w:rPr>
          <w:sz w:val="20"/>
          <w:szCs w:val="20"/>
          <w:color w:val="auto"/>
        </w:rPr>
      </w:pPr>
      <w:r>
        <w:rPr>
          <w:rFonts w:ascii="Arial" w:cs="Arial" w:eastAsia="Arial" w:hAnsi="Arial"/>
          <w:sz w:val="8"/>
          <w:szCs w:val="8"/>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55180" cy="228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5180" cy="22860"/>
                    </a:xfrm>
                    <a:prstGeom prst="rect">
                      <a:avLst/>
                    </a:prstGeom>
                    <a:noFill/>
                  </pic:spPr>
                </pic:pic>
              </a:graphicData>
            </a:graphic>
          </wp:anchor>
        </w:drawing>
        <w:t>Thousand barrels/stream day, 100% capacity [B]</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92"/>
        </w:trPr>
        <w:tc>
          <w:tcPr>
            <w:tcW w:w="16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vMerge w:val="restart"/>
          </w:tcPr>
          <w:p>
            <w:pPr>
              <w:jc w:val="right"/>
              <w:ind w:right="338"/>
              <w:spacing w:after="0"/>
              <w:rPr>
                <w:sz w:val="20"/>
                <w:szCs w:val="20"/>
                <w:color w:val="auto"/>
              </w:rPr>
            </w:pPr>
            <w:r>
              <w:rPr>
                <w:rFonts w:ascii="Arial" w:cs="Arial" w:eastAsia="Arial" w:hAnsi="Arial"/>
                <w:sz w:val="8"/>
                <w:szCs w:val="8"/>
                <w:color w:val="auto"/>
              </w:rPr>
              <w:t>Crude</w:t>
            </w:r>
          </w:p>
        </w:tc>
        <w:tc>
          <w:tcPr>
            <w:tcW w:w="1260" w:type="dxa"/>
            <w:vAlign w:val="bottom"/>
          </w:tcPr>
          <w:p>
            <w:pPr>
              <w:jc w:val="right"/>
              <w:ind w:right="398"/>
              <w:spacing w:after="0"/>
              <w:rPr>
                <w:sz w:val="20"/>
                <w:szCs w:val="20"/>
                <w:color w:val="auto"/>
              </w:rPr>
            </w:pPr>
            <w:r>
              <w:rPr>
                <w:rFonts w:ascii="Arial" w:cs="Arial" w:eastAsia="Arial" w:hAnsi="Arial"/>
                <w:sz w:val="8"/>
                <w:szCs w:val="8"/>
                <w:color w:val="auto"/>
              </w:rPr>
              <w:t>Thermal</w:t>
            </w:r>
          </w:p>
        </w:tc>
        <w:tc>
          <w:tcPr>
            <w:tcW w:w="1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580" w:type="dxa"/>
            <w:vAlign w:val="bottom"/>
            <w:vMerge w:val="restart"/>
          </w:tcPr>
          <w:p>
            <w:pPr>
              <w:jc w:val="right"/>
              <w:ind w:right="378"/>
              <w:spacing w:after="0"/>
              <w:rPr>
                <w:sz w:val="20"/>
                <w:szCs w:val="20"/>
                <w:color w:val="auto"/>
              </w:rPr>
            </w:pPr>
            <w:r>
              <w:rPr>
                <w:rFonts w:ascii="Arial" w:cs="Arial" w:eastAsia="Arial" w:hAnsi="Arial"/>
                <w:sz w:val="8"/>
                <w:szCs w:val="8"/>
                <w:color w:val="auto"/>
              </w:rPr>
              <w:t>Shell interest (%)</w:t>
            </w:r>
          </w:p>
        </w:tc>
        <w:tc>
          <w:tcPr>
            <w:tcW w:w="1180" w:type="dxa"/>
            <w:vAlign w:val="bottom"/>
            <w:vMerge w:val="continue"/>
          </w:tcPr>
          <w:p>
            <w:pPr>
              <w:spacing w:after="0"/>
              <w:rPr>
                <w:sz w:val="7"/>
                <w:szCs w:val="7"/>
                <w:color w:val="auto"/>
              </w:rPr>
            </w:pPr>
          </w:p>
        </w:tc>
        <w:tc>
          <w:tcPr>
            <w:tcW w:w="1260" w:type="dxa"/>
            <w:vAlign w:val="bottom"/>
          </w:tcPr>
          <w:p>
            <w:pPr>
              <w:jc w:val="right"/>
              <w:ind w:right="398"/>
              <w:spacing w:after="0" w:line="81" w:lineRule="exact"/>
              <w:rPr>
                <w:sz w:val="20"/>
                <w:szCs w:val="20"/>
                <w:color w:val="auto"/>
              </w:rPr>
            </w:pPr>
            <w:r>
              <w:rPr>
                <w:rFonts w:ascii="Arial" w:cs="Arial" w:eastAsia="Arial" w:hAnsi="Arial"/>
                <w:sz w:val="8"/>
                <w:szCs w:val="8"/>
                <w:color w:val="auto"/>
              </w:rPr>
              <w:t>cracking/</w:t>
            </w:r>
          </w:p>
        </w:tc>
        <w:tc>
          <w:tcPr>
            <w:tcW w:w="1220" w:type="dxa"/>
            <w:vAlign w:val="bottom"/>
            <w:vMerge w:val="restart"/>
          </w:tcPr>
          <w:p>
            <w:pPr>
              <w:jc w:val="right"/>
              <w:ind w:right="418"/>
              <w:spacing w:after="0"/>
              <w:rPr>
                <w:sz w:val="20"/>
                <w:szCs w:val="20"/>
                <w:color w:val="auto"/>
              </w:rPr>
            </w:pPr>
            <w:r>
              <w:rPr>
                <w:rFonts w:ascii="Arial" w:cs="Arial" w:eastAsia="Arial" w:hAnsi="Arial"/>
                <w:sz w:val="8"/>
                <w:szCs w:val="8"/>
                <w:color w:val="auto"/>
              </w:rPr>
              <w:t>Catalytic</w:t>
            </w:r>
          </w:p>
        </w:tc>
        <w:tc>
          <w:tcPr>
            <w:tcW w:w="760" w:type="dxa"/>
            <w:vAlign w:val="bottom"/>
            <w:vMerge w:val="restart"/>
          </w:tcPr>
          <w:p>
            <w:pPr>
              <w:jc w:val="right"/>
              <w:spacing w:after="0"/>
              <w:rPr>
                <w:sz w:val="20"/>
                <w:szCs w:val="20"/>
                <w:color w:val="auto"/>
              </w:rPr>
            </w:pPr>
            <w:r>
              <w:rPr>
                <w:rFonts w:ascii="Arial" w:cs="Arial" w:eastAsia="Arial" w:hAnsi="Arial"/>
                <w:sz w:val="8"/>
                <w:szCs w:val="8"/>
                <w:color w:val="auto"/>
              </w:rPr>
              <w:t>Hydro-</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2060" w:type="dxa"/>
            <w:vAlign w:val="bottom"/>
            <w:vMerge w:val="restart"/>
          </w:tcPr>
          <w:p>
            <w:pPr>
              <w:ind w:left="1160"/>
              <w:spacing w:after="0"/>
              <w:rPr>
                <w:sz w:val="20"/>
                <w:szCs w:val="20"/>
                <w:color w:val="auto"/>
              </w:rPr>
            </w:pPr>
            <w:r>
              <w:rPr>
                <w:rFonts w:ascii="Arial" w:cs="Arial" w:eastAsia="Arial" w:hAnsi="Arial"/>
                <w:sz w:val="8"/>
                <w:szCs w:val="8"/>
                <w:color w:val="auto"/>
              </w:rPr>
              <w:t>Location</w:t>
            </w:r>
          </w:p>
        </w:tc>
        <w:tc>
          <w:tcPr>
            <w:tcW w:w="1520" w:type="dxa"/>
            <w:vAlign w:val="bottom"/>
            <w:vMerge w:val="restart"/>
          </w:tcPr>
          <w:p>
            <w:pPr>
              <w:ind w:left="300"/>
              <w:spacing w:after="0"/>
              <w:rPr>
                <w:sz w:val="20"/>
                <w:szCs w:val="20"/>
                <w:color w:val="auto"/>
              </w:rPr>
            </w:pPr>
            <w:r>
              <w:rPr>
                <w:rFonts w:ascii="Arial" w:cs="Arial" w:eastAsia="Arial" w:hAnsi="Arial"/>
                <w:sz w:val="8"/>
                <w:szCs w:val="8"/>
                <w:color w:val="auto"/>
              </w:rPr>
              <w:t>Asset class</w:t>
            </w:r>
          </w:p>
        </w:tc>
        <w:tc>
          <w:tcPr>
            <w:tcW w:w="1580" w:type="dxa"/>
            <w:vAlign w:val="bottom"/>
            <w:vMerge w:val="continue"/>
          </w:tcPr>
          <w:p>
            <w:pPr>
              <w:spacing w:after="0"/>
              <w:rPr>
                <w:sz w:val="7"/>
                <w:szCs w:val="7"/>
                <w:color w:val="auto"/>
              </w:rPr>
            </w:pPr>
          </w:p>
        </w:tc>
        <w:tc>
          <w:tcPr>
            <w:tcW w:w="1180" w:type="dxa"/>
            <w:vAlign w:val="bottom"/>
          </w:tcPr>
          <w:p>
            <w:pPr>
              <w:jc w:val="right"/>
              <w:ind w:right="338"/>
              <w:spacing w:after="0" w:line="81" w:lineRule="exact"/>
              <w:rPr>
                <w:sz w:val="20"/>
                <w:szCs w:val="20"/>
                <w:color w:val="auto"/>
              </w:rPr>
            </w:pPr>
            <w:r>
              <w:rPr>
                <w:rFonts w:ascii="Arial" w:cs="Arial" w:eastAsia="Arial" w:hAnsi="Arial"/>
                <w:sz w:val="8"/>
                <w:szCs w:val="8"/>
                <w:color w:val="auto"/>
              </w:rPr>
              <w:t>distillation</w:t>
            </w:r>
          </w:p>
        </w:tc>
        <w:tc>
          <w:tcPr>
            <w:tcW w:w="1260" w:type="dxa"/>
            <w:vAlign w:val="bottom"/>
          </w:tcPr>
          <w:p>
            <w:pPr>
              <w:jc w:val="right"/>
              <w:ind w:right="398"/>
              <w:spacing w:after="0" w:line="81" w:lineRule="exact"/>
              <w:rPr>
                <w:sz w:val="20"/>
                <w:szCs w:val="20"/>
                <w:color w:val="auto"/>
              </w:rPr>
            </w:pPr>
            <w:r>
              <w:rPr>
                <w:rFonts w:ascii="Arial" w:cs="Arial" w:eastAsia="Arial" w:hAnsi="Arial"/>
                <w:sz w:val="8"/>
                <w:szCs w:val="8"/>
                <w:color w:val="auto"/>
              </w:rPr>
              <w:t>visbreaking/</w:t>
            </w:r>
          </w:p>
        </w:tc>
        <w:tc>
          <w:tcPr>
            <w:tcW w:w="12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8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5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[A]</w:t>
            </w:r>
          </w:p>
        </w:tc>
        <w:tc>
          <w:tcPr>
            <w:tcW w:w="1180" w:type="dxa"/>
            <w:vAlign w:val="bottom"/>
            <w:tcBorders>
              <w:bottom w:val="single" w:sz="8" w:color="auto"/>
            </w:tcBorders>
          </w:tcPr>
          <w:p>
            <w:pPr>
              <w:jc w:val="right"/>
              <w:ind w:right="338"/>
              <w:spacing w:after="0"/>
              <w:rPr>
                <w:sz w:val="20"/>
                <w:szCs w:val="20"/>
                <w:color w:val="auto"/>
              </w:rPr>
            </w:pPr>
            <w:r>
              <w:rPr>
                <w:rFonts w:ascii="Arial" w:cs="Arial" w:eastAsia="Arial" w:hAnsi="Arial"/>
                <w:sz w:val="8"/>
                <w:szCs w:val="8"/>
                <w:color w:val="auto"/>
              </w:rPr>
              <w:t>capacity</w:t>
            </w:r>
          </w:p>
        </w:tc>
        <w:tc>
          <w:tcPr>
            <w:tcW w:w="1260" w:type="dxa"/>
            <w:vAlign w:val="bottom"/>
            <w:tcBorders>
              <w:bottom w:val="single" w:sz="8" w:color="auto"/>
            </w:tcBorders>
          </w:tcPr>
          <w:p>
            <w:pPr>
              <w:jc w:val="right"/>
              <w:ind w:right="398"/>
              <w:spacing w:after="0"/>
              <w:rPr>
                <w:sz w:val="20"/>
                <w:szCs w:val="20"/>
                <w:color w:val="auto"/>
              </w:rPr>
            </w:pPr>
            <w:r>
              <w:rPr>
                <w:rFonts w:ascii="Arial" w:cs="Arial" w:eastAsia="Arial" w:hAnsi="Arial"/>
                <w:sz w:val="8"/>
                <w:szCs w:val="8"/>
                <w:color w:val="auto"/>
              </w:rPr>
              <w:t>coking</w:t>
            </w:r>
          </w:p>
        </w:tc>
        <w:tc>
          <w:tcPr>
            <w:tcW w:w="122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cracking</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cracking</w:t>
            </w:r>
          </w:p>
        </w:tc>
        <w:tc>
          <w:tcPr>
            <w:tcW w:w="0" w:type="dxa"/>
            <w:vAlign w:val="bottom"/>
          </w:tcPr>
          <w:p>
            <w:pPr>
              <w:spacing w:after="0"/>
              <w:rPr>
                <w:sz w:val="1"/>
                <w:szCs w:val="1"/>
                <w:color w:val="auto"/>
              </w:rPr>
            </w:pPr>
          </w:p>
        </w:tc>
      </w:tr>
      <w:tr>
        <w:trPr>
          <w:trHeight w:val="100"/>
        </w:trPr>
        <w:tc>
          <w:tcPr>
            <w:tcW w:w="1680" w:type="dxa"/>
            <w:vAlign w:val="bottom"/>
          </w:tcPr>
          <w:p>
            <w:pPr>
              <w:spacing w:after="0"/>
              <w:rPr>
                <w:sz w:val="20"/>
                <w:szCs w:val="20"/>
                <w:color w:val="auto"/>
              </w:rPr>
            </w:pPr>
            <w:r>
              <w:rPr>
                <w:rFonts w:ascii="Arial" w:cs="Arial" w:eastAsia="Arial" w:hAnsi="Arial"/>
                <w:sz w:val="8"/>
                <w:szCs w:val="8"/>
                <w:color w:val="auto"/>
              </w:rPr>
              <w:t>Europe</w:t>
            </w:r>
          </w:p>
        </w:tc>
        <w:tc>
          <w:tcPr>
            <w:tcW w:w="20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80" w:type="dxa"/>
            <w:vAlign w:val="bottom"/>
          </w:tcPr>
          <w:p>
            <w:pPr>
              <w:ind w:left="80"/>
              <w:spacing w:after="0"/>
              <w:rPr>
                <w:sz w:val="20"/>
                <w:szCs w:val="20"/>
                <w:color w:val="auto"/>
              </w:rPr>
            </w:pPr>
            <w:r>
              <w:rPr>
                <w:rFonts w:ascii="Arial" w:cs="Arial" w:eastAsia="Arial" w:hAnsi="Arial"/>
                <w:sz w:val="8"/>
                <w:szCs w:val="8"/>
                <w:color w:val="auto"/>
              </w:rPr>
              <w:t>Denmark</w:t>
            </w:r>
          </w:p>
        </w:tc>
        <w:tc>
          <w:tcPr>
            <w:tcW w:w="2060" w:type="dxa"/>
            <w:vAlign w:val="bottom"/>
          </w:tcPr>
          <w:p>
            <w:pPr>
              <w:ind w:left="1160"/>
              <w:spacing w:after="0"/>
              <w:rPr>
                <w:sz w:val="20"/>
                <w:szCs w:val="20"/>
                <w:color w:val="auto"/>
              </w:rPr>
            </w:pPr>
            <w:r>
              <w:rPr>
                <w:rFonts w:ascii="Arial" w:cs="Arial" w:eastAsia="Arial" w:hAnsi="Arial"/>
                <w:sz w:val="8"/>
                <w:szCs w:val="8"/>
                <w:color w:val="auto"/>
              </w:rPr>
              <w:t>Fredericia</w:t>
            </w:r>
          </w:p>
        </w:tc>
        <w:tc>
          <w:tcPr>
            <w:tcW w:w="1520" w:type="dxa"/>
            <w:vAlign w:val="bottom"/>
          </w:tcPr>
          <w:p>
            <w:pPr>
              <w:jc w:val="center"/>
              <w:ind w:left="218"/>
              <w:spacing w:after="0"/>
              <w:rPr>
                <w:sz w:val="20"/>
                <w:szCs w:val="20"/>
                <w:color w:val="auto"/>
              </w:rPr>
            </w:pPr>
            <w:r>
              <w:rPr>
                <w:rFonts w:ascii="Arial" w:cs="Arial" w:eastAsia="Arial" w:hAnsi="Arial"/>
                <w:sz w:val="7"/>
                <w:szCs w:val="7"/>
                <w:color w:val="auto"/>
                <w:w w:val="79"/>
              </w:rPr>
              <w:t>•</w:t>
            </w:r>
          </w:p>
        </w:tc>
        <w:tc>
          <w:tcPr>
            <w:tcW w:w="1580" w:type="dxa"/>
            <w:vAlign w:val="bottom"/>
          </w:tcPr>
          <w:p>
            <w:pPr>
              <w:jc w:val="right"/>
              <w:ind w:right="398"/>
              <w:spacing w:after="0"/>
              <w:rPr>
                <w:sz w:val="20"/>
                <w:szCs w:val="20"/>
                <w:color w:val="auto"/>
              </w:rPr>
            </w:pPr>
            <w:r>
              <w:rPr>
                <w:rFonts w:ascii="Arial" w:cs="Arial" w:eastAsia="Arial" w:hAnsi="Arial"/>
                <w:sz w:val="8"/>
                <w:szCs w:val="8"/>
                <w:color w:val="auto"/>
              </w:rPr>
              <w:t>100</w:t>
            </w:r>
          </w:p>
        </w:tc>
        <w:tc>
          <w:tcPr>
            <w:tcW w:w="1180" w:type="dxa"/>
            <w:vAlign w:val="bottom"/>
          </w:tcPr>
          <w:p>
            <w:pPr>
              <w:jc w:val="right"/>
              <w:ind w:right="378"/>
              <w:spacing w:after="0"/>
              <w:rPr>
                <w:sz w:val="20"/>
                <w:szCs w:val="20"/>
                <w:color w:val="auto"/>
              </w:rPr>
            </w:pPr>
            <w:r>
              <w:rPr>
                <w:rFonts w:ascii="Arial" w:cs="Arial" w:eastAsia="Arial" w:hAnsi="Arial"/>
                <w:sz w:val="8"/>
                <w:szCs w:val="8"/>
                <w:color w:val="auto"/>
              </w:rPr>
              <w:t>74</w:t>
            </w:r>
          </w:p>
        </w:tc>
        <w:tc>
          <w:tcPr>
            <w:tcW w:w="1260" w:type="dxa"/>
            <w:vAlign w:val="bottom"/>
          </w:tcPr>
          <w:p>
            <w:pPr>
              <w:jc w:val="right"/>
              <w:ind w:right="438"/>
              <w:spacing w:after="0"/>
              <w:rPr>
                <w:sz w:val="20"/>
                <w:szCs w:val="20"/>
                <w:color w:val="auto"/>
              </w:rPr>
            </w:pPr>
            <w:r>
              <w:rPr>
                <w:rFonts w:ascii="Arial" w:cs="Arial" w:eastAsia="Arial" w:hAnsi="Arial"/>
                <w:sz w:val="8"/>
                <w:szCs w:val="8"/>
                <w:color w:val="auto"/>
              </w:rPr>
              <w:t>44</w:t>
            </w:r>
          </w:p>
        </w:tc>
        <w:tc>
          <w:tcPr>
            <w:tcW w:w="1220" w:type="dxa"/>
            <w:vAlign w:val="bottom"/>
          </w:tcPr>
          <w:p>
            <w:pPr>
              <w:jc w:val="right"/>
              <w:ind w:right="438"/>
              <w:spacing w:after="0"/>
              <w:rPr>
                <w:sz w:val="20"/>
                <w:szCs w:val="20"/>
                <w:color w:val="auto"/>
              </w:rPr>
            </w:pPr>
            <w:r>
              <w:rPr>
                <w:rFonts w:ascii="Arial" w:cs="Arial" w:eastAsia="Arial" w:hAnsi="Arial"/>
                <w:sz w:val="8"/>
                <w:szCs w:val="8"/>
                <w:color w:val="auto"/>
              </w:rPr>
              <w:t>—</w:t>
            </w:r>
          </w:p>
        </w:tc>
        <w:tc>
          <w:tcPr>
            <w:tcW w:w="76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1680" w:type="dxa"/>
            <w:vAlign w:val="bottom"/>
          </w:tcPr>
          <w:p>
            <w:pPr>
              <w:ind w:left="80"/>
              <w:spacing w:after="0"/>
              <w:rPr>
                <w:sz w:val="20"/>
                <w:szCs w:val="20"/>
                <w:color w:val="auto"/>
              </w:rPr>
            </w:pPr>
            <w:r>
              <w:rPr>
                <w:rFonts w:ascii="Arial" w:cs="Arial" w:eastAsia="Arial" w:hAnsi="Arial"/>
                <w:sz w:val="8"/>
                <w:szCs w:val="8"/>
                <w:color w:val="auto"/>
              </w:rPr>
              <w:t>Germany</w:t>
            </w:r>
          </w:p>
        </w:tc>
        <w:tc>
          <w:tcPr>
            <w:tcW w:w="2060" w:type="dxa"/>
            <w:vAlign w:val="bottom"/>
          </w:tcPr>
          <w:p>
            <w:pPr>
              <w:ind w:left="1160"/>
              <w:spacing w:after="0"/>
              <w:rPr>
                <w:sz w:val="20"/>
                <w:szCs w:val="20"/>
                <w:color w:val="auto"/>
              </w:rPr>
            </w:pPr>
            <w:r>
              <w:rPr>
                <w:rFonts w:ascii="Arial" w:cs="Arial" w:eastAsia="Arial" w:hAnsi="Arial"/>
                <w:sz w:val="8"/>
                <w:szCs w:val="8"/>
                <w:color w:val="auto"/>
              </w:rPr>
              <w:t>Miro [C]</w:t>
            </w:r>
          </w:p>
        </w:tc>
        <w:tc>
          <w:tcPr>
            <w:tcW w:w="1520" w:type="dxa"/>
            <w:vAlign w:val="bottom"/>
          </w:tcPr>
          <w:p>
            <w:pPr>
              <w:spacing w:after="0"/>
              <w:rPr>
                <w:sz w:val="10"/>
                <w:szCs w:val="10"/>
                <w:color w:val="auto"/>
              </w:rPr>
            </w:pPr>
          </w:p>
        </w:tc>
        <w:tc>
          <w:tcPr>
            <w:tcW w:w="1580" w:type="dxa"/>
            <w:vAlign w:val="bottom"/>
          </w:tcPr>
          <w:p>
            <w:pPr>
              <w:jc w:val="right"/>
              <w:ind w:right="398"/>
              <w:spacing w:after="0"/>
              <w:rPr>
                <w:sz w:val="20"/>
                <w:szCs w:val="20"/>
                <w:color w:val="auto"/>
              </w:rPr>
            </w:pPr>
            <w:r>
              <w:rPr>
                <w:rFonts w:ascii="Arial" w:cs="Arial" w:eastAsia="Arial" w:hAnsi="Arial"/>
                <w:sz w:val="8"/>
                <w:szCs w:val="8"/>
                <w:color w:val="auto"/>
              </w:rPr>
              <w:t>32</w:t>
            </w:r>
          </w:p>
        </w:tc>
        <w:tc>
          <w:tcPr>
            <w:tcW w:w="1180" w:type="dxa"/>
            <w:vAlign w:val="bottom"/>
          </w:tcPr>
          <w:p>
            <w:pPr>
              <w:jc w:val="right"/>
              <w:ind w:right="378"/>
              <w:spacing w:after="0"/>
              <w:rPr>
                <w:sz w:val="20"/>
                <w:szCs w:val="20"/>
                <w:color w:val="auto"/>
              </w:rPr>
            </w:pPr>
            <w:r>
              <w:rPr>
                <w:rFonts w:ascii="Arial" w:cs="Arial" w:eastAsia="Arial" w:hAnsi="Arial"/>
                <w:sz w:val="8"/>
                <w:szCs w:val="8"/>
                <w:color w:val="auto"/>
              </w:rPr>
              <w:t>313</w:t>
            </w:r>
          </w:p>
        </w:tc>
        <w:tc>
          <w:tcPr>
            <w:tcW w:w="1260" w:type="dxa"/>
            <w:vAlign w:val="bottom"/>
          </w:tcPr>
          <w:p>
            <w:pPr>
              <w:jc w:val="right"/>
              <w:ind w:right="438"/>
              <w:spacing w:after="0"/>
              <w:rPr>
                <w:sz w:val="20"/>
                <w:szCs w:val="20"/>
                <w:color w:val="auto"/>
              </w:rPr>
            </w:pPr>
            <w:r>
              <w:rPr>
                <w:rFonts w:ascii="Arial" w:cs="Arial" w:eastAsia="Arial" w:hAnsi="Arial"/>
                <w:sz w:val="8"/>
                <w:szCs w:val="8"/>
                <w:color w:val="auto"/>
              </w:rPr>
              <w:t>40</w:t>
            </w:r>
          </w:p>
        </w:tc>
        <w:tc>
          <w:tcPr>
            <w:tcW w:w="1220" w:type="dxa"/>
            <w:vAlign w:val="bottom"/>
          </w:tcPr>
          <w:p>
            <w:pPr>
              <w:jc w:val="right"/>
              <w:ind w:right="438"/>
              <w:spacing w:after="0"/>
              <w:rPr>
                <w:sz w:val="20"/>
                <w:szCs w:val="20"/>
                <w:color w:val="auto"/>
              </w:rPr>
            </w:pPr>
            <w:r>
              <w:rPr>
                <w:rFonts w:ascii="Arial" w:cs="Arial" w:eastAsia="Arial" w:hAnsi="Arial"/>
                <w:sz w:val="8"/>
                <w:szCs w:val="8"/>
                <w:color w:val="auto"/>
              </w:rPr>
              <w:t>96</w:t>
            </w:r>
          </w:p>
        </w:tc>
        <w:tc>
          <w:tcPr>
            <w:tcW w:w="76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1680" w:type="dxa"/>
            <w:vAlign w:val="bottom"/>
          </w:tcPr>
          <w:p>
            <w:pPr>
              <w:spacing w:after="0"/>
              <w:rPr>
                <w:sz w:val="10"/>
                <w:szCs w:val="10"/>
                <w:color w:val="auto"/>
              </w:rPr>
            </w:pPr>
          </w:p>
        </w:tc>
        <w:tc>
          <w:tcPr>
            <w:tcW w:w="2060" w:type="dxa"/>
            <w:vAlign w:val="bottom"/>
          </w:tcPr>
          <w:p>
            <w:pPr>
              <w:ind w:left="1160"/>
              <w:spacing w:after="0"/>
              <w:rPr>
                <w:sz w:val="20"/>
                <w:szCs w:val="20"/>
                <w:color w:val="auto"/>
              </w:rPr>
            </w:pPr>
            <w:r>
              <w:rPr>
                <w:rFonts w:ascii="Arial" w:cs="Arial" w:eastAsia="Arial" w:hAnsi="Arial"/>
                <w:sz w:val="8"/>
                <w:szCs w:val="8"/>
                <w:color w:val="auto"/>
              </w:rPr>
              <w:t>Rheinland</w:t>
            </w:r>
          </w:p>
        </w:tc>
        <w:tc>
          <w:tcPr>
            <w:tcW w:w="1520" w:type="dxa"/>
            <w:vAlign w:val="bottom"/>
          </w:tcPr>
          <w:p>
            <w:pPr>
              <w:jc w:val="center"/>
              <w:ind w:left="198"/>
              <w:spacing w:after="0"/>
              <w:rPr>
                <w:sz w:val="20"/>
                <w:szCs w:val="20"/>
                <w:color w:val="auto"/>
              </w:rPr>
            </w:pPr>
            <w:r>
              <w:rPr>
                <w:rFonts w:ascii="Arial" w:cs="Arial" w:eastAsia="Arial" w:hAnsi="Arial"/>
                <w:sz w:val="8"/>
                <w:szCs w:val="8"/>
                <w:color w:val="auto"/>
              </w:rPr>
              <w:t>■•</w:t>
            </w:r>
          </w:p>
        </w:tc>
        <w:tc>
          <w:tcPr>
            <w:tcW w:w="1580" w:type="dxa"/>
            <w:vAlign w:val="bottom"/>
          </w:tcPr>
          <w:p>
            <w:pPr>
              <w:jc w:val="right"/>
              <w:ind w:right="398"/>
              <w:spacing w:after="0"/>
              <w:rPr>
                <w:sz w:val="20"/>
                <w:szCs w:val="20"/>
                <w:color w:val="auto"/>
              </w:rPr>
            </w:pPr>
            <w:r>
              <w:rPr>
                <w:rFonts w:ascii="Arial" w:cs="Arial" w:eastAsia="Arial" w:hAnsi="Arial"/>
                <w:sz w:val="8"/>
                <w:szCs w:val="8"/>
                <w:color w:val="auto"/>
              </w:rPr>
              <w:t>100</w:t>
            </w:r>
          </w:p>
        </w:tc>
        <w:tc>
          <w:tcPr>
            <w:tcW w:w="1180" w:type="dxa"/>
            <w:vAlign w:val="bottom"/>
          </w:tcPr>
          <w:p>
            <w:pPr>
              <w:jc w:val="right"/>
              <w:ind w:right="378"/>
              <w:spacing w:after="0"/>
              <w:rPr>
                <w:sz w:val="20"/>
                <w:szCs w:val="20"/>
                <w:color w:val="auto"/>
              </w:rPr>
            </w:pPr>
            <w:r>
              <w:rPr>
                <w:rFonts w:ascii="Arial" w:cs="Arial" w:eastAsia="Arial" w:hAnsi="Arial"/>
                <w:sz w:val="8"/>
                <w:szCs w:val="8"/>
                <w:color w:val="auto"/>
              </w:rPr>
              <w:t>354</w:t>
            </w:r>
          </w:p>
        </w:tc>
        <w:tc>
          <w:tcPr>
            <w:tcW w:w="1260" w:type="dxa"/>
            <w:vAlign w:val="bottom"/>
          </w:tcPr>
          <w:p>
            <w:pPr>
              <w:jc w:val="right"/>
              <w:ind w:right="438"/>
              <w:spacing w:after="0"/>
              <w:rPr>
                <w:sz w:val="20"/>
                <w:szCs w:val="20"/>
                <w:color w:val="auto"/>
              </w:rPr>
            </w:pPr>
            <w:r>
              <w:rPr>
                <w:rFonts w:ascii="Arial" w:cs="Arial" w:eastAsia="Arial" w:hAnsi="Arial"/>
                <w:sz w:val="8"/>
                <w:szCs w:val="8"/>
                <w:color w:val="auto"/>
              </w:rPr>
              <w:t>49</w:t>
            </w:r>
          </w:p>
        </w:tc>
        <w:tc>
          <w:tcPr>
            <w:tcW w:w="1220" w:type="dxa"/>
            <w:vAlign w:val="bottom"/>
          </w:tcPr>
          <w:p>
            <w:pPr>
              <w:jc w:val="right"/>
              <w:ind w:right="438"/>
              <w:spacing w:after="0"/>
              <w:rPr>
                <w:sz w:val="20"/>
                <w:szCs w:val="20"/>
                <w:color w:val="auto"/>
              </w:rPr>
            </w:pPr>
            <w:r>
              <w:rPr>
                <w:rFonts w:ascii="Arial" w:cs="Arial" w:eastAsia="Arial" w:hAnsi="Arial"/>
                <w:sz w:val="8"/>
                <w:szCs w:val="8"/>
                <w:color w:val="auto"/>
              </w:rPr>
              <w:t>—</w:t>
            </w:r>
          </w:p>
        </w:tc>
        <w:tc>
          <w:tcPr>
            <w:tcW w:w="760" w:type="dxa"/>
            <w:vAlign w:val="bottom"/>
          </w:tcPr>
          <w:p>
            <w:pPr>
              <w:jc w:val="right"/>
              <w:spacing w:after="0"/>
              <w:rPr>
                <w:sz w:val="20"/>
                <w:szCs w:val="20"/>
                <w:color w:val="auto"/>
              </w:rPr>
            </w:pPr>
            <w:r>
              <w:rPr>
                <w:rFonts w:ascii="Arial" w:cs="Arial" w:eastAsia="Arial" w:hAnsi="Arial"/>
                <w:sz w:val="8"/>
                <w:szCs w:val="8"/>
                <w:color w:val="auto"/>
              </w:rPr>
              <w:t>90</w:t>
            </w:r>
          </w:p>
        </w:tc>
        <w:tc>
          <w:tcPr>
            <w:tcW w:w="0" w:type="dxa"/>
            <w:vAlign w:val="bottom"/>
          </w:tcPr>
          <w:p>
            <w:pPr>
              <w:spacing w:after="0"/>
              <w:rPr>
                <w:sz w:val="1"/>
                <w:szCs w:val="1"/>
                <w:color w:val="auto"/>
              </w:rPr>
            </w:pPr>
          </w:p>
        </w:tc>
      </w:tr>
      <w:tr>
        <w:trPr>
          <w:trHeight w:val="117"/>
        </w:trPr>
        <w:tc>
          <w:tcPr>
            <w:tcW w:w="1680" w:type="dxa"/>
            <w:vAlign w:val="bottom"/>
          </w:tcPr>
          <w:p>
            <w:pPr>
              <w:spacing w:after="0"/>
              <w:rPr>
                <w:sz w:val="10"/>
                <w:szCs w:val="10"/>
                <w:color w:val="auto"/>
              </w:rPr>
            </w:pPr>
          </w:p>
        </w:tc>
        <w:tc>
          <w:tcPr>
            <w:tcW w:w="2060" w:type="dxa"/>
            <w:vAlign w:val="bottom"/>
          </w:tcPr>
          <w:p>
            <w:pPr>
              <w:ind w:left="1160"/>
              <w:spacing w:after="0"/>
              <w:rPr>
                <w:sz w:val="20"/>
                <w:szCs w:val="20"/>
                <w:color w:val="auto"/>
              </w:rPr>
            </w:pPr>
            <w:r>
              <w:rPr>
                <w:rFonts w:ascii="Arial" w:cs="Arial" w:eastAsia="Arial" w:hAnsi="Arial"/>
                <w:sz w:val="8"/>
                <w:szCs w:val="8"/>
                <w:color w:val="auto"/>
              </w:rPr>
              <w:t>Schwedt [C]</w:t>
            </w:r>
          </w:p>
        </w:tc>
        <w:tc>
          <w:tcPr>
            <w:tcW w:w="1520" w:type="dxa"/>
            <w:vAlign w:val="bottom"/>
          </w:tcPr>
          <w:p>
            <w:pPr>
              <w:spacing w:after="0"/>
              <w:rPr>
                <w:sz w:val="10"/>
                <w:szCs w:val="10"/>
                <w:color w:val="auto"/>
              </w:rPr>
            </w:pPr>
          </w:p>
        </w:tc>
        <w:tc>
          <w:tcPr>
            <w:tcW w:w="1580" w:type="dxa"/>
            <w:vAlign w:val="bottom"/>
          </w:tcPr>
          <w:p>
            <w:pPr>
              <w:jc w:val="right"/>
              <w:ind w:right="398"/>
              <w:spacing w:after="0"/>
              <w:rPr>
                <w:sz w:val="20"/>
                <w:szCs w:val="20"/>
                <w:color w:val="auto"/>
              </w:rPr>
            </w:pPr>
            <w:r>
              <w:rPr>
                <w:rFonts w:ascii="Arial" w:cs="Arial" w:eastAsia="Arial" w:hAnsi="Arial"/>
                <w:sz w:val="8"/>
                <w:szCs w:val="8"/>
                <w:color w:val="auto"/>
              </w:rPr>
              <w:t>38</w:t>
            </w:r>
          </w:p>
        </w:tc>
        <w:tc>
          <w:tcPr>
            <w:tcW w:w="1180" w:type="dxa"/>
            <w:vAlign w:val="bottom"/>
          </w:tcPr>
          <w:p>
            <w:pPr>
              <w:jc w:val="right"/>
              <w:ind w:right="378"/>
              <w:spacing w:after="0"/>
              <w:rPr>
                <w:sz w:val="20"/>
                <w:szCs w:val="20"/>
                <w:color w:val="auto"/>
              </w:rPr>
            </w:pPr>
            <w:r>
              <w:rPr>
                <w:rFonts w:ascii="Arial" w:cs="Arial" w:eastAsia="Arial" w:hAnsi="Arial"/>
                <w:sz w:val="8"/>
                <w:szCs w:val="8"/>
                <w:color w:val="auto"/>
              </w:rPr>
              <w:t>233</w:t>
            </w:r>
          </w:p>
        </w:tc>
        <w:tc>
          <w:tcPr>
            <w:tcW w:w="1260" w:type="dxa"/>
            <w:vAlign w:val="bottom"/>
          </w:tcPr>
          <w:p>
            <w:pPr>
              <w:jc w:val="right"/>
              <w:ind w:right="438"/>
              <w:spacing w:after="0"/>
              <w:rPr>
                <w:sz w:val="20"/>
                <w:szCs w:val="20"/>
                <w:color w:val="auto"/>
              </w:rPr>
            </w:pPr>
            <w:r>
              <w:rPr>
                <w:rFonts w:ascii="Arial" w:cs="Arial" w:eastAsia="Arial" w:hAnsi="Arial"/>
                <w:sz w:val="8"/>
                <w:szCs w:val="8"/>
                <w:color w:val="auto"/>
              </w:rPr>
              <w:t>45</w:t>
            </w:r>
          </w:p>
        </w:tc>
        <w:tc>
          <w:tcPr>
            <w:tcW w:w="1220" w:type="dxa"/>
            <w:vAlign w:val="bottom"/>
          </w:tcPr>
          <w:p>
            <w:pPr>
              <w:jc w:val="right"/>
              <w:ind w:right="438"/>
              <w:spacing w:after="0"/>
              <w:rPr>
                <w:sz w:val="20"/>
                <w:szCs w:val="20"/>
                <w:color w:val="auto"/>
              </w:rPr>
            </w:pPr>
            <w:r>
              <w:rPr>
                <w:rFonts w:ascii="Arial" w:cs="Arial" w:eastAsia="Arial" w:hAnsi="Arial"/>
                <w:sz w:val="8"/>
                <w:szCs w:val="8"/>
                <w:color w:val="auto"/>
              </w:rPr>
              <w:t>59</w:t>
            </w:r>
          </w:p>
        </w:tc>
        <w:tc>
          <w:tcPr>
            <w:tcW w:w="76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3"/>
        </w:trPr>
        <w:tc>
          <w:tcPr>
            <w:tcW w:w="1680" w:type="dxa"/>
            <w:vAlign w:val="bottom"/>
            <w:tcBorders>
              <w:bottom w:val="single" w:sz="8" w:color="auto"/>
            </w:tcBorders>
          </w:tcPr>
          <w:p>
            <w:pPr>
              <w:ind w:left="80"/>
              <w:spacing w:after="0"/>
              <w:rPr>
                <w:sz w:val="20"/>
                <w:szCs w:val="20"/>
                <w:color w:val="auto"/>
              </w:rPr>
            </w:pPr>
            <w:r>
              <w:rPr>
                <w:rFonts w:ascii="Arial" w:cs="Arial" w:eastAsia="Arial" w:hAnsi="Arial"/>
                <w:sz w:val="8"/>
                <w:szCs w:val="8"/>
                <w:color w:val="auto"/>
              </w:rPr>
              <w:t>Netherlands</w:t>
            </w:r>
          </w:p>
        </w:tc>
        <w:tc>
          <w:tcPr>
            <w:tcW w:w="2060" w:type="dxa"/>
            <w:vAlign w:val="bottom"/>
            <w:tcBorders>
              <w:bottom w:val="single" w:sz="8" w:color="auto"/>
            </w:tcBorders>
          </w:tcPr>
          <w:p>
            <w:pPr>
              <w:ind w:left="1160"/>
              <w:spacing w:after="0"/>
              <w:rPr>
                <w:sz w:val="20"/>
                <w:szCs w:val="20"/>
                <w:color w:val="auto"/>
              </w:rPr>
            </w:pPr>
            <w:r>
              <w:rPr>
                <w:rFonts w:ascii="Arial" w:cs="Arial" w:eastAsia="Arial" w:hAnsi="Arial"/>
                <w:sz w:val="8"/>
                <w:szCs w:val="8"/>
                <w:color w:val="auto"/>
              </w:rPr>
              <w:t>Pernis</w:t>
            </w:r>
          </w:p>
        </w:tc>
        <w:tc>
          <w:tcPr>
            <w:tcW w:w="1520" w:type="dxa"/>
            <w:vAlign w:val="bottom"/>
            <w:tcBorders>
              <w:bottom w:val="single" w:sz="8" w:color="auto"/>
            </w:tcBorders>
          </w:tcPr>
          <w:p>
            <w:pPr>
              <w:jc w:val="center"/>
              <w:ind w:left="198"/>
              <w:spacing w:after="0"/>
              <w:rPr>
                <w:sz w:val="20"/>
                <w:szCs w:val="20"/>
                <w:color w:val="auto"/>
              </w:rPr>
            </w:pPr>
            <w:r>
              <w:rPr>
                <w:rFonts w:ascii="Arial" w:cs="Arial" w:eastAsia="Arial" w:hAnsi="Arial"/>
                <w:sz w:val="8"/>
                <w:szCs w:val="8"/>
                <w:color w:val="auto"/>
              </w:rPr>
              <w:t>■•</w:t>
            </w:r>
          </w:p>
        </w:tc>
        <w:tc>
          <w:tcPr>
            <w:tcW w:w="1580" w:type="dxa"/>
            <w:vAlign w:val="bottom"/>
            <w:tcBorders>
              <w:bottom w:val="single" w:sz="8" w:color="auto"/>
            </w:tcBorders>
          </w:tcPr>
          <w:p>
            <w:pPr>
              <w:jc w:val="right"/>
              <w:ind w:right="398"/>
              <w:spacing w:after="0"/>
              <w:rPr>
                <w:sz w:val="20"/>
                <w:szCs w:val="20"/>
                <w:color w:val="auto"/>
              </w:rPr>
            </w:pPr>
            <w:r>
              <w:rPr>
                <w:rFonts w:ascii="Arial" w:cs="Arial" w:eastAsia="Arial" w:hAnsi="Arial"/>
                <w:sz w:val="8"/>
                <w:szCs w:val="8"/>
                <w:color w:val="auto"/>
              </w:rPr>
              <w:t>100</w:t>
            </w:r>
          </w:p>
        </w:tc>
        <w:tc>
          <w:tcPr>
            <w:tcW w:w="11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443</w:t>
            </w: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8"/>
                <w:szCs w:val="8"/>
                <w:color w:val="auto"/>
              </w:rPr>
              <w:t>—</w:t>
            </w: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8"/>
                <w:szCs w:val="8"/>
                <w:color w:val="auto"/>
              </w:rPr>
              <w:t>53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103</w:t>
            </w:r>
          </w:p>
        </w:tc>
        <w:tc>
          <w:tcPr>
            <w:tcW w:w="0" w:type="dxa"/>
            <w:vAlign w:val="bottom"/>
          </w:tcPr>
          <w:p>
            <w:pPr>
              <w:spacing w:after="0"/>
              <w:rPr>
                <w:sz w:val="1"/>
                <w:szCs w:val="1"/>
                <w:color w:val="auto"/>
              </w:rPr>
            </w:pPr>
          </w:p>
        </w:tc>
      </w:tr>
      <w:tr>
        <w:trPr>
          <w:trHeight w:val="100"/>
        </w:trPr>
        <w:tc>
          <w:tcPr>
            <w:tcW w:w="1680" w:type="dxa"/>
            <w:vAlign w:val="bottom"/>
          </w:tcPr>
          <w:p>
            <w:pPr>
              <w:spacing w:after="0"/>
              <w:rPr>
                <w:sz w:val="20"/>
                <w:szCs w:val="20"/>
                <w:color w:val="auto"/>
              </w:rPr>
            </w:pPr>
            <w:r>
              <w:rPr>
                <w:rFonts w:ascii="Arial" w:cs="Arial" w:eastAsia="Arial" w:hAnsi="Arial"/>
                <w:sz w:val="8"/>
                <w:szCs w:val="8"/>
                <w:color w:val="auto"/>
              </w:rPr>
              <w:t>Asia</w:t>
            </w:r>
          </w:p>
        </w:tc>
        <w:tc>
          <w:tcPr>
            <w:tcW w:w="20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680" w:type="dxa"/>
            <w:vAlign w:val="bottom"/>
            <w:tcBorders>
              <w:bottom w:val="single" w:sz="8" w:color="auto"/>
            </w:tcBorders>
          </w:tcPr>
          <w:p>
            <w:pPr>
              <w:ind w:left="80"/>
              <w:spacing w:after="0"/>
              <w:rPr>
                <w:sz w:val="20"/>
                <w:szCs w:val="20"/>
                <w:color w:val="auto"/>
              </w:rPr>
            </w:pPr>
            <w:r>
              <w:rPr>
                <w:rFonts w:ascii="Arial" w:cs="Arial" w:eastAsia="Arial" w:hAnsi="Arial"/>
                <w:sz w:val="8"/>
                <w:szCs w:val="8"/>
                <w:color w:val="auto"/>
              </w:rPr>
              <w:t>Singapore</w:t>
            </w:r>
          </w:p>
        </w:tc>
        <w:tc>
          <w:tcPr>
            <w:tcW w:w="2060" w:type="dxa"/>
            <w:vAlign w:val="bottom"/>
            <w:tcBorders>
              <w:bottom w:val="single" w:sz="8" w:color="auto"/>
            </w:tcBorders>
          </w:tcPr>
          <w:p>
            <w:pPr>
              <w:ind w:left="1160"/>
              <w:spacing w:after="0"/>
              <w:rPr>
                <w:sz w:val="20"/>
                <w:szCs w:val="20"/>
                <w:color w:val="auto"/>
              </w:rPr>
            </w:pPr>
            <w:r>
              <w:rPr>
                <w:rFonts w:ascii="Arial" w:cs="Arial" w:eastAsia="Arial" w:hAnsi="Arial"/>
                <w:sz w:val="8"/>
                <w:szCs w:val="8"/>
                <w:color w:val="auto"/>
              </w:rPr>
              <w:t>Pulau Bukom [D]</w:t>
            </w:r>
          </w:p>
        </w:tc>
        <w:tc>
          <w:tcPr>
            <w:tcW w:w="1520" w:type="dxa"/>
            <w:vAlign w:val="bottom"/>
            <w:tcBorders>
              <w:bottom w:val="single" w:sz="8" w:color="auto"/>
            </w:tcBorders>
          </w:tcPr>
          <w:p>
            <w:pPr>
              <w:jc w:val="center"/>
              <w:ind w:left="198"/>
              <w:spacing w:after="0"/>
              <w:rPr>
                <w:sz w:val="20"/>
                <w:szCs w:val="20"/>
                <w:color w:val="auto"/>
              </w:rPr>
            </w:pPr>
            <w:r>
              <w:rPr>
                <w:rFonts w:ascii="Arial" w:cs="Arial" w:eastAsia="Arial" w:hAnsi="Arial"/>
                <w:sz w:val="8"/>
                <w:szCs w:val="8"/>
                <w:color w:val="auto"/>
              </w:rPr>
              <w:t>■•</w:t>
            </w:r>
          </w:p>
        </w:tc>
        <w:tc>
          <w:tcPr>
            <w:tcW w:w="1580" w:type="dxa"/>
            <w:vAlign w:val="bottom"/>
            <w:tcBorders>
              <w:bottom w:val="single" w:sz="8" w:color="auto"/>
            </w:tcBorders>
          </w:tcPr>
          <w:p>
            <w:pPr>
              <w:jc w:val="right"/>
              <w:ind w:right="398"/>
              <w:spacing w:after="0"/>
              <w:rPr>
                <w:sz w:val="20"/>
                <w:szCs w:val="20"/>
                <w:color w:val="auto"/>
              </w:rPr>
            </w:pPr>
            <w:r>
              <w:rPr>
                <w:rFonts w:ascii="Arial" w:cs="Arial" w:eastAsia="Arial" w:hAnsi="Arial"/>
                <w:sz w:val="8"/>
                <w:szCs w:val="8"/>
                <w:color w:val="auto"/>
              </w:rPr>
              <w:t>100</w:t>
            </w:r>
          </w:p>
        </w:tc>
        <w:tc>
          <w:tcPr>
            <w:tcW w:w="11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504</w:t>
            </w: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8"/>
                <w:szCs w:val="8"/>
                <w:color w:val="auto"/>
              </w:rPr>
              <w:t>81</w:t>
            </w: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8"/>
                <w:szCs w:val="8"/>
                <w:color w:val="auto"/>
              </w:rPr>
              <w:t>38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61</w:t>
            </w:r>
          </w:p>
        </w:tc>
        <w:tc>
          <w:tcPr>
            <w:tcW w:w="0" w:type="dxa"/>
            <w:vAlign w:val="bottom"/>
          </w:tcPr>
          <w:p>
            <w:pPr>
              <w:spacing w:after="0"/>
              <w:rPr>
                <w:sz w:val="1"/>
                <w:szCs w:val="1"/>
                <w:color w:val="auto"/>
              </w:rPr>
            </w:pPr>
          </w:p>
        </w:tc>
      </w:tr>
      <w:tr>
        <w:trPr>
          <w:trHeight w:val="100"/>
        </w:trPr>
        <w:tc>
          <w:tcPr>
            <w:tcW w:w="1680" w:type="dxa"/>
            <w:vAlign w:val="bottom"/>
          </w:tcPr>
          <w:p>
            <w:pPr>
              <w:spacing w:after="0"/>
              <w:rPr>
                <w:sz w:val="20"/>
                <w:szCs w:val="20"/>
                <w:color w:val="auto"/>
              </w:rPr>
            </w:pPr>
            <w:r>
              <w:rPr>
                <w:rFonts w:ascii="Arial" w:cs="Arial" w:eastAsia="Arial" w:hAnsi="Arial"/>
                <w:sz w:val="8"/>
                <w:szCs w:val="8"/>
                <w:color w:val="auto"/>
              </w:rPr>
              <w:t>Africa</w:t>
            </w:r>
          </w:p>
        </w:tc>
        <w:tc>
          <w:tcPr>
            <w:tcW w:w="2060" w:type="dxa"/>
            <w:vAlign w:val="bottom"/>
          </w:tcPr>
          <w:p>
            <w:pPr>
              <w:spacing w:after="0"/>
              <w:rPr>
                <w:sz w:val="8"/>
                <w:szCs w:val="8"/>
                <w:color w:val="auto"/>
              </w:rPr>
            </w:pPr>
          </w:p>
        </w:tc>
        <w:tc>
          <w:tcPr>
            <w:tcW w:w="1520" w:type="dxa"/>
            <w:vAlign w:val="bottom"/>
            <w:vMerge w:val="restart"/>
          </w:tcPr>
          <w:p>
            <w:pPr>
              <w:jc w:val="center"/>
              <w:ind w:left="218"/>
              <w:spacing w:after="0" w:line="81" w:lineRule="exact"/>
              <w:rPr>
                <w:sz w:val="20"/>
                <w:szCs w:val="20"/>
                <w:color w:val="auto"/>
              </w:rPr>
            </w:pPr>
            <w:r>
              <w:rPr>
                <w:rFonts w:ascii="MS PGothic" w:cs="MS PGothic" w:eastAsia="MS PGothic" w:hAnsi="MS PGothic"/>
                <w:sz w:val="8"/>
                <w:szCs w:val="8"/>
                <w:color w:val="auto"/>
                <w:w w:val="74"/>
              </w:rPr>
              <w:t>◆</w:t>
            </w:r>
          </w:p>
        </w:tc>
        <w:tc>
          <w:tcPr>
            <w:tcW w:w="1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680" w:type="dxa"/>
            <w:vAlign w:val="bottom"/>
            <w:tcBorders>
              <w:bottom w:val="single" w:sz="8" w:color="auto"/>
            </w:tcBorders>
          </w:tcPr>
          <w:p>
            <w:pPr>
              <w:ind w:left="80"/>
              <w:spacing w:after="0"/>
              <w:rPr>
                <w:sz w:val="20"/>
                <w:szCs w:val="20"/>
                <w:color w:val="auto"/>
              </w:rPr>
            </w:pPr>
            <w:r>
              <w:rPr>
                <w:rFonts w:ascii="Arial" w:cs="Arial" w:eastAsia="Arial" w:hAnsi="Arial"/>
                <w:sz w:val="8"/>
                <w:szCs w:val="8"/>
                <w:color w:val="auto"/>
              </w:rPr>
              <w:t>South Africa</w:t>
            </w:r>
          </w:p>
        </w:tc>
        <w:tc>
          <w:tcPr>
            <w:tcW w:w="2060" w:type="dxa"/>
            <w:vAlign w:val="bottom"/>
            <w:tcBorders>
              <w:bottom w:val="single" w:sz="8" w:color="auto"/>
            </w:tcBorders>
          </w:tcPr>
          <w:p>
            <w:pPr>
              <w:ind w:left="1160"/>
              <w:spacing w:after="0"/>
              <w:rPr>
                <w:sz w:val="20"/>
                <w:szCs w:val="20"/>
                <w:color w:val="auto"/>
              </w:rPr>
            </w:pPr>
            <w:r>
              <w:rPr>
                <w:rFonts w:ascii="Arial" w:cs="Arial" w:eastAsia="Arial" w:hAnsi="Arial"/>
                <w:sz w:val="8"/>
                <w:szCs w:val="8"/>
                <w:color w:val="auto"/>
              </w:rPr>
              <w:t>Durban [C]</w:t>
            </w:r>
          </w:p>
        </w:tc>
        <w:tc>
          <w:tcPr>
            <w:tcW w:w="1520" w:type="dxa"/>
            <w:vAlign w:val="bottom"/>
            <w:tcBorders>
              <w:bottom w:val="single" w:sz="8" w:color="auto"/>
            </w:tcBorders>
            <w:vMerge w:val="continue"/>
          </w:tcPr>
          <w:p>
            <w:pPr>
              <w:spacing w:after="0"/>
              <w:rPr>
                <w:sz w:val="11"/>
                <w:szCs w:val="11"/>
                <w:color w:val="auto"/>
              </w:rPr>
            </w:pPr>
          </w:p>
        </w:tc>
        <w:tc>
          <w:tcPr>
            <w:tcW w:w="1580" w:type="dxa"/>
            <w:vAlign w:val="bottom"/>
            <w:tcBorders>
              <w:bottom w:val="single" w:sz="8" w:color="auto"/>
            </w:tcBorders>
          </w:tcPr>
          <w:p>
            <w:pPr>
              <w:jc w:val="right"/>
              <w:ind w:right="398"/>
              <w:spacing w:after="0"/>
              <w:rPr>
                <w:sz w:val="20"/>
                <w:szCs w:val="20"/>
                <w:color w:val="auto"/>
              </w:rPr>
            </w:pPr>
            <w:r>
              <w:rPr>
                <w:rFonts w:ascii="Arial" w:cs="Arial" w:eastAsia="Arial" w:hAnsi="Arial"/>
                <w:sz w:val="8"/>
                <w:szCs w:val="8"/>
                <w:color w:val="auto"/>
              </w:rPr>
              <w:t>36</w:t>
            </w:r>
          </w:p>
        </w:tc>
        <w:tc>
          <w:tcPr>
            <w:tcW w:w="11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180</w:t>
            </w: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8"/>
                <w:szCs w:val="8"/>
                <w:color w:val="auto"/>
              </w:rPr>
              <w:t>25</w:t>
            </w: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8"/>
                <w:szCs w:val="8"/>
                <w:color w:val="auto"/>
              </w:rPr>
              <w:t>37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5"/>
        </w:trPr>
        <w:tc>
          <w:tcPr>
            <w:tcW w:w="1680" w:type="dxa"/>
            <w:vAlign w:val="bottom"/>
          </w:tcPr>
          <w:p>
            <w:pPr>
              <w:spacing w:after="0"/>
              <w:rPr>
                <w:sz w:val="20"/>
                <w:szCs w:val="20"/>
                <w:color w:val="auto"/>
              </w:rPr>
            </w:pPr>
            <w:r>
              <w:rPr>
                <w:rFonts w:ascii="Arial" w:cs="Arial" w:eastAsia="Arial" w:hAnsi="Arial"/>
                <w:sz w:val="8"/>
                <w:szCs w:val="8"/>
                <w:color w:val="auto"/>
              </w:rPr>
              <w:t>Americas</w:t>
            </w:r>
          </w:p>
        </w:tc>
        <w:tc>
          <w:tcPr>
            <w:tcW w:w="2060" w:type="dxa"/>
            <w:vAlign w:val="bottom"/>
          </w:tcPr>
          <w:p>
            <w:pPr>
              <w:spacing w:after="0"/>
              <w:rPr>
                <w:sz w:val="8"/>
                <w:szCs w:val="8"/>
                <w:color w:val="auto"/>
              </w:rPr>
            </w:pPr>
          </w:p>
        </w:tc>
        <w:tc>
          <w:tcPr>
            <w:tcW w:w="1520" w:type="dxa"/>
            <w:vAlign w:val="bottom"/>
            <w:vMerge w:val="restart"/>
          </w:tcPr>
          <w:p>
            <w:pPr>
              <w:jc w:val="center"/>
              <w:ind w:left="218"/>
              <w:spacing w:after="0" w:line="92" w:lineRule="exact"/>
              <w:rPr>
                <w:sz w:val="20"/>
                <w:szCs w:val="20"/>
                <w:color w:val="auto"/>
              </w:rPr>
            </w:pPr>
            <w:r>
              <w:rPr>
                <w:rFonts w:ascii="Arial" w:cs="Arial" w:eastAsia="Arial" w:hAnsi="Arial"/>
                <w:sz w:val="8"/>
                <w:szCs w:val="8"/>
                <w:color w:val="auto"/>
                <w:w w:val="92"/>
              </w:rPr>
              <w:t>•</w:t>
            </w:r>
            <w:r>
              <w:rPr>
                <w:rFonts w:ascii="MS PGothic" w:cs="MS PGothic" w:eastAsia="MS PGothic" w:hAnsi="MS PGothic"/>
                <w:sz w:val="8"/>
                <w:szCs w:val="8"/>
                <w:color w:val="auto"/>
                <w:w w:val="92"/>
              </w:rPr>
              <w:t>◆</w:t>
            </w:r>
          </w:p>
        </w:tc>
        <w:tc>
          <w:tcPr>
            <w:tcW w:w="1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80" w:type="dxa"/>
            <w:vAlign w:val="bottom"/>
          </w:tcPr>
          <w:p>
            <w:pPr>
              <w:ind w:left="80"/>
              <w:spacing w:after="0"/>
              <w:rPr>
                <w:sz w:val="20"/>
                <w:szCs w:val="20"/>
                <w:color w:val="auto"/>
              </w:rPr>
            </w:pPr>
            <w:r>
              <w:rPr>
                <w:rFonts w:ascii="Arial" w:cs="Arial" w:eastAsia="Arial" w:hAnsi="Arial"/>
                <w:sz w:val="8"/>
                <w:szCs w:val="8"/>
                <w:color w:val="auto"/>
              </w:rPr>
              <w:t>Argentina</w:t>
            </w:r>
          </w:p>
        </w:tc>
        <w:tc>
          <w:tcPr>
            <w:tcW w:w="2060" w:type="dxa"/>
            <w:vAlign w:val="bottom"/>
          </w:tcPr>
          <w:p>
            <w:pPr>
              <w:ind w:left="1160"/>
              <w:spacing w:after="0"/>
              <w:rPr>
                <w:sz w:val="20"/>
                <w:szCs w:val="20"/>
                <w:color w:val="auto"/>
              </w:rPr>
            </w:pPr>
            <w:r>
              <w:rPr>
                <w:rFonts w:ascii="Arial" w:cs="Arial" w:eastAsia="Arial" w:hAnsi="Arial"/>
                <w:sz w:val="8"/>
                <w:szCs w:val="8"/>
                <w:color w:val="auto"/>
              </w:rPr>
              <w:t>Buenos Aires [C]</w:t>
            </w:r>
          </w:p>
        </w:tc>
        <w:tc>
          <w:tcPr>
            <w:tcW w:w="1520" w:type="dxa"/>
            <w:vAlign w:val="bottom"/>
            <w:vMerge w:val="continue"/>
          </w:tcPr>
          <w:p>
            <w:pPr>
              <w:spacing w:after="0"/>
              <w:rPr>
                <w:sz w:val="11"/>
                <w:szCs w:val="11"/>
                <w:color w:val="auto"/>
              </w:rPr>
            </w:pPr>
          </w:p>
        </w:tc>
        <w:tc>
          <w:tcPr>
            <w:tcW w:w="1580" w:type="dxa"/>
            <w:vAlign w:val="bottom"/>
          </w:tcPr>
          <w:p>
            <w:pPr>
              <w:jc w:val="right"/>
              <w:ind w:right="398"/>
              <w:spacing w:after="0"/>
              <w:rPr>
                <w:sz w:val="20"/>
                <w:szCs w:val="20"/>
                <w:color w:val="auto"/>
              </w:rPr>
            </w:pPr>
            <w:r>
              <w:rPr>
                <w:rFonts w:ascii="Arial" w:cs="Arial" w:eastAsia="Arial" w:hAnsi="Arial"/>
                <w:sz w:val="8"/>
                <w:szCs w:val="8"/>
                <w:color w:val="auto"/>
              </w:rPr>
              <w:t>50</w:t>
            </w:r>
          </w:p>
        </w:tc>
        <w:tc>
          <w:tcPr>
            <w:tcW w:w="1180" w:type="dxa"/>
            <w:vAlign w:val="bottom"/>
          </w:tcPr>
          <w:p>
            <w:pPr>
              <w:jc w:val="right"/>
              <w:ind w:right="378"/>
              <w:spacing w:after="0"/>
              <w:rPr>
                <w:sz w:val="20"/>
                <w:szCs w:val="20"/>
                <w:color w:val="auto"/>
              </w:rPr>
            </w:pPr>
            <w:r>
              <w:rPr>
                <w:rFonts w:ascii="Arial" w:cs="Arial" w:eastAsia="Arial" w:hAnsi="Arial"/>
                <w:sz w:val="8"/>
                <w:szCs w:val="8"/>
                <w:color w:val="auto"/>
              </w:rPr>
              <w:t>108</w:t>
            </w:r>
          </w:p>
        </w:tc>
        <w:tc>
          <w:tcPr>
            <w:tcW w:w="1260" w:type="dxa"/>
            <w:vAlign w:val="bottom"/>
          </w:tcPr>
          <w:p>
            <w:pPr>
              <w:jc w:val="right"/>
              <w:ind w:right="438"/>
              <w:spacing w:after="0"/>
              <w:rPr>
                <w:sz w:val="20"/>
                <w:szCs w:val="20"/>
                <w:color w:val="auto"/>
              </w:rPr>
            </w:pPr>
            <w:r>
              <w:rPr>
                <w:rFonts w:ascii="Arial" w:cs="Arial" w:eastAsia="Arial" w:hAnsi="Arial"/>
                <w:sz w:val="8"/>
                <w:szCs w:val="8"/>
                <w:color w:val="auto"/>
              </w:rPr>
              <w:t>20</w:t>
            </w:r>
          </w:p>
        </w:tc>
        <w:tc>
          <w:tcPr>
            <w:tcW w:w="1220" w:type="dxa"/>
            <w:vAlign w:val="bottom"/>
          </w:tcPr>
          <w:p>
            <w:pPr>
              <w:jc w:val="right"/>
              <w:ind w:right="438"/>
              <w:spacing w:after="0"/>
              <w:rPr>
                <w:sz w:val="20"/>
                <w:szCs w:val="20"/>
                <w:color w:val="auto"/>
              </w:rPr>
            </w:pPr>
            <w:r>
              <w:rPr>
                <w:rFonts w:ascii="Arial" w:cs="Arial" w:eastAsia="Arial" w:hAnsi="Arial"/>
                <w:sz w:val="8"/>
                <w:szCs w:val="8"/>
                <w:color w:val="auto"/>
              </w:rPr>
              <w:t>22</w:t>
            </w:r>
          </w:p>
        </w:tc>
        <w:tc>
          <w:tcPr>
            <w:tcW w:w="76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7"/>
        </w:trPr>
        <w:tc>
          <w:tcPr>
            <w:tcW w:w="1680" w:type="dxa"/>
            <w:vAlign w:val="bottom"/>
          </w:tcPr>
          <w:p>
            <w:pPr>
              <w:ind w:left="80"/>
              <w:spacing w:after="0"/>
              <w:rPr>
                <w:sz w:val="20"/>
                <w:szCs w:val="20"/>
                <w:color w:val="auto"/>
              </w:rPr>
            </w:pPr>
            <w:r>
              <w:rPr>
                <w:rFonts w:ascii="Arial" w:cs="Arial" w:eastAsia="Arial" w:hAnsi="Arial"/>
                <w:sz w:val="8"/>
                <w:szCs w:val="8"/>
                <w:color w:val="auto"/>
              </w:rPr>
              <w:t>Canada</w:t>
            </w:r>
          </w:p>
        </w:tc>
        <w:tc>
          <w:tcPr>
            <w:tcW w:w="2060" w:type="dxa"/>
            <w:vAlign w:val="bottom"/>
          </w:tcPr>
          <w:p>
            <w:pPr>
              <w:spacing w:after="0"/>
              <w:rPr>
                <w:sz w:val="9"/>
                <w:szCs w:val="9"/>
                <w:color w:val="auto"/>
              </w:rPr>
            </w:pPr>
          </w:p>
        </w:tc>
        <w:tc>
          <w:tcPr>
            <w:tcW w:w="1520" w:type="dxa"/>
            <w:vAlign w:val="bottom"/>
            <w:vMerge w:val="restart"/>
          </w:tcPr>
          <w:p>
            <w:pPr>
              <w:jc w:val="center"/>
              <w:ind w:left="218"/>
              <w:spacing w:after="0" w:line="81" w:lineRule="exact"/>
              <w:rPr>
                <w:sz w:val="20"/>
                <w:szCs w:val="20"/>
                <w:color w:val="auto"/>
              </w:rPr>
            </w:pPr>
            <w:r>
              <w:rPr>
                <w:rFonts w:ascii="MS PGothic" w:cs="MS PGothic" w:eastAsia="MS PGothic" w:hAnsi="MS PGothic"/>
                <w:sz w:val="8"/>
                <w:szCs w:val="8"/>
                <w:color w:val="auto"/>
                <w:w w:val="74"/>
              </w:rPr>
              <w:t>◆</w:t>
            </w:r>
          </w:p>
        </w:tc>
        <w:tc>
          <w:tcPr>
            <w:tcW w:w="1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80" w:type="dxa"/>
            <w:vAlign w:val="bottom"/>
          </w:tcPr>
          <w:p>
            <w:pPr>
              <w:ind w:left="140"/>
              <w:spacing w:after="0"/>
              <w:rPr>
                <w:sz w:val="20"/>
                <w:szCs w:val="20"/>
                <w:color w:val="auto"/>
              </w:rPr>
            </w:pPr>
            <w:r>
              <w:rPr>
                <w:rFonts w:ascii="Arial" w:cs="Arial" w:eastAsia="Arial" w:hAnsi="Arial"/>
                <w:sz w:val="8"/>
                <w:szCs w:val="8"/>
                <w:color w:val="auto"/>
              </w:rPr>
              <w:t>Alberta</w:t>
            </w:r>
          </w:p>
        </w:tc>
        <w:tc>
          <w:tcPr>
            <w:tcW w:w="2060" w:type="dxa"/>
            <w:vAlign w:val="bottom"/>
          </w:tcPr>
          <w:p>
            <w:pPr>
              <w:ind w:left="1160"/>
              <w:spacing w:after="0"/>
              <w:rPr>
                <w:sz w:val="20"/>
                <w:szCs w:val="20"/>
                <w:color w:val="auto"/>
              </w:rPr>
            </w:pPr>
            <w:r>
              <w:rPr>
                <w:rFonts w:ascii="Arial" w:cs="Arial" w:eastAsia="Arial" w:hAnsi="Arial"/>
                <w:sz w:val="8"/>
                <w:szCs w:val="8"/>
                <w:color w:val="auto"/>
              </w:rPr>
              <w:t>Scotford</w:t>
            </w:r>
          </w:p>
        </w:tc>
        <w:tc>
          <w:tcPr>
            <w:tcW w:w="1520" w:type="dxa"/>
            <w:vAlign w:val="bottom"/>
            <w:vMerge w:val="continue"/>
          </w:tcPr>
          <w:p>
            <w:pPr>
              <w:spacing w:after="0"/>
              <w:rPr>
                <w:sz w:val="9"/>
                <w:szCs w:val="9"/>
                <w:color w:val="auto"/>
              </w:rPr>
            </w:pPr>
          </w:p>
        </w:tc>
        <w:tc>
          <w:tcPr>
            <w:tcW w:w="1580" w:type="dxa"/>
            <w:vAlign w:val="bottom"/>
          </w:tcPr>
          <w:p>
            <w:pPr>
              <w:jc w:val="right"/>
              <w:ind w:right="398"/>
              <w:spacing w:after="0"/>
              <w:rPr>
                <w:sz w:val="20"/>
                <w:szCs w:val="20"/>
                <w:color w:val="auto"/>
              </w:rPr>
            </w:pPr>
            <w:r>
              <w:rPr>
                <w:rFonts w:ascii="Arial" w:cs="Arial" w:eastAsia="Arial" w:hAnsi="Arial"/>
                <w:sz w:val="8"/>
                <w:szCs w:val="8"/>
                <w:color w:val="auto"/>
              </w:rPr>
              <w:t>100</w:t>
            </w:r>
          </w:p>
        </w:tc>
        <w:tc>
          <w:tcPr>
            <w:tcW w:w="1180" w:type="dxa"/>
            <w:vAlign w:val="bottom"/>
          </w:tcPr>
          <w:p>
            <w:pPr>
              <w:jc w:val="right"/>
              <w:ind w:right="378"/>
              <w:spacing w:after="0"/>
              <w:rPr>
                <w:sz w:val="20"/>
                <w:szCs w:val="20"/>
                <w:color w:val="auto"/>
              </w:rPr>
            </w:pPr>
            <w:r>
              <w:rPr>
                <w:rFonts w:ascii="Arial" w:cs="Arial" w:eastAsia="Arial" w:hAnsi="Arial"/>
                <w:sz w:val="8"/>
                <w:szCs w:val="8"/>
                <w:color w:val="auto"/>
              </w:rPr>
              <w:t>100</w:t>
            </w:r>
          </w:p>
        </w:tc>
        <w:tc>
          <w:tcPr>
            <w:tcW w:w="1260" w:type="dxa"/>
            <w:vAlign w:val="bottom"/>
          </w:tcPr>
          <w:p>
            <w:pPr>
              <w:jc w:val="right"/>
              <w:ind w:right="438"/>
              <w:spacing w:after="0"/>
              <w:rPr>
                <w:sz w:val="20"/>
                <w:szCs w:val="20"/>
                <w:color w:val="auto"/>
              </w:rPr>
            </w:pPr>
            <w:r>
              <w:rPr>
                <w:rFonts w:ascii="Arial" w:cs="Arial" w:eastAsia="Arial" w:hAnsi="Arial"/>
                <w:sz w:val="8"/>
                <w:szCs w:val="8"/>
                <w:color w:val="auto"/>
              </w:rPr>
              <w:t>—</w:t>
            </w:r>
          </w:p>
        </w:tc>
        <w:tc>
          <w:tcPr>
            <w:tcW w:w="1220" w:type="dxa"/>
            <w:vAlign w:val="bottom"/>
          </w:tcPr>
          <w:p>
            <w:pPr>
              <w:jc w:val="right"/>
              <w:ind w:right="438"/>
              <w:spacing w:after="0"/>
              <w:rPr>
                <w:sz w:val="20"/>
                <w:szCs w:val="20"/>
                <w:color w:val="auto"/>
              </w:rPr>
            </w:pPr>
            <w:r>
              <w:rPr>
                <w:rFonts w:ascii="Arial" w:cs="Arial" w:eastAsia="Arial" w:hAnsi="Arial"/>
                <w:sz w:val="8"/>
                <w:szCs w:val="8"/>
                <w:color w:val="auto"/>
              </w:rPr>
              <w:t>—</w:t>
            </w:r>
          </w:p>
        </w:tc>
        <w:tc>
          <w:tcPr>
            <w:tcW w:w="760" w:type="dxa"/>
            <w:vAlign w:val="bottom"/>
          </w:tcPr>
          <w:p>
            <w:pPr>
              <w:jc w:val="right"/>
              <w:spacing w:after="0"/>
              <w:rPr>
                <w:sz w:val="20"/>
                <w:szCs w:val="20"/>
                <w:color w:val="auto"/>
              </w:rPr>
            </w:pPr>
            <w:r>
              <w:rPr>
                <w:rFonts w:ascii="Arial" w:cs="Arial" w:eastAsia="Arial" w:hAnsi="Arial"/>
                <w:sz w:val="8"/>
                <w:szCs w:val="8"/>
                <w:color w:val="auto"/>
              </w:rPr>
              <w:t>83</w:t>
            </w:r>
          </w:p>
        </w:tc>
        <w:tc>
          <w:tcPr>
            <w:tcW w:w="0" w:type="dxa"/>
            <w:vAlign w:val="bottom"/>
          </w:tcPr>
          <w:p>
            <w:pPr>
              <w:spacing w:after="0"/>
              <w:rPr>
                <w:sz w:val="1"/>
                <w:szCs w:val="1"/>
                <w:color w:val="auto"/>
              </w:rPr>
            </w:pPr>
          </w:p>
        </w:tc>
      </w:tr>
      <w:tr>
        <w:trPr>
          <w:trHeight w:val="132"/>
        </w:trPr>
        <w:tc>
          <w:tcPr>
            <w:tcW w:w="1680" w:type="dxa"/>
            <w:vAlign w:val="bottom"/>
          </w:tcPr>
          <w:p>
            <w:pPr>
              <w:ind w:left="140"/>
              <w:spacing w:after="0"/>
              <w:rPr>
                <w:sz w:val="20"/>
                <w:szCs w:val="20"/>
                <w:color w:val="auto"/>
              </w:rPr>
            </w:pPr>
            <w:r>
              <w:rPr>
                <w:rFonts w:ascii="Arial" w:cs="Arial" w:eastAsia="Arial" w:hAnsi="Arial"/>
                <w:sz w:val="8"/>
                <w:szCs w:val="8"/>
                <w:color w:val="auto"/>
              </w:rPr>
              <w:t>Ontario</w:t>
            </w:r>
          </w:p>
        </w:tc>
        <w:tc>
          <w:tcPr>
            <w:tcW w:w="2060" w:type="dxa"/>
            <w:vAlign w:val="bottom"/>
          </w:tcPr>
          <w:p>
            <w:pPr>
              <w:ind w:left="1160"/>
              <w:spacing w:after="0"/>
              <w:rPr>
                <w:sz w:val="20"/>
                <w:szCs w:val="20"/>
                <w:color w:val="auto"/>
              </w:rPr>
            </w:pPr>
            <w:r>
              <w:rPr>
                <w:rFonts w:ascii="Arial" w:cs="Arial" w:eastAsia="Arial" w:hAnsi="Arial"/>
                <w:sz w:val="8"/>
                <w:szCs w:val="8"/>
                <w:color w:val="auto"/>
              </w:rPr>
              <w:t>Sarnia</w:t>
            </w:r>
          </w:p>
        </w:tc>
        <w:tc>
          <w:tcPr>
            <w:tcW w:w="1520" w:type="dxa"/>
            <w:vAlign w:val="bottom"/>
          </w:tcPr>
          <w:p>
            <w:pPr>
              <w:jc w:val="center"/>
              <w:ind w:left="218"/>
              <w:spacing w:after="0" w:line="81" w:lineRule="exact"/>
              <w:rPr>
                <w:sz w:val="20"/>
                <w:szCs w:val="20"/>
                <w:color w:val="auto"/>
              </w:rPr>
            </w:pPr>
            <w:r>
              <w:rPr>
                <w:rFonts w:ascii="MS PGothic" w:cs="MS PGothic" w:eastAsia="MS PGothic" w:hAnsi="MS PGothic"/>
                <w:sz w:val="8"/>
                <w:szCs w:val="8"/>
                <w:color w:val="auto"/>
                <w:w w:val="74"/>
              </w:rPr>
              <w:t>◆</w:t>
            </w:r>
          </w:p>
        </w:tc>
        <w:tc>
          <w:tcPr>
            <w:tcW w:w="1580" w:type="dxa"/>
            <w:vAlign w:val="bottom"/>
          </w:tcPr>
          <w:p>
            <w:pPr>
              <w:jc w:val="right"/>
              <w:ind w:right="398"/>
              <w:spacing w:after="0"/>
              <w:rPr>
                <w:sz w:val="20"/>
                <w:szCs w:val="20"/>
                <w:color w:val="auto"/>
              </w:rPr>
            </w:pPr>
            <w:r>
              <w:rPr>
                <w:rFonts w:ascii="Arial" w:cs="Arial" w:eastAsia="Arial" w:hAnsi="Arial"/>
                <w:sz w:val="8"/>
                <w:szCs w:val="8"/>
                <w:color w:val="auto"/>
              </w:rPr>
              <w:t>100</w:t>
            </w:r>
          </w:p>
        </w:tc>
        <w:tc>
          <w:tcPr>
            <w:tcW w:w="1180" w:type="dxa"/>
            <w:vAlign w:val="bottom"/>
          </w:tcPr>
          <w:p>
            <w:pPr>
              <w:jc w:val="right"/>
              <w:ind w:right="378"/>
              <w:spacing w:after="0"/>
              <w:rPr>
                <w:sz w:val="20"/>
                <w:szCs w:val="20"/>
                <w:color w:val="auto"/>
              </w:rPr>
            </w:pPr>
            <w:r>
              <w:rPr>
                <w:rFonts w:ascii="Arial" w:cs="Arial" w:eastAsia="Arial" w:hAnsi="Arial"/>
                <w:sz w:val="8"/>
                <w:szCs w:val="8"/>
                <w:color w:val="auto"/>
              </w:rPr>
              <w:t>85</w:t>
            </w:r>
          </w:p>
        </w:tc>
        <w:tc>
          <w:tcPr>
            <w:tcW w:w="1260" w:type="dxa"/>
            <w:vAlign w:val="bottom"/>
          </w:tcPr>
          <w:p>
            <w:pPr>
              <w:jc w:val="right"/>
              <w:ind w:right="438"/>
              <w:spacing w:after="0"/>
              <w:rPr>
                <w:sz w:val="20"/>
                <w:szCs w:val="20"/>
                <w:color w:val="auto"/>
              </w:rPr>
            </w:pPr>
            <w:r>
              <w:rPr>
                <w:rFonts w:ascii="Arial" w:cs="Arial" w:eastAsia="Arial" w:hAnsi="Arial"/>
                <w:sz w:val="8"/>
                <w:szCs w:val="8"/>
                <w:color w:val="auto"/>
              </w:rPr>
              <w:t>5</w:t>
            </w:r>
          </w:p>
        </w:tc>
        <w:tc>
          <w:tcPr>
            <w:tcW w:w="1220" w:type="dxa"/>
            <w:vAlign w:val="bottom"/>
          </w:tcPr>
          <w:p>
            <w:pPr>
              <w:jc w:val="right"/>
              <w:ind w:right="438"/>
              <w:spacing w:after="0"/>
              <w:rPr>
                <w:sz w:val="20"/>
                <w:szCs w:val="20"/>
                <w:color w:val="auto"/>
              </w:rPr>
            </w:pPr>
            <w:r>
              <w:rPr>
                <w:rFonts w:ascii="Arial" w:cs="Arial" w:eastAsia="Arial" w:hAnsi="Arial"/>
                <w:sz w:val="8"/>
                <w:szCs w:val="8"/>
                <w:color w:val="auto"/>
              </w:rPr>
              <w:t>21</w:t>
            </w:r>
          </w:p>
        </w:tc>
        <w:tc>
          <w:tcPr>
            <w:tcW w:w="760" w:type="dxa"/>
            <w:vAlign w:val="bottom"/>
          </w:tcPr>
          <w:p>
            <w:pPr>
              <w:jc w:val="right"/>
              <w:spacing w:after="0"/>
              <w:rPr>
                <w:sz w:val="20"/>
                <w:szCs w:val="20"/>
                <w:color w:val="auto"/>
              </w:rPr>
            </w:pPr>
            <w:r>
              <w:rPr>
                <w:rFonts w:ascii="Arial" w:cs="Arial" w:eastAsia="Arial" w:hAnsi="Arial"/>
                <w:sz w:val="8"/>
                <w:szCs w:val="8"/>
                <w:color w:val="auto"/>
              </w:rPr>
              <w:t>10</w:t>
            </w:r>
          </w:p>
        </w:tc>
        <w:tc>
          <w:tcPr>
            <w:tcW w:w="0" w:type="dxa"/>
            <w:vAlign w:val="bottom"/>
          </w:tcPr>
          <w:p>
            <w:pPr>
              <w:spacing w:after="0"/>
              <w:rPr>
                <w:sz w:val="1"/>
                <w:szCs w:val="1"/>
                <w:color w:val="auto"/>
              </w:rPr>
            </w:pPr>
          </w:p>
        </w:tc>
      </w:tr>
      <w:tr>
        <w:trPr>
          <w:trHeight w:val="107"/>
        </w:trPr>
        <w:tc>
          <w:tcPr>
            <w:tcW w:w="1680" w:type="dxa"/>
            <w:vAlign w:val="bottom"/>
          </w:tcPr>
          <w:p>
            <w:pPr>
              <w:ind w:left="80"/>
              <w:spacing w:after="0"/>
              <w:rPr>
                <w:sz w:val="20"/>
                <w:szCs w:val="20"/>
                <w:color w:val="auto"/>
              </w:rPr>
            </w:pPr>
            <w:r>
              <w:rPr>
                <w:rFonts w:ascii="Arial" w:cs="Arial" w:eastAsia="Arial" w:hAnsi="Arial"/>
                <w:sz w:val="8"/>
                <w:szCs w:val="8"/>
                <w:color w:val="auto"/>
              </w:rPr>
              <w:t>USA</w:t>
            </w:r>
          </w:p>
        </w:tc>
        <w:tc>
          <w:tcPr>
            <w:tcW w:w="20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680" w:type="dxa"/>
            <w:vAlign w:val="bottom"/>
          </w:tcPr>
          <w:p>
            <w:pPr>
              <w:ind w:left="140"/>
              <w:spacing w:after="0"/>
              <w:rPr>
                <w:sz w:val="20"/>
                <w:szCs w:val="20"/>
                <w:color w:val="auto"/>
              </w:rPr>
            </w:pPr>
            <w:r>
              <w:rPr>
                <w:rFonts w:ascii="Arial" w:cs="Arial" w:eastAsia="Arial" w:hAnsi="Arial"/>
                <w:sz w:val="8"/>
                <w:szCs w:val="8"/>
                <w:color w:val="auto"/>
              </w:rPr>
              <w:t>Louisiana</w:t>
            </w:r>
          </w:p>
        </w:tc>
        <w:tc>
          <w:tcPr>
            <w:tcW w:w="2060" w:type="dxa"/>
            <w:vAlign w:val="bottom"/>
          </w:tcPr>
          <w:p>
            <w:pPr>
              <w:ind w:left="1160"/>
              <w:spacing w:after="0"/>
              <w:rPr>
                <w:sz w:val="20"/>
                <w:szCs w:val="20"/>
                <w:color w:val="auto"/>
              </w:rPr>
            </w:pPr>
            <w:r>
              <w:rPr>
                <w:rFonts w:ascii="Arial" w:cs="Arial" w:eastAsia="Arial" w:hAnsi="Arial"/>
                <w:sz w:val="8"/>
                <w:szCs w:val="8"/>
                <w:color w:val="auto"/>
              </w:rPr>
              <w:t>Norco</w:t>
            </w:r>
          </w:p>
        </w:tc>
        <w:tc>
          <w:tcPr>
            <w:tcW w:w="1520" w:type="dxa"/>
            <w:vAlign w:val="bottom"/>
          </w:tcPr>
          <w:p>
            <w:pPr>
              <w:jc w:val="center"/>
              <w:ind w:left="218"/>
              <w:spacing w:after="0"/>
              <w:rPr>
                <w:sz w:val="20"/>
                <w:szCs w:val="20"/>
                <w:color w:val="auto"/>
              </w:rPr>
            </w:pPr>
            <w:r>
              <w:rPr>
                <w:rFonts w:ascii="Arial" w:cs="Arial" w:eastAsia="Arial" w:hAnsi="Arial"/>
                <w:sz w:val="8"/>
                <w:szCs w:val="8"/>
                <w:color w:val="auto"/>
              </w:rPr>
              <w:t>■</w:t>
            </w:r>
          </w:p>
        </w:tc>
        <w:tc>
          <w:tcPr>
            <w:tcW w:w="1580" w:type="dxa"/>
            <w:vAlign w:val="bottom"/>
          </w:tcPr>
          <w:p>
            <w:pPr>
              <w:jc w:val="right"/>
              <w:ind w:right="398"/>
              <w:spacing w:after="0"/>
              <w:rPr>
                <w:sz w:val="20"/>
                <w:szCs w:val="20"/>
                <w:color w:val="auto"/>
              </w:rPr>
            </w:pPr>
            <w:r>
              <w:rPr>
                <w:rFonts w:ascii="Arial" w:cs="Arial" w:eastAsia="Arial" w:hAnsi="Arial"/>
                <w:sz w:val="8"/>
                <w:szCs w:val="8"/>
                <w:color w:val="auto"/>
              </w:rPr>
              <w:t>100</w:t>
            </w:r>
          </w:p>
        </w:tc>
        <w:tc>
          <w:tcPr>
            <w:tcW w:w="1180" w:type="dxa"/>
            <w:vAlign w:val="bottom"/>
          </w:tcPr>
          <w:p>
            <w:pPr>
              <w:jc w:val="right"/>
              <w:ind w:right="378"/>
              <w:spacing w:after="0"/>
              <w:rPr>
                <w:sz w:val="20"/>
                <w:szCs w:val="20"/>
                <w:color w:val="auto"/>
              </w:rPr>
            </w:pPr>
            <w:r>
              <w:rPr>
                <w:rFonts w:ascii="Arial" w:cs="Arial" w:eastAsia="Arial" w:hAnsi="Arial"/>
                <w:sz w:val="8"/>
                <w:szCs w:val="8"/>
                <w:color w:val="auto"/>
              </w:rPr>
              <w:t>250</w:t>
            </w:r>
          </w:p>
        </w:tc>
        <w:tc>
          <w:tcPr>
            <w:tcW w:w="1260" w:type="dxa"/>
            <w:vAlign w:val="bottom"/>
          </w:tcPr>
          <w:p>
            <w:pPr>
              <w:jc w:val="right"/>
              <w:ind w:right="438"/>
              <w:spacing w:after="0"/>
              <w:rPr>
                <w:sz w:val="20"/>
                <w:szCs w:val="20"/>
                <w:color w:val="auto"/>
              </w:rPr>
            </w:pPr>
            <w:r>
              <w:rPr>
                <w:rFonts w:ascii="Arial" w:cs="Arial" w:eastAsia="Arial" w:hAnsi="Arial"/>
                <w:sz w:val="8"/>
                <w:szCs w:val="8"/>
                <w:color w:val="auto"/>
              </w:rPr>
              <w:t>29</w:t>
            </w:r>
          </w:p>
        </w:tc>
        <w:tc>
          <w:tcPr>
            <w:tcW w:w="1220" w:type="dxa"/>
            <w:vAlign w:val="bottom"/>
          </w:tcPr>
          <w:p>
            <w:pPr>
              <w:jc w:val="right"/>
              <w:ind w:right="438"/>
              <w:spacing w:after="0"/>
              <w:rPr>
                <w:sz w:val="20"/>
                <w:szCs w:val="20"/>
                <w:color w:val="auto"/>
              </w:rPr>
            </w:pPr>
            <w:r>
              <w:rPr>
                <w:rFonts w:ascii="Arial" w:cs="Arial" w:eastAsia="Arial" w:hAnsi="Arial"/>
                <w:sz w:val="8"/>
                <w:szCs w:val="8"/>
                <w:color w:val="auto"/>
              </w:rPr>
              <w:t>119</w:t>
            </w:r>
          </w:p>
        </w:tc>
        <w:tc>
          <w:tcPr>
            <w:tcW w:w="760" w:type="dxa"/>
            <w:vAlign w:val="bottom"/>
          </w:tcPr>
          <w:p>
            <w:pPr>
              <w:jc w:val="right"/>
              <w:spacing w:after="0"/>
              <w:rPr>
                <w:sz w:val="20"/>
                <w:szCs w:val="20"/>
                <w:color w:val="auto"/>
              </w:rPr>
            </w:pPr>
            <w:r>
              <w:rPr>
                <w:rFonts w:ascii="Arial" w:cs="Arial" w:eastAsia="Arial" w:hAnsi="Arial"/>
                <w:sz w:val="8"/>
                <w:szCs w:val="8"/>
                <w:color w:val="auto"/>
              </w:rPr>
              <w:t>44</w:t>
            </w:r>
          </w:p>
        </w:tc>
        <w:tc>
          <w:tcPr>
            <w:tcW w:w="0" w:type="dxa"/>
            <w:vAlign w:val="bottom"/>
          </w:tcPr>
          <w:p>
            <w:pPr>
              <w:spacing w:after="0"/>
              <w:rPr>
                <w:sz w:val="1"/>
                <w:szCs w:val="1"/>
                <w:color w:val="auto"/>
              </w:rPr>
            </w:pPr>
          </w:p>
        </w:tc>
      </w:tr>
      <w:tr>
        <w:trPr>
          <w:trHeight w:val="112"/>
        </w:trPr>
        <w:tc>
          <w:tcPr>
            <w:tcW w:w="1680" w:type="dxa"/>
            <w:vAlign w:val="bottom"/>
          </w:tcPr>
          <w:p>
            <w:pPr>
              <w:ind w:left="140"/>
              <w:spacing w:after="0"/>
              <w:rPr>
                <w:sz w:val="20"/>
                <w:szCs w:val="20"/>
                <w:color w:val="auto"/>
              </w:rPr>
            </w:pPr>
            <w:r>
              <w:rPr>
                <w:rFonts w:ascii="Arial" w:cs="Arial" w:eastAsia="Arial" w:hAnsi="Arial"/>
                <w:sz w:val="8"/>
                <w:szCs w:val="8"/>
                <w:color w:val="auto"/>
              </w:rPr>
              <w:t>Texas</w:t>
            </w:r>
          </w:p>
        </w:tc>
        <w:tc>
          <w:tcPr>
            <w:tcW w:w="2060" w:type="dxa"/>
            <w:vAlign w:val="bottom"/>
          </w:tcPr>
          <w:p>
            <w:pPr>
              <w:ind w:left="1160"/>
              <w:spacing w:after="0"/>
              <w:rPr>
                <w:sz w:val="20"/>
                <w:szCs w:val="20"/>
                <w:color w:val="auto"/>
              </w:rPr>
            </w:pPr>
            <w:r>
              <w:rPr>
                <w:rFonts w:ascii="Arial" w:cs="Arial" w:eastAsia="Arial" w:hAnsi="Arial"/>
                <w:sz w:val="8"/>
                <w:szCs w:val="8"/>
                <w:color w:val="auto"/>
              </w:rPr>
              <w:t>Deer Park</w:t>
            </w:r>
          </w:p>
        </w:tc>
        <w:tc>
          <w:tcPr>
            <w:tcW w:w="1520" w:type="dxa"/>
            <w:vAlign w:val="bottom"/>
          </w:tcPr>
          <w:p>
            <w:pPr>
              <w:jc w:val="center"/>
              <w:ind w:left="198"/>
              <w:spacing w:after="0"/>
              <w:rPr>
                <w:sz w:val="20"/>
                <w:szCs w:val="20"/>
                <w:color w:val="auto"/>
              </w:rPr>
            </w:pPr>
            <w:r>
              <w:rPr>
                <w:rFonts w:ascii="Arial" w:cs="Arial" w:eastAsia="Arial" w:hAnsi="Arial"/>
                <w:sz w:val="8"/>
                <w:szCs w:val="8"/>
                <w:color w:val="auto"/>
              </w:rPr>
              <w:t>■•</w:t>
            </w:r>
          </w:p>
        </w:tc>
        <w:tc>
          <w:tcPr>
            <w:tcW w:w="1580" w:type="dxa"/>
            <w:vAlign w:val="bottom"/>
          </w:tcPr>
          <w:p>
            <w:pPr>
              <w:jc w:val="right"/>
              <w:ind w:right="398"/>
              <w:spacing w:after="0"/>
              <w:rPr>
                <w:sz w:val="20"/>
                <w:szCs w:val="20"/>
                <w:color w:val="auto"/>
              </w:rPr>
            </w:pPr>
            <w:r>
              <w:rPr>
                <w:rFonts w:ascii="Arial" w:cs="Arial" w:eastAsia="Arial" w:hAnsi="Arial"/>
                <w:sz w:val="8"/>
                <w:szCs w:val="8"/>
                <w:color w:val="auto"/>
              </w:rPr>
              <w:t>50</w:t>
            </w:r>
          </w:p>
        </w:tc>
        <w:tc>
          <w:tcPr>
            <w:tcW w:w="1180" w:type="dxa"/>
            <w:vAlign w:val="bottom"/>
          </w:tcPr>
          <w:p>
            <w:pPr>
              <w:jc w:val="right"/>
              <w:ind w:right="378"/>
              <w:spacing w:after="0"/>
              <w:rPr>
                <w:sz w:val="20"/>
                <w:szCs w:val="20"/>
                <w:color w:val="auto"/>
              </w:rPr>
            </w:pPr>
            <w:r>
              <w:rPr>
                <w:rFonts w:ascii="Arial" w:cs="Arial" w:eastAsia="Arial" w:hAnsi="Arial"/>
                <w:sz w:val="8"/>
                <w:szCs w:val="8"/>
                <w:color w:val="auto"/>
              </w:rPr>
              <w:t>341</w:t>
            </w:r>
          </w:p>
        </w:tc>
        <w:tc>
          <w:tcPr>
            <w:tcW w:w="1260" w:type="dxa"/>
            <w:vAlign w:val="bottom"/>
          </w:tcPr>
          <w:p>
            <w:pPr>
              <w:jc w:val="right"/>
              <w:ind w:right="438"/>
              <w:spacing w:after="0"/>
              <w:rPr>
                <w:sz w:val="20"/>
                <w:szCs w:val="20"/>
                <w:color w:val="auto"/>
              </w:rPr>
            </w:pPr>
            <w:r>
              <w:rPr>
                <w:rFonts w:ascii="Arial" w:cs="Arial" w:eastAsia="Arial" w:hAnsi="Arial"/>
                <w:sz w:val="8"/>
                <w:szCs w:val="8"/>
                <w:color w:val="auto"/>
              </w:rPr>
              <w:t>96</w:t>
            </w:r>
          </w:p>
        </w:tc>
        <w:tc>
          <w:tcPr>
            <w:tcW w:w="1220" w:type="dxa"/>
            <w:vAlign w:val="bottom"/>
          </w:tcPr>
          <w:p>
            <w:pPr>
              <w:jc w:val="right"/>
              <w:ind w:right="438"/>
              <w:spacing w:after="0"/>
              <w:rPr>
                <w:sz w:val="20"/>
                <w:szCs w:val="20"/>
                <w:color w:val="auto"/>
              </w:rPr>
            </w:pPr>
            <w:r>
              <w:rPr>
                <w:rFonts w:ascii="Arial" w:cs="Arial" w:eastAsia="Arial" w:hAnsi="Arial"/>
                <w:sz w:val="8"/>
                <w:szCs w:val="8"/>
                <w:color w:val="auto"/>
              </w:rPr>
              <w:t>75</w:t>
            </w:r>
          </w:p>
        </w:tc>
        <w:tc>
          <w:tcPr>
            <w:tcW w:w="760" w:type="dxa"/>
            <w:vAlign w:val="bottom"/>
          </w:tcPr>
          <w:p>
            <w:pPr>
              <w:jc w:val="right"/>
              <w:spacing w:after="0"/>
              <w:rPr>
                <w:sz w:val="20"/>
                <w:szCs w:val="20"/>
                <w:color w:val="auto"/>
              </w:rPr>
            </w:pPr>
            <w:r>
              <w:rPr>
                <w:rFonts w:ascii="Arial" w:cs="Arial" w:eastAsia="Arial" w:hAnsi="Arial"/>
                <w:sz w:val="8"/>
                <w:szCs w:val="8"/>
                <w:color w:val="auto"/>
              </w:rPr>
              <w:t>60</w:t>
            </w:r>
          </w:p>
        </w:tc>
        <w:tc>
          <w:tcPr>
            <w:tcW w:w="0" w:type="dxa"/>
            <w:vAlign w:val="bottom"/>
          </w:tcPr>
          <w:p>
            <w:pPr>
              <w:spacing w:after="0"/>
              <w:rPr>
                <w:sz w:val="1"/>
                <w:szCs w:val="1"/>
                <w:color w:val="auto"/>
              </w:rPr>
            </w:pPr>
          </w:p>
        </w:tc>
      </w:tr>
      <w:tr>
        <w:trPr>
          <w:trHeight w:val="133"/>
        </w:trPr>
        <w:tc>
          <w:tcPr>
            <w:tcW w:w="1680" w:type="dxa"/>
            <w:vAlign w:val="bottom"/>
            <w:tcBorders>
              <w:bottom w:val="single" w:sz="8" w:color="auto"/>
            </w:tcBorders>
          </w:tcPr>
          <w:p>
            <w:pPr>
              <w:ind w:left="140"/>
              <w:spacing w:after="0"/>
              <w:rPr>
                <w:sz w:val="20"/>
                <w:szCs w:val="20"/>
                <w:color w:val="auto"/>
              </w:rPr>
            </w:pPr>
            <w:r>
              <w:rPr>
                <w:rFonts w:ascii="Arial" w:cs="Arial" w:eastAsia="Arial" w:hAnsi="Arial"/>
                <w:sz w:val="8"/>
                <w:szCs w:val="8"/>
                <w:color w:val="auto"/>
              </w:rPr>
              <w:t>Washington</w:t>
            </w:r>
          </w:p>
        </w:tc>
        <w:tc>
          <w:tcPr>
            <w:tcW w:w="2060" w:type="dxa"/>
            <w:vAlign w:val="bottom"/>
            <w:tcBorders>
              <w:bottom w:val="single" w:sz="8" w:color="auto"/>
            </w:tcBorders>
          </w:tcPr>
          <w:p>
            <w:pPr>
              <w:ind w:left="1160"/>
              <w:spacing w:after="0"/>
              <w:rPr>
                <w:sz w:val="20"/>
                <w:szCs w:val="20"/>
                <w:color w:val="auto"/>
              </w:rPr>
            </w:pPr>
            <w:r>
              <w:rPr>
                <w:rFonts w:ascii="Arial" w:cs="Arial" w:eastAsia="Arial" w:hAnsi="Arial"/>
                <w:sz w:val="8"/>
                <w:szCs w:val="8"/>
                <w:color w:val="auto"/>
              </w:rPr>
              <w:t>Puget Sound</w:t>
            </w:r>
          </w:p>
        </w:tc>
        <w:tc>
          <w:tcPr>
            <w:tcW w:w="1520" w:type="dxa"/>
            <w:vAlign w:val="bottom"/>
            <w:tcBorders>
              <w:bottom w:val="single" w:sz="8" w:color="auto"/>
            </w:tcBorders>
          </w:tcPr>
          <w:p>
            <w:pPr>
              <w:jc w:val="center"/>
              <w:ind w:left="218"/>
              <w:spacing w:after="0" w:line="92" w:lineRule="exact"/>
              <w:rPr>
                <w:sz w:val="20"/>
                <w:szCs w:val="20"/>
                <w:color w:val="auto"/>
              </w:rPr>
            </w:pPr>
            <w:r>
              <w:rPr>
                <w:rFonts w:ascii="Arial" w:cs="Arial" w:eastAsia="Arial" w:hAnsi="Arial"/>
                <w:sz w:val="8"/>
                <w:szCs w:val="8"/>
                <w:color w:val="auto"/>
                <w:w w:val="92"/>
              </w:rPr>
              <w:t>•</w:t>
            </w:r>
            <w:r>
              <w:rPr>
                <w:rFonts w:ascii="MS PGothic" w:cs="MS PGothic" w:eastAsia="MS PGothic" w:hAnsi="MS PGothic"/>
                <w:sz w:val="8"/>
                <w:szCs w:val="8"/>
                <w:color w:val="auto"/>
                <w:w w:val="92"/>
              </w:rPr>
              <w:t>◆</w:t>
            </w:r>
          </w:p>
        </w:tc>
        <w:tc>
          <w:tcPr>
            <w:tcW w:w="1580" w:type="dxa"/>
            <w:vAlign w:val="bottom"/>
            <w:tcBorders>
              <w:bottom w:val="single" w:sz="8" w:color="auto"/>
            </w:tcBorders>
          </w:tcPr>
          <w:p>
            <w:pPr>
              <w:jc w:val="right"/>
              <w:ind w:right="398"/>
              <w:spacing w:after="0"/>
              <w:rPr>
                <w:sz w:val="20"/>
                <w:szCs w:val="20"/>
                <w:color w:val="auto"/>
              </w:rPr>
            </w:pPr>
            <w:r>
              <w:rPr>
                <w:rFonts w:ascii="Arial" w:cs="Arial" w:eastAsia="Arial" w:hAnsi="Arial"/>
                <w:sz w:val="8"/>
                <w:szCs w:val="8"/>
                <w:color w:val="auto"/>
              </w:rPr>
              <w:t>100</w:t>
            </w:r>
          </w:p>
        </w:tc>
        <w:tc>
          <w:tcPr>
            <w:tcW w:w="11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149</w:t>
            </w: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8"/>
                <w:szCs w:val="8"/>
                <w:color w:val="auto"/>
              </w:rPr>
              <w:t>25</w:t>
            </w: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8"/>
                <w:szCs w:val="8"/>
                <w:color w:val="auto"/>
              </w:rPr>
              <w:t>58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8" w:hanging="128"/>
        <w:spacing w:after="0"/>
        <w:tabs>
          <w:tab w:leader="none" w:pos="128" w:val="left"/>
        </w:tabs>
        <w:numPr>
          <w:ilvl w:val="0"/>
          <w:numId w:val="39"/>
        </w:numPr>
        <w:rPr>
          <w:rFonts w:ascii="Arial" w:cs="Arial" w:eastAsia="Arial" w:hAnsi="Arial"/>
          <w:sz w:val="7"/>
          <w:szCs w:val="7"/>
          <w:color w:val="auto"/>
        </w:rPr>
      </w:pPr>
      <w:r>
        <w:rPr>
          <w:rFonts w:ascii="Arial" w:cs="Arial" w:eastAsia="Arial" w:hAnsi="Arial"/>
          <w:sz w:val="7"/>
          <w:szCs w:val="7"/>
          <w:color w:val="auto"/>
        </w:rPr>
        <w:t>Shell interest is rounded to the nearest whole percentage point; Shell share of production capacity may differ.</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39"/>
        </w:numPr>
        <w:rPr>
          <w:rFonts w:ascii="Arial" w:cs="Arial" w:eastAsia="Arial" w:hAnsi="Arial"/>
          <w:sz w:val="7"/>
          <w:szCs w:val="7"/>
          <w:color w:val="auto"/>
        </w:rPr>
      </w:pPr>
      <w:r>
        <w:rPr>
          <w:rFonts w:ascii="Arial" w:cs="Arial" w:eastAsia="Arial" w:hAnsi="Arial"/>
          <w:sz w:val="7"/>
          <w:szCs w:val="7"/>
          <w:color w:val="auto"/>
        </w:rPr>
        <w:t>Stream day capacity is the maximum capacity with no allowance for downtime.</w:t>
      </w:r>
    </w:p>
    <w:p>
      <w:pPr>
        <w:ind w:left="108" w:hanging="108"/>
        <w:spacing w:after="0"/>
        <w:tabs>
          <w:tab w:leader="none" w:pos="108" w:val="left"/>
        </w:tabs>
        <w:numPr>
          <w:ilvl w:val="0"/>
          <w:numId w:val="39"/>
        </w:numPr>
        <w:rPr>
          <w:rFonts w:ascii="Arial" w:cs="Arial" w:eastAsia="Arial" w:hAnsi="Arial"/>
          <w:sz w:val="7"/>
          <w:szCs w:val="7"/>
          <w:color w:val="auto"/>
        </w:rPr>
      </w:pPr>
      <w:r>
        <w:rPr>
          <w:rFonts w:ascii="Arial" w:cs="Arial" w:eastAsia="Arial" w:hAnsi="Arial"/>
          <w:sz w:val="7"/>
          <w:szCs w:val="7"/>
          <w:color w:val="auto"/>
        </w:rPr>
        <w:t>Not operated by Shell</w:t>
      </w:r>
    </w:p>
    <w:p>
      <w:pPr>
        <w:ind w:left="8" w:right="6120" w:hanging="8"/>
        <w:spacing w:after="0" w:line="252" w:lineRule="auto"/>
        <w:tabs>
          <w:tab w:leader="none" w:pos="126" w:val="left"/>
        </w:tabs>
        <w:numPr>
          <w:ilvl w:val="0"/>
          <w:numId w:val="39"/>
        </w:numPr>
        <w:rPr>
          <w:rFonts w:ascii="Arial" w:cs="Arial" w:eastAsia="Arial" w:hAnsi="Arial"/>
          <w:sz w:val="7"/>
          <w:szCs w:val="7"/>
          <w:color w:val="auto"/>
        </w:rPr>
      </w:pPr>
      <w:r>
        <w:rPr>
          <w:rFonts w:ascii="Arial" w:cs="Arial" w:eastAsia="Arial" w:hAnsi="Arial"/>
          <w:sz w:val="7"/>
          <w:szCs w:val="7"/>
          <w:color w:val="auto"/>
        </w:rPr>
        <w:t>Bukom capacity is as on December 31, 2020 prior to the transformation. Crude processing capacity is expected to decrease by around 200 thousand b/d after the transformation sometime in July 2021.</w:t>
      </w:r>
    </w:p>
    <w:p>
      <w:pPr>
        <w:spacing w:after="0" w:line="169" w:lineRule="exact"/>
        <w:rPr>
          <w:sz w:val="20"/>
          <w:szCs w:val="20"/>
          <w:color w:val="auto"/>
        </w:rPr>
      </w:pPr>
    </w:p>
    <w:p>
      <w:pPr>
        <w:ind w:left="168" w:hanging="168"/>
        <w:spacing w:after="0"/>
        <w:tabs>
          <w:tab w:leader="none" w:pos="168" w:val="left"/>
        </w:tabs>
        <w:numPr>
          <w:ilvl w:val="0"/>
          <w:numId w:val="40"/>
        </w:numPr>
        <w:rPr>
          <w:rFonts w:ascii="Arial" w:cs="Arial" w:eastAsia="Arial" w:hAnsi="Arial"/>
          <w:sz w:val="10"/>
          <w:szCs w:val="10"/>
          <w:color w:val="auto"/>
        </w:rPr>
      </w:pPr>
      <w:r>
        <w:rPr>
          <w:rFonts w:ascii="Arial" w:cs="Arial" w:eastAsia="Arial" w:hAnsi="Arial"/>
          <w:sz w:val="7"/>
          <w:szCs w:val="7"/>
          <w:color w:val="auto"/>
        </w:rPr>
        <w:t>Integrated refinery and chemical complex</w:t>
      </w:r>
    </w:p>
    <w:p>
      <w:pPr>
        <w:spacing w:after="0" w:line="29" w:lineRule="exact"/>
        <w:rPr>
          <w:sz w:val="20"/>
          <w:szCs w:val="20"/>
          <w:color w:val="auto"/>
        </w:rPr>
      </w:pPr>
    </w:p>
    <w:p>
      <w:pPr>
        <w:ind w:left="148" w:hanging="148"/>
        <w:spacing w:after="0"/>
        <w:tabs>
          <w:tab w:leader="none" w:pos="148" w:val="left"/>
        </w:tabs>
        <w:numPr>
          <w:ilvl w:val="0"/>
          <w:numId w:val="41"/>
        </w:numPr>
        <w:rPr>
          <w:rFonts w:ascii="Arial" w:cs="Arial" w:eastAsia="Arial" w:hAnsi="Arial"/>
          <w:sz w:val="10"/>
          <w:szCs w:val="10"/>
          <w:color w:val="auto"/>
        </w:rPr>
      </w:pPr>
      <w:r>
        <w:rPr>
          <w:rFonts w:ascii="Arial" w:cs="Arial" w:eastAsia="Arial" w:hAnsi="Arial"/>
          <w:sz w:val="7"/>
          <w:szCs w:val="7"/>
          <w:color w:val="auto"/>
        </w:rPr>
        <w:t>Refinery complex with cogeneration capacity</w:t>
      </w:r>
    </w:p>
    <w:p>
      <w:pPr>
        <w:spacing w:after="0" w:line="54" w:lineRule="exact"/>
        <w:rPr>
          <w:sz w:val="20"/>
          <w:szCs w:val="20"/>
          <w:color w:val="auto"/>
        </w:rPr>
      </w:pPr>
    </w:p>
    <w:p>
      <w:pPr>
        <w:ind w:left="8" w:right="9980" w:hanging="8"/>
        <w:spacing w:after="0" w:line="323" w:lineRule="auto"/>
        <w:tabs>
          <w:tab w:leader="none" w:pos="182" w:val="left"/>
        </w:tabs>
        <w:numPr>
          <w:ilvl w:val="0"/>
          <w:numId w:val="42"/>
        </w:numPr>
        <w:rPr>
          <w:rFonts w:ascii="MS PGothic" w:cs="MS PGothic" w:eastAsia="MS PGothic" w:hAnsi="MS PGothic"/>
          <w:sz w:val="7"/>
          <w:szCs w:val="7"/>
          <w:color w:val="auto"/>
        </w:rPr>
      </w:pPr>
      <w:r>
        <w:rPr>
          <w:rFonts w:ascii="Arial" w:cs="Arial" w:eastAsia="Arial" w:hAnsi="Arial"/>
          <w:sz w:val="7"/>
          <w:szCs w:val="7"/>
          <w:color w:val="auto"/>
        </w:rPr>
        <w:t>Refinery complex with chemical unit(s) O Other</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1"/>
          <w:szCs w:val="11"/>
          <w:color w:val="auto"/>
        </w:rPr>
        <w:t>BRANDED RETAIL SITES [A]</w:t>
      </w:r>
    </w:p>
    <w:p>
      <w:pPr>
        <w:spacing w:after="0" w:line="181"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14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2020</w:t>
            </w:r>
          </w:p>
        </w:tc>
        <w:tc>
          <w:tcPr>
            <w:tcW w:w="138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1440" w:type="dxa"/>
            <w:vAlign w:val="bottom"/>
          </w:tcPr>
          <w:p>
            <w:pPr>
              <w:spacing w:after="0"/>
              <w:rPr>
                <w:sz w:val="20"/>
                <w:szCs w:val="20"/>
                <w:color w:val="auto"/>
              </w:rPr>
            </w:pPr>
            <w:r>
              <w:rPr>
                <w:rFonts w:ascii="Arial" w:cs="Arial" w:eastAsia="Arial" w:hAnsi="Arial"/>
                <w:sz w:val="10"/>
                <w:szCs w:val="10"/>
                <w:color w:val="auto"/>
              </w:rPr>
              <w:t>Europe</w:t>
            </w:r>
          </w:p>
        </w:tc>
        <w:tc>
          <w:tcPr>
            <w:tcW w:w="1780" w:type="dxa"/>
            <w:vAlign w:val="bottom"/>
          </w:tcPr>
          <w:p>
            <w:pPr>
              <w:jc w:val="right"/>
              <w:ind w:right="512"/>
              <w:spacing w:after="0"/>
              <w:rPr>
                <w:sz w:val="20"/>
                <w:szCs w:val="20"/>
                <w:color w:val="auto"/>
              </w:rPr>
            </w:pPr>
            <w:r>
              <w:rPr>
                <w:rFonts w:ascii="Arial" w:cs="Arial" w:eastAsia="Arial" w:hAnsi="Arial"/>
                <w:sz w:val="10"/>
                <w:szCs w:val="10"/>
                <w:color w:val="auto"/>
              </w:rPr>
              <w:t>8,071</w:t>
            </w:r>
          </w:p>
        </w:tc>
        <w:tc>
          <w:tcPr>
            <w:tcW w:w="1380" w:type="dxa"/>
            <w:vAlign w:val="bottom"/>
          </w:tcPr>
          <w:p>
            <w:pPr>
              <w:jc w:val="right"/>
              <w:ind w:right="532"/>
              <w:spacing w:after="0"/>
              <w:rPr>
                <w:sz w:val="20"/>
                <w:szCs w:val="20"/>
                <w:color w:val="auto"/>
              </w:rPr>
            </w:pPr>
            <w:r>
              <w:rPr>
                <w:rFonts w:ascii="Arial" w:cs="Arial" w:eastAsia="Arial" w:hAnsi="Arial"/>
                <w:sz w:val="10"/>
                <w:szCs w:val="10"/>
                <w:color w:val="auto"/>
              </w:rPr>
              <w:t>7,978</w:t>
            </w:r>
          </w:p>
        </w:tc>
        <w:tc>
          <w:tcPr>
            <w:tcW w:w="840" w:type="dxa"/>
            <w:vAlign w:val="bottom"/>
          </w:tcPr>
          <w:p>
            <w:pPr>
              <w:jc w:val="right"/>
              <w:spacing w:after="0"/>
              <w:rPr>
                <w:sz w:val="20"/>
                <w:szCs w:val="20"/>
                <w:color w:val="auto"/>
              </w:rPr>
            </w:pPr>
            <w:r>
              <w:rPr>
                <w:rFonts w:ascii="Arial" w:cs="Arial" w:eastAsia="Arial" w:hAnsi="Arial"/>
                <w:sz w:val="10"/>
                <w:szCs w:val="10"/>
                <w:color w:val="auto"/>
              </w:rPr>
              <w:t>7,888</w:t>
            </w:r>
          </w:p>
        </w:tc>
      </w:tr>
      <w:tr>
        <w:trPr>
          <w:trHeight w:val="123"/>
        </w:trPr>
        <w:tc>
          <w:tcPr>
            <w:tcW w:w="1440" w:type="dxa"/>
            <w:vAlign w:val="bottom"/>
          </w:tcPr>
          <w:p>
            <w:pPr>
              <w:spacing w:after="0"/>
              <w:rPr>
                <w:sz w:val="20"/>
                <w:szCs w:val="20"/>
                <w:color w:val="auto"/>
              </w:rPr>
            </w:pPr>
            <w:r>
              <w:rPr>
                <w:rFonts w:ascii="Arial" w:cs="Arial" w:eastAsia="Arial" w:hAnsi="Arial"/>
                <w:sz w:val="10"/>
                <w:szCs w:val="10"/>
                <w:color w:val="auto"/>
              </w:rPr>
              <w:t>Asia [B]</w:t>
            </w:r>
          </w:p>
        </w:tc>
        <w:tc>
          <w:tcPr>
            <w:tcW w:w="1780" w:type="dxa"/>
            <w:vAlign w:val="bottom"/>
          </w:tcPr>
          <w:p>
            <w:pPr>
              <w:jc w:val="right"/>
              <w:ind w:right="512"/>
              <w:spacing w:after="0"/>
              <w:rPr>
                <w:sz w:val="20"/>
                <w:szCs w:val="20"/>
                <w:color w:val="auto"/>
              </w:rPr>
            </w:pPr>
            <w:r>
              <w:rPr>
                <w:rFonts w:ascii="Arial" w:cs="Arial" w:eastAsia="Arial" w:hAnsi="Arial"/>
                <w:sz w:val="10"/>
                <w:szCs w:val="10"/>
                <w:color w:val="auto"/>
              </w:rPr>
              <w:t>10,387</w:t>
            </w:r>
          </w:p>
        </w:tc>
        <w:tc>
          <w:tcPr>
            <w:tcW w:w="1380" w:type="dxa"/>
            <w:vAlign w:val="bottom"/>
          </w:tcPr>
          <w:p>
            <w:pPr>
              <w:jc w:val="right"/>
              <w:ind w:right="532"/>
              <w:spacing w:after="0"/>
              <w:rPr>
                <w:sz w:val="20"/>
                <w:szCs w:val="20"/>
                <w:color w:val="auto"/>
              </w:rPr>
            </w:pPr>
            <w:r>
              <w:rPr>
                <w:rFonts w:ascii="Arial" w:cs="Arial" w:eastAsia="Arial" w:hAnsi="Arial"/>
                <w:sz w:val="10"/>
                <w:szCs w:val="10"/>
                <w:color w:val="auto"/>
              </w:rPr>
              <w:t>10,138</w:t>
            </w:r>
          </w:p>
        </w:tc>
        <w:tc>
          <w:tcPr>
            <w:tcW w:w="840" w:type="dxa"/>
            <w:vAlign w:val="bottom"/>
          </w:tcPr>
          <w:p>
            <w:pPr>
              <w:jc w:val="right"/>
              <w:spacing w:after="0"/>
              <w:rPr>
                <w:sz w:val="20"/>
                <w:szCs w:val="20"/>
                <w:color w:val="auto"/>
              </w:rPr>
            </w:pPr>
            <w:r>
              <w:rPr>
                <w:rFonts w:ascii="Arial" w:cs="Arial" w:eastAsia="Arial" w:hAnsi="Arial"/>
                <w:sz w:val="10"/>
                <w:szCs w:val="10"/>
                <w:color w:val="auto"/>
              </w:rPr>
              <w:t>9,754</w:t>
            </w:r>
          </w:p>
        </w:tc>
      </w:tr>
      <w:tr>
        <w:trPr>
          <w:trHeight w:val="126"/>
        </w:trPr>
        <w:tc>
          <w:tcPr>
            <w:tcW w:w="1440" w:type="dxa"/>
            <w:vAlign w:val="bottom"/>
          </w:tcPr>
          <w:p>
            <w:pPr>
              <w:spacing w:after="0"/>
              <w:rPr>
                <w:sz w:val="20"/>
                <w:szCs w:val="20"/>
                <w:color w:val="auto"/>
              </w:rPr>
            </w:pPr>
            <w:r>
              <w:rPr>
                <w:rFonts w:ascii="Arial" w:cs="Arial" w:eastAsia="Arial" w:hAnsi="Arial"/>
                <w:sz w:val="10"/>
                <w:szCs w:val="10"/>
                <w:color w:val="auto"/>
              </w:rPr>
              <w:t>Oceania [B]</w:t>
            </w:r>
          </w:p>
        </w:tc>
        <w:tc>
          <w:tcPr>
            <w:tcW w:w="1780" w:type="dxa"/>
            <w:vAlign w:val="bottom"/>
          </w:tcPr>
          <w:p>
            <w:pPr>
              <w:jc w:val="right"/>
              <w:ind w:right="512"/>
              <w:spacing w:after="0"/>
              <w:rPr>
                <w:sz w:val="20"/>
                <w:szCs w:val="20"/>
                <w:color w:val="auto"/>
              </w:rPr>
            </w:pPr>
            <w:r>
              <w:rPr>
                <w:rFonts w:ascii="Arial" w:cs="Arial" w:eastAsia="Arial" w:hAnsi="Arial"/>
                <w:sz w:val="10"/>
                <w:szCs w:val="10"/>
                <w:color w:val="auto"/>
              </w:rPr>
              <w:t>1,071</w:t>
            </w:r>
          </w:p>
        </w:tc>
        <w:tc>
          <w:tcPr>
            <w:tcW w:w="1380" w:type="dxa"/>
            <w:vAlign w:val="bottom"/>
          </w:tcPr>
          <w:p>
            <w:pPr>
              <w:jc w:val="right"/>
              <w:ind w:right="532"/>
              <w:spacing w:after="0"/>
              <w:rPr>
                <w:sz w:val="20"/>
                <w:szCs w:val="20"/>
                <w:color w:val="auto"/>
              </w:rPr>
            </w:pPr>
            <w:r>
              <w:rPr>
                <w:rFonts w:ascii="Arial" w:cs="Arial" w:eastAsia="Arial" w:hAnsi="Arial"/>
                <w:sz w:val="10"/>
                <w:szCs w:val="10"/>
                <w:color w:val="auto"/>
              </w:rPr>
              <w:t>1,038</w:t>
            </w:r>
          </w:p>
        </w:tc>
        <w:tc>
          <w:tcPr>
            <w:tcW w:w="840" w:type="dxa"/>
            <w:vAlign w:val="bottom"/>
          </w:tcPr>
          <w:p>
            <w:pPr>
              <w:jc w:val="right"/>
              <w:spacing w:after="0"/>
              <w:rPr>
                <w:sz w:val="20"/>
                <w:szCs w:val="20"/>
                <w:color w:val="auto"/>
              </w:rPr>
            </w:pPr>
            <w:r>
              <w:rPr>
                <w:rFonts w:ascii="Arial" w:cs="Arial" w:eastAsia="Arial" w:hAnsi="Arial"/>
                <w:sz w:val="10"/>
                <w:szCs w:val="10"/>
                <w:color w:val="auto"/>
              </w:rPr>
              <w:t>1,030</w:t>
            </w:r>
          </w:p>
        </w:tc>
      </w:tr>
      <w:tr>
        <w:trPr>
          <w:trHeight w:val="126"/>
        </w:trPr>
        <w:tc>
          <w:tcPr>
            <w:tcW w:w="1440" w:type="dxa"/>
            <w:vAlign w:val="bottom"/>
          </w:tcPr>
          <w:p>
            <w:pPr>
              <w:spacing w:after="0"/>
              <w:rPr>
                <w:sz w:val="20"/>
                <w:szCs w:val="20"/>
                <w:color w:val="auto"/>
              </w:rPr>
            </w:pPr>
            <w:r>
              <w:rPr>
                <w:rFonts w:ascii="Arial" w:cs="Arial" w:eastAsia="Arial" w:hAnsi="Arial"/>
                <w:sz w:val="10"/>
                <w:szCs w:val="10"/>
                <w:color w:val="auto"/>
              </w:rPr>
              <w:t>Africa</w:t>
            </w:r>
          </w:p>
        </w:tc>
        <w:tc>
          <w:tcPr>
            <w:tcW w:w="1780" w:type="dxa"/>
            <w:vAlign w:val="bottom"/>
          </w:tcPr>
          <w:p>
            <w:pPr>
              <w:jc w:val="right"/>
              <w:ind w:right="512"/>
              <w:spacing w:after="0"/>
              <w:rPr>
                <w:sz w:val="20"/>
                <w:szCs w:val="20"/>
                <w:color w:val="auto"/>
              </w:rPr>
            </w:pPr>
            <w:r>
              <w:rPr>
                <w:rFonts w:ascii="Arial" w:cs="Arial" w:eastAsia="Arial" w:hAnsi="Arial"/>
                <w:sz w:val="10"/>
                <w:szCs w:val="10"/>
                <w:color w:val="auto"/>
              </w:rPr>
              <w:t>2,622</w:t>
            </w:r>
          </w:p>
        </w:tc>
        <w:tc>
          <w:tcPr>
            <w:tcW w:w="1380" w:type="dxa"/>
            <w:vAlign w:val="bottom"/>
          </w:tcPr>
          <w:p>
            <w:pPr>
              <w:jc w:val="right"/>
              <w:ind w:right="532"/>
              <w:spacing w:after="0"/>
              <w:rPr>
                <w:sz w:val="20"/>
                <w:szCs w:val="20"/>
                <w:color w:val="auto"/>
              </w:rPr>
            </w:pPr>
            <w:r>
              <w:rPr>
                <w:rFonts w:ascii="Arial" w:cs="Arial" w:eastAsia="Arial" w:hAnsi="Arial"/>
                <w:sz w:val="10"/>
                <w:szCs w:val="10"/>
                <w:color w:val="auto"/>
              </w:rPr>
              <w:t>2,494</w:t>
            </w:r>
          </w:p>
        </w:tc>
        <w:tc>
          <w:tcPr>
            <w:tcW w:w="840" w:type="dxa"/>
            <w:vAlign w:val="bottom"/>
          </w:tcPr>
          <w:p>
            <w:pPr>
              <w:jc w:val="right"/>
              <w:spacing w:after="0"/>
              <w:rPr>
                <w:sz w:val="20"/>
                <w:szCs w:val="20"/>
                <w:color w:val="auto"/>
              </w:rPr>
            </w:pPr>
            <w:r>
              <w:rPr>
                <w:rFonts w:ascii="Arial" w:cs="Arial" w:eastAsia="Arial" w:hAnsi="Arial"/>
                <w:sz w:val="10"/>
                <w:szCs w:val="10"/>
                <w:color w:val="auto"/>
              </w:rPr>
              <w:t>2,502</w:t>
            </w:r>
          </w:p>
        </w:tc>
      </w:tr>
      <w:tr>
        <w:trPr>
          <w:trHeight w:val="130"/>
        </w:trPr>
        <w:tc>
          <w:tcPr>
            <w:tcW w:w="1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Americas</w:t>
            </w:r>
          </w:p>
        </w:tc>
        <w:tc>
          <w:tcPr>
            <w:tcW w:w="178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23,461</w:t>
            </w: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23,021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23,223</w:t>
            </w:r>
          </w:p>
        </w:tc>
      </w:tr>
      <w:tr>
        <w:trPr>
          <w:trHeight w:val="114"/>
        </w:trPr>
        <w:tc>
          <w:tcPr>
            <w:tcW w:w="1440" w:type="dxa"/>
            <w:vAlign w:val="bottom"/>
          </w:tcPr>
          <w:p>
            <w:pPr>
              <w:spacing w:after="0"/>
              <w:rPr>
                <w:sz w:val="20"/>
                <w:szCs w:val="20"/>
                <w:color w:val="auto"/>
              </w:rPr>
            </w:pPr>
            <w:r>
              <w:rPr>
                <w:rFonts w:ascii="Arial" w:cs="Arial" w:eastAsia="Arial" w:hAnsi="Arial"/>
                <w:sz w:val="10"/>
                <w:szCs w:val="10"/>
                <w:color w:val="auto"/>
              </w:rPr>
              <w:t>Total</w:t>
            </w:r>
          </w:p>
        </w:tc>
        <w:tc>
          <w:tcPr>
            <w:tcW w:w="1780" w:type="dxa"/>
            <w:vAlign w:val="bottom"/>
          </w:tcPr>
          <w:p>
            <w:pPr>
              <w:jc w:val="right"/>
              <w:ind w:right="512"/>
              <w:spacing w:after="0"/>
              <w:rPr>
                <w:sz w:val="20"/>
                <w:szCs w:val="20"/>
                <w:color w:val="auto"/>
              </w:rPr>
            </w:pPr>
            <w:r>
              <w:rPr>
                <w:rFonts w:ascii="Arial" w:cs="Arial" w:eastAsia="Arial" w:hAnsi="Arial"/>
                <w:sz w:val="10"/>
                <w:szCs w:val="10"/>
                <w:color w:val="auto"/>
              </w:rPr>
              <w:t>45,612</w:t>
            </w:r>
          </w:p>
        </w:tc>
        <w:tc>
          <w:tcPr>
            <w:tcW w:w="1380" w:type="dxa"/>
            <w:vAlign w:val="bottom"/>
          </w:tcPr>
          <w:p>
            <w:pPr>
              <w:jc w:val="right"/>
              <w:ind w:right="532"/>
              <w:spacing w:after="0"/>
              <w:rPr>
                <w:sz w:val="20"/>
                <w:szCs w:val="20"/>
                <w:color w:val="auto"/>
              </w:rPr>
            </w:pPr>
            <w:r>
              <w:rPr>
                <w:rFonts w:ascii="Arial" w:cs="Arial" w:eastAsia="Arial" w:hAnsi="Arial"/>
                <w:sz w:val="10"/>
                <w:szCs w:val="10"/>
                <w:color w:val="auto"/>
              </w:rPr>
              <w:t>44,669</w:t>
            </w:r>
          </w:p>
        </w:tc>
        <w:tc>
          <w:tcPr>
            <w:tcW w:w="840" w:type="dxa"/>
            <w:vAlign w:val="bottom"/>
          </w:tcPr>
          <w:p>
            <w:pPr>
              <w:jc w:val="right"/>
              <w:spacing w:after="0"/>
              <w:rPr>
                <w:sz w:val="20"/>
                <w:szCs w:val="20"/>
                <w:color w:val="auto"/>
              </w:rPr>
            </w:pPr>
            <w:r>
              <w:rPr>
                <w:rFonts w:ascii="Arial" w:cs="Arial" w:eastAsia="Arial" w:hAnsi="Arial"/>
                <w:sz w:val="10"/>
                <w:szCs w:val="10"/>
                <w:color w:val="auto"/>
              </w:rPr>
              <w:t>44,397</w:t>
            </w:r>
          </w:p>
        </w:tc>
      </w:tr>
    </w:tbl>
    <w:p>
      <w:pPr>
        <w:spacing w:after="0" w:line="69" w:lineRule="exact"/>
        <w:rPr>
          <w:sz w:val="20"/>
          <w:szCs w:val="20"/>
          <w:color w:val="auto"/>
        </w:rPr>
      </w:pPr>
    </w:p>
    <w:p>
      <w:pPr>
        <w:ind w:left="128" w:hanging="128"/>
        <w:spacing w:after="0"/>
        <w:tabs>
          <w:tab w:leader="none" w:pos="128" w:val="left"/>
        </w:tabs>
        <w:numPr>
          <w:ilvl w:val="0"/>
          <w:numId w:val="43"/>
        </w:numPr>
        <w:rPr>
          <w:rFonts w:ascii="Arial" w:cs="Arial" w:eastAsia="Arial" w:hAnsi="Arial"/>
          <w:sz w:val="7"/>
          <w:szCs w:val="7"/>
          <w:color w:val="auto"/>
        </w:rPr>
      </w:pPr>
      <w:r>
        <w:rPr>
          <w:rFonts w:ascii="Arial" w:cs="Arial" w:eastAsia="Arial" w:hAnsi="Arial"/>
          <w:sz w:val="7"/>
          <w:szCs w:val="7"/>
          <w:color w:val="auto"/>
        </w:rPr>
        <w:t>Excludes sites closed for more than six months.</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43"/>
        </w:numPr>
        <w:rPr>
          <w:rFonts w:ascii="Arial" w:cs="Arial" w:eastAsia="Arial" w:hAnsi="Arial"/>
          <w:sz w:val="7"/>
          <w:szCs w:val="7"/>
          <w:color w:val="auto"/>
        </w:rPr>
      </w:pPr>
      <w:r>
        <w:rPr>
          <w:rFonts w:ascii="Arial" w:cs="Arial" w:eastAsia="Arial" w:hAnsi="Arial"/>
          <w:sz w:val="7"/>
          <w:szCs w:val="7"/>
          <w:color w:val="auto"/>
        </w:rPr>
        <w:t>Asia includes Turkey and Russia; Oceania includes French Polynesia, Guam, Palau and New Caledonia.</w:t>
      </w:r>
    </w:p>
    <w:p>
      <w:pPr>
        <w:spacing w:after="0" w:line="382"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56</w:t>
            </w:r>
          </w:p>
        </w:tc>
      </w:tr>
      <w:tr>
        <w:trPr>
          <w:trHeight w:val="142"/>
        </w:trPr>
        <w:tc>
          <w:tcPr>
            <w:tcW w:w="3500" w:type="dxa"/>
            <w:vAlign w:val="bottom"/>
            <w:tcBorders>
              <w:bottom w:val="single" w:sz="8" w:color="9A9A9A"/>
            </w:tcBorders>
          </w:tcPr>
          <w:p>
            <w:pPr>
              <w:spacing w:after="0"/>
              <w:rPr>
                <w:sz w:val="12"/>
                <w:szCs w:val="12"/>
                <w:color w:val="auto"/>
              </w:rPr>
            </w:pPr>
          </w:p>
        </w:tc>
        <w:tc>
          <w:tcPr>
            <w:tcW w:w="78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937" w:right="299" w:bottom="1440" w:gutter="0" w:footer="0" w:header="0"/>
        </w:sectPr>
      </w:pPr>
    </w:p>
    <w:bookmarkStart w:id="59" w:name="page60"/>
    <w:bookmarkEnd w:id="59"/>
    <w:p>
      <w:pPr>
        <w:ind w:left="8"/>
        <w:spacing w:after="0"/>
        <w:rPr>
          <w:sz w:val="20"/>
          <w:szCs w:val="20"/>
          <w:color w:val="auto"/>
        </w:rPr>
      </w:pPr>
      <w:r>
        <w:rPr>
          <w:rFonts w:ascii="Arial" w:cs="Arial" w:eastAsia="Arial" w:hAnsi="Arial"/>
          <w:sz w:val="22"/>
          <w:szCs w:val="22"/>
          <w:color w:val="auto"/>
        </w:rPr>
        <w:t>CHEMICALS</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52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w w:val="88"/>
              </w:rPr>
              <w:t>$ million, except where indicated</w:t>
            </w:r>
          </w:p>
        </w:tc>
      </w:tr>
      <w:tr>
        <w:trPr>
          <w:trHeight w:val="119"/>
        </w:trPr>
        <w:tc>
          <w:tcPr>
            <w:tcW w:w="522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jc w:val="right"/>
              <w:ind w:right="472"/>
              <w:spacing w:after="0"/>
              <w:rPr>
                <w:sz w:val="20"/>
                <w:szCs w:val="20"/>
                <w:color w:val="auto"/>
              </w:rPr>
            </w:pPr>
            <w:r>
              <w:rPr>
                <w:rFonts w:ascii="Arial" w:cs="Arial" w:eastAsia="Arial" w:hAnsi="Arial"/>
                <w:sz w:val="8"/>
                <w:szCs w:val="8"/>
                <w:color w:val="auto"/>
              </w:rPr>
              <w:t>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2018</w:t>
            </w:r>
          </w:p>
        </w:tc>
      </w:tr>
      <w:tr>
        <w:trPr>
          <w:trHeight w:val="116"/>
        </w:trPr>
        <w:tc>
          <w:tcPr>
            <w:tcW w:w="5220" w:type="dxa"/>
            <w:vAlign w:val="bottom"/>
          </w:tcPr>
          <w:p>
            <w:pPr>
              <w:spacing w:after="0"/>
              <w:rPr>
                <w:sz w:val="20"/>
                <w:szCs w:val="20"/>
                <w:color w:val="auto"/>
              </w:rPr>
            </w:pPr>
            <w:r>
              <w:rPr>
                <w:rFonts w:ascii="Arial" w:cs="Arial" w:eastAsia="Arial" w:hAnsi="Arial"/>
                <w:sz w:val="10"/>
                <w:szCs w:val="10"/>
                <w:color w:val="auto"/>
              </w:rPr>
              <w:t>Segment earnings [A]</w:t>
            </w:r>
          </w:p>
        </w:tc>
        <w:tc>
          <w:tcPr>
            <w:tcW w:w="3940" w:type="dxa"/>
            <w:vAlign w:val="bottom"/>
          </w:tcPr>
          <w:p>
            <w:pPr>
              <w:jc w:val="right"/>
              <w:ind w:right="472"/>
              <w:spacing w:after="0"/>
              <w:rPr>
                <w:sz w:val="20"/>
                <w:szCs w:val="20"/>
                <w:color w:val="auto"/>
              </w:rPr>
            </w:pPr>
            <w:r>
              <w:rPr>
                <w:rFonts w:ascii="Arial" w:cs="Arial" w:eastAsia="Arial" w:hAnsi="Arial"/>
                <w:sz w:val="10"/>
                <w:szCs w:val="10"/>
                <w:color w:val="auto"/>
              </w:rPr>
              <w:t>808</w:t>
            </w:r>
          </w:p>
        </w:tc>
        <w:tc>
          <w:tcPr>
            <w:tcW w:w="820" w:type="dxa"/>
            <w:vAlign w:val="bottom"/>
          </w:tcPr>
          <w:p>
            <w:pPr>
              <w:jc w:val="right"/>
              <w:spacing w:after="0"/>
              <w:rPr>
                <w:sz w:val="20"/>
                <w:szCs w:val="20"/>
                <w:color w:val="auto"/>
              </w:rPr>
            </w:pPr>
            <w:r>
              <w:rPr>
                <w:rFonts w:ascii="Arial" w:cs="Arial" w:eastAsia="Arial" w:hAnsi="Arial"/>
                <w:sz w:val="10"/>
                <w:szCs w:val="10"/>
                <w:color w:val="auto"/>
              </w:rPr>
              <w:t>478</w:t>
            </w:r>
          </w:p>
        </w:tc>
        <w:tc>
          <w:tcPr>
            <w:tcW w:w="1320" w:type="dxa"/>
            <w:vAlign w:val="bottom"/>
          </w:tcPr>
          <w:p>
            <w:pPr>
              <w:jc w:val="right"/>
              <w:spacing w:after="0"/>
              <w:rPr>
                <w:sz w:val="20"/>
                <w:szCs w:val="20"/>
                <w:color w:val="auto"/>
              </w:rPr>
            </w:pPr>
            <w:r>
              <w:rPr>
                <w:rFonts w:ascii="Arial" w:cs="Arial" w:eastAsia="Arial" w:hAnsi="Arial"/>
                <w:sz w:val="10"/>
                <w:szCs w:val="10"/>
                <w:color w:val="auto"/>
              </w:rPr>
              <w:t>1,884</w:t>
            </w:r>
          </w:p>
        </w:tc>
      </w:tr>
      <w:tr>
        <w:trPr>
          <w:trHeight w:val="123"/>
        </w:trPr>
        <w:tc>
          <w:tcPr>
            <w:tcW w:w="5220" w:type="dxa"/>
            <w:vAlign w:val="bottom"/>
          </w:tcPr>
          <w:p>
            <w:pPr>
              <w:spacing w:after="0"/>
              <w:rPr>
                <w:sz w:val="20"/>
                <w:szCs w:val="20"/>
                <w:color w:val="auto"/>
              </w:rPr>
            </w:pPr>
            <w:r>
              <w:rPr>
                <w:rFonts w:ascii="Arial" w:cs="Arial" w:eastAsia="Arial" w:hAnsi="Arial"/>
                <w:sz w:val="10"/>
                <w:szCs w:val="10"/>
                <w:color w:val="auto"/>
              </w:rPr>
              <w:t>Including:</w:t>
            </w:r>
          </w:p>
        </w:tc>
        <w:tc>
          <w:tcPr>
            <w:tcW w:w="3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26"/>
        </w:trPr>
        <w:tc>
          <w:tcPr>
            <w:tcW w:w="5220" w:type="dxa"/>
            <w:vAlign w:val="bottom"/>
          </w:tcPr>
          <w:p>
            <w:pPr>
              <w:ind w:left="140"/>
              <w:spacing w:after="0"/>
              <w:rPr>
                <w:sz w:val="20"/>
                <w:szCs w:val="20"/>
                <w:color w:val="auto"/>
              </w:rPr>
            </w:pPr>
            <w:r>
              <w:rPr>
                <w:rFonts w:ascii="Arial" w:cs="Arial" w:eastAsia="Arial" w:hAnsi="Arial"/>
                <w:sz w:val="10"/>
                <w:szCs w:val="10"/>
                <w:color w:val="auto"/>
              </w:rPr>
              <w:t>Revenue (including inter-segment sales)</w:t>
            </w:r>
          </w:p>
        </w:tc>
        <w:tc>
          <w:tcPr>
            <w:tcW w:w="3940" w:type="dxa"/>
            <w:vAlign w:val="bottom"/>
          </w:tcPr>
          <w:p>
            <w:pPr>
              <w:jc w:val="right"/>
              <w:ind w:right="512"/>
              <w:spacing w:after="0"/>
              <w:rPr>
                <w:sz w:val="20"/>
                <w:szCs w:val="20"/>
                <w:color w:val="auto"/>
              </w:rPr>
            </w:pPr>
            <w:r>
              <w:rPr>
                <w:rFonts w:ascii="Arial" w:cs="Arial" w:eastAsia="Arial" w:hAnsi="Arial"/>
                <w:sz w:val="10"/>
                <w:szCs w:val="10"/>
                <w:color w:val="auto"/>
              </w:rPr>
              <w:t>14,571</w:t>
            </w:r>
          </w:p>
        </w:tc>
        <w:tc>
          <w:tcPr>
            <w:tcW w:w="820" w:type="dxa"/>
            <w:vAlign w:val="bottom"/>
          </w:tcPr>
          <w:p>
            <w:pPr>
              <w:jc w:val="right"/>
              <w:spacing w:after="0"/>
              <w:rPr>
                <w:sz w:val="20"/>
                <w:szCs w:val="20"/>
                <w:color w:val="auto"/>
              </w:rPr>
            </w:pPr>
            <w:r>
              <w:rPr>
                <w:rFonts w:ascii="Arial" w:cs="Arial" w:eastAsia="Arial" w:hAnsi="Arial"/>
                <w:sz w:val="10"/>
                <w:szCs w:val="10"/>
                <w:color w:val="auto"/>
              </w:rPr>
              <w:t>17,485</w:t>
            </w:r>
          </w:p>
        </w:tc>
        <w:tc>
          <w:tcPr>
            <w:tcW w:w="1320" w:type="dxa"/>
            <w:vAlign w:val="bottom"/>
          </w:tcPr>
          <w:p>
            <w:pPr>
              <w:jc w:val="right"/>
              <w:spacing w:after="0"/>
              <w:rPr>
                <w:sz w:val="20"/>
                <w:szCs w:val="20"/>
                <w:color w:val="auto"/>
              </w:rPr>
            </w:pPr>
            <w:r>
              <w:rPr>
                <w:rFonts w:ascii="Arial" w:cs="Arial" w:eastAsia="Arial" w:hAnsi="Arial"/>
                <w:sz w:val="10"/>
                <w:szCs w:val="10"/>
                <w:color w:val="auto"/>
              </w:rPr>
              <w:t>23,568</w:t>
            </w:r>
          </w:p>
        </w:tc>
      </w:tr>
      <w:tr>
        <w:trPr>
          <w:trHeight w:val="126"/>
        </w:trPr>
        <w:tc>
          <w:tcPr>
            <w:tcW w:w="5220" w:type="dxa"/>
            <w:vAlign w:val="bottom"/>
          </w:tcPr>
          <w:p>
            <w:pPr>
              <w:ind w:left="140"/>
              <w:spacing w:after="0"/>
              <w:rPr>
                <w:sz w:val="20"/>
                <w:szCs w:val="20"/>
                <w:color w:val="auto"/>
              </w:rPr>
            </w:pPr>
            <w:r>
              <w:rPr>
                <w:rFonts w:ascii="Arial" w:cs="Arial" w:eastAsia="Arial" w:hAnsi="Arial"/>
                <w:sz w:val="10"/>
                <w:szCs w:val="10"/>
                <w:color w:val="auto"/>
              </w:rPr>
              <w:t>Share of profit of joint ventures and associates [A]</w:t>
            </w:r>
          </w:p>
        </w:tc>
        <w:tc>
          <w:tcPr>
            <w:tcW w:w="3940" w:type="dxa"/>
            <w:vAlign w:val="bottom"/>
          </w:tcPr>
          <w:p>
            <w:pPr>
              <w:jc w:val="right"/>
              <w:ind w:right="512"/>
              <w:spacing w:after="0"/>
              <w:rPr>
                <w:sz w:val="20"/>
                <w:szCs w:val="20"/>
                <w:color w:val="auto"/>
              </w:rPr>
            </w:pPr>
            <w:r>
              <w:rPr>
                <w:rFonts w:ascii="Arial" w:cs="Arial" w:eastAsia="Arial" w:hAnsi="Arial"/>
                <w:sz w:val="10"/>
                <w:szCs w:val="10"/>
                <w:color w:val="auto"/>
              </w:rPr>
              <w:t>567</w:t>
            </w:r>
          </w:p>
        </w:tc>
        <w:tc>
          <w:tcPr>
            <w:tcW w:w="820" w:type="dxa"/>
            <w:vAlign w:val="bottom"/>
          </w:tcPr>
          <w:p>
            <w:pPr>
              <w:jc w:val="right"/>
              <w:spacing w:after="0"/>
              <w:rPr>
                <w:sz w:val="20"/>
                <w:szCs w:val="20"/>
                <w:color w:val="auto"/>
              </w:rPr>
            </w:pPr>
            <w:r>
              <w:rPr>
                <w:rFonts w:ascii="Arial" w:cs="Arial" w:eastAsia="Arial" w:hAnsi="Arial"/>
                <w:sz w:val="10"/>
                <w:szCs w:val="10"/>
                <w:color w:val="auto"/>
              </w:rPr>
              <w:t>546</w:t>
            </w:r>
          </w:p>
        </w:tc>
        <w:tc>
          <w:tcPr>
            <w:tcW w:w="1320" w:type="dxa"/>
            <w:vAlign w:val="bottom"/>
          </w:tcPr>
          <w:p>
            <w:pPr>
              <w:jc w:val="right"/>
              <w:spacing w:after="0"/>
              <w:rPr>
                <w:sz w:val="20"/>
                <w:szCs w:val="20"/>
                <w:color w:val="auto"/>
              </w:rPr>
            </w:pPr>
            <w:r>
              <w:rPr>
                <w:rFonts w:ascii="Arial" w:cs="Arial" w:eastAsia="Arial" w:hAnsi="Arial"/>
                <w:sz w:val="10"/>
                <w:szCs w:val="10"/>
                <w:color w:val="auto"/>
              </w:rPr>
              <w:t>684</w:t>
            </w:r>
          </w:p>
        </w:tc>
      </w:tr>
      <w:tr>
        <w:trPr>
          <w:trHeight w:val="126"/>
        </w:trPr>
        <w:tc>
          <w:tcPr>
            <w:tcW w:w="5220" w:type="dxa"/>
            <w:vAlign w:val="bottom"/>
          </w:tcPr>
          <w:p>
            <w:pPr>
              <w:ind w:left="140"/>
              <w:spacing w:after="0"/>
              <w:rPr>
                <w:sz w:val="20"/>
                <w:szCs w:val="20"/>
                <w:color w:val="auto"/>
              </w:rPr>
            </w:pPr>
            <w:r>
              <w:rPr>
                <w:rFonts w:ascii="Arial" w:cs="Arial" w:eastAsia="Arial" w:hAnsi="Arial"/>
                <w:sz w:val="10"/>
                <w:szCs w:val="10"/>
                <w:color w:val="auto"/>
              </w:rPr>
              <w:t>Interest and other income</w:t>
            </w:r>
          </w:p>
        </w:tc>
        <w:tc>
          <w:tcPr>
            <w:tcW w:w="3940" w:type="dxa"/>
            <w:vAlign w:val="bottom"/>
          </w:tcPr>
          <w:p>
            <w:pPr>
              <w:jc w:val="right"/>
              <w:ind w:right="512"/>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(7)</w:t>
            </w:r>
          </w:p>
        </w:tc>
        <w:tc>
          <w:tcPr>
            <w:tcW w:w="1320" w:type="dxa"/>
            <w:vAlign w:val="bottom"/>
          </w:tcPr>
          <w:p>
            <w:pPr>
              <w:jc w:val="right"/>
              <w:spacing w:after="0"/>
              <w:rPr>
                <w:sz w:val="20"/>
                <w:szCs w:val="20"/>
                <w:color w:val="auto"/>
              </w:rPr>
            </w:pPr>
            <w:r>
              <w:rPr>
                <w:rFonts w:ascii="Arial" w:cs="Arial" w:eastAsia="Arial" w:hAnsi="Arial"/>
                <w:sz w:val="10"/>
                <w:szCs w:val="10"/>
                <w:color w:val="auto"/>
              </w:rPr>
              <w:t>(53)</w:t>
            </w:r>
          </w:p>
        </w:tc>
      </w:tr>
      <w:tr>
        <w:trPr>
          <w:trHeight w:val="126"/>
        </w:trPr>
        <w:tc>
          <w:tcPr>
            <w:tcW w:w="5220" w:type="dxa"/>
            <w:vAlign w:val="bottom"/>
          </w:tcPr>
          <w:p>
            <w:pPr>
              <w:ind w:left="140"/>
              <w:spacing w:after="0"/>
              <w:rPr>
                <w:sz w:val="20"/>
                <w:szCs w:val="20"/>
                <w:color w:val="auto"/>
              </w:rPr>
            </w:pPr>
            <w:r>
              <w:rPr>
                <w:rFonts w:ascii="Arial" w:cs="Arial" w:eastAsia="Arial" w:hAnsi="Arial"/>
                <w:sz w:val="10"/>
                <w:szCs w:val="10"/>
                <w:color w:val="auto"/>
              </w:rPr>
              <w:t>Operating expenses [B]</w:t>
            </w:r>
          </w:p>
        </w:tc>
        <w:tc>
          <w:tcPr>
            <w:tcW w:w="3940" w:type="dxa"/>
            <w:vAlign w:val="bottom"/>
          </w:tcPr>
          <w:p>
            <w:pPr>
              <w:jc w:val="right"/>
              <w:ind w:right="512"/>
              <w:spacing w:after="0"/>
              <w:rPr>
                <w:sz w:val="20"/>
                <w:szCs w:val="20"/>
                <w:color w:val="auto"/>
              </w:rPr>
            </w:pPr>
            <w:r>
              <w:rPr>
                <w:rFonts w:ascii="Arial" w:cs="Arial" w:eastAsia="Arial" w:hAnsi="Arial"/>
                <w:sz w:val="10"/>
                <w:szCs w:val="10"/>
                <w:color w:val="auto"/>
              </w:rPr>
              <w:t>3,235</w:t>
            </w:r>
          </w:p>
        </w:tc>
        <w:tc>
          <w:tcPr>
            <w:tcW w:w="820" w:type="dxa"/>
            <w:vAlign w:val="bottom"/>
          </w:tcPr>
          <w:p>
            <w:pPr>
              <w:jc w:val="right"/>
              <w:spacing w:after="0"/>
              <w:rPr>
                <w:sz w:val="20"/>
                <w:szCs w:val="20"/>
                <w:color w:val="auto"/>
              </w:rPr>
            </w:pPr>
            <w:r>
              <w:rPr>
                <w:rFonts w:ascii="Arial" w:cs="Arial" w:eastAsia="Arial" w:hAnsi="Arial"/>
                <w:sz w:val="10"/>
                <w:szCs w:val="10"/>
                <w:color w:val="auto"/>
              </w:rPr>
              <w:t>3,430</w:t>
            </w:r>
          </w:p>
        </w:tc>
        <w:tc>
          <w:tcPr>
            <w:tcW w:w="1320" w:type="dxa"/>
            <w:vAlign w:val="bottom"/>
          </w:tcPr>
          <w:p>
            <w:pPr>
              <w:jc w:val="right"/>
              <w:spacing w:after="0"/>
              <w:rPr>
                <w:sz w:val="20"/>
                <w:szCs w:val="20"/>
                <w:color w:val="auto"/>
              </w:rPr>
            </w:pPr>
            <w:r>
              <w:rPr>
                <w:rFonts w:ascii="Arial" w:cs="Arial" w:eastAsia="Arial" w:hAnsi="Arial"/>
                <w:sz w:val="10"/>
                <w:szCs w:val="10"/>
                <w:color w:val="auto"/>
              </w:rPr>
              <w:t>3,594</w:t>
            </w:r>
          </w:p>
        </w:tc>
      </w:tr>
      <w:tr>
        <w:trPr>
          <w:trHeight w:val="126"/>
        </w:trPr>
        <w:tc>
          <w:tcPr>
            <w:tcW w:w="5220" w:type="dxa"/>
            <w:vAlign w:val="bottom"/>
          </w:tcPr>
          <w:p>
            <w:pPr>
              <w:ind w:left="140"/>
              <w:spacing w:after="0"/>
              <w:rPr>
                <w:sz w:val="20"/>
                <w:szCs w:val="20"/>
                <w:color w:val="auto"/>
              </w:rPr>
            </w:pPr>
            <w:r>
              <w:rPr>
                <w:rFonts w:ascii="Arial" w:cs="Arial" w:eastAsia="Arial" w:hAnsi="Arial"/>
                <w:sz w:val="10"/>
                <w:szCs w:val="10"/>
                <w:color w:val="auto"/>
              </w:rPr>
              <w:t>Depreciation, depletion and amortisation</w:t>
            </w:r>
          </w:p>
        </w:tc>
        <w:tc>
          <w:tcPr>
            <w:tcW w:w="3940" w:type="dxa"/>
            <w:vAlign w:val="bottom"/>
          </w:tcPr>
          <w:p>
            <w:pPr>
              <w:jc w:val="right"/>
              <w:ind w:right="512"/>
              <w:spacing w:after="0"/>
              <w:rPr>
                <w:sz w:val="20"/>
                <w:szCs w:val="20"/>
                <w:color w:val="auto"/>
              </w:rPr>
            </w:pPr>
            <w:r>
              <w:rPr>
                <w:rFonts w:ascii="Arial" w:cs="Arial" w:eastAsia="Arial" w:hAnsi="Arial"/>
                <w:sz w:val="10"/>
                <w:szCs w:val="10"/>
                <w:color w:val="auto"/>
              </w:rPr>
              <w:t>1,116</w:t>
            </w:r>
          </w:p>
        </w:tc>
        <w:tc>
          <w:tcPr>
            <w:tcW w:w="820" w:type="dxa"/>
            <w:vAlign w:val="bottom"/>
          </w:tcPr>
          <w:p>
            <w:pPr>
              <w:jc w:val="right"/>
              <w:spacing w:after="0"/>
              <w:rPr>
                <w:sz w:val="20"/>
                <w:szCs w:val="20"/>
                <w:color w:val="auto"/>
              </w:rPr>
            </w:pPr>
            <w:r>
              <w:rPr>
                <w:rFonts w:ascii="Arial" w:cs="Arial" w:eastAsia="Arial" w:hAnsi="Arial"/>
                <w:sz w:val="10"/>
                <w:szCs w:val="10"/>
                <w:color w:val="auto"/>
              </w:rPr>
              <w:t>1,074</w:t>
            </w:r>
          </w:p>
        </w:tc>
        <w:tc>
          <w:tcPr>
            <w:tcW w:w="1320" w:type="dxa"/>
            <w:vAlign w:val="bottom"/>
          </w:tcPr>
          <w:p>
            <w:pPr>
              <w:jc w:val="right"/>
              <w:spacing w:after="0"/>
              <w:rPr>
                <w:sz w:val="20"/>
                <w:szCs w:val="20"/>
                <w:color w:val="auto"/>
              </w:rPr>
            </w:pPr>
            <w:r>
              <w:rPr>
                <w:rFonts w:ascii="Arial" w:cs="Arial" w:eastAsia="Arial" w:hAnsi="Arial"/>
                <w:sz w:val="10"/>
                <w:szCs w:val="10"/>
                <w:color w:val="auto"/>
              </w:rPr>
              <w:t>1,034</w:t>
            </w:r>
          </w:p>
        </w:tc>
      </w:tr>
      <w:tr>
        <w:trPr>
          <w:trHeight w:val="130"/>
        </w:trPr>
        <w:tc>
          <w:tcPr>
            <w:tcW w:w="522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Taxation charge [A]</w:t>
            </w:r>
          </w:p>
        </w:tc>
        <w:tc>
          <w:tcPr>
            <w:tcW w:w="39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339</w:t>
            </w:r>
          </w:p>
        </w:tc>
      </w:tr>
      <w:tr>
        <w:trPr>
          <w:trHeight w:val="114"/>
        </w:trPr>
        <w:tc>
          <w:tcPr>
            <w:tcW w:w="5220" w:type="dxa"/>
            <w:vAlign w:val="bottom"/>
          </w:tcPr>
          <w:p>
            <w:pPr>
              <w:spacing w:after="0"/>
              <w:rPr>
                <w:sz w:val="20"/>
                <w:szCs w:val="20"/>
                <w:color w:val="auto"/>
              </w:rPr>
            </w:pPr>
            <w:r>
              <w:rPr>
                <w:rFonts w:ascii="Arial" w:cs="Arial" w:eastAsia="Arial" w:hAnsi="Arial"/>
                <w:sz w:val="10"/>
                <w:szCs w:val="10"/>
                <w:color w:val="auto"/>
              </w:rPr>
              <w:t>Identified Items [B]</w:t>
            </w:r>
          </w:p>
        </w:tc>
        <w:tc>
          <w:tcPr>
            <w:tcW w:w="3940" w:type="dxa"/>
            <w:vAlign w:val="bottom"/>
          </w:tcPr>
          <w:p>
            <w:pPr>
              <w:jc w:val="right"/>
              <w:ind w:right="472"/>
              <w:spacing w:after="0"/>
              <w:rPr>
                <w:sz w:val="20"/>
                <w:szCs w:val="20"/>
                <w:color w:val="auto"/>
              </w:rPr>
            </w:pPr>
            <w:r>
              <w:rPr>
                <w:rFonts w:ascii="Arial" w:cs="Arial" w:eastAsia="Arial" w:hAnsi="Arial"/>
                <w:sz w:val="10"/>
                <w:szCs w:val="10"/>
                <w:color w:val="auto"/>
              </w:rPr>
              <w:t>(154)</w:t>
            </w:r>
          </w:p>
        </w:tc>
        <w:tc>
          <w:tcPr>
            <w:tcW w:w="820" w:type="dxa"/>
            <w:vAlign w:val="bottom"/>
          </w:tcPr>
          <w:p>
            <w:pPr>
              <w:jc w:val="right"/>
              <w:spacing w:after="0"/>
              <w:rPr>
                <w:sz w:val="20"/>
                <w:szCs w:val="20"/>
                <w:color w:val="auto"/>
              </w:rPr>
            </w:pPr>
            <w:r>
              <w:rPr>
                <w:rFonts w:ascii="Arial" w:cs="Arial" w:eastAsia="Arial" w:hAnsi="Arial"/>
                <w:sz w:val="10"/>
                <w:szCs w:val="10"/>
                <w:color w:val="auto"/>
              </w:rPr>
              <w:t>(263)</w:t>
            </w:r>
          </w:p>
        </w:tc>
        <w:tc>
          <w:tcPr>
            <w:tcW w:w="1320" w:type="dxa"/>
            <w:vAlign w:val="bottom"/>
          </w:tcPr>
          <w:p>
            <w:pPr>
              <w:jc w:val="right"/>
              <w:spacing w:after="0"/>
              <w:rPr>
                <w:sz w:val="20"/>
                <w:szCs w:val="20"/>
                <w:color w:val="auto"/>
              </w:rPr>
            </w:pPr>
            <w:r>
              <w:rPr>
                <w:rFonts w:ascii="Arial" w:cs="Arial" w:eastAsia="Arial" w:hAnsi="Arial"/>
                <w:sz w:val="10"/>
                <w:szCs w:val="10"/>
                <w:color w:val="auto"/>
              </w:rPr>
              <w:t>(192)</w:t>
            </w:r>
          </w:p>
        </w:tc>
      </w:tr>
      <w:tr>
        <w:trPr>
          <w:trHeight w:val="123"/>
        </w:trPr>
        <w:tc>
          <w:tcPr>
            <w:tcW w:w="5220" w:type="dxa"/>
            <w:vAlign w:val="bottom"/>
          </w:tcPr>
          <w:p>
            <w:pPr>
              <w:spacing w:after="0"/>
              <w:rPr>
                <w:sz w:val="20"/>
                <w:szCs w:val="20"/>
                <w:color w:val="auto"/>
              </w:rPr>
            </w:pPr>
            <w:r>
              <w:rPr>
                <w:rFonts w:ascii="Arial" w:cs="Arial" w:eastAsia="Arial" w:hAnsi="Arial"/>
                <w:sz w:val="10"/>
                <w:szCs w:val="10"/>
                <w:color w:val="auto"/>
              </w:rPr>
              <w:t>Adjusted Earnings [B]</w:t>
            </w:r>
          </w:p>
        </w:tc>
        <w:tc>
          <w:tcPr>
            <w:tcW w:w="3940" w:type="dxa"/>
            <w:vAlign w:val="bottom"/>
          </w:tcPr>
          <w:p>
            <w:pPr>
              <w:jc w:val="right"/>
              <w:ind w:right="512"/>
              <w:spacing w:after="0"/>
              <w:rPr>
                <w:sz w:val="20"/>
                <w:szCs w:val="20"/>
                <w:color w:val="auto"/>
              </w:rPr>
            </w:pPr>
            <w:r>
              <w:rPr>
                <w:rFonts w:ascii="Arial" w:cs="Arial" w:eastAsia="Arial" w:hAnsi="Arial"/>
                <w:sz w:val="10"/>
                <w:szCs w:val="10"/>
                <w:color w:val="auto"/>
              </w:rPr>
              <w:t>962</w:t>
            </w:r>
          </w:p>
        </w:tc>
        <w:tc>
          <w:tcPr>
            <w:tcW w:w="820" w:type="dxa"/>
            <w:vAlign w:val="bottom"/>
          </w:tcPr>
          <w:p>
            <w:pPr>
              <w:jc w:val="right"/>
              <w:spacing w:after="0"/>
              <w:rPr>
                <w:sz w:val="20"/>
                <w:szCs w:val="20"/>
                <w:color w:val="auto"/>
              </w:rPr>
            </w:pPr>
            <w:r>
              <w:rPr>
                <w:rFonts w:ascii="Arial" w:cs="Arial" w:eastAsia="Arial" w:hAnsi="Arial"/>
                <w:sz w:val="10"/>
                <w:szCs w:val="10"/>
                <w:color w:val="auto"/>
              </w:rPr>
              <w:t>741</w:t>
            </w:r>
          </w:p>
        </w:tc>
        <w:tc>
          <w:tcPr>
            <w:tcW w:w="1320" w:type="dxa"/>
            <w:vAlign w:val="bottom"/>
          </w:tcPr>
          <w:p>
            <w:pPr>
              <w:jc w:val="right"/>
              <w:spacing w:after="0"/>
              <w:rPr>
                <w:sz w:val="20"/>
                <w:szCs w:val="20"/>
                <w:color w:val="auto"/>
              </w:rPr>
            </w:pPr>
            <w:r>
              <w:rPr>
                <w:rFonts w:ascii="Arial" w:cs="Arial" w:eastAsia="Arial" w:hAnsi="Arial"/>
                <w:sz w:val="10"/>
                <w:szCs w:val="10"/>
                <w:color w:val="auto"/>
              </w:rPr>
              <w:t>2,076</w:t>
            </w:r>
          </w:p>
        </w:tc>
      </w:tr>
      <w:tr>
        <w:trPr>
          <w:trHeight w:val="126"/>
        </w:trPr>
        <w:tc>
          <w:tcPr>
            <w:tcW w:w="5220" w:type="dxa"/>
            <w:vAlign w:val="bottom"/>
          </w:tcPr>
          <w:p>
            <w:pPr>
              <w:spacing w:after="0"/>
              <w:rPr>
                <w:sz w:val="20"/>
                <w:szCs w:val="20"/>
                <w:color w:val="auto"/>
              </w:rPr>
            </w:pPr>
            <w:r>
              <w:rPr>
                <w:rFonts w:ascii="Arial" w:cs="Arial" w:eastAsia="Arial" w:hAnsi="Arial"/>
                <w:sz w:val="10"/>
                <w:szCs w:val="10"/>
                <w:color w:val="auto"/>
              </w:rPr>
              <w:t>Capital expenditure</w:t>
            </w:r>
          </w:p>
        </w:tc>
        <w:tc>
          <w:tcPr>
            <w:tcW w:w="3940" w:type="dxa"/>
            <w:vAlign w:val="bottom"/>
          </w:tcPr>
          <w:p>
            <w:pPr>
              <w:jc w:val="right"/>
              <w:ind w:right="512"/>
              <w:spacing w:after="0"/>
              <w:rPr>
                <w:sz w:val="20"/>
                <w:szCs w:val="20"/>
                <w:color w:val="auto"/>
              </w:rPr>
            </w:pPr>
            <w:r>
              <w:rPr>
                <w:rFonts w:ascii="Arial" w:cs="Arial" w:eastAsia="Arial" w:hAnsi="Arial"/>
                <w:sz w:val="10"/>
                <w:szCs w:val="10"/>
                <w:color w:val="auto"/>
              </w:rPr>
              <w:t>2,608</w:t>
            </w:r>
          </w:p>
        </w:tc>
        <w:tc>
          <w:tcPr>
            <w:tcW w:w="820" w:type="dxa"/>
            <w:vAlign w:val="bottom"/>
          </w:tcPr>
          <w:p>
            <w:pPr>
              <w:jc w:val="right"/>
              <w:spacing w:after="0"/>
              <w:rPr>
                <w:sz w:val="20"/>
                <w:szCs w:val="20"/>
                <w:color w:val="auto"/>
              </w:rPr>
            </w:pPr>
            <w:r>
              <w:rPr>
                <w:rFonts w:ascii="Arial" w:cs="Arial" w:eastAsia="Arial" w:hAnsi="Arial"/>
                <w:sz w:val="10"/>
                <w:szCs w:val="10"/>
                <w:color w:val="auto"/>
              </w:rPr>
              <w:t>4,068</w:t>
            </w:r>
          </w:p>
        </w:tc>
        <w:tc>
          <w:tcPr>
            <w:tcW w:w="1320" w:type="dxa"/>
            <w:vAlign w:val="bottom"/>
          </w:tcPr>
          <w:p>
            <w:pPr>
              <w:jc w:val="right"/>
              <w:spacing w:after="0"/>
              <w:rPr>
                <w:sz w:val="20"/>
                <w:szCs w:val="20"/>
                <w:color w:val="auto"/>
              </w:rPr>
            </w:pPr>
            <w:r>
              <w:rPr>
                <w:rFonts w:ascii="Arial" w:cs="Arial" w:eastAsia="Arial" w:hAnsi="Arial"/>
                <w:sz w:val="10"/>
                <w:szCs w:val="10"/>
                <w:color w:val="auto"/>
              </w:rPr>
              <w:t>3,140</w:t>
            </w:r>
          </w:p>
        </w:tc>
      </w:tr>
      <w:tr>
        <w:trPr>
          <w:trHeight w:val="126"/>
        </w:trPr>
        <w:tc>
          <w:tcPr>
            <w:tcW w:w="5220" w:type="dxa"/>
            <w:vAlign w:val="bottom"/>
          </w:tcPr>
          <w:p>
            <w:pPr>
              <w:spacing w:after="0"/>
              <w:rPr>
                <w:sz w:val="20"/>
                <w:szCs w:val="20"/>
                <w:color w:val="auto"/>
              </w:rPr>
            </w:pPr>
            <w:r>
              <w:rPr>
                <w:rFonts w:ascii="Arial" w:cs="Arial" w:eastAsia="Arial" w:hAnsi="Arial"/>
                <w:sz w:val="10"/>
                <w:szCs w:val="10"/>
                <w:color w:val="auto"/>
              </w:rPr>
              <w:t>Cash capital expenditure [B]</w:t>
            </w:r>
          </w:p>
        </w:tc>
        <w:tc>
          <w:tcPr>
            <w:tcW w:w="3940" w:type="dxa"/>
            <w:vAlign w:val="bottom"/>
          </w:tcPr>
          <w:p>
            <w:pPr>
              <w:jc w:val="right"/>
              <w:ind w:right="512"/>
              <w:spacing w:after="0"/>
              <w:rPr>
                <w:sz w:val="20"/>
                <w:szCs w:val="20"/>
                <w:color w:val="auto"/>
              </w:rPr>
            </w:pPr>
            <w:r>
              <w:rPr>
                <w:rFonts w:ascii="Arial" w:cs="Arial" w:eastAsia="Arial" w:hAnsi="Arial"/>
                <w:sz w:val="10"/>
                <w:szCs w:val="10"/>
                <w:color w:val="auto"/>
              </w:rPr>
              <w:t>2,640</w:t>
            </w:r>
          </w:p>
        </w:tc>
        <w:tc>
          <w:tcPr>
            <w:tcW w:w="820" w:type="dxa"/>
            <w:vAlign w:val="bottom"/>
          </w:tcPr>
          <w:p>
            <w:pPr>
              <w:jc w:val="right"/>
              <w:spacing w:after="0"/>
              <w:rPr>
                <w:sz w:val="20"/>
                <w:szCs w:val="20"/>
                <w:color w:val="auto"/>
              </w:rPr>
            </w:pPr>
            <w:r>
              <w:rPr>
                <w:rFonts w:ascii="Arial" w:cs="Arial" w:eastAsia="Arial" w:hAnsi="Arial"/>
                <w:sz w:val="10"/>
                <w:szCs w:val="10"/>
                <w:color w:val="auto"/>
              </w:rPr>
              <w:t>4,090</w:t>
            </w:r>
          </w:p>
        </w:tc>
        <w:tc>
          <w:tcPr>
            <w:tcW w:w="1320" w:type="dxa"/>
            <w:vAlign w:val="bottom"/>
          </w:tcPr>
          <w:p>
            <w:pPr>
              <w:jc w:val="right"/>
              <w:spacing w:after="0"/>
              <w:rPr>
                <w:sz w:val="20"/>
                <w:szCs w:val="20"/>
                <w:color w:val="auto"/>
              </w:rPr>
            </w:pPr>
            <w:r>
              <w:rPr>
                <w:rFonts w:ascii="Arial" w:cs="Arial" w:eastAsia="Arial" w:hAnsi="Arial"/>
                <w:sz w:val="10"/>
                <w:szCs w:val="10"/>
                <w:color w:val="auto"/>
              </w:rPr>
              <w:t>3,212</w:t>
            </w:r>
          </w:p>
        </w:tc>
      </w:tr>
      <w:tr>
        <w:trPr>
          <w:trHeight w:val="126"/>
        </w:trPr>
        <w:tc>
          <w:tcPr>
            <w:tcW w:w="5220" w:type="dxa"/>
            <w:vAlign w:val="bottom"/>
          </w:tcPr>
          <w:p>
            <w:pPr>
              <w:spacing w:after="0"/>
              <w:rPr>
                <w:sz w:val="20"/>
                <w:szCs w:val="20"/>
                <w:color w:val="auto"/>
              </w:rPr>
            </w:pPr>
            <w:r>
              <w:rPr>
                <w:rFonts w:ascii="Arial" w:cs="Arial" w:eastAsia="Arial" w:hAnsi="Arial"/>
                <w:sz w:val="10"/>
                <w:szCs w:val="10"/>
                <w:color w:val="auto"/>
              </w:rPr>
              <w:t>Chemical plant utilisation(%) [C]</w:t>
            </w:r>
          </w:p>
        </w:tc>
        <w:tc>
          <w:tcPr>
            <w:tcW w:w="3940" w:type="dxa"/>
            <w:vAlign w:val="bottom"/>
          </w:tcPr>
          <w:p>
            <w:pPr>
              <w:jc w:val="right"/>
              <w:ind w:right="512"/>
              <w:spacing w:after="0"/>
              <w:rPr>
                <w:sz w:val="20"/>
                <w:szCs w:val="20"/>
                <w:color w:val="auto"/>
              </w:rPr>
            </w:pPr>
            <w:r>
              <w:rPr>
                <w:rFonts w:ascii="Arial" w:cs="Arial" w:eastAsia="Arial" w:hAnsi="Arial"/>
                <w:sz w:val="10"/>
                <w:szCs w:val="10"/>
                <w:color w:val="auto"/>
              </w:rPr>
              <w:t>80</w:t>
            </w:r>
          </w:p>
        </w:tc>
        <w:tc>
          <w:tcPr>
            <w:tcW w:w="820" w:type="dxa"/>
            <w:vAlign w:val="bottom"/>
          </w:tcPr>
          <w:p>
            <w:pPr>
              <w:jc w:val="right"/>
              <w:spacing w:after="0"/>
              <w:rPr>
                <w:sz w:val="20"/>
                <w:szCs w:val="20"/>
                <w:color w:val="auto"/>
              </w:rPr>
            </w:pPr>
            <w:r>
              <w:rPr>
                <w:rFonts w:ascii="Arial" w:cs="Arial" w:eastAsia="Arial" w:hAnsi="Arial"/>
                <w:sz w:val="10"/>
                <w:szCs w:val="10"/>
                <w:color w:val="auto"/>
              </w:rPr>
              <w:t>76</w:t>
            </w:r>
          </w:p>
        </w:tc>
        <w:tc>
          <w:tcPr>
            <w:tcW w:w="1320" w:type="dxa"/>
            <w:vAlign w:val="bottom"/>
          </w:tcPr>
          <w:p>
            <w:pPr>
              <w:jc w:val="right"/>
              <w:spacing w:after="0"/>
              <w:rPr>
                <w:sz w:val="20"/>
                <w:szCs w:val="20"/>
                <w:color w:val="auto"/>
              </w:rPr>
            </w:pPr>
            <w:r>
              <w:rPr>
                <w:rFonts w:ascii="Arial" w:cs="Arial" w:eastAsia="Arial" w:hAnsi="Arial"/>
                <w:sz w:val="10"/>
                <w:szCs w:val="10"/>
                <w:color w:val="auto"/>
              </w:rPr>
              <w:t>84</w:t>
            </w:r>
          </w:p>
        </w:tc>
      </w:tr>
      <w:tr>
        <w:trPr>
          <w:trHeight w:val="130"/>
        </w:trPr>
        <w:tc>
          <w:tcPr>
            <w:tcW w:w="52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Chemicals sales volumes (thousand tonnes)</w:t>
            </w:r>
          </w:p>
        </w:tc>
        <w:tc>
          <w:tcPr>
            <w:tcW w:w="39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15,036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15,223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17,644</w:t>
            </w:r>
          </w:p>
        </w:tc>
      </w:tr>
    </w:tbl>
    <w:p>
      <w:pPr>
        <w:spacing w:after="0" w:line="65" w:lineRule="exact"/>
        <w:rPr>
          <w:sz w:val="20"/>
          <w:szCs w:val="20"/>
          <w:color w:val="auto"/>
        </w:rPr>
      </w:pPr>
    </w:p>
    <w:p>
      <w:pPr>
        <w:ind w:left="128" w:hanging="128"/>
        <w:spacing w:after="0"/>
        <w:tabs>
          <w:tab w:leader="none" w:pos="128" w:val="left"/>
        </w:tabs>
        <w:numPr>
          <w:ilvl w:val="0"/>
          <w:numId w:val="44"/>
        </w:numPr>
        <w:rPr>
          <w:rFonts w:ascii="Arial" w:cs="Arial" w:eastAsia="Arial" w:hAnsi="Arial"/>
          <w:sz w:val="7"/>
          <w:szCs w:val="7"/>
          <w:color w:val="auto"/>
        </w:rPr>
      </w:pPr>
      <w:r>
        <w:rPr>
          <w:rFonts w:ascii="Arial" w:cs="Arial" w:eastAsia="Arial" w:hAnsi="Arial"/>
          <w:sz w:val="7"/>
          <w:szCs w:val="7"/>
          <w:color w:val="auto"/>
        </w:rPr>
        <w:t>See Note 4 to the “Consolidated Financial Statements” on pages 177-180. Segment earnings are presented on a current cost of supplies basis.</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44"/>
        </w:numPr>
        <w:rPr>
          <w:rFonts w:ascii="Arial" w:cs="Arial" w:eastAsia="Arial" w:hAnsi="Arial"/>
          <w:sz w:val="7"/>
          <w:szCs w:val="7"/>
          <w:color w:val="auto"/>
        </w:rPr>
      </w:pPr>
      <w:r>
        <w:rPr>
          <w:rFonts w:ascii="Arial" w:cs="Arial" w:eastAsia="Arial" w:hAnsi="Arial"/>
          <w:sz w:val="7"/>
          <w:szCs w:val="7"/>
          <w:color w:val="auto"/>
        </w:rPr>
        <w:t>See “Non-GAAP measures reconciliations” on pages 240-242</w:t>
      </w:r>
    </w:p>
    <w:p>
      <w:pPr>
        <w:ind w:left="108" w:hanging="108"/>
        <w:spacing w:after="0" w:line="231" w:lineRule="auto"/>
        <w:tabs>
          <w:tab w:leader="none" w:pos="108" w:val="left"/>
        </w:tabs>
        <w:numPr>
          <w:ilvl w:val="0"/>
          <w:numId w:val="44"/>
        </w:numPr>
        <w:rPr>
          <w:rFonts w:ascii="Arial" w:cs="Arial" w:eastAsia="Arial" w:hAnsi="Arial"/>
          <w:sz w:val="7"/>
          <w:szCs w:val="7"/>
          <w:color w:val="auto"/>
        </w:rPr>
      </w:pPr>
      <w:r>
        <w:rPr>
          <w:rFonts w:ascii="Arial" w:cs="Arial" w:eastAsia="Arial" w:hAnsi="Arial"/>
          <w:sz w:val="7"/>
          <w:szCs w:val="7"/>
          <w:color w:val="auto"/>
        </w:rPr>
        <w:t>With effect from January 1, 2020, Shell discloses utilisation instead of availability to improve transparency on chemicals production volumes. Utilisation is defined as the actual usage of the plants as a percentage of the rated capacity.</w:t>
      </w:r>
    </w:p>
    <w:p>
      <w:pPr>
        <w:sectPr>
          <w:pgSz w:w="11900" w:h="16838" w:orient="portrait"/>
          <w:cols w:equalWidth="0" w:num="1">
            <w:col w:w="11308"/>
          </w:cols>
          <w:pgMar w:left="292" w:top="658" w:right="299" w:bottom="1440" w:gutter="0" w:footer="0" w:header="0"/>
        </w:sectPr>
      </w:pPr>
    </w:p>
    <w:p>
      <w:pPr>
        <w:spacing w:after="0" w:line="137" w:lineRule="exact"/>
        <w:rPr>
          <w:sz w:val="20"/>
          <w:szCs w:val="20"/>
          <w:color w:val="auto"/>
        </w:rPr>
      </w:pPr>
    </w:p>
    <w:p>
      <w:pPr>
        <w:ind w:left="8"/>
        <w:spacing w:after="0"/>
        <w:rPr>
          <w:sz w:val="20"/>
          <w:szCs w:val="20"/>
          <w:color w:val="auto"/>
        </w:rPr>
      </w:pPr>
      <w:r>
        <w:rPr>
          <w:rFonts w:ascii="Arial" w:cs="Arial" w:eastAsia="Arial" w:hAnsi="Arial"/>
          <w:sz w:val="10"/>
          <w:szCs w:val="10"/>
          <w:color w:val="auto"/>
        </w:rPr>
        <w:t>OVERVIEW</w:t>
      </w:r>
    </w:p>
    <w:p>
      <w:pPr>
        <w:ind w:left="8" w:right="200"/>
        <w:spacing w:after="0" w:line="337" w:lineRule="auto"/>
        <w:rPr>
          <w:sz w:val="20"/>
          <w:szCs w:val="20"/>
          <w:color w:val="auto"/>
        </w:rPr>
      </w:pPr>
      <w:r>
        <w:rPr>
          <w:rFonts w:ascii="Arial" w:cs="Arial" w:eastAsia="Arial" w:hAnsi="Arial"/>
          <w:sz w:val="8"/>
          <w:szCs w:val="8"/>
          <w:color w:val="auto"/>
        </w:rPr>
        <w:t>Our Chemicals business supplies customers with a range of base and intermediate chemicals used to make products that people use every day. We also have major manufacturing plants which are located close to refineries, and our own marketing network.</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1"/>
          <w:szCs w:val="11"/>
          <w:color w:val="auto"/>
        </w:rPr>
        <w:t>BUSINESS CONDITIONS</w:t>
      </w:r>
    </w:p>
    <w:p>
      <w:pPr>
        <w:ind w:left="8" w:right="20"/>
        <w:spacing w:after="0" w:line="244" w:lineRule="auto"/>
        <w:rPr>
          <w:sz w:val="20"/>
          <w:szCs w:val="20"/>
          <w:color w:val="auto"/>
        </w:rPr>
      </w:pPr>
      <w:r>
        <w:rPr>
          <w:rFonts w:ascii="Arial" w:cs="Arial" w:eastAsia="Arial" w:hAnsi="Arial"/>
          <w:sz w:val="8"/>
          <w:szCs w:val="8"/>
          <w:color w:val="auto"/>
        </w:rPr>
        <w:t>Cracker margins were volatile during 2020 because of how COVID-19 affected demand. Overall margins, however, were broadly similar to those in 2019. The effect on chemicals depended on end use. Some sectors, such as automotive, were hit particularly hard, while others, such as packaging, showed robust demand. Chinese demand recovered relatively quickly because the virus was swiftly brought under control. Overall chemicals demand was not hit as hard as GDP. West European cracker margins were supported by the sudden fall in the price of crude oil in March and April. The fact that crude oil was at a lower price than in 2019 reduced naphtha feedstock costs, which reduced product prices. This in turn put pressure on US ethane cracker margins, although plentiful ethane supply helped counter the impact.</w:t>
      </w:r>
    </w:p>
    <w:p>
      <w:pPr>
        <w:spacing w:after="0" w:line="223" w:lineRule="exact"/>
        <w:rPr>
          <w:sz w:val="20"/>
          <w:szCs w:val="20"/>
          <w:color w:val="auto"/>
        </w:rPr>
      </w:pPr>
    </w:p>
    <w:p>
      <w:pPr>
        <w:ind w:left="8"/>
        <w:spacing w:after="0"/>
        <w:rPr>
          <w:sz w:val="20"/>
          <w:szCs w:val="20"/>
          <w:color w:val="auto"/>
        </w:rPr>
      </w:pPr>
      <w:r>
        <w:rPr>
          <w:rFonts w:ascii="Arial" w:cs="Arial" w:eastAsia="Arial" w:hAnsi="Arial"/>
          <w:sz w:val="10"/>
          <w:szCs w:val="10"/>
          <w:color w:val="auto"/>
        </w:rPr>
        <w:t>See “Market overview” on pages 23-25.</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1"/>
          <w:szCs w:val="11"/>
          <w:color w:val="auto"/>
        </w:rPr>
        <w:t>CHEMICAL PLANT UTILISATION</w:t>
      </w:r>
    </w:p>
    <w:p>
      <w:pPr>
        <w:ind w:left="8" w:right="160"/>
        <w:spacing w:after="0" w:line="314" w:lineRule="auto"/>
        <w:rPr>
          <w:sz w:val="20"/>
          <w:szCs w:val="20"/>
          <w:color w:val="auto"/>
        </w:rPr>
      </w:pPr>
      <w:r>
        <w:rPr>
          <w:rFonts w:ascii="Arial" w:cs="Arial" w:eastAsia="Arial" w:hAnsi="Arial"/>
          <w:sz w:val="8"/>
          <w:szCs w:val="8"/>
          <w:color w:val="auto"/>
        </w:rPr>
        <w:t>With effect from January 1, 2020, Shell discloses utilisation instead of availability to improve transparency on chemicals production volumes. Utilisation is defined as the actual usage of the plants as a percentage of the rated capacity.</w:t>
      </w:r>
    </w:p>
    <w:p>
      <w:pPr>
        <w:spacing w:after="0" w:line="111" w:lineRule="exact"/>
        <w:rPr>
          <w:sz w:val="20"/>
          <w:szCs w:val="20"/>
          <w:color w:val="auto"/>
        </w:rPr>
      </w:pPr>
    </w:p>
    <w:p>
      <w:pPr>
        <w:ind w:left="8" w:right="320"/>
        <w:spacing w:after="0" w:line="335" w:lineRule="auto"/>
        <w:rPr>
          <w:sz w:val="20"/>
          <w:szCs w:val="20"/>
          <w:color w:val="auto"/>
        </w:rPr>
      </w:pPr>
      <w:r>
        <w:rPr>
          <w:rFonts w:ascii="Arial" w:cs="Arial" w:eastAsia="Arial" w:hAnsi="Arial"/>
          <w:sz w:val="8"/>
          <w:szCs w:val="8"/>
          <w:color w:val="auto"/>
        </w:rPr>
        <w:t>Chemicals manufacturing plant utilisation was 80% in 2020 compared with 76% in the full year 2019, mainly because of higher maintenance activities in Asia and Europe in 2019, and the impact of strike actions in the Netherlands in 2019.</w:t>
      </w:r>
    </w:p>
    <w:p>
      <w:pPr>
        <w:spacing w:after="0" w:line="84" w:lineRule="exact"/>
        <w:rPr>
          <w:sz w:val="20"/>
          <w:szCs w:val="20"/>
          <w:color w:val="auto"/>
        </w:rPr>
      </w:pPr>
    </w:p>
    <w:p>
      <w:pPr>
        <w:ind w:left="8"/>
        <w:spacing w:after="0"/>
        <w:rPr>
          <w:sz w:val="20"/>
          <w:szCs w:val="20"/>
          <w:color w:val="auto"/>
        </w:rPr>
      </w:pPr>
      <w:r>
        <w:rPr>
          <w:rFonts w:ascii="Arial" w:cs="Arial" w:eastAsia="Arial" w:hAnsi="Arial"/>
          <w:sz w:val="11"/>
          <w:szCs w:val="11"/>
          <w:color w:val="auto"/>
        </w:rPr>
        <w:t>CHEMICALS SALES</w:t>
      </w:r>
    </w:p>
    <w:p>
      <w:pPr>
        <w:ind w:left="8" w:right="200"/>
        <w:spacing w:after="0" w:line="212" w:lineRule="auto"/>
        <w:rPr>
          <w:sz w:val="20"/>
          <w:szCs w:val="20"/>
          <w:color w:val="auto"/>
        </w:rPr>
      </w:pPr>
      <w:r>
        <w:rPr>
          <w:rFonts w:ascii="Arial" w:cs="Arial" w:eastAsia="Arial" w:hAnsi="Arial"/>
          <w:sz w:val="10"/>
          <w:szCs w:val="10"/>
          <w:color w:val="auto"/>
        </w:rPr>
        <w:t>In 2020, Chemicals sales volumes were 15,036 thousand tonnes, which was 1% lower than 2019 sales volumes of 15,223 thousand tonnes due to lower demand.</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1"/>
          <w:szCs w:val="11"/>
          <w:color w:val="auto"/>
        </w:rPr>
        <w:t>EARNINGS 2020-2019</w:t>
      </w:r>
    </w:p>
    <w:p>
      <w:pPr>
        <w:spacing w:after="0" w:line="145" w:lineRule="exact"/>
        <w:rPr>
          <w:sz w:val="20"/>
          <w:szCs w:val="20"/>
          <w:color w:val="auto"/>
        </w:rPr>
      </w:pPr>
    </w:p>
    <w:p>
      <w:pPr>
        <w:ind w:left="8" w:right="240"/>
        <w:spacing w:after="0" w:line="358" w:lineRule="auto"/>
        <w:rPr>
          <w:sz w:val="20"/>
          <w:szCs w:val="20"/>
          <w:color w:val="auto"/>
        </w:rPr>
      </w:pPr>
      <w:r>
        <w:rPr>
          <w:rFonts w:ascii="Arial" w:cs="Arial" w:eastAsia="Arial" w:hAnsi="Arial"/>
          <w:sz w:val="8"/>
          <w:szCs w:val="8"/>
          <w:color w:val="auto"/>
        </w:rPr>
        <w:t>Segment earnings in 2020 of $808 million were 69% higher than in 2019. Earnings in 2020 included a net charge of $154 million, compared with a net charge in 2019 of $263 million, which is described at the end of this section.</w:t>
      </w:r>
    </w:p>
    <w:p>
      <w:pPr>
        <w:spacing w:after="0" w:line="95" w:lineRule="exact"/>
        <w:rPr>
          <w:sz w:val="20"/>
          <w:szCs w:val="20"/>
          <w:color w:val="auto"/>
        </w:rPr>
      </w:pPr>
    </w:p>
    <w:p>
      <w:pPr>
        <w:ind w:left="8"/>
        <w:spacing w:after="0"/>
        <w:rPr>
          <w:sz w:val="20"/>
          <w:szCs w:val="20"/>
          <w:color w:val="auto"/>
        </w:rPr>
      </w:pPr>
      <w:r>
        <w:rPr>
          <w:rFonts w:ascii="Arial" w:cs="Arial" w:eastAsia="Arial" w:hAnsi="Arial"/>
          <w:sz w:val="10"/>
          <w:szCs w:val="10"/>
          <w:color w:val="auto"/>
        </w:rPr>
        <w:t>Excluding the impact of these charges, earnings in 2020 were $962 million, compared with $741 million in 2019.</w:t>
      </w:r>
    </w:p>
    <w:p>
      <w:pPr>
        <w:spacing w:after="0" w:line="146" w:lineRule="exact"/>
        <w:rPr>
          <w:sz w:val="20"/>
          <w:szCs w:val="20"/>
          <w:color w:val="auto"/>
        </w:rPr>
      </w:pPr>
    </w:p>
    <w:p>
      <w:pPr>
        <w:ind w:left="8"/>
        <w:spacing w:after="0" w:line="230" w:lineRule="auto"/>
        <w:rPr>
          <w:sz w:val="20"/>
          <w:szCs w:val="20"/>
          <w:color w:val="auto"/>
        </w:rPr>
      </w:pPr>
      <w:r>
        <w:rPr>
          <w:rFonts w:ascii="Arial" w:cs="Arial" w:eastAsia="Arial" w:hAnsi="Arial"/>
          <w:sz w:val="10"/>
          <w:szCs w:val="10"/>
          <w:color w:val="auto"/>
        </w:rPr>
        <w:t>The increase in Chemicals earnings, excluding the net charges, was $221 million (30%) compared with 2019. This was driven by higher margins</w:t>
      </w:r>
    </w:p>
    <w:p>
      <w:pPr>
        <w:spacing w:after="0" w:line="20" w:lineRule="exact"/>
        <w:rPr>
          <w:sz w:val="20"/>
          <w:szCs w:val="20"/>
          <w:color w:val="auto"/>
        </w:rPr>
      </w:pPr>
      <w:r>
        <w:rPr>
          <w:sz w:val="20"/>
          <w:szCs w:val="20"/>
          <w:color w:val="auto"/>
        </w:rPr>
        <w:br w:type="column"/>
      </w:r>
    </w:p>
    <w:p>
      <w:pPr>
        <w:ind w:right="200"/>
        <w:spacing w:after="0" w:line="314" w:lineRule="auto"/>
        <w:rPr>
          <w:sz w:val="20"/>
          <w:szCs w:val="20"/>
          <w:color w:val="auto"/>
        </w:rPr>
      </w:pPr>
      <w:r>
        <w:rPr>
          <w:rFonts w:ascii="Arial" w:cs="Arial" w:eastAsia="Arial" w:hAnsi="Arial"/>
          <w:sz w:val="8"/>
          <w:szCs w:val="8"/>
          <w:color w:val="auto"/>
        </w:rPr>
        <w:t>(around $130 million) because of a favourable price environment, lower operating expenses (around $50 million) as a result of various initiatives, and favourable tax movements (around $60 million) partly offset by other costs (around $20 million).</w:t>
      </w:r>
    </w:p>
    <w:p>
      <w:pPr>
        <w:spacing w:after="0" w:line="103" w:lineRule="exact"/>
        <w:rPr>
          <w:sz w:val="20"/>
          <w:szCs w:val="20"/>
          <w:color w:val="auto"/>
        </w:rPr>
      </w:pPr>
    </w:p>
    <w:p>
      <w:pPr>
        <w:spacing w:after="0"/>
        <w:rPr>
          <w:sz w:val="20"/>
          <w:szCs w:val="20"/>
          <w:color w:val="auto"/>
        </w:rPr>
      </w:pPr>
      <w:r>
        <w:rPr>
          <w:rFonts w:ascii="Arial" w:cs="Arial" w:eastAsia="Arial" w:hAnsi="Arial"/>
          <w:sz w:val="10"/>
          <w:szCs w:val="10"/>
          <w:color w:val="auto"/>
        </w:rPr>
        <w:t>Segment earnings in 2020 included a net charge of $154 million.</w:t>
      </w:r>
    </w:p>
    <w:p>
      <w:pPr>
        <w:spacing w:after="0" w:line="206" w:lineRule="auto"/>
        <w:rPr>
          <w:sz w:val="20"/>
          <w:szCs w:val="20"/>
          <w:color w:val="auto"/>
        </w:rPr>
      </w:pPr>
      <w:r>
        <w:rPr>
          <w:rFonts w:ascii="Arial" w:cs="Arial" w:eastAsia="Arial" w:hAnsi="Arial"/>
          <w:sz w:val="10"/>
          <w:szCs w:val="10"/>
          <w:color w:val="auto"/>
        </w:rPr>
        <w:t>This included:</w:t>
      </w:r>
    </w:p>
    <w:p>
      <w:pPr>
        <w:ind w:left="440" w:hanging="217"/>
        <w:spacing w:after="0" w:line="226" w:lineRule="auto"/>
        <w:tabs>
          <w:tab w:leader="none" w:pos="440" w:val="left"/>
        </w:tabs>
        <w:numPr>
          <w:ilvl w:val="0"/>
          <w:numId w:val="45"/>
        </w:numPr>
        <w:rPr>
          <w:rFonts w:ascii="Arial" w:cs="Arial" w:eastAsia="Arial" w:hAnsi="Arial"/>
          <w:sz w:val="10"/>
          <w:szCs w:val="10"/>
          <w:color w:val="auto"/>
        </w:rPr>
      </w:pPr>
      <w:r>
        <w:rPr>
          <w:rFonts w:ascii="Arial" w:cs="Arial" w:eastAsia="Arial" w:hAnsi="Arial"/>
          <w:sz w:val="10"/>
          <w:szCs w:val="10"/>
          <w:color w:val="auto"/>
        </w:rPr>
        <w:t>impairment charges of $4 million;</w:t>
      </w:r>
    </w:p>
    <w:p>
      <w:pPr>
        <w:ind w:left="440" w:hanging="217"/>
        <w:spacing w:after="0" w:line="225" w:lineRule="auto"/>
        <w:tabs>
          <w:tab w:leader="none" w:pos="440" w:val="left"/>
        </w:tabs>
        <w:numPr>
          <w:ilvl w:val="0"/>
          <w:numId w:val="45"/>
        </w:numPr>
        <w:rPr>
          <w:rFonts w:ascii="Arial" w:cs="Arial" w:eastAsia="Arial" w:hAnsi="Arial"/>
          <w:sz w:val="10"/>
          <w:szCs w:val="10"/>
          <w:color w:val="auto"/>
        </w:rPr>
      </w:pPr>
      <w:r>
        <w:rPr>
          <w:rFonts w:ascii="Arial" w:cs="Arial" w:eastAsia="Arial" w:hAnsi="Arial"/>
          <w:sz w:val="10"/>
          <w:szCs w:val="10"/>
          <w:color w:val="auto"/>
        </w:rPr>
        <w:t>costs related to restructuring of $38 million (various initiatives across Chemicals);</w:t>
      </w:r>
    </w:p>
    <w:p>
      <w:pPr>
        <w:ind w:left="440" w:hanging="217"/>
        <w:spacing w:after="0" w:line="236" w:lineRule="auto"/>
        <w:tabs>
          <w:tab w:leader="none" w:pos="440" w:val="left"/>
        </w:tabs>
        <w:numPr>
          <w:ilvl w:val="0"/>
          <w:numId w:val="45"/>
        </w:numPr>
        <w:rPr>
          <w:rFonts w:ascii="Arial" w:cs="Arial" w:eastAsia="Arial" w:hAnsi="Arial"/>
          <w:sz w:val="10"/>
          <w:szCs w:val="10"/>
          <w:color w:val="auto"/>
        </w:rPr>
      </w:pPr>
      <w:r>
        <w:rPr>
          <w:rFonts w:ascii="Arial" w:cs="Arial" w:eastAsia="Arial" w:hAnsi="Arial"/>
          <w:sz w:val="10"/>
          <w:szCs w:val="10"/>
          <w:color w:val="auto"/>
        </w:rPr>
        <w:t>net loss from disposal of assets of $1 million; and</w:t>
      </w:r>
    </w:p>
    <w:p>
      <w:pPr>
        <w:ind w:left="440" w:hanging="217"/>
        <w:spacing w:after="0" w:line="193" w:lineRule="auto"/>
        <w:tabs>
          <w:tab w:leader="none" w:pos="440" w:val="left"/>
        </w:tabs>
        <w:numPr>
          <w:ilvl w:val="0"/>
          <w:numId w:val="45"/>
        </w:numPr>
        <w:rPr>
          <w:rFonts w:ascii="Arial" w:cs="Arial" w:eastAsia="Arial" w:hAnsi="Arial"/>
          <w:sz w:val="12"/>
          <w:szCs w:val="12"/>
          <w:color w:val="auto"/>
        </w:rPr>
      </w:pPr>
      <w:r>
        <w:rPr>
          <w:rFonts w:ascii="Arial" w:cs="Arial" w:eastAsia="Arial" w:hAnsi="Arial"/>
          <w:sz w:val="9"/>
          <w:szCs w:val="9"/>
          <w:color w:val="auto"/>
        </w:rPr>
        <w:t>other net charges of $115 million (mainly legal provision).</w:t>
      </w:r>
    </w:p>
    <w:p>
      <w:pPr>
        <w:spacing w:after="0" w:line="207" w:lineRule="auto"/>
        <w:rPr>
          <w:sz w:val="20"/>
          <w:szCs w:val="20"/>
          <w:color w:val="auto"/>
        </w:rPr>
      </w:pPr>
      <w:r>
        <w:rPr>
          <w:rFonts w:ascii="Arial" w:cs="Arial" w:eastAsia="Arial" w:hAnsi="Arial"/>
          <w:sz w:val="10"/>
          <w:szCs w:val="10"/>
          <w:color w:val="auto"/>
        </w:rPr>
        <w:t>These charges were partly offset by:</w:t>
      </w:r>
    </w:p>
    <w:p>
      <w:pPr>
        <w:ind w:right="1960" w:firstLine="223"/>
        <w:spacing w:after="0" w:line="517" w:lineRule="auto"/>
        <w:tabs>
          <w:tab w:leader="none" w:pos="430" w:val="left"/>
        </w:tabs>
        <w:numPr>
          <w:ilvl w:val="0"/>
          <w:numId w:val="46"/>
        </w:numPr>
        <w:rPr>
          <w:rFonts w:ascii="Arial" w:cs="Arial" w:eastAsia="Arial" w:hAnsi="Arial"/>
          <w:sz w:val="10"/>
          <w:szCs w:val="10"/>
          <w:color w:val="auto"/>
        </w:rPr>
      </w:pPr>
      <w:r>
        <w:rPr>
          <w:rFonts w:ascii="Arial" w:cs="Arial" w:eastAsia="Arial" w:hAnsi="Arial"/>
          <w:sz w:val="10"/>
          <w:szCs w:val="10"/>
          <w:color w:val="auto"/>
        </w:rPr>
        <w:t>a net gain from fair value accounting of commodity derivatives of $4 million. Segment earnings in 2019 included a net charge of $263 million.</w:t>
      </w:r>
    </w:p>
    <w:p>
      <w:pPr>
        <w:spacing w:after="0" w:line="224" w:lineRule="auto"/>
        <w:rPr>
          <w:sz w:val="20"/>
          <w:szCs w:val="20"/>
          <w:color w:val="auto"/>
        </w:rPr>
      </w:pPr>
      <w:r>
        <w:rPr>
          <w:rFonts w:ascii="Arial" w:cs="Arial" w:eastAsia="Arial" w:hAnsi="Arial"/>
          <w:sz w:val="10"/>
          <w:szCs w:val="10"/>
          <w:color w:val="auto"/>
        </w:rPr>
        <w:t>This included:</w:t>
      </w:r>
    </w:p>
    <w:p>
      <w:pPr>
        <w:ind w:left="440" w:hanging="217"/>
        <w:spacing w:after="0" w:line="225" w:lineRule="auto"/>
        <w:tabs>
          <w:tab w:leader="none" w:pos="4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net charges of $247 million (mainly legal provisions);</w:t>
      </w:r>
    </w:p>
    <w:p>
      <w:pPr>
        <w:ind w:left="440" w:hanging="217"/>
        <w:spacing w:after="0" w:line="225" w:lineRule="auto"/>
        <w:tabs>
          <w:tab w:leader="none" w:pos="4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loss of $11 million from disposal of assets;</w:t>
      </w:r>
    </w:p>
    <w:p>
      <w:pPr>
        <w:ind w:left="440" w:hanging="217"/>
        <w:spacing w:after="0" w:line="225" w:lineRule="auto"/>
        <w:tabs>
          <w:tab w:leader="none" w:pos="4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costs of $5 million related to restructuring; and</w:t>
      </w:r>
    </w:p>
    <w:p>
      <w:pPr>
        <w:ind w:left="440" w:hanging="217"/>
        <w:spacing w:after="0" w:line="206" w:lineRule="auto"/>
        <w:tabs>
          <w:tab w:leader="none" w:pos="4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impairment charge of $4 million.</w:t>
      </w:r>
    </w:p>
    <w:p>
      <w:pPr>
        <w:spacing w:after="0" w:line="207" w:lineRule="auto"/>
        <w:rPr>
          <w:sz w:val="20"/>
          <w:szCs w:val="20"/>
          <w:color w:val="auto"/>
        </w:rPr>
      </w:pPr>
      <w:r>
        <w:rPr>
          <w:rFonts w:ascii="Arial" w:cs="Arial" w:eastAsia="Arial" w:hAnsi="Arial"/>
          <w:sz w:val="10"/>
          <w:szCs w:val="10"/>
          <w:color w:val="auto"/>
        </w:rPr>
        <w:t>These charges were partly offset by:</w:t>
      </w:r>
    </w:p>
    <w:p>
      <w:pPr>
        <w:ind w:left="440" w:hanging="217"/>
        <w:spacing w:after="0" w:line="237" w:lineRule="auto"/>
        <w:tabs>
          <w:tab w:leader="none" w:pos="440" w:val="left"/>
        </w:tabs>
        <w:numPr>
          <w:ilvl w:val="0"/>
          <w:numId w:val="48"/>
        </w:numPr>
        <w:rPr>
          <w:rFonts w:ascii="Arial" w:cs="Arial" w:eastAsia="Arial" w:hAnsi="Arial"/>
          <w:sz w:val="10"/>
          <w:szCs w:val="10"/>
          <w:color w:val="auto"/>
        </w:rPr>
      </w:pPr>
      <w:r>
        <w:rPr>
          <w:rFonts w:ascii="Arial" w:cs="Arial" w:eastAsia="Arial" w:hAnsi="Arial"/>
          <w:sz w:val="10"/>
          <w:szCs w:val="10"/>
          <w:color w:val="auto"/>
        </w:rPr>
        <w:t>gain from one-off tax items of $5 million (tax rate changes in Alberta, Canada).</w:t>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color w:val="auto"/>
        </w:rPr>
        <w:t>EARNINGS 2019-2018</w:t>
      </w:r>
    </w:p>
    <w:p>
      <w:pPr>
        <w:spacing w:after="0" w:line="154" w:lineRule="exact"/>
        <w:rPr>
          <w:sz w:val="20"/>
          <w:szCs w:val="20"/>
          <w:color w:val="auto"/>
        </w:rPr>
      </w:pPr>
    </w:p>
    <w:p>
      <w:pPr>
        <w:ind w:right="200"/>
        <w:spacing w:after="0" w:line="214" w:lineRule="auto"/>
        <w:rPr>
          <w:sz w:val="20"/>
          <w:szCs w:val="20"/>
          <w:color w:val="auto"/>
        </w:rPr>
      </w:pPr>
      <w:r>
        <w:rPr>
          <w:rFonts w:ascii="Arial" w:cs="Arial" w:eastAsia="Arial" w:hAnsi="Arial"/>
          <w:sz w:val="10"/>
          <w:szCs w:val="10"/>
          <w:color w:val="auto"/>
        </w:rPr>
        <w:t>Segment earnings in 2019 of $478 million were 75% lower than in 2018. Earnings in 2019 included a net charge of $263 million described above. Earnings in 2018 included a net charge of $192 million, reflecting impairment charges of $76 million, a net loss from disposal of $50 million, redundancy and restructuring charges of $2 million, and other net charges of $97 million (related to onerous contracts in connection with decommissioning the Stanlow site). These were partly offset by gains from one-off tax items of $27 million, (mainly corporate income tax rate changes in the Netherlands), and a net gain of $6 million from fair value accounting of commodity derivatives.</w:t>
      </w:r>
    </w:p>
    <w:p>
      <w:pPr>
        <w:spacing w:after="0" w:line="132" w:lineRule="exact"/>
        <w:rPr>
          <w:sz w:val="20"/>
          <w:szCs w:val="20"/>
          <w:color w:val="auto"/>
        </w:rPr>
      </w:pPr>
    </w:p>
    <w:p>
      <w:pPr>
        <w:spacing w:after="0"/>
        <w:rPr>
          <w:sz w:val="20"/>
          <w:szCs w:val="20"/>
          <w:color w:val="auto"/>
        </w:rPr>
      </w:pPr>
      <w:r>
        <w:rPr>
          <w:rFonts w:ascii="Arial" w:cs="Arial" w:eastAsia="Arial" w:hAnsi="Arial"/>
          <w:sz w:val="10"/>
          <w:szCs w:val="10"/>
          <w:color w:val="auto"/>
        </w:rPr>
        <w:t>Excluding the impact of these items, earnings in 2019 were $741 million, compared with $2,076 million in 2018.</w:t>
      </w:r>
    </w:p>
    <w:p>
      <w:pPr>
        <w:spacing w:after="0" w:line="146" w:lineRule="exact"/>
        <w:rPr>
          <w:sz w:val="20"/>
          <w:szCs w:val="20"/>
          <w:color w:val="auto"/>
        </w:rPr>
      </w:pPr>
    </w:p>
    <w:p>
      <w:pPr>
        <w:ind w:right="180"/>
        <w:spacing w:after="0" w:line="218" w:lineRule="auto"/>
        <w:rPr>
          <w:sz w:val="20"/>
          <w:szCs w:val="20"/>
          <w:color w:val="auto"/>
        </w:rPr>
      </w:pPr>
      <w:r>
        <w:rPr>
          <w:rFonts w:ascii="Arial" w:cs="Arial" w:eastAsia="Arial" w:hAnsi="Arial"/>
          <w:sz w:val="10"/>
          <w:szCs w:val="10"/>
          <w:color w:val="auto"/>
        </w:rPr>
        <w:t>The decrease in earnings, excluding the net charges, was $1,335 million (64%) compared with 2018. This was driven by lower margins (around $1,500 million), partly offset by lower operating costs (around $140 million) and the change in accounting policy relating to IFRS 16 leases (around $20 million). Margins were impacted by lower realised base chemicals and intermediate margins and by higher maintenance activities</w:t>
      </w:r>
    </w:p>
    <w:p>
      <w:pPr>
        <w:spacing w:after="0" w:line="200" w:lineRule="exact"/>
        <w:rPr>
          <w:sz w:val="20"/>
          <w:szCs w:val="20"/>
          <w:color w:val="auto"/>
        </w:rPr>
      </w:pPr>
    </w:p>
    <w:p>
      <w:pPr>
        <w:sectPr>
          <w:pgSz w:w="11900" w:h="16838" w:orient="portrait"/>
          <w:cols w:equalWidth="0" w:num="2">
            <w:col w:w="5228" w:space="700"/>
            <w:col w:w="5380"/>
          </w:cols>
          <w:pgMar w:left="292" w:top="658" w:right="299" w:bottom="1440" w:gutter="0" w:footer="0" w:header="0"/>
          <w:type w:val="continuous"/>
        </w:sectPr>
      </w:pP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57</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58" w:right="29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0"/>
          <w:szCs w:val="10"/>
          <w:color w:val="auto"/>
        </w:rPr>
        <w:t>in Asia and Europe, including the impact of strike action in the Netherlands in 2019.</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CASH CAPITAL EXPENDITURE</w:t>
      </w:r>
    </w:p>
    <w:p>
      <w:pPr>
        <w:spacing w:after="0" w:line="236" w:lineRule="auto"/>
        <w:rPr>
          <w:sz w:val="20"/>
          <w:szCs w:val="20"/>
          <w:color w:val="auto"/>
        </w:rPr>
      </w:pPr>
      <w:r>
        <w:rPr>
          <w:rFonts w:ascii="Arial" w:cs="Arial" w:eastAsia="Arial" w:hAnsi="Arial"/>
          <w:sz w:val="10"/>
          <w:szCs w:val="10"/>
          <w:color w:val="auto"/>
        </w:rPr>
        <w:t>Cash capital expenditure (cash capex) was $2.6 billion in 2020, compared with $4.1 billion in 2019.</w:t>
      </w:r>
    </w:p>
    <w:p>
      <w:pPr>
        <w:spacing w:after="0" w:line="140" w:lineRule="exact"/>
        <w:rPr>
          <w:sz w:val="20"/>
          <w:szCs w:val="20"/>
          <w:color w:val="auto"/>
        </w:rPr>
      </w:pPr>
    </w:p>
    <w:p>
      <w:pPr>
        <w:jc w:val="both"/>
        <w:spacing w:after="0" w:line="222" w:lineRule="auto"/>
        <w:rPr>
          <w:sz w:val="20"/>
          <w:szCs w:val="20"/>
          <w:color w:val="auto"/>
        </w:rPr>
      </w:pPr>
      <w:r>
        <w:rPr>
          <w:rFonts w:ascii="Arial" w:cs="Arial" w:eastAsia="Arial" w:hAnsi="Arial"/>
          <w:sz w:val="10"/>
          <w:szCs w:val="10"/>
          <w:color w:val="auto"/>
        </w:rPr>
        <w:t>Cash capex decreased by $1.5 billion, mainly because of lower spend on account of the COVID-19 pandemic impact in the construction of our cracker facilities in Pennsylvania and cash preservation initiatives.Our cash capex expenditure is expected to be around $3 billion to $3.5 billion in 2021</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color w:val="auto"/>
        </w:rPr>
        <w:t>PORTFOLIO AND BUSINESS DEVELOPMENTS</w:t>
      </w:r>
    </w:p>
    <w:p>
      <w:pPr>
        <w:spacing w:after="0" w:line="236" w:lineRule="auto"/>
        <w:rPr>
          <w:sz w:val="20"/>
          <w:szCs w:val="20"/>
          <w:color w:val="auto"/>
        </w:rPr>
      </w:pPr>
      <w:r>
        <w:rPr>
          <w:rFonts w:ascii="Arial" w:cs="Arial" w:eastAsia="Arial" w:hAnsi="Arial"/>
          <w:sz w:val="10"/>
          <w:szCs w:val="10"/>
          <w:color w:val="auto"/>
        </w:rPr>
        <w:t>Significant portfolio and business developments during 2020:</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  In the USA, in March 2020, we announced our intention to sell the Mobile site in Alabama.</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BUSINESS AND PROPERTY</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Manufacturing</w:t>
      </w:r>
    </w:p>
    <w:p>
      <w:pPr>
        <w:ind w:right="40"/>
        <w:spacing w:after="0" w:line="281" w:lineRule="auto"/>
        <w:rPr>
          <w:sz w:val="20"/>
          <w:szCs w:val="20"/>
          <w:color w:val="auto"/>
        </w:rPr>
      </w:pPr>
      <w:r>
        <w:rPr>
          <w:rFonts w:ascii="Arial" w:cs="Arial" w:eastAsia="Arial" w:hAnsi="Arial"/>
          <w:sz w:val="8"/>
          <w:szCs w:val="8"/>
          <w:color w:val="auto"/>
        </w:rPr>
        <w:t>Our plants produce a range of base chemicals, including ethylene, propylene and aromatics, and intermediate chemicals such as styrene monomer, propylene oxide, solvents, detergent alcohols, ethylene oxide and ethylene glycol. We have the capacity to produce around</w:t>
      </w:r>
    </w:p>
    <w:p>
      <w:pPr>
        <w:spacing w:after="0" w:line="1" w:lineRule="exact"/>
        <w:rPr>
          <w:sz w:val="20"/>
          <w:szCs w:val="20"/>
          <w:color w:val="auto"/>
        </w:rPr>
      </w:pPr>
    </w:p>
    <w:p>
      <w:pPr>
        <w:ind w:right="60"/>
        <w:spacing w:after="0" w:line="309" w:lineRule="auto"/>
        <w:rPr>
          <w:sz w:val="20"/>
          <w:szCs w:val="20"/>
          <w:color w:val="auto"/>
        </w:rPr>
      </w:pPr>
      <w:r>
        <w:rPr>
          <w:rFonts w:ascii="Arial" w:cs="Arial" w:eastAsia="Arial" w:hAnsi="Arial"/>
          <w:sz w:val="8"/>
          <w:szCs w:val="8"/>
          <w:color w:val="auto"/>
        </w:rPr>
        <w:t>6.5 million tonnes of ethylene a year. We are expanding our product portfolio to include sustainable chemicals, more intermediates and performance chemicals such as polyethylene and polycarbonate. We operate chemical plants worldwide and have a global balance of locations, feedstocks and products that allows us to seize commercial opportunities and get through cycles of lower margins.</w:t>
      </w:r>
    </w:p>
    <w:p>
      <w:pPr>
        <w:spacing w:after="0" w:line="123" w:lineRule="exact"/>
        <w:rPr>
          <w:sz w:val="20"/>
          <w:szCs w:val="20"/>
          <w:color w:val="auto"/>
        </w:rPr>
      </w:pPr>
    </w:p>
    <w:p>
      <w:pPr>
        <w:ind w:right="20"/>
        <w:spacing w:after="0" w:line="232" w:lineRule="auto"/>
        <w:rPr>
          <w:sz w:val="20"/>
          <w:szCs w:val="20"/>
          <w:color w:val="auto"/>
        </w:rPr>
      </w:pPr>
      <w:r>
        <w:rPr>
          <w:rFonts w:ascii="Arial" w:cs="Arial" w:eastAsia="Arial" w:hAnsi="Arial"/>
          <w:sz w:val="10"/>
          <w:szCs w:val="10"/>
          <w:color w:val="auto"/>
        </w:rPr>
        <w:t>Shell’s Chemicals business is transforming and will be further integrated with our Refining business. In addition to our standalone, chemicals-only production sites, the six sites (Deer Park and Norco in the USA, Scotford in Canada, Pernis in the Netherlands, Rheinland in Germany and Pulau Bukom in Singapore) are expected to form our energy and chemicals parks. Growth will shift towards performance chemicals and recycled feedstocks.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color w:val="auto"/>
        </w:rPr>
        <w:t>Marketing</w:t>
      </w:r>
    </w:p>
    <w:p>
      <w:pPr>
        <w:jc w:val="both"/>
        <w:ind w:right="240"/>
        <w:spacing w:after="0" w:line="286" w:lineRule="auto"/>
        <w:rPr>
          <w:sz w:val="20"/>
          <w:szCs w:val="20"/>
          <w:color w:val="auto"/>
        </w:rPr>
      </w:pPr>
      <w:r>
        <w:rPr>
          <w:rFonts w:ascii="Arial" w:cs="Arial" w:eastAsia="Arial" w:hAnsi="Arial"/>
          <w:sz w:val="8"/>
          <w:szCs w:val="8"/>
          <w:color w:val="auto"/>
        </w:rPr>
        <w:t xml:space="preserve">In 2020, we supplied more than 15 million tonnes of petrochemicals to around 1,000 industrial customers worldwide. </w:t>
      </w:r>
      <w:r>
        <w:rPr>
          <w:rFonts w:ascii="Arial" w:cs="Arial" w:eastAsia="Arial" w:hAnsi="Arial"/>
          <w:sz w:val="8"/>
          <w:szCs w:val="8"/>
          <w:color w:val="595959"/>
        </w:rPr>
        <w:t>Products made</w:t>
      </w:r>
      <w:r>
        <w:rPr>
          <w:rFonts w:ascii="Arial" w:cs="Arial" w:eastAsia="Arial" w:hAnsi="Arial"/>
          <w:sz w:val="8"/>
          <w:szCs w:val="8"/>
          <w:color w:val="auto"/>
        </w:rPr>
        <w:t xml:space="preserve"> </w:t>
      </w:r>
      <w:r>
        <w:rPr>
          <w:rFonts w:ascii="Arial" w:cs="Arial" w:eastAsia="Arial" w:hAnsi="Arial"/>
          <w:sz w:val="8"/>
          <w:szCs w:val="8"/>
          <w:color w:val="595959"/>
        </w:rPr>
        <w:t>from chemicals improve everyday life in health care, construction, transport, electronics, agriculture and sports. As global demand for chemicals increases, we plan to grow our business, by understanding and responding to our customers’ needs.</w:t>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color w:val="auto"/>
        </w:rPr>
        <w:t>BUSINESS ACTIVITIES WITH SUDAN AND SYRIA</w:t>
      </w:r>
    </w:p>
    <w:p>
      <w:pPr>
        <w:spacing w:after="0" w:line="208" w:lineRule="auto"/>
        <w:rPr>
          <w:sz w:val="20"/>
          <w:szCs w:val="20"/>
          <w:color w:val="auto"/>
        </w:rPr>
      </w:pPr>
      <w:r>
        <w:rPr>
          <w:rFonts w:ascii="Arial" w:cs="Arial" w:eastAsia="Arial" w:hAnsi="Arial"/>
          <w:sz w:val="11"/>
          <w:szCs w:val="11"/>
          <w:color w:val="auto"/>
        </w:rPr>
        <w:t>Sudan</w:t>
      </w:r>
    </w:p>
    <w:p>
      <w:pPr>
        <w:spacing w:after="0" w:line="237" w:lineRule="auto"/>
        <w:rPr>
          <w:sz w:val="20"/>
          <w:szCs w:val="20"/>
          <w:color w:val="auto"/>
        </w:rPr>
      </w:pPr>
      <w:r>
        <w:rPr>
          <w:rFonts w:ascii="Arial" w:cs="Arial" w:eastAsia="Arial" w:hAnsi="Arial"/>
          <w:sz w:val="10"/>
          <w:szCs w:val="10"/>
          <w:color w:val="auto"/>
        </w:rPr>
        <w:t>We ceased all operational activities in Sudan in 2008.</w:t>
      </w:r>
    </w:p>
    <w:p>
      <w:pPr>
        <w:spacing w:after="0" w:line="138" w:lineRule="exact"/>
        <w:rPr>
          <w:sz w:val="20"/>
          <w:szCs w:val="20"/>
          <w:color w:val="auto"/>
        </w:rPr>
      </w:pPr>
    </w:p>
    <w:p>
      <w:pPr>
        <w:spacing w:after="0"/>
        <w:rPr>
          <w:sz w:val="20"/>
          <w:szCs w:val="20"/>
          <w:color w:val="auto"/>
        </w:rPr>
      </w:pPr>
      <w:r>
        <w:rPr>
          <w:rFonts w:ascii="Arial" w:cs="Arial" w:eastAsia="Arial" w:hAnsi="Arial"/>
          <w:sz w:val="11"/>
          <w:szCs w:val="11"/>
          <w:color w:val="auto"/>
        </w:rPr>
        <w:t>Syria</w:t>
      </w:r>
    </w:p>
    <w:p>
      <w:pPr>
        <w:jc w:val="both"/>
        <w:ind w:right="240"/>
        <w:spacing w:after="0" w:line="231" w:lineRule="auto"/>
        <w:rPr>
          <w:sz w:val="20"/>
          <w:szCs w:val="20"/>
          <w:color w:val="auto"/>
        </w:rPr>
      </w:pPr>
      <w:r>
        <w:rPr>
          <w:rFonts w:ascii="Arial" w:cs="Arial" w:eastAsia="Arial" w:hAnsi="Arial"/>
          <w:sz w:val="10"/>
          <w:szCs w:val="10"/>
          <w:color w:val="auto"/>
        </w:rPr>
        <w:t>We ceased supplying polyols, via a Netherlands-based distributor, to private sector customers in Syria in 2018. Polyols are commonly used for the production of foam in mattresses and soft furnishings.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CHEMICALS DATA TABLES</w:t>
      </w:r>
    </w:p>
    <w:p>
      <w:pPr>
        <w:ind w:right="200"/>
        <w:spacing w:after="0" w:line="229" w:lineRule="auto"/>
        <w:rPr>
          <w:sz w:val="20"/>
          <w:szCs w:val="20"/>
          <w:color w:val="auto"/>
        </w:rPr>
      </w:pPr>
      <w:r>
        <w:rPr>
          <w:rFonts w:ascii="Arial" w:cs="Arial" w:eastAsia="Arial" w:hAnsi="Arial"/>
          <w:sz w:val="10"/>
          <w:szCs w:val="10"/>
          <w:color w:val="auto"/>
        </w:rPr>
        <w:t>The tables below reflect Shell subsidiaries and instances where Shell owns the crude oil or feedstocks processed by a refinery. The tables also include Martinez until the date of divestment in February 2020. Other joint ventures and associates are only included where explicitly stated.</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Ethylene capacity [A]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7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w w:val="88"/>
              </w:rPr>
              <w:t>Thousand tonnes/year</w:t>
            </w:r>
          </w:p>
        </w:tc>
      </w:tr>
      <w:tr>
        <w:trPr>
          <w:trHeight w:val="119"/>
        </w:trPr>
        <w:tc>
          <w:tcPr>
            <w:tcW w:w="17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jc w:val="right"/>
              <w:ind w:right="293"/>
              <w:spacing w:after="0"/>
              <w:rPr>
                <w:sz w:val="20"/>
                <w:szCs w:val="20"/>
                <w:color w:val="auto"/>
              </w:rPr>
            </w:pPr>
            <w:r>
              <w:rPr>
                <w:rFonts w:ascii="Arial" w:cs="Arial" w:eastAsia="Arial" w:hAnsi="Arial"/>
                <w:sz w:val="8"/>
                <w:szCs w:val="8"/>
                <w:color w:val="auto"/>
              </w:rPr>
              <w:t>2020</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8"/>
                <w:szCs w:val="8"/>
                <w:color w:val="auto"/>
              </w:rPr>
              <w:t>2019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2018</w:t>
            </w:r>
          </w:p>
        </w:tc>
      </w:tr>
      <w:tr>
        <w:trPr>
          <w:trHeight w:val="116"/>
        </w:trPr>
        <w:tc>
          <w:tcPr>
            <w:tcW w:w="1740" w:type="dxa"/>
            <w:vAlign w:val="bottom"/>
          </w:tcPr>
          <w:p>
            <w:pPr>
              <w:ind w:left="20"/>
              <w:spacing w:after="0"/>
              <w:rPr>
                <w:sz w:val="20"/>
                <w:szCs w:val="20"/>
                <w:color w:val="auto"/>
              </w:rPr>
            </w:pPr>
            <w:r>
              <w:rPr>
                <w:rFonts w:ascii="Arial" w:cs="Arial" w:eastAsia="Arial" w:hAnsi="Arial"/>
                <w:sz w:val="10"/>
                <w:szCs w:val="10"/>
                <w:color w:val="auto"/>
              </w:rPr>
              <w:t>Europe</w:t>
            </w:r>
          </w:p>
        </w:tc>
        <w:tc>
          <w:tcPr>
            <w:tcW w:w="1940" w:type="dxa"/>
            <w:vAlign w:val="bottom"/>
          </w:tcPr>
          <w:p>
            <w:pPr>
              <w:jc w:val="right"/>
              <w:ind w:right="333"/>
              <w:spacing w:after="0"/>
              <w:rPr>
                <w:sz w:val="20"/>
                <w:szCs w:val="20"/>
                <w:color w:val="auto"/>
              </w:rPr>
            </w:pPr>
            <w:r>
              <w:rPr>
                <w:rFonts w:ascii="Arial" w:cs="Arial" w:eastAsia="Arial" w:hAnsi="Arial"/>
                <w:sz w:val="10"/>
                <w:szCs w:val="10"/>
                <w:color w:val="auto"/>
              </w:rPr>
              <w:t>1,701</w:t>
            </w:r>
          </w:p>
        </w:tc>
        <w:tc>
          <w:tcPr>
            <w:tcW w:w="660" w:type="dxa"/>
            <w:vAlign w:val="bottom"/>
          </w:tcPr>
          <w:p>
            <w:pPr>
              <w:jc w:val="right"/>
              <w:ind w:right="33"/>
              <w:spacing w:after="0"/>
              <w:rPr>
                <w:sz w:val="20"/>
                <w:szCs w:val="20"/>
                <w:color w:val="auto"/>
              </w:rPr>
            </w:pPr>
            <w:r>
              <w:rPr>
                <w:rFonts w:ascii="Arial" w:cs="Arial" w:eastAsia="Arial" w:hAnsi="Arial"/>
                <w:sz w:val="10"/>
                <w:szCs w:val="10"/>
                <w:color w:val="auto"/>
              </w:rPr>
              <w:t>1,701</w:t>
            </w:r>
          </w:p>
        </w:tc>
        <w:tc>
          <w:tcPr>
            <w:tcW w:w="900" w:type="dxa"/>
            <w:vAlign w:val="bottom"/>
          </w:tcPr>
          <w:p>
            <w:pPr>
              <w:jc w:val="right"/>
              <w:spacing w:after="0"/>
              <w:rPr>
                <w:sz w:val="20"/>
                <w:szCs w:val="20"/>
                <w:color w:val="auto"/>
              </w:rPr>
            </w:pPr>
            <w:r>
              <w:rPr>
                <w:rFonts w:ascii="Arial" w:cs="Arial" w:eastAsia="Arial" w:hAnsi="Arial"/>
                <w:sz w:val="10"/>
                <w:szCs w:val="10"/>
                <w:color w:val="auto"/>
              </w:rPr>
              <w:t>1,701</w:t>
            </w:r>
          </w:p>
        </w:tc>
      </w:tr>
      <w:tr>
        <w:trPr>
          <w:trHeight w:val="123"/>
        </w:trPr>
        <w:tc>
          <w:tcPr>
            <w:tcW w:w="1740" w:type="dxa"/>
            <w:vAlign w:val="bottom"/>
          </w:tcPr>
          <w:p>
            <w:pPr>
              <w:ind w:left="20"/>
              <w:spacing w:after="0"/>
              <w:rPr>
                <w:sz w:val="20"/>
                <w:szCs w:val="20"/>
                <w:color w:val="auto"/>
              </w:rPr>
            </w:pPr>
            <w:r>
              <w:rPr>
                <w:rFonts w:ascii="Arial" w:cs="Arial" w:eastAsia="Arial" w:hAnsi="Arial"/>
                <w:sz w:val="10"/>
                <w:szCs w:val="10"/>
                <w:color w:val="auto"/>
              </w:rPr>
              <w:t>Asia</w:t>
            </w:r>
          </w:p>
        </w:tc>
        <w:tc>
          <w:tcPr>
            <w:tcW w:w="1940" w:type="dxa"/>
            <w:vAlign w:val="bottom"/>
          </w:tcPr>
          <w:p>
            <w:pPr>
              <w:jc w:val="right"/>
              <w:ind w:right="333"/>
              <w:spacing w:after="0"/>
              <w:rPr>
                <w:sz w:val="20"/>
                <w:szCs w:val="20"/>
                <w:color w:val="auto"/>
              </w:rPr>
            </w:pPr>
            <w:r>
              <w:rPr>
                <w:rFonts w:ascii="Arial" w:cs="Arial" w:eastAsia="Arial" w:hAnsi="Arial"/>
                <w:sz w:val="10"/>
                <w:szCs w:val="10"/>
                <w:color w:val="auto"/>
              </w:rPr>
              <w:t>2,530</w:t>
            </w:r>
          </w:p>
        </w:tc>
        <w:tc>
          <w:tcPr>
            <w:tcW w:w="660" w:type="dxa"/>
            <w:vAlign w:val="bottom"/>
          </w:tcPr>
          <w:p>
            <w:pPr>
              <w:jc w:val="right"/>
              <w:ind w:right="33"/>
              <w:spacing w:after="0"/>
              <w:rPr>
                <w:sz w:val="20"/>
                <w:szCs w:val="20"/>
                <w:color w:val="auto"/>
              </w:rPr>
            </w:pPr>
            <w:r>
              <w:rPr>
                <w:rFonts w:ascii="Arial" w:cs="Arial" w:eastAsia="Arial" w:hAnsi="Arial"/>
                <w:sz w:val="10"/>
                <w:szCs w:val="10"/>
                <w:color w:val="auto"/>
              </w:rPr>
              <w:t>2,530</w:t>
            </w:r>
          </w:p>
        </w:tc>
        <w:tc>
          <w:tcPr>
            <w:tcW w:w="900" w:type="dxa"/>
            <w:vAlign w:val="bottom"/>
          </w:tcPr>
          <w:p>
            <w:pPr>
              <w:jc w:val="right"/>
              <w:spacing w:after="0"/>
              <w:rPr>
                <w:sz w:val="20"/>
                <w:szCs w:val="20"/>
                <w:color w:val="auto"/>
              </w:rPr>
            </w:pPr>
            <w:r>
              <w:rPr>
                <w:rFonts w:ascii="Arial" w:cs="Arial" w:eastAsia="Arial" w:hAnsi="Arial"/>
                <w:sz w:val="10"/>
                <w:szCs w:val="10"/>
                <w:color w:val="auto"/>
              </w:rPr>
              <w:t>2,529</w:t>
            </w:r>
          </w:p>
        </w:tc>
      </w:tr>
      <w:tr>
        <w:trPr>
          <w:trHeight w:val="130"/>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Americas</w:t>
            </w:r>
          </w:p>
        </w:tc>
        <w:tc>
          <w:tcPr>
            <w:tcW w:w="194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2,268</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0"/>
                <w:szCs w:val="10"/>
                <w:color w:val="auto"/>
              </w:rPr>
              <w:t>2,268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2,268</w:t>
            </w:r>
          </w:p>
        </w:tc>
      </w:tr>
      <w:tr>
        <w:trPr>
          <w:trHeight w:val="117"/>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194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6,499</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0"/>
                <w:szCs w:val="10"/>
                <w:color w:val="auto"/>
              </w:rPr>
              <w:t>6,499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6,498</w:t>
            </w:r>
          </w:p>
        </w:tc>
      </w:tr>
    </w:tbl>
    <w:p>
      <w:pPr>
        <w:spacing w:after="0" w:line="56" w:lineRule="exact"/>
        <w:rPr>
          <w:sz w:val="20"/>
          <w:szCs w:val="20"/>
          <w:color w:val="auto"/>
        </w:rPr>
      </w:pPr>
    </w:p>
    <w:p>
      <w:pPr>
        <w:ind w:right="160" w:firstLine="7"/>
        <w:spacing w:after="0" w:line="243" w:lineRule="auto"/>
        <w:tabs>
          <w:tab w:leader="none" w:pos="118" w:val="left"/>
        </w:tabs>
        <w:numPr>
          <w:ilvl w:val="0"/>
          <w:numId w:val="49"/>
        </w:numPr>
        <w:rPr>
          <w:rFonts w:ascii="Arial" w:cs="Arial" w:eastAsia="Arial" w:hAnsi="Arial"/>
          <w:sz w:val="7"/>
          <w:szCs w:val="7"/>
          <w:color w:val="auto"/>
        </w:rPr>
      </w:pPr>
      <w:r>
        <w:rPr>
          <w:rFonts w:ascii="Arial" w:cs="Arial" w:eastAsia="Arial" w:hAnsi="Arial"/>
          <w:sz w:val="7"/>
          <w:szCs w:val="7"/>
          <w:color w:val="auto"/>
        </w:rPr>
        <w:t>Includes the Shell share of capacity entitlement (offtake rights) of joint ventures and associates, which may be different from nominal equity interest. Nominal capacity is quoted at December 31.</w:t>
      </w:r>
    </w:p>
    <w:p>
      <w:pPr>
        <w:spacing w:after="0" w:line="150" w:lineRule="exact"/>
        <w:rPr>
          <w:sz w:val="20"/>
          <w:szCs w:val="20"/>
          <w:color w:val="auto"/>
        </w:rPr>
      </w:pPr>
    </w:p>
    <w:p>
      <w:pPr>
        <w:sectPr>
          <w:pgSz w:w="11900" w:h="16838" w:orient="portrait"/>
          <w:cols w:equalWidth="0" w:num="2">
            <w:col w:w="5220" w:space="700"/>
            <w:col w:w="5380"/>
          </w:cols>
          <w:pgMar w:left="300" w:top="640" w:right="299" w:bottom="1440" w:gutter="0" w:footer="0" w:header="0"/>
        </w:sectPr>
      </w:pPr>
    </w:p>
    <w:p>
      <w:pPr>
        <w:spacing w:after="0"/>
        <w:rPr>
          <w:sz w:val="20"/>
          <w:szCs w:val="20"/>
          <w:color w:val="auto"/>
        </w:rPr>
      </w:pPr>
      <w:r>
        <w:rPr>
          <w:rFonts w:ascii="Arial" w:cs="Arial" w:eastAsia="Arial" w:hAnsi="Arial"/>
          <w:sz w:val="12"/>
          <w:szCs w:val="12"/>
          <w:color w:val="auto"/>
        </w:rPr>
        <w:t>Chemicals sales volumes [A]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Chemicals sales volumes [A]</w:t>
            </w:r>
          </w:p>
        </w:tc>
        <w:tc>
          <w:tcPr>
            <w:tcW w:w="4040" w:type="dxa"/>
            <w:vAlign w:val="bottom"/>
            <w:tcBorders>
              <w:bottom w:val="single" w:sz="8" w:color="auto"/>
            </w:tcBorders>
          </w:tcPr>
          <w:p>
            <w:pPr>
              <w:jc w:val="right"/>
              <w:ind w:right="852"/>
              <w:spacing w:after="0"/>
              <w:rPr>
                <w:sz w:val="20"/>
                <w:szCs w:val="20"/>
                <w:color w:val="auto"/>
              </w:rPr>
            </w:pPr>
            <w:r>
              <w:rPr>
                <w:rFonts w:ascii="Arial" w:cs="Arial" w:eastAsia="Arial" w:hAnsi="Arial"/>
                <w:sz w:val="10"/>
                <w:szCs w:val="10"/>
                <w:b w:val="1"/>
                <w:bCs w:val="1"/>
                <w:color w:val="auto"/>
              </w:rPr>
              <w:t>2020</w:t>
            </w:r>
          </w:p>
        </w:tc>
        <w:tc>
          <w:tcPr>
            <w:tcW w:w="2080" w:type="dxa"/>
            <w:vAlign w:val="bottom"/>
            <w:tcBorders>
              <w:bottom w:val="single" w:sz="8" w:color="auto"/>
            </w:tcBorders>
          </w:tcPr>
          <w:p>
            <w:pPr>
              <w:jc w:val="right"/>
              <w:ind w:right="872"/>
              <w:spacing w:after="0"/>
              <w:rPr>
                <w:sz w:val="20"/>
                <w:szCs w:val="20"/>
                <w:color w:val="auto"/>
              </w:rPr>
            </w:pPr>
            <w:r>
              <w:rPr>
                <w:rFonts w:ascii="Arial" w:cs="Arial" w:eastAsia="Arial" w:hAnsi="Arial"/>
                <w:sz w:val="10"/>
                <w:szCs w:val="10"/>
                <w:b w:val="1"/>
                <w:bCs w:val="1"/>
                <w:color w:val="auto"/>
              </w:rPr>
              <w:t>2019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r>
      <w:tr>
        <w:trPr>
          <w:trHeight w:val="114"/>
        </w:trPr>
        <w:tc>
          <w:tcPr>
            <w:tcW w:w="4020" w:type="dxa"/>
            <w:vAlign w:val="bottom"/>
          </w:tcPr>
          <w:p>
            <w:pPr>
              <w:spacing w:after="0"/>
              <w:rPr>
                <w:sz w:val="20"/>
                <w:szCs w:val="20"/>
                <w:color w:val="auto"/>
              </w:rPr>
            </w:pPr>
            <w:r>
              <w:rPr>
                <w:rFonts w:ascii="Arial" w:cs="Arial" w:eastAsia="Arial" w:hAnsi="Arial"/>
                <w:sz w:val="10"/>
                <w:szCs w:val="10"/>
                <w:color w:val="auto"/>
              </w:rPr>
              <w:t>Europe</w:t>
            </w:r>
          </w:p>
        </w:tc>
        <w:tc>
          <w:tcPr>
            <w:tcW w:w="40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23"/>
        </w:trPr>
        <w:tc>
          <w:tcPr>
            <w:tcW w:w="4020" w:type="dxa"/>
            <w:vAlign w:val="bottom"/>
          </w:tcPr>
          <w:p>
            <w:pPr>
              <w:spacing w:after="0"/>
              <w:rPr>
                <w:sz w:val="20"/>
                <w:szCs w:val="20"/>
                <w:color w:val="auto"/>
              </w:rPr>
            </w:pPr>
            <w:r>
              <w:rPr>
                <w:rFonts w:ascii="Arial" w:cs="Arial" w:eastAsia="Arial" w:hAnsi="Arial"/>
                <w:sz w:val="10"/>
                <w:szCs w:val="10"/>
                <w:color w:val="auto"/>
              </w:rPr>
              <w:t>Base chemicals</w:t>
            </w:r>
          </w:p>
        </w:tc>
        <w:tc>
          <w:tcPr>
            <w:tcW w:w="4040" w:type="dxa"/>
            <w:vAlign w:val="bottom"/>
          </w:tcPr>
          <w:p>
            <w:pPr>
              <w:jc w:val="right"/>
              <w:ind w:right="872"/>
              <w:spacing w:after="0"/>
              <w:rPr>
                <w:sz w:val="20"/>
                <w:szCs w:val="20"/>
                <w:color w:val="auto"/>
              </w:rPr>
            </w:pPr>
            <w:r>
              <w:rPr>
                <w:rFonts w:ascii="Arial" w:cs="Arial" w:eastAsia="Arial" w:hAnsi="Arial"/>
                <w:sz w:val="10"/>
                <w:szCs w:val="10"/>
                <w:color w:val="auto"/>
              </w:rPr>
              <w:t>3,490</w:t>
            </w:r>
          </w:p>
        </w:tc>
        <w:tc>
          <w:tcPr>
            <w:tcW w:w="2080" w:type="dxa"/>
            <w:vAlign w:val="bottom"/>
          </w:tcPr>
          <w:p>
            <w:pPr>
              <w:jc w:val="right"/>
              <w:ind w:right="892"/>
              <w:spacing w:after="0"/>
              <w:rPr>
                <w:sz w:val="20"/>
                <w:szCs w:val="20"/>
                <w:color w:val="auto"/>
              </w:rPr>
            </w:pPr>
            <w:r>
              <w:rPr>
                <w:rFonts w:ascii="Arial" w:cs="Arial" w:eastAsia="Arial" w:hAnsi="Arial"/>
                <w:sz w:val="10"/>
                <w:szCs w:val="10"/>
                <w:color w:val="auto"/>
              </w:rPr>
              <w:t>3,666</w:t>
            </w:r>
          </w:p>
        </w:tc>
        <w:tc>
          <w:tcPr>
            <w:tcW w:w="1160" w:type="dxa"/>
            <w:vAlign w:val="bottom"/>
          </w:tcPr>
          <w:p>
            <w:pPr>
              <w:jc w:val="right"/>
              <w:spacing w:after="0"/>
              <w:rPr>
                <w:sz w:val="20"/>
                <w:szCs w:val="20"/>
                <w:color w:val="auto"/>
              </w:rPr>
            </w:pPr>
            <w:r>
              <w:rPr>
                <w:rFonts w:ascii="Arial" w:cs="Arial" w:eastAsia="Arial" w:hAnsi="Arial"/>
                <w:sz w:val="10"/>
                <w:szCs w:val="10"/>
                <w:color w:val="auto"/>
              </w:rPr>
              <w:t>4,069</w:t>
            </w:r>
          </w:p>
        </w:tc>
      </w:tr>
      <w:tr>
        <w:trPr>
          <w:trHeight w:val="126"/>
        </w:trPr>
        <w:tc>
          <w:tcPr>
            <w:tcW w:w="4020" w:type="dxa"/>
            <w:vAlign w:val="bottom"/>
          </w:tcPr>
          <w:p>
            <w:pPr>
              <w:spacing w:after="0"/>
              <w:rPr>
                <w:sz w:val="20"/>
                <w:szCs w:val="20"/>
                <w:color w:val="auto"/>
              </w:rPr>
            </w:pPr>
            <w:r>
              <w:rPr>
                <w:rFonts w:ascii="Arial" w:cs="Arial" w:eastAsia="Arial" w:hAnsi="Arial"/>
                <w:sz w:val="10"/>
                <w:szCs w:val="10"/>
                <w:color w:val="auto"/>
              </w:rPr>
              <w:t>Intermediates and others</w:t>
            </w:r>
          </w:p>
        </w:tc>
        <w:tc>
          <w:tcPr>
            <w:tcW w:w="4040" w:type="dxa"/>
            <w:vAlign w:val="bottom"/>
          </w:tcPr>
          <w:p>
            <w:pPr>
              <w:jc w:val="right"/>
              <w:ind w:right="872"/>
              <w:spacing w:after="0"/>
              <w:rPr>
                <w:sz w:val="20"/>
                <w:szCs w:val="20"/>
                <w:color w:val="auto"/>
              </w:rPr>
            </w:pPr>
            <w:r>
              <w:rPr>
                <w:rFonts w:ascii="Arial" w:cs="Arial" w:eastAsia="Arial" w:hAnsi="Arial"/>
                <w:sz w:val="10"/>
                <w:szCs w:val="10"/>
                <w:color w:val="auto"/>
              </w:rPr>
              <w:t>1,990</w:t>
            </w:r>
          </w:p>
        </w:tc>
        <w:tc>
          <w:tcPr>
            <w:tcW w:w="2080" w:type="dxa"/>
            <w:vAlign w:val="bottom"/>
          </w:tcPr>
          <w:p>
            <w:pPr>
              <w:jc w:val="right"/>
              <w:ind w:right="892"/>
              <w:spacing w:after="0"/>
              <w:rPr>
                <w:sz w:val="20"/>
                <w:szCs w:val="20"/>
                <w:color w:val="auto"/>
              </w:rPr>
            </w:pPr>
            <w:r>
              <w:rPr>
                <w:rFonts w:ascii="Arial" w:cs="Arial" w:eastAsia="Arial" w:hAnsi="Arial"/>
                <w:sz w:val="10"/>
                <w:szCs w:val="10"/>
                <w:color w:val="auto"/>
              </w:rPr>
              <w:t>1,872</w:t>
            </w:r>
          </w:p>
        </w:tc>
        <w:tc>
          <w:tcPr>
            <w:tcW w:w="1160" w:type="dxa"/>
            <w:vAlign w:val="bottom"/>
          </w:tcPr>
          <w:p>
            <w:pPr>
              <w:jc w:val="right"/>
              <w:spacing w:after="0"/>
              <w:rPr>
                <w:sz w:val="20"/>
                <w:szCs w:val="20"/>
                <w:color w:val="auto"/>
              </w:rPr>
            </w:pPr>
            <w:r>
              <w:rPr>
                <w:rFonts w:ascii="Arial" w:cs="Arial" w:eastAsia="Arial" w:hAnsi="Arial"/>
                <w:sz w:val="10"/>
                <w:szCs w:val="10"/>
                <w:color w:val="auto"/>
              </w:rPr>
              <w:t>1,994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94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Total</w:t>
            </w:r>
          </w:p>
        </w:tc>
        <w:tc>
          <w:tcPr>
            <w:tcW w:w="4120" w:type="dxa"/>
            <w:vAlign w:val="bottom"/>
            <w:tcBorders>
              <w:top w:val="single" w:sz="8" w:color="auto"/>
            </w:tcBorders>
          </w:tcPr>
          <w:p>
            <w:pPr>
              <w:jc w:val="right"/>
              <w:ind w:right="872"/>
              <w:spacing w:after="0"/>
              <w:rPr>
                <w:sz w:val="20"/>
                <w:szCs w:val="20"/>
                <w:color w:val="auto"/>
              </w:rPr>
            </w:pPr>
            <w:r>
              <w:rPr>
                <w:rFonts w:ascii="Arial" w:cs="Arial" w:eastAsia="Arial" w:hAnsi="Arial"/>
                <w:sz w:val="10"/>
                <w:szCs w:val="10"/>
                <w:b w:val="1"/>
                <w:bCs w:val="1"/>
                <w:color w:val="auto"/>
              </w:rPr>
              <w:t>5,480</w:t>
            </w:r>
          </w:p>
        </w:tc>
        <w:tc>
          <w:tcPr>
            <w:tcW w:w="2060" w:type="dxa"/>
            <w:vAlign w:val="bottom"/>
            <w:tcBorders>
              <w:top w:val="single" w:sz="8" w:color="auto"/>
            </w:tcBorders>
          </w:tcPr>
          <w:p>
            <w:pPr>
              <w:jc w:val="right"/>
              <w:ind w:right="872"/>
              <w:spacing w:after="0"/>
              <w:rPr>
                <w:sz w:val="20"/>
                <w:szCs w:val="20"/>
                <w:color w:val="auto"/>
              </w:rPr>
            </w:pPr>
            <w:r>
              <w:rPr>
                <w:rFonts w:ascii="Arial" w:cs="Arial" w:eastAsia="Arial" w:hAnsi="Arial"/>
                <w:sz w:val="10"/>
                <w:szCs w:val="10"/>
                <w:b w:val="1"/>
                <w:bCs w:val="1"/>
                <w:color w:val="auto"/>
              </w:rPr>
              <w:t>5,538</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6,063</w:t>
            </w:r>
          </w:p>
        </w:tc>
      </w:tr>
      <w:tr>
        <w:trPr>
          <w:trHeight w:val="121"/>
        </w:trPr>
        <w:tc>
          <w:tcPr>
            <w:tcW w:w="3940" w:type="dxa"/>
            <w:vAlign w:val="bottom"/>
          </w:tcPr>
          <w:p>
            <w:pPr>
              <w:spacing w:after="0"/>
              <w:rPr>
                <w:sz w:val="20"/>
                <w:szCs w:val="20"/>
                <w:color w:val="auto"/>
              </w:rPr>
            </w:pPr>
            <w:r>
              <w:rPr>
                <w:rFonts w:ascii="Arial" w:cs="Arial" w:eastAsia="Arial" w:hAnsi="Arial"/>
                <w:sz w:val="10"/>
                <w:szCs w:val="10"/>
                <w:color w:val="auto"/>
              </w:rPr>
              <w:t>Asia</w:t>
            </w:r>
          </w:p>
        </w:tc>
        <w:tc>
          <w:tcPr>
            <w:tcW w:w="4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26"/>
        </w:trPr>
        <w:tc>
          <w:tcPr>
            <w:tcW w:w="3940" w:type="dxa"/>
            <w:vAlign w:val="bottom"/>
          </w:tcPr>
          <w:p>
            <w:pPr>
              <w:spacing w:after="0"/>
              <w:rPr>
                <w:sz w:val="20"/>
                <w:szCs w:val="20"/>
                <w:color w:val="auto"/>
              </w:rPr>
            </w:pPr>
            <w:r>
              <w:rPr>
                <w:rFonts w:ascii="Arial" w:cs="Arial" w:eastAsia="Arial" w:hAnsi="Arial"/>
                <w:sz w:val="10"/>
                <w:szCs w:val="10"/>
                <w:color w:val="auto"/>
              </w:rPr>
              <w:t>Base chemicals</w:t>
            </w:r>
          </w:p>
        </w:tc>
        <w:tc>
          <w:tcPr>
            <w:tcW w:w="4120" w:type="dxa"/>
            <w:vAlign w:val="bottom"/>
          </w:tcPr>
          <w:p>
            <w:pPr>
              <w:jc w:val="right"/>
              <w:ind w:right="872"/>
              <w:spacing w:after="0"/>
              <w:rPr>
                <w:sz w:val="20"/>
                <w:szCs w:val="20"/>
                <w:color w:val="auto"/>
              </w:rPr>
            </w:pPr>
            <w:r>
              <w:rPr>
                <w:rFonts w:ascii="Arial" w:cs="Arial" w:eastAsia="Arial" w:hAnsi="Arial"/>
                <w:sz w:val="10"/>
                <w:szCs w:val="10"/>
                <w:color w:val="auto"/>
              </w:rPr>
              <w:t>1,192</w:t>
            </w:r>
          </w:p>
        </w:tc>
        <w:tc>
          <w:tcPr>
            <w:tcW w:w="2060" w:type="dxa"/>
            <w:vAlign w:val="bottom"/>
          </w:tcPr>
          <w:p>
            <w:pPr>
              <w:jc w:val="right"/>
              <w:ind w:right="872"/>
              <w:spacing w:after="0"/>
              <w:rPr>
                <w:sz w:val="20"/>
                <w:szCs w:val="20"/>
                <w:color w:val="auto"/>
              </w:rPr>
            </w:pPr>
            <w:r>
              <w:rPr>
                <w:rFonts w:ascii="Arial" w:cs="Arial" w:eastAsia="Arial" w:hAnsi="Arial"/>
                <w:sz w:val="10"/>
                <w:szCs w:val="10"/>
                <w:color w:val="auto"/>
              </w:rPr>
              <w:t>1,057</w:t>
            </w:r>
          </w:p>
        </w:tc>
        <w:tc>
          <w:tcPr>
            <w:tcW w:w="1180" w:type="dxa"/>
            <w:vAlign w:val="bottom"/>
          </w:tcPr>
          <w:p>
            <w:pPr>
              <w:jc w:val="right"/>
              <w:spacing w:after="0"/>
              <w:rPr>
                <w:sz w:val="20"/>
                <w:szCs w:val="20"/>
                <w:color w:val="auto"/>
              </w:rPr>
            </w:pPr>
            <w:r>
              <w:rPr>
                <w:rFonts w:ascii="Arial" w:cs="Arial" w:eastAsia="Arial" w:hAnsi="Arial"/>
                <w:sz w:val="10"/>
                <w:szCs w:val="10"/>
                <w:color w:val="auto"/>
              </w:rPr>
              <w:t>2,140</w:t>
            </w:r>
          </w:p>
        </w:tc>
      </w:tr>
      <w:tr>
        <w:trPr>
          <w:trHeight w:val="126"/>
        </w:trPr>
        <w:tc>
          <w:tcPr>
            <w:tcW w:w="3940" w:type="dxa"/>
            <w:vAlign w:val="bottom"/>
          </w:tcPr>
          <w:p>
            <w:pPr>
              <w:spacing w:after="0"/>
              <w:rPr>
                <w:sz w:val="20"/>
                <w:szCs w:val="20"/>
                <w:color w:val="auto"/>
              </w:rPr>
            </w:pPr>
            <w:r>
              <w:rPr>
                <w:rFonts w:ascii="Arial" w:cs="Arial" w:eastAsia="Arial" w:hAnsi="Arial"/>
                <w:sz w:val="10"/>
                <w:szCs w:val="10"/>
                <w:color w:val="auto"/>
              </w:rPr>
              <w:t>Intermediates and others</w:t>
            </w:r>
          </w:p>
        </w:tc>
        <w:tc>
          <w:tcPr>
            <w:tcW w:w="4120" w:type="dxa"/>
            <w:vAlign w:val="bottom"/>
          </w:tcPr>
          <w:p>
            <w:pPr>
              <w:jc w:val="right"/>
              <w:ind w:right="872"/>
              <w:spacing w:after="0"/>
              <w:rPr>
                <w:sz w:val="20"/>
                <w:szCs w:val="20"/>
                <w:color w:val="auto"/>
              </w:rPr>
            </w:pPr>
            <w:r>
              <w:rPr>
                <w:rFonts w:ascii="Arial" w:cs="Arial" w:eastAsia="Arial" w:hAnsi="Arial"/>
                <w:sz w:val="10"/>
                <w:szCs w:val="10"/>
                <w:color w:val="auto"/>
              </w:rPr>
              <w:t>2,969</w:t>
            </w:r>
          </w:p>
        </w:tc>
        <w:tc>
          <w:tcPr>
            <w:tcW w:w="2060" w:type="dxa"/>
            <w:vAlign w:val="bottom"/>
          </w:tcPr>
          <w:p>
            <w:pPr>
              <w:jc w:val="right"/>
              <w:ind w:right="872"/>
              <w:spacing w:after="0"/>
              <w:rPr>
                <w:sz w:val="20"/>
                <w:szCs w:val="20"/>
                <w:color w:val="auto"/>
              </w:rPr>
            </w:pPr>
            <w:r>
              <w:rPr>
                <w:rFonts w:ascii="Arial" w:cs="Arial" w:eastAsia="Arial" w:hAnsi="Arial"/>
                <w:sz w:val="10"/>
                <w:szCs w:val="10"/>
                <w:color w:val="auto"/>
              </w:rPr>
              <w:t>2,848</w:t>
            </w:r>
          </w:p>
        </w:tc>
        <w:tc>
          <w:tcPr>
            <w:tcW w:w="1180" w:type="dxa"/>
            <w:vAlign w:val="bottom"/>
          </w:tcPr>
          <w:p>
            <w:pPr>
              <w:jc w:val="right"/>
              <w:spacing w:after="0"/>
              <w:rPr>
                <w:sz w:val="20"/>
                <w:szCs w:val="20"/>
                <w:color w:val="auto"/>
              </w:rPr>
            </w:pPr>
            <w:r>
              <w:rPr>
                <w:rFonts w:ascii="Arial" w:cs="Arial" w:eastAsia="Arial" w:hAnsi="Arial"/>
                <w:sz w:val="10"/>
                <w:szCs w:val="10"/>
                <w:color w:val="auto"/>
              </w:rPr>
              <w:t>3,082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94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Total</w:t>
            </w:r>
          </w:p>
        </w:tc>
        <w:tc>
          <w:tcPr>
            <w:tcW w:w="4120" w:type="dxa"/>
            <w:vAlign w:val="bottom"/>
            <w:tcBorders>
              <w:top w:val="single" w:sz="8" w:color="auto"/>
            </w:tcBorders>
          </w:tcPr>
          <w:p>
            <w:pPr>
              <w:jc w:val="right"/>
              <w:ind w:right="872"/>
              <w:spacing w:after="0"/>
              <w:rPr>
                <w:sz w:val="20"/>
                <w:szCs w:val="20"/>
                <w:color w:val="auto"/>
              </w:rPr>
            </w:pPr>
            <w:r>
              <w:rPr>
                <w:rFonts w:ascii="Arial" w:cs="Arial" w:eastAsia="Arial" w:hAnsi="Arial"/>
                <w:sz w:val="10"/>
                <w:szCs w:val="10"/>
                <w:b w:val="1"/>
                <w:bCs w:val="1"/>
                <w:color w:val="auto"/>
              </w:rPr>
              <w:t>4,161</w:t>
            </w:r>
          </w:p>
        </w:tc>
        <w:tc>
          <w:tcPr>
            <w:tcW w:w="2060" w:type="dxa"/>
            <w:vAlign w:val="bottom"/>
            <w:tcBorders>
              <w:top w:val="single" w:sz="8" w:color="auto"/>
            </w:tcBorders>
          </w:tcPr>
          <w:p>
            <w:pPr>
              <w:jc w:val="right"/>
              <w:ind w:right="872"/>
              <w:spacing w:after="0"/>
              <w:rPr>
                <w:sz w:val="20"/>
                <w:szCs w:val="20"/>
                <w:color w:val="auto"/>
              </w:rPr>
            </w:pPr>
            <w:r>
              <w:rPr>
                <w:rFonts w:ascii="Arial" w:cs="Arial" w:eastAsia="Arial" w:hAnsi="Arial"/>
                <w:sz w:val="10"/>
                <w:szCs w:val="10"/>
                <w:b w:val="1"/>
                <w:bCs w:val="1"/>
                <w:color w:val="auto"/>
              </w:rPr>
              <w:t>3,905</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5,222</w:t>
            </w:r>
          </w:p>
        </w:tc>
      </w:tr>
      <w:tr>
        <w:trPr>
          <w:trHeight w:val="121"/>
        </w:trPr>
        <w:tc>
          <w:tcPr>
            <w:tcW w:w="3940" w:type="dxa"/>
            <w:vAlign w:val="bottom"/>
          </w:tcPr>
          <w:p>
            <w:pPr>
              <w:spacing w:after="0"/>
              <w:rPr>
                <w:sz w:val="20"/>
                <w:szCs w:val="20"/>
                <w:color w:val="auto"/>
              </w:rPr>
            </w:pPr>
            <w:r>
              <w:rPr>
                <w:rFonts w:ascii="Arial" w:cs="Arial" w:eastAsia="Arial" w:hAnsi="Arial"/>
                <w:sz w:val="10"/>
                <w:szCs w:val="10"/>
                <w:color w:val="auto"/>
              </w:rPr>
              <w:t>Americas</w:t>
            </w:r>
          </w:p>
        </w:tc>
        <w:tc>
          <w:tcPr>
            <w:tcW w:w="4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26"/>
        </w:trPr>
        <w:tc>
          <w:tcPr>
            <w:tcW w:w="3940" w:type="dxa"/>
            <w:vAlign w:val="bottom"/>
          </w:tcPr>
          <w:p>
            <w:pPr>
              <w:spacing w:after="0"/>
              <w:rPr>
                <w:sz w:val="20"/>
                <w:szCs w:val="20"/>
                <w:color w:val="auto"/>
              </w:rPr>
            </w:pPr>
            <w:r>
              <w:rPr>
                <w:rFonts w:ascii="Arial" w:cs="Arial" w:eastAsia="Arial" w:hAnsi="Arial"/>
                <w:sz w:val="10"/>
                <w:szCs w:val="10"/>
                <w:color w:val="auto"/>
              </w:rPr>
              <w:t>Base chemicals</w:t>
            </w:r>
          </w:p>
        </w:tc>
        <w:tc>
          <w:tcPr>
            <w:tcW w:w="4120" w:type="dxa"/>
            <w:vAlign w:val="bottom"/>
          </w:tcPr>
          <w:p>
            <w:pPr>
              <w:jc w:val="right"/>
              <w:ind w:right="872"/>
              <w:spacing w:after="0"/>
              <w:rPr>
                <w:sz w:val="20"/>
                <w:szCs w:val="20"/>
                <w:color w:val="auto"/>
              </w:rPr>
            </w:pPr>
            <w:r>
              <w:rPr>
                <w:rFonts w:ascii="Arial" w:cs="Arial" w:eastAsia="Arial" w:hAnsi="Arial"/>
                <w:sz w:val="10"/>
                <w:szCs w:val="10"/>
                <w:color w:val="auto"/>
              </w:rPr>
              <w:t>2,936</w:t>
            </w:r>
          </w:p>
        </w:tc>
        <w:tc>
          <w:tcPr>
            <w:tcW w:w="2060" w:type="dxa"/>
            <w:vAlign w:val="bottom"/>
          </w:tcPr>
          <w:p>
            <w:pPr>
              <w:jc w:val="right"/>
              <w:ind w:right="872"/>
              <w:spacing w:after="0"/>
              <w:rPr>
                <w:sz w:val="20"/>
                <w:szCs w:val="20"/>
                <w:color w:val="auto"/>
              </w:rPr>
            </w:pPr>
            <w:r>
              <w:rPr>
                <w:rFonts w:ascii="Arial" w:cs="Arial" w:eastAsia="Arial" w:hAnsi="Arial"/>
                <w:sz w:val="10"/>
                <w:szCs w:val="10"/>
                <w:color w:val="auto"/>
              </w:rPr>
              <w:t>3,261</w:t>
            </w:r>
          </w:p>
        </w:tc>
        <w:tc>
          <w:tcPr>
            <w:tcW w:w="1180" w:type="dxa"/>
            <w:vAlign w:val="bottom"/>
          </w:tcPr>
          <w:p>
            <w:pPr>
              <w:jc w:val="right"/>
              <w:spacing w:after="0"/>
              <w:rPr>
                <w:sz w:val="20"/>
                <w:szCs w:val="20"/>
                <w:color w:val="auto"/>
              </w:rPr>
            </w:pPr>
            <w:r>
              <w:rPr>
                <w:rFonts w:ascii="Arial" w:cs="Arial" w:eastAsia="Arial" w:hAnsi="Arial"/>
                <w:sz w:val="10"/>
                <w:szCs w:val="10"/>
                <w:color w:val="auto"/>
              </w:rPr>
              <w:t>3,842</w:t>
            </w:r>
          </w:p>
        </w:tc>
      </w:tr>
      <w:tr>
        <w:trPr>
          <w:trHeight w:val="126"/>
        </w:trPr>
        <w:tc>
          <w:tcPr>
            <w:tcW w:w="3940" w:type="dxa"/>
            <w:vAlign w:val="bottom"/>
          </w:tcPr>
          <w:p>
            <w:pPr>
              <w:spacing w:after="0"/>
              <w:rPr>
                <w:sz w:val="20"/>
                <w:szCs w:val="20"/>
                <w:color w:val="auto"/>
              </w:rPr>
            </w:pPr>
            <w:r>
              <w:rPr>
                <w:rFonts w:ascii="Arial" w:cs="Arial" w:eastAsia="Arial" w:hAnsi="Arial"/>
                <w:sz w:val="10"/>
                <w:szCs w:val="10"/>
                <w:color w:val="auto"/>
              </w:rPr>
              <w:t>Intermediates and others</w:t>
            </w:r>
          </w:p>
        </w:tc>
        <w:tc>
          <w:tcPr>
            <w:tcW w:w="4120" w:type="dxa"/>
            <w:vAlign w:val="bottom"/>
          </w:tcPr>
          <w:p>
            <w:pPr>
              <w:jc w:val="right"/>
              <w:ind w:right="872"/>
              <w:spacing w:after="0"/>
              <w:rPr>
                <w:sz w:val="20"/>
                <w:szCs w:val="20"/>
                <w:color w:val="auto"/>
              </w:rPr>
            </w:pPr>
            <w:r>
              <w:rPr>
                <w:rFonts w:ascii="Arial" w:cs="Arial" w:eastAsia="Arial" w:hAnsi="Arial"/>
                <w:sz w:val="10"/>
                <w:szCs w:val="10"/>
                <w:color w:val="auto"/>
              </w:rPr>
              <w:t>2,459</w:t>
            </w:r>
          </w:p>
        </w:tc>
        <w:tc>
          <w:tcPr>
            <w:tcW w:w="2060" w:type="dxa"/>
            <w:vAlign w:val="bottom"/>
          </w:tcPr>
          <w:p>
            <w:pPr>
              <w:jc w:val="right"/>
              <w:ind w:right="872"/>
              <w:spacing w:after="0"/>
              <w:rPr>
                <w:sz w:val="20"/>
                <w:szCs w:val="20"/>
                <w:color w:val="auto"/>
              </w:rPr>
            </w:pPr>
            <w:r>
              <w:rPr>
                <w:rFonts w:ascii="Arial" w:cs="Arial" w:eastAsia="Arial" w:hAnsi="Arial"/>
                <w:sz w:val="10"/>
                <w:szCs w:val="10"/>
                <w:color w:val="auto"/>
              </w:rPr>
              <w:t>2,519</w:t>
            </w:r>
          </w:p>
        </w:tc>
        <w:tc>
          <w:tcPr>
            <w:tcW w:w="1180" w:type="dxa"/>
            <w:vAlign w:val="bottom"/>
          </w:tcPr>
          <w:p>
            <w:pPr>
              <w:jc w:val="right"/>
              <w:spacing w:after="0"/>
              <w:rPr>
                <w:sz w:val="20"/>
                <w:szCs w:val="20"/>
                <w:color w:val="auto"/>
              </w:rPr>
            </w:pPr>
            <w:r>
              <w:rPr>
                <w:rFonts w:ascii="Arial" w:cs="Arial" w:eastAsia="Arial" w:hAnsi="Arial"/>
                <w:sz w:val="10"/>
                <w:szCs w:val="10"/>
                <w:color w:val="auto"/>
              </w:rPr>
              <w:t>2,517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5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Total</w:t>
            </w:r>
          </w:p>
        </w:tc>
        <w:tc>
          <w:tcPr>
            <w:tcW w:w="4540" w:type="dxa"/>
            <w:vAlign w:val="bottom"/>
            <w:tcBorders>
              <w:top w:val="single" w:sz="8" w:color="auto"/>
            </w:tcBorders>
          </w:tcPr>
          <w:p>
            <w:pPr>
              <w:jc w:val="right"/>
              <w:ind w:right="854"/>
              <w:spacing w:after="0"/>
              <w:rPr>
                <w:sz w:val="20"/>
                <w:szCs w:val="20"/>
                <w:color w:val="auto"/>
              </w:rPr>
            </w:pPr>
            <w:r>
              <w:rPr>
                <w:rFonts w:ascii="Arial" w:cs="Arial" w:eastAsia="Arial" w:hAnsi="Arial"/>
                <w:sz w:val="10"/>
                <w:szCs w:val="10"/>
                <w:b w:val="1"/>
                <w:bCs w:val="1"/>
                <w:color w:val="auto"/>
              </w:rPr>
              <w:t>5,395</w:t>
            </w:r>
          </w:p>
        </w:tc>
        <w:tc>
          <w:tcPr>
            <w:tcW w:w="2060" w:type="dxa"/>
            <w:vAlign w:val="bottom"/>
            <w:tcBorders>
              <w:top w:val="single" w:sz="8" w:color="auto"/>
            </w:tcBorders>
          </w:tcPr>
          <w:p>
            <w:pPr>
              <w:jc w:val="right"/>
              <w:ind w:right="852"/>
              <w:spacing w:after="0"/>
              <w:rPr>
                <w:sz w:val="20"/>
                <w:szCs w:val="20"/>
                <w:color w:val="auto"/>
              </w:rPr>
            </w:pPr>
            <w:r>
              <w:rPr>
                <w:rFonts w:ascii="Arial" w:cs="Arial" w:eastAsia="Arial" w:hAnsi="Arial"/>
                <w:sz w:val="10"/>
                <w:szCs w:val="10"/>
                <w:b w:val="1"/>
                <w:bCs w:val="1"/>
                <w:color w:val="auto"/>
              </w:rPr>
              <w:t>5,780</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6,359</w:t>
            </w:r>
          </w:p>
        </w:tc>
      </w:tr>
      <w:tr>
        <w:trPr>
          <w:trHeight w:val="121"/>
        </w:trPr>
        <w:tc>
          <w:tcPr>
            <w:tcW w:w="3500" w:type="dxa"/>
            <w:vAlign w:val="bottom"/>
          </w:tcPr>
          <w:p>
            <w:pPr>
              <w:spacing w:after="0"/>
              <w:rPr>
                <w:sz w:val="20"/>
                <w:szCs w:val="20"/>
                <w:color w:val="auto"/>
              </w:rPr>
            </w:pPr>
            <w:r>
              <w:rPr>
                <w:rFonts w:ascii="Arial" w:cs="Arial" w:eastAsia="Arial" w:hAnsi="Arial"/>
                <w:sz w:val="10"/>
                <w:szCs w:val="10"/>
                <w:color w:val="auto"/>
              </w:rPr>
              <w:t>Total product sales</w:t>
            </w:r>
          </w:p>
        </w:tc>
        <w:tc>
          <w:tcPr>
            <w:tcW w:w="45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26"/>
        </w:trPr>
        <w:tc>
          <w:tcPr>
            <w:tcW w:w="3500" w:type="dxa"/>
            <w:vAlign w:val="bottom"/>
          </w:tcPr>
          <w:p>
            <w:pPr>
              <w:spacing w:after="0"/>
              <w:rPr>
                <w:sz w:val="20"/>
                <w:szCs w:val="20"/>
                <w:color w:val="auto"/>
              </w:rPr>
            </w:pPr>
            <w:r>
              <w:rPr>
                <w:rFonts w:ascii="Arial" w:cs="Arial" w:eastAsia="Arial" w:hAnsi="Arial"/>
                <w:sz w:val="10"/>
                <w:szCs w:val="10"/>
                <w:color w:val="auto"/>
              </w:rPr>
              <w:t>Base chemicals</w:t>
            </w:r>
          </w:p>
        </w:tc>
        <w:tc>
          <w:tcPr>
            <w:tcW w:w="4540" w:type="dxa"/>
            <w:vAlign w:val="bottom"/>
          </w:tcPr>
          <w:p>
            <w:pPr>
              <w:jc w:val="right"/>
              <w:ind w:right="854"/>
              <w:spacing w:after="0"/>
              <w:rPr>
                <w:sz w:val="20"/>
                <w:szCs w:val="20"/>
                <w:color w:val="auto"/>
              </w:rPr>
            </w:pPr>
            <w:r>
              <w:rPr>
                <w:rFonts w:ascii="Arial" w:cs="Arial" w:eastAsia="Arial" w:hAnsi="Arial"/>
                <w:sz w:val="10"/>
                <w:szCs w:val="10"/>
                <w:color w:val="auto"/>
              </w:rPr>
              <w:t>7,618</w:t>
            </w:r>
          </w:p>
        </w:tc>
        <w:tc>
          <w:tcPr>
            <w:tcW w:w="2060" w:type="dxa"/>
            <w:vAlign w:val="bottom"/>
          </w:tcPr>
          <w:p>
            <w:pPr>
              <w:jc w:val="right"/>
              <w:ind w:right="852"/>
              <w:spacing w:after="0"/>
              <w:rPr>
                <w:sz w:val="20"/>
                <w:szCs w:val="20"/>
                <w:color w:val="auto"/>
              </w:rPr>
            </w:pPr>
            <w:r>
              <w:rPr>
                <w:rFonts w:ascii="Arial" w:cs="Arial" w:eastAsia="Arial" w:hAnsi="Arial"/>
                <w:sz w:val="10"/>
                <w:szCs w:val="10"/>
                <w:color w:val="auto"/>
              </w:rPr>
              <w:t>7,984</w:t>
            </w:r>
          </w:p>
        </w:tc>
        <w:tc>
          <w:tcPr>
            <w:tcW w:w="1200" w:type="dxa"/>
            <w:vAlign w:val="bottom"/>
          </w:tcPr>
          <w:p>
            <w:pPr>
              <w:jc w:val="right"/>
              <w:spacing w:after="0"/>
              <w:rPr>
                <w:sz w:val="20"/>
                <w:szCs w:val="20"/>
                <w:color w:val="auto"/>
              </w:rPr>
            </w:pPr>
            <w:r>
              <w:rPr>
                <w:rFonts w:ascii="Arial" w:cs="Arial" w:eastAsia="Arial" w:hAnsi="Arial"/>
                <w:sz w:val="10"/>
                <w:szCs w:val="10"/>
                <w:color w:val="auto"/>
              </w:rPr>
              <w:t>10,051</w:t>
            </w:r>
          </w:p>
        </w:tc>
      </w:tr>
      <w:tr>
        <w:trPr>
          <w:trHeight w:val="130"/>
        </w:trPr>
        <w:tc>
          <w:tcPr>
            <w:tcW w:w="35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Intermediates and others</w:t>
            </w:r>
          </w:p>
        </w:tc>
        <w:tc>
          <w:tcPr>
            <w:tcW w:w="4540" w:type="dxa"/>
            <w:vAlign w:val="bottom"/>
            <w:tcBorders>
              <w:bottom w:val="single" w:sz="8" w:color="auto"/>
            </w:tcBorders>
          </w:tcPr>
          <w:p>
            <w:pPr>
              <w:jc w:val="right"/>
              <w:ind w:right="834"/>
              <w:spacing w:after="0"/>
              <w:rPr>
                <w:sz w:val="20"/>
                <w:szCs w:val="20"/>
                <w:color w:val="auto"/>
              </w:rPr>
            </w:pPr>
            <w:r>
              <w:rPr>
                <w:rFonts w:ascii="Arial" w:cs="Arial" w:eastAsia="Arial" w:hAnsi="Arial"/>
                <w:sz w:val="10"/>
                <w:szCs w:val="10"/>
                <w:color w:val="auto"/>
              </w:rPr>
              <w:t>7418</w:t>
            </w:r>
          </w:p>
        </w:tc>
        <w:tc>
          <w:tcPr>
            <w:tcW w:w="2060" w:type="dxa"/>
            <w:vAlign w:val="bottom"/>
            <w:tcBorders>
              <w:bottom w:val="single" w:sz="8" w:color="auto"/>
            </w:tcBorders>
          </w:tcPr>
          <w:p>
            <w:pPr>
              <w:jc w:val="right"/>
              <w:ind w:right="832"/>
              <w:spacing w:after="0"/>
              <w:rPr>
                <w:sz w:val="20"/>
                <w:szCs w:val="20"/>
                <w:color w:val="auto"/>
              </w:rPr>
            </w:pPr>
            <w:r>
              <w:rPr>
                <w:rFonts w:ascii="Arial" w:cs="Arial" w:eastAsia="Arial" w:hAnsi="Arial"/>
                <w:sz w:val="10"/>
                <w:szCs w:val="10"/>
                <w:color w:val="auto"/>
              </w:rPr>
              <w:t>7239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7593</w:t>
            </w:r>
          </w:p>
        </w:tc>
      </w:tr>
      <w:tr>
        <w:trPr>
          <w:trHeight w:val="286"/>
        </w:trPr>
        <w:tc>
          <w:tcPr>
            <w:tcW w:w="3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Total</w:t>
            </w:r>
          </w:p>
        </w:tc>
        <w:tc>
          <w:tcPr>
            <w:tcW w:w="4540" w:type="dxa"/>
            <w:vAlign w:val="bottom"/>
            <w:tcBorders>
              <w:bottom w:val="single" w:sz="8" w:color="auto"/>
            </w:tcBorders>
          </w:tcPr>
          <w:p>
            <w:pPr>
              <w:jc w:val="right"/>
              <w:ind w:right="854"/>
              <w:spacing w:after="0"/>
              <w:rPr>
                <w:sz w:val="20"/>
                <w:szCs w:val="20"/>
                <w:color w:val="auto"/>
              </w:rPr>
            </w:pPr>
            <w:r>
              <w:rPr>
                <w:rFonts w:ascii="Arial" w:cs="Arial" w:eastAsia="Arial" w:hAnsi="Arial"/>
                <w:sz w:val="10"/>
                <w:szCs w:val="10"/>
                <w:b w:val="1"/>
                <w:bCs w:val="1"/>
                <w:color w:val="auto"/>
              </w:rPr>
              <w:t>15,036</w:t>
            </w:r>
          </w:p>
        </w:tc>
        <w:tc>
          <w:tcPr>
            <w:tcW w:w="2060" w:type="dxa"/>
            <w:vAlign w:val="bottom"/>
            <w:tcBorders>
              <w:bottom w:val="single" w:sz="8" w:color="auto"/>
            </w:tcBorders>
          </w:tcPr>
          <w:p>
            <w:pPr>
              <w:jc w:val="right"/>
              <w:ind w:right="852"/>
              <w:spacing w:after="0"/>
              <w:rPr>
                <w:sz w:val="20"/>
                <w:szCs w:val="20"/>
                <w:color w:val="auto"/>
              </w:rPr>
            </w:pPr>
            <w:r>
              <w:rPr>
                <w:rFonts w:ascii="Arial" w:cs="Arial" w:eastAsia="Arial" w:hAnsi="Arial"/>
                <w:sz w:val="10"/>
                <w:szCs w:val="10"/>
                <w:b w:val="1"/>
                <w:bCs w:val="1"/>
                <w:color w:val="auto"/>
              </w:rPr>
              <w:t>15,223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17,644</w:t>
            </w:r>
          </w:p>
        </w:tc>
      </w:tr>
      <w:tr>
        <w:trPr>
          <w:trHeight w:val="148"/>
        </w:trPr>
        <w:tc>
          <w:tcPr>
            <w:tcW w:w="3500" w:type="dxa"/>
            <w:vAlign w:val="bottom"/>
          </w:tcPr>
          <w:p>
            <w:pPr>
              <w:spacing w:after="0"/>
              <w:rPr>
                <w:sz w:val="20"/>
                <w:szCs w:val="20"/>
                <w:color w:val="auto"/>
              </w:rPr>
            </w:pPr>
            <w:r>
              <w:rPr>
                <w:rFonts w:ascii="Arial" w:cs="Arial" w:eastAsia="Arial" w:hAnsi="Arial"/>
                <w:sz w:val="7"/>
                <w:szCs w:val="7"/>
                <w:color w:val="auto"/>
              </w:rPr>
              <w:t>[A] Excludes feedstock trading and by-products.</w:t>
            </w:r>
          </w:p>
        </w:tc>
        <w:tc>
          <w:tcPr>
            <w:tcW w:w="4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4540" w:type="dxa"/>
            <w:vAlign w:val="bottom"/>
          </w:tcPr>
          <w:p>
            <w:pPr>
              <w:jc w:val="right"/>
              <w:ind w:right="2394"/>
              <w:spacing w:after="0"/>
              <w:rPr>
                <w:sz w:val="20"/>
                <w:szCs w:val="20"/>
                <w:color w:val="auto"/>
              </w:rPr>
            </w:pPr>
            <w:r>
              <w:rPr>
                <w:rFonts w:ascii="Arial" w:cs="Arial" w:eastAsia="Arial" w:hAnsi="Arial"/>
                <w:sz w:val="7"/>
                <w:szCs w:val="7"/>
                <w:color w:val="auto"/>
              </w:rPr>
              <w:t>58</w:t>
            </w:r>
          </w:p>
        </w:tc>
        <w:tc>
          <w:tcPr>
            <w:tcW w:w="20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51"/>
        </w:trPr>
        <w:tc>
          <w:tcPr>
            <w:tcW w:w="3500" w:type="dxa"/>
            <w:vAlign w:val="bottom"/>
            <w:tcBorders>
              <w:bottom w:val="single" w:sz="8" w:color="9A9A9A"/>
            </w:tcBorders>
          </w:tcPr>
          <w:p>
            <w:pPr>
              <w:spacing w:after="0"/>
              <w:rPr>
                <w:sz w:val="13"/>
                <w:szCs w:val="13"/>
                <w:color w:val="auto"/>
              </w:rPr>
            </w:pPr>
          </w:p>
        </w:tc>
        <w:tc>
          <w:tcPr>
            <w:tcW w:w="4540" w:type="dxa"/>
            <w:vAlign w:val="bottom"/>
            <w:tcBorders>
              <w:bottom w:val="single" w:sz="8" w:color="9A9A9A"/>
            </w:tcBorders>
          </w:tcPr>
          <w:p>
            <w:pPr>
              <w:spacing w:after="0"/>
              <w:rPr>
                <w:sz w:val="13"/>
                <w:szCs w:val="13"/>
                <w:color w:val="auto"/>
              </w:rPr>
            </w:pPr>
          </w:p>
        </w:tc>
        <w:tc>
          <w:tcPr>
            <w:tcW w:w="2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61" w:name="page62"/>
    <w:bookmarkEnd w:id="61"/>
    <w:p>
      <w:pPr>
        <w:ind w:left="8"/>
        <w:spacing w:after="0"/>
        <w:rPr>
          <w:sz w:val="20"/>
          <w:szCs w:val="20"/>
          <w:color w:val="auto"/>
        </w:rPr>
      </w:pPr>
      <w:r>
        <w:rPr>
          <w:rFonts w:ascii="Arial" w:cs="Arial" w:eastAsia="Arial" w:hAnsi="Arial"/>
          <w:sz w:val="12"/>
          <w:szCs w:val="12"/>
          <w:color w:val="auto"/>
        </w:rPr>
        <w:t>Major chemical plants in operation [A]</w:t>
      </w:r>
    </w:p>
    <w:p>
      <w:pPr>
        <w:spacing w:after="0" w:line="209"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40" w:type="dxa"/>
            <w:vAlign w:val="bottom"/>
            <w:gridSpan w:val="3"/>
          </w:tcPr>
          <w:p>
            <w:pPr>
              <w:jc w:val="right"/>
              <w:ind w:right="72"/>
              <w:spacing w:after="0"/>
              <w:rPr>
                <w:sz w:val="20"/>
                <w:szCs w:val="20"/>
                <w:color w:val="auto"/>
              </w:rPr>
            </w:pPr>
            <w:r>
              <w:rPr>
                <w:rFonts w:ascii="Arial" w:cs="Arial" w:eastAsia="Arial" w:hAnsi="Arial"/>
                <w:sz w:val="10"/>
                <w:szCs w:val="10"/>
                <w:color w:val="auto"/>
                <w:w w:val="85"/>
              </w:rPr>
              <w:t>Thousand tonnes/year, Shell share capacity [B]</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060" w:type="dxa"/>
            <w:vAlign w:val="bottom"/>
          </w:tcPr>
          <w:p>
            <w:pPr>
              <w:spacing w:after="0"/>
              <w:rPr>
                <w:sz w:val="8"/>
                <w:szCs w:val="8"/>
                <w:color w:val="auto"/>
              </w:rPr>
            </w:pPr>
          </w:p>
        </w:tc>
        <w:tc>
          <w:tcPr>
            <w:tcW w:w="1200" w:type="dxa"/>
            <w:vAlign w:val="bottom"/>
            <w:vMerge w:val="restart"/>
          </w:tcPr>
          <w:p>
            <w:pPr>
              <w:ind w:left="520"/>
              <w:spacing w:after="0"/>
              <w:rPr>
                <w:sz w:val="20"/>
                <w:szCs w:val="20"/>
                <w:color w:val="auto"/>
              </w:rPr>
            </w:pPr>
            <w:r>
              <w:rPr>
                <w:rFonts w:ascii="Arial" w:cs="Arial" w:eastAsia="Arial" w:hAnsi="Arial"/>
                <w:sz w:val="10"/>
                <w:szCs w:val="10"/>
                <w:color w:val="auto"/>
              </w:rPr>
              <w:t>Location</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Ethylene</w:t>
            </w:r>
          </w:p>
        </w:tc>
        <w:tc>
          <w:tcPr>
            <w:tcW w:w="740" w:type="dxa"/>
            <w:vAlign w:val="bottom"/>
          </w:tcPr>
          <w:p>
            <w:pPr>
              <w:jc w:val="right"/>
              <w:ind w:right="92"/>
              <w:spacing w:after="0" w:line="98" w:lineRule="exact"/>
              <w:rPr>
                <w:sz w:val="20"/>
                <w:szCs w:val="20"/>
                <w:color w:val="auto"/>
              </w:rPr>
            </w:pPr>
            <w:r>
              <w:rPr>
                <w:rFonts w:ascii="Arial" w:cs="Arial" w:eastAsia="Arial" w:hAnsi="Arial"/>
                <w:sz w:val="10"/>
                <w:szCs w:val="10"/>
                <w:color w:val="auto"/>
              </w:rPr>
              <w:t>Styrene</w:t>
            </w:r>
          </w:p>
        </w:tc>
        <w:tc>
          <w:tcPr>
            <w:tcW w:w="500" w:type="dxa"/>
            <w:vAlign w:val="bottom"/>
          </w:tcPr>
          <w:p>
            <w:pPr>
              <w:jc w:val="right"/>
              <w:spacing w:after="0" w:line="98" w:lineRule="exact"/>
              <w:rPr>
                <w:sz w:val="20"/>
                <w:szCs w:val="20"/>
                <w:color w:val="auto"/>
              </w:rPr>
            </w:pPr>
            <w:r>
              <w:rPr>
                <w:rFonts w:ascii="Arial" w:cs="Arial" w:eastAsia="Arial" w:hAnsi="Arial"/>
                <w:sz w:val="10"/>
                <w:szCs w:val="10"/>
                <w:color w:val="auto"/>
              </w:rPr>
              <w:t>Ethylene</w:t>
            </w:r>
          </w:p>
        </w:tc>
        <w:tc>
          <w:tcPr>
            <w:tcW w:w="700" w:type="dxa"/>
            <w:vAlign w:val="bottom"/>
          </w:tcPr>
          <w:p>
            <w:pPr>
              <w:jc w:val="right"/>
              <w:ind w:right="72"/>
              <w:spacing w:after="0" w:line="98" w:lineRule="exact"/>
              <w:rPr>
                <w:sz w:val="20"/>
                <w:szCs w:val="20"/>
                <w:color w:val="auto"/>
              </w:rPr>
            </w:pPr>
            <w:r>
              <w:rPr>
                <w:rFonts w:ascii="Arial" w:cs="Arial" w:eastAsia="Arial" w:hAnsi="Arial"/>
                <w:sz w:val="10"/>
                <w:szCs w:val="10"/>
                <w:color w:val="auto"/>
                <w:w w:val="91"/>
              </w:rPr>
              <w:t>Higher olefins</w:t>
            </w:r>
          </w:p>
        </w:tc>
        <w:tc>
          <w:tcPr>
            <w:tcW w:w="520" w:type="dxa"/>
            <w:vAlign w:val="bottom"/>
          </w:tcPr>
          <w:p>
            <w:pPr>
              <w:jc w:val="right"/>
              <w:spacing w:after="0" w:line="98" w:lineRule="exact"/>
              <w:rPr>
                <w:sz w:val="20"/>
                <w:szCs w:val="20"/>
                <w:color w:val="auto"/>
              </w:rPr>
            </w:pPr>
            <w:r>
              <w:rPr>
                <w:rFonts w:ascii="Arial" w:cs="Arial" w:eastAsia="Arial" w:hAnsi="Arial"/>
                <w:sz w:val="10"/>
                <w:szCs w:val="10"/>
                <w:color w:val="auto"/>
              </w:rPr>
              <w:t>Additional</w:t>
            </w:r>
          </w:p>
        </w:tc>
        <w:tc>
          <w:tcPr>
            <w:tcW w:w="0" w:type="dxa"/>
            <w:vAlign w:val="bottom"/>
          </w:tcPr>
          <w:p>
            <w:pPr>
              <w:spacing w:after="0"/>
              <w:rPr>
                <w:sz w:val="1"/>
                <w:szCs w:val="1"/>
                <w:color w:val="auto"/>
              </w:rPr>
            </w:pPr>
          </w:p>
        </w:tc>
      </w:tr>
      <w:tr>
        <w:trPr>
          <w:trHeight w:val="124"/>
        </w:trPr>
        <w:tc>
          <w:tcPr>
            <w:tcW w:w="10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monomer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glycol</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[C]</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products</w:t>
            </w:r>
          </w:p>
        </w:tc>
        <w:tc>
          <w:tcPr>
            <w:tcW w:w="0" w:type="dxa"/>
            <w:vAlign w:val="bottom"/>
          </w:tcPr>
          <w:p>
            <w:pPr>
              <w:spacing w:after="0"/>
              <w:rPr>
                <w:sz w:val="1"/>
                <w:szCs w:val="1"/>
                <w:color w:val="auto"/>
              </w:rPr>
            </w:pPr>
          </w:p>
        </w:tc>
      </w:tr>
      <w:tr>
        <w:trPr>
          <w:trHeight w:val="113"/>
        </w:trPr>
        <w:tc>
          <w:tcPr>
            <w:tcW w:w="1060" w:type="dxa"/>
            <w:vAlign w:val="bottom"/>
          </w:tcPr>
          <w:p>
            <w:pPr>
              <w:spacing w:after="0" w:line="113" w:lineRule="exact"/>
              <w:rPr>
                <w:sz w:val="20"/>
                <w:szCs w:val="20"/>
                <w:color w:val="auto"/>
              </w:rPr>
            </w:pPr>
            <w:r>
              <w:rPr>
                <w:rFonts w:ascii="Arial" w:cs="Arial" w:eastAsia="Arial" w:hAnsi="Arial"/>
                <w:sz w:val="10"/>
                <w:szCs w:val="10"/>
                <w:color w:val="auto"/>
              </w:rPr>
              <w:t>Europe</w:t>
            </w: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80"/>
              <w:spacing w:after="0"/>
              <w:rPr>
                <w:sz w:val="20"/>
                <w:szCs w:val="20"/>
                <w:color w:val="auto"/>
              </w:rPr>
            </w:pPr>
            <w:r>
              <w:rPr>
                <w:rFonts w:ascii="Arial" w:cs="Arial" w:eastAsia="Arial" w:hAnsi="Arial"/>
                <w:sz w:val="10"/>
                <w:szCs w:val="10"/>
                <w:color w:val="auto"/>
              </w:rPr>
              <w:t>Germany</w:t>
            </w:r>
          </w:p>
        </w:tc>
        <w:tc>
          <w:tcPr>
            <w:tcW w:w="1200" w:type="dxa"/>
            <w:vAlign w:val="bottom"/>
          </w:tcPr>
          <w:p>
            <w:pPr>
              <w:ind w:left="520"/>
              <w:spacing w:after="0"/>
              <w:rPr>
                <w:sz w:val="20"/>
                <w:szCs w:val="20"/>
                <w:color w:val="auto"/>
              </w:rPr>
            </w:pPr>
            <w:r>
              <w:rPr>
                <w:rFonts w:ascii="Arial" w:cs="Arial" w:eastAsia="Arial" w:hAnsi="Arial"/>
                <w:sz w:val="10"/>
                <w:szCs w:val="10"/>
                <w:color w:val="auto"/>
              </w:rPr>
              <w:t>Rheinland</w:t>
            </w:r>
          </w:p>
        </w:tc>
        <w:tc>
          <w:tcPr>
            <w:tcW w:w="520" w:type="dxa"/>
            <w:vAlign w:val="bottom"/>
          </w:tcPr>
          <w:p>
            <w:pPr>
              <w:jc w:val="right"/>
              <w:spacing w:after="0"/>
              <w:rPr>
                <w:sz w:val="20"/>
                <w:szCs w:val="20"/>
                <w:color w:val="auto"/>
              </w:rPr>
            </w:pPr>
            <w:r>
              <w:rPr>
                <w:rFonts w:ascii="Arial" w:cs="Arial" w:eastAsia="Arial" w:hAnsi="Arial"/>
                <w:sz w:val="10"/>
                <w:szCs w:val="10"/>
                <w:color w:val="auto"/>
              </w:rPr>
              <w:t>315</w:t>
            </w:r>
          </w:p>
        </w:tc>
        <w:tc>
          <w:tcPr>
            <w:tcW w:w="7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A</w:t>
            </w:r>
          </w:p>
        </w:tc>
        <w:tc>
          <w:tcPr>
            <w:tcW w:w="0" w:type="dxa"/>
            <w:vAlign w:val="bottom"/>
          </w:tcPr>
          <w:p>
            <w:pPr>
              <w:spacing w:after="0"/>
              <w:rPr>
                <w:sz w:val="1"/>
                <w:szCs w:val="1"/>
                <w:color w:val="auto"/>
              </w:rPr>
            </w:pPr>
          </w:p>
        </w:tc>
      </w:tr>
      <w:tr>
        <w:trPr>
          <w:trHeight w:val="126"/>
        </w:trPr>
        <w:tc>
          <w:tcPr>
            <w:tcW w:w="1060" w:type="dxa"/>
            <w:vAlign w:val="bottom"/>
          </w:tcPr>
          <w:p>
            <w:pPr>
              <w:ind w:left="80"/>
              <w:spacing w:after="0"/>
              <w:rPr>
                <w:sz w:val="20"/>
                <w:szCs w:val="20"/>
                <w:color w:val="auto"/>
              </w:rPr>
            </w:pPr>
            <w:r>
              <w:rPr>
                <w:rFonts w:ascii="Arial" w:cs="Arial" w:eastAsia="Arial" w:hAnsi="Arial"/>
                <w:sz w:val="10"/>
                <w:szCs w:val="10"/>
                <w:color w:val="auto"/>
              </w:rPr>
              <w:t>Netherlands</w:t>
            </w:r>
          </w:p>
        </w:tc>
        <w:tc>
          <w:tcPr>
            <w:tcW w:w="1200" w:type="dxa"/>
            <w:vAlign w:val="bottom"/>
          </w:tcPr>
          <w:p>
            <w:pPr>
              <w:ind w:left="520"/>
              <w:spacing w:after="0"/>
              <w:rPr>
                <w:sz w:val="20"/>
                <w:szCs w:val="20"/>
                <w:color w:val="auto"/>
              </w:rPr>
            </w:pPr>
            <w:r>
              <w:rPr>
                <w:rFonts w:ascii="Arial" w:cs="Arial" w:eastAsia="Arial" w:hAnsi="Arial"/>
                <w:sz w:val="10"/>
                <w:szCs w:val="10"/>
                <w:color w:val="auto"/>
              </w:rPr>
              <w:t>Moerdijk</w:t>
            </w:r>
          </w:p>
        </w:tc>
        <w:tc>
          <w:tcPr>
            <w:tcW w:w="520" w:type="dxa"/>
            <w:vAlign w:val="bottom"/>
          </w:tcPr>
          <w:p>
            <w:pPr>
              <w:jc w:val="right"/>
              <w:spacing w:after="0"/>
              <w:rPr>
                <w:sz w:val="20"/>
                <w:szCs w:val="20"/>
                <w:color w:val="auto"/>
              </w:rPr>
            </w:pPr>
            <w:r>
              <w:rPr>
                <w:rFonts w:ascii="Arial" w:cs="Arial" w:eastAsia="Arial" w:hAnsi="Arial"/>
                <w:sz w:val="10"/>
                <w:szCs w:val="10"/>
                <w:color w:val="auto"/>
              </w:rPr>
              <w:t>971</w:t>
            </w:r>
          </w:p>
        </w:tc>
        <w:tc>
          <w:tcPr>
            <w:tcW w:w="740" w:type="dxa"/>
            <w:vAlign w:val="bottom"/>
          </w:tcPr>
          <w:p>
            <w:pPr>
              <w:jc w:val="right"/>
              <w:ind w:right="112"/>
              <w:spacing w:after="0"/>
              <w:rPr>
                <w:sz w:val="20"/>
                <w:szCs w:val="20"/>
                <w:color w:val="auto"/>
              </w:rPr>
            </w:pPr>
            <w:r>
              <w:rPr>
                <w:rFonts w:ascii="Arial" w:cs="Arial" w:eastAsia="Arial" w:hAnsi="Arial"/>
                <w:sz w:val="10"/>
                <w:szCs w:val="10"/>
                <w:color w:val="auto"/>
              </w:rPr>
              <w:t>815</w:t>
            </w: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153</w:t>
            </w:r>
          </w:p>
        </w:tc>
        <w:tc>
          <w:tcPr>
            <w:tcW w:w="7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A, I</w:t>
            </w:r>
          </w:p>
        </w:tc>
        <w:tc>
          <w:tcPr>
            <w:tcW w:w="0" w:type="dxa"/>
            <w:vAlign w:val="bottom"/>
          </w:tcPr>
          <w:p>
            <w:pPr>
              <w:spacing w:after="0"/>
              <w:rPr>
                <w:sz w:val="1"/>
                <w:szCs w:val="1"/>
                <w:color w:val="auto"/>
              </w:rPr>
            </w:pPr>
          </w:p>
        </w:tc>
      </w:tr>
      <w:tr>
        <w:trPr>
          <w:trHeight w:val="98"/>
        </w:trPr>
        <w:tc>
          <w:tcPr>
            <w:tcW w:w="1060" w:type="dxa"/>
            <w:vAlign w:val="bottom"/>
            <w:vMerge w:val="restart"/>
          </w:tcPr>
          <w:p>
            <w:pPr>
              <w:ind w:left="80"/>
              <w:spacing w:after="0"/>
              <w:rPr>
                <w:sz w:val="20"/>
                <w:szCs w:val="20"/>
                <w:color w:val="auto"/>
              </w:rPr>
            </w:pPr>
            <w:r>
              <w:rPr>
                <w:rFonts w:ascii="Arial" w:cs="Arial" w:eastAsia="Arial" w:hAnsi="Arial"/>
                <w:sz w:val="10"/>
                <w:szCs w:val="10"/>
                <w:color w:val="auto"/>
              </w:rPr>
              <w:t>UK</w:t>
            </w:r>
          </w:p>
        </w:tc>
        <w:tc>
          <w:tcPr>
            <w:tcW w:w="1200" w:type="dxa"/>
            <w:vAlign w:val="bottom"/>
          </w:tcPr>
          <w:p>
            <w:pPr>
              <w:ind w:left="520"/>
              <w:spacing w:after="0" w:line="98" w:lineRule="exact"/>
              <w:rPr>
                <w:sz w:val="20"/>
                <w:szCs w:val="20"/>
                <w:color w:val="auto"/>
              </w:rPr>
            </w:pPr>
            <w:r>
              <w:rPr>
                <w:rFonts w:ascii="Arial" w:cs="Arial" w:eastAsia="Arial" w:hAnsi="Arial"/>
                <w:sz w:val="10"/>
                <w:szCs w:val="10"/>
                <w:color w:val="auto"/>
              </w:rPr>
              <w:t>Mossmorran</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415</w:t>
            </w:r>
          </w:p>
        </w:tc>
        <w:tc>
          <w:tcPr>
            <w:tcW w:w="74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1060" w:type="dxa"/>
            <w:vAlign w:val="bottom"/>
            <w:tcBorders>
              <w:bottom w:val="single" w:sz="8" w:color="auto"/>
            </w:tcBorders>
            <w:vMerge w:val="continue"/>
          </w:tcPr>
          <w:p>
            <w:pPr>
              <w:spacing w:after="0"/>
              <w:rPr>
                <w:sz w:val="10"/>
                <w:szCs w:val="10"/>
                <w:color w:val="auto"/>
              </w:rPr>
            </w:pPr>
          </w:p>
        </w:tc>
        <w:tc>
          <w:tcPr>
            <w:tcW w:w="1200" w:type="dxa"/>
            <w:vAlign w:val="bottom"/>
            <w:tcBorders>
              <w:bottom w:val="single" w:sz="8" w:color="auto"/>
            </w:tcBorders>
          </w:tcPr>
          <w:p>
            <w:pPr>
              <w:ind w:left="520"/>
              <w:spacing w:after="0"/>
              <w:rPr>
                <w:sz w:val="20"/>
                <w:szCs w:val="20"/>
                <w:color w:val="auto"/>
              </w:rPr>
            </w:pPr>
            <w:r>
              <w:rPr>
                <w:rFonts w:ascii="Arial" w:cs="Arial" w:eastAsia="Arial" w:hAnsi="Arial"/>
                <w:sz w:val="10"/>
                <w:szCs w:val="10"/>
                <w:color w:val="auto"/>
              </w:rPr>
              <w:t>[D]</w:t>
            </w:r>
          </w:p>
        </w:tc>
        <w:tc>
          <w:tcPr>
            <w:tcW w:w="52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tcPr>
          <w:p>
            <w:pPr>
              <w:spacing w:after="0" w:line="113" w:lineRule="exact"/>
              <w:rPr>
                <w:sz w:val="20"/>
                <w:szCs w:val="20"/>
                <w:color w:val="auto"/>
              </w:rPr>
            </w:pPr>
            <w:r>
              <w:rPr>
                <w:rFonts w:ascii="Arial" w:cs="Arial" w:eastAsia="Arial" w:hAnsi="Arial"/>
                <w:sz w:val="10"/>
                <w:szCs w:val="10"/>
                <w:color w:val="auto"/>
              </w:rPr>
              <w:t>Asia</w:t>
            </w: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80"/>
              <w:spacing w:after="0"/>
              <w:rPr>
                <w:sz w:val="20"/>
                <w:szCs w:val="20"/>
                <w:color w:val="auto"/>
              </w:rPr>
            </w:pPr>
            <w:r>
              <w:rPr>
                <w:rFonts w:ascii="Arial" w:cs="Arial" w:eastAsia="Arial" w:hAnsi="Arial"/>
                <w:sz w:val="10"/>
                <w:szCs w:val="10"/>
                <w:color w:val="auto"/>
              </w:rPr>
              <w:t>China</w:t>
            </w:r>
          </w:p>
        </w:tc>
        <w:tc>
          <w:tcPr>
            <w:tcW w:w="1200" w:type="dxa"/>
            <w:vAlign w:val="bottom"/>
          </w:tcPr>
          <w:p>
            <w:pPr>
              <w:ind w:left="520"/>
              <w:spacing w:after="0"/>
              <w:rPr>
                <w:sz w:val="20"/>
                <w:szCs w:val="20"/>
                <w:color w:val="auto"/>
              </w:rPr>
            </w:pPr>
            <w:r>
              <w:rPr>
                <w:rFonts w:ascii="Arial" w:cs="Arial" w:eastAsia="Arial" w:hAnsi="Arial"/>
                <w:sz w:val="10"/>
                <w:szCs w:val="10"/>
                <w:color w:val="auto"/>
              </w:rPr>
              <w:t>Nanhai [D]</w:t>
            </w:r>
          </w:p>
        </w:tc>
        <w:tc>
          <w:tcPr>
            <w:tcW w:w="520" w:type="dxa"/>
            <w:vAlign w:val="bottom"/>
          </w:tcPr>
          <w:p>
            <w:pPr>
              <w:jc w:val="right"/>
              <w:spacing w:after="0"/>
              <w:rPr>
                <w:sz w:val="20"/>
                <w:szCs w:val="20"/>
                <w:color w:val="auto"/>
              </w:rPr>
            </w:pPr>
            <w:r>
              <w:rPr>
                <w:rFonts w:ascii="Arial" w:cs="Arial" w:eastAsia="Arial" w:hAnsi="Arial"/>
                <w:sz w:val="10"/>
                <w:szCs w:val="10"/>
                <w:color w:val="auto"/>
              </w:rPr>
              <w:t>1,100</w:t>
            </w:r>
          </w:p>
        </w:tc>
        <w:tc>
          <w:tcPr>
            <w:tcW w:w="740" w:type="dxa"/>
            <w:vAlign w:val="bottom"/>
          </w:tcPr>
          <w:p>
            <w:pPr>
              <w:jc w:val="right"/>
              <w:ind w:right="112"/>
              <w:spacing w:after="0"/>
              <w:rPr>
                <w:sz w:val="20"/>
                <w:szCs w:val="20"/>
                <w:color w:val="auto"/>
              </w:rPr>
            </w:pPr>
            <w:r>
              <w:rPr>
                <w:rFonts w:ascii="Arial" w:cs="Arial" w:eastAsia="Arial" w:hAnsi="Arial"/>
                <w:sz w:val="10"/>
                <w:szCs w:val="10"/>
                <w:color w:val="auto"/>
              </w:rPr>
              <w:t>650</w:t>
            </w: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415</w:t>
            </w:r>
          </w:p>
        </w:tc>
        <w:tc>
          <w:tcPr>
            <w:tcW w:w="7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A,I,P</w:t>
            </w:r>
          </w:p>
        </w:tc>
        <w:tc>
          <w:tcPr>
            <w:tcW w:w="0" w:type="dxa"/>
            <w:vAlign w:val="bottom"/>
          </w:tcPr>
          <w:p>
            <w:pPr>
              <w:spacing w:after="0"/>
              <w:rPr>
                <w:sz w:val="1"/>
                <w:szCs w:val="1"/>
                <w:color w:val="auto"/>
              </w:rPr>
            </w:pPr>
          </w:p>
        </w:tc>
      </w:tr>
      <w:tr>
        <w:trPr>
          <w:trHeight w:val="98"/>
        </w:trPr>
        <w:tc>
          <w:tcPr>
            <w:tcW w:w="1060" w:type="dxa"/>
            <w:vAlign w:val="bottom"/>
            <w:vMerge w:val="restart"/>
          </w:tcPr>
          <w:p>
            <w:pPr>
              <w:ind w:left="80"/>
              <w:spacing w:after="0"/>
              <w:rPr>
                <w:sz w:val="20"/>
                <w:szCs w:val="20"/>
                <w:color w:val="auto"/>
              </w:rPr>
            </w:pPr>
            <w:r>
              <w:rPr>
                <w:rFonts w:ascii="Arial" w:cs="Arial" w:eastAsia="Arial" w:hAnsi="Arial"/>
                <w:sz w:val="10"/>
                <w:szCs w:val="10"/>
                <w:color w:val="auto"/>
              </w:rPr>
              <w:t>Singapore</w:t>
            </w:r>
          </w:p>
        </w:tc>
        <w:tc>
          <w:tcPr>
            <w:tcW w:w="1200" w:type="dxa"/>
            <w:vAlign w:val="bottom"/>
          </w:tcPr>
          <w:p>
            <w:pPr>
              <w:ind w:left="520"/>
              <w:spacing w:after="0" w:line="98" w:lineRule="exact"/>
              <w:rPr>
                <w:sz w:val="20"/>
                <w:szCs w:val="20"/>
                <w:color w:val="auto"/>
              </w:rPr>
            </w:pPr>
            <w:r>
              <w:rPr>
                <w:rFonts w:ascii="Arial" w:cs="Arial" w:eastAsia="Arial" w:hAnsi="Arial"/>
                <w:sz w:val="10"/>
                <w:szCs w:val="10"/>
                <w:color w:val="auto"/>
              </w:rPr>
              <w:t>Jurong Island</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281</w:t>
            </w:r>
          </w:p>
        </w:tc>
        <w:tc>
          <w:tcPr>
            <w:tcW w:w="740" w:type="dxa"/>
            <w:vAlign w:val="bottom"/>
            <w:vMerge w:val="restart"/>
          </w:tcPr>
          <w:p>
            <w:pPr>
              <w:jc w:val="right"/>
              <w:ind w:right="112"/>
              <w:spacing w:after="0"/>
              <w:rPr>
                <w:sz w:val="20"/>
                <w:szCs w:val="20"/>
                <w:color w:val="auto"/>
              </w:rPr>
            </w:pPr>
            <w:r>
              <w:rPr>
                <w:rFonts w:ascii="Arial" w:cs="Arial" w:eastAsia="Arial" w:hAnsi="Arial"/>
                <w:sz w:val="10"/>
                <w:szCs w:val="10"/>
                <w:color w:val="auto"/>
              </w:rPr>
              <w:t>1,069</w:t>
            </w:r>
          </w:p>
        </w:tc>
        <w:tc>
          <w:tcPr>
            <w:tcW w:w="500" w:type="dxa"/>
            <w:vAlign w:val="bottom"/>
            <w:vMerge w:val="restart"/>
          </w:tcPr>
          <w:p>
            <w:pPr>
              <w:jc w:val="right"/>
              <w:ind w:right="12"/>
              <w:spacing w:after="0"/>
              <w:rPr>
                <w:sz w:val="20"/>
                <w:szCs w:val="20"/>
                <w:color w:val="auto"/>
              </w:rPr>
            </w:pPr>
            <w:r>
              <w:rPr>
                <w:rFonts w:ascii="Arial" w:cs="Arial" w:eastAsia="Arial" w:hAnsi="Arial"/>
                <w:sz w:val="10"/>
                <w:szCs w:val="10"/>
                <w:color w:val="auto"/>
              </w:rPr>
              <w:t>1,159</w:t>
            </w:r>
          </w:p>
        </w:tc>
        <w:tc>
          <w:tcPr>
            <w:tcW w:w="7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A,I,P,O</w:t>
            </w:r>
          </w:p>
        </w:tc>
        <w:tc>
          <w:tcPr>
            <w:tcW w:w="0" w:type="dxa"/>
            <w:vAlign w:val="bottom"/>
          </w:tcPr>
          <w:p>
            <w:pPr>
              <w:spacing w:after="0"/>
              <w:rPr>
                <w:sz w:val="1"/>
                <w:szCs w:val="1"/>
                <w:color w:val="auto"/>
              </w:rPr>
            </w:pPr>
          </w:p>
        </w:tc>
      </w:tr>
      <w:tr>
        <w:trPr>
          <w:trHeight w:val="121"/>
        </w:trPr>
        <w:tc>
          <w:tcPr>
            <w:tcW w:w="1060" w:type="dxa"/>
            <w:vAlign w:val="bottom"/>
            <w:vMerge w:val="continue"/>
          </w:tcPr>
          <w:p>
            <w:pPr>
              <w:spacing w:after="0"/>
              <w:rPr>
                <w:sz w:val="10"/>
                <w:szCs w:val="10"/>
                <w:color w:val="auto"/>
              </w:rPr>
            </w:pPr>
          </w:p>
        </w:tc>
        <w:tc>
          <w:tcPr>
            <w:tcW w:w="1200" w:type="dxa"/>
            <w:vAlign w:val="bottom"/>
          </w:tcPr>
          <w:p>
            <w:pPr>
              <w:ind w:left="520"/>
              <w:spacing w:after="0"/>
              <w:rPr>
                <w:sz w:val="20"/>
                <w:szCs w:val="20"/>
                <w:color w:val="auto"/>
              </w:rPr>
            </w:pPr>
            <w:r>
              <w:rPr>
                <w:rFonts w:ascii="Arial" w:cs="Arial" w:eastAsia="Arial" w:hAnsi="Arial"/>
                <w:sz w:val="10"/>
                <w:szCs w:val="10"/>
                <w:color w:val="auto"/>
              </w:rPr>
              <w:t>[E]</w:t>
            </w:r>
          </w:p>
        </w:tc>
        <w:tc>
          <w:tcPr>
            <w:tcW w:w="5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0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ind w:left="520"/>
              <w:spacing w:after="0"/>
              <w:rPr>
                <w:sz w:val="20"/>
                <w:szCs w:val="20"/>
                <w:color w:val="auto"/>
              </w:rPr>
            </w:pPr>
            <w:r>
              <w:rPr>
                <w:rFonts w:ascii="Arial" w:cs="Arial" w:eastAsia="Arial" w:hAnsi="Arial"/>
                <w:sz w:val="10"/>
                <w:szCs w:val="10"/>
                <w:color w:val="auto"/>
              </w:rPr>
              <w:t>Pulau Bukom</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1,149</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 I</w:t>
            </w:r>
          </w:p>
        </w:tc>
        <w:tc>
          <w:tcPr>
            <w:tcW w:w="0" w:type="dxa"/>
            <w:vAlign w:val="bottom"/>
          </w:tcPr>
          <w:p>
            <w:pPr>
              <w:spacing w:after="0"/>
              <w:rPr>
                <w:sz w:val="1"/>
                <w:szCs w:val="1"/>
                <w:color w:val="auto"/>
              </w:rPr>
            </w:pPr>
          </w:p>
        </w:tc>
      </w:tr>
      <w:tr>
        <w:trPr>
          <w:trHeight w:val="114"/>
        </w:trPr>
        <w:tc>
          <w:tcPr>
            <w:tcW w:w="1060" w:type="dxa"/>
            <w:vAlign w:val="bottom"/>
          </w:tcPr>
          <w:p>
            <w:pPr>
              <w:spacing w:after="0"/>
              <w:rPr>
                <w:sz w:val="20"/>
                <w:szCs w:val="20"/>
                <w:color w:val="auto"/>
              </w:rPr>
            </w:pPr>
            <w:r>
              <w:rPr>
                <w:rFonts w:ascii="Arial" w:cs="Arial" w:eastAsia="Arial" w:hAnsi="Arial"/>
                <w:sz w:val="10"/>
                <w:szCs w:val="10"/>
                <w:color w:val="auto"/>
              </w:rPr>
              <w:t>Americas</w:t>
            </w: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80"/>
              <w:spacing w:after="0"/>
              <w:rPr>
                <w:sz w:val="20"/>
                <w:szCs w:val="20"/>
                <w:color w:val="auto"/>
              </w:rPr>
            </w:pPr>
            <w:r>
              <w:rPr>
                <w:rFonts w:ascii="Arial" w:cs="Arial" w:eastAsia="Arial" w:hAnsi="Arial"/>
                <w:sz w:val="10"/>
                <w:szCs w:val="10"/>
                <w:color w:val="auto"/>
              </w:rPr>
              <w:t>Canada</w:t>
            </w:r>
          </w:p>
        </w:tc>
        <w:tc>
          <w:tcPr>
            <w:tcW w:w="1200" w:type="dxa"/>
            <w:vAlign w:val="bottom"/>
          </w:tcPr>
          <w:p>
            <w:pPr>
              <w:ind w:left="520"/>
              <w:spacing w:after="0"/>
              <w:rPr>
                <w:sz w:val="20"/>
                <w:szCs w:val="20"/>
                <w:color w:val="auto"/>
              </w:rPr>
            </w:pPr>
            <w:r>
              <w:rPr>
                <w:rFonts w:ascii="Arial" w:cs="Arial" w:eastAsia="Arial" w:hAnsi="Arial"/>
                <w:sz w:val="10"/>
                <w:szCs w:val="10"/>
                <w:color w:val="auto"/>
              </w:rPr>
              <w:t>Scotford</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12"/>
              <w:spacing w:after="0"/>
              <w:rPr>
                <w:sz w:val="20"/>
                <w:szCs w:val="20"/>
                <w:color w:val="auto"/>
              </w:rPr>
            </w:pPr>
            <w:r>
              <w:rPr>
                <w:rFonts w:ascii="Arial" w:cs="Arial" w:eastAsia="Arial" w:hAnsi="Arial"/>
                <w:sz w:val="10"/>
                <w:szCs w:val="10"/>
                <w:color w:val="auto"/>
              </w:rPr>
              <w:t>475</w:t>
            </w: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548</w:t>
            </w:r>
          </w:p>
        </w:tc>
        <w:tc>
          <w:tcPr>
            <w:tcW w:w="7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A, I</w:t>
            </w:r>
          </w:p>
        </w:tc>
        <w:tc>
          <w:tcPr>
            <w:tcW w:w="0" w:type="dxa"/>
            <w:vAlign w:val="bottom"/>
          </w:tcPr>
          <w:p>
            <w:pPr>
              <w:spacing w:after="0"/>
              <w:rPr>
                <w:sz w:val="1"/>
                <w:szCs w:val="1"/>
                <w:color w:val="auto"/>
              </w:rPr>
            </w:pPr>
          </w:p>
        </w:tc>
      </w:tr>
      <w:tr>
        <w:trPr>
          <w:trHeight w:val="126"/>
        </w:trPr>
        <w:tc>
          <w:tcPr>
            <w:tcW w:w="1060" w:type="dxa"/>
            <w:vAlign w:val="bottom"/>
          </w:tcPr>
          <w:p>
            <w:pPr>
              <w:ind w:left="80"/>
              <w:spacing w:after="0"/>
              <w:rPr>
                <w:sz w:val="20"/>
                <w:szCs w:val="20"/>
                <w:color w:val="auto"/>
              </w:rPr>
            </w:pPr>
            <w:r>
              <w:rPr>
                <w:rFonts w:ascii="Arial" w:cs="Arial" w:eastAsia="Arial" w:hAnsi="Arial"/>
                <w:sz w:val="10"/>
                <w:szCs w:val="10"/>
                <w:color w:val="auto"/>
              </w:rPr>
              <w:t>USA</w:t>
            </w:r>
          </w:p>
        </w:tc>
        <w:tc>
          <w:tcPr>
            <w:tcW w:w="1200" w:type="dxa"/>
            <w:vAlign w:val="bottom"/>
          </w:tcPr>
          <w:p>
            <w:pPr>
              <w:ind w:left="520"/>
              <w:spacing w:after="0"/>
              <w:rPr>
                <w:sz w:val="20"/>
                <w:szCs w:val="20"/>
                <w:color w:val="auto"/>
              </w:rPr>
            </w:pPr>
            <w:r>
              <w:rPr>
                <w:rFonts w:ascii="Arial" w:cs="Arial" w:eastAsia="Arial" w:hAnsi="Arial"/>
                <w:sz w:val="10"/>
                <w:szCs w:val="10"/>
                <w:color w:val="auto"/>
              </w:rPr>
              <w:t>Deer Park</w:t>
            </w:r>
          </w:p>
        </w:tc>
        <w:tc>
          <w:tcPr>
            <w:tcW w:w="520" w:type="dxa"/>
            <w:vAlign w:val="bottom"/>
          </w:tcPr>
          <w:p>
            <w:pPr>
              <w:jc w:val="right"/>
              <w:spacing w:after="0"/>
              <w:rPr>
                <w:sz w:val="20"/>
                <w:szCs w:val="20"/>
                <w:color w:val="auto"/>
              </w:rPr>
            </w:pPr>
            <w:r>
              <w:rPr>
                <w:rFonts w:ascii="Arial" w:cs="Arial" w:eastAsia="Arial" w:hAnsi="Arial"/>
                <w:sz w:val="10"/>
                <w:szCs w:val="10"/>
                <w:color w:val="auto"/>
              </w:rPr>
              <w:t>836</w:t>
            </w:r>
          </w:p>
        </w:tc>
        <w:tc>
          <w:tcPr>
            <w:tcW w:w="7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A, I</w:t>
            </w:r>
          </w:p>
        </w:tc>
        <w:tc>
          <w:tcPr>
            <w:tcW w:w="0" w:type="dxa"/>
            <w:vAlign w:val="bottom"/>
          </w:tcPr>
          <w:p>
            <w:pPr>
              <w:spacing w:after="0"/>
              <w:rPr>
                <w:sz w:val="1"/>
                <w:szCs w:val="1"/>
                <w:color w:val="auto"/>
              </w:rPr>
            </w:pPr>
          </w:p>
        </w:tc>
      </w:tr>
      <w:tr>
        <w:trPr>
          <w:trHeight w:val="126"/>
        </w:trPr>
        <w:tc>
          <w:tcPr>
            <w:tcW w:w="1060" w:type="dxa"/>
            <w:vAlign w:val="bottom"/>
          </w:tcPr>
          <w:p>
            <w:pPr>
              <w:spacing w:after="0"/>
              <w:rPr>
                <w:sz w:val="10"/>
                <w:szCs w:val="10"/>
                <w:color w:val="auto"/>
              </w:rPr>
            </w:pPr>
          </w:p>
        </w:tc>
        <w:tc>
          <w:tcPr>
            <w:tcW w:w="1200" w:type="dxa"/>
            <w:vAlign w:val="bottom"/>
          </w:tcPr>
          <w:p>
            <w:pPr>
              <w:ind w:left="520"/>
              <w:spacing w:after="0"/>
              <w:rPr>
                <w:sz w:val="20"/>
                <w:szCs w:val="20"/>
                <w:color w:val="auto"/>
              </w:rPr>
            </w:pPr>
            <w:r>
              <w:rPr>
                <w:rFonts w:ascii="Arial" w:cs="Arial" w:eastAsia="Arial" w:hAnsi="Arial"/>
                <w:sz w:val="10"/>
                <w:szCs w:val="10"/>
                <w:color w:val="auto"/>
              </w:rPr>
              <w:t>Geismar</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400</w:t>
            </w:r>
          </w:p>
        </w:tc>
        <w:tc>
          <w:tcPr>
            <w:tcW w:w="700" w:type="dxa"/>
            <w:vAlign w:val="bottom"/>
          </w:tcPr>
          <w:p>
            <w:pPr>
              <w:jc w:val="right"/>
              <w:ind w:right="92"/>
              <w:spacing w:after="0"/>
              <w:rPr>
                <w:sz w:val="20"/>
                <w:szCs w:val="20"/>
                <w:color w:val="auto"/>
              </w:rPr>
            </w:pPr>
            <w:r>
              <w:rPr>
                <w:rFonts w:ascii="Arial" w:cs="Arial" w:eastAsia="Arial" w:hAnsi="Arial"/>
                <w:sz w:val="10"/>
                <w:szCs w:val="10"/>
                <w:color w:val="auto"/>
              </w:rPr>
              <w:t>1,390</w:t>
            </w:r>
          </w:p>
        </w:tc>
        <w:tc>
          <w:tcPr>
            <w:tcW w:w="520" w:type="dxa"/>
            <w:vAlign w:val="bottom"/>
          </w:tcPr>
          <w:p>
            <w:pPr>
              <w:jc w:val="right"/>
              <w:spacing w:after="0"/>
              <w:rPr>
                <w:sz w:val="20"/>
                <w:szCs w:val="20"/>
                <w:color w:val="auto"/>
              </w:rPr>
            </w:pPr>
            <w:r>
              <w:rPr>
                <w:rFonts w:ascii="Arial" w:cs="Arial" w:eastAsia="Arial" w:hAnsi="Arial"/>
                <w:sz w:val="10"/>
                <w:szCs w:val="10"/>
                <w:color w:val="auto"/>
              </w:rPr>
              <w:t>I</w:t>
            </w:r>
          </w:p>
        </w:tc>
        <w:tc>
          <w:tcPr>
            <w:tcW w:w="0" w:type="dxa"/>
            <w:vAlign w:val="bottom"/>
          </w:tcPr>
          <w:p>
            <w:pPr>
              <w:spacing w:after="0"/>
              <w:rPr>
                <w:sz w:val="1"/>
                <w:szCs w:val="1"/>
                <w:color w:val="auto"/>
              </w:rPr>
            </w:pPr>
          </w:p>
        </w:tc>
      </w:tr>
      <w:tr>
        <w:trPr>
          <w:trHeight w:val="130"/>
        </w:trPr>
        <w:tc>
          <w:tcPr>
            <w:tcW w:w="10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ind w:left="520"/>
              <w:spacing w:after="0"/>
              <w:rPr>
                <w:sz w:val="20"/>
                <w:szCs w:val="20"/>
                <w:color w:val="auto"/>
              </w:rPr>
            </w:pPr>
            <w:r>
              <w:rPr>
                <w:rFonts w:ascii="Arial" w:cs="Arial" w:eastAsia="Arial" w:hAnsi="Arial"/>
                <w:sz w:val="10"/>
                <w:szCs w:val="10"/>
                <w:color w:val="auto"/>
              </w:rPr>
              <w:t>Norco</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1,432</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w:t>
            </w:r>
          </w:p>
        </w:tc>
        <w:tc>
          <w:tcPr>
            <w:tcW w:w="0" w:type="dxa"/>
            <w:vAlign w:val="bottom"/>
          </w:tcPr>
          <w:p>
            <w:pPr>
              <w:spacing w:after="0"/>
              <w:rPr>
                <w:sz w:val="1"/>
                <w:szCs w:val="1"/>
                <w:color w:val="auto"/>
              </w:rPr>
            </w:pPr>
          </w:p>
        </w:tc>
      </w:tr>
      <w:tr>
        <w:trPr>
          <w:trHeight w:val="117"/>
        </w:trPr>
        <w:tc>
          <w:tcPr>
            <w:tcW w:w="1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6,499</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3,009</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2,675</w:t>
            </w: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1,390</w:t>
            </w: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8" w:hanging="128"/>
        <w:spacing w:after="0"/>
        <w:tabs>
          <w:tab w:leader="none" w:pos="128" w:val="left"/>
        </w:tabs>
        <w:numPr>
          <w:ilvl w:val="0"/>
          <w:numId w:val="50"/>
        </w:numPr>
        <w:rPr>
          <w:rFonts w:ascii="Arial" w:cs="Arial" w:eastAsia="Arial" w:hAnsi="Arial"/>
          <w:sz w:val="7"/>
          <w:szCs w:val="7"/>
          <w:color w:val="auto"/>
        </w:rPr>
      </w:pPr>
      <w:r>
        <w:rPr>
          <w:rFonts w:ascii="Arial" w:cs="Arial" w:eastAsia="Arial" w:hAnsi="Arial"/>
          <w:sz w:val="7"/>
          <w:szCs w:val="7"/>
          <w:color w:val="auto"/>
        </w:rPr>
        <w:t>Major chemical plants are large integrated chemical facilities, typically producing a range of chemical products from an array of feedstocks, and are a core part of our global Chemicals business.</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50"/>
        </w:numPr>
        <w:rPr>
          <w:rFonts w:ascii="Arial" w:cs="Arial" w:eastAsia="Arial" w:hAnsi="Arial"/>
          <w:sz w:val="7"/>
          <w:szCs w:val="7"/>
          <w:color w:val="auto"/>
        </w:rPr>
      </w:pPr>
      <w:r>
        <w:rPr>
          <w:rFonts w:ascii="Arial" w:cs="Arial" w:eastAsia="Arial" w:hAnsi="Arial"/>
          <w:sz w:val="7"/>
          <w:szCs w:val="7"/>
          <w:color w:val="auto"/>
        </w:rPr>
        <w:t>Shell share of capacity of subsidiaries, joint arrangements and associates (Shell- and non-Shell-operated), excluding capacity of the Infineum additives joint ventures.</w:t>
      </w:r>
    </w:p>
    <w:p>
      <w:pPr>
        <w:ind w:left="108" w:hanging="108"/>
        <w:spacing w:after="0"/>
        <w:tabs>
          <w:tab w:leader="none" w:pos="108" w:val="left"/>
        </w:tabs>
        <w:numPr>
          <w:ilvl w:val="0"/>
          <w:numId w:val="50"/>
        </w:numPr>
        <w:rPr>
          <w:rFonts w:ascii="Arial" w:cs="Arial" w:eastAsia="Arial" w:hAnsi="Arial"/>
          <w:sz w:val="7"/>
          <w:szCs w:val="7"/>
          <w:color w:val="auto"/>
        </w:rPr>
      </w:pPr>
      <w:r>
        <w:rPr>
          <w:rFonts w:ascii="Arial" w:cs="Arial" w:eastAsia="Arial" w:hAnsi="Arial"/>
          <w:sz w:val="7"/>
          <w:szCs w:val="7"/>
          <w:color w:val="auto"/>
        </w:rPr>
        <w:t>Higher olefins are linear alpha and internal olefins (products range from C4 to C2024).</w:t>
      </w:r>
    </w:p>
    <w:p>
      <w:pPr>
        <w:ind w:left="128" w:hanging="128"/>
        <w:spacing w:after="0"/>
        <w:tabs>
          <w:tab w:leader="none" w:pos="128" w:val="left"/>
        </w:tabs>
        <w:numPr>
          <w:ilvl w:val="0"/>
          <w:numId w:val="50"/>
        </w:numPr>
        <w:rPr>
          <w:rFonts w:ascii="Arial" w:cs="Arial" w:eastAsia="Arial" w:hAnsi="Arial"/>
          <w:sz w:val="7"/>
          <w:szCs w:val="7"/>
          <w:color w:val="auto"/>
        </w:rPr>
      </w:pPr>
      <w:r>
        <w:rPr>
          <w:rFonts w:ascii="Arial" w:cs="Arial" w:eastAsia="Arial" w:hAnsi="Arial"/>
          <w:sz w:val="7"/>
          <w:szCs w:val="7"/>
          <w:color w:val="auto"/>
        </w:rPr>
        <w:t>Not operated by Shell</w:t>
      </w:r>
    </w:p>
    <w:p>
      <w:pPr>
        <w:ind w:left="108" w:hanging="108"/>
        <w:spacing w:after="0"/>
        <w:tabs>
          <w:tab w:leader="none" w:pos="108" w:val="left"/>
        </w:tabs>
        <w:numPr>
          <w:ilvl w:val="0"/>
          <w:numId w:val="50"/>
        </w:numPr>
        <w:rPr>
          <w:rFonts w:ascii="Arial" w:cs="Arial" w:eastAsia="Arial" w:hAnsi="Arial"/>
          <w:sz w:val="7"/>
          <w:szCs w:val="7"/>
          <w:color w:val="auto"/>
        </w:rPr>
      </w:pPr>
      <w:r>
        <w:rPr>
          <w:rFonts w:ascii="Arial" w:cs="Arial" w:eastAsia="Arial" w:hAnsi="Arial"/>
          <w:sz w:val="7"/>
          <w:szCs w:val="7"/>
          <w:color w:val="auto"/>
        </w:rPr>
        <w:t>The polyethylene, polypropylene and olefins production mentioned refers to Shell share of capacity of our non-operated joint ventures Petchem Corporation of Singapore (PCS)</w:t>
      </w:r>
    </w:p>
    <w:p>
      <w:pPr>
        <w:spacing w:after="0" w:line="1" w:lineRule="exact"/>
        <w:rPr>
          <w:sz w:val="20"/>
          <w:szCs w:val="20"/>
          <w:color w:val="auto"/>
        </w:rPr>
      </w:pPr>
    </w:p>
    <w:p>
      <w:pPr>
        <w:ind w:left="8"/>
        <w:spacing w:after="0"/>
        <w:rPr>
          <w:sz w:val="20"/>
          <w:szCs w:val="20"/>
          <w:color w:val="auto"/>
        </w:rPr>
      </w:pPr>
      <w:r>
        <w:rPr>
          <w:rFonts w:ascii="Arial" w:cs="Arial" w:eastAsia="Arial" w:hAnsi="Arial"/>
          <w:sz w:val="7"/>
          <w:szCs w:val="7"/>
          <w:color w:val="auto"/>
        </w:rPr>
        <w:t>and The Polyolefin Company (TPC) which are in Jurong Island.</w:t>
      </w:r>
    </w:p>
    <w:p>
      <w:pPr>
        <w:spacing w:after="0" w:line="40" w:lineRule="exact"/>
        <w:rPr>
          <w:sz w:val="20"/>
          <w:szCs w:val="20"/>
          <w:color w:val="auto"/>
        </w:rPr>
      </w:pPr>
    </w:p>
    <w:p>
      <w:pPr>
        <w:ind w:left="168" w:hanging="168"/>
        <w:spacing w:after="0"/>
        <w:tabs>
          <w:tab w:leader="none" w:pos="168" w:val="left"/>
        </w:tabs>
        <w:numPr>
          <w:ilvl w:val="0"/>
          <w:numId w:val="51"/>
        </w:numPr>
        <w:rPr>
          <w:rFonts w:ascii="Arial" w:cs="Arial" w:eastAsia="Arial" w:hAnsi="Arial"/>
          <w:sz w:val="7"/>
          <w:szCs w:val="7"/>
          <w:color w:val="auto"/>
        </w:rPr>
      </w:pPr>
      <w:r>
        <w:rPr>
          <w:rFonts w:ascii="Arial" w:cs="Arial" w:eastAsia="Arial" w:hAnsi="Arial"/>
          <w:sz w:val="7"/>
          <w:szCs w:val="7"/>
          <w:color w:val="auto"/>
        </w:rPr>
        <w:t>Aromatics, lower olefins</w:t>
      </w:r>
    </w:p>
    <w:p>
      <w:pPr>
        <w:spacing w:after="0" w:line="64" w:lineRule="exact"/>
        <w:rPr>
          <w:sz w:val="20"/>
          <w:szCs w:val="20"/>
          <w:color w:val="auto"/>
        </w:rPr>
      </w:pPr>
    </w:p>
    <w:p>
      <w:pPr>
        <w:ind w:left="148" w:hanging="148"/>
        <w:spacing w:after="0"/>
        <w:tabs>
          <w:tab w:leader="none" w:pos="148" w:val="left"/>
        </w:tabs>
        <w:numPr>
          <w:ilvl w:val="0"/>
          <w:numId w:val="52"/>
        </w:numPr>
        <w:rPr>
          <w:rFonts w:ascii="Arial" w:cs="Arial" w:eastAsia="Arial" w:hAnsi="Arial"/>
          <w:sz w:val="7"/>
          <w:szCs w:val="7"/>
          <w:color w:val="auto"/>
        </w:rPr>
      </w:pPr>
      <w:r>
        <w:rPr>
          <w:rFonts w:ascii="Arial" w:cs="Arial" w:eastAsia="Arial" w:hAnsi="Arial"/>
          <w:sz w:val="7"/>
          <w:szCs w:val="7"/>
          <w:color w:val="auto"/>
        </w:rPr>
        <w:t>Intermediates</w:t>
      </w:r>
    </w:p>
    <w:p>
      <w:pPr>
        <w:spacing w:after="0" w:line="64" w:lineRule="exact"/>
        <w:rPr>
          <w:sz w:val="20"/>
          <w:szCs w:val="20"/>
          <w:color w:val="auto"/>
        </w:rPr>
      </w:pPr>
    </w:p>
    <w:p>
      <w:pPr>
        <w:ind w:left="168" w:hanging="168"/>
        <w:spacing w:after="0"/>
        <w:tabs>
          <w:tab w:leader="none" w:pos="168" w:val="left"/>
        </w:tabs>
        <w:numPr>
          <w:ilvl w:val="0"/>
          <w:numId w:val="53"/>
        </w:numPr>
        <w:rPr>
          <w:rFonts w:ascii="Arial" w:cs="Arial" w:eastAsia="Arial" w:hAnsi="Arial"/>
          <w:sz w:val="7"/>
          <w:szCs w:val="7"/>
          <w:color w:val="auto"/>
        </w:rPr>
      </w:pPr>
      <w:r>
        <w:rPr>
          <w:rFonts w:ascii="Arial" w:cs="Arial" w:eastAsia="Arial" w:hAnsi="Arial"/>
          <w:sz w:val="7"/>
          <w:szCs w:val="7"/>
          <w:color w:val="auto"/>
        </w:rPr>
        <w:t>Polyethylene, polypropylene</w:t>
      </w:r>
    </w:p>
    <w:p>
      <w:pPr>
        <w:spacing w:after="0" w:line="64" w:lineRule="exact"/>
        <w:rPr>
          <w:sz w:val="20"/>
          <w:szCs w:val="20"/>
          <w:color w:val="auto"/>
        </w:rPr>
      </w:pPr>
    </w:p>
    <w:p>
      <w:pPr>
        <w:ind w:left="168" w:hanging="168"/>
        <w:spacing w:after="0"/>
        <w:tabs>
          <w:tab w:leader="none" w:pos="168" w:val="left"/>
        </w:tabs>
        <w:numPr>
          <w:ilvl w:val="0"/>
          <w:numId w:val="54"/>
        </w:numPr>
        <w:rPr>
          <w:rFonts w:ascii="Arial" w:cs="Arial" w:eastAsia="Arial" w:hAnsi="Arial"/>
          <w:sz w:val="7"/>
          <w:szCs w:val="7"/>
          <w:color w:val="auto"/>
        </w:rPr>
      </w:pPr>
      <w:r>
        <w:rPr>
          <w:rFonts w:ascii="Arial" w:cs="Arial" w:eastAsia="Arial" w:hAnsi="Arial"/>
          <w:sz w:val="7"/>
          <w:szCs w:val="7"/>
          <w:color w:val="auto"/>
        </w:rPr>
        <w:t>Other</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Other chemical locations [A]</w:t>
      </w:r>
    </w:p>
    <w:p>
      <w:pPr>
        <w:spacing w:after="0" w:line="213" w:lineRule="exact"/>
        <w:rPr>
          <w:sz w:val="20"/>
          <w:szCs w:val="20"/>
          <w:color w:val="auto"/>
        </w:rPr>
      </w:pPr>
    </w:p>
    <w:tbl>
      <w:tblPr>
        <w:tblLayout w:type="fixed"/>
        <w:tblInd w:w="8" w:type="dxa"/>
        <w:tblCellMar>
          <w:top w:w="0" w:type="dxa"/>
          <w:left w:w="0" w:type="dxa"/>
          <w:bottom w:w="0" w:type="dxa"/>
          <w:right w:w="0" w:type="dxa"/>
        </w:tblCellMar>
      </w:tblPr>
      <w:tr>
        <w:trPr>
          <w:trHeight w:val="111"/>
        </w:trPr>
        <w:tc>
          <w:tcPr>
            <w:tcW w:w="232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jc w:val="right"/>
              <w:ind w:right="113"/>
              <w:spacing w:after="0"/>
              <w:rPr>
                <w:sz w:val="20"/>
                <w:szCs w:val="20"/>
                <w:color w:val="auto"/>
              </w:rPr>
            </w:pPr>
            <w:r>
              <w:rPr>
                <w:rFonts w:ascii="Arial" w:cs="Arial" w:eastAsia="Arial" w:hAnsi="Arial"/>
                <w:sz w:val="8"/>
                <w:szCs w:val="8"/>
                <w:color w:val="auto"/>
              </w:rPr>
              <w:t>Location</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Products</w:t>
            </w:r>
          </w:p>
        </w:tc>
      </w:tr>
      <w:tr>
        <w:trPr>
          <w:trHeight w:val="116"/>
        </w:trPr>
        <w:tc>
          <w:tcPr>
            <w:tcW w:w="2320" w:type="dxa"/>
            <w:vAlign w:val="bottom"/>
          </w:tcPr>
          <w:p>
            <w:pPr>
              <w:spacing w:after="0"/>
              <w:rPr>
                <w:sz w:val="20"/>
                <w:szCs w:val="20"/>
                <w:color w:val="auto"/>
              </w:rPr>
            </w:pPr>
            <w:r>
              <w:rPr>
                <w:rFonts w:ascii="Arial" w:cs="Arial" w:eastAsia="Arial" w:hAnsi="Arial"/>
                <w:sz w:val="10"/>
                <w:szCs w:val="10"/>
                <w:color w:val="auto"/>
              </w:rPr>
              <w:t>Europe</w:t>
            </w:r>
          </w:p>
        </w:tc>
        <w:tc>
          <w:tcPr>
            <w:tcW w:w="24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3"/>
        </w:trPr>
        <w:tc>
          <w:tcPr>
            <w:tcW w:w="2320" w:type="dxa"/>
            <w:vAlign w:val="bottom"/>
          </w:tcPr>
          <w:p>
            <w:pPr>
              <w:ind w:left="80"/>
              <w:spacing w:after="0"/>
              <w:rPr>
                <w:sz w:val="20"/>
                <w:szCs w:val="20"/>
                <w:color w:val="auto"/>
              </w:rPr>
            </w:pPr>
            <w:r>
              <w:rPr>
                <w:rFonts w:ascii="Arial" w:cs="Arial" w:eastAsia="Arial" w:hAnsi="Arial"/>
                <w:sz w:val="10"/>
                <w:szCs w:val="10"/>
                <w:color w:val="auto"/>
              </w:rPr>
              <w:t>Germany</w:t>
            </w:r>
          </w:p>
        </w:tc>
        <w:tc>
          <w:tcPr>
            <w:tcW w:w="2460" w:type="dxa"/>
            <w:vAlign w:val="bottom"/>
          </w:tcPr>
          <w:p>
            <w:pPr>
              <w:jc w:val="right"/>
              <w:ind w:right="113"/>
              <w:spacing w:after="0"/>
              <w:rPr>
                <w:sz w:val="20"/>
                <w:szCs w:val="20"/>
                <w:color w:val="auto"/>
              </w:rPr>
            </w:pPr>
            <w:r>
              <w:rPr>
                <w:rFonts w:ascii="Arial" w:cs="Arial" w:eastAsia="Arial" w:hAnsi="Arial"/>
                <w:sz w:val="10"/>
                <w:szCs w:val="10"/>
                <w:color w:val="auto"/>
              </w:rPr>
              <w:t>Karlsruhe</w:t>
            </w:r>
          </w:p>
        </w:tc>
        <w:tc>
          <w:tcPr>
            <w:tcW w:w="460" w:type="dxa"/>
            <w:vAlign w:val="bottom"/>
          </w:tcPr>
          <w:p>
            <w:pPr>
              <w:jc w:val="right"/>
              <w:spacing w:after="0"/>
              <w:rPr>
                <w:sz w:val="20"/>
                <w:szCs w:val="20"/>
                <w:color w:val="auto"/>
              </w:rPr>
            </w:pPr>
            <w:r>
              <w:rPr>
                <w:rFonts w:ascii="Arial" w:cs="Arial" w:eastAsia="Arial" w:hAnsi="Arial"/>
                <w:sz w:val="10"/>
                <w:szCs w:val="10"/>
                <w:color w:val="auto"/>
              </w:rPr>
              <w:t>A</w:t>
            </w:r>
          </w:p>
        </w:tc>
      </w:tr>
      <w:tr>
        <w:trPr>
          <w:trHeight w:val="126"/>
        </w:trPr>
        <w:tc>
          <w:tcPr>
            <w:tcW w:w="2320" w:type="dxa"/>
            <w:vAlign w:val="bottom"/>
          </w:tcPr>
          <w:p>
            <w:pPr>
              <w:spacing w:after="0"/>
              <w:rPr>
                <w:sz w:val="10"/>
                <w:szCs w:val="10"/>
                <w:color w:val="auto"/>
              </w:rPr>
            </w:pPr>
          </w:p>
        </w:tc>
        <w:tc>
          <w:tcPr>
            <w:tcW w:w="2460" w:type="dxa"/>
            <w:vAlign w:val="bottom"/>
          </w:tcPr>
          <w:p>
            <w:pPr>
              <w:jc w:val="right"/>
              <w:ind w:right="113"/>
              <w:spacing w:after="0"/>
              <w:rPr>
                <w:sz w:val="20"/>
                <w:szCs w:val="20"/>
                <w:color w:val="auto"/>
              </w:rPr>
            </w:pPr>
            <w:r>
              <w:rPr>
                <w:rFonts w:ascii="Arial" w:cs="Arial" w:eastAsia="Arial" w:hAnsi="Arial"/>
                <w:sz w:val="10"/>
                <w:szCs w:val="10"/>
                <w:color w:val="auto"/>
              </w:rPr>
              <w:t>Schwedt</w:t>
            </w:r>
          </w:p>
        </w:tc>
        <w:tc>
          <w:tcPr>
            <w:tcW w:w="460" w:type="dxa"/>
            <w:vAlign w:val="bottom"/>
          </w:tcPr>
          <w:p>
            <w:pPr>
              <w:jc w:val="right"/>
              <w:spacing w:after="0"/>
              <w:rPr>
                <w:sz w:val="20"/>
                <w:szCs w:val="20"/>
                <w:color w:val="auto"/>
              </w:rPr>
            </w:pPr>
            <w:r>
              <w:rPr>
                <w:rFonts w:ascii="Arial" w:cs="Arial" w:eastAsia="Arial" w:hAnsi="Arial"/>
                <w:sz w:val="10"/>
                <w:szCs w:val="10"/>
                <w:color w:val="auto"/>
              </w:rPr>
              <w:t>A</w:t>
            </w:r>
          </w:p>
        </w:tc>
      </w:tr>
      <w:tr>
        <w:trPr>
          <w:trHeight w:val="130"/>
        </w:trPr>
        <w:tc>
          <w:tcPr>
            <w:tcW w:w="232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Netherlands</w:t>
            </w:r>
          </w:p>
        </w:tc>
        <w:tc>
          <w:tcPr>
            <w:tcW w:w="2460" w:type="dxa"/>
            <w:vAlign w:val="bottom"/>
            <w:tcBorders>
              <w:bottom w:val="single" w:sz="8" w:color="auto"/>
            </w:tcBorders>
          </w:tcPr>
          <w:p>
            <w:pPr>
              <w:jc w:val="right"/>
              <w:ind w:right="113"/>
              <w:spacing w:after="0"/>
              <w:rPr>
                <w:sz w:val="20"/>
                <w:szCs w:val="20"/>
                <w:color w:val="auto"/>
              </w:rPr>
            </w:pPr>
            <w:r>
              <w:rPr>
                <w:rFonts w:ascii="Arial" w:cs="Arial" w:eastAsia="Arial" w:hAnsi="Arial"/>
                <w:sz w:val="10"/>
                <w:szCs w:val="10"/>
                <w:color w:val="auto"/>
              </w:rPr>
              <w:t>Pernis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A,I,O</w:t>
            </w:r>
          </w:p>
        </w:tc>
      </w:tr>
      <w:tr>
        <w:trPr>
          <w:trHeight w:val="114"/>
        </w:trPr>
        <w:tc>
          <w:tcPr>
            <w:tcW w:w="2320" w:type="dxa"/>
            <w:vAlign w:val="bottom"/>
          </w:tcPr>
          <w:p>
            <w:pPr>
              <w:spacing w:after="0"/>
              <w:rPr>
                <w:sz w:val="20"/>
                <w:szCs w:val="20"/>
                <w:color w:val="auto"/>
              </w:rPr>
            </w:pPr>
            <w:r>
              <w:rPr>
                <w:rFonts w:ascii="Arial" w:cs="Arial" w:eastAsia="Arial" w:hAnsi="Arial"/>
                <w:sz w:val="10"/>
                <w:szCs w:val="10"/>
                <w:color w:val="auto"/>
              </w:rPr>
              <w:t>Americas</w:t>
            </w:r>
          </w:p>
        </w:tc>
        <w:tc>
          <w:tcPr>
            <w:tcW w:w="24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23"/>
        </w:trPr>
        <w:tc>
          <w:tcPr>
            <w:tcW w:w="2320" w:type="dxa"/>
            <w:vAlign w:val="bottom"/>
          </w:tcPr>
          <w:p>
            <w:pPr>
              <w:ind w:left="80"/>
              <w:spacing w:after="0"/>
              <w:rPr>
                <w:sz w:val="20"/>
                <w:szCs w:val="20"/>
                <w:color w:val="auto"/>
              </w:rPr>
            </w:pPr>
            <w:r>
              <w:rPr>
                <w:rFonts w:ascii="Arial" w:cs="Arial" w:eastAsia="Arial" w:hAnsi="Arial"/>
                <w:sz w:val="10"/>
                <w:szCs w:val="10"/>
                <w:color w:val="auto"/>
              </w:rPr>
              <w:t>Argentina</w:t>
            </w:r>
          </w:p>
        </w:tc>
        <w:tc>
          <w:tcPr>
            <w:tcW w:w="2460" w:type="dxa"/>
            <w:vAlign w:val="bottom"/>
          </w:tcPr>
          <w:p>
            <w:pPr>
              <w:jc w:val="right"/>
              <w:ind w:right="113"/>
              <w:spacing w:after="0"/>
              <w:rPr>
                <w:sz w:val="20"/>
                <w:szCs w:val="20"/>
                <w:color w:val="auto"/>
              </w:rPr>
            </w:pPr>
            <w:r>
              <w:rPr>
                <w:rFonts w:ascii="Arial" w:cs="Arial" w:eastAsia="Arial" w:hAnsi="Arial"/>
                <w:sz w:val="10"/>
                <w:szCs w:val="10"/>
                <w:color w:val="auto"/>
              </w:rPr>
              <w:t>Buenos Aires</w:t>
            </w:r>
          </w:p>
        </w:tc>
        <w:tc>
          <w:tcPr>
            <w:tcW w:w="460" w:type="dxa"/>
            <w:vAlign w:val="bottom"/>
          </w:tcPr>
          <w:p>
            <w:pPr>
              <w:jc w:val="right"/>
              <w:spacing w:after="0"/>
              <w:rPr>
                <w:sz w:val="20"/>
                <w:szCs w:val="20"/>
                <w:color w:val="auto"/>
              </w:rPr>
            </w:pPr>
            <w:r>
              <w:rPr>
                <w:rFonts w:ascii="Arial" w:cs="Arial" w:eastAsia="Arial" w:hAnsi="Arial"/>
                <w:sz w:val="10"/>
                <w:szCs w:val="10"/>
                <w:color w:val="auto"/>
              </w:rPr>
              <w:t>I</w:t>
            </w:r>
          </w:p>
        </w:tc>
      </w:tr>
      <w:tr>
        <w:trPr>
          <w:trHeight w:val="126"/>
        </w:trPr>
        <w:tc>
          <w:tcPr>
            <w:tcW w:w="2320" w:type="dxa"/>
            <w:vAlign w:val="bottom"/>
          </w:tcPr>
          <w:p>
            <w:pPr>
              <w:ind w:left="80"/>
              <w:spacing w:after="0"/>
              <w:rPr>
                <w:sz w:val="20"/>
                <w:szCs w:val="20"/>
                <w:color w:val="auto"/>
              </w:rPr>
            </w:pPr>
            <w:r>
              <w:rPr>
                <w:rFonts w:ascii="Arial" w:cs="Arial" w:eastAsia="Arial" w:hAnsi="Arial"/>
                <w:sz w:val="10"/>
                <w:szCs w:val="10"/>
                <w:color w:val="auto"/>
              </w:rPr>
              <w:t>Canada</w:t>
            </w:r>
          </w:p>
        </w:tc>
        <w:tc>
          <w:tcPr>
            <w:tcW w:w="2460" w:type="dxa"/>
            <w:vAlign w:val="bottom"/>
          </w:tcPr>
          <w:p>
            <w:pPr>
              <w:jc w:val="right"/>
              <w:ind w:right="113"/>
              <w:spacing w:after="0"/>
              <w:rPr>
                <w:sz w:val="20"/>
                <w:szCs w:val="20"/>
                <w:color w:val="auto"/>
              </w:rPr>
            </w:pPr>
            <w:r>
              <w:rPr>
                <w:rFonts w:ascii="Arial" w:cs="Arial" w:eastAsia="Arial" w:hAnsi="Arial"/>
                <w:sz w:val="10"/>
                <w:szCs w:val="10"/>
                <w:color w:val="auto"/>
              </w:rPr>
              <w:t>Sarnia</w:t>
            </w:r>
          </w:p>
        </w:tc>
        <w:tc>
          <w:tcPr>
            <w:tcW w:w="460" w:type="dxa"/>
            <w:vAlign w:val="bottom"/>
          </w:tcPr>
          <w:p>
            <w:pPr>
              <w:jc w:val="right"/>
              <w:spacing w:after="0"/>
              <w:rPr>
                <w:sz w:val="20"/>
                <w:szCs w:val="20"/>
                <w:color w:val="auto"/>
              </w:rPr>
            </w:pPr>
            <w:r>
              <w:rPr>
                <w:rFonts w:ascii="Arial" w:cs="Arial" w:eastAsia="Arial" w:hAnsi="Arial"/>
                <w:sz w:val="10"/>
                <w:szCs w:val="10"/>
                <w:color w:val="auto"/>
              </w:rPr>
              <w:t>A, I</w:t>
            </w:r>
          </w:p>
        </w:tc>
      </w:tr>
      <w:tr>
        <w:trPr>
          <w:trHeight w:val="126"/>
        </w:trPr>
        <w:tc>
          <w:tcPr>
            <w:tcW w:w="2320" w:type="dxa"/>
            <w:vAlign w:val="bottom"/>
          </w:tcPr>
          <w:p>
            <w:pPr>
              <w:ind w:left="80"/>
              <w:spacing w:after="0"/>
              <w:rPr>
                <w:sz w:val="20"/>
                <w:szCs w:val="20"/>
                <w:color w:val="auto"/>
              </w:rPr>
            </w:pPr>
            <w:r>
              <w:rPr>
                <w:rFonts w:ascii="Arial" w:cs="Arial" w:eastAsia="Arial" w:hAnsi="Arial"/>
                <w:sz w:val="10"/>
                <w:szCs w:val="10"/>
                <w:color w:val="auto"/>
              </w:rPr>
              <w:t>USA</w:t>
            </w:r>
          </w:p>
        </w:tc>
        <w:tc>
          <w:tcPr>
            <w:tcW w:w="2460" w:type="dxa"/>
            <w:vAlign w:val="bottom"/>
          </w:tcPr>
          <w:p>
            <w:pPr>
              <w:jc w:val="right"/>
              <w:ind w:right="113"/>
              <w:spacing w:after="0"/>
              <w:rPr>
                <w:sz w:val="20"/>
                <w:szCs w:val="20"/>
                <w:color w:val="auto"/>
              </w:rPr>
            </w:pPr>
            <w:r>
              <w:rPr>
                <w:rFonts w:ascii="Arial" w:cs="Arial" w:eastAsia="Arial" w:hAnsi="Arial"/>
                <w:sz w:val="10"/>
                <w:szCs w:val="10"/>
                <w:color w:val="auto"/>
              </w:rPr>
              <w:t>Mobile</w:t>
            </w:r>
          </w:p>
        </w:tc>
        <w:tc>
          <w:tcPr>
            <w:tcW w:w="460" w:type="dxa"/>
            <w:vAlign w:val="bottom"/>
          </w:tcPr>
          <w:p>
            <w:pPr>
              <w:jc w:val="right"/>
              <w:spacing w:after="0"/>
              <w:rPr>
                <w:sz w:val="20"/>
                <w:szCs w:val="20"/>
                <w:color w:val="auto"/>
              </w:rPr>
            </w:pPr>
            <w:r>
              <w:rPr>
                <w:rFonts w:ascii="Arial" w:cs="Arial" w:eastAsia="Arial" w:hAnsi="Arial"/>
                <w:sz w:val="10"/>
                <w:szCs w:val="10"/>
                <w:color w:val="auto"/>
              </w:rPr>
              <w:t>A</w:t>
            </w:r>
          </w:p>
        </w:tc>
      </w:tr>
      <w:tr>
        <w:trPr>
          <w:trHeight w:val="130"/>
        </w:trPr>
        <w:tc>
          <w:tcPr>
            <w:tcW w:w="232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tcPr>
          <w:p>
            <w:pPr>
              <w:jc w:val="right"/>
              <w:ind w:right="113"/>
              <w:spacing w:after="0"/>
              <w:rPr>
                <w:sz w:val="20"/>
                <w:szCs w:val="20"/>
                <w:color w:val="auto"/>
              </w:rPr>
            </w:pPr>
            <w:r>
              <w:rPr>
                <w:rFonts w:ascii="Arial" w:cs="Arial" w:eastAsia="Arial" w:hAnsi="Arial"/>
                <w:sz w:val="10"/>
                <w:szCs w:val="10"/>
                <w:color w:val="auto"/>
              </w:rPr>
              <w:t>Puget Sound</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I</w:t>
            </w:r>
          </w:p>
        </w:tc>
      </w:tr>
    </w:tbl>
    <w:p>
      <w:pPr>
        <w:spacing w:after="0" w:line="65" w:lineRule="exact"/>
        <w:rPr>
          <w:sz w:val="20"/>
          <w:szCs w:val="20"/>
          <w:color w:val="auto"/>
        </w:rPr>
      </w:pPr>
    </w:p>
    <w:p>
      <w:pPr>
        <w:ind w:left="8" w:right="8080" w:hanging="8"/>
        <w:spacing w:after="0" w:line="250" w:lineRule="auto"/>
        <w:tabs>
          <w:tab w:leader="none" w:pos="126" w:val="left"/>
        </w:tabs>
        <w:numPr>
          <w:ilvl w:val="0"/>
          <w:numId w:val="55"/>
        </w:numPr>
        <w:rPr>
          <w:rFonts w:ascii="Arial" w:cs="Arial" w:eastAsia="Arial" w:hAnsi="Arial"/>
          <w:sz w:val="7"/>
          <w:szCs w:val="7"/>
          <w:color w:val="auto"/>
        </w:rPr>
      </w:pPr>
      <w:r>
        <w:rPr>
          <w:rFonts w:ascii="Arial" w:cs="Arial" w:eastAsia="Arial" w:hAnsi="Arial"/>
          <w:sz w:val="7"/>
          <w:szCs w:val="7"/>
          <w:color w:val="auto"/>
        </w:rPr>
        <w:t>Other chemical locations reflect locations with smaller chemical units, typically serving more local markets. A Aromatics, lower olefins</w:t>
      </w:r>
    </w:p>
    <w:p>
      <w:pPr>
        <w:ind w:left="8" w:right="10820"/>
        <w:spacing w:after="0" w:line="252" w:lineRule="auto"/>
        <w:rPr>
          <w:rFonts w:ascii="Arial" w:cs="Arial" w:eastAsia="Arial" w:hAnsi="Arial"/>
          <w:sz w:val="7"/>
          <w:szCs w:val="7"/>
          <w:color w:val="auto"/>
        </w:rPr>
      </w:pPr>
      <w:r>
        <w:rPr>
          <w:rFonts w:ascii="Arial" w:cs="Arial" w:eastAsia="Arial" w:hAnsi="Arial"/>
          <w:sz w:val="7"/>
          <w:szCs w:val="7"/>
          <w:color w:val="auto"/>
        </w:rPr>
        <w:t>I Intermediates O Other</w:t>
      </w:r>
    </w:p>
    <w:p>
      <w:pPr>
        <w:spacing w:after="0" w:line="338"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59</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4" w:right="299" w:bottom="1440" w:gutter="0" w:footer="0" w:header="0"/>
        </w:sectPr>
      </w:pPr>
    </w:p>
    <w:bookmarkStart w:id="62" w:name="page63"/>
    <w:bookmarkEnd w:id="62"/>
    <w:p>
      <w:pPr>
        <w:ind w:left="8"/>
        <w:spacing w:after="0"/>
        <w:rPr>
          <w:sz w:val="20"/>
          <w:szCs w:val="20"/>
          <w:color w:val="auto"/>
        </w:rPr>
      </w:pPr>
      <w:r>
        <w:rPr>
          <w:rFonts w:ascii="Arial" w:cs="Arial" w:eastAsia="Arial" w:hAnsi="Arial"/>
          <w:sz w:val="22"/>
          <w:szCs w:val="22"/>
          <w:color w:val="auto"/>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2915" cy="228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15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7000" w:type="dxa"/>
            <w:vAlign w:val="bottom"/>
            <w:tcBorders>
              <w:top w:val="single" w:sz="8" w:color="CDCDCD"/>
            </w:tcBorders>
          </w:tcPr>
          <w:p>
            <w:pPr>
              <w:spacing w:after="0"/>
              <w:rPr>
                <w:sz w:val="13"/>
                <w:szCs w:val="13"/>
                <w:color w:val="auto"/>
              </w:rPr>
            </w:pPr>
          </w:p>
        </w:tc>
        <w:tc>
          <w:tcPr>
            <w:tcW w:w="1440" w:type="dxa"/>
            <w:vAlign w:val="bottom"/>
            <w:tcBorders>
              <w:top w:val="single" w:sz="8" w:color="CDCDCD"/>
            </w:tcBorders>
          </w:tcPr>
          <w:p>
            <w:pPr>
              <w:spacing w:after="0"/>
              <w:rPr>
                <w:sz w:val="13"/>
                <w:szCs w:val="13"/>
                <w:color w:val="auto"/>
              </w:rPr>
            </w:pPr>
          </w:p>
        </w:tc>
        <w:tc>
          <w:tcPr>
            <w:tcW w:w="1960" w:type="dxa"/>
            <w:vAlign w:val="bottom"/>
            <w:tcBorders>
              <w:top w:val="single" w:sz="8" w:color="CDCDCD"/>
            </w:tcBorders>
          </w:tcPr>
          <w:p>
            <w:pPr>
              <w:spacing w:after="0"/>
              <w:rPr>
                <w:sz w:val="13"/>
                <w:szCs w:val="13"/>
                <w:color w:val="auto"/>
              </w:rPr>
            </w:pPr>
          </w:p>
        </w:tc>
        <w:tc>
          <w:tcPr>
            <w:tcW w:w="90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16"/>
        </w:trPr>
        <w:tc>
          <w:tcPr>
            <w:tcW w:w="70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2020</w:t>
            </w:r>
          </w:p>
        </w:tc>
        <w:tc>
          <w:tcPr>
            <w:tcW w:w="1960" w:type="dxa"/>
            <w:vAlign w:val="bottom"/>
            <w:tcBorders>
              <w:bottom w:val="single" w:sz="8" w:color="auto"/>
            </w:tcBorders>
          </w:tcPr>
          <w:p>
            <w:pPr>
              <w:jc w:val="right"/>
              <w:ind w:right="493"/>
              <w:spacing w:after="0"/>
              <w:rPr>
                <w:sz w:val="20"/>
                <w:szCs w:val="20"/>
                <w:color w:val="auto"/>
              </w:rPr>
            </w:pPr>
            <w:r>
              <w:rPr>
                <w:rFonts w:ascii="Arial" w:cs="Arial" w:eastAsia="Arial" w:hAnsi="Arial"/>
                <w:sz w:val="8"/>
                <w:szCs w:val="8"/>
                <w:color w:val="auto"/>
              </w:rPr>
              <w:t>2019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2018</w:t>
            </w:r>
          </w:p>
        </w:tc>
      </w:tr>
      <w:tr>
        <w:trPr>
          <w:trHeight w:val="116"/>
        </w:trPr>
        <w:tc>
          <w:tcPr>
            <w:tcW w:w="7000" w:type="dxa"/>
            <w:vAlign w:val="bottom"/>
          </w:tcPr>
          <w:p>
            <w:pPr>
              <w:spacing w:after="0"/>
              <w:rPr>
                <w:sz w:val="20"/>
                <w:szCs w:val="20"/>
                <w:color w:val="auto"/>
              </w:rPr>
            </w:pPr>
            <w:r>
              <w:rPr>
                <w:rFonts w:ascii="Arial" w:cs="Arial" w:eastAsia="Arial" w:hAnsi="Arial"/>
                <w:sz w:val="10"/>
                <w:szCs w:val="10"/>
                <w:color w:val="auto"/>
              </w:rPr>
              <w:t>Segment earnings</w:t>
            </w:r>
          </w:p>
        </w:tc>
        <w:tc>
          <w:tcPr>
            <w:tcW w:w="14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(2,952)</w:t>
            </w:r>
          </w:p>
        </w:tc>
        <w:tc>
          <w:tcPr>
            <w:tcW w:w="1960" w:type="dxa"/>
            <w:vAlign w:val="bottom"/>
          </w:tcPr>
          <w:p>
            <w:pPr>
              <w:jc w:val="right"/>
              <w:ind w:right="513"/>
              <w:spacing w:after="0"/>
              <w:rPr>
                <w:sz w:val="20"/>
                <w:szCs w:val="20"/>
                <w:color w:val="auto"/>
              </w:rPr>
            </w:pPr>
            <w:r>
              <w:rPr>
                <w:rFonts w:ascii="Arial" w:cs="Arial" w:eastAsia="Arial" w:hAnsi="Arial"/>
                <w:sz w:val="10"/>
                <w:szCs w:val="10"/>
                <w:color w:val="auto"/>
              </w:rPr>
              <w:t>(3,273)</w:t>
            </w:r>
          </w:p>
        </w:tc>
        <w:tc>
          <w:tcPr>
            <w:tcW w:w="900" w:type="dxa"/>
            <w:vAlign w:val="bottom"/>
          </w:tcPr>
          <w:p>
            <w:pPr>
              <w:jc w:val="right"/>
              <w:spacing w:after="0"/>
              <w:rPr>
                <w:sz w:val="20"/>
                <w:szCs w:val="20"/>
                <w:color w:val="auto"/>
              </w:rPr>
            </w:pPr>
            <w:r>
              <w:rPr>
                <w:rFonts w:ascii="Arial" w:cs="Arial" w:eastAsia="Arial" w:hAnsi="Arial"/>
                <w:sz w:val="10"/>
                <w:szCs w:val="10"/>
                <w:color w:val="auto"/>
              </w:rPr>
              <w:t>(1,479)</w:t>
            </w:r>
          </w:p>
        </w:tc>
      </w:tr>
      <w:tr>
        <w:trPr>
          <w:trHeight w:val="123"/>
        </w:trPr>
        <w:tc>
          <w:tcPr>
            <w:tcW w:w="7000" w:type="dxa"/>
            <w:vAlign w:val="bottom"/>
          </w:tcPr>
          <w:p>
            <w:pPr>
              <w:spacing w:after="0"/>
              <w:rPr>
                <w:sz w:val="20"/>
                <w:szCs w:val="20"/>
                <w:color w:val="auto"/>
              </w:rPr>
            </w:pPr>
            <w:r>
              <w:rPr>
                <w:rFonts w:ascii="Arial" w:cs="Arial" w:eastAsia="Arial" w:hAnsi="Arial"/>
                <w:sz w:val="10"/>
                <w:szCs w:val="10"/>
                <w:color w:val="auto"/>
              </w:rPr>
              <w:t>Comprising:</w:t>
            </w:r>
          </w:p>
        </w:tc>
        <w:tc>
          <w:tcPr>
            <w:tcW w:w="1440" w:type="dxa"/>
            <w:vAlign w:val="bottom"/>
            <w:shd w:val="clear" w:color="auto" w:fill="D9D9D9"/>
          </w:tcPr>
          <w:p>
            <w:pPr>
              <w:spacing w:after="0"/>
              <w:rPr>
                <w:sz w:val="10"/>
                <w:szCs w:val="10"/>
                <w:color w:val="auto"/>
              </w:rPr>
            </w:pPr>
          </w:p>
        </w:tc>
        <w:tc>
          <w:tcPr>
            <w:tcW w:w="19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26"/>
        </w:trPr>
        <w:tc>
          <w:tcPr>
            <w:tcW w:w="7000" w:type="dxa"/>
            <w:vAlign w:val="bottom"/>
          </w:tcPr>
          <w:p>
            <w:pPr>
              <w:ind w:left="140"/>
              <w:spacing w:after="0"/>
              <w:rPr>
                <w:sz w:val="20"/>
                <w:szCs w:val="20"/>
                <w:color w:val="auto"/>
              </w:rPr>
            </w:pPr>
            <w:r>
              <w:rPr>
                <w:rFonts w:ascii="Arial" w:cs="Arial" w:eastAsia="Arial" w:hAnsi="Arial"/>
                <w:sz w:val="10"/>
                <w:szCs w:val="10"/>
                <w:color w:val="auto"/>
              </w:rPr>
              <w:t>Net interest [A]</w:t>
            </w:r>
          </w:p>
        </w:tc>
        <w:tc>
          <w:tcPr>
            <w:tcW w:w="14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(2,991)</w:t>
            </w:r>
          </w:p>
        </w:tc>
        <w:tc>
          <w:tcPr>
            <w:tcW w:w="1960" w:type="dxa"/>
            <w:vAlign w:val="bottom"/>
          </w:tcPr>
          <w:p>
            <w:pPr>
              <w:jc w:val="right"/>
              <w:ind w:right="513"/>
              <w:spacing w:after="0"/>
              <w:rPr>
                <w:sz w:val="20"/>
                <w:szCs w:val="20"/>
                <w:color w:val="auto"/>
              </w:rPr>
            </w:pPr>
            <w:r>
              <w:rPr>
                <w:rFonts w:ascii="Arial" w:cs="Arial" w:eastAsia="Arial" w:hAnsi="Arial"/>
                <w:sz w:val="10"/>
                <w:szCs w:val="10"/>
                <w:color w:val="auto"/>
              </w:rPr>
              <w:t>(3,080)</w:t>
            </w:r>
          </w:p>
        </w:tc>
        <w:tc>
          <w:tcPr>
            <w:tcW w:w="900" w:type="dxa"/>
            <w:vAlign w:val="bottom"/>
          </w:tcPr>
          <w:p>
            <w:pPr>
              <w:jc w:val="right"/>
              <w:spacing w:after="0"/>
              <w:rPr>
                <w:sz w:val="20"/>
                <w:szCs w:val="20"/>
                <w:color w:val="auto"/>
              </w:rPr>
            </w:pPr>
            <w:r>
              <w:rPr>
                <w:rFonts w:ascii="Arial" w:cs="Arial" w:eastAsia="Arial" w:hAnsi="Arial"/>
                <w:sz w:val="10"/>
                <w:szCs w:val="10"/>
                <w:color w:val="auto"/>
              </w:rPr>
              <w:t>(2,075)</w:t>
            </w:r>
          </w:p>
        </w:tc>
      </w:tr>
      <w:tr>
        <w:trPr>
          <w:trHeight w:val="126"/>
        </w:trPr>
        <w:tc>
          <w:tcPr>
            <w:tcW w:w="7000" w:type="dxa"/>
            <w:vAlign w:val="bottom"/>
          </w:tcPr>
          <w:p>
            <w:pPr>
              <w:ind w:left="140"/>
              <w:spacing w:after="0"/>
              <w:rPr>
                <w:sz w:val="20"/>
                <w:szCs w:val="20"/>
                <w:color w:val="auto"/>
              </w:rPr>
            </w:pPr>
            <w:r>
              <w:rPr>
                <w:rFonts w:ascii="Arial" w:cs="Arial" w:eastAsia="Arial" w:hAnsi="Arial"/>
                <w:sz w:val="10"/>
                <w:szCs w:val="10"/>
                <w:color w:val="auto"/>
              </w:rPr>
              <w:t>Taxation and other [B]</w:t>
            </w:r>
          </w:p>
        </w:tc>
        <w:tc>
          <w:tcPr>
            <w:tcW w:w="14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39</w:t>
            </w:r>
          </w:p>
        </w:tc>
        <w:tc>
          <w:tcPr>
            <w:tcW w:w="1960" w:type="dxa"/>
            <w:vAlign w:val="bottom"/>
          </w:tcPr>
          <w:p>
            <w:pPr>
              <w:jc w:val="right"/>
              <w:ind w:right="513"/>
              <w:spacing w:after="0"/>
              <w:rPr>
                <w:sz w:val="20"/>
                <w:szCs w:val="20"/>
                <w:color w:val="auto"/>
              </w:rPr>
            </w:pPr>
            <w:r>
              <w:rPr>
                <w:rFonts w:ascii="Arial" w:cs="Arial" w:eastAsia="Arial" w:hAnsi="Arial"/>
                <w:sz w:val="10"/>
                <w:szCs w:val="10"/>
                <w:color w:val="auto"/>
              </w:rPr>
              <w:t>(194)</w:t>
            </w:r>
          </w:p>
        </w:tc>
        <w:tc>
          <w:tcPr>
            <w:tcW w:w="900" w:type="dxa"/>
            <w:vAlign w:val="bottom"/>
          </w:tcPr>
          <w:p>
            <w:pPr>
              <w:jc w:val="right"/>
              <w:spacing w:after="0"/>
              <w:rPr>
                <w:sz w:val="20"/>
                <w:szCs w:val="20"/>
                <w:color w:val="auto"/>
              </w:rPr>
            </w:pPr>
            <w:r>
              <w:rPr>
                <w:rFonts w:ascii="Arial" w:cs="Arial" w:eastAsia="Arial" w:hAnsi="Arial"/>
                <w:sz w:val="10"/>
                <w:szCs w:val="10"/>
                <w:color w:val="auto"/>
              </w:rPr>
              <w:t>596</w:t>
            </w:r>
          </w:p>
        </w:tc>
      </w:tr>
      <w:tr>
        <w:trPr>
          <w:trHeight w:val="126"/>
        </w:trPr>
        <w:tc>
          <w:tcPr>
            <w:tcW w:w="7000" w:type="dxa"/>
            <w:vAlign w:val="bottom"/>
          </w:tcPr>
          <w:p>
            <w:pPr>
              <w:spacing w:after="0"/>
              <w:rPr>
                <w:sz w:val="20"/>
                <w:szCs w:val="20"/>
                <w:color w:val="auto"/>
              </w:rPr>
            </w:pPr>
            <w:r>
              <w:rPr>
                <w:rFonts w:ascii="Arial" w:cs="Arial" w:eastAsia="Arial" w:hAnsi="Arial"/>
                <w:sz w:val="10"/>
                <w:szCs w:val="10"/>
                <w:color w:val="auto"/>
              </w:rPr>
              <w:t>Identified Items</w:t>
            </w:r>
          </w:p>
        </w:tc>
        <w:tc>
          <w:tcPr>
            <w:tcW w:w="14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460</w:t>
            </w:r>
          </w:p>
        </w:tc>
        <w:tc>
          <w:tcPr>
            <w:tcW w:w="1960" w:type="dxa"/>
            <w:vAlign w:val="bottom"/>
          </w:tcPr>
          <w:p>
            <w:pPr>
              <w:jc w:val="right"/>
              <w:ind w:right="533"/>
              <w:spacing w:after="0"/>
              <w:rPr>
                <w:sz w:val="20"/>
                <w:szCs w:val="20"/>
                <w:color w:val="auto"/>
              </w:rPr>
            </w:pPr>
            <w:r>
              <w:rPr>
                <w:rFonts w:ascii="Arial" w:cs="Arial" w:eastAsia="Arial" w:hAnsi="Arial"/>
                <w:sz w:val="10"/>
                <w:szCs w:val="10"/>
                <w:color w:val="auto"/>
              </w:rPr>
              <w:t>109</w:t>
            </w:r>
          </w:p>
        </w:tc>
        <w:tc>
          <w:tcPr>
            <w:tcW w:w="900" w:type="dxa"/>
            <w:vAlign w:val="bottom"/>
          </w:tcPr>
          <w:p>
            <w:pPr>
              <w:jc w:val="right"/>
              <w:spacing w:after="0"/>
              <w:rPr>
                <w:sz w:val="20"/>
                <w:szCs w:val="20"/>
                <w:color w:val="auto"/>
              </w:rPr>
            </w:pPr>
            <w:r>
              <w:rPr>
                <w:rFonts w:ascii="Arial" w:cs="Arial" w:eastAsia="Arial" w:hAnsi="Arial"/>
                <w:sz w:val="10"/>
                <w:szCs w:val="10"/>
                <w:color w:val="auto"/>
              </w:rPr>
              <w:t>327</w:t>
            </w:r>
          </w:p>
        </w:tc>
      </w:tr>
      <w:tr>
        <w:trPr>
          <w:trHeight w:val="130"/>
        </w:trPr>
        <w:tc>
          <w:tcPr>
            <w:tcW w:w="70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Adjusted Earnings</w:t>
            </w:r>
          </w:p>
        </w:tc>
        <w:tc>
          <w:tcPr>
            <w:tcW w:w="14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(3,412)</w:t>
            </w:r>
          </w:p>
        </w:tc>
        <w:tc>
          <w:tcPr>
            <w:tcW w:w="1960" w:type="dxa"/>
            <w:vAlign w:val="bottom"/>
            <w:tcBorders>
              <w:bottom w:val="single" w:sz="8" w:color="auto"/>
            </w:tcBorders>
          </w:tcPr>
          <w:p>
            <w:pPr>
              <w:jc w:val="right"/>
              <w:ind w:right="513"/>
              <w:spacing w:after="0"/>
              <w:rPr>
                <w:sz w:val="20"/>
                <w:szCs w:val="20"/>
                <w:color w:val="auto"/>
              </w:rPr>
            </w:pPr>
            <w:r>
              <w:rPr>
                <w:rFonts w:ascii="Arial" w:cs="Arial" w:eastAsia="Arial" w:hAnsi="Arial"/>
                <w:sz w:val="10"/>
                <w:szCs w:val="10"/>
                <w:color w:val="auto"/>
              </w:rPr>
              <w:t>(3,383)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(1,806)</w:t>
            </w:r>
          </w:p>
        </w:tc>
      </w:tr>
    </w:tbl>
    <w:p>
      <w:pPr>
        <w:spacing w:after="0" w:line="56" w:lineRule="exact"/>
        <w:rPr>
          <w:sz w:val="20"/>
          <w:szCs w:val="20"/>
          <w:color w:val="auto"/>
        </w:rPr>
      </w:pPr>
    </w:p>
    <w:p>
      <w:pPr>
        <w:ind w:left="128" w:hanging="128"/>
        <w:spacing w:after="0"/>
        <w:tabs>
          <w:tab w:leader="none" w:pos="128" w:val="left"/>
        </w:tabs>
        <w:numPr>
          <w:ilvl w:val="0"/>
          <w:numId w:val="56"/>
        </w:numPr>
        <w:rPr>
          <w:rFonts w:ascii="Arial" w:cs="Arial" w:eastAsia="Arial" w:hAnsi="Arial"/>
          <w:sz w:val="7"/>
          <w:szCs w:val="7"/>
          <w:color w:val="auto"/>
        </w:rPr>
      </w:pPr>
      <w:r>
        <w:rPr>
          <w:rFonts w:ascii="Arial" w:cs="Arial" w:eastAsia="Arial" w:hAnsi="Arial"/>
          <w:sz w:val="7"/>
          <w:szCs w:val="7"/>
          <w:color w:val="auto"/>
        </w:rPr>
        <w:t>Mainly Shell’s interest expense (excluding accretion expense) and interest income.</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56"/>
        </w:numPr>
        <w:rPr>
          <w:rFonts w:ascii="Arial" w:cs="Arial" w:eastAsia="Arial" w:hAnsi="Arial"/>
          <w:sz w:val="6"/>
          <w:szCs w:val="6"/>
          <w:color w:val="auto"/>
        </w:rPr>
      </w:pPr>
      <w:r>
        <w:rPr>
          <w:rFonts w:ascii="Arial" w:cs="Arial" w:eastAsia="Arial" w:hAnsi="Arial"/>
          <w:sz w:val="6"/>
          <w:szCs w:val="6"/>
          <w:color w:val="auto"/>
        </w:rPr>
        <w:t>Other earnings mainly comprise net foreign exchange gains and losses on financing activities, headquarters and central functions’ costs not recovered from business segments, and net gains on sale of properties. This also includes Shell's share of joint ventures and associates' interest income/(expense) and net foreign exchange gains/(losses) on financing activities.</w:t>
      </w:r>
    </w:p>
    <w:p>
      <w:pPr>
        <w:sectPr>
          <w:pgSz w:w="11900" w:h="16838" w:orient="portrait"/>
          <w:cols w:equalWidth="0" w:num="1">
            <w:col w:w="11308"/>
          </w:cols>
          <w:pgMar w:left="292" w:top="721" w:right="299" w:bottom="1440" w:gutter="0" w:footer="0" w:header="0"/>
        </w:sectPr>
      </w:pPr>
    </w:p>
    <w:p>
      <w:pPr>
        <w:spacing w:after="0" w:line="170" w:lineRule="exact"/>
        <w:rPr>
          <w:sz w:val="20"/>
          <w:szCs w:val="20"/>
          <w:color w:val="auto"/>
        </w:rPr>
      </w:pPr>
    </w:p>
    <w:p>
      <w:pPr>
        <w:ind w:left="8"/>
        <w:spacing w:after="0"/>
        <w:rPr>
          <w:sz w:val="20"/>
          <w:szCs w:val="20"/>
          <w:color w:val="auto"/>
        </w:rPr>
      </w:pPr>
      <w:r>
        <w:rPr>
          <w:rFonts w:ascii="Arial" w:cs="Arial" w:eastAsia="Arial" w:hAnsi="Arial"/>
          <w:sz w:val="11"/>
          <w:szCs w:val="11"/>
          <w:color w:val="auto"/>
        </w:rPr>
        <w:t>OVERVIEW</w:t>
      </w:r>
    </w:p>
    <w:p>
      <w:pPr>
        <w:ind w:left="8" w:right="180"/>
        <w:spacing w:after="0" w:line="229" w:lineRule="auto"/>
        <w:rPr>
          <w:sz w:val="20"/>
          <w:szCs w:val="20"/>
          <w:color w:val="auto"/>
        </w:rPr>
      </w:pPr>
      <w:r>
        <w:rPr>
          <w:rFonts w:ascii="Arial" w:cs="Arial" w:eastAsia="Arial" w:hAnsi="Arial"/>
          <w:sz w:val="10"/>
          <w:szCs w:val="10"/>
          <w:color w:val="auto"/>
        </w:rPr>
        <w:t>The Corporate segment covers the non-operating activities supporting Shell. It comprises Shell’s holdings and treasury organisation, self-insurance activities and headquarters and central functions. All finance expense and income and related taxes are included in Corporate segment earnings rather than in the earnings of business segments.</w:t>
      </w:r>
    </w:p>
    <w:p>
      <w:pPr>
        <w:spacing w:after="0" w:line="149" w:lineRule="exact"/>
        <w:rPr>
          <w:sz w:val="20"/>
          <w:szCs w:val="20"/>
          <w:color w:val="auto"/>
        </w:rPr>
      </w:pPr>
    </w:p>
    <w:p>
      <w:pPr>
        <w:ind w:left="8" w:right="100"/>
        <w:spacing w:after="0" w:line="234" w:lineRule="auto"/>
        <w:rPr>
          <w:sz w:val="20"/>
          <w:szCs w:val="20"/>
          <w:color w:val="auto"/>
        </w:rPr>
      </w:pPr>
      <w:r>
        <w:rPr>
          <w:rFonts w:ascii="Arial" w:cs="Arial" w:eastAsia="Arial" w:hAnsi="Arial"/>
          <w:sz w:val="10"/>
          <w:szCs w:val="10"/>
          <w:color w:val="auto"/>
        </w:rPr>
        <w:t>The holdings and treasury organisation manages many of the Corporate entities. It is the point of contact between Shell and external capital markets, conducting a wide range of transactions, such as raising debt instruments and transacting foreign exchange. Treasury centres in London and Singapore support these activities.</w:t>
      </w:r>
    </w:p>
    <w:p>
      <w:pPr>
        <w:spacing w:after="0" w:line="150" w:lineRule="exact"/>
        <w:rPr>
          <w:sz w:val="20"/>
          <w:szCs w:val="20"/>
          <w:color w:val="auto"/>
        </w:rPr>
      </w:pPr>
    </w:p>
    <w:p>
      <w:pPr>
        <w:ind w:left="8"/>
        <w:spacing w:after="0" w:line="307" w:lineRule="auto"/>
        <w:rPr>
          <w:sz w:val="20"/>
          <w:szCs w:val="20"/>
          <w:color w:val="auto"/>
        </w:rPr>
      </w:pPr>
      <w:r>
        <w:rPr>
          <w:rFonts w:ascii="Arial" w:cs="Arial" w:eastAsia="Arial" w:hAnsi="Arial"/>
          <w:sz w:val="8"/>
          <w:szCs w:val="8"/>
          <w:color w:val="auto"/>
        </w:rPr>
        <w:t>Headquarters and central functions provide business support in communications, finance, health, human resources, information technology, legal services, real estate and security. They also provide support for shareholder-related activities. The central functions are supported by business service centres, which process transactions, manage data and produce statutory returns, among other services. Most headquarters and central-function costs are recovered from the business segments. Costs that are not recovered are retained in Corporate.</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1"/>
          <w:szCs w:val="11"/>
          <w:color w:val="auto"/>
        </w:rPr>
        <w:t>EARNINGS 2020-2018</w:t>
      </w:r>
    </w:p>
    <w:p>
      <w:pPr>
        <w:ind w:left="8"/>
        <w:spacing w:after="0"/>
        <w:rPr>
          <w:sz w:val="20"/>
          <w:szCs w:val="20"/>
          <w:color w:val="auto"/>
        </w:rPr>
      </w:pPr>
      <w:r>
        <w:rPr>
          <w:rFonts w:ascii="Arial" w:cs="Arial" w:eastAsia="Arial" w:hAnsi="Arial"/>
          <w:sz w:val="8"/>
          <w:szCs w:val="8"/>
          <w:color w:val="auto"/>
        </w:rPr>
        <w:t>Segment earnings in 2020 were an expense of $2,952 million, compared with $3,273 million in 2019 and $1,479 million in 2018.</w:t>
      </w:r>
    </w:p>
    <w:p>
      <w:pPr>
        <w:spacing w:after="0" w:line="170" w:lineRule="exact"/>
        <w:rPr>
          <w:sz w:val="20"/>
          <w:szCs w:val="20"/>
          <w:color w:val="auto"/>
        </w:rPr>
      </w:pPr>
    </w:p>
    <w:p>
      <w:pPr>
        <w:ind w:left="8" w:right="80"/>
        <w:spacing w:after="0" w:line="320" w:lineRule="auto"/>
        <w:rPr>
          <w:sz w:val="20"/>
          <w:szCs w:val="20"/>
          <w:color w:val="auto"/>
        </w:rPr>
      </w:pPr>
      <w:r>
        <w:rPr>
          <w:rFonts w:ascii="Arial" w:cs="Arial" w:eastAsia="Arial" w:hAnsi="Arial"/>
          <w:sz w:val="8"/>
          <w:szCs w:val="8"/>
          <w:color w:val="auto"/>
        </w:rPr>
        <w:t>Net interest decreased by $89 million compared with 2019. This was primarily due to a decrease in interest expense following reductions in interest rates, partly offset by a reduction in interest income generated on cash balances. In 2019, net interest increased by $1,005 million compared with 2018. This was primarily due to the adoption of IFRS 16 and reduced capitalised interest.</w:t>
      </w:r>
    </w:p>
    <w:p>
      <w:pPr>
        <w:spacing w:after="0" w:line="118" w:lineRule="exact"/>
        <w:rPr>
          <w:sz w:val="20"/>
          <w:szCs w:val="20"/>
          <w:color w:val="auto"/>
        </w:rPr>
      </w:pPr>
    </w:p>
    <w:p>
      <w:pPr>
        <w:ind w:left="8"/>
        <w:spacing w:after="0" w:line="300" w:lineRule="auto"/>
        <w:rPr>
          <w:sz w:val="20"/>
          <w:szCs w:val="20"/>
          <w:color w:val="auto"/>
        </w:rPr>
      </w:pPr>
      <w:r>
        <w:rPr>
          <w:rFonts w:ascii="Arial" w:cs="Arial" w:eastAsia="Arial" w:hAnsi="Arial"/>
          <w:sz w:val="8"/>
          <w:szCs w:val="8"/>
          <w:color w:val="auto"/>
        </w:rPr>
        <w:t>Taxation and other earnings increased by $233 million in 2020, compared with 2019 This largely reflected favourable deferred tax impacts due to the strengthening Brazilian real on financing positions and a reduction in Shell’s share of financing expenses from joint ventures and associates, partly offset by a foreign exchange loss from adverse exchange rate movements. In 2019, taxation and other earnings decreased by $790 million compared with 2018, because of reduced tax credits from financing and one-off charges, and unfavourable exchange rate movements producing net foreign exchange losses.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140"/>
        <w:spacing w:after="0" w:line="234" w:lineRule="auto"/>
        <w:rPr>
          <w:sz w:val="20"/>
          <w:szCs w:val="20"/>
          <w:color w:val="auto"/>
        </w:rPr>
      </w:pPr>
      <w:r>
        <w:rPr>
          <w:rFonts w:ascii="Arial" w:cs="Arial" w:eastAsia="Arial" w:hAnsi="Arial"/>
          <w:sz w:val="10"/>
          <w:szCs w:val="10"/>
          <w:color w:val="auto"/>
        </w:rPr>
        <w:t>developments and actively share information on threats and security incidents. Shell employees and contract staff are subject to mandatory courses and regular awareness campaigns aimed at protecting us against cyber-threats. We periodically test and adapt cyber-security response processes and seek to enhance our security monitoring capability.</w:t>
      </w:r>
    </w:p>
    <w:p>
      <w:pPr>
        <w:spacing w:after="0" w:line="150" w:lineRule="exact"/>
        <w:rPr>
          <w:sz w:val="20"/>
          <w:szCs w:val="20"/>
          <w:color w:val="auto"/>
        </w:rPr>
      </w:pPr>
    </w:p>
    <w:p>
      <w:pPr>
        <w:ind w:right="160"/>
        <w:spacing w:after="0" w:line="294" w:lineRule="auto"/>
        <w:rPr>
          <w:sz w:val="20"/>
          <w:szCs w:val="20"/>
          <w:color w:val="auto"/>
        </w:rPr>
      </w:pPr>
      <w:r>
        <w:rPr>
          <w:rFonts w:ascii="Arial" w:cs="Arial" w:eastAsia="Arial" w:hAnsi="Arial"/>
          <w:sz w:val="8"/>
          <w:szCs w:val="8"/>
          <w:color w:val="auto"/>
        </w:rPr>
        <w:t>Given our dependence on IT systems for our operations and the increasing role of digital technologies across our business, we are aware that cyber-security attacks could cause significant harm to Shell in the form of loss of productivity, loss of intellectual property, regulatory fines and/or reputational damage. As a result, we continuously measure and, where required, further improve our cyber-security capabilities to reduce the likelihood of successful cyber-attacks. Our cyber-security capabilities are embedded into our IT systems, and our IT landscape is protected by various detective and protective technologies. The identification and assessment capabilities are built into our support processes and adhere to industry best practices. The security of IT services, operated by external IT companies, is managed through contractual clauses and additionally through formal supplier assurance reports for critical IT services.</w:t>
      </w:r>
    </w:p>
    <w:p>
      <w:pPr>
        <w:spacing w:after="0" w:line="129" w:lineRule="exact"/>
        <w:rPr>
          <w:sz w:val="20"/>
          <w:szCs w:val="20"/>
          <w:color w:val="auto"/>
        </w:rPr>
      </w:pPr>
    </w:p>
    <w:p>
      <w:pPr>
        <w:ind w:right="140"/>
        <w:spacing w:after="0" w:line="320" w:lineRule="auto"/>
        <w:rPr>
          <w:sz w:val="20"/>
          <w:szCs w:val="20"/>
          <w:color w:val="auto"/>
        </w:rPr>
      </w:pPr>
      <w:r>
        <w:rPr>
          <w:rFonts w:ascii="Arial" w:cs="Arial" w:eastAsia="Arial" w:hAnsi="Arial"/>
          <w:sz w:val="8"/>
          <w:szCs w:val="8"/>
          <w:color w:val="auto"/>
        </w:rPr>
        <w:t>Shell is frequently subjected to cyber-attacks and the pandemic in 2020 caused an increase in such activity. COVID-19 necessitated a switch from office to remote working, which changed and increased the attack surface. Shell’s CyberDefence Team responded by enhancing cyber-security controls for remote connectivity, strengthening its monitoring/detection, and taking additional measures to improve cyber-awareness.</w:t>
      </w:r>
    </w:p>
    <w:p>
      <w:pPr>
        <w:spacing w:after="0" w:line="118" w:lineRule="exact"/>
        <w:rPr>
          <w:sz w:val="20"/>
          <w:szCs w:val="20"/>
          <w:color w:val="auto"/>
        </w:rPr>
      </w:pPr>
    </w:p>
    <w:p>
      <w:pPr>
        <w:ind w:right="180"/>
        <w:spacing w:after="0" w:line="300" w:lineRule="auto"/>
        <w:rPr>
          <w:sz w:val="20"/>
          <w:szCs w:val="20"/>
          <w:color w:val="auto"/>
        </w:rPr>
      </w:pPr>
      <w:r>
        <w:rPr>
          <w:rFonts w:ascii="Arial" w:cs="Arial" w:eastAsia="Arial" w:hAnsi="Arial"/>
          <w:sz w:val="8"/>
          <w:szCs w:val="8"/>
          <w:color w:val="auto"/>
        </w:rPr>
        <w:t>In 2020, malicious actors infiltrated several companies and government agencies through a supply chain attack via SolarWinds Orion software. They injected malware into an update that was distributed to SolarWinds' customers globally, allowing the actors to access SolarWinds systems and from there attempt to access other systems. Shell uses SolarWinds software. We detected the malicious SolarWinds applications in our environment, and isolated and removed them. No evidence has been found that any Shell systems were accessed by the attackers. Shell has followed the US Cybersecurity and Infrastructure Security Agency’s guidance to rebuild and/or patch affected systems.</w:t>
      </w:r>
    </w:p>
    <w:p>
      <w:pPr>
        <w:spacing w:after="0" w:line="127" w:lineRule="exact"/>
        <w:rPr>
          <w:sz w:val="20"/>
          <w:szCs w:val="20"/>
          <w:color w:val="auto"/>
        </w:rPr>
      </w:pPr>
    </w:p>
    <w:p>
      <w:pPr>
        <w:ind w:right="280"/>
        <w:spacing w:after="0" w:line="320" w:lineRule="auto"/>
        <w:rPr>
          <w:sz w:val="20"/>
          <w:szCs w:val="20"/>
          <w:color w:val="auto"/>
        </w:rPr>
      </w:pPr>
      <w:r>
        <w:rPr>
          <w:rFonts w:ascii="Arial" w:cs="Arial" w:eastAsia="Arial" w:hAnsi="Arial"/>
          <w:sz w:val="8"/>
          <w:szCs w:val="8"/>
          <w:color w:val="auto"/>
        </w:rPr>
        <w:t>In 2020, none of the cyber-security events led to known breaches of our business-critical IT landscape and, as such, did not result in any material business impact. When significant incidents happen, they are addressed through a robust incident management framework and, if needed, will result in appropriate follow-up actions, including notifications towards regulators. See "Risk factors" on page 20.</w:t>
      </w:r>
    </w:p>
    <w:p>
      <w:pPr>
        <w:spacing w:after="0" w:line="322" w:lineRule="exact"/>
        <w:rPr>
          <w:sz w:val="20"/>
          <w:szCs w:val="20"/>
          <w:color w:val="auto"/>
        </w:rPr>
      </w:pPr>
    </w:p>
    <w:p>
      <w:pPr>
        <w:sectPr>
          <w:pgSz w:w="11900" w:h="16838" w:orient="portrait"/>
          <w:cols w:equalWidth="0" w:num="2">
            <w:col w:w="5448" w:space="280"/>
            <w:col w:w="5580"/>
          </w:cols>
          <w:pgMar w:left="292" w:top="721" w:right="299" w:bottom="1440" w:gutter="0" w:footer="0" w:header="0"/>
          <w:type w:val="continuous"/>
        </w:sectPr>
      </w:pPr>
    </w:p>
    <w:p>
      <w:pPr>
        <w:ind w:left="8"/>
        <w:spacing w:after="0"/>
        <w:rPr>
          <w:sz w:val="20"/>
          <w:szCs w:val="20"/>
          <w:color w:val="auto"/>
        </w:rPr>
      </w:pPr>
      <w:r>
        <w:rPr>
          <w:rFonts w:ascii="Arial" w:cs="Arial" w:eastAsia="Arial" w:hAnsi="Arial"/>
          <w:sz w:val="11"/>
          <w:szCs w:val="11"/>
          <w:color w:val="auto"/>
        </w:rPr>
        <w:t>SELF-INSURANCE</w:t>
      </w:r>
    </w:p>
    <w:p>
      <w:pPr>
        <w:ind w:left="8"/>
        <w:spacing w:after="0" w:line="225" w:lineRule="auto"/>
        <w:rPr>
          <w:sz w:val="20"/>
          <w:szCs w:val="20"/>
          <w:color w:val="auto"/>
        </w:rPr>
      </w:pPr>
      <w:r>
        <w:rPr>
          <w:rFonts w:ascii="Arial" w:cs="Arial" w:eastAsia="Arial" w:hAnsi="Arial"/>
          <w:sz w:val="10"/>
          <w:szCs w:val="10"/>
          <w:color w:val="auto"/>
        </w:rPr>
        <w:t>We mainly self-insure our risk exposure. Capital is set aside to meet self-insurance obligations (see “Risk factors” on page 21). We seek to</w:t>
      </w:r>
    </w:p>
    <w:p>
      <w:pPr>
        <w:ind w:left="8"/>
        <w:spacing w:after="0" w:line="226" w:lineRule="auto"/>
        <w:rPr>
          <w:sz w:val="20"/>
          <w:szCs w:val="20"/>
          <w:color w:val="auto"/>
        </w:rPr>
      </w:pPr>
      <w:r>
        <w:rPr>
          <w:rFonts w:ascii="Arial" w:cs="Arial" w:eastAsia="Arial" w:hAnsi="Arial"/>
          <w:sz w:val="10"/>
          <w:szCs w:val="10"/>
          <w:color w:val="auto"/>
        </w:rPr>
        <w:t>ensure this capital is at least as much as would be held in third-party insurance markets. Periodic surveys of key assets provide knowledge</w:t>
      </w:r>
    </w:p>
    <w:p>
      <w:pPr>
        <w:ind w:left="8"/>
        <w:spacing w:after="0" w:line="237" w:lineRule="auto"/>
        <w:rPr>
          <w:sz w:val="20"/>
          <w:szCs w:val="20"/>
          <w:color w:val="auto"/>
        </w:rPr>
      </w:pPr>
      <w:r>
        <w:rPr>
          <w:rFonts w:ascii="Arial" w:cs="Arial" w:eastAsia="Arial" w:hAnsi="Arial"/>
          <w:sz w:val="10"/>
          <w:szCs w:val="10"/>
          <w:color w:val="auto"/>
        </w:rPr>
        <w:t>and best practices aimed at reducing exposure to hazards. Follow-up actions are monitored to completion.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1"/>
          <w:szCs w:val="11"/>
          <w:color w:val="auto"/>
        </w:rPr>
        <w:t>INFORMATION TECHNOLOGY AND CYBER-SECURITY</w:t>
      </w:r>
    </w:p>
    <w:p>
      <w:pPr>
        <w:ind w:left="8"/>
        <w:spacing w:after="0" w:line="225" w:lineRule="auto"/>
        <w:rPr>
          <w:sz w:val="20"/>
          <w:szCs w:val="20"/>
          <w:color w:val="auto"/>
        </w:rPr>
      </w:pPr>
      <w:r>
        <w:rPr>
          <w:rFonts w:ascii="Arial" w:cs="Arial" w:eastAsia="Arial" w:hAnsi="Arial"/>
          <w:sz w:val="10"/>
          <w:szCs w:val="10"/>
          <w:color w:val="auto"/>
        </w:rPr>
        <w:t>Given our digitalisation efforts and increasing reliance on information technology (IT) systems for our operations, we continually monitor</w:t>
      </w:r>
    </w:p>
    <w:p>
      <w:pPr>
        <w:ind w:left="8"/>
        <w:spacing w:after="0" w:line="237" w:lineRule="auto"/>
        <w:rPr>
          <w:sz w:val="20"/>
          <w:szCs w:val="20"/>
          <w:color w:val="auto"/>
        </w:rPr>
      </w:pPr>
      <w:r>
        <w:rPr>
          <w:rFonts w:ascii="Arial" w:cs="Arial" w:eastAsia="Arial" w:hAnsi="Arial"/>
          <w:sz w:val="10"/>
          <w:szCs w:val="10"/>
          <w:color w:val="auto"/>
        </w:rPr>
        <w:t>external</w:t>
      </w:r>
    </w:p>
    <w:p>
      <w:pPr>
        <w:spacing w:after="0" w:line="343"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60</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22"/>
          <w:szCs w:val="22"/>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141" w:lineRule="exact"/>
        <w:rPr>
          <w:sz w:val="20"/>
          <w:szCs w:val="20"/>
          <w:color w:val="auto"/>
        </w:rPr>
      </w:pPr>
    </w:p>
    <w:p>
      <w:pPr>
        <w:spacing w:after="0" w:line="232" w:lineRule="auto"/>
        <w:rPr>
          <w:sz w:val="20"/>
          <w:szCs w:val="20"/>
          <w:color w:val="auto"/>
        </w:rPr>
      </w:pPr>
      <w:r>
        <w:rPr>
          <w:rFonts w:ascii="Arial" w:cs="Arial" w:eastAsia="Arial" w:hAnsi="Arial"/>
          <w:sz w:val="10"/>
          <w:szCs w:val="10"/>
          <w:color w:val="auto"/>
        </w:rPr>
        <w:t>We manage our businesses to deliver strong cash flows to fund investment for profitable growth. Management's priorities for applying Shell's cash are first the reduction of net debt to $65 billion and, on achieving this milestone, distributing a total of 20-30% of cash flow from operations to shareholders. Remaining cash will be allocated to disciplined and measured capital expenditure growth and further debt reduction.</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auto"/>
        </w:rPr>
        <w:t>working capital purposes, we issued CP. We believe our working capital is sufficient for current requirements.</w:t>
      </w:r>
    </w:p>
    <w:p>
      <w:pPr>
        <w:spacing w:after="0" w:line="155" w:lineRule="exact"/>
        <w:rPr>
          <w:sz w:val="20"/>
          <w:szCs w:val="20"/>
          <w:color w:val="auto"/>
        </w:rPr>
      </w:pPr>
    </w:p>
    <w:p>
      <w:pPr>
        <w:ind w:right="180"/>
        <w:spacing w:after="0" w:line="358" w:lineRule="auto"/>
        <w:rPr>
          <w:sz w:val="20"/>
          <w:szCs w:val="20"/>
          <w:color w:val="auto"/>
        </w:rPr>
      </w:pPr>
      <w:r>
        <w:rPr>
          <w:rFonts w:ascii="Arial" w:cs="Arial" w:eastAsia="Arial" w:hAnsi="Arial"/>
          <w:sz w:val="8"/>
          <w:szCs w:val="8"/>
          <w:color w:val="auto"/>
        </w:rPr>
        <w:t>While our subsidiaries are subject to restrictions, such as foreign withholding taxes on the transfer of funds in the form of cash dividends, loans or advances, such restrictions are not expected to have a material impact on our ability to meet our cash obligations.</w:t>
      </w:r>
    </w:p>
    <w:p>
      <w:pPr>
        <w:spacing w:after="0" w:line="57" w:lineRule="exact"/>
        <w:rPr>
          <w:sz w:val="20"/>
          <w:szCs w:val="20"/>
          <w:color w:val="auto"/>
        </w:rPr>
      </w:pPr>
    </w:p>
    <w:p>
      <w:pPr>
        <w:sectPr>
          <w:pgSz w:w="11900" w:h="16838" w:orient="portrait"/>
          <w:cols w:equalWidth="0" w:num="2">
            <w:col w:w="5420" w:space="300"/>
            <w:col w:w="5460"/>
          </w:cols>
          <w:pgMar w:left="300" w:top="721" w:right="419" w:bottom="1440" w:gutter="0" w:footer="0" w:header="0"/>
        </w:sectPr>
      </w:pPr>
    </w:p>
    <w:p>
      <w:pPr>
        <w:spacing w:after="0"/>
        <w:rPr>
          <w:sz w:val="20"/>
          <w:szCs w:val="20"/>
          <w:color w:val="auto"/>
        </w:rPr>
      </w:pPr>
      <w:r>
        <w:rPr>
          <w:rFonts w:ascii="Arial" w:cs="Arial" w:eastAsia="Arial" w:hAnsi="Arial"/>
          <w:sz w:val="11"/>
          <w:szCs w:val="11"/>
          <w:color w:val="auto"/>
        </w:rPr>
        <w:t>FINANCIAL CONDITION AND LIQUIDITY</w:t>
      </w:r>
    </w:p>
    <w:p>
      <w:pPr>
        <w:ind w:right="160"/>
        <w:spacing w:after="0" w:line="289" w:lineRule="auto"/>
        <w:rPr>
          <w:sz w:val="20"/>
          <w:szCs w:val="20"/>
          <w:color w:val="auto"/>
        </w:rPr>
      </w:pPr>
      <w:r>
        <w:rPr>
          <w:rFonts w:ascii="Arial" w:cs="Arial" w:eastAsia="Arial" w:hAnsi="Arial"/>
          <w:sz w:val="8"/>
          <w:szCs w:val="8"/>
          <w:color w:val="auto"/>
        </w:rPr>
        <w:t>Despite the weak macroeconomic and commodity price environment during the COVID-19 pandemic, Shell Group generated cash flow from operations of $34.1 billion and free cash flow of $20.8 billion in 2020. Through the course of the year, Shell took decisive actions (including reducing costs, rebasing the dividends and not continuing with the next tranche of the share buyback programme following completion of the seventh tranche) to increase liquidity and underpin the strength of the balance sheet, positioning the business to navigate the challenging environment and supporting long-term value creation. Reflecting mitigating actions taken, net debt decreased to $75.4 billion at December 31, 2020 (December 31, 2019: $79.1 billion). Gearing increased to 32.2% at December 31, 2020, compared with 29.3% at December 31, 2019 due to the reduction in equity mainly driven by lower earnings in 2020. Note 14 to the Consolidated Financial Statements on pages 188-190 provides information on our debt arrangements, including net debt and gearing definitions.</w:t>
      </w:r>
    </w:p>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LIQUIDITY</w:t>
      </w:r>
    </w:p>
    <w:p>
      <w:pPr>
        <w:ind w:right="220"/>
        <w:spacing w:after="0" w:line="229" w:lineRule="auto"/>
        <w:rPr>
          <w:sz w:val="20"/>
          <w:szCs w:val="20"/>
          <w:color w:val="auto"/>
        </w:rPr>
      </w:pPr>
      <w:r>
        <w:rPr>
          <w:rFonts w:ascii="Arial" w:cs="Arial" w:eastAsia="Arial" w:hAnsi="Arial"/>
          <w:sz w:val="10"/>
          <w:szCs w:val="10"/>
          <w:color w:val="auto"/>
        </w:rPr>
        <w:t>We satisfy our funding and working capital requirements from the cash generated from our operations, the issuance of debt and divestments. In 2020, access to the international debt capital markets remained strong, with our debt principally financed from these markets through central debt programmes consisting of:</w:t>
      </w:r>
    </w:p>
    <w:p>
      <w:pPr>
        <w:spacing w:after="0" w:line="149" w:lineRule="exact"/>
        <w:rPr>
          <w:sz w:val="20"/>
          <w:szCs w:val="20"/>
          <w:color w:val="auto"/>
        </w:rPr>
      </w:pPr>
    </w:p>
    <w:p>
      <w:pPr>
        <w:ind w:left="360" w:hanging="314"/>
        <w:spacing w:after="0"/>
        <w:tabs>
          <w:tab w:leader="none" w:pos="360" w:val="left"/>
        </w:tabs>
        <w:numPr>
          <w:ilvl w:val="0"/>
          <w:numId w:val="57"/>
        </w:numPr>
        <w:rPr>
          <w:rFonts w:ascii="Arial" w:cs="Arial" w:eastAsia="Arial" w:hAnsi="Arial"/>
          <w:sz w:val="10"/>
          <w:szCs w:val="10"/>
          <w:color w:val="auto"/>
        </w:rPr>
      </w:pPr>
      <w:r>
        <w:rPr>
          <w:rFonts w:ascii="Arial" w:cs="Arial" w:eastAsia="Arial" w:hAnsi="Arial"/>
          <w:sz w:val="10"/>
          <w:szCs w:val="10"/>
          <w:color w:val="auto"/>
        </w:rPr>
        <w:t>a $10 billion global commercial paper (CP) programme, with maturities not exceeding 270 days;</w:t>
      </w:r>
    </w:p>
    <w:p>
      <w:pPr>
        <w:spacing w:after="0" w:line="1" w:lineRule="exact"/>
        <w:rPr>
          <w:rFonts w:ascii="Arial" w:cs="Arial" w:eastAsia="Arial" w:hAnsi="Arial"/>
          <w:sz w:val="10"/>
          <w:szCs w:val="10"/>
          <w:color w:val="auto"/>
        </w:rPr>
      </w:pPr>
    </w:p>
    <w:p>
      <w:pPr>
        <w:ind w:left="360" w:hanging="314"/>
        <w:spacing w:after="0" w:line="225" w:lineRule="auto"/>
        <w:tabs>
          <w:tab w:leader="none" w:pos="360" w:val="left"/>
        </w:tabs>
        <w:numPr>
          <w:ilvl w:val="0"/>
          <w:numId w:val="57"/>
        </w:numPr>
        <w:rPr>
          <w:rFonts w:ascii="Arial" w:cs="Arial" w:eastAsia="Arial" w:hAnsi="Arial"/>
          <w:sz w:val="10"/>
          <w:szCs w:val="10"/>
          <w:color w:val="auto"/>
        </w:rPr>
      </w:pPr>
      <w:r>
        <w:rPr>
          <w:rFonts w:ascii="Arial" w:cs="Arial" w:eastAsia="Arial" w:hAnsi="Arial"/>
          <w:sz w:val="10"/>
          <w:szCs w:val="10"/>
          <w:color w:val="auto"/>
        </w:rPr>
        <w:t>a $10 billion US CP programme, with maturities not exceeding 397 days;</w:t>
      </w:r>
    </w:p>
    <w:p>
      <w:pPr>
        <w:ind w:left="360" w:hanging="314"/>
        <w:spacing w:after="0"/>
        <w:tabs>
          <w:tab w:leader="none" w:pos="360" w:val="left"/>
        </w:tabs>
        <w:numPr>
          <w:ilvl w:val="0"/>
          <w:numId w:val="57"/>
        </w:numPr>
        <w:rPr>
          <w:rFonts w:ascii="Arial" w:cs="Arial" w:eastAsia="Arial" w:hAnsi="Arial"/>
          <w:sz w:val="8"/>
          <w:szCs w:val="8"/>
          <w:color w:val="auto"/>
        </w:rPr>
      </w:pPr>
      <w:r>
        <w:rPr>
          <w:rFonts w:ascii="Arial" w:cs="Arial" w:eastAsia="Arial" w:hAnsi="Arial"/>
          <w:sz w:val="8"/>
          <w:szCs w:val="8"/>
          <w:color w:val="auto"/>
        </w:rPr>
        <w:t>an unlimited Euro medium-term note (EMTN) programme (also referred to as the Multi-Currency Debt Securities Programme); and</w:t>
      </w:r>
    </w:p>
    <w:p>
      <w:pPr>
        <w:spacing w:after="0" w:line="16" w:lineRule="exact"/>
        <w:rPr>
          <w:rFonts w:ascii="Arial" w:cs="Arial" w:eastAsia="Arial" w:hAnsi="Arial"/>
          <w:sz w:val="8"/>
          <w:szCs w:val="8"/>
          <w:color w:val="auto"/>
        </w:rPr>
      </w:pPr>
    </w:p>
    <w:p>
      <w:pPr>
        <w:ind w:left="360" w:hanging="314"/>
        <w:spacing w:after="0" w:line="236" w:lineRule="auto"/>
        <w:tabs>
          <w:tab w:leader="none" w:pos="360" w:val="left"/>
        </w:tabs>
        <w:numPr>
          <w:ilvl w:val="0"/>
          <w:numId w:val="57"/>
        </w:numPr>
        <w:rPr>
          <w:rFonts w:ascii="Arial" w:cs="Arial" w:eastAsia="Arial" w:hAnsi="Arial"/>
          <w:sz w:val="10"/>
          <w:szCs w:val="10"/>
          <w:color w:val="auto"/>
        </w:rPr>
      </w:pPr>
      <w:r>
        <w:rPr>
          <w:rFonts w:ascii="Arial" w:cs="Arial" w:eastAsia="Arial" w:hAnsi="Arial"/>
          <w:sz w:val="10"/>
          <w:szCs w:val="10"/>
          <w:color w:val="auto"/>
        </w:rPr>
        <w:t>an unlimited US universal shelf (US shelf) registration.</w:t>
      </w:r>
    </w:p>
    <w:p>
      <w:pPr>
        <w:spacing w:after="0" w:line="149" w:lineRule="exact"/>
        <w:rPr>
          <w:sz w:val="20"/>
          <w:szCs w:val="20"/>
          <w:color w:val="auto"/>
        </w:rPr>
      </w:pPr>
    </w:p>
    <w:p>
      <w:pPr>
        <w:jc w:val="both"/>
        <w:ind w:right="360"/>
        <w:spacing w:after="0" w:line="320" w:lineRule="auto"/>
        <w:rPr>
          <w:sz w:val="20"/>
          <w:szCs w:val="20"/>
          <w:color w:val="auto"/>
        </w:rPr>
      </w:pPr>
      <w:r>
        <w:rPr>
          <w:rFonts w:ascii="Arial" w:cs="Arial" w:eastAsia="Arial" w:hAnsi="Arial"/>
          <w:sz w:val="8"/>
          <w:szCs w:val="8"/>
          <w:color w:val="auto"/>
        </w:rPr>
        <w:t>All these CP, EMTN and US shelf issuances are issued by Shell International Finance B.V., the issuance company for Shell, with its debt being guaranteed by Royal Dutch Shell plc (the Company). We plan to file a new US shelf registration statement with the Securities and Exchange Commission shortly after the filing of our Annual Report on Form 20-F.</w:t>
      </w:r>
    </w:p>
    <w:p>
      <w:pPr>
        <w:spacing w:after="0" w:line="118" w:lineRule="exact"/>
        <w:rPr>
          <w:sz w:val="20"/>
          <w:szCs w:val="20"/>
          <w:color w:val="auto"/>
        </w:rPr>
      </w:pPr>
    </w:p>
    <w:p>
      <w:pPr>
        <w:ind w:right="240"/>
        <w:spacing w:after="0" w:line="294" w:lineRule="auto"/>
        <w:rPr>
          <w:sz w:val="20"/>
          <w:szCs w:val="20"/>
          <w:color w:val="auto"/>
        </w:rPr>
      </w:pPr>
      <w:r>
        <w:rPr>
          <w:rFonts w:ascii="Arial" w:cs="Arial" w:eastAsia="Arial" w:hAnsi="Arial"/>
          <w:sz w:val="8"/>
          <w:szCs w:val="8"/>
          <w:color w:val="auto"/>
        </w:rPr>
        <w:t>We also maintain committed credit facilities. The core facilities, totalling $10 billion, were extended in December 2020 with $2 billion now expiring in 2021 and $8 billion in 2025. Each facility includes a further one-year extension option at the discretion of each lender. Both remained undrawn at December 31, 2020. These core facilities and internally available liquidity provide back-up coverage for our CP programmes. In addition, in April 2020, to increase liquidity amid COVID-19-related uncertainties, Shell entered into a dual currency $7.2 billion and EUR 4.4 billion revolving credit facility expiring in April 2021, with two six-month extension options at our discretion. This facility remains undrawn. The extension options have not been exercised, and the facility will expire in April 2021. Other than certain borrowing by local subsidiaries, we do not have any other committed credit facilities.</w:t>
      </w:r>
    </w:p>
    <w:p>
      <w:pPr>
        <w:spacing w:after="0" w:line="129" w:lineRule="exact"/>
        <w:rPr>
          <w:sz w:val="20"/>
          <w:szCs w:val="20"/>
          <w:color w:val="auto"/>
        </w:rPr>
      </w:pPr>
    </w:p>
    <w:p>
      <w:pPr>
        <w:ind w:right="160"/>
        <w:spacing w:after="0" w:line="320" w:lineRule="auto"/>
        <w:rPr>
          <w:sz w:val="20"/>
          <w:szCs w:val="20"/>
          <w:color w:val="auto"/>
        </w:rPr>
      </w:pPr>
      <w:r>
        <w:rPr>
          <w:rFonts w:ascii="Arial" w:cs="Arial" w:eastAsia="Arial" w:hAnsi="Arial"/>
          <w:sz w:val="8"/>
          <w:szCs w:val="8"/>
          <w:color w:val="auto"/>
        </w:rPr>
        <w:t>Our total debt increased by $11.6 billion to $108 billion at December 31, 2020. The total debt excluding leases will mature as follows: 16% in 2021; 6% in 2022; 7% in 2023; 6% in 2024; and 64% in 2025 and beyond. The portion of debt maturing in 2021 is expected to be repaid from a combination of cash balances, cash generated from operations, divestments and the issuance of new debt.</w:t>
      </w:r>
    </w:p>
    <w:p>
      <w:pPr>
        <w:spacing w:after="0" w:line="118" w:lineRule="exact"/>
        <w:rPr>
          <w:sz w:val="20"/>
          <w:szCs w:val="20"/>
          <w:color w:val="auto"/>
        </w:rPr>
      </w:pPr>
    </w:p>
    <w:p>
      <w:pPr>
        <w:ind w:right="620"/>
        <w:spacing w:after="0" w:line="239" w:lineRule="auto"/>
        <w:rPr>
          <w:sz w:val="20"/>
          <w:szCs w:val="20"/>
          <w:color w:val="auto"/>
        </w:rPr>
      </w:pPr>
      <w:r>
        <w:rPr>
          <w:rFonts w:ascii="Arial" w:cs="Arial" w:eastAsia="Arial" w:hAnsi="Arial"/>
          <w:sz w:val="10"/>
          <w:szCs w:val="10"/>
          <w:color w:val="auto"/>
        </w:rPr>
        <w:t>In 2020, we issued $6.3 billion of bonds under our US shelf registration and $6.7 billion equivalent under our EMTN programme. Periodically, for</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2100" w:type="dxa"/>
            <w:vAlign w:val="bottom"/>
          </w:tcPr>
          <w:p>
            <w:pPr>
              <w:jc w:val="right"/>
              <w:spacing w:after="0"/>
              <w:rPr>
                <w:sz w:val="20"/>
                <w:szCs w:val="20"/>
                <w:color w:val="auto"/>
              </w:rPr>
            </w:pPr>
            <w:r>
              <w:rPr>
                <w:rFonts w:ascii="Arial" w:cs="Arial" w:eastAsia="Arial" w:hAnsi="Arial"/>
                <w:sz w:val="7"/>
                <w:szCs w:val="7"/>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78040" cy="11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MARKET RISK AND CREDIT RISK</w:t>
      </w:r>
    </w:p>
    <w:p>
      <w:pPr>
        <w:spacing w:after="0" w:line="154" w:lineRule="exact"/>
        <w:rPr>
          <w:sz w:val="20"/>
          <w:szCs w:val="20"/>
          <w:color w:val="auto"/>
        </w:rPr>
      </w:pPr>
    </w:p>
    <w:p>
      <w:pPr>
        <w:spacing w:after="0" w:line="307" w:lineRule="auto"/>
        <w:rPr>
          <w:sz w:val="20"/>
          <w:szCs w:val="20"/>
          <w:color w:val="auto"/>
        </w:rPr>
      </w:pPr>
      <w:r>
        <w:rPr>
          <w:rFonts w:ascii="Arial" w:cs="Arial" w:eastAsia="Arial" w:hAnsi="Arial"/>
          <w:sz w:val="8"/>
          <w:szCs w:val="8"/>
          <w:color w:val="auto"/>
        </w:rPr>
        <w:t>We are affected by the global macroeconomic environment as well as financial and commodity market conditions. This exposes us to treasury and trading risks, including liquidity risk, market risk (interest rate risk, foreign exchange risk and commodity price risk) and credit risk. See “Risk factors” on pages 18-22 and Note 19 to the “Consolidated Financial Statements” on pages 198-202. The size and scope of our businesses require a robust financial control framework and effective management of our various risk exposures.</w:t>
      </w:r>
    </w:p>
    <w:p>
      <w:pPr>
        <w:spacing w:after="0" w:line="123" w:lineRule="exact"/>
        <w:rPr>
          <w:sz w:val="20"/>
          <w:szCs w:val="20"/>
          <w:color w:val="auto"/>
        </w:rPr>
      </w:pPr>
    </w:p>
    <w:p>
      <w:pPr>
        <w:ind w:right="80"/>
        <w:spacing w:after="0" w:line="291" w:lineRule="auto"/>
        <w:rPr>
          <w:sz w:val="20"/>
          <w:szCs w:val="20"/>
          <w:color w:val="auto"/>
        </w:rPr>
      </w:pPr>
      <w:r>
        <w:rPr>
          <w:rFonts w:ascii="Arial" w:cs="Arial" w:eastAsia="Arial" w:hAnsi="Arial"/>
          <w:sz w:val="8"/>
          <w:szCs w:val="8"/>
          <w:color w:val="auto"/>
        </w:rPr>
        <w:t>We utilise various financial instruments for managing exposure to commodity price, foreign exchange and interest rate movements. Our treasury and trading operations are highly centralised and seek to manage credit exposures associated with our substantial cash, commodity, foreign exchange and interest rate positions. Our portfolio of cash investments is diversified to avoid concentrating risk in any one instrument, country or counterparty. Other than in exceptional cases, the use of external derivative instruments is confined to specialist trading and central treasury organisations that have appropriate skills, experience, supervision, control and reporting systems. Credit risk policies are in place to ensure that sales of products are made to customers with appropriate creditworthiness, and include detailed credit analysis and monitoring of customers against counterparty credit limits. Where appropriate, netting arrangements, credit insurance, prepayments and collateral are used to manage credit risk. We maintain a committed credit facility. Management believes it has access to sufficient debt funding sources (capital markets) and to undrawn committed borrowing facilities to meet foreseeable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color w:val="auto"/>
        </w:rPr>
        <w:t>PENSION COMMITMENTS</w:t>
      </w:r>
    </w:p>
    <w:p>
      <w:pPr>
        <w:spacing w:after="0" w:line="292" w:lineRule="auto"/>
        <w:rPr>
          <w:sz w:val="20"/>
          <w:szCs w:val="20"/>
          <w:color w:val="auto"/>
        </w:rPr>
      </w:pPr>
      <w:r>
        <w:rPr>
          <w:rFonts w:ascii="Arial" w:cs="Arial" w:eastAsia="Arial" w:hAnsi="Arial"/>
          <w:sz w:val="8"/>
          <w:szCs w:val="8"/>
          <w:color w:val="auto"/>
        </w:rPr>
        <w:t>We have substantial pension commitments, the funding of which is subject to capital market risks (see “Risk factors” on page 21). We address key pension risks in a number of ways. Principal among these is the Pensions Forum, chaired by the Chief Financial Officer, which oversees Shell’s input to pension strategy, policy and operation. A risk committee supports the forum in reviewing the results of assurance processes in respect of pensions risks. In general, local trustees manage the funded defined benefit pension plans, with contributions paid based on independent actuarial valuations in accordance with local regulations. Our total employer contributions to funded and unfunded defined benefit pension plans were $0.6 billion in 2020 and are estimated to be $1.6 billion in 2021 See Note 17 to the Consolidated Financial Statements on pages 193-196.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20" w:type="dxa"/>
            <w:vAlign w:val="bottom"/>
            <w:tcBorders>
              <w:top w:val="single" w:sz="8" w:color="CDCDCD"/>
            </w:tcBorders>
          </w:tcPr>
          <w:p>
            <w:pPr>
              <w:spacing w:after="0"/>
              <w:rPr>
                <w:sz w:val="13"/>
                <w:szCs w:val="13"/>
                <w:color w:val="auto"/>
              </w:rPr>
            </w:pPr>
          </w:p>
        </w:tc>
        <w:tc>
          <w:tcPr>
            <w:tcW w:w="1120" w:type="dxa"/>
            <w:vAlign w:val="bottom"/>
            <w:tcBorders>
              <w:top w:val="single" w:sz="8" w:color="CDCDCD"/>
            </w:tcBorders>
          </w:tcPr>
          <w:p>
            <w:pPr>
              <w:spacing w:after="0"/>
              <w:rPr>
                <w:sz w:val="13"/>
                <w:szCs w:val="13"/>
                <w:color w:val="auto"/>
              </w:rPr>
            </w:pPr>
          </w:p>
        </w:tc>
        <w:tc>
          <w:tcPr>
            <w:tcW w:w="110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3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December 31, 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December 31, 2019</w:t>
            </w:r>
          </w:p>
        </w:tc>
      </w:tr>
      <w:tr>
        <w:trPr>
          <w:trHeight w:val="114"/>
        </w:trPr>
        <w:tc>
          <w:tcPr>
            <w:tcW w:w="3220" w:type="dxa"/>
            <w:vAlign w:val="bottom"/>
          </w:tcPr>
          <w:p>
            <w:pPr>
              <w:ind w:left="20"/>
              <w:spacing w:after="0"/>
              <w:rPr>
                <w:sz w:val="20"/>
                <w:szCs w:val="20"/>
                <w:color w:val="auto"/>
              </w:rPr>
            </w:pPr>
            <w:r>
              <w:rPr>
                <w:rFonts w:ascii="Arial" w:cs="Arial" w:eastAsia="Arial" w:hAnsi="Arial"/>
                <w:sz w:val="10"/>
                <w:szCs w:val="10"/>
                <w:color w:val="auto"/>
              </w:rPr>
              <w:t>Equity attributable to Royal Dutch Shell plc shareholders</w:t>
            </w:r>
          </w:p>
        </w:tc>
        <w:tc>
          <w:tcPr>
            <w:tcW w:w="11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155,310</w:t>
            </w:r>
          </w:p>
        </w:tc>
        <w:tc>
          <w:tcPr>
            <w:tcW w:w="1100" w:type="dxa"/>
            <w:vAlign w:val="bottom"/>
          </w:tcPr>
          <w:p>
            <w:pPr>
              <w:jc w:val="right"/>
              <w:spacing w:after="0"/>
              <w:rPr>
                <w:sz w:val="20"/>
                <w:szCs w:val="20"/>
                <w:color w:val="auto"/>
              </w:rPr>
            </w:pPr>
            <w:r>
              <w:rPr>
                <w:rFonts w:ascii="Arial" w:cs="Arial" w:eastAsia="Arial" w:hAnsi="Arial"/>
                <w:sz w:val="10"/>
                <w:szCs w:val="10"/>
                <w:color w:val="auto"/>
              </w:rPr>
              <w:t>186,476</w:t>
            </w:r>
          </w:p>
        </w:tc>
      </w:tr>
      <w:tr>
        <w:trPr>
          <w:trHeight w:val="123"/>
        </w:trPr>
        <w:tc>
          <w:tcPr>
            <w:tcW w:w="3220" w:type="dxa"/>
            <w:vAlign w:val="bottom"/>
          </w:tcPr>
          <w:p>
            <w:pPr>
              <w:ind w:left="20"/>
              <w:spacing w:after="0"/>
              <w:rPr>
                <w:sz w:val="20"/>
                <w:szCs w:val="20"/>
                <w:color w:val="auto"/>
              </w:rPr>
            </w:pPr>
            <w:r>
              <w:rPr>
                <w:rFonts w:ascii="Arial" w:cs="Arial" w:eastAsia="Arial" w:hAnsi="Arial"/>
                <w:sz w:val="10"/>
                <w:szCs w:val="10"/>
                <w:color w:val="auto"/>
              </w:rPr>
              <w:t>Current debt</w:t>
            </w:r>
          </w:p>
        </w:tc>
        <w:tc>
          <w:tcPr>
            <w:tcW w:w="11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16,899</w:t>
            </w:r>
          </w:p>
        </w:tc>
        <w:tc>
          <w:tcPr>
            <w:tcW w:w="1100" w:type="dxa"/>
            <w:vAlign w:val="bottom"/>
          </w:tcPr>
          <w:p>
            <w:pPr>
              <w:jc w:val="right"/>
              <w:spacing w:after="0"/>
              <w:rPr>
                <w:sz w:val="20"/>
                <w:szCs w:val="20"/>
                <w:color w:val="auto"/>
              </w:rPr>
            </w:pPr>
            <w:r>
              <w:rPr>
                <w:rFonts w:ascii="Arial" w:cs="Arial" w:eastAsia="Arial" w:hAnsi="Arial"/>
                <w:sz w:val="10"/>
                <w:szCs w:val="10"/>
                <w:color w:val="auto"/>
              </w:rPr>
              <w:t>15,064</w:t>
            </w:r>
          </w:p>
        </w:tc>
      </w:tr>
      <w:tr>
        <w:trPr>
          <w:trHeight w:val="130"/>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Non-current debt</w:t>
            </w: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91,115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81,360</w:t>
            </w:r>
          </w:p>
        </w:tc>
      </w:tr>
      <w:tr>
        <w:trPr>
          <w:trHeight w:val="117"/>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debt [A]</w:t>
            </w: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108,014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96,424</w:t>
            </w:r>
          </w:p>
        </w:tc>
      </w:tr>
      <w:tr>
        <w:trPr>
          <w:trHeight w:val="115"/>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capitalisation</w:t>
            </w: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263,324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282,900</w:t>
            </w:r>
          </w:p>
        </w:tc>
      </w:tr>
    </w:tbl>
    <w:p>
      <w:pPr>
        <w:spacing w:after="0" w:line="56" w:lineRule="exact"/>
        <w:rPr>
          <w:sz w:val="20"/>
          <w:szCs w:val="20"/>
          <w:color w:val="auto"/>
        </w:rPr>
      </w:pPr>
    </w:p>
    <w:p>
      <w:pPr>
        <w:ind w:right="280" w:firstLine="9"/>
        <w:spacing w:after="0" w:line="270" w:lineRule="auto"/>
        <w:tabs>
          <w:tab w:leader="none" w:pos="118" w:val="left"/>
        </w:tabs>
        <w:numPr>
          <w:ilvl w:val="0"/>
          <w:numId w:val="58"/>
        </w:numPr>
        <w:rPr>
          <w:rFonts w:ascii="Arial" w:cs="Arial" w:eastAsia="Arial" w:hAnsi="Arial"/>
          <w:sz w:val="7"/>
          <w:szCs w:val="7"/>
          <w:color w:val="auto"/>
        </w:rPr>
      </w:pPr>
      <w:r>
        <w:rPr>
          <w:rFonts w:ascii="Arial" w:cs="Arial" w:eastAsia="Arial" w:hAnsi="Arial"/>
          <w:sz w:val="7"/>
          <w:szCs w:val="7"/>
          <w:color w:val="auto"/>
        </w:rPr>
        <w:t>Of total debt, $79.4 billion (2019: $65.7 billion) was unsecured and $28.6 billion (2019: $30.7 billion) was secured. See Note 14 to the “Consolidated Financial Statements” on pages 188-190 for further disclosure on debt.</w:t>
      </w:r>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STATEMENT OF CASH FLOWS</w:t>
      </w:r>
    </w:p>
    <w:p>
      <w:pPr>
        <w:ind w:right="340"/>
        <w:spacing w:after="0" w:line="231" w:lineRule="auto"/>
        <w:rPr>
          <w:sz w:val="20"/>
          <w:szCs w:val="20"/>
          <w:color w:val="auto"/>
        </w:rPr>
      </w:pPr>
      <w:r>
        <w:rPr>
          <w:rFonts w:ascii="Arial" w:cs="Arial" w:eastAsia="Arial" w:hAnsi="Arial"/>
          <w:sz w:val="10"/>
          <w:szCs w:val="10"/>
          <w:color w:val="auto"/>
        </w:rPr>
        <w:t>Cash flow from operating activities in 2020 was an inflow of $34.1 billion, compared with $42.2 billion in 2019, mainly due to lower earnings. The</w:t>
      </w:r>
    </w:p>
    <w:p>
      <w:pPr>
        <w:sectPr>
          <w:pgSz w:w="11900" w:h="16838" w:orient="portrait"/>
          <w:cols w:equalWidth="0" w:num="2">
            <w:col w:w="5600" w:space="120"/>
            <w:col w:w="5460"/>
          </w:cols>
          <w:pgMar w:left="300" w:top="721" w:right="419" w:bottom="1440" w:gutter="0" w:footer="0" w:header="0"/>
          <w:type w:val="continuous"/>
        </w:sectPr>
      </w:pPr>
    </w:p>
    <w:bookmarkStart w:id="64" w:name="page65"/>
    <w:bookmarkEnd w:id="64"/>
    <w:p>
      <w:pPr>
        <w:ind w:right="280"/>
        <w:spacing w:after="0" w:line="239" w:lineRule="auto"/>
        <w:rPr>
          <w:sz w:val="20"/>
          <w:szCs w:val="20"/>
          <w:color w:val="auto"/>
        </w:rPr>
      </w:pPr>
      <w:r>
        <w:rPr>
          <w:rFonts w:ascii="Arial" w:cs="Arial" w:eastAsia="Arial" w:hAnsi="Arial"/>
          <w:sz w:val="10"/>
          <w:szCs w:val="10"/>
          <w:color w:val="auto"/>
        </w:rPr>
        <w:t>decrease in cash flow from operating activities in 2019, compared with $53.1 billion in 2018, was mainly due to lower earnings and an unfavourable working capital impact.</w:t>
      </w:r>
    </w:p>
    <w:p>
      <w:pPr>
        <w:spacing w:after="0" w:line="149" w:lineRule="exact"/>
        <w:rPr>
          <w:sz w:val="20"/>
          <w:szCs w:val="20"/>
          <w:color w:val="auto"/>
        </w:rPr>
      </w:pPr>
    </w:p>
    <w:p>
      <w:pPr>
        <w:ind w:right="180"/>
        <w:spacing w:after="0" w:line="232" w:lineRule="auto"/>
        <w:rPr>
          <w:sz w:val="20"/>
          <w:szCs w:val="20"/>
          <w:color w:val="auto"/>
        </w:rPr>
      </w:pPr>
      <w:r>
        <w:rPr>
          <w:rFonts w:ascii="Arial" w:cs="Arial" w:eastAsia="Arial" w:hAnsi="Arial"/>
          <w:sz w:val="10"/>
          <w:szCs w:val="10"/>
          <w:color w:val="auto"/>
        </w:rPr>
        <w:t>Cash flow from investing activities in 2020 was an outflow of $13.3 billion, compared with an outflow of $15.8 billion in 2019. The decreased cash outflow was mainly due to lower capital expenditure in 2020. The increased cash outflow in 2019 compared with $13.7 billion in 2018 was mainly due to lower proceeds from the sale of equity securities, partly offset by higher proceeds from sale of assets in 2019.</w:t>
      </w:r>
    </w:p>
    <w:p>
      <w:pPr>
        <w:spacing w:after="0" w:line="149" w:lineRule="exact"/>
        <w:rPr>
          <w:sz w:val="20"/>
          <w:szCs w:val="20"/>
          <w:color w:val="auto"/>
        </w:rPr>
      </w:pPr>
    </w:p>
    <w:p>
      <w:pPr>
        <w:jc w:val="both"/>
        <w:spacing w:after="0" w:line="232" w:lineRule="auto"/>
        <w:rPr>
          <w:sz w:val="20"/>
          <w:szCs w:val="20"/>
          <w:color w:val="auto"/>
        </w:rPr>
      </w:pPr>
      <w:r>
        <w:rPr>
          <w:rFonts w:ascii="Arial" w:cs="Arial" w:eastAsia="Arial" w:hAnsi="Arial"/>
          <w:sz w:val="10"/>
          <w:szCs w:val="10"/>
          <w:color w:val="auto"/>
        </w:rPr>
        <w:t>Cash flow from financing activities in 2020 was an outflow of $7.2 billion, compared with outflows of $35.2 billion in 2019 and $32.5 billion in 2018, due to lower dividends payments to Royal Dutch Shell plc shareholders of $7.4 billion (2019: $15.2 billion; 2018: $15.7 billion), net issuance of debt of $5.6 billion (2019: $3.4 billion net repayment; 2018: $8.3 billion net repayment), and lower repurchases of shares of $1.7 billion (2019: 10.2 billion; 2018: $3.9 billion).</w:t>
      </w:r>
    </w:p>
    <w:p>
      <w:pPr>
        <w:spacing w:after="0" w:line="149" w:lineRule="exact"/>
        <w:rPr>
          <w:sz w:val="20"/>
          <w:szCs w:val="20"/>
          <w:color w:val="auto"/>
        </w:rPr>
      </w:pPr>
    </w:p>
    <w:p>
      <w:pPr>
        <w:spacing w:after="0"/>
        <w:rPr>
          <w:sz w:val="20"/>
          <w:szCs w:val="20"/>
          <w:color w:val="auto"/>
        </w:rPr>
      </w:pPr>
      <w:r>
        <w:rPr>
          <w:rFonts w:ascii="Arial" w:cs="Arial" w:eastAsia="Arial" w:hAnsi="Arial"/>
          <w:sz w:val="8"/>
          <w:szCs w:val="8"/>
          <w:color w:val="auto"/>
        </w:rPr>
        <w:t>Cash and cash equivalents were $31.8 billion at December 31, 2020 (December 31, 2019: $18.1 billion; December 31, 2018: $26.7 billion).</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CASH FLOW FROM OPERATING ACTIVITIES</w:t>
      </w:r>
    </w:p>
    <w:p>
      <w:pPr>
        <w:ind w:right="60"/>
        <w:spacing w:after="0" w:line="229" w:lineRule="auto"/>
        <w:rPr>
          <w:sz w:val="20"/>
          <w:szCs w:val="20"/>
          <w:color w:val="auto"/>
        </w:rPr>
      </w:pPr>
      <w:r>
        <w:rPr>
          <w:rFonts w:ascii="Arial" w:cs="Arial" w:eastAsia="Arial" w:hAnsi="Arial"/>
          <w:sz w:val="10"/>
          <w:szCs w:val="10"/>
          <w:color w:val="auto"/>
        </w:rPr>
        <w:t>The most significant factors affecting our cash flow from operating activities are earnings, which are mainly impacted by: realised prices for crude oil, natural gas and LNG; production levels of crude oil, natural gas and LNG; chemicals, refining and marketing margins; and movements in working capital.</w:t>
      </w:r>
    </w:p>
    <w:p>
      <w:pPr>
        <w:spacing w:after="0" w:line="149" w:lineRule="exact"/>
        <w:rPr>
          <w:sz w:val="20"/>
          <w:szCs w:val="20"/>
          <w:color w:val="auto"/>
        </w:rPr>
      </w:pPr>
    </w:p>
    <w:p>
      <w:pPr>
        <w:spacing w:after="0" w:line="294" w:lineRule="auto"/>
        <w:rPr>
          <w:sz w:val="20"/>
          <w:szCs w:val="20"/>
          <w:color w:val="auto"/>
        </w:rPr>
      </w:pPr>
      <w:r>
        <w:rPr>
          <w:rFonts w:ascii="Arial" w:cs="Arial" w:eastAsia="Arial" w:hAnsi="Arial"/>
          <w:sz w:val="8"/>
          <w:szCs w:val="8"/>
          <w:color w:val="auto"/>
        </w:rPr>
        <w:t>The impact on earnings from changes in market prices depends on: the extent to which contractual arrangements are tied to market prices; the dynamics of production-sharing contracts; the existence of agreements with governments or state-owned oil and gas companies that have limited sensitivity to crude oil and natural gas prices; tax impacts; and the extent to which changes in commodity prices flow through into operating expenses. Changes in benchmark prices of crude oil and natural gas in any particular period therefore provide only a broad indicator of changes in our Integrated Gas and Upstream earnings in that period. Changes in any one of a range of factors, derived from either within the industry or the broader economic environment, can influence refining and marketing margins. The precise impact of any such changes depends on how the oil markets respond to them. The market response is affected by factors such as: whether the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0"/>
          <w:szCs w:val="10"/>
          <w:color w:val="auto"/>
        </w:rPr>
        <w:t>Cash flow information [A]</w:t>
      </w:r>
    </w:p>
    <w:p>
      <w:pPr>
        <w:spacing w:after="0" w:line="20" w:lineRule="exact"/>
        <w:rPr>
          <w:sz w:val="20"/>
          <w:szCs w:val="20"/>
          <w:color w:val="auto"/>
        </w:rPr>
      </w:pPr>
      <w:r>
        <w:rPr>
          <w:sz w:val="20"/>
          <w:szCs w:val="20"/>
          <w:color w:val="auto"/>
        </w:rPr>
        <w:br w:type="column"/>
      </w:r>
    </w:p>
    <w:p>
      <w:pPr>
        <w:jc w:val="both"/>
        <w:ind w:right="180"/>
        <w:spacing w:after="0" w:line="234" w:lineRule="auto"/>
        <w:rPr>
          <w:sz w:val="20"/>
          <w:szCs w:val="20"/>
          <w:color w:val="auto"/>
        </w:rPr>
      </w:pPr>
      <w:r>
        <w:rPr>
          <w:rFonts w:ascii="Arial" w:cs="Arial" w:eastAsia="Arial" w:hAnsi="Arial"/>
          <w:sz w:val="10"/>
          <w:szCs w:val="10"/>
          <w:color w:val="auto"/>
        </w:rPr>
        <w:t>affects all crude oil types or only a specific grade; regional and global crude oil and refined products inventories; and the collective speed of response of refiners and product marketers in adjusting their operations. As a result, margins fluctuate from region to region and from period to period.</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DIVESTMENT AND CASH CAPITAL EXPENDITURE</w:t>
      </w:r>
    </w:p>
    <w:p>
      <w:pPr>
        <w:ind w:right="260"/>
        <w:spacing w:after="0" w:line="231" w:lineRule="auto"/>
        <w:rPr>
          <w:sz w:val="20"/>
          <w:szCs w:val="20"/>
          <w:color w:val="auto"/>
        </w:rPr>
      </w:pPr>
      <w:r>
        <w:rPr>
          <w:rFonts w:ascii="Arial" w:cs="Arial" w:eastAsia="Arial" w:hAnsi="Arial"/>
          <w:sz w:val="10"/>
          <w:szCs w:val="10"/>
          <w:color w:val="auto"/>
        </w:rPr>
        <w:t>The level of divestment proceeds and cash capital expenditure in 2020 and 2019 reflects our discipline, and focus on capital efficiency and cash preservation.</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Divestment proceeds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 million</w:t>
            </w:r>
          </w:p>
        </w:tc>
      </w:tr>
      <w:tr>
        <w:trPr>
          <w:trHeight w:val="117"/>
        </w:trPr>
        <w:tc>
          <w:tcPr>
            <w:tcW w:w="2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4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2019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3"/>
        </w:trPr>
        <w:tc>
          <w:tcPr>
            <w:tcW w:w="2120" w:type="dxa"/>
            <w:vAlign w:val="bottom"/>
          </w:tcPr>
          <w:p>
            <w:pPr>
              <w:ind w:left="20"/>
              <w:spacing w:after="0" w:line="113" w:lineRule="exact"/>
              <w:rPr>
                <w:sz w:val="20"/>
                <w:szCs w:val="20"/>
                <w:color w:val="auto"/>
              </w:rPr>
            </w:pPr>
            <w:r>
              <w:rPr>
                <w:rFonts w:ascii="Arial" w:cs="Arial" w:eastAsia="Arial" w:hAnsi="Arial"/>
                <w:sz w:val="10"/>
                <w:szCs w:val="10"/>
                <w:color w:val="auto"/>
              </w:rPr>
              <w:t>Integrated Gas</w:t>
            </w:r>
          </w:p>
        </w:tc>
        <w:tc>
          <w:tcPr>
            <w:tcW w:w="1100" w:type="dxa"/>
            <w:vAlign w:val="bottom"/>
            <w:shd w:val="clear" w:color="auto" w:fill="D9D9D9"/>
          </w:tcPr>
          <w:p>
            <w:pPr>
              <w:jc w:val="right"/>
              <w:spacing w:after="0" w:line="113" w:lineRule="exact"/>
              <w:rPr>
                <w:sz w:val="20"/>
                <w:szCs w:val="20"/>
                <w:color w:val="auto"/>
              </w:rPr>
            </w:pPr>
            <w:r>
              <w:rPr>
                <w:rFonts w:ascii="Arial" w:cs="Arial" w:eastAsia="Arial" w:hAnsi="Arial"/>
                <w:sz w:val="10"/>
                <w:szCs w:val="10"/>
                <w:color w:val="auto"/>
              </w:rPr>
              <w:t>503</w:t>
            </w:r>
          </w:p>
        </w:tc>
        <w:tc>
          <w:tcPr>
            <w:tcW w:w="1480" w:type="dxa"/>
            <w:vAlign w:val="bottom"/>
          </w:tcPr>
          <w:p>
            <w:pPr>
              <w:jc w:val="right"/>
              <w:ind w:right="332"/>
              <w:spacing w:after="0" w:line="113" w:lineRule="exact"/>
              <w:rPr>
                <w:sz w:val="20"/>
                <w:szCs w:val="20"/>
                <w:color w:val="auto"/>
              </w:rPr>
            </w:pPr>
            <w:r>
              <w:rPr>
                <w:rFonts w:ascii="Arial" w:cs="Arial" w:eastAsia="Arial" w:hAnsi="Arial"/>
                <w:sz w:val="10"/>
                <w:szCs w:val="10"/>
                <w:color w:val="auto"/>
              </w:rPr>
              <w:t>723</w:t>
            </w:r>
          </w:p>
        </w:tc>
        <w:tc>
          <w:tcPr>
            <w:tcW w:w="740" w:type="dxa"/>
            <w:vAlign w:val="bottom"/>
          </w:tcPr>
          <w:p>
            <w:pPr>
              <w:jc w:val="right"/>
              <w:spacing w:after="0" w:line="113" w:lineRule="exact"/>
              <w:rPr>
                <w:sz w:val="20"/>
                <w:szCs w:val="20"/>
                <w:color w:val="auto"/>
              </w:rPr>
            </w:pPr>
            <w:r>
              <w:rPr>
                <w:rFonts w:ascii="Arial" w:cs="Arial" w:eastAsia="Arial" w:hAnsi="Arial"/>
                <w:sz w:val="10"/>
                <w:szCs w:val="10"/>
                <w:color w:val="auto"/>
              </w:rPr>
              <w:t>3,156</w:t>
            </w:r>
          </w:p>
        </w:tc>
      </w:tr>
      <w:tr>
        <w:trPr>
          <w:trHeight w:val="123"/>
        </w:trPr>
        <w:tc>
          <w:tcPr>
            <w:tcW w:w="2120" w:type="dxa"/>
            <w:vAlign w:val="bottom"/>
          </w:tcPr>
          <w:p>
            <w:pPr>
              <w:ind w:left="20"/>
              <w:spacing w:after="0"/>
              <w:rPr>
                <w:sz w:val="20"/>
                <w:szCs w:val="20"/>
                <w:color w:val="auto"/>
              </w:rPr>
            </w:pPr>
            <w:r>
              <w:rPr>
                <w:rFonts w:ascii="Arial" w:cs="Arial" w:eastAsia="Arial" w:hAnsi="Arial"/>
                <w:sz w:val="10"/>
                <w:szCs w:val="10"/>
                <w:color w:val="auto"/>
              </w:rPr>
              <w:t>Upstream</w:t>
            </w:r>
          </w:p>
        </w:tc>
        <w:tc>
          <w:tcPr>
            <w:tcW w:w="11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1,909</w:t>
            </w:r>
          </w:p>
        </w:tc>
        <w:tc>
          <w:tcPr>
            <w:tcW w:w="1480" w:type="dxa"/>
            <w:vAlign w:val="bottom"/>
          </w:tcPr>
          <w:p>
            <w:pPr>
              <w:jc w:val="right"/>
              <w:ind w:right="332"/>
              <w:spacing w:after="0"/>
              <w:rPr>
                <w:sz w:val="20"/>
                <w:szCs w:val="20"/>
                <w:color w:val="auto"/>
              </w:rPr>
            </w:pPr>
            <w:r>
              <w:rPr>
                <w:rFonts w:ascii="Arial" w:cs="Arial" w:eastAsia="Arial" w:hAnsi="Arial"/>
                <w:sz w:val="10"/>
                <w:szCs w:val="10"/>
                <w:color w:val="auto"/>
              </w:rPr>
              <w:t>5,384</w:t>
            </w:r>
          </w:p>
        </w:tc>
        <w:tc>
          <w:tcPr>
            <w:tcW w:w="740" w:type="dxa"/>
            <w:vAlign w:val="bottom"/>
          </w:tcPr>
          <w:p>
            <w:pPr>
              <w:jc w:val="right"/>
              <w:spacing w:after="0"/>
              <w:rPr>
                <w:sz w:val="20"/>
                <w:szCs w:val="20"/>
                <w:color w:val="auto"/>
              </w:rPr>
            </w:pPr>
            <w:r>
              <w:rPr>
                <w:rFonts w:ascii="Arial" w:cs="Arial" w:eastAsia="Arial" w:hAnsi="Arial"/>
                <w:sz w:val="10"/>
                <w:szCs w:val="10"/>
                <w:color w:val="auto"/>
              </w:rPr>
              <w:t>3,364</w:t>
            </w:r>
          </w:p>
        </w:tc>
      </w:tr>
      <w:tr>
        <w:trPr>
          <w:trHeight w:val="126"/>
        </w:trPr>
        <w:tc>
          <w:tcPr>
            <w:tcW w:w="2120" w:type="dxa"/>
            <w:vAlign w:val="bottom"/>
          </w:tcPr>
          <w:p>
            <w:pPr>
              <w:ind w:left="20"/>
              <w:spacing w:after="0"/>
              <w:rPr>
                <w:sz w:val="20"/>
                <w:szCs w:val="20"/>
                <w:color w:val="auto"/>
              </w:rPr>
            </w:pPr>
            <w:r>
              <w:rPr>
                <w:rFonts w:ascii="Arial" w:cs="Arial" w:eastAsia="Arial" w:hAnsi="Arial"/>
                <w:sz w:val="10"/>
                <w:szCs w:val="10"/>
                <w:color w:val="auto"/>
              </w:rPr>
              <w:t>Oil Products</w:t>
            </w:r>
          </w:p>
        </w:tc>
        <w:tc>
          <w:tcPr>
            <w:tcW w:w="11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1,368</w:t>
            </w:r>
          </w:p>
        </w:tc>
        <w:tc>
          <w:tcPr>
            <w:tcW w:w="1480" w:type="dxa"/>
            <w:vAlign w:val="bottom"/>
          </w:tcPr>
          <w:p>
            <w:pPr>
              <w:jc w:val="right"/>
              <w:ind w:right="332"/>
              <w:spacing w:after="0"/>
              <w:rPr>
                <w:sz w:val="20"/>
                <w:szCs w:val="20"/>
                <w:color w:val="auto"/>
              </w:rPr>
            </w:pPr>
            <w:r>
              <w:rPr>
                <w:rFonts w:ascii="Arial" w:cs="Arial" w:eastAsia="Arial" w:hAnsi="Arial"/>
                <w:sz w:val="10"/>
                <w:szCs w:val="10"/>
                <w:color w:val="auto"/>
              </w:rPr>
              <w:t>1,517</w:t>
            </w:r>
          </w:p>
        </w:tc>
        <w:tc>
          <w:tcPr>
            <w:tcW w:w="740" w:type="dxa"/>
            <w:vAlign w:val="bottom"/>
          </w:tcPr>
          <w:p>
            <w:pPr>
              <w:jc w:val="right"/>
              <w:spacing w:after="0"/>
              <w:rPr>
                <w:sz w:val="20"/>
                <w:szCs w:val="20"/>
                <w:color w:val="auto"/>
              </w:rPr>
            </w:pPr>
            <w:r>
              <w:rPr>
                <w:rFonts w:ascii="Arial" w:cs="Arial" w:eastAsia="Arial" w:hAnsi="Arial"/>
                <w:sz w:val="10"/>
                <w:szCs w:val="10"/>
                <w:color w:val="auto"/>
              </w:rPr>
              <w:t>540</w:t>
            </w:r>
          </w:p>
        </w:tc>
      </w:tr>
      <w:tr>
        <w:trPr>
          <w:trHeight w:val="126"/>
        </w:trPr>
        <w:tc>
          <w:tcPr>
            <w:tcW w:w="2120" w:type="dxa"/>
            <w:vAlign w:val="bottom"/>
          </w:tcPr>
          <w:p>
            <w:pPr>
              <w:ind w:left="20"/>
              <w:spacing w:after="0"/>
              <w:rPr>
                <w:sz w:val="20"/>
                <w:szCs w:val="20"/>
                <w:color w:val="auto"/>
              </w:rPr>
            </w:pPr>
            <w:r>
              <w:rPr>
                <w:rFonts w:ascii="Arial" w:cs="Arial" w:eastAsia="Arial" w:hAnsi="Arial"/>
                <w:sz w:val="10"/>
                <w:szCs w:val="10"/>
                <w:color w:val="auto"/>
              </w:rPr>
              <w:t>Chemicals</w:t>
            </w:r>
          </w:p>
        </w:tc>
        <w:tc>
          <w:tcPr>
            <w:tcW w:w="11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26</w:t>
            </w:r>
          </w:p>
        </w:tc>
        <w:tc>
          <w:tcPr>
            <w:tcW w:w="1480" w:type="dxa"/>
            <w:vAlign w:val="bottom"/>
          </w:tcPr>
          <w:p>
            <w:pPr>
              <w:jc w:val="right"/>
              <w:ind w:right="332"/>
              <w:spacing w:after="0"/>
              <w:rPr>
                <w:sz w:val="20"/>
                <w:szCs w:val="20"/>
                <w:color w:val="auto"/>
              </w:rPr>
            </w:pPr>
            <w:r>
              <w:rPr>
                <w:rFonts w:ascii="Arial" w:cs="Arial" w:eastAsia="Arial" w:hAnsi="Arial"/>
                <w:sz w:val="10"/>
                <w:szCs w:val="10"/>
                <w:color w:val="auto"/>
              </w:rPr>
              <w:t>22</w:t>
            </w:r>
          </w:p>
        </w:tc>
        <w:tc>
          <w:tcPr>
            <w:tcW w:w="74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30"/>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Corporate</w:t>
            </w: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205</w:t>
            </w:r>
          </w:p>
        </w:tc>
        <w:tc>
          <w:tcPr>
            <w:tcW w:w="14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225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3,405</w:t>
            </w:r>
          </w:p>
        </w:tc>
      </w:tr>
      <w:tr>
        <w:trPr>
          <w:trHeight w:val="117"/>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divestment proceeds</w:t>
            </w: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4,010</w:t>
            </w:r>
          </w:p>
        </w:tc>
        <w:tc>
          <w:tcPr>
            <w:tcW w:w="14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7,871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10,465</w:t>
            </w:r>
          </w:p>
        </w:tc>
      </w:tr>
    </w:tbl>
    <w:p>
      <w:pPr>
        <w:spacing w:after="0" w:line="204" w:lineRule="exact"/>
        <w:rPr>
          <w:sz w:val="20"/>
          <w:szCs w:val="20"/>
          <w:color w:val="auto"/>
        </w:rPr>
      </w:pPr>
    </w:p>
    <w:p>
      <w:pPr>
        <w:ind w:right="140"/>
        <w:spacing w:after="0" w:line="320" w:lineRule="auto"/>
        <w:rPr>
          <w:sz w:val="20"/>
          <w:szCs w:val="20"/>
          <w:color w:val="auto"/>
        </w:rPr>
      </w:pPr>
      <w:r>
        <w:rPr>
          <w:rFonts w:ascii="Arial" w:cs="Arial" w:eastAsia="Arial" w:hAnsi="Arial"/>
          <w:sz w:val="8"/>
          <w:szCs w:val="8"/>
          <w:color w:val="auto"/>
        </w:rPr>
        <w:t>Cash capital expenditure is used to monitor investing activities on a cash basis, excluding items such as lease additions which do not necessarily result in cash outflows in the period. The capital discipline demonstrated in 2020 allowed us to deliver cash capital expenditure of less than $20 billion in line with the financial framework initiatives announced in March 2020.</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1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60" w:type="dxa"/>
            <w:vAlign w:val="bottom"/>
            <w:gridSpan w:val="2"/>
          </w:tcPr>
          <w:p>
            <w:pPr>
              <w:ind w:left="420"/>
              <w:spacing w:after="0"/>
              <w:rPr>
                <w:sz w:val="20"/>
                <w:szCs w:val="20"/>
                <w:color w:val="auto"/>
              </w:rPr>
            </w:pPr>
            <w:r>
              <w:rPr>
                <w:rFonts w:ascii="Arial" w:cs="Arial" w:eastAsia="Arial" w:hAnsi="Arial"/>
                <w:sz w:val="10"/>
                <w:szCs w:val="10"/>
                <w:color w:val="auto"/>
              </w:rPr>
              <w:t>$ million</w:t>
            </w:r>
          </w:p>
        </w:tc>
      </w:tr>
      <w:tr>
        <w:trPr>
          <w:trHeight w:val="117"/>
        </w:trPr>
        <w:tc>
          <w:tcPr>
            <w:tcW w:w="1600" w:type="dxa"/>
            <w:vAlign w:val="bottom"/>
            <w:tcBorders>
              <w:top w:val="single" w:sz="8" w:color="auto"/>
              <w:bottom w:val="single" w:sz="8" w:color="auto"/>
            </w:tcBorders>
          </w:tcPr>
          <w:p>
            <w:pPr>
              <w:spacing w:after="0"/>
              <w:rPr>
                <w:sz w:val="10"/>
                <w:szCs w:val="10"/>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rPr>
              <w:t>2020</w:t>
            </w:r>
          </w:p>
        </w:tc>
        <w:tc>
          <w:tcPr>
            <w:tcW w:w="14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0"/>
                <w:szCs w:val="10"/>
                <w:color w:val="auto"/>
              </w:rPr>
              <w:t>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80" w:type="dxa"/>
            <w:vAlign w:val="bottom"/>
          </w:tcPr>
          <w:p>
            <w:pPr>
              <w:spacing w:after="0"/>
              <w:rPr>
                <w:sz w:val="10"/>
                <w:szCs w:val="10"/>
                <w:color w:val="auto"/>
              </w:rPr>
            </w:pPr>
          </w:p>
        </w:tc>
      </w:tr>
      <w:tr>
        <w:trPr>
          <w:trHeight w:val="113"/>
        </w:trPr>
        <w:tc>
          <w:tcPr>
            <w:tcW w:w="1600" w:type="dxa"/>
            <w:vAlign w:val="bottom"/>
          </w:tcPr>
          <w:p>
            <w:pPr>
              <w:spacing w:after="0" w:line="113" w:lineRule="exact"/>
              <w:rPr>
                <w:sz w:val="20"/>
                <w:szCs w:val="20"/>
                <w:color w:val="auto"/>
              </w:rPr>
            </w:pPr>
            <w:r>
              <w:rPr>
                <w:rFonts w:ascii="Arial" w:cs="Arial" w:eastAsia="Arial" w:hAnsi="Arial"/>
                <w:sz w:val="10"/>
                <w:szCs w:val="10"/>
                <w:color w:val="auto"/>
              </w:rPr>
              <w:t>Integrated Gas</w:t>
            </w:r>
          </w:p>
        </w:tc>
        <w:tc>
          <w:tcPr>
            <w:tcW w:w="500" w:type="dxa"/>
            <w:vAlign w:val="bottom"/>
          </w:tcPr>
          <w:p>
            <w:pPr>
              <w:spacing w:after="0"/>
              <w:rPr>
                <w:sz w:val="9"/>
                <w:szCs w:val="9"/>
                <w:color w:val="auto"/>
              </w:rPr>
            </w:pPr>
          </w:p>
        </w:tc>
        <w:tc>
          <w:tcPr>
            <w:tcW w:w="1100" w:type="dxa"/>
            <w:vAlign w:val="bottom"/>
            <w:shd w:val="clear" w:color="auto" w:fill="D9D9D9"/>
          </w:tcPr>
          <w:p>
            <w:pPr>
              <w:jc w:val="right"/>
              <w:spacing w:after="0" w:line="113" w:lineRule="exact"/>
              <w:rPr>
                <w:sz w:val="20"/>
                <w:szCs w:val="20"/>
                <w:color w:val="auto"/>
              </w:rPr>
            </w:pPr>
            <w:r>
              <w:rPr>
                <w:rFonts w:ascii="Arial" w:cs="Arial" w:eastAsia="Arial" w:hAnsi="Arial"/>
                <w:sz w:val="10"/>
                <w:szCs w:val="10"/>
                <w:color w:val="auto"/>
              </w:rPr>
              <w:t>4,301</w:t>
            </w:r>
          </w:p>
        </w:tc>
        <w:tc>
          <w:tcPr>
            <w:tcW w:w="1460" w:type="dxa"/>
            <w:vAlign w:val="bottom"/>
          </w:tcPr>
          <w:p>
            <w:pPr>
              <w:jc w:val="right"/>
              <w:ind w:right="293"/>
              <w:spacing w:after="0" w:line="113" w:lineRule="exact"/>
              <w:rPr>
                <w:sz w:val="20"/>
                <w:szCs w:val="20"/>
                <w:color w:val="auto"/>
              </w:rPr>
            </w:pPr>
            <w:r>
              <w:rPr>
                <w:rFonts w:ascii="Arial" w:cs="Arial" w:eastAsia="Arial" w:hAnsi="Arial"/>
                <w:sz w:val="10"/>
                <w:szCs w:val="10"/>
                <w:color w:val="auto"/>
              </w:rPr>
              <w:t>4,299</w:t>
            </w:r>
          </w:p>
        </w:tc>
        <w:tc>
          <w:tcPr>
            <w:tcW w:w="780" w:type="dxa"/>
            <w:vAlign w:val="bottom"/>
          </w:tcPr>
          <w:p>
            <w:pPr>
              <w:jc w:val="right"/>
              <w:spacing w:after="0" w:line="113" w:lineRule="exact"/>
              <w:rPr>
                <w:sz w:val="20"/>
                <w:szCs w:val="20"/>
                <w:color w:val="auto"/>
              </w:rPr>
            </w:pPr>
            <w:r>
              <w:rPr>
                <w:rFonts w:ascii="Arial" w:cs="Arial" w:eastAsia="Arial" w:hAnsi="Arial"/>
                <w:sz w:val="10"/>
                <w:szCs w:val="10"/>
                <w:color w:val="auto"/>
              </w:rPr>
              <w:t>3,819</w:t>
            </w:r>
          </w:p>
        </w:tc>
        <w:tc>
          <w:tcPr>
            <w:tcW w:w="80" w:type="dxa"/>
            <w:vAlign w:val="bottom"/>
          </w:tcPr>
          <w:p>
            <w:pPr>
              <w:spacing w:after="0"/>
              <w:rPr>
                <w:sz w:val="9"/>
                <w:szCs w:val="9"/>
                <w:color w:val="auto"/>
              </w:rPr>
            </w:pPr>
          </w:p>
        </w:tc>
      </w:tr>
      <w:tr>
        <w:trPr>
          <w:trHeight w:val="123"/>
        </w:trPr>
        <w:tc>
          <w:tcPr>
            <w:tcW w:w="1600" w:type="dxa"/>
            <w:vAlign w:val="bottom"/>
          </w:tcPr>
          <w:p>
            <w:pPr>
              <w:spacing w:after="0"/>
              <w:rPr>
                <w:sz w:val="20"/>
                <w:szCs w:val="20"/>
                <w:color w:val="auto"/>
              </w:rPr>
            </w:pPr>
            <w:r>
              <w:rPr>
                <w:rFonts w:ascii="Arial" w:cs="Arial" w:eastAsia="Arial" w:hAnsi="Arial"/>
                <w:sz w:val="10"/>
                <w:szCs w:val="10"/>
                <w:color w:val="auto"/>
              </w:rPr>
              <w:t>Upstream</w:t>
            </w:r>
          </w:p>
        </w:tc>
        <w:tc>
          <w:tcPr>
            <w:tcW w:w="500" w:type="dxa"/>
            <w:vAlign w:val="bottom"/>
          </w:tcPr>
          <w:p>
            <w:pPr>
              <w:spacing w:after="0"/>
              <w:rPr>
                <w:sz w:val="10"/>
                <w:szCs w:val="10"/>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7,296</w:t>
            </w:r>
          </w:p>
        </w:tc>
        <w:tc>
          <w:tcPr>
            <w:tcW w:w="1460" w:type="dxa"/>
            <w:vAlign w:val="bottom"/>
          </w:tcPr>
          <w:p>
            <w:pPr>
              <w:jc w:val="right"/>
              <w:ind w:right="293"/>
              <w:spacing w:after="0"/>
              <w:rPr>
                <w:sz w:val="20"/>
                <w:szCs w:val="20"/>
                <w:color w:val="auto"/>
              </w:rPr>
            </w:pPr>
            <w:r>
              <w:rPr>
                <w:rFonts w:ascii="Arial" w:cs="Arial" w:eastAsia="Arial" w:hAnsi="Arial"/>
                <w:sz w:val="10"/>
                <w:szCs w:val="10"/>
                <w:color w:val="auto"/>
              </w:rPr>
              <w:t>10,205</w:t>
            </w:r>
          </w:p>
        </w:tc>
        <w:tc>
          <w:tcPr>
            <w:tcW w:w="780" w:type="dxa"/>
            <w:vAlign w:val="bottom"/>
          </w:tcPr>
          <w:p>
            <w:pPr>
              <w:jc w:val="right"/>
              <w:spacing w:after="0"/>
              <w:rPr>
                <w:sz w:val="20"/>
                <w:szCs w:val="20"/>
                <w:color w:val="auto"/>
              </w:rPr>
            </w:pPr>
            <w:r>
              <w:rPr>
                <w:rFonts w:ascii="Arial" w:cs="Arial" w:eastAsia="Arial" w:hAnsi="Arial"/>
                <w:sz w:val="10"/>
                <w:szCs w:val="10"/>
                <w:color w:val="auto"/>
              </w:rPr>
              <w:t>12,134</w:t>
            </w:r>
          </w:p>
        </w:tc>
        <w:tc>
          <w:tcPr>
            <w:tcW w:w="80" w:type="dxa"/>
            <w:vAlign w:val="bottom"/>
          </w:tcPr>
          <w:p>
            <w:pPr>
              <w:spacing w:after="0"/>
              <w:rPr>
                <w:sz w:val="10"/>
                <w:szCs w:val="10"/>
                <w:color w:val="auto"/>
              </w:rPr>
            </w:pPr>
          </w:p>
        </w:tc>
      </w:tr>
      <w:tr>
        <w:trPr>
          <w:trHeight w:val="126"/>
        </w:trPr>
        <w:tc>
          <w:tcPr>
            <w:tcW w:w="1600" w:type="dxa"/>
            <w:vAlign w:val="bottom"/>
          </w:tcPr>
          <w:p>
            <w:pPr>
              <w:spacing w:after="0"/>
              <w:rPr>
                <w:sz w:val="20"/>
                <w:szCs w:val="20"/>
                <w:color w:val="auto"/>
              </w:rPr>
            </w:pPr>
            <w:r>
              <w:rPr>
                <w:rFonts w:ascii="Arial" w:cs="Arial" w:eastAsia="Arial" w:hAnsi="Arial"/>
                <w:sz w:val="10"/>
                <w:szCs w:val="10"/>
                <w:color w:val="auto"/>
              </w:rPr>
              <w:t>Oil Products</w:t>
            </w:r>
          </w:p>
        </w:tc>
        <w:tc>
          <w:tcPr>
            <w:tcW w:w="500" w:type="dxa"/>
            <w:vAlign w:val="bottom"/>
          </w:tcPr>
          <w:p>
            <w:pPr>
              <w:spacing w:after="0"/>
              <w:rPr>
                <w:sz w:val="10"/>
                <w:szCs w:val="10"/>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3,328</w:t>
            </w:r>
          </w:p>
        </w:tc>
        <w:tc>
          <w:tcPr>
            <w:tcW w:w="1460" w:type="dxa"/>
            <w:vAlign w:val="bottom"/>
          </w:tcPr>
          <w:p>
            <w:pPr>
              <w:jc w:val="right"/>
              <w:ind w:right="293"/>
              <w:spacing w:after="0"/>
              <w:rPr>
                <w:sz w:val="20"/>
                <w:szCs w:val="20"/>
                <w:color w:val="auto"/>
              </w:rPr>
            </w:pPr>
            <w:r>
              <w:rPr>
                <w:rFonts w:ascii="Arial" w:cs="Arial" w:eastAsia="Arial" w:hAnsi="Arial"/>
                <w:sz w:val="10"/>
                <w:szCs w:val="10"/>
                <w:color w:val="auto"/>
              </w:rPr>
              <w:t>4,907</w:t>
            </w:r>
          </w:p>
        </w:tc>
        <w:tc>
          <w:tcPr>
            <w:tcW w:w="780" w:type="dxa"/>
            <w:vAlign w:val="bottom"/>
          </w:tcPr>
          <w:p>
            <w:pPr>
              <w:jc w:val="right"/>
              <w:spacing w:after="0"/>
              <w:rPr>
                <w:sz w:val="20"/>
                <w:szCs w:val="20"/>
                <w:color w:val="auto"/>
              </w:rPr>
            </w:pPr>
            <w:r>
              <w:rPr>
                <w:rFonts w:ascii="Arial" w:cs="Arial" w:eastAsia="Arial" w:hAnsi="Arial"/>
                <w:sz w:val="10"/>
                <w:szCs w:val="10"/>
                <w:color w:val="auto"/>
              </w:rPr>
              <w:t>4,643</w:t>
            </w:r>
          </w:p>
        </w:tc>
        <w:tc>
          <w:tcPr>
            <w:tcW w:w="80" w:type="dxa"/>
            <w:vAlign w:val="bottom"/>
          </w:tcPr>
          <w:p>
            <w:pPr>
              <w:spacing w:after="0"/>
              <w:rPr>
                <w:sz w:val="10"/>
                <w:szCs w:val="10"/>
                <w:color w:val="auto"/>
              </w:rPr>
            </w:pPr>
          </w:p>
        </w:tc>
      </w:tr>
      <w:tr>
        <w:trPr>
          <w:trHeight w:val="126"/>
        </w:trPr>
        <w:tc>
          <w:tcPr>
            <w:tcW w:w="1600" w:type="dxa"/>
            <w:vAlign w:val="bottom"/>
          </w:tcPr>
          <w:p>
            <w:pPr>
              <w:spacing w:after="0"/>
              <w:rPr>
                <w:sz w:val="20"/>
                <w:szCs w:val="20"/>
                <w:color w:val="auto"/>
              </w:rPr>
            </w:pPr>
            <w:r>
              <w:rPr>
                <w:rFonts w:ascii="Arial" w:cs="Arial" w:eastAsia="Arial" w:hAnsi="Arial"/>
                <w:sz w:val="10"/>
                <w:szCs w:val="10"/>
                <w:color w:val="auto"/>
              </w:rPr>
              <w:t>Chemicals</w:t>
            </w:r>
          </w:p>
        </w:tc>
        <w:tc>
          <w:tcPr>
            <w:tcW w:w="500" w:type="dxa"/>
            <w:vAlign w:val="bottom"/>
          </w:tcPr>
          <w:p>
            <w:pPr>
              <w:spacing w:after="0"/>
              <w:rPr>
                <w:sz w:val="10"/>
                <w:szCs w:val="10"/>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2,640</w:t>
            </w:r>
          </w:p>
        </w:tc>
        <w:tc>
          <w:tcPr>
            <w:tcW w:w="1460" w:type="dxa"/>
            <w:vAlign w:val="bottom"/>
          </w:tcPr>
          <w:p>
            <w:pPr>
              <w:jc w:val="right"/>
              <w:ind w:right="293"/>
              <w:spacing w:after="0"/>
              <w:rPr>
                <w:sz w:val="20"/>
                <w:szCs w:val="20"/>
                <w:color w:val="auto"/>
              </w:rPr>
            </w:pPr>
            <w:r>
              <w:rPr>
                <w:rFonts w:ascii="Arial" w:cs="Arial" w:eastAsia="Arial" w:hAnsi="Arial"/>
                <w:sz w:val="10"/>
                <w:szCs w:val="10"/>
                <w:color w:val="auto"/>
              </w:rPr>
              <w:t>4,090</w:t>
            </w:r>
          </w:p>
        </w:tc>
        <w:tc>
          <w:tcPr>
            <w:tcW w:w="780" w:type="dxa"/>
            <w:vAlign w:val="bottom"/>
          </w:tcPr>
          <w:p>
            <w:pPr>
              <w:jc w:val="right"/>
              <w:spacing w:after="0"/>
              <w:rPr>
                <w:sz w:val="20"/>
                <w:szCs w:val="20"/>
                <w:color w:val="auto"/>
              </w:rPr>
            </w:pPr>
            <w:r>
              <w:rPr>
                <w:rFonts w:ascii="Arial" w:cs="Arial" w:eastAsia="Arial" w:hAnsi="Arial"/>
                <w:sz w:val="10"/>
                <w:szCs w:val="10"/>
                <w:color w:val="auto"/>
              </w:rPr>
              <w:t>3,212</w:t>
            </w:r>
          </w:p>
        </w:tc>
        <w:tc>
          <w:tcPr>
            <w:tcW w:w="80" w:type="dxa"/>
            <w:vAlign w:val="bottom"/>
          </w:tcPr>
          <w:p>
            <w:pPr>
              <w:spacing w:after="0"/>
              <w:rPr>
                <w:sz w:val="10"/>
                <w:szCs w:val="10"/>
                <w:color w:val="auto"/>
              </w:rPr>
            </w:pPr>
          </w:p>
        </w:tc>
      </w:tr>
      <w:tr>
        <w:trPr>
          <w:trHeight w:val="130"/>
        </w:trPr>
        <w:tc>
          <w:tcPr>
            <w:tcW w:w="16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Corporate</w:t>
            </w:r>
          </w:p>
        </w:tc>
        <w:tc>
          <w:tcPr>
            <w:tcW w:w="5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262</w:t>
            </w: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0"/>
                <w:szCs w:val="10"/>
                <w:color w:val="auto"/>
              </w:rPr>
              <w:t>418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269</w:t>
            </w:r>
          </w:p>
        </w:tc>
        <w:tc>
          <w:tcPr>
            <w:tcW w:w="80" w:type="dxa"/>
            <w:vAlign w:val="bottom"/>
          </w:tcPr>
          <w:p>
            <w:pPr>
              <w:spacing w:after="0"/>
              <w:rPr>
                <w:sz w:val="11"/>
                <w:szCs w:val="11"/>
                <w:color w:val="auto"/>
              </w:rPr>
            </w:pPr>
          </w:p>
        </w:tc>
      </w:tr>
      <w:tr>
        <w:trPr>
          <w:trHeight w:val="117"/>
        </w:trPr>
        <w:tc>
          <w:tcPr>
            <w:tcW w:w="16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cash capital expenditure</w:t>
            </w: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17,827</w:t>
            </w:r>
          </w:p>
        </w:tc>
        <w:tc>
          <w:tcPr>
            <w:tcW w:w="146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23,919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24,078</w:t>
            </w:r>
          </w:p>
        </w:tc>
        <w:tc>
          <w:tcPr>
            <w:tcW w:w="80" w:type="dxa"/>
            <w:vAlign w:val="bottom"/>
          </w:tcPr>
          <w:p>
            <w:pPr>
              <w:spacing w:after="0"/>
              <w:rPr>
                <w:sz w:val="10"/>
                <w:szCs w:val="10"/>
                <w:color w:val="auto"/>
              </w:rPr>
            </w:pPr>
          </w:p>
        </w:tc>
      </w:tr>
      <w:tr>
        <w:trPr>
          <w:trHeight w:val="253"/>
        </w:trPr>
        <w:tc>
          <w:tcPr>
            <w:tcW w:w="1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60" w:type="dxa"/>
            <w:vAlign w:val="bottom"/>
            <w:gridSpan w:val="2"/>
          </w:tcPr>
          <w:p>
            <w:pPr>
              <w:ind w:left="540"/>
              <w:spacing w:after="0"/>
              <w:rPr>
                <w:sz w:val="20"/>
                <w:szCs w:val="20"/>
                <w:color w:val="auto"/>
              </w:rPr>
            </w:pPr>
            <w:r>
              <w:rPr>
                <w:rFonts w:ascii="Arial" w:cs="Arial" w:eastAsia="Arial" w:hAnsi="Arial"/>
                <w:sz w:val="10"/>
                <w:szCs w:val="10"/>
                <w:color w:val="auto"/>
                <w:w w:val="88"/>
              </w:rPr>
              <w:t>$ billion</w:t>
            </w:r>
          </w:p>
        </w:tc>
      </w:tr>
      <w:tr>
        <w:trPr>
          <w:trHeight w:val="158"/>
        </w:trPr>
        <w:tc>
          <w:tcPr>
            <w:tcW w:w="1600" w:type="dxa"/>
            <w:vAlign w:val="bottom"/>
          </w:tcPr>
          <w:p>
            <w:pPr>
              <w:spacing w:after="0"/>
              <w:rPr>
                <w:sz w:val="13"/>
                <w:szCs w:val="13"/>
                <w:color w:val="auto"/>
              </w:rPr>
            </w:pPr>
          </w:p>
        </w:tc>
        <w:tc>
          <w:tcPr>
            <w:tcW w:w="1600" w:type="dxa"/>
            <w:vAlign w:val="bottom"/>
            <w:gridSpan w:val="2"/>
          </w:tcPr>
          <w:p>
            <w:pPr>
              <w:jc w:val="right"/>
              <w:ind w:right="952"/>
              <w:spacing w:after="0"/>
              <w:rPr>
                <w:sz w:val="20"/>
                <w:szCs w:val="20"/>
                <w:color w:val="auto"/>
              </w:rPr>
            </w:pPr>
            <w:r>
              <w:rPr>
                <w:rFonts w:ascii="Arial" w:cs="Arial" w:eastAsia="Arial" w:hAnsi="Arial"/>
                <w:sz w:val="8"/>
                <w:szCs w:val="8"/>
                <w:color w:val="auto"/>
              </w:rPr>
              <w:t>2020</w:t>
            </w:r>
          </w:p>
        </w:tc>
        <w:tc>
          <w:tcPr>
            <w:tcW w:w="1460" w:type="dxa"/>
            <w:vAlign w:val="bottom"/>
          </w:tcPr>
          <w:p>
            <w:pPr>
              <w:jc w:val="right"/>
              <w:ind w:right="1093"/>
              <w:spacing w:after="0"/>
              <w:rPr>
                <w:sz w:val="20"/>
                <w:szCs w:val="20"/>
                <w:color w:val="auto"/>
              </w:rPr>
            </w:pPr>
            <w:r>
              <w:rPr>
                <w:rFonts w:ascii="Arial" w:cs="Arial" w:eastAsia="Arial" w:hAnsi="Arial"/>
                <w:sz w:val="8"/>
                <w:szCs w:val="8"/>
                <w:color w:val="auto"/>
              </w:rPr>
              <w:t>2019</w:t>
            </w:r>
          </w:p>
        </w:tc>
        <w:tc>
          <w:tcPr>
            <w:tcW w:w="780" w:type="dxa"/>
            <w:vAlign w:val="bottom"/>
          </w:tcPr>
          <w:p>
            <w:pPr>
              <w:jc w:val="right"/>
              <w:ind w:right="213"/>
              <w:spacing w:after="0"/>
              <w:rPr>
                <w:sz w:val="20"/>
                <w:szCs w:val="20"/>
                <w:color w:val="auto"/>
              </w:rPr>
            </w:pPr>
            <w:r>
              <w:rPr>
                <w:rFonts w:ascii="Arial" w:cs="Arial" w:eastAsia="Arial" w:hAnsi="Arial"/>
                <w:sz w:val="8"/>
                <w:szCs w:val="8"/>
                <w:color w:val="auto"/>
              </w:rPr>
              <w:t>2018</w:t>
            </w:r>
          </w:p>
        </w:tc>
        <w:tc>
          <w:tcPr>
            <w:tcW w:w="8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tbl>
      <w:tblPr>
        <w:tblLayout w:type="fixed"/>
        <w:tblInd w:w="0" w:type="dxa"/>
        <w:tblCellMar>
          <w:top w:w="0" w:type="dxa"/>
          <w:left w:w="0" w:type="dxa"/>
          <w:bottom w:w="0" w:type="dxa"/>
          <w:right w:w="0" w:type="dxa"/>
        </w:tblCellMar>
      </w:tblPr>
      <w:tr>
        <w:trPr>
          <w:trHeight w:val="122"/>
        </w:trPr>
        <w:tc>
          <w:tcPr>
            <w:tcW w:w="42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Cash flow from operating activities excluding working capital movements</w:t>
            </w:r>
          </w:p>
        </w:tc>
        <w:tc>
          <w:tcPr>
            <w:tcW w:w="24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shd w:val="clear" w:color="auto" w:fill="D9D9D9"/>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3"/>
        </w:trPr>
        <w:tc>
          <w:tcPr>
            <w:tcW w:w="4200" w:type="dxa"/>
            <w:vAlign w:val="bottom"/>
          </w:tcPr>
          <w:p>
            <w:pPr>
              <w:ind w:left="140"/>
              <w:spacing w:after="0"/>
              <w:rPr>
                <w:sz w:val="20"/>
                <w:szCs w:val="20"/>
                <w:color w:val="auto"/>
              </w:rPr>
            </w:pPr>
            <w:r>
              <w:rPr>
                <w:rFonts w:ascii="Arial" w:cs="Arial" w:eastAsia="Arial" w:hAnsi="Arial"/>
                <w:sz w:val="10"/>
                <w:szCs w:val="10"/>
                <w:color w:val="auto"/>
              </w:rPr>
              <w:t>Integrated Gas</w:t>
            </w:r>
          </w:p>
        </w:tc>
        <w:tc>
          <w:tcPr>
            <w:tcW w:w="2420" w:type="dxa"/>
            <w:vAlign w:val="bottom"/>
          </w:tcPr>
          <w:p>
            <w:pPr>
              <w:spacing w:after="0"/>
              <w:rPr>
                <w:sz w:val="10"/>
                <w:szCs w:val="10"/>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10.8</w:t>
            </w:r>
          </w:p>
        </w:tc>
        <w:tc>
          <w:tcPr>
            <w:tcW w:w="2020" w:type="dxa"/>
            <w:vAlign w:val="bottom"/>
          </w:tcPr>
          <w:p>
            <w:pPr>
              <w:jc w:val="right"/>
              <w:ind w:right="692"/>
              <w:spacing w:after="0"/>
              <w:rPr>
                <w:sz w:val="20"/>
                <w:szCs w:val="20"/>
                <w:color w:val="auto"/>
              </w:rPr>
            </w:pPr>
            <w:r>
              <w:rPr>
                <w:rFonts w:ascii="Arial" w:cs="Arial" w:eastAsia="Arial" w:hAnsi="Arial"/>
                <w:sz w:val="10"/>
                <w:szCs w:val="10"/>
                <w:color w:val="auto"/>
              </w:rPr>
              <w:t>14.8</w:t>
            </w:r>
          </w:p>
        </w:tc>
        <w:tc>
          <w:tcPr>
            <w:tcW w:w="1320" w:type="dxa"/>
            <w:vAlign w:val="bottom"/>
          </w:tcPr>
          <w:p>
            <w:pPr>
              <w:jc w:val="right"/>
              <w:ind w:right="332"/>
              <w:spacing w:after="0"/>
              <w:rPr>
                <w:sz w:val="20"/>
                <w:szCs w:val="20"/>
                <w:color w:val="auto"/>
              </w:rPr>
            </w:pPr>
            <w:r>
              <w:rPr>
                <w:rFonts w:ascii="Arial" w:cs="Arial" w:eastAsia="Arial" w:hAnsi="Arial"/>
                <w:sz w:val="10"/>
                <w:szCs w:val="10"/>
                <w:color w:val="auto"/>
              </w:rPr>
              <w:t>16.3</w:t>
            </w:r>
          </w:p>
        </w:tc>
        <w:tc>
          <w:tcPr>
            <w:tcW w:w="20" w:type="dxa"/>
            <w:vAlign w:val="bottom"/>
          </w:tcPr>
          <w:p>
            <w:pPr>
              <w:spacing w:after="0"/>
              <w:rPr>
                <w:sz w:val="10"/>
                <w:szCs w:val="10"/>
                <w:color w:val="auto"/>
              </w:rPr>
            </w:pP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Upstream</w:t>
            </w:r>
          </w:p>
        </w:tc>
        <w:tc>
          <w:tcPr>
            <w:tcW w:w="2420" w:type="dxa"/>
            <w:vAlign w:val="bottom"/>
          </w:tcPr>
          <w:p>
            <w:pPr>
              <w:spacing w:after="0"/>
              <w:rPr>
                <w:sz w:val="10"/>
                <w:szCs w:val="10"/>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9.8</w:t>
            </w:r>
          </w:p>
        </w:tc>
        <w:tc>
          <w:tcPr>
            <w:tcW w:w="2020" w:type="dxa"/>
            <w:vAlign w:val="bottom"/>
          </w:tcPr>
          <w:p>
            <w:pPr>
              <w:jc w:val="right"/>
              <w:ind w:right="692"/>
              <w:spacing w:after="0"/>
              <w:rPr>
                <w:sz w:val="20"/>
                <w:szCs w:val="20"/>
                <w:color w:val="auto"/>
              </w:rPr>
            </w:pPr>
            <w:r>
              <w:rPr>
                <w:rFonts w:ascii="Arial" w:cs="Arial" w:eastAsia="Arial" w:hAnsi="Arial"/>
                <w:sz w:val="10"/>
                <w:szCs w:val="10"/>
                <w:color w:val="auto"/>
              </w:rPr>
              <w:t>19.9</w:t>
            </w:r>
          </w:p>
        </w:tc>
        <w:tc>
          <w:tcPr>
            <w:tcW w:w="1320" w:type="dxa"/>
            <w:vAlign w:val="bottom"/>
          </w:tcPr>
          <w:p>
            <w:pPr>
              <w:jc w:val="right"/>
              <w:ind w:right="332"/>
              <w:spacing w:after="0"/>
              <w:rPr>
                <w:sz w:val="20"/>
                <w:szCs w:val="20"/>
                <w:color w:val="auto"/>
              </w:rPr>
            </w:pPr>
            <w:r>
              <w:rPr>
                <w:rFonts w:ascii="Arial" w:cs="Arial" w:eastAsia="Arial" w:hAnsi="Arial"/>
                <w:sz w:val="10"/>
                <w:szCs w:val="10"/>
                <w:color w:val="auto"/>
              </w:rPr>
              <w:t>21.4</w:t>
            </w:r>
          </w:p>
        </w:tc>
        <w:tc>
          <w:tcPr>
            <w:tcW w:w="20" w:type="dxa"/>
            <w:vAlign w:val="bottom"/>
          </w:tcPr>
          <w:p>
            <w:pPr>
              <w:spacing w:after="0"/>
              <w:rPr>
                <w:sz w:val="10"/>
                <w:szCs w:val="10"/>
                <w:color w:val="auto"/>
              </w:rPr>
            </w:pP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Oil Products</w:t>
            </w:r>
          </w:p>
        </w:tc>
        <w:tc>
          <w:tcPr>
            <w:tcW w:w="2420" w:type="dxa"/>
            <w:vAlign w:val="bottom"/>
          </w:tcPr>
          <w:p>
            <w:pPr>
              <w:spacing w:after="0"/>
              <w:rPr>
                <w:sz w:val="10"/>
                <w:szCs w:val="10"/>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7.0</w:t>
            </w:r>
          </w:p>
        </w:tc>
        <w:tc>
          <w:tcPr>
            <w:tcW w:w="2020" w:type="dxa"/>
            <w:vAlign w:val="bottom"/>
          </w:tcPr>
          <w:p>
            <w:pPr>
              <w:jc w:val="right"/>
              <w:ind w:right="692"/>
              <w:spacing w:after="0"/>
              <w:rPr>
                <w:sz w:val="20"/>
                <w:szCs w:val="20"/>
                <w:color w:val="auto"/>
              </w:rPr>
            </w:pPr>
            <w:r>
              <w:rPr>
                <w:rFonts w:ascii="Arial" w:cs="Arial" w:eastAsia="Arial" w:hAnsi="Arial"/>
                <w:sz w:val="10"/>
                <w:szCs w:val="10"/>
                <w:color w:val="auto"/>
              </w:rPr>
              <w:t>10.7</w:t>
            </w:r>
          </w:p>
        </w:tc>
        <w:tc>
          <w:tcPr>
            <w:tcW w:w="1320" w:type="dxa"/>
            <w:vAlign w:val="bottom"/>
          </w:tcPr>
          <w:p>
            <w:pPr>
              <w:jc w:val="right"/>
              <w:ind w:right="332"/>
              <w:spacing w:after="0"/>
              <w:rPr>
                <w:sz w:val="20"/>
                <w:szCs w:val="20"/>
                <w:color w:val="auto"/>
              </w:rPr>
            </w:pPr>
            <w:r>
              <w:rPr>
                <w:rFonts w:ascii="Arial" w:cs="Arial" w:eastAsia="Arial" w:hAnsi="Arial"/>
                <w:sz w:val="10"/>
                <w:szCs w:val="10"/>
                <w:color w:val="auto"/>
              </w:rPr>
              <w:t>8.5</w:t>
            </w:r>
          </w:p>
        </w:tc>
        <w:tc>
          <w:tcPr>
            <w:tcW w:w="20" w:type="dxa"/>
            <w:vAlign w:val="bottom"/>
          </w:tcPr>
          <w:p>
            <w:pPr>
              <w:spacing w:after="0"/>
              <w:rPr>
                <w:sz w:val="10"/>
                <w:szCs w:val="10"/>
                <w:color w:val="auto"/>
              </w:rPr>
            </w:pP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Chemicals</w:t>
            </w:r>
          </w:p>
        </w:tc>
        <w:tc>
          <w:tcPr>
            <w:tcW w:w="2420" w:type="dxa"/>
            <w:vAlign w:val="bottom"/>
          </w:tcPr>
          <w:p>
            <w:pPr>
              <w:spacing w:after="0"/>
              <w:rPr>
                <w:sz w:val="10"/>
                <w:szCs w:val="10"/>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1.8</w:t>
            </w:r>
          </w:p>
        </w:tc>
        <w:tc>
          <w:tcPr>
            <w:tcW w:w="2020" w:type="dxa"/>
            <w:vAlign w:val="bottom"/>
          </w:tcPr>
          <w:p>
            <w:pPr>
              <w:jc w:val="right"/>
              <w:ind w:right="692"/>
              <w:spacing w:after="0"/>
              <w:rPr>
                <w:sz w:val="20"/>
                <w:szCs w:val="20"/>
                <w:color w:val="auto"/>
              </w:rPr>
            </w:pPr>
            <w:r>
              <w:rPr>
                <w:rFonts w:ascii="Arial" w:cs="Arial" w:eastAsia="Arial" w:hAnsi="Arial"/>
                <w:sz w:val="10"/>
                <w:szCs w:val="10"/>
                <w:color w:val="auto"/>
              </w:rPr>
              <w:t>1.7</w:t>
            </w:r>
          </w:p>
        </w:tc>
        <w:tc>
          <w:tcPr>
            <w:tcW w:w="1320" w:type="dxa"/>
            <w:vAlign w:val="bottom"/>
          </w:tcPr>
          <w:p>
            <w:pPr>
              <w:jc w:val="right"/>
              <w:ind w:right="332"/>
              <w:spacing w:after="0"/>
              <w:rPr>
                <w:sz w:val="20"/>
                <w:szCs w:val="20"/>
                <w:color w:val="auto"/>
              </w:rPr>
            </w:pPr>
            <w:r>
              <w:rPr>
                <w:rFonts w:ascii="Arial" w:cs="Arial" w:eastAsia="Arial" w:hAnsi="Arial"/>
                <w:sz w:val="10"/>
                <w:szCs w:val="10"/>
                <w:color w:val="auto"/>
              </w:rPr>
              <w:t>2.8</w:t>
            </w:r>
          </w:p>
        </w:tc>
        <w:tc>
          <w:tcPr>
            <w:tcW w:w="20" w:type="dxa"/>
            <w:vAlign w:val="bottom"/>
          </w:tcPr>
          <w:p>
            <w:pPr>
              <w:spacing w:after="0"/>
              <w:rPr>
                <w:sz w:val="10"/>
                <w:szCs w:val="10"/>
                <w:color w:val="auto"/>
              </w:rPr>
            </w:pPr>
          </w:p>
        </w:tc>
      </w:tr>
      <w:tr>
        <w:trPr>
          <w:trHeight w:val="130"/>
        </w:trPr>
        <w:tc>
          <w:tcPr>
            <w:tcW w:w="420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Corporate</w:t>
            </w:r>
          </w:p>
        </w:tc>
        <w:tc>
          <w:tcPr>
            <w:tcW w:w="24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0.1</w:t>
            </w:r>
          </w:p>
        </w:tc>
        <w:tc>
          <w:tcPr>
            <w:tcW w:w="202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rPr>
              <w:t>(0.3)</w:t>
            </w: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0.7</w:t>
            </w:r>
          </w:p>
        </w:tc>
        <w:tc>
          <w:tcPr>
            <w:tcW w:w="20" w:type="dxa"/>
            <w:vAlign w:val="bottom"/>
          </w:tcPr>
          <w:p>
            <w:pPr>
              <w:spacing w:after="0"/>
              <w:rPr>
                <w:sz w:val="11"/>
                <w:szCs w:val="11"/>
                <w:color w:val="auto"/>
              </w:rPr>
            </w:pPr>
          </w:p>
        </w:tc>
      </w:tr>
      <w:tr>
        <w:trPr>
          <w:trHeight w:val="114"/>
        </w:trPr>
        <w:tc>
          <w:tcPr>
            <w:tcW w:w="4200" w:type="dxa"/>
            <w:vAlign w:val="bottom"/>
          </w:tcPr>
          <w:p>
            <w:pPr>
              <w:spacing w:after="0"/>
              <w:rPr>
                <w:sz w:val="20"/>
                <w:szCs w:val="20"/>
                <w:color w:val="auto"/>
              </w:rPr>
            </w:pPr>
            <w:r>
              <w:rPr>
                <w:rFonts w:ascii="Arial" w:cs="Arial" w:eastAsia="Arial" w:hAnsi="Arial"/>
                <w:sz w:val="10"/>
                <w:szCs w:val="10"/>
                <w:color w:val="auto"/>
              </w:rPr>
              <w:t>Total</w:t>
            </w:r>
          </w:p>
        </w:tc>
        <w:tc>
          <w:tcPr>
            <w:tcW w:w="2420" w:type="dxa"/>
            <w:vAlign w:val="bottom"/>
          </w:tcPr>
          <w:p>
            <w:pPr>
              <w:spacing w:after="0"/>
              <w:rPr>
                <w:sz w:val="9"/>
                <w:szCs w:val="9"/>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29.5</w:t>
            </w:r>
          </w:p>
        </w:tc>
        <w:tc>
          <w:tcPr>
            <w:tcW w:w="2020" w:type="dxa"/>
            <w:vAlign w:val="bottom"/>
          </w:tcPr>
          <w:p>
            <w:pPr>
              <w:jc w:val="right"/>
              <w:ind w:right="692"/>
              <w:spacing w:after="0"/>
              <w:rPr>
                <w:sz w:val="20"/>
                <w:szCs w:val="20"/>
                <w:color w:val="auto"/>
              </w:rPr>
            </w:pPr>
            <w:r>
              <w:rPr>
                <w:rFonts w:ascii="Arial" w:cs="Arial" w:eastAsia="Arial" w:hAnsi="Arial"/>
                <w:sz w:val="10"/>
                <w:szCs w:val="10"/>
                <w:color w:val="auto"/>
              </w:rPr>
              <w:t>47.0</w:t>
            </w:r>
          </w:p>
        </w:tc>
        <w:tc>
          <w:tcPr>
            <w:tcW w:w="1320" w:type="dxa"/>
            <w:vAlign w:val="bottom"/>
          </w:tcPr>
          <w:p>
            <w:pPr>
              <w:jc w:val="right"/>
              <w:ind w:right="332"/>
              <w:spacing w:after="0"/>
              <w:rPr>
                <w:sz w:val="20"/>
                <w:szCs w:val="20"/>
                <w:color w:val="auto"/>
              </w:rPr>
            </w:pPr>
            <w:r>
              <w:rPr>
                <w:rFonts w:ascii="Arial" w:cs="Arial" w:eastAsia="Arial" w:hAnsi="Arial"/>
                <w:sz w:val="10"/>
                <w:szCs w:val="10"/>
                <w:color w:val="auto"/>
              </w:rPr>
              <w:t>49.7</w:t>
            </w:r>
          </w:p>
        </w:tc>
        <w:tc>
          <w:tcPr>
            <w:tcW w:w="20" w:type="dxa"/>
            <w:vAlign w:val="bottom"/>
          </w:tcPr>
          <w:p>
            <w:pPr>
              <w:spacing w:after="0"/>
              <w:rPr>
                <w:sz w:val="9"/>
                <w:szCs w:val="9"/>
                <w:color w:val="auto"/>
              </w:rPr>
            </w:pPr>
          </w:p>
        </w:tc>
      </w:tr>
      <w:tr>
        <w:trPr>
          <w:trHeight w:val="123"/>
        </w:trPr>
        <w:tc>
          <w:tcPr>
            <w:tcW w:w="4200" w:type="dxa"/>
            <w:vAlign w:val="bottom"/>
          </w:tcPr>
          <w:p>
            <w:pPr>
              <w:spacing w:after="0"/>
              <w:rPr>
                <w:sz w:val="20"/>
                <w:szCs w:val="20"/>
                <w:color w:val="auto"/>
              </w:rPr>
            </w:pPr>
            <w:r>
              <w:rPr>
                <w:rFonts w:ascii="Arial" w:cs="Arial" w:eastAsia="Arial" w:hAnsi="Arial"/>
                <w:sz w:val="10"/>
                <w:szCs w:val="10"/>
                <w:color w:val="auto"/>
              </w:rPr>
              <w:t>(Increase)/decrease in inventories</w:t>
            </w:r>
          </w:p>
        </w:tc>
        <w:tc>
          <w:tcPr>
            <w:tcW w:w="2420" w:type="dxa"/>
            <w:vAlign w:val="bottom"/>
          </w:tcPr>
          <w:p>
            <w:pPr>
              <w:spacing w:after="0"/>
              <w:rPr>
                <w:sz w:val="10"/>
                <w:szCs w:val="10"/>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4.5</w:t>
            </w:r>
          </w:p>
        </w:tc>
        <w:tc>
          <w:tcPr>
            <w:tcW w:w="2020" w:type="dxa"/>
            <w:vAlign w:val="bottom"/>
          </w:tcPr>
          <w:p>
            <w:pPr>
              <w:jc w:val="right"/>
              <w:ind w:right="652"/>
              <w:spacing w:after="0"/>
              <w:rPr>
                <w:sz w:val="20"/>
                <w:szCs w:val="20"/>
                <w:color w:val="auto"/>
              </w:rPr>
            </w:pPr>
            <w:r>
              <w:rPr>
                <w:rFonts w:ascii="Arial" w:cs="Arial" w:eastAsia="Arial" w:hAnsi="Arial"/>
                <w:sz w:val="10"/>
                <w:szCs w:val="10"/>
                <w:color w:val="auto"/>
              </w:rPr>
              <w:t>(2.6)</w:t>
            </w:r>
          </w:p>
        </w:tc>
        <w:tc>
          <w:tcPr>
            <w:tcW w:w="1320" w:type="dxa"/>
            <w:vAlign w:val="bottom"/>
          </w:tcPr>
          <w:p>
            <w:pPr>
              <w:jc w:val="right"/>
              <w:ind w:right="332"/>
              <w:spacing w:after="0"/>
              <w:rPr>
                <w:sz w:val="20"/>
                <w:szCs w:val="20"/>
                <w:color w:val="auto"/>
              </w:rPr>
            </w:pPr>
            <w:r>
              <w:rPr>
                <w:rFonts w:ascii="Arial" w:cs="Arial" w:eastAsia="Arial" w:hAnsi="Arial"/>
                <w:sz w:val="10"/>
                <w:szCs w:val="10"/>
                <w:color w:val="auto"/>
              </w:rPr>
              <w:t>2.8</w:t>
            </w:r>
          </w:p>
        </w:tc>
        <w:tc>
          <w:tcPr>
            <w:tcW w:w="20" w:type="dxa"/>
            <w:vAlign w:val="bottom"/>
          </w:tcPr>
          <w:p>
            <w:pPr>
              <w:spacing w:after="0"/>
              <w:rPr>
                <w:sz w:val="10"/>
                <w:szCs w:val="10"/>
                <w:color w:val="auto"/>
              </w:rPr>
            </w:pP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(Increase)/decrease in current receivables</w:t>
            </w:r>
          </w:p>
        </w:tc>
        <w:tc>
          <w:tcPr>
            <w:tcW w:w="2420" w:type="dxa"/>
            <w:vAlign w:val="bottom"/>
          </w:tcPr>
          <w:p>
            <w:pPr>
              <w:spacing w:after="0"/>
              <w:rPr>
                <w:sz w:val="10"/>
                <w:szCs w:val="10"/>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9.6</w:t>
            </w:r>
          </w:p>
        </w:tc>
        <w:tc>
          <w:tcPr>
            <w:tcW w:w="2020" w:type="dxa"/>
            <w:vAlign w:val="bottom"/>
          </w:tcPr>
          <w:p>
            <w:pPr>
              <w:jc w:val="right"/>
              <w:ind w:right="652"/>
              <w:spacing w:after="0"/>
              <w:rPr>
                <w:sz w:val="20"/>
                <w:szCs w:val="20"/>
                <w:color w:val="auto"/>
              </w:rPr>
            </w:pPr>
            <w:r>
              <w:rPr>
                <w:rFonts w:ascii="Arial" w:cs="Arial" w:eastAsia="Arial" w:hAnsi="Arial"/>
                <w:sz w:val="10"/>
                <w:szCs w:val="10"/>
                <w:color w:val="auto"/>
              </w:rPr>
              <w:t>(0.9)</w:t>
            </w:r>
          </w:p>
        </w:tc>
        <w:tc>
          <w:tcPr>
            <w:tcW w:w="1320" w:type="dxa"/>
            <w:vAlign w:val="bottom"/>
          </w:tcPr>
          <w:p>
            <w:pPr>
              <w:jc w:val="right"/>
              <w:ind w:right="332"/>
              <w:spacing w:after="0"/>
              <w:rPr>
                <w:sz w:val="20"/>
                <w:szCs w:val="20"/>
                <w:color w:val="auto"/>
              </w:rPr>
            </w:pPr>
            <w:r>
              <w:rPr>
                <w:rFonts w:ascii="Arial" w:cs="Arial" w:eastAsia="Arial" w:hAnsi="Arial"/>
                <w:sz w:val="10"/>
                <w:szCs w:val="10"/>
                <w:color w:val="auto"/>
              </w:rPr>
              <w:t>2.0</w:t>
            </w:r>
          </w:p>
        </w:tc>
        <w:tc>
          <w:tcPr>
            <w:tcW w:w="20" w:type="dxa"/>
            <w:vAlign w:val="bottom"/>
          </w:tcPr>
          <w:p>
            <w:pPr>
              <w:spacing w:after="0"/>
              <w:rPr>
                <w:sz w:val="10"/>
                <w:szCs w:val="10"/>
                <w:color w:val="auto"/>
              </w:rPr>
            </w:pPr>
          </w:p>
        </w:tc>
      </w:tr>
      <w:tr>
        <w:trPr>
          <w:trHeight w:val="130"/>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Increase/(decrease) in current payables</w:t>
            </w:r>
          </w:p>
        </w:tc>
        <w:tc>
          <w:tcPr>
            <w:tcW w:w="24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(9.5)</w:t>
            </w:r>
          </w:p>
        </w:tc>
        <w:tc>
          <w:tcPr>
            <w:tcW w:w="202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rPr>
              <w:t>(1.2)</w:t>
            </w:r>
          </w:p>
        </w:tc>
        <w:tc>
          <w:tcPr>
            <w:tcW w:w="13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(1.3)</w:t>
            </w:r>
          </w:p>
        </w:tc>
        <w:tc>
          <w:tcPr>
            <w:tcW w:w="20" w:type="dxa"/>
            <w:vAlign w:val="bottom"/>
          </w:tcPr>
          <w:p>
            <w:pPr>
              <w:spacing w:after="0"/>
              <w:rPr>
                <w:sz w:val="11"/>
                <w:szCs w:val="11"/>
                <w:color w:val="auto"/>
              </w:rPr>
            </w:pPr>
          </w:p>
        </w:tc>
      </w:tr>
      <w:tr>
        <w:trPr>
          <w:trHeight w:val="114"/>
        </w:trPr>
        <w:tc>
          <w:tcPr>
            <w:tcW w:w="4200" w:type="dxa"/>
            <w:vAlign w:val="bottom"/>
          </w:tcPr>
          <w:p>
            <w:pPr>
              <w:spacing w:after="0"/>
              <w:rPr>
                <w:sz w:val="20"/>
                <w:szCs w:val="20"/>
                <w:color w:val="auto"/>
              </w:rPr>
            </w:pPr>
            <w:r>
              <w:rPr>
                <w:rFonts w:ascii="Arial" w:cs="Arial" w:eastAsia="Arial" w:hAnsi="Arial"/>
                <w:sz w:val="10"/>
                <w:szCs w:val="10"/>
                <w:color w:val="auto"/>
              </w:rPr>
              <w:t>(Increase)/decrease in working capital</w:t>
            </w:r>
          </w:p>
        </w:tc>
        <w:tc>
          <w:tcPr>
            <w:tcW w:w="2420" w:type="dxa"/>
            <w:vAlign w:val="bottom"/>
          </w:tcPr>
          <w:p>
            <w:pPr>
              <w:spacing w:after="0"/>
              <w:rPr>
                <w:sz w:val="9"/>
                <w:szCs w:val="9"/>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4.6</w:t>
            </w:r>
          </w:p>
        </w:tc>
        <w:tc>
          <w:tcPr>
            <w:tcW w:w="2020" w:type="dxa"/>
            <w:vAlign w:val="bottom"/>
          </w:tcPr>
          <w:p>
            <w:pPr>
              <w:jc w:val="right"/>
              <w:ind w:right="652"/>
              <w:spacing w:after="0"/>
              <w:rPr>
                <w:sz w:val="20"/>
                <w:szCs w:val="20"/>
                <w:color w:val="auto"/>
              </w:rPr>
            </w:pPr>
            <w:r>
              <w:rPr>
                <w:rFonts w:ascii="Arial" w:cs="Arial" w:eastAsia="Arial" w:hAnsi="Arial"/>
                <w:sz w:val="10"/>
                <w:szCs w:val="10"/>
                <w:color w:val="auto"/>
              </w:rPr>
              <w:t>(4.8)</w:t>
            </w:r>
          </w:p>
        </w:tc>
        <w:tc>
          <w:tcPr>
            <w:tcW w:w="1320" w:type="dxa"/>
            <w:vAlign w:val="bottom"/>
          </w:tcPr>
          <w:p>
            <w:pPr>
              <w:jc w:val="right"/>
              <w:ind w:right="332"/>
              <w:spacing w:after="0"/>
              <w:rPr>
                <w:sz w:val="20"/>
                <w:szCs w:val="20"/>
                <w:color w:val="auto"/>
              </w:rPr>
            </w:pPr>
            <w:r>
              <w:rPr>
                <w:rFonts w:ascii="Arial" w:cs="Arial" w:eastAsia="Arial" w:hAnsi="Arial"/>
                <w:sz w:val="10"/>
                <w:szCs w:val="10"/>
                <w:color w:val="auto"/>
              </w:rPr>
              <w:t>3.4</w:t>
            </w:r>
          </w:p>
        </w:tc>
        <w:tc>
          <w:tcPr>
            <w:tcW w:w="20" w:type="dxa"/>
            <w:vAlign w:val="bottom"/>
          </w:tcPr>
          <w:p>
            <w:pPr>
              <w:spacing w:after="0"/>
              <w:rPr>
                <w:sz w:val="9"/>
                <w:szCs w:val="9"/>
                <w:color w:val="auto"/>
              </w:rPr>
            </w:pPr>
          </w:p>
        </w:tc>
      </w:tr>
      <w:tr>
        <w:trPr>
          <w:trHeight w:val="123"/>
        </w:trPr>
        <w:tc>
          <w:tcPr>
            <w:tcW w:w="4200" w:type="dxa"/>
            <w:vAlign w:val="bottom"/>
          </w:tcPr>
          <w:p>
            <w:pPr>
              <w:spacing w:after="0"/>
              <w:rPr>
                <w:sz w:val="20"/>
                <w:szCs w:val="20"/>
                <w:color w:val="auto"/>
              </w:rPr>
            </w:pPr>
            <w:r>
              <w:rPr>
                <w:rFonts w:ascii="Arial" w:cs="Arial" w:eastAsia="Arial" w:hAnsi="Arial"/>
                <w:sz w:val="10"/>
                <w:szCs w:val="10"/>
                <w:color w:val="auto"/>
              </w:rPr>
              <w:t>Cash flow from operating activities</w:t>
            </w:r>
          </w:p>
        </w:tc>
        <w:tc>
          <w:tcPr>
            <w:tcW w:w="2420" w:type="dxa"/>
            <w:vAlign w:val="bottom"/>
          </w:tcPr>
          <w:p>
            <w:pPr>
              <w:spacing w:after="0"/>
              <w:rPr>
                <w:sz w:val="10"/>
                <w:szCs w:val="10"/>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34.1</w:t>
            </w:r>
          </w:p>
        </w:tc>
        <w:tc>
          <w:tcPr>
            <w:tcW w:w="2020" w:type="dxa"/>
            <w:vAlign w:val="bottom"/>
          </w:tcPr>
          <w:p>
            <w:pPr>
              <w:jc w:val="right"/>
              <w:ind w:right="692"/>
              <w:spacing w:after="0"/>
              <w:rPr>
                <w:sz w:val="20"/>
                <w:szCs w:val="20"/>
                <w:color w:val="auto"/>
              </w:rPr>
            </w:pPr>
            <w:r>
              <w:rPr>
                <w:rFonts w:ascii="Arial" w:cs="Arial" w:eastAsia="Arial" w:hAnsi="Arial"/>
                <w:sz w:val="10"/>
                <w:szCs w:val="10"/>
                <w:color w:val="auto"/>
              </w:rPr>
              <w:t>42.2</w:t>
            </w:r>
          </w:p>
        </w:tc>
        <w:tc>
          <w:tcPr>
            <w:tcW w:w="1320" w:type="dxa"/>
            <w:vAlign w:val="bottom"/>
          </w:tcPr>
          <w:p>
            <w:pPr>
              <w:jc w:val="right"/>
              <w:ind w:right="332"/>
              <w:spacing w:after="0"/>
              <w:rPr>
                <w:sz w:val="20"/>
                <w:szCs w:val="20"/>
                <w:color w:val="auto"/>
              </w:rPr>
            </w:pPr>
            <w:r>
              <w:rPr>
                <w:rFonts w:ascii="Arial" w:cs="Arial" w:eastAsia="Arial" w:hAnsi="Arial"/>
                <w:sz w:val="10"/>
                <w:szCs w:val="10"/>
                <w:color w:val="auto"/>
              </w:rPr>
              <w:t>53.1</w:t>
            </w:r>
          </w:p>
        </w:tc>
        <w:tc>
          <w:tcPr>
            <w:tcW w:w="20" w:type="dxa"/>
            <w:vAlign w:val="bottom"/>
          </w:tcPr>
          <w:p>
            <w:pPr>
              <w:spacing w:after="0"/>
              <w:rPr>
                <w:sz w:val="10"/>
                <w:szCs w:val="10"/>
                <w:color w:val="auto"/>
              </w:rPr>
            </w:pP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Cash flow from investing activities</w:t>
            </w:r>
          </w:p>
        </w:tc>
        <w:tc>
          <w:tcPr>
            <w:tcW w:w="2420" w:type="dxa"/>
            <w:vAlign w:val="bottom"/>
          </w:tcPr>
          <w:p>
            <w:pPr>
              <w:spacing w:after="0"/>
              <w:rPr>
                <w:sz w:val="10"/>
                <w:szCs w:val="10"/>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(13.3)</w:t>
            </w:r>
          </w:p>
        </w:tc>
        <w:tc>
          <w:tcPr>
            <w:tcW w:w="2020" w:type="dxa"/>
            <w:vAlign w:val="bottom"/>
          </w:tcPr>
          <w:p>
            <w:pPr>
              <w:jc w:val="right"/>
              <w:ind w:right="652"/>
              <w:spacing w:after="0"/>
              <w:rPr>
                <w:sz w:val="20"/>
                <w:szCs w:val="20"/>
                <w:color w:val="auto"/>
              </w:rPr>
            </w:pPr>
            <w:r>
              <w:rPr>
                <w:rFonts w:ascii="Arial" w:cs="Arial" w:eastAsia="Arial" w:hAnsi="Arial"/>
                <w:sz w:val="10"/>
                <w:szCs w:val="10"/>
                <w:color w:val="auto"/>
              </w:rPr>
              <w:t>(15.8)</w:t>
            </w:r>
          </w:p>
        </w:tc>
        <w:tc>
          <w:tcPr>
            <w:tcW w:w="1320" w:type="dxa"/>
            <w:vAlign w:val="bottom"/>
          </w:tcPr>
          <w:p>
            <w:pPr>
              <w:jc w:val="right"/>
              <w:ind w:right="312"/>
              <w:spacing w:after="0"/>
              <w:rPr>
                <w:sz w:val="20"/>
                <w:szCs w:val="20"/>
                <w:color w:val="auto"/>
              </w:rPr>
            </w:pPr>
            <w:r>
              <w:rPr>
                <w:rFonts w:ascii="Arial" w:cs="Arial" w:eastAsia="Arial" w:hAnsi="Arial"/>
                <w:sz w:val="10"/>
                <w:szCs w:val="10"/>
                <w:color w:val="auto"/>
              </w:rPr>
              <w:t>(13.7)</w:t>
            </w:r>
          </w:p>
        </w:tc>
        <w:tc>
          <w:tcPr>
            <w:tcW w:w="20" w:type="dxa"/>
            <w:vAlign w:val="bottom"/>
          </w:tcPr>
          <w:p>
            <w:pPr>
              <w:spacing w:after="0"/>
              <w:rPr>
                <w:sz w:val="10"/>
                <w:szCs w:val="10"/>
                <w:color w:val="auto"/>
              </w:rPr>
            </w:pP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Cash flow from financing activities</w:t>
            </w:r>
          </w:p>
        </w:tc>
        <w:tc>
          <w:tcPr>
            <w:tcW w:w="2420" w:type="dxa"/>
            <w:vAlign w:val="bottom"/>
          </w:tcPr>
          <w:p>
            <w:pPr>
              <w:spacing w:after="0"/>
              <w:rPr>
                <w:sz w:val="10"/>
                <w:szCs w:val="10"/>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(7.2)</w:t>
            </w:r>
          </w:p>
        </w:tc>
        <w:tc>
          <w:tcPr>
            <w:tcW w:w="2020" w:type="dxa"/>
            <w:vAlign w:val="bottom"/>
          </w:tcPr>
          <w:p>
            <w:pPr>
              <w:jc w:val="right"/>
              <w:ind w:right="652"/>
              <w:spacing w:after="0"/>
              <w:rPr>
                <w:sz w:val="20"/>
                <w:szCs w:val="20"/>
                <w:color w:val="auto"/>
              </w:rPr>
            </w:pPr>
            <w:r>
              <w:rPr>
                <w:rFonts w:ascii="Arial" w:cs="Arial" w:eastAsia="Arial" w:hAnsi="Arial"/>
                <w:sz w:val="10"/>
                <w:szCs w:val="10"/>
                <w:color w:val="auto"/>
              </w:rPr>
              <w:t>(35.2)</w:t>
            </w:r>
          </w:p>
        </w:tc>
        <w:tc>
          <w:tcPr>
            <w:tcW w:w="1320" w:type="dxa"/>
            <w:vAlign w:val="bottom"/>
          </w:tcPr>
          <w:p>
            <w:pPr>
              <w:jc w:val="right"/>
              <w:ind w:right="312"/>
              <w:spacing w:after="0"/>
              <w:rPr>
                <w:sz w:val="20"/>
                <w:szCs w:val="20"/>
                <w:color w:val="auto"/>
              </w:rPr>
            </w:pPr>
            <w:r>
              <w:rPr>
                <w:rFonts w:ascii="Arial" w:cs="Arial" w:eastAsia="Arial" w:hAnsi="Arial"/>
                <w:sz w:val="10"/>
                <w:szCs w:val="10"/>
                <w:color w:val="auto"/>
              </w:rPr>
              <w:t>(32.5)</w:t>
            </w:r>
          </w:p>
        </w:tc>
        <w:tc>
          <w:tcPr>
            <w:tcW w:w="20" w:type="dxa"/>
            <w:vAlign w:val="bottom"/>
          </w:tcPr>
          <w:p>
            <w:pPr>
              <w:spacing w:after="0"/>
              <w:rPr>
                <w:sz w:val="10"/>
                <w:szCs w:val="10"/>
                <w:color w:val="auto"/>
              </w:rPr>
            </w:pPr>
          </w:p>
        </w:tc>
      </w:tr>
      <w:tr>
        <w:trPr>
          <w:trHeight w:val="130"/>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Currency translation differences relating to cash and cash equivalents</w:t>
            </w:r>
          </w:p>
        </w:tc>
        <w:tc>
          <w:tcPr>
            <w:tcW w:w="24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0.2</w:t>
            </w:r>
          </w:p>
        </w:tc>
        <w:tc>
          <w:tcPr>
            <w:tcW w:w="202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rPr>
              <w:t>0.1</w:t>
            </w:r>
          </w:p>
        </w:tc>
        <w:tc>
          <w:tcPr>
            <w:tcW w:w="13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(0.4)</w:t>
            </w:r>
          </w:p>
        </w:tc>
        <w:tc>
          <w:tcPr>
            <w:tcW w:w="20" w:type="dxa"/>
            <w:vAlign w:val="bottom"/>
          </w:tcPr>
          <w:p>
            <w:pPr>
              <w:spacing w:after="0"/>
              <w:rPr>
                <w:sz w:val="11"/>
                <w:szCs w:val="11"/>
                <w:color w:val="auto"/>
              </w:rPr>
            </w:pPr>
          </w:p>
        </w:tc>
      </w:tr>
      <w:tr>
        <w:trPr>
          <w:trHeight w:val="114"/>
        </w:trPr>
        <w:tc>
          <w:tcPr>
            <w:tcW w:w="4200" w:type="dxa"/>
            <w:vAlign w:val="bottom"/>
          </w:tcPr>
          <w:p>
            <w:pPr>
              <w:spacing w:after="0"/>
              <w:rPr>
                <w:sz w:val="20"/>
                <w:szCs w:val="20"/>
                <w:color w:val="auto"/>
              </w:rPr>
            </w:pPr>
            <w:r>
              <w:rPr>
                <w:rFonts w:ascii="Arial" w:cs="Arial" w:eastAsia="Arial" w:hAnsi="Arial"/>
                <w:sz w:val="10"/>
                <w:szCs w:val="10"/>
                <w:color w:val="auto"/>
              </w:rPr>
              <w:t>Increase/(decrease) in cash and cash equivalents</w:t>
            </w:r>
          </w:p>
        </w:tc>
        <w:tc>
          <w:tcPr>
            <w:tcW w:w="2420" w:type="dxa"/>
            <w:vAlign w:val="bottom"/>
          </w:tcPr>
          <w:p>
            <w:pPr>
              <w:spacing w:after="0"/>
              <w:rPr>
                <w:sz w:val="9"/>
                <w:szCs w:val="9"/>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13.8</w:t>
            </w:r>
          </w:p>
        </w:tc>
        <w:tc>
          <w:tcPr>
            <w:tcW w:w="2020" w:type="dxa"/>
            <w:vAlign w:val="bottom"/>
          </w:tcPr>
          <w:p>
            <w:pPr>
              <w:jc w:val="right"/>
              <w:ind w:right="652"/>
              <w:spacing w:after="0"/>
              <w:rPr>
                <w:sz w:val="20"/>
                <w:szCs w:val="20"/>
                <w:color w:val="auto"/>
              </w:rPr>
            </w:pPr>
            <w:r>
              <w:rPr>
                <w:rFonts w:ascii="Arial" w:cs="Arial" w:eastAsia="Arial" w:hAnsi="Arial"/>
                <w:sz w:val="10"/>
                <w:szCs w:val="10"/>
                <w:color w:val="auto"/>
              </w:rPr>
              <w:t>(8.7)</w:t>
            </w:r>
          </w:p>
        </w:tc>
        <w:tc>
          <w:tcPr>
            <w:tcW w:w="1320" w:type="dxa"/>
            <w:vAlign w:val="bottom"/>
          </w:tcPr>
          <w:p>
            <w:pPr>
              <w:jc w:val="right"/>
              <w:ind w:right="332"/>
              <w:spacing w:after="0"/>
              <w:rPr>
                <w:sz w:val="20"/>
                <w:szCs w:val="20"/>
                <w:color w:val="auto"/>
              </w:rPr>
            </w:pPr>
            <w:r>
              <w:rPr>
                <w:rFonts w:ascii="Arial" w:cs="Arial" w:eastAsia="Arial" w:hAnsi="Arial"/>
                <w:sz w:val="10"/>
                <w:szCs w:val="10"/>
                <w:color w:val="auto"/>
              </w:rPr>
              <w:t>6.4</w:t>
            </w:r>
          </w:p>
        </w:tc>
        <w:tc>
          <w:tcPr>
            <w:tcW w:w="20" w:type="dxa"/>
            <w:vAlign w:val="bottom"/>
          </w:tcPr>
          <w:p>
            <w:pPr>
              <w:spacing w:after="0"/>
              <w:rPr>
                <w:sz w:val="9"/>
                <w:szCs w:val="9"/>
                <w:color w:val="auto"/>
              </w:rPr>
            </w:pPr>
          </w:p>
        </w:tc>
      </w:tr>
      <w:tr>
        <w:trPr>
          <w:trHeight w:val="127"/>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Cash and cash equivalents at the beginning of the year</w:t>
            </w:r>
          </w:p>
        </w:tc>
        <w:tc>
          <w:tcPr>
            <w:tcW w:w="24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18.1</w:t>
            </w:r>
          </w:p>
        </w:tc>
        <w:tc>
          <w:tcPr>
            <w:tcW w:w="202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rPr>
              <w:t>26.7</w:t>
            </w: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20.3</w:t>
            </w:r>
          </w:p>
        </w:tc>
        <w:tc>
          <w:tcPr>
            <w:tcW w:w="20" w:type="dxa"/>
            <w:vAlign w:val="bottom"/>
          </w:tcPr>
          <w:p>
            <w:pPr>
              <w:spacing w:after="0"/>
              <w:rPr>
                <w:sz w:val="11"/>
                <w:szCs w:val="11"/>
                <w:color w:val="auto"/>
              </w:rPr>
            </w:pPr>
          </w:p>
        </w:tc>
      </w:tr>
      <w:tr>
        <w:trPr>
          <w:trHeight w:val="117"/>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Cash and cash equivalents at the end of the year</w:t>
            </w:r>
          </w:p>
        </w:tc>
        <w:tc>
          <w:tcPr>
            <w:tcW w:w="24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31.8</w:t>
            </w:r>
          </w:p>
        </w:tc>
        <w:tc>
          <w:tcPr>
            <w:tcW w:w="202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rPr>
              <w:t>18.1</w:t>
            </w: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26.7</w:t>
            </w:r>
          </w:p>
        </w:tc>
        <w:tc>
          <w:tcPr>
            <w:tcW w:w="20" w:type="dxa"/>
            <w:vAlign w:val="bottom"/>
          </w:tcPr>
          <w:p>
            <w:pPr>
              <w:spacing w:after="0"/>
              <w:rPr>
                <w:sz w:val="10"/>
                <w:szCs w:val="10"/>
                <w:color w:val="auto"/>
              </w:rPr>
            </w:pPr>
          </w:p>
        </w:tc>
      </w:tr>
      <w:tr>
        <w:trPr>
          <w:trHeight w:val="128"/>
        </w:trPr>
        <w:tc>
          <w:tcPr>
            <w:tcW w:w="4200" w:type="dxa"/>
            <w:vAlign w:val="bottom"/>
          </w:tcPr>
          <w:p>
            <w:pPr>
              <w:spacing w:after="0"/>
              <w:rPr>
                <w:sz w:val="20"/>
                <w:szCs w:val="20"/>
                <w:color w:val="auto"/>
              </w:rPr>
            </w:pPr>
            <w:r>
              <w:rPr>
                <w:rFonts w:ascii="Arial" w:cs="Arial" w:eastAsia="Arial" w:hAnsi="Arial"/>
                <w:sz w:val="7"/>
                <w:szCs w:val="7"/>
                <w:color w:val="auto"/>
              </w:rPr>
              <w:t>[A] See the “Consolidated Statement of Cash Flows” on page 168.</w:t>
            </w:r>
          </w:p>
        </w:tc>
        <w:tc>
          <w:tcPr>
            <w:tcW w:w="24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603"/>
        </w:trPr>
        <w:tc>
          <w:tcPr>
            <w:tcW w:w="42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2420" w:type="dxa"/>
            <w:vAlign w:val="bottom"/>
          </w:tcPr>
          <w:p>
            <w:pPr>
              <w:jc w:val="right"/>
              <w:ind w:right="984"/>
              <w:spacing w:after="0"/>
              <w:rPr>
                <w:sz w:val="20"/>
                <w:szCs w:val="20"/>
                <w:color w:val="auto"/>
              </w:rPr>
            </w:pPr>
            <w:r>
              <w:rPr>
                <w:rFonts w:ascii="Arial" w:cs="Arial" w:eastAsia="Arial" w:hAnsi="Arial"/>
                <w:sz w:val="7"/>
                <w:szCs w:val="7"/>
                <w:color w:val="auto"/>
              </w:rPr>
              <w:t>62</w:t>
            </w:r>
          </w:p>
        </w:tc>
        <w:tc>
          <w:tcPr>
            <w:tcW w:w="1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4200" w:type="dxa"/>
            <w:vAlign w:val="bottom"/>
            <w:tcBorders>
              <w:bottom w:val="single" w:sz="8" w:color="9A9A9A"/>
            </w:tcBorders>
          </w:tcPr>
          <w:p>
            <w:pPr>
              <w:spacing w:after="0"/>
              <w:rPr>
                <w:sz w:val="12"/>
                <w:szCs w:val="12"/>
                <w:color w:val="auto"/>
              </w:rPr>
            </w:pPr>
          </w:p>
        </w:tc>
        <w:tc>
          <w:tcPr>
            <w:tcW w:w="24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20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65" w:name="page66"/>
    <w:bookmarkEnd w:id="65"/>
    <w:p>
      <w:pPr>
        <w:spacing w:after="0" w:line="7" w:lineRule="exact"/>
        <w:rPr>
          <w:sz w:val="20"/>
          <w:szCs w:val="20"/>
          <w:color w:val="auto"/>
        </w:rPr>
      </w:pPr>
    </w:p>
    <w:p>
      <w:pPr>
        <w:ind w:left="8"/>
        <w:spacing w:after="0"/>
        <w:rPr>
          <w:sz w:val="20"/>
          <w:szCs w:val="20"/>
          <w:color w:val="auto"/>
        </w:rPr>
      </w:pPr>
      <w:r>
        <w:rPr>
          <w:rFonts w:ascii="Arial" w:cs="Arial" w:eastAsia="Arial" w:hAnsi="Arial"/>
          <w:sz w:val="11"/>
          <w:szCs w:val="11"/>
          <w:color w:val="auto"/>
        </w:rPr>
        <w:t>DIVIDENDS</w:t>
      </w:r>
    </w:p>
    <w:p>
      <w:pPr>
        <w:ind w:left="8" w:right="20"/>
        <w:spacing w:after="0" w:line="309" w:lineRule="auto"/>
        <w:rPr>
          <w:sz w:val="20"/>
          <w:szCs w:val="20"/>
          <w:color w:val="auto"/>
        </w:rPr>
      </w:pPr>
      <w:r>
        <w:rPr>
          <w:rFonts w:ascii="Arial" w:cs="Arial" w:eastAsia="Arial" w:hAnsi="Arial"/>
          <w:sz w:val="8"/>
          <w:szCs w:val="8"/>
          <w:color w:val="auto"/>
        </w:rPr>
        <w:t>Subject to Board approval, Shell aims to grow the dividend per share by around 4% every year, and once the Group’s net debt level has reached $65 billion, the Group will target the distribution of 20-30% of its cash flow from operations to shareholders. The Group may choose to return cash to shareholders through a combination of dividends and share buybacks.</w:t>
      </w:r>
    </w:p>
    <w:p>
      <w:pPr>
        <w:spacing w:after="0" w:line="123" w:lineRule="exact"/>
        <w:rPr>
          <w:sz w:val="20"/>
          <w:szCs w:val="20"/>
          <w:color w:val="auto"/>
        </w:rPr>
      </w:pPr>
    </w:p>
    <w:p>
      <w:pPr>
        <w:ind w:left="8" w:right="100"/>
        <w:spacing w:after="0" w:line="320" w:lineRule="auto"/>
        <w:rPr>
          <w:sz w:val="20"/>
          <w:szCs w:val="20"/>
          <w:color w:val="auto"/>
        </w:rPr>
      </w:pPr>
      <w:r>
        <w:rPr>
          <w:rFonts w:ascii="Arial" w:cs="Arial" w:eastAsia="Arial" w:hAnsi="Arial"/>
          <w:sz w:val="8"/>
          <w:szCs w:val="8"/>
          <w:color w:val="auto"/>
        </w:rPr>
        <w:t>When setting the level of shareholder remuneration, the Board looks at a range of factors, including the macro-environment, the underlying business earnings and cash flow of Shell Group, the current balance sheet, future investment and divestment plans, and existing commitments. We returned $7.4 billion to our shareholders through dividends in 2020.</w:t>
      </w:r>
    </w:p>
    <w:p>
      <w:pPr>
        <w:spacing w:after="0" w:line="118" w:lineRule="exact"/>
        <w:rPr>
          <w:sz w:val="20"/>
          <w:szCs w:val="20"/>
          <w:color w:val="auto"/>
        </w:rPr>
      </w:pPr>
    </w:p>
    <w:p>
      <w:pPr>
        <w:ind w:left="8" w:right="40"/>
        <w:spacing w:after="0" w:line="320" w:lineRule="auto"/>
        <w:rPr>
          <w:sz w:val="20"/>
          <w:szCs w:val="20"/>
          <w:color w:val="auto"/>
        </w:rPr>
      </w:pPr>
      <w:r>
        <w:rPr>
          <w:rFonts w:ascii="Arial" w:cs="Arial" w:eastAsia="Arial" w:hAnsi="Arial"/>
          <w:sz w:val="8"/>
          <w:szCs w:val="8"/>
          <w:color w:val="auto"/>
        </w:rPr>
        <w:t>The fourth quarter 2020 interim dividend of $0.1665 per share will be payable to shareholders on the register at February 19, 2021. See Note 23 to the “Consolidated Financial Statements” on page 206. The Board expects that the first quarter 2021 interim dividend will be $0.1735 per share, representing an increase of around 4% on the fourth quarter 2020 interim dividend.</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1"/>
          <w:szCs w:val="11"/>
          <w:color w:val="auto"/>
        </w:rPr>
        <w:t>PURCHASES OF SECURITIES</w:t>
      </w:r>
    </w:p>
    <w:p>
      <w:pPr>
        <w:ind w:left="8" w:right="20"/>
        <w:spacing w:after="0" w:line="227" w:lineRule="auto"/>
        <w:rPr>
          <w:sz w:val="20"/>
          <w:szCs w:val="20"/>
          <w:color w:val="auto"/>
        </w:rPr>
      </w:pPr>
      <w:r>
        <w:rPr>
          <w:rFonts w:ascii="Arial" w:cs="Arial" w:eastAsia="Arial" w:hAnsi="Arial"/>
          <w:sz w:val="10"/>
          <w:szCs w:val="10"/>
          <w:color w:val="auto"/>
        </w:rPr>
        <w:t>On July 26, 2018, the Company announced the commencement of a share buyback programme of at least $25 billion, subject to further progress with debt reduction and oil price conditions. On March 23, 2020, the Company announced that in light of the economic and oil price environment, it had decided not to continue with the next tranche of the share buyback programme following the completion of the tranche announced on January 30, 2020. On April 14, 2020, the seventh tranche of the share buyback programme was completed, and no further tranches were undertaken in 2020.</w:t>
      </w:r>
    </w:p>
    <w:p>
      <w:pPr>
        <w:spacing w:after="0" w:line="150" w:lineRule="exact"/>
        <w:rPr>
          <w:sz w:val="20"/>
          <w:szCs w:val="20"/>
          <w:color w:val="auto"/>
        </w:rPr>
      </w:pPr>
    </w:p>
    <w:p>
      <w:pPr>
        <w:ind w:left="8"/>
        <w:spacing w:after="0" w:line="239" w:lineRule="auto"/>
        <w:rPr>
          <w:sz w:val="20"/>
          <w:szCs w:val="20"/>
          <w:color w:val="auto"/>
        </w:rPr>
      </w:pPr>
      <w:r>
        <w:rPr>
          <w:rFonts w:ascii="Arial" w:cs="Arial" w:eastAsia="Arial" w:hAnsi="Arial"/>
          <w:sz w:val="10"/>
          <w:szCs w:val="10"/>
          <w:color w:val="auto"/>
        </w:rPr>
        <w:t>As at December 31, 2020, 496 million A shares with a nominal value of €34.7 million ($41.8 million) and 39 million B shares with a nominal value</w:t>
      </w:r>
    </w:p>
    <w:p>
      <w:pPr>
        <w:spacing w:after="0" w:line="20" w:lineRule="exact"/>
        <w:rPr>
          <w:sz w:val="20"/>
          <w:szCs w:val="20"/>
          <w:color w:val="auto"/>
        </w:rPr>
      </w:pPr>
      <w:r>
        <w:rPr>
          <w:sz w:val="20"/>
          <w:szCs w:val="20"/>
          <w:color w:val="auto"/>
        </w:rPr>
        <w:br w:type="column"/>
      </w:r>
    </w:p>
    <w:p>
      <w:pPr>
        <w:jc w:val="both"/>
        <w:ind w:right="260"/>
        <w:spacing w:after="0" w:line="234" w:lineRule="auto"/>
        <w:rPr>
          <w:sz w:val="20"/>
          <w:szCs w:val="20"/>
          <w:color w:val="auto"/>
        </w:rPr>
      </w:pPr>
      <w:r>
        <w:rPr>
          <w:rFonts w:ascii="Arial" w:cs="Arial" w:eastAsia="Arial" w:hAnsi="Arial"/>
          <w:sz w:val="10"/>
          <w:szCs w:val="10"/>
          <w:color w:val="auto"/>
        </w:rPr>
        <w:t>of €2.8 million ($3.2 million) (6.85% of the Company’s total issued share capital at December 31, 2020) had been cumulatively purchased and cancelled since the beginning of this programme, for a total cost of $15.8 billion including expenses, at an average price of $29.45 per share.</w:t>
      </w:r>
    </w:p>
    <w:p>
      <w:pPr>
        <w:spacing w:after="0" w:line="150" w:lineRule="exact"/>
        <w:rPr>
          <w:sz w:val="20"/>
          <w:szCs w:val="20"/>
          <w:color w:val="auto"/>
        </w:rPr>
      </w:pPr>
    </w:p>
    <w:p>
      <w:pPr>
        <w:ind w:right="120"/>
        <w:spacing w:after="0" w:line="294" w:lineRule="auto"/>
        <w:rPr>
          <w:sz w:val="20"/>
          <w:szCs w:val="20"/>
          <w:color w:val="auto"/>
        </w:rPr>
      </w:pPr>
      <w:r>
        <w:rPr>
          <w:rFonts w:ascii="Arial" w:cs="Arial" w:eastAsia="Arial" w:hAnsi="Arial"/>
          <w:sz w:val="8"/>
          <w:szCs w:val="8"/>
          <w:color w:val="auto"/>
        </w:rPr>
        <w:t>This was in accordance with the authorities granted by shareholders at the 2018 Annual General Meeting (AGM) for the Company to repurchase up to a maximum of 10% of its issued ordinary shares, excluding treasury shares (834 million ordinary shares), and at the 2019 AGM, to repurchase up to a maximum of 815 million ordinary shares, such authority to expire at the earlier of the close of business on August 21, 2020 and the end of the 2020 AGM. At the 2020 AGM, shareholders granted a renewal of this authority, to repurchase up to a maximum of 783 million ordinary shares, such authority to expire at the earlier of the close of business on August 19, 2021 and the end of the 2021 AGM. As at December 31, 2020, 783 million ordinary shares could still be repurchased under the current AGM authority. The purpose of the share repurchases in 2018 to 2020 was to reduce the issued share capital of the Company.</w:t>
      </w:r>
    </w:p>
    <w:p>
      <w:pPr>
        <w:spacing w:after="0" w:line="129" w:lineRule="exact"/>
        <w:rPr>
          <w:sz w:val="20"/>
          <w:szCs w:val="20"/>
          <w:color w:val="auto"/>
        </w:rPr>
      </w:pPr>
    </w:p>
    <w:p>
      <w:pPr>
        <w:ind w:right="120"/>
        <w:spacing w:after="0" w:line="358" w:lineRule="auto"/>
        <w:rPr>
          <w:sz w:val="20"/>
          <w:szCs w:val="20"/>
          <w:color w:val="auto"/>
        </w:rPr>
      </w:pPr>
      <w:r>
        <w:rPr>
          <w:rFonts w:ascii="Arial" w:cs="Arial" w:eastAsia="Arial" w:hAnsi="Arial"/>
          <w:sz w:val="8"/>
          <w:szCs w:val="8"/>
          <w:color w:val="auto"/>
        </w:rPr>
        <w:t>A new resolution will be proposed at the 2021 AGM to renew the authority for the Company to purchase its own share capital, up to specified limits, for a further year. This proposal will be described in more detail in the 2021 Notice of Annual General Meeting.</w:t>
      </w:r>
    </w:p>
    <w:p>
      <w:pPr>
        <w:spacing w:after="0" w:line="104" w:lineRule="exact"/>
        <w:rPr>
          <w:sz w:val="20"/>
          <w:szCs w:val="20"/>
          <w:color w:val="auto"/>
        </w:rPr>
      </w:pPr>
    </w:p>
    <w:p>
      <w:pPr>
        <w:ind w:right="180"/>
        <w:spacing w:after="0" w:line="358" w:lineRule="auto"/>
        <w:rPr>
          <w:sz w:val="20"/>
          <w:szCs w:val="20"/>
          <w:color w:val="auto"/>
        </w:rPr>
      </w:pPr>
      <w:r>
        <w:rPr>
          <w:rFonts w:ascii="Arial" w:cs="Arial" w:eastAsia="Arial" w:hAnsi="Arial"/>
          <w:sz w:val="8"/>
          <w:szCs w:val="8"/>
          <w:color w:val="auto"/>
        </w:rPr>
        <w:t>Shares are also purchased by the employee share ownership trusts and trust-like entities (see the “Governance” section on page 150) to meet delivery commitments under employee share plans. All share purchases are made in open-market transactions</w:t>
      </w:r>
    </w:p>
    <w:p>
      <w:pPr>
        <w:spacing w:after="0" w:line="104" w:lineRule="exact"/>
        <w:rPr>
          <w:sz w:val="20"/>
          <w:szCs w:val="20"/>
          <w:color w:val="auto"/>
        </w:rPr>
      </w:pPr>
    </w:p>
    <w:p>
      <w:pPr>
        <w:ind w:right="380"/>
        <w:spacing w:after="0" w:line="239" w:lineRule="auto"/>
        <w:rPr>
          <w:sz w:val="20"/>
          <w:szCs w:val="20"/>
          <w:color w:val="auto"/>
        </w:rPr>
      </w:pPr>
      <w:r>
        <w:rPr>
          <w:rFonts w:ascii="Arial" w:cs="Arial" w:eastAsia="Arial" w:hAnsi="Arial"/>
          <w:sz w:val="10"/>
          <w:szCs w:val="10"/>
          <w:color w:val="auto"/>
        </w:rPr>
        <w:t>The table below provides information on purchases of shares in 2020 by the Company and affiliated purchasers. Purchases in euros and sterling are converted into dollars using the exchange rate on each transaction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210820</wp:posOffset>
            </wp:positionV>
            <wp:extent cx="7178040" cy="228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364" w:lineRule="exact"/>
        <w:rPr>
          <w:sz w:val="20"/>
          <w:szCs w:val="20"/>
          <w:color w:val="auto"/>
        </w:rPr>
      </w:pPr>
    </w:p>
    <w:p>
      <w:pPr>
        <w:sectPr>
          <w:pgSz w:w="11900" w:h="16838" w:orient="portrait"/>
          <w:cols w:equalWidth="0" w:num="2">
            <w:col w:w="5448" w:space="280"/>
            <w:col w:w="5580"/>
          </w:cols>
          <w:pgMar w:left="292" w:top="640" w:right="299" w:bottom="1440" w:gutter="0" w:footer="0" w:header="0"/>
        </w:sectPr>
      </w:pPr>
    </w:p>
    <w:p>
      <w:pPr>
        <w:ind w:left="8348"/>
        <w:spacing w:after="0"/>
        <w:rPr>
          <w:sz w:val="20"/>
          <w:szCs w:val="20"/>
          <w:color w:val="auto"/>
        </w:rPr>
      </w:pPr>
      <w:r>
        <w:rPr>
          <w:rFonts w:ascii="Arial" w:cs="Arial" w:eastAsia="Arial" w:hAnsi="Arial"/>
          <w:sz w:val="8"/>
          <w:szCs w:val="8"/>
          <w:color w:val="auto"/>
        </w:rPr>
        <w:t>Purchases of equity securities by issuer and affiliated purchasers in 2020 [A]</w:t>
      </w:r>
    </w:p>
    <w:p>
      <w:pPr>
        <w:spacing w:after="0" w:line="38" w:lineRule="exact"/>
        <w:rPr>
          <w:sz w:val="20"/>
          <w:szCs w:val="20"/>
          <w:color w:val="auto"/>
        </w:rPr>
      </w:pPr>
    </w:p>
    <w:tbl>
      <w:tblPr>
        <w:tblLayout w:type="fixed"/>
        <w:tblInd w:w="8" w:type="dxa"/>
        <w:tblCellMar>
          <w:top w:w="0" w:type="dxa"/>
          <w:left w:w="0" w:type="dxa"/>
          <w:bottom w:w="0" w:type="dxa"/>
          <w:right w:w="0" w:type="dxa"/>
        </w:tblCellMar>
      </w:tblPr>
      <w:tr>
        <w:trPr>
          <w:trHeight w:val="111"/>
        </w:trPr>
        <w:tc>
          <w:tcPr>
            <w:tcW w:w="23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jc w:val="right"/>
              <w:ind w:right="874"/>
              <w:spacing w:after="0"/>
              <w:rPr>
                <w:sz w:val="20"/>
                <w:szCs w:val="20"/>
                <w:color w:val="auto"/>
              </w:rPr>
            </w:pPr>
            <w:r>
              <w:rPr>
                <w:rFonts w:ascii="Arial" w:cs="Arial" w:eastAsia="Arial" w:hAnsi="Arial"/>
                <w:sz w:val="8"/>
                <w:szCs w:val="8"/>
                <w:color w:val="auto"/>
              </w:rPr>
              <w:t>A shares</w:t>
            </w:r>
          </w:p>
        </w:tc>
        <w:tc>
          <w:tcPr>
            <w:tcW w:w="1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jc w:val="right"/>
              <w:ind w:right="713"/>
              <w:spacing w:after="0"/>
              <w:rPr>
                <w:sz w:val="20"/>
                <w:szCs w:val="20"/>
                <w:color w:val="auto"/>
              </w:rPr>
            </w:pPr>
            <w:r>
              <w:rPr>
                <w:rFonts w:ascii="Arial" w:cs="Arial" w:eastAsia="Arial" w:hAnsi="Arial"/>
                <w:sz w:val="8"/>
                <w:szCs w:val="8"/>
                <w:color w:val="auto"/>
              </w:rPr>
              <w:t>B shares</w:t>
            </w:r>
          </w:p>
        </w:tc>
        <w:tc>
          <w:tcPr>
            <w:tcW w:w="11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jc w:val="right"/>
              <w:ind w:right="214"/>
              <w:spacing w:after="0"/>
              <w:rPr>
                <w:sz w:val="20"/>
                <w:szCs w:val="20"/>
                <w:color w:val="auto"/>
              </w:rPr>
            </w:pPr>
            <w:r>
              <w:rPr>
                <w:rFonts w:ascii="Arial" w:cs="Arial" w:eastAsia="Arial" w:hAnsi="Arial"/>
                <w:sz w:val="8"/>
                <w:szCs w:val="8"/>
                <w:color w:val="auto"/>
              </w:rPr>
              <w:t>A ADSs [B]</w:t>
            </w: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360" w:type="dxa"/>
            <w:vAlign w:val="bottom"/>
          </w:tcPr>
          <w:p>
            <w:pPr>
              <w:spacing w:after="0"/>
              <w:rPr>
                <w:sz w:val="6"/>
                <w:szCs w:val="6"/>
                <w:color w:val="auto"/>
              </w:rPr>
            </w:pPr>
          </w:p>
        </w:tc>
        <w:tc>
          <w:tcPr>
            <w:tcW w:w="1080" w:type="dxa"/>
            <w:vAlign w:val="bottom"/>
          </w:tcPr>
          <w:p>
            <w:pPr>
              <w:jc w:val="right"/>
              <w:ind w:right="253"/>
              <w:spacing w:after="0" w:line="76" w:lineRule="exact"/>
              <w:rPr>
                <w:sz w:val="20"/>
                <w:szCs w:val="20"/>
                <w:color w:val="auto"/>
              </w:rPr>
            </w:pPr>
            <w:r>
              <w:rPr>
                <w:rFonts w:ascii="Arial" w:cs="Arial" w:eastAsia="Arial" w:hAnsi="Arial"/>
                <w:sz w:val="8"/>
                <w:szCs w:val="8"/>
                <w:color w:val="auto"/>
              </w:rPr>
              <w:t>Number</w:t>
            </w:r>
          </w:p>
        </w:tc>
        <w:tc>
          <w:tcPr>
            <w:tcW w:w="1500" w:type="dxa"/>
            <w:vAlign w:val="bottom"/>
          </w:tcPr>
          <w:p>
            <w:pPr>
              <w:jc w:val="right"/>
              <w:ind w:right="314"/>
              <w:spacing w:after="0" w:line="76" w:lineRule="exact"/>
              <w:rPr>
                <w:sz w:val="20"/>
                <w:szCs w:val="20"/>
                <w:color w:val="auto"/>
              </w:rPr>
            </w:pPr>
            <w:r>
              <w:rPr>
                <w:rFonts w:ascii="Arial" w:cs="Arial" w:eastAsia="Arial" w:hAnsi="Arial"/>
                <w:sz w:val="8"/>
                <w:szCs w:val="8"/>
                <w:color w:val="auto"/>
              </w:rPr>
              <w:t>Number</w:t>
            </w:r>
          </w:p>
        </w:tc>
        <w:tc>
          <w:tcPr>
            <w:tcW w:w="1100" w:type="dxa"/>
            <w:vAlign w:val="bottom"/>
            <w:vMerge w:val="restart"/>
          </w:tcPr>
          <w:p>
            <w:pPr>
              <w:jc w:val="right"/>
              <w:ind w:right="293"/>
              <w:spacing w:after="0"/>
              <w:rPr>
                <w:sz w:val="20"/>
                <w:szCs w:val="20"/>
                <w:color w:val="auto"/>
              </w:rPr>
            </w:pPr>
            <w:r>
              <w:rPr>
                <w:rFonts w:ascii="Arial" w:cs="Arial" w:eastAsia="Arial" w:hAnsi="Arial"/>
                <w:sz w:val="8"/>
                <w:szCs w:val="8"/>
                <w:color w:val="auto"/>
              </w:rPr>
              <w:t>Weighted</w:t>
            </w:r>
          </w:p>
        </w:tc>
        <w:tc>
          <w:tcPr>
            <w:tcW w:w="960" w:type="dxa"/>
            <w:vAlign w:val="bottom"/>
          </w:tcPr>
          <w:p>
            <w:pPr>
              <w:jc w:val="right"/>
              <w:ind w:right="133"/>
              <w:spacing w:after="0" w:line="76" w:lineRule="exact"/>
              <w:rPr>
                <w:sz w:val="20"/>
                <w:szCs w:val="20"/>
                <w:color w:val="auto"/>
              </w:rPr>
            </w:pPr>
            <w:r>
              <w:rPr>
                <w:rFonts w:ascii="Arial" w:cs="Arial" w:eastAsia="Arial" w:hAnsi="Arial"/>
                <w:sz w:val="8"/>
                <w:szCs w:val="8"/>
                <w:color w:val="auto"/>
              </w:rPr>
              <w:t>Number</w:t>
            </w:r>
          </w:p>
        </w:tc>
        <w:tc>
          <w:tcPr>
            <w:tcW w:w="1280" w:type="dxa"/>
            <w:vAlign w:val="bottom"/>
          </w:tcPr>
          <w:p>
            <w:pPr>
              <w:spacing w:after="0"/>
              <w:rPr>
                <w:sz w:val="6"/>
                <w:szCs w:val="6"/>
                <w:color w:val="auto"/>
              </w:rPr>
            </w:pPr>
          </w:p>
        </w:tc>
        <w:tc>
          <w:tcPr>
            <w:tcW w:w="1100" w:type="dxa"/>
            <w:vAlign w:val="bottom"/>
            <w:vMerge w:val="restart"/>
          </w:tcPr>
          <w:p>
            <w:pPr>
              <w:jc w:val="right"/>
              <w:ind w:right="273"/>
              <w:spacing w:after="0"/>
              <w:rPr>
                <w:sz w:val="20"/>
                <w:szCs w:val="20"/>
                <w:color w:val="auto"/>
              </w:rPr>
            </w:pPr>
            <w:r>
              <w:rPr>
                <w:rFonts w:ascii="Arial" w:cs="Arial" w:eastAsia="Arial" w:hAnsi="Arial"/>
                <w:sz w:val="8"/>
                <w:szCs w:val="8"/>
                <w:color w:val="auto"/>
              </w:rPr>
              <w:t>Weighted</w:t>
            </w:r>
          </w:p>
        </w:tc>
        <w:tc>
          <w:tcPr>
            <w:tcW w:w="1260" w:type="dxa"/>
            <w:vAlign w:val="bottom"/>
          </w:tcPr>
          <w:p>
            <w:pPr>
              <w:jc w:val="right"/>
              <w:ind w:right="434"/>
              <w:spacing w:after="0" w:line="76" w:lineRule="exact"/>
              <w:rPr>
                <w:sz w:val="20"/>
                <w:szCs w:val="20"/>
                <w:color w:val="auto"/>
              </w:rPr>
            </w:pPr>
            <w:r>
              <w:rPr>
                <w:rFonts w:ascii="Arial" w:cs="Arial" w:eastAsia="Arial" w:hAnsi="Arial"/>
                <w:sz w:val="8"/>
                <w:szCs w:val="8"/>
                <w:color w:val="auto"/>
              </w:rPr>
              <w:t>Number</w:t>
            </w:r>
          </w:p>
        </w:tc>
        <w:tc>
          <w:tcPr>
            <w:tcW w:w="660" w:type="dxa"/>
            <w:vAlign w:val="bottom"/>
            <w:vMerge w:val="restart"/>
          </w:tcPr>
          <w:p>
            <w:pPr>
              <w:jc w:val="right"/>
              <w:spacing w:after="0"/>
              <w:rPr>
                <w:sz w:val="20"/>
                <w:szCs w:val="20"/>
                <w:color w:val="auto"/>
              </w:rPr>
            </w:pPr>
            <w:r>
              <w:rPr>
                <w:rFonts w:ascii="Arial" w:cs="Arial" w:eastAsia="Arial" w:hAnsi="Arial"/>
                <w:sz w:val="8"/>
                <w:szCs w:val="8"/>
                <w:color w:val="auto"/>
              </w:rPr>
              <w:t>Weighted</w:t>
            </w:r>
          </w:p>
        </w:tc>
        <w:tc>
          <w:tcPr>
            <w:tcW w:w="0" w:type="dxa"/>
            <w:vAlign w:val="bottom"/>
          </w:tcPr>
          <w:p>
            <w:pPr>
              <w:spacing w:after="0"/>
              <w:rPr>
                <w:sz w:val="1"/>
                <w:szCs w:val="1"/>
                <w:color w:val="auto"/>
              </w:rPr>
            </w:pPr>
          </w:p>
        </w:tc>
      </w:tr>
      <w:tr>
        <w:trPr>
          <w:trHeight w:val="81"/>
        </w:trPr>
        <w:tc>
          <w:tcPr>
            <w:tcW w:w="2360" w:type="dxa"/>
            <w:vAlign w:val="bottom"/>
          </w:tcPr>
          <w:p>
            <w:pPr>
              <w:spacing w:after="0"/>
              <w:rPr>
                <w:sz w:val="7"/>
                <w:szCs w:val="7"/>
                <w:color w:val="auto"/>
              </w:rPr>
            </w:pPr>
          </w:p>
        </w:tc>
        <w:tc>
          <w:tcPr>
            <w:tcW w:w="1080" w:type="dxa"/>
            <w:vAlign w:val="bottom"/>
          </w:tcPr>
          <w:p>
            <w:pPr>
              <w:jc w:val="right"/>
              <w:ind w:right="253"/>
              <w:spacing w:after="0" w:line="81" w:lineRule="exact"/>
              <w:rPr>
                <w:sz w:val="20"/>
                <w:szCs w:val="20"/>
                <w:color w:val="auto"/>
              </w:rPr>
            </w:pPr>
            <w:r>
              <w:rPr>
                <w:rFonts w:ascii="Arial" w:cs="Arial" w:eastAsia="Arial" w:hAnsi="Arial"/>
                <w:sz w:val="8"/>
                <w:szCs w:val="8"/>
                <w:color w:val="auto"/>
              </w:rPr>
              <w:t>purchased</w:t>
            </w:r>
          </w:p>
        </w:tc>
        <w:tc>
          <w:tcPr>
            <w:tcW w:w="1500" w:type="dxa"/>
            <w:vAlign w:val="bottom"/>
          </w:tcPr>
          <w:p>
            <w:pPr>
              <w:jc w:val="right"/>
              <w:ind w:right="314"/>
              <w:spacing w:after="0" w:line="81" w:lineRule="exact"/>
              <w:rPr>
                <w:sz w:val="20"/>
                <w:szCs w:val="20"/>
                <w:color w:val="auto"/>
              </w:rPr>
            </w:pPr>
            <w:r>
              <w:rPr>
                <w:rFonts w:ascii="Arial" w:cs="Arial" w:eastAsia="Arial" w:hAnsi="Arial"/>
                <w:sz w:val="8"/>
                <w:szCs w:val="8"/>
                <w:color w:val="auto"/>
              </w:rPr>
              <w:t>purchased</w:t>
            </w:r>
          </w:p>
        </w:tc>
        <w:tc>
          <w:tcPr>
            <w:tcW w:w="1100" w:type="dxa"/>
            <w:vAlign w:val="bottom"/>
            <w:vMerge w:val="continue"/>
          </w:tcPr>
          <w:p>
            <w:pPr>
              <w:spacing w:after="0"/>
              <w:rPr>
                <w:sz w:val="7"/>
                <w:szCs w:val="7"/>
                <w:color w:val="auto"/>
              </w:rPr>
            </w:pPr>
          </w:p>
        </w:tc>
        <w:tc>
          <w:tcPr>
            <w:tcW w:w="960" w:type="dxa"/>
            <w:vAlign w:val="bottom"/>
          </w:tcPr>
          <w:p>
            <w:pPr>
              <w:jc w:val="right"/>
              <w:ind w:right="133"/>
              <w:spacing w:after="0" w:line="81" w:lineRule="exact"/>
              <w:rPr>
                <w:sz w:val="20"/>
                <w:szCs w:val="20"/>
                <w:color w:val="auto"/>
              </w:rPr>
            </w:pPr>
            <w:r>
              <w:rPr>
                <w:rFonts w:ascii="Arial" w:cs="Arial" w:eastAsia="Arial" w:hAnsi="Arial"/>
                <w:sz w:val="8"/>
                <w:szCs w:val="8"/>
                <w:color w:val="auto"/>
              </w:rPr>
              <w:t>purchased</w:t>
            </w:r>
          </w:p>
        </w:tc>
        <w:tc>
          <w:tcPr>
            <w:tcW w:w="1280" w:type="dxa"/>
            <w:vAlign w:val="bottom"/>
            <w:vMerge w:val="restart"/>
          </w:tcPr>
          <w:p>
            <w:pPr>
              <w:jc w:val="right"/>
              <w:ind w:right="313"/>
              <w:spacing w:after="0"/>
              <w:rPr>
                <w:sz w:val="20"/>
                <w:szCs w:val="20"/>
                <w:color w:val="auto"/>
              </w:rPr>
            </w:pPr>
            <w:r>
              <w:rPr>
                <w:rFonts w:ascii="Arial" w:cs="Arial" w:eastAsia="Arial" w:hAnsi="Arial"/>
                <w:sz w:val="8"/>
                <w:szCs w:val="8"/>
                <w:color w:val="auto"/>
              </w:rPr>
              <w:t>Number purchased for</w:t>
            </w:r>
          </w:p>
        </w:tc>
        <w:tc>
          <w:tcPr>
            <w:tcW w:w="1100" w:type="dxa"/>
            <w:vAlign w:val="bottom"/>
            <w:vMerge w:val="continue"/>
          </w:tcPr>
          <w:p>
            <w:pPr>
              <w:spacing w:after="0"/>
              <w:rPr>
                <w:sz w:val="7"/>
                <w:szCs w:val="7"/>
                <w:color w:val="auto"/>
              </w:rPr>
            </w:pPr>
          </w:p>
        </w:tc>
        <w:tc>
          <w:tcPr>
            <w:tcW w:w="1260" w:type="dxa"/>
            <w:vAlign w:val="bottom"/>
          </w:tcPr>
          <w:p>
            <w:pPr>
              <w:jc w:val="right"/>
              <w:ind w:right="434"/>
              <w:spacing w:after="0" w:line="81" w:lineRule="exact"/>
              <w:rPr>
                <w:sz w:val="20"/>
                <w:szCs w:val="20"/>
                <w:color w:val="auto"/>
              </w:rPr>
            </w:pPr>
            <w:r>
              <w:rPr>
                <w:rFonts w:ascii="Arial" w:cs="Arial" w:eastAsia="Arial" w:hAnsi="Arial"/>
                <w:sz w:val="8"/>
                <w:szCs w:val="8"/>
                <w:color w:val="auto"/>
              </w:rPr>
              <w:t>purchased</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60" w:type="dxa"/>
            <w:vAlign w:val="bottom"/>
            <w:vMerge w:val="restart"/>
          </w:tcPr>
          <w:p>
            <w:pPr>
              <w:spacing w:after="0"/>
              <w:rPr>
                <w:sz w:val="20"/>
                <w:szCs w:val="20"/>
                <w:color w:val="auto"/>
              </w:rPr>
            </w:pPr>
            <w:r>
              <w:rPr>
                <w:rFonts w:ascii="Arial" w:cs="Arial" w:eastAsia="Arial" w:hAnsi="Arial"/>
                <w:sz w:val="8"/>
                <w:szCs w:val="8"/>
                <w:color w:val="auto"/>
              </w:rPr>
              <w:t>Purchase period</w:t>
            </w:r>
          </w:p>
        </w:tc>
        <w:tc>
          <w:tcPr>
            <w:tcW w:w="1080" w:type="dxa"/>
            <w:vAlign w:val="bottom"/>
          </w:tcPr>
          <w:p>
            <w:pPr>
              <w:jc w:val="right"/>
              <w:ind w:right="253"/>
              <w:spacing w:after="0" w:line="81" w:lineRule="exact"/>
              <w:rPr>
                <w:sz w:val="20"/>
                <w:szCs w:val="20"/>
                <w:color w:val="auto"/>
              </w:rPr>
            </w:pPr>
            <w:r>
              <w:rPr>
                <w:rFonts w:ascii="Arial" w:cs="Arial" w:eastAsia="Arial" w:hAnsi="Arial"/>
                <w:sz w:val="8"/>
                <w:szCs w:val="8"/>
                <w:color w:val="auto"/>
              </w:rPr>
              <w:t>for employee</w:t>
            </w:r>
          </w:p>
        </w:tc>
        <w:tc>
          <w:tcPr>
            <w:tcW w:w="1500" w:type="dxa"/>
            <w:vAlign w:val="bottom"/>
          </w:tcPr>
          <w:p>
            <w:pPr>
              <w:jc w:val="right"/>
              <w:ind w:right="314"/>
              <w:spacing w:after="0" w:line="81" w:lineRule="exact"/>
              <w:rPr>
                <w:sz w:val="20"/>
                <w:szCs w:val="20"/>
                <w:color w:val="auto"/>
              </w:rPr>
            </w:pPr>
            <w:r>
              <w:rPr>
                <w:rFonts w:ascii="Arial" w:cs="Arial" w:eastAsia="Arial" w:hAnsi="Arial"/>
                <w:sz w:val="8"/>
                <w:szCs w:val="8"/>
                <w:color w:val="auto"/>
              </w:rPr>
              <w:t>for cancellation</w:t>
            </w:r>
          </w:p>
        </w:tc>
        <w:tc>
          <w:tcPr>
            <w:tcW w:w="1100" w:type="dxa"/>
            <w:vAlign w:val="bottom"/>
          </w:tcPr>
          <w:p>
            <w:pPr>
              <w:jc w:val="right"/>
              <w:ind w:right="293"/>
              <w:spacing w:after="0" w:line="81" w:lineRule="exact"/>
              <w:rPr>
                <w:sz w:val="20"/>
                <w:szCs w:val="20"/>
                <w:color w:val="auto"/>
              </w:rPr>
            </w:pPr>
            <w:r>
              <w:rPr>
                <w:rFonts w:ascii="Arial" w:cs="Arial" w:eastAsia="Arial" w:hAnsi="Arial"/>
                <w:sz w:val="8"/>
                <w:szCs w:val="8"/>
                <w:color w:val="auto"/>
              </w:rPr>
              <w:t>average</w:t>
            </w:r>
          </w:p>
        </w:tc>
        <w:tc>
          <w:tcPr>
            <w:tcW w:w="960" w:type="dxa"/>
            <w:vAlign w:val="bottom"/>
          </w:tcPr>
          <w:p>
            <w:pPr>
              <w:jc w:val="right"/>
              <w:ind w:right="133"/>
              <w:spacing w:after="0" w:line="81" w:lineRule="exact"/>
              <w:rPr>
                <w:sz w:val="20"/>
                <w:szCs w:val="20"/>
                <w:color w:val="auto"/>
              </w:rPr>
            </w:pPr>
            <w:r>
              <w:rPr>
                <w:rFonts w:ascii="Arial" w:cs="Arial" w:eastAsia="Arial" w:hAnsi="Arial"/>
                <w:sz w:val="8"/>
                <w:szCs w:val="8"/>
                <w:color w:val="auto"/>
              </w:rPr>
              <w:t>for employee</w:t>
            </w:r>
          </w:p>
        </w:tc>
        <w:tc>
          <w:tcPr>
            <w:tcW w:w="1280" w:type="dxa"/>
            <w:vAlign w:val="bottom"/>
            <w:vMerge w:val="continue"/>
          </w:tcPr>
          <w:p>
            <w:pPr>
              <w:spacing w:after="0"/>
              <w:rPr>
                <w:sz w:val="7"/>
                <w:szCs w:val="7"/>
                <w:color w:val="auto"/>
              </w:rPr>
            </w:pPr>
          </w:p>
        </w:tc>
        <w:tc>
          <w:tcPr>
            <w:tcW w:w="1100" w:type="dxa"/>
            <w:vAlign w:val="bottom"/>
          </w:tcPr>
          <w:p>
            <w:pPr>
              <w:jc w:val="right"/>
              <w:ind w:right="273"/>
              <w:spacing w:after="0" w:line="81" w:lineRule="exact"/>
              <w:rPr>
                <w:sz w:val="20"/>
                <w:szCs w:val="20"/>
                <w:color w:val="auto"/>
              </w:rPr>
            </w:pPr>
            <w:r>
              <w:rPr>
                <w:rFonts w:ascii="Arial" w:cs="Arial" w:eastAsia="Arial" w:hAnsi="Arial"/>
                <w:sz w:val="8"/>
                <w:szCs w:val="8"/>
                <w:color w:val="auto"/>
              </w:rPr>
              <w:t>average</w:t>
            </w:r>
          </w:p>
        </w:tc>
        <w:tc>
          <w:tcPr>
            <w:tcW w:w="1260" w:type="dxa"/>
            <w:vAlign w:val="bottom"/>
          </w:tcPr>
          <w:p>
            <w:pPr>
              <w:jc w:val="right"/>
              <w:ind w:right="434"/>
              <w:spacing w:after="0" w:line="81" w:lineRule="exact"/>
              <w:rPr>
                <w:sz w:val="20"/>
                <w:szCs w:val="20"/>
                <w:color w:val="auto"/>
              </w:rPr>
            </w:pPr>
            <w:r>
              <w:rPr>
                <w:rFonts w:ascii="Arial" w:cs="Arial" w:eastAsia="Arial" w:hAnsi="Arial"/>
                <w:sz w:val="8"/>
                <w:szCs w:val="8"/>
                <w:color w:val="auto"/>
              </w:rPr>
              <w:t>for employee</w:t>
            </w:r>
          </w:p>
        </w:tc>
        <w:tc>
          <w:tcPr>
            <w:tcW w:w="660" w:type="dxa"/>
            <w:vAlign w:val="bottom"/>
          </w:tcPr>
          <w:p>
            <w:pPr>
              <w:jc w:val="right"/>
              <w:spacing w:after="0" w:line="81" w:lineRule="exact"/>
              <w:rPr>
                <w:sz w:val="20"/>
                <w:szCs w:val="20"/>
                <w:color w:val="auto"/>
              </w:rPr>
            </w:pPr>
            <w:r>
              <w:rPr>
                <w:rFonts w:ascii="Arial" w:cs="Arial" w:eastAsia="Arial" w:hAnsi="Arial"/>
                <w:sz w:val="8"/>
                <w:szCs w:val="8"/>
                <w:color w:val="auto"/>
              </w:rPr>
              <w:t>average</w:t>
            </w:r>
          </w:p>
        </w:tc>
        <w:tc>
          <w:tcPr>
            <w:tcW w:w="0" w:type="dxa"/>
            <w:vAlign w:val="bottom"/>
          </w:tcPr>
          <w:p>
            <w:pPr>
              <w:spacing w:after="0"/>
              <w:rPr>
                <w:sz w:val="1"/>
                <w:szCs w:val="1"/>
                <w:color w:val="auto"/>
              </w:rPr>
            </w:pPr>
          </w:p>
        </w:tc>
      </w:tr>
      <w:tr>
        <w:trPr>
          <w:trHeight w:val="111"/>
        </w:trPr>
        <w:tc>
          <w:tcPr>
            <w:tcW w:w="236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8"/>
                <w:szCs w:val="8"/>
                <w:color w:val="auto"/>
              </w:rPr>
              <w:t>share plans</w:t>
            </w:r>
          </w:p>
        </w:tc>
        <w:tc>
          <w:tcPr>
            <w:tcW w:w="1500" w:type="dxa"/>
            <w:vAlign w:val="bottom"/>
            <w:tcBorders>
              <w:bottom w:val="single" w:sz="8" w:color="auto"/>
            </w:tcBorders>
          </w:tcPr>
          <w:p>
            <w:pPr>
              <w:jc w:val="right"/>
              <w:ind w:right="314"/>
              <w:spacing w:after="0"/>
              <w:rPr>
                <w:sz w:val="20"/>
                <w:szCs w:val="20"/>
                <w:color w:val="auto"/>
              </w:rPr>
            </w:pPr>
            <w:r>
              <w:rPr>
                <w:rFonts w:ascii="Arial" w:cs="Arial" w:eastAsia="Arial" w:hAnsi="Arial"/>
                <w:sz w:val="8"/>
                <w:szCs w:val="8"/>
                <w:color w:val="auto"/>
              </w:rPr>
              <w:t>[C]</w:t>
            </w: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8"/>
                <w:szCs w:val="8"/>
                <w:color w:val="auto"/>
              </w:rPr>
              <w:t>price ($)[D]</w:t>
            </w: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8"/>
                <w:szCs w:val="8"/>
                <w:color w:val="auto"/>
              </w:rPr>
              <w:t>share plans</w:t>
            </w:r>
          </w:p>
        </w:tc>
        <w:tc>
          <w:tcPr>
            <w:tcW w:w="1280" w:type="dxa"/>
            <w:vAlign w:val="bottom"/>
            <w:tcBorders>
              <w:bottom w:val="single" w:sz="8" w:color="auto"/>
            </w:tcBorders>
          </w:tcPr>
          <w:p>
            <w:pPr>
              <w:jc w:val="right"/>
              <w:ind w:right="313"/>
              <w:spacing w:after="0"/>
              <w:rPr>
                <w:sz w:val="20"/>
                <w:szCs w:val="20"/>
                <w:color w:val="auto"/>
              </w:rPr>
            </w:pPr>
            <w:r>
              <w:rPr>
                <w:rFonts w:ascii="Arial" w:cs="Arial" w:eastAsia="Arial" w:hAnsi="Arial"/>
                <w:sz w:val="8"/>
                <w:szCs w:val="8"/>
                <w:color w:val="auto"/>
              </w:rPr>
              <w:t>cancellation [C]</w:t>
            </w: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8"/>
                <w:szCs w:val="8"/>
                <w:color w:val="auto"/>
              </w:rPr>
              <w:t>price ($)[D]</w:t>
            </w: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8"/>
                <w:szCs w:val="8"/>
                <w:color w:val="auto"/>
              </w:rPr>
              <w:t>share plans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price ($)[D]</w:t>
            </w:r>
          </w:p>
        </w:tc>
        <w:tc>
          <w:tcPr>
            <w:tcW w:w="0" w:type="dxa"/>
            <w:vAlign w:val="bottom"/>
          </w:tcPr>
          <w:p>
            <w:pPr>
              <w:spacing w:after="0"/>
              <w:rPr>
                <w:sz w:val="1"/>
                <w:szCs w:val="1"/>
                <w:color w:val="auto"/>
              </w:rPr>
            </w:pPr>
          </w:p>
        </w:tc>
      </w:tr>
      <w:tr>
        <w:trPr>
          <w:trHeight w:val="116"/>
        </w:trPr>
        <w:tc>
          <w:tcPr>
            <w:tcW w:w="2360" w:type="dxa"/>
            <w:vAlign w:val="bottom"/>
          </w:tcPr>
          <w:p>
            <w:pPr>
              <w:spacing w:after="0"/>
              <w:rPr>
                <w:sz w:val="20"/>
                <w:szCs w:val="20"/>
                <w:color w:val="auto"/>
              </w:rPr>
            </w:pPr>
            <w:r>
              <w:rPr>
                <w:rFonts w:ascii="Arial" w:cs="Arial" w:eastAsia="Arial" w:hAnsi="Arial"/>
                <w:sz w:val="10"/>
                <w:szCs w:val="10"/>
                <w:color w:val="auto"/>
              </w:rPr>
              <w:t>January [E]</w:t>
            </w:r>
          </w:p>
        </w:tc>
        <w:tc>
          <w:tcPr>
            <w:tcW w:w="1080" w:type="dxa"/>
            <w:vAlign w:val="bottom"/>
          </w:tcPr>
          <w:p>
            <w:pPr>
              <w:jc w:val="right"/>
              <w:ind w:right="293"/>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654"/>
              <w:spacing w:after="0"/>
              <w:rPr>
                <w:sz w:val="20"/>
                <w:szCs w:val="20"/>
                <w:color w:val="auto"/>
              </w:rPr>
            </w:pPr>
            <w:r>
              <w:rPr>
                <w:rFonts w:ascii="Arial" w:cs="Arial" w:eastAsia="Arial" w:hAnsi="Arial"/>
                <w:sz w:val="10"/>
                <w:szCs w:val="10"/>
                <w:color w:val="auto"/>
              </w:rPr>
              <w:t>23,106,521</w:t>
            </w:r>
          </w:p>
        </w:tc>
        <w:tc>
          <w:tcPr>
            <w:tcW w:w="1100" w:type="dxa"/>
            <w:vAlign w:val="bottom"/>
          </w:tcPr>
          <w:p>
            <w:pPr>
              <w:jc w:val="right"/>
              <w:ind w:right="333"/>
              <w:spacing w:after="0"/>
              <w:rPr>
                <w:sz w:val="20"/>
                <w:szCs w:val="20"/>
                <w:color w:val="auto"/>
              </w:rPr>
            </w:pPr>
            <w:r>
              <w:rPr>
                <w:rFonts w:ascii="Arial" w:cs="Arial" w:eastAsia="Arial" w:hAnsi="Arial"/>
                <w:sz w:val="10"/>
                <w:szCs w:val="10"/>
                <w:color w:val="auto"/>
              </w:rPr>
              <w:t>29.63</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333"/>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13"/>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474"/>
              <w:spacing w:after="0"/>
              <w:rPr>
                <w:sz w:val="20"/>
                <w:szCs w:val="20"/>
                <w:color w:val="auto"/>
              </w:rPr>
            </w:pPr>
            <w:r>
              <w:rPr>
                <w:rFonts w:ascii="Arial" w:cs="Arial" w:eastAsia="Arial" w:hAnsi="Arial"/>
                <w:sz w:val="10"/>
                <w:szCs w:val="10"/>
                <w:color w:val="auto"/>
              </w:rPr>
              <w:t>1,003,452</w:t>
            </w:r>
          </w:p>
        </w:tc>
        <w:tc>
          <w:tcPr>
            <w:tcW w:w="660" w:type="dxa"/>
            <w:vAlign w:val="bottom"/>
          </w:tcPr>
          <w:p>
            <w:pPr>
              <w:jc w:val="right"/>
              <w:spacing w:after="0"/>
              <w:rPr>
                <w:sz w:val="20"/>
                <w:szCs w:val="20"/>
                <w:color w:val="auto"/>
              </w:rPr>
            </w:pPr>
            <w:r>
              <w:rPr>
                <w:rFonts w:ascii="Arial" w:cs="Arial" w:eastAsia="Arial" w:hAnsi="Arial"/>
                <w:sz w:val="10"/>
                <w:szCs w:val="10"/>
                <w:color w:val="auto"/>
              </w:rPr>
              <w:t>59.76</w:t>
            </w:r>
          </w:p>
        </w:tc>
        <w:tc>
          <w:tcPr>
            <w:tcW w:w="0" w:type="dxa"/>
            <w:vAlign w:val="bottom"/>
          </w:tcPr>
          <w:p>
            <w:pPr>
              <w:spacing w:after="0"/>
              <w:rPr>
                <w:sz w:val="1"/>
                <w:szCs w:val="1"/>
                <w:color w:val="auto"/>
              </w:rPr>
            </w:pPr>
          </w:p>
        </w:tc>
      </w:tr>
      <w:tr>
        <w:trPr>
          <w:trHeight w:val="123"/>
        </w:trPr>
        <w:tc>
          <w:tcPr>
            <w:tcW w:w="2360" w:type="dxa"/>
            <w:vAlign w:val="bottom"/>
          </w:tcPr>
          <w:p>
            <w:pPr>
              <w:spacing w:after="0"/>
              <w:rPr>
                <w:sz w:val="20"/>
                <w:szCs w:val="20"/>
                <w:color w:val="auto"/>
              </w:rPr>
            </w:pPr>
            <w:r>
              <w:rPr>
                <w:rFonts w:ascii="Arial" w:cs="Arial" w:eastAsia="Arial" w:hAnsi="Arial"/>
                <w:sz w:val="10"/>
                <w:szCs w:val="10"/>
                <w:color w:val="auto"/>
              </w:rPr>
              <w:t>February</w:t>
            </w:r>
          </w:p>
        </w:tc>
        <w:tc>
          <w:tcPr>
            <w:tcW w:w="1080" w:type="dxa"/>
            <w:vAlign w:val="bottom"/>
          </w:tcPr>
          <w:p>
            <w:pPr>
              <w:jc w:val="right"/>
              <w:ind w:right="293"/>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654"/>
              <w:spacing w:after="0"/>
              <w:rPr>
                <w:sz w:val="20"/>
                <w:szCs w:val="20"/>
                <w:color w:val="auto"/>
              </w:rPr>
            </w:pPr>
            <w:r>
              <w:rPr>
                <w:rFonts w:ascii="Arial" w:cs="Arial" w:eastAsia="Arial" w:hAnsi="Arial"/>
                <w:sz w:val="10"/>
                <w:szCs w:val="10"/>
                <w:color w:val="auto"/>
              </w:rPr>
              <w:t>11,306,918</w:t>
            </w:r>
          </w:p>
        </w:tc>
        <w:tc>
          <w:tcPr>
            <w:tcW w:w="1100" w:type="dxa"/>
            <w:vAlign w:val="bottom"/>
          </w:tcPr>
          <w:p>
            <w:pPr>
              <w:jc w:val="right"/>
              <w:ind w:right="333"/>
              <w:spacing w:after="0"/>
              <w:rPr>
                <w:sz w:val="20"/>
                <w:szCs w:val="20"/>
                <w:color w:val="auto"/>
              </w:rPr>
            </w:pPr>
            <w:r>
              <w:rPr>
                <w:rFonts w:ascii="Arial" w:cs="Arial" w:eastAsia="Arial" w:hAnsi="Arial"/>
                <w:sz w:val="10"/>
                <w:szCs w:val="10"/>
                <w:color w:val="auto"/>
              </w:rPr>
              <w:t>25.32</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333"/>
              <w:spacing w:after="0"/>
              <w:rPr>
                <w:sz w:val="20"/>
                <w:szCs w:val="20"/>
                <w:color w:val="auto"/>
              </w:rPr>
            </w:pPr>
            <w:r>
              <w:rPr>
                <w:rFonts w:ascii="Arial" w:cs="Arial" w:eastAsia="Arial" w:hAnsi="Arial"/>
                <w:sz w:val="10"/>
                <w:szCs w:val="10"/>
                <w:color w:val="auto"/>
              </w:rPr>
              <w:t>5,518,503</w:t>
            </w:r>
          </w:p>
        </w:tc>
        <w:tc>
          <w:tcPr>
            <w:tcW w:w="1100" w:type="dxa"/>
            <w:vAlign w:val="bottom"/>
          </w:tcPr>
          <w:p>
            <w:pPr>
              <w:jc w:val="right"/>
              <w:ind w:right="313"/>
              <w:spacing w:after="0"/>
              <w:rPr>
                <w:sz w:val="20"/>
                <w:szCs w:val="20"/>
                <w:color w:val="auto"/>
              </w:rPr>
            </w:pPr>
            <w:r>
              <w:rPr>
                <w:rFonts w:ascii="Arial" w:cs="Arial" w:eastAsia="Arial" w:hAnsi="Arial"/>
                <w:sz w:val="10"/>
                <w:szCs w:val="10"/>
                <w:color w:val="auto"/>
              </w:rPr>
              <w:t>24.45</w:t>
            </w:r>
          </w:p>
        </w:tc>
        <w:tc>
          <w:tcPr>
            <w:tcW w:w="1260" w:type="dxa"/>
            <w:vAlign w:val="bottom"/>
          </w:tcPr>
          <w:p>
            <w:pPr>
              <w:jc w:val="right"/>
              <w:ind w:right="474"/>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20"/>
                <w:szCs w:val="20"/>
                <w:color w:val="auto"/>
              </w:rPr>
            </w:pPr>
            <w:r>
              <w:rPr>
                <w:rFonts w:ascii="Arial" w:cs="Arial" w:eastAsia="Arial" w:hAnsi="Arial"/>
                <w:sz w:val="10"/>
                <w:szCs w:val="10"/>
                <w:color w:val="auto"/>
              </w:rPr>
              <w:t>March</w:t>
            </w:r>
          </w:p>
        </w:tc>
        <w:tc>
          <w:tcPr>
            <w:tcW w:w="1080" w:type="dxa"/>
            <w:vAlign w:val="bottom"/>
          </w:tcPr>
          <w:p>
            <w:pPr>
              <w:jc w:val="right"/>
              <w:ind w:right="293"/>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654"/>
              <w:spacing w:after="0"/>
              <w:rPr>
                <w:sz w:val="20"/>
                <w:szCs w:val="20"/>
                <w:color w:val="auto"/>
              </w:rPr>
            </w:pPr>
            <w:r>
              <w:rPr>
                <w:rFonts w:ascii="Arial" w:cs="Arial" w:eastAsia="Arial" w:hAnsi="Arial"/>
                <w:sz w:val="10"/>
                <w:szCs w:val="10"/>
                <w:color w:val="auto"/>
              </w:rPr>
              <w:t>12,229,299</w:t>
            </w:r>
          </w:p>
        </w:tc>
        <w:tc>
          <w:tcPr>
            <w:tcW w:w="1100" w:type="dxa"/>
            <w:vAlign w:val="bottom"/>
          </w:tcPr>
          <w:p>
            <w:pPr>
              <w:jc w:val="right"/>
              <w:ind w:right="333"/>
              <w:spacing w:after="0"/>
              <w:rPr>
                <w:sz w:val="20"/>
                <w:szCs w:val="20"/>
                <w:color w:val="auto"/>
              </w:rPr>
            </w:pPr>
            <w:r>
              <w:rPr>
                <w:rFonts w:ascii="Arial" w:cs="Arial" w:eastAsia="Arial" w:hAnsi="Arial"/>
                <w:sz w:val="10"/>
                <w:szCs w:val="10"/>
                <w:color w:val="auto"/>
              </w:rPr>
              <w:t>18.48</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333"/>
              <w:spacing w:after="0"/>
              <w:rPr>
                <w:sz w:val="20"/>
                <w:szCs w:val="20"/>
                <w:color w:val="auto"/>
              </w:rPr>
            </w:pPr>
            <w:r>
              <w:rPr>
                <w:rFonts w:ascii="Arial" w:cs="Arial" w:eastAsia="Arial" w:hAnsi="Arial"/>
                <w:sz w:val="10"/>
                <w:szCs w:val="10"/>
                <w:color w:val="auto"/>
              </w:rPr>
              <w:t>9,904,356</w:t>
            </w:r>
          </w:p>
        </w:tc>
        <w:tc>
          <w:tcPr>
            <w:tcW w:w="1100" w:type="dxa"/>
            <w:vAlign w:val="bottom"/>
          </w:tcPr>
          <w:p>
            <w:pPr>
              <w:jc w:val="right"/>
              <w:ind w:right="313"/>
              <w:spacing w:after="0"/>
              <w:rPr>
                <w:sz w:val="20"/>
                <w:szCs w:val="20"/>
                <w:color w:val="auto"/>
              </w:rPr>
            </w:pPr>
            <w:r>
              <w:rPr>
                <w:rFonts w:ascii="Arial" w:cs="Arial" w:eastAsia="Arial" w:hAnsi="Arial"/>
                <w:sz w:val="10"/>
                <w:szCs w:val="10"/>
                <w:color w:val="auto"/>
              </w:rPr>
              <w:t>14.88</w:t>
            </w:r>
          </w:p>
        </w:tc>
        <w:tc>
          <w:tcPr>
            <w:tcW w:w="1260" w:type="dxa"/>
            <w:vAlign w:val="bottom"/>
          </w:tcPr>
          <w:p>
            <w:pPr>
              <w:jc w:val="right"/>
              <w:ind w:right="474"/>
              <w:spacing w:after="0"/>
              <w:rPr>
                <w:sz w:val="20"/>
                <w:szCs w:val="20"/>
                <w:color w:val="auto"/>
              </w:rPr>
            </w:pPr>
            <w:r>
              <w:rPr>
                <w:rFonts w:ascii="Arial" w:cs="Arial" w:eastAsia="Arial" w:hAnsi="Arial"/>
                <w:sz w:val="10"/>
                <w:szCs w:val="10"/>
                <w:color w:val="auto"/>
              </w:rPr>
              <w:t>133,692</w:t>
            </w:r>
          </w:p>
        </w:tc>
        <w:tc>
          <w:tcPr>
            <w:tcW w:w="660" w:type="dxa"/>
            <w:vAlign w:val="bottom"/>
          </w:tcPr>
          <w:p>
            <w:pPr>
              <w:jc w:val="right"/>
              <w:spacing w:after="0"/>
              <w:rPr>
                <w:sz w:val="20"/>
                <w:szCs w:val="20"/>
                <w:color w:val="auto"/>
              </w:rPr>
            </w:pPr>
            <w:r>
              <w:rPr>
                <w:rFonts w:ascii="Arial" w:cs="Arial" w:eastAsia="Arial" w:hAnsi="Arial"/>
                <w:sz w:val="10"/>
                <w:szCs w:val="10"/>
                <w:color w:val="auto"/>
              </w:rPr>
              <w:t>31.25</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20"/>
                <w:szCs w:val="20"/>
                <w:color w:val="auto"/>
              </w:rPr>
            </w:pPr>
            <w:r>
              <w:rPr>
                <w:rFonts w:ascii="Arial" w:cs="Arial" w:eastAsia="Arial" w:hAnsi="Arial"/>
                <w:sz w:val="10"/>
                <w:szCs w:val="10"/>
                <w:color w:val="auto"/>
              </w:rPr>
              <w:t>April</w:t>
            </w:r>
          </w:p>
        </w:tc>
        <w:tc>
          <w:tcPr>
            <w:tcW w:w="1080" w:type="dxa"/>
            <w:vAlign w:val="bottom"/>
          </w:tcPr>
          <w:p>
            <w:pPr>
              <w:jc w:val="right"/>
              <w:ind w:right="293"/>
              <w:spacing w:after="0"/>
              <w:rPr>
                <w:sz w:val="20"/>
                <w:szCs w:val="20"/>
                <w:color w:val="auto"/>
              </w:rPr>
            </w:pPr>
            <w:r>
              <w:rPr>
                <w:rFonts w:ascii="Arial" w:cs="Arial" w:eastAsia="Arial" w:hAnsi="Arial"/>
                <w:sz w:val="10"/>
                <w:szCs w:val="10"/>
                <w:color w:val="auto"/>
              </w:rPr>
              <w:t>813,021</w:t>
            </w:r>
          </w:p>
        </w:tc>
        <w:tc>
          <w:tcPr>
            <w:tcW w:w="1500" w:type="dxa"/>
            <w:vAlign w:val="bottom"/>
          </w:tcPr>
          <w:p>
            <w:pPr>
              <w:jc w:val="right"/>
              <w:ind w:right="654"/>
              <w:spacing w:after="0"/>
              <w:rPr>
                <w:sz w:val="20"/>
                <w:szCs w:val="20"/>
                <w:color w:val="auto"/>
              </w:rPr>
            </w:pPr>
            <w:r>
              <w:rPr>
                <w:rFonts w:ascii="Arial" w:cs="Arial" w:eastAsia="Arial" w:hAnsi="Arial"/>
                <w:sz w:val="10"/>
                <w:szCs w:val="10"/>
                <w:color w:val="auto"/>
              </w:rPr>
              <w:t>3,905,280</w:t>
            </w:r>
          </w:p>
        </w:tc>
        <w:tc>
          <w:tcPr>
            <w:tcW w:w="1100" w:type="dxa"/>
            <w:vAlign w:val="bottom"/>
          </w:tcPr>
          <w:p>
            <w:pPr>
              <w:jc w:val="right"/>
              <w:ind w:right="333"/>
              <w:spacing w:after="0"/>
              <w:rPr>
                <w:sz w:val="20"/>
                <w:szCs w:val="20"/>
                <w:color w:val="auto"/>
              </w:rPr>
            </w:pPr>
            <w:r>
              <w:rPr>
                <w:rFonts w:ascii="Arial" w:cs="Arial" w:eastAsia="Arial" w:hAnsi="Arial"/>
                <w:sz w:val="10"/>
                <w:szCs w:val="10"/>
                <w:color w:val="auto"/>
              </w:rPr>
              <w:t>18.19</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1,874,926</w:t>
            </w:r>
          </w:p>
        </w:tc>
        <w:tc>
          <w:tcPr>
            <w:tcW w:w="1280" w:type="dxa"/>
            <w:vAlign w:val="bottom"/>
          </w:tcPr>
          <w:p>
            <w:pPr>
              <w:jc w:val="right"/>
              <w:ind w:right="333"/>
              <w:spacing w:after="0"/>
              <w:rPr>
                <w:sz w:val="20"/>
                <w:szCs w:val="20"/>
                <w:color w:val="auto"/>
              </w:rPr>
            </w:pPr>
            <w:r>
              <w:rPr>
                <w:rFonts w:ascii="Arial" w:cs="Arial" w:eastAsia="Arial" w:hAnsi="Arial"/>
                <w:sz w:val="10"/>
                <w:szCs w:val="10"/>
                <w:color w:val="auto"/>
              </w:rPr>
              <w:t>7,800,412</w:t>
            </w:r>
          </w:p>
        </w:tc>
        <w:tc>
          <w:tcPr>
            <w:tcW w:w="1100" w:type="dxa"/>
            <w:vAlign w:val="bottom"/>
          </w:tcPr>
          <w:p>
            <w:pPr>
              <w:jc w:val="right"/>
              <w:ind w:right="313"/>
              <w:spacing w:after="0"/>
              <w:rPr>
                <w:sz w:val="20"/>
                <w:szCs w:val="20"/>
                <w:color w:val="auto"/>
              </w:rPr>
            </w:pPr>
            <w:r>
              <w:rPr>
                <w:rFonts w:ascii="Arial" w:cs="Arial" w:eastAsia="Arial" w:hAnsi="Arial"/>
                <w:sz w:val="10"/>
                <w:szCs w:val="10"/>
                <w:color w:val="auto"/>
              </w:rPr>
              <w:t>17.31</w:t>
            </w:r>
          </w:p>
        </w:tc>
        <w:tc>
          <w:tcPr>
            <w:tcW w:w="1260" w:type="dxa"/>
            <w:vAlign w:val="bottom"/>
          </w:tcPr>
          <w:p>
            <w:pPr>
              <w:jc w:val="right"/>
              <w:ind w:right="474"/>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20"/>
                <w:szCs w:val="20"/>
                <w:color w:val="auto"/>
              </w:rPr>
            </w:pPr>
            <w:r>
              <w:rPr>
                <w:rFonts w:ascii="Arial" w:cs="Arial" w:eastAsia="Arial" w:hAnsi="Arial"/>
                <w:sz w:val="10"/>
                <w:szCs w:val="10"/>
                <w:color w:val="auto"/>
              </w:rPr>
              <w:t>May</w:t>
            </w:r>
          </w:p>
        </w:tc>
        <w:tc>
          <w:tcPr>
            <w:tcW w:w="1080" w:type="dxa"/>
            <w:vAlign w:val="bottom"/>
          </w:tcPr>
          <w:p>
            <w:pPr>
              <w:jc w:val="right"/>
              <w:ind w:right="293"/>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654"/>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33"/>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333"/>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13"/>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474"/>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20"/>
                <w:szCs w:val="20"/>
                <w:color w:val="auto"/>
              </w:rPr>
            </w:pPr>
            <w:r>
              <w:rPr>
                <w:rFonts w:ascii="Arial" w:cs="Arial" w:eastAsia="Arial" w:hAnsi="Arial"/>
                <w:sz w:val="10"/>
                <w:szCs w:val="10"/>
                <w:color w:val="auto"/>
              </w:rPr>
              <w:t>June</w:t>
            </w:r>
          </w:p>
        </w:tc>
        <w:tc>
          <w:tcPr>
            <w:tcW w:w="1080" w:type="dxa"/>
            <w:vAlign w:val="bottom"/>
          </w:tcPr>
          <w:p>
            <w:pPr>
              <w:jc w:val="right"/>
              <w:ind w:right="293"/>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654"/>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33"/>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333"/>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13"/>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474"/>
              <w:spacing w:after="0"/>
              <w:rPr>
                <w:sz w:val="20"/>
                <w:szCs w:val="20"/>
                <w:color w:val="auto"/>
              </w:rPr>
            </w:pPr>
            <w:r>
              <w:rPr>
                <w:rFonts w:ascii="Arial" w:cs="Arial" w:eastAsia="Arial" w:hAnsi="Arial"/>
                <w:sz w:val="10"/>
                <w:szCs w:val="10"/>
                <w:color w:val="auto"/>
              </w:rPr>
              <w:t>20,109</w:t>
            </w:r>
          </w:p>
        </w:tc>
        <w:tc>
          <w:tcPr>
            <w:tcW w:w="660" w:type="dxa"/>
            <w:vAlign w:val="bottom"/>
          </w:tcPr>
          <w:p>
            <w:pPr>
              <w:jc w:val="right"/>
              <w:spacing w:after="0"/>
              <w:rPr>
                <w:sz w:val="20"/>
                <w:szCs w:val="20"/>
                <w:color w:val="auto"/>
              </w:rPr>
            </w:pPr>
            <w:r>
              <w:rPr>
                <w:rFonts w:ascii="Arial" w:cs="Arial" w:eastAsia="Arial" w:hAnsi="Arial"/>
                <w:sz w:val="10"/>
                <w:szCs w:val="10"/>
                <w:color w:val="auto"/>
              </w:rPr>
              <w:t>35.09</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20"/>
                <w:szCs w:val="20"/>
                <w:color w:val="auto"/>
              </w:rPr>
            </w:pPr>
            <w:r>
              <w:rPr>
                <w:rFonts w:ascii="Arial" w:cs="Arial" w:eastAsia="Arial" w:hAnsi="Arial"/>
                <w:sz w:val="10"/>
                <w:szCs w:val="10"/>
                <w:color w:val="auto"/>
              </w:rPr>
              <w:t>July</w:t>
            </w:r>
          </w:p>
        </w:tc>
        <w:tc>
          <w:tcPr>
            <w:tcW w:w="1080" w:type="dxa"/>
            <w:vAlign w:val="bottom"/>
          </w:tcPr>
          <w:p>
            <w:pPr>
              <w:jc w:val="right"/>
              <w:ind w:right="293"/>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654"/>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33"/>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333"/>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13"/>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474"/>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20"/>
                <w:szCs w:val="20"/>
                <w:color w:val="auto"/>
              </w:rPr>
            </w:pPr>
            <w:r>
              <w:rPr>
                <w:rFonts w:ascii="Arial" w:cs="Arial" w:eastAsia="Arial" w:hAnsi="Arial"/>
                <w:sz w:val="10"/>
                <w:szCs w:val="10"/>
                <w:color w:val="auto"/>
              </w:rPr>
              <w:t>August</w:t>
            </w:r>
          </w:p>
        </w:tc>
        <w:tc>
          <w:tcPr>
            <w:tcW w:w="1080" w:type="dxa"/>
            <w:vAlign w:val="bottom"/>
          </w:tcPr>
          <w:p>
            <w:pPr>
              <w:jc w:val="right"/>
              <w:ind w:right="293"/>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654"/>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33"/>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333"/>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13"/>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474"/>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20"/>
                <w:szCs w:val="20"/>
                <w:color w:val="auto"/>
              </w:rPr>
            </w:pPr>
            <w:r>
              <w:rPr>
                <w:rFonts w:ascii="Arial" w:cs="Arial" w:eastAsia="Arial" w:hAnsi="Arial"/>
                <w:sz w:val="10"/>
                <w:szCs w:val="10"/>
                <w:color w:val="auto"/>
              </w:rPr>
              <w:t>September</w:t>
            </w:r>
          </w:p>
        </w:tc>
        <w:tc>
          <w:tcPr>
            <w:tcW w:w="1080" w:type="dxa"/>
            <w:vAlign w:val="bottom"/>
          </w:tcPr>
          <w:p>
            <w:pPr>
              <w:jc w:val="right"/>
              <w:ind w:right="293"/>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654"/>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33"/>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333"/>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13"/>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474"/>
              <w:spacing w:after="0"/>
              <w:rPr>
                <w:sz w:val="20"/>
                <w:szCs w:val="20"/>
                <w:color w:val="auto"/>
              </w:rPr>
            </w:pPr>
            <w:r>
              <w:rPr>
                <w:rFonts w:ascii="Arial" w:cs="Arial" w:eastAsia="Arial" w:hAnsi="Arial"/>
                <w:sz w:val="10"/>
                <w:szCs w:val="10"/>
                <w:color w:val="auto"/>
              </w:rPr>
              <w:t>26,570</w:t>
            </w:r>
          </w:p>
        </w:tc>
        <w:tc>
          <w:tcPr>
            <w:tcW w:w="660" w:type="dxa"/>
            <w:vAlign w:val="bottom"/>
          </w:tcPr>
          <w:p>
            <w:pPr>
              <w:jc w:val="right"/>
              <w:spacing w:after="0"/>
              <w:rPr>
                <w:sz w:val="20"/>
                <w:szCs w:val="20"/>
                <w:color w:val="auto"/>
              </w:rPr>
            </w:pPr>
            <w:r>
              <w:rPr>
                <w:rFonts w:ascii="Arial" w:cs="Arial" w:eastAsia="Arial" w:hAnsi="Arial"/>
                <w:sz w:val="10"/>
                <w:szCs w:val="10"/>
                <w:color w:val="auto"/>
              </w:rPr>
              <w:t>26.74</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20"/>
                <w:szCs w:val="20"/>
                <w:color w:val="auto"/>
              </w:rPr>
            </w:pPr>
            <w:r>
              <w:rPr>
                <w:rFonts w:ascii="Arial" w:cs="Arial" w:eastAsia="Arial" w:hAnsi="Arial"/>
                <w:sz w:val="10"/>
                <w:szCs w:val="10"/>
                <w:color w:val="auto"/>
              </w:rPr>
              <w:t>October</w:t>
            </w:r>
          </w:p>
        </w:tc>
        <w:tc>
          <w:tcPr>
            <w:tcW w:w="1080" w:type="dxa"/>
            <w:vAlign w:val="bottom"/>
          </w:tcPr>
          <w:p>
            <w:pPr>
              <w:jc w:val="right"/>
              <w:ind w:right="293"/>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654"/>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33"/>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333"/>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13"/>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474"/>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20"/>
                <w:szCs w:val="20"/>
                <w:color w:val="auto"/>
              </w:rPr>
            </w:pPr>
            <w:r>
              <w:rPr>
                <w:rFonts w:ascii="Arial" w:cs="Arial" w:eastAsia="Arial" w:hAnsi="Arial"/>
                <w:sz w:val="10"/>
                <w:szCs w:val="10"/>
                <w:color w:val="auto"/>
              </w:rPr>
              <w:t>November</w:t>
            </w:r>
          </w:p>
        </w:tc>
        <w:tc>
          <w:tcPr>
            <w:tcW w:w="1080" w:type="dxa"/>
            <w:vAlign w:val="bottom"/>
          </w:tcPr>
          <w:p>
            <w:pPr>
              <w:jc w:val="right"/>
              <w:ind w:right="293"/>
              <w:spacing w:after="0"/>
              <w:rPr>
                <w:sz w:val="20"/>
                <w:szCs w:val="20"/>
                <w:color w:val="auto"/>
              </w:rPr>
            </w:pPr>
            <w:r>
              <w:rPr>
                <w:rFonts w:ascii="Arial" w:cs="Arial" w:eastAsia="Arial" w:hAnsi="Arial"/>
                <w:sz w:val="10"/>
                <w:szCs w:val="10"/>
                <w:color w:val="auto"/>
              </w:rPr>
              <w:t>3,244,447</w:t>
            </w:r>
          </w:p>
        </w:tc>
        <w:tc>
          <w:tcPr>
            <w:tcW w:w="1500" w:type="dxa"/>
            <w:vAlign w:val="bottom"/>
          </w:tcPr>
          <w:p>
            <w:pPr>
              <w:jc w:val="right"/>
              <w:ind w:right="654"/>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33"/>
              <w:spacing w:after="0"/>
              <w:rPr>
                <w:sz w:val="20"/>
                <w:szCs w:val="20"/>
                <w:color w:val="auto"/>
              </w:rPr>
            </w:pPr>
            <w:r>
              <w:rPr>
                <w:rFonts w:ascii="Arial" w:cs="Arial" w:eastAsia="Arial" w:hAnsi="Arial"/>
                <w:sz w:val="10"/>
                <w:szCs w:val="10"/>
                <w:color w:val="auto"/>
              </w:rPr>
              <w:t>15.68</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113,348</w:t>
            </w:r>
          </w:p>
        </w:tc>
        <w:tc>
          <w:tcPr>
            <w:tcW w:w="1280" w:type="dxa"/>
            <w:vAlign w:val="bottom"/>
          </w:tcPr>
          <w:p>
            <w:pPr>
              <w:jc w:val="right"/>
              <w:ind w:right="333"/>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13"/>
              <w:spacing w:after="0"/>
              <w:rPr>
                <w:sz w:val="20"/>
                <w:szCs w:val="20"/>
                <w:color w:val="auto"/>
              </w:rPr>
            </w:pPr>
            <w:r>
              <w:rPr>
                <w:rFonts w:ascii="Arial" w:cs="Arial" w:eastAsia="Arial" w:hAnsi="Arial"/>
                <w:sz w:val="10"/>
                <w:szCs w:val="10"/>
                <w:color w:val="auto"/>
              </w:rPr>
              <w:t>13.9</w:t>
            </w:r>
          </w:p>
        </w:tc>
        <w:tc>
          <w:tcPr>
            <w:tcW w:w="1260" w:type="dxa"/>
            <w:vAlign w:val="bottom"/>
          </w:tcPr>
          <w:p>
            <w:pPr>
              <w:jc w:val="right"/>
              <w:ind w:right="474"/>
              <w:spacing w:after="0"/>
              <w:rPr>
                <w:sz w:val="20"/>
                <w:szCs w:val="20"/>
                <w:color w:val="auto"/>
              </w:rPr>
            </w:pPr>
            <w:r>
              <w:rPr>
                <w:rFonts w:ascii="Arial" w:cs="Arial" w:eastAsia="Arial" w:hAnsi="Arial"/>
                <w:sz w:val="10"/>
                <w:szCs w:val="10"/>
                <w:color w:val="auto"/>
              </w:rPr>
              <w:t>1,509,662</w:t>
            </w:r>
          </w:p>
        </w:tc>
        <w:tc>
          <w:tcPr>
            <w:tcW w:w="660" w:type="dxa"/>
            <w:vAlign w:val="bottom"/>
          </w:tcPr>
          <w:p>
            <w:pPr>
              <w:jc w:val="right"/>
              <w:spacing w:after="0"/>
              <w:rPr>
                <w:sz w:val="20"/>
                <w:szCs w:val="20"/>
                <w:color w:val="auto"/>
              </w:rPr>
            </w:pPr>
            <w:r>
              <w:rPr>
                <w:rFonts w:ascii="Arial" w:cs="Arial" w:eastAsia="Arial" w:hAnsi="Arial"/>
                <w:sz w:val="10"/>
                <w:szCs w:val="10"/>
                <w:color w:val="auto"/>
              </w:rPr>
              <w:t>31.36</w:t>
            </w:r>
          </w:p>
        </w:tc>
        <w:tc>
          <w:tcPr>
            <w:tcW w:w="0" w:type="dxa"/>
            <w:vAlign w:val="bottom"/>
          </w:tcPr>
          <w:p>
            <w:pPr>
              <w:spacing w:after="0"/>
              <w:rPr>
                <w:sz w:val="1"/>
                <w:szCs w:val="1"/>
                <w:color w:val="auto"/>
              </w:rPr>
            </w:pPr>
          </w:p>
        </w:tc>
      </w:tr>
      <w:tr>
        <w:trPr>
          <w:trHeight w:val="130"/>
        </w:trPr>
        <w:tc>
          <w:tcPr>
            <w:tcW w:w="23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December</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0"/>
                <w:szCs w:val="10"/>
                <w:color w:val="auto"/>
              </w:rPr>
              <w:t>2,783,283</w:t>
            </w:r>
          </w:p>
        </w:tc>
        <w:tc>
          <w:tcPr>
            <w:tcW w:w="1500" w:type="dxa"/>
            <w:vAlign w:val="bottom"/>
            <w:tcBorders>
              <w:bottom w:val="single" w:sz="8" w:color="auto"/>
            </w:tcBorders>
          </w:tcPr>
          <w:p>
            <w:pPr>
              <w:jc w:val="right"/>
              <w:ind w:right="654"/>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18.52</w:t>
            </w: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0"/>
                <w:szCs w:val="10"/>
                <w:color w:val="auto"/>
              </w:rPr>
              <w:t>934,246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36.87</w:t>
            </w:r>
          </w:p>
        </w:tc>
        <w:tc>
          <w:tcPr>
            <w:tcW w:w="0" w:type="dxa"/>
            <w:vAlign w:val="bottom"/>
          </w:tcPr>
          <w:p>
            <w:pPr>
              <w:spacing w:after="0"/>
              <w:rPr>
                <w:sz w:val="1"/>
                <w:szCs w:val="1"/>
                <w:color w:val="auto"/>
              </w:rPr>
            </w:pPr>
          </w:p>
        </w:tc>
      </w:tr>
      <w:tr>
        <w:trPr>
          <w:trHeight w:val="117"/>
        </w:trPr>
        <w:tc>
          <w:tcPr>
            <w:tcW w:w="2360" w:type="dxa"/>
            <w:vAlign w:val="bottom"/>
            <w:tcBorders>
              <w:bottom w:val="single" w:sz="8" w:color="auto"/>
            </w:tcBorders>
          </w:tcPr>
          <w:p>
            <w:pPr>
              <w:ind w:left="1620"/>
              <w:spacing w:after="0"/>
              <w:rPr>
                <w:sz w:val="20"/>
                <w:szCs w:val="20"/>
                <w:color w:val="auto"/>
              </w:rPr>
            </w:pPr>
            <w:r>
              <w:rPr>
                <w:rFonts w:ascii="Arial" w:cs="Arial" w:eastAsia="Arial" w:hAnsi="Arial"/>
                <w:sz w:val="10"/>
                <w:szCs w:val="10"/>
                <w:color w:val="auto"/>
              </w:rPr>
              <w:t>Total 2020</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0"/>
                <w:szCs w:val="10"/>
                <w:color w:val="auto"/>
              </w:rPr>
              <w:t>6,840,751</w:t>
            </w:r>
          </w:p>
        </w:tc>
        <w:tc>
          <w:tcPr>
            <w:tcW w:w="1500" w:type="dxa"/>
            <w:vAlign w:val="bottom"/>
            <w:tcBorders>
              <w:bottom w:val="single" w:sz="8" w:color="auto"/>
            </w:tcBorders>
          </w:tcPr>
          <w:p>
            <w:pPr>
              <w:jc w:val="right"/>
              <w:ind w:right="654"/>
              <w:spacing w:after="0"/>
              <w:rPr>
                <w:sz w:val="20"/>
                <w:szCs w:val="20"/>
                <w:color w:val="auto"/>
              </w:rPr>
            </w:pPr>
            <w:r>
              <w:rPr>
                <w:rFonts w:ascii="Arial" w:cs="Arial" w:eastAsia="Arial" w:hAnsi="Arial"/>
                <w:sz w:val="10"/>
                <w:szCs w:val="10"/>
                <w:color w:val="auto"/>
              </w:rPr>
              <w:t>50,548,018</w:t>
            </w: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24.14</w:t>
            </w: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0"/>
                <w:szCs w:val="10"/>
                <w:color w:val="auto"/>
              </w:rPr>
              <w:t>1,988,274</w:t>
            </w:r>
          </w:p>
        </w:tc>
        <w:tc>
          <w:tcPr>
            <w:tcW w:w="128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23,223,271</w:t>
            </w: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0"/>
                <w:szCs w:val="10"/>
                <w:color w:val="auto"/>
              </w:rPr>
              <w:t>17.9</w:t>
            </w: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0"/>
                <w:szCs w:val="10"/>
                <w:color w:val="auto"/>
              </w:rPr>
              <w:t>3,627,731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40.62</w:t>
            </w:r>
          </w:p>
        </w:tc>
        <w:tc>
          <w:tcPr>
            <w:tcW w:w="0" w:type="dxa"/>
            <w:vAlign w:val="bottom"/>
          </w:tcPr>
          <w:p>
            <w:pPr>
              <w:spacing w:after="0"/>
              <w:rPr>
                <w:sz w:val="1"/>
                <w:szCs w:val="1"/>
                <w:color w:val="auto"/>
              </w:rPr>
            </w:pPr>
          </w:p>
        </w:tc>
      </w:tr>
      <w:tr>
        <w:trPr>
          <w:trHeight w:val="115"/>
        </w:trPr>
        <w:tc>
          <w:tcPr>
            <w:tcW w:w="23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January</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tcPr>
          <w:p>
            <w:pPr>
              <w:jc w:val="right"/>
              <w:ind w:right="654"/>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0"/>
                <w:szCs w:val="10"/>
                <w:color w:val="auto"/>
              </w:rPr>
              <w:t>1,525,265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37.23</w:t>
            </w:r>
          </w:p>
        </w:tc>
        <w:tc>
          <w:tcPr>
            <w:tcW w:w="0" w:type="dxa"/>
            <w:vAlign w:val="bottom"/>
          </w:tcPr>
          <w:p>
            <w:pPr>
              <w:spacing w:after="0"/>
              <w:rPr>
                <w:sz w:val="1"/>
                <w:szCs w:val="1"/>
                <w:color w:val="auto"/>
              </w:rPr>
            </w:pPr>
          </w:p>
        </w:tc>
      </w:tr>
      <w:tr>
        <w:trPr>
          <w:trHeight w:val="115"/>
        </w:trPr>
        <w:tc>
          <w:tcPr>
            <w:tcW w:w="2360" w:type="dxa"/>
            <w:vAlign w:val="bottom"/>
            <w:tcBorders>
              <w:bottom w:val="single" w:sz="8" w:color="auto"/>
            </w:tcBorders>
          </w:tcPr>
          <w:p>
            <w:pPr>
              <w:ind w:left="1620"/>
              <w:spacing w:after="0"/>
              <w:rPr>
                <w:sz w:val="20"/>
                <w:szCs w:val="20"/>
                <w:color w:val="auto"/>
              </w:rPr>
            </w:pPr>
            <w:r>
              <w:rPr>
                <w:rFonts w:ascii="Arial" w:cs="Arial" w:eastAsia="Arial" w:hAnsi="Arial"/>
                <w:sz w:val="10"/>
                <w:szCs w:val="10"/>
                <w:color w:val="auto"/>
              </w:rPr>
              <w:t>Total 2021</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tcPr>
          <w:p>
            <w:pPr>
              <w:jc w:val="right"/>
              <w:ind w:right="654"/>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0"/>
                <w:szCs w:val="10"/>
                <w:color w:val="auto"/>
              </w:rPr>
              <w:t>1,525,265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37.23</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8" w:hanging="128"/>
        <w:spacing w:after="0"/>
        <w:tabs>
          <w:tab w:leader="none" w:pos="128" w:val="left"/>
        </w:tabs>
        <w:numPr>
          <w:ilvl w:val="0"/>
          <w:numId w:val="59"/>
        </w:numPr>
        <w:rPr>
          <w:rFonts w:ascii="Arial" w:cs="Arial" w:eastAsia="Arial" w:hAnsi="Arial"/>
          <w:sz w:val="7"/>
          <w:szCs w:val="7"/>
          <w:color w:val="auto"/>
        </w:rPr>
      </w:pPr>
      <w:r>
        <w:rPr>
          <w:rFonts w:ascii="Arial" w:cs="Arial" w:eastAsia="Arial" w:hAnsi="Arial"/>
          <w:sz w:val="7"/>
          <w:szCs w:val="7"/>
          <w:color w:val="auto"/>
        </w:rPr>
        <w:t>Reported as at settlement date</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59"/>
        </w:numPr>
        <w:rPr>
          <w:rFonts w:ascii="Arial" w:cs="Arial" w:eastAsia="Arial" w:hAnsi="Arial"/>
          <w:sz w:val="7"/>
          <w:szCs w:val="7"/>
          <w:color w:val="auto"/>
        </w:rPr>
      </w:pPr>
      <w:r>
        <w:rPr>
          <w:rFonts w:ascii="Arial" w:cs="Arial" w:eastAsia="Arial" w:hAnsi="Arial"/>
          <w:sz w:val="7"/>
          <w:szCs w:val="7"/>
          <w:color w:val="auto"/>
        </w:rPr>
        <w:t>American Depositary Shares</w:t>
      </w:r>
    </w:p>
    <w:p>
      <w:pPr>
        <w:ind w:left="108" w:hanging="108"/>
        <w:spacing w:after="0"/>
        <w:tabs>
          <w:tab w:leader="none" w:pos="108" w:val="left"/>
        </w:tabs>
        <w:numPr>
          <w:ilvl w:val="0"/>
          <w:numId w:val="59"/>
        </w:numPr>
        <w:rPr>
          <w:rFonts w:ascii="Arial" w:cs="Arial" w:eastAsia="Arial" w:hAnsi="Arial"/>
          <w:sz w:val="7"/>
          <w:szCs w:val="7"/>
          <w:color w:val="auto"/>
        </w:rPr>
      </w:pPr>
      <w:r>
        <w:rPr>
          <w:rFonts w:ascii="Arial" w:cs="Arial" w:eastAsia="Arial" w:hAnsi="Arial"/>
          <w:sz w:val="7"/>
          <w:szCs w:val="7"/>
          <w:color w:val="auto"/>
        </w:rPr>
        <w:t>Under the share buyback programme</w:t>
      </w:r>
    </w:p>
    <w:p>
      <w:pPr>
        <w:ind w:left="128" w:hanging="128"/>
        <w:spacing w:after="0"/>
        <w:tabs>
          <w:tab w:leader="none" w:pos="128" w:val="left"/>
        </w:tabs>
        <w:numPr>
          <w:ilvl w:val="0"/>
          <w:numId w:val="59"/>
        </w:numPr>
        <w:rPr>
          <w:rFonts w:ascii="Arial" w:cs="Arial" w:eastAsia="Arial" w:hAnsi="Arial"/>
          <w:sz w:val="7"/>
          <w:szCs w:val="7"/>
          <w:color w:val="auto"/>
        </w:rPr>
      </w:pPr>
      <w:r>
        <w:rPr>
          <w:rFonts w:ascii="Arial" w:cs="Arial" w:eastAsia="Arial" w:hAnsi="Arial"/>
          <w:sz w:val="7"/>
          <w:szCs w:val="7"/>
          <w:color w:val="auto"/>
        </w:rPr>
        <w:t>Includes stamp duty and brokers’ commission</w:t>
      </w:r>
    </w:p>
    <w:p>
      <w:pPr>
        <w:ind w:left="108" w:hanging="108"/>
        <w:spacing w:after="0"/>
        <w:tabs>
          <w:tab w:leader="none" w:pos="108" w:val="left"/>
        </w:tabs>
        <w:numPr>
          <w:ilvl w:val="0"/>
          <w:numId w:val="59"/>
        </w:numPr>
        <w:rPr>
          <w:rFonts w:ascii="Arial" w:cs="Arial" w:eastAsia="Arial" w:hAnsi="Arial"/>
          <w:sz w:val="7"/>
          <w:szCs w:val="7"/>
          <w:color w:val="auto"/>
        </w:rPr>
      </w:pPr>
      <w:r>
        <w:rPr>
          <w:rFonts w:ascii="Arial" w:cs="Arial" w:eastAsia="Arial" w:hAnsi="Arial"/>
          <w:sz w:val="7"/>
          <w:szCs w:val="7"/>
          <w:color w:val="auto"/>
        </w:rPr>
        <w:t>January 2020 number of A shares purchased for cancellation has been revised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63</w:t>
            </w:r>
          </w:p>
        </w:tc>
      </w:tr>
      <w:tr>
        <w:trPr>
          <w:trHeight w:val="142"/>
        </w:trPr>
        <w:tc>
          <w:tcPr>
            <w:tcW w:w="3500" w:type="dxa"/>
            <w:vAlign w:val="bottom"/>
            <w:tcBorders>
              <w:bottom w:val="single" w:sz="8" w:color="9A9A9A"/>
            </w:tcBorders>
          </w:tcPr>
          <w:p>
            <w:pPr>
              <w:spacing w:after="0"/>
              <w:rPr>
                <w:sz w:val="12"/>
                <w:szCs w:val="12"/>
                <w:color w:val="auto"/>
              </w:rPr>
            </w:pPr>
          </w:p>
        </w:tc>
        <w:tc>
          <w:tcPr>
            <w:tcW w:w="78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66" w:name="page67"/>
    <w:bookmarkEnd w:id="66"/>
    <w:p>
      <w:pPr>
        <w:ind w:left="8"/>
        <w:spacing w:after="0"/>
        <w:rPr>
          <w:sz w:val="20"/>
          <w:szCs w:val="20"/>
          <w:color w:val="auto"/>
        </w:rPr>
      </w:pPr>
      <w:r>
        <w:rPr>
          <w:rFonts w:ascii="Arial" w:cs="Arial" w:eastAsia="Arial" w:hAnsi="Arial"/>
          <w:sz w:val="11"/>
          <w:szCs w:val="11"/>
          <w:color w:val="auto"/>
        </w:rPr>
        <w:t>CONTRACTUAL OBLIGATIONS</w:t>
      </w:r>
    </w:p>
    <w:p>
      <w:pPr>
        <w:ind w:left="8"/>
        <w:spacing w:after="0" w:line="225" w:lineRule="auto"/>
        <w:rPr>
          <w:sz w:val="20"/>
          <w:szCs w:val="20"/>
          <w:color w:val="auto"/>
        </w:rPr>
      </w:pPr>
      <w:r>
        <w:rPr>
          <w:rFonts w:ascii="Arial" w:cs="Arial" w:eastAsia="Arial" w:hAnsi="Arial"/>
          <w:sz w:val="10"/>
          <w:szCs w:val="10"/>
          <w:color w:val="auto"/>
        </w:rPr>
        <w:t>The table below summarises our principal contractual obligations at December 31, 2020, by expected settlement period. The amounts</w:t>
      </w:r>
    </w:p>
    <w:p>
      <w:pPr>
        <w:ind w:left="8"/>
        <w:spacing w:after="0" w:line="237" w:lineRule="auto"/>
        <w:rPr>
          <w:sz w:val="20"/>
          <w:szCs w:val="20"/>
          <w:color w:val="auto"/>
        </w:rPr>
      </w:pPr>
      <w:r>
        <w:rPr>
          <w:rFonts w:ascii="Arial" w:cs="Arial" w:eastAsia="Arial" w:hAnsi="Arial"/>
          <w:sz w:val="10"/>
          <w:szCs w:val="10"/>
          <w:color w:val="auto"/>
        </w:rPr>
        <w:t>presented have not been offset by any committed third-party revenue in relation to these obligations.</w:t>
      </w:r>
    </w:p>
    <w:p>
      <w:pPr>
        <w:spacing w:after="0" w:line="6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300" w:type="dxa"/>
            <w:vAlign w:val="bottom"/>
            <w:tcBorders>
              <w:top w:val="single" w:sz="8" w:color="CDCDCD"/>
            </w:tcBorders>
          </w:tcPr>
          <w:p>
            <w:pPr>
              <w:spacing w:after="0"/>
              <w:rPr>
                <w:sz w:val="13"/>
                <w:szCs w:val="13"/>
                <w:color w:val="auto"/>
              </w:rPr>
            </w:pPr>
          </w:p>
        </w:tc>
        <w:tc>
          <w:tcPr>
            <w:tcW w:w="960" w:type="dxa"/>
            <w:vAlign w:val="bottom"/>
            <w:tcBorders>
              <w:top w:val="single" w:sz="8" w:color="CDCDCD"/>
            </w:tcBorders>
          </w:tcPr>
          <w:p>
            <w:pPr>
              <w:spacing w:after="0"/>
              <w:rPr>
                <w:sz w:val="13"/>
                <w:szCs w:val="13"/>
                <w:color w:val="auto"/>
              </w:rPr>
            </w:pPr>
          </w:p>
        </w:tc>
        <w:tc>
          <w:tcPr>
            <w:tcW w:w="820" w:type="dxa"/>
            <w:vAlign w:val="bottom"/>
            <w:tcBorders>
              <w:top w:val="single" w:sz="8" w:color="CDCDCD"/>
            </w:tcBorders>
          </w:tcPr>
          <w:p>
            <w:pPr>
              <w:spacing w:after="0"/>
              <w:rPr>
                <w:sz w:val="13"/>
                <w:szCs w:val="13"/>
                <w:color w:val="auto"/>
              </w:rPr>
            </w:pPr>
          </w:p>
        </w:tc>
        <w:tc>
          <w:tcPr>
            <w:tcW w:w="940" w:type="dxa"/>
            <w:vAlign w:val="bottom"/>
            <w:tcBorders>
              <w:top w:val="single" w:sz="8" w:color="CDCDCD"/>
            </w:tcBorders>
          </w:tcPr>
          <w:p>
            <w:pPr>
              <w:spacing w:after="0"/>
              <w:rPr>
                <w:sz w:val="13"/>
                <w:szCs w:val="13"/>
                <w:color w:val="auto"/>
              </w:rPr>
            </w:pPr>
          </w:p>
        </w:tc>
        <w:tc>
          <w:tcPr>
            <w:tcW w:w="820" w:type="dxa"/>
            <w:vAlign w:val="bottom"/>
            <w:tcBorders>
              <w:top w:val="single" w:sz="8" w:color="CDCDCD"/>
            </w:tcBorders>
          </w:tcPr>
          <w:p>
            <w:pPr>
              <w:spacing w:after="0"/>
              <w:rPr>
                <w:sz w:val="13"/>
                <w:szCs w:val="13"/>
                <w:color w:val="auto"/>
              </w:rPr>
            </w:pPr>
          </w:p>
        </w:tc>
        <w:tc>
          <w:tcPr>
            <w:tcW w:w="60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billion</w:t>
            </w:r>
          </w:p>
        </w:tc>
        <w:tc>
          <w:tcPr>
            <w:tcW w:w="0" w:type="dxa"/>
            <w:vAlign w:val="bottom"/>
          </w:tcPr>
          <w:p>
            <w:pPr>
              <w:spacing w:after="0"/>
              <w:rPr>
                <w:sz w:val="1"/>
                <w:szCs w:val="1"/>
                <w:color w:val="auto"/>
              </w:rPr>
            </w:pPr>
          </w:p>
        </w:tc>
      </w:tr>
      <w:tr>
        <w:trPr>
          <w:trHeight w:val="86"/>
        </w:trPr>
        <w:tc>
          <w:tcPr>
            <w:tcW w:w="1300" w:type="dxa"/>
            <w:vAlign w:val="bottom"/>
          </w:tcPr>
          <w:p>
            <w:pPr>
              <w:spacing w:after="0"/>
              <w:rPr>
                <w:sz w:val="7"/>
                <w:szCs w:val="7"/>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8"/>
                <w:szCs w:val="8"/>
                <w:color w:val="auto"/>
              </w:rPr>
              <w:t>Less than 1 year</w:t>
            </w:r>
          </w:p>
        </w:tc>
        <w:tc>
          <w:tcPr>
            <w:tcW w:w="820" w:type="dxa"/>
            <w:vAlign w:val="bottom"/>
          </w:tcPr>
          <w:p>
            <w:pPr>
              <w:jc w:val="right"/>
              <w:ind w:right="154"/>
              <w:spacing w:after="0" w:line="86" w:lineRule="exact"/>
              <w:rPr>
                <w:sz w:val="20"/>
                <w:szCs w:val="20"/>
                <w:color w:val="auto"/>
              </w:rPr>
            </w:pPr>
            <w:r>
              <w:rPr>
                <w:rFonts w:ascii="Arial" w:cs="Arial" w:eastAsia="Arial" w:hAnsi="Arial"/>
                <w:sz w:val="8"/>
                <w:szCs w:val="8"/>
                <w:color w:val="auto"/>
              </w:rPr>
              <w:t>Between</w:t>
            </w:r>
          </w:p>
        </w:tc>
        <w:tc>
          <w:tcPr>
            <w:tcW w:w="940" w:type="dxa"/>
            <w:vAlign w:val="bottom"/>
          </w:tcPr>
          <w:p>
            <w:pPr>
              <w:jc w:val="right"/>
              <w:ind w:right="234"/>
              <w:spacing w:after="0" w:line="86" w:lineRule="exact"/>
              <w:rPr>
                <w:sz w:val="20"/>
                <w:szCs w:val="20"/>
                <w:color w:val="auto"/>
              </w:rPr>
            </w:pPr>
            <w:r>
              <w:rPr>
                <w:rFonts w:ascii="Arial" w:cs="Arial" w:eastAsia="Arial" w:hAnsi="Arial"/>
                <w:sz w:val="8"/>
                <w:szCs w:val="8"/>
                <w:color w:val="auto"/>
              </w:rPr>
              <w:t>Between</w:t>
            </w:r>
          </w:p>
        </w:tc>
        <w:tc>
          <w:tcPr>
            <w:tcW w:w="820" w:type="dxa"/>
            <w:vAlign w:val="bottom"/>
          </w:tcPr>
          <w:p>
            <w:pPr>
              <w:jc w:val="right"/>
              <w:ind w:right="214"/>
              <w:spacing w:after="0" w:line="86" w:lineRule="exact"/>
              <w:rPr>
                <w:sz w:val="20"/>
                <w:szCs w:val="20"/>
                <w:color w:val="auto"/>
              </w:rPr>
            </w:pPr>
            <w:r>
              <w:rPr>
                <w:rFonts w:ascii="Arial" w:cs="Arial" w:eastAsia="Arial" w:hAnsi="Arial"/>
                <w:sz w:val="8"/>
                <w:szCs w:val="8"/>
                <w:color w:val="auto"/>
              </w:rPr>
              <w:t>5 years</w:t>
            </w:r>
          </w:p>
        </w:tc>
        <w:tc>
          <w:tcPr>
            <w:tcW w:w="600" w:type="dxa"/>
            <w:vAlign w:val="bottom"/>
            <w:vMerge w:val="restart"/>
          </w:tcPr>
          <w:p>
            <w:pPr>
              <w:jc w:val="right"/>
              <w:spacing w:after="0"/>
              <w:rPr>
                <w:sz w:val="20"/>
                <w:szCs w:val="20"/>
                <w:color w:val="auto"/>
              </w:rPr>
            </w:pPr>
            <w:r>
              <w:rPr>
                <w:rFonts w:ascii="Arial" w:cs="Arial" w:eastAsia="Arial" w:hAnsi="Arial"/>
                <w:sz w:val="8"/>
                <w:szCs w:val="8"/>
                <w:color w:val="auto"/>
              </w:rPr>
              <w:t>Total</w:t>
            </w:r>
          </w:p>
        </w:tc>
        <w:tc>
          <w:tcPr>
            <w:tcW w:w="0" w:type="dxa"/>
            <w:vAlign w:val="bottom"/>
          </w:tcPr>
          <w:p>
            <w:pPr>
              <w:spacing w:after="0"/>
              <w:rPr>
                <w:sz w:val="1"/>
                <w:szCs w:val="1"/>
                <w:color w:val="auto"/>
              </w:rPr>
            </w:pPr>
          </w:p>
        </w:tc>
      </w:tr>
      <w:tr>
        <w:trPr>
          <w:trHeight w:val="111"/>
        </w:trPr>
        <w:tc>
          <w:tcPr>
            <w:tcW w:w="1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8"/>
                <w:szCs w:val="8"/>
                <w:color w:val="auto"/>
              </w:rPr>
              <w:t>1 and 3 years</w:t>
            </w: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8"/>
                <w:szCs w:val="8"/>
                <w:color w:val="auto"/>
              </w:rPr>
              <w:t>3 and 5 years</w:t>
            </w: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8"/>
                <w:szCs w:val="8"/>
                <w:color w:val="auto"/>
              </w:rPr>
              <w:t>and later</w:t>
            </w:r>
          </w:p>
        </w:tc>
        <w:tc>
          <w:tcPr>
            <w:tcW w:w="6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Debt [A]</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color w:val="auto"/>
              </w:rPr>
              <w:t>12.8</w:t>
            </w: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0"/>
                <w:szCs w:val="10"/>
                <w:color w:val="auto"/>
              </w:rPr>
              <w:t>10.3</w:t>
            </w: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0"/>
                <w:szCs w:val="10"/>
                <w:color w:val="auto"/>
              </w:rPr>
              <w:t>12.9</w:t>
            </w: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0"/>
                <w:szCs w:val="10"/>
                <w:color w:val="auto"/>
              </w:rPr>
              <w:t>42.3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78.3</w:t>
            </w:r>
          </w:p>
        </w:tc>
        <w:tc>
          <w:tcPr>
            <w:tcW w:w="0" w:type="dxa"/>
            <w:vAlign w:val="bottom"/>
          </w:tcPr>
          <w:p>
            <w:pPr>
              <w:spacing w:after="0"/>
              <w:rPr>
                <w:sz w:val="1"/>
                <w:szCs w:val="1"/>
                <w:color w:val="auto"/>
              </w:rPr>
            </w:pPr>
          </w:p>
        </w:tc>
      </w:tr>
      <w:tr>
        <w:trPr>
          <w:trHeight w:val="115"/>
        </w:trPr>
        <w:tc>
          <w:tcPr>
            <w:tcW w:w="1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Leases</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color w:val="auto"/>
              </w:rPr>
              <w:t>6.1</w:t>
            </w: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0"/>
                <w:szCs w:val="10"/>
                <w:color w:val="auto"/>
              </w:rPr>
              <w:t>9.6</w:t>
            </w: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0"/>
                <w:szCs w:val="10"/>
                <w:color w:val="auto"/>
              </w:rPr>
              <w:t>7.1</w:t>
            </w: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0"/>
                <w:szCs w:val="10"/>
                <w:color w:val="auto"/>
              </w:rPr>
              <w:t>20.0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42.8</w:t>
            </w:r>
          </w:p>
        </w:tc>
        <w:tc>
          <w:tcPr>
            <w:tcW w:w="0" w:type="dxa"/>
            <w:vAlign w:val="bottom"/>
          </w:tcPr>
          <w:p>
            <w:pPr>
              <w:spacing w:after="0"/>
              <w:rPr>
                <w:sz w:val="1"/>
                <w:szCs w:val="1"/>
                <w:color w:val="auto"/>
              </w:rPr>
            </w:pPr>
          </w:p>
        </w:tc>
      </w:tr>
      <w:tr>
        <w:trPr>
          <w:trHeight w:val="115"/>
        </w:trPr>
        <w:tc>
          <w:tcPr>
            <w:tcW w:w="1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Purchase obligations [B]</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color w:val="auto"/>
              </w:rPr>
              <w:t>21.4</w:t>
            </w: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0"/>
                <w:szCs w:val="10"/>
                <w:color w:val="auto"/>
              </w:rPr>
              <w:t>24.9</w:t>
            </w: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0"/>
                <w:szCs w:val="10"/>
                <w:color w:val="auto"/>
              </w:rPr>
              <w:t>18.1</w:t>
            </w: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0"/>
                <w:szCs w:val="10"/>
                <w:color w:val="auto"/>
              </w:rPr>
              <w:t>47.8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112.2</w:t>
            </w:r>
          </w:p>
        </w:tc>
        <w:tc>
          <w:tcPr>
            <w:tcW w:w="0" w:type="dxa"/>
            <w:vAlign w:val="bottom"/>
          </w:tcPr>
          <w:p>
            <w:pPr>
              <w:spacing w:after="0"/>
              <w:rPr>
                <w:sz w:val="1"/>
                <w:szCs w:val="1"/>
                <w:color w:val="auto"/>
              </w:rPr>
            </w:pPr>
          </w:p>
        </w:tc>
      </w:tr>
      <w:tr>
        <w:trPr>
          <w:trHeight w:val="81"/>
        </w:trPr>
        <w:tc>
          <w:tcPr>
            <w:tcW w:w="1300" w:type="dxa"/>
            <w:vAlign w:val="bottom"/>
          </w:tcPr>
          <w:p>
            <w:pPr>
              <w:spacing w:after="0" w:line="81" w:lineRule="exact"/>
              <w:rPr>
                <w:sz w:val="20"/>
                <w:szCs w:val="20"/>
                <w:color w:val="auto"/>
              </w:rPr>
            </w:pPr>
            <w:r>
              <w:rPr>
                <w:rFonts w:ascii="Arial" w:cs="Arial" w:eastAsia="Arial" w:hAnsi="Arial"/>
                <w:sz w:val="8"/>
                <w:szCs w:val="8"/>
                <w:color w:val="auto"/>
              </w:rPr>
              <w:t>Other long-term contractual</w:t>
            </w:r>
          </w:p>
        </w:tc>
        <w:tc>
          <w:tcPr>
            <w:tcW w:w="960" w:type="dxa"/>
            <w:vAlign w:val="bottom"/>
            <w:vMerge w:val="restart"/>
          </w:tcPr>
          <w:p>
            <w:pPr>
              <w:jc w:val="right"/>
              <w:ind w:right="173"/>
              <w:spacing w:after="0"/>
              <w:rPr>
                <w:sz w:val="20"/>
                <w:szCs w:val="20"/>
                <w:color w:val="auto"/>
              </w:rPr>
            </w:pPr>
            <w:r>
              <w:rPr>
                <w:rFonts w:ascii="Arial" w:cs="Arial" w:eastAsia="Arial" w:hAnsi="Arial"/>
                <w:sz w:val="10"/>
                <w:szCs w:val="10"/>
                <w:color w:val="auto"/>
              </w:rPr>
              <w:t>0.1</w:t>
            </w:r>
          </w:p>
        </w:tc>
        <w:tc>
          <w:tcPr>
            <w:tcW w:w="820" w:type="dxa"/>
            <w:vAlign w:val="bottom"/>
            <w:vMerge w:val="restart"/>
          </w:tcPr>
          <w:p>
            <w:pPr>
              <w:jc w:val="right"/>
              <w:ind w:right="174"/>
              <w:spacing w:after="0"/>
              <w:rPr>
                <w:sz w:val="20"/>
                <w:szCs w:val="20"/>
                <w:color w:val="auto"/>
              </w:rPr>
            </w:pPr>
            <w:r>
              <w:rPr>
                <w:rFonts w:ascii="Arial" w:cs="Arial" w:eastAsia="Arial" w:hAnsi="Arial"/>
                <w:sz w:val="10"/>
                <w:szCs w:val="10"/>
                <w:color w:val="auto"/>
              </w:rPr>
              <w:t>0.7</w:t>
            </w:r>
          </w:p>
        </w:tc>
        <w:tc>
          <w:tcPr>
            <w:tcW w:w="940" w:type="dxa"/>
            <w:vAlign w:val="bottom"/>
            <w:vMerge w:val="restart"/>
          </w:tcPr>
          <w:p>
            <w:pPr>
              <w:jc w:val="right"/>
              <w:ind w:right="274"/>
              <w:spacing w:after="0"/>
              <w:rPr>
                <w:sz w:val="20"/>
                <w:szCs w:val="20"/>
                <w:color w:val="auto"/>
              </w:rPr>
            </w:pPr>
            <w:r>
              <w:rPr>
                <w:rFonts w:ascii="Arial" w:cs="Arial" w:eastAsia="Arial" w:hAnsi="Arial"/>
                <w:sz w:val="10"/>
                <w:szCs w:val="10"/>
                <w:color w:val="auto"/>
              </w:rPr>
              <w:t>0.6</w:t>
            </w:r>
          </w:p>
        </w:tc>
        <w:tc>
          <w:tcPr>
            <w:tcW w:w="820" w:type="dxa"/>
            <w:vAlign w:val="bottom"/>
            <w:vMerge w:val="restart"/>
          </w:tcPr>
          <w:p>
            <w:pPr>
              <w:jc w:val="right"/>
              <w:ind w:right="254"/>
              <w:spacing w:after="0"/>
              <w:rPr>
                <w:sz w:val="20"/>
                <w:szCs w:val="20"/>
                <w:color w:val="auto"/>
              </w:rPr>
            </w:pPr>
            <w:r>
              <w:rPr>
                <w:rFonts w:ascii="Arial" w:cs="Arial" w:eastAsia="Arial" w:hAnsi="Arial"/>
                <w:sz w:val="10"/>
                <w:szCs w:val="10"/>
                <w:color w:val="auto"/>
              </w:rPr>
              <w:t>1.2</w:t>
            </w: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2.6</w:t>
            </w:r>
          </w:p>
        </w:tc>
        <w:tc>
          <w:tcPr>
            <w:tcW w:w="0" w:type="dxa"/>
            <w:vAlign w:val="bottom"/>
          </w:tcPr>
          <w:p>
            <w:pPr>
              <w:spacing w:after="0"/>
              <w:rPr>
                <w:sz w:val="1"/>
                <w:szCs w:val="1"/>
                <w:color w:val="auto"/>
              </w:rPr>
            </w:pPr>
          </w:p>
        </w:tc>
      </w:tr>
      <w:tr>
        <w:trPr>
          <w:trHeight w:val="124"/>
        </w:trPr>
        <w:tc>
          <w:tcPr>
            <w:tcW w:w="1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liabilities [C]</w:t>
            </w:r>
          </w:p>
        </w:tc>
        <w:tc>
          <w:tcPr>
            <w:tcW w:w="960" w:type="dxa"/>
            <w:vAlign w:val="bottom"/>
            <w:tcBorders>
              <w:bottom w:val="single" w:sz="8" w:color="auto"/>
            </w:tcBorders>
            <w:vMerge w:val="continue"/>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color w:val="595959"/>
              </w:rPr>
              <w:t>40.4</w:t>
            </w: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0"/>
                <w:szCs w:val="10"/>
                <w:color w:val="595959"/>
              </w:rPr>
              <w:t>45.5</w:t>
            </w: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0"/>
                <w:szCs w:val="10"/>
                <w:color w:val="595959"/>
              </w:rPr>
              <w:t>38.7</w:t>
            </w: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0"/>
                <w:szCs w:val="10"/>
                <w:color w:val="595959"/>
              </w:rPr>
              <w:t>111.3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595959"/>
              </w:rPr>
              <w:t>235.9</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8" w:right="5880" w:hanging="8"/>
        <w:spacing w:after="0" w:line="286" w:lineRule="auto"/>
        <w:tabs>
          <w:tab w:leader="none" w:pos="126" w:val="left"/>
        </w:tabs>
        <w:numPr>
          <w:ilvl w:val="0"/>
          <w:numId w:val="60"/>
        </w:numPr>
        <w:rPr>
          <w:rFonts w:ascii="Arial" w:cs="Arial" w:eastAsia="Arial" w:hAnsi="Arial"/>
          <w:sz w:val="6"/>
          <w:szCs w:val="6"/>
          <w:color w:val="auto"/>
        </w:rPr>
      </w:pPr>
      <w:r>
        <w:rPr>
          <w:rFonts w:ascii="Arial" w:cs="Arial" w:eastAsia="Arial" w:hAnsi="Arial"/>
          <w:sz w:val="6"/>
          <w:szCs w:val="6"/>
          <w:color w:val="auto"/>
        </w:rPr>
        <w:t>See Note 14 to the “Consolidated Financial Statements” on pages 188-190. Debt contractual obligations exclude interest, which is estimated to be $1.8 billion payable in less than one year, $3.3 billion between one and three years, $2.9 billion between three and five years, and $16.0 billion in five years and later. For this purpose, we assume that interest rates with respect to variable interest rate debt remain constant at the rates in effect at December 31, 2020, and that there is no change in the aggregate principal amount of debt other than repayment at scheduled maturity as reflected in the table. Leases definition follows IFRS 16, which was implemented as of January 1, 2019. Lease contractual obligations include interest.</w:t>
      </w:r>
    </w:p>
    <w:p>
      <w:pPr>
        <w:spacing w:after="0" w:line="1" w:lineRule="exact"/>
        <w:rPr>
          <w:rFonts w:ascii="Arial" w:cs="Arial" w:eastAsia="Arial" w:hAnsi="Arial"/>
          <w:sz w:val="6"/>
          <w:szCs w:val="6"/>
          <w:color w:val="auto"/>
        </w:rPr>
      </w:pPr>
    </w:p>
    <w:p>
      <w:pPr>
        <w:jc w:val="both"/>
        <w:ind w:left="8" w:right="5860" w:hanging="8"/>
        <w:spacing w:after="0" w:line="241" w:lineRule="auto"/>
        <w:tabs>
          <w:tab w:leader="none" w:pos="122" w:val="left"/>
        </w:tabs>
        <w:numPr>
          <w:ilvl w:val="0"/>
          <w:numId w:val="60"/>
        </w:numPr>
        <w:rPr>
          <w:rFonts w:ascii="Arial" w:cs="Arial" w:eastAsia="Arial" w:hAnsi="Arial"/>
          <w:sz w:val="7"/>
          <w:szCs w:val="7"/>
          <w:color w:val="auto"/>
        </w:rPr>
      </w:pPr>
      <w:r>
        <w:rPr>
          <w:rFonts w:ascii="Arial" w:cs="Arial" w:eastAsia="Arial" w:hAnsi="Arial"/>
          <w:sz w:val="7"/>
          <w:szCs w:val="7"/>
          <w:color w:val="auto"/>
        </w:rPr>
        <w:t>Purchase obligations disclosed in the above table exclude commodity purchase obligations that are not fixed or determinable and are principally intended to be resold in a short period of time through sale agreements with third parties. Examples include long-term non-cancellable LNG and natural gas purchase commitments and commitments to purchase refined products or crude oil at market prices. Inclusion of such commitments would not be meaningful in measuring liquidity and cash flow, as the cash outflows generated by these purchases will generally be offset in the same periods by cash received from the related sales transactions.</w:t>
      </w:r>
    </w:p>
    <w:p>
      <w:pPr>
        <w:ind w:left="8" w:right="6000" w:hanging="8"/>
        <w:spacing w:after="0" w:line="245" w:lineRule="auto"/>
        <w:tabs>
          <w:tab w:leader="none" w:pos="122" w:val="left"/>
        </w:tabs>
        <w:numPr>
          <w:ilvl w:val="0"/>
          <w:numId w:val="60"/>
        </w:numPr>
        <w:rPr>
          <w:rFonts w:ascii="Arial" w:cs="Arial" w:eastAsia="Arial" w:hAnsi="Arial"/>
          <w:sz w:val="7"/>
          <w:szCs w:val="7"/>
          <w:color w:val="auto"/>
        </w:rPr>
      </w:pPr>
      <w:r>
        <w:rPr>
          <w:rFonts w:ascii="Arial" w:cs="Arial" w:eastAsia="Arial" w:hAnsi="Arial"/>
          <w:sz w:val="7"/>
          <w:szCs w:val="7"/>
          <w:color w:val="auto"/>
        </w:rPr>
        <w:t>Includes all obligations included in “Trade and other payables” and provisions related to onerous contracts included in "Decommissioning and other provisions" in “Non-current liabilities” in the “Consolidated Balance Sheet” that are contractually fixed as to timing and amount. In addition to these amounts, Shell has certain obligations that are not contractually fixed as to timing and amount, including contributions to defined benefit pension plans (see Note 17 to the “Consolidated Financial Statements” on pages 193-196) and obligations associated with decommissioning and restoration (see Note 18 to the “Consolidated Financial Statements” on page 197).</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1"/>
          <w:szCs w:val="11"/>
          <w:color w:val="auto"/>
        </w:rPr>
        <w:t>GUARANTEES AND OTHER OFF-BALANCE SHEET ARRANGEMENTS</w:t>
      </w:r>
    </w:p>
    <w:p>
      <w:pPr>
        <w:ind w:left="8"/>
        <w:spacing w:after="0" w:line="225" w:lineRule="auto"/>
        <w:rPr>
          <w:sz w:val="20"/>
          <w:szCs w:val="20"/>
          <w:color w:val="auto"/>
        </w:rPr>
      </w:pPr>
      <w:r>
        <w:rPr>
          <w:rFonts w:ascii="Arial" w:cs="Arial" w:eastAsia="Arial" w:hAnsi="Arial"/>
          <w:sz w:val="10"/>
          <w:szCs w:val="10"/>
          <w:color w:val="auto"/>
        </w:rPr>
        <w:t>There were no guarantees and other off-balance sheet arrangements at December 31, 2020, or December 31, 2019, that were reasonably likely</w:t>
      </w:r>
    </w:p>
    <w:p>
      <w:pPr>
        <w:ind w:left="8"/>
        <w:spacing w:after="0" w:line="237" w:lineRule="auto"/>
        <w:rPr>
          <w:sz w:val="20"/>
          <w:szCs w:val="20"/>
          <w:color w:val="auto"/>
        </w:rPr>
      </w:pPr>
      <w:r>
        <w:rPr>
          <w:rFonts w:ascii="Arial" w:cs="Arial" w:eastAsia="Arial" w:hAnsi="Arial"/>
          <w:sz w:val="10"/>
          <w:szCs w:val="10"/>
          <w:color w:val="auto"/>
        </w:rPr>
        <w:t>to have a material effect on Shell.</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1"/>
          <w:szCs w:val="11"/>
          <w:color w:val="auto"/>
        </w:rPr>
        <w:t>FINANCIAL INFORMATION RELATING TO THE ROYAL DUTCH SHELL DIVIDEND ACCESS TRUST</w:t>
      </w:r>
    </w:p>
    <w:p>
      <w:pPr>
        <w:ind w:left="8"/>
        <w:spacing w:after="0" w:line="225" w:lineRule="auto"/>
        <w:rPr>
          <w:sz w:val="20"/>
          <w:szCs w:val="20"/>
          <w:color w:val="auto"/>
        </w:rPr>
      </w:pPr>
      <w:r>
        <w:rPr>
          <w:rFonts w:ascii="Arial" w:cs="Arial" w:eastAsia="Arial" w:hAnsi="Arial"/>
          <w:sz w:val="10"/>
          <w:szCs w:val="10"/>
          <w:color w:val="auto"/>
        </w:rPr>
        <w:t>The results of operations and financial position of the Royal Dutch Shell Dividend Access Trust (the Trust) are included in the consolidated</w:t>
      </w:r>
    </w:p>
    <w:p>
      <w:pPr>
        <w:ind w:left="8"/>
        <w:spacing w:after="0" w:line="226" w:lineRule="auto"/>
        <w:rPr>
          <w:sz w:val="20"/>
          <w:szCs w:val="20"/>
          <w:color w:val="auto"/>
        </w:rPr>
      </w:pPr>
      <w:r>
        <w:rPr>
          <w:rFonts w:ascii="Arial" w:cs="Arial" w:eastAsia="Arial" w:hAnsi="Arial"/>
          <w:sz w:val="10"/>
          <w:szCs w:val="10"/>
          <w:color w:val="auto"/>
        </w:rPr>
        <w:t>results of operations and financial position of Shell. Certain condensed financial information in respect of the Trust is given below. See</w:t>
      </w:r>
    </w:p>
    <w:p>
      <w:pPr>
        <w:ind w:left="8"/>
        <w:spacing w:after="0" w:line="237" w:lineRule="auto"/>
        <w:rPr>
          <w:sz w:val="20"/>
          <w:szCs w:val="20"/>
          <w:color w:val="auto"/>
        </w:rPr>
      </w:pPr>
      <w:r>
        <w:rPr>
          <w:rFonts w:ascii="Arial" w:cs="Arial" w:eastAsia="Arial" w:hAnsi="Arial"/>
          <w:sz w:val="10"/>
          <w:szCs w:val="10"/>
          <w:color w:val="auto"/>
        </w:rPr>
        <w:t>“Royal Dutch Shell Dividend Access Trust Financial Statements” on pages 231-234.</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Shell Transport and Trading Company Limited and BG Group Limited have each issued a dividend access share to Computershare</w:t>
      </w:r>
    </w:p>
    <w:p>
      <w:pPr>
        <w:ind w:left="8"/>
        <w:spacing w:after="0" w:line="227" w:lineRule="auto"/>
        <w:rPr>
          <w:sz w:val="20"/>
          <w:szCs w:val="20"/>
          <w:color w:val="auto"/>
        </w:rPr>
      </w:pPr>
      <w:r>
        <w:rPr>
          <w:rFonts w:ascii="Arial" w:cs="Arial" w:eastAsia="Arial" w:hAnsi="Arial"/>
          <w:sz w:val="10"/>
          <w:szCs w:val="10"/>
          <w:color w:val="auto"/>
        </w:rPr>
        <w:t>Trustees (Jersey) Limited (the Trustee). For the years 2020, 2019 and 2018, the Trust recorded income before tax of £2,777 million, £5,484</w:t>
      </w:r>
    </w:p>
    <w:p>
      <w:pPr>
        <w:ind w:left="8"/>
        <w:spacing w:after="0" w:line="237" w:lineRule="auto"/>
        <w:rPr>
          <w:sz w:val="20"/>
          <w:szCs w:val="20"/>
          <w:color w:val="auto"/>
        </w:rPr>
      </w:pPr>
      <w:r>
        <w:rPr>
          <w:rFonts w:ascii="Arial" w:cs="Arial" w:eastAsia="Arial" w:hAnsi="Arial"/>
          <w:sz w:val="10"/>
          <w:szCs w:val="10"/>
          <w:color w:val="auto"/>
        </w:rPr>
        <w:t>million and £5,328 million respectively. In each period, this reflected the amount of dividends received on the dividend access shares.</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At December 31, 2020, the Trust had total equity of £nil (December 31, 2019: £nil; December 31, 2018: £nil), reflecting assets of £7 million</w:t>
      </w:r>
    </w:p>
    <w:p>
      <w:pPr>
        <w:ind w:left="8"/>
        <w:spacing w:after="0" w:line="227" w:lineRule="auto"/>
        <w:rPr>
          <w:sz w:val="20"/>
          <w:szCs w:val="20"/>
          <w:color w:val="auto"/>
        </w:rPr>
      </w:pPr>
      <w:r>
        <w:rPr>
          <w:rFonts w:ascii="Arial" w:cs="Arial" w:eastAsia="Arial" w:hAnsi="Arial"/>
          <w:sz w:val="10"/>
          <w:szCs w:val="10"/>
          <w:color w:val="auto"/>
        </w:rPr>
        <w:t>(December 31, 2019: £3 million; December 31, 2018: £3 million) and unclaimed dividends of £7 million (December 31, 2019: £3 million;</w:t>
      </w:r>
    </w:p>
    <w:p>
      <w:pPr>
        <w:ind w:left="8"/>
        <w:spacing w:after="0" w:line="225" w:lineRule="auto"/>
        <w:rPr>
          <w:sz w:val="20"/>
          <w:szCs w:val="20"/>
          <w:color w:val="auto"/>
        </w:rPr>
      </w:pPr>
      <w:r>
        <w:rPr>
          <w:rFonts w:ascii="Arial" w:cs="Arial" w:eastAsia="Arial" w:hAnsi="Arial"/>
          <w:sz w:val="10"/>
          <w:szCs w:val="10"/>
          <w:color w:val="auto"/>
        </w:rPr>
        <w:t>December 31, 2018: £3 million). The Trust only records a liability for an unclaimed dividend, to the extent that dividend cheque payments</w:t>
      </w:r>
    </w:p>
    <w:p>
      <w:pPr>
        <w:ind w:left="8"/>
        <w:spacing w:after="0" w:line="237" w:lineRule="auto"/>
        <w:rPr>
          <w:sz w:val="20"/>
          <w:szCs w:val="20"/>
          <w:color w:val="auto"/>
        </w:rPr>
      </w:pPr>
      <w:r>
        <w:rPr>
          <w:rFonts w:ascii="Arial" w:cs="Arial" w:eastAsia="Arial" w:hAnsi="Arial"/>
          <w:sz w:val="10"/>
          <w:szCs w:val="10"/>
          <w:color w:val="auto"/>
        </w:rPr>
        <w:t>have not been presented within 12 months, have expired or have been returned unpresented.</w:t>
      </w:r>
    </w:p>
    <w:p>
      <w:pPr>
        <w:spacing w:after="0" w:line="200" w:lineRule="exact"/>
        <w:rPr>
          <w:sz w:val="20"/>
          <w:szCs w:val="20"/>
          <w:color w:val="auto"/>
        </w:r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64</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67" w:name="page68"/>
    <w:bookmarkEnd w:id="67"/>
    <w:p>
      <w:pPr>
        <w:ind w:left="8"/>
        <w:spacing w:after="0"/>
        <w:rPr>
          <w:sz w:val="20"/>
          <w:szCs w:val="20"/>
          <w:color w:val="auto"/>
        </w:rPr>
      </w:pPr>
      <w:r>
        <w:rPr>
          <w:rFonts w:ascii="Arial" w:cs="Arial" w:eastAsia="Arial" w:hAnsi="Arial"/>
          <w:sz w:val="22"/>
          <w:szCs w:val="22"/>
          <w:color w:val="auto"/>
        </w:rPr>
        <w:t>ENVIRONMENT AND SOCIETY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2915" cy="228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310"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APPROACH TO SUSTAINABILITY</w:t>
      </w:r>
    </w:p>
    <w:p>
      <w:pPr>
        <w:ind w:left="8" w:right="20"/>
        <w:spacing w:after="0" w:line="231" w:lineRule="auto"/>
        <w:rPr>
          <w:sz w:val="20"/>
          <w:szCs w:val="20"/>
          <w:color w:val="auto"/>
        </w:rPr>
      </w:pPr>
      <w:r>
        <w:rPr>
          <w:rFonts w:ascii="Arial" w:cs="Arial" w:eastAsia="Arial" w:hAnsi="Arial"/>
          <w:sz w:val="10"/>
          <w:szCs w:val="10"/>
          <w:color w:val="auto"/>
        </w:rPr>
        <w:t>Our core values of honesty, integrity and respect for people – first laid out in the Shell General Business Principles more than 40 years ago – underpin our approach to sustainability.</w:t>
      </w:r>
    </w:p>
    <w:p>
      <w:pPr>
        <w:spacing w:after="0" w:line="149" w:lineRule="exact"/>
        <w:rPr>
          <w:sz w:val="20"/>
          <w:szCs w:val="20"/>
          <w:color w:val="auto"/>
        </w:rPr>
      </w:pPr>
    </w:p>
    <w:p>
      <w:pPr>
        <w:ind w:left="8" w:right="80"/>
        <w:spacing w:after="0" w:line="239" w:lineRule="auto"/>
        <w:rPr>
          <w:sz w:val="20"/>
          <w:szCs w:val="20"/>
          <w:color w:val="auto"/>
        </w:rPr>
      </w:pPr>
      <w:r>
        <w:rPr>
          <w:rFonts w:ascii="Arial" w:cs="Arial" w:eastAsia="Arial" w:hAnsi="Arial"/>
          <w:sz w:val="10"/>
          <w:szCs w:val="10"/>
          <w:color w:val="auto"/>
        </w:rPr>
        <w:t>A commitment to contribute to sustainable development was added in 1997. These principles, together with our Code of Conduct, apply to the way we do business and to our conduct with the communities where we operate.</w:t>
      </w:r>
    </w:p>
    <w:p>
      <w:pPr>
        <w:spacing w:after="0" w:line="149" w:lineRule="exact"/>
        <w:rPr>
          <w:sz w:val="20"/>
          <w:szCs w:val="20"/>
          <w:color w:val="auto"/>
        </w:rPr>
      </w:pPr>
    </w:p>
    <w:p>
      <w:pPr>
        <w:ind w:left="8"/>
        <w:spacing w:after="0" w:line="232" w:lineRule="auto"/>
        <w:rPr>
          <w:sz w:val="20"/>
          <w:szCs w:val="20"/>
          <w:color w:val="auto"/>
        </w:rPr>
      </w:pPr>
      <w:r>
        <w:rPr>
          <w:rFonts w:ascii="Arial" w:cs="Arial" w:eastAsia="Arial" w:hAnsi="Arial"/>
          <w:sz w:val="10"/>
          <w:szCs w:val="10"/>
          <w:color w:val="auto"/>
        </w:rPr>
        <w:t>Since 1997, we have worked to embed this sustainability commitment into our strategy, our business processes and decision-making. Sustainability is core to our project planning and operational activities. We aim to provide more and cleaner energy solutions in a responsible manner – in a way that balances short- and long-term interests, and that integrates economic, environmental, and social considerations into decision-making.</w:t>
      </w:r>
    </w:p>
    <w:p>
      <w:pPr>
        <w:spacing w:after="0" w:line="149" w:lineRule="exact"/>
        <w:rPr>
          <w:sz w:val="20"/>
          <w:szCs w:val="20"/>
          <w:color w:val="auto"/>
        </w:rPr>
      </w:pPr>
    </w:p>
    <w:p>
      <w:pPr>
        <w:ind w:left="8" w:right="220"/>
        <w:spacing w:after="0" w:line="288" w:lineRule="auto"/>
        <w:rPr>
          <w:sz w:val="20"/>
          <w:szCs w:val="20"/>
          <w:color w:val="auto"/>
        </w:rPr>
      </w:pPr>
      <w:r>
        <w:rPr>
          <w:rFonts w:ascii="Arial" w:cs="Arial" w:eastAsia="Arial" w:hAnsi="Arial"/>
          <w:sz w:val="8"/>
          <w:szCs w:val="8"/>
          <w:color w:val="auto"/>
        </w:rPr>
        <w:t>Today, we continue to build on these foundations while driving change across the organisation to help society meet its most pressing challenges, including those related to climate change, the environment, diversity and inclusion, and human rights. We seek the views of various groups and individuals about the role of an organisation like Shell in addressing these challenges.</w:t>
      </w:r>
    </w:p>
    <w:p>
      <w:pPr>
        <w:ind w:left="8"/>
        <w:spacing w:after="0"/>
        <w:rPr>
          <w:sz w:val="20"/>
          <w:szCs w:val="20"/>
          <w:color w:val="auto"/>
        </w:rPr>
      </w:pPr>
      <w:r>
        <w:rPr>
          <w:rFonts w:ascii="Arial" w:cs="Arial" w:eastAsia="Arial" w:hAnsi="Arial"/>
          <w:sz w:val="10"/>
          <w:szCs w:val="10"/>
          <w:i w:val="1"/>
          <w:iCs w:val="1"/>
          <w:color w:val="auto"/>
        </w:rPr>
        <w:t>Sustainability reporting boundary and guidelines</w:t>
      </w:r>
    </w:p>
    <w:p>
      <w:pPr>
        <w:spacing w:after="0" w:line="148" w:lineRule="exact"/>
        <w:rPr>
          <w:sz w:val="20"/>
          <w:szCs w:val="20"/>
          <w:color w:val="auto"/>
        </w:rPr>
      </w:pPr>
    </w:p>
    <w:p>
      <w:pPr>
        <w:ind w:left="8" w:right="180"/>
        <w:spacing w:after="0" w:line="232" w:lineRule="auto"/>
        <w:rPr>
          <w:sz w:val="20"/>
          <w:szCs w:val="20"/>
          <w:color w:val="auto"/>
        </w:rPr>
      </w:pPr>
      <w:r>
        <w:rPr>
          <w:rFonts w:ascii="Arial" w:cs="Arial" w:eastAsia="Arial" w:hAnsi="Arial"/>
          <w:sz w:val="10"/>
          <w:szCs w:val="10"/>
          <w:color w:val="auto"/>
        </w:rPr>
        <w:t>Data in this section are reported on a 100% basis in respect of activities where a Shell company is the operator (unless noted otherwise). Reporting on this operational control basis differs from that applied for financial reporting purposes in the “Consolidated Financial Statements” on pages 163-210. Detailed data and information on our 2020 environmental and social performance are expected to be published in the Shell Sustainability Report in April 2021.</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We use certain guidelines to inform our reporting on sustainability issues:</w:t>
      </w:r>
    </w:p>
    <w:p>
      <w:pPr>
        <w:spacing w:after="0" w:line="1" w:lineRule="exact"/>
        <w:rPr>
          <w:sz w:val="20"/>
          <w:szCs w:val="20"/>
          <w:color w:val="auto"/>
        </w:rPr>
      </w:pPr>
    </w:p>
    <w:p>
      <w:pPr>
        <w:ind w:left="268" w:right="360" w:hanging="268"/>
        <w:spacing w:after="0" w:line="225" w:lineRule="auto"/>
        <w:tabs>
          <w:tab w:leader="none" w:pos="267" w:val="left"/>
        </w:tabs>
        <w:numPr>
          <w:ilvl w:val="0"/>
          <w:numId w:val="61"/>
        </w:numPr>
        <w:rPr>
          <w:rFonts w:ascii="Arial" w:cs="Arial" w:eastAsia="Arial" w:hAnsi="Arial"/>
          <w:sz w:val="10"/>
          <w:szCs w:val="10"/>
          <w:color w:val="auto"/>
        </w:rPr>
      </w:pPr>
      <w:r>
        <w:rPr>
          <w:rFonts w:ascii="Arial" w:cs="Arial" w:eastAsia="Arial" w:hAnsi="Arial"/>
          <w:sz w:val="10"/>
          <w:szCs w:val="10"/>
          <w:color w:val="auto"/>
        </w:rPr>
        <w:t>As a member of the World Business Council for Sustainable Development, we support the organisation’s updated criteria for membership from 2022, which includes requirements for corporate transparency.</w:t>
      </w:r>
    </w:p>
    <w:p>
      <w:pPr>
        <w:ind w:left="268" w:right="60" w:hanging="268"/>
        <w:spacing w:after="0" w:line="225" w:lineRule="auto"/>
        <w:tabs>
          <w:tab w:leader="none" w:pos="267" w:val="left"/>
        </w:tabs>
        <w:numPr>
          <w:ilvl w:val="0"/>
          <w:numId w:val="61"/>
        </w:numPr>
        <w:rPr>
          <w:rFonts w:ascii="Arial" w:cs="Arial" w:eastAsia="Arial" w:hAnsi="Arial"/>
          <w:sz w:val="10"/>
          <w:szCs w:val="10"/>
          <w:color w:val="auto"/>
        </w:rPr>
      </w:pPr>
      <w:r>
        <w:rPr>
          <w:rFonts w:ascii="Arial" w:cs="Arial" w:eastAsia="Arial" w:hAnsi="Arial"/>
          <w:sz w:val="10"/>
          <w:szCs w:val="10"/>
          <w:color w:val="auto"/>
        </w:rPr>
        <w:t>We report in line with guidelines developed by IPIECA, the global oil and gas industry association for advancing environmental and social performance.</w:t>
      </w:r>
    </w:p>
    <w:p>
      <w:pPr>
        <w:ind w:left="268" w:hanging="268"/>
        <w:spacing w:after="0" w:line="225" w:lineRule="auto"/>
        <w:tabs>
          <w:tab w:leader="none" w:pos="267" w:val="left"/>
        </w:tabs>
        <w:numPr>
          <w:ilvl w:val="0"/>
          <w:numId w:val="61"/>
        </w:numPr>
        <w:rPr>
          <w:rFonts w:ascii="Arial" w:cs="Arial" w:eastAsia="Arial" w:hAnsi="Arial"/>
          <w:sz w:val="10"/>
          <w:szCs w:val="10"/>
          <w:color w:val="auto"/>
        </w:rPr>
      </w:pPr>
      <w:r>
        <w:rPr>
          <w:rFonts w:ascii="Arial" w:cs="Arial" w:eastAsia="Arial" w:hAnsi="Arial"/>
          <w:sz w:val="10"/>
          <w:szCs w:val="10"/>
          <w:color w:val="auto"/>
        </w:rPr>
        <w:t>The recommendations of the Task Force on Climate-related Financial Disclosures (TCFD) help to guide and inform our reporting. For more information, see the "Climate change and energy transition" section.</w:t>
      </w:r>
    </w:p>
    <w:p>
      <w:pPr>
        <w:ind w:left="268" w:right="260" w:hanging="268"/>
        <w:spacing w:after="0" w:line="231" w:lineRule="auto"/>
        <w:tabs>
          <w:tab w:leader="none" w:pos="267" w:val="left"/>
        </w:tabs>
        <w:numPr>
          <w:ilvl w:val="0"/>
          <w:numId w:val="61"/>
        </w:numPr>
        <w:rPr>
          <w:rFonts w:ascii="Arial" w:cs="Arial" w:eastAsia="Arial" w:hAnsi="Arial"/>
          <w:sz w:val="10"/>
          <w:szCs w:val="10"/>
          <w:color w:val="auto"/>
        </w:rPr>
      </w:pPr>
      <w:r>
        <w:rPr>
          <w:rFonts w:ascii="Arial" w:cs="Arial" w:eastAsia="Arial" w:hAnsi="Arial"/>
          <w:sz w:val="10"/>
          <w:szCs w:val="10"/>
          <w:color w:val="auto"/>
        </w:rPr>
        <w:t>In January 2021, we agreed to adopt the Stakeholder Capitalism Metrics, a set of environmental, social and governance metrics released by the World Economic Forum and its International Business Council.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1"/>
          <w:szCs w:val="11"/>
          <w:color w:val="auto"/>
        </w:rPr>
        <w:t>IMPACT OF THE COVID-19 PANDEMIC - HELPING COLLEAGUES, CUSTOMERS AND COMMUNITIES</w:t>
      </w:r>
    </w:p>
    <w:p>
      <w:pPr>
        <w:jc w:val="both"/>
        <w:ind w:right="200"/>
        <w:spacing w:after="0" w:line="229" w:lineRule="auto"/>
        <w:rPr>
          <w:sz w:val="20"/>
          <w:szCs w:val="20"/>
          <w:color w:val="auto"/>
        </w:rPr>
      </w:pPr>
      <w:r>
        <w:rPr>
          <w:rFonts w:ascii="Arial" w:cs="Arial" w:eastAsia="Arial" w:hAnsi="Arial"/>
          <w:sz w:val="10"/>
          <w:szCs w:val="10"/>
          <w:color w:val="auto"/>
        </w:rPr>
        <w:t>The COVID-19 pandemic continues to have a serious impact on people’s health and livelihoods around the world. During 2020, we worked hard to assist in the global fight against the virus, and to support recovery efforts while taking care of our employees, our customers and the communities we work with.</w:t>
      </w:r>
    </w:p>
    <w:p>
      <w:pPr>
        <w:spacing w:after="0" w:line="149" w:lineRule="exact"/>
        <w:rPr>
          <w:sz w:val="20"/>
          <w:szCs w:val="20"/>
          <w:color w:val="auto"/>
        </w:rPr>
      </w:pPr>
    </w:p>
    <w:p>
      <w:pPr>
        <w:ind w:right="140"/>
        <w:spacing w:after="0" w:line="307" w:lineRule="auto"/>
        <w:rPr>
          <w:sz w:val="20"/>
          <w:szCs w:val="20"/>
          <w:color w:val="auto"/>
        </w:rPr>
      </w:pPr>
      <w:r>
        <w:rPr>
          <w:rFonts w:ascii="Arial" w:cs="Arial" w:eastAsia="Arial" w:hAnsi="Arial"/>
          <w:sz w:val="8"/>
          <w:szCs w:val="8"/>
          <w:color w:val="auto"/>
        </w:rPr>
        <w:t>In January 2020, Shell set up our Global Health Alert Monitoring Team to equip Shell staff and companies with information and guidance to remain operational in a responsible way. Certain elements of this approach were adopted as the industry standard by the joint health committee of two acknowledged industry associations: the International Association of Oil &amp; Gas Producers (IOGP), and IPIECA, the global oil and gas industry association for advancing environmental and social performance.</w:t>
      </w:r>
    </w:p>
    <w:p>
      <w:pPr>
        <w:spacing w:after="0" w:line="123" w:lineRule="exact"/>
        <w:rPr>
          <w:sz w:val="20"/>
          <w:szCs w:val="20"/>
          <w:color w:val="auto"/>
        </w:rPr>
      </w:pPr>
    </w:p>
    <w:p>
      <w:pPr>
        <w:spacing w:after="0"/>
        <w:rPr>
          <w:sz w:val="20"/>
          <w:szCs w:val="20"/>
          <w:color w:val="auto"/>
        </w:rPr>
      </w:pPr>
      <w:r>
        <w:rPr>
          <w:rFonts w:ascii="Arial" w:cs="Arial" w:eastAsia="Arial" w:hAnsi="Arial"/>
          <w:sz w:val="8"/>
          <w:szCs w:val="8"/>
          <w:color w:val="auto"/>
        </w:rPr>
        <w:t>More information on the steps we took to protect our staff is expected to be published in the Shell Sustainability Report in April 2021.</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UNITED NATIONS SUSTAINABLE DEVELOPMENT GOALS</w:t>
      </w:r>
    </w:p>
    <w:p>
      <w:pPr>
        <w:ind w:right="260"/>
        <w:spacing w:after="0" w:line="225" w:lineRule="auto"/>
        <w:rPr>
          <w:sz w:val="20"/>
          <w:szCs w:val="20"/>
          <w:color w:val="auto"/>
        </w:rPr>
      </w:pPr>
      <w:r>
        <w:rPr>
          <w:rFonts w:ascii="Arial" w:cs="Arial" w:eastAsia="Arial" w:hAnsi="Arial"/>
          <w:sz w:val="10"/>
          <w:szCs w:val="10"/>
          <w:color w:val="auto"/>
        </w:rPr>
        <w:t>The UN’s 17 Sustainable Development Goals (SDGs) seek to address the world’s biggest challenges, including ending poverty, improving health and education, making cities sustainable and tackling climate change.</w:t>
      </w:r>
    </w:p>
    <w:p>
      <w:pPr>
        <w:ind w:right="440"/>
        <w:spacing w:after="0" w:line="337" w:lineRule="auto"/>
        <w:rPr>
          <w:sz w:val="20"/>
          <w:szCs w:val="20"/>
          <w:color w:val="auto"/>
        </w:rPr>
      </w:pPr>
      <w:r>
        <w:rPr>
          <w:rFonts w:ascii="Arial" w:cs="Arial" w:eastAsia="Arial" w:hAnsi="Arial"/>
          <w:sz w:val="8"/>
          <w:szCs w:val="8"/>
          <w:color w:val="auto"/>
        </w:rPr>
        <w:t>Governments are responsible for prioritising and implementing approaches that meet the SDGs, but achieving these tasks will require unprecedented collaboration and collective action across businesses, governments and civil society.</w:t>
      </w:r>
    </w:p>
    <w:p>
      <w:pPr>
        <w:spacing w:after="0" w:line="112" w:lineRule="exact"/>
        <w:rPr>
          <w:sz w:val="20"/>
          <w:szCs w:val="20"/>
          <w:color w:val="auto"/>
        </w:rPr>
      </w:pPr>
    </w:p>
    <w:p>
      <w:pPr>
        <w:ind w:right="120"/>
        <w:spacing w:after="0" w:line="232" w:lineRule="auto"/>
        <w:rPr>
          <w:sz w:val="20"/>
          <w:szCs w:val="20"/>
          <w:color w:val="auto"/>
        </w:rPr>
      </w:pPr>
      <w:r>
        <w:rPr>
          <w:rFonts w:ascii="Arial" w:cs="Arial" w:eastAsia="Arial" w:hAnsi="Arial"/>
          <w:sz w:val="10"/>
          <w:szCs w:val="10"/>
          <w:color w:val="auto"/>
        </w:rPr>
        <w:t>We will play our part in helping governments and societies to achieve the SDGs. The goals were one of the considerations in the development of our Powering Progress strategy. Actions we take as part of our Powering Progress strategy can help directly contribute to 13 of the SDGs, while indirectly contributing to others. See our website shell.com for information on how Shell and our Powering Progress strategy are contributing to the SDGs.</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BOARD OVERSIGHT FOR SUSTAINABILITY</w:t>
      </w:r>
    </w:p>
    <w:p>
      <w:pPr>
        <w:spacing w:after="0" w:line="154" w:lineRule="exact"/>
        <w:rPr>
          <w:sz w:val="20"/>
          <w:szCs w:val="20"/>
          <w:color w:val="auto"/>
        </w:rPr>
      </w:pPr>
    </w:p>
    <w:p>
      <w:pPr>
        <w:ind w:right="140"/>
        <w:spacing w:after="0" w:line="229" w:lineRule="auto"/>
        <w:rPr>
          <w:sz w:val="20"/>
          <w:szCs w:val="20"/>
          <w:color w:val="auto"/>
        </w:rPr>
      </w:pPr>
      <w:r>
        <w:rPr>
          <w:rFonts w:ascii="Arial" w:cs="Arial" w:eastAsia="Arial" w:hAnsi="Arial"/>
          <w:sz w:val="10"/>
          <w:szCs w:val="10"/>
          <w:color w:val="auto"/>
        </w:rPr>
        <w:t>We describe Shell´s overall governance framework on pages 96-102. It provides information on the roles of the Board, its committees, and the Executive Committee. The Safety, Environment and Sustainability Committee (SESCo) advises the Board on safety, environment including climate change, and Shell´s overall sustainability performance. More information on the SESCo´s role and activities during 2020 is provided on pages 106-107.</w:t>
      </w:r>
    </w:p>
    <w:p>
      <w:pPr>
        <w:spacing w:after="0" w:line="1" w:lineRule="exact"/>
        <w:rPr>
          <w:sz w:val="20"/>
          <w:szCs w:val="20"/>
          <w:color w:val="auto"/>
        </w:rPr>
      </w:pPr>
    </w:p>
    <w:p>
      <w:pPr>
        <w:ind w:right="340"/>
        <w:spacing w:after="0" w:line="231" w:lineRule="auto"/>
        <w:rPr>
          <w:sz w:val="20"/>
          <w:szCs w:val="20"/>
          <w:color w:val="auto"/>
        </w:rPr>
      </w:pPr>
      <w:r>
        <w:rPr>
          <w:rFonts w:ascii="Arial" w:cs="Arial" w:eastAsia="Arial" w:hAnsi="Arial"/>
          <w:sz w:val="10"/>
          <w:szCs w:val="10"/>
          <w:color w:val="auto"/>
        </w:rPr>
        <w:t>The Annual Report on Remuneration (see page 134) provides details of how the Shell scorecard captures key performance indicators for safety, environment and climate.</w:t>
      </w:r>
    </w:p>
    <w:p>
      <w:pPr>
        <w:spacing w:after="0" w:line="66" w:lineRule="exact"/>
        <w:rPr>
          <w:sz w:val="20"/>
          <w:szCs w:val="20"/>
          <w:color w:val="auto"/>
        </w:rPr>
      </w:pPr>
    </w:p>
    <w:p>
      <w:pPr>
        <w:sectPr>
          <w:pgSz w:w="11900" w:h="16838" w:orient="portrait"/>
          <w:cols w:equalWidth="0" w:num="2">
            <w:col w:w="5408" w:space="320"/>
            <w:col w:w="5580"/>
          </w:cols>
          <w:pgMar w:left="292" w:top="721" w:right="299" w:bottom="1440" w:gutter="0" w:footer="0" w:header="0"/>
        </w:sectPr>
      </w:pPr>
    </w:p>
    <w:p>
      <w:pPr>
        <w:ind w:left="8"/>
        <w:spacing w:after="0"/>
        <w:rPr>
          <w:sz w:val="20"/>
          <w:szCs w:val="20"/>
          <w:color w:val="auto"/>
        </w:rPr>
      </w:pPr>
      <w:r>
        <w:rPr>
          <w:rFonts w:ascii="Arial" w:cs="Arial" w:eastAsia="Arial" w:hAnsi="Arial"/>
          <w:sz w:val="11"/>
          <w:szCs w:val="11"/>
          <w:color w:val="auto"/>
        </w:rPr>
        <w:t>OUR STRATEGY: POWERING PROGRESS</w:t>
      </w:r>
    </w:p>
    <w:p>
      <w:pPr>
        <w:spacing w:after="0" w:line="154" w:lineRule="exact"/>
        <w:rPr>
          <w:sz w:val="20"/>
          <w:szCs w:val="20"/>
          <w:color w:val="auto"/>
        </w:rPr>
      </w:pPr>
    </w:p>
    <w:p>
      <w:pPr>
        <w:ind w:left="8" w:right="60"/>
        <w:spacing w:after="0" w:line="233" w:lineRule="auto"/>
        <w:rPr>
          <w:sz w:val="20"/>
          <w:szCs w:val="20"/>
          <w:color w:val="auto"/>
        </w:rPr>
      </w:pPr>
      <w:r>
        <w:rPr>
          <w:rFonts w:ascii="Arial" w:cs="Arial" w:eastAsia="Arial" w:hAnsi="Arial"/>
          <w:sz w:val="10"/>
          <w:szCs w:val="10"/>
          <w:color w:val="auto"/>
        </w:rPr>
        <w:t>In February 2021, we announced our updated business strategy, called Powering Progress. It has four main goals in support of our purpose – to power progress together by providing more and cleaner energy solutions:</w:t>
      </w:r>
    </w:p>
    <w:p>
      <w:pPr>
        <w:ind w:left="268" w:hanging="268"/>
        <w:spacing w:after="0" w:line="226" w:lineRule="auto"/>
        <w:tabs>
          <w:tab w:leader="none" w:pos="268" w:val="left"/>
        </w:tabs>
        <w:numPr>
          <w:ilvl w:val="0"/>
          <w:numId w:val="62"/>
        </w:numPr>
        <w:rPr>
          <w:rFonts w:ascii="Arial" w:cs="Arial" w:eastAsia="Arial" w:hAnsi="Arial"/>
          <w:sz w:val="10"/>
          <w:szCs w:val="10"/>
          <w:color w:val="auto"/>
        </w:rPr>
      </w:pPr>
      <w:r>
        <w:rPr>
          <w:rFonts w:ascii="Arial" w:cs="Arial" w:eastAsia="Arial" w:hAnsi="Arial"/>
          <w:sz w:val="10"/>
          <w:szCs w:val="10"/>
          <w:color w:val="auto"/>
        </w:rPr>
        <w:t>generating shareholder value: growing value through a dynamic portfolio and disciplined capital allocation;</w:t>
      </w:r>
    </w:p>
    <w:p>
      <w:pPr>
        <w:ind w:left="268" w:hanging="268"/>
        <w:spacing w:after="0"/>
        <w:tabs>
          <w:tab w:leader="none" w:pos="268" w:val="left"/>
        </w:tabs>
        <w:numPr>
          <w:ilvl w:val="0"/>
          <w:numId w:val="62"/>
        </w:numPr>
        <w:rPr>
          <w:rFonts w:ascii="Arial" w:cs="Arial" w:eastAsia="Arial" w:hAnsi="Arial"/>
          <w:sz w:val="8"/>
          <w:szCs w:val="8"/>
          <w:color w:val="auto"/>
        </w:rPr>
      </w:pPr>
      <w:r>
        <w:rPr>
          <w:rFonts w:ascii="Arial" w:cs="Arial" w:eastAsia="Arial" w:hAnsi="Arial"/>
          <w:sz w:val="8"/>
          <w:szCs w:val="8"/>
          <w:color w:val="auto"/>
        </w:rPr>
        <w:t>achieving net-zero emissions: working with our customers and across sectors to accelerate the transition to net-zero emissions;</w:t>
      </w:r>
    </w:p>
    <w:p>
      <w:pPr>
        <w:spacing w:after="0" w:line="16" w:lineRule="exact"/>
        <w:rPr>
          <w:rFonts w:ascii="Arial" w:cs="Arial" w:eastAsia="Arial" w:hAnsi="Arial"/>
          <w:sz w:val="8"/>
          <w:szCs w:val="8"/>
          <w:color w:val="auto"/>
        </w:rPr>
      </w:pPr>
    </w:p>
    <w:p>
      <w:pPr>
        <w:ind w:left="268" w:hanging="268"/>
        <w:spacing w:after="0" w:line="225" w:lineRule="auto"/>
        <w:tabs>
          <w:tab w:leader="none" w:pos="268" w:val="left"/>
        </w:tabs>
        <w:numPr>
          <w:ilvl w:val="0"/>
          <w:numId w:val="62"/>
        </w:numPr>
        <w:rPr>
          <w:rFonts w:ascii="Arial" w:cs="Arial" w:eastAsia="Arial" w:hAnsi="Arial"/>
          <w:sz w:val="10"/>
          <w:szCs w:val="10"/>
          <w:color w:val="auto"/>
        </w:rPr>
      </w:pPr>
      <w:r>
        <w:rPr>
          <w:rFonts w:ascii="Arial" w:cs="Arial" w:eastAsia="Arial" w:hAnsi="Arial"/>
          <w:sz w:val="10"/>
          <w:szCs w:val="10"/>
          <w:color w:val="auto"/>
        </w:rPr>
        <w:t>powering lives: powering lives through our products and activities, and by supporting an inclusive society; and</w:t>
      </w:r>
    </w:p>
    <w:p>
      <w:pPr>
        <w:ind w:left="268" w:hanging="268"/>
        <w:spacing w:after="0" w:line="236" w:lineRule="auto"/>
        <w:tabs>
          <w:tab w:leader="none" w:pos="268" w:val="left"/>
        </w:tabs>
        <w:numPr>
          <w:ilvl w:val="0"/>
          <w:numId w:val="62"/>
        </w:numPr>
        <w:rPr>
          <w:rFonts w:ascii="Arial" w:cs="Arial" w:eastAsia="Arial" w:hAnsi="Arial"/>
          <w:sz w:val="10"/>
          <w:szCs w:val="10"/>
          <w:color w:val="auto"/>
        </w:rPr>
      </w:pPr>
      <w:r>
        <w:rPr>
          <w:rFonts w:ascii="Arial" w:cs="Arial" w:eastAsia="Arial" w:hAnsi="Arial"/>
          <w:sz w:val="10"/>
          <w:szCs w:val="10"/>
          <w:color w:val="auto"/>
        </w:rPr>
        <w:t>respecting nature: protecting the environment, reducing waste and making a positive contribution to biodiversity.</w:t>
      </w:r>
    </w:p>
    <w:p>
      <w:pPr>
        <w:spacing w:after="0" w:line="149" w:lineRule="exact"/>
        <w:rPr>
          <w:sz w:val="20"/>
          <w:szCs w:val="20"/>
          <w:color w:val="auto"/>
        </w:rPr>
      </w:pPr>
    </w:p>
    <w:p>
      <w:pPr>
        <w:ind w:left="8" w:right="60"/>
        <w:spacing w:after="0" w:line="239" w:lineRule="auto"/>
        <w:rPr>
          <w:sz w:val="20"/>
          <w:szCs w:val="20"/>
          <w:color w:val="auto"/>
        </w:rPr>
      </w:pPr>
      <w:r>
        <w:rPr>
          <w:rFonts w:ascii="Arial" w:cs="Arial" w:eastAsia="Arial" w:hAnsi="Arial"/>
          <w:sz w:val="10"/>
          <w:szCs w:val="10"/>
          <w:color w:val="auto"/>
        </w:rPr>
        <w:t>Powering Progress is underpinned by our core values and our focus on safety. These include our commitment to doing business in an ethical and transparent way.</w:t>
      </w:r>
    </w:p>
    <w:p>
      <w:pPr>
        <w:spacing w:after="0" w:line="149" w:lineRule="exact"/>
        <w:rPr>
          <w:sz w:val="20"/>
          <w:szCs w:val="20"/>
          <w:color w:val="auto"/>
        </w:rPr>
      </w:pPr>
    </w:p>
    <w:p>
      <w:pPr>
        <w:ind w:left="8"/>
        <w:spacing w:after="0" w:line="239" w:lineRule="auto"/>
        <w:rPr>
          <w:sz w:val="20"/>
          <w:szCs w:val="20"/>
          <w:color w:val="auto"/>
        </w:rPr>
      </w:pPr>
      <w:r>
        <w:rPr>
          <w:rFonts w:ascii="Arial" w:cs="Arial" w:eastAsia="Arial" w:hAnsi="Arial"/>
          <w:sz w:val="10"/>
          <w:szCs w:val="10"/>
          <w:color w:val="auto"/>
        </w:rPr>
        <w:t>For more information on what we mean by becoming a net-zero emissions business, please refer to "Climate change and energy transition" on pages 73-85.</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SHELL GENERAL BUSINESS PRINCIPLES</w:t>
      </w:r>
    </w:p>
    <w:p>
      <w:pPr>
        <w:ind w:right="160"/>
        <w:spacing w:after="0" w:line="228" w:lineRule="auto"/>
        <w:rPr>
          <w:sz w:val="20"/>
          <w:szCs w:val="20"/>
          <w:color w:val="auto"/>
        </w:rPr>
      </w:pPr>
      <w:r>
        <w:rPr>
          <w:rFonts w:ascii="Arial" w:cs="Arial" w:eastAsia="Arial" w:hAnsi="Arial"/>
          <w:sz w:val="10"/>
          <w:szCs w:val="10"/>
          <w:color w:val="auto"/>
        </w:rPr>
        <w:t>The Shell General Business Principles set out our responsibilities to shareholders, customers, employees, business partners and society. They set the standards for how we conduct business with integrity, care and respect for people, while seeking to protect the environment and establish mutually beneficial relationships with communities. All ventures that a Shell company operates must conduct their activities in line with our business principles.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HSSE &amp; SP CONTROL FRAMEWORK</w:t>
      </w:r>
    </w:p>
    <w:p>
      <w:pPr>
        <w:spacing w:after="0" w:line="154" w:lineRule="exact"/>
        <w:rPr>
          <w:sz w:val="20"/>
          <w:szCs w:val="20"/>
          <w:color w:val="auto"/>
        </w:rPr>
      </w:pPr>
    </w:p>
    <w:p>
      <w:pPr>
        <w:ind w:right="200"/>
        <w:spacing w:after="0" w:line="300" w:lineRule="auto"/>
        <w:rPr>
          <w:sz w:val="20"/>
          <w:szCs w:val="20"/>
          <w:color w:val="auto"/>
        </w:rPr>
      </w:pPr>
      <w:r>
        <w:rPr>
          <w:rFonts w:ascii="Arial" w:cs="Arial" w:eastAsia="Arial" w:hAnsi="Arial"/>
          <w:sz w:val="8"/>
          <w:szCs w:val="8"/>
          <w:color w:val="auto"/>
        </w:rPr>
        <w:t>We aim to minimise the environmental impact of new projects and existing operations, and we engage with local communities and non-governmental organisations (NGOs) to understand and respond to their concerns. Shell conducts an environmental, social and health impact assessment for every major project. We determine whether a project qualifies as major by considering its cost and capacity, including the potential consequences of adverse incidents. This helps us to understand and manage how our projects could affect the surrounding environment and local communities. We have standards and a governance structure to help manage potential impacts. We</w:t>
      </w:r>
    </w:p>
    <w:p>
      <w:pPr>
        <w:spacing w:after="0" w:line="232" w:lineRule="exact"/>
        <w:rPr>
          <w:sz w:val="20"/>
          <w:szCs w:val="20"/>
          <w:color w:val="auto"/>
        </w:rPr>
      </w:pPr>
    </w:p>
    <w:p>
      <w:pPr>
        <w:sectPr>
          <w:pgSz w:w="11900" w:h="16838" w:orient="portrait"/>
          <w:cols w:equalWidth="0" w:num="2">
            <w:col w:w="5448" w:space="280"/>
            <w:col w:w="5580"/>
          </w:cols>
          <w:pgMar w:left="292" w:top="721" w:right="299" w:bottom="1440" w:gutter="0" w:footer="0" w:header="0"/>
          <w:type w:val="continuous"/>
        </w:sectPr>
      </w:pP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65</w:t>
            </w:r>
          </w:p>
        </w:tc>
      </w:tr>
      <w:tr>
        <w:trPr>
          <w:trHeight w:val="142"/>
        </w:trPr>
        <w:tc>
          <w:tcPr>
            <w:tcW w:w="3500" w:type="dxa"/>
            <w:vAlign w:val="bottom"/>
            <w:tcBorders>
              <w:bottom w:val="single" w:sz="8" w:color="9A9A9A"/>
            </w:tcBorders>
          </w:tcPr>
          <w:p>
            <w:pPr>
              <w:spacing w:after="0"/>
              <w:rPr>
                <w:sz w:val="12"/>
                <w:szCs w:val="12"/>
                <w:color w:val="auto"/>
              </w:rPr>
            </w:pPr>
          </w:p>
        </w:tc>
        <w:tc>
          <w:tcPr>
            <w:tcW w:w="78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type w:val="continuous"/>
        </w:sectPr>
      </w:pPr>
    </w:p>
    <w:bookmarkStart w:id="68" w:name="page69"/>
    <w:bookmarkEnd w:id="68"/>
    <w:p>
      <w:pPr>
        <w:jc w:val="both"/>
        <w:ind w:right="40"/>
        <w:spacing w:after="0" w:line="320" w:lineRule="auto"/>
        <w:rPr>
          <w:sz w:val="20"/>
          <w:szCs w:val="20"/>
          <w:color w:val="auto"/>
        </w:rPr>
      </w:pPr>
      <w:r>
        <w:rPr>
          <w:rFonts w:ascii="Arial" w:cs="Arial" w:eastAsia="Arial" w:hAnsi="Arial"/>
          <w:sz w:val="8"/>
          <w:szCs w:val="8"/>
          <w:color w:val="auto"/>
        </w:rPr>
        <w:t>are committed to the safety of our people and contractors. The Shell HSSE &amp; SP Control Framework (CF) specifies the standards for health, safety, security, environment and social performance (HSSE &amp; SP) and the scope for applying these standards. The CF consists of a series of mandatory manuals that align with the Shell Commitment and Policy on HSSE &amp; 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3909060" cy="27946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90906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307" w:lineRule="auto"/>
        <w:rPr>
          <w:sz w:val="20"/>
          <w:szCs w:val="20"/>
          <w:color w:val="auto"/>
        </w:rPr>
      </w:pPr>
      <w:r>
        <w:rPr>
          <w:rFonts w:ascii="Arial" w:cs="Arial" w:eastAsia="Arial" w:hAnsi="Arial"/>
          <w:sz w:val="8"/>
          <w:szCs w:val="8"/>
          <w:color w:val="auto"/>
        </w:rPr>
        <w:t>The CF applies to every Shell entity and Shell-operated venture, including all employees and contract staff. The CF defines standards and accountabilities at each organisational level and sets out the procedures and processes that we require people to follow. We require that all significant HSSE &amp; SP risks associated with our business activities are assessed and managed to make them as low as reasonably practicable. Our HSSE &amp; SP functions provide expert advice and support for our businesses.</w:t>
      </w:r>
    </w:p>
    <w:p>
      <w:pPr>
        <w:spacing w:after="0" w:line="123" w:lineRule="exact"/>
        <w:rPr>
          <w:sz w:val="20"/>
          <w:szCs w:val="20"/>
          <w:color w:val="auto"/>
        </w:rPr>
      </w:pPr>
    </w:p>
    <w:p>
      <w:pPr>
        <w:jc w:val="both"/>
        <w:ind w:right="40"/>
        <w:spacing w:after="0" w:line="288" w:lineRule="auto"/>
        <w:rPr>
          <w:sz w:val="20"/>
          <w:szCs w:val="20"/>
          <w:color w:val="auto"/>
        </w:rPr>
      </w:pPr>
      <w:r>
        <w:rPr>
          <w:rFonts w:ascii="Arial" w:cs="Arial" w:eastAsia="Arial" w:hAnsi="Arial"/>
          <w:sz w:val="8"/>
          <w:szCs w:val="8"/>
          <w:color w:val="auto"/>
        </w:rPr>
        <w:t>The Process Safety and HSSE &amp; SP Assurance team provides assurance to the Board on the effectiveness of the HSSE &amp; SP CF through an audit programme. The full Shell portfolio comprises about 200 organisational groups covered by this programme. Audits are performed with a frequency of between three and five years, depending on the overall risk and complexity of a particular facility or organisational group.</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0"/>
          <w:szCs w:val="10"/>
          <w:color w:val="auto"/>
        </w:rPr>
        <w:t>Overall, this results in a rolling five-year plan, with every annual plan being approved by the Board. On average, the assurance team conducts about 50 audits per year. The scope of the audits is designed to test risk areas as defined in the CF. This includes the overall HSSE &amp; SP management system and specific requirements for areas such as personal safety, environment and contractor management. Based on audit outcomes, the audit frequency for an entity may be increased. Audit findings and action items identified are documented and tracked to completion by the relevant business.</w:t>
      </w:r>
    </w:p>
    <w:p>
      <w:pPr>
        <w:spacing w:after="0" w:line="150" w:lineRule="exact"/>
        <w:rPr>
          <w:sz w:val="20"/>
          <w:szCs w:val="20"/>
          <w:color w:val="auto"/>
        </w:rPr>
      </w:pPr>
    </w:p>
    <w:p>
      <w:pPr>
        <w:ind w:right="100"/>
        <w:spacing w:after="0" w:line="234" w:lineRule="auto"/>
        <w:rPr>
          <w:sz w:val="20"/>
          <w:szCs w:val="20"/>
          <w:color w:val="auto"/>
        </w:rPr>
      </w:pPr>
      <w:r>
        <w:rPr>
          <w:rFonts w:ascii="Arial" w:cs="Arial" w:eastAsia="Arial" w:hAnsi="Arial"/>
          <w:sz w:val="10"/>
          <w:szCs w:val="10"/>
          <w:color w:val="auto"/>
        </w:rPr>
        <w:t>We expect joint ventures not operated by Shell to apply standards and principles substantially equivalent to our own. We support these joint ventures in their implementation of these standards and principles, and we offer to assist them in their review of the effectiveness of their implementation. Even if such a review is not conducted, we periodically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and the Shell Code of Conduct. They are supported by guidance documents and complemented by assurance protocols.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00"/>
        <w:spacing w:after="0" w:line="358" w:lineRule="auto"/>
        <w:rPr>
          <w:sz w:val="20"/>
          <w:szCs w:val="20"/>
          <w:color w:val="auto"/>
        </w:rPr>
      </w:pPr>
      <w:r>
        <w:rPr>
          <w:rFonts w:ascii="Arial" w:cs="Arial" w:eastAsia="Arial" w:hAnsi="Arial"/>
          <w:sz w:val="8"/>
          <w:szCs w:val="8"/>
          <w:color w:val="auto"/>
        </w:rPr>
        <w:t>evaluate HSSE &amp; SP risks faced by the ventures that we do not operate. If one of these joint ventures does not meet our HSSE &amp; SP expectations, we seek to improve performance by working with our partners to develop and implement remedial action plans.</w:t>
      </w:r>
    </w:p>
    <w:p>
      <w:pPr>
        <w:spacing w:after="0" w:line="104" w:lineRule="exact"/>
        <w:rPr>
          <w:sz w:val="20"/>
          <w:szCs w:val="20"/>
          <w:color w:val="auto"/>
        </w:rPr>
      </w:pPr>
    </w:p>
    <w:p>
      <w:pPr>
        <w:ind w:right="160"/>
        <w:spacing w:after="0" w:line="234" w:lineRule="auto"/>
        <w:rPr>
          <w:sz w:val="20"/>
          <w:szCs w:val="20"/>
          <w:color w:val="auto"/>
        </w:rPr>
      </w:pPr>
      <w:r>
        <w:rPr>
          <w:rFonts w:ascii="Arial" w:cs="Arial" w:eastAsia="Arial" w:hAnsi="Arial"/>
          <w:sz w:val="10"/>
          <w:szCs w:val="10"/>
          <w:color w:val="auto"/>
        </w:rPr>
        <w:t>Shell aims to work with suppliers that behave in a safe, economically, environmentally and socially responsible manner. Our approach to suppliers is set out in our Shell General Business Principles and Shell Supplier Principles. These cover expectations in areas such as business integrity, health and safety, environment, and human rights.</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SAFETY</w:t>
      </w:r>
    </w:p>
    <w:p>
      <w:pPr>
        <w:ind w:right="140"/>
        <w:spacing w:after="0" w:line="300" w:lineRule="auto"/>
        <w:rPr>
          <w:sz w:val="20"/>
          <w:szCs w:val="20"/>
          <w:color w:val="auto"/>
        </w:rPr>
      </w:pPr>
      <w:r>
        <w:rPr>
          <w:rFonts w:ascii="Arial" w:cs="Arial" w:eastAsia="Arial" w:hAnsi="Arial"/>
          <w:sz w:val="8"/>
          <w:szCs w:val="8"/>
          <w:color w:val="auto"/>
        </w:rPr>
        <w:t>A focus on safety is one of the pillars that supports our Powering Progress strategy. We build and operate our facilities with the aim of preventing incidents that may damage or harm our employees, contract staff, nearby communities, the environment or our assets. We strive to help improve safety throughout the energy industry by sharing our safety standards and experience with other operators, contractors and professional organisations, including the International Association of Oil &amp; Gas Producers (IOGP) and the Energy Institute.</w:t>
      </w:r>
    </w:p>
    <w:p>
      <w:pPr>
        <w:spacing w:after="0" w:line="126" w:lineRule="exact"/>
        <w:rPr>
          <w:sz w:val="20"/>
          <w:szCs w:val="20"/>
          <w:color w:val="auto"/>
        </w:rPr>
      </w:pPr>
    </w:p>
    <w:p>
      <w:pPr>
        <w:jc w:val="both"/>
        <w:ind w:right="400"/>
        <w:spacing w:after="0" w:line="222" w:lineRule="auto"/>
        <w:rPr>
          <w:sz w:val="20"/>
          <w:szCs w:val="20"/>
          <w:color w:val="auto"/>
        </w:rPr>
      </w:pPr>
      <w:r>
        <w:rPr>
          <w:rFonts w:ascii="Arial" w:cs="Arial" w:eastAsia="Arial" w:hAnsi="Arial"/>
          <w:sz w:val="10"/>
          <w:szCs w:val="10"/>
          <w:color w:val="auto"/>
        </w:rPr>
        <w:t>Safety risks are managed across our businesses through the use of standards, controls and compliance systems. We combine this with a culture of care and an ambition to learn and continually improve. We strive to reduce risks and to minimise the potential impact of any incident.</w:t>
      </w:r>
    </w:p>
    <w:p>
      <w:pPr>
        <w:spacing w:after="0" w:line="140" w:lineRule="exact"/>
        <w:rPr>
          <w:sz w:val="20"/>
          <w:szCs w:val="20"/>
          <w:color w:val="auto"/>
        </w:rPr>
      </w:pPr>
    </w:p>
    <w:p>
      <w:pPr>
        <w:ind w:right="280"/>
        <w:spacing w:after="0" w:line="230" w:lineRule="auto"/>
        <w:rPr>
          <w:sz w:val="20"/>
          <w:szCs w:val="20"/>
          <w:color w:val="auto"/>
        </w:rPr>
      </w:pPr>
      <w:r>
        <w:rPr>
          <w:rFonts w:ascii="Arial" w:cs="Arial" w:eastAsia="Arial" w:hAnsi="Arial"/>
          <w:sz w:val="10"/>
          <w:szCs w:val="10"/>
          <w:color w:val="auto"/>
        </w:rPr>
        <w:t>Our standards also apply to any joint ventures we operate. We seek to improve safety by focusing on the three areas where the safety risks associated with our activities are highest: personal, process and transport.</w:t>
      </w:r>
    </w:p>
    <w:p>
      <w:pPr>
        <w:spacing w:after="0" w:line="200"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66</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69" w:name="page70"/>
    <w:bookmarkEnd w:id="69"/>
    <w:p>
      <w:pPr>
        <w:spacing w:after="0" w:line="296" w:lineRule="auto"/>
        <w:rPr>
          <w:sz w:val="20"/>
          <w:szCs w:val="20"/>
          <w:color w:val="auto"/>
        </w:rPr>
      </w:pPr>
      <w:r>
        <w:rPr>
          <w:rFonts w:ascii="Arial" w:cs="Arial" w:eastAsia="Arial" w:hAnsi="Arial"/>
          <w:sz w:val="8"/>
          <w:szCs w:val="8"/>
          <w:color w:val="auto"/>
        </w:rPr>
        <w:t>We require and assure ourselves that people responsible for tasks involving a significant safety hazard have the necessary training, skills and competencies. We also take human performance into account when deciding how to approach safety. This means that in order to minimise the risk of people being harmed, we seek to optimise the way people, culture, equipment, work systems and processes interact.</w:t>
      </w:r>
    </w:p>
    <w:p>
      <w:pPr>
        <w:spacing w:after="0" w:line="119" w:lineRule="exact"/>
        <w:rPr>
          <w:sz w:val="20"/>
          <w:szCs w:val="20"/>
          <w:color w:val="auto"/>
        </w:rPr>
      </w:pPr>
    </w:p>
    <w:p>
      <w:pPr>
        <w:ind w:right="40"/>
        <w:spacing w:after="0" w:line="229" w:lineRule="auto"/>
        <w:rPr>
          <w:sz w:val="20"/>
          <w:szCs w:val="20"/>
          <w:color w:val="auto"/>
        </w:rPr>
      </w:pPr>
      <w:r>
        <w:rPr>
          <w:rFonts w:ascii="Arial" w:cs="Arial" w:eastAsia="Arial" w:hAnsi="Arial"/>
          <w:sz w:val="10"/>
          <w:szCs w:val="10"/>
          <w:color w:val="auto"/>
        </w:rPr>
        <w:t>We employ many contractors and we work with them so that they understand our safety requirements. Together we seek to improve safety performance by building skills and expertise, and by creating an inclusive and safe work environment. We expect everyone working for us to comply with our mandatory Life-Saving Rules which set out simple "do´s and don´ts" for activities with the highest potential safety risks. Employees are expected to discuss, coach and intervene so that everyone understands how the rules apply to a particular work task. If employees break these rules, we seek to understand why, but individuals may face disciplinary action up to and including termination of employment if they do not follow the Life-Saving Rules. If contract staff break the Life-Saving Rules, they can be removed from the worksite.</w:t>
      </w:r>
    </w:p>
    <w:p>
      <w:pPr>
        <w:spacing w:after="0" w:line="150" w:lineRule="exact"/>
        <w:rPr>
          <w:sz w:val="20"/>
          <w:szCs w:val="20"/>
          <w:color w:val="auto"/>
        </w:rPr>
      </w:pPr>
    </w:p>
    <w:p>
      <w:pPr>
        <w:ind w:right="100"/>
        <w:spacing w:after="0" w:line="218" w:lineRule="auto"/>
        <w:rPr>
          <w:sz w:val="20"/>
          <w:szCs w:val="20"/>
          <w:color w:val="auto"/>
        </w:rPr>
      </w:pPr>
      <w:r>
        <w:rPr>
          <w:rFonts w:ascii="Arial" w:cs="Arial" w:eastAsia="Arial" w:hAnsi="Arial"/>
          <w:sz w:val="10"/>
          <w:szCs w:val="10"/>
          <w:color w:val="auto"/>
        </w:rPr>
        <w:t>The COVID-19 pandemic necessitated new kinds of risk assessments beyond those that are normally conducted in our industry. The results led to us adopting extra measures to take care of our employees, our contractors, our customers and the communities we work with. We identified potential impacts beyond our local operations, and we continue to work hard to help the global fight against the virus and to support recovery efforts.</w:t>
      </w:r>
    </w:p>
    <w:p>
      <w:pPr>
        <w:spacing w:after="0" w:line="140" w:lineRule="exact"/>
        <w:rPr>
          <w:sz w:val="20"/>
          <w:szCs w:val="20"/>
          <w:color w:val="auto"/>
        </w:rPr>
      </w:pPr>
    </w:p>
    <w:p>
      <w:pPr>
        <w:spacing w:after="0" w:line="297" w:lineRule="auto"/>
        <w:rPr>
          <w:sz w:val="20"/>
          <w:szCs w:val="20"/>
          <w:color w:val="auto"/>
        </w:rPr>
      </w:pPr>
      <w:r>
        <w:rPr>
          <w:rFonts w:ascii="Arial" w:cs="Arial" w:eastAsia="Arial" w:hAnsi="Arial"/>
          <w:sz w:val="8"/>
          <w:szCs w:val="8"/>
          <w:color w:val="auto"/>
        </w:rPr>
        <w:t>We took many practical steps to protect the health of our staff, including requiring or encouraging office-based staff to work from home, based on the advice of local authorities. From March 2020, the average occupancy rate of our 18 largest offices fell to around 10% for the rest of the year. Our information technology (IT) teams ensured that thousands of people could work from home each day. At the same time, measures were taken to protect colleagues´ health where operations had to be maintained by staff on sites. We created a wide range of tools and resources which also addressed potential mental, physical and social health issues. For example, we set up a programme called Care for Self to encourage staff to pay attention to their physical and mental well-being, and to support them as they did so.</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Safety strategy</w:t>
      </w:r>
    </w:p>
    <w:p>
      <w:pPr>
        <w:spacing w:after="0" w:line="155" w:lineRule="exact"/>
        <w:rPr>
          <w:sz w:val="20"/>
          <w:szCs w:val="20"/>
          <w:color w:val="auto"/>
        </w:rPr>
      </w:pPr>
    </w:p>
    <w:p>
      <w:pPr>
        <w:ind w:right="60"/>
        <w:spacing w:after="0" w:line="232" w:lineRule="auto"/>
        <w:rPr>
          <w:sz w:val="20"/>
          <w:szCs w:val="20"/>
          <w:color w:val="auto"/>
        </w:rPr>
      </w:pPr>
      <w:r>
        <w:rPr>
          <w:rFonts w:ascii="Arial" w:cs="Arial" w:eastAsia="Arial" w:hAnsi="Arial"/>
          <w:sz w:val="10"/>
          <w:szCs w:val="10"/>
          <w:color w:val="auto"/>
        </w:rPr>
        <w:t>In 2019, the Board and the Executive Committee spent considerable time reflecting on the worrying safety performance, measured by the number of fatalities, and what needed to change across Shell to prevent fatalities and all other serious incidents. This included conducting a full review of Shell’s safety approach, which covered the effectiveness of current preventative tools, such as the Life-Saving Rules and Goal Zero ambition.</w:t>
      </w:r>
    </w:p>
    <w:p>
      <w:pPr>
        <w:spacing w:after="0" w:line="149" w:lineRule="exact"/>
        <w:rPr>
          <w:sz w:val="20"/>
          <w:szCs w:val="20"/>
          <w:color w:val="auto"/>
        </w:rPr>
      </w:pPr>
    </w:p>
    <w:p>
      <w:pPr>
        <w:ind w:right="40"/>
        <w:spacing w:after="0" w:line="232" w:lineRule="auto"/>
        <w:rPr>
          <w:sz w:val="20"/>
          <w:szCs w:val="20"/>
          <w:color w:val="auto"/>
        </w:rPr>
      </w:pPr>
      <w:r>
        <w:rPr>
          <w:rFonts w:ascii="Arial" w:cs="Arial" w:eastAsia="Arial" w:hAnsi="Arial"/>
          <w:sz w:val="10"/>
          <w:szCs w:val="10"/>
          <w:color w:val="auto"/>
        </w:rPr>
        <w:t>We have made progress in improving the safety of operations since the early 2000s. This was largely because of a stronger safety culture, guided by our Goal Zero ambition to achieve no harm and no leaks, more effective standards, and requirements such as the Life-Saving Rules. In recent years the vast majority of fatalities had no link to a breach of the Life-Saving Rules. Sadly, we have been unable to eliminate all fatal incidents involving Shell employees and contractors.</w:t>
      </w:r>
    </w:p>
    <w:p>
      <w:pPr>
        <w:spacing w:after="0" w:line="212" w:lineRule="exact"/>
        <w:rPr>
          <w:sz w:val="20"/>
          <w:szCs w:val="20"/>
          <w:color w:val="auto"/>
        </w:rPr>
      </w:pPr>
    </w:p>
    <w:p>
      <w:pPr>
        <w:ind w:right="60"/>
        <w:spacing w:after="0" w:line="296" w:lineRule="auto"/>
        <w:rPr>
          <w:sz w:val="20"/>
          <w:szCs w:val="20"/>
          <w:color w:val="auto"/>
        </w:rPr>
      </w:pPr>
      <w:r>
        <w:rPr>
          <w:rFonts w:ascii="Arial" w:cs="Arial" w:eastAsia="Arial" w:hAnsi="Arial"/>
          <w:sz w:val="8"/>
          <w:szCs w:val="8"/>
          <w:color w:val="auto"/>
        </w:rPr>
        <w:t>In 2020, we started what is expected to be a multi-year effort to refresh our approach to safety. The purpose is to avoid life-changing injuries and fatalities by building on existing strong foundations. We aim to achieve this with an increased and deliberate focus on human performance. We recognise that people are key to executing complex tasks and to finding solutions to problems. We call the belief that we can always improve, enhance individual capabilities, learn from mistakes and successes, and speak up without being punished a learner mindset. We seek to create conditions that encourage employees and contractors to share ideas and concerns without fear of rejection or punishment. In addition to specific training, events like our annual Safety Day 2020 provided Shell teams and contractors with the chance to reflect on this concept.</w:t>
      </w:r>
    </w:p>
    <w:p>
      <w:pPr>
        <w:spacing w:after="0" w:line="291" w:lineRule="exact"/>
        <w:rPr>
          <w:sz w:val="20"/>
          <w:szCs w:val="20"/>
          <w:color w:val="auto"/>
        </w:rPr>
      </w:pPr>
    </w:p>
    <w:p>
      <w:pPr>
        <w:jc w:val="both"/>
        <w:spacing w:after="0" w:line="320" w:lineRule="auto"/>
        <w:rPr>
          <w:sz w:val="20"/>
          <w:szCs w:val="20"/>
          <w:color w:val="auto"/>
        </w:rPr>
      </w:pPr>
      <w:r>
        <w:rPr>
          <w:rFonts w:ascii="Arial" w:cs="Arial" w:eastAsia="Arial" w:hAnsi="Arial"/>
          <w:sz w:val="8"/>
          <w:szCs w:val="8"/>
          <w:color w:val="auto"/>
        </w:rPr>
        <w:t>We are now building on our current approach to safety with a more consistent focus on the way people, culture, equipment, work systems and processes all interact. The majority of our fatalities over the last five years were down to the complex interaction between these elements. We aim to better understand the gap between how we anticipate work will be done</w:t>
      </w:r>
    </w:p>
    <w:p>
      <w:pPr>
        <w:spacing w:after="0" w:line="20" w:lineRule="exact"/>
        <w:rPr>
          <w:sz w:val="20"/>
          <w:szCs w:val="20"/>
          <w:color w:val="auto"/>
        </w:rPr>
      </w:pPr>
      <w:r>
        <w:rPr>
          <w:sz w:val="20"/>
          <w:szCs w:val="20"/>
          <w:color w:val="auto"/>
        </w:rPr>
        <w:br w:type="column"/>
      </w:r>
    </w:p>
    <w:p>
      <w:pPr>
        <w:ind w:right="160"/>
        <w:spacing w:after="0" w:line="293" w:lineRule="auto"/>
        <w:rPr>
          <w:sz w:val="20"/>
          <w:szCs w:val="20"/>
          <w:color w:val="auto"/>
        </w:rPr>
      </w:pPr>
      <w:r>
        <w:rPr>
          <w:rFonts w:ascii="Arial" w:cs="Arial" w:eastAsia="Arial" w:hAnsi="Arial"/>
          <w:sz w:val="8"/>
          <w:szCs w:val="8"/>
          <w:color w:val="auto"/>
        </w:rPr>
        <w:t>safely and how the work is actually carried out. We continue to work to prevent incidents by maintaining safety barriers and providing training. We acknowledge that people make mistakes and not all incidents may be preventable. As a result, we started to focus more on how people can “fail safely”, and on their response in the moment to avoid the risk of a serious injury. This approach is a change of philosophy, put into practice by improving processes for planning and completing work, and debriefing afterwards. In 2020, tangible changes were piloted and deployed for application by employees and contractors. For example, in 2020, we used earlier experience with drones, remote sensing technology, robots and digital technology, such as augmented reality, as lockdowns caused by the COVID-19 pandemic disrupted the movement of people. This technology enabled us to carry out more remote monitoring and to continue to assure data to meet safety and environmental performance reporting standards.</w:t>
      </w:r>
    </w:p>
    <w:p>
      <w:pPr>
        <w:spacing w:after="0" w:line="24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Personal and process safety</w:t>
      </w:r>
    </w:p>
    <w:p>
      <w:pPr>
        <w:spacing w:after="0" w:line="155" w:lineRule="exact"/>
        <w:rPr>
          <w:sz w:val="20"/>
          <w:szCs w:val="20"/>
          <w:color w:val="auto"/>
        </w:rPr>
      </w:pPr>
    </w:p>
    <w:p>
      <w:pPr>
        <w:ind w:right="180"/>
        <w:spacing w:after="0" w:line="358" w:lineRule="auto"/>
        <w:rPr>
          <w:sz w:val="20"/>
          <w:szCs w:val="20"/>
          <w:color w:val="auto"/>
        </w:rPr>
      </w:pPr>
      <w:r>
        <w:rPr>
          <w:rFonts w:ascii="Arial" w:cs="Arial" w:eastAsia="Arial" w:hAnsi="Arial"/>
          <w:sz w:val="8"/>
          <w:szCs w:val="8"/>
          <w:color w:val="auto"/>
        </w:rPr>
        <w:t>We continue to strengthen the safety culture and leadership among our employees and contract staff. This aligns with our focus on caring for people. Our safety goal is to achieve no harm and no leaks across all Shell company operations. We call this our Goal Zero ambition.</w:t>
      </w:r>
    </w:p>
    <w:p>
      <w:pPr>
        <w:spacing w:after="0" w:line="104" w:lineRule="exact"/>
        <w:rPr>
          <w:sz w:val="20"/>
          <w:szCs w:val="20"/>
          <w:color w:val="auto"/>
        </w:rPr>
      </w:pPr>
    </w:p>
    <w:p>
      <w:pPr>
        <w:ind w:right="180"/>
        <w:spacing w:after="0" w:line="297" w:lineRule="auto"/>
        <w:rPr>
          <w:sz w:val="20"/>
          <w:szCs w:val="20"/>
          <w:color w:val="auto"/>
        </w:rPr>
      </w:pPr>
      <w:r>
        <w:rPr>
          <w:rFonts w:ascii="Arial" w:cs="Arial" w:eastAsia="Arial" w:hAnsi="Arial"/>
          <w:sz w:val="8"/>
          <w:szCs w:val="8"/>
          <w:color w:val="auto"/>
        </w:rPr>
        <w:t>We expect everyone to consider two aspects of their tasks: the hazards that could potentially cause serious harm, and the effectiveness of the barriers in place to avoid serious harm if an incident occurs. In addition to our ongoing safety awareness programmes, we hold an annual global Safety Day to give employees and contractors time to reflect on how to prevent incidents. During Safety Day 2020, we asked all our staff and contractors to reflect on the importance of showing care for each other and ensuring that we are in control of risks with robust barriers in place, particularly under the current challenges of the pandemic. More information on how we implement these measures is expected to be published in our Shell Sustainability Report in April 2021.</w:t>
      </w:r>
    </w:p>
    <w:p>
      <w:pPr>
        <w:spacing w:after="0" w:line="127" w:lineRule="exact"/>
        <w:rPr>
          <w:sz w:val="20"/>
          <w:szCs w:val="20"/>
          <w:color w:val="auto"/>
        </w:rPr>
      </w:pPr>
    </w:p>
    <w:p>
      <w:pPr>
        <w:ind w:right="140"/>
        <w:spacing w:after="0" w:line="291" w:lineRule="auto"/>
        <w:rPr>
          <w:sz w:val="20"/>
          <w:szCs w:val="20"/>
          <w:color w:val="auto"/>
        </w:rPr>
      </w:pPr>
      <w:r>
        <w:rPr>
          <w:rFonts w:ascii="Arial" w:cs="Arial" w:eastAsia="Arial" w:hAnsi="Arial"/>
          <w:sz w:val="8"/>
          <w:szCs w:val="8"/>
          <w:color w:val="auto"/>
        </w:rPr>
        <w:t>Process safety management is about keeping hazardous substances inside pipes, tanks and vessels, and ensuring that well fluids are contained during well construction and well intervention so that they do not harm people or the environment. It starts at the design and construction stage of projects and continues throughout the life cycle of facilities to ensure they are safely operated, well maintained and regularly inspected. Our global standards and operating procedures define our expectations for the controls and physical barriers required to mitigate risks of incidents. For example, to mitigate the risk of an uncontrolled release of hydrocarbons, offshore wells are to be designed with at least two independent barriers in the direction of flow. We regularly inspect, test and maintain these barriers to ensure they meet our standards. In the event of a loss of containment such as a spill or a leak, our standards require the use of independent recovery measures to stop the release from becoming catastrophic. This system of barriers and recovery measures is called a “bow-tie”, a model that visually represents a system where personal and process safety hazards are managed through prevention and response barriers.</w:t>
      </w:r>
    </w:p>
    <w:p>
      <w:pPr>
        <w:spacing w:after="0" w:line="130" w:lineRule="exact"/>
        <w:rPr>
          <w:sz w:val="20"/>
          <w:szCs w:val="20"/>
          <w:color w:val="auto"/>
        </w:rPr>
      </w:pPr>
    </w:p>
    <w:p>
      <w:pPr>
        <w:spacing w:after="0"/>
        <w:rPr>
          <w:sz w:val="20"/>
          <w:szCs w:val="20"/>
          <w:color w:val="auto"/>
        </w:rPr>
      </w:pPr>
      <w:r>
        <w:rPr>
          <w:rFonts w:ascii="Arial" w:cs="Arial" w:eastAsia="Arial" w:hAnsi="Arial"/>
          <w:sz w:val="8"/>
          <w:szCs w:val="8"/>
          <w:color w:val="auto"/>
        </w:rPr>
        <w:t>We have embedded a set of process safety fundamentals to strengthen barriers that involve critical safety tasks carried out by frontline staff.</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These fundamentals provide guidelines for good operating practice that should prevent unplanned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1885950" cy="9429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859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0"/>
        <w:spacing w:after="0" w:line="239" w:lineRule="auto"/>
        <w:rPr>
          <w:sz w:val="20"/>
          <w:szCs w:val="20"/>
          <w:color w:val="auto"/>
        </w:rPr>
      </w:pPr>
      <w:r>
        <w:rPr>
          <w:rFonts w:ascii="Arial" w:cs="Arial" w:eastAsia="Arial" w:hAnsi="Arial"/>
          <w:sz w:val="10"/>
          <w:szCs w:val="10"/>
          <w:color w:val="auto"/>
        </w:rPr>
        <w:t>We routinely prepare and practise our emergency response to potential incidents such as a spill or a fire. This involves working closely with local</w:t>
      </w:r>
    </w:p>
    <w:p>
      <w:pPr>
        <w:spacing w:after="0" w:line="200"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67</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70" w:name="page71"/>
    <w:bookmarkEnd w:id="70"/>
    <w:p>
      <w:pPr>
        <w:ind w:right="240"/>
        <w:spacing w:after="0" w:line="358" w:lineRule="auto"/>
        <w:rPr>
          <w:sz w:val="20"/>
          <w:szCs w:val="20"/>
          <w:color w:val="auto"/>
        </w:rPr>
      </w:pPr>
      <w:r>
        <w:rPr>
          <w:rFonts w:ascii="Arial" w:cs="Arial" w:eastAsia="Arial" w:hAnsi="Arial"/>
          <w:sz w:val="8"/>
          <w:szCs w:val="8"/>
          <w:color w:val="auto"/>
        </w:rPr>
        <w:t>services and regulatory agencies to jointly test our plans and procedures. These tests continually improve our readiness to respond. If an incident does occur, we have procedures to reduce the impact on people and the environment.</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Transport safety</w:t>
      </w:r>
    </w:p>
    <w:p>
      <w:pPr>
        <w:spacing w:after="0" w:line="155" w:lineRule="exact"/>
        <w:rPr>
          <w:sz w:val="20"/>
          <w:szCs w:val="20"/>
          <w:color w:val="auto"/>
        </w:rPr>
      </w:pPr>
    </w:p>
    <w:p>
      <w:pPr>
        <w:jc w:val="both"/>
        <w:ind w:right="100"/>
        <w:spacing w:after="0" w:line="234" w:lineRule="auto"/>
        <w:rPr>
          <w:sz w:val="20"/>
          <w:szCs w:val="20"/>
          <w:color w:val="auto"/>
        </w:rPr>
      </w:pPr>
      <w:r>
        <w:rPr>
          <w:rFonts w:ascii="Arial" w:cs="Arial" w:eastAsia="Arial" w:hAnsi="Arial"/>
          <w:sz w:val="10"/>
          <w:szCs w:val="10"/>
          <w:color w:val="auto"/>
        </w:rPr>
        <w:t>Transporting large numbers of people, products and equipment by road, rail, sea and air poses safety risks. We seek to reduce these risks by developing best-practice standards within Shell. We also work with specialist contractors, industry bodies, NGOs and governments to find ways of reducing transport safety risks.</w:t>
      </w:r>
    </w:p>
    <w:p>
      <w:pPr>
        <w:spacing w:after="0" w:line="150" w:lineRule="exact"/>
        <w:rPr>
          <w:sz w:val="20"/>
          <w:szCs w:val="20"/>
          <w:color w:val="auto"/>
        </w:rPr>
      </w:pPr>
    </w:p>
    <w:p>
      <w:pPr>
        <w:spacing w:after="0" w:line="292" w:lineRule="auto"/>
        <w:rPr>
          <w:sz w:val="20"/>
          <w:szCs w:val="20"/>
          <w:color w:val="auto"/>
        </w:rPr>
      </w:pPr>
      <w:r>
        <w:rPr>
          <w:rFonts w:ascii="Arial" w:cs="Arial" w:eastAsia="Arial" w:hAnsi="Arial"/>
          <w:sz w:val="8"/>
          <w:szCs w:val="8"/>
          <w:color w:val="auto"/>
        </w:rPr>
        <w:t>Shell employees and contractors drove a combined distance of around 470 million kilometres on business in 2020 in over 50 countries. We run road safety programmes that promote safe driving techniques and behaviour in a number of countries where we operate, for example in India, Malaysia, and the UK. We require everyone driving more than 7,500 kilometres a year on Shell company business on public roads and those who drive in countries with higher road safety risks to take a defensive driving course. We also run an annual online defensive driving course for all who drive on public roads while on Shell company business. Fatigue is one of the most significant risks when on the road. In 2020, at the Shell-operated QGC facility in Queensland, Australia, we worked with four universities and eight contracting companies to evaluate fatigue detection devices and to find the one that performed best in testing. The collaboration was the largest of its kind and involved evaluating around 100 devices on long stretches of Australia’s road network. As a result, we aim to start introducing recommended devices in Malaysia in 2021.</w:t>
      </w:r>
    </w:p>
    <w:p>
      <w:pPr>
        <w:spacing w:after="0" w:line="239" w:lineRule="exact"/>
        <w:rPr>
          <w:sz w:val="20"/>
          <w:szCs w:val="20"/>
          <w:color w:val="auto"/>
        </w:rPr>
      </w:pPr>
    </w:p>
    <w:p>
      <w:pPr>
        <w:jc w:val="both"/>
        <w:ind w:right="260"/>
        <w:spacing w:after="0" w:line="320" w:lineRule="auto"/>
        <w:rPr>
          <w:sz w:val="20"/>
          <w:szCs w:val="20"/>
          <w:color w:val="auto"/>
        </w:rPr>
      </w:pPr>
      <w:r>
        <w:rPr>
          <w:rFonts w:ascii="Arial" w:cs="Arial" w:eastAsia="Arial" w:hAnsi="Arial"/>
          <w:sz w:val="8"/>
          <w:szCs w:val="8"/>
          <w:color w:val="auto"/>
        </w:rPr>
        <w:t>We also work to improve general road safety in several communities and countries where we operate, through organisations such as the Global Road Safety Partnership. For example, in India, we continue our road safety campaign which includes eye testing of third-party professional drivers. In 2020, around 20,000 Shell employees and contractors completed such testing.</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Safety performance</w:t>
      </w:r>
    </w:p>
    <w:p>
      <w:pPr>
        <w:spacing w:after="0" w:line="155" w:lineRule="exact"/>
        <w:rPr>
          <w:sz w:val="20"/>
          <w:szCs w:val="20"/>
          <w:color w:val="auto"/>
        </w:rPr>
      </w:pPr>
    </w:p>
    <w:p>
      <w:pPr>
        <w:jc w:val="both"/>
        <w:ind w:right="160"/>
        <w:spacing w:after="0" w:line="320" w:lineRule="auto"/>
        <w:rPr>
          <w:sz w:val="20"/>
          <w:szCs w:val="20"/>
          <w:color w:val="auto"/>
        </w:rPr>
      </w:pPr>
      <w:r>
        <w:rPr>
          <w:rFonts w:ascii="Arial" w:cs="Arial" w:eastAsia="Arial" w:hAnsi="Arial"/>
          <w:sz w:val="8"/>
          <w:szCs w:val="8"/>
          <w:color w:val="auto"/>
        </w:rPr>
        <w:t>In 2020, despite the unprecedented challenges faced, Shell and its contractor partners had the safest year that we have ever experienced. It was the first year with zero fatal injuries, and also the best ever process safety performance at ventures operated by Shell. Tragically, two contractors died after they caught COVID-19 during the course of their work for Shell.</w:t>
      </w:r>
    </w:p>
    <w:p>
      <w:pPr>
        <w:spacing w:after="0" w:line="118" w:lineRule="exact"/>
        <w:rPr>
          <w:sz w:val="20"/>
          <w:szCs w:val="20"/>
          <w:color w:val="auto"/>
        </w:rPr>
      </w:pPr>
    </w:p>
    <w:p>
      <w:pPr>
        <w:ind w:right="100"/>
        <w:spacing w:after="0" w:line="234" w:lineRule="auto"/>
        <w:rPr>
          <w:sz w:val="20"/>
          <w:szCs w:val="20"/>
          <w:color w:val="auto"/>
        </w:rPr>
      </w:pPr>
      <w:r>
        <w:rPr>
          <w:rFonts w:ascii="Arial" w:cs="Arial" w:eastAsia="Arial" w:hAnsi="Arial"/>
          <w:sz w:val="10"/>
          <w:szCs w:val="10"/>
          <w:color w:val="auto"/>
        </w:rPr>
        <w:t>Our Total Recordable Case Frequency (injuries per million working hours) was 0.7 in 2020, compared with 0.9 in 2019. There were 103 operational Tier 1 and 2 process safety events in 2020, compared with 130 in 2019. Detailed information on our 2020 safety performance is expected to be published in the Shell Sustainability Report in April 2021.</w:t>
      </w:r>
    </w:p>
    <w:p>
      <w:pPr>
        <w:spacing w:after="0" w:line="150" w:lineRule="exact"/>
        <w:rPr>
          <w:sz w:val="20"/>
          <w:szCs w:val="20"/>
          <w:color w:val="auto"/>
        </w:rPr>
      </w:pPr>
    </w:p>
    <w:p>
      <w:pPr>
        <w:ind w:right="20"/>
        <w:spacing w:after="0" w:line="297" w:lineRule="auto"/>
        <w:rPr>
          <w:sz w:val="20"/>
          <w:szCs w:val="20"/>
          <w:color w:val="auto"/>
        </w:rPr>
      </w:pPr>
      <w:r>
        <w:rPr>
          <w:rFonts w:ascii="Arial" w:cs="Arial" w:eastAsia="Arial" w:hAnsi="Arial"/>
          <w:sz w:val="8"/>
          <w:szCs w:val="8"/>
          <w:color w:val="auto"/>
        </w:rPr>
        <w:t>From 2021, the Total Recordable Case Frequency (TRCF) will be replaced on the Group scorecard by Serious Incidents and Fatalities Frequency (SIF-F). The new metric reflects the number of serious incidents and fatalities per 100 million working hours. The Executive Committee and the Safety, Environment and Sustainability Committee (SESCo) have endorsed the change. Several industry safety leadership groups confirm that root causes for serious and high-potential incidents are often different from the majority of lower-consequence events. Shell's shift is intended to help focus attention on improving its safety systems, and it targets the prevention of life-altering injuries, which aligns with the emphasis on human performance and Goal Zero. We will continue to report on TRCF for benchmarking purposes.</w:t>
      </w:r>
    </w:p>
    <w:p>
      <w:pPr>
        <w:spacing w:after="0" w:line="127" w:lineRule="exact"/>
        <w:rPr>
          <w:sz w:val="20"/>
          <w:szCs w:val="20"/>
          <w:color w:val="auto"/>
        </w:rPr>
      </w:pPr>
    </w:p>
    <w:p>
      <w:pPr>
        <w:jc w:val="both"/>
        <w:ind w:right="180"/>
        <w:spacing w:after="0" w:line="307" w:lineRule="auto"/>
        <w:rPr>
          <w:sz w:val="20"/>
          <w:szCs w:val="20"/>
          <w:color w:val="auto"/>
        </w:rPr>
      </w:pPr>
      <w:r>
        <w:rPr>
          <w:rFonts w:ascii="Arial" w:cs="Arial" w:eastAsia="Arial" w:hAnsi="Arial"/>
          <w:sz w:val="8"/>
          <w:szCs w:val="8"/>
          <w:color w:val="auto"/>
        </w:rPr>
        <w:t>We require incidents to be investigated so we can understand the underlying causes, including technical, behavioural, organisational and human factors. We share learnings and implement mitigations at the site and in the country and business where the incident occurred. We seek to turn incident findings into improved standards or better ways of working that can be applied widely across similar Shell facilities. This is part of embedding the learner mindset approach across the organisation and engaging with contractors to share these learnings.</w:t>
      </w:r>
    </w:p>
    <w:p>
      <w:pPr>
        <w:spacing w:after="0" w:line="123" w:lineRule="exact"/>
        <w:rPr>
          <w:sz w:val="20"/>
          <w:szCs w:val="20"/>
          <w:color w:val="auto"/>
        </w:rPr>
      </w:pPr>
    </w:p>
    <w:p>
      <w:pPr>
        <w:ind w:right="60"/>
        <w:spacing w:after="0" w:line="239" w:lineRule="auto"/>
        <w:rPr>
          <w:sz w:val="20"/>
          <w:szCs w:val="20"/>
          <w:color w:val="auto"/>
        </w:rPr>
      </w:pPr>
      <w:r>
        <w:rPr>
          <w:rFonts w:ascii="Arial" w:cs="Arial" w:eastAsia="Arial" w:hAnsi="Arial"/>
          <w:sz w:val="10"/>
          <w:szCs w:val="10"/>
          <w:color w:val="auto"/>
        </w:rPr>
        <w:t>For example, in 2020, we continued to implement learnings from a tragic roll-over incident that occurred in Pakistan in 2017 and which was not under</w:t>
      </w:r>
    </w:p>
    <w:p>
      <w:pPr>
        <w:spacing w:after="0" w:line="20" w:lineRule="exact"/>
        <w:rPr>
          <w:sz w:val="20"/>
          <w:szCs w:val="20"/>
          <w:color w:val="auto"/>
        </w:rPr>
      </w:pPr>
      <w:r>
        <w:rPr>
          <w:sz w:val="20"/>
          <w:szCs w:val="20"/>
          <w:color w:val="auto"/>
        </w:rPr>
        <w:br w:type="column"/>
      </w:r>
    </w:p>
    <w:p>
      <w:pPr>
        <w:ind w:right="280"/>
        <w:spacing w:after="0" w:line="307" w:lineRule="auto"/>
        <w:rPr>
          <w:sz w:val="20"/>
          <w:szCs w:val="20"/>
          <w:color w:val="auto"/>
        </w:rPr>
      </w:pPr>
      <w:r>
        <w:rPr>
          <w:rFonts w:ascii="Arial" w:cs="Arial" w:eastAsia="Arial" w:hAnsi="Arial"/>
          <w:sz w:val="8"/>
          <w:szCs w:val="8"/>
          <w:color w:val="auto"/>
        </w:rPr>
        <w:t>our operational control. Pakistan continues to be among the countries with the highest risks for road transport. The investigation offered several learnings. Our focus has now moved from technical standards to driver professionalism, including aspects such as fitness to work, training and coaching on the job. One of the most significant risks when on the road is fatigue. Shell Pakistan Limited is managing this through the creation of enhanced awareness for this topic, reduced duty hours and better rest facilities.</w:t>
      </w:r>
    </w:p>
    <w:p>
      <w:pPr>
        <w:spacing w:after="0" w:line="24" w:lineRule="exact"/>
        <w:rPr>
          <w:sz w:val="20"/>
          <w:szCs w:val="20"/>
          <w:color w:val="auto"/>
        </w:rPr>
      </w:pPr>
    </w:p>
    <w:p>
      <w:pPr>
        <w:jc w:val="both"/>
        <w:ind w:right="120"/>
        <w:spacing w:after="0" w:line="320" w:lineRule="auto"/>
        <w:rPr>
          <w:sz w:val="20"/>
          <w:szCs w:val="20"/>
          <w:color w:val="auto"/>
        </w:rPr>
      </w:pPr>
      <w:r>
        <w:rPr>
          <w:rFonts w:ascii="Arial" w:cs="Arial" w:eastAsia="Arial" w:hAnsi="Arial"/>
          <w:sz w:val="8"/>
          <w:szCs w:val="8"/>
          <w:color w:val="auto"/>
        </w:rPr>
        <w:t>In 2021, Shell will take a further step to focus our efforts to enhance safety. We will transition from applying our 12 Life-Saving Rules to using the simplified set of nine Life-Saving Rules of the International Association of Oil &amp; Gas Producers (IOGP). A common approach across the industry makes working within the supply chain easier and can accelerate the adoption of safety measures.</w:t>
      </w:r>
    </w:p>
    <w:p>
      <w:pPr>
        <w:spacing w:after="0" w:line="179" w:lineRule="exact"/>
        <w:rPr>
          <w:sz w:val="20"/>
          <w:szCs w:val="20"/>
          <w:color w:val="auto"/>
        </w:rPr>
      </w:pPr>
    </w:p>
    <w:p>
      <w:pPr>
        <w:spacing w:after="0"/>
        <w:rPr>
          <w:sz w:val="20"/>
          <w:szCs w:val="20"/>
          <w:color w:val="auto"/>
        </w:rPr>
      </w:pPr>
      <w:r>
        <w:rPr>
          <w:rFonts w:ascii="Arial" w:cs="Arial" w:eastAsia="Arial" w:hAnsi="Arial"/>
          <w:sz w:val="11"/>
          <w:szCs w:val="11"/>
          <w:color w:val="auto"/>
        </w:rPr>
        <w:t>ENVIRONMENT</w:t>
      </w:r>
    </w:p>
    <w:p>
      <w:pPr>
        <w:ind w:right="680"/>
        <w:spacing w:after="0" w:line="337" w:lineRule="auto"/>
        <w:rPr>
          <w:sz w:val="20"/>
          <w:szCs w:val="20"/>
          <w:color w:val="auto"/>
        </w:rPr>
      </w:pPr>
      <w:r>
        <w:rPr>
          <w:rFonts w:ascii="Arial" w:cs="Arial" w:eastAsia="Arial" w:hAnsi="Arial"/>
          <w:sz w:val="8"/>
          <w:szCs w:val="8"/>
          <w:color w:val="auto"/>
        </w:rPr>
        <w:t>For many years we have had guiding principles and standards that seek to protect the environment. Now we are stepping up our environmental ambitions and shaping them to contribute to the UN Sustainable Development Goals.</w:t>
      </w:r>
    </w:p>
    <w:p>
      <w:pPr>
        <w:spacing w:after="0" w:line="112" w:lineRule="exact"/>
        <w:rPr>
          <w:sz w:val="20"/>
          <w:szCs w:val="20"/>
          <w:color w:val="auto"/>
        </w:rPr>
      </w:pPr>
    </w:p>
    <w:p>
      <w:pPr>
        <w:ind w:right="160"/>
        <w:spacing w:after="0" w:line="358" w:lineRule="auto"/>
        <w:rPr>
          <w:sz w:val="20"/>
          <w:szCs w:val="20"/>
          <w:color w:val="auto"/>
        </w:rPr>
      </w:pPr>
      <w:r>
        <w:rPr>
          <w:rFonts w:ascii="Arial" w:cs="Arial" w:eastAsia="Arial" w:hAnsi="Arial"/>
          <w:sz w:val="8"/>
          <w:szCs w:val="8"/>
          <w:color w:val="auto"/>
        </w:rPr>
        <w:t>Our environmental ambitions include protecting and enhancing biodiversity – the plant and animal life that is vital for the planet. We are also focusing on using water and other resources more efficiently across all our activities, reusing as much of them as we can.</w:t>
      </w:r>
    </w:p>
    <w:p>
      <w:pPr>
        <w:spacing w:after="0" w:line="104" w:lineRule="exact"/>
        <w:rPr>
          <w:sz w:val="20"/>
          <w:szCs w:val="20"/>
          <w:color w:val="auto"/>
        </w:rPr>
      </w:pPr>
    </w:p>
    <w:p>
      <w:pPr>
        <w:ind w:right="180"/>
        <w:spacing w:after="0" w:line="320" w:lineRule="auto"/>
        <w:rPr>
          <w:sz w:val="20"/>
          <w:szCs w:val="20"/>
          <w:color w:val="auto"/>
        </w:rPr>
      </w:pPr>
      <w:r>
        <w:rPr>
          <w:rFonts w:ascii="Arial" w:cs="Arial" w:eastAsia="Arial" w:hAnsi="Arial"/>
          <w:sz w:val="8"/>
          <w:szCs w:val="8"/>
          <w:color w:val="auto"/>
        </w:rPr>
        <w:t>We are reducing waste from our operations and increasing recycling of plastics. We are helping to improve air quality by reducing emissions from our operations and providing cleaner ways to power transport and industry. Working with our partners and suppliers and developing new collaborations is key. We will join with others across industry, governments, our customers and supply chains to protect nature.</w:t>
      </w:r>
    </w:p>
    <w:p>
      <w:pPr>
        <w:spacing w:after="0" w:line="118" w:lineRule="exact"/>
        <w:rPr>
          <w:sz w:val="20"/>
          <w:szCs w:val="20"/>
          <w:color w:val="auto"/>
        </w:rPr>
      </w:pPr>
    </w:p>
    <w:p>
      <w:pPr>
        <w:ind w:right="140"/>
        <w:spacing w:after="0" w:line="299" w:lineRule="auto"/>
        <w:rPr>
          <w:sz w:val="20"/>
          <w:szCs w:val="20"/>
          <w:color w:val="auto"/>
        </w:rPr>
      </w:pPr>
      <w:r>
        <w:rPr>
          <w:rFonts w:ascii="Arial" w:cs="Arial" w:eastAsia="Arial" w:hAnsi="Arial"/>
          <w:sz w:val="8"/>
          <w:szCs w:val="8"/>
          <w:color w:val="auto"/>
        </w:rPr>
        <w:t>In February 2021, we launched our new environmental framework which focuses on four priority areas: biodiversity, water, circular economy and waste, and air quality. We have set environmental ambitions for 2030 and later, as well as shorter-term goals:</w:t>
      </w:r>
    </w:p>
    <w:p>
      <w:pPr>
        <w:ind w:left="260" w:right="260" w:hanging="251"/>
        <w:spacing w:after="0" w:line="234" w:lineRule="auto"/>
        <w:tabs>
          <w:tab w:leader="none" w:pos="259" w:val="left"/>
        </w:tabs>
        <w:numPr>
          <w:ilvl w:val="0"/>
          <w:numId w:val="63"/>
        </w:numPr>
        <w:rPr>
          <w:rFonts w:ascii="Arial" w:cs="Arial" w:eastAsia="Arial" w:hAnsi="Arial"/>
          <w:sz w:val="10"/>
          <w:szCs w:val="10"/>
          <w:color w:val="auto"/>
        </w:rPr>
      </w:pPr>
      <w:r>
        <w:rPr>
          <w:rFonts w:ascii="Arial" w:cs="Arial" w:eastAsia="Arial" w:hAnsi="Arial"/>
          <w:sz w:val="10"/>
          <w:szCs w:val="10"/>
          <w:color w:val="auto"/>
        </w:rPr>
        <w:t>We will reduce the amount of fresh water consumed in our facilities, starting by reducing fresh-water consumption by 15% by 2025 compared with 2018 levels in areas where there is high pressure on fresh-water resources.</w:t>
      </w:r>
    </w:p>
    <w:p>
      <w:pPr>
        <w:ind w:left="260" w:right="420" w:hanging="251"/>
        <w:spacing w:after="0" w:line="234" w:lineRule="auto"/>
        <w:tabs>
          <w:tab w:leader="none" w:pos="259" w:val="left"/>
        </w:tabs>
        <w:numPr>
          <w:ilvl w:val="0"/>
          <w:numId w:val="63"/>
        </w:numPr>
        <w:rPr>
          <w:rFonts w:ascii="Arial" w:cs="Arial" w:eastAsia="Arial" w:hAnsi="Arial"/>
          <w:sz w:val="10"/>
          <w:szCs w:val="10"/>
          <w:color w:val="auto"/>
        </w:rPr>
      </w:pPr>
      <w:r>
        <w:rPr>
          <w:rFonts w:ascii="Arial" w:cs="Arial" w:eastAsia="Arial" w:hAnsi="Arial"/>
          <w:sz w:val="10"/>
          <w:szCs w:val="10"/>
          <w:color w:val="auto"/>
        </w:rPr>
        <w:t>By 2030, we will increase the amount of recycled plastic in our packaging to 30% and ensure that the packaging we use for our products is reusable or recyclable.</w:t>
      </w:r>
    </w:p>
    <w:p>
      <w:pPr>
        <w:ind w:left="260" w:hanging="251"/>
        <w:spacing w:after="0"/>
        <w:tabs>
          <w:tab w:leader="none" w:pos="260" w:val="left"/>
        </w:tabs>
        <w:numPr>
          <w:ilvl w:val="0"/>
          <w:numId w:val="63"/>
        </w:numPr>
        <w:rPr>
          <w:rFonts w:ascii="Arial" w:cs="Arial" w:eastAsia="Arial" w:hAnsi="Arial"/>
          <w:sz w:val="10"/>
          <w:szCs w:val="10"/>
          <w:color w:val="auto"/>
        </w:rPr>
      </w:pPr>
      <w:r>
        <w:rPr>
          <w:rFonts w:ascii="Arial" w:cs="Arial" w:eastAsia="Arial" w:hAnsi="Arial"/>
          <w:sz w:val="10"/>
          <w:szCs w:val="10"/>
          <w:color w:val="auto"/>
        </w:rPr>
        <w:t>We are aiming for zero waste by increasing reuse and recycling in our business and supply chains.</w:t>
      </w:r>
    </w:p>
    <w:p>
      <w:pPr>
        <w:spacing w:after="0" w:line="2" w:lineRule="exact"/>
        <w:rPr>
          <w:rFonts w:ascii="Arial" w:cs="Arial" w:eastAsia="Arial" w:hAnsi="Arial"/>
          <w:sz w:val="10"/>
          <w:szCs w:val="10"/>
          <w:color w:val="auto"/>
        </w:rPr>
      </w:pPr>
    </w:p>
    <w:p>
      <w:pPr>
        <w:ind w:left="260" w:right="260" w:hanging="251"/>
        <w:spacing w:after="0" w:line="347" w:lineRule="auto"/>
        <w:tabs>
          <w:tab w:leader="none" w:pos="259" w:val="left"/>
        </w:tabs>
        <w:numPr>
          <w:ilvl w:val="0"/>
          <w:numId w:val="63"/>
        </w:numPr>
        <w:rPr>
          <w:rFonts w:ascii="Arial" w:cs="Arial" w:eastAsia="Arial" w:hAnsi="Arial"/>
          <w:sz w:val="8"/>
          <w:szCs w:val="8"/>
          <w:color w:val="auto"/>
        </w:rPr>
      </w:pPr>
      <w:r>
        <w:rPr>
          <w:rFonts w:ascii="Arial" w:cs="Arial" w:eastAsia="Arial" w:hAnsi="Arial"/>
          <w:sz w:val="8"/>
          <w:szCs w:val="8"/>
          <w:color w:val="auto"/>
        </w:rPr>
        <w:t>We will demonstrate an overall positive impact on biodiversity from our new projects in areas rich in biodiversity, called critical habitats. This will include investing in conservation and taking steps to safeguard and, where possible, enhance local environments.</w:t>
      </w:r>
    </w:p>
    <w:p>
      <w:pPr>
        <w:spacing w:after="0" w:line="108" w:lineRule="exact"/>
        <w:rPr>
          <w:sz w:val="20"/>
          <w:szCs w:val="20"/>
          <w:color w:val="auto"/>
        </w:rPr>
      </w:pPr>
    </w:p>
    <w:p>
      <w:pPr>
        <w:ind w:right="180"/>
        <w:spacing w:after="0" w:line="232" w:lineRule="auto"/>
        <w:rPr>
          <w:sz w:val="20"/>
          <w:szCs w:val="20"/>
          <w:color w:val="auto"/>
        </w:rPr>
      </w:pPr>
      <w:r>
        <w:rPr>
          <w:rFonts w:ascii="Arial" w:cs="Arial" w:eastAsia="Arial" w:hAnsi="Arial"/>
          <w:sz w:val="10"/>
          <w:szCs w:val="10"/>
          <w:color w:val="auto"/>
        </w:rPr>
        <w:t>We will continue to look for opportunities to go further and will report our progress in a transparent way. We use external standards and guidelines, such as those developed by the World Bank and the International Finance Corporation, to inform our approach. We follow global environmental standards for managing our emissions and discharges, for conserving biodiversity, and for minimising our water use and impact on water resources.</w:t>
      </w:r>
    </w:p>
    <w:p>
      <w:pPr>
        <w:spacing w:after="0" w:line="149" w:lineRule="exact"/>
        <w:rPr>
          <w:sz w:val="20"/>
          <w:szCs w:val="20"/>
          <w:color w:val="auto"/>
        </w:rPr>
      </w:pPr>
    </w:p>
    <w:p>
      <w:pPr>
        <w:ind w:right="180"/>
        <w:spacing w:after="0" w:line="283" w:lineRule="auto"/>
        <w:rPr>
          <w:sz w:val="20"/>
          <w:szCs w:val="20"/>
          <w:color w:val="auto"/>
        </w:rPr>
      </w:pPr>
      <w:r>
        <w:rPr>
          <w:rFonts w:ascii="Arial" w:cs="Arial" w:eastAsia="Arial" w:hAnsi="Arial"/>
          <w:sz w:val="8"/>
          <w:szCs w:val="8"/>
          <w:color w:val="auto"/>
        </w:rPr>
        <w:t>Shell´s global environmental standards cover our environmental performance. They include details of how to manage emissions of greenhouse gases (GHG), consume energy more efficiently, reduce gas flaring, prevent spills and leaks of hazardous materials, use less fresh water and conserve biodiversity. We seek to apply our global environmental standards wherever we operate. When planning new major projects, we conduct detailed environmental, social and health impact assessments.</w:t>
      </w:r>
    </w:p>
    <w:p>
      <w:pPr>
        <w:spacing w:after="0" w:line="124" w:lineRule="exact"/>
        <w:rPr>
          <w:sz w:val="20"/>
          <w:szCs w:val="20"/>
          <w:color w:val="auto"/>
        </w:rPr>
      </w:pPr>
    </w:p>
    <w:p>
      <w:pPr>
        <w:ind w:right="500"/>
        <w:spacing w:after="0" w:line="358" w:lineRule="auto"/>
        <w:rPr>
          <w:sz w:val="20"/>
          <w:szCs w:val="20"/>
          <w:color w:val="auto"/>
        </w:rPr>
      </w:pPr>
      <w:r>
        <w:rPr>
          <w:rFonts w:ascii="Arial" w:cs="Arial" w:eastAsia="Arial" w:hAnsi="Arial"/>
          <w:sz w:val="8"/>
          <w:szCs w:val="8"/>
          <w:color w:val="auto"/>
        </w:rPr>
        <w:t>See also “Control Framework” on page 65, more information on how we manage our GHG emission in "Climate change and energy transition" on page 73, and read about our new environmental framework on our website shell.com.</w:t>
      </w:r>
    </w:p>
    <w:p>
      <w:pPr>
        <w:spacing w:after="0" w:line="104" w:lineRule="exact"/>
        <w:rPr>
          <w:sz w:val="20"/>
          <w:szCs w:val="20"/>
          <w:color w:val="auto"/>
        </w:rPr>
      </w:pPr>
    </w:p>
    <w:p>
      <w:pPr>
        <w:ind w:right="340"/>
        <w:spacing w:after="0" w:line="239" w:lineRule="auto"/>
        <w:rPr>
          <w:sz w:val="20"/>
          <w:szCs w:val="20"/>
          <w:color w:val="auto"/>
        </w:rPr>
      </w:pPr>
      <w:r>
        <w:rPr>
          <w:rFonts w:ascii="Arial" w:cs="Arial" w:eastAsia="Arial" w:hAnsi="Arial"/>
          <w:sz w:val="10"/>
          <w:szCs w:val="10"/>
          <w:color w:val="auto"/>
        </w:rPr>
        <w:t>We believe some areas are too sensitive to enter. Therefore, we made the commitment that we will not explore for or develop oil and gas resources in natural and/or cultural World Heritage Sites.</w:t>
      </w:r>
    </w:p>
    <w:p>
      <w:pPr>
        <w:spacing w:after="0" w:line="496"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68</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71" w:name="page72"/>
    <w:bookmarkEnd w:id="71"/>
    <w:p>
      <w:pPr>
        <w:spacing w:after="0" w:line="162" w:lineRule="exact"/>
        <w:rPr>
          <w:sz w:val="20"/>
          <w:szCs w:val="20"/>
          <w:color w:val="auto"/>
        </w:rPr>
      </w:pPr>
    </w:p>
    <w:p>
      <w:pPr>
        <w:spacing w:after="0" w:line="296" w:lineRule="auto"/>
        <w:rPr>
          <w:sz w:val="20"/>
          <w:szCs w:val="20"/>
          <w:color w:val="auto"/>
        </w:rPr>
      </w:pPr>
      <w:r>
        <w:rPr>
          <w:rFonts w:ascii="Arial" w:cs="Arial" w:eastAsia="Arial" w:hAnsi="Arial"/>
          <w:sz w:val="8"/>
          <w:szCs w:val="8"/>
          <w:color w:val="auto"/>
        </w:rPr>
        <w:t>We aim to minimise the impact of our projects on biodiversity and ecosystems by applying the mitigation hierarchy, a decision-making framework that involves a sequence of four key actions: avoid, minimise, restore and offset. We first aim to avoid impacts on biodiversity and ecosystems. Where our operations have affected biodiversity and communities that rely on biodiversity for their livelihoods, we seek to help restore damaged habitats. We also look for opportunities to make a positive contribution to conservation, also known as a net-positive impact (NPI). For example, to offset and compensate for clearing vegetation and habitat while developing gas resources, the Shell-operated QGC gas project in Australia manages the Valkyrie property, an area with a rich ecosystem. We monitor and measure the impact and seek ways to improve the mitigation strategy.</w:t>
      </w:r>
    </w:p>
    <w:p>
      <w:pPr>
        <w:spacing w:after="0" w:line="237" w:lineRule="exact"/>
        <w:rPr>
          <w:sz w:val="20"/>
          <w:szCs w:val="20"/>
          <w:color w:val="auto"/>
        </w:rPr>
      </w:pPr>
    </w:p>
    <w:p>
      <w:pPr>
        <w:ind w:right="40"/>
        <w:spacing w:after="0" w:line="291" w:lineRule="auto"/>
        <w:rPr>
          <w:sz w:val="20"/>
          <w:szCs w:val="20"/>
          <w:color w:val="auto"/>
        </w:rPr>
      </w:pPr>
      <w:r>
        <w:rPr>
          <w:rFonts w:ascii="Arial" w:cs="Arial" w:eastAsia="Arial" w:hAnsi="Arial"/>
          <w:sz w:val="8"/>
          <w:szCs w:val="8"/>
          <w:color w:val="auto"/>
        </w:rPr>
        <w:t>Managing our impacts on water and ensuring the availability of fresh water is a growing challenge in some parts of the world. Increasing demand for water resources, growing stakeholder expectations and concerns, and water-related legislation may reduce the access to water for our operations. We manage water use carefully, and tailor our use of fresh water to local conditions and requirements. We sometimes use alternatives to fresh water in our operations. These include water that has been recycled from our operations, processed sewage water and desalinated water. For example, the QGC project in Australia produces liquefied natural gas (LNG) from natural gas in a water-scarce region of the Surat Basin in Queensland. Water is produced as a natural by-product during the extraction of gas. Two water plants treat the produced water so that it is suitable for use by local farmers, industry and town water suppliers. We require that all Shell company facilities and projects are assessed to see what risks they might pose to water availability. In places where water is scarce, we develop water-management action plans for using less fresh water, increasing water recycling and closely monitoring water use.</w:t>
      </w:r>
    </w:p>
    <w:p>
      <w:pPr>
        <w:spacing w:after="0" w:line="20" w:lineRule="exact"/>
        <w:rPr>
          <w:sz w:val="20"/>
          <w:szCs w:val="20"/>
          <w:color w:val="auto"/>
        </w:rPr>
      </w:pPr>
      <w:r>
        <w:rPr>
          <w:sz w:val="20"/>
          <w:szCs w:val="20"/>
          <w:color w:val="auto"/>
        </w:rPr>
        <w:br w:type="column"/>
      </w:r>
    </w:p>
    <w:p>
      <w:pPr>
        <w:ind w:right="120"/>
        <w:spacing w:after="0" w:line="307" w:lineRule="auto"/>
        <w:rPr>
          <w:sz w:val="20"/>
          <w:szCs w:val="20"/>
          <w:color w:val="auto"/>
        </w:rPr>
      </w:pPr>
      <w:r>
        <w:rPr>
          <w:rFonts w:ascii="Arial" w:cs="Arial" w:eastAsia="Arial" w:hAnsi="Arial"/>
          <w:sz w:val="8"/>
          <w:szCs w:val="8"/>
          <w:color w:val="auto"/>
        </w:rPr>
        <w:t>We are involved in several industry consortia formed to improve well-containment capabilities. Shell Offshore Response Company LLC is a founding member of the Marine Well Containment Company, a non-profit industry consortium providing a well-containment response system for the Gulf of Mexico. Shell Response Limited was a founding member of the Subsea Well Response Project, an industry cooperative effort to enhance global well-containment capabilities, which has since become Oil Spill Response Limited, an industry consortium.</w:t>
      </w:r>
    </w:p>
    <w:p>
      <w:pPr>
        <w:spacing w:after="0" w:line="123" w:lineRule="exact"/>
        <w:rPr>
          <w:sz w:val="20"/>
          <w:szCs w:val="20"/>
          <w:color w:val="auto"/>
        </w:rPr>
      </w:pPr>
    </w:p>
    <w:p>
      <w:pPr>
        <w:ind w:right="160"/>
        <w:spacing w:after="0" w:line="296" w:lineRule="auto"/>
        <w:rPr>
          <w:sz w:val="20"/>
          <w:szCs w:val="20"/>
          <w:color w:val="auto"/>
        </w:rPr>
      </w:pPr>
      <w:r>
        <w:rPr>
          <w:rFonts w:ascii="Arial" w:cs="Arial" w:eastAsia="Arial" w:hAnsi="Arial"/>
          <w:sz w:val="8"/>
          <w:szCs w:val="8"/>
          <w:color w:val="auto"/>
        </w:rPr>
        <w:t>Site-specific emergency response plans are maintained in case there is an onshore spill. Like the offshore response plans, these are designed to meet Shell guidelines and relevant local legal and regulatory requirements. The onshore response plans also provide for the initial assessment of incidents and the mobilisation of resources to manage them. In the event of spills on land, businesses are supported by our global Soil &amp; Groundwater team which reviews and implements appropriate remedies. The global Soil &amp; Groundwater Team is engaged throughout the life cycle of our assets. For example, during acquisition and divestment of assets, the team conducts due diligence to identify land contamination liabilities. Through research and development initiatives, the team collaborates with regulators in developing, modifying, and applying sustainable remediation techniques.</w:t>
      </w:r>
    </w:p>
    <w:p>
      <w:pPr>
        <w:spacing w:after="0" w:line="237" w:lineRule="exact"/>
        <w:rPr>
          <w:sz w:val="20"/>
          <w:szCs w:val="20"/>
          <w:color w:val="auto"/>
        </w:rPr>
      </w:pPr>
    </w:p>
    <w:p>
      <w:pPr>
        <w:ind w:right="140"/>
        <w:spacing w:after="0" w:line="232" w:lineRule="auto"/>
        <w:rPr>
          <w:sz w:val="20"/>
          <w:szCs w:val="20"/>
          <w:color w:val="auto"/>
        </w:rPr>
      </w:pPr>
      <w:r>
        <w:rPr>
          <w:rFonts w:ascii="Arial" w:cs="Arial" w:eastAsia="Arial" w:hAnsi="Arial"/>
          <w:sz w:val="10"/>
          <w:szCs w:val="10"/>
          <w:color w:val="auto"/>
        </w:rPr>
        <w:t>Spills still occur for reasons such as operational failure, accidents or unusual corrosion. In 2020, there were 68 operational spills of more than 100 kilograms compared with 67 in 2019. The weight of operational spills of oil and oil products in 2020 was 0.4 thousand tonnes, compared with 0.2 thousand tonnes in 2019. At the time of publication of this Report, there were four spills under investigation in Nigeria that may result in adjustments.</w:t>
      </w:r>
    </w:p>
    <w:p>
      <w:pPr>
        <w:spacing w:after="0" w:line="156"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101" w:lineRule="exact"/>
        <w:rPr>
          <w:sz w:val="20"/>
          <w:szCs w:val="20"/>
          <w:color w:val="auto"/>
        </w:rPr>
      </w:pPr>
    </w:p>
    <w:p>
      <w:pPr>
        <w:ind w:right="60"/>
        <w:spacing w:after="0" w:line="307" w:lineRule="auto"/>
        <w:rPr>
          <w:sz w:val="20"/>
          <w:szCs w:val="20"/>
          <w:color w:val="auto"/>
        </w:rPr>
      </w:pPr>
      <w:r>
        <w:rPr>
          <w:rFonts w:ascii="Arial" w:cs="Arial" w:eastAsia="Arial" w:hAnsi="Arial"/>
          <w:sz w:val="8"/>
          <w:szCs w:val="8"/>
          <w:color w:val="auto"/>
        </w:rPr>
        <w:t>In 2020, our intake of fresh water was 171 million cubic metres, compared with 192 million cubic metres in 2019. The reduction was partly because of divestments in Canada and the USA. Around 90% of our fresh water intake was used for manufacturing oil products and chemicals, with the rest mainly used for oil and gas production. Around 35% of fresh water intake was from public utilities, such as municipal water supplies, with the rest taken from surface water such as rivers and lakes (around 55%) and groundwater (around 10%).</w:t>
      </w:r>
    </w:p>
    <w:p>
      <w:pPr>
        <w:spacing w:after="0" w:line="123" w:lineRule="exact"/>
        <w:rPr>
          <w:sz w:val="20"/>
          <w:szCs w:val="20"/>
          <w:color w:val="auto"/>
        </w:rPr>
      </w:pPr>
    </w:p>
    <w:p>
      <w:pPr>
        <w:spacing w:after="0"/>
        <w:rPr>
          <w:sz w:val="20"/>
          <w:szCs w:val="20"/>
          <w:color w:val="auto"/>
        </w:rPr>
      </w:pPr>
      <w:r>
        <w:rPr>
          <w:rFonts w:ascii="Arial" w:cs="Arial" w:eastAsia="Arial" w:hAnsi="Arial"/>
          <w:sz w:val="8"/>
          <w:szCs w:val="8"/>
          <w:color w:val="auto"/>
        </w:rPr>
        <w:t>Detailed information on our 2020 environmental performance is expected to be published in the Shell Sustainability Report in April 2021.</w:t>
      </w:r>
    </w:p>
    <w:p>
      <w:pPr>
        <w:spacing w:after="0" w:line="178" w:lineRule="exact"/>
        <w:rPr>
          <w:sz w:val="20"/>
          <w:szCs w:val="20"/>
          <w:color w:val="auto"/>
        </w:rPr>
      </w:pPr>
    </w:p>
    <w:p>
      <w:pPr>
        <w:spacing w:after="0"/>
        <w:rPr>
          <w:sz w:val="20"/>
          <w:szCs w:val="20"/>
          <w:color w:val="auto"/>
        </w:rPr>
      </w:pPr>
      <w:r>
        <w:rPr>
          <w:rFonts w:ascii="Arial" w:cs="Arial" w:eastAsia="Arial" w:hAnsi="Arial"/>
          <w:sz w:val="10"/>
          <w:szCs w:val="10"/>
          <w:color w:val="auto"/>
        </w:rPr>
        <w:t>See “Climate change and energy transition” on page 73 for more information on how we manage our GHG emissions.</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SPILLS</w:t>
      </w:r>
    </w:p>
    <w:p>
      <w:pPr>
        <w:spacing w:after="0" w:line="1" w:lineRule="exact"/>
        <w:rPr>
          <w:sz w:val="20"/>
          <w:szCs w:val="20"/>
          <w:color w:val="auto"/>
        </w:rPr>
      </w:pPr>
    </w:p>
    <w:p>
      <w:pPr>
        <w:ind w:right="100"/>
        <w:spacing w:after="0" w:line="231" w:lineRule="auto"/>
        <w:rPr>
          <w:sz w:val="20"/>
          <w:szCs w:val="20"/>
          <w:color w:val="auto"/>
        </w:rPr>
      </w:pPr>
      <w:r>
        <w:rPr>
          <w:rFonts w:ascii="Arial" w:cs="Arial" w:eastAsia="Arial" w:hAnsi="Arial"/>
          <w:sz w:val="10"/>
          <w:szCs w:val="10"/>
          <w:color w:val="auto"/>
        </w:rPr>
        <w:t>Large spills of crude oil, oil products and chemicals associated with our operations can harm the environment, and result in major clean-up costs, fines and other damages. They can also affect our licence to operate and harm our reputation.</w:t>
      </w:r>
    </w:p>
    <w:p>
      <w:pPr>
        <w:spacing w:after="0" w:line="149" w:lineRule="exact"/>
        <w:rPr>
          <w:sz w:val="20"/>
          <w:szCs w:val="20"/>
          <w:color w:val="auto"/>
        </w:rPr>
      </w:pPr>
    </w:p>
    <w:p>
      <w:pPr>
        <w:spacing w:after="0" w:line="296" w:lineRule="auto"/>
        <w:rPr>
          <w:sz w:val="20"/>
          <w:szCs w:val="20"/>
          <w:color w:val="auto"/>
        </w:rPr>
      </w:pPr>
      <w:r>
        <w:rPr>
          <w:rFonts w:ascii="Arial" w:cs="Arial" w:eastAsia="Arial" w:hAnsi="Arial"/>
          <w:sz w:val="8"/>
          <w:szCs w:val="8"/>
          <w:color w:val="auto"/>
        </w:rPr>
        <w:t>We have requirements and procedures designed to prevent spills. We design, operate and maintain our facilities with the intention of avoiding spills. To further reduce the risk of spills, Shell has routine programmes to reduce failures and maintain the reliability of facilities and pipelines. Our business units are responsible for organising and executing spill responses in line with Shell guidelines and relevant legal and regulatory requirements. Our offshore installations have spill response plans for when an incident occurs. These plans set out response strategies and techniques, available equipment, and trained personnel and contracts. We can engage specialist contracted services for oil-spill response, including vessels, aircraft or other equipment and resources, if required, for large spills. We conduct regular exercises that seek to ensure these plans remain effective and fit for purpose.</w:t>
      </w:r>
    </w:p>
    <w:p>
      <w:pPr>
        <w:spacing w:after="0" w:line="237" w:lineRule="exact"/>
        <w:rPr>
          <w:sz w:val="20"/>
          <w:szCs w:val="20"/>
          <w:color w:val="auto"/>
        </w:rPr>
      </w:pPr>
    </w:p>
    <w:p>
      <w:pPr>
        <w:jc w:val="both"/>
        <w:ind w:right="180"/>
        <w:spacing w:after="0" w:line="320" w:lineRule="auto"/>
        <w:rPr>
          <w:sz w:val="20"/>
          <w:szCs w:val="20"/>
          <w:color w:val="auto"/>
        </w:rPr>
      </w:pPr>
      <w:r>
        <w:rPr>
          <w:rFonts w:ascii="Arial" w:cs="Arial" w:eastAsia="Arial" w:hAnsi="Arial"/>
          <w:sz w:val="8"/>
          <w:szCs w:val="8"/>
          <w:color w:val="auto"/>
        </w:rPr>
        <w:t>We have further developed our ability to respond to spills to water, and we maintain a global response support network of trained staff to support our worldwide response capability. This is also supported by our global oil spill expertise centre, which tests local capability and maintains our ability globally to respond to a significant spill into a marine environment.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Spills in Nigeria</w:t>
      </w:r>
    </w:p>
    <w:p>
      <w:pPr>
        <w:ind w:right="180"/>
        <w:spacing w:after="0" w:line="206" w:lineRule="auto"/>
        <w:rPr>
          <w:sz w:val="20"/>
          <w:szCs w:val="20"/>
          <w:color w:val="auto"/>
        </w:rPr>
      </w:pPr>
      <w:r>
        <w:rPr>
          <w:rFonts w:ascii="Arial" w:cs="Arial" w:eastAsia="Arial" w:hAnsi="Arial"/>
          <w:sz w:val="10"/>
          <w:szCs w:val="10"/>
          <w:color w:val="auto"/>
        </w:rPr>
        <w:t>In the Niger Delta, over the last 10 years, the total number of operational hydrocarbon spills and the volume of oil spilled from them into the environment have been significantly reduced.</w:t>
      </w:r>
    </w:p>
    <w:p>
      <w:pPr>
        <w:spacing w:after="0" w:line="1" w:lineRule="exact"/>
        <w:rPr>
          <w:sz w:val="20"/>
          <w:szCs w:val="20"/>
          <w:color w:val="auto"/>
        </w:rPr>
      </w:pPr>
    </w:p>
    <w:p>
      <w:pPr>
        <w:ind w:right="180"/>
        <w:spacing w:after="0" w:line="221" w:lineRule="auto"/>
        <w:rPr>
          <w:sz w:val="20"/>
          <w:szCs w:val="20"/>
          <w:color w:val="auto"/>
        </w:rPr>
      </w:pPr>
      <w:r>
        <w:rPr>
          <w:rFonts w:ascii="Arial" w:cs="Arial" w:eastAsia="Arial" w:hAnsi="Arial"/>
          <w:sz w:val="10"/>
          <w:szCs w:val="10"/>
          <w:color w:val="auto"/>
        </w:rPr>
        <w:t>Most oil spills in Nigeria's Niger Delta region continue to be caused by crude oil theft or sabotage of oil and gas production facilities, and by illegal oil refining, including the distribution of illegally refined products.</w:t>
      </w:r>
    </w:p>
    <w:p>
      <w:pPr>
        <w:spacing w:after="0" w:line="140" w:lineRule="exact"/>
        <w:rPr>
          <w:sz w:val="20"/>
          <w:szCs w:val="20"/>
          <w:color w:val="auto"/>
        </w:rPr>
      </w:pPr>
    </w:p>
    <w:p>
      <w:pPr>
        <w:jc w:val="both"/>
        <w:ind w:right="120"/>
        <w:spacing w:after="0" w:line="296" w:lineRule="auto"/>
        <w:rPr>
          <w:sz w:val="20"/>
          <w:szCs w:val="20"/>
          <w:color w:val="auto"/>
        </w:rPr>
      </w:pPr>
      <w:r>
        <w:rPr>
          <w:rFonts w:ascii="Arial" w:cs="Arial" w:eastAsia="Arial" w:hAnsi="Arial"/>
          <w:sz w:val="8"/>
          <w:szCs w:val="8"/>
          <w:color w:val="auto"/>
        </w:rPr>
        <w:t>In 2020, the Shell Petroleum Development Company of Nigeria Limited (SPDC) managed to reduce the number of operational spills of more than 100 kilograms to around 0.02 thousand tonnes of crude oil (10 incidents) compared with around 0.03 thousand tonnes of crude oil (seven incidents) in 2019. This was a year-on-year reduction in operational spills of one-third by weight.</w:t>
      </w:r>
    </w:p>
    <w:p>
      <w:pPr>
        <w:spacing w:after="0" w:line="119" w:lineRule="exact"/>
        <w:rPr>
          <w:sz w:val="20"/>
          <w:szCs w:val="20"/>
          <w:color w:val="auto"/>
        </w:rPr>
      </w:pPr>
    </w:p>
    <w:p>
      <w:pPr>
        <w:ind w:right="280"/>
        <w:spacing w:after="0" w:line="277" w:lineRule="auto"/>
        <w:rPr>
          <w:sz w:val="20"/>
          <w:szCs w:val="20"/>
          <w:color w:val="auto"/>
        </w:rPr>
      </w:pPr>
      <w:r>
        <w:rPr>
          <w:rFonts w:ascii="Arial" w:cs="Arial" w:eastAsia="Arial" w:hAnsi="Arial"/>
          <w:sz w:val="8"/>
          <w:szCs w:val="8"/>
          <w:color w:val="auto"/>
        </w:rPr>
        <w:t>To reduce the number of operational spills, SPDC has an ongoing work programme to appraise, maintain and replace key sections of pipelines and flow lines. Over the last nine years, about 1,330 kilometres of pipelines and flow lines have been replaced. This is organised through a pipeline and flow line integrity management system that proactively addresses pipeline integrity. It puts barriers in place where necessary, and recommends when and where pipeline sections should be replaced to prevent failures. In 2018, this integrity management system was enhanced to manage threats arising from frequent pipeline sabotage or vandalism.</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Spills caused by sabotage reduced in 2020</w:t>
      </w:r>
    </w:p>
    <w:p>
      <w:pPr>
        <w:ind w:right="140"/>
        <w:spacing w:after="0" w:line="214" w:lineRule="auto"/>
        <w:rPr>
          <w:sz w:val="20"/>
          <w:szCs w:val="20"/>
          <w:color w:val="auto"/>
        </w:rPr>
      </w:pPr>
      <w:r>
        <w:rPr>
          <w:rFonts w:ascii="Arial" w:cs="Arial" w:eastAsia="Arial" w:hAnsi="Arial"/>
          <w:sz w:val="10"/>
          <w:szCs w:val="10"/>
          <w:color w:val="auto"/>
        </w:rPr>
        <w:t>In 2020, about 90% oil spills of more than 100 kilograms from the SPDC joint venture's facilities were caused by the illegal activities of third parties. In 2020, the volume of crude oil spills of more than 100 kilograms caused by sabotage was 1.4 thousand tonnes (122 incidents), compared with 2.3 thousand tonnes (156 incidents) in 2019. The decrease in incidents and volumes was because of improved security and surveillance, including community-based pipeline surveillance.</w:t>
      </w:r>
    </w:p>
    <w:p>
      <w:pPr>
        <w:spacing w:after="0" w:line="140" w:lineRule="exact"/>
        <w:rPr>
          <w:sz w:val="20"/>
          <w:szCs w:val="20"/>
          <w:color w:val="auto"/>
        </w:rPr>
      </w:pPr>
    </w:p>
    <w:p>
      <w:pPr>
        <w:jc w:val="both"/>
        <w:ind w:right="260"/>
        <w:spacing w:after="0" w:line="222" w:lineRule="auto"/>
        <w:rPr>
          <w:sz w:val="20"/>
          <w:szCs w:val="20"/>
          <w:color w:val="auto"/>
        </w:rPr>
      </w:pPr>
      <w:r>
        <w:rPr>
          <w:rFonts w:ascii="Arial" w:cs="Arial" w:eastAsia="Arial" w:hAnsi="Arial"/>
          <w:sz w:val="10"/>
          <w:szCs w:val="10"/>
          <w:color w:val="auto"/>
        </w:rPr>
        <w:t>SPDC continues to undertake initiatives to prevent and reduce spills caused by theft from or sabotage of its facilities in the Niger Delta. In 2020, SPDC continued on-ground surveillance of its areas of operation, including its pipeline network, to mitigate third-party interference and ensure that spills are detected and responded to as quickly as possible.</w:t>
      </w:r>
    </w:p>
    <w:p>
      <w:pPr>
        <w:spacing w:after="0" w:line="140" w:lineRule="exact"/>
        <w:rPr>
          <w:sz w:val="20"/>
          <w:szCs w:val="20"/>
          <w:color w:val="auto"/>
        </w:rPr>
      </w:pPr>
    </w:p>
    <w:p>
      <w:pPr>
        <w:ind w:right="240"/>
        <w:spacing w:after="0" w:line="222" w:lineRule="auto"/>
        <w:rPr>
          <w:sz w:val="20"/>
          <w:szCs w:val="20"/>
          <w:color w:val="auto"/>
        </w:rPr>
      </w:pPr>
      <w:r>
        <w:rPr>
          <w:rFonts w:ascii="Arial" w:cs="Arial" w:eastAsia="Arial" w:hAnsi="Arial"/>
          <w:sz w:val="10"/>
          <w:szCs w:val="10"/>
          <w:color w:val="auto"/>
        </w:rPr>
        <w:t>There are also daily overflights of the most vulnerable segments of the pipeline network to identify any new spills or illegal activity. SPDC has also introduced anti-theft protection mechanisms for key infrastructure such as wellheads and manifolds. The programme to protect wellheads with steel cages continues to help deter theft.</w:t>
      </w:r>
    </w:p>
    <w:p>
      <w:pPr>
        <w:spacing w:after="0" w:line="140" w:lineRule="exact"/>
        <w:rPr>
          <w:sz w:val="20"/>
          <w:szCs w:val="20"/>
          <w:color w:val="auto"/>
        </w:rPr>
      </w:pPr>
    </w:p>
    <w:p>
      <w:pPr>
        <w:ind w:right="240"/>
        <w:spacing w:after="0" w:line="230" w:lineRule="auto"/>
        <w:rPr>
          <w:sz w:val="20"/>
          <w:szCs w:val="20"/>
          <w:color w:val="auto"/>
        </w:rPr>
      </w:pPr>
      <w:r>
        <w:rPr>
          <w:rFonts w:ascii="Arial" w:cs="Arial" w:eastAsia="Arial" w:hAnsi="Arial"/>
          <w:sz w:val="10"/>
          <w:szCs w:val="10"/>
          <w:color w:val="auto"/>
        </w:rPr>
        <w:t>By the end of 2020, 364 cages had been installed. including 73 cages upgraded with CCTV. Only 15 breaches were successful out of 1,706 registered attempts.</w:t>
      </w:r>
    </w:p>
    <w:p>
      <w:pPr>
        <w:spacing w:after="0" w:line="200" w:lineRule="exact"/>
        <w:rPr>
          <w:sz w:val="20"/>
          <w:szCs w:val="20"/>
          <w:color w:val="auto"/>
        </w:rPr>
      </w:pPr>
    </w:p>
    <w:p>
      <w:pPr>
        <w:sectPr>
          <w:pgSz w:w="11900" w:h="16838" w:orient="portrait"/>
          <w:cols w:equalWidth="0" w:num="2">
            <w:col w:w="5420" w:space="300"/>
            <w:col w:w="5580"/>
          </w:cols>
          <w:pgMar w:left="300" w:top="640" w:right="299" w:bottom="1440" w:gutter="0" w:footer="0" w:header="0"/>
          <w:type w:val="continuous"/>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69</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72" w:name="page73"/>
    <w:bookmarkEnd w:id="72"/>
    <w:p>
      <w:pPr>
        <w:spacing w:after="0" w:line="162"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Faster response and remediation</w:t>
      </w:r>
    </w:p>
    <w:p>
      <w:pPr>
        <w:spacing w:after="0" w:line="1" w:lineRule="exact"/>
        <w:rPr>
          <w:sz w:val="20"/>
          <w:szCs w:val="20"/>
          <w:color w:val="auto"/>
        </w:rPr>
      </w:pPr>
    </w:p>
    <w:p>
      <w:pPr>
        <w:ind w:left="8" w:right="40"/>
        <w:spacing w:after="0" w:line="300" w:lineRule="auto"/>
        <w:rPr>
          <w:sz w:val="20"/>
          <w:szCs w:val="20"/>
          <w:color w:val="auto"/>
        </w:rPr>
      </w:pPr>
      <w:r>
        <w:rPr>
          <w:rFonts w:ascii="Arial" w:cs="Arial" w:eastAsia="Arial" w:hAnsi="Arial"/>
          <w:sz w:val="8"/>
          <w:szCs w:val="8"/>
          <w:color w:val="auto"/>
        </w:rPr>
        <w:t>Irrespective of the cause, SPDC works to clean up and remediate areas affected by spills originating from its facilities. SPDC reduced the average time to complete recovery of free-phase oil - oil that forms a separate layer and is not mixed with water or soil - from about 13 days in 2016 to about one week in 2020. This is the average time it takes to safely access a damaged site to start joint investigation visits (JIV) with regulators, impacted communities, and in some cases with non-governmental organisations, to clean up oil not mixed with water or soil.</w:t>
      </w:r>
    </w:p>
    <w:p>
      <w:pPr>
        <w:spacing w:after="0" w:line="126" w:lineRule="exact"/>
        <w:rPr>
          <w:sz w:val="20"/>
          <w:szCs w:val="20"/>
          <w:color w:val="auto"/>
        </w:rPr>
      </w:pPr>
    </w:p>
    <w:p>
      <w:pPr>
        <w:ind w:left="8" w:right="60"/>
        <w:spacing w:after="0" w:line="232" w:lineRule="auto"/>
        <w:rPr>
          <w:sz w:val="20"/>
          <w:szCs w:val="20"/>
          <w:color w:val="auto"/>
        </w:rPr>
      </w:pPr>
      <w:r>
        <w:rPr>
          <w:rFonts w:ascii="Arial" w:cs="Arial" w:eastAsia="Arial" w:hAnsi="Arial"/>
          <w:sz w:val="10"/>
          <w:szCs w:val="10"/>
          <w:color w:val="auto"/>
        </w:rPr>
        <w:t>Clean-up activities include bio-remediation which stimulates micro-organisms that naturally break down and use carbon-rich oil as a source of food and energy, effectively removing it. Once clean-up and remediation operations are completed, the work is inspected and, if satisfactory, approved and certified by the Nigerian regulators. With operational spills, SPDC also pays compensation to affected people and communities.</w:t>
      </w:r>
    </w:p>
    <w:p>
      <w:pPr>
        <w:spacing w:after="0" w:line="149" w:lineRule="exact"/>
        <w:rPr>
          <w:sz w:val="20"/>
          <w:szCs w:val="20"/>
          <w:color w:val="auto"/>
        </w:rPr>
      </w:pPr>
    </w:p>
    <w:p>
      <w:pPr>
        <w:ind w:left="8" w:right="60"/>
        <w:spacing w:after="0" w:line="277" w:lineRule="auto"/>
        <w:rPr>
          <w:sz w:val="20"/>
          <w:szCs w:val="20"/>
          <w:color w:val="auto"/>
        </w:rPr>
      </w:pPr>
      <w:r>
        <w:rPr>
          <w:rFonts w:ascii="Arial" w:cs="Arial" w:eastAsia="Arial" w:hAnsi="Arial"/>
          <w:sz w:val="8"/>
          <w:szCs w:val="8"/>
          <w:color w:val="auto"/>
        </w:rPr>
        <w:t>SPDC has been working with the International Union for Conservation of Nature (IUCN) since 2012 to enhance remediation techniques and protect biodiversity at sites affected by oil spills in SPDC’s areas of operation in the Niger Delta. Based on this collaboration, SPDC has launched further initiatives to help strengthen its remediation and restoration efforts. In 2020, SPDC, IUCN, the Nigerian Conservation Foundation and Wetlands International worked together on the Niger Delta Biodiversity Technical Advisory Group, which continues to monitor biodiversity recovery at remediated sites.</w:t>
      </w:r>
    </w:p>
    <w:p>
      <w:pPr>
        <w:spacing w:after="0" w:line="126" w:lineRule="exact"/>
        <w:rPr>
          <w:sz w:val="20"/>
          <w:szCs w:val="20"/>
          <w:color w:val="auto"/>
        </w:rPr>
      </w:pPr>
    </w:p>
    <w:p>
      <w:pPr>
        <w:ind w:left="8" w:right="160"/>
        <w:spacing w:after="0" w:line="283" w:lineRule="auto"/>
        <w:rPr>
          <w:sz w:val="20"/>
          <w:szCs w:val="20"/>
          <w:color w:val="auto"/>
        </w:rPr>
      </w:pPr>
      <w:r>
        <w:rPr>
          <w:rFonts w:ascii="Arial" w:cs="Arial" w:eastAsia="Arial" w:hAnsi="Arial"/>
          <w:sz w:val="8"/>
          <w:szCs w:val="8"/>
          <w:color w:val="auto"/>
        </w:rPr>
        <w:t>SPDC also works with a range of stakeholders in the Niger Delta to build greater trust in spill response and clean-up processes. Local communities participate in remediation work for operational spills. Due to the restrictions of COVID-19 there were fewer opportunities to collaborate but the engagement and partnership with communities continued. Various NGOs have sometimes gone on joint investigation visits with SPDC, government regulators and members of affected communities to establish the cause and volume of oil spilled.</w:t>
      </w:r>
    </w:p>
    <w:p>
      <w:pPr>
        <w:spacing w:after="0" w:line="124" w:lineRule="exact"/>
        <w:rPr>
          <w:sz w:val="20"/>
          <w:szCs w:val="20"/>
          <w:color w:val="auto"/>
        </w:rPr>
      </w:pPr>
    </w:p>
    <w:p>
      <w:pPr>
        <w:ind w:left="8" w:right="400"/>
        <w:spacing w:after="0" w:line="234" w:lineRule="auto"/>
        <w:rPr>
          <w:sz w:val="20"/>
          <w:szCs w:val="20"/>
          <w:color w:val="auto"/>
        </w:rPr>
      </w:pPr>
      <w:r>
        <w:rPr>
          <w:rFonts w:ascii="Arial" w:cs="Arial" w:eastAsia="Arial" w:hAnsi="Arial"/>
          <w:sz w:val="10"/>
          <w:szCs w:val="10"/>
          <w:color w:val="auto"/>
        </w:rPr>
        <w:t>SPDC has also implemented several programmes to raise awareness of the negative effects of crude oil theft and illegal oil refining. Examples include community-based pipeline surveillance, and promoting of alternative livelihoods through Shell’s flagship youth entrepreneurship programme, Shell LiveWIRE.</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Bodo clean-up process</w:t>
      </w:r>
    </w:p>
    <w:p>
      <w:pPr>
        <w:ind w:left="8"/>
        <w:spacing w:after="0" w:line="295" w:lineRule="auto"/>
        <w:rPr>
          <w:sz w:val="20"/>
          <w:szCs w:val="20"/>
          <w:color w:val="auto"/>
        </w:rPr>
      </w:pPr>
      <w:r>
        <w:rPr>
          <w:rFonts w:ascii="Arial" w:cs="Arial" w:eastAsia="Arial" w:hAnsi="Arial"/>
          <w:sz w:val="8"/>
          <w:szCs w:val="8"/>
          <w:color w:val="auto"/>
        </w:rPr>
        <w:t>In 2015, SPDC, on behalf of the SPDC joint venture and the Bodo community, signed a memorandum of understanding (MOU) granting SPDC access to begin cleaning up areas affected by two operational spills that occurred in 2008. The MOU also provided for the selection of two international contractors to conduct the clean-up under the oversight of an independent project director. The clean-up project was delayed in 2016 and for most of 2017 because of access challenges from the community. Engagement with the Bodo community and other stakeholders began in September 2015 and was managed by the Bodo Mediation Initiative.</w:t>
      </w:r>
    </w:p>
    <w:p>
      <w:pPr>
        <w:spacing w:after="0" w:line="129" w:lineRule="exact"/>
        <w:rPr>
          <w:sz w:val="20"/>
          <w:szCs w:val="20"/>
          <w:color w:val="auto"/>
        </w:rPr>
      </w:pPr>
    </w:p>
    <w:p>
      <w:pPr>
        <w:ind w:left="8"/>
        <w:spacing w:after="0" w:line="233" w:lineRule="auto"/>
        <w:rPr>
          <w:sz w:val="20"/>
          <w:szCs w:val="20"/>
          <w:color w:val="auto"/>
        </w:rPr>
      </w:pPr>
      <w:r>
        <w:rPr>
          <w:rFonts w:ascii="Arial" w:cs="Arial" w:eastAsia="Arial" w:hAnsi="Arial"/>
          <w:sz w:val="10"/>
          <w:szCs w:val="10"/>
          <w:color w:val="auto"/>
        </w:rPr>
        <w:t>After two years of engagement, in September 2017, it was possible to start the first phase of clean-up and remediation activities. The clean-up consists of three phases:</w:t>
      </w:r>
    </w:p>
    <w:p>
      <w:pPr>
        <w:ind w:left="108" w:hanging="108"/>
        <w:spacing w:after="0" w:line="226" w:lineRule="auto"/>
        <w:tabs>
          <w:tab w:leader="none" w:pos="108" w:val="left"/>
        </w:tabs>
        <w:numPr>
          <w:ilvl w:val="0"/>
          <w:numId w:val="64"/>
        </w:numPr>
        <w:rPr>
          <w:rFonts w:ascii="Arial" w:cs="Arial" w:eastAsia="Arial" w:hAnsi="Arial"/>
          <w:sz w:val="10"/>
          <w:szCs w:val="10"/>
          <w:color w:val="auto"/>
        </w:rPr>
      </w:pPr>
      <w:r>
        <w:rPr>
          <w:rFonts w:ascii="Arial" w:cs="Arial" w:eastAsia="Arial" w:hAnsi="Arial"/>
          <w:sz w:val="10"/>
          <w:szCs w:val="10"/>
          <w:color w:val="auto"/>
        </w:rPr>
        <w:t>removal of oil floating on water surfaces;</w:t>
      </w:r>
    </w:p>
    <w:p>
      <w:pPr>
        <w:ind w:left="108" w:hanging="108"/>
        <w:spacing w:after="0" w:line="225" w:lineRule="auto"/>
        <w:tabs>
          <w:tab w:leader="none" w:pos="108" w:val="left"/>
        </w:tabs>
        <w:numPr>
          <w:ilvl w:val="0"/>
          <w:numId w:val="64"/>
        </w:numPr>
        <w:rPr>
          <w:rFonts w:ascii="Arial" w:cs="Arial" w:eastAsia="Arial" w:hAnsi="Arial"/>
          <w:sz w:val="10"/>
          <w:szCs w:val="10"/>
          <w:color w:val="auto"/>
        </w:rPr>
      </w:pPr>
      <w:r>
        <w:rPr>
          <w:rFonts w:ascii="Arial" w:cs="Arial" w:eastAsia="Arial" w:hAnsi="Arial"/>
          <w:sz w:val="10"/>
          <w:szCs w:val="10"/>
          <w:color w:val="auto"/>
        </w:rPr>
        <w:t>remediation of soil; and</w:t>
      </w:r>
    </w:p>
    <w:p>
      <w:pPr>
        <w:ind w:left="108" w:hanging="108"/>
        <w:spacing w:after="0" w:line="236" w:lineRule="auto"/>
        <w:tabs>
          <w:tab w:leader="none" w:pos="108" w:val="left"/>
        </w:tabs>
        <w:numPr>
          <w:ilvl w:val="0"/>
          <w:numId w:val="64"/>
        </w:numPr>
        <w:rPr>
          <w:rFonts w:ascii="Arial" w:cs="Arial" w:eastAsia="Arial" w:hAnsi="Arial"/>
          <w:sz w:val="10"/>
          <w:szCs w:val="10"/>
          <w:color w:val="auto"/>
        </w:rPr>
      </w:pPr>
      <w:r>
        <w:rPr>
          <w:rFonts w:ascii="Arial" w:cs="Arial" w:eastAsia="Arial" w:hAnsi="Arial"/>
          <w:sz w:val="10"/>
          <w:szCs w:val="10"/>
          <w:color w:val="auto"/>
        </w:rPr>
        <w:t>planting of mangroves and monitoring.</w:t>
      </w:r>
    </w:p>
    <w:p>
      <w:pPr>
        <w:spacing w:after="0" w:line="149" w:lineRule="exact"/>
        <w:rPr>
          <w:sz w:val="20"/>
          <w:szCs w:val="20"/>
          <w:color w:val="auto"/>
        </w:rPr>
      </w:pPr>
    </w:p>
    <w:p>
      <w:pPr>
        <w:ind w:left="8" w:right="120"/>
        <w:spacing w:after="0" w:line="234" w:lineRule="auto"/>
        <w:rPr>
          <w:sz w:val="20"/>
          <w:szCs w:val="20"/>
          <w:color w:val="auto"/>
        </w:rPr>
      </w:pPr>
      <w:r>
        <w:rPr>
          <w:rFonts w:ascii="Arial" w:cs="Arial" w:eastAsia="Arial" w:hAnsi="Arial"/>
          <w:sz w:val="10"/>
          <w:szCs w:val="10"/>
          <w:color w:val="auto"/>
        </w:rPr>
        <w:t>The first phase was completed in August 2018. The contract procurement process for phase two was completed in 2019. Remediation activities in the field started in November 2019. During 2020, work had to be put on hold because of COVID-19 restrictions. Currently, we expect to finalise the activities by about May 2023.</w:t>
      </w:r>
    </w:p>
    <w:p>
      <w:pPr>
        <w:spacing w:after="0" w:line="150" w:lineRule="exact"/>
        <w:rPr>
          <w:sz w:val="20"/>
          <w:szCs w:val="20"/>
          <w:color w:val="auto"/>
        </w:rPr>
      </w:pPr>
    </w:p>
    <w:p>
      <w:pPr>
        <w:ind w:left="8" w:right="120"/>
        <w:spacing w:after="0" w:line="232" w:lineRule="auto"/>
        <w:rPr>
          <w:sz w:val="20"/>
          <w:szCs w:val="20"/>
          <w:color w:val="auto"/>
        </w:rPr>
      </w:pPr>
      <w:r>
        <w:rPr>
          <w:rFonts w:ascii="Arial" w:cs="Arial" w:eastAsia="Arial" w:hAnsi="Arial"/>
          <w:sz w:val="10"/>
          <w:szCs w:val="10"/>
          <w:color w:val="auto"/>
        </w:rPr>
        <w:t>In 2020, the Niger Delta Biodiversity Technical Advisory Group assessed the initial field reports from two pilot sites containing freshwater and swamp forests. The advisory group set out its aims and timeline for work at both sites. Field visits to these remote locations were disrupted by COVID-19 restrictions. The advisory group is also analysing other potential pilot sites identified by SPDC, and planning an engagement session with regulatory agencies in Nigeria.</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Ogoniland: commitment to the United Nations Environment Programme</w:t>
      </w:r>
    </w:p>
    <w:p>
      <w:pPr>
        <w:spacing w:after="0" w:line="20" w:lineRule="exact"/>
        <w:rPr>
          <w:sz w:val="20"/>
          <w:szCs w:val="20"/>
          <w:color w:val="auto"/>
        </w:rPr>
      </w:pPr>
      <w:r>
        <w:rPr>
          <w:sz w:val="20"/>
          <w:szCs w:val="20"/>
          <w:color w:val="auto"/>
        </w:rPr>
        <w:br w:type="column"/>
      </w:r>
    </w:p>
    <w:p>
      <w:pPr>
        <w:jc w:val="both"/>
        <w:ind w:right="120"/>
        <w:spacing w:after="0" w:line="320" w:lineRule="auto"/>
        <w:rPr>
          <w:sz w:val="20"/>
          <w:szCs w:val="20"/>
          <w:color w:val="auto"/>
        </w:rPr>
      </w:pPr>
      <w:r>
        <w:rPr>
          <w:rFonts w:ascii="Arial" w:cs="Arial" w:eastAsia="Arial" w:hAnsi="Arial"/>
          <w:sz w:val="8"/>
          <w:szCs w:val="8"/>
          <w:color w:val="auto"/>
        </w:rPr>
        <w:t>SPDC remains committed to the implementation of the 2011 United Nations Environmental Programme (UNEP) Report on Ogoniland which assessed contamination from oil operations in the region and recommended actions to clean it up. Over the last nine years, SPDC has acted on all and completed most of the UNEP recommendations that were specifically addressed to it as the operator of the joint venture.</w:t>
      </w:r>
    </w:p>
    <w:p>
      <w:pPr>
        <w:spacing w:after="0" w:line="118" w:lineRule="exact"/>
        <w:rPr>
          <w:sz w:val="20"/>
          <w:szCs w:val="20"/>
          <w:color w:val="auto"/>
        </w:rPr>
      </w:pPr>
    </w:p>
    <w:p>
      <w:pPr>
        <w:ind w:right="180"/>
        <w:spacing w:after="0" w:line="297" w:lineRule="auto"/>
        <w:rPr>
          <w:sz w:val="20"/>
          <w:szCs w:val="20"/>
          <w:color w:val="auto"/>
        </w:rPr>
      </w:pPr>
      <w:r>
        <w:rPr>
          <w:rFonts w:ascii="Arial" w:cs="Arial" w:eastAsia="Arial" w:hAnsi="Arial"/>
          <w:sz w:val="8"/>
          <w:szCs w:val="8"/>
          <w:color w:val="auto"/>
        </w:rPr>
        <w:t>The clean-up efforts are led by the Hydrocarbon Pollution and Remediation Project (HYPREP), an agency established by the federal government. In 2018, HYPREP awarded contracts for the first set of remediation projects. In 2019, 21 contractors started operations on 21 lots which add up to 12 of the 67 polluted sites recorded in the UNEP report. Of those 67 sites, two are waste sites without hydrocarbon pollution. In January 2020, HYPREP awarded a further 29 contracts for remediation on 29 lots covering eight polluted sites. The contractors took up remediation activities in the fourth quarter of 2020. Although remediation works continue to make progress, challenges remain. These include re-pollution, lack of contractor funding, land disputes and security issues in Ogoniland.</w:t>
      </w:r>
    </w:p>
    <w:p>
      <w:pPr>
        <w:spacing w:after="0" w:line="127" w:lineRule="exact"/>
        <w:rPr>
          <w:sz w:val="20"/>
          <w:szCs w:val="20"/>
          <w:color w:val="auto"/>
        </w:rPr>
      </w:pPr>
    </w:p>
    <w:p>
      <w:pPr>
        <w:ind w:right="120"/>
        <w:spacing w:after="0" w:line="297" w:lineRule="auto"/>
        <w:rPr>
          <w:sz w:val="20"/>
          <w:szCs w:val="20"/>
          <w:color w:val="auto"/>
        </w:rPr>
      </w:pPr>
      <w:r>
        <w:rPr>
          <w:rFonts w:ascii="Arial" w:cs="Arial" w:eastAsia="Arial" w:hAnsi="Arial"/>
          <w:sz w:val="8"/>
          <w:szCs w:val="8"/>
          <w:color w:val="auto"/>
        </w:rPr>
        <w:t>The UNEP report recommended creating an Ogoni Trust Fund (OTF) with $1 billion capital, to be co-funded by the Nigerian government, the SPDC joint venture and other operators in the area. The SPDC joint venture remains fully committed to contributing $900 million to the fund as its share over five years. SPDC JV partners contributed the first instalment of $180 million for the clean-up by July 2018 and released the second instalment of $180 million in 2019. HYPREP did not request the release of any funds in 2020. The UNEP continues to monitor the progress of the clean-up exercise via its observer status at both the HYPREP´s Governing Council and the Ogoni Trust Fund. Its agencies such as UNDP, UNITAR and UNOPS provide services to HYPREP in the areas of livelihood programmes, training and project services.</w:t>
      </w: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color w:val="auto"/>
        </w:rPr>
        <w:t>HYDRAULIC FRACTURING</w:t>
      </w:r>
    </w:p>
    <w:p>
      <w:pPr>
        <w:ind w:right="160"/>
        <w:spacing w:after="0" w:line="227" w:lineRule="auto"/>
        <w:rPr>
          <w:sz w:val="20"/>
          <w:szCs w:val="20"/>
          <w:color w:val="auto"/>
        </w:rPr>
      </w:pPr>
      <w:r>
        <w:rPr>
          <w:rFonts w:ascii="Arial" w:cs="Arial" w:eastAsia="Arial" w:hAnsi="Arial"/>
          <w:sz w:val="10"/>
          <w:szCs w:val="10"/>
          <w:color w:val="auto"/>
        </w:rPr>
        <w:t>Shale oil and gas resources remain a critical part of a modern energy system as we move towards renewable sources. Shale resources are abundant and offer a relatively affordable source of energy. According to US Energy Information Administration (EIA) estimates, there are 7,576.6 trillion cubic feet of unproven technically recoverable wet shale gas resources and 418.9 billion barrels of unproven technically recoverable tight oil resources spread across 46 countries. We believe that developing these resources is critical for meeting the energy needs of growing societies around the world.</w:t>
      </w:r>
    </w:p>
    <w:p>
      <w:pPr>
        <w:spacing w:after="0" w:line="150" w:lineRule="exact"/>
        <w:rPr>
          <w:sz w:val="20"/>
          <w:szCs w:val="20"/>
          <w:color w:val="auto"/>
        </w:rPr>
      </w:pPr>
    </w:p>
    <w:p>
      <w:pPr>
        <w:ind w:right="160"/>
        <w:spacing w:after="0" w:line="297" w:lineRule="auto"/>
        <w:rPr>
          <w:sz w:val="20"/>
          <w:szCs w:val="20"/>
          <w:color w:val="auto"/>
        </w:rPr>
      </w:pPr>
      <w:r>
        <w:rPr>
          <w:rFonts w:ascii="Arial" w:cs="Arial" w:eastAsia="Arial" w:hAnsi="Arial"/>
          <w:sz w:val="8"/>
          <w:szCs w:val="8"/>
          <w:color w:val="auto"/>
        </w:rPr>
        <w:t>The oil and gas industry has used hydraulic fracturing to unlock tight/shale oil and gas resources in vertical wells for decades. In the past 20 years, hydraulic fracturing has also been used in horizontal wells to recover natural gas and oil. The technology has opened up vast resources that were previously thought to be unrecoverable. Hydraulic fracturing has been used by the industry in more than 2.5 million oil and gas wells, many of them in the USA. Hydraulic fracturing involves pumping a fluid that is typically 99.9% water and sand and around 0.1% chemical additives into tight sand or shale rock at high pressure. This creates threadlike fissures - typically the diameter of a human hair - in the rock, making space through which the hydrocarbons can flow more easily.</w:t>
      </w:r>
    </w:p>
    <w:p>
      <w:pPr>
        <w:spacing w:after="0" w:line="127" w:lineRule="exact"/>
        <w:rPr>
          <w:sz w:val="20"/>
          <w:szCs w:val="20"/>
          <w:color w:val="auto"/>
        </w:rPr>
      </w:pPr>
    </w:p>
    <w:p>
      <w:pPr>
        <w:ind w:right="120"/>
        <w:spacing w:after="0" w:line="300" w:lineRule="auto"/>
        <w:rPr>
          <w:sz w:val="20"/>
          <w:szCs w:val="20"/>
          <w:color w:val="auto"/>
        </w:rPr>
      </w:pPr>
      <w:r>
        <w:rPr>
          <w:rFonts w:ascii="Arial" w:cs="Arial" w:eastAsia="Arial" w:hAnsi="Arial"/>
          <w:sz w:val="8"/>
          <w:szCs w:val="8"/>
          <w:color w:val="auto"/>
        </w:rPr>
        <w:t>At Shell, we believe we can explore, develop and produce tight/shale oil and gas resources safely and responsibly. Our operations are underpinned by our Principles for Producing Tight/Shale Oil and Gas (known as Onshore Operating Principles). These provide a framework for protecting the environment and the communities in which we operate. These operating principles cover safety, air quality, water protection and usage, land use and engagement with local communities. We review the Onshore Operating Principles annually and update them as new technologies, challenges and regulatory requirements emerge. We also support appropriate and fit-for-purpose regulations.</w:t>
      </w:r>
    </w:p>
    <w:p>
      <w:pPr>
        <w:spacing w:after="0" w:line="127" w:lineRule="exact"/>
        <w:rPr>
          <w:sz w:val="20"/>
          <w:szCs w:val="20"/>
          <w:color w:val="auto"/>
        </w:rPr>
      </w:pPr>
    </w:p>
    <w:p>
      <w:pPr>
        <w:ind w:right="160"/>
        <w:spacing w:after="0" w:line="307" w:lineRule="auto"/>
        <w:rPr>
          <w:sz w:val="20"/>
          <w:szCs w:val="20"/>
          <w:color w:val="auto"/>
        </w:rPr>
      </w:pPr>
      <w:r>
        <w:rPr>
          <w:rFonts w:ascii="Arial" w:cs="Arial" w:eastAsia="Arial" w:hAnsi="Arial"/>
          <w:sz w:val="8"/>
          <w:szCs w:val="8"/>
          <w:color w:val="auto"/>
        </w:rPr>
        <w:t>We work to reduce greenhouse gas (GHG) emissions associated with our oil and gas development and production. Shell´s shale assets implement GHG management plans and have a robust Leak Detection and Repair (LDAR) programme. We are working on multiple fronts to develop cutting-edge technologies that enhance our LDAR programme and enable earlier detection and repair of leaks. As per the Onshore Operating Principles, we seek to minimise routine gas flaring at shale assets. See our website</w:t>
      </w:r>
    </w:p>
    <w:p>
      <w:pPr>
        <w:spacing w:after="0" w:line="1140" w:lineRule="exact"/>
        <w:rPr>
          <w:sz w:val="20"/>
          <w:szCs w:val="20"/>
          <w:color w:val="auto"/>
        </w:rPr>
      </w:pPr>
    </w:p>
    <w:p>
      <w:pPr>
        <w:sectPr>
          <w:pgSz w:w="11900" w:h="16838" w:orient="portrait"/>
          <w:cols w:equalWidth="0" w:num="2">
            <w:col w:w="5448" w:space="280"/>
            <w:col w:w="5580"/>
          </w:cols>
          <w:pgMar w:left="292" w:top="640" w:right="299" w:bottom="1440" w:gutter="0" w:footer="0" w:header="0"/>
        </w:sectPr>
      </w:pPr>
    </w:p>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70</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73" w:name="page74"/>
    <w:bookmarkEnd w:id="73"/>
    <w:p>
      <w:pPr>
        <w:ind w:right="120"/>
        <w:spacing w:after="0" w:line="239" w:lineRule="auto"/>
        <w:rPr>
          <w:sz w:val="20"/>
          <w:szCs w:val="20"/>
          <w:color w:val="auto"/>
        </w:rPr>
      </w:pPr>
      <w:r>
        <w:rPr>
          <w:rFonts w:ascii="Arial" w:cs="Arial" w:eastAsia="Arial" w:hAnsi="Arial"/>
          <w:sz w:val="10"/>
          <w:szCs w:val="10"/>
          <w:color w:val="auto"/>
        </w:rPr>
        <w:t>shell.com for more information about the GHG management practices, such as the "Onshore Operating Principles in Action: Methane Fact Sheet".</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See also "Climate Change and energy transition" on page 73.</w:t>
      </w:r>
    </w:p>
    <w:p>
      <w:pPr>
        <w:spacing w:after="0" w:line="155" w:lineRule="exact"/>
        <w:rPr>
          <w:sz w:val="20"/>
          <w:szCs w:val="20"/>
          <w:color w:val="auto"/>
        </w:rPr>
      </w:pPr>
    </w:p>
    <w:p>
      <w:pPr>
        <w:spacing w:after="0" w:line="297" w:lineRule="auto"/>
        <w:rPr>
          <w:sz w:val="20"/>
          <w:szCs w:val="20"/>
          <w:color w:val="auto"/>
        </w:rPr>
      </w:pPr>
      <w:r>
        <w:rPr>
          <w:rFonts w:ascii="Arial" w:cs="Arial" w:eastAsia="Arial" w:hAnsi="Arial"/>
          <w:sz w:val="8"/>
          <w:szCs w:val="8"/>
          <w:color w:val="auto"/>
        </w:rPr>
        <w:t>The availability and quality of water, local environmental conditions and regulatory requirements vary from basin to basin. Therefore, each shale asset develops a tailor-made water management strategy, identifying short- and long-term water needs, options for water sourcing, recycling and sharing, options for treatment and disposal, and options for transportation and storage. The people operating our shale assets aim to minimise the use of water. Depending on local hydro-geologic conditions, they typically use a combination of fresh water, brackish groundwater, produced water and waste water. They actively strive to reduce and ideally eliminate freshwater intake for drilling and hydraulic fracturing operations, by increasing recycling capacity and using municipal water.</w:t>
      </w:r>
    </w:p>
    <w:p>
      <w:pPr>
        <w:spacing w:after="0" w:line="127" w:lineRule="exact"/>
        <w:rPr>
          <w:sz w:val="20"/>
          <w:szCs w:val="20"/>
          <w:color w:val="auto"/>
        </w:rPr>
      </w:pPr>
    </w:p>
    <w:p>
      <w:pPr>
        <w:ind w:right="40"/>
        <w:spacing w:after="0" w:line="297" w:lineRule="auto"/>
        <w:rPr>
          <w:sz w:val="20"/>
          <w:szCs w:val="20"/>
          <w:color w:val="auto"/>
        </w:rPr>
      </w:pPr>
      <w:r>
        <w:rPr>
          <w:rFonts w:ascii="Arial" w:cs="Arial" w:eastAsia="Arial" w:hAnsi="Arial"/>
          <w:sz w:val="8"/>
          <w:szCs w:val="8"/>
          <w:color w:val="auto"/>
        </w:rPr>
        <w:t>Potable groundwater aquifers are isolated from the hydrocarbon-producing shale formations by hundreds of metres of impermeable rock. We often need to drill through potable groundwater aquifers to reach shale formations. We therefore design our drilling, hydraulic fracturing and production activities in ways that aim to maintain isolation from potable groundwater aquifers. Before drilling a well, we conduct a hazard assessment in which we analyse risks to groundwater aquifers and develop control measures to reduce those risks. When we drill, we have at least two physical barriers, consisting of steel casing and cement, between the wellbore and potable groundwater aquifers. We continuously monitor wellbore integrity before, during and after hydraulic fracturing and during production activities.</w:t>
      </w:r>
    </w:p>
    <w:p>
      <w:pPr>
        <w:spacing w:after="0" w:line="127" w:lineRule="exact"/>
        <w:rPr>
          <w:sz w:val="20"/>
          <w:szCs w:val="20"/>
          <w:color w:val="auto"/>
        </w:rPr>
      </w:pPr>
    </w:p>
    <w:p>
      <w:pPr>
        <w:jc w:val="both"/>
        <w:ind w:right="120"/>
        <w:spacing w:after="0" w:line="300" w:lineRule="auto"/>
        <w:rPr>
          <w:sz w:val="20"/>
          <w:szCs w:val="20"/>
          <w:color w:val="auto"/>
        </w:rPr>
      </w:pPr>
      <w:r>
        <w:rPr>
          <w:rFonts w:ascii="Arial" w:cs="Arial" w:eastAsia="Arial" w:hAnsi="Arial"/>
          <w:sz w:val="8"/>
          <w:szCs w:val="8"/>
          <w:color w:val="auto"/>
        </w:rPr>
        <w:t>Chemical additives are needed in hydraulic fracturing fluid to carry sand, reduce friction and prevent the growth of bacteria. We have been working to optimise the composition of our hydraulic fracturing fluids since 2015. As a result, we have reduced chemical additive volumes by around 50-60% compared with 2015. Currently, on a volume basis, around 0.1% of our hydraulic-fracturing fluid is chemical additives. We support disclosure of the chemical additives used in hydraulic-fracturing fluids for Shell-operated wells. See our website shell.com for more information about our water management practices, such as the "Onshore Operating Principles in Action: Water Fact Sheet".</w:t>
      </w: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color w:val="auto"/>
        </w:rPr>
        <w:t>SEISMICITY</w:t>
      </w:r>
    </w:p>
    <w:p>
      <w:pPr>
        <w:spacing w:after="0" w:line="291" w:lineRule="auto"/>
        <w:rPr>
          <w:sz w:val="20"/>
          <w:szCs w:val="20"/>
          <w:color w:val="auto"/>
        </w:rPr>
      </w:pPr>
      <w:r>
        <w:rPr>
          <w:rFonts w:ascii="Arial" w:cs="Arial" w:eastAsia="Arial" w:hAnsi="Arial"/>
          <w:sz w:val="8"/>
          <w:szCs w:val="8"/>
          <w:color w:val="auto"/>
        </w:rPr>
        <w:t>As oil and gas fields mature, seismic activity may occur, depending on the unique geology of individual fields. An example is the Groningen onshore gas field in the Netherlands, where induced earthquakes have occurred since the 1990s. Some of these earthquakes have damaged houses and other structures in the region, resulting in complaints, claims and lawsuits from local home-owners and residents. Actions have been taken to improve safety, liveability and economic prospects in the region. Nederlandse Aardolie Maatschappij B.V. (NAM, Shell interest 50%) operates the gas field. The Dutch government has taken over policy setting and execution of these mitigating actions and the "duty of care" from NAM. NAM continues to carry the costs. The government is also currently instructing NAM on production levels. Production from the onshore Groningen gas field in the Netherlands is expected to stop by 2022 or shortly thereafter.</w:t>
      </w:r>
    </w:p>
    <w:p>
      <w:pPr>
        <w:spacing w:after="0" w:line="129" w:lineRule="exact"/>
        <w:rPr>
          <w:sz w:val="20"/>
          <w:szCs w:val="20"/>
          <w:color w:val="auto"/>
        </w:rPr>
      </w:pPr>
    </w:p>
    <w:p>
      <w:pPr>
        <w:spacing w:after="0"/>
        <w:rPr>
          <w:sz w:val="20"/>
          <w:szCs w:val="20"/>
          <w:color w:val="auto"/>
        </w:rPr>
      </w:pPr>
      <w:r>
        <w:rPr>
          <w:rFonts w:ascii="Arial" w:cs="Arial" w:eastAsia="Arial" w:hAnsi="Arial"/>
          <w:sz w:val="10"/>
          <w:szCs w:val="10"/>
          <w:color w:val="auto"/>
        </w:rPr>
        <w:t>See "Upstream" on page 36.</w:t>
      </w:r>
    </w:p>
    <w:p>
      <w:pPr>
        <w:spacing w:after="0" w:line="155" w:lineRule="exact"/>
        <w:rPr>
          <w:sz w:val="20"/>
          <w:szCs w:val="20"/>
          <w:color w:val="auto"/>
        </w:rPr>
      </w:pPr>
    </w:p>
    <w:p>
      <w:pPr>
        <w:spacing w:after="0" w:line="292" w:lineRule="auto"/>
        <w:rPr>
          <w:sz w:val="20"/>
          <w:szCs w:val="20"/>
          <w:color w:val="auto"/>
        </w:rPr>
      </w:pPr>
      <w:r>
        <w:rPr>
          <w:rFonts w:ascii="Arial" w:cs="Arial" w:eastAsia="Arial" w:hAnsi="Arial"/>
          <w:sz w:val="8"/>
          <w:szCs w:val="8"/>
          <w:color w:val="auto"/>
        </w:rPr>
        <w:t>Overall, we believe it is relatively unlikely that hydraulic fracturing or well operations for disposing of produced water will induce seismicity that is felt on the surface. Despite this, Shell still takes precautionary measures around induced seismicity, and proactively manages the risk in accordance with, and sometimes beyond, regulatory requirements. We have added precautionary measures around induced seismicity to our Onshore Operating Principles and developed internal guidelines that we apply to our shale assets. They outline a risk assessment process and provide a framework for risk management. Subsurface and surface conditions vary from basin to basin, which means that management practices need to reflect the risk profile of each basin and provide customised responses to the risks. We support fit-for-purpose, science-based state and provincial regulations. See our website shell.com for more information about our induced seismicity management practices, such as the "Onshore Operating Principles in Action: Induced Seismicity Fact Sheet".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ENVIRONMENTAL COSTS</w:t>
      </w:r>
    </w:p>
    <w:p>
      <w:pPr>
        <w:ind w:right="220"/>
        <w:spacing w:after="0" w:line="229" w:lineRule="auto"/>
        <w:rPr>
          <w:sz w:val="20"/>
          <w:szCs w:val="20"/>
          <w:color w:val="auto"/>
        </w:rPr>
      </w:pPr>
      <w:r>
        <w:rPr>
          <w:rFonts w:ascii="Arial" w:cs="Arial" w:eastAsia="Arial" w:hAnsi="Arial"/>
          <w:sz w:val="10"/>
          <w:szCs w:val="10"/>
          <w:color w:val="auto"/>
        </w:rPr>
        <w:t>We are subject to a variety of environmental laws, regulations and reporting requirements in the countries where we operate. Infringing any of these laws, regulations and requirements could harm our reputation and ability to do business, and result in significant costs, including clean-up costs, fines, sanctions and third-party claims.</w:t>
      </w:r>
    </w:p>
    <w:p>
      <w:pPr>
        <w:spacing w:after="0" w:line="149" w:lineRule="exact"/>
        <w:rPr>
          <w:sz w:val="20"/>
          <w:szCs w:val="20"/>
          <w:color w:val="auto"/>
        </w:rPr>
      </w:pPr>
    </w:p>
    <w:p>
      <w:pPr>
        <w:ind w:right="120"/>
        <w:spacing w:after="0" w:line="239" w:lineRule="auto"/>
        <w:rPr>
          <w:sz w:val="20"/>
          <w:szCs w:val="20"/>
          <w:color w:val="auto"/>
        </w:rPr>
      </w:pPr>
      <w:r>
        <w:rPr>
          <w:rFonts w:ascii="Arial" w:cs="Arial" w:eastAsia="Arial" w:hAnsi="Arial"/>
          <w:sz w:val="10"/>
          <w:szCs w:val="10"/>
          <w:color w:val="auto"/>
        </w:rPr>
        <w:t>Ongoing operating expenses include the costs of preventing unauthorised discharges into the air and water, and the safe disposal and handling of waste.</w:t>
      </w:r>
    </w:p>
    <w:p>
      <w:pPr>
        <w:spacing w:after="0" w:line="149" w:lineRule="exact"/>
        <w:rPr>
          <w:sz w:val="20"/>
          <w:szCs w:val="20"/>
          <w:color w:val="auto"/>
        </w:rPr>
      </w:pPr>
    </w:p>
    <w:p>
      <w:pPr>
        <w:ind w:right="140"/>
        <w:spacing w:after="0" w:line="300" w:lineRule="auto"/>
        <w:rPr>
          <w:sz w:val="20"/>
          <w:szCs w:val="20"/>
          <w:color w:val="auto"/>
        </w:rPr>
      </w:pPr>
      <w:r>
        <w:rPr>
          <w:rFonts w:ascii="Arial" w:cs="Arial" w:eastAsia="Arial" w:hAnsi="Arial"/>
          <w:sz w:val="8"/>
          <w:szCs w:val="8"/>
          <w:color w:val="auto"/>
        </w:rPr>
        <w:t>We place a premium on developing effective technologies that are also safe for the environment. But when operating at the forefront of technology, there is always the possibility that a new technology has environmental impacts that were not assessed, foreseen or determined to be harmful when originally implemented. While we believe we take reasonable precautions to limit these risks, we could be subject to additional remedial, environmental and litigation costs as a result of operations’ unknown and unforeseen impacts on the environment. Although these costs have so far not been material to us, no assurance can be given that this will always be the case.</w:t>
      </w: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color w:val="auto"/>
        </w:rPr>
        <w:t>SECURITY</w:t>
      </w:r>
    </w:p>
    <w:p>
      <w:pPr>
        <w:ind w:right="180"/>
        <w:spacing w:after="0" w:line="291" w:lineRule="auto"/>
        <w:rPr>
          <w:sz w:val="20"/>
          <w:szCs w:val="20"/>
          <w:color w:val="auto"/>
        </w:rPr>
      </w:pPr>
      <w:r>
        <w:rPr>
          <w:rFonts w:ascii="Arial" w:cs="Arial" w:eastAsia="Arial" w:hAnsi="Arial"/>
          <w:sz w:val="8"/>
          <w:szCs w:val="8"/>
          <w:color w:val="auto"/>
        </w:rPr>
        <w:t>Our operations expose us to criminality, civil unrest, activism, terrorism, cyber-disruption and acts of war that could have a material adverse effect on our business (see “Risk factors” on pages 18-22). We seek to obtain the best possible information to enable us to assess threats and risks. This includes building strong and open relationships with government security agencies. Risk mitigation includes strengthening the security of sites, reducing our exposure as appropriate, journey management, information risk management, crisis management and business continuity measures. We conduct training and awareness campaigns for staff, and provide them with travel advice and access to 24/7 assistance while travelling. We consistently verify the identity of our employees and contract staff, and control their access to our sites and activities, both physical and logistical. We manage and exercise crisis response and management plans.</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CONTRIBUTION TO SOCIETY</w:t>
      </w:r>
    </w:p>
    <w:p>
      <w:pPr>
        <w:ind w:right="160"/>
        <w:spacing w:after="0" w:line="281" w:lineRule="auto"/>
        <w:rPr>
          <w:sz w:val="20"/>
          <w:szCs w:val="20"/>
          <w:color w:val="auto"/>
        </w:rPr>
      </w:pPr>
      <w:r>
        <w:rPr>
          <w:rFonts w:ascii="Arial" w:cs="Arial" w:eastAsia="Arial" w:hAnsi="Arial"/>
          <w:sz w:val="8"/>
          <w:szCs w:val="8"/>
          <w:color w:val="auto"/>
        </w:rPr>
        <w:t>Shell´s businesses are part of society and contribute to it by buying and selling goods and services across economies in various countries and jurisdictions. Our employees, suppliers and contractors are part of the local communities where Shell operates.</w:t>
      </w:r>
    </w:p>
    <w:p>
      <w:pPr>
        <w:spacing w:after="0" w:line="1" w:lineRule="exact"/>
        <w:rPr>
          <w:sz w:val="20"/>
          <w:szCs w:val="20"/>
          <w:color w:val="auto"/>
        </w:rPr>
      </w:pPr>
    </w:p>
    <w:p>
      <w:pPr>
        <w:ind w:right="240"/>
        <w:spacing w:after="0" w:line="300" w:lineRule="auto"/>
        <w:rPr>
          <w:sz w:val="20"/>
          <w:szCs w:val="20"/>
          <w:color w:val="auto"/>
        </w:rPr>
      </w:pPr>
      <w:r>
        <w:rPr>
          <w:rFonts w:ascii="Arial" w:cs="Arial" w:eastAsia="Arial" w:hAnsi="Arial"/>
          <w:sz w:val="8"/>
          <w:szCs w:val="8"/>
          <w:color w:val="auto"/>
        </w:rPr>
        <w:t>In 2020, Shell paid $47.3 billion to governments (2019: $61.3 billion). We paid $3.4 billion in corporate income taxes and $3.5 billion in government royalties, and collected $40.4 billion in excise duties, sales taxes and similar levies on our fuel and other products on behalf of governments. In 2020, Shell spent $39.3 billion (2019: $44.9 billion) on goods and services from more than 29,000 suppliers globally. For more information about our approach to tax and transparency, see Shell's Tax Contribution Report, available via our website shell.com.</w:t>
      </w:r>
    </w:p>
    <w:p>
      <w:pPr>
        <w:spacing w:after="0" w:line="126" w:lineRule="exact"/>
        <w:rPr>
          <w:sz w:val="20"/>
          <w:szCs w:val="20"/>
          <w:color w:val="auto"/>
        </w:rPr>
      </w:pPr>
    </w:p>
    <w:p>
      <w:pPr>
        <w:spacing w:after="0"/>
        <w:rPr>
          <w:sz w:val="20"/>
          <w:szCs w:val="20"/>
          <w:color w:val="auto"/>
        </w:rPr>
      </w:pPr>
      <w:r>
        <w:rPr>
          <w:rFonts w:ascii="Arial" w:cs="Arial" w:eastAsia="Arial" w:hAnsi="Arial"/>
          <w:sz w:val="10"/>
          <w:szCs w:val="10"/>
          <w:color w:val="auto"/>
        </w:rPr>
        <w:t>Supply chain engagement</w:t>
      </w:r>
    </w:p>
    <w:p>
      <w:pPr>
        <w:spacing w:after="0" w:line="1" w:lineRule="exact"/>
        <w:rPr>
          <w:sz w:val="20"/>
          <w:szCs w:val="20"/>
          <w:color w:val="auto"/>
        </w:rPr>
      </w:pPr>
    </w:p>
    <w:p>
      <w:pPr>
        <w:ind w:right="200"/>
        <w:spacing w:after="0" w:line="228" w:lineRule="auto"/>
        <w:rPr>
          <w:sz w:val="20"/>
          <w:szCs w:val="20"/>
          <w:color w:val="auto"/>
        </w:rPr>
      </w:pPr>
      <w:r>
        <w:rPr>
          <w:rFonts w:ascii="Arial" w:cs="Arial" w:eastAsia="Arial" w:hAnsi="Arial"/>
          <w:sz w:val="10"/>
          <w:szCs w:val="10"/>
          <w:color w:val="auto"/>
        </w:rPr>
        <w:t>Our suppliers are critical to our ability to run our businesses. They are involved in almost every step of our operations – and are often key to having a positive impact on local communities and achieving successful business outcomes. Shell aims to work with suppliers, including contractors, that behave in an economically, environmentally and socially responsible manner, as set out in our Shell General Business Principles and Shell Supplier Principles.</w:t>
      </w:r>
    </w:p>
    <w:p>
      <w:pPr>
        <w:spacing w:after="0" w:line="149" w:lineRule="exact"/>
        <w:rPr>
          <w:sz w:val="20"/>
          <w:szCs w:val="20"/>
          <w:color w:val="auto"/>
        </w:rPr>
      </w:pPr>
    </w:p>
    <w:p>
      <w:pPr>
        <w:ind w:right="360"/>
        <w:spacing w:after="0" w:line="233" w:lineRule="auto"/>
        <w:rPr>
          <w:sz w:val="20"/>
          <w:szCs w:val="20"/>
          <w:color w:val="auto"/>
        </w:rPr>
      </w:pPr>
      <w:r>
        <w:rPr>
          <w:rFonts w:ascii="Arial" w:cs="Arial" w:eastAsia="Arial" w:hAnsi="Arial"/>
          <w:sz w:val="10"/>
          <w:szCs w:val="10"/>
          <w:color w:val="auto"/>
        </w:rPr>
        <w:t>The way we engage with our contractors and suppliers is based on our Shell Supplier Principles which are embedded in contracts. They require contractors and suppliers:</w:t>
      </w:r>
    </w:p>
    <w:p>
      <w:pPr>
        <w:ind w:left="440" w:hanging="215"/>
        <w:spacing w:after="0" w:line="226" w:lineRule="auto"/>
        <w:tabs>
          <w:tab w:leader="none" w:pos="440" w:val="left"/>
        </w:tabs>
        <w:numPr>
          <w:ilvl w:val="0"/>
          <w:numId w:val="65"/>
        </w:numPr>
        <w:rPr>
          <w:rFonts w:ascii="Arial" w:cs="Arial" w:eastAsia="Arial" w:hAnsi="Arial"/>
          <w:sz w:val="10"/>
          <w:szCs w:val="10"/>
          <w:color w:val="auto"/>
        </w:rPr>
      </w:pPr>
      <w:r>
        <w:rPr>
          <w:rFonts w:ascii="Arial" w:cs="Arial" w:eastAsia="Arial" w:hAnsi="Arial"/>
          <w:sz w:val="10"/>
          <w:szCs w:val="10"/>
          <w:color w:val="auto"/>
        </w:rPr>
        <w:t>to commit to protect the environment in compliance with all applicable environmental laws and regulations;</w:t>
      </w:r>
    </w:p>
    <w:p>
      <w:pPr>
        <w:ind w:left="440" w:hanging="215"/>
        <w:spacing w:after="0" w:line="225" w:lineRule="auto"/>
        <w:tabs>
          <w:tab w:leader="none" w:pos="440" w:val="left"/>
        </w:tabs>
        <w:numPr>
          <w:ilvl w:val="0"/>
          <w:numId w:val="65"/>
        </w:numPr>
        <w:rPr>
          <w:rFonts w:ascii="Arial" w:cs="Arial" w:eastAsia="Arial" w:hAnsi="Arial"/>
          <w:sz w:val="10"/>
          <w:szCs w:val="10"/>
          <w:color w:val="auto"/>
        </w:rPr>
      </w:pPr>
      <w:r>
        <w:rPr>
          <w:rFonts w:ascii="Arial" w:cs="Arial" w:eastAsia="Arial" w:hAnsi="Arial"/>
          <w:sz w:val="10"/>
          <w:szCs w:val="10"/>
          <w:color w:val="auto"/>
        </w:rPr>
        <w:t>to use energy and natural resources efficiently; and</w:t>
      </w:r>
    </w:p>
    <w:p>
      <w:pPr>
        <w:ind w:left="440" w:hanging="215"/>
        <w:spacing w:after="0"/>
        <w:tabs>
          <w:tab w:leader="none" w:pos="440" w:val="left"/>
        </w:tabs>
        <w:numPr>
          <w:ilvl w:val="0"/>
          <w:numId w:val="65"/>
        </w:numPr>
        <w:rPr>
          <w:rFonts w:ascii="Arial" w:cs="Arial" w:eastAsia="Arial" w:hAnsi="Arial"/>
          <w:sz w:val="8"/>
          <w:szCs w:val="8"/>
          <w:color w:val="auto"/>
        </w:rPr>
      </w:pPr>
      <w:r>
        <w:rPr>
          <w:rFonts w:ascii="Arial" w:cs="Arial" w:eastAsia="Arial" w:hAnsi="Arial"/>
          <w:sz w:val="8"/>
          <w:szCs w:val="8"/>
          <w:color w:val="auto"/>
        </w:rPr>
        <w:t>to continually look for ways to minimise waste, emissions and discharge of their operations, products and services.</w:t>
      </w:r>
    </w:p>
    <w:p>
      <w:pPr>
        <w:spacing w:after="0" w:line="16" w:lineRule="exact"/>
        <w:rPr>
          <w:sz w:val="20"/>
          <w:szCs w:val="20"/>
          <w:color w:val="auto"/>
        </w:rPr>
      </w:pPr>
    </w:p>
    <w:p>
      <w:pPr>
        <w:ind w:right="160"/>
        <w:spacing w:after="0" w:line="231" w:lineRule="auto"/>
        <w:rPr>
          <w:sz w:val="20"/>
          <w:szCs w:val="20"/>
          <w:color w:val="auto"/>
        </w:rPr>
      </w:pPr>
      <w:r>
        <w:rPr>
          <w:rFonts w:ascii="Arial" w:cs="Arial" w:eastAsia="Arial" w:hAnsi="Arial"/>
          <w:sz w:val="10"/>
          <w:szCs w:val="10"/>
          <w:color w:val="auto"/>
        </w:rPr>
        <w:t>More information about how we engage with contractors and suppliers is expected to be published in the Shell Sustainability Report in April 2021.</w:t>
      </w:r>
    </w:p>
    <w:p>
      <w:pPr>
        <w:spacing w:after="0" w:line="156"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ind w:left="5720"/>
        <w:spacing w:after="0"/>
        <w:rPr>
          <w:sz w:val="20"/>
          <w:szCs w:val="20"/>
          <w:color w:val="auto"/>
        </w:rPr>
      </w:pPr>
      <w:r>
        <w:rPr>
          <w:rFonts w:ascii="Arial" w:cs="Arial" w:eastAsia="Arial" w:hAnsi="Arial"/>
          <w:sz w:val="11"/>
          <w:szCs w:val="11"/>
          <w:color w:val="auto"/>
        </w:rPr>
        <w:t>NEIGHBOURING COMMUNITIES</w:t>
      </w:r>
    </w:p>
    <w:p>
      <w:pPr>
        <w:ind w:left="5720"/>
        <w:spacing w:after="0"/>
        <w:rPr>
          <w:sz w:val="20"/>
          <w:szCs w:val="20"/>
          <w:color w:val="auto"/>
        </w:rPr>
      </w:pPr>
      <w:r>
        <w:rPr>
          <w:rFonts w:ascii="Arial" w:cs="Arial" w:eastAsia="Arial" w:hAnsi="Arial"/>
          <w:sz w:val="8"/>
          <w:szCs w:val="8"/>
          <w:color w:val="auto"/>
        </w:rPr>
        <w:t>Engaging with communities is part of our approach to managing human rights and providing access to remedy. Our global requirements for</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0"/>
          <w:szCs w:val="10"/>
          <w:color w:val="auto"/>
        </w:rPr>
        <w:t>social</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71</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74" w:name="page75"/>
    <w:bookmarkEnd w:id="74"/>
    <w:p>
      <w:pPr>
        <w:ind w:right="60"/>
        <w:spacing w:after="0" w:line="234" w:lineRule="auto"/>
        <w:rPr>
          <w:sz w:val="20"/>
          <w:szCs w:val="20"/>
          <w:color w:val="auto"/>
        </w:rPr>
      </w:pPr>
      <w:r>
        <w:rPr>
          <w:rFonts w:ascii="Arial" w:cs="Arial" w:eastAsia="Arial" w:hAnsi="Arial"/>
          <w:sz w:val="10"/>
          <w:szCs w:val="10"/>
          <w:color w:val="auto"/>
        </w:rPr>
        <w:t>performance aim to ensure that we operate responsibly by avoiding or minimising the negative social effects of our operations. The requirements also help us to maximise the benefits of our activities, such as employment and contractual opportunities that can support local economies.</w:t>
      </w:r>
    </w:p>
    <w:p>
      <w:pPr>
        <w:spacing w:after="0" w:line="150" w:lineRule="exact"/>
        <w:rPr>
          <w:sz w:val="20"/>
          <w:szCs w:val="20"/>
          <w:color w:val="auto"/>
        </w:rPr>
      </w:pPr>
    </w:p>
    <w:p>
      <w:pPr>
        <w:ind w:right="100"/>
        <w:spacing w:after="0" w:line="293" w:lineRule="auto"/>
        <w:rPr>
          <w:sz w:val="20"/>
          <w:szCs w:val="20"/>
          <w:color w:val="auto"/>
        </w:rPr>
      </w:pPr>
      <w:r>
        <w:rPr>
          <w:rFonts w:ascii="Arial" w:cs="Arial" w:eastAsia="Arial" w:hAnsi="Arial"/>
          <w:sz w:val="8"/>
          <w:szCs w:val="8"/>
          <w:color w:val="auto"/>
        </w:rPr>
        <w:t>The requirements set clear rules and expectations for how we engage with and respect communities that may be affected by our operations. We require major projects and facilities operated by Shell to have a social performance plan that defines actions for managing potential negative and positive effects on communities. A key part of these plans is identifying the social environment and stakeholders who may be vulnerable to our operations. Another key component is an appropriate community feedback mechanism for listening to queries and responding to them, or resolving complaints in a timely manner. We have specific requirements to avoid, minimise or mitigate potential impacts on the traditional lifestyles and cultural heritage of indigenous people. or We also have specific requirements to avoid, minimise or mitigate their involuntary resettlement.</w:t>
      </w:r>
    </w:p>
    <w:p>
      <w:pPr>
        <w:spacing w:after="0" w:line="90" w:lineRule="exact"/>
        <w:rPr>
          <w:sz w:val="20"/>
          <w:szCs w:val="20"/>
          <w:color w:val="auto"/>
        </w:rPr>
      </w:pPr>
    </w:p>
    <w:p>
      <w:pPr>
        <w:ind w:right="80"/>
        <w:spacing w:after="0" w:line="300" w:lineRule="auto"/>
        <w:rPr>
          <w:sz w:val="20"/>
          <w:szCs w:val="20"/>
          <w:color w:val="auto"/>
        </w:rPr>
      </w:pPr>
      <w:r>
        <w:rPr>
          <w:rFonts w:ascii="Arial" w:cs="Arial" w:eastAsia="Arial" w:hAnsi="Arial"/>
          <w:sz w:val="8"/>
          <w:szCs w:val="8"/>
          <w:color w:val="auto"/>
        </w:rPr>
        <w:t>Early in 2020, we launched a new global community feedback tool (CFT). This enables us to globally track and respond to all queries, complaints and positive and negative feedback that we receive. It allows our network of about 100 community liaison officers (CLO) to document all types of feedback. It is accessible via a mobile app and can be used to send feedback received in the field to those who can act to resolve issues. Asset managers can generate reports to help them analyse trends, detect underlying causes, and decide appropriate action.</w:t>
      </w:r>
    </w:p>
    <w:p>
      <w:pPr>
        <w:spacing w:after="0" w:line="126" w:lineRule="exact"/>
        <w:rPr>
          <w:sz w:val="20"/>
          <w:szCs w:val="20"/>
          <w:color w:val="auto"/>
        </w:rPr>
      </w:pPr>
    </w:p>
    <w:p>
      <w:pPr>
        <w:jc w:val="both"/>
        <w:ind w:right="60"/>
        <w:spacing w:after="0" w:line="288" w:lineRule="auto"/>
        <w:rPr>
          <w:sz w:val="20"/>
          <w:szCs w:val="20"/>
          <w:color w:val="auto"/>
        </w:rPr>
      </w:pPr>
      <w:r>
        <w:rPr>
          <w:rFonts w:ascii="Arial" w:cs="Arial" w:eastAsia="Arial" w:hAnsi="Arial"/>
          <w:sz w:val="8"/>
          <w:szCs w:val="8"/>
          <w:color w:val="auto"/>
        </w:rPr>
        <w:t>The CLOs continue to act as a bridge between local communities and our businesses. The CLOs are in our community centres on workdays, receiving visitors and listening to questions or complaints. Members of the community can also contact CLOs via dedicated telephone lines. It is the job of CLOs to take any concerns back to the Shell facility and involve people who are best placed to take action.</w:t>
      </w:r>
    </w:p>
    <w:p>
      <w:pPr>
        <w:spacing w:after="0" w:line="1" w:lineRule="exact"/>
        <w:rPr>
          <w:sz w:val="20"/>
          <w:szCs w:val="20"/>
          <w:color w:val="auto"/>
        </w:rPr>
      </w:pPr>
    </w:p>
    <w:p>
      <w:pPr>
        <w:ind w:right="140"/>
        <w:spacing w:after="0" w:line="225" w:lineRule="auto"/>
        <w:rPr>
          <w:sz w:val="20"/>
          <w:szCs w:val="20"/>
          <w:color w:val="auto"/>
        </w:rPr>
      </w:pPr>
      <w:r>
        <w:rPr>
          <w:rFonts w:ascii="Arial" w:cs="Arial" w:eastAsia="Arial" w:hAnsi="Arial"/>
          <w:sz w:val="10"/>
          <w:szCs w:val="10"/>
          <w:color w:val="auto"/>
        </w:rPr>
        <w:t>We are using a tool based on the United Nations Guiding Principles' criteria to measure the effectiveness of our mechanisms for managing community feedback on our operations.</w:t>
      </w:r>
    </w:p>
    <w:p>
      <w:pPr>
        <w:spacing w:after="0"/>
        <w:rPr>
          <w:sz w:val="20"/>
          <w:szCs w:val="20"/>
          <w:color w:val="auto"/>
        </w:rPr>
      </w:pPr>
      <w:r>
        <w:rPr>
          <w:rFonts w:ascii="Arial" w:cs="Arial" w:eastAsia="Arial" w:hAnsi="Arial"/>
          <w:sz w:val="8"/>
          <w:szCs w:val="8"/>
          <w:color w:val="auto"/>
        </w:rPr>
        <w:t>In 2019, we had assessed the community feedback mechanisms (CFMs) of 32 sites, and in 2020, we helped 14 of these sites to improve their</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CFMs. The improvement measures involved included:</w:t>
      </w:r>
    </w:p>
    <w:p>
      <w:pPr>
        <w:ind w:left="420" w:hanging="212"/>
        <w:spacing w:after="0" w:line="225" w:lineRule="auto"/>
        <w:tabs>
          <w:tab w:leader="none" w:pos="420" w:val="left"/>
        </w:tabs>
        <w:numPr>
          <w:ilvl w:val="0"/>
          <w:numId w:val="66"/>
        </w:numPr>
        <w:rPr>
          <w:rFonts w:ascii="Arial" w:cs="Arial" w:eastAsia="Arial" w:hAnsi="Arial"/>
          <w:sz w:val="10"/>
          <w:szCs w:val="10"/>
          <w:color w:val="auto"/>
        </w:rPr>
      </w:pPr>
      <w:r>
        <w:rPr>
          <w:rFonts w:ascii="Arial" w:cs="Arial" w:eastAsia="Arial" w:hAnsi="Arial"/>
          <w:sz w:val="10"/>
          <w:szCs w:val="10"/>
          <w:color w:val="auto"/>
        </w:rPr>
        <w:t>promoting public access to and transparency of the sites´ CFMs;</w:t>
      </w:r>
    </w:p>
    <w:p>
      <w:pPr>
        <w:ind w:left="420" w:hanging="212"/>
        <w:spacing w:after="0"/>
        <w:tabs>
          <w:tab w:leader="none" w:pos="420" w:val="left"/>
        </w:tabs>
        <w:numPr>
          <w:ilvl w:val="0"/>
          <w:numId w:val="66"/>
        </w:numPr>
        <w:rPr>
          <w:rFonts w:ascii="Arial" w:cs="Arial" w:eastAsia="Arial" w:hAnsi="Arial"/>
          <w:sz w:val="8"/>
          <w:szCs w:val="8"/>
          <w:color w:val="auto"/>
        </w:rPr>
      </w:pPr>
      <w:r>
        <w:rPr>
          <w:rFonts w:ascii="Arial" w:cs="Arial" w:eastAsia="Arial" w:hAnsi="Arial"/>
          <w:sz w:val="8"/>
          <w:szCs w:val="8"/>
          <w:color w:val="auto"/>
        </w:rPr>
        <w:t>improving written procedures so they are better aligned with global good practice and more reflective of local circumstances;</w:t>
      </w:r>
    </w:p>
    <w:p>
      <w:pPr>
        <w:spacing w:after="0" w:line="16" w:lineRule="exact"/>
        <w:rPr>
          <w:rFonts w:ascii="Arial" w:cs="Arial" w:eastAsia="Arial" w:hAnsi="Arial"/>
          <w:sz w:val="8"/>
          <w:szCs w:val="8"/>
          <w:color w:val="auto"/>
        </w:rPr>
      </w:pPr>
    </w:p>
    <w:p>
      <w:pPr>
        <w:ind w:left="420" w:hanging="212"/>
        <w:spacing w:after="0" w:line="225" w:lineRule="auto"/>
        <w:tabs>
          <w:tab w:leader="none" w:pos="420" w:val="left"/>
        </w:tabs>
        <w:numPr>
          <w:ilvl w:val="0"/>
          <w:numId w:val="66"/>
        </w:numPr>
        <w:rPr>
          <w:rFonts w:ascii="Arial" w:cs="Arial" w:eastAsia="Arial" w:hAnsi="Arial"/>
          <w:sz w:val="10"/>
          <w:szCs w:val="10"/>
          <w:color w:val="auto"/>
        </w:rPr>
      </w:pPr>
      <w:r>
        <w:rPr>
          <w:rFonts w:ascii="Arial" w:cs="Arial" w:eastAsia="Arial" w:hAnsi="Arial"/>
          <w:sz w:val="10"/>
          <w:szCs w:val="10"/>
          <w:color w:val="auto"/>
        </w:rPr>
        <w:t>providing clear steps for recognising alternative options for communities to seek remedy; and</w:t>
      </w:r>
    </w:p>
    <w:p>
      <w:pPr>
        <w:ind w:left="420" w:hanging="212"/>
        <w:spacing w:after="0" w:line="225" w:lineRule="auto"/>
        <w:tabs>
          <w:tab w:leader="none" w:pos="420" w:val="left"/>
        </w:tabs>
        <w:numPr>
          <w:ilvl w:val="0"/>
          <w:numId w:val="66"/>
        </w:numPr>
        <w:rPr>
          <w:rFonts w:ascii="Arial" w:cs="Arial" w:eastAsia="Arial" w:hAnsi="Arial"/>
          <w:sz w:val="10"/>
          <w:szCs w:val="10"/>
          <w:color w:val="auto"/>
        </w:rPr>
      </w:pPr>
      <w:r>
        <w:rPr>
          <w:rFonts w:ascii="Arial" w:cs="Arial" w:eastAsia="Arial" w:hAnsi="Arial"/>
          <w:sz w:val="10"/>
          <w:szCs w:val="10"/>
          <w:color w:val="auto"/>
        </w:rPr>
        <w:t>respecting people's anonymity and data privacy.</w:t>
      </w:r>
    </w:p>
    <w:p>
      <w:pPr>
        <w:ind w:right="60"/>
        <w:spacing w:after="0" w:line="231" w:lineRule="auto"/>
        <w:rPr>
          <w:sz w:val="20"/>
          <w:szCs w:val="20"/>
          <w:color w:val="auto"/>
        </w:rPr>
      </w:pPr>
      <w:r>
        <w:rPr>
          <w:rFonts w:ascii="Arial" w:cs="Arial" w:eastAsia="Arial" w:hAnsi="Arial"/>
          <w:sz w:val="10"/>
          <w:szCs w:val="10"/>
          <w:color w:val="auto"/>
        </w:rPr>
        <w:t>In 2020, we also developed a guide to help sites make their CFMs effective and address local needs. In 2021, we plan to further improve the quality of sites’ CFMs.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See our website shell.com for more information about our work with communities.</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HUMAN RIGHTS</w:t>
      </w:r>
    </w:p>
    <w:p>
      <w:pPr>
        <w:spacing w:after="0" w:line="229" w:lineRule="auto"/>
        <w:rPr>
          <w:sz w:val="20"/>
          <w:szCs w:val="20"/>
          <w:color w:val="auto"/>
        </w:rPr>
      </w:pPr>
      <w:r>
        <w:rPr>
          <w:rFonts w:ascii="Arial" w:cs="Arial" w:eastAsia="Arial" w:hAnsi="Arial"/>
          <w:sz w:val="10"/>
          <w:szCs w:val="10"/>
          <w:color w:val="auto"/>
        </w:rPr>
        <w:t>Human rights are fundamental to Shell´s core values of honesty, integrity and respect for people. Respect for human rights is embedded in our Shell General Business Principles and in our Code of Conduct. Our approach is informed by the United Nations Guiding Principles on Business and Human Rights.</w:t>
      </w:r>
    </w:p>
    <w:p>
      <w:pPr>
        <w:spacing w:after="0" w:line="149" w:lineRule="exact"/>
        <w:rPr>
          <w:sz w:val="20"/>
          <w:szCs w:val="20"/>
          <w:color w:val="auto"/>
        </w:rPr>
      </w:pPr>
    </w:p>
    <w:p>
      <w:pPr>
        <w:spacing w:after="0" w:line="297" w:lineRule="auto"/>
        <w:rPr>
          <w:sz w:val="20"/>
          <w:szCs w:val="20"/>
          <w:color w:val="auto"/>
        </w:rPr>
      </w:pPr>
      <w:r>
        <w:rPr>
          <w:rFonts w:ascii="Arial" w:cs="Arial" w:eastAsia="Arial" w:hAnsi="Arial"/>
          <w:sz w:val="8"/>
          <w:szCs w:val="8"/>
          <w:color w:val="auto"/>
        </w:rPr>
        <w:t>We work closely with other companies and non-governmental organisations to improve how we apply these principles. We focus on four priority areas where respect for human rights is critical to how we operate: communities, security, labour rights, and supply chain. For each of these areas, we have systems to identify potential impacts and to avoid and mitigate them. For example, our HSSE &amp; SP Control Framework (CF) contains our mandatory standards and manuals that set out how we identify, assess, and manage our impacts on communities where we operate, including any impact on human rights. We require all our companies and contractors to respect the human rights of our workforce and neighbouring communities. Our joint-venture partners are expected to implement our CF or an equivalent.</w:t>
      </w:r>
    </w:p>
    <w:p>
      <w:pPr>
        <w:spacing w:after="0" w:line="20" w:lineRule="exact"/>
        <w:rPr>
          <w:sz w:val="20"/>
          <w:szCs w:val="20"/>
          <w:color w:val="auto"/>
        </w:rPr>
      </w:pPr>
      <w:r>
        <w:rPr>
          <w:sz w:val="20"/>
          <w:szCs w:val="20"/>
          <w:color w:val="auto"/>
        </w:rPr>
        <w:br w:type="column"/>
      </w:r>
    </w:p>
    <w:p>
      <w:pPr>
        <w:jc w:val="both"/>
        <w:ind w:right="320"/>
        <w:spacing w:after="0" w:line="320" w:lineRule="auto"/>
        <w:rPr>
          <w:sz w:val="20"/>
          <w:szCs w:val="20"/>
          <w:color w:val="auto"/>
        </w:rPr>
      </w:pPr>
      <w:r>
        <w:rPr>
          <w:rFonts w:ascii="Arial" w:cs="Arial" w:eastAsia="Arial" w:hAnsi="Arial"/>
          <w:sz w:val="8"/>
          <w:szCs w:val="8"/>
          <w:color w:val="auto"/>
        </w:rPr>
        <w:t>An internal Human Rights Working Group consisting of experts from different functions advises on and supports the businesses with the implementation and review of our approach to human rights. The group includes an external adviser. A steering committee composed of senior executives provides steer and support to the work of the Human Rights Working Group.</w:t>
      </w:r>
    </w:p>
    <w:p>
      <w:pPr>
        <w:spacing w:after="0" w:line="118" w:lineRule="exact"/>
        <w:rPr>
          <w:sz w:val="20"/>
          <w:szCs w:val="20"/>
          <w:color w:val="auto"/>
        </w:rPr>
      </w:pPr>
    </w:p>
    <w:p>
      <w:pPr>
        <w:ind w:right="160"/>
        <w:spacing w:after="0" w:line="284" w:lineRule="auto"/>
        <w:rPr>
          <w:sz w:val="20"/>
          <w:szCs w:val="20"/>
          <w:color w:val="auto"/>
        </w:rPr>
      </w:pPr>
      <w:r>
        <w:rPr>
          <w:rFonts w:ascii="Arial" w:cs="Arial" w:eastAsia="Arial" w:hAnsi="Arial"/>
          <w:sz w:val="8"/>
          <w:szCs w:val="8"/>
          <w:color w:val="auto"/>
        </w:rPr>
        <w:t>Our approach to due diligence is informed by the United Nations Guiding Principles on Business and Human Rights. Due diligence in each focus area, including human rights, is typically exercised in countries where there may be a risk of an impact on people's human rights. It is supported by experts working within the applicable functions in Shell. We recognise how due diligence helps us to act on our commitment to respect human rights. For example, in our supply chains, where contractors and suppliers are considered to be at risk of having issues with labour rights, we engage with them to assess their management systems, before deciding whether to award a contract. Results of these supplier assessments are evaluated, and where gaps are found, we may work with suppliers and contractors to help them implement corrective action. We may also conduct on-site audits or consider terminating contracts if serious or persistent shortcomings are found.</w:t>
      </w:r>
    </w:p>
    <w:p>
      <w:pPr>
        <w:spacing w:after="0" w:line="2" w:lineRule="exact"/>
        <w:rPr>
          <w:sz w:val="20"/>
          <w:szCs w:val="20"/>
          <w:color w:val="auto"/>
        </w:rPr>
      </w:pPr>
    </w:p>
    <w:p>
      <w:pPr>
        <w:ind w:right="480"/>
        <w:spacing w:after="0" w:line="225" w:lineRule="auto"/>
        <w:rPr>
          <w:sz w:val="20"/>
          <w:szCs w:val="20"/>
          <w:color w:val="auto"/>
        </w:rPr>
      </w:pPr>
      <w:r>
        <w:rPr>
          <w:rFonts w:ascii="Arial" w:cs="Arial" w:eastAsia="Arial" w:hAnsi="Arial"/>
          <w:sz w:val="10"/>
          <w:szCs w:val="10"/>
          <w:color w:val="auto"/>
        </w:rPr>
        <w:t>The most common shortcomings found during our supplier assessments typically relate to policy rather than performance gaps in the following areas:</w:t>
      </w:r>
    </w:p>
    <w:p>
      <w:pPr>
        <w:ind w:left="440" w:hanging="431"/>
        <w:spacing w:after="0" w:line="226" w:lineRule="auto"/>
        <w:tabs>
          <w:tab w:leader="none" w:pos="440" w:val="left"/>
        </w:tabs>
        <w:numPr>
          <w:ilvl w:val="0"/>
          <w:numId w:val="67"/>
        </w:numPr>
        <w:rPr>
          <w:rFonts w:ascii="Arial" w:cs="Arial" w:eastAsia="Arial" w:hAnsi="Arial"/>
          <w:sz w:val="10"/>
          <w:szCs w:val="10"/>
          <w:color w:val="auto"/>
        </w:rPr>
      </w:pPr>
      <w:r>
        <w:rPr>
          <w:rFonts w:ascii="Arial" w:cs="Arial" w:eastAsia="Arial" w:hAnsi="Arial"/>
          <w:sz w:val="10"/>
          <w:szCs w:val="10"/>
          <w:color w:val="auto"/>
        </w:rPr>
        <w:t>freely chosen employment;</w:t>
      </w:r>
    </w:p>
    <w:p>
      <w:pPr>
        <w:ind w:left="440" w:hanging="431"/>
        <w:spacing w:after="0" w:line="225" w:lineRule="auto"/>
        <w:tabs>
          <w:tab w:leader="none" w:pos="440" w:val="left"/>
        </w:tabs>
        <w:numPr>
          <w:ilvl w:val="0"/>
          <w:numId w:val="67"/>
        </w:numPr>
        <w:rPr>
          <w:rFonts w:ascii="Arial" w:cs="Arial" w:eastAsia="Arial" w:hAnsi="Arial"/>
          <w:sz w:val="10"/>
          <w:szCs w:val="10"/>
          <w:color w:val="auto"/>
        </w:rPr>
      </w:pPr>
      <w:r>
        <w:rPr>
          <w:rFonts w:ascii="Arial" w:cs="Arial" w:eastAsia="Arial" w:hAnsi="Arial"/>
          <w:sz w:val="10"/>
          <w:szCs w:val="10"/>
          <w:color w:val="auto"/>
        </w:rPr>
        <w:t>child labour avoidance;</w:t>
      </w:r>
    </w:p>
    <w:p>
      <w:pPr>
        <w:ind w:left="440" w:hanging="431"/>
        <w:spacing w:after="0" w:line="225" w:lineRule="auto"/>
        <w:tabs>
          <w:tab w:leader="none" w:pos="440" w:val="left"/>
        </w:tabs>
        <w:numPr>
          <w:ilvl w:val="0"/>
          <w:numId w:val="67"/>
        </w:numPr>
        <w:rPr>
          <w:rFonts w:ascii="Arial" w:cs="Arial" w:eastAsia="Arial" w:hAnsi="Arial"/>
          <w:sz w:val="10"/>
          <w:szCs w:val="10"/>
          <w:color w:val="auto"/>
        </w:rPr>
      </w:pPr>
      <w:r>
        <w:rPr>
          <w:rFonts w:ascii="Arial" w:cs="Arial" w:eastAsia="Arial" w:hAnsi="Arial"/>
          <w:sz w:val="10"/>
          <w:szCs w:val="10"/>
          <w:color w:val="auto"/>
        </w:rPr>
        <w:t>working hours, wages and benefits;</w:t>
      </w:r>
    </w:p>
    <w:p>
      <w:pPr>
        <w:ind w:left="440" w:hanging="431"/>
        <w:spacing w:after="0" w:line="225" w:lineRule="auto"/>
        <w:tabs>
          <w:tab w:leader="none" w:pos="440" w:val="left"/>
        </w:tabs>
        <w:numPr>
          <w:ilvl w:val="0"/>
          <w:numId w:val="67"/>
        </w:numPr>
        <w:rPr>
          <w:rFonts w:ascii="Arial" w:cs="Arial" w:eastAsia="Arial" w:hAnsi="Arial"/>
          <w:sz w:val="10"/>
          <w:szCs w:val="10"/>
          <w:color w:val="auto"/>
        </w:rPr>
      </w:pPr>
      <w:r>
        <w:rPr>
          <w:rFonts w:ascii="Arial" w:cs="Arial" w:eastAsia="Arial" w:hAnsi="Arial"/>
          <w:sz w:val="10"/>
          <w:szCs w:val="10"/>
          <w:color w:val="auto"/>
        </w:rPr>
        <w:t>dormitory, housing and working conditions;</w:t>
      </w:r>
    </w:p>
    <w:p>
      <w:pPr>
        <w:ind w:left="440" w:hanging="431"/>
        <w:spacing w:after="0" w:line="225" w:lineRule="auto"/>
        <w:tabs>
          <w:tab w:leader="none" w:pos="440" w:val="left"/>
        </w:tabs>
        <w:numPr>
          <w:ilvl w:val="0"/>
          <w:numId w:val="67"/>
        </w:numPr>
        <w:rPr>
          <w:rFonts w:ascii="Arial" w:cs="Arial" w:eastAsia="Arial" w:hAnsi="Arial"/>
          <w:sz w:val="10"/>
          <w:szCs w:val="10"/>
          <w:color w:val="auto"/>
        </w:rPr>
      </w:pPr>
      <w:r>
        <w:rPr>
          <w:rFonts w:ascii="Arial" w:cs="Arial" w:eastAsia="Arial" w:hAnsi="Arial"/>
          <w:sz w:val="10"/>
          <w:szCs w:val="10"/>
          <w:color w:val="auto"/>
        </w:rPr>
        <w:t>humane treatment, equal opportunities and freedom of association; and</w:t>
      </w:r>
    </w:p>
    <w:p>
      <w:pPr>
        <w:ind w:left="440" w:hanging="431"/>
        <w:spacing w:after="0" w:line="236" w:lineRule="auto"/>
        <w:tabs>
          <w:tab w:leader="none" w:pos="440" w:val="left"/>
        </w:tabs>
        <w:numPr>
          <w:ilvl w:val="0"/>
          <w:numId w:val="67"/>
        </w:numPr>
        <w:rPr>
          <w:rFonts w:ascii="Arial" w:cs="Arial" w:eastAsia="Arial" w:hAnsi="Arial"/>
          <w:sz w:val="10"/>
          <w:szCs w:val="10"/>
          <w:color w:val="auto"/>
        </w:rPr>
      </w:pPr>
      <w:r>
        <w:rPr>
          <w:rFonts w:ascii="Arial" w:cs="Arial" w:eastAsia="Arial" w:hAnsi="Arial"/>
          <w:sz w:val="10"/>
          <w:szCs w:val="10"/>
          <w:color w:val="auto"/>
        </w:rPr>
        <w:t>supply chain and performance management.</w:t>
      </w:r>
    </w:p>
    <w:p>
      <w:pPr>
        <w:spacing w:after="0" w:line="149" w:lineRule="exact"/>
        <w:rPr>
          <w:sz w:val="20"/>
          <w:szCs w:val="20"/>
          <w:color w:val="auto"/>
        </w:rPr>
      </w:pPr>
    </w:p>
    <w:p>
      <w:pPr>
        <w:jc w:val="both"/>
        <w:ind w:right="140"/>
        <w:spacing w:after="0" w:line="320" w:lineRule="auto"/>
        <w:rPr>
          <w:sz w:val="20"/>
          <w:szCs w:val="20"/>
          <w:color w:val="auto"/>
        </w:rPr>
      </w:pPr>
      <w:r>
        <w:rPr>
          <w:rFonts w:ascii="Arial" w:cs="Arial" w:eastAsia="Arial" w:hAnsi="Arial"/>
          <w:sz w:val="8"/>
          <w:szCs w:val="8"/>
          <w:color w:val="auto"/>
        </w:rPr>
        <w:t>The Shell Supplier Principles include specific labour and human rights expectations for contractors and suppliers. Shell companies use a joint industry supplier capability assessment that is delivered in collaboration with other operators. This sharing mechanism is intended to support the improvement of working conditions in the participating companies’ supply chains.</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See our website shell.com for more information about our approach to human rights.</w:t>
      </w:r>
    </w:p>
    <w:p>
      <w:pPr>
        <w:spacing w:after="0" w:line="2298"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72</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22"/>
          <w:szCs w:val="22"/>
          <w:color w:val="auto"/>
        </w:rPr>
        <w:t>CLIMATE CHANGE AND 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303" w:lineRule="exact"/>
        <w:rPr>
          <w:sz w:val="20"/>
          <w:szCs w:val="20"/>
          <w:color w:val="auto"/>
        </w:rPr>
      </w:pPr>
    </w:p>
    <w:p>
      <w:pPr>
        <w:spacing w:after="0" w:line="292" w:lineRule="auto"/>
        <w:rPr>
          <w:sz w:val="20"/>
          <w:szCs w:val="20"/>
          <w:color w:val="auto"/>
        </w:rPr>
      </w:pPr>
      <w:r>
        <w:rPr>
          <w:rFonts w:ascii="Arial" w:cs="Arial" w:eastAsia="Arial" w:hAnsi="Arial"/>
          <w:sz w:val="8"/>
          <w:szCs w:val="8"/>
          <w:color w:val="auto"/>
        </w:rPr>
        <w:t xml:space="preserve">Shell has long recognised that greenhouse gas (GHG) emissions from the use of hydrocarbon-based energy are contributing to the warming of the climate system. In December 2015, 195 nations adopted the Paris Agreement. We welcomed the efforts made to reach this global climate agreement, which came into force in November 2016. We fully support the Paris Agreement’s goal to keep the rise in global average temperature this century to well below two degrees Celsius above pre-industrial levels and to pursue efforts to limit the temperature increase even further to 1.5 degrees Celsius. In pursuit of this goal, we also support the vision of a transition towards a net-zero emissions energy system. Shell agrees with the statement of the Intergovernmental Panel on Climate Change (IPCC) special report, </w:t>
      </w:r>
      <w:r>
        <w:rPr>
          <w:rFonts w:ascii="Arial" w:cs="Arial" w:eastAsia="Arial" w:hAnsi="Arial"/>
          <w:sz w:val="8"/>
          <w:szCs w:val="8"/>
          <w:i w:val="1"/>
          <w:iCs w:val="1"/>
          <w:color w:val="auto"/>
        </w:rPr>
        <w:t>Global Warming of 1.5°C</w:t>
      </w:r>
      <w:r>
        <w:rPr>
          <w:rFonts w:ascii="Arial" w:cs="Arial" w:eastAsia="Arial" w:hAnsi="Arial"/>
          <w:sz w:val="8"/>
          <w:szCs w:val="8"/>
          <w:color w:val="auto"/>
        </w:rPr>
        <w:t xml:space="preserve"> that says that in order to limit global warming to 1.5 degrees Celsius above pre-industrial levels, the world economy would need to transform in complex and interconnected ways. Meeting this challenge would require an even more rapid escalation in the scale and pace of change in the coming decades than was foreseen in the Paris Agreement.</w:t>
      </w:r>
    </w:p>
    <w:p>
      <w:pPr>
        <w:spacing w:after="0" w:line="239" w:lineRule="exact"/>
        <w:rPr>
          <w:sz w:val="20"/>
          <w:szCs w:val="20"/>
          <w:color w:val="auto"/>
        </w:rPr>
      </w:pPr>
    </w:p>
    <w:p>
      <w:pPr>
        <w:ind w:right="120"/>
        <w:spacing w:after="0" w:line="320" w:lineRule="auto"/>
        <w:rPr>
          <w:sz w:val="20"/>
          <w:szCs w:val="20"/>
          <w:color w:val="auto"/>
        </w:rPr>
      </w:pPr>
      <w:r>
        <w:rPr>
          <w:rFonts w:ascii="Arial" w:cs="Arial" w:eastAsia="Arial" w:hAnsi="Arial"/>
          <w:sz w:val="8"/>
          <w:szCs w:val="8"/>
          <w:color w:val="auto"/>
        </w:rPr>
        <w:t>Society faces a dual challenge: it must transition to a low-carbon energy future to manage the risks of climate change, while also extending the economic and social benefits of energy to everyone on the planet. This requires, among other things, reducing emissions while also changing how energy is produced, stored, used and made accessible to more people.</w:t>
      </w:r>
    </w:p>
    <w:p>
      <w:pPr>
        <w:spacing w:after="0" w:line="118" w:lineRule="exact"/>
        <w:rPr>
          <w:sz w:val="20"/>
          <w:szCs w:val="20"/>
          <w:color w:val="auto"/>
        </w:rPr>
      </w:pPr>
    </w:p>
    <w:p>
      <w:pPr>
        <w:spacing w:after="0" w:line="307" w:lineRule="auto"/>
        <w:rPr>
          <w:sz w:val="20"/>
          <w:szCs w:val="20"/>
          <w:color w:val="auto"/>
        </w:rPr>
      </w:pPr>
      <w:r>
        <w:rPr>
          <w:rFonts w:ascii="Arial" w:cs="Arial" w:eastAsia="Arial" w:hAnsi="Arial"/>
          <w:sz w:val="8"/>
          <w:szCs w:val="8"/>
          <w:color w:val="auto"/>
        </w:rPr>
        <w:t>Shell recognises that society's attitude towards climate change is shifting rapidly and that it is different in different locations. Regulators in some advanced economies such as the EU and the UK have already started pushing for net-zero emissions by 2050 in an effort to achieve the 1.5 degrees Celsius stretched goal of the Paris Agreement. Potential similar developments in other key locations might lead to similar or more stringent regulatory conditions on Shell’s operations and products.</w:t>
      </w:r>
    </w:p>
    <w:p>
      <w:pPr>
        <w:spacing w:after="0" w:line="123" w:lineRule="exact"/>
        <w:rPr>
          <w:sz w:val="20"/>
          <w:szCs w:val="20"/>
          <w:color w:val="auto"/>
        </w:rPr>
      </w:pPr>
    </w:p>
    <w:p>
      <w:pPr>
        <w:ind w:right="60"/>
        <w:spacing w:after="0" w:line="297" w:lineRule="auto"/>
        <w:rPr>
          <w:sz w:val="20"/>
          <w:szCs w:val="20"/>
          <w:color w:val="auto"/>
        </w:rPr>
      </w:pPr>
      <w:r>
        <w:rPr>
          <w:rFonts w:ascii="Arial" w:cs="Arial" w:eastAsia="Arial" w:hAnsi="Arial"/>
          <w:sz w:val="8"/>
          <w:szCs w:val="8"/>
          <w:color w:val="auto"/>
        </w:rPr>
        <w:t>On February 11, 2021, we announced Powering Progress, our new strategy. Powering Progress is our strategy to accelerate progress to net-zero emissions, purposefully and profitably. One of the pillars of this strategy is for Shell to become a net-zero emissions energy business by 2050, in step with society. We believe our net-zero target supports the most ambitious goal of the UN Paris Agreement, to limit warming to 1.5 degrees Celsius above pre-industrial levels. This will require us to transform our business, working with our customers and others, in sectors that are difficult to decarbonise. This includes aviation, shipping, road freight and heavy industries. We also believe that our total oil production peaked in 2019 and our total emissions (Scope 1, 2 and 3) peaked in 2018 at around 1.73 gigatonnes per annum.</w:t>
      </w:r>
    </w:p>
    <w:p>
      <w:pPr>
        <w:spacing w:after="0" w:line="127" w:lineRule="exact"/>
        <w:rPr>
          <w:sz w:val="20"/>
          <w:szCs w:val="20"/>
          <w:color w:val="auto"/>
        </w:rPr>
      </w:pPr>
    </w:p>
    <w:p>
      <w:pPr>
        <w:spacing w:after="0" w:line="300" w:lineRule="auto"/>
        <w:rPr>
          <w:sz w:val="20"/>
          <w:szCs w:val="20"/>
          <w:color w:val="auto"/>
        </w:rPr>
      </w:pPr>
      <w:r>
        <w:rPr>
          <w:rFonts w:ascii="Arial" w:cs="Arial" w:eastAsia="Arial" w:hAnsi="Arial"/>
          <w:sz w:val="8"/>
          <w:szCs w:val="8"/>
          <w:color w:val="auto"/>
        </w:rPr>
        <w:t>Shell’s target is to be a net-zero emissions energy business by 2050, in step with society. This means net-zero emissions from our operations – our Scope 1 and 2 emissions – and also net zero from the end use of our products that we sell – our Scope 3 emissions. Our Scope 3 emissions include our customers’ emissions from the energy products we produce and sell as well as the life-cycle emissions of the energy products produced by other companies that we resell to our customers. This means that our target covers all the energy we sell, not just the oil and gas we produce and refine ourselves.</w:t>
      </w:r>
    </w:p>
    <w:p>
      <w:pPr>
        <w:spacing w:after="0" w:line="127" w:lineRule="exact"/>
        <w:rPr>
          <w:sz w:val="20"/>
          <w:szCs w:val="20"/>
          <w:color w:val="auto"/>
        </w:rPr>
      </w:pPr>
    </w:p>
    <w:p>
      <w:pPr>
        <w:jc w:val="both"/>
        <w:ind w:right="60"/>
        <w:spacing w:after="0" w:line="307" w:lineRule="auto"/>
        <w:rPr>
          <w:sz w:val="20"/>
          <w:szCs w:val="20"/>
          <w:color w:val="auto"/>
        </w:rPr>
      </w:pPr>
      <w:r>
        <w:rPr>
          <w:rFonts w:ascii="Arial" w:cs="Arial" w:eastAsia="Arial" w:hAnsi="Arial"/>
          <w:sz w:val="8"/>
          <w:szCs w:val="8"/>
          <w:color w:val="auto"/>
        </w:rPr>
        <w:t>But Shell cannot get to net zero without society also being net zero. While we aim to transition slightly ahead of society, where we expect to see higher margins for our low-carbon and renewable energy products, we cannot transition too quickly or we will be trying to sell products that our customers do not want. Accordingly, other than our short-term remuneration targets, all targets are conditional on being in step with society. If society is not on the path to net zero for 2050, it is unlikely that Shell will meet its emissions targets.</w:t>
      </w:r>
    </w:p>
    <w:p>
      <w:pPr>
        <w:spacing w:after="0" w:line="123" w:lineRule="exact"/>
        <w:rPr>
          <w:sz w:val="20"/>
          <w:szCs w:val="20"/>
          <w:color w:val="auto"/>
        </w:rPr>
      </w:pPr>
    </w:p>
    <w:p>
      <w:pPr>
        <w:ind w:right="60"/>
        <w:spacing w:after="0" w:line="320" w:lineRule="auto"/>
        <w:rPr>
          <w:sz w:val="20"/>
          <w:szCs w:val="20"/>
          <w:color w:val="auto"/>
        </w:rPr>
      </w:pPr>
      <w:r>
        <w:rPr>
          <w:rFonts w:ascii="Arial" w:cs="Arial" w:eastAsia="Arial" w:hAnsi="Arial"/>
          <w:sz w:val="8"/>
          <w:szCs w:val="8"/>
          <w:color w:val="auto"/>
        </w:rPr>
        <w:t>We believe it is important for the Board and the management to understand what our shareholders think. Accordingly, in 2021, Shell intends to submit its energy transition strategy to shareholders for an advisory vote at our Annual General Meeting. We will submit our energy transition strategy to such an advisory vote every three years. We will also seek an advisory vote</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auto"/>
        </w:rPr>
        <w:t>on the progress we make each year, as disclosed in our Annual Report, starting in 2022.</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SHELL’S ABSOLUTE EMISSIONS AND CARBON INTENSITY TARGETS</w:t>
      </w:r>
    </w:p>
    <w:p>
      <w:pPr>
        <w:spacing w:after="0" w:line="237" w:lineRule="auto"/>
        <w:rPr>
          <w:sz w:val="20"/>
          <w:szCs w:val="20"/>
          <w:color w:val="auto"/>
        </w:rPr>
      </w:pPr>
      <w:r>
        <w:rPr>
          <w:rFonts w:ascii="Arial" w:cs="Arial" w:eastAsia="Arial" w:hAnsi="Arial"/>
          <w:sz w:val="10"/>
          <w:szCs w:val="10"/>
          <w:color w:val="auto"/>
        </w:rPr>
        <w:t>Our target is to be a net-zero emissions energy business by 2050, in step with society.</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Shell´s 2050 absolute emissions targets</w:t>
      </w:r>
    </w:p>
    <w:p>
      <w:pPr>
        <w:spacing w:after="0" w:line="225" w:lineRule="auto"/>
        <w:rPr>
          <w:sz w:val="20"/>
          <w:szCs w:val="20"/>
          <w:color w:val="auto"/>
        </w:rPr>
      </w:pPr>
      <w:r>
        <w:rPr>
          <w:rFonts w:ascii="Arial" w:cs="Arial" w:eastAsia="Arial" w:hAnsi="Arial"/>
          <w:sz w:val="10"/>
          <w:szCs w:val="10"/>
          <w:color w:val="auto"/>
        </w:rPr>
        <w:t>We aim to achieve these targets in step with society. They are:</w:t>
      </w:r>
    </w:p>
    <w:p>
      <w:pPr>
        <w:ind w:left="440" w:hanging="215"/>
        <w:spacing w:after="0" w:line="226" w:lineRule="auto"/>
        <w:tabs>
          <w:tab w:leader="none" w:pos="440" w:val="left"/>
        </w:tabs>
        <w:numPr>
          <w:ilvl w:val="0"/>
          <w:numId w:val="68"/>
        </w:numPr>
        <w:rPr>
          <w:rFonts w:ascii="Arial" w:cs="Arial" w:eastAsia="Arial" w:hAnsi="Arial"/>
          <w:sz w:val="10"/>
          <w:szCs w:val="10"/>
          <w:color w:val="auto"/>
        </w:rPr>
      </w:pPr>
      <w:r>
        <w:rPr>
          <w:rFonts w:ascii="Arial" w:cs="Arial" w:eastAsia="Arial" w:hAnsi="Arial"/>
          <w:sz w:val="10"/>
          <w:szCs w:val="10"/>
          <w:color w:val="auto"/>
        </w:rPr>
        <w:t>net-zero Scope 1 and Scope 2 emissions from our operations by 2050; and</w:t>
      </w:r>
    </w:p>
    <w:p>
      <w:pPr>
        <w:ind w:left="440" w:hanging="215"/>
        <w:spacing w:after="0" w:line="236" w:lineRule="auto"/>
        <w:tabs>
          <w:tab w:leader="none" w:pos="440" w:val="left"/>
        </w:tabs>
        <w:numPr>
          <w:ilvl w:val="0"/>
          <w:numId w:val="68"/>
        </w:numPr>
        <w:rPr>
          <w:rFonts w:ascii="Arial" w:cs="Arial" w:eastAsia="Arial" w:hAnsi="Arial"/>
          <w:sz w:val="10"/>
          <w:szCs w:val="10"/>
          <w:color w:val="auto"/>
        </w:rPr>
      </w:pPr>
      <w:r>
        <w:rPr>
          <w:rFonts w:ascii="Arial" w:cs="Arial" w:eastAsia="Arial" w:hAnsi="Arial"/>
          <w:sz w:val="10"/>
          <w:szCs w:val="10"/>
          <w:color w:val="auto"/>
        </w:rPr>
        <w:t>net-zero Scope 3 emissions from the energy products we sell by 2050.</w:t>
      </w:r>
    </w:p>
    <w:p>
      <w:pPr>
        <w:spacing w:after="0" w:line="309" w:lineRule="exact"/>
        <w:rPr>
          <w:sz w:val="20"/>
          <w:szCs w:val="20"/>
          <w:color w:val="auto"/>
        </w:rPr>
      </w:pPr>
    </w:p>
    <w:p>
      <w:pPr>
        <w:spacing w:after="0"/>
        <w:rPr>
          <w:sz w:val="20"/>
          <w:szCs w:val="20"/>
          <w:color w:val="auto"/>
        </w:rPr>
      </w:pPr>
      <w:r>
        <w:rPr>
          <w:rFonts w:ascii="Arial" w:cs="Arial" w:eastAsia="Arial" w:hAnsi="Arial"/>
          <w:sz w:val="11"/>
          <w:szCs w:val="11"/>
          <w:color w:val="auto"/>
        </w:rPr>
        <w:t>Shell´s net carbon intensity targets</w:t>
      </w:r>
    </w:p>
    <w:p>
      <w:pPr>
        <w:spacing w:after="0"/>
        <w:rPr>
          <w:sz w:val="20"/>
          <w:szCs w:val="20"/>
          <w:color w:val="auto"/>
        </w:rPr>
      </w:pPr>
      <w:r>
        <w:rPr>
          <w:rFonts w:ascii="Arial" w:cs="Arial" w:eastAsia="Arial" w:hAnsi="Arial"/>
          <w:sz w:val="8"/>
          <w:szCs w:val="8"/>
          <w:color w:val="auto"/>
        </w:rPr>
        <w:t>We aim to achieve these targets in step with society. They are measured by our Net Carbon Footprint (NCF) metric, and are:</w:t>
      </w:r>
    </w:p>
    <w:p>
      <w:pPr>
        <w:spacing w:after="0" w:line="9" w:lineRule="exact"/>
        <w:rPr>
          <w:sz w:val="20"/>
          <w:szCs w:val="20"/>
          <w:color w:val="auto"/>
        </w:rPr>
      </w:pPr>
    </w:p>
    <w:p>
      <w:pPr>
        <w:ind w:left="440" w:hanging="215"/>
        <w:spacing w:after="0"/>
        <w:tabs>
          <w:tab w:leader="none" w:pos="440" w:val="left"/>
        </w:tabs>
        <w:numPr>
          <w:ilvl w:val="0"/>
          <w:numId w:val="69"/>
        </w:numPr>
        <w:rPr>
          <w:rFonts w:ascii="Arial" w:cs="Arial" w:eastAsia="Arial" w:hAnsi="Arial"/>
          <w:sz w:val="10"/>
          <w:szCs w:val="10"/>
          <w:color w:val="auto"/>
        </w:rPr>
      </w:pPr>
      <w:r>
        <w:rPr>
          <w:rFonts w:ascii="Arial" w:cs="Arial" w:eastAsia="Arial" w:hAnsi="Arial"/>
          <w:sz w:val="10"/>
          <w:szCs w:val="10"/>
          <w:color w:val="auto"/>
        </w:rPr>
        <w:t>2030 NCF reduced by 20% from 2016 NCF;</w:t>
      </w:r>
    </w:p>
    <w:p>
      <w:pPr>
        <w:ind w:left="440" w:hanging="215"/>
        <w:spacing w:after="0" w:line="225" w:lineRule="auto"/>
        <w:tabs>
          <w:tab w:leader="none" w:pos="440" w:val="left"/>
        </w:tabs>
        <w:numPr>
          <w:ilvl w:val="0"/>
          <w:numId w:val="69"/>
        </w:numPr>
        <w:rPr>
          <w:rFonts w:ascii="Arial" w:cs="Arial" w:eastAsia="Arial" w:hAnsi="Arial"/>
          <w:sz w:val="10"/>
          <w:szCs w:val="10"/>
          <w:color w:val="auto"/>
        </w:rPr>
      </w:pPr>
      <w:r>
        <w:rPr>
          <w:rFonts w:ascii="Arial" w:cs="Arial" w:eastAsia="Arial" w:hAnsi="Arial"/>
          <w:sz w:val="10"/>
          <w:szCs w:val="10"/>
          <w:color w:val="auto"/>
        </w:rPr>
        <w:t>2035 NCF reduced by 45% from 2016 NCF; and</w:t>
      </w:r>
    </w:p>
    <w:p>
      <w:pPr>
        <w:ind w:left="440" w:hanging="215"/>
        <w:spacing w:after="0" w:line="236" w:lineRule="auto"/>
        <w:tabs>
          <w:tab w:leader="none" w:pos="440" w:val="left"/>
        </w:tabs>
        <w:numPr>
          <w:ilvl w:val="0"/>
          <w:numId w:val="69"/>
        </w:numPr>
        <w:rPr>
          <w:rFonts w:ascii="Arial" w:cs="Arial" w:eastAsia="Arial" w:hAnsi="Arial"/>
          <w:sz w:val="10"/>
          <w:szCs w:val="10"/>
          <w:color w:val="auto"/>
        </w:rPr>
      </w:pPr>
      <w:r>
        <w:rPr>
          <w:rFonts w:ascii="Arial" w:cs="Arial" w:eastAsia="Arial" w:hAnsi="Arial"/>
          <w:sz w:val="10"/>
          <w:szCs w:val="10"/>
          <w:color w:val="auto"/>
        </w:rPr>
        <w:t>2050 NCF reduced by 100% from 2016 NCF.</w:t>
      </w:r>
    </w:p>
    <w:p>
      <w:pPr>
        <w:spacing w:after="0" w:line="149" w:lineRule="exact"/>
        <w:rPr>
          <w:sz w:val="20"/>
          <w:szCs w:val="20"/>
          <w:color w:val="auto"/>
        </w:rPr>
      </w:pPr>
    </w:p>
    <w:p>
      <w:pPr>
        <w:ind w:right="140"/>
        <w:spacing w:after="0" w:line="358" w:lineRule="auto"/>
        <w:rPr>
          <w:sz w:val="20"/>
          <w:szCs w:val="20"/>
          <w:color w:val="auto"/>
        </w:rPr>
      </w:pPr>
      <w:r>
        <w:rPr>
          <w:rFonts w:ascii="Arial" w:cs="Arial" w:eastAsia="Arial" w:hAnsi="Arial"/>
          <w:sz w:val="8"/>
          <w:szCs w:val="8"/>
          <w:color w:val="auto"/>
        </w:rPr>
        <w:t>The updated 2035 and 2050 targets reflect that we will start to include all actions taken to reduce emissions when we calculate our net carbon intensity. This includes the actions we take ourselves and actions taken by the users of the energy products we sell.</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Remuneration targets</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We have set specific carbon intensity targets for the following years:</w:t>
      </w:r>
    </w:p>
    <w:p>
      <w:pPr>
        <w:ind w:left="440" w:hanging="215"/>
        <w:spacing w:after="0" w:line="227" w:lineRule="auto"/>
        <w:tabs>
          <w:tab w:leader="none" w:pos="440" w:val="left"/>
        </w:tabs>
        <w:numPr>
          <w:ilvl w:val="0"/>
          <w:numId w:val="70"/>
        </w:numPr>
        <w:rPr>
          <w:rFonts w:ascii="Arial" w:cs="Arial" w:eastAsia="Arial" w:hAnsi="Arial"/>
          <w:sz w:val="10"/>
          <w:szCs w:val="10"/>
          <w:color w:val="auto"/>
        </w:rPr>
      </w:pPr>
      <w:r>
        <w:rPr>
          <w:rFonts w:ascii="Arial" w:cs="Arial" w:eastAsia="Arial" w:hAnsi="Arial"/>
          <w:sz w:val="10"/>
          <w:szCs w:val="10"/>
          <w:color w:val="auto"/>
        </w:rPr>
        <w:t>2021 NCF reduced by 2-3% from 2016 NCF;</w:t>
      </w:r>
    </w:p>
    <w:p>
      <w:pPr>
        <w:ind w:left="440" w:hanging="215"/>
        <w:spacing w:after="0" w:line="225" w:lineRule="auto"/>
        <w:tabs>
          <w:tab w:leader="none" w:pos="440" w:val="left"/>
        </w:tabs>
        <w:numPr>
          <w:ilvl w:val="0"/>
          <w:numId w:val="70"/>
        </w:numPr>
        <w:rPr>
          <w:rFonts w:ascii="Arial" w:cs="Arial" w:eastAsia="Arial" w:hAnsi="Arial"/>
          <w:sz w:val="10"/>
          <w:szCs w:val="10"/>
          <w:color w:val="auto"/>
        </w:rPr>
      </w:pPr>
      <w:r>
        <w:rPr>
          <w:rFonts w:ascii="Arial" w:cs="Arial" w:eastAsia="Arial" w:hAnsi="Arial"/>
          <w:sz w:val="10"/>
          <w:szCs w:val="10"/>
          <w:color w:val="auto"/>
        </w:rPr>
        <w:t>2022 NCF reduced by 4-6% from 2016 NCF; and</w:t>
      </w:r>
    </w:p>
    <w:p>
      <w:pPr>
        <w:ind w:left="440" w:hanging="215"/>
        <w:spacing w:after="0" w:line="236" w:lineRule="auto"/>
        <w:tabs>
          <w:tab w:leader="none" w:pos="440" w:val="left"/>
        </w:tabs>
        <w:numPr>
          <w:ilvl w:val="0"/>
          <w:numId w:val="70"/>
        </w:numPr>
        <w:rPr>
          <w:rFonts w:ascii="Arial" w:cs="Arial" w:eastAsia="Arial" w:hAnsi="Arial"/>
          <w:sz w:val="10"/>
          <w:szCs w:val="10"/>
          <w:color w:val="auto"/>
        </w:rPr>
      </w:pPr>
      <w:r>
        <w:rPr>
          <w:rFonts w:ascii="Arial" w:cs="Arial" w:eastAsia="Arial" w:hAnsi="Arial"/>
          <w:sz w:val="10"/>
          <w:szCs w:val="10"/>
          <w:color w:val="auto"/>
        </w:rPr>
        <w:t>2023 NCF reduced by 6-8% from 2016 NCF.</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See below, in this section, for more detail on:</w:t>
      </w:r>
    </w:p>
    <w:p>
      <w:pPr>
        <w:ind w:left="440" w:hanging="215"/>
        <w:spacing w:after="0" w:line="227" w:lineRule="auto"/>
        <w:tabs>
          <w:tab w:leader="none" w:pos="440" w:val="left"/>
        </w:tabs>
        <w:numPr>
          <w:ilvl w:val="0"/>
          <w:numId w:val="71"/>
        </w:numPr>
        <w:rPr>
          <w:rFonts w:ascii="Arial" w:cs="Arial" w:eastAsia="Arial" w:hAnsi="Arial"/>
          <w:sz w:val="10"/>
          <w:szCs w:val="10"/>
          <w:color w:val="auto"/>
        </w:rPr>
      </w:pPr>
      <w:r>
        <w:rPr>
          <w:rFonts w:ascii="Arial" w:cs="Arial" w:eastAsia="Arial" w:hAnsi="Arial"/>
          <w:sz w:val="10"/>
          <w:szCs w:val="10"/>
          <w:color w:val="auto"/>
        </w:rPr>
        <w:t>How we plan to deliver;</w:t>
      </w:r>
    </w:p>
    <w:p>
      <w:pPr>
        <w:ind w:left="440" w:hanging="215"/>
        <w:spacing w:after="0" w:line="225" w:lineRule="auto"/>
        <w:tabs>
          <w:tab w:leader="none" w:pos="440" w:val="left"/>
        </w:tabs>
        <w:numPr>
          <w:ilvl w:val="0"/>
          <w:numId w:val="71"/>
        </w:numPr>
        <w:rPr>
          <w:rFonts w:ascii="Arial" w:cs="Arial" w:eastAsia="Arial" w:hAnsi="Arial"/>
          <w:sz w:val="10"/>
          <w:szCs w:val="10"/>
          <w:color w:val="auto"/>
        </w:rPr>
      </w:pPr>
      <w:r>
        <w:rPr>
          <w:rFonts w:ascii="Arial" w:cs="Arial" w:eastAsia="Arial" w:hAnsi="Arial"/>
          <w:sz w:val="10"/>
          <w:szCs w:val="10"/>
          <w:color w:val="auto"/>
        </w:rPr>
        <w:t>Our climate target;</w:t>
      </w:r>
    </w:p>
    <w:p>
      <w:pPr>
        <w:ind w:left="440" w:hanging="215"/>
        <w:spacing w:after="0" w:line="225" w:lineRule="auto"/>
        <w:tabs>
          <w:tab w:leader="none" w:pos="440" w:val="left"/>
        </w:tabs>
        <w:numPr>
          <w:ilvl w:val="0"/>
          <w:numId w:val="71"/>
        </w:numPr>
        <w:rPr>
          <w:rFonts w:ascii="Arial" w:cs="Arial" w:eastAsia="Arial" w:hAnsi="Arial"/>
          <w:sz w:val="10"/>
          <w:szCs w:val="10"/>
          <w:color w:val="auto"/>
        </w:rPr>
      </w:pPr>
      <w:r>
        <w:rPr>
          <w:rFonts w:ascii="Arial" w:cs="Arial" w:eastAsia="Arial" w:hAnsi="Arial"/>
          <w:sz w:val="10"/>
          <w:szCs w:val="10"/>
          <w:color w:val="auto"/>
        </w:rPr>
        <w:t>Our net carbon intensity targets; and</w:t>
      </w:r>
    </w:p>
    <w:p>
      <w:pPr>
        <w:ind w:left="440" w:hanging="215"/>
        <w:spacing w:after="0" w:line="225" w:lineRule="auto"/>
        <w:tabs>
          <w:tab w:leader="none" w:pos="440" w:val="left"/>
        </w:tabs>
        <w:numPr>
          <w:ilvl w:val="0"/>
          <w:numId w:val="71"/>
        </w:numPr>
        <w:rPr>
          <w:rFonts w:ascii="Arial" w:cs="Arial" w:eastAsia="Arial" w:hAnsi="Arial"/>
          <w:sz w:val="10"/>
          <w:szCs w:val="10"/>
          <w:color w:val="auto"/>
        </w:rPr>
      </w:pPr>
      <w:r>
        <w:rPr>
          <w:rFonts w:ascii="Arial" w:cs="Arial" w:eastAsia="Arial" w:hAnsi="Arial"/>
          <w:sz w:val="10"/>
          <w:szCs w:val="10"/>
          <w:color w:val="auto"/>
        </w:rPr>
        <w:t>Our performance.</w:t>
      </w:r>
    </w:p>
    <w:p>
      <w:pPr>
        <w:spacing w:after="0" w:line="237" w:lineRule="auto"/>
        <w:rPr>
          <w:sz w:val="20"/>
          <w:szCs w:val="20"/>
          <w:color w:val="auto"/>
        </w:rPr>
      </w:pPr>
      <w:r>
        <w:rPr>
          <w:rFonts w:ascii="Arial" w:cs="Arial" w:eastAsia="Arial" w:hAnsi="Arial"/>
          <w:sz w:val="10"/>
          <w:szCs w:val="10"/>
          <w:color w:val="auto"/>
        </w:rPr>
        <w:t>See also the Directors' Remuneration Report on page 116.</w:t>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color w:val="auto"/>
        </w:rPr>
        <w:t>Business milestones</w:t>
      </w:r>
    </w:p>
    <w:p>
      <w:pPr>
        <w:spacing w:after="0" w:line="225" w:lineRule="auto"/>
        <w:rPr>
          <w:sz w:val="20"/>
          <w:szCs w:val="20"/>
          <w:color w:val="auto"/>
        </w:rPr>
      </w:pPr>
      <w:r>
        <w:rPr>
          <w:rFonts w:ascii="Arial" w:cs="Arial" w:eastAsia="Arial" w:hAnsi="Arial"/>
          <w:sz w:val="10"/>
          <w:szCs w:val="10"/>
          <w:color w:val="auto"/>
        </w:rPr>
        <w:t>We are taking steps to cut emissions from our existing oil and gas operations, and to avoid generating more in the future.</w:t>
      </w:r>
    </w:p>
    <w:p>
      <w:pPr>
        <w:ind w:left="440" w:hanging="215"/>
        <w:spacing w:after="0"/>
        <w:tabs>
          <w:tab w:leader="none" w:pos="440" w:val="left"/>
        </w:tabs>
        <w:numPr>
          <w:ilvl w:val="0"/>
          <w:numId w:val="72"/>
        </w:numPr>
        <w:rPr>
          <w:rFonts w:ascii="Arial" w:cs="Arial" w:eastAsia="Arial" w:hAnsi="Arial"/>
          <w:sz w:val="8"/>
          <w:szCs w:val="8"/>
          <w:color w:val="auto"/>
        </w:rPr>
      </w:pPr>
      <w:r>
        <w:rPr>
          <w:rFonts w:ascii="Arial" w:cs="Arial" w:eastAsia="Arial" w:hAnsi="Arial"/>
          <w:sz w:val="8"/>
          <w:szCs w:val="8"/>
          <w:color w:val="auto"/>
        </w:rPr>
        <w:t>We believe our annual oil production peaked in 2019, and we expect our total oil production to decline by 1-2% a year until 2030.</w:t>
      </w:r>
    </w:p>
    <w:p>
      <w:pPr>
        <w:spacing w:after="0" w:line="16" w:lineRule="exact"/>
        <w:rPr>
          <w:rFonts w:ascii="Arial" w:cs="Arial" w:eastAsia="Arial" w:hAnsi="Arial"/>
          <w:sz w:val="8"/>
          <w:szCs w:val="8"/>
          <w:color w:val="auto"/>
        </w:rPr>
      </w:pPr>
    </w:p>
    <w:p>
      <w:pPr>
        <w:ind w:left="440" w:hanging="215"/>
        <w:spacing w:after="0" w:line="225" w:lineRule="auto"/>
        <w:tabs>
          <w:tab w:leader="none" w:pos="440" w:val="left"/>
        </w:tabs>
        <w:numPr>
          <w:ilvl w:val="0"/>
          <w:numId w:val="72"/>
        </w:numPr>
        <w:rPr>
          <w:rFonts w:ascii="Arial" w:cs="Arial" w:eastAsia="Arial" w:hAnsi="Arial"/>
          <w:sz w:val="10"/>
          <w:szCs w:val="10"/>
          <w:color w:val="auto"/>
        </w:rPr>
      </w:pPr>
      <w:r>
        <w:rPr>
          <w:rFonts w:ascii="Arial" w:cs="Arial" w:eastAsia="Arial" w:hAnsi="Arial"/>
          <w:sz w:val="10"/>
          <w:szCs w:val="10"/>
          <w:color w:val="auto"/>
        </w:rPr>
        <w:t>We do not anticipate any new frontier exploration entries after 2025.</w:t>
      </w:r>
    </w:p>
    <w:p>
      <w:pPr>
        <w:ind w:left="440" w:right="120" w:hanging="215"/>
        <w:spacing w:after="0" w:line="225" w:lineRule="auto"/>
        <w:tabs>
          <w:tab w:leader="none" w:pos="438" w:val="left"/>
        </w:tabs>
        <w:numPr>
          <w:ilvl w:val="0"/>
          <w:numId w:val="72"/>
        </w:numPr>
        <w:rPr>
          <w:rFonts w:ascii="Arial" w:cs="Arial" w:eastAsia="Arial" w:hAnsi="Arial"/>
          <w:sz w:val="10"/>
          <w:szCs w:val="10"/>
          <w:color w:val="auto"/>
        </w:rPr>
      </w:pPr>
      <w:r>
        <w:rPr>
          <w:rFonts w:ascii="Arial" w:cs="Arial" w:eastAsia="Arial" w:hAnsi="Arial"/>
          <w:sz w:val="10"/>
          <w:szCs w:val="10"/>
          <w:color w:val="auto"/>
        </w:rPr>
        <w:t>Natural gas is the least polluting hydrocarbon. We expect the percentage of total gas production in our portfolio to gradually rise to 55% or more by 2030.</w:t>
      </w:r>
    </w:p>
    <w:p>
      <w:pPr>
        <w:ind w:left="440" w:hanging="215"/>
        <w:spacing w:after="0" w:line="225" w:lineRule="auto"/>
        <w:tabs>
          <w:tab w:leader="none" w:pos="440" w:val="left"/>
        </w:tabs>
        <w:numPr>
          <w:ilvl w:val="0"/>
          <w:numId w:val="72"/>
        </w:numPr>
        <w:rPr>
          <w:rFonts w:ascii="Arial" w:cs="Arial" w:eastAsia="Arial" w:hAnsi="Arial"/>
          <w:sz w:val="10"/>
          <w:szCs w:val="10"/>
          <w:color w:val="auto"/>
        </w:rPr>
      </w:pPr>
      <w:r>
        <w:rPr>
          <w:rFonts w:ascii="Arial" w:cs="Arial" w:eastAsia="Arial" w:hAnsi="Arial"/>
          <w:sz w:val="10"/>
          <w:szCs w:val="10"/>
          <w:color w:val="auto"/>
        </w:rPr>
        <w:t>By 2030, we will end routine flaring of gas, which generates carbon emissions, from the assets we operate.</w:t>
      </w:r>
    </w:p>
    <w:p>
      <w:pPr>
        <w:ind w:left="440" w:hanging="215"/>
        <w:spacing w:after="0" w:line="236" w:lineRule="auto"/>
        <w:tabs>
          <w:tab w:leader="none" w:pos="440" w:val="left"/>
        </w:tabs>
        <w:numPr>
          <w:ilvl w:val="0"/>
          <w:numId w:val="72"/>
        </w:numPr>
        <w:rPr>
          <w:rFonts w:ascii="Arial" w:cs="Arial" w:eastAsia="Arial" w:hAnsi="Arial"/>
          <w:sz w:val="10"/>
          <w:szCs w:val="10"/>
          <w:color w:val="auto"/>
        </w:rPr>
      </w:pPr>
      <w:r>
        <w:rPr>
          <w:rFonts w:ascii="Arial" w:cs="Arial" w:eastAsia="Arial" w:hAnsi="Arial"/>
          <w:sz w:val="10"/>
          <w:szCs w:val="10"/>
          <w:color w:val="auto"/>
        </w:rPr>
        <w:t>By 2025, we expect to have kept the methane emissions intensity of Shell-operated assets to below 0.2%.</w:t>
      </w:r>
    </w:p>
    <w:p>
      <w:pPr>
        <w:spacing w:after="0" w:line="147" w:lineRule="exact"/>
        <w:rPr>
          <w:sz w:val="20"/>
          <w:szCs w:val="20"/>
          <w:color w:val="auto"/>
        </w:rPr>
      </w:pPr>
    </w:p>
    <w:p>
      <w:pPr>
        <w:sectPr>
          <w:pgSz w:w="11900" w:h="16838" w:orient="portrait"/>
          <w:cols w:equalWidth="0" w:num="2">
            <w:col w:w="5440" w:space="280"/>
            <w:col w:w="5580"/>
          </w:cols>
          <w:pgMar w:left="300" w:top="721" w:right="299" w:bottom="1440" w:gutter="0" w:footer="0" w:header="0"/>
        </w:sectPr>
      </w:pPr>
    </w:p>
    <w:p>
      <w:pPr>
        <w:ind w:left="5720"/>
        <w:spacing w:after="0"/>
        <w:rPr>
          <w:sz w:val="20"/>
          <w:szCs w:val="20"/>
          <w:color w:val="auto"/>
        </w:rPr>
      </w:pPr>
      <w:r>
        <w:rPr>
          <w:rFonts w:ascii="Arial" w:cs="Arial" w:eastAsia="Arial" w:hAnsi="Arial"/>
          <w:sz w:val="11"/>
          <w:szCs w:val="11"/>
          <w:color w:val="auto"/>
        </w:rPr>
        <w:t>HOW WE PLAN TO DELIVER</w:t>
      </w:r>
    </w:p>
    <w:p>
      <w:pPr>
        <w:ind w:left="5720"/>
        <w:spacing w:after="0"/>
        <w:rPr>
          <w:sz w:val="20"/>
          <w:szCs w:val="20"/>
          <w:color w:val="auto"/>
        </w:rPr>
      </w:pPr>
      <w:r>
        <w:rPr>
          <w:rFonts w:ascii="Arial" w:cs="Arial" w:eastAsia="Arial" w:hAnsi="Arial"/>
          <w:sz w:val="8"/>
          <w:szCs w:val="8"/>
          <w:color w:val="auto"/>
        </w:rPr>
        <w:t>Getting the energy system on a path to net zero will require co-ordinated action between energy providers, energy users and governments.</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0"/>
          <w:szCs w:val="10"/>
          <w:color w:val="auto"/>
        </w:rPr>
        <w:t>They will need to work together over the coming decades to define rapid, realistic decarbonisation pathways, sector by sector.</w:t>
      </w:r>
    </w:p>
    <w:p>
      <w:pPr>
        <w:spacing w:after="0" w:line="149" w:lineRule="exact"/>
        <w:rPr>
          <w:sz w:val="20"/>
          <w:szCs w:val="20"/>
          <w:color w:val="auto"/>
        </w:rPr>
      </w:pPr>
    </w:p>
    <w:p>
      <w:pPr>
        <w:ind w:left="5720"/>
        <w:spacing w:after="0"/>
        <w:rPr>
          <w:sz w:val="20"/>
          <w:szCs w:val="20"/>
          <w:color w:val="auto"/>
        </w:rPr>
      </w:pPr>
      <w:r>
        <w:rPr>
          <w:rFonts w:ascii="Arial" w:cs="Arial" w:eastAsia="Arial" w:hAnsi="Arial"/>
          <w:sz w:val="8"/>
          <w:szCs w:val="8"/>
          <w:color w:val="auto"/>
        </w:rPr>
        <w:t>We will work with our customers to address the emissions created when they use products bought from us (Scope 3) and help them find ways</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0"/>
          <w:szCs w:val="10"/>
          <w:color w:val="auto"/>
        </w:rPr>
        <w:t>to reduce their emissions and overall carbon footprint to net zero by 2050.</w:t>
      </w:r>
    </w:p>
    <w:p>
      <w:pPr>
        <w:spacing w:after="0" w:line="149" w:lineRule="exact"/>
        <w:rPr>
          <w:sz w:val="20"/>
          <w:szCs w:val="20"/>
          <w:color w:val="auto"/>
        </w:rPr>
      </w:pPr>
    </w:p>
    <w:p>
      <w:pPr>
        <w:ind w:left="5720"/>
        <w:spacing w:after="0"/>
        <w:rPr>
          <w:sz w:val="20"/>
          <w:szCs w:val="20"/>
          <w:color w:val="auto"/>
        </w:rPr>
      </w:pPr>
      <w:r>
        <w:rPr>
          <w:rFonts w:ascii="Arial" w:cs="Arial" w:eastAsia="Arial" w:hAnsi="Arial"/>
          <w:sz w:val="8"/>
          <w:szCs w:val="8"/>
          <w:color w:val="auto"/>
        </w:rPr>
        <w:t>We are already taking steps to cut emissions from our existing oil and gas operations, and to avoid generating more in the future. We aim to</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0"/>
          <w:szCs w:val="10"/>
          <w:color w:val="auto"/>
        </w:rPr>
        <w:t>reduce the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73</w:t>
            </w:r>
          </w:p>
        </w:tc>
      </w:tr>
      <w:tr>
        <w:trPr>
          <w:trHeight w:val="142"/>
        </w:trPr>
        <w:tc>
          <w:tcPr>
            <w:tcW w:w="3500" w:type="dxa"/>
            <w:vAlign w:val="bottom"/>
            <w:tcBorders>
              <w:bottom w:val="single" w:sz="8" w:color="9A9A9A"/>
            </w:tcBorders>
          </w:tcPr>
          <w:p>
            <w:pPr>
              <w:spacing w:after="0"/>
              <w:rPr>
                <w:sz w:val="12"/>
                <w:szCs w:val="12"/>
                <w:color w:val="auto"/>
              </w:rPr>
            </w:pPr>
          </w:p>
        </w:tc>
        <w:tc>
          <w:tcPr>
            <w:tcW w:w="78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type w:val="continuous"/>
        </w:sectPr>
      </w:pPr>
    </w:p>
    <w:bookmarkStart w:id="76" w:name="page77"/>
    <w:bookmarkEnd w:id="76"/>
    <w:p>
      <w:pPr>
        <w:ind w:right="100"/>
        <w:spacing w:after="0" w:line="358" w:lineRule="auto"/>
        <w:rPr>
          <w:sz w:val="20"/>
          <w:szCs w:val="20"/>
          <w:color w:val="auto"/>
        </w:rPr>
      </w:pPr>
      <w:r>
        <w:rPr>
          <w:rFonts w:ascii="Arial" w:cs="Arial" w:eastAsia="Arial" w:hAnsi="Arial"/>
          <w:sz w:val="8"/>
          <w:szCs w:val="8"/>
          <w:color w:val="auto"/>
        </w:rPr>
        <w:t>GHG intensity of our portfolio and we continue to work on improving the energy efficiency of our existing operations. One element of our target is to achieve net-zero emissions from all our operations, as well as from the energy we need to power them.</w:t>
      </w:r>
    </w:p>
    <w:p>
      <w:pPr>
        <w:spacing w:after="0" w:line="104" w:lineRule="exact"/>
        <w:rPr>
          <w:sz w:val="20"/>
          <w:szCs w:val="20"/>
          <w:color w:val="auto"/>
        </w:rPr>
      </w:pPr>
    </w:p>
    <w:p>
      <w:pPr>
        <w:ind w:right="40"/>
        <w:spacing w:after="0" w:line="300" w:lineRule="auto"/>
        <w:rPr>
          <w:sz w:val="20"/>
          <w:szCs w:val="20"/>
          <w:color w:val="auto"/>
        </w:rPr>
      </w:pPr>
      <w:r>
        <w:rPr>
          <w:rFonts w:ascii="Arial" w:cs="Arial" w:eastAsia="Arial" w:hAnsi="Arial"/>
          <w:sz w:val="8"/>
          <w:szCs w:val="8"/>
          <w:color w:val="auto"/>
        </w:rPr>
        <w:t>Shell believes that society must accelerate and increase the scale of all forms of GHG reduction. We are increasing the proportion of lower-carbon products such as natural gas, biofuels, electricity and hydrogen in the mix of products we sell. For example, Amazon Air has secured up to six million gallons of sustainable aviation fuel – made partly from biomass and waste – supplied by Shell Aviation and produced by World Energy. Similarly, we have formed an alliance with Microsoft which includes supply of renewable energy to help them meet their commitment of 100% renewable energy consumption by 2025.</w:t>
      </w:r>
    </w:p>
    <w:p>
      <w:pPr>
        <w:spacing w:after="0" w:line="127" w:lineRule="exact"/>
        <w:rPr>
          <w:sz w:val="20"/>
          <w:szCs w:val="20"/>
          <w:color w:val="auto"/>
        </w:rPr>
      </w:pPr>
    </w:p>
    <w:p>
      <w:pPr>
        <w:jc w:val="both"/>
        <w:ind w:right="60"/>
        <w:spacing w:after="0" w:line="234" w:lineRule="auto"/>
        <w:rPr>
          <w:sz w:val="20"/>
          <w:szCs w:val="20"/>
          <w:color w:val="auto"/>
        </w:rPr>
      </w:pPr>
      <w:r>
        <w:rPr>
          <w:rFonts w:ascii="Arial" w:cs="Arial" w:eastAsia="Arial" w:hAnsi="Arial"/>
          <w:sz w:val="10"/>
          <w:szCs w:val="10"/>
          <w:color w:val="auto"/>
        </w:rPr>
        <w:t>Our shift to energy and chemicals parks means we will reduce our production of traditional fuels by 55% by 2030, from around 100 mtpa to 45 mtpa. We plan to build on Shell’s leading position in hydrogen by developing integrated hydrogen hubs to serve industry and heavy-duty transport, aiming to achieve double-digit share of global clean hydrogen sales.</w:t>
      </w:r>
    </w:p>
    <w:p>
      <w:pPr>
        <w:spacing w:after="0" w:line="150" w:lineRule="exact"/>
        <w:rPr>
          <w:sz w:val="20"/>
          <w:szCs w:val="20"/>
          <w:color w:val="auto"/>
        </w:rPr>
      </w:pPr>
    </w:p>
    <w:p>
      <w:pPr>
        <w:ind w:right="20"/>
        <w:spacing w:after="0" w:line="232" w:lineRule="auto"/>
        <w:rPr>
          <w:sz w:val="20"/>
          <w:szCs w:val="20"/>
          <w:color w:val="auto"/>
        </w:rPr>
      </w:pPr>
      <w:r>
        <w:rPr>
          <w:rFonts w:ascii="Arial" w:cs="Arial" w:eastAsia="Arial" w:hAnsi="Arial"/>
          <w:sz w:val="10"/>
          <w:szCs w:val="10"/>
          <w:color w:val="auto"/>
        </w:rPr>
        <w:t>It is not enough for Shell to take action on its own. We can only meet our net-zero target as part of a world that is also heading to net zero. That will require a reduction in the global supply of carbon-based energy, which can only happen if demand for carbon-based energy also reduces. So Shell, as a supplier, must work with customers on a sector-by-sector basis, to develop the right pathways to transition each sector from carbon-based energy to low-carbon solutions.</w:t>
      </w:r>
    </w:p>
    <w:p>
      <w:pPr>
        <w:spacing w:after="0" w:line="149" w:lineRule="exact"/>
        <w:rPr>
          <w:sz w:val="20"/>
          <w:szCs w:val="20"/>
          <w:color w:val="auto"/>
        </w:rPr>
      </w:pPr>
    </w:p>
    <w:p>
      <w:pPr>
        <w:spacing w:after="0" w:line="233" w:lineRule="auto"/>
        <w:rPr>
          <w:sz w:val="20"/>
          <w:szCs w:val="20"/>
          <w:color w:val="auto"/>
        </w:rPr>
      </w:pPr>
      <w:r>
        <w:rPr>
          <w:rFonts w:ascii="Arial" w:cs="Arial" w:eastAsia="Arial" w:hAnsi="Arial"/>
          <w:sz w:val="10"/>
          <w:szCs w:val="10"/>
          <w:color w:val="auto"/>
        </w:rPr>
        <w:t>Shell’s marketing business is being restructured on a sectoral basis. This in turn will help us to make progress in working with customers on a sector-by-sector basis.</w:t>
      </w:r>
    </w:p>
    <w:p>
      <w:pPr>
        <w:spacing w:after="0" w:line="1" w:lineRule="exact"/>
        <w:rPr>
          <w:sz w:val="20"/>
          <w:szCs w:val="20"/>
          <w:color w:val="auto"/>
        </w:rPr>
      </w:pPr>
    </w:p>
    <w:p>
      <w:pPr>
        <w:ind w:right="360"/>
        <w:spacing w:after="0" w:line="337" w:lineRule="auto"/>
        <w:rPr>
          <w:sz w:val="20"/>
          <w:szCs w:val="20"/>
          <w:color w:val="auto"/>
        </w:rPr>
      </w:pPr>
      <w:r>
        <w:rPr>
          <w:rFonts w:ascii="Arial" w:cs="Arial" w:eastAsia="Arial" w:hAnsi="Arial"/>
          <w:sz w:val="8"/>
          <w:szCs w:val="8"/>
          <w:color w:val="auto"/>
        </w:rPr>
        <w:t>Our mission is to help the millions of brand-loyal customers whom we serve every day – from individual energy consumers to large businesses – to decarbonise. We have the scale and the competitive advantage to generate profit from this shared ambition.</w:t>
      </w:r>
    </w:p>
    <w:p>
      <w:pPr>
        <w:spacing w:after="0" w:line="112" w:lineRule="exact"/>
        <w:rPr>
          <w:sz w:val="20"/>
          <w:szCs w:val="20"/>
          <w:color w:val="auto"/>
        </w:rPr>
      </w:pPr>
    </w:p>
    <w:p>
      <w:pPr>
        <w:ind w:right="40"/>
        <w:spacing w:after="0" w:line="233" w:lineRule="auto"/>
        <w:rPr>
          <w:sz w:val="20"/>
          <w:szCs w:val="20"/>
          <w:color w:val="auto"/>
        </w:rPr>
      </w:pPr>
      <w:r>
        <w:rPr>
          <w:rFonts w:ascii="Arial" w:cs="Arial" w:eastAsia="Arial" w:hAnsi="Arial"/>
          <w:sz w:val="10"/>
          <w:szCs w:val="10"/>
          <w:color w:val="auto"/>
        </w:rPr>
        <w:t>Our marketing platform is one of the best in the energy industry. Spanning 160 markets, every day we serve more than 30 million customers at our retail sites; and one million businesses.</w:t>
      </w:r>
    </w:p>
    <w:p>
      <w:pPr>
        <w:spacing w:after="0" w:line="1" w:lineRule="exact"/>
        <w:rPr>
          <w:sz w:val="20"/>
          <w:szCs w:val="20"/>
          <w:color w:val="auto"/>
        </w:rPr>
      </w:pPr>
    </w:p>
    <w:p>
      <w:pPr>
        <w:ind w:right="120"/>
        <w:spacing w:after="0" w:line="225" w:lineRule="auto"/>
        <w:rPr>
          <w:sz w:val="20"/>
          <w:szCs w:val="20"/>
          <w:color w:val="auto"/>
        </w:rPr>
      </w:pPr>
      <w:r>
        <w:rPr>
          <w:rFonts w:ascii="Arial" w:cs="Arial" w:eastAsia="Arial" w:hAnsi="Arial"/>
          <w:sz w:val="10"/>
          <w:szCs w:val="10"/>
          <w:color w:val="auto"/>
        </w:rPr>
        <w:t>Our customer access gives us first-hand insights, helping us to deliver what our customers want rather than offering what others think they need.</w:t>
      </w:r>
    </w:p>
    <w:p>
      <w:pPr>
        <w:ind w:right="120"/>
        <w:spacing w:after="0" w:line="231" w:lineRule="auto"/>
        <w:rPr>
          <w:sz w:val="20"/>
          <w:szCs w:val="20"/>
          <w:color w:val="auto"/>
        </w:rPr>
      </w:pPr>
      <w:r>
        <w:rPr>
          <w:rFonts w:ascii="Arial" w:cs="Arial" w:eastAsia="Arial" w:hAnsi="Arial"/>
          <w:sz w:val="10"/>
          <w:szCs w:val="10"/>
          <w:color w:val="auto"/>
        </w:rPr>
        <w:t>This will help us to grow our existing marketing platforms profitably, while also increasing the decarbonisation choices across sectors and countries.</w:t>
      </w:r>
    </w:p>
    <w:p>
      <w:pPr>
        <w:spacing w:after="0" w:line="149" w:lineRule="exact"/>
        <w:rPr>
          <w:sz w:val="20"/>
          <w:szCs w:val="20"/>
          <w:color w:val="auto"/>
        </w:rPr>
      </w:pPr>
    </w:p>
    <w:p>
      <w:pPr>
        <w:ind w:right="120"/>
        <w:spacing w:after="0" w:line="229" w:lineRule="auto"/>
        <w:rPr>
          <w:sz w:val="20"/>
          <w:szCs w:val="20"/>
          <w:color w:val="auto"/>
        </w:rPr>
      </w:pPr>
      <w:r>
        <w:rPr>
          <w:rFonts w:ascii="Arial" w:cs="Arial" w:eastAsia="Arial" w:hAnsi="Arial"/>
          <w:sz w:val="10"/>
          <w:szCs w:val="10"/>
          <w:color w:val="auto"/>
        </w:rPr>
        <w:t>Our global ambition is that by 2025 we are operating more than half a million electric-vehicle charging points for businesses, fleets and customers, at our retail sites and people’s homes. This number is expected to rise to 2.5 million charging points operated by Shell by 2030. For drivers who are unable to switch to an electric vehicle immediately, we also offer carbon-neutral driving using nature-based carbon offsets, in seven countries including the UK.</w:t>
      </w:r>
    </w:p>
    <w:p>
      <w:pPr>
        <w:spacing w:after="0" w:line="1" w:lineRule="exact"/>
        <w:rPr>
          <w:sz w:val="20"/>
          <w:szCs w:val="20"/>
          <w:color w:val="auto"/>
        </w:rPr>
      </w:pPr>
    </w:p>
    <w:p>
      <w:pPr>
        <w:ind w:right="60"/>
        <w:spacing w:after="0" w:line="337" w:lineRule="auto"/>
        <w:rPr>
          <w:sz w:val="20"/>
          <w:szCs w:val="20"/>
          <w:color w:val="auto"/>
        </w:rPr>
      </w:pPr>
      <w:r>
        <w:rPr>
          <w:rFonts w:ascii="Arial" w:cs="Arial" w:eastAsia="Arial" w:hAnsi="Arial"/>
          <w:sz w:val="8"/>
          <w:szCs w:val="8"/>
          <w:color w:val="auto"/>
        </w:rPr>
        <w:t>We are positioning ourselves to profitably deliver integrated offers by cross-selling to motorists and home energy customers. Our integrated solutions will help our business customers to navigate the challenges and opportunities of decarbonisation.</w:t>
      </w:r>
    </w:p>
    <w:p>
      <w:pPr>
        <w:spacing w:after="0" w:line="112" w:lineRule="exact"/>
        <w:rPr>
          <w:sz w:val="20"/>
          <w:szCs w:val="20"/>
          <w:color w:val="auto"/>
        </w:rPr>
      </w:pPr>
    </w:p>
    <w:p>
      <w:pPr>
        <w:ind w:right="180"/>
        <w:spacing w:after="0" w:line="234" w:lineRule="auto"/>
        <w:rPr>
          <w:sz w:val="20"/>
          <w:szCs w:val="20"/>
          <w:color w:val="auto"/>
        </w:rPr>
      </w:pPr>
      <w:r>
        <w:rPr>
          <w:rFonts w:ascii="Arial" w:cs="Arial" w:eastAsia="Arial" w:hAnsi="Arial"/>
          <w:sz w:val="10"/>
          <w:szCs w:val="10"/>
          <w:color w:val="auto"/>
        </w:rPr>
        <w:t>One such customer is Penske Corporation in the USA. We work closely with this customer across truck leasing, logistics and automotive retail. We provide Penske Corporation with products and services ranging from fuels and lubricants, to electric-vehicle charging and renewable power.</w:t>
      </w:r>
    </w:p>
    <w:p>
      <w:pPr>
        <w:spacing w:after="0" w:line="150" w:lineRule="exact"/>
        <w:rPr>
          <w:sz w:val="20"/>
          <w:szCs w:val="20"/>
          <w:color w:val="auto"/>
        </w:rPr>
      </w:pPr>
    </w:p>
    <w:p>
      <w:pPr>
        <w:spacing w:after="0"/>
        <w:rPr>
          <w:sz w:val="20"/>
          <w:szCs w:val="20"/>
          <w:color w:val="auto"/>
        </w:rPr>
      </w:pPr>
      <w:r>
        <w:rPr>
          <w:rFonts w:ascii="Arial" w:cs="Arial" w:eastAsia="Arial" w:hAnsi="Arial"/>
          <w:sz w:val="8"/>
          <w:szCs w:val="8"/>
          <w:color w:val="auto"/>
        </w:rPr>
        <w:t>Our approach to commercial road transport is similar to how we work with other hard-to-decarbonise sectors such as shipping and aviation.</w:t>
      </w:r>
    </w:p>
    <w:p>
      <w:pPr>
        <w:spacing w:after="0" w:line="24" w:lineRule="exact"/>
        <w:rPr>
          <w:sz w:val="20"/>
          <w:szCs w:val="20"/>
          <w:color w:val="auto"/>
        </w:rPr>
      </w:pPr>
    </w:p>
    <w:p>
      <w:pPr>
        <w:spacing w:after="0"/>
        <w:rPr>
          <w:sz w:val="20"/>
          <w:szCs w:val="20"/>
          <w:color w:val="auto"/>
        </w:rPr>
      </w:pPr>
      <w:r>
        <w:rPr>
          <w:rFonts w:ascii="Arial" w:cs="Arial" w:eastAsia="Arial" w:hAnsi="Arial"/>
          <w:sz w:val="8"/>
          <w:szCs w:val="8"/>
          <w:color w:val="auto"/>
        </w:rPr>
        <w:t>We are working with transport companies, truck manufacturers and policymakers to identify profitable pathways to decarbonisation.</w:t>
      </w:r>
    </w:p>
    <w:p>
      <w:pPr>
        <w:spacing w:after="0" w:line="170" w:lineRule="exact"/>
        <w:rPr>
          <w:sz w:val="20"/>
          <w:szCs w:val="20"/>
          <w:color w:val="auto"/>
        </w:rPr>
      </w:pPr>
    </w:p>
    <w:p>
      <w:pPr>
        <w:ind w:right="20"/>
        <w:spacing w:after="0" w:line="234" w:lineRule="auto"/>
        <w:rPr>
          <w:sz w:val="20"/>
          <w:szCs w:val="20"/>
          <w:color w:val="auto"/>
        </w:rPr>
      </w:pPr>
      <w:r>
        <w:rPr>
          <w:rFonts w:ascii="Arial" w:cs="Arial" w:eastAsia="Arial" w:hAnsi="Arial"/>
          <w:sz w:val="10"/>
          <w:szCs w:val="10"/>
          <w:color w:val="auto"/>
        </w:rPr>
        <w:t>We are already one of the world’s largest blenders and distributors of biofuels, and we will continue to invest in and increase the production of these low-carbon fuels. Over the next decade, we will help customers in Europe, China and on the US West Coast to transition to liquefied natural gas (LNG) and biogas.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160"/>
        <w:spacing w:after="0" w:line="239" w:lineRule="auto"/>
        <w:rPr>
          <w:sz w:val="20"/>
          <w:szCs w:val="20"/>
          <w:color w:val="auto"/>
        </w:rPr>
      </w:pPr>
      <w:r>
        <w:rPr>
          <w:rFonts w:ascii="Arial" w:cs="Arial" w:eastAsia="Arial" w:hAnsi="Arial"/>
          <w:sz w:val="10"/>
          <w:szCs w:val="10"/>
          <w:color w:val="auto"/>
        </w:rPr>
        <w:t>Hydrogen also offers a route to lowering emissions. We are part of the H2Accelerate consortium, which looks at ways to create infrastructure for generating and supplying hydrogen across Europe.</w:t>
      </w:r>
    </w:p>
    <w:p>
      <w:pPr>
        <w:spacing w:after="0" w:line="149" w:lineRule="exact"/>
        <w:rPr>
          <w:sz w:val="20"/>
          <w:szCs w:val="20"/>
          <w:color w:val="auto"/>
        </w:rPr>
      </w:pPr>
    </w:p>
    <w:p>
      <w:pPr>
        <w:ind w:right="160"/>
        <w:spacing w:after="0" w:line="234" w:lineRule="auto"/>
        <w:rPr>
          <w:sz w:val="20"/>
          <w:szCs w:val="20"/>
          <w:color w:val="auto"/>
        </w:rPr>
      </w:pPr>
      <w:r>
        <w:rPr>
          <w:rFonts w:ascii="Arial" w:cs="Arial" w:eastAsia="Arial" w:hAnsi="Arial"/>
          <w:sz w:val="10"/>
          <w:szCs w:val="10"/>
          <w:color w:val="auto"/>
        </w:rPr>
        <w:t>In Power, we are working with our customers in different markets, finding commercial ways to meet their specific needs. Our scale, reach, brand strength and trading capability set us up to succeed. An example is our deal to supply Amazon with renewable power, which is helping it to fulfil its climate pledges.</w:t>
      </w:r>
    </w:p>
    <w:p>
      <w:pPr>
        <w:spacing w:after="0" w:line="150" w:lineRule="exact"/>
        <w:rPr>
          <w:sz w:val="20"/>
          <w:szCs w:val="20"/>
          <w:color w:val="auto"/>
        </w:rPr>
      </w:pPr>
    </w:p>
    <w:p>
      <w:pPr>
        <w:ind w:right="260"/>
        <w:spacing w:after="0" w:line="230" w:lineRule="auto"/>
        <w:rPr>
          <w:sz w:val="20"/>
          <w:szCs w:val="20"/>
          <w:color w:val="auto"/>
        </w:rPr>
      </w:pPr>
      <w:r>
        <w:rPr>
          <w:rFonts w:ascii="Arial" w:cs="Arial" w:eastAsia="Arial" w:hAnsi="Arial"/>
          <w:sz w:val="10"/>
          <w:szCs w:val="10"/>
          <w:color w:val="auto"/>
        </w:rPr>
        <w:t>We are also supporting infrastructure development through our investments in Silicon Ranch and Cleantech Solar. Combined, these two companies have over 350 solar farms in the USA and South-east Asia. In Australia and in Oman, Shell is building its first large-scale solar farms.</w:t>
      </w:r>
    </w:p>
    <w:p>
      <w:pPr>
        <w:spacing w:after="0" w:line="1" w:lineRule="exact"/>
        <w:rPr>
          <w:sz w:val="20"/>
          <w:szCs w:val="20"/>
          <w:color w:val="auto"/>
        </w:rPr>
      </w:pPr>
    </w:p>
    <w:p>
      <w:pPr>
        <w:ind w:right="140"/>
        <w:spacing w:after="0" w:line="225" w:lineRule="auto"/>
        <w:rPr>
          <w:sz w:val="20"/>
          <w:szCs w:val="20"/>
          <w:color w:val="auto"/>
        </w:rPr>
      </w:pPr>
      <w:r>
        <w:rPr>
          <w:rFonts w:ascii="Arial" w:cs="Arial" w:eastAsia="Arial" w:hAnsi="Arial"/>
          <w:sz w:val="10"/>
          <w:szCs w:val="10"/>
          <w:color w:val="auto"/>
        </w:rPr>
        <w:t>Shell’s infrastructure, systems integration, experience and people put us in a strong position to profitably meet the current and future needs of our customers, helping them and society to decarbonise for a net-zero emissions future.</w:t>
      </w:r>
    </w:p>
    <w:p>
      <w:pPr>
        <w:ind w:right="200"/>
        <w:spacing w:after="0" w:line="309" w:lineRule="auto"/>
        <w:rPr>
          <w:sz w:val="20"/>
          <w:szCs w:val="20"/>
          <w:color w:val="auto"/>
        </w:rPr>
      </w:pPr>
      <w:r>
        <w:rPr>
          <w:rFonts w:ascii="Arial" w:cs="Arial" w:eastAsia="Arial" w:hAnsi="Arial"/>
          <w:sz w:val="8"/>
          <w:szCs w:val="8"/>
          <w:color w:val="auto"/>
        </w:rPr>
        <w:t>We are restructuring so that we have marketing teams facing individual sectors. We are also developing a carbon management framework to guide decision-making on investments in assets and businesses that align with our climate target. We intend to have carbon budgets for customer-facing businesses to motivate them to find value growth by switching from high-carbon income to low-carbon income.</w:t>
      </w:r>
    </w:p>
    <w:p>
      <w:pPr>
        <w:spacing w:after="0" w:line="123" w:lineRule="exact"/>
        <w:rPr>
          <w:sz w:val="20"/>
          <w:szCs w:val="20"/>
          <w:color w:val="auto"/>
        </w:rPr>
      </w:pPr>
    </w:p>
    <w:p>
      <w:pPr>
        <w:ind w:right="420"/>
        <w:spacing w:after="0" w:line="358" w:lineRule="auto"/>
        <w:rPr>
          <w:sz w:val="20"/>
          <w:szCs w:val="20"/>
          <w:color w:val="auto"/>
        </w:rPr>
      </w:pPr>
      <w:r>
        <w:rPr>
          <w:rFonts w:ascii="Arial" w:cs="Arial" w:eastAsia="Arial" w:hAnsi="Arial"/>
          <w:sz w:val="8"/>
          <w:szCs w:val="8"/>
          <w:color w:val="auto"/>
        </w:rPr>
        <w:t>Shell believes that the need to reduce GHG emissions will continue to be an important driver in transforming the energy system in this century. This transformation will generate both challenges and opportunities for our existing and future portfolio.</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TRANSPARENCY AND COLLABORATION</w:t>
      </w:r>
    </w:p>
    <w:p>
      <w:pPr>
        <w:spacing w:after="0" w:line="1" w:lineRule="exact"/>
        <w:rPr>
          <w:sz w:val="20"/>
          <w:szCs w:val="20"/>
          <w:color w:val="auto"/>
        </w:rPr>
      </w:pPr>
    </w:p>
    <w:p>
      <w:pPr>
        <w:ind w:right="120"/>
        <w:spacing w:after="0" w:line="281" w:lineRule="auto"/>
        <w:rPr>
          <w:sz w:val="20"/>
          <w:szCs w:val="20"/>
          <w:color w:val="auto"/>
        </w:rPr>
      </w:pPr>
      <w:r>
        <w:rPr>
          <w:rFonts w:ascii="Arial" w:cs="Arial" w:eastAsia="Arial" w:hAnsi="Arial"/>
          <w:sz w:val="8"/>
          <w:szCs w:val="8"/>
          <w:color w:val="auto"/>
        </w:rPr>
        <w:t>We support efforts to increase transparency and investors' understanding of companies' strategies for responding to the risks and opportunities of climate change. We do this through engagement with external stakeholders such as industry associations beyond the energy industry, standard setters, non-governmental organisations (NGOs), investors, and initiatives on different topics including climate change. With publications such as our 2020 Sustainability Report and our 2020 Industry Associations Climate Review update (both planned to be published in April 2021) we aim to provide additional information to that in this Report to address requests and recommendations from different reporting frameworks and standards. Some examples of those frameworks and engagements are described below.</w:t>
      </w:r>
    </w:p>
    <w:p>
      <w:pPr>
        <w:spacing w:after="0" w:line="2" w:lineRule="exact"/>
        <w:rPr>
          <w:sz w:val="20"/>
          <w:szCs w:val="20"/>
          <w:color w:val="auto"/>
        </w:rPr>
      </w:pPr>
    </w:p>
    <w:p>
      <w:pPr>
        <w:ind w:left="440" w:right="160" w:hanging="215"/>
        <w:spacing w:after="0" w:line="225" w:lineRule="auto"/>
        <w:tabs>
          <w:tab w:leader="none" w:pos="438" w:val="left"/>
        </w:tabs>
        <w:numPr>
          <w:ilvl w:val="0"/>
          <w:numId w:val="73"/>
        </w:numPr>
        <w:rPr>
          <w:rFonts w:ascii="Arial" w:cs="Arial" w:eastAsia="Arial" w:hAnsi="Arial"/>
          <w:sz w:val="10"/>
          <w:szCs w:val="10"/>
          <w:color w:val="auto"/>
        </w:rPr>
      </w:pPr>
      <w:r>
        <w:rPr>
          <w:rFonts w:ascii="Arial" w:cs="Arial" w:eastAsia="Arial" w:hAnsi="Arial"/>
          <w:sz w:val="10"/>
          <w:szCs w:val="10"/>
          <w:color w:val="auto"/>
        </w:rPr>
        <w:t>We continue to support the Task Force on Climate-related Financial Disclosures (TCFD) recommendations and apply them to our reporting. We aim to address the recommendations with this Report and other Shell publications such as the 2020 Sustainability Report and 2020 Industry Associations Climate Review update (both due to be published in April 2021), and our latest scenarios Islands, Waves, and Sky 1.5.</w:t>
      </w:r>
    </w:p>
    <w:p>
      <w:pPr>
        <w:ind w:left="440" w:right="340" w:hanging="215"/>
        <w:spacing w:after="0" w:line="225" w:lineRule="auto"/>
        <w:tabs>
          <w:tab w:leader="none" w:pos="438" w:val="left"/>
        </w:tabs>
        <w:numPr>
          <w:ilvl w:val="0"/>
          <w:numId w:val="73"/>
        </w:numPr>
        <w:rPr>
          <w:rFonts w:ascii="Arial" w:cs="Arial" w:eastAsia="Arial" w:hAnsi="Arial"/>
          <w:sz w:val="10"/>
          <w:szCs w:val="10"/>
          <w:color w:val="auto"/>
        </w:rPr>
      </w:pPr>
      <w:r>
        <w:rPr>
          <w:rFonts w:ascii="Arial" w:cs="Arial" w:eastAsia="Arial" w:hAnsi="Arial"/>
          <w:sz w:val="10"/>
          <w:szCs w:val="10"/>
          <w:color w:val="auto"/>
        </w:rPr>
        <w:t>As a member of the Oil and Gas Climate Initiative (OGCI) we are one of a group of 12 national and international energy companies that focus on action that has real impact now and delivers on decarbonisation in the coming decades (see Methane initiatives and collaborations, page 80).</w:t>
      </w:r>
    </w:p>
    <w:p>
      <w:pPr>
        <w:ind w:left="440" w:right="120" w:hanging="215"/>
        <w:spacing w:after="0" w:line="292" w:lineRule="auto"/>
        <w:tabs>
          <w:tab w:leader="none" w:pos="438" w:val="left"/>
        </w:tabs>
        <w:numPr>
          <w:ilvl w:val="0"/>
          <w:numId w:val="73"/>
        </w:numPr>
        <w:rPr>
          <w:rFonts w:ascii="Arial" w:cs="Arial" w:eastAsia="Arial" w:hAnsi="Arial"/>
          <w:sz w:val="8"/>
          <w:szCs w:val="8"/>
          <w:color w:val="auto"/>
        </w:rPr>
      </w:pPr>
      <w:r>
        <w:rPr>
          <w:rFonts w:ascii="Arial" w:cs="Arial" w:eastAsia="Arial" w:hAnsi="Arial"/>
          <w:sz w:val="8"/>
          <w:szCs w:val="8"/>
          <w:color w:val="auto"/>
        </w:rPr>
        <w:t>In December 2020, eight leading energy companies including Shell announced that they had jointly developed and agreed to apply six Energy Transition Principles. These principles aim to support the collective industry acceleration to contribute to the Paris Agreement objectives by delivering progress on reducing GHG emissions, the role of carbon sinks, and the importance of transparency and alignment on climate change with trade associations. The companies are building further on this collaboration to drive more consistency and transparency in greenhouse gas reporting, and in measurement of the emissions which may occur at different points in the value chain.</w:t>
      </w:r>
    </w:p>
    <w:p>
      <w:pPr>
        <w:spacing w:after="0" w:line="88" w:lineRule="exact"/>
        <w:rPr>
          <w:rFonts w:ascii="Arial" w:cs="Arial" w:eastAsia="Arial" w:hAnsi="Arial"/>
          <w:sz w:val="8"/>
          <w:szCs w:val="8"/>
          <w:color w:val="auto"/>
        </w:rPr>
      </w:pPr>
    </w:p>
    <w:p>
      <w:pPr>
        <w:ind w:left="440" w:right="120" w:hanging="215"/>
        <w:spacing w:after="0" w:line="206" w:lineRule="auto"/>
        <w:tabs>
          <w:tab w:leader="none" w:pos="438" w:val="left"/>
        </w:tabs>
        <w:numPr>
          <w:ilvl w:val="0"/>
          <w:numId w:val="73"/>
        </w:numPr>
        <w:rPr>
          <w:rFonts w:ascii="Arial" w:cs="Arial" w:eastAsia="Arial" w:hAnsi="Arial"/>
          <w:sz w:val="10"/>
          <w:szCs w:val="10"/>
          <w:color w:val="auto"/>
        </w:rPr>
      </w:pPr>
      <w:r>
        <w:rPr>
          <w:rFonts w:ascii="Arial" w:cs="Arial" w:eastAsia="Arial" w:hAnsi="Arial"/>
          <w:sz w:val="10"/>
          <w:szCs w:val="10"/>
          <w:color w:val="auto"/>
        </w:rPr>
        <w:t>We continue to engage with the Science Based Targets initiative (SBTi), and we are a member of its Technical Working Group that is currently working to define the methodology for the oil, gas and integrated energy sector.</w:t>
      </w:r>
    </w:p>
    <w:p>
      <w:pPr>
        <w:ind w:left="440" w:right="420" w:hanging="215"/>
        <w:spacing w:after="0" w:line="314" w:lineRule="auto"/>
        <w:tabs>
          <w:tab w:leader="none" w:pos="438" w:val="left"/>
        </w:tabs>
        <w:numPr>
          <w:ilvl w:val="0"/>
          <w:numId w:val="73"/>
        </w:numPr>
        <w:rPr>
          <w:rFonts w:ascii="Arial" w:cs="Arial" w:eastAsia="Arial" w:hAnsi="Arial"/>
          <w:sz w:val="8"/>
          <w:szCs w:val="8"/>
          <w:color w:val="auto"/>
        </w:rPr>
      </w:pPr>
      <w:r>
        <w:rPr>
          <w:rFonts w:ascii="Arial" w:cs="Arial" w:eastAsia="Arial" w:hAnsi="Arial"/>
          <w:sz w:val="8"/>
          <w:szCs w:val="8"/>
          <w:color w:val="auto"/>
        </w:rPr>
        <w:t>Some governments have introduced carbon pricing mechanisms, which we believe can be an effective way to reduce GHG emissions across the economy at the lowest overall cost to society. We expect more governments to follow. Shell is</w:t>
      </w:r>
    </w:p>
    <w:p>
      <w:pPr>
        <w:spacing w:after="0" w:line="737" w:lineRule="exact"/>
        <w:rPr>
          <w:sz w:val="20"/>
          <w:szCs w:val="20"/>
          <w:color w:val="auto"/>
        </w:rPr>
      </w:pPr>
    </w:p>
    <w:p>
      <w:pPr>
        <w:sectPr>
          <w:pgSz w:w="11900" w:h="16838" w:orient="portrait"/>
          <w:cols w:equalWidth="0" w:num="2">
            <w:col w:w="5420" w:space="300"/>
            <w:col w:w="5580"/>
          </w:cols>
          <w:pgMar w:left="300" w:top="640" w:right="299" w:bottom="1440" w:gutter="0" w:footer="0" w:header="0"/>
        </w:sectPr>
      </w:pP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74</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77" w:name="page78"/>
    <w:bookmarkEnd w:id="77"/>
    <w:p>
      <w:pPr>
        <w:ind w:left="420"/>
        <w:spacing w:after="0" w:line="218" w:lineRule="auto"/>
        <w:rPr>
          <w:sz w:val="20"/>
          <w:szCs w:val="20"/>
          <w:color w:val="auto"/>
        </w:rPr>
      </w:pPr>
      <w:r>
        <w:rPr>
          <w:rFonts w:ascii="Arial" w:cs="Arial" w:eastAsia="Arial" w:hAnsi="Arial"/>
          <w:sz w:val="10"/>
          <w:szCs w:val="10"/>
          <w:color w:val="auto"/>
        </w:rPr>
        <w:t>encouraging carbon pricing mechanisms so that businesses and consumers are further incentivised to improve energy efficiency, provide and switch to lower-carbon options, and reduce carbon emissions. Such mechanisms can also help encourage projects such as CCS facilities and nature-based solutions like the planting of forests. Shell continues to work with governments to produce effective transition plans and policies.</w:t>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color w:val="auto"/>
        </w:rPr>
        <w:t>OUR GOVERNANCE OF CLIMATE CHANGE</w:t>
      </w:r>
    </w:p>
    <w:p>
      <w:pPr>
        <w:ind w:right="140"/>
        <w:spacing w:after="0" w:line="225" w:lineRule="auto"/>
        <w:rPr>
          <w:sz w:val="20"/>
          <w:szCs w:val="20"/>
          <w:color w:val="auto"/>
        </w:rPr>
      </w:pPr>
      <w:r>
        <w:rPr>
          <w:rFonts w:ascii="Arial" w:cs="Arial" w:eastAsia="Arial" w:hAnsi="Arial"/>
          <w:sz w:val="10"/>
          <w:szCs w:val="10"/>
          <w:color w:val="auto"/>
        </w:rPr>
        <w:t>Climate change and risks resulting from GHG emissions are a significant risk factor for Shell. They are managed in accordance with other significant risks through the Board and the Executive Committee.</w:t>
      </w:r>
    </w:p>
    <w:p>
      <w:pPr>
        <w:spacing w:after="0" w:line="281" w:lineRule="auto"/>
        <w:rPr>
          <w:sz w:val="20"/>
          <w:szCs w:val="20"/>
          <w:color w:val="auto"/>
        </w:rPr>
      </w:pPr>
      <w:r>
        <w:rPr>
          <w:rFonts w:ascii="Arial" w:cs="Arial" w:eastAsia="Arial" w:hAnsi="Arial"/>
          <w:sz w:val="8"/>
          <w:szCs w:val="8"/>
          <w:color w:val="auto"/>
        </w:rPr>
        <w:t>Shell´s climate change risk management structure includes the work of the Board. In 2020, the Board discussed a variety of energy transition and climate change-related subjects. These included environmental topics ahead of Responsible Investment Day and Shell´s announcement of its target to be a net-zero emissions energy business by 2050, in step with society. Directors received information on opportunities and priorities in the New Energies area. Throughout the year, Directors were also informed about topics of interest among investors and other stakeholder groups. These included sustainability, governance and the energy transition. During the annual strategy meeting, in virtual format, the Board discussed various topics including the energy transition and its implications.</w:t>
      </w:r>
    </w:p>
    <w:p>
      <w:pPr>
        <w:spacing w:after="0"/>
        <w:rPr>
          <w:sz w:val="20"/>
          <w:szCs w:val="20"/>
          <w:color w:val="auto"/>
        </w:rPr>
      </w:pPr>
      <w:r>
        <w:rPr>
          <w:rFonts w:ascii="Arial" w:cs="Arial" w:eastAsia="Arial" w:hAnsi="Arial"/>
          <w:sz w:val="10"/>
          <w:szCs w:val="10"/>
          <w:color w:val="auto"/>
        </w:rPr>
        <w:t>For more information on the activities of the Board see "Board activities and evaluation" on pages 96-102.</w:t>
      </w:r>
    </w:p>
    <w:p>
      <w:pPr>
        <w:spacing w:after="0" w:line="140" w:lineRule="exact"/>
        <w:rPr>
          <w:sz w:val="20"/>
          <w:szCs w:val="20"/>
          <w:color w:val="auto"/>
        </w:rPr>
      </w:pPr>
    </w:p>
    <w:p>
      <w:pPr>
        <w:ind w:right="240"/>
        <w:spacing w:after="0" w:line="239" w:lineRule="auto"/>
        <w:rPr>
          <w:sz w:val="20"/>
          <w:szCs w:val="20"/>
          <w:color w:val="auto"/>
        </w:rPr>
      </w:pPr>
      <w:r>
        <w:rPr>
          <w:rFonts w:ascii="Arial" w:cs="Arial" w:eastAsia="Arial" w:hAnsi="Arial"/>
          <w:sz w:val="10"/>
          <w:szCs w:val="10"/>
          <w:color w:val="auto"/>
        </w:rPr>
        <w:t>The Board committees play an important role in assisting the Board with regard to governance and oversight of management of climate change risks and opportunities, as described in "Governance" on page 99.</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8"/>
          <w:szCs w:val="8"/>
          <w:color w:val="auto"/>
        </w:rPr>
        <w:t>The Safety, Environment and Sustainability Committee (SESCo) assists the Board in reviewing the practices and the performance of the Shell Group of companies, primarily with respect to safety, environment including climate change, and sustainability. When reviewing these areas and deciding how to advise the Board, SESCo takes into account Shell's General Business Principles, Code of Conduct, and HSSE &amp; SP Control Framework. SESCo´s duties include reviewing Shell's progress towards meeting our climate targets and the energy transition. SESCo also advises the Remuneration Committee on metrics relating to sustainable development and energy transition.</w:t>
      </w:r>
    </w:p>
    <w:p>
      <w:pPr>
        <w:spacing w:after="0" w:line="126" w:lineRule="exact"/>
        <w:rPr>
          <w:sz w:val="20"/>
          <w:szCs w:val="20"/>
          <w:color w:val="auto"/>
        </w:rPr>
      </w:pPr>
    </w:p>
    <w:p>
      <w:pPr>
        <w:spacing w:after="0"/>
        <w:rPr>
          <w:sz w:val="20"/>
          <w:szCs w:val="20"/>
          <w:color w:val="auto"/>
        </w:rPr>
      </w:pPr>
      <w:r>
        <w:rPr>
          <w:rFonts w:ascii="Arial" w:cs="Arial" w:eastAsia="Arial" w:hAnsi="Arial"/>
          <w:sz w:val="10"/>
          <w:szCs w:val="10"/>
          <w:color w:val="auto"/>
        </w:rPr>
        <w:t>For more information about SESCo´s activities around climate change and energy transition see page 106.</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0"/>
          <w:szCs w:val="10"/>
          <w:color w:val="auto"/>
        </w:rPr>
        <w:t>The Remuneration Committee (REMCO) is responsible for determining the Directors’ Remuneration Policy, in alignment with our business strategy.</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Annual scorecard</w:t>
      </w:r>
    </w:p>
    <w:p>
      <w:pPr>
        <w:spacing w:after="0" w:line="154" w:lineRule="exact"/>
        <w:rPr>
          <w:sz w:val="20"/>
          <w:szCs w:val="20"/>
          <w:color w:val="auto"/>
        </w:rPr>
      </w:pPr>
    </w:p>
    <w:p>
      <w:pPr>
        <w:ind w:right="100"/>
        <w:spacing w:after="0" w:line="234" w:lineRule="auto"/>
        <w:rPr>
          <w:sz w:val="20"/>
          <w:szCs w:val="20"/>
          <w:color w:val="auto"/>
        </w:rPr>
      </w:pPr>
      <w:r>
        <w:rPr>
          <w:rFonts w:ascii="Arial" w:cs="Arial" w:eastAsia="Arial" w:hAnsi="Arial"/>
          <w:sz w:val="10"/>
          <w:szCs w:val="10"/>
          <w:color w:val="auto"/>
        </w:rPr>
        <w:t>Starting in 2021, we are increasing the weight associated with GHG emissions management. The GHG emissions intensity metric and its weight (10%) will remain unaltered, but we will add a new metric that measures the execution of GHG-abatement projects with a weight of 5% (see page 134 for more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1"/>
          <w:szCs w:val="11"/>
          <w:color w:val="auto"/>
        </w:rPr>
        <w:t>Performance Share Plan and Long-term Incentive Plan</w:t>
      </w:r>
    </w:p>
    <w:p>
      <w:pPr>
        <w:spacing w:after="0" w:line="145" w:lineRule="exact"/>
        <w:rPr>
          <w:sz w:val="20"/>
          <w:szCs w:val="20"/>
          <w:color w:val="auto"/>
        </w:rPr>
      </w:pPr>
    </w:p>
    <w:p>
      <w:pPr>
        <w:ind w:right="100"/>
        <w:spacing w:after="0" w:line="111" w:lineRule="exact"/>
        <w:rPr>
          <w:sz w:val="20"/>
          <w:szCs w:val="20"/>
          <w:color w:val="auto"/>
        </w:rPr>
      </w:pPr>
      <w:r>
        <w:rPr>
          <w:rFonts w:ascii="Arial" w:cs="Arial" w:eastAsia="Arial" w:hAnsi="Arial"/>
          <w:sz w:val="8"/>
          <w:szCs w:val="8"/>
          <w:color w:val="auto"/>
        </w:rPr>
        <w:t>For 2021 awards made under the Performance Share Plan (PSP), the weighting of the energy transition condition has doubled from 5% to 10%. For 2021, the weighting of the energy transition condition in the Long-term Incentive Plan (LTIP) will also double from 10% to 20%. The target range is a 6-8% reduction in net carbon intensity against the 2016 baseline NCF of 79 grams of carbon dioxide (CO</w:t>
      </w:r>
      <w:r>
        <w:rPr>
          <w:rFonts w:ascii="MS PGothic" w:cs="MS PGothic" w:eastAsia="MS PGothic" w:hAnsi="MS PGothic"/>
          <w:sz w:val="8"/>
          <w:szCs w:val="8"/>
          <w:color w:val="auto"/>
        </w:rPr>
        <w:t>₂</w:t>
      </w:r>
      <w:r>
        <w:rPr>
          <w:rFonts w:ascii="Arial" w:cs="Arial" w:eastAsia="Arial" w:hAnsi="Arial"/>
          <w:sz w:val="8"/>
          <w:szCs w:val="8"/>
          <w:color w:val="auto"/>
        </w:rPr>
        <w:t>) equivalent per megajoule. The other targets linked to our strategic ambitions will also evolve, with the metric connected to commercialising advanced biofuel technology broadening to a measure of growing new cleaner energy product offerings. The targets for the leading energy transition measures are commercially sensitive and will be disclosed retrospectively.</w:t>
      </w:r>
    </w:p>
    <w:p>
      <w:pPr>
        <w:spacing w:after="0" w:line="150" w:lineRule="exact"/>
        <w:rPr>
          <w:sz w:val="20"/>
          <w:szCs w:val="20"/>
          <w:color w:val="auto"/>
        </w:rPr>
      </w:pPr>
    </w:p>
    <w:p>
      <w:pPr>
        <w:ind w:right="220"/>
        <w:spacing w:after="0" w:line="358" w:lineRule="auto"/>
        <w:rPr>
          <w:sz w:val="20"/>
          <w:szCs w:val="20"/>
          <w:color w:val="auto"/>
        </w:rPr>
      </w:pPr>
      <w:r>
        <w:rPr>
          <w:rFonts w:ascii="Arial" w:cs="Arial" w:eastAsia="Arial" w:hAnsi="Arial"/>
          <w:sz w:val="8"/>
          <w:szCs w:val="8"/>
          <w:color w:val="auto"/>
        </w:rPr>
        <w:t>The energy transition condition was included again in the 2020 LTIP awards for Executive Directors and senior executives and was also incorporated into the Performance Share Plan awards made to around 16,500 employees globally.</w:t>
      </w:r>
    </w:p>
    <w:p>
      <w:pPr>
        <w:spacing w:after="0" w:line="20" w:lineRule="exact"/>
        <w:rPr>
          <w:sz w:val="20"/>
          <w:szCs w:val="20"/>
          <w:color w:val="auto"/>
        </w:rPr>
      </w:pPr>
      <w:r>
        <w:rPr>
          <w:sz w:val="20"/>
          <w:szCs w:val="20"/>
          <w:color w:val="auto"/>
        </w:rPr>
        <w:br w:type="column"/>
      </w:r>
    </w:p>
    <w:p>
      <w:pPr>
        <w:ind w:right="340"/>
        <w:spacing w:after="0" w:line="239" w:lineRule="auto"/>
        <w:rPr>
          <w:sz w:val="20"/>
          <w:szCs w:val="20"/>
          <w:color w:val="auto"/>
        </w:rPr>
      </w:pPr>
      <w:r>
        <w:rPr>
          <w:rFonts w:ascii="Arial" w:cs="Arial" w:eastAsia="Arial" w:hAnsi="Arial"/>
          <w:sz w:val="10"/>
          <w:szCs w:val="10"/>
          <w:color w:val="auto"/>
        </w:rPr>
        <w:t>See “Directors’ Remuneration Report” on pages 116-119 for further information. An update on progress on the 2019 and 2020 awards is provided on page 128.</w:t>
      </w:r>
    </w:p>
    <w:p>
      <w:pPr>
        <w:spacing w:after="0" w:line="149" w:lineRule="exact"/>
        <w:rPr>
          <w:sz w:val="20"/>
          <w:szCs w:val="20"/>
          <w:color w:val="auto"/>
        </w:rPr>
      </w:pPr>
    </w:p>
    <w:p>
      <w:pPr>
        <w:ind w:right="600"/>
        <w:spacing w:after="0" w:line="358" w:lineRule="auto"/>
        <w:rPr>
          <w:sz w:val="20"/>
          <w:szCs w:val="20"/>
          <w:color w:val="auto"/>
        </w:rPr>
      </w:pPr>
      <w:r>
        <w:rPr>
          <w:rFonts w:ascii="Arial" w:cs="Arial" w:eastAsia="Arial" w:hAnsi="Arial"/>
          <w:sz w:val="8"/>
          <w:szCs w:val="8"/>
          <w:color w:val="auto"/>
        </w:rPr>
        <w:t>The Audit Committee has key responsibilities in helping the Board to maintain oversight of areas such as the effectiveness of risk management and internal control. For more information on the work of the Audit Committee see page 108.</w:t>
      </w:r>
    </w:p>
    <w:p>
      <w:pPr>
        <w:spacing w:after="0" w:line="104" w:lineRule="exact"/>
        <w:rPr>
          <w:sz w:val="20"/>
          <w:szCs w:val="20"/>
          <w:color w:val="auto"/>
        </w:rPr>
      </w:pPr>
    </w:p>
    <w:p>
      <w:pPr>
        <w:ind w:right="160"/>
        <w:spacing w:after="0" w:line="320" w:lineRule="auto"/>
        <w:rPr>
          <w:sz w:val="20"/>
          <w:szCs w:val="20"/>
          <w:color w:val="auto"/>
        </w:rPr>
      </w:pPr>
      <w:r>
        <w:rPr>
          <w:rFonts w:ascii="Arial" w:cs="Arial" w:eastAsia="Arial" w:hAnsi="Arial"/>
          <w:sz w:val="8"/>
          <w:szCs w:val="8"/>
          <w:color w:val="auto"/>
        </w:rPr>
        <w:t>The CEO is the most senior individual with accountability for climate change risk. Shell has established specialist forums at different levels of the organisation where climate change and GHG-related matters are addressed, monitored and reviewed. Each Shell entity and each Shell-operated venture is responsible for implementing climate change policies and strategies.</w:t>
      </w:r>
    </w:p>
    <w:p>
      <w:pPr>
        <w:spacing w:after="0" w:line="118" w:lineRule="exact"/>
        <w:rPr>
          <w:sz w:val="20"/>
          <w:szCs w:val="20"/>
          <w:color w:val="auto"/>
        </w:rPr>
      </w:pPr>
    </w:p>
    <w:p>
      <w:pPr>
        <w:jc w:val="both"/>
        <w:ind w:right="200"/>
        <w:spacing w:after="0" w:line="234" w:lineRule="auto"/>
        <w:rPr>
          <w:sz w:val="20"/>
          <w:szCs w:val="20"/>
          <w:color w:val="auto"/>
        </w:rPr>
      </w:pPr>
      <w:r>
        <w:rPr>
          <w:rFonts w:ascii="Arial" w:cs="Arial" w:eastAsia="Arial" w:hAnsi="Arial"/>
          <w:sz w:val="10"/>
          <w:szCs w:val="10"/>
          <w:color w:val="auto"/>
        </w:rPr>
        <w:t>The Executive Vice President (EVP) Safety and Environment, a senior manager who reports directly to the Projects &amp; Technology Director, is accountable for the oversight of GHG issues. This manager´s department includes the Group Carbon team and the HSSE &amp; SP Assurance and Reporting team.</w:t>
      </w:r>
    </w:p>
    <w:p>
      <w:pPr>
        <w:spacing w:after="0" w:line="150" w:lineRule="exact"/>
        <w:rPr>
          <w:sz w:val="20"/>
          <w:szCs w:val="20"/>
          <w:color w:val="auto"/>
        </w:rPr>
      </w:pPr>
    </w:p>
    <w:p>
      <w:pPr>
        <w:ind w:right="120"/>
        <w:spacing w:after="0" w:line="232" w:lineRule="auto"/>
        <w:rPr>
          <w:sz w:val="20"/>
          <w:szCs w:val="20"/>
          <w:color w:val="auto"/>
        </w:rPr>
      </w:pPr>
      <w:r>
        <w:rPr>
          <w:rFonts w:ascii="Arial" w:cs="Arial" w:eastAsia="Arial" w:hAnsi="Arial"/>
          <w:sz w:val="10"/>
          <w:szCs w:val="10"/>
          <w:color w:val="auto"/>
        </w:rPr>
        <w:t>Group Carbon is accountable for monitoring and examining the strategic implications of climate change for Shell. Group Carbon also reviews the effects of governmental policy and regulation. It proposes policy positions based on analysis by Shell and external organisations. The team also advises Shell companies to ensure that they are consistent in how they apply our core principles and policies when interacting with policymakers.</w:t>
      </w:r>
    </w:p>
    <w:p>
      <w:pPr>
        <w:spacing w:after="0" w:line="149" w:lineRule="exact"/>
        <w:rPr>
          <w:sz w:val="20"/>
          <w:szCs w:val="20"/>
          <w:color w:val="auto"/>
        </w:rPr>
      </w:pPr>
    </w:p>
    <w:p>
      <w:pPr>
        <w:ind w:right="300"/>
        <w:spacing w:after="0" w:line="358" w:lineRule="auto"/>
        <w:rPr>
          <w:sz w:val="20"/>
          <w:szCs w:val="20"/>
          <w:color w:val="auto"/>
        </w:rPr>
      </w:pPr>
      <w:r>
        <w:rPr>
          <w:rFonts w:ascii="Arial" w:cs="Arial" w:eastAsia="Arial" w:hAnsi="Arial"/>
          <w:sz w:val="8"/>
          <w:szCs w:val="8"/>
          <w:color w:val="auto"/>
        </w:rPr>
        <w:t>Group Carbon also has oversight of Shell’s GHG management programme. It helps our lines of business to adopt strategies for managing greenhouse gases. The team includes managers who advise projects on the risks and opportunities of GHG-related issues.</w:t>
      </w:r>
    </w:p>
    <w:p>
      <w:pPr>
        <w:spacing w:after="0" w:line="104" w:lineRule="exact"/>
        <w:rPr>
          <w:sz w:val="20"/>
          <w:szCs w:val="20"/>
          <w:color w:val="auto"/>
        </w:rPr>
      </w:pPr>
    </w:p>
    <w:p>
      <w:pPr>
        <w:ind w:right="280"/>
        <w:spacing w:after="0" w:line="222" w:lineRule="auto"/>
        <w:rPr>
          <w:sz w:val="20"/>
          <w:szCs w:val="20"/>
          <w:color w:val="auto"/>
        </w:rPr>
      </w:pPr>
      <w:r>
        <w:rPr>
          <w:rFonts w:ascii="Arial" w:cs="Arial" w:eastAsia="Arial" w:hAnsi="Arial"/>
          <w:sz w:val="10"/>
          <w:szCs w:val="10"/>
          <w:color w:val="auto"/>
        </w:rPr>
        <w:t>The HSSE &amp; SP Assurance and Reporting team is accountable for the delivery of Shell’s non-financial reporting. It is also responsible for auditing the performance of Shell businesses with regards to our HSSE &amp; SP Control Framework requirements, which include climate change risk management.</w:t>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color w:val="auto"/>
        </w:rPr>
        <w:t>REORGANISATION IN LINE WITH UPDATED STRATEGY</w:t>
      </w:r>
    </w:p>
    <w:p>
      <w:pPr>
        <w:ind w:right="160"/>
        <w:spacing w:after="0" w:line="225" w:lineRule="auto"/>
        <w:rPr>
          <w:sz w:val="20"/>
          <w:szCs w:val="20"/>
          <w:color w:val="auto"/>
        </w:rPr>
      </w:pPr>
      <w:r>
        <w:rPr>
          <w:rFonts w:ascii="Arial" w:cs="Arial" w:eastAsia="Arial" w:hAnsi="Arial"/>
          <w:sz w:val="10"/>
          <w:szCs w:val="10"/>
          <w:color w:val="auto"/>
        </w:rPr>
        <w:t>During 2020, we worked on a comprehensive organisational review in order to enable our new strategy to be effective. We call this project Reshape. The governance of topics around sustainability, including climate change, will not change at the most senior levels of Shell. We are introducing changes at specific levels of the organisation to better address the effects of the strategy update. We expect to adjust the initial structure as we go through the process. Currently, we are working towards going live with the revised organisational structure in the second half of 2021.</w:t>
      </w:r>
    </w:p>
    <w:p>
      <w:pPr>
        <w:spacing w:after="0"/>
        <w:rPr>
          <w:sz w:val="20"/>
          <w:szCs w:val="20"/>
          <w:color w:val="auto"/>
        </w:rPr>
      </w:pPr>
      <w:r>
        <w:rPr>
          <w:rFonts w:ascii="Arial" w:cs="Arial" w:eastAsia="Arial" w:hAnsi="Arial"/>
          <w:sz w:val="10"/>
          <w:szCs w:val="10"/>
          <w:color w:val="auto"/>
        </w:rPr>
        <w:t>For more information, see Strategy and outlook on page 14, and Our people on page 86.</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CLIMATE CHANGE RISK MANAGEMENT PROCESS</w:t>
      </w:r>
    </w:p>
    <w:p>
      <w:pPr>
        <w:ind w:right="260"/>
        <w:spacing w:after="0" w:line="231" w:lineRule="auto"/>
        <w:rPr>
          <w:sz w:val="20"/>
          <w:szCs w:val="20"/>
          <w:color w:val="auto"/>
        </w:rPr>
      </w:pPr>
      <w:r>
        <w:rPr>
          <w:rFonts w:ascii="Arial" w:cs="Arial" w:eastAsia="Arial" w:hAnsi="Arial"/>
          <w:sz w:val="10"/>
          <w:szCs w:val="10"/>
          <w:color w:val="auto"/>
        </w:rPr>
        <w:t>The framework for managing the climate change and GHG emissions risk is underpinned by Shell’s Control Framework and Statement on Risk Management.</w:t>
      </w:r>
    </w:p>
    <w:p>
      <w:pPr>
        <w:spacing w:after="0" w:line="149" w:lineRule="exact"/>
        <w:rPr>
          <w:sz w:val="20"/>
          <w:szCs w:val="20"/>
          <w:color w:val="auto"/>
        </w:rPr>
      </w:pPr>
    </w:p>
    <w:p>
      <w:pPr>
        <w:ind w:right="180"/>
        <w:spacing w:after="0" w:line="283" w:lineRule="auto"/>
        <w:rPr>
          <w:sz w:val="20"/>
          <w:szCs w:val="20"/>
          <w:color w:val="auto"/>
        </w:rPr>
      </w:pPr>
      <w:r>
        <w:rPr>
          <w:rFonts w:ascii="Arial" w:cs="Arial" w:eastAsia="Arial" w:hAnsi="Arial"/>
          <w:sz w:val="8"/>
          <w:szCs w:val="8"/>
          <w:color w:val="auto"/>
        </w:rPr>
        <w:t>For the climate change and GHG emissions risk, several global teams support our businesses in GHG and energy management, comprising a network of experts in subjects related to GHG and risk management. They work globally across our lines of business and assist in:</w:t>
      </w:r>
    </w:p>
    <w:p>
      <w:pPr>
        <w:ind w:left="440" w:hanging="215"/>
        <w:spacing w:after="0" w:line="236" w:lineRule="auto"/>
        <w:tabs>
          <w:tab w:leader="none" w:pos="440" w:val="left"/>
        </w:tabs>
        <w:numPr>
          <w:ilvl w:val="0"/>
          <w:numId w:val="74"/>
        </w:numPr>
        <w:rPr>
          <w:rFonts w:ascii="Arial" w:cs="Arial" w:eastAsia="Arial" w:hAnsi="Arial"/>
          <w:sz w:val="13"/>
          <w:szCs w:val="13"/>
          <w:color w:val="auto"/>
        </w:rPr>
      </w:pPr>
      <w:r>
        <w:rPr>
          <w:rFonts w:ascii="Arial" w:cs="Arial" w:eastAsia="Arial" w:hAnsi="Arial"/>
          <w:sz w:val="10"/>
          <w:szCs w:val="10"/>
          <w:color w:val="auto"/>
        </w:rPr>
        <w:t>identifying and assessing risks;</w:t>
      </w:r>
    </w:p>
    <w:p>
      <w:pPr>
        <w:spacing w:after="0" w:line="10" w:lineRule="exact"/>
        <w:rPr>
          <w:rFonts w:ascii="Arial" w:cs="Arial" w:eastAsia="Arial" w:hAnsi="Arial"/>
          <w:sz w:val="13"/>
          <w:szCs w:val="13"/>
          <w:color w:val="auto"/>
        </w:rPr>
      </w:pPr>
    </w:p>
    <w:p>
      <w:pPr>
        <w:ind w:left="440" w:hanging="215"/>
        <w:spacing w:after="0" w:line="191" w:lineRule="auto"/>
        <w:tabs>
          <w:tab w:leader="none" w:pos="440" w:val="left"/>
        </w:tabs>
        <w:numPr>
          <w:ilvl w:val="0"/>
          <w:numId w:val="74"/>
        </w:numPr>
        <w:rPr>
          <w:rFonts w:ascii="Arial" w:cs="Arial" w:eastAsia="Arial" w:hAnsi="Arial"/>
          <w:sz w:val="13"/>
          <w:szCs w:val="13"/>
          <w:color w:val="auto"/>
        </w:rPr>
      </w:pPr>
      <w:r>
        <w:rPr>
          <w:rFonts w:ascii="Arial" w:cs="Arial" w:eastAsia="Arial" w:hAnsi="Arial"/>
          <w:sz w:val="10"/>
          <w:szCs w:val="10"/>
          <w:color w:val="auto"/>
        </w:rPr>
        <w:t>planning and implementing responses;</w:t>
      </w:r>
    </w:p>
    <w:p>
      <w:pPr>
        <w:ind w:left="440" w:hanging="215"/>
        <w:spacing w:after="0" w:line="236" w:lineRule="auto"/>
        <w:tabs>
          <w:tab w:leader="none" w:pos="440" w:val="left"/>
        </w:tabs>
        <w:numPr>
          <w:ilvl w:val="0"/>
          <w:numId w:val="74"/>
        </w:numPr>
        <w:rPr>
          <w:rFonts w:ascii="Arial" w:cs="Arial" w:eastAsia="Arial" w:hAnsi="Arial"/>
          <w:sz w:val="10"/>
          <w:szCs w:val="10"/>
          <w:color w:val="auto"/>
        </w:rPr>
      </w:pPr>
      <w:r>
        <w:rPr>
          <w:rFonts w:ascii="Arial" w:cs="Arial" w:eastAsia="Arial" w:hAnsi="Arial"/>
          <w:sz w:val="10"/>
          <w:szCs w:val="10"/>
          <w:color w:val="auto"/>
        </w:rPr>
        <w:t>sharing best practices; and</w:t>
      </w:r>
    </w:p>
    <w:p>
      <w:pPr>
        <w:ind w:left="440" w:hanging="215"/>
        <w:spacing w:after="0" w:line="202" w:lineRule="auto"/>
        <w:tabs>
          <w:tab w:leader="none" w:pos="440" w:val="left"/>
        </w:tabs>
        <w:numPr>
          <w:ilvl w:val="0"/>
          <w:numId w:val="74"/>
        </w:numPr>
        <w:rPr>
          <w:rFonts w:ascii="Arial" w:cs="Arial" w:eastAsia="Arial" w:hAnsi="Arial"/>
          <w:sz w:val="13"/>
          <w:szCs w:val="13"/>
          <w:color w:val="auto"/>
        </w:rPr>
      </w:pPr>
      <w:r>
        <w:rPr>
          <w:rFonts w:ascii="Arial" w:cs="Arial" w:eastAsia="Arial" w:hAnsi="Arial"/>
          <w:sz w:val="10"/>
          <w:szCs w:val="10"/>
          <w:color w:val="auto"/>
        </w:rPr>
        <w:t>monitoring, improving and completing action that affects the objectives and performance of projects and assets.</w:t>
      </w:r>
    </w:p>
    <w:p>
      <w:pPr>
        <w:spacing w:after="0" w:line="551"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75</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414655</wp:posOffset>
            </wp:positionV>
            <wp:extent cx="1885950" cy="26803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885950" cy="268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 w:right="180"/>
        <w:spacing w:after="0" w:line="229" w:lineRule="auto"/>
        <w:rPr>
          <w:sz w:val="20"/>
          <w:szCs w:val="20"/>
          <w:color w:val="auto"/>
        </w:rPr>
      </w:pPr>
      <w:r>
        <w:rPr>
          <w:rFonts w:ascii="Arial" w:cs="Arial" w:eastAsia="Arial" w:hAnsi="Arial"/>
          <w:sz w:val="10"/>
          <w:szCs w:val="10"/>
          <w:color w:val="auto"/>
        </w:rPr>
        <w:t>These teams have created a set of mandatory manuals and complementary guidance documents that are updated periodically and are ultimately based on our HSSE &amp; SP Control Framework (CF). These manuals and documents provide guidance on how to monitor, communicate and report changes in the risk environment, and how to review the effectiveness of actions taken to manage identified risks, including ways to:</w:t>
      </w:r>
    </w:p>
    <w:p>
      <w:pPr>
        <w:ind w:left="108" w:hanging="108"/>
        <w:spacing w:after="0" w:line="227" w:lineRule="auto"/>
        <w:tabs>
          <w:tab w:leader="none" w:pos="108" w:val="left"/>
        </w:tabs>
        <w:numPr>
          <w:ilvl w:val="0"/>
          <w:numId w:val="75"/>
        </w:numPr>
        <w:rPr>
          <w:rFonts w:ascii="Arial" w:cs="Arial" w:eastAsia="Arial" w:hAnsi="Arial"/>
          <w:sz w:val="10"/>
          <w:szCs w:val="10"/>
          <w:color w:val="auto"/>
        </w:rPr>
      </w:pPr>
      <w:r>
        <w:rPr>
          <w:rFonts w:ascii="Arial" w:cs="Arial" w:eastAsia="Arial" w:hAnsi="Arial"/>
          <w:sz w:val="10"/>
          <w:szCs w:val="10"/>
          <w:color w:val="auto"/>
        </w:rPr>
        <w:t>ensure consistent assessment of climate risk across Shell;</w:t>
      </w:r>
    </w:p>
    <w:p>
      <w:pPr>
        <w:ind w:left="108" w:hanging="108"/>
        <w:spacing w:after="0" w:line="225" w:lineRule="auto"/>
        <w:tabs>
          <w:tab w:leader="none" w:pos="108" w:val="left"/>
        </w:tabs>
        <w:numPr>
          <w:ilvl w:val="0"/>
          <w:numId w:val="75"/>
        </w:numPr>
        <w:rPr>
          <w:rFonts w:ascii="Arial" w:cs="Arial" w:eastAsia="Arial" w:hAnsi="Arial"/>
          <w:sz w:val="10"/>
          <w:szCs w:val="10"/>
          <w:color w:val="auto"/>
        </w:rPr>
      </w:pPr>
      <w:r>
        <w:rPr>
          <w:rFonts w:ascii="Arial" w:cs="Arial" w:eastAsia="Arial" w:hAnsi="Arial"/>
          <w:sz w:val="10"/>
          <w:szCs w:val="10"/>
          <w:color w:val="auto"/>
        </w:rPr>
        <w:t>clarify expectations for risk management and reporting, including roles and responsibilities of the risk owners;</w:t>
      </w:r>
    </w:p>
    <w:p>
      <w:pPr>
        <w:ind w:left="108" w:hanging="108"/>
        <w:spacing w:after="0" w:line="206" w:lineRule="auto"/>
        <w:tabs>
          <w:tab w:leader="none" w:pos="108" w:val="left"/>
        </w:tabs>
        <w:numPr>
          <w:ilvl w:val="0"/>
          <w:numId w:val="75"/>
        </w:numPr>
        <w:rPr>
          <w:rFonts w:ascii="Arial" w:cs="Arial" w:eastAsia="Arial" w:hAnsi="Arial"/>
          <w:sz w:val="10"/>
          <w:szCs w:val="10"/>
          <w:color w:val="auto"/>
        </w:rPr>
      </w:pPr>
      <w:r>
        <w:rPr>
          <w:rFonts w:ascii="Arial" w:cs="Arial" w:eastAsia="Arial" w:hAnsi="Arial"/>
          <w:sz w:val="10"/>
          <w:szCs w:val="10"/>
          <w:color w:val="auto"/>
        </w:rPr>
        <w:t>clarify types of assurance activities that may be applicable;</w:t>
      </w:r>
    </w:p>
    <w:p>
      <w:pPr>
        <w:ind w:left="108" w:right="380" w:hanging="108"/>
        <w:spacing w:after="0" w:line="225" w:lineRule="auto"/>
        <w:tabs>
          <w:tab w:leader="none" w:pos="105" w:val="left"/>
        </w:tabs>
        <w:numPr>
          <w:ilvl w:val="0"/>
          <w:numId w:val="75"/>
        </w:numPr>
        <w:rPr>
          <w:rFonts w:ascii="Arial" w:cs="Arial" w:eastAsia="Arial" w:hAnsi="Arial"/>
          <w:sz w:val="10"/>
          <w:szCs w:val="10"/>
          <w:color w:val="auto"/>
        </w:rPr>
      </w:pPr>
      <w:r>
        <w:rPr>
          <w:rFonts w:ascii="Arial" w:cs="Arial" w:eastAsia="Arial" w:hAnsi="Arial"/>
          <w:sz w:val="10"/>
          <w:szCs w:val="10"/>
          <w:color w:val="auto"/>
        </w:rPr>
        <w:t>strengthen decision-making by ensuring that businesses have better awareness and understanding of climate risks (including their likelihood and potential impact) and mitigation plans; and</w:t>
      </w:r>
    </w:p>
    <w:p>
      <w:pPr>
        <w:ind w:left="108" w:hanging="108"/>
        <w:spacing w:after="0" w:line="236" w:lineRule="auto"/>
        <w:tabs>
          <w:tab w:leader="none" w:pos="108" w:val="left"/>
        </w:tabs>
        <w:numPr>
          <w:ilvl w:val="0"/>
          <w:numId w:val="75"/>
        </w:numPr>
        <w:rPr>
          <w:rFonts w:ascii="Arial" w:cs="Arial" w:eastAsia="Arial" w:hAnsi="Arial"/>
          <w:sz w:val="10"/>
          <w:szCs w:val="10"/>
          <w:color w:val="auto"/>
        </w:rPr>
      </w:pPr>
      <w:r>
        <w:rPr>
          <w:rFonts w:ascii="Arial" w:cs="Arial" w:eastAsia="Arial" w:hAnsi="Arial"/>
          <w:sz w:val="10"/>
          <w:szCs w:val="10"/>
          <w:color w:val="auto"/>
        </w:rPr>
        <w:t>enable integration of Shell’s reporting.</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For more detail on our definition of risk categories and their relationship to different time horizons, see page 77.</w:t>
      </w:r>
    </w:p>
    <w:p>
      <w:pPr>
        <w:spacing w:after="0" w:line="155" w:lineRule="exact"/>
        <w:rPr>
          <w:sz w:val="20"/>
          <w:szCs w:val="20"/>
          <w:color w:val="auto"/>
        </w:rPr>
      </w:pPr>
    </w:p>
    <w:p>
      <w:pPr>
        <w:ind w:left="8"/>
        <w:spacing w:after="0" w:line="299" w:lineRule="auto"/>
        <w:rPr>
          <w:sz w:val="20"/>
          <w:szCs w:val="20"/>
          <w:color w:val="auto"/>
        </w:rPr>
      </w:pPr>
      <w:r>
        <w:rPr>
          <w:rFonts w:ascii="Arial" w:cs="Arial" w:eastAsia="Arial" w:hAnsi="Arial"/>
          <w:sz w:val="8"/>
          <w:szCs w:val="8"/>
          <w:color w:val="auto"/>
        </w:rPr>
        <w:t>The GHG and Energy Management Manual is one of the mandatory manuals of our HSSE &amp; SP Control Framework. It requires that effective steps are taken to track the GHG emissions from Shell’s operated and non-operated facilities and the life-cycle emissions of its energy products. The manual also focuses on the efficient operation of existing equipment. This means, for example, using monitoring systems to get real-time information that we can use to make energy-saving changes and identify opportunities for energy-saving investments in the medium term. Shell’s scorecard includes GHG measures that create additional incentives for our employees to reduce GHG emissions in our portfolio. See “Directors’ Remuneration Report” on page 116-119.</w:t>
      </w:r>
    </w:p>
    <w:p>
      <w:pPr>
        <w:spacing w:after="0" w:line="237" w:lineRule="exact"/>
        <w:rPr>
          <w:sz w:val="20"/>
          <w:szCs w:val="20"/>
          <w:color w:val="auto"/>
        </w:rPr>
      </w:pPr>
    </w:p>
    <w:p>
      <w:pPr>
        <w:ind w:left="8"/>
        <w:spacing w:after="0" w:line="320" w:lineRule="auto"/>
        <w:rPr>
          <w:sz w:val="20"/>
          <w:szCs w:val="20"/>
          <w:color w:val="auto"/>
        </w:rPr>
      </w:pPr>
      <w:r>
        <w:rPr>
          <w:rFonts w:ascii="Arial" w:cs="Arial" w:eastAsia="Arial" w:hAnsi="Arial"/>
          <w:sz w:val="8"/>
          <w:szCs w:val="8"/>
          <w:color w:val="auto"/>
        </w:rPr>
        <w:t>The global teams mentioned above support the businesses in monitoring and addressing certain physical risks of climate change. This support includes the input of specialist teams who provide direct technical assistance to facilities, based on their analysis of the potential impacts of climate change in different operating environments. For example, the specialist teams support facilities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on an ad hoc basis to address potential operational issues such as flooding of a site that may affect its drainage system.</w:t>
      </w:r>
    </w:p>
    <w:p>
      <w:pPr>
        <w:spacing w:after="0" w:line="155" w:lineRule="exact"/>
        <w:rPr>
          <w:sz w:val="20"/>
          <w:szCs w:val="20"/>
          <w:color w:val="auto"/>
        </w:rPr>
      </w:pPr>
    </w:p>
    <w:p>
      <w:pPr>
        <w:ind w:right="260"/>
        <w:spacing w:after="0" w:line="320" w:lineRule="auto"/>
        <w:rPr>
          <w:sz w:val="20"/>
          <w:szCs w:val="20"/>
          <w:color w:val="auto"/>
        </w:rPr>
      </w:pPr>
      <w:r>
        <w:rPr>
          <w:rFonts w:ascii="Arial" w:cs="Arial" w:eastAsia="Arial" w:hAnsi="Arial"/>
          <w:sz w:val="8"/>
          <w:szCs w:val="8"/>
          <w:color w:val="auto"/>
        </w:rPr>
        <w:t>The teams also provide expertise on how to include considerations of certain potential physical climate change risks in the internal Design and Engineering Practice (DEP) requirements for new projects. The DEPs for new projects are reviewed periodically to take account of changes in the risk environment, including emerging weather and climate factors.</w:t>
      </w:r>
    </w:p>
    <w:p>
      <w:pPr>
        <w:spacing w:after="0" w:line="118" w:lineRule="exact"/>
        <w:rPr>
          <w:sz w:val="20"/>
          <w:szCs w:val="20"/>
          <w:color w:val="auto"/>
        </w:rPr>
      </w:pPr>
    </w:p>
    <w:p>
      <w:pPr>
        <w:ind w:right="220"/>
        <w:spacing w:after="0" w:line="232" w:lineRule="auto"/>
        <w:rPr>
          <w:sz w:val="20"/>
          <w:szCs w:val="20"/>
          <w:color w:val="auto"/>
        </w:rPr>
      </w:pPr>
      <w:r>
        <w:rPr>
          <w:rFonts w:ascii="Arial" w:cs="Arial" w:eastAsia="Arial" w:hAnsi="Arial"/>
          <w:sz w:val="10"/>
          <w:szCs w:val="10"/>
          <w:color w:val="auto"/>
        </w:rPr>
        <w:t>We review our portfolio annually to identify emerging risks from changes in GHG emissions regulations and changing physical conditions. Shell´s Group Carbon team provides management with strategic insights on Shell's exposures, risks and opportunities, and recommends actions for Shell to take. Each of Shell´s businesses and functions has an assurance committee that considers this risk on a regular basis and coordinates the applicable assurance activities.</w:t>
      </w:r>
    </w:p>
    <w:p>
      <w:pPr>
        <w:spacing w:after="0" w:line="149" w:lineRule="exact"/>
        <w:rPr>
          <w:sz w:val="20"/>
          <w:szCs w:val="20"/>
          <w:color w:val="auto"/>
        </w:rPr>
      </w:pPr>
    </w:p>
    <w:p>
      <w:pPr>
        <w:ind w:right="140"/>
        <w:spacing w:after="0" w:line="300" w:lineRule="auto"/>
        <w:rPr>
          <w:sz w:val="20"/>
          <w:szCs w:val="20"/>
          <w:color w:val="auto"/>
        </w:rPr>
      </w:pPr>
      <w:r>
        <w:rPr>
          <w:rFonts w:ascii="Arial" w:cs="Arial" w:eastAsia="Arial" w:hAnsi="Arial"/>
          <w:sz w:val="8"/>
          <w:szCs w:val="8"/>
          <w:color w:val="auto"/>
        </w:rPr>
        <w:t>At the Group level, the climate change and GHG emissions risk has been identified as a significant risk factor for Shell – see “Risk factors” on pages 18-22. The Executive Committee and Board regularly review this risk in the same way that they do for other significant Group risk factors. Potential impacts and likelihoods are considered and discussed bi-annually. Similarly, the effectiveness of risk responses is also considered and discussed on a regular basis. Where necessary, these reviews are further supplemented by additional in-depth reviews with the relevant management teams. These reviews help to guide operational decisions, maintenance schedules and response planning.</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Climate change risk management at project level</w:t>
      </w:r>
    </w:p>
    <w:p>
      <w:pPr>
        <w:ind w:right="140"/>
        <w:spacing w:after="0" w:line="295" w:lineRule="auto"/>
        <w:rPr>
          <w:sz w:val="20"/>
          <w:szCs w:val="20"/>
          <w:color w:val="auto"/>
        </w:rPr>
      </w:pPr>
      <w:r>
        <w:rPr>
          <w:rFonts w:ascii="Arial" w:cs="Arial" w:eastAsia="Arial" w:hAnsi="Arial"/>
          <w:sz w:val="8"/>
          <w:szCs w:val="8"/>
          <w:color w:val="auto"/>
        </w:rPr>
        <w:t>Shell requires that the GHG emissions of certain assets and projects are addressed in specific ways. This is described in our internal, mandatory GHG and Energy Management Manual which is part of our HSSE &amp; SP Control Framework (see Environment and society, page 65). This manual specifies the requirements for managing the risks associated with GHGs and energy use, and is owned and signed off by the Vice President Group Carbon. It states that projects with a material GHG footprint must get their targets approved by the Executive Vice President Safety and Environment at certain defined stages. The project’s GHG-abatement plan helps to determine the nature of these targets.</w:t>
      </w:r>
    </w:p>
    <w:p>
      <w:pPr>
        <w:spacing w:after="0" w:line="129" w:lineRule="exact"/>
        <w:rPr>
          <w:sz w:val="20"/>
          <w:szCs w:val="20"/>
          <w:color w:val="auto"/>
        </w:rPr>
      </w:pPr>
    </w:p>
    <w:p>
      <w:pPr>
        <w:ind w:right="360"/>
        <w:spacing w:after="0" w:line="234" w:lineRule="auto"/>
        <w:rPr>
          <w:sz w:val="20"/>
          <w:szCs w:val="20"/>
          <w:color w:val="auto"/>
        </w:rPr>
      </w:pPr>
      <w:r>
        <w:rPr>
          <w:rFonts w:ascii="Arial" w:cs="Arial" w:eastAsia="Arial" w:hAnsi="Arial"/>
          <w:sz w:val="10"/>
          <w:szCs w:val="10"/>
          <w:color w:val="auto"/>
        </w:rPr>
        <w:t>Projects under development that are expected to have a material GHG footprint must meet our internal carbon performance standards or industry benchmarks. This indicates that they will be able to compete and prosper in a future where society aims to limit overall GHG emissions.</w:t>
      </w:r>
    </w:p>
    <w:p>
      <w:pPr>
        <w:spacing w:after="0" w:line="150" w:lineRule="exact"/>
        <w:rPr>
          <w:sz w:val="20"/>
          <w:szCs w:val="20"/>
          <w:color w:val="auto"/>
        </w:rPr>
      </w:pPr>
    </w:p>
    <w:p>
      <w:pPr>
        <w:ind w:right="140"/>
        <w:spacing w:after="0" w:line="294" w:lineRule="auto"/>
        <w:rPr>
          <w:sz w:val="20"/>
          <w:szCs w:val="20"/>
          <w:color w:val="auto"/>
        </w:rPr>
      </w:pPr>
      <w:r>
        <w:rPr>
          <w:rFonts w:ascii="Arial" w:cs="Arial" w:eastAsia="Arial" w:hAnsi="Arial"/>
          <w:sz w:val="8"/>
          <w:szCs w:val="8"/>
          <w:color w:val="auto"/>
        </w:rPr>
        <w:t>The performance standards are used as our screening criteria for measuring projects´ average lifetime GHG intensity or energy efficiency per asset type. We are working to develop a complete set of standards for our businesses. Performance Standards for the Upstream and Transition pillars are in place, while those for the Growth pillar are under development. The complete set is expected to continue to evolve to incorporate new types of projects that support Shell’s portfolio changes in alignment with our NZE energy business target. Our current standards are reviewed and updated annually, based on changes to legislation and external and/or internal benchmarking. The latest update was in 2020. The performance standards were signed off by the Executive Vice President (EVP) accountable for implementation in the relevant businesses, and by the EVP Safety and Environment, who represented the view of a risk owner from outside the relevant business.</w:t>
      </w:r>
    </w:p>
    <w:p>
      <w:pPr>
        <w:spacing w:after="0" w:line="129" w:lineRule="exact"/>
        <w:rPr>
          <w:sz w:val="20"/>
          <w:szCs w:val="20"/>
          <w:color w:val="auto"/>
        </w:rPr>
      </w:pPr>
    </w:p>
    <w:p>
      <w:pPr>
        <w:ind w:right="140"/>
        <w:spacing w:after="0" w:line="222" w:lineRule="auto"/>
        <w:rPr>
          <w:sz w:val="20"/>
          <w:szCs w:val="20"/>
          <w:color w:val="auto"/>
        </w:rPr>
      </w:pPr>
      <w:r>
        <w:rPr>
          <w:rFonts w:ascii="Arial" w:cs="Arial" w:eastAsia="Arial" w:hAnsi="Arial"/>
          <w:sz w:val="10"/>
          <w:szCs w:val="10"/>
          <w:color w:val="auto"/>
        </w:rPr>
        <w:t>We estimate the GHG emissions of facilities in two ways. We apply the performance standards, and we consider the GHG emissions from the use of the products that are manufactured. We assess GHG emissions´ impacts alongside economic and technical design factors. These assessments can lead to projects being stopped or designs being changed.</w:t>
      </w:r>
    </w:p>
    <w:p>
      <w:pPr>
        <w:spacing w:after="0" w:line="140" w:lineRule="exact"/>
        <w:rPr>
          <w:sz w:val="20"/>
          <w:szCs w:val="20"/>
          <w:color w:val="auto"/>
        </w:rPr>
      </w:pPr>
    </w:p>
    <w:p>
      <w:pPr>
        <w:ind w:right="260"/>
        <w:spacing w:after="0" w:line="233" w:lineRule="auto"/>
        <w:rPr>
          <w:sz w:val="20"/>
          <w:szCs w:val="20"/>
          <w:color w:val="auto"/>
        </w:rPr>
      </w:pPr>
      <w:r>
        <w:rPr>
          <w:rFonts w:ascii="Arial" w:cs="Arial" w:eastAsia="Arial" w:hAnsi="Arial"/>
          <w:sz w:val="10"/>
          <w:szCs w:val="10"/>
          <w:color w:val="auto"/>
        </w:rPr>
        <w:t>During project development, we consider ways to reduce GHG emissions and whether to include them in the design. Measures considered and adopted have included:</w:t>
      </w:r>
    </w:p>
    <w:p>
      <w:pPr>
        <w:ind w:left="440" w:hanging="215"/>
        <w:spacing w:after="0" w:line="226" w:lineRule="auto"/>
        <w:tabs>
          <w:tab w:leader="none" w:pos="440" w:val="left"/>
        </w:tabs>
        <w:numPr>
          <w:ilvl w:val="0"/>
          <w:numId w:val="76"/>
        </w:numPr>
        <w:rPr>
          <w:rFonts w:ascii="Arial" w:cs="Arial" w:eastAsia="Arial" w:hAnsi="Arial"/>
          <w:sz w:val="10"/>
          <w:szCs w:val="10"/>
          <w:color w:val="auto"/>
        </w:rPr>
      </w:pPr>
      <w:r>
        <w:rPr>
          <w:rFonts w:ascii="Arial" w:cs="Arial" w:eastAsia="Arial" w:hAnsi="Arial"/>
          <w:sz w:val="10"/>
          <w:szCs w:val="10"/>
          <w:color w:val="auto"/>
        </w:rPr>
        <w:t>flaring reduction;</w:t>
      </w:r>
    </w:p>
    <w:p>
      <w:pPr>
        <w:ind w:left="440" w:hanging="215"/>
        <w:spacing w:after="0" w:line="225" w:lineRule="auto"/>
        <w:tabs>
          <w:tab w:leader="none" w:pos="44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carbon capture and storage (CCS) capabilities;</w:t>
      </w:r>
    </w:p>
    <w:p>
      <w:pPr>
        <w:ind w:left="440" w:hanging="215"/>
        <w:spacing w:after="0" w:line="225" w:lineRule="auto"/>
        <w:tabs>
          <w:tab w:leader="none" w:pos="440" w:val="left"/>
        </w:tabs>
        <w:numPr>
          <w:ilvl w:val="0"/>
          <w:numId w:val="76"/>
        </w:numPr>
        <w:rPr>
          <w:rFonts w:ascii="Arial" w:cs="Arial" w:eastAsia="Arial" w:hAnsi="Arial"/>
          <w:sz w:val="10"/>
          <w:szCs w:val="10"/>
          <w:color w:val="auto"/>
        </w:rPr>
      </w:pPr>
      <w:r>
        <w:rPr>
          <w:rFonts w:ascii="Arial" w:cs="Arial" w:eastAsia="Arial" w:hAnsi="Arial"/>
          <w:sz w:val="10"/>
          <w:szCs w:val="10"/>
          <w:color w:val="auto"/>
        </w:rPr>
        <w:t>exclusion of high-intensity process equipment;</w:t>
      </w:r>
    </w:p>
    <w:p>
      <w:pPr>
        <w:ind w:left="440" w:hanging="215"/>
        <w:spacing w:after="0" w:line="225" w:lineRule="auto"/>
        <w:tabs>
          <w:tab w:leader="none" w:pos="440" w:val="left"/>
        </w:tabs>
        <w:numPr>
          <w:ilvl w:val="0"/>
          <w:numId w:val="76"/>
        </w:numPr>
        <w:rPr>
          <w:rFonts w:ascii="Arial" w:cs="Arial" w:eastAsia="Arial" w:hAnsi="Arial"/>
          <w:sz w:val="10"/>
          <w:szCs w:val="10"/>
          <w:color w:val="auto"/>
        </w:rPr>
      </w:pPr>
      <w:r>
        <w:rPr>
          <w:rFonts w:ascii="Arial" w:cs="Arial" w:eastAsia="Arial" w:hAnsi="Arial"/>
          <w:sz w:val="10"/>
          <w:szCs w:val="10"/>
          <w:color w:val="auto"/>
        </w:rPr>
        <w:t>using renewable energy; and</w:t>
      </w:r>
    </w:p>
    <w:p>
      <w:pPr>
        <w:ind w:left="440" w:hanging="215"/>
        <w:spacing w:after="0" w:line="225" w:lineRule="auto"/>
        <w:tabs>
          <w:tab w:leader="none" w:pos="440" w:val="left"/>
        </w:tabs>
        <w:numPr>
          <w:ilvl w:val="0"/>
          <w:numId w:val="76"/>
        </w:numPr>
        <w:rPr>
          <w:rFonts w:ascii="Arial" w:cs="Arial" w:eastAsia="Arial" w:hAnsi="Arial"/>
          <w:sz w:val="10"/>
          <w:szCs w:val="10"/>
          <w:color w:val="auto"/>
        </w:rPr>
      </w:pPr>
      <w:r>
        <w:rPr>
          <w:rFonts w:ascii="Arial" w:cs="Arial" w:eastAsia="Arial" w:hAnsi="Arial"/>
          <w:sz w:val="10"/>
          <w:szCs w:val="10"/>
          <w:color w:val="auto"/>
        </w:rPr>
        <w:t>electrification.</w:t>
      </w:r>
    </w:p>
    <w:p>
      <w:pPr>
        <w:ind w:right="460"/>
        <w:spacing w:after="0" w:line="231" w:lineRule="auto"/>
        <w:rPr>
          <w:sz w:val="20"/>
          <w:szCs w:val="20"/>
          <w:color w:val="auto"/>
        </w:rPr>
      </w:pPr>
      <w:r>
        <w:rPr>
          <w:rFonts w:ascii="Arial" w:cs="Arial" w:eastAsia="Arial" w:hAnsi="Arial"/>
          <w:sz w:val="10"/>
          <w:szCs w:val="10"/>
          <w:color w:val="auto"/>
        </w:rPr>
        <w:t>Our approach continues to evolve as we increase our understanding of the shifting policy landscape and the differing paces of energy transitions in different regions.</w:t>
      </w:r>
    </w:p>
    <w:p>
      <w:pPr>
        <w:spacing w:after="0" w:line="1616" w:lineRule="exact"/>
        <w:rPr>
          <w:sz w:val="20"/>
          <w:szCs w:val="20"/>
          <w:color w:val="auto"/>
        </w:rPr>
      </w:pPr>
    </w:p>
    <w:p>
      <w:pPr>
        <w:sectPr>
          <w:pgSz w:w="11900" w:h="16838" w:orient="portrait"/>
          <w:cols w:equalWidth="0" w:num="2">
            <w:col w:w="5448" w:space="280"/>
            <w:col w:w="5580"/>
          </w:cols>
          <w:pgMar w:left="292" w:top="640" w:right="299" w:bottom="1440" w:gutter="0" w:footer="0" w:header="0"/>
        </w:sectPr>
      </w:pPr>
    </w:p>
    <w:p>
      <w:pPr>
        <w:spacing w:after="0" w:line="112"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76</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79" w:name="page80"/>
    <w:bookmarkEnd w:id="79"/>
    <w:p>
      <w:pPr>
        <w:ind w:left="8" w:right="60"/>
        <w:spacing w:after="0" w:line="232" w:lineRule="auto"/>
        <w:rPr>
          <w:sz w:val="20"/>
          <w:szCs w:val="20"/>
          <w:color w:val="auto"/>
        </w:rPr>
      </w:pPr>
      <w:r>
        <w:rPr>
          <w:rFonts w:ascii="Arial" w:cs="Arial" w:eastAsia="Arial" w:hAnsi="Arial"/>
          <w:sz w:val="10"/>
          <w:szCs w:val="10"/>
          <w:color w:val="auto"/>
        </w:rPr>
        <w:t>We continue to develop our project managers´ and practitioners´ competencies for effective GHG emissions management in projects. The Shell Project Academy has been set up to provide competence development programmes that include different ways of learning, such as courses on specific topics and on-the-job training. These courses also aim to ensure sharing of good practice and to encourage collaboration across businesses.</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1"/>
          <w:szCs w:val="11"/>
          <w:color w:val="auto"/>
        </w:rPr>
        <w:t>CLIMATE-RELATED RISKS AND OPPORTUNITIES</w:t>
      </w:r>
    </w:p>
    <w:p>
      <w:pPr>
        <w:spacing w:after="0" w:line="145" w:lineRule="exact"/>
        <w:rPr>
          <w:sz w:val="20"/>
          <w:szCs w:val="20"/>
          <w:color w:val="auto"/>
        </w:rPr>
      </w:pPr>
    </w:p>
    <w:p>
      <w:pPr>
        <w:ind w:left="8" w:right="200"/>
        <w:spacing w:after="0" w:line="292" w:lineRule="auto"/>
        <w:rPr>
          <w:sz w:val="20"/>
          <w:szCs w:val="20"/>
          <w:color w:val="auto"/>
        </w:rPr>
      </w:pPr>
      <w:r>
        <w:rPr>
          <w:rFonts w:ascii="Arial" w:cs="Arial" w:eastAsia="Arial" w:hAnsi="Arial"/>
          <w:sz w:val="8"/>
          <w:szCs w:val="8"/>
          <w:color w:val="auto"/>
        </w:rPr>
        <w:t>Our approach for assessing and managing the risks and opportunities associated with climate change includes considering different time horizons. The time horizons and their relevance to risks, opportunities and business planning are as follows:</w:t>
      </w:r>
    </w:p>
    <w:p>
      <w:pPr>
        <w:ind w:left="108" w:hanging="108"/>
        <w:spacing w:after="0" w:line="225" w:lineRule="auto"/>
        <w:tabs>
          <w:tab w:leader="none" w:pos="105" w:val="left"/>
        </w:tabs>
        <w:numPr>
          <w:ilvl w:val="0"/>
          <w:numId w:val="77"/>
        </w:numPr>
        <w:rPr>
          <w:rFonts w:ascii="Arial" w:cs="Arial" w:eastAsia="Arial" w:hAnsi="Arial"/>
          <w:sz w:val="10"/>
          <w:szCs w:val="10"/>
          <w:color w:val="auto"/>
        </w:rPr>
      </w:pPr>
      <w:r>
        <w:rPr>
          <w:rFonts w:ascii="Arial" w:cs="Arial" w:eastAsia="Arial" w:hAnsi="Arial"/>
          <w:sz w:val="10"/>
          <w:szCs w:val="10"/>
          <w:color w:val="auto"/>
        </w:rPr>
        <w:t>Short term (up to three years): we develop detailed financial projections and use them to manage performance and expectations on a three-year cycle.</w:t>
      </w:r>
    </w:p>
    <w:p>
      <w:pPr>
        <w:ind w:left="108" w:hanging="108"/>
        <w:spacing w:after="0"/>
        <w:tabs>
          <w:tab w:leader="none" w:pos="108" w:val="left"/>
        </w:tabs>
        <w:numPr>
          <w:ilvl w:val="0"/>
          <w:numId w:val="77"/>
        </w:numPr>
        <w:rPr>
          <w:rFonts w:ascii="Arial" w:cs="Arial" w:eastAsia="Arial" w:hAnsi="Arial"/>
          <w:sz w:val="8"/>
          <w:szCs w:val="8"/>
          <w:color w:val="auto"/>
        </w:rPr>
      </w:pPr>
      <w:r>
        <w:rPr>
          <w:rFonts w:ascii="Arial" w:cs="Arial" w:eastAsia="Arial" w:hAnsi="Arial"/>
          <w:sz w:val="8"/>
          <w:szCs w:val="8"/>
          <w:color w:val="auto"/>
        </w:rPr>
        <w:t>Medium term (generally three to 10 years): most of our expected production and earnings in this period come from our existing assets.</w:t>
      </w:r>
    </w:p>
    <w:p>
      <w:pPr>
        <w:spacing w:after="0" w:line="16" w:lineRule="exact"/>
        <w:rPr>
          <w:rFonts w:ascii="Arial" w:cs="Arial" w:eastAsia="Arial" w:hAnsi="Arial"/>
          <w:sz w:val="8"/>
          <w:szCs w:val="8"/>
          <w:color w:val="auto"/>
        </w:rPr>
      </w:pPr>
    </w:p>
    <w:p>
      <w:pPr>
        <w:ind w:left="108" w:right="240" w:hanging="108"/>
        <w:spacing w:after="0" w:line="309" w:lineRule="auto"/>
        <w:tabs>
          <w:tab w:leader="none" w:pos="105" w:val="left"/>
        </w:tabs>
        <w:numPr>
          <w:ilvl w:val="0"/>
          <w:numId w:val="77"/>
        </w:numPr>
        <w:rPr>
          <w:rFonts w:ascii="Arial" w:cs="Arial" w:eastAsia="Arial" w:hAnsi="Arial"/>
          <w:sz w:val="8"/>
          <w:szCs w:val="8"/>
          <w:color w:val="auto"/>
        </w:rPr>
      </w:pPr>
      <w:r>
        <w:rPr>
          <w:rFonts w:ascii="Arial" w:cs="Arial" w:eastAsia="Arial" w:hAnsi="Arial"/>
          <w:sz w:val="8"/>
          <w:szCs w:val="8"/>
          <w:color w:val="auto"/>
        </w:rPr>
        <w:t>Long term (generally beyond 10 years): for this period, it is expected that the current Shell portfolio will change and evolve with the energy transition. Decision-making and risk identification on the thematic structure of the future portfolio are guided by the pace of society's progress and the aim of being in step with society as it moves towards the goals of the Paris Agreement.</w:t>
      </w:r>
    </w:p>
    <w:p>
      <w:pPr>
        <w:spacing w:after="0" w:line="123" w:lineRule="exact"/>
        <w:rPr>
          <w:sz w:val="20"/>
          <w:szCs w:val="20"/>
          <w:color w:val="auto"/>
        </w:rPr>
      </w:pPr>
    </w:p>
    <w:p>
      <w:pPr>
        <w:ind w:left="8" w:right="380"/>
        <w:spacing w:after="0" w:line="292" w:lineRule="auto"/>
        <w:rPr>
          <w:sz w:val="20"/>
          <w:szCs w:val="20"/>
          <w:color w:val="auto"/>
        </w:rPr>
      </w:pPr>
      <w:r>
        <w:rPr>
          <w:rFonts w:ascii="Arial" w:cs="Arial" w:eastAsia="Arial" w:hAnsi="Arial"/>
          <w:sz w:val="8"/>
          <w:szCs w:val="8"/>
          <w:color w:val="auto"/>
        </w:rPr>
        <w:t>The overall climate change risk consists of four components, based on the nature of our exposure and the options for our mitigation responses. The four components are regulatory risks, commercial risks, physical risks and societal risks:</w:t>
      </w:r>
    </w:p>
    <w:p>
      <w:pPr>
        <w:ind w:left="108" w:right="20" w:hanging="108"/>
        <w:spacing w:after="0" w:line="281" w:lineRule="auto"/>
        <w:tabs>
          <w:tab w:leader="none" w:pos="105" w:val="left"/>
        </w:tabs>
        <w:numPr>
          <w:ilvl w:val="0"/>
          <w:numId w:val="78"/>
        </w:numPr>
        <w:rPr>
          <w:rFonts w:ascii="Arial" w:cs="Arial" w:eastAsia="Arial" w:hAnsi="Arial"/>
          <w:sz w:val="8"/>
          <w:szCs w:val="8"/>
          <w:color w:val="auto"/>
        </w:rPr>
      </w:pPr>
      <w:r>
        <w:rPr>
          <w:rFonts w:ascii="Arial" w:cs="Arial" w:eastAsia="Arial" w:hAnsi="Arial"/>
          <w:sz w:val="8"/>
          <w:szCs w:val="8"/>
          <w:color w:val="auto"/>
        </w:rPr>
        <w:t>Regulatory risks (time horizon: short term) include increased compliance costs for assets and/or products such as carbon costs; restrictions on the use of fossil fuels; and lack of net-zero-aligned global and national policy and frameworks.</w:t>
      </w:r>
    </w:p>
    <w:p>
      <w:pPr>
        <w:ind w:left="108" w:right="260" w:hanging="108"/>
        <w:spacing w:after="0" w:line="225" w:lineRule="auto"/>
        <w:tabs>
          <w:tab w:leader="none" w:pos="105" w:val="left"/>
        </w:tabs>
        <w:numPr>
          <w:ilvl w:val="0"/>
          <w:numId w:val="78"/>
        </w:numPr>
        <w:rPr>
          <w:rFonts w:ascii="Arial" w:cs="Arial" w:eastAsia="Arial" w:hAnsi="Arial"/>
          <w:sz w:val="10"/>
          <w:szCs w:val="10"/>
          <w:color w:val="auto"/>
        </w:rPr>
      </w:pPr>
      <w:r>
        <w:rPr>
          <w:rFonts w:ascii="Arial" w:cs="Arial" w:eastAsia="Arial" w:hAnsi="Arial"/>
          <w:sz w:val="10"/>
          <w:szCs w:val="10"/>
          <w:color w:val="auto"/>
        </w:rPr>
        <w:t>Commercial risks (time horizon: medium to long term) include lower sales volumes and/or margins because of generally reduced or eliminated demand; the possibility of underutilised or stranded oil and gas assets; changing preferences of investors and financial institutions; and additional costs for decarbonisation of operations.</w:t>
      </w:r>
    </w:p>
    <w:p>
      <w:pPr>
        <w:ind w:left="108" w:right="120" w:hanging="108"/>
        <w:spacing w:after="0" w:line="281" w:lineRule="auto"/>
        <w:tabs>
          <w:tab w:leader="none" w:pos="105" w:val="left"/>
        </w:tabs>
        <w:numPr>
          <w:ilvl w:val="0"/>
          <w:numId w:val="78"/>
        </w:numPr>
        <w:rPr>
          <w:rFonts w:ascii="Arial" w:cs="Arial" w:eastAsia="Arial" w:hAnsi="Arial"/>
          <w:sz w:val="8"/>
          <w:szCs w:val="8"/>
          <w:color w:val="auto"/>
        </w:rPr>
      </w:pPr>
      <w:r>
        <w:rPr>
          <w:rFonts w:ascii="Arial" w:cs="Arial" w:eastAsia="Arial" w:hAnsi="Arial"/>
          <w:sz w:val="8"/>
          <w:szCs w:val="8"/>
          <w:color w:val="auto"/>
        </w:rPr>
        <w:t>Physical risks (time horizon ranging from short to long term) include structural damage to assets and downtime caused by acute events; reduced efficiency because of changing ambient conditions; increased operations and maintenance costs; and value-chain disruptions.</w:t>
      </w:r>
    </w:p>
    <w:p>
      <w:pPr>
        <w:ind w:left="108" w:right="280" w:hanging="108"/>
        <w:spacing w:after="0" w:line="228" w:lineRule="auto"/>
        <w:tabs>
          <w:tab w:leader="none" w:pos="105" w:val="left"/>
        </w:tabs>
        <w:numPr>
          <w:ilvl w:val="0"/>
          <w:numId w:val="78"/>
        </w:numPr>
        <w:rPr>
          <w:rFonts w:ascii="Arial" w:cs="Arial" w:eastAsia="Arial" w:hAnsi="Arial"/>
          <w:sz w:val="10"/>
          <w:szCs w:val="10"/>
          <w:color w:val="auto"/>
        </w:rPr>
      </w:pPr>
      <w:r>
        <w:rPr>
          <w:rFonts w:ascii="Arial" w:cs="Arial" w:eastAsia="Arial" w:hAnsi="Arial"/>
          <w:sz w:val="10"/>
          <w:szCs w:val="10"/>
          <w:color w:val="auto"/>
        </w:rPr>
        <w:t>Societal risks (time horizon: continuous) include the potential for a deteriorating relationship with the public, other companies, and governments in countries where Shell operates; class action lawsuits or similar litigation; potential stakeholder criticism related to transparency and clarity around plans and actions to achieve climate targets; and decline in reputation, brand value and competitive advantage.</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See "Risk Factors" on page 18-22.</w:t>
      </w:r>
    </w:p>
    <w:p>
      <w:pPr>
        <w:spacing w:after="0" w:line="146" w:lineRule="exact"/>
        <w:rPr>
          <w:sz w:val="20"/>
          <w:szCs w:val="20"/>
          <w:color w:val="auto"/>
        </w:rPr>
      </w:pPr>
    </w:p>
    <w:p>
      <w:pPr>
        <w:ind w:left="8" w:right="300"/>
        <w:spacing w:after="0" w:line="220" w:lineRule="auto"/>
        <w:rPr>
          <w:sz w:val="20"/>
          <w:szCs w:val="20"/>
          <w:color w:val="auto"/>
        </w:rPr>
      </w:pPr>
      <w:r>
        <w:rPr>
          <w:rFonts w:ascii="Arial" w:cs="Arial" w:eastAsia="Arial" w:hAnsi="Arial"/>
          <w:sz w:val="10"/>
          <w:szCs w:val="10"/>
          <w:color w:val="auto"/>
        </w:rPr>
        <w:t>Climate change and the energy transition have also created some business opportunities for Shell. See also "Our portfolio and climate change" on page 80.</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1"/>
          <w:szCs w:val="11"/>
          <w:color w:val="auto"/>
        </w:rPr>
        <w:t>Impact of climate-related risks and opportunities on strategy, planning and business decisions</w:t>
      </w:r>
    </w:p>
    <w:p>
      <w:pPr>
        <w:spacing w:after="0" w:line="154" w:lineRule="exact"/>
        <w:rPr>
          <w:sz w:val="20"/>
          <w:szCs w:val="20"/>
          <w:color w:val="auto"/>
        </w:rPr>
      </w:pPr>
    </w:p>
    <w:p>
      <w:pPr>
        <w:ind w:left="8"/>
        <w:spacing w:after="0" w:line="234" w:lineRule="auto"/>
        <w:rPr>
          <w:sz w:val="20"/>
          <w:szCs w:val="20"/>
          <w:color w:val="auto"/>
        </w:rPr>
      </w:pPr>
      <w:r>
        <w:rPr>
          <w:rFonts w:ascii="Arial" w:cs="Arial" w:eastAsia="Arial" w:hAnsi="Arial"/>
          <w:sz w:val="10"/>
          <w:szCs w:val="10"/>
          <w:color w:val="auto"/>
        </w:rPr>
        <w:t>For Powering Progress, we must evolve our portfolio of assets and the mix of energy that we sell, so we can meet the cleaner energy needs of our customers in the coming decades. We aim to achieve this by repositioning our traditional businesses for resilience and taking advantage of the growth opportunities created by emerging customer needs.</w:t>
      </w:r>
    </w:p>
    <w:p>
      <w:pPr>
        <w:spacing w:after="0" w:line="150" w:lineRule="exact"/>
        <w:rPr>
          <w:sz w:val="20"/>
          <w:szCs w:val="20"/>
          <w:color w:val="auto"/>
        </w:rPr>
      </w:pPr>
    </w:p>
    <w:p>
      <w:pPr>
        <w:ind w:left="8" w:right="60"/>
        <w:spacing w:after="0" w:line="232" w:lineRule="auto"/>
        <w:rPr>
          <w:sz w:val="20"/>
          <w:szCs w:val="20"/>
          <w:color w:val="auto"/>
        </w:rPr>
      </w:pPr>
      <w:r>
        <w:rPr>
          <w:rFonts w:ascii="Arial" w:cs="Arial" w:eastAsia="Arial" w:hAnsi="Arial"/>
          <w:sz w:val="10"/>
          <w:szCs w:val="10"/>
          <w:color w:val="auto"/>
        </w:rPr>
        <w:t>We assess our portfolio decisions, including investments and divestments, against the potential impacts of the energy transition to the use of lower-carbon energy. These include higher regulatory costs linked to carbon emissions and lower demand for oil and gas. We continue to transform our organisation, ensuring that our portfolio is well positioned for the future of energy. In February 2021, we announced our updated strategy (see Strategy and outlook, page 14).</w:t>
      </w:r>
    </w:p>
    <w:p>
      <w:pPr>
        <w:spacing w:after="0" w:line="149" w:lineRule="exact"/>
        <w:rPr>
          <w:sz w:val="20"/>
          <w:szCs w:val="20"/>
          <w:color w:val="auto"/>
        </w:rPr>
      </w:pPr>
    </w:p>
    <w:p>
      <w:pPr>
        <w:ind w:left="8"/>
        <w:spacing w:after="0" w:line="239" w:lineRule="auto"/>
        <w:rPr>
          <w:sz w:val="20"/>
          <w:szCs w:val="20"/>
          <w:color w:val="auto"/>
        </w:rPr>
      </w:pPr>
      <w:r>
        <w:rPr>
          <w:rFonts w:ascii="Arial" w:cs="Arial" w:eastAsia="Arial" w:hAnsi="Arial"/>
          <w:sz w:val="10"/>
          <w:szCs w:val="10"/>
          <w:color w:val="auto"/>
        </w:rPr>
        <w:t>We believe that our business strategy is resilient and adapted to the current implementation of the Paris Agreement, which is now progressing through</w:t>
      </w:r>
    </w:p>
    <w:p>
      <w:pPr>
        <w:spacing w:after="0" w:line="20" w:lineRule="exact"/>
        <w:rPr>
          <w:sz w:val="20"/>
          <w:szCs w:val="20"/>
          <w:color w:val="auto"/>
        </w:rPr>
      </w:pPr>
      <w:r>
        <w:rPr>
          <w:sz w:val="20"/>
          <w:szCs w:val="20"/>
          <w:color w:val="auto"/>
        </w:rPr>
        <w:br w:type="column"/>
      </w:r>
    </w:p>
    <w:p>
      <w:pPr>
        <w:jc w:val="both"/>
        <w:ind w:right="180"/>
        <w:spacing w:after="0" w:line="232" w:lineRule="auto"/>
        <w:rPr>
          <w:sz w:val="20"/>
          <w:szCs w:val="20"/>
          <w:color w:val="auto"/>
        </w:rPr>
      </w:pPr>
      <w:r>
        <w:rPr>
          <w:rFonts w:ascii="Arial" w:cs="Arial" w:eastAsia="Arial" w:hAnsi="Arial"/>
          <w:sz w:val="10"/>
          <w:szCs w:val="10"/>
          <w:color w:val="auto"/>
        </w:rPr>
        <w:t>the mechanism of countries developing their individual nationally determined contributions (NDCs). The Paris Agreement does not stipulate that emissions must fall in all sectors or countries simultaneously, or that all actors within the system will reduce their emissions at the same time or to the same degree. It acknowledges that emissions might even increase in some parts of the world. What is important is that overall emissions fall.</w:t>
      </w:r>
    </w:p>
    <w:p>
      <w:pPr>
        <w:spacing w:after="0" w:line="140" w:lineRule="exact"/>
        <w:rPr>
          <w:sz w:val="20"/>
          <w:szCs w:val="20"/>
          <w:color w:val="auto"/>
        </w:rPr>
      </w:pPr>
    </w:p>
    <w:p>
      <w:pPr>
        <w:ind w:right="300"/>
        <w:spacing w:after="0" w:line="273" w:lineRule="auto"/>
        <w:rPr>
          <w:sz w:val="20"/>
          <w:szCs w:val="20"/>
          <w:color w:val="auto"/>
        </w:rPr>
      </w:pPr>
      <w:r>
        <w:rPr>
          <w:rFonts w:ascii="Arial" w:cs="Arial" w:eastAsia="Arial" w:hAnsi="Arial"/>
          <w:sz w:val="8"/>
          <w:szCs w:val="8"/>
          <w:color w:val="auto"/>
        </w:rPr>
        <w:t>The transition to lower-carbon energy requires major changes to industrial, commercial and residential infrastructure. This takes time and substantial investment. Our annual planning cycle and periodic portfolio reviews aim to ensure that our levels of capital investment and operating expenses are appropriate in the context of an uncertain and changing external environment.</w:t>
      </w:r>
    </w:p>
    <w:p>
      <w:pPr>
        <w:spacing w:after="0" w:line="118" w:lineRule="exact"/>
        <w:rPr>
          <w:sz w:val="20"/>
          <w:szCs w:val="20"/>
          <w:color w:val="auto"/>
        </w:rPr>
      </w:pPr>
    </w:p>
    <w:p>
      <w:pPr>
        <w:ind w:right="200"/>
        <w:spacing w:after="0" w:line="209" w:lineRule="auto"/>
        <w:rPr>
          <w:sz w:val="20"/>
          <w:szCs w:val="20"/>
          <w:color w:val="auto"/>
        </w:rPr>
      </w:pPr>
      <w:r>
        <w:rPr>
          <w:rFonts w:ascii="Arial" w:cs="Arial" w:eastAsia="Arial" w:hAnsi="Arial"/>
          <w:sz w:val="10"/>
          <w:szCs w:val="10"/>
          <w:color w:val="auto"/>
        </w:rPr>
        <w:t>The annual business plan is our way of putting the strategy into effect. A business plan is created, which is then approved by the Board. The plan contains forecasts of Shell’s cash flows, and seeks to ensure that we can service financing requirements, pay dividends and fund investment activities.</w:t>
      </w:r>
    </w:p>
    <w:p>
      <w:pPr>
        <w:spacing w:after="0" w:line="141" w:lineRule="exact"/>
        <w:rPr>
          <w:sz w:val="20"/>
          <w:szCs w:val="20"/>
          <w:color w:val="auto"/>
        </w:rPr>
      </w:pPr>
    </w:p>
    <w:p>
      <w:pPr>
        <w:spacing w:after="0"/>
        <w:rPr>
          <w:sz w:val="20"/>
          <w:szCs w:val="20"/>
          <w:color w:val="auto"/>
        </w:rPr>
      </w:pPr>
      <w:r>
        <w:rPr>
          <w:rFonts w:ascii="Arial" w:cs="Arial" w:eastAsia="Arial" w:hAnsi="Arial"/>
          <w:sz w:val="8"/>
          <w:szCs w:val="8"/>
          <w:color w:val="auto"/>
        </w:rPr>
        <w:t>Shell’s business plan includes assumptions about internal and external parameters. Some of the key assumptions relate to:</w:t>
      </w:r>
    </w:p>
    <w:p>
      <w:pPr>
        <w:ind w:left="220" w:hanging="211"/>
        <w:spacing w:after="0" w:line="219" w:lineRule="auto"/>
        <w:tabs>
          <w:tab w:leader="none" w:pos="220" w:val="left"/>
        </w:tabs>
        <w:numPr>
          <w:ilvl w:val="0"/>
          <w:numId w:val="79"/>
        </w:numPr>
        <w:rPr>
          <w:rFonts w:ascii="Arial" w:cs="Arial" w:eastAsia="Arial" w:hAnsi="Arial"/>
          <w:sz w:val="10"/>
          <w:szCs w:val="10"/>
          <w:color w:val="auto"/>
        </w:rPr>
      </w:pPr>
      <w:r>
        <w:rPr>
          <w:rFonts w:ascii="Arial" w:cs="Arial" w:eastAsia="Arial" w:hAnsi="Arial"/>
          <w:sz w:val="10"/>
          <w:szCs w:val="10"/>
          <w:color w:val="auto"/>
        </w:rPr>
        <w:t>commodity prices;</w:t>
      </w:r>
    </w:p>
    <w:p>
      <w:pPr>
        <w:ind w:left="220" w:hanging="211"/>
        <w:spacing w:after="0" w:line="187" w:lineRule="auto"/>
        <w:tabs>
          <w:tab w:leader="none" w:pos="220" w:val="left"/>
        </w:tabs>
        <w:numPr>
          <w:ilvl w:val="0"/>
          <w:numId w:val="79"/>
        </w:numPr>
        <w:rPr>
          <w:rFonts w:ascii="Arial" w:cs="Arial" w:eastAsia="Arial" w:hAnsi="Arial"/>
          <w:sz w:val="10"/>
          <w:szCs w:val="10"/>
          <w:color w:val="auto"/>
        </w:rPr>
      </w:pPr>
      <w:r>
        <w:rPr>
          <w:rFonts w:ascii="Arial" w:cs="Arial" w:eastAsia="Arial" w:hAnsi="Arial"/>
          <w:sz w:val="10"/>
          <w:szCs w:val="10"/>
          <w:color w:val="auto"/>
        </w:rPr>
        <w:t>production levels and product demand;</w:t>
      </w:r>
    </w:p>
    <w:p>
      <w:pPr>
        <w:ind w:left="220" w:hanging="211"/>
        <w:spacing w:after="0" w:line="187" w:lineRule="auto"/>
        <w:tabs>
          <w:tab w:leader="none" w:pos="220" w:val="left"/>
        </w:tabs>
        <w:numPr>
          <w:ilvl w:val="0"/>
          <w:numId w:val="79"/>
        </w:numPr>
        <w:rPr>
          <w:rFonts w:ascii="Arial" w:cs="Arial" w:eastAsia="Arial" w:hAnsi="Arial"/>
          <w:sz w:val="10"/>
          <w:szCs w:val="10"/>
          <w:color w:val="auto"/>
        </w:rPr>
      </w:pPr>
      <w:r>
        <w:rPr>
          <w:rFonts w:ascii="Arial" w:cs="Arial" w:eastAsia="Arial" w:hAnsi="Arial"/>
          <w:sz w:val="10"/>
          <w:szCs w:val="10"/>
          <w:color w:val="auto"/>
        </w:rPr>
        <w:t>exchange rates;</w:t>
      </w:r>
    </w:p>
    <w:p>
      <w:pPr>
        <w:ind w:left="220" w:hanging="211"/>
        <w:spacing w:after="0" w:line="187" w:lineRule="auto"/>
        <w:tabs>
          <w:tab w:leader="none" w:pos="220" w:val="left"/>
        </w:tabs>
        <w:numPr>
          <w:ilvl w:val="0"/>
          <w:numId w:val="79"/>
        </w:numPr>
        <w:rPr>
          <w:rFonts w:ascii="Arial" w:cs="Arial" w:eastAsia="Arial" w:hAnsi="Arial"/>
          <w:sz w:val="10"/>
          <w:szCs w:val="10"/>
          <w:color w:val="auto"/>
        </w:rPr>
      </w:pPr>
      <w:r>
        <w:rPr>
          <w:rFonts w:ascii="Arial" w:cs="Arial" w:eastAsia="Arial" w:hAnsi="Arial"/>
          <w:sz w:val="10"/>
          <w:szCs w:val="10"/>
          <w:color w:val="auto"/>
        </w:rPr>
        <w:t>future carbon costs;</w:t>
      </w:r>
    </w:p>
    <w:p>
      <w:pPr>
        <w:ind w:left="220" w:hanging="211"/>
        <w:spacing w:after="0" w:line="187" w:lineRule="auto"/>
        <w:tabs>
          <w:tab w:leader="none" w:pos="220" w:val="left"/>
        </w:tabs>
        <w:numPr>
          <w:ilvl w:val="0"/>
          <w:numId w:val="79"/>
        </w:numPr>
        <w:rPr>
          <w:rFonts w:ascii="Arial" w:cs="Arial" w:eastAsia="Arial" w:hAnsi="Arial"/>
          <w:sz w:val="10"/>
          <w:szCs w:val="10"/>
          <w:color w:val="auto"/>
        </w:rPr>
      </w:pPr>
      <w:r>
        <w:rPr>
          <w:rFonts w:ascii="Arial" w:cs="Arial" w:eastAsia="Arial" w:hAnsi="Arial"/>
          <w:sz w:val="10"/>
          <w:szCs w:val="10"/>
          <w:color w:val="auto"/>
        </w:rPr>
        <w:t>the schedules of growth programmes; and</w:t>
      </w:r>
    </w:p>
    <w:p>
      <w:pPr>
        <w:ind w:left="220" w:hanging="211"/>
        <w:spacing w:after="0" w:line="236" w:lineRule="auto"/>
        <w:tabs>
          <w:tab w:leader="none" w:pos="220" w:val="left"/>
        </w:tabs>
        <w:numPr>
          <w:ilvl w:val="0"/>
          <w:numId w:val="79"/>
        </w:numPr>
        <w:rPr>
          <w:rFonts w:ascii="Arial" w:cs="Arial" w:eastAsia="Arial" w:hAnsi="Arial"/>
          <w:sz w:val="10"/>
          <w:szCs w:val="10"/>
          <w:color w:val="auto"/>
        </w:rPr>
      </w:pPr>
      <w:r>
        <w:rPr>
          <w:rFonts w:ascii="Arial" w:cs="Arial" w:eastAsia="Arial" w:hAnsi="Arial"/>
          <w:sz w:val="10"/>
          <w:szCs w:val="10"/>
          <w:color w:val="auto"/>
        </w:rPr>
        <w:t>risks and opportunities that may have material impacts on free cash flow.</w:t>
      </w:r>
    </w:p>
    <w:p>
      <w:pPr>
        <w:spacing w:after="0" w:line="140" w:lineRule="exact"/>
        <w:rPr>
          <w:sz w:val="20"/>
          <w:szCs w:val="20"/>
          <w:color w:val="auto"/>
        </w:rPr>
      </w:pPr>
    </w:p>
    <w:p>
      <w:pPr>
        <w:ind w:right="200"/>
        <w:spacing w:after="0" w:line="234" w:lineRule="auto"/>
        <w:rPr>
          <w:sz w:val="20"/>
          <w:szCs w:val="20"/>
          <w:color w:val="auto"/>
        </w:rPr>
      </w:pPr>
      <w:r>
        <w:rPr>
          <w:rFonts w:ascii="Arial" w:cs="Arial" w:eastAsia="Arial" w:hAnsi="Arial"/>
          <w:sz w:val="10"/>
          <w:szCs w:val="10"/>
          <w:color w:val="auto"/>
        </w:rPr>
        <w:t>Shell’s strategy recognises that the world is transitioning to a lower-carbon energy system, but acknowledges that the pace and specific path forward remain uncertain and may differ across regions and countries. This means that Shell will need to make agile business decisions in step with society.</w:t>
      </w:r>
    </w:p>
    <w:p>
      <w:pPr>
        <w:spacing w:after="0" w:line="150" w:lineRule="exact"/>
        <w:rPr>
          <w:sz w:val="20"/>
          <w:szCs w:val="20"/>
          <w:color w:val="auto"/>
        </w:rPr>
      </w:pPr>
    </w:p>
    <w:p>
      <w:pPr>
        <w:ind w:right="140"/>
        <w:spacing w:after="0" w:line="296" w:lineRule="auto"/>
        <w:rPr>
          <w:sz w:val="20"/>
          <w:szCs w:val="20"/>
          <w:color w:val="auto"/>
        </w:rPr>
      </w:pPr>
      <w:r>
        <w:rPr>
          <w:rFonts w:ascii="Arial" w:cs="Arial" w:eastAsia="Arial" w:hAnsi="Arial"/>
          <w:sz w:val="8"/>
          <w:szCs w:val="8"/>
          <w:color w:val="auto"/>
        </w:rPr>
        <w:t>Scenario planning is a well-established process for exploring possible future outcomes. Many factors and variables are considered in this exercise. These include the future size and cost of resource bases and macroeconomic, geopolitical, social, technological and regulatory developments. Our portfolio and strategy have been assessed against a wide range of outlooks. These include the potential impacts of various possible energy transition pathways, and changes in societal expectations around climate change. Our latest set of Shell scenarios was one of the many variables used in guiding the updated strategy which we announced in February 2021. One of the key aspects that underpin Shell’s financial statements are the oil and gas price and refining margin assumptions. These price assumptions are developed with input from our scenarios and other factors.</w:t>
      </w:r>
    </w:p>
    <w:p>
      <w:pPr>
        <w:spacing w:after="0" w:line="237" w:lineRule="exact"/>
        <w:rPr>
          <w:sz w:val="20"/>
          <w:szCs w:val="20"/>
          <w:color w:val="auto"/>
        </w:rPr>
      </w:pPr>
    </w:p>
    <w:p>
      <w:pPr>
        <w:ind w:right="220"/>
        <w:spacing w:after="0" w:line="307" w:lineRule="auto"/>
        <w:rPr>
          <w:sz w:val="20"/>
          <w:szCs w:val="20"/>
          <w:color w:val="auto"/>
        </w:rPr>
      </w:pPr>
      <w:r>
        <w:rPr>
          <w:rFonts w:ascii="Arial" w:cs="Arial" w:eastAsia="Arial" w:hAnsi="Arial"/>
          <w:sz w:val="8"/>
          <w:szCs w:val="8"/>
          <w:color w:val="auto"/>
        </w:rPr>
        <w:t>GHG elements in the business plans consist of a GHG-emissions forecast, GHG-abatement plan and GHG costs. To assess the resilience of new projects, we consider the potential costs associated with operational GHG emissions. We have developed country-specific short-, medium- and long-term estimates of future carbon costs which are reviewed and updated annually. By 2050, our real-terms carbon cost estimates for all countries are expected to increase to at least $100 per tonne of GHG emissions.</w:t>
      </w:r>
    </w:p>
    <w:p>
      <w:pPr>
        <w:spacing w:after="0" w:line="123" w:lineRule="exact"/>
        <w:rPr>
          <w:sz w:val="20"/>
          <w:szCs w:val="20"/>
          <w:color w:val="auto"/>
        </w:rPr>
      </w:pPr>
    </w:p>
    <w:p>
      <w:pPr>
        <w:ind w:right="140"/>
        <w:spacing w:after="0" w:line="292" w:lineRule="auto"/>
        <w:rPr>
          <w:sz w:val="20"/>
          <w:szCs w:val="20"/>
          <w:color w:val="auto"/>
        </w:rPr>
      </w:pPr>
      <w:r>
        <w:rPr>
          <w:rFonts w:ascii="Arial" w:cs="Arial" w:eastAsia="Arial" w:hAnsi="Arial"/>
          <w:sz w:val="8"/>
          <w:szCs w:val="8"/>
          <w:color w:val="auto"/>
        </w:rPr>
        <w:t>The process for developing our cost of carbon estimates uses short-term policy outlooks and long-term scenario forecasts, both of which reflect the current nationally determined contributions (NDCs) submitted by countries as part of the Paris Agreement and evolving national policy developments. NDCs under the Paris Agreement are subject to revisions every five years. The United Nations estimate that the current NDCs are consistent with limiting the rise in global average temperature to around three degrees Celsius above pre-industrial levels. In the coming decades, we expect countries to tighten their NDCs to meet the goals of the Paris Agreement. We expect to update our estimates as countries update their NDCs and climate policies. Accordingly, we believe our estimates appropriately reflect society’s current implementation of the Paris Agreement. We continue to test the robustness of our projects with a material GHG footprint by using long-term carbon cost estimates that are consistent with limiting the rise in global average temperature to well below two degrees Celsius.</w:t>
      </w:r>
    </w:p>
    <w:p>
      <w:pPr>
        <w:spacing w:after="0" w:line="131" w:lineRule="exact"/>
        <w:rPr>
          <w:sz w:val="20"/>
          <w:szCs w:val="20"/>
          <w:color w:val="auto"/>
        </w:rPr>
      </w:pPr>
    </w:p>
    <w:p>
      <w:pPr>
        <w:ind w:right="240"/>
        <w:spacing w:after="0" w:line="232" w:lineRule="auto"/>
        <w:rPr>
          <w:sz w:val="20"/>
          <w:szCs w:val="20"/>
          <w:color w:val="auto"/>
        </w:rPr>
      </w:pPr>
      <w:r>
        <w:rPr>
          <w:rFonts w:ascii="Arial" w:cs="Arial" w:eastAsia="Arial" w:hAnsi="Arial"/>
          <w:sz w:val="10"/>
          <w:szCs w:val="10"/>
          <w:color w:val="auto"/>
        </w:rPr>
        <w:t>Shell´s annual carbon cost exposure is expected to increase over the next decade because of evolving carbon regulations. This expected increase is based on forecasts of Shell’s equity share of emissions from operated and non-operated assets, and real-terms carbon cost estimates which range from $5 to $110 per tonne of GHG emissions in 2030. This exposure also takes into account the estimated impact of free allowances as relevant to assets</w:t>
      </w:r>
    </w:p>
    <w:p>
      <w:pPr>
        <w:spacing w:after="0" w:line="200" w:lineRule="exact"/>
        <w:rPr>
          <w:sz w:val="20"/>
          <w:szCs w:val="20"/>
          <w:color w:val="auto"/>
        </w:rPr>
      </w:pPr>
    </w:p>
    <w:p>
      <w:pPr>
        <w:sectPr>
          <w:pgSz w:w="11900" w:h="16838" w:orient="portrait"/>
          <w:cols w:equalWidth="0" w:num="2">
            <w:col w:w="5428" w:space="300"/>
            <w:col w:w="5580"/>
          </w:cols>
          <w:pgMar w:left="292" w:top="640" w:right="299" w:bottom="1440" w:gutter="0" w:footer="0" w:header="0"/>
        </w:sectPr>
      </w:pP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77</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0"/>
          <w:szCs w:val="10"/>
          <w:color w:val="auto"/>
        </w:rPr>
        <w:t>based on their location. The regulatory carbon cost estimate is refreshed on an annual basis as part of the development of our business plan.</w:t>
      </w:r>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OUR CLIMATE TARGET</w:t>
      </w:r>
    </w:p>
    <w:p>
      <w:pPr>
        <w:spacing w:after="0" w:line="225" w:lineRule="auto"/>
        <w:rPr>
          <w:sz w:val="20"/>
          <w:szCs w:val="20"/>
          <w:color w:val="auto"/>
        </w:rPr>
      </w:pPr>
      <w:r>
        <w:rPr>
          <w:rFonts w:ascii="Arial" w:cs="Arial" w:eastAsia="Arial" w:hAnsi="Arial"/>
          <w:sz w:val="10"/>
          <w:szCs w:val="10"/>
          <w:color w:val="auto"/>
        </w:rPr>
        <w:t>As indicated at the beginning of this section, our long-term climate target is to be a net-zero emissions energy business by 2050, in step with</w:t>
      </w:r>
    </w:p>
    <w:p>
      <w:pPr>
        <w:spacing w:after="0" w:line="225" w:lineRule="auto"/>
        <w:rPr>
          <w:sz w:val="20"/>
          <w:szCs w:val="20"/>
          <w:color w:val="auto"/>
        </w:rPr>
      </w:pPr>
      <w:r>
        <w:rPr>
          <w:rFonts w:ascii="Arial" w:cs="Arial" w:eastAsia="Arial" w:hAnsi="Arial"/>
          <w:sz w:val="10"/>
          <w:szCs w:val="10"/>
          <w:color w:val="auto"/>
        </w:rPr>
        <w:t>society's progress towards achieving the goal of the UN Paris Agreement on climate change. This target supports the most ambitious goal of</w:t>
      </w:r>
    </w:p>
    <w:p>
      <w:pPr>
        <w:spacing w:after="0" w:line="226" w:lineRule="auto"/>
        <w:rPr>
          <w:sz w:val="20"/>
          <w:szCs w:val="20"/>
          <w:color w:val="auto"/>
        </w:rPr>
      </w:pPr>
      <w:r>
        <w:rPr>
          <w:rFonts w:ascii="Arial" w:cs="Arial" w:eastAsia="Arial" w:hAnsi="Arial"/>
          <w:sz w:val="10"/>
          <w:szCs w:val="10"/>
          <w:color w:val="auto"/>
        </w:rPr>
        <w:t>the Paris Agreement on climate change to limit the global temperature rise to 1.5 degrees Celsius. We referred to the database developed for</w:t>
      </w:r>
    </w:p>
    <w:p>
      <w:pPr>
        <w:spacing w:after="0" w:line="225" w:lineRule="auto"/>
        <w:rPr>
          <w:sz w:val="20"/>
          <w:szCs w:val="20"/>
          <w:color w:val="auto"/>
        </w:rPr>
      </w:pPr>
      <w:r>
        <w:rPr>
          <w:rFonts w:ascii="Arial" w:cs="Arial" w:eastAsia="Arial" w:hAnsi="Arial"/>
          <w:sz w:val="10"/>
          <w:szCs w:val="10"/>
          <w:color w:val="auto"/>
        </w:rPr>
        <w:t xml:space="preserve">the IPCC special report </w:t>
      </w:r>
      <w:r>
        <w:rPr>
          <w:rFonts w:ascii="Arial" w:cs="Arial" w:eastAsia="Arial" w:hAnsi="Arial"/>
          <w:sz w:val="10"/>
          <w:szCs w:val="10"/>
          <w:i w:val="1"/>
          <w:iCs w:val="1"/>
          <w:color w:val="auto"/>
        </w:rPr>
        <w:t>Global Warming of 1.5°C</w:t>
      </w:r>
      <w:r>
        <w:rPr>
          <w:rFonts w:ascii="Arial" w:cs="Arial" w:eastAsia="Arial" w:hAnsi="Arial"/>
          <w:sz w:val="10"/>
          <w:szCs w:val="10"/>
          <w:color w:val="auto"/>
        </w:rPr>
        <w:t xml:space="preserve"> while setting this target. We started with all the 1.5 degrees Celsius scenarios and then</w:t>
      </w:r>
    </w:p>
    <w:p>
      <w:pPr>
        <w:spacing w:after="0" w:line="226" w:lineRule="auto"/>
        <w:rPr>
          <w:sz w:val="20"/>
          <w:szCs w:val="20"/>
          <w:color w:val="auto"/>
        </w:rPr>
      </w:pPr>
      <w:r>
        <w:rPr>
          <w:rFonts w:ascii="Arial" w:cs="Arial" w:eastAsia="Arial" w:hAnsi="Arial"/>
          <w:sz w:val="10"/>
          <w:szCs w:val="10"/>
          <w:color w:val="auto"/>
        </w:rPr>
        <w:t>selected the scenarios which focused on earlier action and placed less reliance on the use of carbon sinks to produce the 1.5 degrees Celsius</w:t>
      </w:r>
    </w:p>
    <w:p>
      <w:pPr>
        <w:spacing w:after="0" w:line="236" w:lineRule="auto"/>
        <w:rPr>
          <w:sz w:val="20"/>
          <w:szCs w:val="20"/>
          <w:color w:val="auto"/>
        </w:rPr>
      </w:pPr>
      <w:r>
        <w:rPr>
          <w:rFonts w:ascii="Arial" w:cs="Arial" w:eastAsia="Arial" w:hAnsi="Arial"/>
          <w:sz w:val="10"/>
          <w:szCs w:val="10"/>
          <w:color w:val="auto"/>
        </w:rPr>
        <w:t>pathway we have used for target setting.</w:t>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OUR NET CARBON INTENSITY TARGETS</w:t>
      </w:r>
    </w:p>
    <w:p>
      <w:pPr>
        <w:spacing w:after="0" w:line="225" w:lineRule="auto"/>
        <w:rPr>
          <w:sz w:val="20"/>
          <w:szCs w:val="20"/>
          <w:color w:val="auto"/>
        </w:rPr>
      </w:pPr>
      <w:r>
        <w:rPr>
          <w:rFonts w:ascii="Arial" w:cs="Arial" w:eastAsia="Arial" w:hAnsi="Arial"/>
          <w:sz w:val="10"/>
          <w:szCs w:val="10"/>
          <w:color w:val="auto"/>
        </w:rPr>
        <w:t>Shell’s carbon intensity is the average intensity, weighted by sales volume, of the energy products sold by Shell. This is tracked, measured</w:t>
      </w:r>
    </w:p>
    <w:p>
      <w:pPr>
        <w:spacing w:after="0" w:line="225" w:lineRule="auto"/>
        <w:rPr>
          <w:sz w:val="20"/>
          <w:szCs w:val="20"/>
          <w:color w:val="auto"/>
        </w:rPr>
      </w:pPr>
      <w:r>
        <w:rPr>
          <w:rFonts w:ascii="Arial" w:cs="Arial" w:eastAsia="Arial" w:hAnsi="Arial"/>
          <w:sz w:val="10"/>
          <w:szCs w:val="10"/>
          <w:color w:val="auto"/>
        </w:rPr>
        <w:t>and reported using the Net Carbon Footprint (NCF) metric and methodology. Our NCF calculation includes the life-cycle greenhouse gas</w:t>
      </w:r>
    </w:p>
    <w:p>
      <w:pPr>
        <w:spacing w:after="0" w:line="226" w:lineRule="auto"/>
        <w:rPr>
          <w:sz w:val="20"/>
          <w:szCs w:val="20"/>
          <w:color w:val="auto"/>
        </w:rPr>
      </w:pPr>
      <w:r>
        <w:rPr>
          <w:rFonts w:ascii="Arial" w:cs="Arial" w:eastAsia="Arial" w:hAnsi="Arial"/>
          <w:sz w:val="10"/>
          <w:szCs w:val="10"/>
          <w:color w:val="auto"/>
        </w:rPr>
        <w:t>emissions associated with each unit of energy we sell that is used by our customers. This includes the emissions associated with the</w:t>
      </w:r>
    </w:p>
    <w:p>
      <w:pPr>
        <w:spacing w:after="0" w:line="225" w:lineRule="auto"/>
        <w:rPr>
          <w:sz w:val="20"/>
          <w:szCs w:val="20"/>
          <w:color w:val="auto"/>
        </w:rPr>
      </w:pPr>
      <w:r>
        <w:rPr>
          <w:rFonts w:ascii="Arial" w:cs="Arial" w:eastAsia="Arial" w:hAnsi="Arial"/>
          <w:sz w:val="10"/>
          <w:szCs w:val="10"/>
          <w:color w:val="auto"/>
        </w:rPr>
        <w:t>production, processing, transport and end use of these products. Also included are emissions from other elements of this life cycle not owned</w:t>
      </w:r>
    </w:p>
    <w:p>
      <w:pPr>
        <w:spacing w:after="0" w:line="226" w:lineRule="auto"/>
        <w:rPr>
          <w:sz w:val="20"/>
          <w:szCs w:val="20"/>
          <w:color w:val="auto"/>
        </w:rPr>
      </w:pPr>
      <w:r>
        <w:rPr>
          <w:rFonts w:ascii="Arial" w:cs="Arial" w:eastAsia="Arial" w:hAnsi="Arial"/>
          <w:sz w:val="10"/>
          <w:szCs w:val="10"/>
          <w:color w:val="auto"/>
        </w:rPr>
        <w:t>or controlled by Shell, such as oil and gas that we process but do not produce, or emissions from oil products and electricity marketed by</w:t>
      </w:r>
    </w:p>
    <w:p>
      <w:pPr>
        <w:spacing w:after="0" w:line="225" w:lineRule="auto"/>
        <w:rPr>
          <w:sz w:val="20"/>
          <w:szCs w:val="20"/>
          <w:color w:val="auto"/>
        </w:rPr>
      </w:pPr>
      <w:r>
        <w:rPr>
          <w:rFonts w:ascii="Arial" w:cs="Arial" w:eastAsia="Arial" w:hAnsi="Arial"/>
          <w:sz w:val="10"/>
          <w:szCs w:val="10"/>
          <w:color w:val="auto"/>
        </w:rPr>
        <w:t>Shell that have not been processed or generated at a Shell facility. The calculation also subtracts emissions for those that are stored by using</w:t>
      </w:r>
    </w:p>
    <w:p>
      <w:pPr>
        <w:spacing w:after="0" w:line="225" w:lineRule="auto"/>
        <w:rPr>
          <w:sz w:val="20"/>
          <w:szCs w:val="20"/>
          <w:color w:val="auto"/>
        </w:rPr>
      </w:pPr>
      <w:r>
        <w:rPr>
          <w:rFonts w:ascii="Arial" w:cs="Arial" w:eastAsia="Arial" w:hAnsi="Arial"/>
          <w:sz w:val="10"/>
          <w:szCs w:val="10"/>
          <w:color w:val="auto"/>
        </w:rPr>
        <w:t>carbon capture and storage (CCS) or are offset using natural carbon sinks, such as forests and wetlands. Chemicals and lubricants products,</w:t>
      </w:r>
    </w:p>
    <w:p>
      <w:pPr>
        <w:spacing w:after="0" w:line="226" w:lineRule="auto"/>
        <w:rPr>
          <w:sz w:val="20"/>
          <w:szCs w:val="20"/>
          <w:color w:val="auto"/>
        </w:rPr>
      </w:pPr>
      <w:r>
        <w:rPr>
          <w:rFonts w:ascii="Arial" w:cs="Arial" w:eastAsia="Arial" w:hAnsi="Arial"/>
          <w:sz w:val="10"/>
          <w:szCs w:val="10"/>
          <w:color w:val="auto"/>
        </w:rPr>
        <w:t>which are not used to produce energy, are excluded from the scope of this metric. The carbon intensity of the energy products we sell is</w:t>
      </w:r>
    </w:p>
    <w:p>
      <w:pPr>
        <w:spacing w:after="0" w:line="115" w:lineRule="exact"/>
        <w:rPr>
          <w:sz w:val="20"/>
          <w:szCs w:val="20"/>
          <w:color w:val="auto"/>
        </w:rPr>
      </w:pPr>
      <w:r>
        <w:rPr>
          <w:rFonts w:ascii="Arial" w:cs="Arial" w:eastAsia="Arial" w:hAnsi="Arial"/>
          <w:sz w:val="10"/>
          <w:szCs w:val="10"/>
          <w:color w:val="auto"/>
        </w:rPr>
        <w:t>expressed in grams of carbon dioxide equivalent (CO</w:t>
      </w:r>
      <w:r>
        <w:rPr>
          <w:rFonts w:ascii="MS PGothic" w:cs="MS PGothic" w:eastAsia="MS PGothic" w:hAnsi="MS PGothic"/>
          <w:sz w:val="10"/>
          <w:szCs w:val="10"/>
          <w:color w:val="auto"/>
        </w:rPr>
        <w:t>₂</w:t>
      </w:r>
      <w:r>
        <w:rPr>
          <w:rFonts w:ascii="Arial" w:cs="Arial" w:eastAsia="Arial" w:hAnsi="Arial"/>
          <w:sz w:val="10"/>
          <w:szCs w:val="10"/>
          <w:color w:val="auto"/>
        </w:rPr>
        <w:t>e) per megajoule consumed.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78</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620395</wp:posOffset>
            </wp:positionV>
            <wp:extent cx="3909060" cy="37261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72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1"/>
          <w:szCs w:val="11"/>
          <w:color w:val="auto"/>
        </w:rPr>
        <w:t>Impact of physical risks and adaptation measures</w:t>
      </w:r>
    </w:p>
    <w:p>
      <w:pPr>
        <w:spacing w:after="0" w:line="145" w:lineRule="exact"/>
        <w:rPr>
          <w:sz w:val="20"/>
          <w:szCs w:val="20"/>
          <w:color w:val="auto"/>
        </w:rPr>
      </w:pPr>
    </w:p>
    <w:p>
      <w:pPr>
        <w:ind w:right="140"/>
        <w:spacing w:after="0" w:line="232" w:lineRule="auto"/>
        <w:rPr>
          <w:sz w:val="20"/>
          <w:szCs w:val="20"/>
          <w:color w:val="auto"/>
        </w:rPr>
      </w:pPr>
      <w:r>
        <w:rPr>
          <w:rFonts w:ascii="Arial" w:cs="Arial" w:eastAsia="Arial" w:hAnsi="Arial"/>
          <w:sz w:val="10"/>
          <w:szCs w:val="10"/>
          <w:color w:val="auto"/>
        </w:rPr>
        <w:t>The physical effects of climate change may increase Shell’s exposure to hazards that could potentially include, for example, higher air and sea temperatures, rising sea levels, an increased chance of flooding and droughts, wildfires and more severe tropical storms. They could potentially impact our operations and supply chains. There could also be potential financial implications, such as increased operating costs and lower revenue because of decreased efficiency.</w:t>
      </w:r>
    </w:p>
    <w:p>
      <w:pPr>
        <w:spacing w:after="0" w:line="149" w:lineRule="exact"/>
        <w:rPr>
          <w:sz w:val="20"/>
          <w:szCs w:val="20"/>
          <w:color w:val="auto"/>
        </w:rPr>
      </w:pPr>
    </w:p>
    <w:p>
      <w:pPr>
        <w:spacing w:after="0" w:line="307" w:lineRule="auto"/>
        <w:rPr>
          <w:sz w:val="20"/>
          <w:szCs w:val="20"/>
          <w:color w:val="auto"/>
        </w:rPr>
      </w:pPr>
      <w:r>
        <w:rPr>
          <w:rFonts w:ascii="Arial" w:cs="Arial" w:eastAsia="Arial" w:hAnsi="Arial"/>
          <w:sz w:val="8"/>
          <w:szCs w:val="8"/>
          <w:color w:val="auto"/>
        </w:rPr>
        <w:t>The potential impacts of physical risks to Shell facilities, where processes, equipment and safety could be affected, are reasonably understood in Shell’s oil and gas businesses. For example, rising temperatures could potentially impact the efficiency of our plants, increase equipment corrosion and decrease gas pipeline capacity. Rising sea levels could potentially impact our coastal facilities through increased coastal erosion and flooding, damage to jetties, and salt-water intrusion in freshwater intake.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40"/>
        <w:spacing w:after="0" w:line="307" w:lineRule="auto"/>
        <w:rPr>
          <w:sz w:val="20"/>
          <w:szCs w:val="20"/>
          <w:color w:val="auto"/>
        </w:rPr>
      </w:pPr>
      <w:r>
        <w:rPr>
          <w:rFonts w:ascii="Arial" w:cs="Arial" w:eastAsia="Arial" w:hAnsi="Arial"/>
          <w:sz w:val="8"/>
          <w:szCs w:val="8"/>
          <w:color w:val="auto"/>
        </w:rPr>
        <w:t>The potential impacts of physical risks to the wider environment and their indirect effect on our facilities is an area that we continue to monitor and evaluate within the local context. Such risks could potentially disrupt our operations by affecting people, infrastructure or supply chains. For example, wildfires and droughts could disrupt feedstock supply for biofuels or make it difficult to access assets, including areas that support our nature-based solutions programme. Floods, meanwhile, could affect staff and communities in low-lying areas.</w:t>
      </w:r>
    </w:p>
    <w:p>
      <w:pPr>
        <w:spacing w:after="0" w:line="123" w:lineRule="exact"/>
        <w:rPr>
          <w:sz w:val="20"/>
          <w:szCs w:val="20"/>
          <w:color w:val="auto"/>
        </w:rPr>
      </w:pPr>
    </w:p>
    <w:p>
      <w:pPr>
        <w:ind w:right="180"/>
        <w:spacing w:after="0" w:line="307" w:lineRule="auto"/>
        <w:rPr>
          <w:sz w:val="20"/>
          <w:szCs w:val="20"/>
          <w:color w:val="auto"/>
        </w:rPr>
      </w:pPr>
      <w:r>
        <w:rPr>
          <w:rFonts w:ascii="Arial" w:cs="Arial" w:eastAsia="Arial" w:hAnsi="Arial"/>
          <w:sz w:val="8"/>
          <w:szCs w:val="8"/>
          <w:color w:val="auto"/>
        </w:rPr>
        <w:t>Measures to adapt to climate change could help reduce the impact of some of these physical climate change risks. These measures can range from local actions for a specific facility, to more general changes, such as adjustments to engineering design codes and alterations to the set limits and conditions within which facilities are deemed safe to operate. For example, Shell has already completed or started to implement solutions like pumping sand on beaches in to order to stabilise them, dredging works, and using a hovercraft for transport between islands.</w:t>
      </w:r>
    </w:p>
    <w:p>
      <w:pPr>
        <w:spacing w:after="0" w:line="470" w:lineRule="exact"/>
        <w:rPr>
          <w:sz w:val="20"/>
          <w:szCs w:val="20"/>
          <w:color w:val="auto"/>
        </w:rPr>
      </w:pPr>
    </w:p>
    <w:p>
      <w:pPr>
        <w:sectPr>
          <w:pgSz w:w="11900" w:h="16838" w:orient="portrait"/>
          <w:cols w:equalWidth="0" w:num="2">
            <w:col w:w="5440" w:space="280"/>
            <w:col w:w="5580"/>
          </w:cols>
          <w:pgMar w:left="300" w:top="1440" w:right="299" w:bottom="1440" w:gutter="0" w:footer="0" w:header="0"/>
        </w:sect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79</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type w:val="continuous"/>
        </w:sectPr>
      </w:pPr>
    </w:p>
    <w:bookmarkStart w:id="82" w:name="page83"/>
    <w:bookmarkEnd w:id="82"/>
    <w:p>
      <w:pPr>
        <w:ind w:left="8"/>
        <w:spacing w:after="0"/>
        <w:rPr>
          <w:sz w:val="20"/>
          <w:szCs w:val="20"/>
          <w:color w:val="auto"/>
        </w:rPr>
      </w:pPr>
      <w:r>
        <w:rPr>
          <w:rFonts w:ascii="Arial" w:cs="Arial" w:eastAsia="Arial" w:hAnsi="Arial"/>
          <w:sz w:val="11"/>
          <w:szCs w:val="11"/>
          <w:color w:val="auto"/>
        </w:rPr>
        <w:t>OUR PORTFOLIO AND CLIMATE CHANGE</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8"/>
          <w:szCs w:val="8"/>
          <w:color w:val="auto"/>
        </w:rPr>
        <w:t>We aim to grow our business in areas that will be essential in the energy transition, and where we see growth in demand over the next decade.</w:t>
      </w:r>
    </w:p>
    <w:p>
      <w:pPr>
        <w:spacing w:after="0" w:line="169" w:lineRule="exact"/>
        <w:rPr>
          <w:sz w:val="20"/>
          <w:szCs w:val="20"/>
          <w:color w:val="auto"/>
        </w:rPr>
      </w:pPr>
    </w:p>
    <w:p>
      <w:pPr>
        <w:ind w:left="8" w:right="220"/>
        <w:spacing w:after="0" w:line="199" w:lineRule="auto"/>
        <w:rPr>
          <w:sz w:val="20"/>
          <w:szCs w:val="20"/>
          <w:color w:val="auto"/>
        </w:rPr>
      </w:pPr>
      <w:r>
        <w:rPr>
          <w:rFonts w:ascii="Arial" w:cs="Arial" w:eastAsia="Arial" w:hAnsi="Arial"/>
          <w:sz w:val="10"/>
          <w:szCs w:val="10"/>
          <w:color w:val="auto"/>
        </w:rPr>
        <w:t>We are seeking cost-effective ways of managing GHG emissions in line with our NCF ambition. We also intend to help customers choose options with lower carbon intensity by bringing to market products with lower carbon intensity, in line with demand. We seek to help reduce global GHG emissions by:</w:t>
      </w:r>
    </w:p>
    <w:p>
      <w:pPr>
        <w:ind w:left="208" w:hanging="208"/>
        <w:spacing w:after="0" w:line="227" w:lineRule="auto"/>
        <w:tabs>
          <w:tab w:leader="none" w:pos="208" w:val="left"/>
        </w:tabs>
        <w:numPr>
          <w:ilvl w:val="0"/>
          <w:numId w:val="80"/>
        </w:numPr>
        <w:rPr>
          <w:rFonts w:ascii="Arial" w:cs="Arial" w:eastAsia="Arial" w:hAnsi="Arial"/>
          <w:sz w:val="10"/>
          <w:szCs w:val="10"/>
          <w:color w:val="auto"/>
        </w:rPr>
      </w:pPr>
      <w:r>
        <w:rPr>
          <w:rFonts w:ascii="Arial" w:cs="Arial" w:eastAsia="Arial" w:hAnsi="Arial"/>
          <w:sz w:val="10"/>
          <w:szCs w:val="10"/>
          <w:color w:val="auto"/>
        </w:rPr>
        <w:t>supplying more natural gas to replace coal for power generation;</w:t>
      </w:r>
    </w:p>
    <w:p>
      <w:pPr>
        <w:ind w:left="208" w:hanging="208"/>
        <w:spacing w:after="0" w:line="206" w:lineRule="auto"/>
        <w:tabs>
          <w:tab w:leader="none" w:pos="208" w:val="left"/>
        </w:tabs>
        <w:numPr>
          <w:ilvl w:val="0"/>
          <w:numId w:val="80"/>
        </w:numPr>
        <w:rPr>
          <w:rFonts w:ascii="Arial" w:cs="Arial" w:eastAsia="Arial" w:hAnsi="Arial"/>
          <w:sz w:val="10"/>
          <w:szCs w:val="10"/>
          <w:color w:val="auto"/>
        </w:rPr>
      </w:pPr>
      <w:r>
        <w:rPr>
          <w:rFonts w:ascii="Arial" w:cs="Arial" w:eastAsia="Arial" w:hAnsi="Arial"/>
          <w:sz w:val="10"/>
          <w:szCs w:val="10"/>
          <w:color w:val="auto"/>
        </w:rPr>
        <w:t>developing carbon capture and storage (CCS);</w:t>
      </w:r>
    </w:p>
    <w:p>
      <w:pPr>
        <w:ind w:left="208" w:hanging="208"/>
        <w:spacing w:after="0" w:line="206" w:lineRule="auto"/>
        <w:tabs>
          <w:tab w:leader="none" w:pos="208" w:val="left"/>
        </w:tabs>
        <w:numPr>
          <w:ilvl w:val="0"/>
          <w:numId w:val="80"/>
        </w:numPr>
        <w:rPr>
          <w:rFonts w:ascii="Arial" w:cs="Arial" w:eastAsia="Arial" w:hAnsi="Arial"/>
          <w:sz w:val="10"/>
          <w:szCs w:val="10"/>
          <w:color w:val="auto"/>
        </w:rPr>
      </w:pPr>
      <w:r>
        <w:rPr>
          <w:rFonts w:ascii="Arial" w:cs="Arial" w:eastAsia="Arial" w:hAnsi="Arial"/>
          <w:sz w:val="10"/>
          <w:szCs w:val="10"/>
          <w:color w:val="auto"/>
        </w:rPr>
        <w:t>implementing energy-efficiency measures in our operations where reasonably practicable;</w:t>
      </w:r>
    </w:p>
    <w:p>
      <w:pPr>
        <w:ind w:left="208" w:hanging="208"/>
        <w:spacing w:after="0" w:line="206" w:lineRule="auto"/>
        <w:tabs>
          <w:tab w:leader="none" w:pos="208" w:val="left"/>
        </w:tabs>
        <w:numPr>
          <w:ilvl w:val="0"/>
          <w:numId w:val="80"/>
        </w:numPr>
        <w:rPr>
          <w:rFonts w:ascii="Arial" w:cs="Arial" w:eastAsia="Arial" w:hAnsi="Arial"/>
          <w:sz w:val="10"/>
          <w:szCs w:val="10"/>
          <w:color w:val="auto"/>
        </w:rPr>
      </w:pPr>
      <w:r>
        <w:rPr>
          <w:rFonts w:ascii="Arial" w:cs="Arial" w:eastAsia="Arial" w:hAnsi="Arial"/>
          <w:sz w:val="10"/>
          <w:szCs w:val="10"/>
          <w:color w:val="auto"/>
        </w:rPr>
        <w:t>developing new fuels for transport such as advanced biofuels and hydrogen;</w:t>
      </w:r>
    </w:p>
    <w:p>
      <w:pPr>
        <w:ind w:left="208" w:hanging="208"/>
        <w:spacing w:after="0" w:line="206" w:lineRule="auto"/>
        <w:tabs>
          <w:tab w:leader="none" w:pos="208" w:val="left"/>
        </w:tabs>
        <w:numPr>
          <w:ilvl w:val="0"/>
          <w:numId w:val="80"/>
        </w:numPr>
        <w:rPr>
          <w:rFonts w:ascii="Arial" w:cs="Arial" w:eastAsia="Arial" w:hAnsi="Arial"/>
          <w:sz w:val="10"/>
          <w:szCs w:val="10"/>
          <w:color w:val="auto"/>
        </w:rPr>
      </w:pPr>
      <w:r>
        <w:rPr>
          <w:rFonts w:ascii="Arial" w:cs="Arial" w:eastAsia="Arial" w:hAnsi="Arial"/>
          <w:sz w:val="10"/>
          <w:szCs w:val="10"/>
          <w:color w:val="auto"/>
        </w:rPr>
        <w:t>maintaining a focus on using natural gas and renewable electricity to generate power; and</w:t>
      </w:r>
    </w:p>
    <w:p>
      <w:pPr>
        <w:ind w:left="208" w:hanging="208"/>
        <w:spacing w:after="0" w:line="236" w:lineRule="auto"/>
        <w:tabs>
          <w:tab w:leader="none" w:pos="208" w:val="left"/>
        </w:tabs>
        <w:numPr>
          <w:ilvl w:val="0"/>
          <w:numId w:val="80"/>
        </w:numPr>
        <w:rPr>
          <w:rFonts w:ascii="Arial" w:cs="Arial" w:eastAsia="Arial" w:hAnsi="Arial"/>
          <w:sz w:val="10"/>
          <w:szCs w:val="10"/>
          <w:color w:val="auto"/>
        </w:rPr>
      </w:pPr>
      <w:r>
        <w:rPr>
          <w:rFonts w:ascii="Arial" w:cs="Arial" w:eastAsia="Arial" w:hAnsi="Arial"/>
          <w:sz w:val="10"/>
          <w:szCs w:val="10"/>
          <w:color w:val="auto"/>
        </w:rPr>
        <w:t>working with nature-based solutions.</w:t>
      </w:r>
    </w:p>
    <w:p>
      <w:pPr>
        <w:spacing w:after="0" w:line="140" w:lineRule="exact"/>
        <w:rPr>
          <w:sz w:val="20"/>
          <w:szCs w:val="20"/>
          <w:color w:val="auto"/>
        </w:rPr>
      </w:pPr>
    </w:p>
    <w:p>
      <w:pPr>
        <w:ind w:left="8" w:right="460"/>
        <w:spacing w:after="0" w:line="239" w:lineRule="auto"/>
        <w:rPr>
          <w:sz w:val="20"/>
          <w:szCs w:val="20"/>
          <w:color w:val="auto"/>
        </w:rPr>
      </w:pPr>
      <w:r>
        <w:rPr>
          <w:rFonts w:ascii="Arial" w:cs="Arial" w:eastAsia="Arial" w:hAnsi="Arial"/>
          <w:sz w:val="10"/>
          <w:szCs w:val="10"/>
          <w:color w:val="auto"/>
        </w:rPr>
        <w:t>See further information on portfolio decisions in "Integrated Gas" on page 31, "Upstream" on page 37, "Oil Products" on page 52, and "Chemicals" on page 58.</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NATURAL GAS</w:t>
      </w:r>
    </w:p>
    <w:p>
      <w:pPr>
        <w:spacing w:after="0" w:line="1" w:lineRule="exact"/>
        <w:rPr>
          <w:sz w:val="20"/>
          <w:szCs w:val="20"/>
          <w:color w:val="auto"/>
        </w:rPr>
      </w:pPr>
    </w:p>
    <w:p>
      <w:pPr>
        <w:ind w:left="8" w:right="380"/>
        <w:spacing w:after="0" w:line="229" w:lineRule="auto"/>
        <w:rPr>
          <w:sz w:val="20"/>
          <w:szCs w:val="20"/>
          <w:color w:val="auto"/>
        </w:rPr>
      </w:pPr>
      <w:r>
        <w:rPr>
          <w:rFonts w:ascii="Arial" w:cs="Arial" w:eastAsia="Arial" w:hAnsi="Arial"/>
          <w:sz w:val="10"/>
          <w:szCs w:val="10"/>
          <w:color w:val="auto"/>
        </w:rPr>
        <w:t>Natural gas is the least polluting hydrocarbon. It produces less than one-tenth of the air pollution that coal does when burned to generate electricity. Increasing the role that gas plays in the energy mix is one way countries can take action as the world moves to a net-zero emissions future.</w:t>
      </w:r>
    </w:p>
    <w:p>
      <w:pPr>
        <w:spacing w:after="0" w:line="149" w:lineRule="exact"/>
        <w:rPr>
          <w:sz w:val="20"/>
          <w:szCs w:val="20"/>
          <w:color w:val="auto"/>
        </w:rPr>
      </w:pPr>
    </w:p>
    <w:p>
      <w:pPr>
        <w:ind w:left="8" w:right="240"/>
        <w:spacing w:after="0" w:line="320" w:lineRule="auto"/>
        <w:rPr>
          <w:sz w:val="20"/>
          <w:szCs w:val="20"/>
          <w:color w:val="auto"/>
        </w:rPr>
      </w:pPr>
      <w:r>
        <w:rPr>
          <w:rFonts w:ascii="Arial" w:cs="Arial" w:eastAsia="Arial" w:hAnsi="Arial"/>
          <w:sz w:val="8"/>
          <w:szCs w:val="8"/>
          <w:color w:val="auto"/>
        </w:rPr>
        <w:t>Natural gas is an abundant, secure and readily available source of energy, one of the few that can be used across power generation, industry, the built environment and transport. Gas has significant advantages when used to generate power alongside renewables: it can quickly compensate for dips in supply from solar or wind generation, and can rapidly respond to surges in demand.</w:t>
      </w:r>
    </w:p>
    <w:p>
      <w:pPr>
        <w:spacing w:after="0" w:line="118" w:lineRule="exact"/>
        <w:rPr>
          <w:sz w:val="20"/>
          <w:szCs w:val="20"/>
          <w:color w:val="auto"/>
        </w:rPr>
      </w:pPr>
    </w:p>
    <w:p>
      <w:pPr>
        <w:ind w:left="8" w:right="180"/>
        <w:spacing w:after="0" w:line="320" w:lineRule="auto"/>
        <w:rPr>
          <w:sz w:val="20"/>
          <w:szCs w:val="20"/>
          <w:color w:val="auto"/>
        </w:rPr>
      </w:pPr>
      <w:r>
        <w:rPr>
          <w:rFonts w:ascii="Arial" w:cs="Arial" w:eastAsia="Arial" w:hAnsi="Arial"/>
          <w:sz w:val="8"/>
          <w:szCs w:val="8"/>
          <w:color w:val="auto"/>
        </w:rPr>
        <w:t>In 2020, gas accounted for around 47% of Shell’s total production. We are a leading producer, marketer and trader of liquefied natural gas (LNG) and gas-to-liquids (GTL) products. In our new strategy, launched in February 2021, one of the energy transition milestones by 2030 is that we expect the percentage of total gas production in our portfolio to gradually rise to around 55% or more.</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0"/>
          <w:szCs w:val="10"/>
          <w:color w:val="auto"/>
        </w:rPr>
        <w:t>See “Integrated Gas” part on page 30</w:t>
      </w:r>
      <w:r>
        <w:rPr>
          <w:rFonts w:ascii="Arial" w:cs="Arial" w:eastAsia="Arial" w:hAnsi="Arial"/>
          <w:sz w:val="13"/>
          <w:szCs w:val="13"/>
          <w:color w:val="auto"/>
        </w:rPr>
        <w: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1"/>
          <w:szCs w:val="11"/>
          <w:color w:val="auto"/>
        </w:rPr>
        <w:t>Methane emissions</w:t>
      </w:r>
    </w:p>
    <w:p>
      <w:pPr>
        <w:ind w:left="8" w:right="200"/>
        <w:spacing w:after="0" w:line="337" w:lineRule="auto"/>
        <w:rPr>
          <w:sz w:val="20"/>
          <w:szCs w:val="20"/>
          <w:color w:val="auto"/>
        </w:rPr>
      </w:pPr>
      <w:r>
        <w:rPr>
          <w:rFonts w:ascii="Arial" w:cs="Arial" w:eastAsia="Arial" w:hAnsi="Arial"/>
          <w:sz w:val="8"/>
          <w:szCs w:val="8"/>
          <w:color w:val="auto"/>
        </w:rPr>
        <w:t>Natural gas consists mainly of methane. Methane is a potent greenhouse gas and has a much higher global warming impact than CO</w:t>
      </w:r>
      <w:r>
        <w:rPr>
          <w:rFonts w:ascii="Arial" w:cs="Arial" w:eastAsia="Arial" w:hAnsi="Arial"/>
          <w:sz w:val="5"/>
          <w:szCs w:val="5"/>
          <w:color w:val="auto"/>
        </w:rPr>
        <w:t>2</w:t>
      </w:r>
      <w:r>
        <w:rPr>
          <w:rFonts w:ascii="Arial" w:cs="Arial" w:eastAsia="Arial" w:hAnsi="Arial"/>
          <w:sz w:val="8"/>
          <w:szCs w:val="8"/>
          <w:color w:val="auto"/>
        </w:rPr>
        <w:t>. Efforts to address climate change therefore require the industry to reduce both deliberate and unintended methane emissions.</w:t>
      </w:r>
    </w:p>
    <w:p>
      <w:pPr>
        <w:spacing w:after="0" w:line="112" w:lineRule="exact"/>
        <w:rPr>
          <w:sz w:val="20"/>
          <w:szCs w:val="20"/>
          <w:color w:val="auto"/>
        </w:rPr>
      </w:pPr>
    </w:p>
    <w:p>
      <w:pPr>
        <w:ind w:left="8" w:right="180"/>
        <w:spacing w:after="0" w:line="358" w:lineRule="auto"/>
        <w:rPr>
          <w:sz w:val="20"/>
          <w:szCs w:val="20"/>
          <w:color w:val="auto"/>
        </w:rPr>
      </w:pPr>
      <w:r>
        <w:rPr>
          <w:rFonts w:ascii="Arial" w:cs="Arial" w:eastAsia="Arial" w:hAnsi="Arial"/>
          <w:sz w:val="8"/>
          <w:szCs w:val="8"/>
          <w:color w:val="auto"/>
        </w:rPr>
        <w:t>The IEA estimates that natural gas operations have an average methane leakage rate of 1.7%. At this rate, natural gas emits between 45% and 55% less GHG than coal when burned at a power plant. Higher levels of methane emissions reduce this benefit.</w:t>
      </w:r>
    </w:p>
    <w:p>
      <w:pPr>
        <w:spacing w:after="0" w:line="104" w:lineRule="exact"/>
        <w:rPr>
          <w:sz w:val="20"/>
          <w:szCs w:val="20"/>
          <w:color w:val="auto"/>
        </w:rPr>
      </w:pPr>
    </w:p>
    <w:p>
      <w:pPr>
        <w:ind w:left="8" w:right="160"/>
        <w:spacing w:after="0" w:line="230" w:lineRule="auto"/>
        <w:rPr>
          <w:sz w:val="20"/>
          <w:szCs w:val="20"/>
          <w:color w:val="auto"/>
        </w:rPr>
      </w:pPr>
      <w:r>
        <w:rPr>
          <w:rFonts w:ascii="Arial" w:cs="Arial" w:eastAsia="Arial" w:hAnsi="Arial"/>
          <w:sz w:val="10"/>
          <w:szCs w:val="10"/>
          <w:color w:val="auto"/>
        </w:rPr>
        <w:t>In 2018, Shell announced an industry-leading target of keeping its methane emissions intensity below 0.2% by 2025. This target covers all the Shell-operated oil and gas facilities in our Upstream and Integrated Gas businesses. The baseline and target intensities are expressed as percentage figures, representing estimated methane emissions from Shell-operated oil and gas facilities as a percentage of the total amount of gas marketed, or the quantity of marketed oil and condensate where facilities have no marketed gas (for example, those that re-inject produced gas). Methane emissions include those from unintentional leaks, venting and incomplete combustion, for example, in flares and turbines.</w:t>
      </w:r>
    </w:p>
    <w:p>
      <w:pPr>
        <w:spacing w:after="0" w:line="149" w:lineRule="exact"/>
        <w:rPr>
          <w:sz w:val="20"/>
          <w:szCs w:val="20"/>
          <w:color w:val="auto"/>
        </w:rPr>
      </w:pPr>
    </w:p>
    <w:p>
      <w:pPr>
        <w:ind w:left="8" w:right="200"/>
        <w:spacing w:after="0" w:line="307" w:lineRule="auto"/>
        <w:rPr>
          <w:sz w:val="20"/>
          <w:szCs w:val="20"/>
          <w:color w:val="auto"/>
        </w:rPr>
      </w:pPr>
      <w:r>
        <w:rPr>
          <w:rFonts w:ascii="Arial" w:cs="Arial" w:eastAsia="Arial" w:hAnsi="Arial"/>
          <w:sz w:val="8"/>
          <w:szCs w:val="8"/>
          <w:color w:val="auto"/>
        </w:rPr>
        <w:t>The largest contributor to our reported methane emissions in 2020 was the flaring and venting of gas (including equipment venting) in our upstream oil and gas operations. We are working to reduce methane emissions from these sources by reducing the overall level of flaring and venting. We also continue to implement programmes across our sites to identify and stop unintended leaks and to replace or repair high-emission equipment, such as high-bleed pneumatic devices. We continue to work on confirming that we</w:t>
      </w: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2100" w:type="dxa"/>
            <w:vAlign w:val="bottom"/>
          </w:tcPr>
          <w:p>
            <w:pPr>
              <w:jc w:val="right"/>
              <w:spacing w:after="0"/>
              <w:rPr>
                <w:sz w:val="20"/>
                <w:szCs w:val="20"/>
                <w:color w:val="auto"/>
              </w:rPr>
            </w:pPr>
            <w:r>
              <w:rPr>
                <w:rFonts w:ascii="Arial" w:cs="Arial" w:eastAsia="Arial" w:hAnsi="Arial"/>
                <w:sz w:val="7"/>
                <w:szCs w:val="7"/>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178040" cy="114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have identified all potential methane sources and reported our emissions from these sources in line with regulations and industry standards.</w:t>
      </w:r>
    </w:p>
    <w:p>
      <w:pPr>
        <w:spacing w:after="0" w:line="178" w:lineRule="exact"/>
        <w:rPr>
          <w:sz w:val="20"/>
          <w:szCs w:val="20"/>
          <w:color w:val="auto"/>
        </w:rPr>
      </w:pPr>
    </w:p>
    <w:p>
      <w:pPr>
        <w:ind w:right="20"/>
        <w:spacing w:after="0" w:line="218" w:lineRule="auto"/>
        <w:rPr>
          <w:sz w:val="20"/>
          <w:szCs w:val="20"/>
          <w:color w:val="auto"/>
        </w:rPr>
      </w:pPr>
      <w:r>
        <w:rPr>
          <w:rFonts w:ascii="Arial" w:cs="Arial" w:eastAsia="Arial" w:hAnsi="Arial"/>
          <w:sz w:val="10"/>
          <w:szCs w:val="10"/>
          <w:color w:val="auto"/>
        </w:rPr>
        <w:t>Since 2018, we have tested drone-based leak detection cameras and sensors in our Permian Basin shales asset, where we have more than 400 sites. In 2020, we signed a contract with Avitas, a GE Venture, to expand the use of drones to enhance our existing leak detection and repair programme in the Permian Basin. As a result, we started the drone programme on one of our shales businesses, across sites that have the potential to emit methane.</w:t>
      </w:r>
    </w:p>
    <w:p>
      <w:pPr>
        <w:spacing w:after="0" w:line="140" w:lineRule="exact"/>
        <w:rPr>
          <w:sz w:val="20"/>
          <w:szCs w:val="20"/>
          <w:color w:val="auto"/>
        </w:rPr>
      </w:pPr>
    </w:p>
    <w:p>
      <w:pPr>
        <w:ind w:right="60"/>
        <w:spacing w:after="0" w:line="230" w:lineRule="auto"/>
        <w:rPr>
          <w:sz w:val="20"/>
          <w:szCs w:val="20"/>
          <w:color w:val="auto"/>
        </w:rPr>
      </w:pPr>
      <w:r>
        <w:rPr>
          <w:rFonts w:ascii="Arial" w:cs="Arial" w:eastAsia="Arial" w:hAnsi="Arial"/>
          <w:sz w:val="10"/>
          <w:szCs w:val="10"/>
          <w:color w:val="auto"/>
        </w:rPr>
        <w:t>We played an active role in the advisory committee of The University of Texas at Austin´s Project Astra which plans to establish a proof-of-concept network of methane detection sensors in the Permian Basin for high-frequency monitoring.</w:t>
      </w:r>
    </w:p>
    <w:p>
      <w:pPr>
        <w:spacing w:after="0" w:line="140" w:lineRule="exact"/>
        <w:rPr>
          <w:sz w:val="20"/>
          <w:szCs w:val="20"/>
          <w:color w:val="auto"/>
        </w:rPr>
      </w:pPr>
    </w:p>
    <w:p>
      <w:pPr>
        <w:spacing w:after="0"/>
        <w:rPr>
          <w:sz w:val="20"/>
          <w:szCs w:val="20"/>
          <w:color w:val="auto"/>
        </w:rPr>
      </w:pPr>
      <w:r>
        <w:rPr>
          <w:rFonts w:ascii="Arial" w:cs="Arial" w:eastAsia="Arial" w:hAnsi="Arial"/>
          <w:sz w:val="10"/>
          <w:szCs w:val="10"/>
          <w:color w:val="auto"/>
        </w:rPr>
        <w:t>We have also tested fixed-based methane detection sensors in our Rocky Mountain House (Canada) asset.</w:t>
      </w:r>
    </w:p>
    <w:p>
      <w:pPr>
        <w:spacing w:after="0" w:line="146" w:lineRule="exact"/>
        <w:rPr>
          <w:sz w:val="20"/>
          <w:szCs w:val="20"/>
          <w:color w:val="auto"/>
        </w:rPr>
      </w:pPr>
    </w:p>
    <w:p>
      <w:pPr>
        <w:spacing w:after="0" w:line="216" w:lineRule="auto"/>
        <w:rPr>
          <w:sz w:val="20"/>
          <w:szCs w:val="20"/>
          <w:color w:val="auto"/>
        </w:rPr>
      </w:pPr>
      <w:r>
        <w:rPr>
          <w:rFonts w:ascii="Arial" w:cs="Arial" w:eastAsia="Arial" w:hAnsi="Arial"/>
          <w:sz w:val="10"/>
          <w:szCs w:val="10"/>
          <w:color w:val="auto"/>
        </w:rPr>
        <w:t>At our Shell ONEgas facilities in the North Sea, we have reduced methane emissions by around 55%, (around 2,000 tonnes) since 2017. We have done this through improvements that reduce gas venting, such as minimising valve leakage and substituting nitrogen for natural gas when purging potentially explosive oxygen from equipment. ONEgas also continues efforts to improve the accuracy of its measurement of methane emissions. It is planning a trial of drone-mounted sensors in 2021, to see whether they provide a better way of quantifying emissions from platforms.</w:t>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color w:val="auto"/>
        </w:rPr>
        <w:t>Methane initiatives and collaborations</w:t>
      </w:r>
    </w:p>
    <w:p>
      <w:pPr>
        <w:spacing w:after="0" w:line="237" w:lineRule="auto"/>
        <w:rPr>
          <w:sz w:val="20"/>
          <w:szCs w:val="20"/>
          <w:color w:val="auto"/>
        </w:rPr>
      </w:pPr>
      <w:r>
        <w:rPr>
          <w:rFonts w:ascii="Arial" w:cs="Arial" w:eastAsia="Arial" w:hAnsi="Arial"/>
          <w:sz w:val="10"/>
          <w:szCs w:val="10"/>
          <w:color w:val="auto"/>
        </w:rPr>
        <w:t>We participate in a number of voluntary initiatives to encourage industry-wide action to reduce methane emissions.</w:t>
      </w:r>
    </w:p>
    <w:p>
      <w:pPr>
        <w:spacing w:after="0" w:line="149" w:lineRule="exact"/>
        <w:rPr>
          <w:sz w:val="20"/>
          <w:szCs w:val="20"/>
          <w:color w:val="auto"/>
        </w:rPr>
      </w:pPr>
    </w:p>
    <w:p>
      <w:pPr>
        <w:ind w:right="140"/>
        <w:spacing w:after="0" w:line="239" w:lineRule="auto"/>
        <w:rPr>
          <w:sz w:val="20"/>
          <w:szCs w:val="20"/>
          <w:color w:val="auto"/>
        </w:rPr>
      </w:pPr>
      <w:r>
        <w:rPr>
          <w:rFonts w:ascii="Arial" w:cs="Arial" w:eastAsia="Arial" w:hAnsi="Arial"/>
          <w:sz w:val="10"/>
          <w:szCs w:val="10"/>
          <w:color w:val="auto"/>
        </w:rPr>
        <w:t>In 2017, we joined the Climate and Clean Air Coalition Oil and Gas Methane Partnership. This brings together industry, governments and NGOs to improve the quantification of methane emissions globally and to work on reducing them.</w:t>
      </w:r>
    </w:p>
    <w:p>
      <w:pPr>
        <w:spacing w:after="0" w:line="149" w:lineRule="exact"/>
        <w:rPr>
          <w:sz w:val="20"/>
          <w:szCs w:val="20"/>
          <w:color w:val="auto"/>
        </w:rPr>
      </w:pPr>
    </w:p>
    <w:p>
      <w:pPr>
        <w:ind w:right="40"/>
        <w:spacing w:after="0" w:line="299" w:lineRule="auto"/>
        <w:rPr>
          <w:sz w:val="20"/>
          <w:szCs w:val="20"/>
          <w:color w:val="auto"/>
        </w:rPr>
      </w:pPr>
      <w:r>
        <w:rPr>
          <w:rFonts w:ascii="Arial" w:cs="Arial" w:eastAsia="Arial" w:hAnsi="Arial"/>
          <w:sz w:val="8"/>
          <w:szCs w:val="8"/>
          <w:color w:val="auto"/>
        </w:rPr>
        <w:t>Also in 2017, Shell formed an industry coalition, supported by organisations such as the Environmental Defense Fund, the UN Environment Programme and the World Bank, to develop a set of Methane Guiding Principles. These principles focus on:</w:t>
      </w:r>
    </w:p>
    <w:p>
      <w:pPr>
        <w:ind w:left="220" w:hanging="211"/>
        <w:spacing w:after="0"/>
        <w:tabs>
          <w:tab w:leader="none" w:pos="220" w:val="left"/>
        </w:tabs>
        <w:numPr>
          <w:ilvl w:val="0"/>
          <w:numId w:val="81"/>
        </w:numPr>
        <w:rPr>
          <w:rFonts w:ascii="Arial" w:cs="Arial" w:eastAsia="Arial" w:hAnsi="Arial"/>
          <w:sz w:val="10"/>
          <w:szCs w:val="10"/>
          <w:color w:val="auto"/>
        </w:rPr>
      </w:pPr>
      <w:r>
        <w:rPr>
          <w:rFonts w:ascii="Arial" w:cs="Arial" w:eastAsia="Arial" w:hAnsi="Arial"/>
          <w:sz w:val="10"/>
          <w:szCs w:val="10"/>
          <w:color w:val="auto"/>
        </w:rPr>
        <w:t>continually reducing methane emissions;</w:t>
      </w:r>
    </w:p>
    <w:p>
      <w:pPr>
        <w:spacing w:after="0" w:line="2" w:lineRule="exact"/>
        <w:rPr>
          <w:rFonts w:ascii="Arial" w:cs="Arial" w:eastAsia="Arial" w:hAnsi="Arial"/>
          <w:sz w:val="10"/>
          <w:szCs w:val="10"/>
          <w:color w:val="auto"/>
        </w:rPr>
      </w:pPr>
    </w:p>
    <w:p>
      <w:pPr>
        <w:ind w:left="220" w:hanging="211"/>
        <w:spacing w:after="0"/>
        <w:tabs>
          <w:tab w:leader="none" w:pos="220" w:val="left"/>
        </w:tabs>
        <w:numPr>
          <w:ilvl w:val="0"/>
          <w:numId w:val="81"/>
        </w:numPr>
        <w:rPr>
          <w:rFonts w:ascii="Arial" w:cs="Arial" w:eastAsia="Arial" w:hAnsi="Arial"/>
          <w:sz w:val="10"/>
          <w:szCs w:val="10"/>
          <w:color w:val="auto"/>
        </w:rPr>
      </w:pPr>
      <w:r>
        <w:rPr>
          <w:rFonts w:ascii="Arial" w:cs="Arial" w:eastAsia="Arial" w:hAnsi="Arial"/>
          <w:sz w:val="10"/>
          <w:szCs w:val="10"/>
          <w:color w:val="auto"/>
        </w:rPr>
        <w:t>advancing strong performance across gas value chains;</w:t>
      </w:r>
    </w:p>
    <w:p>
      <w:pPr>
        <w:spacing w:after="0" w:line="2" w:lineRule="exact"/>
        <w:rPr>
          <w:rFonts w:ascii="Arial" w:cs="Arial" w:eastAsia="Arial" w:hAnsi="Arial"/>
          <w:sz w:val="10"/>
          <w:szCs w:val="10"/>
          <w:color w:val="auto"/>
        </w:rPr>
      </w:pPr>
    </w:p>
    <w:p>
      <w:pPr>
        <w:ind w:left="220" w:hanging="211"/>
        <w:spacing w:after="0"/>
        <w:tabs>
          <w:tab w:leader="none" w:pos="220" w:val="left"/>
        </w:tabs>
        <w:numPr>
          <w:ilvl w:val="0"/>
          <w:numId w:val="81"/>
        </w:numPr>
        <w:rPr>
          <w:rFonts w:ascii="Arial" w:cs="Arial" w:eastAsia="Arial" w:hAnsi="Arial"/>
          <w:sz w:val="10"/>
          <w:szCs w:val="10"/>
          <w:color w:val="auto"/>
        </w:rPr>
      </w:pPr>
      <w:r>
        <w:rPr>
          <w:rFonts w:ascii="Arial" w:cs="Arial" w:eastAsia="Arial" w:hAnsi="Arial"/>
          <w:sz w:val="10"/>
          <w:szCs w:val="10"/>
          <w:color w:val="auto"/>
        </w:rPr>
        <w:t>improving the accuracy of methane emissions data;</w:t>
      </w:r>
    </w:p>
    <w:p>
      <w:pPr>
        <w:spacing w:after="0" w:line="2" w:lineRule="exact"/>
        <w:rPr>
          <w:rFonts w:ascii="Arial" w:cs="Arial" w:eastAsia="Arial" w:hAnsi="Arial"/>
          <w:sz w:val="10"/>
          <w:szCs w:val="10"/>
          <w:color w:val="auto"/>
        </w:rPr>
      </w:pPr>
    </w:p>
    <w:p>
      <w:pPr>
        <w:ind w:left="220" w:hanging="211"/>
        <w:spacing w:after="0"/>
        <w:tabs>
          <w:tab w:leader="none" w:pos="220" w:val="left"/>
        </w:tabs>
        <w:numPr>
          <w:ilvl w:val="0"/>
          <w:numId w:val="81"/>
        </w:numPr>
        <w:rPr>
          <w:rFonts w:ascii="Arial" w:cs="Arial" w:eastAsia="Arial" w:hAnsi="Arial"/>
          <w:sz w:val="10"/>
          <w:szCs w:val="10"/>
          <w:color w:val="auto"/>
        </w:rPr>
      </w:pPr>
      <w:r>
        <w:rPr>
          <w:rFonts w:ascii="Arial" w:cs="Arial" w:eastAsia="Arial" w:hAnsi="Arial"/>
          <w:sz w:val="10"/>
          <w:szCs w:val="10"/>
          <w:color w:val="auto"/>
        </w:rPr>
        <w:t>advocating sound policies and regulations on methane emissions; and</w:t>
      </w:r>
    </w:p>
    <w:p>
      <w:pPr>
        <w:spacing w:after="0" w:line="2" w:lineRule="exact"/>
        <w:rPr>
          <w:rFonts w:ascii="Arial" w:cs="Arial" w:eastAsia="Arial" w:hAnsi="Arial"/>
          <w:sz w:val="10"/>
          <w:szCs w:val="10"/>
          <w:color w:val="auto"/>
        </w:rPr>
      </w:pPr>
    </w:p>
    <w:p>
      <w:pPr>
        <w:ind w:left="220" w:hanging="211"/>
        <w:spacing w:after="0"/>
        <w:tabs>
          <w:tab w:leader="none" w:pos="220" w:val="left"/>
        </w:tabs>
        <w:numPr>
          <w:ilvl w:val="0"/>
          <w:numId w:val="81"/>
        </w:numPr>
        <w:rPr>
          <w:rFonts w:ascii="Arial" w:cs="Arial" w:eastAsia="Arial" w:hAnsi="Arial"/>
          <w:sz w:val="10"/>
          <w:szCs w:val="10"/>
          <w:color w:val="auto"/>
        </w:rPr>
      </w:pPr>
      <w:r>
        <w:rPr>
          <w:rFonts w:ascii="Arial" w:cs="Arial" w:eastAsia="Arial" w:hAnsi="Arial"/>
          <w:sz w:val="10"/>
          <w:szCs w:val="10"/>
          <w:color w:val="auto"/>
        </w:rPr>
        <w:t>increasing transparency.</w:t>
      </w:r>
    </w:p>
    <w:p>
      <w:pPr>
        <w:spacing w:after="0" w:line="151" w:lineRule="exact"/>
        <w:rPr>
          <w:sz w:val="20"/>
          <w:szCs w:val="20"/>
          <w:color w:val="auto"/>
        </w:rPr>
      </w:pPr>
    </w:p>
    <w:p>
      <w:pPr>
        <w:ind w:right="60"/>
        <w:spacing w:after="0" w:line="275" w:lineRule="auto"/>
        <w:rPr>
          <w:sz w:val="20"/>
          <w:szCs w:val="20"/>
          <w:color w:val="auto"/>
        </w:rPr>
      </w:pPr>
      <w:r>
        <w:rPr>
          <w:rFonts w:ascii="Arial" w:cs="Arial" w:eastAsia="Arial" w:hAnsi="Arial"/>
          <w:sz w:val="8"/>
          <w:szCs w:val="8"/>
          <w:color w:val="auto"/>
        </w:rPr>
        <w:t>Shell has been involved in developing all actions associated with the Methane Guiding Principles, including the establishment of a major global outreach programme. This programme seeks to address gaps in knowledge about managing methane emissions. It provides high-quality educational material and courses covering methane science, methane reduction strategies and planning, measurement techniques, technology, policy, and where to get guidance and support. The publicly accessible programme consists of two courses: an executive course for senior managers and executives, and masterclasses for managers of frontline staff. By the end of 2020, the Methane Guiding Principles had been signed by 23 companies.</w:t>
      </w:r>
    </w:p>
    <w:p>
      <w:pPr>
        <w:spacing w:after="0" w:line="229" w:lineRule="exact"/>
        <w:rPr>
          <w:sz w:val="20"/>
          <w:szCs w:val="20"/>
          <w:color w:val="auto"/>
        </w:rPr>
      </w:pPr>
    </w:p>
    <w:p>
      <w:pPr>
        <w:ind w:right="180"/>
        <w:spacing w:after="0" w:line="358" w:lineRule="auto"/>
        <w:rPr>
          <w:sz w:val="20"/>
          <w:szCs w:val="20"/>
          <w:color w:val="auto"/>
        </w:rPr>
      </w:pPr>
      <w:r>
        <w:rPr>
          <w:rFonts w:ascii="Arial" w:cs="Arial" w:eastAsia="Arial" w:hAnsi="Arial"/>
          <w:sz w:val="8"/>
          <w:szCs w:val="8"/>
          <w:color w:val="auto"/>
        </w:rPr>
        <w:t>In 2020, we became a founding signatory to the Oil and Gas Methane Partnership 2.0, the new gold-standard reporting framework that is designed to enhance reporting accuracy and transparency on methane emissions in the oil and gas sector.</w:t>
      </w:r>
    </w:p>
    <w:p>
      <w:pPr>
        <w:sectPr>
          <w:pgSz w:w="11900" w:h="16838" w:orient="portrait"/>
          <w:cols w:equalWidth="0" w:num="2">
            <w:col w:w="5608" w:space="120"/>
            <w:col w:w="5440"/>
          </w:cols>
          <w:pgMar w:left="292" w:top="638" w:right="43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414655</wp:posOffset>
            </wp:positionV>
            <wp:extent cx="1885950" cy="22174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885950" cy="221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spacing w:after="0" w:line="232" w:lineRule="auto"/>
        <w:rPr>
          <w:sz w:val="20"/>
          <w:szCs w:val="20"/>
          <w:color w:val="auto"/>
        </w:rPr>
      </w:pPr>
      <w:r>
        <w:rPr>
          <w:rFonts w:ascii="Arial" w:cs="Arial" w:eastAsia="Arial" w:hAnsi="Arial"/>
          <w:sz w:val="10"/>
          <w:szCs w:val="10"/>
          <w:color w:val="auto"/>
        </w:rPr>
        <w:t>Shell is a member of the Oil and Gas Climate Initiative (OGCI), a CEO-led effort to lead the industry’s response to climate change. One of OGCI’s focus areas is methane management. In 2018, OGCI announced a target of reducing the collective average methane intensity of its members’ aggregated upstream gas and oil operations by one-fifth, to below 0.25% by 2025, with an ambition to achieve 0.2%, which would be a reduction of one-third.</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Methane emissions performance</w:t>
      </w:r>
    </w:p>
    <w:p>
      <w:pPr>
        <w:spacing w:after="0" w:line="289" w:lineRule="auto"/>
        <w:rPr>
          <w:sz w:val="20"/>
          <w:szCs w:val="20"/>
          <w:color w:val="auto"/>
        </w:rPr>
      </w:pPr>
      <w:r>
        <w:rPr>
          <w:rFonts w:ascii="Arial" w:cs="Arial" w:eastAsia="Arial" w:hAnsi="Arial"/>
          <w:sz w:val="8"/>
          <w:szCs w:val="8"/>
          <w:color w:val="auto"/>
        </w:rPr>
        <w:t>In 2020, our overall methane intensity was 0.06% for facilities with marketed gas and 0.01% for facilities without marketed gas. Intensities at facility level ranged from below 0.01% to 0.6%. We believe our methane emissions are calculated using the best methods currently available: a combination of industry-standard emission factors (established emission rates per throughput or per piece of equipment), engineering calculations and some actual measurements. There are still uncertainties associated with quantifying methane emissions with the available methodologies. To reduce these uncertainties, our Upstream and Integrated Gas businesses are rolling out methane improvement programmes to further improve data quality and reporting. The improvement programmes will also continue leak detection and repair initiatives, and make use of methane abatement opportunities. By 2025, all Shell-operated facilities are expected to have implemented more robust quantification methodologies. Externally, we continue to work on new technologies and improved quantification methods through partnerships and other initiatives such as the OGCI.</w:t>
      </w:r>
    </w:p>
    <w:p>
      <w:pPr>
        <w:spacing w:after="0" w:line="240" w:lineRule="exact"/>
        <w:rPr>
          <w:sz w:val="20"/>
          <w:szCs w:val="20"/>
          <w:color w:val="auto"/>
        </w:rPr>
      </w:pPr>
    </w:p>
    <w:p>
      <w:pPr>
        <w:spacing w:after="0" w:line="239" w:lineRule="auto"/>
        <w:rPr>
          <w:sz w:val="20"/>
          <w:szCs w:val="20"/>
          <w:color w:val="auto"/>
        </w:rPr>
      </w:pPr>
      <w:r>
        <w:rPr>
          <w:rFonts w:ascii="Arial" w:cs="Arial" w:eastAsia="Arial" w:hAnsi="Arial"/>
          <w:sz w:val="10"/>
          <w:szCs w:val="10"/>
          <w:color w:val="auto"/>
        </w:rPr>
        <w:t>Detailed information on our approach to managing methane emissions and performance is expected to be published in the Shell Sustainability Report in April 2021.</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RENEWABLES AND ENERGY SOLUTIONS</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8"/>
          <w:szCs w:val="8"/>
          <w:color w:val="auto"/>
        </w:rPr>
        <w:t>Renewables and Energy Solutions, formerly New Energies, encompasses Shell’s low-carbon businesses. These include Shell’s activities in integrated power, hydrogen, nature-based solutions (NBS) and carbon capture and storage (CCS). We want to find ways of helping customers</w:t>
      </w:r>
    </w:p>
    <w:p>
      <w:pPr>
        <w:spacing w:after="0" w:line="1" w:lineRule="exact"/>
        <w:rPr>
          <w:sz w:val="20"/>
          <w:szCs w:val="20"/>
          <w:color w:val="auto"/>
        </w:rPr>
      </w:pPr>
    </w:p>
    <w:p>
      <w:pPr>
        <w:ind w:right="40"/>
        <w:spacing w:after="0" w:line="309" w:lineRule="auto"/>
        <w:rPr>
          <w:sz w:val="20"/>
          <w:szCs w:val="20"/>
          <w:color w:val="auto"/>
        </w:rPr>
      </w:pPr>
      <w:r>
        <w:rPr>
          <w:rFonts w:ascii="Arial" w:cs="Arial" w:eastAsia="Arial" w:hAnsi="Arial"/>
          <w:sz w:val="8"/>
          <w:szCs w:val="8"/>
          <w:color w:val="auto"/>
        </w:rPr>
        <w:t>– be they households or businesses – to switch to low-carbon and renewable electricity. That is why we are also developing digitally-enabled platforms that will provide customers with services that make it easier for them to decarbonise and accelerate their progress in this area. We could invest on average $2-3 billion each year in our Renewables and Energy Solutions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See “Integrated Gas” on page 34.</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Power</w:t>
      </w:r>
    </w:p>
    <w:p>
      <w:pPr>
        <w:ind w:right="180"/>
        <w:spacing w:after="0" w:line="300" w:lineRule="auto"/>
        <w:rPr>
          <w:sz w:val="20"/>
          <w:szCs w:val="20"/>
          <w:color w:val="auto"/>
        </w:rPr>
      </w:pPr>
      <w:r>
        <w:rPr>
          <w:rFonts w:ascii="Arial" w:cs="Arial" w:eastAsia="Arial" w:hAnsi="Arial"/>
          <w:sz w:val="8"/>
          <w:szCs w:val="8"/>
          <w:color w:val="auto"/>
        </w:rPr>
        <w:t>Electricity is the fastest-growing part of the energy system and when generated from renewable sources has a major role to play in reducing GHG emissions. Shell is building an interconnected power business that is designed to be sustainable and offer long-term opportunities. We aim to sell some 560 terawatt hours of electricity a year by 2030, which is twice as much electricity as we sell today. Our integrated power strategy will help Shell in its broader aim to accelerate its transformation into a provider of net-zero emissions energy products and services.</w:t>
      </w:r>
    </w:p>
    <w:p>
      <w:pPr>
        <w:spacing w:after="0" w:line="126" w:lineRule="exact"/>
        <w:rPr>
          <w:sz w:val="20"/>
          <w:szCs w:val="20"/>
          <w:color w:val="auto"/>
        </w:rPr>
      </w:pPr>
    </w:p>
    <w:p>
      <w:pPr>
        <w:spacing w:after="0"/>
        <w:rPr>
          <w:sz w:val="20"/>
          <w:szCs w:val="20"/>
          <w:color w:val="auto"/>
        </w:rPr>
      </w:pPr>
      <w:r>
        <w:rPr>
          <w:rFonts w:ascii="Arial" w:cs="Arial" w:eastAsia="Arial" w:hAnsi="Arial"/>
          <w:sz w:val="10"/>
          <w:szCs w:val="10"/>
          <w:color w:val="auto"/>
        </w:rPr>
        <w:t>See “Integrated Gas” on page 34.</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Low-carbon fuels</w:t>
      </w:r>
    </w:p>
    <w:p>
      <w:pPr>
        <w:ind w:right="220"/>
        <w:spacing w:after="0" w:line="229" w:lineRule="auto"/>
        <w:rPr>
          <w:sz w:val="20"/>
          <w:szCs w:val="20"/>
          <w:color w:val="auto"/>
        </w:rPr>
      </w:pPr>
      <w:r>
        <w:rPr>
          <w:rFonts w:ascii="Arial" w:cs="Arial" w:eastAsia="Arial" w:hAnsi="Arial"/>
          <w:sz w:val="10"/>
          <w:szCs w:val="10"/>
          <w:color w:val="auto"/>
        </w:rPr>
        <w:t>Shell believes that low-carbon fuels will play a valuable role in reducing carbon dioxide (CO</w:t>
      </w:r>
      <w:r>
        <w:rPr>
          <w:rFonts w:ascii="Arial" w:cs="Arial" w:eastAsia="Arial" w:hAnsi="Arial"/>
          <w:sz w:val="6"/>
          <w:szCs w:val="6"/>
          <w:color w:val="auto"/>
        </w:rPr>
        <w:t>2</w:t>
      </w:r>
      <w:r>
        <w:rPr>
          <w:rFonts w:ascii="Arial" w:cs="Arial" w:eastAsia="Arial" w:hAnsi="Arial"/>
          <w:sz w:val="10"/>
          <w:szCs w:val="10"/>
          <w:color w:val="auto"/>
        </w:rPr>
        <w:t>) emissions from the transport sector in the coming decades. Low-carbon fuels projects and operations around the world form part of a wider commitment to provide a range of energy choices for customers.</w:t>
      </w:r>
    </w:p>
    <w:p>
      <w:pPr>
        <w:spacing w:after="0" w:line="149" w:lineRule="exact"/>
        <w:rPr>
          <w:sz w:val="20"/>
          <w:szCs w:val="20"/>
          <w:color w:val="auto"/>
        </w:rPr>
      </w:pPr>
    </w:p>
    <w:p>
      <w:pPr>
        <w:ind w:right="120"/>
        <w:spacing w:after="0" w:line="294" w:lineRule="auto"/>
        <w:rPr>
          <w:sz w:val="20"/>
          <w:szCs w:val="20"/>
          <w:color w:val="auto"/>
        </w:rPr>
      </w:pPr>
      <w:r>
        <w:rPr>
          <w:rFonts w:ascii="Arial" w:cs="Arial" w:eastAsia="Arial" w:hAnsi="Arial"/>
          <w:sz w:val="8"/>
          <w:szCs w:val="8"/>
          <w:color w:val="auto"/>
        </w:rPr>
        <w:t>In 2020, around 9.5 billion litres of biofuels went into Shell’s petrol and diesel worldwide. This helped us to make progress towards achieving our climate ambition while complying with applicable mandates and targets in the markets where we operate. Through our own long-established sustainability clauses in supply contracts, we request that all biofuels we buy are produced in ways that are environmentally and socially responsible throughout the production chain. Currently, most available biofuels are produced from cereals, vegetable oils and sugar cane. From cultivation to use, biofuels can emit significantly less CO</w:t>
      </w:r>
      <w:r>
        <w:rPr>
          <w:rFonts w:ascii="Arial" w:cs="Arial" w:eastAsia="Arial" w:hAnsi="Arial"/>
          <w:sz w:val="5"/>
          <w:szCs w:val="5"/>
          <w:color w:val="auto"/>
        </w:rPr>
        <w:t>2</w:t>
      </w:r>
      <w:r>
        <w:rPr>
          <w:rFonts w:ascii="Arial" w:cs="Arial" w:eastAsia="Arial" w:hAnsi="Arial"/>
          <w:sz w:val="8"/>
          <w:szCs w:val="8"/>
          <w:color w:val="auto"/>
        </w:rPr>
        <w:t xml:space="preserve"> compared with conventional gasoline. This depends on several factors, such as how the feedstock is cultivated and the way the biofuels are produced. Other challenges include concerns over labour rights, the amount of water used in the production process, and competition for land use between biofuels and food crops.</w:t>
      </w:r>
    </w:p>
    <w:p>
      <w:pPr>
        <w:spacing w:after="0" w:line="129" w:lineRule="exact"/>
        <w:rPr>
          <w:sz w:val="20"/>
          <w:szCs w:val="20"/>
          <w:color w:val="auto"/>
        </w:rPr>
      </w:pPr>
    </w:p>
    <w:p>
      <w:pPr>
        <w:ind w:right="320"/>
        <w:spacing w:after="0" w:line="239" w:lineRule="auto"/>
        <w:rPr>
          <w:sz w:val="20"/>
          <w:szCs w:val="20"/>
          <w:color w:val="auto"/>
        </w:rPr>
      </w:pPr>
      <w:r>
        <w:rPr>
          <w:rFonts w:ascii="Arial" w:cs="Arial" w:eastAsia="Arial" w:hAnsi="Arial"/>
          <w:sz w:val="10"/>
          <w:szCs w:val="10"/>
          <w:color w:val="auto"/>
        </w:rPr>
        <w:t>Over three-quarters of the biofuels we buy are from North American or European feedstock producers. Both regions have regulations for agricultural practices including in relation to sustainability.</w:t>
      </w:r>
    </w:p>
    <w:p>
      <w:pPr>
        <w:spacing w:after="0" w:line="149" w:lineRule="exact"/>
        <w:rPr>
          <w:sz w:val="20"/>
          <w:szCs w:val="20"/>
          <w:color w:val="auto"/>
        </w:rPr>
      </w:pPr>
    </w:p>
    <w:p>
      <w:pPr>
        <w:ind w:right="120"/>
        <w:spacing w:after="0" w:line="307" w:lineRule="auto"/>
        <w:rPr>
          <w:sz w:val="20"/>
          <w:szCs w:val="20"/>
          <w:color w:val="auto"/>
        </w:rPr>
      </w:pPr>
      <w:r>
        <w:rPr>
          <w:rFonts w:ascii="Arial" w:cs="Arial" w:eastAsia="Arial" w:hAnsi="Arial"/>
          <w:sz w:val="8"/>
          <w:szCs w:val="8"/>
          <w:color w:val="auto"/>
        </w:rPr>
        <w:t>We continue to support the adoption of international sustainability standards, including those of the Round Table on Responsible Soy (RTRS), the Roundtable on Sustainable Palm Oil (RSPO) and Bonsucro, an organisation for the certification of sugar cane. We also support the Roundtable on Sustainable Biomaterials (RSB) and the International Sustainability and Carbon Certification (ISCC) scheme for feedstocks. We aim to increase the percentage of volumes that are certified according to these robust multi-stakeholder standards.</w:t>
      </w:r>
    </w:p>
    <w:p>
      <w:pPr>
        <w:spacing w:after="0" w:line="123" w:lineRule="exact"/>
        <w:rPr>
          <w:sz w:val="20"/>
          <w:szCs w:val="20"/>
          <w:color w:val="auto"/>
        </w:rPr>
      </w:pPr>
    </w:p>
    <w:p>
      <w:pPr>
        <w:ind w:right="200"/>
        <w:spacing w:after="0" w:line="234" w:lineRule="auto"/>
        <w:rPr>
          <w:sz w:val="20"/>
          <w:szCs w:val="20"/>
          <w:color w:val="auto"/>
        </w:rPr>
      </w:pPr>
      <w:r>
        <w:rPr>
          <w:rFonts w:ascii="Arial" w:cs="Arial" w:eastAsia="Arial" w:hAnsi="Arial"/>
          <w:sz w:val="10"/>
          <w:szCs w:val="10"/>
          <w:color w:val="auto"/>
        </w:rPr>
        <w:t>Currently, more than 97% of our purchased volumes of biofuels are either covered by our supplier-agreed contract sustainability clauses or certified as sustainable by an independent auditor. We aim to increase the percentage of volumes that are certified according to robust multi-stakeholder standards.</w:t>
      </w:r>
    </w:p>
    <w:p>
      <w:pPr>
        <w:spacing w:after="0" w:line="141" w:lineRule="exact"/>
        <w:rPr>
          <w:sz w:val="20"/>
          <w:szCs w:val="20"/>
          <w:color w:val="auto"/>
        </w:rPr>
      </w:pPr>
    </w:p>
    <w:p>
      <w:pPr>
        <w:ind w:right="140"/>
        <w:spacing w:after="0" w:line="209" w:lineRule="auto"/>
        <w:rPr>
          <w:sz w:val="20"/>
          <w:szCs w:val="20"/>
          <w:color w:val="auto"/>
        </w:rPr>
      </w:pPr>
      <w:r>
        <w:rPr>
          <w:rFonts w:ascii="Arial" w:cs="Arial" w:eastAsia="Arial" w:hAnsi="Arial"/>
          <w:sz w:val="10"/>
          <w:szCs w:val="10"/>
          <w:color w:val="auto"/>
        </w:rPr>
        <w:t>The Raízen joint venture (Shell interest 50%, not operated by Shell) in Brazil has produced low-carbon biofuel from sugar cane since 2011. Through Raízen, Shell is a significant biofuels producer. Raízen hosts the first commercial advanced bioethanol facility and the fourth largest renewable natural gas (RNG) facility in the world.</w:t>
      </w:r>
    </w:p>
    <w:p>
      <w:pPr>
        <w:spacing w:after="0" w:line="141" w:lineRule="exact"/>
        <w:rPr>
          <w:sz w:val="20"/>
          <w:szCs w:val="20"/>
          <w:color w:val="auto"/>
        </w:rPr>
      </w:pPr>
    </w:p>
    <w:p>
      <w:pPr>
        <w:ind w:right="180"/>
        <w:spacing w:after="0" w:line="299" w:lineRule="auto"/>
        <w:rPr>
          <w:sz w:val="20"/>
          <w:szCs w:val="20"/>
          <w:color w:val="auto"/>
        </w:rPr>
      </w:pPr>
      <w:r>
        <w:rPr>
          <w:rFonts w:ascii="Arial" w:cs="Arial" w:eastAsia="Arial" w:hAnsi="Arial"/>
          <w:sz w:val="8"/>
          <w:szCs w:val="8"/>
          <w:color w:val="auto"/>
        </w:rPr>
        <w:t>As part of our target to be a net-zero energy business by 2050, in step with society, we seek to reduce the carbon intensity of the products we sell. This means transforming our refining footprint, keeping sites in key locations but manufacturing low-carbon fuels suitable for use as aviation, road transport and shipping fuels or as a chemical feedstock (for liquid crackers). In 2020, our Rheinland refinery in Germany produced nearly 100 million litres of renewable diesel, produced from sustainably sourced vegetable fats and oils Our production strategy is anchored around access to competitive feedstock, commercialisation of advanced technology, supportive government policy, and building internal capability.</w:t>
      </w:r>
    </w:p>
    <w:p>
      <w:pPr>
        <w:spacing w:after="0" w:line="174" w:lineRule="exact"/>
        <w:rPr>
          <w:sz w:val="20"/>
          <w:szCs w:val="20"/>
          <w:color w:val="auto"/>
        </w:rPr>
      </w:pPr>
    </w:p>
    <w:p>
      <w:pPr>
        <w:ind w:right="200"/>
        <w:spacing w:after="0" w:line="234" w:lineRule="auto"/>
        <w:rPr>
          <w:sz w:val="20"/>
          <w:szCs w:val="20"/>
          <w:color w:val="auto"/>
        </w:rPr>
      </w:pPr>
      <w:r>
        <w:rPr>
          <w:rFonts w:ascii="Arial" w:cs="Arial" w:eastAsia="Arial" w:hAnsi="Arial"/>
          <w:sz w:val="10"/>
          <w:szCs w:val="10"/>
          <w:color w:val="auto"/>
        </w:rPr>
        <w:t>We are also investing in new facilities that are able to produce sustainable low-carbon fuel suitable for use as aviation, road transport and shipping fuels or chemical feedstock for liquid crackers. Shell’s hydro-processed esters and fatty acids (HEFA) technology yields up to 65% low-carbon fuels compared</w:t>
      </w:r>
    </w:p>
    <w:p>
      <w:pPr>
        <w:spacing w:after="0" w:line="1072" w:lineRule="exact"/>
        <w:rPr>
          <w:sz w:val="20"/>
          <w:szCs w:val="20"/>
          <w:color w:val="auto"/>
        </w:rPr>
      </w:pPr>
    </w:p>
    <w:p>
      <w:pPr>
        <w:sectPr>
          <w:pgSz w:w="11900" w:h="16838" w:orient="portrait"/>
          <w:cols w:equalWidth="0" w:num="2">
            <w:col w:w="5440" w:space="280"/>
            <w:col w:w="5580"/>
          </w:cols>
          <w:pgMar w:left="300" w:top="802" w:right="299" w:bottom="1440" w:gutter="0" w:footer="0" w:header="0"/>
        </w:sectPr>
      </w:pP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81</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type w:val="continuous"/>
        </w:sectPr>
      </w:pPr>
    </w:p>
    <w:bookmarkStart w:id="84" w:name="page85"/>
    <w:bookmarkEnd w:id="84"/>
    <w:p>
      <w:pPr>
        <w:spacing w:after="0" w:line="99" w:lineRule="exact"/>
        <w:rPr>
          <w:sz w:val="20"/>
          <w:szCs w:val="20"/>
          <w:color w:val="auto"/>
        </w:rPr>
      </w:pPr>
    </w:p>
    <w:p>
      <w:pPr>
        <w:jc w:val="both"/>
        <w:ind w:right="120"/>
        <w:spacing w:after="0" w:line="234" w:lineRule="auto"/>
        <w:rPr>
          <w:sz w:val="20"/>
          <w:szCs w:val="20"/>
          <w:color w:val="auto"/>
        </w:rPr>
      </w:pPr>
      <w:r>
        <w:rPr>
          <w:rFonts w:ascii="Arial" w:cs="Arial" w:eastAsia="Arial" w:hAnsi="Arial"/>
          <w:sz w:val="10"/>
          <w:szCs w:val="10"/>
          <w:color w:val="auto"/>
        </w:rPr>
        <w:t>to fossil diesel and aviation equivalent. If HEFA technology is used with green hydrogen – produced by using renewable electricity to split water into hydrogen and oxygen through electrolysis – it can increase the energy content and further reduce the carbon content of the fuels produced.</w:t>
      </w:r>
    </w:p>
    <w:p>
      <w:pPr>
        <w:spacing w:after="0" w:line="141" w:lineRule="exact"/>
        <w:rPr>
          <w:sz w:val="20"/>
          <w:szCs w:val="20"/>
          <w:color w:val="auto"/>
        </w:rPr>
      </w:pPr>
    </w:p>
    <w:p>
      <w:pPr>
        <w:ind w:right="160"/>
        <w:spacing w:after="0" w:line="209" w:lineRule="auto"/>
        <w:rPr>
          <w:sz w:val="20"/>
          <w:szCs w:val="20"/>
          <w:color w:val="auto"/>
        </w:rPr>
      </w:pPr>
      <w:r>
        <w:rPr>
          <w:rFonts w:ascii="Arial" w:cs="Arial" w:eastAsia="Arial" w:hAnsi="Arial"/>
          <w:sz w:val="10"/>
          <w:szCs w:val="10"/>
          <w:color w:val="auto"/>
        </w:rPr>
        <w:t>We are working on a project to add a HEFA facility at our Pernis refinery in the Netherlands. If this project went ahead, production would start in around three to four years. The proposed facility could convert waste fats and oils and other sources into sustainable low carbon vehicle and aviation fuels. A final investment decision has not yet been taken.</w:t>
      </w:r>
    </w:p>
    <w:p>
      <w:pPr>
        <w:spacing w:after="0" w:line="141" w:lineRule="exact"/>
        <w:rPr>
          <w:sz w:val="20"/>
          <w:szCs w:val="20"/>
          <w:color w:val="auto"/>
        </w:rPr>
      </w:pPr>
    </w:p>
    <w:p>
      <w:pPr>
        <w:ind w:right="40"/>
        <w:spacing w:after="0" w:line="307" w:lineRule="auto"/>
        <w:rPr>
          <w:sz w:val="20"/>
          <w:szCs w:val="20"/>
          <w:color w:val="auto"/>
        </w:rPr>
      </w:pPr>
      <w:r>
        <w:rPr>
          <w:rFonts w:ascii="Arial" w:cs="Arial" w:eastAsia="Arial" w:hAnsi="Arial"/>
          <w:sz w:val="8"/>
          <w:szCs w:val="8"/>
          <w:color w:val="auto"/>
        </w:rPr>
        <w:t xml:space="preserve">In January 2021, Shell announced the signing of commercial agreements to invest in Varennes Carbon Recycling, a plant in </w:t>
      </w:r>
      <w:r>
        <w:rPr>
          <w:rFonts w:ascii="Arial" w:cs="Arial" w:eastAsia="Arial" w:hAnsi="Arial"/>
          <w:sz w:val="8"/>
          <w:szCs w:val="8"/>
          <w:color w:val="404040"/>
        </w:rPr>
        <w:t>Québec, Canada,</w:t>
      </w:r>
      <w:r>
        <w:rPr>
          <w:rFonts w:ascii="Arial" w:cs="Arial" w:eastAsia="Arial" w:hAnsi="Arial"/>
          <w:sz w:val="8"/>
          <w:szCs w:val="8"/>
          <w:color w:val="auto"/>
        </w:rPr>
        <w:t xml:space="preserve"> that will turn waste into chemicals and biofuels. This plant, a joint venture with Enerkem, Proman, Suncor and Invest Quebec (Shell interest 40%), will produce biofuels and renewable chemical products using non-recyclable waste from the industrial, commercial and institutional sectors, from construction, renovation and demolition debris and from residual forest biomass.</w:t>
      </w:r>
    </w:p>
    <w:p>
      <w:pPr>
        <w:spacing w:after="0" w:line="123" w:lineRule="exact"/>
        <w:rPr>
          <w:sz w:val="20"/>
          <w:szCs w:val="20"/>
          <w:color w:val="auto"/>
        </w:rPr>
      </w:pPr>
    </w:p>
    <w:p>
      <w:pPr>
        <w:spacing w:after="0" w:line="307" w:lineRule="auto"/>
        <w:rPr>
          <w:sz w:val="20"/>
          <w:szCs w:val="20"/>
          <w:color w:val="auto"/>
        </w:rPr>
      </w:pPr>
      <w:r>
        <w:rPr>
          <w:rFonts w:ascii="Arial" w:cs="Arial" w:eastAsia="Arial" w:hAnsi="Arial"/>
          <w:sz w:val="8"/>
          <w:szCs w:val="8"/>
          <w:color w:val="auto"/>
        </w:rPr>
        <w:t>In line with our strategy of developing more sustainable feedstocks for transport, we are investing in renewable natural gas (RNG) for use in natural-gas-fuelled vehicles in the USA and Europe. RNG is produced from biogas collected from landfill sites, or via the anaerobic digestion of food waste or manure. It is then processed until it is fully interchangeable with conventional natural gas. The use of RNG in natural-gas vehicles, either in the form of compressed natural gas (CNG) or LNG, offers customers a way to lower their carbon footprint.</w:t>
      </w:r>
    </w:p>
    <w:p>
      <w:pPr>
        <w:spacing w:after="0" w:line="123" w:lineRule="exact"/>
        <w:rPr>
          <w:sz w:val="20"/>
          <w:szCs w:val="20"/>
          <w:color w:val="auto"/>
        </w:rPr>
      </w:pPr>
    </w:p>
    <w:p>
      <w:pPr>
        <w:ind w:right="140"/>
        <w:spacing w:after="0" w:line="239" w:lineRule="auto"/>
        <w:rPr>
          <w:sz w:val="20"/>
          <w:szCs w:val="20"/>
          <w:color w:val="auto"/>
        </w:rPr>
      </w:pPr>
      <w:r>
        <w:rPr>
          <w:rFonts w:ascii="Arial" w:cs="Arial" w:eastAsia="Arial" w:hAnsi="Arial"/>
          <w:sz w:val="10"/>
          <w:szCs w:val="10"/>
          <w:color w:val="auto"/>
        </w:rPr>
        <w:t>The heavy-duty road transport sector is starting to use RNG in its efforts to decarbonise. Shell recently won tenders to supply RNG to fuel around 300 of the Los Angeles (LA) bus fleet and vehicles of the West LA waste haulers fleet.</w:t>
      </w:r>
    </w:p>
    <w:p>
      <w:pPr>
        <w:spacing w:after="0" w:line="149" w:lineRule="exact"/>
        <w:rPr>
          <w:sz w:val="20"/>
          <w:szCs w:val="20"/>
          <w:color w:val="auto"/>
        </w:rPr>
      </w:pPr>
    </w:p>
    <w:p>
      <w:pPr>
        <w:ind w:right="40"/>
        <w:spacing w:after="0" w:line="299" w:lineRule="auto"/>
        <w:rPr>
          <w:sz w:val="20"/>
          <w:szCs w:val="20"/>
          <w:color w:val="auto"/>
        </w:rPr>
      </w:pPr>
      <w:r>
        <w:rPr>
          <w:rFonts w:ascii="Arial" w:cs="Arial" w:eastAsia="Arial" w:hAnsi="Arial"/>
          <w:sz w:val="8"/>
          <w:szCs w:val="8"/>
          <w:color w:val="auto"/>
        </w:rPr>
        <w:t>Shell has taken a final investment decision (FID) to construct, own and operate its first renewable compressed natural gas (R-CNG) fuelling site in the USA. This will be at Shell’s products distribution complex in Carson, California. The R-CNG will be sourced from Shell’s renewable natural gas projects in the USA, which are currently Shell Junction City in Oregon and Shell Galloway in Plains, Kansas. These convert wastes, such as dairy cow manure and agricultural residues, into pipeline-quality natural gas. Shell will be able to substantially decarbonise the transport of its products from the Carson complex by providing 100% R-CNG to its haulage partners, who are equipped with ultra-low nitrogen oxide natural gas vehicles.</w:t>
      </w:r>
    </w:p>
    <w:p>
      <w:pPr>
        <w:spacing w:after="0" w:line="244" w:lineRule="exact"/>
        <w:rPr>
          <w:sz w:val="20"/>
          <w:szCs w:val="20"/>
          <w:color w:val="auto"/>
        </w:rPr>
      </w:pPr>
    </w:p>
    <w:p>
      <w:pPr>
        <w:spacing w:after="0"/>
        <w:rPr>
          <w:sz w:val="20"/>
          <w:szCs w:val="20"/>
          <w:color w:val="auto"/>
        </w:rPr>
      </w:pPr>
      <w:r>
        <w:rPr>
          <w:rFonts w:ascii="Arial" w:cs="Arial" w:eastAsia="Arial" w:hAnsi="Arial"/>
          <w:sz w:val="11"/>
          <w:szCs w:val="11"/>
          <w:color w:val="auto"/>
        </w:rPr>
        <w:t>CARBON CAPTURE AND STORAGE</w:t>
      </w:r>
    </w:p>
    <w:p>
      <w:pPr>
        <w:spacing w:after="0" w:line="228" w:lineRule="auto"/>
        <w:rPr>
          <w:sz w:val="20"/>
          <w:szCs w:val="20"/>
          <w:color w:val="auto"/>
        </w:rPr>
      </w:pPr>
      <w:r>
        <w:rPr>
          <w:rFonts w:ascii="Arial" w:cs="Arial" w:eastAsia="Arial" w:hAnsi="Arial"/>
          <w:sz w:val="10"/>
          <w:szCs w:val="10"/>
          <w:color w:val="auto"/>
        </w:rPr>
        <w:t>CCS is a technology used for capturing carbon dioxide (CO</w:t>
      </w:r>
      <w:r>
        <w:rPr>
          <w:rFonts w:ascii="Arial" w:cs="Arial" w:eastAsia="Arial" w:hAnsi="Arial"/>
          <w:sz w:val="6"/>
          <w:szCs w:val="6"/>
          <w:color w:val="auto"/>
        </w:rPr>
        <w:t>2</w:t>
      </w:r>
      <w:r>
        <w:rPr>
          <w:rFonts w:ascii="Arial" w:cs="Arial" w:eastAsia="Arial" w:hAnsi="Arial"/>
          <w:sz w:val="10"/>
          <w:szCs w:val="10"/>
          <w:color w:val="auto"/>
        </w:rPr>
        <w:t>) before it is emitted into the atmosphere, then transporting it, and injecting it into a deep geological formation for permanent storage. The majority of climate change scenarios produced by organisations such as IEA, IPCC and Shell require a large component of CCS in order to achieve the goals of the Paris Agreement. We recognise the scale of the challenge in developing CCS globally as quickly as is required.</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0"/>
          <w:szCs w:val="10"/>
          <w:color w:val="auto"/>
        </w:rPr>
        <w:t>In 2020, we refreshed our CCS strategy. We placed greater emphasis on how CCS could enable the energy transition for low-carbon fuels and power, and for industrial hub developments where CO</w:t>
      </w:r>
      <w:r>
        <w:rPr>
          <w:rFonts w:ascii="Arial" w:cs="Arial" w:eastAsia="Arial" w:hAnsi="Arial"/>
          <w:sz w:val="6"/>
          <w:szCs w:val="6"/>
          <w:color w:val="auto"/>
        </w:rPr>
        <w:t>2</w:t>
      </w:r>
      <w:r>
        <w:rPr>
          <w:rFonts w:ascii="Arial" w:cs="Arial" w:eastAsia="Arial" w:hAnsi="Arial"/>
          <w:sz w:val="10"/>
          <w:szCs w:val="10"/>
          <w:color w:val="auto"/>
        </w:rPr>
        <w:t xml:space="preserve"> from different industrial sources is routed to a single storage location. We seek to have access to an additional 25 million tonnes a year CCS capacity by 2035.</w:t>
      </w:r>
    </w:p>
    <w:p>
      <w:pPr>
        <w:spacing w:after="0" w:line="150" w:lineRule="exact"/>
        <w:rPr>
          <w:sz w:val="20"/>
          <w:szCs w:val="20"/>
          <w:color w:val="auto"/>
        </w:rPr>
      </w:pPr>
    </w:p>
    <w:p>
      <w:pPr>
        <w:spacing w:after="0" w:line="230" w:lineRule="auto"/>
        <w:rPr>
          <w:sz w:val="20"/>
          <w:szCs w:val="20"/>
          <w:color w:val="auto"/>
        </w:rPr>
      </w:pPr>
      <w:r>
        <w:rPr>
          <w:rFonts w:ascii="Arial" w:cs="Arial" w:eastAsia="Arial" w:hAnsi="Arial"/>
          <w:sz w:val="10"/>
          <w:szCs w:val="10"/>
          <w:color w:val="auto"/>
        </w:rPr>
        <w:t>In 2020, Shell invested around $70 million in CCS. This included progressing opportunities and operating costs for CCS assets in which Shell has an interest.</w:t>
      </w:r>
    </w:p>
    <w:p>
      <w:pPr>
        <w:spacing w:after="0" w:line="140" w:lineRule="exact"/>
        <w:rPr>
          <w:sz w:val="20"/>
          <w:szCs w:val="20"/>
          <w:color w:val="auto"/>
        </w:rPr>
      </w:pPr>
    </w:p>
    <w:p>
      <w:pPr>
        <w:ind w:right="140"/>
        <w:spacing w:after="0" w:line="283" w:lineRule="auto"/>
        <w:rPr>
          <w:sz w:val="20"/>
          <w:szCs w:val="20"/>
          <w:color w:val="auto"/>
        </w:rPr>
      </w:pPr>
      <w:r>
        <w:rPr>
          <w:rFonts w:ascii="Arial" w:cs="Arial" w:eastAsia="Arial" w:hAnsi="Arial"/>
          <w:sz w:val="8"/>
          <w:szCs w:val="8"/>
          <w:color w:val="auto"/>
        </w:rPr>
        <w:t>By the end of 2020, our Quest CCS project in Canada (Shell interest 10%) had captured and safely stored more than 5.5 million tonnes of CO</w:t>
      </w:r>
      <w:r>
        <w:rPr>
          <w:rFonts w:ascii="Arial" w:cs="Arial" w:eastAsia="Arial" w:hAnsi="Arial"/>
          <w:sz w:val="5"/>
          <w:szCs w:val="5"/>
          <w:color w:val="auto"/>
        </w:rPr>
        <w:t>2</w:t>
      </w:r>
      <w:r>
        <w:rPr>
          <w:rFonts w:ascii="Arial" w:cs="Arial" w:eastAsia="Arial" w:hAnsi="Arial"/>
          <w:sz w:val="8"/>
          <w:szCs w:val="8"/>
          <w:color w:val="auto"/>
        </w:rPr>
        <w:t xml:space="preserve"> since it began operating in 2015. Quest CCS was designed to capture about 1 million tonnes of CO</w:t>
      </w:r>
      <w:r>
        <w:rPr>
          <w:rFonts w:ascii="Arial" w:cs="Arial" w:eastAsia="Arial" w:hAnsi="Arial"/>
          <w:sz w:val="5"/>
          <w:szCs w:val="5"/>
          <w:color w:val="auto"/>
        </w:rPr>
        <w:t>2</w:t>
      </w:r>
      <w:r>
        <w:rPr>
          <w:rFonts w:ascii="Arial" w:cs="Arial" w:eastAsia="Arial" w:hAnsi="Arial"/>
          <w:sz w:val="8"/>
          <w:szCs w:val="8"/>
          <w:color w:val="auto"/>
        </w:rPr>
        <w:t xml:space="preserve"> each year. The storage reservoir proved to have a significant capacity for CO</w:t>
      </w:r>
      <w:r>
        <w:rPr>
          <w:rFonts w:ascii="Arial" w:cs="Arial" w:eastAsia="Arial" w:hAnsi="Arial"/>
          <w:sz w:val="5"/>
          <w:szCs w:val="5"/>
          <w:color w:val="auto"/>
        </w:rPr>
        <w:t>2</w:t>
      </w:r>
      <w:r>
        <w:rPr>
          <w:rFonts w:ascii="Arial" w:cs="Arial" w:eastAsia="Arial" w:hAnsi="Arial"/>
          <w:sz w:val="8"/>
          <w:szCs w:val="8"/>
          <w:color w:val="auto"/>
        </w:rPr>
        <w:t xml:space="preserve"> injection and strong capture reliability with less than 1% downtime annually. This means the facility could exceed its target and reduce estimated costs.</w:t>
      </w:r>
    </w:p>
    <w:p>
      <w:pPr>
        <w:spacing w:after="0" w:line="124" w:lineRule="exact"/>
        <w:rPr>
          <w:sz w:val="20"/>
          <w:szCs w:val="20"/>
          <w:color w:val="auto"/>
        </w:rPr>
      </w:pPr>
    </w:p>
    <w:p>
      <w:pPr>
        <w:ind w:right="80"/>
        <w:spacing w:after="0" w:line="239" w:lineRule="auto"/>
        <w:rPr>
          <w:sz w:val="20"/>
          <w:szCs w:val="20"/>
          <w:color w:val="auto"/>
        </w:rPr>
      </w:pPr>
      <w:r>
        <w:rPr>
          <w:rFonts w:ascii="Arial" w:cs="Arial" w:eastAsia="Arial" w:hAnsi="Arial"/>
          <w:sz w:val="10"/>
          <w:szCs w:val="10"/>
          <w:color w:val="auto"/>
        </w:rPr>
        <w:t>The Gorgon CCS project in Australia (Shell interest 25%, operated by Chevron) started operating in August 2019. It had stored more than 4 million tonnes of CO</w:t>
      </w:r>
      <w:r>
        <w:rPr>
          <w:rFonts w:ascii="Arial" w:cs="Arial" w:eastAsia="Arial" w:hAnsi="Arial"/>
          <w:sz w:val="6"/>
          <w:szCs w:val="6"/>
          <w:color w:val="auto"/>
        </w:rPr>
        <w:t>2</w:t>
      </w:r>
      <w:r>
        <w:rPr>
          <w:rFonts w:ascii="Arial" w:cs="Arial" w:eastAsia="Arial" w:hAnsi="Arial"/>
          <w:sz w:val="10"/>
          <w:szCs w:val="10"/>
          <w:color w:val="auto"/>
        </w:rPr>
        <w:t xml:space="preserve"> by the end of 2020.</w:t>
      </w:r>
    </w:p>
    <w:p>
      <w:pPr>
        <w:spacing w:after="0" w:line="20" w:lineRule="exact"/>
        <w:rPr>
          <w:sz w:val="20"/>
          <w:szCs w:val="20"/>
          <w:color w:val="auto"/>
        </w:rPr>
      </w:pPr>
      <w:r>
        <w:rPr>
          <w:sz w:val="20"/>
          <w:szCs w:val="20"/>
          <w:color w:val="auto"/>
        </w:rPr>
        <w:br w:type="column"/>
      </w:r>
    </w:p>
    <w:p>
      <w:pPr>
        <w:ind w:right="140"/>
        <w:spacing w:after="0" w:line="222" w:lineRule="auto"/>
        <w:rPr>
          <w:sz w:val="20"/>
          <w:szCs w:val="20"/>
          <w:color w:val="auto"/>
        </w:rPr>
      </w:pPr>
      <w:r>
        <w:rPr>
          <w:rFonts w:ascii="Arial" w:cs="Arial" w:eastAsia="Arial" w:hAnsi="Arial"/>
          <w:sz w:val="10"/>
          <w:szCs w:val="10"/>
          <w:color w:val="auto"/>
        </w:rPr>
        <w:t>In Norway, Shell, our project partners and the Norwegian government took the final investment decision (FID) on the Northern Lights CCS project in 2020. This project aims to become the first carbon storage facility with capacity to transport and store CO</w:t>
      </w:r>
      <w:r>
        <w:rPr>
          <w:rFonts w:ascii="Arial" w:cs="Arial" w:eastAsia="Arial" w:hAnsi="Arial"/>
          <w:sz w:val="6"/>
          <w:szCs w:val="6"/>
          <w:color w:val="auto"/>
        </w:rPr>
        <w:t>2</w:t>
      </w:r>
      <w:r>
        <w:rPr>
          <w:rFonts w:ascii="Arial" w:cs="Arial" w:eastAsia="Arial" w:hAnsi="Arial"/>
          <w:sz w:val="10"/>
          <w:szCs w:val="10"/>
          <w:color w:val="auto"/>
        </w:rPr>
        <w:t xml:space="preserve"> from industrial facilities in Norway and potentially from across Europe.</w:t>
      </w:r>
    </w:p>
    <w:p>
      <w:pPr>
        <w:spacing w:after="0" w:line="140" w:lineRule="exact"/>
        <w:rPr>
          <w:sz w:val="20"/>
          <w:szCs w:val="20"/>
          <w:color w:val="auto"/>
        </w:rPr>
      </w:pPr>
    </w:p>
    <w:p>
      <w:pPr>
        <w:ind w:right="340"/>
        <w:spacing w:after="0" w:line="230" w:lineRule="auto"/>
        <w:rPr>
          <w:sz w:val="20"/>
          <w:szCs w:val="20"/>
          <w:color w:val="auto"/>
        </w:rPr>
      </w:pPr>
      <w:r>
        <w:rPr>
          <w:rFonts w:ascii="Arial" w:cs="Arial" w:eastAsia="Arial" w:hAnsi="Arial"/>
          <w:sz w:val="10"/>
          <w:szCs w:val="10"/>
          <w:color w:val="auto"/>
        </w:rPr>
        <w:t>Shell is also involved in the Technology Centre Mongstad (TCM), in Norway. TCM is a centre for testing and improving carbon capture technology.</w:t>
      </w:r>
    </w:p>
    <w:p>
      <w:pPr>
        <w:spacing w:after="0" w:line="140" w:lineRule="exact"/>
        <w:rPr>
          <w:sz w:val="20"/>
          <w:szCs w:val="20"/>
          <w:color w:val="auto"/>
        </w:rPr>
      </w:pPr>
    </w:p>
    <w:p>
      <w:pPr>
        <w:ind w:right="480"/>
        <w:spacing w:after="0" w:line="230" w:lineRule="auto"/>
        <w:rPr>
          <w:sz w:val="20"/>
          <w:szCs w:val="20"/>
          <w:color w:val="auto"/>
        </w:rPr>
      </w:pPr>
      <w:r>
        <w:rPr>
          <w:rFonts w:ascii="Arial" w:cs="Arial" w:eastAsia="Arial" w:hAnsi="Arial"/>
          <w:sz w:val="10"/>
          <w:szCs w:val="10"/>
          <w:color w:val="auto"/>
        </w:rPr>
        <w:t>In the Netherlands, we have signed a joint-development agreement to assess the potential to export CO</w:t>
      </w:r>
      <w:r>
        <w:rPr>
          <w:rFonts w:ascii="Arial" w:cs="Arial" w:eastAsia="Arial" w:hAnsi="Arial"/>
          <w:sz w:val="6"/>
          <w:szCs w:val="6"/>
          <w:color w:val="auto"/>
        </w:rPr>
        <w:t>2</w:t>
      </w:r>
      <w:r>
        <w:rPr>
          <w:rFonts w:ascii="Arial" w:cs="Arial" w:eastAsia="Arial" w:hAnsi="Arial"/>
          <w:sz w:val="10"/>
          <w:szCs w:val="10"/>
          <w:color w:val="auto"/>
        </w:rPr>
        <w:t xml:space="preserve"> from our Pernis refinery to a Rotterdam-based CO</w:t>
      </w:r>
      <w:r>
        <w:rPr>
          <w:rFonts w:ascii="Arial" w:cs="Arial" w:eastAsia="Arial" w:hAnsi="Arial"/>
          <w:sz w:val="6"/>
          <w:szCs w:val="6"/>
          <w:color w:val="auto"/>
        </w:rPr>
        <w:t>2</w:t>
      </w:r>
      <w:r>
        <w:rPr>
          <w:rFonts w:ascii="Arial" w:cs="Arial" w:eastAsia="Arial" w:hAnsi="Arial"/>
          <w:sz w:val="10"/>
          <w:szCs w:val="10"/>
          <w:color w:val="auto"/>
        </w:rPr>
        <w:t xml:space="preserve"> transport and storage provider.</w:t>
      </w:r>
    </w:p>
    <w:p>
      <w:pPr>
        <w:spacing w:after="0" w:line="140" w:lineRule="exact"/>
        <w:rPr>
          <w:sz w:val="20"/>
          <w:szCs w:val="20"/>
          <w:color w:val="auto"/>
        </w:rPr>
      </w:pPr>
    </w:p>
    <w:p>
      <w:pPr>
        <w:ind w:right="280"/>
        <w:spacing w:after="0" w:line="214" w:lineRule="auto"/>
        <w:rPr>
          <w:sz w:val="20"/>
          <w:szCs w:val="20"/>
          <w:color w:val="auto"/>
        </w:rPr>
      </w:pPr>
      <w:r>
        <w:rPr>
          <w:rFonts w:ascii="Arial" w:cs="Arial" w:eastAsia="Arial" w:hAnsi="Arial"/>
          <w:sz w:val="10"/>
          <w:szCs w:val="10"/>
          <w:color w:val="auto"/>
        </w:rPr>
        <w:t>In the UK, we are collaborating with other companies to further understand the potential of CCS. Projects include how to decarbonise our own facilities, to deliver gas power and low-carbon hydrogen.</w:t>
      </w:r>
    </w:p>
    <w:p>
      <w:pPr>
        <w:spacing w:after="0"/>
        <w:rPr>
          <w:sz w:val="20"/>
          <w:szCs w:val="20"/>
          <w:color w:val="auto"/>
        </w:rPr>
      </w:pPr>
      <w:r>
        <w:rPr>
          <w:rFonts w:ascii="Arial" w:cs="Arial" w:eastAsia="Arial" w:hAnsi="Arial"/>
          <w:sz w:val="10"/>
          <w:szCs w:val="10"/>
          <w:color w:val="auto"/>
        </w:rPr>
        <w:t>In other regions, we are pursuing opportunities which are currently in early development phases.</w:t>
      </w:r>
    </w:p>
    <w:p>
      <w:pPr>
        <w:spacing w:after="0" w:line="139" w:lineRule="exact"/>
        <w:rPr>
          <w:sz w:val="20"/>
          <w:szCs w:val="20"/>
          <w:color w:val="auto"/>
        </w:rPr>
      </w:pPr>
    </w:p>
    <w:p>
      <w:pPr>
        <w:ind w:right="220"/>
        <w:spacing w:after="0" w:line="280" w:lineRule="auto"/>
        <w:rPr>
          <w:sz w:val="20"/>
          <w:szCs w:val="20"/>
          <w:color w:val="auto"/>
        </w:rPr>
      </w:pPr>
      <w:r>
        <w:rPr>
          <w:rFonts w:ascii="Arial" w:cs="Arial" w:eastAsia="Arial" w:hAnsi="Arial"/>
          <w:sz w:val="8"/>
          <w:szCs w:val="8"/>
          <w:color w:val="auto"/>
        </w:rPr>
        <w:t>Shell recognises the role of policy as a key enabler for implementing CCS. We are a member of several industry organisations that actively advocate CCS, such as the Zero Emissions Platform in the EU, the American Petroleum Institute in the USA, and the Carbon Capture and Storage Association in the UK. Shell makes representations and contributes to technical and policy papers through these organisations. In 2020, Shell submitted responses to a number of consultations on aspects of CCS, individually and through industry associations, in the EU, USA, UK and other jurisdictions.</w:t>
      </w:r>
    </w:p>
    <w:p>
      <w:pPr>
        <w:spacing w:after="0" w:line="228" w:lineRule="exact"/>
        <w:rPr>
          <w:sz w:val="20"/>
          <w:szCs w:val="20"/>
          <w:color w:val="auto"/>
        </w:rPr>
      </w:pPr>
    </w:p>
    <w:p>
      <w:pPr>
        <w:ind w:right="520"/>
        <w:spacing w:after="0" w:line="358" w:lineRule="auto"/>
        <w:rPr>
          <w:sz w:val="20"/>
          <w:szCs w:val="20"/>
          <w:color w:val="auto"/>
        </w:rPr>
      </w:pPr>
      <w:r>
        <w:rPr>
          <w:rFonts w:ascii="Arial" w:cs="Arial" w:eastAsia="Arial" w:hAnsi="Arial"/>
          <w:sz w:val="8"/>
          <w:szCs w:val="8"/>
          <w:color w:val="auto"/>
        </w:rPr>
        <w:t>Shell is participating in the OGCI's KickStarter initiative to unlock large-scale investment in CCS. The initiative is designed to help decarbonise industrial hubs around the world and started with hubs including North America, North-west Europe and China.</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NATURE-BASED SOLUTIONS</w:t>
      </w:r>
    </w:p>
    <w:p>
      <w:pPr>
        <w:ind w:right="120"/>
        <w:spacing w:after="0" w:line="229" w:lineRule="auto"/>
        <w:rPr>
          <w:sz w:val="20"/>
          <w:szCs w:val="20"/>
          <w:color w:val="auto"/>
        </w:rPr>
      </w:pPr>
      <w:r>
        <w:rPr>
          <w:rFonts w:ascii="Arial" w:cs="Arial" w:eastAsia="Arial" w:hAnsi="Arial"/>
          <w:sz w:val="10"/>
          <w:szCs w:val="10"/>
          <w:color w:val="auto"/>
        </w:rPr>
        <w:t>We believe that nature will play an important role in the transition to a low-carbon world. Using nature to absorb carbon dioxide helps to limit the overall stock of greenhouses gases in the atmosphere. This can serve as a temporary solution until other low-carbon alternatives are deployed at scale, or it can compensate for emissions that are unavoidable.</w:t>
      </w:r>
    </w:p>
    <w:p>
      <w:pPr>
        <w:spacing w:after="0" w:line="149" w:lineRule="exact"/>
        <w:rPr>
          <w:sz w:val="20"/>
          <w:szCs w:val="20"/>
          <w:color w:val="auto"/>
        </w:rPr>
      </w:pPr>
    </w:p>
    <w:p>
      <w:pPr>
        <w:ind w:right="520"/>
        <w:spacing w:after="0" w:line="358" w:lineRule="auto"/>
        <w:rPr>
          <w:sz w:val="20"/>
          <w:szCs w:val="20"/>
          <w:color w:val="auto"/>
        </w:rPr>
      </w:pPr>
      <w:r>
        <w:rPr>
          <w:rFonts w:ascii="Arial" w:cs="Arial" w:eastAsia="Arial" w:hAnsi="Arial"/>
          <w:sz w:val="8"/>
          <w:szCs w:val="8"/>
          <w:color w:val="auto"/>
        </w:rPr>
        <w:t>As customers´ and society's demand for the use of low-carbon products and services grows, nature-based solutions are becoming an increasingly attractive option for emissions offsetting for a range of industries and operators.</w:t>
      </w:r>
    </w:p>
    <w:p>
      <w:pPr>
        <w:spacing w:after="0" w:line="104" w:lineRule="exact"/>
        <w:rPr>
          <w:sz w:val="20"/>
          <w:szCs w:val="20"/>
          <w:color w:val="auto"/>
        </w:rPr>
      </w:pPr>
    </w:p>
    <w:p>
      <w:pPr>
        <w:ind w:right="200"/>
        <w:spacing w:after="0" w:line="320" w:lineRule="auto"/>
        <w:rPr>
          <w:sz w:val="20"/>
          <w:szCs w:val="20"/>
          <w:color w:val="auto"/>
        </w:rPr>
      </w:pPr>
      <w:r>
        <w:rPr>
          <w:rFonts w:ascii="Arial" w:cs="Arial" w:eastAsia="Arial" w:hAnsi="Arial"/>
          <w:sz w:val="8"/>
          <w:szCs w:val="8"/>
          <w:color w:val="auto"/>
        </w:rPr>
        <w:t>Nature-based projects typically involve protecting or redeveloping natural ecosystems such as forests and wetlands, so they can capture and store more carbon. These projects generate carbon emission rights that can be bought by energy consumers around the world. They also support conservation of biodiversity and offer alternative sources of income to local communities.</w:t>
      </w:r>
    </w:p>
    <w:p>
      <w:pPr>
        <w:spacing w:after="0" w:line="118" w:lineRule="exact"/>
        <w:rPr>
          <w:sz w:val="20"/>
          <w:szCs w:val="20"/>
          <w:color w:val="auto"/>
        </w:rPr>
      </w:pPr>
    </w:p>
    <w:p>
      <w:pPr>
        <w:ind w:right="360"/>
        <w:spacing w:after="0" w:line="239" w:lineRule="auto"/>
        <w:rPr>
          <w:sz w:val="20"/>
          <w:szCs w:val="20"/>
          <w:color w:val="auto"/>
        </w:rPr>
      </w:pPr>
      <w:r>
        <w:rPr>
          <w:rFonts w:ascii="Arial" w:cs="Arial" w:eastAsia="Arial" w:hAnsi="Arial"/>
          <w:sz w:val="10"/>
          <w:szCs w:val="10"/>
          <w:color w:val="auto"/>
        </w:rPr>
        <w:t>Nature-based solutions are expected to contribute to meeting our target to be a net-zero emissions energy business by 2050, in step with society.</w:t>
      </w:r>
    </w:p>
    <w:p>
      <w:pPr>
        <w:spacing w:after="0" w:line="149" w:lineRule="exact"/>
        <w:rPr>
          <w:sz w:val="20"/>
          <w:szCs w:val="20"/>
          <w:color w:val="auto"/>
        </w:rPr>
      </w:pPr>
    </w:p>
    <w:p>
      <w:pPr>
        <w:ind w:right="140"/>
        <w:spacing w:after="0" w:line="307" w:lineRule="auto"/>
        <w:rPr>
          <w:sz w:val="20"/>
          <w:szCs w:val="20"/>
          <w:color w:val="auto"/>
        </w:rPr>
      </w:pPr>
      <w:r>
        <w:rPr>
          <w:rFonts w:ascii="Arial" w:cs="Arial" w:eastAsia="Arial" w:hAnsi="Arial"/>
          <w:sz w:val="8"/>
          <w:szCs w:val="8"/>
          <w:color w:val="auto"/>
        </w:rPr>
        <w:t>We have been running a nature-based solutions programme to invest in natural ecosystems since 2019. As well as investing directly in projects that protect or restore nature, we are also working with projects that already generate carbon credits for our customers. In 2020, Shell invested around $90 million in nature-based projects that reduce or avoid emissions and can also benefit ecosystems by improving biodiversity, water quality and flood protection. This in turn can improve the livelihoods of people in local communities.</w:t>
      </w:r>
    </w:p>
    <w:p>
      <w:pPr>
        <w:spacing w:after="0" w:line="123" w:lineRule="exact"/>
        <w:rPr>
          <w:sz w:val="20"/>
          <w:szCs w:val="20"/>
          <w:color w:val="auto"/>
        </w:rPr>
      </w:pPr>
    </w:p>
    <w:p>
      <w:pPr>
        <w:ind w:right="220"/>
        <w:spacing w:after="0" w:line="320" w:lineRule="auto"/>
        <w:rPr>
          <w:sz w:val="20"/>
          <w:szCs w:val="20"/>
          <w:color w:val="auto"/>
        </w:rPr>
      </w:pPr>
      <w:r>
        <w:rPr>
          <w:rFonts w:ascii="Arial" w:cs="Arial" w:eastAsia="Arial" w:hAnsi="Arial"/>
          <w:sz w:val="8"/>
          <w:szCs w:val="8"/>
          <w:color w:val="auto"/>
        </w:rPr>
        <w:t>Our ambition is to invest around $100 million per year in nature-based projects that reduce or avoid CO</w:t>
      </w:r>
      <w:r>
        <w:rPr>
          <w:rFonts w:ascii="Arial" w:cs="Arial" w:eastAsia="Arial" w:hAnsi="Arial"/>
          <w:sz w:val="5"/>
          <w:szCs w:val="5"/>
          <w:color w:val="auto"/>
        </w:rPr>
        <w:t>2</w:t>
      </w:r>
      <w:r>
        <w:rPr>
          <w:rFonts w:ascii="Arial" w:cs="Arial" w:eastAsia="Arial" w:hAnsi="Arial"/>
          <w:sz w:val="8"/>
          <w:szCs w:val="8"/>
          <w:color w:val="auto"/>
        </w:rPr>
        <w:t xml:space="preserve"> emissions and offer other valuable ecosystem benefits. We aim to use nature-based solutions, in line with the philosophy of avoid, reduce and only then mitigate, to offset emissions of around 120 million tonnes a year by 2030, through projects of the highest independently verified quality.</w:t>
      </w:r>
    </w:p>
    <w:p>
      <w:pPr>
        <w:spacing w:after="0" w:line="118" w:lineRule="exact"/>
        <w:rPr>
          <w:sz w:val="20"/>
          <w:szCs w:val="20"/>
          <w:color w:val="auto"/>
        </w:rPr>
      </w:pPr>
    </w:p>
    <w:p>
      <w:pPr>
        <w:ind w:right="200"/>
        <w:spacing w:after="0" w:line="239" w:lineRule="auto"/>
        <w:rPr>
          <w:sz w:val="20"/>
          <w:szCs w:val="20"/>
          <w:color w:val="auto"/>
        </w:rPr>
      </w:pPr>
      <w:r>
        <w:rPr>
          <w:rFonts w:ascii="Arial" w:cs="Arial" w:eastAsia="Arial" w:hAnsi="Arial"/>
          <w:sz w:val="10"/>
          <w:szCs w:val="10"/>
          <w:color w:val="auto"/>
        </w:rPr>
        <w:t>In 2020, we developed a screening process with clear criteria to help ensure that we invest in nature-based solutions projects that are of high quality and integrity. The criteria include but are not limited to:</w:t>
      </w:r>
    </w:p>
    <w:p>
      <w:pPr>
        <w:spacing w:after="0" w:line="200"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82</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85" w:name="page86"/>
    <w:bookmarkEnd w:id="85"/>
    <w:p>
      <w:pPr>
        <w:ind w:left="208" w:hanging="208"/>
        <w:spacing w:after="0"/>
        <w:tabs>
          <w:tab w:leader="none" w:pos="208" w:val="left"/>
        </w:tabs>
        <w:numPr>
          <w:ilvl w:val="0"/>
          <w:numId w:val="83"/>
        </w:numPr>
        <w:rPr>
          <w:rFonts w:ascii="Arial" w:cs="Arial" w:eastAsia="Arial" w:hAnsi="Arial"/>
          <w:sz w:val="10"/>
          <w:szCs w:val="10"/>
          <w:color w:val="auto"/>
        </w:rPr>
      </w:pPr>
      <w:r>
        <w:rPr>
          <w:rFonts w:ascii="Arial" w:cs="Arial" w:eastAsia="Arial" w:hAnsi="Arial"/>
          <w:sz w:val="10"/>
          <w:szCs w:val="10"/>
          <w:color w:val="auto"/>
        </w:rPr>
        <w:t>selecting only projects that are certified under credible, high-quality and independent carbon-credit standards;</w:t>
      </w:r>
    </w:p>
    <w:p>
      <w:pPr>
        <w:spacing w:after="0" w:line="1" w:lineRule="exact"/>
        <w:rPr>
          <w:rFonts w:ascii="Arial" w:cs="Arial" w:eastAsia="Arial" w:hAnsi="Arial"/>
          <w:sz w:val="10"/>
          <w:szCs w:val="10"/>
          <w:color w:val="auto"/>
        </w:rPr>
      </w:pPr>
    </w:p>
    <w:p>
      <w:pPr>
        <w:ind w:left="208" w:hanging="208"/>
        <w:spacing w:after="0" w:line="225" w:lineRule="auto"/>
        <w:tabs>
          <w:tab w:leader="none" w:pos="208" w:val="left"/>
        </w:tabs>
        <w:numPr>
          <w:ilvl w:val="0"/>
          <w:numId w:val="83"/>
        </w:numPr>
        <w:rPr>
          <w:rFonts w:ascii="Arial" w:cs="Arial" w:eastAsia="Arial" w:hAnsi="Arial"/>
          <w:sz w:val="10"/>
          <w:szCs w:val="10"/>
          <w:color w:val="auto"/>
        </w:rPr>
      </w:pPr>
      <w:r>
        <w:rPr>
          <w:rFonts w:ascii="Arial" w:cs="Arial" w:eastAsia="Arial" w:hAnsi="Arial"/>
          <w:sz w:val="10"/>
          <w:szCs w:val="10"/>
          <w:color w:val="auto"/>
        </w:rPr>
        <w:t>selecting projects that deliver wider environmental and social benefits;</w:t>
      </w:r>
    </w:p>
    <w:p>
      <w:pPr>
        <w:ind w:left="208" w:hanging="208"/>
        <w:spacing w:after="0" w:line="225" w:lineRule="auto"/>
        <w:tabs>
          <w:tab w:leader="none" w:pos="208" w:val="left"/>
        </w:tabs>
        <w:numPr>
          <w:ilvl w:val="0"/>
          <w:numId w:val="83"/>
        </w:numPr>
        <w:rPr>
          <w:rFonts w:ascii="Arial" w:cs="Arial" w:eastAsia="Arial" w:hAnsi="Arial"/>
          <w:sz w:val="10"/>
          <w:szCs w:val="10"/>
          <w:color w:val="auto"/>
        </w:rPr>
      </w:pPr>
      <w:r>
        <w:rPr>
          <w:rFonts w:ascii="Arial" w:cs="Arial" w:eastAsia="Arial" w:hAnsi="Arial"/>
          <w:sz w:val="10"/>
          <w:szCs w:val="10"/>
          <w:color w:val="auto"/>
        </w:rPr>
        <w:t>working to ensure project developers maintain appropriate health, safety, security and social governance standards; and</w:t>
      </w:r>
    </w:p>
    <w:p>
      <w:pPr>
        <w:ind w:left="208" w:hanging="208"/>
        <w:spacing w:after="0" w:line="236" w:lineRule="auto"/>
        <w:tabs>
          <w:tab w:leader="none" w:pos="208" w:val="left"/>
        </w:tabs>
        <w:numPr>
          <w:ilvl w:val="0"/>
          <w:numId w:val="83"/>
        </w:numPr>
        <w:rPr>
          <w:rFonts w:ascii="Arial" w:cs="Arial" w:eastAsia="Arial" w:hAnsi="Arial"/>
          <w:sz w:val="10"/>
          <w:szCs w:val="10"/>
          <w:color w:val="auto"/>
        </w:rPr>
      </w:pPr>
      <w:r>
        <w:rPr>
          <w:rFonts w:ascii="Arial" w:cs="Arial" w:eastAsia="Arial" w:hAnsi="Arial"/>
          <w:sz w:val="10"/>
          <w:szCs w:val="10"/>
          <w:color w:val="auto"/>
        </w:rPr>
        <w:t>having an independent third party audit our internal nature-based project screening review and management processes.</w:t>
      </w:r>
    </w:p>
    <w:p>
      <w:pPr>
        <w:spacing w:after="0" w:line="149" w:lineRule="exact"/>
        <w:rPr>
          <w:sz w:val="20"/>
          <w:szCs w:val="20"/>
          <w:color w:val="auto"/>
        </w:rPr>
      </w:pPr>
    </w:p>
    <w:p>
      <w:pPr>
        <w:ind w:left="8" w:right="200"/>
        <w:spacing w:after="0" w:line="111" w:lineRule="exact"/>
        <w:rPr>
          <w:sz w:val="20"/>
          <w:szCs w:val="20"/>
          <w:color w:val="auto"/>
        </w:rPr>
      </w:pPr>
      <w:r>
        <w:rPr>
          <w:rFonts w:ascii="Arial" w:cs="Arial" w:eastAsia="Arial" w:hAnsi="Arial"/>
          <w:sz w:val="10"/>
          <w:szCs w:val="10"/>
          <w:color w:val="auto"/>
        </w:rPr>
        <w:t>In 2019, we started offering what we called "carbon-neutral driving" to our retail customers. We offered service-station customers in the Netherlands and the UK nature-based carbon credits to offset the CO</w:t>
      </w:r>
      <w:r>
        <w:rPr>
          <w:rFonts w:ascii="MS PGothic" w:cs="MS PGothic" w:eastAsia="MS PGothic" w:hAnsi="MS PGothic"/>
          <w:sz w:val="6"/>
          <w:szCs w:val="6"/>
          <w:color w:val="auto"/>
        </w:rPr>
        <w:t>₂</w:t>
      </w:r>
      <w:r>
        <w:rPr>
          <w:rFonts w:ascii="Arial" w:cs="Arial" w:eastAsia="Arial" w:hAnsi="Arial"/>
          <w:sz w:val="10"/>
          <w:szCs w:val="10"/>
          <w:color w:val="auto"/>
        </w:rPr>
        <w:t xml:space="preserve"> emissions generated by the extraction, refining, distribution and use of the Shell fuel they buy. By the end of 2020, around 18% of Shell's retail customers in the Netherlands and around 15% of our UK service-station customers were driving carbon neutral. So too were more than 200 fleet customers in 12 countries who took advantage of similar offers for businesses.</w:t>
      </w:r>
    </w:p>
    <w:p>
      <w:pPr>
        <w:spacing w:after="0" w:line="149" w:lineRule="exact"/>
        <w:rPr>
          <w:sz w:val="20"/>
          <w:szCs w:val="20"/>
          <w:color w:val="auto"/>
        </w:rPr>
      </w:pPr>
    </w:p>
    <w:p>
      <w:pPr>
        <w:jc w:val="both"/>
        <w:ind w:left="8" w:right="220"/>
        <w:spacing w:after="0" w:line="234" w:lineRule="auto"/>
        <w:rPr>
          <w:sz w:val="20"/>
          <w:szCs w:val="20"/>
          <w:color w:val="auto"/>
        </w:rPr>
      </w:pPr>
      <w:r>
        <w:rPr>
          <w:rFonts w:ascii="Arial" w:cs="Arial" w:eastAsia="Arial" w:hAnsi="Arial"/>
          <w:sz w:val="10"/>
          <w:szCs w:val="10"/>
          <w:color w:val="auto"/>
        </w:rPr>
        <w:t>In 2020, we continued to roll out our carbon-neutral retail offer in Germany, Austria, Switzerland, and Canada, and via a third-party reseller agreement in Denmark. We also offer a growing range of products with nature-based carbon credits, including home energy in the UK, LNG in Asia, bitumen in Europe, and selected lubricants.</w:t>
      </w:r>
    </w:p>
    <w:p>
      <w:pPr>
        <w:spacing w:after="0" w:line="150" w:lineRule="exact"/>
        <w:rPr>
          <w:sz w:val="20"/>
          <w:szCs w:val="20"/>
          <w:color w:val="auto"/>
        </w:rPr>
      </w:pPr>
    </w:p>
    <w:p>
      <w:pPr>
        <w:jc w:val="both"/>
        <w:ind w:left="8" w:right="220"/>
        <w:spacing w:after="0" w:line="222" w:lineRule="auto"/>
        <w:rPr>
          <w:sz w:val="20"/>
          <w:szCs w:val="20"/>
          <w:color w:val="auto"/>
        </w:rPr>
      </w:pPr>
      <w:r>
        <w:rPr>
          <w:rFonts w:ascii="Arial" w:cs="Arial" w:eastAsia="Arial" w:hAnsi="Arial"/>
          <w:sz w:val="10"/>
          <w:szCs w:val="10"/>
          <w:color w:val="auto"/>
        </w:rPr>
        <w:t>In 2020, we took another step to scale up our activities in natural ecosystems by acquiring Select Carbon, a specialist company that partners with farmers, pastoralists and other landowners in Australia to develop carbon farming projects, where plants are grown and soil managed to absorb carbon dioxide from the atmosphere.</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0"/>
          <w:szCs w:val="10"/>
          <w:color w:val="auto"/>
        </w:rPr>
        <w:t>For more information, see the Shell Sustainability Report, due to be published in April 2021.</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PERFORMANCE</w:t>
      </w:r>
    </w:p>
    <w:p>
      <w:pPr>
        <w:ind w:left="8"/>
        <w:spacing w:after="0"/>
        <w:rPr>
          <w:sz w:val="20"/>
          <w:szCs w:val="20"/>
          <w:color w:val="auto"/>
        </w:rPr>
      </w:pPr>
      <w:r>
        <w:rPr>
          <w:rFonts w:ascii="Arial" w:cs="Arial" w:eastAsia="Arial" w:hAnsi="Arial"/>
          <w:sz w:val="11"/>
          <w:szCs w:val="11"/>
          <w:color w:val="auto"/>
        </w:rPr>
        <w:t>SHELL´S CARBON INTENSITY</w:t>
      </w:r>
    </w:p>
    <w:p>
      <w:pPr>
        <w:jc w:val="both"/>
        <w:ind w:left="8" w:right="160"/>
        <w:spacing w:after="0" w:line="110" w:lineRule="exact"/>
        <w:rPr>
          <w:sz w:val="20"/>
          <w:szCs w:val="20"/>
          <w:color w:val="auto"/>
        </w:rPr>
      </w:pPr>
      <w:r>
        <w:rPr>
          <w:rFonts w:ascii="Arial" w:cs="Arial" w:eastAsia="Arial" w:hAnsi="Arial"/>
          <w:sz w:val="8"/>
          <w:szCs w:val="8"/>
          <w:color w:val="auto"/>
        </w:rPr>
        <w:t>Shell’s carbon intensity provides an annual measure of the life-cycle emissions intensity of the portfolio of energy products sold. Specifically, we calculate the carbon intensity (gCO</w:t>
      </w:r>
      <w:r>
        <w:rPr>
          <w:rFonts w:ascii="MS PGothic" w:cs="MS PGothic" w:eastAsia="MS PGothic" w:hAnsi="MS PGothic"/>
          <w:sz w:val="5"/>
          <w:szCs w:val="5"/>
          <w:color w:val="auto"/>
        </w:rPr>
        <w:t>₂</w:t>
      </w:r>
      <w:r>
        <w:rPr>
          <w:rFonts w:ascii="Arial" w:cs="Arial" w:eastAsia="Arial" w:hAnsi="Arial"/>
          <w:sz w:val="8"/>
          <w:szCs w:val="8"/>
          <w:color w:val="auto"/>
        </w:rPr>
        <w:t>e/MJ) in terms of the grams of carbon dioxide equivalent (gCO</w:t>
      </w:r>
      <w:r>
        <w:rPr>
          <w:rFonts w:ascii="MS PGothic" w:cs="MS PGothic" w:eastAsia="MS PGothic" w:hAnsi="MS PGothic"/>
          <w:sz w:val="5"/>
          <w:szCs w:val="5"/>
          <w:color w:val="auto"/>
        </w:rPr>
        <w:t>₂</w:t>
      </w:r>
      <w:r>
        <w:rPr>
          <w:rFonts w:ascii="Arial" w:cs="Arial" w:eastAsia="Arial" w:hAnsi="Arial"/>
          <w:sz w:val="8"/>
          <w:szCs w:val="8"/>
          <w:color w:val="auto"/>
        </w:rPr>
        <w:t>e) per unit of energy (MJ) sold. This is measured, tracked and reported using the Net carbon Footprint (NCF) metric and methodology.</w:t>
      </w:r>
    </w:p>
    <w:p>
      <w:pPr>
        <w:spacing w:after="0" w:line="140" w:lineRule="exact"/>
        <w:rPr>
          <w:sz w:val="20"/>
          <w:szCs w:val="20"/>
          <w:color w:val="auto"/>
        </w:rPr>
      </w:pPr>
    </w:p>
    <w:p>
      <w:pPr>
        <w:ind w:left="8" w:right="280"/>
        <w:spacing w:after="0" w:line="254" w:lineRule="auto"/>
        <w:rPr>
          <w:sz w:val="20"/>
          <w:szCs w:val="20"/>
          <w:color w:val="auto"/>
        </w:rPr>
      </w:pPr>
      <w:r>
        <w:rPr>
          <w:rFonts w:ascii="Arial" w:cs="Arial" w:eastAsia="Arial" w:hAnsi="Arial"/>
          <w:sz w:val="8"/>
          <w:szCs w:val="8"/>
          <w:color w:val="auto"/>
        </w:rPr>
        <w:t>Shell’s NCF is not calculated by simply dividing total emissions by total energy, nor is it an inventory of absolute emissions. Instead, Shell calculates the life-cycle carbon intensity of each of the different energy products it sells. Once we have calculated the carbon intensity for each individual energy product, we then calculate the overall carbon intensity by taking a weighted average of the individual product intensities, with the weighting based on their sales volumes. This approach enables like-for-like comparisons across a range of energy products and allows us to establish the average carbon intensity for all the energy products we sell, including renewables.</w:t>
      </w:r>
    </w:p>
    <w:p>
      <w:pPr>
        <w:spacing w:after="0" w:line="125" w:lineRule="exact"/>
        <w:rPr>
          <w:sz w:val="20"/>
          <w:szCs w:val="20"/>
          <w:color w:val="auto"/>
        </w:rPr>
      </w:pPr>
    </w:p>
    <w:p>
      <w:pPr>
        <w:ind w:left="8" w:right="160"/>
        <w:spacing w:after="0" w:line="273" w:lineRule="auto"/>
        <w:rPr>
          <w:sz w:val="20"/>
          <w:szCs w:val="20"/>
          <w:color w:val="auto"/>
        </w:rPr>
      </w:pPr>
      <w:r>
        <w:rPr>
          <w:rFonts w:ascii="Arial" w:cs="Arial" w:eastAsia="Arial" w:hAnsi="Arial"/>
          <w:sz w:val="8"/>
          <w:szCs w:val="8"/>
          <w:color w:val="auto"/>
        </w:rPr>
        <w:t>Finally, we deduct, or "net off", any emissions that are stored in carbon sinks. For example, we subtract emissions that are stored using carbon capture and storage in our own operations. We also subtract any carbon dioxide emissions that are removed from the atmosphere and stored using natural carbon sinks created using nature-based solutions, such as reforestation.</w:t>
      </w:r>
    </w:p>
    <w:p>
      <w:pPr>
        <w:spacing w:after="0" w:line="118" w:lineRule="exact"/>
        <w:rPr>
          <w:sz w:val="20"/>
          <w:szCs w:val="20"/>
          <w:color w:val="auto"/>
        </w:rPr>
      </w:pPr>
    </w:p>
    <w:p>
      <w:pPr>
        <w:ind w:left="8" w:right="260"/>
        <w:spacing w:after="0" w:line="106" w:lineRule="exact"/>
        <w:rPr>
          <w:sz w:val="20"/>
          <w:szCs w:val="20"/>
          <w:color w:val="auto"/>
        </w:rPr>
      </w:pPr>
      <w:r>
        <w:rPr>
          <w:rFonts w:ascii="Arial" w:cs="Arial" w:eastAsia="Arial" w:hAnsi="Arial"/>
          <w:sz w:val="8"/>
          <w:szCs w:val="8"/>
          <w:color w:val="auto"/>
        </w:rPr>
        <w:t>While Shell’s NCF is an intensity measure and not an inventory of absolute emissions, a notional estimate of the amount of CO</w:t>
      </w:r>
      <w:r>
        <w:rPr>
          <w:rFonts w:ascii="MS PGothic" w:cs="MS PGothic" w:eastAsia="MS PGothic" w:hAnsi="MS PGothic"/>
          <w:sz w:val="5"/>
          <w:szCs w:val="5"/>
          <w:color w:val="auto"/>
        </w:rPr>
        <w:t>₂</w:t>
      </w:r>
      <w:r>
        <w:rPr>
          <w:rFonts w:ascii="Arial" w:cs="Arial" w:eastAsia="Arial" w:hAnsi="Arial"/>
          <w:sz w:val="8"/>
          <w:szCs w:val="8"/>
          <w:color w:val="auto"/>
        </w:rPr>
        <w:t>e emissions covered by the scope of the Net Carbon Footprint calculation can be derived from the final Net Carbon Footprint value for any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2100" w:type="dxa"/>
            <w:vAlign w:val="bottom"/>
          </w:tcPr>
          <w:p>
            <w:pPr>
              <w:jc w:val="right"/>
              <w:spacing w:after="0"/>
              <w:rPr>
                <w:sz w:val="20"/>
                <w:szCs w:val="20"/>
                <w:color w:val="auto"/>
              </w:rPr>
            </w:pPr>
            <w:r>
              <w:rPr>
                <w:rFonts w:ascii="Arial" w:cs="Arial" w:eastAsia="Arial" w:hAnsi="Arial"/>
                <w:sz w:val="7"/>
                <w:szCs w:val="7"/>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178040" cy="114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Net carbon intensity performance</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Our NCF performance</w:t>
      </w:r>
    </w:p>
    <w:p>
      <w:pPr>
        <w:spacing w:after="0" w:line="167" w:lineRule="exact"/>
        <w:rPr>
          <w:sz w:val="20"/>
          <w:szCs w:val="20"/>
          <w:color w:val="auto"/>
        </w:rPr>
      </w:pPr>
    </w:p>
    <w:p>
      <w:pPr>
        <w:ind w:left="40"/>
        <w:spacing w:after="0" w:line="115" w:lineRule="exact"/>
        <w:rPr>
          <w:sz w:val="20"/>
          <w:szCs w:val="20"/>
          <w:color w:val="auto"/>
        </w:rPr>
      </w:pPr>
      <w:r>
        <w:rPr>
          <w:rFonts w:ascii="Arial" w:cs="Arial" w:eastAsia="Arial" w:hAnsi="Arial"/>
          <w:sz w:val="10"/>
          <w:szCs w:val="10"/>
          <w:color w:val="auto"/>
        </w:rPr>
        <w:t>NCF in the reference year (2016) = 79 gCO</w:t>
      </w:r>
      <w:r>
        <w:rPr>
          <w:rFonts w:ascii="MS PGothic" w:cs="MS PGothic" w:eastAsia="MS PGothic" w:hAnsi="MS PGothic"/>
          <w:sz w:val="10"/>
          <w:szCs w:val="10"/>
          <w:color w:val="auto"/>
        </w:rPr>
        <w:t>₂</w:t>
      </w:r>
      <w:r>
        <w:rPr>
          <w:rFonts w:ascii="Arial" w:cs="Arial" w:eastAsia="Arial" w:hAnsi="Arial"/>
          <w:sz w:val="10"/>
          <w:szCs w:val="10"/>
          <w:color w:val="auto"/>
        </w:rPr>
        <w:t>e/MJ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3463290" cy="6057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63290" cy="60579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tcBorders>
              <w:top w:val="single" w:sz="8" w:color="auto"/>
              <w:bottom w:val="single" w:sz="8" w:color="auto"/>
              <w:right w:val="single" w:sz="8" w:color="auto"/>
            </w:tcBorders>
          </w:tcPr>
          <w:p>
            <w:pPr>
              <w:spacing w:after="0"/>
              <w:rPr>
                <w:sz w:val="10"/>
                <w:szCs w:val="10"/>
                <w:color w:val="auto"/>
              </w:rPr>
            </w:pPr>
          </w:p>
        </w:tc>
        <w:tc>
          <w:tcPr>
            <w:tcW w:w="1080" w:type="dxa"/>
            <w:vAlign w:val="bottom"/>
            <w:tcBorders>
              <w:top w:val="single" w:sz="8" w:color="auto"/>
              <w:bottom w:val="single" w:sz="8" w:color="auto"/>
              <w:right w:val="single" w:sz="8" w:color="auto"/>
            </w:tcBorders>
          </w:tcPr>
          <w:p>
            <w:pPr>
              <w:spacing w:after="0"/>
              <w:rPr>
                <w:sz w:val="10"/>
                <w:szCs w:val="10"/>
                <w:color w:val="auto"/>
              </w:rPr>
            </w:pPr>
          </w:p>
        </w:tc>
        <w:tc>
          <w:tcPr>
            <w:tcW w:w="11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10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NCF</w:t>
            </w:r>
          </w:p>
        </w:tc>
        <w:tc>
          <w:tcPr>
            <w:tcW w:w="1080" w:type="dxa"/>
            <w:vAlign w:val="bottom"/>
            <w:tcBorders>
              <w:bottom w:val="single" w:sz="8" w:color="auto"/>
              <w:right w:val="single" w:sz="8" w:color="auto"/>
            </w:tcBorders>
          </w:tcPr>
          <w:p>
            <w:pPr>
              <w:spacing w:after="0" w:line="115" w:lineRule="exact"/>
              <w:rPr>
                <w:sz w:val="20"/>
                <w:szCs w:val="20"/>
                <w:color w:val="auto"/>
              </w:rPr>
            </w:pPr>
            <w:r>
              <w:rPr>
                <w:rFonts w:ascii="Arial" w:cs="Arial" w:eastAsia="Arial" w:hAnsi="Arial"/>
                <w:sz w:val="10"/>
                <w:szCs w:val="10"/>
                <w:color w:val="auto"/>
              </w:rPr>
              <w:t>g CO</w:t>
            </w:r>
            <w:r>
              <w:rPr>
                <w:rFonts w:ascii="MS PGothic" w:cs="MS PGothic" w:eastAsia="MS PGothic" w:hAnsi="MS PGothic"/>
                <w:sz w:val="10"/>
                <w:szCs w:val="10"/>
                <w:color w:val="auto"/>
              </w:rPr>
              <w:t>₂</w:t>
            </w:r>
            <w:r>
              <w:rPr>
                <w:rFonts w:ascii="Arial" w:cs="Arial" w:eastAsia="Arial" w:hAnsi="Arial"/>
                <w:sz w:val="10"/>
                <w:szCs w:val="10"/>
                <w:color w:val="auto"/>
              </w:rPr>
              <w:t>e/ MJ</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79</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78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w:t>
            </w:r>
          </w:p>
        </w:tc>
        <w:tc>
          <w:tcPr>
            <w:tcW w:w="0" w:type="dxa"/>
            <w:vAlign w:val="bottom"/>
          </w:tcPr>
          <w:p>
            <w:pPr>
              <w:spacing w:after="0"/>
              <w:rPr>
                <w:sz w:val="1"/>
                <w:szCs w:val="1"/>
                <w:color w:val="auto"/>
              </w:rPr>
            </w:pPr>
          </w:p>
        </w:tc>
      </w:tr>
      <w:tr>
        <w:trPr>
          <w:trHeight w:val="79"/>
        </w:trPr>
        <w:tc>
          <w:tcPr>
            <w:tcW w:w="1120" w:type="dxa"/>
            <w:vAlign w:val="bottom"/>
            <w:tcBorders>
              <w:right w:val="single" w:sz="8" w:color="auto"/>
            </w:tcBorders>
          </w:tcPr>
          <w:p>
            <w:pPr>
              <w:ind w:left="40"/>
              <w:spacing w:after="0" w:line="79" w:lineRule="exact"/>
              <w:rPr>
                <w:sz w:val="20"/>
                <w:szCs w:val="20"/>
                <w:color w:val="auto"/>
              </w:rPr>
            </w:pPr>
            <w:r>
              <w:rPr>
                <w:rFonts w:ascii="Arial" w:cs="Arial" w:eastAsia="Arial" w:hAnsi="Arial"/>
                <w:sz w:val="8"/>
                <w:szCs w:val="8"/>
                <w:color w:val="auto"/>
              </w:rPr>
              <w:t>Estimated total energy</w:t>
            </w:r>
          </w:p>
        </w:tc>
        <w:tc>
          <w:tcPr>
            <w:tcW w:w="108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color w:val="auto"/>
              </w:rPr>
              <w:t>trillion (10^12) MJ</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0"/>
                <w:szCs w:val="10"/>
                <w:color w:val="auto"/>
              </w:rPr>
              <w:t>22.00</w:t>
            </w: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0"/>
                <w:szCs w:val="10"/>
                <w:color w:val="auto"/>
              </w:rPr>
              <w:t>21.05</w:t>
            </w:r>
          </w:p>
        </w:tc>
        <w:tc>
          <w:tcPr>
            <w:tcW w:w="1080" w:type="dxa"/>
            <w:vAlign w:val="bottom"/>
            <w:vMerge w:val="restart"/>
          </w:tcPr>
          <w:p>
            <w:pPr>
              <w:jc w:val="right"/>
              <w:spacing w:after="0"/>
              <w:rPr>
                <w:sz w:val="20"/>
                <w:szCs w:val="20"/>
                <w:color w:val="auto"/>
              </w:rPr>
            </w:pPr>
            <w:r>
              <w:rPr>
                <w:rFonts w:ascii="Arial" w:cs="Arial" w:eastAsia="Arial" w:hAnsi="Arial"/>
                <w:sz w:val="10"/>
                <w:szCs w:val="10"/>
                <w:color w:val="auto"/>
              </w:rPr>
              <w:t>18.4</w:t>
            </w:r>
          </w:p>
        </w:tc>
        <w:tc>
          <w:tcPr>
            <w:tcW w:w="0" w:type="dxa"/>
            <w:vAlign w:val="bottom"/>
          </w:tcPr>
          <w:p>
            <w:pPr>
              <w:spacing w:after="0"/>
              <w:rPr>
                <w:sz w:val="1"/>
                <w:szCs w:val="1"/>
                <w:color w:val="auto"/>
              </w:rPr>
            </w:pPr>
          </w:p>
        </w:tc>
      </w:tr>
      <w:tr>
        <w:trPr>
          <w:trHeight w:val="124"/>
        </w:trPr>
        <w:tc>
          <w:tcPr>
            <w:tcW w:w="1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delivered by Shell [A]</w:t>
            </w:r>
          </w:p>
        </w:tc>
        <w:tc>
          <w:tcPr>
            <w:tcW w:w="1080" w:type="dxa"/>
            <w:vAlign w:val="bottom"/>
            <w:tcBorders>
              <w:bottom w:val="single" w:sz="8" w:color="auto"/>
              <w:right w:val="single" w:sz="8" w:color="auto"/>
            </w:tcBorders>
            <w:vMerge w:val="continue"/>
          </w:tcPr>
          <w:p>
            <w:pPr>
              <w:spacing w:after="0"/>
              <w:rPr>
                <w:sz w:val="10"/>
                <w:szCs w:val="10"/>
                <w:color w:val="auto"/>
              </w:rPr>
            </w:pPr>
          </w:p>
        </w:tc>
        <w:tc>
          <w:tcPr>
            <w:tcW w:w="1100" w:type="dxa"/>
            <w:vAlign w:val="bottom"/>
            <w:tcBorders>
              <w:bottom w:val="single" w:sz="8" w:color="auto"/>
              <w:right w:val="single" w:sz="8" w:color="auto"/>
            </w:tcBorders>
            <w:vMerge w:val="continue"/>
          </w:tcPr>
          <w:p>
            <w:pPr>
              <w:spacing w:after="0"/>
              <w:rPr>
                <w:sz w:val="10"/>
                <w:szCs w:val="10"/>
                <w:color w:val="auto"/>
              </w:rPr>
            </w:pPr>
          </w:p>
        </w:tc>
        <w:tc>
          <w:tcPr>
            <w:tcW w:w="1080" w:type="dxa"/>
            <w:vAlign w:val="bottom"/>
            <w:tcBorders>
              <w:bottom w:val="single" w:sz="8" w:color="auto"/>
              <w:right w:val="single" w:sz="8" w:color="auto"/>
            </w:tcBorders>
            <w:vMerge w:val="continue"/>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120" w:type="dxa"/>
            <w:vAlign w:val="bottom"/>
            <w:tcBorders>
              <w:right w:val="single" w:sz="8" w:color="auto"/>
            </w:tcBorders>
          </w:tcPr>
          <w:p>
            <w:pPr>
              <w:ind w:left="40"/>
              <w:spacing w:after="0" w:line="81" w:lineRule="exact"/>
              <w:rPr>
                <w:sz w:val="20"/>
                <w:szCs w:val="20"/>
                <w:color w:val="auto"/>
              </w:rPr>
            </w:pPr>
            <w:r>
              <w:rPr>
                <w:rFonts w:ascii="Arial" w:cs="Arial" w:eastAsia="Arial" w:hAnsi="Arial"/>
                <w:sz w:val="8"/>
                <w:szCs w:val="8"/>
                <w:color w:val="auto"/>
              </w:rPr>
              <w:t>Estimated total GHG</w:t>
            </w:r>
          </w:p>
        </w:tc>
        <w:tc>
          <w:tcPr>
            <w:tcW w:w="1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20" w:type="dxa"/>
            <w:vAlign w:val="bottom"/>
            <w:tcBorders>
              <w:right w:val="single" w:sz="8" w:color="auto"/>
            </w:tcBorders>
          </w:tcPr>
          <w:p>
            <w:pPr>
              <w:ind w:left="40"/>
              <w:spacing w:after="0" w:line="90" w:lineRule="exact"/>
              <w:rPr>
                <w:sz w:val="20"/>
                <w:szCs w:val="20"/>
                <w:color w:val="auto"/>
              </w:rPr>
            </w:pPr>
            <w:r>
              <w:rPr>
                <w:rFonts w:ascii="Arial" w:cs="Arial" w:eastAsia="Arial" w:hAnsi="Arial"/>
                <w:sz w:val="10"/>
                <w:szCs w:val="10"/>
                <w:color w:val="auto"/>
                <w:w w:val="87"/>
              </w:rPr>
              <w:t>emissions included in NCF</w:t>
            </w:r>
          </w:p>
        </w:tc>
        <w:tc>
          <w:tcPr>
            <w:tcW w:w="1080" w:type="dxa"/>
            <w:vAlign w:val="bottom"/>
            <w:tcBorders>
              <w:right w:val="single" w:sz="8" w:color="auto"/>
            </w:tcBorders>
            <w:vMerge w:val="restart"/>
          </w:tcPr>
          <w:p>
            <w:pPr>
              <w:spacing w:after="0" w:line="115" w:lineRule="exact"/>
              <w:rPr>
                <w:sz w:val="20"/>
                <w:szCs w:val="20"/>
                <w:color w:val="auto"/>
              </w:rPr>
            </w:pPr>
            <w:r>
              <w:rPr>
                <w:rFonts w:ascii="Arial" w:cs="Arial" w:eastAsia="Arial" w:hAnsi="Arial"/>
                <w:sz w:val="10"/>
                <w:szCs w:val="10"/>
                <w:color w:val="auto"/>
              </w:rPr>
              <w:t>million tonnes CO</w:t>
            </w:r>
            <w:r>
              <w:rPr>
                <w:rFonts w:ascii="MS PGothic" w:cs="MS PGothic" w:eastAsia="MS PGothic" w:hAnsi="MS PGothic"/>
                <w:sz w:val="10"/>
                <w:szCs w:val="10"/>
                <w:color w:val="auto"/>
              </w:rPr>
              <w:t>₂</w:t>
            </w:r>
            <w:r>
              <w:rPr>
                <w:rFonts w:ascii="Arial" w:cs="Arial" w:eastAsia="Arial" w:hAnsi="Arial"/>
                <w:sz w:val="10"/>
                <w:szCs w:val="10"/>
                <w:color w:val="auto"/>
              </w:rPr>
              <w:t>e</w:t>
            </w:r>
          </w:p>
        </w:tc>
        <w:tc>
          <w:tcPr>
            <w:tcW w:w="110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0"/>
                <w:szCs w:val="10"/>
                <w:color w:val="auto"/>
              </w:rPr>
              <w:t>1,731</w:t>
            </w:r>
          </w:p>
        </w:tc>
        <w:tc>
          <w:tcPr>
            <w:tcW w:w="108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0"/>
                <w:szCs w:val="10"/>
                <w:color w:val="auto"/>
              </w:rPr>
              <w:t>1,646</w:t>
            </w:r>
          </w:p>
        </w:tc>
        <w:tc>
          <w:tcPr>
            <w:tcW w:w="1080" w:type="dxa"/>
            <w:vAlign w:val="bottom"/>
            <w:vMerge w:val="restart"/>
          </w:tcPr>
          <w:p>
            <w:pPr>
              <w:jc w:val="right"/>
              <w:spacing w:after="0"/>
              <w:rPr>
                <w:sz w:val="20"/>
                <w:szCs w:val="20"/>
                <w:color w:val="auto"/>
              </w:rPr>
            </w:pPr>
            <w:r>
              <w:rPr>
                <w:rFonts w:ascii="Arial" w:cs="Arial" w:eastAsia="Arial" w:hAnsi="Arial"/>
                <w:sz w:val="10"/>
                <w:szCs w:val="10"/>
                <w:color w:val="auto"/>
              </w:rPr>
              <w:t>1384</w:t>
            </w:r>
          </w:p>
        </w:tc>
        <w:tc>
          <w:tcPr>
            <w:tcW w:w="0" w:type="dxa"/>
            <w:vAlign w:val="bottom"/>
          </w:tcPr>
          <w:p>
            <w:pPr>
              <w:spacing w:after="0"/>
              <w:rPr>
                <w:sz w:val="1"/>
                <w:szCs w:val="1"/>
                <w:color w:val="auto"/>
              </w:rPr>
            </w:pPr>
          </w:p>
        </w:tc>
      </w:tr>
      <w:tr>
        <w:trPr>
          <w:trHeight w:val="126"/>
        </w:trPr>
        <w:tc>
          <w:tcPr>
            <w:tcW w:w="1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[B], [C]</w:t>
            </w:r>
          </w:p>
        </w:tc>
        <w:tc>
          <w:tcPr>
            <w:tcW w:w="1080" w:type="dxa"/>
            <w:vAlign w:val="bottom"/>
            <w:tcBorders>
              <w:bottom w:val="single" w:sz="8" w:color="auto"/>
              <w:right w:val="single" w:sz="8" w:color="auto"/>
            </w:tcBorders>
            <w:vMerge w:val="continue"/>
          </w:tcPr>
          <w:p>
            <w:pPr>
              <w:spacing w:after="0"/>
              <w:rPr>
                <w:sz w:val="10"/>
                <w:szCs w:val="10"/>
                <w:color w:val="auto"/>
              </w:rPr>
            </w:pPr>
          </w:p>
        </w:tc>
        <w:tc>
          <w:tcPr>
            <w:tcW w:w="1100" w:type="dxa"/>
            <w:vAlign w:val="bottom"/>
            <w:tcBorders>
              <w:bottom w:val="single" w:sz="8" w:color="auto"/>
              <w:right w:val="single" w:sz="8" w:color="auto"/>
            </w:tcBorders>
            <w:vMerge w:val="continue"/>
          </w:tcPr>
          <w:p>
            <w:pPr>
              <w:spacing w:after="0"/>
              <w:rPr>
                <w:sz w:val="10"/>
                <w:szCs w:val="10"/>
                <w:color w:val="auto"/>
              </w:rPr>
            </w:pPr>
          </w:p>
        </w:tc>
        <w:tc>
          <w:tcPr>
            <w:tcW w:w="1080" w:type="dxa"/>
            <w:vAlign w:val="bottom"/>
            <w:tcBorders>
              <w:bottom w:val="single" w:sz="8" w:color="auto"/>
              <w:right w:val="single" w:sz="8" w:color="auto"/>
            </w:tcBorders>
            <w:vMerge w:val="continue"/>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40" w:hanging="131"/>
        <w:spacing w:after="0"/>
        <w:tabs>
          <w:tab w:leader="none" w:pos="140" w:val="left"/>
        </w:tabs>
        <w:numPr>
          <w:ilvl w:val="0"/>
          <w:numId w:val="84"/>
        </w:numPr>
        <w:rPr>
          <w:rFonts w:ascii="Arial" w:cs="Arial" w:eastAsia="Arial" w:hAnsi="Arial"/>
          <w:sz w:val="7"/>
          <w:szCs w:val="7"/>
          <w:color w:val="auto"/>
        </w:rPr>
      </w:pPr>
      <w:r>
        <w:rPr>
          <w:rFonts w:ascii="Arial" w:cs="Arial" w:eastAsia="Arial" w:hAnsi="Arial"/>
          <w:sz w:val="7"/>
          <w:szCs w:val="7"/>
          <w:color w:val="auto"/>
        </w:rPr>
        <w:t>Retail sales volumes from markets where Shell operates under trademark licensing agreements are excluded from the scope of Shell´s carbon intensity metric</w:t>
      </w:r>
    </w:p>
    <w:p>
      <w:pPr>
        <w:spacing w:after="0" w:line="15" w:lineRule="exact"/>
        <w:rPr>
          <w:rFonts w:ascii="Arial" w:cs="Arial" w:eastAsia="Arial" w:hAnsi="Arial"/>
          <w:sz w:val="7"/>
          <w:szCs w:val="7"/>
          <w:color w:val="auto"/>
        </w:rPr>
      </w:pPr>
    </w:p>
    <w:p>
      <w:pPr>
        <w:ind w:right="160" w:firstLine="9"/>
        <w:spacing w:after="0" w:line="234" w:lineRule="auto"/>
        <w:tabs>
          <w:tab w:leader="none" w:pos="133" w:val="left"/>
        </w:tabs>
        <w:numPr>
          <w:ilvl w:val="0"/>
          <w:numId w:val="84"/>
        </w:numPr>
        <w:rPr>
          <w:rFonts w:ascii="Arial" w:cs="Arial" w:eastAsia="Arial" w:hAnsi="Arial"/>
          <w:sz w:val="8"/>
          <w:szCs w:val="8"/>
          <w:color w:val="auto"/>
        </w:rPr>
      </w:pPr>
      <w:r>
        <w:rPr>
          <w:rFonts w:ascii="Arial" w:cs="Arial" w:eastAsia="Arial" w:hAnsi="Arial"/>
          <w:sz w:val="8"/>
          <w:szCs w:val="8"/>
          <w:color w:val="auto"/>
        </w:rPr>
        <w:t>The 2.2 million tonnes of carbon offsets used in 2019, and 3.9 million tonnes of carbon offsets used in 2020 have been subtracted from the estimated total GHG emissions</w:t>
      </w:r>
    </w:p>
    <w:p>
      <w:pPr>
        <w:ind w:right="40" w:firstLine="9"/>
        <w:spacing w:after="0" w:line="322" w:lineRule="auto"/>
        <w:tabs>
          <w:tab w:leader="none" w:pos="133" w:val="left"/>
        </w:tabs>
        <w:numPr>
          <w:ilvl w:val="0"/>
          <w:numId w:val="84"/>
        </w:numPr>
        <w:rPr>
          <w:rFonts w:ascii="Arial" w:cs="Arial" w:eastAsia="Arial" w:hAnsi="Arial"/>
          <w:sz w:val="7"/>
          <w:szCs w:val="7"/>
          <w:color w:val="auto"/>
        </w:rPr>
      </w:pPr>
      <w:r>
        <w:rPr>
          <w:rFonts w:ascii="Arial" w:cs="Arial" w:eastAsia="Arial" w:hAnsi="Arial"/>
          <w:sz w:val="7"/>
          <w:szCs w:val="7"/>
          <w:color w:val="auto"/>
        </w:rPr>
        <w:t>These numbers include well-to-wheel emissions associated with energy products sold by Shell; they also include the well-to-tank emissions associated with the manufacturing of energy products by others that are sold by Shell. Emissions associated with the manufacturing and use of non-energy products are excluded</w:t>
      </w:r>
    </w:p>
    <w:p>
      <w:pPr>
        <w:spacing w:after="0" w:line="107" w:lineRule="exact"/>
        <w:rPr>
          <w:sz w:val="20"/>
          <w:szCs w:val="20"/>
          <w:color w:val="auto"/>
        </w:rPr>
      </w:pPr>
    </w:p>
    <w:p>
      <w:pPr>
        <w:ind w:right="20"/>
        <w:spacing w:after="0" w:line="247" w:lineRule="auto"/>
        <w:rPr>
          <w:sz w:val="20"/>
          <w:szCs w:val="20"/>
          <w:color w:val="auto"/>
        </w:rPr>
      </w:pPr>
      <w:r>
        <w:rPr>
          <w:rFonts w:ascii="Arial" w:cs="Arial" w:eastAsia="Arial" w:hAnsi="Arial"/>
          <w:sz w:val="8"/>
          <w:szCs w:val="8"/>
          <w:color w:val="auto"/>
        </w:rPr>
        <w:t>We have received third-party limited assurance on our carbon intensity, measured and reported using the Net Carbon Footprint, for the years from 2016 to 2020. Shell’s NCF in 2020 was 75 gCO2e/MJ, a 4% reduction from the previous year and a 5% reduction from the 2016 reference year. One of the major causes of this larger than expected reduction in 2020 was lower demand for energy, especially for oil and gas. Demand for oil products experienced the most significant reduction, followed by natural gas and LNG. Another important factor contributing to the reduction of the NCF was the increase in our power sales in absolute terms as well as their share of the energy mix sold by Shell. The power we sold also had a lower average emissions intensity than in previous years, which further contributed to the overall NCF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155575</wp:posOffset>
            </wp:positionV>
            <wp:extent cx="1885950" cy="20859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85950" cy="2085975"/>
                    </a:xfrm>
                    <a:prstGeom prst="rect">
                      <a:avLst/>
                    </a:prstGeom>
                    <a:noFill/>
                  </pic:spPr>
                </pic:pic>
              </a:graphicData>
            </a:graphic>
          </wp:anchor>
        </w:drawing>
      </w:r>
    </w:p>
    <w:p>
      <w:pPr>
        <w:sectPr>
          <w:pgSz w:w="11900" w:h="16838" w:orient="portrait"/>
          <w:cols w:equalWidth="0" w:num="2">
            <w:col w:w="5608" w:space="120"/>
            <w:col w:w="5460"/>
          </w:cols>
          <w:pgMar w:left="292" w:top="640" w:right="419" w:bottom="1440" w:gutter="0" w:footer="0" w:header="0"/>
        </w:sectPr>
      </w:pPr>
    </w:p>
    <w:bookmarkStart w:id="86" w:name="page87"/>
    <w:bookmarkEnd w:id="86"/>
    <w:p>
      <w:pPr>
        <w:spacing w:after="0" w:line="15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Carbon intensity of Shell´s energy product types</w:t>
      </w:r>
    </w:p>
    <w:p>
      <w:pPr>
        <w:spacing w:after="0" w:line="4" w:lineRule="exact"/>
        <w:rPr>
          <w:sz w:val="20"/>
          <w:szCs w:val="20"/>
          <w:color w:val="auto"/>
        </w:rPr>
      </w:pPr>
    </w:p>
    <w:p>
      <w:pPr>
        <w:ind w:right="20"/>
        <w:spacing w:after="0" w:line="337" w:lineRule="auto"/>
        <w:rPr>
          <w:sz w:val="20"/>
          <w:szCs w:val="20"/>
          <w:color w:val="auto"/>
        </w:rPr>
      </w:pPr>
      <w:r>
        <w:rPr>
          <w:rFonts w:ascii="Arial" w:cs="Arial" w:eastAsia="Arial" w:hAnsi="Arial"/>
          <w:sz w:val="8"/>
          <w:szCs w:val="8"/>
          <w:color w:val="auto"/>
        </w:rPr>
        <w:t>The graph below illustrates the carbon intensity of our delivered energy per product type from 2016 to 2020. Our NCF is calculated by taking a weighted average of these individual carbon intensities, with the weighting based on their sales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1885950" cy="14687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85950" cy="146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20"/>
        <w:spacing w:after="0" w:line="358" w:lineRule="auto"/>
        <w:rPr>
          <w:sz w:val="20"/>
          <w:szCs w:val="20"/>
          <w:color w:val="auto"/>
        </w:rPr>
      </w:pPr>
      <w:r>
        <w:rPr>
          <w:rFonts w:ascii="Arial" w:cs="Arial" w:eastAsia="Arial" w:hAnsi="Arial"/>
          <w:sz w:val="8"/>
          <w:szCs w:val="8"/>
          <w:color w:val="auto"/>
        </w:rPr>
        <w:t>For hydrocarbon fuels, emissions from end use by customers are by far the biggest contributors to the carbon intensity of the product. As a result, the emissions intensity of hydrocarbon fuels is expected to stay relatively unchanged over time.</w:t>
      </w:r>
    </w:p>
    <w:p>
      <w:pPr>
        <w:spacing w:after="0" w:line="104" w:lineRule="exact"/>
        <w:rPr>
          <w:sz w:val="20"/>
          <w:szCs w:val="20"/>
          <w:color w:val="auto"/>
        </w:rPr>
      </w:pPr>
    </w:p>
    <w:p>
      <w:pPr>
        <w:spacing w:after="0" w:line="234" w:lineRule="auto"/>
        <w:rPr>
          <w:sz w:val="20"/>
          <w:szCs w:val="20"/>
          <w:color w:val="auto"/>
        </w:rPr>
      </w:pPr>
      <w:r>
        <w:rPr>
          <w:rFonts w:ascii="Arial" w:cs="Arial" w:eastAsia="Arial" w:hAnsi="Arial"/>
          <w:sz w:val="10"/>
          <w:szCs w:val="10"/>
          <w:color w:val="auto"/>
        </w:rPr>
        <w:t>This contrasts with the emissions intensity of power, which can be highly variable depending on how it has been generated. To a lesser extent, there is also a contrast between hydrocarbon fuels and biofuels, which can vary significantly in intensity depending on the feedstock and production process used.</w:t>
      </w:r>
    </w:p>
    <w:p>
      <w:pPr>
        <w:spacing w:after="0" w:line="141" w:lineRule="exact"/>
        <w:rPr>
          <w:sz w:val="20"/>
          <w:szCs w:val="20"/>
          <w:color w:val="auto"/>
        </w:rPr>
      </w:pPr>
    </w:p>
    <w:p>
      <w:pPr>
        <w:ind w:right="100"/>
        <w:spacing w:after="0" w:line="209" w:lineRule="auto"/>
        <w:rPr>
          <w:sz w:val="20"/>
          <w:szCs w:val="20"/>
          <w:color w:val="auto"/>
        </w:rPr>
      </w:pPr>
      <w:r>
        <w:rPr>
          <w:rFonts w:ascii="Arial" w:cs="Arial" w:eastAsia="Arial" w:hAnsi="Arial"/>
          <w:sz w:val="10"/>
          <w:szCs w:val="10"/>
          <w:color w:val="auto"/>
        </w:rPr>
        <w:t>The proportion of our renewable power sales and countries where we sell power to the market both affect Shell´s overall power mix and its resulting emissions intensity. The carbon intensity of biofuels provided in the graph "Carbon intensity of Shell´s energy product types" reflects the global average for biofuels sold by Shell.</w:t>
      </w:r>
    </w:p>
    <w:p>
      <w:pPr>
        <w:spacing w:after="0" w:line="141" w:lineRule="exact"/>
        <w:rPr>
          <w:sz w:val="20"/>
          <w:szCs w:val="20"/>
          <w:color w:val="auto"/>
        </w:rPr>
      </w:pPr>
    </w:p>
    <w:p>
      <w:pPr>
        <w:ind w:right="320"/>
        <w:spacing w:after="0" w:line="239" w:lineRule="auto"/>
        <w:rPr>
          <w:sz w:val="20"/>
          <w:szCs w:val="20"/>
          <w:color w:val="auto"/>
        </w:rPr>
      </w:pPr>
      <w:r>
        <w:rPr>
          <w:rFonts w:ascii="Arial" w:cs="Arial" w:eastAsia="Arial" w:hAnsi="Arial"/>
          <w:sz w:val="10"/>
          <w:szCs w:val="10"/>
          <w:color w:val="auto"/>
        </w:rPr>
        <w:t>Our strategy is to reduce our Net Carbon Footprint, mainly by increasing the proportion of lower-carbon products such as natural gas, biofuels, electricity and hydrogen in the mix of products that we sell to our customers.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GREENHOUSE GAS EMISSIONS</w:t>
      </w:r>
    </w:p>
    <w:p>
      <w:pPr>
        <w:ind w:right="20"/>
        <w:spacing w:after="0" w:line="309" w:lineRule="auto"/>
        <w:rPr>
          <w:sz w:val="20"/>
          <w:szCs w:val="20"/>
          <w:color w:val="auto"/>
        </w:rPr>
      </w:pPr>
      <w:r>
        <w:rPr>
          <w:rFonts w:ascii="Arial" w:cs="Arial" w:eastAsia="Arial" w:hAnsi="Arial"/>
          <w:sz w:val="8"/>
          <w:szCs w:val="8"/>
          <w:color w:val="auto"/>
        </w:rPr>
        <w:t>Data in this section are reported on a 100% basis in respect of activities where we are the operator. Reporting on this operational control basis differs from that applied for financial reporting purposes in the “Consolidated Financial Statements” on pages 163-210. Detailed data and information on our 2020 environmental and social performance are expected to be published in the Shell Sustainability Report in April 2021.</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color w:val="auto"/>
        </w:rPr>
        <w:t>GHG Performance</w:t>
      </w:r>
    </w:p>
    <w:p>
      <w:pPr>
        <w:ind w:right="20"/>
        <w:spacing w:after="0" w:line="109" w:lineRule="exact"/>
        <w:rPr>
          <w:sz w:val="20"/>
          <w:szCs w:val="20"/>
          <w:color w:val="auto"/>
        </w:rPr>
      </w:pPr>
      <w:r>
        <w:rPr>
          <w:rFonts w:ascii="Arial" w:cs="Arial" w:eastAsia="Arial" w:hAnsi="Arial"/>
          <w:sz w:val="10"/>
          <w:szCs w:val="10"/>
          <w:color w:val="auto"/>
        </w:rPr>
        <w:t>Our direct GHG emissions (Scope 1) decreased from 70 million tonnes of CO</w:t>
      </w:r>
      <w:r>
        <w:rPr>
          <w:rFonts w:ascii="MS PGothic" w:cs="MS PGothic" w:eastAsia="MS PGothic" w:hAnsi="MS PGothic"/>
          <w:sz w:val="6"/>
          <w:szCs w:val="6"/>
          <w:color w:val="auto"/>
        </w:rPr>
        <w:t>₂</w:t>
      </w:r>
      <w:r>
        <w:rPr>
          <w:rFonts w:ascii="Arial" w:cs="Arial" w:eastAsia="Arial" w:hAnsi="Arial"/>
          <w:sz w:val="10"/>
          <w:szCs w:val="10"/>
          <w:color w:val="auto"/>
        </w:rPr>
        <w:t xml:space="preserve"> equivalent in 2019 to 63 million tonnes of CO</w:t>
      </w:r>
      <w:r>
        <w:rPr>
          <w:rFonts w:ascii="MS PGothic" w:cs="MS PGothic" w:eastAsia="MS PGothic" w:hAnsi="MS PGothic"/>
          <w:sz w:val="6"/>
          <w:szCs w:val="6"/>
          <w:color w:val="auto"/>
        </w:rPr>
        <w:t>₂</w:t>
      </w:r>
      <w:r>
        <w:rPr>
          <w:rFonts w:ascii="Arial" w:cs="Arial" w:eastAsia="Arial" w:hAnsi="Arial"/>
          <w:sz w:val="10"/>
          <w:szCs w:val="10"/>
          <w:color w:val="auto"/>
        </w:rPr>
        <w:t xml:space="preserve"> equivalent in 2020. The main contributors to this decrease were divestments, (for example, in Canada and the USA), and reduced utilisation at a number of assets caused by lower demand driven by COVID-19. The level of flaring in our Upstream and Integrated Gas businesses combined decreased by around 35% compared with 2019. In 2019, our Prelude floating LNG facility in Australia had experienced an unanticipated spike in flaring during its start-up. In February 2020, we had to shut down Prelude which resulted in a decrease of its GHG emissions by around 80% compared with 2019.</w:t>
      </w:r>
    </w:p>
    <w:p>
      <w:pPr>
        <w:spacing w:after="0" w:line="149" w:lineRule="exact"/>
        <w:rPr>
          <w:sz w:val="20"/>
          <w:szCs w:val="20"/>
          <w:color w:val="auto"/>
        </w:rPr>
      </w:pPr>
    </w:p>
    <w:p>
      <w:pPr>
        <w:jc w:val="both"/>
        <w:ind w:right="200"/>
        <w:spacing w:after="0" w:line="320" w:lineRule="auto"/>
        <w:rPr>
          <w:sz w:val="20"/>
          <w:szCs w:val="20"/>
          <w:color w:val="auto"/>
        </w:rPr>
      </w:pPr>
      <w:r>
        <w:rPr>
          <w:rFonts w:ascii="Arial" w:cs="Arial" w:eastAsia="Arial" w:hAnsi="Arial"/>
          <w:sz w:val="8"/>
          <w:szCs w:val="8"/>
          <w:color w:val="auto"/>
        </w:rPr>
        <w:t>In 2015, we signed up to the World Bank’s Zero Routine Flaring by 2030 initiative. This seeks to ensure that all stakeholders, including governments and companies, work together to address routine flaring. Flaring, or burning off, of gas in our Upstream and Integrated Gas businesses contributed around 6% of our overall direct GHG emissions in 2020. Around 35% of this flaring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occurred at facilities where there was no infrastructure to capture the gas produced with oil, known as associated gas.</w:t>
      </w:r>
    </w:p>
    <w:p>
      <w:pPr>
        <w:spacing w:after="0" w:line="155" w:lineRule="exact"/>
        <w:rPr>
          <w:sz w:val="20"/>
          <w:szCs w:val="20"/>
          <w:color w:val="auto"/>
        </w:rPr>
      </w:pPr>
    </w:p>
    <w:p>
      <w:pPr>
        <w:ind w:right="120"/>
        <w:spacing w:after="0" w:line="230" w:lineRule="auto"/>
        <w:rPr>
          <w:sz w:val="20"/>
          <w:szCs w:val="20"/>
          <w:color w:val="auto"/>
        </w:rPr>
      </w:pPr>
      <w:r>
        <w:rPr>
          <w:rFonts w:ascii="Arial" w:cs="Arial" w:eastAsia="Arial" w:hAnsi="Arial"/>
          <w:sz w:val="10"/>
          <w:szCs w:val="10"/>
          <w:color w:val="auto"/>
        </w:rPr>
        <w:t>Around 45% of flaring in our Upstream and Integrated Gas facilities in 2020 occurred in assets operated by the Shell Petroleum Development Company of Nigeria Limited (SPDC). Flaring from SPDC-operated facilities decreased by around 15% in 2020 compared with 2019. SPDC, in close collaboration with its joint-venture partners and the Federal Government of Nigeria, continues to make progress towards the objective of ending the continuous flaring of associated gas. Two new gas-gathering projects (Adibawa and Otumara) came on stream at the end of 2017, followed by two more (the Forcados Yokri Integrated Project and Southern Swamp Associated Gas Gathering Solutions) in 2019.</w:t>
      </w:r>
    </w:p>
    <w:p>
      <w:pPr>
        <w:spacing w:after="0" w:line="149" w:lineRule="exact"/>
        <w:rPr>
          <w:sz w:val="20"/>
          <w:szCs w:val="20"/>
          <w:color w:val="auto"/>
        </w:rPr>
      </w:pPr>
    </w:p>
    <w:p>
      <w:pPr>
        <w:ind w:right="220"/>
        <w:spacing w:after="0" w:line="229" w:lineRule="auto"/>
        <w:rPr>
          <w:sz w:val="20"/>
          <w:szCs w:val="20"/>
          <w:color w:val="auto"/>
        </w:rPr>
      </w:pPr>
      <w:r>
        <w:rPr>
          <w:rFonts w:ascii="Arial" w:cs="Arial" w:eastAsia="Arial" w:hAnsi="Arial"/>
          <w:sz w:val="10"/>
          <w:szCs w:val="10"/>
          <w:color w:val="auto"/>
        </w:rPr>
        <w:t>Our indirect GHG emissions associated with imported energy (Scope 2) were 9 million tonnes in 2020 (using market-based method), down from 10 million in 2019, in part driven by divestments (for example in Canada) and lower demand for imported electricity due to reduced utilisation.</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Our GHG emissions</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340" w:type="dxa"/>
            <w:vAlign w:val="bottom"/>
            <w:tcBorders>
              <w:top w:val="single" w:sz="8" w:color="auto"/>
              <w:left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right w:val="single" w:sz="8" w:color="auto"/>
            </w:tcBorders>
          </w:tcPr>
          <w:p>
            <w:pPr>
              <w:spacing w:after="0"/>
              <w:rPr>
                <w:sz w:val="10"/>
                <w:szCs w:val="10"/>
                <w:color w:val="auto"/>
              </w:rPr>
            </w:pPr>
          </w:p>
        </w:tc>
        <w:tc>
          <w:tcPr>
            <w:tcW w:w="1100" w:type="dxa"/>
            <w:vAlign w:val="bottom"/>
            <w:tcBorders>
              <w:top w:val="single" w:sz="8" w:color="auto"/>
              <w:bottom w:val="single" w:sz="8" w:color="auto"/>
              <w:right w:val="single" w:sz="8" w:color="auto"/>
            </w:tcBorders>
          </w:tcPr>
          <w:p>
            <w:pPr>
              <w:spacing w:after="0"/>
              <w:rPr>
                <w:sz w:val="10"/>
                <w:szCs w:val="10"/>
                <w:color w:val="auto"/>
              </w:rPr>
            </w:pPr>
          </w:p>
        </w:tc>
        <w:tc>
          <w:tcPr>
            <w:tcW w:w="10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11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11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2020</w:t>
            </w:r>
          </w:p>
        </w:tc>
      </w:tr>
      <w:tr>
        <w:trPr>
          <w:trHeight w:val="116"/>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76"/>
              </w:rPr>
              <w:t>Scope 1</w:t>
            </w:r>
          </w:p>
        </w:tc>
        <w:tc>
          <w:tcPr>
            <w:tcW w:w="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[A]</w:t>
            </w:r>
          </w:p>
        </w:tc>
        <w:tc>
          <w:tcPr>
            <w:tcW w:w="1100" w:type="dxa"/>
            <w:vAlign w:val="bottom"/>
            <w:tcBorders>
              <w:bottom w:val="single" w:sz="8" w:color="auto"/>
              <w:right w:val="single" w:sz="8" w:color="auto"/>
            </w:tcBorders>
          </w:tcPr>
          <w:p>
            <w:pPr>
              <w:ind w:left="20"/>
              <w:spacing w:after="0" w:line="115" w:lineRule="exact"/>
              <w:rPr>
                <w:sz w:val="20"/>
                <w:szCs w:val="20"/>
                <w:color w:val="auto"/>
              </w:rPr>
            </w:pPr>
            <w:r>
              <w:rPr>
                <w:rFonts w:ascii="Arial" w:cs="Arial" w:eastAsia="Arial" w:hAnsi="Arial"/>
                <w:sz w:val="10"/>
                <w:szCs w:val="10"/>
                <w:color w:val="auto"/>
              </w:rPr>
              <w:t>million tonnes CO</w:t>
            </w:r>
            <w:r>
              <w:rPr>
                <w:rFonts w:ascii="MS PGothic" w:cs="MS PGothic" w:eastAsia="MS PGothic" w:hAnsi="MS PGothic"/>
                <w:sz w:val="6"/>
                <w:szCs w:val="6"/>
                <w:color w:val="auto"/>
              </w:rPr>
              <w:t>₂</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71</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70</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63</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76"/>
              </w:rPr>
              <w:t>Scope 2</w:t>
            </w:r>
          </w:p>
        </w:tc>
        <w:tc>
          <w:tcPr>
            <w:tcW w:w="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[B]</w:t>
            </w:r>
          </w:p>
        </w:tc>
        <w:tc>
          <w:tcPr>
            <w:tcW w:w="1100" w:type="dxa"/>
            <w:vAlign w:val="bottom"/>
            <w:tcBorders>
              <w:bottom w:val="single" w:sz="8" w:color="auto"/>
              <w:right w:val="single" w:sz="8" w:color="auto"/>
            </w:tcBorders>
          </w:tcPr>
          <w:p>
            <w:pPr>
              <w:ind w:left="20"/>
              <w:spacing w:after="0" w:line="115" w:lineRule="exact"/>
              <w:rPr>
                <w:sz w:val="20"/>
                <w:szCs w:val="20"/>
                <w:color w:val="auto"/>
              </w:rPr>
            </w:pPr>
            <w:r>
              <w:rPr>
                <w:rFonts w:ascii="Arial" w:cs="Arial" w:eastAsia="Arial" w:hAnsi="Arial"/>
                <w:sz w:val="10"/>
                <w:szCs w:val="10"/>
                <w:color w:val="auto"/>
              </w:rPr>
              <w:t>million tonnes CO</w:t>
            </w:r>
            <w:r>
              <w:rPr>
                <w:rFonts w:ascii="MS PGothic" w:cs="MS PGothic" w:eastAsia="MS PGothic" w:hAnsi="MS PGothic"/>
                <w:sz w:val="6"/>
                <w:szCs w:val="6"/>
                <w:color w:val="auto"/>
              </w:rPr>
              <w:t>₂</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11</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10</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9</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76"/>
              </w:rPr>
              <w:t>Scope 3</w:t>
            </w:r>
          </w:p>
        </w:tc>
        <w:tc>
          <w:tcPr>
            <w:tcW w:w="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[C]</w:t>
            </w:r>
          </w:p>
        </w:tc>
        <w:tc>
          <w:tcPr>
            <w:tcW w:w="1100" w:type="dxa"/>
            <w:vAlign w:val="bottom"/>
            <w:tcBorders>
              <w:bottom w:val="single" w:sz="8" w:color="auto"/>
              <w:right w:val="single" w:sz="8" w:color="auto"/>
            </w:tcBorders>
          </w:tcPr>
          <w:p>
            <w:pPr>
              <w:ind w:left="20"/>
              <w:spacing w:after="0" w:line="115" w:lineRule="exact"/>
              <w:rPr>
                <w:sz w:val="20"/>
                <w:szCs w:val="20"/>
                <w:color w:val="auto"/>
              </w:rPr>
            </w:pPr>
            <w:r>
              <w:rPr>
                <w:rFonts w:ascii="Arial" w:cs="Arial" w:eastAsia="Arial" w:hAnsi="Arial"/>
                <w:sz w:val="10"/>
                <w:szCs w:val="10"/>
                <w:color w:val="auto"/>
              </w:rPr>
              <w:t>million tonnes CO</w:t>
            </w:r>
            <w:r>
              <w:rPr>
                <w:rFonts w:ascii="MS PGothic" w:cs="MS PGothic" w:eastAsia="MS PGothic" w:hAnsi="MS PGothic"/>
                <w:sz w:val="6"/>
                <w:szCs w:val="6"/>
                <w:color w:val="auto"/>
              </w:rPr>
              <w:t>₂</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1637</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1551</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1305</w:t>
            </w:r>
          </w:p>
        </w:tc>
      </w:tr>
    </w:tbl>
    <w:p>
      <w:pPr>
        <w:spacing w:after="0" w:line="222" w:lineRule="exact"/>
        <w:rPr>
          <w:sz w:val="20"/>
          <w:szCs w:val="20"/>
          <w:color w:val="auto"/>
        </w:rPr>
      </w:pPr>
    </w:p>
    <w:p>
      <w:pPr>
        <w:ind w:left="160" w:hanging="151"/>
        <w:spacing w:after="0"/>
        <w:tabs>
          <w:tab w:leader="none" w:pos="160" w:val="left"/>
        </w:tabs>
        <w:numPr>
          <w:ilvl w:val="0"/>
          <w:numId w:val="85"/>
        </w:numPr>
        <w:rPr>
          <w:rFonts w:ascii="Arial" w:cs="Arial" w:eastAsia="Arial" w:hAnsi="Arial"/>
          <w:sz w:val="10"/>
          <w:szCs w:val="10"/>
          <w:color w:val="auto"/>
        </w:rPr>
      </w:pPr>
      <w:r>
        <w:rPr>
          <w:rFonts w:ascii="Arial" w:cs="Arial" w:eastAsia="Arial" w:hAnsi="Arial"/>
          <w:sz w:val="10"/>
          <w:szCs w:val="10"/>
          <w:color w:val="auto"/>
        </w:rPr>
        <w:t>total direct (Scope 1) GHG emissions from assets and activities under operational control boundary</w:t>
      </w:r>
    </w:p>
    <w:p>
      <w:pPr>
        <w:spacing w:after="0" w:line="1" w:lineRule="exact"/>
        <w:rPr>
          <w:rFonts w:ascii="Arial" w:cs="Arial" w:eastAsia="Arial" w:hAnsi="Arial"/>
          <w:sz w:val="10"/>
          <w:szCs w:val="10"/>
          <w:color w:val="auto"/>
        </w:rPr>
      </w:pPr>
    </w:p>
    <w:p>
      <w:pPr>
        <w:ind w:left="160" w:hanging="151"/>
        <w:spacing w:after="0"/>
        <w:tabs>
          <w:tab w:leader="none" w:pos="160" w:val="left"/>
        </w:tabs>
        <w:numPr>
          <w:ilvl w:val="0"/>
          <w:numId w:val="85"/>
        </w:numPr>
        <w:rPr>
          <w:rFonts w:ascii="Arial" w:cs="Arial" w:eastAsia="Arial" w:hAnsi="Arial"/>
          <w:sz w:val="8"/>
          <w:szCs w:val="8"/>
          <w:color w:val="auto"/>
        </w:rPr>
      </w:pPr>
      <w:r>
        <w:rPr>
          <w:rFonts w:ascii="Arial" w:cs="Arial" w:eastAsia="Arial" w:hAnsi="Arial"/>
          <w:sz w:val="8"/>
          <w:szCs w:val="8"/>
          <w:color w:val="auto"/>
        </w:rPr>
        <w:t>total indirect GHG emissions from imported energy (Scope 2) from assets and activities under operational control boundary</w:t>
      </w:r>
    </w:p>
    <w:p>
      <w:pPr>
        <w:spacing w:after="0" w:line="16" w:lineRule="exact"/>
        <w:rPr>
          <w:rFonts w:ascii="Arial" w:cs="Arial" w:eastAsia="Arial" w:hAnsi="Arial"/>
          <w:sz w:val="8"/>
          <w:szCs w:val="8"/>
          <w:color w:val="auto"/>
        </w:rPr>
      </w:pPr>
    </w:p>
    <w:p>
      <w:pPr>
        <w:ind w:right="200" w:firstLine="9"/>
        <w:spacing w:after="0" w:line="231" w:lineRule="auto"/>
        <w:tabs>
          <w:tab w:leader="none" w:pos="152" w:val="left"/>
        </w:tabs>
        <w:numPr>
          <w:ilvl w:val="0"/>
          <w:numId w:val="85"/>
        </w:numPr>
        <w:rPr>
          <w:rFonts w:ascii="Arial" w:cs="Arial" w:eastAsia="Arial" w:hAnsi="Arial"/>
          <w:sz w:val="10"/>
          <w:szCs w:val="10"/>
          <w:color w:val="auto"/>
        </w:rPr>
      </w:pPr>
      <w:r>
        <w:rPr>
          <w:rFonts w:ascii="Arial" w:cs="Arial" w:eastAsia="Arial" w:hAnsi="Arial"/>
          <w:sz w:val="10"/>
          <w:szCs w:val="10"/>
          <w:color w:val="auto"/>
        </w:rPr>
        <w:t>indirect GHG emissions (Scope 3) based on the energy product sales included in the NCF boundary. See our website shell.com for more information on our NCF methodology</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Greenhouse gas intensity</w:t>
      </w:r>
    </w:p>
    <w:p>
      <w:pPr>
        <w:spacing w:after="0" w:line="154" w:lineRule="exact"/>
        <w:rPr>
          <w:sz w:val="20"/>
          <w:szCs w:val="20"/>
          <w:color w:val="auto"/>
        </w:rPr>
      </w:pPr>
    </w:p>
    <w:p>
      <w:pPr>
        <w:ind w:right="300"/>
        <w:spacing w:after="0" w:line="233" w:lineRule="auto"/>
        <w:rPr>
          <w:sz w:val="20"/>
          <w:szCs w:val="20"/>
          <w:color w:val="auto"/>
        </w:rPr>
      </w:pPr>
      <w:r>
        <w:rPr>
          <w:rFonts w:ascii="Arial" w:cs="Arial" w:eastAsia="Arial" w:hAnsi="Arial"/>
          <w:sz w:val="10"/>
          <w:szCs w:val="10"/>
          <w:color w:val="auto"/>
        </w:rPr>
        <w:t>In 2020, the three GHG intensity metrics included in the Performance Indicators on page 29 covered over 80% of our total Scope 1 and 2 GHG emissions from assets and activities under our operational control.</w:t>
      </w:r>
    </w:p>
    <w:p>
      <w:pPr>
        <w:spacing w:after="0" w:line="1" w:lineRule="exact"/>
        <w:rPr>
          <w:sz w:val="20"/>
          <w:szCs w:val="20"/>
          <w:color w:val="auto"/>
        </w:rPr>
      </w:pPr>
    </w:p>
    <w:p>
      <w:pPr>
        <w:ind w:right="220"/>
        <w:spacing w:after="0" w:line="108" w:lineRule="exact"/>
        <w:rPr>
          <w:sz w:val="20"/>
          <w:szCs w:val="20"/>
          <w:color w:val="auto"/>
        </w:rPr>
      </w:pPr>
      <w:r>
        <w:rPr>
          <w:rFonts w:ascii="Arial" w:cs="Arial" w:eastAsia="Arial" w:hAnsi="Arial"/>
          <w:sz w:val="8"/>
          <w:szCs w:val="8"/>
          <w:color w:val="auto"/>
        </w:rPr>
        <w:t>The Upstream and Integrated Gas GHG intensity - measured in tonnes of CO</w:t>
      </w:r>
      <w:r>
        <w:rPr>
          <w:rFonts w:ascii="MS PGothic" w:cs="MS PGothic" w:eastAsia="MS PGothic" w:hAnsi="MS PGothic"/>
          <w:sz w:val="5"/>
          <w:szCs w:val="5"/>
          <w:color w:val="auto"/>
        </w:rPr>
        <w:t>₂</w:t>
      </w:r>
      <w:r>
        <w:rPr>
          <w:rFonts w:ascii="Arial" w:cs="Arial" w:eastAsia="Arial" w:hAnsi="Arial"/>
          <w:sz w:val="8"/>
          <w:szCs w:val="8"/>
          <w:color w:val="auto"/>
        </w:rPr>
        <w:t xml:space="preserve"> equivalent per tonne of hydrocarbon production available for sale - decreased from 0.17 in 2019 to 0.16 in 2020. This was partly because of our Prelude FLNG asset being shut down in February 2020. The Refining GHG intensity - measured in tonnes of CO</w:t>
      </w:r>
      <w:r>
        <w:rPr>
          <w:rFonts w:ascii="MS PGothic" w:cs="MS PGothic" w:eastAsia="MS PGothic" w:hAnsi="MS PGothic"/>
          <w:sz w:val="5"/>
          <w:szCs w:val="5"/>
          <w:color w:val="auto"/>
        </w:rPr>
        <w:t>₂</w:t>
      </w:r>
      <w:r>
        <w:rPr>
          <w:rFonts w:ascii="Arial" w:cs="Arial" w:eastAsia="Arial" w:hAnsi="Arial"/>
          <w:sz w:val="8"/>
          <w:szCs w:val="8"/>
          <w:color w:val="auto"/>
        </w:rPr>
        <w:t xml:space="preserve"> equivalent per Solomon’s Utilised Equivalent Distillation Capacity (UEDCᵀᴹ) - decreased from 1.06 in 2019 to 1.05 in 2020. This was mainly driven by divestment of our Martinez refinery in the USA.</w:t>
      </w:r>
    </w:p>
    <w:p>
      <w:pPr>
        <w:spacing w:after="0" w:line="1" w:lineRule="exact"/>
        <w:rPr>
          <w:sz w:val="20"/>
          <w:szCs w:val="20"/>
          <w:color w:val="auto"/>
        </w:rPr>
      </w:pPr>
    </w:p>
    <w:p>
      <w:pPr>
        <w:ind w:right="260"/>
        <w:spacing w:after="0" w:line="111" w:lineRule="exact"/>
        <w:rPr>
          <w:sz w:val="20"/>
          <w:szCs w:val="20"/>
          <w:color w:val="auto"/>
        </w:rPr>
      </w:pPr>
      <w:r>
        <w:rPr>
          <w:rFonts w:ascii="Arial" w:cs="Arial" w:eastAsia="Arial" w:hAnsi="Arial"/>
          <w:sz w:val="8"/>
          <w:szCs w:val="8"/>
          <w:color w:val="auto"/>
        </w:rPr>
        <w:t>The Chemicals GHG intensity - measured in tonnes of CO</w:t>
      </w:r>
      <w:r>
        <w:rPr>
          <w:rFonts w:ascii="MS PGothic" w:cs="MS PGothic" w:eastAsia="MS PGothic" w:hAnsi="MS PGothic"/>
          <w:sz w:val="5"/>
          <w:szCs w:val="5"/>
          <w:color w:val="auto"/>
        </w:rPr>
        <w:t>₂</w:t>
      </w:r>
      <w:r>
        <w:rPr>
          <w:rFonts w:ascii="Arial" w:cs="Arial" w:eastAsia="Arial" w:hAnsi="Arial"/>
          <w:sz w:val="8"/>
          <w:szCs w:val="8"/>
          <w:color w:val="auto"/>
        </w:rPr>
        <w:t xml:space="preserve"> equivalent per tonne of high value chemicals – decreased from 1.04 in 2019 to 0.98 in 2020. This was mainly because of increased utilisation following turnarounds on three of our sites in 2019.</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GHG emissions and energy consumption data and information in accordance with UK regulations</w:t>
      </w:r>
    </w:p>
    <w:p>
      <w:pPr>
        <w:spacing w:after="0" w:line="155" w:lineRule="exact"/>
        <w:rPr>
          <w:sz w:val="20"/>
          <w:szCs w:val="20"/>
          <w:color w:val="auto"/>
        </w:rPr>
      </w:pPr>
    </w:p>
    <w:p>
      <w:pPr>
        <w:ind w:right="180"/>
        <w:spacing w:after="0" w:line="271" w:lineRule="auto"/>
        <w:rPr>
          <w:sz w:val="20"/>
          <w:szCs w:val="20"/>
          <w:color w:val="auto"/>
        </w:rPr>
      </w:pPr>
      <w:r>
        <w:rPr>
          <w:rFonts w:ascii="Arial" w:cs="Arial" w:eastAsia="Arial" w:hAnsi="Arial"/>
          <w:sz w:val="8"/>
          <w:szCs w:val="8"/>
          <w:color w:val="auto"/>
        </w:rPr>
        <w:t>GHG emissions comprise CO</w:t>
      </w:r>
      <w:r>
        <w:rPr>
          <w:rFonts w:ascii="Arial" w:cs="Arial" w:eastAsia="Arial" w:hAnsi="Arial"/>
          <w:sz w:val="5"/>
          <w:szCs w:val="5"/>
          <w:color w:val="auto"/>
        </w:rPr>
        <w:t>2</w:t>
      </w:r>
      <w:r>
        <w:rPr>
          <w:rFonts w:ascii="Arial" w:cs="Arial" w:eastAsia="Arial" w:hAnsi="Arial"/>
          <w:sz w:val="8"/>
          <w:szCs w:val="8"/>
          <w:color w:val="auto"/>
        </w:rPr>
        <w:t>, methane, nitrous oxide, hydrofluorocarbons, perfluorocarbons, sulphur hexafluoride and nitrogen trifluoride. The data are calculated using locally regulated methods where they exist. Where there is no locally regulated method, the data are calculated using the 2009 American Petroleum Institute (API) Compendium of Greenhouse Gas Emissions Methodologies, which is the recognised industry standard under the GHG Protocol Corporate Accounting and Reporting Standard. There are inherent limitations to the accuracy of such data. Oil and gas industry guidelines (API/International Association of Oil &amp; Gas Producers (IOGP)/IPIECA, the global oil and gas industry association for advancing environmental and social performance) indicate that a number of sources of uncertainty can contribute to the overall uncertainty of a corporate emissions inventory.</w:t>
      </w:r>
    </w:p>
    <w:p>
      <w:pPr>
        <w:spacing w:after="0" w:line="1699"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84</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87" w:name="page88"/>
    <w:bookmarkEnd w:id="87"/>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426085</wp:posOffset>
            </wp:positionV>
            <wp:extent cx="3451860" cy="228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51860" cy="22860"/>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Greenhouse gas emissions</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11"/>
        </w:trPr>
        <w:tc>
          <w:tcPr>
            <w:tcW w:w="27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2019</w:t>
            </w:r>
          </w:p>
        </w:tc>
      </w:tr>
      <w:tr>
        <w:trPr>
          <w:trHeight w:val="116"/>
        </w:trPr>
        <w:tc>
          <w:tcPr>
            <w:tcW w:w="2760" w:type="dxa"/>
            <w:vAlign w:val="bottom"/>
          </w:tcPr>
          <w:p>
            <w:pPr>
              <w:spacing w:after="0"/>
              <w:rPr>
                <w:sz w:val="20"/>
                <w:szCs w:val="20"/>
                <w:color w:val="auto"/>
              </w:rPr>
            </w:pPr>
            <w:r>
              <w:rPr>
                <w:rFonts w:ascii="Arial" w:cs="Arial" w:eastAsia="Arial" w:hAnsi="Arial"/>
                <w:sz w:val="10"/>
                <w:szCs w:val="10"/>
                <w:color w:val="auto"/>
              </w:rPr>
              <w:t>Emissions (million tonnes of CO</w:t>
            </w:r>
            <w:r>
              <w:rPr>
                <w:rFonts w:ascii="Arial" w:cs="Arial" w:eastAsia="Arial" w:hAnsi="Arial"/>
                <w:sz w:val="6"/>
                <w:szCs w:val="6"/>
                <w:color w:val="auto"/>
              </w:rPr>
              <w:t>2</w:t>
            </w:r>
            <w:r>
              <w:rPr>
                <w:rFonts w:ascii="Arial" w:cs="Arial" w:eastAsia="Arial" w:hAnsi="Arial"/>
                <w:sz w:val="10"/>
                <w:szCs w:val="10"/>
                <w:color w:val="auto"/>
              </w:rPr>
              <w:t xml:space="preserve"> equivalent)</w:t>
            </w:r>
          </w:p>
        </w:tc>
        <w:tc>
          <w:tcPr>
            <w:tcW w:w="1340" w:type="dxa"/>
            <w:vAlign w:val="bottom"/>
            <w:shd w:val="clear" w:color="auto" w:fill="D9D9D9"/>
          </w:tcPr>
          <w:p>
            <w:pPr>
              <w:spacing w:after="0"/>
              <w:rPr>
                <w:sz w:val="10"/>
                <w:szCs w:val="10"/>
                <w:color w:val="auto"/>
              </w:rPr>
            </w:pPr>
          </w:p>
        </w:tc>
        <w:tc>
          <w:tcPr>
            <w:tcW w:w="1320" w:type="dxa"/>
            <w:vAlign w:val="bottom"/>
          </w:tcPr>
          <w:p>
            <w:pPr>
              <w:spacing w:after="0"/>
              <w:rPr>
                <w:sz w:val="10"/>
                <w:szCs w:val="10"/>
                <w:color w:val="auto"/>
              </w:rPr>
            </w:pPr>
          </w:p>
        </w:tc>
      </w:tr>
      <w:tr>
        <w:trPr>
          <w:trHeight w:val="131"/>
        </w:trPr>
        <w:tc>
          <w:tcPr>
            <w:tcW w:w="2760" w:type="dxa"/>
            <w:vAlign w:val="bottom"/>
          </w:tcPr>
          <w:p>
            <w:pPr>
              <w:spacing w:after="0"/>
              <w:rPr>
                <w:sz w:val="20"/>
                <w:szCs w:val="20"/>
                <w:color w:val="auto"/>
              </w:rPr>
            </w:pPr>
            <w:r>
              <w:rPr>
                <w:rFonts w:ascii="Arial" w:cs="Arial" w:eastAsia="Arial" w:hAnsi="Arial"/>
                <w:sz w:val="10"/>
                <w:szCs w:val="10"/>
                <w:color w:val="auto"/>
              </w:rPr>
              <w:t>Total global direct (Scope 1) [A]</w:t>
            </w: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63</w:t>
            </w:r>
          </w:p>
        </w:tc>
        <w:tc>
          <w:tcPr>
            <w:tcW w:w="1320" w:type="dxa"/>
            <w:vAlign w:val="bottom"/>
          </w:tcPr>
          <w:p>
            <w:pPr>
              <w:jc w:val="right"/>
              <w:spacing w:after="0"/>
              <w:rPr>
                <w:sz w:val="20"/>
                <w:szCs w:val="20"/>
                <w:color w:val="auto"/>
              </w:rPr>
            </w:pPr>
            <w:r>
              <w:rPr>
                <w:rFonts w:ascii="Arial" w:cs="Arial" w:eastAsia="Arial" w:hAnsi="Arial"/>
                <w:sz w:val="10"/>
                <w:szCs w:val="10"/>
                <w:color w:val="auto"/>
              </w:rPr>
              <w:t>70</w:t>
            </w:r>
          </w:p>
        </w:tc>
      </w:tr>
      <w:tr>
        <w:trPr>
          <w:trHeight w:val="121"/>
        </w:trPr>
        <w:tc>
          <w:tcPr>
            <w:tcW w:w="2760" w:type="dxa"/>
            <w:vAlign w:val="bottom"/>
          </w:tcPr>
          <w:p>
            <w:pPr>
              <w:ind w:left="100"/>
              <w:spacing w:after="0"/>
              <w:rPr>
                <w:sz w:val="20"/>
                <w:szCs w:val="20"/>
                <w:color w:val="auto"/>
              </w:rPr>
            </w:pPr>
            <w:r>
              <w:rPr>
                <w:rFonts w:ascii="Arial" w:cs="Arial" w:eastAsia="Arial" w:hAnsi="Arial"/>
                <w:sz w:val="10"/>
                <w:szCs w:val="10"/>
                <w:color w:val="auto"/>
              </w:rPr>
              <w:t>UK including offshore area [B]</w:t>
            </w:r>
          </w:p>
        </w:tc>
        <w:tc>
          <w:tcPr>
            <w:tcW w:w="13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2.0</w:t>
            </w:r>
          </w:p>
        </w:tc>
        <w:tc>
          <w:tcPr>
            <w:tcW w:w="1320" w:type="dxa"/>
            <w:vAlign w:val="bottom"/>
          </w:tcPr>
          <w:p>
            <w:pPr>
              <w:jc w:val="right"/>
              <w:spacing w:after="0"/>
              <w:rPr>
                <w:sz w:val="20"/>
                <w:szCs w:val="20"/>
                <w:color w:val="auto"/>
              </w:rPr>
            </w:pPr>
            <w:r>
              <w:rPr>
                <w:rFonts w:ascii="Arial" w:cs="Arial" w:eastAsia="Arial" w:hAnsi="Arial"/>
                <w:sz w:val="10"/>
                <w:szCs w:val="10"/>
                <w:color w:val="auto"/>
              </w:rPr>
              <w:t>2.1</w:t>
            </w:r>
          </w:p>
        </w:tc>
      </w:tr>
      <w:tr>
        <w:trPr>
          <w:trHeight w:val="123"/>
        </w:trPr>
        <w:tc>
          <w:tcPr>
            <w:tcW w:w="2760" w:type="dxa"/>
            <w:vAlign w:val="bottom"/>
          </w:tcPr>
          <w:p>
            <w:pPr>
              <w:spacing w:after="0"/>
              <w:rPr>
                <w:sz w:val="20"/>
                <w:szCs w:val="20"/>
                <w:color w:val="auto"/>
              </w:rPr>
            </w:pPr>
            <w:r>
              <w:rPr>
                <w:rFonts w:ascii="Arial" w:cs="Arial" w:eastAsia="Arial" w:hAnsi="Arial"/>
                <w:sz w:val="10"/>
                <w:szCs w:val="10"/>
                <w:color w:val="auto"/>
              </w:rPr>
              <w:t>Total global energy indirect (Scope 2) [C]</w:t>
            </w:r>
          </w:p>
        </w:tc>
        <w:tc>
          <w:tcPr>
            <w:tcW w:w="13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w:t>
            </w:r>
          </w:p>
        </w:tc>
        <w:tc>
          <w:tcPr>
            <w:tcW w:w="1320" w:type="dxa"/>
            <w:vAlign w:val="bottom"/>
          </w:tcPr>
          <w:p>
            <w:pPr>
              <w:jc w:val="right"/>
              <w:spacing w:after="0"/>
              <w:rPr>
                <w:sz w:val="20"/>
                <w:szCs w:val="20"/>
                <w:color w:val="auto"/>
              </w:rPr>
            </w:pPr>
            <w:r>
              <w:rPr>
                <w:rFonts w:ascii="Arial" w:cs="Arial" w:eastAsia="Arial" w:hAnsi="Arial"/>
                <w:sz w:val="10"/>
                <w:szCs w:val="10"/>
                <w:color w:val="auto"/>
              </w:rPr>
              <w:t>10</w:t>
            </w:r>
          </w:p>
        </w:tc>
      </w:tr>
      <w:tr>
        <w:trPr>
          <w:trHeight w:val="161"/>
        </w:trPr>
        <w:tc>
          <w:tcPr>
            <w:tcW w:w="2760" w:type="dxa"/>
            <w:vAlign w:val="bottom"/>
          </w:tcPr>
          <w:p>
            <w:pPr>
              <w:ind w:left="120"/>
              <w:spacing w:after="0"/>
              <w:rPr>
                <w:sz w:val="20"/>
                <w:szCs w:val="20"/>
                <w:color w:val="auto"/>
              </w:rPr>
            </w:pPr>
            <w:r>
              <w:rPr>
                <w:rFonts w:ascii="Arial" w:cs="Arial" w:eastAsia="Arial" w:hAnsi="Arial"/>
                <w:sz w:val="10"/>
                <w:szCs w:val="10"/>
                <w:color w:val="auto"/>
              </w:rPr>
              <w:t>UK including offshore area [D]</w:t>
            </w:r>
          </w:p>
        </w:tc>
        <w:tc>
          <w:tcPr>
            <w:tcW w:w="13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0.0</w:t>
            </w:r>
          </w:p>
        </w:tc>
        <w:tc>
          <w:tcPr>
            <w:tcW w:w="1320" w:type="dxa"/>
            <w:vAlign w:val="bottom"/>
          </w:tcPr>
          <w:p>
            <w:pPr>
              <w:jc w:val="right"/>
              <w:spacing w:after="0"/>
              <w:rPr>
                <w:sz w:val="20"/>
                <w:szCs w:val="20"/>
                <w:color w:val="auto"/>
              </w:rPr>
            </w:pPr>
            <w:r>
              <w:rPr>
                <w:rFonts w:ascii="Arial" w:cs="Arial" w:eastAsia="Arial" w:hAnsi="Arial"/>
                <w:sz w:val="12"/>
                <w:szCs w:val="12"/>
                <w:color w:val="auto"/>
              </w:rPr>
              <w:t>0.0</w:t>
            </w:r>
          </w:p>
        </w:tc>
      </w:tr>
      <w:tr>
        <w:trPr>
          <w:trHeight w:val="121"/>
        </w:trPr>
        <w:tc>
          <w:tcPr>
            <w:tcW w:w="2760" w:type="dxa"/>
            <w:vAlign w:val="bottom"/>
          </w:tcPr>
          <w:p>
            <w:pPr>
              <w:spacing w:after="0"/>
              <w:rPr>
                <w:sz w:val="20"/>
                <w:szCs w:val="20"/>
                <w:color w:val="auto"/>
              </w:rPr>
            </w:pPr>
            <w:r>
              <w:rPr>
                <w:rFonts w:ascii="Arial" w:cs="Arial" w:eastAsia="Arial" w:hAnsi="Arial"/>
                <w:sz w:val="10"/>
                <w:szCs w:val="10"/>
                <w:color w:val="auto"/>
              </w:rPr>
              <w:t>Intensity ratio (tonne/tonne)</w:t>
            </w:r>
          </w:p>
        </w:tc>
        <w:tc>
          <w:tcPr>
            <w:tcW w:w="1340" w:type="dxa"/>
            <w:vAlign w:val="bottom"/>
            <w:shd w:val="clear" w:color="auto" w:fill="D9D9D9"/>
          </w:tcPr>
          <w:p>
            <w:pPr>
              <w:spacing w:after="0"/>
              <w:rPr>
                <w:sz w:val="10"/>
                <w:szCs w:val="10"/>
                <w:color w:val="auto"/>
              </w:rPr>
            </w:pPr>
          </w:p>
        </w:tc>
        <w:tc>
          <w:tcPr>
            <w:tcW w:w="1320" w:type="dxa"/>
            <w:vAlign w:val="bottom"/>
          </w:tcPr>
          <w:p>
            <w:pPr>
              <w:spacing w:after="0"/>
              <w:rPr>
                <w:sz w:val="10"/>
                <w:szCs w:val="10"/>
                <w:color w:val="auto"/>
              </w:rPr>
            </w:pPr>
          </w:p>
        </w:tc>
      </w:tr>
      <w:tr>
        <w:trPr>
          <w:trHeight w:val="127"/>
        </w:trPr>
        <w:tc>
          <w:tcPr>
            <w:tcW w:w="2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All facilities [E]</w:t>
            </w: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0.25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0.24</w:t>
            </w:r>
          </w:p>
        </w:tc>
      </w:tr>
    </w:tbl>
    <w:p>
      <w:pPr>
        <w:spacing w:after="0" w:line="155" w:lineRule="exact"/>
        <w:rPr>
          <w:sz w:val="20"/>
          <w:szCs w:val="20"/>
          <w:color w:val="auto"/>
        </w:rPr>
      </w:pPr>
    </w:p>
    <w:p>
      <w:pPr>
        <w:ind w:left="128" w:hanging="128"/>
        <w:spacing w:after="0"/>
        <w:tabs>
          <w:tab w:leader="none" w:pos="128" w:val="left"/>
        </w:tabs>
        <w:numPr>
          <w:ilvl w:val="0"/>
          <w:numId w:val="86"/>
        </w:numPr>
        <w:rPr>
          <w:rFonts w:ascii="Arial" w:cs="Arial" w:eastAsia="Arial" w:hAnsi="Arial"/>
          <w:sz w:val="7"/>
          <w:szCs w:val="7"/>
          <w:color w:val="auto"/>
        </w:rPr>
      </w:pPr>
      <w:r>
        <w:rPr>
          <w:rFonts w:ascii="Arial" w:cs="Arial" w:eastAsia="Arial" w:hAnsi="Arial"/>
          <w:sz w:val="7"/>
          <w:szCs w:val="7"/>
          <w:color w:val="auto"/>
        </w:rPr>
        <w:t xml:space="preserve">Emissions from the combustion of fuel and the operation of our facilities globally, calculated using global warming potentials from the IPCC’s </w:t>
      </w:r>
      <w:r>
        <w:rPr>
          <w:rFonts w:ascii="Arial" w:cs="Arial" w:eastAsia="Arial" w:hAnsi="Arial"/>
          <w:sz w:val="7"/>
          <w:szCs w:val="7"/>
          <w:i w:val="1"/>
          <w:iCs w:val="1"/>
          <w:color w:val="auto"/>
        </w:rPr>
        <w:t>Fourth Assessment Report</w:t>
      </w:r>
      <w:r>
        <w:rPr>
          <w:rFonts w:ascii="Arial" w:cs="Arial" w:eastAsia="Arial" w:hAnsi="Arial"/>
          <w:sz w:val="7"/>
          <w:szCs w:val="7"/>
          <w:color w:val="auto"/>
        </w:rPr>
        <w:t>.</w:t>
      </w:r>
    </w:p>
    <w:p>
      <w:pPr>
        <w:spacing w:after="0" w:line="6" w:lineRule="exact"/>
        <w:rPr>
          <w:rFonts w:ascii="Arial" w:cs="Arial" w:eastAsia="Arial" w:hAnsi="Arial"/>
          <w:sz w:val="7"/>
          <w:szCs w:val="7"/>
          <w:color w:val="auto"/>
        </w:rPr>
      </w:pPr>
    </w:p>
    <w:p>
      <w:pPr>
        <w:ind w:left="8" w:right="320" w:hanging="8"/>
        <w:spacing w:after="0" w:line="241" w:lineRule="auto"/>
        <w:tabs>
          <w:tab w:leader="none" w:pos="122" w:val="left"/>
        </w:tabs>
        <w:numPr>
          <w:ilvl w:val="0"/>
          <w:numId w:val="86"/>
        </w:numPr>
        <w:rPr>
          <w:rFonts w:ascii="Arial" w:cs="Arial" w:eastAsia="Arial" w:hAnsi="Arial"/>
          <w:sz w:val="7"/>
          <w:szCs w:val="7"/>
          <w:color w:val="auto"/>
        </w:rPr>
      </w:pPr>
      <w:r>
        <w:rPr>
          <w:rFonts w:ascii="Arial" w:cs="Arial" w:eastAsia="Arial" w:hAnsi="Arial"/>
          <w:sz w:val="7"/>
          <w:szCs w:val="7"/>
          <w:color w:val="auto"/>
        </w:rPr>
        <w:t xml:space="preserve">Emissions from the combustion of fuels and the operation of our facilities in the UK and its offshore area, calculated using global warming potentials from the IPCC´s </w:t>
      </w:r>
      <w:r>
        <w:rPr>
          <w:rFonts w:ascii="Arial" w:cs="Arial" w:eastAsia="Arial" w:hAnsi="Arial"/>
          <w:sz w:val="7"/>
          <w:szCs w:val="7"/>
          <w:i w:val="1"/>
          <w:iCs w:val="1"/>
          <w:color w:val="auto"/>
        </w:rPr>
        <w:t>Fourth</w:t>
      </w:r>
      <w:r>
        <w:rPr>
          <w:rFonts w:ascii="Arial" w:cs="Arial" w:eastAsia="Arial" w:hAnsi="Arial"/>
          <w:sz w:val="7"/>
          <w:szCs w:val="7"/>
          <w:color w:val="auto"/>
        </w:rPr>
        <w:t xml:space="preserve"> </w:t>
      </w:r>
      <w:r>
        <w:rPr>
          <w:rFonts w:ascii="Arial" w:cs="Arial" w:eastAsia="Arial" w:hAnsi="Arial"/>
          <w:sz w:val="7"/>
          <w:szCs w:val="7"/>
          <w:i w:val="1"/>
          <w:iCs w:val="1"/>
          <w:color w:val="auto"/>
        </w:rPr>
        <w:t>Assessment Report</w:t>
      </w:r>
      <w:r>
        <w:rPr>
          <w:rFonts w:ascii="Arial" w:cs="Arial" w:eastAsia="Arial" w:hAnsi="Arial"/>
          <w:sz w:val="7"/>
          <w:szCs w:val="7"/>
          <w:color w:val="auto"/>
        </w:rPr>
        <w:t>.</w:t>
      </w:r>
    </w:p>
    <w:p>
      <w:pPr>
        <w:ind w:left="8" w:right="40" w:hanging="8"/>
        <w:spacing w:after="0" w:line="81" w:lineRule="exact"/>
        <w:tabs>
          <w:tab w:leader="none" w:pos="122" w:val="left"/>
        </w:tabs>
        <w:numPr>
          <w:ilvl w:val="0"/>
          <w:numId w:val="86"/>
        </w:numPr>
        <w:rPr>
          <w:rFonts w:ascii="Arial" w:cs="Arial" w:eastAsia="Arial" w:hAnsi="Arial"/>
          <w:sz w:val="7"/>
          <w:szCs w:val="7"/>
          <w:color w:val="auto"/>
        </w:rPr>
      </w:pPr>
      <w:r>
        <w:rPr>
          <w:rFonts w:ascii="Arial" w:cs="Arial" w:eastAsia="Arial" w:hAnsi="Arial"/>
          <w:sz w:val="7"/>
          <w:szCs w:val="7"/>
          <w:color w:val="auto"/>
        </w:rPr>
        <w:t>Emissions from the purchase of electricity, heat, steam and cooling for our own use globally, calculated using a market-based method as defined by the GHG Protocol Corporate Accounting and Reporting Standard. Using location-based methods, indirect GHG emissions from generation of purchased and consumed energy (electricity, steam, heat and cooling) were 11 million tonnes CO</w:t>
      </w:r>
      <w:r>
        <w:rPr>
          <w:rFonts w:ascii="MS PGothic" w:cs="MS PGothic" w:eastAsia="MS PGothic" w:hAnsi="MS PGothic"/>
          <w:sz w:val="9"/>
          <w:szCs w:val="9"/>
          <w:color w:val="auto"/>
          <w:vertAlign w:val="subscript"/>
        </w:rPr>
        <w:t>₂</w:t>
      </w:r>
      <w:r>
        <w:rPr>
          <w:rFonts w:ascii="Arial" w:cs="Arial" w:eastAsia="Arial" w:hAnsi="Arial"/>
          <w:sz w:val="7"/>
          <w:szCs w:val="7"/>
          <w:color w:val="auto"/>
        </w:rPr>
        <w:t>e in 2019 and 11 million tonnes CO</w:t>
      </w:r>
      <w:r>
        <w:rPr>
          <w:rFonts w:ascii="MS PGothic" w:cs="MS PGothic" w:eastAsia="MS PGothic" w:hAnsi="MS PGothic"/>
          <w:sz w:val="9"/>
          <w:szCs w:val="9"/>
          <w:color w:val="auto"/>
          <w:vertAlign w:val="subscript"/>
        </w:rPr>
        <w:t>₂</w:t>
      </w:r>
      <w:r>
        <w:rPr>
          <w:rFonts w:ascii="Arial" w:cs="Arial" w:eastAsia="Arial" w:hAnsi="Arial"/>
          <w:sz w:val="7"/>
          <w:szCs w:val="7"/>
          <w:color w:val="auto"/>
        </w:rPr>
        <w:t>e in 2020.</w:t>
      </w:r>
    </w:p>
    <w:p>
      <w:pPr>
        <w:jc w:val="both"/>
        <w:ind w:left="8" w:right="40" w:hanging="8"/>
        <w:spacing w:after="0" w:line="81" w:lineRule="exact"/>
        <w:tabs>
          <w:tab w:leader="none" w:pos="126" w:val="left"/>
        </w:tabs>
        <w:numPr>
          <w:ilvl w:val="0"/>
          <w:numId w:val="86"/>
        </w:numPr>
        <w:rPr>
          <w:rFonts w:ascii="Arial" w:cs="Arial" w:eastAsia="Arial" w:hAnsi="Arial"/>
          <w:sz w:val="7"/>
          <w:szCs w:val="7"/>
          <w:color w:val="auto"/>
        </w:rPr>
      </w:pPr>
      <w:r>
        <w:rPr>
          <w:rFonts w:ascii="Arial" w:cs="Arial" w:eastAsia="Arial" w:hAnsi="Arial"/>
          <w:sz w:val="7"/>
          <w:szCs w:val="7"/>
          <w:color w:val="auto"/>
        </w:rPr>
        <w:t>Emissions from the purchase of electricity, heat, steam and cooling for use by our facilities in the UK including its offshore area, calculated using a market-based method as defined by the GHG Protocol Corporate Accounting and Reporting Standard. Using location-based methods, indirect GHG emissions from generation of purchased energy consumed by our facilities were 0.06 million tonnes CO</w:t>
      </w:r>
      <w:r>
        <w:rPr>
          <w:rFonts w:ascii="MS PGothic" w:cs="MS PGothic" w:eastAsia="MS PGothic" w:hAnsi="MS PGothic"/>
          <w:sz w:val="9"/>
          <w:szCs w:val="9"/>
          <w:color w:val="auto"/>
          <w:vertAlign w:val="subscript"/>
        </w:rPr>
        <w:t>₂</w:t>
      </w:r>
      <w:r>
        <w:rPr>
          <w:rFonts w:ascii="Arial" w:cs="Arial" w:eastAsia="Arial" w:hAnsi="Arial"/>
          <w:sz w:val="7"/>
          <w:szCs w:val="7"/>
          <w:color w:val="auto"/>
        </w:rPr>
        <w:t>e in 2019 and 0.06 million tonnes in 2020.</w:t>
      </w:r>
    </w:p>
    <w:p>
      <w:pPr>
        <w:ind w:left="8" w:right="140" w:hanging="8"/>
        <w:spacing w:after="0" w:line="334" w:lineRule="auto"/>
        <w:tabs>
          <w:tab w:leader="none" w:pos="118" w:val="left"/>
        </w:tabs>
        <w:numPr>
          <w:ilvl w:val="0"/>
          <w:numId w:val="86"/>
        </w:numPr>
        <w:rPr>
          <w:rFonts w:ascii="Arial" w:cs="Arial" w:eastAsia="Arial" w:hAnsi="Arial"/>
          <w:sz w:val="6"/>
          <w:szCs w:val="6"/>
          <w:color w:val="auto"/>
        </w:rPr>
      </w:pPr>
      <w:r>
        <w:rPr>
          <w:rFonts w:ascii="Arial" w:cs="Arial" w:eastAsia="Arial" w:hAnsi="Arial"/>
          <w:sz w:val="6"/>
          <w:szCs w:val="6"/>
          <w:color w:val="auto"/>
        </w:rPr>
        <w:t>In tonnes of total direct and energy indirect GHG emissions per tonne of crude oil and feedstocks processed and petrochemicals produced in downstream manufacturing, oil and gas available for sale, LNG and GTL production in Integrated Gas and Upstream. For an additional breakdown by segment, see Greenhouse gas intensity section above.</w:t>
      </w:r>
    </w:p>
    <w:p>
      <w:pPr>
        <w:spacing w:after="0" w:line="112" w:lineRule="exact"/>
        <w:rPr>
          <w:sz w:val="20"/>
          <w:szCs w:val="20"/>
          <w:color w:val="auto"/>
        </w:rPr>
      </w:pPr>
    </w:p>
    <w:p>
      <w:pPr>
        <w:ind w:left="8" w:right="100"/>
        <w:spacing w:after="0" w:line="244" w:lineRule="auto"/>
        <w:rPr>
          <w:sz w:val="20"/>
          <w:szCs w:val="20"/>
          <w:color w:val="auto"/>
        </w:rPr>
      </w:pPr>
      <w:r>
        <w:rPr>
          <w:rFonts w:ascii="Arial" w:cs="Arial" w:eastAsia="Arial" w:hAnsi="Arial"/>
          <w:sz w:val="8"/>
          <w:szCs w:val="8"/>
          <w:color w:val="auto"/>
        </w:rPr>
        <w:t>The energy consumption data provided below comprise own energy, generated and consumed by our facilities, and supplied energy (electricity, steam and heat) purchased by our facilities for our own use. Energy consumption data reflect primary (thermal) energy (e.g. the energy content of fuels used to generate electricity, steam, heat, mechanical energy etc.). This includes energy from renewable and non-renewable sources. Own energy generated was calculated by multiplying the volumes of fuels consumed for energy purposes by their respective lower heating values. Own energy generated that was exported to third-party assets or to the power grid is excluded. Thermal energy for purchased and consumed electricity was calculated using actual electricity purchased multiplied by country-specific electricity generation efficiency factors (from IEA statistics). Thermal energy for purchased and consumed steam and heat was calculated from actual steam/heat purchased multiplied by a supplier-specific conversion efficiency, or generic efficiency factor where supplier-specific data were not available.</w:t>
      </w:r>
    </w:p>
    <w:p>
      <w:pPr>
        <w:spacing w:after="0" w:line="236" w:lineRule="exact"/>
        <w:rPr>
          <w:sz w:val="20"/>
          <w:szCs w:val="20"/>
          <w:color w:val="auto"/>
        </w:rPr>
      </w:pPr>
    </w:p>
    <w:p>
      <w:pPr>
        <w:ind w:left="8"/>
        <w:spacing w:after="0"/>
        <w:rPr>
          <w:sz w:val="20"/>
          <w:szCs w:val="20"/>
          <w:color w:val="auto"/>
        </w:rPr>
      </w:pPr>
      <w:r>
        <w:rPr>
          <w:rFonts w:ascii="Arial" w:cs="Arial" w:eastAsia="Arial" w:hAnsi="Arial"/>
          <w:sz w:val="12"/>
          <w:szCs w:val="12"/>
          <w:color w:val="auto"/>
        </w:rPr>
        <w:t>Energy consumption (billion kilowatt-hours)</w:t>
      </w:r>
    </w:p>
    <w:p>
      <w:pPr>
        <w:spacing w:after="0" w:line="191"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27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2020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r>
      <w:tr>
        <w:trPr>
          <w:trHeight w:val="116"/>
        </w:trPr>
        <w:tc>
          <w:tcPr>
            <w:tcW w:w="2700" w:type="dxa"/>
            <w:vAlign w:val="bottom"/>
          </w:tcPr>
          <w:p>
            <w:pPr>
              <w:spacing w:after="0"/>
              <w:rPr>
                <w:sz w:val="20"/>
                <w:szCs w:val="20"/>
                <w:color w:val="auto"/>
              </w:rPr>
            </w:pPr>
            <w:r>
              <w:rPr>
                <w:rFonts w:ascii="Arial" w:cs="Arial" w:eastAsia="Arial" w:hAnsi="Arial"/>
                <w:sz w:val="10"/>
                <w:szCs w:val="10"/>
                <w:b w:val="1"/>
                <w:bCs w:val="1"/>
                <w:color w:val="auto"/>
              </w:rPr>
              <w:t>Own energy generated and consumed</w:t>
            </w:r>
          </w:p>
        </w:tc>
        <w:tc>
          <w:tcPr>
            <w:tcW w:w="19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1"/>
        </w:trPr>
        <w:tc>
          <w:tcPr>
            <w:tcW w:w="2700" w:type="dxa"/>
            <w:vAlign w:val="bottom"/>
          </w:tcPr>
          <w:p>
            <w:pPr>
              <w:spacing w:after="0"/>
              <w:rPr>
                <w:sz w:val="20"/>
                <w:szCs w:val="20"/>
                <w:color w:val="auto"/>
              </w:rPr>
            </w:pPr>
            <w:r>
              <w:rPr>
                <w:rFonts w:ascii="Arial" w:cs="Arial" w:eastAsia="Arial" w:hAnsi="Arial"/>
                <w:sz w:val="10"/>
                <w:szCs w:val="10"/>
                <w:color w:val="auto"/>
              </w:rPr>
              <w:t>Total energy generated and consumed</w:t>
            </w:r>
          </w:p>
        </w:tc>
        <w:tc>
          <w:tcPr>
            <w:tcW w:w="1940" w:type="dxa"/>
            <w:vAlign w:val="bottom"/>
          </w:tcPr>
          <w:p>
            <w:pPr>
              <w:jc w:val="right"/>
              <w:ind w:right="532"/>
              <w:spacing w:after="0"/>
              <w:rPr>
                <w:sz w:val="20"/>
                <w:szCs w:val="20"/>
                <w:color w:val="auto"/>
              </w:rPr>
            </w:pPr>
            <w:r>
              <w:rPr>
                <w:rFonts w:ascii="Arial" w:cs="Arial" w:eastAsia="Arial" w:hAnsi="Arial"/>
                <w:sz w:val="10"/>
                <w:szCs w:val="10"/>
                <w:color w:val="auto"/>
              </w:rPr>
              <w:t>202</w:t>
            </w:r>
          </w:p>
        </w:tc>
        <w:tc>
          <w:tcPr>
            <w:tcW w:w="800" w:type="dxa"/>
            <w:vAlign w:val="bottom"/>
          </w:tcPr>
          <w:p>
            <w:pPr>
              <w:jc w:val="right"/>
              <w:spacing w:after="0"/>
              <w:rPr>
                <w:sz w:val="20"/>
                <w:szCs w:val="20"/>
                <w:color w:val="auto"/>
              </w:rPr>
            </w:pPr>
            <w:r>
              <w:rPr>
                <w:rFonts w:ascii="Arial" w:cs="Arial" w:eastAsia="Arial" w:hAnsi="Arial"/>
                <w:sz w:val="10"/>
                <w:szCs w:val="10"/>
                <w:color w:val="auto"/>
              </w:rPr>
              <w:t>220</w:t>
            </w:r>
          </w:p>
        </w:tc>
      </w:tr>
      <w:tr>
        <w:trPr>
          <w:trHeight w:val="126"/>
        </w:trPr>
        <w:tc>
          <w:tcPr>
            <w:tcW w:w="2700" w:type="dxa"/>
            <w:vAlign w:val="bottom"/>
          </w:tcPr>
          <w:p>
            <w:pPr>
              <w:ind w:left="120"/>
              <w:spacing w:after="0"/>
              <w:rPr>
                <w:sz w:val="20"/>
                <w:szCs w:val="20"/>
                <w:color w:val="auto"/>
              </w:rPr>
            </w:pPr>
            <w:r>
              <w:rPr>
                <w:rFonts w:ascii="Arial" w:cs="Arial" w:eastAsia="Arial" w:hAnsi="Arial"/>
                <w:sz w:val="10"/>
                <w:szCs w:val="10"/>
                <w:color w:val="auto"/>
              </w:rPr>
              <w:t>UK including offshore area</w:t>
            </w:r>
          </w:p>
        </w:tc>
        <w:tc>
          <w:tcPr>
            <w:tcW w:w="1940" w:type="dxa"/>
            <w:vAlign w:val="bottom"/>
          </w:tcPr>
          <w:p>
            <w:pPr>
              <w:jc w:val="right"/>
              <w:ind w:right="532"/>
              <w:spacing w:after="0"/>
              <w:rPr>
                <w:sz w:val="20"/>
                <w:szCs w:val="20"/>
                <w:color w:val="auto"/>
              </w:rPr>
            </w:pPr>
            <w:r>
              <w:rPr>
                <w:rFonts w:ascii="Arial" w:cs="Arial" w:eastAsia="Arial" w:hAnsi="Arial"/>
                <w:sz w:val="10"/>
                <w:szCs w:val="10"/>
                <w:color w:val="auto"/>
              </w:rPr>
              <w:t>7.6</w:t>
            </w:r>
          </w:p>
        </w:tc>
        <w:tc>
          <w:tcPr>
            <w:tcW w:w="800" w:type="dxa"/>
            <w:vAlign w:val="bottom"/>
          </w:tcPr>
          <w:p>
            <w:pPr>
              <w:jc w:val="right"/>
              <w:spacing w:after="0"/>
              <w:rPr>
                <w:sz w:val="20"/>
                <w:szCs w:val="20"/>
                <w:color w:val="auto"/>
              </w:rPr>
            </w:pPr>
            <w:r>
              <w:rPr>
                <w:rFonts w:ascii="Arial" w:cs="Arial" w:eastAsia="Arial" w:hAnsi="Arial"/>
                <w:sz w:val="10"/>
                <w:szCs w:val="10"/>
                <w:color w:val="auto"/>
              </w:rPr>
              <w:t>7.6</w:t>
            </w:r>
          </w:p>
        </w:tc>
      </w:tr>
      <w:tr>
        <w:trPr>
          <w:trHeight w:val="126"/>
        </w:trPr>
        <w:tc>
          <w:tcPr>
            <w:tcW w:w="2700" w:type="dxa"/>
            <w:vAlign w:val="bottom"/>
          </w:tcPr>
          <w:p>
            <w:pPr>
              <w:spacing w:after="0"/>
              <w:rPr>
                <w:sz w:val="20"/>
                <w:szCs w:val="20"/>
                <w:color w:val="auto"/>
              </w:rPr>
            </w:pPr>
            <w:r>
              <w:rPr>
                <w:rFonts w:ascii="Arial" w:cs="Arial" w:eastAsia="Arial" w:hAnsi="Arial"/>
                <w:sz w:val="10"/>
                <w:szCs w:val="10"/>
                <w:b w:val="1"/>
                <w:bCs w:val="1"/>
                <w:color w:val="auto"/>
              </w:rPr>
              <w:t>Purchased and consumed energy</w:t>
            </w:r>
          </w:p>
        </w:tc>
        <w:tc>
          <w:tcPr>
            <w:tcW w:w="19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6"/>
        </w:trPr>
        <w:tc>
          <w:tcPr>
            <w:tcW w:w="2700" w:type="dxa"/>
            <w:vAlign w:val="bottom"/>
          </w:tcPr>
          <w:p>
            <w:pPr>
              <w:spacing w:after="0"/>
              <w:rPr>
                <w:sz w:val="20"/>
                <w:szCs w:val="20"/>
                <w:color w:val="auto"/>
              </w:rPr>
            </w:pPr>
            <w:r>
              <w:rPr>
                <w:rFonts w:ascii="Arial" w:cs="Arial" w:eastAsia="Arial" w:hAnsi="Arial"/>
                <w:sz w:val="10"/>
                <w:szCs w:val="10"/>
                <w:color w:val="auto"/>
              </w:rPr>
              <w:t>Total purchased and consumed energy</w:t>
            </w:r>
          </w:p>
        </w:tc>
        <w:tc>
          <w:tcPr>
            <w:tcW w:w="1940" w:type="dxa"/>
            <w:vAlign w:val="bottom"/>
          </w:tcPr>
          <w:p>
            <w:pPr>
              <w:jc w:val="right"/>
              <w:ind w:right="532"/>
              <w:spacing w:after="0"/>
              <w:rPr>
                <w:sz w:val="20"/>
                <w:szCs w:val="20"/>
                <w:color w:val="auto"/>
              </w:rPr>
            </w:pPr>
            <w:r>
              <w:rPr>
                <w:rFonts w:ascii="Arial" w:cs="Arial" w:eastAsia="Arial" w:hAnsi="Arial"/>
                <w:sz w:val="10"/>
                <w:szCs w:val="10"/>
                <w:color w:val="auto"/>
              </w:rPr>
              <w:t>38</w:t>
            </w:r>
          </w:p>
        </w:tc>
        <w:tc>
          <w:tcPr>
            <w:tcW w:w="800" w:type="dxa"/>
            <w:vAlign w:val="bottom"/>
          </w:tcPr>
          <w:p>
            <w:pPr>
              <w:jc w:val="right"/>
              <w:spacing w:after="0"/>
              <w:rPr>
                <w:sz w:val="20"/>
                <w:szCs w:val="20"/>
                <w:color w:val="auto"/>
              </w:rPr>
            </w:pPr>
            <w:r>
              <w:rPr>
                <w:rFonts w:ascii="Arial" w:cs="Arial" w:eastAsia="Arial" w:hAnsi="Arial"/>
                <w:sz w:val="10"/>
                <w:szCs w:val="10"/>
                <w:color w:val="auto"/>
              </w:rPr>
              <w:t>44</w:t>
            </w:r>
          </w:p>
        </w:tc>
      </w:tr>
      <w:tr>
        <w:trPr>
          <w:trHeight w:val="126"/>
        </w:trPr>
        <w:tc>
          <w:tcPr>
            <w:tcW w:w="2700" w:type="dxa"/>
            <w:vAlign w:val="bottom"/>
          </w:tcPr>
          <w:p>
            <w:pPr>
              <w:ind w:left="120"/>
              <w:spacing w:after="0"/>
              <w:rPr>
                <w:sz w:val="20"/>
                <w:szCs w:val="20"/>
                <w:color w:val="auto"/>
              </w:rPr>
            </w:pPr>
            <w:r>
              <w:rPr>
                <w:rFonts w:ascii="Arial" w:cs="Arial" w:eastAsia="Arial" w:hAnsi="Arial"/>
                <w:sz w:val="10"/>
                <w:szCs w:val="10"/>
                <w:color w:val="auto"/>
              </w:rPr>
              <w:t>UK including offshore area</w:t>
            </w:r>
          </w:p>
        </w:tc>
        <w:tc>
          <w:tcPr>
            <w:tcW w:w="1940" w:type="dxa"/>
            <w:vAlign w:val="bottom"/>
          </w:tcPr>
          <w:p>
            <w:pPr>
              <w:jc w:val="right"/>
              <w:ind w:right="532"/>
              <w:spacing w:after="0"/>
              <w:rPr>
                <w:sz w:val="20"/>
                <w:szCs w:val="20"/>
                <w:color w:val="auto"/>
              </w:rPr>
            </w:pPr>
            <w:r>
              <w:rPr>
                <w:rFonts w:ascii="Arial" w:cs="Arial" w:eastAsia="Arial" w:hAnsi="Arial"/>
                <w:sz w:val="10"/>
                <w:szCs w:val="10"/>
                <w:color w:val="auto"/>
              </w:rPr>
              <w:t>0.2</w:t>
            </w:r>
          </w:p>
        </w:tc>
        <w:tc>
          <w:tcPr>
            <w:tcW w:w="800" w:type="dxa"/>
            <w:vAlign w:val="bottom"/>
          </w:tcPr>
          <w:p>
            <w:pPr>
              <w:jc w:val="right"/>
              <w:spacing w:after="0"/>
              <w:rPr>
                <w:sz w:val="20"/>
                <w:szCs w:val="20"/>
                <w:color w:val="auto"/>
              </w:rPr>
            </w:pPr>
            <w:r>
              <w:rPr>
                <w:rFonts w:ascii="Arial" w:cs="Arial" w:eastAsia="Arial" w:hAnsi="Arial"/>
                <w:sz w:val="10"/>
                <w:szCs w:val="10"/>
                <w:color w:val="auto"/>
              </w:rPr>
              <w:t>0.2</w:t>
            </w:r>
          </w:p>
        </w:tc>
      </w:tr>
      <w:tr>
        <w:trPr>
          <w:trHeight w:val="126"/>
        </w:trPr>
        <w:tc>
          <w:tcPr>
            <w:tcW w:w="2700" w:type="dxa"/>
            <w:vAlign w:val="bottom"/>
          </w:tcPr>
          <w:p>
            <w:pPr>
              <w:spacing w:after="0"/>
              <w:rPr>
                <w:sz w:val="20"/>
                <w:szCs w:val="20"/>
                <w:color w:val="auto"/>
              </w:rPr>
            </w:pPr>
            <w:r>
              <w:rPr>
                <w:rFonts w:ascii="Arial" w:cs="Arial" w:eastAsia="Arial" w:hAnsi="Arial"/>
                <w:sz w:val="10"/>
                <w:szCs w:val="10"/>
                <w:b w:val="1"/>
                <w:bCs w:val="1"/>
                <w:color w:val="auto"/>
              </w:rPr>
              <w:t>Energy consumption</w:t>
            </w:r>
          </w:p>
        </w:tc>
        <w:tc>
          <w:tcPr>
            <w:tcW w:w="19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6"/>
        </w:trPr>
        <w:tc>
          <w:tcPr>
            <w:tcW w:w="2700" w:type="dxa"/>
            <w:vAlign w:val="bottom"/>
          </w:tcPr>
          <w:p>
            <w:pPr>
              <w:spacing w:after="0"/>
              <w:rPr>
                <w:sz w:val="20"/>
                <w:szCs w:val="20"/>
                <w:color w:val="auto"/>
              </w:rPr>
            </w:pPr>
            <w:r>
              <w:rPr>
                <w:rFonts w:ascii="Arial" w:cs="Arial" w:eastAsia="Arial" w:hAnsi="Arial"/>
                <w:sz w:val="10"/>
                <w:szCs w:val="10"/>
                <w:color w:val="auto"/>
              </w:rPr>
              <w:t>Total energy consumed</w:t>
            </w:r>
          </w:p>
        </w:tc>
        <w:tc>
          <w:tcPr>
            <w:tcW w:w="1940" w:type="dxa"/>
            <w:vAlign w:val="bottom"/>
          </w:tcPr>
          <w:p>
            <w:pPr>
              <w:jc w:val="right"/>
              <w:ind w:right="532"/>
              <w:spacing w:after="0"/>
              <w:rPr>
                <w:sz w:val="20"/>
                <w:szCs w:val="20"/>
                <w:color w:val="auto"/>
              </w:rPr>
            </w:pPr>
            <w:r>
              <w:rPr>
                <w:rFonts w:ascii="Arial" w:cs="Arial" w:eastAsia="Arial" w:hAnsi="Arial"/>
                <w:sz w:val="10"/>
                <w:szCs w:val="10"/>
                <w:color w:val="auto"/>
              </w:rPr>
              <w:t>240</w:t>
            </w:r>
          </w:p>
        </w:tc>
        <w:tc>
          <w:tcPr>
            <w:tcW w:w="800" w:type="dxa"/>
            <w:vAlign w:val="bottom"/>
          </w:tcPr>
          <w:p>
            <w:pPr>
              <w:jc w:val="right"/>
              <w:spacing w:after="0"/>
              <w:rPr>
                <w:sz w:val="20"/>
                <w:szCs w:val="20"/>
                <w:color w:val="auto"/>
              </w:rPr>
            </w:pPr>
            <w:r>
              <w:rPr>
                <w:rFonts w:ascii="Arial" w:cs="Arial" w:eastAsia="Arial" w:hAnsi="Arial"/>
                <w:sz w:val="10"/>
                <w:szCs w:val="10"/>
                <w:color w:val="auto"/>
              </w:rPr>
              <w:t>264</w:t>
            </w:r>
          </w:p>
        </w:tc>
      </w:tr>
      <w:tr>
        <w:trPr>
          <w:trHeight w:val="130"/>
        </w:trPr>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UK including offshore area</w:t>
            </w:r>
          </w:p>
        </w:tc>
        <w:tc>
          <w:tcPr>
            <w:tcW w:w="19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7.8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7.8</w:t>
            </w:r>
          </w:p>
        </w:tc>
      </w:tr>
    </w:tbl>
    <w:p>
      <w:pPr>
        <w:spacing w:after="0" w:line="56" w:lineRule="exact"/>
        <w:rPr>
          <w:sz w:val="20"/>
          <w:szCs w:val="20"/>
          <w:color w:val="auto"/>
        </w:rPr>
      </w:pPr>
    </w:p>
    <w:p>
      <w:pPr>
        <w:ind w:left="8"/>
        <w:spacing w:after="0"/>
        <w:rPr>
          <w:sz w:val="20"/>
          <w:szCs w:val="20"/>
          <w:color w:val="auto"/>
        </w:rPr>
      </w:pPr>
      <w:r>
        <w:rPr>
          <w:rFonts w:ascii="Arial" w:cs="Arial" w:eastAsia="Arial" w:hAnsi="Arial"/>
          <w:sz w:val="7"/>
          <w:szCs w:val="7"/>
          <w:color w:val="auto"/>
        </w:rPr>
        <w:t>.</w:t>
      </w:r>
    </w:p>
    <w:p>
      <w:pPr>
        <w:spacing w:after="0" w:line="20" w:lineRule="exact"/>
        <w:rPr>
          <w:sz w:val="20"/>
          <w:szCs w:val="20"/>
          <w:color w:val="auto"/>
        </w:rPr>
      </w:pPr>
      <w:r>
        <w:rPr>
          <w:sz w:val="20"/>
          <w:szCs w:val="20"/>
          <w:color w:val="auto"/>
        </w:rPr>
        <w:br w:type="column"/>
      </w:r>
    </w:p>
    <w:p>
      <w:pPr>
        <w:ind w:left="220" w:right="140" w:hanging="211"/>
        <w:spacing w:after="0" w:line="196" w:lineRule="auto"/>
        <w:tabs>
          <w:tab w:leader="none" w:pos="218" w:val="left"/>
        </w:tabs>
        <w:numPr>
          <w:ilvl w:val="0"/>
          <w:numId w:val="87"/>
        </w:numPr>
        <w:rPr>
          <w:rFonts w:ascii="Arial" w:cs="Arial" w:eastAsia="Arial" w:hAnsi="Arial"/>
          <w:sz w:val="10"/>
          <w:szCs w:val="10"/>
          <w:color w:val="auto"/>
        </w:rPr>
      </w:pPr>
      <w:r>
        <w:rPr>
          <w:rFonts w:ascii="Arial" w:cs="Arial" w:eastAsia="Arial" w:hAnsi="Arial"/>
          <w:sz w:val="10"/>
          <w:szCs w:val="10"/>
          <w:color w:val="auto"/>
        </w:rPr>
        <w:t>At our Scotford upgrader facility in Canada, we completed several projects to minimise energy use and improve efficiency, for example by removing equipment from service or replacing it with more efficient equipment.</w:t>
      </w:r>
    </w:p>
    <w:p>
      <w:pPr>
        <w:ind w:left="220" w:right="300" w:hanging="211"/>
        <w:spacing w:after="0" w:line="187" w:lineRule="auto"/>
        <w:tabs>
          <w:tab w:leader="none" w:pos="218" w:val="left"/>
        </w:tabs>
        <w:numPr>
          <w:ilvl w:val="0"/>
          <w:numId w:val="87"/>
        </w:numPr>
        <w:rPr>
          <w:rFonts w:ascii="Arial" w:cs="Arial" w:eastAsia="Arial" w:hAnsi="Arial"/>
          <w:sz w:val="10"/>
          <w:szCs w:val="10"/>
          <w:color w:val="auto"/>
        </w:rPr>
      </w:pPr>
      <w:r>
        <w:rPr>
          <w:rFonts w:ascii="Arial" w:cs="Arial" w:eastAsia="Arial" w:hAnsi="Arial"/>
          <w:sz w:val="10"/>
          <w:szCs w:val="10"/>
          <w:color w:val="auto"/>
        </w:rPr>
        <w:t>At our Geismar facility in the USA, we improved flare staging and temperature control which resulted in lower levels of natural gas consumption.</w:t>
      </w:r>
    </w:p>
    <w:p>
      <w:pPr>
        <w:ind w:left="220" w:right="240" w:hanging="211"/>
        <w:spacing w:after="0" w:line="187" w:lineRule="auto"/>
        <w:tabs>
          <w:tab w:leader="none" w:pos="218" w:val="left"/>
        </w:tabs>
        <w:numPr>
          <w:ilvl w:val="0"/>
          <w:numId w:val="87"/>
        </w:numPr>
        <w:rPr>
          <w:rFonts w:ascii="Arial" w:cs="Arial" w:eastAsia="Arial" w:hAnsi="Arial"/>
          <w:sz w:val="10"/>
          <w:szCs w:val="10"/>
          <w:color w:val="auto"/>
        </w:rPr>
      </w:pPr>
      <w:r>
        <w:rPr>
          <w:rFonts w:ascii="Arial" w:cs="Arial" w:eastAsia="Arial" w:hAnsi="Arial"/>
          <w:sz w:val="10"/>
          <w:szCs w:val="10"/>
          <w:color w:val="auto"/>
        </w:rPr>
        <w:t>At our Mobile facility in the USA, we installed new equipment to increase heat transfer between heat exchangers in order to improve the energy efficiency of the units.</w:t>
      </w:r>
    </w:p>
    <w:p>
      <w:pPr>
        <w:ind w:left="220" w:right="260" w:hanging="211"/>
        <w:spacing w:after="0" w:line="246" w:lineRule="auto"/>
        <w:tabs>
          <w:tab w:leader="none" w:pos="218" w:val="left"/>
        </w:tabs>
        <w:numPr>
          <w:ilvl w:val="0"/>
          <w:numId w:val="87"/>
        </w:numPr>
        <w:rPr>
          <w:rFonts w:ascii="Arial" w:cs="Arial" w:eastAsia="Arial" w:hAnsi="Arial"/>
          <w:sz w:val="8"/>
          <w:szCs w:val="8"/>
          <w:color w:val="auto"/>
        </w:rPr>
      </w:pPr>
      <w:r>
        <w:rPr>
          <w:rFonts w:ascii="Arial" w:cs="Arial" w:eastAsia="Arial" w:hAnsi="Arial"/>
          <w:sz w:val="8"/>
          <w:szCs w:val="8"/>
          <w:color w:val="auto"/>
        </w:rPr>
        <w:t>At our GTL facility in Qatar, we completed several projects to reduce energy use and improve efficiency, for example by minimising the generation of excess steam and converting excess energy into electricity for export to the public grid.</w:t>
      </w:r>
    </w:p>
    <w:p>
      <w:pPr>
        <w:ind w:left="220" w:hanging="211"/>
        <w:spacing w:after="0"/>
        <w:tabs>
          <w:tab w:leader="none" w:pos="220" w:val="left"/>
        </w:tabs>
        <w:numPr>
          <w:ilvl w:val="0"/>
          <w:numId w:val="87"/>
        </w:numPr>
        <w:rPr>
          <w:rFonts w:ascii="Arial" w:cs="Arial" w:eastAsia="Arial" w:hAnsi="Arial"/>
          <w:sz w:val="8"/>
          <w:szCs w:val="8"/>
          <w:color w:val="auto"/>
        </w:rPr>
      </w:pPr>
      <w:r>
        <w:rPr>
          <w:rFonts w:ascii="Arial" w:cs="Arial" w:eastAsia="Arial" w:hAnsi="Arial"/>
          <w:sz w:val="8"/>
          <w:szCs w:val="8"/>
          <w:color w:val="auto"/>
        </w:rPr>
        <w:t>In Brazil, we reduced fuel usage of vessels by optimising how they operate in dynamic position, stand-by and navigation modes.</w:t>
      </w:r>
    </w:p>
    <w:p>
      <w:pPr>
        <w:spacing w:after="0" w:line="170" w:lineRule="exact"/>
        <w:rPr>
          <w:sz w:val="20"/>
          <w:szCs w:val="20"/>
          <w:color w:val="auto"/>
        </w:rPr>
      </w:pPr>
    </w:p>
    <w:p>
      <w:pPr>
        <w:ind w:right="140"/>
        <w:spacing w:after="0" w:line="239" w:lineRule="auto"/>
        <w:rPr>
          <w:sz w:val="20"/>
          <w:szCs w:val="20"/>
          <w:color w:val="auto"/>
        </w:rPr>
      </w:pPr>
      <w:r>
        <w:rPr>
          <w:rFonts w:ascii="Arial" w:cs="Arial" w:eastAsia="Arial" w:hAnsi="Arial"/>
          <w:sz w:val="10"/>
          <w:szCs w:val="10"/>
          <w:color w:val="auto"/>
        </w:rPr>
        <w:t>Detailed information on our 2020 GHG emissions and energy use is expected to be published in the Shell Sustainability Report in April 2021 and on our website.</w:t>
      </w:r>
    </w:p>
    <w:p>
      <w:pPr>
        <w:spacing w:after="0" w:line="149" w:lineRule="exact"/>
        <w:rPr>
          <w:sz w:val="20"/>
          <w:szCs w:val="20"/>
          <w:color w:val="auto"/>
        </w:rPr>
      </w:pPr>
    </w:p>
    <w:p>
      <w:pPr>
        <w:ind w:right="140"/>
        <w:spacing w:after="0" w:line="320" w:lineRule="auto"/>
        <w:rPr>
          <w:sz w:val="20"/>
          <w:szCs w:val="20"/>
          <w:color w:val="auto"/>
        </w:rPr>
      </w:pPr>
      <w:r>
        <w:rPr>
          <w:rFonts w:ascii="Arial" w:cs="Arial" w:eastAsia="Arial" w:hAnsi="Arial"/>
          <w:sz w:val="8"/>
          <w:szCs w:val="8"/>
          <w:color w:val="auto"/>
        </w:rPr>
        <w:t>The statements in this “Climate change and energy transition” section, including those relating to the Net Carbon Footprint targets, are forward-looking statements based on management’s current expectations and certain material assumptions and, accordingly, involve risks and uncertainties that could cause actual results, performance or events to differ materially from those expressed or implied herein.</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See “About this Report” on pages 8-9 and “Risk factors” on pages 18-22.</w:t>
      </w:r>
    </w:p>
    <w:p>
      <w:pPr>
        <w:spacing w:after="0" w:line="3419" w:lineRule="exact"/>
        <w:rPr>
          <w:sz w:val="20"/>
          <w:szCs w:val="20"/>
          <w:color w:val="auto"/>
        </w:rPr>
      </w:pPr>
    </w:p>
    <w:p>
      <w:pPr>
        <w:sectPr>
          <w:pgSz w:w="11900" w:h="16838" w:orient="portrait"/>
          <w:cols w:equalWidth="0" w:num="2">
            <w:col w:w="5448" w:space="280"/>
            <w:col w:w="5580"/>
          </w:cols>
          <w:pgMar w:left="292" w:top="631" w:right="299" w:bottom="1440" w:gutter="0" w:footer="0" w:header="0"/>
        </w:sectPr>
      </w:pPr>
    </w:p>
    <w:p>
      <w:pPr>
        <w:spacing w:after="0" w:line="93" w:lineRule="exact"/>
        <w:rPr>
          <w:sz w:val="20"/>
          <w:szCs w:val="20"/>
          <w:color w:val="auto"/>
        </w:rPr>
      </w:pPr>
    </w:p>
    <w:p>
      <w:pPr>
        <w:ind w:left="8"/>
        <w:spacing w:after="0"/>
        <w:rPr>
          <w:sz w:val="20"/>
          <w:szCs w:val="20"/>
          <w:color w:val="auto"/>
        </w:rPr>
      </w:pPr>
      <w:r>
        <w:rPr>
          <w:rFonts w:ascii="Arial" w:cs="Arial" w:eastAsia="Arial" w:hAnsi="Arial"/>
          <w:sz w:val="10"/>
          <w:szCs w:val="10"/>
          <w:color w:val="auto"/>
        </w:rPr>
        <w:t>In 2020, we implemented a variety of measures to reduce the energy use and increase the energy efficiency of our operations. Examples of</w:t>
      </w:r>
    </w:p>
    <w:p>
      <w:pPr>
        <w:ind w:left="8"/>
        <w:spacing w:after="0" w:line="187" w:lineRule="auto"/>
        <w:rPr>
          <w:sz w:val="20"/>
          <w:szCs w:val="20"/>
          <w:color w:val="auto"/>
        </w:rPr>
      </w:pPr>
      <w:r>
        <w:rPr>
          <w:rFonts w:ascii="Arial" w:cs="Arial" w:eastAsia="Arial" w:hAnsi="Arial"/>
          <w:sz w:val="10"/>
          <w:szCs w:val="10"/>
          <w:color w:val="auto"/>
        </w:rPr>
        <w:t>some of the principal measures taken are listed below:</w:t>
      </w:r>
    </w:p>
    <w:p>
      <w:pPr>
        <w:ind w:left="208" w:hanging="208"/>
        <w:spacing w:after="0" w:line="188" w:lineRule="auto"/>
        <w:tabs>
          <w:tab w:leader="none" w:pos="208" w:val="left"/>
        </w:tabs>
        <w:numPr>
          <w:ilvl w:val="0"/>
          <w:numId w:val="88"/>
        </w:numPr>
        <w:rPr>
          <w:rFonts w:ascii="Arial" w:cs="Arial" w:eastAsia="Arial" w:hAnsi="Arial"/>
          <w:sz w:val="10"/>
          <w:szCs w:val="10"/>
          <w:color w:val="auto"/>
        </w:rPr>
      </w:pPr>
      <w:r>
        <w:rPr>
          <w:rFonts w:ascii="Arial" w:cs="Arial" w:eastAsia="Arial" w:hAnsi="Arial"/>
          <w:sz w:val="10"/>
          <w:szCs w:val="10"/>
          <w:color w:val="auto"/>
        </w:rPr>
        <w:t>At our Clipper facility in the UK, we completed a project to optimise the use of compressors.</w:t>
      </w:r>
    </w:p>
    <w:p>
      <w:pPr>
        <w:ind w:left="208" w:hanging="208"/>
        <w:spacing w:after="0" w:line="236" w:lineRule="auto"/>
        <w:tabs>
          <w:tab w:leader="none" w:pos="208" w:val="left"/>
        </w:tabs>
        <w:numPr>
          <w:ilvl w:val="0"/>
          <w:numId w:val="88"/>
        </w:numPr>
        <w:rPr>
          <w:rFonts w:ascii="Arial" w:cs="Arial" w:eastAsia="Arial" w:hAnsi="Arial"/>
          <w:sz w:val="10"/>
          <w:szCs w:val="10"/>
          <w:color w:val="auto"/>
        </w:rPr>
      </w:pPr>
      <w:r>
        <w:rPr>
          <w:rFonts w:ascii="Arial" w:cs="Arial" w:eastAsia="Arial" w:hAnsi="Arial"/>
          <w:sz w:val="10"/>
          <w:szCs w:val="10"/>
          <w:color w:val="auto"/>
        </w:rPr>
        <w:t>At our Bukom facility in Singapore, we completed two projects to minimise energy loss from steam.</w:t>
      </w:r>
    </w:p>
    <w:p>
      <w:pPr>
        <w:spacing w:after="0" w:line="334"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85</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31" w:right="29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22"/>
          <w:szCs w:val="22"/>
          <w:color w:val="auto"/>
        </w:rPr>
        <w:t>OUR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8"/>
          <w:szCs w:val="8"/>
          <w:color w:val="auto"/>
        </w:rPr>
        <w:t>Performing competitively in the evolving energy landscape requires competent and empowered people working safely together across Shell.</w:t>
      </w:r>
    </w:p>
    <w:p>
      <w:pPr>
        <w:spacing w:after="0" w:line="178" w:lineRule="exact"/>
        <w:rPr>
          <w:sz w:val="20"/>
          <w:szCs w:val="20"/>
          <w:color w:val="auto"/>
        </w:rPr>
      </w:pPr>
    </w:p>
    <w:p>
      <w:pPr>
        <w:jc w:val="both"/>
        <w:spacing w:after="0" w:line="320" w:lineRule="auto"/>
        <w:rPr>
          <w:sz w:val="20"/>
          <w:szCs w:val="20"/>
          <w:color w:val="auto"/>
        </w:rPr>
      </w:pPr>
      <w:r>
        <w:rPr>
          <w:rFonts w:ascii="Arial" w:cs="Arial" w:eastAsia="Arial" w:hAnsi="Arial"/>
          <w:sz w:val="8"/>
          <w:szCs w:val="8"/>
          <w:color w:val="auto"/>
        </w:rPr>
        <w:t>We recruit, train and remunerate people according to a strategy that aims to organise our businesses effectively. Our people are essential to the successful delivery of the Shell strategy and to sustaining business performance over the long term. Strong engagement helps us to accelerate our people's development, enhance our leadership capabilities and improve employee performance.</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EMPLOYEE OVERVIEW</w:t>
      </w:r>
    </w:p>
    <w:p>
      <w:pPr>
        <w:ind w:right="20"/>
        <w:spacing w:after="0" w:line="337" w:lineRule="auto"/>
        <w:rPr>
          <w:sz w:val="20"/>
          <w:szCs w:val="20"/>
          <w:color w:val="auto"/>
        </w:rPr>
      </w:pPr>
      <w:r>
        <w:rPr>
          <w:rFonts w:ascii="Arial" w:cs="Arial" w:eastAsia="Arial" w:hAnsi="Arial"/>
          <w:sz w:val="8"/>
          <w:szCs w:val="8"/>
          <w:color w:val="auto"/>
        </w:rPr>
        <w:t>The employee numbers presented here are the full-time equivalent number of people employed by Shell on a full- or part-time basis, working in Shell subsidiaries, Shell-operated joint operations, seconded to non-Shell-operated joint operations, or joint ventures and associates.</w:t>
      </w:r>
    </w:p>
    <w:p>
      <w:pPr>
        <w:spacing w:after="0" w:line="112" w:lineRule="exact"/>
        <w:rPr>
          <w:sz w:val="20"/>
          <w:szCs w:val="20"/>
          <w:color w:val="auto"/>
        </w:rPr>
      </w:pPr>
    </w:p>
    <w:p>
      <w:pPr>
        <w:ind w:right="80"/>
        <w:spacing w:after="0" w:line="234" w:lineRule="auto"/>
        <w:rPr>
          <w:sz w:val="20"/>
          <w:szCs w:val="20"/>
          <w:color w:val="auto"/>
        </w:rPr>
      </w:pPr>
      <w:r>
        <w:rPr>
          <w:rFonts w:ascii="Arial" w:cs="Arial" w:eastAsia="Arial" w:hAnsi="Arial"/>
          <w:sz w:val="10"/>
          <w:szCs w:val="10"/>
          <w:color w:val="auto"/>
        </w:rPr>
        <w:t>At December 31, 2020, there were a total of 87,000 employees in Shell. This total consisted of employees in Shell and employees in certain Upstream, Downstream and Renewables and Energy Solutions (formerly New Energies) companies that operate more autonomously than other Shell subsidiaries and maintain their own HR systems.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The total of 87,000 employees at December 31, 2020 was the same as at December 31, 2019.</w:t>
      </w: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color w:val="auto"/>
        </w:rPr>
        <w:t>There were 81,000 employees in Shell, excluding those in companies with their own HR systems, at December 31, 2018.</w:t>
      </w:r>
    </w:p>
    <w:p>
      <w:pPr>
        <w:spacing w:after="0" w:line="308" w:lineRule="exact"/>
        <w:rPr>
          <w:sz w:val="20"/>
          <w:szCs w:val="20"/>
          <w:color w:val="auto"/>
        </w:rPr>
      </w:pPr>
    </w:p>
    <w:p>
      <w:pPr>
        <w:ind w:right="160"/>
        <w:spacing w:after="0" w:line="297" w:lineRule="auto"/>
        <w:rPr>
          <w:sz w:val="20"/>
          <w:szCs w:val="20"/>
          <w:color w:val="auto"/>
        </w:rPr>
      </w:pPr>
      <w:r>
        <w:rPr>
          <w:rFonts w:ascii="Arial" w:cs="Arial" w:eastAsia="Arial" w:hAnsi="Arial"/>
          <w:sz w:val="8"/>
          <w:szCs w:val="8"/>
          <w:color w:val="auto"/>
        </w:rPr>
        <w:t>As part of the Reshape initiative, Shell expects to reduce between 7,000 and 9,000 jobs by the end of 2022, as it seeks to reduce costs and restructures with the aim of becoming a more streamlined, more competitive organisation that is nimbler and better able to respond to customers. The job reductions will include around 1,500 people who have already decided to take voluntary redundancy in 2020, but will exclude anybody who may leave Shell because of divestments. Shell will conduct the job reductions process in accordance with our core values of honesty, integrity and respect for people. We will seek at all times to show care for anyone who loses their role. Job and cost reductions are in comparison with December 31, 2019.</w:t>
      </w:r>
    </w:p>
    <w:p>
      <w:pPr>
        <w:spacing w:after="0" w:line="127" w:lineRule="exact"/>
        <w:rPr>
          <w:sz w:val="20"/>
          <w:szCs w:val="20"/>
          <w:color w:val="auto"/>
        </w:rPr>
      </w:pPr>
    </w:p>
    <w:p>
      <w:pPr>
        <w:ind w:right="220"/>
        <w:spacing w:after="0" w:line="239" w:lineRule="auto"/>
        <w:rPr>
          <w:sz w:val="20"/>
          <w:szCs w:val="20"/>
          <w:color w:val="auto"/>
        </w:rPr>
      </w:pPr>
      <w:r>
        <w:rPr>
          <w:rFonts w:ascii="Arial" w:cs="Arial" w:eastAsia="Arial" w:hAnsi="Arial"/>
          <w:sz w:val="10"/>
          <w:szCs w:val="10"/>
          <w:color w:val="auto"/>
        </w:rPr>
        <w:t>The table below shows actual employee numbers by geographical area. Note 26 to the “Consolidated Financial Statements” on page 208 provides the average number of employees by business segment.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80" w:type="dxa"/>
            <w:vAlign w:val="bottom"/>
            <w:tcBorders>
              <w:top w:val="single" w:sz="8" w:color="CDCDCD"/>
            </w:tcBorders>
            <w:gridSpan w:val="2"/>
          </w:tcPr>
          <w:p>
            <w:pPr>
              <w:spacing w:after="0"/>
              <w:rPr>
                <w:sz w:val="20"/>
                <w:szCs w:val="20"/>
                <w:color w:val="auto"/>
              </w:rPr>
            </w:pPr>
            <w:r>
              <w:rPr>
                <w:rFonts w:ascii="Arial" w:cs="Arial" w:eastAsia="Arial" w:hAnsi="Arial"/>
                <w:sz w:val="10"/>
                <w:szCs w:val="10"/>
                <w:color w:val="auto"/>
              </w:rPr>
              <w:t>Actual number of employees by geographical area</w:t>
            </w:r>
          </w:p>
        </w:tc>
        <w:tc>
          <w:tcPr>
            <w:tcW w:w="520" w:type="dxa"/>
            <w:vAlign w:val="bottom"/>
            <w:tcBorders>
              <w:top w:val="single" w:sz="8" w:color="CDCDCD"/>
            </w:tcBorders>
          </w:tcPr>
          <w:p>
            <w:pPr>
              <w:spacing w:after="0"/>
              <w:rPr>
                <w:sz w:val="13"/>
                <w:szCs w:val="13"/>
                <w:color w:val="auto"/>
              </w:rPr>
            </w:pPr>
          </w:p>
        </w:tc>
        <w:tc>
          <w:tcPr>
            <w:tcW w:w="1400" w:type="dxa"/>
            <w:vAlign w:val="bottom"/>
            <w:tcBorders>
              <w:top w:val="single" w:sz="8" w:color="CDCDCD"/>
            </w:tcBorders>
          </w:tcPr>
          <w:p>
            <w:pPr>
              <w:spacing w:after="0"/>
              <w:rPr>
                <w:sz w:val="13"/>
                <w:szCs w:val="13"/>
                <w:color w:val="auto"/>
              </w:rPr>
            </w:pPr>
          </w:p>
        </w:tc>
        <w:tc>
          <w:tcPr>
            <w:tcW w:w="124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Thousand</w:t>
            </w:r>
          </w:p>
        </w:tc>
      </w:tr>
      <w:tr>
        <w:trPr>
          <w:trHeight w:val="116"/>
        </w:trPr>
        <w:tc>
          <w:tcPr>
            <w:tcW w:w="19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2020</w:t>
            </w:r>
          </w:p>
        </w:tc>
        <w:tc>
          <w:tcPr>
            <w:tcW w:w="1400" w:type="dxa"/>
            <w:vAlign w:val="bottom"/>
            <w:tcBorders>
              <w:bottom w:val="single" w:sz="8" w:color="auto"/>
            </w:tcBorders>
          </w:tcPr>
          <w:p>
            <w:pPr>
              <w:jc w:val="right"/>
              <w:ind w:right="453"/>
              <w:spacing w:after="0"/>
              <w:rPr>
                <w:sz w:val="20"/>
                <w:szCs w:val="20"/>
                <w:color w:val="auto"/>
              </w:rPr>
            </w:pPr>
            <w:r>
              <w:rPr>
                <w:rFonts w:ascii="Arial" w:cs="Arial" w:eastAsia="Arial" w:hAnsi="Arial"/>
                <w:sz w:val="8"/>
                <w:szCs w:val="8"/>
                <w:color w:val="auto"/>
              </w:rPr>
              <w:t>2019</w:t>
            </w: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8"/>
                <w:szCs w:val="8"/>
                <w:color w:val="auto"/>
              </w:rPr>
              <w:t>2018 [A]</w:t>
            </w:r>
          </w:p>
        </w:tc>
      </w:tr>
      <w:tr>
        <w:trPr>
          <w:trHeight w:val="116"/>
        </w:trPr>
        <w:tc>
          <w:tcPr>
            <w:tcW w:w="1900" w:type="dxa"/>
            <w:vAlign w:val="bottom"/>
          </w:tcPr>
          <w:p>
            <w:pPr>
              <w:spacing w:after="0"/>
              <w:rPr>
                <w:sz w:val="20"/>
                <w:szCs w:val="20"/>
                <w:color w:val="auto"/>
              </w:rPr>
            </w:pPr>
            <w:r>
              <w:rPr>
                <w:rFonts w:ascii="Arial" w:cs="Arial" w:eastAsia="Arial" w:hAnsi="Arial"/>
                <w:sz w:val="10"/>
                <w:szCs w:val="10"/>
                <w:color w:val="auto"/>
              </w:rPr>
              <w:t>Europe</w:t>
            </w:r>
          </w:p>
        </w:tc>
        <w:tc>
          <w:tcPr>
            <w:tcW w:w="380" w:type="dxa"/>
            <w:vAlign w:val="bottom"/>
            <w:shd w:val="clear" w:color="auto" w:fill="D9D9D9"/>
          </w:tcPr>
          <w:p>
            <w:pPr>
              <w:spacing w:after="0"/>
              <w:rPr>
                <w:sz w:val="10"/>
                <w:szCs w:val="10"/>
                <w:color w:val="auto"/>
              </w:rPr>
            </w:pPr>
          </w:p>
        </w:tc>
        <w:tc>
          <w:tcPr>
            <w:tcW w:w="5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27</w:t>
            </w:r>
          </w:p>
        </w:tc>
        <w:tc>
          <w:tcPr>
            <w:tcW w:w="1400" w:type="dxa"/>
            <w:vAlign w:val="bottom"/>
          </w:tcPr>
          <w:p>
            <w:pPr>
              <w:jc w:val="right"/>
              <w:ind w:right="493"/>
              <w:spacing w:after="0"/>
              <w:rPr>
                <w:sz w:val="20"/>
                <w:szCs w:val="20"/>
                <w:color w:val="auto"/>
              </w:rPr>
            </w:pPr>
            <w:r>
              <w:rPr>
                <w:rFonts w:ascii="Arial" w:cs="Arial" w:eastAsia="Arial" w:hAnsi="Arial"/>
                <w:sz w:val="10"/>
                <w:szCs w:val="10"/>
                <w:color w:val="auto"/>
              </w:rPr>
              <w:t>27</w:t>
            </w:r>
          </w:p>
        </w:tc>
        <w:tc>
          <w:tcPr>
            <w:tcW w:w="1240" w:type="dxa"/>
            <w:vAlign w:val="bottom"/>
          </w:tcPr>
          <w:p>
            <w:pPr>
              <w:jc w:val="right"/>
              <w:ind w:right="393"/>
              <w:spacing w:after="0"/>
              <w:rPr>
                <w:sz w:val="20"/>
                <w:szCs w:val="20"/>
                <w:color w:val="auto"/>
              </w:rPr>
            </w:pPr>
            <w:r>
              <w:rPr>
                <w:rFonts w:ascii="Arial" w:cs="Arial" w:eastAsia="Arial" w:hAnsi="Arial"/>
                <w:sz w:val="10"/>
                <w:szCs w:val="10"/>
                <w:color w:val="auto"/>
              </w:rPr>
              <w:t>24</w:t>
            </w:r>
          </w:p>
        </w:tc>
      </w:tr>
      <w:tr>
        <w:trPr>
          <w:trHeight w:val="123"/>
        </w:trPr>
        <w:tc>
          <w:tcPr>
            <w:tcW w:w="1900" w:type="dxa"/>
            <w:vAlign w:val="bottom"/>
          </w:tcPr>
          <w:p>
            <w:pPr>
              <w:spacing w:after="0"/>
              <w:rPr>
                <w:sz w:val="20"/>
                <w:szCs w:val="20"/>
                <w:color w:val="auto"/>
              </w:rPr>
            </w:pPr>
            <w:r>
              <w:rPr>
                <w:rFonts w:ascii="Arial" w:cs="Arial" w:eastAsia="Arial" w:hAnsi="Arial"/>
                <w:sz w:val="10"/>
                <w:szCs w:val="10"/>
                <w:color w:val="auto"/>
              </w:rPr>
              <w:t>Asia</w:t>
            </w:r>
          </w:p>
        </w:tc>
        <w:tc>
          <w:tcPr>
            <w:tcW w:w="380" w:type="dxa"/>
            <w:vAlign w:val="bottom"/>
            <w:shd w:val="clear" w:color="auto" w:fill="D9D9D9"/>
          </w:tcPr>
          <w:p>
            <w:pPr>
              <w:spacing w:after="0"/>
              <w:rPr>
                <w:sz w:val="10"/>
                <w:szCs w:val="10"/>
                <w:color w:val="auto"/>
              </w:rPr>
            </w:pPr>
          </w:p>
        </w:tc>
        <w:tc>
          <w:tcPr>
            <w:tcW w:w="5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31</w:t>
            </w:r>
          </w:p>
        </w:tc>
        <w:tc>
          <w:tcPr>
            <w:tcW w:w="1400" w:type="dxa"/>
            <w:vAlign w:val="bottom"/>
          </w:tcPr>
          <w:p>
            <w:pPr>
              <w:jc w:val="right"/>
              <w:ind w:right="493"/>
              <w:spacing w:after="0"/>
              <w:rPr>
                <w:sz w:val="20"/>
                <w:szCs w:val="20"/>
                <w:color w:val="auto"/>
              </w:rPr>
            </w:pPr>
            <w:r>
              <w:rPr>
                <w:rFonts w:ascii="Arial" w:cs="Arial" w:eastAsia="Arial" w:hAnsi="Arial"/>
                <w:sz w:val="10"/>
                <w:szCs w:val="10"/>
                <w:color w:val="auto"/>
              </w:rPr>
              <w:t>31</w:t>
            </w:r>
          </w:p>
        </w:tc>
        <w:tc>
          <w:tcPr>
            <w:tcW w:w="1240" w:type="dxa"/>
            <w:vAlign w:val="bottom"/>
          </w:tcPr>
          <w:p>
            <w:pPr>
              <w:jc w:val="right"/>
              <w:ind w:right="393"/>
              <w:spacing w:after="0"/>
              <w:rPr>
                <w:sz w:val="20"/>
                <w:szCs w:val="20"/>
                <w:color w:val="auto"/>
              </w:rPr>
            </w:pPr>
            <w:r>
              <w:rPr>
                <w:rFonts w:ascii="Arial" w:cs="Arial" w:eastAsia="Arial" w:hAnsi="Arial"/>
                <w:sz w:val="10"/>
                <w:szCs w:val="10"/>
                <w:color w:val="auto"/>
              </w:rPr>
              <w:t>28</w:t>
            </w:r>
          </w:p>
        </w:tc>
      </w:tr>
      <w:tr>
        <w:trPr>
          <w:trHeight w:val="126"/>
        </w:trPr>
        <w:tc>
          <w:tcPr>
            <w:tcW w:w="1900" w:type="dxa"/>
            <w:vAlign w:val="bottom"/>
          </w:tcPr>
          <w:p>
            <w:pPr>
              <w:spacing w:after="0"/>
              <w:rPr>
                <w:sz w:val="20"/>
                <w:szCs w:val="20"/>
                <w:color w:val="auto"/>
              </w:rPr>
            </w:pPr>
            <w:r>
              <w:rPr>
                <w:rFonts w:ascii="Arial" w:cs="Arial" w:eastAsia="Arial" w:hAnsi="Arial"/>
                <w:sz w:val="10"/>
                <w:szCs w:val="10"/>
                <w:color w:val="auto"/>
              </w:rPr>
              <w:t>Oceania</w:t>
            </w:r>
          </w:p>
        </w:tc>
        <w:tc>
          <w:tcPr>
            <w:tcW w:w="380" w:type="dxa"/>
            <w:vAlign w:val="bottom"/>
            <w:shd w:val="clear" w:color="auto" w:fill="D9D9D9"/>
          </w:tcPr>
          <w:p>
            <w:pPr>
              <w:spacing w:after="0"/>
              <w:rPr>
                <w:sz w:val="10"/>
                <w:szCs w:val="10"/>
                <w:color w:val="auto"/>
              </w:rPr>
            </w:pPr>
          </w:p>
        </w:tc>
        <w:tc>
          <w:tcPr>
            <w:tcW w:w="5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w:t>
            </w:r>
          </w:p>
        </w:tc>
        <w:tc>
          <w:tcPr>
            <w:tcW w:w="1400" w:type="dxa"/>
            <w:vAlign w:val="bottom"/>
          </w:tcPr>
          <w:p>
            <w:pPr>
              <w:jc w:val="right"/>
              <w:ind w:right="493"/>
              <w:spacing w:after="0"/>
              <w:rPr>
                <w:sz w:val="20"/>
                <w:szCs w:val="20"/>
                <w:color w:val="auto"/>
              </w:rPr>
            </w:pPr>
            <w:r>
              <w:rPr>
                <w:rFonts w:ascii="Arial" w:cs="Arial" w:eastAsia="Arial" w:hAnsi="Arial"/>
                <w:sz w:val="10"/>
                <w:szCs w:val="10"/>
                <w:color w:val="auto"/>
              </w:rPr>
              <w:t>2</w:t>
            </w:r>
          </w:p>
        </w:tc>
        <w:tc>
          <w:tcPr>
            <w:tcW w:w="1240" w:type="dxa"/>
            <w:vAlign w:val="bottom"/>
          </w:tcPr>
          <w:p>
            <w:pPr>
              <w:jc w:val="right"/>
              <w:ind w:right="393"/>
              <w:spacing w:after="0"/>
              <w:rPr>
                <w:sz w:val="20"/>
                <w:szCs w:val="20"/>
                <w:color w:val="auto"/>
              </w:rPr>
            </w:pPr>
            <w:r>
              <w:rPr>
                <w:rFonts w:ascii="Arial" w:cs="Arial" w:eastAsia="Arial" w:hAnsi="Arial"/>
                <w:sz w:val="10"/>
                <w:szCs w:val="10"/>
                <w:color w:val="auto"/>
              </w:rPr>
              <w:t>2</w:t>
            </w:r>
          </w:p>
        </w:tc>
      </w:tr>
      <w:tr>
        <w:trPr>
          <w:trHeight w:val="126"/>
        </w:trPr>
        <w:tc>
          <w:tcPr>
            <w:tcW w:w="1900" w:type="dxa"/>
            <w:vAlign w:val="bottom"/>
          </w:tcPr>
          <w:p>
            <w:pPr>
              <w:spacing w:after="0"/>
              <w:rPr>
                <w:sz w:val="20"/>
                <w:szCs w:val="20"/>
                <w:color w:val="auto"/>
              </w:rPr>
            </w:pPr>
            <w:r>
              <w:rPr>
                <w:rFonts w:ascii="Arial" w:cs="Arial" w:eastAsia="Arial" w:hAnsi="Arial"/>
                <w:sz w:val="10"/>
                <w:szCs w:val="10"/>
                <w:color w:val="auto"/>
              </w:rPr>
              <w:t>Africa</w:t>
            </w:r>
          </w:p>
        </w:tc>
        <w:tc>
          <w:tcPr>
            <w:tcW w:w="380" w:type="dxa"/>
            <w:vAlign w:val="bottom"/>
            <w:shd w:val="clear" w:color="auto" w:fill="D9D9D9"/>
          </w:tcPr>
          <w:p>
            <w:pPr>
              <w:spacing w:after="0"/>
              <w:rPr>
                <w:sz w:val="10"/>
                <w:szCs w:val="10"/>
                <w:color w:val="auto"/>
              </w:rPr>
            </w:pPr>
          </w:p>
        </w:tc>
        <w:tc>
          <w:tcPr>
            <w:tcW w:w="5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w:t>
            </w:r>
          </w:p>
        </w:tc>
        <w:tc>
          <w:tcPr>
            <w:tcW w:w="1400" w:type="dxa"/>
            <w:vAlign w:val="bottom"/>
          </w:tcPr>
          <w:p>
            <w:pPr>
              <w:jc w:val="right"/>
              <w:ind w:right="493"/>
              <w:spacing w:after="0"/>
              <w:rPr>
                <w:sz w:val="20"/>
                <w:szCs w:val="20"/>
                <w:color w:val="auto"/>
              </w:rPr>
            </w:pPr>
            <w:r>
              <w:rPr>
                <w:rFonts w:ascii="Arial" w:cs="Arial" w:eastAsia="Arial" w:hAnsi="Arial"/>
                <w:sz w:val="10"/>
                <w:szCs w:val="10"/>
                <w:color w:val="auto"/>
              </w:rPr>
              <w:t>4</w:t>
            </w:r>
          </w:p>
        </w:tc>
        <w:tc>
          <w:tcPr>
            <w:tcW w:w="1240" w:type="dxa"/>
            <w:vAlign w:val="bottom"/>
          </w:tcPr>
          <w:p>
            <w:pPr>
              <w:jc w:val="right"/>
              <w:ind w:right="393"/>
              <w:spacing w:after="0"/>
              <w:rPr>
                <w:sz w:val="20"/>
                <w:szCs w:val="20"/>
                <w:color w:val="auto"/>
              </w:rPr>
            </w:pPr>
            <w:r>
              <w:rPr>
                <w:rFonts w:ascii="Arial" w:cs="Arial" w:eastAsia="Arial" w:hAnsi="Arial"/>
                <w:sz w:val="10"/>
                <w:szCs w:val="10"/>
                <w:color w:val="auto"/>
              </w:rPr>
              <w:t>4</w:t>
            </w:r>
          </w:p>
        </w:tc>
      </w:tr>
      <w:tr>
        <w:trPr>
          <w:trHeight w:val="126"/>
        </w:trPr>
        <w:tc>
          <w:tcPr>
            <w:tcW w:w="1900" w:type="dxa"/>
            <w:vAlign w:val="bottom"/>
          </w:tcPr>
          <w:p>
            <w:pPr>
              <w:spacing w:after="0"/>
              <w:rPr>
                <w:sz w:val="20"/>
                <w:szCs w:val="20"/>
                <w:color w:val="auto"/>
              </w:rPr>
            </w:pPr>
            <w:r>
              <w:rPr>
                <w:rFonts w:ascii="Arial" w:cs="Arial" w:eastAsia="Arial" w:hAnsi="Arial"/>
                <w:sz w:val="10"/>
                <w:szCs w:val="10"/>
                <w:color w:val="auto"/>
              </w:rPr>
              <w:t>North America</w:t>
            </w:r>
          </w:p>
        </w:tc>
        <w:tc>
          <w:tcPr>
            <w:tcW w:w="380" w:type="dxa"/>
            <w:vAlign w:val="bottom"/>
            <w:shd w:val="clear" w:color="auto" w:fill="D9D9D9"/>
          </w:tcPr>
          <w:p>
            <w:pPr>
              <w:spacing w:after="0"/>
              <w:rPr>
                <w:sz w:val="10"/>
                <w:szCs w:val="10"/>
                <w:color w:val="auto"/>
              </w:rPr>
            </w:pPr>
          </w:p>
        </w:tc>
        <w:tc>
          <w:tcPr>
            <w:tcW w:w="5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20</w:t>
            </w:r>
          </w:p>
        </w:tc>
        <w:tc>
          <w:tcPr>
            <w:tcW w:w="1400" w:type="dxa"/>
            <w:vAlign w:val="bottom"/>
          </w:tcPr>
          <w:p>
            <w:pPr>
              <w:jc w:val="right"/>
              <w:ind w:right="493"/>
              <w:spacing w:after="0"/>
              <w:rPr>
                <w:sz w:val="20"/>
                <w:szCs w:val="20"/>
                <w:color w:val="auto"/>
              </w:rPr>
            </w:pPr>
            <w:r>
              <w:rPr>
                <w:rFonts w:ascii="Arial" w:cs="Arial" w:eastAsia="Arial" w:hAnsi="Arial"/>
                <w:sz w:val="10"/>
                <w:szCs w:val="10"/>
                <w:color w:val="auto"/>
              </w:rPr>
              <w:t>21</w:t>
            </w:r>
          </w:p>
        </w:tc>
        <w:tc>
          <w:tcPr>
            <w:tcW w:w="1240" w:type="dxa"/>
            <w:vAlign w:val="bottom"/>
          </w:tcPr>
          <w:p>
            <w:pPr>
              <w:jc w:val="right"/>
              <w:ind w:right="393"/>
              <w:spacing w:after="0"/>
              <w:rPr>
                <w:sz w:val="20"/>
                <w:szCs w:val="20"/>
                <w:color w:val="auto"/>
              </w:rPr>
            </w:pPr>
            <w:r>
              <w:rPr>
                <w:rFonts w:ascii="Arial" w:cs="Arial" w:eastAsia="Arial" w:hAnsi="Arial"/>
                <w:sz w:val="10"/>
                <w:szCs w:val="10"/>
                <w:color w:val="auto"/>
              </w:rPr>
              <w:t>21</w:t>
            </w:r>
          </w:p>
        </w:tc>
      </w:tr>
      <w:tr>
        <w:trPr>
          <w:trHeight w:val="130"/>
        </w:trPr>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South America</w:t>
            </w:r>
          </w:p>
        </w:tc>
        <w:tc>
          <w:tcPr>
            <w:tcW w:w="380" w:type="dxa"/>
            <w:vAlign w:val="bottom"/>
            <w:tcBorders>
              <w:bottom w:val="single" w:sz="8" w:color="auto"/>
            </w:tcBorders>
            <w:shd w:val="clear" w:color="auto" w:fill="D9D9D9"/>
          </w:tcPr>
          <w:p>
            <w:pPr>
              <w:spacing w:after="0"/>
              <w:rPr>
                <w:sz w:val="11"/>
                <w:szCs w:val="11"/>
                <w:color w:val="auto"/>
              </w:rPr>
            </w:pPr>
          </w:p>
        </w:tc>
        <w:tc>
          <w:tcPr>
            <w:tcW w:w="5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w:t>
            </w:r>
          </w:p>
        </w:tc>
        <w:tc>
          <w:tcPr>
            <w:tcW w:w="1400" w:type="dxa"/>
            <w:vAlign w:val="bottom"/>
            <w:tcBorders>
              <w:bottom w:val="single" w:sz="8" w:color="auto"/>
            </w:tcBorders>
          </w:tcPr>
          <w:p>
            <w:pPr>
              <w:jc w:val="right"/>
              <w:ind w:right="493"/>
              <w:spacing w:after="0"/>
              <w:rPr>
                <w:sz w:val="20"/>
                <w:szCs w:val="20"/>
                <w:color w:val="auto"/>
              </w:rPr>
            </w:pPr>
            <w:r>
              <w:rPr>
                <w:rFonts w:ascii="Arial" w:cs="Arial" w:eastAsia="Arial" w:hAnsi="Arial"/>
                <w:sz w:val="10"/>
                <w:szCs w:val="10"/>
                <w:color w:val="auto"/>
              </w:rPr>
              <w:t>2</w:t>
            </w: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color w:val="auto"/>
              </w:rPr>
              <w:t>2</w:t>
            </w:r>
          </w:p>
        </w:tc>
      </w:tr>
      <w:tr>
        <w:trPr>
          <w:trHeight w:val="117"/>
        </w:trPr>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380" w:type="dxa"/>
            <w:vAlign w:val="bottom"/>
            <w:tcBorders>
              <w:bottom w:val="single" w:sz="8" w:color="auto"/>
            </w:tcBorders>
            <w:shd w:val="clear" w:color="auto" w:fill="D9D9D9"/>
          </w:tcPr>
          <w:p>
            <w:pPr>
              <w:spacing w:after="0"/>
              <w:rPr>
                <w:sz w:val="10"/>
                <w:szCs w:val="10"/>
                <w:color w:val="auto"/>
              </w:rPr>
            </w:pPr>
          </w:p>
        </w:tc>
        <w:tc>
          <w:tcPr>
            <w:tcW w:w="5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87</w:t>
            </w:r>
          </w:p>
        </w:tc>
        <w:tc>
          <w:tcPr>
            <w:tcW w:w="1400" w:type="dxa"/>
            <w:vAlign w:val="bottom"/>
            <w:tcBorders>
              <w:bottom w:val="single" w:sz="8" w:color="auto"/>
            </w:tcBorders>
          </w:tcPr>
          <w:p>
            <w:pPr>
              <w:jc w:val="right"/>
              <w:ind w:right="493"/>
              <w:spacing w:after="0"/>
              <w:rPr>
                <w:sz w:val="20"/>
                <w:szCs w:val="20"/>
                <w:color w:val="auto"/>
              </w:rPr>
            </w:pPr>
            <w:r>
              <w:rPr>
                <w:rFonts w:ascii="Arial" w:cs="Arial" w:eastAsia="Arial" w:hAnsi="Arial"/>
                <w:sz w:val="10"/>
                <w:szCs w:val="10"/>
                <w:color w:val="auto"/>
              </w:rPr>
              <w:t>87</w:t>
            </w: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color w:val="auto"/>
              </w:rPr>
              <w:t>81</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0"/>
          <w:szCs w:val="10"/>
          <w:color w:val="auto"/>
        </w:rPr>
        <w:t>[</w:t>
      </w:r>
      <w:r>
        <w:rPr>
          <w:rFonts w:ascii="Arial" w:cs="Arial" w:eastAsia="Arial" w:hAnsi="Arial"/>
          <w:sz w:val="7"/>
          <w:szCs w:val="7"/>
          <w:color w:val="auto"/>
        </w:rPr>
        <w:t>A] As revised, numbers have been changed from average number to actual numbers. These numbers exclude those in companies with their own HR systems.</w:t>
      </w:r>
    </w:p>
    <w:p>
      <w:pPr>
        <w:spacing w:after="0" w:line="155" w:lineRule="exact"/>
        <w:rPr>
          <w:sz w:val="20"/>
          <w:szCs w:val="20"/>
          <w:color w:val="auto"/>
        </w:rPr>
      </w:pPr>
    </w:p>
    <w:p>
      <w:pPr>
        <w:spacing w:after="0" w:line="231" w:lineRule="auto"/>
        <w:rPr>
          <w:sz w:val="20"/>
          <w:szCs w:val="20"/>
          <w:color w:val="auto"/>
        </w:rPr>
      </w:pPr>
      <w:r>
        <w:rPr>
          <w:rFonts w:ascii="Arial" w:cs="Arial" w:eastAsia="Arial" w:hAnsi="Arial"/>
          <w:sz w:val="10"/>
          <w:szCs w:val="10"/>
          <w:color w:val="auto"/>
        </w:rPr>
        <w:t>In 2020, a total of 234,000 formal training days were provided for employees and joint-venture partners, compared with 373,000 in 2019. The decrease in formal training was caused by COVID-19-related travel restrictions, which significantly affected classroom and blended training plans. In response to this, we rapidly increased the number of courses that could be attended virtually, and created more digital resources to help our people learn, train and develop their skills. This allowed us to continue to invest in people and capabilities, while maintaining our focus on safety.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color w:val="auto"/>
        </w:rPr>
        <w:t>EMPLOYEE COMMUNICATION AND INVOLVEMENT</w:t>
      </w:r>
    </w:p>
    <w:p>
      <w:pPr>
        <w:ind w:right="160"/>
        <w:spacing w:after="0" w:line="295" w:lineRule="auto"/>
        <w:rPr>
          <w:sz w:val="20"/>
          <w:szCs w:val="20"/>
          <w:color w:val="auto"/>
        </w:rPr>
      </w:pPr>
      <w:r>
        <w:rPr>
          <w:rFonts w:ascii="Arial" w:cs="Arial" w:eastAsia="Arial" w:hAnsi="Arial"/>
          <w:sz w:val="8"/>
          <w:szCs w:val="8"/>
          <w:color w:val="auto"/>
        </w:rPr>
        <w:t>We strive to maintain a healthy employee and industrial relations environment. We seek to ensure that our work practices involve dialogue between management and employees – both directly and, where appropriate, through employee representative bodies. Management regularly engages with our employees through a range of formal and informal channels. These include webcasts and all-staff messages from our Chief Executive Officer (CEO) Ben van Beurden, senior leader webcasts, town halls, team meetings, virtual coffee/chai connects, interviews with Senior Management and online publications via our intranet.</w:t>
      </w:r>
    </w:p>
    <w:p>
      <w:pPr>
        <w:spacing w:after="0" w:line="129" w:lineRule="exact"/>
        <w:rPr>
          <w:sz w:val="20"/>
          <w:szCs w:val="20"/>
          <w:color w:val="auto"/>
        </w:rPr>
      </w:pPr>
    </w:p>
    <w:p>
      <w:pPr>
        <w:ind w:right="120"/>
        <w:spacing w:after="0" w:line="267" w:lineRule="auto"/>
        <w:rPr>
          <w:sz w:val="20"/>
          <w:szCs w:val="20"/>
          <w:color w:val="auto"/>
        </w:rPr>
      </w:pPr>
      <w:r>
        <w:rPr>
          <w:rFonts w:ascii="Arial" w:cs="Arial" w:eastAsia="Arial" w:hAnsi="Arial"/>
          <w:sz w:val="8"/>
          <w:szCs w:val="8"/>
          <w:color w:val="auto"/>
        </w:rPr>
        <w:t>We promote safe reporting of views about our processes and practices. In addition to local channels, the Shell Global Helpline enables our people and third parties to report potential breaches of the Shell General Business Principles and Shell Code of Conduct, confidentially and anonymously, in a variety of languages. In 2020, 1,425 cases were reported via the Shell Global Helpline: 1,153 allegations and 272 inquiries. In 2019, 1,686 cases were reported via the Shell Global Helpline: 1,278 allegations and 408 inquiries. Shell Internal Audit (SIA) is the custodian of the Shell Global Helpline process, which is managed by an independent third party. SIA is accountable for ensuring that the Shell Global Helpline functions as intended and that all allegations of Code of Conduct breaches (including bribery and corruption) are investigated and followed up appropriately. The Board has formally delegated to the Audit Committee the responsibility for reviewing the functioning of the Shell Global Helpline and the reports arising from its operation. The Audit Committee is also authorised to establish and monitor the implementation of procedures for the receipt, retention, proportionate and independent investigation and follow-up action of reported matters.</w:t>
      </w:r>
    </w:p>
    <w:p>
      <w:pPr>
        <w:spacing w:after="0" w:line="231" w:lineRule="exact"/>
        <w:rPr>
          <w:sz w:val="20"/>
          <w:szCs w:val="20"/>
          <w:color w:val="auto"/>
        </w:rPr>
      </w:pPr>
    </w:p>
    <w:p>
      <w:pPr>
        <w:ind w:right="160"/>
        <w:spacing w:after="0" w:line="300" w:lineRule="auto"/>
        <w:rPr>
          <w:sz w:val="20"/>
          <w:szCs w:val="20"/>
          <w:color w:val="auto"/>
        </w:rPr>
      </w:pPr>
      <w:r>
        <w:rPr>
          <w:rFonts w:ascii="Arial" w:cs="Arial" w:eastAsia="Arial" w:hAnsi="Arial"/>
          <w:sz w:val="8"/>
          <w:szCs w:val="8"/>
          <w:color w:val="auto"/>
        </w:rPr>
        <w:t>Strong employee engagement is especially important in maintaining strong business delivery in times of change. The Shell People Survey is one of the principal tools used to measure employee engagement, motivation, affiliation and commitment to Shell. It provides insights into employees’ views and has had a consistently high response rate. In 2020, the response rate was 86.1%, our highest ever level and an increase of 0.6 percentage points compared with 2019. The average employee engagement score was 78 points out of 100, the same as in 2019. This result gives Shell one of the leading employee engagement scores across a range of industries.</w:t>
      </w:r>
    </w:p>
    <w:p>
      <w:pPr>
        <w:spacing w:after="0" w:line="127" w:lineRule="exact"/>
        <w:rPr>
          <w:sz w:val="20"/>
          <w:szCs w:val="20"/>
          <w:color w:val="auto"/>
        </w:rPr>
      </w:pPr>
    </w:p>
    <w:p>
      <w:pPr>
        <w:ind w:right="180"/>
        <w:spacing w:after="0" w:line="273" w:lineRule="auto"/>
        <w:rPr>
          <w:sz w:val="20"/>
          <w:szCs w:val="20"/>
          <w:color w:val="auto"/>
        </w:rPr>
      </w:pPr>
      <w:r>
        <w:rPr>
          <w:rFonts w:ascii="Arial" w:cs="Arial" w:eastAsia="Arial" w:hAnsi="Arial"/>
          <w:sz w:val="8"/>
          <w:szCs w:val="8"/>
          <w:color w:val="auto"/>
        </w:rPr>
        <w:t>In 2020, we faced the worldwide COVID-19 pandemic. In response, we strengthened the country chair network so we could respond locally to the challenges of the pandemic as experienced by our staff, businesses, suppliers and customers. We also provided global support on health. We offered a home-working ergonomics programme, which involved more than 50,000 staff having a health-based risk assessment, receiving advice and if necessary receiving support to buy office and IT equipment. We established a Care for Self programme to encourage staff to pay attention to their physical and mental well-being, and to support them as they did so. This was considered particularly important, given the stresses placed on staff by the COVID-19 pandemic and lockdowns.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DIVERSITY AND INCLUSION</w:t>
      </w:r>
    </w:p>
    <w:p>
      <w:pPr>
        <w:spacing w:after="0" w:line="237" w:lineRule="auto"/>
        <w:rPr>
          <w:sz w:val="20"/>
          <w:szCs w:val="20"/>
          <w:color w:val="auto"/>
        </w:rPr>
      </w:pPr>
      <w:r>
        <w:rPr>
          <w:rFonts w:ascii="Arial" w:cs="Arial" w:eastAsia="Arial" w:hAnsi="Arial"/>
          <w:sz w:val="10"/>
          <w:szCs w:val="10"/>
          <w:color w:val="auto"/>
        </w:rPr>
        <w:t>Our diversity and inclusion approach focuses on hiring, developing and retaining the best people.</w:t>
      </w:r>
    </w:p>
    <w:p>
      <w:pPr>
        <w:spacing w:after="0" w:line="86" w:lineRule="exact"/>
        <w:rPr>
          <w:sz w:val="20"/>
          <w:szCs w:val="20"/>
          <w:color w:val="auto"/>
        </w:rPr>
      </w:pPr>
    </w:p>
    <w:p>
      <w:pPr>
        <w:ind w:right="200"/>
        <w:spacing w:after="0" w:line="222" w:lineRule="auto"/>
        <w:rPr>
          <w:sz w:val="20"/>
          <w:szCs w:val="20"/>
          <w:color w:val="auto"/>
        </w:rPr>
      </w:pPr>
      <w:r>
        <w:rPr>
          <w:rFonts w:ascii="Arial" w:cs="Arial" w:eastAsia="Arial" w:hAnsi="Arial"/>
          <w:sz w:val="10"/>
          <w:szCs w:val="10"/>
          <w:color w:val="auto"/>
        </w:rPr>
        <w:t>Embedding the principles of diversity and inclusion in the way we do business improves our understanding of the needs of our people, partners, suppliers and customers. A diverse workforce, and an inclusive, caring environment that respects and nurtures diverse people, help us to improve our safety and business performance.</w:t>
      </w:r>
    </w:p>
    <w:p>
      <w:pPr>
        <w:spacing w:after="0" w:line="140" w:lineRule="exact"/>
        <w:rPr>
          <w:sz w:val="20"/>
          <w:szCs w:val="20"/>
          <w:color w:val="auto"/>
        </w:rPr>
      </w:pPr>
    </w:p>
    <w:p>
      <w:pPr>
        <w:ind w:right="160"/>
        <w:spacing w:after="0" w:line="283" w:lineRule="auto"/>
        <w:rPr>
          <w:sz w:val="20"/>
          <w:szCs w:val="20"/>
          <w:color w:val="auto"/>
        </w:rPr>
      </w:pPr>
      <w:r>
        <w:rPr>
          <w:rFonts w:ascii="Arial" w:cs="Arial" w:eastAsia="Arial" w:hAnsi="Arial"/>
          <w:sz w:val="8"/>
          <w:szCs w:val="8"/>
          <w:color w:val="auto"/>
        </w:rPr>
        <w:t>We continue to focus on recruiting, developing and promoting more women, and we are supporting initiatives that encourage girls to study science, technology, engineering and mathematics (STEM). We also do this by creating a culture of respect and inclusion. Our CEO Ben van Beurden joined the Catalyst CEO Champions for Change, a group of more than 50 CEOs who pledge to support women’s advancement at all levels of leadership. Our CEO actively supports the Shell global gender gap campaign, which seeks to close the gender gap in STEM roles.</w:t>
      </w:r>
    </w:p>
    <w:p>
      <w:pPr>
        <w:spacing w:after="0" w:line="124" w:lineRule="exact"/>
        <w:rPr>
          <w:sz w:val="20"/>
          <w:szCs w:val="20"/>
          <w:color w:val="auto"/>
        </w:rPr>
      </w:pPr>
    </w:p>
    <w:p>
      <w:pPr>
        <w:ind w:right="140"/>
        <w:spacing w:after="0" w:line="234" w:lineRule="auto"/>
        <w:rPr>
          <w:sz w:val="20"/>
          <w:szCs w:val="20"/>
          <w:color w:val="auto"/>
        </w:rPr>
      </w:pPr>
      <w:r>
        <w:rPr>
          <w:rFonts w:ascii="Arial" w:cs="Arial" w:eastAsia="Arial" w:hAnsi="Arial"/>
          <w:sz w:val="10"/>
          <w:szCs w:val="10"/>
          <w:color w:val="auto"/>
        </w:rPr>
        <w:t>In 2020, 49% of our graduate recruits were female, compared with 48% in 2019. At the end of 2020, the proportion of women in senior leadership positions was 27.8 %, an increase of 1.4 percentage points compared with the end of 2019. “Senior leadership positions” is a Shell measure based on</w:t>
      </w:r>
    </w:p>
    <w:p>
      <w:pPr>
        <w:spacing w:after="0" w:line="696" w:lineRule="exact"/>
        <w:rPr>
          <w:sz w:val="20"/>
          <w:szCs w:val="20"/>
          <w:color w:val="auto"/>
        </w:rPr>
      </w:pPr>
    </w:p>
    <w:p>
      <w:pPr>
        <w:sectPr>
          <w:pgSz w:w="11900" w:h="16838" w:orient="portrait"/>
          <w:cols w:equalWidth="0" w:num="2">
            <w:col w:w="5440" w:space="280"/>
            <w:col w:w="5580"/>
          </w:cols>
          <w:pgMar w:left="300" w:top="865" w:right="299" w:bottom="1440" w:gutter="0" w:footer="0" w:header="0"/>
        </w:sect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86</w:t>
            </w:r>
          </w:p>
        </w:tc>
      </w:tr>
      <w:tr>
        <w:trPr>
          <w:trHeight w:val="142"/>
        </w:trPr>
        <w:tc>
          <w:tcPr>
            <w:tcW w:w="3500" w:type="dxa"/>
            <w:vAlign w:val="bottom"/>
            <w:tcBorders>
              <w:bottom w:val="single" w:sz="8" w:color="9A9A9A"/>
            </w:tcBorders>
          </w:tcPr>
          <w:p>
            <w:pPr>
              <w:spacing w:after="0"/>
              <w:rPr>
                <w:sz w:val="12"/>
                <w:szCs w:val="12"/>
                <w:color w:val="auto"/>
              </w:rPr>
            </w:pPr>
          </w:p>
        </w:tc>
        <w:tc>
          <w:tcPr>
            <w:tcW w:w="78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65" w:right="299" w:bottom="1440" w:gutter="0" w:footer="0" w:header="0"/>
          <w:type w:val="continuous"/>
        </w:sectPr>
      </w:pPr>
    </w:p>
    <w:bookmarkStart w:id="89" w:name="page90"/>
    <w:bookmarkEnd w:id="89"/>
    <w:p>
      <w:pPr>
        <w:ind w:left="8"/>
        <w:spacing w:after="0"/>
        <w:rPr>
          <w:sz w:val="20"/>
          <w:szCs w:val="20"/>
          <w:color w:val="auto"/>
        </w:rPr>
      </w:pPr>
      <w:r>
        <w:rPr>
          <w:rFonts w:ascii="Arial" w:cs="Arial" w:eastAsia="Arial" w:hAnsi="Arial"/>
          <w:sz w:val="10"/>
          <w:szCs w:val="10"/>
          <w:color w:val="auto"/>
        </w:rPr>
        <w:t>salary group levels and is distinct from the term “senior manager” in the statutory disclosures set out below.</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0"/>
          <w:szCs w:val="10"/>
          <w:color w:val="auto"/>
        </w:rPr>
        <w:t>Gender diversity data (at December 31, 2020)</w:t>
      </w:r>
    </w:p>
    <w:p>
      <w:pPr>
        <w:spacing w:after="0" w:line="51" w:lineRule="exact"/>
        <w:rPr>
          <w:sz w:val="20"/>
          <w:szCs w:val="20"/>
          <w:color w:val="auto"/>
        </w:rPr>
      </w:pPr>
    </w:p>
    <w:tbl>
      <w:tblPr>
        <w:tblLayout w:type="fixed"/>
        <w:tblInd w:w="8" w:type="dxa"/>
        <w:tblCellMar>
          <w:top w:w="0" w:type="dxa"/>
          <w:left w:w="0" w:type="dxa"/>
          <w:bottom w:w="0" w:type="dxa"/>
          <w:right w:w="0" w:type="dxa"/>
        </w:tblCellMar>
      </w:tblPr>
      <w:tr>
        <w:trPr>
          <w:trHeight w:val="105"/>
        </w:trPr>
        <w:tc>
          <w:tcPr>
            <w:tcW w:w="19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Number</w:t>
            </w:r>
          </w:p>
        </w:tc>
      </w:tr>
      <w:tr>
        <w:trPr>
          <w:trHeight w:val="123"/>
        </w:trPr>
        <w:tc>
          <w:tcPr>
            <w:tcW w:w="19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8"/>
                <w:szCs w:val="8"/>
                <w:color w:val="auto"/>
              </w:rPr>
              <w:t>Men</w:t>
            </w:r>
          </w:p>
        </w:tc>
        <w:tc>
          <w:tcPr>
            <w:tcW w:w="7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Women</w:t>
            </w:r>
          </w:p>
        </w:tc>
      </w:tr>
      <w:tr>
        <w:trPr>
          <w:trHeight w:val="116"/>
        </w:trPr>
        <w:tc>
          <w:tcPr>
            <w:tcW w:w="1920" w:type="dxa"/>
            <w:vAlign w:val="bottom"/>
          </w:tcPr>
          <w:p>
            <w:pPr>
              <w:spacing w:after="0"/>
              <w:rPr>
                <w:sz w:val="20"/>
                <w:szCs w:val="20"/>
                <w:color w:val="auto"/>
              </w:rPr>
            </w:pPr>
            <w:r>
              <w:rPr>
                <w:rFonts w:ascii="Arial" w:cs="Arial" w:eastAsia="Arial" w:hAnsi="Arial"/>
                <w:sz w:val="10"/>
                <w:szCs w:val="10"/>
                <w:color w:val="auto"/>
              </w:rPr>
              <w:t>Directors of the Company</w:t>
            </w:r>
          </w:p>
        </w:tc>
        <w:tc>
          <w:tcPr>
            <w:tcW w:w="1380" w:type="dxa"/>
            <w:vAlign w:val="bottom"/>
          </w:tcPr>
          <w:p>
            <w:pPr>
              <w:jc w:val="right"/>
              <w:ind w:right="298"/>
              <w:spacing w:after="0"/>
              <w:rPr>
                <w:sz w:val="20"/>
                <w:szCs w:val="20"/>
                <w:color w:val="auto"/>
              </w:rPr>
            </w:pPr>
            <w:r>
              <w:rPr>
                <w:rFonts w:ascii="Arial" w:cs="Arial" w:eastAsia="Arial" w:hAnsi="Arial"/>
                <w:sz w:val="8"/>
                <w:szCs w:val="8"/>
                <w:color w:val="auto"/>
              </w:rPr>
              <w:t>8</w:t>
            </w:r>
          </w:p>
        </w:tc>
        <w:tc>
          <w:tcPr>
            <w:tcW w:w="820" w:type="dxa"/>
            <w:vAlign w:val="bottom"/>
          </w:tcPr>
          <w:p>
            <w:pPr>
              <w:jc w:val="right"/>
              <w:ind w:right="258"/>
              <w:spacing w:after="0"/>
              <w:rPr>
                <w:sz w:val="20"/>
                <w:szCs w:val="20"/>
                <w:color w:val="auto"/>
              </w:rPr>
            </w:pPr>
            <w:r>
              <w:rPr>
                <w:rFonts w:ascii="Arial" w:cs="Arial" w:eastAsia="Arial" w:hAnsi="Arial"/>
                <w:sz w:val="8"/>
                <w:szCs w:val="8"/>
                <w:color w:val="auto"/>
              </w:rPr>
              <w:t>62 %</w:t>
            </w:r>
          </w:p>
        </w:tc>
        <w:tc>
          <w:tcPr>
            <w:tcW w:w="740" w:type="dxa"/>
            <w:vAlign w:val="bottom"/>
          </w:tcPr>
          <w:p>
            <w:pPr>
              <w:jc w:val="right"/>
              <w:ind w:right="258"/>
              <w:spacing w:after="0"/>
              <w:rPr>
                <w:sz w:val="20"/>
                <w:szCs w:val="20"/>
                <w:color w:val="auto"/>
              </w:rPr>
            </w:pPr>
            <w:r>
              <w:rPr>
                <w:rFonts w:ascii="Arial" w:cs="Arial" w:eastAsia="Arial" w:hAnsi="Arial"/>
                <w:sz w:val="8"/>
                <w:szCs w:val="8"/>
                <w:color w:val="auto"/>
              </w:rPr>
              <w:t>5</w:t>
            </w:r>
          </w:p>
        </w:tc>
        <w:tc>
          <w:tcPr>
            <w:tcW w:w="580" w:type="dxa"/>
            <w:vAlign w:val="bottom"/>
          </w:tcPr>
          <w:p>
            <w:pPr>
              <w:jc w:val="right"/>
              <w:spacing w:after="0"/>
              <w:rPr>
                <w:sz w:val="20"/>
                <w:szCs w:val="20"/>
                <w:color w:val="auto"/>
              </w:rPr>
            </w:pPr>
            <w:r>
              <w:rPr>
                <w:rFonts w:ascii="Arial" w:cs="Arial" w:eastAsia="Arial" w:hAnsi="Arial"/>
                <w:sz w:val="8"/>
                <w:szCs w:val="8"/>
                <w:color w:val="auto"/>
              </w:rPr>
              <w:t>38 %</w:t>
            </w:r>
          </w:p>
        </w:tc>
      </w:tr>
      <w:tr>
        <w:trPr>
          <w:trHeight w:val="123"/>
        </w:trPr>
        <w:tc>
          <w:tcPr>
            <w:tcW w:w="1920" w:type="dxa"/>
            <w:vAlign w:val="bottom"/>
          </w:tcPr>
          <w:p>
            <w:pPr>
              <w:spacing w:after="0"/>
              <w:rPr>
                <w:sz w:val="20"/>
                <w:szCs w:val="20"/>
                <w:color w:val="auto"/>
              </w:rPr>
            </w:pPr>
            <w:r>
              <w:rPr>
                <w:rFonts w:ascii="Arial" w:cs="Arial" w:eastAsia="Arial" w:hAnsi="Arial"/>
                <w:sz w:val="10"/>
                <w:szCs w:val="10"/>
                <w:color w:val="auto"/>
              </w:rPr>
              <w:t>Senior managers [A]</w:t>
            </w:r>
          </w:p>
        </w:tc>
        <w:tc>
          <w:tcPr>
            <w:tcW w:w="1380" w:type="dxa"/>
            <w:vAlign w:val="bottom"/>
          </w:tcPr>
          <w:p>
            <w:pPr>
              <w:jc w:val="right"/>
              <w:ind w:right="298"/>
              <w:spacing w:after="0"/>
              <w:rPr>
                <w:sz w:val="20"/>
                <w:szCs w:val="20"/>
                <w:color w:val="auto"/>
              </w:rPr>
            </w:pPr>
            <w:r>
              <w:rPr>
                <w:rFonts w:ascii="Arial" w:cs="Arial" w:eastAsia="Arial" w:hAnsi="Arial"/>
                <w:sz w:val="8"/>
                <w:szCs w:val="8"/>
                <w:color w:val="auto"/>
              </w:rPr>
              <w:t>632</w:t>
            </w:r>
          </w:p>
        </w:tc>
        <w:tc>
          <w:tcPr>
            <w:tcW w:w="820" w:type="dxa"/>
            <w:vAlign w:val="bottom"/>
          </w:tcPr>
          <w:p>
            <w:pPr>
              <w:jc w:val="right"/>
              <w:ind w:right="258"/>
              <w:spacing w:after="0"/>
              <w:rPr>
                <w:sz w:val="20"/>
                <w:szCs w:val="20"/>
                <w:color w:val="auto"/>
              </w:rPr>
            </w:pPr>
            <w:r>
              <w:rPr>
                <w:rFonts w:ascii="Arial" w:cs="Arial" w:eastAsia="Arial" w:hAnsi="Arial"/>
                <w:sz w:val="8"/>
                <w:szCs w:val="8"/>
                <w:color w:val="auto"/>
              </w:rPr>
              <w:t>71 %</w:t>
            </w:r>
          </w:p>
        </w:tc>
        <w:tc>
          <w:tcPr>
            <w:tcW w:w="740" w:type="dxa"/>
            <w:vAlign w:val="bottom"/>
          </w:tcPr>
          <w:p>
            <w:pPr>
              <w:jc w:val="right"/>
              <w:ind w:right="258"/>
              <w:spacing w:after="0"/>
              <w:rPr>
                <w:sz w:val="20"/>
                <w:szCs w:val="20"/>
                <w:color w:val="auto"/>
              </w:rPr>
            </w:pPr>
            <w:r>
              <w:rPr>
                <w:rFonts w:ascii="Arial" w:cs="Arial" w:eastAsia="Arial" w:hAnsi="Arial"/>
                <w:sz w:val="8"/>
                <w:szCs w:val="8"/>
                <w:color w:val="auto"/>
              </w:rPr>
              <w:t>258</w:t>
            </w:r>
          </w:p>
        </w:tc>
        <w:tc>
          <w:tcPr>
            <w:tcW w:w="580" w:type="dxa"/>
            <w:vAlign w:val="bottom"/>
          </w:tcPr>
          <w:p>
            <w:pPr>
              <w:jc w:val="right"/>
              <w:spacing w:after="0"/>
              <w:rPr>
                <w:sz w:val="20"/>
                <w:szCs w:val="20"/>
                <w:color w:val="auto"/>
              </w:rPr>
            </w:pPr>
            <w:r>
              <w:rPr>
                <w:rFonts w:ascii="Arial" w:cs="Arial" w:eastAsia="Arial" w:hAnsi="Arial"/>
                <w:sz w:val="8"/>
                <w:szCs w:val="8"/>
                <w:color w:val="auto"/>
              </w:rPr>
              <w:t>29 %</w:t>
            </w:r>
          </w:p>
        </w:tc>
      </w:tr>
      <w:tr>
        <w:trPr>
          <w:trHeight w:val="130"/>
        </w:trPr>
        <w:tc>
          <w:tcPr>
            <w:tcW w:w="1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Employees (thousand)</w:t>
            </w:r>
          </w:p>
        </w:tc>
        <w:tc>
          <w:tcPr>
            <w:tcW w:w="1380" w:type="dxa"/>
            <w:vAlign w:val="bottom"/>
            <w:tcBorders>
              <w:bottom w:val="single" w:sz="8" w:color="auto"/>
            </w:tcBorders>
          </w:tcPr>
          <w:p>
            <w:pPr>
              <w:jc w:val="right"/>
              <w:ind w:right="298"/>
              <w:spacing w:after="0"/>
              <w:rPr>
                <w:sz w:val="20"/>
                <w:szCs w:val="20"/>
                <w:color w:val="auto"/>
              </w:rPr>
            </w:pPr>
            <w:r>
              <w:rPr>
                <w:rFonts w:ascii="Arial" w:cs="Arial" w:eastAsia="Arial" w:hAnsi="Arial"/>
                <w:sz w:val="8"/>
                <w:szCs w:val="8"/>
                <w:color w:val="auto"/>
              </w:rPr>
              <w:t>59</w:t>
            </w: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8"/>
                <w:szCs w:val="8"/>
                <w:color w:val="auto"/>
              </w:rPr>
              <w:t>68 %</w:t>
            </w:r>
          </w:p>
        </w:tc>
        <w:tc>
          <w:tcPr>
            <w:tcW w:w="740" w:type="dxa"/>
            <w:vAlign w:val="bottom"/>
            <w:tcBorders>
              <w:bottom w:val="single" w:sz="8" w:color="auto"/>
            </w:tcBorders>
          </w:tcPr>
          <w:p>
            <w:pPr>
              <w:jc w:val="right"/>
              <w:ind w:right="258"/>
              <w:spacing w:after="0"/>
              <w:rPr>
                <w:sz w:val="20"/>
                <w:szCs w:val="20"/>
                <w:color w:val="auto"/>
              </w:rPr>
            </w:pPr>
            <w:r>
              <w:rPr>
                <w:rFonts w:ascii="Arial" w:cs="Arial" w:eastAsia="Arial" w:hAnsi="Arial"/>
                <w:sz w:val="8"/>
                <w:szCs w:val="8"/>
                <w:color w:val="auto"/>
              </w:rPr>
              <w:t>28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32 %</w:t>
            </w:r>
          </w:p>
        </w:tc>
      </w:tr>
    </w:tbl>
    <w:p>
      <w:pPr>
        <w:spacing w:after="0" w:line="65" w:lineRule="exact"/>
        <w:rPr>
          <w:sz w:val="20"/>
          <w:szCs w:val="20"/>
          <w:color w:val="auto"/>
        </w:rPr>
      </w:pPr>
    </w:p>
    <w:p>
      <w:pPr>
        <w:ind w:left="8" w:right="40" w:hanging="8"/>
        <w:spacing w:after="0" w:line="270" w:lineRule="auto"/>
        <w:tabs>
          <w:tab w:leader="none" w:pos="126" w:val="left"/>
        </w:tabs>
        <w:numPr>
          <w:ilvl w:val="0"/>
          <w:numId w:val="89"/>
        </w:numPr>
        <w:rPr>
          <w:rFonts w:ascii="Arial" w:cs="Arial" w:eastAsia="Arial" w:hAnsi="Arial"/>
          <w:sz w:val="7"/>
          <w:szCs w:val="7"/>
          <w:color w:val="auto"/>
          <w:shd w:val="clear" w:color="auto" w:fill="BFE4FF"/>
        </w:rPr>
      </w:pPr>
      <w:r>
        <w:rPr>
          <w:rFonts w:ascii="Arial" w:cs="Arial" w:eastAsia="Arial" w:hAnsi="Arial"/>
          <w:sz w:val="7"/>
          <w:szCs w:val="7"/>
          <w:color w:val="auto"/>
        </w:rPr>
        <w:t>Senior manager is defined in section 414C(9) of the Companies Act 2006 and, accordingly, the number disclosed comprises the Executive Committee members who were not Directors of the Company, and other directors of Shell subsidiaries.</w:t>
      </w:r>
    </w:p>
    <w:p>
      <w:pPr>
        <w:spacing w:after="0" w:line="138" w:lineRule="exact"/>
        <w:rPr>
          <w:sz w:val="20"/>
          <w:szCs w:val="20"/>
          <w:color w:val="auto"/>
        </w:rPr>
      </w:pPr>
    </w:p>
    <w:p>
      <w:pPr>
        <w:jc w:val="both"/>
        <w:ind w:left="8" w:right="40"/>
        <w:spacing w:after="0" w:line="296" w:lineRule="auto"/>
        <w:rPr>
          <w:sz w:val="20"/>
          <w:szCs w:val="20"/>
          <w:color w:val="auto"/>
        </w:rPr>
      </w:pPr>
      <w:r>
        <w:rPr>
          <w:rFonts w:ascii="Arial" w:cs="Arial" w:eastAsia="Arial" w:hAnsi="Arial"/>
          <w:sz w:val="8"/>
          <w:szCs w:val="8"/>
          <w:color w:val="auto"/>
        </w:rPr>
        <w:t>We are creating an environment where people with disabilities can excel. We will provide support and can make adjustments for people with disabilities through the recruitment process and throughout their careers with Shell, including equal access to valuable educational resources, training programmes, and emphasis on personal and professional development.</w:t>
      </w:r>
    </w:p>
    <w:p>
      <w:pPr>
        <w:spacing w:after="0" w:line="119" w:lineRule="exact"/>
        <w:rPr>
          <w:sz w:val="20"/>
          <w:szCs w:val="20"/>
          <w:color w:val="auto"/>
        </w:rPr>
      </w:pPr>
    </w:p>
    <w:p>
      <w:pPr>
        <w:ind w:left="8" w:right="20"/>
        <w:spacing w:after="0" w:line="358" w:lineRule="auto"/>
        <w:rPr>
          <w:sz w:val="20"/>
          <w:szCs w:val="20"/>
          <w:color w:val="auto"/>
        </w:rPr>
      </w:pPr>
      <w:r>
        <w:rPr>
          <w:rFonts w:ascii="Arial" w:cs="Arial" w:eastAsia="Arial" w:hAnsi="Arial"/>
          <w:sz w:val="8"/>
          <w:szCs w:val="8"/>
          <w:color w:val="auto"/>
        </w:rPr>
        <w:t>Our workplace accessibility service currently serves 83 locations globally. The service is designed to ensure that all employees have access to reasonable physical workplace or other adjustments so that they can work effectively and productively.</w:t>
      </w:r>
    </w:p>
    <w:p>
      <w:pPr>
        <w:spacing w:after="0" w:line="104" w:lineRule="exact"/>
        <w:rPr>
          <w:sz w:val="20"/>
          <w:szCs w:val="20"/>
          <w:color w:val="auto"/>
        </w:rPr>
      </w:pPr>
    </w:p>
    <w:p>
      <w:pPr>
        <w:ind w:left="8"/>
        <w:spacing w:after="0" w:line="307" w:lineRule="auto"/>
        <w:rPr>
          <w:sz w:val="20"/>
          <w:szCs w:val="20"/>
          <w:color w:val="auto"/>
        </w:rPr>
      </w:pPr>
      <w:r>
        <w:rPr>
          <w:rFonts w:ascii="Arial" w:cs="Arial" w:eastAsia="Arial" w:hAnsi="Arial"/>
          <w:sz w:val="8"/>
          <w:szCs w:val="8"/>
          <w:color w:val="auto"/>
        </w:rPr>
        <w:t>To further support our employees with disabilities, we have created internal employee networks, including the enABLE networks that support and highlight the work of disabled employees in Shell. First launched in the UK in 2005, we now have 13 enABLE networks in countries including Brazil, Canada, France, India, the Netherlands, the UK and the USA. The disability and enablement focus area is sponsored by Harry Brekelmans, Executive Director for Projects &amp; Technology and Huibert Vigeveno, Executive Director for Downstream.</w:t>
      </w:r>
    </w:p>
    <w:p>
      <w:pPr>
        <w:spacing w:after="0" w:line="123" w:lineRule="exact"/>
        <w:rPr>
          <w:sz w:val="20"/>
          <w:szCs w:val="20"/>
          <w:color w:val="auto"/>
        </w:rPr>
      </w:pPr>
    </w:p>
    <w:p>
      <w:pPr>
        <w:ind w:left="8" w:right="180"/>
        <w:spacing w:after="0" w:line="307" w:lineRule="auto"/>
        <w:rPr>
          <w:sz w:val="20"/>
          <w:szCs w:val="20"/>
          <w:color w:val="auto"/>
        </w:rPr>
      </w:pPr>
      <w:r>
        <w:rPr>
          <w:rFonts w:ascii="Arial" w:cs="Arial" w:eastAsia="Arial" w:hAnsi="Arial"/>
          <w:sz w:val="8"/>
          <w:szCs w:val="8"/>
          <w:color w:val="auto"/>
        </w:rPr>
        <w:t>Shell is a member of the disability campaign The Valuable 500, which seeks to eliminate the exclusion of disabled people worldwide and ensure disability remains a priority for global business leaders. We are also members of Business Disability Forum, a membership organisation that exists to create a disability smart world by linking businesses, disabled people, and government, and Purplespace, a networking and professional development hub for disabled employees, employee network leads and allies from all sectors and trades.</w:t>
      </w:r>
    </w:p>
    <w:p>
      <w:pPr>
        <w:spacing w:after="0" w:line="123" w:lineRule="exact"/>
        <w:rPr>
          <w:sz w:val="20"/>
          <w:szCs w:val="20"/>
          <w:color w:val="auto"/>
        </w:rPr>
      </w:pPr>
    </w:p>
    <w:p>
      <w:pPr>
        <w:ind w:left="8" w:right="20"/>
        <w:spacing w:after="0" w:line="214" w:lineRule="auto"/>
        <w:rPr>
          <w:sz w:val="20"/>
          <w:szCs w:val="20"/>
          <w:color w:val="auto"/>
        </w:rPr>
      </w:pPr>
      <w:r>
        <w:rPr>
          <w:rFonts w:ascii="Arial" w:cs="Arial" w:eastAsia="Arial" w:hAnsi="Arial"/>
          <w:sz w:val="10"/>
          <w:szCs w:val="10"/>
          <w:color w:val="auto"/>
        </w:rPr>
        <w:t>At Shell, we support and enable remarkable people from every background, and strive to be a leader in lesbian, gay, bisexual and transgender (LGBT+) inclusion in the workplace. We have pledged support for the UN LGBTI Standards of Conduct for Business. We benchmark ourselves externally, with consistent top-tier results. For example, in 2020, in the USA we earned a 100% score in the Human Rights Campaign Foundation’s Corporate Equality Index, a recognition we have earned annually since 2016. In 2020, Shell has again been benchmarked as a top employer in the Workplace Pride Global Benchmark inclusive workplace survey, scoring 94.2% compared with a median score of 50-60%.</w:t>
      </w:r>
    </w:p>
    <w:p>
      <w:pPr>
        <w:spacing w:after="0" w:line="141" w:lineRule="exact"/>
        <w:rPr>
          <w:sz w:val="20"/>
          <w:szCs w:val="20"/>
          <w:color w:val="auto"/>
        </w:rPr>
      </w:pPr>
    </w:p>
    <w:p>
      <w:pPr>
        <w:ind w:left="8" w:right="180"/>
        <w:spacing w:after="0" w:line="234" w:lineRule="auto"/>
        <w:rPr>
          <w:sz w:val="20"/>
          <w:szCs w:val="20"/>
          <w:color w:val="auto"/>
        </w:rPr>
      </w:pPr>
      <w:r>
        <w:rPr>
          <w:rFonts w:ascii="Arial" w:cs="Arial" w:eastAsia="Arial" w:hAnsi="Arial"/>
          <w:sz w:val="10"/>
          <w:szCs w:val="10"/>
          <w:color w:val="auto"/>
        </w:rPr>
        <w:t>We have also created a global LGBT+ forum consisting of LGBT+ colleagues and allies and backed by members of the Executive Committee. The forum is taking action in a number of areas, for example, strengthening our approach to talent development and industry collaborations, including with non-governmental organisations.</w:t>
      </w:r>
    </w:p>
    <w:p>
      <w:pPr>
        <w:spacing w:after="0" w:line="132" w:lineRule="exact"/>
        <w:rPr>
          <w:sz w:val="20"/>
          <w:szCs w:val="20"/>
          <w:color w:val="auto"/>
        </w:rPr>
      </w:pPr>
    </w:p>
    <w:p>
      <w:pPr>
        <w:jc w:val="both"/>
        <w:ind w:left="8" w:right="100"/>
        <w:spacing w:after="0" w:line="232" w:lineRule="auto"/>
        <w:rPr>
          <w:sz w:val="20"/>
          <w:szCs w:val="20"/>
          <w:color w:val="auto"/>
        </w:rPr>
      </w:pPr>
      <w:r>
        <w:rPr>
          <w:rFonts w:ascii="Arial" w:cs="Arial" w:eastAsia="Arial" w:hAnsi="Arial"/>
          <w:sz w:val="10"/>
          <w:szCs w:val="10"/>
          <w:color w:val="auto"/>
        </w:rPr>
        <w:t>Shell has established a global D&amp;I Council for Race, sponsored by our CEO Ben van Beurden. The council aims to build on our actions to advance diversity in our workforce so it better reflects communities where we work and from which we draw talent. While seeking to drive change across the organisation, the council has identified the USA and the UK as the focus of much of its initial efforts to address diversity and inclusion challenges.</w:t>
      </w:r>
    </w:p>
    <w:p>
      <w:pPr>
        <w:spacing w:after="0" w:line="149" w:lineRule="exact"/>
        <w:rPr>
          <w:sz w:val="20"/>
          <w:szCs w:val="20"/>
          <w:color w:val="auto"/>
        </w:rPr>
      </w:pPr>
    </w:p>
    <w:p>
      <w:pPr>
        <w:ind w:left="8"/>
        <w:spacing w:after="0" w:line="234" w:lineRule="auto"/>
        <w:rPr>
          <w:sz w:val="20"/>
          <w:szCs w:val="20"/>
          <w:color w:val="auto"/>
        </w:rPr>
      </w:pPr>
      <w:r>
        <w:rPr>
          <w:rFonts w:ascii="Arial" w:cs="Arial" w:eastAsia="Arial" w:hAnsi="Arial"/>
          <w:sz w:val="10"/>
          <w:szCs w:val="10"/>
          <w:color w:val="auto"/>
        </w:rPr>
        <w:t>The local national coverage is the number of senior local nationals (both those working in their respective base country and those expatriated) as a percentage of the number of senior leadership positions in their base country. The total number of senior leadership roles has reduced which resulting in the drop of local national coverage.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1820" w:type="dxa"/>
            <w:vAlign w:val="bottom"/>
          </w:tcPr>
          <w:p>
            <w:pPr>
              <w:spacing w:after="0"/>
              <w:rPr>
                <w:sz w:val="20"/>
                <w:szCs w:val="20"/>
                <w:color w:val="auto"/>
              </w:rPr>
            </w:pPr>
            <w:r>
              <w:rPr>
                <w:rFonts w:ascii="Arial" w:cs="Arial" w:eastAsia="Arial" w:hAnsi="Arial"/>
                <w:sz w:val="10"/>
                <w:szCs w:val="10"/>
                <w:color w:val="auto"/>
                <w:w w:val="96"/>
              </w:rPr>
              <w:t>Local national coverage (at December 31)</w:t>
            </w: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396"/>
        </w:trPr>
        <w:tc>
          <w:tcPr>
            <w:tcW w:w="1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0"/>
                <w:szCs w:val="10"/>
                <w:color w:val="auto"/>
              </w:rPr>
              <w:t>Local national coverage (at December 31)</w:t>
            </w:r>
          </w:p>
        </w:tc>
      </w:tr>
      <w:tr>
        <w:trPr>
          <w:trHeight w:val="126"/>
        </w:trPr>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380" w:type="dxa"/>
            <w:vAlign w:val="bottom"/>
            <w:gridSpan w:val="2"/>
          </w:tcPr>
          <w:p>
            <w:pPr>
              <w:jc w:val="right"/>
              <w:spacing w:after="0"/>
              <w:rPr>
                <w:sz w:val="20"/>
                <w:szCs w:val="20"/>
                <w:color w:val="auto"/>
              </w:rPr>
            </w:pPr>
            <w:r>
              <w:rPr>
                <w:rFonts w:ascii="Arial" w:cs="Arial" w:eastAsia="Arial" w:hAnsi="Arial"/>
                <w:sz w:val="10"/>
                <w:szCs w:val="10"/>
                <w:color w:val="auto"/>
              </w:rPr>
              <w:t>Number of selected key business countries</w:t>
            </w:r>
          </w:p>
        </w:tc>
      </w:tr>
      <w:tr>
        <w:trPr>
          <w:trHeight w:val="130"/>
        </w:trPr>
        <w:tc>
          <w:tcPr>
            <w:tcW w:w="18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237"/>
              <w:spacing w:after="0"/>
              <w:rPr>
                <w:sz w:val="20"/>
                <w:szCs w:val="20"/>
                <w:color w:val="auto"/>
              </w:rPr>
            </w:pPr>
            <w:r>
              <w:rPr>
                <w:rFonts w:ascii="Arial" w:cs="Arial" w:eastAsia="Arial" w:hAnsi="Arial"/>
                <w:sz w:val="10"/>
                <w:szCs w:val="10"/>
                <w:color w:val="auto"/>
              </w:rPr>
              <w:t>December 31, 2020</w:t>
            </w:r>
          </w:p>
        </w:tc>
        <w:tc>
          <w:tcPr>
            <w:tcW w:w="1340" w:type="dxa"/>
            <w:vAlign w:val="bottom"/>
            <w:tcBorders>
              <w:bottom w:val="single" w:sz="8" w:color="auto"/>
            </w:tcBorders>
          </w:tcPr>
          <w:p>
            <w:pPr>
              <w:jc w:val="right"/>
              <w:ind w:right="255"/>
              <w:spacing w:after="0"/>
              <w:rPr>
                <w:sz w:val="20"/>
                <w:szCs w:val="20"/>
                <w:color w:val="auto"/>
              </w:rPr>
            </w:pPr>
            <w:r>
              <w:rPr>
                <w:rFonts w:ascii="Arial" w:cs="Arial" w:eastAsia="Arial" w:hAnsi="Arial"/>
                <w:sz w:val="10"/>
                <w:szCs w:val="10"/>
                <w:color w:val="auto"/>
              </w:rPr>
              <w:t>December 31, 2019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December 31, 2018</w:t>
            </w:r>
          </w:p>
        </w:tc>
      </w:tr>
      <w:tr>
        <w:trPr>
          <w:trHeight w:val="114"/>
        </w:trPr>
        <w:tc>
          <w:tcPr>
            <w:tcW w:w="1820" w:type="dxa"/>
            <w:vAlign w:val="bottom"/>
          </w:tcPr>
          <w:p>
            <w:pPr>
              <w:ind w:left="20"/>
              <w:spacing w:after="0"/>
              <w:rPr>
                <w:sz w:val="20"/>
                <w:szCs w:val="20"/>
                <w:color w:val="auto"/>
              </w:rPr>
            </w:pPr>
            <w:r>
              <w:rPr>
                <w:rFonts w:ascii="Arial" w:cs="Arial" w:eastAsia="Arial" w:hAnsi="Arial"/>
                <w:sz w:val="10"/>
                <w:szCs w:val="10"/>
                <w:color w:val="auto"/>
              </w:rPr>
              <w:t>Greater than 80%</w:t>
            </w:r>
          </w:p>
        </w:tc>
        <w:tc>
          <w:tcPr>
            <w:tcW w:w="1240" w:type="dxa"/>
            <w:vAlign w:val="bottom"/>
          </w:tcPr>
          <w:p>
            <w:pPr>
              <w:jc w:val="right"/>
              <w:ind w:right="257"/>
              <w:spacing w:after="0"/>
              <w:rPr>
                <w:sz w:val="20"/>
                <w:szCs w:val="20"/>
                <w:color w:val="auto"/>
              </w:rPr>
            </w:pPr>
            <w:r>
              <w:rPr>
                <w:rFonts w:ascii="Arial" w:cs="Arial" w:eastAsia="Arial" w:hAnsi="Arial"/>
                <w:sz w:val="8"/>
                <w:szCs w:val="8"/>
                <w:color w:val="auto"/>
              </w:rPr>
              <w:t>10</w:t>
            </w:r>
          </w:p>
        </w:tc>
        <w:tc>
          <w:tcPr>
            <w:tcW w:w="1340" w:type="dxa"/>
            <w:vAlign w:val="bottom"/>
          </w:tcPr>
          <w:p>
            <w:pPr>
              <w:jc w:val="right"/>
              <w:ind w:right="275"/>
              <w:spacing w:after="0"/>
              <w:rPr>
                <w:sz w:val="20"/>
                <w:szCs w:val="20"/>
                <w:color w:val="auto"/>
              </w:rPr>
            </w:pPr>
            <w:r>
              <w:rPr>
                <w:rFonts w:ascii="Arial" w:cs="Arial" w:eastAsia="Arial" w:hAnsi="Arial"/>
                <w:sz w:val="8"/>
                <w:szCs w:val="8"/>
                <w:color w:val="auto"/>
              </w:rPr>
              <w:t>12</w:t>
            </w:r>
          </w:p>
        </w:tc>
        <w:tc>
          <w:tcPr>
            <w:tcW w:w="1040" w:type="dxa"/>
            <w:vAlign w:val="bottom"/>
          </w:tcPr>
          <w:p>
            <w:pPr>
              <w:jc w:val="right"/>
              <w:spacing w:after="0"/>
              <w:rPr>
                <w:sz w:val="20"/>
                <w:szCs w:val="20"/>
                <w:color w:val="auto"/>
              </w:rPr>
            </w:pPr>
            <w:r>
              <w:rPr>
                <w:rFonts w:ascii="Arial" w:cs="Arial" w:eastAsia="Arial" w:hAnsi="Arial"/>
                <w:sz w:val="8"/>
                <w:szCs w:val="8"/>
                <w:color w:val="auto"/>
              </w:rPr>
              <w:t>10</w:t>
            </w:r>
          </w:p>
        </w:tc>
      </w:tr>
      <w:tr>
        <w:trPr>
          <w:trHeight w:val="123"/>
        </w:trPr>
        <w:tc>
          <w:tcPr>
            <w:tcW w:w="1820" w:type="dxa"/>
            <w:vAlign w:val="bottom"/>
          </w:tcPr>
          <w:p>
            <w:pPr>
              <w:ind w:left="20"/>
              <w:spacing w:after="0"/>
              <w:rPr>
                <w:sz w:val="20"/>
                <w:szCs w:val="20"/>
                <w:color w:val="auto"/>
              </w:rPr>
            </w:pPr>
            <w:r>
              <w:rPr>
                <w:rFonts w:ascii="Arial" w:cs="Arial" w:eastAsia="Arial" w:hAnsi="Arial"/>
                <w:sz w:val="10"/>
                <w:szCs w:val="10"/>
                <w:color w:val="auto"/>
              </w:rPr>
              <w:t>Less than 80%</w:t>
            </w:r>
          </w:p>
        </w:tc>
        <w:tc>
          <w:tcPr>
            <w:tcW w:w="1240" w:type="dxa"/>
            <w:vAlign w:val="bottom"/>
          </w:tcPr>
          <w:p>
            <w:pPr>
              <w:jc w:val="right"/>
              <w:ind w:right="257"/>
              <w:spacing w:after="0"/>
              <w:rPr>
                <w:sz w:val="20"/>
                <w:szCs w:val="20"/>
                <w:color w:val="auto"/>
              </w:rPr>
            </w:pPr>
            <w:r>
              <w:rPr>
                <w:rFonts w:ascii="Arial" w:cs="Arial" w:eastAsia="Arial" w:hAnsi="Arial"/>
                <w:sz w:val="8"/>
                <w:szCs w:val="8"/>
                <w:color w:val="auto"/>
              </w:rPr>
              <w:t>10</w:t>
            </w:r>
          </w:p>
        </w:tc>
        <w:tc>
          <w:tcPr>
            <w:tcW w:w="1340" w:type="dxa"/>
            <w:vAlign w:val="bottom"/>
          </w:tcPr>
          <w:p>
            <w:pPr>
              <w:jc w:val="right"/>
              <w:ind w:right="275"/>
              <w:spacing w:after="0"/>
              <w:rPr>
                <w:sz w:val="20"/>
                <w:szCs w:val="20"/>
                <w:color w:val="auto"/>
              </w:rPr>
            </w:pPr>
            <w:r>
              <w:rPr>
                <w:rFonts w:ascii="Arial" w:cs="Arial" w:eastAsia="Arial" w:hAnsi="Arial"/>
                <w:sz w:val="8"/>
                <w:szCs w:val="8"/>
                <w:color w:val="auto"/>
              </w:rPr>
              <w:t>8</w:t>
            </w:r>
          </w:p>
        </w:tc>
        <w:tc>
          <w:tcPr>
            <w:tcW w:w="1040" w:type="dxa"/>
            <w:vAlign w:val="bottom"/>
          </w:tcPr>
          <w:p>
            <w:pPr>
              <w:jc w:val="right"/>
              <w:spacing w:after="0"/>
              <w:rPr>
                <w:sz w:val="20"/>
                <w:szCs w:val="20"/>
                <w:color w:val="auto"/>
              </w:rPr>
            </w:pPr>
            <w:r>
              <w:rPr>
                <w:rFonts w:ascii="Arial" w:cs="Arial" w:eastAsia="Arial" w:hAnsi="Arial"/>
                <w:sz w:val="8"/>
                <w:szCs w:val="8"/>
                <w:color w:val="auto"/>
              </w:rPr>
              <w:t>10</w:t>
            </w:r>
          </w:p>
        </w:tc>
      </w:tr>
      <w:tr>
        <w:trPr>
          <w:trHeight w:val="130"/>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1240" w:type="dxa"/>
            <w:vAlign w:val="bottom"/>
            <w:tcBorders>
              <w:bottom w:val="single" w:sz="8" w:color="auto"/>
            </w:tcBorders>
          </w:tcPr>
          <w:p>
            <w:pPr>
              <w:jc w:val="right"/>
              <w:ind w:right="257"/>
              <w:spacing w:after="0"/>
              <w:rPr>
                <w:sz w:val="20"/>
                <w:szCs w:val="20"/>
                <w:color w:val="auto"/>
              </w:rPr>
            </w:pPr>
            <w:r>
              <w:rPr>
                <w:rFonts w:ascii="Arial" w:cs="Arial" w:eastAsia="Arial" w:hAnsi="Arial"/>
                <w:sz w:val="8"/>
                <w:szCs w:val="8"/>
                <w:color w:val="auto"/>
              </w:rPr>
              <w:t>20</w:t>
            </w: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8"/>
                <w:szCs w:val="8"/>
                <w:color w:val="auto"/>
              </w:rPr>
              <w:t>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w:t>
            </w:r>
          </w:p>
        </w:tc>
      </w:tr>
    </w:tbl>
    <w:p>
      <w:pPr>
        <w:spacing w:after="0" w:line="47" w:lineRule="exact"/>
        <w:rPr>
          <w:sz w:val="20"/>
          <w:szCs w:val="20"/>
          <w:color w:val="auto"/>
        </w:rPr>
      </w:pPr>
    </w:p>
    <w:p>
      <w:pPr>
        <w:spacing w:after="0"/>
        <w:rPr>
          <w:sz w:val="20"/>
          <w:szCs w:val="20"/>
          <w:color w:val="auto"/>
        </w:rPr>
      </w:pPr>
      <w:r>
        <w:rPr>
          <w:rFonts w:ascii="Arial" w:cs="Arial" w:eastAsia="Arial" w:hAnsi="Arial"/>
          <w:sz w:val="7"/>
          <w:szCs w:val="7"/>
          <w:u w:val="single" w:color="auto"/>
          <w:color w:val="auto"/>
        </w:rPr>
        <w:t>[</w:t>
      </w:r>
      <w:r>
        <w:rPr>
          <w:rFonts w:ascii="Arial" w:cs="Arial" w:eastAsia="Arial" w:hAnsi="Arial"/>
          <w:sz w:val="7"/>
          <w:szCs w:val="7"/>
          <w:color w:val="auto"/>
        </w:rPr>
        <w:t>A] These numbers exclude those in companies with their own HR systems.</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CODE OF CONDUCT</w:t>
      </w:r>
    </w:p>
    <w:p>
      <w:pPr>
        <w:ind w:right="120"/>
        <w:spacing w:after="0" w:line="300" w:lineRule="auto"/>
        <w:rPr>
          <w:sz w:val="20"/>
          <w:szCs w:val="20"/>
          <w:color w:val="auto"/>
        </w:rPr>
      </w:pPr>
      <w:r>
        <w:rPr>
          <w:rFonts w:ascii="Arial" w:cs="Arial" w:eastAsia="Arial" w:hAnsi="Arial"/>
          <w:sz w:val="8"/>
          <w:szCs w:val="8"/>
          <w:color w:val="auto"/>
        </w:rPr>
        <w:t>In line with the UN Global Compact Principle 10 (businesses should work against corruption in all its forms, including extortion and bribery), we maintain a global anti-bribery and corruption/anti-money laundering (ABC/AML) programme designed to prevent, detect, remediate and learn from potential violations. The programme is underpinned by our commitment to prohibit bribery, money laundering and tax evasion, and to conduct business in line with our Shell General Business Principles and Code of Conduct.</w:t>
      </w:r>
    </w:p>
    <w:p>
      <w:pPr>
        <w:spacing w:after="0" w:line="126" w:lineRule="exact"/>
        <w:rPr>
          <w:sz w:val="20"/>
          <w:szCs w:val="20"/>
          <w:color w:val="auto"/>
        </w:rPr>
      </w:pPr>
    </w:p>
    <w:p>
      <w:pPr>
        <w:jc w:val="both"/>
        <w:ind w:right="420"/>
        <w:spacing w:after="0" w:line="320" w:lineRule="auto"/>
        <w:rPr>
          <w:sz w:val="20"/>
          <w:szCs w:val="20"/>
          <w:color w:val="auto"/>
        </w:rPr>
      </w:pPr>
      <w:r>
        <w:rPr>
          <w:rFonts w:ascii="Arial" w:cs="Arial" w:eastAsia="Arial" w:hAnsi="Arial"/>
          <w:sz w:val="8"/>
          <w:szCs w:val="8"/>
          <w:color w:val="auto"/>
        </w:rPr>
        <w:t>We do not tolerate the direct or indirect offer, payment, solicitation or acceptance of bribes in any form. Facilitation payments are also prohibited. The Shell Code of Conduct includes specific guidance for Shell staff, (which comprises employees and contract staff), on requirements to avoid or declare actual, potential or perceived conflicts of interest, and on offering or accepting gifts and hospitality.</w:t>
      </w:r>
    </w:p>
    <w:p>
      <w:pPr>
        <w:spacing w:after="0" w:line="118" w:lineRule="exact"/>
        <w:rPr>
          <w:sz w:val="20"/>
          <w:szCs w:val="20"/>
          <w:color w:val="auto"/>
        </w:rPr>
      </w:pPr>
    </w:p>
    <w:p>
      <w:pPr>
        <w:ind w:right="140"/>
        <w:spacing w:after="0" w:line="300" w:lineRule="auto"/>
        <w:rPr>
          <w:sz w:val="20"/>
          <w:szCs w:val="20"/>
          <w:color w:val="auto"/>
        </w:rPr>
      </w:pPr>
      <w:r>
        <w:rPr>
          <w:rFonts w:ascii="Arial" w:cs="Arial" w:eastAsia="Arial" w:hAnsi="Arial"/>
          <w:sz w:val="8"/>
          <w:szCs w:val="8"/>
          <w:color w:val="auto"/>
        </w:rPr>
        <w:t>Communications from our leaders emphasise the importance of these commitments and compliance with requirements. These are reinforced with both global and targeted communications to ensure that Shell staff are frequently reminded of their obligations. To support the Code of Conduct, we have mandatory risk-based procedures and controls that address a range of compliance risks and ensure that we focus resources, reporting and attention appropriately. By making a commitment to our core values of honesty, integrity and respect for people, and by following the Code of Conduct, we protect Shell’s reputation.</w:t>
      </w:r>
    </w:p>
    <w:p>
      <w:pPr>
        <w:spacing w:after="0" w:line="127" w:lineRule="exact"/>
        <w:rPr>
          <w:sz w:val="20"/>
          <w:szCs w:val="20"/>
          <w:color w:val="auto"/>
        </w:rPr>
      </w:pPr>
    </w:p>
    <w:p>
      <w:pPr>
        <w:ind w:right="120"/>
        <w:spacing w:after="0" w:line="271" w:lineRule="auto"/>
        <w:rPr>
          <w:sz w:val="20"/>
          <w:szCs w:val="20"/>
          <w:color w:val="auto"/>
        </w:rPr>
      </w:pPr>
      <w:r>
        <w:rPr>
          <w:rFonts w:ascii="Arial" w:cs="Arial" w:eastAsia="Arial" w:hAnsi="Arial"/>
          <w:sz w:val="8"/>
          <w:szCs w:val="8"/>
          <w:color w:val="auto"/>
        </w:rPr>
        <w:t>In 2020, the COVID-19 pandemic brought additional focus on conduct risk. Our core values are undermined if decisions are taken which fall short of the expected standards of ethical behaviour and compliance. Conduct risk arises from human behaviour and is influenced by factors in the external environment. The COVID-19 pandemic has impacted individuals and businesses globally, resulting in a human health crisis, widespread lockdowns and a severe economic recession. As a general position, our response to the pandemic has been to reiterate and emphasise that adherence to Shell’s compliance rules (including the Code of Conduct) remains essential to protect our business and to help us make the right decisions for the future. While maintaining this basic position, pragmatic, risk-based mitigations have been implemented where appropriate to increase response speed and efficiency without undermining the intended purpose of our controls.</w:t>
      </w:r>
    </w:p>
    <w:p>
      <w:pPr>
        <w:spacing w:after="0" w:line="128" w:lineRule="exact"/>
        <w:rPr>
          <w:sz w:val="20"/>
          <w:szCs w:val="20"/>
          <w:color w:val="auto"/>
        </w:rPr>
      </w:pPr>
    </w:p>
    <w:p>
      <w:pPr>
        <w:ind w:right="180"/>
        <w:spacing w:after="0" w:line="299" w:lineRule="auto"/>
        <w:rPr>
          <w:sz w:val="20"/>
          <w:szCs w:val="20"/>
          <w:color w:val="auto"/>
        </w:rPr>
      </w:pPr>
      <w:r>
        <w:rPr>
          <w:rFonts w:ascii="Arial" w:cs="Arial" w:eastAsia="Arial" w:hAnsi="Arial"/>
          <w:sz w:val="8"/>
          <w:szCs w:val="8"/>
          <w:color w:val="auto"/>
        </w:rPr>
        <w:t>Our ethics and compliance requirements are articulated through our policies, standards and procedures. They are communicated to Shell employees and contract staff and, where necessary and appropriate, to agents and business partners. We monitor and report internally on adherence with select ethics and compliance requirements, such as mandatory training completion and due diligence screening. We pay particular attention to our due diligence procedures when dealing with third parties. We also make our requirements clear to third parties through a variety of measures such as standard contract clauses. We publish our Ethics and Compliance Manual on shell.com to demonstrate our commitment in this area.</w:t>
      </w:r>
    </w:p>
    <w:p>
      <w:pPr>
        <w:spacing w:after="0" w:line="237" w:lineRule="exact"/>
        <w:rPr>
          <w:sz w:val="20"/>
          <w:szCs w:val="20"/>
          <w:color w:val="auto"/>
        </w:rPr>
      </w:pPr>
    </w:p>
    <w:p>
      <w:pPr>
        <w:ind w:right="220"/>
        <w:spacing w:after="0" w:line="300" w:lineRule="auto"/>
        <w:rPr>
          <w:sz w:val="20"/>
          <w:szCs w:val="20"/>
          <w:color w:val="auto"/>
        </w:rPr>
      </w:pPr>
      <w:r>
        <w:rPr>
          <w:rFonts w:ascii="Arial" w:cs="Arial" w:eastAsia="Arial" w:hAnsi="Arial"/>
          <w:sz w:val="8"/>
          <w:szCs w:val="8"/>
          <w:color w:val="auto"/>
        </w:rPr>
        <w:t>The Shell Ethics and Compliance Office helps the businesses and functions to implement the ABC/AML and other programmes, and monitors and reports on progress. Legal counsel provides legal advice globally and supports the implementation of programmes. The Shell Ethics and Compliance Office regularly reviews and revises all ethics and compliance programmes to ensure they remain up to date with applicable laws, regulations and best practices. This includes incorporating results from relevant internal audits, reviews and investigations, and periodically commissioning external reviews and benchmarking.</w:t>
      </w:r>
    </w:p>
    <w:p>
      <w:pPr>
        <w:spacing w:after="0" w:line="222" w:lineRule="exact"/>
        <w:rPr>
          <w:sz w:val="20"/>
          <w:szCs w:val="20"/>
          <w:color w:val="auto"/>
        </w:rPr>
      </w:pPr>
    </w:p>
    <w:p>
      <w:pPr>
        <w:sectPr>
          <w:pgSz w:w="11900" w:h="16838" w:orient="portrait"/>
          <w:cols w:equalWidth="0" w:num="2">
            <w:col w:w="5448" w:space="280"/>
            <w:col w:w="5580"/>
          </w:cols>
          <w:pgMar w:left="292" w:top="640"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87</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90" w:name="page91"/>
    <w:bookmarkEnd w:id="90"/>
    <w:p>
      <w:pPr>
        <w:spacing w:after="0" w:line="162" w:lineRule="exact"/>
        <w:rPr>
          <w:sz w:val="20"/>
          <w:szCs w:val="20"/>
          <w:color w:val="auto"/>
        </w:rPr>
      </w:pPr>
    </w:p>
    <w:p>
      <w:pPr>
        <w:ind w:right="120"/>
        <w:spacing w:after="0" w:line="307" w:lineRule="auto"/>
        <w:rPr>
          <w:sz w:val="20"/>
          <w:szCs w:val="20"/>
          <w:color w:val="auto"/>
        </w:rPr>
      </w:pPr>
      <w:r>
        <w:rPr>
          <w:rFonts w:ascii="Arial" w:cs="Arial" w:eastAsia="Arial" w:hAnsi="Arial"/>
          <w:sz w:val="8"/>
          <w:szCs w:val="8"/>
          <w:color w:val="auto"/>
        </w:rPr>
        <w:t>A structured framework for ethical decision-making, expanding on the formulation “Is it legal, is it ethical, is it wise?”, was developed and tested during the course of 2020 and subsequently reviewed by an independent third-party panel. The framework will be implemented broadly across Shell from 2021. It will support decision-making by requiring Shell staff to think through, in a structured manner, the legal, ethical and external dimensions of the various opportunities and decisions they face in their daily work.</w:t>
      </w:r>
    </w:p>
    <w:p>
      <w:pPr>
        <w:spacing w:after="0" w:line="123" w:lineRule="exact"/>
        <w:rPr>
          <w:sz w:val="20"/>
          <w:szCs w:val="20"/>
          <w:color w:val="auto"/>
        </w:rPr>
      </w:pPr>
    </w:p>
    <w:p>
      <w:pPr>
        <w:ind w:right="40"/>
        <w:spacing w:after="0" w:line="320" w:lineRule="auto"/>
        <w:rPr>
          <w:sz w:val="20"/>
          <w:szCs w:val="20"/>
          <w:color w:val="auto"/>
        </w:rPr>
      </w:pPr>
      <w:r>
        <w:rPr>
          <w:rFonts w:ascii="Arial" w:cs="Arial" w:eastAsia="Arial" w:hAnsi="Arial"/>
          <w:sz w:val="8"/>
          <w:szCs w:val="8"/>
          <w:color w:val="auto"/>
        </w:rPr>
        <w:t>We investigate all good-faith allegations of breaches of the Code of Conduct, however they are raised. We are committed to ensuring all such incidents are investigated by specialists in accordance with our Investigation Principles. Allegations may be raised confidentially and anonymously through several channels, including a Shell Global Helpline operated by an independent provider.</w:t>
      </w:r>
    </w:p>
    <w:p>
      <w:pPr>
        <w:spacing w:after="0" w:line="118" w:lineRule="exact"/>
        <w:rPr>
          <w:sz w:val="20"/>
          <w:szCs w:val="20"/>
          <w:color w:val="auto"/>
        </w:rPr>
      </w:pPr>
    </w:p>
    <w:p>
      <w:pPr>
        <w:ind w:right="200"/>
        <w:spacing w:after="0" w:line="335" w:lineRule="auto"/>
        <w:rPr>
          <w:sz w:val="20"/>
          <w:szCs w:val="20"/>
          <w:color w:val="auto"/>
        </w:rPr>
      </w:pPr>
      <w:r>
        <w:rPr>
          <w:rFonts w:ascii="Arial" w:cs="Arial" w:eastAsia="Arial" w:hAnsi="Arial"/>
          <w:sz w:val="8"/>
          <w:szCs w:val="8"/>
          <w:color w:val="auto"/>
        </w:rPr>
        <w:t>Violation of the Code of Conduct or its policies can result in disciplinary action, up to and including contract termination or dismissal. In some cases, we may report a violation to the relevant authorities, which could lead to legal action, fines or imprisonment.</w:t>
      </w:r>
    </w:p>
    <w:p>
      <w:pPr>
        <w:spacing w:after="0" w:line="103" w:lineRule="exact"/>
        <w:rPr>
          <w:sz w:val="20"/>
          <w:szCs w:val="20"/>
          <w:color w:val="auto"/>
        </w:rPr>
      </w:pPr>
    </w:p>
    <w:p>
      <w:pPr>
        <w:ind w:right="180"/>
        <w:spacing w:after="0" w:line="239" w:lineRule="auto"/>
        <w:rPr>
          <w:sz w:val="20"/>
          <w:szCs w:val="20"/>
          <w:color w:val="auto"/>
        </w:rPr>
      </w:pPr>
      <w:r>
        <w:rPr>
          <w:rFonts w:ascii="Arial" w:cs="Arial" w:eastAsia="Arial" w:hAnsi="Arial"/>
          <w:sz w:val="10"/>
          <w:szCs w:val="10"/>
          <w:color w:val="auto"/>
        </w:rPr>
        <w:t>Internal investigations confirmed 252 substantiated breaches of the Code of Conduct in 2020. As a result, we dismissed or terminated the contracts of a total of 54 employees and contract staff.</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EMPLOYEE SHARE PLANS</w:t>
      </w:r>
    </w:p>
    <w:p>
      <w:pPr>
        <w:ind w:right="80"/>
        <w:spacing w:after="0" w:line="337" w:lineRule="auto"/>
        <w:rPr>
          <w:sz w:val="20"/>
          <w:szCs w:val="20"/>
          <w:color w:val="auto"/>
        </w:rPr>
      </w:pPr>
      <w:r>
        <w:rPr>
          <w:rFonts w:ascii="Arial" w:cs="Arial" w:eastAsia="Arial" w:hAnsi="Arial"/>
          <w:sz w:val="8"/>
          <w:szCs w:val="8"/>
          <w:color w:val="auto"/>
        </w:rPr>
        <w:t>We have a number of share plans designed to align employees’ interests with our performance through share ownership. For information on the share-based compensation plans for Executive Directors, see the “Directors’ Remuneration Report” on pages 116-119.</w:t>
      </w:r>
    </w:p>
    <w:p>
      <w:pPr>
        <w:spacing w:after="0" w:line="119" w:lineRule="exact"/>
        <w:rPr>
          <w:sz w:val="20"/>
          <w:szCs w:val="20"/>
          <w:color w:val="auto"/>
        </w:rPr>
      </w:pPr>
    </w:p>
    <w:p>
      <w:pPr>
        <w:ind w:right="120"/>
        <w:spacing w:after="0" w:line="239" w:lineRule="auto"/>
        <w:rPr>
          <w:sz w:val="20"/>
          <w:szCs w:val="20"/>
          <w:color w:val="auto"/>
        </w:rPr>
      </w:pPr>
      <w:r>
        <w:rPr>
          <w:rFonts w:ascii="Arial" w:cs="Arial" w:eastAsia="Arial" w:hAnsi="Arial"/>
          <w:sz w:val="11"/>
          <w:szCs w:val="11"/>
          <w:color w:val="auto"/>
        </w:rPr>
        <w:t>PERFORMANCE SHARE PLAN, LONG-TERM INCENTIVE PLAN AND EXCHANGED AWARDS UNDER THE BG LONG-TERM INCENTIVE PLAN</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8"/>
          <w:szCs w:val="8"/>
          <w:color w:val="auto"/>
        </w:rPr>
        <w:t>Under the Performance Share Plan (PSP), 50% of the award is linked to certain indicators described in “Performance indicators” on pages 28-29, averaged over the performance period. From 2017 to 2019, 12.5% of the award was linked to free cash flow (FCF) and the remaining 37.5% was linked to a comparative performance condition which involves a comparison with four of our main competitors over the performance period, based on three performance measures. For 2020 onwards, 11.25% of the award is linked to the FCF measure and 5% is linked to an energy transition measure. The remaining 33.75% is linked to the comparative performance condition. From 2021, 10% of the award is linked to the FCF measure and 10% is linked to an energy transition measure. The remaining 30% is linked to the comparative performance condition.</w:t>
      </w:r>
    </w:p>
    <w:p>
      <w:pPr>
        <w:spacing w:after="0" w:line="238" w:lineRule="exact"/>
        <w:rPr>
          <w:sz w:val="20"/>
          <w:szCs w:val="20"/>
          <w:color w:val="auto"/>
        </w:rPr>
      </w:pPr>
    </w:p>
    <w:p>
      <w:pPr>
        <w:ind w:right="60"/>
        <w:spacing w:after="0" w:line="231" w:lineRule="auto"/>
        <w:rPr>
          <w:sz w:val="20"/>
          <w:szCs w:val="20"/>
          <w:color w:val="auto"/>
        </w:rPr>
      </w:pPr>
      <w:r>
        <w:rPr>
          <w:rFonts w:ascii="Arial" w:cs="Arial" w:eastAsia="Arial" w:hAnsi="Arial"/>
          <w:sz w:val="10"/>
          <w:szCs w:val="10"/>
          <w:color w:val="auto"/>
        </w:rPr>
        <w:t>Under the LTIP awards made in 2017 and 2018, 25% of the award is linked to the FCF measure and the remaining 75% is linked to the comparative performance conditions mentioned above. For 2019 and 2020, 22.5% of the award is linked to the FCF measure and 10% is linked to an energy transition measure. The remaining 67.5% is linked to the comparative performance condition mentioned above. From 2021, 20% of the award is linked to the FCF measure and 20% is linked to an energy transition measure. The remaining 60% is linked to the comparative performance condition.</w:t>
      </w:r>
    </w:p>
    <w:p>
      <w:pPr>
        <w:spacing w:after="0" w:line="149" w:lineRule="exact"/>
        <w:rPr>
          <w:sz w:val="20"/>
          <w:szCs w:val="20"/>
          <w:color w:val="auto"/>
        </w:rPr>
      </w:pPr>
    </w:p>
    <w:p>
      <w:pPr>
        <w:ind w:right="300"/>
        <w:spacing w:after="0" w:line="358" w:lineRule="auto"/>
        <w:rPr>
          <w:sz w:val="20"/>
          <w:szCs w:val="20"/>
          <w:color w:val="auto"/>
        </w:rPr>
      </w:pPr>
      <w:r>
        <w:rPr>
          <w:rFonts w:ascii="Arial" w:cs="Arial" w:eastAsia="Arial" w:hAnsi="Arial"/>
          <w:sz w:val="8"/>
          <w:szCs w:val="8"/>
          <w:color w:val="auto"/>
        </w:rPr>
        <w:t>Separately, following the BG acquisition, certain employee share awards made in 2015 under BG’s Long-term Incentive Plan were automatically exchanged for equivalent awards over shares in the Company. The outstanding awards take the form of nil-cost options.</w:t>
      </w:r>
    </w:p>
    <w:p>
      <w:pPr>
        <w:spacing w:after="0" w:line="104" w:lineRule="exact"/>
        <w:rPr>
          <w:sz w:val="20"/>
          <w:szCs w:val="20"/>
          <w:color w:val="auto"/>
        </w:rPr>
      </w:pPr>
    </w:p>
    <w:p>
      <w:pPr>
        <w:spacing w:after="0" w:line="234" w:lineRule="auto"/>
        <w:rPr>
          <w:sz w:val="20"/>
          <w:szCs w:val="20"/>
          <w:color w:val="auto"/>
        </w:rPr>
      </w:pPr>
      <w:r>
        <w:rPr>
          <w:rFonts w:ascii="Arial" w:cs="Arial" w:eastAsia="Arial" w:hAnsi="Arial"/>
          <w:sz w:val="10"/>
          <w:szCs w:val="10"/>
          <w:color w:val="auto"/>
        </w:rPr>
        <w:t>Under all plans, all shares that vest are increased by an amount equal to the notional dividends accrued on those shares during the period from the award date to the vesting date. In certain circumstances, awards may be adjusted before delivery or subject to clawback after delivery. None of the awards result in beneficial ownership until the shares vest.</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See Note 21 to the “Consolidated Financial Statements” on page 203.</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RESTRICTED SHARE PLAN</w:t>
      </w:r>
    </w:p>
    <w:p>
      <w:pPr>
        <w:ind w:right="280"/>
        <w:spacing w:after="0" w:line="231" w:lineRule="auto"/>
        <w:rPr>
          <w:sz w:val="20"/>
          <w:szCs w:val="20"/>
          <w:color w:val="auto"/>
        </w:rPr>
      </w:pPr>
      <w:r>
        <w:rPr>
          <w:rFonts w:ascii="Arial" w:cs="Arial" w:eastAsia="Arial" w:hAnsi="Arial"/>
          <w:sz w:val="10"/>
          <w:szCs w:val="10"/>
          <w:color w:val="auto"/>
        </w:rPr>
        <w:t>Under the Restricted Share Plan, awards are made on a highly selective basis to senior staff. Shares are awarded subject to a three-year retention period. All shares that vest are increased by an amount equal to the notional</w:t>
      </w:r>
    </w:p>
    <w:p>
      <w:pPr>
        <w:spacing w:after="0" w:line="20" w:lineRule="exact"/>
        <w:rPr>
          <w:sz w:val="20"/>
          <w:szCs w:val="20"/>
          <w:color w:val="auto"/>
        </w:rPr>
      </w:pPr>
      <w:r>
        <w:rPr>
          <w:sz w:val="20"/>
          <w:szCs w:val="20"/>
          <w:color w:val="auto"/>
        </w:rPr>
        <w:br w:type="column"/>
      </w:r>
    </w:p>
    <w:p>
      <w:pPr>
        <w:ind w:right="460"/>
        <w:spacing w:after="0" w:line="239" w:lineRule="auto"/>
        <w:rPr>
          <w:sz w:val="20"/>
          <w:szCs w:val="20"/>
          <w:color w:val="auto"/>
        </w:rPr>
      </w:pPr>
      <w:r>
        <w:rPr>
          <w:rFonts w:ascii="Arial" w:cs="Arial" w:eastAsia="Arial" w:hAnsi="Arial"/>
          <w:sz w:val="10"/>
          <w:szCs w:val="10"/>
          <w:color w:val="auto"/>
        </w:rPr>
        <w:t>dividends accrued on those shares during the period from the award date to the vesting date. In certain circumstances, awards may be adjusted before delivery or subject to clawback after delivery.</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GLOBAL EMPLOYEE SHARE PURCHASE PLAN</w:t>
      </w:r>
    </w:p>
    <w:p>
      <w:pPr>
        <w:jc w:val="both"/>
        <w:ind w:right="220"/>
        <w:spacing w:after="0" w:line="229" w:lineRule="auto"/>
        <w:rPr>
          <w:sz w:val="20"/>
          <w:szCs w:val="20"/>
          <w:color w:val="auto"/>
        </w:rPr>
      </w:pPr>
      <w:r>
        <w:rPr>
          <w:rFonts w:ascii="Arial" w:cs="Arial" w:eastAsia="Arial" w:hAnsi="Arial"/>
          <w:sz w:val="10"/>
          <w:szCs w:val="10"/>
          <w:color w:val="auto"/>
        </w:rPr>
        <w:t>Eligible employees in participating countries may participate in the Global Employee Share Purchase Plan. This plan enables them to make contributions from net pay towards the purchase of the Company’s shares at a 15% discount to the market price, either at the start or at the end of an annual cycle, whichever date offers the lower market price.</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UK SHELL ALL EMPLOYEE SHARE OWNERSHIP PLAN</w:t>
      </w:r>
    </w:p>
    <w:p>
      <w:pPr>
        <w:ind w:right="120"/>
        <w:spacing w:after="0" w:line="229" w:lineRule="auto"/>
        <w:rPr>
          <w:sz w:val="20"/>
          <w:szCs w:val="20"/>
          <w:color w:val="auto"/>
        </w:rPr>
      </w:pPr>
      <w:r>
        <w:rPr>
          <w:rFonts w:ascii="Arial" w:cs="Arial" w:eastAsia="Arial" w:hAnsi="Arial"/>
          <w:sz w:val="10"/>
          <w:szCs w:val="10"/>
          <w:color w:val="auto"/>
        </w:rPr>
        <w:t>Eligible employees of participating Shell companies in the UK may participate in the Shell All Employee Share Ownership Plan, under which monthly contributions from gross pay are made towards the purchase of the Company’s shares. For every six shares purchased by the employee, one matching share is provided at no cost to the employee.</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UK SHARESAVE SCHEME</w:t>
      </w:r>
    </w:p>
    <w:p>
      <w:pPr>
        <w:jc w:val="both"/>
        <w:ind w:right="140"/>
        <w:spacing w:after="0" w:line="309" w:lineRule="auto"/>
        <w:rPr>
          <w:sz w:val="20"/>
          <w:szCs w:val="20"/>
          <w:color w:val="auto"/>
        </w:rPr>
      </w:pPr>
      <w:r>
        <w:rPr>
          <w:rFonts w:ascii="Arial" w:cs="Arial" w:eastAsia="Arial" w:hAnsi="Arial"/>
          <w:sz w:val="8"/>
          <w:szCs w:val="8"/>
          <w:color w:val="auto"/>
        </w:rPr>
        <w:t>Eligible employees of participating Shell companies in the UK have been able to participate in the UK Sharesave Scheme. Options have been granted over the Company’s shares at market value on the invitation date. These options are normally exercisable after completion of a three-year or five-year contractual savings period. From 2017 no further grants were made under this plan.</w:t>
      </w:r>
    </w:p>
    <w:p>
      <w:pPr>
        <w:spacing w:after="0" w:line="123" w:lineRule="exact"/>
        <w:rPr>
          <w:sz w:val="20"/>
          <w:szCs w:val="20"/>
          <w:color w:val="auto"/>
        </w:rPr>
      </w:pPr>
    </w:p>
    <w:p>
      <w:pPr>
        <w:ind w:right="120"/>
        <w:spacing w:after="0" w:line="232" w:lineRule="auto"/>
        <w:rPr>
          <w:sz w:val="20"/>
          <w:szCs w:val="20"/>
          <w:color w:val="auto"/>
        </w:rPr>
      </w:pPr>
      <w:r>
        <w:rPr>
          <w:rFonts w:ascii="Arial" w:cs="Arial" w:eastAsia="Arial" w:hAnsi="Arial"/>
          <w:sz w:val="10"/>
          <w:szCs w:val="10"/>
          <w:color w:val="auto"/>
        </w:rPr>
        <w:t>Separately, following the acquisition of BG, certain participants in the BG Sharesave Scheme chose to roll over their outstanding BG share options into options over the Company’s shares. The BG option price (at a discount of 20% to market value) was converted into an equivalent Company option price at a ratio agreed with Her Majesty’s Revenue and Customs. These options are normally exercisable after completion of a three-year contractual savings period.</w:t>
      </w:r>
    </w:p>
    <w:p>
      <w:pPr>
        <w:spacing w:after="0" w:line="3386"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00" w:type="dxa"/>
            <w:vAlign w:val="bottom"/>
          </w:tcPr>
          <w:p>
            <w:pPr>
              <w:spacing w:after="0"/>
              <w:rPr>
                <w:sz w:val="20"/>
                <w:szCs w:val="20"/>
                <w:color w:val="auto"/>
              </w:rPr>
            </w:pPr>
            <w:r>
              <w:rPr>
                <w:rFonts w:ascii="Arial" w:cs="Arial" w:eastAsia="Arial" w:hAnsi="Arial"/>
                <w:sz w:val="7"/>
                <w:szCs w:val="7"/>
                <w:color w:val="auto"/>
              </w:rPr>
              <w:t>STRATEGIC REPORT SHELL FORM 20-F 2020</w:t>
            </w:r>
          </w:p>
        </w:tc>
        <w:tc>
          <w:tcPr>
            <w:tcW w:w="7800" w:type="dxa"/>
            <w:vAlign w:val="bottom"/>
          </w:tcPr>
          <w:p>
            <w:pPr>
              <w:jc w:val="right"/>
              <w:ind w:right="5664"/>
              <w:spacing w:after="0"/>
              <w:rPr>
                <w:sz w:val="20"/>
                <w:szCs w:val="20"/>
                <w:color w:val="auto"/>
              </w:rPr>
            </w:pPr>
            <w:r>
              <w:rPr>
                <w:rFonts w:ascii="Arial" w:cs="Arial" w:eastAsia="Arial" w:hAnsi="Arial"/>
                <w:sz w:val="7"/>
                <w:szCs w:val="7"/>
                <w:color w:val="auto"/>
              </w:rPr>
              <w:t>88</w:t>
            </w:r>
          </w:p>
        </w:tc>
      </w:tr>
      <w:tr>
        <w:trPr>
          <w:trHeight w:val="151"/>
        </w:trPr>
        <w:tc>
          <w:tcPr>
            <w:tcW w:w="3500" w:type="dxa"/>
            <w:vAlign w:val="bottom"/>
            <w:tcBorders>
              <w:bottom w:val="single" w:sz="8" w:color="9A9A9A"/>
            </w:tcBorders>
          </w:tcPr>
          <w:p>
            <w:pPr>
              <w:spacing w:after="0"/>
              <w:rPr>
                <w:sz w:val="13"/>
                <w:szCs w:val="13"/>
                <w:color w:val="auto"/>
              </w:rPr>
            </w:pPr>
          </w:p>
        </w:tc>
        <w:tc>
          <w:tcPr>
            <w:tcW w:w="78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24"/>
          <w:szCs w:val="24"/>
          <w:b w:val="1"/>
          <w:bCs w:val="1"/>
          <w:color w:val="333333"/>
        </w:rPr>
        <w:t>GOVERNANCE</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THE BOARD OF 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CHARLES O. HOLLIDAY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Chair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231" w:lineRule="auto"/>
        <w:rPr>
          <w:sz w:val="20"/>
          <w:szCs w:val="20"/>
          <w:color w:val="auto"/>
        </w:rPr>
      </w:pPr>
      <w:r>
        <w:rPr>
          <w:rFonts w:ascii="Arial" w:cs="Arial" w:eastAsia="Arial" w:hAnsi="Arial"/>
          <w:sz w:val="10"/>
          <w:szCs w:val="10"/>
          <w:color w:val="auto"/>
        </w:rPr>
        <w:t>Chair - five years and nine months (appointed Chair May 19, 2015)</w:t>
      </w:r>
    </w:p>
    <w:p>
      <w:pPr>
        <w:spacing w:after="0" w:line="226" w:lineRule="auto"/>
        <w:rPr>
          <w:sz w:val="20"/>
          <w:szCs w:val="20"/>
          <w:color w:val="auto"/>
        </w:rPr>
      </w:pPr>
      <w:r>
        <w:rPr>
          <w:rFonts w:ascii="Arial" w:cs="Arial" w:eastAsia="Arial" w:hAnsi="Arial"/>
          <w:sz w:val="10"/>
          <w:szCs w:val="10"/>
          <w:color w:val="auto"/>
        </w:rPr>
        <w:t>On Board - 10 years and six months (appointed September 1, 2010)</w:t>
      </w:r>
    </w:p>
    <w:p>
      <w:pPr>
        <w:spacing w:after="0"/>
        <w:rPr>
          <w:sz w:val="20"/>
          <w:szCs w:val="20"/>
          <w:color w:val="auto"/>
        </w:rPr>
      </w:pPr>
      <w:r>
        <w:rPr>
          <w:rFonts w:ascii="Arial" w:cs="Arial" w:eastAsia="Arial" w:hAnsi="Arial"/>
          <w:sz w:val="8"/>
          <w:szCs w:val="8"/>
          <w:color w:val="auto"/>
        </w:rPr>
        <w:t>(Chad will be standing down from the Board following the 2021 Annual General Meeting. See page 105 for further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Board committee membership</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Chair of the Nomination and Succession Committee</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Outside interests/commitments</w:t>
      </w:r>
    </w:p>
    <w:p>
      <w:pPr>
        <w:spacing w:after="0" w:line="3" w:lineRule="exact"/>
        <w:rPr>
          <w:sz w:val="20"/>
          <w:szCs w:val="20"/>
          <w:color w:val="auto"/>
        </w:rPr>
      </w:pPr>
    </w:p>
    <w:p>
      <w:pPr>
        <w:jc w:val="both"/>
        <w:ind w:right="20"/>
        <w:spacing w:after="0" w:line="231" w:lineRule="auto"/>
        <w:rPr>
          <w:sz w:val="20"/>
          <w:szCs w:val="20"/>
          <w:color w:val="auto"/>
        </w:rPr>
      </w:pPr>
      <w:r>
        <w:rPr>
          <w:rFonts w:ascii="Arial" w:cs="Arial" w:eastAsia="Arial" w:hAnsi="Arial"/>
          <w:sz w:val="10"/>
          <w:szCs w:val="10"/>
          <w:color w:val="auto"/>
        </w:rPr>
        <w:t>Presiding Director of HCA Holdings, Inc. Director of Deere &amp; Company. Member of the Critical Resource’s Senior Advisory Panel. Member of the Royal Academy of Engineering (UK).</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73</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US citizen</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Charles (Chad) Holliday was appointed Chair of the Board of Royal Dutch Shell plc with effect from May 19, 2015.</w:t>
      </w:r>
    </w:p>
    <w:p>
      <w:pPr>
        <w:spacing w:after="0" w:line="149" w:lineRule="exact"/>
        <w:rPr>
          <w:sz w:val="20"/>
          <w:szCs w:val="20"/>
          <w:color w:val="auto"/>
        </w:rPr>
      </w:pPr>
    </w:p>
    <w:p>
      <w:pPr>
        <w:jc w:val="both"/>
        <w:ind w:right="20"/>
        <w:spacing w:after="0" w:line="234" w:lineRule="auto"/>
        <w:rPr>
          <w:sz w:val="20"/>
          <w:szCs w:val="20"/>
          <w:color w:val="auto"/>
        </w:rPr>
      </w:pPr>
      <w:r>
        <w:rPr>
          <w:rFonts w:ascii="Arial" w:cs="Arial" w:eastAsia="Arial" w:hAnsi="Arial"/>
          <w:sz w:val="10"/>
          <w:szCs w:val="10"/>
          <w:color w:val="auto"/>
        </w:rPr>
        <w:t>He was Chief Executive Officer of DuPont from 1998 to 2009, and Chairman from 1999 to 2009. He joined DuPont in 1970 after receiving a BS in industrial engineering from the University of Tennessee and held various manufacturing and business assignments, including a six-year Tokyo-based posting as President of DuPont Asia/Pacific.</w:t>
      </w:r>
    </w:p>
    <w:p>
      <w:pPr>
        <w:spacing w:after="0" w:line="150" w:lineRule="exact"/>
        <w:rPr>
          <w:sz w:val="20"/>
          <w:szCs w:val="20"/>
          <w:color w:val="auto"/>
        </w:rPr>
      </w:pPr>
    </w:p>
    <w:p>
      <w:pPr>
        <w:ind w:right="180"/>
        <w:spacing w:after="0" w:line="234" w:lineRule="auto"/>
        <w:rPr>
          <w:sz w:val="20"/>
          <w:szCs w:val="20"/>
          <w:color w:val="auto"/>
        </w:rPr>
      </w:pPr>
      <w:r>
        <w:rPr>
          <w:rFonts w:ascii="Arial" w:cs="Arial" w:eastAsia="Arial" w:hAnsi="Arial"/>
          <w:sz w:val="10"/>
          <w:szCs w:val="10"/>
          <w:color w:val="auto"/>
        </w:rPr>
        <w:t>He has previously served as Chairman of the Bank of America Corporation, The Business Council, Catalyst, the National Academy of Engineering, the Society of Chemical Industry (American Section) and the World Business Council for Sustainable Development. He is a founding member of the International Business Council.</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Relevant skills and experience</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0"/>
          <w:szCs w:val="10"/>
          <w:color w:val="auto"/>
        </w:rPr>
        <w:t>Chad has a distinguished track record as an international and well-respected businessman. He was originally appointed to the Board as a Non-executive Director in September 2010 and, prior to his May 2015 appointment as Chair of the Board, served as Chair of the Safety, Environment and Sustainability Committee and Member of the Remuneration Committee.</w:t>
      </w:r>
    </w:p>
    <w:p>
      <w:pPr>
        <w:spacing w:after="0" w:line="149" w:lineRule="exact"/>
        <w:rPr>
          <w:sz w:val="20"/>
          <w:szCs w:val="20"/>
          <w:color w:val="auto"/>
        </w:rPr>
      </w:pPr>
    </w:p>
    <w:p>
      <w:pPr>
        <w:ind w:right="40"/>
        <w:spacing w:after="0" w:line="297" w:lineRule="auto"/>
        <w:rPr>
          <w:sz w:val="20"/>
          <w:szCs w:val="20"/>
          <w:color w:val="auto"/>
        </w:rPr>
      </w:pPr>
      <w:r>
        <w:rPr>
          <w:rFonts w:ascii="Arial" w:cs="Arial" w:eastAsia="Arial" w:hAnsi="Arial"/>
          <w:sz w:val="8"/>
          <w:szCs w:val="8"/>
          <w:color w:val="auto"/>
        </w:rPr>
        <w:t>He has a deep understanding of international strategic, commercial and environmental issues, and gained extensive experience in the areas of safety and risk management during his time with DuPont. In his role as Chair, Chad is committed to developing and maintaining a strong dialogue with investors and other key stakeholders. He ensures that their views are considered during Board discussions and decision-making. Chad has a strong interest in, and has demonstrated a strong commitment to, ensuring that the highest standards of corporate governance, safety, ethics and compliance are maintained. Chad is a particularly avid advocate of greater diversity, which is reflected in the Board’s current diversity mix and enhanced diversity goals across the Shell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Board committee membership</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Member of the Nomination and Succession Committee and member of the Remuneration Committee</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Outside interests/commitments</w:t>
      </w:r>
    </w:p>
    <w:p>
      <w:pPr>
        <w:spacing w:after="0" w:line="3" w:lineRule="exact"/>
        <w:rPr>
          <w:sz w:val="20"/>
          <w:szCs w:val="20"/>
          <w:color w:val="auto"/>
        </w:rPr>
      </w:pPr>
    </w:p>
    <w:p>
      <w:pPr>
        <w:ind w:right="80"/>
        <w:spacing w:after="0" w:line="314" w:lineRule="auto"/>
        <w:rPr>
          <w:sz w:val="20"/>
          <w:szCs w:val="20"/>
          <w:color w:val="auto"/>
        </w:rPr>
      </w:pPr>
      <w:r>
        <w:rPr>
          <w:rFonts w:ascii="Arial" w:cs="Arial" w:eastAsia="Arial" w:hAnsi="Arial"/>
          <w:sz w:val="8"/>
          <w:szCs w:val="8"/>
          <w:color w:val="auto"/>
        </w:rPr>
        <w:t>Chairman of SATS Ltd. Trustee of the Singapore Institute of International Affairs Endowment Fund. Chairman of the Singapore Institute of Management Pte Ltd and Non-executive Director of Singapore Health Services Pte Ltd, both of which are not-for-profit organisations.</w:t>
      </w:r>
    </w:p>
    <w:p>
      <w:pPr>
        <w:spacing w:after="0" w:line="10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65</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Singaporean</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ind w:right="60"/>
        <w:spacing w:after="0" w:line="214" w:lineRule="auto"/>
        <w:rPr>
          <w:sz w:val="20"/>
          <w:szCs w:val="20"/>
          <w:color w:val="auto"/>
        </w:rPr>
      </w:pPr>
      <w:r>
        <w:rPr>
          <w:rFonts w:ascii="Arial" w:cs="Arial" w:eastAsia="Arial" w:hAnsi="Arial"/>
          <w:sz w:val="10"/>
          <w:szCs w:val="10"/>
          <w:color w:val="auto"/>
        </w:rPr>
        <w:t>Euleen is an Associate of the Institute of Chartered Accountants in England and Wales, a Fellow of the Singapore Institute of Chartered Accountants, and has professional qualifications in banking and taxation. She has held various senior management positions within Standard Chartered Bank and was Chief Executive Officer of Standard Chartered Bank, Singapore, from 2001 until 2006. She is also a Fellow of the Singapore Institute of Directors.</w:t>
      </w:r>
    </w:p>
    <w:p>
      <w:pPr>
        <w:spacing w:after="0" w:line="140" w:lineRule="exact"/>
        <w:rPr>
          <w:sz w:val="20"/>
          <w:szCs w:val="20"/>
          <w:color w:val="auto"/>
        </w:rPr>
      </w:pPr>
    </w:p>
    <w:p>
      <w:pPr>
        <w:ind w:right="40"/>
        <w:spacing w:after="0" w:line="307" w:lineRule="auto"/>
        <w:rPr>
          <w:sz w:val="20"/>
          <w:szCs w:val="20"/>
          <w:color w:val="auto"/>
        </w:rPr>
      </w:pPr>
      <w:r>
        <w:rPr>
          <w:rFonts w:ascii="Arial" w:cs="Arial" w:eastAsia="Arial" w:hAnsi="Arial"/>
          <w:sz w:val="8"/>
          <w:szCs w:val="8"/>
          <w:color w:val="auto"/>
        </w:rPr>
        <w:t>She has also held non-executive appointments on various boards including Aviva plc, MediaCorp Pte Ltd, Singapore Airlines Ltd, Singapore Exchange Ltd, Standard Chartered Bank Malaysia Berhad, Standard Chartered Bank Thai plc, CapitaLand Ltd, Temasek Trustees Pte Ltd, DBS Bank Ltd and DBS Group Holdings Ltd. She was previously Non-executive Chairman of the Singapore International Foundation, and Chairman of International Enterprise Singapore and the Accounting Standards Council, Singapore.</w:t>
      </w: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Relevant skills and experience</w:t>
      </w:r>
    </w:p>
    <w:p>
      <w:pPr>
        <w:spacing w:after="0" w:line="3" w:lineRule="exact"/>
        <w:rPr>
          <w:sz w:val="20"/>
          <w:szCs w:val="20"/>
          <w:color w:val="auto"/>
        </w:rPr>
      </w:pPr>
    </w:p>
    <w:p>
      <w:pPr>
        <w:jc w:val="both"/>
        <w:ind w:right="160"/>
        <w:spacing w:after="0" w:line="286" w:lineRule="auto"/>
        <w:rPr>
          <w:sz w:val="20"/>
          <w:szCs w:val="20"/>
          <w:color w:val="auto"/>
        </w:rPr>
      </w:pPr>
      <w:r>
        <w:rPr>
          <w:rFonts w:ascii="Arial" w:cs="Arial" w:eastAsia="Arial" w:hAnsi="Arial"/>
          <w:sz w:val="8"/>
          <w:szCs w:val="8"/>
          <w:color w:val="auto"/>
        </w:rPr>
        <w:t>Euleen’s current roles as chair of the board of directors of various international organisations provide significant experience in the area of strategy development and international businesses. She is highly regarded both externally and within Shell as a champion of diversity and consistently but constructively challenges the Board and management to continue to progress in this area.</w:t>
      </w:r>
    </w:p>
    <w:p>
      <w:pPr>
        <w:spacing w:after="0" w:line="122" w:lineRule="exact"/>
        <w:rPr>
          <w:sz w:val="20"/>
          <w:szCs w:val="20"/>
          <w:color w:val="auto"/>
        </w:rPr>
      </w:pPr>
    </w:p>
    <w:p>
      <w:pPr>
        <w:ind w:right="260"/>
        <w:spacing w:after="0" w:line="216" w:lineRule="auto"/>
        <w:rPr>
          <w:sz w:val="20"/>
          <w:szCs w:val="20"/>
          <w:color w:val="auto"/>
        </w:rPr>
      </w:pPr>
      <w:r>
        <w:rPr>
          <w:rFonts w:ascii="Arial" w:cs="Arial" w:eastAsia="Arial" w:hAnsi="Arial"/>
          <w:sz w:val="10"/>
          <w:szCs w:val="10"/>
          <w:color w:val="auto"/>
        </w:rPr>
        <w:t>Based in Singapore and having been Chair of the Risk Committee of the largest bank in South-east Asia, Euleen is close to key emerging/growth markets for our business. Euleen’s risk management expertise has elevated the Board’s deep deliberations around risk governance, and her voice is regularly heard on discussions regarding appropriate risk appetite. Her extensive travel around the world, through her various executive and non-executive roles, has equipped her with broad geopolitical insight and significant knowledge of operating in the Asian market.</w:t>
      </w:r>
    </w:p>
    <w:p>
      <w:pPr>
        <w:spacing w:after="0" w:line="140" w:lineRule="exact"/>
        <w:rPr>
          <w:sz w:val="20"/>
          <w:szCs w:val="20"/>
          <w:color w:val="auto"/>
        </w:rPr>
      </w:pPr>
    </w:p>
    <w:p>
      <w:pPr>
        <w:spacing w:after="0"/>
        <w:rPr>
          <w:sz w:val="20"/>
          <w:szCs w:val="20"/>
          <w:color w:val="auto"/>
        </w:rPr>
      </w:pPr>
      <w:r>
        <w:rPr>
          <w:rFonts w:ascii="Arial" w:cs="Arial" w:eastAsia="Arial" w:hAnsi="Arial"/>
          <w:sz w:val="8"/>
          <w:szCs w:val="8"/>
          <w:color w:val="auto"/>
        </w:rPr>
        <w:t>Euleen uses her financial acumen and advocacy for diversity to pose probing and insightful questions, both in and beyond the boardroom.</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This contributes to well-rounded, incisive and inclusive Board discussions.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BEN VAN BEURDEN</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Chief Executive Officer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Seven years and two months (appointed January 1, 2014)</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Board committee membership</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N/A</w:t>
      </w:r>
    </w:p>
    <w:p>
      <w:pPr>
        <w:spacing w:after="0" w:line="66" w:lineRule="exact"/>
        <w:rPr>
          <w:sz w:val="20"/>
          <w:szCs w:val="20"/>
          <w:color w:val="auto"/>
        </w:rPr>
      </w:pPr>
    </w:p>
    <w:p>
      <w:pPr>
        <w:sectPr>
          <w:pgSz w:w="11900" w:h="16838" w:orient="portrait"/>
          <w:cols w:equalWidth="0" w:num="2">
            <w:col w:w="5440" w:space="280"/>
            <w:col w:w="5460"/>
          </w:cols>
          <w:pgMar w:left="300" w:top="636" w:right="419" w:bottom="1440" w:gutter="0" w:footer="0" w:header="0"/>
        </w:sectPr>
      </w:pPr>
    </w:p>
    <w:p>
      <w:pPr>
        <w:spacing w:after="0"/>
        <w:rPr>
          <w:sz w:val="20"/>
          <w:szCs w:val="20"/>
          <w:color w:val="auto"/>
        </w:rPr>
      </w:pPr>
      <w:r>
        <w:rPr>
          <w:rFonts w:ascii="Arial" w:cs="Arial" w:eastAsia="Arial" w:hAnsi="Arial"/>
          <w:sz w:val="10"/>
          <w:szCs w:val="10"/>
          <w:b w:val="1"/>
          <w:bCs w:val="1"/>
          <w:color w:val="auto"/>
        </w:rPr>
        <w:t>EULEEN GOH</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Deputy Chair and Senior Independent Director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231" w:lineRule="auto"/>
        <w:rPr>
          <w:sz w:val="20"/>
          <w:szCs w:val="20"/>
          <w:color w:val="auto"/>
        </w:rPr>
      </w:pPr>
      <w:r>
        <w:rPr>
          <w:rFonts w:ascii="Arial" w:cs="Arial" w:eastAsia="Arial" w:hAnsi="Arial"/>
          <w:sz w:val="10"/>
          <w:szCs w:val="10"/>
          <w:color w:val="auto"/>
        </w:rPr>
        <w:t>Six years and six months (appointed September 1, 2014).</w:t>
      </w:r>
    </w:p>
    <w:p>
      <w:pPr>
        <w:spacing w:after="0"/>
        <w:rPr>
          <w:sz w:val="20"/>
          <w:szCs w:val="20"/>
          <w:color w:val="auto"/>
        </w:rPr>
      </w:pPr>
      <w:r>
        <w:rPr>
          <w:rFonts w:ascii="Arial" w:cs="Arial" w:eastAsia="Arial" w:hAnsi="Arial"/>
          <w:sz w:val="8"/>
          <w:szCs w:val="8"/>
          <w:color w:val="auto"/>
        </w:rPr>
        <w:t>Euleen was appointed Deputy Chair and Senior Independent Director on May 20, 2020.</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7"/>
          <w:szCs w:val="7"/>
          <w:color w:val="auto"/>
        </w:rPr>
        <w:t>GOVERNANCE SHELL FORM 20-F 2020</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0"/>
          <w:szCs w:val="10"/>
          <w:b w:val="1"/>
          <w:bCs w:val="1"/>
          <w:color w:val="auto"/>
        </w:rPr>
        <w:t>Outside interests/commitments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8"/>
          <w:szCs w:val="8"/>
          <w:color w:val="auto"/>
        </w:rPr>
        <w:t>The Board of Daimler AG has proposed to its shareholders that Ben join its Board as a Supervisory Board member (Non-Executive Director).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0"/>
          <w:szCs w:val="10"/>
          <w:color w:val="auto"/>
        </w:rPr>
        <w:t>Daimler AG shareholders are scheduled to vote on this proposal at its AGM, scheduled for March 31, 2021.</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0"/>
          <w:szCs w:val="10"/>
          <w:color w:val="auto"/>
        </w:rPr>
        <w:t>62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7"/>
          <w:szCs w:val="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102235</wp:posOffset>
            </wp:positionV>
            <wp:extent cx="7178040" cy="114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2">
            <w:col w:w="4880" w:space="720"/>
            <w:col w:w="5580"/>
          </w:cols>
          <w:pgMar w:left="300" w:top="636" w:right="419" w:bottom="1440" w:gutter="0" w:footer="0" w:header="0"/>
          <w:type w:val="continuous"/>
        </w:sectPr>
      </w:pPr>
    </w:p>
    <w:bookmarkStart w:id="92" w:name="page93"/>
    <w:bookmarkEnd w:id="92"/>
    <w:p>
      <w:pPr>
        <w:spacing w:after="0" w:line="16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Dutch</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spacing w:after="0" w:line="295" w:lineRule="auto"/>
        <w:rPr>
          <w:sz w:val="20"/>
          <w:szCs w:val="20"/>
          <w:color w:val="auto"/>
        </w:rPr>
      </w:pPr>
      <w:r>
        <w:rPr>
          <w:rFonts w:ascii="Arial" w:cs="Arial" w:eastAsia="Arial" w:hAnsi="Arial"/>
          <w:sz w:val="8"/>
          <w:szCs w:val="8"/>
          <w:color w:val="auto"/>
        </w:rPr>
        <w:t>Ben was Downstream Director from January to September 2013. Before that, he was Executive Vice President Chemicals from 2006 to 2012. In this period, he also served on the boards of a number of leading industry associations, including the International Council of Chemicals Associations and the European Chemical Industry Council. Prior to this, he held a number of operational and commercial roles in Upstream and Downstream, including Vice President Manufacturing Excellence. He joined Shell in 1983, after graduating with a master’s degree in chemical engineering from Delft University of Technology, the Netherlands.</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Relevant skills and experience</w:t>
      </w:r>
    </w:p>
    <w:p>
      <w:pPr>
        <w:spacing w:after="0" w:line="3" w:lineRule="exact"/>
        <w:rPr>
          <w:sz w:val="20"/>
          <w:szCs w:val="20"/>
          <w:color w:val="auto"/>
        </w:rPr>
      </w:pPr>
    </w:p>
    <w:p>
      <w:pPr>
        <w:ind w:right="200"/>
        <w:spacing w:after="0" w:line="231" w:lineRule="auto"/>
        <w:rPr>
          <w:sz w:val="20"/>
          <w:szCs w:val="20"/>
          <w:color w:val="auto"/>
        </w:rPr>
      </w:pPr>
      <w:r>
        <w:rPr>
          <w:rFonts w:ascii="Arial" w:cs="Arial" w:eastAsia="Arial" w:hAnsi="Arial"/>
          <w:sz w:val="10"/>
          <w:szCs w:val="10"/>
          <w:color w:val="auto"/>
        </w:rPr>
        <w:t>Ben has more than 37 years' experience of working for Shell. He has built a deep understanding of the industry and proven management experience across the technical and commercial roles.</w:t>
      </w:r>
    </w:p>
    <w:p>
      <w:pPr>
        <w:spacing w:after="0" w:line="149" w:lineRule="exact"/>
        <w:rPr>
          <w:sz w:val="20"/>
          <w:szCs w:val="20"/>
          <w:color w:val="auto"/>
        </w:rPr>
      </w:pPr>
    </w:p>
    <w:p>
      <w:pPr>
        <w:ind w:right="100"/>
        <w:spacing w:after="0" w:line="230" w:lineRule="auto"/>
        <w:rPr>
          <w:sz w:val="20"/>
          <w:szCs w:val="20"/>
          <w:color w:val="auto"/>
        </w:rPr>
      </w:pPr>
      <w:r>
        <w:rPr>
          <w:rFonts w:ascii="Arial" w:cs="Arial" w:eastAsia="Arial" w:hAnsi="Arial"/>
          <w:sz w:val="10"/>
          <w:szCs w:val="10"/>
          <w:color w:val="auto"/>
        </w:rPr>
        <w:t>Ben has led Shell to build resilience and deliver strong financial results. In 2016, he steered the Company through the acquisition and integration of the BG Group, which accelerated Shell’s business strategy and led to a streamlining divestment programme of $30 billion of non-core assets.</w:t>
      </w:r>
    </w:p>
    <w:p>
      <w:pPr>
        <w:spacing w:after="0" w:line="1" w:lineRule="exact"/>
        <w:rPr>
          <w:sz w:val="20"/>
          <w:szCs w:val="20"/>
          <w:color w:val="auto"/>
        </w:rPr>
      </w:pPr>
    </w:p>
    <w:p>
      <w:pPr>
        <w:ind w:right="300"/>
        <w:spacing w:after="0" w:line="231" w:lineRule="auto"/>
        <w:rPr>
          <w:sz w:val="20"/>
          <w:szCs w:val="20"/>
          <w:color w:val="auto"/>
        </w:rPr>
      </w:pPr>
      <w:r>
        <w:rPr>
          <w:rFonts w:ascii="Arial" w:cs="Arial" w:eastAsia="Arial" w:hAnsi="Arial"/>
          <w:sz w:val="10"/>
          <w:szCs w:val="10"/>
          <w:color w:val="auto"/>
        </w:rPr>
        <w:t>Under his leadership, Shell has positioned itself to help tackle climate change. In April 2020, Shell set a target of becoming a net-zero emissions energy business by 2050, in step with society.</w:t>
      </w:r>
    </w:p>
    <w:p>
      <w:pPr>
        <w:spacing w:after="0" w:line="149" w:lineRule="exact"/>
        <w:rPr>
          <w:sz w:val="20"/>
          <w:szCs w:val="20"/>
          <w:color w:val="auto"/>
        </w:rPr>
      </w:pPr>
    </w:p>
    <w:p>
      <w:pPr>
        <w:spacing w:after="0" w:line="315" w:lineRule="auto"/>
        <w:rPr>
          <w:sz w:val="20"/>
          <w:szCs w:val="20"/>
          <w:color w:val="auto"/>
        </w:rPr>
      </w:pPr>
      <w:r>
        <w:rPr>
          <w:rFonts w:ascii="Arial" w:cs="Arial" w:eastAsia="Arial" w:hAnsi="Arial"/>
          <w:sz w:val="8"/>
          <w:szCs w:val="8"/>
          <w:color w:val="auto"/>
        </w:rPr>
        <w:t>In 2020, in the unprecedented circumstances of the COVID-19 pandemic, Shell took decisive action to maintain its financial resilience. Ben also led plans for a strategic reorganisation, due to take effect in August 2021, aimed at setting up Shell to succeed in the energy transition by making the business nimbler and better able to respond to customers. In February 2021, Shell set out a detailed strategy to create value for shareholders and society and to achieve its net-zero emissions target.</w:t>
      </w:r>
    </w:p>
    <w:p>
      <w:pPr>
        <w:spacing w:after="0" w:line="28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JESSICA UHL</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Chief Financial Officer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Four years (appointed March 9, 2017)</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Board committee membership</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N/A</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Outside interests/commitments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No external appointments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53</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Nationality</w:t>
      </w:r>
    </w:p>
    <w:p>
      <w:pPr>
        <w:spacing w:after="0"/>
        <w:rPr>
          <w:sz w:val="20"/>
          <w:szCs w:val="20"/>
          <w:color w:val="auto"/>
        </w:rPr>
      </w:pPr>
      <w:r>
        <w:rPr>
          <w:rFonts w:ascii="Arial" w:cs="Arial" w:eastAsia="Arial" w:hAnsi="Arial"/>
          <w:sz w:val="10"/>
          <w:szCs w:val="10"/>
          <w:color w:val="auto"/>
        </w:rPr>
        <w:t>US citizen</w:t>
      </w: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ind w:right="60"/>
        <w:spacing w:after="0" w:line="227" w:lineRule="auto"/>
        <w:rPr>
          <w:sz w:val="20"/>
          <w:szCs w:val="20"/>
          <w:color w:val="auto"/>
        </w:rPr>
      </w:pPr>
      <w:r>
        <w:rPr>
          <w:rFonts w:ascii="Arial" w:cs="Arial" w:eastAsia="Arial" w:hAnsi="Arial"/>
          <w:sz w:val="10"/>
          <w:szCs w:val="10"/>
          <w:color w:val="auto"/>
        </w:rPr>
        <w:t>Jessica was Executive Vice President Finance (EVP) for the Integrated Gas business from January 2016 to March 2017. Previously, she was EVP Finance for Upstream Americas from 2014 to 2015, Vice President Finance for Upstream Americas Unconventionals from 2013 to 2014, VP Controller for Upstream and Projects &amp; Technology from 2010 to 2012, VP Finance for the global Lubricants business from 2009 to 2010, and Head of External Reporting from 2007 to 2009. She joined Shell in 2004 in finance and business development, supporting the Renewables business.</w:t>
      </w:r>
    </w:p>
    <w:p>
      <w:pPr>
        <w:spacing w:after="0" w:line="312" w:lineRule="exact"/>
        <w:rPr>
          <w:sz w:val="20"/>
          <w:szCs w:val="20"/>
          <w:color w:val="auto"/>
        </w:rPr>
      </w:pPr>
    </w:p>
    <w:p>
      <w:pPr>
        <w:ind w:right="120"/>
        <w:spacing w:after="0" w:line="239" w:lineRule="auto"/>
        <w:rPr>
          <w:sz w:val="20"/>
          <w:szCs w:val="20"/>
          <w:color w:val="auto"/>
        </w:rPr>
      </w:pPr>
      <w:r>
        <w:rPr>
          <w:rFonts w:ascii="Arial" w:cs="Arial" w:eastAsia="Arial" w:hAnsi="Arial"/>
          <w:sz w:val="10"/>
          <w:szCs w:val="10"/>
          <w:color w:val="auto"/>
        </w:rPr>
        <w:t>Prior to joining Shell, Jessica worked for Enron in the USA and Panama from 1997 to 2003 and for Citibank in San Francisco, USA, from 1990 to 1996. She obtained a BA from UC Berkeley in 1989 and an MBA at INSEAD in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auto"/>
        </w:rPr>
        <w:t>Relevant skills and experience</w:t>
      </w:r>
    </w:p>
    <w:p>
      <w:pPr>
        <w:spacing w:after="0" w:line="3" w:lineRule="exact"/>
        <w:rPr>
          <w:sz w:val="20"/>
          <w:szCs w:val="20"/>
          <w:color w:val="auto"/>
        </w:rPr>
      </w:pPr>
    </w:p>
    <w:p>
      <w:pPr>
        <w:ind w:right="140"/>
        <w:spacing w:after="0" w:line="228" w:lineRule="auto"/>
        <w:rPr>
          <w:sz w:val="20"/>
          <w:szCs w:val="20"/>
          <w:color w:val="auto"/>
        </w:rPr>
      </w:pPr>
      <w:r>
        <w:rPr>
          <w:rFonts w:ascii="Arial" w:cs="Arial" w:eastAsia="Arial" w:hAnsi="Arial"/>
          <w:sz w:val="10"/>
          <w:szCs w:val="10"/>
          <w:color w:val="auto"/>
        </w:rPr>
        <w:t>Jessica is a highly regarded executive with a track record of delivering key business objectives, from cost leadership in complex operations to mergers and acquisitions. Jessica’s professional background combines an external perspective with more than 16 years of Shell experience: she has held finance leadership roles in Europe and the USA, in Shell’s Upstream, Integrated Gas and Downstream businesses, as well as in Projects &amp; Technology and Corporate.</w:t>
      </w:r>
    </w:p>
    <w:p>
      <w:pPr>
        <w:spacing w:after="0" w:line="149" w:lineRule="exact"/>
        <w:rPr>
          <w:sz w:val="20"/>
          <w:szCs w:val="20"/>
          <w:color w:val="auto"/>
        </w:rPr>
      </w:pPr>
    </w:p>
    <w:p>
      <w:pPr>
        <w:ind w:right="120"/>
        <w:spacing w:after="0" w:line="320" w:lineRule="auto"/>
        <w:rPr>
          <w:sz w:val="20"/>
          <w:szCs w:val="20"/>
          <w:color w:val="auto"/>
        </w:rPr>
      </w:pPr>
      <w:r>
        <w:rPr>
          <w:rFonts w:ascii="Arial" w:cs="Arial" w:eastAsia="Arial" w:hAnsi="Arial"/>
          <w:sz w:val="8"/>
          <w:szCs w:val="8"/>
          <w:color w:val="auto"/>
        </w:rPr>
        <w:t>Jessica was appointed CFO in the year following the BG acquisition, when Shell’s debt, gearing and development costs were high and when the oil price was still recovering from the lower levels of 2016. Jessica responded to these challenging conditions with enthusiasm, clarity and discipline and has overseen Shell’s delivery of industry-leading cash flow from operating activities.</w:t>
      </w:r>
    </w:p>
    <w:p>
      <w:pPr>
        <w:spacing w:after="0" w:line="118" w:lineRule="exact"/>
        <w:rPr>
          <w:sz w:val="20"/>
          <w:szCs w:val="20"/>
          <w:color w:val="auto"/>
        </w:rPr>
      </w:pPr>
    </w:p>
    <w:p>
      <w:pPr>
        <w:ind w:right="120"/>
        <w:spacing w:after="0" w:line="230" w:lineRule="auto"/>
        <w:rPr>
          <w:sz w:val="20"/>
          <w:szCs w:val="20"/>
          <w:color w:val="auto"/>
        </w:rPr>
      </w:pPr>
      <w:r>
        <w:rPr>
          <w:rFonts w:ascii="Arial" w:cs="Arial" w:eastAsia="Arial" w:hAnsi="Arial"/>
          <w:sz w:val="10"/>
          <w:szCs w:val="10"/>
          <w:color w:val="auto"/>
        </w:rPr>
        <w:t>In 2020, Jessica drove decisive counter-measures to protect the long-term financial health of the organisation, strengthen its balance sheet and preserve cash while ensuring the safe continuity of the business.</w:t>
      </w:r>
    </w:p>
    <w:p>
      <w:pPr>
        <w:spacing w:after="0" w:line="140" w:lineRule="exact"/>
        <w:rPr>
          <w:sz w:val="20"/>
          <w:szCs w:val="20"/>
          <w:color w:val="auto"/>
        </w:rPr>
      </w:pPr>
    </w:p>
    <w:p>
      <w:pPr>
        <w:ind w:right="160"/>
        <w:spacing w:after="0" w:line="283" w:lineRule="auto"/>
        <w:rPr>
          <w:sz w:val="20"/>
          <w:szCs w:val="20"/>
          <w:color w:val="auto"/>
        </w:rPr>
      </w:pPr>
      <w:r>
        <w:rPr>
          <w:rFonts w:ascii="Arial" w:cs="Arial" w:eastAsia="Arial" w:hAnsi="Arial"/>
          <w:sz w:val="8"/>
          <w:szCs w:val="8"/>
          <w:color w:val="auto"/>
        </w:rPr>
        <w:t>Jessica has also been a leading voice for transparency in the energy industry, including on taxes and climate change. Under her tenure, Shell has continued to expand and enhance disclosures related to climate change in line with the principles of the Task Force on Climate-Related Financial Disclosures. Under her guidance, from 2019, Shell began publishing an annual Tax Contribution Report. This includes country-by-country report data, a standard set by the Organisation for Economic Co-operation and Development (OECD).</w:t>
      </w:r>
    </w:p>
    <w:p>
      <w:pPr>
        <w:spacing w:after="0" w:line="12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DICK BOER</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Independent Non-executive Director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Nine months (appointed May 20, 2020)</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Board committee membership</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Member of the Audit Committee</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Outside interests/commitments</w:t>
      </w:r>
    </w:p>
    <w:p>
      <w:pPr>
        <w:spacing w:after="0" w:line="3" w:lineRule="exact"/>
        <w:rPr>
          <w:sz w:val="20"/>
          <w:szCs w:val="20"/>
          <w:color w:val="auto"/>
        </w:rPr>
      </w:pPr>
    </w:p>
    <w:p>
      <w:pPr>
        <w:ind w:right="120"/>
        <w:spacing w:after="0" w:line="221" w:lineRule="auto"/>
        <w:rPr>
          <w:sz w:val="20"/>
          <w:szCs w:val="20"/>
          <w:color w:val="auto"/>
        </w:rPr>
      </w:pPr>
      <w:r>
        <w:rPr>
          <w:rFonts w:ascii="Arial" w:cs="Arial" w:eastAsia="Arial" w:hAnsi="Arial"/>
          <w:sz w:val="10"/>
          <w:szCs w:val="10"/>
          <w:color w:val="auto"/>
        </w:rPr>
        <w:t>Non-executive Director for Nestlé and SHV Holdings; Chairman of the Advisory Board for G-Star RAW; Chairman of the Supervisory Board of Royal Concertgebouw; Chairman of Rijksmuseum Fonds.</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63</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Dutch</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jc w:val="both"/>
        <w:ind w:right="180"/>
        <w:spacing w:after="0" w:line="229" w:lineRule="auto"/>
        <w:rPr>
          <w:sz w:val="20"/>
          <w:szCs w:val="20"/>
          <w:color w:val="auto"/>
        </w:rPr>
      </w:pPr>
      <w:r>
        <w:rPr>
          <w:rFonts w:ascii="Arial" w:cs="Arial" w:eastAsia="Arial" w:hAnsi="Arial"/>
          <w:sz w:val="10"/>
          <w:szCs w:val="10"/>
          <w:color w:val="auto"/>
        </w:rPr>
        <w:t>Dick was President and Chief Executive Officer of Ahold Delhaize from 2016 to 2018. Prior to the merger between Ahold and Delhaize, he served as President and CEO of Royal Ahold from 2011 to 2016. From 2006 to 2011 he was a member of the Executive Board of Ahold and served as Chief Operating Officer of Ahold Europe from 2006 to 2011.</w:t>
      </w:r>
    </w:p>
    <w:p>
      <w:pPr>
        <w:spacing w:after="0" w:line="149" w:lineRule="exact"/>
        <w:rPr>
          <w:sz w:val="20"/>
          <w:szCs w:val="20"/>
          <w:color w:val="auto"/>
        </w:rPr>
      </w:pPr>
    </w:p>
    <w:p>
      <w:pPr>
        <w:ind w:right="140"/>
        <w:spacing w:after="0" w:line="239" w:lineRule="auto"/>
        <w:rPr>
          <w:sz w:val="20"/>
          <w:szCs w:val="20"/>
          <w:color w:val="auto"/>
        </w:rPr>
      </w:pPr>
      <w:r>
        <w:rPr>
          <w:rFonts w:ascii="Arial" w:cs="Arial" w:eastAsia="Arial" w:hAnsi="Arial"/>
          <w:sz w:val="10"/>
          <w:szCs w:val="10"/>
          <w:color w:val="auto"/>
        </w:rPr>
        <w:t>Dick joined Ahold in 1998 as CEO of Ahold Czech Republic and was appointed President and CEO of Albert Heijn in 2000. In 2003, he also became President and CEO of Ahold’s Dutch businesses.</w:t>
      </w:r>
    </w:p>
    <w:p>
      <w:pPr>
        <w:spacing w:after="0" w:line="149" w:lineRule="exact"/>
        <w:rPr>
          <w:sz w:val="20"/>
          <w:szCs w:val="20"/>
          <w:color w:val="auto"/>
        </w:rPr>
      </w:pPr>
    </w:p>
    <w:p>
      <w:pPr>
        <w:ind w:right="200"/>
        <w:spacing w:after="0" w:line="230" w:lineRule="auto"/>
        <w:rPr>
          <w:sz w:val="20"/>
          <w:szCs w:val="20"/>
          <w:color w:val="auto"/>
        </w:rPr>
      </w:pPr>
      <w:r>
        <w:rPr>
          <w:rFonts w:ascii="Arial" w:cs="Arial" w:eastAsia="Arial" w:hAnsi="Arial"/>
          <w:sz w:val="10"/>
          <w:szCs w:val="10"/>
          <w:color w:val="auto"/>
        </w:rPr>
        <w:t>Prior to joining Ahold, Dick spent more than 17 years in various retail positions, for SHV Holdings N.V. in the Netherlands and abroad, and for Unigro N.V.</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Relevant skills and experience</w:t>
      </w:r>
    </w:p>
    <w:p>
      <w:pPr>
        <w:spacing w:after="0" w:line="3" w:lineRule="exact"/>
        <w:rPr>
          <w:sz w:val="20"/>
          <w:szCs w:val="20"/>
          <w:color w:val="auto"/>
        </w:rPr>
      </w:pPr>
    </w:p>
    <w:p>
      <w:pPr>
        <w:ind w:right="140"/>
        <w:spacing w:after="0" w:line="300" w:lineRule="auto"/>
        <w:rPr>
          <w:sz w:val="20"/>
          <w:szCs w:val="20"/>
          <w:color w:val="auto"/>
        </w:rPr>
      </w:pPr>
      <w:r>
        <w:rPr>
          <w:rFonts w:ascii="Arial" w:cs="Arial" w:eastAsia="Arial" w:hAnsi="Arial"/>
          <w:sz w:val="8"/>
          <w:szCs w:val="8"/>
          <w:color w:val="auto"/>
        </w:rPr>
        <w:t>Dick is a highly regarded, recently retired chief executive, who has a deep understanding of brands and consumers, and extensive knowledge of the US and European markets, from his time leading one of the world’s largest food retail groups. He brings a career’s worth of experience at the forefront of retailing and customer service, which extended in more recent years to e-commerce and the digital arena. This experience is most timely as Shell focuses on the growth of our marketing businesses and increasing consumer choices in energy products.</w:t>
      </w:r>
    </w:p>
    <w:p>
      <w:pPr>
        <w:spacing w:after="0" w:line="126" w:lineRule="exact"/>
        <w:rPr>
          <w:sz w:val="20"/>
          <w:szCs w:val="20"/>
          <w:color w:val="auto"/>
        </w:rPr>
      </w:pPr>
    </w:p>
    <w:p>
      <w:pPr>
        <w:ind w:right="300"/>
        <w:spacing w:after="0" w:line="230" w:lineRule="auto"/>
        <w:rPr>
          <w:sz w:val="20"/>
          <w:szCs w:val="20"/>
          <w:color w:val="auto"/>
        </w:rPr>
      </w:pPr>
      <w:r>
        <w:rPr>
          <w:rFonts w:ascii="Arial" w:cs="Arial" w:eastAsia="Arial" w:hAnsi="Arial"/>
          <w:sz w:val="10"/>
          <w:szCs w:val="10"/>
          <w:color w:val="auto"/>
        </w:rPr>
        <w:t>Dick is a balanced leader with sound business judgement and a proven track record in strategic delivery, evidenced by the combination of Ahold and</w:t>
      </w:r>
    </w:p>
    <w:p>
      <w:pPr>
        <w:spacing w:after="0" w:line="253" w:lineRule="exact"/>
        <w:rPr>
          <w:sz w:val="20"/>
          <w:szCs w:val="20"/>
          <w:color w:val="auto"/>
        </w:rPr>
      </w:pPr>
    </w:p>
    <w:p>
      <w:pPr>
        <w:sectPr>
          <w:pgSz w:w="11900" w:h="16838" w:orient="portrait"/>
          <w:cols w:equalWidth="0" w:num="2">
            <w:col w:w="5420" w:space="300"/>
            <w:col w:w="5580"/>
          </w:cols>
          <w:pgMar w:left="300" w:top="638" w:right="299" w:bottom="1440" w:gutter="0" w:footer="0" w:header="0"/>
        </w:sect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4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60" w:type="dxa"/>
            <w:vAlign w:val="bottom"/>
          </w:tcPr>
          <w:p>
            <w:pPr>
              <w:jc w:val="right"/>
              <w:ind w:right="5604"/>
              <w:spacing w:after="0"/>
              <w:rPr>
                <w:sz w:val="20"/>
                <w:szCs w:val="20"/>
                <w:color w:val="auto"/>
              </w:rPr>
            </w:pPr>
            <w:r>
              <w:rPr>
                <w:rFonts w:ascii="Arial" w:cs="Arial" w:eastAsia="Arial" w:hAnsi="Arial"/>
                <w:sz w:val="7"/>
                <w:szCs w:val="7"/>
                <w:color w:val="auto"/>
              </w:rPr>
              <w:t>90</w:t>
            </w:r>
          </w:p>
        </w:tc>
      </w:tr>
      <w:tr>
        <w:trPr>
          <w:trHeight w:val="151"/>
        </w:trPr>
        <w:tc>
          <w:tcPr>
            <w:tcW w:w="3440" w:type="dxa"/>
            <w:vAlign w:val="bottom"/>
            <w:tcBorders>
              <w:bottom w:val="single" w:sz="8" w:color="9A9A9A"/>
            </w:tcBorders>
          </w:tcPr>
          <w:p>
            <w:pPr>
              <w:spacing w:after="0"/>
              <w:rPr>
                <w:sz w:val="13"/>
                <w:szCs w:val="13"/>
                <w:color w:val="auto"/>
              </w:rPr>
            </w:pPr>
          </w:p>
        </w:tc>
        <w:tc>
          <w:tcPr>
            <w:tcW w:w="78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8"/>
          <w:szCs w:val="8"/>
          <w:color w:val="auto"/>
        </w:rPr>
        <w:t>Delhaize. He also has a passion for sustainability and is well aware of the importance of the various stakeholder interests in this area.</w:t>
      </w:r>
    </w:p>
    <w:p>
      <w:pPr>
        <w:spacing w:after="0" w:line="16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NEIL CARSON OBE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Independent Non-executive Director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One year and nine months (appointed June 1, 2019)</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Board committee membership</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Chair of the Remuneration Committee and member of the Safety, Environment and Sustainability Committee</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Outside interests/commitments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Non-executive Chairman of Oxford Instruments plc</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Executive Director of Northern Rock bank in the initial period following its nationalisation.</w:t>
      </w:r>
    </w:p>
    <w:p>
      <w:pPr>
        <w:spacing w:after="0" w:line="155" w:lineRule="exact"/>
        <w:rPr>
          <w:sz w:val="20"/>
          <w:szCs w:val="20"/>
          <w:color w:val="auto"/>
        </w:rPr>
      </w:pPr>
    </w:p>
    <w:p>
      <w:pPr>
        <w:ind w:right="140"/>
        <w:spacing w:after="0" w:line="320" w:lineRule="auto"/>
        <w:rPr>
          <w:sz w:val="20"/>
          <w:szCs w:val="20"/>
          <w:color w:val="auto"/>
        </w:rPr>
      </w:pPr>
      <w:r>
        <w:rPr>
          <w:rFonts w:ascii="Arial" w:cs="Arial" w:eastAsia="Arial" w:hAnsi="Arial"/>
          <w:sz w:val="8"/>
          <w:szCs w:val="8"/>
          <w:color w:val="auto"/>
        </w:rPr>
        <w:t>Ann has also held several non-executive director positions at Prudential plc, British American Tobacco plc, UBS AG, and UBS Group AG. Ann served as a non-executive director of Rio Tinto plc and Rio Tinto Limited until May 2019, and she was also Senior Independent Director of Rio Tinto plc. In January 2021, Ann joined the Board of the newly formed Stellantis NV, and she chairs its Audit Committee.</w:t>
      </w: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Relevant skills and experience</w:t>
      </w:r>
    </w:p>
    <w:p>
      <w:pPr>
        <w:spacing w:after="0" w:line="3" w:lineRule="exact"/>
        <w:rPr>
          <w:sz w:val="20"/>
          <w:szCs w:val="20"/>
          <w:color w:val="auto"/>
        </w:rPr>
      </w:pPr>
    </w:p>
    <w:p>
      <w:pPr>
        <w:ind w:right="180"/>
        <w:spacing w:after="0" w:line="228" w:lineRule="auto"/>
        <w:rPr>
          <w:sz w:val="20"/>
          <w:szCs w:val="20"/>
          <w:color w:val="auto"/>
        </w:rPr>
      </w:pPr>
      <w:r>
        <w:rPr>
          <w:rFonts w:ascii="Arial" w:cs="Arial" w:eastAsia="Arial" w:hAnsi="Arial"/>
          <w:sz w:val="10"/>
          <w:szCs w:val="10"/>
          <w:color w:val="auto"/>
        </w:rPr>
        <w:t>Ann is a former CFO, a Fellow of the Institute of Chartered Professional Accountants, and has more than 25 years of experience in the financial services sector. She has worked her entire career in international business and has lived in or served on boards in nine countries. Ann makes significant contributions and adds exceptional value by bringing both her extensive experience and a global perspective to Board discussions.</w:t>
      </w:r>
    </w:p>
    <w:p>
      <w:pPr>
        <w:spacing w:after="0" w:line="149" w:lineRule="exact"/>
        <w:rPr>
          <w:sz w:val="20"/>
          <w:szCs w:val="20"/>
          <w:color w:val="auto"/>
        </w:rPr>
      </w:pPr>
    </w:p>
    <w:p>
      <w:pPr>
        <w:jc w:val="both"/>
        <w:ind w:right="180"/>
        <w:spacing w:after="0" w:line="234" w:lineRule="auto"/>
        <w:rPr>
          <w:sz w:val="20"/>
          <w:szCs w:val="20"/>
          <w:color w:val="auto"/>
        </w:rPr>
      </w:pPr>
      <w:r>
        <w:rPr>
          <w:rFonts w:ascii="Arial" w:cs="Arial" w:eastAsia="Arial" w:hAnsi="Arial"/>
          <w:sz w:val="10"/>
          <w:szCs w:val="10"/>
          <w:color w:val="auto"/>
        </w:rPr>
        <w:t>Ann's long and varied international business career powered by her financial acumen is reflected in the insights and constructive challenges she brings to the boardroom. As Audit Committee Chair, Ann leverages her background to ensure robust discussions are consistently held as the Audit Committee delivers its remit.</w:t>
      </w:r>
    </w:p>
    <w:p>
      <w:pPr>
        <w:spacing w:after="0" w:line="310" w:lineRule="exact"/>
        <w:rPr>
          <w:sz w:val="20"/>
          <w:szCs w:val="20"/>
          <w:color w:val="auto"/>
        </w:rPr>
      </w:pPr>
    </w:p>
    <w:p>
      <w:pPr>
        <w:sectPr>
          <w:pgSz w:w="11900" w:h="16838" w:orient="portrait"/>
          <w:cols w:equalWidth="0" w:num="2">
            <w:col w:w="5100" w:space="620"/>
            <w:col w:w="5580"/>
          </w:cols>
          <w:pgMar w:left="300" w:top="640" w:right="299" w:bottom="144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British</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spacing w:after="0" w:line="228" w:lineRule="auto"/>
        <w:rPr>
          <w:sz w:val="20"/>
          <w:szCs w:val="20"/>
          <w:color w:val="auto"/>
        </w:rPr>
      </w:pPr>
      <w:r>
        <w:rPr>
          <w:rFonts w:ascii="Arial" w:cs="Arial" w:eastAsia="Arial" w:hAnsi="Arial"/>
          <w:sz w:val="10"/>
          <w:szCs w:val="10"/>
          <w:color w:val="auto"/>
        </w:rPr>
        <w:t>Neil is a former FTSE 100 chief executive. After completing an engineering degree, Neil joined Johnson Matthey in 1980 where he held several senior management positions in the UK and the USA, before being appointed Chief Executive Officer in 2004. Since retiring from Johnson Matthey in 2014, Neil has focused his time on his non-executive roles. He was Chairman of TT Electronics plc from 2015 until May 6, 2020.</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Relevant skills and experience</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8"/>
          <w:szCs w:val="8"/>
          <w:color w:val="auto"/>
        </w:rPr>
        <w:t>Neil is highly experienced, has a broad industrial outlook and a highly commercial approach with a practical perspective on businesses. He brings a track record of strong operational exposure, familiarity with capital-intensive business and a first-class international perspective on driving value in complex environments. Neil was awarded an OBE for services to the chemical industry in 2016. Neil has used his current and past experience in non-executive positions and, despite being relatively new to the Shell Board, he has already made significant contributions to Board discussions. He has also provided valuable insight based on his former executive position and operational experience. Neil was appointed Chair of the Remuneration Committee on May 20, 2020.</w:t>
      </w:r>
    </w:p>
    <w:p>
      <w:pPr>
        <w:spacing w:after="0" w:line="29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ANN GODBEHERE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Independent Non-executive Director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Two years and nine months (appointed May 23, 2018)</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Board committee membership</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Chair of the Audit Committee, member of the Safety, Environment and Sustainability Committee</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Outside interests/commitments</w:t>
      </w:r>
    </w:p>
    <w:p>
      <w:pPr>
        <w:spacing w:after="0" w:line="3" w:lineRule="exact"/>
        <w:rPr>
          <w:sz w:val="20"/>
          <w:szCs w:val="20"/>
          <w:color w:val="auto"/>
        </w:rPr>
      </w:pPr>
    </w:p>
    <w:p>
      <w:pPr>
        <w:ind w:right="180"/>
        <w:spacing w:after="0" w:line="231" w:lineRule="auto"/>
        <w:rPr>
          <w:sz w:val="20"/>
          <w:szCs w:val="20"/>
          <w:color w:val="auto"/>
        </w:rPr>
      </w:pPr>
      <w:r>
        <w:rPr>
          <w:rFonts w:ascii="Arial" w:cs="Arial" w:eastAsia="Arial" w:hAnsi="Arial"/>
          <w:sz w:val="10"/>
          <w:szCs w:val="10"/>
          <w:color w:val="auto"/>
        </w:rPr>
        <w:t>Non-executive Director and audit committee chair of Stellantis N.V., Fellow of the Institute of Chartered Professional Accountants and a Fellow of the Certified General Accountants Association of Canada.</w:t>
      </w:r>
    </w:p>
    <w:p>
      <w:pPr>
        <w:spacing w:after="0" w:line="30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65</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Canadian and British</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ind w:right="40"/>
        <w:spacing w:after="0" w:line="228" w:lineRule="auto"/>
        <w:rPr>
          <w:sz w:val="20"/>
          <w:szCs w:val="20"/>
          <w:color w:val="auto"/>
        </w:rPr>
      </w:pPr>
      <w:r>
        <w:rPr>
          <w:rFonts w:ascii="Arial" w:cs="Arial" w:eastAsia="Arial" w:hAnsi="Arial"/>
          <w:sz w:val="10"/>
          <w:szCs w:val="10"/>
          <w:color w:val="auto"/>
        </w:rPr>
        <w:t>Ann started her career with Sun Life of Canada in 1976 in Montreal, Canada. She joined M&amp;G Group in 1981, where she served as Senior Vice President and Controller for both life and health, and property and casualty businesses throughout North America. She joined Swiss Re in 1996, after it acquired the M&amp;G Group, and served as Chief Financial Officer from 2003 to 2007. From 2008 to 2009, she was interim Chief Financial Officer and 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auto"/>
        </w:rPr>
        <w:t>CATHERINE J. HUGHES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Independent Non-executive Director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Three years and nine months (appointed June 1, 2017)</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Board committee membership</w:t>
      </w:r>
    </w:p>
    <w:p>
      <w:pPr>
        <w:spacing w:after="0" w:line="3" w:lineRule="exact"/>
        <w:rPr>
          <w:sz w:val="20"/>
          <w:szCs w:val="20"/>
          <w:color w:val="auto"/>
        </w:rPr>
      </w:pPr>
    </w:p>
    <w:p>
      <w:pPr>
        <w:jc w:val="both"/>
        <w:ind w:right="320"/>
        <w:spacing w:after="0" w:line="337" w:lineRule="auto"/>
        <w:rPr>
          <w:sz w:val="20"/>
          <w:szCs w:val="20"/>
          <w:color w:val="auto"/>
        </w:rPr>
      </w:pPr>
      <w:r>
        <w:rPr>
          <w:rFonts w:ascii="Arial" w:cs="Arial" w:eastAsia="Arial" w:hAnsi="Arial"/>
          <w:sz w:val="8"/>
          <w:szCs w:val="8"/>
          <w:color w:val="auto"/>
        </w:rPr>
        <w:t>Member of the Safety, Environment and Sustainability Committee and member of the Remuneration Committee. On March 11, 2021 the Board announced that Catherine would become Chair of the Safety, Environment and Sustainability Committee, effective May 19, 2021.</w:t>
      </w:r>
    </w:p>
    <w:p>
      <w:pPr>
        <w:spacing w:after="0" w:line="11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Outside interests/commitments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58</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Canadian and French</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jc w:val="both"/>
        <w:ind w:right="300"/>
        <w:spacing w:after="0" w:line="309" w:lineRule="auto"/>
        <w:rPr>
          <w:sz w:val="20"/>
          <w:szCs w:val="20"/>
          <w:color w:val="auto"/>
        </w:rPr>
      </w:pPr>
      <w:r>
        <w:rPr>
          <w:rFonts w:ascii="Arial" w:cs="Arial" w:eastAsia="Arial" w:hAnsi="Arial"/>
          <w:sz w:val="8"/>
          <w:szCs w:val="8"/>
          <w:color w:val="auto"/>
        </w:rPr>
        <w:t>Catherine was Executive Vice President International at Nexen Inc., from January 2012 until her retirement in April 2013, where she was responsible for all oil and gas activities including exploration, production, development and project activities outside Canada. She joined Nexen in 2009 as Vice President Operational Services, Technology and Human Resources.</w:t>
      </w:r>
    </w:p>
    <w:p>
      <w:pPr>
        <w:spacing w:after="0" w:line="123" w:lineRule="exact"/>
        <w:rPr>
          <w:sz w:val="20"/>
          <w:szCs w:val="20"/>
          <w:color w:val="auto"/>
        </w:rPr>
      </w:pPr>
    </w:p>
    <w:p>
      <w:pPr>
        <w:ind w:right="160"/>
        <w:spacing w:after="0" w:line="307" w:lineRule="auto"/>
        <w:rPr>
          <w:sz w:val="20"/>
          <w:szCs w:val="20"/>
          <w:color w:val="auto"/>
        </w:rPr>
      </w:pPr>
      <w:r>
        <w:rPr>
          <w:rFonts w:ascii="Arial" w:cs="Arial" w:eastAsia="Arial" w:hAnsi="Arial"/>
          <w:sz w:val="8"/>
          <w:szCs w:val="8"/>
          <w:color w:val="auto"/>
        </w:rPr>
        <w:t>Prior to joining Nexen Inc., she was Vice President Oil Sands at Husky Oil from 2007 to 2009 and Vice President Exploration &amp; Production Services, from 2005 to 2007. She started her career with Schlumberger in 1986 and held key positions in various countries, including France, Italy, Nigeria, the UK and the USA, and was President of Schlumberger Canada Ltd for five years. She was a Non-executive Director of Statoil from 2013 to 2015. Catherine was up until May 2020, a non-executive Director of SNC-Lavalin Group Inc.</w:t>
      </w: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Relevant skills and experience</w:t>
      </w:r>
    </w:p>
    <w:p>
      <w:pPr>
        <w:spacing w:after="0" w:line="3" w:lineRule="exact"/>
        <w:rPr>
          <w:sz w:val="20"/>
          <w:szCs w:val="20"/>
          <w:color w:val="auto"/>
        </w:rPr>
      </w:pPr>
    </w:p>
    <w:p>
      <w:pPr>
        <w:ind w:right="120"/>
        <w:spacing w:after="0" w:line="300" w:lineRule="auto"/>
        <w:rPr>
          <w:sz w:val="20"/>
          <w:szCs w:val="20"/>
          <w:color w:val="auto"/>
        </w:rPr>
      </w:pPr>
      <w:r>
        <w:rPr>
          <w:rFonts w:ascii="Arial" w:cs="Arial" w:eastAsia="Arial" w:hAnsi="Arial"/>
          <w:sz w:val="8"/>
          <w:szCs w:val="8"/>
          <w:color w:val="auto"/>
        </w:rPr>
        <w:t>Catherine contributes through her knowledge of industry and the ease with which she engages with other Directors and managers in the boardroom. With over 30 years of oil and gas sector experience, she brings a geopolitical outlook and deep understanding of the industry. An engineer by training, she has also spent a significant part of her career working in senior human resources roles. The Board highly regards her perspectives on our industry and our most important asset, our people.</w:t>
      </w:r>
    </w:p>
    <w:p>
      <w:pPr>
        <w:spacing w:after="0" w:line="126" w:lineRule="exact"/>
        <w:rPr>
          <w:sz w:val="20"/>
          <w:szCs w:val="20"/>
          <w:color w:val="auto"/>
        </w:rPr>
      </w:pPr>
    </w:p>
    <w:p>
      <w:pPr>
        <w:ind w:right="480"/>
        <w:spacing w:after="0" w:line="239" w:lineRule="auto"/>
        <w:rPr>
          <w:sz w:val="20"/>
          <w:szCs w:val="20"/>
          <w:color w:val="auto"/>
        </w:rPr>
      </w:pPr>
      <w:r>
        <w:rPr>
          <w:rFonts w:ascii="Arial" w:cs="Arial" w:eastAsia="Arial" w:hAnsi="Arial"/>
          <w:sz w:val="10"/>
          <w:szCs w:val="10"/>
          <w:color w:val="auto"/>
        </w:rPr>
        <w:t>Catherine has a strong track record of executing operational discipline with a focus on performance metrics and a continual drive for excellence. Her</w:t>
      </w:r>
    </w:p>
    <w:p>
      <w:pPr>
        <w:spacing w:after="0" w:line="1000" w:lineRule="exact"/>
        <w:rPr>
          <w:sz w:val="20"/>
          <w:szCs w:val="20"/>
          <w:color w:val="auto"/>
        </w:rPr>
      </w:pPr>
    </w:p>
    <w:p>
      <w:pPr>
        <w:sectPr>
          <w:pgSz w:w="11900" w:h="16838" w:orient="portrait"/>
          <w:cols w:equalWidth="0" w:num="2">
            <w:col w:w="5420" w:space="300"/>
            <w:col w:w="5580"/>
          </w:cols>
          <w:pgMar w:left="300" w:top="640" w:right="299" w:bottom="1440" w:gutter="0" w:footer="0" w:header="0"/>
          <w:type w:val="continuous"/>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4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60" w:type="dxa"/>
            <w:vAlign w:val="bottom"/>
          </w:tcPr>
          <w:p>
            <w:pPr>
              <w:jc w:val="right"/>
              <w:ind w:right="5604"/>
              <w:spacing w:after="0"/>
              <w:rPr>
                <w:sz w:val="20"/>
                <w:szCs w:val="20"/>
                <w:color w:val="auto"/>
              </w:rPr>
            </w:pPr>
            <w:r>
              <w:rPr>
                <w:rFonts w:ascii="Arial" w:cs="Arial" w:eastAsia="Arial" w:hAnsi="Arial"/>
                <w:sz w:val="7"/>
                <w:szCs w:val="7"/>
                <w:color w:val="auto"/>
              </w:rPr>
              <w:t>91</w:t>
            </w:r>
          </w:p>
        </w:tc>
      </w:tr>
      <w:tr>
        <w:trPr>
          <w:trHeight w:val="151"/>
        </w:trPr>
        <w:tc>
          <w:tcPr>
            <w:tcW w:w="3440" w:type="dxa"/>
            <w:vAlign w:val="bottom"/>
            <w:tcBorders>
              <w:bottom w:val="single" w:sz="8" w:color="9A9A9A"/>
            </w:tcBorders>
          </w:tcPr>
          <w:p>
            <w:pPr>
              <w:spacing w:after="0"/>
              <w:rPr>
                <w:sz w:val="13"/>
                <w:szCs w:val="13"/>
                <w:color w:val="auto"/>
              </w:rPr>
            </w:pPr>
          </w:p>
        </w:tc>
        <w:tc>
          <w:tcPr>
            <w:tcW w:w="78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94" w:name="page95"/>
    <w:bookmarkEnd w:id="94"/>
    <w:p>
      <w:pPr>
        <w:ind w:right="80"/>
        <w:spacing w:after="0" w:line="239" w:lineRule="auto"/>
        <w:rPr>
          <w:sz w:val="20"/>
          <w:szCs w:val="20"/>
          <w:color w:val="auto"/>
        </w:rPr>
      </w:pPr>
      <w:r>
        <w:rPr>
          <w:rFonts w:ascii="Arial" w:cs="Arial" w:eastAsia="Arial" w:hAnsi="Arial"/>
          <w:sz w:val="10"/>
          <w:szCs w:val="10"/>
          <w:color w:val="auto"/>
        </w:rPr>
        <w:t>knowledge of the technology underpinning oil and gas operations, logistics, procurement and supply chains benefits the Board greatly as it considers various projects and investment or divestment proposals.</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0"/>
          <w:szCs w:val="10"/>
          <w:color w:val="auto"/>
        </w:rPr>
        <w:t>She also uses her industry knowledge – combined with her commitment to the highest standards of corporate governance and safety, ethics and compliance – in her membership of our Safety, Environment and Sustainability Committee, while using her human resources experience in her membership of the Remuneration Committee.</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MARTINA HUND-MEJEAN</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Independent Non-executive Director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Nine months (appointed May 20, 2020)</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Board committee membership</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Member of the Audit Committee</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Outside interests / commitments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Non-executive Director of Prudential Financial Inc, Colgate-Palmolive Company, and Truata Ltd.</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60</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German and US citizen</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ind w:right="180"/>
        <w:spacing w:after="0" w:line="314" w:lineRule="auto"/>
        <w:rPr>
          <w:sz w:val="20"/>
          <w:szCs w:val="20"/>
          <w:color w:val="auto"/>
        </w:rPr>
      </w:pPr>
      <w:r>
        <w:rPr>
          <w:rFonts w:ascii="Arial" w:cs="Arial" w:eastAsia="Arial" w:hAnsi="Arial"/>
          <w:sz w:val="8"/>
          <w:szCs w:val="8"/>
          <w:color w:val="auto"/>
        </w:rPr>
        <w:t>Martina was Chief Financial Officer of Mastercard Inc from 2007 to 2019. From 2002 to 2007 she was Senior Vice President, Corporate Treasurer at Tyco International Ltd and from 2000 to 2002 she was Senior Vice President, Treasurer at Lucent Technologies.</w:t>
      </w:r>
    </w:p>
    <w:p>
      <w:pPr>
        <w:spacing w:after="0" w:line="111" w:lineRule="exact"/>
        <w:rPr>
          <w:sz w:val="20"/>
          <w:szCs w:val="20"/>
          <w:color w:val="auto"/>
        </w:rPr>
      </w:pPr>
    </w:p>
    <w:p>
      <w:pPr>
        <w:spacing w:after="0"/>
        <w:rPr>
          <w:sz w:val="20"/>
          <w:szCs w:val="20"/>
          <w:color w:val="auto"/>
        </w:rPr>
      </w:pPr>
      <w:r>
        <w:rPr>
          <w:rFonts w:ascii="Arial" w:cs="Arial" w:eastAsia="Arial" w:hAnsi="Arial"/>
          <w:sz w:val="8"/>
          <w:szCs w:val="8"/>
          <w:color w:val="auto"/>
        </w:rPr>
        <w:t>Prior to this, Martina spent 12 years with General Motors, undertaking a number of senior roles within their finance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Relevant skills and experience</w:t>
      </w:r>
    </w:p>
    <w:p>
      <w:pPr>
        <w:spacing w:after="0" w:line="3" w:lineRule="exact"/>
        <w:rPr>
          <w:sz w:val="20"/>
          <w:szCs w:val="20"/>
          <w:color w:val="auto"/>
        </w:rPr>
      </w:pPr>
    </w:p>
    <w:p>
      <w:pPr>
        <w:ind w:right="40"/>
        <w:spacing w:after="0" w:line="214" w:lineRule="auto"/>
        <w:rPr>
          <w:sz w:val="20"/>
          <w:szCs w:val="20"/>
          <w:color w:val="auto"/>
        </w:rPr>
      </w:pPr>
      <w:r>
        <w:rPr>
          <w:rFonts w:ascii="Arial" w:cs="Arial" w:eastAsia="Arial" w:hAnsi="Arial"/>
          <w:sz w:val="10"/>
          <w:szCs w:val="10"/>
          <w:color w:val="auto"/>
        </w:rPr>
        <w:t>Originally from Germany, Martina has spent 30 years in the USA and is an experienced global executive. Her financial and operational leadership of technology-focused companies is extremely relevant as Shell explores new technology-enabled business models. Martina also brings diverse sector experience to the Board, most recently from operating at a large global organisation in the highly regulated finance industry.</w:t>
      </w:r>
    </w:p>
    <w:p>
      <w:pPr>
        <w:spacing w:after="0" w:line="140" w:lineRule="exact"/>
        <w:rPr>
          <w:sz w:val="20"/>
          <w:szCs w:val="20"/>
          <w:color w:val="auto"/>
        </w:rPr>
      </w:pPr>
    </w:p>
    <w:p>
      <w:pPr>
        <w:ind w:right="240"/>
        <w:spacing w:after="0" w:line="335" w:lineRule="auto"/>
        <w:rPr>
          <w:sz w:val="20"/>
          <w:szCs w:val="20"/>
          <w:color w:val="auto"/>
        </w:rPr>
      </w:pPr>
      <w:r>
        <w:rPr>
          <w:rFonts w:ascii="Arial" w:cs="Arial" w:eastAsia="Arial" w:hAnsi="Arial"/>
          <w:sz w:val="8"/>
          <w:szCs w:val="8"/>
          <w:color w:val="auto"/>
        </w:rPr>
        <w:t>Martina is known for her straightforward and direct approach. She maintains the highest standards of leadership, strategic thinking and financial stewardship. She also has a strong track record as a mentor and in promoting diversity.</w:t>
      </w:r>
    </w:p>
    <w:p>
      <w:pPr>
        <w:spacing w:after="0" w:line="103" w:lineRule="exact"/>
        <w:rPr>
          <w:sz w:val="20"/>
          <w:szCs w:val="20"/>
          <w:color w:val="auto"/>
        </w:rPr>
      </w:pPr>
    </w:p>
    <w:p>
      <w:pPr>
        <w:ind w:right="100"/>
        <w:spacing w:after="0" w:line="335" w:lineRule="auto"/>
        <w:rPr>
          <w:sz w:val="20"/>
          <w:szCs w:val="20"/>
          <w:color w:val="auto"/>
        </w:rPr>
      </w:pPr>
      <w:r>
        <w:rPr>
          <w:rFonts w:ascii="Arial" w:cs="Arial" w:eastAsia="Arial" w:hAnsi="Arial"/>
          <w:sz w:val="8"/>
          <w:szCs w:val="8"/>
          <w:color w:val="auto"/>
        </w:rPr>
        <w:t>Martina's deep financial knowledge and unique perspective also enables her to make robust, demanding and constructive challenges to our investment considerations to help ensure that our projects are aligned with our strategic intent.</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SIR ANDREW MACKENZIE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Independent Non-executive Director [A]</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Five months (appointed October 1, 2020)</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Board committee membership</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Member of the Nomination and Succession Committee</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Outside interests / commitments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Fellow of the Royal Society (FRS)</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64</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British</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20" w:lineRule="exact"/>
        <w:rPr>
          <w:sz w:val="20"/>
          <w:szCs w:val="20"/>
          <w:color w:val="auto"/>
        </w:rPr>
      </w:pPr>
      <w:r>
        <w:rPr>
          <w:sz w:val="20"/>
          <w:szCs w:val="20"/>
          <w:color w:val="auto"/>
        </w:rPr>
        <w:br w:type="column"/>
      </w:r>
    </w:p>
    <w:p>
      <w:pPr>
        <w:ind w:right="220"/>
        <w:spacing w:after="0" w:line="234" w:lineRule="auto"/>
        <w:rPr>
          <w:sz w:val="20"/>
          <w:szCs w:val="20"/>
          <w:color w:val="auto"/>
        </w:rPr>
      </w:pPr>
      <w:r>
        <w:rPr>
          <w:rFonts w:ascii="Arial" w:cs="Arial" w:eastAsia="Arial" w:hAnsi="Arial"/>
          <w:sz w:val="10"/>
          <w:szCs w:val="10"/>
          <w:color w:val="auto"/>
        </w:rPr>
        <w:t>Sir Andrew joined BHP, the world's largest mining company, in 2008, becoming Group CEO from 2013 to 2019, when he systematically simplified and strengthened the business, and created options for the future. He also made BHP the first miner to pledge to tackle emissions caused when customers use its products.</w:t>
      </w:r>
    </w:p>
    <w:p>
      <w:pPr>
        <w:spacing w:after="0" w:line="150" w:lineRule="exact"/>
        <w:rPr>
          <w:sz w:val="20"/>
          <w:szCs w:val="20"/>
          <w:color w:val="auto"/>
        </w:rPr>
      </w:pPr>
    </w:p>
    <w:p>
      <w:pPr>
        <w:ind w:right="300"/>
        <w:spacing w:after="0" w:line="231" w:lineRule="auto"/>
        <w:rPr>
          <w:sz w:val="20"/>
          <w:szCs w:val="20"/>
          <w:color w:val="auto"/>
        </w:rPr>
      </w:pPr>
      <w:r>
        <w:rPr>
          <w:rFonts w:ascii="Arial" w:cs="Arial" w:eastAsia="Arial" w:hAnsi="Arial"/>
          <w:sz w:val="10"/>
          <w:szCs w:val="10"/>
          <w:color w:val="auto"/>
        </w:rPr>
        <w:t>From 2004 to 2007 at Rio Tinto, he was Head of Industrial Minerals, then Head of Industrial Minerals and Diamonds. Prior to this, Sir Andrew spent 22 years with BP, joining in 1982 in research and development, followed by international operations and technology roles across most business streams and functions – principally in exploration and production and petrochemicals, including as Chief Reservoir Engineer and Chief Technology Officer. Latterly he was Group Vice President for Chemicals in the Americas, then Olefins and Polymers globally.</w:t>
      </w:r>
    </w:p>
    <w:p>
      <w:pPr>
        <w:spacing w:after="0" w:line="149" w:lineRule="exact"/>
        <w:rPr>
          <w:sz w:val="20"/>
          <w:szCs w:val="20"/>
          <w:color w:val="auto"/>
        </w:rPr>
      </w:pPr>
    </w:p>
    <w:p>
      <w:pPr>
        <w:jc w:val="both"/>
        <w:ind w:right="200"/>
        <w:spacing w:after="0" w:line="234" w:lineRule="auto"/>
        <w:rPr>
          <w:sz w:val="20"/>
          <w:szCs w:val="20"/>
          <w:color w:val="auto"/>
        </w:rPr>
      </w:pPr>
      <w:r>
        <w:rPr>
          <w:rFonts w:ascii="Arial" w:cs="Arial" w:eastAsia="Arial" w:hAnsi="Arial"/>
          <w:sz w:val="10"/>
          <w:szCs w:val="10"/>
          <w:color w:val="auto"/>
        </w:rPr>
        <w:t>From 2005 to 2013 Sir Andrew served as a Non-executive Director of Centrica. He has also served on many not-for-profit boards, including public policy think-tanks in the UK and Australia. He was knighted in 2020 for services to business, science, technology and UK-Australia relations.</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Relevant skills and experience</w:t>
      </w:r>
    </w:p>
    <w:p>
      <w:pPr>
        <w:spacing w:after="0" w:line="3" w:lineRule="exact"/>
        <w:rPr>
          <w:sz w:val="20"/>
          <w:szCs w:val="20"/>
          <w:color w:val="auto"/>
        </w:rPr>
      </w:pPr>
    </w:p>
    <w:p>
      <w:pPr>
        <w:ind w:right="160"/>
        <w:spacing w:after="0" w:line="300" w:lineRule="auto"/>
        <w:rPr>
          <w:sz w:val="20"/>
          <w:szCs w:val="20"/>
          <w:color w:val="auto"/>
        </w:rPr>
      </w:pPr>
      <w:r>
        <w:rPr>
          <w:rFonts w:ascii="Arial" w:cs="Arial" w:eastAsia="Arial" w:hAnsi="Arial"/>
          <w:sz w:val="8"/>
          <w:szCs w:val="8"/>
          <w:color w:val="auto"/>
        </w:rPr>
        <w:t>Sir Andrew is a highly experienced leader who has managed major international FTSE 100 businesses, and has more than 30 years’ experience in the oil and gas, petrochemicals and minerals industry. Following early academic distinction, Sir Andrew made important contributions to geochemistry, including groundbreaking methods for oil exploration and recovery. He was recognised as "one of the world’s most influential earth scientists" and made a Fellow of the Royal Society in 2014.</w:t>
      </w:r>
    </w:p>
    <w:p>
      <w:pPr>
        <w:spacing w:after="0" w:line="126" w:lineRule="exact"/>
        <w:rPr>
          <w:sz w:val="20"/>
          <w:szCs w:val="20"/>
          <w:color w:val="auto"/>
        </w:rPr>
      </w:pPr>
    </w:p>
    <w:p>
      <w:pPr>
        <w:ind w:right="140"/>
        <w:spacing w:after="0" w:line="297" w:lineRule="auto"/>
        <w:rPr>
          <w:sz w:val="20"/>
          <w:szCs w:val="20"/>
          <w:color w:val="auto"/>
        </w:rPr>
      </w:pPr>
      <w:r>
        <w:rPr>
          <w:rFonts w:ascii="Arial" w:cs="Arial" w:eastAsia="Arial" w:hAnsi="Arial"/>
          <w:sz w:val="8"/>
          <w:szCs w:val="8"/>
          <w:color w:val="auto"/>
        </w:rPr>
        <w:t>Having lived and worked on five continents, Sir Andrew applies his deep understanding of the energy business and geopolitical outlook to create public-private partnerships and advise governments around the world. As an earth scientist, Sir Andrew has consistently pursued sustainable action on climate change in the interests of access to affordable energy and global development. Sir Andrew brings the wealth of his experience and insights to Shell, where his expertise is already contributing to help Shell navigate the energy transition. Sir Andrew is also a committed champion of gender balance, the rights of indigenous peoples, and of the power of large companies to support social change – all of which align closely with Shell’s purpose, strategy and values.</w:t>
      </w:r>
    </w:p>
    <w:p>
      <w:pPr>
        <w:spacing w:after="0" w:line="132" w:lineRule="exact"/>
        <w:rPr>
          <w:sz w:val="20"/>
          <w:szCs w:val="20"/>
          <w:color w:val="auto"/>
        </w:rPr>
      </w:pPr>
    </w:p>
    <w:p>
      <w:pPr>
        <w:spacing w:after="0"/>
        <w:rPr>
          <w:sz w:val="20"/>
          <w:szCs w:val="20"/>
          <w:color w:val="auto"/>
        </w:rPr>
      </w:pPr>
      <w:r>
        <w:rPr>
          <w:rFonts w:ascii="Arial" w:cs="Arial" w:eastAsia="Arial" w:hAnsi="Arial"/>
          <w:sz w:val="7"/>
          <w:szCs w:val="7"/>
          <w:color w:val="auto"/>
        </w:rPr>
        <w:t>[A] On March 11, 2021, the Board announced the appointment of Sir Andrew Mackenzie as Chair with effect from the conclusion of the 2021 AGM.</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ABRAHAM SCHOT</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Independent Non-executive Director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Five months (appointed October 1, 2020)</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Board committee membership</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Member of the Safety, Environment and Sustainability Committee</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Outside interests/commitments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66</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Dutch</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ind w:right="260"/>
        <w:spacing w:after="0" w:line="314" w:lineRule="auto"/>
        <w:rPr>
          <w:sz w:val="20"/>
          <w:szCs w:val="20"/>
          <w:color w:val="auto"/>
        </w:rPr>
      </w:pPr>
      <w:r>
        <w:rPr>
          <w:rFonts w:ascii="Arial" w:cs="Arial" w:eastAsia="Arial" w:hAnsi="Arial"/>
          <w:sz w:val="8"/>
          <w:szCs w:val="8"/>
          <w:color w:val="auto"/>
        </w:rPr>
        <w:t>Bram has been a member of the group Board of Volkswagen AG, responsible for the Premium Car Group, CEO of Audi AG, Chairman of Lamborghini and Ducati, responsible for the VW group Commercial Operations and Vice-Chairman of Porsche Holding Salzburg.</w:t>
      </w:r>
    </w:p>
    <w:p>
      <w:pPr>
        <w:spacing w:after="0" w:line="111" w:lineRule="exact"/>
        <w:rPr>
          <w:sz w:val="20"/>
          <w:szCs w:val="20"/>
          <w:color w:val="auto"/>
        </w:rPr>
      </w:pPr>
    </w:p>
    <w:p>
      <w:pPr>
        <w:jc w:val="both"/>
        <w:ind w:right="180"/>
        <w:spacing w:after="0" w:line="320" w:lineRule="auto"/>
        <w:rPr>
          <w:sz w:val="20"/>
          <w:szCs w:val="20"/>
          <w:color w:val="auto"/>
        </w:rPr>
      </w:pPr>
      <w:r>
        <w:rPr>
          <w:rFonts w:ascii="Arial" w:cs="Arial" w:eastAsia="Arial" w:hAnsi="Arial"/>
          <w:sz w:val="8"/>
          <w:szCs w:val="8"/>
          <w:color w:val="auto"/>
        </w:rPr>
        <w:t>From 2011 to 2016 he was a Member of the Board of Volkswagen CV, Executive Vice President responsible for Global Marketing, Sales &amp; Services, New Business Models. In 2017 he became a member of the Board of Audi AG. From 2006 to 2011 Bram was President &amp; CEO of Daimler/Mercedes-Benz Italia &amp; Holding S.p.A. From 2003 to 2006 he was President &amp; CEO of DaimlerChrysler in the Netherlands.</w:t>
      </w:r>
    </w:p>
    <w:p>
      <w:pPr>
        <w:spacing w:after="0" w:line="1259" w:lineRule="exact"/>
        <w:rPr>
          <w:sz w:val="20"/>
          <w:szCs w:val="20"/>
          <w:color w:val="auto"/>
        </w:rPr>
      </w:pPr>
    </w:p>
    <w:p>
      <w:pPr>
        <w:sectPr>
          <w:pgSz w:w="11900" w:h="16838" w:orient="portrait"/>
          <w:cols w:equalWidth="0" w:num="2">
            <w:col w:w="5400" w:space="320"/>
            <w:col w:w="5580"/>
          </w:cols>
          <w:pgMar w:left="300" w:top="640" w:right="299" w:bottom="1440" w:gutter="0" w:footer="0" w:header="0"/>
        </w:sectPr>
      </w:pP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4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60" w:type="dxa"/>
            <w:vAlign w:val="bottom"/>
          </w:tcPr>
          <w:p>
            <w:pPr>
              <w:jc w:val="right"/>
              <w:ind w:right="5604"/>
              <w:spacing w:after="0"/>
              <w:rPr>
                <w:sz w:val="20"/>
                <w:szCs w:val="20"/>
                <w:color w:val="auto"/>
              </w:rPr>
            </w:pPr>
            <w:r>
              <w:rPr>
                <w:rFonts w:ascii="Arial" w:cs="Arial" w:eastAsia="Arial" w:hAnsi="Arial"/>
                <w:sz w:val="7"/>
                <w:szCs w:val="7"/>
                <w:color w:val="auto"/>
              </w:rPr>
              <w:t>92</w:t>
            </w:r>
          </w:p>
        </w:tc>
      </w:tr>
      <w:tr>
        <w:trPr>
          <w:trHeight w:val="151"/>
        </w:trPr>
        <w:tc>
          <w:tcPr>
            <w:tcW w:w="3440" w:type="dxa"/>
            <w:vAlign w:val="bottom"/>
            <w:tcBorders>
              <w:bottom w:val="single" w:sz="8" w:color="9A9A9A"/>
            </w:tcBorders>
          </w:tcPr>
          <w:p>
            <w:pPr>
              <w:spacing w:after="0"/>
              <w:rPr>
                <w:sz w:val="13"/>
                <w:szCs w:val="13"/>
                <w:color w:val="auto"/>
              </w:rPr>
            </w:pPr>
          </w:p>
        </w:tc>
        <w:tc>
          <w:tcPr>
            <w:tcW w:w="78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95" w:name="page96"/>
    <w:bookmarkEnd w:id="95"/>
    <w:p>
      <w:pPr>
        <w:ind w:right="300"/>
        <w:spacing w:after="0" w:line="230" w:lineRule="auto"/>
        <w:rPr>
          <w:sz w:val="20"/>
          <w:szCs w:val="20"/>
          <w:color w:val="auto"/>
        </w:rPr>
      </w:pPr>
      <w:r>
        <w:rPr>
          <w:rFonts w:ascii="Arial" w:cs="Arial" w:eastAsia="Arial" w:hAnsi="Arial"/>
          <w:sz w:val="10"/>
          <w:szCs w:val="10"/>
          <w:color w:val="auto"/>
        </w:rPr>
        <w:t>Prior to this, Bram held a number of Director and senior leadership roles within Mercedes-Benz in the Netherlands, having joined the business in 1987 on an executive management programme.</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Relevant skills and experience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Bram has over 30 years' experience working in the automotive industry at all levels of the business.</w:t>
      </w:r>
    </w:p>
    <w:p>
      <w:pPr>
        <w:spacing w:after="0" w:line="149" w:lineRule="exact"/>
        <w:rPr>
          <w:sz w:val="20"/>
          <w:szCs w:val="20"/>
          <w:color w:val="auto"/>
        </w:rPr>
      </w:pPr>
    </w:p>
    <w:p>
      <w:pPr>
        <w:ind w:right="20"/>
        <w:spacing w:after="0" w:line="320" w:lineRule="auto"/>
        <w:rPr>
          <w:sz w:val="20"/>
          <w:szCs w:val="20"/>
          <w:color w:val="auto"/>
        </w:rPr>
      </w:pPr>
      <w:r>
        <w:rPr>
          <w:rFonts w:ascii="Arial" w:cs="Arial" w:eastAsia="Arial" w:hAnsi="Arial"/>
          <w:sz w:val="8"/>
          <w:szCs w:val="8"/>
          <w:color w:val="auto"/>
        </w:rPr>
        <w:t>He gained a wealth of knowledge on far-reaching cost optimisation programmes at Audi AG. These helped transform the car company into a provider of electric vehicles that could offer sustainable mobility and succeed in the energy transition. He is well placed to leverage this knowledge in the Shell boardroom as Shell navigates its own transformation and pathway through the energy transition.</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Bram has strong principles and regards integrity and compliance as the basis for doing business.</w:t>
      </w:r>
    </w:p>
    <w:p>
      <w:pPr>
        <w:spacing w:after="0" w:line="155" w:lineRule="exact"/>
        <w:rPr>
          <w:sz w:val="20"/>
          <w:szCs w:val="20"/>
          <w:color w:val="auto"/>
        </w:rPr>
      </w:pPr>
    </w:p>
    <w:p>
      <w:pPr>
        <w:ind w:right="140"/>
        <w:spacing w:after="0" w:line="234" w:lineRule="auto"/>
        <w:rPr>
          <w:sz w:val="20"/>
          <w:szCs w:val="20"/>
          <w:color w:val="auto"/>
        </w:rPr>
      </w:pPr>
      <w:r>
        <w:rPr>
          <w:rFonts w:ascii="Arial" w:cs="Arial" w:eastAsia="Arial" w:hAnsi="Arial"/>
          <w:sz w:val="10"/>
          <w:szCs w:val="10"/>
          <w:color w:val="auto"/>
        </w:rPr>
        <w:t>His studies have encompassed innovation and organisational effectiveness, geopolitical environments, shareholder value, corporate social responsibility and risk management, in several countries, which are all highly valued management tools and are already evident in the questions he raises in the boardroom.</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SIR NIGEL SHEINWALD GCMG</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Independent Non-executive Director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231" w:lineRule="auto"/>
        <w:rPr>
          <w:sz w:val="20"/>
          <w:szCs w:val="20"/>
          <w:color w:val="auto"/>
        </w:rPr>
      </w:pPr>
      <w:r>
        <w:rPr>
          <w:rFonts w:ascii="Arial" w:cs="Arial" w:eastAsia="Arial" w:hAnsi="Arial"/>
          <w:sz w:val="10"/>
          <w:szCs w:val="10"/>
          <w:color w:val="auto"/>
        </w:rPr>
        <w:t>Eight years and eight months (appointed July 1, 2012)</w:t>
      </w:r>
    </w:p>
    <w:p>
      <w:pPr>
        <w:spacing w:after="0" w:line="237" w:lineRule="auto"/>
        <w:rPr>
          <w:sz w:val="20"/>
          <w:szCs w:val="20"/>
          <w:color w:val="auto"/>
        </w:rPr>
      </w:pPr>
      <w:r>
        <w:rPr>
          <w:rFonts w:ascii="Arial" w:cs="Arial" w:eastAsia="Arial" w:hAnsi="Arial"/>
          <w:sz w:val="10"/>
          <w:szCs w:val="10"/>
          <w:color w:val="auto"/>
        </w:rPr>
        <w:t>On March 11, 2021 the Board announced that Sir Nigel Sheinwald would not be seeking re-election at the 2021 AGM.</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Board committee membership</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Chair of the Safety, Environment and Sustainability Committee and member of the Nomination and Succession Committee</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Outside interests/commitments</w:t>
      </w:r>
    </w:p>
    <w:p>
      <w:pPr>
        <w:spacing w:after="0" w:line="3" w:lineRule="exact"/>
        <w:rPr>
          <w:sz w:val="20"/>
          <w:szCs w:val="20"/>
          <w:color w:val="auto"/>
        </w:rPr>
      </w:pPr>
    </w:p>
    <w:p>
      <w:pPr>
        <w:ind w:right="20"/>
        <w:spacing w:after="0" w:line="231" w:lineRule="auto"/>
        <w:rPr>
          <w:sz w:val="20"/>
          <w:szCs w:val="20"/>
          <w:color w:val="auto"/>
        </w:rPr>
      </w:pPr>
      <w:r>
        <w:rPr>
          <w:rFonts w:ascii="Arial" w:cs="Arial" w:eastAsia="Arial" w:hAnsi="Arial"/>
          <w:sz w:val="10"/>
          <w:szCs w:val="10"/>
          <w:color w:val="auto"/>
        </w:rPr>
        <w:t>Non-executive Director of Invesco Ltd. Senior Adviser to Tanium Inc. and the Universal Music Group. Visiting Professor of King’s College, London.</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67</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British</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ind w:right="160"/>
        <w:spacing w:after="0" w:line="295" w:lineRule="auto"/>
        <w:rPr>
          <w:sz w:val="20"/>
          <w:szCs w:val="20"/>
          <w:color w:val="auto"/>
        </w:rPr>
      </w:pPr>
      <w:r>
        <w:rPr>
          <w:rFonts w:ascii="Arial" w:cs="Arial" w:eastAsia="Arial" w:hAnsi="Arial"/>
          <w:sz w:val="8"/>
          <w:szCs w:val="8"/>
          <w:color w:val="auto"/>
        </w:rPr>
        <w:t>Sir Nigel was a senior British diplomat who served as British Ambassador to the USA from 2007 to 2012, before retiring from the Diplomatic Service. Prior to this, he served as Foreign Policy and Defence Adviser to the Prime Minister and as British Ambassador and Permanent Representative to the European Union in Brussels. He joined the Diplomatic Service in 1976 and served in Brussels, Moscow, Washington and in a wide range of policy roles in London. Since 2012, he has taken on a number of international business roles, and has supported organisations involved in higher education and international affairs.</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Relevant skills and experience</w:t>
      </w:r>
    </w:p>
    <w:p>
      <w:pPr>
        <w:spacing w:after="0" w:line="3" w:lineRule="exact"/>
        <w:rPr>
          <w:sz w:val="20"/>
          <w:szCs w:val="20"/>
          <w:color w:val="auto"/>
        </w:rPr>
      </w:pPr>
    </w:p>
    <w:p>
      <w:pPr>
        <w:jc w:val="both"/>
        <w:spacing w:after="0" w:line="309" w:lineRule="auto"/>
        <w:rPr>
          <w:sz w:val="20"/>
          <w:szCs w:val="20"/>
          <w:color w:val="auto"/>
        </w:rPr>
      </w:pPr>
      <w:r>
        <w:rPr>
          <w:rFonts w:ascii="Arial" w:cs="Arial" w:eastAsia="Arial" w:hAnsi="Arial"/>
          <w:sz w:val="8"/>
          <w:szCs w:val="8"/>
          <w:color w:val="auto"/>
        </w:rPr>
        <w:t>Sir Nigel’s distinguished track record, which encompasses three of the most senior international roles in British public service, has given him broad geopolitical and public policy experience, and knowledge of regulatory issues, communications and stakeholder management. He has a global and strategic outlook which enables him to identify emerging issues that could present geopolitical or reputational challenges.</w:t>
      </w:r>
    </w:p>
    <w:p>
      <w:pPr>
        <w:spacing w:after="0" w:line="123" w:lineRule="exact"/>
        <w:rPr>
          <w:sz w:val="20"/>
          <w:szCs w:val="20"/>
          <w:color w:val="auto"/>
        </w:rPr>
      </w:pPr>
    </w:p>
    <w:p>
      <w:pPr>
        <w:ind w:right="60"/>
        <w:spacing w:after="0" w:line="232" w:lineRule="auto"/>
        <w:rPr>
          <w:sz w:val="20"/>
          <w:szCs w:val="20"/>
          <w:color w:val="auto"/>
        </w:rPr>
      </w:pPr>
      <w:r>
        <w:rPr>
          <w:rFonts w:ascii="Arial" w:cs="Arial" w:eastAsia="Arial" w:hAnsi="Arial"/>
          <w:sz w:val="10"/>
          <w:szCs w:val="10"/>
          <w:color w:val="auto"/>
        </w:rPr>
        <w:t>Sir Nigel continues to bring a unique government policy perspective to our strategic discussions, particularly on topics such as the energy transition that are strongly influenced by the views of governments and a complex range of interested parties. His many contributions to the Board on this and other strategic and operational topics often reflect the interconnections between geopolitics, business and external stakeholder engagement.</w:t>
      </w:r>
    </w:p>
    <w:p>
      <w:pPr>
        <w:spacing w:after="0" w:line="149" w:lineRule="exact"/>
        <w:rPr>
          <w:sz w:val="20"/>
          <w:szCs w:val="20"/>
          <w:color w:val="auto"/>
        </w:rPr>
      </w:pPr>
    </w:p>
    <w:p>
      <w:pPr>
        <w:ind w:right="80"/>
        <w:spacing w:after="0" w:line="239" w:lineRule="auto"/>
        <w:rPr>
          <w:sz w:val="20"/>
          <w:szCs w:val="20"/>
          <w:color w:val="auto"/>
        </w:rPr>
      </w:pPr>
      <w:r>
        <w:rPr>
          <w:rFonts w:ascii="Arial" w:cs="Arial" w:eastAsia="Arial" w:hAnsi="Arial"/>
          <w:sz w:val="10"/>
          <w:szCs w:val="10"/>
          <w:color w:val="auto"/>
        </w:rPr>
        <w:t>He is accustomed to operating in challenging environments and is committed to active external engagement. This, and his understanding of public policy</w:t>
      </w:r>
    </w:p>
    <w:p>
      <w:pPr>
        <w:spacing w:after="0" w:line="20" w:lineRule="exact"/>
        <w:rPr>
          <w:sz w:val="20"/>
          <w:szCs w:val="20"/>
          <w:color w:val="auto"/>
        </w:rPr>
      </w:pPr>
      <w:r>
        <w:rPr>
          <w:sz w:val="20"/>
          <w:szCs w:val="20"/>
          <w:color w:val="auto"/>
        </w:rPr>
        <w:br w:type="column"/>
      </w:r>
    </w:p>
    <w:p>
      <w:pPr>
        <w:ind w:right="360"/>
        <w:spacing w:after="0" w:line="239" w:lineRule="auto"/>
        <w:rPr>
          <w:sz w:val="20"/>
          <w:szCs w:val="20"/>
          <w:color w:val="auto"/>
        </w:rPr>
      </w:pPr>
      <w:r>
        <w:rPr>
          <w:rFonts w:ascii="Arial" w:cs="Arial" w:eastAsia="Arial" w:hAnsi="Arial"/>
          <w:sz w:val="10"/>
          <w:szCs w:val="10"/>
          <w:color w:val="auto"/>
        </w:rPr>
        <w:t>and regulatory issues through his career in government service and membership of think-tank and university boards, has made him well suited to the role of Chair of our Safety, Environment and Sustainability Committee.</w:t>
      </w:r>
    </w:p>
    <w:p>
      <w:pPr>
        <w:spacing w:after="0" w:line="30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GERRIT ZALM</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Independent Non-executive Director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Eight years and two months (appointed January 1, 2013)</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Board committee membership</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Member of the Audit Committee and member of the Remuneration Committee</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Outside interests/commitments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Director of Moody’s Corporation Inc. and Danske Bank A/S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68</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Dutch</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ind w:right="200"/>
        <w:spacing w:after="0" w:line="227" w:lineRule="auto"/>
        <w:rPr>
          <w:sz w:val="20"/>
          <w:szCs w:val="20"/>
          <w:color w:val="auto"/>
        </w:rPr>
      </w:pPr>
      <w:r>
        <w:rPr>
          <w:rFonts w:ascii="Arial" w:cs="Arial" w:eastAsia="Arial" w:hAnsi="Arial"/>
          <w:sz w:val="10"/>
          <w:szCs w:val="10"/>
          <w:color w:val="auto"/>
        </w:rPr>
        <w:t>Gerrit was an adviser to PricewaterhouseCoopers during 2007, Chairman of the Trustees of the International Accounting Standards Board from 2007 to 2010, and an adviser to Permira from 2007 to 2008. He was Chief Economist of DSB Bank from July 2007 to January 2008, Chief Financial Officer from January 2008 to December 2008, and Chairman of the Managing Board of ABN AMRO Bank N.V. from 2010 to 2016. He was Minister of Finance of the Netherlands, twice, from 1994 to 2002 and from 2003 to 2007. In between, he was Chairman of the parliamentary party of the VVD.</w:t>
      </w:r>
    </w:p>
    <w:p>
      <w:pPr>
        <w:spacing w:after="0" w:line="150" w:lineRule="exact"/>
        <w:rPr>
          <w:sz w:val="20"/>
          <w:szCs w:val="20"/>
          <w:color w:val="auto"/>
        </w:rPr>
      </w:pPr>
    </w:p>
    <w:p>
      <w:pPr>
        <w:ind w:right="240"/>
        <w:spacing w:after="0" w:line="234" w:lineRule="auto"/>
        <w:rPr>
          <w:sz w:val="20"/>
          <w:szCs w:val="20"/>
          <w:color w:val="auto"/>
        </w:rPr>
      </w:pPr>
      <w:r>
        <w:rPr>
          <w:rFonts w:ascii="Arial" w:cs="Arial" w:eastAsia="Arial" w:hAnsi="Arial"/>
          <w:sz w:val="10"/>
          <w:szCs w:val="10"/>
          <w:color w:val="auto"/>
        </w:rPr>
        <w:t>Prior to 1994, he was head of the Netherlands Bureau for Economic Policy Analysis, a professor at Vrije Universiteit Amsterdam, and held various positions at the Ministry of Finance and the Ministry of Economic Affairs. He studied general economics at Vrije Universiteit Amsterdam, from where he also received an honorary doctorate in economics.</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Relevant skills and experience</w:t>
      </w:r>
    </w:p>
    <w:p>
      <w:pPr>
        <w:spacing w:after="0" w:line="3" w:lineRule="exact"/>
        <w:rPr>
          <w:sz w:val="20"/>
          <w:szCs w:val="20"/>
          <w:color w:val="auto"/>
        </w:rPr>
      </w:pPr>
    </w:p>
    <w:p>
      <w:pPr>
        <w:ind w:right="160"/>
        <w:spacing w:after="0" w:line="309" w:lineRule="auto"/>
        <w:rPr>
          <w:sz w:val="20"/>
          <w:szCs w:val="20"/>
          <w:color w:val="auto"/>
        </w:rPr>
      </w:pPr>
      <w:r>
        <w:rPr>
          <w:rFonts w:ascii="Arial" w:cs="Arial" w:eastAsia="Arial" w:hAnsi="Arial"/>
          <w:sz w:val="8"/>
          <w:szCs w:val="8"/>
          <w:color w:val="auto"/>
        </w:rPr>
        <w:t>An economist by background, Gerrit’s distinguished 12-year service as the Minister of Finance of the Netherlands, and his experience gained from his time with ABN AMRO Bank, bring a deep and valuable understanding of Dutch politics and financial markets to the Board. His international financial management expertise and strategic development experience also benefit the Audit Committee.</w:t>
      </w:r>
    </w:p>
    <w:p>
      <w:pPr>
        <w:spacing w:after="0" w:line="123" w:lineRule="exact"/>
        <w:rPr>
          <w:sz w:val="20"/>
          <w:szCs w:val="20"/>
          <w:color w:val="auto"/>
        </w:rPr>
      </w:pPr>
    </w:p>
    <w:p>
      <w:pPr>
        <w:ind w:right="180"/>
        <w:spacing w:after="0" w:line="231" w:lineRule="auto"/>
        <w:rPr>
          <w:sz w:val="20"/>
          <w:szCs w:val="20"/>
          <w:color w:val="auto"/>
        </w:rPr>
      </w:pPr>
      <w:r>
        <w:rPr>
          <w:rFonts w:ascii="Arial" w:cs="Arial" w:eastAsia="Arial" w:hAnsi="Arial"/>
          <w:sz w:val="10"/>
          <w:szCs w:val="10"/>
          <w:color w:val="auto"/>
        </w:rPr>
        <w:t>A highly regarded and seasoned leader in both the public and private spheres, his significant experience in analysing financial commitments from a wider public stakeholder and a global business standpoint serves the Board well, particularly when considering investment proposals. Gerrit consistently and concisely articulates the logic and reasoning behind his views, which he regularly and directly provides to the benefit of the Board and management. His questions often trigger other analytical questions from fellow Directors, deepening and widening Board discussions.</w:t>
      </w:r>
    </w:p>
    <w:p>
      <w:pPr>
        <w:spacing w:after="0" w:line="30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LINDA M. COULTER</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Company Secretary</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Four years and two months (appointed January 1, 2017)</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53</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US citizen</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ind w:right="140"/>
        <w:spacing w:after="0" w:line="231" w:lineRule="auto"/>
        <w:rPr>
          <w:sz w:val="20"/>
          <w:szCs w:val="20"/>
          <w:color w:val="auto"/>
        </w:rPr>
      </w:pPr>
      <w:r>
        <w:rPr>
          <w:rFonts w:ascii="Arial" w:cs="Arial" w:eastAsia="Arial" w:hAnsi="Arial"/>
          <w:sz w:val="10"/>
          <w:szCs w:val="10"/>
          <w:color w:val="auto"/>
        </w:rPr>
        <w:t>Linda was General Counsel of the Upstream Americas business and Head of Legal US, based in the USA, from 2014 to 2016. Previously, she was Group Chief Ethics and Compliance Officer, based in the Netherlands, from 2011</w:t>
      </w:r>
    </w:p>
    <w:p>
      <w:pPr>
        <w:spacing w:after="0" w:line="200" w:lineRule="exact"/>
        <w:rPr>
          <w:sz w:val="20"/>
          <w:szCs w:val="20"/>
          <w:color w:val="auto"/>
        </w:rPr>
      </w:pPr>
    </w:p>
    <w:p>
      <w:pPr>
        <w:sectPr>
          <w:pgSz w:w="11900" w:h="16838" w:orient="portrait"/>
          <w:cols w:equalWidth="0" w:num="2">
            <w:col w:w="5420" w:space="300"/>
            <w:col w:w="5580"/>
          </w:cols>
          <w:pgMar w:left="300" w:top="640" w:right="299" w:bottom="1440" w:gutter="0" w:footer="0" w:header="0"/>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4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60" w:type="dxa"/>
            <w:vAlign w:val="bottom"/>
          </w:tcPr>
          <w:p>
            <w:pPr>
              <w:jc w:val="right"/>
              <w:ind w:right="5604"/>
              <w:spacing w:after="0"/>
              <w:rPr>
                <w:sz w:val="20"/>
                <w:szCs w:val="20"/>
                <w:color w:val="auto"/>
              </w:rPr>
            </w:pPr>
            <w:r>
              <w:rPr>
                <w:rFonts w:ascii="Arial" w:cs="Arial" w:eastAsia="Arial" w:hAnsi="Arial"/>
                <w:sz w:val="7"/>
                <w:szCs w:val="7"/>
                <w:color w:val="auto"/>
              </w:rPr>
              <w:t>93</w:t>
            </w:r>
          </w:p>
        </w:tc>
      </w:tr>
      <w:tr>
        <w:trPr>
          <w:trHeight w:val="151"/>
        </w:trPr>
        <w:tc>
          <w:tcPr>
            <w:tcW w:w="3440" w:type="dxa"/>
            <w:vAlign w:val="bottom"/>
            <w:tcBorders>
              <w:bottom w:val="single" w:sz="8" w:color="9A9A9A"/>
            </w:tcBorders>
          </w:tcPr>
          <w:p>
            <w:pPr>
              <w:spacing w:after="0"/>
              <w:rPr>
                <w:sz w:val="13"/>
                <w:szCs w:val="13"/>
                <w:color w:val="auto"/>
              </w:rPr>
            </w:pPr>
          </w:p>
        </w:tc>
        <w:tc>
          <w:tcPr>
            <w:tcW w:w="78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96" w:name="page97"/>
    <w:bookmarkEnd w:id="96"/>
    <w:p>
      <w:pPr>
        <w:spacing w:after="0" w:line="239" w:lineRule="auto"/>
        <w:rPr>
          <w:sz w:val="20"/>
          <w:szCs w:val="20"/>
          <w:color w:val="auto"/>
        </w:rPr>
      </w:pPr>
      <w:r>
        <w:rPr>
          <w:rFonts w:ascii="Arial" w:cs="Arial" w:eastAsia="Arial" w:hAnsi="Arial"/>
          <w:sz w:val="10"/>
          <w:szCs w:val="10"/>
          <w:color w:val="auto"/>
        </w:rPr>
        <w:t>to 2014. Since joining Shell in 1995, she has also held a variety of legal positions in the Shell Oil Company in the USA, including Chemicals Legal Managing Counsel and other senior roles in employment, litigation, and commercial practice.</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Relevant skills and experience</w:t>
      </w:r>
    </w:p>
    <w:p>
      <w:pPr>
        <w:spacing w:after="0" w:line="3" w:lineRule="exact"/>
        <w:rPr>
          <w:sz w:val="20"/>
          <w:szCs w:val="20"/>
          <w:color w:val="auto"/>
        </w:rPr>
      </w:pPr>
    </w:p>
    <w:p>
      <w:pPr>
        <w:ind w:right="240"/>
        <w:spacing w:after="0" w:line="231" w:lineRule="auto"/>
        <w:rPr>
          <w:sz w:val="20"/>
          <w:szCs w:val="20"/>
          <w:color w:val="auto"/>
        </w:rPr>
      </w:pPr>
      <w:r>
        <w:rPr>
          <w:rFonts w:ascii="Arial" w:cs="Arial" w:eastAsia="Arial" w:hAnsi="Arial"/>
          <w:sz w:val="10"/>
          <w:szCs w:val="10"/>
          <w:color w:val="auto"/>
        </w:rPr>
        <w:t>Linda is our Company Secretary and plays an important role as Shell’s General Counsel Corporate, overseeing corporate legal teams in Canada, the Netherlands, the UK and the USA.</w:t>
      </w:r>
    </w:p>
    <w:p>
      <w:pPr>
        <w:spacing w:after="0" w:line="149" w:lineRule="exact"/>
        <w:rPr>
          <w:sz w:val="20"/>
          <w:szCs w:val="20"/>
          <w:color w:val="auto"/>
        </w:rPr>
      </w:pPr>
    </w:p>
    <w:p>
      <w:pPr>
        <w:ind w:right="20"/>
        <w:spacing w:after="0" w:line="232" w:lineRule="auto"/>
        <w:rPr>
          <w:sz w:val="20"/>
          <w:szCs w:val="20"/>
          <w:color w:val="auto"/>
        </w:rPr>
      </w:pPr>
      <w:r>
        <w:rPr>
          <w:rFonts w:ascii="Arial" w:cs="Arial" w:eastAsia="Arial" w:hAnsi="Arial"/>
          <w:sz w:val="10"/>
          <w:szCs w:val="10"/>
          <w:color w:val="auto"/>
        </w:rPr>
        <w:t>The various legal roles Linda has undertaken at our headquarters, and in supporting both the Upstream and Downstream businesses, have provided her with a strong understanding of our global operations and people. Her experience of engaging with the Board in previous roles, coupled with her broad understanding and engagement across Shell’s businesses and functions, helps to ensure that the right matters come to the Board at the right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480060</wp:posOffset>
            </wp:positionV>
            <wp:extent cx="3909060" cy="20173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909060" cy="2017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RETIREMENTS IN 2020</w:t>
      </w:r>
    </w:p>
    <w:p>
      <w:pPr>
        <w:spacing w:after="0" w:line="231" w:lineRule="auto"/>
        <w:rPr>
          <w:sz w:val="20"/>
          <w:szCs w:val="20"/>
          <w:color w:val="auto"/>
        </w:rPr>
      </w:pPr>
      <w:r>
        <w:rPr>
          <w:rFonts w:ascii="Arial" w:cs="Arial" w:eastAsia="Arial" w:hAnsi="Arial"/>
          <w:sz w:val="10"/>
          <w:szCs w:val="10"/>
          <w:b w:val="1"/>
          <w:bCs w:val="1"/>
          <w:color w:val="auto"/>
        </w:rPr>
        <w:t>Gerard Kleisterlee</w:t>
      </w:r>
    </w:p>
    <w:p>
      <w:pPr>
        <w:ind w:right="280"/>
        <w:spacing w:after="0" w:line="231" w:lineRule="auto"/>
        <w:rPr>
          <w:sz w:val="20"/>
          <w:szCs w:val="20"/>
          <w:color w:val="auto"/>
        </w:rPr>
      </w:pPr>
      <w:r>
        <w:rPr>
          <w:rFonts w:ascii="Arial" w:cs="Arial" w:eastAsia="Arial" w:hAnsi="Arial"/>
          <w:sz w:val="10"/>
          <w:szCs w:val="10"/>
          <w:color w:val="auto"/>
        </w:rPr>
        <w:t>Retired: May 19, 2020. In line with best practice, Gerard chose not to seek re-election at the 2020 AGM following completion of his third three-year term and retired from the Board.</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Linda Stuntz</w:t>
      </w:r>
    </w:p>
    <w:p>
      <w:pPr>
        <w:spacing w:after="0" w:line="3" w:lineRule="exact"/>
        <w:rPr>
          <w:sz w:val="20"/>
          <w:szCs w:val="20"/>
          <w:color w:val="auto"/>
        </w:rPr>
      </w:pPr>
    </w:p>
    <w:p>
      <w:pPr>
        <w:ind w:right="320"/>
        <w:spacing w:after="0" w:line="231" w:lineRule="auto"/>
        <w:rPr>
          <w:sz w:val="20"/>
          <w:szCs w:val="20"/>
          <w:color w:val="auto"/>
        </w:rPr>
      </w:pPr>
      <w:r>
        <w:rPr>
          <w:rFonts w:ascii="Arial" w:cs="Arial" w:eastAsia="Arial" w:hAnsi="Arial"/>
          <w:sz w:val="10"/>
          <w:szCs w:val="10"/>
          <w:color w:val="auto"/>
        </w:rPr>
        <w:t>Retired: May 19, 2020. In line with best practice, Linda chose not to seek re-election at the 2020 AGM following completion of her third three-year term and retired from the Board.</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Roberto Setubal</w:t>
      </w:r>
    </w:p>
    <w:p>
      <w:pPr>
        <w:spacing w:after="0" w:line="3" w:lineRule="exact"/>
        <w:rPr>
          <w:sz w:val="20"/>
          <w:szCs w:val="20"/>
          <w:color w:val="auto"/>
        </w:rPr>
      </w:pPr>
    </w:p>
    <w:p>
      <w:pPr>
        <w:ind w:right="260"/>
        <w:spacing w:after="0" w:line="231" w:lineRule="auto"/>
        <w:rPr>
          <w:sz w:val="20"/>
          <w:szCs w:val="20"/>
          <w:color w:val="auto"/>
        </w:rPr>
      </w:pPr>
      <w:r>
        <w:rPr>
          <w:rFonts w:ascii="Arial" w:cs="Arial" w:eastAsia="Arial" w:hAnsi="Arial"/>
          <w:sz w:val="10"/>
          <w:szCs w:val="10"/>
          <w:color w:val="auto"/>
        </w:rPr>
        <w:t>Retired: May 19, 2020. Roberto chose not to seek re-election at the 2020 AGM due to other business commitments in his home country of Brazil and retired from the Board.</w:t>
      </w:r>
    </w:p>
    <w:p>
      <w:pPr>
        <w:spacing w:after="0" w:line="200" w:lineRule="exact"/>
        <w:rPr>
          <w:sz w:val="20"/>
          <w:szCs w:val="20"/>
          <w:color w:val="auto"/>
        </w:rPr>
      </w:pPr>
    </w:p>
    <w:p>
      <w:pPr>
        <w:sectPr>
          <w:pgSz w:w="11900" w:h="16838" w:orient="portrait"/>
          <w:cols w:equalWidth="0" w:num="2">
            <w:col w:w="5420" w:space="300"/>
            <w:col w:w="5580"/>
          </w:cols>
          <w:pgMar w:left="300" w:top="64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4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60" w:type="dxa"/>
            <w:vAlign w:val="bottom"/>
          </w:tcPr>
          <w:p>
            <w:pPr>
              <w:jc w:val="right"/>
              <w:ind w:right="5604"/>
              <w:spacing w:after="0"/>
              <w:rPr>
                <w:sz w:val="20"/>
                <w:szCs w:val="20"/>
                <w:color w:val="auto"/>
              </w:rPr>
            </w:pPr>
            <w:r>
              <w:rPr>
                <w:rFonts w:ascii="Arial" w:cs="Arial" w:eastAsia="Arial" w:hAnsi="Arial"/>
                <w:sz w:val="7"/>
                <w:szCs w:val="7"/>
                <w:color w:val="auto"/>
              </w:rPr>
              <w:t>94</w:t>
            </w:r>
          </w:p>
        </w:tc>
      </w:tr>
      <w:tr>
        <w:trPr>
          <w:trHeight w:val="151"/>
        </w:trPr>
        <w:tc>
          <w:tcPr>
            <w:tcW w:w="3440" w:type="dxa"/>
            <w:vAlign w:val="bottom"/>
            <w:tcBorders>
              <w:bottom w:val="single" w:sz="8" w:color="9A9A9A"/>
            </w:tcBorders>
          </w:tcPr>
          <w:p>
            <w:pPr>
              <w:spacing w:after="0"/>
              <w:rPr>
                <w:sz w:val="13"/>
                <w:szCs w:val="13"/>
                <w:color w:val="auto"/>
              </w:rPr>
            </w:pPr>
          </w:p>
        </w:tc>
        <w:tc>
          <w:tcPr>
            <w:tcW w:w="78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21"/>
          <w:szCs w:val="21"/>
          <w:color w:val="auto"/>
        </w:rPr>
        <w:t>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62915" cy="228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p>
      <w:pPr>
        <w:spacing w:after="0" w:line="172" w:lineRule="exact"/>
        <w:rPr>
          <w:sz w:val="20"/>
          <w:szCs w:val="20"/>
          <w:color w:val="auto"/>
        </w:rPr>
      </w:pPr>
    </w:p>
    <w:p>
      <w:pPr>
        <w:ind w:right="80"/>
        <w:spacing w:after="0" w:line="239" w:lineRule="auto"/>
        <w:rPr>
          <w:sz w:val="20"/>
          <w:szCs w:val="20"/>
          <w:color w:val="auto"/>
        </w:rPr>
      </w:pPr>
      <w:r>
        <w:rPr>
          <w:rFonts w:ascii="Arial" w:cs="Arial" w:eastAsia="Arial" w:hAnsi="Arial"/>
          <w:sz w:val="10"/>
          <w:szCs w:val="10"/>
          <w:color w:val="auto"/>
        </w:rPr>
        <w:t>The Senior Management of the Company comprises the Executive Directors, Ben van Beurden and Jessica Uhl, and those listed below. All are members of the Executive Committee (see “Governance Framework” on page 98).</w:t>
      </w:r>
    </w:p>
    <w:p>
      <w:pPr>
        <w:spacing w:after="0" w:line="30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HARRY BREKELMANS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Projects &amp; Technology Director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Six years and five months (appointed October 2014)</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55</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Dutch</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spacing w:after="0" w:line="309" w:lineRule="auto"/>
        <w:rPr>
          <w:sz w:val="20"/>
          <w:szCs w:val="20"/>
          <w:color w:val="auto"/>
        </w:rPr>
      </w:pPr>
      <w:r>
        <w:rPr>
          <w:rFonts w:ascii="Arial" w:cs="Arial" w:eastAsia="Arial" w:hAnsi="Arial"/>
          <w:sz w:val="8"/>
          <w:szCs w:val="8"/>
          <w:color w:val="auto"/>
        </w:rPr>
        <w:t>Harry was previously Executive Vice President for Upstream International Operated, based in the Netherlands. He joined Shell in 1990 and has held various management positions in Exploration and Production, Internal Audit, and Group Strategy and Planning. From 2011 to 2013, he was Country Chair Russia and Executive Vice President for Russia and the Caspian region.</w:t>
      </w: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RONAN CASSIDY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Chief Human Resources and Corporate Officer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Five years and two months (appointed January 2016)</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54</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British</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ind w:right="140"/>
        <w:spacing w:after="0" w:line="231" w:lineRule="auto"/>
        <w:rPr>
          <w:sz w:val="20"/>
          <w:szCs w:val="20"/>
          <w:color w:val="auto"/>
        </w:rPr>
      </w:pPr>
      <w:r>
        <w:rPr>
          <w:rFonts w:ascii="Arial" w:cs="Arial" w:eastAsia="Arial" w:hAnsi="Arial"/>
          <w:sz w:val="10"/>
          <w:szCs w:val="10"/>
          <w:color w:val="auto"/>
        </w:rPr>
        <w:t>Ronan was previously Executive Vice President Human Resources, Upstream International. He joined Shell in 1988 and has held various human resources positions in Upstream and Downstream.</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DONNY CHING</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Legal Director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Seven years and one month (appointed February 2014)</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56</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Malaysian</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ind w:right="20"/>
        <w:spacing w:after="0" w:line="229" w:lineRule="auto"/>
        <w:rPr>
          <w:sz w:val="20"/>
          <w:szCs w:val="20"/>
          <w:color w:val="auto"/>
        </w:rPr>
      </w:pPr>
      <w:r>
        <w:rPr>
          <w:rFonts w:ascii="Arial" w:cs="Arial" w:eastAsia="Arial" w:hAnsi="Arial"/>
          <w:sz w:val="10"/>
          <w:szCs w:val="10"/>
          <w:color w:val="auto"/>
        </w:rPr>
        <w:t>Donny was previously General Counsel for Projects &amp; Technology, based in the Netherlands. He joined Shell in 1988 based in Australia and then moved to Hong Kong and later to London. In 2008, he was appointed Head of Legal at Shell Singapore, having served as Associate General Counsel for Gas &amp; Power in Asia-Pacific.</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WAEL SAWAN</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Upstream Director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One year and eight months (appointed July 2019)</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46</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Lebanese and Canadian</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ind w:right="220"/>
        <w:spacing w:after="0" w:line="337" w:lineRule="auto"/>
        <w:rPr>
          <w:sz w:val="20"/>
          <w:szCs w:val="20"/>
          <w:color w:val="auto"/>
        </w:rPr>
      </w:pPr>
      <w:r>
        <w:rPr>
          <w:rFonts w:ascii="Arial" w:cs="Arial" w:eastAsia="Arial" w:hAnsi="Arial"/>
          <w:sz w:val="8"/>
          <w:szCs w:val="8"/>
          <w:color w:val="auto"/>
        </w:rPr>
        <w:t>Wael was previously the Executive Vice President of Shell's Deep Water business and was a member of the Upstream Leadership Team. He joined Shell in 1997 and worked in a variety of roles in each of Shell's core business units: Upstream, Integrated Gas and Downstream.</w:t>
      </w:r>
    </w:p>
    <w:p>
      <w:pPr>
        <w:spacing w:after="0" w:line="11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HUIBERT VIGEVENO</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Downstream Director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One year and two months (appointed January 2020)</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51</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Dutch</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ind w:right="380"/>
        <w:spacing w:after="0" w:line="228" w:lineRule="auto"/>
        <w:rPr>
          <w:sz w:val="20"/>
          <w:szCs w:val="20"/>
          <w:color w:val="auto"/>
        </w:rPr>
      </w:pPr>
      <w:r>
        <w:rPr>
          <w:rFonts w:ascii="Arial" w:cs="Arial" w:eastAsia="Arial" w:hAnsi="Arial"/>
          <w:sz w:val="10"/>
          <w:szCs w:val="10"/>
          <w:color w:val="auto"/>
        </w:rPr>
        <w:t>Huibert was previously Executive Vice President Global Commercial. He joined Shell in 1995 as a business analyst and led many Downstream businesses across Shell in Europe, Africa, North and South America as well as Asia. In 2009, Huibert was appointed Vice President Supply &amp; Distribution, Europe and Africa. In 2012 he became Executive Chairman of Shell in China, and in 2016 led the integration of BG Group.</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MAARTEN WETSELAAR</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Integrated Gas, Renewables and Energy Solutions Director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Tenure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Five years and two months (appointed January 2016)</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Age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52</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Nationality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Dutch</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Career</w:t>
      </w:r>
    </w:p>
    <w:p>
      <w:pPr>
        <w:spacing w:after="0" w:line="3" w:lineRule="exact"/>
        <w:rPr>
          <w:sz w:val="20"/>
          <w:szCs w:val="20"/>
          <w:color w:val="auto"/>
        </w:rPr>
      </w:pPr>
    </w:p>
    <w:p>
      <w:pPr>
        <w:ind w:right="420"/>
        <w:spacing w:after="0" w:line="231" w:lineRule="auto"/>
        <w:rPr>
          <w:sz w:val="20"/>
          <w:szCs w:val="20"/>
          <w:color w:val="auto"/>
        </w:rPr>
      </w:pPr>
      <w:r>
        <w:rPr>
          <w:rFonts w:ascii="Arial" w:cs="Arial" w:eastAsia="Arial" w:hAnsi="Arial"/>
          <w:sz w:val="10"/>
          <w:szCs w:val="10"/>
          <w:color w:val="auto"/>
        </w:rPr>
        <w:t>Maarten was previously Executive Vice President of Integrated Gas, based in Singapore. He joined Shell in 1995 and has held various financial, commercial and general management roles in Downstream, Trading and Upstream.</w:t>
      </w:r>
    </w:p>
    <w:p>
      <w:pPr>
        <w:spacing w:after="0" w:line="577" w:lineRule="exact"/>
        <w:rPr>
          <w:sz w:val="20"/>
          <w:szCs w:val="20"/>
          <w:color w:val="auto"/>
        </w:rPr>
      </w:pPr>
    </w:p>
    <w:p>
      <w:pPr>
        <w:sectPr>
          <w:pgSz w:w="11900" w:h="16838" w:orient="portrait"/>
          <w:cols w:equalWidth="0" w:num="2">
            <w:col w:w="5400" w:space="320"/>
            <w:col w:w="5580"/>
          </w:cols>
          <w:pgMar w:left="300" w:top="721" w:right="299" w:bottom="1440" w:gutter="0" w:footer="0" w:header="0"/>
          <w:type w:val="continuous"/>
        </w:sect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4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60" w:type="dxa"/>
            <w:vAlign w:val="bottom"/>
          </w:tcPr>
          <w:p>
            <w:pPr>
              <w:jc w:val="right"/>
              <w:ind w:right="5604"/>
              <w:spacing w:after="0"/>
              <w:rPr>
                <w:sz w:val="20"/>
                <w:szCs w:val="20"/>
                <w:color w:val="auto"/>
              </w:rPr>
            </w:pPr>
            <w:r>
              <w:rPr>
                <w:rFonts w:ascii="Arial" w:cs="Arial" w:eastAsia="Arial" w:hAnsi="Arial"/>
                <w:sz w:val="7"/>
                <w:szCs w:val="7"/>
                <w:color w:val="auto"/>
              </w:rPr>
              <w:t>95</w:t>
            </w:r>
          </w:p>
        </w:tc>
      </w:tr>
      <w:tr>
        <w:trPr>
          <w:trHeight w:val="142"/>
        </w:trPr>
        <w:tc>
          <w:tcPr>
            <w:tcW w:w="3440" w:type="dxa"/>
            <w:vAlign w:val="bottom"/>
            <w:tcBorders>
              <w:bottom w:val="single" w:sz="8" w:color="9A9A9A"/>
            </w:tcBorders>
          </w:tcPr>
          <w:p>
            <w:pPr>
              <w:spacing w:after="0"/>
              <w:rPr>
                <w:sz w:val="12"/>
                <w:szCs w:val="12"/>
                <w:color w:val="auto"/>
              </w:rPr>
            </w:pPr>
          </w:p>
        </w:tc>
        <w:tc>
          <w:tcPr>
            <w:tcW w:w="78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type w:val="continuous"/>
        </w:sectPr>
      </w:pPr>
    </w:p>
    <w:bookmarkStart w:id="98" w:name="page99"/>
    <w:bookmarkEnd w:id="98"/>
    <w:p>
      <w:pPr>
        <w:ind w:left="8"/>
        <w:spacing w:after="0"/>
        <w:rPr>
          <w:sz w:val="20"/>
          <w:szCs w:val="20"/>
          <w:color w:val="auto"/>
        </w:rPr>
      </w:pPr>
      <w:r>
        <w:rPr>
          <w:rFonts w:ascii="Arial" w:cs="Arial" w:eastAsia="Arial" w:hAnsi="Arial"/>
          <w:sz w:val="24"/>
          <w:szCs w:val="24"/>
          <w:color w:val="auto"/>
        </w:rPr>
        <w:t>GOVERNANCE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MANAGEMENT AND DIRECTORS</w:t>
      </w:r>
    </w:p>
    <w:p>
      <w:pPr>
        <w:spacing w:after="0" w:line="157" w:lineRule="exact"/>
        <w:rPr>
          <w:sz w:val="20"/>
          <w:szCs w:val="20"/>
          <w:color w:val="auto"/>
        </w:rPr>
      </w:pPr>
    </w:p>
    <w:p>
      <w:pPr>
        <w:ind w:left="8" w:right="480"/>
        <w:spacing w:after="0" w:line="239" w:lineRule="auto"/>
        <w:rPr>
          <w:sz w:val="20"/>
          <w:szCs w:val="20"/>
          <w:color w:val="auto"/>
        </w:rPr>
      </w:pPr>
      <w:r>
        <w:rPr>
          <w:rFonts w:ascii="Arial" w:cs="Arial" w:eastAsia="Arial" w:hAnsi="Arial"/>
          <w:sz w:val="10"/>
          <w:szCs w:val="10"/>
          <w:color w:val="auto"/>
        </w:rPr>
        <w:t>The Company has a single-tier Board of Directors headed by a Chair, with management led by a CEO. See “The Board of Royal Dutch Shell plc” on page 89 and Senior Management on page 95.</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EXECUTIVE COMMITTEE</w:t>
      </w:r>
    </w:p>
    <w:p>
      <w:pPr>
        <w:spacing w:after="0" w:line="1"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current composition of the Executive Committee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337560" cy="777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37560" cy="777240"/>
                    </a:xfrm>
                    <a:prstGeom prst="rect">
                      <a:avLst/>
                    </a:prstGeom>
                    <a:noFill/>
                  </pic:spPr>
                </pic:pic>
              </a:graphicData>
            </a:graphic>
          </wp:anchor>
        </w:drawing>
      </w:r>
    </w:p>
    <w:p>
      <w:pPr>
        <w:spacing w:after="0" w:line="1" w:lineRule="exact"/>
        <w:rPr>
          <w:sz w:val="20"/>
          <w:szCs w:val="20"/>
          <w:color w:val="auto"/>
        </w:rPr>
      </w:pPr>
    </w:p>
    <w:p>
      <w:pPr>
        <w:ind w:left="28"/>
        <w:spacing w:after="0"/>
        <w:rPr>
          <w:sz w:val="20"/>
          <w:szCs w:val="20"/>
          <w:color w:val="auto"/>
        </w:rPr>
      </w:pPr>
      <w:r>
        <w:rPr>
          <w:rFonts w:ascii="Arial" w:cs="Arial" w:eastAsia="Arial" w:hAnsi="Arial"/>
          <w:sz w:val="10"/>
          <w:szCs w:val="10"/>
          <w:b w:val="1"/>
          <w:bCs w:val="1"/>
          <w:color w:val="auto"/>
        </w:rPr>
        <w:t>Executive Committee</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22"/>
        </w:trPr>
        <w:tc>
          <w:tcPr>
            <w:tcW w:w="21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Ben van Beurden</w:t>
            </w:r>
          </w:p>
        </w:tc>
        <w:tc>
          <w:tcPr>
            <w:tcW w:w="3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CEO [A] [B]</w:t>
            </w:r>
          </w:p>
        </w:tc>
      </w:tr>
      <w:tr>
        <w:trPr>
          <w:trHeight w:val="113"/>
        </w:trPr>
        <w:tc>
          <w:tcPr>
            <w:tcW w:w="2140" w:type="dxa"/>
            <w:vAlign w:val="bottom"/>
            <w:tcBorders>
              <w:bottom w:val="single" w:sz="8" w:color="auto"/>
              <w:right w:val="single" w:sz="8" w:color="auto"/>
            </w:tcBorders>
          </w:tcPr>
          <w:p>
            <w:pPr>
              <w:ind w:left="20"/>
              <w:spacing w:after="0" w:line="114" w:lineRule="exact"/>
              <w:rPr>
                <w:sz w:val="20"/>
                <w:szCs w:val="20"/>
                <w:color w:val="auto"/>
              </w:rPr>
            </w:pPr>
            <w:r>
              <w:rPr>
                <w:rFonts w:ascii="Arial" w:cs="Arial" w:eastAsia="Arial" w:hAnsi="Arial"/>
                <w:sz w:val="10"/>
                <w:szCs w:val="10"/>
                <w:color w:val="auto"/>
              </w:rPr>
              <w:t>Jessica Uhl</w:t>
            </w:r>
          </w:p>
        </w:tc>
        <w:tc>
          <w:tcPr>
            <w:tcW w:w="31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CFO [A] [B]</w:t>
            </w:r>
          </w:p>
        </w:tc>
      </w:tr>
      <w:tr>
        <w:trPr>
          <w:trHeight w:val="115"/>
        </w:trPr>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Harry Brekelmans</w:t>
            </w:r>
          </w:p>
        </w:tc>
        <w:tc>
          <w:tcPr>
            <w:tcW w:w="31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Projects &amp; Technology Director [B]</w:t>
            </w:r>
          </w:p>
        </w:tc>
      </w:tr>
      <w:tr>
        <w:trPr>
          <w:trHeight w:val="115"/>
        </w:trPr>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Ronan Cassidy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Chief Human Resources &amp; Corporate Officer [B]</w:t>
            </w:r>
          </w:p>
        </w:tc>
      </w:tr>
      <w:tr>
        <w:trPr>
          <w:trHeight w:val="115"/>
        </w:trPr>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Donny Ching</w:t>
            </w:r>
          </w:p>
        </w:tc>
        <w:tc>
          <w:tcPr>
            <w:tcW w:w="31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Legal Director [B]</w:t>
            </w:r>
          </w:p>
        </w:tc>
      </w:tr>
      <w:tr>
        <w:trPr>
          <w:trHeight w:val="115"/>
        </w:trPr>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Wael Sawan</w:t>
            </w:r>
          </w:p>
        </w:tc>
        <w:tc>
          <w:tcPr>
            <w:tcW w:w="31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Upstream Director [B]</w:t>
            </w:r>
          </w:p>
        </w:tc>
      </w:tr>
      <w:tr>
        <w:trPr>
          <w:trHeight w:val="115"/>
        </w:trPr>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Huibert Vigeveno</w:t>
            </w:r>
          </w:p>
        </w:tc>
        <w:tc>
          <w:tcPr>
            <w:tcW w:w="31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Downstream Director [B]</w:t>
            </w:r>
          </w:p>
        </w:tc>
      </w:tr>
      <w:tr>
        <w:trPr>
          <w:trHeight w:val="115"/>
        </w:trPr>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Maarten Wetselaar</w:t>
            </w:r>
          </w:p>
        </w:tc>
        <w:tc>
          <w:tcPr>
            <w:tcW w:w="31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Integrated Gas, Renewables and Energy Solutions Director [B]</w:t>
            </w:r>
          </w:p>
        </w:tc>
      </w:tr>
    </w:tbl>
    <w:p>
      <w:pPr>
        <w:spacing w:after="0" w:line="56" w:lineRule="exact"/>
        <w:rPr>
          <w:sz w:val="20"/>
          <w:szCs w:val="20"/>
          <w:color w:val="auto"/>
        </w:rPr>
      </w:pPr>
    </w:p>
    <w:p>
      <w:pPr>
        <w:ind w:left="128" w:hanging="128"/>
        <w:spacing w:after="0"/>
        <w:tabs>
          <w:tab w:leader="none" w:pos="128" w:val="left"/>
        </w:tabs>
        <w:numPr>
          <w:ilvl w:val="0"/>
          <w:numId w:val="90"/>
        </w:numPr>
        <w:rPr>
          <w:rFonts w:ascii="Arial" w:cs="Arial" w:eastAsia="Arial" w:hAnsi="Arial"/>
          <w:sz w:val="7"/>
          <w:szCs w:val="7"/>
          <w:color w:val="auto"/>
        </w:rPr>
      </w:pPr>
      <w:r>
        <w:rPr>
          <w:rFonts w:ascii="Arial" w:cs="Arial" w:eastAsia="Arial" w:hAnsi="Arial"/>
          <w:sz w:val="7"/>
          <w:szCs w:val="7"/>
          <w:color w:val="auto"/>
        </w:rPr>
        <w:t>Director of the Company.</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90"/>
        </w:numPr>
        <w:rPr>
          <w:rFonts w:ascii="Arial" w:cs="Arial" w:eastAsia="Arial" w:hAnsi="Arial"/>
          <w:sz w:val="7"/>
          <w:szCs w:val="7"/>
          <w:color w:val="auto"/>
        </w:rPr>
      </w:pPr>
      <w:r>
        <w:rPr>
          <w:rFonts w:ascii="Arial" w:cs="Arial" w:eastAsia="Arial" w:hAnsi="Arial"/>
          <w:sz w:val="7"/>
          <w:szCs w:val="7"/>
          <w:color w:val="auto"/>
        </w:rPr>
        <w:t>Designated an Executive Officer pursuant to US Exchange Act Rule 3b-7.Beneficially owns less than 1% of outstanding classes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1428750" cy="1028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428750" cy="102870"/>
                    </a:xfrm>
                    <a:prstGeom prst="rect">
                      <a:avLst/>
                    </a:prstGeom>
                    <a:noFill/>
                  </pic:spPr>
                </pic:pic>
              </a:graphicData>
            </a:graphic>
          </wp:anchor>
        </w:drawing>
      </w:r>
    </w:p>
    <w:p>
      <w:pPr>
        <w:spacing w:after="0" w:line="129"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Corporate governance requirements outside the UK</w:t>
      </w:r>
    </w:p>
    <w:p>
      <w:pPr>
        <w:spacing w:after="0" w:line="3" w:lineRule="exact"/>
        <w:rPr>
          <w:sz w:val="20"/>
          <w:szCs w:val="20"/>
          <w:color w:val="auto"/>
        </w:rPr>
      </w:pPr>
    </w:p>
    <w:p>
      <w:pPr>
        <w:ind w:left="8" w:right="600"/>
        <w:spacing w:after="0" w:line="225" w:lineRule="auto"/>
        <w:rPr>
          <w:sz w:val="20"/>
          <w:szCs w:val="20"/>
          <w:color w:val="auto"/>
        </w:rPr>
      </w:pPr>
      <w:r>
        <w:rPr>
          <w:rFonts w:ascii="Arial" w:cs="Arial" w:eastAsia="Arial" w:hAnsi="Arial"/>
          <w:sz w:val="10"/>
          <w:szCs w:val="10"/>
          <w:color w:val="auto"/>
        </w:rPr>
        <w:t>In addition to complying with applicable corporate governance requirements in the UK, the Company complies with the rules of Euronext Amsterdam as well as Dutch securities laws because of its listing on that exchange. The Company likewise adheres to US securities laws and the New York Stock Exchange (NYSE) rules and regulations because its securities are registered in the USA and listed on the NYSE.</w:t>
      </w:r>
    </w:p>
    <w:p>
      <w:pPr>
        <w:ind w:left="8"/>
        <w:spacing w:after="0" w:line="227" w:lineRule="auto"/>
        <w:rPr>
          <w:sz w:val="20"/>
          <w:szCs w:val="20"/>
          <w:color w:val="auto"/>
        </w:rPr>
      </w:pPr>
      <w:r>
        <w:rPr>
          <w:rFonts w:ascii="Arial" w:cs="Arial" w:eastAsia="Arial" w:hAnsi="Arial"/>
          <w:sz w:val="10"/>
          <w:szCs w:val="10"/>
          <w:b w:val="1"/>
          <w:bCs w:val="1"/>
          <w:color w:val="auto"/>
        </w:rPr>
        <w:t>BOARD ACTIVITIES</w:t>
      </w:r>
    </w:p>
    <w:p>
      <w:pPr>
        <w:ind w:left="8" w:right="420"/>
        <w:spacing w:after="0" w:line="287" w:lineRule="auto"/>
        <w:rPr>
          <w:sz w:val="20"/>
          <w:szCs w:val="20"/>
          <w:color w:val="auto"/>
        </w:rPr>
      </w:pPr>
      <w:r>
        <w:rPr>
          <w:rFonts w:ascii="Arial" w:cs="Arial" w:eastAsia="Arial" w:hAnsi="Arial"/>
          <w:sz w:val="8"/>
          <w:szCs w:val="8"/>
          <w:color w:val="auto"/>
        </w:rPr>
        <w:t>A rolling Board agenda is reviewed at Board meetings, enabling effective forward management of meetings and focused discussions. Forthcoming Board agenda items are categorised as: Strategy &amp; Portfolio, Delivery &amp; Performance, External Environment, Corporate &amp; Miscellaneous or Standard items. Of the standard items, Board agendas regularly include reports from the Chief Executive Officer, the Chief Financial Officer, other Executive Committee members and from each Board committee. "Core values" moments also feature regularly led by a Director or Executive Committee member. In 2020, "Shell Heroes" vignettes were added to highlight extraordinary staff actions including those exemplifying care for people, society and/or the environment. Updates are also provided from the various businesses and key functions, including Investor Relations; Health and Safety, Security and Environment; Human Resources; and Legal, as well as the Company Secretary. The Board also considers and approves the quarterly, half-year and full-year financial results, shareholder distributions and the associated announcements, and, at most meetings, considers investment, divestment and/or financing proposals. To enable purposeful debates and/or focus on particular aspects of agenda topics, including the impact on key stakeholders, Directors have an opportunity to specify information they require to be provided in advance of Board meetings.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44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2220" w:type="dxa"/>
            <w:vAlign w:val="bottom"/>
          </w:tcPr>
          <w:p>
            <w:pPr>
              <w:jc w:val="right"/>
              <w:spacing w:after="0"/>
              <w:rPr>
                <w:sz w:val="20"/>
                <w:szCs w:val="20"/>
                <w:color w:val="auto"/>
              </w:rPr>
            </w:pPr>
            <w:r>
              <w:rPr>
                <w:rFonts w:ascii="Arial" w:cs="Arial" w:eastAsia="Arial" w:hAnsi="Arial"/>
                <w:sz w:val="7"/>
                <w:szCs w:val="7"/>
                <w:color w:val="auto"/>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178040" cy="11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both"/>
        <w:ind w:right="60"/>
        <w:spacing w:after="0" w:line="283" w:lineRule="auto"/>
        <w:rPr>
          <w:sz w:val="20"/>
          <w:szCs w:val="20"/>
          <w:color w:val="auto"/>
        </w:rPr>
      </w:pPr>
      <w:r>
        <w:rPr>
          <w:rFonts w:ascii="Arial" w:cs="Arial" w:eastAsia="Arial" w:hAnsi="Arial"/>
          <w:sz w:val="8"/>
          <w:szCs w:val="8"/>
          <w:color w:val="auto"/>
        </w:rPr>
        <w:t>As in previous years and despite COVID-19 travel restrictions, certain Board committees and Non-executive Directors conducted site visits of various Shell operations and overseas offices - albeit virtually in 2020. These virtual visits were designed to provide Directors with first-hand insights into certain businesses, including into key projects and energy transition initiatives. Directors also held various virtual workforce engagements, as well as virtual external stakeholder engagements.</w:t>
      </w:r>
    </w:p>
    <w:p>
      <w:pPr>
        <w:spacing w:after="0" w:line="124" w:lineRule="exact"/>
        <w:rPr>
          <w:sz w:val="20"/>
          <w:szCs w:val="20"/>
          <w:color w:val="auto"/>
        </w:rPr>
      </w:pPr>
    </w:p>
    <w:p>
      <w:pPr>
        <w:ind w:right="100"/>
        <w:spacing w:after="0" w:line="320" w:lineRule="auto"/>
        <w:rPr>
          <w:sz w:val="20"/>
          <w:szCs w:val="20"/>
          <w:color w:val="auto"/>
        </w:rPr>
      </w:pPr>
      <w:r>
        <w:rPr>
          <w:rFonts w:ascii="Arial" w:cs="Arial" w:eastAsia="Arial" w:hAnsi="Arial"/>
          <w:sz w:val="8"/>
          <w:szCs w:val="8"/>
          <w:color w:val="auto"/>
        </w:rPr>
        <w:t>Some of the activities and areas of Board focus over the year are summarised below. The information below is not exhaustive. Information on other topics discussed by the Board and details of the resulting decisions are covered elsewhere. In some cases, a brief outline has been provided below and reference given to where additional and more comprehensive information can be found.</w:t>
      </w: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June strategy days</w:t>
      </w:r>
    </w:p>
    <w:p>
      <w:pPr>
        <w:spacing w:after="0" w:line="3" w:lineRule="exact"/>
        <w:rPr>
          <w:sz w:val="20"/>
          <w:szCs w:val="20"/>
          <w:color w:val="auto"/>
        </w:rPr>
      </w:pPr>
    </w:p>
    <w:p>
      <w:pPr>
        <w:spacing w:after="0" w:line="292" w:lineRule="auto"/>
        <w:rPr>
          <w:sz w:val="20"/>
          <w:szCs w:val="20"/>
          <w:color w:val="auto"/>
        </w:rPr>
      </w:pPr>
      <w:r>
        <w:rPr>
          <w:rFonts w:ascii="Arial" w:cs="Arial" w:eastAsia="Arial" w:hAnsi="Arial"/>
          <w:sz w:val="8"/>
          <w:szCs w:val="8"/>
          <w:color w:val="auto"/>
        </w:rPr>
        <w:t>In lieu of the traditional physical June Strategy off-site meetings or Board’s Strategy Day, virtual meetings were held over the course of three days. As these meetings are usually an opportunity for the Board, and particularly new Directors, to strengthen collegial relationships among Directors and with the Executive Committee, considerable efforts were invested into making these meetings as innovative and engaging as possible. This included incorporating break-out sessions, staff engagements and an external engagement. The Board members were also asked to share light-hearted insights about themselves in advance of the meetings which were woven into informal quizzes. Virtual social events rounded out the end of each day's programme.</w:t>
      </w:r>
    </w:p>
    <w:p>
      <w:pPr>
        <w:spacing w:after="0" w:line="130" w:lineRule="exact"/>
        <w:rPr>
          <w:sz w:val="20"/>
          <w:szCs w:val="20"/>
          <w:color w:val="auto"/>
        </w:rPr>
      </w:pPr>
    </w:p>
    <w:p>
      <w:pPr>
        <w:spacing w:after="0"/>
        <w:rPr>
          <w:sz w:val="20"/>
          <w:szCs w:val="20"/>
          <w:color w:val="auto"/>
        </w:rPr>
      </w:pPr>
      <w:r>
        <w:rPr>
          <w:rFonts w:ascii="Arial" w:cs="Arial" w:eastAsia="Arial" w:hAnsi="Arial"/>
          <w:sz w:val="8"/>
          <w:szCs w:val="8"/>
          <w:color w:val="auto"/>
        </w:rPr>
        <w:t>The Board Strategy Days included discussions on various topics including the proposed direction for Shell, with strategic alternatives.</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Topics covered at the sessions included:</w:t>
      </w:r>
    </w:p>
    <w:p>
      <w:pPr>
        <w:spacing w:after="0" w:line="157" w:lineRule="exact"/>
        <w:rPr>
          <w:sz w:val="20"/>
          <w:szCs w:val="20"/>
          <w:color w:val="auto"/>
        </w:rPr>
      </w:pPr>
    </w:p>
    <w:p>
      <w:pPr>
        <w:ind w:left="440" w:hanging="217"/>
        <w:spacing w:after="0"/>
        <w:tabs>
          <w:tab w:leader="none" w:pos="440" w:val="left"/>
        </w:tabs>
        <w:numPr>
          <w:ilvl w:val="0"/>
          <w:numId w:val="91"/>
        </w:numPr>
        <w:rPr>
          <w:rFonts w:ascii="Arial" w:cs="Arial" w:eastAsia="Arial" w:hAnsi="Arial"/>
          <w:sz w:val="13"/>
          <w:szCs w:val="13"/>
          <w:color w:val="auto"/>
        </w:rPr>
      </w:pPr>
      <w:r>
        <w:rPr>
          <w:rFonts w:ascii="Arial" w:cs="Arial" w:eastAsia="Arial" w:hAnsi="Arial"/>
          <w:sz w:val="10"/>
          <w:szCs w:val="10"/>
          <w:color w:val="auto"/>
        </w:rPr>
        <w:t>2020-2022 outlook and responses;</w:t>
      </w:r>
    </w:p>
    <w:p>
      <w:pPr>
        <w:spacing w:after="0" w:line="10" w:lineRule="exact"/>
        <w:rPr>
          <w:rFonts w:ascii="Arial" w:cs="Arial" w:eastAsia="Arial" w:hAnsi="Arial"/>
          <w:sz w:val="13"/>
          <w:szCs w:val="13"/>
          <w:color w:val="auto"/>
        </w:rPr>
      </w:pPr>
    </w:p>
    <w:p>
      <w:pPr>
        <w:ind w:left="440" w:hanging="217"/>
        <w:spacing w:after="0" w:line="229" w:lineRule="auto"/>
        <w:tabs>
          <w:tab w:leader="none" w:pos="440" w:val="left"/>
        </w:tabs>
        <w:numPr>
          <w:ilvl w:val="0"/>
          <w:numId w:val="91"/>
        </w:numPr>
        <w:rPr>
          <w:rFonts w:ascii="Arial" w:cs="Arial" w:eastAsia="Arial" w:hAnsi="Arial"/>
          <w:sz w:val="13"/>
          <w:szCs w:val="13"/>
          <w:color w:val="auto"/>
        </w:rPr>
      </w:pPr>
      <w:r>
        <w:rPr>
          <w:rFonts w:ascii="Arial" w:cs="Arial" w:eastAsia="Arial" w:hAnsi="Arial"/>
          <w:sz w:val="10"/>
          <w:szCs w:val="10"/>
          <w:color w:val="auto"/>
        </w:rPr>
        <w:t>Project Reshape (Shell’s reorganisation);</w:t>
      </w:r>
    </w:p>
    <w:p>
      <w:pPr>
        <w:spacing w:after="0" w:line="10" w:lineRule="exact"/>
        <w:rPr>
          <w:rFonts w:ascii="Arial" w:cs="Arial" w:eastAsia="Arial" w:hAnsi="Arial"/>
          <w:sz w:val="13"/>
          <w:szCs w:val="13"/>
          <w:color w:val="auto"/>
        </w:rPr>
      </w:pPr>
    </w:p>
    <w:p>
      <w:pPr>
        <w:ind w:left="440" w:hanging="217"/>
        <w:spacing w:after="0" w:line="229" w:lineRule="auto"/>
        <w:tabs>
          <w:tab w:leader="none" w:pos="440" w:val="left"/>
        </w:tabs>
        <w:numPr>
          <w:ilvl w:val="0"/>
          <w:numId w:val="91"/>
        </w:numPr>
        <w:rPr>
          <w:rFonts w:ascii="Arial" w:cs="Arial" w:eastAsia="Arial" w:hAnsi="Arial"/>
          <w:sz w:val="13"/>
          <w:szCs w:val="13"/>
          <w:color w:val="auto"/>
        </w:rPr>
      </w:pPr>
      <w:r>
        <w:rPr>
          <w:rFonts w:ascii="Arial" w:cs="Arial" w:eastAsia="Arial" w:hAnsi="Arial"/>
          <w:sz w:val="10"/>
          <w:szCs w:val="10"/>
          <w:color w:val="auto"/>
        </w:rPr>
        <w:t>strategic pathway and underlying strategic premises;</w:t>
      </w:r>
    </w:p>
    <w:p>
      <w:pPr>
        <w:spacing w:after="0" w:line="10" w:lineRule="exact"/>
        <w:rPr>
          <w:rFonts w:ascii="Arial" w:cs="Arial" w:eastAsia="Arial" w:hAnsi="Arial"/>
          <w:sz w:val="13"/>
          <w:szCs w:val="13"/>
          <w:color w:val="auto"/>
        </w:rPr>
      </w:pPr>
    </w:p>
    <w:p>
      <w:pPr>
        <w:ind w:left="440" w:hanging="217"/>
        <w:spacing w:after="0" w:line="229" w:lineRule="auto"/>
        <w:tabs>
          <w:tab w:leader="none" w:pos="440" w:val="left"/>
        </w:tabs>
        <w:numPr>
          <w:ilvl w:val="0"/>
          <w:numId w:val="91"/>
        </w:numPr>
        <w:rPr>
          <w:rFonts w:ascii="Arial" w:cs="Arial" w:eastAsia="Arial" w:hAnsi="Arial"/>
          <w:sz w:val="13"/>
          <w:szCs w:val="13"/>
          <w:color w:val="auto"/>
        </w:rPr>
      </w:pPr>
      <w:r>
        <w:rPr>
          <w:rFonts w:ascii="Arial" w:cs="Arial" w:eastAsia="Arial" w:hAnsi="Arial"/>
          <w:sz w:val="10"/>
          <w:szCs w:val="10"/>
          <w:color w:val="auto"/>
        </w:rPr>
        <w:t>energy transition strategy;</w:t>
      </w:r>
    </w:p>
    <w:p>
      <w:pPr>
        <w:spacing w:after="0" w:line="10" w:lineRule="exact"/>
        <w:rPr>
          <w:rFonts w:ascii="Arial" w:cs="Arial" w:eastAsia="Arial" w:hAnsi="Arial"/>
          <w:sz w:val="13"/>
          <w:szCs w:val="13"/>
          <w:color w:val="auto"/>
        </w:rPr>
      </w:pPr>
    </w:p>
    <w:p>
      <w:pPr>
        <w:ind w:left="440" w:hanging="217"/>
        <w:spacing w:after="0" w:line="229" w:lineRule="auto"/>
        <w:tabs>
          <w:tab w:leader="none" w:pos="440" w:val="left"/>
        </w:tabs>
        <w:numPr>
          <w:ilvl w:val="0"/>
          <w:numId w:val="91"/>
        </w:numPr>
        <w:rPr>
          <w:rFonts w:ascii="Arial" w:cs="Arial" w:eastAsia="Arial" w:hAnsi="Arial"/>
          <w:sz w:val="13"/>
          <w:szCs w:val="13"/>
          <w:color w:val="auto"/>
        </w:rPr>
      </w:pPr>
      <w:r>
        <w:rPr>
          <w:rFonts w:ascii="Arial" w:cs="Arial" w:eastAsia="Arial" w:hAnsi="Arial"/>
          <w:sz w:val="10"/>
          <w:szCs w:val="10"/>
          <w:color w:val="auto"/>
        </w:rPr>
        <w:t>implications of energy transition strategy;</w:t>
      </w:r>
    </w:p>
    <w:p>
      <w:pPr>
        <w:spacing w:after="0" w:line="10" w:lineRule="exact"/>
        <w:rPr>
          <w:rFonts w:ascii="Arial" w:cs="Arial" w:eastAsia="Arial" w:hAnsi="Arial"/>
          <w:sz w:val="13"/>
          <w:szCs w:val="13"/>
          <w:color w:val="auto"/>
        </w:rPr>
      </w:pPr>
    </w:p>
    <w:p>
      <w:pPr>
        <w:ind w:left="440" w:hanging="217"/>
        <w:spacing w:after="0" w:line="229" w:lineRule="auto"/>
        <w:tabs>
          <w:tab w:leader="none" w:pos="440" w:val="left"/>
        </w:tabs>
        <w:numPr>
          <w:ilvl w:val="0"/>
          <w:numId w:val="91"/>
        </w:numPr>
        <w:rPr>
          <w:rFonts w:ascii="Arial" w:cs="Arial" w:eastAsia="Arial" w:hAnsi="Arial"/>
          <w:sz w:val="13"/>
          <w:szCs w:val="13"/>
          <w:color w:val="auto"/>
        </w:rPr>
      </w:pPr>
      <w:r>
        <w:rPr>
          <w:rFonts w:ascii="Arial" w:cs="Arial" w:eastAsia="Arial" w:hAnsi="Arial"/>
          <w:sz w:val="10"/>
          <w:szCs w:val="10"/>
          <w:color w:val="auto"/>
        </w:rPr>
        <w:t>exploring alternative strategies;</w:t>
      </w:r>
    </w:p>
    <w:p>
      <w:pPr>
        <w:spacing w:after="0" w:line="10" w:lineRule="exact"/>
        <w:rPr>
          <w:rFonts w:ascii="Arial" w:cs="Arial" w:eastAsia="Arial" w:hAnsi="Arial"/>
          <w:sz w:val="13"/>
          <w:szCs w:val="13"/>
          <w:color w:val="auto"/>
        </w:rPr>
      </w:pPr>
    </w:p>
    <w:p>
      <w:pPr>
        <w:ind w:left="440" w:hanging="217"/>
        <w:spacing w:after="0" w:line="229" w:lineRule="auto"/>
        <w:tabs>
          <w:tab w:leader="none" w:pos="440" w:val="left"/>
        </w:tabs>
        <w:numPr>
          <w:ilvl w:val="0"/>
          <w:numId w:val="91"/>
        </w:numPr>
        <w:rPr>
          <w:rFonts w:ascii="Arial" w:cs="Arial" w:eastAsia="Arial" w:hAnsi="Arial"/>
          <w:sz w:val="13"/>
          <w:szCs w:val="13"/>
          <w:color w:val="auto"/>
        </w:rPr>
      </w:pPr>
      <w:r>
        <w:rPr>
          <w:rFonts w:ascii="Arial" w:cs="Arial" w:eastAsia="Arial" w:hAnsi="Arial"/>
          <w:sz w:val="10"/>
          <w:szCs w:val="10"/>
          <w:color w:val="auto"/>
        </w:rPr>
        <w:t>financial framework;</w:t>
      </w:r>
    </w:p>
    <w:p>
      <w:pPr>
        <w:spacing w:after="0" w:line="10" w:lineRule="exact"/>
        <w:rPr>
          <w:rFonts w:ascii="Arial" w:cs="Arial" w:eastAsia="Arial" w:hAnsi="Arial"/>
          <w:sz w:val="13"/>
          <w:szCs w:val="13"/>
          <w:color w:val="auto"/>
        </w:rPr>
      </w:pPr>
    </w:p>
    <w:p>
      <w:pPr>
        <w:ind w:left="440" w:hanging="217"/>
        <w:spacing w:after="0" w:line="229" w:lineRule="auto"/>
        <w:tabs>
          <w:tab w:leader="none" w:pos="440" w:val="left"/>
        </w:tabs>
        <w:numPr>
          <w:ilvl w:val="0"/>
          <w:numId w:val="91"/>
        </w:numPr>
        <w:rPr>
          <w:rFonts w:ascii="Arial" w:cs="Arial" w:eastAsia="Arial" w:hAnsi="Arial"/>
          <w:sz w:val="13"/>
          <w:szCs w:val="13"/>
          <w:color w:val="auto"/>
        </w:rPr>
      </w:pPr>
      <w:r>
        <w:rPr>
          <w:rFonts w:ascii="Arial" w:cs="Arial" w:eastAsia="Arial" w:hAnsi="Arial"/>
          <w:sz w:val="10"/>
          <w:szCs w:val="10"/>
          <w:color w:val="auto"/>
        </w:rPr>
        <w:t>strategic alignment next steps;</w:t>
      </w:r>
    </w:p>
    <w:p>
      <w:pPr>
        <w:spacing w:after="0" w:line="10" w:lineRule="exact"/>
        <w:rPr>
          <w:rFonts w:ascii="Arial" w:cs="Arial" w:eastAsia="Arial" w:hAnsi="Arial"/>
          <w:sz w:val="13"/>
          <w:szCs w:val="13"/>
          <w:color w:val="auto"/>
        </w:rPr>
      </w:pPr>
    </w:p>
    <w:p>
      <w:pPr>
        <w:ind w:left="440" w:hanging="217"/>
        <w:spacing w:after="0" w:line="229" w:lineRule="auto"/>
        <w:tabs>
          <w:tab w:leader="none" w:pos="440" w:val="left"/>
        </w:tabs>
        <w:numPr>
          <w:ilvl w:val="0"/>
          <w:numId w:val="91"/>
        </w:numPr>
        <w:rPr>
          <w:rFonts w:ascii="Arial" w:cs="Arial" w:eastAsia="Arial" w:hAnsi="Arial"/>
          <w:sz w:val="13"/>
          <w:szCs w:val="13"/>
          <w:color w:val="auto"/>
        </w:rPr>
      </w:pPr>
      <w:r>
        <w:rPr>
          <w:rFonts w:ascii="Arial" w:cs="Arial" w:eastAsia="Arial" w:hAnsi="Arial"/>
          <w:sz w:val="10"/>
          <w:szCs w:val="10"/>
          <w:color w:val="auto"/>
        </w:rPr>
        <w:t>staff engagements; and</w:t>
      </w:r>
    </w:p>
    <w:p>
      <w:pPr>
        <w:spacing w:after="0" w:line="3" w:lineRule="exact"/>
        <w:rPr>
          <w:rFonts w:ascii="Arial" w:cs="Arial" w:eastAsia="Arial" w:hAnsi="Arial"/>
          <w:sz w:val="13"/>
          <w:szCs w:val="13"/>
          <w:color w:val="auto"/>
        </w:rPr>
      </w:pPr>
    </w:p>
    <w:p>
      <w:pPr>
        <w:ind w:left="440" w:hanging="217"/>
        <w:spacing w:after="0" w:line="236" w:lineRule="auto"/>
        <w:tabs>
          <w:tab w:leader="none" w:pos="440" w:val="left"/>
        </w:tabs>
        <w:numPr>
          <w:ilvl w:val="0"/>
          <w:numId w:val="91"/>
        </w:numPr>
        <w:rPr>
          <w:rFonts w:ascii="Arial" w:cs="Arial" w:eastAsia="Arial" w:hAnsi="Arial"/>
          <w:sz w:val="10"/>
          <w:szCs w:val="10"/>
          <w:color w:val="auto"/>
        </w:rPr>
      </w:pPr>
      <w:r>
        <w:rPr>
          <w:rFonts w:ascii="Arial" w:cs="Arial" w:eastAsia="Arial" w:hAnsi="Arial"/>
          <w:sz w:val="10"/>
          <w:szCs w:val="10"/>
          <w:color w:val="auto"/>
        </w:rPr>
        <w:t>external engagement with a significant customer/supplier.</w:t>
      </w:r>
    </w:p>
    <w:p>
      <w:pPr>
        <w:sectPr>
          <w:pgSz w:w="11900" w:h="16838" w:orient="portrait"/>
          <w:cols w:equalWidth="0" w:num="2">
            <w:col w:w="5668" w:space="260"/>
            <w:col w:w="5240"/>
          </w:cols>
          <w:pgMar w:left="292" w:top="968" w:right="43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723265</wp:posOffset>
            </wp:positionV>
            <wp:extent cx="3909060" cy="49263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3909060" cy="492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4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60" w:type="dxa"/>
            <w:vAlign w:val="bottom"/>
          </w:tcPr>
          <w:p>
            <w:pPr>
              <w:jc w:val="right"/>
              <w:ind w:right="5604"/>
              <w:spacing w:after="0"/>
              <w:rPr>
                <w:sz w:val="20"/>
                <w:szCs w:val="20"/>
                <w:color w:val="auto"/>
              </w:rPr>
            </w:pPr>
            <w:r>
              <w:rPr>
                <w:rFonts w:ascii="Arial" w:cs="Arial" w:eastAsia="Arial" w:hAnsi="Arial"/>
                <w:sz w:val="7"/>
                <w:szCs w:val="7"/>
                <w:color w:val="auto"/>
              </w:rPr>
              <w:t>97</w:t>
            </w:r>
          </w:p>
        </w:tc>
      </w:tr>
      <w:tr>
        <w:trPr>
          <w:trHeight w:val="151"/>
        </w:trPr>
        <w:tc>
          <w:tcPr>
            <w:tcW w:w="3440" w:type="dxa"/>
            <w:vAlign w:val="bottom"/>
            <w:tcBorders>
              <w:bottom w:val="single" w:sz="8" w:color="9A9A9A"/>
            </w:tcBorders>
          </w:tcPr>
          <w:p>
            <w:pPr>
              <w:spacing w:after="0"/>
              <w:rPr>
                <w:sz w:val="13"/>
                <w:szCs w:val="13"/>
                <w:color w:val="auto"/>
              </w:rPr>
            </w:pPr>
          </w:p>
        </w:tc>
        <w:tc>
          <w:tcPr>
            <w:tcW w:w="78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414655</wp:posOffset>
            </wp:positionV>
            <wp:extent cx="3909060" cy="4846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3909060" cy="484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4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60" w:type="dxa"/>
            <w:vAlign w:val="bottom"/>
          </w:tcPr>
          <w:p>
            <w:pPr>
              <w:jc w:val="right"/>
              <w:ind w:right="5604"/>
              <w:spacing w:after="0"/>
              <w:rPr>
                <w:sz w:val="20"/>
                <w:szCs w:val="20"/>
                <w:color w:val="auto"/>
              </w:rPr>
            </w:pPr>
            <w:r>
              <w:rPr>
                <w:rFonts w:ascii="Arial" w:cs="Arial" w:eastAsia="Arial" w:hAnsi="Arial"/>
                <w:sz w:val="7"/>
                <w:szCs w:val="7"/>
                <w:color w:val="auto"/>
              </w:rPr>
              <w:t>98</w:t>
            </w:r>
          </w:p>
        </w:tc>
      </w:tr>
      <w:tr>
        <w:trPr>
          <w:trHeight w:val="151"/>
        </w:trPr>
        <w:tc>
          <w:tcPr>
            <w:tcW w:w="3440" w:type="dxa"/>
            <w:vAlign w:val="bottom"/>
            <w:tcBorders>
              <w:bottom w:val="single" w:sz="8" w:color="9A9A9A"/>
            </w:tcBorders>
          </w:tcPr>
          <w:p>
            <w:pPr>
              <w:spacing w:after="0"/>
              <w:rPr>
                <w:sz w:val="13"/>
                <w:szCs w:val="13"/>
                <w:color w:val="auto"/>
              </w:rPr>
            </w:pPr>
          </w:p>
        </w:tc>
        <w:tc>
          <w:tcPr>
            <w:tcW w:w="78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01" w:name="page102"/>
    <w:bookmarkEnd w:id="101"/>
    <w:p>
      <w:pPr>
        <w:spacing w:after="0" w:line="2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Senior Succession and Resourcing Review</w:t>
      </w:r>
    </w:p>
    <w:p>
      <w:pPr>
        <w:spacing w:after="0" w:line="22" w:lineRule="exact"/>
        <w:rPr>
          <w:sz w:val="20"/>
          <w:szCs w:val="20"/>
          <w:color w:val="auto"/>
        </w:rPr>
      </w:pPr>
    </w:p>
    <w:p>
      <w:pPr>
        <w:ind w:right="1020"/>
        <w:spacing w:after="0" w:line="234" w:lineRule="auto"/>
        <w:rPr>
          <w:sz w:val="20"/>
          <w:szCs w:val="20"/>
          <w:color w:val="auto"/>
        </w:rPr>
      </w:pPr>
      <w:r>
        <w:rPr>
          <w:rFonts w:ascii="Arial" w:cs="Arial" w:eastAsia="Arial" w:hAnsi="Arial"/>
          <w:sz w:val="10"/>
          <w:szCs w:val="10"/>
          <w:color w:val="auto"/>
        </w:rPr>
        <w:t>The annual Senior Succession and Resourcing Review focused on the strength of senior leadership and plans for its development and succession, while highlighting the breadth, depth and diversity of its pipeline, the developing profile of the leadership cadre, and recruitment and attrition levels.</w:t>
      </w:r>
    </w:p>
    <w:p>
      <w:pPr>
        <w:spacing w:after="0" w:line="24" w:lineRule="exact"/>
        <w:rPr>
          <w:sz w:val="20"/>
          <w:szCs w:val="20"/>
          <w:color w:val="auto"/>
        </w:rPr>
      </w:pPr>
    </w:p>
    <w:p>
      <w:pPr>
        <w:ind w:right="1040"/>
        <w:spacing w:after="0" w:line="300" w:lineRule="auto"/>
        <w:rPr>
          <w:sz w:val="20"/>
          <w:szCs w:val="20"/>
          <w:color w:val="auto"/>
        </w:rPr>
      </w:pPr>
      <w:r>
        <w:rPr>
          <w:rFonts w:ascii="Arial" w:cs="Arial" w:eastAsia="Arial" w:hAnsi="Arial"/>
          <w:sz w:val="8"/>
          <w:szCs w:val="8"/>
          <w:color w:val="auto"/>
        </w:rPr>
        <w:t>The Nomination and Succession Committee noted the effectiveness of succession planning, the impact of its associated execution, and the professional, data-driven, integrated approach to leadership and leadership development. It welcomed the continued focus on performance management, proactive management of Shell’s talent pipeline, and the focus on advancing Shell’s diversity agenda with increased attention on race. Overall this year’s insights provided a deeper understanding of the interplay between culture, identity, leadership talent and employee engagement across 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1817370" cy="2560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1737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Risk management</w:t>
      </w:r>
    </w:p>
    <w:p>
      <w:pPr>
        <w:spacing w:after="0" w:line="3" w:lineRule="exact"/>
        <w:rPr>
          <w:sz w:val="20"/>
          <w:szCs w:val="20"/>
          <w:color w:val="auto"/>
        </w:rPr>
      </w:pPr>
    </w:p>
    <w:p>
      <w:pPr>
        <w:ind w:right="840"/>
        <w:spacing w:after="0" w:line="281" w:lineRule="auto"/>
        <w:rPr>
          <w:sz w:val="20"/>
          <w:szCs w:val="20"/>
          <w:color w:val="auto"/>
        </w:rPr>
      </w:pPr>
      <w:r>
        <w:rPr>
          <w:rFonts w:ascii="Arial" w:cs="Arial" w:eastAsia="Arial" w:hAnsi="Arial"/>
          <w:sz w:val="8"/>
          <w:szCs w:val="8"/>
          <w:color w:val="auto"/>
        </w:rPr>
        <w:t>The “Statement on Risk Management” is a foundation element of Shell’s Control Framework and a key enabler of many of its management processes. We assess risks across the Shell Group in terms of three distinct categories:</w:t>
      </w:r>
    </w:p>
    <w:p>
      <w:pPr>
        <w:spacing w:after="0" w:line="1" w:lineRule="exact"/>
        <w:rPr>
          <w:sz w:val="20"/>
          <w:szCs w:val="20"/>
          <w:color w:val="auto"/>
        </w:rPr>
      </w:pPr>
    </w:p>
    <w:p>
      <w:pPr>
        <w:jc w:val="both"/>
        <w:ind w:left="420" w:right="440" w:hanging="212"/>
        <w:spacing w:after="0" w:line="225" w:lineRule="auto"/>
        <w:tabs>
          <w:tab w:leader="none" w:pos="417" w:val="left"/>
        </w:tabs>
        <w:numPr>
          <w:ilvl w:val="0"/>
          <w:numId w:val="92"/>
        </w:numPr>
        <w:rPr>
          <w:rFonts w:ascii="Arial" w:cs="Arial" w:eastAsia="Arial" w:hAnsi="Arial"/>
          <w:sz w:val="10"/>
          <w:szCs w:val="10"/>
          <w:color w:val="auto"/>
        </w:rPr>
      </w:pPr>
      <w:r>
        <w:rPr>
          <w:rFonts w:ascii="Arial" w:cs="Arial" w:eastAsia="Arial" w:hAnsi="Arial"/>
          <w:sz w:val="10"/>
          <w:szCs w:val="10"/>
          <w:color w:val="auto"/>
        </w:rPr>
        <w:t>Strategic risks: we consider current and future portfolio considerations, examining parameters such as country concentration or exposure to higher-risk countries. We also consider long-range developments in order to test key assumptions or beliefs in relation to energy markets.</w:t>
      </w:r>
    </w:p>
    <w:p>
      <w:pPr>
        <w:ind w:left="420" w:right="460" w:hanging="212"/>
        <w:spacing w:after="0" w:line="225" w:lineRule="auto"/>
        <w:tabs>
          <w:tab w:leader="none" w:pos="417" w:val="left"/>
        </w:tabs>
        <w:numPr>
          <w:ilvl w:val="0"/>
          <w:numId w:val="92"/>
        </w:numPr>
        <w:rPr>
          <w:rFonts w:ascii="Arial" w:cs="Arial" w:eastAsia="Arial" w:hAnsi="Arial"/>
          <w:sz w:val="10"/>
          <w:szCs w:val="10"/>
          <w:color w:val="auto"/>
        </w:rPr>
      </w:pPr>
      <w:r>
        <w:rPr>
          <w:rFonts w:ascii="Arial" w:cs="Arial" w:eastAsia="Arial" w:hAnsi="Arial"/>
          <w:sz w:val="10"/>
          <w:szCs w:val="10"/>
          <w:color w:val="auto"/>
        </w:rPr>
        <w:t>Operational risks: we consider material operational exposures across Shell’s entire value chain, and promote a more granular assessment of key risks facing the organisation.</w:t>
      </w:r>
    </w:p>
    <w:p>
      <w:pPr>
        <w:ind w:left="420" w:right="640" w:hanging="212"/>
        <w:spacing w:after="0" w:line="231" w:lineRule="auto"/>
        <w:tabs>
          <w:tab w:leader="none" w:pos="417" w:val="left"/>
        </w:tabs>
        <w:numPr>
          <w:ilvl w:val="0"/>
          <w:numId w:val="92"/>
        </w:numPr>
        <w:rPr>
          <w:rFonts w:ascii="Arial" w:cs="Arial" w:eastAsia="Arial" w:hAnsi="Arial"/>
          <w:sz w:val="10"/>
          <w:szCs w:val="10"/>
          <w:color w:val="auto"/>
        </w:rPr>
      </w:pPr>
      <w:r>
        <w:rPr>
          <w:rFonts w:ascii="Arial" w:cs="Arial" w:eastAsia="Arial" w:hAnsi="Arial"/>
          <w:sz w:val="10"/>
          <w:szCs w:val="10"/>
          <w:color w:val="auto"/>
        </w:rPr>
        <w:t>Conduct and culture risks: we consider alignment of our policies, practices and behaviours against our purpose and core values.</w:t>
      </w:r>
    </w:p>
    <w:p>
      <w:pPr>
        <w:spacing w:after="0" w:line="149" w:lineRule="exact"/>
        <w:rPr>
          <w:sz w:val="20"/>
          <w:szCs w:val="20"/>
          <w:color w:val="auto"/>
        </w:rPr>
      </w:pPr>
    </w:p>
    <w:p>
      <w:pPr>
        <w:jc w:val="both"/>
        <w:ind w:right="460"/>
        <w:spacing w:after="0" w:line="234" w:lineRule="auto"/>
        <w:rPr>
          <w:sz w:val="20"/>
          <w:szCs w:val="20"/>
          <w:color w:val="auto"/>
        </w:rPr>
      </w:pPr>
      <w:r>
        <w:rPr>
          <w:rFonts w:ascii="Arial" w:cs="Arial" w:eastAsia="Arial" w:hAnsi="Arial"/>
          <w:sz w:val="10"/>
          <w:szCs w:val="10"/>
          <w:color w:val="auto"/>
        </w:rPr>
        <w:t>To support risk assessment across each category, Shell has developed a risk appetite framework, which helps management establish and articulate the level of risk that they are willing to accept in pursuit of Shell’s strategy and objectives, noting that there are also risks that Shell accepts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4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2220" w:type="dxa"/>
            <w:vAlign w:val="bottom"/>
          </w:tcPr>
          <w:p>
            <w:pPr>
              <w:jc w:val="right"/>
              <w:spacing w:after="0"/>
              <w:rPr>
                <w:sz w:val="20"/>
                <w:szCs w:val="20"/>
                <w:color w:val="auto"/>
              </w:rPr>
            </w:pPr>
            <w:r>
              <w:rPr>
                <w:rFonts w:ascii="Arial" w:cs="Arial" w:eastAsia="Arial" w:hAnsi="Arial"/>
                <w:sz w:val="7"/>
                <w:szCs w:val="7"/>
                <w:color w:val="auto"/>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358" w:lineRule="auto"/>
        <w:rPr>
          <w:sz w:val="20"/>
          <w:szCs w:val="20"/>
          <w:color w:val="auto"/>
        </w:rPr>
      </w:pPr>
      <w:r>
        <w:rPr>
          <w:rFonts w:ascii="Arial" w:cs="Arial" w:eastAsia="Arial" w:hAnsi="Arial"/>
          <w:sz w:val="8"/>
          <w:szCs w:val="8"/>
          <w:color w:val="auto"/>
        </w:rPr>
        <w:t>or does not seek to fully mitigate. The financial framework sets an overarching boundary condition in the consideration of risk appetite, as the financial resilience of Shell should logically inform the aggregate level of risk appetite that could be sustained.</w:t>
      </w:r>
    </w:p>
    <w:p>
      <w:pPr>
        <w:spacing w:after="0" w:line="104" w:lineRule="exact"/>
        <w:rPr>
          <w:sz w:val="20"/>
          <w:szCs w:val="20"/>
          <w:color w:val="auto"/>
        </w:rPr>
      </w:pPr>
    </w:p>
    <w:p>
      <w:pPr>
        <w:ind w:right="160"/>
        <w:spacing w:after="0" w:line="300" w:lineRule="auto"/>
        <w:rPr>
          <w:sz w:val="20"/>
          <w:szCs w:val="20"/>
          <w:color w:val="auto"/>
        </w:rPr>
      </w:pPr>
      <w:r>
        <w:rPr>
          <w:rFonts w:ascii="Arial" w:cs="Arial" w:eastAsia="Arial" w:hAnsi="Arial"/>
          <w:sz w:val="8"/>
          <w:szCs w:val="8"/>
          <w:color w:val="auto"/>
        </w:rPr>
        <w:t>Shell’s principal risks and the broad array of measures used to manage each risk are described on pages 18 - 22. During the year, management regularly reviews these principal risks and associated risk responses and implements further remedial actions as appropriate. The Executive Committee and the Board regularly consider Group-level risks, framed across the three categories above, together with the associated control mechanisms and risk responses. In 2020, specific attention was given to our response to the COVID-19 pandemic (see "Responding to the COVID-19 Pandemic" on page 100.</w:t>
      </w:r>
    </w:p>
    <w:p>
      <w:pPr>
        <w:spacing w:after="0" w:line="127" w:lineRule="exact"/>
        <w:rPr>
          <w:sz w:val="20"/>
          <w:szCs w:val="20"/>
          <w:color w:val="auto"/>
        </w:rPr>
      </w:pPr>
    </w:p>
    <w:p>
      <w:pPr>
        <w:ind w:right="20"/>
        <w:spacing w:after="0" w:line="300" w:lineRule="auto"/>
        <w:rPr>
          <w:sz w:val="20"/>
          <w:szCs w:val="20"/>
          <w:color w:val="auto"/>
        </w:rPr>
      </w:pPr>
      <w:r>
        <w:rPr>
          <w:rFonts w:ascii="Arial" w:cs="Arial" w:eastAsia="Arial" w:hAnsi="Arial"/>
          <w:sz w:val="8"/>
          <w:szCs w:val="8"/>
          <w:color w:val="auto"/>
        </w:rPr>
        <w:t>Management and the Board also consider emerging risks, defined as risks where the scope, impact and likelihood are still uncertain, but which could have a material effect on achieving Shell’s strategy and objectives in the future. These risks are identified through, (among other procedures), the monitoring of external developments, scenario planning, the status of risk indicators, learnings from incidents and assurance findings, and the appraisal of Shell’s forward-looking plans. Once identified, we undertake activities to monitor, prepare for and/or reduce the future impact, where possible, should such emerging risks materialise.</w:t>
      </w:r>
    </w:p>
    <w:p>
      <w:pPr>
        <w:spacing w:after="0" w:line="127" w:lineRule="exact"/>
        <w:rPr>
          <w:sz w:val="20"/>
          <w:szCs w:val="20"/>
          <w:color w:val="auto"/>
        </w:rPr>
      </w:pPr>
    </w:p>
    <w:p>
      <w:pPr>
        <w:ind w:right="40"/>
        <w:spacing w:after="0" w:line="232" w:lineRule="auto"/>
        <w:rPr>
          <w:sz w:val="20"/>
          <w:szCs w:val="20"/>
          <w:color w:val="auto"/>
        </w:rPr>
      </w:pPr>
      <w:r>
        <w:rPr>
          <w:rFonts w:ascii="Arial" w:cs="Arial" w:eastAsia="Arial" w:hAnsi="Arial"/>
          <w:sz w:val="10"/>
          <w:szCs w:val="10"/>
          <w:color w:val="auto"/>
        </w:rPr>
        <w:t>The system of risk management and internal control over financial reporting is an integral part of the Control Framework. Regular reviews are performed to identify the significant risks to financial reporting and the key controls designed to address them. These controls are documented, responsibility is assigned, and they are monitored for design and operating effectiveness. Controls found to be ineffective are remediated.</w:t>
      </w:r>
    </w:p>
    <w:p>
      <w:pPr>
        <w:spacing w:after="0" w:line="149" w:lineRule="exact"/>
        <w:rPr>
          <w:sz w:val="20"/>
          <w:szCs w:val="20"/>
          <w:color w:val="auto"/>
        </w:rPr>
      </w:pPr>
    </w:p>
    <w:p>
      <w:pPr>
        <w:ind w:right="20"/>
        <w:spacing w:after="0" w:line="232" w:lineRule="auto"/>
        <w:rPr>
          <w:sz w:val="20"/>
          <w:szCs w:val="20"/>
          <w:color w:val="auto"/>
        </w:rPr>
      </w:pPr>
      <w:r>
        <w:rPr>
          <w:rFonts w:ascii="Arial" w:cs="Arial" w:eastAsia="Arial" w:hAnsi="Arial"/>
          <w:sz w:val="10"/>
          <w:szCs w:val="10"/>
          <w:color w:val="auto"/>
        </w:rPr>
        <w:t>Shell has a climate change risk management structure which is supported by standards, policies and controls (see “Risk factors” on page 18 and “Climate change and energy transition” on pages 73 - 85). Climate change and risks resulting from greenhouse gas emissions have been identified as significant risk factors for Shell and are managed in accordance with other significant risks through the Board and Executive Committee.</w:t>
      </w:r>
    </w:p>
    <w:p>
      <w:pPr>
        <w:spacing w:after="0" w:line="149" w:lineRule="exact"/>
        <w:rPr>
          <w:sz w:val="20"/>
          <w:szCs w:val="20"/>
          <w:color w:val="auto"/>
        </w:rPr>
      </w:pPr>
    </w:p>
    <w:p>
      <w:pPr>
        <w:ind w:right="140"/>
        <w:spacing w:after="0" w:line="320" w:lineRule="auto"/>
        <w:rPr>
          <w:sz w:val="20"/>
          <w:szCs w:val="20"/>
          <w:color w:val="auto"/>
        </w:rPr>
      </w:pPr>
      <w:r>
        <w:rPr>
          <w:rFonts w:ascii="Arial" w:cs="Arial" w:eastAsia="Arial" w:hAnsi="Arial"/>
          <w:sz w:val="8"/>
          <w:szCs w:val="8"/>
          <w:color w:val="auto"/>
        </w:rPr>
        <w:t>Many of our major projects and operations are conducted in joint arrangements or associates, which may reduce the degree of control and ability to identify and manage risks (see “Risk Factors” on page 21). In each case, Shell appoints a representative to manage its interests who seeks to ensure that such projects operate under equivalent Shell standards to Shell.</w:t>
      </w:r>
    </w:p>
    <w:p>
      <w:pPr>
        <w:spacing w:after="0" w:line="118" w:lineRule="exact"/>
        <w:rPr>
          <w:sz w:val="20"/>
          <w:szCs w:val="20"/>
          <w:color w:val="auto"/>
        </w:rPr>
      </w:pPr>
    </w:p>
    <w:p>
      <w:pPr>
        <w:spacing w:after="0" w:line="296" w:lineRule="auto"/>
        <w:rPr>
          <w:sz w:val="20"/>
          <w:szCs w:val="20"/>
          <w:color w:val="auto"/>
        </w:rPr>
      </w:pPr>
      <w:r>
        <w:rPr>
          <w:rFonts w:ascii="Arial" w:cs="Arial" w:eastAsia="Arial" w:hAnsi="Arial"/>
          <w:sz w:val="8"/>
          <w:szCs w:val="8"/>
          <w:color w:val="auto"/>
        </w:rPr>
        <w:t>We operate in more than 70 countries that have differing degrees of political, legal and fiscal stability. This exposes us to a wide range of political developments that could result in changes to contractual terms, laws and regulations. In addition, we and our joint arrangements and associates face the risk of litigation and disputes worldwide (see “Risk Factors” on page 19). We continuously monitor geopolitical developments and societal issues relevant to our interests. Employees who engage with government officials are subject to specific training programmes, procedures and regular communications, in addition to Shell General Business Principles and Shell Code of Conduct compliance. We are prepared to exit a country if we believe we can no longer operate in that country in accordance with our standards and applicable law, and we have done so in the past.</w:t>
      </w:r>
    </w:p>
    <w:p>
      <w:pPr>
        <w:spacing w:after="0" w:line="237" w:lineRule="exact"/>
        <w:rPr>
          <w:sz w:val="20"/>
          <w:szCs w:val="20"/>
          <w:color w:val="auto"/>
        </w:rPr>
      </w:pPr>
    </w:p>
    <w:p>
      <w:pPr>
        <w:jc w:val="both"/>
        <w:spacing w:after="0" w:line="288" w:lineRule="auto"/>
        <w:rPr>
          <w:sz w:val="20"/>
          <w:szCs w:val="20"/>
          <w:color w:val="auto"/>
        </w:rPr>
      </w:pPr>
      <w:r>
        <w:rPr>
          <w:rFonts w:ascii="Arial" w:cs="Arial" w:eastAsia="Arial" w:hAnsi="Arial"/>
          <w:sz w:val="8"/>
          <w:szCs w:val="8"/>
          <w:color w:val="auto"/>
        </w:rPr>
        <w:t>The Board confirms it has carried out a robust assessment of Shell's principal risks, including a robust process for identifying, evaluating and managing Shell’s principal risks. The Board confirms it has carried out a robust assessment of Shell’s emerging risks, the procedures in place to identify the emerging risks, and how risks are being managed or mitigated to help Shell achieve its strategy and objectives.</w:t>
      </w:r>
    </w:p>
    <w:p>
      <w:pPr>
        <w:spacing w:after="0" w:line="1" w:lineRule="exact"/>
        <w:rPr>
          <w:sz w:val="20"/>
          <w:szCs w:val="20"/>
          <w:color w:val="auto"/>
        </w:rPr>
      </w:pPr>
    </w:p>
    <w:p>
      <w:pPr>
        <w:ind w:right="60"/>
        <w:spacing w:after="0" w:line="231" w:lineRule="auto"/>
        <w:rPr>
          <w:sz w:val="20"/>
          <w:szCs w:val="20"/>
          <w:color w:val="auto"/>
        </w:rPr>
      </w:pPr>
      <w:r>
        <w:rPr>
          <w:rFonts w:ascii="Arial" w:cs="Arial" w:eastAsia="Arial" w:hAnsi="Arial"/>
          <w:sz w:val="10"/>
          <w:szCs w:val="10"/>
          <w:color w:val="auto"/>
        </w:rPr>
        <w:t>This has been in place throughout 2020 and up to the date of this Report; is regularly reviewed by the Board; and accords with the FRC Guidance on risk management, internal control and related financial and business reporting.</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Review of the effectiveness of risk management and internal control</w:t>
      </w:r>
    </w:p>
    <w:p>
      <w:pPr>
        <w:sectPr>
          <w:pgSz w:w="11900" w:h="16838" w:orient="portrait"/>
          <w:cols w:equalWidth="0" w:num="2">
            <w:col w:w="5660" w:space="260"/>
            <w:col w:w="5260"/>
          </w:cols>
          <w:pgMar w:left="300" w:top="640" w:right="419" w:bottom="1440" w:gutter="0" w:footer="0" w:header="0"/>
        </w:sectPr>
      </w:pPr>
    </w:p>
    <w:bookmarkStart w:id="102" w:name="page103"/>
    <w:bookmarkEnd w:id="102"/>
    <w:p>
      <w:pPr>
        <w:jc w:val="both"/>
        <w:ind w:right="60"/>
        <w:spacing w:after="0" w:line="234" w:lineRule="auto"/>
        <w:rPr>
          <w:sz w:val="20"/>
          <w:szCs w:val="20"/>
          <w:color w:val="auto"/>
        </w:rPr>
      </w:pPr>
      <w:r>
        <w:rPr>
          <w:rFonts w:ascii="Arial" w:cs="Arial" w:eastAsia="Arial" w:hAnsi="Arial"/>
          <w:sz w:val="10"/>
          <w:szCs w:val="10"/>
          <w:color w:val="auto"/>
        </w:rPr>
        <w:t>The Board has delegated authority to the Audit Committee to assist it in fulfilling its responsibilities in relation to the effectiveness of the risk management framework and internal control system, the integrity of financial reporting as well as consideration of compliance matters. (see “Audit Committee Report” on pages 108-115).</w:t>
      </w:r>
    </w:p>
    <w:p>
      <w:pPr>
        <w:spacing w:after="0" w:line="150" w:lineRule="exact"/>
        <w:rPr>
          <w:sz w:val="20"/>
          <w:szCs w:val="20"/>
          <w:color w:val="auto"/>
        </w:rPr>
      </w:pPr>
    </w:p>
    <w:p>
      <w:pPr>
        <w:ind w:right="20"/>
        <w:spacing w:after="0" w:line="305" w:lineRule="auto"/>
        <w:rPr>
          <w:sz w:val="20"/>
          <w:szCs w:val="20"/>
          <w:color w:val="auto"/>
        </w:rPr>
      </w:pPr>
      <w:r>
        <w:rPr>
          <w:rFonts w:ascii="Arial" w:cs="Arial" w:eastAsia="Arial" w:hAnsi="Arial"/>
          <w:sz w:val="8"/>
          <w:szCs w:val="8"/>
          <w:color w:val="auto"/>
        </w:rPr>
        <w:t>The Audit Committee met six times this year and received regular reports from the Chief Internal Auditor on notable internal audits and those with a significant impact on control effectiveness. The Audit Committee also reviewed significant financial, business and compliance control incidents and received regular reports on business integrity issues. The Audit Committee also requested updates on specific financial, operational and compliance control issues throughout the year. The Audit Committee Chair provided an update to the Board after every Audit Committee meeting.</w:t>
      </w:r>
    </w:p>
    <w:p>
      <w:pPr>
        <w:spacing w:after="0" w:line="234" w:lineRule="exact"/>
        <w:rPr>
          <w:sz w:val="20"/>
          <w:szCs w:val="20"/>
          <w:color w:val="auto"/>
        </w:rPr>
      </w:pPr>
    </w:p>
    <w:p>
      <w:pPr>
        <w:ind w:right="20"/>
        <w:spacing w:after="0" w:line="290" w:lineRule="auto"/>
        <w:rPr>
          <w:sz w:val="20"/>
          <w:szCs w:val="20"/>
          <w:color w:val="auto"/>
        </w:rPr>
      </w:pPr>
      <w:r>
        <w:rPr>
          <w:rFonts w:ascii="Arial" w:cs="Arial" w:eastAsia="Arial" w:hAnsi="Arial"/>
          <w:sz w:val="8"/>
          <w:szCs w:val="8"/>
          <w:color w:val="auto"/>
        </w:rPr>
        <w:t>During and after such reports, the Board has an opportunity to request further information and/or ask clarifying questions, which it does to varying degrees depending on the issue. Similarly, the Chairs of the Safety, Environment and Sustainability Committee (SESCo) and the Nigeria Special Litigation Committee, an ad hoc Board committee, also provide regular updates after each of their respective meetings covering, among other matters, the respective aspects of controls that they monitor pursuant to their Terms of Reference. The Audit Committee and SESCo minutes, once approved, are further provided to the Board and incorporated into Board minutes to ensure full access to and review by all Directors. These aspects, together with the 2020 Reports respectively produced by the Executive Vice President Taxation and Controller and Chief Internal Auditor, the External Auditors, the Chairs of the Disclosure Committee and the Financial Reporting Control Committee and the Chief Ethics and Compliance Officer, as well as summaries of the Annual Proved Reserves Disclosure and the Full Year HSSE &amp; Social Performance Assurance Report, enable the Board’s ongoing monitoring and annual review of material controls.</w:t>
      </w:r>
    </w:p>
    <w:p>
      <w:pPr>
        <w:spacing w:after="0" w:line="242" w:lineRule="exact"/>
        <w:rPr>
          <w:sz w:val="20"/>
          <w:szCs w:val="20"/>
          <w:color w:val="auto"/>
        </w:rPr>
      </w:pPr>
    </w:p>
    <w:p>
      <w:pPr>
        <w:spacing w:after="0" w:line="297" w:lineRule="auto"/>
        <w:rPr>
          <w:sz w:val="20"/>
          <w:szCs w:val="20"/>
          <w:color w:val="auto"/>
        </w:rPr>
      </w:pPr>
      <w:r>
        <w:rPr>
          <w:rFonts w:ascii="Arial" w:cs="Arial" w:eastAsia="Arial" w:hAnsi="Arial"/>
          <w:sz w:val="8"/>
          <w:szCs w:val="8"/>
          <w:color w:val="auto"/>
        </w:rPr>
        <w:t>An annual review of the effectiveness of risk management and internal control was carried out by both the Executive Committee and the Audit Committee. This was based on their own insights and experience throughout the year as well as outcomes from the Group-level risk reviews and the Group Assurance Letter process, a structured internal assessment of compliance with legal and ethical requirements and the Shell Control Framework carried out by each Executive Director. As part of their annual review, the Executive Committee and Audit Committee also considered input from the Chief Internal Auditor, Chief Ethics and Compliance Officer and the External Auditor. The insights and conclusions from this annual assessment were reviewed and discussed by the Board.</w:t>
      </w:r>
    </w:p>
    <w:p>
      <w:pPr>
        <w:spacing w:after="0" w:line="127" w:lineRule="exact"/>
        <w:rPr>
          <w:sz w:val="20"/>
          <w:szCs w:val="20"/>
          <w:color w:val="auto"/>
        </w:rPr>
      </w:pPr>
    </w:p>
    <w:p>
      <w:pPr>
        <w:ind w:right="240"/>
        <w:spacing w:after="0" w:line="358" w:lineRule="auto"/>
        <w:rPr>
          <w:sz w:val="20"/>
          <w:szCs w:val="20"/>
          <w:color w:val="auto"/>
        </w:rPr>
      </w:pPr>
      <w:r>
        <w:rPr>
          <w:rFonts w:ascii="Arial" w:cs="Arial" w:eastAsia="Arial" w:hAnsi="Arial"/>
          <w:sz w:val="8"/>
          <w:szCs w:val="8"/>
          <w:color w:val="auto"/>
        </w:rPr>
        <w:t>The Board confirms that it has conducted its annual review of the effectiveness of Shell’s system of risk management and internal control in respect of 2020, such review covering all material controls, including financial, operational and compliance controls.</w:t>
      </w:r>
    </w:p>
    <w:p>
      <w:pPr>
        <w:spacing w:after="0" w:line="10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Responding to the COVID-19 pandemic</w:t>
      </w:r>
    </w:p>
    <w:p>
      <w:pPr>
        <w:spacing w:after="0" w:line="157" w:lineRule="exact"/>
        <w:rPr>
          <w:sz w:val="20"/>
          <w:szCs w:val="20"/>
          <w:color w:val="auto"/>
        </w:rPr>
      </w:pPr>
    </w:p>
    <w:p>
      <w:pPr>
        <w:spacing w:after="0" w:line="307" w:lineRule="auto"/>
        <w:rPr>
          <w:sz w:val="20"/>
          <w:szCs w:val="20"/>
          <w:color w:val="auto"/>
        </w:rPr>
      </w:pPr>
      <w:r>
        <w:rPr>
          <w:rFonts w:ascii="Arial" w:cs="Arial" w:eastAsia="Arial" w:hAnsi="Arial"/>
          <w:sz w:val="8"/>
          <w:szCs w:val="8"/>
          <w:color w:val="auto"/>
        </w:rPr>
        <w:t>The COVID-19 pandemic has transformed economies, government policies, markets and businesses globally. Shell has been responding to the pandemic with a broad, structured approach to ensure we support our colleagues, suppliers, customers and the communities where we work, while ensuring resilience in our day-to-day operations and overall financial framework. A dedicated Group Coordination Team, under the direct supervision of the Executive Committee, has been in place to oversee Shell’s risk response plans globally.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140"/>
        <w:spacing w:after="0" w:line="232" w:lineRule="auto"/>
        <w:rPr>
          <w:sz w:val="20"/>
          <w:szCs w:val="20"/>
          <w:color w:val="auto"/>
        </w:rPr>
      </w:pPr>
      <w:r>
        <w:rPr>
          <w:rFonts w:ascii="Arial" w:cs="Arial" w:eastAsia="Arial" w:hAnsi="Arial"/>
          <w:sz w:val="10"/>
          <w:szCs w:val="10"/>
          <w:color w:val="auto"/>
        </w:rPr>
        <w:t>We have taken many steps to protect the health of our colleagues, including requiring or encouraging office-based staff to work from home, depending on the advice of local authorities. We are providing the technology support to ensure up to 70,000 colleagues can work remotely each day. We have developed comprehensive COVID-safe return to site approaches across Shell’s offices with small-scale proof-of-concept tests.</w:t>
      </w:r>
    </w:p>
    <w:p>
      <w:pPr>
        <w:spacing w:after="0" w:line="149" w:lineRule="exact"/>
        <w:rPr>
          <w:sz w:val="20"/>
          <w:szCs w:val="20"/>
          <w:color w:val="auto"/>
        </w:rPr>
      </w:pPr>
    </w:p>
    <w:p>
      <w:pPr>
        <w:ind w:right="300"/>
        <w:spacing w:after="0" w:line="239" w:lineRule="auto"/>
        <w:rPr>
          <w:sz w:val="20"/>
          <w:szCs w:val="20"/>
          <w:color w:val="auto"/>
        </w:rPr>
      </w:pPr>
      <w:r>
        <w:rPr>
          <w:rFonts w:ascii="Arial" w:cs="Arial" w:eastAsia="Arial" w:hAnsi="Arial"/>
          <w:sz w:val="10"/>
          <w:szCs w:val="10"/>
          <w:color w:val="auto"/>
        </w:rPr>
        <w:t>For people working on our platforms offshore, or our facilities onshore, we enforce social distancing, carry out health screening and have procedures in place to allow the safe evacuation of any suspected cases of COVID-19.</w:t>
      </w:r>
    </w:p>
    <w:p>
      <w:pPr>
        <w:spacing w:after="0" w:line="149" w:lineRule="exact"/>
        <w:rPr>
          <w:sz w:val="20"/>
          <w:szCs w:val="20"/>
          <w:color w:val="auto"/>
        </w:rPr>
      </w:pPr>
    </w:p>
    <w:p>
      <w:pPr>
        <w:ind w:right="160"/>
        <w:spacing w:after="0" w:line="358" w:lineRule="auto"/>
        <w:rPr>
          <w:sz w:val="20"/>
          <w:szCs w:val="20"/>
          <w:color w:val="auto"/>
        </w:rPr>
      </w:pPr>
      <w:r>
        <w:rPr>
          <w:rFonts w:ascii="Arial" w:cs="Arial" w:eastAsia="Arial" w:hAnsi="Arial"/>
          <w:sz w:val="8"/>
          <w:szCs w:val="8"/>
          <w:color w:val="auto"/>
        </w:rPr>
        <w:t>To keep our customers safe at our retail sites we launched Clean+, a global initiative to provide enhanced cleaning, regular sanitation of common touchpoints, free sanitiser and/or wipes, protection for staff and reminders to maintain safe distancing.</w:t>
      </w:r>
    </w:p>
    <w:p>
      <w:pPr>
        <w:spacing w:after="0" w:line="104" w:lineRule="exact"/>
        <w:rPr>
          <w:sz w:val="20"/>
          <w:szCs w:val="20"/>
          <w:color w:val="auto"/>
        </w:rPr>
      </w:pPr>
    </w:p>
    <w:p>
      <w:pPr>
        <w:ind w:right="200"/>
        <w:spacing w:after="0" w:line="320" w:lineRule="auto"/>
        <w:rPr>
          <w:sz w:val="20"/>
          <w:szCs w:val="20"/>
          <w:color w:val="auto"/>
        </w:rPr>
      </w:pPr>
      <w:r>
        <w:rPr>
          <w:rFonts w:ascii="Arial" w:cs="Arial" w:eastAsia="Arial" w:hAnsi="Arial"/>
          <w:sz w:val="8"/>
          <w:szCs w:val="8"/>
          <w:color w:val="auto"/>
        </w:rPr>
        <w:t>Management at all levels continue to engage extensively with staff to understand and respond to the stresses placed on them as a result of the pandemic. A confidential counselling service is available to help colleagues experiencing the psychological impact of the pandemic, and we continue to provide extra online resources to help people manage their physical and mental well-being.</w:t>
      </w:r>
    </w:p>
    <w:p>
      <w:pPr>
        <w:spacing w:after="0" w:line="118" w:lineRule="exact"/>
        <w:rPr>
          <w:sz w:val="20"/>
          <w:szCs w:val="20"/>
          <w:color w:val="auto"/>
        </w:rPr>
      </w:pPr>
    </w:p>
    <w:p>
      <w:pPr>
        <w:ind w:right="120"/>
        <w:spacing w:after="0" w:line="294" w:lineRule="auto"/>
        <w:rPr>
          <w:sz w:val="20"/>
          <w:szCs w:val="20"/>
          <w:color w:val="auto"/>
        </w:rPr>
      </w:pPr>
      <w:r>
        <w:rPr>
          <w:rFonts w:ascii="Arial" w:cs="Arial" w:eastAsia="Arial" w:hAnsi="Arial"/>
          <w:sz w:val="8"/>
          <w:szCs w:val="8"/>
          <w:color w:val="auto"/>
        </w:rPr>
        <w:t>To sustain our operations and supply chains, which in turn support our suppliers and customers, we have business continuity plans in place across all our businesses, functions and operating sites. These plans are adjusted as needed by considering short- and medium-term “likely” and “worst case” scenarios developed by the Group Coordination Team. Examples of specific enhanced controls include the strengthening of our global web content filtering capability in response to the switch from office to remote working and additional measures to improve cyber-awareness. We have reiterated and emphasised adherence to Shell’s compliance rules (including the Code of Conduct). Shell’s Crisis Management Standard is also being used to guide our operational risk responses, and our country chair network has been strengthened to address specific challenges that arise at local levels.</w:t>
      </w:r>
    </w:p>
    <w:p>
      <w:pPr>
        <w:spacing w:after="0" w:line="129" w:lineRule="exact"/>
        <w:rPr>
          <w:sz w:val="20"/>
          <w:szCs w:val="20"/>
          <w:color w:val="auto"/>
        </w:rPr>
      </w:pPr>
    </w:p>
    <w:p>
      <w:pPr>
        <w:ind w:right="120"/>
        <w:spacing w:after="0" w:line="232" w:lineRule="auto"/>
        <w:rPr>
          <w:sz w:val="20"/>
          <w:szCs w:val="20"/>
          <w:color w:val="auto"/>
        </w:rPr>
      </w:pPr>
      <w:r>
        <w:rPr>
          <w:rFonts w:ascii="Arial" w:cs="Arial" w:eastAsia="Arial" w:hAnsi="Arial"/>
          <w:sz w:val="10"/>
          <w:szCs w:val="10"/>
          <w:color w:val="auto"/>
        </w:rPr>
        <w:t>Throughout the pandemic, we have maintained a strong focus on our cash allocation framework, using a bespoke COVID-19 risk register to monitor the effectiveness of our risk responses to ensure the financial resilience of our portfolio. These responses included the implementation of certain cash preservation measures. More details are provided in the "Liquidity and Capital Resources" section on pages 61-64.</w:t>
      </w:r>
    </w:p>
    <w:p>
      <w:pPr>
        <w:spacing w:after="0" w:line="149" w:lineRule="exact"/>
        <w:rPr>
          <w:sz w:val="20"/>
          <w:szCs w:val="20"/>
          <w:color w:val="auto"/>
        </w:rPr>
      </w:pPr>
    </w:p>
    <w:p>
      <w:pPr>
        <w:jc w:val="both"/>
        <w:ind w:right="480"/>
        <w:spacing w:after="0" w:line="320" w:lineRule="auto"/>
        <w:rPr>
          <w:sz w:val="20"/>
          <w:szCs w:val="20"/>
          <w:color w:val="auto"/>
        </w:rPr>
      </w:pPr>
      <w:r>
        <w:rPr>
          <w:rFonts w:ascii="Arial" w:cs="Arial" w:eastAsia="Arial" w:hAnsi="Arial"/>
          <w:sz w:val="8"/>
          <w:szCs w:val="8"/>
          <w:color w:val="auto"/>
        </w:rPr>
        <w:t>We expect many of our risk response measures to stay in place in 2021. We continue to adjust and apply our learnings from this experience to ensure we remain resilient in this new macroeconomic environment. Detailed information about the impact of the pandemic on Shell’s principal risks and our responses to these impacts is provided in "Risk Factors" on pages 18 - 22.</w:t>
      </w:r>
    </w:p>
    <w:p>
      <w:pPr>
        <w:spacing w:after="0" w:line="680" w:lineRule="exact"/>
        <w:rPr>
          <w:sz w:val="20"/>
          <w:szCs w:val="20"/>
          <w:color w:val="auto"/>
        </w:rPr>
      </w:pPr>
    </w:p>
    <w:p>
      <w:pPr>
        <w:sectPr>
          <w:pgSz w:w="11900" w:h="16838" w:orient="portrait"/>
          <w:cols w:equalWidth="0" w:num="2">
            <w:col w:w="5220" w:space="700"/>
            <w:col w:w="5380"/>
          </w:cols>
          <w:pgMar w:left="300" w:top="640" w:right="299" w:bottom="1440" w:gutter="0" w:footer="0" w:header="0"/>
        </w:sect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100</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0"/>
          <w:szCs w:val="10"/>
          <w:b w:val="1"/>
          <w:bCs w:val="1"/>
          <w:color w:val="auto"/>
        </w:rPr>
        <w:t>Risks</w:t>
      </w:r>
    </w:p>
    <w:p>
      <w:pPr>
        <w:spacing w:after="0" w:line="22" w:lineRule="exact"/>
        <w:rPr>
          <w:sz w:val="20"/>
          <w:szCs w:val="20"/>
          <w:color w:val="auto"/>
        </w:rPr>
      </w:pPr>
    </w:p>
    <w:p>
      <w:pPr>
        <w:jc w:val="both"/>
        <w:ind w:right="1040"/>
        <w:spacing w:after="0" w:line="239" w:lineRule="auto"/>
        <w:rPr>
          <w:sz w:val="20"/>
          <w:szCs w:val="20"/>
          <w:color w:val="auto"/>
        </w:rPr>
      </w:pPr>
      <w:r>
        <w:rPr>
          <w:rFonts w:ascii="Arial" w:cs="Arial" w:eastAsia="Arial" w:hAnsi="Arial"/>
          <w:sz w:val="10"/>
          <w:szCs w:val="10"/>
          <w:color w:val="auto"/>
        </w:rPr>
        <w:t>The Board reviews reports on strategic and conduct and culture risks annually, and considers reports on operational risks twice a year. These reports assess current business activities against risk appetite.</w:t>
      </w:r>
    </w:p>
    <w:p>
      <w:pPr>
        <w:spacing w:after="0" w:line="3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Chief Ethics and Compliance Officer Report</w:t>
      </w:r>
    </w:p>
    <w:p>
      <w:pPr>
        <w:spacing w:after="0" w:line="40" w:lineRule="exact"/>
        <w:rPr>
          <w:sz w:val="20"/>
          <w:szCs w:val="20"/>
          <w:color w:val="auto"/>
        </w:rPr>
      </w:pPr>
    </w:p>
    <w:p>
      <w:pPr>
        <w:jc w:val="both"/>
        <w:ind w:right="1060"/>
        <w:spacing w:after="0" w:line="313" w:lineRule="auto"/>
        <w:rPr>
          <w:sz w:val="20"/>
          <w:szCs w:val="20"/>
          <w:color w:val="auto"/>
        </w:rPr>
      </w:pPr>
      <w:r>
        <w:rPr>
          <w:rFonts w:ascii="Arial" w:cs="Arial" w:eastAsia="Arial" w:hAnsi="Arial"/>
          <w:sz w:val="8"/>
          <w:szCs w:val="8"/>
          <w:color w:val="auto"/>
        </w:rPr>
        <w:t>Data and insights include information from the Global Helpline, Shell Ethics and Compliance organisation and the Shell People Survey. SESCo continues to strongly support the work of the Chief Ethics and Compliance Officer, including the efforts to ensure a safe working environment where staff feel confident to raise any concerns in good faith.</w:t>
      </w:r>
    </w:p>
    <w:p>
      <w:pPr>
        <w:jc w:val="both"/>
        <w:ind w:right="1060"/>
        <w:spacing w:after="0" w:line="314" w:lineRule="auto"/>
        <w:rPr>
          <w:sz w:val="20"/>
          <w:szCs w:val="20"/>
          <w:color w:val="auto"/>
        </w:rPr>
      </w:pPr>
      <w:r>
        <w:rPr>
          <w:rFonts w:ascii="Arial" w:cs="Arial" w:eastAsia="Arial" w:hAnsi="Arial"/>
          <w:sz w:val="8"/>
          <w:szCs w:val="8"/>
          <w:color w:val="auto"/>
        </w:rPr>
        <w:t>The Audit Committee is kept updated when matters highlighted through the Global Helpline are investigated, and on the associated remediation. For more information see page 111 of the Audit Committee report.</w:t>
      </w:r>
    </w:p>
    <w:p>
      <w:pPr>
        <w:spacing w:after="0"/>
        <w:rPr>
          <w:sz w:val="20"/>
          <w:szCs w:val="20"/>
          <w:color w:val="auto"/>
        </w:rPr>
      </w:pPr>
      <w:r>
        <w:rPr>
          <w:rFonts w:ascii="Arial" w:cs="Arial" w:eastAsia="Arial" w:hAnsi="Arial"/>
          <w:sz w:val="10"/>
          <w:szCs w:val="10"/>
          <w:b w:val="1"/>
          <w:bCs w:val="1"/>
          <w:color w:val="auto"/>
        </w:rPr>
        <w:t>Assurance activities</w:t>
      </w:r>
    </w:p>
    <w:p>
      <w:pPr>
        <w:spacing w:after="0" w:line="22" w:lineRule="exact"/>
        <w:rPr>
          <w:sz w:val="20"/>
          <w:szCs w:val="20"/>
          <w:color w:val="auto"/>
        </w:rPr>
      </w:pPr>
    </w:p>
    <w:p>
      <w:pPr>
        <w:ind w:right="980"/>
        <w:spacing w:after="0" w:line="305" w:lineRule="auto"/>
        <w:rPr>
          <w:sz w:val="20"/>
          <w:szCs w:val="20"/>
          <w:color w:val="auto"/>
        </w:rPr>
      </w:pPr>
      <w:r>
        <w:rPr>
          <w:rFonts w:ascii="Arial" w:cs="Arial" w:eastAsia="Arial" w:hAnsi="Arial"/>
          <w:sz w:val="8"/>
          <w:szCs w:val="8"/>
          <w:color w:val="auto"/>
        </w:rPr>
        <w:t>Assurance activities, including items raised by businesses and functions (through the Group Assurance Letters process) and independent assurance (from Internal Audit, HSSE, Ethics and Compliance, Reserves Assurance and Reporting), provide additional evident to the Board of the commitment to high standards of risk management and internal control. The assurance activities ensure that work can be done safely, within regulatory frameworks.</w:t>
      </w:r>
    </w:p>
    <w:p>
      <w:pPr>
        <w:ind w:right="1040"/>
        <w:spacing w:after="0" w:line="234" w:lineRule="auto"/>
        <w:rPr>
          <w:sz w:val="20"/>
          <w:szCs w:val="20"/>
          <w:color w:val="auto"/>
        </w:rPr>
      </w:pPr>
      <w:r>
        <w:rPr>
          <w:rFonts w:ascii="Arial" w:cs="Arial" w:eastAsia="Arial" w:hAnsi="Arial"/>
          <w:sz w:val="10"/>
          <w:szCs w:val="10"/>
          <w:color w:val="auto"/>
        </w:rPr>
        <w:t>The information provided within these reports further supports the Board’s annual review of the effectiveness of the Group’s system of risk management and internal control and feeds into the Group scorecard, against which staff bonuses are calculated.</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3909060" cy="13944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909060" cy="139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Insight</w:t>
      </w:r>
    </w:p>
    <w:p>
      <w:pPr>
        <w:spacing w:after="0" w:line="8" w:lineRule="exact"/>
        <w:rPr>
          <w:sz w:val="20"/>
          <w:szCs w:val="20"/>
          <w:color w:val="auto"/>
        </w:rPr>
      </w:pPr>
    </w:p>
    <w:p>
      <w:pPr>
        <w:spacing w:after="0"/>
        <w:rPr>
          <w:sz w:val="20"/>
          <w:szCs w:val="20"/>
          <w:color w:val="auto"/>
        </w:rPr>
      </w:pPr>
      <w:r>
        <w:rPr>
          <w:rFonts w:ascii="Arial" w:cs="Arial" w:eastAsia="Arial" w:hAnsi="Arial"/>
          <w:sz w:val="10"/>
          <w:szCs w:val="10"/>
          <w:color w:val="auto"/>
        </w:rPr>
        <w:t>The feedback from Board Directors was positive throughout their responses to the evaluation.</w:t>
      </w:r>
    </w:p>
    <w:p>
      <w:pPr>
        <w:spacing w:after="0" w:line="158" w:lineRule="exact"/>
        <w:rPr>
          <w:sz w:val="20"/>
          <w:szCs w:val="20"/>
          <w:color w:val="auto"/>
        </w:rPr>
      </w:pPr>
    </w:p>
    <w:p>
      <w:pPr>
        <w:ind w:right="580"/>
        <w:spacing w:after="0" w:line="243" w:lineRule="auto"/>
        <w:rPr>
          <w:sz w:val="20"/>
          <w:szCs w:val="20"/>
          <w:color w:val="auto"/>
        </w:rPr>
      </w:pPr>
      <w:r>
        <w:rPr>
          <w:rFonts w:ascii="Arial" w:cs="Arial" w:eastAsia="Arial" w:hAnsi="Arial"/>
          <w:sz w:val="10"/>
          <w:szCs w:val="10"/>
          <w:b w:val="1"/>
          <w:bCs w:val="1"/>
          <w:color w:val="auto"/>
        </w:rPr>
        <w:t xml:space="preserve">Board dynamics </w:t>
      </w:r>
      <w:r>
        <w:rPr>
          <w:rFonts w:ascii="Arial" w:cs="Arial" w:eastAsia="Arial" w:hAnsi="Arial"/>
          <w:sz w:val="10"/>
          <w:szCs w:val="10"/>
          <w:color w:val="auto"/>
        </w:rPr>
        <w:t>– the Non-executive Directors’ support and challenge of management was rated very highly, with the quality of the</w:t>
      </w:r>
      <w:r>
        <w:rPr>
          <w:rFonts w:ascii="Arial" w:cs="Arial" w:eastAsia="Arial" w:hAnsi="Arial"/>
          <w:sz w:val="10"/>
          <w:szCs w:val="10"/>
          <w:b w:val="1"/>
          <w:bCs w:val="1"/>
          <w:color w:val="auto"/>
        </w:rPr>
        <w:t xml:space="preserve"> </w:t>
      </w:r>
      <w:r>
        <w:rPr>
          <w:rFonts w:ascii="Arial" w:cs="Arial" w:eastAsia="Arial" w:hAnsi="Arial"/>
          <w:sz w:val="10"/>
          <w:szCs w:val="10"/>
          <w:color w:val="auto"/>
        </w:rPr>
        <w:t>interaction and the openness of the leadership team being commended.</w:t>
      </w:r>
    </w:p>
    <w:p>
      <w:pPr>
        <w:spacing w:after="0" w:line="154" w:lineRule="exact"/>
        <w:rPr>
          <w:sz w:val="20"/>
          <w:szCs w:val="20"/>
          <w:color w:val="auto"/>
        </w:rPr>
      </w:pPr>
    </w:p>
    <w:p>
      <w:pPr>
        <w:ind w:right="480"/>
        <w:spacing w:after="0" w:line="356" w:lineRule="auto"/>
        <w:rPr>
          <w:sz w:val="20"/>
          <w:szCs w:val="20"/>
          <w:color w:val="auto"/>
        </w:rPr>
      </w:pPr>
      <w:r>
        <w:rPr>
          <w:rFonts w:ascii="Arial" w:cs="Arial" w:eastAsia="Arial" w:hAnsi="Arial"/>
          <w:sz w:val="8"/>
          <w:szCs w:val="8"/>
          <w:b w:val="1"/>
          <w:bCs w:val="1"/>
          <w:color w:val="auto"/>
        </w:rPr>
        <w:t xml:space="preserve">Board oversight </w:t>
      </w:r>
      <w:r>
        <w:rPr>
          <w:rFonts w:ascii="Arial" w:cs="Arial" w:eastAsia="Arial" w:hAnsi="Arial"/>
          <w:sz w:val="8"/>
          <w:szCs w:val="8"/>
          <w:color w:val="auto"/>
        </w:rPr>
        <w:t>– the Board’s effectiveness in adjusting its focus and priorities in response to the COVID-19 pandemic was rated very</w:t>
      </w:r>
      <w:r>
        <w:rPr>
          <w:rFonts w:ascii="Arial" w:cs="Arial" w:eastAsia="Arial" w:hAnsi="Arial"/>
          <w:sz w:val="8"/>
          <w:szCs w:val="8"/>
          <w:b w:val="1"/>
          <w:bCs w:val="1"/>
          <w:color w:val="auto"/>
        </w:rPr>
        <w:t xml:space="preserve"> </w:t>
      </w:r>
      <w:r>
        <w:rPr>
          <w:rFonts w:ascii="Arial" w:cs="Arial" w:eastAsia="Arial" w:hAnsi="Arial"/>
          <w:sz w:val="8"/>
          <w:szCs w:val="8"/>
          <w:color w:val="auto"/>
        </w:rPr>
        <w:t>highly. Board oversight of various specific aspects of risk was also rated highly overall, with retention of focus on risk appetite continuing to be a priority. The Board’s oversight of the Company’s processes for managing and developing senior executive talent, including with regard to diversity, was rated very highly, and will be a continued area of focus.</w:t>
      </w:r>
    </w:p>
    <w:p>
      <w:pPr>
        <w:spacing w:after="0" w:line="120" w:lineRule="exact"/>
        <w:rPr>
          <w:sz w:val="20"/>
          <w:szCs w:val="20"/>
          <w:color w:val="auto"/>
        </w:rPr>
      </w:pPr>
    </w:p>
    <w:p>
      <w:pPr>
        <w:ind w:right="500"/>
        <w:spacing w:after="0" w:line="280" w:lineRule="auto"/>
        <w:rPr>
          <w:sz w:val="20"/>
          <w:szCs w:val="20"/>
          <w:color w:val="auto"/>
        </w:rPr>
      </w:pPr>
      <w:r>
        <w:rPr>
          <w:rFonts w:ascii="Arial" w:cs="Arial" w:eastAsia="Arial" w:hAnsi="Arial"/>
          <w:sz w:val="10"/>
          <w:szCs w:val="10"/>
          <w:b w:val="1"/>
          <w:bCs w:val="1"/>
          <w:color w:val="auto"/>
        </w:rPr>
        <w:t xml:space="preserve">Management and focus of meetings </w:t>
      </w:r>
      <w:r>
        <w:rPr>
          <w:rFonts w:ascii="Arial" w:cs="Arial" w:eastAsia="Arial" w:hAnsi="Arial"/>
          <w:sz w:val="10"/>
          <w:szCs w:val="10"/>
          <w:color w:val="auto"/>
        </w:rPr>
        <w:t>– themes included: shortening and simplifying Board papers further, and a desire for returning to</w:t>
      </w:r>
      <w:r>
        <w:rPr>
          <w:rFonts w:ascii="Arial" w:cs="Arial" w:eastAsia="Arial" w:hAnsi="Arial"/>
          <w:sz w:val="10"/>
          <w:szCs w:val="10"/>
          <w:b w:val="1"/>
          <w:bCs w:val="1"/>
          <w:color w:val="auto"/>
        </w:rPr>
        <w:t xml:space="preserve"> </w:t>
      </w:r>
      <w:r>
        <w:rPr>
          <w:rFonts w:ascii="Arial" w:cs="Arial" w:eastAsia="Arial" w:hAnsi="Arial"/>
          <w:sz w:val="10"/>
          <w:szCs w:val="10"/>
          <w:color w:val="auto"/>
        </w:rPr>
        <w:t>physical</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2260" w:type="dxa"/>
            <w:vAlign w:val="bottom"/>
          </w:tcPr>
          <w:p>
            <w:pPr>
              <w:jc w:val="right"/>
              <w:spacing w:after="0"/>
              <w:rPr>
                <w:sz w:val="20"/>
                <w:szCs w:val="20"/>
                <w:color w:val="auto"/>
              </w:rPr>
            </w:pPr>
            <w:r>
              <w:rPr>
                <w:rFonts w:ascii="Arial" w:cs="Arial" w:eastAsia="Arial" w:hAnsi="Arial"/>
                <w:sz w:val="7"/>
                <w:szCs w:val="7"/>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76" w:lineRule="auto"/>
        <w:rPr>
          <w:sz w:val="20"/>
          <w:szCs w:val="20"/>
          <w:color w:val="auto"/>
        </w:rPr>
      </w:pPr>
      <w:r>
        <w:rPr>
          <w:rFonts w:ascii="Arial" w:cs="Arial" w:eastAsia="Arial" w:hAnsi="Arial"/>
          <w:sz w:val="10"/>
          <w:szCs w:val="10"/>
          <w:color w:val="auto"/>
        </w:rPr>
        <w:t>meetings when circumstances permit. The measures implemented to facilitate virtual meetings, induction/onboarding, and ongoing training were rated highly and viewed as very effective.</w:t>
      </w:r>
    </w:p>
    <w:p>
      <w:pPr>
        <w:spacing w:after="0" w:line="148" w:lineRule="exact"/>
        <w:rPr>
          <w:sz w:val="20"/>
          <w:szCs w:val="20"/>
          <w:color w:val="auto"/>
        </w:rPr>
      </w:pPr>
    </w:p>
    <w:p>
      <w:pPr>
        <w:ind w:right="20"/>
        <w:spacing w:after="0" w:line="268" w:lineRule="auto"/>
        <w:rPr>
          <w:sz w:val="20"/>
          <w:szCs w:val="20"/>
          <w:color w:val="auto"/>
        </w:rPr>
      </w:pPr>
      <w:r>
        <w:rPr>
          <w:rFonts w:ascii="Arial" w:cs="Arial" w:eastAsia="Arial" w:hAnsi="Arial"/>
          <w:sz w:val="10"/>
          <w:szCs w:val="10"/>
          <w:b w:val="1"/>
          <w:bCs w:val="1"/>
          <w:color w:val="auto"/>
        </w:rPr>
        <w:t xml:space="preserve">Stakeholder oversight </w:t>
      </w:r>
      <w:r>
        <w:rPr>
          <w:rFonts w:ascii="Arial" w:cs="Arial" w:eastAsia="Arial" w:hAnsi="Arial"/>
          <w:sz w:val="10"/>
          <w:szCs w:val="10"/>
          <w:color w:val="auto"/>
        </w:rPr>
        <w:t>– the mechanisms by which the Board obtains the views and needs of major investors and employees were</w:t>
      </w:r>
      <w:r>
        <w:rPr>
          <w:rFonts w:ascii="Arial" w:cs="Arial" w:eastAsia="Arial" w:hAnsi="Arial"/>
          <w:sz w:val="10"/>
          <w:szCs w:val="10"/>
          <w:b w:val="1"/>
          <w:bCs w:val="1"/>
          <w:color w:val="auto"/>
        </w:rPr>
        <w:t xml:space="preserve"> </w:t>
      </w:r>
      <w:r>
        <w:rPr>
          <w:rFonts w:ascii="Arial" w:cs="Arial" w:eastAsia="Arial" w:hAnsi="Arial"/>
          <w:sz w:val="10"/>
          <w:szCs w:val="10"/>
          <w:color w:val="auto"/>
        </w:rPr>
        <w:t>highly rated, while noting that the mechanisms for obtaining the views of customers, private/retail investors, communities and suppliers could be enhanced, as feasible and relevant. The Board’s effectiveness in monitoring and assessing culture throughout the organisation was rated positively overall.</w:t>
      </w:r>
    </w:p>
    <w:p>
      <w:pPr>
        <w:spacing w:after="0" w:line="15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Delivery against the 2020 ambitions</w:t>
      </w:r>
    </w:p>
    <w:p>
      <w:pPr>
        <w:spacing w:after="0" w:line="8" w:lineRule="exact"/>
        <w:rPr>
          <w:sz w:val="20"/>
          <w:szCs w:val="20"/>
          <w:color w:val="auto"/>
        </w:rPr>
      </w:pPr>
    </w:p>
    <w:p>
      <w:pPr>
        <w:spacing w:after="0" w:line="230" w:lineRule="auto"/>
        <w:rPr>
          <w:sz w:val="20"/>
          <w:szCs w:val="20"/>
          <w:color w:val="auto"/>
        </w:rPr>
      </w:pPr>
      <w:r>
        <w:rPr>
          <w:rFonts w:ascii="Arial" w:cs="Arial" w:eastAsia="Arial" w:hAnsi="Arial"/>
          <w:sz w:val="10"/>
          <w:szCs w:val="10"/>
          <w:color w:val="auto"/>
        </w:rPr>
        <w:t>The COVID-19 pandemic drove unprecedented change throughout 2020, impacting both the short- and longer-term business outlook. Through the use of additional meetings, the Board balanced its focus on short-term operational matters and long-term strategy. Principal decisions made in 2020 were bold and decisive and, where possible, discussions were initiated well in advance of final Board decisions. Acquisitions/</w:t>
      </w:r>
    </w:p>
    <w:p>
      <w:pPr>
        <w:sectPr>
          <w:pgSz w:w="11900" w:h="16838" w:orient="portrait"/>
          <w:cols w:equalWidth="0" w:num="2">
            <w:col w:w="5680" w:space="240"/>
            <w:col w:w="5240"/>
          </w:cols>
          <w:pgMar w:left="300" w:top="665" w:right="439" w:bottom="1440" w:gutter="0" w:footer="0" w:header="0"/>
        </w:sectPr>
      </w:pPr>
    </w:p>
    <w:bookmarkStart w:id="104" w:name="page105"/>
    <w:bookmarkEnd w:id="104"/>
    <w:p>
      <w:pPr>
        <w:ind w:right="40"/>
        <w:spacing w:after="0" w:line="239" w:lineRule="auto"/>
        <w:rPr>
          <w:sz w:val="20"/>
          <w:szCs w:val="20"/>
          <w:color w:val="auto"/>
        </w:rPr>
      </w:pPr>
      <w:r>
        <w:rPr>
          <w:rFonts w:ascii="Arial" w:cs="Arial" w:eastAsia="Arial" w:hAnsi="Arial"/>
          <w:sz w:val="10"/>
          <w:szCs w:val="10"/>
          <w:color w:val="auto"/>
        </w:rPr>
        <w:t>divestments and critical strategy shifts were all key agenda items for 2020, and these aligned with the Board ambitions set at the start of the year.</w:t>
      </w:r>
    </w:p>
    <w:p>
      <w:pPr>
        <w:spacing w:after="0" w:line="149" w:lineRule="exact"/>
        <w:rPr>
          <w:sz w:val="20"/>
          <w:szCs w:val="20"/>
          <w:color w:val="auto"/>
        </w:rPr>
      </w:pPr>
    </w:p>
    <w:p>
      <w:pPr>
        <w:ind w:right="60"/>
        <w:spacing w:after="0" w:line="300" w:lineRule="auto"/>
        <w:rPr>
          <w:sz w:val="20"/>
          <w:szCs w:val="20"/>
          <w:color w:val="auto"/>
        </w:rPr>
      </w:pPr>
      <w:r>
        <w:rPr>
          <w:rFonts w:ascii="Arial" w:cs="Arial" w:eastAsia="Arial" w:hAnsi="Arial"/>
          <w:sz w:val="8"/>
          <w:szCs w:val="8"/>
          <w:color w:val="auto"/>
        </w:rPr>
        <w:t>The Board’s ambitions on succession were tested during 2020 with the appointment and induction of four Non-executive Directors and the retirement of three Non-executive Directors – all in the context of a virtual environment. Planned improvements to the Director onboarding process were implemented despite the COVID-19 crisis. Simultaneous adaptations were made to ensure there was as much dynamism as feasible within the constraints of having to work virtually. The development of a Board travel calendar was inevitably put on hold. The intention to share details of other induction sessions and committee trips was put into effect, albeit virtually.</w:t>
      </w:r>
    </w:p>
    <w:p>
      <w:pPr>
        <w:spacing w:after="0" w:line="127" w:lineRule="exact"/>
        <w:rPr>
          <w:sz w:val="20"/>
          <w:szCs w:val="20"/>
          <w:color w:val="auto"/>
        </w:rPr>
      </w:pPr>
    </w:p>
    <w:p>
      <w:pPr>
        <w:ind w:right="140"/>
        <w:spacing w:after="0" w:line="358" w:lineRule="auto"/>
        <w:rPr>
          <w:sz w:val="20"/>
          <w:szCs w:val="20"/>
          <w:color w:val="auto"/>
        </w:rPr>
      </w:pPr>
      <w:r>
        <w:rPr>
          <w:rFonts w:ascii="Arial" w:cs="Arial" w:eastAsia="Arial" w:hAnsi="Arial"/>
          <w:sz w:val="8"/>
          <w:szCs w:val="8"/>
          <w:color w:val="auto"/>
        </w:rPr>
        <w:t>On our Board papers ambition, efforts were made to focus information provided to the Board (for example, through optional briefing sessions, one-on-one engagements and advance “polling” of questions/information needs) to enable decision-making on key topics.</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Planned enhancements for 2021</w:t>
      </w:r>
    </w:p>
    <w:p>
      <w:pPr>
        <w:spacing w:after="0" w:line="8" w:lineRule="exact"/>
        <w:rPr>
          <w:sz w:val="20"/>
          <w:szCs w:val="20"/>
          <w:color w:val="auto"/>
        </w:rPr>
      </w:pPr>
    </w:p>
    <w:p>
      <w:pPr>
        <w:spacing w:after="0"/>
        <w:rPr>
          <w:sz w:val="20"/>
          <w:szCs w:val="20"/>
          <w:color w:val="auto"/>
        </w:rPr>
      </w:pPr>
      <w:r>
        <w:rPr>
          <w:rFonts w:ascii="Arial" w:cs="Arial" w:eastAsia="Arial" w:hAnsi="Arial"/>
          <w:sz w:val="10"/>
          <w:szCs w:val="10"/>
          <w:color w:val="auto"/>
        </w:rPr>
        <w:t>The 2020 Board evaluation findings provided areas of focus or priorities for 2021.</w:t>
      </w:r>
    </w:p>
    <w:p>
      <w:pPr>
        <w:spacing w:after="0" w:line="14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Monitoring execution and strategic implementation</w:t>
      </w:r>
    </w:p>
    <w:p>
      <w:pPr>
        <w:ind w:right="180"/>
        <w:spacing w:after="0" w:line="231" w:lineRule="auto"/>
        <w:rPr>
          <w:sz w:val="20"/>
          <w:szCs w:val="20"/>
          <w:color w:val="auto"/>
        </w:rPr>
      </w:pPr>
      <w:r>
        <w:rPr>
          <w:rFonts w:ascii="Arial" w:cs="Arial" w:eastAsia="Arial" w:hAnsi="Arial"/>
          <w:sz w:val="10"/>
          <w:szCs w:val="10"/>
          <w:color w:val="auto"/>
        </w:rPr>
        <w:t>This is an area of undeniable importance for the years ahead. The Board will continue to monitor strategic execution with support to management, enabled by a performance tracking approach.</w:t>
      </w:r>
    </w:p>
    <w:p>
      <w:pPr>
        <w:spacing w:after="0" w:line="15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Company culture and Project Reshape</w:t>
      </w:r>
    </w:p>
    <w:p>
      <w:pPr>
        <w:spacing w:after="0" w:line="8" w:lineRule="exact"/>
        <w:rPr>
          <w:sz w:val="20"/>
          <w:szCs w:val="20"/>
          <w:color w:val="auto"/>
        </w:rPr>
      </w:pPr>
    </w:p>
    <w:p>
      <w:pPr>
        <w:ind w:right="180"/>
        <w:spacing w:after="0" w:line="347" w:lineRule="auto"/>
        <w:rPr>
          <w:sz w:val="20"/>
          <w:szCs w:val="20"/>
          <w:color w:val="auto"/>
        </w:rPr>
      </w:pPr>
      <w:r>
        <w:rPr>
          <w:rFonts w:ascii="Arial" w:cs="Arial" w:eastAsia="Arial" w:hAnsi="Arial"/>
          <w:sz w:val="8"/>
          <w:szCs w:val="8"/>
          <w:color w:val="auto"/>
        </w:rPr>
        <w:t>The Board will continue to monitor the Reshape transformation, enabled by the performance-tracking approach referenced above. It will strengthen its emphasis on culture and workforce engagement (particularly after COVID-19).</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Completion of improvement items already in progress</w:t>
      </w:r>
    </w:p>
    <w:p>
      <w:pPr>
        <w:spacing w:after="0" w:line="8" w:lineRule="exact"/>
        <w:rPr>
          <w:sz w:val="20"/>
          <w:szCs w:val="20"/>
          <w:color w:val="auto"/>
        </w:rPr>
      </w:pPr>
    </w:p>
    <w:p>
      <w:pPr>
        <w:ind w:right="100"/>
        <w:spacing w:after="0" w:line="231" w:lineRule="auto"/>
        <w:rPr>
          <w:sz w:val="20"/>
          <w:szCs w:val="20"/>
          <w:color w:val="auto"/>
        </w:rPr>
      </w:pPr>
      <w:r>
        <w:rPr>
          <w:rFonts w:ascii="Arial" w:cs="Arial" w:eastAsia="Arial" w:hAnsi="Arial"/>
          <w:sz w:val="10"/>
          <w:szCs w:val="10"/>
          <w:color w:val="auto"/>
        </w:rPr>
        <w:t>Ensuring smooth Chair succession, oversight of ongoing litigation and potential further optimisation of the induction processes for Non-executive Directors once travel is safely resumed. Likewise, sharing other Director induction sessions, committee trips and Chair visits will continue.</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Chair</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8"/>
          <w:szCs w:val="8"/>
          <w:color w:val="auto"/>
        </w:rPr>
        <w:t>Ongoing performance evaluation – the Board was very appreciative of the Chair's strong leadership (both of the full Board and individual Directors) during an extremely difficult year. He ensured thoughtful and interactive agendas (despite the required virtual format). It was also considered that he invested purposeful time with all, particularly with new Non-executive Directors, and continued to facilitate strong Board engagement and strong relationships with management. The Directors considered the Board very fortunate to have a Chair functioning at his peak. Board members added that the careful and thorough way in which all decisions this year have been framed, debated and made owes a great deal to the Chair’s experience and care, and his relationships with the CEO and Non-executive Directors.</w:t>
      </w:r>
    </w:p>
    <w:p>
      <w:pPr>
        <w:spacing w:after="0" w:line="238" w:lineRule="exact"/>
        <w:rPr>
          <w:sz w:val="20"/>
          <w:szCs w:val="20"/>
          <w:color w:val="auto"/>
        </w:rPr>
      </w:pPr>
    </w:p>
    <w:p>
      <w:pPr>
        <w:spacing w:after="0" w:line="234" w:lineRule="auto"/>
        <w:rPr>
          <w:sz w:val="20"/>
          <w:szCs w:val="20"/>
          <w:color w:val="auto"/>
        </w:rPr>
      </w:pPr>
      <w:r>
        <w:rPr>
          <w:rFonts w:ascii="Arial" w:cs="Arial" w:eastAsia="Arial" w:hAnsi="Arial"/>
          <w:sz w:val="10"/>
          <w:szCs w:val="10"/>
          <w:color w:val="auto"/>
        </w:rPr>
        <w:t>The Chair’s focus on strengthening individual Director performance through coaching and feedback continues to be rated highly. His regular contact with Directors between meetings provides continued real-time feedback and reflection. This way of working continues to be regarded as an outstanding aspect of his leadership.</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The Deputy Chair communicated the feedback to the Chair, along with requests to:</w:t>
      </w:r>
    </w:p>
    <w:p>
      <w:pPr>
        <w:ind w:left="420" w:hanging="212"/>
        <w:spacing w:after="0" w:line="227" w:lineRule="auto"/>
        <w:tabs>
          <w:tab w:leader="none" w:pos="420" w:val="left"/>
        </w:tabs>
        <w:numPr>
          <w:ilvl w:val="0"/>
          <w:numId w:val="93"/>
        </w:numPr>
        <w:rPr>
          <w:rFonts w:ascii="Arial" w:cs="Arial" w:eastAsia="Arial" w:hAnsi="Arial"/>
          <w:sz w:val="10"/>
          <w:szCs w:val="10"/>
          <w:color w:val="auto"/>
        </w:rPr>
      </w:pPr>
      <w:r>
        <w:rPr>
          <w:rFonts w:ascii="Arial" w:cs="Arial" w:eastAsia="Arial" w:hAnsi="Arial"/>
          <w:sz w:val="10"/>
          <w:szCs w:val="10"/>
          <w:color w:val="auto"/>
        </w:rPr>
        <w:t>ensure knowledge transfer of the Chair's insights and learnings to his successor; and</w:t>
      </w:r>
    </w:p>
    <w:p>
      <w:pPr>
        <w:ind w:left="420" w:hanging="212"/>
        <w:spacing w:after="0"/>
        <w:tabs>
          <w:tab w:leader="none" w:pos="420" w:val="left"/>
        </w:tabs>
        <w:numPr>
          <w:ilvl w:val="0"/>
          <w:numId w:val="93"/>
        </w:numPr>
        <w:rPr>
          <w:rFonts w:ascii="Arial" w:cs="Arial" w:eastAsia="Arial" w:hAnsi="Arial"/>
          <w:sz w:val="8"/>
          <w:szCs w:val="8"/>
          <w:color w:val="auto"/>
        </w:rPr>
      </w:pPr>
      <w:r>
        <w:rPr>
          <w:rFonts w:ascii="Arial" w:cs="Arial" w:eastAsia="Arial" w:hAnsi="Arial"/>
          <w:sz w:val="8"/>
          <w:szCs w:val="8"/>
          <w:color w:val="auto"/>
        </w:rPr>
        <w:t>continue to carefully balance the airing of divergent views with the need to appropriately converge on Board decisions.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The Chair fully accepted the feedback and agreed to reflect and act upon it.</w:t>
      </w:r>
    </w:p>
    <w:p>
      <w:pPr>
        <w:spacing w:after="0" w:line="5383" w:lineRule="exact"/>
        <w:rPr>
          <w:sz w:val="20"/>
          <w:szCs w:val="20"/>
          <w:color w:val="auto"/>
        </w:rPr>
      </w:pPr>
    </w:p>
    <w:p>
      <w:pPr>
        <w:sectPr>
          <w:pgSz w:w="11900" w:h="16838" w:orient="portrait"/>
          <w:cols w:equalWidth="0" w:num="2">
            <w:col w:w="5240" w:space="680"/>
            <w:col w:w="5380"/>
          </w:cols>
          <w:pgMar w:left="300" w:top="640" w:right="299" w:bottom="1440" w:gutter="0" w:footer="0" w:header="0"/>
        </w:sect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102</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05" w:name="page106"/>
    <w:bookmarkEnd w:id="105"/>
    <w:p>
      <w:pPr>
        <w:spacing w:after="0" w:line="328" w:lineRule="exact"/>
        <w:rPr>
          <w:sz w:val="20"/>
          <w:szCs w:val="20"/>
          <w:color w:val="auto"/>
        </w:rPr>
      </w:pPr>
    </w:p>
    <w:p>
      <w:pPr>
        <w:spacing w:after="0"/>
        <w:rPr>
          <w:sz w:val="20"/>
          <w:szCs w:val="20"/>
          <w:color w:val="auto"/>
        </w:rPr>
      </w:pPr>
      <w:r>
        <w:rPr>
          <w:rFonts w:ascii="Arial" w:cs="Arial" w:eastAsia="Arial" w:hAnsi="Arial"/>
          <w:sz w:val="24"/>
          <w:szCs w:val="24"/>
          <w:color w:val="auto"/>
        </w:rPr>
        <w:t>NOMINATION AND SUCCESSION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817370" cy="9086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81737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0"/>
          <w:szCs w:val="10"/>
          <w:b w:val="1"/>
          <w:bCs w:val="1"/>
          <w:color w:val="EE2724"/>
        </w:rPr>
        <w:t>CHAD HOLLIDAY</w:t>
      </w:r>
    </w:p>
    <w:p>
      <w:pPr>
        <w:spacing w:after="0" w:line="8" w:lineRule="exact"/>
        <w:rPr>
          <w:sz w:val="20"/>
          <w:szCs w:val="20"/>
          <w:color w:val="auto"/>
        </w:rPr>
      </w:pPr>
    </w:p>
    <w:p>
      <w:pPr>
        <w:spacing w:after="0"/>
        <w:rPr>
          <w:sz w:val="20"/>
          <w:szCs w:val="20"/>
          <w:color w:val="auto"/>
        </w:rPr>
      </w:pPr>
      <w:r>
        <w:rPr>
          <w:rFonts w:ascii="Arial" w:cs="Arial" w:eastAsia="Arial" w:hAnsi="Arial"/>
          <w:sz w:val="10"/>
          <w:szCs w:val="10"/>
          <w:color w:val="auto"/>
        </w:rPr>
        <w:t>Chair of the Nomination and Succession Committee</w:t>
      </w:r>
    </w:p>
    <w:p>
      <w:pPr>
        <w:spacing w:after="0" w:line="158" w:lineRule="exact"/>
        <w:rPr>
          <w:sz w:val="20"/>
          <w:szCs w:val="20"/>
          <w:color w:val="auto"/>
        </w:rPr>
      </w:pPr>
    </w:p>
    <w:p>
      <w:pPr>
        <w:spacing w:after="0"/>
        <w:rPr>
          <w:sz w:val="20"/>
          <w:szCs w:val="20"/>
          <w:color w:val="auto"/>
        </w:rPr>
      </w:pPr>
      <w:r>
        <w:rPr>
          <w:rFonts w:ascii="Arial" w:cs="Arial" w:eastAsia="Arial" w:hAnsi="Arial"/>
          <w:sz w:val="10"/>
          <w:szCs w:val="10"/>
          <w:b w:val="1"/>
          <w:bCs w:val="1"/>
          <w:color w:val="EE2724"/>
        </w:rPr>
        <w:t>Focus areas for 2020</w:t>
      </w:r>
    </w:p>
    <w:p>
      <w:pPr>
        <w:spacing w:after="0" w:line="8" w:lineRule="exact"/>
        <w:rPr>
          <w:sz w:val="20"/>
          <w:szCs w:val="20"/>
          <w:color w:val="auto"/>
        </w:rPr>
      </w:pPr>
    </w:p>
    <w:p>
      <w:pPr>
        <w:ind w:left="260" w:hanging="112"/>
        <w:spacing w:after="0"/>
        <w:tabs>
          <w:tab w:leader="none" w:pos="260" w:val="left"/>
        </w:tabs>
        <w:numPr>
          <w:ilvl w:val="0"/>
          <w:numId w:val="94"/>
        </w:numPr>
        <w:rPr>
          <w:rFonts w:ascii="Arial" w:cs="Arial" w:eastAsia="Arial" w:hAnsi="Arial"/>
          <w:sz w:val="10"/>
          <w:szCs w:val="10"/>
          <w:color w:val="auto"/>
        </w:rPr>
      </w:pPr>
      <w:r>
        <w:rPr>
          <w:rFonts w:ascii="Arial" w:cs="Arial" w:eastAsia="Arial" w:hAnsi="Arial"/>
          <w:sz w:val="10"/>
          <w:szCs w:val="10"/>
          <w:color w:val="auto"/>
        </w:rPr>
        <w:t>Appointment and onboarding of four new Non-executive Directors</w:t>
      </w:r>
    </w:p>
    <w:p>
      <w:pPr>
        <w:spacing w:after="0" w:line="2" w:lineRule="exact"/>
        <w:rPr>
          <w:rFonts w:ascii="Arial" w:cs="Arial" w:eastAsia="Arial" w:hAnsi="Arial"/>
          <w:sz w:val="10"/>
          <w:szCs w:val="10"/>
          <w:color w:val="auto"/>
        </w:rPr>
      </w:pPr>
    </w:p>
    <w:p>
      <w:pPr>
        <w:ind w:left="260" w:hanging="112"/>
        <w:spacing w:after="0" w:line="232" w:lineRule="auto"/>
        <w:tabs>
          <w:tab w:leader="none" w:pos="260" w:val="left"/>
        </w:tabs>
        <w:numPr>
          <w:ilvl w:val="0"/>
          <w:numId w:val="94"/>
        </w:numPr>
        <w:rPr>
          <w:rFonts w:ascii="Arial" w:cs="Arial" w:eastAsia="Arial" w:hAnsi="Arial"/>
          <w:sz w:val="10"/>
          <w:szCs w:val="10"/>
          <w:color w:val="auto"/>
        </w:rPr>
      </w:pPr>
      <w:r>
        <w:rPr>
          <w:rFonts w:ascii="Arial" w:cs="Arial" w:eastAsia="Arial" w:hAnsi="Arial"/>
          <w:sz w:val="10"/>
          <w:szCs w:val="10"/>
          <w:color w:val="auto"/>
        </w:rPr>
        <w:t>Continued discussions about Non-executive Director and Executive Committee succession</w:t>
      </w:r>
    </w:p>
    <w:p>
      <w:pPr>
        <w:ind w:left="260" w:hanging="112"/>
        <w:spacing w:after="0" w:line="225" w:lineRule="auto"/>
        <w:tabs>
          <w:tab w:leader="none" w:pos="260" w:val="left"/>
        </w:tabs>
        <w:numPr>
          <w:ilvl w:val="0"/>
          <w:numId w:val="94"/>
        </w:numPr>
        <w:rPr>
          <w:rFonts w:ascii="Arial" w:cs="Arial" w:eastAsia="Arial" w:hAnsi="Arial"/>
          <w:sz w:val="10"/>
          <w:szCs w:val="10"/>
          <w:color w:val="auto"/>
        </w:rPr>
      </w:pPr>
      <w:r>
        <w:rPr>
          <w:rFonts w:ascii="Arial" w:cs="Arial" w:eastAsia="Arial" w:hAnsi="Arial"/>
          <w:sz w:val="10"/>
          <w:szCs w:val="10"/>
          <w:color w:val="auto"/>
        </w:rPr>
        <w:t>Continued talent engagements with key staff and succession candidates</w:t>
      </w:r>
    </w:p>
    <w:p>
      <w:pPr>
        <w:ind w:left="260" w:hanging="112"/>
        <w:spacing w:after="0" w:line="236" w:lineRule="auto"/>
        <w:tabs>
          <w:tab w:leader="none" w:pos="260" w:val="left"/>
        </w:tabs>
        <w:numPr>
          <w:ilvl w:val="0"/>
          <w:numId w:val="94"/>
        </w:numPr>
        <w:rPr>
          <w:rFonts w:ascii="Arial" w:cs="Arial" w:eastAsia="Arial" w:hAnsi="Arial"/>
          <w:sz w:val="10"/>
          <w:szCs w:val="10"/>
          <w:color w:val="auto"/>
        </w:rPr>
      </w:pPr>
      <w:r>
        <w:rPr>
          <w:rFonts w:ascii="Arial" w:cs="Arial" w:eastAsia="Arial" w:hAnsi="Arial"/>
          <w:sz w:val="10"/>
          <w:szCs w:val="10"/>
          <w:color w:val="auto"/>
        </w:rPr>
        <w:t>Deep dives into the Royal Dutch Shell People Strategy, including culture and identity and end-to-end talent management</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EE2724"/>
        </w:rPr>
        <w:t>Priorities for 2021</w:t>
      </w:r>
    </w:p>
    <w:p>
      <w:pPr>
        <w:ind w:left="260" w:hanging="112"/>
        <w:spacing w:after="0" w:line="212" w:lineRule="auto"/>
        <w:tabs>
          <w:tab w:leader="none" w:pos="260" w:val="left"/>
        </w:tabs>
        <w:numPr>
          <w:ilvl w:val="0"/>
          <w:numId w:val="95"/>
        </w:numPr>
        <w:rPr>
          <w:rFonts w:ascii="Arial" w:cs="Arial" w:eastAsia="Arial" w:hAnsi="Arial"/>
          <w:sz w:val="10"/>
          <w:szCs w:val="10"/>
          <w:color w:val="auto"/>
        </w:rPr>
      </w:pPr>
      <w:r>
        <w:rPr>
          <w:rFonts w:ascii="Arial" w:cs="Arial" w:eastAsia="Arial" w:hAnsi="Arial"/>
          <w:sz w:val="10"/>
          <w:szCs w:val="10"/>
          <w:color w:val="auto"/>
        </w:rPr>
        <w:t>Continued discussions about Non-executive Director and Executive Committee succession</w:t>
      </w:r>
    </w:p>
    <w:p>
      <w:pPr>
        <w:ind w:left="260" w:hanging="112"/>
        <w:spacing w:after="0" w:line="206" w:lineRule="auto"/>
        <w:tabs>
          <w:tab w:leader="none" w:pos="260" w:val="left"/>
        </w:tabs>
        <w:numPr>
          <w:ilvl w:val="0"/>
          <w:numId w:val="95"/>
        </w:numPr>
        <w:rPr>
          <w:rFonts w:ascii="Arial" w:cs="Arial" w:eastAsia="Arial" w:hAnsi="Arial"/>
          <w:sz w:val="10"/>
          <w:szCs w:val="10"/>
          <w:color w:val="auto"/>
        </w:rPr>
      </w:pPr>
      <w:r>
        <w:rPr>
          <w:rFonts w:ascii="Arial" w:cs="Arial" w:eastAsia="Arial" w:hAnsi="Arial"/>
          <w:sz w:val="10"/>
          <w:szCs w:val="10"/>
          <w:color w:val="auto"/>
        </w:rPr>
        <w:t>Continued talent engagements with key staff and succession candidates.</w:t>
      </w:r>
    </w:p>
    <w:p>
      <w:pPr>
        <w:ind w:left="260" w:right="480" w:hanging="112"/>
        <w:spacing w:after="0" w:line="221" w:lineRule="auto"/>
        <w:tabs>
          <w:tab w:leader="none" w:pos="255" w:val="left"/>
        </w:tabs>
        <w:numPr>
          <w:ilvl w:val="0"/>
          <w:numId w:val="95"/>
        </w:numPr>
        <w:rPr>
          <w:rFonts w:ascii="Arial" w:cs="Arial" w:eastAsia="Arial" w:hAnsi="Arial"/>
          <w:sz w:val="10"/>
          <w:szCs w:val="10"/>
          <w:color w:val="auto"/>
        </w:rPr>
      </w:pPr>
      <w:r>
        <w:rPr>
          <w:rFonts w:ascii="Arial" w:cs="Arial" w:eastAsia="Arial" w:hAnsi="Arial"/>
          <w:sz w:val="10"/>
          <w:szCs w:val="10"/>
          <w:color w:val="auto"/>
        </w:rPr>
        <w:t>Continued deep dives into the Royal Dutch Shell People Strategy and culture, with an increased focus on diversity and inclusion and end-to-end talent management</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0"/>
          <w:szCs w:val="10"/>
          <w:b w:val="1"/>
          <w:bCs w:val="1"/>
          <w:color w:val="auto"/>
        </w:rPr>
        <w:t>COMMITTEE ATTENDANCE FOR 2020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980" w:type="dxa"/>
            <w:vAlign w:val="bottom"/>
            <w:tcBorders>
              <w:top w:val="single" w:sz="8" w:color="auto"/>
            </w:tcBorders>
            <w:vMerge w:val="restart"/>
          </w:tcPr>
          <w:p>
            <w:pPr>
              <w:spacing w:after="0"/>
              <w:rPr>
                <w:sz w:val="20"/>
                <w:szCs w:val="20"/>
                <w:color w:val="auto"/>
              </w:rPr>
            </w:pPr>
            <w:r>
              <w:rPr>
                <w:rFonts w:ascii="Arial" w:cs="Arial" w:eastAsia="Arial" w:hAnsi="Arial"/>
                <w:sz w:val="10"/>
                <w:szCs w:val="10"/>
                <w:color w:val="auto"/>
              </w:rPr>
              <w:t>Committee Member</w:t>
            </w:r>
          </w:p>
        </w:tc>
        <w:tc>
          <w:tcPr>
            <w:tcW w:w="900" w:type="dxa"/>
            <w:vAlign w:val="bottom"/>
            <w:tcBorders>
              <w:top w:val="single" w:sz="8" w:color="auto"/>
            </w:tcBorders>
            <w:vMerge w:val="restart"/>
          </w:tcPr>
          <w:p>
            <w:pPr>
              <w:ind w:left="60"/>
              <w:spacing w:after="0"/>
              <w:rPr>
                <w:sz w:val="20"/>
                <w:szCs w:val="20"/>
                <w:color w:val="auto"/>
              </w:rPr>
            </w:pPr>
            <w:r>
              <w:rPr>
                <w:rFonts w:ascii="Arial" w:cs="Arial" w:eastAsia="Arial" w:hAnsi="Arial"/>
                <w:sz w:val="10"/>
                <w:szCs w:val="10"/>
                <w:color w:val="auto"/>
              </w:rPr>
              <w:t>Member since</w:t>
            </w:r>
          </w:p>
        </w:tc>
        <w:tc>
          <w:tcPr>
            <w:tcW w:w="1100" w:type="dxa"/>
            <w:vAlign w:val="bottom"/>
            <w:tcBorders>
              <w:top w:val="single" w:sz="8" w:color="auto"/>
            </w:tcBorders>
          </w:tcPr>
          <w:p>
            <w:pPr>
              <w:jc w:val="right"/>
              <w:ind w:right="32"/>
              <w:spacing w:after="0" w:line="96" w:lineRule="exact"/>
              <w:rPr>
                <w:sz w:val="20"/>
                <w:szCs w:val="20"/>
                <w:color w:val="auto"/>
              </w:rPr>
            </w:pPr>
            <w:r>
              <w:rPr>
                <w:rFonts w:ascii="Arial" w:cs="Arial" w:eastAsia="Arial" w:hAnsi="Arial"/>
                <w:sz w:val="10"/>
                <w:szCs w:val="10"/>
                <w:color w:val="auto"/>
              </w:rPr>
              <w:t>Maximum possible</w:t>
            </w:r>
          </w:p>
        </w:tc>
        <w:tc>
          <w:tcPr>
            <w:tcW w:w="1040" w:type="dxa"/>
            <w:vAlign w:val="bottom"/>
            <w:tcBorders>
              <w:top w:val="single" w:sz="8" w:color="auto"/>
            </w:tcBorders>
          </w:tcPr>
          <w:p>
            <w:pPr>
              <w:jc w:val="right"/>
              <w:ind w:right="112"/>
              <w:spacing w:after="0" w:line="96" w:lineRule="exact"/>
              <w:rPr>
                <w:sz w:val="20"/>
                <w:szCs w:val="20"/>
                <w:color w:val="auto"/>
              </w:rPr>
            </w:pPr>
            <w:r>
              <w:rPr>
                <w:rFonts w:ascii="Arial" w:cs="Arial" w:eastAsia="Arial" w:hAnsi="Arial"/>
                <w:sz w:val="10"/>
                <w:szCs w:val="10"/>
                <w:color w:val="auto"/>
                <w:w w:val="95"/>
              </w:rPr>
              <w:t>Number of meetings</w:t>
            </w:r>
          </w:p>
        </w:tc>
        <w:tc>
          <w:tcPr>
            <w:tcW w:w="720" w:type="dxa"/>
            <w:vAlign w:val="bottom"/>
            <w:tcBorders>
              <w:top w:val="single" w:sz="8" w:color="auto"/>
            </w:tcBorders>
          </w:tcPr>
          <w:p>
            <w:pPr>
              <w:jc w:val="right"/>
              <w:spacing w:after="0" w:line="96" w:lineRule="exact"/>
              <w:rPr>
                <w:sz w:val="20"/>
                <w:szCs w:val="20"/>
                <w:color w:val="auto"/>
              </w:rPr>
            </w:pPr>
            <w:r>
              <w:rPr>
                <w:rFonts w:ascii="Arial" w:cs="Arial" w:eastAsia="Arial" w:hAnsi="Arial"/>
                <w:sz w:val="10"/>
                <w:szCs w:val="10"/>
                <w:color w:val="auto"/>
              </w:rPr>
              <w:t>% of meetings</w:t>
            </w:r>
          </w:p>
        </w:tc>
        <w:tc>
          <w:tcPr>
            <w:tcW w:w="0" w:type="dxa"/>
            <w:vAlign w:val="bottom"/>
          </w:tcPr>
          <w:p>
            <w:pPr>
              <w:spacing w:after="0"/>
              <w:rPr>
                <w:sz w:val="1"/>
                <w:szCs w:val="1"/>
                <w:color w:val="auto"/>
              </w:rPr>
            </w:pPr>
          </w:p>
        </w:tc>
      </w:tr>
      <w:tr>
        <w:trPr>
          <w:trHeight w:val="124"/>
        </w:trPr>
        <w:tc>
          <w:tcPr>
            <w:tcW w:w="98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meetings</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attended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attended</w:t>
            </w:r>
          </w:p>
        </w:tc>
        <w:tc>
          <w:tcPr>
            <w:tcW w:w="0" w:type="dxa"/>
            <w:vAlign w:val="bottom"/>
          </w:tcPr>
          <w:p>
            <w:pPr>
              <w:spacing w:after="0"/>
              <w:rPr>
                <w:sz w:val="1"/>
                <w:szCs w:val="1"/>
                <w:color w:val="auto"/>
              </w:rPr>
            </w:pPr>
          </w:p>
        </w:tc>
      </w:tr>
      <w:tr>
        <w:trPr>
          <w:trHeight w:val="81"/>
        </w:trPr>
        <w:tc>
          <w:tcPr>
            <w:tcW w:w="980" w:type="dxa"/>
            <w:vAlign w:val="bottom"/>
          </w:tcPr>
          <w:p>
            <w:pPr>
              <w:spacing w:after="0" w:line="81" w:lineRule="exact"/>
              <w:rPr>
                <w:sz w:val="20"/>
                <w:szCs w:val="20"/>
                <w:color w:val="auto"/>
              </w:rPr>
            </w:pPr>
            <w:r>
              <w:rPr>
                <w:rFonts w:ascii="Arial" w:cs="Arial" w:eastAsia="Arial" w:hAnsi="Arial"/>
                <w:sz w:val="8"/>
                <w:szCs w:val="8"/>
                <w:color w:val="auto"/>
              </w:rPr>
              <w:t>Chad Holliday (Chair of</w:t>
            </w:r>
          </w:p>
        </w:tc>
        <w:tc>
          <w:tcPr>
            <w:tcW w:w="900" w:type="dxa"/>
            <w:vAlign w:val="bottom"/>
            <w:vMerge w:val="restart"/>
          </w:tcPr>
          <w:p>
            <w:pPr>
              <w:ind w:left="60"/>
              <w:spacing w:after="0"/>
              <w:rPr>
                <w:sz w:val="20"/>
                <w:szCs w:val="20"/>
                <w:color w:val="auto"/>
              </w:rPr>
            </w:pPr>
            <w:r>
              <w:rPr>
                <w:rFonts w:ascii="Arial" w:cs="Arial" w:eastAsia="Arial" w:hAnsi="Arial"/>
                <w:sz w:val="10"/>
                <w:szCs w:val="10"/>
                <w:color w:val="auto"/>
              </w:rPr>
              <w:t>May 19, 2015</w:t>
            </w:r>
          </w:p>
        </w:tc>
        <w:tc>
          <w:tcPr>
            <w:tcW w:w="1100" w:type="dxa"/>
            <w:vAlign w:val="bottom"/>
            <w:vMerge w:val="restart"/>
          </w:tcPr>
          <w:p>
            <w:pPr>
              <w:jc w:val="right"/>
              <w:ind w:right="32"/>
              <w:spacing w:after="0"/>
              <w:rPr>
                <w:sz w:val="20"/>
                <w:szCs w:val="20"/>
                <w:color w:val="auto"/>
              </w:rPr>
            </w:pPr>
            <w:r>
              <w:rPr>
                <w:rFonts w:ascii="Arial" w:cs="Arial" w:eastAsia="Arial" w:hAnsi="Arial"/>
                <w:sz w:val="10"/>
                <w:szCs w:val="10"/>
                <w:color w:val="auto"/>
              </w:rPr>
              <w:t>7</w:t>
            </w:r>
          </w:p>
        </w:tc>
        <w:tc>
          <w:tcPr>
            <w:tcW w:w="1040" w:type="dxa"/>
            <w:vAlign w:val="bottom"/>
            <w:vMerge w:val="restart"/>
          </w:tcPr>
          <w:p>
            <w:pPr>
              <w:jc w:val="right"/>
              <w:ind w:right="112"/>
              <w:spacing w:after="0"/>
              <w:rPr>
                <w:sz w:val="20"/>
                <w:szCs w:val="20"/>
                <w:color w:val="auto"/>
              </w:rPr>
            </w:pPr>
            <w:r>
              <w:rPr>
                <w:rFonts w:ascii="Arial" w:cs="Arial" w:eastAsia="Arial" w:hAnsi="Arial"/>
                <w:sz w:val="10"/>
                <w:szCs w:val="10"/>
                <w:color w:val="auto"/>
              </w:rPr>
              <w:t>7</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20"/>
                <w:szCs w:val="20"/>
                <w:color w:val="auto"/>
              </w:rPr>
            </w:pPr>
            <w:r>
              <w:rPr>
                <w:rFonts w:ascii="Arial" w:cs="Arial" w:eastAsia="Arial" w:hAnsi="Arial"/>
                <w:sz w:val="10"/>
                <w:szCs w:val="10"/>
                <w:color w:val="auto"/>
              </w:rPr>
              <w:t>the Committee)</w:t>
            </w:r>
          </w:p>
        </w:tc>
        <w:tc>
          <w:tcPr>
            <w:tcW w:w="9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980" w:type="dxa"/>
            <w:vAlign w:val="bottom"/>
          </w:tcPr>
          <w:p>
            <w:pPr>
              <w:spacing w:after="0"/>
              <w:rPr>
                <w:sz w:val="20"/>
                <w:szCs w:val="20"/>
                <w:color w:val="auto"/>
              </w:rPr>
            </w:pPr>
            <w:r>
              <w:rPr>
                <w:rFonts w:ascii="Arial" w:cs="Arial" w:eastAsia="Arial" w:hAnsi="Arial"/>
                <w:sz w:val="10"/>
                <w:szCs w:val="10"/>
                <w:color w:val="auto"/>
              </w:rPr>
              <w:t>Euleen Goh</w:t>
            </w:r>
          </w:p>
        </w:tc>
        <w:tc>
          <w:tcPr>
            <w:tcW w:w="900" w:type="dxa"/>
            <w:vAlign w:val="bottom"/>
          </w:tcPr>
          <w:p>
            <w:pPr>
              <w:ind w:left="60"/>
              <w:spacing w:after="0"/>
              <w:rPr>
                <w:sz w:val="20"/>
                <w:szCs w:val="20"/>
                <w:color w:val="auto"/>
              </w:rPr>
            </w:pPr>
            <w:r>
              <w:rPr>
                <w:rFonts w:ascii="Arial" w:cs="Arial" w:eastAsia="Arial" w:hAnsi="Arial"/>
                <w:sz w:val="10"/>
                <w:szCs w:val="10"/>
                <w:color w:val="auto"/>
              </w:rPr>
              <w:t>July 1, 2019</w:t>
            </w:r>
          </w:p>
        </w:tc>
        <w:tc>
          <w:tcPr>
            <w:tcW w:w="1100" w:type="dxa"/>
            <w:vAlign w:val="bottom"/>
          </w:tcPr>
          <w:p>
            <w:pPr>
              <w:jc w:val="right"/>
              <w:ind w:right="32"/>
              <w:spacing w:after="0"/>
              <w:rPr>
                <w:sz w:val="20"/>
                <w:szCs w:val="20"/>
                <w:color w:val="auto"/>
              </w:rPr>
            </w:pPr>
            <w:r>
              <w:rPr>
                <w:rFonts w:ascii="Arial" w:cs="Arial" w:eastAsia="Arial" w:hAnsi="Arial"/>
                <w:sz w:val="10"/>
                <w:szCs w:val="10"/>
                <w:color w:val="auto"/>
              </w:rPr>
              <w:t>7</w:t>
            </w:r>
          </w:p>
        </w:tc>
        <w:tc>
          <w:tcPr>
            <w:tcW w:w="1040" w:type="dxa"/>
            <w:vAlign w:val="bottom"/>
          </w:tcPr>
          <w:p>
            <w:pPr>
              <w:jc w:val="right"/>
              <w:ind w:right="112"/>
              <w:spacing w:after="0"/>
              <w:rPr>
                <w:sz w:val="20"/>
                <w:szCs w:val="20"/>
                <w:color w:val="auto"/>
              </w:rPr>
            </w:pPr>
            <w:r>
              <w:rPr>
                <w:rFonts w:ascii="Arial" w:cs="Arial" w:eastAsia="Arial" w:hAnsi="Arial"/>
                <w:sz w:val="10"/>
                <w:szCs w:val="10"/>
                <w:color w:val="auto"/>
              </w:rPr>
              <w:t>7</w:t>
            </w:r>
          </w:p>
        </w:tc>
        <w:tc>
          <w:tcPr>
            <w:tcW w:w="72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20"/>
                <w:szCs w:val="20"/>
                <w:color w:val="auto"/>
              </w:rPr>
            </w:pPr>
            <w:r>
              <w:rPr>
                <w:rFonts w:ascii="Arial" w:cs="Arial" w:eastAsia="Arial" w:hAnsi="Arial"/>
                <w:sz w:val="10"/>
                <w:szCs w:val="10"/>
                <w:color w:val="auto"/>
              </w:rPr>
              <w:t>Gerard Kleisterlee [A]</w:t>
            </w:r>
          </w:p>
        </w:tc>
        <w:tc>
          <w:tcPr>
            <w:tcW w:w="900" w:type="dxa"/>
            <w:vAlign w:val="bottom"/>
          </w:tcPr>
          <w:p>
            <w:pPr>
              <w:ind w:left="60"/>
              <w:spacing w:after="0"/>
              <w:rPr>
                <w:sz w:val="20"/>
                <w:szCs w:val="20"/>
                <w:color w:val="auto"/>
              </w:rPr>
            </w:pPr>
            <w:r>
              <w:rPr>
                <w:rFonts w:ascii="Arial" w:cs="Arial" w:eastAsia="Arial" w:hAnsi="Arial"/>
                <w:sz w:val="10"/>
                <w:szCs w:val="10"/>
                <w:color w:val="auto"/>
              </w:rPr>
              <w:t>May 23, 2018</w:t>
            </w:r>
          </w:p>
        </w:tc>
        <w:tc>
          <w:tcPr>
            <w:tcW w:w="1100" w:type="dxa"/>
            <w:vAlign w:val="bottom"/>
          </w:tcPr>
          <w:p>
            <w:pPr>
              <w:jc w:val="right"/>
              <w:ind w:right="32"/>
              <w:spacing w:after="0"/>
              <w:rPr>
                <w:sz w:val="20"/>
                <w:szCs w:val="20"/>
                <w:color w:val="auto"/>
              </w:rPr>
            </w:pPr>
            <w:r>
              <w:rPr>
                <w:rFonts w:ascii="Arial" w:cs="Arial" w:eastAsia="Arial" w:hAnsi="Arial"/>
                <w:sz w:val="10"/>
                <w:szCs w:val="10"/>
                <w:color w:val="auto"/>
              </w:rPr>
              <w:t>3</w:t>
            </w:r>
          </w:p>
        </w:tc>
        <w:tc>
          <w:tcPr>
            <w:tcW w:w="1040" w:type="dxa"/>
            <w:vAlign w:val="bottom"/>
          </w:tcPr>
          <w:p>
            <w:pPr>
              <w:jc w:val="right"/>
              <w:ind w:right="112"/>
              <w:spacing w:after="0"/>
              <w:rPr>
                <w:sz w:val="20"/>
                <w:szCs w:val="20"/>
                <w:color w:val="auto"/>
              </w:rPr>
            </w:pPr>
            <w:r>
              <w:rPr>
                <w:rFonts w:ascii="Arial" w:cs="Arial" w:eastAsia="Arial" w:hAnsi="Arial"/>
                <w:sz w:val="10"/>
                <w:szCs w:val="10"/>
                <w:color w:val="auto"/>
              </w:rPr>
              <w:t>2</w:t>
            </w:r>
          </w:p>
        </w:tc>
        <w:tc>
          <w:tcPr>
            <w:tcW w:w="720" w:type="dxa"/>
            <w:vAlign w:val="bottom"/>
          </w:tcPr>
          <w:p>
            <w:pPr>
              <w:jc w:val="right"/>
              <w:spacing w:after="0"/>
              <w:rPr>
                <w:sz w:val="20"/>
                <w:szCs w:val="20"/>
                <w:color w:val="auto"/>
              </w:rPr>
            </w:pPr>
            <w:r>
              <w:rPr>
                <w:rFonts w:ascii="Arial" w:cs="Arial" w:eastAsia="Arial" w:hAnsi="Arial"/>
                <w:sz w:val="10"/>
                <w:szCs w:val="10"/>
                <w:color w:val="auto"/>
              </w:rPr>
              <w:t>66.6%</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20"/>
                <w:szCs w:val="20"/>
                <w:color w:val="auto"/>
              </w:rPr>
            </w:pPr>
            <w:r>
              <w:rPr>
                <w:rFonts w:ascii="Arial" w:cs="Arial" w:eastAsia="Arial" w:hAnsi="Arial"/>
                <w:sz w:val="10"/>
                <w:szCs w:val="10"/>
                <w:color w:val="auto"/>
                <w:w w:val="96"/>
              </w:rPr>
              <w:t>Sir Andrew Mackenzie</w:t>
            </w:r>
          </w:p>
        </w:tc>
        <w:tc>
          <w:tcPr>
            <w:tcW w:w="900" w:type="dxa"/>
            <w:vAlign w:val="bottom"/>
          </w:tcPr>
          <w:p>
            <w:pPr>
              <w:ind w:left="60"/>
              <w:spacing w:after="0"/>
              <w:rPr>
                <w:sz w:val="20"/>
                <w:szCs w:val="20"/>
                <w:color w:val="auto"/>
              </w:rPr>
            </w:pPr>
            <w:r>
              <w:rPr>
                <w:rFonts w:ascii="Arial" w:cs="Arial" w:eastAsia="Arial" w:hAnsi="Arial"/>
                <w:sz w:val="10"/>
                <w:szCs w:val="10"/>
                <w:color w:val="auto"/>
              </w:rPr>
              <w:t>Oct 1, 2020</w:t>
            </w:r>
          </w:p>
        </w:tc>
        <w:tc>
          <w:tcPr>
            <w:tcW w:w="1100" w:type="dxa"/>
            <w:vAlign w:val="bottom"/>
          </w:tcPr>
          <w:p>
            <w:pPr>
              <w:jc w:val="right"/>
              <w:ind w:right="32"/>
              <w:spacing w:after="0"/>
              <w:rPr>
                <w:sz w:val="20"/>
                <w:szCs w:val="20"/>
                <w:color w:val="auto"/>
              </w:rPr>
            </w:pPr>
            <w:r>
              <w:rPr>
                <w:rFonts w:ascii="Arial" w:cs="Arial" w:eastAsia="Arial" w:hAnsi="Arial"/>
                <w:sz w:val="10"/>
                <w:szCs w:val="10"/>
                <w:color w:val="auto"/>
              </w:rPr>
              <w:t>2</w:t>
            </w:r>
          </w:p>
        </w:tc>
        <w:tc>
          <w:tcPr>
            <w:tcW w:w="1040" w:type="dxa"/>
            <w:vAlign w:val="bottom"/>
          </w:tcPr>
          <w:p>
            <w:pPr>
              <w:jc w:val="right"/>
              <w:ind w:right="112"/>
              <w:spacing w:after="0"/>
              <w:rPr>
                <w:sz w:val="20"/>
                <w:szCs w:val="20"/>
                <w:color w:val="auto"/>
              </w:rPr>
            </w:pPr>
            <w:r>
              <w:rPr>
                <w:rFonts w:ascii="Arial" w:cs="Arial" w:eastAsia="Arial" w:hAnsi="Arial"/>
                <w:sz w:val="10"/>
                <w:szCs w:val="10"/>
                <w:color w:val="auto"/>
              </w:rPr>
              <w:t>2</w:t>
            </w:r>
          </w:p>
        </w:tc>
        <w:tc>
          <w:tcPr>
            <w:tcW w:w="72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20"/>
                <w:szCs w:val="20"/>
                <w:color w:val="auto"/>
              </w:rPr>
            </w:pPr>
            <w:r>
              <w:rPr>
                <w:rFonts w:ascii="Arial" w:cs="Arial" w:eastAsia="Arial" w:hAnsi="Arial"/>
                <w:sz w:val="10"/>
                <w:szCs w:val="10"/>
                <w:color w:val="auto"/>
              </w:rPr>
              <w:t>Sir Nigel Sheinwald</w:t>
            </w:r>
          </w:p>
        </w:tc>
        <w:tc>
          <w:tcPr>
            <w:tcW w:w="900" w:type="dxa"/>
            <w:vAlign w:val="bottom"/>
          </w:tcPr>
          <w:p>
            <w:pPr>
              <w:ind w:left="60"/>
              <w:spacing w:after="0"/>
              <w:rPr>
                <w:sz w:val="20"/>
                <w:szCs w:val="20"/>
                <w:color w:val="auto"/>
              </w:rPr>
            </w:pPr>
            <w:r>
              <w:rPr>
                <w:rFonts w:ascii="Arial" w:cs="Arial" w:eastAsia="Arial" w:hAnsi="Arial"/>
                <w:sz w:val="10"/>
                <w:szCs w:val="10"/>
                <w:color w:val="auto"/>
              </w:rPr>
              <w:t>May 20, 2020</w:t>
            </w:r>
          </w:p>
        </w:tc>
        <w:tc>
          <w:tcPr>
            <w:tcW w:w="1100" w:type="dxa"/>
            <w:vAlign w:val="bottom"/>
          </w:tcPr>
          <w:p>
            <w:pPr>
              <w:jc w:val="right"/>
              <w:ind w:right="32"/>
              <w:spacing w:after="0"/>
              <w:rPr>
                <w:sz w:val="20"/>
                <w:szCs w:val="20"/>
                <w:color w:val="auto"/>
              </w:rPr>
            </w:pPr>
            <w:r>
              <w:rPr>
                <w:rFonts w:ascii="Arial" w:cs="Arial" w:eastAsia="Arial" w:hAnsi="Arial"/>
                <w:sz w:val="10"/>
                <w:szCs w:val="10"/>
                <w:color w:val="auto"/>
              </w:rPr>
              <w:t>4</w:t>
            </w:r>
          </w:p>
        </w:tc>
        <w:tc>
          <w:tcPr>
            <w:tcW w:w="1040" w:type="dxa"/>
            <w:vAlign w:val="bottom"/>
          </w:tcPr>
          <w:p>
            <w:pPr>
              <w:jc w:val="right"/>
              <w:ind w:right="112"/>
              <w:spacing w:after="0"/>
              <w:rPr>
                <w:sz w:val="20"/>
                <w:szCs w:val="20"/>
                <w:color w:val="auto"/>
              </w:rPr>
            </w:pP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30"/>
        </w:trPr>
        <w:tc>
          <w:tcPr>
            <w:tcW w:w="9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Linda Stuntz [A]</w:t>
            </w: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June 1, 2016</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[A] Both Gerard Kleisterlee and Linda Stuntz retired from the Board after the 2020 Annual General Meeting, held on May 19, 2020.</w:t>
      </w:r>
    </w:p>
    <w:p>
      <w:pPr>
        <w:spacing w:after="0" w:line="28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PURPOSE</w:t>
      </w:r>
    </w:p>
    <w:p>
      <w:pPr>
        <w:spacing w:after="0" w:line="8" w:lineRule="exact"/>
        <w:rPr>
          <w:sz w:val="20"/>
          <w:szCs w:val="20"/>
          <w:color w:val="auto"/>
        </w:rPr>
      </w:pPr>
    </w:p>
    <w:p>
      <w:pPr>
        <w:ind w:right="440"/>
        <w:spacing w:after="0" w:line="234" w:lineRule="auto"/>
        <w:rPr>
          <w:sz w:val="20"/>
          <w:szCs w:val="20"/>
          <w:color w:val="auto"/>
        </w:rPr>
      </w:pPr>
      <w:r>
        <w:rPr>
          <w:rFonts w:ascii="Arial" w:cs="Arial" w:eastAsia="Arial" w:hAnsi="Arial"/>
          <w:sz w:val="10"/>
          <w:szCs w:val="10"/>
          <w:color w:val="auto"/>
        </w:rPr>
        <w:t>The Nomination and Succession Committee (the “Committee”) leads the process for appointments to the Board and Senior Management [A] positions, ensures plans are in place for orderly, well-planned succession,</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2260" w:type="dxa"/>
            <w:vAlign w:val="bottom"/>
          </w:tcPr>
          <w:p>
            <w:pPr>
              <w:jc w:val="right"/>
              <w:spacing w:after="0"/>
              <w:rPr>
                <w:sz w:val="20"/>
                <w:szCs w:val="20"/>
                <w:color w:val="auto"/>
              </w:rPr>
            </w:pPr>
            <w:r>
              <w:rPr>
                <w:rFonts w:ascii="Arial" w:cs="Arial" w:eastAsia="Arial" w:hAnsi="Arial"/>
                <w:sz w:val="7"/>
                <w:szCs w:val="7"/>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34" w:lineRule="auto"/>
        <w:rPr>
          <w:sz w:val="20"/>
          <w:szCs w:val="20"/>
          <w:color w:val="auto"/>
        </w:rPr>
      </w:pPr>
      <w:r>
        <w:rPr>
          <w:rFonts w:ascii="Arial" w:cs="Arial" w:eastAsia="Arial" w:hAnsi="Arial"/>
          <w:sz w:val="10"/>
          <w:szCs w:val="10"/>
          <w:color w:val="auto"/>
        </w:rPr>
        <w:t>and oversees the development of a diverse succession pipeline of candidates. Further, it reviews the Company’s policy and strategy on diversity and inclusion, and monitors the effectiveness of diversity initiatives. It makes recommendations to the Board on corporate governance guidelines, as referred to in the Chair’s statement.</w:t>
      </w:r>
    </w:p>
    <w:p>
      <w:pPr>
        <w:spacing w:after="0" w:line="2" w:lineRule="exact"/>
        <w:rPr>
          <w:sz w:val="20"/>
          <w:szCs w:val="20"/>
          <w:color w:val="auto"/>
        </w:rPr>
      </w:pPr>
    </w:p>
    <w:p>
      <w:pPr>
        <w:spacing w:after="0"/>
        <w:rPr>
          <w:sz w:val="20"/>
          <w:szCs w:val="20"/>
          <w:color w:val="auto"/>
        </w:rPr>
      </w:pPr>
      <w:r>
        <w:rPr>
          <w:rFonts w:ascii="Arial" w:cs="Arial" w:eastAsia="Arial" w:hAnsi="Arial"/>
          <w:sz w:val="7"/>
          <w:szCs w:val="7"/>
          <w:color w:val="auto"/>
        </w:rPr>
        <w:t>[A] "Senior Management” refers to the Executive Committee and the Company Secretary.</w:t>
      </w:r>
    </w:p>
    <w:p>
      <w:pPr>
        <w:spacing w:after="0" w:line="12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TALENT MANAGEMENT AND SUCCESSION</w:t>
      </w:r>
    </w:p>
    <w:p>
      <w:pPr>
        <w:spacing w:after="0" w:line="8" w:lineRule="exact"/>
        <w:rPr>
          <w:sz w:val="20"/>
          <w:szCs w:val="20"/>
          <w:color w:val="auto"/>
        </w:rPr>
      </w:pPr>
    </w:p>
    <w:p>
      <w:pPr>
        <w:spacing w:after="0" w:line="228" w:lineRule="auto"/>
        <w:rPr>
          <w:sz w:val="20"/>
          <w:szCs w:val="20"/>
          <w:color w:val="auto"/>
        </w:rPr>
      </w:pPr>
      <w:r>
        <w:rPr>
          <w:rFonts w:ascii="Arial" w:cs="Arial" w:eastAsia="Arial" w:hAnsi="Arial"/>
          <w:sz w:val="10"/>
          <w:szCs w:val="10"/>
          <w:color w:val="auto"/>
        </w:rPr>
        <w:t>The Committee is fully engaged with the end-to-end talent management and senior succession planning approach that is deployed within Shell. It plays a key role in senior succession and resourcing and retaining in-depth knowledge of the individuals within the talent pipeline is a Committee priority. In fact, the Committee makes time to personally meet and engage with numerous individuals within the pipeline. The Committee’s oversight and input extend from recruitment to leadership identification and from leadership development to leadership appointment, all of which are underpinned by clearly articulated talent priorities and a commitment to advancing diversity and inclusion across Shell.</w:t>
      </w:r>
    </w:p>
    <w:p>
      <w:pPr>
        <w:spacing w:after="0" w:line="150" w:lineRule="exact"/>
        <w:rPr>
          <w:sz w:val="20"/>
          <w:szCs w:val="20"/>
          <w:color w:val="auto"/>
        </w:rPr>
      </w:pPr>
    </w:p>
    <w:p>
      <w:pPr>
        <w:ind w:right="200"/>
        <w:spacing w:after="0" w:line="358" w:lineRule="auto"/>
        <w:rPr>
          <w:sz w:val="20"/>
          <w:szCs w:val="20"/>
          <w:color w:val="auto"/>
        </w:rPr>
      </w:pPr>
      <w:r>
        <w:rPr>
          <w:rFonts w:ascii="Arial" w:cs="Arial" w:eastAsia="Arial" w:hAnsi="Arial"/>
          <w:sz w:val="8"/>
          <w:szCs w:val="8"/>
          <w:color w:val="auto"/>
        </w:rPr>
        <w:t>The Committee manages Board and Senior Management succession under a structured, proactive methodology. The processes have clear and agreed selection principles for short-, medium- and long-term succession and are aligned with Shell's strategic priorities.</w:t>
      </w:r>
    </w:p>
    <w:p>
      <w:pPr>
        <w:spacing w:after="0" w:line="104" w:lineRule="exact"/>
        <w:rPr>
          <w:sz w:val="20"/>
          <w:szCs w:val="20"/>
          <w:color w:val="auto"/>
        </w:rPr>
      </w:pPr>
    </w:p>
    <w:p>
      <w:pPr>
        <w:ind w:right="40"/>
        <w:spacing w:after="0" w:line="307" w:lineRule="auto"/>
        <w:rPr>
          <w:sz w:val="20"/>
          <w:szCs w:val="20"/>
          <w:color w:val="auto"/>
        </w:rPr>
      </w:pPr>
      <w:r>
        <w:rPr>
          <w:rFonts w:ascii="Arial" w:cs="Arial" w:eastAsia="Arial" w:hAnsi="Arial"/>
          <w:sz w:val="8"/>
          <w:szCs w:val="8"/>
          <w:color w:val="auto"/>
        </w:rPr>
        <w:t>For Non-executive Director succession, the Committee also follows its Principles for the Strategic Composition of the Board. These principles function much like a policy and include both quantitative and qualitative principles, considering: (i) the overall aspired Board composition and diversity of gender, race and ethnicity, nationality, background, experience and desired skillsets that align with the Company’s strategy and purpose; and (ii) the values, attitudes, and behaviours expected of Directors.</w:t>
      </w:r>
    </w:p>
    <w:p>
      <w:pPr>
        <w:spacing w:after="0" w:line="123" w:lineRule="exact"/>
        <w:rPr>
          <w:sz w:val="20"/>
          <w:szCs w:val="20"/>
          <w:color w:val="auto"/>
        </w:rPr>
      </w:pPr>
    </w:p>
    <w:p>
      <w:pPr>
        <w:jc w:val="both"/>
        <w:ind w:right="20"/>
        <w:spacing w:after="0" w:line="307" w:lineRule="auto"/>
        <w:rPr>
          <w:sz w:val="20"/>
          <w:szCs w:val="20"/>
          <w:color w:val="auto"/>
        </w:rPr>
      </w:pPr>
      <w:r>
        <w:rPr>
          <w:rFonts w:ascii="Arial" w:cs="Arial" w:eastAsia="Arial" w:hAnsi="Arial"/>
          <w:sz w:val="8"/>
          <w:szCs w:val="8"/>
          <w:color w:val="auto"/>
        </w:rPr>
        <w:t>For Senior Management succession, the selection principles include process-specific elements, such as a clear and proactive approach to identifying and developing succession candidates. The principles also outline the long-term structured nature of the succession planning process. There is also great focus on ensuring that the principles reflect the leadership qualities required for future business success and that they advance the progress of diversity in all its forms.</w:t>
      </w:r>
    </w:p>
    <w:p>
      <w:pPr>
        <w:spacing w:after="0" w:line="123" w:lineRule="exact"/>
        <w:rPr>
          <w:sz w:val="20"/>
          <w:szCs w:val="20"/>
          <w:color w:val="auto"/>
        </w:rPr>
      </w:pPr>
    </w:p>
    <w:p>
      <w:pPr>
        <w:ind w:right="40"/>
        <w:spacing w:after="0" w:line="299" w:lineRule="auto"/>
        <w:rPr>
          <w:sz w:val="20"/>
          <w:szCs w:val="20"/>
          <w:color w:val="auto"/>
        </w:rPr>
      </w:pPr>
      <w:r>
        <w:rPr>
          <w:rFonts w:ascii="Arial" w:cs="Arial" w:eastAsia="Arial" w:hAnsi="Arial"/>
          <w:sz w:val="8"/>
          <w:szCs w:val="8"/>
          <w:color w:val="auto"/>
        </w:rPr>
        <w:t>Senior Management principles feature in the Committee’s review of the succession plans which occurs in every Committee meeting. Utilising the principles, the Committee executes changes through a well-defined and diligent process with overall Board engagement. The Committee agrees candidate profiles and meets prospective candidates well ahead of any selection decision being necessary. It also engages the Board early in the process to ensure all Directors have an opportunity to meet and assess prospective candidates. Consequently, some of the leaders whom the Committee and Board have engaged with extensively in the past are now members of the Board or the Executive Committee.</w:t>
      </w:r>
    </w:p>
    <w:p>
      <w:pPr>
        <w:spacing w:after="0" w:line="237" w:lineRule="exact"/>
        <w:rPr>
          <w:sz w:val="20"/>
          <w:szCs w:val="20"/>
          <w:color w:val="auto"/>
        </w:rPr>
      </w:pPr>
    </w:p>
    <w:p>
      <w:pPr>
        <w:spacing w:after="0" w:line="232" w:lineRule="auto"/>
        <w:rPr>
          <w:sz w:val="20"/>
          <w:szCs w:val="20"/>
          <w:color w:val="auto"/>
        </w:rPr>
      </w:pPr>
      <w:r>
        <w:rPr>
          <w:rFonts w:ascii="Arial" w:cs="Arial" w:eastAsia="Arial" w:hAnsi="Arial"/>
          <w:sz w:val="10"/>
          <w:szCs w:val="10"/>
          <w:color w:val="auto"/>
        </w:rPr>
        <w:t>In 2020, the Committee undertook its annual in-depth look at the succession plans for Senior Management across Shell and reviewed the talent pipeline in line with the business outlook. The engagement focused on the depth and breadth of the leadership pipeline, the skills and behaviours required for future success and progress against diversity aspirations and policies. Following the Committee’s review, the findings were reported to the Board.</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DIVERSITY OF LEADERSHIP</w:t>
      </w:r>
    </w:p>
    <w:p>
      <w:pPr>
        <w:spacing w:after="0" w:line="3" w:lineRule="exact"/>
        <w:rPr>
          <w:sz w:val="20"/>
          <w:szCs w:val="20"/>
          <w:color w:val="auto"/>
        </w:rPr>
      </w:pPr>
    </w:p>
    <w:p>
      <w:pPr>
        <w:ind w:right="100"/>
        <w:spacing w:after="0" w:line="309" w:lineRule="auto"/>
        <w:rPr>
          <w:sz w:val="20"/>
          <w:szCs w:val="20"/>
          <w:color w:val="auto"/>
        </w:rPr>
      </w:pPr>
      <w:r>
        <w:rPr>
          <w:rFonts w:ascii="Arial" w:cs="Arial" w:eastAsia="Arial" w:hAnsi="Arial"/>
          <w:sz w:val="8"/>
          <w:szCs w:val="8"/>
          <w:color w:val="auto"/>
        </w:rPr>
        <w:t>The Committee recognises that continuing to improve all types of diversity at each level of the Shell Group is crucial. Shell aims to be an inclusive workplace where everyone feels valued and respected and has a strong sense of belonging. The Committee’s review of diversity objectives and strategies for the Shell Group as a whole also monitors the impact of diversity and inclusion initiatives.</w:t>
      </w:r>
    </w:p>
    <w:p>
      <w:pPr>
        <w:spacing w:after="0" w:line="123" w:lineRule="exact"/>
        <w:rPr>
          <w:sz w:val="20"/>
          <w:szCs w:val="20"/>
          <w:color w:val="auto"/>
        </w:rPr>
      </w:pPr>
    </w:p>
    <w:p>
      <w:pPr>
        <w:ind w:right="40"/>
        <w:spacing w:after="0" w:line="234" w:lineRule="auto"/>
        <w:rPr>
          <w:sz w:val="20"/>
          <w:szCs w:val="20"/>
          <w:color w:val="auto"/>
        </w:rPr>
      </w:pPr>
      <w:r>
        <w:rPr>
          <w:rFonts w:ascii="Arial" w:cs="Arial" w:eastAsia="Arial" w:hAnsi="Arial"/>
          <w:sz w:val="10"/>
          <w:szCs w:val="10"/>
          <w:color w:val="auto"/>
        </w:rPr>
        <w:t>In February 2021 Shell published its diversity aspirations as part of its strategic update. Gender and nationality diversity is increasing, and focus is broadening and deepening in other areas such as race and ethnicity, enablement and LGBT+. When looking at our progress against our</w:t>
      </w:r>
    </w:p>
    <w:p>
      <w:pPr>
        <w:sectPr>
          <w:pgSz w:w="11900" w:h="16838" w:orient="portrait"/>
          <w:cols w:equalWidth="0" w:num="2">
            <w:col w:w="5680" w:space="240"/>
            <w:col w:w="5260"/>
          </w:cols>
          <w:pgMar w:left="300" w:top="640" w:right="419" w:bottom="1440" w:gutter="0" w:footer="0" w:header="0"/>
        </w:sectPr>
      </w:pPr>
    </w:p>
    <w:bookmarkStart w:id="106" w:name="page107"/>
    <w:bookmarkEnd w:id="106"/>
    <w:p>
      <w:pPr>
        <w:ind w:right="460"/>
        <w:spacing w:after="0" w:line="294" w:lineRule="auto"/>
        <w:rPr>
          <w:sz w:val="20"/>
          <w:szCs w:val="20"/>
          <w:color w:val="auto"/>
        </w:rPr>
      </w:pPr>
      <w:r>
        <w:rPr>
          <w:rFonts w:ascii="Arial" w:cs="Arial" w:eastAsia="Arial" w:hAnsi="Arial"/>
          <w:sz w:val="8"/>
          <w:szCs w:val="8"/>
          <w:color w:val="auto"/>
        </w:rPr>
        <w:t>ambitions, female representation has steadily improved in recent years. Among experienced recruitment in 2020, Shell companies recruited 31% females, and among graduates 49%. Female representation in the top 1,400 roles (“Senior Leadership” positions) has strengthened by 1.4 percentage points during 2020 to 27.8%, and further improvement is actively pursued. Nationality diversity, such as Asian and American talent, continues to advance in a manner reflective of the business outlook and we have a strong focus on progressing race and ethnic minority representation. The representation of people of colour among Shell's senior leaders in the USA has been actively tracked for many years. It stood at 26.4% at the end 2020, compared with 17.3% in 2016. In in the UK, BAME representation among senior leaders was 10.6%, an advance from 7% in 2018.</w:t>
      </w:r>
    </w:p>
    <w:p>
      <w:pPr>
        <w:spacing w:after="0" w:line="129" w:lineRule="exact"/>
        <w:rPr>
          <w:sz w:val="20"/>
          <w:szCs w:val="20"/>
          <w:color w:val="auto"/>
        </w:rPr>
      </w:pPr>
    </w:p>
    <w:p>
      <w:pPr>
        <w:ind w:right="980"/>
        <w:spacing w:after="0" w:line="358" w:lineRule="auto"/>
        <w:rPr>
          <w:sz w:val="20"/>
          <w:szCs w:val="20"/>
          <w:color w:val="auto"/>
        </w:rPr>
      </w:pPr>
      <w:r>
        <w:rPr>
          <w:rFonts w:ascii="Arial" w:cs="Arial" w:eastAsia="Arial" w:hAnsi="Arial"/>
          <w:sz w:val="8"/>
          <w:szCs w:val="8"/>
          <w:color w:val="auto"/>
        </w:rPr>
        <w:t>Senior Leadership is a Shell measure and different from that which we are required to report under the Code, being female representation in Senior Management and their direct reports, where the percentage is 29.5%.</w:t>
      </w:r>
    </w:p>
    <w:p>
      <w:pPr>
        <w:spacing w:after="0" w:line="104" w:lineRule="exact"/>
        <w:rPr>
          <w:sz w:val="20"/>
          <w:szCs w:val="20"/>
          <w:color w:val="auto"/>
        </w:rPr>
      </w:pPr>
    </w:p>
    <w:p>
      <w:pPr>
        <w:ind w:right="460"/>
        <w:spacing w:after="0" w:line="293" w:lineRule="auto"/>
        <w:rPr>
          <w:sz w:val="20"/>
          <w:szCs w:val="20"/>
          <w:color w:val="auto"/>
        </w:rPr>
      </w:pPr>
      <w:r>
        <w:rPr>
          <w:rFonts w:ascii="Arial" w:cs="Arial" w:eastAsia="Arial" w:hAnsi="Arial"/>
          <w:sz w:val="8"/>
          <w:szCs w:val="8"/>
          <w:color w:val="auto"/>
        </w:rPr>
        <w:t>Although the Committee monitors Shell’s organisational diversity and inclusion strategies and initiatives, it also holds itself accountable for the Board’s own diversity and inclusion. By the end of 2020, the Board’s diverse composition clearly met both the Hampton Alexander and Parker Reviews’ objectives by reflecting 38.46% female representation with one person meeting BAME criteria. Gender representation was down slightly from May 2020 (when the Board’s composition included 42% female representation) as a result of the departure of three Non-executive Directors (one female, two males) and the appointment later in the year of four new Non-executive Directors (one female, three males). But following the 2021 AGM, subject to shareholder approval and for the first time in Shell’s history, the Board is expected to reach gender parity with 50% female representation (after the departure of two males and the expected appointment of one female).</w:t>
      </w:r>
    </w:p>
    <w:p>
      <w:pPr>
        <w:spacing w:after="0" w:line="240" w:lineRule="exact"/>
        <w:rPr>
          <w:sz w:val="20"/>
          <w:szCs w:val="20"/>
          <w:color w:val="auto"/>
        </w:rPr>
      </w:pPr>
    </w:p>
    <w:p>
      <w:pPr>
        <w:spacing w:after="0"/>
        <w:rPr>
          <w:sz w:val="20"/>
          <w:szCs w:val="20"/>
          <w:color w:val="auto"/>
        </w:rPr>
      </w:pPr>
      <w:r>
        <w:rPr>
          <w:rFonts w:ascii="Arial" w:cs="Arial" w:eastAsia="Arial" w:hAnsi="Arial"/>
          <w:sz w:val="10"/>
          <w:szCs w:val="10"/>
          <w:color w:val="auto"/>
        </w:rPr>
        <w:t>More information on diversity in Shell is provided in the Our people section on page 86.</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The People Strategy and culture and identity</w:t>
      </w:r>
    </w:p>
    <w:p>
      <w:pPr>
        <w:spacing w:after="0" w:line="3" w:lineRule="exact"/>
        <w:rPr>
          <w:sz w:val="20"/>
          <w:szCs w:val="20"/>
          <w:color w:val="auto"/>
        </w:rPr>
      </w:pPr>
    </w:p>
    <w:p>
      <w:pPr>
        <w:ind w:right="480"/>
        <w:spacing w:after="0" w:line="227" w:lineRule="auto"/>
        <w:rPr>
          <w:sz w:val="20"/>
          <w:szCs w:val="20"/>
          <w:color w:val="auto"/>
        </w:rPr>
      </w:pPr>
      <w:r>
        <w:rPr>
          <w:rFonts w:ascii="Arial" w:cs="Arial" w:eastAsia="Arial" w:hAnsi="Arial"/>
          <w:sz w:val="10"/>
          <w:szCs w:val="10"/>
          <w:color w:val="auto"/>
        </w:rPr>
        <w:t>In 2020, the Committee conducted an in-depth examination of the Royal Dutch Shell People Strategy, with a particular emphasis on our aspired culture and identity. Leaders are key to delivering the Company’s strategic ambitions and animating our aspired identity and culture. Given the critical importance of this issue for the Company’s transformation under our Powering Progress strategy, the Committee will conduct further engagements in 2021 to maintain proactive oversight over the issue of leadership and aspired identity and culture.</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Committee Activity</w:t>
      </w:r>
    </w:p>
    <w:p>
      <w:pPr>
        <w:spacing w:after="0" w:line="3" w:lineRule="exact"/>
        <w:rPr>
          <w:sz w:val="20"/>
          <w:szCs w:val="20"/>
          <w:color w:val="auto"/>
        </w:rPr>
      </w:pPr>
    </w:p>
    <w:p>
      <w:pPr>
        <w:ind w:right="660"/>
        <w:spacing w:after="0" w:line="300" w:lineRule="auto"/>
        <w:rPr>
          <w:sz w:val="20"/>
          <w:szCs w:val="20"/>
          <w:color w:val="auto"/>
        </w:rPr>
      </w:pPr>
      <w:r>
        <w:rPr>
          <w:rFonts w:ascii="Arial" w:cs="Arial" w:eastAsia="Arial" w:hAnsi="Arial"/>
          <w:sz w:val="8"/>
          <w:szCs w:val="8"/>
          <w:color w:val="auto"/>
        </w:rPr>
        <w:t>In addition to its considerations regarding succession, the Committee made recommendations on corporate governance guidelines, monitored compliance with corporate governance requirements and made recommendations on corporate governance-related disclosures. The Committee continues to monitor and review this area, considering whether and how current Company governance matters should be strengthened. Further insight on some of the Committee’s areas of consideration in 2020 is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2260" w:type="dxa"/>
            <w:vAlign w:val="bottom"/>
          </w:tcPr>
          <w:p>
            <w:pPr>
              <w:jc w:val="right"/>
              <w:spacing w:after="0"/>
              <w:rPr>
                <w:sz w:val="20"/>
                <w:szCs w:val="20"/>
                <w:color w:val="auto"/>
              </w:rPr>
            </w:pPr>
            <w:r>
              <w:rPr>
                <w:rFonts w:ascii="Arial" w:cs="Arial" w:eastAsia="Arial" w:hAnsi="Arial"/>
                <w:sz w:val="7"/>
                <w:szCs w:val="7"/>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1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b w:val="1"/>
                <w:bCs w:val="1"/>
                <w:color w:val="auto"/>
              </w:rPr>
              <w:t>Succession [A]</w:t>
            </w:r>
          </w:p>
        </w:tc>
        <w:tc>
          <w:tcPr>
            <w:tcW w:w="35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b w:val="1"/>
                <w:bCs w:val="1"/>
                <w:color w:val="auto"/>
              </w:rPr>
              <w:t>Topic of discussion/Example of Board activity</w:t>
            </w:r>
          </w:p>
        </w:tc>
        <w:tc>
          <w:tcPr>
            <w:tcW w:w="0" w:type="dxa"/>
            <w:vAlign w:val="bottom"/>
          </w:tcPr>
          <w:p>
            <w:pPr>
              <w:spacing w:after="0"/>
              <w:rPr>
                <w:sz w:val="1"/>
                <w:szCs w:val="1"/>
                <w:color w:val="auto"/>
              </w:rPr>
            </w:pPr>
          </w:p>
        </w:tc>
      </w:tr>
      <w:tr>
        <w:trPr>
          <w:trHeight w:val="80"/>
        </w:trPr>
        <w:tc>
          <w:tcPr>
            <w:tcW w:w="1680" w:type="dxa"/>
            <w:vAlign w:val="bottom"/>
          </w:tcPr>
          <w:p>
            <w:pPr>
              <w:ind w:left="20"/>
              <w:spacing w:after="0" w:line="81" w:lineRule="exact"/>
              <w:rPr>
                <w:sz w:val="20"/>
                <w:szCs w:val="20"/>
                <w:color w:val="auto"/>
              </w:rPr>
            </w:pPr>
            <w:r>
              <w:rPr>
                <w:rFonts w:ascii="Arial" w:cs="Arial" w:eastAsia="Arial" w:hAnsi="Arial"/>
                <w:sz w:val="8"/>
                <w:szCs w:val="8"/>
                <w:color w:val="auto"/>
              </w:rPr>
              <w:t>Recommendation</w:t>
            </w:r>
          </w:p>
        </w:tc>
        <w:tc>
          <w:tcPr>
            <w:tcW w:w="3560" w:type="dxa"/>
            <w:vAlign w:val="bottom"/>
          </w:tcPr>
          <w:p>
            <w:pPr>
              <w:ind w:left="40"/>
              <w:spacing w:after="0" w:line="81" w:lineRule="exact"/>
              <w:rPr>
                <w:sz w:val="20"/>
                <w:szCs w:val="20"/>
                <w:color w:val="auto"/>
              </w:rPr>
            </w:pPr>
            <w:r>
              <w:rPr>
                <w:rFonts w:ascii="Arial" w:cs="Arial" w:eastAsia="Arial" w:hAnsi="Arial"/>
                <w:sz w:val="8"/>
                <w:szCs w:val="8"/>
                <w:color w:val="auto"/>
              </w:rPr>
              <w:t>Appointment of Dick Boer, Martina Hund-Mejean, Sir Andrew Mackenzie and Abraham</w:t>
            </w: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3560" w:type="dxa"/>
            <w:vAlign w:val="bottom"/>
          </w:tcPr>
          <w:p>
            <w:pPr>
              <w:ind w:left="40"/>
              <w:spacing w:after="0"/>
              <w:rPr>
                <w:sz w:val="20"/>
                <w:szCs w:val="20"/>
                <w:color w:val="auto"/>
              </w:rPr>
            </w:pPr>
            <w:r>
              <w:rPr>
                <w:rFonts w:ascii="Arial" w:cs="Arial" w:eastAsia="Arial" w:hAnsi="Arial"/>
                <w:sz w:val="10"/>
                <w:szCs w:val="10"/>
                <w:color w:val="auto"/>
              </w:rPr>
              <w:t>(Bram) Schot to the Board.</w:t>
            </w:r>
          </w:p>
        </w:tc>
        <w:tc>
          <w:tcPr>
            <w:tcW w:w="0" w:type="dxa"/>
            <w:vAlign w:val="bottom"/>
          </w:tcPr>
          <w:p>
            <w:pPr>
              <w:spacing w:after="0"/>
              <w:rPr>
                <w:sz w:val="1"/>
                <w:szCs w:val="1"/>
                <w:color w:val="auto"/>
              </w:rPr>
            </w:pPr>
          </w:p>
        </w:tc>
      </w:tr>
      <w:tr>
        <w:trPr>
          <w:trHeight w:val="177"/>
        </w:trPr>
        <w:tc>
          <w:tcPr>
            <w:tcW w:w="1680" w:type="dxa"/>
            <w:vAlign w:val="bottom"/>
          </w:tcPr>
          <w:p>
            <w:pPr>
              <w:spacing w:after="0"/>
              <w:rPr>
                <w:sz w:val="15"/>
                <w:szCs w:val="15"/>
                <w:color w:val="auto"/>
              </w:rPr>
            </w:pPr>
          </w:p>
        </w:tc>
        <w:tc>
          <w:tcPr>
            <w:tcW w:w="3560" w:type="dxa"/>
            <w:vAlign w:val="bottom"/>
          </w:tcPr>
          <w:p>
            <w:pPr>
              <w:ind w:left="40"/>
              <w:spacing w:after="0"/>
              <w:rPr>
                <w:sz w:val="20"/>
                <w:szCs w:val="20"/>
                <w:color w:val="auto"/>
              </w:rPr>
            </w:pPr>
            <w:r>
              <w:rPr>
                <w:rFonts w:ascii="Arial" w:cs="Arial" w:eastAsia="Arial" w:hAnsi="Arial"/>
                <w:sz w:val="10"/>
                <w:szCs w:val="10"/>
                <w:color w:val="auto"/>
              </w:rPr>
              <w:t>Changes to the composition of the Board committees.</w:t>
            </w:r>
          </w:p>
        </w:tc>
        <w:tc>
          <w:tcPr>
            <w:tcW w:w="0" w:type="dxa"/>
            <w:vAlign w:val="bottom"/>
          </w:tcPr>
          <w:p>
            <w:pPr>
              <w:spacing w:after="0"/>
              <w:rPr>
                <w:sz w:val="1"/>
                <w:szCs w:val="1"/>
                <w:color w:val="auto"/>
              </w:rPr>
            </w:pPr>
          </w:p>
        </w:tc>
      </w:tr>
      <w:tr>
        <w:trPr>
          <w:trHeight w:val="126"/>
        </w:trPr>
        <w:tc>
          <w:tcPr>
            <w:tcW w:w="1680" w:type="dxa"/>
            <w:vAlign w:val="bottom"/>
          </w:tcPr>
          <w:p>
            <w:pPr>
              <w:ind w:left="20"/>
              <w:spacing w:after="0"/>
              <w:rPr>
                <w:sz w:val="20"/>
                <w:szCs w:val="20"/>
                <w:color w:val="auto"/>
              </w:rPr>
            </w:pPr>
            <w:r>
              <w:rPr>
                <w:rFonts w:ascii="Arial" w:cs="Arial" w:eastAsia="Arial" w:hAnsi="Arial"/>
                <w:sz w:val="10"/>
                <w:szCs w:val="10"/>
                <w:color w:val="auto"/>
              </w:rPr>
              <w:t>Review and oversight</w:t>
            </w:r>
          </w:p>
        </w:tc>
        <w:tc>
          <w:tcPr>
            <w:tcW w:w="3560" w:type="dxa"/>
            <w:vAlign w:val="bottom"/>
          </w:tcPr>
          <w:p>
            <w:pPr>
              <w:ind w:left="40"/>
              <w:spacing w:after="0"/>
              <w:rPr>
                <w:sz w:val="20"/>
                <w:szCs w:val="20"/>
                <w:color w:val="auto"/>
              </w:rPr>
            </w:pPr>
            <w:r>
              <w:rPr>
                <w:rFonts w:ascii="Arial" w:cs="Arial" w:eastAsia="Arial" w:hAnsi="Arial"/>
                <w:sz w:val="10"/>
                <w:szCs w:val="10"/>
                <w:color w:val="auto"/>
              </w:rPr>
              <w:t>Royal Dutch Shell Senior Succession and Resourcing Review.</w:t>
            </w:r>
          </w:p>
        </w:tc>
        <w:tc>
          <w:tcPr>
            <w:tcW w:w="0" w:type="dxa"/>
            <w:vAlign w:val="bottom"/>
          </w:tcPr>
          <w:p>
            <w:pPr>
              <w:spacing w:after="0"/>
              <w:rPr>
                <w:sz w:val="1"/>
                <w:szCs w:val="1"/>
                <w:color w:val="auto"/>
              </w:rPr>
            </w:pPr>
          </w:p>
        </w:tc>
      </w:tr>
      <w:tr>
        <w:trPr>
          <w:trHeight w:val="126"/>
        </w:trPr>
        <w:tc>
          <w:tcPr>
            <w:tcW w:w="1680" w:type="dxa"/>
            <w:vAlign w:val="bottom"/>
          </w:tcPr>
          <w:p>
            <w:pPr>
              <w:ind w:left="20"/>
              <w:spacing w:after="0"/>
              <w:rPr>
                <w:sz w:val="20"/>
                <w:szCs w:val="20"/>
                <w:color w:val="auto"/>
              </w:rPr>
            </w:pPr>
            <w:r>
              <w:rPr>
                <w:rFonts w:ascii="Arial" w:cs="Arial" w:eastAsia="Arial" w:hAnsi="Arial"/>
                <w:sz w:val="10"/>
                <w:szCs w:val="10"/>
                <w:color w:val="auto"/>
              </w:rPr>
              <w:t>Oversight</w:t>
            </w:r>
          </w:p>
        </w:tc>
        <w:tc>
          <w:tcPr>
            <w:tcW w:w="3560" w:type="dxa"/>
            <w:vAlign w:val="bottom"/>
          </w:tcPr>
          <w:p>
            <w:pPr>
              <w:ind w:left="40"/>
              <w:spacing w:after="0"/>
              <w:rPr>
                <w:sz w:val="20"/>
                <w:szCs w:val="20"/>
                <w:color w:val="auto"/>
              </w:rPr>
            </w:pPr>
            <w:r>
              <w:rPr>
                <w:rFonts w:ascii="Arial" w:cs="Arial" w:eastAsia="Arial" w:hAnsi="Arial"/>
                <w:sz w:val="10"/>
                <w:szCs w:val="10"/>
                <w:color w:val="auto"/>
              </w:rPr>
              <w:t>Royal Dutch Shell People Strategy including culture and identity.</w:t>
            </w:r>
          </w:p>
        </w:tc>
        <w:tc>
          <w:tcPr>
            <w:tcW w:w="0" w:type="dxa"/>
            <w:vAlign w:val="bottom"/>
          </w:tcPr>
          <w:p>
            <w:pPr>
              <w:spacing w:after="0"/>
              <w:rPr>
                <w:sz w:val="1"/>
                <w:szCs w:val="1"/>
                <w:color w:val="auto"/>
              </w:rPr>
            </w:pPr>
          </w:p>
        </w:tc>
      </w:tr>
      <w:tr>
        <w:trPr>
          <w:trHeight w:val="180"/>
        </w:trPr>
        <w:tc>
          <w:tcPr>
            <w:tcW w:w="1680" w:type="dxa"/>
            <w:vAlign w:val="bottom"/>
          </w:tcPr>
          <w:p>
            <w:pPr>
              <w:spacing w:after="0"/>
              <w:rPr>
                <w:sz w:val="15"/>
                <w:szCs w:val="15"/>
                <w:color w:val="auto"/>
              </w:rPr>
            </w:pPr>
          </w:p>
        </w:tc>
        <w:tc>
          <w:tcPr>
            <w:tcW w:w="3560" w:type="dxa"/>
            <w:vAlign w:val="bottom"/>
          </w:tcPr>
          <w:p>
            <w:pPr>
              <w:ind w:left="40"/>
              <w:spacing w:after="0"/>
              <w:rPr>
                <w:sz w:val="20"/>
                <w:szCs w:val="20"/>
                <w:color w:val="auto"/>
              </w:rPr>
            </w:pPr>
            <w:r>
              <w:rPr>
                <w:rFonts w:ascii="Arial" w:cs="Arial" w:eastAsia="Arial" w:hAnsi="Arial"/>
                <w:sz w:val="10"/>
                <w:szCs w:val="10"/>
                <w:color w:val="auto"/>
              </w:rPr>
              <w:t>End-to-end talent management in Royal Dutch Shell.</w:t>
            </w:r>
          </w:p>
        </w:tc>
        <w:tc>
          <w:tcPr>
            <w:tcW w:w="0" w:type="dxa"/>
            <w:vAlign w:val="bottom"/>
          </w:tcPr>
          <w:p>
            <w:pPr>
              <w:spacing w:after="0"/>
              <w:rPr>
                <w:sz w:val="1"/>
                <w:szCs w:val="1"/>
                <w:color w:val="auto"/>
              </w:rPr>
            </w:pPr>
          </w:p>
        </w:tc>
      </w:tr>
      <w:tr>
        <w:trPr>
          <w:trHeight w:val="130"/>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Engagement</w:t>
            </w:r>
          </w:p>
        </w:tc>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Talent engagements</w:t>
            </w:r>
          </w:p>
        </w:tc>
        <w:tc>
          <w:tcPr>
            <w:tcW w:w="0" w:type="dxa"/>
            <w:vAlign w:val="bottom"/>
          </w:tcPr>
          <w:p>
            <w:pPr>
              <w:spacing w:after="0"/>
              <w:rPr>
                <w:sz w:val="1"/>
                <w:szCs w:val="1"/>
                <w:color w:val="auto"/>
              </w:rPr>
            </w:pPr>
          </w:p>
        </w:tc>
      </w:tr>
      <w:tr>
        <w:trPr>
          <w:trHeight w:val="118"/>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Governance</w:t>
            </w:r>
          </w:p>
        </w:tc>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Topic of discussion/Example of Board activity</w:t>
            </w:r>
          </w:p>
        </w:tc>
        <w:tc>
          <w:tcPr>
            <w:tcW w:w="0" w:type="dxa"/>
            <w:vAlign w:val="bottom"/>
          </w:tcPr>
          <w:p>
            <w:pPr>
              <w:spacing w:after="0"/>
              <w:rPr>
                <w:sz w:val="1"/>
                <w:szCs w:val="1"/>
                <w:color w:val="auto"/>
              </w:rPr>
            </w:pPr>
          </w:p>
        </w:tc>
      </w:tr>
      <w:tr>
        <w:trPr>
          <w:trHeight w:val="112"/>
        </w:trPr>
        <w:tc>
          <w:tcPr>
            <w:tcW w:w="1680" w:type="dxa"/>
            <w:vAlign w:val="bottom"/>
          </w:tcPr>
          <w:p>
            <w:pPr>
              <w:ind w:left="20"/>
              <w:spacing w:after="0" w:line="112" w:lineRule="exact"/>
              <w:rPr>
                <w:sz w:val="20"/>
                <w:szCs w:val="20"/>
                <w:color w:val="auto"/>
              </w:rPr>
            </w:pPr>
            <w:r>
              <w:rPr>
                <w:rFonts w:ascii="Arial" w:cs="Arial" w:eastAsia="Arial" w:hAnsi="Arial"/>
                <w:sz w:val="10"/>
                <w:szCs w:val="10"/>
                <w:color w:val="auto"/>
                <w:w w:val="91"/>
              </w:rPr>
              <w:t>Governing the Board and its committees</w:t>
            </w:r>
          </w:p>
        </w:tc>
        <w:tc>
          <w:tcPr>
            <w:tcW w:w="3560" w:type="dxa"/>
            <w:vAlign w:val="bottom"/>
          </w:tcPr>
          <w:p>
            <w:pPr>
              <w:ind w:left="40"/>
              <w:spacing w:after="0" w:line="112" w:lineRule="exact"/>
              <w:rPr>
                <w:sz w:val="20"/>
                <w:szCs w:val="20"/>
                <w:color w:val="auto"/>
              </w:rPr>
            </w:pPr>
            <w:r>
              <w:rPr>
                <w:rFonts w:ascii="Arial" w:cs="Arial" w:eastAsia="Arial" w:hAnsi="Arial"/>
                <w:sz w:val="10"/>
                <w:szCs w:val="10"/>
                <w:color w:val="auto"/>
              </w:rPr>
              <w:t>Reviewed its Principles for the Strategic Composition of the Board.</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3560" w:type="dxa"/>
            <w:vAlign w:val="bottom"/>
          </w:tcPr>
          <w:p>
            <w:pPr>
              <w:ind w:left="40"/>
              <w:spacing w:after="0"/>
              <w:rPr>
                <w:sz w:val="20"/>
                <w:szCs w:val="20"/>
                <w:color w:val="auto"/>
              </w:rPr>
            </w:pPr>
            <w:r>
              <w:rPr>
                <w:rFonts w:ascii="Arial" w:cs="Arial" w:eastAsia="Arial" w:hAnsi="Arial"/>
                <w:sz w:val="10"/>
                <w:szCs w:val="10"/>
                <w:color w:val="auto"/>
                <w:w w:val="87"/>
              </w:rPr>
              <w:t>Reviewed its Terms of Reference, and the terms of Reference for other Board committees</w:t>
            </w: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3560" w:type="dxa"/>
            <w:vAlign w:val="bottom"/>
          </w:tcPr>
          <w:p>
            <w:pPr>
              <w:ind w:left="40"/>
              <w:spacing w:after="0"/>
              <w:rPr>
                <w:sz w:val="20"/>
                <w:szCs w:val="20"/>
                <w:color w:val="auto"/>
              </w:rPr>
            </w:pPr>
            <w:r>
              <w:rPr>
                <w:rFonts w:ascii="Arial" w:cs="Arial" w:eastAsia="Arial" w:hAnsi="Arial"/>
                <w:sz w:val="10"/>
                <w:szCs w:val="10"/>
                <w:color w:val="auto"/>
              </w:rPr>
              <w:t>and the matters reserved to the Board.</w:t>
            </w:r>
          </w:p>
        </w:tc>
        <w:tc>
          <w:tcPr>
            <w:tcW w:w="0" w:type="dxa"/>
            <w:vAlign w:val="bottom"/>
          </w:tcPr>
          <w:p>
            <w:pPr>
              <w:spacing w:after="0"/>
              <w:rPr>
                <w:sz w:val="1"/>
                <w:szCs w:val="1"/>
                <w:color w:val="auto"/>
              </w:rPr>
            </w:pPr>
          </w:p>
        </w:tc>
      </w:tr>
      <w:tr>
        <w:trPr>
          <w:trHeight w:val="104"/>
        </w:trPr>
        <w:tc>
          <w:tcPr>
            <w:tcW w:w="1680" w:type="dxa"/>
            <w:vAlign w:val="bottom"/>
          </w:tcPr>
          <w:p>
            <w:pPr>
              <w:ind w:left="20"/>
              <w:spacing w:after="0" w:line="104" w:lineRule="exact"/>
              <w:rPr>
                <w:sz w:val="20"/>
                <w:szCs w:val="20"/>
                <w:color w:val="auto"/>
              </w:rPr>
            </w:pPr>
            <w:r>
              <w:rPr>
                <w:rFonts w:ascii="Arial" w:cs="Arial" w:eastAsia="Arial" w:hAnsi="Arial"/>
                <w:sz w:val="10"/>
                <w:szCs w:val="10"/>
                <w:color w:val="auto"/>
              </w:rPr>
              <w:t>Regulation, legislation and other</w:t>
            </w:r>
          </w:p>
        </w:tc>
        <w:tc>
          <w:tcPr>
            <w:tcW w:w="3560" w:type="dxa"/>
            <w:vAlign w:val="bottom"/>
          </w:tcPr>
          <w:p>
            <w:pPr>
              <w:ind w:left="40"/>
              <w:spacing w:after="0" w:line="104" w:lineRule="exact"/>
              <w:rPr>
                <w:sz w:val="20"/>
                <w:szCs w:val="20"/>
                <w:color w:val="auto"/>
              </w:rPr>
            </w:pPr>
            <w:r>
              <w:rPr>
                <w:rFonts w:ascii="Arial" w:cs="Arial" w:eastAsia="Arial" w:hAnsi="Arial"/>
                <w:sz w:val="10"/>
                <w:szCs w:val="10"/>
                <w:color w:val="auto"/>
              </w:rPr>
              <w:t>Key governance matters affecting the Company’s external reporting.</w:t>
            </w:r>
          </w:p>
        </w:tc>
        <w:tc>
          <w:tcPr>
            <w:tcW w:w="0" w:type="dxa"/>
            <w:vAlign w:val="bottom"/>
          </w:tcPr>
          <w:p>
            <w:pPr>
              <w:spacing w:after="0"/>
              <w:rPr>
                <w:sz w:val="1"/>
                <w:szCs w:val="1"/>
                <w:color w:val="auto"/>
              </w:rPr>
            </w:pPr>
          </w:p>
        </w:tc>
      </w:tr>
      <w:tr>
        <w:trPr>
          <w:trHeight w:val="121"/>
        </w:trPr>
        <w:tc>
          <w:tcPr>
            <w:tcW w:w="1680" w:type="dxa"/>
            <w:vAlign w:val="bottom"/>
          </w:tcPr>
          <w:p>
            <w:pPr>
              <w:ind w:left="20"/>
              <w:spacing w:after="0"/>
              <w:rPr>
                <w:sz w:val="20"/>
                <w:szCs w:val="20"/>
                <w:color w:val="auto"/>
              </w:rPr>
            </w:pPr>
            <w:r>
              <w:rPr>
                <w:rFonts w:ascii="Arial" w:cs="Arial" w:eastAsia="Arial" w:hAnsi="Arial"/>
                <w:sz w:val="10"/>
                <w:szCs w:val="10"/>
                <w:color w:val="auto"/>
              </w:rPr>
              <w:t>governance-related guidance</w:t>
            </w: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80" w:type="dxa"/>
            <w:vAlign w:val="bottom"/>
          </w:tcPr>
          <w:p>
            <w:pPr>
              <w:spacing w:after="0"/>
              <w:rPr>
                <w:sz w:val="9"/>
                <w:szCs w:val="9"/>
                <w:color w:val="auto"/>
              </w:rPr>
            </w:pPr>
          </w:p>
        </w:tc>
        <w:tc>
          <w:tcPr>
            <w:tcW w:w="3560" w:type="dxa"/>
            <w:vAlign w:val="bottom"/>
          </w:tcPr>
          <w:p>
            <w:pPr>
              <w:ind w:left="40"/>
              <w:spacing w:after="0" w:line="109" w:lineRule="exact"/>
              <w:rPr>
                <w:sz w:val="20"/>
                <w:szCs w:val="20"/>
                <w:color w:val="auto"/>
              </w:rPr>
            </w:pPr>
            <w:r>
              <w:rPr>
                <w:rFonts w:ascii="Arial" w:cs="Arial" w:eastAsia="Arial" w:hAnsi="Arial"/>
                <w:sz w:val="10"/>
                <w:szCs w:val="10"/>
                <w:color w:val="auto"/>
                <w:w w:val="86"/>
              </w:rPr>
              <w:t>Other governance and regulatory changes agreed or proposed and their impact or potential</w:t>
            </w: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3560" w:type="dxa"/>
            <w:vAlign w:val="bottom"/>
          </w:tcPr>
          <w:p>
            <w:pPr>
              <w:ind w:left="40"/>
              <w:spacing w:after="0"/>
              <w:rPr>
                <w:sz w:val="20"/>
                <w:szCs w:val="20"/>
                <w:color w:val="auto"/>
              </w:rPr>
            </w:pPr>
            <w:r>
              <w:rPr>
                <w:rFonts w:ascii="Arial" w:cs="Arial" w:eastAsia="Arial" w:hAnsi="Arial"/>
                <w:sz w:val="10"/>
                <w:szCs w:val="10"/>
                <w:color w:val="auto"/>
              </w:rPr>
              <w:t>impact on the Company, its processes and its reporting.</w:t>
            </w:r>
          </w:p>
        </w:tc>
        <w:tc>
          <w:tcPr>
            <w:tcW w:w="0" w:type="dxa"/>
            <w:vAlign w:val="bottom"/>
          </w:tcPr>
          <w:p>
            <w:pPr>
              <w:spacing w:after="0"/>
              <w:rPr>
                <w:sz w:val="1"/>
                <w:szCs w:val="1"/>
                <w:color w:val="auto"/>
              </w:rPr>
            </w:pPr>
          </w:p>
        </w:tc>
      </w:tr>
      <w:tr>
        <w:trPr>
          <w:trHeight w:val="107"/>
        </w:trPr>
        <w:tc>
          <w:tcPr>
            <w:tcW w:w="1680" w:type="dxa"/>
            <w:vAlign w:val="bottom"/>
          </w:tcPr>
          <w:p>
            <w:pPr>
              <w:ind w:left="20"/>
              <w:spacing w:after="0" w:line="107" w:lineRule="exact"/>
              <w:rPr>
                <w:sz w:val="20"/>
                <w:szCs w:val="20"/>
                <w:color w:val="auto"/>
              </w:rPr>
            </w:pPr>
            <w:r>
              <w:rPr>
                <w:rFonts w:ascii="Arial" w:cs="Arial" w:eastAsia="Arial" w:hAnsi="Arial"/>
                <w:sz w:val="10"/>
                <w:szCs w:val="10"/>
                <w:color w:val="auto"/>
              </w:rPr>
              <w:t>RDS matters</w:t>
            </w:r>
          </w:p>
        </w:tc>
        <w:tc>
          <w:tcPr>
            <w:tcW w:w="3560" w:type="dxa"/>
            <w:vAlign w:val="bottom"/>
          </w:tcPr>
          <w:p>
            <w:pPr>
              <w:ind w:left="40"/>
              <w:spacing w:after="0" w:line="107" w:lineRule="exact"/>
              <w:rPr>
                <w:sz w:val="20"/>
                <w:szCs w:val="20"/>
                <w:color w:val="auto"/>
              </w:rPr>
            </w:pPr>
            <w:r>
              <w:rPr>
                <w:rFonts w:ascii="Arial" w:cs="Arial" w:eastAsia="Arial" w:hAnsi="Arial"/>
                <w:sz w:val="10"/>
                <w:szCs w:val="10"/>
                <w:color w:val="auto"/>
                <w:w w:val="89"/>
              </w:rPr>
              <w:t>Considered any potential conflicts of interest and the independence of the Non-executive</w:t>
            </w: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3560" w:type="dxa"/>
            <w:vAlign w:val="bottom"/>
          </w:tcPr>
          <w:p>
            <w:pPr>
              <w:ind w:left="40"/>
              <w:spacing w:after="0"/>
              <w:rPr>
                <w:sz w:val="20"/>
                <w:szCs w:val="20"/>
                <w:color w:val="auto"/>
              </w:rPr>
            </w:pPr>
            <w:r>
              <w:rPr>
                <w:rFonts w:ascii="Arial" w:cs="Arial" w:eastAsia="Arial" w:hAnsi="Arial"/>
                <w:sz w:val="10"/>
                <w:szCs w:val="10"/>
                <w:color w:val="auto"/>
              </w:rPr>
              <w:t>Directors.</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3560" w:type="dxa"/>
            <w:vAlign w:val="bottom"/>
          </w:tcPr>
          <w:p>
            <w:pPr>
              <w:ind w:left="40"/>
              <w:spacing w:after="0"/>
              <w:rPr>
                <w:sz w:val="20"/>
                <w:szCs w:val="20"/>
                <w:color w:val="auto"/>
              </w:rPr>
            </w:pPr>
            <w:r>
              <w:rPr>
                <w:rFonts w:ascii="Arial" w:cs="Arial" w:eastAsia="Arial" w:hAnsi="Arial"/>
                <w:sz w:val="10"/>
                <w:szCs w:val="10"/>
                <w:color w:val="auto"/>
                <w:w w:val="88"/>
              </w:rPr>
              <w:t>Review of additional external appointments requested by Directors, with specific focus on</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3560" w:type="dxa"/>
            <w:vAlign w:val="bottom"/>
          </w:tcPr>
          <w:p>
            <w:pPr>
              <w:ind w:left="40"/>
              <w:spacing w:after="0" w:line="90" w:lineRule="exact"/>
              <w:rPr>
                <w:sz w:val="20"/>
                <w:szCs w:val="20"/>
                <w:color w:val="auto"/>
              </w:rPr>
            </w:pPr>
            <w:r>
              <w:rPr>
                <w:rFonts w:ascii="Arial" w:cs="Arial" w:eastAsia="Arial" w:hAnsi="Arial"/>
                <w:sz w:val="10"/>
                <w:szCs w:val="10"/>
                <w:color w:val="auto"/>
                <w:w w:val="87"/>
              </w:rPr>
              <w:t>the time allocated to all commitments. For Executive Directors, the benefit/relevance to the</w:t>
            </w: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3560" w:type="dxa"/>
            <w:vAlign w:val="bottom"/>
          </w:tcPr>
          <w:p>
            <w:pPr>
              <w:ind w:left="40"/>
              <w:spacing w:after="0"/>
              <w:rPr>
                <w:sz w:val="20"/>
                <w:szCs w:val="20"/>
                <w:color w:val="auto"/>
              </w:rPr>
            </w:pPr>
            <w:r>
              <w:rPr>
                <w:rFonts w:ascii="Arial" w:cs="Arial" w:eastAsia="Arial" w:hAnsi="Arial"/>
                <w:sz w:val="10"/>
                <w:szCs w:val="10"/>
                <w:color w:val="auto"/>
                <w:w w:val="95"/>
              </w:rPr>
              <w:t>business of the Director undertaking the additional role is also a key consideration.</w:t>
            </w:r>
          </w:p>
        </w:tc>
        <w:tc>
          <w:tcPr>
            <w:tcW w:w="0" w:type="dxa"/>
            <w:vAlign w:val="bottom"/>
          </w:tcPr>
          <w:p>
            <w:pPr>
              <w:spacing w:after="0"/>
              <w:rPr>
                <w:sz w:val="1"/>
                <w:szCs w:val="1"/>
                <w:color w:val="auto"/>
              </w:rPr>
            </w:pPr>
          </w:p>
        </w:tc>
      </w:tr>
      <w:tr>
        <w:trPr>
          <w:trHeight w:val="177"/>
        </w:trPr>
        <w:tc>
          <w:tcPr>
            <w:tcW w:w="1680" w:type="dxa"/>
            <w:vAlign w:val="bottom"/>
          </w:tcPr>
          <w:p>
            <w:pPr>
              <w:spacing w:after="0"/>
              <w:rPr>
                <w:sz w:val="15"/>
                <w:szCs w:val="15"/>
                <w:color w:val="auto"/>
              </w:rPr>
            </w:pPr>
          </w:p>
        </w:tc>
        <w:tc>
          <w:tcPr>
            <w:tcW w:w="3560" w:type="dxa"/>
            <w:vAlign w:val="bottom"/>
          </w:tcPr>
          <w:p>
            <w:pPr>
              <w:ind w:left="40"/>
              <w:spacing w:after="0"/>
              <w:rPr>
                <w:sz w:val="20"/>
                <w:szCs w:val="20"/>
                <w:color w:val="auto"/>
              </w:rPr>
            </w:pPr>
            <w:r>
              <w:rPr>
                <w:rFonts w:ascii="Arial" w:cs="Arial" w:eastAsia="Arial" w:hAnsi="Arial"/>
                <w:sz w:val="10"/>
                <w:szCs w:val="10"/>
                <w:color w:val="auto"/>
              </w:rPr>
              <w:t>Determined the process for the 2020 internal Board Evaluation.</w:t>
            </w:r>
          </w:p>
        </w:tc>
        <w:tc>
          <w:tcPr>
            <w:tcW w:w="0" w:type="dxa"/>
            <w:vAlign w:val="bottom"/>
          </w:tcPr>
          <w:p>
            <w:pPr>
              <w:spacing w:after="0"/>
              <w:rPr>
                <w:sz w:val="1"/>
                <w:szCs w:val="1"/>
                <w:color w:val="auto"/>
              </w:rPr>
            </w:pPr>
          </w:p>
        </w:tc>
      </w:tr>
      <w:tr>
        <w:trPr>
          <w:trHeight w:val="98"/>
        </w:trPr>
        <w:tc>
          <w:tcPr>
            <w:tcW w:w="168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680" w:type="dxa"/>
            <w:vAlign w:val="bottom"/>
          </w:tcPr>
          <w:p>
            <w:pPr>
              <w:ind w:left="20"/>
              <w:spacing w:after="0"/>
              <w:rPr>
                <w:sz w:val="20"/>
                <w:szCs w:val="20"/>
                <w:color w:val="auto"/>
              </w:rPr>
            </w:pPr>
            <w:r>
              <w:rPr>
                <w:rFonts w:ascii="Arial" w:cs="Arial" w:eastAsia="Arial" w:hAnsi="Arial"/>
                <w:sz w:val="8"/>
                <w:szCs w:val="8"/>
                <w:b w:val="1"/>
                <w:bCs w:val="1"/>
                <w:color w:val="auto"/>
                <w:w w:val="98"/>
              </w:rPr>
              <w:t>Board membership and other appointments</w:t>
            </w:r>
          </w:p>
        </w:tc>
        <w:tc>
          <w:tcPr>
            <w:tcW w:w="3560" w:type="dxa"/>
            <w:vAlign w:val="bottom"/>
          </w:tcPr>
          <w:p>
            <w:pPr>
              <w:ind w:left="40"/>
              <w:spacing w:after="0"/>
              <w:rPr>
                <w:sz w:val="20"/>
                <w:szCs w:val="20"/>
                <w:color w:val="auto"/>
              </w:rPr>
            </w:pPr>
            <w:r>
              <w:rPr>
                <w:rFonts w:ascii="Arial" w:cs="Arial" w:eastAsia="Arial" w:hAnsi="Arial"/>
                <w:sz w:val="8"/>
                <w:szCs w:val="8"/>
                <w:b w:val="1"/>
                <w:bCs w:val="1"/>
                <w:color w:val="auto"/>
              </w:rPr>
              <w:t>Topic of discussion/Example of Board activity</w:t>
            </w:r>
          </w:p>
        </w:tc>
        <w:tc>
          <w:tcPr>
            <w:tcW w:w="0" w:type="dxa"/>
            <w:vAlign w:val="bottom"/>
          </w:tcPr>
          <w:p>
            <w:pPr>
              <w:spacing w:after="0"/>
              <w:rPr>
                <w:sz w:val="1"/>
                <w:szCs w:val="1"/>
                <w:color w:val="auto"/>
              </w:rPr>
            </w:pP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
        </w:trPr>
        <w:tc>
          <w:tcPr>
            <w:tcW w:w="1680" w:type="dxa"/>
            <w:vAlign w:val="bottom"/>
          </w:tcPr>
          <w:p>
            <w:pPr>
              <w:ind w:left="20"/>
              <w:spacing w:after="0" w:line="79" w:lineRule="exact"/>
              <w:rPr>
                <w:sz w:val="20"/>
                <w:szCs w:val="20"/>
                <w:color w:val="auto"/>
              </w:rPr>
            </w:pPr>
            <w:r>
              <w:rPr>
                <w:rFonts w:ascii="Arial" w:cs="Arial" w:eastAsia="Arial" w:hAnsi="Arial"/>
                <w:sz w:val="8"/>
                <w:szCs w:val="8"/>
                <w:color w:val="auto"/>
              </w:rPr>
              <w:t>Directors’ tenure, external commitments,</w:t>
            </w:r>
          </w:p>
        </w:tc>
        <w:tc>
          <w:tcPr>
            <w:tcW w:w="3560" w:type="dxa"/>
            <w:vAlign w:val="bottom"/>
          </w:tcPr>
          <w:p>
            <w:pPr>
              <w:ind w:left="40"/>
              <w:spacing w:after="0" w:line="79" w:lineRule="exact"/>
              <w:rPr>
                <w:sz w:val="20"/>
                <w:szCs w:val="20"/>
                <w:color w:val="auto"/>
              </w:rPr>
            </w:pPr>
            <w:r>
              <w:rPr>
                <w:rFonts w:ascii="Arial" w:cs="Arial" w:eastAsia="Arial" w:hAnsi="Arial"/>
                <w:sz w:val="8"/>
                <w:szCs w:val="8"/>
                <w:color w:val="auto"/>
              </w:rPr>
              <w:t>Non-executive Director appointments and changes to Committee membership.</w:t>
            </w:r>
          </w:p>
        </w:tc>
        <w:tc>
          <w:tcPr>
            <w:tcW w:w="0" w:type="dxa"/>
            <w:vAlign w:val="bottom"/>
          </w:tcPr>
          <w:p>
            <w:pPr>
              <w:spacing w:after="0"/>
              <w:rPr>
                <w:sz w:val="1"/>
                <w:szCs w:val="1"/>
                <w:color w:val="auto"/>
              </w:rPr>
            </w:pPr>
          </w:p>
        </w:tc>
      </w:tr>
      <w:tr>
        <w:trPr>
          <w:trHeight w:val="106"/>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conflicts of interests and succession planning</w:t>
            </w:r>
          </w:p>
        </w:tc>
        <w:tc>
          <w:tcPr>
            <w:tcW w:w="3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tcPr>
          <w:p>
            <w:pPr>
              <w:ind w:left="20"/>
              <w:spacing w:after="0"/>
              <w:rPr>
                <w:sz w:val="20"/>
                <w:szCs w:val="20"/>
                <w:color w:val="auto"/>
              </w:rPr>
            </w:pPr>
            <w:r>
              <w:rPr>
                <w:rFonts w:ascii="Arial" w:cs="Arial" w:eastAsia="Arial" w:hAnsi="Arial"/>
                <w:sz w:val="8"/>
                <w:szCs w:val="8"/>
                <w:b w:val="1"/>
                <w:bCs w:val="1"/>
                <w:color w:val="auto"/>
                <w:w w:val="93"/>
              </w:rPr>
              <w:t>Talent overview and senior succession review</w:t>
            </w:r>
          </w:p>
        </w:tc>
        <w:tc>
          <w:tcPr>
            <w:tcW w:w="3560" w:type="dxa"/>
            <w:vAlign w:val="bottom"/>
          </w:tcPr>
          <w:p>
            <w:pPr>
              <w:ind w:left="40"/>
              <w:spacing w:after="0"/>
              <w:rPr>
                <w:sz w:val="20"/>
                <w:szCs w:val="20"/>
                <w:color w:val="auto"/>
              </w:rPr>
            </w:pPr>
            <w:r>
              <w:rPr>
                <w:rFonts w:ascii="Arial" w:cs="Arial" w:eastAsia="Arial" w:hAnsi="Arial"/>
                <w:sz w:val="8"/>
                <w:szCs w:val="8"/>
                <w:b w:val="1"/>
                <w:bCs w:val="1"/>
                <w:color w:val="auto"/>
              </w:rPr>
              <w:t>Topic of discussion/Example of Board activity</w:t>
            </w:r>
          </w:p>
        </w:tc>
        <w:tc>
          <w:tcPr>
            <w:tcW w:w="0" w:type="dxa"/>
            <w:vAlign w:val="bottom"/>
          </w:tcPr>
          <w:p>
            <w:pPr>
              <w:spacing w:after="0"/>
              <w:rPr>
                <w:sz w:val="1"/>
                <w:szCs w:val="1"/>
                <w:color w:val="auto"/>
              </w:rPr>
            </w:pP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
        </w:trPr>
        <w:tc>
          <w:tcPr>
            <w:tcW w:w="1680" w:type="dxa"/>
            <w:vAlign w:val="bottom"/>
          </w:tcPr>
          <w:p>
            <w:pPr>
              <w:ind w:left="20"/>
              <w:spacing w:after="0" w:line="79" w:lineRule="exact"/>
              <w:rPr>
                <w:sz w:val="20"/>
                <w:szCs w:val="20"/>
                <w:color w:val="auto"/>
              </w:rPr>
            </w:pPr>
            <w:r>
              <w:rPr>
                <w:rFonts w:ascii="Arial" w:cs="Arial" w:eastAsia="Arial" w:hAnsi="Arial"/>
                <w:sz w:val="8"/>
                <w:szCs w:val="8"/>
                <w:color w:val="auto"/>
                <w:w w:val="95"/>
              </w:rPr>
              <w:t>RDS Senior Succession and Resourcing Review</w:t>
            </w:r>
          </w:p>
        </w:tc>
        <w:tc>
          <w:tcPr>
            <w:tcW w:w="3560" w:type="dxa"/>
            <w:vAlign w:val="bottom"/>
          </w:tcPr>
          <w:p>
            <w:pPr>
              <w:ind w:left="40"/>
              <w:spacing w:after="0" w:line="79" w:lineRule="exact"/>
              <w:rPr>
                <w:sz w:val="20"/>
                <w:szCs w:val="20"/>
                <w:color w:val="auto"/>
              </w:rPr>
            </w:pPr>
            <w:r>
              <w:rPr>
                <w:rFonts w:ascii="Arial" w:cs="Arial" w:eastAsia="Arial" w:hAnsi="Arial"/>
                <w:sz w:val="8"/>
                <w:szCs w:val="8"/>
                <w:color w:val="auto"/>
              </w:rPr>
              <w:t>Enhanced insight of Shell talent and future leaders.</w:t>
            </w:r>
          </w:p>
        </w:tc>
        <w:tc>
          <w:tcPr>
            <w:tcW w:w="0" w:type="dxa"/>
            <w:vAlign w:val="bottom"/>
          </w:tcPr>
          <w:p>
            <w:pPr>
              <w:spacing w:after="0"/>
              <w:rPr>
                <w:sz w:val="1"/>
                <w:szCs w:val="1"/>
                <w:color w:val="auto"/>
              </w:rPr>
            </w:pPr>
          </w:p>
        </w:tc>
      </w:tr>
      <w:tr>
        <w:trPr>
          <w:trHeight w:val="72"/>
        </w:trPr>
        <w:tc>
          <w:tcPr>
            <w:tcW w:w="1680" w:type="dxa"/>
            <w:vAlign w:val="bottom"/>
          </w:tcPr>
          <w:p>
            <w:pPr>
              <w:ind w:left="20"/>
              <w:spacing w:after="0" w:line="73" w:lineRule="exact"/>
              <w:rPr>
                <w:sz w:val="20"/>
                <w:szCs w:val="20"/>
                <w:color w:val="auto"/>
              </w:rPr>
            </w:pPr>
            <w:r>
              <w:rPr>
                <w:rFonts w:ascii="Arial" w:cs="Arial" w:eastAsia="Arial" w:hAnsi="Arial"/>
                <w:sz w:val="8"/>
                <w:szCs w:val="8"/>
                <w:color w:val="auto"/>
              </w:rPr>
              <w:t>covering Executive Director and Executive</w:t>
            </w: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680" w:type="dxa"/>
            <w:vAlign w:val="bottom"/>
          </w:tcPr>
          <w:p>
            <w:pPr>
              <w:ind w:left="20"/>
              <w:spacing w:after="0" w:line="81" w:lineRule="exact"/>
              <w:rPr>
                <w:sz w:val="20"/>
                <w:szCs w:val="20"/>
                <w:color w:val="auto"/>
              </w:rPr>
            </w:pPr>
            <w:r>
              <w:rPr>
                <w:rFonts w:ascii="Arial" w:cs="Arial" w:eastAsia="Arial" w:hAnsi="Arial"/>
                <w:sz w:val="8"/>
                <w:szCs w:val="8"/>
                <w:color w:val="auto"/>
                <w:w w:val="98"/>
              </w:rPr>
              <w:t>Committee (EC) succession, EC direct reports,</w:t>
            </w:r>
          </w:p>
        </w:tc>
        <w:tc>
          <w:tcPr>
            <w:tcW w:w="3560" w:type="dxa"/>
            <w:vAlign w:val="bottom"/>
            <w:vMerge w:val="restart"/>
          </w:tcPr>
          <w:p>
            <w:pPr>
              <w:ind w:left="40"/>
              <w:spacing w:after="0"/>
              <w:rPr>
                <w:sz w:val="20"/>
                <w:szCs w:val="20"/>
                <w:color w:val="auto"/>
              </w:rPr>
            </w:pPr>
            <w:r>
              <w:rPr>
                <w:rFonts w:ascii="Arial" w:cs="Arial" w:eastAsia="Arial" w:hAnsi="Arial"/>
                <w:sz w:val="8"/>
                <w:szCs w:val="8"/>
                <w:color w:val="auto"/>
              </w:rPr>
              <w:t>Assurance of robust succession and contingency plans.</w:t>
            </w:r>
          </w:p>
        </w:tc>
        <w:tc>
          <w:tcPr>
            <w:tcW w:w="0" w:type="dxa"/>
            <w:vAlign w:val="bottom"/>
          </w:tcPr>
          <w:p>
            <w:pPr>
              <w:spacing w:after="0"/>
              <w:rPr>
                <w:sz w:val="1"/>
                <w:szCs w:val="1"/>
                <w:color w:val="auto"/>
              </w:rPr>
            </w:pPr>
          </w:p>
        </w:tc>
      </w:tr>
      <w:tr>
        <w:trPr>
          <w:trHeight w:val="81"/>
        </w:trPr>
        <w:tc>
          <w:tcPr>
            <w:tcW w:w="1680" w:type="dxa"/>
            <w:vAlign w:val="bottom"/>
          </w:tcPr>
          <w:p>
            <w:pPr>
              <w:ind w:left="20"/>
              <w:spacing w:after="0" w:line="81" w:lineRule="exact"/>
              <w:rPr>
                <w:sz w:val="20"/>
                <w:szCs w:val="20"/>
                <w:color w:val="auto"/>
              </w:rPr>
            </w:pPr>
            <w:r>
              <w:rPr>
                <w:rFonts w:ascii="Arial" w:cs="Arial" w:eastAsia="Arial" w:hAnsi="Arial"/>
                <w:sz w:val="8"/>
                <w:szCs w:val="8"/>
                <w:color w:val="auto"/>
                <w:w w:val="96"/>
              </w:rPr>
              <w:t>the senior executive group and the overall talent</w:t>
            </w:r>
          </w:p>
        </w:tc>
        <w:tc>
          <w:tcPr>
            <w:tcW w:w="3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pipeline</w:t>
            </w:r>
          </w:p>
        </w:tc>
        <w:tc>
          <w:tcPr>
            <w:tcW w:w="3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right="40" w:firstLine="7"/>
        <w:spacing w:after="0" w:line="381" w:lineRule="auto"/>
        <w:tabs>
          <w:tab w:leader="none" w:pos="118" w:val="left"/>
        </w:tabs>
        <w:numPr>
          <w:ilvl w:val="0"/>
          <w:numId w:val="96"/>
        </w:numPr>
        <w:rPr>
          <w:rFonts w:ascii="Arial" w:cs="Arial" w:eastAsia="Arial" w:hAnsi="Arial"/>
          <w:sz w:val="6"/>
          <w:szCs w:val="6"/>
          <w:color w:val="auto"/>
        </w:rPr>
      </w:pPr>
      <w:r>
        <w:rPr>
          <w:rFonts w:ascii="Arial" w:cs="Arial" w:eastAsia="Arial" w:hAnsi="Arial"/>
          <w:sz w:val="6"/>
          <w:szCs w:val="6"/>
          <w:color w:val="auto"/>
        </w:rPr>
        <w:t>The Committee was assisted during the year by Russell Reynolds Associates (“Russell Reynolds”), an external global search company whose main role was to propose suitable candidates. Russell Reynolds does not have any connection with the Company other than that of search consultants. The Chair does not participate in discussions regarding his own succession. Russell Reynolds is a signatory to The Voluntary Code of Conduct for Executive Search Firms, which aims to improve board diversity.</w:t>
      </w:r>
    </w:p>
    <w:p>
      <w:pPr>
        <w:sectPr>
          <w:pgSz w:w="11900" w:h="16838" w:orient="portrait"/>
          <w:cols w:equalWidth="0" w:num="2">
            <w:col w:w="5680" w:space="240"/>
            <w:col w:w="5240"/>
          </w:cols>
          <w:pgMar w:left="300" w:top="640" w:right="439" w:bottom="1440" w:gutter="0" w:footer="0" w:header="0"/>
        </w:sectPr>
      </w:pPr>
    </w:p>
    <w:bookmarkStart w:id="107" w:name="page108"/>
    <w:bookmarkEnd w:id="107"/>
    <w:p>
      <w:pPr>
        <w:spacing w:after="0"/>
        <w:rPr>
          <w:sz w:val="20"/>
          <w:szCs w:val="20"/>
          <w:color w:val="auto"/>
        </w:rPr>
      </w:pPr>
      <w:r>
        <w:rPr>
          <w:rFonts w:ascii="Arial" w:cs="Arial" w:eastAsia="Arial" w:hAnsi="Arial"/>
          <w:sz w:val="10"/>
          <w:szCs w:val="10"/>
          <w:b w:val="1"/>
          <w:bCs w:val="1"/>
          <w:color w:val="auto"/>
        </w:rPr>
        <w:t>CHAIR SUCCESSION</w:t>
      </w:r>
    </w:p>
    <w:p>
      <w:pPr>
        <w:spacing w:after="0" w:line="206" w:lineRule="auto"/>
        <w:rPr>
          <w:sz w:val="20"/>
          <w:szCs w:val="20"/>
          <w:color w:val="auto"/>
        </w:rPr>
      </w:pPr>
      <w:r>
        <w:rPr>
          <w:rFonts w:ascii="Arial" w:cs="Arial" w:eastAsia="Arial" w:hAnsi="Arial"/>
          <w:sz w:val="10"/>
          <w:szCs w:val="10"/>
          <w:b w:val="1"/>
          <w:bCs w:val="1"/>
          <w:i w:val="1"/>
          <w:iCs w:val="1"/>
          <w:color w:val="auto"/>
        </w:rPr>
        <w:t>Message from Euleen Goh</w:t>
      </w:r>
    </w:p>
    <w:p>
      <w:pPr>
        <w:ind w:right="540"/>
        <w:spacing w:after="0" w:line="212" w:lineRule="auto"/>
        <w:rPr>
          <w:sz w:val="20"/>
          <w:szCs w:val="20"/>
          <w:color w:val="auto"/>
        </w:rPr>
      </w:pPr>
      <w:r>
        <w:rPr>
          <w:rFonts w:ascii="Arial" w:cs="Arial" w:eastAsia="Arial" w:hAnsi="Arial"/>
          <w:sz w:val="10"/>
          <w:szCs w:val="10"/>
          <w:color w:val="auto"/>
        </w:rPr>
        <w:t>In early 2018, the process of selecting the next Chair of the Board of Royal Dutch Shell plc began in response to the proposed limit on Chair tenure, outlined in the then draft version of the Code. The Nomination and Succession Committee (NOMCo) created a subcommittee, drew up a potential succession timeline, and initiated an internal and external search process. Hans Wijers, the Senior Independent Director at the time, led the subcommittee and the search process. Chad Holliday, the current Chair, was not a member of the subcommittee.</w:t>
      </w:r>
    </w:p>
    <w:p>
      <w:pPr>
        <w:spacing w:after="0" w:line="141" w:lineRule="exact"/>
        <w:rPr>
          <w:sz w:val="20"/>
          <w:szCs w:val="20"/>
          <w:color w:val="auto"/>
        </w:rPr>
      </w:pPr>
    </w:p>
    <w:p>
      <w:pPr>
        <w:jc w:val="both"/>
        <w:ind w:right="440"/>
        <w:spacing w:after="0" w:line="320" w:lineRule="auto"/>
        <w:rPr>
          <w:sz w:val="20"/>
          <w:szCs w:val="20"/>
          <w:color w:val="auto"/>
        </w:rPr>
      </w:pPr>
      <w:r>
        <w:rPr>
          <w:rFonts w:ascii="Arial" w:cs="Arial" w:eastAsia="Arial" w:hAnsi="Arial"/>
          <w:sz w:val="8"/>
          <w:szCs w:val="8"/>
          <w:color w:val="auto"/>
        </w:rPr>
        <w:t>My predecessor Gerard Kleisterlee took over from Hans in May 2018 and refined the selection criteria and succession timeline. The subcommittee agreed what qualities the successful candidate should have, and determined the functional focus elements of the new Chair’s role. Accordingly, the subcommittee considered and interviewed multiple candidates.</w:t>
      </w:r>
    </w:p>
    <w:p>
      <w:pPr>
        <w:spacing w:after="0" w:line="118" w:lineRule="exact"/>
        <w:rPr>
          <w:sz w:val="20"/>
          <w:szCs w:val="20"/>
          <w:color w:val="auto"/>
        </w:rPr>
      </w:pPr>
    </w:p>
    <w:p>
      <w:pPr>
        <w:ind w:right="480"/>
        <w:spacing w:after="0" w:line="214" w:lineRule="auto"/>
        <w:rPr>
          <w:sz w:val="20"/>
          <w:szCs w:val="20"/>
          <w:color w:val="auto"/>
        </w:rPr>
      </w:pPr>
      <w:r>
        <w:rPr>
          <w:rFonts w:ascii="Arial" w:cs="Arial" w:eastAsia="Arial" w:hAnsi="Arial"/>
          <w:sz w:val="10"/>
          <w:szCs w:val="10"/>
          <w:color w:val="auto"/>
        </w:rPr>
        <w:t>After Gerard retired from the Board at the 2020 AGM, I assumed leadership of the subcommittee and we further reviewed the required qualities and functional focus elements of the role in the context of the current environment. The subcommittee also examined the main trends and factors affecting the long-term success and future viability of Shell, and the organisation’s strategic priorities, consulting on these with the wider Board. One-on-one discussions were held with each Board member. The review and the discussions helped us to refine our search process with a clear and updated understanding of the qualities, skills and attributes that the future Chair should possess.</w:t>
      </w:r>
    </w:p>
    <w:p>
      <w:pPr>
        <w:spacing w:after="0" w:line="141" w:lineRule="exact"/>
        <w:rPr>
          <w:sz w:val="20"/>
          <w:szCs w:val="20"/>
          <w:color w:val="auto"/>
        </w:rPr>
      </w:pPr>
    </w:p>
    <w:p>
      <w:pPr>
        <w:ind w:right="440"/>
        <w:spacing w:after="0" w:line="222" w:lineRule="auto"/>
        <w:rPr>
          <w:sz w:val="20"/>
          <w:szCs w:val="20"/>
          <w:color w:val="auto"/>
        </w:rPr>
      </w:pPr>
      <w:r>
        <w:rPr>
          <w:rFonts w:ascii="Arial" w:cs="Arial" w:eastAsia="Arial" w:hAnsi="Arial"/>
          <w:sz w:val="10"/>
          <w:szCs w:val="10"/>
          <w:color w:val="auto"/>
        </w:rPr>
        <w:t>We engaged with some of our larger investors, as appropriate, seeking input on the skills, attributes and sector knowledge that they considered important for the Chair candidate profile. These discussions were very valuable. They helped inform our search and selection of the most appropriate individual for the role.</w:t>
      </w:r>
    </w:p>
    <w:p>
      <w:pPr>
        <w:spacing w:after="0" w:line="140" w:lineRule="exact"/>
        <w:rPr>
          <w:sz w:val="20"/>
          <w:szCs w:val="20"/>
          <w:color w:val="auto"/>
        </w:rPr>
      </w:pPr>
    </w:p>
    <w:p>
      <w:pPr>
        <w:ind w:right="460"/>
        <w:spacing w:after="0" w:line="222" w:lineRule="auto"/>
        <w:rPr>
          <w:sz w:val="20"/>
          <w:szCs w:val="20"/>
          <w:color w:val="auto"/>
        </w:rPr>
      </w:pPr>
      <w:r>
        <w:rPr>
          <w:rFonts w:ascii="Arial" w:cs="Arial" w:eastAsia="Arial" w:hAnsi="Arial"/>
          <w:sz w:val="10"/>
          <w:szCs w:val="10"/>
          <w:color w:val="auto"/>
        </w:rPr>
        <w:t>After this thorough and robust search process, the Board agreed unanimously at its March 2021 meeting that Sir Andrew Mackenzie should be appointed Chair of the Board with effect from the conclusion of Shell’s 2021 Annual General Meeting, scheduled for May 18, 2021.</w:t>
      </w:r>
    </w:p>
    <w:p>
      <w:pPr>
        <w:spacing w:after="0" w:line="140" w:lineRule="exact"/>
        <w:rPr>
          <w:sz w:val="20"/>
          <w:szCs w:val="20"/>
          <w:color w:val="auto"/>
        </w:rPr>
      </w:pPr>
    </w:p>
    <w:p>
      <w:pPr>
        <w:ind w:right="440"/>
        <w:spacing w:after="0" w:line="285" w:lineRule="auto"/>
        <w:rPr>
          <w:sz w:val="20"/>
          <w:szCs w:val="20"/>
          <w:color w:val="auto"/>
        </w:rPr>
      </w:pPr>
      <w:r>
        <w:rPr>
          <w:rFonts w:ascii="Arial" w:cs="Arial" w:eastAsia="Arial" w:hAnsi="Arial"/>
          <w:sz w:val="8"/>
          <w:szCs w:val="8"/>
          <w:color w:val="auto"/>
        </w:rPr>
        <w:t>When reviewing candidates, our preferred qualities and functional focus elements included a strong requirement for a candidate who has experience in leading large, complex, international organisations. The candidate would have had significant experience in capital discipline. He/she should have an ability to balance the transformational changes that Shell needs to make against the timing of these changes as it navigates the energy transition. The successful candidate should have demonstrated sustainable actions with respect to the climate change agenda. An understanding of the energy market was essential, without it being necessary for the candidate to have spent their entire career working in the oil and gas sector.</w:t>
      </w:r>
    </w:p>
    <w:p>
      <w:pPr>
        <w:spacing w:after="0" w:line="1" w:lineRule="exact"/>
        <w:rPr>
          <w:sz w:val="20"/>
          <w:szCs w:val="20"/>
          <w:color w:val="auto"/>
        </w:rPr>
      </w:pPr>
    </w:p>
    <w:p>
      <w:pPr>
        <w:ind w:right="540"/>
        <w:spacing w:after="0" w:line="281" w:lineRule="auto"/>
        <w:rPr>
          <w:sz w:val="20"/>
          <w:szCs w:val="20"/>
          <w:color w:val="auto"/>
        </w:rPr>
      </w:pPr>
      <w:r>
        <w:rPr>
          <w:rFonts w:ascii="Arial" w:cs="Arial" w:eastAsia="Arial" w:hAnsi="Arial"/>
          <w:sz w:val="8"/>
          <w:szCs w:val="8"/>
          <w:color w:val="auto"/>
        </w:rPr>
        <w:t>In Andrew we believe that we have found the required qualities and more. Andrew is a lifelong learner with a collaborative, agile mindset and he is a champion of good governance. His strategic vision has helped operations and companies under his leadership to transform. His leadership performance in the areas of environmental, social and governance (ESG) and climate action are outstanding. He was recently knighted by the Queen of the United Kingdom for his services to business, science and technology. Andrew firmly believes that business can be a force for good, for shareholders and society alike.</w:t>
      </w:r>
    </w:p>
    <w:p>
      <w:pPr>
        <w:spacing w:after="0" w:line="1" w:lineRule="exact"/>
        <w:rPr>
          <w:sz w:val="20"/>
          <w:szCs w:val="20"/>
          <w:color w:val="auto"/>
        </w:rPr>
      </w:pPr>
    </w:p>
    <w:p>
      <w:pPr>
        <w:ind w:right="500"/>
        <w:spacing w:after="0" w:line="281" w:lineRule="auto"/>
        <w:rPr>
          <w:sz w:val="20"/>
          <w:szCs w:val="20"/>
          <w:color w:val="auto"/>
        </w:rPr>
      </w:pPr>
      <w:r>
        <w:rPr>
          <w:rFonts w:ascii="Arial" w:cs="Arial" w:eastAsia="Arial" w:hAnsi="Arial"/>
          <w:sz w:val="8"/>
          <w:szCs w:val="8"/>
          <w:color w:val="auto"/>
        </w:rPr>
        <w:t>Andrew joined the Board in October 2020 and has dedicated significant time to familiarising himself with the business, the people, and the Powering Progress strategy which he and the Board fully support and are committed to delivering together with management.</w:t>
      </w:r>
    </w:p>
    <w:p>
      <w:pPr>
        <w:spacing w:after="0" w:line="1" w:lineRule="exact"/>
        <w:rPr>
          <w:sz w:val="20"/>
          <w:szCs w:val="20"/>
          <w:color w:val="auto"/>
        </w:rPr>
      </w:pPr>
    </w:p>
    <w:p>
      <w:pPr>
        <w:ind w:right="580"/>
        <w:spacing w:after="0" w:line="231" w:lineRule="auto"/>
        <w:rPr>
          <w:sz w:val="20"/>
          <w:szCs w:val="20"/>
          <w:color w:val="auto"/>
        </w:rPr>
      </w:pPr>
      <w:r>
        <w:rPr>
          <w:rFonts w:ascii="Arial" w:cs="Arial" w:eastAsia="Arial" w:hAnsi="Arial"/>
          <w:sz w:val="10"/>
          <w:szCs w:val="10"/>
          <w:color w:val="auto"/>
        </w:rPr>
        <w:t>His broad experience, strategic vision, scientific curiosity and commercial acumen make him the ideal candidate to lead the Board of Royal Dutch Shell plc.</w:t>
      </w:r>
    </w:p>
    <w:p>
      <w:pPr>
        <w:spacing w:after="0" w:line="31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Director Induction and Training</w:t>
      </w:r>
    </w:p>
    <w:p>
      <w:pPr>
        <w:spacing w:after="0" w:line="8" w:lineRule="exact"/>
        <w:rPr>
          <w:sz w:val="20"/>
          <w:szCs w:val="20"/>
          <w:color w:val="auto"/>
        </w:rPr>
      </w:pPr>
    </w:p>
    <w:p>
      <w:pPr>
        <w:ind w:right="560"/>
        <w:spacing w:after="0" w:line="231" w:lineRule="auto"/>
        <w:rPr>
          <w:sz w:val="20"/>
          <w:szCs w:val="20"/>
          <w:color w:val="auto"/>
        </w:rPr>
      </w:pPr>
      <w:r>
        <w:rPr>
          <w:rFonts w:ascii="Arial" w:cs="Arial" w:eastAsia="Arial" w:hAnsi="Arial"/>
          <w:sz w:val="10"/>
          <w:szCs w:val="10"/>
          <w:color w:val="auto"/>
        </w:rPr>
        <w:t>After being appointed to the Board, Directors receive a comprehensive induction tailored to their individual needs. This normally includes site visits and meetings with Senior Management to enable them to build up a detailed understanding of Shell’s business and strategy, and the key risks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2260" w:type="dxa"/>
            <w:vAlign w:val="bottom"/>
          </w:tcPr>
          <w:p>
            <w:pPr>
              <w:jc w:val="right"/>
              <w:spacing w:after="0"/>
              <w:rPr>
                <w:sz w:val="20"/>
                <w:szCs w:val="20"/>
                <w:color w:val="auto"/>
              </w:rPr>
            </w:pPr>
            <w:r>
              <w:rPr>
                <w:rFonts w:ascii="Arial" w:cs="Arial" w:eastAsia="Arial" w:hAnsi="Arial"/>
                <w:sz w:val="7"/>
                <w:szCs w:val="7"/>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and issues that Shell faces. Existing Directors are also able to join these visits to keep abreast of business developments and progress.</w:t>
      </w:r>
    </w:p>
    <w:p>
      <w:pPr>
        <w:spacing w:after="0" w:line="24" w:lineRule="exact"/>
        <w:rPr>
          <w:sz w:val="20"/>
          <w:szCs w:val="20"/>
          <w:color w:val="auto"/>
        </w:rPr>
      </w:pPr>
    </w:p>
    <w:p>
      <w:pPr>
        <w:spacing w:after="0"/>
        <w:rPr>
          <w:sz w:val="20"/>
          <w:szCs w:val="20"/>
          <w:color w:val="auto"/>
        </w:rPr>
      </w:pPr>
      <w:r>
        <w:rPr>
          <w:rFonts w:ascii="Arial" w:cs="Arial" w:eastAsia="Arial" w:hAnsi="Arial"/>
          <w:sz w:val="8"/>
          <w:szCs w:val="8"/>
          <w:color w:val="auto"/>
        </w:rPr>
        <w:t>With the abnormal COVID-19 circumstances in 2020, the induction programme was quickly adapted to a completely virtual induction.</w:t>
      </w:r>
    </w:p>
    <w:p>
      <w:pPr>
        <w:spacing w:after="0" w:line="170" w:lineRule="exact"/>
        <w:rPr>
          <w:sz w:val="20"/>
          <w:szCs w:val="20"/>
          <w:color w:val="auto"/>
        </w:rPr>
      </w:pPr>
    </w:p>
    <w:p>
      <w:pPr>
        <w:ind w:right="320"/>
        <w:spacing w:after="0" w:line="239" w:lineRule="auto"/>
        <w:rPr>
          <w:sz w:val="20"/>
          <w:szCs w:val="20"/>
          <w:color w:val="auto"/>
        </w:rPr>
      </w:pPr>
      <w:r>
        <w:rPr>
          <w:rFonts w:ascii="Arial" w:cs="Arial" w:eastAsia="Arial" w:hAnsi="Arial"/>
          <w:sz w:val="10"/>
          <w:szCs w:val="10"/>
          <w:color w:val="auto"/>
        </w:rPr>
        <w:t>Although the programme had received praise from new Non-executive Directors over the past several years, enhancements were nonetheless implemented in 2020 despite the required fully virtual implementation.</w:t>
      </w:r>
    </w:p>
    <w:p>
      <w:pPr>
        <w:spacing w:after="0" w:line="149" w:lineRule="exact"/>
        <w:rPr>
          <w:sz w:val="20"/>
          <w:szCs w:val="20"/>
          <w:color w:val="auto"/>
        </w:rPr>
      </w:pPr>
    </w:p>
    <w:p>
      <w:pPr>
        <w:ind w:right="80"/>
        <w:spacing w:after="0" w:line="320" w:lineRule="auto"/>
        <w:rPr>
          <w:sz w:val="20"/>
          <w:szCs w:val="20"/>
          <w:color w:val="auto"/>
        </w:rPr>
      </w:pPr>
      <w:r>
        <w:rPr>
          <w:rFonts w:ascii="Arial" w:cs="Arial" w:eastAsia="Arial" w:hAnsi="Arial"/>
          <w:sz w:val="8"/>
          <w:szCs w:val="8"/>
          <w:color w:val="auto"/>
        </w:rPr>
        <w:t>The enhancements ensured that all onboarding was phased and prioritised based on forthcoming Board agenda items to help ensure the new Non-executive Director “hit the ground running”. The enhancements included digital onboarding books for each new Non-executive Director. These onboarding books complemented the existing digital Directors' Handbook and featured:</w:t>
      </w:r>
    </w:p>
    <w:p>
      <w:pPr>
        <w:spacing w:after="0" w:line="118" w:lineRule="exact"/>
        <w:rPr>
          <w:sz w:val="20"/>
          <w:szCs w:val="20"/>
          <w:color w:val="auto"/>
        </w:rPr>
      </w:pPr>
    </w:p>
    <w:p>
      <w:pPr>
        <w:ind w:left="440" w:hanging="215"/>
        <w:spacing w:after="0"/>
        <w:tabs>
          <w:tab w:leader="none" w:pos="440" w:val="left"/>
        </w:tabs>
        <w:numPr>
          <w:ilvl w:val="0"/>
          <w:numId w:val="97"/>
        </w:numPr>
        <w:rPr>
          <w:rFonts w:ascii="Arial" w:cs="Arial" w:eastAsia="Arial" w:hAnsi="Arial"/>
          <w:sz w:val="10"/>
          <w:szCs w:val="10"/>
          <w:color w:val="auto"/>
        </w:rPr>
      </w:pPr>
      <w:r>
        <w:rPr>
          <w:rFonts w:ascii="Arial" w:cs="Arial" w:eastAsia="Arial" w:hAnsi="Arial"/>
          <w:sz w:val="10"/>
          <w:szCs w:val="10"/>
          <w:color w:val="auto"/>
        </w:rPr>
        <w:t>overviews of scheduled briefing meetings customised to the Non-executive Director’s needs;</w:t>
      </w:r>
    </w:p>
    <w:p>
      <w:pPr>
        <w:spacing w:after="0" w:line="1" w:lineRule="exact"/>
        <w:rPr>
          <w:rFonts w:ascii="Arial" w:cs="Arial" w:eastAsia="Arial" w:hAnsi="Arial"/>
          <w:sz w:val="10"/>
          <w:szCs w:val="10"/>
          <w:color w:val="auto"/>
        </w:rPr>
      </w:pPr>
    </w:p>
    <w:p>
      <w:pPr>
        <w:ind w:left="440" w:hanging="215"/>
        <w:spacing w:after="0" w:line="225" w:lineRule="auto"/>
        <w:tabs>
          <w:tab w:leader="none" w:pos="440" w:val="left"/>
        </w:tabs>
        <w:numPr>
          <w:ilvl w:val="0"/>
          <w:numId w:val="97"/>
        </w:numPr>
        <w:rPr>
          <w:rFonts w:ascii="Arial" w:cs="Arial" w:eastAsia="Arial" w:hAnsi="Arial"/>
          <w:sz w:val="10"/>
          <w:szCs w:val="10"/>
          <w:color w:val="auto"/>
        </w:rPr>
      </w:pPr>
      <w:r>
        <w:rPr>
          <w:rFonts w:ascii="Arial" w:cs="Arial" w:eastAsia="Arial" w:hAnsi="Arial"/>
          <w:sz w:val="10"/>
          <w:szCs w:val="10"/>
          <w:color w:val="auto"/>
        </w:rPr>
        <w:t>hyperlinks to key Shell publications (external and internal);</w:t>
      </w:r>
    </w:p>
    <w:p>
      <w:pPr>
        <w:ind w:left="440" w:hanging="215"/>
        <w:spacing w:after="0" w:line="225" w:lineRule="auto"/>
        <w:tabs>
          <w:tab w:leader="none" w:pos="440" w:val="left"/>
        </w:tabs>
        <w:numPr>
          <w:ilvl w:val="0"/>
          <w:numId w:val="97"/>
        </w:numPr>
        <w:rPr>
          <w:rFonts w:ascii="Arial" w:cs="Arial" w:eastAsia="Arial" w:hAnsi="Arial"/>
          <w:sz w:val="10"/>
          <w:szCs w:val="10"/>
          <w:color w:val="auto"/>
        </w:rPr>
      </w:pPr>
      <w:r>
        <w:rPr>
          <w:rFonts w:ascii="Arial" w:cs="Arial" w:eastAsia="Arial" w:hAnsi="Arial"/>
          <w:sz w:val="10"/>
          <w:szCs w:val="10"/>
          <w:color w:val="auto"/>
        </w:rPr>
        <w:t>lists of common Shell acronyms;</w:t>
      </w:r>
    </w:p>
    <w:p>
      <w:pPr>
        <w:ind w:left="440" w:hanging="215"/>
        <w:spacing w:after="0" w:line="236" w:lineRule="auto"/>
        <w:tabs>
          <w:tab w:leader="none" w:pos="440" w:val="left"/>
        </w:tabs>
        <w:numPr>
          <w:ilvl w:val="0"/>
          <w:numId w:val="97"/>
        </w:numPr>
        <w:rPr>
          <w:rFonts w:ascii="Arial" w:cs="Arial" w:eastAsia="Arial" w:hAnsi="Arial"/>
          <w:sz w:val="10"/>
          <w:szCs w:val="10"/>
          <w:color w:val="auto"/>
        </w:rPr>
      </w:pPr>
      <w:r>
        <w:rPr>
          <w:rFonts w:ascii="Arial" w:cs="Arial" w:eastAsia="Arial" w:hAnsi="Arial"/>
          <w:sz w:val="10"/>
          <w:szCs w:val="10"/>
          <w:color w:val="auto"/>
        </w:rPr>
        <w:t>biographies of key executives</w:t>
      </w:r>
    </w:p>
    <w:p>
      <w:pPr>
        <w:ind w:left="440" w:hanging="217"/>
        <w:spacing w:after="0"/>
        <w:tabs>
          <w:tab w:leader="none" w:pos="440" w:val="left"/>
        </w:tabs>
        <w:numPr>
          <w:ilvl w:val="0"/>
          <w:numId w:val="97"/>
        </w:numPr>
        <w:rPr>
          <w:rFonts w:ascii="Arial" w:cs="Arial" w:eastAsia="Arial" w:hAnsi="Arial"/>
          <w:sz w:val="10"/>
          <w:szCs w:val="10"/>
          <w:color w:val="auto"/>
        </w:rPr>
      </w:pPr>
      <w:r>
        <w:rPr>
          <w:rFonts w:ascii="Arial" w:cs="Arial" w:eastAsia="Arial" w:hAnsi="Arial"/>
          <w:sz w:val="10"/>
          <w:szCs w:val="10"/>
          <w:color w:val="auto"/>
        </w:rPr>
        <w:t>key current materials on:</w:t>
      </w:r>
    </w:p>
    <w:p>
      <w:pPr>
        <w:spacing w:after="0" w:line="6" w:lineRule="exact"/>
        <w:rPr>
          <w:rFonts w:ascii="Arial" w:cs="Arial" w:eastAsia="Arial" w:hAnsi="Arial"/>
          <w:sz w:val="10"/>
          <w:szCs w:val="10"/>
          <w:color w:val="auto"/>
        </w:rPr>
      </w:pPr>
    </w:p>
    <w:p>
      <w:pPr>
        <w:ind w:left="860" w:hanging="205"/>
        <w:spacing w:after="0"/>
        <w:tabs>
          <w:tab w:leader="none" w:pos="860" w:val="left"/>
        </w:tabs>
        <w:numPr>
          <w:ilvl w:val="1"/>
          <w:numId w:val="97"/>
        </w:numPr>
        <w:rPr>
          <w:rFonts w:ascii="Arial" w:cs="Arial" w:eastAsia="Arial" w:hAnsi="Arial"/>
          <w:sz w:val="10"/>
          <w:szCs w:val="10"/>
          <w:color w:val="auto"/>
        </w:rPr>
      </w:pPr>
      <w:r>
        <w:rPr>
          <w:rFonts w:ascii="Arial" w:cs="Arial" w:eastAsia="Arial" w:hAnsi="Arial"/>
          <w:sz w:val="10"/>
          <w:szCs w:val="10"/>
          <w:color w:val="auto"/>
        </w:rPr>
        <w:t>Shell's safety and core values;</w:t>
      </w:r>
    </w:p>
    <w:p>
      <w:pPr>
        <w:spacing w:after="0" w:line="11" w:lineRule="exact"/>
        <w:rPr>
          <w:rFonts w:ascii="Arial" w:cs="Arial" w:eastAsia="Arial" w:hAnsi="Arial"/>
          <w:sz w:val="10"/>
          <w:szCs w:val="10"/>
          <w:color w:val="auto"/>
        </w:rPr>
      </w:pPr>
    </w:p>
    <w:p>
      <w:pPr>
        <w:ind w:left="860" w:hanging="205"/>
        <w:spacing w:after="0"/>
        <w:tabs>
          <w:tab w:leader="none" w:pos="860" w:val="left"/>
        </w:tabs>
        <w:numPr>
          <w:ilvl w:val="1"/>
          <w:numId w:val="97"/>
        </w:numPr>
        <w:rPr>
          <w:rFonts w:ascii="Arial" w:cs="Arial" w:eastAsia="Arial" w:hAnsi="Arial"/>
          <w:sz w:val="10"/>
          <w:szCs w:val="10"/>
          <w:color w:val="auto"/>
        </w:rPr>
      </w:pPr>
      <w:r>
        <w:rPr>
          <w:rFonts w:ascii="Arial" w:cs="Arial" w:eastAsia="Arial" w:hAnsi="Arial"/>
          <w:sz w:val="10"/>
          <w:szCs w:val="10"/>
          <w:color w:val="auto"/>
        </w:rPr>
        <w:t>Board governance</w:t>
      </w:r>
    </w:p>
    <w:p>
      <w:pPr>
        <w:spacing w:after="0" w:line="11" w:lineRule="exact"/>
        <w:rPr>
          <w:rFonts w:ascii="Arial" w:cs="Arial" w:eastAsia="Arial" w:hAnsi="Arial"/>
          <w:sz w:val="10"/>
          <w:szCs w:val="10"/>
          <w:color w:val="auto"/>
        </w:rPr>
      </w:pPr>
    </w:p>
    <w:p>
      <w:pPr>
        <w:ind w:left="860" w:hanging="205"/>
        <w:spacing w:after="0"/>
        <w:tabs>
          <w:tab w:leader="none" w:pos="860" w:val="left"/>
        </w:tabs>
        <w:numPr>
          <w:ilvl w:val="1"/>
          <w:numId w:val="97"/>
        </w:numPr>
        <w:rPr>
          <w:rFonts w:ascii="Arial" w:cs="Arial" w:eastAsia="Arial" w:hAnsi="Arial"/>
          <w:sz w:val="10"/>
          <w:szCs w:val="10"/>
          <w:color w:val="auto"/>
        </w:rPr>
      </w:pPr>
      <w:r>
        <w:rPr>
          <w:rFonts w:ascii="Arial" w:cs="Arial" w:eastAsia="Arial" w:hAnsi="Arial"/>
          <w:sz w:val="10"/>
          <w:szCs w:val="10"/>
          <w:color w:val="auto"/>
        </w:rPr>
        <w:t>Group strategy and portfolio; and</w:t>
      </w:r>
    </w:p>
    <w:p>
      <w:pPr>
        <w:spacing w:after="0" w:line="11" w:lineRule="exact"/>
        <w:rPr>
          <w:rFonts w:ascii="Arial" w:cs="Arial" w:eastAsia="Arial" w:hAnsi="Arial"/>
          <w:sz w:val="10"/>
          <w:szCs w:val="10"/>
          <w:color w:val="auto"/>
        </w:rPr>
      </w:pPr>
    </w:p>
    <w:p>
      <w:pPr>
        <w:ind w:left="860" w:hanging="205"/>
        <w:spacing w:after="0"/>
        <w:tabs>
          <w:tab w:leader="none" w:pos="860" w:val="left"/>
        </w:tabs>
        <w:numPr>
          <w:ilvl w:val="1"/>
          <w:numId w:val="97"/>
        </w:numPr>
        <w:rPr>
          <w:rFonts w:ascii="Arial" w:cs="Arial" w:eastAsia="Arial" w:hAnsi="Arial"/>
          <w:sz w:val="10"/>
          <w:szCs w:val="10"/>
          <w:color w:val="auto"/>
        </w:rPr>
      </w:pPr>
      <w:r>
        <w:rPr>
          <w:rFonts w:ascii="Arial" w:cs="Arial" w:eastAsia="Arial" w:hAnsi="Arial"/>
          <w:sz w:val="10"/>
          <w:szCs w:val="10"/>
          <w:color w:val="auto"/>
        </w:rPr>
        <w:t>key businesses and functions.</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Other enhancements of the onboarding programme for Non-executive Directors included:</w:t>
      </w:r>
    </w:p>
    <w:p>
      <w:pPr>
        <w:ind w:left="440" w:right="240" w:hanging="215"/>
        <w:spacing w:after="0" w:line="225" w:lineRule="auto"/>
        <w:tabs>
          <w:tab w:leader="none" w:pos="439" w:val="left"/>
        </w:tabs>
        <w:numPr>
          <w:ilvl w:val="0"/>
          <w:numId w:val="98"/>
        </w:numPr>
        <w:rPr>
          <w:rFonts w:ascii="Arial" w:cs="Arial" w:eastAsia="Arial" w:hAnsi="Arial"/>
          <w:sz w:val="10"/>
          <w:szCs w:val="10"/>
          <w:color w:val="auto"/>
        </w:rPr>
      </w:pPr>
      <w:r>
        <w:rPr>
          <w:rFonts w:ascii="Arial" w:cs="Arial" w:eastAsia="Arial" w:hAnsi="Arial"/>
          <w:sz w:val="10"/>
          <w:szCs w:val="10"/>
          <w:color w:val="auto"/>
        </w:rPr>
        <w:t>arranging briefing meetings with key executives (both business and functional) customised to Non-executive Directors’ needs;</w:t>
      </w:r>
    </w:p>
    <w:p>
      <w:pPr>
        <w:ind w:left="440" w:right="140" w:hanging="215"/>
        <w:spacing w:after="0" w:line="281" w:lineRule="auto"/>
        <w:tabs>
          <w:tab w:leader="none" w:pos="439" w:val="left"/>
        </w:tabs>
        <w:numPr>
          <w:ilvl w:val="0"/>
          <w:numId w:val="98"/>
        </w:numPr>
        <w:rPr>
          <w:rFonts w:ascii="Arial" w:cs="Arial" w:eastAsia="Arial" w:hAnsi="Arial"/>
          <w:sz w:val="8"/>
          <w:szCs w:val="8"/>
          <w:color w:val="auto"/>
        </w:rPr>
      </w:pPr>
      <w:r>
        <w:rPr>
          <w:rFonts w:ascii="Arial" w:cs="Arial" w:eastAsia="Arial" w:hAnsi="Arial"/>
          <w:sz w:val="8"/>
          <w:szCs w:val="8"/>
          <w:color w:val="auto"/>
        </w:rPr>
        <w:t>where feasible, pairing up new Non-executive Directors in onboarding briefings to optimise learning while also providing opportunities for collegial relationship-building and increasing efficiencies for the executives; and</w:t>
      </w:r>
    </w:p>
    <w:p>
      <w:pPr>
        <w:ind w:left="440" w:hanging="215"/>
        <w:spacing w:after="0" w:line="231" w:lineRule="auto"/>
        <w:tabs>
          <w:tab w:leader="none" w:pos="439" w:val="left"/>
        </w:tabs>
        <w:numPr>
          <w:ilvl w:val="0"/>
          <w:numId w:val="98"/>
        </w:numPr>
        <w:rPr>
          <w:rFonts w:ascii="Arial" w:cs="Arial" w:eastAsia="Arial" w:hAnsi="Arial"/>
          <w:sz w:val="10"/>
          <w:szCs w:val="10"/>
          <w:color w:val="auto"/>
        </w:rPr>
      </w:pPr>
      <w:r>
        <w:rPr>
          <w:rFonts w:ascii="Arial" w:cs="Arial" w:eastAsia="Arial" w:hAnsi="Arial"/>
          <w:sz w:val="10"/>
          <w:szCs w:val="10"/>
          <w:color w:val="auto"/>
        </w:rPr>
        <w:t>where possible, arranging virtual site visits (either specifically for onboarding or by inviting the new Directors to committees' virtual site visits).</w:t>
      </w:r>
    </w:p>
    <w:p>
      <w:pPr>
        <w:sectPr>
          <w:pgSz w:w="11900" w:h="16838" w:orient="portrait"/>
          <w:cols w:equalWidth="0" w:num="2">
            <w:col w:w="5680" w:space="240"/>
            <w:col w:w="5260"/>
          </w:cols>
          <w:pgMar w:left="300" w:top="632" w:right="419" w:bottom="1440" w:gutter="0" w:footer="0" w:header="0"/>
        </w:sectPr>
      </w:pPr>
    </w:p>
    <w:bookmarkStart w:id="108" w:name="page109"/>
    <w:bookmarkEnd w:id="108"/>
    <w:p>
      <w:pPr>
        <w:ind w:left="8"/>
        <w:spacing w:after="0"/>
        <w:rPr>
          <w:sz w:val="20"/>
          <w:szCs w:val="20"/>
          <w:color w:val="auto"/>
        </w:rPr>
      </w:pPr>
      <w:r>
        <w:rPr>
          <w:rFonts w:ascii="Arial" w:cs="Arial" w:eastAsia="Arial" w:hAnsi="Arial"/>
          <w:sz w:val="23"/>
          <w:szCs w:val="23"/>
          <w:color w:val="auto"/>
        </w:rPr>
        <w:t>SAFETY, ENVIRONMENT AND SUSTAINABILITY COMMITTEE</w:t>
      </w:r>
    </w:p>
    <w:p>
      <w:pPr>
        <w:sectPr>
          <w:pgSz w:w="11900" w:h="16838" w:orient="portrait"/>
          <w:cols w:equalWidth="0" w:num="1">
            <w:col w:w="11308"/>
          </w:cols>
          <w:pgMar w:left="292" w:top="96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EE2724"/>
        </w:rPr>
        <w:t>SIR NIGEL SHEINWALD GCMG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-1012190</wp:posOffset>
            </wp:positionV>
            <wp:extent cx="1817370" cy="9086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817370" cy="908685"/>
                    </a:xfrm>
                    <a:prstGeom prst="rect">
                      <a:avLst/>
                    </a:prstGeom>
                    <a:noFill/>
                  </pic:spPr>
                </pic:pic>
              </a:graphicData>
            </a:graphic>
          </wp:anchor>
        </w:drawing>
      </w:r>
    </w:p>
    <w:p>
      <w:pPr>
        <w:ind w:left="8"/>
        <w:spacing w:after="0"/>
        <w:rPr>
          <w:sz w:val="20"/>
          <w:szCs w:val="20"/>
          <w:color w:val="auto"/>
        </w:rPr>
      </w:pPr>
      <w:r>
        <w:rPr>
          <w:rFonts w:ascii="Arial" w:cs="Arial" w:eastAsia="Arial" w:hAnsi="Arial"/>
          <w:sz w:val="10"/>
          <w:szCs w:val="10"/>
          <w:color w:val="auto"/>
        </w:rPr>
        <w:t>Chair of the Safety, Environment and Sustainability Committee</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EE2724"/>
        </w:rPr>
        <w:t>FOCUS AREAS FOR 2020</w:t>
      </w:r>
    </w:p>
    <w:p>
      <w:pPr>
        <w:ind w:left="448" w:hanging="232"/>
        <w:spacing w:after="0" w:line="232" w:lineRule="auto"/>
        <w:tabs>
          <w:tab w:leader="none" w:pos="448" w:val="left"/>
        </w:tabs>
        <w:numPr>
          <w:ilvl w:val="0"/>
          <w:numId w:val="99"/>
        </w:numPr>
        <w:rPr>
          <w:rFonts w:ascii="Arial" w:cs="Arial" w:eastAsia="Arial" w:hAnsi="Arial"/>
          <w:sz w:val="14"/>
          <w:szCs w:val="14"/>
          <w:color w:val="auto"/>
        </w:rPr>
      </w:pPr>
      <w:r>
        <w:rPr>
          <w:rFonts w:ascii="Arial" w:cs="Arial" w:eastAsia="Arial" w:hAnsi="Arial"/>
          <w:sz w:val="10"/>
          <w:szCs w:val="10"/>
          <w:color w:val="auto"/>
        </w:rPr>
        <w:t>Safety performance</w:t>
      </w:r>
    </w:p>
    <w:p>
      <w:pPr>
        <w:ind w:left="428" w:hanging="212"/>
        <w:spacing w:after="0" w:line="206" w:lineRule="auto"/>
        <w:tabs>
          <w:tab w:leader="none" w:pos="428" w:val="left"/>
        </w:tabs>
        <w:numPr>
          <w:ilvl w:val="0"/>
          <w:numId w:val="99"/>
        </w:numPr>
        <w:rPr>
          <w:rFonts w:ascii="Arial" w:cs="Arial" w:eastAsia="Arial" w:hAnsi="Arial"/>
          <w:sz w:val="10"/>
          <w:szCs w:val="10"/>
          <w:color w:val="auto"/>
        </w:rPr>
      </w:pPr>
      <w:r>
        <w:rPr>
          <w:rFonts w:ascii="Arial" w:cs="Arial" w:eastAsia="Arial" w:hAnsi="Arial"/>
          <w:sz w:val="10"/>
          <w:szCs w:val="10"/>
          <w:color w:val="auto"/>
        </w:rPr>
        <w:t>Shell's climate targets</w:t>
      </w:r>
    </w:p>
    <w:p>
      <w:pPr>
        <w:ind w:left="428" w:hanging="212"/>
        <w:spacing w:after="0" w:line="206" w:lineRule="auto"/>
        <w:tabs>
          <w:tab w:leader="none" w:pos="428" w:val="left"/>
        </w:tabs>
        <w:numPr>
          <w:ilvl w:val="0"/>
          <w:numId w:val="99"/>
        </w:numPr>
        <w:rPr>
          <w:rFonts w:ascii="Arial" w:cs="Arial" w:eastAsia="Arial" w:hAnsi="Arial"/>
          <w:sz w:val="10"/>
          <w:szCs w:val="10"/>
          <w:color w:val="auto"/>
        </w:rPr>
      </w:pPr>
      <w:r>
        <w:rPr>
          <w:rFonts w:ascii="Arial" w:cs="Arial" w:eastAsia="Arial" w:hAnsi="Arial"/>
          <w:sz w:val="10"/>
          <w:szCs w:val="10"/>
          <w:color w:val="auto"/>
        </w:rPr>
        <w:t>Sustainability metrics for scorecard</w:t>
      </w:r>
    </w:p>
    <w:p>
      <w:pPr>
        <w:ind w:left="428" w:hanging="212"/>
        <w:spacing w:after="0" w:line="236" w:lineRule="auto"/>
        <w:tabs>
          <w:tab w:leader="none" w:pos="428" w:val="left"/>
        </w:tabs>
        <w:numPr>
          <w:ilvl w:val="0"/>
          <w:numId w:val="99"/>
        </w:numPr>
        <w:rPr>
          <w:rFonts w:ascii="Arial" w:cs="Arial" w:eastAsia="Arial" w:hAnsi="Arial"/>
          <w:sz w:val="10"/>
          <w:szCs w:val="10"/>
          <w:color w:val="auto"/>
        </w:rPr>
      </w:pPr>
      <w:r>
        <w:rPr>
          <w:rFonts w:ascii="Arial" w:cs="Arial" w:eastAsia="Arial" w:hAnsi="Arial"/>
          <w:sz w:val="10"/>
          <w:szCs w:val="10"/>
          <w:color w:val="auto"/>
        </w:rPr>
        <w:t>Energy transition metrics for remuneration</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EE2724"/>
        </w:rPr>
        <w:t>PRIORITIES FOR 2021</w:t>
      </w:r>
    </w:p>
    <w:p>
      <w:pPr>
        <w:ind w:left="208"/>
        <w:spacing w:after="0"/>
        <w:tabs>
          <w:tab w:leader="none" w:pos="40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Process safety and personal safety</w:t>
      </w:r>
    </w:p>
    <w:p>
      <w:pPr>
        <w:spacing w:after="0" w:line="15" w:lineRule="exact"/>
        <w:rPr>
          <w:sz w:val="20"/>
          <w:szCs w:val="20"/>
          <w:color w:val="auto"/>
        </w:rPr>
      </w:pPr>
    </w:p>
    <w:p>
      <w:pPr>
        <w:ind w:left="208"/>
        <w:spacing w:after="0"/>
        <w:tabs>
          <w:tab w:leader="none" w:pos="40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Progress against climate targets</w:t>
      </w:r>
    </w:p>
    <w:p>
      <w:pPr>
        <w:spacing w:after="0" w:line="15" w:lineRule="exact"/>
        <w:rPr>
          <w:sz w:val="20"/>
          <w:szCs w:val="20"/>
          <w:color w:val="auto"/>
        </w:rPr>
      </w:pPr>
    </w:p>
    <w:p>
      <w:pPr>
        <w:ind w:left="208"/>
        <w:spacing w:after="0"/>
        <w:tabs>
          <w:tab w:leader="none" w:pos="40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Broader sustainability performance</w:t>
      </w:r>
    </w:p>
    <w:p>
      <w:pPr>
        <w:spacing w:after="0" w:line="6" w:lineRule="exact"/>
        <w:rPr>
          <w:sz w:val="20"/>
          <w:szCs w:val="20"/>
          <w:color w:val="auto"/>
        </w:rPr>
      </w:pPr>
    </w:p>
    <w:p>
      <w:pPr>
        <w:ind w:left="208"/>
        <w:spacing w:after="0"/>
        <w:tabs>
          <w:tab w:leader="none" w:pos="40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Assurance programme</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COMMITTEE ATTENDANCE FOR 2020</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97"/>
        </w:trPr>
        <w:tc>
          <w:tcPr>
            <w:tcW w:w="1060" w:type="dxa"/>
            <w:vAlign w:val="bottom"/>
            <w:tcBorders>
              <w:top w:val="single" w:sz="8" w:color="auto"/>
            </w:tcBorders>
            <w:vMerge w:val="restart"/>
          </w:tcPr>
          <w:p>
            <w:pPr>
              <w:spacing w:after="0"/>
              <w:rPr>
                <w:sz w:val="20"/>
                <w:szCs w:val="20"/>
                <w:color w:val="auto"/>
              </w:rPr>
            </w:pPr>
            <w:r>
              <w:rPr>
                <w:rFonts w:ascii="Arial" w:cs="Arial" w:eastAsia="Arial" w:hAnsi="Arial"/>
                <w:sz w:val="10"/>
                <w:szCs w:val="10"/>
                <w:color w:val="auto"/>
              </w:rPr>
              <w:t>Committee Member</w:t>
            </w:r>
          </w:p>
        </w:tc>
        <w:tc>
          <w:tcPr>
            <w:tcW w:w="1200" w:type="dxa"/>
            <w:vAlign w:val="bottom"/>
            <w:tcBorders>
              <w:top w:val="single" w:sz="8" w:color="auto"/>
            </w:tcBorders>
            <w:vMerge w:val="restart"/>
          </w:tcPr>
          <w:p>
            <w:pPr>
              <w:jc w:val="right"/>
              <w:ind w:right="592"/>
              <w:spacing w:after="0"/>
              <w:rPr>
                <w:sz w:val="20"/>
                <w:szCs w:val="20"/>
                <w:color w:val="auto"/>
              </w:rPr>
            </w:pPr>
            <w:r>
              <w:rPr>
                <w:rFonts w:ascii="Arial" w:cs="Arial" w:eastAsia="Arial" w:hAnsi="Arial"/>
                <w:sz w:val="10"/>
                <w:szCs w:val="10"/>
                <w:color w:val="auto"/>
                <w:w w:val="85"/>
              </w:rPr>
              <w:t>Member since</w:t>
            </w:r>
          </w:p>
        </w:tc>
        <w:tc>
          <w:tcPr>
            <w:tcW w:w="1000" w:type="dxa"/>
            <w:vAlign w:val="bottom"/>
            <w:tcBorders>
              <w:top w:val="single" w:sz="8" w:color="auto"/>
            </w:tcBorders>
          </w:tcPr>
          <w:p>
            <w:pPr>
              <w:jc w:val="right"/>
              <w:ind w:right="72"/>
              <w:spacing w:after="0" w:line="97" w:lineRule="exact"/>
              <w:rPr>
                <w:sz w:val="20"/>
                <w:szCs w:val="20"/>
                <w:color w:val="auto"/>
              </w:rPr>
            </w:pPr>
            <w:r>
              <w:rPr>
                <w:rFonts w:ascii="Arial" w:cs="Arial" w:eastAsia="Arial" w:hAnsi="Arial"/>
                <w:sz w:val="10"/>
                <w:szCs w:val="10"/>
                <w:color w:val="auto"/>
              </w:rPr>
              <w:t>Maximum possible</w:t>
            </w:r>
          </w:p>
        </w:tc>
        <w:tc>
          <w:tcPr>
            <w:tcW w:w="1260" w:type="dxa"/>
            <w:vAlign w:val="bottom"/>
            <w:tcBorders>
              <w:top w:val="single" w:sz="8" w:color="auto"/>
            </w:tcBorders>
          </w:tcPr>
          <w:p>
            <w:pPr>
              <w:jc w:val="right"/>
              <w:ind w:right="312"/>
              <w:spacing w:after="0" w:line="97" w:lineRule="exact"/>
              <w:rPr>
                <w:sz w:val="20"/>
                <w:szCs w:val="20"/>
                <w:color w:val="auto"/>
              </w:rPr>
            </w:pPr>
            <w:r>
              <w:rPr>
                <w:rFonts w:ascii="Arial" w:cs="Arial" w:eastAsia="Arial" w:hAnsi="Arial"/>
                <w:sz w:val="10"/>
                <w:szCs w:val="10"/>
                <w:color w:val="auto"/>
                <w:w w:val="97"/>
              </w:rPr>
              <w:t>Number of meetings</w:t>
            </w:r>
          </w:p>
        </w:tc>
        <w:tc>
          <w:tcPr>
            <w:tcW w:w="6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60" w:type="dxa"/>
            <w:vAlign w:val="bottom"/>
            <w:tcBorders>
              <w:bottom w:val="single" w:sz="8" w:color="auto"/>
            </w:tcBorders>
            <w:vMerge w:val="continue"/>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meetings</w:t>
            </w: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attended % of meetings attended</w:t>
            </w:r>
          </w:p>
        </w:tc>
        <w:tc>
          <w:tcPr>
            <w:tcW w:w="0" w:type="dxa"/>
            <w:vAlign w:val="bottom"/>
          </w:tcPr>
          <w:p>
            <w:pPr>
              <w:spacing w:after="0"/>
              <w:rPr>
                <w:sz w:val="1"/>
                <w:szCs w:val="1"/>
                <w:color w:val="auto"/>
              </w:rPr>
            </w:pPr>
          </w:p>
        </w:tc>
      </w:tr>
      <w:tr>
        <w:trPr>
          <w:trHeight w:val="81"/>
        </w:trPr>
        <w:tc>
          <w:tcPr>
            <w:tcW w:w="1060" w:type="dxa"/>
            <w:vAlign w:val="bottom"/>
          </w:tcPr>
          <w:p>
            <w:pPr>
              <w:spacing w:after="0" w:line="81" w:lineRule="exact"/>
              <w:rPr>
                <w:sz w:val="20"/>
                <w:szCs w:val="20"/>
                <w:color w:val="auto"/>
              </w:rPr>
            </w:pPr>
            <w:r>
              <w:rPr>
                <w:rFonts w:ascii="Arial" w:cs="Arial" w:eastAsia="Arial" w:hAnsi="Arial"/>
                <w:sz w:val="8"/>
                <w:szCs w:val="8"/>
                <w:color w:val="auto"/>
              </w:rPr>
              <w:t>Sir Nigel Sheinwald (Chair</w:t>
            </w:r>
          </w:p>
        </w:tc>
        <w:tc>
          <w:tcPr>
            <w:tcW w:w="1200" w:type="dxa"/>
            <w:vAlign w:val="bottom"/>
            <w:vMerge w:val="restart"/>
          </w:tcPr>
          <w:p>
            <w:pPr>
              <w:jc w:val="right"/>
              <w:ind w:right="92"/>
              <w:spacing w:after="0"/>
              <w:rPr>
                <w:sz w:val="20"/>
                <w:szCs w:val="20"/>
                <w:color w:val="auto"/>
              </w:rPr>
            </w:pPr>
            <w:r>
              <w:rPr>
                <w:rFonts w:ascii="Arial" w:cs="Arial" w:eastAsia="Arial" w:hAnsi="Arial"/>
                <w:sz w:val="10"/>
                <w:szCs w:val="10"/>
                <w:color w:val="auto"/>
              </w:rPr>
              <w:t>July 1, 2012</w:t>
            </w:r>
          </w:p>
        </w:tc>
        <w:tc>
          <w:tcPr>
            <w:tcW w:w="1000" w:type="dxa"/>
            <w:vAlign w:val="bottom"/>
            <w:vMerge w:val="restart"/>
          </w:tcPr>
          <w:p>
            <w:pPr>
              <w:jc w:val="right"/>
              <w:ind w:right="72"/>
              <w:spacing w:after="0"/>
              <w:rPr>
                <w:sz w:val="20"/>
                <w:szCs w:val="20"/>
                <w:color w:val="auto"/>
              </w:rPr>
            </w:pPr>
            <w:r>
              <w:rPr>
                <w:rFonts w:ascii="Arial" w:cs="Arial" w:eastAsia="Arial" w:hAnsi="Arial"/>
                <w:sz w:val="10"/>
                <w:szCs w:val="10"/>
                <w:color w:val="auto"/>
              </w:rPr>
              <w:t>5</w:t>
            </w:r>
          </w:p>
        </w:tc>
        <w:tc>
          <w:tcPr>
            <w:tcW w:w="1260" w:type="dxa"/>
            <w:vAlign w:val="bottom"/>
            <w:vMerge w:val="restart"/>
          </w:tcPr>
          <w:p>
            <w:pPr>
              <w:jc w:val="right"/>
              <w:ind w:right="312"/>
              <w:spacing w:after="0"/>
              <w:rPr>
                <w:sz w:val="20"/>
                <w:szCs w:val="20"/>
                <w:color w:val="auto"/>
              </w:rPr>
            </w:pPr>
            <w:r>
              <w:rPr>
                <w:rFonts w:ascii="Arial" w:cs="Arial" w:eastAsia="Arial" w:hAnsi="Arial"/>
                <w:sz w:val="10"/>
                <w:szCs w:val="10"/>
                <w:color w:val="auto"/>
              </w:rPr>
              <w:t>5</w:t>
            </w: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20"/>
                <w:szCs w:val="20"/>
                <w:color w:val="auto"/>
              </w:rPr>
            </w:pPr>
            <w:r>
              <w:rPr>
                <w:rFonts w:ascii="Arial" w:cs="Arial" w:eastAsia="Arial" w:hAnsi="Arial"/>
                <w:sz w:val="10"/>
                <w:szCs w:val="10"/>
                <w:color w:val="auto"/>
              </w:rPr>
              <w:t>of the Committee)</w:t>
            </w: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60" w:type="dxa"/>
            <w:vAlign w:val="bottom"/>
          </w:tcPr>
          <w:p>
            <w:pPr>
              <w:spacing w:after="0"/>
              <w:rPr>
                <w:sz w:val="20"/>
                <w:szCs w:val="20"/>
                <w:color w:val="auto"/>
              </w:rPr>
            </w:pPr>
            <w:r>
              <w:rPr>
                <w:rFonts w:ascii="Arial" w:cs="Arial" w:eastAsia="Arial" w:hAnsi="Arial"/>
                <w:sz w:val="10"/>
                <w:szCs w:val="10"/>
                <w:color w:val="auto"/>
              </w:rPr>
              <w:t>Neil Carson</w:t>
            </w:r>
          </w:p>
        </w:tc>
        <w:tc>
          <w:tcPr>
            <w:tcW w:w="1200" w:type="dxa"/>
            <w:vAlign w:val="bottom"/>
          </w:tcPr>
          <w:p>
            <w:pPr>
              <w:jc w:val="right"/>
              <w:ind w:right="92"/>
              <w:spacing w:after="0"/>
              <w:rPr>
                <w:sz w:val="20"/>
                <w:szCs w:val="20"/>
                <w:color w:val="auto"/>
              </w:rPr>
            </w:pPr>
            <w:r>
              <w:rPr>
                <w:rFonts w:ascii="Arial" w:cs="Arial" w:eastAsia="Arial" w:hAnsi="Arial"/>
                <w:sz w:val="10"/>
                <w:szCs w:val="10"/>
                <w:color w:val="auto"/>
              </w:rPr>
              <w:t>June 1, 2019</w:t>
            </w:r>
          </w:p>
        </w:tc>
        <w:tc>
          <w:tcPr>
            <w:tcW w:w="1000" w:type="dxa"/>
            <w:vAlign w:val="bottom"/>
          </w:tcPr>
          <w:p>
            <w:pPr>
              <w:jc w:val="right"/>
              <w:ind w:right="72"/>
              <w:spacing w:after="0"/>
              <w:rPr>
                <w:sz w:val="20"/>
                <w:szCs w:val="20"/>
                <w:color w:val="auto"/>
              </w:rPr>
            </w:pPr>
            <w:r>
              <w:rPr>
                <w:rFonts w:ascii="Arial" w:cs="Arial" w:eastAsia="Arial" w:hAnsi="Arial"/>
                <w:sz w:val="10"/>
                <w:szCs w:val="10"/>
                <w:color w:val="auto"/>
              </w:rPr>
              <w:t>5</w:t>
            </w:r>
          </w:p>
        </w:tc>
        <w:tc>
          <w:tcPr>
            <w:tcW w:w="1260" w:type="dxa"/>
            <w:vAlign w:val="bottom"/>
          </w:tcPr>
          <w:p>
            <w:pPr>
              <w:jc w:val="right"/>
              <w:ind w:right="312"/>
              <w:spacing w:after="0"/>
              <w:rPr>
                <w:sz w:val="20"/>
                <w:szCs w:val="20"/>
                <w:color w:val="auto"/>
              </w:rPr>
            </w:pPr>
            <w:r>
              <w:rPr>
                <w:rFonts w:ascii="Arial" w:cs="Arial" w:eastAsia="Arial" w:hAnsi="Arial"/>
                <w:sz w:val="10"/>
                <w:szCs w:val="10"/>
                <w:color w:val="auto"/>
              </w:rPr>
              <w:t>5</w:t>
            </w:r>
          </w:p>
        </w:tc>
        <w:tc>
          <w:tcPr>
            <w:tcW w:w="60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26"/>
        </w:trPr>
        <w:tc>
          <w:tcPr>
            <w:tcW w:w="1060" w:type="dxa"/>
            <w:vAlign w:val="bottom"/>
          </w:tcPr>
          <w:p>
            <w:pPr>
              <w:spacing w:after="0"/>
              <w:rPr>
                <w:sz w:val="20"/>
                <w:szCs w:val="20"/>
                <w:color w:val="auto"/>
              </w:rPr>
            </w:pPr>
            <w:r>
              <w:rPr>
                <w:rFonts w:ascii="Arial" w:cs="Arial" w:eastAsia="Arial" w:hAnsi="Arial"/>
                <w:sz w:val="10"/>
                <w:szCs w:val="10"/>
                <w:color w:val="auto"/>
              </w:rPr>
              <w:t>Ann Godbehere</w:t>
            </w:r>
          </w:p>
        </w:tc>
        <w:tc>
          <w:tcPr>
            <w:tcW w:w="1200" w:type="dxa"/>
            <w:vAlign w:val="bottom"/>
          </w:tcPr>
          <w:p>
            <w:pPr>
              <w:jc w:val="right"/>
              <w:ind w:right="92"/>
              <w:spacing w:after="0"/>
              <w:rPr>
                <w:sz w:val="20"/>
                <w:szCs w:val="20"/>
                <w:color w:val="auto"/>
              </w:rPr>
            </w:pPr>
            <w:r>
              <w:rPr>
                <w:rFonts w:ascii="Arial" w:cs="Arial" w:eastAsia="Arial" w:hAnsi="Arial"/>
                <w:sz w:val="10"/>
                <w:szCs w:val="10"/>
                <w:color w:val="auto"/>
              </w:rPr>
              <w:t>May 20, 2020</w:t>
            </w:r>
          </w:p>
        </w:tc>
        <w:tc>
          <w:tcPr>
            <w:tcW w:w="1000" w:type="dxa"/>
            <w:vAlign w:val="bottom"/>
          </w:tcPr>
          <w:p>
            <w:pPr>
              <w:jc w:val="right"/>
              <w:ind w:right="72"/>
              <w:spacing w:after="0"/>
              <w:rPr>
                <w:sz w:val="20"/>
                <w:szCs w:val="20"/>
                <w:color w:val="auto"/>
              </w:rPr>
            </w:pPr>
            <w:r>
              <w:rPr>
                <w:rFonts w:ascii="Arial" w:cs="Arial" w:eastAsia="Arial" w:hAnsi="Arial"/>
                <w:sz w:val="10"/>
                <w:szCs w:val="10"/>
                <w:color w:val="auto"/>
              </w:rPr>
              <w:t>3</w:t>
            </w:r>
          </w:p>
        </w:tc>
        <w:tc>
          <w:tcPr>
            <w:tcW w:w="1260" w:type="dxa"/>
            <w:vAlign w:val="bottom"/>
          </w:tcPr>
          <w:p>
            <w:pPr>
              <w:jc w:val="right"/>
              <w:ind w:right="312"/>
              <w:spacing w:after="0"/>
              <w:rPr>
                <w:sz w:val="20"/>
                <w:szCs w:val="20"/>
                <w:color w:val="auto"/>
              </w:rPr>
            </w:pPr>
            <w:r>
              <w:rPr>
                <w:rFonts w:ascii="Arial" w:cs="Arial" w:eastAsia="Arial" w:hAnsi="Arial"/>
                <w:sz w:val="10"/>
                <w:szCs w:val="10"/>
                <w:color w:val="auto"/>
              </w:rPr>
              <w:t>3</w:t>
            </w:r>
          </w:p>
        </w:tc>
        <w:tc>
          <w:tcPr>
            <w:tcW w:w="60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26"/>
        </w:trPr>
        <w:tc>
          <w:tcPr>
            <w:tcW w:w="1060" w:type="dxa"/>
            <w:vAlign w:val="bottom"/>
          </w:tcPr>
          <w:p>
            <w:pPr>
              <w:spacing w:after="0"/>
              <w:rPr>
                <w:sz w:val="20"/>
                <w:szCs w:val="20"/>
                <w:color w:val="auto"/>
              </w:rPr>
            </w:pPr>
            <w:r>
              <w:rPr>
                <w:rFonts w:ascii="Arial" w:cs="Arial" w:eastAsia="Arial" w:hAnsi="Arial"/>
                <w:sz w:val="10"/>
                <w:szCs w:val="10"/>
                <w:color w:val="auto"/>
              </w:rPr>
              <w:t>Catherine J. Hughes</w:t>
            </w:r>
          </w:p>
        </w:tc>
        <w:tc>
          <w:tcPr>
            <w:tcW w:w="1200" w:type="dxa"/>
            <w:vAlign w:val="bottom"/>
          </w:tcPr>
          <w:p>
            <w:pPr>
              <w:jc w:val="right"/>
              <w:ind w:right="92"/>
              <w:spacing w:after="0"/>
              <w:rPr>
                <w:sz w:val="20"/>
                <w:szCs w:val="20"/>
                <w:color w:val="auto"/>
              </w:rPr>
            </w:pPr>
            <w:r>
              <w:rPr>
                <w:rFonts w:ascii="Arial" w:cs="Arial" w:eastAsia="Arial" w:hAnsi="Arial"/>
                <w:sz w:val="10"/>
                <w:szCs w:val="10"/>
                <w:color w:val="auto"/>
              </w:rPr>
              <w:t>November 1, 2017</w:t>
            </w:r>
          </w:p>
        </w:tc>
        <w:tc>
          <w:tcPr>
            <w:tcW w:w="1000" w:type="dxa"/>
            <w:vAlign w:val="bottom"/>
          </w:tcPr>
          <w:p>
            <w:pPr>
              <w:jc w:val="right"/>
              <w:ind w:right="72"/>
              <w:spacing w:after="0"/>
              <w:rPr>
                <w:sz w:val="20"/>
                <w:szCs w:val="20"/>
                <w:color w:val="auto"/>
              </w:rPr>
            </w:pPr>
            <w:r>
              <w:rPr>
                <w:rFonts w:ascii="Arial" w:cs="Arial" w:eastAsia="Arial" w:hAnsi="Arial"/>
                <w:sz w:val="10"/>
                <w:szCs w:val="10"/>
                <w:color w:val="auto"/>
              </w:rPr>
              <w:t>5</w:t>
            </w:r>
          </w:p>
        </w:tc>
        <w:tc>
          <w:tcPr>
            <w:tcW w:w="1260" w:type="dxa"/>
            <w:vAlign w:val="bottom"/>
          </w:tcPr>
          <w:p>
            <w:pPr>
              <w:jc w:val="right"/>
              <w:ind w:right="312"/>
              <w:spacing w:after="0"/>
              <w:rPr>
                <w:sz w:val="20"/>
                <w:szCs w:val="20"/>
                <w:color w:val="auto"/>
              </w:rPr>
            </w:pPr>
            <w:r>
              <w:rPr>
                <w:rFonts w:ascii="Arial" w:cs="Arial" w:eastAsia="Arial" w:hAnsi="Arial"/>
                <w:sz w:val="10"/>
                <w:szCs w:val="10"/>
                <w:color w:val="auto"/>
              </w:rPr>
              <w:t>5</w:t>
            </w:r>
          </w:p>
        </w:tc>
        <w:tc>
          <w:tcPr>
            <w:tcW w:w="60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26"/>
        </w:trPr>
        <w:tc>
          <w:tcPr>
            <w:tcW w:w="1060" w:type="dxa"/>
            <w:vAlign w:val="bottom"/>
          </w:tcPr>
          <w:p>
            <w:pPr>
              <w:spacing w:after="0"/>
              <w:rPr>
                <w:sz w:val="20"/>
                <w:szCs w:val="20"/>
                <w:color w:val="auto"/>
              </w:rPr>
            </w:pPr>
            <w:r>
              <w:rPr>
                <w:rFonts w:ascii="Arial" w:cs="Arial" w:eastAsia="Arial" w:hAnsi="Arial"/>
                <w:sz w:val="10"/>
                <w:szCs w:val="10"/>
                <w:color w:val="auto"/>
              </w:rPr>
              <w:t>Bram Schot</w:t>
            </w:r>
          </w:p>
        </w:tc>
        <w:tc>
          <w:tcPr>
            <w:tcW w:w="1200" w:type="dxa"/>
            <w:vAlign w:val="bottom"/>
          </w:tcPr>
          <w:p>
            <w:pPr>
              <w:jc w:val="right"/>
              <w:ind w:right="92"/>
              <w:spacing w:after="0"/>
              <w:rPr>
                <w:sz w:val="20"/>
                <w:szCs w:val="20"/>
                <w:color w:val="auto"/>
              </w:rPr>
            </w:pPr>
            <w:r>
              <w:rPr>
                <w:rFonts w:ascii="Arial" w:cs="Arial" w:eastAsia="Arial" w:hAnsi="Arial"/>
                <w:sz w:val="10"/>
                <w:szCs w:val="10"/>
                <w:color w:val="auto"/>
              </w:rPr>
              <w:t>October 1, 2020</w:t>
            </w:r>
          </w:p>
        </w:tc>
        <w:tc>
          <w:tcPr>
            <w:tcW w:w="1000" w:type="dxa"/>
            <w:vAlign w:val="bottom"/>
          </w:tcPr>
          <w:p>
            <w:pPr>
              <w:jc w:val="right"/>
              <w:ind w:right="72"/>
              <w:spacing w:after="0"/>
              <w:rPr>
                <w:sz w:val="20"/>
                <w:szCs w:val="20"/>
                <w:color w:val="auto"/>
              </w:rPr>
            </w:pPr>
            <w:r>
              <w:rPr>
                <w:rFonts w:ascii="Arial" w:cs="Arial" w:eastAsia="Arial" w:hAnsi="Arial"/>
                <w:sz w:val="10"/>
                <w:szCs w:val="10"/>
                <w:color w:val="auto"/>
              </w:rPr>
              <w:t>1</w:t>
            </w:r>
          </w:p>
        </w:tc>
        <w:tc>
          <w:tcPr>
            <w:tcW w:w="1260" w:type="dxa"/>
            <w:vAlign w:val="bottom"/>
          </w:tcPr>
          <w:p>
            <w:pPr>
              <w:jc w:val="right"/>
              <w:ind w:right="312"/>
              <w:spacing w:after="0"/>
              <w:rPr>
                <w:sz w:val="20"/>
                <w:szCs w:val="20"/>
                <w:color w:val="auto"/>
              </w:rPr>
            </w:pPr>
            <w:r>
              <w:rPr>
                <w:rFonts w:ascii="Arial" w:cs="Arial" w:eastAsia="Arial" w:hAnsi="Arial"/>
                <w:sz w:val="10"/>
                <w:szCs w:val="10"/>
                <w:color w:val="auto"/>
              </w:rPr>
              <w:t>1</w:t>
            </w:r>
          </w:p>
        </w:tc>
        <w:tc>
          <w:tcPr>
            <w:tcW w:w="60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30"/>
        </w:trPr>
        <w:tc>
          <w:tcPr>
            <w:tcW w:w="1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Linda Stuntz [A]</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May 23, 2018</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w:t>
            </w: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28" w:hanging="128"/>
        <w:spacing w:after="0"/>
        <w:tabs>
          <w:tab w:leader="none" w:pos="128" w:val="left"/>
        </w:tabs>
        <w:numPr>
          <w:ilvl w:val="0"/>
          <w:numId w:val="100"/>
        </w:numPr>
        <w:rPr>
          <w:rFonts w:ascii="Arial" w:cs="Arial" w:eastAsia="Arial" w:hAnsi="Arial"/>
          <w:sz w:val="8"/>
          <w:szCs w:val="8"/>
          <w:color w:val="auto"/>
        </w:rPr>
      </w:pPr>
      <w:r>
        <w:rPr>
          <w:rFonts w:ascii="Arial" w:cs="Arial" w:eastAsia="Arial" w:hAnsi="Arial"/>
          <w:sz w:val="7"/>
          <w:szCs w:val="7"/>
          <w:color w:val="auto"/>
        </w:rPr>
        <w:t>Linda Stuntz retired from the Board following the 2020 Annual General Meeting, held on May 19, 2020.</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PURPOSE</w:t>
      </w:r>
    </w:p>
    <w:p>
      <w:pPr>
        <w:ind w:right="180"/>
        <w:spacing w:after="0" w:line="393" w:lineRule="auto"/>
        <w:rPr>
          <w:sz w:val="20"/>
          <w:szCs w:val="20"/>
          <w:color w:val="auto"/>
        </w:rPr>
      </w:pPr>
      <w:r>
        <w:rPr>
          <w:rFonts w:ascii="Arial" w:cs="Arial" w:eastAsia="Arial" w:hAnsi="Arial"/>
          <w:sz w:val="8"/>
          <w:szCs w:val="8"/>
          <w:color w:val="auto"/>
        </w:rPr>
        <w:t>The Safety, Environment and Sustainability Committee (SESCo) assists the Board in reviewing the practices and performance of Shell, primarily with respect to safety, environment including climate change, and broader sustainability.</w:t>
      </w:r>
    </w:p>
    <w:p>
      <w:pPr>
        <w:spacing w:after="0" w:line="10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OVERVIEW</w:t>
      </w:r>
    </w:p>
    <w:p>
      <w:pPr>
        <w:spacing w:after="0" w:line="8" w:lineRule="exact"/>
        <w:rPr>
          <w:sz w:val="20"/>
          <w:szCs w:val="20"/>
          <w:color w:val="auto"/>
        </w:rPr>
      </w:pPr>
    </w:p>
    <w:p>
      <w:pPr>
        <w:ind w:right="120"/>
        <w:spacing w:after="0" w:line="303" w:lineRule="auto"/>
        <w:rPr>
          <w:sz w:val="20"/>
          <w:szCs w:val="20"/>
          <w:color w:val="auto"/>
        </w:rPr>
      </w:pPr>
      <w:r>
        <w:rPr>
          <w:rFonts w:ascii="Arial" w:cs="Arial" w:eastAsia="Arial" w:hAnsi="Arial"/>
          <w:sz w:val="8"/>
          <w:szCs w:val="8"/>
          <w:color w:val="auto"/>
        </w:rPr>
        <w:t>The Committee meets regularly to review and discuss a wide range of important topics. These include the safe and responsible operation of Shell’s facilities, environmental protection and greenhouse gas emissions, significant incidents that impact safety and environmental performance, progress towards Shell’s climate targets, and energy transition. The Committee also endorses the Shell annual HSSE &amp; SP assurance plan, reviewing the execution of the plan and audit outcomes.</w:t>
      </w:r>
    </w:p>
    <w:p>
      <w:pPr>
        <w:spacing w:after="0" w:line="125" w:lineRule="exact"/>
        <w:rPr>
          <w:sz w:val="20"/>
          <w:szCs w:val="20"/>
          <w:color w:val="auto"/>
        </w:rPr>
      </w:pPr>
    </w:p>
    <w:p>
      <w:pPr>
        <w:jc w:val="both"/>
        <w:ind w:right="300"/>
        <w:spacing w:after="0" w:line="320" w:lineRule="auto"/>
        <w:rPr>
          <w:sz w:val="20"/>
          <w:szCs w:val="20"/>
          <w:color w:val="auto"/>
        </w:rPr>
      </w:pPr>
      <w:r>
        <w:rPr>
          <w:rFonts w:ascii="Arial" w:cs="Arial" w:eastAsia="Arial" w:hAnsi="Arial"/>
          <w:sz w:val="8"/>
          <w:szCs w:val="8"/>
          <w:color w:val="auto"/>
        </w:rPr>
        <w:t>The Committee assesses Shell’s overall sustainability performance and provides input to Shell's annual reporting and disclosures on sustainability. It also advises the Remuneration Committee on metrics relating to sustainable development and energy transition that apply to the Executive Committee annual scorecard and long-term incentive plan.</w:t>
      </w:r>
    </w:p>
    <w:p>
      <w:pPr>
        <w:spacing w:after="0" w:line="118" w:lineRule="exact"/>
        <w:rPr>
          <w:sz w:val="20"/>
          <w:szCs w:val="20"/>
          <w:color w:val="auto"/>
        </w:rPr>
      </w:pPr>
    </w:p>
    <w:p>
      <w:pPr>
        <w:jc w:val="both"/>
        <w:ind w:right="120"/>
        <w:spacing w:after="0" w:line="320" w:lineRule="auto"/>
        <w:rPr>
          <w:sz w:val="20"/>
          <w:szCs w:val="20"/>
          <w:color w:val="auto"/>
        </w:rPr>
      </w:pPr>
      <w:r>
        <w:rPr>
          <w:rFonts w:ascii="Arial" w:cs="Arial" w:eastAsia="Arial" w:hAnsi="Arial"/>
          <w:sz w:val="8"/>
          <w:szCs w:val="8"/>
          <w:color w:val="auto"/>
        </w:rPr>
        <w:t>The Committee reviews and considers external stakeholder perspectives in relation to Shell’s business, as well as how Shell addresses issues of public concern that could affect its reputation and licence to operate. Examples include plastic waste, methane emissions, human rights, the UN Sustainable Development Goals, and access to energy in low- and middle-income countries.</w:t>
      </w:r>
    </w:p>
    <w:p>
      <w:pPr>
        <w:spacing w:after="0" w:line="118" w:lineRule="exact"/>
        <w:rPr>
          <w:sz w:val="20"/>
          <w:szCs w:val="20"/>
          <w:color w:val="auto"/>
        </w:rPr>
      </w:pPr>
    </w:p>
    <w:p>
      <w:pPr>
        <w:ind w:right="520"/>
        <w:spacing w:after="0" w:line="239" w:lineRule="auto"/>
        <w:rPr>
          <w:sz w:val="20"/>
          <w:szCs w:val="20"/>
          <w:color w:val="auto"/>
        </w:rPr>
      </w:pPr>
      <w:r>
        <w:rPr>
          <w:rFonts w:ascii="Arial" w:cs="Arial" w:eastAsia="Arial" w:hAnsi="Arial"/>
          <w:sz w:val="10"/>
          <w:szCs w:val="10"/>
          <w:color w:val="auto"/>
        </w:rPr>
        <w:t>In line with the strategic importance of the Committee's agenda, the Chair and the Chief Executive Officer regularly attend the Committee meetings for discussions on specific topics.</w:t>
      </w:r>
    </w:p>
    <w:p>
      <w:pPr>
        <w:spacing w:after="0" w:line="149" w:lineRule="exact"/>
        <w:rPr>
          <w:sz w:val="20"/>
          <w:szCs w:val="20"/>
          <w:color w:val="auto"/>
        </w:rPr>
      </w:pPr>
    </w:p>
    <w:p>
      <w:pPr>
        <w:ind w:right="360"/>
        <w:spacing w:after="0" w:line="358" w:lineRule="auto"/>
        <w:rPr>
          <w:sz w:val="20"/>
          <w:szCs w:val="20"/>
          <w:color w:val="auto"/>
        </w:rPr>
      </w:pPr>
      <w:r>
        <w:rPr>
          <w:rFonts w:ascii="Arial" w:cs="Arial" w:eastAsia="Arial" w:hAnsi="Arial"/>
          <w:sz w:val="8"/>
          <w:szCs w:val="8"/>
          <w:color w:val="auto"/>
        </w:rPr>
        <w:t>Royal Dutch Shell plc’s Chief Executive Officer and the Executive Committee hold overall accountability for sustainability within Shell, supported by the Executive Vice President for Safety &amp; Environment and other senior managers.</w:t>
      </w:r>
    </w:p>
    <w:p>
      <w:pPr>
        <w:spacing w:after="0" w:line="4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ACTIVITIES</w:t>
      </w:r>
    </w:p>
    <w:p>
      <w:pPr>
        <w:spacing w:after="0" w:line="8" w:lineRule="exact"/>
        <w:rPr>
          <w:sz w:val="20"/>
          <w:szCs w:val="20"/>
          <w:color w:val="auto"/>
        </w:rPr>
      </w:pPr>
    </w:p>
    <w:p>
      <w:pPr>
        <w:jc w:val="both"/>
        <w:ind w:right="160"/>
        <w:spacing w:after="0" w:line="231" w:lineRule="auto"/>
        <w:rPr>
          <w:sz w:val="20"/>
          <w:szCs w:val="20"/>
          <w:color w:val="auto"/>
        </w:rPr>
      </w:pPr>
      <w:r>
        <w:rPr>
          <w:rFonts w:ascii="Arial" w:cs="Arial" w:eastAsia="Arial" w:hAnsi="Arial"/>
          <w:sz w:val="10"/>
          <w:szCs w:val="10"/>
          <w:color w:val="auto"/>
        </w:rPr>
        <w:t>During 2020, the Committee focused on the areas of greatest strategic importance to Shell, in line with its updated Terms of Reference. This allowed the Committee to oversee effectively and thoroughly the practices and performance of the Company with respect to safety, environment including climate change, and broader sustainability.</w:t>
      </w:r>
    </w:p>
    <w:p>
      <w:pPr>
        <w:spacing w:after="0" w:line="149" w:lineRule="exact"/>
        <w:rPr>
          <w:sz w:val="20"/>
          <w:szCs w:val="20"/>
          <w:color w:val="auto"/>
        </w:rPr>
      </w:pPr>
    </w:p>
    <w:p>
      <w:pPr>
        <w:jc w:val="both"/>
        <w:ind w:right="200"/>
        <w:spacing w:after="0" w:line="234" w:lineRule="auto"/>
        <w:rPr>
          <w:sz w:val="20"/>
          <w:szCs w:val="20"/>
          <w:color w:val="auto"/>
        </w:rPr>
      </w:pPr>
      <w:r>
        <w:rPr>
          <w:rFonts w:ascii="Arial" w:cs="Arial" w:eastAsia="Arial" w:hAnsi="Arial"/>
          <w:sz w:val="10"/>
          <w:szCs w:val="10"/>
          <w:color w:val="auto"/>
        </w:rPr>
        <w:t>The Committee was pleased that there were no fatalities in 2020 at Shell-operated ventures, the first year this has been achieved and a testament to Shell’s relentless focus on safety. The Committee welcomed Shell’s refreshed approach to safety announced in 2020, with its emphasis on the human dimension of safety performance.</w:t>
      </w:r>
    </w:p>
    <w:p>
      <w:pPr>
        <w:spacing w:after="0" w:line="150" w:lineRule="exact"/>
        <w:rPr>
          <w:sz w:val="20"/>
          <w:szCs w:val="20"/>
          <w:color w:val="auto"/>
        </w:rPr>
      </w:pPr>
    </w:p>
    <w:p>
      <w:pPr>
        <w:ind w:right="160"/>
        <w:spacing w:after="0" w:line="234" w:lineRule="auto"/>
        <w:rPr>
          <w:sz w:val="20"/>
          <w:szCs w:val="20"/>
          <w:color w:val="auto"/>
        </w:rPr>
      </w:pPr>
      <w:r>
        <w:rPr>
          <w:rFonts w:ascii="Arial" w:cs="Arial" w:eastAsia="Arial" w:hAnsi="Arial"/>
          <w:sz w:val="10"/>
          <w:szCs w:val="10"/>
          <w:color w:val="auto"/>
        </w:rPr>
        <w:t>The topics discussed in particular depth by the Committee included personal and process safety, Shell’s climate targets and the energy transition, and remuneration metrics and targets. The Committee also reviewed Shell companies’ operations and the challenges faced in Nigeria and Brazil.</w:t>
      </w:r>
    </w:p>
    <w:p>
      <w:pPr>
        <w:spacing w:after="0" w:line="150" w:lineRule="exact"/>
        <w:rPr>
          <w:sz w:val="20"/>
          <w:szCs w:val="20"/>
          <w:color w:val="auto"/>
        </w:rPr>
      </w:pPr>
    </w:p>
    <w:p>
      <w:pPr>
        <w:ind w:right="180"/>
        <w:spacing w:after="0" w:line="234" w:lineRule="auto"/>
        <w:rPr>
          <w:sz w:val="20"/>
          <w:szCs w:val="20"/>
          <w:color w:val="auto"/>
        </w:rPr>
      </w:pPr>
      <w:r>
        <w:rPr>
          <w:rFonts w:ascii="Arial" w:cs="Arial" w:eastAsia="Arial" w:hAnsi="Arial"/>
          <w:sz w:val="10"/>
          <w:szCs w:val="10"/>
          <w:color w:val="auto"/>
        </w:rPr>
        <w:t>Together with the Audit Committee and Chief Ethics and Compliance Officer, the Committee reviewed the controls and procedures for managing changes to Shell's portfolio. The Committee Chair also held several meetings with senior leaders to discuss specific topics including new fuels, carbon emissions reduction and decommissioning.</w:t>
      </w:r>
    </w:p>
    <w:p>
      <w:pPr>
        <w:spacing w:after="0" w:line="292" w:lineRule="exact"/>
        <w:rPr>
          <w:sz w:val="20"/>
          <w:szCs w:val="20"/>
          <w:color w:val="auto"/>
        </w:rPr>
      </w:pPr>
    </w:p>
    <w:p>
      <w:pPr>
        <w:sectPr>
          <w:pgSz w:w="11900" w:h="16838" w:orient="portrait"/>
          <w:cols w:equalWidth="0" w:num="2">
            <w:col w:w="5208" w:space="720"/>
            <w:col w:w="5380"/>
          </w:cols>
          <w:pgMar w:left="292" w:top="968" w:right="299" w:bottom="1440" w:gutter="0" w:footer="0" w:header="0"/>
          <w:type w:val="continuous"/>
        </w:sectPr>
      </w:pPr>
    </w:p>
    <w:p>
      <w:pPr>
        <w:spacing w:after="0" w:line="117" w:lineRule="exact"/>
        <w:rPr>
          <w:sz w:val="20"/>
          <w:szCs w:val="20"/>
          <w:color w:val="auto"/>
        </w:rPr>
      </w:pPr>
    </w:p>
    <w:p>
      <w:pPr>
        <w:ind w:left="8"/>
        <w:spacing w:after="0"/>
        <w:rPr>
          <w:sz w:val="20"/>
          <w:szCs w:val="20"/>
          <w:color w:val="auto"/>
        </w:rPr>
      </w:pPr>
      <w:r>
        <w:rPr>
          <w:rFonts w:ascii="Arial" w:cs="Arial" w:eastAsia="Arial" w:hAnsi="Arial"/>
          <w:sz w:val="14"/>
          <w:szCs w:val="14"/>
          <w:color w:val="EE2724"/>
        </w:rPr>
        <w:t>“2020 was an important year for SESCo. We monitored closely and welcomed Shell’s</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color w:val="EE2724"/>
        </w:rPr>
        <w:t>much improved safety performance, and contributed actively to the energy transition</w:t>
      </w:r>
    </w:p>
    <w:p>
      <w:pPr>
        <w:ind w:left="8"/>
        <w:spacing w:after="0"/>
        <w:rPr>
          <w:sz w:val="20"/>
          <w:szCs w:val="20"/>
          <w:color w:val="auto"/>
        </w:rPr>
      </w:pPr>
      <w:r>
        <w:rPr>
          <w:rFonts w:ascii="Arial" w:cs="Arial" w:eastAsia="Arial" w:hAnsi="Arial"/>
          <w:sz w:val="14"/>
          <w:szCs w:val="14"/>
          <w:color w:val="EE2724"/>
        </w:rPr>
        <w:t>pathway and new carbon targets developed.”</w:t>
      </w:r>
    </w:p>
    <w:p>
      <w:pPr>
        <w:ind w:left="8"/>
        <w:spacing w:after="0" w:line="236" w:lineRule="auto"/>
        <w:rPr>
          <w:sz w:val="20"/>
          <w:szCs w:val="20"/>
          <w:color w:val="auto"/>
        </w:rPr>
      </w:pPr>
      <w:r>
        <w:rPr>
          <w:rFonts w:ascii="Arial" w:cs="Arial" w:eastAsia="Arial" w:hAnsi="Arial"/>
          <w:sz w:val="10"/>
          <w:szCs w:val="10"/>
          <w:b w:val="1"/>
          <w:bCs w:val="1"/>
          <w:color w:val="EE2724"/>
        </w:rPr>
        <w:t>SIR NIGEL SHEINWALD GCMG</w:t>
      </w:r>
    </w:p>
    <w:p>
      <w:pPr>
        <w:spacing w:after="0" w:line="200" w:lineRule="exact"/>
        <w:rPr>
          <w:sz w:val="20"/>
          <w:szCs w:val="20"/>
          <w:color w:val="auto"/>
        </w:r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106</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968" w:right="29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8"/>
          <w:szCs w:val="8"/>
          <w:color w:val="auto"/>
        </w:rPr>
        <w:t>The Committee supported and contributed to Shell's announcement in 2020 that it aims to become a net-zero emissions energy business</w:t>
      </w:r>
    </w:p>
    <w:p>
      <w:pPr>
        <w:spacing w:after="0" w:line="24" w:lineRule="exact"/>
        <w:rPr>
          <w:sz w:val="20"/>
          <w:szCs w:val="20"/>
          <w:color w:val="auto"/>
        </w:rPr>
      </w:pPr>
    </w:p>
    <w:p>
      <w:pPr>
        <w:spacing w:after="0"/>
        <w:rPr>
          <w:sz w:val="20"/>
          <w:szCs w:val="20"/>
          <w:color w:val="auto"/>
        </w:rPr>
      </w:pPr>
      <w:r>
        <w:rPr>
          <w:rFonts w:ascii="Arial" w:cs="Arial" w:eastAsia="Arial" w:hAnsi="Arial"/>
          <w:sz w:val="8"/>
          <w:szCs w:val="8"/>
          <w:color w:val="auto"/>
        </w:rPr>
        <w:t>by 2050, in step with society. The Committee believe this again demonstrates Shell’s determination to play its full role in the energy</w:t>
      </w:r>
    </w:p>
    <w:p>
      <w:pPr>
        <w:spacing w:after="0" w:line="16" w:lineRule="exact"/>
        <w:rPr>
          <w:sz w:val="20"/>
          <w:szCs w:val="20"/>
          <w:color w:val="auto"/>
        </w:rPr>
      </w:pPr>
    </w:p>
    <w:p>
      <w:pPr>
        <w:spacing w:after="0"/>
        <w:rPr>
          <w:sz w:val="20"/>
          <w:szCs w:val="20"/>
          <w:color w:val="auto"/>
        </w:rPr>
      </w:pPr>
      <w:r>
        <w:rPr>
          <w:rFonts w:ascii="Arial" w:cs="Arial" w:eastAsia="Arial" w:hAnsi="Arial"/>
          <w:sz w:val="8"/>
          <w:szCs w:val="8"/>
          <w:color w:val="auto"/>
        </w:rPr>
        <w:t>transition. The Committee has had in-depth discussions with management about how Shell’s climate ambitions are being put into</w:t>
      </w:r>
    </w:p>
    <w:p>
      <w:pPr>
        <w:spacing w:after="0" w:line="16" w:lineRule="exact"/>
        <w:rPr>
          <w:sz w:val="20"/>
          <w:szCs w:val="20"/>
          <w:color w:val="auto"/>
        </w:rPr>
      </w:pPr>
    </w:p>
    <w:p>
      <w:pPr>
        <w:spacing w:after="0"/>
        <w:rPr>
          <w:sz w:val="20"/>
          <w:szCs w:val="20"/>
          <w:color w:val="auto"/>
        </w:rPr>
      </w:pPr>
      <w:r>
        <w:rPr>
          <w:rFonts w:ascii="Arial" w:cs="Arial" w:eastAsia="Arial" w:hAnsi="Arial"/>
          <w:sz w:val="8"/>
          <w:szCs w:val="8"/>
          <w:color w:val="auto"/>
        </w:rPr>
        <w:t>operation through portfolio changes, the use of nature-based solutions, the development of carbon capture utilisation and storage, and</w:t>
      </w:r>
    </w:p>
    <w:p>
      <w:pPr>
        <w:spacing w:after="0" w:line="14" w:lineRule="exact"/>
        <w:rPr>
          <w:sz w:val="20"/>
          <w:szCs w:val="20"/>
          <w:color w:val="auto"/>
        </w:rPr>
      </w:pPr>
    </w:p>
    <w:p>
      <w:pPr>
        <w:spacing w:after="0"/>
        <w:rPr>
          <w:sz w:val="20"/>
          <w:szCs w:val="20"/>
          <w:color w:val="auto"/>
        </w:rPr>
      </w:pPr>
      <w:r>
        <w:rPr>
          <w:rFonts w:ascii="Arial" w:cs="Arial" w:eastAsia="Arial" w:hAnsi="Arial"/>
          <w:sz w:val="10"/>
          <w:szCs w:val="10"/>
          <w:color w:val="auto"/>
        </w:rPr>
        <w:t>carbon abatement programmes at operated facilities.</w:t>
      </w:r>
    </w:p>
    <w:p>
      <w:pPr>
        <w:spacing w:after="0" w:line="149" w:lineRule="exact"/>
        <w:rPr>
          <w:sz w:val="20"/>
          <w:szCs w:val="20"/>
          <w:color w:val="auto"/>
        </w:rPr>
      </w:pPr>
    </w:p>
    <w:p>
      <w:pPr>
        <w:spacing w:after="0"/>
        <w:rPr>
          <w:sz w:val="20"/>
          <w:szCs w:val="20"/>
          <w:color w:val="auto"/>
        </w:rPr>
      </w:pPr>
      <w:r>
        <w:rPr>
          <w:rFonts w:ascii="Arial" w:cs="Arial" w:eastAsia="Arial" w:hAnsi="Arial"/>
          <w:sz w:val="8"/>
          <w:szCs w:val="8"/>
          <w:color w:val="auto"/>
        </w:rPr>
        <w:t>Following the Committee's review of remuneration with management, new safety and environment metrics will be introduced for 2021</w:t>
      </w:r>
    </w:p>
    <w:p>
      <w:pPr>
        <w:spacing w:after="0" w:line="15" w:lineRule="exact"/>
        <w:rPr>
          <w:sz w:val="20"/>
          <w:szCs w:val="20"/>
          <w:color w:val="auto"/>
        </w:rPr>
      </w:pPr>
    </w:p>
    <w:p>
      <w:pPr>
        <w:spacing w:after="0"/>
        <w:rPr>
          <w:sz w:val="20"/>
          <w:szCs w:val="20"/>
          <w:color w:val="auto"/>
        </w:rPr>
      </w:pPr>
      <w:r>
        <w:rPr>
          <w:rFonts w:ascii="Arial" w:cs="Arial" w:eastAsia="Arial" w:hAnsi="Arial"/>
          <w:sz w:val="8"/>
          <w:szCs w:val="8"/>
          <w:color w:val="auto"/>
        </w:rPr>
        <w:t>along with increased weighting for these metrics and energy transition metrics, which should drive further performance improvements.</w:t>
      </w:r>
    </w:p>
    <w:p>
      <w:pPr>
        <w:spacing w:after="0" w:line="161" w:lineRule="exact"/>
        <w:rPr>
          <w:sz w:val="20"/>
          <w:szCs w:val="20"/>
          <w:color w:val="auto"/>
        </w:rPr>
      </w:pPr>
    </w:p>
    <w:p>
      <w:pPr>
        <w:spacing w:after="0"/>
        <w:rPr>
          <w:sz w:val="20"/>
          <w:szCs w:val="20"/>
          <w:color w:val="auto"/>
        </w:rPr>
      </w:pPr>
      <w:r>
        <w:rPr>
          <w:rFonts w:ascii="Arial" w:cs="Arial" w:eastAsia="Arial" w:hAnsi="Arial"/>
          <w:sz w:val="8"/>
          <w:szCs w:val="8"/>
          <w:color w:val="auto"/>
        </w:rPr>
        <w:t>The Committee closely monitored and strongly supported Shell's response to the COVID-19 pandemic in terms of care for staff and the</w:t>
      </w:r>
    </w:p>
    <w:p>
      <w:pPr>
        <w:spacing w:after="0" w:line="24" w:lineRule="exact"/>
        <w:rPr>
          <w:sz w:val="20"/>
          <w:szCs w:val="20"/>
          <w:color w:val="auto"/>
        </w:rPr>
      </w:pPr>
    </w:p>
    <w:p>
      <w:pPr>
        <w:spacing w:after="0"/>
        <w:rPr>
          <w:sz w:val="20"/>
          <w:szCs w:val="20"/>
          <w:color w:val="auto"/>
        </w:rPr>
      </w:pPr>
      <w:r>
        <w:rPr>
          <w:rFonts w:ascii="Arial" w:cs="Arial" w:eastAsia="Arial" w:hAnsi="Arial"/>
          <w:sz w:val="8"/>
          <w:szCs w:val="8"/>
          <w:color w:val="auto"/>
        </w:rPr>
        <w:t>safe management of operations. The Committee appreciated Shell’s rapid deployment of virtual working technology from the start of the</w:t>
      </w:r>
    </w:p>
    <w:p>
      <w:pPr>
        <w:spacing w:after="0" w:line="14" w:lineRule="exact"/>
        <w:rPr>
          <w:sz w:val="20"/>
          <w:szCs w:val="20"/>
          <w:color w:val="auto"/>
        </w:rPr>
      </w:pPr>
    </w:p>
    <w:p>
      <w:pPr>
        <w:spacing w:after="0"/>
        <w:rPr>
          <w:sz w:val="20"/>
          <w:szCs w:val="20"/>
          <w:color w:val="auto"/>
        </w:rPr>
      </w:pPr>
      <w:r>
        <w:rPr>
          <w:rFonts w:ascii="Arial" w:cs="Arial" w:eastAsia="Arial" w:hAnsi="Arial"/>
          <w:sz w:val="10"/>
          <w:szCs w:val="10"/>
          <w:color w:val="auto"/>
        </w:rPr>
        <w:t>pandemic to enable business continuity and support continued HSSE &amp; SP assurance activities across Shell.</w:t>
      </w:r>
    </w:p>
    <w:p>
      <w:pPr>
        <w:spacing w:after="0" w:line="149" w:lineRule="exact"/>
        <w:rPr>
          <w:sz w:val="20"/>
          <w:szCs w:val="20"/>
          <w:color w:val="auto"/>
        </w:rPr>
      </w:pPr>
    </w:p>
    <w:p>
      <w:pPr>
        <w:spacing w:after="0"/>
        <w:rPr>
          <w:sz w:val="20"/>
          <w:szCs w:val="20"/>
          <w:color w:val="auto"/>
        </w:rPr>
      </w:pPr>
      <w:r>
        <w:rPr>
          <w:rFonts w:ascii="Arial" w:cs="Arial" w:eastAsia="Arial" w:hAnsi="Arial"/>
          <w:sz w:val="8"/>
          <w:szCs w:val="8"/>
          <w:color w:val="auto"/>
        </w:rPr>
        <w:t>The Committee continued to address wider questions of public concern such as plastic waste, methane emissions and human rights. It</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looks forward to resuming direct engagement with stakeholders once the COVID-19 restrictions come to an end.</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For further details on SESCo and how Shell manages sustainability see www.shell.com</w:t>
      </w:r>
    </w:p>
    <w:p>
      <w:pPr>
        <w:sectPr>
          <w:pgSz w:w="11900" w:h="16838" w:orient="portrait"/>
          <w:cols w:equalWidth="0" w:num="1">
            <w:col w:w="11300"/>
          </w:cols>
          <w:pgMar w:left="300" w:top="640" w:right="299" w:bottom="144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Activities performed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Frequency</w:t>
      </w:r>
    </w:p>
    <w:p>
      <w:pPr>
        <w:spacing w:after="0" w:line="36" w:lineRule="exact"/>
        <w:rPr>
          <w:sz w:val="20"/>
          <w:szCs w:val="20"/>
          <w:color w:val="auto"/>
        </w:rPr>
      </w:pPr>
    </w:p>
    <w:p>
      <w:pPr>
        <w:sectPr>
          <w:pgSz w:w="11900" w:h="16838" w:orient="portrait"/>
          <w:cols w:equalWidth="0" w:num="2">
            <w:col w:w="3160" w:space="720"/>
            <w:col w:w="7420"/>
          </w:cols>
          <w:pgMar w:left="300" w:top="640" w:right="299" w:bottom="1440" w:gutter="0" w:footer="0" w:header="0"/>
          <w:type w:val="continuous"/>
        </w:sectPr>
      </w:pPr>
    </w:p>
    <w:p>
      <w:pPr>
        <w:spacing w:after="0" w:line="220" w:lineRule="auto"/>
        <w:rPr>
          <w:sz w:val="20"/>
          <w:szCs w:val="20"/>
          <w:color w:val="auto"/>
        </w:rPr>
      </w:pPr>
      <w:r>
        <w:rPr>
          <w:rFonts w:ascii="Arial" w:cs="Arial" w:eastAsia="Arial" w:hAnsi="Arial"/>
          <w:sz w:val="10"/>
          <w:szCs w:val="10"/>
          <w:color w:val="auto"/>
        </w:rPr>
        <w:t>Review Shell’s practices and performance relating to Safety, including in particular the safe condition and responsible operation of Shell’s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Every meeting</w:t>
      </w:r>
    </w:p>
    <w:p>
      <w:pPr>
        <w:spacing w:after="0" w:line="123" w:lineRule="exact"/>
        <w:rPr>
          <w:sz w:val="20"/>
          <w:szCs w:val="20"/>
          <w:color w:val="auto"/>
        </w:rPr>
      </w:pPr>
    </w:p>
    <w:p>
      <w:pPr>
        <w:sectPr>
          <w:pgSz w:w="11900" w:h="16838" w:orient="portrait"/>
          <w:cols w:equalWidth="0" w:num="2">
            <w:col w:w="3520" w:space="360"/>
            <w:col w:w="7420"/>
          </w:cols>
          <w:pgMar w:left="300" w:top="640" w:right="299" w:bottom="1440" w:gutter="0" w:footer="0" w:header="0"/>
          <w:type w:val="continuous"/>
        </w:sectPr>
      </w:pPr>
    </w:p>
    <w:p>
      <w:pPr>
        <w:spacing w:after="0" w:line="220" w:lineRule="auto"/>
        <w:rPr>
          <w:sz w:val="20"/>
          <w:szCs w:val="20"/>
          <w:color w:val="auto"/>
        </w:rPr>
      </w:pPr>
      <w:r>
        <w:rPr>
          <w:rFonts w:ascii="Arial" w:cs="Arial" w:eastAsia="Arial" w:hAnsi="Arial"/>
          <w:sz w:val="10"/>
          <w:szCs w:val="10"/>
          <w:color w:val="auto"/>
        </w:rPr>
        <w:t>Review Shell’s practices and performance relating to environment, including in particular environmental protection and greenhouse gas emissions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Every meeting</w:t>
      </w:r>
    </w:p>
    <w:p>
      <w:pPr>
        <w:spacing w:after="0" w:line="123" w:lineRule="exact"/>
        <w:rPr>
          <w:sz w:val="20"/>
          <w:szCs w:val="20"/>
          <w:color w:val="auto"/>
        </w:rPr>
      </w:pPr>
    </w:p>
    <w:p>
      <w:pPr>
        <w:sectPr>
          <w:pgSz w:w="11900" w:h="16838" w:orient="portrait"/>
          <w:cols w:equalWidth="0" w:num="2">
            <w:col w:w="3440" w:space="440"/>
            <w:col w:w="7420"/>
          </w:cols>
          <w:pgMar w:left="300" w:top="640" w:right="299" w:bottom="1440" w:gutter="0" w:footer="0" w:header="0"/>
          <w:type w:val="continuous"/>
        </w:sectPr>
      </w:pPr>
    </w:p>
    <w:p>
      <w:pPr>
        <w:spacing w:after="0"/>
        <w:rPr>
          <w:sz w:val="20"/>
          <w:szCs w:val="20"/>
          <w:color w:val="auto"/>
        </w:rPr>
      </w:pPr>
      <w:r>
        <w:rPr>
          <w:rFonts w:ascii="Arial" w:cs="Arial" w:eastAsia="Arial" w:hAnsi="Arial"/>
          <w:sz w:val="8"/>
          <w:szCs w:val="8"/>
          <w:color w:val="auto"/>
        </w:rPr>
        <w:t>Review any major incidents that impact Shell’s safety and environmental performance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As necessary</w:t>
      </w:r>
    </w:p>
    <w:p>
      <w:pPr>
        <w:spacing w:after="0" w:line="34" w:lineRule="exact"/>
        <w:rPr>
          <w:sz w:val="20"/>
          <w:szCs w:val="20"/>
          <w:color w:val="auto"/>
        </w:rPr>
      </w:pPr>
    </w:p>
    <w:p>
      <w:pPr>
        <w:sectPr>
          <w:pgSz w:w="11900" w:h="16838" w:orient="portrait"/>
          <w:cols w:equalWidth="0" w:num="2">
            <w:col w:w="3320" w:space="560"/>
            <w:col w:w="7420"/>
          </w:cols>
          <w:pgMar w:left="300" w:top="640" w:right="299" w:bottom="1440" w:gutter="0" w:footer="0" w:header="0"/>
          <w:type w:val="continuous"/>
        </w:sectPr>
      </w:pPr>
    </w:p>
    <w:p>
      <w:pPr>
        <w:spacing w:after="0"/>
        <w:rPr>
          <w:sz w:val="20"/>
          <w:szCs w:val="20"/>
          <w:color w:val="auto"/>
        </w:rPr>
      </w:pPr>
      <w:r>
        <w:rPr>
          <w:rFonts w:ascii="Arial" w:cs="Arial" w:eastAsia="Arial" w:hAnsi="Arial"/>
          <w:sz w:val="8"/>
          <w:szCs w:val="8"/>
          <w:color w:val="auto"/>
        </w:rPr>
        <w:t>Review progress towards meeting Shell’s climate targets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Most meetings</w:t>
      </w:r>
    </w:p>
    <w:p>
      <w:pPr>
        <w:spacing w:after="0" w:line="34" w:lineRule="exact"/>
        <w:rPr>
          <w:sz w:val="20"/>
          <w:szCs w:val="20"/>
          <w:color w:val="auto"/>
        </w:rPr>
      </w:pPr>
    </w:p>
    <w:p>
      <w:pPr>
        <w:sectPr>
          <w:pgSz w:w="11900" w:h="16838" w:orient="portrait"/>
          <w:cols w:equalWidth="0" w:num="2">
            <w:col w:w="3160" w:space="720"/>
            <w:col w:w="7420"/>
          </w:cols>
          <w:pgMar w:left="300" w:top="640" w:right="299" w:bottom="1440" w:gutter="0" w:footer="0" w:header="0"/>
          <w:type w:val="continuous"/>
        </w:sectPr>
      </w:pPr>
    </w:p>
    <w:p>
      <w:pPr>
        <w:spacing w:after="0"/>
        <w:rPr>
          <w:sz w:val="20"/>
          <w:szCs w:val="20"/>
          <w:color w:val="auto"/>
        </w:rPr>
      </w:pPr>
      <w:r>
        <w:rPr>
          <w:rFonts w:ascii="Arial" w:cs="Arial" w:eastAsia="Arial" w:hAnsi="Arial"/>
          <w:sz w:val="8"/>
          <w:szCs w:val="8"/>
          <w:color w:val="auto"/>
        </w:rPr>
        <w:t>Endorse Shell’s annual Health, Security, Safety, Environment and Social Performance (HSSE &amp; SP) Annually</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assurance plan</w:t>
      </w:r>
    </w:p>
    <w:p>
      <w:pPr>
        <w:sectPr>
          <w:pgSz w:w="11900" w:h="16838" w:orient="portrait"/>
          <w:cols w:equalWidth="0" w:num="1">
            <w:col w:w="11300"/>
          </w:cols>
          <w:pgMar w:left="300" w:top="640" w:right="299" w:bottom="1440" w:gutter="0" w:footer="0" w:header="0"/>
          <w:type w:val="continuous"/>
        </w:sectPr>
      </w:pPr>
    </w:p>
    <w:p>
      <w:pPr>
        <w:spacing w:after="0" w:line="5" w:lineRule="exact"/>
        <w:rPr>
          <w:sz w:val="20"/>
          <w:szCs w:val="20"/>
          <w:color w:val="auto"/>
        </w:rPr>
      </w:pPr>
    </w:p>
    <w:p>
      <w:pPr>
        <w:spacing w:after="0" w:line="220" w:lineRule="auto"/>
        <w:rPr>
          <w:sz w:val="20"/>
          <w:szCs w:val="20"/>
          <w:color w:val="auto"/>
        </w:rPr>
      </w:pPr>
      <w:r>
        <w:rPr>
          <w:rFonts w:ascii="Arial" w:cs="Arial" w:eastAsia="Arial" w:hAnsi="Arial"/>
          <w:sz w:val="10"/>
          <w:szCs w:val="10"/>
          <w:color w:val="auto"/>
        </w:rPr>
        <w:t>Review execution of Shell’s HSSE &amp; SP assurance plan and audit outcomes, and review relevant findings from Shell’s broader internal audit programme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Most meetings</w:t>
      </w:r>
    </w:p>
    <w:p>
      <w:pPr>
        <w:spacing w:after="0" w:line="123" w:lineRule="exact"/>
        <w:rPr>
          <w:sz w:val="20"/>
          <w:szCs w:val="20"/>
          <w:color w:val="auto"/>
        </w:rPr>
      </w:pPr>
    </w:p>
    <w:p>
      <w:pPr>
        <w:sectPr>
          <w:pgSz w:w="11900" w:h="16838" w:orient="portrait"/>
          <w:cols w:equalWidth="0" w:num="2">
            <w:col w:w="3740" w:space="140"/>
            <w:col w:w="7420"/>
          </w:cols>
          <w:pgMar w:left="300" w:top="640" w:right="299" w:bottom="1440" w:gutter="0" w:footer="0" w:header="0"/>
          <w:type w:val="continuous"/>
        </w:sectPr>
      </w:pPr>
    </w:p>
    <w:p>
      <w:pPr>
        <w:spacing w:after="0" w:line="220" w:lineRule="auto"/>
        <w:rPr>
          <w:sz w:val="20"/>
          <w:szCs w:val="20"/>
          <w:color w:val="auto"/>
        </w:rPr>
      </w:pPr>
      <w:r>
        <w:rPr>
          <w:rFonts w:ascii="Arial" w:cs="Arial" w:eastAsia="Arial" w:hAnsi="Arial"/>
          <w:sz w:val="10"/>
          <w:szCs w:val="10"/>
          <w:color w:val="auto"/>
        </w:rPr>
        <w:t>Assess Shell’s overall sustainability performance and provide input to Shell’s annual reporting and disclosures regarding sustainability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Annually</w:t>
      </w:r>
    </w:p>
    <w:p>
      <w:pPr>
        <w:spacing w:after="0" w:line="123" w:lineRule="exact"/>
        <w:rPr>
          <w:sz w:val="20"/>
          <w:szCs w:val="20"/>
          <w:color w:val="auto"/>
        </w:rPr>
      </w:pPr>
    </w:p>
    <w:p>
      <w:pPr>
        <w:sectPr>
          <w:pgSz w:w="11900" w:h="16838" w:orient="portrait"/>
          <w:cols w:equalWidth="0" w:num="2">
            <w:col w:w="3780" w:space="100"/>
            <w:col w:w="7420"/>
          </w:cols>
          <w:pgMar w:left="300" w:top="640" w:right="299" w:bottom="1440" w:gutter="0" w:footer="0" w:header="0"/>
          <w:type w:val="continuous"/>
        </w:sectPr>
      </w:pPr>
    </w:p>
    <w:p>
      <w:pPr>
        <w:spacing w:after="0"/>
        <w:rPr>
          <w:sz w:val="20"/>
          <w:szCs w:val="20"/>
          <w:color w:val="auto"/>
        </w:rPr>
      </w:pPr>
      <w:r>
        <w:rPr>
          <w:rFonts w:ascii="Arial" w:cs="Arial" w:eastAsia="Arial" w:hAnsi="Arial"/>
          <w:sz w:val="8"/>
          <w:szCs w:val="8"/>
          <w:color w:val="auto"/>
        </w:rPr>
        <w:t>Review how Shell addresses other major issues of public concern that could affect Shell’s reputation Most meetings</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and licence to operate</w:t>
      </w:r>
    </w:p>
    <w:p>
      <w:pPr>
        <w:sectPr>
          <w:pgSz w:w="11900" w:h="16838" w:orient="portrait"/>
          <w:cols w:equalWidth="0" w:num="1">
            <w:col w:w="11300"/>
          </w:cols>
          <w:pgMar w:left="300" w:top="640" w:right="29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8"/>
          <w:szCs w:val="8"/>
          <w:color w:val="auto"/>
        </w:rPr>
        <w:t>Review and consider external stakeholder perspectives in relation to Shell’s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Periodically</w:t>
      </w:r>
    </w:p>
    <w:p>
      <w:pPr>
        <w:spacing w:after="0" w:line="34" w:lineRule="exact"/>
        <w:rPr>
          <w:sz w:val="20"/>
          <w:szCs w:val="20"/>
          <w:color w:val="auto"/>
        </w:rPr>
      </w:pPr>
    </w:p>
    <w:p>
      <w:pPr>
        <w:sectPr>
          <w:pgSz w:w="11900" w:h="16838" w:orient="portrait"/>
          <w:cols w:equalWidth="0" w:num="2">
            <w:col w:w="3260" w:space="620"/>
            <w:col w:w="7420"/>
          </w:cols>
          <w:pgMar w:left="300" w:top="640" w:right="299" w:bottom="1440" w:gutter="0" w:footer="0" w:header="0"/>
          <w:type w:val="continuous"/>
        </w:sectPr>
      </w:pPr>
    </w:p>
    <w:p>
      <w:pPr>
        <w:spacing w:after="0" w:line="220" w:lineRule="auto"/>
        <w:rPr>
          <w:sz w:val="20"/>
          <w:szCs w:val="20"/>
          <w:color w:val="auto"/>
        </w:rPr>
      </w:pPr>
      <w:r>
        <w:rPr>
          <w:rFonts w:ascii="Arial" w:cs="Arial" w:eastAsia="Arial" w:hAnsi="Arial"/>
          <w:sz w:val="10"/>
          <w:szCs w:val="10"/>
          <w:color w:val="auto"/>
        </w:rPr>
        <w:t>Advise the Remuneration Committee on metrics relating to Sustainable Development and Energy Transition.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Annually</w:t>
      </w:r>
    </w:p>
    <w:p>
      <w:pPr>
        <w:spacing w:after="0" w:line="220" w:lineRule="exact"/>
        <w:rPr>
          <w:sz w:val="20"/>
          <w:szCs w:val="20"/>
          <w:color w:val="auto"/>
        </w:rPr>
      </w:pPr>
    </w:p>
    <w:p>
      <w:pPr>
        <w:sectPr>
          <w:pgSz w:w="11900" w:h="16838" w:orient="portrait"/>
          <w:cols w:equalWidth="0" w:num="2">
            <w:col w:w="3740" w:space="140"/>
            <w:col w:w="7420"/>
          </w:cols>
          <w:pgMar w:left="300" w:top="640" w:right="299" w:bottom="1440" w:gutter="0" w:footer="0" w:header="0"/>
          <w:type w:val="continuous"/>
        </w:sectPr>
      </w:pPr>
    </w:p>
    <w:p>
      <w:pPr>
        <w:spacing w:after="0"/>
        <w:rPr>
          <w:sz w:val="20"/>
          <w:szCs w:val="20"/>
          <w:color w:val="auto"/>
        </w:rPr>
      </w:pPr>
      <w:r>
        <w:rPr>
          <w:rFonts w:ascii="Arial" w:cs="Arial" w:eastAsia="Arial" w:hAnsi="Arial"/>
          <w:sz w:val="10"/>
          <w:szCs w:val="10"/>
          <w:b w:val="1"/>
          <w:bCs w:val="1"/>
          <w:color w:val="auto"/>
        </w:rPr>
        <w:t>SITE VISITS</w:t>
      </w:r>
    </w:p>
    <w:p>
      <w:pPr>
        <w:spacing w:after="0" w:line="5" w:lineRule="exact"/>
        <w:rPr>
          <w:sz w:val="20"/>
          <w:szCs w:val="20"/>
          <w:color w:val="auto"/>
        </w:rPr>
      </w:pPr>
    </w:p>
    <w:p>
      <w:pPr>
        <w:spacing w:after="0"/>
        <w:rPr>
          <w:sz w:val="20"/>
          <w:szCs w:val="20"/>
          <w:color w:val="auto"/>
        </w:rPr>
      </w:pPr>
      <w:r>
        <w:rPr>
          <w:rFonts w:ascii="Arial" w:cs="Arial" w:eastAsia="Arial" w:hAnsi="Arial"/>
          <w:sz w:val="10"/>
          <w:szCs w:val="10"/>
          <w:color w:val="auto"/>
        </w:rPr>
        <w:t>The Committee postponed its site visits of the Rheinland refinery in Germany and LNG Canada project in British Columbia due to the</w:t>
      </w:r>
    </w:p>
    <w:p>
      <w:pPr>
        <w:spacing w:after="0" w:line="225" w:lineRule="auto"/>
        <w:rPr>
          <w:sz w:val="20"/>
          <w:szCs w:val="20"/>
          <w:color w:val="auto"/>
        </w:rPr>
      </w:pPr>
      <w:r>
        <w:rPr>
          <w:rFonts w:ascii="Arial" w:cs="Arial" w:eastAsia="Arial" w:hAnsi="Arial"/>
          <w:sz w:val="10"/>
          <w:szCs w:val="10"/>
          <w:color w:val="auto"/>
        </w:rPr>
        <w:t>COVID-19 pandemic. The committee instead conducted a virtual site visit of Rheinland via videoconference. The visit focused on</w:t>
      </w:r>
    </w:p>
    <w:p>
      <w:pPr>
        <w:spacing w:after="0" w:line="225" w:lineRule="auto"/>
        <w:rPr>
          <w:sz w:val="20"/>
          <w:szCs w:val="20"/>
          <w:color w:val="auto"/>
        </w:rPr>
      </w:pPr>
      <w:r>
        <w:rPr>
          <w:rFonts w:ascii="Arial" w:cs="Arial" w:eastAsia="Arial" w:hAnsi="Arial"/>
          <w:sz w:val="10"/>
          <w:szCs w:val="10"/>
          <w:color w:val="auto"/>
        </w:rPr>
        <w:t>safety and environmental performance and the planned transformation of the Rheinland site into an energy and chemicals park. It also</w:t>
      </w:r>
    </w:p>
    <w:p>
      <w:pPr>
        <w:spacing w:after="0" w:line="237" w:lineRule="auto"/>
        <w:rPr>
          <w:sz w:val="20"/>
          <w:szCs w:val="20"/>
          <w:color w:val="auto"/>
        </w:rPr>
      </w:pPr>
      <w:r>
        <w:rPr>
          <w:rFonts w:ascii="Arial" w:cs="Arial" w:eastAsia="Arial" w:hAnsi="Arial"/>
          <w:sz w:val="10"/>
          <w:szCs w:val="10"/>
          <w:color w:val="auto"/>
        </w:rPr>
        <w:t>included a meeting with a minister of the state government of North Rhine-Westphalia.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107</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9"/>
          <w:szCs w:val="19"/>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462915" cy="228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0"/>
          <w:szCs w:val="10"/>
          <w:b w:val="1"/>
          <w:bCs w:val="1"/>
          <w:color w:val="EE2724"/>
        </w:rPr>
        <w:t>ANN GODBEHERE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-1017905</wp:posOffset>
            </wp:positionV>
            <wp:extent cx="1834515" cy="914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834515" cy="914400"/>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Chair of the Audit Committee</w:t>
      </w:r>
    </w:p>
    <w:p>
      <w:pPr>
        <w:spacing w:after="0" w:line="143" w:lineRule="exact"/>
        <w:rPr>
          <w:sz w:val="20"/>
          <w:szCs w:val="20"/>
          <w:color w:val="auto"/>
        </w:rPr>
      </w:pPr>
    </w:p>
    <w:p>
      <w:pPr>
        <w:ind w:right="40"/>
        <w:spacing w:after="0" w:line="260" w:lineRule="auto"/>
        <w:rPr>
          <w:sz w:val="20"/>
          <w:szCs w:val="20"/>
          <w:color w:val="auto"/>
        </w:rPr>
      </w:pPr>
      <w:r>
        <w:rPr>
          <w:rFonts w:ascii="Arial" w:cs="Arial" w:eastAsia="Arial" w:hAnsi="Arial"/>
          <w:sz w:val="21"/>
          <w:szCs w:val="21"/>
          <w:b w:val="1"/>
          <w:bCs w:val="1"/>
          <w:color w:val="EE2724"/>
        </w:rPr>
        <w:t>"</w:t>
      </w:r>
      <w:r>
        <w:rPr>
          <w:rFonts w:ascii="Arial" w:cs="Arial" w:eastAsia="Arial" w:hAnsi="Arial"/>
          <w:sz w:val="21"/>
          <w:szCs w:val="21"/>
          <w:color w:val="EE2724"/>
        </w:rPr>
        <w:t>The primary role of the AC is to assist the Board in fulfilling</w:t>
      </w:r>
      <w:r>
        <w:rPr>
          <w:rFonts w:ascii="Arial" w:cs="Arial" w:eastAsia="Arial" w:hAnsi="Arial"/>
          <w:sz w:val="21"/>
          <w:szCs w:val="21"/>
          <w:b w:val="1"/>
          <w:bCs w:val="1"/>
          <w:color w:val="EE2724"/>
        </w:rPr>
        <w:t xml:space="preserve"> </w:t>
      </w:r>
      <w:r>
        <w:rPr>
          <w:rFonts w:ascii="Arial" w:cs="Arial" w:eastAsia="Arial" w:hAnsi="Arial"/>
          <w:sz w:val="21"/>
          <w:szCs w:val="21"/>
          <w:color w:val="EE2724"/>
        </w:rPr>
        <w:t>its oversight responsibilities in areas such as the integrity of financial reporting, the effectiveness of the risk management framework and internal control system as well as consideration of compliance matters."</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b w:val="1"/>
          <w:bCs w:val="1"/>
          <w:color w:val="EE2724"/>
        </w:rPr>
        <w:t>Focus areas for 2020</w:t>
      </w:r>
    </w:p>
    <w:p>
      <w:pPr>
        <w:spacing w:after="0" w:line="157" w:lineRule="exact"/>
        <w:rPr>
          <w:sz w:val="20"/>
          <w:szCs w:val="20"/>
          <w:color w:val="auto"/>
        </w:rPr>
      </w:pPr>
    </w:p>
    <w:p>
      <w:pPr>
        <w:ind w:left="420" w:hanging="212"/>
        <w:spacing w:after="0"/>
        <w:tabs>
          <w:tab w:leader="none" w:pos="420" w:val="left"/>
        </w:tabs>
        <w:numPr>
          <w:ilvl w:val="0"/>
          <w:numId w:val="101"/>
        </w:numPr>
        <w:rPr>
          <w:rFonts w:ascii="Arial" w:cs="Arial" w:eastAsia="Arial" w:hAnsi="Arial"/>
          <w:sz w:val="10"/>
          <w:szCs w:val="10"/>
          <w:color w:val="auto"/>
        </w:rPr>
      </w:pPr>
      <w:r>
        <w:rPr>
          <w:rFonts w:ascii="Arial" w:cs="Arial" w:eastAsia="Arial" w:hAnsi="Arial"/>
          <w:sz w:val="10"/>
          <w:szCs w:val="10"/>
          <w:color w:val="auto"/>
        </w:rPr>
        <w:t>Impacts of the COVID-19 pandemic and macroeconomic conditions</w:t>
      </w:r>
    </w:p>
    <w:p>
      <w:pPr>
        <w:spacing w:after="0" w:line="1" w:lineRule="exact"/>
        <w:rPr>
          <w:rFonts w:ascii="Arial" w:cs="Arial" w:eastAsia="Arial" w:hAnsi="Arial"/>
          <w:sz w:val="10"/>
          <w:szCs w:val="10"/>
          <w:color w:val="auto"/>
        </w:rPr>
      </w:pPr>
    </w:p>
    <w:p>
      <w:pPr>
        <w:ind w:left="420" w:hanging="212"/>
        <w:spacing w:after="0" w:line="225" w:lineRule="auto"/>
        <w:tabs>
          <w:tab w:leader="none" w:pos="420" w:val="left"/>
        </w:tabs>
        <w:numPr>
          <w:ilvl w:val="0"/>
          <w:numId w:val="101"/>
        </w:numPr>
        <w:rPr>
          <w:rFonts w:ascii="Arial" w:cs="Arial" w:eastAsia="Arial" w:hAnsi="Arial"/>
          <w:sz w:val="10"/>
          <w:szCs w:val="10"/>
          <w:color w:val="auto"/>
        </w:rPr>
      </w:pPr>
      <w:r>
        <w:rPr>
          <w:rFonts w:ascii="Arial" w:cs="Arial" w:eastAsia="Arial" w:hAnsi="Arial"/>
          <w:sz w:val="10"/>
          <w:szCs w:val="10"/>
          <w:color w:val="auto"/>
        </w:rPr>
        <w:t>Decommissioning and restoration</w:t>
      </w:r>
    </w:p>
    <w:p>
      <w:pPr>
        <w:ind w:left="420" w:hanging="212"/>
        <w:spacing w:after="0" w:line="225" w:lineRule="auto"/>
        <w:tabs>
          <w:tab w:leader="none" w:pos="420" w:val="left"/>
        </w:tabs>
        <w:numPr>
          <w:ilvl w:val="0"/>
          <w:numId w:val="101"/>
        </w:numPr>
        <w:rPr>
          <w:rFonts w:ascii="Arial" w:cs="Arial" w:eastAsia="Arial" w:hAnsi="Arial"/>
          <w:sz w:val="10"/>
          <w:szCs w:val="10"/>
          <w:color w:val="auto"/>
        </w:rPr>
      </w:pPr>
      <w:r>
        <w:rPr>
          <w:rFonts w:ascii="Arial" w:cs="Arial" w:eastAsia="Arial" w:hAnsi="Arial"/>
          <w:sz w:val="10"/>
          <w:szCs w:val="10"/>
          <w:color w:val="auto"/>
        </w:rPr>
        <w:t>Integrated risk management</w:t>
      </w:r>
    </w:p>
    <w:p>
      <w:pPr>
        <w:ind w:left="420" w:hanging="212"/>
        <w:spacing w:after="0" w:line="206" w:lineRule="auto"/>
        <w:tabs>
          <w:tab w:leader="none" w:pos="420" w:val="left"/>
        </w:tabs>
        <w:numPr>
          <w:ilvl w:val="0"/>
          <w:numId w:val="101"/>
        </w:numPr>
        <w:rPr>
          <w:rFonts w:ascii="Arial" w:cs="Arial" w:eastAsia="Arial" w:hAnsi="Arial"/>
          <w:sz w:val="10"/>
          <w:szCs w:val="10"/>
          <w:color w:val="auto"/>
        </w:rPr>
      </w:pPr>
      <w:r>
        <w:rPr>
          <w:rFonts w:ascii="Arial" w:cs="Arial" w:eastAsia="Arial" w:hAnsi="Arial"/>
          <w:sz w:val="10"/>
          <w:szCs w:val="10"/>
          <w:color w:val="auto"/>
        </w:rPr>
        <w:t>Trading and Supply</w:t>
      </w:r>
    </w:p>
    <w:p>
      <w:pPr>
        <w:ind w:left="420" w:hanging="212"/>
        <w:spacing w:after="0" w:line="236" w:lineRule="auto"/>
        <w:tabs>
          <w:tab w:leader="none" w:pos="420" w:val="left"/>
        </w:tabs>
        <w:numPr>
          <w:ilvl w:val="0"/>
          <w:numId w:val="101"/>
        </w:numPr>
        <w:rPr>
          <w:rFonts w:ascii="Arial" w:cs="Arial" w:eastAsia="Arial" w:hAnsi="Arial"/>
          <w:sz w:val="10"/>
          <w:szCs w:val="10"/>
          <w:color w:val="auto"/>
        </w:rPr>
      </w:pPr>
      <w:r>
        <w:rPr>
          <w:rFonts w:ascii="Arial" w:cs="Arial" w:eastAsia="Arial" w:hAnsi="Arial"/>
          <w:sz w:val="10"/>
          <w:szCs w:val="10"/>
          <w:color w:val="auto"/>
        </w:rPr>
        <w:t>Treasury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EE2724"/>
        </w:rPr>
        <w:t>Priorities for 2021</w:t>
      </w:r>
    </w:p>
    <w:p>
      <w:pPr>
        <w:spacing w:after="0" w:line="157" w:lineRule="exact"/>
        <w:rPr>
          <w:sz w:val="20"/>
          <w:szCs w:val="20"/>
          <w:color w:val="auto"/>
        </w:rPr>
      </w:pPr>
    </w:p>
    <w:p>
      <w:pPr>
        <w:ind w:left="420" w:hanging="212"/>
        <w:spacing w:after="0"/>
        <w:tabs>
          <w:tab w:leader="none" w:pos="420" w:val="left"/>
        </w:tabs>
        <w:numPr>
          <w:ilvl w:val="0"/>
          <w:numId w:val="102"/>
        </w:numPr>
        <w:rPr>
          <w:rFonts w:ascii="Arial" w:cs="Arial" w:eastAsia="Arial" w:hAnsi="Arial"/>
          <w:sz w:val="10"/>
          <w:szCs w:val="10"/>
          <w:color w:val="auto"/>
        </w:rPr>
      </w:pPr>
      <w:r>
        <w:rPr>
          <w:rFonts w:ascii="Arial" w:cs="Arial" w:eastAsia="Arial" w:hAnsi="Arial"/>
          <w:sz w:val="10"/>
          <w:szCs w:val="10"/>
          <w:color w:val="auto"/>
        </w:rPr>
        <w:t>New business models and ventures</w:t>
      </w:r>
    </w:p>
    <w:p>
      <w:pPr>
        <w:spacing w:after="0" w:line="1" w:lineRule="exact"/>
        <w:rPr>
          <w:rFonts w:ascii="Arial" w:cs="Arial" w:eastAsia="Arial" w:hAnsi="Arial"/>
          <w:sz w:val="10"/>
          <w:szCs w:val="10"/>
          <w:color w:val="auto"/>
        </w:rPr>
      </w:pPr>
    </w:p>
    <w:p>
      <w:pPr>
        <w:ind w:left="420" w:hanging="212"/>
        <w:spacing w:after="0" w:line="225" w:lineRule="auto"/>
        <w:tabs>
          <w:tab w:leader="none" w:pos="420" w:val="left"/>
        </w:tabs>
        <w:numPr>
          <w:ilvl w:val="0"/>
          <w:numId w:val="102"/>
        </w:numPr>
        <w:rPr>
          <w:rFonts w:ascii="Arial" w:cs="Arial" w:eastAsia="Arial" w:hAnsi="Arial"/>
          <w:sz w:val="10"/>
          <w:szCs w:val="10"/>
          <w:color w:val="auto"/>
        </w:rPr>
      </w:pPr>
      <w:r>
        <w:rPr>
          <w:rFonts w:ascii="Arial" w:cs="Arial" w:eastAsia="Arial" w:hAnsi="Arial"/>
          <w:sz w:val="10"/>
          <w:szCs w:val="10"/>
          <w:color w:val="auto"/>
        </w:rPr>
        <w:t>Pensions</w:t>
      </w:r>
    </w:p>
    <w:p>
      <w:pPr>
        <w:ind w:left="420" w:hanging="212"/>
        <w:spacing w:after="0" w:line="225" w:lineRule="auto"/>
        <w:tabs>
          <w:tab w:leader="none" w:pos="420" w:val="left"/>
        </w:tabs>
        <w:numPr>
          <w:ilvl w:val="0"/>
          <w:numId w:val="102"/>
        </w:numPr>
        <w:rPr>
          <w:rFonts w:ascii="Arial" w:cs="Arial" w:eastAsia="Arial" w:hAnsi="Arial"/>
          <w:sz w:val="10"/>
          <w:szCs w:val="10"/>
          <w:color w:val="auto"/>
        </w:rPr>
      </w:pPr>
      <w:r>
        <w:rPr>
          <w:rFonts w:ascii="Arial" w:cs="Arial" w:eastAsia="Arial" w:hAnsi="Arial"/>
          <w:sz w:val="10"/>
          <w:szCs w:val="10"/>
          <w:color w:val="auto"/>
        </w:rPr>
        <w:t>Contracting and procurement</w:t>
      </w:r>
    </w:p>
    <w:p>
      <w:pPr>
        <w:ind w:left="420" w:hanging="212"/>
        <w:spacing w:after="0" w:line="225" w:lineRule="auto"/>
        <w:tabs>
          <w:tab w:leader="none" w:pos="420" w:val="left"/>
        </w:tabs>
        <w:numPr>
          <w:ilvl w:val="0"/>
          <w:numId w:val="102"/>
        </w:numPr>
        <w:rPr>
          <w:rFonts w:ascii="Arial" w:cs="Arial" w:eastAsia="Arial" w:hAnsi="Arial"/>
          <w:sz w:val="10"/>
          <w:szCs w:val="10"/>
          <w:color w:val="auto"/>
        </w:rPr>
      </w:pPr>
      <w:r>
        <w:rPr>
          <w:rFonts w:ascii="Arial" w:cs="Arial" w:eastAsia="Arial" w:hAnsi="Arial"/>
          <w:sz w:val="10"/>
          <w:szCs w:val="10"/>
          <w:color w:val="auto"/>
        </w:rPr>
        <w:t>Reshape management framework</w:t>
      </w:r>
    </w:p>
    <w:p>
      <w:pPr>
        <w:ind w:left="420" w:hanging="212"/>
        <w:spacing w:after="0" w:line="236" w:lineRule="auto"/>
        <w:tabs>
          <w:tab w:leader="none" w:pos="420" w:val="left"/>
        </w:tabs>
        <w:numPr>
          <w:ilvl w:val="0"/>
          <w:numId w:val="102"/>
        </w:numPr>
        <w:rPr>
          <w:rFonts w:ascii="Arial" w:cs="Arial" w:eastAsia="Arial" w:hAnsi="Arial"/>
          <w:sz w:val="10"/>
          <w:szCs w:val="10"/>
          <w:color w:val="auto"/>
        </w:rPr>
      </w:pPr>
      <w:r>
        <w:rPr>
          <w:rFonts w:ascii="Arial" w:cs="Arial" w:eastAsia="Arial" w:hAnsi="Arial"/>
          <w:sz w:val="10"/>
          <w:szCs w:val="10"/>
          <w:color w:val="auto"/>
        </w:rPr>
        <w:t>Oil and gas pricing methodology</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Dear Shareholders,</w:t>
      </w:r>
    </w:p>
    <w:p>
      <w:pPr>
        <w:spacing w:after="0" w:line="155" w:lineRule="exact"/>
        <w:rPr>
          <w:sz w:val="20"/>
          <w:szCs w:val="20"/>
          <w:color w:val="auto"/>
        </w:rPr>
      </w:pPr>
    </w:p>
    <w:p>
      <w:pPr>
        <w:ind w:right="320"/>
        <w:spacing w:after="0" w:line="239" w:lineRule="auto"/>
        <w:rPr>
          <w:sz w:val="20"/>
          <w:szCs w:val="20"/>
          <w:color w:val="auto"/>
        </w:rPr>
      </w:pPr>
      <w:r>
        <w:rPr>
          <w:rFonts w:ascii="Arial" w:cs="Arial" w:eastAsia="Arial" w:hAnsi="Arial"/>
          <w:sz w:val="10"/>
          <w:szCs w:val="10"/>
          <w:color w:val="auto"/>
        </w:rPr>
        <w:t>I am pleased to present our Audit Committee Report for 2020 covering our work over the course of the year including some areas of particular focus.</w:t>
      </w:r>
    </w:p>
    <w:p>
      <w:pPr>
        <w:spacing w:after="0" w:line="149" w:lineRule="exact"/>
        <w:rPr>
          <w:sz w:val="20"/>
          <w:szCs w:val="20"/>
          <w:color w:val="auto"/>
        </w:rPr>
      </w:pPr>
    </w:p>
    <w:p>
      <w:pPr>
        <w:jc w:val="both"/>
        <w:ind w:right="60"/>
        <w:spacing w:after="0" w:line="234" w:lineRule="auto"/>
        <w:rPr>
          <w:sz w:val="20"/>
          <w:szCs w:val="20"/>
          <w:color w:val="auto"/>
        </w:rPr>
      </w:pPr>
      <w:r>
        <w:rPr>
          <w:rFonts w:ascii="Arial" w:cs="Arial" w:eastAsia="Arial" w:hAnsi="Arial"/>
          <w:sz w:val="10"/>
          <w:szCs w:val="10"/>
          <w:color w:val="auto"/>
        </w:rPr>
        <w:t>I begin this report by thanking Roberto Setubal for his contributions as a member of the Audit Committee (AC) since October 2017. Gerrit and I were delighted to be joined by new committee members Martina Hund-Mejean and Dick Boer. Their respective expertise and insights are a valuable addition to the AC.</w:t>
      </w:r>
    </w:p>
    <w:p>
      <w:pPr>
        <w:spacing w:after="0" w:line="150" w:lineRule="exact"/>
        <w:rPr>
          <w:sz w:val="20"/>
          <w:szCs w:val="20"/>
          <w:color w:val="auto"/>
        </w:rPr>
      </w:pPr>
    </w:p>
    <w:p>
      <w:pPr>
        <w:spacing w:after="0" w:line="239" w:lineRule="auto"/>
        <w:rPr>
          <w:sz w:val="20"/>
          <w:szCs w:val="20"/>
          <w:color w:val="auto"/>
        </w:rPr>
      </w:pPr>
      <w:r>
        <w:rPr>
          <w:rFonts w:ascii="Arial" w:cs="Arial" w:eastAsia="Arial" w:hAnsi="Arial"/>
          <w:sz w:val="10"/>
          <w:szCs w:val="10"/>
          <w:color w:val="auto"/>
        </w:rPr>
        <w:t>The primary role of the AC is to assist the Board in fulfilling its oversight responsibilities in areas such as the integrity of financial reporting, the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40"/>
        <w:spacing w:after="0" w:line="232" w:lineRule="auto"/>
        <w:rPr>
          <w:sz w:val="20"/>
          <w:szCs w:val="20"/>
          <w:color w:val="auto"/>
        </w:rPr>
      </w:pPr>
      <w:r>
        <w:rPr>
          <w:rFonts w:ascii="Arial" w:cs="Arial" w:eastAsia="Arial" w:hAnsi="Arial"/>
          <w:sz w:val="10"/>
          <w:szCs w:val="10"/>
          <w:color w:val="auto"/>
        </w:rPr>
        <w:t>effectiveness of the risk management framework and system of internal controls as well as consideration of ethics and compliance matters. We are also responsible for assessing the quality of the audit performed by, and the independence and objectivity of, the external auditor. The AC also makes a recommendation to the Board on the appointment or reappointment of the external auditor. In addition, we oversee the work and quality of the internal audit function.</w:t>
      </w:r>
    </w:p>
    <w:p>
      <w:pPr>
        <w:spacing w:after="0" w:line="149" w:lineRule="exact"/>
        <w:rPr>
          <w:sz w:val="20"/>
          <w:szCs w:val="20"/>
          <w:color w:val="auto"/>
        </w:rPr>
      </w:pPr>
    </w:p>
    <w:p>
      <w:pPr>
        <w:ind w:right="120"/>
        <w:spacing w:after="0" w:line="288" w:lineRule="auto"/>
        <w:rPr>
          <w:sz w:val="20"/>
          <w:szCs w:val="20"/>
          <w:color w:val="auto"/>
        </w:rPr>
      </w:pPr>
      <w:r>
        <w:rPr>
          <w:rFonts w:ascii="Arial" w:cs="Arial" w:eastAsia="Arial" w:hAnsi="Arial"/>
          <w:sz w:val="8"/>
          <w:szCs w:val="8"/>
          <w:color w:val="auto"/>
        </w:rPr>
        <w:t>Over the course of a year, the AC has a rolling agenda covering a variety of standing matters such as the control framework for the reporting of Shell’s oil and gas reserves; information risk management; tax matters; briefings from the Chief Internal Auditor on the effectiveness of Shell’s risk management and internal control system and on the outcomes of significant audits and notable control matters, and briefings from the Chief Ethics and Compliance Officer. Specific attention is given to topics that we consider particularly significant, including key areas of judgement relating to Shell’s Consolidated Financial Statements, as discussed in more detail later in this report. In 2020, in addition to standing matters, the AC addressed a variety of special focus areas including: the impacts of the COVID-19 pandemic on the controls and assurance environment; the impacts of the macroeconomic conditions on the outlook for commodity prices and refining margin assumptions; the effectiveness of decommissioning and restoration activities; a review of the integrated risk management landscape across Shell; an in-depth look at Shell’s treasury operations; and a review of Trading and Supply’s risk management strategy and platform, data and systems update. The AC carried out virtual site visits to Shell’s operations in Singapore, Krakow, and Kuala Lumpur. In addition, in March prior to a travel ban prompted by COVID-19, I spent three days in Houston visiting all of Shell’s operations. These site visits contribute to the AC’s understanding of the risks and opportunities arising in key markets and where important functions are carried out. The visits also provide the opportunity for the AC to engage with a diverse range of Shell staff in each location and to hear directly from them.</w:t>
      </w:r>
    </w:p>
    <w:p>
      <w:pPr>
        <w:spacing w:after="0" w:line="232" w:lineRule="exact"/>
        <w:rPr>
          <w:sz w:val="20"/>
          <w:szCs w:val="20"/>
          <w:color w:val="auto"/>
        </w:rPr>
      </w:pPr>
    </w:p>
    <w:p>
      <w:pPr>
        <w:ind w:right="200"/>
        <w:spacing w:after="0" w:line="260" w:lineRule="auto"/>
        <w:rPr>
          <w:sz w:val="20"/>
          <w:szCs w:val="20"/>
          <w:color w:val="auto"/>
        </w:rPr>
      </w:pPr>
      <w:r>
        <w:rPr>
          <w:rFonts w:ascii="Arial" w:cs="Arial" w:eastAsia="Arial" w:hAnsi="Arial"/>
          <w:sz w:val="8"/>
          <w:szCs w:val="8"/>
          <w:color w:val="auto"/>
        </w:rPr>
        <w:t>As climate change and energy transition gained further prominence and to help the AC keep abreast of the Company’s efforts and strategies to manage potential impacts on Shell’s assets, I became a member of the Safety, Environment and Sustainability Committee in 2020. In addition, the AC requested Ernst and Young LLP (EY), our external auditor, and the Chief Internal Auditor to specify in their respective quarterly reports to the AC what specific steps they have taken to incorporate climate change considerations into all facets of their work.</w:t>
      </w:r>
    </w:p>
    <w:p>
      <w:pPr>
        <w:spacing w:after="0" w:line="132" w:lineRule="exact"/>
        <w:rPr>
          <w:sz w:val="20"/>
          <w:szCs w:val="20"/>
          <w:color w:val="auto"/>
        </w:rPr>
      </w:pPr>
    </w:p>
    <w:p>
      <w:pPr>
        <w:ind w:right="240"/>
        <w:spacing w:after="0" w:line="234" w:lineRule="auto"/>
        <w:rPr>
          <w:sz w:val="20"/>
          <w:szCs w:val="20"/>
          <w:color w:val="auto"/>
        </w:rPr>
      </w:pPr>
      <w:r>
        <w:rPr>
          <w:rFonts w:ascii="Arial" w:cs="Arial" w:eastAsia="Arial" w:hAnsi="Arial"/>
          <w:sz w:val="10"/>
          <w:szCs w:val="10"/>
          <w:color w:val="auto"/>
        </w:rPr>
        <w:t>On a final note, the AC congratulates Shell's Annual Report team on winning the FD Henri Sijthoff Prize for the best 2019 annual report in the “listed companies” category in the Netherlands. The award recognises Shell’s pursuit of continual transparency improvements in its communications with external stakeholders.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ANN GODBEHERE</w:t>
      </w:r>
    </w:p>
    <w:p>
      <w:pPr>
        <w:spacing w:after="0" w:line="227" w:lineRule="auto"/>
        <w:rPr>
          <w:sz w:val="20"/>
          <w:szCs w:val="20"/>
          <w:color w:val="auto"/>
        </w:rPr>
      </w:pPr>
      <w:r>
        <w:rPr>
          <w:rFonts w:ascii="Arial" w:cs="Arial" w:eastAsia="Arial" w:hAnsi="Arial"/>
          <w:sz w:val="10"/>
          <w:szCs w:val="10"/>
          <w:color w:val="auto"/>
        </w:rPr>
        <w:t>Chair of the Audit Committee</w:t>
      </w:r>
    </w:p>
    <w:p>
      <w:pPr>
        <w:spacing w:after="0" w:line="237" w:lineRule="auto"/>
        <w:rPr>
          <w:sz w:val="20"/>
          <w:szCs w:val="20"/>
          <w:color w:val="auto"/>
        </w:rPr>
      </w:pPr>
      <w:r>
        <w:rPr>
          <w:rFonts w:ascii="Arial" w:cs="Arial" w:eastAsia="Arial" w:hAnsi="Arial"/>
          <w:sz w:val="10"/>
          <w:szCs w:val="10"/>
          <w:color w:val="auto"/>
        </w:rPr>
        <w:t>March 10, 2021</w:t>
      </w:r>
    </w:p>
    <w:p>
      <w:pPr>
        <w:spacing w:after="0" w:line="3286" w:lineRule="exact"/>
        <w:rPr>
          <w:sz w:val="20"/>
          <w:szCs w:val="20"/>
          <w:color w:val="auto"/>
        </w:rPr>
      </w:pPr>
    </w:p>
    <w:p>
      <w:pPr>
        <w:sectPr>
          <w:pgSz w:w="11900" w:h="16838" w:orient="portrait"/>
          <w:cols w:equalWidth="0" w:num="2">
            <w:col w:w="5400" w:space="340"/>
            <w:col w:w="5560"/>
          </w:cols>
          <w:pgMar w:left="300" w:top="721" w:right="299" w:bottom="1440" w:gutter="0" w:footer="0" w:header="0"/>
          <w:type w:val="continuous"/>
        </w:sectPr>
      </w:pP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108</w:t>
            </w:r>
          </w:p>
        </w:tc>
      </w:tr>
      <w:tr>
        <w:trPr>
          <w:trHeight w:val="142"/>
        </w:trPr>
        <w:tc>
          <w:tcPr>
            <w:tcW w:w="3420" w:type="dxa"/>
            <w:vAlign w:val="bottom"/>
            <w:tcBorders>
              <w:bottom w:val="single" w:sz="8" w:color="9A9A9A"/>
            </w:tcBorders>
          </w:tcPr>
          <w:p>
            <w:pPr>
              <w:spacing w:after="0"/>
              <w:rPr>
                <w:sz w:val="12"/>
                <w:szCs w:val="12"/>
                <w:color w:val="auto"/>
              </w:rPr>
            </w:pPr>
          </w:p>
        </w:tc>
        <w:tc>
          <w:tcPr>
            <w:tcW w:w="78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type w:val="continuous"/>
        </w:sectPr>
      </w:pPr>
    </w:p>
    <w:bookmarkStart w:id="111" w:name="page112"/>
    <w:bookmarkEnd w:id="111"/>
    <w:p>
      <w:pPr>
        <w:spacing w:after="0" w:line="16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COMMITTEE MEMBERSHIP AND ATTENDANCE FOR 2020</w:t>
      </w:r>
    </w:p>
    <w:p>
      <w:pPr>
        <w:spacing w:after="0" w:line="1" w:lineRule="exact"/>
        <w:rPr>
          <w:sz w:val="20"/>
          <w:szCs w:val="20"/>
          <w:color w:val="auto"/>
        </w:rPr>
      </w:pPr>
    </w:p>
    <w:p>
      <w:pPr>
        <w:ind w:left="8"/>
        <w:spacing w:after="0"/>
        <w:rPr>
          <w:sz w:val="20"/>
          <w:szCs w:val="20"/>
          <w:color w:val="auto"/>
        </w:rPr>
      </w:pPr>
      <w:r>
        <w:rPr>
          <w:rFonts w:ascii="Arial" w:cs="Arial" w:eastAsia="Arial" w:hAnsi="Arial"/>
          <w:sz w:val="10"/>
          <w:szCs w:val="10"/>
          <w:color w:val="auto"/>
        </w:rPr>
        <w:t>During 2020, the members and meeting attendance of the AC were as follows:</w:t>
      </w:r>
    </w:p>
    <w:p>
      <w:pPr>
        <w:spacing w:after="0" w:line="60" w:lineRule="exact"/>
        <w:rPr>
          <w:sz w:val="20"/>
          <w:szCs w:val="20"/>
          <w:color w:val="auto"/>
        </w:rPr>
      </w:pPr>
    </w:p>
    <w:tbl>
      <w:tblPr>
        <w:tblLayout w:type="fixed"/>
        <w:tblInd w:w="128" w:type="dxa"/>
        <w:tblCellMar>
          <w:top w:w="0" w:type="dxa"/>
          <w:left w:w="0" w:type="dxa"/>
          <w:bottom w:w="0" w:type="dxa"/>
          <w:right w:w="0" w:type="dxa"/>
        </w:tblCellMar>
      </w:tblPr>
      <w:tr>
        <w:trPr>
          <w:trHeight w:val="99"/>
        </w:trPr>
        <w:tc>
          <w:tcPr>
            <w:tcW w:w="100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color w:val="auto"/>
              </w:rPr>
              <w:t>Committee Member</w:t>
            </w:r>
          </w:p>
        </w:tc>
        <w:tc>
          <w:tcPr>
            <w:tcW w:w="1080" w:type="dxa"/>
            <w:vAlign w:val="bottom"/>
            <w:tcBorders>
              <w:top w:val="single" w:sz="8" w:color="auto"/>
            </w:tcBorders>
            <w:vMerge w:val="restart"/>
          </w:tcPr>
          <w:p>
            <w:pPr>
              <w:jc w:val="right"/>
              <w:ind w:right="432"/>
              <w:spacing w:after="0"/>
              <w:rPr>
                <w:sz w:val="20"/>
                <w:szCs w:val="20"/>
                <w:color w:val="auto"/>
              </w:rPr>
            </w:pPr>
            <w:r>
              <w:rPr>
                <w:rFonts w:ascii="Arial" w:cs="Arial" w:eastAsia="Arial" w:hAnsi="Arial"/>
                <w:sz w:val="10"/>
                <w:szCs w:val="10"/>
                <w:color w:val="auto"/>
                <w:w w:val="92"/>
              </w:rPr>
              <w:t>Member since</w:t>
            </w:r>
          </w:p>
        </w:tc>
        <w:tc>
          <w:tcPr>
            <w:tcW w:w="900" w:type="dxa"/>
            <w:vAlign w:val="bottom"/>
            <w:tcBorders>
              <w:top w:val="single" w:sz="8" w:color="auto"/>
            </w:tcBorders>
          </w:tcPr>
          <w:p>
            <w:pPr>
              <w:ind w:left="20"/>
              <w:spacing w:after="0" w:line="99" w:lineRule="exact"/>
              <w:rPr>
                <w:sz w:val="20"/>
                <w:szCs w:val="20"/>
                <w:color w:val="auto"/>
              </w:rPr>
            </w:pPr>
            <w:r>
              <w:rPr>
                <w:rFonts w:ascii="Arial" w:cs="Arial" w:eastAsia="Arial" w:hAnsi="Arial"/>
                <w:sz w:val="10"/>
                <w:szCs w:val="10"/>
                <w:color w:val="auto"/>
              </w:rPr>
              <w:t>Maximum possible</w:t>
            </w:r>
          </w:p>
        </w:tc>
        <w:tc>
          <w:tcPr>
            <w:tcW w:w="1060" w:type="dxa"/>
            <w:vAlign w:val="bottom"/>
            <w:tcBorders>
              <w:top w:val="single" w:sz="8" w:color="auto"/>
            </w:tcBorders>
          </w:tcPr>
          <w:p>
            <w:pPr>
              <w:ind w:left="140"/>
              <w:spacing w:after="0" w:line="99" w:lineRule="exact"/>
              <w:rPr>
                <w:sz w:val="20"/>
                <w:szCs w:val="20"/>
                <w:color w:val="auto"/>
              </w:rPr>
            </w:pPr>
            <w:r>
              <w:rPr>
                <w:rFonts w:ascii="Arial" w:cs="Arial" w:eastAsia="Arial" w:hAnsi="Arial"/>
                <w:sz w:val="10"/>
                <w:szCs w:val="10"/>
                <w:color w:val="auto"/>
                <w:w w:val="99"/>
              </w:rPr>
              <w:t>Number of meetings</w:t>
            </w:r>
          </w:p>
        </w:tc>
        <w:tc>
          <w:tcPr>
            <w:tcW w:w="114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w w:val="95"/>
              </w:rPr>
              <w:t>% of meetings attended</w:t>
            </w:r>
          </w:p>
        </w:tc>
        <w:tc>
          <w:tcPr>
            <w:tcW w:w="0" w:type="dxa"/>
            <w:vAlign w:val="bottom"/>
          </w:tcPr>
          <w:p>
            <w:pPr>
              <w:spacing w:after="0"/>
              <w:rPr>
                <w:sz w:val="1"/>
                <w:szCs w:val="1"/>
                <w:color w:val="auto"/>
              </w:rPr>
            </w:pPr>
          </w:p>
        </w:tc>
      </w:tr>
      <w:tr>
        <w:trPr>
          <w:trHeight w:val="73"/>
        </w:trPr>
        <w:tc>
          <w:tcPr>
            <w:tcW w:w="10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00" w:type="dxa"/>
            <w:vAlign w:val="bottom"/>
            <w:vMerge w:val="restart"/>
          </w:tcPr>
          <w:p>
            <w:pPr>
              <w:ind w:left="20"/>
              <w:spacing w:after="0"/>
              <w:rPr>
                <w:sz w:val="20"/>
                <w:szCs w:val="20"/>
                <w:color w:val="auto"/>
              </w:rPr>
            </w:pPr>
            <w:r>
              <w:rPr>
                <w:rFonts w:ascii="Arial" w:cs="Arial" w:eastAsia="Arial" w:hAnsi="Arial"/>
                <w:sz w:val="10"/>
                <w:szCs w:val="10"/>
                <w:color w:val="auto"/>
              </w:rPr>
              <w:t>meetings</w:t>
            </w:r>
          </w:p>
        </w:tc>
        <w:tc>
          <w:tcPr>
            <w:tcW w:w="1060" w:type="dxa"/>
            <w:vAlign w:val="bottom"/>
            <w:vMerge w:val="restart"/>
          </w:tcPr>
          <w:p>
            <w:pPr>
              <w:ind w:left="140"/>
              <w:spacing w:after="0"/>
              <w:rPr>
                <w:sz w:val="20"/>
                <w:szCs w:val="20"/>
                <w:color w:val="auto"/>
              </w:rPr>
            </w:pPr>
            <w:r>
              <w:rPr>
                <w:rFonts w:ascii="Arial" w:cs="Arial" w:eastAsia="Arial" w:hAnsi="Arial"/>
                <w:sz w:val="10"/>
                <w:szCs w:val="10"/>
                <w:color w:val="auto"/>
              </w:rPr>
              <w:t>attended</w:t>
            </w: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10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1000" w:type="dxa"/>
            <w:vAlign w:val="bottom"/>
          </w:tcPr>
          <w:p>
            <w:pPr>
              <w:ind w:left="20"/>
              <w:spacing w:after="0" w:line="113" w:lineRule="exact"/>
              <w:rPr>
                <w:sz w:val="20"/>
                <w:szCs w:val="20"/>
                <w:color w:val="auto"/>
              </w:rPr>
            </w:pPr>
            <w:r>
              <w:rPr>
                <w:rFonts w:ascii="Arial" w:cs="Arial" w:eastAsia="Arial" w:hAnsi="Arial"/>
                <w:sz w:val="10"/>
                <w:szCs w:val="10"/>
                <w:color w:val="auto"/>
                <w:w w:val="92"/>
              </w:rPr>
              <w:t>Ann Godbehere (Chair)</w:t>
            </w:r>
          </w:p>
        </w:tc>
        <w:tc>
          <w:tcPr>
            <w:tcW w:w="1080" w:type="dxa"/>
            <w:vAlign w:val="bottom"/>
          </w:tcPr>
          <w:p>
            <w:pPr>
              <w:jc w:val="right"/>
              <w:spacing w:after="0" w:line="113" w:lineRule="exact"/>
              <w:rPr>
                <w:sz w:val="20"/>
                <w:szCs w:val="20"/>
                <w:color w:val="auto"/>
              </w:rPr>
            </w:pPr>
            <w:r>
              <w:rPr>
                <w:rFonts w:ascii="Arial" w:cs="Arial" w:eastAsia="Arial" w:hAnsi="Arial"/>
                <w:sz w:val="10"/>
                <w:szCs w:val="10"/>
                <w:color w:val="auto"/>
              </w:rPr>
              <w:t>May 23, 2018</w:t>
            </w:r>
          </w:p>
        </w:tc>
        <w:tc>
          <w:tcPr>
            <w:tcW w:w="900" w:type="dxa"/>
            <w:vAlign w:val="bottom"/>
          </w:tcPr>
          <w:p>
            <w:pPr>
              <w:jc w:val="right"/>
              <w:ind w:right="312"/>
              <w:spacing w:after="0" w:line="113" w:lineRule="exact"/>
              <w:rPr>
                <w:sz w:val="20"/>
                <w:szCs w:val="20"/>
                <w:color w:val="auto"/>
              </w:rPr>
            </w:pPr>
            <w:r>
              <w:rPr>
                <w:rFonts w:ascii="Arial" w:cs="Arial" w:eastAsia="Arial" w:hAnsi="Arial"/>
                <w:sz w:val="10"/>
                <w:szCs w:val="10"/>
                <w:color w:val="auto"/>
              </w:rPr>
              <w:t>6</w:t>
            </w:r>
          </w:p>
        </w:tc>
        <w:tc>
          <w:tcPr>
            <w:tcW w:w="1060" w:type="dxa"/>
            <w:vAlign w:val="bottom"/>
          </w:tcPr>
          <w:p>
            <w:pPr>
              <w:jc w:val="right"/>
              <w:ind w:right="332"/>
              <w:spacing w:after="0" w:line="113" w:lineRule="exact"/>
              <w:rPr>
                <w:sz w:val="20"/>
                <w:szCs w:val="20"/>
                <w:color w:val="auto"/>
              </w:rPr>
            </w:pPr>
            <w:r>
              <w:rPr>
                <w:rFonts w:ascii="Arial" w:cs="Arial" w:eastAsia="Arial" w:hAnsi="Arial"/>
                <w:sz w:val="10"/>
                <w:szCs w:val="10"/>
                <w:color w:val="auto"/>
              </w:rPr>
              <w:t>6</w:t>
            </w:r>
          </w:p>
        </w:tc>
        <w:tc>
          <w:tcPr>
            <w:tcW w:w="1140" w:type="dxa"/>
            <w:vAlign w:val="bottom"/>
          </w:tcPr>
          <w:p>
            <w:pPr>
              <w:jc w:val="right"/>
              <w:ind w:right="352"/>
              <w:spacing w:after="0" w:line="113" w:lineRule="exact"/>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41"/>
        </w:trPr>
        <w:tc>
          <w:tcPr>
            <w:tcW w:w="1000" w:type="dxa"/>
            <w:vAlign w:val="bottom"/>
          </w:tcPr>
          <w:p>
            <w:pPr>
              <w:ind w:left="20"/>
              <w:spacing w:after="0"/>
              <w:rPr>
                <w:sz w:val="20"/>
                <w:szCs w:val="20"/>
                <w:color w:val="auto"/>
              </w:rPr>
            </w:pPr>
            <w:r>
              <w:rPr>
                <w:rFonts w:ascii="Arial" w:cs="Arial" w:eastAsia="Arial" w:hAnsi="Arial"/>
                <w:sz w:val="10"/>
                <w:szCs w:val="10"/>
                <w:color w:val="auto"/>
              </w:rPr>
              <w:t>Dick Boer [A]</w:t>
            </w:r>
          </w:p>
        </w:tc>
        <w:tc>
          <w:tcPr>
            <w:tcW w:w="1080" w:type="dxa"/>
            <w:vAlign w:val="bottom"/>
          </w:tcPr>
          <w:p>
            <w:pPr>
              <w:jc w:val="right"/>
              <w:spacing w:after="0"/>
              <w:rPr>
                <w:sz w:val="20"/>
                <w:szCs w:val="20"/>
                <w:color w:val="auto"/>
              </w:rPr>
            </w:pPr>
            <w:r>
              <w:rPr>
                <w:rFonts w:ascii="Arial" w:cs="Arial" w:eastAsia="Arial" w:hAnsi="Arial"/>
                <w:sz w:val="10"/>
                <w:szCs w:val="10"/>
                <w:color w:val="auto"/>
              </w:rPr>
              <w:t>May 20, 2020</w:t>
            </w:r>
          </w:p>
        </w:tc>
        <w:tc>
          <w:tcPr>
            <w:tcW w:w="900" w:type="dxa"/>
            <w:vAlign w:val="bottom"/>
          </w:tcPr>
          <w:p>
            <w:pPr>
              <w:jc w:val="right"/>
              <w:ind w:right="312"/>
              <w:spacing w:after="0"/>
              <w:rPr>
                <w:sz w:val="20"/>
                <w:szCs w:val="20"/>
                <w:color w:val="auto"/>
              </w:rPr>
            </w:pPr>
            <w:r>
              <w:rPr>
                <w:rFonts w:ascii="Arial" w:cs="Arial" w:eastAsia="Arial" w:hAnsi="Arial"/>
                <w:sz w:val="10"/>
                <w:szCs w:val="10"/>
                <w:color w:val="auto"/>
              </w:rPr>
              <w:t>3</w:t>
            </w:r>
          </w:p>
        </w:tc>
        <w:tc>
          <w:tcPr>
            <w:tcW w:w="1060" w:type="dxa"/>
            <w:vAlign w:val="bottom"/>
          </w:tcPr>
          <w:p>
            <w:pPr>
              <w:jc w:val="right"/>
              <w:ind w:right="332"/>
              <w:spacing w:after="0"/>
              <w:rPr>
                <w:sz w:val="20"/>
                <w:szCs w:val="20"/>
                <w:color w:val="auto"/>
              </w:rPr>
            </w:pPr>
            <w:r>
              <w:rPr>
                <w:rFonts w:ascii="Arial" w:cs="Arial" w:eastAsia="Arial" w:hAnsi="Arial"/>
                <w:sz w:val="10"/>
                <w:szCs w:val="10"/>
                <w:color w:val="auto"/>
              </w:rPr>
              <w:t>3</w:t>
            </w:r>
          </w:p>
        </w:tc>
        <w:tc>
          <w:tcPr>
            <w:tcW w:w="1140" w:type="dxa"/>
            <w:vAlign w:val="bottom"/>
          </w:tcPr>
          <w:p>
            <w:pPr>
              <w:jc w:val="right"/>
              <w:ind w:right="352"/>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22"/>
        </w:trPr>
        <w:tc>
          <w:tcPr>
            <w:tcW w:w="1000" w:type="dxa"/>
            <w:vAlign w:val="bottom"/>
          </w:tcPr>
          <w:p>
            <w:pPr>
              <w:ind w:left="20"/>
              <w:spacing w:after="0"/>
              <w:rPr>
                <w:sz w:val="20"/>
                <w:szCs w:val="20"/>
                <w:color w:val="auto"/>
              </w:rPr>
            </w:pPr>
            <w:r>
              <w:rPr>
                <w:rFonts w:ascii="Arial" w:cs="Arial" w:eastAsia="Arial" w:hAnsi="Arial"/>
                <w:sz w:val="10"/>
                <w:szCs w:val="10"/>
                <w:color w:val="auto"/>
                <w:w w:val="99"/>
              </w:rPr>
              <w:t>Martina Hund-Mejean</w:t>
            </w:r>
          </w:p>
        </w:tc>
        <w:tc>
          <w:tcPr>
            <w:tcW w:w="10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000" w:type="dxa"/>
            <w:vAlign w:val="bottom"/>
          </w:tcPr>
          <w:p>
            <w:pPr>
              <w:ind w:left="20"/>
              <w:spacing w:after="0"/>
              <w:rPr>
                <w:sz w:val="20"/>
                <w:szCs w:val="20"/>
                <w:color w:val="auto"/>
              </w:rPr>
            </w:pPr>
            <w:r>
              <w:rPr>
                <w:rFonts w:ascii="Arial" w:cs="Arial" w:eastAsia="Arial" w:hAnsi="Arial"/>
                <w:sz w:val="10"/>
                <w:szCs w:val="10"/>
                <w:color w:val="auto"/>
              </w:rPr>
              <w:t>[B]</w:t>
            </w:r>
          </w:p>
        </w:tc>
        <w:tc>
          <w:tcPr>
            <w:tcW w:w="1080" w:type="dxa"/>
            <w:vAlign w:val="bottom"/>
          </w:tcPr>
          <w:p>
            <w:pPr>
              <w:jc w:val="right"/>
              <w:spacing w:after="0"/>
              <w:rPr>
                <w:sz w:val="20"/>
                <w:szCs w:val="20"/>
                <w:color w:val="auto"/>
              </w:rPr>
            </w:pPr>
            <w:r>
              <w:rPr>
                <w:rFonts w:ascii="Arial" w:cs="Arial" w:eastAsia="Arial" w:hAnsi="Arial"/>
                <w:sz w:val="10"/>
                <w:szCs w:val="10"/>
                <w:color w:val="auto"/>
              </w:rPr>
              <w:t>May 20, 2020</w:t>
            </w:r>
          </w:p>
        </w:tc>
        <w:tc>
          <w:tcPr>
            <w:tcW w:w="900" w:type="dxa"/>
            <w:vAlign w:val="bottom"/>
          </w:tcPr>
          <w:p>
            <w:pPr>
              <w:jc w:val="right"/>
              <w:ind w:right="312"/>
              <w:spacing w:after="0"/>
              <w:rPr>
                <w:sz w:val="20"/>
                <w:szCs w:val="20"/>
                <w:color w:val="auto"/>
              </w:rPr>
            </w:pPr>
            <w:r>
              <w:rPr>
                <w:rFonts w:ascii="Arial" w:cs="Arial" w:eastAsia="Arial" w:hAnsi="Arial"/>
                <w:sz w:val="10"/>
                <w:szCs w:val="10"/>
                <w:color w:val="auto"/>
              </w:rPr>
              <w:t>3</w:t>
            </w:r>
          </w:p>
        </w:tc>
        <w:tc>
          <w:tcPr>
            <w:tcW w:w="1060" w:type="dxa"/>
            <w:vAlign w:val="bottom"/>
          </w:tcPr>
          <w:p>
            <w:pPr>
              <w:jc w:val="right"/>
              <w:ind w:right="332"/>
              <w:spacing w:after="0"/>
              <w:rPr>
                <w:sz w:val="20"/>
                <w:szCs w:val="20"/>
                <w:color w:val="auto"/>
              </w:rPr>
            </w:pPr>
            <w:r>
              <w:rPr>
                <w:rFonts w:ascii="Arial" w:cs="Arial" w:eastAsia="Arial" w:hAnsi="Arial"/>
                <w:sz w:val="10"/>
                <w:szCs w:val="10"/>
                <w:color w:val="auto"/>
              </w:rPr>
              <w:t>3</w:t>
            </w:r>
          </w:p>
        </w:tc>
        <w:tc>
          <w:tcPr>
            <w:tcW w:w="1140" w:type="dxa"/>
            <w:vAlign w:val="bottom"/>
          </w:tcPr>
          <w:p>
            <w:pPr>
              <w:jc w:val="right"/>
              <w:ind w:right="352"/>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26"/>
        </w:trPr>
        <w:tc>
          <w:tcPr>
            <w:tcW w:w="1000" w:type="dxa"/>
            <w:vAlign w:val="bottom"/>
          </w:tcPr>
          <w:p>
            <w:pPr>
              <w:ind w:left="20"/>
              <w:spacing w:after="0"/>
              <w:rPr>
                <w:sz w:val="20"/>
                <w:szCs w:val="20"/>
                <w:color w:val="auto"/>
              </w:rPr>
            </w:pPr>
            <w:r>
              <w:rPr>
                <w:rFonts w:ascii="Arial" w:cs="Arial" w:eastAsia="Arial" w:hAnsi="Arial"/>
                <w:sz w:val="10"/>
                <w:szCs w:val="10"/>
                <w:color w:val="auto"/>
              </w:rPr>
              <w:t>Roberto Setubal [C]</w:t>
            </w:r>
          </w:p>
        </w:tc>
        <w:tc>
          <w:tcPr>
            <w:tcW w:w="1080" w:type="dxa"/>
            <w:vAlign w:val="bottom"/>
          </w:tcPr>
          <w:p>
            <w:pPr>
              <w:jc w:val="right"/>
              <w:spacing w:after="0"/>
              <w:rPr>
                <w:sz w:val="20"/>
                <w:szCs w:val="20"/>
                <w:color w:val="auto"/>
              </w:rPr>
            </w:pPr>
            <w:r>
              <w:rPr>
                <w:rFonts w:ascii="Arial" w:cs="Arial" w:eastAsia="Arial" w:hAnsi="Arial"/>
                <w:sz w:val="10"/>
                <w:szCs w:val="10"/>
                <w:color w:val="auto"/>
              </w:rPr>
              <w:t>October 1, 2017</w:t>
            </w:r>
          </w:p>
        </w:tc>
        <w:tc>
          <w:tcPr>
            <w:tcW w:w="900" w:type="dxa"/>
            <w:vAlign w:val="bottom"/>
          </w:tcPr>
          <w:p>
            <w:pPr>
              <w:jc w:val="right"/>
              <w:ind w:right="312"/>
              <w:spacing w:after="0"/>
              <w:rPr>
                <w:sz w:val="20"/>
                <w:szCs w:val="20"/>
                <w:color w:val="auto"/>
              </w:rPr>
            </w:pPr>
            <w:r>
              <w:rPr>
                <w:rFonts w:ascii="Arial" w:cs="Arial" w:eastAsia="Arial" w:hAnsi="Arial"/>
                <w:sz w:val="10"/>
                <w:szCs w:val="10"/>
                <w:color w:val="auto"/>
              </w:rPr>
              <w:t>3</w:t>
            </w:r>
          </w:p>
        </w:tc>
        <w:tc>
          <w:tcPr>
            <w:tcW w:w="1060" w:type="dxa"/>
            <w:vAlign w:val="bottom"/>
          </w:tcPr>
          <w:p>
            <w:pPr>
              <w:jc w:val="right"/>
              <w:ind w:right="332"/>
              <w:spacing w:after="0"/>
              <w:rPr>
                <w:sz w:val="20"/>
                <w:szCs w:val="20"/>
                <w:color w:val="auto"/>
              </w:rPr>
            </w:pPr>
            <w:r>
              <w:rPr>
                <w:rFonts w:ascii="Arial" w:cs="Arial" w:eastAsia="Arial" w:hAnsi="Arial"/>
                <w:sz w:val="10"/>
                <w:szCs w:val="10"/>
                <w:color w:val="auto"/>
              </w:rPr>
              <w:t>3</w:t>
            </w:r>
          </w:p>
        </w:tc>
        <w:tc>
          <w:tcPr>
            <w:tcW w:w="1140" w:type="dxa"/>
            <w:vAlign w:val="bottom"/>
          </w:tcPr>
          <w:p>
            <w:pPr>
              <w:jc w:val="right"/>
              <w:ind w:right="352"/>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30"/>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Gerrit Zalm</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March 8, 2017</w:t>
            </w: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6</w:t>
            </w: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6</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28" w:hanging="128"/>
        <w:spacing w:after="0"/>
        <w:tabs>
          <w:tab w:leader="none" w:pos="128" w:val="left"/>
        </w:tabs>
        <w:numPr>
          <w:ilvl w:val="0"/>
          <w:numId w:val="103"/>
        </w:numPr>
        <w:rPr>
          <w:rFonts w:ascii="Arial" w:cs="Arial" w:eastAsia="Arial" w:hAnsi="Arial"/>
          <w:sz w:val="8"/>
          <w:szCs w:val="8"/>
          <w:color w:val="auto"/>
        </w:rPr>
      </w:pPr>
      <w:r>
        <w:rPr>
          <w:rFonts w:ascii="Arial" w:cs="Arial" w:eastAsia="Arial" w:hAnsi="Arial"/>
          <w:sz w:val="8"/>
          <w:szCs w:val="8"/>
          <w:color w:val="auto"/>
        </w:rPr>
        <w:t>Dick Boer was appointed to the Board and AC with effect from May 20, 2020.</w:t>
      </w:r>
    </w:p>
    <w:p>
      <w:pPr>
        <w:spacing w:after="0" w:line="12" w:lineRule="exact"/>
        <w:rPr>
          <w:rFonts w:ascii="Arial" w:cs="Arial" w:eastAsia="Arial" w:hAnsi="Arial"/>
          <w:sz w:val="8"/>
          <w:szCs w:val="8"/>
          <w:color w:val="auto"/>
        </w:rPr>
      </w:pPr>
    </w:p>
    <w:p>
      <w:pPr>
        <w:ind w:left="128" w:hanging="128"/>
        <w:spacing w:after="0"/>
        <w:tabs>
          <w:tab w:leader="none" w:pos="128" w:val="left"/>
        </w:tabs>
        <w:numPr>
          <w:ilvl w:val="0"/>
          <w:numId w:val="103"/>
        </w:numPr>
        <w:rPr>
          <w:rFonts w:ascii="Arial" w:cs="Arial" w:eastAsia="Arial" w:hAnsi="Arial"/>
          <w:sz w:val="8"/>
          <w:szCs w:val="8"/>
          <w:color w:val="auto"/>
        </w:rPr>
      </w:pPr>
      <w:r>
        <w:rPr>
          <w:rFonts w:ascii="Arial" w:cs="Arial" w:eastAsia="Arial" w:hAnsi="Arial"/>
          <w:sz w:val="8"/>
          <w:szCs w:val="8"/>
          <w:color w:val="auto"/>
        </w:rPr>
        <w:t>Martina Hund-Mejean was appointed to the Board and AC with effect from May 20, 2020.</w:t>
      </w:r>
    </w:p>
    <w:p>
      <w:pPr>
        <w:spacing w:after="0" w:line="7" w:lineRule="exact"/>
        <w:rPr>
          <w:rFonts w:ascii="Arial" w:cs="Arial" w:eastAsia="Arial" w:hAnsi="Arial"/>
          <w:sz w:val="8"/>
          <w:szCs w:val="8"/>
          <w:color w:val="auto"/>
        </w:rPr>
      </w:pPr>
    </w:p>
    <w:p>
      <w:pPr>
        <w:ind w:left="128" w:hanging="128"/>
        <w:spacing w:after="0"/>
        <w:tabs>
          <w:tab w:leader="none" w:pos="128" w:val="left"/>
        </w:tabs>
        <w:numPr>
          <w:ilvl w:val="0"/>
          <w:numId w:val="103"/>
        </w:numPr>
        <w:rPr>
          <w:rFonts w:ascii="Arial" w:cs="Arial" w:eastAsia="Arial" w:hAnsi="Arial"/>
          <w:sz w:val="8"/>
          <w:szCs w:val="8"/>
          <w:color w:val="auto"/>
        </w:rPr>
      </w:pPr>
      <w:r>
        <w:rPr>
          <w:rFonts w:ascii="Arial" w:cs="Arial" w:eastAsia="Arial" w:hAnsi="Arial"/>
          <w:sz w:val="8"/>
          <w:szCs w:val="8"/>
          <w:color w:val="auto"/>
        </w:rPr>
        <w:t>Roberto Setubal stepped down from the Board with effect from May 19, 2020.</w:t>
      </w:r>
    </w:p>
    <w:p>
      <w:pPr>
        <w:spacing w:after="0" w:line="160" w:lineRule="exact"/>
        <w:rPr>
          <w:sz w:val="20"/>
          <w:szCs w:val="20"/>
          <w:color w:val="auto"/>
        </w:rPr>
      </w:pPr>
    </w:p>
    <w:p>
      <w:pPr>
        <w:ind w:left="8" w:right="240"/>
        <w:spacing w:after="0" w:line="307" w:lineRule="auto"/>
        <w:rPr>
          <w:sz w:val="20"/>
          <w:szCs w:val="20"/>
          <w:color w:val="auto"/>
        </w:rPr>
      </w:pPr>
      <w:r>
        <w:rPr>
          <w:rFonts w:ascii="Arial" w:cs="Arial" w:eastAsia="Arial" w:hAnsi="Arial"/>
          <w:sz w:val="8"/>
          <w:szCs w:val="8"/>
          <w:color w:val="auto"/>
        </w:rPr>
        <w:t>All members of the AC are financially literate, independent Non-executive Directors. In respect of the year ended December 31, 2020, for the purposes of the UK Corporate Governance Code, Ann Godbehere and Martina Hund-Mejean with effect from her appointment to the Board and AC on May 20, 2020, both qualify as: a person with “recent and relevant financial experience” and competence in accounting, and, for the purposes of US securities laws, an “audit committee financial expert”.</w:t>
      </w:r>
    </w:p>
    <w:p>
      <w:pPr>
        <w:spacing w:after="0" w:line="123" w:lineRule="exact"/>
        <w:rPr>
          <w:sz w:val="20"/>
          <w:szCs w:val="20"/>
          <w:color w:val="auto"/>
        </w:rPr>
      </w:pPr>
    </w:p>
    <w:p>
      <w:pPr>
        <w:jc w:val="both"/>
        <w:ind w:left="8" w:right="380"/>
        <w:spacing w:after="0" w:line="307" w:lineRule="auto"/>
        <w:rPr>
          <w:sz w:val="20"/>
          <w:szCs w:val="20"/>
          <w:color w:val="auto"/>
        </w:rPr>
      </w:pPr>
      <w:r>
        <w:rPr>
          <w:rFonts w:ascii="Arial" w:cs="Arial" w:eastAsia="Arial" w:hAnsi="Arial"/>
          <w:sz w:val="8"/>
          <w:szCs w:val="8"/>
          <w:color w:val="auto"/>
        </w:rPr>
        <w:t>The experience of the AC members outlined on pages 89-94 demonstrates that the AC as a whole has competence relevant to the sector in which Shell operates, and the necessary commercial, regulatory, financial and audit expertise required to fulfil its responsibilities. The AC members have gained further knowledge and experience of the sector as a result of their Board membership and through various in-person and virtual site visits since their respective appointments.</w:t>
      </w:r>
    </w:p>
    <w:p>
      <w:pPr>
        <w:spacing w:after="0" w:line="123" w:lineRule="exact"/>
        <w:rPr>
          <w:sz w:val="20"/>
          <w:szCs w:val="20"/>
          <w:color w:val="auto"/>
        </w:rPr>
      </w:pPr>
    </w:p>
    <w:p>
      <w:pPr>
        <w:ind w:left="8" w:right="240"/>
        <w:spacing w:after="0" w:line="293" w:lineRule="auto"/>
        <w:rPr>
          <w:sz w:val="20"/>
          <w:szCs w:val="20"/>
          <w:color w:val="auto"/>
        </w:rPr>
      </w:pPr>
      <w:r>
        <w:rPr>
          <w:rFonts w:ascii="Arial" w:cs="Arial" w:eastAsia="Arial" w:hAnsi="Arial"/>
          <w:sz w:val="8"/>
          <w:szCs w:val="8"/>
          <w:color w:val="auto"/>
        </w:rPr>
        <w:t>The AC invites the Chief Financial Officer, the Legal Director, the Chief Internal Auditor, the Executive Vice President Taxation and Controller, the Vice President Group Reporting and the external auditor to attend each meeting. The Chief Executive Officer attends each meeting where the quarterly, half-yearly and year-end results are discussed. The Chair of the Board also regularly attends AC meetings. Other members of management attend when requested on specific topics or to provide input on more detailed technical matters that may arise. The AC regularly holds private sessions separately with the Chief Internal Auditor and the external auditor without members of management, except for the Legal Director, being present. Outside of the formal AC meetings the AC Chair meets regularly with each of the Chief Financial Officer, Executive Vice President (EVP) Taxation and Controller, the Chief Internal Auditor, the external auditor, and the Chief Information Officer.</w:t>
      </w:r>
    </w:p>
    <w:p>
      <w:pPr>
        <w:spacing w:after="0" w:line="40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AC REMIT</w:t>
      </w:r>
    </w:p>
    <w:p>
      <w:pPr>
        <w:spacing w:after="0" w:line="3" w:lineRule="exact"/>
        <w:rPr>
          <w:sz w:val="20"/>
          <w:szCs w:val="20"/>
          <w:color w:val="auto"/>
        </w:rPr>
      </w:pPr>
    </w:p>
    <w:p>
      <w:pPr>
        <w:ind w:left="8" w:right="360"/>
        <w:spacing w:after="0" w:line="337" w:lineRule="auto"/>
        <w:rPr>
          <w:sz w:val="20"/>
          <w:szCs w:val="20"/>
          <w:color w:val="auto"/>
        </w:rPr>
      </w:pPr>
      <w:r>
        <w:rPr>
          <w:rFonts w:ascii="Arial" w:cs="Arial" w:eastAsia="Arial" w:hAnsi="Arial"/>
          <w:sz w:val="8"/>
          <w:szCs w:val="8"/>
          <w:color w:val="auto"/>
        </w:rPr>
        <w:t>The roles and responsibilities of the AC, as set out in its Terms of Reference are reviewed annually, taking into account relevant regulatory changes and recommended best practice. The key responsibilities of the AC include, but are not limited to:</w:t>
      </w:r>
    </w:p>
    <w:p>
      <w:pPr>
        <w:spacing w:after="0" w:line="112" w:lineRule="exact"/>
        <w:rPr>
          <w:sz w:val="20"/>
          <w:szCs w:val="20"/>
          <w:color w:val="auto"/>
        </w:rPr>
      </w:pPr>
    </w:p>
    <w:p>
      <w:pPr>
        <w:ind w:left="448" w:hanging="205"/>
        <w:spacing w:after="0"/>
        <w:tabs>
          <w:tab w:leader="none" w:pos="448" w:val="left"/>
        </w:tabs>
        <w:numPr>
          <w:ilvl w:val="0"/>
          <w:numId w:val="104"/>
        </w:numPr>
        <w:rPr>
          <w:rFonts w:ascii="Arial" w:cs="Arial" w:eastAsia="Arial" w:hAnsi="Arial"/>
          <w:sz w:val="10"/>
          <w:szCs w:val="10"/>
          <w:color w:val="auto"/>
        </w:rPr>
      </w:pPr>
      <w:r>
        <w:rPr>
          <w:rFonts w:ascii="Arial" w:cs="Arial" w:eastAsia="Arial" w:hAnsi="Arial"/>
          <w:sz w:val="10"/>
          <w:szCs w:val="10"/>
          <w:color w:val="auto"/>
        </w:rPr>
        <w:t>evaluating the effectiveness of the system of risk management and internal control;</w:t>
      </w:r>
    </w:p>
    <w:p>
      <w:pPr>
        <w:spacing w:after="0" w:line="1" w:lineRule="exact"/>
        <w:rPr>
          <w:rFonts w:ascii="Arial" w:cs="Arial" w:eastAsia="Arial" w:hAnsi="Arial"/>
          <w:sz w:val="10"/>
          <w:szCs w:val="10"/>
          <w:color w:val="auto"/>
        </w:rPr>
      </w:pPr>
    </w:p>
    <w:p>
      <w:pPr>
        <w:ind w:left="448" w:hanging="205"/>
        <w:spacing w:after="0"/>
        <w:tabs>
          <w:tab w:leader="none" w:pos="448" w:val="left"/>
        </w:tabs>
        <w:numPr>
          <w:ilvl w:val="0"/>
          <w:numId w:val="104"/>
        </w:numPr>
        <w:rPr>
          <w:rFonts w:ascii="Arial" w:cs="Arial" w:eastAsia="Arial" w:hAnsi="Arial"/>
          <w:sz w:val="8"/>
          <w:szCs w:val="8"/>
          <w:color w:val="auto"/>
        </w:rPr>
      </w:pPr>
      <w:r>
        <w:rPr>
          <w:rFonts w:ascii="Arial" w:cs="Arial" w:eastAsia="Arial" w:hAnsi="Arial"/>
          <w:sz w:val="8"/>
          <w:szCs w:val="8"/>
          <w:color w:val="auto"/>
        </w:rPr>
        <w:t>reviewing the integrity of the financial statements, including annual reports, half-year reports, and quarterly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2260" w:type="dxa"/>
            <w:vAlign w:val="bottom"/>
          </w:tcPr>
          <w:p>
            <w:pPr>
              <w:jc w:val="right"/>
              <w:spacing w:after="0"/>
              <w:rPr>
                <w:sz w:val="20"/>
                <w:szCs w:val="20"/>
                <w:color w:val="auto"/>
              </w:rPr>
            </w:pPr>
            <w:r>
              <w:rPr>
                <w:rFonts w:ascii="Arial" w:cs="Arial" w:eastAsia="Arial" w:hAnsi="Arial"/>
                <w:sz w:val="7"/>
                <w:szCs w:val="7"/>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178040" cy="114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60" w:right="20" w:hanging="223"/>
        <w:spacing w:after="0" w:line="233" w:lineRule="auto"/>
        <w:tabs>
          <w:tab w:leader="none" w:pos="457" w:val="left"/>
        </w:tabs>
        <w:numPr>
          <w:ilvl w:val="0"/>
          <w:numId w:val="105"/>
        </w:numPr>
        <w:rPr>
          <w:rFonts w:ascii="Arial" w:cs="Arial" w:eastAsia="Arial" w:hAnsi="Arial"/>
          <w:sz w:val="10"/>
          <w:szCs w:val="10"/>
          <w:color w:val="auto"/>
        </w:rPr>
      </w:pPr>
      <w:r>
        <w:rPr>
          <w:rFonts w:ascii="Arial" w:cs="Arial" w:eastAsia="Arial" w:hAnsi="Arial"/>
          <w:sz w:val="10"/>
          <w:szCs w:val="10"/>
          <w:color w:val="auto"/>
        </w:rPr>
        <w:t>reviewing and discussing with management the appropriateness of judgements involving the application of accounting principles and disclosure rules;</w:t>
      </w:r>
    </w:p>
    <w:p>
      <w:pPr>
        <w:ind w:left="460" w:right="180" w:hanging="223"/>
        <w:spacing w:after="0" w:line="281" w:lineRule="auto"/>
        <w:tabs>
          <w:tab w:leader="none" w:pos="457" w:val="left"/>
        </w:tabs>
        <w:numPr>
          <w:ilvl w:val="0"/>
          <w:numId w:val="105"/>
        </w:numPr>
        <w:rPr>
          <w:rFonts w:ascii="Arial" w:cs="Arial" w:eastAsia="Arial" w:hAnsi="Arial"/>
          <w:sz w:val="8"/>
          <w:szCs w:val="8"/>
          <w:color w:val="auto"/>
        </w:rPr>
      </w:pPr>
      <w:r>
        <w:rPr>
          <w:rFonts w:ascii="Arial" w:cs="Arial" w:eastAsia="Arial" w:hAnsi="Arial"/>
          <w:sz w:val="8"/>
          <w:szCs w:val="8"/>
          <w:color w:val="auto"/>
        </w:rPr>
        <w:t>advising the Board whether, in the AC’s view, the Annual Report taken as a whole is fair, balanced and understandable and provides the information necessary for shareholders to assess Shell’s position and performance, business model and strategy;</w:t>
      </w:r>
    </w:p>
    <w:p>
      <w:pPr>
        <w:ind w:left="460" w:hanging="223"/>
        <w:spacing w:after="0" w:line="225" w:lineRule="auto"/>
        <w:tabs>
          <w:tab w:leader="none" w:pos="460" w:val="left"/>
        </w:tabs>
        <w:numPr>
          <w:ilvl w:val="0"/>
          <w:numId w:val="105"/>
        </w:numPr>
        <w:rPr>
          <w:rFonts w:ascii="Arial" w:cs="Arial" w:eastAsia="Arial" w:hAnsi="Arial"/>
          <w:sz w:val="10"/>
          <w:szCs w:val="10"/>
          <w:color w:val="auto"/>
        </w:rPr>
      </w:pPr>
      <w:r>
        <w:rPr>
          <w:rFonts w:ascii="Arial" w:cs="Arial" w:eastAsia="Arial" w:hAnsi="Arial"/>
          <w:sz w:val="10"/>
          <w:szCs w:val="10"/>
          <w:color w:val="auto"/>
        </w:rPr>
        <w:t>reviewing the functioning of the Shell Global Helpline and reports arising from its operation;</w:t>
      </w:r>
    </w:p>
    <w:p>
      <w:pPr>
        <w:ind w:left="460" w:hanging="223"/>
        <w:spacing w:after="0"/>
        <w:tabs>
          <w:tab w:leader="none" w:pos="460" w:val="left"/>
        </w:tabs>
        <w:numPr>
          <w:ilvl w:val="0"/>
          <w:numId w:val="105"/>
        </w:numPr>
        <w:rPr>
          <w:rFonts w:ascii="Arial" w:cs="Arial" w:eastAsia="Arial" w:hAnsi="Arial"/>
          <w:sz w:val="8"/>
          <w:szCs w:val="8"/>
          <w:color w:val="auto"/>
        </w:rPr>
      </w:pPr>
      <w:r>
        <w:rPr>
          <w:rFonts w:ascii="Arial" w:cs="Arial" w:eastAsia="Arial" w:hAnsi="Arial"/>
          <w:sz w:val="8"/>
          <w:szCs w:val="8"/>
          <w:color w:val="auto"/>
        </w:rPr>
        <w:t>overseeing compliance with applicable legal and regulatory requirements, including monitoring ethics and compliance risks;</w:t>
      </w:r>
    </w:p>
    <w:p>
      <w:pPr>
        <w:spacing w:after="0" w:line="16" w:lineRule="exact"/>
        <w:rPr>
          <w:rFonts w:ascii="Arial" w:cs="Arial" w:eastAsia="Arial" w:hAnsi="Arial"/>
          <w:sz w:val="8"/>
          <w:szCs w:val="8"/>
          <w:color w:val="auto"/>
        </w:rPr>
      </w:pPr>
    </w:p>
    <w:p>
      <w:pPr>
        <w:ind w:left="460" w:hanging="223"/>
        <w:spacing w:after="0"/>
        <w:tabs>
          <w:tab w:leader="none" w:pos="460" w:val="left"/>
        </w:tabs>
        <w:numPr>
          <w:ilvl w:val="0"/>
          <w:numId w:val="105"/>
        </w:numPr>
        <w:rPr>
          <w:rFonts w:ascii="Arial" w:cs="Arial" w:eastAsia="Arial" w:hAnsi="Arial"/>
          <w:sz w:val="8"/>
          <w:szCs w:val="8"/>
          <w:color w:val="auto"/>
        </w:rPr>
      </w:pPr>
      <w:r>
        <w:rPr>
          <w:rFonts w:ascii="Arial" w:cs="Arial" w:eastAsia="Arial" w:hAnsi="Arial"/>
          <w:sz w:val="8"/>
          <w:szCs w:val="8"/>
          <w:color w:val="auto"/>
        </w:rPr>
        <w:t>monitoring the qualifications, expertise, resources and independence of the internal audit function and the external auditor;</w:t>
      </w:r>
    </w:p>
    <w:p>
      <w:pPr>
        <w:spacing w:after="0" w:line="16" w:lineRule="exact"/>
        <w:rPr>
          <w:rFonts w:ascii="Arial" w:cs="Arial" w:eastAsia="Arial" w:hAnsi="Arial"/>
          <w:sz w:val="8"/>
          <w:szCs w:val="8"/>
          <w:color w:val="auto"/>
        </w:rPr>
      </w:pPr>
    </w:p>
    <w:p>
      <w:pPr>
        <w:ind w:left="460" w:right="40" w:hanging="223"/>
        <w:spacing w:after="0" w:line="225" w:lineRule="auto"/>
        <w:tabs>
          <w:tab w:leader="none" w:pos="457" w:val="left"/>
        </w:tabs>
        <w:numPr>
          <w:ilvl w:val="0"/>
          <w:numId w:val="105"/>
        </w:numPr>
        <w:rPr>
          <w:rFonts w:ascii="Arial" w:cs="Arial" w:eastAsia="Arial" w:hAnsi="Arial"/>
          <w:sz w:val="10"/>
          <w:szCs w:val="10"/>
          <w:color w:val="auto"/>
        </w:rPr>
      </w:pPr>
      <w:r>
        <w:rPr>
          <w:rFonts w:ascii="Arial" w:cs="Arial" w:eastAsia="Arial" w:hAnsi="Arial"/>
          <w:sz w:val="10"/>
          <w:szCs w:val="10"/>
          <w:color w:val="auto"/>
        </w:rPr>
        <w:t>assessing the internal and external auditors’ performance and effectiveness each year and approving related remuneration for the external auditor; and</w:t>
      </w:r>
    </w:p>
    <w:p>
      <w:pPr>
        <w:ind w:left="460" w:right="100" w:hanging="223"/>
        <w:spacing w:after="0" w:line="231" w:lineRule="auto"/>
        <w:tabs>
          <w:tab w:leader="none" w:pos="457" w:val="left"/>
        </w:tabs>
        <w:numPr>
          <w:ilvl w:val="0"/>
          <w:numId w:val="105"/>
        </w:numPr>
        <w:rPr>
          <w:rFonts w:ascii="Arial" w:cs="Arial" w:eastAsia="Arial" w:hAnsi="Arial"/>
          <w:sz w:val="10"/>
          <w:szCs w:val="10"/>
          <w:color w:val="auto"/>
        </w:rPr>
      </w:pPr>
      <w:r>
        <w:rPr>
          <w:rFonts w:ascii="Arial" w:cs="Arial" w:eastAsia="Arial" w:hAnsi="Arial"/>
          <w:sz w:val="10"/>
          <w:szCs w:val="10"/>
          <w:color w:val="auto"/>
        </w:rPr>
        <w:t>recommending to the Board for it to put to the Company's Shareholders for approval at the Annual General Meeting (AGM) to appoint, reappoint, or remove the external auditor.</w:t>
      </w:r>
    </w:p>
    <w:p>
      <w:pPr>
        <w:spacing w:after="0" w:line="149" w:lineRule="exact"/>
        <w:rPr>
          <w:sz w:val="20"/>
          <w:szCs w:val="20"/>
          <w:color w:val="auto"/>
        </w:rPr>
      </w:pPr>
    </w:p>
    <w:p>
      <w:pPr>
        <w:jc w:val="both"/>
        <w:ind w:right="40"/>
        <w:spacing w:after="0" w:line="320" w:lineRule="auto"/>
        <w:rPr>
          <w:sz w:val="20"/>
          <w:szCs w:val="20"/>
          <w:color w:val="auto"/>
        </w:rPr>
      </w:pPr>
      <w:r>
        <w:rPr>
          <w:rFonts w:ascii="Arial" w:cs="Arial" w:eastAsia="Arial" w:hAnsi="Arial"/>
          <w:sz w:val="8"/>
          <w:szCs w:val="8"/>
          <w:color w:val="auto"/>
        </w:rPr>
        <w:t>These responsibilities form the basis of the AC’s annual work plan which is adjusted throughout the year as necessary. The AC is authorised to seek any information it requires from management and external parties and to investigate issues or concerns as it deems appropriate. The AC may also obtain independent professional advice at the Company's expense. No such independent advice was required in 2020.</w:t>
      </w:r>
    </w:p>
    <w:p>
      <w:pPr>
        <w:spacing w:after="0" w:line="118" w:lineRule="exact"/>
        <w:rPr>
          <w:sz w:val="20"/>
          <w:szCs w:val="20"/>
          <w:color w:val="auto"/>
        </w:rPr>
      </w:pPr>
    </w:p>
    <w:p>
      <w:pPr>
        <w:spacing w:after="0" w:line="320" w:lineRule="auto"/>
        <w:rPr>
          <w:sz w:val="20"/>
          <w:szCs w:val="20"/>
          <w:color w:val="auto"/>
        </w:rPr>
      </w:pPr>
      <w:r>
        <w:rPr>
          <w:rFonts w:ascii="Arial" w:cs="Arial" w:eastAsia="Arial" w:hAnsi="Arial"/>
          <w:sz w:val="8"/>
          <w:szCs w:val="8"/>
          <w:color w:val="auto"/>
        </w:rPr>
        <w:t>The AC keeps the Board informed of its activities and recommendations, and the Chair of the AC provides an update to the Board after every AC meeting. The AC discusses with the Board if it is not satisfied with or believes that action or improvement is required concerning any aspect of financial reporting, risk management and internal control, compliance or audit-related activities.</w:t>
      </w:r>
    </w:p>
    <w:p>
      <w:pPr>
        <w:spacing w:after="0" w:line="118" w:lineRule="exact"/>
        <w:rPr>
          <w:sz w:val="20"/>
          <w:szCs w:val="20"/>
          <w:color w:val="auto"/>
        </w:rPr>
      </w:pPr>
    </w:p>
    <w:p>
      <w:pPr>
        <w:spacing w:after="0" w:line="239" w:lineRule="auto"/>
        <w:rPr>
          <w:sz w:val="20"/>
          <w:szCs w:val="20"/>
          <w:color w:val="auto"/>
        </w:rPr>
      </w:pPr>
      <w:r>
        <w:rPr>
          <w:rFonts w:ascii="Arial" w:cs="Arial" w:eastAsia="Arial" w:hAnsi="Arial"/>
          <w:sz w:val="10"/>
          <w:szCs w:val="10"/>
          <w:color w:val="auto"/>
        </w:rPr>
        <w:t>A copy of the AC’s Terms of Reference, which was updated in 2020 to reflect references affected by the separation of the Annual Report and Form 20-F, can be found at www.shell.com.</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AC TOPIC COVERAGE IN 2020</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The pie chart below shows the percentage of time the AC spent on various activities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1834515" cy="20173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834515" cy="2017395"/>
                    </a:xfrm>
                    <a:prstGeom prst="rect">
                      <a:avLst/>
                    </a:prstGeom>
                    <a:noFill/>
                  </pic:spPr>
                </pic:pic>
              </a:graphicData>
            </a:graphic>
          </wp:anchor>
        </w:drawing>
      </w:r>
    </w:p>
    <w:p>
      <w:pPr>
        <w:sectPr>
          <w:pgSz w:w="11900" w:h="16838" w:orient="portrait"/>
          <w:cols w:equalWidth="0" w:num="2">
            <w:col w:w="5688" w:space="60"/>
            <w:col w:w="5420"/>
          </w:cols>
          <w:pgMar w:left="292" w:top="640" w:right="439" w:bottom="1440" w:gutter="0" w:footer="0" w:header="0"/>
        </w:sectPr>
      </w:pPr>
    </w:p>
    <w:bookmarkStart w:id="112" w:name="page113"/>
    <w:bookmarkEnd w:id="112"/>
    <w:p>
      <w:pPr>
        <w:spacing w:after="0"/>
        <w:rPr>
          <w:sz w:val="20"/>
          <w:szCs w:val="20"/>
          <w:color w:val="auto"/>
        </w:rPr>
      </w:pPr>
      <w:r>
        <w:rPr>
          <w:rFonts w:ascii="Arial" w:cs="Arial" w:eastAsia="Arial" w:hAnsi="Arial"/>
          <w:sz w:val="10"/>
          <w:szCs w:val="10"/>
          <w:b w:val="1"/>
          <w:bCs w:val="1"/>
          <w:color w:val="auto"/>
        </w:rPr>
        <w:t>FOCUS AREAS FOR 2020</w:t>
      </w:r>
    </w:p>
    <w:p>
      <w:pPr>
        <w:spacing w:after="0" w:line="3" w:lineRule="exact"/>
        <w:rPr>
          <w:sz w:val="20"/>
          <w:szCs w:val="20"/>
          <w:color w:val="auto"/>
        </w:rPr>
      </w:pPr>
    </w:p>
    <w:p>
      <w:pPr>
        <w:ind w:right="100"/>
        <w:spacing w:after="0" w:line="227" w:lineRule="auto"/>
        <w:rPr>
          <w:sz w:val="20"/>
          <w:szCs w:val="20"/>
          <w:color w:val="auto"/>
        </w:rPr>
      </w:pPr>
      <w:r>
        <w:rPr>
          <w:rFonts w:ascii="Arial" w:cs="Arial" w:eastAsia="Arial" w:hAnsi="Arial"/>
          <w:sz w:val="10"/>
          <w:szCs w:val="10"/>
          <w:color w:val="auto"/>
        </w:rPr>
        <w:t>The AC was briefed by senior leaders from various business and function areas on the adequacy, design and operating effectiveness of risk management and controls related to the critical activities carried out by their respective business or function. The briefings included information on any enhancements to strengthen controls and how areas identified for improvement had been addressed. These discussions also covered monitoring activities around risks, and steps being taken to address identified gaps and emerging risk areas. In addition to the significant accounting and reporting areas discussed on page 113, the business and function areas reviewed by the AC in 2020 included the following:</w:t>
      </w:r>
    </w:p>
    <w:p>
      <w:pPr>
        <w:spacing w:after="0" w:line="149" w:lineRule="exact"/>
        <w:rPr>
          <w:sz w:val="20"/>
          <w:szCs w:val="20"/>
          <w:color w:val="auto"/>
        </w:rPr>
      </w:pPr>
    </w:p>
    <w:p>
      <w:pPr>
        <w:ind w:left="420" w:hanging="212"/>
        <w:spacing w:after="0" w:line="230" w:lineRule="auto"/>
        <w:tabs>
          <w:tab w:leader="none" w:pos="417" w:val="left"/>
        </w:tabs>
        <w:numPr>
          <w:ilvl w:val="0"/>
          <w:numId w:val="106"/>
        </w:numPr>
        <w:rPr>
          <w:rFonts w:ascii="Arial" w:cs="Arial" w:eastAsia="Arial" w:hAnsi="Arial"/>
          <w:sz w:val="10"/>
          <w:szCs w:val="10"/>
          <w:color w:val="auto"/>
        </w:rPr>
      </w:pPr>
      <w:r>
        <w:rPr>
          <w:rFonts w:ascii="Arial" w:cs="Arial" w:eastAsia="Arial" w:hAnsi="Arial"/>
          <w:sz w:val="10"/>
          <w:szCs w:val="10"/>
          <w:b w:val="1"/>
          <w:bCs w:val="1"/>
          <w:i w:val="1"/>
          <w:iCs w:val="1"/>
          <w:color w:val="auto"/>
        </w:rPr>
        <w:t xml:space="preserve">Decommissioning and commissioning and restoration (D&amp;R) - </w:t>
      </w:r>
      <w:r>
        <w:rPr>
          <w:rFonts w:ascii="Arial" w:cs="Arial" w:eastAsia="Arial" w:hAnsi="Arial"/>
          <w:sz w:val="10"/>
          <w:szCs w:val="10"/>
          <w:color w:val="auto"/>
        </w:rPr>
        <w:t>The AC was briefed on the different aspects of the D&amp;R</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management process in Shell and the key risks and opportunities in D&amp;R. The AC discussed the approach to D&amp;R provisions and the controls in place to enable effective governance of D&amp;R.</w:t>
      </w:r>
    </w:p>
    <w:p>
      <w:pPr>
        <w:spacing w:after="0" w:line="1" w:lineRule="exact"/>
        <w:rPr>
          <w:rFonts w:ascii="Arial" w:cs="Arial" w:eastAsia="Arial" w:hAnsi="Arial"/>
          <w:sz w:val="10"/>
          <w:szCs w:val="10"/>
          <w:color w:val="auto"/>
        </w:rPr>
      </w:pPr>
    </w:p>
    <w:p>
      <w:pPr>
        <w:ind w:left="420" w:right="20" w:hanging="212"/>
        <w:spacing w:after="0" w:line="225" w:lineRule="auto"/>
        <w:tabs>
          <w:tab w:leader="none" w:pos="417" w:val="left"/>
        </w:tabs>
        <w:numPr>
          <w:ilvl w:val="0"/>
          <w:numId w:val="106"/>
        </w:numPr>
        <w:rPr>
          <w:rFonts w:ascii="Arial" w:cs="Arial" w:eastAsia="Arial" w:hAnsi="Arial"/>
          <w:sz w:val="10"/>
          <w:szCs w:val="10"/>
          <w:color w:val="auto"/>
        </w:rPr>
      </w:pPr>
      <w:r>
        <w:rPr>
          <w:rFonts w:ascii="Arial" w:cs="Arial" w:eastAsia="Arial" w:hAnsi="Arial"/>
          <w:sz w:val="10"/>
          <w:szCs w:val="10"/>
          <w:b w:val="1"/>
          <w:bCs w:val="1"/>
          <w:i w:val="1"/>
          <w:iCs w:val="1"/>
          <w:color w:val="auto"/>
        </w:rPr>
        <w:t xml:space="preserve">Integrated risk management - </w:t>
      </w:r>
      <w:r>
        <w:rPr>
          <w:rFonts w:ascii="Arial" w:cs="Arial" w:eastAsia="Arial" w:hAnsi="Arial"/>
          <w:sz w:val="10"/>
          <w:szCs w:val="10"/>
          <w:color w:val="auto"/>
        </w:rPr>
        <w:t>To provide the AC with further insights into Shell’s integrated risk management framework across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the organisation, the AC received an overview of the approach to risks, controls and assurance in two business areas: information risk management and Shell aircraft. The AC noted the improvement measures and best practices management has embedded within these two areas.</w:t>
      </w:r>
    </w:p>
    <w:p>
      <w:pPr>
        <w:ind w:left="420" w:hanging="212"/>
        <w:spacing w:after="0" w:line="225" w:lineRule="auto"/>
        <w:tabs>
          <w:tab w:leader="none" w:pos="417" w:val="left"/>
        </w:tabs>
        <w:numPr>
          <w:ilvl w:val="0"/>
          <w:numId w:val="106"/>
        </w:numPr>
        <w:rPr>
          <w:rFonts w:ascii="Arial" w:cs="Arial" w:eastAsia="Arial" w:hAnsi="Arial"/>
          <w:sz w:val="10"/>
          <w:szCs w:val="10"/>
          <w:color w:val="auto"/>
        </w:rPr>
      </w:pPr>
      <w:r>
        <w:rPr>
          <w:rFonts w:ascii="Arial" w:cs="Arial" w:eastAsia="Arial" w:hAnsi="Arial"/>
          <w:sz w:val="10"/>
          <w:szCs w:val="10"/>
          <w:b w:val="1"/>
          <w:bCs w:val="1"/>
          <w:i w:val="1"/>
          <w:iCs w:val="1"/>
          <w:color w:val="auto"/>
        </w:rPr>
        <w:t xml:space="preserve">Treasury operations - </w:t>
      </w:r>
      <w:r>
        <w:rPr>
          <w:rFonts w:ascii="Arial" w:cs="Arial" w:eastAsia="Arial" w:hAnsi="Arial"/>
          <w:sz w:val="10"/>
          <w:szCs w:val="10"/>
          <w:color w:val="auto"/>
        </w:rPr>
        <w:t>Senior Treasury leaders provided the AC with an overview of Shell’s centralised treasury operations, which</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include central debt and capital market activities, liquidity and foreign exchange, cash management and treasury functions. The AC reviewed the overall governance, controls and assurance activities. The AC gained a deeper understanding of how risks, including regulatory and fiscal compliance, are managed. As part of this review, the AC discussed future challenges and opportunities in this area.</w:t>
      </w:r>
    </w:p>
    <w:p>
      <w:pPr>
        <w:ind w:left="420" w:right="60" w:hanging="212"/>
        <w:spacing w:after="0" w:line="300" w:lineRule="auto"/>
        <w:tabs>
          <w:tab w:leader="none" w:pos="417" w:val="left"/>
        </w:tabs>
        <w:numPr>
          <w:ilvl w:val="0"/>
          <w:numId w:val="106"/>
        </w:numPr>
        <w:rPr>
          <w:rFonts w:ascii="Arial" w:cs="Arial" w:eastAsia="Arial" w:hAnsi="Arial"/>
          <w:sz w:val="8"/>
          <w:szCs w:val="8"/>
          <w:color w:val="auto"/>
        </w:rPr>
      </w:pPr>
      <w:r>
        <w:rPr>
          <w:rFonts w:ascii="Arial" w:cs="Arial" w:eastAsia="Arial" w:hAnsi="Arial"/>
          <w:sz w:val="8"/>
          <w:szCs w:val="8"/>
          <w:b w:val="1"/>
          <w:bCs w:val="1"/>
          <w:i w:val="1"/>
          <w:iCs w:val="1"/>
          <w:color w:val="auto"/>
        </w:rPr>
        <w:t xml:space="preserve">Trading and Supply’s control framework - </w:t>
      </w:r>
      <w:r>
        <w:rPr>
          <w:rFonts w:ascii="Arial" w:cs="Arial" w:eastAsia="Arial" w:hAnsi="Arial"/>
          <w:sz w:val="8"/>
          <w:szCs w:val="8"/>
          <w:color w:val="auto"/>
        </w:rPr>
        <w:t>Reflecting the growth in this area in recent years and increasing regulatory demands,</w:t>
      </w:r>
      <w:r>
        <w:rPr>
          <w:rFonts w:ascii="Arial" w:cs="Arial" w:eastAsia="Arial" w:hAnsi="Arial"/>
          <w:sz w:val="8"/>
          <w:szCs w:val="8"/>
          <w:b w:val="1"/>
          <w:bCs w:val="1"/>
          <w:i w:val="1"/>
          <w:iCs w:val="1"/>
          <w:color w:val="auto"/>
        </w:rPr>
        <w:t xml:space="preserve"> </w:t>
      </w:r>
      <w:r>
        <w:rPr>
          <w:rFonts w:ascii="Arial" w:cs="Arial" w:eastAsia="Arial" w:hAnsi="Arial"/>
          <w:sz w:val="8"/>
          <w:szCs w:val="8"/>
          <w:color w:val="auto"/>
        </w:rPr>
        <w:t>the AC continued to focus on key control and compliance matters in Trading and Supply. Management updated the AC on the improvements being made within Trading and Supply to strengthen controls and modernise processes, data and systems and on the new hires in the areas of compliance and risk management.</w:t>
      </w:r>
    </w:p>
    <w:p>
      <w:pPr>
        <w:spacing w:after="0" w:line="126" w:lineRule="exact"/>
        <w:rPr>
          <w:sz w:val="20"/>
          <w:szCs w:val="20"/>
          <w:color w:val="auto"/>
        </w:rPr>
      </w:pPr>
    </w:p>
    <w:p>
      <w:pPr>
        <w:ind w:right="20"/>
        <w:spacing w:after="0" w:line="294" w:lineRule="auto"/>
        <w:rPr>
          <w:sz w:val="20"/>
          <w:szCs w:val="20"/>
          <w:color w:val="auto"/>
        </w:rPr>
      </w:pPr>
      <w:r>
        <w:rPr>
          <w:rFonts w:ascii="Arial" w:cs="Arial" w:eastAsia="Arial" w:hAnsi="Arial"/>
          <w:sz w:val="8"/>
          <w:szCs w:val="8"/>
          <w:color w:val="auto"/>
        </w:rPr>
        <w:t>In 2020, the AC carried out three site visits that were conducted virtually because of the travel restrictions in place during the COVID-19 pandemic. The AC visited: Singapore in October 2020; Kuala Lumpur in Malaysia in November and December 2020; and Poland in November 2020 and January 2021. These visits provided the opportunity for the AC to gain a deeper understanding of the various businesses and functions at each location, the local external environment within which those activities take place and how they contribute to Shell achieving its strategic ambitions. In addition to in-depth examinations of specific business areas, topics discussed during the site visits included: an overview of ethics and compliance matters, the challenges of operating during the COVID-19 pandemic for both people and operations, the impact of the energy transition at a local level and results from the Shell People Survey.</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RISK MANAGEMENT AND INTERNAL CONTROL</w:t>
      </w:r>
    </w:p>
    <w:p>
      <w:pPr>
        <w:spacing w:after="0" w:line="3" w:lineRule="exact"/>
        <w:rPr>
          <w:sz w:val="20"/>
          <w:szCs w:val="20"/>
          <w:color w:val="auto"/>
        </w:rPr>
      </w:pPr>
    </w:p>
    <w:p>
      <w:pPr>
        <w:ind w:right="40"/>
        <w:spacing w:after="0" w:line="291" w:lineRule="auto"/>
        <w:rPr>
          <w:sz w:val="20"/>
          <w:szCs w:val="20"/>
          <w:color w:val="auto"/>
        </w:rPr>
      </w:pPr>
      <w:r>
        <w:rPr>
          <w:rFonts w:ascii="Arial" w:cs="Arial" w:eastAsia="Arial" w:hAnsi="Arial"/>
          <w:sz w:val="8"/>
          <w:szCs w:val="8"/>
          <w:color w:val="auto"/>
        </w:rPr>
        <w:t>The AC assists the Board in fulfilling its responsibilities in relation to risk management and internal controls by reviewing reports on risks, controls and assurance, including the annual assessment of the system of risk management and internal control, in order to monitor the effectiveness of the procedures for internal control over financial reporting, compliance and operational matters. This annual assessment includes the AC's review of outcomes from the Group Assurance Letter process (a structured internal assessment of compliance with legal and ethical requirements and the Shell Control Framework carried out by each Executive Director) and the Company’s evaluation of the internal control over financial reporting as required under Section 404 of the Sarbanes-Oxley Act (SOX 404). The AC updated the Board on compliance with internal controls across the Shell Group and on any major matters for which action or improvement was needed.</w:t>
      </w:r>
    </w:p>
    <w:p>
      <w:pPr>
        <w:spacing w:after="0" w:line="20" w:lineRule="exact"/>
        <w:rPr>
          <w:sz w:val="20"/>
          <w:szCs w:val="20"/>
          <w:color w:val="auto"/>
        </w:rPr>
      </w:pPr>
      <w:r>
        <w:rPr>
          <w:sz w:val="20"/>
          <w:szCs w:val="20"/>
          <w:color w:val="auto"/>
        </w:rPr>
        <w:br w:type="column"/>
      </w:r>
    </w:p>
    <w:p>
      <w:pPr>
        <w:ind w:right="140"/>
        <w:spacing w:after="0" w:line="294" w:lineRule="auto"/>
        <w:rPr>
          <w:sz w:val="20"/>
          <w:szCs w:val="20"/>
          <w:color w:val="auto"/>
        </w:rPr>
      </w:pPr>
      <w:r>
        <w:rPr>
          <w:rFonts w:ascii="Arial" w:cs="Arial" w:eastAsia="Arial" w:hAnsi="Arial"/>
          <w:sz w:val="8"/>
          <w:szCs w:val="8"/>
          <w:color w:val="auto"/>
        </w:rPr>
        <w:t>Throughout the year, the AC discussed with management the Company’s overall approach to risk management and internal control, including compliance, tax and information risk management matters and the adequacy of disclosure controls and procedures. The AC received quarterly reports from the Executive Vice President Taxation and Controller on the status of actions to address control weaknesses identified during assurance reviews, as well as trend information regarding business incidents and other metrics used to monitor the robustness of the risk management framework and internal control systems. As part of considering the risk management framework, the AC was informed of developments in the legal, regulatory and financial reporting landscape that could affect the Company. The AC was also briefed on litigation matters (see “Governance” on page 100 and Note 25 to the “Consolidated Financial Statements” on pages 206 - 208.</w:t>
      </w:r>
    </w:p>
    <w:p>
      <w:pPr>
        <w:spacing w:after="0" w:line="129" w:lineRule="exact"/>
        <w:rPr>
          <w:sz w:val="20"/>
          <w:szCs w:val="20"/>
          <w:color w:val="auto"/>
        </w:rPr>
      </w:pPr>
    </w:p>
    <w:p>
      <w:pPr>
        <w:ind w:right="160"/>
        <w:spacing w:after="0" w:line="300" w:lineRule="auto"/>
        <w:rPr>
          <w:sz w:val="20"/>
          <w:szCs w:val="20"/>
          <w:color w:val="auto"/>
        </w:rPr>
      </w:pPr>
      <w:r>
        <w:rPr>
          <w:rFonts w:ascii="Arial" w:cs="Arial" w:eastAsia="Arial" w:hAnsi="Arial"/>
          <w:sz w:val="8"/>
          <w:szCs w:val="8"/>
          <w:color w:val="auto"/>
        </w:rPr>
        <w:t>The AC reviewed on a quarterly basis the status of management’s SOX 404 testing of controls and remediation actions to address any identified weaknesses. For 2020, these quarterly reviews also included consideration of how the COVID-19 pandemic affected the controls and assurance landscape, including the financial reporting process. The AC and management discussed the steps taken to maintain an effective control environment to demonstrate “management in control” during the pandemic and to address any new or emerging risks due to the working from home setting during most of 2020.</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In particular, the AC dedicated time to the following standing items during 2020:</w:t>
      </w:r>
    </w:p>
    <w:p>
      <w:pPr>
        <w:spacing w:after="0" w:line="155" w:lineRule="exact"/>
        <w:rPr>
          <w:sz w:val="20"/>
          <w:szCs w:val="20"/>
          <w:color w:val="auto"/>
        </w:rPr>
      </w:pPr>
    </w:p>
    <w:p>
      <w:pPr>
        <w:ind w:right="320"/>
        <w:spacing w:after="0" w:line="307" w:lineRule="auto"/>
        <w:rPr>
          <w:sz w:val="20"/>
          <w:szCs w:val="20"/>
          <w:color w:val="auto"/>
        </w:rPr>
      </w:pPr>
      <w:r>
        <w:rPr>
          <w:rFonts w:ascii="Arial" w:cs="Arial" w:eastAsia="Arial" w:hAnsi="Arial"/>
          <w:sz w:val="8"/>
          <w:szCs w:val="8"/>
          <w:b w:val="1"/>
          <w:bCs w:val="1"/>
          <w:i w:val="1"/>
          <w:iCs w:val="1"/>
          <w:color w:val="auto"/>
        </w:rPr>
        <w:t xml:space="preserve">Tax risks - </w:t>
      </w:r>
      <w:r>
        <w:rPr>
          <w:rFonts w:ascii="Arial" w:cs="Arial" w:eastAsia="Arial" w:hAnsi="Arial"/>
          <w:sz w:val="8"/>
          <w:szCs w:val="8"/>
          <w:color w:val="auto"/>
        </w:rPr>
        <w:t>In addition to the regular review of Shell’s tax position, the AC discussed with management new and potential tax legislation</w:t>
      </w:r>
      <w:r>
        <w:rPr>
          <w:rFonts w:ascii="Arial" w:cs="Arial" w:eastAsia="Arial" w:hAnsi="Arial"/>
          <w:sz w:val="8"/>
          <w:szCs w:val="8"/>
          <w:b w:val="1"/>
          <w:bCs w:val="1"/>
          <w:i w:val="1"/>
          <w:iCs w:val="1"/>
          <w:color w:val="auto"/>
        </w:rPr>
        <w:t xml:space="preserve"> </w:t>
      </w:r>
      <w:r>
        <w:rPr>
          <w:rFonts w:ascii="Arial" w:cs="Arial" w:eastAsia="Arial" w:hAnsi="Arial"/>
          <w:sz w:val="8"/>
          <w:szCs w:val="8"/>
          <w:color w:val="auto"/>
        </w:rPr>
        <w:t>developments in various countries and how their potential impact on Shell is being managed. The AC also discussed with management Shell's updated Approach to Tax and proposed responses to the continued demand for greater transparency of tax information, noting for example, Shell’s publication of its second Tax Contribution Report in 2020.</w:t>
      </w:r>
    </w:p>
    <w:p>
      <w:pPr>
        <w:spacing w:after="0" w:line="123" w:lineRule="exact"/>
        <w:rPr>
          <w:sz w:val="20"/>
          <w:szCs w:val="20"/>
          <w:color w:val="auto"/>
        </w:rPr>
      </w:pPr>
    </w:p>
    <w:p>
      <w:pPr>
        <w:ind w:right="220"/>
        <w:spacing w:after="0" w:line="320" w:lineRule="auto"/>
        <w:rPr>
          <w:sz w:val="20"/>
          <w:szCs w:val="20"/>
          <w:color w:val="auto"/>
        </w:rPr>
      </w:pPr>
      <w:r>
        <w:rPr>
          <w:rFonts w:ascii="Arial" w:cs="Arial" w:eastAsia="Arial" w:hAnsi="Arial"/>
          <w:sz w:val="8"/>
          <w:szCs w:val="8"/>
          <w:b w:val="1"/>
          <w:bCs w:val="1"/>
          <w:i w:val="1"/>
          <w:iCs w:val="1"/>
          <w:color w:val="auto"/>
        </w:rPr>
        <w:t xml:space="preserve">Information risk management - </w:t>
      </w:r>
      <w:r>
        <w:rPr>
          <w:rFonts w:ascii="Arial" w:cs="Arial" w:eastAsia="Arial" w:hAnsi="Arial"/>
          <w:sz w:val="8"/>
          <w:szCs w:val="8"/>
          <w:color w:val="auto"/>
        </w:rPr>
        <w:t>The Chief Information Officer briefed the AC on the diverse and expanding risk landscape, including</w:t>
      </w:r>
      <w:r>
        <w:rPr>
          <w:rFonts w:ascii="Arial" w:cs="Arial" w:eastAsia="Arial" w:hAnsi="Arial"/>
          <w:sz w:val="8"/>
          <w:szCs w:val="8"/>
          <w:b w:val="1"/>
          <w:bCs w:val="1"/>
          <w:i w:val="1"/>
          <w:iCs w:val="1"/>
          <w:color w:val="auto"/>
        </w:rPr>
        <w:t xml:space="preserve"> </w:t>
      </w:r>
      <w:r>
        <w:rPr>
          <w:rFonts w:ascii="Arial" w:cs="Arial" w:eastAsia="Arial" w:hAnsi="Arial"/>
          <w:sz w:val="8"/>
          <w:szCs w:val="8"/>
          <w:color w:val="auto"/>
        </w:rPr>
        <w:t>changes in cyber-attacks due to the COVID- 19 environment, and regulatory developments. The AC was briefed on activities undertaken in 2020 to address and manage new and evolving risks as well as improvements planned for 2021.</w:t>
      </w:r>
    </w:p>
    <w:p>
      <w:pPr>
        <w:spacing w:after="0" w:line="118" w:lineRule="exact"/>
        <w:rPr>
          <w:sz w:val="20"/>
          <w:szCs w:val="20"/>
          <w:color w:val="auto"/>
        </w:rPr>
      </w:pPr>
    </w:p>
    <w:p>
      <w:pPr>
        <w:ind w:right="260"/>
        <w:spacing w:after="0" w:line="320" w:lineRule="auto"/>
        <w:rPr>
          <w:sz w:val="20"/>
          <w:szCs w:val="20"/>
          <w:color w:val="auto"/>
        </w:rPr>
      </w:pPr>
      <w:r>
        <w:rPr>
          <w:rFonts w:ascii="Arial" w:cs="Arial" w:eastAsia="Arial" w:hAnsi="Arial"/>
          <w:sz w:val="8"/>
          <w:szCs w:val="8"/>
          <w:b w:val="1"/>
          <w:bCs w:val="1"/>
          <w:i w:val="1"/>
          <w:iCs w:val="1"/>
          <w:color w:val="auto"/>
        </w:rPr>
        <w:t xml:space="preserve">Oil and gas reserves control framework - </w:t>
      </w:r>
      <w:r>
        <w:rPr>
          <w:rFonts w:ascii="Arial" w:cs="Arial" w:eastAsia="Arial" w:hAnsi="Arial"/>
          <w:sz w:val="8"/>
          <w:szCs w:val="8"/>
          <w:color w:val="auto"/>
        </w:rPr>
        <w:t>The AC reviewed the framework in place to support internal reporting and external disclosures.</w:t>
      </w:r>
      <w:r>
        <w:rPr>
          <w:rFonts w:ascii="Arial" w:cs="Arial" w:eastAsia="Arial" w:hAnsi="Arial"/>
          <w:sz w:val="8"/>
          <w:szCs w:val="8"/>
          <w:b w:val="1"/>
          <w:bCs w:val="1"/>
          <w:i w:val="1"/>
          <w:iCs w:val="1"/>
          <w:color w:val="auto"/>
        </w:rPr>
        <w:t xml:space="preserve"> </w:t>
      </w:r>
      <w:r>
        <w:rPr>
          <w:rFonts w:ascii="Arial" w:cs="Arial" w:eastAsia="Arial" w:hAnsi="Arial"/>
          <w:sz w:val="8"/>
          <w:szCs w:val="8"/>
          <w:color w:val="auto"/>
        </w:rPr>
        <w:t>The AC discussed the processes and controls for preventing and/or mitigating the risks of non-compliance with regulatory reporting requirements, and ensuring accurate reserves information is reported in an efficient manner.</w:t>
      </w:r>
    </w:p>
    <w:p>
      <w:pPr>
        <w:spacing w:after="0" w:line="118" w:lineRule="exact"/>
        <w:rPr>
          <w:sz w:val="20"/>
          <w:szCs w:val="20"/>
          <w:color w:val="auto"/>
        </w:rPr>
      </w:pPr>
    </w:p>
    <w:p>
      <w:pPr>
        <w:ind w:right="140"/>
        <w:spacing w:after="0" w:line="232" w:lineRule="auto"/>
        <w:rPr>
          <w:sz w:val="20"/>
          <w:szCs w:val="20"/>
          <w:color w:val="auto"/>
        </w:rPr>
      </w:pPr>
      <w:r>
        <w:rPr>
          <w:rFonts w:ascii="Arial" w:cs="Arial" w:eastAsia="Arial" w:hAnsi="Arial"/>
          <w:sz w:val="10"/>
          <w:szCs w:val="10"/>
          <w:color w:val="auto"/>
        </w:rPr>
        <w:t>In addition to the above discussions with management, on a quarterly basis, the AC and the Chief Internal Auditor discussed the Company’s risk management and internal control system, any significant matters arising from the internal audit assurance programme and management’s response to significant audit findings and notable control weaknesses including potential improvements and agreed actions. The AC held similar discussions with EY on a quarterly basis.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FINANCIAL REPORTING</w:t>
      </w:r>
    </w:p>
    <w:p>
      <w:pPr>
        <w:spacing w:after="0" w:line="3" w:lineRule="exact"/>
        <w:rPr>
          <w:sz w:val="20"/>
          <w:szCs w:val="20"/>
          <w:color w:val="auto"/>
        </w:rPr>
      </w:pPr>
    </w:p>
    <w:p>
      <w:pPr>
        <w:ind w:right="360"/>
        <w:spacing w:after="0" w:line="231" w:lineRule="auto"/>
        <w:rPr>
          <w:sz w:val="20"/>
          <w:szCs w:val="20"/>
          <w:color w:val="auto"/>
        </w:rPr>
      </w:pPr>
      <w:r>
        <w:rPr>
          <w:rFonts w:ascii="Arial" w:cs="Arial" w:eastAsia="Arial" w:hAnsi="Arial"/>
          <w:sz w:val="10"/>
          <w:szCs w:val="10"/>
          <w:color w:val="auto"/>
        </w:rPr>
        <w:t>In 2020, the AC received comprehensive reports from management and the external auditor on quarterly financial reporting, accounting policies and judgements and reporting matters.</w:t>
      </w:r>
    </w:p>
    <w:p>
      <w:pPr>
        <w:spacing w:after="0" w:line="140" w:lineRule="exact"/>
        <w:rPr>
          <w:sz w:val="20"/>
          <w:szCs w:val="20"/>
          <w:color w:val="auto"/>
        </w:rPr>
      </w:pPr>
    </w:p>
    <w:p>
      <w:pPr>
        <w:ind w:right="220"/>
        <w:spacing w:after="0" w:line="273" w:lineRule="auto"/>
        <w:rPr>
          <w:sz w:val="20"/>
          <w:szCs w:val="20"/>
          <w:color w:val="auto"/>
        </w:rPr>
      </w:pPr>
      <w:r>
        <w:rPr>
          <w:rFonts w:ascii="Arial" w:cs="Arial" w:eastAsia="Arial" w:hAnsi="Arial"/>
          <w:sz w:val="8"/>
          <w:szCs w:val="8"/>
          <w:color w:val="auto"/>
        </w:rPr>
        <w:t xml:space="preserve">Shell’s annual report and accounts for the year ended December 31, 2019 was selected by the Financial Reporting Council (FRC) for their thematic review of a sample of companies’ reporting on the impact of climate change and the first full year of adoption of IFRS 16, </w:t>
      </w:r>
      <w:r>
        <w:rPr>
          <w:rFonts w:ascii="Arial" w:cs="Arial" w:eastAsia="Arial" w:hAnsi="Arial"/>
          <w:sz w:val="8"/>
          <w:szCs w:val="8"/>
          <w:i w:val="1"/>
          <w:iCs w:val="1"/>
          <w:color w:val="auto"/>
        </w:rPr>
        <w:t>Leases</w:t>
      </w:r>
      <w:r>
        <w:rPr>
          <w:rFonts w:ascii="Arial" w:cs="Arial" w:eastAsia="Arial" w:hAnsi="Arial"/>
          <w:sz w:val="8"/>
          <w:szCs w:val="8"/>
          <w:color w:val="auto"/>
        </w:rPr>
        <w:t>. The FRC carried out a limited scope review of Shell's disclosures relating to these matters and did not conduct a full review of Shell's 2019</w:t>
      </w:r>
    </w:p>
    <w:p>
      <w:pPr>
        <w:spacing w:after="0" w:line="1" w:lineRule="exact"/>
        <w:rPr>
          <w:sz w:val="20"/>
          <w:szCs w:val="20"/>
          <w:color w:val="auto"/>
        </w:rPr>
      </w:pPr>
    </w:p>
    <w:p>
      <w:pPr>
        <w:ind w:right="220"/>
        <w:spacing w:after="0" w:line="230" w:lineRule="auto"/>
        <w:rPr>
          <w:sz w:val="20"/>
          <w:szCs w:val="20"/>
          <w:color w:val="auto"/>
        </w:rPr>
      </w:pPr>
      <w:r>
        <w:rPr>
          <w:rFonts w:ascii="Arial" w:cs="Arial" w:eastAsia="Arial" w:hAnsi="Arial"/>
          <w:sz w:val="10"/>
          <w:szCs w:val="10"/>
          <w:color w:val="auto"/>
        </w:rPr>
        <w:t>Annual Report and accounts. Following correspondence, the review was closed on February 10, 2021 and certain disclosure improvements have been made to the Consolidated Financial Statements for the year ended December 31,</w:t>
      </w:r>
    </w:p>
    <w:p>
      <w:pPr>
        <w:spacing w:after="0" w:line="200" w:lineRule="exact"/>
        <w:rPr>
          <w:sz w:val="20"/>
          <w:szCs w:val="20"/>
          <w:color w:val="auto"/>
        </w:rPr>
      </w:pPr>
    </w:p>
    <w:p>
      <w:pPr>
        <w:sectPr>
          <w:pgSz w:w="11900" w:h="16838" w:orient="portrait"/>
          <w:cols w:equalWidth="0" w:num="2">
            <w:col w:w="5420" w:space="320"/>
            <w:col w:w="5560"/>
          </w:cols>
          <w:pgMar w:left="300" w:top="800" w:right="299" w:bottom="144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110</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type w:val="continuous"/>
        </w:sectPr>
      </w:pPr>
    </w:p>
    <w:bookmarkStart w:id="113" w:name="page114"/>
    <w:bookmarkEnd w:id="113"/>
    <w:p>
      <w:pPr>
        <w:ind w:right="440"/>
        <w:spacing w:after="0" w:line="230" w:lineRule="auto"/>
        <w:rPr>
          <w:sz w:val="20"/>
          <w:szCs w:val="20"/>
          <w:color w:val="auto"/>
        </w:rPr>
      </w:pPr>
      <w:r>
        <w:rPr>
          <w:rFonts w:ascii="Arial" w:cs="Arial" w:eastAsia="Arial" w:hAnsi="Arial"/>
          <w:sz w:val="10"/>
          <w:szCs w:val="10"/>
          <w:color w:val="auto"/>
        </w:rPr>
        <w:t>2020. The AC reviewed Shell’s correspondence with the FRC and discussed with management the disclosures incorporated in the Consolidated Financial Statements in response to the FRC review.</w:t>
      </w:r>
    </w:p>
    <w:p>
      <w:pPr>
        <w:spacing w:after="0" w:line="140" w:lineRule="exact"/>
        <w:rPr>
          <w:sz w:val="20"/>
          <w:szCs w:val="20"/>
          <w:color w:val="auto"/>
        </w:rPr>
      </w:pPr>
    </w:p>
    <w:p>
      <w:pPr>
        <w:ind w:right="60"/>
        <w:spacing w:after="0" w:line="320" w:lineRule="auto"/>
        <w:rPr>
          <w:sz w:val="20"/>
          <w:szCs w:val="20"/>
          <w:color w:val="auto"/>
        </w:rPr>
      </w:pPr>
      <w:r>
        <w:rPr>
          <w:rFonts w:ascii="Arial" w:cs="Arial" w:eastAsia="Arial" w:hAnsi="Arial"/>
          <w:sz w:val="8"/>
          <w:szCs w:val="8"/>
          <w:color w:val="auto"/>
        </w:rPr>
        <w:t>The AC reviewed the Company’s 2020 quarterly unaudited interim financial statements, half-yearly report and Annual Report with management and the external auditor. Following the decision to produce a separate Annual Report and Form 20-F beginning with financial year 2019, the AC reviewed the control framework put in place to ensure the disclosures in both reports comply with relevant requirements.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8"/>
          <w:szCs w:val="8"/>
          <w:color w:val="auto"/>
        </w:rPr>
        <w:t>The AC discussed the audited financial statements with management and the external auditor. The AC advised the Board that in its view the 2020 Form 20-F including the financial statements for the year ended December 31, 2020, taken as a whole, provides the information necessary for shareholders to assess Shell’s position and performance, business model and strategies. The AC also advised the Board that in its view the inclusion of the audited financial statements in the 2020 Form 20-F is appropriate. To reach this conclusion, the AC critically assessed drafts of the 2020 Form 20-F including the financial statements and reviewed with management the process for ensuring compliance with applicable requirements. This process included: verifying that the contents of the 2020 Form 20-F are consistent with the information shared with the Board during the year to support their assessment of Shell’s position and performance; ensuring that consistent materiality thresholds are applied for favourable and unfavourable items; considering comments from the external auditor; and receiving assurance from the Executive Committee (EC). The AC also reviewed and considered the Directors’ half-year and full-year statements with respect to the going concern basis of accounting. Further, the AC discussed with the external auditor matters regarding the audit and the quality of the accounting judgements employed by management.</w:t>
      </w:r>
    </w:p>
    <w:p>
      <w:pPr>
        <w:spacing w:after="0" w:line="242"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Other matters</w:t>
      </w:r>
    </w:p>
    <w:p>
      <w:pPr>
        <w:spacing w:after="0" w:line="1" w:lineRule="exact"/>
        <w:rPr>
          <w:sz w:val="20"/>
          <w:szCs w:val="20"/>
          <w:color w:val="auto"/>
        </w:rPr>
      </w:pPr>
    </w:p>
    <w:p>
      <w:pPr>
        <w:ind w:right="100"/>
        <w:spacing w:after="0" w:line="299" w:lineRule="auto"/>
        <w:rPr>
          <w:sz w:val="20"/>
          <w:szCs w:val="20"/>
          <w:color w:val="auto"/>
        </w:rPr>
      </w:pPr>
      <w:r>
        <w:rPr>
          <w:rFonts w:ascii="Arial" w:cs="Arial" w:eastAsia="Arial" w:hAnsi="Arial"/>
          <w:sz w:val="8"/>
          <w:szCs w:val="8"/>
          <w:color w:val="auto"/>
        </w:rPr>
        <w:t>The AC reviewed: the year-end reported proved oil and gas reserves, including management judgements and adjustments made to reflect changes in geological, technical, contractual and economic information, the Brent crude oil and Henry Hub natural gas long-term price assumptions; estimated refining margins; discount rates used for financial reporting, particularly with respect to impairment testing and decommissioning and other provisions (see Note 2 to the “Consolidated Financial Statements” on pages 169 - 176 for further information); and the effectiveness of financial controls.</w:t>
      </w:r>
    </w:p>
    <w:p>
      <w:pPr>
        <w:spacing w:after="0" w:line="39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COMPLIANCE AND GOVERNANCE</w:t>
      </w:r>
    </w:p>
    <w:p>
      <w:pPr>
        <w:spacing w:after="0" w:line="231" w:lineRule="auto"/>
        <w:rPr>
          <w:sz w:val="20"/>
          <w:szCs w:val="20"/>
          <w:color w:val="auto"/>
        </w:rPr>
      </w:pPr>
      <w:r>
        <w:rPr>
          <w:rFonts w:ascii="Arial" w:cs="Arial" w:eastAsia="Arial" w:hAnsi="Arial"/>
          <w:sz w:val="10"/>
          <w:szCs w:val="10"/>
          <w:u w:val="single" w:color="auto"/>
          <w:color w:val="auto"/>
        </w:rPr>
        <w:t>Ethics and compliance</w:t>
      </w:r>
    </w:p>
    <w:p>
      <w:pPr>
        <w:spacing w:after="0" w:line="228" w:lineRule="auto"/>
        <w:rPr>
          <w:sz w:val="20"/>
          <w:szCs w:val="20"/>
          <w:color w:val="auto"/>
        </w:rPr>
      </w:pPr>
      <w:r>
        <w:rPr>
          <w:rFonts w:ascii="Arial" w:cs="Arial" w:eastAsia="Arial" w:hAnsi="Arial"/>
          <w:sz w:val="10"/>
          <w:szCs w:val="10"/>
          <w:color w:val="auto"/>
        </w:rPr>
        <w:t>The AC discussed with the Chief Ethics and Compliance Officer the potential impact of COVID-19 on conduct risk at Shell. The Chief Ethics and Compliance Officer summarised the macro factors affecting conduct risk during the pandemic and the related economic downturn. The AC was updated on management's risk-based approach and mitigation actions taken by Shell in response to these issues, including reinforcing adherence to Shell’s compliance rules and Code of Conduct.</w:t>
      </w:r>
    </w:p>
    <w:p>
      <w:pPr>
        <w:spacing w:after="0" w:line="149" w:lineRule="exact"/>
        <w:rPr>
          <w:sz w:val="20"/>
          <w:szCs w:val="20"/>
          <w:color w:val="auto"/>
        </w:rPr>
      </w:pPr>
    </w:p>
    <w:p>
      <w:pPr>
        <w:ind w:right="20"/>
        <w:spacing w:after="0" w:line="232" w:lineRule="auto"/>
        <w:rPr>
          <w:sz w:val="20"/>
          <w:szCs w:val="20"/>
          <w:color w:val="auto"/>
        </w:rPr>
      </w:pPr>
      <w:r>
        <w:rPr>
          <w:rFonts w:ascii="Arial" w:cs="Arial" w:eastAsia="Arial" w:hAnsi="Arial"/>
          <w:sz w:val="10"/>
          <w:szCs w:val="10"/>
          <w:color w:val="auto"/>
        </w:rPr>
        <w:t>In October 2020, the AC and the Safety, Environment and Sustainability Committee held a joint session with the Chief Ethics and Compliance Officer which facilitated an effective discussion of the controls, procedures and governance for managing high risk transactions in Shell, with a particular focus on proposed portfolio activities including new business development opportunities, acquisitions, divestments and joint ventures.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60"/>
        <w:spacing w:after="0" w:line="297" w:lineRule="auto"/>
        <w:rPr>
          <w:sz w:val="20"/>
          <w:szCs w:val="20"/>
          <w:color w:val="auto"/>
        </w:rPr>
      </w:pPr>
      <w:r>
        <w:rPr>
          <w:rFonts w:ascii="Arial" w:cs="Arial" w:eastAsia="Arial" w:hAnsi="Arial"/>
          <w:sz w:val="8"/>
          <w:szCs w:val="8"/>
          <w:color w:val="auto"/>
        </w:rPr>
        <w:t>As part of the annual assessment of the system of risk management and internal control, the AC discussed with the Chief Ethics and Compliance Officer his annual report on compliance matters. The report included an overview of the effectiveness of the Shell ethics and compliance programme in managing ethics and compliance risk in Shell’s business activities, regulatory developments and compliance risks. The AC also discussed investigations of cases involving ethics and compliance concerns. The AC discussed management’s findings in such cases to satisfy itself that a rigorous process had been followed, and, where necessary, appropriate disciplinary actions had been taken and management had embedded learnings into Shell's systems and controls.</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Whistleblowing investigations</w:t>
      </w:r>
    </w:p>
    <w:p>
      <w:pPr>
        <w:spacing w:after="0" w:line="1" w:lineRule="exact"/>
        <w:rPr>
          <w:sz w:val="20"/>
          <w:szCs w:val="20"/>
          <w:color w:val="auto"/>
        </w:rPr>
      </w:pPr>
    </w:p>
    <w:p>
      <w:pPr>
        <w:ind w:right="200"/>
        <w:spacing w:after="0" w:line="309" w:lineRule="auto"/>
        <w:rPr>
          <w:sz w:val="20"/>
          <w:szCs w:val="20"/>
          <w:color w:val="auto"/>
        </w:rPr>
      </w:pPr>
      <w:r>
        <w:rPr>
          <w:rFonts w:ascii="Arial" w:cs="Arial" w:eastAsia="Arial" w:hAnsi="Arial"/>
          <w:sz w:val="8"/>
          <w:szCs w:val="8"/>
          <w:color w:val="auto"/>
        </w:rPr>
        <w:t>The AC is responsible for establishing and monitoring the implementation of procedures for the receipt, retention, investigation and follow-up actions of complaints received, including those from the Shell Global Helpline. The AC reviewed whistleblowing reports and internal audit reports and considered management’s responses to the findings in these reports.</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Regulatory developments</w:t>
      </w:r>
    </w:p>
    <w:p>
      <w:pPr>
        <w:spacing w:after="0" w:line="1" w:lineRule="exact"/>
        <w:rPr>
          <w:sz w:val="20"/>
          <w:szCs w:val="20"/>
          <w:color w:val="auto"/>
        </w:rPr>
      </w:pPr>
    </w:p>
    <w:p>
      <w:pPr>
        <w:jc w:val="both"/>
        <w:ind w:right="460"/>
        <w:spacing w:after="0" w:line="309" w:lineRule="auto"/>
        <w:rPr>
          <w:sz w:val="20"/>
          <w:szCs w:val="20"/>
          <w:color w:val="auto"/>
        </w:rPr>
      </w:pPr>
      <w:r>
        <w:rPr>
          <w:rFonts w:ascii="Arial" w:cs="Arial" w:eastAsia="Arial" w:hAnsi="Arial"/>
          <w:sz w:val="8"/>
          <w:szCs w:val="8"/>
          <w:color w:val="auto"/>
        </w:rPr>
        <w:t>The AC was briefed on regulatory developments in areas including: sustainable finance (in particular management’s work on the EU Sustainable Finance Taxonomy); non-financial reporting (in particular management’s assessment of the EU Non-Financial Reporting Directive Revision); accounting and reporting; environmental liabilities and treasury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AC annual evaluation</w:t>
      </w:r>
    </w:p>
    <w:p>
      <w:pPr>
        <w:spacing w:after="0" w:line="1" w:lineRule="exact"/>
        <w:rPr>
          <w:sz w:val="20"/>
          <w:szCs w:val="20"/>
          <w:color w:val="auto"/>
        </w:rPr>
      </w:pPr>
    </w:p>
    <w:p>
      <w:pPr>
        <w:ind w:right="140"/>
        <w:spacing w:after="0" w:line="287" w:lineRule="auto"/>
        <w:rPr>
          <w:sz w:val="20"/>
          <w:szCs w:val="20"/>
          <w:color w:val="auto"/>
        </w:rPr>
      </w:pPr>
      <w:r>
        <w:rPr>
          <w:rFonts w:ascii="Arial" w:cs="Arial" w:eastAsia="Arial" w:hAnsi="Arial"/>
          <w:sz w:val="8"/>
          <w:szCs w:val="8"/>
          <w:color w:val="auto"/>
        </w:rPr>
        <w:t>The AC undertakes an annual evaluation of its performance and effectiveness. Consistent with the Board’s annual performance evaluation for 2020, the AC’s performance evaluation was facilitated by Lintstock Limited, a London-based corporate advisory firm. Each AC member responded to a confidential questionnaire about the AC’s performance covering questions on: the management of the AC in areas such as the annual cycle of work, agenda for meetings and time and input in meetings; the quality of the information provided to the AC; the value of the virtual site visits and the AC briefings on specific topics; the effectiveness of the AC’s oversight in areas such as financial reporting, risk management and internal control, compliance and governance and the work of internal and external audit; rating the AC’s performance in reviewing and assessing significant accounting and reporting judgements; and how to improve the AC’s performance. When assessing progress against 2019, the AC concluded it had achieved all the 2020 priorities identified in the 2019 evaluation discussion (including visits to Shell’s operations in Singapore, Krakow, and Kuala Lumpur, including the finance operation centres in Krakow and Kuala Lumpur, and reviews related to Trading and Supply, regulatory developments, decommissioning and integrated risk management). The AC discussed the outcome of this review as part of its annual evaluation. The AC concluded that its performance in 2020 had been effective and that it had fulfilled its role in accordance with its Terms of Reference.</w:t>
      </w:r>
    </w:p>
    <w:p>
      <w:pPr>
        <w:spacing w:after="0" w:line="240" w:lineRule="exact"/>
        <w:rPr>
          <w:sz w:val="20"/>
          <w:szCs w:val="20"/>
          <w:color w:val="auto"/>
        </w:rPr>
      </w:pPr>
    </w:p>
    <w:p>
      <w:pPr>
        <w:ind w:right="200"/>
        <w:spacing w:after="0" w:line="320" w:lineRule="auto"/>
        <w:rPr>
          <w:sz w:val="20"/>
          <w:szCs w:val="20"/>
          <w:color w:val="auto"/>
        </w:rPr>
      </w:pPr>
      <w:r>
        <w:rPr>
          <w:rFonts w:ascii="Arial" w:cs="Arial" w:eastAsia="Arial" w:hAnsi="Arial"/>
          <w:sz w:val="8"/>
          <w:szCs w:val="8"/>
          <w:color w:val="auto"/>
        </w:rPr>
        <w:t>In preparing its workplan for 2021, the AC has agreed the following focus areas in addition to the standing items: New business models and ventures; Pensions; Contracting and Procurement; Reshape management framework and oil and gas pricing methodology. As part of its review of new business models and ventures, the AC plans to visit one of Shell’s new ventures in 2021.</w:t>
      </w:r>
    </w:p>
    <w:p>
      <w:pPr>
        <w:spacing w:after="0" w:line="564" w:lineRule="exact"/>
        <w:rPr>
          <w:sz w:val="20"/>
          <w:szCs w:val="20"/>
          <w:color w:val="auto"/>
        </w:rPr>
      </w:pPr>
    </w:p>
    <w:p>
      <w:pPr>
        <w:sectPr>
          <w:pgSz w:w="11900" w:h="16838" w:orient="portrait"/>
          <w:cols w:equalWidth="0" w:num="2">
            <w:col w:w="5420" w:space="320"/>
            <w:col w:w="5560"/>
          </w:cols>
          <w:pgMar w:left="300" w:top="676" w:right="299" w:bottom="1440" w:gutter="0" w:footer="0" w:header="0"/>
        </w:sectPr>
      </w:pP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111</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466090</wp:posOffset>
            </wp:positionV>
            <wp:extent cx="7166610" cy="914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66610" cy="91440"/>
                    </a:xfrm>
                    <a:prstGeom prst="rect">
                      <a:avLst/>
                    </a:prstGeom>
                    <a:noFill/>
                  </pic:spPr>
                </pic:pic>
              </a:graphicData>
            </a:graphic>
          </wp:anchor>
        </w:drawing>
        <w:t>Activities performed</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Risk Management and Internal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16661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Reviewed the policies and practices and monitored the effectiveness relating to Shell’s risk management and internal control system.</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Received briefings on regulatory developments.</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Reviewed management's SOX 404 assessment.</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Discussed significant matters arising from completed internal audits with the Chief Internal Auditor, management and the external auditors.</w:t>
      </w:r>
    </w:p>
    <w:p>
      <w:pPr>
        <w:spacing w:after="0" w:line="11" w:lineRule="exact"/>
        <w:rPr>
          <w:sz w:val="20"/>
          <w:szCs w:val="20"/>
          <w:color w:val="auto"/>
        </w:rPr>
      </w:pPr>
    </w:p>
    <w:p>
      <w:pPr>
        <w:spacing w:after="0"/>
        <w:rPr>
          <w:sz w:val="20"/>
          <w:szCs w:val="20"/>
          <w:color w:val="auto"/>
        </w:rPr>
      </w:pPr>
      <w:r>
        <w:rPr>
          <w:rFonts w:ascii="Arial" w:cs="Arial" w:eastAsia="Arial" w:hAnsi="Arial"/>
          <w:sz w:val="8"/>
          <w:szCs w:val="8"/>
          <w:color w:val="auto"/>
        </w:rPr>
        <w:t>Assessed management’s response to significant audit findings, recommendations and notable control weaknesses, including potential improvements and agreed actions.</w:t>
      </w:r>
    </w:p>
    <w:p>
      <w:pPr>
        <w:spacing w:after="0" w:line="34" w:lineRule="exact"/>
        <w:rPr>
          <w:sz w:val="20"/>
          <w:szCs w:val="20"/>
          <w:color w:val="auto"/>
        </w:rPr>
      </w:pPr>
    </w:p>
    <w:p>
      <w:pPr>
        <w:spacing w:after="0"/>
        <w:rPr>
          <w:sz w:val="20"/>
          <w:szCs w:val="20"/>
          <w:color w:val="auto"/>
        </w:rPr>
      </w:pPr>
      <w:r>
        <w:rPr>
          <w:rFonts w:ascii="Arial" w:cs="Arial" w:eastAsia="Arial" w:hAnsi="Arial"/>
          <w:sz w:val="10"/>
          <w:szCs w:val="10"/>
          <w:color w:val="auto"/>
        </w:rPr>
        <w:t>Reviewed significant legal matters with Shell’s Legal Director.</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Considered the oil and gas reserves control framework.</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Reviewed Shell’s information risk management.</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Reviewed Shell’s tax function, key tax risks and Shell’s approach to the evolving area of tax transparency.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16661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b w:val="1"/>
          <w:bCs w:val="1"/>
          <w:i w:val="1"/>
          <w:iCs w:val="1"/>
          <w:color w:val="auto"/>
        </w:rPr>
        <w:t>Financial Reporting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b w:val="1"/>
          <w:bCs w:val="1"/>
          <w:color w:val="auto"/>
        </w:rPr>
        <w:t>Frequency</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P</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0"/>
          <w:szCs w:val="10"/>
          <w:color w:val="auto"/>
        </w:rPr>
        <w:t>P</w:t>
      </w:r>
    </w:p>
    <w:p>
      <w:pPr>
        <w:spacing w:after="0" w:line="11" w:lineRule="exact"/>
        <w:rPr>
          <w:sz w:val="20"/>
          <w:szCs w:val="20"/>
          <w:color w:val="auto"/>
        </w:rPr>
      </w:pPr>
    </w:p>
    <w:p>
      <w:pPr>
        <w:jc w:val="right"/>
        <w:ind w:right="460"/>
        <w:spacing w:after="0"/>
        <w:rPr>
          <w:sz w:val="20"/>
          <w:szCs w:val="20"/>
          <w:color w:val="auto"/>
        </w:rPr>
      </w:pPr>
      <w:r>
        <w:rPr>
          <w:rFonts w:ascii="Arial" w:cs="Arial" w:eastAsia="Arial" w:hAnsi="Arial"/>
          <w:sz w:val="10"/>
          <w:szCs w:val="10"/>
          <w:color w:val="auto"/>
        </w:rPr>
        <w:t>A</w:t>
      </w:r>
    </w:p>
    <w:p>
      <w:pPr>
        <w:spacing w:after="0" w:line="11" w:lineRule="exact"/>
        <w:rPr>
          <w:sz w:val="20"/>
          <w:szCs w:val="20"/>
          <w:color w:val="auto"/>
        </w:rPr>
      </w:pPr>
    </w:p>
    <w:p>
      <w:pPr>
        <w:jc w:val="right"/>
        <w:ind w:right="460"/>
        <w:spacing w:after="0"/>
        <w:rPr>
          <w:sz w:val="20"/>
          <w:szCs w:val="20"/>
          <w:color w:val="auto"/>
        </w:rPr>
      </w:pPr>
      <w:r>
        <w:rPr>
          <w:rFonts w:ascii="Arial" w:cs="Arial" w:eastAsia="Arial" w:hAnsi="Arial"/>
          <w:sz w:val="10"/>
          <w:szCs w:val="10"/>
          <w:color w:val="auto"/>
        </w:rPr>
        <w:t>Q</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0"/>
          <w:szCs w:val="10"/>
          <w:color w:val="auto"/>
        </w:rPr>
        <w:t>P</w:t>
      </w:r>
    </w:p>
    <w:p>
      <w:pPr>
        <w:spacing w:after="0" w:line="11" w:lineRule="exact"/>
        <w:rPr>
          <w:sz w:val="20"/>
          <w:szCs w:val="20"/>
          <w:color w:val="auto"/>
        </w:rPr>
      </w:pPr>
    </w:p>
    <w:p>
      <w:pPr>
        <w:jc w:val="right"/>
        <w:ind w:right="460"/>
        <w:spacing w:after="0"/>
        <w:rPr>
          <w:sz w:val="20"/>
          <w:szCs w:val="20"/>
          <w:color w:val="auto"/>
        </w:rPr>
      </w:pPr>
      <w:r>
        <w:rPr>
          <w:rFonts w:ascii="Arial" w:cs="Arial" w:eastAsia="Arial" w:hAnsi="Arial"/>
          <w:sz w:val="10"/>
          <w:szCs w:val="10"/>
          <w:color w:val="auto"/>
        </w:rPr>
        <w:t>Q</w:t>
      </w:r>
    </w:p>
    <w:p>
      <w:pPr>
        <w:spacing w:after="0" w:line="11" w:lineRule="exact"/>
        <w:rPr>
          <w:sz w:val="20"/>
          <w:szCs w:val="20"/>
          <w:color w:val="auto"/>
        </w:rPr>
      </w:pPr>
    </w:p>
    <w:p>
      <w:pPr>
        <w:jc w:val="right"/>
        <w:ind w:right="460"/>
        <w:spacing w:after="0"/>
        <w:rPr>
          <w:sz w:val="20"/>
          <w:szCs w:val="20"/>
          <w:color w:val="auto"/>
        </w:rPr>
      </w:pPr>
      <w:r>
        <w:rPr>
          <w:rFonts w:ascii="Arial" w:cs="Arial" w:eastAsia="Arial" w:hAnsi="Arial"/>
          <w:sz w:val="10"/>
          <w:szCs w:val="10"/>
          <w:color w:val="auto"/>
        </w:rPr>
        <w:t>A</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0"/>
          <w:szCs w:val="10"/>
          <w:color w:val="auto"/>
        </w:rPr>
        <w:t>P</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0"/>
          <w:szCs w:val="10"/>
          <w:color w:val="auto"/>
        </w:rPr>
        <w:t>P</w:t>
      </w:r>
    </w:p>
    <w:p>
      <w:pPr>
        <w:spacing w:after="0" w:line="141" w:lineRule="exact"/>
        <w:rPr>
          <w:sz w:val="20"/>
          <w:szCs w:val="20"/>
          <w:color w:val="auto"/>
        </w:rPr>
      </w:pPr>
    </w:p>
    <w:p>
      <w:pPr>
        <w:sectPr>
          <w:pgSz w:w="11900" w:h="16838" w:orient="portrait"/>
          <w:cols w:equalWidth="0" w:num="2">
            <w:col w:w="9620" w:space="720"/>
            <w:col w:w="960"/>
          </w:cols>
          <w:pgMar w:left="300" w:top="737" w:right="299" w:bottom="1440" w:gutter="0" w:footer="0" w:header="0"/>
        </w:sectPr>
      </w:pPr>
    </w:p>
    <w:tbl>
      <w:tblPr>
        <w:tblLayout w:type="fixed"/>
        <w:tblInd w:w="0" w:type="dxa"/>
        <w:tblCellMar>
          <w:top w:w="0" w:type="dxa"/>
          <w:left w:w="0" w:type="dxa"/>
          <w:bottom w:w="0" w:type="dxa"/>
          <w:right w:w="0" w:type="dxa"/>
        </w:tblCellMar>
      </w:tblPr>
      <w:tr>
        <w:trPr>
          <w:trHeight w:val="120"/>
        </w:trPr>
        <w:tc>
          <w:tcPr>
            <w:tcW w:w="102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Reviewed Shell’s accounting policies and practices, including compliance with accounting and reporting standards.</w:t>
            </w:r>
          </w:p>
        </w:tc>
        <w:tc>
          <w:tcPr>
            <w:tcW w:w="1080" w:type="dxa"/>
            <w:vAlign w:val="bottom"/>
            <w:tcBorders>
              <w:top w:val="single" w:sz="8" w:color="auto"/>
            </w:tcBorders>
          </w:tcPr>
          <w:p>
            <w:pPr>
              <w:ind w:left="560"/>
              <w:spacing w:after="0"/>
              <w:rPr>
                <w:sz w:val="20"/>
                <w:szCs w:val="20"/>
                <w:color w:val="auto"/>
              </w:rPr>
            </w:pPr>
            <w:r>
              <w:rPr>
                <w:rFonts w:ascii="Arial" w:cs="Arial" w:eastAsia="Arial" w:hAnsi="Arial"/>
                <w:sz w:val="10"/>
                <w:szCs w:val="10"/>
                <w:color w:val="auto"/>
              </w:rPr>
              <w:t>Q</w:t>
            </w:r>
          </w:p>
        </w:tc>
      </w:tr>
      <w:tr>
        <w:trPr>
          <w:trHeight w:val="121"/>
        </w:trPr>
        <w:tc>
          <w:tcPr>
            <w:tcW w:w="10200" w:type="dxa"/>
            <w:vAlign w:val="bottom"/>
          </w:tcPr>
          <w:p>
            <w:pPr>
              <w:spacing w:after="0"/>
              <w:rPr>
                <w:sz w:val="20"/>
                <w:szCs w:val="20"/>
                <w:color w:val="auto"/>
              </w:rPr>
            </w:pPr>
            <w:r>
              <w:rPr>
                <w:rFonts w:ascii="Arial" w:cs="Arial" w:eastAsia="Arial" w:hAnsi="Arial"/>
                <w:sz w:val="10"/>
                <w:szCs w:val="10"/>
                <w:color w:val="auto"/>
              </w:rPr>
              <w:t>Assessed the appropriateness of key judgements and the interpretation and application of accounting principles.</w:t>
            </w:r>
          </w:p>
        </w:tc>
        <w:tc>
          <w:tcPr>
            <w:tcW w:w="1080" w:type="dxa"/>
            <w:vAlign w:val="bottom"/>
          </w:tcPr>
          <w:p>
            <w:pPr>
              <w:ind w:left="560"/>
              <w:spacing w:after="0"/>
              <w:rPr>
                <w:sz w:val="20"/>
                <w:szCs w:val="20"/>
                <w:color w:val="auto"/>
              </w:rPr>
            </w:pPr>
            <w:r>
              <w:rPr>
                <w:rFonts w:ascii="Arial" w:cs="Arial" w:eastAsia="Arial" w:hAnsi="Arial"/>
                <w:sz w:val="10"/>
                <w:szCs w:val="10"/>
                <w:color w:val="auto"/>
              </w:rPr>
              <w:t>Q</w:t>
            </w:r>
          </w:p>
        </w:tc>
      </w:tr>
      <w:tr>
        <w:trPr>
          <w:trHeight w:val="126"/>
        </w:trPr>
        <w:tc>
          <w:tcPr>
            <w:tcW w:w="10200" w:type="dxa"/>
            <w:vAlign w:val="bottom"/>
          </w:tcPr>
          <w:p>
            <w:pPr>
              <w:spacing w:after="0"/>
              <w:rPr>
                <w:sz w:val="20"/>
                <w:szCs w:val="20"/>
                <w:color w:val="auto"/>
              </w:rPr>
            </w:pPr>
            <w:r>
              <w:rPr>
                <w:rFonts w:ascii="Arial" w:cs="Arial" w:eastAsia="Arial" w:hAnsi="Arial"/>
                <w:sz w:val="10"/>
                <w:szCs w:val="10"/>
                <w:color w:val="auto"/>
              </w:rPr>
              <w:t>Considered the integrity of the year-end financial statements and recommended to the Board whether the audited financial statements should be included in the Annual and statutory reports.</w:t>
            </w:r>
          </w:p>
        </w:tc>
        <w:tc>
          <w:tcPr>
            <w:tcW w:w="1080" w:type="dxa"/>
            <w:vAlign w:val="bottom"/>
          </w:tcPr>
          <w:p>
            <w:pPr>
              <w:ind w:left="560"/>
              <w:spacing w:after="0"/>
              <w:rPr>
                <w:sz w:val="20"/>
                <w:szCs w:val="20"/>
                <w:color w:val="auto"/>
              </w:rPr>
            </w:pPr>
            <w:r>
              <w:rPr>
                <w:rFonts w:ascii="Arial" w:cs="Arial" w:eastAsia="Arial" w:hAnsi="Arial"/>
                <w:sz w:val="10"/>
                <w:szCs w:val="10"/>
                <w:color w:val="auto"/>
              </w:rPr>
              <w:t>A</w:t>
            </w:r>
          </w:p>
        </w:tc>
      </w:tr>
      <w:tr>
        <w:trPr>
          <w:trHeight w:val="126"/>
        </w:trPr>
        <w:tc>
          <w:tcPr>
            <w:tcW w:w="10200" w:type="dxa"/>
            <w:vAlign w:val="bottom"/>
          </w:tcPr>
          <w:p>
            <w:pPr>
              <w:spacing w:after="0"/>
              <w:rPr>
                <w:sz w:val="20"/>
                <w:szCs w:val="20"/>
                <w:color w:val="auto"/>
              </w:rPr>
            </w:pPr>
            <w:r>
              <w:rPr>
                <w:rFonts w:ascii="Arial" w:cs="Arial" w:eastAsia="Arial" w:hAnsi="Arial"/>
                <w:sz w:val="10"/>
                <w:szCs w:val="10"/>
                <w:color w:val="auto"/>
              </w:rPr>
              <w:t>Considered the integrity of the half-yearly report and quarterly financial statements.</w:t>
            </w:r>
          </w:p>
        </w:tc>
        <w:tc>
          <w:tcPr>
            <w:tcW w:w="1080" w:type="dxa"/>
            <w:vAlign w:val="bottom"/>
          </w:tcPr>
          <w:p>
            <w:pPr>
              <w:ind w:left="560"/>
              <w:spacing w:after="0"/>
              <w:rPr>
                <w:sz w:val="20"/>
                <w:szCs w:val="20"/>
                <w:color w:val="auto"/>
              </w:rPr>
            </w:pPr>
            <w:r>
              <w:rPr>
                <w:rFonts w:ascii="Arial" w:cs="Arial" w:eastAsia="Arial" w:hAnsi="Arial"/>
                <w:sz w:val="10"/>
                <w:szCs w:val="10"/>
                <w:color w:val="auto"/>
              </w:rPr>
              <w:t>Q</w:t>
            </w:r>
          </w:p>
        </w:tc>
      </w:tr>
      <w:tr>
        <w:trPr>
          <w:trHeight w:val="126"/>
        </w:trPr>
        <w:tc>
          <w:tcPr>
            <w:tcW w:w="10200" w:type="dxa"/>
            <w:vAlign w:val="bottom"/>
          </w:tcPr>
          <w:p>
            <w:pPr>
              <w:spacing w:after="0"/>
              <w:rPr>
                <w:sz w:val="20"/>
                <w:szCs w:val="20"/>
                <w:color w:val="auto"/>
              </w:rPr>
            </w:pPr>
            <w:r>
              <w:rPr>
                <w:rFonts w:ascii="Arial" w:cs="Arial" w:eastAsia="Arial" w:hAnsi="Arial"/>
                <w:sz w:val="10"/>
                <w:szCs w:val="10"/>
                <w:color w:val="auto"/>
              </w:rPr>
              <w:t>Reviewed management’s assessment of going concern and longer-term viability.</w:t>
            </w:r>
          </w:p>
        </w:tc>
        <w:tc>
          <w:tcPr>
            <w:tcW w:w="1080" w:type="dxa"/>
            <w:vAlign w:val="bottom"/>
          </w:tcPr>
          <w:p>
            <w:pPr>
              <w:ind w:left="560"/>
              <w:spacing w:after="0"/>
              <w:rPr>
                <w:sz w:val="20"/>
                <w:szCs w:val="20"/>
                <w:color w:val="auto"/>
              </w:rPr>
            </w:pPr>
            <w:r>
              <w:rPr>
                <w:rFonts w:ascii="Arial" w:cs="Arial" w:eastAsia="Arial" w:hAnsi="Arial"/>
                <w:sz w:val="10"/>
                <w:szCs w:val="10"/>
                <w:color w:val="auto"/>
              </w:rPr>
              <w:t>Q</w:t>
            </w:r>
          </w:p>
        </w:tc>
      </w:tr>
      <w:tr>
        <w:trPr>
          <w:trHeight w:val="126"/>
        </w:trPr>
        <w:tc>
          <w:tcPr>
            <w:tcW w:w="10200" w:type="dxa"/>
            <w:vAlign w:val="bottom"/>
          </w:tcPr>
          <w:p>
            <w:pPr>
              <w:spacing w:after="0"/>
              <w:rPr>
                <w:sz w:val="20"/>
                <w:szCs w:val="20"/>
                <w:color w:val="auto"/>
              </w:rPr>
            </w:pPr>
            <w:r>
              <w:rPr>
                <w:rFonts w:ascii="Arial" w:cs="Arial" w:eastAsia="Arial" w:hAnsi="Arial"/>
                <w:sz w:val="10"/>
                <w:szCs w:val="10"/>
                <w:color w:val="auto"/>
              </w:rPr>
              <w:t>Reviewed Shell’s policies with respect to earnings releases; financial performance information and earnings guidance; and significant financial reporting matters.</w:t>
            </w:r>
          </w:p>
        </w:tc>
        <w:tc>
          <w:tcPr>
            <w:tcW w:w="1080" w:type="dxa"/>
            <w:vAlign w:val="bottom"/>
          </w:tcPr>
          <w:p>
            <w:pPr>
              <w:ind w:left="560"/>
              <w:spacing w:after="0"/>
              <w:rPr>
                <w:sz w:val="20"/>
                <w:szCs w:val="20"/>
                <w:color w:val="auto"/>
              </w:rPr>
            </w:pPr>
            <w:r>
              <w:rPr>
                <w:rFonts w:ascii="Arial" w:cs="Arial" w:eastAsia="Arial" w:hAnsi="Arial"/>
                <w:sz w:val="10"/>
                <w:szCs w:val="10"/>
                <w:color w:val="auto"/>
              </w:rPr>
              <w:t>Q</w:t>
            </w:r>
          </w:p>
        </w:tc>
      </w:tr>
      <w:tr>
        <w:trPr>
          <w:trHeight w:val="126"/>
        </w:trPr>
        <w:tc>
          <w:tcPr>
            <w:tcW w:w="10200" w:type="dxa"/>
            <w:vAlign w:val="bottom"/>
          </w:tcPr>
          <w:p>
            <w:pPr>
              <w:spacing w:after="0"/>
              <w:rPr>
                <w:sz w:val="20"/>
                <w:szCs w:val="20"/>
                <w:color w:val="auto"/>
              </w:rPr>
            </w:pPr>
            <w:r>
              <w:rPr>
                <w:rFonts w:ascii="Arial" w:cs="Arial" w:eastAsia="Arial" w:hAnsi="Arial"/>
                <w:sz w:val="10"/>
                <w:szCs w:val="10"/>
                <w:color w:val="auto"/>
              </w:rPr>
              <w:t>Reviewed Shell’s policies with respect to oil and gas reserves accounting and reporting including the outcome of the oil and gas reserves booking/debooking process.</w:t>
            </w:r>
          </w:p>
        </w:tc>
        <w:tc>
          <w:tcPr>
            <w:tcW w:w="1080" w:type="dxa"/>
            <w:vAlign w:val="bottom"/>
          </w:tcPr>
          <w:p>
            <w:pPr>
              <w:ind w:left="560"/>
              <w:spacing w:after="0"/>
              <w:rPr>
                <w:sz w:val="20"/>
                <w:szCs w:val="20"/>
                <w:color w:val="auto"/>
              </w:rPr>
            </w:pPr>
            <w:r>
              <w:rPr>
                <w:rFonts w:ascii="Arial" w:cs="Arial" w:eastAsia="Arial" w:hAnsi="Arial"/>
                <w:sz w:val="10"/>
                <w:szCs w:val="10"/>
                <w:color w:val="auto"/>
              </w:rPr>
              <w:t>A</w:t>
            </w:r>
          </w:p>
        </w:tc>
      </w:tr>
      <w:tr>
        <w:trPr>
          <w:trHeight w:val="126"/>
        </w:trPr>
        <w:tc>
          <w:tcPr>
            <w:tcW w:w="10200" w:type="dxa"/>
            <w:vAlign w:val="bottom"/>
          </w:tcPr>
          <w:p>
            <w:pPr>
              <w:spacing w:after="0"/>
              <w:rPr>
                <w:sz w:val="20"/>
                <w:szCs w:val="20"/>
                <w:color w:val="auto"/>
              </w:rPr>
            </w:pPr>
            <w:r>
              <w:rPr>
                <w:rFonts w:ascii="Arial" w:cs="Arial" w:eastAsia="Arial" w:hAnsi="Arial"/>
                <w:sz w:val="10"/>
                <w:szCs w:val="10"/>
                <w:color w:val="auto"/>
              </w:rPr>
              <w:t>Reviewed the internal controls for financial reporting.</w:t>
            </w:r>
          </w:p>
        </w:tc>
        <w:tc>
          <w:tcPr>
            <w:tcW w:w="1080" w:type="dxa"/>
            <w:vAlign w:val="bottom"/>
          </w:tcPr>
          <w:p>
            <w:pPr>
              <w:ind w:left="560"/>
              <w:spacing w:after="0"/>
              <w:rPr>
                <w:sz w:val="20"/>
                <w:szCs w:val="20"/>
                <w:color w:val="auto"/>
              </w:rPr>
            </w:pPr>
            <w:r>
              <w:rPr>
                <w:rFonts w:ascii="Arial" w:cs="Arial" w:eastAsia="Arial" w:hAnsi="Arial"/>
                <w:sz w:val="10"/>
                <w:szCs w:val="10"/>
                <w:color w:val="auto"/>
              </w:rPr>
              <w:t>P</w:t>
            </w:r>
          </w:p>
        </w:tc>
      </w:tr>
      <w:tr>
        <w:trPr>
          <w:trHeight w:val="130"/>
        </w:trPr>
        <w:tc>
          <w:tcPr>
            <w:tcW w:w="10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0"/>
              </w:rPr>
              <w:t>Advised the Board of the AC’s view on whether, taken as a whole, the Annual Report is fair, balanced and understandable and provides the information necessary for shareholders to assess Shell’s position and performance, business model and strategy.</w:t>
            </w: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A</w:t>
            </w:r>
          </w:p>
        </w:tc>
      </w:tr>
      <w:tr>
        <w:trPr>
          <w:trHeight w:val="117"/>
        </w:trPr>
        <w:tc>
          <w:tcPr>
            <w:tcW w:w="10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i w:val="1"/>
                <w:iCs w:val="1"/>
                <w:color w:val="auto"/>
              </w:rPr>
              <w:t>Compliance and Governance</w:t>
            </w:r>
          </w:p>
        </w:tc>
        <w:tc>
          <w:tcPr>
            <w:tcW w:w="1080" w:type="dxa"/>
            <w:vAlign w:val="bottom"/>
            <w:tcBorders>
              <w:bottom w:val="single" w:sz="8" w:color="auto"/>
            </w:tcBorders>
          </w:tcPr>
          <w:p>
            <w:pPr>
              <w:spacing w:after="0"/>
              <w:rPr>
                <w:sz w:val="10"/>
                <w:szCs w:val="10"/>
                <w:color w:val="auto"/>
              </w:rPr>
            </w:pPr>
          </w:p>
        </w:tc>
      </w:tr>
      <w:tr>
        <w:trPr>
          <w:trHeight w:val="113"/>
        </w:trPr>
        <w:tc>
          <w:tcPr>
            <w:tcW w:w="10200" w:type="dxa"/>
            <w:vAlign w:val="bottom"/>
          </w:tcPr>
          <w:p>
            <w:pPr>
              <w:spacing w:after="0" w:line="113" w:lineRule="exact"/>
              <w:rPr>
                <w:sz w:val="20"/>
                <w:szCs w:val="20"/>
                <w:color w:val="auto"/>
              </w:rPr>
            </w:pPr>
            <w:r>
              <w:rPr>
                <w:rFonts w:ascii="Arial" w:cs="Arial" w:eastAsia="Arial" w:hAnsi="Arial"/>
                <w:sz w:val="10"/>
                <w:szCs w:val="10"/>
                <w:color w:val="auto"/>
              </w:rPr>
              <w:t>Monitored the receipt, retention, investigation and follow-up actions of complaints received, including those from the Shell Global Helpline.</w:t>
            </w:r>
          </w:p>
        </w:tc>
        <w:tc>
          <w:tcPr>
            <w:tcW w:w="1080" w:type="dxa"/>
            <w:vAlign w:val="bottom"/>
          </w:tcPr>
          <w:p>
            <w:pPr>
              <w:ind w:left="560"/>
              <w:spacing w:after="0" w:line="113" w:lineRule="exact"/>
              <w:rPr>
                <w:sz w:val="20"/>
                <w:szCs w:val="20"/>
                <w:color w:val="auto"/>
              </w:rPr>
            </w:pPr>
            <w:r>
              <w:rPr>
                <w:rFonts w:ascii="Arial" w:cs="Arial" w:eastAsia="Arial" w:hAnsi="Arial"/>
                <w:sz w:val="10"/>
                <w:szCs w:val="10"/>
                <w:color w:val="auto"/>
              </w:rPr>
              <w:t>P</w:t>
            </w:r>
          </w:p>
        </w:tc>
      </w:tr>
      <w:tr>
        <w:trPr>
          <w:trHeight w:val="123"/>
        </w:trPr>
        <w:tc>
          <w:tcPr>
            <w:tcW w:w="10200" w:type="dxa"/>
            <w:vAlign w:val="bottom"/>
          </w:tcPr>
          <w:p>
            <w:pPr>
              <w:spacing w:after="0"/>
              <w:rPr>
                <w:sz w:val="20"/>
                <w:szCs w:val="20"/>
                <w:color w:val="auto"/>
              </w:rPr>
            </w:pPr>
            <w:r>
              <w:rPr>
                <w:rFonts w:ascii="Arial" w:cs="Arial" w:eastAsia="Arial" w:hAnsi="Arial"/>
                <w:sz w:val="10"/>
                <w:szCs w:val="10"/>
                <w:color w:val="auto"/>
              </w:rPr>
              <w:t>Reviewed with the Chief Ethics and Compliance Officer the implementation and effectiveness of the ethics and compliance programme and function.</w:t>
            </w:r>
          </w:p>
        </w:tc>
        <w:tc>
          <w:tcPr>
            <w:tcW w:w="1080" w:type="dxa"/>
            <w:vAlign w:val="bottom"/>
          </w:tcPr>
          <w:p>
            <w:pPr>
              <w:ind w:left="560"/>
              <w:spacing w:after="0"/>
              <w:rPr>
                <w:sz w:val="20"/>
                <w:szCs w:val="20"/>
                <w:color w:val="auto"/>
              </w:rPr>
            </w:pPr>
            <w:r>
              <w:rPr>
                <w:rFonts w:ascii="Arial" w:cs="Arial" w:eastAsia="Arial" w:hAnsi="Arial"/>
                <w:sz w:val="10"/>
                <w:szCs w:val="10"/>
                <w:color w:val="auto"/>
              </w:rPr>
              <w:t>A</w:t>
            </w:r>
          </w:p>
        </w:tc>
      </w:tr>
      <w:tr>
        <w:trPr>
          <w:trHeight w:val="126"/>
        </w:trPr>
        <w:tc>
          <w:tcPr>
            <w:tcW w:w="10200" w:type="dxa"/>
            <w:vAlign w:val="bottom"/>
          </w:tcPr>
          <w:p>
            <w:pPr>
              <w:spacing w:after="0"/>
              <w:rPr>
                <w:sz w:val="20"/>
                <w:szCs w:val="20"/>
                <w:color w:val="auto"/>
              </w:rPr>
            </w:pPr>
            <w:r>
              <w:rPr>
                <w:rFonts w:ascii="Arial" w:cs="Arial" w:eastAsia="Arial" w:hAnsi="Arial"/>
                <w:sz w:val="10"/>
                <w:szCs w:val="10"/>
                <w:color w:val="auto"/>
              </w:rPr>
              <w:t>Discussed compliance with applicable external legal and regulatory requirements.</w:t>
            </w:r>
          </w:p>
        </w:tc>
        <w:tc>
          <w:tcPr>
            <w:tcW w:w="1080" w:type="dxa"/>
            <w:vAlign w:val="bottom"/>
          </w:tcPr>
          <w:p>
            <w:pPr>
              <w:ind w:left="560"/>
              <w:spacing w:after="0"/>
              <w:rPr>
                <w:sz w:val="20"/>
                <w:szCs w:val="20"/>
                <w:color w:val="auto"/>
              </w:rPr>
            </w:pPr>
            <w:r>
              <w:rPr>
                <w:rFonts w:ascii="Arial" w:cs="Arial" w:eastAsia="Arial" w:hAnsi="Arial"/>
                <w:sz w:val="10"/>
                <w:szCs w:val="10"/>
                <w:color w:val="auto"/>
              </w:rPr>
              <w:t>P</w:t>
            </w:r>
          </w:p>
        </w:tc>
      </w:tr>
      <w:tr>
        <w:trPr>
          <w:trHeight w:val="126"/>
        </w:trPr>
        <w:tc>
          <w:tcPr>
            <w:tcW w:w="10200" w:type="dxa"/>
            <w:vAlign w:val="bottom"/>
          </w:tcPr>
          <w:p>
            <w:pPr>
              <w:spacing w:after="0"/>
              <w:rPr>
                <w:sz w:val="20"/>
                <w:szCs w:val="20"/>
                <w:color w:val="auto"/>
              </w:rPr>
            </w:pPr>
            <w:r>
              <w:rPr>
                <w:rFonts w:ascii="Arial" w:cs="Arial" w:eastAsia="Arial" w:hAnsi="Arial"/>
                <w:sz w:val="10"/>
                <w:szCs w:val="10"/>
                <w:color w:val="auto"/>
              </w:rPr>
              <w:t>Performed an evaluation of the AC’s performance and effectiveness and reported the results to the Board.</w:t>
            </w:r>
          </w:p>
        </w:tc>
        <w:tc>
          <w:tcPr>
            <w:tcW w:w="1080" w:type="dxa"/>
            <w:vAlign w:val="bottom"/>
          </w:tcPr>
          <w:p>
            <w:pPr>
              <w:ind w:left="560"/>
              <w:spacing w:after="0"/>
              <w:rPr>
                <w:sz w:val="20"/>
                <w:szCs w:val="20"/>
                <w:color w:val="auto"/>
              </w:rPr>
            </w:pPr>
            <w:r>
              <w:rPr>
                <w:rFonts w:ascii="Arial" w:cs="Arial" w:eastAsia="Arial" w:hAnsi="Arial"/>
                <w:sz w:val="10"/>
                <w:szCs w:val="10"/>
                <w:color w:val="auto"/>
              </w:rPr>
              <w:t>A</w:t>
            </w:r>
          </w:p>
        </w:tc>
      </w:tr>
      <w:tr>
        <w:trPr>
          <w:trHeight w:val="126"/>
        </w:trPr>
        <w:tc>
          <w:tcPr>
            <w:tcW w:w="10200" w:type="dxa"/>
            <w:vAlign w:val="bottom"/>
          </w:tcPr>
          <w:p>
            <w:pPr>
              <w:spacing w:after="0"/>
              <w:rPr>
                <w:sz w:val="20"/>
                <w:szCs w:val="20"/>
                <w:color w:val="auto"/>
              </w:rPr>
            </w:pPr>
            <w:r>
              <w:rPr>
                <w:rFonts w:ascii="Arial" w:cs="Arial" w:eastAsia="Arial" w:hAnsi="Arial"/>
                <w:sz w:val="10"/>
                <w:szCs w:val="10"/>
                <w:color w:val="auto"/>
              </w:rPr>
              <w:t>Reviewed and updated the AC’s Terms of Reference.</w:t>
            </w:r>
          </w:p>
        </w:tc>
        <w:tc>
          <w:tcPr>
            <w:tcW w:w="1080" w:type="dxa"/>
            <w:vAlign w:val="bottom"/>
          </w:tcPr>
          <w:p>
            <w:pPr>
              <w:ind w:left="560"/>
              <w:spacing w:after="0"/>
              <w:rPr>
                <w:sz w:val="20"/>
                <w:szCs w:val="20"/>
                <w:color w:val="auto"/>
              </w:rPr>
            </w:pPr>
            <w:r>
              <w:rPr>
                <w:rFonts w:ascii="Arial" w:cs="Arial" w:eastAsia="Arial" w:hAnsi="Arial"/>
                <w:sz w:val="10"/>
                <w:szCs w:val="10"/>
                <w:color w:val="auto"/>
              </w:rPr>
              <w:t>A</w:t>
            </w:r>
          </w:p>
        </w:tc>
      </w:tr>
      <w:tr>
        <w:trPr>
          <w:trHeight w:val="126"/>
        </w:trPr>
        <w:tc>
          <w:tcPr>
            <w:tcW w:w="10200" w:type="dxa"/>
            <w:vAlign w:val="bottom"/>
          </w:tcPr>
          <w:p>
            <w:pPr>
              <w:spacing w:after="0"/>
              <w:rPr>
                <w:sz w:val="20"/>
                <w:szCs w:val="20"/>
                <w:color w:val="auto"/>
              </w:rPr>
            </w:pPr>
            <w:r>
              <w:rPr>
                <w:rFonts w:ascii="Arial" w:cs="Arial" w:eastAsia="Arial" w:hAnsi="Arial"/>
                <w:sz w:val="10"/>
                <w:szCs w:val="10"/>
                <w:color w:val="auto"/>
              </w:rPr>
              <w:t>Reviewed the Chief Financial Officer’s significant business and investment transactions for potential conflicts or related party transactions.</w:t>
            </w:r>
          </w:p>
        </w:tc>
        <w:tc>
          <w:tcPr>
            <w:tcW w:w="1080" w:type="dxa"/>
            <w:vAlign w:val="bottom"/>
          </w:tcPr>
          <w:p>
            <w:pPr>
              <w:ind w:left="560"/>
              <w:spacing w:after="0"/>
              <w:rPr>
                <w:sz w:val="20"/>
                <w:szCs w:val="20"/>
                <w:color w:val="auto"/>
              </w:rPr>
            </w:pPr>
            <w:r>
              <w:rPr>
                <w:rFonts w:ascii="Arial" w:cs="Arial" w:eastAsia="Arial" w:hAnsi="Arial"/>
                <w:sz w:val="10"/>
                <w:szCs w:val="10"/>
                <w:color w:val="auto"/>
              </w:rPr>
              <w:t>A</w:t>
            </w:r>
          </w:p>
        </w:tc>
      </w:tr>
      <w:tr>
        <w:trPr>
          <w:trHeight w:val="130"/>
        </w:trPr>
        <w:tc>
          <w:tcPr>
            <w:tcW w:w="10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Assessed the Chief Financial Officer’s performance.</w:t>
            </w: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A</w:t>
            </w:r>
          </w:p>
        </w:tc>
      </w:tr>
      <w:tr>
        <w:trPr>
          <w:trHeight w:val="117"/>
        </w:trPr>
        <w:tc>
          <w:tcPr>
            <w:tcW w:w="10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i w:val="1"/>
                <w:iCs w:val="1"/>
                <w:color w:val="auto"/>
              </w:rPr>
              <w:t>Internal Audit</w:t>
            </w:r>
          </w:p>
        </w:tc>
        <w:tc>
          <w:tcPr>
            <w:tcW w:w="1080" w:type="dxa"/>
            <w:vAlign w:val="bottom"/>
            <w:tcBorders>
              <w:bottom w:val="single" w:sz="8" w:color="auto"/>
            </w:tcBorders>
          </w:tcPr>
          <w:p>
            <w:pPr>
              <w:spacing w:after="0"/>
              <w:rPr>
                <w:sz w:val="10"/>
                <w:szCs w:val="10"/>
                <w:color w:val="auto"/>
              </w:rPr>
            </w:pPr>
          </w:p>
        </w:tc>
      </w:tr>
      <w:tr>
        <w:trPr>
          <w:trHeight w:val="113"/>
        </w:trPr>
        <w:tc>
          <w:tcPr>
            <w:tcW w:w="10200" w:type="dxa"/>
            <w:vAlign w:val="bottom"/>
          </w:tcPr>
          <w:p>
            <w:pPr>
              <w:spacing w:after="0" w:line="113" w:lineRule="exact"/>
              <w:rPr>
                <w:sz w:val="20"/>
                <w:szCs w:val="20"/>
                <w:color w:val="auto"/>
              </w:rPr>
            </w:pPr>
            <w:r>
              <w:rPr>
                <w:rFonts w:ascii="Arial" w:cs="Arial" w:eastAsia="Arial" w:hAnsi="Arial"/>
                <w:sz w:val="10"/>
                <w:szCs w:val="10"/>
                <w:color w:val="auto"/>
              </w:rPr>
              <w:t>Evaluated the quality, efficiency and effectiveness of the internal audit function including the competence, qualifications, expertise, compensation and budget.</w:t>
            </w:r>
          </w:p>
        </w:tc>
        <w:tc>
          <w:tcPr>
            <w:tcW w:w="1080" w:type="dxa"/>
            <w:vAlign w:val="bottom"/>
          </w:tcPr>
          <w:p>
            <w:pPr>
              <w:ind w:left="560"/>
              <w:spacing w:after="0" w:line="113" w:lineRule="exact"/>
              <w:rPr>
                <w:sz w:val="20"/>
                <w:szCs w:val="20"/>
                <w:color w:val="auto"/>
              </w:rPr>
            </w:pPr>
            <w:r>
              <w:rPr>
                <w:rFonts w:ascii="Arial" w:cs="Arial" w:eastAsia="Arial" w:hAnsi="Arial"/>
                <w:sz w:val="10"/>
                <w:szCs w:val="10"/>
                <w:color w:val="auto"/>
              </w:rPr>
              <w:t>A</w:t>
            </w:r>
          </w:p>
        </w:tc>
      </w:tr>
      <w:tr>
        <w:trPr>
          <w:trHeight w:val="123"/>
        </w:trPr>
        <w:tc>
          <w:tcPr>
            <w:tcW w:w="10200" w:type="dxa"/>
            <w:vAlign w:val="bottom"/>
          </w:tcPr>
          <w:p>
            <w:pPr>
              <w:spacing w:after="0"/>
              <w:rPr>
                <w:sz w:val="20"/>
                <w:szCs w:val="20"/>
                <w:color w:val="auto"/>
              </w:rPr>
            </w:pPr>
            <w:r>
              <w:rPr>
                <w:rFonts w:ascii="Arial" w:cs="Arial" w:eastAsia="Arial" w:hAnsi="Arial"/>
                <w:sz w:val="10"/>
                <w:szCs w:val="10"/>
                <w:color w:val="auto"/>
              </w:rPr>
              <w:t>Reviewed and approved the internal audit function’s remit, charter and audit plan.</w:t>
            </w:r>
          </w:p>
        </w:tc>
        <w:tc>
          <w:tcPr>
            <w:tcW w:w="1080" w:type="dxa"/>
            <w:vAlign w:val="bottom"/>
          </w:tcPr>
          <w:p>
            <w:pPr>
              <w:ind w:left="560"/>
              <w:spacing w:after="0"/>
              <w:rPr>
                <w:sz w:val="20"/>
                <w:szCs w:val="20"/>
                <w:color w:val="auto"/>
              </w:rPr>
            </w:pPr>
            <w:r>
              <w:rPr>
                <w:rFonts w:ascii="Arial" w:cs="Arial" w:eastAsia="Arial" w:hAnsi="Arial"/>
                <w:sz w:val="10"/>
                <w:szCs w:val="10"/>
                <w:color w:val="auto"/>
              </w:rPr>
              <w:t>A</w:t>
            </w:r>
          </w:p>
        </w:tc>
      </w:tr>
      <w:tr>
        <w:trPr>
          <w:trHeight w:val="130"/>
        </w:trPr>
        <w:tc>
          <w:tcPr>
            <w:tcW w:w="10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Assessed the performance of the Chief Internal Auditor.</w:t>
            </w: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A</w:t>
            </w:r>
          </w:p>
        </w:tc>
      </w:tr>
      <w:tr>
        <w:trPr>
          <w:trHeight w:val="117"/>
        </w:trPr>
        <w:tc>
          <w:tcPr>
            <w:tcW w:w="10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i w:val="1"/>
                <w:iCs w:val="1"/>
                <w:color w:val="auto"/>
              </w:rPr>
              <w:t>External Audit</w:t>
            </w:r>
          </w:p>
        </w:tc>
        <w:tc>
          <w:tcPr>
            <w:tcW w:w="1080" w:type="dxa"/>
            <w:vAlign w:val="bottom"/>
            <w:tcBorders>
              <w:bottom w:val="single" w:sz="8" w:color="auto"/>
            </w:tcBorders>
          </w:tcPr>
          <w:p>
            <w:pPr>
              <w:spacing w:after="0"/>
              <w:rPr>
                <w:sz w:val="10"/>
                <w:szCs w:val="10"/>
                <w:color w:val="auto"/>
              </w:rPr>
            </w:pPr>
          </w:p>
        </w:tc>
      </w:tr>
      <w:tr>
        <w:trPr>
          <w:trHeight w:val="113"/>
        </w:trPr>
        <w:tc>
          <w:tcPr>
            <w:tcW w:w="10200" w:type="dxa"/>
            <w:vAlign w:val="bottom"/>
          </w:tcPr>
          <w:p>
            <w:pPr>
              <w:spacing w:after="0" w:line="113" w:lineRule="exact"/>
              <w:rPr>
                <w:sz w:val="20"/>
                <w:szCs w:val="20"/>
                <w:color w:val="auto"/>
              </w:rPr>
            </w:pPr>
            <w:r>
              <w:rPr>
                <w:rFonts w:ascii="Arial" w:cs="Arial" w:eastAsia="Arial" w:hAnsi="Arial"/>
                <w:sz w:val="10"/>
                <w:szCs w:val="10"/>
                <w:color w:val="auto"/>
              </w:rPr>
              <w:t>Reviewed and approved the engagement letter for EY's annual audit of the Company's consolidated and parent company financial statements.</w:t>
            </w:r>
          </w:p>
        </w:tc>
        <w:tc>
          <w:tcPr>
            <w:tcW w:w="1080" w:type="dxa"/>
            <w:vAlign w:val="bottom"/>
          </w:tcPr>
          <w:p>
            <w:pPr>
              <w:ind w:left="560"/>
              <w:spacing w:after="0" w:line="113" w:lineRule="exact"/>
              <w:rPr>
                <w:sz w:val="20"/>
                <w:szCs w:val="20"/>
                <w:color w:val="auto"/>
              </w:rPr>
            </w:pPr>
            <w:r>
              <w:rPr>
                <w:rFonts w:ascii="Arial" w:cs="Arial" w:eastAsia="Arial" w:hAnsi="Arial"/>
                <w:sz w:val="10"/>
                <w:szCs w:val="10"/>
                <w:color w:val="auto"/>
              </w:rPr>
              <w:t>A</w:t>
            </w:r>
          </w:p>
        </w:tc>
      </w:tr>
      <w:tr>
        <w:trPr>
          <w:trHeight w:val="123"/>
        </w:trPr>
        <w:tc>
          <w:tcPr>
            <w:tcW w:w="10200" w:type="dxa"/>
            <w:vAlign w:val="bottom"/>
          </w:tcPr>
          <w:p>
            <w:pPr>
              <w:spacing w:after="0"/>
              <w:rPr>
                <w:sz w:val="20"/>
                <w:szCs w:val="20"/>
                <w:color w:val="auto"/>
              </w:rPr>
            </w:pPr>
            <w:r>
              <w:rPr>
                <w:rFonts w:ascii="Arial" w:cs="Arial" w:eastAsia="Arial" w:hAnsi="Arial"/>
                <w:sz w:val="10"/>
                <w:szCs w:val="10"/>
                <w:color w:val="auto"/>
              </w:rPr>
              <w:t>Approved the remuneration for audit and non-audit services, including pre-approval of permissible non-audit services.</w:t>
            </w:r>
          </w:p>
        </w:tc>
        <w:tc>
          <w:tcPr>
            <w:tcW w:w="1080" w:type="dxa"/>
            <w:vAlign w:val="bottom"/>
          </w:tcPr>
          <w:p>
            <w:pPr>
              <w:ind w:left="560"/>
              <w:spacing w:after="0"/>
              <w:rPr>
                <w:sz w:val="20"/>
                <w:szCs w:val="20"/>
                <w:color w:val="auto"/>
              </w:rPr>
            </w:pPr>
            <w:r>
              <w:rPr>
                <w:rFonts w:ascii="Arial" w:cs="Arial" w:eastAsia="Arial" w:hAnsi="Arial"/>
                <w:sz w:val="10"/>
                <w:szCs w:val="10"/>
                <w:color w:val="auto"/>
              </w:rPr>
              <w:t>Q</w:t>
            </w:r>
          </w:p>
        </w:tc>
      </w:tr>
      <w:tr>
        <w:trPr>
          <w:trHeight w:val="126"/>
        </w:trPr>
        <w:tc>
          <w:tcPr>
            <w:tcW w:w="10200" w:type="dxa"/>
            <w:vAlign w:val="bottom"/>
          </w:tcPr>
          <w:p>
            <w:pPr>
              <w:spacing w:after="0"/>
              <w:rPr>
                <w:sz w:val="20"/>
                <w:szCs w:val="20"/>
                <w:color w:val="auto"/>
              </w:rPr>
            </w:pPr>
            <w:r>
              <w:rPr>
                <w:rFonts w:ascii="Arial" w:cs="Arial" w:eastAsia="Arial" w:hAnsi="Arial"/>
                <w:sz w:val="10"/>
                <w:szCs w:val="10"/>
                <w:color w:val="auto"/>
              </w:rPr>
              <w:t>Considered the annual external audit plan and monitored the execution and results of the audit.</w:t>
            </w:r>
          </w:p>
        </w:tc>
        <w:tc>
          <w:tcPr>
            <w:tcW w:w="1080" w:type="dxa"/>
            <w:vAlign w:val="bottom"/>
          </w:tcPr>
          <w:p>
            <w:pPr>
              <w:ind w:left="560"/>
              <w:spacing w:after="0"/>
              <w:rPr>
                <w:sz w:val="20"/>
                <w:szCs w:val="20"/>
                <w:color w:val="auto"/>
              </w:rPr>
            </w:pPr>
            <w:r>
              <w:rPr>
                <w:rFonts w:ascii="Arial" w:cs="Arial" w:eastAsia="Arial" w:hAnsi="Arial"/>
                <w:sz w:val="10"/>
                <w:szCs w:val="10"/>
                <w:color w:val="auto"/>
              </w:rPr>
              <w:t>P</w:t>
            </w:r>
          </w:p>
        </w:tc>
      </w:tr>
      <w:tr>
        <w:trPr>
          <w:trHeight w:val="126"/>
        </w:trPr>
        <w:tc>
          <w:tcPr>
            <w:tcW w:w="10200" w:type="dxa"/>
            <w:vAlign w:val="bottom"/>
          </w:tcPr>
          <w:p>
            <w:pPr>
              <w:spacing w:after="0"/>
              <w:rPr>
                <w:sz w:val="20"/>
                <w:szCs w:val="20"/>
                <w:color w:val="auto"/>
              </w:rPr>
            </w:pPr>
            <w:r>
              <w:rPr>
                <w:rFonts w:ascii="Arial" w:cs="Arial" w:eastAsia="Arial" w:hAnsi="Arial"/>
                <w:sz w:val="10"/>
                <w:szCs w:val="10"/>
                <w:color w:val="auto"/>
              </w:rPr>
              <w:t>Monitored the qualifications, expertise, resources and independence of EY.</w:t>
            </w:r>
          </w:p>
        </w:tc>
        <w:tc>
          <w:tcPr>
            <w:tcW w:w="1080" w:type="dxa"/>
            <w:vAlign w:val="bottom"/>
          </w:tcPr>
          <w:p>
            <w:pPr>
              <w:ind w:left="560"/>
              <w:spacing w:after="0"/>
              <w:rPr>
                <w:sz w:val="20"/>
                <w:szCs w:val="20"/>
                <w:color w:val="auto"/>
              </w:rPr>
            </w:pPr>
            <w:r>
              <w:rPr>
                <w:rFonts w:ascii="Arial" w:cs="Arial" w:eastAsia="Arial" w:hAnsi="Arial"/>
                <w:sz w:val="10"/>
                <w:szCs w:val="10"/>
                <w:color w:val="auto"/>
              </w:rPr>
              <w:t>A</w:t>
            </w:r>
          </w:p>
        </w:tc>
      </w:tr>
      <w:tr>
        <w:trPr>
          <w:trHeight w:val="126"/>
        </w:trPr>
        <w:tc>
          <w:tcPr>
            <w:tcW w:w="10200" w:type="dxa"/>
            <w:vAlign w:val="bottom"/>
          </w:tcPr>
          <w:p>
            <w:pPr>
              <w:spacing w:after="0"/>
              <w:rPr>
                <w:sz w:val="20"/>
                <w:szCs w:val="20"/>
                <w:color w:val="auto"/>
              </w:rPr>
            </w:pPr>
            <w:r>
              <w:rPr>
                <w:rFonts w:ascii="Arial" w:cs="Arial" w:eastAsia="Arial" w:hAnsi="Arial"/>
                <w:sz w:val="10"/>
                <w:szCs w:val="10"/>
                <w:color w:val="auto"/>
              </w:rPr>
              <w:t>Reviewed the Company’s representation letter prior to signing by management.</w:t>
            </w:r>
          </w:p>
        </w:tc>
        <w:tc>
          <w:tcPr>
            <w:tcW w:w="1080" w:type="dxa"/>
            <w:vAlign w:val="bottom"/>
          </w:tcPr>
          <w:p>
            <w:pPr>
              <w:ind w:left="560"/>
              <w:spacing w:after="0"/>
              <w:rPr>
                <w:sz w:val="20"/>
                <w:szCs w:val="20"/>
                <w:color w:val="auto"/>
              </w:rPr>
            </w:pPr>
            <w:r>
              <w:rPr>
                <w:rFonts w:ascii="Arial" w:cs="Arial" w:eastAsia="Arial" w:hAnsi="Arial"/>
                <w:sz w:val="10"/>
                <w:szCs w:val="10"/>
                <w:color w:val="auto"/>
              </w:rPr>
              <w:t>A</w:t>
            </w:r>
          </w:p>
        </w:tc>
      </w:tr>
      <w:tr>
        <w:trPr>
          <w:trHeight w:val="126"/>
        </w:trPr>
        <w:tc>
          <w:tcPr>
            <w:tcW w:w="10200" w:type="dxa"/>
            <w:vAlign w:val="bottom"/>
          </w:tcPr>
          <w:p>
            <w:pPr>
              <w:spacing w:after="0"/>
              <w:rPr>
                <w:sz w:val="20"/>
                <w:szCs w:val="20"/>
                <w:color w:val="auto"/>
              </w:rPr>
            </w:pPr>
            <w:r>
              <w:rPr>
                <w:rFonts w:ascii="Arial" w:cs="Arial" w:eastAsia="Arial" w:hAnsi="Arial"/>
                <w:sz w:val="10"/>
                <w:szCs w:val="10"/>
                <w:color w:val="auto"/>
              </w:rPr>
              <w:t>Assessed the performance, objectivity and effectiveness of EY, the audit process, the quality of the audit, EY’s handling of key judgements, and EY’s response to questions from the AC</w:t>
            </w:r>
          </w:p>
        </w:tc>
        <w:tc>
          <w:tcPr>
            <w:tcW w:w="1080" w:type="dxa"/>
            <w:vAlign w:val="bottom"/>
          </w:tcPr>
          <w:p>
            <w:pPr>
              <w:ind w:left="560"/>
              <w:spacing w:after="0"/>
              <w:rPr>
                <w:sz w:val="20"/>
                <w:szCs w:val="20"/>
                <w:color w:val="auto"/>
              </w:rPr>
            </w:pPr>
            <w:r>
              <w:rPr>
                <w:rFonts w:ascii="Arial" w:cs="Arial" w:eastAsia="Arial" w:hAnsi="Arial"/>
                <w:sz w:val="10"/>
                <w:szCs w:val="10"/>
                <w:color w:val="auto"/>
              </w:rPr>
              <w:t>P</w:t>
            </w:r>
          </w:p>
        </w:tc>
      </w:tr>
      <w:tr>
        <w:trPr>
          <w:trHeight w:val="130"/>
        </w:trPr>
        <w:tc>
          <w:tcPr>
            <w:tcW w:w="10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Recommended to the Board that the reappointment of EY be put to the Company’s shareholders for approval at the AGM.</w:t>
            </w: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A</w:t>
            </w:r>
          </w:p>
        </w:tc>
      </w:tr>
      <w:tr>
        <w:trPr>
          <w:trHeight w:val="318"/>
        </w:trPr>
        <w:tc>
          <w:tcPr>
            <w:tcW w:w="10200" w:type="dxa"/>
            <w:vAlign w:val="bottom"/>
          </w:tcPr>
          <w:p>
            <w:pPr>
              <w:spacing w:after="0"/>
              <w:rPr>
                <w:sz w:val="20"/>
                <w:szCs w:val="20"/>
                <w:color w:val="auto"/>
              </w:rPr>
            </w:pPr>
            <w:r>
              <w:rPr>
                <w:rFonts w:ascii="Arial" w:cs="Arial" w:eastAsia="Arial" w:hAnsi="Arial"/>
                <w:sz w:val="10"/>
                <w:szCs w:val="10"/>
                <w:color w:val="auto"/>
              </w:rPr>
              <w:t>A = Annually, Q = Quarterly, P = Periodically</w:t>
            </w:r>
          </w:p>
        </w:tc>
        <w:tc>
          <w:tcPr>
            <w:tcW w:w="10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112</w:t>
            </w:r>
          </w:p>
        </w:tc>
      </w:tr>
      <w:tr>
        <w:trPr>
          <w:trHeight w:val="142"/>
        </w:trPr>
        <w:tc>
          <w:tcPr>
            <w:tcW w:w="3420" w:type="dxa"/>
            <w:vAlign w:val="bottom"/>
            <w:tcBorders>
              <w:bottom w:val="single" w:sz="8" w:color="9A9A9A"/>
            </w:tcBorders>
          </w:tcPr>
          <w:p>
            <w:pPr>
              <w:spacing w:after="0"/>
              <w:rPr>
                <w:sz w:val="12"/>
                <w:szCs w:val="12"/>
                <w:color w:val="auto"/>
              </w:rPr>
            </w:pPr>
          </w:p>
        </w:tc>
        <w:tc>
          <w:tcPr>
            <w:tcW w:w="78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0"/>
          <w:szCs w:val="10"/>
          <w:b w:val="1"/>
          <w:bCs w:val="1"/>
          <w:color w:val="auto"/>
        </w:rPr>
        <w:t>SIGNIFICANT ACCOUNTING AND REPORTING CONSIDERATIONS</w:t>
      </w:r>
    </w:p>
    <w:p>
      <w:pPr>
        <w:spacing w:after="0" w:line="3" w:lineRule="exact"/>
        <w:rPr>
          <w:sz w:val="20"/>
          <w:szCs w:val="20"/>
          <w:color w:val="auto"/>
        </w:rPr>
      </w:pPr>
    </w:p>
    <w:p>
      <w:pPr>
        <w:ind w:right="260"/>
        <w:spacing w:after="0" w:line="231" w:lineRule="auto"/>
        <w:rPr>
          <w:sz w:val="20"/>
          <w:szCs w:val="20"/>
          <w:color w:val="auto"/>
        </w:rPr>
      </w:pPr>
      <w:r>
        <w:rPr>
          <w:rFonts w:ascii="Arial" w:cs="Arial" w:eastAsia="Arial" w:hAnsi="Arial"/>
          <w:sz w:val="10"/>
          <w:szCs w:val="10"/>
          <w:color w:val="auto"/>
        </w:rPr>
        <w:t>The AC assessed the following significant accounting and reporting areas, including those related to Shell’s 2020 Consolidated Financial Statements. The AC was satisfied with how each of the areas below was addressed. As part of this assessment, the AC received reports, requested and received clarifications from management, and sought assurance and received input from the internal and external auditors.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600" w:type="dxa"/>
            <w:vAlign w:val="bottom"/>
          </w:tcPr>
          <w:p>
            <w:pPr>
              <w:spacing w:after="0"/>
              <w:rPr>
                <w:sz w:val="20"/>
                <w:szCs w:val="20"/>
                <w:color w:val="auto"/>
              </w:rPr>
            </w:pPr>
            <w:r>
              <w:rPr>
                <w:rFonts w:ascii="Arial" w:cs="Arial" w:eastAsia="Arial" w:hAnsi="Arial"/>
                <w:sz w:val="10"/>
                <w:szCs w:val="10"/>
                <w:color w:val="auto"/>
              </w:rPr>
              <w:t>Significant accounting and reporting areas</w:t>
            </w:r>
          </w:p>
        </w:tc>
        <w:tc>
          <w:tcPr>
            <w:tcW w:w="43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Subject</w:t>
            </w:r>
          </w:p>
        </w:tc>
        <w:tc>
          <w:tcPr>
            <w:tcW w:w="434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Issue</w:t>
            </w:r>
          </w:p>
        </w:tc>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How the AC addressed the issue</w:t>
            </w:r>
          </w:p>
        </w:tc>
        <w:tc>
          <w:tcPr>
            <w:tcW w:w="0" w:type="dxa"/>
            <w:vAlign w:val="bottom"/>
          </w:tcPr>
          <w:p>
            <w:pPr>
              <w:spacing w:after="0"/>
              <w:rPr>
                <w:sz w:val="1"/>
                <w:szCs w:val="1"/>
                <w:color w:val="auto"/>
              </w:rPr>
            </w:pPr>
          </w:p>
        </w:tc>
      </w:tr>
      <w:tr>
        <w:trPr>
          <w:trHeight w:val="92"/>
        </w:trPr>
        <w:tc>
          <w:tcPr>
            <w:tcW w:w="2600" w:type="dxa"/>
            <w:vAlign w:val="bottom"/>
          </w:tcPr>
          <w:p>
            <w:pPr>
              <w:spacing w:after="0" w:line="92" w:lineRule="exact"/>
              <w:rPr>
                <w:sz w:val="20"/>
                <w:szCs w:val="20"/>
                <w:color w:val="auto"/>
              </w:rPr>
            </w:pPr>
            <w:r>
              <w:rPr>
                <w:rFonts w:ascii="Arial" w:cs="Arial" w:eastAsia="Arial" w:hAnsi="Arial"/>
                <w:sz w:val="10"/>
                <w:szCs w:val="10"/>
                <w:color w:val="auto"/>
              </w:rPr>
              <w:t>IMPAIRMENTS AND IMPAIRMENT REVERSALS</w:t>
            </w:r>
          </w:p>
        </w:tc>
        <w:tc>
          <w:tcPr>
            <w:tcW w:w="4340" w:type="dxa"/>
            <w:vAlign w:val="bottom"/>
          </w:tcPr>
          <w:p>
            <w:pPr>
              <w:ind w:left="100"/>
              <w:spacing w:after="0" w:line="92" w:lineRule="exact"/>
              <w:rPr>
                <w:sz w:val="20"/>
                <w:szCs w:val="20"/>
                <w:color w:val="auto"/>
              </w:rPr>
            </w:pPr>
            <w:r>
              <w:rPr>
                <w:rFonts w:ascii="Arial" w:cs="Arial" w:eastAsia="Arial" w:hAnsi="Arial"/>
                <w:sz w:val="10"/>
                <w:szCs w:val="10"/>
                <w:color w:val="auto"/>
                <w:w w:val="88"/>
              </w:rPr>
              <w:t>The carrying amount of an asset should be tested for impairment or impairment reversal whenever events or</w:t>
            </w:r>
          </w:p>
        </w:tc>
        <w:tc>
          <w:tcPr>
            <w:tcW w:w="4360" w:type="dxa"/>
            <w:vAlign w:val="bottom"/>
          </w:tcPr>
          <w:p>
            <w:pPr>
              <w:ind w:left="40"/>
              <w:spacing w:after="0" w:line="92" w:lineRule="exact"/>
              <w:rPr>
                <w:sz w:val="20"/>
                <w:szCs w:val="20"/>
                <w:color w:val="auto"/>
              </w:rPr>
            </w:pPr>
            <w:r>
              <w:rPr>
                <w:rFonts w:ascii="Arial" w:cs="Arial" w:eastAsia="Arial" w:hAnsi="Arial"/>
                <w:sz w:val="10"/>
                <w:szCs w:val="10"/>
                <w:color w:val="auto"/>
                <w:w w:val="85"/>
              </w:rPr>
              <w:t>The AC reviewed the impairment assessments that were performed each quarter. In doing so, the AC considered</w:t>
            </w:r>
          </w:p>
        </w:tc>
        <w:tc>
          <w:tcPr>
            <w:tcW w:w="0" w:type="dxa"/>
            <w:vAlign w:val="bottom"/>
          </w:tcPr>
          <w:p>
            <w:pPr>
              <w:spacing w:after="0"/>
              <w:rPr>
                <w:sz w:val="1"/>
                <w:szCs w:val="1"/>
                <w:color w:val="auto"/>
              </w:rPr>
            </w:pPr>
          </w:p>
        </w:tc>
      </w:tr>
      <w:tr>
        <w:trPr>
          <w:trHeight w:val="108"/>
        </w:trPr>
        <w:tc>
          <w:tcPr>
            <w:tcW w:w="2600" w:type="dxa"/>
            <w:vAlign w:val="bottom"/>
          </w:tcPr>
          <w:p>
            <w:pPr>
              <w:spacing w:after="0" w:line="108" w:lineRule="exact"/>
              <w:rPr>
                <w:sz w:val="20"/>
                <w:szCs w:val="20"/>
                <w:color w:val="auto"/>
              </w:rPr>
            </w:pPr>
            <w:r>
              <w:rPr>
                <w:rFonts w:ascii="Arial" w:cs="Arial" w:eastAsia="Arial" w:hAnsi="Arial"/>
                <w:sz w:val="10"/>
                <w:szCs w:val="10"/>
                <w:color w:val="auto"/>
                <w:w w:val="86"/>
              </w:rPr>
              <w:t>See Notes 2, 7, 8 and 9 to the “Consolidated Financial Statements”</w:t>
            </w:r>
          </w:p>
        </w:tc>
        <w:tc>
          <w:tcPr>
            <w:tcW w:w="4340" w:type="dxa"/>
            <w:vAlign w:val="bottom"/>
          </w:tcPr>
          <w:p>
            <w:pPr>
              <w:ind w:left="100"/>
              <w:spacing w:after="0" w:line="108" w:lineRule="exact"/>
              <w:rPr>
                <w:sz w:val="20"/>
                <w:szCs w:val="20"/>
                <w:color w:val="auto"/>
              </w:rPr>
            </w:pPr>
            <w:r>
              <w:rPr>
                <w:rFonts w:ascii="Arial" w:cs="Arial" w:eastAsia="Arial" w:hAnsi="Arial"/>
                <w:sz w:val="10"/>
                <w:szCs w:val="10"/>
                <w:color w:val="auto"/>
                <w:w w:val="85"/>
              </w:rPr>
              <w:t>changes in circumstances indicate that the carrying amount for that asset may have changed, such as a change</w:t>
            </w:r>
          </w:p>
        </w:tc>
        <w:tc>
          <w:tcPr>
            <w:tcW w:w="4360" w:type="dxa"/>
            <w:vAlign w:val="bottom"/>
          </w:tcPr>
          <w:p>
            <w:pPr>
              <w:ind w:left="40"/>
              <w:spacing w:after="0" w:line="108" w:lineRule="exact"/>
              <w:rPr>
                <w:sz w:val="20"/>
                <w:szCs w:val="20"/>
                <w:color w:val="auto"/>
              </w:rPr>
            </w:pPr>
            <w:r>
              <w:rPr>
                <w:rFonts w:ascii="Arial" w:cs="Arial" w:eastAsia="Arial" w:hAnsi="Arial"/>
                <w:sz w:val="10"/>
                <w:szCs w:val="10"/>
                <w:color w:val="auto"/>
                <w:w w:val="87"/>
              </w:rPr>
              <w:t>the updated oil and gas price and refining margin outlooks against market developments and benchmarks. The</w:t>
            </w:r>
          </w:p>
        </w:tc>
        <w:tc>
          <w:tcPr>
            <w:tcW w:w="0" w:type="dxa"/>
            <w:vAlign w:val="bottom"/>
          </w:tcPr>
          <w:p>
            <w:pPr>
              <w:spacing w:after="0"/>
              <w:rPr>
                <w:sz w:val="1"/>
                <w:szCs w:val="1"/>
                <w:color w:val="auto"/>
              </w:rPr>
            </w:pPr>
          </w:p>
        </w:tc>
      </w:tr>
      <w:tr>
        <w:trPr>
          <w:trHeight w:val="108"/>
        </w:trPr>
        <w:tc>
          <w:tcPr>
            <w:tcW w:w="2600" w:type="dxa"/>
            <w:vAlign w:val="bottom"/>
          </w:tcPr>
          <w:p>
            <w:pPr>
              <w:spacing w:after="0" w:line="108" w:lineRule="exact"/>
              <w:rPr>
                <w:sz w:val="20"/>
                <w:szCs w:val="20"/>
                <w:color w:val="auto"/>
              </w:rPr>
            </w:pPr>
            <w:r>
              <w:rPr>
                <w:rFonts w:ascii="Arial" w:cs="Arial" w:eastAsia="Arial" w:hAnsi="Arial"/>
                <w:sz w:val="10"/>
                <w:szCs w:val="10"/>
                <w:color w:val="auto"/>
              </w:rPr>
              <w:t>on pages 169 - 176 and 181 - 186</w:t>
            </w:r>
          </w:p>
        </w:tc>
        <w:tc>
          <w:tcPr>
            <w:tcW w:w="4340" w:type="dxa"/>
            <w:vAlign w:val="bottom"/>
          </w:tcPr>
          <w:p>
            <w:pPr>
              <w:ind w:left="100"/>
              <w:spacing w:after="0" w:line="108" w:lineRule="exact"/>
              <w:rPr>
                <w:sz w:val="20"/>
                <w:szCs w:val="20"/>
                <w:color w:val="auto"/>
              </w:rPr>
            </w:pPr>
            <w:r>
              <w:rPr>
                <w:rFonts w:ascii="Arial" w:cs="Arial" w:eastAsia="Arial" w:hAnsi="Arial"/>
                <w:sz w:val="10"/>
                <w:szCs w:val="10"/>
                <w:color w:val="auto"/>
                <w:w w:val="91"/>
              </w:rPr>
              <w:t>in the outlook for commodity prices and refining margin assumptions and revisions to future activity plans</w:t>
            </w:r>
          </w:p>
        </w:tc>
        <w:tc>
          <w:tcPr>
            <w:tcW w:w="4360" w:type="dxa"/>
            <w:vAlign w:val="bottom"/>
          </w:tcPr>
          <w:p>
            <w:pPr>
              <w:ind w:left="40"/>
              <w:spacing w:after="0" w:line="108" w:lineRule="exact"/>
              <w:rPr>
                <w:sz w:val="20"/>
                <w:szCs w:val="20"/>
                <w:color w:val="auto"/>
              </w:rPr>
            </w:pPr>
            <w:r>
              <w:rPr>
                <w:rFonts w:ascii="Arial" w:cs="Arial" w:eastAsia="Arial" w:hAnsi="Arial"/>
                <w:sz w:val="10"/>
                <w:szCs w:val="10"/>
                <w:color w:val="auto"/>
                <w:w w:val="89"/>
              </w:rPr>
              <w:t>potential impact of price sensitivities was reviewed and asset-specific risks were considered together with the</w:t>
            </w:r>
          </w:p>
        </w:tc>
        <w:tc>
          <w:tcPr>
            <w:tcW w:w="0" w:type="dxa"/>
            <w:vAlign w:val="bottom"/>
          </w:tcPr>
          <w:p>
            <w:pPr>
              <w:spacing w:after="0"/>
              <w:rPr>
                <w:sz w:val="1"/>
                <w:szCs w:val="1"/>
                <w:color w:val="auto"/>
              </w:rPr>
            </w:pPr>
          </w:p>
        </w:tc>
      </w:tr>
      <w:tr>
        <w:trPr>
          <w:trHeight w:val="45"/>
        </w:trPr>
        <w:tc>
          <w:tcPr>
            <w:tcW w:w="2600" w:type="dxa"/>
            <w:vAlign w:val="bottom"/>
          </w:tcPr>
          <w:p>
            <w:pPr>
              <w:spacing w:after="0"/>
              <w:rPr>
                <w:sz w:val="3"/>
                <w:szCs w:val="3"/>
                <w:color w:val="auto"/>
              </w:rPr>
            </w:pPr>
          </w:p>
        </w:tc>
        <w:tc>
          <w:tcPr>
            <w:tcW w:w="4340" w:type="dxa"/>
            <w:vAlign w:val="bottom"/>
          </w:tcPr>
          <w:p>
            <w:pPr>
              <w:ind w:left="100"/>
              <w:spacing w:after="0" w:line="45" w:lineRule="exact"/>
              <w:rPr>
                <w:sz w:val="20"/>
                <w:szCs w:val="20"/>
                <w:color w:val="auto"/>
              </w:rPr>
            </w:pPr>
            <w:r>
              <w:rPr>
                <w:rFonts w:ascii="Arial" w:cs="Arial" w:eastAsia="Arial" w:hAnsi="Arial"/>
                <w:sz w:val="5"/>
                <w:szCs w:val="5"/>
                <w:color w:val="auto"/>
              </w:rPr>
              <w:t>and developments. On classification as held for sale, the carrying amounts of property, plant and equipment</w:t>
            </w:r>
          </w:p>
        </w:tc>
        <w:tc>
          <w:tcPr>
            <w:tcW w:w="4360" w:type="dxa"/>
            <w:vAlign w:val="bottom"/>
            <w:vMerge w:val="restart"/>
          </w:tcPr>
          <w:p>
            <w:pPr>
              <w:ind w:left="40"/>
              <w:spacing w:after="0"/>
              <w:rPr>
                <w:sz w:val="20"/>
                <w:szCs w:val="20"/>
                <w:color w:val="auto"/>
              </w:rPr>
            </w:pPr>
            <w:r>
              <w:rPr>
                <w:rFonts w:ascii="Arial" w:cs="Arial" w:eastAsia="Arial" w:hAnsi="Arial"/>
                <w:sz w:val="10"/>
                <w:szCs w:val="10"/>
                <w:color w:val="auto"/>
                <w:w w:val="91"/>
              </w:rPr>
              <w:t>relevant discount rates applied. The AC also reviewed other significant inputs to impairment assessments,</w:t>
            </w:r>
          </w:p>
        </w:tc>
        <w:tc>
          <w:tcPr>
            <w:tcW w:w="0" w:type="dxa"/>
            <w:vAlign w:val="bottom"/>
          </w:tcPr>
          <w:p>
            <w:pPr>
              <w:spacing w:after="0"/>
              <w:rPr>
                <w:sz w:val="1"/>
                <w:szCs w:val="1"/>
                <w:color w:val="auto"/>
              </w:rPr>
            </w:pPr>
          </w:p>
        </w:tc>
      </w:tr>
      <w:tr>
        <w:trPr>
          <w:trHeight w:val="90"/>
        </w:trPr>
        <w:tc>
          <w:tcPr>
            <w:tcW w:w="2600" w:type="dxa"/>
            <w:vAlign w:val="bottom"/>
          </w:tcPr>
          <w:p>
            <w:pPr>
              <w:spacing w:after="0"/>
              <w:rPr>
                <w:sz w:val="7"/>
                <w:szCs w:val="7"/>
                <w:color w:val="auto"/>
              </w:rPr>
            </w:pPr>
          </w:p>
        </w:tc>
        <w:tc>
          <w:tcPr>
            <w:tcW w:w="4340" w:type="dxa"/>
            <w:vAlign w:val="bottom"/>
          </w:tcPr>
          <w:p>
            <w:pPr>
              <w:ind w:left="100"/>
              <w:spacing w:after="0" w:line="90" w:lineRule="exact"/>
              <w:rPr>
                <w:sz w:val="20"/>
                <w:szCs w:val="20"/>
                <w:color w:val="auto"/>
              </w:rPr>
            </w:pPr>
            <w:r>
              <w:rPr>
                <w:rFonts w:ascii="Arial" w:cs="Arial" w:eastAsia="Arial" w:hAnsi="Arial"/>
                <w:sz w:val="10"/>
                <w:szCs w:val="10"/>
                <w:color w:val="auto"/>
              </w:rPr>
              <w:t>(PP&amp;E) and intangible assets are also reviewed.</w:t>
            </w: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6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4360" w:type="dxa"/>
            <w:vAlign w:val="bottom"/>
          </w:tcPr>
          <w:p>
            <w:pPr>
              <w:ind w:left="40"/>
              <w:spacing w:after="0" w:line="96" w:lineRule="exact"/>
              <w:rPr>
                <w:sz w:val="20"/>
                <w:szCs w:val="20"/>
                <w:color w:val="auto"/>
              </w:rPr>
            </w:pPr>
            <w:r>
              <w:rPr>
                <w:rFonts w:ascii="Arial" w:cs="Arial" w:eastAsia="Arial" w:hAnsi="Arial"/>
                <w:sz w:val="10"/>
                <w:szCs w:val="10"/>
                <w:color w:val="auto"/>
                <w:w w:val="88"/>
              </w:rPr>
              <w:t>including the held-for-sale classification and the potential impacts of climate change and energy transition. The</w:t>
            </w:r>
          </w:p>
        </w:tc>
        <w:tc>
          <w:tcPr>
            <w:tcW w:w="0" w:type="dxa"/>
            <w:vAlign w:val="bottom"/>
          </w:tcPr>
          <w:p>
            <w:pPr>
              <w:spacing w:after="0"/>
              <w:rPr>
                <w:sz w:val="1"/>
                <w:szCs w:val="1"/>
                <w:color w:val="auto"/>
              </w:rPr>
            </w:pPr>
          </w:p>
        </w:tc>
      </w:tr>
      <w:tr>
        <w:trPr>
          <w:trHeight w:val="130"/>
        </w:trPr>
        <w:tc>
          <w:tcPr>
            <w:tcW w:w="2600" w:type="dxa"/>
            <w:vAlign w:val="bottom"/>
            <w:tcBorders>
              <w:bottom w:val="single" w:sz="8" w:color="auto"/>
            </w:tcBorders>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AC review of impairments covered a significant proportion of the balance sheet.</w:t>
            </w:r>
          </w:p>
        </w:tc>
        <w:tc>
          <w:tcPr>
            <w:tcW w:w="0" w:type="dxa"/>
            <w:vAlign w:val="bottom"/>
          </w:tcPr>
          <w:p>
            <w:pPr>
              <w:spacing w:after="0"/>
              <w:rPr>
                <w:sz w:val="1"/>
                <w:szCs w:val="1"/>
                <w:color w:val="auto"/>
              </w:rPr>
            </w:pPr>
          </w:p>
        </w:tc>
      </w:tr>
      <w:tr>
        <w:trPr>
          <w:trHeight w:val="96"/>
        </w:trPr>
        <w:tc>
          <w:tcPr>
            <w:tcW w:w="2600" w:type="dxa"/>
            <w:vAlign w:val="bottom"/>
          </w:tcPr>
          <w:p>
            <w:pPr>
              <w:spacing w:after="0" w:line="97" w:lineRule="exact"/>
              <w:rPr>
                <w:sz w:val="20"/>
                <w:szCs w:val="20"/>
                <w:color w:val="auto"/>
              </w:rPr>
            </w:pPr>
            <w:r>
              <w:rPr>
                <w:rFonts w:ascii="Arial" w:cs="Arial" w:eastAsia="Arial" w:hAnsi="Arial"/>
                <w:sz w:val="10"/>
                <w:szCs w:val="10"/>
                <w:color w:val="auto"/>
              </w:rPr>
              <w:t>TAXATION</w:t>
            </w:r>
          </w:p>
        </w:tc>
        <w:tc>
          <w:tcPr>
            <w:tcW w:w="4340" w:type="dxa"/>
            <w:vAlign w:val="bottom"/>
          </w:tcPr>
          <w:p>
            <w:pPr>
              <w:ind w:left="60"/>
              <w:spacing w:after="0" w:line="97" w:lineRule="exact"/>
              <w:rPr>
                <w:sz w:val="20"/>
                <w:szCs w:val="20"/>
                <w:color w:val="auto"/>
              </w:rPr>
            </w:pPr>
            <w:r>
              <w:rPr>
                <w:rFonts w:ascii="Arial" w:cs="Arial" w:eastAsia="Arial" w:hAnsi="Arial"/>
                <w:sz w:val="10"/>
                <w:szCs w:val="10"/>
                <w:color w:val="auto"/>
                <w:w w:val="87"/>
              </w:rPr>
              <w:t>The determination of tax assets and liabilities requires the application of judgement as to the ultimate outcome,</w:t>
            </w:r>
          </w:p>
        </w:tc>
        <w:tc>
          <w:tcPr>
            <w:tcW w:w="4360" w:type="dxa"/>
            <w:vAlign w:val="bottom"/>
          </w:tcPr>
          <w:p>
            <w:pPr>
              <w:ind w:left="40"/>
              <w:spacing w:after="0" w:line="97" w:lineRule="exact"/>
              <w:rPr>
                <w:sz w:val="20"/>
                <w:szCs w:val="20"/>
                <w:color w:val="auto"/>
              </w:rPr>
            </w:pPr>
            <w:r>
              <w:rPr>
                <w:rFonts w:ascii="Arial" w:cs="Arial" w:eastAsia="Arial" w:hAnsi="Arial"/>
                <w:sz w:val="10"/>
                <w:szCs w:val="10"/>
                <w:color w:val="auto"/>
                <w:w w:val="90"/>
              </w:rPr>
              <w:t>The AC considered the uncertain tax positions and discussed management’s assumptions of future taxable</w:t>
            </w:r>
          </w:p>
        </w:tc>
        <w:tc>
          <w:tcPr>
            <w:tcW w:w="0" w:type="dxa"/>
            <w:vAlign w:val="bottom"/>
          </w:tcPr>
          <w:p>
            <w:pPr>
              <w:spacing w:after="0"/>
              <w:rPr>
                <w:sz w:val="1"/>
                <w:szCs w:val="1"/>
                <w:color w:val="auto"/>
              </w:rPr>
            </w:pPr>
          </w:p>
        </w:tc>
      </w:tr>
      <w:tr>
        <w:trPr>
          <w:trHeight w:val="108"/>
        </w:trPr>
        <w:tc>
          <w:tcPr>
            <w:tcW w:w="2600" w:type="dxa"/>
            <w:vAlign w:val="bottom"/>
          </w:tcPr>
          <w:p>
            <w:pPr>
              <w:spacing w:after="0" w:line="108" w:lineRule="exact"/>
              <w:rPr>
                <w:sz w:val="20"/>
                <w:szCs w:val="20"/>
                <w:color w:val="auto"/>
              </w:rPr>
            </w:pPr>
            <w:r>
              <w:rPr>
                <w:rFonts w:ascii="Arial" w:cs="Arial" w:eastAsia="Arial" w:hAnsi="Arial"/>
                <w:sz w:val="10"/>
                <w:szCs w:val="10"/>
                <w:color w:val="auto"/>
                <w:w w:val="87"/>
              </w:rPr>
              <w:t>See Notes 2 and 16 to the “Consolidated Financial Statements” on</w:t>
            </w:r>
          </w:p>
        </w:tc>
        <w:tc>
          <w:tcPr>
            <w:tcW w:w="4340" w:type="dxa"/>
            <w:vAlign w:val="bottom"/>
          </w:tcPr>
          <w:p>
            <w:pPr>
              <w:ind w:left="60"/>
              <w:spacing w:after="0" w:line="108" w:lineRule="exact"/>
              <w:rPr>
                <w:sz w:val="20"/>
                <w:szCs w:val="20"/>
                <w:color w:val="auto"/>
              </w:rPr>
            </w:pPr>
            <w:r>
              <w:rPr>
                <w:rFonts w:ascii="Arial" w:cs="Arial" w:eastAsia="Arial" w:hAnsi="Arial"/>
                <w:sz w:val="10"/>
                <w:szCs w:val="10"/>
                <w:color w:val="auto"/>
                <w:w w:val="90"/>
              </w:rPr>
              <w:t>which can change over time. In particular, tax exposures and the recognition of deferred tax assets require</w:t>
            </w:r>
          </w:p>
        </w:tc>
        <w:tc>
          <w:tcPr>
            <w:tcW w:w="4360" w:type="dxa"/>
            <w:vAlign w:val="bottom"/>
          </w:tcPr>
          <w:p>
            <w:pPr>
              <w:ind w:left="40"/>
              <w:spacing w:after="0" w:line="108" w:lineRule="exact"/>
              <w:rPr>
                <w:sz w:val="20"/>
                <w:szCs w:val="20"/>
                <w:color w:val="auto"/>
              </w:rPr>
            </w:pPr>
            <w:r>
              <w:rPr>
                <w:rFonts w:ascii="Arial" w:cs="Arial" w:eastAsia="Arial" w:hAnsi="Arial"/>
                <w:sz w:val="10"/>
                <w:szCs w:val="10"/>
                <w:color w:val="auto"/>
                <w:w w:val="91"/>
              </w:rPr>
              <w:t>profits, and evaluated the appropriateness of the recognition of deferred tax assets and tax liabilities. While</w:t>
            </w:r>
          </w:p>
        </w:tc>
        <w:tc>
          <w:tcPr>
            <w:tcW w:w="0" w:type="dxa"/>
            <w:vAlign w:val="bottom"/>
          </w:tcPr>
          <w:p>
            <w:pPr>
              <w:spacing w:after="0"/>
              <w:rPr>
                <w:sz w:val="1"/>
                <w:szCs w:val="1"/>
                <w:color w:val="auto"/>
              </w:rPr>
            </w:pPr>
          </w:p>
        </w:tc>
      </w:tr>
      <w:tr>
        <w:trPr>
          <w:trHeight w:val="123"/>
        </w:trPr>
        <w:tc>
          <w:tcPr>
            <w:tcW w:w="2600" w:type="dxa"/>
            <w:vAlign w:val="bottom"/>
          </w:tcPr>
          <w:p>
            <w:pPr>
              <w:spacing w:after="0" w:line="108" w:lineRule="exact"/>
              <w:rPr>
                <w:sz w:val="20"/>
                <w:szCs w:val="20"/>
                <w:color w:val="auto"/>
              </w:rPr>
            </w:pPr>
            <w:r>
              <w:rPr>
                <w:rFonts w:ascii="Arial" w:cs="Arial" w:eastAsia="Arial" w:hAnsi="Arial"/>
                <w:sz w:val="10"/>
                <w:szCs w:val="10"/>
                <w:color w:val="auto"/>
              </w:rPr>
              <w:t>pages 169 - 176 and 190 - 192</w:t>
            </w:r>
          </w:p>
        </w:tc>
        <w:tc>
          <w:tcPr>
            <w:tcW w:w="4340" w:type="dxa"/>
            <w:vAlign w:val="bottom"/>
          </w:tcPr>
          <w:p>
            <w:pPr>
              <w:ind w:left="60"/>
              <w:spacing w:after="0"/>
              <w:rPr>
                <w:sz w:val="20"/>
                <w:szCs w:val="20"/>
                <w:color w:val="auto"/>
              </w:rPr>
            </w:pPr>
            <w:r>
              <w:rPr>
                <w:rFonts w:ascii="Arial" w:cs="Arial" w:eastAsia="Arial" w:hAnsi="Arial"/>
                <w:sz w:val="10"/>
                <w:szCs w:val="10"/>
                <w:color w:val="auto"/>
                <w:w w:val="94"/>
              </w:rPr>
              <w:t>management to make assumptions regarding future profitability and are therefore inherently uncertain.</w:t>
            </w:r>
          </w:p>
        </w:tc>
        <w:tc>
          <w:tcPr>
            <w:tcW w:w="4360" w:type="dxa"/>
            <w:vAlign w:val="bottom"/>
          </w:tcPr>
          <w:p>
            <w:pPr>
              <w:ind w:left="40"/>
              <w:spacing w:after="0"/>
              <w:rPr>
                <w:sz w:val="20"/>
                <w:szCs w:val="20"/>
                <w:color w:val="auto"/>
              </w:rPr>
            </w:pPr>
            <w:r>
              <w:rPr>
                <w:rFonts w:ascii="Arial" w:cs="Arial" w:eastAsia="Arial" w:hAnsi="Arial"/>
                <w:sz w:val="10"/>
                <w:szCs w:val="10"/>
                <w:color w:val="auto"/>
                <w:w w:val="91"/>
              </w:rPr>
              <w:t>recognising that assumptions regarding future taxable profits are inherently uncertain, particularly in light of</w:t>
            </w: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4340" w:type="dxa"/>
            <w:vAlign w:val="bottom"/>
          </w:tcPr>
          <w:p>
            <w:pPr>
              <w:spacing w:after="0"/>
              <w:rPr>
                <w:sz w:val="9"/>
                <w:szCs w:val="9"/>
                <w:color w:val="auto"/>
              </w:rPr>
            </w:pPr>
          </w:p>
        </w:tc>
        <w:tc>
          <w:tcPr>
            <w:tcW w:w="4360" w:type="dxa"/>
            <w:vAlign w:val="bottom"/>
          </w:tcPr>
          <w:p>
            <w:pPr>
              <w:ind w:left="40"/>
              <w:spacing w:after="0" w:line="108" w:lineRule="exact"/>
              <w:rPr>
                <w:sz w:val="20"/>
                <w:szCs w:val="20"/>
                <w:color w:val="auto"/>
              </w:rPr>
            </w:pPr>
            <w:r>
              <w:rPr>
                <w:rFonts w:ascii="Arial" w:cs="Arial" w:eastAsia="Arial" w:hAnsi="Arial"/>
                <w:sz w:val="10"/>
                <w:szCs w:val="10"/>
                <w:color w:val="auto"/>
                <w:w w:val="88"/>
              </w:rPr>
              <w:t>COVID-19 and the pace of economic recovery in different countries as well as the potential impacts of climate</w:t>
            </w: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4340" w:type="dxa"/>
            <w:vAlign w:val="bottom"/>
          </w:tcPr>
          <w:p>
            <w:pPr>
              <w:spacing w:after="0"/>
              <w:rPr>
                <w:sz w:val="9"/>
                <w:szCs w:val="9"/>
                <w:color w:val="auto"/>
              </w:rPr>
            </w:pPr>
          </w:p>
        </w:tc>
        <w:tc>
          <w:tcPr>
            <w:tcW w:w="4360" w:type="dxa"/>
            <w:vAlign w:val="bottom"/>
          </w:tcPr>
          <w:p>
            <w:pPr>
              <w:ind w:left="40"/>
              <w:spacing w:after="0" w:line="108" w:lineRule="exact"/>
              <w:rPr>
                <w:sz w:val="20"/>
                <w:szCs w:val="20"/>
                <w:color w:val="auto"/>
              </w:rPr>
            </w:pPr>
            <w:r>
              <w:rPr>
                <w:rFonts w:ascii="Arial" w:cs="Arial" w:eastAsia="Arial" w:hAnsi="Arial"/>
                <w:sz w:val="10"/>
                <w:szCs w:val="10"/>
                <w:color w:val="auto"/>
                <w:w w:val="87"/>
              </w:rPr>
              <w:t>change and energy transition (for example see “Future Refinery Portfolio" below), the AC deemed the resulting</w:t>
            </w: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4340" w:type="dxa"/>
            <w:vAlign w:val="bottom"/>
          </w:tcPr>
          <w:p>
            <w:pPr>
              <w:spacing w:after="0"/>
              <w:rPr>
                <w:sz w:val="9"/>
                <w:szCs w:val="9"/>
                <w:color w:val="auto"/>
              </w:rPr>
            </w:pPr>
          </w:p>
        </w:tc>
        <w:tc>
          <w:tcPr>
            <w:tcW w:w="4360" w:type="dxa"/>
            <w:vAlign w:val="bottom"/>
          </w:tcPr>
          <w:p>
            <w:pPr>
              <w:ind w:left="40"/>
              <w:spacing w:after="0" w:line="108" w:lineRule="exact"/>
              <w:rPr>
                <w:sz w:val="20"/>
                <w:szCs w:val="20"/>
                <w:color w:val="auto"/>
              </w:rPr>
            </w:pPr>
            <w:r>
              <w:rPr>
                <w:rFonts w:ascii="Arial" w:cs="Arial" w:eastAsia="Arial" w:hAnsi="Arial"/>
                <w:sz w:val="10"/>
                <w:szCs w:val="10"/>
                <w:color w:val="auto"/>
                <w:w w:val="92"/>
              </w:rPr>
              <w:t>assessments of uncertain tax exposures and the recognition of deferred tax assets and tax liabilities to be</w:t>
            </w:r>
          </w:p>
        </w:tc>
        <w:tc>
          <w:tcPr>
            <w:tcW w:w="0" w:type="dxa"/>
            <w:vAlign w:val="bottom"/>
          </w:tcPr>
          <w:p>
            <w:pPr>
              <w:spacing w:after="0"/>
              <w:rPr>
                <w:sz w:val="1"/>
                <w:szCs w:val="1"/>
                <w:color w:val="auto"/>
              </w:rPr>
            </w:pPr>
          </w:p>
        </w:tc>
      </w:tr>
      <w:tr>
        <w:trPr>
          <w:trHeight w:val="130"/>
        </w:trPr>
        <w:tc>
          <w:tcPr>
            <w:tcW w:w="2600" w:type="dxa"/>
            <w:vAlign w:val="bottom"/>
            <w:tcBorders>
              <w:bottom w:val="single" w:sz="8" w:color="auto"/>
            </w:tcBorders>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reasonable.</w:t>
            </w:r>
          </w:p>
        </w:tc>
        <w:tc>
          <w:tcPr>
            <w:tcW w:w="0" w:type="dxa"/>
            <w:vAlign w:val="bottom"/>
          </w:tcPr>
          <w:p>
            <w:pPr>
              <w:spacing w:after="0"/>
              <w:rPr>
                <w:sz w:val="1"/>
                <w:szCs w:val="1"/>
                <w:color w:val="auto"/>
              </w:rPr>
            </w:pPr>
          </w:p>
        </w:tc>
      </w:tr>
      <w:tr>
        <w:trPr>
          <w:trHeight w:val="96"/>
        </w:trPr>
        <w:tc>
          <w:tcPr>
            <w:tcW w:w="2600" w:type="dxa"/>
            <w:vAlign w:val="bottom"/>
          </w:tcPr>
          <w:p>
            <w:pPr>
              <w:spacing w:after="0" w:line="97" w:lineRule="exact"/>
              <w:rPr>
                <w:sz w:val="20"/>
                <w:szCs w:val="20"/>
                <w:color w:val="auto"/>
              </w:rPr>
            </w:pPr>
            <w:r>
              <w:rPr>
                <w:rFonts w:ascii="Arial" w:cs="Arial" w:eastAsia="Arial" w:hAnsi="Arial"/>
                <w:sz w:val="10"/>
                <w:szCs w:val="10"/>
                <w:color w:val="auto"/>
              </w:rPr>
              <w:t>DISCOUNT RATE FOR PROVISIONS</w:t>
            </w:r>
          </w:p>
        </w:tc>
        <w:tc>
          <w:tcPr>
            <w:tcW w:w="4340" w:type="dxa"/>
            <w:vAlign w:val="bottom"/>
          </w:tcPr>
          <w:p>
            <w:pPr>
              <w:ind w:left="60"/>
              <w:spacing w:after="0" w:line="97" w:lineRule="exact"/>
              <w:rPr>
                <w:sz w:val="20"/>
                <w:szCs w:val="20"/>
                <w:color w:val="auto"/>
              </w:rPr>
            </w:pPr>
            <w:r>
              <w:rPr>
                <w:rFonts w:ascii="Arial" w:cs="Arial" w:eastAsia="Arial" w:hAnsi="Arial"/>
                <w:sz w:val="10"/>
                <w:szCs w:val="10"/>
                <w:color w:val="auto"/>
                <w:w w:val="87"/>
              </w:rPr>
              <w:t>A review was carried out to consider the discount rate applied for provisions due to a lower rate for 30-year US</w:t>
            </w:r>
          </w:p>
        </w:tc>
        <w:tc>
          <w:tcPr>
            <w:tcW w:w="4360" w:type="dxa"/>
            <w:vAlign w:val="bottom"/>
          </w:tcPr>
          <w:p>
            <w:pPr>
              <w:ind w:left="40"/>
              <w:spacing w:after="0" w:line="97" w:lineRule="exact"/>
              <w:rPr>
                <w:sz w:val="20"/>
                <w:szCs w:val="20"/>
                <w:color w:val="auto"/>
              </w:rPr>
            </w:pPr>
            <w:r>
              <w:rPr>
                <w:rFonts w:ascii="Arial" w:cs="Arial" w:eastAsia="Arial" w:hAnsi="Arial"/>
                <w:sz w:val="10"/>
                <w:szCs w:val="10"/>
                <w:color w:val="auto"/>
                <w:w w:val="97"/>
              </w:rPr>
              <w:t>The AC reviewed the impact of this change on provisions and in particular considered the impact on</w:t>
            </w:r>
          </w:p>
        </w:tc>
        <w:tc>
          <w:tcPr>
            <w:tcW w:w="0" w:type="dxa"/>
            <w:vAlign w:val="bottom"/>
          </w:tcPr>
          <w:p>
            <w:pPr>
              <w:spacing w:after="0"/>
              <w:rPr>
                <w:sz w:val="1"/>
                <w:szCs w:val="1"/>
                <w:color w:val="auto"/>
              </w:rPr>
            </w:pPr>
          </w:p>
        </w:tc>
      </w:tr>
      <w:tr>
        <w:trPr>
          <w:trHeight w:val="54"/>
        </w:trPr>
        <w:tc>
          <w:tcPr>
            <w:tcW w:w="2600" w:type="dxa"/>
            <w:vAlign w:val="bottom"/>
          </w:tcPr>
          <w:p>
            <w:pPr>
              <w:spacing w:after="0" w:line="54" w:lineRule="exact"/>
              <w:rPr>
                <w:sz w:val="20"/>
                <w:szCs w:val="20"/>
                <w:color w:val="auto"/>
              </w:rPr>
            </w:pPr>
            <w:r>
              <w:rPr>
                <w:rFonts w:ascii="Arial" w:cs="Arial" w:eastAsia="Arial" w:hAnsi="Arial"/>
                <w:sz w:val="6"/>
                <w:szCs w:val="6"/>
                <w:color w:val="auto"/>
              </w:rPr>
              <w:t>See Notes 2 and 18 to the “Consolidated Financial Statements” on</w:t>
            </w:r>
          </w:p>
        </w:tc>
        <w:tc>
          <w:tcPr>
            <w:tcW w:w="4340" w:type="dxa"/>
            <w:vAlign w:val="bottom"/>
            <w:vMerge w:val="restart"/>
          </w:tcPr>
          <w:p>
            <w:pPr>
              <w:ind w:left="60"/>
              <w:spacing w:after="0"/>
              <w:rPr>
                <w:sz w:val="20"/>
                <w:szCs w:val="20"/>
                <w:color w:val="auto"/>
              </w:rPr>
            </w:pPr>
            <w:r>
              <w:rPr>
                <w:rFonts w:ascii="Arial" w:cs="Arial" w:eastAsia="Arial" w:hAnsi="Arial"/>
                <w:sz w:val="10"/>
                <w:szCs w:val="10"/>
                <w:color w:val="auto"/>
                <w:w w:val="88"/>
              </w:rPr>
              <w:t>Treasury bonds. Due to the significant drop in the rate, management lowered the discount rate for provisions</w:t>
            </w:r>
          </w:p>
        </w:tc>
        <w:tc>
          <w:tcPr>
            <w:tcW w:w="4360" w:type="dxa"/>
            <w:vAlign w:val="bottom"/>
            <w:vMerge w:val="restart"/>
          </w:tcPr>
          <w:p>
            <w:pPr>
              <w:ind w:left="40"/>
              <w:spacing w:after="0"/>
              <w:rPr>
                <w:sz w:val="20"/>
                <w:szCs w:val="20"/>
                <w:color w:val="auto"/>
              </w:rPr>
            </w:pPr>
            <w:r>
              <w:rPr>
                <w:rFonts w:ascii="Arial" w:cs="Arial" w:eastAsia="Arial" w:hAnsi="Arial"/>
                <w:sz w:val="10"/>
                <w:szCs w:val="10"/>
                <w:color w:val="auto"/>
              </w:rPr>
              <w:t>decommissioning and restoration provisions and corresponding assets.</w:t>
            </w:r>
          </w:p>
        </w:tc>
        <w:tc>
          <w:tcPr>
            <w:tcW w:w="0" w:type="dxa"/>
            <w:vAlign w:val="bottom"/>
          </w:tcPr>
          <w:p>
            <w:pPr>
              <w:spacing w:after="0"/>
              <w:rPr>
                <w:sz w:val="1"/>
                <w:szCs w:val="1"/>
                <w:color w:val="auto"/>
              </w:rPr>
            </w:pPr>
          </w:p>
        </w:tc>
      </w:tr>
      <w:tr>
        <w:trPr>
          <w:trHeight w:val="72"/>
        </w:trPr>
        <w:tc>
          <w:tcPr>
            <w:tcW w:w="2600" w:type="dxa"/>
            <w:vAlign w:val="bottom"/>
          </w:tcPr>
          <w:p>
            <w:pPr>
              <w:spacing w:after="0" w:line="72" w:lineRule="exact"/>
              <w:rPr>
                <w:sz w:val="20"/>
                <w:szCs w:val="20"/>
                <w:color w:val="auto"/>
              </w:rPr>
            </w:pPr>
            <w:r>
              <w:rPr>
                <w:rFonts w:ascii="Arial" w:cs="Arial" w:eastAsia="Arial" w:hAnsi="Arial"/>
                <w:sz w:val="8"/>
                <w:szCs w:val="8"/>
                <w:color w:val="auto"/>
              </w:rPr>
              <w:t>pages 169 - 176 and 197</w:t>
            </w:r>
          </w:p>
        </w:tc>
        <w:tc>
          <w:tcPr>
            <w:tcW w:w="4340" w:type="dxa"/>
            <w:vAlign w:val="bottom"/>
            <w:vMerge w:val="continue"/>
          </w:tcPr>
          <w:p>
            <w:pPr>
              <w:spacing w:after="0"/>
              <w:rPr>
                <w:sz w:val="6"/>
                <w:szCs w:val="6"/>
                <w:color w:val="auto"/>
              </w:rPr>
            </w:pPr>
          </w:p>
        </w:tc>
        <w:tc>
          <w:tcPr>
            <w:tcW w:w="4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00" w:type="dxa"/>
            <w:vAlign w:val="bottom"/>
            <w:tcBorders>
              <w:bottom w:val="single" w:sz="8" w:color="auto"/>
            </w:tcBorders>
          </w:tcPr>
          <w:p>
            <w:pPr>
              <w:spacing w:after="0"/>
              <w:rPr>
                <w:sz w:val="11"/>
                <w:szCs w:val="11"/>
                <w:color w:val="auto"/>
              </w:rPr>
            </w:pPr>
          </w:p>
        </w:tc>
        <w:tc>
          <w:tcPr>
            <w:tcW w:w="43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from 3% to 1.75% in Q2 2020.</w:t>
            </w:r>
          </w:p>
        </w:tc>
        <w:tc>
          <w:tcPr>
            <w:tcW w:w="4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600" w:type="dxa"/>
            <w:vAlign w:val="bottom"/>
          </w:tcPr>
          <w:p>
            <w:pPr>
              <w:spacing w:after="0" w:line="95" w:lineRule="exact"/>
              <w:rPr>
                <w:sz w:val="20"/>
                <w:szCs w:val="20"/>
                <w:color w:val="auto"/>
              </w:rPr>
            </w:pPr>
            <w:r>
              <w:rPr>
                <w:rFonts w:ascii="Arial" w:cs="Arial" w:eastAsia="Arial" w:hAnsi="Arial"/>
                <w:sz w:val="10"/>
                <w:szCs w:val="10"/>
                <w:color w:val="auto"/>
              </w:rPr>
              <w:t>COVID-19 AND MACRO-ENVIRONMENT</w:t>
            </w:r>
          </w:p>
        </w:tc>
        <w:tc>
          <w:tcPr>
            <w:tcW w:w="4340" w:type="dxa"/>
            <w:vAlign w:val="bottom"/>
          </w:tcPr>
          <w:p>
            <w:pPr>
              <w:ind w:left="60"/>
              <w:spacing w:after="0" w:line="95" w:lineRule="exact"/>
              <w:rPr>
                <w:sz w:val="20"/>
                <w:szCs w:val="20"/>
                <w:color w:val="auto"/>
              </w:rPr>
            </w:pPr>
            <w:r>
              <w:rPr>
                <w:rFonts w:ascii="Arial" w:cs="Arial" w:eastAsia="Arial" w:hAnsi="Arial"/>
                <w:sz w:val="10"/>
                <w:szCs w:val="10"/>
                <w:color w:val="auto"/>
                <w:w w:val="94"/>
              </w:rPr>
              <w:t>As a result of COVID-19 and the macro-environment uncertainty and volatility, a number of accounting</w:t>
            </w:r>
          </w:p>
        </w:tc>
        <w:tc>
          <w:tcPr>
            <w:tcW w:w="4360" w:type="dxa"/>
            <w:vAlign w:val="bottom"/>
          </w:tcPr>
          <w:p>
            <w:pPr>
              <w:ind w:left="40"/>
              <w:spacing w:after="0" w:line="95" w:lineRule="exact"/>
              <w:rPr>
                <w:sz w:val="20"/>
                <w:szCs w:val="20"/>
                <w:color w:val="auto"/>
              </w:rPr>
            </w:pPr>
            <w:r>
              <w:rPr>
                <w:rFonts w:ascii="Arial" w:cs="Arial" w:eastAsia="Arial" w:hAnsi="Arial"/>
                <w:sz w:val="10"/>
                <w:szCs w:val="10"/>
                <w:color w:val="auto"/>
                <w:w w:val="95"/>
              </w:rPr>
              <w:t>The AC discussed and challenged the accounting implications associated with the macro-environment</w:t>
            </w:r>
          </w:p>
        </w:tc>
        <w:tc>
          <w:tcPr>
            <w:tcW w:w="0" w:type="dxa"/>
            <w:vAlign w:val="bottom"/>
          </w:tcPr>
          <w:p>
            <w:pPr>
              <w:spacing w:after="0"/>
              <w:rPr>
                <w:sz w:val="1"/>
                <w:szCs w:val="1"/>
                <w:color w:val="auto"/>
              </w:rPr>
            </w:pPr>
          </w:p>
        </w:tc>
      </w:tr>
      <w:tr>
        <w:trPr>
          <w:trHeight w:val="72"/>
        </w:trPr>
        <w:tc>
          <w:tcPr>
            <w:tcW w:w="2600" w:type="dxa"/>
            <w:vAlign w:val="bottom"/>
          </w:tcPr>
          <w:p>
            <w:pPr>
              <w:spacing w:after="0" w:line="72" w:lineRule="exact"/>
              <w:rPr>
                <w:sz w:val="20"/>
                <w:szCs w:val="20"/>
                <w:color w:val="auto"/>
              </w:rPr>
            </w:pPr>
            <w:r>
              <w:rPr>
                <w:rFonts w:ascii="Arial" w:cs="Arial" w:eastAsia="Arial" w:hAnsi="Arial"/>
                <w:sz w:val="8"/>
                <w:szCs w:val="8"/>
                <w:color w:val="auto"/>
              </w:rPr>
              <w:t>See Notes 2, 7, 8, 9, 12, 17 and 18 to the “Consolidated Financial</w:t>
            </w:r>
          </w:p>
        </w:tc>
        <w:tc>
          <w:tcPr>
            <w:tcW w:w="4340" w:type="dxa"/>
            <w:vAlign w:val="bottom"/>
          </w:tcPr>
          <w:p>
            <w:pPr>
              <w:ind w:left="60"/>
              <w:spacing w:after="0" w:line="72" w:lineRule="exact"/>
              <w:rPr>
                <w:sz w:val="20"/>
                <w:szCs w:val="20"/>
                <w:color w:val="auto"/>
              </w:rPr>
            </w:pPr>
            <w:r>
              <w:rPr>
                <w:rFonts w:ascii="Arial" w:cs="Arial" w:eastAsia="Arial" w:hAnsi="Arial"/>
                <w:sz w:val="8"/>
                <w:szCs w:val="8"/>
                <w:color w:val="auto"/>
              </w:rPr>
              <w:t>implications were discussed with the AC throughout 2020, including:</w:t>
            </w:r>
          </w:p>
        </w:tc>
        <w:tc>
          <w:tcPr>
            <w:tcW w:w="4360" w:type="dxa"/>
            <w:vAlign w:val="bottom"/>
            <w:vMerge w:val="restart"/>
          </w:tcPr>
          <w:p>
            <w:pPr>
              <w:ind w:left="40"/>
              <w:spacing w:after="0"/>
              <w:rPr>
                <w:sz w:val="20"/>
                <w:szCs w:val="20"/>
                <w:color w:val="auto"/>
              </w:rPr>
            </w:pPr>
            <w:r>
              <w:rPr>
                <w:rFonts w:ascii="Arial" w:cs="Arial" w:eastAsia="Arial" w:hAnsi="Arial"/>
                <w:sz w:val="10"/>
                <w:szCs w:val="10"/>
                <w:color w:val="auto"/>
              </w:rPr>
              <w:t>conditions as they evolved throughout 2020.</w:t>
            </w:r>
          </w:p>
        </w:tc>
        <w:tc>
          <w:tcPr>
            <w:tcW w:w="0" w:type="dxa"/>
            <w:vAlign w:val="bottom"/>
          </w:tcPr>
          <w:p>
            <w:pPr>
              <w:spacing w:after="0"/>
              <w:rPr>
                <w:sz w:val="1"/>
                <w:szCs w:val="1"/>
                <w:color w:val="auto"/>
              </w:rPr>
            </w:pPr>
          </w:p>
        </w:tc>
      </w:tr>
      <w:tr>
        <w:trPr>
          <w:trHeight w:val="81"/>
        </w:trPr>
        <w:tc>
          <w:tcPr>
            <w:tcW w:w="2600" w:type="dxa"/>
            <w:vAlign w:val="bottom"/>
          </w:tcPr>
          <w:p>
            <w:pPr>
              <w:spacing w:after="0" w:line="81" w:lineRule="exact"/>
              <w:rPr>
                <w:sz w:val="20"/>
                <w:szCs w:val="20"/>
                <w:color w:val="auto"/>
              </w:rPr>
            </w:pPr>
            <w:r>
              <w:rPr>
                <w:rFonts w:ascii="Arial" w:cs="Arial" w:eastAsia="Arial" w:hAnsi="Arial"/>
                <w:sz w:val="8"/>
                <w:szCs w:val="8"/>
                <w:color w:val="auto"/>
              </w:rPr>
              <w:t>Statements” on pages 169 - 176; 181 - 186; 187; and 193 - 197</w:t>
            </w:r>
          </w:p>
        </w:tc>
        <w:tc>
          <w:tcPr>
            <w:tcW w:w="4340" w:type="dxa"/>
            <w:vAlign w:val="bottom"/>
          </w:tcPr>
          <w:p>
            <w:pPr>
              <w:ind w:left="60"/>
              <w:spacing w:after="0" w:line="81" w:lineRule="exact"/>
              <w:rPr>
                <w:sz w:val="20"/>
                <w:szCs w:val="20"/>
                <w:color w:val="auto"/>
              </w:rPr>
            </w:pPr>
            <w:r>
              <w:rPr>
                <w:rFonts w:ascii="Arial" w:cs="Arial" w:eastAsia="Arial" w:hAnsi="Arial"/>
                <w:sz w:val="8"/>
                <w:szCs w:val="8"/>
                <w:color w:val="auto"/>
              </w:rPr>
              <w:t>impairments and discount rate for provisions (see above);</w:t>
            </w: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4340" w:type="dxa"/>
            <w:vAlign w:val="bottom"/>
          </w:tcPr>
          <w:p>
            <w:pPr>
              <w:ind w:left="60"/>
              <w:spacing w:after="0" w:line="81" w:lineRule="exact"/>
              <w:rPr>
                <w:sz w:val="20"/>
                <w:szCs w:val="20"/>
                <w:color w:val="auto"/>
              </w:rPr>
            </w:pPr>
            <w:r>
              <w:rPr>
                <w:rFonts w:ascii="Arial" w:cs="Arial" w:eastAsia="Arial" w:hAnsi="Arial"/>
                <w:sz w:val="8"/>
                <w:szCs w:val="8"/>
                <w:color w:val="auto"/>
              </w:rPr>
              <w:t>expected credit loss – in particular, the credit risk exposures in Oil Products, Chemicals and Trading;</w:t>
            </w:r>
          </w:p>
        </w:tc>
        <w:tc>
          <w:tcPr>
            <w:tcW w:w="4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4340" w:type="dxa"/>
            <w:vAlign w:val="bottom"/>
          </w:tcPr>
          <w:p>
            <w:pPr>
              <w:ind w:left="60"/>
              <w:spacing w:after="0" w:line="81" w:lineRule="exact"/>
              <w:rPr>
                <w:sz w:val="20"/>
                <w:szCs w:val="20"/>
                <w:color w:val="auto"/>
              </w:rPr>
            </w:pPr>
            <w:r>
              <w:rPr>
                <w:rFonts w:ascii="Arial" w:cs="Arial" w:eastAsia="Arial" w:hAnsi="Arial"/>
                <w:sz w:val="8"/>
                <w:szCs w:val="8"/>
                <w:color w:val="auto"/>
              </w:rPr>
              <w:t>pension remeasurement – defined benefit pension plan obligations and assets are remeasured quarterly, with</w:t>
            </w:r>
          </w:p>
        </w:tc>
        <w:tc>
          <w:tcPr>
            <w:tcW w:w="4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4340" w:type="dxa"/>
            <w:vAlign w:val="bottom"/>
          </w:tcPr>
          <w:p>
            <w:pPr>
              <w:ind w:left="60"/>
              <w:spacing w:after="0" w:line="81" w:lineRule="exact"/>
              <w:rPr>
                <w:sz w:val="20"/>
                <w:szCs w:val="20"/>
                <w:color w:val="auto"/>
              </w:rPr>
            </w:pPr>
            <w:r>
              <w:rPr>
                <w:rFonts w:ascii="Arial" w:cs="Arial" w:eastAsia="Arial" w:hAnsi="Arial"/>
                <w:sz w:val="8"/>
                <w:szCs w:val="8"/>
                <w:color w:val="auto"/>
              </w:rPr>
              <w:t>significant movements in 2020 due to volatility in discount rates, inflation rates and financial markets; and</w:t>
            </w:r>
          </w:p>
        </w:tc>
        <w:tc>
          <w:tcPr>
            <w:tcW w:w="4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600" w:type="dxa"/>
            <w:vAlign w:val="bottom"/>
          </w:tcPr>
          <w:p>
            <w:pPr>
              <w:spacing w:after="0"/>
              <w:rPr>
                <w:sz w:val="9"/>
                <w:szCs w:val="9"/>
                <w:color w:val="auto"/>
              </w:rPr>
            </w:pPr>
          </w:p>
        </w:tc>
        <w:tc>
          <w:tcPr>
            <w:tcW w:w="4340" w:type="dxa"/>
            <w:vAlign w:val="bottom"/>
          </w:tcPr>
          <w:p>
            <w:pPr>
              <w:ind w:left="60"/>
              <w:spacing w:after="0" w:line="105" w:lineRule="exact"/>
              <w:rPr>
                <w:sz w:val="20"/>
                <w:szCs w:val="20"/>
                <w:color w:val="auto"/>
              </w:rPr>
            </w:pPr>
            <w:r>
              <w:rPr>
                <w:rFonts w:ascii="Arial" w:cs="Arial" w:eastAsia="Arial" w:hAnsi="Arial"/>
                <w:sz w:val="10"/>
                <w:szCs w:val="10"/>
                <w:color w:val="auto"/>
                <w:w w:val="92"/>
              </w:rPr>
              <w:t>inventory write-down – due to the significant decline in prices in March and April 2020, there was a write-</w:t>
            </w:r>
          </w:p>
        </w:tc>
        <w:tc>
          <w:tcPr>
            <w:tcW w:w="4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600" w:type="dxa"/>
            <w:vAlign w:val="bottom"/>
            <w:tcBorders>
              <w:bottom w:val="single" w:sz="8" w:color="auto"/>
            </w:tcBorders>
          </w:tcPr>
          <w:p>
            <w:pPr>
              <w:spacing w:after="0"/>
              <w:rPr>
                <w:sz w:val="11"/>
                <w:szCs w:val="11"/>
                <w:color w:val="auto"/>
              </w:rPr>
            </w:pPr>
          </w:p>
        </w:tc>
        <w:tc>
          <w:tcPr>
            <w:tcW w:w="43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down of some of the Shell Group’s inventory to net realisable value.</w:t>
            </w:r>
          </w:p>
        </w:tc>
        <w:tc>
          <w:tcPr>
            <w:tcW w:w="4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00" w:type="dxa"/>
            <w:vAlign w:val="bottom"/>
          </w:tcPr>
          <w:p>
            <w:pPr>
              <w:spacing w:after="0" w:line="97" w:lineRule="exact"/>
              <w:rPr>
                <w:sz w:val="20"/>
                <w:szCs w:val="20"/>
                <w:color w:val="auto"/>
              </w:rPr>
            </w:pPr>
            <w:r>
              <w:rPr>
                <w:rFonts w:ascii="Arial" w:cs="Arial" w:eastAsia="Arial" w:hAnsi="Arial"/>
                <w:sz w:val="10"/>
                <w:szCs w:val="10"/>
                <w:color w:val="auto"/>
              </w:rPr>
              <w:t>FUTURE REFINERY PORTFOLIO</w:t>
            </w:r>
          </w:p>
        </w:tc>
        <w:tc>
          <w:tcPr>
            <w:tcW w:w="8700" w:type="dxa"/>
            <w:vAlign w:val="bottom"/>
            <w:gridSpan w:val="2"/>
          </w:tcPr>
          <w:p>
            <w:pPr>
              <w:ind w:left="60"/>
              <w:spacing w:after="0" w:line="97" w:lineRule="exact"/>
              <w:rPr>
                <w:sz w:val="20"/>
                <w:szCs w:val="20"/>
                <w:color w:val="auto"/>
              </w:rPr>
            </w:pPr>
            <w:r>
              <w:rPr>
                <w:rFonts w:ascii="Arial" w:cs="Arial" w:eastAsia="Arial" w:hAnsi="Arial"/>
                <w:sz w:val="10"/>
                <w:szCs w:val="10"/>
                <w:color w:val="auto"/>
                <w:w w:val="89"/>
              </w:rPr>
              <w:t>Following Shell’s announcement in Q3 2020, the Company intends to transform its refining portfolio during the The AC discussed the accounting implications of these decisions and the recognition of: (i) decommissioning</w:t>
            </w:r>
          </w:p>
        </w:tc>
        <w:tc>
          <w:tcPr>
            <w:tcW w:w="0" w:type="dxa"/>
            <w:vAlign w:val="bottom"/>
          </w:tcPr>
          <w:p>
            <w:pPr>
              <w:spacing w:after="0"/>
              <w:rPr>
                <w:sz w:val="1"/>
                <w:szCs w:val="1"/>
                <w:color w:val="auto"/>
              </w:rPr>
            </w:pPr>
          </w:p>
        </w:tc>
      </w:tr>
      <w:tr>
        <w:trPr>
          <w:trHeight w:val="108"/>
        </w:trPr>
        <w:tc>
          <w:tcPr>
            <w:tcW w:w="2600" w:type="dxa"/>
            <w:vAlign w:val="bottom"/>
          </w:tcPr>
          <w:p>
            <w:pPr>
              <w:spacing w:after="0" w:line="108" w:lineRule="exact"/>
              <w:rPr>
                <w:sz w:val="20"/>
                <w:szCs w:val="20"/>
                <w:color w:val="auto"/>
              </w:rPr>
            </w:pPr>
            <w:r>
              <w:rPr>
                <w:rFonts w:ascii="Arial" w:cs="Arial" w:eastAsia="Arial" w:hAnsi="Arial"/>
                <w:sz w:val="10"/>
                <w:szCs w:val="10"/>
                <w:color w:val="auto"/>
                <w:w w:val="87"/>
              </w:rPr>
              <w:t>See Notes 2 and 18 to the “Consolidated Financial Statements” on</w:t>
            </w:r>
          </w:p>
        </w:tc>
        <w:tc>
          <w:tcPr>
            <w:tcW w:w="4340" w:type="dxa"/>
            <w:vAlign w:val="bottom"/>
          </w:tcPr>
          <w:p>
            <w:pPr>
              <w:ind w:left="60"/>
              <w:spacing w:after="0" w:line="108" w:lineRule="exact"/>
              <w:rPr>
                <w:sz w:val="20"/>
                <w:szCs w:val="20"/>
                <w:color w:val="auto"/>
              </w:rPr>
            </w:pPr>
            <w:r>
              <w:rPr>
                <w:rFonts w:ascii="Arial" w:cs="Arial" w:eastAsia="Arial" w:hAnsi="Arial"/>
                <w:sz w:val="10"/>
                <w:szCs w:val="10"/>
                <w:color w:val="auto"/>
                <w:w w:val="91"/>
              </w:rPr>
              <w:t>energy transition from 14 sites into six high-value energy and chemicals parks integrated with Chemicals.</w:t>
            </w:r>
          </w:p>
        </w:tc>
        <w:tc>
          <w:tcPr>
            <w:tcW w:w="4360" w:type="dxa"/>
            <w:vAlign w:val="bottom"/>
          </w:tcPr>
          <w:p>
            <w:pPr>
              <w:ind w:left="40"/>
              <w:spacing w:after="0" w:line="108" w:lineRule="exact"/>
              <w:rPr>
                <w:sz w:val="20"/>
                <w:szCs w:val="20"/>
                <w:color w:val="auto"/>
              </w:rPr>
            </w:pPr>
            <w:r>
              <w:rPr>
                <w:rFonts w:ascii="Arial" w:cs="Arial" w:eastAsia="Arial" w:hAnsi="Arial"/>
                <w:sz w:val="10"/>
                <w:szCs w:val="10"/>
                <w:color w:val="auto"/>
                <w:w w:val="91"/>
              </w:rPr>
              <w:t>and restoration provisions; (ii) restructuring provisions; (iii) onerous contract provisions; and (iv) impairment</w:t>
            </w:r>
          </w:p>
        </w:tc>
        <w:tc>
          <w:tcPr>
            <w:tcW w:w="0" w:type="dxa"/>
            <w:vAlign w:val="bottom"/>
          </w:tcPr>
          <w:p>
            <w:pPr>
              <w:spacing w:after="0"/>
              <w:rPr>
                <w:sz w:val="1"/>
                <w:szCs w:val="1"/>
                <w:color w:val="auto"/>
              </w:rPr>
            </w:pPr>
          </w:p>
        </w:tc>
      </w:tr>
      <w:tr>
        <w:trPr>
          <w:trHeight w:val="108"/>
        </w:trPr>
        <w:tc>
          <w:tcPr>
            <w:tcW w:w="2600" w:type="dxa"/>
            <w:vAlign w:val="bottom"/>
          </w:tcPr>
          <w:p>
            <w:pPr>
              <w:spacing w:after="0" w:line="108" w:lineRule="exact"/>
              <w:rPr>
                <w:sz w:val="20"/>
                <w:szCs w:val="20"/>
                <w:color w:val="auto"/>
              </w:rPr>
            </w:pPr>
            <w:r>
              <w:rPr>
                <w:rFonts w:ascii="Arial" w:cs="Arial" w:eastAsia="Arial" w:hAnsi="Arial"/>
                <w:sz w:val="10"/>
                <w:szCs w:val="10"/>
                <w:color w:val="auto"/>
              </w:rPr>
              <w:t>pages 169 - 176 and 197</w:t>
            </w:r>
          </w:p>
        </w:tc>
        <w:tc>
          <w:tcPr>
            <w:tcW w:w="4340" w:type="dxa"/>
            <w:vAlign w:val="bottom"/>
          </w:tcPr>
          <w:p>
            <w:pPr>
              <w:ind w:left="60"/>
              <w:spacing w:after="0" w:line="108" w:lineRule="exact"/>
              <w:rPr>
                <w:sz w:val="20"/>
                <w:szCs w:val="20"/>
                <w:color w:val="auto"/>
              </w:rPr>
            </w:pPr>
            <w:r>
              <w:rPr>
                <w:rFonts w:ascii="Arial" w:cs="Arial" w:eastAsia="Arial" w:hAnsi="Arial"/>
                <w:sz w:val="10"/>
                <w:szCs w:val="10"/>
                <w:color w:val="auto"/>
                <w:w w:val="90"/>
              </w:rPr>
              <w:t>Evaluations and decisions are expected to follow on assets that could result in the recognition of significant</w:t>
            </w:r>
          </w:p>
        </w:tc>
        <w:tc>
          <w:tcPr>
            <w:tcW w:w="4360" w:type="dxa"/>
            <w:vAlign w:val="bottom"/>
          </w:tcPr>
          <w:p>
            <w:pPr>
              <w:ind w:left="40"/>
              <w:spacing w:after="0" w:line="108" w:lineRule="exact"/>
              <w:rPr>
                <w:sz w:val="20"/>
                <w:szCs w:val="20"/>
                <w:color w:val="auto"/>
              </w:rPr>
            </w:pPr>
            <w:r>
              <w:rPr>
                <w:rFonts w:ascii="Arial" w:cs="Arial" w:eastAsia="Arial" w:hAnsi="Arial"/>
                <w:sz w:val="10"/>
                <w:szCs w:val="10"/>
                <w:color w:val="auto"/>
              </w:rPr>
              <w:t>considerations.</w:t>
            </w:r>
          </w:p>
        </w:tc>
        <w:tc>
          <w:tcPr>
            <w:tcW w:w="0" w:type="dxa"/>
            <w:vAlign w:val="bottom"/>
          </w:tcPr>
          <w:p>
            <w:pPr>
              <w:spacing w:after="0"/>
              <w:rPr>
                <w:sz w:val="1"/>
                <w:szCs w:val="1"/>
                <w:color w:val="auto"/>
              </w:rPr>
            </w:pPr>
          </w:p>
        </w:tc>
      </w:tr>
      <w:tr>
        <w:trPr>
          <w:trHeight w:val="117"/>
        </w:trPr>
        <w:tc>
          <w:tcPr>
            <w:tcW w:w="260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provisions and charges to earnings.</w:t>
            </w:r>
          </w:p>
        </w:tc>
        <w:tc>
          <w:tcPr>
            <w:tcW w:w="4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600" w:type="dxa"/>
            <w:vAlign w:val="bottom"/>
          </w:tcPr>
          <w:p>
            <w:pPr>
              <w:spacing w:after="0" w:line="88" w:lineRule="exact"/>
              <w:rPr>
                <w:sz w:val="20"/>
                <w:szCs w:val="20"/>
                <w:color w:val="auto"/>
              </w:rPr>
            </w:pPr>
            <w:r>
              <w:rPr>
                <w:rFonts w:ascii="Arial" w:cs="Arial" w:eastAsia="Arial" w:hAnsi="Arial"/>
                <w:sz w:val="10"/>
                <w:szCs w:val="10"/>
                <w:color w:val="auto"/>
              </w:rPr>
              <w:t>RESHAPE RESTRUCTURING PROVISIONS</w:t>
            </w:r>
          </w:p>
        </w:tc>
        <w:tc>
          <w:tcPr>
            <w:tcW w:w="4340" w:type="dxa"/>
            <w:vAlign w:val="bottom"/>
          </w:tcPr>
          <w:p>
            <w:pPr>
              <w:ind w:left="60"/>
              <w:spacing w:after="0" w:line="88" w:lineRule="exact"/>
              <w:rPr>
                <w:sz w:val="20"/>
                <w:szCs w:val="20"/>
                <w:color w:val="auto"/>
              </w:rPr>
            </w:pPr>
            <w:r>
              <w:rPr>
                <w:rFonts w:ascii="Arial" w:cs="Arial" w:eastAsia="Arial" w:hAnsi="Arial"/>
                <w:sz w:val="10"/>
                <w:szCs w:val="10"/>
                <w:color w:val="auto"/>
                <w:w w:val="90"/>
              </w:rPr>
              <w:t>During 2020 a comprehensive portfolio and organisational review called Reshape was announced which is</w:t>
            </w:r>
          </w:p>
        </w:tc>
        <w:tc>
          <w:tcPr>
            <w:tcW w:w="4360" w:type="dxa"/>
            <w:vAlign w:val="bottom"/>
          </w:tcPr>
          <w:p>
            <w:pPr>
              <w:ind w:left="40"/>
              <w:spacing w:after="0" w:line="88" w:lineRule="exact"/>
              <w:rPr>
                <w:sz w:val="20"/>
                <w:szCs w:val="20"/>
                <w:color w:val="auto"/>
              </w:rPr>
            </w:pPr>
            <w:r>
              <w:rPr>
                <w:rFonts w:ascii="Arial" w:cs="Arial" w:eastAsia="Arial" w:hAnsi="Arial"/>
                <w:sz w:val="10"/>
                <w:szCs w:val="10"/>
                <w:color w:val="auto"/>
                <w:w w:val="89"/>
              </w:rPr>
              <w:t>The AC considered the accounting implications and whether the criteria to recognise a restructuring provision</w:t>
            </w:r>
          </w:p>
        </w:tc>
        <w:tc>
          <w:tcPr>
            <w:tcW w:w="0" w:type="dxa"/>
            <w:vAlign w:val="bottom"/>
          </w:tcPr>
          <w:p>
            <w:pPr>
              <w:spacing w:after="0"/>
              <w:rPr>
                <w:sz w:val="1"/>
                <w:szCs w:val="1"/>
                <w:color w:val="auto"/>
              </w:rPr>
            </w:pPr>
          </w:p>
        </w:tc>
      </w:tr>
      <w:tr>
        <w:trPr>
          <w:trHeight w:val="108"/>
        </w:trPr>
        <w:tc>
          <w:tcPr>
            <w:tcW w:w="2600" w:type="dxa"/>
            <w:vAlign w:val="bottom"/>
          </w:tcPr>
          <w:p>
            <w:pPr>
              <w:spacing w:after="0" w:line="108" w:lineRule="exact"/>
              <w:rPr>
                <w:sz w:val="20"/>
                <w:szCs w:val="20"/>
                <w:color w:val="auto"/>
              </w:rPr>
            </w:pPr>
            <w:r>
              <w:rPr>
                <w:rFonts w:ascii="Arial" w:cs="Arial" w:eastAsia="Arial" w:hAnsi="Arial"/>
                <w:sz w:val="10"/>
                <w:szCs w:val="10"/>
                <w:color w:val="auto"/>
                <w:w w:val="87"/>
              </w:rPr>
              <w:t>See Notes 2 and 18 to the “Consolidated Financial Statements” on</w:t>
            </w:r>
          </w:p>
        </w:tc>
        <w:tc>
          <w:tcPr>
            <w:tcW w:w="4340" w:type="dxa"/>
            <w:vAlign w:val="bottom"/>
          </w:tcPr>
          <w:p>
            <w:pPr>
              <w:ind w:left="60"/>
              <w:spacing w:after="0" w:line="108" w:lineRule="exact"/>
              <w:rPr>
                <w:sz w:val="20"/>
                <w:szCs w:val="20"/>
                <w:color w:val="auto"/>
              </w:rPr>
            </w:pPr>
            <w:r>
              <w:rPr>
                <w:rFonts w:ascii="Arial" w:cs="Arial" w:eastAsia="Arial" w:hAnsi="Arial"/>
                <w:sz w:val="10"/>
                <w:szCs w:val="10"/>
                <w:color w:val="auto"/>
                <w:w w:val="88"/>
              </w:rPr>
              <w:t>expected to result in between 7,000-9,000 redundancies and related redundancy provisions and charges are</w:t>
            </w:r>
          </w:p>
        </w:tc>
        <w:tc>
          <w:tcPr>
            <w:tcW w:w="4360" w:type="dxa"/>
            <w:vAlign w:val="bottom"/>
          </w:tcPr>
          <w:p>
            <w:pPr>
              <w:ind w:left="40"/>
              <w:spacing w:after="0" w:line="108" w:lineRule="exact"/>
              <w:rPr>
                <w:sz w:val="20"/>
                <w:szCs w:val="20"/>
                <w:color w:val="auto"/>
              </w:rPr>
            </w:pPr>
            <w:r>
              <w:rPr>
                <w:rFonts w:ascii="Arial" w:cs="Arial" w:eastAsia="Arial" w:hAnsi="Arial"/>
                <w:sz w:val="10"/>
                <w:szCs w:val="10"/>
                <w:color w:val="auto"/>
                <w:w w:val="88"/>
              </w:rPr>
              <w:t>as per IAS 37.72 were fulfilled in 2020. The AC agreed with management that the criteria had not been met by</w:t>
            </w:r>
          </w:p>
        </w:tc>
        <w:tc>
          <w:tcPr>
            <w:tcW w:w="0" w:type="dxa"/>
            <w:vAlign w:val="bottom"/>
          </w:tcPr>
          <w:p>
            <w:pPr>
              <w:spacing w:after="0"/>
              <w:rPr>
                <w:sz w:val="1"/>
                <w:szCs w:val="1"/>
                <w:color w:val="auto"/>
              </w:rPr>
            </w:pPr>
          </w:p>
        </w:tc>
      </w:tr>
      <w:tr>
        <w:trPr>
          <w:trHeight w:val="123"/>
        </w:trPr>
        <w:tc>
          <w:tcPr>
            <w:tcW w:w="2600" w:type="dxa"/>
            <w:vAlign w:val="bottom"/>
          </w:tcPr>
          <w:p>
            <w:pPr>
              <w:spacing w:after="0"/>
              <w:rPr>
                <w:sz w:val="20"/>
                <w:szCs w:val="20"/>
                <w:color w:val="auto"/>
              </w:rPr>
            </w:pPr>
            <w:r>
              <w:rPr>
                <w:rFonts w:ascii="Arial" w:cs="Arial" w:eastAsia="Arial" w:hAnsi="Arial"/>
                <w:sz w:val="10"/>
                <w:szCs w:val="10"/>
                <w:color w:val="auto"/>
              </w:rPr>
              <w:t>pages 169 - 176 and 197</w:t>
            </w:r>
          </w:p>
        </w:tc>
        <w:tc>
          <w:tcPr>
            <w:tcW w:w="4340" w:type="dxa"/>
            <w:vAlign w:val="bottom"/>
          </w:tcPr>
          <w:p>
            <w:pPr>
              <w:ind w:left="60"/>
              <w:spacing w:after="0"/>
              <w:rPr>
                <w:sz w:val="20"/>
                <w:szCs w:val="20"/>
                <w:color w:val="auto"/>
              </w:rPr>
            </w:pPr>
            <w:r>
              <w:rPr>
                <w:rFonts w:ascii="Arial" w:cs="Arial" w:eastAsia="Arial" w:hAnsi="Arial"/>
                <w:sz w:val="10"/>
                <w:szCs w:val="10"/>
                <w:color w:val="auto"/>
              </w:rPr>
              <w:t>expected to be recognised in 2021.</w:t>
            </w:r>
          </w:p>
        </w:tc>
        <w:tc>
          <w:tcPr>
            <w:tcW w:w="4360" w:type="dxa"/>
            <w:vAlign w:val="bottom"/>
          </w:tcPr>
          <w:p>
            <w:pPr>
              <w:ind w:left="40"/>
              <w:spacing w:after="0"/>
              <w:rPr>
                <w:sz w:val="20"/>
                <w:szCs w:val="20"/>
                <w:color w:val="auto"/>
              </w:rPr>
            </w:pPr>
            <w:r>
              <w:rPr>
                <w:rFonts w:ascii="Arial" w:cs="Arial" w:eastAsia="Arial" w:hAnsi="Arial"/>
                <w:sz w:val="10"/>
                <w:szCs w:val="10"/>
                <w:color w:val="auto"/>
                <w:w w:val="88"/>
              </w:rPr>
              <w:t>December 31, 2020 and that it was appropriate that the majority of the restructuring provision be recognised in</w:t>
            </w:r>
          </w:p>
        </w:tc>
        <w:tc>
          <w:tcPr>
            <w:tcW w:w="0" w:type="dxa"/>
            <w:vAlign w:val="bottom"/>
          </w:tcPr>
          <w:p>
            <w:pPr>
              <w:spacing w:after="0"/>
              <w:rPr>
                <w:sz w:val="1"/>
                <w:szCs w:val="1"/>
                <w:color w:val="auto"/>
              </w:rPr>
            </w:pPr>
          </w:p>
        </w:tc>
      </w:tr>
      <w:tr>
        <w:trPr>
          <w:trHeight w:val="121"/>
        </w:trPr>
        <w:tc>
          <w:tcPr>
            <w:tcW w:w="26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4360" w:type="dxa"/>
            <w:vAlign w:val="bottom"/>
          </w:tcPr>
          <w:p>
            <w:pPr>
              <w:ind w:left="40"/>
              <w:spacing w:after="0"/>
              <w:rPr>
                <w:sz w:val="20"/>
                <w:szCs w:val="20"/>
                <w:color w:val="auto"/>
              </w:rPr>
            </w:pPr>
            <w:r>
              <w:rPr>
                <w:rFonts w:ascii="Arial" w:cs="Arial" w:eastAsia="Arial" w:hAnsi="Arial"/>
                <w:sz w:val="10"/>
                <w:szCs w:val="10"/>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SEGMENT REPORTING</w:t>
      </w:r>
    </w:p>
    <w:p>
      <w:pPr>
        <w:spacing w:after="0" w:line="212" w:lineRule="auto"/>
        <w:rPr>
          <w:sz w:val="20"/>
          <w:szCs w:val="20"/>
          <w:color w:val="auto"/>
        </w:rPr>
      </w:pPr>
      <w:r>
        <w:rPr>
          <w:rFonts w:ascii="Arial" w:cs="Arial" w:eastAsia="Arial" w:hAnsi="Arial"/>
          <w:sz w:val="10"/>
          <w:szCs w:val="10"/>
          <w:color w:val="auto"/>
        </w:rPr>
        <w:t>See Note 4 to the “Consolidated Financial Statements” on pages 177 - 180</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tabs>
          <w:tab w:leader="none" w:pos="4300" w:val="left"/>
        </w:tabs>
        <w:rPr>
          <w:sz w:val="20"/>
          <w:szCs w:val="20"/>
          <w:color w:val="auto"/>
        </w:rPr>
      </w:pPr>
      <w:r>
        <w:rPr>
          <w:rFonts w:ascii="Arial" w:cs="Arial" w:eastAsia="Arial" w:hAnsi="Arial"/>
          <w:sz w:val="10"/>
          <w:szCs w:val="10"/>
          <w:color w:val="auto"/>
        </w:rPr>
        <w:t>Reflecting a change in the way Shell’s CEO reviews and assesses performance, and makes decisions in</w:t>
      </w:r>
      <w:r>
        <w:rPr>
          <w:sz w:val="20"/>
          <w:szCs w:val="20"/>
          <w:color w:val="auto"/>
        </w:rPr>
        <w:tab/>
      </w:r>
      <w:r>
        <w:rPr>
          <w:rFonts w:ascii="Arial" w:cs="Arial" w:eastAsia="Arial" w:hAnsi="Arial"/>
          <w:sz w:val="8"/>
          <w:szCs w:val="8"/>
          <w:color w:val="auto"/>
        </w:rPr>
        <w:t>The AC assessed the appropriateness of the revised reporting segments for 2020 and the restatement of prior</w:t>
      </w:r>
    </w:p>
    <w:p>
      <w:pPr>
        <w:spacing w:after="0"/>
        <w:tabs>
          <w:tab w:leader="none" w:pos="4300" w:val="left"/>
        </w:tabs>
        <w:rPr>
          <w:sz w:val="20"/>
          <w:szCs w:val="20"/>
          <w:color w:val="auto"/>
        </w:rPr>
      </w:pPr>
      <w:r>
        <w:rPr>
          <w:rFonts w:ascii="Arial" w:cs="Arial" w:eastAsia="Arial" w:hAnsi="Arial"/>
          <w:sz w:val="10"/>
          <w:szCs w:val="10"/>
          <w:color w:val="auto"/>
        </w:rPr>
        <w:t>allocating resources, management reassessed Shell’s segment reporting. From January 1, 2020, Shell's</w:t>
      </w:r>
      <w:r>
        <w:rPr>
          <w:sz w:val="20"/>
          <w:szCs w:val="20"/>
          <w:color w:val="auto"/>
        </w:rPr>
        <w:tab/>
      </w:r>
      <w:r>
        <w:rPr>
          <w:rFonts w:ascii="Arial" w:cs="Arial" w:eastAsia="Arial" w:hAnsi="Arial"/>
          <w:sz w:val="8"/>
          <w:szCs w:val="8"/>
          <w:color w:val="auto"/>
        </w:rPr>
        <w:t>periods to the new segments.</w:t>
      </w:r>
    </w:p>
    <w:p>
      <w:pPr>
        <w:spacing w:after="0" w:line="237" w:lineRule="auto"/>
        <w:rPr>
          <w:sz w:val="20"/>
          <w:szCs w:val="20"/>
          <w:color w:val="auto"/>
        </w:rPr>
      </w:pPr>
      <w:r>
        <w:rPr>
          <w:rFonts w:ascii="Arial" w:cs="Arial" w:eastAsia="Arial" w:hAnsi="Arial"/>
          <w:sz w:val="10"/>
          <w:szCs w:val="10"/>
          <w:color w:val="auto"/>
        </w:rPr>
        <w:t>reportable segments consist of: Upstream, Integrated Gas, Oil Products, Chemicals, and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10795</wp:posOffset>
            </wp:positionV>
            <wp:extent cx="717804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200"/>
            <w:col w:w="8640"/>
          </w:cols>
          <w:pgMar w:left="300" w:top="638" w:right="299" w:bottom="1440" w:gutter="0" w:footer="0" w:header="0"/>
          <w:type w:val="continuous"/>
        </w:sect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113</w:t>
            </w:r>
          </w:p>
        </w:tc>
      </w:tr>
      <w:tr>
        <w:trPr>
          <w:trHeight w:val="142"/>
        </w:trPr>
        <w:tc>
          <w:tcPr>
            <w:tcW w:w="3420" w:type="dxa"/>
            <w:vAlign w:val="bottom"/>
            <w:tcBorders>
              <w:bottom w:val="single" w:sz="8" w:color="9A9A9A"/>
            </w:tcBorders>
          </w:tcPr>
          <w:p>
            <w:pPr>
              <w:spacing w:after="0"/>
              <w:rPr>
                <w:sz w:val="12"/>
                <w:szCs w:val="12"/>
                <w:color w:val="auto"/>
              </w:rPr>
            </w:pPr>
          </w:p>
        </w:tc>
        <w:tc>
          <w:tcPr>
            <w:tcW w:w="78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0"/>
          <w:szCs w:val="10"/>
          <w:b w:val="1"/>
          <w:bCs w:val="1"/>
          <w:color w:val="auto"/>
        </w:rPr>
        <w:t>INTERNAL AUDIT</w:t>
      </w:r>
    </w:p>
    <w:p>
      <w:pPr>
        <w:spacing w:after="0" w:line="231" w:lineRule="auto"/>
        <w:rPr>
          <w:sz w:val="20"/>
          <w:szCs w:val="20"/>
          <w:color w:val="auto"/>
        </w:rPr>
      </w:pPr>
      <w:r>
        <w:rPr>
          <w:rFonts w:ascii="Arial" w:cs="Arial" w:eastAsia="Arial" w:hAnsi="Arial"/>
          <w:sz w:val="10"/>
          <w:szCs w:val="10"/>
          <w:u w:val="single" w:color="auto"/>
          <w:color w:val="auto"/>
        </w:rPr>
        <w:t>Internal audit remit</w:t>
      </w:r>
    </w:p>
    <w:p>
      <w:pPr>
        <w:ind w:right="260"/>
        <w:spacing w:after="0" w:line="295" w:lineRule="auto"/>
        <w:rPr>
          <w:sz w:val="20"/>
          <w:szCs w:val="20"/>
          <w:color w:val="auto"/>
        </w:rPr>
      </w:pPr>
      <w:r>
        <w:rPr>
          <w:rFonts w:ascii="Arial" w:cs="Arial" w:eastAsia="Arial" w:hAnsi="Arial"/>
          <w:sz w:val="8"/>
          <w:szCs w:val="8"/>
          <w:color w:val="auto"/>
        </w:rPr>
        <w:t>The internal audit function is an independent assurance function which supports Shell in improving its overall control framework. The internal audit function contributes to the maintenance of a systematic and disciplined approach to evaluate and improve the design and effectiveness of Shell’s risk management, control and governance processes. The primary role of the internal audit function, through its assurance and investigation activities, is to safeguard value by protecting Shell’s assets, reputation and sustainability in relation to the organisation's defined goals and objectives.</w:t>
      </w:r>
    </w:p>
    <w:p>
      <w:pPr>
        <w:spacing w:after="0" w:line="129" w:lineRule="exact"/>
        <w:rPr>
          <w:sz w:val="20"/>
          <w:szCs w:val="20"/>
          <w:color w:val="auto"/>
        </w:rPr>
      </w:pPr>
    </w:p>
    <w:p>
      <w:pPr>
        <w:jc w:val="both"/>
        <w:ind w:right="120"/>
        <w:spacing w:after="0" w:line="320" w:lineRule="auto"/>
        <w:rPr>
          <w:sz w:val="20"/>
          <w:szCs w:val="20"/>
          <w:color w:val="auto"/>
        </w:rPr>
      </w:pPr>
      <w:r>
        <w:rPr>
          <w:rFonts w:ascii="Arial" w:cs="Arial" w:eastAsia="Arial" w:hAnsi="Arial"/>
          <w:sz w:val="8"/>
          <w:szCs w:val="8"/>
          <w:color w:val="auto"/>
        </w:rPr>
        <w:t>The AC defines the responsibility and scope of the internal audit function and approves its annual plan. The Chief Internal Auditor reports functionally to the Chair of the AC and administratively to the Chief Financial Officer. The Chair of the AC approves, in consultation with the Chief Financial Officer, all decisions regarding the performance evaluation, appointment or removal of the Chief Internal Auditor.</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Annual internal audit plan and assessment of internal audit’s effectiveness</w:t>
      </w:r>
    </w:p>
    <w:p>
      <w:pPr>
        <w:spacing w:after="0" w:line="155" w:lineRule="exact"/>
        <w:rPr>
          <w:sz w:val="20"/>
          <w:szCs w:val="20"/>
          <w:color w:val="auto"/>
        </w:rPr>
      </w:pPr>
    </w:p>
    <w:p>
      <w:pPr>
        <w:ind w:right="20"/>
        <w:spacing w:after="0" w:line="299" w:lineRule="auto"/>
        <w:rPr>
          <w:sz w:val="20"/>
          <w:szCs w:val="20"/>
          <w:color w:val="auto"/>
        </w:rPr>
      </w:pPr>
      <w:r>
        <w:rPr>
          <w:rFonts w:ascii="Arial" w:cs="Arial" w:eastAsia="Arial" w:hAnsi="Arial"/>
          <w:sz w:val="8"/>
          <w:szCs w:val="8"/>
          <w:color w:val="auto"/>
        </w:rPr>
        <w:t>In 2020, the AC considered and approved the internal audit function’s annual audit plan, including focus areas for 2020 consisting of: (i) talent and capability (professional audit development and technical capabilities); (ii) quality (developing first-line staff competence and clarity on self-verification and supervisory controls); (iii) alignment (improved integration of risk management and alignment of assurance processes across Shell); and (iv) engagement (mainly in the area of keeping staff and Shell stakeholders engaged and informed on effective risk management and internal control). The AC assessed the performance of the internal audit function as effective. The AC also assessed the performance of the Chief Internal Auditor.</w:t>
      </w:r>
    </w:p>
    <w:p>
      <w:pPr>
        <w:spacing w:after="0" w:line="237" w:lineRule="exact"/>
        <w:rPr>
          <w:sz w:val="20"/>
          <w:szCs w:val="20"/>
          <w:color w:val="auto"/>
        </w:rPr>
      </w:pPr>
    </w:p>
    <w:p>
      <w:pPr>
        <w:ind w:right="60"/>
        <w:spacing w:after="0" w:line="292" w:lineRule="auto"/>
        <w:rPr>
          <w:sz w:val="20"/>
          <w:szCs w:val="20"/>
          <w:color w:val="auto"/>
        </w:rPr>
      </w:pPr>
      <w:r>
        <w:rPr>
          <w:rFonts w:ascii="Arial" w:cs="Arial" w:eastAsia="Arial" w:hAnsi="Arial"/>
          <w:sz w:val="8"/>
          <w:szCs w:val="8"/>
          <w:color w:val="auto"/>
        </w:rPr>
        <w:t>The Chief Internal Auditor periodically assesses whether the purpose, authority and responsibilities of the internal audit function continue to enable it to accomplish its objectives. The results of this periodic assessment are communicated to the EC and AC. The Chief Internal Auditor maintains an internal quality assurance and improvement programme covering all aspects of internal audit's activities, and evaluates the conformance of these activities with the Chartered Institute of Internal Auditors' standards. The Chief Internal Auditor also assesses the efficiency and effectiveness of internal audit's activities and identifies opportunities for improvement. The results of this annual assessment are discussed with the EC and AC and include a reconfirmation to the AC of the continued validity of the charter of the internal audit function, or proposals for an update. At least every five years, the effectiveness and quality of the internal audit function are assessed externally and the report is reviewed with the AC. An independent assessment of internal audit was conducted in 2018. The next such external assessment is planned to take place in 2023.</w:t>
      </w:r>
    </w:p>
    <w:p>
      <w:pPr>
        <w:spacing w:after="0" w:line="23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EXTERNAL AUDITOR</w:t>
      </w:r>
    </w:p>
    <w:p>
      <w:pPr>
        <w:spacing w:after="0" w:line="231" w:lineRule="auto"/>
        <w:rPr>
          <w:sz w:val="20"/>
          <w:szCs w:val="20"/>
          <w:color w:val="auto"/>
        </w:rPr>
      </w:pPr>
      <w:r>
        <w:rPr>
          <w:rFonts w:ascii="Arial" w:cs="Arial" w:eastAsia="Arial" w:hAnsi="Arial"/>
          <w:sz w:val="10"/>
          <w:szCs w:val="10"/>
          <w:u w:val="single" w:color="auto"/>
          <w:color w:val="auto"/>
        </w:rPr>
        <w:t>Annual external audit plan and assessment of external audit’s effectiveness</w:t>
      </w:r>
    </w:p>
    <w:p>
      <w:pPr>
        <w:ind w:right="260"/>
        <w:spacing w:after="0" w:line="229" w:lineRule="auto"/>
        <w:rPr>
          <w:sz w:val="20"/>
          <w:szCs w:val="20"/>
          <w:color w:val="auto"/>
        </w:rPr>
      </w:pPr>
      <w:r>
        <w:rPr>
          <w:rFonts w:ascii="Arial" w:cs="Arial" w:eastAsia="Arial" w:hAnsi="Arial"/>
          <w:sz w:val="10"/>
          <w:szCs w:val="10"/>
          <w:color w:val="auto"/>
        </w:rPr>
        <w:t>EY reviewed with the AC its audit strategy, scope and plan for the 2020 audit, highlighting any areas which would receive special consideration. The AC considered the annual audit plan, which included assessing whether the planned materiality levels and proposed resources to execute the audit plan were consistent with the audit scope.</w:t>
      </w:r>
    </w:p>
    <w:p>
      <w:pPr>
        <w:spacing w:after="0" w:line="149" w:lineRule="exact"/>
        <w:rPr>
          <w:sz w:val="20"/>
          <w:szCs w:val="20"/>
          <w:color w:val="auto"/>
        </w:rPr>
      </w:pPr>
    </w:p>
    <w:p>
      <w:pPr>
        <w:spacing w:after="0" w:line="300" w:lineRule="auto"/>
        <w:rPr>
          <w:sz w:val="20"/>
          <w:szCs w:val="20"/>
          <w:color w:val="auto"/>
        </w:rPr>
      </w:pPr>
      <w:r>
        <w:rPr>
          <w:rFonts w:ascii="Arial" w:cs="Arial" w:eastAsia="Arial" w:hAnsi="Arial"/>
          <w:sz w:val="8"/>
          <w:szCs w:val="8"/>
          <w:color w:val="auto"/>
        </w:rPr>
        <w:t>EY regularly updated the AC on the status of their procedures and preliminary findings, providing an opportunity for the AC to monitor the execution and results of the audit. The AC and EY discussed how risks to audit quality were addressed, key accounting and audit judgements, material communications between EY and management and any issues arising from them. Quarterly, the AC met privately with EY representatives without management being present in order to encourage open and transparent feedback from both parties. In addition, the AC Chair meets separately with the external auditor on a regular basis.</w:t>
      </w:r>
    </w:p>
    <w:p>
      <w:pPr>
        <w:spacing w:after="0" w:line="127" w:lineRule="exact"/>
        <w:rPr>
          <w:sz w:val="20"/>
          <w:szCs w:val="20"/>
          <w:color w:val="auto"/>
        </w:rPr>
      </w:pPr>
    </w:p>
    <w:p>
      <w:pPr>
        <w:ind w:right="180"/>
        <w:spacing w:after="0" w:line="239" w:lineRule="auto"/>
        <w:rPr>
          <w:sz w:val="20"/>
          <w:szCs w:val="20"/>
          <w:color w:val="auto"/>
        </w:rPr>
      </w:pPr>
      <w:r>
        <w:rPr>
          <w:rFonts w:ascii="Arial" w:cs="Arial" w:eastAsia="Arial" w:hAnsi="Arial"/>
          <w:sz w:val="10"/>
          <w:szCs w:val="10"/>
          <w:color w:val="auto"/>
        </w:rPr>
        <w:t>As part of its oversight of the external auditor, the AC annually assesses the performance and effectiveness of the external auditor and the audit process, including an assessment of the quality of the audit, the handling</w:t>
      </w:r>
    </w:p>
    <w:p>
      <w:pPr>
        <w:spacing w:after="0" w:line="20" w:lineRule="exact"/>
        <w:rPr>
          <w:sz w:val="20"/>
          <w:szCs w:val="20"/>
          <w:color w:val="auto"/>
        </w:rPr>
      </w:pPr>
      <w:r>
        <w:rPr>
          <w:sz w:val="20"/>
          <w:szCs w:val="20"/>
          <w:color w:val="auto"/>
        </w:rPr>
        <w:br w:type="column"/>
      </w:r>
    </w:p>
    <w:p>
      <w:pPr>
        <w:ind w:right="120"/>
        <w:spacing w:after="0" w:line="292" w:lineRule="auto"/>
        <w:rPr>
          <w:sz w:val="20"/>
          <w:szCs w:val="20"/>
          <w:color w:val="auto"/>
        </w:rPr>
      </w:pPr>
      <w:r>
        <w:rPr>
          <w:rFonts w:ascii="Arial" w:cs="Arial" w:eastAsia="Arial" w:hAnsi="Arial"/>
          <w:sz w:val="8"/>
          <w:szCs w:val="8"/>
          <w:color w:val="auto"/>
        </w:rPr>
        <w:t>of key judgements by the auditor, and the auditor’s response to questions from the AC. The AC evaluated the objectivity and independence of EY and the quality and effectiveness of the external audit process. As part of its evaluation, the AC considered and discussed: (i) the results of Shell management’s internal survey relating to EY’s performance over the financial year 2020, which reflected a broadly comparable performance to 2019; (ii) views and recommendations from management and the Chief Internal Auditor; (iii) EY's audit quality priorities and actions by EY as part of its sustainable audit quality programme; (iv) the forthcoming partner rotation and measures EY has taken for an orderly transition; and (v) the AC’s own experiences, including interactions with the external auditor, throughout the year. Key criteria of the evaluation included: professionalism in areas including competence, integrity and objectivity; constructive challenge of management and key judgements; efficiency, covering aspects such as service level and innovation in the audit process; thought leadership and value added; and compliance with relevant legislative, regulatory and professional requirements.</w:t>
      </w:r>
    </w:p>
    <w:p>
      <w:pPr>
        <w:spacing w:after="0" w:line="239" w:lineRule="exact"/>
        <w:rPr>
          <w:sz w:val="20"/>
          <w:szCs w:val="20"/>
          <w:color w:val="auto"/>
        </w:rPr>
      </w:pPr>
    </w:p>
    <w:p>
      <w:pPr>
        <w:ind w:right="160"/>
        <w:spacing w:after="0" w:line="320" w:lineRule="auto"/>
        <w:rPr>
          <w:sz w:val="20"/>
          <w:szCs w:val="20"/>
          <w:color w:val="auto"/>
        </w:rPr>
      </w:pPr>
      <w:r>
        <w:rPr>
          <w:rFonts w:ascii="Arial" w:cs="Arial" w:eastAsia="Arial" w:hAnsi="Arial"/>
          <w:sz w:val="8"/>
          <w:szCs w:val="8"/>
          <w:color w:val="auto"/>
        </w:rPr>
        <w:t>The Committee also considered EY's quality assurance procedures, internal quality control procedures, competence and most recent Transparency Report and opportunities for improvement. Taking into account the above, the AC is satisfied that EY has continued to provide a high-quality and effective audit in its fifth year as auditor and has maintained its independence and objectivity.</w:t>
      </w:r>
    </w:p>
    <w:p>
      <w:pPr>
        <w:spacing w:after="0" w:line="118" w:lineRule="exact"/>
        <w:rPr>
          <w:sz w:val="20"/>
          <w:szCs w:val="20"/>
          <w:color w:val="auto"/>
        </w:rPr>
      </w:pPr>
    </w:p>
    <w:p>
      <w:pPr>
        <w:jc w:val="both"/>
        <w:ind w:right="180"/>
        <w:spacing w:after="0" w:line="234" w:lineRule="auto"/>
        <w:rPr>
          <w:sz w:val="20"/>
          <w:szCs w:val="20"/>
          <w:color w:val="auto"/>
        </w:rPr>
      </w:pPr>
      <w:r>
        <w:rPr>
          <w:rFonts w:ascii="Arial" w:cs="Arial" w:eastAsia="Arial" w:hAnsi="Arial"/>
          <w:sz w:val="10"/>
          <w:szCs w:val="10"/>
          <w:color w:val="auto"/>
        </w:rPr>
        <w:t>As required under UK and US auditing standards, the AC received a letter from EY confirming its independence. As required by applicable regulations, EY also informed the AC in writing and discussed with the AC any significant relationships and matters that may reasonably be thought to have an impact on its objectivity and independence.</w:t>
      </w:r>
    </w:p>
    <w:p>
      <w:pPr>
        <w:spacing w:after="0" w:line="150" w:lineRule="exact"/>
        <w:rPr>
          <w:sz w:val="20"/>
          <w:szCs w:val="20"/>
          <w:color w:val="auto"/>
        </w:rPr>
      </w:pPr>
    </w:p>
    <w:p>
      <w:pPr>
        <w:jc w:val="both"/>
        <w:ind w:right="200"/>
        <w:spacing w:after="0" w:line="320" w:lineRule="auto"/>
        <w:rPr>
          <w:sz w:val="20"/>
          <w:szCs w:val="20"/>
          <w:color w:val="auto"/>
        </w:rPr>
      </w:pPr>
      <w:r>
        <w:rPr>
          <w:rFonts w:ascii="Arial" w:cs="Arial" w:eastAsia="Arial" w:hAnsi="Arial"/>
          <w:sz w:val="8"/>
          <w:szCs w:val="8"/>
          <w:color w:val="auto"/>
        </w:rPr>
        <w:t xml:space="preserve">During 2020, there was no review of EY’s audits of Shell’s Consolidated Financial Statements by the Audit Quality Review (AQR) team of the FRC. EY reviewed Shell’s correspondence with the FRC relating to the FRC’s thematic review of a sample of companies’ reporting on the impact of climate change and the first full year of adoption of IFRS 16, </w:t>
      </w:r>
      <w:r>
        <w:rPr>
          <w:rFonts w:ascii="Arial" w:cs="Arial" w:eastAsia="Arial" w:hAnsi="Arial"/>
          <w:sz w:val="8"/>
          <w:szCs w:val="8"/>
          <w:i w:val="1"/>
          <w:iCs w:val="1"/>
          <w:color w:val="auto"/>
        </w:rPr>
        <w:t>Leases</w:t>
      </w:r>
      <w:r>
        <w:rPr>
          <w:rFonts w:ascii="Arial" w:cs="Arial" w:eastAsia="Arial" w:hAnsi="Arial"/>
          <w:sz w:val="8"/>
          <w:szCs w:val="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Reappointment</w:t>
      </w:r>
    </w:p>
    <w:p>
      <w:pPr>
        <w:spacing w:after="0" w:line="1" w:lineRule="exact"/>
        <w:rPr>
          <w:sz w:val="20"/>
          <w:szCs w:val="20"/>
          <w:color w:val="auto"/>
        </w:rPr>
      </w:pPr>
    </w:p>
    <w:p>
      <w:pPr>
        <w:jc w:val="both"/>
        <w:ind w:right="180"/>
        <w:spacing w:after="0" w:line="300" w:lineRule="auto"/>
        <w:rPr>
          <w:sz w:val="20"/>
          <w:szCs w:val="20"/>
          <w:color w:val="auto"/>
        </w:rPr>
      </w:pPr>
      <w:r>
        <w:rPr>
          <w:rFonts w:ascii="Arial" w:cs="Arial" w:eastAsia="Arial" w:hAnsi="Arial"/>
          <w:sz w:val="8"/>
          <w:szCs w:val="8"/>
          <w:color w:val="auto"/>
        </w:rPr>
        <w:t>The AC is responsible for considering whether, in order to ensure continuing auditor quality and/or independence, there should be a rotation of the independent registered public accounting firm, including consideration of the advisability and potential impact of conducting a tender process for the appointment of a different independent public accounting firm. The AC is also responsible for making a recommendation to the Board for it to put to the Company’s shareholders for approval at the AGM, to appoint, reappoint or remove the external auditor.</w:t>
      </w:r>
    </w:p>
    <w:p>
      <w:pPr>
        <w:spacing w:after="0" w:line="126" w:lineRule="exact"/>
        <w:rPr>
          <w:sz w:val="20"/>
          <w:szCs w:val="20"/>
          <w:color w:val="auto"/>
        </w:rPr>
      </w:pPr>
    </w:p>
    <w:p>
      <w:pPr>
        <w:ind w:right="160"/>
        <w:spacing w:after="0" w:line="296" w:lineRule="auto"/>
        <w:rPr>
          <w:sz w:val="20"/>
          <w:szCs w:val="20"/>
          <w:color w:val="auto"/>
        </w:rPr>
      </w:pPr>
      <w:r>
        <w:rPr>
          <w:rFonts w:ascii="Arial" w:cs="Arial" w:eastAsia="Arial" w:hAnsi="Arial"/>
          <w:sz w:val="8"/>
          <w:szCs w:val="8"/>
          <w:color w:val="auto"/>
        </w:rPr>
        <w:t>At the AGM in May 2020, the shareholders approved a resolution to reappoint EY as external auditor until the conclusion of the next AGM. EY was first appointed at the AGM in May 2016 following the conclusion of a competitive tender process. The Company has complied with The Statutory Audit Services for Large Companies Market Investigation (Mandatory Use of Competitive Tender Processes and Audit Committee Responsibilities) Order 2014 for the 2020 financial year. The AC acknowledges the UK and Dutch legal requirements relating to mandatory audit rotation and audit tendering under which the Company will be required to tender for the audit no later than the 2026 financial year. The AC regularly reviews auditor performance and may elect to carry out the tender earlier than the 2026 financial year if it determined it would be in the interests of the Company's shareholders to do so.</w:t>
      </w:r>
    </w:p>
    <w:p>
      <w:pPr>
        <w:spacing w:after="0" w:line="237" w:lineRule="exact"/>
        <w:rPr>
          <w:sz w:val="20"/>
          <w:szCs w:val="20"/>
          <w:color w:val="auto"/>
        </w:rPr>
      </w:pPr>
    </w:p>
    <w:p>
      <w:pPr>
        <w:ind w:right="160"/>
        <w:spacing w:after="0" w:line="297" w:lineRule="auto"/>
        <w:rPr>
          <w:sz w:val="20"/>
          <w:szCs w:val="20"/>
          <w:color w:val="auto"/>
        </w:rPr>
      </w:pPr>
      <w:r>
        <w:rPr>
          <w:rFonts w:ascii="Arial" w:cs="Arial" w:eastAsia="Arial" w:hAnsi="Arial"/>
          <w:sz w:val="8"/>
          <w:szCs w:val="8"/>
          <w:color w:val="auto"/>
        </w:rPr>
        <w:t>As 2020 represents the conclusion of EY’s first five-year term, the AC reflected upon whether conducting an audit tender at this time would be appropriate. The AC's consideration took into account: the AC remains satisfied with the quality and independence of the audit conducted by EY; given Shell's size and complexity, any new external auditor would need a transition period to develop sufficient understanding of the business; frequent changes of external auditor would be inefficient and could lead to increased risk and the loss of cumulative knowledge; a change in auditor would be expected to have a significant impact on Shell, including on the Finance function; and any change in auditor should be scheduled to limit operational disruption. The AC also considered that the current external</w:t>
      </w:r>
    </w:p>
    <w:p>
      <w:pPr>
        <w:spacing w:after="0" w:line="555" w:lineRule="exact"/>
        <w:rPr>
          <w:sz w:val="20"/>
          <w:szCs w:val="20"/>
          <w:color w:val="auto"/>
        </w:rPr>
      </w:pPr>
    </w:p>
    <w:p>
      <w:pPr>
        <w:sectPr>
          <w:pgSz w:w="11900" w:h="16838" w:orient="portrait"/>
          <w:cols w:equalWidth="0" w:num="2">
            <w:col w:w="5440" w:space="300"/>
            <w:col w:w="5560"/>
          </w:cols>
          <w:pgMar w:left="300" w:top="800" w:right="299" w:bottom="1440" w:gutter="0" w:footer="0" w:header="0"/>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114</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0"/>
          <w:szCs w:val="10"/>
          <w:color w:val="auto"/>
        </w:rPr>
        <w:t>audit partner, Mr Allister Wilson, who has held this position since EY’s initial appointment in 2016, is rotating off the Shell audit after the</w:t>
      </w:r>
    </w:p>
    <w:p>
      <w:pPr>
        <w:spacing w:after="0"/>
        <w:rPr>
          <w:sz w:val="20"/>
          <w:szCs w:val="20"/>
          <w:color w:val="auto"/>
        </w:rPr>
      </w:pPr>
      <w:r>
        <w:rPr>
          <w:rFonts w:ascii="Arial" w:cs="Arial" w:eastAsia="Arial" w:hAnsi="Arial"/>
          <w:sz w:val="10"/>
          <w:szCs w:val="10"/>
          <w:color w:val="auto"/>
        </w:rPr>
        <w:t>2020 audit. Mr Gary Donald will serve as the audit partner beginning with the 2021 audit engagement.</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After due consideration the AC determined that it would not be appropriate to re-tender for the external audit at this time and has</w:t>
      </w:r>
    </w:p>
    <w:p>
      <w:pPr>
        <w:spacing w:after="0" w:line="227" w:lineRule="auto"/>
        <w:rPr>
          <w:sz w:val="20"/>
          <w:szCs w:val="20"/>
          <w:color w:val="auto"/>
        </w:rPr>
      </w:pPr>
      <w:r>
        <w:rPr>
          <w:rFonts w:ascii="Arial" w:cs="Arial" w:eastAsia="Arial" w:hAnsi="Arial"/>
          <w:sz w:val="10"/>
          <w:szCs w:val="10"/>
          <w:color w:val="auto"/>
        </w:rPr>
        <w:t>recommended to the Board to propose at the 2021 AGM that EY be reappointed as the external auditor of the Company for the year ending</w:t>
      </w:r>
    </w:p>
    <w:p>
      <w:pPr>
        <w:spacing w:after="0" w:line="225" w:lineRule="auto"/>
        <w:rPr>
          <w:sz w:val="20"/>
          <w:szCs w:val="20"/>
          <w:color w:val="auto"/>
        </w:rPr>
      </w:pPr>
      <w:r>
        <w:rPr>
          <w:rFonts w:ascii="Arial" w:cs="Arial" w:eastAsia="Arial" w:hAnsi="Arial"/>
          <w:sz w:val="10"/>
          <w:szCs w:val="10"/>
          <w:color w:val="auto"/>
        </w:rPr>
        <w:t>December 31, 2021. The recommendation is free from influence by a third party and there are no contractual obligations that restrict the AC’s</w:t>
      </w:r>
    </w:p>
    <w:p>
      <w:pPr>
        <w:spacing w:after="0" w:line="237" w:lineRule="auto"/>
        <w:rPr>
          <w:sz w:val="20"/>
          <w:szCs w:val="20"/>
          <w:color w:val="auto"/>
        </w:rPr>
      </w:pPr>
      <w:r>
        <w:rPr>
          <w:rFonts w:ascii="Arial" w:cs="Arial" w:eastAsia="Arial" w:hAnsi="Arial"/>
          <w:sz w:val="10"/>
          <w:szCs w:val="10"/>
          <w:color w:val="auto"/>
        </w:rPr>
        <w:t>ability to make such a recommendation.</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NON-AUDIT SERVICES</w:t>
      </w:r>
    </w:p>
    <w:p>
      <w:pPr>
        <w:spacing w:after="0" w:line="212" w:lineRule="auto"/>
        <w:rPr>
          <w:sz w:val="20"/>
          <w:szCs w:val="20"/>
          <w:color w:val="auto"/>
        </w:rPr>
      </w:pPr>
      <w:r>
        <w:rPr>
          <w:rFonts w:ascii="Arial" w:cs="Arial" w:eastAsia="Arial" w:hAnsi="Arial"/>
          <w:sz w:val="10"/>
          <w:szCs w:val="10"/>
          <w:color w:val="auto"/>
        </w:rPr>
        <w:t>The AC maintains an auditor independence policy</w:t>
      </w:r>
    </w:p>
    <w:p>
      <w:pPr>
        <w:spacing w:after="0" w:line="188" w:lineRule="auto"/>
        <w:rPr>
          <w:sz w:val="20"/>
          <w:szCs w:val="20"/>
          <w:color w:val="auto"/>
        </w:rPr>
      </w:pPr>
      <w:r>
        <w:rPr>
          <w:rFonts w:ascii="Arial" w:cs="Arial" w:eastAsia="Arial" w:hAnsi="Arial"/>
          <w:sz w:val="10"/>
          <w:szCs w:val="10"/>
          <w:color w:val="auto"/>
        </w:rPr>
        <w:t>(AIP) in respect of the provision of services by the external auditor. The AC regularly reviews this policy for necessary changes in response</w:t>
      </w:r>
    </w:p>
    <w:p>
      <w:pPr>
        <w:spacing w:after="0" w:line="188" w:lineRule="auto"/>
        <w:rPr>
          <w:sz w:val="20"/>
          <w:szCs w:val="20"/>
          <w:color w:val="auto"/>
        </w:rPr>
      </w:pPr>
      <w:r>
        <w:rPr>
          <w:rFonts w:ascii="Arial" w:cs="Arial" w:eastAsia="Arial" w:hAnsi="Arial"/>
          <w:sz w:val="10"/>
          <w:szCs w:val="10"/>
          <w:color w:val="auto"/>
        </w:rPr>
        <w:t>to changes in related standards and regulatory requirements. This policy was updated in January 2020 (and became effective in March 2020)</w:t>
      </w:r>
    </w:p>
    <w:p>
      <w:pPr>
        <w:spacing w:after="0" w:line="237" w:lineRule="auto"/>
        <w:rPr>
          <w:sz w:val="20"/>
          <w:szCs w:val="20"/>
          <w:color w:val="auto"/>
        </w:rPr>
      </w:pPr>
      <w:r>
        <w:rPr>
          <w:rFonts w:ascii="Arial" w:cs="Arial" w:eastAsia="Arial" w:hAnsi="Arial"/>
          <w:sz w:val="10"/>
          <w:szCs w:val="10"/>
          <w:color w:val="auto"/>
        </w:rPr>
        <w:t>to incorporate the Revised Ethical Standards issued by the FRC in December 2019.</w:t>
      </w:r>
    </w:p>
    <w:p>
      <w:pPr>
        <w:spacing w:after="0" w:line="140" w:lineRule="exact"/>
        <w:rPr>
          <w:sz w:val="20"/>
          <w:szCs w:val="20"/>
          <w:color w:val="auto"/>
        </w:rPr>
      </w:pPr>
    </w:p>
    <w:p>
      <w:pPr>
        <w:spacing w:after="0"/>
        <w:rPr>
          <w:sz w:val="20"/>
          <w:szCs w:val="20"/>
          <w:color w:val="auto"/>
        </w:rPr>
      </w:pPr>
      <w:r>
        <w:rPr>
          <w:rFonts w:ascii="Arial" w:cs="Arial" w:eastAsia="Arial" w:hAnsi="Arial"/>
          <w:sz w:val="10"/>
          <w:szCs w:val="10"/>
          <w:color w:val="auto"/>
        </w:rPr>
        <w:t>This policy, designed to safeguard auditor objectivity and independence, includes rules relating to the provision of audit services, audit-</w:t>
      </w:r>
    </w:p>
    <w:p>
      <w:pPr>
        <w:spacing w:after="0"/>
        <w:rPr>
          <w:sz w:val="20"/>
          <w:szCs w:val="20"/>
          <w:color w:val="auto"/>
        </w:rPr>
      </w:pPr>
      <w:r>
        <w:rPr>
          <w:rFonts w:ascii="Arial" w:cs="Arial" w:eastAsia="Arial" w:hAnsi="Arial"/>
          <w:sz w:val="10"/>
          <w:szCs w:val="10"/>
          <w:color w:val="auto"/>
        </w:rPr>
        <w:t>related services and other non-audit services, and stipulates which services require specific prior approval by the AC.</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The policy also defines prohibited services that are not to be provided by the auditor because they represent a risk to the external auditor's</w:t>
      </w:r>
    </w:p>
    <w:p>
      <w:pPr>
        <w:spacing w:after="0" w:line="227" w:lineRule="auto"/>
        <w:rPr>
          <w:sz w:val="20"/>
          <w:szCs w:val="20"/>
          <w:color w:val="auto"/>
        </w:rPr>
      </w:pPr>
      <w:r>
        <w:rPr>
          <w:rFonts w:ascii="Arial" w:cs="Arial" w:eastAsia="Arial" w:hAnsi="Arial"/>
          <w:sz w:val="10"/>
          <w:szCs w:val="10"/>
          <w:color w:val="auto"/>
        </w:rPr>
        <w:t>independence. Prohibited services are any that relate to management decision-taking or any other service that could compromise auditor</w:t>
      </w:r>
    </w:p>
    <w:p>
      <w:pPr>
        <w:spacing w:after="0" w:line="225" w:lineRule="auto"/>
        <w:rPr>
          <w:sz w:val="20"/>
          <w:szCs w:val="20"/>
          <w:color w:val="auto"/>
        </w:rPr>
      </w:pPr>
      <w:r>
        <w:rPr>
          <w:rFonts w:ascii="Arial" w:cs="Arial" w:eastAsia="Arial" w:hAnsi="Arial"/>
          <w:sz w:val="10"/>
          <w:szCs w:val="10"/>
          <w:color w:val="auto"/>
        </w:rPr>
        <w:t>independence or the perception thereof. These prohibited services include all services listed as prohibited in the UK and US auditor</w:t>
      </w:r>
    </w:p>
    <w:p>
      <w:pPr>
        <w:spacing w:after="0" w:line="237" w:lineRule="auto"/>
        <w:rPr>
          <w:sz w:val="20"/>
          <w:szCs w:val="20"/>
          <w:color w:val="auto"/>
        </w:rPr>
      </w:pPr>
      <w:r>
        <w:rPr>
          <w:rFonts w:ascii="Arial" w:cs="Arial" w:eastAsia="Arial" w:hAnsi="Arial"/>
          <w:sz w:val="10"/>
          <w:szCs w:val="10"/>
          <w:color w:val="auto"/>
        </w:rPr>
        <w:t>independence rules.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For certain services that are not prohibited, because of the knowledge and experience of the external auditor and/or for reasons of</w:t>
      </w:r>
    </w:p>
    <w:p>
      <w:pPr>
        <w:spacing w:after="0" w:line="227" w:lineRule="auto"/>
        <w:rPr>
          <w:sz w:val="20"/>
          <w:szCs w:val="20"/>
          <w:color w:val="auto"/>
        </w:rPr>
      </w:pPr>
      <w:r>
        <w:rPr>
          <w:rFonts w:ascii="Arial" w:cs="Arial" w:eastAsia="Arial" w:hAnsi="Arial"/>
          <w:sz w:val="10"/>
          <w:szCs w:val="10"/>
          <w:color w:val="auto"/>
        </w:rPr>
        <w:t>confidentiality, it can be more efficient or prudent to engage the external auditor rather than another party. This is particularly the case with</w:t>
      </w:r>
    </w:p>
    <w:p>
      <w:pPr>
        <w:spacing w:after="0" w:line="225" w:lineRule="auto"/>
        <w:rPr>
          <w:sz w:val="20"/>
          <w:szCs w:val="20"/>
          <w:color w:val="auto"/>
        </w:rPr>
      </w:pPr>
      <w:r>
        <w:rPr>
          <w:rFonts w:ascii="Arial" w:cs="Arial" w:eastAsia="Arial" w:hAnsi="Arial"/>
          <w:sz w:val="10"/>
          <w:szCs w:val="10"/>
          <w:color w:val="auto"/>
        </w:rPr>
        <w:t>audit-related assurance services that are closely connected to the audit function where the external auditor has the benefit of knowledge</w:t>
      </w:r>
    </w:p>
    <w:p>
      <w:pPr>
        <w:spacing w:after="0" w:line="237" w:lineRule="auto"/>
        <w:rPr>
          <w:sz w:val="20"/>
          <w:szCs w:val="20"/>
          <w:color w:val="auto"/>
        </w:rPr>
      </w:pPr>
      <w:r>
        <w:rPr>
          <w:rFonts w:ascii="Arial" w:cs="Arial" w:eastAsia="Arial" w:hAnsi="Arial"/>
          <w:sz w:val="10"/>
          <w:szCs w:val="10"/>
          <w:color w:val="auto"/>
        </w:rPr>
        <w:t>gained from work already performed as part of the audit.</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Under the AIP, the AC will only approve services to be carried out by the external auditor or its affiliates where such services do not present a</w:t>
      </w:r>
    </w:p>
    <w:p>
      <w:pPr>
        <w:spacing w:after="0" w:line="227" w:lineRule="auto"/>
        <w:rPr>
          <w:sz w:val="20"/>
          <w:szCs w:val="20"/>
          <w:color w:val="auto"/>
        </w:rPr>
      </w:pPr>
      <w:r>
        <w:rPr>
          <w:rFonts w:ascii="Arial" w:cs="Arial" w:eastAsia="Arial" w:hAnsi="Arial"/>
          <w:sz w:val="10"/>
          <w:szCs w:val="10"/>
          <w:color w:val="auto"/>
        </w:rPr>
        <w:t>conflict of interest risk in fact or in appearance. The AC reviews quarterly reports from management on the audit and non-audit services</w:t>
      </w:r>
    </w:p>
    <w:p>
      <w:pPr>
        <w:spacing w:after="0" w:line="225" w:lineRule="auto"/>
        <w:rPr>
          <w:sz w:val="20"/>
          <w:szCs w:val="20"/>
          <w:color w:val="auto"/>
        </w:rPr>
      </w:pPr>
      <w:r>
        <w:rPr>
          <w:rFonts w:ascii="Arial" w:cs="Arial" w:eastAsia="Arial" w:hAnsi="Arial"/>
          <w:sz w:val="10"/>
          <w:szCs w:val="10"/>
          <w:color w:val="auto"/>
        </w:rPr>
        <w:t>reported in accordance with the policy or for which specific prior approval from the AC is being sought. To the extent that the fee value of an</w:t>
      </w:r>
    </w:p>
    <w:p>
      <w:pPr>
        <w:spacing w:after="0" w:line="226" w:lineRule="auto"/>
        <w:rPr>
          <w:sz w:val="20"/>
          <w:szCs w:val="20"/>
          <w:color w:val="auto"/>
        </w:rPr>
      </w:pPr>
      <w:r>
        <w:rPr>
          <w:rFonts w:ascii="Arial" w:cs="Arial" w:eastAsia="Arial" w:hAnsi="Arial"/>
          <w:sz w:val="10"/>
          <w:szCs w:val="10"/>
          <w:color w:val="auto"/>
        </w:rPr>
        <w:t>additional audit service contract does not individually exceed $500,000, no prior approval of the AC is required. All non-audit services where</w:t>
      </w:r>
    </w:p>
    <w:p>
      <w:pPr>
        <w:spacing w:after="0" w:line="225" w:lineRule="auto"/>
        <w:rPr>
          <w:sz w:val="20"/>
          <w:szCs w:val="20"/>
          <w:color w:val="auto"/>
        </w:rPr>
      </w:pPr>
      <w:r>
        <w:rPr>
          <w:rFonts w:ascii="Arial" w:cs="Arial" w:eastAsia="Arial" w:hAnsi="Arial"/>
          <w:sz w:val="10"/>
          <w:szCs w:val="10"/>
          <w:color w:val="auto"/>
        </w:rPr>
        <w:t>the fee for an individual contract exceeds $100,000 (from January 1 to March 15, 2020, $50,000), including audit-related services, require</w:t>
      </w:r>
    </w:p>
    <w:p>
      <w:pPr>
        <w:spacing w:after="0" w:line="226" w:lineRule="auto"/>
        <w:rPr>
          <w:sz w:val="20"/>
          <w:szCs w:val="20"/>
          <w:color w:val="auto"/>
        </w:rPr>
      </w:pPr>
      <w:r>
        <w:rPr>
          <w:rFonts w:ascii="Arial" w:cs="Arial" w:eastAsia="Arial" w:hAnsi="Arial"/>
          <w:sz w:val="10"/>
          <w:szCs w:val="10"/>
          <w:color w:val="auto"/>
        </w:rPr>
        <w:t>individual prior approval by the AC. In each case where the audit or non-audit service contract does not exceed the relevant threshold, the</w:t>
      </w:r>
    </w:p>
    <w:p>
      <w:pPr>
        <w:spacing w:after="0" w:line="225" w:lineRule="auto"/>
        <w:rPr>
          <w:sz w:val="20"/>
          <w:szCs w:val="20"/>
          <w:color w:val="auto"/>
        </w:rPr>
      </w:pPr>
      <w:r>
        <w:rPr>
          <w:rFonts w:ascii="Arial" w:cs="Arial" w:eastAsia="Arial" w:hAnsi="Arial"/>
          <w:sz w:val="10"/>
          <w:szCs w:val="10"/>
          <w:color w:val="auto"/>
        </w:rPr>
        <w:t>matter is approved by management by delegated authority from the AC and is subsequently presented for approval by the AC at the next</w:t>
      </w:r>
    </w:p>
    <w:p>
      <w:pPr>
        <w:spacing w:after="0" w:line="225" w:lineRule="auto"/>
        <w:rPr>
          <w:sz w:val="20"/>
          <w:szCs w:val="20"/>
          <w:color w:val="auto"/>
        </w:rPr>
      </w:pPr>
      <w:r>
        <w:rPr>
          <w:rFonts w:ascii="Arial" w:cs="Arial" w:eastAsia="Arial" w:hAnsi="Arial"/>
          <w:sz w:val="10"/>
          <w:szCs w:val="10"/>
          <w:color w:val="auto"/>
        </w:rPr>
        <w:t>quarterly AC meeting. The AC is mindful of the overall proportion of fees for audit and non-audit services in determining whether to approve</w:t>
      </w:r>
    </w:p>
    <w:p>
      <w:pPr>
        <w:spacing w:after="0" w:line="237" w:lineRule="auto"/>
        <w:rPr>
          <w:sz w:val="20"/>
          <w:szCs w:val="20"/>
          <w:color w:val="auto"/>
        </w:rPr>
      </w:pPr>
      <w:r>
        <w:rPr>
          <w:rFonts w:ascii="Arial" w:cs="Arial" w:eastAsia="Arial" w:hAnsi="Arial"/>
          <w:sz w:val="10"/>
          <w:szCs w:val="10"/>
          <w:color w:val="auto"/>
        </w:rPr>
        <w:t>such services.</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The scope of the non-audit services contracted with the external auditor in 2020 consisted mainly of interim reviews and other audit-related</w:t>
      </w:r>
    </w:p>
    <w:p>
      <w:pPr>
        <w:spacing w:after="0" w:line="187" w:lineRule="auto"/>
        <w:rPr>
          <w:sz w:val="20"/>
          <w:szCs w:val="20"/>
          <w:color w:val="auto"/>
        </w:rPr>
      </w:pPr>
      <w:r>
        <w:rPr>
          <w:rFonts w:ascii="Arial" w:cs="Arial" w:eastAsia="Arial" w:hAnsi="Arial"/>
          <w:sz w:val="10"/>
          <w:szCs w:val="10"/>
          <w:color w:val="auto"/>
        </w:rPr>
        <w:t>assurance services. The associated compensation for these audit-related services and other non-audit services amounted to 5.4% and 3.6%,</w:t>
      </w:r>
    </w:p>
    <w:p>
      <w:pPr>
        <w:spacing w:after="0" w:line="237" w:lineRule="auto"/>
        <w:rPr>
          <w:sz w:val="20"/>
          <w:szCs w:val="20"/>
          <w:color w:val="auto"/>
        </w:rPr>
      </w:pPr>
      <w:r>
        <w:rPr>
          <w:rFonts w:ascii="Arial" w:cs="Arial" w:eastAsia="Arial" w:hAnsi="Arial"/>
          <w:sz w:val="10"/>
          <w:szCs w:val="10"/>
          <w:color w:val="auto"/>
        </w:rPr>
        <w:t>respectively, of the external auditor’s audit and audit-related remuneration.</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FEES</w:t>
      </w:r>
    </w:p>
    <w:p>
      <w:pPr>
        <w:spacing w:after="0" w:line="231" w:lineRule="auto"/>
        <w:rPr>
          <w:sz w:val="20"/>
          <w:szCs w:val="20"/>
          <w:color w:val="auto"/>
        </w:rPr>
      </w:pPr>
      <w:r>
        <w:rPr>
          <w:rFonts w:ascii="Arial" w:cs="Arial" w:eastAsia="Arial" w:hAnsi="Arial"/>
          <w:sz w:val="10"/>
          <w:szCs w:val="10"/>
          <w:color w:val="auto"/>
        </w:rPr>
        <w:t>After due consideration, the AC approved the auditor’s remuneration, satisfying itself that the level of fees payable in respect of the audit and</w:t>
      </w:r>
    </w:p>
    <w:p>
      <w:pPr>
        <w:spacing w:after="0" w:line="226" w:lineRule="auto"/>
        <w:rPr>
          <w:sz w:val="20"/>
          <w:szCs w:val="20"/>
          <w:color w:val="auto"/>
        </w:rPr>
      </w:pPr>
      <w:r>
        <w:rPr>
          <w:rFonts w:ascii="Arial" w:cs="Arial" w:eastAsia="Arial" w:hAnsi="Arial"/>
          <w:sz w:val="10"/>
          <w:szCs w:val="10"/>
          <w:color w:val="auto"/>
        </w:rPr>
        <w:t>non-audit services provided was appropriate and that an effective, high-quality audit could be conducted for such fees.</w:t>
      </w:r>
    </w:p>
    <w:p>
      <w:pPr>
        <w:spacing w:after="0" w:line="225" w:lineRule="auto"/>
        <w:rPr>
          <w:sz w:val="20"/>
          <w:szCs w:val="20"/>
          <w:color w:val="auto"/>
        </w:rPr>
      </w:pPr>
      <w:r>
        <w:rPr>
          <w:rFonts w:ascii="Arial" w:cs="Arial" w:eastAsia="Arial" w:hAnsi="Arial"/>
          <w:sz w:val="10"/>
          <w:szCs w:val="10"/>
          <w:color w:val="auto"/>
        </w:rPr>
        <w:t>The total auditor’s remuneration of $58 million (2019: $54 million, 2018: $53 million) is categorised as follows: audit $56 million (2019: $52</w:t>
      </w:r>
    </w:p>
    <w:p>
      <w:pPr>
        <w:spacing w:after="0" w:line="225" w:lineRule="auto"/>
        <w:rPr>
          <w:sz w:val="20"/>
          <w:szCs w:val="20"/>
          <w:color w:val="auto"/>
        </w:rPr>
      </w:pPr>
      <w:r>
        <w:rPr>
          <w:rFonts w:ascii="Arial" w:cs="Arial" w:eastAsia="Arial" w:hAnsi="Arial"/>
          <w:sz w:val="10"/>
          <w:szCs w:val="10"/>
          <w:color w:val="auto"/>
        </w:rPr>
        <w:t>million, 2018: $50 million), audit-related $nil (2019: $1 million, 2018 $2 million), and all other fees $2 million (2019: $1 million, 2018: $1</w:t>
      </w:r>
    </w:p>
    <w:p>
      <w:pPr>
        <w:spacing w:after="0" w:line="237" w:lineRule="auto"/>
        <w:rPr>
          <w:sz w:val="20"/>
          <w:szCs w:val="20"/>
          <w:color w:val="auto"/>
        </w:rPr>
      </w:pPr>
      <w:r>
        <w:rPr>
          <w:rFonts w:ascii="Arial" w:cs="Arial" w:eastAsia="Arial" w:hAnsi="Arial"/>
          <w:sz w:val="10"/>
          <w:szCs w:val="10"/>
          <w:color w:val="auto"/>
        </w:rPr>
        <w:t>million).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115</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DIRECTORS’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1885950" cy="1045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88595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color w:val="auto"/>
        </w:rPr>
        <w:t>NEIL CARSON</w:t>
      </w:r>
    </w:p>
    <w:p>
      <w:pPr>
        <w:spacing w:after="0"/>
        <w:rPr>
          <w:sz w:val="20"/>
          <w:szCs w:val="20"/>
          <w:color w:val="auto"/>
        </w:rPr>
      </w:pPr>
      <w:r>
        <w:rPr>
          <w:rFonts w:ascii="Arial" w:cs="Arial" w:eastAsia="Arial" w:hAnsi="Arial"/>
          <w:sz w:val="10"/>
          <w:szCs w:val="10"/>
          <w:color w:val="auto"/>
        </w:rPr>
        <w:t>Chair of the Remuneration Committee</w:t>
      </w:r>
    </w:p>
    <w:p>
      <w:pPr>
        <w:spacing w:after="0" w:line="15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year we have recognised the challenges of 2020 faced by all stakeholders, the resilience of the business, and supported achievement of our strategic ambitions in the longer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1885950" cy="21545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885950" cy="21545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Pay outcomes for Executive Directors</w:t>
      </w:r>
    </w:p>
    <w:p>
      <w:pPr>
        <w:spacing w:after="0" w:line="157" w:lineRule="exact"/>
        <w:rPr>
          <w:sz w:val="20"/>
          <w:szCs w:val="20"/>
          <w:color w:val="auto"/>
        </w:rPr>
      </w:pPr>
    </w:p>
    <w:p>
      <w:pPr>
        <w:spacing w:after="0"/>
        <w:rPr>
          <w:sz w:val="20"/>
          <w:szCs w:val="20"/>
          <w:color w:val="auto"/>
        </w:rPr>
      </w:pPr>
      <w:r>
        <w:rPr>
          <w:rFonts w:ascii="Arial" w:cs="Arial" w:eastAsia="Arial" w:hAnsi="Arial"/>
          <w:sz w:val="10"/>
          <w:szCs w:val="10"/>
          <w:color w:val="auto"/>
        </w:rPr>
        <w:t>Annual bonus: nil.</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LTIP: below-target vesting based on three-year performance.</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Single-figure outcome: realised pay below target and a single-figure reduction of 41% for the CEO and 38% for the CFO.</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Salary: no increases for 2021.</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LTIP: one-off reduction of 2021 award to mitigate risk of windfall gains.</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Shareholding requirement: Executive Directors' high personal shareholdings ensured strong alignment with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Aligning pay with strategy</w:t>
      </w:r>
    </w:p>
    <w:p>
      <w:pPr>
        <w:spacing w:after="0" w:line="157" w:lineRule="exact"/>
        <w:rPr>
          <w:sz w:val="20"/>
          <w:szCs w:val="20"/>
          <w:color w:val="auto"/>
        </w:rPr>
      </w:pPr>
    </w:p>
    <w:p>
      <w:pPr>
        <w:spacing w:after="0"/>
        <w:rPr>
          <w:sz w:val="20"/>
          <w:szCs w:val="20"/>
          <w:color w:val="auto"/>
        </w:rPr>
      </w:pPr>
      <w:r>
        <w:rPr>
          <w:rFonts w:ascii="Arial" w:cs="Arial" w:eastAsia="Arial" w:hAnsi="Arial"/>
          <w:sz w:val="10"/>
          <w:szCs w:val="10"/>
          <w:color w:val="auto"/>
        </w:rPr>
        <w:t>LTIP:</w:t>
      </w:r>
    </w:p>
    <w:p>
      <w:pPr>
        <w:ind w:left="440" w:hanging="215"/>
        <w:spacing w:after="0"/>
        <w:tabs>
          <w:tab w:leader="none" w:pos="440" w:val="left"/>
        </w:tabs>
        <w:numPr>
          <w:ilvl w:val="0"/>
          <w:numId w:val="107"/>
        </w:numPr>
        <w:rPr>
          <w:rFonts w:ascii="Arial" w:cs="Arial" w:eastAsia="Arial" w:hAnsi="Arial"/>
          <w:sz w:val="10"/>
          <w:szCs w:val="10"/>
          <w:color w:val="auto"/>
        </w:rPr>
      </w:pPr>
      <w:r>
        <w:rPr>
          <w:rFonts w:ascii="Arial" w:cs="Arial" w:eastAsia="Arial" w:hAnsi="Arial"/>
          <w:sz w:val="10"/>
          <w:szCs w:val="10"/>
          <w:color w:val="auto"/>
        </w:rPr>
        <w:t>Increased weighting of energy transition condition in the LTIP to 20%.</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Annual bonus:</w:t>
      </w:r>
    </w:p>
    <w:p>
      <w:pPr>
        <w:spacing w:after="0" w:line="1" w:lineRule="exact"/>
        <w:rPr>
          <w:sz w:val="20"/>
          <w:szCs w:val="20"/>
          <w:color w:val="auto"/>
        </w:rPr>
      </w:pPr>
    </w:p>
    <w:p>
      <w:pPr>
        <w:ind w:left="440" w:right="200" w:hanging="215"/>
        <w:spacing w:after="0" w:line="225" w:lineRule="auto"/>
        <w:tabs>
          <w:tab w:leader="none" w:pos="438" w:val="left"/>
        </w:tabs>
        <w:numPr>
          <w:ilvl w:val="0"/>
          <w:numId w:val="108"/>
        </w:numPr>
        <w:rPr>
          <w:rFonts w:ascii="Arial" w:cs="Arial" w:eastAsia="Arial" w:hAnsi="Arial"/>
          <w:sz w:val="10"/>
          <w:szCs w:val="10"/>
          <w:color w:val="auto"/>
        </w:rPr>
      </w:pPr>
      <w:r>
        <w:rPr>
          <w:rFonts w:ascii="Arial" w:cs="Arial" w:eastAsia="Arial" w:hAnsi="Arial"/>
          <w:sz w:val="10"/>
          <w:szCs w:val="10"/>
          <w:color w:val="auto"/>
        </w:rPr>
        <w:t>Refreshed annual bonus scorecard to give greater alignment with updated strategy, with a focus on financial delivery, operational excellence, progress in the energy transition and safety.</w:t>
      </w:r>
    </w:p>
    <w:p>
      <w:pPr>
        <w:ind w:left="440" w:hanging="215"/>
        <w:spacing w:after="0" w:line="225" w:lineRule="auto"/>
        <w:tabs>
          <w:tab w:leader="none" w:pos="440" w:val="left"/>
        </w:tabs>
        <w:numPr>
          <w:ilvl w:val="0"/>
          <w:numId w:val="108"/>
        </w:numPr>
        <w:rPr>
          <w:rFonts w:ascii="Arial" w:cs="Arial" w:eastAsia="Arial" w:hAnsi="Arial"/>
          <w:sz w:val="10"/>
          <w:szCs w:val="10"/>
          <w:color w:val="auto"/>
        </w:rPr>
      </w:pPr>
      <w:r>
        <w:rPr>
          <w:rFonts w:ascii="Arial" w:cs="Arial" w:eastAsia="Arial" w:hAnsi="Arial"/>
          <w:sz w:val="10"/>
          <w:szCs w:val="10"/>
          <w:color w:val="auto"/>
        </w:rPr>
        <w:t>Metrics linked to production and LNG liquefaction volumes removed.</w:t>
      </w:r>
    </w:p>
    <w:p>
      <w:pPr>
        <w:ind w:left="440" w:hanging="215"/>
        <w:spacing w:after="0"/>
        <w:tabs>
          <w:tab w:leader="none" w:pos="440" w:val="left"/>
        </w:tabs>
        <w:numPr>
          <w:ilvl w:val="0"/>
          <w:numId w:val="108"/>
        </w:numPr>
        <w:rPr>
          <w:rFonts w:ascii="Arial" w:cs="Arial" w:eastAsia="Arial" w:hAnsi="Arial"/>
          <w:sz w:val="8"/>
          <w:szCs w:val="8"/>
          <w:color w:val="auto"/>
        </w:rPr>
      </w:pPr>
      <w:r>
        <w:rPr>
          <w:rFonts w:ascii="Arial" w:cs="Arial" w:eastAsia="Arial" w:hAnsi="Arial"/>
          <w:sz w:val="8"/>
          <w:szCs w:val="8"/>
          <w:color w:val="auto"/>
        </w:rPr>
        <w:t>New Serious Injury and Fatality Frequency (SIF-F) safety metric replaces Total Recordable Case Frequency (TRCF).</w:t>
      </w:r>
    </w:p>
    <w:p>
      <w:pPr>
        <w:spacing w:after="0" w:line="16" w:lineRule="exact"/>
        <w:rPr>
          <w:rFonts w:ascii="Arial" w:cs="Arial" w:eastAsia="Arial" w:hAnsi="Arial"/>
          <w:sz w:val="8"/>
          <w:szCs w:val="8"/>
          <w:color w:val="auto"/>
        </w:rPr>
      </w:pPr>
    </w:p>
    <w:p>
      <w:pPr>
        <w:ind w:left="440" w:hanging="215"/>
        <w:spacing w:after="0" w:line="225" w:lineRule="auto"/>
        <w:tabs>
          <w:tab w:leader="none" w:pos="440" w:val="left"/>
        </w:tabs>
        <w:numPr>
          <w:ilvl w:val="0"/>
          <w:numId w:val="108"/>
        </w:numPr>
        <w:rPr>
          <w:rFonts w:ascii="Arial" w:cs="Arial" w:eastAsia="Arial" w:hAnsi="Arial"/>
          <w:sz w:val="10"/>
          <w:szCs w:val="10"/>
          <w:color w:val="auto"/>
        </w:rPr>
      </w:pPr>
      <w:r>
        <w:rPr>
          <w:rFonts w:ascii="Arial" w:cs="Arial" w:eastAsia="Arial" w:hAnsi="Arial"/>
          <w:sz w:val="10"/>
          <w:szCs w:val="10"/>
          <w:color w:val="auto"/>
        </w:rPr>
        <w:t>Weighting of safety performance measures increased to 15%.</w:t>
      </w:r>
    </w:p>
    <w:p>
      <w:pPr>
        <w:ind w:left="440" w:hanging="215"/>
        <w:spacing w:after="0" w:line="236" w:lineRule="auto"/>
        <w:tabs>
          <w:tab w:leader="none" w:pos="440" w:val="left"/>
        </w:tabs>
        <w:numPr>
          <w:ilvl w:val="0"/>
          <w:numId w:val="108"/>
        </w:numPr>
        <w:rPr>
          <w:rFonts w:ascii="Arial" w:cs="Arial" w:eastAsia="Arial" w:hAnsi="Arial"/>
          <w:sz w:val="10"/>
          <w:szCs w:val="10"/>
          <w:color w:val="auto"/>
        </w:rPr>
      </w:pPr>
      <w:r>
        <w:rPr>
          <w:rFonts w:ascii="Arial" w:cs="Arial" w:eastAsia="Arial" w:hAnsi="Arial"/>
          <w:sz w:val="10"/>
          <w:szCs w:val="10"/>
          <w:color w:val="auto"/>
        </w:rPr>
        <w:t>Weighting of progress in the energy transition performance measures of 15%.</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THIS REPORT</w:t>
      </w:r>
    </w:p>
    <w:p>
      <w:pPr>
        <w:spacing w:after="0" w:line="3" w:lineRule="exact"/>
        <w:rPr>
          <w:sz w:val="20"/>
          <w:szCs w:val="20"/>
          <w:color w:val="auto"/>
        </w:rPr>
      </w:pPr>
    </w:p>
    <w:p>
      <w:pPr>
        <w:ind w:right="160"/>
        <w:spacing w:after="0" w:line="225" w:lineRule="auto"/>
        <w:rPr>
          <w:sz w:val="20"/>
          <w:szCs w:val="20"/>
          <w:color w:val="auto"/>
        </w:rPr>
      </w:pPr>
      <w:r>
        <w:rPr>
          <w:rFonts w:ascii="Arial" w:cs="Arial" w:eastAsia="Arial" w:hAnsi="Arial"/>
          <w:sz w:val="10"/>
          <w:szCs w:val="10"/>
          <w:color w:val="auto"/>
        </w:rPr>
        <w:t>This Directors’ Remuneration Report for 2020 has been prepared in accordance with relevant UK corporate governance and legal requirements, in particular Schedule 8 of The Large and Medium-sized Companies and Groups (Accounts and Reports) Regulations 2008 (as amended). The Board has approved this report. This report consists of two further sections:</w:t>
      </w:r>
    </w:p>
    <w:p>
      <w:pPr>
        <w:spacing w:after="0" w:line="1" w:lineRule="exact"/>
        <w:rPr>
          <w:sz w:val="20"/>
          <w:szCs w:val="20"/>
          <w:color w:val="auto"/>
        </w:rPr>
      </w:pPr>
    </w:p>
    <w:p>
      <w:pPr>
        <w:ind w:left="120" w:right="400" w:hanging="111"/>
        <w:spacing w:after="0" w:line="225" w:lineRule="auto"/>
        <w:tabs>
          <w:tab w:leader="none" w:pos="115" w:val="left"/>
        </w:tabs>
        <w:numPr>
          <w:ilvl w:val="0"/>
          <w:numId w:val="109"/>
        </w:numPr>
        <w:rPr>
          <w:rFonts w:ascii="Arial" w:cs="Arial" w:eastAsia="Arial" w:hAnsi="Arial"/>
          <w:sz w:val="10"/>
          <w:szCs w:val="10"/>
          <w:color w:val="auto"/>
        </w:rPr>
      </w:pPr>
      <w:r>
        <w:rPr>
          <w:rFonts w:ascii="Arial" w:cs="Arial" w:eastAsia="Arial" w:hAnsi="Arial"/>
          <w:sz w:val="10"/>
          <w:szCs w:val="10"/>
          <w:color w:val="auto"/>
        </w:rPr>
        <w:t>the Annual Report on Remuneration (describing 2020 remuneration and the planned implementation of the Directors’ Remuneration Policy in 2021); and</w:t>
      </w:r>
    </w:p>
    <w:p>
      <w:pPr>
        <w:ind w:left="100" w:hanging="91"/>
        <w:spacing w:after="0" w:line="236" w:lineRule="auto"/>
        <w:tabs>
          <w:tab w:leader="none" w:pos="100" w:val="left"/>
        </w:tabs>
        <w:numPr>
          <w:ilvl w:val="0"/>
          <w:numId w:val="109"/>
        </w:numPr>
        <w:rPr>
          <w:rFonts w:ascii="Arial" w:cs="Arial" w:eastAsia="Arial" w:hAnsi="Arial"/>
          <w:sz w:val="10"/>
          <w:szCs w:val="10"/>
          <w:color w:val="auto"/>
        </w:rPr>
      </w:pPr>
      <w:r>
        <w:rPr>
          <w:rFonts w:ascii="Arial" w:cs="Arial" w:eastAsia="Arial" w:hAnsi="Arial"/>
          <w:sz w:val="10"/>
          <w:szCs w:val="10"/>
          <w:color w:val="auto"/>
        </w:rPr>
        <w:t>the Directors’ Remuneration Policy which was approved by shareholders at the 2020 AGM.</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Dear Shareholders,</w:t>
      </w:r>
    </w:p>
    <w:p>
      <w:pPr>
        <w:spacing w:after="0" w:line="155" w:lineRule="exact"/>
        <w:rPr>
          <w:sz w:val="20"/>
          <w:szCs w:val="20"/>
          <w:color w:val="auto"/>
        </w:rPr>
      </w:pPr>
    </w:p>
    <w:p>
      <w:pPr>
        <w:ind w:right="140"/>
        <w:spacing w:after="0" w:line="300" w:lineRule="auto"/>
        <w:rPr>
          <w:sz w:val="20"/>
          <w:szCs w:val="20"/>
          <w:color w:val="auto"/>
        </w:rPr>
      </w:pPr>
      <w:r>
        <w:rPr>
          <w:rFonts w:ascii="Arial" w:cs="Arial" w:eastAsia="Arial" w:hAnsi="Arial"/>
          <w:sz w:val="8"/>
          <w:szCs w:val="8"/>
          <w:color w:val="auto"/>
        </w:rPr>
        <w:t>The Remuneration Committee (REMCO) has worked hard in recent years to engage with shareholders on decision-making and to improve the quality of our disclosures. At the Annual General Meeting in May 2020, when my predecessor, Gerald Kleisterlee, stepped down, there was strong support of the 2019 Annual Report on Remuneration (95.44% in favour) and the 2020 Directors’ Remuneration Policy (92.91% in favour). I have since had the opportunity to meet a considerable number of shareholders and I value the openness of these discussions. In such challenging times, these engagements have helped to shape and inform the REMCO’s decisions.</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COVID-19</w:t>
      </w:r>
    </w:p>
    <w:p>
      <w:pPr>
        <w:spacing w:after="0" w:line="155" w:lineRule="exact"/>
        <w:rPr>
          <w:sz w:val="20"/>
          <w:szCs w:val="20"/>
          <w:color w:val="auto"/>
        </w:rPr>
      </w:pPr>
    </w:p>
    <w:p>
      <w:pPr>
        <w:ind w:right="180"/>
        <w:spacing w:after="0" w:line="232" w:lineRule="auto"/>
        <w:rPr>
          <w:sz w:val="20"/>
          <w:szCs w:val="20"/>
          <w:color w:val="auto"/>
        </w:rPr>
      </w:pPr>
      <w:r>
        <w:rPr>
          <w:rFonts w:ascii="Arial" w:cs="Arial" w:eastAsia="Arial" w:hAnsi="Arial"/>
          <w:sz w:val="10"/>
          <w:szCs w:val="10"/>
          <w:color w:val="auto"/>
        </w:rPr>
        <w:t>The COVID-19 pandemic and its consequences have had an enormous impact in 2020, affecting people around the world and creating extremely challenging conditions for Shell, the energy sector and wider industry. Throughout this period, in addition to the steps to reinforce the financial strength and resilience of its business, Shell’s priorities have been the well-being and safety of employees, taking care of customers, and supporting the communities where Shell operates.</w:t>
      </w:r>
    </w:p>
    <w:p>
      <w:pPr>
        <w:spacing w:after="0" w:line="200" w:lineRule="exact"/>
        <w:rPr>
          <w:sz w:val="20"/>
          <w:szCs w:val="20"/>
          <w:color w:val="auto"/>
        </w:rPr>
      </w:pPr>
    </w:p>
    <w:p>
      <w:pPr>
        <w:sectPr>
          <w:pgSz w:w="11900" w:h="16838" w:orient="portrait"/>
          <w:cols w:equalWidth="0" w:num="2">
            <w:col w:w="5300" w:space="420"/>
            <w:col w:w="5580"/>
          </w:cols>
          <w:pgMar w:left="300" w:top="721" w:right="299" w:bottom="1440" w:gutter="0" w:footer="0" w:header="0"/>
        </w:sect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116</w:t>
            </w:r>
          </w:p>
        </w:tc>
      </w:tr>
      <w:tr>
        <w:trPr>
          <w:trHeight w:val="142"/>
        </w:trPr>
        <w:tc>
          <w:tcPr>
            <w:tcW w:w="3420" w:type="dxa"/>
            <w:vAlign w:val="bottom"/>
            <w:tcBorders>
              <w:bottom w:val="single" w:sz="8" w:color="9A9A9A"/>
            </w:tcBorders>
          </w:tcPr>
          <w:p>
            <w:pPr>
              <w:spacing w:after="0"/>
              <w:rPr>
                <w:sz w:val="12"/>
                <w:szCs w:val="12"/>
                <w:color w:val="auto"/>
              </w:rPr>
            </w:pPr>
          </w:p>
        </w:tc>
        <w:tc>
          <w:tcPr>
            <w:tcW w:w="78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type w:val="continuous"/>
        </w:sectPr>
      </w:pPr>
    </w:p>
    <w:bookmarkStart w:id="119" w:name="page120"/>
    <w:bookmarkEnd w:id="119"/>
    <w:p>
      <w:pPr>
        <w:ind w:right="80"/>
        <w:spacing w:after="0" w:line="300" w:lineRule="auto"/>
        <w:rPr>
          <w:sz w:val="20"/>
          <w:szCs w:val="20"/>
          <w:color w:val="auto"/>
        </w:rPr>
      </w:pPr>
      <w:r>
        <w:rPr>
          <w:rFonts w:ascii="Arial" w:cs="Arial" w:eastAsia="Arial" w:hAnsi="Arial"/>
          <w:sz w:val="8"/>
          <w:szCs w:val="8"/>
          <w:color w:val="auto"/>
        </w:rPr>
        <w:t>For Shell employees, the pandemic and the changes to the way in which we live and work undoubtedly caused increased anxiety and stress. Shell has sought to provide support in a variety of ways to help our people manage their mental health and bolster resilience during these difficult times. For example; additional leave policies were introduced and flexible working patterns have been encouraged to support families juggling home schooling and caring for dependent parents. Cash allowances for ergonomic office equipment have been provided to those working from home offices, dining tables and bedrooms around the world.</w:t>
      </w:r>
    </w:p>
    <w:p>
      <w:pPr>
        <w:spacing w:after="0" w:line="127" w:lineRule="exact"/>
        <w:rPr>
          <w:sz w:val="20"/>
          <w:szCs w:val="20"/>
          <w:color w:val="auto"/>
        </w:rPr>
      </w:pPr>
    </w:p>
    <w:p>
      <w:pPr>
        <w:ind w:right="40"/>
        <w:spacing w:after="0" w:line="300" w:lineRule="auto"/>
        <w:rPr>
          <w:sz w:val="20"/>
          <w:szCs w:val="20"/>
          <w:color w:val="auto"/>
        </w:rPr>
      </w:pPr>
      <w:r>
        <w:rPr>
          <w:rFonts w:ascii="Arial" w:cs="Arial" w:eastAsia="Arial" w:hAnsi="Arial"/>
          <w:sz w:val="8"/>
          <w:szCs w:val="8"/>
          <w:color w:val="auto"/>
        </w:rPr>
        <w:t>Given the scale of the challenge facing Shell and the uncertainty about the speed of recovery, measures to ensure Shell's financial resilience have also impacted our people. Where required, Shell has sought to manage these sensitively, giving employees certainty and choice wherever possible. For example, towards the start of the pandemic, Shell made the commitment that there would be no new redundancies for three months. It then offered voluntary severance programmes giving those with a preference to leave employment the chance to do so. On pay, base salaries have been protected, with no cuts or temporary reductions made to salary.</w:t>
      </w:r>
    </w:p>
    <w:p>
      <w:pPr>
        <w:spacing w:after="0" w:line="127" w:lineRule="exact"/>
        <w:rPr>
          <w:sz w:val="20"/>
          <w:szCs w:val="20"/>
          <w:color w:val="auto"/>
        </w:rPr>
      </w:pPr>
    </w:p>
    <w:p>
      <w:pPr>
        <w:ind w:right="40"/>
        <w:spacing w:after="0" w:line="300" w:lineRule="auto"/>
        <w:rPr>
          <w:sz w:val="20"/>
          <w:szCs w:val="20"/>
          <w:color w:val="auto"/>
        </w:rPr>
      </w:pPr>
      <w:r>
        <w:rPr>
          <w:rFonts w:ascii="Arial" w:cs="Arial" w:eastAsia="Arial" w:hAnsi="Arial"/>
          <w:sz w:val="8"/>
          <w:szCs w:val="8"/>
          <w:color w:val="auto"/>
        </w:rPr>
        <w:t>The deteriorating global economic situation and significant uncertainties about mid- to longer-term economic conditions meant management and the Board had to take decisive measures to ensure the financial resilience of the Company. These included the decision by the Board to not proceed with the next tranche of the share buyback programme and to rebase the dividend. We have subsequently announced an intent to increase the dividend annually, subject to Board approval. These measures have had a significant effect on our shareholders, and accordingly have influenced the REMCO's decision-making in 2020.</w:t>
      </w:r>
    </w:p>
    <w:p>
      <w:pPr>
        <w:spacing w:after="0" w:line="127" w:lineRule="exact"/>
        <w:rPr>
          <w:sz w:val="20"/>
          <w:szCs w:val="20"/>
          <w:color w:val="auto"/>
        </w:rPr>
      </w:pPr>
    </w:p>
    <w:p>
      <w:pPr>
        <w:spacing w:after="0" w:line="299" w:lineRule="auto"/>
        <w:rPr>
          <w:sz w:val="20"/>
          <w:szCs w:val="20"/>
          <w:color w:val="auto"/>
        </w:rPr>
      </w:pPr>
      <w:r>
        <w:rPr>
          <w:rFonts w:ascii="Arial" w:cs="Arial" w:eastAsia="Arial" w:hAnsi="Arial"/>
          <w:sz w:val="8"/>
          <w:szCs w:val="8"/>
          <w:color w:val="auto"/>
        </w:rPr>
        <w:t>Shell has also taken steps to support customers and communities. These have included providing free food and drinks to health-care professionals and delivery workers at more than 15,000 retail sites across more than 30 countries. We also delivered care packs to frontline workers and essential service drivers in six countries. We have donated fuel vouchers, groceries, hygiene kits and ingredients for sanitising products. In December 2020, Shell made a $10 million donation to the GAVI vaccine alliance to help fund the COVAX initiative for equitable global access to COVID-19 vaccines. Further information on Shell's contribution to COVID-19 relief efforts will be published in the Shell Sustainability Report in April 2021.</w:t>
      </w:r>
    </w:p>
    <w:p>
      <w:pPr>
        <w:spacing w:after="0" w:line="237" w:lineRule="exact"/>
        <w:rPr>
          <w:sz w:val="20"/>
          <w:szCs w:val="20"/>
          <w:color w:val="auto"/>
        </w:rPr>
      </w:pPr>
    </w:p>
    <w:p>
      <w:pPr>
        <w:ind w:right="120"/>
        <w:spacing w:after="0" w:line="320" w:lineRule="auto"/>
        <w:rPr>
          <w:sz w:val="20"/>
          <w:szCs w:val="20"/>
          <w:color w:val="auto"/>
        </w:rPr>
      </w:pPr>
      <w:r>
        <w:rPr>
          <w:rFonts w:ascii="Arial" w:cs="Arial" w:eastAsia="Arial" w:hAnsi="Arial"/>
          <w:sz w:val="8"/>
          <w:szCs w:val="8"/>
          <w:color w:val="auto"/>
        </w:rPr>
        <w:t>During 2020, many governments introduced packages to support business and stimulate economies as the pandemic negatively affected businesses and jobs. Shell recognises that much of this support was intended to help smaller businesses. Shell has made very limited use of these support measures, and only where it was considered appropriate in the local context.</w:t>
      </w:r>
    </w:p>
    <w:p>
      <w:pPr>
        <w:spacing w:after="0" w:line="118" w:lineRule="exact"/>
        <w:rPr>
          <w:sz w:val="20"/>
          <w:szCs w:val="20"/>
          <w:color w:val="auto"/>
        </w:rPr>
      </w:pPr>
    </w:p>
    <w:p>
      <w:pPr>
        <w:ind w:right="40"/>
        <w:spacing w:after="0" w:line="232" w:lineRule="auto"/>
        <w:rPr>
          <w:sz w:val="20"/>
          <w:szCs w:val="20"/>
          <w:color w:val="auto"/>
        </w:rPr>
      </w:pPr>
      <w:r>
        <w:rPr>
          <w:rFonts w:ascii="Arial" w:cs="Arial" w:eastAsia="Arial" w:hAnsi="Arial"/>
          <w:sz w:val="10"/>
          <w:szCs w:val="10"/>
          <w:color w:val="auto"/>
        </w:rPr>
        <w:t>The REMCO has sought to balance two factors in its deliberations. The first was the response to the headwinds of 2020 and how this has affected our shareholders, our employees and our relationships with customers and governments. Against this, the REMCO has had to weigh the need to achieve Shell’s longer-term strategic ambitions as it accelerates its transformation into a provider of net-zero emissions energy products and services.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2020 PERFORMANCE AND REMUNERATION DECISIONS</w:t>
      </w:r>
    </w:p>
    <w:p>
      <w:pPr>
        <w:spacing w:after="0" w:line="1" w:lineRule="exact"/>
        <w:rPr>
          <w:sz w:val="20"/>
          <w:szCs w:val="20"/>
          <w:color w:val="auto"/>
        </w:rPr>
      </w:pPr>
    </w:p>
    <w:p>
      <w:pPr>
        <w:ind w:right="220"/>
        <w:spacing w:after="0" w:line="229" w:lineRule="auto"/>
        <w:rPr>
          <w:sz w:val="20"/>
          <w:szCs w:val="20"/>
          <w:color w:val="auto"/>
        </w:rPr>
      </w:pPr>
      <w:r>
        <w:rPr>
          <w:rFonts w:ascii="Arial" w:cs="Arial" w:eastAsia="Arial" w:hAnsi="Arial"/>
          <w:sz w:val="10"/>
          <w:szCs w:val="10"/>
          <w:color w:val="auto"/>
        </w:rPr>
        <w:t>In 2020, the REMCO was pleased to see improved safety performance, with a reduction in the number of personal and process safety incidents. There were no safety-related fatalities in 2020 in Shell-operated ventures, but there were two COVID-19-related occupational illnesses resulting in death.</w:t>
      </w:r>
    </w:p>
    <w:p>
      <w:pPr>
        <w:spacing w:after="0" w:line="149" w:lineRule="exact"/>
        <w:rPr>
          <w:sz w:val="20"/>
          <w:szCs w:val="20"/>
          <w:color w:val="auto"/>
        </w:rPr>
      </w:pPr>
    </w:p>
    <w:p>
      <w:pPr>
        <w:ind w:right="40"/>
        <w:spacing w:after="0" w:line="320" w:lineRule="auto"/>
        <w:rPr>
          <w:sz w:val="20"/>
          <w:szCs w:val="20"/>
          <w:color w:val="auto"/>
        </w:rPr>
      </w:pPr>
      <w:r>
        <w:rPr>
          <w:rFonts w:ascii="Arial" w:cs="Arial" w:eastAsia="Arial" w:hAnsi="Arial"/>
          <w:sz w:val="8"/>
          <w:szCs w:val="8"/>
          <w:color w:val="auto"/>
        </w:rPr>
        <w:t>Shell has demonstrated resilience despite facing significant headwinds in 2020. Cash flow from operations (CFFO) has been strong, with the Shell Group clearly outperforming our competitors. This reflects the work done over recent years to high-grade the portfolio, the value created from Shell’s integrated business model, and the disciplined approach to managing operating expenditure over the year.</w:t>
      </w:r>
    </w:p>
    <w:p>
      <w:pPr>
        <w:spacing w:after="0" w:line="118" w:lineRule="exact"/>
        <w:rPr>
          <w:sz w:val="20"/>
          <w:szCs w:val="20"/>
          <w:color w:val="auto"/>
        </w:rPr>
      </w:pPr>
    </w:p>
    <w:p>
      <w:pPr>
        <w:spacing w:after="0"/>
        <w:rPr>
          <w:sz w:val="20"/>
          <w:szCs w:val="20"/>
          <w:color w:val="auto"/>
        </w:rPr>
      </w:pPr>
      <w:r>
        <w:rPr>
          <w:rFonts w:ascii="Arial" w:cs="Arial" w:eastAsia="Arial" w:hAnsi="Arial"/>
          <w:sz w:val="8"/>
          <w:szCs w:val="8"/>
          <w:color w:val="auto"/>
        </w:rPr>
        <w:t>For the avoidance of doubt, the Remuneration Committee made no changes to targets under the in-flight annual bonus or LTIP awards.</w:t>
      </w:r>
    </w:p>
    <w:p>
      <w:pPr>
        <w:spacing w:after="0" w:line="178" w:lineRule="exact"/>
        <w:rPr>
          <w:sz w:val="20"/>
          <w:szCs w:val="20"/>
          <w:color w:val="auto"/>
        </w:rPr>
      </w:pPr>
    </w:p>
    <w:p>
      <w:pPr>
        <w:ind w:right="40"/>
        <w:spacing w:after="0" w:line="239" w:lineRule="auto"/>
        <w:rPr>
          <w:sz w:val="20"/>
          <w:szCs w:val="20"/>
          <w:color w:val="auto"/>
        </w:rPr>
      </w:pPr>
      <w:r>
        <w:rPr>
          <w:rFonts w:ascii="Arial" w:cs="Arial" w:eastAsia="Arial" w:hAnsi="Arial"/>
          <w:sz w:val="10"/>
          <w:szCs w:val="10"/>
          <w:color w:val="auto"/>
        </w:rPr>
        <w:t>The share price performance has, of course, been disappointing. The mechanisms in the Remuneration Policy mean there is strong alignment of interests between management and shareholders. The high shareholding</w:t>
      </w:r>
    </w:p>
    <w:p>
      <w:pPr>
        <w:spacing w:after="0" w:line="20" w:lineRule="exact"/>
        <w:rPr>
          <w:sz w:val="20"/>
          <w:szCs w:val="20"/>
          <w:color w:val="auto"/>
        </w:rPr>
      </w:pPr>
      <w:r>
        <w:rPr>
          <w:sz w:val="20"/>
          <w:szCs w:val="20"/>
          <w:color w:val="auto"/>
        </w:rPr>
        <w:br w:type="column"/>
      </w:r>
    </w:p>
    <w:p>
      <w:pPr>
        <w:jc w:val="both"/>
        <w:ind w:right="320"/>
        <w:spacing w:after="0" w:line="320" w:lineRule="auto"/>
        <w:rPr>
          <w:sz w:val="20"/>
          <w:szCs w:val="20"/>
          <w:color w:val="auto"/>
        </w:rPr>
      </w:pPr>
      <w:r>
        <w:rPr>
          <w:rFonts w:ascii="Arial" w:cs="Arial" w:eastAsia="Arial" w:hAnsi="Arial"/>
          <w:sz w:val="8"/>
          <w:szCs w:val="8"/>
          <w:color w:val="auto"/>
        </w:rPr>
        <w:t>targets of 700% of base salary for the CEO and 500% for the CFO, and the three-year post-delivery holding requirements attached to the Long-term Incentive Plan (LTIP) and the 50% portion of the bonus delivered in shares. This mean that Executive Directors have a large investment in Shell, so the share price performance over 2020 has had significant personal impact.</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2021 base salary</w:t>
      </w:r>
    </w:p>
    <w:p>
      <w:pPr>
        <w:spacing w:after="0" w:line="1" w:lineRule="exact"/>
        <w:rPr>
          <w:sz w:val="20"/>
          <w:szCs w:val="20"/>
          <w:color w:val="auto"/>
        </w:rPr>
      </w:pPr>
    </w:p>
    <w:p>
      <w:pPr>
        <w:ind w:right="200"/>
        <w:spacing w:after="0" w:line="229" w:lineRule="auto"/>
        <w:rPr>
          <w:sz w:val="20"/>
          <w:szCs w:val="20"/>
          <w:color w:val="auto"/>
        </w:rPr>
      </w:pPr>
      <w:r>
        <w:rPr>
          <w:rFonts w:ascii="Arial" w:cs="Arial" w:eastAsia="Arial" w:hAnsi="Arial"/>
          <w:sz w:val="10"/>
          <w:szCs w:val="10"/>
          <w:color w:val="auto"/>
        </w:rPr>
        <w:t>The REMCO decided in April 2020 that in light of the financial challenges and the need for disciplined management of operating expenses, there would be no salary increases for Executive Directors and Senior Management for 2021. There will also be no salary increase for the majority of Shell employees globally.</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Annual bonus</w:t>
      </w:r>
    </w:p>
    <w:p>
      <w:pPr>
        <w:spacing w:after="0" w:line="1" w:lineRule="exact"/>
        <w:rPr>
          <w:sz w:val="20"/>
          <w:szCs w:val="20"/>
          <w:color w:val="auto"/>
        </w:rPr>
      </w:pPr>
    </w:p>
    <w:p>
      <w:pPr>
        <w:ind w:right="160"/>
        <w:spacing w:after="0" w:line="295" w:lineRule="auto"/>
        <w:rPr>
          <w:sz w:val="20"/>
          <w:szCs w:val="20"/>
          <w:color w:val="auto"/>
        </w:rPr>
      </w:pPr>
      <w:r>
        <w:rPr>
          <w:rFonts w:ascii="Arial" w:cs="Arial" w:eastAsia="Arial" w:hAnsi="Arial"/>
          <w:sz w:val="8"/>
          <w:szCs w:val="8"/>
          <w:color w:val="auto"/>
        </w:rPr>
        <w:t>The REMCO had approved a 2020 annual bonus scorecard at its meeting on January 28, 2020, based on Shell’s operating plan, but this scorecard was not communicated to participants as within a few weeks it became clear that the operating plan had been overtaken by events and was no longer appropriate. It was decided that targets would not be reset</w:t>
      </w:r>
      <w:r>
        <w:rPr>
          <w:rFonts w:ascii="Arial" w:cs="Arial" w:eastAsia="Arial" w:hAnsi="Arial"/>
          <w:sz w:val="8"/>
          <w:szCs w:val="8"/>
          <w:u w:val="single" w:color="auto"/>
          <w:color w:val="auto"/>
        </w:rPr>
        <w:t>,</w:t>
      </w:r>
      <w:r>
        <w:rPr>
          <w:rFonts w:ascii="Arial" w:cs="Arial" w:eastAsia="Arial" w:hAnsi="Arial"/>
          <w:sz w:val="8"/>
          <w:szCs w:val="8"/>
          <w:color w:val="auto"/>
        </w:rPr>
        <w:t xml:space="preserve"> but that operating priorities would be recast to Care in terms of health, safety and well-being for our people, Continuity for our business to support customers and communities and to Cash management to ensure the financial resilience of Shell. The approved scorecard was set aside and Care, Continuity and Cash quickly became the new framework to reflect on performance.</w:t>
      </w:r>
    </w:p>
    <w:p>
      <w:pPr>
        <w:spacing w:after="0" w:line="237" w:lineRule="exact"/>
        <w:rPr>
          <w:sz w:val="20"/>
          <w:szCs w:val="20"/>
          <w:color w:val="auto"/>
        </w:rPr>
      </w:pPr>
    </w:p>
    <w:p>
      <w:pPr>
        <w:ind w:right="140"/>
        <w:spacing w:after="0" w:line="299" w:lineRule="auto"/>
        <w:rPr>
          <w:sz w:val="20"/>
          <w:szCs w:val="20"/>
          <w:color w:val="auto"/>
        </w:rPr>
      </w:pPr>
      <w:r>
        <w:rPr>
          <w:rFonts w:ascii="Arial" w:cs="Arial" w:eastAsia="Arial" w:hAnsi="Arial"/>
          <w:sz w:val="8"/>
          <w:szCs w:val="8"/>
          <w:color w:val="auto"/>
        </w:rPr>
        <w:t>It had also become clear that there would be difficult financial outcomes ahead. Shell announced a change to the financial framework in March 2020. This included stating that we would not proceed with the next tranche of the share buyback programme and would be rebasing the dividend. In light of this, the REMCO decided that there should be no 2020 annual bonuses for Executive Directors and Senior Management. As no Group scorecard was being published and there would be no measurement of performance against the obsolete 2020 scorecard targets other employees were informed that the Group scorecard outcome for 2020 would be set to zero. This was communicated in April 2020 to allow employees to make financial plans.</w:t>
      </w:r>
    </w:p>
    <w:p>
      <w:pPr>
        <w:spacing w:after="0" w:line="237" w:lineRule="exact"/>
        <w:rPr>
          <w:sz w:val="20"/>
          <w:szCs w:val="20"/>
          <w:color w:val="auto"/>
        </w:rPr>
      </w:pPr>
    </w:p>
    <w:p>
      <w:pPr>
        <w:ind w:right="120"/>
        <w:spacing w:after="0" w:line="307" w:lineRule="auto"/>
        <w:rPr>
          <w:sz w:val="20"/>
          <w:szCs w:val="20"/>
          <w:color w:val="auto"/>
        </w:rPr>
      </w:pPr>
      <w:r>
        <w:rPr>
          <w:rFonts w:ascii="Arial" w:cs="Arial" w:eastAsia="Arial" w:hAnsi="Arial"/>
          <w:sz w:val="8"/>
          <w:szCs w:val="8"/>
          <w:color w:val="auto"/>
        </w:rPr>
        <w:t>After the depths of the crisis, there has been some recovery in commodity prices and the business has been resilient in 2020, delivering strong cash generation relative to our peers and performing strongly on safety. But taking into account all relevant factors such as business performance, impairments, dividend changes and the limited use of government support, the REMCO confirmed that its decision that there should be no 2020 annual bonuses for Executive Directors and Senior Management remained appropriate.</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Vesting of 2018 LTIP awards</w:t>
      </w:r>
    </w:p>
    <w:p>
      <w:pPr>
        <w:spacing w:after="0" w:line="1" w:lineRule="exact"/>
        <w:rPr>
          <w:sz w:val="20"/>
          <w:szCs w:val="20"/>
          <w:color w:val="auto"/>
        </w:rPr>
      </w:pPr>
    </w:p>
    <w:p>
      <w:pPr>
        <w:jc w:val="both"/>
        <w:ind w:right="260"/>
        <w:spacing w:after="0" w:line="216" w:lineRule="auto"/>
        <w:rPr>
          <w:sz w:val="20"/>
          <w:szCs w:val="20"/>
          <w:color w:val="auto"/>
        </w:rPr>
      </w:pPr>
      <w:r>
        <w:rPr>
          <w:rFonts w:ascii="Arial" w:cs="Arial" w:eastAsia="Arial" w:hAnsi="Arial"/>
          <w:sz w:val="10"/>
          <w:szCs w:val="10"/>
          <w:color w:val="auto"/>
        </w:rPr>
        <w:t>The financial resilience of Shell and work in recent years to high-grade the portfolio are evident in the vesting outcome of the LTIP, which was 90% out of a maximum of 200% based on relative total shareholder return (TSR), CFFO growth, return on average capital employed (ROACE), and absolute free cash flow (FCF).</w:t>
      </w:r>
    </w:p>
    <w:p>
      <w:pPr>
        <w:spacing w:after="0" w:line="141" w:lineRule="exact"/>
        <w:rPr>
          <w:sz w:val="20"/>
          <w:szCs w:val="20"/>
          <w:color w:val="auto"/>
        </w:rPr>
      </w:pPr>
    </w:p>
    <w:p>
      <w:pPr>
        <w:jc w:val="both"/>
        <w:ind w:right="180"/>
        <w:spacing w:after="0" w:line="234" w:lineRule="auto"/>
        <w:rPr>
          <w:sz w:val="20"/>
          <w:szCs w:val="20"/>
          <w:color w:val="auto"/>
        </w:rPr>
      </w:pPr>
      <w:r>
        <w:rPr>
          <w:rFonts w:ascii="Arial" w:cs="Arial" w:eastAsia="Arial" w:hAnsi="Arial"/>
          <w:sz w:val="10"/>
          <w:szCs w:val="10"/>
          <w:color w:val="auto"/>
        </w:rPr>
        <w:t>CFFO is measured on a relative basis and Shell ranked first, leading to a vesting outcome of 50%. Total CFFO was $34 billion in 2020, with more than $129 billion generated over the three-year vesting period. In absolute terms, this is more than double the CFFO generated in 2020 by our next closest competitor.</w:t>
      </w:r>
    </w:p>
    <w:p>
      <w:pPr>
        <w:spacing w:after="0" w:line="150" w:lineRule="exact"/>
        <w:rPr>
          <w:sz w:val="20"/>
          <w:szCs w:val="20"/>
          <w:color w:val="auto"/>
        </w:rPr>
      </w:pPr>
    </w:p>
    <w:p>
      <w:pPr>
        <w:ind w:right="440"/>
        <w:spacing w:after="0" w:line="239" w:lineRule="auto"/>
        <w:rPr>
          <w:sz w:val="20"/>
          <w:szCs w:val="20"/>
          <w:color w:val="auto"/>
        </w:rPr>
      </w:pPr>
      <w:r>
        <w:rPr>
          <w:rFonts w:ascii="Arial" w:cs="Arial" w:eastAsia="Arial" w:hAnsi="Arial"/>
          <w:sz w:val="10"/>
          <w:szCs w:val="10"/>
          <w:color w:val="auto"/>
        </w:rPr>
        <w:t>On TSR, Shell ranked third in the peer group. Returning $55 billion to shareholders over three year performance period in the form of dividends and share buybacks and leading to a vesting outcome of 20%.</w:t>
      </w:r>
    </w:p>
    <w:p>
      <w:pPr>
        <w:spacing w:after="0" w:line="149" w:lineRule="exact"/>
        <w:rPr>
          <w:sz w:val="20"/>
          <w:szCs w:val="20"/>
          <w:color w:val="auto"/>
        </w:rPr>
      </w:pPr>
    </w:p>
    <w:p>
      <w:pPr>
        <w:spacing w:after="0"/>
        <w:rPr>
          <w:sz w:val="20"/>
          <w:szCs w:val="20"/>
          <w:color w:val="auto"/>
        </w:rPr>
      </w:pPr>
      <w:r>
        <w:rPr>
          <w:rFonts w:ascii="Arial" w:cs="Arial" w:eastAsia="Arial" w:hAnsi="Arial"/>
          <w:sz w:val="8"/>
          <w:szCs w:val="8"/>
          <w:color w:val="auto"/>
        </w:rPr>
        <w:t>The ROACE performance metric is assessed on a relative basis and Shell ranked third, leading to a vesting outcome of 20%.</w:t>
      </w:r>
    </w:p>
    <w:p>
      <w:pPr>
        <w:spacing w:after="0" w:line="178" w:lineRule="exact"/>
        <w:rPr>
          <w:sz w:val="20"/>
          <w:szCs w:val="20"/>
          <w:color w:val="auto"/>
        </w:rPr>
      </w:pPr>
    </w:p>
    <w:p>
      <w:pPr>
        <w:jc w:val="both"/>
        <w:ind w:right="380"/>
        <w:spacing w:after="0" w:line="234" w:lineRule="auto"/>
        <w:rPr>
          <w:sz w:val="20"/>
          <w:szCs w:val="20"/>
          <w:color w:val="auto"/>
        </w:rPr>
      </w:pPr>
      <w:r>
        <w:rPr>
          <w:rFonts w:ascii="Arial" w:cs="Arial" w:eastAsia="Arial" w:hAnsi="Arial"/>
          <w:sz w:val="10"/>
          <w:szCs w:val="10"/>
          <w:color w:val="auto"/>
        </w:rPr>
        <w:t>The challenges of 2020 are clearly evident in the outcome on the FCF, which is measured on an absolute basis, based on the sum of the annual operating plan targets over the three year performance period. The outcome, $87 billion, was below the vesting threshold of $93 billion (target $102 billion).</w:t>
      </w:r>
    </w:p>
    <w:p>
      <w:pPr>
        <w:spacing w:after="0" w:line="335"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117</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20" w:name="page121"/>
    <w:bookmarkEnd w:id="120"/>
    <w:p>
      <w:pPr>
        <w:ind w:right="200"/>
        <w:spacing w:after="0" w:line="233" w:lineRule="auto"/>
        <w:rPr>
          <w:sz w:val="20"/>
          <w:szCs w:val="20"/>
          <w:color w:val="auto"/>
        </w:rPr>
      </w:pPr>
      <w:r>
        <w:rPr>
          <w:rFonts w:ascii="Arial" w:cs="Arial" w:eastAsia="Arial" w:hAnsi="Arial"/>
          <w:sz w:val="10"/>
          <w:szCs w:val="10"/>
          <w:color w:val="auto"/>
        </w:rPr>
        <w:t>In making the final vesting decision, the REMCO considered the overall performance of Shell during the three-year vesting performance period. In its deliberations, the REMCO paid particular attention to:</w:t>
      </w:r>
    </w:p>
    <w:p>
      <w:pPr>
        <w:ind w:left="420" w:hanging="212"/>
        <w:spacing w:after="0" w:line="208" w:lineRule="auto"/>
        <w:tabs>
          <w:tab w:leader="none" w:pos="420" w:val="left"/>
        </w:tabs>
        <w:numPr>
          <w:ilvl w:val="0"/>
          <w:numId w:val="110"/>
        </w:numPr>
        <w:rPr>
          <w:rFonts w:ascii="Arial" w:cs="Arial" w:eastAsia="Arial" w:hAnsi="Arial"/>
          <w:sz w:val="10"/>
          <w:szCs w:val="10"/>
          <w:color w:val="auto"/>
        </w:rPr>
      </w:pPr>
      <w:r>
        <w:rPr>
          <w:rFonts w:ascii="Arial" w:cs="Arial" w:eastAsia="Arial" w:hAnsi="Arial"/>
          <w:sz w:val="10"/>
          <w:szCs w:val="10"/>
          <w:color w:val="auto"/>
        </w:rPr>
        <w:t>the shareholder experience;</w:t>
      </w:r>
    </w:p>
    <w:p>
      <w:pPr>
        <w:ind w:left="420" w:right="100" w:hanging="212"/>
        <w:spacing w:after="0" w:line="206" w:lineRule="auto"/>
        <w:tabs>
          <w:tab w:leader="none" w:pos="417" w:val="left"/>
        </w:tabs>
        <w:numPr>
          <w:ilvl w:val="0"/>
          <w:numId w:val="110"/>
        </w:numPr>
        <w:rPr>
          <w:rFonts w:ascii="Arial" w:cs="Arial" w:eastAsia="Arial" w:hAnsi="Arial"/>
          <w:sz w:val="10"/>
          <w:szCs w:val="10"/>
          <w:color w:val="auto"/>
        </w:rPr>
      </w:pPr>
      <w:r>
        <w:rPr>
          <w:rFonts w:ascii="Arial" w:cs="Arial" w:eastAsia="Arial" w:hAnsi="Arial"/>
          <w:sz w:val="10"/>
          <w:szCs w:val="10"/>
          <w:color w:val="auto"/>
        </w:rPr>
        <w:t>guidance issued by the investor community and feedback from shareholders regarding the appropriate pay outcomes for 2020 in light of the COVID-19 pandemic;</w:t>
      </w:r>
    </w:p>
    <w:p>
      <w:pPr>
        <w:ind w:left="420" w:hanging="212"/>
        <w:spacing w:after="0" w:line="206" w:lineRule="auto"/>
        <w:tabs>
          <w:tab w:leader="none" w:pos="420" w:val="left"/>
        </w:tabs>
        <w:numPr>
          <w:ilvl w:val="0"/>
          <w:numId w:val="110"/>
        </w:numPr>
        <w:rPr>
          <w:rFonts w:ascii="Arial" w:cs="Arial" w:eastAsia="Arial" w:hAnsi="Arial"/>
          <w:sz w:val="10"/>
          <w:szCs w:val="10"/>
          <w:color w:val="auto"/>
        </w:rPr>
      </w:pPr>
      <w:r>
        <w:rPr>
          <w:rFonts w:ascii="Arial" w:cs="Arial" w:eastAsia="Arial" w:hAnsi="Arial"/>
          <w:sz w:val="10"/>
          <w:szCs w:val="10"/>
          <w:color w:val="auto"/>
        </w:rPr>
        <w:t>the impact of the pandemic on financial outcomes;</w:t>
      </w:r>
    </w:p>
    <w:p>
      <w:pPr>
        <w:ind w:left="420" w:right="20" w:hanging="212"/>
        <w:spacing w:after="0" w:line="216" w:lineRule="auto"/>
        <w:tabs>
          <w:tab w:leader="none" w:pos="417" w:val="left"/>
        </w:tabs>
        <w:numPr>
          <w:ilvl w:val="0"/>
          <w:numId w:val="110"/>
        </w:numPr>
        <w:rPr>
          <w:rFonts w:ascii="Arial" w:cs="Arial" w:eastAsia="Arial" w:hAnsi="Arial"/>
          <w:sz w:val="10"/>
          <w:szCs w:val="10"/>
          <w:color w:val="auto"/>
        </w:rPr>
      </w:pPr>
      <w:r>
        <w:rPr>
          <w:rFonts w:ascii="Arial" w:cs="Arial" w:eastAsia="Arial" w:hAnsi="Arial"/>
          <w:sz w:val="10"/>
          <w:szCs w:val="10"/>
          <w:color w:val="auto"/>
        </w:rPr>
        <w:t>the effectiveness of management over the performance period in developing a high-quality portfolio capable of delivering resilient cash flows;</w:t>
      </w:r>
    </w:p>
    <w:p>
      <w:pPr>
        <w:ind w:left="420" w:right="20" w:hanging="212"/>
        <w:spacing w:after="0" w:line="225" w:lineRule="auto"/>
        <w:tabs>
          <w:tab w:leader="none" w:pos="399" w:val="left"/>
        </w:tabs>
        <w:numPr>
          <w:ilvl w:val="0"/>
          <w:numId w:val="110"/>
        </w:numPr>
        <w:rPr>
          <w:rFonts w:ascii="Arial" w:cs="Arial" w:eastAsia="Arial" w:hAnsi="Arial"/>
          <w:sz w:val="10"/>
          <w:szCs w:val="10"/>
          <w:color w:val="auto"/>
        </w:rPr>
      </w:pPr>
      <w:r>
        <w:rPr>
          <w:rFonts w:ascii="Arial" w:cs="Arial" w:eastAsia="Arial" w:hAnsi="Arial"/>
          <w:sz w:val="10"/>
          <w:szCs w:val="10"/>
          <w:color w:val="auto"/>
        </w:rPr>
        <w:t>the conclusion that there should be no 2020 annual bonuses, which took into account business performance, impairments, dividend changes and the limited use of government support;</w:t>
      </w:r>
    </w:p>
    <w:p>
      <w:pPr>
        <w:ind w:left="420" w:hanging="212"/>
        <w:spacing w:after="0"/>
        <w:tabs>
          <w:tab w:leader="none" w:pos="420" w:val="left"/>
        </w:tabs>
        <w:numPr>
          <w:ilvl w:val="0"/>
          <w:numId w:val="110"/>
        </w:numPr>
        <w:rPr>
          <w:rFonts w:ascii="Arial" w:cs="Arial" w:eastAsia="Arial" w:hAnsi="Arial"/>
          <w:sz w:val="8"/>
          <w:szCs w:val="8"/>
          <w:color w:val="auto"/>
        </w:rPr>
      </w:pPr>
      <w:r>
        <w:rPr>
          <w:rFonts w:ascii="Arial" w:cs="Arial" w:eastAsia="Arial" w:hAnsi="Arial"/>
          <w:sz w:val="8"/>
          <w:szCs w:val="8"/>
          <w:color w:val="auto"/>
        </w:rPr>
        <w:t>the Committee assured itself that the limited use of government support had not impacted the vesting outcomes; and</w:t>
      </w:r>
    </w:p>
    <w:p>
      <w:pPr>
        <w:spacing w:after="0" w:line="21" w:lineRule="exact"/>
        <w:rPr>
          <w:rFonts w:ascii="Arial" w:cs="Arial" w:eastAsia="Arial" w:hAnsi="Arial"/>
          <w:sz w:val="8"/>
          <w:szCs w:val="8"/>
          <w:color w:val="auto"/>
        </w:rPr>
      </w:pPr>
    </w:p>
    <w:p>
      <w:pPr>
        <w:ind w:left="420" w:hanging="212"/>
        <w:spacing w:after="0"/>
        <w:tabs>
          <w:tab w:leader="none" w:pos="420" w:val="left"/>
        </w:tabs>
        <w:numPr>
          <w:ilvl w:val="0"/>
          <w:numId w:val="110"/>
        </w:numPr>
        <w:rPr>
          <w:rFonts w:ascii="Arial" w:cs="Arial" w:eastAsia="Arial" w:hAnsi="Arial"/>
          <w:sz w:val="8"/>
          <w:szCs w:val="8"/>
          <w:color w:val="auto"/>
        </w:rPr>
      </w:pPr>
      <w:r>
        <w:rPr>
          <w:rFonts w:ascii="Arial" w:cs="Arial" w:eastAsia="Arial" w:hAnsi="Arial"/>
          <w:sz w:val="8"/>
          <w:szCs w:val="8"/>
          <w:color w:val="auto"/>
        </w:rPr>
        <w:t>the impact of the high shareholding requirement, which has helped align the interests of Executive Directors and shareholders.</w:t>
      </w:r>
    </w:p>
    <w:p>
      <w:pPr>
        <w:spacing w:after="0" w:line="174" w:lineRule="exact"/>
        <w:rPr>
          <w:sz w:val="20"/>
          <w:szCs w:val="20"/>
          <w:color w:val="auto"/>
        </w:rPr>
      </w:pPr>
    </w:p>
    <w:p>
      <w:pPr>
        <w:ind w:right="20"/>
        <w:spacing w:after="0" w:line="307" w:lineRule="auto"/>
        <w:rPr>
          <w:sz w:val="20"/>
          <w:szCs w:val="20"/>
          <w:color w:val="auto"/>
        </w:rPr>
      </w:pPr>
      <w:r>
        <w:rPr>
          <w:rFonts w:ascii="Arial" w:cs="Arial" w:eastAsia="Arial" w:hAnsi="Arial"/>
          <w:sz w:val="8"/>
          <w:szCs w:val="8"/>
          <w:color w:val="auto"/>
        </w:rPr>
        <w:t>The REMCO also noted it would mean a 10-year average vesting outcome of the LTIP of 98%, demonstrating the effectiveness of the current LTIP structure in delivering alignment with target pay and balancing cyclical performance. Taking all these factors into account, the REMCO determined to vest the 2018 LTIP awards at 90% without using discretion. A formulaic outcome was also applied to the Performance Share Plan (PSP) made to around 16,500 employees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1885950" cy="15144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885950" cy="151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0"/>
          <w:szCs w:val="10"/>
          <w:color w:val="auto"/>
        </w:rPr>
        <w:t>2020 single figure of remuneration</w:t>
      </w:r>
    </w:p>
    <w:p>
      <w:pPr>
        <w:spacing w:after="0" w:line="1" w:lineRule="exact"/>
        <w:rPr>
          <w:sz w:val="20"/>
          <w:szCs w:val="20"/>
          <w:color w:val="auto"/>
        </w:rPr>
      </w:pPr>
    </w:p>
    <w:p>
      <w:pPr>
        <w:ind w:right="100"/>
        <w:spacing w:after="0" w:line="231" w:lineRule="auto"/>
        <w:rPr>
          <w:sz w:val="20"/>
          <w:szCs w:val="20"/>
          <w:color w:val="auto"/>
        </w:rPr>
      </w:pPr>
      <w:r>
        <w:rPr>
          <w:rFonts w:ascii="Arial" w:cs="Arial" w:eastAsia="Arial" w:hAnsi="Arial"/>
          <w:sz w:val="10"/>
          <w:szCs w:val="10"/>
          <w:color w:val="auto"/>
        </w:rPr>
        <w:t>The overall single figure of remuneration for 2020 is €5.8 million for the CEO and €3.7 million for the CFO. This is one of the lowest CEO single figure outcomes in ten years.</w:t>
      </w:r>
    </w:p>
    <w:p>
      <w:pPr>
        <w:spacing w:after="0" w:line="311" w:lineRule="exact"/>
        <w:rPr>
          <w:sz w:val="20"/>
          <w:szCs w:val="20"/>
          <w:color w:val="auto"/>
        </w:rPr>
      </w:pPr>
    </w:p>
    <w:p>
      <w:pPr>
        <w:spacing w:after="0" w:line="262" w:lineRule="auto"/>
        <w:rPr>
          <w:sz w:val="20"/>
          <w:szCs w:val="20"/>
          <w:color w:val="auto"/>
        </w:rPr>
      </w:pPr>
      <w:r>
        <w:rPr>
          <w:rFonts w:ascii="Arial" w:cs="Arial" w:eastAsia="Arial" w:hAnsi="Arial"/>
          <w:sz w:val="8"/>
          <w:szCs w:val="8"/>
          <w:color w:val="auto"/>
        </w:rPr>
        <w:t>In finalising these amounts, the REMCO noted the decline in pay outcomes from the previous year. These, as noted above, were a decline of 41% for the CEO and 38% for the CFO. The REMCO considered that the decision that there should be no 2020 annual bonuses appropriately reflected Shell's 2020 performance outcomes, including the business performance, financial impairments taken in the year and dividend changes. It also considered the strong alignment between Executive Director and shareholder interests through the shareholding requirements. The REMCO also took account of the pay outcomes for employees, the majority of whom received no 2020 bonus and will not receive a</w:t>
      </w:r>
    </w:p>
    <w:p>
      <w:pPr>
        <w:spacing w:after="0" w:line="1" w:lineRule="exact"/>
        <w:rPr>
          <w:sz w:val="20"/>
          <w:szCs w:val="20"/>
          <w:color w:val="auto"/>
        </w:rPr>
      </w:pPr>
    </w:p>
    <w:p>
      <w:pPr>
        <w:ind w:right="140"/>
        <w:spacing w:after="0" w:line="314" w:lineRule="auto"/>
        <w:rPr>
          <w:sz w:val="20"/>
          <w:szCs w:val="20"/>
          <w:color w:val="auto"/>
        </w:rPr>
      </w:pPr>
      <w:r>
        <w:rPr>
          <w:rFonts w:ascii="Arial" w:cs="Arial" w:eastAsia="Arial" w:hAnsi="Arial"/>
          <w:sz w:val="8"/>
          <w:szCs w:val="8"/>
          <w:color w:val="auto"/>
        </w:rPr>
        <w:t>2021 salary increase. The REMCO was satisfied that the remuneration policies had operated as intended and that realised pay in 2020 was appropriate in the context of wider Company performance and the target pay opportunity as illustrated on pages 139-140.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2021 LTIP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-1562100</wp:posOffset>
            </wp:positionV>
            <wp:extent cx="1885950" cy="14573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885950" cy="1457325"/>
                    </a:xfrm>
                    <a:prstGeom prst="rect">
                      <a:avLst/>
                    </a:prstGeom>
                    <a:noFill/>
                  </pic:spPr>
                </pic:pic>
              </a:graphicData>
            </a:graphic>
          </wp:anchor>
        </w:drawing>
      </w:r>
    </w:p>
    <w:p>
      <w:pPr>
        <w:ind w:right="200"/>
        <w:spacing w:after="0" w:line="268" w:lineRule="auto"/>
        <w:rPr>
          <w:sz w:val="20"/>
          <w:szCs w:val="20"/>
          <w:color w:val="auto"/>
        </w:rPr>
      </w:pPr>
      <w:r>
        <w:rPr>
          <w:rFonts w:ascii="Arial" w:cs="Arial" w:eastAsia="Arial" w:hAnsi="Arial"/>
          <w:sz w:val="8"/>
          <w:szCs w:val="8"/>
          <w:color w:val="auto"/>
        </w:rPr>
        <w:t>In considering the response to the challenges of 2020, the REMCO believes it is important to maintain the strong focus on variable pay. The LTIP is an important element of the pay framework. It has been proven to provide a robust link between pay and performance over a sustained period of time. The usual awards are 300% of base salary for the CEO and 270% for the CFO. When determining award sizes, the REMCO has been mindful of the risk of windfall gains, given how the decline in the Shell share price during 2020 affected the number of shares awarded. The REMCO has sought to consider how shareholders will view this issue, in light of their disappointment with returns and the rebasing of the dividend. At the same time, the REMCO has sought to continue paying competitively in line with the approved remuneration policy.</w:t>
      </w:r>
    </w:p>
    <w:p>
      <w:pPr>
        <w:spacing w:after="0" w:line="231" w:lineRule="exact"/>
        <w:rPr>
          <w:sz w:val="20"/>
          <w:szCs w:val="20"/>
          <w:color w:val="auto"/>
        </w:rPr>
      </w:pPr>
    </w:p>
    <w:p>
      <w:pPr>
        <w:ind w:right="120"/>
        <w:spacing w:after="0" w:line="230" w:lineRule="auto"/>
        <w:rPr>
          <w:sz w:val="20"/>
          <w:szCs w:val="20"/>
          <w:color w:val="auto"/>
        </w:rPr>
      </w:pPr>
      <w:r>
        <w:rPr>
          <w:rFonts w:ascii="Arial" w:cs="Arial" w:eastAsia="Arial" w:hAnsi="Arial"/>
          <w:sz w:val="10"/>
          <w:szCs w:val="10"/>
          <w:color w:val="auto"/>
        </w:rPr>
        <w:t>Taking this into account, the REMCO has decided to make a reduction to the award level for 2021 as a one-off acknowledgement of the unique circumstances. Shell's share price has declined approximately 24% for RDS A shares and 16% for RDS.A ADS since the 2020 share awards. The REMCO has decided to reduce the 2021 awards by 50% of the fall in the share price and has therefore reduced the usual LTIP awards for the CEO and CFO. On this basis, the REMCO approved an award of 231,679 RDS A shares for the CEO and 69,972 RDS.A ADS for the CFO on March 5, 2021. The number of shares awarded to the wider employee population also increased to maintain a competitive pay opportunity.</w:t>
      </w:r>
    </w:p>
    <w:p>
      <w:pPr>
        <w:spacing w:after="0" w:line="149" w:lineRule="exact"/>
        <w:rPr>
          <w:sz w:val="20"/>
          <w:szCs w:val="20"/>
          <w:color w:val="auto"/>
        </w:rPr>
      </w:pPr>
    </w:p>
    <w:p>
      <w:pPr>
        <w:ind w:right="180"/>
        <w:spacing w:after="0" w:line="216" w:lineRule="auto"/>
        <w:rPr>
          <w:sz w:val="20"/>
          <w:szCs w:val="20"/>
          <w:color w:val="auto"/>
        </w:rPr>
      </w:pPr>
      <w:r>
        <w:rPr>
          <w:rFonts w:ascii="Arial" w:cs="Arial" w:eastAsia="Arial" w:hAnsi="Arial"/>
          <w:sz w:val="10"/>
          <w:szCs w:val="10"/>
          <w:color w:val="auto"/>
        </w:rPr>
        <w:t>Regardless of the number of shares awarded, the REMCO will closely scrutinise performance over the vesting period to ensure the highest variable pay outcomes are only achieved for the highest quality of performance across all significant areas of activity. If required, discretion will be used to address windfall gains on vesting. This will take into account the effect of any recovery in demand and energy sector outlook on Shell’s share price as well as shareholder experience and management’s success in delivering Shell’s financial performance and strategic ambitions.</w:t>
      </w:r>
    </w:p>
    <w:p>
      <w:pPr>
        <w:spacing w:after="0" w:line="140" w:lineRule="exact"/>
        <w:rPr>
          <w:sz w:val="20"/>
          <w:szCs w:val="20"/>
          <w:color w:val="auto"/>
        </w:rPr>
      </w:pPr>
    </w:p>
    <w:p>
      <w:pPr>
        <w:ind w:right="120"/>
        <w:spacing w:after="0" w:line="320" w:lineRule="auto"/>
        <w:rPr>
          <w:sz w:val="20"/>
          <w:szCs w:val="20"/>
          <w:color w:val="auto"/>
        </w:rPr>
      </w:pPr>
      <w:r>
        <w:rPr>
          <w:rFonts w:ascii="Arial" w:cs="Arial" w:eastAsia="Arial" w:hAnsi="Arial"/>
          <w:sz w:val="8"/>
          <w:szCs w:val="8"/>
          <w:color w:val="auto"/>
        </w:rPr>
        <w:t>The REMCO will use discretion to override formulaic reward outcomes if they fail to reflect the wider financial or non-financial performance of Shell, or if management has benefited from a general economic or sectoral improvement outside their control. The REMCO has a strong track record of exercising discretion, having used it to adjust the outcome of the annual bonus in five of the past ten years.</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EVOLVING REMUNERATION IN LINE WITH STRATEGY</w:t>
      </w:r>
    </w:p>
    <w:p>
      <w:pPr>
        <w:spacing w:after="0" w:line="1" w:lineRule="exact"/>
        <w:rPr>
          <w:sz w:val="20"/>
          <w:szCs w:val="20"/>
          <w:color w:val="auto"/>
        </w:rPr>
      </w:pPr>
    </w:p>
    <w:p>
      <w:pPr>
        <w:spacing w:after="0"/>
        <w:rPr>
          <w:sz w:val="20"/>
          <w:szCs w:val="20"/>
          <w:color w:val="auto"/>
        </w:rPr>
      </w:pPr>
      <w:r>
        <w:rPr>
          <w:rFonts w:ascii="Arial" w:cs="Arial" w:eastAsia="Arial" w:hAnsi="Arial"/>
          <w:sz w:val="8"/>
          <w:szCs w:val="8"/>
          <w:color w:val="auto"/>
        </w:rPr>
        <w:t>Turning now to the future, I would like to provide further detail on how we intend to link pay to Shell’s evolving strategic ambitions.</w:t>
      </w:r>
    </w:p>
    <w:p>
      <w:pPr>
        <w:spacing w:after="0" w:line="170" w:lineRule="exact"/>
        <w:rPr>
          <w:sz w:val="20"/>
          <w:szCs w:val="20"/>
          <w:color w:val="auto"/>
        </w:rPr>
      </w:pPr>
    </w:p>
    <w:p>
      <w:pPr>
        <w:ind w:right="160"/>
        <w:spacing w:after="0" w:line="320" w:lineRule="auto"/>
        <w:rPr>
          <w:sz w:val="20"/>
          <w:szCs w:val="20"/>
          <w:color w:val="auto"/>
        </w:rPr>
      </w:pPr>
      <w:r>
        <w:rPr>
          <w:rFonts w:ascii="Arial" w:cs="Arial" w:eastAsia="Arial" w:hAnsi="Arial"/>
          <w:sz w:val="8"/>
          <w:szCs w:val="8"/>
          <w:color w:val="auto"/>
        </w:rPr>
        <w:t>Powering Progress sets out a strategy to accelerate the transition of our business to net-zero emissions. Reflecting our evolving priorities, in future we will place greater focus on measures connected to succeeding in the energy transition, balanced with the fundamental requirements to deliver financial success, while operating our assets safely, effectively and to plan.</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Safety</w:t>
      </w:r>
    </w:p>
    <w:p>
      <w:pPr>
        <w:spacing w:after="0" w:line="1" w:lineRule="exact"/>
        <w:rPr>
          <w:sz w:val="20"/>
          <w:szCs w:val="20"/>
          <w:color w:val="auto"/>
        </w:rPr>
      </w:pPr>
    </w:p>
    <w:p>
      <w:pPr>
        <w:ind w:right="180"/>
        <w:spacing w:after="0" w:line="231" w:lineRule="auto"/>
        <w:rPr>
          <w:sz w:val="20"/>
          <w:szCs w:val="20"/>
          <w:color w:val="auto"/>
        </w:rPr>
      </w:pPr>
      <w:r>
        <w:rPr>
          <w:rFonts w:ascii="Arial" w:cs="Arial" w:eastAsia="Arial" w:hAnsi="Arial"/>
          <w:sz w:val="10"/>
          <w:szCs w:val="10"/>
          <w:color w:val="auto"/>
        </w:rPr>
        <w:t>Safety remains Shell’s number one priority, and as part of a refresh of Shell's safety framework, a new Serious Injury and Fatality Frequency (SIF-F)</w:t>
      </w:r>
    </w:p>
    <w:p>
      <w:pPr>
        <w:spacing w:after="0" w:line="200"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118</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21" w:name="page122"/>
    <w:bookmarkEnd w:id="121"/>
    <w:p>
      <w:pPr>
        <w:ind w:left="8"/>
        <w:spacing w:after="0"/>
        <w:rPr>
          <w:sz w:val="20"/>
          <w:szCs w:val="20"/>
          <w:color w:val="auto"/>
        </w:rPr>
      </w:pPr>
      <w:r>
        <w:rPr>
          <w:rFonts w:ascii="Arial" w:cs="Arial" w:eastAsia="Arial" w:hAnsi="Arial"/>
          <w:sz w:val="8"/>
          <w:szCs w:val="8"/>
          <w:color w:val="auto"/>
        </w:rPr>
        <w:t>metric will replace Total Recordable Case Frequency (TRCF) as the personal safety metric on the annual bonus scorecard from 2021.</w:t>
      </w:r>
    </w:p>
    <w:p>
      <w:pPr>
        <w:spacing w:after="0" w:line="178" w:lineRule="exact"/>
        <w:rPr>
          <w:sz w:val="20"/>
          <w:szCs w:val="20"/>
          <w:color w:val="auto"/>
        </w:rPr>
      </w:pPr>
    </w:p>
    <w:p>
      <w:pPr>
        <w:ind w:left="8" w:right="40"/>
        <w:spacing w:after="0" w:line="320" w:lineRule="auto"/>
        <w:rPr>
          <w:sz w:val="20"/>
          <w:szCs w:val="20"/>
          <w:color w:val="auto"/>
        </w:rPr>
      </w:pPr>
      <w:r>
        <w:rPr>
          <w:rFonts w:ascii="Arial" w:cs="Arial" w:eastAsia="Arial" w:hAnsi="Arial"/>
          <w:sz w:val="8"/>
          <w:szCs w:val="8"/>
          <w:color w:val="auto"/>
        </w:rPr>
        <w:t>This adjustment is intended to increase attention on the most serious outcomes, to ensure the focus is on identifying and preventing incidents with the potential to cause life-altering injuries. The number of Tier 1 and 2 process safety incidents will be retained as the measure of process safety, with weighting for safety increasing from 10% to 15% (equally split between personal and process safety).</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0"/>
          <w:szCs w:val="10"/>
          <w:color w:val="auto"/>
        </w:rPr>
        <w:t>Energy transition</w:t>
      </w:r>
    </w:p>
    <w:p>
      <w:pPr>
        <w:spacing w:after="0" w:line="1" w:lineRule="exact"/>
        <w:rPr>
          <w:sz w:val="20"/>
          <w:szCs w:val="20"/>
          <w:color w:val="auto"/>
        </w:rPr>
      </w:pPr>
    </w:p>
    <w:p>
      <w:pPr>
        <w:ind w:left="8"/>
        <w:spacing w:after="0" w:line="227" w:lineRule="auto"/>
        <w:rPr>
          <w:sz w:val="20"/>
          <w:szCs w:val="20"/>
          <w:color w:val="auto"/>
        </w:rPr>
      </w:pPr>
      <w:r>
        <w:rPr>
          <w:rFonts w:ascii="Arial" w:cs="Arial" w:eastAsia="Arial" w:hAnsi="Arial"/>
          <w:sz w:val="10"/>
          <w:szCs w:val="10"/>
          <w:color w:val="auto"/>
        </w:rPr>
        <w:t>Shell has been at the forefront of linking executive pay to progress towards a lower-carbon future. We set a Net Carbon Footprint (NCF) target that covers emissions from our customers' use of our products as well as our own operational emissions, and have directly linked employee and management pay to three-year targets aligned with the NCF target. The LTIP energy transition performance metric includes the short-term targets relating to the NCF target and a number of other strategic business transformation targets that measure Shell's progress towards achieving our longer-term ambitions.</w:t>
      </w:r>
    </w:p>
    <w:p>
      <w:pPr>
        <w:spacing w:after="0" w:line="150" w:lineRule="exact"/>
        <w:rPr>
          <w:sz w:val="20"/>
          <w:szCs w:val="20"/>
          <w:color w:val="auto"/>
        </w:rPr>
      </w:pPr>
    </w:p>
    <w:p>
      <w:pPr>
        <w:jc w:val="both"/>
        <w:ind w:left="8" w:right="80"/>
        <w:spacing w:after="0" w:line="320" w:lineRule="auto"/>
        <w:rPr>
          <w:sz w:val="20"/>
          <w:szCs w:val="20"/>
          <w:color w:val="auto"/>
        </w:rPr>
      </w:pPr>
      <w:r>
        <w:rPr>
          <w:rFonts w:ascii="Arial" w:cs="Arial" w:eastAsia="Arial" w:hAnsi="Arial"/>
          <w:sz w:val="8"/>
          <w:szCs w:val="8"/>
          <w:color w:val="auto"/>
        </w:rPr>
        <w:t>These measures extend the link between pay and the energy transition well beyond the linkage provided by short-term sustainability metrics that focus on operations. When we introduced these measures, Shell was the only major energy company to link long-term incentive pay in this way. We believe we are still among the front-runners in terms of the breadth and detail of our energy transition pay metrics.</w:t>
      </w:r>
    </w:p>
    <w:p>
      <w:pPr>
        <w:spacing w:after="0" w:line="118" w:lineRule="exact"/>
        <w:rPr>
          <w:sz w:val="20"/>
          <w:szCs w:val="20"/>
          <w:color w:val="auto"/>
        </w:rPr>
      </w:pPr>
    </w:p>
    <w:p>
      <w:pPr>
        <w:ind w:left="8" w:right="20"/>
        <w:spacing w:after="0" w:line="231" w:lineRule="auto"/>
        <w:rPr>
          <w:sz w:val="20"/>
          <w:szCs w:val="20"/>
          <w:color w:val="auto"/>
        </w:rPr>
      </w:pPr>
      <w:r>
        <w:rPr>
          <w:rFonts w:ascii="Arial" w:cs="Arial" w:eastAsia="Arial" w:hAnsi="Arial"/>
          <w:sz w:val="10"/>
          <w:szCs w:val="10"/>
          <w:color w:val="auto"/>
        </w:rPr>
        <w:t>Our original targets were calibrated to keep Shell in step with a society working to meet the goals of the 2015 Paris Agreement and to restrict the rise in global average temperature this century to well below two degrees Celsius above pre-industrial levels. But societal views have evolved rapidly and large parts of society have now set their sights on the most ambitious goal in the Paris Agreement: to limit the global temperature rise to 1.5 degrees Celsius. Shell recognised this, and in 2020 announced an updated target to be a net-zero emissions energy business by 2050, in step with society.</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connection to remuneration will strengthen with the updated strategy. We intend to reflect them in the following ways:</w:t>
      </w:r>
    </w:p>
    <w:p>
      <w:pPr>
        <w:ind w:left="108" w:right="60" w:hanging="108"/>
        <w:spacing w:after="0" w:line="213" w:lineRule="auto"/>
        <w:tabs>
          <w:tab w:leader="none" w:pos="93" w:val="left"/>
        </w:tabs>
        <w:numPr>
          <w:ilvl w:val="0"/>
          <w:numId w:val="111"/>
        </w:numPr>
        <w:rPr>
          <w:rFonts w:ascii="Arial" w:cs="Arial" w:eastAsia="Arial" w:hAnsi="Arial"/>
          <w:sz w:val="10"/>
          <w:szCs w:val="10"/>
          <w:color w:val="auto"/>
        </w:rPr>
      </w:pPr>
      <w:r>
        <w:rPr>
          <w:rFonts w:ascii="Arial" w:cs="Arial" w:eastAsia="Arial" w:hAnsi="Arial"/>
          <w:sz w:val="10"/>
          <w:szCs w:val="10"/>
          <w:color w:val="auto"/>
        </w:rPr>
        <w:t>As an energy user. Shell has a target to achieve net-zero operational emissions (Scope 1 and 2) by 2050, in step with society. In the annual bonus, progress will be linked to performance assessment based on the greenhouse gas (GHG) intensity of our main business lines and, from 2021, a new GHG-abatement target.</w:t>
      </w:r>
    </w:p>
    <w:p>
      <w:pPr>
        <w:spacing w:after="0" w:line="1" w:lineRule="exact"/>
        <w:rPr>
          <w:rFonts w:ascii="Arial" w:cs="Arial" w:eastAsia="Arial" w:hAnsi="Arial"/>
          <w:sz w:val="10"/>
          <w:szCs w:val="10"/>
          <w:color w:val="auto"/>
        </w:rPr>
      </w:pPr>
    </w:p>
    <w:p>
      <w:pPr>
        <w:ind w:left="108" w:hanging="108"/>
        <w:spacing w:after="0" w:line="225" w:lineRule="auto"/>
        <w:tabs>
          <w:tab w:leader="none" w:pos="102" w:val="left"/>
        </w:tabs>
        <w:numPr>
          <w:ilvl w:val="0"/>
          <w:numId w:val="111"/>
        </w:numPr>
        <w:rPr>
          <w:rFonts w:ascii="Arial" w:cs="Arial" w:eastAsia="Arial" w:hAnsi="Arial"/>
          <w:sz w:val="10"/>
          <w:szCs w:val="10"/>
          <w:color w:val="auto"/>
        </w:rPr>
      </w:pPr>
      <w:r>
        <w:rPr>
          <w:rFonts w:ascii="Arial" w:cs="Arial" w:eastAsia="Arial" w:hAnsi="Arial"/>
          <w:sz w:val="10"/>
          <w:szCs w:val="10"/>
          <w:color w:val="auto"/>
        </w:rPr>
        <w:t>As an energy provider. We have significantly raised our net carbon intensity target in step with achieving a 1.5 degrees Celsius future. We will measure this using our NCF metric. Meaningful carbon intensity reductions will require significant business transformations with longer timescales and are therefore best reflected in the LTIP. We are increasing the weighting of the energy transition condition to account for 20% of the LTIP (up from 10%), putting it on the same level as the financial measures (TSR, CFFO, FCF and ROACE), which will each account for 20% of the LTIP.</w:t>
      </w:r>
    </w:p>
    <w:p>
      <w:pPr>
        <w:ind w:left="108" w:right="40" w:hanging="108"/>
        <w:spacing w:after="0" w:line="258" w:lineRule="auto"/>
        <w:tabs>
          <w:tab w:leader="none" w:pos="93" w:val="left"/>
        </w:tabs>
        <w:numPr>
          <w:ilvl w:val="0"/>
          <w:numId w:val="111"/>
        </w:numPr>
        <w:rPr>
          <w:rFonts w:ascii="Arial" w:cs="Arial" w:eastAsia="Arial" w:hAnsi="Arial"/>
          <w:sz w:val="8"/>
          <w:szCs w:val="8"/>
          <w:color w:val="auto"/>
        </w:rPr>
      </w:pPr>
      <w:r>
        <w:rPr>
          <w:rFonts w:ascii="Arial" w:cs="Arial" w:eastAsia="Arial" w:hAnsi="Arial"/>
          <w:sz w:val="8"/>
          <w:szCs w:val="8"/>
          <w:color w:val="auto"/>
        </w:rPr>
        <w:t>As an energy partner. In our role as an energy supplier, we will work with sectors which use energy to help them identify and implement ways to decarbonise and make progress towards a net-zero emissions future. New performance measures will need to be developed in this area before it can be linked to remuneration. The REMCO will assess such performance measures, as is appropriate, in the future.</w:t>
      </w:r>
    </w:p>
    <w:p>
      <w:pPr>
        <w:ind w:left="8" w:right="60"/>
        <w:spacing w:after="0" w:line="309" w:lineRule="auto"/>
        <w:rPr>
          <w:sz w:val="20"/>
          <w:szCs w:val="20"/>
          <w:color w:val="auto"/>
        </w:rPr>
      </w:pPr>
      <w:r>
        <w:rPr>
          <w:rFonts w:ascii="Arial" w:cs="Arial" w:eastAsia="Arial" w:hAnsi="Arial"/>
          <w:sz w:val="8"/>
          <w:szCs w:val="8"/>
          <w:color w:val="auto"/>
        </w:rPr>
        <w:t>The connections between remuneration and progress in the energy transition received good support from shareholders during our engagements. These measures will continue to mature as we implement the updated strategy. I also know that many of you are keen to know how we are progressing on the existing energy transition condition and further information is provided on pages 127-128.</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0"/>
          <w:szCs w:val="10"/>
          <w:color w:val="auto"/>
        </w:rPr>
        <w:t>Other changes to 2021 remuneration</w:t>
      </w:r>
    </w:p>
    <w:p>
      <w:pPr>
        <w:spacing w:after="0" w:line="1" w:lineRule="exact"/>
        <w:rPr>
          <w:sz w:val="20"/>
          <w:szCs w:val="20"/>
          <w:color w:val="auto"/>
        </w:rPr>
      </w:pPr>
    </w:p>
    <w:p>
      <w:pPr>
        <w:ind w:left="8"/>
        <w:spacing w:after="0" w:line="225" w:lineRule="auto"/>
        <w:rPr>
          <w:sz w:val="20"/>
          <w:szCs w:val="20"/>
          <w:color w:val="auto"/>
        </w:rPr>
      </w:pPr>
      <w:r>
        <w:rPr>
          <w:rFonts w:ascii="Arial" w:cs="Arial" w:eastAsia="Arial" w:hAnsi="Arial"/>
          <w:sz w:val="10"/>
          <w:szCs w:val="10"/>
          <w:color w:val="auto"/>
        </w:rPr>
        <w:t>To ensure that Shell’s remuneration structures evolve in line with the recent strategy developments, the following changes will also take place for the 2021 annual bonus scorecard:</w:t>
      </w:r>
    </w:p>
    <w:p>
      <w:pPr>
        <w:ind w:left="88" w:hanging="88"/>
        <w:spacing w:after="0"/>
        <w:tabs>
          <w:tab w:leader="none" w:pos="88" w:val="left"/>
        </w:tabs>
        <w:numPr>
          <w:ilvl w:val="0"/>
          <w:numId w:val="112"/>
        </w:numPr>
        <w:rPr>
          <w:rFonts w:ascii="Arial" w:cs="Arial" w:eastAsia="Arial" w:hAnsi="Arial"/>
          <w:sz w:val="8"/>
          <w:szCs w:val="8"/>
          <w:color w:val="auto"/>
        </w:rPr>
      </w:pPr>
      <w:r>
        <w:rPr>
          <w:rFonts w:ascii="Arial" w:cs="Arial" w:eastAsia="Arial" w:hAnsi="Arial"/>
          <w:sz w:val="8"/>
          <w:szCs w:val="8"/>
          <w:color w:val="auto"/>
        </w:rPr>
        <w:t>The weighting of the CFFO metric will increase from 30% to 35%, reflecting our commitment to the updated financial framework.</w:t>
      </w:r>
    </w:p>
    <w:p>
      <w:pPr>
        <w:spacing w:after="0" w:line="16" w:lineRule="exact"/>
        <w:rPr>
          <w:rFonts w:ascii="Arial" w:cs="Arial" w:eastAsia="Arial" w:hAnsi="Arial"/>
          <w:sz w:val="8"/>
          <w:szCs w:val="8"/>
          <w:color w:val="auto"/>
        </w:rPr>
      </w:pPr>
    </w:p>
    <w:p>
      <w:pPr>
        <w:ind w:left="108" w:right="80" w:hanging="108"/>
        <w:spacing w:after="0" w:line="231" w:lineRule="auto"/>
        <w:tabs>
          <w:tab w:leader="none" w:pos="102" w:val="left"/>
        </w:tabs>
        <w:numPr>
          <w:ilvl w:val="0"/>
          <w:numId w:val="112"/>
        </w:numPr>
        <w:rPr>
          <w:rFonts w:ascii="Arial" w:cs="Arial" w:eastAsia="Arial" w:hAnsi="Arial"/>
          <w:sz w:val="10"/>
          <w:szCs w:val="10"/>
          <w:color w:val="auto"/>
        </w:rPr>
      </w:pPr>
      <w:r>
        <w:rPr>
          <w:rFonts w:ascii="Arial" w:cs="Arial" w:eastAsia="Arial" w:hAnsi="Arial"/>
          <w:sz w:val="10"/>
          <w:szCs w:val="10"/>
          <w:color w:val="auto"/>
        </w:rPr>
        <w:t>The strength of Shell is as an integrated energy business and our updated strategy and portfolio choices emphasise operational excellence and the delivery of value rather than volume. To reflect this, we will retire the</w:t>
      </w:r>
    </w:p>
    <w:p>
      <w:pPr>
        <w:spacing w:after="0" w:line="20" w:lineRule="exact"/>
        <w:rPr>
          <w:sz w:val="20"/>
          <w:szCs w:val="20"/>
          <w:color w:val="auto"/>
        </w:rPr>
      </w:pPr>
      <w:r>
        <w:rPr>
          <w:sz w:val="20"/>
          <w:szCs w:val="20"/>
          <w:color w:val="auto"/>
        </w:rPr>
        <w:br w:type="column"/>
      </w:r>
    </w:p>
    <w:p>
      <w:pPr>
        <w:ind w:left="120" w:right="160"/>
        <w:spacing w:after="0" w:line="286" w:lineRule="auto"/>
        <w:rPr>
          <w:sz w:val="20"/>
          <w:szCs w:val="20"/>
          <w:color w:val="auto"/>
        </w:rPr>
      </w:pPr>
      <w:r>
        <w:rPr>
          <w:rFonts w:ascii="Arial" w:cs="Arial" w:eastAsia="Arial" w:hAnsi="Arial"/>
          <w:sz w:val="8"/>
          <w:szCs w:val="8"/>
          <w:color w:val="auto"/>
        </w:rPr>
        <w:t>existing production and LNG liquefaction volume measures. We will introduce a new asset management excellence measure, based on Upstream controllable availability, midstream availability and downstream availability. This is designed to encourage an ongoing focus on running our assets effectively and to schedule. Operational excellence will always be fundamental to our success, but its weighting will decrease from 50% of the scorecard to 35% to allow for increased weightings on CFFO, progress in the energy transition and safety.</w:t>
      </w:r>
    </w:p>
    <w:p>
      <w:pPr>
        <w:spacing w:after="0" w:line="2" w:lineRule="exact"/>
        <w:rPr>
          <w:sz w:val="20"/>
          <w:szCs w:val="20"/>
          <w:color w:val="auto"/>
        </w:rPr>
      </w:pPr>
    </w:p>
    <w:p>
      <w:pPr>
        <w:ind w:left="120" w:right="140" w:hanging="111"/>
        <w:spacing w:after="0" w:line="309" w:lineRule="auto"/>
        <w:tabs>
          <w:tab w:leader="none" w:pos="115" w:val="left"/>
        </w:tabs>
        <w:numPr>
          <w:ilvl w:val="0"/>
          <w:numId w:val="113"/>
        </w:numPr>
        <w:rPr>
          <w:rFonts w:ascii="Arial" w:cs="Arial" w:eastAsia="Arial" w:hAnsi="Arial"/>
          <w:sz w:val="8"/>
          <w:szCs w:val="8"/>
          <w:color w:val="auto"/>
        </w:rPr>
      </w:pPr>
      <w:r>
        <w:rPr>
          <w:rFonts w:ascii="Arial" w:cs="Arial" w:eastAsia="Arial" w:hAnsi="Arial"/>
          <w:sz w:val="8"/>
          <w:szCs w:val="8"/>
          <w:color w:val="auto"/>
        </w:rPr>
        <w:t>We will further emphasise the importance of achieving progress in the energy transition by making this a separate section of our scorecard. Performance will be based on GHG-emissions-intensity targets and assessments of the delivery of GHG-abatement projects that support our net-zero operational emissions target. These targets will account for 15% of the scorecard.</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LOOKING AHEAD</w:t>
      </w:r>
    </w:p>
    <w:p>
      <w:pPr>
        <w:spacing w:after="0" w:line="1" w:lineRule="exact"/>
        <w:rPr>
          <w:sz w:val="20"/>
          <w:szCs w:val="20"/>
          <w:color w:val="auto"/>
        </w:rPr>
      </w:pPr>
    </w:p>
    <w:p>
      <w:pPr>
        <w:ind w:right="320"/>
        <w:spacing w:after="0" w:line="337" w:lineRule="auto"/>
        <w:rPr>
          <w:sz w:val="20"/>
          <w:szCs w:val="20"/>
          <w:color w:val="auto"/>
        </w:rPr>
      </w:pPr>
      <w:r>
        <w:rPr>
          <w:rFonts w:ascii="Arial" w:cs="Arial" w:eastAsia="Arial" w:hAnsi="Arial"/>
          <w:sz w:val="8"/>
          <w:szCs w:val="8"/>
          <w:color w:val="auto"/>
        </w:rPr>
        <w:t>The year ahead promises to be another busy one as we look to continue to enhance our alignment of pay with the updated strategy. I look forward to continuing to engage with shareholders in the coming months and I thank you for your continued support.</w:t>
      </w:r>
    </w:p>
    <w:p>
      <w:pPr>
        <w:spacing w:after="0" w:line="112" w:lineRule="exact"/>
        <w:rPr>
          <w:sz w:val="20"/>
          <w:szCs w:val="20"/>
          <w:color w:val="auto"/>
        </w:rPr>
      </w:pPr>
    </w:p>
    <w:p>
      <w:pPr>
        <w:spacing w:after="0"/>
        <w:rPr>
          <w:sz w:val="20"/>
          <w:szCs w:val="20"/>
          <w:color w:val="auto"/>
        </w:rPr>
      </w:pPr>
      <w:r>
        <w:rPr>
          <w:rFonts w:ascii="Arial" w:cs="Arial" w:eastAsia="Arial" w:hAnsi="Arial"/>
          <w:sz w:val="10"/>
          <w:szCs w:val="10"/>
          <w:color w:val="auto"/>
        </w:rPr>
        <w:t>Neil Carson</w:t>
      </w:r>
    </w:p>
    <w:p>
      <w:pPr>
        <w:spacing w:after="0" w:line="227" w:lineRule="auto"/>
        <w:rPr>
          <w:sz w:val="20"/>
          <w:szCs w:val="20"/>
          <w:color w:val="auto"/>
        </w:rPr>
      </w:pPr>
      <w:r>
        <w:rPr>
          <w:rFonts w:ascii="Arial" w:cs="Arial" w:eastAsia="Arial" w:hAnsi="Arial"/>
          <w:sz w:val="10"/>
          <w:szCs w:val="10"/>
          <w:color w:val="auto"/>
        </w:rPr>
        <w:t>Chair of the Remuneration Committee</w:t>
      </w:r>
    </w:p>
    <w:p>
      <w:pPr>
        <w:spacing w:after="0" w:line="237" w:lineRule="auto"/>
        <w:rPr>
          <w:sz w:val="20"/>
          <w:szCs w:val="20"/>
          <w:color w:val="auto"/>
        </w:rPr>
      </w:pPr>
      <w:r>
        <w:rPr>
          <w:rFonts w:ascii="Arial" w:cs="Arial" w:eastAsia="Arial" w:hAnsi="Arial"/>
          <w:sz w:val="10"/>
          <w:szCs w:val="10"/>
          <w:color w:val="auto"/>
        </w:rPr>
        <w:t>March 10, 2021</w:t>
      </w:r>
    </w:p>
    <w:p>
      <w:pPr>
        <w:spacing w:after="0" w:line="3449" w:lineRule="exact"/>
        <w:rPr>
          <w:sz w:val="20"/>
          <w:szCs w:val="20"/>
          <w:color w:val="auto"/>
        </w:rPr>
      </w:pPr>
    </w:p>
    <w:p>
      <w:pPr>
        <w:sectPr>
          <w:pgSz w:w="11900" w:h="16838" w:orient="portrait"/>
          <w:cols w:equalWidth="0" w:num="2">
            <w:col w:w="5448" w:space="280"/>
            <w:col w:w="5580"/>
          </w:cols>
          <w:pgMar w:left="292" w:top="640" w:right="299" w:bottom="1440" w:gutter="0" w:footer="0" w:header="0"/>
        </w:sectPr>
      </w:pP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119</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122" w:name="page123"/>
    <w:bookmarkEnd w:id="122"/>
    <w:p>
      <w:pPr>
        <w:ind w:left="8"/>
        <w:spacing w:after="0"/>
        <w:rPr>
          <w:sz w:val="20"/>
          <w:szCs w:val="20"/>
          <w:color w:val="auto"/>
        </w:rPr>
      </w:pPr>
      <w:r>
        <w:rPr>
          <w:rFonts w:ascii="Arial" w:cs="Arial" w:eastAsia="Arial" w:hAnsi="Arial"/>
          <w:sz w:val="22"/>
          <w:szCs w:val="22"/>
          <w:color w:val="auto"/>
        </w:rPr>
        <w:t>ANNUAL REPORT ON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2915" cy="228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141"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Annual Report on Remuneration sets out:</w:t>
      </w:r>
    </w:p>
    <w:p>
      <w:pPr>
        <w:spacing w:after="0" w:line="155" w:lineRule="exact"/>
        <w:rPr>
          <w:sz w:val="20"/>
          <w:szCs w:val="20"/>
          <w:color w:val="auto"/>
        </w:rPr>
      </w:pPr>
    </w:p>
    <w:p>
      <w:pPr>
        <w:ind w:left="88" w:hanging="88"/>
        <w:spacing w:after="0"/>
        <w:tabs>
          <w:tab w:leader="none" w:pos="88" w:val="left"/>
        </w:tabs>
        <w:numPr>
          <w:ilvl w:val="0"/>
          <w:numId w:val="114"/>
        </w:numPr>
        <w:rPr>
          <w:rFonts w:ascii="Arial" w:cs="Arial" w:eastAsia="Arial" w:hAnsi="Arial"/>
          <w:sz w:val="10"/>
          <w:szCs w:val="10"/>
          <w:color w:val="auto"/>
        </w:rPr>
      </w:pPr>
      <w:r>
        <w:rPr>
          <w:rFonts w:ascii="Arial" w:cs="Arial" w:eastAsia="Arial" w:hAnsi="Arial"/>
          <w:sz w:val="10"/>
          <w:szCs w:val="10"/>
          <w:color w:val="auto"/>
        </w:rPr>
        <w:t>the REMCO’s responsibilities and activities, page 120;</w:t>
      </w:r>
    </w:p>
    <w:p>
      <w:pPr>
        <w:spacing w:after="0" w:line="1" w:lineRule="exact"/>
        <w:rPr>
          <w:rFonts w:ascii="Arial" w:cs="Arial" w:eastAsia="Arial" w:hAnsi="Arial"/>
          <w:sz w:val="10"/>
          <w:szCs w:val="10"/>
          <w:color w:val="auto"/>
        </w:rPr>
      </w:pPr>
    </w:p>
    <w:p>
      <w:pPr>
        <w:ind w:left="88" w:hanging="88"/>
        <w:spacing w:after="0" w:line="225" w:lineRule="auto"/>
        <w:tabs>
          <w:tab w:leader="none" w:pos="88" w:val="left"/>
        </w:tabs>
        <w:numPr>
          <w:ilvl w:val="0"/>
          <w:numId w:val="114"/>
        </w:numPr>
        <w:rPr>
          <w:rFonts w:ascii="Arial" w:cs="Arial" w:eastAsia="Arial" w:hAnsi="Arial"/>
          <w:sz w:val="10"/>
          <w:szCs w:val="10"/>
          <w:color w:val="auto"/>
        </w:rPr>
      </w:pPr>
      <w:r>
        <w:rPr>
          <w:rFonts w:ascii="Arial" w:cs="Arial" w:eastAsia="Arial" w:hAnsi="Arial"/>
          <w:sz w:val="10"/>
          <w:szCs w:val="10"/>
          <w:color w:val="auto"/>
        </w:rPr>
        <w:t>remuneration at a glance, page 121;</w:t>
      </w:r>
    </w:p>
    <w:p>
      <w:pPr>
        <w:ind w:left="88" w:hanging="88"/>
        <w:spacing w:after="0" w:line="225" w:lineRule="auto"/>
        <w:tabs>
          <w:tab w:leader="none" w:pos="88" w:val="left"/>
        </w:tabs>
        <w:numPr>
          <w:ilvl w:val="0"/>
          <w:numId w:val="114"/>
        </w:numPr>
        <w:rPr>
          <w:rFonts w:ascii="Arial" w:cs="Arial" w:eastAsia="Arial" w:hAnsi="Arial"/>
          <w:sz w:val="10"/>
          <w:szCs w:val="10"/>
          <w:color w:val="auto"/>
        </w:rPr>
      </w:pPr>
      <w:r>
        <w:rPr>
          <w:rFonts w:ascii="Arial" w:cs="Arial" w:eastAsia="Arial" w:hAnsi="Arial"/>
          <w:sz w:val="10"/>
          <w:szCs w:val="10"/>
          <w:color w:val="auto"/>
        </w:rPr>
        <w:t>Directors’ remuneration for 2020, page 122; and</w:t>
      </w:r>
    </w:p>
    <w:p>
      <w:pPr>
        <w:ind w:left="88" w:hanging="88"/>
        <w:spacing w:after="0" w:line="236" w:lineRule="auto"/>
        <w:tabs>
          <w:tab w:leader="none" w:pos="88" w:val="left"/>
        </w:tabs>
        <w:numPr>
          <w:ilvl w:val="0"/>
          <w:numId w:val="114"/>
        </w:numPr>
        <w:rPr>
          <w:rFonts w:ascii="Arial" w:cs="Arial" w:eastAsia="Arial" w:hAnsi="Arial"/>
          <w:sz w:val="10"/>
          <w:szCs w:val="10"/>
          <w:color w:val="auto"/>
        </w:rPr>
      </w:pPr>
      <w:r>
        <w:rPr>
          <w:rFonts w:ascii="Arial" w:cs="Arial" w:eastAsia="Arial" w:hAnsi="Arial"/>
          <w:sz w:val="10"/>
          <w:szCs w:val="10"/>
          <w:color w:val="auto"/>
        </w:rPr>
        <w:t>the statement of the planned implementation of policy in 2021, page 133.</w:t>
      </w:r>
    </w:p>
    <w:p>
      <w:pPr>
        <w:spacing w:after="0" w:line="149" w:lineRule="exact"/>
        <w:rPr>
          <w:sz w:val="20"/>
          <w:szCs w:val="20"/>
          <w:color w:val="auto"/>
        </w:rPr>
      </w:pPr>
    </w:p>
    <w:p>
      <w:pPr>
        <w:ind w:left="8"/>
        <w:spacing w:after="0" w:line="234" w:lineRule="auto"/>
        <w:rPr>
          <w:sz w:val="20"/>
          <w:szCs w:val="20"/>
          <w:color w:val="auto"/>
        </w:rPr>
      </w:pPr>
      <w:r>
        <w:rPr>
          <w:rFonts w:ascii="Arial" w:cs="Arial" w:eastAsia="Arial" w:hAnsi="Arial"/>
          <w:sz w:val="10"/>
          <w:szCs w:val="10"/>
          <w:color w:val="auto"/>
        </w:rPr>
        <w:t>The base currency in this Annual Report on Remuneration is the euro, as this is the currency of the base salary of the Executive Directors. Where amounts are shown in other currencies, an average exchange rate for the relevant year is used, unless a specific date is stated, in which case the average exchange rate for the specific date is used.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color w:val="auto"/>
        </w:rPr>
        <w:t>REMUNERATION COMMITTEE</w:t>
      </w:r>
    </w:p>
    <w:p>
      <w:pPr>
        <w:ind w:left="8"/>
        <w:spacing w:after="0"/>
        <w:rPr>
          <w:sz w:val="20"/>
          <w:szCs w:val="20"/>
          <w:color w:val="auto"/>
        </w:rPr>
      </w:pPr>
      <w:r>
        <w:rPr>
          <w:rFonts w:ascii="Arial" w:cs="Arial" w:eastAsia="Arial" w:hAnsi="Arial"/>
          <w:sz w:val="10"/>
          <w:szCs w:val="10"/>
          <w:color w:val="auto"/>
        </w:rPr>
        <w:t>Biographies are given on pages 89-94; and the REMCO meeting attendance is set out below:</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320" w:type="dxa"/>
            <w:vAlign w:val="bottom"/>
          </w:tcPr>
          <w:p>
            <w:pPr>
              <w:spacing w:after="0"/>
              <w:rPr>
                <w:sz w:val="20"/>
                <w:szCs w:val="20"/>
                <w:color w:val="auto"/>
              </w:rPr>
            </w:pPr>
            <w:r>
              <w:rPr>
                <w:rFonts w:ascii="Arial" w:cs="Arial" w:eastAsia="Arial" w:hAnsi="Arial"/>
                <w:sz w:val="10"/>
                <w:szCs w:val="10"/>
                <w:color w:val="auto"/>
              </w:rPr>
              <w:t>Committee Member</w:t>
            </w:r>
          </w:p>
        </w:tc>
        <w:tc>
          <w:tcPr>
            <w:tcW w:w="1200" w:type="dxa"/>
            <w:vAlign w:val="bottom"/>
          </w:tcPr>
          <w:p>
            <w:pPr>
              <w:ind w:left="380"/>
              <w:spacing w:after="0"/>
              <w:rPr>
                <w:sz w:val="20"/>
                <w:szCs w:val="20"/>
                <w:color w:val="auto"/>
              </w:rPr>
            </w:pPr>
            <w:r>
              <w:rPr>
                <w:rFonts w:ascii="Arial" w:cs="Arial" w:eastAsia="Arial" w:hAnsi="Arial"/>
                <w:sz w:val="10"/>
                <w:szCs w:val="10"/>
                <w:color w:val="auto"/>
              </w:rPr>
              <w:t>Member since</w:t>
            </w:r>
          </w:p>
        </w:tc>
        <w:tc>
          <w:tcPr>
            <w:tcW w:w="1040" w:type="dxa"/>
            <w:vAlign w:val="bottom"/>
          </w:tcPr>
          <w:p>
            <w:pPr>
              <w:ind w:left="280"/>
              <w:spacing w:after="0"/>
              <w:rPr>
                <w:sz w:val="20"/>
                <w:szCs w:val="20"/>
                <w:color w:val="auto"/>
              </w:rPr>
            </w:pPr>
            <w:r>
              <w:rPr>
                <w:rFonts w:ascii="Arial" w:cs="Arial" w:eastAsia="Arial" w:hAnsi="Arial"/>
                <w:sz w:val="10"/>
                <w:szCs w:val="10"/>
                <w:color w:val="auto"/>
                <w:w w:val="89"/>
              </w:rPr>
              <w:t>Maximum possible</w:t>
            </w:r>
          </w:p>
        </w:tc>
        <w:tc>
          <w:tcPr>
            <w:tcW w:w="80" w:type="dxa"/>
            <w:vAlign w:val="bottom"/>
          </w:tcPr>
          <w:p>
            <w:pPr>
              <w:spacing w:after="0"/>
              <w:rPr>
                <w:sz w:val="10"/>
                <w:szCs w:val="10"/>
                <w:color w:val="auto"/>
              </w:rPr>
            </w:pPr>
          </w:p>
        </w:tc>
        <w:tc>
          <w:tcPr>
            <w:tcW w:w="860" w:type="dxa"/>
            <w:vAlign w:val="bottom"/>
          </w:tcPr>
          <w:p>
            <w:pPr>
              <w:ind w:left="20"/>
              <w:spacing w:after="0"/>
              <w:rPr>
                <w:sz w:val="20"/>
                <w:szCs w:val="20"/>
                <w:color w:val="auto"/>
              </w:rPr>
            </w:pPr>
            <w:r>
              <w:rPr>
                <w:rFonts w:ascii="Arial" w:cs="Arial" w:eastAsia="Arial" w:hAnsi="Arial"/>
                <w:sz w:val="10"/>
                <w:szCs w:val="10"/>
                <w:color w:val="auto"/>
                <w:w w:val="91"/>
              </w:rPr>
              <w:t>Number of meetings</w:t>
            </w:r>
          </w:p>
        </w:tc>
        <w:tc>
          <w:tcPr>
            <w:tcW w:w="860" w:type="dxa"/>
            <w:vAlign w:val="bottom"/>
          </w:tcPr>
          <w:p>
            <w:pPr>
              <w:ind w:left="20"/>
              <w:spacing w:after="0"/>
              <w:rPr>
                <w:sz w:val="20"/>
                <w:szCs w:val="20"/>
                <w:color w:val="auto"/>
              </w:rPr>
            </w:pPr>
            <w:r>
              <w:rPr>
                <w:rFonts w:ascii="Arial" w:cs="Arial" w:eastAsia="Arial" w:hAnsi="Arial"/>
                <w:sz w:val="10"/>
                <w:szCs w:val="10"/>
                <w:color w:val="auto"/>
              </w:rPr>
              <w:t>% of</w:t>
            </w:r>
          </w:p>
        </w:tc>
      </w:tr>
      <w:tr>
        <w:trPr>
          <w:trHeight w:val="124"/>
        </w:trPr>
        <w:tc>
          <w:tcPr>
            <w:tcW w:w="1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0"/>
                <w:szCs w:val="10"/>
                <w:color w:val="auto"/>
              </w:rPr>
              <w:t>meetings</w:t>
            </w: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attended</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99"/>
              </w:rPr>
              <w:t>meetings attended</w:t>
            </w:r>
          </w:p>
        </w:tc>
      </w:tr>
      <w:tr>
        <w:trPr>
          <w:trHeight w:val="115"/>
        </w:trPr>
        <w:tc>
          <w:tcPr>
            <w:tcW w:w="1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Neil Carson (Chair)</w:t>
            </w: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0"/>
                <w:szCs w:val="10"/>
                <w:color w:val="auto"/>
              </w:rPr>
              <w:t>June 1, 2019</w:t>
            </w: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100%</w:t>
            </w:r>
          </w:p>
        </w:tc>
      </w:tr>
      <w:tr>
        <w:trPr>
          <w:trHeight w:val="115"/>
        </w:trPr>
        <w:tc>
          <w:tcPr>
            <w:tcW w:w="1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Gerard Kleisterlee [A]</w:t>
            </w: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0"/>
                <w:szCs w:val="10"/>
                <w:color w:val="auto"/>
              </w:rPr>
              <w:t>May 21, 2014</w:t>
            </w: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100%</w:t>
            </w:r>
          </w:p>
        </w:tc>
      </w:tr>
      <w:tr>
        <w:trPr>
          <w:trHeight w:val="115"/>
        </w:trPr>
        <w:tc>
          <w:tcPr>
            <w:tcW w:w="1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Euleen Goh [B]</w:t>
            </w: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0"/>
                <w:szCs w:val="10"/>
                <w:color w:val="auto"/>
              </w:rPr>
              <w:t>May 20, 2020</w:t>
            </w: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100%</w:t>
            </w:r>
          </w:p>
        </w:tc>
      </w:tr>
      <w:tr>
        <w:trPr>
          <w:trHeight w:val="115"/>
        </w:trPr>
        <w:tc>
          <w:tcPr>
            <w:tcW w:w="1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Catherine Hughes</w:t>
            </w: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0"/>
                <w:szCs w:val="10"/>
                <w:color w:val="auto"/>
              </w:rPr>
              <w:t>July 26, 2017</w:t>
            </w: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100%</w:t>
            </w:r>
          </w:p>
        </w:tc>
      </w:tr>
      <w:tr>
        <w:trPr>
          <w:trHeight w:val="115"/>
        </w:trPr>
        <w:tc>
          <w:tcPr>
            <w:tcW w:w="1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Sir Nigel Sheinwald [C]</w:t>
            </w: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0"/>
                <w:szCs w:val="10"/>
                <w:color w:val="auto"/>
              </w:rPr>
              <w:t>May 24, 2017</w:t>
            </w: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100%</w:t>
            </w:r>
          </w:p>
        </w:tc>
      </w:tr>
      <w:tr>
        <w:trPr>
          <w:trHeight w:val="115"/>
        </w:trPr>
        <w:tc>
          <w:tcPr>
            <w:tcW w:w="1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Gerrit Zalm [D]</w:t>
            </w: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0"/>
                <w:szCs w:val="10"/>
                <w:color w:val="auto"/>
              </w:rPr>
              <w:t>May 21, 2014</w:t>
            </w: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80%</w:t>
            </w:r>
          </w:p>
        </w:tc>
      </w:tr>
    </w:tbl>
    <w:p>
      <w:pPr>
        <w:spacing w:after="0" w:line="153" w:lineRule="exact"/>
        <w:rPr>
          <w:sz w:val="20"/>
          <w:szCs w:val="20"/>
          <w:color w:val="auto"/>
        </w:rPr>
      </w:pPr>
    </w:p>
    <w:p>
      <w:pPr>
        <w:ind w:left="128" w:hanging="128"/>
        <w:spacing w:after="0"/>
        <w:tabs>
          <w:tab w:leader="none" w:pos="128" w:val="left"/>
        </w:tabs>
        <w:numPr>
          <w:ilvl w:val="0"/>
          <w:numId w:val="115"/>
        </w:numPr>
        <w:rPr>
          <w:rFonts w:ascii="Arial" w:cs="Arial" w:eastAsia="Arial" w:hAnsi="Arial"/>
          <w:sz w:val="8"/>
          <w:szCs w:val="8"/>
          <w:color w:val="auto"/>
        </w:rPr>
      </w:pPr>
      <w:r>
        <w:rPr>
          <w:rFonts w:ascii="Arial" w:cs="Arial" w:eastAsia="Arial" w:hAnsi="Arial"/>
          <w:sz w:val="8"/>
          <w:szCs w:val="8"/>
          <w:color w:val="auto"/>
        </w:rPr>
        <w:t>Gerard Kleisterlee retired from Shell after the 2020 Annual General Meeting, held on May 19, 2020.</w:t>
      </w:r>
    </w:p>
    <w:p>
      <w:pPr>
        <w:spacing w:after="0" w:line="12" w:lineRule="exact"/>
        <w:rPr>
          <w:rFonts w:ascii="Arial" w:cs="Arial" w:eastAsia="Arial" w:hAnsi="Arial"/>
          <w:sz w:val="8"/>
          <w:szCs w:val="8"/>
          <w:color w:val="auto"/>
        </w:rPr>
      </w:pPr>
    </w:p>
    <w:p>
      <w:pPr>
        <w:ind w:left="128" w:hanging="128"/>
        <w:spacing w:after="0"/>
        <w:tabs>
          <w:tab w:leader="none" w:pos="128" w:val="left"/>
        </w:tabs>
        <w:numPr>
          <w:ilvl w:val="0"/>
          <w:numId w:val="115"/>
        </w:numPr>
        <w:rPr>
          <w:rFonts w:ascii="Arial" w:cs="Arial" w:eastAsia="Arial" w:hAnsi="Arial"/>
          <w:sz w:val="8"/>
          <w:szCs w:val="8"/>
          <w:color w:val="auto"/>
        </w:rPr>
      </w:pPr>
      <w:r>
        <w:rPr>
          <w:rFonts w:ascii="Arial" w:cs="Arial" w:eastAsia="Arial" w:hAnsi="Arial"/>
          <w:sz w:val="8"/>
          <w:szCs w:val="8"/>
          <w:color w:val="auto"/>
        </w:rPr>
        <w:t>Euleen Goh was appointed to the REMCO with effect from May 20, 2020.</w:t>
      </w:r>
    </w:p>
    <w:p>
      <w:pPr>
        <w:spacing w:after="0" w:line="7" w:lineRule="exact"/>
        <w:rPr>
          <w:rFonts w:ascii="Arial" w:cs="Arial" w:eastAsia="Arial" w:hAnsi="Arial"/>
          <w:sz w:val="8"/>
          <w:szCs w:val="8"/>
          <w:color w:val="auto"/>
        </w:rPr>
      </w:pPr>
    </w:p>
    <w:p>
      <w:pPr>
        <w:ind w:left="128" w:hanging="128"/>
        <w:spacing w:after="0"/>
        <w:tabs>
          <w:tab w:leader="none" w:pos="128" w:val="left"/>
        </w:tabs>
        <w:numPr>
          <w:ilvl w:val="0"/>
          <w:numId w:val="115"/>
        </w:numPr>
        <w:rPr>
          <w:rFonts w:ascii="Arial" w:cs="Arial" w:eastAsia="Arial" w:hAnsi="Arial"/>
          <w:sz w:val="8"/>
          <w:szCs w:val="8"/>
          <w:color w:val="auto"/>
        </w:rPr>
      </w:pPr>
      <w:r>
        <w:rPr>
          <w:rFonts w:ascii="Arial" w:cs="Arial" w:eastAsia="Arial" w:hAnsi="Arial"/>
          <w:sz w:val="8"/>
          <w:szCs w:val="8"/>
          <w:color w:val="auto"/>
        </w:rPr>
        <w:t>Sir Nigel Sheinwald stood down as a member of the REMCO with effect from May 20, 2020.</w:t>
      </w:r>
    </w:p>
    <w:p>
      <w:pPr>
        <w:spacing w:after="0" w:line="7" w:lineRule="exact"/>
        <w:rPr>
          <w:rFonts w:ascii="Arial" w:cs="Arial" w:eastAsia="Arial" w:hAnsi="Arial"/>
          <w:sz w:val="8"/>
          <w:szCs w:val="8"/>
          <w:color w:val="auto"/>
        </w:rPr>
      </w:pPr>
    </w:p>
    <w:p>
      <w:pPr>
        <w:ind w:left="128" w:hanging="128"/>
        <w:spacing w:after="0"/>
        <w:tabs>
          <w:tab w:leader="none" w:pos="128" w:val="left"/>
        </w:tabs>
        <w:numPr>
          <w:ilvl w:val="0"/>
          <w:numId w:val="115"/>
        </w:numPr>
        <w:rPr>
          <w:rFonts w:ascii="Arial" w:cs="Arial" w:eastAsia="Arial" w:hAnsi="Arial"/>
          <w:sz w:val="8"/>
          <w:szCs w:val="8"/>
          <w:color w:val="auto"/>
        </w:rPr>
      </w:pPr>
      <w:r>
        <w:rPr>
          <w:rFonts w:ascii="Arial" w:cs="Arial" w:eastAsia="Arial" w:hAnsi="Arial"/>
          <w:sz w:val="8"/>
          <w:szCs w:val="8"/>
          <w:color w:val="auto"/>
        </w:rPr>
        <w:t>Gerrit Zalm was unable to attend the December 2020 meeting due to an agenda clash arising from a late rescheduling of the meeting.</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REMCO’s key responsibilities include determining:</w:t>
      </w:r>
    </w:p>
    <w:p>
      <w:pPr>
        <w:spacing w:after="0" w:line="191"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2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60" w:type="dxa"/>
            <w:vAlign w:val="bottom"/>
          </w:tcPr>
          <w:p>
            <w:pPr>
              <w:jc w:val="center"/>
              <w:ind w:left="52"/>
              <w:spacing w:after="0"/>
              <w:rPr>
                <w:sz w:val="20"/>
                <w:szCs w:val="20"/>
                <w:color w:val="auto"/>
              </w:rPr>
            </w:pPr>
            <w:r>
              <w:rPr>
                <w:rFonts w:ascii="Arial" w:cs="Arial" w:eastAsia="Arial" w:hAnsi="Arial"/>
                <w:sz w:val="10"/>
                <w:szCs w:val="10"/>
                <w:color w:val="auto"/>
                <w:w w:val="86"/>
              </w:rPr>
              <w:t>Senior Management</w:t>
            </w:r>
          </w:p>
        </w:tc>
        <w:tc>
          <w:tcPr>
            <w:tcW w:w="960" w:type="dxa"/>
            <w:vAlign w:val="bottom"/>
          </w:tcPr>
          <w:p>
            <w:pPr>
              <w:spacing w:after="0"/>
              <w:rPr>
                <w:sz w:val="10"/>
                <w:szCs w:val="10"/>
                <w:color w:val="auto"/>
              </w:rPr>
            </w:pPr>
          </w:p>
        </w:tc>
      </w:tr>
      <w:tr>
        <w:trPr>
          <w:trHeight w:val="26"/>
        </w:trPr>
        <w:tc>
          <w:tcPr>
            <w:tcW w:w="25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10"/>
        </w:trPr>
        <w:tc>
          <w:tcPr>
            <w:tcW w:w="2580" w:type="dxa"/>
            <w:vAlign w:val="bottom"/>
          </w:tcPr>
          <w:p>
            <w:pPr>
              <w:spacing w:after="0"/>
              <w:rPr>
                <w:sz w:val="9"/>
                <w:szCs w:val="9"/>
                <w:color w:val="auto"/>
              </w:rPr>
            </w:pPr>
          </w:p>
        </w:tc>
        <w:tc>
          <w:tcPr>
            <w:tcW w:w="860" w:type="dxa"/>
            <w:vAlign w:val="bottom"/>
          </w:tcPr>
          <w:p>
            <w:pPr>
              <w:spacing w:after="0" w:line="111" w:lineRule="exact"/>
              <w:rPr>
                <w:sz w:val="20"/>
                <w:szCs w:val="20"/>
                <w:color w:val="auto"/>
              </w:rPr>
            </w:pPr>
            <w:r>
              <w:rPr>
                <w:rFonts w:ascii="Arial" w:cs="Arial" w:eastAsia="Arial" w:hAnsi="Arial"/>
                <w:sz w:val="10"/>
                <w:szCs w:val="10"/>
                <w:color w:val="auto"/>
                <w:w w:val="97"/>
              </w:rPr>
              <w:t>Executive Directors</w:t>
            </w:r>
          </w:p>
        </w:tc>
        <w:tc>
          <w:tcPr>
            <w:tcW w:w="960" w:type="dxa"/>
            <w:vAlign w:val="bottom"/>
          </w:tcPr>
          <w:p>
            <w:pPr>
              <w:ind w:left="80"/>
              <w:spacing w:after="0" w:line="111" w:lineRule="exact"/>
              <w:rPr>
                <w:sz w:val="20"/>
                <w:szCs w:val="20"/>
                <w:color w:val="auto"/>
              </w:rPr>
            </w:pPr>
            <w:r>
              <w:rPr>
                <w:rFonts w:ascii="Arial" w:cs="Arial" w:eastAsia="Arial" w:hAnsi="Arial"/>
                <w:sz w:val="10"/>
                <w:szCs w:val="10"/>
                <w:color w:val="auto"/>
                <w:w w:val="90"/>
              </w:rPr>
              <w:t>Executive Committee</w:t>
            </w:r>
          </w:p>
        </w:tc>
        <w:tc>
          <w:tcPr>
            <w:tcW w:w="960" w:type="dxa"/>
            <w:vAlign w:val="bottom"/>
          </w:tcPr>
          <w:p>
            <w:pPr>
              <w:ind w:left="40"/>
              <w:spacing w:after="0" w:line="111" w:lineRule="exact"/>
              <w:rPr>
                <w:sz w:val="20"/>
                <w:szCs w:val="20"/>
                <w:color w:val="auto"/>
              </w:rPr>
            </w:pPr>
            <w:r>
              <w:rPr>
                <w:rFonts w:ascii="Arial" w:cs="Arial" w:eastAsia="Arial" w:hAnsi="Arial"/>
                <w:sz w:val="10"/>
                <w:szCs w:val="10"/>
                <w:color w:val="auto"/>
              </w:rPr>
              <w:t>Company Secretary</w:t>
            </w:r>
          </w:p>
        </w:tc>
      </w:tr>
      <w:tr>
        <w:trPr>
          <w:trHeight w:val="122"/>
        </w:trPr>
        <w:tc>
          <w:tcPr>
            <w:tcW w:w="25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129"/>
        </w:trPr>
        <w:tc>
          <w:tcPr>
            <w:tcW w:w="25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Performance framework</w:t>
            </w: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P</w:t>
            </w:r>
          </w:p>
        </w:tc>
        <w:tc>
          <w:tcPr>
            <w:tcW w:w="960" w:type="dxa"/>
            <w:vAlign w:val="bottom"/>
            <w:tcBorders>
              <w:bottom w:val="single" w:sz="8" w:color="auto"/>
            </w:tcBorders>
          </w:tcPr>
          <w:p>
            <w:pPr>
              <w:jc w:val="center"/>
              <w:ind w:left="32"/>
              <w:spacing w:after="0"/>
              <w:rPr>
                <w:sz w:val="20"/>
                <w:szCs w:val="20"/>
                <w:color w:val="auto"/>
              </w:rPr>
            </w:pPr>
            <w:r>
              <w:rPr>
                <w:rFonts w:ascii="Arial" w:cs="Arial" w:eastAsia="Arial" w:hAnsi="Arial"/>
                <w:sz w:val="10"/>
                <w:szCs w:val="10"/>
                <w:color w:val="auto"/>
              </w:rPr>
              <w:t>O</w:t>
            </w:r>
          </w:p>
        </w:tc>
        <w:tc>
          <w:tcPr>
            <w:tcW w:w="960" w:type="dxa"/>
            <w:vAlign w:val="bottom"/>
            <w:tcBorders>
              <w:bottom w:val="single" w:sz="8" w:color="auto"/>
            </w:tcBorders>
          </w:tcPr>
          <w:p>
            <w:pPr>
              <w:ind w:left="460"/>
              <w:spacing w:after="0"/>
              <w:rPr>
                <w:sz w:val="20"/>
                <w:szCs w:val="20"/>
                <w:color w:val="auto"/>
              </w:rPr>
            </w:pPr>
            <w:r>
              <w:rPr>
                <w:rFonts w:ascii="Arial" w:cs="Arial" w:eastAsia="Arial" w:hAnsi="Arial"/>
                <w:sz w:val="10"/>
                <w:szCs w:val="10"/>
                <w:color w:val="auto"/>
              </w:rPr>
              <w:t>O</w:t>
            </w:r>
          </w:p>
        </w:tc>
      </w:tr>
      <w:tr>
        <w:trPr>
          <w:trHeight w:val="133"/>
        </w:trPr>
        <w:tc>
          <w:tcPr>
            <w:tcW w:w="25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Remuneration policy</w:t>
            </w: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P</w:t>
            </w:r>
          </w:p>
        </w:tc>
        <w:tc>
          <w:tcPr>
            <w:tcW w:w="960" w:type="dxa"/>
            <w:vAlign w:val="bottom"/>
            <w:tcBorders>
              <w:bottom w:val="single" w:sz="8" w:color="auto"/>
            </w:tcBorders>
          </w:tcPr>
          <w:p>
            <w:pPr>
              <w:jc w:val="center"/>
              <w:ind w:left="52"/>
              <w:spacing w:after="0"/>
              <w:rPr>
                <w:sz w:val="20"/>
                <w:szCs w:val="20"/>
                <w:color w:val="auto"/>
              </w:rPr>
            </w:pPr>
            <w:r>
              <w:rPr>
                <w:rFonts w:ascii="Arial" w:cs="Arial" w:eastAsia="Arial" w:hAnsi="Arial"/>
                <w:sz w:val="10"/>
                <w:szCs w:val="10"/>
                <w:color w:val="auto"/>
                <w:w w:val="89"/>
              </w:rPr>
              <w:t>P</w:t>
            </w:r>
          </w:p>
        </w:tc>
        <w:tc>
          <w:tcPr>
            <w:tcW w:w="960" w:type="dxa"/>
            <w:vAlign w:val="bottom"/>
            <w:tcBorders>
              <w:bottom w:val="single" w:sz="8" w:color="auto"/>
            </w:tcBorders>
          </w:tcPr>
          <w:p>
            <w:pPr>
              <w:ind w:left="460"/>
              <w:spacing w:after="0"/>
              <w:rPr>
                <w:sz w:val="20"/>
                <w:szCs w:val="20"/>
                <w:color w:val="auto"/>
              </w:rPr>
            </w:pPr>
            <w:r>
              <w:rPr>
                <w:rFonts w:ascii="Arial" w:cs="Arial" w:eastAsia="Arial" w:hAnsi="Arial"/>
                <w:sz w:val="10"/>
                <w:szCs w:val="10"/>
                <w:color w:val="auto"/>
              </w:rPr>
              <w:t>O</w:t>
            </w:r>
          </w:p>
        </w:tc>
      </w:tr>
      <w:tr>
        <w:trPr>
          <w:trHeight w:val="133"/>
        </w:trPr>
        <w:tc>
          <w:tcPr>
            <w:tcW w:w="25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Actual remuneration and benefits</w:t>
            </w: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P</w:t>
            </w:r>
          </w:p>
        </w:tc>
        <w:tc>
          <w:tcPr>
            <w:tcW w:w="960" w:type="dxa"/>
            <w:vAlign w:val="bottom"/>
            <w:tcBorders>
              <w:bottom w:val="single" w:sz="8" w:color="auto"/>
            </w:tcBorders>
          </w:tcPr>
          <w:p>
            <w:pPr>
              <w:jc w:val="center"/>
              <w:ind w:left="52"/>
              <w:spacing w:after="0"/>
              <w:rPr>
                <w:sz w:val="20"/>
                <w:szCs w:val="20"/>
                <w:color w:val="auto"/>
              </w:rPr>
            </w:pPr>
            <w:r>
              <w:rPr>
                <w:rFonts w:ascii="Arial" w:cs="Arial" w:eastAsia="Arial" w:hAnsi="Arial"/>
                <w:sz w:val="10"/>
                <w:szCs w:val="10"/>
                <w:color w:val="auto"/>
                <w:w w:val="89"/>
              </w:rPr>
              <w:t>P</w:t>
            </w:r>
          </w:p>
        </w:tc>
        <w:tc>
          <w:tcPr>
            <w:tcW w:w="960" w:type="dxa"/>
            <w:vAlign w:val="bottom"/>
            <w:tcBorders>
              <w:bottom w:val="single" w:sz="8" w:color="auto"/>
            </w:tcBorders>
          </w:tcPr>
          <w:p>
            <w:pPr>
              <w:ind w:left="460"/>
              <w:spacing w:after="0"/>
              <w:rPr>
                <w:sz w:val="20"/>
                <w:szCs w:val="20"/>
                <w:color w:val="auto"/>
              </w:rPr>
            </w:pPr>
            <w:r>
              <w:rPr>
                <w:rFonts w:ascii="Arial" w:cs="Arial" w:eastAsia="Arial" w:hAnsi="Arial"/>
                <w:sz w:val="10"/>
                <w:szCs w:val="10"/>
                <w:color w:val="auto"/>
              </w:rPr>
              <w:t>P</w:t>
            </w:r>
          </w:p>
        </w:tc>
      </w:tr>
      <w:tr>
        <w:trPr>
          <w:trHeight w:val="133"/>
        </w:trPr>
        <w:tc>
          <w:tcPr>
            <w:tcW w:w="258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5"/>
              </w:rPr>
              <w:t>Annual bonus and long-term incentive measures and targets</w:t>
            </w: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P</w:t>
            </w:r>
          </w:p>
        </w:tc>
        <w:tc>
          <w:tcPr>
            <w:tcW w:w="960" w:type="dxa"/>
            <w:vAlign w:val="bottom"/>
            <w:tcBorders>
              <w:bottom w:val="single" w:sz="8" w:color="auto"/>
            </w:tcBorders>
          </w:tcPr>
          <w:p>
            <w:pPr>
              <w:jc w:val="center"/>
              <w:ind w:left="52"/>
              <w:spacing w:after="0"/>
              <w:rPr>
                <w:sz w:val="20"/>
                <w:szCs w:val="20"/>
                <w:color w:val="auto"/>
              </w:rPr>
            </w:pPr>
            <w:r>
              <w:rPr>
                <w:rFonts w:ascii="Arial" w:cs="Arial" w:eastAsia="Arial" w:hAnsi="Arial"/>
                <w:sz w:val="10"/>
                <w:szCs w:val="10"/>
                <w:color w:val="auto"/>
                <w:w w:val="89"/>
              </w:rPr>
              <w:t>P</w:t>
            </w:r>
          </w:p>
        </w:tc>
        <w:tc>
          <w:tcPr>
            <w:tcW w:w="960" w:type="dxa"/>
            <w:vAlign w:val="bottom"/>
            <w:tcBorders>
              <w:bottom w:val="single" w:sz="8" w:color="auto"/>
            </w:tcBorders>
          </w:tcPr>
          <w:p>
            <w:pPr>
              <w:ind w:left="460"/>
              <w:spacing w:after="0"/>
              <w:rPr>
                <w:sz w:val="20"/>
                <w:szCs w:val="20"/>
                <w:color w:val="auto"/>
              </w:rPr>
            </w:pPr>
            <w:r>
              <w:rPr>
                <w:rFonts w:ascii="Arial" w:cs="Arial" w:eastAsia="Arial" w:hAnsi="Arial"/>
                <w:sz w:val="10"/>
                <w:szCs w:val="10"/>
                <w:color w:val="auto"/>
              </w:rPr>
              <w:t>P</w:t>
            </w:r>
          </w:p>
        </w:tc>
      </w:tr>
    </w:tbl>
    <w:p>
      <w:pPr>
        <w:spacing w:after="0" w:line="312" w:lineRule="exact"/>
        <w:rPr>
          <w:sz w:val="20"/>
          <w:szCs w:val="20"/>
          <w:color w:val="auto"/>
        </w:rPr>
      </w:pPr>
    </w:p>
    <w:p>
      <w:pPr>
        <w:ind w:left="8" w:right="180"/>
        <w:spacing w:after="0" w:line="307" w:lineRule="auto"/>
        <w:rPr>
          <w:sz w:val="20"/>
          <w:szCs w:val="20"/>
          <w:color w:val="auto"/>
        </w:rPr>
      </w:pPr>
      <w:r>
        <w:rPr>
          <w:rFonts w:ascii="Arial" w:cs="Arial" w:eastAsia="Arial" w:hAnsi="Arial"/>
          <w:sz w:val="8"/>
          <w:szCs w:val="8"/>
          <w:color w:val="auto"/>
        </w:rPr>
        <w:t>The REMCO is also responsible for determining the Chair of the Board’s remuneration. The REMCO monitors the level and structure of remuneration for senior executives below Senior Management, and makes recommendations if appropriate to ensure consistency and alignment with Shell’s remuneration objectives. When setting the policy for Executive Director remuneration, the REMCO reviews and considers workforce remuneration and related policies, and how incentives and rewards align with culture.</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0"/>
          <w:szCs w:val="10"/>
          <w:color w:val="auto"/>
        </w:rPr>
        <w:t>In exercising its responsibilities, the REMCO takes into account a variety of stakeholder considerations.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400"/>
        <w:spacing w:after="0" w:line="239" w:lineRule="auto"/>
        <w:rPr>
          <w:sz w:val="20"/>
          <w:szCs w:val="20"/>
          <w:color w:val="auto"/>
        </w:rPr>
      </w:pPr>
      <w:r>
        <w:rPr>
          <w:rFonts w:ascii="Arial" w:cs="Arial" w:eastAsia="Arial" w:hAnsi="Arial"/>
          <w:sz w:val="10"/>
          <w:szCs w:val="10"/>
          <w:color w:val="auto"/>
        </w:rPr>
        <w:t>The REMCO operates within its Terms of Reference, which are reviewed annually. They were last updated on March 13, 2019 and are available at www.shell.com.</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Advice from within Shell was provided by:</w:t>
      </w:r>
    </w:p>
    <w:p>
      <w:pPr>
        <w:spacing w:after="0" w:line="155" w:lineRule="exact"/>
        <w:rPr>
          <w:sz w:val="20"/>
          <w:szCs w:val="20"/>
          <w:color w:val="auto"/>
        </w:rPr>
      </w:pPr>
    </w:p>
    <w:p>
      <w:pPr>
        <w:ind w:left="100" w:hanging="91"/>
        <w:spacing w:after="0"/>
        <w:tabs>
          <w:tab w:leader="none" w:pos="10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Ben van Beurden, Chief Executive Officer;</w:t>
      </w:r>
    </w:p>
    <w:p>
      <w:pPr>
        <w:spacing w:after="0" w:line="1" w:lineRule="exact"/>
        <w:rPr>
          <w:rFonts w:ascii="Arial" w:cs="Arial" w:eastAsia="Arial" w:hAnsi="Arial"/>
          <w:sz w:val="10"/>
          <w:szCs w:val="10"/>
          <w:color w:val="auto"/>
        </w:rPr>
      </w:pPr>
    </w:p>
    <w:p>
      <w:pPr>
        <w:ind w:left="100" w:hanging="91"/>
        <w:spacing w:after="0" w:line="225" w:lineRule="auto"/>
        <w:tabs>
          <w:tab w:leader="none" w:pos="10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Ronan Cassidy, Chief Human Resources and Corporate Officer and Secretary to the REMCO; and</w:t>
      </w:r>
    </w:p>
    <w:p>
      <w:pPr>
        <w:ind w:left="100" w:hanging="91"/>
        <w:spacing w:after="0" w:line="236" w:lineRule="auto"/>
        <w:tabs>
          <w:tab w:leader="none" w:pos="10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Stephanie Boyde, Executive Vice President Performance and Reward.</w:t>
      </w:r>
    </w:p>
    <w:p>
      <w:pPr>
        <w:spacing w:after="0" w:line="149" w:lineRule="exact"/>
        <w:rPr>
          <w:sz w:val="20"/>
          <w:szCs w:val="20"/>
          <w:color w:val="auto"/>
        </w:rPr>
      </w:pPr>
    </w:p>
    <w:p>
      <w:pPr>
        <w:ind w:right="180"/>
        <w:spacing w:after="0" w:line="239" w:lineRule="auto"/>
        <w:rPr>
          <w:sz w:val="20"/>
          <w:szCs w:val="20"/>
          <w:color w:val="auto"/>
        </w:rPr>
      </w:pPr>
      <w:r>
        <w:rPr>
          <w:rFonts w:ascii="Arial" w:cs="Arial" w:eastAsia="Arial" w:hAnsi="Arial"/>
          <w:sz w:val="10"/>
          <w:szCs w:val="10"/>
          <w:color w:val="auto"/>
        </w:rPr>
        <w:t>The Chair of the Board was consulted on remuneration proposals affecting the CEO, and the CEO was consulted on proposals relating to the CFO and Senior Management.</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During 2020, the REMCO met five times and its activities included:</w:t>
      </w:r>
    </w:p>
    <w:p>
      <w:pPr>
        <w:ind w:left="100" w:hanging="91"/>
        <w:spacing w:after="0" w:line="227" w:lineRule="auto"/>
        <w:tabs>
          <w:tab w:leader="none" w:pos="1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carefully deliberating on pay quantum for the CEO;</w:t>
      </w:r>
    </w:p>
    <w:p>
      <w:pPr>
        <w:ind w:left="100" w:hanging="91"/>
        <w:spacing w:after="0" w:line="225" w:lineRule="auto"/>
        <w:tabs>
          <w:tab w:leader="none" w:pos="1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determining vesting of the 2017 LTIP award for Senior Management;</w:t>
      </w:r>
    </w:p>
    <w:p>
      <w:pPr>
        <w:ind w:left="100" w:hanging="91"/>
        <w:spacing w:after="0"/>
        <w:tabs>
          <w:tab w:leader="none" w:pos="100" w:val="left"/>
        </w:tabs>
        <w:numPr>
          <w:ilvl w:val="0"/>
          <w:numId w:val="117"/>
        </w:numPr>
        <w:rPr>
          <w:rFonts w:ascii="Arial" w:cs="Arial" w:eastAsia="Arial" w:hAnsi="Arial"/>
          <w:sz w:val="8"/>
          <w:szCs w:val="8"/>
          <w:color w:val="auto"/>
        </w:rPr>
      </w:pPr>
      <w:r>
        <w:rPr>
          <w:rFonts w:ascii="Arial" w:cs="Arial" w:eastAsia="Arial" w:hAnsi="Arial"/>
          <w:sz w:val="8"/>
          <w:szCs w:val="8"/>
          <w:color w:val="auto"/>
        </w:rPr>
        <w:t>deciding on 2019 annual bonus outcome, 2020 base salaries, 2020 target bonuses and 2020 LTIP awards for Senior Management;</w:t>
      </w:r>
    </w:p>
    <w:p>
      <w:pPr>
        <w:spacing w:after="0" w:line="16" w:lineRule="exact"/>
        <w:rPr>
          <w:rFonts w:ascii="Arial" w:cs="Arial" w:eastAsia="Arial" w:hAnsi="Arial"/>
          <w:sz w:val="8"/>
          <w:szCs w:val="8"/>
          <w:color w:val="auto"/>
        </w:rPr>
      </w:pPr>
    </w:p>
    <w:p>
      <w:pPr>
        <w:ind w:left="100" w:hanging="91"/>
        <w:spacing w:after="0" w:line="225" w:lineRule="auto"/>
        <w:tabs>
          <w:tab w:leader="none" w:pos="1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developing the Directors’ Remuneration Policy in preparation for the 2020 AGM vote, in consultation with shareholders;</w:t>
      </w:r>
    </w:p>
    <w:p>
      <w:pPr>
        <w:ind w:left="100" w:hanging="91"/>
        <w:spacing w:after="0" w:line="225" w:lineRule="auto"/>
        <w:tabs>
          <w:tab w:leader="none" w:pos="1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approving the 2019 Directors’ Remuneration Report;</w:t>
      </w:r>
    </w:p>
    <w:p>
      <w:pPr>
        <w:ind w:left="120" w:right="380" w:hanging="111"/>
        <w:spacing w:after="0" w:line="225" w:lineRule="auto"/>
        <w:tabs>
          <w:tab w:leader="none" w:pos="115" w:val="left"/>
        </w:tabs>
        <w:numPr>
          <w:ilvl w:val="0"/>
          <w:numId w:val="117"/>
        </w:numPr>
        <w:rPr>
          <w:rFonts w:ascii="Arial" w:cs="Arial" w:eastAsia="Arial" w:hAnsi="Arial"/>
          <w:sz w:val="10"/>
          <w:szCs w:val="10"/>
          <w:color w:val="auto"/>
        </w:rPr>
      </w:pPr>
      <w:r>
        <w:rPr>
          <w:rFonts w:ascii="Arial" w:cs="Arial" w:eastAsia="Arial" w:hAnsi="Arial"/>
          <w:sz w:val="10"/>
          <w:szCs w:val="10"/>
          <w:color w:val="auto"/>
        </w:rPr>
        <w:t>setting 2020 annual bonus and LTIP performance measures and targets and subsequently making the decision that there should be no annual bonus in 2020;</w:t>
      </w:r>
    </w:p>
    <w:p>
      <w:pPr>
        <w:ind w:left="120" w:right="420" w:hanging="111"/>
        <w:spacing w:after="0" w:line="281" w:lineRule="auto"/>
        <w:tabs>
          <w:tab w:leader="none" w:pos="115" w:val="left"/>
        </w:tabs>
        <w:numPr>
          <w:ilvl w:val="0"/>
          <w:numId w:val="117"/>
        </w:numPr>
        <w:rPr>
          <w:rFonts w:ascii="Arial" w:cs="Arial" w:eastAsia="Arial" w:hAnsi="Arial"/>
          <w:sz w:val="8"/>
          <w:szCs w:val="8"/>
          <w:color w:val="auto"/>
        </w:rPr>
      </w:pPr>
      <w:r>
        <w:rPr>
          <w:rFonts w:ascii="Arial" w:cs="Arial" w:eastAsia="Arial" w:hAnsi="Arial"/>
          <w:sz w:val="8"/>
          <w:szCs w:val="8"/>
          <w:color w:val="auto"/>
        </w:rPr>
        <w:t>considering matters related to business performance, the implications of the COVID-19 pandemic and its impact on employees, and determining that no salary increases would apply for 2021 for Executive Directors and Senior Management;</w:t>
      </w:r>
    </w:p>
    <w:p>
      <w:pPr>
        <w:ind w:left="120" w:right="400" w:hanging="111"/>
        <w:spacing w:after="0" w:line="225" w:lineRule="auto"/>
        <w:tabs>
          <w:tab w:leader="none" w:pos="115" w:val="left"/>
        </w:tabs>
        <w:numPr>
          <w:ilvl w:val="0"/>
          <w:numId w:val="117"/>
        </w:numPr>
        <w:rPr>
          <w:rFonts w:ascii="Arial" w:cs="Arial" w:eastAsia="Arial" w:hAnsi="Arial"/>
          <w:sz w:val="10"/>
          <w:szCs w:val="10"/>
          <w:color w:val="auto"/>
        </w:rPr>
      </w:pPr>
      <w:r>
        <w:rPr>
          <w:rFonts w:ascii="Arial" w:cs="Arial" w:eastAsia="Arial" w:hAnsi="Arial"/>
          <w:sz w:val="10"/>
          <w:szCs w:val="10"/>
          <w:color w:val="auto"/>
        </w:rPr>
        <w:t>considering matters relating to the updated strategy and accelerated transition of our business to net-zero emissions and the potential implications for 2021 annual bonus and LTIP performance measures and targets; and</w:t>
      </w:r>
    </w:p>
    <w:p>
      <w:pPr>
        <w:ind w:left="100" w:hanging="91"/>
        <w:spacing w:after="0" w:line="236" w:lineRule="auto"/>
        <w:tabs>
          <w:tab w:leader="none" w:pos="1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monitoring external developments and assessing the impact on the Directors' Remuneration Policy.</w:t>
      </w:r>
    </w:p>
    <w:p>
      <w:pPr>
        <w:spacing w:after="0" w:line="149" w:lineRule="exact"/>
        <w:rPr>
          <w:sz w:val="20"/>
          <w:szCs w:val="20"/>
          <w:color w:val="auto"/>
        </w:rPr>
      </w:pPr>
    </w:p>
    <w:p>
      <w:pPr>
        <w:ind w:right="140"/>
        <w:spacing w:after="0" w:line="239" w:lineRule="auto"/>
        <w:rPr>
          <w:sz w:val="20"/>
          <w:szCs w:val="20"/>
          <w:color w:val="auto"/>
        </w:rPr>
      </w:pPr>
      <w:r>
        <w:rPr>
          <w:rFonts w:ascii="Arial" w:cs="Arial" w:eastAsia="Arial" w:hAnsi="Arial"/>
          <w:sz w:val="10"/>
          <w:szCs w:val="10"/>
          <w:color w:val="auto"/>
        </w:rPr>
        <w:t>In 2020, the REMCO reviewed benchmarking data and analysis on executive pay market developments that were prepared by Shell’s internal HR function. The REMCO has not incurred external remuneration adviser fees.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PRINCIPLES</w:t>
      </w:r>
    </w:p>
    <w:p>
      <w:pPr>
        <w:spacing w:after="0"/>
        <w:rPr>
          <w:sz w:val="20"/>
          <w:szCs w:val="20"/>
          <w:color w:val="auto"/>
        </w:rPr>
      </w:pPr>
      <w:r>
        <w:rPr>
          <w:rFonts w:ascii="Arial" w:cs="Arial" w:eastAsia="Arial" w:hAnsi="Arial"/>
          <w:sz w:val="10"/>
          <w:szCs w:val="10"/>
          <w:color w:val="auto"/>
        </w:rPr>
        <w:t>The principles that underpin the REMCO’s approach to executive remuneration are set out on page 137.</w:t>
      </w:r>
    </w:p>
    <w:p>
      <w:pPr>
        <w:spacing w:after="0" w:line="148" w:lineRule="exact"/>
        <w:rPr>
          <w:sz w:val="20"/>
          <w:szCs w:val="20"/>
          <w:color w:val="auto"/>
        </w:rPr>
      </w:pPr>
    </w:p>
    <w:p>
      <w:pPr>
        <w:ind w:right="120"/>
        <w:spacing w:after="0" w:line="358" w:lineRule="auto"/>
        <w:rPr>
          <w:sz w:val="20"/>
          <w:szCs w:val="20"/>
          <w:color w:val="auto"/>
        </w:rPr>
      </w:pPr>
      <w:r>
        <w:rPr>
          <w:rFonts w:ascii="Arial" w:cs="Arial" w:eastAsia="Arial" w:hAnsi="Arial"/>
          <w:sz w:val="8"/>
          <w:szCs w:val="8"/>
          <w:color w:val="auto"/>
        </w:rPr>
        <w:t>The REMCO considered the provisions of the UK Corporate Governance code, and in deciding 2020 pay outcomes it has sought to reflect the principles of clarity, simplicity, risk management, predictability, proportionality and alignment with culture.</w:t>
      </w:r>
    </w:p>
    <w:p>
      <w:pPr>
        <w:spacing w:after="0" w:line="104" w:lineRule="exact"/>
        <w:rPr>
          <w:sz w:val="20"/>
          <w:szCs w:val="20"/>
          <w:color w:val="auto"/>
        </w:rPr>
      </w:pPr>
    </w:p>
    <w:p>
      <w:pPr>
        <w:ind w:right="140"/>
        <w:spacing w:after="0" w:line="289" w:lineRule="auto"/>
        <w:rPr>
          <w:sz w:val="20"/>
          <w:szCs w:val="20"/>
          <w:color w:val="auto"/>
        </w:rPr>
      </w:pPr>
      <w:r>
        <w:rPr>
          <w:rFonts w:ascii="Arial" w:cs="Arial" w:eastAsia="Arial" w:hAnsi="Arial"/>
          <w:sz w:val="8"/>
          <w:szCs w:val="8"/>
          <w:color w:val="auto"/>
        </w:rPr>
        <w:t>Shell has a consistent global reward and performance philosophy that sets clear expectations of employees. Through the annual bonus scorecard and the LTIP, remuneration is clearly aligned with Shell’s operating plan and strategic ambitions. The same measures apply to Executive Directors and Senior Management and to a significantly broader employee base. This provides alignment throughout the organisation with Shell’s culture and strategy. The annual operating plan translates into targets on the annual bonus scorecard, and a quarterly update on performance against scorecard targets is provided to employees. (Exceptionally in 2020, updates on the annual bonus scorecard were not published, this is discussed further on page 117.) Similarly the LTIP is largely based on outperforming the competition, and regular updates on Shell’s performance against competitors is provided to employees. In reviewing the Directors’ Remuneration Policy, approved at the 2020 AGM, the REMCO sought to make changes that help to simplify remuneration structures (for example, removing the individual performance factor for Executive Directors) and giving more transparent outcomes (for example, removing the bonus asymmetry from the CEO’s remuneration structure). To assist in the mitigation of reputational risk and to ensure proportionality, the powers of the REMCO to apply malus and clawback and make discretionary adjustments to variable pay outcomes were expanded,</w:t>
      </w:r>
    </w:p>
    <w:p>
      <w:pPr>
        <w:spacing w:after="0" w:line="755" w:lineRule="exact"/>
        <w:rPr>
          <w:sz w:val="20"/>
          <w:szCs w:val="20"/>
          <w:color w:val="auto"/>
        </w:rPr>
      </w:pPr>
    </w:p>
    <w:p>
      <w:pPr>
        <w:sectPr>
          <w:pgSz w:w="11900" w:h="16838" w:orient="portrait"/>
          <w:cols w:equalWidth="0" w:num="2">
            <w:col w:w="5428" w:space="300"/>
            <w:col w:w="5580"/>
          </w:cols>
          <w:pgMar w:left="292" w:top="721" w:right="299" w:bottom="1440" w:gutter="0" w:footer="0" w:header="0"/>
        </w:sectPr>
      </w:pPr>
    </w:p>
    <w:p>
      <w:pPr>
        <w:spacing w:after="0" w:line="320"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120</w:t>
            </w:r>
          </w:p>
        </w:tc>
      </w:tr>
      <w:tr>
        <w:trPr>
          <w:trHeight w:val="142"/>
        </w:trPr>
        <w:tc>
          <w:tcPr>
            <w:tcW w:w="3420" w:type="dxa"/>
            <w:vAlign w:val="bottom"/>
            <w:tcBorders>
              <w:bottom w:val="single" w:sz="8" w:color="9A9A9A"/>
            </w:tcBorders>
          </w:tcPr>
          <w:p>
            <w:pPr>
              <w:spacing w:after="0"/>
              <w:rPr>
                <w:sz w:val="12"/>
                <w:szCs w:val="12"/>
                <w:color w:val="auto"/>
              </w:rPr>
            </w:pPr>
          </w:p>
        </w:tc>
        <w:tc>
          <w:tcPr>
            <w:tcW w:w="78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0"/>
          <w:szCs w:val="10"/>
          <w:color w:val="auto"/>
        </w:rPr>
        <w:t>with the intention that the REMCO will use discretion to ensure the highest pay outcomes are delivered only for outstanding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3909060" cy="51435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909060" cy="514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121</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124" w:name="page125"/>
    <w:bookmarkEnd w:id="124"/>
    <w:p>
      <w:pPr>
        <w:ind w:left="8"/>
        <w:spacing w:after="0"/>
        <w:rPr>
          <w:sz w:val="20"/>
          <w:szCs w:val="20"/>
          <w:color w:val="auto"/>
        </w:rPr>
      </w:pPr>
      <w:r>
        <w:rPr>
          <w:rFonts w:ascii="Arial" w:cs="Arial" w:eastAsia="Arial" w:hAnsi="Arial"/>
          <w:sz w:val="10"/>
          <w:szCs w:val="10"/>
          <w:color w:val="auto"/>
        </w:rPr>
        <w:t>DIRECTORS’ REMUNERATION FOR 2020</w:t>
      </w:r>
    </w:p>
    <w:p>
      <w:pPr>
        <w:ind w:left="8"/>
        <w:spacing w:after="0"/>
        <w:rPr>
          <w:sz w:val="20"/>
          <w:szCs w:val="20"/>
          <w:color w:val="auto"/>
        </w:rPr>
      </w:pPr>
      <w:r>
        <w:rPr>
          <w:rFonts w:ascii="Arial" w:cs="Arial" w:eastAsia="Arial" w:hAnsi="Arial"/>
          <w:sz w:val="10"/>
          <w:szCs w:val="10"/>
          <w:color w:val="auto"/>
        </w:rPr>
        <w:t>Single total figure of remuneration for Non-executive Directors (audited)</w:t>
      </w:r>
    </w:p>
    <w:p>
      <w:pPr>
        <w:spacing w:after="0" w:line="188" w:lineRule="exact"/>
        <w:rPr>
          <w:sz w:val="20"/>
          <w:szCs w:val="20"/>
          <w:color w:val="auto"/>
        </w:rPr>
      </w:pPr>
    </w:p>
    <w:tbl>
      <w:tblPr>
        <w:tblLayout w:type="fixed"/>
        <w:tblInd w:w="8" w:type="dxa"/>
        <w:tblCellMar>
          <w:top w:w="0" w:type="dxa"/>
          <w:left w:w="0" w:type="dxa"/>
          <w:bottom w:w="0" w:type="dxa"/>
          <w:right w:w="0" w:type="dxa"/>
        </w:tblCellMar>
      </w:tblPr>
      <w:tr>
        <w:trPr>
          <w:trHeight w:val="105"/>
        </w:trPr>
        <w:tc>
          <w:tcPr>
            <w:tcW w:w="4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 thousand</w:t>
            </w:r>
          </w:p>
        </w:tc>
      </w:tr>
      <w:tr>
        <w:trPr>
          <w:trHeight w:val="126"/>
        </w:trPr>
        <w:tc>
          <w:tcPr>
            <w:tcW w:w="4400" w:type="dxa"/>
            <w:vAlign w:val="bottom"/>
          </w:tcPr>
          <w:p>
            <w:pPr>
              <w:spacing w:after="0"/>
              <w:rPr>
                <w:sz w:val="10"/>
                <w:szCs w:val="10"/>
                <w:color w:val="auto"/>
              </w:rPr>
            </w:pPr>
          </w:p>
        </w:tc>
        <w:tc>
          <w:tcPr>
            <w:tcW w:w="1640" w:type="dxa"/>
            <w:vAlign w:val="bottom"/>
            <w:gridSpan w:val="2"/>
          </w:tcPr>
          <w:p>
            <w:pPr>
              <w:ind w:left="1060"/>
              <w:spacing w:after="0"/>
              <w:rPr>
                <w:sz w:val="20"/>
                <w:szCs w:val="20"/>
                <w:color w:val="auto"/>
              </w:rPr>
            </w:pPr>
            <w:r>
              <w:rPr>
                <w:rFonts w:ascii="Arial" w:cs="Arial" w:eastAsia="Arial" w:hAnsi="Arial"/>
                <w:sz w:val="8"/>
                <w:szCs w:val="8"/>
                <w:color w:val="auto"/>
              </w:rPr>
              <w:t>Fees</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gridSpan w:val="2"/>
          </w:tcPr>
          <w:p>
            <w:pPr>
              <w:ind w:left="360"/>
              <w:spacing w:after="0"/>
              <w:rPr>
                <w:sz w:val="20"/>
                <w:szCs w:val="20"/>
                <w:color w:val="auto"/>
              </w:rPr>
            </w:pPr>
            <w:r>
              <w:rPr>
                <w:rFonts w:ascii="Arial" w:cs="Arial" w:eastAsia="Arial" w:hAnsi="Arial"/>
                <w:sz w:val="8"/>
                <w:szCs w:val="8"/>
                <w:color w:val="auto"/>
              </w:rPr>
              <w:t>Taxable benefits [A]</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tcPr>
          <w:p>
            <w:pPr>
              <w:ind w:left="1040"/>
              <w:spacing w:after="0"/>
              <w:rPr>
                <w:sz w:val="20"/>
                <w:szCs w:val="20"/>
                <w:color w:val="auto"/>
              </w:rPr>
            </w:pPr>
            <w:r>
              <w:rPr>
                <w:rFonts w:ascii="Arial" w:cs="Arial" w:eastAsia="Arial" w:hAnsi="Arial"/>
                <w:sz w:val="8"/>
                <w:szCs w:val="8"/>
                <w:color w:val="auto"/>
              </w:rPr>
              <w:t>Total</w:t>
            </w:r>
          </w:p>
        </w:tc>
        <w:tc>
          <w:tcPr>
            <w:tcW w:w="720" w:type="dxa"/>
            <w:vAlign w:val="bottom"/>
          </w:tcPr>
          <w:p>
            <w:pPr>
              <w:spacing w:after="0"/>
              <w:rPr>
                <w:sz w:val="10"/>
                <w:szCs w:val="10"/>
                <w:color w:val="auto"/>
              </w:rPr>
            </w:pPr>
          </w:p>
        </w:tc>
      </w:tr>
      <w:tr>
        <w:trPr>
          <w:trHeight w:val="21"/>
        </w:trPr>
        <w:tc>
          <w:tcPr>
            <w:tcW w:w="4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09"/>
        </w:trPr>
        <w:tc>
          <w:tcPr>
            <w:tcW w:w="4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2020</w:t>
            </w:r>
          </w:p>
        </w:tc>
        <w:tc>
          <w:tcPr>
            <w:tcW w:w="5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2019</w:t>
            </w: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2020</w:t>
            </w:r>
          </w:p>
        </w:tc>
        <w:tc>
          <w:tcPr>
            <w:tcW w:w="6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2019</w:t>
            </w:r>
          </w:p>
        </w:tc>
        <w:tc>
          <w:tcPr>
            <w:tcW w:w="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2020</w:t>
            </w:r>
          </w:p>
        </w:tc>
        <w:tc>
          <w:tcPr>
            <w:tcW w:w="4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2019</w:t>
            </w:r>
          </w:p>
        </w:tc>
      </w:tr>
      <w:tr>
        <w:trPr>
          <w:trHeight w:val="115"/>
        </w:trPr>
        <w:tc>
          <w:tcPr>
            <w:tcW w:w="44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Dick Boer [B]</w:t>
            </w:r>
          </w:p>
        </w:tc>
        <w:tc>
          <w:tcPr>
            <w:tcW w:w="112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98</w:t>
            </w:r>
          </w:p>
        </w:tc>
        <w:tc>
          <w:tcPr>
            <w:tcW w:w="520" w:type="dxa"/>
            <w:vAlign w:val="bottom"/>
            <w:tcBorders>
              <w:bottom w:val="single" w:sz="8" w:color="494949"/>
            </w:tcBorders>
          </w:tcPr>
          <w:p>
            <w:pPr>
              <w:spacing w:after="0"/>
              <w:rPr>
                <w:sz w:val="10"/>
                <w:szCs w:val="10"/>
                <w:color w:val="auto"/>
              </w:rPr>
            </w:pPr>
          </w:p>
        </w:tc>
        <w:tc>
          <w:tcPr>
            <w:tcW w:w="680" w:type="dxa"/>
            <w:vAlign w:val="bottom"/>
            <w:tcBorders>
              <w:bottom w:val="single" w:sz="8" w:color="494949"/>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420" w:type="dxa"/>
            <w:vAlign w:val="bottom"/>
            <w:tcBorders>
              <w:bottom w:val="single" w:sz="8" w:color="494949"/>
            </w:tcBorders>
            <w:shd w:val="clear" w:color="auto" w:fill="D9D9D9"/>
          </w:tcPr>
          <w:p>
            <w:pPr>
              <w:ind w:left="20"/>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494949"/>
            </w:tcBorders>
            <w:shd w:val="clear" w:color="auto" w:fill="D9D9D9"/>
          </w:tcPr>
          <w:p>
            <w:pPr>
              <w:spacing w:after="0"/>
              <w:rPr>
                <w:sz w:val="10"/>
                <w:szCs w:val="10"/>
                <w:color w:val="auto"/>
              </w:rPr>
            </w:pPr>
          </w:p>
        </w:tc>
        <w:tc>
          <w:tcPr>
            <w:tcW w:w="66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98</w:t>
            </w:r>
          </w:p>
        </w:tc>
        <w:tc>
          <w:tcPr>
            <w:tcW w:w="40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r>
      <w:tr>
        <w:trPr>
          <w:trHeight w:val="115"/>
        </w:trPr>
        <w:tc>
          <w:tcPr>
            <w:tcW w:w="44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Neil Carson [C]</w:t>
            </w:r>
          </w:p>
        </w:tc>
        <w:tc>
          <w:tcPr>
            <w:tcW w:w="112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184</w:t>
            </w:r>
          </w:p>
        </w:tc>
        <w:tc>
          <w:tcPr>
            <w:tcW w:w="520" w:type="dxa"/>
            <w:vAlign w:val="bottom"/>
            <w:tcBorders>
              <w:bottom w:val="single" w:sz="8" w:color="494949"/>
            </w:tcBorders>
          </w:tcPr>
          <w:p>
            <w:pPr>
              <w:spacing w:after="0"/>
              <w:rPr>
                <w:sz w:val="10"/>
                <w:szCs w:val="10"/>
                <w:color w:val="auto"/>
              </w:rPr>
            </w:pPr>
          </w:p>
        </w:tc>
        <w:tc>
          <w:tcPr>
            <w:tcW w:w="6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99</w:t>
            </w:r>
          </w:p>
        </w:tc>
        <w:tc>
          <w:tcPr>
            <w:tcW w:w="60" w:type="dxa"/>
            <w:vAlign w:val="bottom"/>
            <w:tcBorders>
              <w:bottom w:val="single" w:sz="8" w:color="494949"/>
            </w:tcBorders>
          </w:tcPr>
          <w:p>
            <w:pPr>
              <w:spacing w:after="0"/>
              <w:rPr>
                <w:sz w:val="10"/>
                <w:szCs w:val="10"/>
                <w:color w:val="auto"/>
              </w:rPr>
            </w:pPr>
          </w:p>
        </w:tc>
        <w:tc>
          <w:tcPr>
            <w:tcW w:w="420" w:type="dxa"/>
            <w:vAlign w:val="bottom"/>
            <w:tcBorders>
              <w:bottom w:val="single" w:sz="8" w:color="494949"/>
            </w:tcBorders>
            <w:shd w:val="clear" w:color="auto" w:fill="D9D9D9"/>
          </w:tcPr>
          <w:p>
            <w:pPr>
              <w:ind w:left="20"/>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494949"/>
            </w:tcBorders>
            <w:shd w:val="clear" w:color="auto" w:fill="D9D9D9"/>
          </w:tcPr>
          <w:p>
            <w:pPr>
              <w:spacing w:after="0"/>
              <w:rPr>
                <w:sz w:val="10"/>
                <w:szCs w:val="10"/>
                <w:color w:val="auto"/>
              </w:rPr>
            </w:pPr>
          </w:p>
        </w:tc>
        <w:tc>
          <w:tcPr>
            <w:tcW w:w="66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184</w:t>
            </w:r>
          </w:p>
        </w:tc>
        <w:tc>
          <w:tcPr>
            <w:tcW w:w="40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99</w:t>
            </w:r>
          </w:p>
        </w:tc>
      </w:tr>
      <w:tr>
        <w:trPr>
          <w:trHeight w:val="115"/>
        </w:trPr>
        <w:tc>
          <w:tcPr>
            <w:tcW w:w="44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Ann Godbehere</w:t>
            </w:r>
          </w:p>
        </w:tc>
        <w:tc>
          <w:tcPr>
            <w:tcW w:w="112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206</w:t>
            </w:r>
          </w:p>
        </w:tc>
        <w:tc>
          <w:tcPr>
            <w:tcW w:w="520" w:type="dxa"/>
            <w:vAlign w:val="bottom"/>
            <w:tcBorders>
              <w:bottom w:val="single" w:sz="8" w:color="494949"/>
            </w:tcBorders>
          </w:tcPr>
          <w:p>
            <w:pPr>
              <w:spacing w:after="0"/>
              <w:rPr>
                <w:sz w:val="10"/>
                <w:szCs w:val="10"/>
                <w:color w:val="auto"/>
              </w:rPr>
            </w:pPr>
          </w:p>
        </w:tc>
        <w:tc>
          <w:tcPr>
            <w:tcW w:w="6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178</w:t>
            </w:r>
          </w:p>
        </w:tc>
        <w:tc>
          <w:tcPr>
            <w:tcW w:w="60" w:type="dxa"/>
            <w:vAlign w:val="bottom"/>
            <w:tcBorders>
              <w:bottom w:val="single" w:sz="8" w:color="494949"/>
            </w:tcBorders>
          </w:tcPr>
          <w:p>
            <w:pPr>
              <w:spacing w:after="0"/>
              <w:rPr>
                <w:sz w:val="10"/>
                <w:szCs w:val="10"/>
                <w:color w:val="auto"/>
              </w:rPr>
            </w:pPr>
          </w:p>
        </w:tc>
        <w:tc>
          <w:tcPr>
            <w:tcW w:w="420" w:type="dxa"/>
            <w:vAlign w:val="bottom"/>
            <w:tcBorders>
              <w:bottom w:val="single" w:sz="8" w:color="494949"/>
            </w:tcBorders>
            <w:shd w:val="clear" w:color="auto" w:fill="D9D9D9"/>
          </w:tcPr>
          <w:p>
            <w:pPr>
              <w:ind w:left="20"/>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494949"/>
            </w:tcBorders>
            <w:shd w:val="clear" w:color="auto" w:fill="D9D9D9"/>
          </w:tcPr>
          <w:p>
            <w:pPr>
              <w:spacing w:after="0"/>
              <w:rPr>
                <w:sz w:val="10"/>
                <w:szCs w:val="10"/>
                <w:color w:val="auto"/>
              </w:rPr>
            </w:pPr>
          </w:p>
        </w:tc>
        <w:tc>
          <w:tcPr>
            <w:tcW w:w="66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206</w:t>
            </w:r>
          </w:p>
        </w:tc>
        <w:tc>
          <w:tcPr>
            <w:tcW w:w="40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178</w:t>
            </w:r>
          </w:p>
        </w:tc>
      </w:tr>
      <w:tr>
        <w:trPr>
          <w:trHeight w:val="115"/>
        </w:trPr>
        <w:tc>
          <w:tcPr>
            <w:tcW w:w="44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Euleen Goh</w:t>
            </w:r>
          </w:p>
        </w:tc>
        <w:tc>
          <w:tcPr>
            <w:tcW w:w="112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201</w:t>
            </w:r>
          </w:p>
        </w:tc>
        <w:tc>
          <w:tcPr>
            <w:tcW w:w="520" w:type="dxa"/>
            <w:vAlign w:val="bottom"/>
            <w:tcBorders>
              <w:bottom w:val="single" w:sz="8" w:color="494949"/>
            </w:tcBorders>
          </w:tcPr>
          <w:p>
            <w:pPr>
              <w:spacing w:after="0"/>
              <w:rPr>
                <w:sz w:val="10"/>
                <w:szCs w:val="10"/>
                <w:color w:val="auto"/>
              </w:rPr>
            </w:pPr>
          </w:p>
        </w:tc>
        <w:tc>
          <w:tcPr>
            <w:tcW w:w="6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201</w:t>
            </w:r>
          </w:p>
        </w:tc>
        <w:tc>
          <w:tcPr>
            <w:tcW w:w="60" w:type="dxa"/>
            <w:vAlign w:val="bottom"/>
            <w:tcBorders>
              <w:bottom w:val="single" w:sz="8" w:color="494949"/>
            </w:tcBorders>
          </w:tcPr>
          <w:p>
            <w:pPr>
              <w:spacing w:after="0"/>
              <w:rPr>
                <w:sz w:val="10"/>
                <w:szCs w:val="10"/>
                <w:color w:val="auto"/>
              </w:rPr>
            </w:pPr>
          </w:p>
        </w:tc>
        <w:tc>
          <w:tcPr>
            <w:tcW w:w="420" w:type="dxa"/>
            <w:vAlign w:val="bottom"/>
            <w:tcBorders>
              <w:bottom w:val="single" w:sz="8" w:color="494949"/>
            </w:tcBorders>
            <w:shd w:val="clear" w:color="auto" w:fill="D9D9D9"/>
          </w:tcPr>
          <w:p>
            <w:pPr>
              <w:ind w:left="20"/>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494949"/>
            </w:tcBorders>
            <w:shd w:val="clear" w:color="auto" w:fill="D9D9D9"/>
          </w:tcPr>
          <w:p>
            <w:pPr>
              <w:spacing w:after="0"/>
              <w:rPr>
                <w:sz w:val="10"/>
                <w:szCs w:val="10"/>
                <w:color w:val="auto"/>
              </w:rPr>
            </w:pPr>
          </w:p>
        </w:tc>
        <w:tc>
          <w:tcPr>
            <w:tcW w:w="66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201</w:t>
            </w:r>
          </w:p>
        </w:tc>
        <w:tc>
          <w:tcPr>
            <w:tcW w:w="40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201</w:t>
            </w:r>
          </w:p>
        </w:tc>
      </w:tr>
      <w:tr>
        <w:trPr>
          <w:trHeight w:val="115"/>
        </w:trPr>
        <w:tc>
          <w:tcPr>
            <w:tcW w:w="44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Charles O. Holliday [D]</w:t>
            </w:r>
          </w:p>
        </w:tc>
        <w:tc>
          <w:tcPr>
            <w:tcW w:w="112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850</w:t>
            </w:r>
          </w:p>
        </w:tc>
        <w:tc>
          <w:tcPr>
            <w:tcW w:w="520" w:type="dxa"/>
            <w:vAlign w:val="bottom"/>
            <w:tcBorders>
              <w:bottom w:val="single" w:sz="8" w:color="494949"/>
            </w:tcBorders>
          </w:tcPr>
          <w:p>
            <w:pPr>
              <w:spacing w:after="0"/>
              <w:rPr>
                <w:sz w:val="10"/>
                <w:szCs w:val="10"/>
                <w:color w:val="auto"/>
              </w:rPr>
            </w:pPr>
          </w:p>
        </w:tc>
        <w:tc>
          <w:tcPr>
            <w:tcW w:w="6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850</w:t>
            </w:r>
          </w:p>
        </w:tc>
        <w:tc>
          <w:tcPr>
            <w:tcW w:w="60" w:type="dxa"/>
            <w:vAlign w:val="bottom"/>
            <w:tcBorders>
              <w:bottom w:val="single" w:sz="8" w:color="494949"/>
            </w:tcBorders>
          </w:tcPr>
          <w:p>
            <w:pPr>
              <w:spacing w:after="0"/>
              <w:rPr>
                <w:sz w:val="10"/>
                <w:szCs w:val="10"/>
                <w:color w:val="auto"/>
              </w:rPr>
            </w:pPr>
          </w:p>
        </w:tc>
        <w:tc>
          <w:tcPr>
            <w:tcW w:w="420" w:type="dxa"/>
            <w:vAlign w:val="bottom"/>
            <w:tcBorders>
              <w:bottom w:val="single" w:sz="8" w:color="494949"/>
            </w:tcBorders>
            <w:shd w:val="clear" w:color="auto" w:fill="D9D9D9"/>
          </w:tcPr>
          <w:p>
            <w:pPr>
              <w:spacing w:after="0"/>
              <w:rPr>
                <w:sz w:val="10"/>
                <w:szCs w:val="10"/>
                <w:color w:val="auto"/>
              </w:rPr>
            </w:pPr>
          </w:p>
        </w:tc>
        <w:tc>
          <w:tcPr>
            <w:tcW w:w="70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69</w:t>
            </w:r>
          </w:p>
        </w:tc>
        <w:tc>
          <w:tcPr>
            <w:tcW w:w="660" w:type="dxa"/>
            <w:vAlign w:val="bottom"/>
            <w:tcBorders>
              <w:bottom w:val="single" w:sz="8" w:color="494949"/>
            </w:tcBorders>
          </w:tcPr>
          <w:p>
            <w:pPr>
              <w:spacing w:after="0"/>
              <w:rPr>
                <w:sz w:val="10"/>
                <w:szCs w:val="10"/>
                <w:color w:val="auto"/>
              </w:rPr>
            </w:pPr>
          </w:p>
        </w:tc>
        <w:tc>
          <w:tcPr>
            <w:tcW w:w="4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71</w:t>
            </w:r>
          </w:p>
        </w:tc>
        <w:tc>
          <w:tcPr>
            <w:tcW w:w="60" w:type="dxa"/>
            <w:vAlign w:val="bottom"/>
            <w:tcBorders>
              <w:bottom w:val="single" w:sz="8" w:color="494949"/>
            </w:tcBorders>
          </w:tcPr>
          <w:p>
            <w:pPr>
              <w:spacing w:after="0"/>
              <w:rPr>
                <w:sz w:val="10"/>
                <w:szCs w:val="10"/>
                <w:color w:val="auto"/>
              </w:rPr>
            </w:pP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919</w:t>
            </w:r>
          </w:p>
        </w:tc>
        <w:tc>
          <w:tcPr>
            <w:tcW w:w="40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921</w:t>
            </w:r>
          </w:p>
        </w:tc>
      </w:tr>
      <w:tr>
        <w:trPr>
          <w:trHeight w:val="115"/>
        </w:trPr>
        <w:tc>
          <w:tcPr>
            <w:tcW w:w="44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Catherine J. Hughes</w:t>
            </w:r>
          </w:p>
        </w:tc>
        <w:tc>
          <w:tcPr>
            <w:tcW w:w="112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180</w:t>
            </w:r>
          </w:p>
        </w:tc>
        <w:tc>
          <w:tcPr>
            <w:tcW w:w="520" w:type="dxa"/>
            <w:vAlign w:val="bottom"/>
            <w:tcBorders>
              <w:bottom w:val="single" w:sz="8" w:color="494949"/>
            </w:tcBorders>
          </w:tcPr>
          <w:p>
            <w:pPr>
              <w:spacing w:after="0"/>
              <w:rPr>
                <w:sz w:val="10"/>
                <w:szCs w:val="10"/>
                <w:color w:val="auto"/>
              </w:rPr>
            </w:pPr>
          </w:p>
        </w:tc>
        <w:tc>
          <w:tcPr>
            <w:tcW w:w="6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200</w:t>
            </w:r>
          </w:p>
        </w:tc>
        <w:tc>
          <w:tcPr>
            <w:tcW w:w="60" w:type="dxa"/>
            <w:vAlign w:val="bottom"/>
            <w:tcBorders>
              <w:bottom w:val="single" w:sz="8" w:color="494949"/>
            </w:tcBorders>
          </w:tcPr>
          <w:p>
            <w:pPr>
              <w:spacing w:after="0"/>
              <w:rPr>
                <w:sz w:val="10"/>
                <w:szCs w:val="10"/>
                <w:color w:val="auto"/>
              </w:rPr>
            </w:pPr>
          </w:p>
        </w:tc>
        <w:tc>
          <w:tcPr>
            <w:tcW w:w="420" w:type="dxa"/>
            <w:vAlign w:val="bottom"/>
            <w:tcBorders>
              <w:bottom w:val="single" w:sz="8" w:color="494949"/>
            </w:tcBorders>
            <w:shd w:val="clear" w:color="auto" w:fill="D9D9D9"/>
          </w:tcPr>
          <w:p>
            <w:pPr>
              <w:ind w:left="20"/>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494949"/>
            </w:tcBorders>
            <w:shd w:val="clear" w:color="auto" w:fill="D9D9D9"/>
          </w:tcPr>
          <w:p>
            <w:pPr>
              <w:spacing w:after="0"/>
              <w:rPr>
                <w:sz w:val="10"/>
                <w:szCs w:val="10"/>
                <w:color w:val="auto"/>
              </w:rPr>
            </w:pPr>
          </w:p>
        </w:tc>
        <w:tc>
          <w:tcPr>
            <w:tcW w:w="66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180</w:t>
            </w:r>
          </w:p>
        </w:tc>
        <w:tc>
          <w:tcPr>
            <w:tcW w:w="40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200</w:t>
            </w:r>
          </w:p>
        </w:tc>
      </w:tr>
      <w:tr>
        <w:trPr>
          <w:trHeight w:val="115"/>
        </w:trPr>
        <w:tc>
          <w:tcPr>
            <w:tcW w:w="44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Martina Hund-Mejean [E]</w:t>
            </w:r>
          </w:p>
        </w:tc>
        <w:tc>
          <w:tcPr>
            <w:tcW w:w="112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98</w:t>
            </w:r>
          </w:p>
        </w:tc>
        <w:tc>
          <w:tcPr>
            <w:tcW w:w="520" w:type="dxa"/>
            <w:vAlign w:val="bottom"/>
            <w:tcBorders>
              <w:bottom w:val="single" w:sz="8" w:color="494949"/>
            </w:tcBorders>
          </w:tcPr>
          <w:p>
            <w:pPr>
              <w:spacing w:after="0"/>
              <w:rPr>
                <w:sz w:val="10"/>
                <w:szCs w:val="10"/>
                <w:color w:val="auto"/>
              </w:rPr>
            </w:pPr>
          </w:p>
        </w:tc>
        <w:tc>
          <w:tcPr>
            <w:tcW w:w="680" w:type="dxa"/>
            <w:vAlign w:val="bottom"/>
            <w:tcBorders>
              <w:bottom w:val="single" w:sz="8" w:color="494949"/>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420" w:type="dxa"/>
            <w:vAlign w:val="bottom"/>
            <w:tcBorders>
              <w:bottom w:val="single" w:sz="8" w:color="494949"/>
            </w:tcBorders>
            <w:shd w:val="clear" w:color="auto" w:fill="D9D9D9"/>
          </w:tcPr>
          <w:p>
            <w:pPr>
              <w:ind w:left="20"/>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494949"/>
            </w:tcBorders>
            <w:shd w:val="clear" w:color="auto" w:fill="D9D9D9"/>
          </w:tcPr>
          <w:p>
            <w:pPr>
              <w:spacing w:after="0"/>
              <w:rPr>
                <w:sz w:val="10"/>
                <w:szCs w:val="10"/>
                <w:color w:val="auto"/>
              </w:rPr>
            </w:pPr>
          </w:p>
        </w:tc>
        <w:tc>
          <w:tcPr>
            <w:tcW w:w="66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98</w:t>
            </w:r>
          </w:p>
        </w:tc>
        <w:tc>
          <w:tcPr>
            <w:tcW w:w="40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r>
      <w:tr>
        <w:trPr>
          <w:trHeight w:val="115"/>
        </w:trPr>
        <w:tc>
          <w:tcPr>
            <w:tcW w:w="44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Gerard Kleisterlee [F]</w:t>
            </w:r>
          </w:p>
        </w:tc>
        <w:tc>
          <w:tcPr>
            <w:tcW w:w="112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93</w:t>
            </w:r>
          </w:p>
        </w:tc>
        <w:tc>
          <w:tcPr>
            <w:tcW w:w="520" w:type="dxa"/>
            <w:vAlign w:val="bottom"/>
            <w:tcBorders>
              <w:bottom w:val="single" w:sz="8" w:color="494949"/>
            </w:tcBorders>
          </w:tcPr>
          <w:p>
            <w:pPr>
              <w:spacing w:after="0"/>
              <w:rPr>
                <w:sz w:val="10"/>
                <w:szCs w:val="10"/>
                <w:color w:val="auto"/>
              </w:rPr>
            </w:pPr>
          </w:p>
        </w:tc>
        <w:tc>
          <w:tcPr>
            <w:tcW w:w="6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242</w:t>
            </w:r>
          </w:p>
        </w:tc>
        <w:tc>
          <w:tcPr>
            <w:tcW w:w="60" w:type="dxa"/>
            <w:vAlign w:val="bottom"/>
            <w:tcBorders>
              <w:bottom w:val="single" w:sz="8" w:color="494949"/>
            </w:tcBorders>
          </w:tcPr>
          <w:p>
            <w:pPr>
              <w:spacing w:after="0"/>
              <w:rPr>
                <w:sz w:val="10"/>
                <w:szCs w:val="10"/>
                <w:color w:val="auto"/>
              </w:rPr>
            </w:pPr>
          </w:p>
        </w:tc>
        <w:tc>
          <w:tcPr>
            <w:tcW w:w="420" w:type="dxa"/>
            <w:vAlign w:val="bottom"/>
            <w:tcBorders>
              <w:bottom w:val="single" w:sz="8" w:color="494949"/>
            </w:tcBorders>
            <w:shd w:val="clear" w:color="auto" w:fill="D9D9D9"/>
          </w:tcPr>
          <w:p>
            <w:pPr>
              <w:ind w:left="20"/>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494949"/>
            </w:tcBorders>
            <w:shd w:val="clear" w:color="auto" w:fill="D9D9D9"/>
          </w:tcPr>
          <w:p>
            <w:pPr>
              <w:spacing w:after="0"/>
              <w:rPr>
                <w:sz w:val="10"/>
                <w:szCs w:val="10"/>
                <w:color w:val="auto"/>
              </w:rPr>
            </w:pPr>
          </w:p>
        </w:tc>
        <w:tc>
          <w:tcPr>
            <w:tcW w:w="66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93</w:t>
            </w:r>
          </w:p>
        </w:tc>
        <w:tc>
          <w:tcPr>
            <w:tcW w:w="40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242</w:t>
            </w:r>
          </w:p>
        </w:tc>
      </w:tr>
      <w:tr>
        <w:trPr>
          <w:trHeight w:val="115"/>
        </w:trPr>
        <w:tc>
          <w:tcPr>
            <w:tcW w:w="44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Sir Andrew Mackenzie [G]</w:t>
            </w:r>
          </w:p>
        </w:tc>
        <w:tc>
          <w:tcPr>
            <w:tcW w:w="112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37</w:t>
            </w:r>
          </w:p>
        </w:tc>
        <w:tc>
          <w:tcPr>
            <w:tcW w:w="520" w:type="dxa"/>
            <w:vAlign w:val="bottom"/>
            <w:tcBorders>
              <w:bottom w:val="single" w:sz="8" w:color="494949"/>
            </w:tcBorders>
          </w:tcPr>
          <w:p>
            <w:pPr>
              <w:spacing w:after="0"/>
              <w:rPr>
                <w:sz w:val="10"/>
                <w:szCs w:val="10"/>
                <w:color w:val="auto"/>
              </w:rPr>
            </w:pPr>
          </w:p>
        </w:tc>
        <w:tc>
          <w:tcPr>
            <w:tcW w:w="680" w:type="dxa"/>
            <w:vAlign w:val="bottom"/>
            <w:tcBorders>
              <w:bottom w:val="single" w:sz="8" w:color="494949"/>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420" w:type="dxa"/>
            <w:vAlign w:val="bottom"/>
            <w:tcBorders>
              <w:bottom w:val="single" w:sz="8" w:color="494949"/>
            </w:tcBorders>
            <w:shd w:val="clear" w:color="auto" w:fill="D9D9D9"/>
          </w:tcPr>
          <w:p>
            <w:pPr>
              <w:ind w:left="20"/>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494949"/>
            </w:tcBorders>
            <w:shd w:val="clear" w:color="auto" w:fill="D9D9D9"/>
          </w:tcPr>
          <w:p>
            <w:pPr>
              <w:spacing w:after="0"/>
              <w:rPr>
                <w:sz w:val="10"/>
                <w:szCs w:val="10"/>
                <w:color w:val="auto"/>
              </w:rPr>
            </w:pPr>
          </w:p>
        </w:tc>
        <w:tc>
          <w:tcPr>
            <w:tcW w:w="66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37</w:t>
            </w:r>
          </w:p>
        </w:tc>
        <w:tc>
          <w:tcPr>
            <w:tcW w:w="40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r>
      <w:tr>
        <w:trPr>
          <w:trHeight w:val="115"/>
        </w:trPr>
        <w:tc>
          <w:tcPr>
            <w:tcW w:w="44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Abraham Schot [H]</w:t>
            </w:r>
          </w:p>
        </w:tc>
        <w:tc>
          <w:tcPr>
            <w:tcW w:w="112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38</w:t>
            </w:r>
          </w:p>
        </w:tc>
        <w:tc>
          <w:tcPr>
            <w:tcW w:w="520" w:type="dxa"/>
            <w:vAlign w:val="bottom"/>
            <w:tcBorders>
              <w:bottom w:val="single" w:sz="8" w:color="494949"/>
            </w:tcBorders>
          </w:tcPr>
          <w:p>
            <w:pPr>
              <w:spacing w:after="0"/>
              <w:rPr>
                <w:sz w:val="10"/>
                <w:szCs w:val="10"/>
                <w:color w:val="auto"/>
              </w:rPr>
            </w:pPr>
          </w:p>
        </w:tc>
        <w:tc>
          <w:tcPr>
            <w:tcW w:w="680" w:type="dxa"/>
            <w:vAlign w:val="bottom"/>
            <w:tcBorders>
              <w:bottom w:val="single" w:sz="8" w:color="494949"/>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420" w:type="dxa"/>
            <w:vAlign w:val="bottom"/>
            <w:tcBorders>
              <w:bottom w:val="single" w:sz="8" w:color="494949"/>
            </w:tcBorders>
            <w:shd w:val="clear" w:color="auto" w:fill="D9D9D9"/>
          </w:tcPr>
          <w:p>
            <w:pPr>
              <w:ind w:left="20"/>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494949"/>
            </w:tcBorders>
            <w:shd w:val="clear" w:color="auto" w:fill="D9D9D9"/>
          </w:tcPr>
          <w:p>
            <w:pPr>
              <w:spacing w:after="0"/>
              <w:rPr>
                <w:sz w:val="10"/>
                <w:szCs w:val="10"/>
                <w:color w:val="auto"/>
              </w:rPr>
            </w:pPr>
          </w:p>
        </w:tc>
        <w:tc>
          <w:tcPr>
            <w:tcW w:w="66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38</w:t>
            </w:r>
          </w:p>
        </w:tc>
        <w:tc>
          <w:tcPr>
            <w:tcW w:w="40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r>
      <w:tr>
        <w:trPr>
          <w:trHeight w:val="115"/>
        </w:trPr>
        <w:tc>
          <w:tcPr>
            <w:tcW w:w="44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Roberto Setubal [I]</w:t>
            </w:r>
          </w:p>
        </w:tc>
        <w:tc>
          <w:tcPr>
            <w:tcW w:w="112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72</w:t>
            </w:r>
          </w:p>
        </w:tc>
        <w:tc>
          <w:tcPr>
            <w:tcW w:w="520" w:type="dxa"/>
            <w:vAlign w:val="bottom"/>
            <w:tcBorders>
              <w:bottom w:val="single" w:sz="8" w:color="494949"/>
            </w:tcBorders>
          </w:tcPr>
          <w:p>
            <w:pPr>
              <w:spacing w:after="0"/>
              <w:rPr>
                <w:sz w:val="10"/>
                <w:szCs w:val="10"/>
                <w:color w:val="auto"/>
              </w:rPr>
            </w:pPr>
          </w:p>
        </w:tc>
        <w:tc>
          <w:tcPr>
            <w:tcW w:w="6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190</w:t>
            </w:r>
          </w:p>
        </w:tc>
        <w:tc>
          <w:tcPr>
            <w:tcW w:w="60" w:type="dxa"/>
            <w:vAlign w:val="bottom"/>
            <w:tcBorders>
              <w:bottom w:val="single" w:sz="8" w:color="494949"/>
            </w:tcBorders>
          </w:tcPr>
          <w:p>
            <w:pPr>
              <w:spacing w:after="0"/>
              <w:rPr>
                <w:sz w:val="10"/>
                <w:szCs w:val="10"/>
                <w:color w:val="auto"/>
              </w:rPr>
            </w:pPr>
          </w:p>
        </w:tc>
        <w:tc>
          <w:tcPr>
            <w:tcW w:w="420" w:type="dxa"/>
            <w:vAlign w:val="bottom"/>
            <w:tcBorders>
              <w:bottom w:val="single" w:sz="8" w:color="494949"/>
            </w:tcBorders>
            <w:shd w:val="clear" w:color="auto" w:fill="D9D9D9"/>
          </w:tcPr>
          <w:p>
            <w:pPr>
              <w:spacing w:after="0"/>
              <w:rPr>
                <w:sz w:val="10"/>
                <w:szCs w:val="10"/>
                <w:color w:val="auto"/>
              </w:rPr>
            </w:pPr>
          </w:p>
        </w:tc>
        <w:tc>
          <w:tcPr>
            <w:tcW w:w="70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1</w:t>
            </w:r>
          </w:p>
        </w:tc>
        <w:tc>
          <w:tcPr>
            <w:tcW w:w="660" w:type="dxa"/>
            <w:vAlign w:val="bottom"/>
            <w:tcBorders>
              <w:bottom w:val="single" w:sz="8" w:color="494949"/>
            </w:tcBorders>
          </w:tcPr>
          <w:p>
            <w:pPr>
              <w:spacing w:after="0"/>
              <w:rPr>
                <w:sz w:val="10"/>
                <w:szCs w:val="10"/>
                <w:color w:val="auto"/>
              </w:rPr>
            </w:pPr>
          </w:p>
        </w:tc>
        <w:tc>
          <w:tcPr>
            <w:tcW w:w="4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2</w:t>
            </w:r>
          </w:p>
        </w:tc>
        <w:tc>
          <w:tcPr>
            <w:tcW w:w="60" w:type="dxa"/>
            <w:vAlign w:val="bottom"/>
            <w:tcBorders>
              <w:bottom w:val="single" w:sz="8" w:color="494949"/>
            </w:tcBorders>
          </w:tcPr>
          <w:p>
            <w:pPr>
              <w:spacing w:after="0"/>
              <w:rPr>
                <w:sz w:val="10"/>
                <w:szCs w:val="10"/>
                <w:color w:val="auto"/>
              </w:rPr>
            </w:pP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73</w:t>
            </w:r>
          </w:p>
        </w:tc>
        <w:tc>
          <w:tcPr>
            <w:tcW w:w="40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192</w:t>
            </w:r>
          </w:p>
        </w:tc>
      </w:tr>
      <w:tr>
        <w:trPr>
          <w:trHeight w:val="115"/>
        </w:trPr>
        <w:tc>
          <w:tcPr>
            <w:tcW w:w="44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Sir Nigel Sheinwald</w:t>
            </w:r>
          </w:p>
        </w:tc>
        <w:tc>
          <w:tcPr>
            <w:tcW w:w="112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184</w:t>
            </w:r>
          </w:p>
        </w:tc>
        <w:tc>
          <w:tcPr>
            <w:tcW w:w="520" w:type="dxa"/>
            <w:vAlign w:val="bottom"/>
            <w:tcBorders>
              <w:bottom w:val="single" w:sz="8" w:color="494949"/>
            </w:tcBorders>
          </w:tcPr>
          <w:p>
            <w:pPr>
              <w:spacing w:after="0"/>
              <w:rPr>
                <w:sz w:val="10"/>
                <w:szCs w:val="10"/>
                <w:color w:val="auto"/>
              </w:rPr>
            </w:pPr>
          </w:p>
        </w:tc>
        <w:tc>
          <w:tcPr>
            <w:tcW w:w="6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187</w:t>
            </w:r>
          </w:p>
        </w:tc>
        <w:tc>
          <w:tcPr>
            <w:tcW w:w="60" w:type="dxa"/>
            <w:vAlign w:val="bottom"/>
            <w:tcBorders>
              <w:bottom w:val="single" w:sz="8" w:color="494949"/>
            </w:tcBorders>
          </w:tcPr>
          <w:p>
            <w:pPr>
              <w:spacing w:after="0"/>
              <w:rPr>
                <w:sz w:val="10"/>
                <w:szCs w:val="10"/>
                <w:color w:val="auto"/>
              </w:rPr>
            </w:pPr>
          </w:p>
        </w:tc>
        <w:tc>
          <w:tcPr>
            <w:tcW w:w="420" w:type="dxa"/>
            <w:vAlign w:val="bottom"/>
            <w:tcBorders>
              <w:bottom w:val="single" w:sz="8" w:color="494949"/>
            </w:tcBorders>
            <w:shd w:val="clear" w:color="auto" w:fill="D9D9D9"/>
          </w:tcPr>
          <w:p>
            <w:pPr>
              <w:ind w:left="20"/>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494949"/>
            </w:tcBorders>
            <w:shd w:val="clear" w:color="auto" w:fill="D9D9D9"/>
          </w:tcPr>
          <w:p>
            <w:pPr>
              <w:spacing w:after="0"/>
              <w:rPr>
                <w:sz w:val="10"/>
                <w:szCs w:val="10"/>
                <w:color w:val="auto"/>
              </w:rPr>
            </w:pPr>
          </w:p>
        </w:tc>
        <w:tc>
          <w:tcPr>
            <w:tcW w:w="66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184</w:t>
            </w:r>
          </w:p>
        </w:tc>
        <w:tc>
          <w:tcPr>
            <w:tcW w:w="40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187</w:t>
            </w:r>
          </w:p>
        </w:tc>
      </w:tr>
      <w:tr>
        <w:trPr>
          <w:trHeight w:val="115"/>
        </w:trPr>
        <w:tc>
          <w:tcPr>
            <w:tcW w:w="44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Linda G. Stuntz [J]</w:t>
            </w:r>
          </w:p>
        </w:tc>
        <w:tc>
          <w:tcPr>
            <w:tcW w:w="112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73</w:t>
            </w:r>
          </w:p>
        </w:tc>
        <w:tc>
          <w:tcPr>
            <w:tcW w:w="520" w:type="dxa"/>
            <w:vAlign w:val="bottom"/>
            <w:tcBorders>
              <w:bottom w:val="single" w:sz="8" w:color="494949"/>
            </w:tcBorders>
          </w:tcPr>
          <w:p>
            <w:pPr>
              <w:spacing w:after="0"/>
              <w:rPr>
                <w:sz w:val="10"/>
                <w:szCs w:val="10"/>
                <w:color w:val="auto"/>
              </w:rPr>
            </w:pPr>
          </w:p>
        </w:tc>
        <w:tc>
          <w:tcPr>
            <w:tcW w:w="6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189</w:t>
            </w:r>
          </w:p>
        </w:tc>
        <w:tc>
          <w:tcPr>
            <w:tcW w:w="60" w:type="dxa"/>
            <w:vAlign w:val="bottom"/>
            <w:tcBorders>
              <w:bottom w:val="single" w:sz="8" w:color="494949"/>
            </w:tcBorders>
          </w:tcPr>
          <w:p>
            <w:pPr>
              <w:spacing w:after="0"/>
              <w:rPr>
                <w:sz w:val="10"/>
                <w:szCs w:val="10"/>
                <w:color w:val="auto"/>
              </w:rPr>
            </w:pPr>
          </w:p>
        </w:tc>
        <w:tc>
          <w:tcPr>
            <w:tcW w:w="420" w:type="dxa"/>
            <w:vAlign w:val="bottom"/>
            <w:tcBorders>
              <w:bottom w:val="single" w:sz="8" w:color="494949"/>
            </w:tcBorders>
            <w:shd w:val="clear" w:color="auto" w:fill="D9D9D9"/>
          </w:tcPr>
          <w:p>
            <w:pPr>
              <w:spacing w:after="0"/>
              <w:rPr>
                <w:sz w:val="10"/>
                <w:szCs w:val="10"/>
                <w:color w:val="auto"/>
              </w:rPr>
            </w:pPr>
          </w:p>
        </w:tc>
        <w:tc>
          <w:tcPr>
            <w:tcW w:w="70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1</w:t>
            </w:r>
          </w:p>
        </w:tc>
        <w:tc>
          <w:tcPr>
            <w:tcW w:w="660" w:type="dxa"/>
            <w:vAlign w:val="bottom"/>
            <w:tcBorders>
              <w:bottom w:val="single" w:sz="8" w:color="494949"/>
            </w:tcBorders>
          </w:tcPr>
          <w:p>
            <w:pPr>
              <w:spacing w:after="0"/>
              <w:rPr>
                <w:sz w:val="10"/>
                <w:szCs w:val="10"/>
                <w:color w:val="auto"/>
              </w:rPr>
            </w:pPr>
          </w:p>
        </w:tc>
        <w:tc>
          <w:tcPr>
            <w:tcW w:w="4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8</w:t>
            </w:r>
          </w:p>
        </w:tc>
        <w:tc>
          <w:tcPr>
            <w:tcW w:w="60" w:type="dxa"/>
            <w:vAlign w:val="bottom"/>
            <w:tcBorders>
              <w:bottom w:val="single" w:sz="8" w:color="494949"/>
            </w:tcBorders>
          </w:tcPr>
          <w:p>
            <w:pPr>
              <w:spacing w:after="0"/>
              <w:rPr>
                <w:sz w:val="10"/>
                <w:szCs w:val="10"/>
                <w:color w:val="auto"/>
              </w:rPr>
            </w:pP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74</w:t>
            </w:r>
          </w:p>
        </w:tc>
        <w:tc>
          <w:tcPr>
            <w:tcW w:w="40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197</w:t>
            </w:r>
          </w:p>
        </w:tc>
      </w:tr>
      <w:tr>
        <w:trPr>
          <w:trHeight w:val="115"/>
        </w:trPr>
        <w:tc>
          <w:tcPr>
            <w:tcW w:w="44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Gerrit Zalm</w:t>
            </w: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177</w:t>
            </w: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177</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auto"/>
            </w:tcBorders>
            <w:shd w:val="clear" w:color="auto" w:fill="D9D9D9"/>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8"/>
                <w:szCs w:val="8"/>
                <w:color w:val="auto"/>
              </w:rPr>
              <w:t>–</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177</w:t>
            </w: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177</w:t>
            </w:r>
          </w:p>
        </w:tc>
      </w:tr>
    </w:tbl>
    <w:p>
      <w:pPr>
        <w:spacing w:after="0" w:line="153" w:lineRule="exact"/>
        <w:rPr>
          <w:sz w:val="20"/>
          <w:szCs w:val="20"/>
          <w:color w:val="auto"/>
        </w:rPr>
      </w:pPr>
    </w:p>
    <w:p>
      <w:pPr>
        <w:ind w:left="8" w:right="80" w:hanging="8"/>
        <w:spacing w:after="0" w:line="303" w:lineRule="auto"/>
        <w:tabs>
          <w:tab w:leader="none" w:pos="146" w:val="left"/>
        </w:tabs>
        <w:numPr>
          <w:ilvl w:val="0"/>
          <w:numId w:val="118"/>
        </w:numPr>
        <w:rPr>
          <w:rFonts w:ascii="Arial" w:cs="Arial" w:eastAsia="Arial" w:hAnsi="Arial"/>
          <w:sz w:val="7"/>
          <w:szCs w:val="7"/>
          <w:color w:val="auto"/>
        </w:rPr>
      </w:pPr>
      <w:r>
        <w:rPr>
          <w:rFonts w:ascii="Arial" w:cs="Arial" w:eastAsia="Arial" w:hAnsi="Arial"/>
          <w:sz w:val="7"/>
          <w:szCs w:val="7"/>
          <w:color w:val="auto"/>
        </w:rPr>
        <w:t>UK regulations require the inclusion of benefits where these would be taxable in the UK, on the assumption that Directors are tax residents in the UK. On this premise, the taxable benefits include the cost of Non-executive Director’s occasional business-required partner travel. Shell also pays for travel between home and the head office in The Hague, where Board and committee meetings are typically held, as well as related hotel and subsistence costs. For consistency, these business expenses are not reported as taxable benefits because for most Non-executive Directors this is international travel and hence would not be taxable in the UK.</w:t>
      </w:r>
    </w:p>
    <w:p>
      <w:pPr>
        <w:ind w:left="128" w:hanging="128"/>
        <w:spacing w:after="0"/>
        <w:tabs>
          <w:tab w:leader="none" w:pos="128" w:val="left"/>
        </w:tabs>
        <w:numPr>
          <w:ilvl w:val="0"/>
          <w:numId w:val="118"/>
        </w:numPr>
        <w:rPr>
          <w:rFonts w:ascii="Arial" w:cs="Arial" w:eastAsia="Arial" w:hAnsi="Arial"/>
          <w:sz w:val="8"/>
          <w:szCs w:val="8"/>
          <w:color w:val="auto"/>
        </w:rPr>
      </w:pPr>
      <w:r>
        <w:rPr>
          <w:rFonts w:ascii="Arial" w:cs="Arial" w:eastAsia="Arial" w:hAnsi="Arial"/>
          <w:sz w:val="8"/>
          <w:szCs w:val="8"/>
          <w:color w:val="auto"/>
        </w:rPr>
        <w:t>Appointed as a Director with effect from May 20, 2020.</w:t>
      </w:r>
    </w:p>
    <w:p>
      <w:pPr>
        <w:spacing w:after="0" w:line="7" w:lineRule="exact"/>
        <w:rPr>
          <w:rFonts w:ascii="Arial" w:cs="Arial" w:eastAsia="Arial" w:hAnsi="Arial"/>
          <w:sz w:val="8"/>
          <w:szCs w:val="8"/>
          <w:color w:val="auto"/>
        </w:rPr>
      </w:pPr>
    </w:p>
    <w:p>
      <w:pPr>
        <w:ind w:left="128" w:hanging="128"/>
        <w:spacing w:after="0"/>
        <w:tabs>
          <w:tab w:leader="none" w:pos="128" w:val="left"/>
        </w:tabs>
        <w:numPr>
          <w:ilvl w:val="0"/>
          <w:numId w:val="118"/>
        </w:numPr>
        <w:rPr>
          <w:rFonts w:ascii="Arial" w:cs="Arial" w:eastAsia="Arial" w:hAnsi="Arial"/>
          <w:sz w:val="8"/>
          <w:szCs w:val="8"/>
          <w:color w:val="auto"/>
        </w:rPr>
      </w:pPr>
      <w:r>
        <w:rPr>
          <w:rFonts w:ascii="Arial" w:cs="Arial" w:eastAsia="Arial" w:hAnsi="Arial"/>
          <w:sz w:val="8"/>
          <w:szCs w:val="8"/>
          <w:color w:val="auto"/>
        </w:rPr>
        <w:t>Appointed as a Director with effect from June 1, 2019.</w:t>
      </w:r>
    </w:p>
    <w:p>
      <w:pPr>
        <w:spacing w:after="0" w:line="7" w:lineRule="exact"/>
        <w:rPr>
          <w:rFonts w:ascii="Arial" w:cs="Arial" w:eastAsia="Arial" w:hAnsi="Arial"/>
          <w:sz w:val="8"/>
          <w:szCs w:val="8"/>
          <w:color w:val="auto"/>
        </w:rPr>
      </w:pPr>
    </w:p>
    <w:p>
      <w:pPr>
        <w:ind w:left="128" w:hanging="128"/>
        <w:spacing w:after="0"/>
        <w:tabs>
          <w:tab w:leader="none" w:pos="128" w:val="left"/>
        </w:tabs>
        <w:numPr>
          <w:ilvl w:val="0"/>
          <w:numId w:val="118"/>
        </w:numPr>
        <w:rPr>
          <w:rFonts w:ascii="Arial" w:cs="Arial" w:eastAsia="Arial" w:hAnsi="Arial"/>
          <w:sz w:val="8"/>
          <w:szCs w:val="8"/>
          <w:color w:val="auto"/>
        </w:rPr>
      </w:pPr>
      <w:r>
        <w:rPr>
          <w:rFonts w:ascii="Arial" w:cs="Arial" w:eastAsia="Arial" w:hAnsi="Arial"/>
          <w:sz w:val="8"/>
          <w:szCs w:val="8"/>
          <w:color w:val="auto"/>
        </w:rPr>
        <w:t>Including the use of a Shell-provided apartment while in the Hague (2020: €68,942, 2019: €70,624)</w:t>
      </w:r>
    </w:p>
    <w:p>
      <w:pPr>
        <w:spacing w:after="0" w:line="7" w:lineRule="exact"/>
        <w:rPr>
          <w:rFonts w:ascii="Arial" w:cs="Arial" w:eastAsia="Arial" w:hAnsi="Arial"/>
          <w:sz w:val="8"/>
          <w:szCs w:val="8"/>
          <w:color w:val="auto"/>
        </w:rPr>
      </w:pPr>
    </w:p>
    <w:p>
      <w:pPr>
        <w:ind w:left="128" w:hanging="128"/>
        <w:spacing w:after="0"/>
        <w:tabs>
          <w:tab w:leader="none" w:pos="128" w:val="left"/>
        </w:tabs>
        <w:numPr>
          <w:ilvl w:val="0"/>
          <w:numId w:val="118"/>
        </w:numPr>
        <w:rPr>
          <w:rFonts w:ascii="Arial" w:cs="Arial" w:eastAsia="Arial" w:hAnsi="Arial"/>
          <w:sz w:val="8"/>
          <w:szCs w:val="8"/>
          <w:color w:val="auto"/>
        </w:rPr>
      </w:pPr>
      <w:r>
        <w:rPr>
          <w:rFonts w:ascii="Arial" w:cs="Arial" w:eastAsia="Arial" w:hAnsi="Arial"/>
          <w:sz w:val="8"/>
          <w:szCs w:val="8"/>
          <w:color w:val="auto"/>
        </w:rPr>
        <w:t>Appointed as a Director with effect from May 20, 2020.</w:t>
      </w:r>
    </w:p>
    <w:p>
      <w:pPr>
        <w:spacing w:after="0" w:line="7" w:lineRule="exact"/>
        <w:rPr>
          <w:rFonts w:ascii="Arial" w:cs="Arial" w:eastAsia="Arial" w:hAnsi="Arial"/>
          <w:sz w:val="8"/>
          <w:szCs w:val="8"/>
          <w:color w:val="auto"/>
        </w:rPr>
      </w:pPr>
    </w:p>
    <w:p>
      <w:pPr>
        <w:ind w:left="128" w:hanging="128"/>
        <w:spacing w:after="0"/>
        <w:tabs>
          <w:tab w:leader="none" w:pos="128" w:val="left"/>
        </w:tabs>
        <w:numPr>
          <w:ilvl w:val="0"/>
          <w:numId w:val="118"/>
        </w:numPr>
        <w:rPr>
          <w:rFonts w:ascii="Arial" w:cs="Arial" w:eastAsia="Arial" w:hAnsi="Arial"/>
          <w:sz w:val="8"/>
          <w:szCs w:val="8"/>
          <w:color w:val="auto"/>
        </w:rPr>
      </w:pPr>
      <w:r>
        <w:rPr>
          <w:rFonts w:ascii="Arial" w:cs="Arial" w:eastAsia="Arial" w:hAnsi="Arial"/>
          <w:sz w:val="8"/>
          <w:szCs w:val="8"/>
          <w:color w:val="auto"/>
        </w:rPr>
        <w:t>Stepped down as a Director with effect from May 20, 2020.</w:t>
      </w:r>
    </w:p>
    <w:p>
      <w:pPr>
        <w:spacing w:after="0" w:line="7" w:lineRule="exact"/>
        <w:rPr>
          <w:rFonts w:ascii="Arial" w:cs="Arial" w:eastAsia="Arial" w:hAnsi="Arial"/>
          <w:sz w:val="8"/>
          <w:szCs w:val="8"/>
          <w:color w:val="auto"/>
        </w:rPr>
      </w:pPr>
    </w:p>
    <w:p>
      <w:pPr>
        <w:ind w:left="128" w:hanging="128"/>
        <w:spacing w:after="0"/>
        <w:tabs>
          <w:tab w:leader="none" w:pos="128" w:val="left"/>
        </w:tabs>
        <w:numPr>
          <w:ilvl w:val="0"/>
          <w:numId w:val="118"/>
        </w:numPr>
        <w:rPr>
          <w:rFonts w:ascii="Arial" w:cs="Arial" w:eastAsia="Arial" w:hAnsi="Arial"/>
          <w:sz w:val="8"/>
          <w:szCs w:val="8"/>
          <w:color w:val="auto"/>
        </w:rPr>
      </w:pPr>
      <w:r>
        <w:rPr>
          <w:rFonts w:ascii="Arial" w:cs="Arial" w:eastAsia="Arial" w:hAnsi="Arial"/>
          <w:sz w:val="8"/>
          <w:szCs w:val="8"/>
          <w:color w:val="auto"/>
        </w:rPr>
        <w:t>Appointed as a Director with effect from October 1, 2020.</w:t>
      </w:r>
    </w:p>
    <w:p>
      <w:pPr>
        <w:spacing w:after="0" w:line="7" w:lineRule="exact"/>
        <w:rPr>
          <w:rFonts w:ascii="Arial" w:cs="Arial" w:eastAsia="Arial" w:hAnsi="Arial"/>
          <w:sz w:val="8"/>
          <w:szCs w:val="8"/>
          <w:color w:val="auto"/>
        </w:rPr>
      </w:pPr>
    </w:p>
    <w:p>
      <w:pPr>
        <w:ind w:left="128" w:hanging="128"/>
        <w:spacing w:after="0"/>
        <w:tabs>
          <w:tab w:leader="none" w:pos="128" w:val="left"/>
        </w:tabs>
        <w:numPr>
          <w:ilvl w:val="0"/>
          <w:numId w:val="118"/>
        </w:numPr>
        <w:rPr>
          <w:rFonts w:ascii="Arial" w:cs="Arial" w:eastAsia="Arial" w:hAnsi="Arial"/>
          <w:sz w:val="8"/>
          <w:szCs w:val="8"/>
          <w:color w:val="auto"/>
        </w:rPr>
      </w:pPr>
      <w:r>
        <w:rPr>
          <w:rFonts w:ascii="Arial" w:cs="Arial" w:eastAsia="Arial" w:hAnsi="Arial"/>
          <w:sz w:val="8"/>
          <w:szCs w:val="8"/>
          <w:color w:val="auto"/>
        </w:rPr>
        <w:t>Appointed as a Director with effect from October 1, 2020.</w:t>
      </w:r>
    </w:p>
    <w:p>
      <w:pPr>
        <w:spacing w:after="0" w:line="7" w:lineRule="exact"/>
        <w:rPr>
          <w:rFonts w:ascii="Arial" w:cs="Arial" w:eastAsia="Arial" w:hAnsi="Arial"/>
          <w:sz w:val="8"/>
          <w:szCs w:val="8"/>
          <w:color w:val="auto"/>
        </w:rPr>
      </w:pPr>
    </w:p>
    <w:p>
      <w:pPr>
        <w:ind w:left="108" w:hanging="108"/>
        <w:spacing w:after="0"/>
        <w:tabs>
          <w:tab w:leader="none" w:pos="108" w:val="left"/>
        </w:tabs>
        <w:numPr>
          <w:ilvl w:val="0"/>
          <w:numId w:val="118"/>
        </w:numPr>
        <w:rPr>
          <w:rFonts w:ascii="Arial" w:cs="Arial" w:eastAsia="Arial" w:hAnsi="Arial"/>
          <w:sz w:val="8"/>
          <w:szCs w:val="8"/>
          <w:color w:val="auto"/>
        </w:rPr>
      </w:pPr>
      <w:r>
        <w:rPr>
          <w:rFonts w:ascii="Arial" w:cs="Arial" w:eastAsia="Arial" w:hAnsi="Arial"/>
          <w:sz w:val="8"/>
          <w:szCs w:val="8"/>
          <w:color w:val="auto"/>
        </w:rPr>
        <w:t>Stepped down as a Director with effect from May 20, 2020.</w:t>
      </w:r>
    </w:p>
    <w:p>
      <w:pPr>
        <w:spacing w:after="0" w:line="7" w:lineRule="exact"/>
        <w:rPr>
          <w:rFonts w:ascii="Arial" w:cs="Arial" w:eastAsia="Arial" w:hAnsi="Arial"/>
          <w:sz w:val="8"/>
          <w:szCs w:val="8"/>
          <w:color w:val="auto"/>
        </w:rPr>
      </w:pPr>
    </w:p>
    <w:p>
      <w:pPr>
        <w:ind w:left="108" w:hanging="108"/>
        <w:spacing w:after="0"/>
        <w:tabs>
          <w:tab w:leader="none" w:pos="108" w:val="left"/>
        </w:tabs>
        <w:numPr>
          <w:ilvl w:val="0"/>
          <w:numId w:val="118"/>
        </w:numPr>
        <w:rPr>
          <w:rFonts w:ascii="Arial" w:cs="Arial" w:eastAsia="Arial" w:hAnsi="Arial"/>
          <w:sz w:val="8"/>
          <w:szCs w:val="8"/>
          <w:color w:val="auto"/>
        </w:rPr>
      </w:pPr>
      <w:r>
        <w:rPr>
          <w:rFonts w:ascii="Arial" w:cs="Arial" w:eastAsia="Arial" w:hAnsi="Arial"/>
          <w:sz w:val="8"/>
          <w:szCs w:val="8"/>
          <w:color w:val="auto"/>
        </w:rPr>
        <w:t>Stepped down as a Director with effect from May 20, 2020.</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0"/>
          <w:szCs w:val="10"/>
          <w:color w:val="auto"/>
        </w:rPr>
        <w:t>Single total figure of remuneration for Executive Directors (audited)</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05"/>
        </w:trPr>
        <w:tc>
          <w:tcPr>
            <w:tcW w:w="6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 thousand</w:t>
            </w:r>
          </w:p>
        </w:tc>
      </w:tr>
      <w:tr>
        <w:trPr>
          <w:trHeight w:val="126"/>
        </w:trPr>
        <w:tc>
          <w:tcPr>
            <w:tcW w:w="6660" w:type="dxa"/>
            <w:vAlign w:val="bottom"/>
          </w:tcPr>
          <w:p>
            <w:pPr>
              <w:spacing w:after="0"/>
              <w:rPr>
                <w:sz w:val="10"/>
                <w:szCs w:val="10"/>
                <w:color w:val="auto"/>
              </w:rPr>
            </w:pPr>
          </w:p>
        </w:tc>
        <w:tc>
          <w:tcPr>
            <w:tcW w:w="1700" w:type="dxa"/>
            <w:vAlign w:val="bottom"/>
            <w:gridSpan w:val="2"/>
          </w:tcPr>
          <w:p>
            <w:pPr>
              <w:ind w:left="840"/>
              <w:spacing w:after="0"/>
              <w:rPr>
                <w:sz w:val="20"/>
                <w:szCs w:val="20"/>
                <w:color w:val="auto"/>
              </w:rPr>
            </w:pPr>
            <w:r>
              <w:rPr>
                <w:rFonts w:ascii="Arial" w:cs="Arial" w:eastAsia="Arial" w:hAnsi="Arial"/>
                <w:sz w:val="8"/>
                <w:szCs w:val="8"/>
                <w:color w:val="auto"/>
              </w:rPr>
              <w:t>Ben van Beurden</w:t>
            </w:r>
          </w:p>
        </w:tc>
        <w:tc>
          <w:tcPr>
            <w:tcW w:w="680" w:type="dxa"/>
            <w:vAlign w:val="bottom"/>
          </w:tcPr>
          <w:p>
            <w:pPr>
              <w:spacing w:after="0"/>
              <w:rPr>
                <w:sz w:val="10"/>
                <w:szCs w:val="10"/>
                <w:color w:val="auto"/>
              </w:rPr>
            </w:pPr>
          </w:p>
        </w:tc>
        <w:tc>
          <w:tcPr>
            <w:tcW w:w="1600" w:type="dxa"/>
            <w:vAlign w:val="bottom"/>
            <w:gridSpan w:val="2"/>
          </w:tcPr>
          <w:p>
            <w:pPr>
              <w:ind w:left="940"/>
              <w:spacing w:after="0"/>
              <w:rPr>
                <w:sz w:val="20"/>
                <w:szCs w:val="20"/>
                <w:color w:val="auto"/>
              </w:rPr>
            </w:pPr>
            <w:r>
              <w:rPr>
                <w:rFonts w:ascii="Arial" w:cs="Arial" w:eastAsia="Arial" w:hAnsi="Arial"/>
                <w:sz w:val="8"/>
                <w:szCs w:val="8"/>
                <w:color w:val="auto"/>
              </w:rPr>
              <w:t>Jessica Uhl</w:t>
            </w:r>
          </w:p>
        </w:tc>
        <w:tc>
          <w:tcPr>
            <w:tcW w:w="660" w:type="dxa"/>
            <w:vAlign w:val="bottom"/>
          </w:tcPr>
          <w:p>
            <w:pPr>
              <w:spacing w:after="0"/>
              <w:rPr>
                <w:sz w:val="10"/>
                <w:szCs w:val="10"/>
                <w:color w:val="auto"/>
              </w:rPr>
            </w:pPr>
          </w:p>
        </w:tc>
      </w:tr>
      <w:tr>
        <w:trPr>
          <w:trHeight w:val="21"/>
        </w:trPr>
        <w:tc>
          <w:tcPr>
            <w:tcW w:w="6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09"/>
        </w:trPr>
        <w:tc>
          <w:tcPr>
            <w:tcW w:w="66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2020</w:t>
            </w:r>
          </w:p>
        </w:tc>
        <w:tc>
          <w:tcPr>
            <w:tcW w:w="5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2019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2020</w:t>
            </w:r>
          </w:p>
        </w:tc>
        <w:tc>
          <w:tcPr>
            <w:tcW w:w="4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2019</w:t>
            </w:r>
          </w:p>
        </w:tc>
      </w:tr>
      <w:tr>
        <w:trPr>
          <w:trHeight w:val="109"/>
        </w:trPr>
        <w:tc>
          <w:tcPr>
            <w:tcW w:w="6660" w:type="dxa"/>
            <w:vAlign w:val="bottom"/>
          </w:tcPr>
          <w:p>
            <w:pPr>
              <w:spacing w:after="0"/>
              <w:rPr>
                <w:sz w:val="20"/>
                <w:szCs w:val="20"/>
                <w:color w:val="auto"/>
              </w:rPr>
            </w:pPr>
            <w:r>
              <w:rPr>
                <w:rFonts w:ascii="Arial" w:cs="Arial" w:eastAsia="Arial" w:hAnsi="Arial"/>
                <w:sz w:val="8"/>
                <w:szCs w:val="8"/>
                <w:color w:val="auto"/>
              </w:rPr>
              <w:t>Salaries [A]</w:t>
            </w:r>
          </w:p>
        </w:tc>
        <w:tc>
          <w:tcPr>
            <w:tcW w:w="1140" w:type="dxa"/>
            <w:vAlign w:val="bottom"/>
            <w:shd w:val="clear" w:color="auto" w:fill="D9D9D9"/>
          </w:tcPr>
          <w:p>
            <w:pPr>
              <w:jc w:val="right"/>
              <w:spacing w:after="0"/>
              <w:rPr>
                <w:sz w:val="20"/>
                <w:szCs w:val="20"/>
                <w:color w:val="auto"/>
              </w:rPr>
            </w:pPr>
            <w:r>
              <w:rPr>
                <w:rFonts w:ascii="Arial" w:cs="Arial" w:eastAsia="Arial" w:hAnsi="Arial"/>
                <w:sz w:val="8"/>
                <w:szCs w:val="8"/>
                <w:color w:val="auto"/>
              </w:rPr>
              <w:t>1,588</w:t>
            </w:r>
          </w:p>
        </w:tc>
        <w:tc>
          <w:tcPr>
            <w:tcW w:w="560" w:type="dxa"/>
            <w:vAlign w:val="bottom"/>
          </w:tcPr>
          <w:p>
            <w:pPr>
              <w:spacing w:after="0"/>
              <w:rPr>
                <w:sz w:val="9"/>
                <w:szCs w:val="9"/>
                <w:color w:val="auto"/>
              </w:rPr>
            </w:pPr>
          </w:p>
        </w:tc>
        <w:tc>
          <w:tcPr>
            <w:tcW w:w="680" w:type="dxa"/>
            <w:vAlign w:val="bottom"/>
          </w:tcPr>
          <w:p>
            <w:pPr>
              <w:jc w:val="right"/>
              <w:ind w:right="98"/>
              <w:spacing w:after="0"/>
              <w:rPr>
                <w:sz w:val="20"/>
                <w:szCs w:val="20"/>
                <w:color w:val="auto"/>
              </w:rPr>
            </w:pPr>
            <w:r>
              <w:rPr>
                <w:rFonts w:ascii="Arial" w:cs="Arial" w:eastAsia="Arial" w:hAnsi="Arial"/>
                <w:sz w:val="8"/>
                <w:szCs w:val="8"/>
                <w:color w:val="auto"/>
              </w:rPr>
              <w:t>1,557</w:t>
            </w:r>
          </w:p>
        </w:tc>
        <w:tc>
          <w:tcPr>
            <w:tcW w:w="1140" w:type="dxa"/>
            <w:vAlign w:val="bottom"/>
            <w:shd w:val="clear" w:color="auto" w:fill="D9D9D9"/>
          </w:tcPr>
          <w:p>
            <w:pPr>
              <w:jc w:val="right"/>
              <w:spacing w:after="0"/>
              <w:rPr>
                <w:sz w:val="20"/>
                <w:szCs w:val="20"/>
                <w:color w:val="auto"/>
              </w:rPr>
            </w:pPr>
            <w:r>
              <w:rPr>
                <w:rFonts w:ascii="Arial" w:cs="Arial" w:eastAsia="Arial" w:hAnsi="Arial"/>
                <w:sz w:val="8"/>
                <w:szCs w:val="8"/>
                <w:color w:val="auto"/>
              </w:rPr>
              <w:t>1,035</w:t>
            </w:r>
          </w:p>
        </w:tc>
        <w:tc>
          <w:tcPr>
            <w:tcW w:w="46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1,015</w:t>
            </w:r>
          </w:p>
        </w:tc>
      </w:tr>
      <w:tr>
        <w:trPr>
          <w:trHeight w:val="126"/>
        </w:trPr>
        <w:tc>
          <w:tcPr>
            <w:tcW w:w="6660" w:type="dxa"/>
            <w:vAlign w:val="bottom"/>
          </w:tcPr>
          <w:p>
            <w:pPr>
              <w:spacing w:after="0"/>
              <w:rPr>
                <w:sz w:val="20"/>
                <w:szCs w:val="20"/>
                <w:color w:val="auto"/>
              </w:rPr>
            </w:pPr>
            <w:r>
              <w:rPr>
                <w:rFonts w:ascii="Arial" w:cs="Arial" w:eastAsia="Arial" w:hAnsi="Arial"/>
                <w:sz w:val="8"/>
                <w:szCs w:val="8"/>
                <w:color w:val="auto"/>
              </w:rPr>
              <w:t>Taxable benefits [B]</w:t>
            </w:r>
          </w:p>
        </w:tc>
        <w:tc>
          <w:tcPr>
            <w:tcW w:w="1140" w:type="dxa"/>
            <w:vAlign w:val="bottom"/>
            <w:shd w:val="clear" w:color="auto" w:fill="D9D9D9"/>
          </w:tcPr>
          <w:p>
            <w:pPr>
              <w:jc w:val="right"/>
              <w:spacing w:after="0"/>
              <w:rPr>
                <w:sz w:val="20"/>
                <w:szCs w:val="20"/>
                <w:color w:val="auto"/>
              </w:rPr>
            </w:pPr>
            <w:r>
              <w:rPr>
                <w:rFonts w:ascii="Arial" w:cs="Arial" w:eastAsia="Arial" w:hAnsi="Arial"/>
                <w:sz w:val="8"/>
                <w:szCs w:val="8"/>
                <w:color w:val="auto"/>
              </w:rPr>
              <w:t>16</w:t>
            </w:r>
          </w:p>
        </w:tc>
        <w:tc>
          <w:tcPr>
            <w:tcW w:w="560" w:type="dxa"/>
            <w:vAlign w:val="bottom"/>
          </w:tcPr>
          <w:p>
            <w:pPr>
              <w:spacing w:after="0"/>
              <w:rPr>
                <w:sz w:val="10"/>
                <w:szCs w:val="10"/>
                <w:color w:val="auto"/>
              </w:rPr>
            </w:pPr>
          </w:p>
        </w:tc>
        <w:tc>
          <w:tcPr>
            <w:tcW w:w="680" w:type="dxa"/>
            <w:vAlign w:val="bottom"/>
          </w:tcPr>
          <w:p>
            <w:pPr>
              <w:jc w:val="right"/>
              <w:ind w:right="118"/>
              <w:spacing w:after="0"/>
              <w:rPr>
                <w:sz w:val="20"/>
                <w:szCs w:val="20"/>
                <w:color w:val="auto"/>
              </w:rPr>
            </w:pPr>
            <w:r>
              <w:rPr>
                <w:rFonts w:ascii="Arial" w:cs="Arial" w:eastAsia="Arial" w:hAnsi="Arial"/>
                <w:sz w:val="8"/>
                <w:szCs w:val="8"/>
                <w:color w:val="auto"/>
              </w:rPr>
              <w:t>20</w:t>
            </w:r>
          </w:p>
        </w:tc>
        <w:tc>
          <w:tcPr>
            <w:tcW w:w="1140" w:type="dxa"/>
            <w:vAlign w:val="bottom"/>
            <w:shd w:val="clear" w:color="auto" w:fill="D9D9D9"/>
          </w:tcPr>
          <w:p>
            <w:pPr>
              <w:jc w:val="right"/>
              <w:spacing w:after="0"/>
              <w:rPr>
                <w:sz w:val="20"/>
                <w:szCs w:val="20"/>
                <w:color w:val="auto"/>
              </w:rPr>
            </w:pPr>
            <w:r>
              <w:rPr>
                <w:rFonts w:ascii="Arial" w:cs="Arial" w:eastAsia="Arial" w:hAnsi="Arial"/>
                <w:sz w:val="8"/>
                <w:szCs w:val="8"/>
                <w:color w:val="auto"/>
              </w:rPr>
              <w:t>418</w:t>
            </w:r>
          </w:p>
        </w:tc>
        <w:tc>
          <w:tcPr>
            <w:tcW w:w="4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326</w:t>
            </w:r>
          </w:p>
        </w:tc>
      </w:tr>
      <w:tr>
        <w:trPr>
          <w:trHeight w:val="132"/>
        </w:trPr>
        <w:tc>
          <w:tcPr>
            <w:tcW w:w="666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Pension [C]</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540</w:t>
            </w: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395</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288</w:t>
            </w:r>
          </w:p>
        </w:tc>
        <w:tc>
          <w:tcPr>
            <w:tcW w:w="4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261</w:t>
            </w:r>
          </w:p>
        </w:tc>
      </w:tr>
      <w:tr>
        <w:trPr>
          <w:trHeight w:val="115"/>
        </w:trPr>
        <w:tc>
          <w:tcPr>
            <w:tcW w:w="666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Total fixed remuneration</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2,144</w:t>
            </w:r>
          </w:p>
        </w:tc>
        <w:tc>
          <w:tcPr>
            <w:tcW w:w="5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1,972</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1,741</w:t>
            </w: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1,602</w:t>
            </w:r>
          </w:p>
        </w:tc>
      </w:tr>
      <w:tr>
        <w:trPr>
          <w:trHeight w:val="115"/>
        </w:trPr>
        <w:tc>
          <w:tcPr>
            <w:tcW w:w="666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Annual bonus [D]</w:t>
            </w: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494949"/>
            </w:tcBorders>
          </w:tcPr>
          <w:p>
            <w:pPr>
              <w:spacing w:after="0"/>
              <w:rPr>
                <w:sz w:val="10"/>
                <w:szCs w:val="10"/>
                <w:color w:val="auto"/>
              </w:rPr>
            </w:pPr>
          </w:p>
        </w:tc>
        <w:tc>
          <w:tcPr>
            <w:tcW w:w="680" w:type="dxa"/>
            <w:vAlign w:val="bottom"/>
            <w:tcBorders>
              <w:bottom w:val="single" w:sz="8" w:color="494949"/>
            </w:tcBorders>
          </w:tcPr>
          <w:p>
            <w:pPr>
              <w:jc w:val="right"/>
              <w:ind w:right="118"/>
              <w:spacing w:after="0"/>
              <w:rPr>
                <w:sz w:val="20"/>
                <w:szCs w:val="20"/>
                <w:color w:val="auto"/>
              </w:rPr>
            </w:pPr>
            <w:r>
              <w:rPr>
                <w:rFonts w:ascii="Arial" w:cs="Arial" w:eastAsia="Arial" w:hAnsi="Arial"/>
                <w:sz w:val="8"/>
                <w:szCs w:val="8"/>
                <w:color w:val="auto"/>
              </w:rPr>
              <w:t>800</w:t>
            </w: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w:t>
            </w:r>
          </w:p>
        </w:tc>
        <w:tc>
          <w:tcPr>
            <w:tcW w:w="460" w:type="dxa"/>
            <w:vAlign w:val="bottom"/>
            <w:tcBorders>
              <w:bottom w:val="single" w:sz="8" w:color="494949"/>
            </w:tcBorders>
          </w:tcPr>
          <w:p>
            <w:pPr>
              <w:spacing w:after="0"/>
              <w:rPr>
                <w:sz w:val="10"/>
                <w:szCs w:val="10"/>
                <w:color w:val="auto"/>
              </w:rPr>
            </w:pPr>
          </w:p>
        </w:tc>
        <w:tc>
          <w:tcPr>
            <w:tcW w:w="6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500</w:t>
            </w:r>
          </w:p>
        </w:tc>
      </w:tr>
      <w:tr>
        <w:trPr>
          <w:trHeight w:val="115"/>
        </w:trPr>
        <w:tc>
          <w:tcPr>
            <w:tcW w:w="666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LTIP [E]</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3,698</w:t>
            </w:r>
          </w:p>
        </w:tc>
        <w:tc>
          <w:tcPr>
            <w:tcW w:w="5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7,191</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1,993</w:t>
            </w: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3,903</w:t>
            </w:r>
          </w:p>
        </w:tc>
      </w:tr>
      <w:tr>
        <w:trPr>
          <w:trHeight w:val="115"/>
        </w:trPr>
        <w:tc>
          <w:tcPr>
            <w:tcW w:w="666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Total variable remuneration</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3,698</w:t>
            </w:r>
          </w:p>
        </w:tc>
        <w:tc>
          <w:tcPr>
            <w:tcW w:w="5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7,991</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1,993</w:t>
            </w: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4,403</w:t>
            </w:r>
          </w:p>
        </w:tc>
      </w:tr>
      <w:tr>
        <w:trPr>
          <w:trHeight w:val="115"/>
        </w:trPr>
        <w:tc>
          <w:tcPr>
            <w:tcW w:w="666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Total remuneration</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5,841</w:t>
            </w:r>
          </w:p>
        </w:tc>
        <w:tc>
          <w:tcPr>
            <w:tcW w:w="5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9,963</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3,734</w:t>
            </w: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6,005</w:t>
            </w:r>
          </w:p>
        </w:tc>
      </w:tr>
      <w:tr>
        <w:trPr>
          <w:trHeight w:val="115"/>
        </w:trPr>
        <w:tc>
          <w:tcPr>
            <w:tcW w:w="6660" w:type="dxa"/>
            <w:vAlign w:val="bottom"/>
            <w:tcBorders>
              <w:bottom w:val="single" w:sz="8" w:color="494949"/>
            </w:tcBorders>
          </w:tcPr>
          <w:p>
            <w:pPr>
              <w:ind w:left="100"/>
              <w:spacing w:after="0"/>
              <w:rPr>
                <w:sz w:val="20"/>
                <w:szCs w:val="20"/>
                <w:color w:val="auto"/>
              </w:rPr>
            </w:pPr>
            <w:r>
              <w:rPr>
                <w:rFonts w:ascii="Arial" w:cs="Arial" w:eastAsia="Arial" w:hAnsi="Arial"/>
                <w:sz w:val="8"/>
                <w:szCs w:val="8"/>
                <w:color w:val="auto"/>
              </w:rPr>
              <w:t>in dollars</w:t>
            </w: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6,671</w:t>
            </w:r>
          </w:p>
        </w:tc>
        <w:tc>
          <w:tcPr>
            <w:tcW w:w="560" w:type="dxa"/>
            <w:vAlign w:val="bottom"/>
            <w:tcBorders>
              <w:bottom w:val="single" w:sz="8" w:color="494949"/>
            </w:tcBorders>
          </w:tcPr>
          <w:p>
            <w:pPr>
              <w:spacing w:after="0"/>
              <w:rPr>
                <w:sz w:val="10"/>
                <w:szCs w:val="10"/>
                <w:color w:val="auto"/>
              </w:rPr>
            </w:pPr>
          </w:p>
        </w:tc>
        <w:tc>
          <w:tcPr>
            <w:tcW w:w="680" w:type="dxa"/>
            <w:vAlign w:val="bottom"/>
            <w:tcBorders>
              <w:bottom w:val="single" w:sz="8" w:color="494949"/>
            </w:tcBorders>
          </w:tcPr>
          <w:p>
            <w:pPr>
              <w:jc w:val="right"/>
              <w:ind w:right="118"/>
              <w:spacing w:after="0"/>
              <w:rPr>
                <w:sz w:val="20"/>
                <w:szCs w:val="20"/>
                <w:color w:val="auto"/>
              </w:rPr>
            </w:pPr>
            <w:r>
              <w:rPr>
                <w:rFonts w:ascii="Arial" w:cs="Arial" w:eastAsia="Arial" w:hAnsi="Arial"/>
                <w:sz w:val="8"/>
                <w:szCs w:val="8"/>
                <w:color w:val="auto"/>
              </w:rPr>
              <w:t>11,155</w:t>
            </w:r>
          </w:p>
        </w:tc>
        <w:tc>
          <w:tcPr>
            <w:tcW w:w="1140" w:type="dxa"/>
            <w:vAlign w:val="bottom"/>
            <w:tcBorders>
              <w:bottom w:val="single" w:sz="8" w:color="494949"/>
            </w:tcBorders>
            <w:shd w:val="clear" w:color="auto" w:fill="D9D9D9"/>
          </w:tcPr>
          <w:p>
            <w:pPr>
              <w:jc w:val="right"/>
              <w:spacing w:after="0"/>
              <w:rPr>
                <w:sz w:val="20"/>
                <w:szCs w:val="20"/>
                <w:color w:val="auto"/>
              </w:rPr>
            </w:pPr>
            <w:r>
              <w:rPr>
                <w:rFonts w:ascii="Arial" w:cs="Arial" w:eastAsia="Arial" w:hAnsi="Arial"/>
                <w:sz w:val="8"/>
                <w:szCs w:val="8"/>
                <w:color w:val="auto"/>
              </w:rPr>
              <w:t>4,264</w:t>
            </w:r>
          </w:p>
        </w:tc>
        <w:tc>
          <w:tcPr>
            <w:tcW w:w="460" w:type="dxa"/>
            <w:vAlign w:val="bottom"/>
            <w:tcBorders>
              <w:bottom w:val="single" w:sz="8" w:color="494949"/>
            </w:tcBorders>
          </w:tcPr>
          <w:p>
            <w:pPr>
              <w:spacing w:after="0"/>
              <w:rPr>
                <w:sz w:val="10"/>
                <w:szCs w:val="10"/>
                <w:color w:val="auto"/>
              </w:rPr>
            </w:pPr>
          </w:p>
        </w:tc>
        <w:tc>
          <w:tcPr>
            <w:tcW w:w="6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6,724</w:t>
            </w:r>
          </w:p>
        </w:tc>
      </w:tr>
      <w:tr>
        <w:trPr>
          <w:trHeight w:val="115"/>
        </w:trPr>
        <w:tc>
          <w:tcPr>
            <w:tcW w:w="6660" w:type="dxa"/>
            <w:vAlign w:val="bottom"/>
            <w:tcBorders>
              <w:bottom w:val="single" w:sz="8" w:color="auto"/>
            </w:tcBorders>
          </w:tcPr>
          <w:p>
            <w:pPr>
              <w:ind w:left="100"/>
              <w:spacing w:after="0"/>
              <w:rPr>
                <w:sz w:val="20"/>
                <w:szCs w:val="20"/>
                <w:color w:val="auto"/>
              </w:rPr>
            </w:pPr>
            <w:r>
              <w:rPr>
                <w:rFonts w:ascii="Arial" w:cs="Arial" w:eastAsia="Arial" w:hAnsi="Arial"/>
                <w:sz w:val="8"/>
                <w:szCs w:val="8"/>
                <w:color w:val="auto"/>
              </w:rPr>
              <w:t>in sterling</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5,197</w:t>
            </w:r>
          </w:p>
        </w:tc>
        <w:tc>
          <w:tcPr>
            <w:tcW w:w="5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8,746</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3,322</w:t>
            </w: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5,271</w:t>
            </w:r>
          </w:p>
        </w:tc>
      </w:tr>
    </w:tbl>
    <w:p>
      <w:pPr>
        <w:spacing w:after="0" w:line="153" w:lineRule="exact"/>
        <w:rPr>
          <w:sz w:val="20"/>
          <w:szCs w:val="20"/>
          <w:color w:val="auto"/>
        </w:rPr>
      </w:pPr>
    </w:p>
    <w:p>
      <w:pPr>
        <w:ind w:left="128" w:hanging="128"/>
        <w:spacing w:after="0"/>
        <w:tabs>
          <w:tab w:leader="none" w:pos="128" w:val="left"/>
        </w:tabs>
        <w:numPr>
          <w:ilvl w:val="0"/>
          <w:numId w:val="119"/>
        </w:numPr>
        <w:rPr>
          <w:rFonts w:ascii="Arial" w:cs="Arial" w:eastAsia="Arial" w:hAnsi="Arial"/>
          <w:sz w:val="8"/>
          <w:szCs w:val="8"/>
          <w:color w:val="auto"/>
        </w:rPr>
      </w:pPr>
      <w:r>
        <w:rPr>
          <w:rFonts w:ascii="Arial" w:cs="Arial" w:eastAsia="Arial" w:hAnsi="Arial"/>
          <w:sz w:val="8"/>
          <w:szCs w:val="8"/>
          <w:color w:val="auto"/>
        </w:rPr>
        <w:t>As disclosed in the 2019 Directors’ Remuneration Report, the REMCO set Ben van Beurden’s base salary for 2020 at €1,588,000 (+2.0% compared with 2019) effective from January 1, 2020, and Jessica Uhl’s base salary at €1,035,000 (+2.0% compared with 2019) effective from January 1, 2020.</w:t>
      </w:r>
    </w:p>
    <w:p>
      <w:pPr>
        <w:spacing w:after="0" w:line="12" w:lineRule="exact"/>
        <w:rPr>
          <w:rFonts w:ascii="Arial" w:cs="Arial" w:eastAsia="Arial" w:hAnsi="Arial"/>
          <w:sz w:val="8"/>
          <w:szCs w:val="8"/>
          <w:color w:val="auto"/>
        </w:rPr>
      </w:pPr>
    </w:p>
    <w:p>
      <w:pPr>
        <w:ind w:left="8" w:right="20" w:hanging="8"/>
        <w:spacing w:after="0" w:line="234" w:lineRule="auto"/>
        <w:tabs>
          <w:tab w:leader="none" w:pos="141" w:val="left"/>
        </w:tabs>
        <w:numPr>
          <w:ilvl w:val="0"/>
          <w:numId w:val="119"/>
        </w:numPr>
        <w:rPr>
          <w:rFonts w:ascii="Arial" w:cs="Arial" w:eastAsia="Arial" w:hAnsi="Arial"/>
          <w:sz w:val="8"/>
          <w:szCs w:val="8"/>
          <w:color w:val="auto"/>
        </w:rPr>
      </w:pPr>
      <w:r>
        <w:rPr>
          <w:rFonts w:ascii="Arial" w:cs="Arial" w:eastAsia="Arial" w:hAnsi="Arial"/>
          <w:sz w:val="8"/>
          <w:szCs w:val="8"/>
          <w:color w:val="auto"/>
        </w:rPr>
        <w:t>For Ben van Beurden these include motoring allowance (€14,400) and transport between home and the office (€1,150). Jessica Uhl’s benefits include tax equalisation (€392,250), medical insurance (€14,921), transport between home and the office (€10,369) and tax return services (€430). Jessica Uhl's benefits includes tax equalisation of pension contributions to foreign pension plan(s), when they are taxable above a certain pensionable salary threshold or once a double tax treaty exemption ceases, under Dutch law. Tax equalisation is applied for the loss of pension relief for members of a foreign pension plan(s) in their host country. Jessica Uhl’s benefits also include tax equalisation of employer contributions to benefits and certain US social taxes that are taxable in the Netherlands. For 2020, the presentation of the single total figure of remuneration has changed to include tax equalisation costs within taxable benefits. The 2019 taxable benefits has been adjusted on this basis and therefore differs from the value presented in the 2019 Annual Report.</w:t>
      </w:r>
    </w:p>
    <w:p>
      <w:pPr>
        <w:spacing w:after="0" w:line="1" w:lineRule="exact"/>
        <w:rPr>
          <w:rFonts w:ascii="Arial" w:cs="Arial" w:eastAsia="Arial" w:hAnsi="Arial"/>
          <w:sz w:val="8"/>
          <w:szCs w:val="8"/>
          <w:color w:val="auto"/>
        </w:rPr>
      </w:pPr>
    </w:p>
    <w:p>
      <w:pPr>
        <w:ind w:left="8" w:right="240" w:hanging="8"/>
        <w:spacing w:after="0" w:line="258" w:lineRule="auto"/>
        <w:tabs>
          <w:tab w:leader="none" w:pos="141" w:val="left"/>
        </w:tabs>
        <w:numPr>
          <w:ilvl w:val="0"/>
          <w:numId w:val="119"/>
        </w:numPr>
        <w:rPr>
          <w:rFonts w:ascii="Arial" w:cs="Arial" w:eastAsia="Arial" w:hAnsi="Arial"/>
          <w:sz w:val="8"/>
          <w:szCs w:val="8"/>
          <w:color w:val="auto"/>
        </w:rPr>
      </w:pPr>
      <w:r>
        <w:rPr>
          <w:rFonts w:ascii="Arial" w:cs="Arial" w:eastAsia="Arial" w:hAnsi="Arial"/>
          <w:sz w:val="8"/>
          <w:szCs w:val="8"/>
          <w:color w:val="auto"/>
        </w:rPr>
        <w:t>For Ben van Beurden, the amount reported for pension consists of a net pay defined contribution amount of €402,825. The amount to be reported for his defined benefit pension accrual is €137,479 calculated in accordance with UK reporting requirements. For Jessica Uhl, the amount reported for pension consists of a defined contribution amount of €103,486 and a defined benefit pension accrual €184,452.</w:t>
      </w:r>
    </w:p>
    <w:p>
      <w:pPr>
        <w:ind w:left="128" w:hanging="128"/>
        <w:spacing w:after="0"/>
        <w:tabs>
          <w:tab w:leader="none" w:pos="128" w:val="left"/>
        </w:tabs>
        <w:numPr>
          <w:ilvl w:val="0"/>
          <w:numId w:val="119"/>
        </w:numPr>
        <w:rPr>
          <w:rFonts w:ascii="Arial" w:cs="Arial" w:eastAsia="Arial" w:hAnsi="Arial"/>
          <w:sz w:val="7"/>
          <w:szCs w:val="7"/>
          <w:color w:val="auto"/>
        </w:rPr>
      </w:pPr>
      <w:r>
        <w:rPr>
          <w:rFonts w:ascii="Arial" w:cs="Arial" w:eastAsia="Arial" w:hAnsi="Arial"/>
          <w:sz w:val="7"/>
          <w:szCs w:val="7"/>
          <w:color w:val="auto"/>
        </w:rPr>
        <w:t>The full value of the bonus, comprising both the 50% delivered in cash and 50% bonus delivered in shares. For 2019, the market price of A shares on February 21, 2020 (€22.735), was used to determine the number of shares delivered, resulting in 9,521 A shares for Ben van Beurden and 5,951 A shares for Jessica Uhl.</w:t>
      </w:r>
    </w:p>
    <w:p>
      <w:pPr>
        <w:spacing w:after="0" w:line="18" w:lineRule="exact"/>
        <w:rPr>
          <w:rFonts w:ascii="Arial" w:cs="Arial" w:eastAsia="Arial" w:hAnsi="Arial"/>
          <w:sz w:val="7"/>
          <w:szCs w:val="7"/>
          <w:color w:val="auto"/>
        </w:rPr>
      </w:pPr>
    </w:p>
    <w:p>
      <w:pPr>
        <w:ind w:left="8" w:right="60" w:hanging="8"/>
        <w:spacing w:after="0" w:line="267" w:lineRule="auto"/>
        <w:tabs>
          <w:tab w:leader="none" w:pos="136" w:val="left"/>
        </w:tabs>
        <w:numPr>
          <w:ilvl w:val="0"/>
          <w:numId w:val="119"/>
        </w:numPr>
        <w:rPr>
          <w:rFonts w:ascii="Arial" w:cs="Arial" w:eastAsia="Arial" w:hAnsi="Arial"/>
          <w:sz w:val="8"/>
          <w:szCs w:val="8"/>
          <w:color w:val="auto"/>
        </w:rPr>
      </w:pPr>
      <w:r>
        <w:rPr>
          <w:rFonts w:ascii="Arial" w:cs="Arial" w:eastAsia="Arial" w:hAnsi="Arial"/>
          <w:sz w:val="8"/>
          <w:szCs w:val="8"/>
          <w:color w:val="auto"/>
        </w:rPr>
        <w:t>Remuneration for performance periods of more than one year, comprising the value of released LTIP awards. The amounts reported for 2020 relate to the 2018 LTIP award, which vested on March 5, 2021, at the market price of €17.85 and $43.72 for A shares and A ADSs respectively. The value in respect of the LTIP is calculated as the product of: the number of shares of the original award multiplied by the vesting percentage; plus accrued dividend shares; and the market price of A shares or A ADSs at the vesting date. The market price of A ADSs is converted into euros using the exchange rate on the respective date. Share price depreciation accounted for - €1,620,234 on the LTIP for Ben van Beurden and -$1,058,065 on the LTIP for Jessica Uhl.</w:t>
      </w:r>
    </w:p>
    <w:p>
      <w:pPr>
        <w:spacing w:after="0" w:line="337"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122</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964" w:right="299" w:bottom="1440" w:gutter="0" w:footer="0" w:header="0"/>
        </w:sectPr>
      </w:pPr>
    </w:p>
    <w:bookmarkStart w:id="125" w:name="page126"/>
    <w:bookmarkEnd w:id="125"/>
    <w:p>
      <w:pPr>
        <w:spacing w:after="0"/>
        <w:rPr>
          <w:sz w:val="20"/>
          <w:szCs w:val="20"/>
          <w:color w:val="auto"/>
        </w:rPr>
      </w:pPr>
      <w:r>
        <w:rPr>
          <w:rFonts w:ascii="Arial" w:cs="Arial" w:eastAsia="Arial" w:hAnsi="Arial"/>
          <w:sz w:val="10"/>
          <w:szCs w:val="10"/>
          <w:color w:val="auto"/>
        </w:rPr>
        <w:t>Notes to the single total figure of remuneration for Executive Directors table (audited)</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Annual bonus</w:t>
      </w:r>
    </w:p>
    <w:p>
      <w:pPr>
        <w:spacing w:after="0" w:line="1" w:lineRule="exact"/>
        <w:rPr>
          <w:sz w:val="20"/>
          <w:szCs w:val="20"/>
          <w:color w:val="auto"/>
        </w:rPr>
      </w:pPr>
    </w:p>
    <w:p>
      <w:pPr>
        <w:ind w:right="180"/>
        <w:spacing w:after="0" w:line="231" w:lineRule="auto"/>
        <w:rPr>
          <w:sz w:val="20"/>
          <w:szCs w:val="20"/>
          <w:color w:val="auto"/>
        </w:rPr>
      </w:pPr>
      <w:r>
        <w:rPr>
          <w:rFonts w:ascii="Arial" w:cs="Arial" w:eastAsia="Arial" w:hAnsi="Arial"/>
          <w:sz w:val="10"/>
          <w:szCs w:val="10"/>
          <w:color w:val="auto"/>
        </w:rPr>
        <w:t>As disclosed on pages 139-140, the annual bonus is intended to reward delivery of short-term operational targets as derived from Shell’s operating plan.</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Determination of the 2020 annual bonus</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8"/>
          <w:szCs w:val="8"/>
          <w:color w:val="auto"/>
        </w:rPr>
        <w:t>The REMCO had approved a 2020 annual bonus scorecard at its meeting on January 28, 2020, based on Shell’s operating plan, which ultimately was not communicated or shared with participants. In March, as the implications of the pandemic became increasingly apparent, it became clear that the operating plan and 2020 scorecard had been overtaken by events and were no longer appropriate. It was decided that targets would not be reset but operating priorities would be recast to Care in terms of health, safety and well-being for our people, Continuity for our business to support customers and communities, and Cash management to ensure the financial resilience of Shell. The approved scorecard was set aside and there was no review of the targets or performance against it (or any other targets for the purposes of calculating bonus entitlements). Care, Continuity and Cash quickly became the new framework to reflect on performance.</w:t>
      </w:r>
    </w:p>
    <w:p>
      <w:pPr>
        <w:spacing w:after="0" w:line="291" w:lineRule="exact"/>
        <w:rPr>
          <w:sz w:val="20"/>
          <w:szCs w:val="20"/>
          <w:color w:val="auto"/>
        </w:rPr>
      </w:pPr>
    </w:p>
    <w:p>
      <w:pPr>
        <w:spacing w:after="0"/>
        <w:rPr>
          <w:sz w:val="20"/>
          <w:szCs w:val="20"/>
          <w:color w:val="auto"/>
        </w:rPr>
      </w:pPr>
      <w:r>
        <w:rPr>
          <w:rFonts w:ascii="Arial" w:cs="Arial" w:eastAsia="Arial" w:hAnsi="Arial"/>
          <w:sz w:val="10"/>
          <w:szCs w:val="10"/>
          <w:color w:val="auto"/>
        </w:rPr>
        <w:t>2020 annual bonus framework (not used for performance assessment)</w:t>
      </w:r>
    </w:p>
    <w:p>
      <w:pPr>
        <w:spacing w:after="0" w:line="33" w:lineRule="exact"/>
        <w:rPr>
          <w:sz w:val="20"/>
          <w:szCs w:val="20"/>
          <w:color w:val="auto"/>
        </w:rPr>
      </w:pPr>
    </w:p>
    <w:p>
      <w:pPr>
        <w:spacing w:after="0"/>
        <w:rPr>
          <w:sz w:val="20"/>
          <w:szCs w:val="20"/>
          <w:color w:val="auto"/>
        </w:rPr>
      </w:pPr>
      <w:r>
        <w:rPr>
          <w:rFonts w:ascii="Arial" w:cs="Arial" w:eastAsia="Arial" w:hAnsi="Arial"/>
          <w:sz w:val="8"/>
          <w:szCs w:val="8"/>
          <w:color w:val="auto"/>
        </w:rPr>
        <w:t>Measures [A]</w:t>
      </w:r>
    </w:p>
    <w:p>
      <w:pPr>
        <w:spacing w:after="0" w:line="20" w:lineRule="exact"/>
        <w:rPr>
          <w:sz w:val="20"/>
          <w:szCs w:val="20"/>
          <w:color w:val="auto"/>
        </w:rPr>
      </w:pPr>
      <w:r>
        <w:rPr>
          <w:sz w:val="20"/>
          <w:szCs w:val="20"/>
          <w:color w:val="auto"/>
        </w:rPr>
        <w:br w:type="column"/>
      </w:r>
    </w:p>
    <w:p>
      <w:pPr>
        <w:ind w:right="240"/>
        <w:spacing w:after="0" w:line="300" w:lineRule="auto"/>
        <w:rPr>
          <w:sz w:val="20"/>
          <w:szCs w:val="20"/>
          <w:color w:val="auto"/>
        </w:rPr>
      </w:pPr>
      <w:r>
        <w:rPr>
          <w:rFonts w:ascii="Arial" w:cs="Arial" w:eastAsia="Arial" w:hAnsi="Arial"/>
          <w:sz w:val="8"/>
          <w:szCs w:val="8"/>
          <w:color w:val="auto"/>
        </w:rPr>
        <w:t>It had also become clear that there would be difficult financial outcomes ahead. In March 2020, Shell announced a change to the financial framework. This included stating that we would not be proceeding with the next tranche of the share buyback programme and would be rebasing the dividend. In light of this, the REMCO decided there would be no 2020 annual bonuses for Executive Directors and Senior Management. As no Group scorecard was being published, employees were informed that the Group scorecard outcome for 2020 would be set to zero. This was communicated in April 2020 to allow employees to make financial plans.</w:t>
      </w:r>
    </w:p>
    <w:p>
      <w:pPr>
        <w:spacing w:after="0" w:line="127" w:lineRule="exact"/>
        <w:rPr>
          <w:sz w:val="20"/>
          <w:szCs w:val="20"/>
          <w:color w:val="auto"/>
        </w:rPr>
      </w:pPr>
    </w:p>
    <w:p>
      <w:pPr>
        <w:ind w:right="120"/>
        <w:spacing w:after="0" w:line="307" w:lineRule="auto"/>
        <w:rPr>
          <w:sz w:val="20"/>
          <w:szCs w:val="20"/>
          <w:color w:val="auto"/>
        </w:rPr>
      </w:pPr>
      <w:r>
        <w:rPr>
          <w:rFonts w:ascii="Arial" w:cs="Arial" w:eastAsia="Arial" w:hAnsi="Arial"/>
          <w:sz w:val="8"/>
          <w:szCs w:val="8"/>
          <w:color w:val="auto"/>
        </w:rPr>
        <w:t>After the depths of the crisis, there has been some recovery in commodity prices and the business has been resilient in 2020, delivering strong cash generation relative to our peers and performing strongly on safety. But we are far from the financial success in 2020 that would allow an annual bonus. Taking into account all the relevant factors such as business performance, impairments, dividend changes, and the limited use of government support, the REMCO confirmed that its decision that there should be no 2020 annual bonuses remained appropriate.</w:t>
      </w:r>
    </w:p>
    <w:p>
      <w:pPr>
        <w:spacing w:after="0" w:line="123" w:lineRule="exact"/>
        <w:rPr>
          <w:sz w:val="20"/>
          <w:szCs w:val="20"/>
          <w:color w:val="auto"/>
        </w:rPr>
      </w:pPr>
    </w:p>
    <w:p>
      <w:pPr>
        <w:ind w:right="480"/>
        <w:spacing w:after="0" w:line="230" w:lineRule="auto"/>
        <w:rPr>
          <w:sz w:val="20"/>
          <w:szCs w:val="20"/>
          <w:color w:val="auto"/>
        </w:rPr>
      </w:pPr>
      <w:r>
        <w:rPr>
          <w:rFonts w:ascii="Arial" w:cs="Arial" w:eastAsia="Arial" w:hAnsi="Arial"/>
          <w:sz w:val="10"/>
          <w:szCs w:val="10"/>
          <w:color w:val="auto"/>
        </w:rPr>
        <w:t>For reference, the redundant 2020 annual bonus framework is set out below. Full information of Shell's performance against our Key Performance Indicators can be found on pages 28-29.</w:t>
      </w:r>
    </w:p>
    <w:p>
      <w:pPr>
        <w:spacing w:after="0" w:line="200" w:lineRule="exact"/>
        <w:rPr>
          <w:sz w:val="20"/>
          <w:szCs w:val="20"/>
          <w:color w:val="auto"/>
        </w:rPr>
      </w:pPr>
    </w:p>
    <w:p>
      <w:pPr>
        <w:spacing w:after="0" w:line="375" w:lineRule="exact"/>
        <w:rPr>
          <w:sz w:val="20"/>
          <w:szCs w:val="20"/>
          <w:color w:val="auto"/>
        </w:rPr>
      </w:pPr>
    </w:p>
    <w:p>
      <w:pPr>
        <w:jc w:val="right"/>
        <w:ind w:right="20"/>
        <w:spacing w:after="0"/>
        <w:rPr>
          <w:sz w:val="20"/>
          <w:szCs w:val="20"/>
          <w:color w:val="auto"/>
        </w:rPr>
      </w:pPr>
      <w:r>
        <w:rPr>
          <w:rFonts w:ascii="Arial" w:cs="Arial" w:eastAsia="Arial" w:hAnsi="Arial"/>
          <w:sz w:val="8"/>
          <w:szCs w:val="8"/>
          <w:color w:val="auto"/>
        </w:rPr>
        <w:t>Weight (% of scorecard)</w:t>
      </w:r>
    </w:p>
    <w:p>
      <w:pPr>
        <w:spacing w:after="0" w:line="13" w:lineRule="exact"/>
        <w:rPr>
          <w:sz w:val="20"/>
          <w:szCs w:val="20"/>
          <w:color w:val="auto"/>
        </w:rPr>
      </w:pPr>
    </w:p>
    <w:p>
      <w:pPr>
        <w:sectPr>
          <w:pgSz w:w="11900" w:h="16838" w:orient="portrait"/>
          <w:cols w:equalWidth="0" w:num="2">
            <w:col w:w="5400" w:space="320"/>
            <w:col w:w="5580"/>
          </w:cols>
          <w:pgMar w:left="300" w:top="802" w:right="299" w:bottom="1440" w:gutter="0" w:footer="0" w:header="0"/>
        </w:sectPr>
      </w:pPr>
    </w:p>
    <w:tbl>
      <w:tblPr>
        <w:tblLayout w:type="fixed"/>
        <w:tblInd w:w="0" w:type="dxa"/>
        <w:tblCellMar>
          <w:top w:w="0" w:type="dxa"/>
          <w:left w:w="0" w:type="dxa"/>
          <w:bottom w:w="0" w:type="dxa"/>
          <w:right w:w="0" w:type="dxa"/>
        </w:tblCellMar>
      </w:tblPr>
      <w:tr>
        <w:trPr>
          <w:trHeight w:val="121"/>
        </w:trPr>
        <w:tc>
          <w:tcPr>
            <w:tcW w:w="7620" w:type="dxa"/>
            <w:vAlign w:val="bottom"/>
            <w:tcBorders>
              <w:top w:val="single" w:sz="8" w:color="auto"/>
              <w:bottom w:val="single" w:sz="8" w:color="494949"/>
            </w:tcBorders>
          </w:tcPr>
          <w:p>
            <w:pPr>
              <w:spacing w:after="0"/>
              <w:rPr>
                <w:sz w:val="20"/>
                <w:szCs w:val="20"/>
                <w:color w:val="auto"/>
              </w:rPr>
            </w:pPr>
            <w:r>
              <w:rPr>
                <w:rFonts w:ascii="Arial" w:cs="Arial" w:eastAsia="Arial" w:hAnsi="Arial"/>
                <w:sz w:val="8"/>
                <w:szCs w:val="8"/>
                <w:b w:val="1"/>
                <w:bCs w:val="1"/>
                <w:color w:val="auto"/>
              </w:rPr>
              <w:t>Cash flow from operating activities ($ billion)</w:t>
            </w:r>
          </w:p>
        </w:tc>
        <w:tc>
          <w:tcPr>
            <w:tcW w:w="3680" w:type="dxa"/>
            <w:vAlign w:val="bottom"/>
            <w:tcBorders>
              <w:top w:val="single" w:sz="8" w:color="auto"/>
              <w:bottom w:val="single" w:sz="8" w:color="494949"/>
            </w:tcBorders>
          </w:tcPr>
          <w:p>
            <w:pPr>
              <w:jc w:val="right"/>
              <w:spacing w:after="0"/>
              <w:rPr>
                <w:sz w:val="20"/>
                <w:szCs w:val="20"/>
                <w:color w:val="auto"/>
              </w:rPr>
            </w:pPr>
            <w:r>
              <w:rPr>
                <w:rFonts w:ascii="Arial" w:cs="Arial" w:eastAsia="Arial" w:hAnsi="Arial"/>
                <w:sz w:val="8"/>
                <w:szCs w:val="8"/>
                <w:color w:val="auto"/>
              </w:rPr>
              <w:t>30%</w:t>
            </w:r>
          </w:p>
        </w:tc>
      </w:tr>
      <w:tr>
        <w:trPr>
          <w:trHeight w:val="115"/>
        </w:trPr>
        <w:tc>
          <w:tcPr>
            <w:tcW w:w="7620" w:type="dxa"/>
            <w:vAlign w:val="bottom"/>
            <w:tcBorders>
              <w:bottom w:val="single" w:sz="8" w:color="494949"/>
            </w:tcBorders>
          </w:tcPr>
          <w:p>
            <w:pPr>
              <w:spacing w:after="0"/>
              <w:rPr>
                <w:sz w:val="20"/>
                <w:szCs w:val="20"/>
                <w:color w:val="auto"/>
              </w:rPr>
            </w:pPr>
            <w:r>
              <w:rPr>
                <w:rFonts w:ascii="Arial" w:cs="Arial" w:eastAsia="Arial" w:hAnsi="Arial"/>
                <w:sz w:val="8"/>
                <w:szCs w:val="8"/>
                <w:b w:val="1"/>
                <w:bCs w:val="1"/>
                <w:color w:val="auto"/>
              </w:rPr>
              <w:t>Operational excellence</w:t>
            </w:r>
          </w:p>
        </w:tc>
        <w:tc>
          <w:tcPr>
            <w:tcW w:w="3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50%</w:t>
            </w:r>
          </w:p>
        </w:tc>
      </w:tr>
      <w:tr>
        <w:trPr>
          <w:trHeight w:val="115"/>
        </w:trPr>
        <w:tc>
          <w:tcPr>
            <w:tcW w:w="76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Production (kboe/d)</w:t>
            </w:r>
          </w:p>
        </w:tc>
        <w:tc>
          <w:tcPr>
            <w:tcW w:w="3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12.5%</w:t>
            </w:r>
          </w:p>
        </w:tc>
      </w:tr>
      <w:tr>
        <w:trPr>
          <w:trHeight w:val="115"/>
        </w:trPr>
        <w:tc>
          <w:tcPr>
            <w:tcW w:w="76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LNG liquefaction volumes (mtpa)</w:t>
            </w:r>
          </w:p>
        </w:tc>
        <w:tc>
          <w:tcPr>
            <w:tcW w:w="3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12.5%</w:t>
            </w:r>
          </w:p>
        </w:tc>
      </w:tr>
      <w:tr>
        <w:trPr>
          <w:trHeight w:val="115"/>
        </w:trPr>
        <w:tc>
          <w:tcPr>
            <w:tcW w:w="76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Refinery and chemical plant availability (%)</w:t>
            </w:r>
          </w:p>
        </w:tc>
        <w:tc>
          <w:tcPr>
            <w:tcW w:w="3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12.5%</w:t>
            </w:r>
          </w:p>
        </w:tc>
      </w:tr>
      <w:tr>
        <w:trPr>
          <w:trHeight w:val="115"/>
        </w:trPr>
        <w:tc>
          <w:tcPr>
            <w:tcW w:w="76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Project delivery on schedule (%)</w:t>
            </w:r>
          </w:p>
        </w:tc>
        <w:tc>
          <w:tcPr>
            <w:tcW w:w="3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6.25%</w:t>
            </w:r>
          </w:p>
        </w:tc>
      </w:tr>
      <w:tr>
        <w:trPr>
          <w:trHeight w:val="115"/>
        </w:trPr>
        <w:tc>
          <w:tcPr>
            <w:tcW w:w="76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Project delivery on budget (%)</w:t>
            </w:r>
          </w:p>
        </w:tc>
        <w:tc>
          <w:tcPr>
            <w:tcW w:w="3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6.25%</w:t>
            </w:r>
          </w:p>
        </w:tc>
      </w:tr>
      <w:tr>
        <w:trPr>
          <w:trHeight w:val="115"/>
        </w:trPr>
        <w:tc>
          <w:tcPr>
            <w:tcW w:w="7620" w:type="dxa"/>
            <w:vAlign w:val="bottom"/>
            <w:tcBorders>
              <w:bottom w:val="single" w:sz="8" w:color="494949"/>
            </w:tcBorders>
          </w:tcPr>
          <w:p>
            <w:pPr>
              <w:spacing w:after="0"/>
              <w:rPr>
                <w:sz w:val="20"/>
                <w:szCs w:val="20"/>
                <w:color w:val="auto"/>
              </w:rPr>
            </w:pPr>
            <w:r>
              <w:rPr>
                <w:rFonts w:ascii="Arial" w:cs="Arial" w:eastAsia="Arial" w:hAnsi="Arial"/>
                <w:sz w:val="8"/>
                <w:szCs w:val="8"/>
                <w:b w:val="1"/>
                <w:bCs w:val="1"/>
                <w:color w:val="auto"/>
              </w:rPr>
              <w:t>Sustainable development</w:t>
            </w:r>
          </w:p>
        </w:tc>
        <w:tc>
          <w:tcPr>
            <w:tcW w:w="3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20%</w:t>
            </w:r>
          </w:p>
        </w:tc>
      </w:tr>
      <w:tr>
        <w:trPr>
          <w:trHeight w:val="115"/>
        </w:trPr>
        <w:tc>
          <w:tcPr>
            <w:tcW w:w="76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Total recordable case frequency (injuries/million hours)</w:t>
            </w:r>
          </w:p>
        </w:tc>
        <w:tc>
          <w:tcPr>
            <w:tcW w:w="3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5%</w:t>
            </w:r>
          </w:p>
        </w:tc>
      </w:tr>
      <w:tr>
        <w:trPr>
          <w:trHeight w:val="115"/>
        </w:trPr>
        <w:tc>
          <w:tcPr>
            <w:tcW w:w="76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Operational Tier 1 and 2 process safety events (number)</w:t>
            </w:r>
          </w:p>
        </w:tc>
        <w:tc>
          <w:tcPr>
            <w:tcW w:w="3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5%</w:t>
            </w:r>
          </w:p>
        </w:tc>
      </w:tr>
      <w:tr>
        <w:trPr>
          <w:trHeight w:val="121"/>
        </w:trPr>
        <w:tc>
          <w:tcPr>
            <w:tcW w:w="7620" w:type="dxa"/>
            <w:vAlign w:val="bottom"/>
            <w:tcBorders>
              <w:bottom w:val="single" w:sz="8" w:color="494949"/>
            </w:tcBorders>
          </w:tcPr>
          <w:p>
            <w:pPr>
              <w:spacing w:after="0" w:line="92" w:lineRule="exact"/>
              <w:rPr>
                <w:sz w:val="20"/>
                <w:szCs w:val="20"/>
                <w:color w:val="auto"/>
              </w:rPr>
            </w:pPr>
            <w:r>
              <w:rPr>
                <w:rFonts w:ascii="Arial" w:cs="Arial" w:eastAsia="Arial" w:hAnsi="Arial"/>
                <w:sz w:val="8"/>
                <w:szCs w:val="8"/>
                <w:color w:val="auto"/>
              </w:rPr>
              <w:t>Upstream and Integrated Gas GHG intensity (tonnes of CO</w:t>
            </w:r>
            <w:r>
              <w:rPr>
                <w:rFonts w:ascii="MS PGothic" w:cs="MS PGothic" w:eastAsia="MS PGothic" w:hAnsi="MS PGothic"/>
                <w:sz w:val="8"/>
                <w:szCs w:val="8"/>
                <w:color w:val="auto"/>
              </w:rPr>
              <w:t>₂</w:t>
            </w:r>
            <w:r>
              <w:rPr>
                <w:rFonts w:ascii="Arial" w:cs="Arial" w:eastAsia="Arial" w:hAnsi="Arial"/>
                <w:sz w:val="8"/>
                <w:szCs w:val="8"/>
                <w:color w:val="auto"/>
              </w:rPr>
              <w:t xml:space="preserve"> equivalent/tonne of hydrocarbon production available for sale)</w:t>
            </w:r>
          </w:p>
        </w:tc>
        <w:tc>
          <w:tcPr>
            <w:tcW w:w="3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4%</w:t>
            </w:r>
          </w:p>
        </w:tc>
      </w:tr>
      <w:tr>
        <w:trPr>
          <w:trHeight w:val="115"/>
        </w:trPr>
        <w:tc>
          <w:tcPr>
            <w:tcW w:w="7620" w:type="dxa"/>
            <w:vAlign w:val="bottom"/>
            <w:tcBorders>
              <w:bottom w:val="single" w:sz="8" w:color="494949"/>
            </w:tcBorders>
          </w:tcPr>
          <w:p>
            <w:pPr>
              <w:spacing w:after="0" w:line="92" w:lineRule="exact"/>
              <w:rPr>
                <w:sz w:val="20"/>
                <w:szCs w:val="20"/>
                <w:color w:val="auto"/>
              </w:rPr>
            </w:pPr>
            <w:r>
              <w:rPr>
                <w:rFonts w:ascii="Arial" w:cs="Arial" w:eastAsia="Arial" w:hAnsi="Arial"/>
                <w:sz w:val="8"/>
                <w:szCs w:val="8"/>
                <w:color w:val="auto"/>
              </w:rPr>
              <w:t>Refining GHG intensity (tonnes CO</w:t>
            </w:r>
            <w:r>
              <w:rPr>
                <w:rFonts w:ascii="MS PGothic" w:cs="MS PGothic" w:eastAsia="MS PGothic" w:hAnsi="MS PGothic"/>
                <w:sz w:val="8"/>
                <w:szCs w:val="8"/>
                <w:color w:val="auto"/>
              </w:rPr>
              <w:t>₂</w:t>
            </w:r>
            <w:r>
              <w:rPr>
                <w:rFonts w:ascii="Arial" w:cs="Arial" w:eastAsia="Arial" w:hAnsi="Arial"/>
                <w:sz w:val="8"/>
                <w:szCs w:val="8"/>
                <w:color w:val="auto"/>
              </w:rPr>
              <w:t xml:space="preserve"> equivalent per Solomon’s Utilized Equivalent Distillation Capacity (UEDC™))</w:t>
            </w:r>
          </w:p>
        </w:tc>
        <w:tc>
          <w:tcPr>
            <w:tcW w:w="3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4%</w:t>
            </w:r>
          </w:p>
        </w:tc>
      </w:tr>
      <w:tr>
        <w:trPr>
          <w:trHeight w:val="115"/>
        </w:trPr>
        <w:tc>
          <w:tcPr>
            <w:tcW w:w="7620" w:type="dxa"/>
            <w:vAlign w:val="bottom"/>
            <w:tcBorders>
              <w:bottom w:val="single" w:sz="8" w:color="auto"/>
            </w:tcBorders>
          </w:tcPr>
          <w:p>
            <w:pPr>
              <w:spacing w:after="0" w:line="92" w:lineRule="exact"/>
              <w:rPr>
                <w:sz w:val="20"/>
                <w:szCs w:val="20"/>
                <w:color w:val="auto"/>
              </w:rPr>
            </w:pPr>
            <w:r>
              <w:rPr>
                <w:rFonts w:ascii="Arial" w:cs="Arial" w:eastAsia="Arial" w:hAnsi="Arial"/>
                <w:sz w:val="8"/>
                <w:szCs w:val="8"/>
                <w:color w:val="auto"/>
              </w:rPr>
              <w:t>Chemicals GHG intensity (tonnes CO</w:t>
            </w:r>
            <w:r>
              <w:rPr>
                <w:rFonts w:ascii="MS PGothic" w:cs="MS PGothic" w:eastAsia="MS PGothic" w:hAnsi="MS PGothic"/>
                <w:sz w:val="8"/>
                <w:szCs w:val="8"/>
                <w:color w:val="auto"/>
              </w:rPr>
              <w:t>₂</w:t>
            </w:r>
            <w:r>
              <w:rPr>
                <w:rFonts w:ascii="Arial" w:cs="Arial" w:eastAsia="Arial" w:hAnsi="Arial"/>
                <w:sz w:val="8"/>
                <w:szCs w:val="8"/>
                <w:color w:val="auto"/>
              </w:rPr>
              <w:t xml:space="preserve"> equivalent/tonne of petrochemicals production)</w:t>
            </w:r>
          </w:p>
        </w:tc>
        <w:tc>
          <w:tcPr>
            <w:tcW w:w="3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8"/>
          <w:szCs w:val="8"/>
          <w:color w:val="auto"/>
        </w:rPr>
        <w:t>[A] These metrics measure the effectiveness with which we operate our assets and portfolio base, assessed against our operational business plan. Shell’s longer-term strategic ambitions are measured in the LTIP metrics.</w:t>
      </w:r>
    </w:p>
    <w:p>
      <w:pPr>
        <w:sectPr>
          <w:pgSz w:w="11900" w:h="16838" w:orient="portrait"/>
          <w:cols w:equalWidth="0" w:num="1">
            <w:col w:w="11300"/>
          </w:cols>
          <w:pgMar w:left="300" w:top="802" w:right="29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10"/>
          <w:szCs w:val="10"/>
          <w:color w:val="auto"/>
        </w:rPr>
        <w:t>LTIP Vesting</w:t>
      </w:r>
    </w:p>
    <w:p>
      <w:pPr>
        <w:spacing w:after="0" w:line="1" w:lineRule="exact"/>
        <w:rPr>
          <w:sz w:val="20"/>
          <w:szCs w:val="20"/>
          <w:color w:val="auto"/>
        </w:rPr>
      </w:pPr>
    </w:p>
    <w:p>
      <w:pPr>
        <w:ind w:right="240"/>
        <w:spacing w:after="0" w:line="231" w:lineRule="auto"/>
        <w:rPr>
          <w:sz w:val="20"/>
          <w:szCs w:val="20"/>
          <w:color w:val="auto"/>
        </w:rPr>
      </w:pPr>
      <w:r>
        <w:rPr>
          <w:rFonts w:ascii="Arial" w:cs="Arial" w:eastAsia="Arial" w:hAnsi="Arial"/>
          <w:sz w:val="10"/>
          <w:szCs w:val="10"/>
          <w:color w:val="auto"/>
        </w:rPr>
        <w:t>In 2018, Ben van Beurden was granted a conditional LTIP award of 340% (maximum 680%) of base salary and Jessica Uhl an award of 270% (maximum 540%), excluding share price movement and dividends.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In making the vesting decision, the REMCO considered Shell’s performance over the three-year vesting period.</w:t>
      </w:r>
    </w:p>
    <w:p>
      <w:pPr>
        <w:spacing w:after="0" w:line="155" w:lineRule="exact"/>
        <w:rPr>
          <w:sz w:val="20"/>
          <w:szCs w:val="20"/>
          <w:color w:val="auto"/>
        </w:rPr>
      </w:pPr>
    </w:p>
    <w:p>
      <w:pPr>
        <w:ind w:right="300"/>
        <w:spacing w:after="0" w:line="239" w:lineRule="auto"/>
        <w:rPr>
          <w:sz w:val="20"/>
          <w:szCs w:val="20"/>
          <w:color w:val="auto"/>
        </w:rPr>
      </w:pPr>
      <w:r>
        <w:rPr>
          <w:rFonts w:ascii="Arial" w:cs="Arial" w:eastAsia="Arial" w:hAnsi="Arial"/>
          <w:sz w:val="10"/>
          <w:szCs w:val="10"/>
          <w:color w:val="auto"/>
        </w:rPr>
        <w:t>There was strong performance on free cash flow (FCF) in 2018, but Shell failed to meet plan targets in 2019 and 2020, and the overall performance outcome over three years fell below threshold.</w:t>
      </w:r>
    </w:p>
    <w:p>
      <w:pPr>
        <w:spacing w:after="0" w:line="149" w:lineRule="exact"/>
        <w:rPr>
          <w:sz w:val="20"/>
          <w:szCs w:val="20"/>
          <w:color w:val="auto"/>
        </w:rPr>
      </w:pPr>
    </w:p>
    <w:p>
      <w:pPr>
        <w:spacing w:after="0" w:line="229" w:lineRule="auto"/>
        <w:rPr>
          <w:sz w:val="20"/>
          <w:szCs w:val="20"/>
          <w:color w:val="auto"/>
        </w:rPr>
      </w:pPr>
      <w:r>
        <w:rPr>
          <w:rFonts w:ascii="Arial" w:cs="Arial" w:eastAsia="Arial" w:hAnsi="Arial"/>
          <w:sz w:val="10"/>
          <w:szCs w:val="10"/>
          <w:color w:val="auto"/>
        </w:rPr>
        <w:t>The REMCO was encouraged by the resilience that Shell displayed over the course of 2020, including its ability to deliver positive cash flows despite very challenging headwinds. Shell ranked first among our competitors in relative CFFO growth. Total CFFO was $34 billion in 2020, with more than $129 billion generated over the three-year vesting period. In absolute terms, this is more than double the CFFO generated in 2020 by our next closest competitor. On TSR, Shell ranked third in the comparator group, with $55 billion distributed to shareholders in the form of dividends and share buybacks. The work done in recent years to focus on capital discipline and get the portfolio to the right size was also reflected in the outcome for return on average capital employed (ROACE), where Shell ranked third among the comparators.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right="280"/>
        <w:spacing w:after="0" w:line="358" w:lineRule="auto"/>
        <w:rPr>
          <w:sz w:val="20"/>
          <w:szCs w:val="20"/>
          <w:color w:val="auto"/>
        </w:rPr>
      </w:pPr>
      <w:r>
        <w:rPr>
          <w:rFonts w:ascii="Arial" w:cs="Arial" w:eastAsia="Arial" w:hAnsi="Arial"/>
          <w:sz w:val="8"/>
          <w:szCs w:val="8"/>
          <w:color w:val="auto"/>
        </w:rPr>
        <w:t>The REMCO also considered the change in share price between award and vesting, and the impact this had on the outcome. The REMCO also reflected on the overall single outcome for the CEO and decided that no adjustment to the vesting outcomes was required.</w:t>
      </w:r>
    </w:p>
    <w:p>
      <w:pPr>
        <w:spacing w:after="0" w:line="104" w:lineRule="exact"/>
        <w:rPr>
          <w:sz w:val="20"/>
          <w:szCs w:val="20"/>
          <w:color w:val="auto"/>
        </w:rPr>
      </w:pPr>
    </w:p>
    <w:p>
      <w:pPr>
        <w:spacing w:after="0"/>
        <w:rPr>
          <w:sz w:val="20"/>
          <w:szCs w:val="20"/>
          <w:color w:val="auto"/>
        </w:rPr>
      </w:pPr>
      <w:r>
        <w:rPr>
          <w:rFonts w:ascii="Arial" w:cs="Arial" w:eastAsia="Arial" w:hAnsi="Arial"/>
          <w:sz w:val="8"/>
          <w:szCs w:val="8"/>
          <w:color w:val="auto"/>
        </w:rPr>
        <w:t>Accordingly, the REMCO determined that the LTIP should vest at 90% without the use of discretion. This is illustrated opposite.</w:t>
      </w:r>
    </w:p>
    <w:p>
      <w:pPr>
        <w:spacing w:after="0" w:line="178" w:lineRule="exact"/>
        <w:rPr>
          <w:sz w:val="20"/>
          <w:szCs w:val="20"/>
          <w:color w:val="auto"/>
        </w:rPr>
      </w:pPr>
    </w:p>
    <w:p>
      <w:pPr>
        <w:spacing w:after="0"/>
        <w:rPr>
          <w:sz w:val="20"/>
          <w:szCs w:val="20"/>
          <w:color w:val="auto"/>
        </w:rPr>
      </w:pPr>
      <w:r>
        <w:rPr>
          <w:rFonts w:ascii="Arial" w:cs="Arial" w:eastAsia="Arial" w:hAnsi="Arial"/>
          <w:sz w:val="8"/>
          <w:szCs w:val="8"/>
          <w:color w:val="auto"/>
        </w:rPr>
        <w:t>The CEO’s and CFO’s vested awards are subject to a further three-year holding period which extends beyond Executive Director tenure.</w:t>
      </w:r>
    </w:p>
    <w:p>
      <w:pPr>
        <w:spacing w:after="0" w:line="1254" w:lineRule="exact"/>
        <w:rPr>
          <w:sz w:val="20"/>
          <w:szCs w:val="20"/>
          <w:color w:val="auto"/>
        </w:rPr>
      </w:pPr>
    </w:p>
    <w:p>
      <w:pPr>
        <w:sectPr>
          <w:pgSz w:w="11900" w:h="16838" w:orient="portrait"/>
          <w:cols w:equalWidth="0" w:num="2">
            <w:col w:w="5440" w:space="280"/>
            <w:col w:w="5580"/>
          </w:cols>
          <w:pgMar w:left="300" w:top="802" w:right="299" w:bottom="1440" w:gutter="0" w:footer="0" w:header="0"/>
          <w:type w:val="continuous"/>
        </w:sect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123</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type w:val="continuous"/>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414655</wp:posOffset>
            </wp:positionV>
            <wp:extent cx="3909060" cy="4834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909060" cy="483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124</w:t>
            </w:r>
          </w:p>
        </w:tc>
      </w:tr>
      <w:tr>
        <w:trPr>
          <w:trHeight w:val="142"/>
        </w:trPr>
        <w:tc>
          <w:tcPr>
            <w:tcW w:w="3420" w:type="dxa"/>
            <w:vAlign w:val="bottom"/>
            <w:tcBorders>
              <w:bottom w:val="single" w:sz="8" w:color="9A9A9A"/>
            </w:tcBorders>
          </w:tcPr>
          <w:p>
            <w:pPr>
              <w:spacing w:after="0"/>
              <w:rPr>
                <w:sz w:val="12"/>
                <w:szCs w:val="12"/>
                <w:color w:val="auto"/>
              </w:rPr>
            </w:pPr>
          </w:p>
        </w:tc>
        <w:tc>
          <w:tcPr>
            <w:tcW w:w="78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27" w:name="page128"/>
    <w:bookmarkEnd w:id="127"/>
    <w:p>
      <w:pPr>
        <w:ind w:left="8"/>
        <w:spacing w:after="0"/>
        <w:rPr>
          <w:sz w:val="20"/>
          <w:szCs w:val="20"/>
          <w:color w:val="auto"/>
        </w:rPr>
      </w:pPr>
      <w:r>
        <w:rPr>
          <w:rFonts w:ascii="Arial" w:cs="Arial" w:eastAsia="Arial" w:hAnsi="Arial"/>
          <w:sz w:val="10"/>
          <w:szCs w:val="10"/>
          <w:color w:val="auto"/>
        </w:rPr>
        <w:t>In determining the final pay outcomes, the REMCO also considered the personal performance of the Executive Directors.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0"/>
          <w:szCs w:val="10"/>
          <w:color w:val="auto"/>
        </w:rPr>
        <w:t>Personal performance 2018 – 2020</w:t>
      </w:r>
    </w:p>
    <w:p>
      <w:pPr>
        <w:spacing w:after="0" w:line="195" w:lineRule="exact"/>
        <w:rPr>
          <w:sz w:val="20"/>
          <w:szCs w:val="20"/>
          <w:color w:val="auto"/>
        </w:rPr>
      </w:pPr>
    </w:p>
    <w:tbl>
      <w:tblPr>
        <w:tblLayout w:type="fixed"/>
        <w:tblInd w:w="8" w:type="dxa"/>
        <w:tblCellMar>
          <w:top w:w="0" w:type="dxa"/>
          <w:left w:w="0" w:type="dxa"/>
          <w:bottom w:w="0" w:type="dxa"/>
          <w:right w:w="0" w:type="dxa"/>
        </w:tblCellMar>
      </w:tblPr>
      <w:tr>
        <w:trPr>
          <w:trHeight w:val="111"/>
        </w:trPr>
        <w:tc>
          <w:tcPr>
            <w:tcW w:w="134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Key Goals</w:t>
            </w:r>
          </w:p>
        </w:tc>
        <w:tc>
          <w:tcPr>
            <w:tcW w:w="520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Ben van Beurden</w:t>
            </w:r>
          </w:p>
        </w:tc>
        <w:tc>
          <w:tcPr>
            <w:tcW w:w="45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Jessica Uhl</w:t>
            </w:r>
          </w:p>
        </w:tc>
        <w:tc>
          <w:tcPr>
            <w:tcW w:w="0" w:type="dxa"/>
            <w:vAlign w:val="bottom"/>
          </w:tcPr>
          <w:p>
            <w:pPr>
              <w:spacing w:after="0"/>
              <w:rPr>
                <w:sz w:val="1"/>
                <w:szCs w:val="1"/>
                <w:color w:val="auto"/>
              </w:rPr>
            </w:pPr>
          </w:p>
        </w:tc>
      </w:tr>
      <w:tr>
        <w:trPr>
          <w:trHeight w:val="94"/>
        </w:trPr>
        <w:tc>
          <w:tcPr>
            <w:tcW w:w="1340" w:type="dxa"/>
            <w:vAlign w:val="bottom"/>
          </w:tcPr>
          <w:p>
            <w:pPr>
              <w:spacing w:after="0"/>
              <w:rPr>
                <w:sz w:val="20"/>
                <w:szCs w:val="20"/>
                <w:color w:val="auto"/>
              </w:rPr>
            </w:pPr>
            <w:r>
              <w:rPr>
                <w:rFonts w:ascii="Arial" w:cs="Arial" w:eastAsia="Arial" w:hAnsi="Arial"/>
                <w:sz w:val="8"/>
                <w:szCs w:val="8"/>
                <w:color w:val="auto"/>
                <w:w w:val="98"/>
              </w:rPr>
              <w:t>Deliver a world-class investment case</w:t>
            </w:r>
          </w:p>
        </w:tc>
        <w:tc>
          <w:tcPr>
            <w:tcW w:w="5200" w:type="dxa"/>
            <w:vAlign w:val="bottom"/>
          </w:tcPr>
          <w:p>
            <w:pPr>
              <w:ind w:left="60"/>
              <w:spacing w:after="0"/>
              <w:rPr>
                <w:sz w:val="20"/>
                <w:szCs w:val="20"/>
                <w:color w:val="auto"/>
              </w:rPr>
            </w:pPr>
            <w:r>
              <w:rPr>
                <w:rFonts w:ascii="Arial" w:cs="Arial" w:eastAsia="Arial" w:hAnsi="Arial"/>
                <w:sz w:val="8"/>
                <w:szCs w:val="8"/>
                <w:color w:val="auto"/>
              </w:rPr>
              <w:t>Difficult times have demanded strong leadership, which the CEO has provided.</w:t>
            </w:r>
          </w:p>
        </w:tc>
        <w:tc>
          <w:tcPr>
            <w:tcW w:w="4500" w:type="dxa"/>
            <w:vAlign w:val="bottom"/>
          </w:tcPr>
          <w:p>
            <w:pPr>
              <w:spacing w:after="0"/>
              <w:rPr>
                <w:sz w:val="20"/>
                <w:szCs w:val="20"/>
                <w:color w:val="auto"/>
              </w:rPr>
            </w:pPr>
            <w:r>
              <w:rPr>
                <w:rFonts w:ascii="Arial" w:cs="Arial" w:eastAsia="Arial" w:hAnsi="Arial"/>
                <w:sz w:val="8"/>
                <w:szCs w:val="8"/>
                <w:color w:val="auto"/>
                <w:w w:val="95"/>
              </w:rPr>
              <w:t>The challenges of 2020 have required strong strategic management of Shell’s financial framework, and the CFO has played a critical</w:t>
            </w: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5200" w:type="dxa"/>
            <w:vAlign w:val="bottom"/>
            <w:vMerge w:val="restart"/>
          </w:tcPr>
          <w:p>
            <w:pPr>
              <w:ind w:left="60"/>
              <w:spacing w:after="0"/>
              <w:rPr>
                <w:sz w:val="20"/>
                <w:szCs w:val="20"/>
                <w:color w:val="auto"/>
              </w:rPr>
            </w:pPr>
            <w:r>
              <w:rPr>
                <w:rFonts w:ascii="Arial" w:cs="Arial" w:eastAsia="Arial" w:hAnsi="Arial"/>
                <w:sz w:val="8"/>
                <w:szCs w:val="8"/>
                <w:color w:val="auto"/>
              </w:rPr>
              <w:t>In the face of unprecedented headwinds, Shell has shown impressive resilience. This reflects the value of the integrated portfolio and disciplined</w:t>
            </w:r>
          </w:p>
        </w:tc>
        <w:tc>
          <w:tcPr>
            <w:tcW w:w="4500" w:type="dxa"/>
            <w:vAlign w:val="bottom"/>
          </w:tcPr>
          <w:p>
            <w:pPr>
              <w:spacing w:after="0"/>
              <w:rPr>
                <w:sz w:val="20"/>
                <w:szCs w:val="20"/>
                <w:color w:val="auto"/>
              </w:rPr>
            </w:pPr>
            <w:r>
              <w:rPr>
                <w:rFonts w:ascii="Arial" w:cs="Arial" w:eastAsia="Arial" w:hAnsi="Arial"/>
                <w:sz w:val="8"/>
                <w:szCs w:val="8"/>
                <w:color w:val="auto"/>
              </w:rPr>
              <w:t>role in ensuring the resilience of Shell during a highly volatile and unpredictable period.</w:t>
            </w:r>
          </w:p>
        </w:tc>
        <w:tc>
          <w:tcPr>
            <w:tcW w:w="0" w:type="dxa"/>
            <w:vAlign w:val="bottom"/>
          </w:tcPr>
          <w:p>
            <w:pPr>
              <w:spacing w:after="0"/>
              <w:rPr>
                <w:sz w:val="1"/>
                <w:szCs w:val="1"/>
                <w:color w:val="auto"/>
              </w:rPr>
            </w:pPr>
          </w:p>
        </w:tc>
      </w:tr>
      <w:tr>
        <w:trPr>
          <w:trHeight w:val="75"/>
        </w:trPr>
        <w:tc>
          <w:tcPr>
            <w:tcW w:w="1340" w:type="dxa"/>
            <w:vAlign w:val="bottom"/>
          </w:tcPr>
          <w:p>
            <w:pPr>
              <w:spacing w:after="0"/>
              <w:rPr>
                <w:sz w:val="6"/>
                <w:szCs w:val="6"/>
                <w:color w:val="auto"/>
              </w:rPr>
            </w:pPr>
          </w:p>
        </w:tc>
        <w:tc>
          <w:tcPr>
            <w:tcW w:w="5200" w:type="dxa"/>
            <w:vAlign w:val="bottom"/>
            <w:vMerge w:val="continue"/>
          </w:tcPr>
          <w:p>
            <w:pPr>
              <w:spacing w:after="0"/>
              <w:rPr>
                <w:sz w:val="6"/>
                <w:szCs w:val="6"/>
                <w:color w:val="auto"/>
              </w:rPr>
            </w:pPr>
          </w:p>
        </w:tc>
        <w:tc>
          <w:tcPr>
            <w:tcW w:w="4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5200" w:type="dxa"/>
            <w:vAlign w:val="bottom"/>
          </w:tcPr>
          <w:p>
            <w:pPr>
              <w:ind w:left="60"/>
              <w:spacing w:after="0" w:line="90" w:lineRule="exact"/>
              <w:rPr>
                <w:sz w:val="20"/>
                <w:szCs w:val="20"/>
                <w:color w:val="auto"/>
              </w:rPr>
            </w:pPr>
            <w:r>
              <w:rPr>
                <w:rFonts w:ascii="Arial" w:cs="Arial" w:eastAsia="Arial" w:hAnsi="Arial"/>
                <w:sz w:val="8"/>
                <w:szCs w:val="8"/>
                <w:color w:val="auto"/>
                <w:w w:val="96"/>
              </w:rPr>
              <w:t>execution during 2020. The global economic conditions have required decisive action, including the suspension of the share buyback programme and</w:t>
            </w:r>
          </w:p>
        </w:tc>
        <w:tc>
          <w:tcPr>
            <w:tcW w:w="4500" w:type="dxa"/>
            <w:vAlign w:val="bottom"/>
          </w:tcPr>
          <w:p>
            <w:pPr>
              <w:spacing w:after="0" w:line="90" w:lineRule="exact"/>
              <w:rPr>
                <w:sz w:val="20"/>
                <w:szCs w:val="20"/>
                <w:color w:val="auto"/>
              </w:rPr>
            </w:pPr>
            <w:r>
              <w:rPr>
                <w:rFonts w:ascii="Arial" w:cs="Arial" w:eastAsia="Arial" w:hAnsi="Arial"/>
                <w:sz w:val="8"/>
                <w:szCs w:val="8"/>
                <w:color w:val="auto"/>
                <w:w w:val="98"/>
              </w:rPr>
              <w:t>Key deliverables included the strong focus on cost discipline and the development of a renewed cash allocation framework which</w:t>
            </w: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5200" w:type="dxa"/>
            <w:vAlign w:val="bottom"/>
          </w:tcPr>
          <w:p>
            <w:pPr>
              <w:ind w:left="60"/>
              <w:spacing w:after="0" w:line="90" w:lineRule="exact"/>
              <w:rPr>
                <w:sz w:val="20"/>
                <w:szCs w:val="20"/>
                <w:color w:val="auto"/>
              </w:rPr>
            </w:pPr>
            <w:r>
              <w:rPr>
                <w:rFonts w:ascii="Arial" w:cs="Arial" w:eastAsia="Arial" w:hAnsi="Arial"/>
                <w:sz w:val="8"/>
                <w:szCs w:val="8"/>
                <w:color w:val="auto"/>
              </w:rPr>
              <w:t>rebasing of the dividend. Shareholder returns are fundamental to the investment case at Shell and the REMCO pays close attention to this when</w:t>
            </w:r>
          </w:p>
        </w:tc>
        <w:tc>
          <w:tcPr>
            <w:tcW w:w="4500" w:type="dxa"/>
            <w:vAlign w:val="bottom"/>
          </w:tcPr>
          <w:p>
            <w:pPr>
              <w:spacing w:after="0" w:line="90" w:lineRule="exact"/>
              <w:rPr>
                <w:sz w:val="20"/>
                <w:szCs w:val="20"/>
                <w:color w:val="auto"/>
              </w:rPr>
            </w:pPr>
            <w:r>
              <w:rPr>
                <w:rFonts w:ascii="Arial" w:cs="Arial" w:eastAsia="Arial" w:hAnsi="Arial"/>
                <w:sz w:val="8"/>
                <w:szCs w:val="8"/>
                <w:color w:val="auto"/>
              </w:rPr>
              <w:t>prioritises: capex and progressive dividend growth; net debt reduction (targeting AA credit metrics in the near term); additional</w:t>
            </w: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5200" w:type="dxa"/>
            <w:vAlign w:val="bottom"/>
          </w:tcPr>
          <w:p>
            <w:pPr>
              <w:ind w:left="60"/>
              <w:spacing w:after="0" w:line="90" w:lineRule="exact"/>
              <w:rPr>
                <w:sz w:val="20"/>
                <w:szCs w:val="20"/>
                <w:color w:val="auto"/>
              </w:rPr>
            </w:pPr>
            <w:r>
              <w:rPr>
                <w:rFonts w:ascii="Arial" w:cs="Arial" w:eastAsia="Arial" w:hAnsi="Arial"/>
                <w:sz w:val="8"/>
                <w:szCs w:val="8"/>
                <w:color w:val="auto"/>
                <w:w w:val="95"/>
              </w:rPr>
              <w:t>considering performance. These were not easy decisions to make, but the Board believes they were necessary to create resilience, and in combination</w:t>
            </w:r>
          </w:p>
        </w:tc>
        <w:tc>
          <w:tcPr>
            <w:tcW w:w="4500" w:type="dxa"/>
            <w:vAlign w:val="bottom"/>
          </w:tcPr>
          <w:p>
            <w:pPr>
              <w:spacing w:after="0" w:line="90" w:lineRule="exact"/>
              <w:rPr>
                <w:sz w:val="20"/>
                <w:szCs w:val="20"/>
                <w:color w:val="auto"/>
              </w:rPr>
            </w:pPr>
            <w:r>
              <w:rPr>
                <w:rFonts w:ascii="Arial" w:cs="Arial" w:eastAsia="Arial" w:hAnsi="Arial"/>
                <w:sz w:val="8"/>
                <w:szCs w:val="8"/>
                <w:color w:val="auto"/>
              </w:rPr>
              <w:t>shareholder distributions; and growth capex.</w:t>
            </w: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5200" w:type="dxa"/>
            <w:vAlign w:val="bottom"/>
          </w:tcPr>
          <w:p>
            <w:pPr>
              <w:ind w:left="60"/>
              <w:spacing w:after="0" w:line="90" w:lineRule="exact"/>
              <w:rPr>
                <w:sz w:val="20"/>
                <w:szCs w:val="20"/>
                <w:color w:val="auto"/>
              </w:rPr>
            </w:pPr>
            <w:r>
              <w:rPr>
                <w:rFonts w:ascii="Arial" w:cs="Arial" w:eastAsia="Arial" w:hAnsi="Arial"/>
                <w:sz w:val="8"/>
                <w:szCs w:val="8"/>
                <w:color w:val="auto"/>
                <w:w w:val="96"/>
              </w:rPr>
              <w:t>with other cost preservation measures have contributed to making Shell stronger operationally and financially. The REMCO recognises the central role</w:t>
            </w:r>
          </w:p>
        </w:tc>
        <w:tc>
          <w:tcPr>
            <w:tcW w:w="4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5200" w:type="dxa"/>
            <w:vAlign w:val="bottom"/>
          </w:tcPr>
          <w:p>
            <w:pPr>
              <w:ind w:left="60"/>
              <w:spacing w:after="0" w:line="90" w:lineRule="exact"/>
              <w:rPr>
                <w:sz w:val="20"/>
                <w:szCs w:val="20"/>
                <w:color w:val="auto"/>
              </w:rPr>
            </w:pPr>
            <w:r>
              <w:rPr>
                <w:rFonts w:ascii="Arial" w:cs="Arial" w:eastAsia="Arial" w:hAnsi="Arial"/>
                <w:sz w:val="8"/>
                <w:szCs w:val="8"/>
                <w:color w:val="auto"/>
              </w:rPr>
              <w:t>of the CEO in providing the direction and clarity of purpose that has guided the Company and underpinned this resilience during a challenging 12</w:t>
            </w:r>
          </w:p>
        </w:tc>
        <w:tc>
          <w:tcPr>
            <w:tcW w:w="4500" w:type="dxa"/>
            <w:vAlign w:val="bottom"/>
          </w:tcPr>
          <w:p>
            <w:pPr>
              <w:spacing w:after="0" w:line="90" w:lineRule="exact"/>
              <w:rPr>
                <w:sz w:val="20"/>
                <w:szCs w:val="20"/>
                <w:color w:val="auto"/>
              </w:rPr>
            </w:pPr>
            <w:r>
              <w:rPr>
                <w:rFonts w:ascii="Arial" w:cs="Arial" w:eastAsia="Arial" w:hAnsi="Arial"/>
                <w:sz w:val="8"/>
                <w:szCs w:val="8"/>
                <w:color w:val="auto"/>
              </w:rPr>
              <w:t>In terms of broader Company performance, the REMCO recognised the strategic insight that the CFO has provided in terms of</w:t>
            </w:r>
          </w:p>
        </w:tc>
        <w:tc>
          <w:tcPr>
            <w:tcW w:w="0" w:type="dxa"/>
            <w:vAlign w:val="bottom"/>
          </w:tcPr>
          <w:p>
            <w:pPr>
              <w:spacing w:after="0"/>
              <w:rPr>
                <w:sz w:val="1"/>
                <w:szCs w:val="1"/>
                <w:color w:val="auto"/>
              </w:rPr>
            </w:pPr>
          </w:p>
        </w:tc>
      </w:tr>
      <w:tr>
        <w:trPr>
          <w:trHeight w:val="111"/>
        </w:trPr>
        <w:tc>
          <w:tcPr>
            <w:tcW w:w="1340" w:type="dxa"/>
            <w:vAlign w:val="bottom"/>
            <w:tcBorders>
              <w:bottom w:val="single" w:sz="8" w:color="494949"/>
            </w:tcBorders>
          </w:tcPr>
          <w:p>
            <w:pPr>
              <w:spacing w:after="0"/>
              <w:rPr>
                <w:sz w:val="9"/>
                <w:szCs w:val="9"/>
                <w:color w:val="auto"/>
              </w:rPr>
            </w:pPr>
          </w:p>
        </w:tc>
        <w:tc>
          <w:tcPr>
            <w:tcW w:w="5200" w:type="dxa"/>
            <w:vAlign w:val="bottom"/>
            <w:tcBorders>
              <w:bottom w:val="single" w:sz="8" w:color="494949"/>
            </w:tcBorders>
          </w:tcPr>
          <w:p>
            <w:pPr>
              <w:ind w:left="60"/>
              <w:spacing w:after="0"/>
              <w:rPr>
                <w:sz w:val="20"/>
                <w:szCs w:val="20"/>
                <w:color w:val="auto"/>
              </w:rPr>
            </w:pPr>
            <w:r>
              <w:rPr>
                <w:rFonts w:ascii="Arial" w:cs="Arial" w:eastAsia="Arial" w:hAnsi="Arial"/>
                <w:sz w:val="8"/>
                <w:szCs w:val="8"/>
                <w:color w:val="auto"/>
              </w:rPr>
              <w:t>months.</w:t>
            </w:r>
          </w:p>
        </w:tc>
        <w:tc>
          <w:tcPr>
            <w:tcW w:w="45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effective capital allocation, and portfolio and investment decisions that improve Shell’s world-class investment case.</w:t>
            </w:r>
          </w:p>
        </w:tc>
        <w:tc>
          <w:tcPr>
            <w:tcW w:w="0" w:type="dxa"/>
            <w:vAlign w:val="bottom"/>
          </w:tcPr>
          <w:p>
            <w:pPr>
              <w:spacing w:after="0"/>
              <w:rPr>
                <w:sz w:val="1"/>
                <w:szCs w:val="1"/>
                <w:color w:val="auto"/>
              </w:rPr>
            </w:pPr>
          </w:p>
        </w:tc>
      </w:tr>
      <w:tr>
        <w:trPr>
          <w:trHeight w:val="100"/>
        </w:trPr>
        <w:tc>
          <w:tcPr>
            <w:tcW w:w="1340" w:type="dxa"/>
            <w:vAlign w:val="bottom"/>
          </w:tcPr>
          <w:p>
            <w:pPr>
              <w:spacing w:after="0"/>
              <w:rPr>
                <w:sz w:val="20"/>
                <w:szCs w:val="20"/>
                <w:color w:val="auto"/>
              </w:rPr>
            </w:pPr>
            <w:r>
              <w:rPr>
                <w:rFonts w:ascii="Arial" w:cs="Arial" w:eastAsia="Arial" w:hAnsi="Arial"/>
                <w:sz w:val="8"/>
                <w:szCs w:val="8"/>
                <w:color w:val="auto"/>
              </w:rPr>
              <w:t>Thrive in the energy transition</w:t>
            </w:r>
          </w:p>
        </w:tc>
        <w:tc>
          <w:tcPr>
            <w:tcW w:w="5200" w:type="dxa"/>
            <w:vAlign w:val="bottom"/>
          </w:tcPr>
          <w:p>
            <w:pPr>
              <w:ind w:left="60"/>
              <w:spacing w:after="0"/>
              <w:rPr>
                <w:sz w:val="20"/>
                <w:szCs w:val="20"/>
                <w:color w:val="auto"/>
              </w:rPr>
            </w:pPr>
            <w:r>
              <w:rPr>
                <w:rFonts w:ascii="Arial" w:cs="Arial" w:eastAsia="Arial" w:hAnsi="Arial"/>
                <w:sz w:val="8"/>
                <w:szCs w:val="8"/>
                <w:color w:val="auto"/>
                <w:w w:val="97"/>
              </w:rPr>
              <w:t>The CEO has continued to lead Shell’s NCF ambition by driving internal plans and targets, and by integrating business and investment decisions with</w:t>
            </w:r>
          </w:p>
        </w:tc>
        <w:tc>
          <w:tcPr>
            <w:tcW w:w="4500" w:type="dxa"/>
            <w:vAlign w:val="bottom"/>
          </w:tcPr>
          <w:p>
            <w:pPr>
              <w:spacing w:after="0" w:line="101" w:lineRule="exact"/>
              <w:rPr>
                <w:sz w:val="20"/>
                <w:szCs w:val="20"/>
                <w:color w:val="auto"/>
              </w:rPr>
            </w:pPr>
            <w:r>
              <w:rPr>
                <w:rFonts w:ascii="Arial" w:cs="Arial" w:eastAsia="Arial" w:hAnsi="Arial"/>
                <w:sz w:val="8"/>
                <w:szCs w:val="8"/>
                <w:color w:val="auto"/>
                <w:w w:val="98"/>
              </w:rPr>
              <w:t>Over the performance period, the CFO has further matured the internal management systems relating to carbon dioxide (</w:t>
            </w:r>
            <w:r>
              <w:rPr>
                <w:rFonts w:ascii="Arial" w:cs="Arial" w:eastAsia="Arial" w:hAnsi="Arial"/>
                <w:sz w:val="9"/>
                <w:szCs w:val="9"/>
                <w:color w:val="auto"/>
                <w:w w:val="98"/>
              </w:rPr>
              <w:t>CO</w:t>
            </w:r>
            <w:r>
              <w:rPr>
                <w:rFonts w:ascii="MS PGothic" w:cs="MS PGothic" w:eastAsia="MS PGothic" w:hAnsi="MS PGothic"/>
                <w:sz w:val="6"/>
                <w:szCs w:val="6"/>
                <w:color w:val="auto"/>
                <w:w w:val="98"/>
              </w:rPr>
              <w:t>₂</w:t>
            </w:r>
            <w:r>
              <w:rPr>
                <w:rFonts w:ascii="Arial" w:cs="Arial" w:eastAsia="Arial" w:hAnsi="Arial"/>
                <w:sz w:val="8"/>
                <w:szCs w:val="8"/>
                <w:color w:val="auto"/>
                <w:w w:val="98"/>
              </w:rPr>
              <w:t>) in</w:t>
            </w:r>
          </w:p>
        </w:tc>
        <w:tc>
          <w:tcPr>
            <w:tcW w:w="0" w:type="dxa"/>
            <w:vAlign w:val="bottom"/>
          </w:tcPr>
          <w:p>
            <w:pPr>
              <w:spacing w:after="0"/>
              <w:rPr>
                <w:sz w:val="1"/>
                <w:szCs w:val="1"/>
                <w:color w:val="auto"/>
              </w:rPr>
            </w:pPr>
          </w:p>
        </w:tc>
      </w:tr>
      <w:tr>
        <w:trPr>
          <w:trHeight w:val="102"/>
        </w:trPr>
        <w:tc>
          <w:tcPr>
            <w:tcW w:w="1340" w:type="dxa"/>
            <w:vAlign w:val="bottom"/>
          </w:tcPr>
          <w:p>
            <w:pPr>
              <w:spacing w:after="0"/>
              <w:rPr>
                <w:sz w:val="8"/>
                <w:szCs w:val="8"/>
                <w:color w:val="auto"/>
              </w:rPr>
            </w:pPr>
          </w:p>
        </w:tc>
        <w:tc>
          <w:tcPr>
            <w:tcW w:w="5200" w:type="dxa"/>
            <w:vAlign w:val="bottom"/>
          </w:tcPr>
          <w:p>
            <w:pPr>
              <w:ind w:left="60"/>
              <w:spacing w:after="0"/>
              <w:rPr>
                <w:sz w:val="20"/>
                <w:szCs w:val="20"/>
                <w:color w:val="auto"/>
              </w:rPr>
            </w:pPr>
            <w:r>
              <w:rPr>
                <w:rFonts w:ascii="Arial" w:cs="Arial" w:eastAsia="Arial" w:hAnsi="Arial"/>
                <w:sz w:val="8"/>
                <w:szCs w:val="8"/>
                <w:color w:val="auto"/>
              </w:rPr>
              <w:t>Shell's longer-term ambitions.</w:t>
            </w:r>
          </w:p>
        </w:tc>
        <w:tc>
          <w:tcPr>
            <w:tcW w:w="4500" w:type="dxa"/>
            <w:vAlign w:val="bottom"/>
          </w:tcPr>
          <w:p>
            <w:pPr>
              <w:spacing w:after="0"/>
              <w:rPr>
                <w:sz w:val="20"/>
                <w:szCs w:val="20"/>
                <w:color w:val="auto"/>
              </w:rPr>
            </w:pPr>
            <w:r>
              <w:rPr>
                <w:rFonts w:ascii="Arial" w:cs="Arial" w:eastAsia="Arial" w:hAnsi="Arial"/>
                <w:sz w:val="8"/>
                <w:szCs w:val="8"/>
                <w:color w:val="auto"/>
              </w:rPr>
              <w:t>decisions about portfolio, planning and resource allocation. The CFO led the publication of the Shell Energy Transition Report,</w:t>
            </w: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5200" w:type="dxa"/>
            <w:vAlign w:val="bottom"/>
            <w:vMerge w:val="restart"/>
          </w:tcPr>
          <w:p>
            <w:pPr>
              <w:ind w:left="60"/>
              <w:spacing w:after="0"/>
              <w:rPr>
                <w:sz w:val="20"/>
                <w:szCs w:val="20"/>
                <w:color w:val="auto"/>
              </w:rPr>
            </w:pPr>
            <w:r>
              <w:rPr>
                <w:rFonts w:ascii="Arial" w:cs="Arial" w:eastAsia="Arial" w:hAnsi="Arial"/>
                <w:sz w:val="8"/>
                <w:szCs w:val="8"/>
                <w:color w:val="auto"/>
              </w:rPr>
              <w:t>In 2020, Shell announced an updated strategic ambition to be a net-zero emissions energy business by 2050, in step with society. It concluded a</w:t>
            </w:r>
          </w:p>
        </w:tc>
        <w:tc>
          <w:tcPr>
            <w:tcW w:w="4500" w:type="dxa"/>
            <w:vAlign w:val="bottom"/>
          </w:tcPr>
          <w:p>
            <w:pPr>
              <w:spacing w:after="0" w:line="90" w:lineRule="exact"/>
              <w:rPr>
                <w:sz w:val="20"/>
                <w:szCs w:val="20"/>
                <w:color w:val="auto"/>
              </w:rPr>
            </w:pPr>
            <w:r>
              <w:rPr>
                <w:rFonts w:ascii="Arial" w:cs="Arial" w:eastAsia="Arial" w:hAnsi="Arial"/>
                <w:sz w:val="8"/>
                <w:szCs w:val="8"/>
                <w:color w:val="auto"/>
                <w:w w:val="96"/>
              </w:rPr>
              <w:t>which is aligned with the recommendations of the Task Force on Climate-related Financial Disclosures (TCFD). The report sets out</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4500" w:type="dxa"/>
            <w:vAlign w:val="bottom"/>
          </w:tcPr>
          <w:p>
            <w:pPr>
              <w:spacing w:after="0" w:line="81" w:lineRule="exact"/>
              <w:rPr>
                <w:sz w:val="20"/>
                <w:szCs w:val="20"/>
                <w:color w:val="auto"/>
              </w:rPr>
            </w:pPr>
            <w:r>
              <w:rPr>
                <w:rFonts w:ascii="Arial" w:cs="Arial" w:eastAsia="Arial" w:hAnsi="Arial"/>
                <w:sz w:val="8"/>
                <w:szCs w:val="8"/>
                <w:color w:val="auto"/>
              </w:rPr>
              <w:t>how Shell plans to be resilient to expected changes in the energy system and how its strategy helps it to thrive as the world</w:t>
            </w: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5200" w:type="dxa"/>
            <w:vAlign w:val="bottom"/>
          </w:tcPr>
          <w:p>
            <w:pPr>
              <w:ind w:left="60"/>
              <w:spacing w:after="0" w:line="90" w:lineRule="exact"/>
              <w:rPr>
                <w:sz w:val="20"/>
                <w:szCs w:val="20"/>
                <w:color w:val="auto"/>
              </w:rPr>
            </w:pPr>
            <w:r>
              <w:rPr>
                <w:rFonts w:ascii="Arial" w:cs="Arial" w:eastAsia="Arial" w:hAnsi="Arial"/>
                <w:sz w:val="8"/>
                <w:szCs w:val="8"/>
                <w:color w:val="auto"/>
                <w:w w:val="96"/>
              </w:rPr>
              <w:t>comprehensive strategy update on how Shell intends to decarbonise energy customers while running legacy businesses for value rather than volume.</w:t>
            </w:r>
          </w:p>
        </w:tc>
        <w:tc>
          <w:tcPr>
            <w:tcW w:w="4500" w:type="dxa"/>
            <w:vAlign w:val="bottom"/>
          </w:tcPr>
          <w:p>
            <w:pPr>
              <w:spacing w:after="0" w:line="90" w:lineRule="exact"/>
              <w:rPr>
                <w:sz w:val="20"/>
                <w:szCs w:val="20"/>
                <w:color w:val="auto"/>
              </w:rPr>
            </w:pPr>
            <w:r>
              <w:rPr>
                <w:rFonts w:ascii="Arial" w:cs="Arial" w:eastAsia="Arial" w:hAnsi="Arial"/>
                <w:sz w:val="8"/>
                <w:szCs w:val="8"/>
                <w:color w:val="auto"/>
              </w:rPr>
              <w:t>transitions to lower-carbon energy.</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200" w:type="dxa"/>
            <w:vAlign w:val="bottom"/>
          </w:tcPr>
          <w:p>
            <w:pPr>
              <w:ind w:left="60"/>
              <w:spacing w:after="0" w:line="81" w:lineRule="exact"/>
              <w:rPr>
                <w:sz w:val="20"/>
                <w:szCs w:val="20"/>
                <w:color w:val="auto"/>
              </w:rPr>
            </w:pPr>
            <w:r>
              <w:rPr>
                <w:rFonts w:ascii="Arial" w:cs="Arial" w:eastAsia="Arial" w:hAnsi="Arial"/>
                <w:sz w:val="8"/>
                <w:szCs w:val="8"/>
                <w:color w:val="auto"/>
                <w:w w:val="98"/>
              </w:rPr>
              <w:t>The design of the new organisation (Project Reshape) necessary to support this strategy update was completed. These activities culminated in the</w:t>
            </w:r>
          </w:p>
        </w:tc>
        <w:tc>
          <w:tcPr>
            <w:tcW w:w="4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5200" w:type="dxa"/>
            <w:vAlign w:val="bottom"/>
          </w:tcPr>
          <w:p>
            <w:pPr>
              <w:ind w:left="60"/>
              <w:spacing w:after="0" w:line="90" w:lineRule="exact"/>
              <w:rPr>
                <w:sz w:val="20"/>
                <w:szCs w:val="20"/>
                <w:color w:val="auto"/>
              </w:rPr>
            </w:pPr>
            <w:r>
              <w:rPr>
                <w:rFonts w:ascii="Arial" w:cs="Arial" w:eastAsia="Arial" w:hAnsi="Arial"/>
                <w:sz w:val="8"/>
                <w:szCs w:val="8"/>
                <w:color w:val="auto"/>
                <w:w w:val="97"/>
              </w:rPr>
              <w:t>updated strategy announced in February 2021. The REMCO acknowledges the fundamental importance of the CEO using these activities to position</w:t>
            </w:r>
          </w:p>
        </w:tc>
        <w:tc>
          <w:tcPr>
            <w:tcW w:w="4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5200" w:type="dxa"/>
            <w:vAlign w:val="bottom"/>
          </w:tcPr>
          <w:p>
            <w:pPr>
              <w:ind w:left="60"/>
              <w:spacing w:after="0"/>
              <w:rPr>
                <w:sz w:val="20"/>
                <w:szCs w:val="20"/>
                <w:color w:val="auto"/>
              </w:rPr>
            </w:pPr>
            <w:r>
              <w:rPr>
                <w:rFonts w:ascii="Arial" w:cs="Arial" w:eastAsia="Arial" w:hAnsi="Arial"/>
                <w:sz w:val="8"/>
                <w:szCs w:val="8"/>
                <w:color w:val="auto"/>
              </w:rPr>
              <w:t>Shell for long-term success in the energy transition.</w:t>
            </w:r>
          </w:p>
        </w:tc>
        <w:tc>
          <w:tcPr>
            <w:tcW w:w="4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Arial" w:cs="Arial" w:eastAsia="Arial" w:hAnsi="Arial"/>
                <w:sz w:val="8"/>
                <w:szCs w:val="8"/>
                <w:color w:val="auto"/>
              </w:rPr>
              <w:t>Externally, the CEO has played a leading role in the energy transition debate through such initiatives as the first joint statement with institutional</w:t>
            </w: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5200" w:type="dxa"/>
            <w:vAlign w:val="bottom"/>
          </w:tcPr>
          <w:p>
            <w:pPr>
              <w:ind w:left="60"/>
              <w:spacing w:after="0" w:line="90" w:lineRule="exact"/>
              <w:rPr>
                <w:sz w:val="20"/>
                <w:szCs w:val="20"/>
                <w:color w:val="auto"/>
              </w:rPr>
            </w:pPr>
            <w:r>
              <w:rPr>
                <w:rFonts w:ascii="Arial" w:cs="Arial" w:eastAsia="Arial" w:hAnsi="Arial"/>
                <w:sz w:val="8"/>
                <w:szCs w:val="8"/>
                <w:color w:val="auto"/>
                <w:w w:val="94"/>
              </w:rPr>
              <w:t>shareholders, encouraging other companies to adopt the NCF methodology. He has been instrumental in galvanising coalitions to start action on sectoral</w:t>
            </w:r>
          </w:p>
        </w:tc>
        <w:tc>
          <w:tcPr>
            <w:tcW w:w="4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5200" w:type="dxa"/>
            <w:vAlign w:val="bottom"/>
          </w:tcPr>
          <w:p>
            <w:pPr>
              <w:ind w:left="60"/>
              <w:spacing w:after="0" w:line="90" w:lineRule="exact"/>
              <w:rPr>
                <w:sz w:val="20"/>
                <w:szCs w:val="20"/>
                <w:color w:val="auto"/>
              </w:rPr>
            </w:pPr>
            <w:r>
              <w:rPr>
                <w:rFonts w:ascii="Arial" w:cs="Arial" w:eastAsia="Arial" w:hAnsi="Arial"/>
                <w:sz w:val="8"/>
                <w:szCs w:val="8"/>
                <w:color w:val="auto"/>
                <w:w w:val="97"/>
              </w:rPr>
              <w:t>decarbonisation. His personal role, for example in the Aviation Clean Skies Initiative, is recognised by both customers and external stakeholders. His</w:t>
            </w:r>
          </w:p>
        </w:tc>
        <w:tc>
          <w:tcPr>
            <w:tcW w:w="4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5200" w:type="dxa"/>
            <w:vAlign w:val="bottom"/>
          </w:tcPr>
          <w:p>
            <w:pPr>
              <w:ind w:left="60"/>
              <w:spacing w:after="0" w:line="90" w:lineRule="exact"/>
              <w:rPr>
                <w:sz w:val="20"/>
                <w:szCs w:val="20"/>
                <w:color w:val="auto"/>
              </w:rPr>
            </w:pPr>
            <w:r>
              <w:rPr>
                <w:rFonts w:ascii="Arial" w:cs="Arial" w:eastAsia="Arial" w:hAnsi="Arial"/>
                <w:sz w:val="8"/>
                <w:szCs w:val="8"/>
                <w:color w:val="auto"/>
                <w:w w:val="97"/>
              </w:rPr>
              <w:t>interventions have helped in shifting the climate agenda towards the practical measures that will be needed for creating sustained demand for lower-</w:t>
            </w:r>
          </w:p>
        </w:tc>
        <w:tc>
          <w:tcPr>
            <w:tcW w:w="4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340" w:type="dxa"/>
            <w:vAlign w:val="bottom"/>
            <w:tcBorders>
              <w:bottom w:val="single" w:sz="8" w:color="494949"/>
            </w:tcBorders>
          </w:tcPr>
          <w:p>
            <w:pPr>
              <w:spacing w:after="0"/>
              <w:rPr>
                <w:sz w:val="9"/>
                <w:szCs w:val="9"/>
                <w:color w:val="auto"/>
              </w:rPr>
            </w:pPr>
          </w:p>
        </w:tc>
        <w:tc>
          <w:tcPr>
            <w:tcW w:w="5200" w:type="dxa"/>
            <w:vAlign w:val="bottom"/>
            <w:tcBorders>
              <w:bottom w:val="single" w:sz="8" w:color="494949"/>
            </w:tcBorders>
          </w:tcPr>
          <w:p>
            <w:pPr>
              <w:ind w:left="60"/>
              <w:spacing w:after="0"/>
              <w:rPr>
                <w:sz w:val="20"/>
                <w:szCs w:val="20"/>
                <w:color w:val="auto"/>
              </w:rPr>
            </w:pPr>
            <w:r>
              <w:rPr>
                <w:rFonts w:ascii="Arial" w:cs="Arial" w:eastAsia="Arial" w:hAnsi="Arial"/>
                <w:sz w:val="8"/>
                <w:szCs w:val="8"/>
                <w:color w:val="auto"/>
              </w:rPr>
              <w:t>carbon products.</w:t>
            </w:r>
          </w:p>
        </w:tc>
        <w:tc>
          <w:tcPr>
            <w:tcW w:w="4500" w:type="dxa"/>
            <w:vAlign w:val="bottom"/>
            <w:tcBorders>
              <w:bottom w:val="single" w:sz="8" w:color="494949"/>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40" w:type="dxa"/>
            <w:vAlign w:val="bottom"/>
          </w:tcPr>
          <w:p>
            <w:pPr>
              <w:spacing w:after="0"/>
              <w:rPr>
                <w:sz w:val="20"/>
                <w:szCs w:val="20"/>
                <w:color w:val="auto"/>
              </w:rPr>
            </w:pPr>
            <w:r>
              <w:rPr>
                <w:rFonts w:ascii="Arial" w:cs="Arial" w:eastAsia="Arial" w:hAnsi="Arial"/>
                <w:sz w:val="8"/>
                <w:szCs w:val="8"/>
                <w:color w:val="auto"/>
                <w:w w:val="98"/>
              </w:rPr>
              <w:t>Strengthen societal licence to operate</w:t>
            </w:r>
          </w:p>
        </w:tc>
        <w:tc>
          <w:tcPr>
            <w:tcW w:w="5200" w:type="dxa"/>
            <w:vAlign w:val="bottom"/>
          </w:tcPr>
          <w:p>
            <w:pPr>
              <w:ind w:left="60"/>
              <w:spacing w:after="0"/>
              <w:rPr>
                <w:sz w:val="20"/>
                <w:szCs w:val="20"/>
                <w:color w:val="auto"/>
              </w:rPr>
            </w:pPr>
            <w:r>
              <w:rPr>
                <w:rFonts w:ascii="Arial" w:cs="Arial" w:eastAsia="Arial" w:hAnsi="Arial"/>
                <w:sz w:val="8"/>
                <w:szCs w:val="8"/>
                <w:color w:val="auto"/>
              </w:rPr>
              <w:t>During 2020, Shell’s priority has been the health and safety of our staff and customers. The REMCO recognises the leadership that the CEO has</w:t>
            </w:r>
          </w:p>
        </w:tc>
        <w:tc>
          <w:tcPr>
            <w:tcW w:w="4500" w:type="dxa"/>
            <w:vAlign w:val="bottom"/>
          </w:tcPr>
          <w:p>
            <w:pPr>
              <w:spacing w:after="0"/>
              <w:rPr>
                <w:sz w:val="20"/>
                <w:szCs w:val="20"/>
                <w:color w:val="auto"/>
              </w:rPr>
            </w:pPr>
            <w:r>
              <w:rPr>
                <w:rFonts w:ascii="Arial" w:cs="Arial" w:eastAsia="Arial" w:hAnsi="Arial"/>
                <w:sz w:val="8"/>
                <w:szCs w:val="8"/>
                <w:color w:val="auto"/>
              </w:rPr>
              <w:t>The CFO maintained a strong financial disclosure, reporting and control framework.</w:t>
            </w: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5200" w:type="dxa"/>
            <w:vAlign w:val="bottom"/>
          </w:tcPr>
          <w:p>
            <w:pPr>
              <w:ind w:left="60"/>
              <w:spacing w:after="0"/>
              <w:rPr>
                <w:sz w:val="20"/>
                <w:szCs w:val="20"/>
                <w:color w:val="auto"/>
              </w:rPr>
            </w:pPr>
            <w:r>
              <w:rPr>
                <w:rFonts w:ascii="Arial" w:cs="Arial" w:eastAsia="Arial" w:hAnsi="Arial"/>
                <w:sz w:val="8"/>
                <w:szCs w:val="8"/>
                <w:color w:val="auto"/>
              </w:rPr>
              <w:t>displayed in setting a tone of care and well-being across the organisation in 2020.</w:t>
            </w:r>
          </w:p>
        </w:tc>
        <w:tc>
          <w:tcPr>
            <w:tcW w:w="4500" w:type="dxa"/>
            <w:vAlign w:val="bottom"/>
            <w:vMerge w:val="restart"/>
          </w:tcPr>
          <w:p>
            <w:pPr>
              <w:spacing w:after="0"/>
              <w:rPr>
                <w:sz w:val="20"/>
                <w:szCs w:val="20"/>
                <w:color w:val="auto"/>
              </w:rPr>
            </w:pPr>
            <w:r>
              <w:rPr>
                <w:rFonts w:ascii="Arial" w:cs="Arial" w:eastAsia="Arial" w:hAnsi="Arial"/>
                <w:sz w:val="8"/>
                <w:szCs w:val="8"/>
                <w:color w:val="auto"/>
                <w:w w:val="96"/>
              </w:rPr>
              <w:t>In 2020, Shell published its second Tax Contribution Report, continuing to provide greater transparency around Shell’s approach to</w:t>
            </w:r>
          </w:p>
        </w:tc>
        <w:tc>
          <w:tcPr>
            <w:tcW w:w="0" w:type="dxa"/>
            <w:vAlign w:val="bottom"/>
          </w:tcPr>
          <w:p>
            <w:pPr>
              <w:spacing w:after="0"/>
              <w:rPr>
                <w:sz w:val="1"/>
                <w:szCs w:val="1"/>
                <w:color w:val="auto"/>
              </w:rPr>
            </w:pPr>
          </w:p>
        </w:tc>
      </w:tr>
      <w:tr>
        <w:trPr>
          <w:trHeight w:val="75"/>
        </w:trPr>
        <w:tc>
          <w:tcPr>
            <w:tcW w:w="1340" w:type="dxa"/>
            <w:vAlign w:val="bottom"/>
          </w:tcPr>
          <w:p>
            <w:pPr>
              <w:spacing w:after="0"/>
              <w:rPr>
                <w:sz w:val="6"/>
                <w:szCs w:val="6"/>
                <w:color w:val="auto"/>
              </w:rPr>
            </w:pPr>
          </w:p>
        </w:tc>
        <w:tc>
          <w:tcPr>
            <w:tcW w:w="5200" w:type="dxa"/>
            <w:vAlign w:val="bottom"/>
          </w:tcPr>
          <w:p>
            <w:pPr>
              <w:spacing w:after="0"/>
              <w:rPr>
                <w:sz w:val="6"/>
                <w:szCs w:val="6"/>
                <w:color w:val="auto"/>
              </w:rPr>
            </w:pPr>
          </w:p>
        </w:tc>
        <w:tc>
          <w:tcPr>
            <w:tcW w:w="4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5200" w:type="dxa"/>
            <w:vAlign w:val="bottom"/>
          </w:tcPr>
          <w:p>
            <w:pPr>
              <w:ind w:left="60"/>
              <w:spacing w:after="0" w:line="90" w:lineRule="exact"/>
              <w:rPr>
                <w:sz w:val="20"/>
                <w:szCs w:val="20"/>
                <w:color w:val="auto"/>
              </w:rPr>
            </w:pPr>
            <w:r>
              <w:rPr>
                <w:rFonts w:ascii="Arial" w:cs="Arial" w:eastAsia="Arial" w:hAnsi="Arial"/>
                <w:sz w:val="8"/>
                <w:szCs w:val="8"/>
                <w:color w:val="auto"/>
              </w:rPr>
              <w:t>In terms of HSSE leadership, there was a notable improvement in both personal and process safety in 2020. The number of fatalities under Shell</w:t>
            </w:r>
          </w:p>
        </w:tc>
        <w:tc>
          <w:tcPr>
            <w:tcW w:w="4500" w:type="dxa"/>
            <w:vAlign w:val="bottom"/>
          </w:tcPr>
          <w:p>
            <w:pPr>
              <w:spacing w:after="0" w:line="90" w:lineRule="exact"/>
              <w:rPr>
                <w:sz w:val="20"/>
                <w:szCs w:val="20"/>
                <w:color w:val="auto"/>
              </w:rPr>
            </w:pPr>
            <w:r>
              <w:rPr>
                <w:rFonts w:ascii="Arial" w:cs="Arial" w:eastAsia="Arial" w:hAnsi="Arial"/>
                <w:sz w:val="8"/>
                <w:szCs w:val="8"/>
                <w:color w:val="auto"/>
                <w:w w:val="94"/>
              </w:rPr>
              <w:t>paying taxes to governments. Over the performance period, the CFO also played a key role in Shell’s endorsement of the responsible</w:t>
            </w: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5200" w:type="dxa"/>
            <w:vAlign w:val="bottom"/>
          </w:tcPr>
          <w:p>
            <w:pPr>
              <w:ind w:left="60"/>
              <w:spacing w:after="0"/>
              <w:rPr>
                <w:sz w:val="20"/>
                <w:szCs w:val="20"/>
                <w:color w:val="auto"/>
              </w:rPr>
            </w:pPr>
            <w:r>
              <w:rPr>
                <w:rFonts w:ascii="Arial" w:cs="Arial" w:eastAsia="Arial" w:hAnsi="Arial"/>
                <w:sz w:val="8"/>
                <w:szCs w:val="8"/>
                <w:color w:val="auto"/>
              </w:rPr>
              <w:t>operational control was zero.</w:t>
            </w:r>
          </w:p>
        </w:tc>
        <w:tc>
          <w:tcPr>
            <w:tcW w:w="4500" w:type="dxa"/>
            <w:vAlign w:val="bottom"/>
          </w:tcPr>
          <w:p>
            <w:pPr>
              <w:spacing w:after="0"/>
              <w:rPr>
                <w:sz w:val="20"/>
                <w:szCs w:val="20"/>
                <w:color w:val="auto"/>
              </w:rPr>
            </w:pPr>
            <w:r>
              <w:rPr>
                <w:rFonts w:ascii="Arial" w:cs="Arial" w:eastAsia="Arial" w:hAnsi="Arial"/>
                <w:sz w:val="8"/>
                <w:szCs w:val="8"/>
                <w:color w:val="auto"/>
              </w:rPr>
              <w:t>tax principles set out by the non-profit organisation, The B Team.</w:t>
            </w:r>
          </w:p>
        </w:tc>
        <w:tc>
          <w:tcPr>
            <w:tcW w:w="0" w:type="dxa"/>
            <w:vAlign w:val="bottom"/>
          </w:tcPr>
          <w:p>
            <w:pPr>
              <w:spacing w:after="0"/>
              <w:rPr>
                <w:sz w:val="1"/>
                <w:szCs w:val="1"/>
                <w:color w:val="auto"/>
              </w:rPr>
            </w:pPr>
          </w:p>
        </w:tc>
      </w:tr>
      <w:tr>
        <w:trPr>
          <w:trHeight w:val="186"/>
        </w:trPr>
        <w:tc>
          <w:tcPr>
            <w:tcW w:w="1340" w:type="dxa"/>
            <w:vAlign w:val="bottom"/>
            <w:tcBorders>
              <w:bottom w:val="single" w:sz="8" w:color="auto"/>
            </w:tcBorders>
          </w:tcPr>
          <w:p>
            <w:pPr>
              <w:spacing w:after="0"/>
              <w:rPr>
                <w:sz w:val="16"/>
                <w:szCs w:val="16"/>
                <w:color w:val="auto"/>
              </w:rPr>
            </w:pPr>
          </w:p>
        </w:tc>
        <w:tc>
          <w:tcPr>
            <w:tcW w:w="520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w w:val="97"/>
              </w:rPr>
              <w:t>In 2019, Shell published the Industry Associations Climate Review, which assesses alignment with 19 industry associations on climate-related policy.</w:t>
            </w:r>
          </w:p>
        </w:tc>
        <w:tc>
          <w:tcPr>
            <w:tcW w:w="4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ectPr>
          <w:pgSz w:w="11900" w:h="16838" w:orient="portrait"/>
          <w:cols w:equalWidth="0" w:num="1">
            <w:col w:w="11308"/>
          </w:cols>
          <w:pgMar w:left="292" w:top="640" w:right="299" w:bottom="1440" w:gutter="0" w:footer="0" w:header="0"/>
        </w:sectPr>
      </w:pPr>
    </w:p>
    <w:p>
      <w:pPr>
        <w:ind w:left="8"/>
        <w:spacing w:after="0" w:line="300" w:lineRule="auto"/>
        <w:rPr>
          <w:sz w:val="20"/>
          <w:szCs w:val="20"/>
          <w:color w:val="auto"/>
        </w:rPr>
      </w:pPr>
      <w:r>
        <w:rPr>
          <w:rFonts w:ascii="Arial" w:cs="Arial" w:eastAsia="Arial" w:hAnsi="Arial"/>
          <w:sz w:val="8"/>
          <w:szCs w:val="8"/>
          <w:color w:val="auto"/>
        </w:rPr>
        <w:t>The REMCO considered the single-figure outcomes for the CEO and CFO. It noted that the overall remuneration outcomes were 41% (CEO) and 38% (CFO) lower than in 2019. The REMCO was satisfied that these single-figure outcomes represented a fair level of remuneration. In deciding this, the REMCO took account of the challenging global economic conditions in 2020, and the steps necessary to reinforce the financial strength and resilience of Shell. It also considered the strong and positive leadership shown in setting out a clear strategic direction for Shell and ensuring it was supported by the necessary organisational design</w:t>
      </w:r>
      <w:r>
        <w:rPr>
          <w:rFonts w:ascii="Arial" w:cs="Arial" w:eastAsia="Arial" w:hAnsi="Arial"/>
          <w:sz w:val="8"/>
          <w:szCs w:val="8"/>
          <w:color w:val="595959"/>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0"/>
          <w:szCs w:val="10"/>
          <w:color w:val="auto"/>
        </w:rPr>
        <w:t>In finalising its remuneration decisions for 2020, the REMCO considered a range of factors, including:</w:t>
      </w:r>
    </w:p>
    <w:p>
      <w:pPr>
        <w:ind w:left="88" w:hanging="88"/>
        <w:spacing w:after="0" w:line="227" w:lineRule="auto"/>
        <w:tabs>
          <w:tab w:leader="none" w:pos="88" w:val="left"/>
        </w:tabs>
        <w:numPr>
          <w:ilvl w:val="0"/>
          <w:numId w:val="120"/>
        </w:numPr>
        <w:rPr>
          <w:rFonts w:ascii="Arial" w:cs="Arial" w:eastAsia="Arial" w:hAnsi="Arial"/>
          <w:sz w:val="10"/>
          <w:szCs w:val="10"/>
          <w:color w:val="auto"/>
        </w:rPr>
      </w:pPr>
      <w:r>
        <w:rPr>
          <w:rFonts w:ascii="Arial" w:cs="Arial" w:eastAsia="Arial" w:hAnsi="Arial"/>
          <w:sz w:val="10"/>
          <w:szCs w:val="10"/>
          <w:color w:val="auto"/>
        </w:rPr>
        <w:t>Shell’s performance in 2020 and over the LTIP performance period 2018-2020;</w:t>
      </w:r>
    </w:p>
    <w:p>
      <w:pPr>
        <w:ind w:left="108" w:right="80" w:hanging="108"/>
        <w:spacing w:after="0" w:line="225" w:lineRule="auto"/>
        <w:tabs>
          <w:tab w:leader="none" w:pos="103" w:val="left"/>
        </w:tabs>
        <w:numPr>
          <w:ilvl w:val="0"/>
          <w:numId w:val="120"/>
        </w:numPr>
        <w:rPr>
          <w:rFonts w:ascii="Arial" w:cs="Arial" w:eastAsia="Arial" w:hAnsi="Arial"/>
          <w:sz w:val="10"/>
          <w:szCs w:val="10"/>
          <w:color w:val="auto"/>
        </w:rPr>
      </w:pPr>
      <w:r>
        <w:rPr>
          <w:rFonts w:ascii="Arial" w:cs="Arial" w:eastAsia="Arial" w:hAnsi="Arial"/>
          <w:sz w:val="10"/>
          <w:szCs w:val="10"/>
          <w:color w:val="auto"/>
        </w:rPr>
        <w:t>potential risk adjustment considerations, including safety, ethics and compliance and feedback from the Audit Committee and the Safety, Environment and Sustainability Committee;</w:t>
      </w:r>
    </w:p>
    <w:p>
      <w:pPr>
        <w:ind w:left="88" w:hanging="88"/>
        <w:spacing w:after="0" w:line="236" w:lineRule="auto"/>
        <w:tabs>
          <w:tab w:leader="none" w:pos="88" w:val="left"/>
        </w:tabs>
        <w:numPr>
          <w:ilvl w:val="0"/>
          <w:numId w:val="120"/>
        </w:numPr>
        <w:rPr>
          <w:rFonts w:ascii="Arial" w:cs="Arial" w:eastAsia="Arial" w:hAnsi="Arial"/>
          <w:sz w:val="10"/>
          <w:szCs w:val="10"/>
          <w:color w:val="auto"/>
        </w:rPr>
      </w:pPr>
      <w:r>
        <w:rPr>
          <w:rFonts w:ascii="Arial" w:cs="Arial" w:eastAsia="Arial" w:hAnsi="Arial"/>
          <w:sz w:val="10"/>
          <w:szCs w:val="10"/>
          <w:color w:val="auto"/>
        </w:rPr>
        <w:t>the actions taken to protect value, strengthen the balance sheet and preserve cash;</w:t>
      </w:r>
    </w:p>
    <w:p>
      <w:pPr>
        <w:ind w:left="88" w:hanging="88"/>
        <w:spacing w:after="0"/>
        <w:tabs>
          <w:tab w:leader="none" w:pos="88"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final LTIP vesting outcome;</w:t>
      </w:r>
    </w:p>
    <w:p>
      <w:pPr>
        <w:ind w:left="88" w:hanging="88"/>
        <w:spacing w:after="0" w:line="236" w:lineRule="auto"/>
        <w:tabs>
          <w:tab w:leader="none" w:pos="88" w:val="left"/>
        </w:tabs>
        <w:numPr>
          <w:ilvl w:val="0"/>
          <w:numId w:val="120"/>
        </w:numPr>
        <w:rPr>
          <w:rFonts w:ascii="Arial" w:cs="Arial" w:eastAsia="Arial" w:hAnsi="Arial"/>
          <w:sz w:val="10"/>
          <w:szCs w:val="10"/>
          <w:color w:val="auto"/>
        </w:rPr>
      </w:pPr>
      <w:r>
        <w:rPr>
          <w:rFonts w:ascii="Arial" w:cs="Arial" w:eastAsia="Arial" w:hAnsi="Arial"/>
          <w:sz w:val="10"/>
          <w:szCs w:val="10"/>
          <w:color w:val="auto"/>
        </w:rPr>
        <w:t>the internal relativity of remuneration compared with the variable pay outcomes for the general workforce;</w:t>
      </w:r>
    </w:p>
    <w:p>
      <w:pPr>
        <w:ind w:left="108" w:hanging="108"/>
        <w:spacing w:after="0" w:line="231" w:lineRule="auto"/>
        <w:tabs>
          <w:tab w:leader="none" w:pos="112" w:val="left"/>
        </w:tabs>
        <w:numPr>
          <w:ilvl w:val="0"/>
          <w:numId w:val="120"/>
        </w:numPr>
        <w:rPr>
          <w:rFonts w:ascii="Arial" w:cs="Arial" w:eastAsia="Arial" w:hAnsi="Arial"/>
          <w:sz w:val="10"/>
          <w:szCs w:val="10"/>
          <w:color w:val="auto"/>
        </w:rPr>
      </w:pPr>
      <w:r>
        <w:rPr>
          <w:rFonts w:ascii="Arial" w:cs="Arial" w:eastAsia="Arial" w:hAnsi="Arial"/>
          <w:sz w:val="10"/>
          <w:szCs w:val="10"/>
          <w:color w:val="auto"/>
        </w:rPr>
        <w:t>government support received in 2020. Most of this support was automatic, such as around SGD 55 million under the Singaporean Job Support Scheme and £20 million of business rate relief in the UK. Relief which Shell has applied for is very limited, with the most notable being CAD 34</w:t>
      </w:r>
    </w:p>
    <w:p>
      <w:pPr>
        <w:spacing w:after="0" w:line="20" w:lineRule="exact"/>
        <w:rPr>
          <w:sz w:val="20"/>
          <w:szCs w:val="20"/>
          <w:color w:val="auto"/>
        </w:rPr>
      </w:pPr>
      <w:r>
        <w:rPr>
          <w:sz w:val="20"/>
          <w:szCs w:val="20"/>
          <w:color w:val="auto"/>
        </w:rPr>
        <w:br w:type="column"/>
      </w:r>
    </w:p>
    <w:p>
      <w:pPr>
        <w:ind w:left="120" w:right="120"/>
        <w:spacing w:after="0" w:line="286" w:lineRule="auto"/>
        <w:rPr>
          <w:sz w:val="20"/>
          <w:szCs w:val="20"/>
          <w:color w:val="auto"/>
        </w:rPr>
      </w:pPr>
      <w:r>
        <w:rPr>
          <w:rFonts w:ascii="Arial" w:cs="Arial" w:eastAsia="Arial" w:hAnsi="Arial"/>
          <w:sz w:val="8"/>
          <w:szCs w:val="8"/>
          <w:color w:val="auto"/>
        </w:rPr>
        <w:t>million received under the Canadian Emergency Wage Subsidy scheme. Careful consideration was given prior to making an application as to whether it was appropriate to take this support. We are comfortable that doing so was appropriate from a Canadian perspective and consistent with doing all that we could to protect jobs and care for employees in the worst phase of the crisis, many of whom work in small communities. The REMCO reviewed and was satisfied that this support had no impact on the mathematical vesting outcome of the LTIP;</w:t>
      </w:r>
    </w:p>
    <w:p>
      <w:pPr>
        <w:ind w:left="100" w:hanging="91"/>
        <w:spacing w:after="0" w:line="228" w:lineRule="auto"/>
        <w:tabs>
          <w:tab w:leader="none" w:pos="100" w:val="left"/>
        </w:tabs>
        <w:numPr>
          <w:ilvl w:val="0"/>
          <w:numId w:val="121"/>
        </w:numPr>
        <w:rPr>
          <w:rFonts w:ascii="Arial" w:cs="Arial" w:eastAsia="Arial" w:hAnsi="Arial"/>
          <w:sz w:val="10"/>
          <w:szCs w:val="10"/>
          <w:color w:val="auto"/>
        </w:rPr>
      </w:pPr>
      <w:r>
        <w:rPr>
          <w:rFonts w:ascii="Arial" w:cs="Arial" w:eastAsia="Arial" w:hAnsi="Arial"/>
          <w:sz w:val="10"/>
          <w:szCs w:val="10"/>
          <w:color w:val="auto"/>
        </w:rPr>
        <w:t>the alignment of the Executive Directors with the shareholder experience through their high shareholding requirements;</w:t>
      </w:r>
    </w:p>
    <w:p>
      <w:pPr>
        <w:ind w:left="120" w:right="220" w:hanging="111"/>
        <w:spacing w:after="0" w:line="206" w:lineRule="auto"/>
        <w:tabs>
          <w:tab w:leader="none" w:pos="115" w:val="left"/>
        </w:tabs>
        <w:numPr>
          <w:ilvl w:val="0"/>
          <w:numId w:val="121"/>
        </w:numPr>
        <w:rPr>
          <w:rFonts w:ascii="Arial" w:cs="Arial" w:eastAsia="Arial" w:hAnsi="Arial"/>
          <w:sz w:val="10"/>
          <w:szCs w:val="10"/>
          <w:color w:val="auto"/>
        </w:rPr>
      </w:pPr>
      <w:r>
        <w:rPr>
          <w:rFonts w:ascii="Arial" w:cs="Arial" w:eastAsia="Arial" w:hAnsi="Arial"/>
          <w:sz w:val="10"/>
          <w:szCs w:val="10"/>
          <w:color w:val="auto"/>
        </w:rPr>
        <w:t>the decision that there should be no 2020 annual bonuses, which took into account business performance, impairments, dividend changes and the use of limited government support;</w:t>
      </w:r>
    </w:p>
    <w:p>
      <w:pPr>
        <w:ind w:left="100" w:hanging="91"/>
        <w:spacing w:after="0" w:line="225" w:lineRule="auto"/>
        <w:tabs>
          <w:tab w:leader="none" w:pos="100" w:val="left"/>
        </w:tabs>
        <w:numPr>
          <w:ilvl w:val="0"/>
          <w:numId w:val="121"/>
        </w:numPr>
        <w:rPr>
          <w:rFonts w:ascii="Arial" w:cs="Arial" w:eastAsia="Arial" w:hAnsi="Arial"/>
          <w:sz w:val="10"/>
          <w:szCs w:val="10"/>
          <w:color w:val="auto"/>
        </w:rPr>
      </w:pPr>
      <w:r>
        <w:rPr>
          <w:rFonts w:ascii="Arial" w:cs="Arial" w:eastAsia="Arial" w:hAnsi="Arial"/>
          <w:sz w:val="10"/>
          <w:szCs w:val="10"/>
          <w:color w:val="auto"/>
        </w:rPr>
        <w:t>feedback from shareholders regarding the appropriate pay outcomes in light of the COVID-19 pandemic; and</w:t>
      </w:r>
    </w:p>
    <w:p>
      <w:pPr>
        <w:ind w:left="100" w:hanging="91"/>
        <w:spacing w:after="0" w:line="236" w:lineRule="auto"/>
        <w:tabs>
          <w:tab w:leader="none" w:pos="100" w:val="left"/>
        </w:tabs>
        <w:numPr>
          <w:ilvl w:val="0"/>
          <w:numId w:val="121"/>
        </w:numPr>
        <w:rPr>
          <w:rFonts w:ascii="Arial" w:cs="Arial" w:eastAsia="Arial" w:hAnsi="Arial"/>
          <w:sz w:val="10"/>
          <w:szCs w:val="10"/>
          <w:color w:val="auto"/>
        </w:rPr>
      </w:pPr>
      <w:r>
        <w:rPr>
          <w:rFonts w:ascii="Arial" w:cs="Arial" w:eastAsia="Arial" w:hAnsi="Arial"/>
          <w:sz w:val="10"/>
          <w:szCs w:val="10"/>
          <w:color w:val="auto"/>
        </w:rPr>
        <w:t>the personal performance of the Executive Directors.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After reflecting on the above factors, the REMCO was satisfied that the remuneration policies had operated as intended.</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Pension</w:t>
      </w:r>
    </w:p>
    <w:p>
      <w:pPr>
        <w:spacing w:after="0" w:line="1" w:lineRule="exact"/>
        <w:rPr>
          <w:sz w:val="20"/>
          <w:szCs w:val="20"/>
          <w:color w:val="auto"/>
        </w:rPr>
      </w:pPr>
    </w:p>
    <w:p>
      <w:pPr>
        <w:ind w:right="140"/>
        <w:spacing w:after="0" w:line="229" w:lineRule="auto"/>
        <w:rPr>
          <w:sz w:val="20"/>
          <w:szCs w:val="20"/>
          <w:color w:val="auto"/>
        </w:rPr>
      </w:pPr>
      <w:r>
        <w:rPr>
          <w:rFonts w:ascii="Arial" w:cs="Arial" w:eastAsia="Arial" w:hAnsi="Arial"/>
          <w:sz w:val="10"/>
          <w:szCs w:val="10"/>
          <w:color w:val="auto"/>
        </w:rPr>
        <w:t>Ben van Beurden’s pension arrangements comprise a defined benefit plan with a maximum pensionable salary of €98,993; and a net pay defined contribution pension plan with a 2020 employer contribution of 27% of salary in excess of €98,993. He has the option to take cash as an</w:t>
      </w:r>
    </w:p>
    <w:p>
      <w:pPr>
        <w:spacing w:after="0" w:line="208" w:lineRule="exact"/>
        <w:rPr>
          <w:sz w:val="20"/>
          <w:szCs w:val="20"/>
          <w:color w:val="auto"/>
        </w:rPr>
      </w:pPr>
    </w:p>
    <w:p>
      <w:pPr>
        <w:sectPr>
          <w:pgSz w:w="11900" w:h="16838" w:orient="portrait"/>
          <w:cols w:equalWidth="0" w:num="2">
            <w:col w:w="5428" w:space="300"/>
            <w:col w:w="5580"/>
          </w:cols>
          <w:pgMar w:left="292" w:top="640" w:right="299" w:bottom="1440" w:gutter="0" w:footer="0" w:header="0"/>
          <w:type w:val="continuous"/>
        </w:sectPr>
      </w:pP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125</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128" w:name="page129"/>
    <w:bookmarkEnd w:id="128"/>
    <w:p>
      <w:pPr>
        <w:ind w:left="8" w:right="400"/>
        <w:spacing w:after="0" w:line="239" w:lineRule="auto"/>
        <w:rPr>
          <w:sz w:val="20"/>
          <w:szCs w:val="20"/>
          <w:color w:val="auto"/>
        </w:rPr>
      </w:pPr>
      <w:r>
        <w:rPr>
          <w:rFonts w:ascii="Arial" w:cs="Arial" w:eastAsia="Arial" w:hAnsi="Arial"/>
          <w:sz w:val="10"/>
          <w:szCs w:val="10"/>
          <w:color w:val="auto"/>
        </w:rPr>
        <w:t>alternative to pension contributions (in either case subject to income tax) and elected to take his benefit in the form of contributions throughout 2020.</w:t>
      </w:r>
    </w:p>
    <w:p>
      <w:pPr>
        <w:spacing w:after="0" w:line="149" w:lineRule="exact"/>
        <w:rPr>
          <w:sz w:val="20"/>
          <w:szCs w:val="20"/>
          <w:color w:val="auto"/>
        </w:rPr>
      </w:pPr>
    </w:p>
    <w:p>
      <w:pPr>
        <w:ind w:left="8" w:right="160"/>
        <w:spacing w:after="0" w:line="358" w:lineRule="auto"/>
        <w:rPr>
          <w:sz w:val="20"/>
          <w:szCs w:val="20"/>
          <w:color w:val="auto"/>
        </w:rPr>
      </w:pPr>
      <w:r>
        <w:rPr>
          <w:rFonts w:ascii="Arial" w:cs="Arial" w:eastAsia="Arial" w:hAnsi="Arial"/>
          <w:sz w:val="8"/>
          <w:szCs w:val="8"/>
          <w:color w:val="auto"/>
        </w:rPr>
        <w:t>The employer contribution levels are in line with those applicable to other Netherlands-based employees. Under the Dutch pension regulations applicable to the pension arrangement in which he participates, the contribution rate increases with age and is shown opposite.</w:t>
      </w:r>
    </w:p>
    <w:p>
      <w:pPr>
        <w:spacing w:after="0" w:line="104" w:lineRule="exact"/>
        <w:rPr>
          <w:sz w:val="20"/>
          <w:szCs w:val="20"/>
          <w:color w:val="auto"/>
        </w:rPr>
      </w:pPr>
    </w:p>
    <w:p>
      <w:pPr>
        <w:jc w:val="both"/>
        <w:ind w:left="8"/>
        <w:spacing w:after="0" w:line="234" w:lineRule="auto"/>
        <w:rPr>
          <w:sz w:val="20"/>
          <w:szCs w:val="20"/>
          <w:color w:val="auto"/>
        </w:rPr>
      </w:pPr>
      <w:r>
        <w:rPr>
          <w:rFonts w:ascii="Arial" w:cs="Arial" w:eastAsia="Arial" w:hAnsi="Arial"/>
          <w:sz w:val="10"/>
          <w:szCs w:val="10"/>
          <w:color w:val="auto"/>
        </w:rPr>
        <w:t>At December 31, 2020, the average employer contribution rate for Netherlands employees who participate in the net pay defined contribution pension arrangement on the same terms as Ben van Beurden was 20%. For reference, in the UK, the average employer contribution rate to the Shell UK defined contribution plan is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885950" cy="16173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885950" cy="1617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120"/>
        <w:spacing w:after="0" w:line="292" w:lineRule="auto"/>
        <w:rPr>
          <w:sz w:val="20"/>
          <w:szCs w:val="20"/>
          <w:color w:val="auto"/>
        </w:rPr>
      </w:pPr>
      <w:r>
        <w:rPr>
          <w:rFonts w:ascii="Arial" w:cs="Arial" w:eastAsia="Arial" w:hAnsi="Arial"/>
          <w:sz w:val="8"/>
          <w:szCs w:val="8"/>
          <w:color w:val="auto"/>
        </w:rPr>
        <w:t>Jessica Uhl is a member of the Shell US retirement benefit arrangements, which include the Shell Pension Plan (a defined benefit plan), and a defined contribution plan where she receives an employer contribution of 10% of salary. This is the same as the average employer contribution rate for US employees, which was 10%. As for all other pre-2013 members of the Shell Pension Plan, she has an annual choice of two accrual formulas with different forms of benefits, one in the form of a lifetime annuity and the other allowing for a lump-sum payment. She elected to accrue benefits for 2020 under the former. Around 10,000 out of 17,000 Shell US employees have the option of choosing between the two formulas. These arrangements are the same for all employees who joined Shell US at the same time as Jessica Uhl. The difference in pension provision for Jessica Uhl, compared with employees who joined pre-2013, is that her bonus is not pensionable as an Executive Director while for other relevant US employees the bonus is pensionable. She also has a deferred Dutch defined benefit pension plan, as a result of a prior Shell assignment on local Dutch terms and conditions.</w:t>
      </w:r>
    </w:p>
    <w:p>
      <w:pPr>
        <w:spacing w:after="0" w:line="239" w:lineRule="exact"/>
        <w:rPr>
          <w:sz w:val="20"/>
          <w:szCs w:val="20"/>
          <w:color w:val="auto"/>
        </w:rPr>
      </w:pPr>
    </w:p>
    <w:p>
      <w:pPr>
        <w:ind w:right="120"/>
        <w:spacing w:after="0" w:line="358" w:lineRule="auto"/>
        <w:rPr>
          <w:sz w:val="20"/>
          <w:szCs w:val="20"/>
          <w:color w:val="auto"/>
        </w:rPr>
      </w:pPr>
      <w:r>
        <w:rPr>
          <w:rFonts w:ascii="Arial" w:cs="Arial" w:eastAsia="Arial" w:hAnsi="Arial"/>
          <w:sz w:val="8"/>
          <w:szCs w:val="8"/>
          <w:color w:val="auto"/>
        </w:rPr>
        <w:t>The REMCO believes these arrangements are aligned with corporate governance developments in the UK which emphasise the desirability of Executive Directors’ pension arrangements being the same as those for the general employee population.</w:t>
      </w:r>
    </w:p>
    <w:p>
      <w:pPr>
        <w:spacing w:after="0" w:line="200" w:lineRule="exact"/>
        <w:rPr>
          <w:sz w:val="20"/>
          <w:szCs w:val="20"/>
          <w:color w:val="auto"/>
        </w:rPr>
      </w:pPr>
    </w:p>
    <w:p>
      <w:pPr>
        <w:sectPr>
          <w:pgSz w:w="11900" w:h="16838" w:orient="portrait"/>
          <w:cols w:equalWidth="0" w:num="2">
            <w:col w:w="5448" w:space="280"/>
            <w:col w:w="5580"/>
          </w:cols>
          <w:pgMar w:left="292" w:top="64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
        <w:spacing w:after="0"/>
        <w:rPr>
          <w:sz w:val="20"/>
          <w:szCs w:val="20"/>
          <w:color w:val="auto"/>
        </w:rPr>
      </w:pPr>
      <w:r>
        <w:rPr>
          <w:rFonts w:ascii="Arial" w:cs="Arial" w:eastAsia="Arial" w:hAnsi="Arial"/>
          <w:sz w:val="10"/>
          <w:szCs w:val="10"/>
          <w:color w:val="auto"/>
        </w:rPr>
        <w:t>Scheme interests awarded in 2020</w:t>
      </w:r>
    </w:p>
    <w:p>
      <w:pPr>
        <w:ind w:left="8"/>
        <w:spacing w:after="0"/>
        <w:rPr>
          <w:sz w:val="20"/>
          <w:szCs w:val="20"/>
          <w:color w:val="auto"/>
        </w:rPr>
      </w:pPr>
      <w:r>
        <w:rPr>
          <w:rFonts w:ascii="Arial" w:cs="Arial" w:eastAsia="Arial" w:hAnsi="Arial"/>
          <w:sz w:val="10"/>
          <w:szCs w:val="10"/>
          <w:color w:val="auto"/>
        </w:rPr>
        <w:t>Scheme interests awarded to Executive Directors in 2020 (audited)</w:t>
      </w:r>
    </w:p>
    <w:p>
      <w:pPr>
        <w:spacing w:after="0" w:line="44" w:lineRule="exact"/>
        <w:rPr>
          <w:sz w:val="20"/>
          <w:szCs w:val="20"/>
          <w:color w:val="auto"/>
        </w:rPr>
      </w:pPr>
    </w:p>
    <w:tbl>
      <w:tblPr>
        <w:tblLayout w:type="fixed"/>
        <w:tblInd w:w="8" w:type="dxa"/>
        <w:tblCellMar>
          <w:top w:w="0" w:type="dxa"/>
          <w:left w:w="0" w:type="dxa"/>
          <w:bottom w:w="0" w:type="dxa"/>
          <w:right w:w="0" w:type="dxa"/>
        </w:tblCellMar>
      </w:tblPr>
      <w:tr>
        <w:trPr>
          <w:trHeight w:val="111"/>
        </w:trPr>
        <w:tc>
          <w:tcPr>
            <w:tcW w:w="1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Potential amount vesting</w:t>
            </w:r>
          </w:p>
        </w:tc>
      </w:tr>
      <w:tr>
        <w:trPr>
          <w:trHeight w:val="193"/>
        </w:trPr>
        <w:tc>
          <w:tcPr>
            <w:tcW w:w="16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Arial" w:cs="Arial" w:eastAsia="Arial" w:hAnsi="Arial"/>
                <w:sz w:val="8"/>
                <w:szCs w:val="8"/>
                <w:color w:val="auto"/>
              </w:rPr>
              <w:t>End of performance</w:t>
            </w:r>
          </w:p>
        </w:tc>
        <w:tc>
          <w:tcPr>
            <w:tcW w:w="38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8"/>
                <w:szCs w:val="8"/>
                <w:color w:val="auto"/>
              </w:rPr>
              <w:t>Minimum performance (% of shares</w:t>
            </w:r>
          </w:p>
        </w:tc>
        <w:tc>
          <w:tcPr>
            <w:tcW w:w="1700" w:type="dxa"/>
            <w:vAlign w:val="bottom"/>
          </w:tcPr>
          <w:p>
            <w:pPr>
              <w:jc w:val="right"/>
              <w:spacing w:after="0"/>
              <w:rPr>
                <w:sz w:val="20"/>
                <w:szCs w:val="20"/>
                <w:color w:val="auto"/>
              </w:rPr>
            </w:pPr>
            <w:r>
              <w:rPr>
                <w:rFonts w:ascii="Arial" w:cs="Arial" w:eastAsia="Arial" w:hAnsi="Arial"/>
                <w:sz w:val="8"/>
                <w:szCs w:val="8"/>
                <w:color w:val="auto"/>
                <w:w w:val="95"/>
              </w:rPr>
              <w:t>Maximum performance (% of shares of the target</w:t>
            </w:r>
          </w:p>
        </w:tc>
      </w:tr>
      <w:tr>
        <w:trPr>
          <w:trHeight w:val="111"/>
        </w:trPr>
        <w:tc>
          <w:tcPr>
            <w:tcW w:w="16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Scheme interest type</w:t>
            </w:r>
          </w:p>
        </w:tc>
        <w:tc>
          <w:tcPr>
            <w:tcW w:w="1760" w:type="dxa"/>
            <w:vAlign w:val="bottom"/>
            <w:tcBorders>
              <w:bottom w:val="single" w:sz="8" w:color="auto"/>
            </w:tcBorders>
          </w:tcPr>
          <w:p>
            <w:pPr>
              <w:ind w:left="880"/>
              <w:spacing w:after="0"/>
              <w:rPr>
                <w:sz w:val="20"/>
                <w:szCs w:val="20"/>
                <w:color w:val="auto"/>
              </w:rPr>
            </w:pPr>
            <w:r>
              <w:rPr>
                <w:rFonts w:ascii="Arial" w:cs="Arial" w:eastAsia="Arial" w:hAnsi="Arial"/>
                <w:sz w:val="8"/>
                <w:szCs w:val="8"/>
                <w:color w:val="auto"/>
                <w:w w:val="97"/>
              </w:rPr>
              <w:t>Type of interest awarded</w:t>
            </w: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8"/>
                <w:szCs w:val="8"/>
                <w:color w:val="auto"/>
              </w:rPr>
              <w:t>period</w:t>
            </w:r>
          </w:p>
        </w:tc>
        <w:tc>
          <w:tcPr>
            <w:tcW w:w="3880" w:type="dxa"/>
            <w:vAlign w:val="bottom"/>
            <w:tcBorders>
              <w:bottom w:val="single" w:sz="8" w:color="auto"/>
            </w:tcBorders>
          </w:tcPr>
          <w:p>
            <w:pPr>
              <w:ind w:left="120"/>
              <w:spacing w:after="0"/>
              <w:rPr>
                <w:sz w:val="20"/>
                <w:szCs w:val="20"/>
                <w:color w:val="auto"/>
              </w:rPr>
            </w:pPr>
            <w:r>
              <w:rPr>
                <w:rFonts w:ascii="Arial" w:cs="Arial" w:eastAsia="Arial" w:hAnsi="Arial"/>
                <w:sz w:val="8"/>
                <w:szCs w:val="8"/>
                <w:color w:val="auto"/>
              </w:rPr>
              <w:t>Target award [A]</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awarded) [B]</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award) [A]</w:t>
            </w:r>
          </w:p>
        </w:tc>
      </w:tr>
      <w:tr>
        <w:trPr>
          <w:trHeight w:val="94"/>
        </w:trPr>
        <w:tc>
          <w:tcPr>
            <w:tcW w:w="1600" w:type="dxa"/>
            <w:vAlign w:val="bottom"/>
          </w:tcPr>
          <w:p>
            <w:pPr>
              <w:spacing w:after="0"/>
              <w:rPr>
                <w:sz w:val="20"/>
                <w:szCs w:val="20"/>
                <w:color w:val="auto"/>
              </w:rPr>
            </w:pPr>
            <w:r>
              <w:rPr>
                <w:rFonts w:ascii="Arial" w:cs="Arial" w:eastAsia="Arial" w:hAnsi="Arial"/>
                <w:sz w:val="8"/>
                <w:szCs w:val="8"/>
                <w:color w:val="auto"/>
              </w:rPr>
              <w:t>LTIP</w:t>
            </w:r>
          </w:p>
        </w:tc>
        <w:tc>
          <w:tcPr>
            <w:tcW w:w="1760" w:type="dxa"/>
            <w:vAlign w:val="bottom"/>
          </w:tcPr>
          <w:p>
            <w:pPr>
              <w:ind w:left="880"/>
              <w:spacing w:after="0"/>
              <w:rPr>
                <w:sz w:val="20"/>
                <w:szCs w:val="20"/>
                <w:color w:val="auto"/>
              </w:rPr>
            </w:pPr>
            <w:r>
              <w:rPr>
                <w:rFonts w:ascii="Arial" w:cs="Arial" w:eastAsia="Arial" w:hAnsi="Arial"/>
                <w:sz w:val="8"/>
                <w:szCs w:val="8"/>
                <w:color w:val="auto"/>
              </w:rPr>
              <w:t>Performance shares</w:t>
            </w:r>
          </w:p>
        </w:tc>
        <w:tc>
          <w:tcPr>
            <w:tcW w:w="820" w:type="dxa"/>
            <w:vAlign w:val="bottom"/>
          </w:tcPr>
          <w:p>
            <w:pPr>
              <w:ind w:left="40"/>
              <w:spacing w:after="0"/>
              <w:rPr>
                <w:sz w:val="20"/>
                <w:szCs w:val="20"/>
                <w:color w:val="auto"/>
              </w:rPr>
            </w:pPr>
            <w:r>
              <w:rPr>
                <w:rFonts w:ascii="Arial" w:cs="Arial" w:eastAsia="Arial" w:hAnsi="Arial"/>
                <w:sz w:val="8"/>
                <w:szCs w:val="8"/>
                <w:color w:val="auto"/>
              </w:rPr>
              <w:t>December 31, 2022</w:t>
            </w:r>
          </w:p>
        </w:tc>
        <w:tc>
          <w:tcPr>
            <w:tcW w:w="3880" w:type="dxa"/>
            <w:vAlign w:val="bottom"/>
          </w:tcPr>
          <w:p>
            <w:pPr>
              <w:ind w:left="120"/>
              <w:spacing w:after="0"/>
              <w:rPr>
                <w:sz w:val="20"/>
                <w:szCs w:val="20"/>
                <w:color w:val="auto"/>
              </w:rPr>
            </w:pPr>
            <w:r>
              <w:rPr>
                <w:rFonts w:ascii="Arial" w:cs="Arial" w:eastAsia="Arial" w:hAnsi="Arial"/>
                <w:sz w:val="8"/>
                <w:szCs w:val="8"/>
                <w:color w:val="auto"/>
                <w:w w:val="95"/>
              </w:rPr>
              <w:t>Ben van Beurden: 200,589 A shares, equivalent to 3.0 x base salary or €4,764,000. Jessica Uhl: 59,062 A ADS</w:t>
            </w:r>
          </w:p>
        </w:tc>
        <w:tc>
          <w:tcPr>
            <w:tcW w:w="1540" w:type="dxa"/>
            <w:vAlign w:val="bottom"/>
          </w:tcPr>
          <w:p>
            <w:pPr>
              <w:jc w:val="right"/>
              <w:spacing w:after="0"/>
              <w:rPr>
                <w:sz w:val="20"/>
                <w:szCs w:val="20"/>
                <w:color w:val="auto"/>
              </w:rPr>
            </w:pPr>
            <w:r>
              <w:rPr>
                <w:rFonts w:ascii="Arial" w:cs="Arial" w:eastAsia="Arial" w:hAnsi="Arial"/>
                <w:sz w:val="8"/>
                <w:szCs w:val="8"/>
                <w:color w:val="auto"/>
              </w:rPr>
              <w:t>0%</w:t>
            </w:r>
          </w:p>
        </w:tc>
        <w:tc>
          <w:tcPr>
            <w:tcW w:w="1700" w:type="dxa"/>
            <w:vAlign w:val="bottom"/>
          </w:tcPr>
          <w:p>
            <w:pPr>
              <w:jc w:val="right"/>
              <w:spacing w:after="0"/>
              <w:rPr>
                <w:sz w:val="20"/>
                <w:szCs w:val="20"/>
                <w:color w:val="auto"/>
              </w:rPr>
            </w:pPr>
            <w:r>
              <w:rPr>
                <w:rFonts w:ascii="Arial" w:cs="Arial" w:eastAsia="Arial" w:hAnsi="Arial"/>
                <w:sz w:val="8"/>
                <w:szCs w:val="8"/>
                <w:color w:val="auto"/>
                <w:w w:val="99"/>
              </w:rPr>
              <w:t>Maximum number of shares vesting is 200% of</w:t>
            </w:r>
          </w:p>
        </w:tc>
      </w:tr>
      <w:tr>
        <w:trPr>
          <w:trHeight w:val="111"/>
        </w:trPr>
        <w:tc>
          <w:tcPr>
            <w:tcW w:w="160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ind w:left="120"/>
              <w:spacing w:after="0"/>
              <w:rPr>
                <w:sz w:val="20"/>
                <w:szCs w:val="20"/>
                <w:color w:val="auto"/>
              </w:rPr>
            </w:pPr>
            <w:r>
              <w:rPr>
                <w:rFonts w:ascii="Arial" w:cs="Arial" w:eastAsia="Arial" w:hAnsi="Arial"/>
                <w:sz w:val="8"/>
                <w:szCs w:val="8"/>
                <w:color w:val="auto"/>
              </w:rPr>
              <w:t>shares, equivalent to 2.7 x base salary or €2,794,500</w:t>
            </w:r>
          </w:p>
        </w:tc>
        <w:tc>
          <w:tcPr>
            <w:tcW w:w="1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the shares awarded, before dividends.</w:t>
            </w:r>
          </w:p>
        </w:tc>
      </w:tr>
    </w:tbl>
    <w:p>
      <w:pPr>
        <w:spacing w:after="0" w:line="153" w:lineRule="exact"/>
        <w:rPr>
          <w:sz w:val="20"/>
          <w:szCs w:val="20"/>
          <w:color w:val="auto"/>
        </w:rPr>
      </w:pPr>
    </w:p>
    <w:p>
      <w:pPr>
        <w:ind w:left="128" w:hanging="128"/>
        <w:spacing w:after="0"/>
        <w:tabs>
          <w:tab w:leader="none" w:pos="128" w:val="left"/>
        </w:tabs>
        <w:numPr>
          <w:ilvl w:val="0"/>
          <w:numId w:val="122"/>
        </w:numPr>
        <w:rPr>
          <w:rFonts w:ascii="Arial" w:cs="Arial" w:eastAsia="Arial" w:hAnsi="Arial"/>
          <w:sz w:val="8"/>
          <w:szCs w:val="8"/>
          <w:color w:val="auto"/>
        </w:rPr>
      </w:pPr>
      <w:r>
        <w:rPr>
          <w:rFonts w:ascii="Arial" w:cs="Arial" w:eastAsia="Arial" w:hAnsi="Arial"/>
          <w:sz w:val="8"/>
          <w:szCs w:val="8"/>
          <w:color w:val="auto"/>
        </w:rPr>
        <w:t>The award for Ben van Beurden was based on the closing market price on the date of grant, January 31, 2020, for A shares of €23.75. The award for Jessica Uhl was based on the closing market price on the date of grant, January 31, 2020, for A ADSs of $52.15.</w:t>
      </w:r>
    </w:p>
    <w:p>
      <w:pPr>
        <w:spacing w:after="0" w:line="12" w:lineRule="exact"/>
        <w:rPr>
          <w:rFonts w:ascii="Arial" w:cs="Arial" w:eastAsia="Arial" w:hAnsi="Arial"/>
          <w:sz w:val="8"/>
          <w:szCs w:val="8"/>
          <w:color w:val="auto"/>
        </w:rPr>
      </w:pPr>
    </w:p>
    <w:p>
      <w:pPr>
        <w:ind w:left="128" w:hanging="128"/>
        <w:spacing w:after="0"/>
        <w:tabs>
          <w:tab w:leader="none" w:pos="128" w:val="left"/>
        </w:tabs>
        <w:numPr>
          <w:ilvl w:val="0"/>
          <w:numId w:val="122"/>
        </w:numPr>
        <w:rPr>
          <w:rFonts w:ascii="Arial" w:cs="Arial" w:eastAsia="Arial" w:hAnsi="Arial"/>
          <w:sz w:val="8"/>
          <w:szCs w:val="8"/>
          <w:color w:val="auto"/>
        </w:rPr>
      </w:pPr>
      <w:r>
        <w:rPr>
          <w:rFonts w:ascii="Arial" w:cs="Arial" w:eastAsia="Arial" w:hAnsi="Arial"/>
          <w:sz w:val="8"/>
          <w:szCs w:val="8"/>
          <w:color w:val="auto"/>
        </w:rPr>
        <w:t>Minimum performance relates to the lowest level of achievement, for which no reward is given.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126</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129" w:name="page130"/>
    <w:bookmarkEnd w:id="129"/>
    <w:p>
      <w:pPr>
        <w:ind w:left="8" w:right="120"/>
        <w:spacing w:after="0" w:line="239" w:lineRule="auto"/>
        <w:rPr>
          <w:sz w:val="20"/>
          <w:szCs w:val="20"/>
          <w:color w:val="auto"/>
        </w:rPr>
      </w:pPr>
      <w:r>
        <w:rPr>
          <w:rFonts w:ascii="Arial" w:cs="Arial" w:eastAsia="Arial" w:hAnsi="Arial"/>
          <w:sz w:val="10"/>
          <w:szCs w:val="10"/>
          <w:color w:val="auto"/>
        </w:rPr>
        <w:t>The measures and weightings applying to LTIP awards made in 2020 were: energy transition (10%), FCF (22.5%), TSR (22.5%), ROACE growth (22.5%) and growth in cash flow from operating activities (22.5%).</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Absolute measures</w:t>
      </w:r>
    </w:p>
    <w:p>
      <w:pPr>
        <w:spacing w:after="0" w:line="3" w:lineRule="exact"/>
        <w:rPr>
          <w:sz w:val="20"/>
          <w:szCs w:val="20"/>
          <w:color w:val="auto"/>
        </w:rPr>
      </w:pPr>
    </w:p>
    <w:p>
      <w:pPr>
        <w:ind w:left="8"/>
        <w:spacing w:after="0"/>
        <w:rPr>
          <w:sz w:val="20"/>
          <w:szCs w:val="20"/>
          <w:color w:val="auto"/>
        </w:rPr>
      </w:pPr>
      <w:r>
        <w:rPr>
          <w:rFonts w:ascii="Arial" w:cs="Arial" w:eastAsia="Arial" w:hAnsi="Arial"/>
          <w:sz w:val="10"/>
          <w:szCs w:val="10"/>
          <w:color w:val="auto"/>
        </w:rPr>
        <w:t>Energy transition</w:t>
      </w:r>
    </w:p>
    <w:p>
      <w:pPr>
        <w:ind w:left="8"/>
        <w:spacing w:after="0" w:line="236" w:lineRule="auto"/>
        <w:rPr>
          <w:sz w:val="20"/>
          <w:szCs w:val="20"/>
          <w:color w:val="auto"/>
        </w:rPr>
      </w:pPr>
      <w:r>
        <w:rPr>
          <w:rFonts w:ascii="Arial" w:cs="Arial" w:eastAsia="Arial" w:hAnsi="Arial"/>
          <w:sz w:val="10"/>
          <w:szCs w:val="10"/>
          <w:color w:val="auto"/>
        </w:rPr>
        <w:t>The energy transition condition supports delivery of Shell’s Net Carbon Footprint (NCF) target.</w:t>
      </w:r>
    </w:p>
    <w:p>
      <w:pPr>
        <w:spacing w:after="0" w:line="149" w:lineRule="exact"/>
        <w:rPr>
          <w:sz w:val="20"/>
          <w:szCs w:val="20"/>
          <w:color w:val="auto"/>
        </w:rPr>
      </w:pPr>
    </w:p>
    <w:p>
      <w:pPr>
        <w:ind w:left="8" w:right="160"/>
        <w:spacing w:after="0" w:line="233" w:lineRule="auto"/>
        <w:rPr>
          <w:sz w:val="20"/>
          <w:szCs w:val="20"/>
          <w:color w:val="auto"/>
        </w:rPr>
      </w:pPr>
      <w:r>
        <w:rPr>
          <w:rFonts w:ascii="Arial" w:cs="Arial" w:eastAsia="Arial" w:hAnsi="Arial"/>
          <w:sz w:val="10"/>
          <w:szCs w:val="10"/>
          <w:color w:val="auto"/>
        </w:rPr>
        <w:t>The condition consists of a mix of leading and lagging measures that set the foundations to contribute to Shell’s strategic ambitions in the longer term. They are as follows:</w:t>
      </w:r>
    </w:p>
    <w:p>
      <w:pPr>
        <w:ind w:left="8"/>
        <w:spacing w:after="0" w:line="226" w:lineRule="auto"/>
        <w:rPr>
          <w:sz w:val="20"/>
          <w:szCs w:val="20"/>
          <w:color w:val="auto"/>
        </w:rPr>
      </w:pPr>
      <w:r>
        <w:rPr>
          <w:rFonts w:ascii="Arial" w:cs="Arial" w:eastAsia="Arial" w:hAnsi="Arial"/>
          <w:sz w:val="10"/>
          <w:szCs w:val="10"/>
          <w:color w:val="auto"/>
        </w:rPr>
        <w:t>Lagging measure – a measure of our progress in meeting our ambition:</w:t>
      </w:r>
    </w:p>
    <w:p>
      <w:pPr>
        <w:ind w:left="108" w:right="60" w:hanging="108"/>
        <w:spacing w:after="0" w:line="231" w:lineRule="auto"/>
        <w:tabs>
          <w:tab w:leader="none" w:pos="103" w:val="left"/>
        </w:tabs>
        <w:numPr>
          <w:ilvl w:val="0"/>
          <w:numId w:val="123"/>
        </w:numPr>
        <w:rPr>
          <w:rFonts w:ascii="Arial" w:cs="Arial" w:eastAsia="Arial" w:hAnsi="Arial"/>
          <w:sz w:val="10"/>
          <w:szCs w:val="10"/>
          <w:color w:val="auto"/>
        </w:rPr>
      </w:pPr>
      <w:r>
        <w:rPr>
          <w:rFonts w:ascii="Arial" w:cs="Arial" w:eastAsia="Arial" w:hAnsi="Arial"/>
          <w:sz w:val="10"/>
          <w:szCs w:val="10"/>
          <w:color w:val="auto"/>
        </w:rPr>
        <w:t>Net Carbon Footprint: a target for reducing the NCF of the energy products Shell sells (a carbon intensity measure that takes into account their full life-cycle emissions, including customers’ emissions associated with using them).</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Leading measures – the levers we will use to drive future NCF reduction:</w:t>
      </w:r>
    </w:p>
    <w:p>
      <w:pPr>
        <w:spacing w:after="0" w:line="1" w:lineRule="exact"/>
        <w:rPr>
          <w:sz w:val="20"/>
          <w:szCs w:val="20"/>
          <w:color w:val="auto"/>
        </w:rPr>
      </w:pPr>
    </w:p>
    <w:p>
      <w:pPr>
        <w:ind w:left="108" w:right="100" w:hanging="108"/>
        <w:spacing w:after="0" w:line="281" w:lineRule="auto"/>
        <w:tabs>
          <w:tab w:leader="none" w:pos="103" w:val="left"/>
        </w:tabs>
        <w:numPr>
          <w:ilvl w:val="0"/>
          <w:numId w:val="124"/>
        </w:numPr>
        <w:rPr>
          <w:rFonts w:ascii="Arial" w:cs="Arial" w:eastAsia="Arial" w:hAnsi="Arial"/>
          <w:sz w:val="8"/>
          <w:szCs w:val="8"/>
          <w:color w:val="auto"/>
        </w:rPr>
      </w:pPr>
      <w:r>
        <w:rPr>
          <w:rFonts w:ascii="Arial" w:cs="Arial" w:eastAsia="Arial" w:hAnsi="Arial"/>
          <w:sz w:val="8"/>
          <w:szCs w:val="8"/>
          <w:color w:val="auto"/>
        </w:rPr>
        <w:t>The growth of our power business: all decarbonisation scenarios recognise that a key way to cut greenhouse gas emissions is to increase electricity use and decarbonise electricity by shifting to renewables and gas-fired power generation. Our ambition to grow our power business is based on selective investments in generation, and in business models based on reselling power generated by others.</w:t>
      </w:r>
    </w:p>
    <w:p>
      <w:pPr>
        <w:ind w:left="108" w:hanging="108"/>
        <w:spacing w:after="0" w:line="228" w:lineRule="auto"/>
        <w:tabs>
          <w:tab w:leader="none" w:pos="103" w:val="left"/>
        </w:tabs>
        <w:numPr>
          <w:ilvl w:val="0"/>
          <w:numId w:val="124"/>
        </w:numPr>
        <w:rPr>
          <w:rFonts w:ascii="Arial" w:cs="Arial" w:eastAsia="Arial" w:hAnsi="Arial"/>
          <w:sz w:val="10"/>
          <w:szCs w:val="10"/>
          <w:color w:val="auto"/>
        </w:rPr>
      </w:pPr>
      <w:r>
        <w:rPr>
          <w:rFonts w:ascii="Arial" w:cs="Arial" w:eastAsia="Arial" w:hAnsi="Arial"/>
          <w:sz w:val="10"/>
          <w:szCs w:val="10"/>
          <w:color w:val="auto"/>
        </w:rPr>
        <w:t>Advanced biofuels and alternative fuels technology: biofuels are expected to play a valuable role in the changing energy mix and are likely to be one of the key decarbonisation levers for sectors that need to continue to use liquid fuels in the foreseeable future, such as some segments of transport and industry. For society and for Shell, commercialisation of advanced biofuel technology is one of the most important steps in 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3909060" cy="24174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909060" cy="2417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0" w:right="380" w:hanging="111"/>
        <w:spacing w:after="0" w:line="239" w:lineRule="auto"/>
        <w:tabs>
          <w:tab w:leader="none" w:pos="115" w:val="left"/>
        </w:tabs>
        <w:numPr>
          <w:ilvl w:val="0"/>
          <w:numId w:val="125"/>
        </w:numPr>
        <w:rPr>
          <w:rFonts w:ascii="Arial" w:cs="Arial" w:eastAsia="Arial" w:hAnsi="Arial"/>
          <w:sz w:val="10"/>
          <w:szCs w:val="10"/>
          <w:color w:val="auto"/>
        </w:rPr>
      </w:pPr>
      <w:r>
        <w:rPr>
          <w:rFonts w:ascii="Arial" w:cs="Arial" w:eastAsia="Arial" w:hAnsi="Arial"/>
          <w:sz w:val="10"/>
          <w:szCs w:val="10"/>
          <w:color w:val="auto"/>
        </w:rPr>
        <w:t>The development of systems to capture and absorb carbon: carbon capture and storage (CCS) and carbon sinks, such as nature-based solutions, are required as part of the global response to climate change.</w:t>
      </w:r>
    </w:p>
    <w:p>
      <w:pPr>
        <w:spacing w:after="0" w:line="149" w:lineRule="exact"/>
        <w:rPr>
          <w:sz w:val="20"/>
          <w:szCs w:val="20"/>
          <w:color w:val="auto"/>
        </w:rPr>
      </w:pPr>
    </w:p>
    <w:p>
      <w:pPr>
        <w:ind w:right="140"/>
        <w:spacing w:after="0" w:line="307" w:lineRule="auto"/>
        <w:rPr>
          <w:sz w:val="20"/>
          <w:szCs w:val="20"/>
          <w:color w:val="auto"/>
        </w:rPr>
      </w:pPr>
      <w:r>
        <w:rPr>
          <w:rFonts w:ascii="Arial" w:cs="Arial" w:eastAsia="Arial" w:hAnsi="Arial"/>
          <w:sz w:val="8"/>
          <w:szCs w:val="8"/>
          <w:color w:val="auto"/>
        </w:rPr>
        <w:t>Targets have been set for each element. Progress in the energy transition is not expected to be linear, because it will reflect the pace of change of society as a whole and the speed at which Shell progresses its strategic business objectives. As a result, targets have been set as ranges. These targets are commercially sensitive, so they will not be disclosed until the end of the performance period (or until they are no longer considered to be commercially sensitive). An update on our progress in relation to the measures is provided on page 128.</w:t>
      </w:r>
    </w:p>
    <w:p>
      <w:pPr>
        <w:spacing w:after="0" w:line="123" w:lineRule="exact"/>
        <w:rPr>
          <w:sz w:val="20"/>
          <w:szCs w:val="20"/>
          <w:color w:val="auto"/>
        </w:rPr>
      </w:pPr>
    </w:p>
    <w:p>
      <w:pPr>
        <w:ind w:right="120"/>
        <w:spacing w:after="0" w:line="289" w:lineRule="auto"/>
        <w:rPr>
          <w:sz w:val="20"/>
          <w:szCs w:val="20"/>
          <w:color w:val="auto"/>
        </w:rPr>
      </w:pPr>
      <w:r>
        <w:rPr>
          <w:rFonts w:ascii="Arial" w:cs="Arial" w:eastAsia="Arial" w:hAnsi="Arial"/>
          <w:sz w:val="8"/>
          <w:szCs w:val="8"/>
          <w:color w:val="auto"/>
        </w:rPr>
        <w:t>The vesting outcome for the part of the award weighted to the energy transition condition ranges from 0% to 200% of award. The REMCO, at its sole discretion, will determine vesting outcomes after considering achievement against the target ranges and feedback from the Safety, Environment and Sustainability Committee (SESCo). In doing so, the REMCO will take into account, in relation to each element, progress over the performance period relative to nearer-term aims in pursuit of the long-term ambition announced by Shell to reduce the NCF of energy products sold, in step with society’s drive to meet the goals of the Paris Agreement. The starting point for determining the vesting outcome will be seeing how many of the targets have been met for each of the four areas. One out of four will equal 40%, two will equal 100%, three will equal 150%, and 200% will be achieved for scoring four out of four. It is important to note that performance against these elements will serve simply as a starting point for the REMCO, which will also take into account any other considerations it deems appropriate, including (without limitation) the relative importance of these elements in meeting the long-term ambition announced by Shell. For example, the REMCO may decide to allocate a greater importance to overall performance in relation to the NCF than the other three elements. The REMCO believes this approach is appropriate, given the uncertainties around the speed and direction of progress in the energy transition. The application of any discretion will be fully disclosed and explained by the REMCO.</w:t>
      </w:r>
    </w:p>
    <w:p>
      <w:pPr>
        <w:spacing w:after="0" w:line="488" w:lineRule="exact"/>
        <w:rPr>
          <w:sz w:val="20"/>
          <w:szCs w:val="20"/>
          <w:color w:val="auto"/>
        </w:rPr>
      </w:pPr>
    </w:p>
    <w:p>
      <w:pPr>
        <w:sectPr>
          <w:pgSz w:w="11900" w:h="16838" w:orient="portrait"/>
          <w:cols w:equalWidth="0" w:num="2">
            <w:col w:w="5428" w:space="300"/>
            <w:col w:w="5580"/>
          </w:cols>
          <w:pgMar w:left="292" w:top="64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127</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130" w:name="page131"/>
    <w:bookmarkEnd w:id="130"/>
    <w:p>
      <w:pPr>
        <w:ind w:left="8"/>
        <w:spacing w:after="0"/>
        <w:rPr>
          <w:sz w:val="20"/>
          <w:szCs w:val="20"/>
          <w:color w:val="auto"/>
        </w:rPr>
      </w:pPr>
      <w:r>
        <w:rPr>
          <w:rFonts w:ascii="Arial" w:cs="Arial" w:eastAsia="Arial" w:hAnsi="Arial"/>
          <w:sz w:val="10"/>
          <w:szCs w:val="10"/>
          <w:color w:val="auto"/>
        </w:rPr>
        <w:t>FCF</w:t>
      </w:r>
    </w:p>
    <w:p>
      <w:pPr>
        <w:spacing w:after="0" w:line="1" w:lineRule="exact"/>
        <w:rPr>
          <w:sz w:val="20"/>
          <w:szCs w:val="20"/>
          <w:color w:val="auto"/>
        </w:rPr>
      </w:pPr>
    </w:p>
    <w:p>
      <w:pPr>
        <w:ind w:left="8" w:right="140"/>
        <w:spacing w:after="0" w:line="231" w:lineRule="auto"/>
        <w:rPr>
          <w:sz w:val="20"/>
          <w:szCs w:val="20"/>
          <w:color w:val="auto"/>
        </w:rPr>
      </w:pPr>
      <w:r>
        <w:rPr>
          <w:rFonts w:ascii="Arial" w:cs="Arial" w:eastAsia="Arial" w:hAnsi="Arial"/>
          <w:sz w:val="10"/>
          <w:szCs w:val="10"/>
          <w:color w:val="auto"/>
        </w:rPr>
        <w:t>The FCF performance condition supports the delivery of our cash flow priorities, which are to service and reduce debt, pay dividends, buy back shares and make future capital investments.</w:t>
      </w:r>
    </w:p>
    <w:p>
      <w:pPr>
        <w:spacing w:after="0" w:line="149" w:lineRule="exact"/>
        <w:rPr>
          <w:sz w:val="20"/>
          <w:szCs w:val="20"/>
          <w:color w:val="auto"/>
        </w:rPr>
      </w:pPr>
    </w:p>
    <w:p>
      <w:pPr>
        <w:ind w:left="8"/>
        <w:spacing w:after="0" w:line="293" w:lineRule="auto"/>
        <w:rPr>
          <w:sz w:val="20"/>
          <w:szCs w:val="20"/>
          <w:color w:val="auto"/>
        </w:rPr>
      </w:pPr>
      <w:r>
        <w:rPr>
          <w:rFonts w:ascii="Arial" w:cs="Arial" w:eastAsia="Arial" w:hAnsi="Arial"/>
          <w:sz w:val="8"/>
          <w:szCs w:val="8"/>
          <w:color w:val="auto"/>
        </w:rPr>
        <w:t>The target for FCF, along with the ranges for threshold and outstanding performance, will be set by reference to Shell’s annual operating plans, being the aggregate of our plan FCF targets over the three-year performance period. Given that FCF is heavily influenced by the volatility of oil and gas prices, the annual operating plans are updated each year to set an annual target to reflect a changing oil price premise. As a result, FCF targets are set annually for each annual operating plan and will only be disclosed in aggregate retrospectively after the three-year period. While consideration has been given to setting a three-year target at the outset, the REMCO has determined that such an approach would require adjustments for the oil and gas price premise and other matters at the end of the period, given the unpredictability and volatility in oil and gas prices. The REMCO has a long-standing "no adjustments" policy and therefore believes a more appropriate target-setting approach is to set the target based on the aggregation of the annual operating plans.</w:t>
      </w:r>
    </w:p>
    <w:p>
      <w:pPr>
        <w:spacing w:after="0" w:line="240" w:lineRule="exact"/>
        <w:rPr>
          <w:sz w:val="20"/>
          <w:szCs w:val="20"/>
          <w:color w:val="auto"/>
        </w:rPr>
      </w:pPr>
    </w:p>
    <w:p>
      <w:pPr>
        <w:ind w:left="8" w:right="260"/>
        <w:spacing w:after="0" w:line="358" w:lineRule="auto"/>
        <w:rPr>
          <w:sz w:val="20"/>
          <w:szCs w:val="20"/>
          <w:color w:val="auto"/>
        </w:rPr>
      </w:pPr>
      <w:r>
        <w:rPr>
          <w:rFonts w:ascii="Arial" w:cs="Arial" w:eastAsia="Arial" w:hAnsi="Arial"/>
          <w:sz w:val="8"/>
          <w:szCs w:val="8"/>
          <w:color w:val="auto"/>
        </w:rPr>
        <w:t>The amounts payable under this measure will range from 20% of the available maximum, for threshold performance, to full vesting for outstanding performance. A straight-line vesting schedule will apply for performance between threshold and outstanding.</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0"/>
          <w:szCs w:val="10"/>
          <w:color w:val="auto"/>
        </w:rPr>
        <w:t>Relative measures</w:t>
      </w:r>
    </w:p>
    <w:p>
      <w:pPr>
        <w:ind w:left="8"/>
        <w:spacing w:after="0"/>
        <w:rPr>
          <w:sz w:val="20"/>
          <w:szCs w:val="20"/>
          <w:color w:val="auto"/>
        </w:rPr>
      </w:pPr>
      <w:r>
        <w:rPr>
          <w:rFonts w:ascii="Arial" w:cs="Arial" w:eastAsia="Arial" w:hAnsi="Arial"/>
          <w:sz w:val="10"/>
          <w:szCs w:val="10"/>
          <w:color w:val="auto"/>
        </w:rPr>
        <w:t>The relative measures are based on our performance on a number of key financial metrics against the other oil majors.</w:t>
      </w:r>
    </w:p>
    <w:p>
      <w:pPr>
        <w:spacing w:after="0" w:line="148" w:lineRule="exact"/>
        <w:rPr>
          <w:sz w:val="20"/>
          <w:szCs w:val="20"/>
          <w:color w:val="auto"/>
        </w:rPr>
      </w:pPr>
    </w:p>
    <w:p>
      <w:pPr>
        <w:ind w:left="8" w:right="40"/>
        <w:spacing w:after="0" w:line="239" w:lineRule="auto"/>
        <w:rPr>
          <w:sz w:val="20"/>
          <w:szCs w:val="20"/>
          <w:color w:val="auto"/>
        </w:rPr>
      </w:pPr>
      <w:r>
        <w:rPr>
          <w:rFonts w:ascii="Arial" w:cs="Arial" w:eastAsia="Arial" w:hAnsi="Arial"/>
          <w:sz w:val="10"/>
          <w:szCs w:val="10"/>
          <w:color w:val="auto"/>
        </w:rPr>
        <w:t>For relative measures, we measure and rank growth based on the data points at the end of the performance period compared with those at the beginning of the period, using publicly reported data.</w:t>
      </w:r>
    </w:p>
    <w:p>
      <w:pPr>
        <w:spacing w:after="0" w:line="149" w:lineRule="exact"/>
        <w:rPr>
          <w:sz w:val="20"/>
          <w:szCs w:val="20"/>
          <w:color w:val="auto"/>
        </w:rPr>
      </w:pPr>
    </w:p>
    <w:p>
      <w:pPr>
        <w:ind w:left="88" w:hanging="88"/>
        <w:spacing w:after="0"/>
        <w:tabs>
          <w:tab w:leader="none" w:pos="88" w:val="left"/>
        </w:tabs>
        <w:numPr>
          <w:ilvl w:val="0"/>
          <w:numId w:val="126"/>
        </w:numPr>
        <w:rPr>
          <w:rFonts w:ascii="Arial" w:cs="Arial" w:eastAsia="Arial" w:hAnsi="Arial"/>
          <w:sz w:val="10"/>
          <w:szCs w:val="10"/>
          <w:color w:val="auto"/>
        </w:rPr>
      </w:pPr>
      <w:r>
        <w:rPr>
          <w:rFonts w:ascii="Arial" w:cs="Arial" w:eastAsia="Arial" w:hAnsi="Arial"/>
          <w:sz w:val="10"/>
          <w:szCs w:val="10"/>
          <w:color w:val="auto"/>
        </w:rPr>
        <w:t>TSR, calculated in US dollars using a 90-day averaging period around the start and end of the performance period;</w:t>
      </w:r>
    </w:p>
    <w:p>
      <w:pPr>
        <w:spacing w:after="0" w:line="1" w:lineRule="exact"/>
        <w:rPr>
          <w:rFonts w:ascii="Arial" w:cs="Arial" w:eastAsia="Arial" w:hAnsi="Arial"/>
          <w:sz w:val="10"/>
          <w:szCs w:val="10"/>
          <w:color w:val="auto"/>
        </w:rPr>
      </w:pPr>
    </w:p>
    <w:p>
      <w:pPr>
        <w:ind w:left="108" w:right="440" w:hanging="108"/>
        <w:spacing w:after="0" w:line="281" w:lineRule="auto"/>
        <w:tabs>
          <w:tab w:leader="none" w:pos="103" w:val="left"/>
        </w:tabs>
        <w:numPr>
          <w:ilvl w:val="0"/>
          <w:numId w:val="126"/>
        </w:numPr>
        <w:rPr>
          <w:rFonts w:ascii="Arial" w:cs="Arial" w:eastAsia="Arial" w:hAnsi="Arial"/>
          <w:sz w:val="8"/>
          <w:szCs w:val="8"/>
          <w:color w:val="auto"/>
        </w:rPr>
      </w:pPr>
      <w:r>
        <w:rPr>
          <w:rFonts w:ascii="Arial" w:cs="Arial" w:eastAsia="Arial" w:hAnsi="Arial"/>
          <w:sz w:val="8"/>
          <w:szCs w:val="8"/>
          <w:color w:val="auto"/>
        </w:rPr>
        <w:t>ROACE growth. For this purpose, in order to facilitate the comparison, the calculation of ROACE differs from that described in “Performance indicators” on page 28 because there is no adjustment for after-tax interest expense; and</w:t>
      </w:r>
    </w:p>
    <w:p>
      <w:pPr>
        <w:ind w:left="88" w:hanging="88"/>
        <w:spacing w:after="0" w:line="236" w:lineRule="auto"/>
        <w:tabs>
          <w:tab w:leader="none" w:pos="88" w:val="left"/>
        </w:tabs>
        <w:numPr>
          <w:ilvl w:val="0"/>
          <w:numId w:val="126"/>
        </w:numPr>
        <w:rPr>
          <w:rFonts w:ascii="Arial" w:cs="Arial" w:eastAsia="Arial" w:hAnsi="Arial"/>
          <w:sz w:val="10"/>
          <w:szCs w:val="10"/>
          <w:color w:val="auto"/>
        </w:rPr>
      </w:pPr>
      <w:r>
        <w:rPr>
          <w:rFonts w:ascii="Arial" w:cs="Arial" w:eastAsia="Arial" w:hAnsi="Arial"/>
          <w:sz w:val="10"/>
          <w:szCs w:val="10"/>
          <w:color w:val="auto"/>
        </w:rPr>
        <w:t>growth in cash flow from operating activities.</w:t>
      </w:r>
    </w:p>
    <w:p>
      <w:pPr>
        <w:spacing w:after="0" w:line="149" w:lineRule="exact"/>
        <w:rPr>
          <w:sz w:val="20"/>
          <w:szCs w:val="20"/>
          <w:color w:val="auto"/>
        </w:rPr>
      </w:pPr>
    </w:p>
    <w:p>
      <w:pPr>
        <w:ind w:left="8" w:right="60"/>
        <w:spacing w:after="0" w:line="233" w:lineRule="auto"/>
        <w:rPr>
          <w:sz w:val="20"/>
          <w:szCs w:val="20"/>
          <w:color w:val="auto"/>
        </w:rPr>
      </w:pPr>
      <w:r>
        <w:rPr>
          <w:rFonts w:ascii="Arial" w:cs="Arial" w:eastAsia="Arial" w:hAnsi="Arial"/>
          <w:sz w:val="10"/>
          <w:szCs w:val="10"/>
          <w:color w:val="auto"/>
        </w:rPr>
        <w:t>Each relative measure can vest independently with the amounts payable ranging from 0% to 200%, in accordance with the following vesting schedule:</w:t>
      </w:r>
    </w:p>
    <w:p>
      <w:pPr>
        <w:ind w:left="88" w:hanging="88"/>
        <w:spacing w:after="0" w:line="226" w:lineRule="auto"/>
        <w:tabs>
          <w:tab w:leader="none" w:pos="88" w:val="left"/>
        </w:tabs>
        <w:numPr>
          <w:ilvl w:val="0"/>
          <w:numId w:val="127"/>
        </w:numPr>
        <w:rPr>
          <w:rFonts w:ascii="Arial" w:cs="Arial" w:eastAsia="Arial" w:hAnsi="Arial"/>
          <w:sz w:val="10"/>
          <w:szCs w:val="10"/>
          <w:color w:val="auto"/>
        </w:rPr>
      </w:pPr>
      <w:r>
        <w:rPr>
          <w:rFonts w:ascii="Arial" w:cs="Arial" w:eastAsia="Arial" w:hAnsi="Arial"/>
          <w:sz w:val="10"/>
          <w:szCs w:val="10"/>
          <w:color w:val="auto"/>
        </w:rPr>
        <w:t>ranking first equals 200% vesting for the element of the LTIP weighted to that metric;</w:t>
      </w:r>
    </w:p>
    <w:p>
      <w:pPr>
        <w:ind w:left="88" w:hanging="88"/>
        <w:spacing w:after="0" w:line="225" w:lineRule="auto"/>
        <w:tabs>
          <w:tab w:leader="none" w:pos="88" w:val="left"/>
        </w:tabs>
        <w:numPr>
          <w:ilvl w:val="0"/>
          <w:numId w:val="127"/>
        </w:numPr>
        <w:rPr>
          <w:rFonts w:ascii="Arial" w:cs="Arial" w:eastAsia="Arial" w:hAnsi="Arial"/>
          <w:sz w:val="10"/>
          <w:szCs w:val="10"/>
          <w:color w:val="auto"/>
        </w:rPr>
      </w:pPr>
      <w:r>
        <w:rPr>
          <w:rFonts w:ascii="Arial" w:cs="Arial" w:eastAsia="Arial" w:hAnsi="Arial"/>
          <w:sz w:val="10"/>
          <w:szCs w:val="10"/>
          <w:color w:val="auto"/>
        </w:rPr>
        <w:t>ranking second equals 150% vesting for the element of the LTIP weighted to that metric;</w:t>
      </w:r>
    </w:p>
    <w:p>
      <w:pPr>
        <w:ind w:left="88" w:hanging="88"/>
        <w:spacing w:after="0" w:line="225" w:lineRule="auto"/>
        <w:tabs>
          <w:tab w:leader="none" w:pos="88" w:val="left"/>
        </w:tabs>
        <w:numPr>
          <w:ilvl w:val="0"/>
          <w:numId w:val="127"/>
        </w:numPr>
        <w:rPr>
          <w:rFonts w:ascii="Arial" w:cs="Arial" w:eastAsia="Arial" w:hAnsi="Arial"/>
          <w:sz w:val="10"/>
          <w:szCs w:val="10"/>
          <w:color w:val="auto"/>
        </w:rPr>
      </w:pPr>
      <w:r>
        <w:rPr>
          <w:rFonts w:ascii="Arial" w:cs="Arial" w:eastAsia="Arial" w:hAnsi="Arial"/>
          <w:sz w:val="10"/>
          <w:szCs w:val="10"/>
          <w:color w:val="auto"/>
        </w:rPr>
        <w:t>ranking third equals 80% vesting for the element of the LTIP weighted to that metric; and</w:t>
      </w:r>
    </w:p>
    <w:p>
      <w:pPr>
        <w:ind w:left="88" w:hanging="88"/>
        <w:spacing w:after="0" w:line="236" w:lineRule="auto"/>
        <w:tabs>
          <w:tab w:leader="none" w:pos="88" w:val="left"/>
        </w:tabs>
        <w:numPr>
          <w:ilvl w:val="0"/>
          <w:numId w:val="127"/>
        </w:numPr>
        <w:rPr>
          <w:rFonts w:ascii="Arial" w:cs="Arial" w:eastAsia="Arial" w:hAnsi="Arial"/>
          <w:sz w:val="10"/>
          <w:szCs w:val="10"/>
          <w:color w:val="auto"/>
        </w:rPr>
      </w:pPr>
      <w:r>
        <w:rPr>
          <w:rFonts w:ascii="Arial" w:cs="Arial" w:eastAsia="Arial" w:hAnsi="Arial"/>
          <w:sz w:val="10"/>
          <w:szCs w:val="10"/>
          <w:color w:val="auto"/>
        </w:rPr>
        <w:t>ranking fourth or fifth equals 0% vesting for the element weighted to that metric.</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TSR Underpin</w:t>
      </w:r>
    </w:p>
    <w:p>
      <w:pPr>
        <w:spacing w:after="0" w:line="1" w:lineRule="exact"/>
        <w:rPr>
          <w:sz w:val="20"/>
          <w:szCs w:val="20"/>
          <w:color w:val="auto"/>
        </w:rPr>
      </w:pPr>
    </w:p>
    <w:p>
      <w:pPr>
        <w:ind w:left="8" w:right="260"/>
        <w:spacing w:after="0" w:line="231" w:lineRule="auto"/>
        <w:rPr>
          <w:sz w:val="20"/>
          <w:szCs w:val="20"/>
          <w:color w:val="auto"/>
        </w:rPr>
      </w:pPr>
      <w:r>
        <w:rPr>
          <w:rFonts w:ascii="Arial" w:cs="Arial" w:eastAsia="Arial" w:hAnsi="Arial"/>
          <w:sz w:val="10"/>
          <w:szCs w:val="10"/>
          <w:color w:val="auto"/>
        </w:rPr>
        <w:t>If the TSR ranking is fourth or fifth, the level of the award that can vest on the basis of the other measures will be capped at 50% of the maximum.</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Performance update on energy transition metric</w:t>
      </w:r>
    </w:p>
    <w:p>
      <w:pPr>
        <w:ind w:left="8"/>
        <w:spacing w:after="0"/>
        <w:rPr>
          <w:sz w:val="20"/>
          <w:szCs w:val="20"/>
          <w:color w:val="auto"/>
        </w:rPr>
      </w:pPr>
      <w:r>
        <w:rPr>
          <w:rFonts w:ascii="Arial" w:cs="Arial" w:eastAsia="Arial" w:hAnsi="Arial"/>
          <w:sz w:val="10"/>
          <w:szCs w:val="10"/>
          <w:color w:val="auto"/>
        </w:rPr>
        <w:t>Lagging indicator – NCF</w:t>
      </w:r>
    </w:p>
    <w:p>
      <w:pPr>
        <w:spacing w:after="0" w:line="148" w:lineRule="exact"/>
        <w:rPr>
          <w:sz w:val="20"/>
          <w:szCs w:val="20"/>
          <w:color w:val="auto"/>
        </w:rPr>
      </w:pPr>
    </w:p>
    <w:p>
      <w:pPr>
        <w:ind w:left="8" w:right="80"/>
        <w:spacing w:after="0" w:line="117" w:lineRule="exact"/>
        <w:rPr>
          <w:sz w:val="20"/>
          <w:szCs w:val="20"/>
          <w:color w:val="auto"/>
        </w:rPr>
      </w:pPr>
      <w:r>
        <w:rPr>
          <w:rFonts w:ascii="Arial" w:cs="Arial" w:eastAsia="Arial" w:hAnsi="Arial"/>
          <w:sz w:val="10"/>
          <w:szCs w:val="10"/>
          <w:color w:val="auto"/>
        </w:rPr>
        <w:t>Performance measurement is subject to third-party limited assurance. For the year ended December 31, 2020, NCF had reduced to 75 grams of CO</w:t>
      </w:r>
      <w:r>
        <w:rPr>
          <w:rFonts w:ascii="MS PGothic" w:cs="MS PGothic" w:eastAsia="MS PGothic" w:hAnsi="MS PGothic"/>
          <w:sz w:val="6"/>
          <w:szCs w:val="6"/>
          <w:color w:val="auto"/>
        </w:rPr>
        <w:t>₂</w:t>
      </w:r>
      <w:r>
        <w:rPr>
          <w:rFonts w:ascii="Arial" w:cs="Arial" w:eastAsia="Arial" w:hAnsi="Arial"/>
          <w:sz w:val="10"/>
          <w:szCs w:val="10"/>
          <w:color w:val="auto"/>
        </w:rPr>
        <w:t xml:space="preserve"> equivalent per megajoule, a 5% reduction against the baseline.</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0"/>
          <w:szCs w:val="10"/>
          <w:color w:val="auto"/>
        </w:rPr>
        <w:t>Leading indicators – power, advanced biofuels and systems to capture and absorb carbon</w:t>
      </w:r>
    </w:p>
    <w:p>
      <w:pPr>
        <w:spacing w:after="0" w:line="155" w:lineRule="exact"/>
        <w:rPr>
          <w:sz w:val="20"/>
          <w:szCs w:val="20"/>
          <w:color w:val="auto"/>
        </w:rPr>
      </w:pPr>
    </w:p>
    <w:p>
      <w:pPr>
        <w:jc w:val="both"/>
        <w:ind w:left="8" w:right="140"/>
        <w:spacing w:after="0" w:line="234" w:lineRule="auto"/>
        <w:rPr>
          <w:sz w:val="20"/>
          <w:szCs w:val="20"/>
          <w:color w:val="auto"/>
        </w:rPr>
      </w:pPr>
      <w:r>
        <w:rPr>
          <w:rFonts w:ascii="Arial" w:cs="Arial" w:eastAsia="Arial" w:hAnsi="Arial"/>
          <w:sz w:val="10"/>
          <w:szCs w:val="10"/>
          <w:color w:val="auto"/>
        </w:rPr>
        <w:t>These targets are commercially sensitive, so they will not be disclosed until the end of the performance period (or until they are no longer considered to be commercially sensitive). The REMCO, though, is committed to sharing progress. To date we are seeing positive progress across a range of indicators of future NCF reduction. Specific examples include: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440" w:right="340" w:hanging="215"/>
        <w:spacing w:after="0" w:line="233" w:lineRule="auto"/>
        <w:tabs>
          <w:tab w:leader="none" w:pos="438" w:val="left"/>
        </w:tabs>
        <w:numPr>
          <w:ilvl w:val="0"/>
          <w:numId w:val="128"/>
        </w:numPr>
        <w:rPr>
          <w:rFonts w:ascii="Arial" w:cs="Arial" w:eastAsia="Arial" w:hAnsi="Arial"/>
          <w:sz w:val="10"/>
          <w:szCs w:val="10"/>
          <w:color w:val="auto"/>
        </w:rPr>
      </w:pPr>
      <w:r>
        <w:rPr>
          <w:rFonts w:ascii="Arial" w:cs="Arial" w:eastAsia="Arial" w:hAnsi="Arial"/>
          <w:sz w:val="10"/>
          <w:szCs w:val="10"/>
          <w:color w:val="auto"/>
        </w:rPr>
        <w:t>developments towards growing a material power business, such as the acquisition of ERM Ltd in Australia and investment in renewable energy projects such as CrossWind; and</w:t>
      </w:r>
    </w:p>
    <w:p>
      <w:pPr>
        <w:ind w:left="440" w:right="120" w:hanging="215"/>
        <w:spacing w:after="0" w:line="337" w:lineRule="auto"/>
        <w:tabs>
          <w:tab w:leader="none" w:pos="438" w:val="left"/>
        </w:tabs>
        <w:numPr>
          <w:ilvl w:val="0"/>
          <w:numId w:val="128"/>
        </w:numPr>
        <w:rPr>
          <w:rFonts w:ascii="Arial" w:cs="Arial" w:eastAsia="Arial" w:hAnsi="Arial"/>
          <w:sz w:val="8"/>
          <w:szCs w:val="8"/>
          <w:color w:val="auto"/>
        </w:rPr>
      </w:pPr>
      <w:r>
        <w:rPr>
          <w:rFonts w:ascii="Arial" w:cs="Arial" w:eastAsia="Arial" w:hAnsi="Arial"/>
          <w:sz w:val="8"/>
          <w:szCs w:val="8"/>
          <w:color w:val="auto"/>
        </w:rPr>
        <w:t>progress on the development of systems to capture and absorb carbon, for example the Northern Lights CCS joint venture with our partners, and nature-based solutions projects such as the acquisition of Select Carbon and Climate Bridge.</w:t>
      </w:r>
    </w:p>
    <w:p>
      <w:pPr>
        <w:spacing w:after="0" w:line="112" w:lineRule="exact"/>
        <w:rPr>
          <w:sz w:val="20"/>
          <w:szCs w:val="20"/>
          <w:color w:val="auto"/>
        </w:rPr>
      </w:pPr>
    </w:p>
    <w:p>
      <w:pPr>
        <w:ind w:right="420"/>
        <w:spacing w:after="0" w:line="239" w:lineRule="auto"/>
        <w:rPr>
          <w:sz w:val="20"/>
          <w:szCs w:val="20"/>
          <w:color w:val="auto"/>
        </w:rPr>
      </w:pPr>
      <w:r>
        <w:rPr>
          <w:rFonts w:ascii="Arial" w:cs="Arial" w:eastAsia="Arial" w:hAnsi="Arial"/>
          <w:sz w:val="10"/>
          <w:szCs w:val="10"/>
          <w:color w:val="auto"/>
        </w:rPr>
        <w:t>While many of these initiatives will take time to scale, they represent important steps towards building the organisational capacity and commercial value chains that will lead to future large-scale carbon reductions.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FCF</w:t>
      </w:r>
    </w:p>
    <w:p>
      <w:pPr>
        <w:spacing w:after="0" w:line="227" w:lineRule="auto"/>
        <w:rPr>
          <w:sz w:val="20"/>
          <w:szCs w:val="20"/>
          <w:color w:val="auto"/>
        </w:rPr>
      </w:pPr>
      <w:r>
        <w:rPr>
          <w:rFonts w:ascii="Arial" w:cs="Arial" w:eastAsia="Arial" w:hAnsi="Arial"/>
          <w:sz w:val="10"/>
          <w:szCs w:val="10"/>
          <w:color w:val="auto"/>
        </w:rPr>
        <w:t>2019 LTIP award</w:t>
      </w:r>
    </w:p>
    <w:p>
      <w:pPr>
        <w:ind w:right="240"/>
        <w:spacing w:after="0" w:line="309" w:lineRule="auto"/>
        <w:rPr>
          <w:sz w:val="20"/>
          <w:szCs w:val="20"/>
          <w:color w:val="auto"/>
        </w:rPr>
      </w:pPr>
      <w:r>
        <w:rPr>
          <w:rFonts w:ascii="Arial" w:cs="Arial" w:eastAsia="Arial" w:hAnsi="Arial"/>
          <w:sz w:val="8"/>
          <w:szCs w:val="8"/>
          <w:color w:val="auto"/>
        </w:rPr>
        <w:t>At December 31, 2020, FCF performance is below target, with below-threshold outcomes for 2019 of $26.4 billion (target $35 billion) and for 2020 of $20.8 billion (target $38 billion). As one year of FCF performance remains, and 77.5% of the award is subject to relative and energy transition performance conditions, this does not reflect the potential vesting of the award.</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2020 LTIP award</w:t>
      </w:r>
    </w:p>
    <w:p>
      <w:pPr>
        <w:spacing w:after="0" w:line="1" w:lineRule="exact"/>
        <w:rPr>
          <w:sz w:val="20"/>
          <w:szCs w:val="20"/>
          <w:color w:val="auto"/>
        </w:rPr>
      </w:pPr>
    </w:p>
    <w:p>
      <w:pPr>
        <w:jc w:val="both"/>
        <w:ind w:right="180"/>
        <w:spacing w:after="0" w:line="229" w:lineRule="auto"/>
        <w:rPr>
          <w:sz w:val="20"/>
          <w:szCs w:val="20"/>
          <w:color w:val="auto"/>
        </w:rPr>
      </w:pPr>
      <w:r>
        <w:rPr>
          <w:rFonts w:ascii="Arial" w:cs="Arial" w:eastAsia="Arial" w:hAnsi="Arial"/>
          <w:sz w:val="10"/>
          <w:szCs w:val="10"/>
          <w:color w:val="auto"/>
        </w:rPr>
        <w:t>At December 31, 2020, FCF performance, $20.8 billion for 2020, is below threshold (target $38 billion). As two years of FCF performance remain, and 77.5% of the award is subject to relative and energy transition performance conditions, this does not reflect the potential vesting of the award.</w:t>
      </w:r>
    </w:p>
    <w:p>
      <w:pPr>
        <w:spacing w:after="0" w:line="3817" w:lineRule="exact"/>
        <w:rPr>
          <w:sz w:val="20"/>
          <w:szCs w:val="20"/>
          <w:color w:val="auto"/>
        </w:rPr>
      </w:pPr>
    </w:p>
    <w:p>
      <w:pPr>
        <w:sectPr>
          <w:pgSz w:w="11900" w:h="16838" w:orient="portrait"/>
          <w:cols w:equalWidth="0" w:num="2">
            <w:col w:w="5448" w:space="280"/>
            <w:col w:w="5580"/>
          </w:cols>
          <w:pgMar w:left="292" w:top="640" w:right="299" w:bottom="1440" w:gutter="0" w:footer="0" w:header="0"/>
        </w:sectPr>
      </w:pP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128</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0"/>
          <w:szCs w:val="10"/>
          <w:color w:val="auto"/>
        </w:rPr>
        <w:t>Statement of Directors’ shareholding and share interests (audited)</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Shareholding guidelines</w:t>
      </w:r>
    </w:p>
    <w:p>
      <w:pPr>
        <w:spacing w:after="0" w:line="1" w:lineRule="exact"/>
        <w:rPr>
          <w:sz w:val="20"/>
          <w:szCs w:val="20"/>
          <w:color w:val="auto"/>
        </w:rPr>
      </w:pPr>
    </w:p>
    <w:p>
      <w:pPr>
        <w:ind w:right="280"/>
        <w:spacing w:after="0" w:line="292" w:lineRule="auto"/>
        <w:rPr>
          <w:sz w:val="20"/>
          <w:szCs w:val="20"/>
          <w:color w:val="auto"/>
        </w:rPr>
      </w:pPr>
      <w:r>
        <w:rPr>
          <w:rFonts w:ascii="Arial" w:cs="Arial" w:eastAsia="Arial" w:hAnsi="Arial"/>
          <w:sz w:val="8"/>
          <w:szCs w:val="8"/>
          <w:color w:val="auto"/>
        </w:rPr>
        <w:t>The REMCO believes that Executive Directors should align their interests with those of shareholders by holding shares in Royal Dutch Shell plc (the Company). The CEO is expected to build a shareholding with a value of 700% of base salary, and the CFO 500%. The shareholding requirement extends post-employment, such that Executive Directors will be required to maintain their shareholding requirement, or the number of shares actually held if this is less than the shareholding requirement, for a period of two years post-employment. There is a Company-sponsored nominee account which allows for restrictions to be applied on the sale or transfer of shares that are subject to holding periods and individual shareholding requirements. The restrictions remain in force beyond the Executive Director’s employment.</w:t>
      </w:r>
    </w:p>
    <w:p>
      <w:pPr>
        <w:spacing w:after="0" w:line="130" w:lineRule="exact"/>
        <w:rPr>
          <w:sz w:val="20"/>
          <w:szCs w:val="20"/>
          <w:color w:val="auto"/>
        </w:rPr>
      </w:pPr>
    </w:p>
    <w:p>
      <w:pPr>
        <w:ind w:right="300"/>
        <w:spacing w:after="0" w:line="232" w:lineRule="auto"/>
        <w:rPr>
          <w:sz w:val="20"/>
          <w:szCs w:val="20"/>
          <w:color w:val="auto"/>
        </w:rPr>
      </w:pPr>
      <w:r>
        <w:rPr>
          <w:rFonts w:ascii="Arial" w:cs="Arial" w:eastAsia="Arial" w:hAnsi="Arial"/>
          <w:sz w:val="10"/>
          <w:szCs w:val="10"/>
          <w:color w:val="auto"/>
        </w:rPr>
        <w:t>Only unfettered shares count. Shares delivered that are subject to holding requirements also count towards the guidelines. The values of shares counting towards the shareholding guideline (as a percentage of base salary) for the CEO and CFO were 919% and 526%, respectively, at March 5, 2021. Non-executive Directors are encouraged to hold shares with a value equivalent to 100% of their fixed annual fee and to maintain that holding during their tenure.</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Executive Directors’ shareholding (audited)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5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00" w:type="dxa"/>
            <w:vAlign w:val="bottom"/>
          </w:tcPr>
          <w:p>
            <w:pPr>
              <w:jc w:val="right"/>
              <w:spacing w:after="0"/>
              <w:rPr>
                <w:sz w:val="20"/>
                <w:szCs w:val="20"/>
                <w:color w:val="auto"/>
              </w:rPr>
            </w:pPr>
            <w:r>
              <w:rPr>
                <w:rFonts w:ascii="Arial" w:cs="Arial" w:eastAsia="Arial" w:hAnsi="Arial"/>
                <w:sz w:val="8"/>
                <w:szCs w:val="8"/>
                <w:color w:val="auto"/>
                <w:w w:val="94"/>
              </w:rPr>
              <w:t>Value of shares counting towards guideline (%</w:t>
            </w:r>
          </w:p>
        </w:tc>
      </w:tr>
      <w:tr>
        <w:trPr>
          <w:trHeight w:val="111"/>
        </w:trPr>
        <w:tc>
          <w:tcPr>
            <w:tcW w:w="150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Shareholding guideline (% of base salary)</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of base salary at December 31, 2020) [A]</w:t>
            </w:r>
          </w:p>
        </w:tc>
      </w:tr>
      <w:tr>
        <w:trPr>
          <w:trHeight w:val="115"/>
        </w:trPr>
        <w:tc>
          <w:tcPr>
            <w:tcW w:w="1500" w:type="dxa"/>
            <w:vAlign w:val="bottom"/>
            <w:tcBorders>
              <w:bottom w:val="single" w:sz="8" w:color="595959"/>
            </w:tcBorders>
          </w:tcPr>
          <w:p>
            <w:pPr>
              <w:spacing w:after="0"/>
              <w:rPr>
                <w:sz w:val="20"/>
                <w:szCs w:val="20"/>
                <w:color w:val="auto"/>
              </w:rPr>
            </w:pPr>
            <w:r>
              <w:rPr>
                <w:rFonts w:ascii="Arial" w:cs="Arial" w:eastAsia="Arial" w:hAnsi="Arial"/>
                <w:sz w:val="8"/>
                <w:szCs w:val="8"/>
                <w:color w:val="auto"/>
              </w:rPr>
              <w:t>Ben van Beurden</w:t>
            </w:r>
          </w:p>
        </w:tc>
        <w:tc>
          <w:tcPr>
            <w:tcW w:w="234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700%</w:t>
            </w:r>
          </w:p>
        </w:tc>
        <w:tc>
          <w:tcPr>
            <w:tcW w:w="160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637 %</w:t>
            </w:r>
          </w:p>
        </w:tc>
      </w:tr>
      <w:tr>
        <w:trPr>
          <w:trHeight w:val="109"/>
        </w:trPr>
        <w:tc>
          <w:tcPr>
            <w:tcW w:w="1500" w:type="dxa"/>
            <w:vAlign w:val="bottom"/>
          </w:tcPr>
          <w:p>
            <w:pPr>
              <w:spacing w:after="0"/>
              <w:rPr>
                <w:sz w:val="20"/>
                <w:szCs w:val="20"/>
                <w:color w:val="auto"/>
              </w:rPr>
            </w:pPr>
            <w:r>
              <w:rPr>
                <w:rFonts w:ascii="Arial" w:cs="Arial" w:eastAsia="Arial" w:hAnsi="Arial"/>
                <w:sz w:val="8"/>
                <w:szCs w:val="8"/>
                <w:color w:val="auto"/>
              </w:rPr>
              <w:t>Jessica Uhl</w:t>
            </w:r>
          </w:p>
        </w:tc>
        <w:tc>
          <w:tcPr>
            <w:tcW w:w="2340" w:type="dxa"/>
            <w:vAlign w:val="bottom"/>
          </w:tcPr>
          <w:p>
            <w:pPr>
              <w:jc w:val="right"/>
              <w:spacing w:after="0"/>
              <w:rPr>
                <w:sz w:val="20"/>
                <w:szCs w:val="20"/>
                <w:color w:val="auto"/>
              </w:rPr>
            </w:pPr>
            <w:r>
              <w:rPr>
                <w:rFonts w:ascii="Arial" w:cs="Arial" w:eastAsia="Arial" w:hAnsi="Arial"/>
                <w:sz w:val="8"/>
                <w:szCs w:val="8"/>
                <w:color w:val="auto"/>
              </w:rPr>
              <w:t>500%</w:t>
            </w:r>
          </w:p>
        </w:tc>
        <w:tc>
          <w:tcPr>
            <w:tcW w:w="1600" w:type="dxa"/>
            <w:vAlign w:val="bottom"/>
          </w:tcPr>
          <w:p>
            <w:pPr>
              <w:jc w:val="right"/>
              <w:spacing w:after="0"/>
              <w:rPr>
                <w:sz w:val="20"/>
                <w:szCs w:val="20"/>
                <w:color w:val="auto"/>
              </w:rPr>
            </w:pPr>
            <w:r>
              <w:rPr>
                <w:rFonts w:ascii="Arial" w:cs="Arial" w:eastAsia="Arial" w:hAnsi="Arial"/>
                <w:sz w:val="8"/>
                <w:szCs w:val="8"/>
                <w:color w:val="auto"/>
              </w:rPr>
              <w:t>333 %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345757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rPr>
          <w:sz w:val="20"/>
          <w:szCs w:val="20"/>
          <w:color w:val="auto"/>
        </w:rPr>
      </w:pPr>
      <w:r>
        <w:rPr>
          <w:rFonts w:ascii="Arial" w:cs="Arial" w:eastAsia="Arial" w:hAnsi="Arial"/>
          <w:sz w:val="8"/>
          <w:szCs w:val="8"/>
          <w:color w:val="auto"/>
        </w:rPr>
        <w:t>[A] Following the vesting of the 2018 LTIP on March 5, 2021 their respective holdings are Ben van Beurden 919% and Jessica Uhl 526%.</w:t>
      </w:r>
    </w:p>
    <w:p>
      <w:pPr>
        <w:spacing w:after="0" w:line="165" w:lineRule="exact"/>
        <w:rPr>
          <w:sz w:val="20"/>
          <w:szCs w:val="20"/>
          <w:color w:val="auto"/>
        </w:rPr>
      </w:pPr>
    </w:p>
    <w:p>
      <w:pPr>
        <w:spacing w:after="0"/>
        <w:rPr>
          <w:sz w:val="20"/>
          <w:szCs w:val="20"/>
          <w:color w:val="auto"/>
        </w:rPr>
      </w:pPr>
      <w:r>
        <w:rPr>
          <w:rFonts w:ascii="Arial" w:cs="Arial" w:eastAsia="Arial" w:hAnsi="Arial"/>
          <w:sz w:val="10"/>
          <w:szCs w:val="10"/>
          <w:color w:val="auto"/>
        </w:rPr>
        <w:t>Directors’ share interests</w:t>
      </w:r>
    </w:p>
    <w:p>
      <w:pPr>
        <w:spacing w:after="0" w:line="1" w:lineRule="exact"/>
        <w:rPr>
          <w:sz w:val="20"/>
          <w:szCs w:val="20"/>
          <w:color w:val="auto"/>
        </w:rPr>
      </w:pPr>
    </w:p>
    <w:p>
      <w:pPr>
        <w:ind w:right="460"/>
        <w:spacing w:after="0" w:line="231" w:lineRule="auto"/>
        <w:rPr>
          <w:sz w:val="20"/>
          <w:szCs w:val="20"/>
          <w:color w:val="auto"/>
        </w:rPr>
      </w:pPr>
      <w:r>
        <w:rPr>
          <w:rFonts w:ascii="Arial" w:cs="Arial" w:eastAsia="Arial" w:hAnsi="Arial"/>
          <w:sz w:val="10"/>
          <w:szCs w:val="10"/>
          <w:color w:val="auto"/>
        </w:rPr>
        <w:t>The interests (in shares of the Company or calculated equivalents) of the Directors in office during 2020, including any interests of their connected persons, are set out in the table below.</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Directors’ share interests (audited)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420" w:type="dxa"/>
            <w:vAlign w:val="bottom"/>
            <w:tcBorders>
              <w:top w:val="single" w:sz="8" w:color="494949"/>
            </w:tcBorders>
          </w:tcPr>
          <w:p>
            <w:pPr>
              <w:spacing w:after="0"/>
              <w:rPr>
                <w:sz w:val="10"/>
                <w:szCs w:val="10"/>
                <w:color w:val="auto"/>
              </w:rPr>
            </w:pPr>
          </w:p>
        </w:tc>
        <w:tc>
          <w:tcPr>
            <w:tcW w:w="660" w:type="dxa"/>
            <w:vAlign w:val="bottom"/>
            <w:tcBorders>
              <w:top w:val="single" w:sz="8" w:color="494949"/>
            </w:tcBorders>
          </w:tcPr>
          <w:p>
            <w:pPr>
              <w:spacing w:after="0"/>
              <w:rPr>
                <w:sz w:val="10"/>
                <w:szCs w:val="10"/>
                <w:color w:val="auto"/>
              </w:rPr>
            </w:pPr>
          </w:p>
        </w:tc>
        <w:tc>
          <w:tcPr>
            <w:tcW w:w="480" w:type="dxa"/>
            <w:vAlign w:val="bottom"/>
            <w:tcBorders>
              <w:top w:val="single" w:sz="8" w:color="494949"/>
            </w:tcBorders>
          </w:tcPr>
          <w:p>
            <w:pPr>
              <w:spacing w:after="0"/>
              <w:rPr>
                <w:sz w:val="10"/>
                <w:szCs w:val="10"/>
                <w:color w:val="auto"/>
              </w:rPr>
            </w:pPr>
          </w:p>
        </w:tc>
        <w:tc>
          <w:tcPr>
            <w:tcW w:w="980" w:type="dxa"/>
            <w:vAlign w:val="bottom"/>
            <w:tcBorders>
              <w:top w:val="single" w:sz="8" w:color="494949"/>
            </w:tcBorders>
            <w:gridSpan w:val="2"/>
          </w:tcPr>
          <w:p>
            <w:pPr>
              <w:jc w:val="right"/>
              <w:ind w:right="178"/>
              <w:spacing w:after="0"/>
              <w:rPr>
                <w:sz w:val="20"/>
                <w:szCs w:val="20"/>
                <w:color w:val="auto"/>
              </w:rPr>
            </w:pPr>
            <w:r>
              <w:rPr>
                <w:rFonts w:ascii="Arial" w:cs="Arial" w:eastAsia="Arial" w:hAnsi="Arial"/>
                <w:sz w:val="8"/>
                <w:szCs w:val="8"/>
                <w:color w:val="auto"/>
              </w:rPr>
              <w:t>January 1, 2020</w:t>
            </w:r>
          </w:p>
        </w:tc>
        <w:tc>
          <w:tcPr>
            <w:tcW w:w="540" w:type="dxa"/>
            <w:vAlign w:val="bottom"/>
            <w:tcBorders>
              <w:top w:val="single" w:sz="8" w:color="494949"/>
            </w:tcBorders>
          </w:tcPr>
          <w:p>
            <w:pPr>
              <w:spacing w:after="0"/>
              <w:rPr>
                <w:sz w:val="10"/>
                <w:szCs w:val="10"/>
                <w:color w:val="auto"/>
              </w:rPr>
            </w:pPr>
          </w:p>
        </w:tc>
        <w:tc>
          <w:tcPr>
            <w:tcW w:w="160" w:type="dxa"/>
            <w:vAlign w:val="bottom"/>
            <w:tcBorders>
              <w:top w:val="single" w:sz="8" w:color="494949"/>
            </w:tcBorders>
          </w:tcPr>
          <w:p>
            <w:pPr>
              <w:spacing w:after="0"/>
              <w:rPr>
                <w:sz w:val="10"/>
                <w:szCs w:val="10"/>
                <w:color w:val="auto"/>
              </w:rPr>
            </w:pPr>
          </w:p>
        </w:tc>
        <w:tc>
          <w:tcPr>
            <w:tcW w:w="1060" w:type="dxa"/>
            <w:vAlign w:val="bottom"/>
            <w:tcBorders>
              <w:top w:val="single" w:sz="8" w:color="494949"/>
            </w:tcBorders>
            <w:gridSpan w:val="2"/>
          </w:tcPr>
          <w:p>
            <w:pPr>
              <w:jc w:val="right"/>
              <w:spacing w:after="0"/>
              <w:rPr>
                <w:sz w:val="20"/>
                <w:szCs w:val="20"/>
                <w:color w:val="auto"/>
              </w:rPr>
            </w:pPr>
            <w:r>
              <w:rPr>
                <w:rFonts w:ascii="Arial" w:cs="Arial" w:eastAsia="Arial" w:hAnsi="Arial"/>
                <w:sz w:val="8"/>
                <w:szCs w:val="8"/>
                <w:color w:val="auto"/>
              </w:rPr>
              <w:t>December 31, 2020</w:t>
            </w:r>
          </w:p>
        </w:tc>
        <w:tc>
          <w:tcPr>
            <w:tcW w:w="380" w:type="dxa"/>
            <w:vAlign w:val="bottom"/>
          </w:tcPr>
          <w:p>
            <w:pPr>
              <w:spacing w:after="0"/>
              <w:rPr>
                <w:sz w:val="10"/>
                <w:szCs w:val="10"/>
                <w:color w:val="auto"/>
              </w:rPr>
            </w:pPr>
          </w:p>
        </w:tc>
      </w:tr>
      <w:tr>
        <w:trPr>
          <w:trHeight w:val="21"/>
        </w:trPr>
        <w:tc>
          <w:tcPr>
            <w:tcW w:w="1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03"/>
        </w:trPr>
        <w:tc>
          <w:tcPr>
            <w:tcW w:w="142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A shares</w:t>
            </w:r>
          </w:p>
        </w:tc>
        <w:tc>
          <w:tcPr>
            <w:tcW w:w="48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B shares</w:t>
            </w:r>
          </w:p>
        </w:tc>
        <w:tc>
          <w:tcPr>
            <w:tcW w:w="5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A shares</w:t>
            </w:r>
          </w:p>
        </w:tc>
        <w:tc>
          <w:tcPr>
            <w:tcW w:w="16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B shares</w:t>
            </w: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114"/>
        </w:trPr>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8"/>
                <w:szCs w:val="8"/>
                <w:color w:val="auto"/>
                <w:w w:val="89"/>
              </w:rPr>
              <w:t>10000</w:t>
            </w:r>
          </w:p>
        </w:tc>
        <w:tc>
          <w:tcPr>
            <w:tcW w:w="6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r>
      <w:tr>
        <w:trPr>
          <w:trHeight w:val="115"/>
        </w:trPr>
        <w:tc>
          <w:tcPr>
            <w:tcW w:w="1420" w:type="dxa"/>
            <w:vAlign w:val="bottom"/>
            <w:tcBorders>
              <w:bottom w:val="single" w:sz="8" w:color="494949"/>
            </w:tcBorders>
          </w:tcPr>
          <w:p>
            <w:pPr>
              <w:spacing w:after="0"/>
              <w:rPr>
                <w:sz w:val="20"/>
                <w:szCs w:val="20"/>
                <w:color w:val="auto"/>
              </w:rPr>
            </w:pPr>
            <w:r>
              <w:rPr>
                <w:rFonts w:ascii="Arial" w:cs="Arial" w:eastAsia="Arial" w:hAnsi="Arial"/>
                <w:sz w:val="8"/>
                <w:szCs w:val="8"/>
                <w:b w:val="1"/>
                <w:bCs w:val="1"/>
                <w:color w:val="auto"/>
              </w:rPr>
              <w:t>Executive Directors [A]</w:t>
            </w:r>
          </w:p>
        </w:tc>
        <w:tc>
          <w:tcPr>
            <w:tcW w:w="660" w:type="dxa"/>
            <w:vAlign w:val="bottom"/>
            <w:tcBorders>
              <w:bottom w:val="single" w:sz="8" w:color="494949"/>
            </w:tcBorders>
          </w:tcPr>
          <w:p>
            <w:pPr>
              <w:spacing w:after="0"/>
              <w:rPr>
                <w:sz w:val="10"/>
                <w:szCs w:val="10"/>
                <w:color w:val="auto"/>
              </w:rPr>
            </w:pPr>
          </w:p>
        </w:tc>
        <w:tc>
          <w:tcPr>
            <w:tcW w:w="480" w:type="dxa"/>
            <w:vAlign w:val="bottom"/>
            <w:tcBorders>
              <w:bottom w:val="single" w:sz="8" w:color="494949"/>
            </w:tcBorders>
          </w:tcPr>
          <w:p>
            <w:pPr>
              <w:spacing w:after="0"/>
              <w:rPr>
                <w:sz w:val="10"/>
                <w:szCs w:val="10"/>
                <w:color w:val="auto"/>
              </w:rPr>
            </w:pPr>
          </w:p>
        </w:tc>
        <w:tc>
          <w:tcPr>
            <w:tcW w:w="44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tcPr>
          <w:p>
            <w:pPr>
              <w:spacing w:after="0"/>
              <w:rPr>
                <w:sz w:val="10"/>
                <w:szCs w:val="10"/>
                <w:color w:val="auto"/>
              </w:rPr>
            </w:pPr>
          </w:p>
        </w:tc>
        <w:tc>
          <w:tcPr>
            <w:tcW w:w="16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spacing w:after="0"/>
              <w:rPr>
                <w:sz w:val="10"/>
                <w:szCs w:val="10"/>
                <w:color w:val="auto"/>
              </w:rPr>
            </w:pPr>
          </w:p>
        </w:tc>
        <w:tc>
          <w:tcPr>
            <w:tcW w:w="340" w:type="dxa"/>
            <w:vAlign w:val="bottom"/>
            <w:tcBorders>
              <w:bottom w:val="single" w:sz="8" w:color="494949"/>
            </w:tcBorders>
          </w:tcPr>
          <w:p>
            <w:pPr>
              <w:spacing w:after="0"/>
              <w:rPr>
                <w:sz w:val="10"/>
                <w:szCs w:val="10"/>
                <w:color w:val="auto"/>
              </w:rPr>
            </w:pPr>
          </w:p>
        </w:tc>
        <w:tc>
          <w:tcPr>
            <w:tcW w:w="380" w:type="dxa"/>
            <w:vAlign w:val="bottom"/>
          </w:tcPr>
          <w:p>
            <w:pPr>
              <w:spacing w:after="0"/>
              <w:rPr>
                <w:sz w:val="10"/>
                <w:szCs w:val="10"/>
                <w:color w:val="auto"/>
              </w:rPr>
            </w:pPr>
          </w:p>
        </w:tc>
      </w:tr>
      <w:tr>
        <w:trPr>
          <w:trHeight w:val="115"/>
        </w:trPr>
        <w:tc>
          <w:tcPr>
            <w:tcW w:w="14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Ben van Beurden</w:t>
            </w:r>
          </w:p>
        </w:tc>
        <w:tc>
          <w:tcPr>
            <w:tcW w:w="6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647,426</w:t>
            </w:r>
          </w:p>
        </w:tc>
        <w:tc>
          <w:tcPr>
            <w:tcW w:w="480" w:type="dxa"/>
            <w:vAlign w:val="bottom"/>
            <w:tcBorders>
              <w:bottom w:val="single" w:sz="8" w:color="494949"/>
            </w:tcBorders>
          </w:tcPr>
          <w:p>
            <w:pPr>
              <w:spacing w:after="0"/>
              <w:rPr>
                <w:sz w:val="10"/>
                <w:szCs w:val="10"/>
                <w:color w:val="auto"/>
              </w:rPr>
            </w:pPr>
          </w:p>
        </w:tc>
        <w:tc>
          <w:tcPr>
            <w:tcW w:w="4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866433</w:t>
            </w:r>
          </w:p>
        </w:tc>
        <w:tc>
          <w:tcPr>
            <w:tcW w:w="160" w:type="dxa"/>
            <w:vAlign w:val="bottom"/>
            <w:tcBorders>
              <w:bottom w:val="single" w:sz="8" w:color="494949"/>
            </w:tcBorders>
          </w:tcPr>
          <w:p>
            <w:pPr>
              <w:ind w:left="20"/>
              <w:spacing w:after="0"/>
              <w:rPr>
                <w:sz w:val="20"/>
                <w:szCs w:val="20"/>
                <w:color w:val="auto"/>
              </w:rPr>
            </w:pPr>
            <w:r>
              <w:rPr>
                <w:rFonts w:ascii="Arial" w:cs="Arial" w:eastAsia="Arial" w:hAnsi="Arial"/>
                <w:sz w:val="8"/>
                <w:szCs w:val="8"/>
                <w:color w:val="auto"/>
              </w:rPr>
              <w:t>[B]</w:t>
            </w: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340" w:type="dxa"/>
            <w:vAlign w:val="bottom"/>
            <w:tcBorders>
              <w:bottom w:val="single" w:sz="8" w:color="494949"/>
            </w:tcBorders>
          </w:tcPr>
          <w:p>
            <w:pPr>
              <w:spacing w:after="0"/>
              <w:rPr>
                <w:sz w:val="10"/>
                <w:szCs w:val="10"/>
                <w:color w:val="auto"/>
              </w:rPr>
            </w:pPr>
          </w:p>
        </w:tc>
        <w:tc>
          <w:tcPr>
            <w:tcW w:w="380" w:type="dxa"/>
            <w:vAlign w:val="bottom"/>
          </w:tcPr>
          <w:p>
            <w:pPr>
              <w:spacing w:after="0"/>
              <w:rPr>
                <w:sz w:val="10"/>
                <w:szCs w:val="10"/>
                <w:color w:val="auto"/>
              </w:rPr>
            </w:pPr>
          </w:p>
        </w:tc>
      </w:tr>
      <w:tr>
        <w:trPr>
          <w:trHeight w:val="115"/>
        </w:trPr>
        <w:tc>
          <w:tcPr>
            <w:tcW w:w="142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Jessica Uhl</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116,168</w:t>
            </w:r>
          </w:p>
        </w:tc>
        <w:tc>
          <w:tcPr>
            <w:tcW w:w="48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[C]</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240557</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3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r>
      <w:tr>
        <w:trPr>
          <w:trHeight w:val="115"/>
        </w:trPr>
        <w:tc>
          <w:tcPr>
            <w:tcW w:w="1420" w:type="dxa"/>
            <w:vAlign w:val="bottom"/>
            <w:tcBorders>
              <w:bottom w:val="single" w:sz="8" w:color="494949"/>
            </w:tcBorders>
          </w:tcPr>
          <w:p>
            <w:pPr>
              <w:spacing w:after="0"/>
              <w:rPr>
                <w:sz w:val="20"/>
                <w:szCs w:val="20"/>
                <w:color w:val="auto"/>
              </w:rPr>
            </w:pPr>
            <w:r>
              <w:rPr>
                <w:rFonts w:ascii="Arial" w:cs="Arial" w:eastAsia="Arial" w:hAnsi="Arial"/>
                <w:sz w:val="8"/>
                <w:szCs w:val="8"/>
                <w:b w:val="1"/>
                <w:bCs w:val="1"/>
                <w:color w:val="auto"/>
              </w:rPr>
              <w:t>Non-executive Directors</w:t>
            </w:r>
          </w:p>
        </w:tc>
        <w:tc>
          <w:tcPr>
            <w:tcW w:w="660" w:type="dxa"/>
            <w:vAlign w:val="bottom"/>
            <w:tcBorders>
              <w:bottom w:val="single" w:sz="8" w:color="494949"/>
            </w:tcBorders>
          </w:tcPr>
          <w:p>
            <w:pPr>
              <w:spacing w:after="0"/>
              <w:rPr>
                <w:sz w:val="10"/>
                <w:szCs w:val="10"/>
                <w:color w:val="auto"/>
              </w:rPr>
            </w:pPr>
          </w:p>
        </w:tc>
        <w:tc>
          <w:tcPr>
            <w:tcW w:w="480" w:type="dxa"/>
            <w:vAlign w:val="bottom"/>
            <w:tcBorders>
              <w:bottom w:val="single" w:sz="8" w:color="494949"/>
            </w:tcBorders>
          </w:tcPr>
          <w:p>
            <w:pPr>
              <w:spacing w:after="0"/>
              <w:rPr>
                <w:sz w:val="10"/>
                <w:szCs w:val="10"/>
                <w:color w:val="auto"/>
              </w:rPr>
            </w:pPr>
          </w:p>
        </w:tc>
        <w:tc>
          <w:tcPr>
            <w:tcW w:w="44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tcPr>
          <w:p>
            <w:pPr>
              <w:spacing w:after="0"/>
              <w:rPr>
                <w:sz w:val="10"/>
                <w:szCs w:val="10"/>
                <w:color w:val="auto"/>
              </w:rPr>
            </w:pPr>
          </w:p>
        </w:tc>
        <w:tc>
          <w:tcPr>
            <w:tcW w:w="16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spacing w:after="0"/>
              <w:rPr>
                <w:sz w:val="10"/>
                <w:szCs w:val="10"/>
                <w:color w:val="auto"/>
              </w:rPr>
            </w:pPr>
          </w:p>
        </w:tc>
        <w:tc>
          <w:tcPr>
            <w:tcW w:w="340" w:type="dxa"/>
            <w:vAlign w:val="bottom"/>
            <w:tcBorders>
              <w:bottom w:val="single" w:sz="8" w:color="494949"/>
            </w:tcBorders>
          </w:tcPr>
          <w:p>
            <w:pPr>
              <w:spacing w:after="0"/>
              <w:rPr>
                <w:sz w:val="10"/>
                <w:szCs w:val="10"/>
                <w:color w:val="auto"/>
              </w:rPr>
            </w:pPr>
          </w:p>
        </w:tc>
        <w:tc>
          <w:tcPr>
            <w:tcW w:w="380" w:type="dxa"/>
            <w:vAlign w:val="bottom"/>
          </w:tcPr>
          <w:p>
            <w:pPr>
              <w:spacing w:after="0"/>
              <w:rPr>
                <w:sz w:val="10"/>
                <w:szCs w:val="10"/>
                <w:color w:val="auto"/>
              </w:rPr>
            </w:pPr>
          </w:p>
        </w:tc>
      </w:tr>
      <w:tr>
        <w:trPr>
          <w:trHeight w:val="115"/>
        </w:trPr>
        <w:tc>
          <w:tcPr>
            <w:tcW w:w="14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Dick Boer</w:t>
            </w:r>
          </w:p>
        </w:tc>
        <w:tc>
          <w:tcPr>
            <w:tcW w:w="6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10000</w:t>
            </w:r>
          </w:p>
        </w:tc>
        <w:tc>
          <w:tcPr>
            <w:tcW w:w="48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[E]</w:t>
            </w:r>
          </w:p>
        </w:tc>
        <w:tc>
          <w:tcPr>
            <w:tcW w:w="4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10000</w:t>
            </w:r>
          </w:p>
        </w:tc>
        <w:tc>
          <w:tcPr>
            <w:tcW w:w="16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340" w:type="dxa"/>
            <w:vAlign w:val="bottom"/>
            <w:tcBorders>
              <w:bottom w:val="single" w:sz="8" w:color="494949"/>
            </w:tcBorders>
          </w:tcPr>
          <w:p>
            <w:pPr>
              <w:spacing w:after="0"/>
              <w:rPr>
                <w:sz w:val="10"/>
                <w:szCs w:val="10"/>
                <w:color w:val="auto"/>
              </w:rPr>
            </w:pPr>
          </w:p>
        </w:tc>
        <w:tc>
          <w:tcPr>
            <w:tcW w:w="380" w:type="dxa"/>
            <w:vAlign w:val="bottom"/>
          </w:tcPr>
          <w:p>
            <w:pPr>
              <w:spacing w:after="0"/>
              <w:rPr>
                <w:sz w:val="10"/>
                <w:szCs w:val="10"/>
                <w:color w:val="auto"/>
              </w:rPr>
            </w:pPr>
          </w:p>
        </w:tc>
      </w:tr>
      <w:tr>
        <w:trPr>
          <w:trHeight w:val="115"/>
        </w:trPr>
        <w:tc>
          <w:tcPr>
            <w:tcW w:w="14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Neil Carson</w:t>
            </w:r>
          </w:p>
        </w:tc>
        <w:tc>
          <w:tcPr>
            <w:tcW w:w="6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16000</w:t>
            </w:r>
          </w:p>
        </w:tc>
        <w:tc>
          <w:tcPr>
            <w:tcW w:w="480" w:type="dxa"/>
            <w:vAlign w:val="bottom"/>
            <w:tcBorders>
              <w:bottom w:val="single" w:sz="8" w:color="494949"/>
            </w:tcBorders>
          </w:tcPr>
          <w:p>
            <w:pPr>
              <w:spacing w:after="0"/>
              <w:rPr>
                <w:sz w:val="10"/>
                <w:szCs w:val="10"/>
                <w:color w:val="auto"/>
              </w:rPr>
            </w:pPr>
          </w:p>
        </w:tc>
        <w:tc>
          <w:tcPr>
            <w:tcW w:w="4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16000</w:t>
            </w:r>
          </w:p>
        </w:tc>
        <w:tc>
          <w:tcPr>
            <w:tcW w:w="16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spacing w:after="0"/>
              <w:rPr>
                <w:sz w:val="10"/>
                <w:szCs w:val="10"/>
                <w:color w:val="auto"/>
              </w:rPr>
            </w:pPr>
          </w:p>
        </w:tc>
        <w:tc>
          <w:tcPr>
            <w:tcW w:w="340" w:type="dxa"/>
            <w:vAlign w:val="bottom"/>
            <w:tcBorders>
              <w:bottom w:val="single" w:sz="8" w:color="494949"/>
            </w:tcBorders>
          </w:tcPr>
          <w:p>
            <w:pPr>
              <w:spacing w:after="0"/>
              <w:rPr>
                <w:sz w:val="10"/>
                <w:szCs w:val="10"/>
                <w:color w:val="auto"/>
              </w:rPr>
            </w:pPr>
          </w:p>
        </w:tc>
        <w:tc>
          <w:tcPr>
            <w:tcW w:w="380" w:type="dxa"/>
            <w:vAlign w:val="bottom"/>
          </w:tcPr>
          <w:p>
            <w:pPr>
              <w:spacing w:after="0"/>
              <w:rPr>
                <w:sz w:val="10"/>
                <w:szCs w:val="10"/>
                <w:color w:val="auto"/>
              </w:rPr>
            </w:pPr>
          </w:p>
        </w:tc>
      </w:tr>
      <w:tr>
        <w:trPr>
          <w:trHeight w:val="115"/>
        </w:trPr>
        <w:tc>
          <w:tcPr>
            <w:tcW w:w="1420" w:type="dxa"/>
            <w:vAlign w:val="bottom"/>
          </w:tcPr>
          <w:p>
            <w:pPr>
              <w:spacing w:after="0"/>
              <w:rPr>
                <w:sz w:val="20"/>
                <w:szCs w:val="20"/>
                <w:color w:val="auto"/>
              </w:rPr>
            </w:pPr>
            <w:r>
              <w:rPr>
                <w:rFonts w:ascii="Arial" w:cs="Arial" w:eastAsia="Arial" w:hAnsi="Arial"/>
                <w:sz w:val="8"/>
                <w:szCs w:val="8"/>
                <w:color w:val="auto"/>
              </w:rPr>
              <w:t>Ann Godbehere</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4,700</w:t>
            </w:r>
          </w:p>
        </w:tc>
        <w:tc>
          <w:tcPr>
            <w:tcW w:w="540" w:type="dxa"/>
            <w:vAlign w:val="bottom"/>
          </w:tcPr>
          <w:p>
            <w:pPr>
              <w:jc w:val="right"/>
              <w:ind w:right="178"/>
              <w:spacing w:after="0"/>
              <w:rPr>
                <w:sz w:val="20"/>
                <w:szCs w:val="20"/>
                <w:color w:val="auto"/>
              </w:rPr>
            </w:pPr>
            <w:r>
              <w:rPr>
                <w:rFonts w:ascii="Arial" w:cs="Arial" w:eastAsia="Arial" w:hAnsi="Arial"/>
                <w:sz w:val="8"/>
                <w:szCs w:val="8"/>
                <w:color w:val="auto"/>
              </w:rPr>
              <w:t>[F]</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10000</w:t>
            </w:r>
          </w:p>
        </w:tc>
        <w:tc>
          <w:tcPr>
            <w:tcW w:w="720" w:type="dxa"/>
            <w:vAlign w:val="bottom"/>
            <w:gridSpan w:val="2"/>
          </w:tcPr>
          <w:p>
            <w:pPr>
              <w:jc w:val="right"/>
              <w:ind w:right="400"/>
              <w:spacing w:after="0"/>
              <w:rPr>
                <w:sz w:val="20"/>
                <w:szCs w:val="20"/>
                <w:color w:val="auto"/>
              </w:rPr>
            </w:pPr>
            <w:r>
              <w:rPr>
                <w:rFonts w:ascii="Arial" w:cs="Arial" w:eastAsia="Arial" w:hAnsi="Arial"/>
                <w:sz w:val="8"/>
                <w:szCs w:val="8"/>
                <w:color w:val="auto"/>
              </w:rPr>
              <w:t>[G]</w:t>
            </w:r>
          </w:p>
        </w:tc>
      </w:tr>
      <w:tr>
        <w:trPr>
          <w:trHeight w:val="115"/>
        </w:trPr>
        <w:tc>
          <w:tcPr>
            <w:tcW w:w="1420" w:type="dxa"/>
            <w:vAlign w:val="bottom"/>
            <w:tcBorders>
              <w:top w:val="single" w:sz="8" w:color="494949"/>
              <w:bottom w:val="single" w:sz="8" w:color="494949"/>
            </w:tcBorders>
          </w:tcPr>
          <w:p>
            <w:pPr>
              <w:spacing w:after="0"/>
              <w:rPr>
                <w:sz w:val="20"/>
                <w:szCs w:val="20"/>
                <w:color w:val="auto"/>
              </w:rPr>
            </w:pPr>
            <w:r>
              <w:rPr>
                <w:rFonts w:ascii="Arial" w:cs="Arial" w:eastAsia="Arial" w:hAnsi="Arial"/>
                <w:sz w:val="8"/>
                <w:szCs w:val="8"/>
                <w:color w:val="auto"/>
              </w:rPr>
              <w:t>Euleen Goh</w:t>
            </w:r>
          </w:p>
        </w:tc>
        <w:tc>
          <w:tcPr>
            <w:tcW w:w="660" w:type="dxa"/>
            <w:vAlign w:val="bottom"/>
            <w:tcBorders>
              <w:top w:val="single" w:sz="8" w:color="494949"/>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480" w:type="dxa"/>
            <w:vAlign w:val="bottom"/>
            <w:tcBorders>
              <w:top w:val="single" w:sz="8" w:color="494949"/>
              <w:bottom w:val="single" w:sz="8" w:color="494949"/>
            </w:tcBorders>
          </w:tcPr>
          <w:p>
            <w:pPr>
              <w:spacing w:after="0"/>
              <w:rPr>
                <w:sz w:val="10"/>
                <w:szCs w:val="10"/>
                <w:color w:val="auto"/>
              </w:rPr>
            </w:pPr>
          </w:p>
        </w:tc>
        <w:tc>
          <w:tcPr>
            <w:tcW w:w="440" w:type="dxa"/>
            <w:vAlign w:val="bottom"/>
            <w:tcBorders>
              <w:top w:val="single" w:sz="8" w:color="494949"/>
              <w:bottom w:val="single" w:sz="8" w:color="494949"/>
            </w:tcBorders>
          </w:tcPr>
          <w:p>
            <w:pPr>
              <w:jc w:val="right"/>
              <w:spacing w:after="0"/>
              <w:rPr>
                <w:sz w:val="20"/>
                <w:szCs w:val="20"/>
                <w:color w:val="auto"/>
              </w:rPr>
            </w:pPr>
            <w:r>
              <w:rPr>
                <w:rFonts w:ascii="Arial" w:cs="Arial" w:eastAsia="Arial" w:hAnsi="Arial"/>
                <w:sz w:val="8"/>
                <w:szCs w:val="8"/>
                <w:color w:val="auto"/>
              </w:rPr>
              <w:t>12,895</w:t>
            </w:r>
          </w:p>
        </w:tc>
        <w:tc>
          <w:tcPr>
            <w:tcW w:w="540" w:type="dxa"/>
            <w:vAlign w:val="bottom"/>
            <w:tcBorders>
              <w:top w:val="single" w:sz="8" w:color="494949"/>
              <w:bottom w:val="single" w:sz="8" w:color="494949"/>
            </w:tcBorders>
          </w:tcPr>
          <w:p>
            <w:pPr>
              <w:spacing w:after="0"/>
              <w:rPr>
                <w:sz w:val="10"/>
                <w:szCs w:val="10"/>
                <w:color w:val="auto"/>
              </w:rPr>
            </w:pPr>
          </w:p>
        </w:tc>
        <w:tc>
          <w:tcPr>
            <w:tcW w:w="540" w:type="dxa"/>
            <w:vAlign w:val="bottom"/>
            <w:tcBorders>
              <w:top w:val="single" w:sz="8" w:color="494949"/>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160" w:type="dxa"/>
            <w:vAlign w:val="bottom"/>
            <w:tcBorders>
              <w:top w:val="single" w:sz="8" w:color="494949"/>
              <w:bottom w:val="single" w:sz="8" w:color="494949"/>
            </w:tcBorders>
          </w:tcPr>
          <w:p>
            <w:pPr>
              <w:spacing w:after="0"/>
              <w:rPr>
                <w:sz w:val="10"/>
                <w:szCs w:val="10"/>
                <w:color w:val="auto"/>
              </w:rPr>
            </w:pPr>
          </w:p>
        </w:tc>
        <w:tc>
          <w:tcPr>
            <w:tcW w:w="720" w:type="dxa"/>
            <w:vAlign w:val="bottom"/>
            <w:tcBorders>
              <w:top w:val="single" w:sz="8" w:color="494949"/>
              <w:bottom w:val="single" w:sz="8" w:color="494949"/>
            </w:tcBorders>
          </w:tcPr>
          <w:p>
            <w:pPr>
              <w:jc w:val="right"/>
              <w:spacing w:after="0"/>
              <w:rPr>
                <w:sz w:val="20"/>
                <w:szCs w:val="20"/>
                <w:color w:val="auto"/>
              </w:rPr>
            </w:pPr>
            <w:r>
              <w:rPr>
                <w:rFonts w:ascii="Arial" w:cs="Arial" w:eastAsia="Arial" w:hAnsi="Arial"/>
                <w:sz w:val="8"/>
                <w:szCs w:val="8"/>
                <w:color w:val="auto"/>
              </w:rPr>
              <w:t>12,895</w:t>
            </w:r>
          </w:p>
        </w:tc>
        <w:tc>
          <w:tcPr>
            <w:tcW w:w="340" w:type="dxa"/>
            <w:vAlign w:val="bottom"/>
            <w:tcBorders>
              <w:top w:val="single" w:sz="8" w:color="494949"/>
              <w:bottom w:val="single" w:sz="8" w:color="494949"/>
            </w:tcBorders>
          </w:tcPr>
          <w:p>
            <w:pPr>
              <w:spacing w:after="0"/>
              <w:rPr>
                <w:sz w:val="10"/>
                <w:szCs w:val="10"/>
                <w:color w:val="auto"/>
              </w:rPr>
            </w:pPr>
          </w:p>
        </w:tc>
        <w:tc>
          <w:tcPr>
            <w:tcW w:w="380" w:type="dxa"/>
            <w:vAlign w:val="bottom"/>
          </w:tcPr>
          <w:p>
            <w:pPr>
              <w:spacing w:after="0"/>
              <w:rPr>
                <w:sz w:val="10"/>
                <w:szCs w:val="10"/>
                <w:color w:val="auto"/>
              </w:rPr>
            </w:pPr>
          </w:p>
        </w:tc>
      </w:tr>
      <w:tr>
        <w:trPr>
          <w:trHeight w:val="115"/>
        </w:trPr>
        <w:tc>
          <w:tcPr>
            <w:tcW w:w="14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Charles O. Holliday</w:t>
            </w:r>
          </w:p>
        </w:tc>
        <w:tc>
          <w:tcPr>
            <w:tcW w:w="6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480" w:type="dxa"/>
            <w:vAlign w:val="bottom"/>
            <w:tcBorders>
              <w:bottom w:val="single" w:sz="8" w:color="494949"/>
            </w:tcBorders>
          </w:tcPr>
          <w:p>
            <w:pPr>
              <w:spacing w:after="0"/>
              <w:rPr>
                <w:sz w:val="10"/>
                <w:szCs w:val="10"/>
                <w:color w:val="auto"/>
              </w:rPr>
            </w:pPr>
          </w:p>
        </w:tc>
        <w:tc>
          <w:tcPr>
            <w:tcW w:w="4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50,000</w:t>
            </w:r>
          </w:p>
        </w:tc>
        <w:tc>
          <w:tcPr>
            <w:tcW w:w="540" w:type="dxa"/>
            <w:vAlign w:val="bottom"/>
            <w:tcBorders>
              <w:bottom w:val="single" w:sz="8" w:color="494949"/>
            </w:tcBorders>
          </w:tcPr>
          <w:p>
            <w:pPr>
              <w:jc w:val="right"/>
              <w:ind w:right="178"/>
              <w:spacing w:after="0"/>
              <w:rPr>
                <w:sz w:val="20"/>
                <w:szCs w:val="20"/>
                <w:color w:val="auto"/>
              </w:rPr>
            </w:pPr>
            <w:r>
              <w:rPr>
                <w:rFonts w:ascii="Arial" w:cs="Arial" w:eastAsia="Arial" w:hAnsi="Arial"/>
                <w:sz w:val="8"/>
                <w:szCs w:val="8"/>
                <w:color w:val="auto"/>
              </w:rPr>
              <w:t>[H]</w:t>
            </w:r>
          </w:p>
        </w:tc>
        <w:tc>
          <w:tcPr>
            <w:tcW w:w="5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50,000</w:t>
            </w:r>
          </w:p>
        </w:tc>
        <w:tc>
          <w:tcPr>
            <w:tcW w:w="3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[H]</w:t>
            </w:r>
          </w:p>
        </w:tc>
        <w:tc>
          <w:tcPr>
            <w:tcW w:w="380" w:type="dxa"/>
            <w:vAlign w:val="bottom"/>
          </w:tcPr>
          <w:p>
            <w:pPr>
              <w:spacing w:after="0"/>
              <w:rPr>
                <w:sz w:val="10"/>
                <w:szCs w:val="10"/>
                <w:color w:val="auto"/>
              </w:rPr>
            </w:pPr>
          </w:p>
        </w:tc>
      </w:tr>
      <w:tr>
        <w:trPr>
          <w:trHeight w:val="115"/>
        </w:trPr>
        <w:tc>
          <w:tcPr>
            <w:tcW w:w="14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Catherine J. Hughes</w:t>
            </w:r>
          </w:p>
        </w:tc>
        <w:tc>
          <w:tcPr>
            <w:tcW w:w="6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4,080</w:t>
            </w:r>
          </w:p>
        </w:tc>
        <w:tc>
          <w:tcPr>
            <w:tcW w:w="480" w:type="dxa"/>
            <w:vAlign w:val="bottom"/>
            <w:tcBorders>
              <w:bottom w:val="single" w:sz="8" w:color="494949"/>
            </w:tcBorders>
          </w:tcPr>
          <w:p>
            <w:pPr>
              <w:spacing w:after="0"/>
              <w:rPr>
                <w:sz w:val="10"/>
                <w:szCs w:val="10"/>
                <w:color w:val="auto"/>
              </w:rPr>
            </w:pPr>
          </w:p>
        </w:tc>
        <w:tc>
          <w:tcPr>
            <w:tcW w:w="4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51,904</w:t>
            </w:r>
          </w:p>
        </w:tc>
        <w:tc>
          <w:tcPr>
            <w:tcW w:w="540" w:type="dxa"/>
            <w:vAlign w:val="bottom"/>
            <w:tcBorders>
              <w:bottom w:val="single" w:sz="8" w:color="494949"/>
            </w:tcBorders>
          </w:tcPr>
          <w:p>
            <w:pPr>
              <w:ind w:left="20"/>
              <w:spacing w:after="0"/>
              <w:rPr>
                <w:sz w:val="20"/>
                <w:szCs w:val="20"/>
                <w:color w:val="auto"/>
              </w:rPr>
            </w:pPr>
            <w:r>
              <w:rPr>
                <w:rFonts w:ascii="Arial" w:cs="Arial" w:eastAsia="Arial" w:hAnsi="Arial"/>
                <w:sz w:val="8"/>
                <w:szCs w:val="8"/>
                <w:color w:val="auto"/>
              </w:rPr>
              <w:t>[I]</w:t>
            </w:r>
          </w:p>
        </w:tc>
        <w:tc>
          <w:tcPr>
            <w:tcW w:w="5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4,080</w:t>
            </w:r>
          </w:p>
        </w:tc>
        <w:tc>
          <w:tcPr>
            <w:tcW w:w="16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51,904</w:t>
            </w:r>
          </w:p>
        </w:tc>
        <w:tc>
          <w:tcPr>
            <w:tcW w:w="3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[I]</w:t>
            </w:r>
          </w:p>
        </w:tc>
        <w:tc>
          <w:tcPr>
            <w:tcW w:w="380" w:type="dxa"/>
            <w:vAlign w:val="bottom"/>
          </w:tcPr>
          <w:p>
            <w:pPr>
              <w:spacing w:after="0"/>
              <w:rPr>
                <w:sz w:val="10"/>
                <w:szCs w:val="10"/>
                <w:color w:val="auto"/>
              </w:rPr>
            </w:pPr>
          </w:p>
        </w:tc>
      </w:tr>
      <w:tr>
        <w:trPr>
          <w:trHeight w:val="115"/>
        </w:trPr>
        <w:tc>
          <w:tcPr>
            <w:tcW w:w="1420" w:type="dxa"/>
            <w:vAlign w:val="bottom"/>
          </w:tcPr>
          <w:p>
            <w:pPr>
              <w:spacing w:after="0"/>
              <w:rPr>
                <w:sz w:val="20"/>
                <w:szCs w:val="20"/>
                <w:color w:val="auto"/>
              </w:rPr>
            </w:pPr>
            <w:r>
              <w:rPr>
                <w:rFonts w:ascii="Arial" w:cs="Arial" w:eastAsia="Arial" w:hAnsi="Arial"/>
                <w:sz w:val="8"/>
                <w:szCs w:val="8"/>
                <w:color w:val="auto"/>
              </w:rPr>
              <w:t>Martina Hund-Mejean</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1578</w:t>
            </w:r>
          </w:p>
        </w:tc>
        <w:tc>
          <w:tcPr>
            <w:tcW w:w="540" w:type="dxa"/>
            <w:vAlign w:val="bottom"/>
          </w:tcPr>
          <w:p>
            <w:pPr>
              <w:ind w:left="20"/>
              <w:spacing w:after="0"/>
              <w:rPr>
                <w:sz w:val="20"/>
                <w:szCs w:val="20"/>
                <w:color w:val="auto"/>
              </w:rPr>
            </w:pPr>
            <w:r>
              <w:rPr>
                <w:rFonts w:ascii="Arial" w:cs="Arial" w:eastAsia="Arial" w:hAnsi="Arial"/>
                <w:sz w:val="8"/>
                <w:szCs w:val="8"/>
                <w:color w:val="auto"/>
              </w:rPr>
              <w:t>[J]</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20000</w:t>
            </w:r>
          </w:p>
        </w:tc>
        <w:tc>
          <w:tcPr>
            <w:tcW w:w="720" w:type="dxa"/>
            <w:vAlign w:val="bottom"/>
            <w:gridSpan w:val="2"/>
          </w:tcPr>
          <w:p>
            <w:pPr>
              <w:jc w:val="right"/>
              <w:ind w:right="600"/>
              <w:spacing w:after="0"/>
              <w:rPr>
                <w:sz w:val="20"/>
                <w:szCs w:val="20"/>
                <w:color w:val="auto"/>
              </w:rPr>
            </w:pPr>
            <w:r>
              <w:rPr>
                <w:rFonts w:ascii="Arial" w:cs="Arial" w:eastAsia="Arial" w:hAnsi="Arial"/>
                <w:sz w:val="8"/>
                <w:szCs w:val="8"/>
                <w:color w:val="auto"/>
              </w:rPr>
              <w:t>[K]</w:t>
            </w:r>
          </w:p>
        </w:tc>
      </w:tr>
      <w:tr>
        <w:trPr>
          <w:trHeight w:val="115"/>
        </w:trPr>
        <w:tc>
          <w:tcPr>
            <w:tcW w:w="1420" w:type="dxa"/>
            <w:vAlign w:val="bottom"/>
            <w:tcBorders>
              <w:top w:val="single" w:sz="8" w:color="494949"/>
              <w:bottom w:val="single" w:sz="8" w:color="494949"/>
            </w:tcBorders>
          </w:tcPr>
          <w:p>
            <w:pPr>
              <w:spacing w:after="0"/>
              <w:rPr>
                <w:sz w:val="20"/>
                <w:szCs w:val="20"/>
                <w:color w:val="auto"/>
              </w:rPr>
            </w:pPr>
            <w:r>
              <w:rPr>
                <w:rFonts w:ascii="Arial" w:cs="Arial" w:eastAsia="Arial" w:hAnsi="Arial"/>
                <w:sz w:val="8"/>
                <w:szCs w:val="8"/>
                <w:color w:val="auto"/>
              </w:rPr>
              <w:t>Gerard Kleisterlee</w:t>
            </w:r>
          </w:p>
        </w:tc>
        <w:tc>
          <w:tcPr>
            <w:tcW w:w="660" w:type="dxa"/>
            <w:vAlign w:val="bottom"/>
            <w:tcBorders>
              <w:top w:val="single" w:sz="8" w:color="494949"/>
              <w:bottom w:val="single" w:sz="8" w:color="494949"/>
            </w:tcBorders>
          </w:tcPr>
          <w:p>
            <w:pPr>
              <w:jc w:val="right"/>
              <w:spacing w:after="0"/>
              <w:rPr>
                <w:sz w:val="20"/>
                <w:szCs w:val="20"/>
                <w:color w:val="auto"/>
              </w:rPr>
            </w:pPr>
            <w:r>
              <w:rPr>
                <w:rFonts w:ascii="Arial" w:cs="Arial" w:eastAsia="Arial" w:hAnsi="Arial"/>
                <w:sz w:val="8"/>
                <w:szCs w:val="8"/>
                <w:color w:val="auto"/>
              </w:rPr>
              <w:t>5254</w:t>
            </w:r>
          </w:p>
        </w:tc>
        <w:tc>
          <w:tcPr>
            <w:tcW w:w="480" w:type="dxa"/>
            <w:vAlign w:val="bottom"/>
            <w:tcBorders>
              <w:top w:val="single" w:sz="8" w:color="494949"/>
              <w:bottom w:val="single" w:sz="8" w:color="494949"/>
            </w:tcBorders>
          </w:tcPr>
          <w:p>
            <w:pPr>
              <w:spacing w:after="0"/>
              <w:rPr>
                <w:sz w:val="10"/>
                <w:szCs w:val="10"/>
                <w:color w:val="auto"/>
              </w:rPr>
            </w:pPr>
          </w:p>
        </w:tc>
        <w:tc>
          <w:tcPr>
            <w:tcW w:w="440" w:type="dxa"/>
            <w:vAlign w:val="bottom"/>
            <w:tcBorders>
              <w:top w:val="single" w:sz="8" w:color="494949"/>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540" w:type="dxa"/>
            <w:vAlign w:val="bottom"/>
            <w:tcBorders>
              <w:top w:val="single" w:sz="8" w:color="494949"/>
              <w:bottom w:val="single" w:sz="8" w:color="494949"/>
            </w:tcBorders>
          </w:tcPr>
          <w:p>
            <w:pPr>
              <w:spacing w:after="0"/>
              <w:rPr>
                <w:sz w:val="10"/>
                <w:szCs w:val="10"/>
                <w:color w:val="auto"/>
              </w:rPr>
            </w:pPr>
          </w:p>
        </w:tc>
        <w:tc>
          <w:tcPr>
            <w:tcW w:w="540" w:type="dxa"/>
            <w:vAlign w:val="bottom"/>
            <w:tcBorders>
              <w:top w:val="single" w:sz="8" w:color="494949"/>
              <w:bottom w:val="single" w:sz="8" w:color="494949"/>
            </w:tcBorders>
          </w:tcPr>
          <w:p>
            <w:pPr>
              <w:jc w:val="right"/>
              <w:spacing w:after="0"/>
              <w:rPr>
                <w:sz w:val="20"/>
                <w:szCs w:val="20"/>
                <w:color w:val="auto"/>
              </w:rPr>
            </w:pPr>
            <w:r>
              <w:rPr>
                <w:rFonts w:ascii="Arial" w:cs="Arial" w:eastAsia="Arial" w:hAnsi="Arial"/>
                <w:sz w:val="8"/>
                <w:szCs w:val="8"/>
                <w:color w:val="auto"/>
              </w:rPr>
              <w:t>15254</w:t>
            </w:r>
          </w:p>
        </w:tc>
        <w:tc>
          <w:tcPr>
            <w:tcW w:w="160" w:type="dxa"/>
            <w:vAlign w:val="bottom"/>
            <w:tcBorders>
              <w:top w:val="single" w:sz="8" w:color="494949"/>
              <w:bottom w:val="single" w:sz="8" w:color="494949"/>
            </w:tcBorders>
          </w:tcPr>
          <w:p>
            <w:pPr>
              <w:ind w:left="20"/>
              <w:spacing w:after="0"/>
              <w:rPr>
                <w:sz w:val="20"/>
                <w:szCs w:val="20"/>
                <w:color w:val="auto"/>
              </w:rPr>
            </w:pPr>
            <w:r>
              <w:rPr>
                <w:rFonts w:ascii="Arial" w:cs="Arial" w:eastAsia="Arial" w:hAnsi="Arial"/>
                <w:sz w:val="8"/>
                <w:szCs w:val="8"/>
                <w:color w:val="auto"/>
              </w:rPr>
              <w:t>[L]</w:t>
            </w:r>
          </w:p>
        </w:tc>
        <w:tc>
          <w:tcPr>
            <w:tcW w:w="720" w:type="dxa"/>
            <w:vAlign w:val="bottom"/>
            <w:tcBorders>
              <w:top w:val="single" w:sz="8" w:color="494949"/>
              <w:bottom w:val="single" w:sz="8" w:color="494949"/>
            </w:tcBorders>
          </w:tcPr>
          <w:p>
            <w:pPr>
              <w:jc w:val="right"/>
              <w:ind w:right="458"/>
              <w:spacing w:after="0"/>
              <w:rPr>
                <w:sz w:val="20"/>
                <w:szCs w:val="20"/>
                <w:color w:val="auto"/>
              </w:rPr>
            </w:pPr>
            <w:r>
              <w:rPr>
                <w:rFonts w:ascii="Arial" w:cs="Arial" w:eastAsia="Arial" w:hAnsi="Arial"/>
                <w:sz w:val="8"/>
                <w:szCs w:val="8"/>
                <w:color w:val="auto"/>
              </w:rPr>
              <w:t>–</w:t>
            </w:r>
          </w:p>
        </w:tc>
        <w:tc>
          <w:tcPr>
            <w:tcW w:w="340" w:type="dxa"/>
            <w:vAlign w:val="bottom"/>
            <w:tcBorders>
              <w:top w:val="single" w:sz="8" w:color="494949"/>
              <w:bottom w:val="single" w:sz="8" w:color="494949"/>
            </w:tcBorders>
          </w:tcPr>
          <w:p>
            <w:pPr>
              <w:spacing w:after="0"/>
              <w:rPr>
                <w:sz w:val="10"/>
                <w:szCs w:val="10"/>
                <w:color w:val="auto"/>
              </w:rPr>
            </w:pPr>
          </w:p>
        </w:tc>
        <w:tc>
          <w:tcPr>
            <w:tcW w:w="380" w:type="dxa"/>
            <w:vAlign w:val="bottom"/>
          </w:tcPr>
          <w:p>
            <w:pPr>
              <w:spacing w:after="0"/>
              <w:rPr>
                <w:sz w:val="10"/>
                <w:szCs w:val="10"/>
                <w:color w:val="auto"/>
              </w:rPr>
            </w:pPr>
          </w:p>
        </w:tc>
      </w:tr>
      <w:tr>
        <w:trPr>
          <w:trHeight w:val="115"/>
        </w:trPr>
        <w:tc>
          <w:tcPr>
            <w:tcW w:w="14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Sir Andrew Mackenzie</w:t>
            </w:r>
          </w:p>
        </w:tc>
        <w:tc>
          <w:tcPr>
            <w:tcW w:w="6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480" w:type="dxa"/>
            <w:vAlign w:val="bottom"/>
            <w:tcBorders>
              <w:bottom w:val="single" w:sz="8" w:color="494949"/>
            </w:tcBorders>
          </w:tcPr>
          <w:p>
            <w:pPr>
              <w:spacing w:after="0"/>
              <w:rPr>
                <w:sz w:val="10"/>
                <w:szCs w:val="10"/>
                <w:color w:val="auto"/>
              </w:rPr>
            </w:pPr>
          </w:p>
        </w:tc>
        <w:tc>
          <w:tcPr>
            <w:tcW w:w="4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10048</w:t>
            </w:r>
          </w:p>
        </w:tc>
        <w:tc>
          <w:tcPr>
            <w:tcW w:w="340" w:type="dxa"/>
            <w:vAlign w:val="bottom"/>
            <w:tcBorders>
              <w:bottom w:val="single" w:sz="8" w:color="494949"/>
            </w:tcBorders>
          </w:tcPr>
          <w:p>
            <w:pPr>
              <w:spacing w:after="0"/>
              <w:rPr>
                <w:sz w:val="10"/>
                <w:szCs w:val="10"/>
                <w:color w:val="auto"/>
              </w:rPr>
            </w:pPr>
          </w:p>
        </w:tc>
        <w:tc>
          <w:tcPr>
            <w:tcW w:w="380" w:type="dxa"/>
            <w:vAlign w:val="bottom"/>
          </w:tcPr>
          <w:p>
            <w:pPr>
              <w:spacing w:after="0"/>
              <w:rPr>
                <w:sz w:val="10"/>
                <w:szCs w:val="10"/>
                <w:color w:val="auto"/>
              </w:rPr>
            </w:pPr>
          </w:p>
        </w:tc>
      </w:tr>
      <w:tr>
        <w:trPr>
          <w:trHeight w:val="115"/>
        </w:trPr>
        <w:tc>
          <w:tcPr>
            <w:tcW w:w="14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Abraham Schot [M]</w:t>
            </w:r>
          </w:p>
        </w:tc>
        <w:tc>
          <w:tcPr>
            <w:tcW w:w="6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480" w:type="dxa"/>
            <w:vAlign w:val="bottom"/>
            <w:tcBorders>
              <w:bottom w:val="single" w:sz="8" w:color="494949"/>
            </w:tcBorders>
          </w:tcPr>
          <w:p>
            <w:pPr>
              <w:spacing w:after="0"/>
              <w:rPr>
                <w:sz w:val="10"/>
                <w:szCs w:val="10"/>
                <w:color w:val="auto"/>
              </w:rPr>
            </w:pPr>
          </w:p>
        </w:tc>
        <w:tc>
          <w:tcPr>
            <w:tcW w:w="4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340" w:type="dxa"/>
            <w:vAlign w:val="bottom"/>
            <w:tcBorders>
              <w:bottom w:val="single" w:sz="8" w:color="494949"/>
            </w:tcBorders>
          </w:tcPr>
          <w:p>
            <w:pPr>
              <w:spacing w:after="0"/>
              <w:rPr>
                <w:sz w:val="10"/>
                <w:szCs w:val="10"/>
                <w:color w:val="auto"/>
              </w:rPr>
            </w:pPr>
          </w:p>
        </w:tc>
        <w:tc>
          <w:tcPr>
            <w:tcW w:w="380" w:type="dxa"/>
            <w:vAlign w:val="bottom"/>
          </w:tcPr>
          <w:p>
            <w:pPr>
              <w:spacing w:after="0"/>
              <w:rPr>
                <w:sz w:val="10"/>
                <w:szCs w:val="10"/>
                <w:color w:val="auto"/>
              </w:rPr>
            </w:pPr>
          </w:p>
        </w:tc>
      </w:tr>
      <w:tr>
        <w:trPr>
          <w:trHeight w:val="115"/>
        </w:trPr>
        <w:tc>
          <w:tcPr>
            <w:tcW w:w="14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Roberto Setubal</w:t>
            </w:r>
          </w:p>
        </w:tc>
        <w:tc>
          <w:tcPr>
            <w:tcW w:w="6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15400</w:t>
            </w:r>
          </w:p>
        </w:tc>
        <w:tc>
          <w:tcPr>
            <w:tcW w:w="480" w:type="dxa"/>
            <w:vAlign w:val="bottom"/>
            <w:tcBorders>
              <w:bottom w:val="single" w:sz="8" w:color="494949"/>
            </w:tcBorders>
          </w:tcPr>
          <w:p>
            <w:pPr>
              <w:ind w:left="240"/>
              <w:spacing w:after="0"/>
              <w:rPr>
                <w:sz w:val="20"/>
                <w:szCs w:val="20"/>
                <w:color w:val="auto"/>
              </w:rPr>
            </w:pPr>
            <w:r>
              <w:rPr>
                <w:rFonts w:ascii="Arial" w:cs="Arial" w:eastAsia="Arial" w:hAnsi="Arial"/>
                <w:sz w:val="8"/>
                <w:szCs w:val="8"/>
                <w:color w:val="auto"/>
              </w:rPr>
              <w:t>[N]</w:t>
            </w:r>
          </w:p>
        </w:tc>
        <w:tc>
          <w:tcPr>
            <w:tcW w:w="4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15400</w:t>
            </w:r>
          </w:p>
        </w:tc>
        <w:tc>
          <w:tcPr>
            <w:tcW w:w="16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ind w:right="458"/>
              <w:spacing w:after="0"/>
              <w:rPr>
                <w:sz w:val="20"/>
                <w:szCs w:val="20"/>
                <w:color w:val="auto"/>
              </w:rPr>
            </w:pPr>
            <w:r>
              <w:rPr>
                <w:rFonts w:ascii="Arial" w:cs="Arial" w:eastAsia="Arial" w:hAnsi="Arial"/>
                <w:sz w:val="8"/>
                <w:szCs w:val="8"/>
                <w:color w:val="auto"/>
              </w:rPr>
              <w:t>[O] –</w:t>
            </w:r>
          </w:p>
        </w:tc>
        <w:tc>
          <w:tcPr>
            <w:tcW w:w="340" w:type="dxa"/>
            <w:vAlign w:val="bottom"/>
            <w:tcBorders>
              <w:bottom w:val="single" w:sz="8" w:color="494949"/>
            </w:tcBorders>
          </w:tcPr>
          <w:p>
            <w:pPr>
              <w:spacing w:after="0"/>
              <w:rPr>
                <w:sz w:val="10"/>
                <w:szCs w:val="10"/>
                <w:color w:val="auto"/>
              </w:rPr>
            </w:pPr>
          </w:p>
        </w:tc>
        <w:tc>
          <w:tcPr>
            <w:tcW w:w="380" w:type="dxa"/>
            <w:vAlign w:val="bottom"/>
          </w:tcPr>
          <w:p>
            <w:pPr>
              <w:spacing w:after="0"/>
              <w:rPr>
                <w:sz w:val="10"/>
                <w:szCs w:val="10"/>
                <w:color w:val="auto"/>
              </w:rPr>
            </w:pPr>
          </w:p>
        </w:tc>
      </w:tr>
      <w:tr>
        <w:trPr>
          <w:trHeight w:val="115"/>
        </w:trPr>
        <w:tc>
          <w:tcPr>
            <w:tcW w:w="142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Sir Nigel Sheinwald</w:t>
            </w:r>
          </w:p>
        </w:tc>
        <w:tc>
          <w:tcPr>
            <w:tcW w:w="6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480" w:type="dxa"/>
            <w:vAlign w:val="bottom"/>
            <w:tcBorders>
              <w:bottom w:val="single" w:sz="8" w:color="494949"/>
            </w:tcBorders>
          </w:tcPr>
          <w:p>
            <w:pPr>
              <w:spacing w:after="0"/>
              <w:rPr>
                <w:sz w:val="10"/>
                <w:szCs w:val="10"/>
                <w:color w:val="auto"/>
              </w:rPr>
            </w:pPr>
          </w:p>
        </w:tc>
        <w:tc>
          <w:tcPr>
            <w:tcW w:w="4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1,124</w:t>
            </w:r>
          </w:p>
        </w:tc>
        <w:tc>
          <w:tcPr>
            <w:tcW w:w="540" w:type="dxa"/>
            <w:vAlign w:val="bottom"/>
            <w:tcBorders>
              <w:bottom w:val="single" w:sz="8" w:color="494949"/>
            </w:tcBorders>
          </w:tcPr>
          <w:p>
            <w:pPr>
              <w:spacing w:after="0"/>
              <w:rPr>
                <w:sz w:val="10"/>
                <w:szCs w:val="10"/>
                <w:color w:val="auto"/>
              </w:rPr>
            </w:pPr>
          </w:p>
        </w:tc>
        <w:tc>
          <w:tcPr>
            <w:tcW w:w="5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494949"/>
            </w:tcBorders>
          </w:tcPr>
          <w:p>
            <w:pPr>
              <w:spacing w:after="0"/>
              <w:rPr>
                <w:sz w:val="10"/>
                <w:szCs w:val="10"/>
                <w:color w:val="auto"/>
              </w:rPr>
            </w:pPr>
          </w:p>
        </w:tc>
        <w:tc>
          <w:tcPr>
            <w:tcW w:w="7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1,124</w:t>
            </w:r>
          </w:p>
        </w:tc>
        <w:tc>
          <w:tcPr>
            <w:tcW w:w="340" w:type="dxa"/>
            <w:vAlign w:val="bottom"/>
            <w:tcBorders>
              <w:bottom w:val="single" w:sz="8" w:color="494949"/>
            </w:tcBorders>
          </w:tcPr>
          <w:p>
            <w:pPr>
              <w:spacing w:after="0"/>
              <w:rPr>
                <w:sz w:val="10"/>
                <w:szCs w:val="10"/>
                <w:color w:val="auto"/>
              </w:rPr>
            </w:pPr>
          </w:p>
        </w:tc>
        <w:tc>
          <w:tcPr>
            <w:tcW w:w="380" w:type="dxa"/>
            <w:vAlign w:val="bottom"/>
          </w:tcPr>
          <w:p>
            <w:pPr>
              <w:spacing w:after="0"/>
              <w:rPr>
                <w:sz w:val="10"/>
                <w:szCs w:val="10"/>
                <w:color w:val="auto"/>
              </w:rPr>
            </w:pPr>
          </w:p>
        </w:tc>
      </w:tr>
      <w:tr>
        <w:trPr>
          <w:trHeight w:val="115"/>
        </w:trPr>
        <w:tc>
          <w:tcPr>
            <w:tcW w:w="1420" w:type="dxa"/>
            <w:vAlign w:val="bottom"/>
          </w:tcPr>
          <w:p>
            <w:pPr>
              <w:spacing w:after="0"/>
              <w:rPr>
                <w:sz w:val="20"/>
                <w:szCs w:val="20"/>
                <w:color w:val="auto"/>
              </w:rPr>
            </w:pPr>
            <w:r>
              <w:rPr>
                <w:rFonts w:ascii="Arial" w:cs="Arial" w:eastAsia="Arial" w:hAnsi="Arial"/>
                <w:sz w:val="8"/>
                <w:szCs w:val="8"/>
                <w:color w:val="auto"/>
              </w:rPr>
              <w:t>Linda G. Stuntz</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12400</w:t>
            </w:r>
          </w:p>
        </w:tc>
        <w:tc>
          <w:tcPr>
            <w:tcW w:w="540" w:type="dxa"/>
            <w:vAlign w:val="bottom"/>
          </w:tcPr>
          <w:p>
            <w:pPr>
              <w:jc w:val="right"/>
              <w:ind w:right="178"/>
              <w:spacing w:after="0"/>
              <w:rPr>
                <w:sz w:val="20"/>
                <w:szCs w:val="20"/>
                <w:color w:val="auto"/>
              </w:rPr>
            </w:pPr>
            <w:r>
              <w:rPr>
                <w:rFonts w:ascii="Arial" w:cs="Arial" w:eastAsia="Arial" w:hAnsi="Arial"/>
                <w:sz w:val="8"/>
                <w:szCs w:val="8"/>
                <w:color w:val="auto"/>
              </w:rPr>
              <w:t>[P]</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12400</w:t>
            </w:r>
          </w:p>
        </w:tc>
        <w:tc>
          <w:tcPr>
            <w:tcW w:w="720" w:type="dxa"/>
            <w:vAlign w:val="bottom"/>
            <w:gridSpan w:val="2"/>
          </w:tcPr>
          <w:p>
            <w:pPr>
              <w:jc w:val="right"/>
              <w:ind w:right="400"/>
              <w:spacing w:after="0"/>
              <w:rPr>
                <w:sz w:val="20"/>
                <w:szCs w:val="20"/>
                <w:color w:val="auto"/>
              </w:rPr>
            </w:pPr>
            <w:r>
              <w:rPr>
                <w:rFonts w:ascii="Arial" w:cs="Arial" w:eastAsia="Arial" w:hAnsi="Arial"/>
                <w:sz w:val="8"/>
                <w:szCs w:val="8"/>
                <w:color w:val="auto"/>
              </w:rPr>
              <w:t>[Q]</w:t>
            </w:r>
          </w:p>
        </w:tc>
      </w:tr>
      <w:tr>
        <w:trPr>
          <w:trHeight w:val="115"/>
        </w:trPr>
        <w:tc>
          <w:tcPr>
            <w:tcW w:w="1420" w:type="dxa"/>
            <w:vAlign w:val="bottom"/>
            <w:tcBorders>
              <w:top w:val="single" w:sz="8" w:color="494949"/>
              <w:bottom w:val="single" w:sz="8" w:color="auto"/>
            </w:tcBorders>
          </w:tcPr>
          <w:p>
            <w:pPr>
              <w:spacing w:after="0"/>
              <w:rPr>
                <w:sz w:val="20"/>
                <w:szCs w:val="20"/>
                <w:color w:val="auto"/>
              </w:rPr>
            </w:pPr>
            <w:r>
              <w:rPr>
                <w:rFonts w:ascii="Arial" w:cs="Arial" w:eastAsia="Arial" w:hAnsi="Arial"/>
                <w:sz w:val="8"/>
                <w:szCs w:val="8"/>
                <w:color w:val="auto"/>
              </w:rPr>
              <w:t>Gerrit Zalm</w:t>
            </w:r>
          </w:p>
        </w:tc>
        <w:tc>
          <w:tcPr>
            <w:tcW w:w="660" w:type="dxa"/>
            <w:vAlign w:val="bottom"/>
            <w:tcBorders>
              <w:top w:val="single" w:sz="8" w:color="494949"/>
              <w:bottom w:val="single" w:sz="8" w:color="auto"/>
            </w:tcBorders>
          </w:tcPr>
          <w:p>
            <w:pPr>
              <w:jc w:val="right"/>
              <w:spacing w:after="0"/>
              <w:rPr>
                <w:sz w:val="20"/>
                <w:szCs w:val="20"/>
                <w:color w:val="auto"/>
              </w:rPr>
            </w:pPr>
            <w:r>
              <w:rPr>
                <w:rFonts w:ascii="Arial" w:cs="Arial" w:eastAsia="Arial" w:hAnsi="Arial"/>
                <w:sz w:val="8"/>
                <w:szCs w:val="8"/>
                <w:color w:val="auto"/>
              </w:rPr>
              <w:t>2,026</w:t>
            </w:r>
          </w:p>
        </w:tc>
        <w:tc>
          <w:tcPr>
            <w:tcW w:w="480" w:type="dxa"/>
            <w:vAlign w:val="bottom"/>
            <w:tcBorders>
              <w:top w:val="single" w:sz="8" w:color="494949"/>
              <w:bottom w:val="single" w:sz="8" w:color="auto"/>
            </w:tcBorders>
          </w:tcPr>
          <w:p>
            <w:pPr>
              <w:spacing w:after="0"/>
              <w:rPr>
                <w:sz w:val="10"/>
                <w:szCs w:val="10"/>
                <w:color w:val="auto"/>
              </w:rPr>
            </w:pPr>
          </w:p>
        </w:tc>
        <w:tc>
          <w:tcPr>
            <w:tcW w:w="440" w:type="dxa"/>
            <w:vAlign w:val="bottom"/>
            <w:tcBorders>
              <w:top w:val="single" w:sz="8" w:color="494949"/>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540" w:type="dxa"/>
            <w:vAlign w:val="bottom"/>
            <w:tcBorders>
              <w:top w:val="single" w:sz="8" w:color="494949"/>
              <w:bottom w:val="single" w:sz="8" w:color="auto"/>
            </w:tcBorders>
          </w:tcPr>
          <w:p>
            <w:pPr>
              <w:spacing w:after="0"/>
              <w:rPr>
                <w:sz w:val="10"/>
                <w:szCs w:val="10"/>
                <w:color w:val="auto"/>
              </w:rPr>
            </w:pPr>
          </w:p>
        </w:tc>
        <w:tc>
          <w:tcPr>
            <w:tcW w:w="540" w:type="dxa"/>
            <w:vAlign w:val="bottom"/>
            <w:tcBorders>
              <w:top w:val="single" w:sz="8" w:color="494949"/>
              <w:bottom w:val="single" w:sz="8" w:color="auto"/>
            </w:tcBorders>
          </w:tcPr>
          <w:p>
            <w:pPr>
              <w:jc w:val="right"/>
              <w:spacing w:after="0"/>
              <w:rPr>
                <w:sz w:val="20"/>
                <w:szCs w:val="20"/>
                <w:color w:val="auto"/>
              </w:rPr>
            </w:pPr>
            <w:r>
              <w:rPr>
                <w:rFonts w:ascii="Arial" w:cs="Arial" w:eastAsia="Arial" w:hAnsi="Arial"/>
                <w:sz w:val="8"/>
                <w:szCs w:val="8"/>
                <w:color w:val="auto"/>
              </w:rPr>
              <w:t>2,026</w:t>
            </w:r>
          </w:p>
        </w:tc>
        <w:tc>
          <w:tcPr>
            <w:tcW w:w="160" w:type="dxa"/>
            <w:vAlign w:val="bottom"/>
            <w:tcBorders>
              <w:top w:val="single" w:sz="8" w:color="494949"/>
              <w:bottom w:val="single" w:sz="8" w:color="auto"/>
            </w:tcBorders>
          </w:tcPr>
          <w:p>
            <w:pPr>
              <w:spacing w:after="0"/>
              <w:rPr>
                <w:sz w:val="10"/>
                <w:szCs w:val="10"/>
                <w:color w:val="auto"/>
              </w:rPr>
            </w:pPr>
          </w:p>
        </w:tc>
        <w:tc>
          <w:tcPr>
            <w:tcW w:w="720" w:type="dxa"/>
            <w:vAlign w:val="bottom"/>
            <w:tcBorders>
              <w:top w:val="single" w:sz="8" w:color="494949"/>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340" w:type="dxa"/>
            <w:vAlign w:val="bottom"/>
            <w:tcBorders>
              <w:top w:val="single" w:sz="8" w:color="494949"/>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r>
      <w:tr>
        <w:trPr>
          <w:trHeight w:val="591"/>
        </w:trPr>
        <w:tc>
          <w:tcPr>
            <w:tcW w:w="1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7"/>
                <w:szCs w:val="7"/>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0" w:hanging="131"/>
        <w:spacing w:after="0"/>
        <w:tabs>
          <w:tab w:leader="none" w:pos="140" w:val="left"/>
        </w:tabs>
        <w:numPr>
          <w:ilvl w:val="0"/>
          <w:numId w:val="129"/>
        </w:numPr>
        <w:rPr>
          <w:rFonts w:ascii="Arial" w:cs="Arial" w:eastAsia="Arial" w:hAnsi="Arial"/>
          <w:sz w:val="8"/>
          <w:szCs w:val="8"/>
          <w:color w:val="auto"/>
        </w:rPr>
      </w:pPr>
      <w:r>
        <w:rPr>
          <w:rFonts w:ascii="Arial" w:cs="Arial" w:eastAsia="Arial" w:hAnsi="Arial"/>
          <w:sz w:val="8"/>
          <w:szCs w:val="8"/>
          <w:color w:val="auto"/>
        </w:rPr>
        <w:t>Includes vested LTIP awards subject to holding conditions. Excludes unvested interests in shares awarded under the LTIP.</w:t>
      </w:r>
    </w:p>
    <w:p>
      <w:pPr>
        <w:spacing w:after="0" w:line="12" w:lineRule="exact"/>
        <w:rPr>
          <w:rFonts w:ascii="Arial" w:cs="Arial" w:eastAsia="Arial" w:hAnsi="Arial"/>
          <w:sz w:val="8"/>
          <w:szCs w:val="8"/>
          <w:color w:val="auto"/>
        </w:rPr>
      </w:pPr>
    </w:p>
    <w:p>
      <w:pPr>
        <w:ind w:left="140" w:hanging="131"/>
        <w:spacing w:after="0"/>
        <w:tabs>
          <w:tab w:leader="none" w:pos="140" w:val="left"/>
        </w:tabs>
        <w:numPr>
          <w:ilvl w:val="0"/>
          <w:numId w:val="129"/>
        </w:numPr>
        <w:rPr>
          <w:rFonts w:ascii="Arial" w:cs="Arial" w:eastAsia="Arial" w:hAnsi="Arial"/>
          <w:sz w:val="8"/>
          <w:szCs w:val="8"/>
          <w:color w:val="auto"/>
        </w:rPr>
      </w:pPr>
      <w:r>
        <w:rPr>
          <w:rFonts w:ascii="Arial" w:cs="Arial" w:eastAsia="Arial" w:hAnsi="Arial"/>
          <w:sz w:val="8"/>
          <w:szCs w:val="8"/>
          <w:color w:val="auto"/>
        </w:rPr>
        <w:t>Includes 174,000 RDS A shares pledged with Van Lanschot N.V.</w:t>
      </w:r>
    </w:p>
    <w:p>
      <w:pPr>
        <w:spacing w:after="0" w:line="7" w:lineRule="exact"/>
        <w:rPr>
          <w:rFonts w:ascii="Arial" w:cs="Arial" w:eastAsia="Arial" w:hAnsi="Arial"/>
          <w:sz w:val="8"/>
          <w:szCs w:val="8"/>
          <w:color w:val="auto"/>
        </w:rPr>
      </w:pPr>
    </w:p>
    <w:p>
      <w:pPr>
        <w:ind w:left="140" w:hanging="131"/>
        <w:spacing w:after="0"/>
        <w:tabs>
          <w:tab w:leader="none" w:pos="140" w:val="left"/>
        </w:tabs>
        <w:numPr>
          <w:ilvl w:val="0"/>
          <w:numId w:val="129"/>
        </w:numPr>
        <w:rPr>
          <w:rFonts w:ascii="Arial" w:cs="Arial" w:eastAsia="Arial" w:hAnsi="Arial"/>
          <w:sz w:val="8"/>
          <w:szCs w:val="8"/>
          <w:color w:val="auto"/>
        </w:rPr>
      </w:pPr>
      <w:r>
        <w:rPr>
          <w:rFonts w:ascii="Arial" w:cs="Arial" w:eastAsia="Arial" w:hAnsi="Arial"/>
          <w:sz w:val="8"/>
          <w:szCs w:val="8"/>
          <w:color w:val="auto"/>
        </w:rPr>
        <w:t>Held as 26,590 RDS A shares and 44,789 ADS (RDS.A ADS). Each RDS.A represents two A shares.</w:t>
      </w:r>
    </w:p>
    <w:p>
      <w:pPr>
        <w:spacing w:after="0" w:line="7" w:lineRule="exact"/>
        <w:rPr>
          <w:rFonts w:ascii="Arial" w:cs="Arial" w:eastAsia="Arial" w:hAnsi="Arial"/>
          <w:sz w:val="8"/>
          <w:szCs w:val="8"/>
          <w:color w:val="auto"/>
        </w:rPr>
      </w:pPr>
    </w:p>
    <w:p>
      <w:pPr>
        <w:ind w:left="140" w:hanging="131"/>
        <w:spacing w:after="0"/>
        <w:tabs>
          <w:tab w:leader="none" w:pos="140" w:val="left"/>
        </w:tabs>
        <w:numPr>
          <w:ilvl w:val="0"/>
          <w:numId w:val="129"/>
        </w:numPr>
        <w:rPr>
          <w:rFonts w:ascii="Arial" w:cs="Arial" w:eastAsia="Arial" w:hAnsi="Arial"/>
          <w:sz w:val="8"/>
          <w:szCs w:val="8"/>
          <w:color w:val="auto"/>
        </w:rPr>
      </w:pPr>
      <w:r>
        <w:rPr>
          <w:rFonts w:ascii="Arial" w:cs="Arial" w:eastAsia="Arial" w:hAnsi="Arial"/>
          <w:sz w:val="8"/>
          <w:szCs w:val="8"/>
          <w:color w:val="auto"/>
        </w:rPr>
        <w:t>Held as 34,069 RDS A shares and 103,244 ADS (RDS.A ADS). Each RDS.A represents two A shares</w:t>
      </w:r>
    </w:p>
    <w:p>
      <w:pPr>
        <w:spacing w:after="0" w:line="7" w:lineRule="exact"/>
        <w:rPr>
          <w:rFonts w:ascii="Arial" w:cs="Arial" w:eastAsia="Arial" w:hAnsi="Arial"/>
          <w:sz w:val="8"/>
          <w:szCs w:val="8"/>
          <w:color w:val="auto"/>
        </w:rPr>
      </w:pPr>
    </w:p>
    <w:p>
      <w:pPr>
        <w:ind w:left="140" w:hanging="131"/>
        <w:spacing w:after="0"/>
        <w:tabs>
          <w:tab w:leader="none" w:pos="140" w:val="left"/>
        </w:tabs>
        <w:numPr>
          <w:ilvl w:val="0"/>
          <w:numId w:val="129"/>
        </w:numPr>
        <w:rPr>
          <w:rFonts w:ascii="Arial" w:cs="Arial" w:eastAsia="Arial" w:hAnsi="Arial"/>
          <w:sz w:val="8"/>
          <w:szCs w:val="8"/>
          <w:color w:val="auto"/>
        </w:rPr>
      </w:pPr>
      <w:r>
        <w:rPr>
          <w:rFonts w:ascii="Arial" w:cs="Arial" w:eastAsia="Arial" w:hAnsi="Arial"/>
          <w:sz w:val="8"/>
          <w:szCs w:val="8"/>
          <w:color w:val="auto"/>
        </w:rPr>
        <w:t>Interests at May 20, 2020, when he was appointed as a Director.</w:t>
      </w:r>
    </w:p>
    <w:p>
      <w:pPr>
        <w:spacing w:after="0" w:line="7" w:lineRule="exact"/>
        <w:rPr>
          <w:rFonts w:ascii="Arial" w:cs="Arial" w:eastAsia="Arial" w:hAnsi="Arial"/>
          <w:sz w:val="8"/>
          <w:szCs w:val="8"/>
          <w:color w:val="auto"/>
        </w:rPr>
      </w:pPr>
    </w:p>
    <w:p>
      <w:pPr>
        <w:ind w:left="140" w:hanging="131"/>
        <w:spacing w:after="0"/>
        <w:tabs>
          <w:tab w:leader="none" w:pos="140" w:val="left"/>
        </w:tabs>
        <w:numPr>
          <w:ilvl w:val="0"/>
          <w:numId w:val="129"/>
        </w:numPr>
        <w:rPr>
          <w:rFonts w:ascii="Arial" w:cs="Arial" w:eastAsia="Arial" w:hAnsi="Arial"/>
          <w:sz w:val="8"/>
          <w:szCs w:val="8"/>
          <w:color w:val="auto"/>
        </w:rPr>
      </w:pPr>
      <w:r>
        <w:rPr>
          <w:rFonts w:ascii="Arial" w:cs="Arial" w:eastAsia="Arial" w:hAnsi="Arial"/>
          <w:sz w:val="8"/>
          <w:szCs w:val="8"/>
          <w:color w:val="auto"/>
        </w:rPr>
        <w:t>Held as 2,350 ADSs (RDS.B ADS). Each RDS.B represents two B shares.</w:t>
      </w:r>
    </w:p>
    <w:p>
      <w:pPr>
        <w:spacing w:after="0" w:line="7" w:lineRule="exact"/>
        <w:rPr>
          <w:rFonts w:ascii="Arial" w:cs="Arial" w:eastAsia="Arial" w:hAnsi="Arial"/>
          <w:sz w:val="8"/>
          <w:szCs w:val="8"/>
          <w:color w:val="auto"/>
        </w:rPr>
      </w:pPr>
    </w:p>
    <w:p>
      <w:pPr>
        <w:ind w:left="140" w:hanging="131"/>
        <w:spacing w:after="0"/>
        <w:tabs>
          <w:tab w:leader="none" w:pos="140" w:val="left"/>
        </w:tabs>
        <w:numPr>
          <w:ilvl w:val="0"/>
          <w:numId w:val="129"/>
        </w:numPr>
        <w:rPr>
          <w:rFonts w:ascii="Arial" w:cs="Arial" w:eastAsia="Arial" w:hAnsi="Arial"/>
          <w:sz w:val="8"/>
          <w:szCs w:val="8"/>
          <w:color w:val="auto"/>
        </w:rPr>
      </w:pPr>
      <w:r>
        <w:rPr>
          <w:rFonts w:ascii="Arial" w:cs="Arial" w:eastAsia="Arial" w:hAnsi="Arial"/>
          <w:sz w:val="8"/>
          <w:szCs w:val="8"/>
          <w:color w:val="auto"/>
        </w:rPr>
        <w:t>Held as 5,000 ADSs (RDS.B ADS). Each RDS.B represents two B shares.</w:t>
      </w:r>
    </w:p>
    <w:p>
      <w:pPr>
        <w:spacing w:after="0" w:line="7" w:lineRule="exact"/>
        <w:rPr>
          <w:rFonts w:ascii="Arial" w:cs="Arial" w:eastAsia="Arial" w:hAnsi="Arial"/>
          <w:sz w:val="8"/>
          <w:szCs w:val="8"/>
          <w:color w:val="auto"/>
        </w:rPr>
      </w:pPr>
    </w:p>
    <w:p>
      <w:pPr>
        <w:ind w:left="140" w:hanging="131"/>
        <w:spacing w:after="0"/>
        <w:tabs>
          <w:tab w:leader="none" w:pos="140" w:val="left"/>
        </w:tabs>
        <w:numPr>
          <w:ilvl w:val="0"/>
          <w:numId w:val="129"/>
        </w:numPr>
        <w:rPr>
          <w:rFonts w:ascii="Arial" w:cs="Arial" w:eastAsia="Arial" w:hAnsi="Arial"/>
          <w:sz w:val="8"/>
          <w:szCs w:val="8"/>
          <w:color w:val="auto"/>
        </w:rPr>
      </w:pPr>
      <w:r>
        <w:rPr>
          <w:rFonts w:ascii="Arial" w:cs="Arial" w:eastAsia="Arial" w:hAnsi="Arial"/>
          <w:sz w:val="8"/>
          <w:szCs w:val="8"/>
          <w:color w:val="auto"/>
        </w:rPr>
        <w:t>Held as 25,000 ADSs (RDS.B ADS). Each RDS.B represents two B shares.</w:t>
      </w:r>
    </w:p>
    <w:p>
      <w:pPr>
        <w:spacing w:after="0" w:line="7" w:lineRule="exact"/>
        <w:rPr>
          <w:rFonts w:ascii="Arial" w:cs="Arial" w:eastAsia="Arial" w:hAnsi="Arial"/>
          <w:sz w:val="8"/>
          <w:szCs w:val="8"/>
          <w:color w:val="auto"/>
        </w:rPr>
      </w:pPr>
    </w:p>
    <w:p>
      <w:pPr>
        <w:ind w:left="120" w:hanging="111"/>
        <w:spacing w:after="0"/>
        <w:tabs>
          <w:tab w:leader="none" w:pos="120" w:val="left"/>
        </w:tabs>
        <w:numPr>
          <w:ilvl w:val="0"/>
          <w:numId w:val="129"/>
        </w:numPr>
        <w:rPr>
          <w:rFonts w:ascii="Arial" w:cs="Arial" w:eastAsia="Arial" w:hAnsi="Arial"/>
          <w:sz w:val="8"/>
          <w:szCs w:val="8"/>
          <w:color w:val="auto"/>
        </w:rPr>
      </w:pPr>
      <w:r>
        <w:rPr>
          <w:rFonts w:ascii="Arial" w:cs="Arial" w:eastAsia="Arial" w:hAnsi="Arial"/>
          <w:sz w:val="8"/>
          <w:szCs w:val="8"/>
          <w:color w:val="auto"/>
        </w:rPr>
        <w:t>Held as 46,904 RDS B shares and 2,500 ADS (RDS.B. ADS). Each RDS.B represents two B shares</w:t>
      </w:r>
    </w:p>
    <w:p>
      <w:pPr>
        <w:spacing w:after="0" w:line="7" w:lineRule="exact"/>
        <w:rPr>
          <w:rFonts w:ascii="Arial" w:cs="Arial" w:eastAsia="Arial" w:hAnsi="Arial"/>
          <w:sz w:val="8"/>
          <w:szCs w:val="8"/>
          <w:color w:val="auto"/>
        </w:rPr>
      </w:pPr>
    </w:p>
    <w:p>
      <w:pPr>
        <w:ind w:left="120" w:hanging="111"/>
        <w:spacing w:after="0"/>
        <w:tabs>
          <w:tab w:leader="none" w:pos="120" w:val="left"/>
        </w:tabs>
        <w:numPr>
          <w:ilvl w:val="0"/>
          <w:numId w:val="129"/>
        </w:numPr>
        <w:rPr>
          <w:rFonts w:ascii="Arial" w:cs="Arial" w:eastAsia="Arial" w:hAnsi="Arial"/>
          <w:sz w:val="8"/>
          <w:szCs w:val="8"/>
          <w:color w:val="auto"/>
        </w:rPr>
      </w:pPr>
      <w:r>
        <w:rPr>
          <w:rFonts w:ascii="Arial" w:cs="Arial" w:eastAsia="Arial" w:hAnsi="Arial"/>
          <w:sz w:val="8"/>
          <w:szCs w:val="8"/>
          <w:color w:val="auto"/>
        </w:rPr>
        <w:t>Interests at May 20, 2020, when she was appointed as a Director. Held as 789 ADS (RDS.B ADS). Each RDS.B represents two B shares.</w:t>
      </w:r>
    </w:p>
    <w:p>
      <w:pPr>
        <w:spacing w:after="0" w:line="7" w:lineRule="exact"/>
        <w:rPr>
          <w:rFonts w:ascii="Arial" w:cs="Arial" w:eastAsia="Arial" w:hAnsi="Arial"/>
          <w:sz w:val="8"/>
          <w:szCs w:val="8"/>
          <w:color w:val="auto"/>
        </w:rPr>
      </w:pPr>
    </w:p>
    <w:p>
      <w:pPr>
        <w:ind w:left="140" w:hanging="131"/>
        <w:spacing w:after="0"/>
        <w:tabs>
          <w:tab w:leader="none" w:pos="140" w:val="left"/>
        </w:tabs>
        <w:numPr>
          <w:ilvl w:val="0"/>
          <w:numId w:val="129"/>
        </w:numPr>
        <w:rPr>
          <w:rFonts w:ascii="Arial" w:cs="Arial" w:eastAsia="Arial" w:hAnsi="Arial"/>
          <w:sz w:val="8"/>
          <w:szCs w:val="8"/>
          <w:color w:val="auto"/>
        </w:rPr>
      </w:pPr>
      <w:r>
        <w:rPr>
          <w:rFonts w:ascii="Arial" w:cs="Arial" w:eastAsia="Arial" w:hAnsi="Arial"/>
          <w:sz w:val="8"/>
          <w:szCs w:val="8"/>
          <w:color w:val="auto"/>
        </w:rPr>
        <w:t>Held as 10,000 ADSs (RDS.B ADS). Each RDS.B represents two B shares.</w:t>
      </w:r>
    </w:p>
    <w:p>
      <w:pPr>
        <w:spacing w:after="0" w:line="7" w:lineRule="exact"/>
        <w:rPr>
          <w:rFonts w:ascii="Arial" w:cs="Arial" w:eastAsia="Arial" w:hAnsi="Arial"/>
          <w:sz w:val="8"/>
          <w:szCs w:val="8"/>
          <w:color w:val="auto"/>
        </w:rPr>
      </w:pPr>
    </w:p>
    <w:p>
      <w:pPr>
        <w:ind w:left="140" w:hanging="131"/>
        <w:spacing w:after="0"/>
        <w:tabs>
          <w:tab w:leader="none" w:pos="140" w:val="left"/>
        </w:tabs>
        <w:numPr>
          <w:ilvl w:val="0"/>
          <w:numId w:val="129"/>
        </w:numPr>
        <w:rPr>
          <w:rFonts w:ascii="Arial" w:cs="Arial" w:eastAsia="Arial" w:hAnsi="Arial"/>
          <w:sz w:val="8"/>
          <w:szCs w:val="8"/>
          <w:color w:val="auto"/>
        </w:rPr>
      </w:pPr>
      <w:r>
        <w:rPr>
          <w:rFonts w:ascii="Arial" w:cs="Arial" w:eastAsia="Arial" w:hAnsi="Arial"/>
          <w:sz w:val="8"/>
          <w:szCs w:val="8"/>
          <w:color w:val="auto"/>
        </w:rPr>
        <w:t>Interests at May 19, 2020, when he stood down as a Director.</w:t>
      </w:r>
    </w:p>
    <w:p>
      <w:pPr>
        <w:spacing w:after="0" w:line="7" w:lineRule="exact"/>
        <w:rPr>
          <w:rFonts w:ascii="Arial" w:cs="Arial" w:eastAsia="Arial" w:hAnsi="Arial"/>
          <w:sz w:val="8"/>
          <w:szCs w:val="8"/>
          <w:color w:val="auto"/>
        </w:rPr>
      </w:pPr>
    </w:p>
    <w:p>
      <w:pPr>
        <w:ind w:firstLine="9"/>
        <w:spacing w:after="0" w:line="270" w:lineRule="auto"/>
        <w:tabs>
          <w:tab w:leader="none" w:pos="152" w:val="left"/>
        </w:tabs>
        <w:numPr>
          <w:ilvl w:val="0"/>
          <w:numId w:val="129"/>
        </w:numPr>
        <w:rPr>
          <w:rFonts w:ascii="Arial" w:cs="Arial" w:eastAsia="Arial" w:hAnsi="Arial"/>
          <w:sz w:val="7"/>
          <w:szCs w:val="7"/>
          <w:color w:val="auto"/>
        </w:rPr>
      </w:pPr>
      <w:r>
        <w:rPr>
          <w:rFonts w:ascii="Arial" w:cs="Arial" w:eastAsia="Arial" w:hAnsi="Arial"/>
          <w:sz w:val="7"/>
          <w:szCs w:val="7"/>
          <w:color w:val="auto"/>
        </w:rPr>
        <w:t>On August 17, 2020, Bram Schot purchased 5,500 certificates Royal Dutch Shell A Turbo Long 8,2 BNP Paribas Markets (ISIN: NL0009558519) at a price of €5.37 per certificate. These certificates are cash settlement instruments the value of which is linked to the share price of RDS A Shares. In this case, the ratio of the turbo is 1:1 and accordingly 5,500 certificates represent 5,500 RDS A shares. As at March 10, 2021, the leverage is 1.69 but fluctuates depending on the share price. If the share price increases, the leverage will decrease. The finance level is 7.57 and the stop loss level is 8.2. The finance level is adjusted on the 15th of every month. Finance costs are 1.44% on an annual basis. With a turbo long, there is a finance-level and a stop loss-level. If the underlying share price drops below the stop loss-level, the turbo long is terminated. The investor then receives the value of the difference between the finance-level and the level on which the counterparty, in this case BNP Paribas, can close the turbo. Take for example a turbo with a stop loss-level of 10 and a finance-level of 8. When the underlying share price drops below 10, which is the stop loss-level, the buyer will still receive the amount 10-8=2. However, if the shareprice would suddenly drop to 8 or below, the buyer will receive nothing and the total investment is lost. In most cases however, the turbo would be terminated at the stop loss-level, and the buyer receives the amount of the difference between the finance-level and the stop loss-level. The actual amount will be determined by BNP. In addition, on August 27, 2020, Bram Schot purchased 100 Leonteq Express Euro Denominated Certificates on ING, Royal Dutch Shell, Unilever (ISIN: CH0470808913), with a nominal value of €1,000 each at a price of €515 per certificate. These certificates are cash settlement instruments of which payment of a conditional coupon depends for 1/3 on the development of the price of the RDSA A Shares on Euronext Amsterdam and, as such, is a financial instrument linked to the RDSA A Shares. Both transactions took place before Bram Schot became a Director of the Company.</w:t>
      </w:r>
    </w:p>
    <w:p>
      <w:pPr>
        <w:spacing w:after="0" w:line="82" w:lineRule="exact"/>
        <w:rPr>
          <w:rFonts w:ascii="Arial" w:cs="Arial" w:eastAsia="Arial" w:hAnsi="Arial"/>
          <w:sz w:val="7"/>
          <w:szCs w:val="7"/>
          <w:color w:val="auto"/>
        </w:rPr>
      </w:pPr>
    </w:p>
    <w:p>
      <w:pPr>
        <w:ind w:left="140" w:hanging="131"/>
        <w:spacing w:after="0"/>
        <w:tabs>
          <w:tab w:leader="none" w:pos="140" w:val="left"/>
        </w:tabs>
        <w:numPr>
          <w:ilvl w:val="0"/>
          <w:numId w:val="129"/>
        </w:numPr>
        <w:rPr>
          <w:rFonts w:ascii="Arial" w:cs="Arial" w:eastAsia="Arial" w:hAnsi="Arial"/>
          <w:sz w:val="8"/>
          <w:szCs w:val="8"/>
          <w:color w:val="auto"/>
        </w:rPr>
      </w:pPr>
      <w:r>
        <w:rPr>
          <w:rFonts w:ascii="Arial" w:cs="Arial" w:eastAsia="Arial" w:hAnsi="Arial"/>
          <w:sz w:val="8"/>
          <w:szCs w:val="8"/>
          <w:color w:val="auto"/>
        </w:rPr>
        <w:t>Held as 7,700 ADSs (RDS.A ADS). Each RDS.A represents two A shares.</w:t>
      </w:r>
    </w:p>
    <w:p>
      <w:pPr>
        <w:spacing w:after="0" w:line="6" w:lineRule="exact"/>
        <w:rPr>
          <w:rFonts w:ascii="Arial" w:cs="Arial" w:eastAsia="Arial" w:hAnsi="Arial"/>
          <w:sz w:val="8"/>
          <w:szCs w:val="8"/>
          <w:color w:val="auto"/>
        </w:rPr>
      </w:pPr>
    </w:p>
    <w:p>
      <w:pPr>
        <w:ind w:left="140" w:hanging="131"/>
        <w:spacing w:after="0"/>
        <w:tabs>
          <w:tab w:leader="none" w:pos="140" w:val="left"/>
        </w:tabs>
        <w:numPr>
          <w:ilvl w:val="0"/>
          <w:numId w:val="129"/>
        </w:numPr>
        <w:rPr>
          <w:rFonts w:ascii="Arial" w:cs="Arial" w:eastAsia="Arial" w:hAnsi="Arial"/>
          <w:sz w:val="8"/>
          <w:szCs w:val="8"/>
          <w:color w:val="auto"/>
        </w:rPr>
      </w:pPr>
      <w:r>
        <w:rPr>
          <w:rFonts w:ascii="Arial" w:cs="Arial" w:eastAsia="Arial" w:hAnsi="Arial"/>
          <w:sz w:val="8"/>
          <w:szCs w:val="8"/>
          <w:color w:val="auto"/>
        </w:rPr>
        <w:t>Interests at May 19, 2020, when he stood down as a Director. Held as 7,700 ADSs (RDS.A ADS). Each RDS.A represents two A shares</w:t>
      </w:r>
    </w:p>
    <w:p>
      <w:pPr>
        <w:spacing w:after="0" w:line="7" w:lineRule="exact"/>
        <w:rPr>
          <w:rFonts w:ascii="Arial" w:cs="Arial" w:eastAsia="Arial" w:hAnsi="Arial"/>
          <w:sz w:val="8"/>
          <w:szCs w:val="8"/>
          <w:color w:val="auto"/>
        </w:rPr>
      </w:pPr>
    </w:p>
    <w:p>
      <w:pPr>
        <w:ind w:left="140" w:hanging="131"/>
        <w:spacing w:after="0"/>
        <w:tabs>
          <w:tab w:leader="none" w:pos="140" w:val="left"/>
        </w:tabs>
        <w:numPr>
          <w:ilvl w:val="0"/>
          <w:numId w:val="129"/>
        </w:numPr>
        <w:rPr>
          <w:rFonts w:ascii="Arial" w:cs="Arial" w:eastAsia="Arial" w:hAnsi="Arial"/>
          <w:sz w:val="8"/>
          <w:szCs w:val="8"/>
          <w:color w:val="auto"/>
        </w:rPr>
      </w:pPr>
      <w:r>
        <w:rPr>
          <w:rFonts w:ascii="Arial" w:cs="Arial" w:eastAsia="Arial" w:hAnsi="Arial"/>
          <w:sz w:val="8"/>
          <w:szCs w:val="8"/>
          <w:color w:val="auto"/>
        </w:rPr>
        <w:t>Held as 6,200 ADSs (RDS.A ADS). Each RDS.A represents two A shares.</w:t>
      </w:r>
    </w:p>
    <w:p>
      <w:pPr>
        <w:spacing w:after="0" w:line="7" w:lineRule="exact"/>
        <w:rPr>
          <w:rFonts w:ascii="Arial" w:cs="Arial" w:eastAsia="Arial" w:hAnsi="Arial"/>
          <w:sz w:val="8"/>
          <w:szCs w:val="8"/>
          <w:color w:val="auto"/>
        </w:rPr>
      </w:pPr>
    </w:p>
    <w:p>
      <w:pPr>
        <w:ind w:left="140" w:hanging="131"/>
        <w:spacing w:after="0"/>
        <w:tabs>
          <w:tab w:leader="none" w:pos="140" w:val="left"/>
        </w:tabs>
        <w:numPr>
          <w:ilvl w:val="0"/>
          <w:numId w:val="129"/>
        </w:numPr>
        <w:rPr>
          <w:rFonts w:ascii="Arial" w:cs="Arial" w:eastAsia="Arial" w:hAnsi="Arial"/>
          <w:sz w:val="8"/>
          <w:szCs w:val="8"/>
          <w:color w:val="auto"/>
        </w:rPr>
      </w:pPr>
      <w:r>
        <w:rPr>
          <w:rFonts w:ascii="Arial" w:cs="Arial" w:eastAsia="Arial" w:hAnsi="Arial"/>
          <w:sz w:val="8"/>
          <w:szCs w:val="8"/>
          <w:color w:val="auto"/>
        </w:rPr>
        <w:t>Interests at May 19, 2020, when she stood down as a Director. Held as 6,200 ADSs (RDS.A ADS). Each RDS.A represents two A shares.</w:t>
      </w:r>
    </w:p>
    <w:p>
      <w:pPr>
        <w:spacing w:after="0" w:line="160" w:lineRule="exact"/>
        <w:rPr>
          <w:sz w:val="20"/>
          <w:szCs w:val="20"/>
          <w:color w:val="auto"/>
        </w:rPr>
      </w:pPr>
    </w:p>
    <w:p>
      <w:pPr>
        <w:spacing w:after="0"/>
        <w:rPr>
          <w:sz w:val="20"/>
          <w:szCs w:val="20"/>
          <w:color w:val="auto"/>
        </w:rPr>
      </w:pPr>
      <w:r>
        <w:rPr>
          <w:rFonts w:ascii="Arial" w:cs="Arial" w:eastAsia="Arial" w:hAnsi="Arial"/>
          <w:sz w:val="10"/>
          <w:szCs w:val="10"/>
          <w:color w:val="auto"/>
        </w:rPr>
        <w:t>The only changes to Director's shareholdings as at March 5, 2021 are that:</w:t>
      </w:r>
    </w:p>
    <w:p>
      <w:pPr>
        <w:spacing w:after="0" w:line="155" w:lineRule="exact"/>
        <w:rPr>
          <w:sz w:val="20"/>
          <w:szCs w:val="20"/>
          <w:color w:val="auto"/>
        </w:rPr>
      </w:pPr>
    </w:p>
    <w:p>
      <w:pPr>
        <w:ind w:left="440" w:hanging="215"/>
        <w:spacing w:after="0"/>
        <w:tabs>
          <w:tab w:leader="none" w:pos="440" w:val="left"/>
        </w:tabs>
        <w:numPr>
          <w:ilvl w:val="0"/>
          <w:numId w:val="130"/>
        </w:numPr>
        <w:rPr>
          <w:rFonts w:ascii="Arial" w:cs="Arial" w:eastAsia="Arial" w:hAnsi="Arial"/>
          <w:sz w:val="10"/>
          <w:szCs w:val="10"/>
          <w:color w:val="auto"/>
        </w:rPr>
      </w:pPr>
      <w:r>
        <w:rPr>
          <w:rFonts w:ascii="Arial" w:cs="Arial" w:eastAsia="Arial" w:hAnsi="Arial"/>
          <w:sz w:val="10"/>
          <w:szCs w:val="10"/>
          <w:color w:val="auto"/>
        </w:rPr>
        <w:t>Sir Andrew Mackenzie acquired 7,396 RDS B shares on February 15, 2021;</w:t>
      </w:r>
    </w:p>
    <w:p>
      <w:pPr>
        <w:spacing w:after="0" w:line="1" w:lineRule="exact"/>
        <w:rPr>
          <w:rFonts w:ascii="Arial" w:cs="Arial" w:eastAsia="Arial" w:hAnsi="Arial"/>
          <w:sz w:val="10"/>
          <w:szCs w:val="10"/>
          <w:color w:val="auto"/>
        </w:rPr>
      </w:pPr>
    </w:p>
    <w:p>
      <w:pPr>
        <w:ind w:left="440" w:right="40" w:hanging="215"/>
        <w:spacing w:after="0" w:line="225" w:lineRule="auto"/>
        <w:tabs>
          <w:tab w:leader="none" w:pos="438" w:val="left"/>
        </w:tabs>
        <w:numPr>
          <w:ilvl w:val="0"/>
          <w:numId w:val="130"/>
        </w:numPr>
        <w:rPr>
          <w:rFonts w:ascii="Arial" w:cs="Arial" w:eastAsia="Arial" w:hAnsi="Arial"/>
          <w:sz w:val="10"/>
          <w:szCs w:val="10"/>
          <w:color w:val="auto"/>
        </w:rPr>
      </w:pPr>
      <w:r>
        <w:rPr>
          <w:rFonts w:ascii="Arial" w:cs="Arial" w:eastAsia="Arial" w:hAnsi="Arial"/>
          <w:sz w:val="10"/>
          <w:szCs w:val="10"/>
          <w:color w:val="auto"/>
        </w:rPr>
        <w:t>on February 12, 2021, Bram Shot purchased (i) an additional 2,500 certificates Royal Dutch Shell A Turbo Long 8,2 BNP Paribas Markets (ISIN: NL0009558519) at a price of €7.69 per certificate; and (ii) an additional 50 Leonteq Express Euro Denominated Certificates on ING, Royal Dutch Shell, Unilever (ISIN: CH0470808913), with a nominal value of €1,000 each at price of €715 per certificate; and</w:t>
      </w:r>
    </w:p>
    <w:p>
      <w:pPr>
        <w:ind w:left="440" w:right="40" w:hanging="215"/>
        <w:spacing w:after="0" w:line="231" w:lineRule="auto"/>
        <w:tabs>
          <w:tab w:leader="none" w:pos="438" w:val="left"/>
        </w:tabs>
        <w:numPr>
          <w:ilvl w:val="0"/>
          <w:numId w:val="130"/>
        </w:numPr>
        <w:rPr>
          <w:rFonts w:ascii="Arial" w:cs="Arial" w:eastAsia="Arial" w:hAnsi="Arial"/>
          <w:sz w:val="10"/>
          <w:szCs w:val="10"/>
          <w:color w:val="auto"/>
        </w:rPr>
      </w:pPr>
      <w:r>
        <w:rPr>
          <w:rFonts w:ascii="Arial" w:cs="Arial" w:eastAsia="Arial" w:hAnsi="Arial"/>
          <w:sz w:val="10"/>
          <w:szCs w:val="10"/>
          <w:color w:val="auto"/>
        </w:rPr>
        <w:t>following the vesting of the 2018 LTIP award, Ben van Beurden’s share interests increased by 112,100 RDS A shares, and Jessica Uhl’s by 28,059 RDS.A ADS.</w:t>
      </w:r>
    </w:p>
    <w:p>
      <w:pPr>
        <w:spacing w:after="0" w:line="149" w:lineRule="exact"/>
        <w:rPr>
          <w:sz w:val="20"/>
          <w:szCs w:val="20"/>
          <w:color w:val="auto"/>
        </w:rPr>
      </w:pPr>
    </w:p>
    <w:p>
      <w:pPr>
        <w:ind w:right="40"/>
        <w:spacing w:after="0" w:line="234" w:lineRule="auto"/>
        <w:rPr>
          <w:sz w:val="20"/>
          <w:szCs w:val="20"/>
          <w:color w:val="auto"/>
        </w:rPr>
      </w:pPr>
      <w:r>
        <w:rPr>
          <w:rFonts w:ascii="Arial" w:cs="Arial" w:eastAsia="Arial" w:hAnsi="Arial"/>
          <w:sz w:val="10"/>
          <w:szCs w:val="10"/>
          <w:color w:val="auto"/>
        </w:rPr>
        <w:t>At March 5, 2021, the Directors and Senior Management (pages 89-95) of the Company beneficially owned, individually and in aggregate (including shares under option), less than 1% of the total shares of each class of the Company shares. These shareholdings are not considered sufficient to affect the independence of the Directors.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Directors’ scheme interests</w:t>
      </w:r>
    </w:p>
    <w:p>
      <w:pPr>
        <w:spacing w:after="0" w:line="1" w:lineRule="exact"/>
        <w:rPr>
          <w:sz w:val="20"/>
          <w:szCs w:val="20"/>
          <w:color w:val="auto"/>
        </w:rPr>
      </w:pPr>
    </w:p>
    <w:p>
      <w:pPr>
        <w:ind w:right="140"/>
        <w:spacing w:after="0" w:line="228" w:lineRule="auto"/>
        <w:rPr>
          <w:sz w:val="20"/>
          <w:szCs w:val="20"/>
          <w:color w:val="auto"/>
        </w:rPr>
      </w:pPr>
      <w:r>
        <w:rPr>
          <w:rFonts w:ascii="Arial" w:cs="Arial" w:eastAsia="Arial" w:hAnsi="Arial"/>
          <w:sz w:val="10"/>
          <w:szCs w:val="10"/>
          <w:color w:val="auto"/>
        </w:rPr>
        <w:t>The table below shows the aggregate position for Directors’ interests under share schemes at December 31, 2020. These are RDS A shares for Ben van Beurden and A ADS for Jessica Uhl. During the period from December 31, 2020, to March 5, 2021, scheme interests have changed as a result of the vesting of the 2018 LTIP on March 5, 2021, and because of the 2021 LTIP awards made on March 5, 2021, as described on pages 124 and 126 respectively.</w:t>
      </w:r>
    </w:p>
    <w:p>
      <w:pPr>
        <w:sectPr>
          <w:pgSz w:w="11900" w:h="16838" w:orient="portrait"/>
          <w:cols w:equalWidth="0" w:num="2">
            <w:col w:w="5680" w:space="40"/>
            <w:col w:w="5460"/>
          </w:cols>
          <w:pgMar w:left="300" w:top="640" w:right="419" w:bottom="1440" w:gutter="0" w:footer="0" w:header="0"/>
        </w:sectPr>
      </w:pPr>
    </w:p>
    <w:bookmarkStart w:id="132" w:name="page133"/>
    <w:bookmarkEnd w:id="132"/>
    <w:p>
      <w:pPr>
        <w:ind w:left="8"/>
        <w:spacing w:after="0"/>
        <w:rPr>
          <w:sz w:val="20"/>
          <w:szCs w:val="20"/>
          <w:color w:val="auto"/>
        </w:rPr>
      </w:pPr>
      <w:r>
        <w:rPr>
          <w:rFonts w:ascii="Arial" w:cs="Arial" w:eastAsia="Arial" w:hAnsi="Arial"/>
          <w:sz w:val="10"/>
          <w:szCs w:val="10"/>
          <w:color w:val="auto"/>
        </w:rPr>
        <w:t>Directors’ scheme interests (audited)</w:t>
      </w:r>
    </w:p>
    <w:p>
      <w:pPr>
        <w:spacing w:after="0" w:line="195" w:lineRule="exact"/>
        <w:rPr>
          <w:sz w:val="20"/>
          <w:szCs w:val="20"/>
          <w:color w:val="auto"/>
        </w:rPr>
      </w:pPr>
    </w:p>
    <w:tbl>
      <w:tblPr>
        <w:tblLayout w:type="fixed"/>
        <w:tblInd w:w="8" w:type="dxa"/>
        <w:tblCellMar>
          <w:top w:w="0" w:type="dxa"/>
          <w:left w:w="0" w:type="dxa"/>
          <w:bottom w:w="0" w:type="dxa"/>
          <w:right w:w="0" w:type="dxa"/>
        </w:tblCellMar>
      </w:tblPr>
      <w:tr>
        <w:trPr>
          <w:trHeight w:val="105"/>
        </w:trPr>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gridSpan w:val="2"/>
          </w:tcPr>
          <w:p>
            <w:pPr>
              <w:jc w:val="right"/>
              <w:spacing w:after="0"/>
              <w:rPr>
                <w:sz w:val="20"/>
                <w:szCs w:val="20"/>
                <w:color w:val="auto"/>
              </w:rPr>
            </w:pPr>
            <w:r>
              <w:rPr>
                <w:rFonts w:ascii="Arial" w:cs="Arial" w:eastAsia="Arial" w:hAnsi="Arial"/>
                <w:sz w:val="8"/>
                <w:szCs w:val="8"/>
                <w:color w:val="auto"/>
              </w:rPr>
              <w:t>Share plan interests [A]</w:t>
            </w:r>
          </w:p>
        </w:tc>
      </w:tr>
      <w:tr>
        <w:trPr>
          <w:trHeight w:val="30"/>
        </w:trPr>
        <w:tc>
          <w:tcPr>
            <w:tcW w:w="12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7"/>
        </w:trPr>
        <w:tc>
          <w:tcPr>
            <w:tcW w:w="1200" w:type="dxa"/>
            <w:vAlign w:val="bottom"/>
          </w:tcPr>
          <w:p>
            <w:pPr>
              <w:spacing w:after="0"/>
              <w:rPr>
                <w:sz w:val="16"/>
                <w:szCs w:val="16"/>
                <w:color w:val="auto"/>
              </w:rPr>
            </w:pPr>
          </w:p>
        </w:tc>
        <w:tc>
          <w:tcPr>
            <w:tcW w:w="1500" w:type="dxa"/>
            <w:vAlign w:val="bottom"/>
            <w:gridSpan w:val="2"/>
          </w:tcPr>
          <w:p>
            <w:pPr>
              <w:ind w:left="340"/>
              <w:spacing w:after="0"/>
              <w:rPr>
                <w:sz w:val="20"/>
                <w:szCs w:val="20"/>
                <w:color w:val="auto"/>
              </w:rPr>
            </w:pPr>
            <w:r>
              <w:rPr>
                <w:rFonts w:ascii="Arial" w:cs="Arial" w:eastAsia="Arial" w:hAnsi="Arial"/>
                <w:sz w:val="8"/>
                <w:szCs w:val="8"/>
                <w:color w:val="auto"/>
              </w:rPr>
              <w:t>LTIP subject to performance</w:t>
            </w:r>
          </w:p>
        </w:tc>
        <w:tc>
          <w:tcPr>
            <w:tcW w:w="1500" w:type="dxa"/>
            <w:vAlign w:val="bottom"/>
            <w:gridSpan w:val="2"/>
          </w:tcPr>
          <w:p>
            <w:pPr>
              <w:jc w:val="right"/>
              <w:ind w:right="198"/>
              <w:spacing w:after="0"/>
              <w:rPr>
                <w:sz w:val="20"/>
                <w:szCs w:val="20"/>
                <w:color w:val="auto"/>
              </w:rPr>
            </w:pPr>
            <w:r>
              <w:rPr>
                <w:rFonts w:ascii="Arial" w:cs="Arial" w:eastAsia="Arial" w:hAnsi="Arial"/>
                <w:sz w:val="8"/>
                <w:szCs w:val="8"/>
                <w:color w:val="auto"/>
              </w:rPr>
              <w:t>DBP not subject to performance</w:t>
            </w: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11"/>
        </w:trPr>
        <w:tc>
          <w:tcPr>
            <w:tcW w:w="12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conditions [B]</w:t>
            </w:r>
          </w:p>
        </w:tc>
        <w:tc>
          <w:tcPr>
            <w:tcW w:w="6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color w:val="auto"/>
              </w:rPr>
              <w:t>conditions [C]</w:t>
            </w:r>
          </w:p>
        </w:tc>
        <w:tc>
          <w:tcPr>
            <w:tcW w:w="7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Total</w:t>
            </w:r>
          </w:p>
        </w:tc>
      </w:tr>
      <w:tr>
        <w:trPr>
          <w:trHeight w:val="109"/>
        </w:trPr>
        <w:tc>
          <w:tcPr>
            <w:tcW w:w="1200" w:type="dxa"/>
            <w:vAlign w:val="bottom"/>
          </w:tcPr>
          <w:p>
            <w:pPr>
              <w:spacing w:after="0"/>
              <w:rPr>
                <w:sz w:val="9"/>
                <w:szCs w:val="9"/>
                <w:color w:val="auto"/>
              </w:rPr>
            </w:pPr>
          </w:p>
        </w:tc>
        <w:tc>
          <w:tcPr>
            <w:tcW w:w="740" w:type="dxa"/>
            <w:vAlign w:val="bottom"/>
          </w:tcPr>
          <w:p>
            <w:pPr>
              <w:jc w:val="right"/>
              <w:ind w:right="38"/>
              <w:spacing w:after="0"/>
              <w:rPr>
                <w:sz w:val="20"/>
                <w:szCs w:val="20"/>
                <w:color w:val="auto"/>
              </w:rPr>
            </w:pPr>
            <w:r>
              <w:rPr>
                <w:rFonts w:ascii="Arial" w:cs="Arial" w:eastAsia="Arial" w:hAnsi="Arial"/>
                <w:sz w:val="8"/>
                <w:szCs w:val="8"/>
                <w:color w:val="auto"/>
              </w:rPr>
              <w:t>2020</w:t>
            </w:r>
          </w:p>
        </w:tc>
        <w:tc>
          <w:tcPr>
            <w:tcW w:w="760" w:type="dxa"/>
            <w:vAlign w:val="bottom"/>
          </w:tcPr>
          <w:p>
            <w:pPr>
              <w:jc w:val="right"/>
              <w:ind w:right="158"/>
              <w:spacing w:after="0"/>
              <w:rPr>
                <w:sz w:val="20"/>
                <w:szCs w:val="20"/>
                <w:color w:val="auto"/>
              </w:rPr>
            </w:pPr>
            <w:r>
              <w:rPr>
                <w:rFonts w:ascii="Arial" w:cs="Arial" w:eastAsia="Arial" w:hAnsi="Arial"/>
                <w:sz w:val="8"/>
                <w:szCs w:val="8"/>
                <w:color w:val="auto"/>
              </w:rPr>
              <w:t>2019</w:t>
            </w:r>
          </w:p>
        </w:tc>
        <w:tc>
          <w:tcPr>
            <w:tcW w:w="680" w:type="dxa"/>
            <w:vAlign w:val="bottom"/>
          </w:tcPr>
          <w:p>
            <w:pPr>
              <w:jc w:val="right"/>
              <w:ind w:right="38"/>
              <w:spacing w:after="0"/>
              <w:rPr>
                <w:sz w:val="20"/>
                <w:szCs w:val="20"/>
                <w:color w:val="auto"/>
              </w:rPr>
            </w:pPr>
            <w:r>
              <w:rPr>
                <w:rFonts w:ascii="Arial" w:cs="Arial" w:eastAsia="Arial" w:hAnsi="Arial"/>
                <w:sz w:val="8"/>
                <w:szCs w:val="8"/>
                <w:color w:val="auto"/>
              </w:rPr>
              <w:t>2020</w:t>
            </w:r>
          </w:p>
        </w:tc>
        <w:tc>
          <w:tcPr>
            <w:tcW w:w="820" w:type="dxa"/>
            <w:vAlign w:val="bottom"/>
          </w:tcPr>
          <w:p>
            <w:pPr>
              <w:jc w:val="right"/>
              <w:ind w:right="198"/>
              <w:spacing w:after="0"/>
              <w:rPr>
                <w:sz w:val="20"/>
                <w:szCs w:val="20"/>
                <w:color w:val="auto"/>
              </w:rPr>
            </w:pPr>
            <w:r>
              <w:rPr>
                <w:rFonts w:ascii="Arial" w:cs="Arial" w:eastAsia="Arial" w:hAnsi="Arial"/>
                <w:sz w:val="8"/>
                <w:szCs w:val="8"/>
                <w:color w:val="auto"/>
              </w:rPr>
              <w:t>2019</w:t>
            </w:r>
          </w:p>
        </w:tc>
        <w:tc>
          <w:tcPr>
            <w:tcW w:w="760" w:type="dxa"/>
            <w:vAlign w:val="bottom"/>
          </w:tcPr>
          <w:p>
            <w:pPr>
              <w:jc w:val="right"/>
              <w:ind w:right="158"/>
              <w:spacing w:after="0"/>
              <w:rPr>
                <w:sz w:val="20"/>
                <w:szCs w:val="20"/>
                <w:color w:val="auto"/>
              </w:rPr>
            </w:pPr>
            <w:r>
              <w:rPr>
                <w:rFonts w:ascii="Arial" w:cs="Arial" w:eastAsia="Arial" w:hAnsi="Arial"/>
                <w:sz w:val="8"/>
                <w:szCs w:val="8"/>
                <w:color w:val="auto"/>
              </w:rPr>
              <w:t>2020</w:t>
            </w:r>
          </w:p>
        </w:tc>
        <w:tc>
          <w:tcPr>
            <w:tcW w:w="480" w:type="dxa"/>
            <w:vAlign w:val="bottom"/>
          </w:tcPr>
          <w:p>
            <w:pPr>
              <w:jc w:val="right"/>
              <w:spacing w:after="0"/>
              <w:rPr>
                <w:sz w:val="20"/>
                <w:szCs w:val="20"/>
                <w:color w:val="auto"/>
              </w:rPr>
            </w:pPr>
            <w:r>
              <w:rPr>
                <w:rFonts w:ascii="Arial" w:cs="Arial" w:eastAsia="Arial" w:hAnsi="Arial"/>
                <w:sz w:val="8"/>
                <w:szCs w:val="8"/>
                <w:color w:val="auto"/>
              </w:rPr>
              <w:t>2019</w:t>
            </w:r>
          </w:p>
        </w:tc>
      </w:tr>
      <w:tr>
        <w:trPr>
          <w:trHeight w:val="21"/>
        </w:trPr>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09"/>
        </w:trPr>
        <w:tc>
          <w:tcPr>
            <w:tcW w:w="1200" w:type="dxa"/>
            <w:vAlign w:val="bottom"/>
            <w:tcBorders>
              <w:bottom w:val="single" w:sz="8" w:color="595959"/>
            </w:tcBorders>
          </w:tcPr>
          <w:p>
            <w:pPr>
              <w:spacing w:after="0"/>
              <w:rPr>
                <w:sz w:val="20"/>
                <w:szCs w:val="20"/>
                <w:color w:val="auto"/>
              </w:rPr>
            </w:pPr>
            <w:r>
              <w:rPr>
                <w:rFonts w:ascii="Arial" w:cs="Arial" w:eastAsia="Arial" w:hAnsi="Arial"/>
                <w:sz w:val="8"/>
                <w:szCs w:val="8"/>
                <w:color w:val="auto"/>
              </w:rPr>
              <w:t>Ben van Beurden [D]</w:t>
            </w:r>
          </w:p>
        </w:tc>
        <w:tc>
          <w:tcPr>
            <w:tcW w:w="740" w:type="dxa"/>
            <w:vAlign w:val="bottom"/>
            <w:tcBorders>
              <w:bottom w:val="single" w:sz="8" w:color="595959"/>
            </w:tcBorders>
          </w:tcPr>
          <w:p>
            <w:pPr>
              <w:ind w:left="360"/>
              <w:spacing w:after="0"/>
              <w:rPr>
                <w:sz w:val="20"/>
                <w:szCs w:val="20"/>
                <w:color w:val="auto"/>
              </w:rPr>
            </w:pPr>
            <w:r>
              <w:rPr>
                <w:rFonts w:ascii="Arial" w:cs="Arial" w:eastAsia="Arial" w:hAnsi="Arial"/>
                <w:sz w:val="8"/>
                <w:szCs w:val="8"/>
                <w:color w:val="auto"/>
              </w:rPr>
              <w:t>662,751</w:t>
            </w:r>
          </w:p>
        </w:tc>
        <w:tc>
          <w:tcPr>
            <w:tcW w:w="760" w:type="dxa"/>
            <w:vAlign w:val="bottom"/>
            <w:tcBorders>
              <w:bottom w:val="single" w:sz="8" w:color="595959"/>
            </w:tcBorders>
          </w:tcPr>
          <w:p>
            <w:pPr>
              <w:jc w:val="right"/>
              <w:ind w:right="158"/>
              <w:spacing w:after="0"/>
              <w:rPr>
                <w:sz w:val="20"/>
                <w:szCs w:val="20"/>
                <w:color w:val="auto"/>
              </w:rPr>
            </w:pPr>
            <w:r>
              <w:rPr>
                <w:rFonts w:ascii="Arial" w:cs="Arial" w:eastAsia="Arial" w:hAnsi="Arial"/>
                <w:sz w:val="8"/>
                <w:szCs w:val="8"/>
                <w:color w:val="auto"/>
              </w:rPr>
              <w:t>660,814</w:t>
            </w:r>
          </w:p>
        </w:tc>
        <w:tc>
          <w:tcPr>
            <w:tcW w:w="680" w:type="dxa"/>
            <w:vAlign w:val="bottom"/>
            <w:tcBorders>
              <w:bottom w:val="single" w:sz="8" w:color="595959"/>
            </w:tcBorders>
          </w:tcPr>
          <w:p>
            <w:pPr>
              <w:jc w:val="right"/>
              <w:ind w:right="38"/>
              <w:spacing w:after="0"/>
              <w:rPr>
                <w:sz w:val="20"/>
                <w:szCs w:val="20"/>
                <w:color w:val="auto"/>
              </w:rPr>
            </w:pPr>
            <w:r>
              <w:rPr>
                <w:rFonts w:ascii="Arial" w:cs="Arial" w:eastAsia="Arial" w:hAnsi="Arial"/>
                <w:sz w:val="8"/>
                <w:szCs w:val="8"/>
                <w:color w:val="auto"/>
              </w:rPr>
              <w:t>–</w:t>
            </w:r>
          </w:p>
        </w:tc>
        <w:tc>
          <w:tcPr>
            <w:tcW w:w="820" w:type="dxa"/>
            <w:vAlign w:val="bottom"/>
            <w:tcBorders>
              <w:bottom w:val="single" w:sz="8" w:color="595959"/>
            </w:tcBorders>
          </w:tcPr>
          <w:p>
            <w:pPr>
              <w:jc w:val="right"/>
              <w:ind w:right="198"/>
              <w:spacing w:after="0"/>
              <w:rPr>
                <w:sz w:val="20"/>
                <w:szCs w:val="20"/>
                <w:color w:val="auto"/>
              </w:rPr>
            </w:pPr>
            <w:r>
              <w:rPr>
                <w:rFonts w:ascii="Arial" w:cs="Arial" w:eastAsia="Arial" w:hAnsi="Arial"/>
                <w:sz w:val="8"/>
                <w:szCs w:val="8"/>
                <w:color w:val="auto"/>
              </w:rPr>
              <w:t>56,783</w:t>
            </w:r>
          </w:p>
        </w:tc>
        <w:tc>
          <w:tcPr>
            <w:tcW w:w="760" w:type="dxa"/>
            <w:vAlign w:val="bottom"/>
            <w:tcBorders>
              <w:bottom w:val="single" w:sz="8" w:color="595959"/>
            </w:tcBorders>
          </w:tcPr>
          <w:p>
            <w:pPr>
              <w:jc w:val="right"/>
              <w:ind w:right="178"/>
              <w:spacing w:after="0"/>
              <w:rPr>
                <w:sz w:val="20"/>
                <w:szCs w:val="20"/>
                <w:color w:val="auto"/>
              </w:rPr>
            </w:pPr>
            <w:r>
              <w:rPr>
                <w:rFonts w:ascii="Arial" w:cs="Arial" w:eastAsia="Arial" w:hAnsi="Arial"/>
                <w:sz w:val="8"/>
                <w:szCs w:val="8"/>
                <w:color w:val="auto"/>
              </w:rPr>
              <w:t>662,751</w:t>
            </w:r>
          </w:p>
        </w:tc>
        <w:tc>
          <w:tcPr>
            <w:tcW w:w="48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717,597</w:t>
            </w:r>
          </w:p>
        </w:tc>
      </w:tr>
      <w:tr>
        <w:trPr>
          <w:trHeight w:val="115"/>
        </w:trPr>
        <w:tc>
          <w:tcPr>
            <w:tcW w:w="12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Jessica Uhl [E]</w:t>
            </w:r>
          </w:p>
        </w:tc>
        <w:tc>
          <w:tcPr>
            <w:tcW w:w="740" w:type="dxa"/>
            <w:vAlign w:val="bottom"/>
            <w:tcBorders>
              <w:bottom w:val="single" w:sz="8" w:color="auto"/>
            </w:tcBorders>
          </w:tcPr>
          <w:p>
            <w:pPr>
              <w:ind w:left="360"/>
              <w:spacing w:after="0"/>
              <w:rPr>
                <w:sz w:val="20"/>
                <w:szCs w:val="20"/>
                <w:color w:val="auto"/>
              </w:rPr>
            </w:pPr>
            <w:r>
              <w:rPr>
                <w:rFonts w:ascii="Arial" w:cs="Arial" w:eastAsia="Arial" w:hAnsi="Arial"/>
                <w:sz w:val="8"/>
                <w:szCs w:val="8"/>
                <w:color w:val="auto"/>
              </w:rPr>
              <w:t>179,565</w:t>
            </w:r>
          </w:p>
        </w:tc>
        <w:tc>
          <w:tcPr>
            <w:tcW w:w="76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173,509</w:t>
            </w: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w:t>
            </w: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color w:val="auto"/>
              </w:rPr>
              <w:t>–</w:t>
            </w: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rPr>
              <w:t>179,565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173,509</w:t>
            </w:r>
          </w:p>
        </w:tc>
      </w:tr>
    </w:tbl>
    <w:p>
      <w:pPr>
        <w:spacing w:after="0" w:line="153" w:lineRule="exact"/>
        <w:rPr>
          <w:sz w:val="20"/>
          <w:szCs w:val="20"/>
          <w:color w:val="auto"/>
        </w:rPr>
      </w:pPr>
    </w:p>
    <w:p>
      <w:pPr>
        <w:ind w:left="8" w:right="60" w:hanging="8"/>
        <w:spacing w:after="0" w:line="299" w:lineRule="auto"/>
        <w:tabs>
          <w:tab w:leader="none" w:pos="146" w:val="left"/>
        </w:tabs>
        <w:numPr>
          <w:ilvl w:val="0"/>
          <w:numId w:val="131"/>
        </w:numPr>
        <w:rPr>
          <w:rFonts w:ascii="Arial" w:cs="Arial" w:eastAsia="Arial" w:hAnsi="Arial"/>
          <w:sz w:val="7"/>
          <w:szCs w:val="7"/>
          <w:color w:val="auto"/>
        </w:rPr>
      </w:pPr>
      <w:r>
        <w:rPr>
          <w:rFonts w:ascii="Arial" w:cs="Arial" w:eastAsia="Arial" w:hAnsi="Arial"/>
          <w:sz w:val="7"/>
          <w:szCs w:val="7"/>
          <w:color w:val="auto"/>
        </w:rPr>
        <w:t>Includes unvested long-term incentive awards and notional dividend shares accrued at December 31. Interests are shown on the basis of the original awards. The shares subject to performance conditions can vest at between 0% and 200%. Dividend shares accumulate each year on an assumed notional LTIP/DBP award. Such dividend shares are disclosed and recorded on the basis of the number of shares conditionally awarded but, when an award vests, dividend shares will be awarded only in relation to vested shares as if the vested shares were held from the award date. Shares released during the year are included in</w:t>
      </w:r>
    </w:p>
    <w:p>
      <w:pPr>
        <w:ind w:left="8"/>
        <w:spacing w:after="0"/>
        <w:rPr>
          <w:rFonts w:ascii="Arial" w:cs="Arial" w:eastAsia="Arial" w:hAnsi="Arial"/>
          <w:sz w:val="7"/>
          <w:szCs w:val="7"/>
          <w:color w:val="auto"/>
        </w:rPr>
      </w:pPr>
      <w:r>
        <w:rPr>
          <w:rFonts w:ascii="Arial" w:cs="Arial" w:eastAsia="Arial" w:hAnsi="Arial"/>
          <w:sz w:val="8"/>
          <w:szCs w:val="8"/>
          <w:color w:val="auto"/>
        </w:rPr>
        <w:t>the “Directors’ share interests” table.</w:t>
      </w:r>
    </w:p>
    <w:p>
      <w:pPr>
        <w:spacing w:after="0" w:line="7" w:lineRule="exact"/>
        <w:rPr>
          <w:rFonts w:ascii="Arial" w:cs="Arial" w:eastAsia="Arial" w:hAnsi="Arial"/>
          <w:sz w:val="7"/>
          <w:szCs w:val="7"/>
          <w:color w:val="auto"/>
        </w:rPr>
      </w:pPr>
    </w:p>
    <w:p>
      <w:pPr>
        <w:ind w:left="128" w:hanging="128"/>
        <w:spacing w:after="0"/>
        <w:tabs>
          <w:tab w:leader="none" w:pos="128" w:val="left"/>
        </w:tabs>
        <w:numPr>
          <w:ilvl w:val="0"/>
          <w:numId w:val="131"/>
        </w:numPr>
        <w:rPr>
          <w:rFonts w:ascii="Arial" w:cs="Arial" w:eastAsia="Arial" w:hAnsi="Arial"/>
          <w:sz w:val="8"/>
          <w:szCs w:val="8"/>
          <w:color w:val="auto"/>
        </w:rPr>
      </w:pPr>
      <w:r>
        <w:rPr>
          <w:rFonts w:ascii="Arial" w:cs="Arial" w:eastAsia="Arial" w:hAnsi="Arial"/>
          <w:sz w:val="8"/>
          <w:szCs w:val="8"/>
          <w:color w:val="auto"/>
        </w:rPr>
        <w:t>Total number of unvested LTIP shares at December 31, 2020, including dividend shares accrued on the original LTIP award.</w:t>
      </w:r>
    </w:p>
    <w:p>
      <w:pPr>
        <w:spacing w:after="0" w:line="7" w:lineRule="exact"/>
        <w:rPr>
          <w:rFonts w:ascii="Arial" w:cs="Arial" w:eastAsia="Arial" w:hAnsi="Arial"/>
          <w:sz w:val="8"/>
          <w:szCs w:val="8"/>
          <w:color w:val="auto"/>
        </w:rPr>
      </w:pPr>
    </w:p>
    <w:p>
      <w:pPr>
        <w:jc w:val="both"/>
        <w:ind w:left="8" w:right="20" w:hanging="8"/>
        <w:spacing w:after="0" w:line="258" w:lineRule="auto"/>
        <w:tabs>
          <w:tab w:leader="none" w:pos="141" w:val="left"/>
        </w:tabs>
        <w:numPr>
          <w:ilvl w:val="0"/>
          <w:numId w:val="131"/>
        </w:numPr>
        <w:rPr>
          <w:rFonts w:ascii="Arial" w:cs="Arial" w:eastAsia="Arial" w:hAnsi="Arial"/>
          <w:sz w:val="8"/>
          <w:szCs w:val="8"/>
          <w:color w:val="auto"/>
        </w:rPr>
      </w:pPr>
      <w:r>
        <w:rPr>
          <w:rFonts w:ascii="Arial" w:cs="Arial" w:eastAsia="Arial" w:hAnsi="Arial"/>
          <w:sz w:val="8"/>
          <w:szCs w:val="8"/>
          <w:color w:val="auto"/>
        </w:rPr>
        <w:t>The number of shares deferred from the bonus (original DBP award) and the dividend shares accrued on these at December 31, 2019. DBP awards have been discontinued with the final awards taking place in 2017. No DBP awards remain outstanding following the final vesting of these awards in March 2020. Delivery of the original DBP award and the related accrued dividend shares is not subject to performance condition.</w:t>
      </w:r>
    </w:p>
    <w:p>
      <w:pPr>
        <w:ind w:left="128" w:hanging="128"/>
        <w:spacing w:after="0"/>
        <w:tabs>
          <w:tab w:leader="none" w:pos="128" w:val="left"/>
        </w:tabs>
        <w:numPr>
          <w:ilvl w:val="0"/>
          <w:numId w:val="131"/>
        </w:numPr>
        <w:rPr>
          <w:rFonts w:ascii="Arial" w:cs="Arial" w:eastAsia="Arial" w:hAnsi="Arial"/>
          <w:sz w:val="8"/>
          <w:szCs w:val="8"/>
          <w:color w:val="auto"/>
        </w:rPr>
      </w:pPr>
      <w:r>
        <w:rPr>
          <w:rFonts w:ascii="Arial" w:cs="Arial" w:eastAsia="Arial" w:hAnsi="Arial"/>
          <w:sz w:val="8"/>
          <w:szCs w:val="8"/>
          <w:color w:val="auto"/>
        </w:rPr>
        <w:t>RDS A shares.</w:t>
      </w:r>
    </w:p>
    <w:p>
      <w:pPr>
        <w:spacing w:after="0" w:line="7" w:lineRule="exact"/>
        <w:rPr>
          <w:rFonts w:ascii="Arial" w:cs="Arial" w:eastAsia="Arial" w:hAnsi="Arial"/>
          <w:sz w:val="8"/>
          <w:szCs w:val="8"/>
          <w:color w:val="auto"/>
        </w:rPr>
      </w:pPr>
    </w:p>
    <w:p>
      <w:pPr>
        <w:ind w:left="128" w:hanging="128"/>
        <w:spacing w:after="0"/>
        <w:tabs>
          <w:tab w:leader="none" w:pos="128" w:val="left"/>
        </w:tabs>
        <w:numPr>
          <w:ilvl w:val="0"/>
          <w:numId w:val="131"/>
        </w:numPr>
        <w:rPr>
          <w:rFonts w:ascii="Arial" w:cs="Arial" w:eastAsia="Arial" w:hAnsi="Arial"/>
          <w:sz w:val="8"/>
          <w:szCs w:val="8"/>
          <w:color w:val="auto"/>
        </w:rPr>
      </w:pPr>
      <w:r>
        <w:rPr>
          <w:rFonts w:ascii="Arial" w:cs="Arial" w:eastAsia="Arial" w:hAnsi="Arial"/>
          <w:sz w:val="8"/>
          <w:szCs w:val="8"/>
          <w:color w:val="auto"/>
        </w:rPr>
        <w:t>RDS.A ADS.</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0"/>
          <w:szCs w:val="10"/>
          <w:color w:val="auto"/>
        </w:rPr>
        <w:t>Dilution</w:t>
      </w:r>
    </w:p>
    <w:p>
      <w:pPr>
        <w:spacing w:after="0" w:line="1" w:lineRule="exact"/>
        <w:rPr>
          <w:sz w:val="20"/>
          <w:szCs w:val="20"/>
          <w:color w:val="auto"/>
        </w:rPr>
      </w:pPr>
    </w:p>
    <w:p>
      <w:pPr>
        <w:ind w:left="8" w:right="40"/>
        <w:spacing w:after="0" w:line="228" w:lineRule="auto"/>
        <w:rPr>
          <w:sz w:val="20"/>
          <w:szCs w:val="20"/>
          <w:color w:val="auto"/>
        </w:rPr>
      </w:pPr>
      <w:r>
        <w:rPr>
          <w:rFonts w:ascii="Arial" w:cs="Arial" w:eastAsia="Arial" w:hAnsi="Arial"/>
          <w:sz w:val="10"/>
          <w:szCs w:val="10"/>
          <w:color w:val="auto"/>
        </w:rPr>
        <w:t>In any 10-year period, no more than 5% of the issued ordinary share capital of the Company may be issued or issuable under executive (discretionary) share plans adopted by the Company, or 10% when aggregated with awards under any other employee share plan operated by the Company. To date, no shareholder dilution has resulted from these plans, although it is permitted under the rules of the plans, subject to these limits.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Payments to past Directors (audited)</w:t>
      </w:r>
    </w:p>
    <w:p>
      <w:pPr>
        <w:spacing w:after="0"/>
        <w:rPr>
          <w:sz w:val="20"/>
          <w:szCs w:val="20"/>
          <w:color w:val="auto"/>
        </w:rPr>
      </w:pPr>
      <w:r>
        <w:rPr>
          <w:rFonts w:ascii="Arial" w:cs="Arial" w:eastAsia="Arial" w:hAnsi="Arial"/>
          <w:sz w:val="10"/>
          <w:szCs w:val="10"/>
          <w:color w:val="auto"/>
        </w:rPr>
        <w:t>No payments to past Directors were made in 2020.</w:t>
      </w:r>
    </w:p>
    <w:p>
      <w:pPr>
        <w:spacing w:after="0" w:line="148" w:lineRule="exact"/>
        <w:rPr>
          <w:sz w:val="20"/>
          <w:szCs w:val="20"/>
          <w:color w:val="auto"/>
        </w:rPr>
      </w:pPr>
    </w:p>
    <w:p>
      <w:pPr>
        <w:spacing w:after="0"/>
        <w:rPr>
          <w:sz w:val="20"/>
          <w:szCs w:val="20"/>
          <w:color w:val="auto"/>
        </w:rPr>
      </w:pPr>
      <w:r>
        <w:rPr>
          <w:rFonts w:ascii="Arial" w:cs="Arial" w:eastAsia="Arial" w:hAnsi="Arial"/>
          <w:sz w:val="8"/>
          <w:szCs w:val="8"/>
          <w:color w:val="auto"/>
        </w:rPr>
        <w:t>Payments below €5,000 are not reported as they are considered de minimis.</w:t>
      </w:r>
    </w:p>
    <w:p>
      <w:pPr>
        <w:spacing w:after="0" w:line="2874" w:lineRule="exact"/>
        <w:rPr>
          <w:sz w:val="20"/>
          <w:szCs w:val="20"/>
          <w:color w:val="auto"/>
        </w:rPr>
      </w:pPr>
    </w:p>
    <w:p>
      <w:pPr>
        <w:sectPr>
          <w:pgSz w:w="11900" w:h="16838" w:orient="portrait"/>
          <w:cols w:equalWidth="0" w:num="2">
            <w:col w:w="5448" w:space="280"/>
            <w:col w:w="5580"/>
          </w:cols>
          <w:pgMar w:left="292" w:top="640" w:right="299" w:bottom="1440" w:gutter="0" w:footer="0" w:header="0"/>
        </w:sect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130</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0"/>
          <w:szCs w:val="10"/>
          <w:color w:val="auto"/>
        </w:rPr>
        <w:t>TSR performance and CEO pay</w:t>
      </w:r>
    </w:p>
    <w:p>
      <w:pPr>
        <w:spacing w:after="0" w:line="227" w:lineRule="auto"/>
        <w:rPr>
          <w:sz w:val="20"/>
          <w:szCs w:val="20"/>
          <w:color w:val="auto"/>
        </w:rPr>
      </w:pPr>
      <w:r>
        <w:rPr>
          <w:rFonts w:ascii="Arial" w:cs="Arial" w:eastAsia="Arial" w:hAnsi="Arial"/>
          <w:sz w:val="10"/>
          <w:szCs w:val="10"/>
          <w:color w:val="auto"/>
        </w:rPr>
        <w:t>Performance graphs</w:t>
      </w:r>
    </w:p>
    <w:p>
      <w:pPr>
        <w:ind w:right="160"/>
        <w:spacing w:after="0" w:line="231" w:lineRule="auto"/>
        <w:rPr>
          <w:sz w:val="20"/>
          <w:szCs w:val="20"/>
          <w:color w:val="auto"/>
        </w:rPr>
      </w:pPr>
      <w:r>
        <w:rPr>
          <w:rFonts w:ascii="Arial" w:cs="Arial" w:eastAsia="Arial" w:hAnsi="Arial"/>
          <w:sz w:val="10"/>
          <w:szCs w:val="10"/>
          <w:color w:val="auto"/>
        </w:rPr>
        <w:t>The graphs compare the TSR performance of Royal Dutch Shell plc over the past 10 financial years with that of the companies comprising the Euronext 100 and the FTSE 100 share indices. The Board regards these indices as appropriate broad market equity indices for comparison, because they are the leading market indices in Royal Dutch Shell plc’s home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1885950" cy="13144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885950" cy="131445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102235</wp:posOffset>
            </wp:positionV>
            <wp:extent cx="1885950" cy="13144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885950" cy="131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0"/>
          <w:szCs w:val="10"/>
          <w:color w:val="auto"/>
        </w:rPr>
        <w:t>CEO pay outcomes</w:t>
      </w:r>
    </w:p>
    <w:p>
      <w:pPr>
        <w:spacing w:after="0"/>
        <w:rPr>
          <w:sz w:val="20"/>
          <w:szCs w:val="20"/>
          <w:color w:val="auto"/>
        </w:rPr>
      </w:pPr>
      <w:r>
        <w:rPr>
          <w:rFonts w:ascii="Arial" w:cs="Arial" w:eastAsia="Arial" w:hAnsi="Arial"/>
          <w:sz w:val="10"/>
          <w:szCs w:val="10"/>
          <w:color w:val="auto"/>
        </w:rPr>
        <w:t>The following table sets out the single total figure of remuneration, the annual bonus payment and long-term incentive (LTI) vesting rates compared with the respective maximum opportunity, for the CEO for the past 10 years.</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CEO pay outcomes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7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340" w:type="dxa"/>
            <w:vAlign w:val="bottom"/>
          </w:tcPr>
          <w:p>
            <w:pPr>
              <w:jc w:val="right"/>
              <w:ind w:right="598"/>
              <w:spacing w:after="0"/>
              <w:rPr>
                <w:sz w:val="20"/>
                <w:szCs w:val="20"/>
                <w:color w:val="auto"/>
              </w:rPr>
            </w:pPr>
            <w:r>
              <w:rPr>
                <w:rFonts w:ascii="Arial" w:cs="Arial" w:eastAsia="Arial" w:hAnsi="Arial"/>
                <w:sz w:val="8"/>
                <w:szCs w:val="8"/>
                <w:color w:val="auto"/>
              </w:rPr>
              <w:t>Single total figure</w:t>
            </w:r>
          </w:p>
        </w:tc>
        <w:tc>
          <w:tcPr>
            <w:tcW w:w="2060" w:type="dxa"/>
            <w:vAlign w:val="bottom"/>
          </w:tcPr>
          <w:p>
            <w:pPr>
              <w:jc w:val="right"/>
              <w:ind w:right="378"/>
              <w:spacing w:after="0"/>
              <w:rPr>
                <w:sz w:val="20"/>
                <w:szCs w:val="20"/>
                <w:color w:val="auto"/>
              </w:rPr>
            </w:pPr>
            <w:r>
              <w:rPr>
                <w:rFonts w:ascii="Arial" w:cs="Arial" w:eastAsia="Arial" w:hAnsi="Arial"/>
                <w:sz w:val="8"/>
                <w:szCs w:val="8"/>
                <w:color w:val="auto"/>
              </w:rPr>
              <w:t>Annual bonus award</w:t>
            </w:r>
          </w:p>
        </w:tc>
        <w:tc>
          <w:tcPr>
            <w:tcW w:w="1860" w:type="dxa"/>
            <w:vAlign w:val="bottom"/>
          </w:tcPr>
          <w:p>
            <w:pPr>
              <w:spacing w:after="0"/>
              <w:rPr>
                <w:sz w:val="7"/>
                <w:szCs w:val="7"/>
                <w:color w:val="auto"/>
              </w:rPr>
            </w:pPr>
          </w:p>
        </w:tc>
      </w:tr>
      <w:tr>
        <w:trPr>
          <w:trHeight w:val="111"/>
        </w:trPr>
        <w:tc>
          <w:tcPr>
            <w:tcW w:w="78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Year</w:t>
            </w:r>
          </w:p>
        </w:tc>
        <w:tc>
          <w:tcPr>
            <w:tcW w:w="3260" w:type="dxa"/>
            <w:vAlign w:val="bottom"/>
            <w:tcBorders>
              <w:bottom w:val="single" w:sz="8" w:color="auto"/>
            </w:tcBorders>
          </w:tcPr>
          <w:p>
            <w:pPr>
              <w:ind w:left="600"/>
              <w:spacing w:after="0"/>
              <w:rPr>
                <w:sz w:val="20"/>
                <w:szCs w:val="20"/>
                <w:color w:val="auto"/>
              </w:rPr>
            </w:pPr>
            <w:r>
              <w:rPr>
                <w:rFonts w:ascii="Arial" w:cs="Arial" w:eastAsia="Arial" w:hAnsi="Arial"/>
                <w:sz w:val="8"/>
                <w:szCs w:val="8"/>
                <w:color w:val="auto"/>
              </w:rPr>
              <w:t>CEO</w:t>
            </w:r>
          </w:p>
        </w:tc>
        <w:tc>
          <w:tcPr>
            <w:tcW w:w="3340" w:type="dxa"/>
            <w:vAlign w:val="bottom"/>
            <w:tcBorders>
              <w:bottom w:val="single" w:sz="8" w:color="auto"/>
            </w:tcBorders>
          </w:tcPr>
          <w:p>
            <w:pPr>
              <w:jc w:val="right"/>
              <w:ind w:right="598"/>
              <w:spacing w:after="0"/>
              <w:rPr>
                <w:sz w:val="20"/>
                <w:szCs w:val="20"/>
                <w:color w:val="auto"/>
              </w:rPr>
            </w:pPr>
            <w:r>
              <w:rPr>
                <w:rFonts w:ascii="Arial" w:cs="Arial" w:eastAsia="Arial" w:hAnsi="Arial"/>
                <w:sz w:val="8"/>
                <w:szCs w:val="8"/>
                <w:color w:val="auto"/>
              </w:rPr>
              <w:t>of remuneration (€000)</w:t>
            </w:r>
          </w:p>
        </w:tc>
        <w:tc>
          <w:tcPr>
            <w:tcW w:w="206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against maximum opportunity</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LTI vesting against maximum opportunity</w:t>
            </w:r>
          </w:p>
        </w:tc>
      </w:tr>
      <w:tr>
        <w:trPr>
          <w:trHeight w:val="115"/>
        </w:trPr>
        <w:tc>
          <w:tcPr>
            <w:tcW w:w="78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2020</w:t>
            </w:r>
          </w:p>
        </w:tc>
        <w:tc>
          <w:tcPr>
            <w:tcW w:w="3260" w:type="dxa"/>
            <w:vAlign w:val="bottom"/>
            <w:tcBorders>
              <w:bottom w:val="single" w:sz="8" w:color="494949"/>
            </w:tcBorders>
          </w:tcPr>
          <w:p>
            <w:pPr>
              <w:ind w:left="600"/>
              <w:spacing w:after="0"/>
              <w:rPr>
                <w:sz w:val="20"/>
                <w:szCs w:val="20"/>
                <w:color w:val="auto"/>
              </w:rPr>
            </w:pPr>
            <w:r>
              <w:rPr>
                <w:rFonts w:ascii="Arial" w:cs="Arial" w:eastAsia="Arial" w:hAnsi="Arial"/>
                <w:sz w:val="8"/>
                <w:szCs w:val="8"/>
                <w:color w:val="auto"/>
              </w:rPr>
              <w:t>Ben van Beurden</w:t>
            </w:r>
          </w:p>
        </w:tc>
        <w:tc>
          <w:tcPr>
            <w:tcW w:w="3340" w:type="dxa"/>
            <w:vAlign w:val="bottom"/>
            <w:tcBorders>
              <w:bottom w:val="single" w:sz="8" w:color="494949"/>
            </w:tcBorders>
          </w:tcPr>
          <w:p>
            <w:pPr>
              <w:jc w:val="right"/>
              <w:ind w:right="618"/>
              <w:spacing w:after="0"/>
              <w:rPr>
                <w:sz w:val="20"/>
                <w:szCs w:val="20"/>
                <w:color w:val="auto"/>
              </w:rPr>
            </w:pPr>
            <w:r>
              <w:rPr>
                <w:rFonts w:ascii="Arial" w:cs="Arial" w:eastAsia="Arial" w:hAnsi="Arial"/>
                <w:sz w:val="8"/>
                <w:szCs w:val="8"/>
                <w:color w:val="auto"/>
              </w:rPr>
              <w:t>5,841</w:t>
            </w:r>
          </w:p>
        </w:tc>
        <w:tc>
          <w:tcPr>
            <w:tcW w:w="2060" w:type="dxa"/>
            <w:vAlign w:val="bottom"/>
            <w:tcBorders>
              <w:bottom w:val="single" w:sz="8" w:color="494949"/>
            </w:tcBorders>
          </w:tcPr>
          <w:p>
            <w:pPr>
              <w:jc w:val="right"/>
              <w:ind w:right="378"/>
              <w:spacing w:after="0"/>
              <w:rPr>
                <w:sz w:val="20"/>
                <w:szCs w:val="20"/>
                <w:color w:val="auto"/>
              </w:rPr>
            </w:pPr>
            <w:r>
              <w:rPr>
                <w:rFonts w:ascii="Arial" w:cs="Arial" w:eastAsia="Arial" w:hAnsi="Arial"/>
                <w:sz w:val="8"/>
                <w:szCs w:val="8"/>
                <w:color w:val="auto"/>
              </w:rPr>
              <w:t>0 %</w:t>
            </w:r>
          </w:p>
        </w:tc>
        <w:tc>
          <w:tcPr>
            <w:tcW w:w="18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45 %</w:t>
            </w:r>
          </w:p>
        </w:tc>
      </w:tr>
      <w:tr>
        <w:trPr>
          <w:trHeight w:val="115"/>
        </w:trPr>
        <w:tc>
          <w:tcPr>
            <w:tcW w:w="78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2019</w:t>
            </w:r>
          </w:p>
        </w:tc>
        <w:tc>
          <w:tcPr>
            <w:tcW w:w="3260" w:type="dxa"/>
            <w:vAlign w:val="bottom"/>
            <w:tcBorders>
              <w:bottom w:val="single" w:sz="8" w:color="494949"/>
            </w:tcBorders>
          </w:tcPr>
          <w:p>
            <w:pPr>
              <w:ind w:left="600"/>
              <w:spacing w:after="0"/>
              <w:rPr>
                <w:sz w:val="20"/>
                <w:szCs w:val="20"/>
                <w:color w:val="auto"/>
              </w:rPr>
            </w:pPr>
            <w:r>
              <w:rPr>
                <w:rFonts w:ascii="Arial" w:cs="Arial" w:eastAsia="Arial" w:hAnsi="Arial"/>
                <w:sz w:val="8"/>
                <w:szCs w:val="8"/>
                <w:color w:val="auto"/>
              </w:rPr>
              <w:t>Ben van Beurden</w:t>
            </w:r>
          </w:p>
        </w:tc>
        <w:tc>
          <w:tcPr>
            <w:tcW w:w="3340" w:type="dxa"/>
            <w:vAlign w:val="bottom"/>
            <w:tcBorders>
              <w:bottom w:val="single" w:sz="8" w:color="494949"/>
            </w:tcBorders>
          </w:tcPr>
          <w:p>
            <w:pPr>
              <w:jc w:val="right"/>
              <w:ind w:right="598"/>
              <w:spacing w:after="0"/>
              <w:rPr>
                <w:sz w:val="20"/>
                <w:szCs w:val="20"/>
                <w:color w:val="auto"/>
              </w:rPr>
            </w:pPr>
            <w:r>
              <w:rPr>
                <w:rFonts w:ascii="Arial" w:cs="Arial" w:eastAsia="Arial" w:hAnsi="Arial"/>
                <w:sz w:val="8"/>
                <w:szCs w:val="8"/>
                <w:color w:val="auto"/>
              </w:rPr>
              <w:t>9,963</w:t>
            </w:r>
          </w:p>
        </w:tc>
        <w:tc>
          <w:tcPr>
            <w:tcW w:w="2060" w:type="dxa"/>
            <w:vAlign w:val="bottom"/>
            <w:tcBorders>
              <w:bottom w:val="single" w:sz="8" w:color="494949"/>
            </w:tcBorders>
          </w:tcPr>
          <w:p>
            <w:pPr>
              <w:jc w:val="right"/>
              <w:ind w:right="378"/>
              <w:spacing w:after="0"/>
              <w:rPr>
                <w:sz w:val="20"/>
                <w:szCs w:val="20"/>
                <w:color w:val="auto"/>
              </w:rPr>
            </w:pPr>
            <w:r>
              <w:rPr>
                <w:rFonts w:ascii="Arial" w:cs="Arial" w:eastAsia="Arial" w:hAnsi="Arial"/>
                <w:sz w:val="8"/>
                <w:szCs w:val="8"/>
                <w:color w:val="auto"/>
              </w:rPr>
              <w:t>21%</w:t>
            </w:r>
          </w:p>
        </w:tc>
        <w:tc>
          <w:tcPr>
            <w:tcW w:w="18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74%</w:t>
            </w:r>
          </w:p>
        </w:tc>
      </w:tr>
      <w:tr>
        <w:trPr>
          <w:trHeight w:val="115"/>
        </w:trPr>
        <w:tc>
          <w:tcPr>
            <w:tcW w:w="78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2018</w:t>
            </w:r>
          </w:p>
        </w:tc>
        <w:tc>
          <w:tcPr>
            <w:tcW w:w="3260" w:type="dxa"/>
            <w:vAlign w:val="bottom"/>
            <w:tcBorders>
              <w:bottom w:val="single" w:sz="8" w:color="494949"/>
            </w:tcBorders>
          </w:tcPr>
          <w:p>
            <w:pPr>
              <w:ind w:left="600"/>
              <w:spacing w:after="0"/>
              <w:rPr>
                <w:sz w:val="20"/>
                <w:szCs w:val="20"/>
                <w:color w:val="auto"/>
              </w:rPr>
            </w:pPr>
            <w:r>
              <w:rPr>
                <w:rFonts w:ascii="Arial" w:cs="Arial" w:eastAsia="Arial" w:hAnsi="Arial"/>
                <w:sz w:val="8"/>
                <w:szCs w:val="8"/>
                <w:color w:val="auto"/>
              </w:rPr>
              <w:t>Ben van Beurden</w:t>
            </w:r>
          </w:p>
        </w:tc>
        <w:tc>
          <w:tcPr>
            <w:tcW w:w="3340" w:type="dxa"/>
            <w:vAlign w:val="bottom"/>
            <w:tcBorders>
              <w:bottom w:val="single" w:sz="8" w:color="494949"/>
            </w:tcBorders>
          </w:tcPr>
          <w:p>
            <w:pPr>
              <w:jc w:val="right"/>
              <w:ind w:right="598"/>
              <w:spacing w:after="0"/>
              <w:rPr>
                <w:sz w:val="20"/>
                <w:szCs w:val="20"/>
                <w:color w:val="auto"/>
              </w:rPr>
            </w:pPr>
            <w:r>
              <w:rPr>
                <w:rFonts w:ascii="Arial" w:cs="Arial" w:eastAsia="Arial" w:hAnsi="Arial"/>
                <w:sz w:val="8"/>
                <w:szCs w:val="8"/>
                <w:color w:val="auto"/>
              </w:rPr>
              <w:t>20,138</w:t>
            </w:r>
          </w:p>
        </w:tc>
        <w:tc>
          <w:tcPr>
            <w:tcW w:w="2060" w:type="dxa"/>
            <w:vAlign w:val="bottom"/>
            <w:tcBorders>
              <w:bottom w:val="single" w:sz="8" w:color="494949"/>
            </w:tcBorders>
          </w:tcPr>
          <w:p>
            <w:pPr>
              <w:jc w:val="right"/>
              <w:ind w:right="378"/>
              <w:spacing w:after="0"/>
              <w:rPr>
                <w:sz w:val="20"/>
                <w:szCs w:val="20"/>
                <w:color w:val="auto"/>
              </w:rPr>
            </w:pPr>
            <w:r>
              <w:rPr>
                <w:rFonts w:ascii="Arial" w:cs="Arial" w:eastAsia="Arial" w:hAnsi="Arial"/>
                <w:sz w:val="8"/>
                <w:szCs w:val="8"/>
                <w:color w:val="auto"/>
              </w:rPr>
              <w:t>79%</w:t>
            </w:r>
          </w:p>
        </w:tc>
        <w:tc>
          <w:tcPr>
            <w:tcW w:w="18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95%</w:t>
            </w:r>
          </w:p>
        </w:tc>
      </w:tr>
      <w:tr>
        <w:trPr>
          <w:trHeight w:val="115"/>
        </w:trPr>
        <w:tc>
          <w:tcPr>
            <w:tcW w:w="78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2017</w:t>
            </w:r>
          </w:p>
        </w:tc>
        <w:tc>
          <w:tcPr>
            <w:tcW w:w="3260" w:type="dxa"/>
            <w:vAlign w:val="bottom"/>
            <w:tcBorders>
              <w:bottom w:val="single" w:sz="8" w:color="494949"/>
            </w:tcBorders>
          </w:tcPr>
          <w:p>
            <w:pPr>
              <w:ind w:left="600"/>
              <w:spacing w:after="0"/>
              <w:rPr>
                <w:sz w:val="20"/>
                <w:szCs w:val="20"/>
                <w:color w:val="auto"/>
              </w:rPr>
            </w:pPr>
            <w:r>
              <w:rPr>
                <w:rFonts w:ascii="Arial" w:cs="Arial" w:eastAsia="Arial" w:hAnsi="Arial"/>
                <w:sz w:val="8"/>
                <w:szCs w:val="8"/>
                <w:color w:val="auto"/>
              </w:rPr>
              <w:t>Ben van Beurden</w:t>
            </w:r>
          </w:p>
        </w:tc>
        <w:tc>
          <w:tcPr>
            <w:tcW w:w="3340" w:type="dxa"/>
            <w:vAlign w:val="bottom"/>
            <w:tcBorders>
              <w:bottom w:val="single" w:sz="8" w:color="494949"/>
            </w:tcBorders>
          </w:tcPr>
          <w:p>
            <w:pPr>
              <w:jc w:val="right"/>
              <w:ind w:right="598"/>
              <w:spacing w:after="0"/>
              <w:rPr>
                <w:sz w:val="20"/>
                <w:szCs w:val="20"/>
                <w:color w:val="auto"/>
              </w:rPr>
            </w:pPr>
            <w:r>
              <w:rPr>
                <w:rFonts w:ascii="Arial" w:cs="Arial" w:eastAsia="Arial" w:hAnsi="Arial"/>
                <w:sz w:val="8"/>
                <w:szCs w:val="8"/>
                <w:color w:val="auto"/>
              </w:rPr>
              <w:t>8,909</w:t>
            </w:r>
          </w:p>
        </w:tc>
        <w:tc>
          <w:tcPr>
            <w:tcW w:w="2060" w:type="dxa"/>
            <w:vAlign w:val="bottom"/>
            <w:tcBorders>
              <w:bottom w:val="single" w:sz="8" w:color="494949"/>
            </w:tcBorders>
          </w:tcPr>
          <w:p>
            <w:pPr>
              <w:jc w:val="right"/>
              <w:ind w:right="378"/>
              <w:spacing w:after="0"/>
              <w:rPr>
                <w:sz w:val="20"/>
                <w:szCs w:val="20"/>
                <w:color w:val="auto"/>
              </w:rPr>
            </w:pPr>
            <w:r>
              <w:rPr>
                <w:rFonts w:ascii="Arial" w:cs="Arial" w:eastAsia="Arial" w:hAnsi="Arial"/>
                <w:sz w:val="8"/>
                <w:szCs w:val="8"/>
                <w:color w:val="auto"/>
              </w:rPr>
              <w:t>81%</w:t>
            </w:r>
          </w:p>
        </w:tc>
        <w:tc>
          <w:tcPr>
            <w:tcW w:w="18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35%</w:t>
            </w:r>
          </w:p>
        </w:tc>
      </w:tr>
      <w:tr>
        <w:trPr>
          <w:trHeight w:val="115"/>
        </w:trPr>
        <w:tc>
          <w:tcPr>
            <w:tcW w:w="78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2016</w:t>
            </w:r>
          </w:p>
        </w:tc>
        <w:tc>
          <w:tcPr>
            <w:tcW w:w="3260" w:type="dxa"/>
            <w:vAlign w:val="bottom"/>
            <w:tcBorders>
              <w:bottom w:val="single" w:sz="8" w:color="494949"/>
            </w:tcBorders>
          </w:tcPr>
          <w:p>
            <w:pPr>
              <w:ind w:left="600"/>
              <w:spacing w:after="0"/>
              <w:rPr>
                <w:sz w:val="20"/>
                <w:szCs w:val="20"/>
                <w:color w:val="auto"/>
              </w:rPr>
            </w:pPr>
            <w:r>
              <w:rPr>
                <w:rFonts w:ascii="Arial" w:cs="Arial" w:eastAsia="Arial" w:hAnsi="Arial"/>
                <w:sz w:val="8"/>
                <w:szCs w:val="8"/>
                <w:color w:val="auto"/>
              </w:rPr>
              <w:t>Ben van Beurden</w:t>
            </w:r>
          </w:p>
        </w:tc>
        <w:tc>
          <w:tcPr>
            <w:tcW w:w="3340" w:type="dxa"/>
            <w:vAlign w:val="bottom"/>
            <w:tcBorders>
              <w:bottom w:val="single" w:sz="8" w:color="494949"/>
            </w:tcBorders>
          </w:tcPr>
          <w:p>
            <w:pPr>
              <w:jc w:val="right"/>
              <w:ind w:right="598"/>
              <w:spacing w:after="0"/>
              <w:rPr>
                <w:sz w:val="20"/>
                <w:szCs w:val="20"/>
                <w:color w:val="auto"/>
              </w:rPr>
            </w:pPr>
            <w:r>
              <w:rPr>
                <w:rFonts w:ascii="Arial" w:cs="Arial" w:eastAsia="Arial" w:hAnsi="Arial"/>
                <w:sz w:val="8"/>
                <w:szCs w:val="8"/>
                <w:color w:val="auto"/>
              </w:rPr>
              <w:t>8,593</w:t>
            </w:r>
          </w:p>
        </w:tc>
        <w:tc>
          <w:tcPr>
            <w:tcW w:w="2060" w:type="dxa"/>
            <w:vAlign w:val="bottom"/>
            <w:tcBorders>
              <w:bottom w:val="single" w:sz="8" w:color="494949"/>
            </w:tcBorders>
          </w:tcPr>
          <w:p>
            <w:pPr>
              <w:jc w:val="right"/>
              <w:ind w:right="378"/>
              <w:spacing w:after="0"/>
              <w:rPr>
                <w:sz w:val="20"/>
                <w:szCs w:val="20"/>
                <w:color w:val="auto"/>
              </w:rPr>
            </w:pPr>
            <w:r>
              <w:rPr>
                <w:rFonts w:ascii="Arial" w:cs="Arial" w:eastAsia="Arial" w:hAnsi="Arial"/>
                <w:sz w:val="8"/>
                <w:szCs w:val="8"/>
                <w:color w:val="auto"/>
              </w:rPr>
              <w:t>66%</w:t>
            </w:r>
          </w:p>
        </w:tc>
        <w:tc>
          <w:tcPr>
            <w:tcW w:w="18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42%</w:t>
            </w:r>
          </w:p>
        </w:tc>
      </w:tr>
      <w:tr>
        <w:trPr>
          <w:trHeight w:val="115"/>
        </w:trPr>
        <w:tc>
          <w:tcPr>
            <w:tcW w:w="78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2015</w:t>
            </w:r>
          </w:p>
        </w:tc>
        <w:tc>
          <w:tcPr>
            <w:tcW w:w="3260" w:type="dxa"/>
            <w:vAlign w:val="bottom"/>
            <w:tcBorders>
              <w:bottom w:val="single" w:sz="8" w:color="494949"/>
            </w:tcBorders>
          </w:tcPr>
          <w:p>
            <w:pPr>
              <w:ind w:left="600"/>
              <w:spacing w:after="0"/>
              <w:rPr>
                <w:sz w:val="20"/>
                <w:szCs w:val="20"/>
                <w:color w:val="auto"/>
              </w:rPr>
            </w:pPr>
            <w:r>
              <w:rPr>
                <w:rFonts w:ascii="Arial" w:cs="Arial" w:eastAsia="Arial" w:hAnsi="Arial"/>
                <w:sz w:val="8"/>
                <w:szCs w:val="8"/>
                <w:color w:val="auto"/>
              </w:rPr>
              <w:t>Ben van Beurden</w:t>
            </w:r>
          </w:p>
        </w:tc>
        <w:tc>
          <w:tcPr>
            <w:tcW w:w="3340" w:type="dxa"/>
            <w:vAlign w:val="bottom"/>
            <w:tcBorders>
              <w:bottom w:val="single" w:sz="8" w:color="494949"/>
            </w:tcBorders>
          </w:tcPr>
          <w:p>
            <w:pPr>
              <w:jc w:val="right"/>
              <w:ind w:right="598"/>
              <w:spacing w:after="0"/>
              <w:rPr>
                <w:sz w:val="20"/>
                <w:szCs w:val="20"/>
                <w:color w:val="auto"/>
              </w:rPr>
            </w:pPr>
            <w:r>
              <w:rPr>
                <w:rFonts w:ascii="Arial" w:cs="Arial" w:eastAsia="Arial" w:hAnsi="Arial"/>
                <w:sz w:val="8"/>
                <w:szCs w:val="8"/>
                <w:color w:val="auto"/>
              </w:rPr>
              <w:t>5,576</w:t>
            </w:r>
          </w:p>
        </w:tc>
        <w:tc>
          <w:tcPr>
            <w:tcW w:w="2060" w:type="dxa"/>
            <w:vAlign w:val="bottom"/>
            <w:tcBorders>
              <w:bottom w:val="single" w:sz="8" w:color="494949"/>
            </w:tcBorders>
          </w:tcPr>
          <w:p>
            <w:pPr>
              <w:jc w:val="right"/>
              <w:ind w:right="378"/>
              <w:spacing w:after="0"/>
              <w:rPr>
                <w:sz w:val="20"/>
                <w:szCs w:val="20"/>
                <w:color w:val="auto"/>
              </w:rPr>
            </w:pPr>
            <w:r>
              <w:rPr>
                <w:rFonts w:ascii="Arial" w:cs="Arial" w:eastAsia="Arial" w:hAnsi="Arial"/>
                <w:sz w:val="8"/>
                <w:szCs w:val="8"/>
                <w:color w:val="auto"/>
              </w:rPr>
              <w:t>98%</w:t>
            </w:r>
          </w:p>
        </w:tc>
        <w:tc>
          <w:tcPr>
            <w:tcW w:w="18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8%</w:t>
            </w:r>
          </w:p>
        </w:tc>
      </w:tr>
      <w:tr>
        <w:trPr>
          <w:trHeight w:val="115"/>
        </w:trPr>
        <w:tc>
          <w:tcPr>
            <w:tcW w:w="78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2014</w:t>
            </w:r>
          </w:p>
        </w:tc>
        <w:tc>
          <w:tcPr>
            <w:tcW w:w="3260" w:type="dxa"/>
            <w:vAlign w:val="bottom"/>
            <w:tcBorders>
              <w:bottom w:val="single" w:sz="8" w:color="494949"/>
            </w:tcBorders>
          </w:tcPr>
          <w:p>
            <w:pPr>
              <w:ind w:left="600"/>
              <w:spacing w:after="0"/>
              <w:rPr>
                <w:sz w:val="20"/>
                <w:szCs w:val="20"/>
                <w:color w:val="auto"/>
              </w:rPr>
            </w:pPr>
            <w:r>
              <w:rPr>
                <w:rFonts w:ascii="Arial" w:cs="Arial" w:eastAsia="Arial" w:hAnsi="Arial"/>
                <w:sz w:val="8"/>
                <w:szCs w:val="8"/>
                <w:color w:val="auto"/>
              </w:rPr>
              <w:t>Ben van Beurden [A]</w:t>
            </w:r>
          </w:p>
        </w:tc>
        <w:tc>
          <w:tcPr>
            <w:tcW w:w="3340" w:type="dxa"/>
            <w:vAlign w:val="bottom"/>
            <w:tcBorders>
              <w:bottom w:val="single" w:sz="8" w:color="494949"/>
            </w:tcBorders>
          </w:tcPr>
          <w:p>
            <w:pPr>
              <w:jc w:val="right"/>
              <w:ind w:right="598"/>
              <w:spacing w:after="0"/>
              <w:rPr>
                <w:sz w:val="20"/>
                <w:szCs w:val="20"/>
                <w:color w:val="auto"/>
              </w:rPr>
            </w:pPr>
            <w:r>
              <w:rPr>
                <w:rFonts w:ascii="Arial" w:cs="Arial" w:eastAsia="Arial" w:hAnsi="Arial"/>
                <w:sz w:val="8"/>
                <w:szCs w:val="8"/>
                <w:color w:val="auto"/>
              </w:rPr>
              <w:t>24,198</w:t>
            </w:r>
          </w:p>
        </w:tc>
        <w:tc>
          <w:tcPr>
            <w:tcW w:w="2060" w:type="dxa"/>
            <w:vAlign w:val="bottom"/>
            <w:tcBorders>
              <w:bottom w:val="single" w:sz="8" w:color="494949"/>
            </w:tcBorders>
          </w:tcPr>
          <w:p>
            <w:pPr>
              <w:jc w:val="right"/>
              <w:ind w:right="378"/>
              <w:spacing w:after="0"/>
              <w:rPr>
                <w:sz w:val="20"/>
                <w:szCs w:val="20"/>
                <w:color w:val="auto"/>
              </w:rPr>
            </w:pPr>
            <w:r>
              <w:rPr>
                <w:rFonts w:ascii="Arial" w:cs="Arial" w:eastAsia="Arial" w:hAnsi="Arial"/>
                <w:sz w:val="8"/>
                <w:szCs w:val="8"/>
                <w:color w:val="auto"/>
              </w:rPr>
              <w:t>94%</w:t>
            </w:r>
          </w:p>
        </w:tc>
        <w:tc>
          <w:tcPr>
            <w:tcW w:w="18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49%</w:t>
            </w:r>
          </w:p>
        </w:tc>
      </w:tr>
      <w:tr>
        <w:trPr>
          <w:trHeight w:val="115"/>
        </w:trPr>
        <w:tc>
          <w:tcPr>
            <w:tcW w:w="78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2013</w:t>
            </w:r>
          </w:p>
        </w:tc>
        <w:tc>
          <w:tcPr>
            <w:tcW w:w="3260" w:type="dxa"/>
            <w:vAlign w:val="bottom"/>
            <w:tcBorders>
              <w:bottom w:val="single" w:sz="8" w:color="494949"/>
            </w:tcBorders>
          </w:tcPr>
          <w:p>
            <w:pPr>
              <w:ind w:left="600"/>
              <w:spacing w:after="0"/>
              <w:rPr>
                <w:sz w:val="20"/>
                <w:szCs w:val="20"/>
                <w:color w:val="auto"/>
              </w:rPr>
            </w:pPr>
            <w:r>
              <w:rPr>
                <w:rFonts w:ascii="Arial" w:cs="Arial" w:eastAsia="Arial" w:hAnsi="Arial"/>
                <w:sz w:val="8"/>
                <w:szCs w:val="8"/>
                <w:color w:val="auto"/>
              </w:rPr>
              <w:t>Peter Voser</w:t>
            </w:r>
          </w:p>
        </w:tc>
        <w:tc>
          <w:tcPr>
            <w:tcW w:w="3340" w:type="dxa"/>
            <w:vAlign w:val="bottom"/>
            <w:tcBorders>
              <w:bottom w:val="single" w:sz="8" w:color="494949"/>
            </w:tcBorders>
          </w:tcPr>
          <w:p>
            <w:pPr>
              <w:jc w:val="right"/>
              <w:ind w:right="598"/>
              <w:spacing w:after="0"/>
              <w:rPr>
                <w:sz w:val="20"/>
                <w:szCs w:val="20"/>
                <w:color w:val="auto"/>
              </w:rPr>
            </w:pPr>
            <w:r>
              <w:rPr>
                <w:rFonts w:ascii="Arial" w:cs="Arial" w:eastAsia="Arial" w:hAnsi="Arial"/>
                <w:sz w:val="8"/>
                <w:szCs w:val="8"/>
                <w:color w:val="auto"/>
              </w:rPr>
              <w:t>8,456</w:t>
            </w:r>
          </w:p>
        </w:tc>
        <w:tc>
          <w:tcPr>
            <w:tcW w:w="2060" w:type="dxa"/>
            <w:vAlign w:val="bottom"/>
            <w:tcBorders>
              <w:bottom w:val="single" w:sz="8" w:color="494949"/>
            </w:tcBorders>
          </w:tcPr>
          <w:p>
            <w:pPr>
              <w:jc w:val="right"/>
              <w:ind w:right="378"/>
              <w:spacing w:after="0"/>
              <w:rPr>
                <w:sz w:val="20"/>
                <w:szCs w:val="20"/>
                <w:color w:val="auto"/>
              </w:rPr>
            </w:pPr>
            <w:r>
              <w:rPr>
                <w:rFonts w:ascii="Arial" w:cs="Arial" w:eastAsia="Arial" w:hAnsi="Arial"/>
                <w:sz w:val="8"/>
                <w:szCs w:val="8"/>
                <w:color w:val="auto"/>
              </w:rPr>
              <w:t>44%</w:t>
            </w:r>
          </w:p>
        </w:tc>
        <w:tc>
          <w:tcPr>
            <w:tcW w:w="18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30%</w:t>
            </w:r>
          </w:p>
        </w:tc>
      </w:tr>
      <w:tr>
        <w:trPr>
          <w:trHeight w:val="115"/>
        </w:trPr>
        <w:tc>
          <w:tcPr>
            <w:tcW w:w="78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2012</w:t>
            </w:r>
          </w:p>
        </w:tc>
        <w:tc>
          <w:tcPr>
            <w:tcW w:w="3260" w:type="dxa"/>
            <w:vAlign w:val="bottom"/>
            <w:tcBorders>
              <w:bottom w:val="single" w:sz="8" w:color="494949"/>
            </w:tcBorders>
          </w:tcPr>
          <w:p>
            <w:pPr>
              <w:ind w:left="600"/>
              <w:spacing w:after="0"/>
              <w:rPr>
                <w:sz w:val="20"/>
                <w:szCs w:val="20"/>
                <w:color w:val="auto"/>
              </w:rPr>
            </w:pPr>
            <w:r>
              <w:rPr>
                <w:rFonts w:ascii="Arial" w:cs="Arial" w:eastAsia="Arial" w:hAnsi="Arial"/>
                <w:sz w:val="8"/>
                <w:szCs w:val="8"/>
                <w:color w:val="auto"/>
              </w:rPr>
              <w:t>Peter Voser</w:t>
            </w:r>
          </w:p>
        </w:tc>
        <w:tc>
          <w:tcPr>
            <w:tcW w:w="3340" w:type="dxa"/>
            <w:vAlign w:val="bottom"/>
            <w:tcBorders>
              <w:bottom w:val="single" w:sz="8" w:color="494949"/>
            </w:tcBorders>
          </w:tcPr>
          <w:p>
            <w:pPr>
              <w:jc w:val="right"/>
              <w:ind w:right="598"/>
              <w:spacing w:after="0"/>
              <w:rPr>
                <w:sz w:val="20"/>
                <w:szCs w:val="20"/>
                <w:color w:val="auto"/>
              </w:rPr>
            </w:pPr>
            <w:r>
              <w:rPr>
                <w:rFonts w:ascii="Arial" w:cs="Arial" w:eastAsia="Arial" w:hAnsi="Arial"/>
                <w:sz w:val="8"/>
                <w:szCs w:val="8"/>
                <w:color w:val="auto"/>
              </w:rPr>
              <w:t>18,246</w:t>
            </w:r>
          </w:p>
        </w:tc>
        <w:tc>
          <w:tcPr>
            <w:tcW w:w="2060" w:type="dxa"/>
            <w:vAlign w:val="bottom"/>
            <w:tcBorders>
              <w:bottom w:val="single" w:sz="8" w:color="494949"/>
            </w:tcBorders>
          </w:tcPr>
          <w:p>
            <w:pPr>
              <w:jc w:val="right"/>
              <w:ind w:right="378"/>
              <w:spacing w:after="0"/>
              <w:rPr>
                <w:sz w:val="20"/>
                <w:szCs w:val="20"/>
                <w:color w:val="auto"/>
              </w:rPr>
            </w:pPr>
            <w:r>
              <w:rPr>
                <w:rFonts w:ascii="Arial" w:cs="Arial" w:eastAsia="Arial" w:hAnsi="Arial"/>
                <w:sz w:val="8"/>
                <w:szCs w:val="8"/>
                <w:color w:val="auto"/>
              </w:rPr>
              <w:t>83%</w:t>
            </w:r>
          </w:p>
        </w:tc>
        <w:tc>
          <w:tcPr>
            <w:tcW w:w="186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88%</w:t>
            </w:r>
          </w:p>
        </w:tc>
      </w:tr>
      <w:tr>
        <w:trPr>
          <w:trHeight w:val="115"/>
        </w:trPr>
        <w:tc>
          <w:tcPr>
            <w:tcW w:w="780" w:type="dxa"/>
            <w:vAlign w:val="bottom"/>
            <w:tcBorders>
              <w:bottom w:val="single" w:sz="8" w:color="595959"/>
            </w:tcBorders>
          </w:tcPr>
          <w:p>
            <w:pPr>
              <w:spacing w:after="0"/>
              <w:rPr>
                <w:sz w:val="20"/>
                <w:szCs w:val="20"/>
                <w:color w:val="auto"/>
              </w:rPr>
            </w:pPr>
            <w:r>
              <w:rPr>
                <w:rFonts w:ascii="Arial" w:cs="Arial" w:eastAsia="Arial" w:hAnsi="Arial"/>
                <w:sz w:val="8"/>
                <w:szCs w:val="8"/>
                <w:color w:val="auto"/>
              </w:rPr>
              <w:t>2011</w:t>
            </w:r>
          </w:p>
        </w:tc>
        <w:tc>
          <w:tcPr>
            <w:tcW w:w="3260" w:type="dxa"/>
            <w:vAlign w:val="bottom"/>
            <w:tcBorders>
              <w:bottom w:val="single" w:sz="8" w:color="595959"/>
            </w:tcBorders>
          </w:tcPr>
          <w:p>
            <w:pPr>
              <w:ind w:left="600"/>
              <w:spacing w:after="0"/>
              <w:rPr>
                <w:sz w:val="20"/>
                <w:szCs w:val="20"/>
                <w:color w:val="auto"/>
              </w:rPr>
            </w:pPr>
            <w:r>
              <w:rPr>
                <w:rFonts w:ascii="Arial" w:cs="Arial" w:eastAsia="Arial" w:hAnsi="Arial"/>
                <w:sz w:val="8"/>
                <w:szCs w:val="8"/>
                <w:color w:val="auto"/>
              </w:rPr>
              <w:t>Peter Voser</w:t>
            </w:r>
          </w:p>
        </w:tc>
        <w:tc>
          <w:tcPr>
            <w:tcW w:w="3340" w:type="dxa"/>
            <w:vAlign w:val="bottom"/>
            <w:tcBorders>
              <w:bottom w:val="single" w:sz="8" w:color="595959"/>
            </w:tcBorders>
          </w:tcPr>
          <w:p>
            <w:pPr>
              <w:jc w:val="right"/>
              <w:ind w:right="598"/>
              <w:spacing w:after="0"/>
              <w:rPr>
                <w:sz w:val="20"/>
                <w:szCs w:val="20"/>
                <w:color w:val="auto"/>
              </w:rPr>
            </w:pPr>
            <w:r>
              <w:rPr>
                <w:rFonts w:ascii="Arial" w:cs="Arial" w:eastAsia="Arial" w:hAnsi="Arial"/>
                <w:sz w:val="8"/>
                <w:szCs w:val="8"/>
                <w:color w:val="auto"/>
              </w:rPr>
              <w:t>9,941</w:t>
            </w:r>
          </w:p>
        </w:tc>
        <w:tc>
          <w:tcPr>
            <w:tcW w:w="2060" w:type="dxa"/>
            <w:vAlign w:val="bottom"/>
            <w:tcBorders>
              <w:bottom w:val="single" w:sz="8" w:color="595959"/>
            </w:tcBorders>
          </w:tcPr>
          <w:p>
            <w:pPr>
              <w:jc w:val="right"/>
              <w:ind w:right="378"/>
              <w:spacing w:after="0"/>
              <w:rPr>
                <w:sz w:val="20"/>
                <w:szCs w:val="20"/>
                <w:color w:val="auto"/>
              </w:rPr>
            </w:pPr>
            <w:r>
              <w:rPr>
                <w:rFonts w:ascii="Arial" w:cs="Arial" w:eastAsia="Arial" w:hAnsi="Arial"/>
                <w:sz w:val="8"/>
                <w:szCs w:val="8"/>
                <w:color w:val="auto"/>
              </w:rPr>
              <w:t>90%</w:t>
            </w:r>
          </w:p>
        </w:tc>
        <w:tc>
          <w:tcPr>
            <w:tcW w:w="186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30%</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8"/>
          <w:szCs w:val="8"/>
          <w:color w:val="auto"/>
        </w:rPr>
        <w:t>[A] Ben van Beurden’s single total figure for 2014 was impacted by the increase in pension accrual (€10.695 million) calculated under the UK reporting regulations and tax equalisation (€7.905 million) as a result of his promotion and prior assignment to the UK.</w:t>
      </w:r>
    </w:p>
    <w:p>
      <w:pPr>
        <w:spacing w:after="0" w:line="165" w:lineRule="exact"/>
        <w:rPr>
          <w:sz w:val="20"/>
          <w:szCs w:val="20"/>
          <w:color w:val="auto"/>
        </w:rPr>
      </w:pPr>
    </w:p>
    <w:p>
      <w:pPr>
        <w:spacing w:after="0"/>
        <w:rPr>
          <w:sz w:val="20"/>
          <w:szCs w:val="20"/>
          <w:color w:val="auto"/>
        </w:rPr>
      </w:pPr>
      <w:r>
        <w:rPr>
          <w:rFonts w:ascii="Arial" w:cs="Arial" w:eastAsia="Arial" w:hAnsi="Arial"/>
          <w:sz w:val="10"/>
          <w:szCs w:val="10"/>
          <w:color w:val="auto"/>
        </w:rPr>
        <w:t>Change in remuneration of Directors and employees from 2019 to 2020</w:t>
      </w:r>
    </w:p>
    <w:p>
      <w:pPr>
        <w:spacing w:after="0" w:line="227" w:lineRule="auto"/>
        <w:rPr>
          <w:sz w:val="20"/>
          <w:szCs w:val="20"/>
          <w:color w:val="auto"/>
        </w:rPr>
      </w:pPr>
      <w:r>
        <w:rPr>
          <w:rFonts w:ascii="Arial" w:cs="Arial" w:eastAsia="Arial" w:hAnsi="Arial"/>
          <w:sz w:val="10"/>
          <w:szCs w:val="10"/>
          <w:color w:val="auto"/>
        </w:rPr>
        <w:t>As Royal Dutch Shell plc does not have any direct employees, the table below compares the remuneration of the Directors of Royal Dutch</w:t>
      </w:r>
    </w:p>
    <w:p>
      <w:pPr>
        <w:spacing w:after="0" w:line="225" w:lineRule="auto"/>
        <w:rPr>
          <w:sz w:val="20"/>
          <w:szCs w:val="20"/>
          <w:color w:val="auto"/>
        </w:rPr>
      </w:pPr>
      <w:r>
        <w:rPr>
          <w:rFonts w:ascii="Arial" w:cs="Arial" w:eastAsia="Arial" w:hAnsi="Arial"/>
          <w:sz w:val="10"/>
          <w:szCs w:val="10"/>
          <w:color w:val="auto"/>
        </w:rPr>
        <w:t>Shell plc with an employee comparator group consisting of local employees in the Netherlands, the UK and the USA. The local employee</w:t>
      </w:r>
    </w:p>
    <w:p>
      <w:pPr>
        <w:spacing w:after="0" w:line="226" w:lineRule="auto"/>
        <w:rPr>
          <w:sz w:val="20"/>
          <w:szCs w:val="20"/>
          <w:color w:val="auto"/>
        </w:rPr>
      </w:pPr>
      <w:r>
        <w:rPr>
          <w:rFonts w:ascii="Arial" w:cs="Arial" w:eastAsia="Arial" w:hAnsi="Arial"/>
          <w:sz w:val="10"/>
          <w:szCs w:val="10"/>
          <w:color w:val="auto"/>
        </w:rPr>
        <w:t>population of these countries is considered to be a suitable employee comparator group because: these are countries with a significant Shell</w:t>
      </w:r>
    </w:p>
    <w:p>
      <w:pPr>
        <w:spacing w:after="0" w:line="225" w:lineRule="auto"/>
        <w:rPr>
          <w:sz w:val="20"/>
          <w:szCs w:val="20"/>
          <w:color w:val="auto"/>
        </w:rPr>
      </w:pPr>
      <w:r>
        <w:rPr>
          <w:rFonts w:ascii="Arial" w:cs="Arial" w:eastAsia="Arial" w:hAnsi="Arial"/>
          <w:sz w:val="10"/>
          <w:szCs w:val="10"/>
          <w:color w:val="auto"/>
        </w:rPr>
        <w:t>employee base; a large proportion of senior managers come from these countries; and the REMCO considers remuneration levels in these</w:t>
      </w:r>
    </w:p>
    <w:p>
      <w:pPr>
        <w:spacing w:after="0" w:line="226" w:lineRule="auto"/>
        <w:rPr>
          <w:sz w:val="20"/>
          <w:szCs w:val="20"/>
          <w:color w:val="auto"/>
        </w:rPr>
      </w:pPr>
      <w:r>
        <w:rPr>
          <w:rFonts w:ascii="Arial" w:cs="Arial" w:eastAsia="Arial" w:hAnsi="Arial"/>
          <w:sz w:val="10"/>
          <w:szCs w:val="10"/>
          <w:color w:val="auto"/>
        </w:rPr>
        <w:t>countries when setting base salaries for Executive Directors. For the purposes of comparison, the change in employee remuneration is</w:t>
      </w:r>
    </w:p>
    <w:p>
      <w:pPr>
        <w:spacing w:after="0" w:line="225" w:lineRule="auto"/>
        <w:rPr>
          <w:sz w:val="20"/>
          <w:szCs w:val="20"/>
          <w:color w:val="auto"/>
        </w:rPr>
      </w:pPr>
      <w:r>
        <w:rPr>
          <w:rFonts w:ascii="Arial" w:cs="Arial" w:eastAsia="Arial" w:hAnsi="Arial"/>
          <w:sz w:val="10"/>
          <w:szCs w:val="10"/>
          <w:color w:val="auto"/>
        </w:rPr>
        <w:t>calculated by reference to the change in salary scale, benefits and annual bonus for a notional employee in each of the base countries, not by</w:t>
      </w:r>
    </w:p>
    <w:p>
      <w:pPr>
        <w:spacing w:after="0" w:line="237" w:lineRule="auto"/>
        <w:rPr>
          <w:sz w:val="20"/>
          <w:szCs w:val="20"/>
          <w:color w:val="auto"/>
        </w:rPr>
      </w:pPr>
      <w:r>
        <w:rPr>
          <w:rFonts w:ascii="Arial" w:cs="Arial" w:eastAsia="Arial" w:hAnsi="Arial"/>
          <w:sz w:val="10"/>
          <w:szCs w:val="10"/>
          <w:color w:val="auto"/>
        </w:rPr>
        <w:t>reference to the actual change in pay for a group of employees.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Taxable benefits are those that align with the definition of taxable benefits applying in the respective country. In line with the “Single total</w:t>
      </w:r>
    </w:p>
    <w:p>
      <w:pPr>
        <w:spacing w:after="0"/>
        <w:rPr>
          <w:sz w:val="20"/>
          <w:szCs w:val="20"/>
          <w:color w:val="auto"/>
        </w:rPr>
      </w:pPr>
      <w:r>
        <w:rPr>
          <w:rFonts w:ascii="Arial" w:cs="Arial" w:eastAsia="Arial" w:hAnsi="Arial"/>
          <w:sz w:val="10"/>
          <w:szCs w:val="10"/>
          <w:color w:val="auto"/>
        </w:rPr>
        <w:t>figure of remuneration for Executive Directors” table, the annual bonus is included in the year in which it was earned.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131</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134" w:name="page135"/>
    <w:bookmarkEnd w:id="134"/>
    <w:p>
      <w:pPr>
        <w:ind w:left="8"/>
        <w:spacing w:after="0"/>
        <w:rPr>
          <w:sz w:val="20"/>
          <w:szCs w:val="20"/>
          <w:color w:val="auto"/>
        </w:rPr>
      </w:pPr>
      <w:r>
        <w:rPr>
          <w:rFonts w:ascii="Arial" w:cs="Arial" w:eastAsia="Arial" w:hAnsi="Arial"/>
          <w:sz w:val="10"/>
          <w:szCs w:val="10"/>
          <w:color w:val="auto"/>
        </w:rPr>
        <w:t>Change in remuneration of Directors and employees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11"/>
        </w:trPr>
        <w:tc>
          <w:tcPr>
            <w:tcW w:w="16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Executive Directors</w:t>
            </w:r>
          </w:p>
        </w:tc>
        <w:tc>
          <w:tcPr>
            <w:tcW w:w="1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Non-executive Directors [A]</w:t>
            </w:r>
          </w:p>
        </w:tc>
      </w:tr>
      <w:tr>
        <w:trPr>
          <w:trHeight w:val="124"/>
        </w:trPr>
        <w:tc>
          <w:tcPr>
            <w:tcW w:w="16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RDS employees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UK, US &amp; NL employees</w:t>
            </w:r>
          </w:p>
        </w:tc>
        <w:tc>
          <w:tcPr>
            <w:tcW w:w="74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CEO</w:t>
            </w: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8"/>
                <w:szCs w:val="8"/>
                <w:color w:val="auto"/>
              </w:rPr>
              <w:t>CFO</w:t>
            </w: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NC</w:t>
            </w:r>
          </w:p>
        </w:tc>
        <w:tc>
          <w:tcPr>
            <w:tcW w:w="56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rPr>
              <w:t>AG</w:t>
            </w:r>
          </w:p>
        </w:tc>
        <w:tc>
          <w:tcPr>
            <w:tcW w:w="58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EG</w:t>
            </w: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CH</w:t>
            </w: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rPr>
              <w:t>CJH</w:t>
            </w: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rPr>
              <w:t>GK</w:t>
            </w: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RS</w:t>
            </w:r>
          </w:p>
        </w:tc>
        <w:tc>
          <w:tcPr>
            <w:tcW w:w="52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NS</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LS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GZ</w:t>
            </w:r>
          </w:p>
        </w:tc>
      </w:tr>
      <w:tr>
        <w:trPr>
          <w:trHeight w:val="115"/>
        </w:trPr>
        <w:tc>
          <w:tcPr>
            <w:tcW w:w="1660" w:type="dxa"/>
            <w:vAlign w:val="bottom"/>
            <w:tcBorders>
              <w:bottom w:val="single" w:sz="8" w:color="595959"/>
            </w:tcBorders>
          </w:tcPr>
          <w:p>
            <w:pPr>
              <w:spacing w:after="0"/>
              <w:rPr>
                <w:sz w:val="20"/>
                <w:szCs w:val="20"/>
                <w:color w:val="auto"/>
              </w:rPr>
            </w:pPr>
            <w:r>
              <w:rPr>
                <w:rFonts w:ascii="Arial" w:cs="Arial" w:eastAsia="Arial" w:hAnsi="Arial"/>
                <w:sz w:val="8"/>
                <w:szCs w:val="8"/>
                <w:color w:val="auto"/>
              </w:rPr>
              <w:t>Salaries</w:t>
            </w:r>
          </w:p>
        </w:tc>
        <w:tc>
          <w:tcPr>
            <w:tcW w:w="168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N/A</w:t>
            </w:r>
          </w:p>
        </w:tc>
        <w:tc>
          <w:tcPr>
            <w:tcW w:w="92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3 %</w:t>
            </w:r>
          </w:p>
        </w:tc>
        <w:tc>
          <w:tcPr>
            <w:tcW w:w="740" w:type="dxa"/>
            <w:vAlign w:val="bottom"/>
            <w:tcBorders>
              <w:bottom w:val="single" w:sz="8" w:color="595959"/>
            </w:tcBorders>
          </w:tcPr>
          <w:p>
            <w:pPr>
              <w:jc w:val="right"/>
              <w:ind w:right="118"/>
              <w:spacing w:after="0"/>
              <w:rPr>
                <w:sz w:val="20"/>
                <w:szCs w:val="20"/>
                <w:color w:val="auto"/>
              </w:rPr>
            </w:pPr>
            <w:r>
              <w:rPr>
                <w:rFonts w:ascii="Arial" w:cs="Arial" w:eastAsia="Arial" w:hAnsi="Arial"/>
                <w:sz w:val="8"/>
                <w:szCs w:val="8"/>
                <w:color w:val="auto"/>
              </w:rPr>
              <w:t>2 %</w:t>
            </w:r>
          </w:p>
        </w:tc>
        <w:tc>
          <w:tcPr>
            <w:tcW w:w="42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2 %</w:t>
            </w:r>
          </w:p>
        </w:tc>
        <w:tc>
          <w:tcPr>
            <w:tcW w:w="140" w:type="dxa"/>
            <w:vAlign w:val="bottom"/>
            <w:tcBorders>
              <w:bottom w:val="single" w:sz="8" w:color="595959"/>
            </w:tcBorders>
          </w:tcPr>
          <w:p>
            <w:pPr>
              <w:spacing w:after="0"/>
              <w:rPr>
                <w:sz w:val="10"/>
                <w:szCs w:val="10"/>
                <w:color w:val="auto"/>
              </w:rPr>
            </w:pPr>
          </w:p>
        </w:tc>
        <w:tc>
          <w:tcPr>
            <w:tcW w:w="740" w:type="dxa"/>
            <w:vAlign w:val="bottom"/>
            <w:tcBorders>
              <w:bottom w:val="single" w:sz="8" w:color="595959"/>
            </w:tcBorders>
          </w:tcPr>
          <w:p>
            <w:pPr>
              <w:jc w:val="right"/>
              <w:ind w:right="158"/>
              <w:spacing w:after="0"/>
              <w:rPr>
                <w:sz w:val="20"/>
                <w:szCs w:val="20"/>
                <w:color w:val="auto"/>
              </w:rPr>
            </w:pPr>
            <w:r>
              <w:rPr>
                <w:rFonts w:ascii="Arial" w:cs="Arial" w:eastAsia="Arial" w:hAnsi="Arial"/>
                <w:sz w:val="8"/>
                <w:szCs w:val="8"/>
                <w:color w:val="auto"/>
              </w:rPr>
              <w:t>86 %</w:t>
            </w:r>
          </w:p>
        </w:tc>
        <w:tc>
          <w:tcPr>
            <w:tcW w:w="560" w:type="dxa"/>
            <w:vAlign w:val="bottom"/>
            <w:tcBorders>
              <w:bottom w:val="single" w:sz="8" w:color="595959"/>
            </w:tcBorders>
          </w:tcPr>
          <w:p>
            <w:pPr>
              <w:jc w:val="right"/>
              <w:ind w:right="138"/>
              <w:spacing w:after="0"/>
              <w:rPr>
                <w:sz w:val="20"/>
                <w:szCs w:val="20"/>
                <w:color w:val="auto"/>
              </w:rPr>
            </w:pPr>
            <w:r>
              <w:rPr>
                <w:rFonts w:ascii="Arial" w:cs="Arial" w:eastAsia="Arial" w:hAnsi="Arial"/>
                <w:sz w:val="8"/>
                <w:szCs w:val="8"/>
                <w:color w:val="auto"/>
              </w:rPr>
              <w:t>16 %</w:t>
            </w:r>
          </w:p>
        </w:tc>
        <w:tc>
          <w:tcPr>
            <w:tcW w:w="580" w:type="dxa"/>
            <w:vAlign w:val="bottom"/>
            <w:tcBorders>
              <w:bottom w:val="single" w:sz="8" w:color="595959"/>
            </w:tcBorders>
          </w:tcPr>
          <w:p>
            <w:pPr>
              <w:jc w:val="right"/>
              <w:ind w:right="158"/>
              <w:spacing w:after="0"/>
              <w:rPr>
                <w:sz w:val="20"/>
                <w:szCs w:val="20"/>
                <w:color w:val="auto"/>
              </w:rPr>
            </w:pPr>
            <w:r>
              <w:rPr>
                <w:rFonts w:ascii="Arial" w:cs="Arial" w:eastAsia="Arial" w:hAnsi="Arial"/>
                <w:sz w:val="8"/>
                <w:szCs w:val="8"/>
                <w:color w:val="auto"/>
              </w:rPr>
              <w:t>— %</w:t>
            </w:r>
          </w:p>
        </w:tc>
        <w:tc>
          <w:tcPr>
            <w:tcW w:w="540" w:type="dxa"/>
            <w:vAlign w:val="bottom"/>
            <w:tcBorders>
              <w:bottom w:val="single" w:sz="8" w:color="595959"/>
            </w:tcBorders>
          </w:tcPr>
          <w:p>
            <w:pPr>
              <w:jc w:val="right"/>
              <w:ind w:right="118"/>
              <w:spacing w:after="0"/>
              <w:rPr>
                <w:sz w:val="20"/>
                <w:szCs w:val="20"/>
                <w:color w:val="auto"/>
              </w:rPr>
            </w:pPr>
            <w:r>
              <w:rPr>
                <w:rFonts w:ascii="Arial" w:cs="Arial" w:eastAsia="Arial" w:hAnsi="Arial"/>
                <w:sz w:val="8"/>
                <w:szCs w:val="8"/>
                <w:color w:val="auto"/>
              </w:rPr>
              <w:t>— %</w:t>
            </w:r>
          </w:p>
        </w:tc>
        <w:tc>
          <w:tcPr>
            <w:tcW w:w="580" w:type="dxa"/>
            <w:vAlign w:val="bottom"/>
            <w:tcBorders>
              <w:bottom w:val="single" w:sz="8" w:color="595959"/>
            </w:tcBorders>
          </w:tcPr>
          <w:p>
            <w:pPr>
              <w:jc w:val="right"/>
              <w:ind w:right="138"/>
              <w:spacing w:after="0"/>
              <w:rPr>
                <w:sz w:val="20"/>
                <w:szCs w:val="20"/>
                <w:color w:val="auto"/>
              </w:rPr>
            </w:pPr>
            <w:r>
              <w:rPr>
                <w:rFonts w:ascii="Arial" w:cs="Arial" w:eastAsia="Arial" w:hAnsi="Arial"/>
                <w:sz w:val="8"/>
                <w:szCs w:val="8"/>
                <w:color w:val="auto"/>
              </w:rPr>
              <w:t>(10)%</w:t>
            </w:r>
          </w:p>
        </w:tc>
        <w:tc>
          <w:tcPr>
            <w:tcW w:w="580" w:type="dxa"/>
            <w:vAlign w:val="bottom"/>
            <w:tcBorders>
              <w:bottom w:val="single" w:sz="8" w:color="595959"/>
            </w:tcBorders>
          </w:tcPr>
          <w:p>
            <w:pPr>
              <w:jc w:val="right"/>
              <w:ind w:right="138"/>
              <w:spacing w:after="0"/>
              <w:rPr>
                <w:sz w:val="20"/>
                <w:szCs w:val="20"/>
                <w:color w:val="auto"/>
              </w:rPr>
            </w:pPr>
            <w:r>
              <w:rPr>
                <w:rFonts w:ascii="Arial" w:cs="Arial" w:eastAsia="Arial" w:hAnsi="Arial"/>
                <w:sz w:val="8"/>
                <w:szCs w:val="8"/>
                <w:color w:val="auto"/>
              </w:rPr>
              <w:t>(62)%</w:t>
            </w:r>
          </w:p>
        </w:tc>
        <w:tc>
          <w:tcPr>
            <w:tcW w:w="560" w:type="dxa"/>
            <w:vAlign w:val="bottom"/>
            <w:tcBorders>
              <w:bottom w:val="single" w:sz="8" w:color="595959"/>
            </w:tcBorders>
          </w:tcPr>
          <w:p>
            <w:pPr>
              <w:jc w:val="right"/>
              <w:ind w:right="118"/>
              <w:spacing w:after="0"/>
              <w:rPr>
                <w:sz w:val="20"/>
                <w:szCs w:val="20"/>
                <w:color w:val="auto"/>
              </w:rPr>
            </w:pPr>
            <w:r>
              <w:rPr>
                <w:rFonts w:ascii="Arial" w:cs="Arial" w:eastAsia="Arial" w:hAnsi="Arial"/>
                <w:sz w:val="8"/>
                <w:szCs w:val="8"/>
                <w:color w:val="auto"/>
              </w:rPr>
              <w:t>(62)%</w:t>
            </w:r>
          </w:p>
        </w:tc>
        <w:tc>
          <w:tcPr>
            <w:tcW w:w="520" w:type="dxa"/>
            <w:vAlign w:val="bottom"/>
            <w:tcBorders>
              <w:bottom w:val="single" w:sz="8" w:color="595959"/>
            </w:tcBorders>
          </w:tcPr>
          <w:p>
            <w:pPr>
              <w:jc w:val="right"/>
              <w:ind w:right="58"/>
              <w:spacing w:after="0"/>
              <w:rPr>
                <w:sz w:val="20"/>
                <w:szCs w:val="20"/>
                <w:color w:val="auto"/>
              </w:rPr>
            </w:pPr>
            <w:r>
              <w:rPr>
                <w:rFonts w:ascii="Arial" w:cs="Arial" w:eastAsia="Arial" w:hAnsi="Arial"/>
                <w:sz w:val="8"/>
                <w:szCs w:val="8"/>
                <w:color w:val="auto"/>
              </w:rPr>
              <w:t>(2)%</w:t>
            </w:r>
          </w:p>
        </w:tc>
        <w:tc>
          <w:tcPr>
            <w:tcW w:w="680" w:type="dxa"/>
            <w:vAlign w:val="bottom"/>
            <w:tcBorders>
              <w:bottom w:val="single" w:sz="8" w:color="595959"/>
            </w:tcBorders>
          </w:tcPr>
          <w:p>
            <w:pPr>
              <w:jc w:val="right"/>
              <w:ind w:right="158"/>
              <w:spacing w:after="0"/>
              <w:rPr>
                <w:sz w:val="20"/>
                <w:szCs w:val="20"/>
                <w:color w:val="auto"/>
              </w:rPr>
            </w:pPr>
            <w:r>
              <w:rPr>
                <w:rFonts w:ascii="Arial" w:cs="Arial" w:eastAsia="Arial" w:hAnsi="Arial"/>
                <w:sz w:val="8"/>
                <w:szCs w:val="8"/>
                <w:color w:val="auto"/>
              </w:rPr>
              <w:t>(61)%</w:t>
            </w:r>
          </w:p>
        </w:tc>
        <w:tc>
          <w:tcPr>
            <w:tcW w:w="40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 %</w:t>
            </w:r>
          </w:p>
        </w:tc>
      </w:tr>
      <w:tr>
        <w:trPr>
          <w:trHeight w:val="115"/>
        </w:trPr>
        <w:tc>
          <w:tcPr>
            <w:tcW w:w="1660" w:type="dxa"/>
            <w:vAlign w:val="bottom"/>
            <w:tcBorders>
              <w:bottom w:val="single" w:sz="8" w:color="595959"/>
            </w:tcBorders>
          </w:tcPr>
          <w:p>
            <w:pPr>
              <w:spacing w:after="0"/>
              <w:rPr>
                <w:sz w:val="20"/>
                <w:szCs w:val="20"/>
                <w:color w:val="auto"/>
              </w:rPr>
            </w:pPr>
            <w:r>
              <w:rPr>
                <w:rFonts w:ascii="Arial" w:cs="Arial" w:eastAsia="Arial" w:hAnsi="Arial"/>
                <w:sz w:val="8"/>
                <w:szCs w:val="8"/>
                <w:color w:val="auto"/>
              </w:rPr>
              <w:t>Taxable benefits</w:t>
            </w:r>
          </w:p>
        </w:tc>
        <w:tc>
          <w:tcPr>
            <w:tcW w:w="168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N/A</w:t>
            </w:r>
          </w:p>
        </w:tc>
        <w:tc>
          <w:tcPr>
            <w:tcW w:w="92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 %</w:t>
            </w:r>
          </w:p>
        </w:tc>
        <w:tc>
          <w:tcPr>
            <w:tcW w:w="740" w:type="dxa"/>
            <w:vAlign w:val="bottom"/>
            <w:tcBorders>
              <w:bottom w:val="single" w:sz="8" w:color="595959"/>
            </w:tcBorders>
          </w:tcPr>
          <w:p>
            <w:pPr>
              <w:jc w:val="right"/>
              <w:ind w:right="118"/>
              <w:spacing w:after="0"/>
              <w:rPr>
                <w:sz w:val="20"/>
                <w:szCs w:val="20"/>
                <w:color w:val="auto"/>
              </w:rPr>
            </w:pPr>
            <w:r>
              <w:rPr>
                <w:rFonts w:ascii="Arial" w:cs="Arial" w:eastAsia="Arial" w:hAnsi="Arial"/>
                <w:sz w:val="8"/>
                <w:szCs w:val="8"/>
                <w:color w:val="auto"/>
              </w:rPr>
              <w:t>(24)%</w:t>
            </w:r>
          </w:p>
        </w:tc>
        <w:tc>
          <w:tcPr>
            <w:tcW w:w="42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28 %</w:t>
            </w:r>
          </w:p>
        </w:tc>
        <w:tc>
          <w:tcPr>
            <w:tcW w:w="140" w:type="dxa"/>
            <w:vAlign w:val="bottom"/>
            <w:tcBorders>
              <w:bottom w:val="single" w:sz="8" w:color="595959"/>
            </w:tcBorders>
          </w:tcPr>
          <w:p>
            <w:pPr>
              <w:spacing w:after="0"/>
              <w:rPr>
                <w:sz w:val="10"/>
                <w:szCs w:val="10"/>
                <w:color w:val="auto"/>
              </w:rPr>
            </w:pPr>
          </w:p>
        </w:tc>
        <w:tc>
          <w:tcPr>
            <w:tcW w:w="740" w:type="dxa"/>
            <w:vAlign w:val="bottom"/>
            <w:tcBorders>
              <w:bottom w:val="single" w:sz="8" w:color="595959"/>
            </w:tcBorders>
          </w:tcPr>
          <w:p>
            <w:pPr>
              <w:jc w:val="right"/>
              <w:ind w:right="158"/>
              <w:spacing w:after="0"/>
              <w:rPr>
                <w:sz w:val="20"/>
                <w:szCs w:val="20"/>
                <w:color w:val="auto"/>
              </w:rPr>
            </w:pPr>
            <w:r>
              <w:rPr>
                <w:rFonts w:ascii="Arial" w:cs="Arial" w:eastAsia="Arial" w:hAnsi="Arial"/>
                <w:sz w:val="8"/>
                <w:szCs w:val="8"/>
                <w:color w:val="auto"/>
              </w:rPr>
              <w:t>— %</w:t>
            </w:r>
          </w:p>
        </w:tc>
        <w:tc>
          <w:tcPr>
            <w:tcW w:w="560" w:type="dxa"/>
            <w:vAlign w:val="bottom"/>
            <w:tcBorders>
              <w:bottom w:val="single" w:sz="8" w:color="595959"/>
            </w:tcBorders>
          </w:tcPr>
          <w:p>
            <w:pPr>
              <w:jc w:val="right"/>
              <w:ind w:right="138"/>
              <w:spacing w:after="0"/>
              <w:rPr>
                <w:sz w:val="20"/>
                <w:szCs w:val="20"/>
                <w:color w:val="auto"/>
              </w:rPr>
            </w:pPr>
            <w:r>
              <w:rPr>
                <w:rFonts w:ascii="Arial" w:cs="Arial" w:eastAsia="Arial" w:hAnsi="Arial"/>
                <w:sz w:val="8"/>
                <w:szCs w:val="8"/>
                <w:color w:val="auto"/>
              </w:rPr>
              <w:t>— %</w:t>
            </w:r>
          </w:p>
        </w:tc>
        <w:tc>
          <w:tcPr>
            <w:tcW w:w="580" w:type="dxa"/>
            <w:vAlign w:val="bottom"/>
            <w:tcBorders>
              <w:bottom w:val="single" w:sz="8" w:color="595959"/>
            </w:tcBorders>
          </w:tcPr>
          <w:p>
            <w:pPr>
              <w:jc w:val="right"/>
              <w:ind w:right="158"/>
              <w:spacing w:after="0"/>
              <w:rPr>
                <w:sz w:val="20"/>
                <w:szCs w:val="20"/>
                <w:color w:val="auto"/>
              </w:rPr>
            </w:pPr>
            <w:r>
              <w:rPr>
                <w:rFonts w:ascii="Arial" w:cs="Arial" w:eastAsia="Arial" w:hAnsi="Arial"/>
                <w:sz w:val="8"/>
                <w:szCs w:val="8"/>
                <w:color w:val="auto"/>
              </w:rPr>
              <w:t>— %</w:t>
            </w:r>
          </w:p>
        </w:tc>
        <w:tc>
          <w:tcPr>
            <w:tcW w:w="540" w:type="dxa"/>
            <w:vAlign w:val="bottom"/>
            <w:tcBorders>
              <w:bottom w:val="single" w:sz="8" w:color="595959"/>
            </w:tcBorders>
          </w:tcPr>
          <w:p>
            <w:pPr>
              <w:jc w:val="right"/>
              <w:ind w:right="118"/>
              <w:spacing w:after="0"/>
              <w:rPr>
                <w:sz w:val="20"/>
                <w:szCs w:val="20"/>
                <w:color w:val="auto"/>
              </w:rPr>
            </w:pPr>
            <w:r>
              <w:rPr>
                <w:rFonts w:ascii="Arial" w:cs="Arial" w:eastAsia="Arial" w:hAnsi="Arial"/>
                <w:sz w:val="8"/>
                <w:szCs w:val="8"/>
                <w:color w:val="auto"/>
              </w:rPr>
              <w:t>(2)%</w:t>
            </w:r>
          </w:p>
        </w:tc>
        <w:tc>
          <w:tcPr>
            <w:tcW w:w="580" w:type="dxa"/>
            <w:vAlign w:val="bottom"/>
            <w:tcBorders>
              <w:bottom w:val="single" w:sz="8" w:color="595959"/>
            </w:tcBorders>
          </w:tcPr>
          <w:p>
            <w:pPr>
              <w:jc w:val="right"/>
              <w:ind w:right="138"/>
              <w:spacing w:after="0"/>
              <w:rPr>
                <w:sz w:val="20"/>
                <w:szCs w:val="20"/>
                <w:color w:val="auto"/>
              </w:rPr>
            </w:pPr>
            <w:r>
              <w:rPr>
                <w:rFonts w:ascii="Arial" w:cs="Arial" w:eastAsia="Arial" w:hAnsi="Arial"/>
                <w:sz w:val="8"/>
                <w:szCs w:val="8"/>
                <w:color w:val="auto"/>
              </w:rPr>
              <w:t>— %</w:t>
            </w:r>
          </w:p>
        </w:tc>
        <w:tc>
          <w:tcPr>
            <w:tcW w:w="580" w:type="dxa"/>
            <w:vAlign w:val="bottom"/>
            <w:tcBorders>
              <w:bottom w:val="single" w:sz="8" w:color="595959"/>
            </w:tcBorders>
          </w:tcPr>
          <w:p>
            <w:pPr>
              <w:jc w:val="right"/>
              <w:ind w:right="138"/>
              <w:spacing w:after="0"/>
              <w:rPr>
                <w:sz w:val="20"/>
                <w:szCs w:val="20"/>
                <w:color w:val="auto"/>
              </w:rPr>
            </w:pPr>
            <w:r>
              <w:rPr>
                <w:rFonts w:ascii="Arial" w:cs="Arial" w:eastAsia="Arial" w:hAnsi="Arial"/>
                <w:sz w:val="8"/>
                <w:szCs w:val="8"/>
                <w:color w:val="auto"/>
              </w:rPr>
              <w:t>— %</w:t>
            </w:r>
          </w:p>
        </w:tc>
        <w:tc>
          <w:tcPr>
            <w:tcW w:w="560" w:type="dxa"/>
            <w:vAlign w:val="bottom"/>
            <w:tcBorders>
              <w:bottom w:val="single" w:sz="8" w:color="595959"/>
            </w:tcBorders>
          </w:tcPr>
          <w:p>
            <w:pPr>
              <w:jc w:val="right"/>
              <w:ind w:right="118"/>
              <w:spacing w:after="0"/>
              <w:rPr>
                <w:sz w:val="20"/>
                <w:szCs w:val="20"/>
                <w:color w:val="auto"/>
              </w:rPr>
            </w:pPr>
            <w:r>
              <w:rPr>
                <w:rFonts w:ascii="Arial" w:cs="Arial" w:eastAsia="Arial" w:hAnsi="Arial"/>
                <w:sz w:val="8"/>
                <w:szCs w:val="8"/>
                <w:color w:val="auto"/>
              </w:rPr>
              <w:t>(64)%</w:t>
            </w:r>
          </w:p>
        </w:tc>
        <w:tc>
          <w:tcPr>
            <w:tcW w:w="520" w:type="dxa"/>
            <w:vAlign w:val="bottom"/>
            <w:tcBorders>
              <w:bottom w:val="single" w:sz="8" w:color="595959"/>
            </w:tcBorders>
          </w:tcPr>
          <w:p>
            <w:pPr>
              <w:jc w:val="right"/>
              <w:ind w:right="58"/>
              <w:spacing w:after="0"/>
              <w:rPr>
                <w:sz w:val="20"/>
                <w:szCs w:val="20"/>
                <w:color w:val="auto"/>
              </w:rPr>
            </w:pPr>
            <w:r>
              <w:rPr>
                <w:rFonts w:ascii="Arial" w:cs="Arial" w:eastAsia="Arial" w:hAnsi="Arial"/>
                <w:sz w:val="8"/>
                <w:szCs w:val="8"/>
                <w:color w:val="auto"/>
              </w:rPr>
              <w:t>(100)%</w:t>
            </w:r>
          </w:p>
        </w:tc>
        <w:tc>
          <w:tcPr>
            <w:tcW w:w="680" w:type="dxa"/>
            <w:vAlign w:val="bottom"/>
            <w:tcBorders>
              <w:bottom w:val="single" w:sz="8" w:color="595959"/>
            </w:tcBorders>
          </w:tcPr>
          <w:p>
            <w:pPr>
              <w:jc w:val="right"/>
              <w:ind w:right="158"/>
              <w:spacing w:after="0"/>
              <w:rPr>
                <w:sz w:val="20"/>
                <w:szCs w:val="20"/>
                <w:color w:val="auto"/>
              </w:rPr>
            </w:pPr>
            <w:r>
              <w:rPr>
                <w:rFonts w:ascii="Arial" w:cs="Arial" w:eastAsia="Arial" w:hAnsi="Arial"/>
                <w:sz w:val="8"/>
                <w:szCs w:val="8"/>
                <w:color w:val="auto"/>
              </w:rPr>
              <w:t>(93)%</w:t>
            </w:r>
          </w:p>
        </w:tc>
        <w:tc>
          <w:tcPr>
            <w:tcW w:w="40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 %</w:t>
            </w:r>
          </w:p>
        </w:tc>
      </w:tr>
      <w:tr>
        <w:trPr>
          <w:trHeight w:val="115"/>
        </w:trPr>
        <w:tc>
          <w:tcPr>
            <w:tcW w:w="166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Annual bonus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N/A</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(100)%</w:t>
            </w:r>
          </w:p>
        </w:tc>
        <w:tc>
          <w:tcPr>
            <w:tcW w:w="74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(100)%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(100)%</w:t>
            </w: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 %</w:t>
            </w:r>
          </w:p>
        </w:tc>
        <w:tc>
          <w:tcPr>
            <w:tcW w:w="56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rPr>
              <w:t>— %</w:t>
            </w:r>
          </w:p>
        </w:tc>
        <w:tc>
          <w:tcPr>
            <w:tcW w:w="58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 %</w:t>
            </w: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 %</w:t>
            </w: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rPr>
              <w:t>— %</w:t>
            </w: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rPr>
              <w:t>— %</w:t>
            </w: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 %</w:t>
            </w:r>
          </w:p>
        </w:tc>
        <w:tc>
          <w:tcPr>
            <w:tcW w:w="52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 %</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 %</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 %</w:t>
            </w:r>
          </w:p>
        </w:tc>
      </w:tr>
    </w:tbl>
    <w:p>
      <w:pPr>
        <w:spacing w:after="0" w:line="153" w:lineRule="exact"/>
        <w:rPr>
          <w:sz w:val="20"/>
          <w:szCs w:val="20"/>
          <w:color w:val="auto"/>
        </w:rPr>
      </w:pPr>
    </w:p>
    <w:p>
      <w:pPr>
        <w:ind w:left="8"/>
        <w:spacing w:after="0"/>
        <w:rPr>
          <w:sz w:val="20"/>
          <w:szCs w:val="20"/>
          <w:color w:val="auto"/>
        </w:rPr>
      </w:pPr>
      <w:r>
        <w:rPr>
          <w:rFonts w:ascii="Arial" w:cs="Arial" w:eastAsia="Arial" w:hAnsi="Arial"/>
          <w:sz w:val="8"/>
          <w:szCs w:val="8"/>
          <w:color w:val="auto"/>
        </w:rPr>
        <w:t>[A] Dick Boer, Martina Hund-Mejean, Sir Andrew Mackenzie and Abraham Schot were appointed as Directors during the course of 2020. They have been excluded from the table, because they had no previous year's remuneration for comparison.</w:t>
      </w:r>
    </w:p>
    <w:p>
      <w:pPr>
        <w:sectPr>
          <w:pgSz w:w="11900" w:h="16838" w:orient="portrait"/>
          <w:cols w:equalWidth="0" w:num="1">
            <w:col w:w="11308"/>
          </w:cols>
          <w:pgMar w:left="292" w:top="640" w:right="299" w:bottom="1440" w:gutter="0" w:footer="0" w:header="0"/>
        </w:sectPr>
      </w:pPr>
    </w:p>
    <w:p>
      <w:pPr>
        <w:spacing w:after="0" w:line="165" w:lineRule="exact"/>
        <w:rPr>
          <w:sz w:val="20"/>
          <w:szCs w:val="20"/>
          <w:color w:val="auto"/>
        </w:rPr>
      </w:pPr>
    </w:p>
    <w:p>
      <w:pPr>
        <w:ind w:left="8"/>
        <w:spacing w:after="0"/>
        <w:rPr>
          <w:sz w:val="20"/>
          <w:szCs w:val="20"/>
          <w:color w:val="auto"/>
        </w:rPr>
      </w:pPr>
      <w:r>
        <w:rPr>
          <w:rFonts w:ascii="Arial" w:cs="Arial" w:eastAsia="Arial" w:hAnsi="Arial"/>
          <w:sz w:val="10"/>
          <w:szCs w:val="10"/>
          <w:color w:val="auto"/>
        </w:rPr>
        <w:t>Relative importance of spend on pay</w:t>
      </w:r>
    </w:p>
    <w:p>
      <w:pPr>
        <w:spacing w:after="0" w:line="1" w:lineRule="exact"/>
        <w:rPr>
          <w:sz w:val="20"/>
          <w:szCs w:val="20"/>
          <w:color w:val="auto"/>
        </w:rPr>
      </w:pPr>
    </w:p>
    <w:p>
      <w:pPr>
        <w:ind w:left="8"/>
        <w:spacing w:after="0" w:line="231" w:lineRule="auto"/>
        <w:rPr>
          <w:sz w:val="20"/>
          <w:szCs w:val="20"/>
          <w:color w:val="auto"/>
        </w:rPr>
      </w:pPr>
      <w:r>
        <w:rPr>
          <w:rFonts w:ascii="Arial" w:cs="Arial" w:eastAsia="Arial" w:hAnsi="Arial"/>
          <w:sz w:val="10"/>
          <w:szCs w:val="10"/>
          <w:color w:val="auto"/>
        </w:rPr>
        <w:t>The table below sets out distributions to shareholders by way of dividends and share buybacks, and remuneration paid to or receivable by employees for the last five years, together with annual percentage changes.</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Relative importance of spend on pay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Accrued pension (audited)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Thousand</w:t>
            </w:r>
          </w:p>
        </w:tc>
        <w:tc>
          <w:tcPr>
            <w:tcW w:w="1840" w:type="dxa"/>
            <w:vAlign w:val="bottom"/>
            <w:tcBorders>
              <w:bottom w:val="single" w:sz="8" w:color="auto"/>
            </w:tcBorders>
          </w:tcPr>
          <w:p>
            <w:pPr>
              <w:jc w:val="right"/>
              <w:ind w:right="318"/>
              <w:spacing w:after="0"/>
              <w:rPr>
                <w:sz w:val="20"/>
                <w:szCs w:val="20"/>
                <w:color w:val="auto"/>
              </w:rPr>
            </w:pPr>
            <w:r>
              <w:rPr>
                <w:rFonts w:ascii="Arial" w:cs="Arial" w:eastAsia="Arial" w:hAnsi="Arial"/>
                <w:sz w:val="8"/>
                <w:szCs w:val="8"/>
                <w:color w:val="auto"/>
              </w:rPr>
              <w:t>Local</w:t>
            </w: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8"/>
                <w:szCs w:val="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r>
      <w:tr>
        <w:trPr>
          <w:trHeight w:val="115"/>
        </w:trPr>
        <w:tc>
          <w:tcPr>
            <w:tcW w:w="2020" w:type="dxa"/>
            <w:vAlign w:val="bottom"/>
            <w:tcBorders>
              <w:bottom w:val="single" w:sz="8" w:color="494949"/>
            </w:tcBorders>
          </w:tcPr>
          <w:p>
            <w:pPr>
              <w:ind w:left="20"/>
              <w:spacing w:after="0"/>
              <w:rPr>
                <w:sz w:val="20"/>
                <w:szCs w:val="20"/>
                <w:color w:val="auto"/>
              </w:rPr>
            </w:pPr>
            <w:r>
              <w:rPr>
                <w:rFonts w:ascii="Arial" w:cs="Arial" w:eastAsia="Arial" w:hAnsi="Arial"/>
                <w:sz w:val="8"/>
                <w:szCs w:val="8"/>
                <w:color w:val="auto"/>
              </w:rPr>
              <w:t>Ben van Beurden [A]</w:t>
            </w:r>
          </w:p>
        </w:tc>
        <w:tc>
          <w:tcPr>
            <w:tcW w:w="1840" w:type="dxa"/>
            <w:vAlign w:val="bottom"/>
            <w:tcBorders>
              <w:bottom w:val="single" w:sz="8" w:color="494949"/>
            </w:tcBorders>
          </w:tcPr>
          <w:p>
            <w:pPr>
              <w:jc w:val="right"/>
              <w:ind w:right="338"/>
              <w:spacing w:after="0"/>
              <w:rPr>
                <w:sz w:val="20"/>
                <w:szCs w:val="20"/>
                <w:color w:val="auto"/>
              </w:rPr>
            </w:pPr>
            <w:r>
              <w:rPr>
                <w:rFonts w:ascii="Arial" w:cs="Arial" w:eastAsia="Arial" w:hAnsi="Arial"/>
                <w:sz w:val="8"/>
                <w:szCs w:val="8"/>
                <w:color w:val="auto"/>
              </w:rPr>
              <w:t>1,313</w:t>
            </w:r>
          </w:p>
        </w:tc>
        <w:tc>
          <w:tcPr>
            <w:tcW w:w="920" w:type="dxa"/>
            <w:vAlign w:val="bottom"/>
            <w:tcBorders>
              <w:bottom w:val="single" w:sz="8" w:color="494949"/>
            </w:tcBorders>
          </w:tcPr>
          <w:p>
            <w:pPr>
              <w:jc w:val="right"/>
              <w:ind w:right="338"/>
              <w:spacing w:after="0"/>
              <w:rPr>
                <w:sz w:val="20"/>
                <w:szCs w:val="20"/>
                <w:color w:val="auto"/>
              </w:rPr>
            </w:pPr>
            <w:r>
              <w:rPr>
                <w:rFonts w:ascii="Arial" w:cs="Arial" w:eastAsia="Arial" w:hAnsi="Arial"/>
                <w:sz w:val="8"/>
                <w:szCs w:val="8"/>
                <w:color w:val="auto"/>
              </w:rPr>
              <w:t>1,313</w:t>
            </w:r>
          </w:p>
        </w:tc>
        <w:tc>
          <w:tcPr>
            <w:tcW w:w="5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1,615</w:t>
            </w:r>
          </w:p>
        </w:tc>
      </w:tr>
      <w:tr>
        <w:trPr>
          <w:trHeight w:val="115"/>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Jessica Uhl [B]</w:t>
            </w:r>
          </w:p>
        </w:tc>
        <w:tc>
          <w:tcPr>
            <w:tcW w:w="1840" w:type="dxa"/>
            <w:vAlign w:val="bottom"/>
            <w:tcBorders>
              <w:bottom w:val="single" w:sz="8" w:color="auto"/>
            </w:tcBorders>
          </w:tcPr>
          <w:p>
            <w:pPr>
              <w:jc w:val="right"/>
              <w:ind w:right="338"/>
              <w:spacing w:after="0"/>
              <w:rPr>
                <w:sz w:val="20"/>
                <w:szCs w:val="20"/>
                <w:color w:val="auto"/>
              </w:rPr>
            </w:pPr>
            <w:r>
              <w:rPr>
                <w:rFonts w:ascii="Arial" w:cs="Arial" w:eastAsia="Arial" w:hAnsi="Arial"/>
                <w:sz w:val="8"/>
                <w:szCs w:val="8"/>
                <w:color w:val="auto"/>
              </w:rPr>
              <w:t>1,247</w:t>
            </w: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8"/>
                <w:szCs w:val="8"/>
                <w:color w:val="auto"/>
              </w:rPr>
              <w:t>1,014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1,247</w:t>
            </w:r>
          </w:p>
        </w:tc>
      </w:tr>
    </w:tbl>
    <w:p>
      <w:pPr>
        <w:spacing w:after="0" w:line="153" w:lineRule="exact"/>
        <w:rPr>
          <w:sz w:val="20"/>
          <w:szCs w:val="20"/>
          <w:color w:val="auto"/>
        </w:rPr>
      </w:pPr>
    </w:p>
    <w:p>
      <w:pPr>
        <w:sectPr>
          <w:pgSz w:w="11900" w:h="16838" w:orient="portrait"/>
          <w:cols w:equalWidth="0" w:num="2">
            <w:col w:w="5268" w:space="460"/>
            <w:col w:w="5580"/>
          </w:cols>
          <w:pgMar w:left="292" w:top="640" w:right="299" w:bottom="1440" w:gutter="0" w:footer="0" w:header="0"/>
          <w:type w:val="continuous"/>
        </w:sectPr>
      </w:pPr>
    </w:p>
    <w:p>
      <w:pPr>
        <w:spacing w:after="0" w:line="216" w:lineRule="exact"/>
        <w:rPr>
          <w:sz w:val="20"/>
          <w:szCs w:val="20"/>
          <w:color w:val="auto"/>
        </w:rPr>
      </w:pPr>
    </w:p>
    <w:tbl>
      <w:tblPr>
        <w:tblLayout w:type="fixed"/>
        <w:tblInd w:w="8" w:type="dxa"/>
        <w:tblCellMar>
          <w:top w:w="0" w:type="dxa"/>
          <w:left w:w="0" w:type="dxa"/>
          <w:bottom w:w="0" w:type="dxa"/>
          <w:right w:w="0" w:type="dxa"/>
        </w:tblCellMar>
      </w:tblPr>
      <w:tr>
        <w:trPr>
          <w:trHeight w:val="111"/>
        </w:trPr>
        <w:tc>
          <w:tcPr>
            <w:tcW w:w="1500" w:type="dxa"/>
            <w:vAlign w:val="bottom"/>
          </w:tcPr>
          <w:p>
            <w:pPr>
              <w:spacing w:after="0"/>
              <w:rPr>
                <w:sz w:val="9"/>
                <w:szCs w:val="9"/>
                <w:color w:val="auto"/>
              </w:rPr>
            </w:pPr>
          </w:p>
        </w:tc>
        <w:tc>
          <w:tcPr>
            <w:tcW w:w="210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8"/>
                <w:szCs w:val="8"/>
                <w:color w:val="auto"/>
              </w:rPr>
              <w:t>Dividends and share buybacks [A]</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Spend on pay (all employees) [B]</w:t>
            </w:r>
          </w:p>
        </w:tc>
      </w:tr>
      <w:tr>
        <w:trPr>
          <w:trHeight w:val="223"/>
        </w:trPr>
        <w:tc>
          <w:tcPr>
            <w:tcW w:w="15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Year</w:t>
            </w:r>
          </w:p>
        </w:tc>
        <w:tc>
          <w:tcPr>
            <w:tcW w:w="110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rPr>
              <w:t>$ billion</w:t>
            </w:r>
          </w:p>
        </w:tc>
        <w:tc>
          <w:tcPr>
            <w:tcW w:w="100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color w:val="auto"/>
              </w:rPr>
              <w:t>Annual change</w:t>
            </w:r>
          </w:p>
        </w:tc>
        <w:tc>
          <w:tcPr>
            <w:tcW w:w="74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 billion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Annual change</w:t>
            </w:r>
          </w:p>
        </w:tc>
      </w:tr>
      <w:tr>
        <w:trPr>
          <w:trHeight w:val="115"/>
        </w:trPr>
        <w:tc>
          <w:tcPr>
            <w:tcW w:w="15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2020</w:t>
            </w:r>
          </w:p>
        </w:tc>
        <w:tc>
          <w:tcPr>
            <w:tcW w:w="1100" w:type="dxa"/>
            <w:vAlign w:val="bottom"/>
            <w:tcBorders>
              <w:bottom w:val="single" w:sz="8" w:color="494949"/>
            </w:tcBorders>
          </w:tcPr>
          <w:p>
            <w:pPr>
              <w:jc w:val="right"/>
              <w:ind w:right="178"/>
              <w:spacing w:after="0"/>
              <w:rPr>
                <w:sz w:val="20"/>
                <w:szCs w:val="20"/>
                <w:color w:val="auto"/>
              </w:rPr>
            </w:pPr>
            <w:r>
              <w:rPr>
                <w:rFonts w:ascii="Arial" w:cs="Arial" w:eastAsia="Arial" w:hAnsi="Arial"/>
                <w:sz w:val="8"/>
                <w:szCs w:val="8"/>
                <w:color w:val="auto"/>
              </w:rPr>
              <w:t>9.1</w:t>
            </w:r>
          </w:p>
        </w:tc>
        <w:tc>
          <w:tcPr>
            <w:tcW w:w="1000" w:type="dxa"/>
            <w:vAlign w:val="bottom"/>
            <w:tcBorders>
              <w:bottom w:val="single" w:sz="8" w:color="494949"/>
            </w:tcBorders>
          </w:tcPr>
          <w:p>
            <w:pPr>
              <w:jc w:val="right"/>
              <w:ind w:right="218"/>
              <w:spacing w:after="0"/>
              <w:rPr>
                <w:sz w:val="20"/>
                <w:szCs w:val="20"/>
                <w:color w:val="auto"/>
              </w:rPr>
            </w:pPr>
            <w:r>
              <w:rPr>
                <w:rFonts w:ascii="Arial" w:cs="Arial" w:eastAsia="Arial" w:hAnsi="Arial"/>
                <w:sz w:val="8"/>
                <w:szCs w:val="8"/>
                <w:color w:val="auto"/>
              </w:rPr>
              <w:t>(64)%</w:t>
            </w:r>
          </w:p>
        </w:tc>
        <w:tc>
          <w:tcPr>
            <w:tcW w:w="740" w:type="dxa"/>
            <w:vAlign w:val="bottom"/>
            <w:tcBorders>
              <w:bottom w:val="single" w:sz="8" w:color="494949"/>
            </w:tcBorders>
          </w:tcPr>
          <w:p>
            <w:pPr>
              <w:jc w:val="right"/>
              <w:ind w:right="118"/>
              <w:spacing w:after="0"/>
              <w:rPr>
                <w:sz w:val="20"/>
                <w:szCs w:val="20"/>
                <w:color w:val="auto"/>
              </w:rPr>
            </w:pPr>
            <w:r>
              <w:rPr>
                <w:rFonts w:ascii="Arial" w:cs="Arial" w:eastAsia="Arial" w:hAnsi="Arial"/>
                <w:sz w:val="8"/>
                <w:szCs w:val="8"/>
                <w:color w:val="auto"/>
              </w:rPr>
              <w:t>12.1</w:t>
            </w:r>
          </w:p>
        </w:tc>
        <w:tc>
          <w:tcPr>
            <w:tcW w:w="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(8)%</w:t>
            </w:r>
          </w:p>
        </w:tc>
      </w:tr>
      <w:tr>
        <w:trPr>
          <w:trHeight w:val="115"/>
        </w:trPr>
        <w:tc>
          <w:tcPr>
            <w:tcW w:w="15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2019</w:t>
            </w:r>
          </w:p>
        </w:tc>
        <w:tc>
          <w:tcPr>
            <w:tcW w:w="1100" w:type="dxa"/>
            <w:vAlign w:val="bottom"/>
            <w:tcBorders>
              <w:bottom w:val="single" w:sz="8" w:color="494949"/>
            </w:tcBorders>
          </w:tcPr>
          <w:p>
            <w:pPr>
              <w:jc w:val="right"/>
              <w:ind w:right="178"/>
              <w:spacing w:after="0"/>
              <w:rPr>
                <w:sz w:val="20"/>
                <w:szCs w:val="20"/>
                <w:color w:val="auto"/>
              </w:rPr>
            </w:pPr>
            <w:r>
              <w:rPr>
                <w:rFonts w:ascii="Arial" w:cs="Arial" w:eastAsia="Arial" w:hAnsi="Arial"/>
                <w:sz w:val="8"/>
                <w:szCs w:val="8"/>
                <w:color w:val="auto"/>
              </w:rPr>
              <w:t>25.4</w:t>
            </w:r>
          </w:p>
        </w:tc>
        <w:tc>
          <w:tcPr>
            <w:tcW w:w="1000" w:type="dxa"/>
            <w:vAlign w:val="bottom"/>
            <w:tcBorders>
              <w:bottom w:val="single" w:sz="8" w:color="494949"/>
            </w:tcBorders>
          </w:tcPr>
          <w:p>
            <w:pPr>
              <w:jc w:val="right"/>
              <w:ind w:right="218"/>
              <w:spacing w:after="0"/>
              <w:rPr>
                <w:sz w:val="20"/>
                <w:szCs w:val="20"/>
                <w:color w:val="auto"/>
              </w:rPr>
            </w:pPr>
            <w:r>
              <w:rPr>
                <w:rFonts w:ascii="Arial" w:cs="Arial" w:eastAsia="Arial" w:hAnsi="Arial"/>
                <w:sz w:val="8"/>
                <w:szCs w:val="8"/>
                <w:color w:val="auto"/>
              </w:rPr>
              <w:t>26%</w:t>
            </w:r>
          </w:p>
        </w:tc>
        <w:tc>
          <w:tcPr>
            <w:tcW w:w="740" w:type="dxa"/>
            <w:vAlign w:val="bottom"/>
            <w:tcBorders>
              <w:bottom w:val="single" w:sz="8" w:color="494949"/>
            </w:tcBorders>
          </w:tcPr>
          <w:p>
            <w:pPr>
              <w:jc w:val="right"/>
              <w:ind w:right="118"/>
              <w:spacing w:after="0"/>
              <w:rPr>
                <w:sz w:val="20"/>
                <w:szCs w:val="20"/>
                <w:color w:val="auto"/>
              </w:rPr>
            </w:pPr>
            <w:r>
              <w:rPr>
                <w:rFonts w:ascii="Arial" w:cs="Arial" w:eastAsia="Arial" w:hAnsi="Arial"/>
                <w:sz w:val="8"/>
                <w:szCs w:val="8"/>
                <w:color w:val="auto"/>
              </w:rPr>
              <w:t>13.2</w:t>
            </w:r>
          </w:p>
        </w:tc>
        <w:tc>
          <w:tcPr>
            <w:tcW w:w="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w:t>
            </w:r>
          </w:p>
        </w:tc>
      </w:tr>
      <w:tr>
        <w:trPr>
          <w:trHeight w:val="115"/>
        </w:trPr>
        <w:tc>
          <w:tcPr>
            <w:tcW w:w="15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2018</w:t>
            </w:r>
          </w:p>
        </w:tc>
        <w:tc>
          <w:tcPr>
            <w:tcW w:w="1100" w:type="dxa"/>
            <w:vAlign w:val="bottom"/>
            <w:tcBorders>
              <w:bottom w:val="single" w:sz="8" w:color="494949"/>
            </w:tcBorders>
          </w:tcPr>
          <w:p>
            <w:pPr>
              <w:jc w:val="right"/>
              <w:ind w:right="178"/>
              <w:spacing w:after="0"/>
              <w:rPr>
                <w:sz w:val="20"/>
                <w:szCs w:val="20"/>
                <w:color w:val="auto"/>
              </w:rPr>
            </w:pPr>
            <w:r>
              <w:rPr>
                <w:rFonts w:ascii="Arial" w:cs="Arial" w:eastAsia="Arial" w:hAnsi="Arial"/>
                <w:sz w:val="8"/>
                <w:szCs w:val="8"/>
                <w:color w:val="auto"/>
              </w:rPr>
              <w:t>20.2</w:t>
            </w:r>
          </w:p>
        </w:tc>
        <w:tc>
          <w:tcPr>
            <w:tcW w:w="1000" w:type="dxa"/>
            <w:vAlign w:val="bottom"/>
            <w:tcBorders>
              <w:bottom w:val="single" w:sz="8" w:color="494949"/>
            </w:tcBorders>
          </w:tcPr>
          <w:p>
            <w:pPr>
              <w:jc w:val="right"/>
              <w:ind w:right="218"/>
              <w:spacing w:after="0"/>
              <w:rPr>
                <w:sz w:val="20"/>
                <w:szCs w:val="20"/>
                <w:color w:val="auto"/>
              </w:rPr>
            </w:pPr>
            <w:r>
              <w:rPr>
                <w:rFonts w:ascii="Arial" w:cs="Arial" w:eastAsia="Arial" w:hAnsi="Arial"/>
                <w:sz w:val="8"/>
                <w:szCs w:val="8"/>
                <w:color w:val="auto"/>
              </w:rPr>
              <w:t>29%</w:t>
            </w:r>
          </w:p>
        </w:tc>
        <w:tc>
          <w:tcPr>
            <w:tcW w:w="740" w:type="dxa"/>
            <w:vAlign w:val="bottom"/>
            <w:tcBorders>
              <w:bottom w:val="single" w:sz="8" w:color="494949"/>
            </w:tcBorders>
          </w:tcPr>
          <w:p>
            <w:pPr>
              <w:jc w:val="right"/>
              <w:ind w:right="118"/>
              <w:spacing w:after="0"/>
              <w:rPr>
                <w:sz w:val="20"/>
                <w:szCs w:val="20"/>
                <w:color w:val="auto"/>
              </w:rPr>
            </w:pPr>
            <w:r>
              <w:rPr>
                <w:rFonts w:ascii="Arial" w:cs="Arial" w:eastAsia="Arial" w:hAnsi="Arial"/>
                <w:sz w:val="8"/>
                <w:szCs w:val="8"/>
                <w:color w:val="auto"/>
              </w:rPr>
              <w:t>13.4</w:t>
            </w:r>
          </w:p>
        </w:tc>
        <w:tc>
          <w:tcPr>
            <w:tcW w:w="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-6%</w:t>
            </w:r>
          </w:p>
        </w:tc>
      </w:tr>
      <w:tr>
        <w:trPr>
          <w:trHeight w:val="115"/>
        </w:trPr>
        <w:tc>
          <w:tcPr>
            <w:tcW w:w="1500" w:type="dxa"/>
            <w:vAlign w:val="bottom"/>
            <w:tcBorders>
              <w:bottom w:val="single" w:sz="8" w:color="494949"/>
            </w:tcBorders>
          </w:tcPr>
          <w:p>
            <w:pPr>
              <w:spacing w:after="0"/>
              <w:rPr>
                <w:sz w:val="20"/>
                <w:szCs w:val="20"/>
                <w:color w:val="auto"/>
              </w:rPr>
            </w:pPr>
            <w:r>
              <w:rPr>
                <w:rFonts w:ascii="Arial" w:cs="Arial" w:eastAsia="Arial" w:hAnsi="Arial"/>
                <w:sz w:val="8"/>
                <w:szCs w:val="8"/>
                <w:color w:val="auto"/>
              </w:rPr>
              <w:t>2017</w:t>
            </w:r>
          </w:p>
        </w:tc>
        <w:tc>
          <w:tcPr>
            <w:tcW w:w="1100" w:type="dxa"/>
            <w:vAlign w:val="bottom"/>
            <w:tcBorders>
              <w:bottom w:val="single" w:sz="8" w:color="494949"/>
            </w:tcBorders>
          </w:tcPr>
          <w:p>
            <w:pPr>
              <w:jc w:val="right"/>
              <w:ind w:right="178"/>
              <w:spacing w:after="0"/>
              <w:rPr>
                <w:sz w:val="20"/>
                <w:szCs w:val="20"/>
                <w:color w:val="auto"/>
              </w:rPr>
            </w:pPr>
            <w:r>
              <w:rPr>
                <w:rFonts w:ascii="Arial" w:cs="Arial" w:eastAsia="Arial" w:hAnsi="Arial"/>
                <w:sz w:val="8"/>
                <w:szCs w:val="8"/>
                <w:color w:val="auto"/>
              </w:rPr>
              <w:t>15.6</w:t>
            </w:r>
          </w:p>
        </w:tc>
        <w:tc>
          <w:tcPr>
            <w:tcW w:w="1000" w:type="dxa"/>
            <w:vAlign w:val="bottom"/>
            <w:tcBorders>
              <w:bottom w:val="single" w:sz="8" w:color="494949"/>
            </w:tcBorders>
          </w:tcPr>
          <w:p>
            <w:pPr>
              <w:jc w:val="right"/>
              <w:ind w:right="218"/>
              <w:spacing w:after="0"/>
              <w:rPr>
                <w:sz w:val="20"/>
                <w:szCs w:val="20"/>
                <w:color w:val="auto"/>
              </w:rPr>
            </w:pPr>
            <w:r>
              <w:rPr>
                <w:rFonts w:ascii="Arial" w:cs="Arial" w:eastAsia="Arial" w:hAnsi="Arial"/>
                <w:sz w:val="8"/>
                <w:szCs w:val="8"/>
                <w:color w:val="auto"/>
              </w:rPr>
              <w:t>4%</w:t>
            </w:r>
          </w:p>
        </w:tc>
        <w:tc>
          <w:tcPr>
            <w:tcW w:w="740" w:type="dxa"/>
            <w:vAlign w:val="bottom"/>
            <w:tcBorders>
              <w:bottom w:val="single" w:sz="8" w:color="494949"/>
            </w:tcBorders>
          </w:tcPr>
          <w:p>
            <w:pPr>
              <w:jc w:val="right"/>
              <w:ind w:right="118"/>
              <w:spacing w:after="0"/>
              <w:rPr>
                <w:sz w:val="20"/>
                <w:szCs w:val="20"/>
                <w:color w:val="auto"/>
              </w:rPr>
            </w:pPr>
            <w:r>
              <w:rPr>
                <w:rFonts w:ascii="Arial" w:cs="Arial" w:eastAsia="Arial" w:hAnsi="Arial"/>
                <w:sz w:val="8"/>
                <w:szCs w:val="8"/>
                <w:color w:val="auto"/>
              </w:rPr>
              <w:t>14.3</w:t>
            </w:r>
          </w:p>
        </w:tc>
        <w:tc>
          <w:tcPr>
            <w:tcW w:w="6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-9%</w:t>
            </w:r>
          </w:p>
        </w:tc>
      </w:tr>
      <w:tr>
        <w:trPr>
          <w:trHeight w:val="115"/>
        </w:trPr>
        <w:tc>
          <w:tcPr>
            <w:tcW w:w="1500" w:type="dxa"/>
            <w:vAlign w:val="bottom"/>
            <w:tcBorders>
              <w:bottom w:val="single" w:sz="8" w:color="595959"/>
            </w:tcBorders>
          </w:tcPr>
          <w:p>
            <w:pPr>
              <w:spacing w:after="0"/>
              <w:rPr>
                <w:sz w:val="20"/>
                <w:szCs w:val="20"/>
                <w:color w:val="auto"/>
              </w:rPr>
            </w:pPr>
            <w:r>
              <w:rPr>
                <w:rFonts w:ascii="Arial" w:cs="Arial" w:eastAsia="Arial" w:hAnsi="Arial"/>
                <w:sz w:val="8"/>
                <w:szCs w:val="8"/>
                <w:color w:val="auto"/>
              </w:rPr>
              <w:t>2016</w:t>
            </w:r>
          </w:p>
        </w:tc>
        <w:tc>
          <w:tcPr>
            <w:tcW w:w="1100" w:type="dxa"/>
            <w:vAlign w:val="bottom"/>
            <w:tcBorders>
              <w:bottom w:val="single" w:sz="8" w:color="595959"/>
            </w:tcBorders>
          </w:tcPr>
          <w:p>
            <w:pPr>
              <w:jc w:val="right"/>
              <w:ind w:right="178"/>
              <w:spacing w:after="0"/>
              <w:rPr>
                <w:sz w:val="20"/>
                <w:szCs w:val="20"/>
                <w:color w:val="auto"/>
              </w:rPr>
            </w:pPr>
            <w:r>
              <w:rPr>
                <w:rFonts w:ascii="Arial" w:cs="Arial" w:eastAsia="Arial" w:hAnsi="Arial"/>
                <w:sz w:val="8"/>
                <w:szCs w:val="8"/>
                <w:color w:val="auto"/>
              </w:rPr>
              <w:t>15</w:t>
            </w:r>
          </w:p>
        </w:tc>
        <w:tc>
          <w:tcPr>
            <w:tcW w:w="1000" w:type="dxa"/>
            <w:vAlign w:val="bottom"/>
            <w:tcBorders>
              <w:bottom w:val="single" w:sz="8" w:color="595959"/>
            </w:tcBorders>
          </w:tcPr>
          <w:p>
            <w:pPr>
              <w:jc w:val="right"/>
              <w:ind w:right="218"/>
              <w:spacing w:after="0"/>
              <w:rPr>
                <w:sz w:val="20"/>
                <w:szCs w:val="20"/>
                <w:color w:val="auto"/>
              </w:rPr>
            </w:pPr>
            <w:r>
              <w:rPr>
                <w:rFonts w:ascii="Arial" w:cs="Arial" w:eastAsia="Arial" w:hAnsi="Arial"/>
                <w:sz w:val="8"/>
                <w:szCs w:val="8"/>
                <w:color w:val="auto"/>
              </w:rPr>
              <w:t>25%</w:t>
            </w:r>
          </w:p>
        </w:tc>
        <w:tc>
          <w:tcPr>
            <w:tcW w:w="740" w:type="dxa"/>
            <w:vAlign w:val="bottom"/>
            <w:tcBorders>
              <w:bottom w:val="single" w:sz="8" w:color="595959"/>
            </w:tcBorders>
          </w:tcPr>
          <w:p>
            <w:pPr>
              <w:jc w:val="right"/>
              <w:ind w:right="118"/>
              <w:spacing w:after="0"/>
              <w:rPr>
                <w:sz w:val="20"/>
                <w:szCs w:val="20"/>
                <w:color w:val="auto"/>
              </w:rPr>
            </w:pPr>
            <w:r>
              <w:rPr>
                <w:rFonts w:ascii="Arial" w:cs="Arial" w:eastAsia="Arial" w:hAnsi="Arial"/>
                <w:sz w:val="8"/>
                <w:szCs w:val="8"/>
                <w:color w:val="auto"/>
              </w:rPr>
              <w:t>15.7</w:t>
            </w:r>
          </w:p>
        </w:tc>
        <w:tc>
          <w:tcPr>
            <w:tcW w:w="68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-8%</w:t>
            </w:r>
          </w:p>
        </w:tc>
      </w:tr>
    </w:tbl>
    <w:p>
      <w:pPr>
        <w:spacing w:after="0" w:line="153" w:lineRule="exact"/>
        <w:rPr>
          <w:sz w:val="20"/>
          <w:szCs w:val="20"/>
          <w:color w:val="auto"/>
        </w:rPr>
      </w:pPr>
    </w:p>
    <w:p>
      <w:pPr>
        <w:ind w:left="8" w:right="40" w:hanging="8"/>
        <w:spacing w:after="0" w:line="265" w:lineRule="auto"/>
        <w:tabs>
          <w:tab w:leader="none" w:pos="146" w:val="left"/>
        </w:tabs>
        <w:numPr>
          <w:ilvl w:val="0"/>
          <w:numId w:val="132"/>
        </w:numPr>
        <w:rPr>
          <w:rFonts w:ascii="Arial" w:cs="Arial" w:eastAsia="Arial" w:hAnsi="Arial"/>
          <w:sz w:val="8"/>
          <w:szCs w:val="8"/>
          <w:color w:val="auto"/>
        </w:rPr>
      </w:pPr>
      <w:r>
        <w:rPr>
          <w:rFonts w:ascii="Arial" w:cs="Arial" w:eastAsia="Arial" w:hAnsi="Arial"/>
          <w:sz w:val="8"/>
          <w:szCs w:val="8"/>
          <w:color w:val="auto"/>
        </w:rPr>
        <w:t>Dividends paid, which includes the dividends settled in shares via our Scrip Dividend Programme and repurchases of shares as reported in the “Consolidated Statement of Changes in Equity”.</w:t>
      </w:r>
    </w:p>
    <w:p>
      <w:pPr>
        <w:ind w:left="128" w:hanging="128"/>
        <w:spacing w:after="0"/>
        <w:tabs>
          <w:tab w:leader="none" w:pos="128" w:val="left"/>
        </w:tabs>
        <w:numPr>
          <w:ilvl w:val="0"/>
          <w:numId w:val="132"/>
        </w:numPr>
        <w:rPr>
          <w:rFonts w:ascii="Arial" w:cs="Arial" w:eastAsia="Arial" w:hAnsi="Arial"/>
          <w:sz w:val="8"/>
          <w:szCs w:val="8"/>
          <w:color w:val="auto"/>
        </w:rPr>
      </w:pPr>
      <w:r>
        <w:rPr>
          <w:rFonts w:ascii="Arial" w:cs="Arial" w:eastAsia="Arial" w:hAnsi="Arial"/>
          <w:sz w:val="8"/>
          <w:szCs w:val="8"/>
          <w:color w:val="auto"/>
        </w:rPr>
        <w:t>Employee costs, excluding redundancy costs, as reported in Note 26 to the “Consolidated Financial Statements”.</w:t>
      </w:r>
    </w:p>
    <w:p>
      <w:pPr>
        <w:spacing w:after="0" w:line="160" w:lineRule="exact"/>
        <w:rPr>
          <w:sz w:val="20"/>
          <w:szCs w:val="20"/>
          <w:color w:val="auto"/>
        </w:rPr>
      </w:pPr>
    </w:p>
    <w:p>
      <w:pPr>
        <w:ind w:left="8"/>
        <w:spacing w:after="0" w:line="232" w:lineRule="auto"/>
        <w:rPr>
          <w:sz w:val="20"/>
          <w:szCs w:val="20"/>
          <w:color w:val="auto"/>
        </w:rPr>
      </w:pPr>
      <w:r>
        <w:rPr>
          <w:rFonts w:ascii="Arial" w:cs="Arial" w:eastAsia="Arial" w:hAnsi="Arial"/>
          <w:sz w:val="10"/>
          <w:szCs w:val="10"/>
          <w:color w:val="auto"/>
        </w:rPr>
        <w:t>Spend on pay can be compared with the major costs associated with generating income by referring to the “Consolidated Statement of Income”. Over the last five years, the average spend on pay was 5% of the major costs of generating income. These costs are considered to be the sum of: purchases; production and manufacturing expenses; selling, distribution and administrative expenses; research and development; exploration; and depreciation, depletion and amortisation.</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Total pension entitlements (audited)</w:t>
      </w:r>
    </w:p>
    <w:p>
      <w:pPr>
        <w:spacing w:after="0" w:line="1" w:lineRule="exact"/>
        <w:rPr>
          <w:sz w:val="20"/>
          <w:szCs w:val="20"/>
          <w:color w:val="auto"/>
        </w:rPr>
      </w:pPr>
    </w:p>
    <w:p>
      <w:pPr>
        <w:ind w:left="8" w:right="140"/>
        <w:spacing w:after="0" w:line="337" w:lineRule="auto"/>
        <w:rPr>
          <w:sz w:val="20"/>
          <w:szCs w:val="20"/>
          <w:color w:val="auto"/>
        </w:rPr>
      </w:pPr>
      <w:r>
        <w:rPr>
          <w:rFonts w:ascii="Arial" w:cs="Arial" w:eastAsia="Arial" w:hAnsi="Arial"/>
          <w:sz w:val="8"/>
          <w:szCs w:val="8"/>
          <w:color w:val="auto"/>
        </w:rPr>
        <w:t>During 2020, Ben van Beurden and Jessica Uhl accrued retirement benefits under defined benefit plans. The pensions accrued under these plans at December 31, 2020 are set out below. The exchange rates used for conversion into euros and dollars are at December 31, 2020.</w:t>
      </w:r>
    </w:p>
    <w:p>
      <w:pPr>
        <w:spacing w:after="0" w:line="20" w:lineRule="exact"/>
        <w:rPr>
          <w:sz w:val="20"/>
          <w:szCs w:val="20"/>
          <w:color w:val="auto"/>
        </w:rPr>
      </w:pPr>
      <w:r>
        <w:rPr>
          <w:sz w:val="20"/>
          <w:szCs w:val="20"/>
          <w:color w:val="auto"/>
        </w:rPr>
        <w:br w:type="column"/>
      </w:r>
    </w:p>
    <w:p>
      <w:pPr>
        <w:ind w:left="140" w:hanging="131"/>
        <w:spacing w:after="0"/>
        <w:tabs>
          <w:tab w:leader="none" w:pos="140" w:val="left"/>
        </w:tabs>
        <w:numPr>
          <w:ilvl w:val="0"/>
          <w:numId w:val="133"/>
        </w:numPr>
        <w:rPr>
          <w:rFonts w:ascii="Arial" w:cs="Arial" w:eastAsia="Arial" w:hAnsi="Arial"/>
          <w:sz w:val="8"/>
          <w:szCs w:val="8"/>
          <w:color w:val="auto"/>
        </w:rPr>
      </w:pPr>
      <w:r>
        <w:rPr>
          <w:rFonts w:ascii="Arial" w:cs="Arial" w:eastAsia="Arial" w:hAnsi="Arial"/>
          <w:sz w:val="8"/>
          <w:szCs w:val="8"/>
          <w:color w:val="auto"/>
        </w:rPr>
        <w:t>The accrued benefits are disclosed on a per annum basis.</w:t>
      </w:r>
    </w:p>
    <w:p>
      <w:pPr>
        <w:spacing w:after="0" w:line="12" w:lineRule="exact"/>
        <w:rPr>
          <w:rFonts w:ascii="Arial" w:cs="Arial" w:eastAsia="Arial" w:hAnsi="Arial"/>
          <w:sz w:val="8"/>
          <w:szCs w:val="8"/>
          <w:color w:val="auto"/>
        </w:rPr>
      </w:pPr>
    </w:p>
    <w:p>
      <w:pPr>
        <w:ind w:right="140" w:firstLine="9"/>
        <w:spacing w:after="0" w:line="308" w:lineRule="auto"/>
        <w:tabs>
          <w:tab w:leader="none" w:pos="133" w:val="left"/>
        </w:tabs>
        <w:numPr>
          <w:ilvl w:val="0"/>
          <w:numId w:val="133"/>
        </w:numPr>
        <w:rPr>
          <w:rFonts w:ascii="Arial" w:cs="Arial" w:eastAsia="Arial" w:hAnsi="Arial"/>
          <w:sz w:val="7"/>
          <w:szCs w:val="7"/>
          <w:color w:val="auto"/>
        </w:rPr>
      </w:pPr>
      <w:r>
        <w:rPr>
          <w:rFonts w:ascii="Arial" w:cs="Arial" w:eastAsia="Arial" w:hAnsi="Arial"/>
          <w:sz w:val="7"/>
          <w:szCs w:val="7"/>
          <w:color w:val="auto"/>
        </w:rPr>
        <w:t>Jessica Uhl has an annual choice of two accrual formulas with different forms of benefits. One is in the form of a lifetime annuity and the other allows for a lump-sum payment. She elected to accrue benefits up to 2018 under the latter, and the eventual lump-sum benefit is shown. From 2019, she elected to accrue benefits as a lifetime annuity. The value of this accrued benefit at December 31, 2020 was $8,156 per annum plus a lump sum of $227,029. She also has a deferred Dutch defined benefit pension plan, as a result of a prior Shell assignment on local Dutch terms and conditions. The age at which Jessica Uhl can receive any pension benefit without an actuarial reduction under this plan is 60. The value of the deferred pension benefit is €3,427 per annum.</w:t>
      </w:r>
    </w:p>
    <w:p>
      <w:pPr>
        <w:spacing w:after="0" w:line="131" w:lineRule="exact"/>
        <w:rPr>
          <w:sz w:val="20"/>
          <w:szCs w:val="20"/>
          <w:color w:val="auto"/>
        </w:rPr>
      </w:pPr>
    </w:p>
    <w:p>
      <w:pPr>
        <w:ind w:right="140"/>
        <w:spacing w:after="0" w:line="234" w:lineRule="auto"/>
        <w:rPr>
          <w:sz w:val="20"/>
          <w:szCs w:val="20"/>
          <w:color w:val="auto"/>
        </w:rPr>
      </w:pPr>
      <w:r>
        <w:rPr>
          <w:rFonts w:ascii="Arial" w:cs="Arial" w:eastAsia="Arial" w:hAnsi="Arial"/>
          <w:sz w:val="10"/>
          <w:szCs w:val="10"/>
          <w:color w:val="auto"/>
        </w:rPr>
        <w:t>The age at which Ben van Beurden can receive any pension benefit without actuarial reduction is 68 and for Jessica Uhl it is 65. Any pension benefits on early retirement are reduced using actuarial factors to reflect early payment. No payments were made in 2020 regarding early retirement or in lieu of retirement benefits.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Please refer to page 125 for further details (Pension).</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External appointments</w:t>
      </w:r>
    </w:p>
    <w:p>
      <w:pPr>
        <w:spacing w:after="0"/>
        <w:rPr>
          <w:sz w:val="20"/>
          <w:szCs w:val="20"/>
          <w:color w:val="auto"/>
        </w:rPr>
      </w:pPr>
      <w:r>
        <w:rPr>
          <w:rFonts w:ascii="Arial" w:cs="Arial" w:eastAsia="Arial" w:hAnsi="Arial"/>
          <w:sz w:val="10"/>
          <w:szCs w:val="10"/>
          <w:color w:val="auto"/>
        </w:rPr>
        <w:t>The Executive Directors held no external appointments in 2020.</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Statement of voting at 2020 AGM</w:t>
      </w:r>
    </w:p>
    <w:p>
      <w:pPr>
        <w:spacing w:after="0" w:line="1" w:lineRule="exact"/>
        <w:rPr>
          <w:sz w:val="20"/>
          <w:szCs w:val="20"/>
          <w:color w:val="auto"/>
        </w:rPr>
      </w:pPr>
    </w:p>
    <w:p>
      <w:pPr>
        <w:spacing w:after="0"/>
        <w:rPr>
          <w:sz w:val="20"/>
          <w:szCs w:val="20"/>
          <w:color w:val="auto"/>
        </w:rPr>
      </w:pPr>
      <w:r>
        <w:rPr>
          <w:rFonts w:ascii="Arial" w:cs="Arial" w:eastAsia="Arial" w:hAnsi="Arial"/>
          <w:sz w:val="8"/>
          <w:szCs w:val="8"/>
          <w:color w:val="auto"/>
        </w:rPr>
        <w:t>Shell’s 2020 AGM was held on May 19, 2020, in the Netherlands. The result of the poll in respect of Directors’ remuneration was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0"/>
          <w:szCs w:val="10"/>
          <w:color w:val="auto"/>
        </w:rPr>
        <w:t>Approval of Directors’ Remuneration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Votes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Number</w:t>
            </w:r>
          </w:p>
        </w:tc>
        <w:tc>
          <w:tcPr>
            <w:tcW w:w="8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Percentage</w:t>
            </w:r>
          </w:p>
        </w:tc>
      </w:tr>
      <w:tr>
        <w:trPr>
          <w:trHeight w:val="115"/>
        </w:trPr>
        <w:tc>
          <w:tcPr>
            <w:tcW w:w="1780" w:type="dxa"/>
            <w:vAlign w:val="bottom"/>
            <w:tcBorders>
              <w:bottom w:val="single" w:sz="8" w:color="494949"/>
            </w:tcBorders>
          </w:tcPr>
          <w:p>
            <w:pPr>
              <w:ind w:left="20"/>
              <w:spacing w:after="0"/>
              <w:rPr>
                <w:sz w:val="20"/>
                <w:szCs w:val="20"/>
                <w:color w:val="auto"/>
              </w:rPr>
            </w:pPr>
            <w:r>
              <w:rPr>
                <w:rFonts w:ascii="Arial" w:cs="Arial" w:eastAsia="Arial" w:hAnsi="Arial"/>
                <w:sz w:val="8"/>
                <w:szCs w:val="8"/>
                <w:color w:val="auto"/>
              </w:rPr>
              <w:t>For</w:t>
            </w:r>
          </w:p>
        </w:tc>
        <w:tc>
          <w:tcPr>
            <w:tcW w:w="18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3,806,079,000</w:t>
            </w:r>
          </w:p>
        </w:tc>
        <w:tc>
          <w:tcPr>
            <w:tcW w:w="800" w:type="dxa"/>
            <w:vAlign w:val="bottom"/>
            <w:tcBorders>
              <w:bottom w:val="single" w:sz="8" w:color="494949"/>
            </w:tcBorders>
          </w:tcPr>
          <w:p>
            <w:pPr>
              <w:spacing w:after="0"/>
              <w:rPr>
                <w:sz w:val="10"/>
                <w:szCs w:val="10"/>
                <w:color w:val="auto"/>
              </w:rPr>
            </w:pPr>
          </w:p>
        </w:tc>
        <w:tc>
          <w:tcPr>
            <w:tcW w:w="10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95.44%</w:t>
            </w:r>
          </w:p>
        </w:tc>
      </w:tr>
      <w:tr>
        <w:trPr>
          <w:trHeight w:val="115"/>
        </w:trPr>
        <w:tc>
          <w:tcPr>
            <w:tcW w:w="1780" w:type="dxa"/>
            <w:vAlign w:val="bottom"/>
            <w:tcBorders>
              <w:bottom w:val="single" w:sz="8" w:color="494949"/>
            </w:tcBorders>
          </w:tcPr>
          <w:p>
            <w:pPr>
              <w:ind w:left="20"/>
              <w:spacing w:after="0"/>
              <w:rPr>
                <w:sz w:val="20"/>
                <w:szCs w:val="20"/>
                <w:color w:val="auto"/>
              </w:rPr>
            </w:pPr>
            <w:r>
              <w:rPr>
                <w:rFonts w:ascii="Arial" w:cs="Arial" w:eastAsia="Arial" w:hAnsi="Arial"/>
                <w:sz w:val="8"/>
                <w:szCs w:val="8"/>
                <w:color w:val="auto"/>
              </w:rPr>
              <w:t>Against</w:t>
            </w:r>
          </w:p>
        </w:tc>
        <w:tc>
          <w:tcPr>
            <w:tcW w:w="18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181,791,609</w:t>
            </w:r>
          </w:p>
        </w:tc>
        <w:tc>
          <w:tcPr>
            <w:tcW w:w="800" w:type="dxa"/>
            <w:vAlign w:val="bottom"/>
            <w:tcBorders>
              <w:bottom w:val="single" w:sz="8" w:color="494949"/>
            </w:tcBorders>
          </w:tcPr>
          <w:p>
            <w:pPr>
              <w:spacing w:after="0"/>
              <w:rPr>
                <w:sz w:val="10"/>
                <w:szCs w:val="10"/>
                <w:color w:val="auto"/>
              </w:rPr>
            </w:pPr>
          </w:p>
        </w:tc>
        <w:tc>
          <w:tcPr>
            <w:tcW w:w="10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4.56%</w:t>
            </w:r>
          </w:p>
        </w:tc>
      </w:tr>
      <w:tr>
        <w:trPr>
          <w:trHeight w:val="115"/>
        </w:trPr>
        <w:tc>
          <w:tcPr>
            <w:tcW w:w="1780" w:type="dxa"/>
            <w:vAlign w:val="bottom"/>
            <w:tcBorders>
              <w:bottom w:val="single" w:sz="8" w:color="494949"/>
            </w:tcBorders>
          </w:tcPr>
          <w:p>
            <w:pPr>
              <w:ind w:left="20"/>
              <w:spacing w:after="0"/>
              <w:rPr>
                <w:sz w:val="20"/>
                <w:szCs w:val="20"/>
                <w:color w:val="auto"/>
              </w:rPr>
            </w:pPr>
            <w:r>
              <w:rPr>
                <w:rFonts w:ascii="Arial" w:cs="Arial" w:eastAsia="Arial" w:hAnsi="Arial"/>
                <w:sz w:val="8"/>
                <w:szCs w:val="8"/>
                <w:color w:val="auto"/>
              </w:rPr>
              <w:t>Total cast</w:t>
            </w:r>
          </w:p>
        </w:tc>
        <w:tc>
          <w:tcPr>
            <w:tcW w:w="182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3,987,870,609</w:t>
            </w:r>
          </w:p>
        </w:tc>
        <w:tc>
          <w:tcPr>
            <w:tcW w:w="800" w:type="dxa"/>
            <w:vAlign w:val="bottom"/>
            <w:tcBorders>
              <w:bottom w:val="single" w:sz="8" w:color="494949"/>
            </w:tcBorders>
          </w:tcPr>
          <w:p>
            <w:pPr>
              <w:ind w:left="20"/>
              <w:spacing w:after="0"/>
              <w:rPr>
                <w:sz w:val="20"/>
                <w:szCs w:val="20"/>
                <w:color w:val="auto"/>
              </w:rPr>
            </w:pPr>
            <w:r>
              <w:rPr>
                <w:rFonts w:ascii="Arial" w:cs="Arial" w:eastAsia="Arial" w:hAnsi="Arial"/>
                <w:sz w:val="8"/>
                <w:szCs w:val="8"/>
                <w:color w:val="auto"/>
              </w:rPr>
              <w:t>[A]</w:t>
            </w:r>
          </w:p>
        </w:tc>
        <w:tc>
          <w:tcPr>
            <w:tcW w:w="104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100.00%</w:t>
            </w:r>
          </w:p>
        </w:tc>
      </w:tr>
      <w:tr>
        <w:trPr>
          <w:trHeight w:val="115"/>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Withheld [B]</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25,782,042</w:t>
            </w:r>
          </w:p>
        </w:tc>
        <w:tc>
          <w:tcPr>
            <w:tcW w:w="8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pacing w:after="0" w:line="153" w:lineRule="exact"/>
        <w:rPr>
          <w:sz w:val="20"/>
          <w:szCs w:val="20"/>
          <w:color w:val="auto"/>
        </w:rPr>
      </w:pPr>
    </w:p>
    <w:p>
      <w:pPr>
        <w:ind w:left="140" w:hanging="131"/>
        <w:spacing w:after="0"/>
        <w:tabs>
          <w:tab w:leader="none" w:pos="140" w:val="left"/>
        </w:tabs>
        <w:numPr>
          <w:ilvl w:val="0"/>
          <w:numId w:val="134"/>
        </w:numPr>
        <w:rPr>
          <w:rFonts w:ascii="Arial" w:cs="Arial" w:eastAsia="Arial" w:hAnsi="Arial"/>
          <w:sz w:val="8"/>
          <w:szCs w:val="8"/>
          <w:color w:val="auto"/>
        </w:rPr>
      </w:pPr>
      <w:r>
        <w:rPr>
          <w:rFonts w:ascii="Arial" w:cs="Arial" w:eastAsia="Arial" w:hAnsi="Arial"/>
          <w:sz w:val="8"/>
          <w:szCs w:val="8"/>
          <w:color w:val="auto"/>
        </w:rPr>
        <w:t>Representing 51.08% of issued share capital.</w:t>
      </w:r>
    </w:p>
    <w:p>
      <w:pPr>
        <w:spacing w:after="0" w:line="12" w:lineRule="exact"/>
        <w:rPr>
          <w:rFonts w:ascii="Arial" w:cs="Arial" w:eastAsia="Arial" w:hAnsi="Arial"/>
          <w:sz w:val="8"/>
          <w:szCs w:val="8"/>
          <w:color w:val="auto"/>
        </w:rPr>
      </w:pPr>
    </w:p>
    <w:p>
      <w:pPr>
        <w:ind w:left="140" w:hanging="131"/>
        <w:spacing w:after="0"/>
        <w:tabs>
          <w:tab w:leader="none" w:pos="140" w:val="left"/>
        </w:tabs>
        <w:numPr>
          <w:ilvl w:val="0"/>
          <w:numId w:val="134"/>
        </w:numPr>
        <w:rPr>
          <w:rFonts w:ascii="Arial" w:cs="Arial" w:eastAsia="Arial" w:hAnsi="Arial"/>
          <w:sz w:val="8"/>
          <w:szCs w:val="8"/>
          <w:color w:val="auto"/>
        </w:rPr>
      </w:pPr>
      <w:r>
        <w:rPr>
          <w:rFonts w:ascii="Arial" w:cs="Arial" w:eastAsia="Arial" w:hAnsi="Arial"/>
          <w:sz w:val="8"/>
          <w:szCs w:val="8"/>
          <w:color w:val="auto"/>
        </w:rPr>
        <w:t>A vote “withheld” is not a vote under English law and is not counted in the calculation of the proportion of the votes “for” and “against” a resolution.</w:t>
      </w:r>
    </w:p>
    <w:p>
      <w:pPr>
        <w:spacing w:after="0" w:line="160" w:lineRule="exact"/>
        <w:rPr>
          <w:sz w:val="20"/>
          <w:szCs w:val="20"/>
          <w:color w:val="auto"/>
        </w:rPr>
      </w:pPr>
    </w:p>
    <w:p>
      <w:pPr>
        <w:sectPr>
          <w:pgSz w:w="11900" w:h="16838" w:orient="portrait"/>
          <w:cols w:equalWidth="0" w:num="2">
            <w:col w:w="5448" w:space="280"/>
            <w:col w:w="5580"/>
          </w:cols>
          <w:pgMar w:left="292" w:top="640" w:right="299" w:bottom="1440" w:gutter="0" w:footer="0" w:header="0"/>
          <w:type w:val="continuous"/>
        </w:sectPr>
      </w:pPr>
    </w:p>
    <w:p>
      <w:pPr>
        <w:ind w:left="5728"/>
        <w:spacing w:after="0"/>
        <w:rPr>
          <w:sz w:val="20"/>
          <w:szCs w:val="20"/>
          <w:color w:val="auto"/>
        </w:rPr>
      </w:pPr>
      <w:r>
        <w:rPr>
          <w:rFonts w:ascii="Arial" w:cs="Arial" w:eastAsia="Arial" w:hAnsi="Arial"/>
          <w:sz w:val="10"/>
          <w:szCs w:val="10"/>
          <w:color w:val="auto"/>
        </w:rPr>
        <w:t>The result of the poll in respect of the Directors’ Remuneration Policy was as follows:</w:t>
      </w:r>
    </w:p>
    <w:p>
      <w:pPr>
        <w:spacing w:after="0" w:line="155" w:lineRule="exact"/>
        <w:rPr>
          <w:sz w:val="20"/>
          <w:szCs w:val="20"/>
          <w:color w:val="auto"/>
        </w:rPr>
      </w:pPr>
    </w:p>
    <w:p>
      <w:pPr>
        <w:ind w:left="5728"/>
        <w:spacing w:after="0"/>
        <w:rPr>
          <w:sz w:val="20"/>
          <w:szCs w:val="20"/>
          <w:color w:val="auto"/>
        </w:rPr>
      </w:pPr>
      <w:r>
        <w:rPr>
          <w:rFonts w:ascii="Arial" w:cs="Arial" w:eastAsia="Arial" w:hAnsi="Arial"/>
          <w:sz w:val="10"/>
          <w:szCs w:val="10"/>
          <w:color w:val="auto"/>
        </w:rPr>
        <w:t>Approval of Directors’ Remuneration Policy</w:t>
      </w:r>
    </w:p>
    <w:p>
      <w:pPr>
        <w:spacing w:after="0" w:line="195" w:lineRule="exact"/>
        <w:rPr>
          <w:sz w:val="20"/>
          <w:szCs w:val="20"/>
          <w:color w:val="auto"/>
        </w:rPr>
      </w:pPr>
    </w:p>
    <w:tbl>
      <w:tblPr>
        <w:tblLayout w:type="fixed"/>
        <w:tblInd w:w="5728" w:type="dxa"/>
        <w:tblCellMar>
          <w:top w:w="0" w:type="dxa"/>
          <w:left w:w="0" w:type="dxa"/>
          <w:bottom w:w="0" w:type="dxa"/>
          <w:right w:w="0" w:type="dxa"/>
        </w:tblCellMar>
      </w:tblPr>
      <w:tr>
        <w:trPr>
          <w:trHeight w:val="111"/>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Votes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Number</w:t>
            </w:r>
          </w:p>
        </w:tc>
        <w:tc>
          <w:tcPr>
            <w:tcW w:w="8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Percentage</w:t>
            </w:r>
          </w:p>
        </w:tc>
      </w:tr>
      <w:tr>
        <w:trPr>
          <w:trHeight w:val="115"/>
        </w:trPr>
        <w:tc>
          <w:tcPr>
            <w:tcW w:w="1740" w:type="dxa"/>
            <w:vAlign w:val="bottom"/>
            <w:tcBorders>
              <w:bottom w:val="single" w:sz="8" w:color="494949"/>
            </w:tcBorders>
          </w:tcPr>
          <w:p>
            <w:pPr>
              <w:ind w:left="20"/>
              <w:spacing w:after="0"/>
              <w:rPr>
                <w:sz w:val="20"/>
                <w:szCs w:val="20"/>
                <w:color w:val="auto"/>
              </w:rPr>
            </w:pPr>
            <w:r>
              <w:rPr>
                <w:rFonts w:ascii="Arial" w:cs="Arial" w:eastAsia="Arial" w:hAnsi="Arial"/>
                <w:sz w:val="8"/>
                <w:szCs w:val="8"/>
                <w:color w:val="auto"/>
              </w:rPr>
              <w:t>For</w:t>
            </w:r>
          </w:p>
        </w:tc>
        <w:tc>
          <w:tcPr>
            <w:tcW w:w="17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3,705,707,055</w:t>
            </w:r>
          </w:p>
        </w:tc>
        <w:tc>
          <w:tcPr>
            <w:tcW w:w="840" w:type="dxa"/>
            <w:vAlign w:val="bottom"/>
            <w:tcBorders>
              <w:bottom w:val="single" w:sz="8" w:color="494949"/>
            </w:tcBorders>
          </w:tcPr>
          <w:p>
            <w:pPr>
              <w:spacing w:after="0"/>
              <w:rPr>
                <w:sz w:val="10"/>
                <w:szCs w:val="10"/>
                <w:color w:val="auto"/>
              </w:rPr>
            </w:pPr>
          </w:p>
        </w:tc>
        <w:tc>
          <w:tcPr>
            <w:tcW w:w="1080" w:type="dxa"/>
            <w:vAlign w:val="bottom"/>
            <w:tcBorders>
              <w:bottom w:val="single" w:sz="8" w:color="494949"/>
            </w:tcBorders>
          </w:tcPr>
          <w:p>
            <w:pPr>
              <w:jc w:val="right"/>
              <w:spacing w:after="0"/>
              <w:rPr>
                <w:sz w:val="20"/>
                <w:szCs w:val="20"/>
                <w:color w:val="auto"/>
              </w:rPr>
            </w:pPr>
            <w:r>
              <w:rPr>
                <w:rFonts w:ascii="Arial" w:cs="Arial" w:eastAsia="Arial" w:hAnsi="Arial"/>
                <w:sz w:val="8"/>
                <w:szCs w:val="8"/>
                <w:color w:val="auto"/>
              </w:rPr>
              <w:t>92.91%</w:t>
            </w:r>
          </w:p>
        </w:tc>
      </w:tr>
      <w:tr>
        <w:trPr>
          <w:trHeight w:val="115"/>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Against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282,966,810</w:t>
            </w:r>
          </w:p>
        </w:tc>
        <w:tc>
          <w:tcPr>
            <w:tcW w:w="8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7.09%</w:t>
            </w:r>
          </w:p>
        </w:tc>
      </w:tr>
      <w:tr>
        <w:trPr>
          <w:trHeight w:val="115"/>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Total cast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3,988,673,865</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[A]</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100.00%</w:t>
            </w:r>
          </w:p>
        </w:tc>
      </w:tr>
      <w:tr>
        <w:trPr>
          <w:trHeight w:val="115"/>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Withheld [B]</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24,979,832</w:t>
            </w:r>
          </w:p>
        </w:tc>
        <w:tc>
          <w:tcPr>
            <w:tcW w:w="8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pacing w:after="0" w:line="153" w:lineRule="exact"/>
        <w:rPr>
          <w:sz w:val="20"/>
          <w:szCs w:val="20"/>
          <w:color w:val="auto"/>
        </w:rPr>
      </w:pPr>
    </w:p>
    <w:p>
      <w:pPr>
        <w:ind w:left="5728"/>
        <w:spacing w:after="0"/>
        <w:rPr>
          <w:sz w:val="20"/>
          <w:szCs w:val="20"/>
          <w:color w:val="auto"/>
        </w:rPr>
      </w:pPr>
      <w:r>
        <w:rPr>
          <w:rFonts w:ascii="Arial" w:cs="Arial" w:eastAsia="Arial" w:hAnsi="Arial"/>
          <w:sz w:val="8"/>
          <w:szCs w:val="8"/>
          <w:color w:val="auto"/>
        </w:rPr>
        <w:t>[A] Representing 51.09% of issued share capital.</w:t>
      </w:r>
    </w:p>
    <w:p>
      <w:pPr>
        <w:spacing w:after="0" w:line="13" w:lineRule="exact"/>
        <w:rPr>
          <w:sz w:val="20"/>
          <w:szCs w:val="20"/>
          <w:color w:val="auto"/>
        </w:rPr>
      </w:pPr>
    </w:p>
    <w:p>
      <w:pPr>
        <w:ind w:left="5728"/>
        <w:spacing w:after="0"/>
        <w:rPr>
          <w:sz w:val="20"/>
          <w:szCs w:val="20"/>
          <w:color w:val="auto"/>
        </w:rPr>
      </w:pPr>
      <w:r>
        <w:rPr>
          <w:rFonts w:ascii="Arial" w:cs="Arial" w:eastAsia="Arial" w:hAnsi="Arial"/>
          <w:sz w:val="8"/>
          <w:szCs w:val="8"/>
          <w:color w:val="auto"/>
        </w:rPr>
        <w:t>[B] A vote “withheld” is not a vote under English law and is not counted in the calculation of the proportion of the votes “for” and “against” a resolution.</w:t>
      </w:r>
    </w:p>
    <w:p>
      <w:pPr>
        <w:spacing w:after="0" w:line="354"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132</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135" w:name="page136"/>
    <w:bookmarkEnd w:id="135"/>
    <w:p>
      <w:pPr>
        <w:spacing w:after="0" w:line="162" w:lineRule="exact"/>
        <w:rPr>
          <w:sz w:val="20"/>
          <w:szCs w:val="20"/>
          <w:color w:val="auto"/>
        </w:rPr>
      </w:pPr>
    </w:p>
    <w:p>
      <w:pPr>
        <w:ind w:left="8"/>
        <w:spacing w:after="0"/>
        <w:rPr>
          <w:sz w:val="20"/>
          <w:szCs w:val="20"/>
          <w:color w:val="auto"/>
        </w:rPr>
      </w:pPr>
      <w:r>
        <w:rPr>
          <w:rFonts w:ascii="Arial" w:cs="Arial" w:eastAsia="Arial" w:hAnsi="Arial"/>
          <w:sz w:val="10"/>
          <w:szCs w:val="10"/>
          <w:color w:val="auto"/>
        </w:rPr>
        <w:t>Directors’ employment arrangements and letters of appointment</w:t>
      </w:r>
    </w:p>
    <w:p>
      <w:pPr>
        <w:spacing w:after="0" w:line="1" w:lineRule="exact"/>
        <w:rPr>
          <w:sz w:val="20"/>
          <w:szCs w:val="20"/>
          <w:color w:val="auto"/>
        </w:rPr>
      </w:pPr>
    </w:p>
    <w:p>
      <w:pPr>
        <w:ind w:left="8" w:right="40"/>
        <w:spacing w:after="0" w:line="337" w:lineRule="auto"/>
        <w:rPr>
          <w:sz w:val="20"/>
          <w:szCs w:val="20"/>
          <w:color w:val="auto"/>
        </w:rPr>
      </w:pPr>
      <w:r>
        <w:rPr>
          <w:rFonts w:ascii="Arial" w:cs="Arial" w:eastAsia="Arial" w:hAnsi="Arial"/>
          <w:sz w:val="8"/>
          <w:szCs w:val="8"/>
          <w:color w:val="auto"/>
        </w:rPr>
        <w:t>Executive Directors are employed for an indefinite period. Non-executive Directors, including the Chair, have letters of appointment. Details of Executive Directors’ employment arrangements can be found in the Directors’ Remuneration Policy on page 145.</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8"/>
          <w:szCs w:val="8"/>
          <w:color w:val="auto"/>
        </w:rPr>
        <w:t>Further details of Non-executive Directors’ terms of appointment can be found in "Governance” on pages 97-98 and page 151.</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0"/>
          <w:szCs w:val="10"/>
          <w:color w:val="auto"/>
        </w:rPr>
        <w:t>Compensation of Directors and Senior Management</w:t>
      </w:r>
    </w:p>
    <w:p>
      <w:pPr>
        <w:spacing w:after="0" w:line="1" w:lineRule="exact"/>
        <w:rPr>
          <w:sz w:val="20"/>
          <w:szCs w:val="20"/>
          <w:color w:val="auto"/>
        </w:rPr>
      </w:pPr>
    </w:p>
    <w:p>
      <w:pPr>
        <w:ind w:left="8"/>
        <w:spacing w:after="0" w:line="227" w:lineRule="auto"/>
        <w:rPr>
          <w:sz w:val="20"/>
          <w:szCs w:val="20"/>
          <w:color w:val="auto"/>
        </w:rPr>
      </w:pPr>
      <w:r>
        <w:rPr>
          <w:rFonts w:ascii="Arial" w:cs="Arial" w:eastAsia="Arial" w:hAnsi="Arial"/>
          <w:sz w:val="10"/>
          <w:szCs w:val="10"/>
          <w:color w:val="auto"/>
        </w:rPr>
        <w:t>During the year ended December 31, 2020, Shell paid and/or accrued compensation totalling $36 million (2019: $38 million) to Directors and Senior Management for services in all capacities while serving as a Director or member of Senior Management, including $3 million (2019: $3 million) accrued to provide pension, retirement and similar benefits. The amounts stated are those recognised in Shell’s income on an IFRS basis. See Note 27 to the “Consolidated Financial Statements”. Personal loans or guarantees were not provided to Directors or Senior Management.</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color w:val="auto"/>
        </w:rPr>
        <w:t>CEO pay ratio</w:t>
      </w:r>
    </w:p>
    <w:p>
      <w:pPr>
        <w:spacing w:after="0" w:line="195" w:lineRule="exact"/>
        <w:rPr>
          <w:sz w:val="20"/>
          <w:szCs w:val="20"/>
          <w:color w:val="auto"/>
        </w:rPr>
      </w:pPr>
    </w:p>
    <w:tbl>
      <w:tblPr>
        <w:tblLayout w:type="fixed"/>
        <w:tblInd w:w="8" w:type="dxa"/>
        <w:tblCellMar>
          <w:top w:w="0" w:type="dxa"/>
          <w:left w:w="0" w:type="dxa"/>
          <w:bottom w:w="0" w:type="dxa"/>
          <w:right w:w="0" w:type="dxa"/>
        </w:tblCellMar>
      </w:tblPr>
      <w:tr>
        <w:trPr>
          <w:trHeight w:val="111"/>
        </w:trPr>
        <w:tc>
          <w:tcPr>
            <w:tcW w:w="1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rPr>
              <w:t>Option</w:t>
            </w:r>
          </w:p>
        </w:tc>
        <w:tc>
          <w:tcPr>
            <w:tcW w:w="1280" w:type="dxa"/>
            <w:vAlign w:val="bottom"/>
            <w:tcBorders>
              <w:bottom w:val="single" w:sz="8" w:color="auto"/>
            </w:tcBorders>
          </w:tcPr>
          <w:p>
            <w:pPr>
              <w:jc w:val="right"/>
              <w:ind w:right="238"/>
              <w:spacing w:after="0"/>
              <w:rPr>
                <w:sz w:val="20"/>
                <w:szCs w:val="20"/>
                <w:color w:val="auto"/>
              </w:rPr>
            </w:pPr>
            <w:r>
              <w:rPr>
                <w:rFonts w:ascii="Arial" w:cs="Arial" w:eastAsia="Arial" w:hAnsi="Arial"/>
                <w:sz w:val="8"/>
                <w:szCs w:val="8"/>
                <w:color w:val="auto"/>
              </w:rPr>
              <w:t>25th percentile pay ratio</w:t>
            </w:r>
          </w:p>
        </w:tc>
        <w:tc>
          <w:tcPr>
            <w:tcW w:w="106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8"/>
                <w:szCs w:val="8"/>
                <w:color w:val="auto"/>
              </w:rPr>
              <w:t>Median pay ratio</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75th percentile pay ratio</w:t>
            </w:r>
          </w:p>
        </w:tc>
      </w:tr>
      <w:tr>
        <w:trPr>
          <w:trHeight w:val="115"/>
        </w:trPr>
        <w:tc>
          <w:tcPr>
            <w:tcW w:w="1180" w:type="dxa"/>
            <w:vAlign w:val="bottom"/>
            <w:tcBorders>
              <w:bottom w:val="single" w:sz="8" w:color="595959"/>
            </w:tcBorders>
          </w:tcPr>
          <w:p>
            <w:pPr>
              <w:spacing w:after="0"/>
              <w:rPr>
                <w:sz w:val="20"/>
                <w:szCs w:val="20"/>
                <w:color w:val="auto"/>
              </w:rPr>
            </w:pPr>
            <w:r>
              <w:rPr>
                <w:rFonts w:ascii="Arial" w:cs="Arial" w:eastAsia="Arial" w:hAnsi="Arial"/>
                <w:sz w:val="8"/>
                <w:szCs w:val="8"/>
                <w:color w:val="auto"/>
              </w:rPr>
              <w:t>2020</w:t>
            </w:r>
          </w:p>
        </w:tc>
        <w:tc>
          <w:tcPr>
            <w:tcW w:w="800" w:type="dxa"/>
            <w:vAlign w:val="bottom"/>
            <w:tcBorders>
              <w:bottom w:val="single" w:sz="8" w:color="595959"/>
            </w:tcBorders>
          </w:tcPr>
          <w:p>
            <w:pPr>
              <w:jc w:val="right"/>
              <w:ind w:right="138"/>
              <w:spacing w:after="0"/>
              <w:rPr>
                <w:sz w:val="20"/>
                <w:szCs w:val="20"/>
                <w:color w:val="auto"/>
              </w:rPr>
            </w:pPr>
            <w:r>
              <w:rPr>
                <w:rFonts w:ascii="Arial" w:cs="Arial" w:eastAsia="Arial" w:hAnsi="Arial"/>
                <w:sz w:val="8"/>
                <w:szCs w:val="8"/>
                <w:color w:val="auto"/>
              </w:rPr>
              <w:t>A</w:t>
            </w:r>
          </w:p>
        </w:tc>
        <w:tc>
          <w:tcPr>
            <w:tcW w:w="1280" w:type="dxa"/>
            <w:vAlign w:val="bottom"/>
            <w:tcBorders>
              <w:bottom w:val="single" w:sz="8" w:color="595959"/>
            </w:tcBorders>
          </w:tcPr>
          <w:p>
            <w:pPr>
              <w:jc w:val="right"/>
              <w:ind w:right="238"/>
              <w:spacing w:after="0"/>
              <w:rPr>
                <w:sz w:val="20"/>
                <w:szCs w:val="20"/>
                <w:color w:val="auto"/>
              </w:rPr>
            </w:pPr>
            <w:r>
              <w:rPr>
                <w:rFonts w:ascii="Arial" w:cs="Arial" w:eastAsia="Arial" w:hAnsi="Arial"/>
                <w:sz w:val="8"/>
                <w:szCs w:val="8"/>
                <w:color w:val="auto"/>
              </w:rPr>
              <w:t>93:1</w:t>
            </w:r>
          </w:p>
        </w:tc>
        <w:tc>
          <w:tcPr>
            <w:tcW w:w="600" w:type="dxa"/>
            <w:vAlign w:val="bottom"/>
            <w:tcBorders>
              <w:bottom w:val="single" w:sz="8" w:color="595959"/>
            </w:tcBorders>
          </w:tcPr>
          <w:p>
            <w:pPr>
              <w:spacing w:after="0"/>
              <w:rPr>
                <w:sz w:val="10"/>
                <w:szCs w:val="10"/>
                <w:color w:val="auto"/>
              </w:rPr>
            </w:pPr>
          </w:p>
        </w:tc>
        <w:tc>
          <w:tcPr>
            <w:tcW w:w="460" w:type="dxa"/>
            <w:vAlign w:val="bottom"/>
            <w:tcBorders>
              <w:bottom w:val="single" w:sz="8" w:color="595959"/>
            </w:tcBorders>
          </w:tcPr>
          <w:p>
            <w:pPr>
              <w:jc w:val="right"/>
              <w:ind w:right="138"/>
              <w:spacing w:after="0"/>
              <w:rPr>
                <w:sz w:val="20"/>
                <w:szCs w:val="20"/>
                <w:color w:val="auto"/>
              </w:rPr>
            </w:pPr>
            <w:r>
              <w:rPr>
                <w:rFonts w:ascii="Arial" w:cs="Arial" w:eastAsia="Arial" w:hAnsi="Arial"/>
                <w:sz w:val="8"/>
                <w:szCs w:val="8"/>
                <w:color w:val="auto"/>
              </w:rPr>
              <w:t>57:1</w:t>
            </w:r>
          </w:p>
        </w:tc>
        <w:tc>
          <w:tcPr>
            <w:tcW w:w="100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38:1</w:t>
            </w:r>
          </w:p>
        </w:tc>
      </w:tr>
      <w:tr>
        <w:trPr>
          <w:trHeight w:val="94"/>
        </w:trPr>
        <w:tc>
          <w:tcPr>
            <w:tcW w:w="1180" w:type="dxa"/>
            <w:vAlign w:val="bottom"/>
          </w:tcPr>
          <w:p>
            <w:pPr>
              <w:spacing w:after="0"/>
              <w:rPr>
                <w:sz w:val="20"/>
                <w:szCs w:val="20"/>
                <w:color w:val="auto"/>
              </w:rPr>
            </w:pPr>
            <w:r>
              <w:rPr>
                <w:rFonts w:ascii="Arial" w:cs="Arial" w:eastAsia="Arial" w:hAnsi="Arial"/>
                <w:sz w:val="8"/>
                <w:szCs w:val="8"/>
                <w:color w:val="auto"/>
              </w:rPr>
              <w:t>Total pay and benefits:</w:t>
            </w:r>
          </w:p>
        </w:tc>
        <w:tc>
          <w:tcPr>
            <w:tcW w:w="8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11"/>
        </w:trPr>
        <w:tc>
          <w:tcPr>
            <w:tcW w:w="1180" w:type="dxa"/>
            <w:vAlign w:val="bottom"/>
            <w:tcBorders>
              <w:bottom w:val="single" w:sz="8" w:color="595959"/>
            </w:tcBorders>
          </w:tcPr>
          <w:p>
            <w:pPr>
              <w:spacing w:after="0"/>
              <w:rPr>
                <w:sz w:val="20"/>
                <w:szCs w:val="20"/>
                <w:color w:val="auto"/>
              </w:rPr>
            </w:pPr>
            <w:r>
              <w:rPr>
                <w:rFonts w:ascii="Arial" w:cs="Arial" w:eastAsia="Arial" w:hAnsi="Arial"/>
                <w:sz w:val="8"/>
                <w:szCs w:val="8"/>
                <w:color w:val="auto"/>
              </w:rPr>
              <w:t>Salary:</w:t>
            </w:r>
          </w:p>
        </w:tc>
        <w:tc>
          <w:tcPr>
            <w:tcW w:w="800" w:type="dxa"/>
            <w:vAlign w:val="bottom"/>
            <w:tcBorders>
              <w:bottom w:val="single" w:sz="8" w:color="595959"/>
            </w:tcBorders>
          </w:tcPr>
          <w:p>
            <w:pPr>
              <w:spacing w:after="0"/>
              <w:rPr>
                <w:sz w:val="9"/>
                <w:szCs w:val="9"/>
                <w:color w:val="auto"/>
              </w:rPr>
            </w:pPr>
          </w:p>
        </w:tc>
        <w:tc>
          <w:tcPr>
            <w:tcW w:w="1280" w:type="dxa"/>
            <w:vAlign w:val="bottom"/>
            <w:tcBorders>
              <w:bottom w:val="single" w:sz="8" w:color="595959"/>
            </w:tcBorders>
          </w:tcPr>
          <w:p>
            <w:pPr>
              <w:jc w:val="right"/>
              <w:ind w:right="238"/>
              <w:spacing w:after="0"/>
              <w:rPr>
                <w:sz w:val="20"/>
                <w:szCs w:val="20"/>
                <w:color w:val="auto"/>
              </w:rPr>
            </w:pPr>
            <w:r>
              <w:rPr>
                <w:rFonts w:ascii="Arial" w:cs="Arial" w:eastAsia="Arial" w:hAnsi="Arial"/>
                <w:sz w:val="8"/>
                <w:szCs w:val="8"/>
                <w:color w:val="auto"/>
              </w:rPr>
              <w:t>£55,584 £49,117</w:t>
            </w:r>
          </w:p>
        </w:tc>
        <w:tc>
          <w:tcPr>
            <w:tcW w:w="60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£90,972</w:t>
            </w:r>
          </w:p>
        </w:tc>
        <w:tc>
          <w:tcPr>
            <w:tcW w:w="460" w:type="dxa"/>
            <w:vAlign w:val="bottom"/>
            <w:tcBorders>
              <w:bottom w:val="single" w:sz="8" w:color="595959"/>
            </w:tcBorders>
          </w:tcPr>
          <w:p>
            <w:pPr>
              <w:jc w:val="right"/>
              <w:ind w:right="138"/>
              <w:spacing w:after="0"/>
              <w:rPr>
                <w:sz w:val="20"/>
                <w:szCs w:val="20"/>
                <w:color w:val="auto"/>
              </w:rPr>
            </w:pPr>
            <w:r>
              <w:rPr>
                <w:rFonts w:ascii="Arial" w:cs="Arial" w:eastAsia="Arial" w:hAnsi="Arial"/>
                <w:sz w:val="8"/>
                <w:szCs w:val="8"/>
                <w:color w:val="auto"/>
                <w:w w:val="89"/>
              </w:rPr>
              <w:t>£75,365</w:t>
            </w:r>
          </w:p>
        </w:tc>
        <w:tc>
          <w:tcPr>
            <w:tcW w:w="100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£136,007 £118,291</w:t>
            </w:r>
          </w:p>
        </w:tc>
      </w:tr>
      <w:tr>
        <w:trPr>
          <w:trHeight w:val="115"/>
        </w:trPr>
        <w:tc>
          <w:tcPr>
            <w:tcW w:w="1180" w:type="dxa"/>
            <w:vAlign w:val="bottom"/>
            <w:tcBorders>
              <w:bottom w:val="single" w:sz="8" w:color="595959"/>
            </w:tcBorders>
          </w:tcPr>
          <w:p>
            <w:pPr>
              <w:spacing w:after="0"/>
              <w:rPr>
                <w:sz w:val="20"/>
                <w:szCs w:val="20"/>
                <w:color w:val="auto"/>
              </w:rPr>
            </w:pPr>
            <w:r>
              <w:rPr>
                <w:rFonts w:ascii="Arial" w:cs="Arial" w:eastAsia="Arial" w:hAnsi="Arial"/>
                <w:sz w:val="8"/>
                <w:szCs w:val="8"/>
                <w:color w:val="auto"/>
              </w:rPr>
              <w:t>2019</w:t>
            </w:r>
          </w:p>
        </w:tc>
        <w:tc>
          <w:tcPr>
            <w:tcW w:w="800" w:type="dxa"/>
            <w:vAlign w:val="bottom"/>
            <w:tcBorders>
              <w:bottom w:val="single" w:sz="8" w:color="595959"/>
            </w:tcBorders>
          </w:tcPr>
          <w:p>
            <w:pPr>
              <w:jc w:val="right"/>
              <w:ind w:right="138"/>
              <w:spacing w:after="0"/>
              <w:rPr>
                <w:sz w:val="20"/>
                <w:szCs w:val="20"/>
                <w:color w:val="auto"/>
              </w:rPr>
            </w:pPr>
            <w:r>
              <w:rPr>
                <w:rFonts w:ascii="Arial" w:cs="Arial" w:eastAsia="Arial" w:hAnsi="Arial"/>
                <w:sz w:val="8"/>
                <w:szCs w:val="8"/>
                <w:color w:val="auto"/>
              </w:rPr>
              <w:t>A</w:t>
            </w:r>
          </w:p>
        </w:tc>
        <w:tc>
          <w:tcPr>
            <w:tcW w:w="1280" w:type="dxa"/>
            <w:vAlign w:val="bottom"/>
            <w:tcBorders>
              <w:bottom w:val="single" w:sz="8" w:color="595959"/>
            </w:tcBorders>
          </w:tcPr>
          <w:p>
            <w:pPr>
              <w:jc w:val="right"/>
              <w:ind w:right="238"/>
              <w:spacing w:after="0"/>
              <w:rPr>
                <w:sz w:val="20"/>
                <w:szCs w:val="20"/>
                <w:color w:val="auto"/>
              </w:rPr>
            </w:pPr>
            <w:r>
              <w:rPr>
                <w:rFonts w:ascii="Arial" w:cs="Arial" w:eastAsia="Arial" w:hAnsi="Arial"/>
                <w:sz w:val="8"/>
                <w:szCs w:val="8"/>
                <w:color w:val="auto"/>
              </w:rPr>
              <w:t>147:1</w:t>
            </w:r>
          </w:p>
        </w:tc>
        <w:tc>
          <w:tcPr>
            <w:tcW w:w="600" w:type="dxa"/>
            <w:vAlign w:val="bottom"/>
            <w:tcBorders>
              <w:bottom w:val="single" w:sz="8" w:color="595959"/>
            </w:tcBorders>
          </w:tcPr>
          <w:p>
            <w:pPr>
              <w:spacing w:after="0"/>
              <w:rPr>
                <w:sz w:val="10"/>
                <w:szCs w:val="10"/>
                <w:color w:val="auto"/>
              </w:rPr>
            </w:pPr>
          </w:p>
        </w:tc>
        <w:tc>
          <w:tcPr>
            <w:tcW w:w="460" w:type="dxa"/>
            <w:vAlign w:val="bottom"/>
            <w:tcBorders>
              <w:bottom w:val="single" w:sz="8" w:color="595959"/>
            </w:tcBorders>
          </w:tcPr>
          <w:p>
            <w:pPr>
              <w:jc w:val="right"/>
              <w:ind w:right="138"/>
              <w:spacing w:after="0"/>
              <w:rPr>
                <w:sz w:val="20"/>
                <w:szCs w:val="20"/>
                <w:color w:val="auto"/>
              </w:rPr>
            </w:pPr>
            <w:r>
              <w:rPr>
                <w:rFonts w:ascii="Arial" w:cs="Arial" w:eastAsia="Arial" w:hAnsi="Arial"/>
                <w:sz w:val="8"/>
                <w:szCs w:val="8"/>
                <w:color w:val="auto"/>
              </w:rPr>
              <w:t>87:1</w:t>
            </w:r>
          </w:p>
        </w:tc>
        <w:tc>
          <w:tcPr>
            <w:tcW w:w="1000" w:type="dxa"/>
            <w:vAlign w:val="bottom"/>
            <w:tcBorders>
              <w:bottom w:val="single" w:sz="8" w:color="595959"/>
            </w:tcBorders>
          </w:tcPr>
          <w:p>
            <w:pPr>
              <w:jc w:val="right"/>
              <w:spacing w:after="0"/>
              <w:rPr>
                <w:sz w:val="20"/>
                <w:szCs w:val="20"/>
                <w:color w:val="auto"/>
              </w:rPr>
            </w:pPr>
            <w:r>
              <w:rPr>
                <w:rFonts w:ascii="Arial" w:cs="Arial" w:eastAsia="Arial" w:hAnsi="Arial"/>
                <w:sz w:val="8"/>
                <w:szCs w:val="8"/>
                <w:color w:val="auto"/>
              </w:rPr>
              <w:t>54:1</w:t>
            </w:r>
          </w:p>
        </w:tc>
      </w:tr>
      <w:tr>
        <w:trPr>
          <w:trHeight w:val="94"/>
        </w:trPr>
        <w:tc>
          <w:tcPr>
            <w:tcW w:w="1180" w:type="dxa"/>
            <w:vAlign w:val="bottom"/>
          </w:tcPr>
          <w:p>
            <w:pPr>
              <w:spacing w:after="0"/>
              <w:rPr>
                <w:sz w:val="20"/>
                <w:szCs w:val="20"/>
                <w:color w:val="auto"/>
              </w:rPr>
            </w:pPr>
            <w:r>
              <w:rPr>
                <w:rFonts w:ascii="Arial" w:cs="Arial" w:eastAsia="Arial" w:hAnsi="Arial"/>
                <w:sz w:val="8"/>
                <w:szCs w:val="8"/>
                <w:color w:val="auto"/>
              </w:rPr>
              <w:t>Total pay and benefits:</w:t>
            </w:r>
          </w:p>
        </w:tc>
        <w:tc>
          <w:tcPr>
            <w:tcW w:w="800" w:type="dxa"/>
            <w:vAlign w:val="bottom"/>
          </w:tcPr>
          <w:p>
            <w:pPr>
              <w:spacing w:after="0"/>
              <w:rPr>
                <w:sz w:val="8"/>
                <w:szCs w:val="8"/>
                <w:color w:val="auto"/>
              </w:rPr>
            </w:pPr>
          </w:p>
        </w:tc>
        <w:tc>
          <w:tcPr>
            <w:tcW w:w="1280" w:type="dxa"/>
            <w:vAlign w:val="bottom"/>
          </w:tcPr>
          <w:p>
            <w:pPr>
              <w:jc w:val="right"/>
              <w:ind w:right="238"/>
              <w:spacing w:after="0"/>
              <w:rPr>
                <w:sz w:val="20"/>
                <w:szCs w:val="20"/>
                <w:color w:val="auto"/>
              </w:rPr>
            </w:pPr>
            <w:r>
              <w:rPr>
                <w:rFonts w:ascii="Arial" w:cs="Arial" w:eastAsia="Arial" w:hAnsi="Arial"/>
                <w:sz w:val="8"/>
                <w:szCs w:val="8"/>
                <w:color w:val="auto"/>
              </w:rPr>
              <w:t>£59,419 £40,417</w:t>
            </w:r>
          </w:p>
        </w:tc>
        <w:tc>
          <w:tcPr>
            <w:tcW w:w="600" w:type="dxa"/>
            <w:vAlign w:val="bottom"/>
          </w:tcPr>
          <w:p>
            <w:pPr>
              <w:jc w:val="right"/>
              <w:spacing w:after="0"/>
              <w:rPr>
                <w:sz w:val="20"/>
                <w:szCs w:val="20"/>
                <w:color w:val="auto"/>
              </w:rPr>
            </w:pPr>
            <w:r>
              <w:rPr>
                <w:rFonts w:ascii="Arial" w:cs="Arial" w:eastAsia="Arial" w:hAnsi="Arial"/>
                <w:sz w:val="8"/>
                <w:szCs w:val="8"/>
                <w:color w:val="auto"/>
              </w:rPr>
              <w:t>£100,755</w:t>
            </w:r>
          </w:p>
        </w:tc>
        <w:tc>
          <w:tcPr>
            <w:tcW w:w="460" w:type="dxa"/>
            <w:vAlign w:val="bottom"/>
          </w:tcPr>
          <w:p>
            <w:pPr>
              <w:jc w:val="right"/>
              <w:ind w:right="138"/>
              <w:spacing w:after="0"/>
              <w:rPr>
                <w:sz w:val="20"/>
                <w:szCs w:val="20"/>
                <w:color w:val="auto"/>
              </w:rPr>
            </w:pPr>
            <w:r>
              <w:rPr>
                <w:rFonts w:ascii="Arial" w:cs="Arial" w:eastAsia="Arial" w:hAnsi="Arial"/>
                <w:sz w:val="8"/>
                <w:szCs w:val="8"/>
                <w:color w:val="auto"/>
                <w:w w:val="89"/>
              </w:rPr>
              <w:t>£56,721</w:t>
            </w:r>
          </w:p>
        </w:tc>
        <w:tc>
          <w:tcPr>
            <w:tcW w:w="1000" w:type="dxa"/>
            <w:vAlign w:val="bottom"/>
          </w:tcPr>
          <w:p>
            <w:pPr>
              <w:jc w:val="right"/>
              <w:spacing w:after="0"/>
              <w:rPr>
                <w:sz w:val="20"/>
                <w:szCs w:val="20"/>
                <w:color w:val="auto"/>
              </w:rPr>
            </w:pPr>
            <w:r>
              <w:rPr>
                <w:rFonts w:ascii="Arial" w:cs="Arial" w:eastAsia="Arial" w:hAnsi="Arial"/>
                <w:sz w:val="8"/>
                <w:szCs w:val="8"/>
                <w:color w:val="auto"/>
              </w:rPr>
              <w:t>£161,717 £79,991</w:t>
            </w:r>
          </w:p>
        </w:tc>
      </w:tr>
      <w:tr>
        <w:trPr>
          <w:trHeight w:val="111"/>
        </w:trPr>
        <w:tc>
          <w:tcPr>
            <w:tcW w:w="1180" w:type="dxa"/>
            <w:vAlign w:val="bottom"/>
            <w:tcBorders>
              <w:bottom w:val="single" w:sz="8" w:color="595959"/>
            </w:tcBorders>
          </w:tcPr>
          <w:p>
            <w:pPr>
              <w:spacing w:after="0"/>
              <w:rPr>
                <w:sz w:val="20"/>
                <w:szCs w:val="20"/>
                <w:color w:val="auto"/>
              </w:rPr>
            </w:pPr>
            <w:r>
              <w:rPr>
                <w:rFonts w:ascii="Arial" w:cs="Arial" w:eastAsia="Arial" w:hAnsi="Arial"/>
                <w:sz w:val="8"/>
                <w:szCs w:val="8"/>
                <w:color w:val="auto"/>
              </w:rPr>
              <w:t>Salary:</w:t>
            </w:r>
          </w:p>
        </w:tc>
        <w:tc>
          <w:tcPr>
            <w:tcW w:w="800" w:type="dxa"/>
            <w:vAlign w:val="bottom"/>
            <w:tcBorders>
              <w:bottom w:val="single" w:sz="8" w:color="595959"/>
            </w:tcBorders>
          </w:tcPr>
          <w:p>
            <w:pPr>
              <w:spacing w:after="0"/>
              <w:rPr>
                <w:sz w:val="9"/>
                <w:szCs w:val="9"/>
                <w:color w:val="auto"/>
              </w:rPr>
            </w:pPr>
          </w:p>
        </w:tc>
        <w:tc>
          <w:tcPr>
            <w:tcW w:w="1280" w:type="dxa"/>
            <w:vAlign w:val="bottom"/>
            <w:tcBorders>
              <w:bottom w:val="single" w:sz="8" w:color="595959"/>
            </w:tcBorders>
          </w:tcPr>
          <w:p>
            <w:pPr>
              <w:spacing w:after="0"/>
              <w:rPr>
                <w:sz w:val="9"/>
                <w:szCs w:val="9"/>
                <w:color w:val="auto"/>
              </w:rPr>
            </w:pPr>
          </w:p>
        </w:tc>
        <w:tc>
          <w:tcPr>
            <w:tcW w:w="600" w:type="dxa"/>
            <w:vAlign w:val="bottom"/>
            <w:tcBorders>
              <w:bottom w:val="single" w:sz="8" w:color="595959"/>
            </w:tcBorders>
          </w:tcPr>
          <w:p>
            <w:pPr>
              <w:spacing w:after="0"/>
              <w:rPr>
                <w:sz w:val="9"/>
                <w:szCs w:val="9"/>
                <w:color w:val="auto"/>
              </w:rPr>
            </w:pPr>
          </w:p>
        </w:tc>
        <w:tc>
          <w:tcPr>
            <w:tcW w:w="460" w:type="dxa"/>
            <w:vAlign w:val="bottom"/>
            <w:tcBorders>
              <w:bottom w:val="single" w:sz="8" w:color="595959"/>
            </w:tcBorders>
          </w:tcPr>
          <w:p>
            <w:pPr>
              <w:spacing w:after="0"/>
              <w:rPr>
                <w:sz w:val="9"/>
                <w:szCs w:val="9"/>
                <w:color w:val="auto"/>
              </w:rPr>
            </w:pPr>
          </w:p>
        </w:tc>
        <w:tc>
          <w:tcPr>
            <w:tcW w:w="1000" w:type="dxa"/>
            <w:vAlign w:val="bottom"/>
            <w:tcBorders>
              <w:bottom w:val="single" w:sz="8" w:color="595959"/>
            </w:tcBorders>
          </w:tcPr>
          <w:p>
            <w:pPr>
              <w:spacing w:after="0"/>
              <w:rPr>
                <w:sz w:val="9"/>
                <w:szCs w:val="9"/>
                <w:color w:val="auto"/>
              </w:rPr>
            </w:pPr>
          </w:p>
        </w:tc>
      </w:tr>
      <w:tr>
        <w:trPr>
          <w:trHeight w:val="109"/>
        </w:trPr>
        <w:tc>
          <w:tcPr>
            <w:tcW w:w="1180" w:type="dxa"/>
            <w:vAlign w:val="bottom"/>
          </w:tcPr>
          <w:p>
            <w:pPr>
              <w:spacing w:after="0"/>
              <w:rPr>
                <w:sz w:val="20"/>
                <w:szCs w:val="20"/>
                <w:color w:val="auto"/>
              </w:rPr>
            </w:pPr>
            <w:r>
              <w:rPr>
                <w:rFonts w:ascii="Arial" w:cs="Arial" w:eastAsia="Arial" w:hAnsi="Arial"/>
                <w:sz w:val="8"/>
                <w:szCs w:val="8"/>
                <w:color w:val="auto"/>
              </w:rPr>
              <w:t>2018</w:t>
            </w:r>
          </w:p>
        </w:tc>
        <w:tc>
          <w:tcPr>
            <w:tcW w:w="800" w:type="dxa"/>
            <w:vAlign w:val="bottom"/>
          </w:tcPr>
          <w:p>
            <w:pPr>
              <w:jc w:val="right"/>
              <w:ind w:right="138"/>
              <w:spacing w:after="0"/>
              <w:rPr>
                <w:sz w:val="20"/>
                <w:szCs w:val="20"/>
                <w:color w:val="auto"/>
              </w:rPr>
            </w:pPr>
            <w:r>
              <w:rPr>
                <w:rFonts w:ascii="Arial" w:cs="Arial" w:eastAsia="Arial" w:hAnsi="Arial"/>
                <w:sz w:val="8"/>
                <w:szCs w:val="8"/>
                <w:color w:val="auto"/>
              </w:rPr>
              <w:t>A</w:t>
            </w:r>
          </w:p>
        </w:tc>
        <w:tc>
          <w:tcPr>
            <w:tcW w:w="1280" w:type="dxa"/>
            <w:vAlign w:val="bottom"/>
          </w:tcPr>
          <w:p>
            <w:pPr>
              <w:jc w:val="right"/>
              <w:ind w:right="238"/>
              <w:spacing w:after="0"/>
              <w:rPr>
                <w:sz w:val="20"/>
                <w:szCs w:val="20"/>
                <w:color w:val="auto"/>
              </w:rPr>
            </w:pPr>
            <w:r>
              <w:rPr>
                <w:rFonts w:ascii="Arial" w:cs="Arial" w:eastAsia="Arial" w:hAnsi="Arial"/>
                <w:sz w:val="8"/>
                <w:szCs w:val="8"/>
                <w:color w:val="auto"/>
              </w:rPr>
              <w:t>202:1</w:t>
            </w:r>
          </w:p>
        </w:tc>
        <w:tc>
          <w:tcPr>
            <w:tcW w:w="600" w:type="dxa"/>
            <w:vAlign w:val="bottom"/>
          </w:tcPr>
          <w:p>
            <w:pPr>
              <w:spacing w:after="0"/>
              <w:rPr>
                <w:sz w:val="9"/>
                <w:szCs w:val="9"/>
                <w:color w:val="auto"/>
              </w:rPr>
            </w:pPr>
          </w:p>
        </w:tc>
        <w:tc>
          <w:tcPr>
            <w:tcW w:w="460" w:type="dxa"/>
            <w:vAlign w:val="bottom"/>
          </w:tcPr>
          <w:p>
            <w:pPr>
              <w:jc w:val="right"/>
              <w:ind w:right="138"/>
              <w:spacing w:after="0"/>
              <w:rPr>
                <w:sz w:val="20"/>
                <w:szCs w:val="20"/>
                <w:color w:val="auto"/>
              </w:rPr>
            </w:pPr>
            <w:r>
              <w:rPr>
                <w:rFonts w:ascii="Arial" w:cs="Arial" w:eastAsia="Arial" w:hAnsi="Arial"/>
                <w:sz w:val="8"/>
                <w:szCs w:val="8"/>
                <w:color w:val="auto"/>
              </w:rPr>
              <w:t>143:1</w:t>
            </w:r>
          </w:p>
        </w:tc>
        <w:tc>
          <w:tcPr>
            <w:tcW w:w="1000" w:type="dxa"/>
            <w:vAlign w:val="bottom"/>
          </w:tcPr>
          <w:p>
            <w:pPr>
              <w:jc w:val="right"/>
              <w:spacing w:after="0"/>
              <w:rPr>
                <w:sz w:val="20"/>
                <w:szCs w:val="20"/>
                <w:color w:val="auto"/>
              </w:rPr>
            </w:pPr>
            <w:r>
              <w:rPr>
                <w:rFonts w:ascii="Arial" w:cs="Arial" w:eastAsia="Arial" w:hAnsi="Arial"/>
                <w:sz w:val="8"/>
                <w:szCs w:val="8"/>
                <w:color w:val="auto"/>
              </w:rPr>
              <w:t>92:1</w:t>
            </w:r>
          </w:p>
        </w:tc>
      </w:tr>
      <w:tr>
        <w:trPr>
          <w:trHeight w:val="111"/>
        </w:trPr>
        <w:tc>
          <w:tcPr>
            <w:tcW w:w="1180" w:type="dxa"/>
            <w:vAlign w:val="bottom"/>
          </w:tcPr>
          <w:p>
            <w:pPr>
              <w:spacing w:after="0"/>
              <w:rPr>
                <w:sz w:val="20"/>
                <w:szCs w:val="20"/>
                <w:color w:val="auto"/>
              </w:rPr>
            </w:pPr>
            <w:r>
              <w:rPr>
                <w:rFonts w:ascii="Arial" w:cs="Arial" w:eastAsia="Arial" w:hAnsi="Arial"/>
                <w:sz w:val="8"/>
                <w:szCs w:val="8"/>
                <w:color w:val="auto"/>
              </w:rPr>
              <w:t>Total pay and benefits:</w:t>
            </w:r>
          </w:p>
        </w:tc>
        <w:tc>
          <w:tcPr>
            <w:tcW w:w="800" w:type="dxa"/>
            <w:vAlign w:val="bottom"/>
          </w:tcPr>
          <w:p>
            <w:pPr>
              <w:spacing w:after="0"/>
              <w:rPr>
                <w:sz w:val="9"/>
                <w:szCs w:val="9"/>
                <w:color w:val="auto"/>
              </w:rPr>
            </w:pPr>
          </w:p>
        </w:tc>
        <w:tc>
          <w:tcPr>
            <w:tcW w:w="1280" w:type="dxa"/>
            <w:vAlign w:val="bottom"/>
          </w:tcPr>
          <w:p>
            <w:pPr>
              <w:jc w:val="right"/>
              <w:ind w:right="238"/>
              <w:spacing w:after="0"/>
              <w:rPr>
                <w:sz w:val="20"/>
                <w:szCs w:val="20"/>
                <w:color w:val="auto"/>
              </w:rPr>
            </w:pPr>
            <w:r>
              <w:rPr>
                <w:rFonts w:ascii="Arial" w:cs="Arial" w:eastAsia="Arial" w:hAnsi="Arial"/>
                <w:sz w:val="8"/>
                <w:szCs w:val="8"/>
                <w:color w:val="auto"/>
              </w:rPr>
              <w:t>£88,112 £53,528</w:t>
            </w:r>
          </w:p>
        </w:tc>
        <w:tc>
          <w:tcPr>
            <w:tcW w:w="600" w:type="dxa"/>
            <w:vAlign w:val="bottom"/>
          </w:tcPr>
          <w:p>
            <w:pPr>
              <w:jc w:val="right"/>
              <w:spacing w:after="0"/>
              <w:rPr>
                <w:sz w:val="20"/>
                <w:szCs w:val="20"/>
                <w:color w:val="auto"/>
              </w:rPr>
            </w:pPr>
            <w:r>
              <w:rPr>
                <w:rFonts w:ascii="Arial" w:cs="Arial" w:eastAsia="Arial" w:hAnsi="Arial"/>
                <w:sz w:val="8"/>
                <w:szCs w:val="8"/>
                <w:color w:val="auto"/>
              </w:rPr>
              <w:t>£124,459</w:t>
            </w:r>
          </w:p>
        </w:tc>
        <w:tc>
          <w:tcPr>
            <w:tcW w:w="460" w:type="dxa"/>
            <w:vAlign w:val="bottom"/>
          </w:tcPr>
          <w:p>
            <w:pPr>
              <w:jc w:val="right"/>
              <w:ind w:right="138"/>
              <w:spacing w:after="0"/>
              <w:rPr>
                <w:sz w:val="20"/>
                <w:szCs w:val="20"/>
                <w:color w:val="auto"/>
              </w:rPr>
            </w:pPr>
            <w:r>
              <w:rPr>
                <w:rFonts w:ascii="Arial" w:cs="Arial" w:eastAsia="Arial" w:hAnsi="Arial"/>
                <w:sz w:val="8"/>
                <w:szCs w:val="8"/>
                <w:color w:val="auto"/>
                <w:w w:val="89"/>
              </w:rPr>
              <w:t>£80,407</w:t>
            </w:r>
          </w:p>
        </w:tc>
        <w:tc>
          <w:tcPr>
            <w:tcW w:w="1000" w:type="dxa"/>
            <w:vAlign w:val="bottom"/>
          </w:tcPr>
          <w:p>
            <w:pPr>
              <w:jc w:val="right"/>
              <w:spacing w:after="0"/>
              <w:rPr>
                <w:sz w:val="20"/>
                <w:szCs w:val="20"/>
                <w:color w:val="auto"/>
              </w:rPr>
            </w:pPr>
            <w:r>
              <w:rPr>
                <w:rFonts w:ascii="Arial" w:cs="Arial" w:eastAsia="Arial" w:hAnsi="Arial"/>
                <w:sz w:val="8"/>
                <w:szCs w:val="8"/>
                <w:color w:val="auto"/>
              </w:rPr>
              <w:t>£193,027 £96,074</w:t>
            </w:r>
          </w:p>
        </w:tc>
      </w:tr>
      <w:tr>
        <w:trPr>
          <w:trHeight w:val="111"/>
        </w:trPr>
        <w:tc>
          <w:tcPr>
            <w:tcW w:w="118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Salary:</w:t>
            </w:r>
          </w:p>
        </w:tc>
        <w:tc>
          <w:tcPr>
            <w:tcW w:w="8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bl>
    <w:p>
      <w:pPr>
        <w:spacing w:after="0" w:line="150" w:lineRule="exact"/>
        <w:rPr>
          <w:sz w:val="20"/>
          <w:szCs w:val="20"/>
          <w:color w:val="auto"/>
        </w:rPr>
      </w:pPr>
    </w:p>
    <w:p>
      <w:pPr>
        <w:ind w:left="8" w:right="20"/>
        <w:spacing w:after="0" w:line="293" w:lineRule="auto"/>
        <w:rPr>
          <w:sz w:val="20"/>
          <w:szCs w:val="20"/>
          <w:color w:val="auto"/>
        </w:rPr>
      </w:pPr>
      <w:r>
        <w:rPr>
          <w:rFonts w:ascii="Arial" w:cs="Arial" w:eastAsia="Arial" w:hAnsi="Arial"/>
          <w:sz w:val="8"/>
          <w:szCs w:val="8"/>
          <w:color w:val="auto"/>
        </w:rPr>
        <w:t>Shell has chosen to use option A to calculate the CEO pay ratio in accordance with guidance from the UK government that this is the preferred approach and the most statistically accurate method for identifying the ratios. Under option A, a comparable single total figure for all UK employees has been calculated in order to identify the employees whose pay and benefits are at the 25th, 50th and 75th percentiles for comparison with the CEO. Employee pay has been calculated based on the total pay and benefits paid in respect of 2020 for all employees who were employed on December 31, 2020. For part-time workers and joiners in the year, pay and benefits have been annualised based on the proportion of their working time in the UK during the year. This is calculated with an approach consistent with the methodology for determining annual bonuses. The REMCO believes that this provides a fair and reasonable calculation of the pay ratios for Shell employees in the UK.</w:t>
      </w:r>
    </w:p>
    <w:p>
      <w:pPr>
        <w:spacing w:after="0" w:line="240" w:lineRule="exact"/>
        <w:rPr>
          <w:sz w:val="20"/>
          <w:szCs w:val="20"/>
          <w:color w:val="auto"/>
        </w:rPr>
      </w:pPr>
    </w:p>
    <w:p>
      <w:pPr>
        <w:ind w:left="8" w:right="120"/>
        <w:spacing w:after="0" w:line="299" w:lineRule="auto"/>
        <w:rPr>
          <w:sz w:val="20"/>
          <w:szCs w:val="20"/>
          <w:color w:val="auto"/>
        </w:rPr>
      </w:pPr>
      <w:r>
        <w:rPr>
          <w:rFonts w:ascii="Arial" w:cs="Arial" w:eastAsia="Arial" w:hAnsi="Arial"/>
          <w:sz w:val="8"/>
          <w:szCs w:val="8"/>
          <w:color w:val="auto"/>
        </w:rPr>
        <w:t>The ratio of the CEO’s pay to the median UK worker is 57. The global pay ratio, calculated by comparing the CEO single figure to the average employee headcount cost, is 50.The ratio has changed for 2020 compared with 2019, mainly because of the decrease in the single figure of remuneration for the CEO as a result of no 2020 annual bonus and the lower LTIP vesting outcome in comparison with 2019. The pay and benefits for the 25th, 50th and 75th percentile employees have also reduced in relation to 2019, primarily because there was no annual bonus for the majority of employees. The REMCO believes this outcome is appropriate and consistent with Shell’s philosophy of pay for performance.</w:t>
      </w:r>
    </w:p>
    <w:p>
      <w:pPr>
        <w:spacing w:after="0" w:line="241" w:lineRule="exact"/>
        <w:rPr>
          <w:sz w:val="20"/>
          <w:szCs w:val="20"/>
          <w:color w:val="auto"/>
        </w:rPr>
      </w:pPr>
    </w:p>
    <w:p>
      <w:pPr>
        <w:ind w:left="8"/>
        <w:spacing w:after="0"/>
        <w:rPr>
          <w:sz w:val="20"/>
          <w:szCs w:val="20"/>
          <w:color w:val="auto"/>
        </w:rPr>
      </w:pPr>
      <w:r>
        <w:rPr>
          <w:rFonts w:ascii="Arial" w:cs="Arial" w:eastAsia="Arial" w:hAnsi="Arial"/>
          <w:sz w:val="12"/>
          <w:szCs w:val="12"/>
          <w:color w:val="auto"/>
        </w:rPr>
        <w:t>Workforce engagement</w:t>
      </w:r>
    </w:p>
    <w:p>
      <w:pPr>
        <w:spacing w:after="0" w:line="10" w:lineRule="exact"/>
        <w:rPr>
          <w:sz w:val="20"/>
          <w:szCs w:val="20"/>
          <w:color w:val="auto"/>
        </w:rPr>
      </w:pPr>
    </w:p>
    <w:p>
      <w:pPr>
        <w:ind w:left="8" w:right="40"/>
        <w:spacing w:after="0" w:line="225" w:lineRule="auto"/>
        <w:rPr>
          <w:sz w:val="20"/>
          <w:szCs w:val="20"/>
          <w:color w:val="auto"/>
        </w:rPr>
      </w:pPr>
      <w:r>
        <w:rPr>
          <w:rFonts w:ascii="Arial" w:cs="Arial" w:eastAsia="Arial" w:hAnsi="Arial"/>
          <w:sz w:val="10"/>
          <w:szCs w:val="10"/>
          <w:color w:val="auto"/>
        </w:rPr>
        <w:t>The REMCO took a wide perspective in making the remuneration decisions for 2020 and determining the 2020 policy. As examples, in 2020 the REMCO reviewed the following:</w:t>
      </w:r>
    </w:p>
    <w:p>
      <w:pPr>
        <w:ind w:left="108" w:right="120" w:hanging="108"/>
        <w:spacing w:after="0" w:line="225" w:lineRule="auto"/>
        <w:tabs>
          <w:tab w:leader="none" w:pos="103" w:val="left"/>
        </w:tabs>
        <w:numPr>
          <w:ilvl w:val="0"/>
          <w:numId w:val="135"/>
        </w:numPr>
        <w:rPr>
          <w:rFonts w:ascii="Arial" w:cs="Arial" w:eastAsia="Arial" w:hAnsi="Arial"/>
          <w:sz w:val="10"/>
          <w:szCs w:val="10"/>
          <w:color w:val="auto"/>
        </w:rPr>
      </w:pPr>
      <w:r>
        <w:rPr>
          <w:rFonts w:ascii="Arial" w:cs="Arial" w:eastAsia="Arial" w:hAnsi="Arial"/>
          <w:sz w:val="10"/>
          <w:szCs w:val="10"/>
          <w:color w:val="auto"/>
        </w:rPr>
        <w:t>Aspects of Shell’s response to the COVID-19 pandemic that affected employees' pay and benefits. These included the decisions not to increase salaries for 2021 and to set the annual bonus scorecard outcome at zero, as well as policies that supported the health, safety and well-being of employees.</w:t>
      </w:r>
    </w:p>
    <w:p>
      <w:pPr>
        <w:ind w:left="88" w:hanging="88"/>
        <w:spacing w:after="0" w:line="236" w:lineRule="auto"/>
        <w:tabs>
          <w:tab w:leader="none" w:pos="88" w:val="left"/>
        </w:tabs>
        <w:numPr>
          <w:ilvl w:val="0"/>
          <w:numId w:val="135"/>
        </w:numPr>
        <w:rPr>
          <w:rFonts w:ascii="Arial" w:cs="Arial" w:eastAsia="Arial" w:hAnsi="Arial"/>
          <w:sz w:val="10"/>
          <w:szCs w:val="10"/>
          <w:color w:val="auto"/>
        </w:rPr>
      </w:pPr>
      <w:r>
        <w:rPr>
          <w:rFonts w:ascii="Arial" w:cs="Arial" w:eastAsia="Arial" w:hAnsi="Arial"/>
          <w:sz w:val="10"/>
          <w:szCs w:val="10"/>
          <w:color w:val="auto"/>
        </w:rPr>
        <w:t>The provision of retirement benefits to employees across Shell.</w:t>
      </w:r>
    </w:p>
    <w:p>
      <w:pPr>
        <w:spacing w:after="0" w:line="20" w:lineRule="exact"/>
        <w:rPr>
          <w:sz w:val="20"/>
          <w:szCs w:val="20"/>
          <w:color w:val="auto"/>
        </w:rPr>
      </w:pPr>
      <w:r>
        <w:rPr>
          <w:sz w:val="20"/>
          <w:szCs w:val="20"/>
          <w:color w:val="auto"/>
        </w:rPr>
        <w:br w:type="column"/>
      </w:r>
    </w:p>
    <w:p>
      <w:pPr>
        <w:ind w:left="120" w:right="140" w:hanging="111"/>
        <w:spacing w:after="0" w:line="299" w:lineRule="auto"/>
        <w:tabs>
          <w:tab w:leader="none" w:pos="115" w:val="left"/>
        </w:tabs>
        <w:numPr>
          <w:ilvl w:val="0"/>
          <w:numId w:val="136"/>
        </w:numPr>
        <w:rPr>
          <w:rFonts w:ascii="Arial" w:cs="Arial" w:eastAsia="Arial" w:hAnsi="Arial"/>
          <w:sz w:val="8"/>
          <w:szCs w:val="8"/>
          <w:color w:val="auto"/>
        </w:rPr>
      </w:pPr>
      <w:r>
        <w:rPr>
          <w:rFonts w:ascii="Arial" w:cs="Arial" w:eastAsia="Arial" w:hAnsi="Arial"/>
          <w:sz w:val="8"/>
          <w:szCs w:val="8"/>
          <w:color w:val="auto"/>
        </w:rPr>
        <w:t>Remuneration markers such as the CEO pay ratio and gender pay reporting under the UK Equality Act 2010 (Gender Pay Gap Information) Regulations and voluntary ethnicity pay reporting in the UK. The REMCO noted Shell's average UK gender pay gap had narrowed in 2020 to 18.0% (from 18.7% in 2019), continuing the positive trend since 2017 (22.2%). This is due to a continued upward trend in the proportion of women in Shell's upper and upper middle pay quartiles, and the REMCO has confidence in the policies Shell has to increase the representation of women at all levels in the organisation. The REMCO also noted, that in the first year of reporting, the average UK ethnicity pay gap was 8.5%.</w:t>
      </w:r>
    </w:p>
    <w:p>
      <w:pPr>
        <w:spacing w:after="0" w:line="237" w:lineRule="exact"/>
        <w:rPr>
          <w:sz w:val="20"/>
          <w:szCs w:val="20"/>
          <w:color w:val="auto"/>
        </w:rPr>
      </w:pPr>
    </w:p>
    <w:p>
      <w:pPr>
        <w:spacing w:after="0"/>
        <w:rPr>
          <w:sz w:val="20"/>
          <w:szCs w:val="20"/>
          <w:color w:val="auto"/>
        </w:rPr>
      </w:pPr>
      <w:r>
        <w:rPr>
          <w:rFonts w:ascii="Arial" w:cs="Arial" w:eastAsia="Arial" w:hAnsi="Arial"/>
          <w:sz w:val="10"/>
          <w:szCs w:val="10"/>
          <w:color w:val="auto"/>
        </w:rPr>
        <w:t>Executive remuneration structures in Shell are strongly aligned with the broader Shell pay policy:</w:t>
      </w:r>
    </w:p>
    <w:p>
      <w:pPr>
        <w:spacing w:after="0" w:line="1" w:lineRule="exact"/>
        <w:rPr>
          <w:sz w:val="20"/>
          <w:szCs w:val="20"/>
          <w:color w:val="auto"/>
        </w:rPr>
      </w:pPr>
    </w:p>
    <w:p>
      <w:pPr>
        <w:ind w:left="120" w:right="260" w:hanging="111"/>
        <w:spacing w:after="0" w:line="225" w:lineRule="auto"/>
        <w:tabs>
          <w:tab w:leader="none" w:pos="115" w:val="left"/>
        </w:tabs>
        <w:numPr>
          <w:ilvl w:val="0"/>
          <w:numId w:val="137"/>
        </w:numPr>
        <w:rPr>
          <w:rFonts w:ascii="Arial" w:cs="Arial" w:eastAsia="Arial" w:hAnsi="Arial"/>
          <w:sz w:val="10"/>
          <w:szCs w:val="10"/>
          <w:color w:val="auto"/>
        </w:rPr>
      </w:pPr>
      <w:r>
        <w:rPr>
          <w:rFonts w:ascii="Arial" w:cs="Arial" w:eastAsia="Arial" w:hAnsi="Arial"/>
          <w:sz w:val="10"/>
          <w:szCs w:val="10"/>
          <w:color w:val="auto"/>
        </w:rPr>
        <w:t>In recent years the Group scorecard architecture has been identical to the Executive Committee and Senior Executive scorecard in terms of measures, weightings and targets.</w:t>
      </w:r>
    </w:p>
    <w:p>
      <w:pPr>
        <w:ind w:left="120" w:right="120" w:hanging="111"/>
        <w:spacing w:after="0" w:line="281" w:lineRule="auto"/>
        <w:tabs>
          <w:tab w:leader="none" w:pos="115" w:val="left"/>
        </w:tabs>
        <w:numPr>
          <w:ilvl w:val="0"/>
          <w:numId w:val="137"/>
        </w:numPr>
        <w:rPr>
          <w:rFonts w:ascii="Arial" w:cs="Arial" w:eastAsia="Arial" w:hAnsi="Arial"/>
          <w:sz w:val="8"/>
          <w:szCs w:val="8"/>
          <w:color w:val="auto"/>
        </w:rPr>
      </w:pPr>
      <w:r>
        <w:rPr>
          <w:rFonts w:ascii="Arial" w:cs="Arial" w:eastAsia="Arial" w:hAnsi="Arial"/>
          <w:sz w:val="8"/>
          <w:szCs w:val="8"/>
          <w:color w:val="auto"/>
        </w:rPr>
        <w:t>Executive Directors and Executive Committee members participate in the LTIP. Around 150 Senior Executives participate in the same plan. The measures and metrics for that plan also apply to 50% of the Performance Share Plan (PSP) awarded to around 16,500 employees.</w:t>
      </w:r>
    </w:p>
    <w:p>
      <w:pPr>
        <w:ind w:left="120" w:right="500" w:hanging="111"/>
        <w:spacing w:after="0" w:line="231" w:lineRule="auto"/>
        <w:tabs>
          <w:tab w:leader="none" w:pos="115" w:val="left"/>
        </w:tabs>
        <w:numPr>
          <w:ilvl w:val="0"/>
          <w:numId w:val="137"/>
        </w:numPr>
        <w:rPr>
          <w:rFonts w:ascii="Arial" w:cs="Arial" w:eastAsia="Arial" w:hAnsi="Arial"/>
          <w:sz w:val="10"/>
          <w:szCs w:val="10"/>
          <w:color w:val="auto"/>
        </w:rPr>
      </w:pPr>
      <w:r>
        <w:rPr>
          <w:rFonts w:ascii="Arial" w:cs="Arial" w:eastAsia="Arial" w:hAnsi="Arial"/>
          <w:sz w:val="10"/>
          <w:szCs w:val="10"/>
          <w:color w:val="auto"/>
        </w:rPr>
        <w:t>All employees in the Group participate in the relevant pension plan for their country based on their date of joining. Shell does not operate separate executive pension arrangements.</w:t>
      </w:r>
    </w:p>
    <w:p>
      <w:pPr>
        <w:spacing w:after="0" w:line="149" w:lineRule="exact"/>
        <w:rPr>
          <w:sz w:val="20"/>
          <w:szCs w:val="20"/>
          <w:color w:val="auto"/>
        </w:rPr>
      </w:pPr>
    </w:p>
    <w:p>
      <w:pPr>
        <w:ind w:right="200"/>
        <w:spacing w:after="0" w:line="307" w:lineRule="auto"/>
        <w:rPr>
          <w:sz w:val="20"/>
          <w:szCs w:val="20"/>
          <w:color w:val="auto"/>
        </w:rPr>
      </w:pPr>
      <w:r>
        <w:rPr>
          <w:rFonts w:ascii="Arial" w:cs="Arial" w:eastAsia="Arial" w:hAnsi="Arial"/>
          <w:sz w:val="8"/>
          <w:szCs w:val="8"/>
          <w:color w:val="auto"/>
        </w:rPr>
        <w:t>This consistency means that less explanation of executive remuneration structures is required than in companies where alignment is not the default practice. To support an ongoing dialogue with employees regarding how pay connects to Company strategy, a video was shared with employees, presented by the REMCO Chair, explaining the key features of the new 2020 Directors' Remuneration Policy in March 2020, alongside an article on the Shell intranet sharing why it matters for employees.</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STATEMENT OF 2021 PLANNED IMPLEMENTATION OF POLICY</w:t>
      </w:r>
    </w:p>
    <w:p>
      <w:pPr>
        <w:spacing w:after="0" w:line="1" w:lineRule="exact"/>
        <w:rPr>
          <w:sz w:val="20"/>
          <w:szCs w:val="20"/>
          <w:color w:val="auto"/>
        </w:rPr>
      </w:pPr>
    </w:p>
    <w:p>
      <w:pPr>
        <w:jc w:val="both"/>
        <w:ind w:right="260"/>
        <w:spacing w:after="0" w:line="229" w:lineRule="auto"/>
        <w:rPr>
          <w:sz w:val="20"/>
          <w:szCs w:val="20"/>
          <w:color w:val="auto"/>
        </w:rPr>
      </w:pPr>
      <w:r>
        <w:rPr>
          <w:rFonts w:ascii="Arial" w:cs="Arial" w:eastAsia="Arial" w:hAnsi="Arial"/>
          <w:sz w:val="10"/>
          <w:szCs w:val="10"/>
          <w:color w:val="auto"/>
        </w:rPr>
        <w:t>The Directors’ Remuneration Policy as detailed on pages 137-147 took effect from May 19, 2020, after it was approved by shareholders at the 2020 AGM. It will be effective until the 2023 AGM, unless a further policy is proposed by Shell and approved by shareholders before then. This section describes elements of the policy that will apply for 2021.</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Executive Directors</w:t>
      </w:r>
    </w:p>
    <w:p>
      <w:pPr>
        <w:spacing w:after="0" w:line="227" w:lineRule="auto"/>
        <w:rPr>
          <w:sz w:val="20"/>
          <w:szCs w:val="20"/>
          <w:color w:val="auto"/>
        </w:rPr>
      </w:pPr>
      <w:r>
        <w:rPr>
          <w:rFonts w:ascii="Arial" w:cs="Arial" w:eastAsia="Arial" w:hAnsi="Arial"/>
          <w:sz w:val="10"/>
          <w:szCs w:val="10"/>
          <w:color w:val="auto"/>
        </w:rPr>
        <w:t>Salaries</w:t>
      </w:r>
    </w:p>
    <w:p>
      <w:pPr>
        <w:ind w:right="440"/>
        <w:spacing w:after="0" w:line="337" w:lineRule="auto"/>
        <w:rPr>
          <w:sz w:val="20"/>
          <w:szCs w:val="20"/>
          <w:color w:val="auto"/>
        </w:rPr>
      </w:pPr>
      <w:r>
        <w:rPr>
          <w:rFonts w:ascii="Arial" w:cs="Arial" w:eastAsia="Arial" w:hAnsi="Arial"/>
          <w:sz w:val="8"/>
          <w:szCs w:val="8"/>
          <w:color w:val="auto"/>
        </w:rPr>
        <w:t>There will be no salary increases for 2021. Salaries will be maintained at 2020 levels, which are €1,588,000 for Ben van Beurden and €1,035,000 for Jessica Uhl. This is consistent with the approach taken for the majority of employees for 2021.</w:t>
      </w:r>
    </w:p>
    <w:p>
      <w:pPr>
        <w:spacing w:after="0" w:line="112" w:lineRule="exact"/>
        <w:rPr>
          <w:sz w:val="20"/>
          <w:szCs w:val="20"/>
          <w:color w:val="auto"/>
        </w:rPr>
      </w:pPr>
    </w:p>
    <w:p>
      <w:pPr>
        <w:spacing w:after="0"/>
        <w:rPr>
          <w:sz w:val="20"/>
          <w:szCs w:val="20"/>
          <w:color w:val="auto"/>
        </w:rPr>
      </w:pPr>
      <w:r>
        <w:rPr>
          <w:rFonts w:ascii="Arial" w:cs="Arial" w:eastAsia="Arial" w:hAnsi="Arial"/>
          <w:sz w:val="10"/>
          <w:szCs w:val="10"/>
          <w:color w:val="auto"/>
        </w:rPr>
        <w:t>Annual bonus</w:t>
      </w:r>
    </w:p>
    <w:p>
      <w:pPr>
        <w:spacing w:after="0" w:line="1" w:lineRule="exact"/>
        <w:rPr>
          <w:sz w:val="20"/>
          <w:szCs w:val="20"/>
          <w:color w:val="auto"/>
        </w:rPr>
      </w:pPr>
    </w:p>
    <w:p>
      <w:pPr>
        <w:ind w:right="180"/>
        <w:spacing w:after="0" w:line="229" w:lineRule="auto"/>
        <w:rPr>
          <w:sz w:val="20"/>
          <w:szCs w:val="20"/>
          <w:color w:val="auto"/>
        </w:rPr>
      </w:pPr>
      <w:r>
        <w:rPr>
          <w:rFonts w:ascii="Arial" w:cs="Arial" w:eastAsia="Arial" w:hAnsi="Arial"/>
          <w:sz w:val="10"/>
          <w:szCs w:val="10"/>
          <w:color w:val="auto"/>
        </w:rPr>
        <w:t>To ensure that the scorecard remains well aligned with our strategic and operational priorities, the REMCO has reviewed the structure of the 2021 scorecard. The REMCO has decided to focus on four key areas: financial delivery, operational excellence, progress in the energy transition, and safety.</w:t>
      </w:r>
    </w:p>
    <w:p>
      <w:pPr>
        <w:spacing w:after="0" w:line="149" w:lineRule="exact"/>
        <w:rPr>
          <w:sz w:val="20"/>
          <w:szCs w:val="20"/>
          <w:color w:val="auto"/>
        </w:rPr>
      </w:pPr>
    </w:p>
    <w:p>
      <w:pPr>
        <w:jc w:val="both"/>
        <w:ind w:right="120"/>
        <w:spacing w:after="0" w:line="234" w:lineRule="auto"/>
        <w:rPr>
          <w:sz w:val="20"/>
          <w:szCs w:val="20"/>
          <w:color w:val="auto"/>
        </w:rPr>
      </w:pPr>
      <w:r>
        <w:rPr>
          <w:rFonts w:ascii="Arial" w:cs="Arial" w:eastAsia="Arial" w:hAnsi="Arial"/>
          <w:sz w:val="10"/>
          <w:szCs w:val="10"/>
          <w:color w:val="1F3763"/>
        </w:rPr>
        <w:t>Cash flow from operations (CFFO) remains the metric we will use to measure financial delivery. This reflects our ability to generate the cash necessary to fund investment in our future business and distributions to our shareholders. We are increasing the weighting of this metric from 30% to 35%.</w:t>
      </w:r>
    </w:p>
    <w:p>
      <w:pPr>
        <w:spacing w:after="0" w:line="150" w:lineRule="exact"/>
        <w:rPr>
          <w:sz w:val="20"/>
          <w:szCs w:val="20"/>
          <w:color w:val="auto"/>
        </w:rPr>
      </w:pPr>
    </w:p>
    <w:p>
      <w:pPr>
        <w:jc w:val="both"/>
        <w:ind w:right="120"/>
        <w:spacing w:after="0" w:line="233" w:lineRule="auto"/>
        <w:rPr>
          <w:sz w:val="20"/>
          <w:szCs w:val="20"/>
          <w:color w:val="auto"/>
        </w:rPr>
      </w:pPr>
      <w:r>
        <w:rPr>
          <w:rFonts w:ascii="Arial" w:cs="Arial" w:eastAsia="Arial" w:hAnsi="Arial"/>
          <w:sz w:val="10"/>
          <w:szCs w:val="10"/>
          <w:color w:val="1F3763"/>
        </w:rPr>
        <w:t>Production and LNG Liquefaction volumes have been retired as performance metrics. Reflecting the ongoing importance of operational delivery, performance will be assessed against two measures:</w:t>
      </w:r>
    </w:p>
    <w:p>
      <w:pPr>
        <w:spacing w:after="0" w:line="1" w:lineRule="exact"/>
        <w:rPr>
          <w:sz w:val="20"/>
          <w:szCs w:val="20"/>
          <w:color w:val="auto"/>
        </w:rPr>
      </w:pPr>
    </w:p>
    <w:p>
      <w:pPr>
        <w:jc w:val="both"/>
        <w:ind w:left="440" w:right="120" w:hanging="215"/>
        <w:spacing w:after="0" w:line="225" w:lineRule="auto"/>
        <w:tabs>
          <w:tab w:leader="none" w:pos="438" w:val="left"/>
        </w:tabs>
        <w:numPr>
          <w:ilvl w:val="0"/>
          <w:numId w:val="138"/>
        </w:numPr>
        <w:rPr>
          <w:rFonts w:ascii="Arial" w:cs="Arial" w:eastAsia="Arial" w:hAnsi="Arial"/>
          <w:sz w:val="10"/>
          <w:szCs w:val="10"/>
          <w:color w:val="1F3763"/>
        </w:rPr>
      </w:pPr>
      <w:r>
        <w:rPr>
          <w:rFonts w:ascii="Arial" w:cs="Arial" w:eastAsia="Arial" w:hAnsi="Arial"/>
          <w:sz w:val="10"/>
          <w:szCs w:val="10"/>
          <w:color w:val="1F3763"/>
        </w:rPr>
        <w:t>Asset management excellence: measured against availability for Upstream, midstream and downstream, each equally weighted, in order to maintain a strong ongoing focus on operating our assets to plan, delivering scheduled downtime activities on time and minimising unscheduled shutdowns; and</w:t>
      </w:r>
    </w:p>
    <w:p>
      <w:pPr>
        <w:ind w:left="440" w:right="120" w:hanging="215"/>
        <w:spacing w:after="0" w:line="231" w:lineRule="auto"/>
        <w:tabs>
          <w:tab w:leader="none" w:pos="438" w:val="left"/>
        </w:tabs>
        <w:numPr>
          <w:ilvl w:val="0"/>
          <w:numId w:val="138"/>
        </w:numPr>
        <w:rPr>
          <w:rFonts w:ascii="Arial" w:cs="Arial" w:eastAsia="Arial" w:hAnsi="Arial"/>
          <w:sz w:val="10"/>
          <w:szCs w:val="10"/>
          <w:color w:val="auto"/>
        </w:rPr>
      </w:pPr>
      <w:r>
        <w:rPr>
          <w:rFonts w:ascii="Arial" w:cs="Arial" w:eastAsia="Arial" w:hAnsi="Arial"/>
          <w:sz w:val="10"/>
          <w:szCs w:val="10"/>
          <w:color w:val="1F3763"/>
        </w:rPr>
        <w:t>Project delivery excellence: our ability to successfully execute large and complex projects remains essential, and we will continue measuring how well we deliver our material projects on time and to budget.</w:t>
      </w:r>
    </w:p>
    <w:p>
      <w:pPr>
        <w:spacing w:after="0" w:line="149" w:lineRule="exact"/>
        <w:rPr>
          <w:sz w:val="20"/>
          <w:szCs w:val="20"/>
          <w:color w:val="auto"/>
        </w:rPr>
      </w:pPr>
    </w:p>
    <w:p>
      <w:pPr>
        <w:ind w:right="120"/>
        <w:spacing w:after="0" w:line="239" w:lineRule="auto"/>
        <w:rPr>
          <w:sz w:val="20"/>
          <w:szCs w:val="20"/>
          <w:color w:val="auto"/>
        </w:rPr>
      </w:pPr>
      <w:r>
        <w:rPr>
          <w:rFonts w:ascii="Arial" w:cs="Arial" w:eastAsia="Arial" w:hAnsi="Arial"/>
          <w:sz w:val="10"/>
          <w:szCs w:val="10"/>
          <w:color w:val="1F3763"/>
        </w:rPr>
        <w:t>We are separating out energy transition to provide a clear and visible focus on the importance of making progress in this area. Measures will initially</w:t>
      </w:r>
    </w:p>
    <w:p>
      <w:pPr>
        <w:spacing w:after="0" w:line="488" w:lineRule="exact"/>
        <w:rPr>
          <w:sz w:val="20"/>
          <w:szCs w:val="20"/>
          <w:color w:val="auto"/>
        </w:rPr>
      </w:pPr>
    </w:p>
    <w:p>
      <w:pPr>
        <w:sectPr>
          <w:pgSz w:w="11900" w:h="16838" w:orient="portrait"/>
          <w:cols w:equalWidth="0" w:num="2">
            <w:col w:w="5448" w:space="280"/>
            <w:col w:w="5580"/>
          </w:cols>
          <w:pgMar w:left="292" w:top="640" w:right="299" w:bottom="1440" w:gutter="0" w:footer="0" w:header="0"/>
        </w:sectPr>
      </w:pP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133</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136" w:name="page137"/>
    <w:bookmarkEnd w:id="136"/>
    <w:p>
      <w:pPr>
        <w:spacing w:after="0" w:line="292" w:lineRule="auto"/>
        <w:rPr>
          <w:sz w:val="20"/>
          <w:szCs w:val="20"/>
          <w:color w:val="auto"/>
        </w:rPr>
      </w:pPr>
      <w:r>
        <w:rPr>
          <w:rFonts w:ascii="Arial" w:cs="Arial" w:eastAsia="Arial" w:hAnsi="Arial"/>
          <w:sz w:val="8"/>
          <w:szCs w:val="8"/>
          <w:color w:val="1F3763"/>
        </w:rPr>
        <w:t>focus on the operational delivery of our ambitions, and we expect this section of the scorecard to evolve and expand as we accelerate the transition of our business to a net-zero emissions business by 2050, in step with society. For 2021, performance will be assessed against:</w:t>
      </w:r>
    </w:p>
    <w:p>
      <w:pPr>
        <w:ind w:left="420" w:hanging="212"/>
        <w:spacing w:after="0" w:line="225" w:lineRule="auto"/>
        <w:tabs>
          <w:tab w:leader="none" w:pos="417" w:val="left"/>
        </w:tabs>
        <w:numPr>
          <w:ilvl w:val="0"/>
          <w:numId w:val="139"/>
        </w:numPr>
        <w:rPr>
          <w:rFonts w:ascii="Arial" w:cs="Arial" w:eastAsia="Arial" w:hAnsi="Arial"/>
          <w:sz w:val="10"/>
          <w:szCs w:val="10"/>
          <w:color w:val="auto"/>
        </w:rPr>
      </w:pPr>
      <w:r>
        <w:rPr>
          <w:rFonts w:ascii="Arial" w:cs="Arial" w:eastAsia="Arial" w:hAnsi="Arial"/>
          <w:sz w:val="10"/>
          <w:szCs w:val="10"/>
          <w:color w:val="1F3763"/>
        </w:rPr>
        <w:t>GHG abatement: a new metric that measures execution of GHG abatement projects and sets us on a trajectory towards achieving net-zero operational emissions; and</w:t>
      </w:r>
    </w:p>
    <w:p>
      <w:pPr>
        <w:ind w:left="420" w:hanging="212"/>
        <w:spacing w:after="0"/>
        <w:tabs>
          <w:tab w:leader="none" w:pos="420" w:val="left"/>
        </w:tabs>
        <w:numPr>
          <w:ilvl w:val="0"/>
          <w:numId w:val="139"/>
        </w:numPr>
        <w:rPr>
          <w:rFonts w:ascii="Arial" w:cs="Arial" w:eastAsia="Arial" w:hAnsi="Arial"/>
          <w:sz w:val="8"/>
          <w:szCs w:val="8"/>
          <w:color w:val="auto"/>
        </w:rPr>
      </w:pPr>
      <w:r>
        <w:rPr>
          <w:rFonts w:ascii="Arial" w:cs="Arial" w:eastAsia="Arial" w:hAnsi="Arial"/>
          <w:sz w:val="8"/>
          <w:szCs w:val="8"/>
          <w:color w:val="auto"/>
        </w:rPr>
        <w:t>GHG emissions intensity: no change to this measure, which sets emission-intensity targets for our main lines of business.</w:t>
      </w:r>
    </w:p>
    <w:p>
      <w:pPr>
        <w:spacing w:after="0" w:line="170" w:lineRule="exact"/>
        <w:rPr>
          <w:sz w:val="20"/>
          <w:szCs w:val="20"/>
          <w:color w:val="auto"/>
        </w:rPr>
      </w:pPr>
    </w:p>
    <w:p>
      <w:pPr>
        <w:spacing w:after="0" w:line="239" w:lineRule="auto"/>
        <w:rPr>
          <w:sz w:val="20"/>
          <w:szCs w:val="20"/>
          <w:color w:val="auto"/>
        </w:rPr>
      </w:pPr>
      <w:r>
        <w:rPr>
          <w:rFonts w:ascii="Arial" w:cs="Arial" w:eastAsia="Arial" w:hAnsi="Arial"/>
          <w:sz w:val="10"/>
          <w:szCs w:val="10"/>
          <w:color w:val="1F3763"/>
        </w:rPr>
        <w:t>Our commitment to safety remains at the heart of everything we do. We are increasing the weighting on safety in the scorecard to 15%. The measures relating to safety will be as follows:</w:t>
      </w:r>
    </w:p>
    <w:p>
      <w:pPr>
        <w:spacing w:after="0" w:line="149" w:lineRule="exact"/>
        <w:rPr>
          <w:sz w:val="20"/>
          <w:szCs w:val="20"/>
          <w:color w:val="auto"/>
        </w:rPr>
      </w:pPr>
    </w:p>
    <w:p>
      <w:pPr>
        <w:jc w:val="both"/>
        <w:ind w:left="860" w:hanging="436"/>
        <w:spacing w:after="0" w:line="288" w:lineRule="auto"/>
        <w:tabs>
          <w:tab w:leader="none" w:pos="857" w:val="left"/>
        </w:tabs>
        <w:numPr>
          <w:ilvl w:val="0"/>
          <w:numId w:val="140"/>
        </w:numPr>
        <w:rPr>
          <w:rFonts w:ascii="Arial" w:cs="Arial" w:eastAsia="Arial" w:hAnsi="Arial"/>
          <w:sz w:val="8"/>
          <w:szCs w:val="8"/>
          <w:color w:val="auto"/>
        </w:rPr>
      </w:pPr>
      <w:r>
        <w:rPr>
          <w:rFonts w:ascii="Arial" w:cs="Arial" w:eastAsia="Arial" w:hAnsi="Arial"/>
          <w:sz w:val="8"/>
          <w:szCs w:val="8"/>
          <w:color w:val="1F3763"/>
        </w:rPr>
        <w:t>Personal safety: a new Serious Injury and Fatality Frequency (SIF-F) metric will replace Total Recordable Case Frequency as our measure of personal safety performance. This is to ensure we focus our attention and learning on those incidents with the potential to cause the most serious harm; and</w:t>
      </w:r>
    </w:p>
    <w:p>
      <w:pPr>
        <w:ind w:left="860" w:hanging="436"/>
        <w:spacing w:after="0"/>
        <w:tabs>
          <w:tab w:leader="none" w:pos="860" w:val="left"/>
        </w:tabs>
        <w:numPr>
          <w:ilvl w:val="0"/>
          <w:numId w:val="140"/>
        </w:numPr>
        <w:rPr>
          <w:rFonts w:ascii="Arial" w:cs="Arial" w:eastAsia="Arial" w:hAnsi="Arial"/>
          <w:sz w:val="8"/>
          <w:szCs w:val="8"/>
          <w:color w:val="1F3763"/>
        </w:rPr>
      </w:pPr>
      <w:r>
        <w:rPr>
          <w:rFonts w:ascii="Arial" w:cs="Arial" w:eastAsia="Arial" w:hAnsi="Arial"/>
          <w:sz w:val="8"/>
          <w:szCs w:val="8"/>
          <w:color w:val="auto"/>
        </w:rPr>
        <w:t>Process safety: no change to the number of Tier 1 and 2 operational safety incidents as our measure of process safety.</w:t>
      </w:r>
    </w:p>
    <w:p>
      <w:pPr>
        <w:spacing w:after="0" w:line="170" w:lineRule="exact"/>
        <w:rPr>
          <w:sz w:val="20"/>
          <w:szCs w:val="20"/>
          <w:color w:val="auto"/>
        </w:rPr>
      </w:pPr>
    </w:p>
    <w:p>
      <w:pPr>
        <w:spacing w:after="0"/>
        <w:rPr>
          <w:sz w:val="20"/>
          <w:szCs w:val="20"/>
          <w:color w:val="auto"/>
        </w:rPr>
      </w:pPr>
      <w:r>
        <w:rPr>
          <w:rFonts w:ascii="Arial" w:cs="Arial" w:eastAsia="Arial" w:hAnsi="Arial"/>
          <w:sz w:val="10"/>
          <w:szCs w:val="10"/>
          <w:color w:val="auto"/>
        </w:rPr>
        <w:t>The performance measures, weightings and link to strategy for the 2021 performance year are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885950" cy="2474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885950" cy="247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8"/>
          <w:szCs w:val="8"/>
          <w:color w:val="auto"/>
        </w:rPr>
        <w:t>Annual bonus scorecard targets are not disclosed prospectively because to do so in a meaningful manner would require the disclosure</w:t>
      </w:r>
    </w:p>
    <w:p>
      <w:pPr>
        <w:spacing w:after="0" w:line="24" w:lineRule="exact"/>
        <w:rPr>
          <w:sz w:val="20"/>
          <w:szCs w:val="20"/>
          <w:color w:val="auto"/>
        </w:rPr>
      </w:pPr>
    </w:p>
    <w:p>
      <w:pPr>
        <w:ind w:right="80"/>
        <w:spacing w:after="0" w:line="231" w:lineRule="auto"/>
        <w:rPr>
          <w:sz w:val="20"/>
          <w:szCs w:val="20"/>
          <w:color w:val="auto"/>
        </w:rPr>
      </w:pPr>
      <w:r>
        <w:rPr>
          <w:rFonts w:ascii="Arial" w:cs="Arial" w:eastAsia="Arial" w:hAnsi="Arial"/>
          <w:sz w:val="10"/>
          <w:szCs w:val="10"/>
          <w:color w:val="auto"/>
        </w:rPr>
        <w:t>of commercially sensitive information. Scorecard targets will be disclosed in the subsequent Directors’ Remuneration Report when they are no longer deemed to be commercially sensitive.</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Long-term Incentive Plan</w:t>
      </w:r>
    </w:p>
    <w:p>
      <w:pPr>
        <w:spacing w:after="0" w:line="1" w:lineRule="exact"/>
        <w:rPr>
          <w:sz w:val="20"/>
          <w:szCs w:val="20"/>
          <w:color w:val="auto"/>
        </w:rPr>
      </w:pPr>
    </w:p>
    <w:p>
      <w:pPr>
        <w:ind w:right="240"/>
        <w:spacing w:after="0" w:line="231" w:lineRule="auto"/>
        <w:rPr>
          <w:sz w:val="20"/>
          <w:szCs w:val="20"/>
          <w:color w:val="auto"/>
        </w:rPr>
      </w:pPr>
      <w:r>
        <w:rPr>
          <w:rFonts w:ascii="Arial" w:cs="Arial" w:eastAsia="Arial" w:hAnsi="Arial"/>
          <w:sz w:val="10"/>
          <w:szCs w:val="10"/>
          <w:color w:val="auto"/>
        </w:rPr>
        <w:t>On March 5, 2021, a conditional award of performance shares under the LTIP was made to the Executive Directors resulting in 231,679 Royal Dutch</w:t>
      </w:r>
    </w:p>
    <w:p>
      <w:pPr>
        <w:spacing w:after="0" w:line="20" w:lineRule="exact"/>
        <w:rPr>
          <w:sz w:val="20"/>
          <w:szCs w:val="20"/>
          <w:color w:val="auto"/>
        </w:rPr>
      </w:pPr>
      <w:r>
        <w:rPr>
          <w:sz w:val="20"/>
          <w:szCs w:val="20"/>
          <w:color w:val="auto"/>
        </w:rPr>
        <w:br w:type="column"/>
      </w:r>
    </w:p>
    <w:p>
      <w:pPr>
        <w:ind w:right="120"/>
        <w:spacing w:after="0" w:line="232" w:lineRule="auto"/>
        <w:rPr>
          <w:sz w:val="20"/>
          <w:szCs w:val="20"/>
          <w:color w:val="auto"/>
        </w:rPr>
      </w:pPr>
      <w:r>
        <w:rPr>
          <w:rFonts w:ascii="Arial" w:cs="Arial" w:eastAsia="Arial" w:hAnsi="Arial"/>
          <w:sz w:val="10"/>
          <w:szCs w:val="10"/>
          <w:color w:val="auto"/>
        </w:rPr>
        <w:t>Shell plc A shares (A shares) being conditionally awarded to Ben van Beurden and 69,972 Royal Dutch Shell plc A American Depositary Shares (A ADSs) being conditionally awarded to Jessica Uhl. The award had a face value of 264.5% (maximum performance outcome 529%) of the base salary for the CEO and 248.5% (maximum performance outcome 497%) of the base salary for the CFO, excluding potential share price appreciation and dividends.</w:t>
      </w:r>
    </w:p>
    <w:p>
      <w:pPr>
        <w:spacing w:after="0" w:line="149" w:lineRule="exact"/>
        <w:rPr>
          <w:sz w:val="20"/>
          <w:szCs w:val="20"/>
          <w:color w:val="auto"/>
        </w:rPr>
      </w:pPr>
    </w:p>
    <w:p>
      <w:pPr>
        <w:ind w:right="180"/>
        <w:spacing w:after="0" w:line="307" w:lineRule="auto"/>
        <w:rPr>
          <w:sz w:val="20"/>
          <w:szCs w:val="20"/>
          <w:color w:val="auto"/>
        </w:rPr>
      </w:pPr>
      <w:r>
        <w:rPr>
          <w:rFonts w:ascii="Arial" w:cs="Arial" w:eastAsia="Arial" w:hAnsi="Arial"/>
          <w:sz w:val="8"/>
          <w:szCs w:val="8"/>
          <w:color w:val="auto"/>
        </w:rPr>
        <w:t>In making these awards, the REMCO considered the Company’s share price and determined to use the closing share price on the award. But to moderate the impact of any potential windfall gains arising from share price volatility in 2020, the 2021 awards have been reduced 11.8% for the CEO and 8.0% for the CFO from the usual target award levels. This is equivalent to a 50% of the share price reduction since the previous award. Further discussion on the REMCO's approach to managing windfall gains is set out on page 118.</w:t>
      </w:r>
    </w:p>
    <w:p>
      <w:pPr>
        <w:spacing w:after="0" w:line="123" w:lineRule="exact"/>
        <w:rPr>
          <w:sz w:val="20"/>
          <w:szCs w:val="20"/>
          <w:color w:val="auto"/>
        </w:rPr>
      </w:pPr>
    </w:p>
    <w:p>
      <w:pPr>
        <w:ind w:right="340"/>
        <w:spacing w:after="0" w:line="320" w:lineRule="auto"/>
        <w:rPr>
          <w:sz w:val="20"/>
          <w:szCs w:val="20"/>
          <w:color w:val="auto"/>
        </w:rPr>
      </w:pPr>
      <w:r>
        <w:rPr>
          <w:rFonts w:ascii="Arial" w:cs="Arial" w:eastAsia="Arial" w:hAnsi="Arial"/>
          <w:sz w:val="8"/>
          <w:szCs w:val="8"/>
          <w:color w:val="auto"/>
        </w:rPr>
        <w:t>For LTIP awards made in 2021, performance will be assessed over a three-year period based on four financial measures and an energy transition condition. The weighting of the energy transition condition has been increased to 20%, reflecting the increasing importance of delivering on the strategic business transformations required to succeed in the energy transition.</w:t>
      </w:r>
    </w:p>
    <w:p>
      <w:pPr>
        <w:spacing w:after="0" w:line="118" w:lineRule="exact"/>
        <w:rPr>
          <w:sz w:val="20"/>
          <w:szCs w:val="20"/>
          <w:color w:val="auto"/>
        </w:rPr>
      </w:pPr>
    </w:p>
    <w:p>
      <w:pPr>
        <w:spacing w:after="0"/>
        <w:rPr>
          <w:sz w:val="20"/>
          <w:szCs w:val="20"/>
          <w:color w:val="auto"/>
        </w:rPr>
      </w:pPr>
      <w:r>
        <w:rPr>
          <w:rFonts w:ascii="Arial" w:cs="Arial" w:eastAsia="Arial" w:hAnsi="Arial"/>
          <w:sz w:val="8"/>
          <w:szCs w:val="8"/>
          <w:color w:val="auto"/>
        </w:rPr>
        <w:t>The target for the FCF metric over the three-year performance period will be based on the annual operating plan and shareholder guidance.</w:t>
      </w:r>
    </w:p>
    <w:p>
      <w:pPr>
        <w:spacing w:after="0" w:line="24" w:lineRule="exact"/>
        <w:rPr>
          <w:sz w:val="20"/>
          <w:szCs w:val="20"/>
          <w:color w:val="auto"/>
        </w:rPr>
      </w:pPr>
    </w:p>
    <w:p>
      <w:pPr>
        <w:spacing w:after="0"/>
        <w:rPr>
          <w:sz w:val="20"/>
          <w:szCs w:val="20"/>
          <w:color w:val="auto"/>
        </w:rPr>
      </w:pPr>
      <w:r>
        <w:rPr>
          <w:rFonts w:ascii="Arial" w:cs="Arial" w:eastAsia="Arial" w:hAnsi="Arial"/>
          <w:sz w:val="8"/>
          <w:szCs w:val="8"/>
          <w:color w:val="auto"/>
        </w:rPr>
        <w:t>These targets are considered commercially sensitive and will be disclosed retrospectively, with annual updates on progress provided.</w:t>
      </w:r>
    </w:p>
    <w:p>
      <w:pPr>
        <w:spacing w:after="0" w:line="170" w:lineRule="exact"/>
        <w:rPr>
          <w:sz w:val="20"/>
          <w:szCs w:val="20"/>
          <w:color w:val="auto"/>
        </w:rPr>
      </w:pPr>
    </w:p>
    <w:p>
      <w:pPr>
        <w:ind w:right="380"/>
        <w:spacing w:after="0" w:line="113" w:lineRule="exact"/>
        <w:rPr>
          <w:sz w:val="20"/>
          <w:szCs w:val="20"/>
          <w:color w:val="auto"/>
        </w:rPr>
      </w:pPr>
      <w:r>
        <w:rPr>
          <w:rFonts w:ascii="Arial" w:cs="Arial" w:eastAsia="Arial" w:hAnsi="Arial"/>
          <w:sz w:val="8"/>
          <w:szCs w:val="8"/>
          <w:color w:val="auto"/>
        </w:rPr>
        <w:t>The NCF target range for the 2021-2023 LTIP grant is set as a 6-8% reduction from the 2016 NCF of 79 grams of CO</w:t>
      </w:r>
      <w:r>
        <w:rPr>
          <w:rFonts w:ascii="MS PGothic" w:cs="MS PGothic" w:eastAsia="MS PGothic" w:hAnsi="MS PGothic"/>
          <w:sz w:val="5"/>
          <w:szCs w:val="5"/>
          <w:color w:val="auto"/>
        </w:rPr>
        <w:t>₂</w:t>
      </w:r>
      <w:r>
        <w:rPr>
          <w:rFonts w:ascii="Arial" w:cs="Arial" w:eastAsia="Arial" w:hAnsi="Arial"/>
          <w:sz w:val="8"/>
          <w:szCs w:val="8"/>
          <w:color w:val="auto"/>
        </w:rPr>
        <w:t xml:space="preserve"> equivalent per megajoule. Our leading measures have also evolved as we have deepened our understanding of the speed and direction of the energy transition and revised our business strategies. For 2021-2023 we will measure performance based on three baskets of leading measures:</w:t>
      </w:r>
    </w:p>
    <w:p>
      <w:pPr>
        <w:spacing w:after="0" w:line="1" w:lineRule="exact"/>
        <w:rPr>
          <w:sz w:val="20"/>
          <w:szCs w:val="20"/>
          <w:color w:val="auto"/>
        </w:rPr>
      </w:pPr>
    </w:p>
    <w:p>
      <w:pPr>
        <w:ind w:left="260" w:hanging="251"/>
        <w:spacing w:after="0"/>
        <w:tabs>
          <w:tab w:leader="none" w:pos="260" w:val="left"/>
        </w:tabs>
        <w:numPr>
          <w:ilvl w:val="0"/>
          <w:numId w:val="141"/>
        </w:numPr>
        <w:rPr>
          <w:rFonts w:ascii="Arial" w:cs="Arial" w:eastAsia="Arial" w:hAnsi="Arial"/>
          <w:sz w:val="10"/>
          <w:szCs w:val="10"/>
          <w:color w:val="auto"/>
        </w:rPr>
      </w:pPr>
      <w:r>
        <w:rPr>
          <w:rFonts w:ascii="Arial" w:cs="Arial" w:eastAsia="Arial" w:hAnsi="Arial"/>
          <w:sz w:val="10"/>
          <w:szCs w:val="10"/>
          <w:color w:val="auto"/>
        </w:rPr>
        <w:t>building the foundations of a material Power business;</w:t>
      </w:r>
    </w:p>
    <w:p>
      <w:pPr>
        <w:spacing w:after="0" w:line="2" w:lineRule="exact"/>
        <w:rPr>
          <w:rFonts w:ascii="Arial" w:cs="Arial" w:eastAsia="Arial" w:hAnsi="Arial"/>
          <w:sz w:val="10"/>
          <w:szCs w:val="10"/>
          <w:color w:val="auto"/>
        </w:rPr>
      </w:pPr>
    </w:p>
    <w:p>
      <w:pPr>
        <w:ind w:left="260" w:hanging="251"/>
        <w:spacing w:after="0" w:line="232" w:lineRule="auto"/>
        <w:tabs>
          <w:tab w:leader="none" w:pos="260" w:val="left"/>
        </w:tabs>
        <w:numPr>
          <w:ilvl w:val="0"/>
          <w:numId w:val="141"/>
        </w:numPr>
        <w:rPr>
          <w:rFonts w:ascii="Arial" w:cs="Arial" w:eastAsia="Arial" w:hAnsi="Arial"/>
          <w:sz w:val="10"/>
          <w:szCs w:val="10"/>
          <w:color w:val="auto"/>
        </w:rPr>
      </w:pPr>
      <w:r>
        <w:rPr>
          <w:rFonts w:ascii="Arial" w:cs="Arial" w:eastAsia="Arial" w:hAnsi="Arial"/>
          <w:sz w:val="10"/>
          <w:szCs w:val="10"/>
          <w:color w:val="auto"/>
        </w:rPr>
        <w:t>growing new clean(er) energy product offerings; and</w:t>
      </w:r>
    </w:p>
    <w:p>
      <w:pPr>
        <w:ind w:left="260" w:hanging="251"/>
        <w:spacing w:after="0" w:line="236" w:lineRule="auto"/>
        <w:tabs>
          <w:tab w:leader="none" w:pos="260" w:val="left"/>
        </w:tabs>
        <w:numPr>
          <w:ilvl w:val="0"/>
          <w:numId w:val="141"/>
        </w:numPr>
        <w:rPr>
          <w:rFonts w:ascii="Arial" w:cs="Arial" w:eastAsia="Arial" w:hAnsi="Arial"/>
          <w:sz w:val="10"/>
          <w:szCs w:val="10"/>
          <w:color w:val="auto"/>
        </w:rPr>
      </w:pPr>
      <w:r>
        <w:rPr>
          <w:rFonts w:ascii="Arial" w:cs="Arial" w:eastAsia="Arial" w:hAnsi="Arial"/>
          <w:sz w:val="10"/>
          <w:szCs w:val="10"/>
          <w:color w:val="auto"/>
        </w:rPr>
        <w:t>developing carbon sinks.</w:t>
      </w:r>
    </w:p>
    <w:p>
      <w:pPr>
        <w:spacing w:after="0" w:line="149" w:lineRule="exact"/>
        <w:rPr>
          <w:sz w:val="20"/>
          <w:szCs w:val="20"/>
          <w:color w:val="auto"/>
        </w:rPr>
      </w:pPr>
    </w:p>
    <w:p>
      <w:pPr>
        <w:jc w:val="center"/>
        <w:ind w:right="300"/>
        <w:spacing w:after="0"/>
        <w:rPr>
          <w:sz w:val="20"/>
          <w:szCs w:val="20"/>
          <w:color w:val="auto"/>
        </w:rPr>
      </w:pPr>
      <w:r>
        <w:rPr>
          <w:rFonts w:ascii="Arial" w:cs="Arial" w:eastAsia="Arial" w:hAnsi="Arial"/>
          <w:sz w:val="8"/>
          <w:szCs w:val="8"/>
          <w:color w:val="auto"/>
        </w:rPr>
        <w:t>The targets for these leading energy transition measures are commercially sensitive, and will be disclosed retrospectively where possible.</w:t>
      </w:r>
    </w:p>
    <w:p>
      <w:pPr>
        <w:spacing w:after="0" w:line="178" w:lineRule="exact"/>
        <w:rPr>
          <w:sz w:val="20"/>
          <w:szCs w:val="20"/>
          <w:color w:val="auto"/>
        </w:rPr>
      </w:pPr>
    </w:p>
    <w:p>
      <w:pPr>
        <w:spacing w:after="0"/>
        <w:rPr>
          <w:sz w:val="20"/>
          <w:szCs w:val="20"/>
          <w:color w:val="auto"/>
        </w:rPr>
      </w:pPr>
      <w:r>
        <w:rPr>
          <w:rFonts w:ascii="Arial" w:cs="Arial" w:eastAsia="Arial" w:hAnsi="Arial"/>
          <w:sz w:val="10"/>
          <w:szCs w:val="10"/>
          <w:color w:val="auto"/>
        </w:rPr>
        <w:t>Discretion, adjustment (malus) and recovery (clawback)</w:t>
      </w:r>
    </w:p>
    <w:p>
      <w:pPr>
        <w:spacing w:after="0" w:line="1" w:lineRule="exact"/>
        <w:rPr>
          <w:sz w:val="20"/>
          <w:szCs w:val="20"/>
          <w:color w:val="auto"/>
        </w:rPr>
      </w:pPr>
    </w:p>
    <w:p>
      <w:pPr>
        <w:jc w:val="both"/>
        <w:ind w:right="140"/>
        <w:spacing w:after="0" w:line="229" w:lineRule="auto"/>
        <w:rPr>
          <w:sz w:val="20"/>
          <w:szCs w:val="20"/>
          <w:color w:val="auto"/>
        </w:rPr>
      </w:pPr>
      <w:r>
        <w:rPr>
          <w:rFonts w:ascii="Arial" w:cs="Arial" w:eastAsia="Arial" w:hAnsi="Arial"/>
          <w:sz w:val="10"/>
          <w:szCs w:val="10"/>
          <w:color w:val="auto"/>
        </w:rPr>
        <w:t>Variable pay elements are subject to adjustment (malus) and recovery (clawback) provisions. The REMCO may adjust an award, for example by lapsing part or all of it, reducing the number of shares which would otherwise vest, by imposing additional conditions on it, or imposing a new holding period or applying clawback.</w:t>
      </w:r>
    </w:p>
    <w:p>
      <w:pPr>
        <w:spacing w:after="0" w:line="149" w:lineRule="exact"/>
        <w:rPr>
          <w:sz w:val="20"/>
          <w:szCs w:val="20"/>
          <w:color w:val="auto"/>
        </w:rPr>
      </w:pPr>
    </w:p>
    <w:p>
      <w:pPr>
        <w:ind w:right="300"/>
        <w:spacing w:after="0" w:line="239" w:lineRule="auto"/>
        <w:rPr>
          <w:sz w:val="20"/>
          <w:szCs w:val="20"/>
          <w:color w:val="auto"/>
        </w:rPr>
      </w:pPr>
      <w:r>
        <w:rPr>
          <w:rFonts w:ascii="Arial" w:cs="Arial" w:eastAsia="Arial" w:hAnsi="Arial"/>
          <w:sz w:val="10"/>
          <w:szCs w:val="10"/>
          <w:color w:val="auto"/>
        </w:rPr>
        <w:t>Please refer to the policy section on pages 138, 140 and 142 for a full description of the circumstances under which discretion, malus and clawback might be applied to a variable pay award.</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Pension</w:t>
      </w:r>
    </w:p>
    <w:p>
      <w:pPr>
        <w:spacing w:after="0" w:line="1" w:lineRule="exact"/>
        <w:rPr>
          <w:sz w:val="20"/>
          <w:szCs w:val="20"/>
          <w:color w:val="auto"/>
        </w:rPr>
      </w:pPr>
    </w:p>
    <w:p>
      <w:pPr>
        <w:ind w:right="180"/>
        <w:spacing w:after="0" w:line="337" w:lineRule="auto"/>
        <w:rPr>
          <w:sz w:val="20"/>
          <w:szCs w:val="20"/>
          <w:color w:val="auto"/>
        </w:rPr>
      </w:pPr>
      <w:r>
        <w:rPr>
          <w:rFonts w:ascii="Arial" w:cs="Arial" w:eastAsia="Arial" w:hAnsi="Arial"/>
          <w:sz w:val="8"/>
          <w:szCs w:val="8"/>
          <w:color w:val="auto"/>
        </w:rPr>
        <w:t>Ben van Beurden’s pension arrangements comprise a defined benefit plan for which the maximum pensionable salary has increased to €100,861 for 2021 and a net pay defined contribution pension plan with an employer contribution of 27% of salary in excess of this amount.</w:t>
      </w:r>
    </w:p>
    <w:p>
      <w:pPr>
        <w:spacing w:after="0" w:line="112" w:lineRule="exact"/>
        <w:rPr>
          <w:sz w:val="20"/>
          <w:szCs w:val="20"/>
          <w:color w:val="auto"/>
        </w:rPr>
      </w:pPr>
    </w:p>
    <w:p>
      <w:pPr>
        <w:jc w:val="both"/>
        <w:ind w:right="160"/>
        <w:spacing w:after="0" w:line="234" w:lineRule="auto"/>
        <w:rPr>
          <w:sz w:val="20"/>
          <w:szCs w:val="20"/>
          <w:color w:val="auto"/>
        </w:rPr>
      </w:pPr>
      <w:r>
        <w:rPr>
          <w:rFonts w:ascii="Arial" w:cs="Arial" w:eastAsia="Arial" w:hAnsi="Arial"/>
          <w:sz w:val="10"/>
          <w:szCs w:val="10"/>
          <w:color w:val="auto"/>
        </w:rPr>
        <w:t>Jessica Uhl’s US retirement benefit arrangements include the Shell Pension Plan, a defined benefit plan, and a defined contribution plan with an employer contribution of 10% of salary. She also has a deferred Dutch defined benefit pension plan, as a result of a prior Shell assignment on local Dutch terms and conditions.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Further details of Executive Director pension arrangements can be found on page 125.</w:t>
      </w:r>
    </w:p>
    <w:p>
      <w:pPr>
        <w:spacing w:after="0" w:line="1556" w:lineRule="exact"/>
        <w:rPr>
          <w:sz w:val="20"/>
          <w:szCs w:val="20"/>
          <w:color w:val="auto"/>
        </w:rPr>
      </w:pPr>
    </w:p>
    <w:p>
      <w:pPr>
        <w:sectPr>
          <w:pgSz w:w="11900" w:h="16838" w:orient="portrait"/>
          <w:cols w:equalWidth="0" w:num="2">
            <w:col w:w="5440" w:space="280"/>
            <w:col w:w="5580"/>
          </w:cols>
          <w:pgMar w:left="300" w:top="640" w:right="299" w:bottom="1440" w:gutter="0" w:footer="0" w:header="0"/>
        </w:sect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134</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414655</wp:posOffset>
            </wp:positionV>
            <wp:extent cx="2834640" cy="53835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2834640" cy="538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135</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38" w:name="page139"/>
    <w:bookmarkEnd w:id="138"/>
    <w:p>
      <w:pPr>
        <w:spacing w:after="0" w:line="335" w:lineRule="exact"/>
        <w:rPr>
          <w:sz w:val="20"/>
          <w:szCs w:val="20"/>
          <w:color w:val="auto"/>
        </w:rPr>
      </w:pPr>
    </w:p>
    <w:p>
      <w:pPr>
        <w:spacing w:after="0"/>
        <w:rPr>
          <w:sz w:val="20"/>
          <w:szCs w:val="20"/>
          <w:color w:val="auto"/>
        </w:rPr>
      </w:pPr>
      <w:r>
        <w:rPr>
          <w:rFonts w:ascii="Arial" w:cs="Arial" w:eastAsia="Arial" w:hAnsi="Arial"/>
          <w:sz w:val="10"/>
          <w:szCs w:val="10"/>
          <w:color w:val="auto"/>
        </w:rPr>
        <w:t>Non-executive Directors’ fees</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Non-executive Directors’ fees 2021</w:t>
      </w:r>
    </w:p>
    <w:p>
      <w:pPr>
        <w:spacing w:after="0" w:line="33" w:lineRule="exact"/>
        <w:rPr>
          <w:sz w:val="20"/>
          <w:szCs w:val="20"/>
          <w:color w:val="auto"/>
        </w:rPr>
      </w:pPr>
    </w:p>
    <w:p>
      <w:pPr>
        <w:jc w:val="both"/>
        <w:ind w:left="5660"/>
        <w:spacing w:after="0"/>
        <w:tabs>
          <w:tab w:leader="none" w:pos="8480" w:val="left"/>
        </w:tabs>
        <w:rPr>
          <w:sz w:val="20"/>
          <w:szCs w:val="20"/>
          <w:color w:val="auto"/>
        </w:rPr>
      </w:pPr>
      <w:r>
        <w:rPr>
          <w:rFonts w:ascii="Arial" w:cs="Arial" w:eastAsia="Arial" w:hAnsi="Arial"/>
          <w:sz w:val="8"/>
          <w:szCs w:val="8"/>
          <w:color w:val="auto"/>
        </w:rPr>
        <w:t>€</w:t>
      </w:r>
      <w:r>
        <w:rPr>
          <w:sz w:val="20"/>
          <w:szCs w:val="20"/>
          <w:color w:val="auto"/>
        </w:rPr>
        <w:tab/>
      </w:r>
      <w:r>
        <w:rPr>
          <w:rFonts w:ascii="Arial" w:cs="Arial" w:eastAsia="Arial" w:hAnsi="Arial"/>
          <w:sz w:val="8"/>
          <w:szCs w:val="8"/>
          <w:color w:val="auto"/>
        </w:rPr>
        <w:t>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02945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02945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3680" w:type="dxa"/>
            <w:vAlign w:val="bottom"/>
          </w:tcPr>
          <w:p>
            <w:pPr>
              <w:spacing w:after="0"/>
              <w:rPr>
                <w:sz w:val="20"/>
                <w:szCs w:val="20"/>
                <w:color w:val="auto"/>
              </w:rPr>
            </w:pPr>
            <w:r>
              <w:rPr>
                <w:rFonts w:ascii="Arial" w:cs="Arial" w:eastAsia="Arial" w:hAnsi="Arial"/>
                <w:sz w:val="8"/>
                <w:szCs w:val="8"/>
                <w:color w:val="auto"/>
              </w:rPr>
              <w:t>Chair of the Board</w:t>
            </w:r>
          </w:p>
        </w:tc>
        <w:tc>
          <w:tcPr>
            <w:tcW w:w="4800" w:type="dxa"/>
            <w:vAlign w:val="bottom"/>
          </w:tcPr>
          <w:p>
            <w:pPr>
              <w:ind w:left="1980"/>
              <w:spacing w:after="0"/>
              <w:rPr>
                <w:sz w:val="20"/>
                <w:szCs w:val="20"/>
                <w:color w:val="auto"/>
              </w:rPr>
            </w:pPr>
            <w:r>
              <w:rPr>
                <w:rFonts w:ascii="Arial" w:cs="Arial" w:eastAsia="Arial" w:hAnsi="Arial"/>
                <w:sz w:val="8"/>
                <w:szCs w:val="8"/>
                <w:color w:val="auto"/>
              </w:rPr>
              <w:t>850,000</w:t>
            </w:r>
          </w:p>
        </w:tc>
      </w:tr>
      <w:tr>
        <w:trPr>
          <w:trHeight w:val="21"/>
        </w:trPr>
        <w:tc>
          <w:tcPr>
            <w:tcW w:w="3680" w:type="dxa"/>
            <w:vAlign w:val="bottom"/>
            <w:tcBorders>
              <w:bottom w:val="single" w:sz="8" w:color="494949"/>
            </w:tcBorders>
          </w:tcPr>
          <w:p>
            <w:pPr>
              <w:spacing w:after="0" w:line="20" w:lineRule="exact"/>
              <w:rPr>
                <w:sz w:val="1"/>
                <w:szCs w:val="1"/>
                <w:color w:val="auto"/>
              </w:rPr>
            </w:pPr>
          </w:p>
        </w:tc>
        <w:tc>
          <w:tcPr>
            <w:tcW w:w="4800" w:type="dxa"/>
            <w:vAlign w:val="bottom"/>
            <w:tcBorders>
              <w:bottom w:val="single" w:sz="8" w:color="494949"/>
            </w:tcBorders>
          </w:tcPr>
          <w:p>
            <w:pPr>
              <w:spacing w:after="0" w:line="20" w:lineRule="exact"/>
              <w:rPr>
                <w:sz w:val="1"/>
                <w:szCs w:val="1"/>
                <w:color w:val="auto"/>
              </w:rPr>
            </w:pPr>
          </w:p>
        </w:tc>
      </w:tr>
      <w:tr>
        <w:trPr>
          <w:trHeight w:val="103"/>
        </w:trPr>
        <w:tc>
          <w:tcPr>
            <w:tcW w:w="3680" w:type="dxa"/>
            <w:vAlign w:val="bottom"/>
          </w:tcPr>
          <w:p>
            <w:pPr>
              <w:spacing w:after="0"/>
              <w:rPr>
                <w:sz w:val="20"/>
                <w:szCs w:val="20"/>
                <w:color w:val="auto"/>
              </w:rPr>
            </w:pPr>
            <w:r>
              <w:rPr>
                <w:rFonts w:ascii="Arial" w:cs="Arial" w:eastAsia="Arial" w:hAnsi="Arial"/>
                <w:sz w:val="8"/>
                <w:szCs w:val="8"/>
                <w:color w:val="auto"/>
              </w:rPr>
              <w:t>Non-executive Director</w:t>
            </w:r>
          </w:p>
        </w:tc>
        <w:tc>
          <w:tcPr>
            <w:tcW w:w="4800" w:type="dxa"/>
            <w:vAlign w:val="bottom"/>
          </w:tcPr>
          <w:p>
            <w:pPr>
              <w:ind w:left="1980"/>
              <w:spacing w:after="0"/>
              <w:rPr>
                <w:sz w:val="20"/>
                <w:szCs w:val="20"/>
                <w:color w:val="auto"/>
              </w:rPr>
            </w:pPr>
            <w:r>
              <w:rPr>
                <w:rFonts w:ascii="Arial" w:cs="Arial" w:eastAsia="Arial" w:hAnsi="Arial"/>
                <w:sz w:val="8"/>
                <w:szCs w:val="8"/>
                <w:color w:val="auto"/>
              </w:rPr>
              <w:t>135,000</w:t>
            </w:r>
          </w:p>
        </w:tc>
      </w:tr>
      <w:tr>
        <w:trPr>
          <w:trHeight w:val="21"/>
        </w:trPr>
        <w:tc>
          <w:tcPr>
            <w:tcW w:w="3680" w:type="dxa"/>
            <w:vAlign w:val="bottom"/>
            <w:tcBorders>
              <w:bottom w:val="single" w:sz="8" w:color="494949"/>
            </w:tcBorders>
          </w:tcPr>
          <w:p>
            <w:pPr>
              <w:spacing w:after="0" w:line="20" w:lineRule="exact"/>
              <w:rPr>
                <w:sz w:val="1"/>
                <w:szCs w:val="1"/>
                <w:color w:val="auto"/>
              </w:rPr>
            </w:pPr>
          </w:p>
        </w:tc>
        <w:tc>
          <w:tcPr>
            <w:tcW w:w="4800" w:type="dxa"/>
            <w:vAlign w:val="bottom"/>
            <w:tcBorders>
              <w:bottom w:val="single" w:sz="8" w:color="494949"/>
            </w:tcBorders>
          </w:tcPr>
          <w:p>
            <w:pPr>
              <w:spacing w:after="0" w:line="20" w:lineRule="exact"/>
              <w:rPr>
                <w:sz w:val="1"/>
                <w:szCs w:val="1"/>
                <w:color w:val="auto"/>
              </w:rPr>
            </w:pPr>
          </w:p>
        </w:tc>
      </w:tr>
      <w:tr>
        <w:trPr>
          <w:trHeight w:val="103"/>
        </w:trPr>
        <w:tc>
          <w:tcPr>
            <w:tcW w:w="3680" w:type="dxa"/>
            <w:vAlign w:val="bottom"/>
          </w:tcPr>
          <w:p>
            <w:pPr>
              <w:spacing w:after="0"/>
              <w:rPr>
                <w:sz w:val="20"/>
                <w:szCs w:val="20"/>
                <w:color w:val="auto"/>
              </w:rPr>
            </w:pPr>
            <w:r>
              <w:rPr>
                <w:rFonts w:ascii="Arial" w:cs="Arial" w:eastAsia="Arial" w:hAnsi="Arial"/>
                <w:sz w:val="8"/>
                <w:szCs w:val="8"/>
                <w:color w:val="auto"/>
              </w:rPr>
              <w:t>Senior Independent Director</w:t>
            </w:r>
          </w:p>
        </w:tc>
        <w:tc>
          <w:tcPr>
            <w:tcW w:w="4800" w:type="dxa"/>
            <w:vAlign w:val="bottom"/>
          </w:tcPr>
          <w:p>
            <w:pPr>
              <w:ind w:left="1980"/>
              <w:spacing w:after="0"/>
              <w:rPr>
                <w:sz w:val="20"/>
                <w:szCs w:val="20"/>
                <w:color w:val="auto"/>
              </w:rPr>
            </w:pPr>
            <w:r>
              <w:rPr>
                <w:rFonts w:ascii="Arial" w:cs="Arial" w:eastAsia="Arial" w:hAnsi="Arial"/>
                <w:sz w:val="8"/>
                <w:szCs w:val="8"/>
                <w:color w:val="auto"/>
              </w:rPr>
              <w:t>55,000</w:t>
            </w:r>
          </w:p>
        </w:tc>
      </w:tr>
      <w:tr>
        <w:trPr>
          <w:trHeight w:val="21"/>
        </w:trPr>
        <w:tc>
          <w:tcPr>
            <w:tcW w:w="3680" w:type="dxa"/>
            <w:vAlign w:val="bottom"/>
            <w:tcBorders>
              <w:bottom w:val="single" w:sz="8" w:color="494949"/>
            </w:tcBorders>
          </w:tcPr>
          <w:p>
            <w:pPr>
              <w:spacing w:after="0" w:line="20" w:lineRule="exact"/>
              <w:rPr>
                <w:sz w:val="1"/>
                <w:szCs w:val="1"/>
                <w:color w:val="auto"/>
              </w:rPr>
            </w:pPr>
          </w:p>
        </w:tc>
        <w:tc>
          <w:tcPr>
            <w:tcW w:w="4800" w:type="dxa"/>
            <w:vAlign w:val="bottom"/>
            <w:tcBorders>
              <w:bottom w:val="single" w:sz="8" w:color="494949"/>
            </w:tcBorders>
          </w:tcPr>
          <w:p>
            <w:pPr>
              <w:spacing w:after="0" w:line="20" w:lineRule="exact"/>
              <w:rPr>
                <w:sz w:val="1"/>
                <w:szCs w:val="1"/>
                <w:color w:val="auto"/>
              </w:rPr>
            </w:pPr>
          </w:p>
        </w:tc>
      </w:tr>
      <w:tr>
        <w:trPr>
          <w:trHeight w:val="103"/>
        </w:trPr>
        <w:tc>
          <w:tcPr>
            <w:tcW w:w="3680" w:type="dxa"/>
            <w:vAlign w:val="bottom"/>
          </w:tcPr>
          <w:p>
            <w:pPr>
              <w:spacing w:after="0"/>
              <w:rPr>
                <w:sz w:val="20"/>
                <w:szCs w:val="20"/>
                <w:color w:val="auto"/>
              </w:rPr>
            </w:pPr>
            <w:r>
              <w:rPr>
                <w:rFonts w:ascii="Arial" w:cs="Arial" w:eastAsia="Arial" w:hAnsi="Arial"/>
                <w:sz w:val="8"/>
                <w:szCs w:val="8"/>
                <w:color w:val="auto"/>
              </w:rPr>
              <w:t>Audit Committee</w:t>
            </w:r>
          </w:p>
        </w:tc>
        <w:tc>
          <w:tcPr>
            <w:tcW w:w="4800" w:type="dxa"/>
            <w:vAlign w:val="bottom"/>
          </w:tcPr>
          <w:p>
            <w:pPr>
              <w:spacing w:after="0"/>
              <w:rPr>
                <w:sz w:val="8"/>
                <w:szCs w:val="8"/>
                <w:color w:val="auto"/>
              </w:rPr>
            </w:pPr>
          </w:p>
        </w:tc>
      </w:tr>
      <w:tr>
        <w:trPr>
          <w:trHeight w:val="21"/>
        </w:trPr>
        <w:tc>
          <w:tcPr>
            <w:tcW w:w="3680" w:type="dxa"/>
            <w:vAlign w:val="bottom"/>
            <w:tcBorders>
              <w:bottom w:val="single" w:sz="8" w:color="494949"/>
            </w:tcBorders>
          </w:tcPr>
          <w:p>
            <w:pPr>
              <w:spacing w:after="0" w:line="20" w:lineRule="exact"/>
              <w:rPr>
                <w:sz w:val="1"/>
                <w:szCs w:val="1"/>
                <w:color w:val="auto"/>
              </w:rPr>
            </w:pPr>
          </w:p>
        </w:tc>
        <w:tc>
          <w:tcPr>
            <w:tcW w:w="4800" w:type="dxa"/>
            <w:vAlign w:val="bottom"/>
            <w:tcBorders>
              <w:bottom w:val="single" w:sz="8" w:color="494949"/>
            </w:tcBorders>
          </w:tcPr>
          <w:p>
            <w:pPr>
              <w:spacing w:after="0" w:line="20" w:lineRule="exact"/>
              <w:rPr>
                <w:sz w:val="1"/>
                <w:szCs w:val="1"/>
                <w:color w:val="auto"/>
              </w:rPr>
            </w:pPr>
          </w:p>
        </w:tc>
      </w:tr>
      <w:tr>
        <w:trPr>
          <w:trHeight w:val="103"/>
        </w:trPr>
        <w:tc>
          <w:tcPr>
            <w:tcW w:w="3680" w:type="dxa"/>
            <w:vAlign w:val="bottom"/>
          </w:tcPr>
          <w:p>
            <w:pPr>
              <w:ind w:left="80"/>
              <w:spacing w:after="0"/>
              <w:rPr>
                <w:sz w:val="20"/>
                <w:szCs w:val="20"/>
                <w:color w:val="auto"/>
              </w:rPr>
            </w:pPr>
            <w:r>
              <w:rPr>
                <w:rFonts w:ascii="Arial" w:cs="Arial" w:eastAsia="Arial" w:hAnsi="Arial"/>
                <w:sz w:val="8"/>
                <w:szCs w:val="8"/>
                <w:color w:val="auto"/>
              </w:rPr>
              <w:t>Chair [A]</w:t>
            </w:r>
          </w:p>
        </w:tc>
        <w:tc>
          <w:tcPr>
            <w:tcW w:w="4800" w:type="dxa"/>
            <w:vAlign w:val="bottom"/>
          </w:tcPr>
          <w:p>
            <w:pPr>
              <w:ind w:left="1980"/>
              <w:spacing w:after="0"/>
              <w:rPr>
                <w:sz w:val="20"/>
                <w:szCs w:val="20"/>
                <w:color w:val="auto"/>
              </w:rPr>
            </w:pPr>
            <w:r>
              <w:rPr>
                <w:rFonts w:ascii="Arial" w:cs="Arial" w:eastAsia="Arial" w:hAnsi="Arial"/>
                <w:sz w:val="8"/>
                <w:szCs w:val="8"/>
                <w:color w:val="auto"/>
              </w:rPr>
              <w:t>60,000</w:t>
            </w:r>
          </w:p>
        </w:tc>
      </w:tr>
      <w:tr>
        <w:trPr>
          <w:trHeight w:val="21"/>
        </w:trPr>
        <w:tc>
          <w:tcPr>
            <w:tcW w:w="3680" w:type="dxa"/>
            <w:vAlign w:val="bottom"/>
            <w:tcBorders>
              <w:bottom w:val="single" w:sz="8" w:color="494949"/>
            </w:tcBorders>
          </w:tcPr>
          <w:p>
            <w:pPr>
              <w:spacing w:after="0" w:line="20" w:lineRule="exact"/>
              <w:rPr>
                <w:sz w:val="1"/>
                <w:szCs w:val="1"/>
                <w:color w:val="auto"/>
              </w:rPr>
            </w:pPr>
          </w:p>
        </w:tc>
        <w:tc>
          <w:tcPr>
            <w:tcW w:w="4800" w:type="dxa"/>
            <w:vAlign w:val="bottom"/>
            <w:tcBorders>
              <w:bottom w:val="single" w:sz="8" w:color="494949"/>
            </w:tcBorders>
          </w:tcPr>
          <w:p>
            <w:pPr>
              <w:spacing w:after="0" w:line="20" w:lineRule="exact"/>
              <w:rPr>
                <w:sz w:val="1"/>
                <w:szCs w:val="1"/>
                <w:color w:val="auto"/>
              </w:rPr>
            </w:pPr>
          </w:p>
        </w:tc>
      </w:tr>
      <w:tr>
        <w:trPr>
          <w:trHeight w:val="103"/>
        </w:trPr>
        <w:tc>
          <w:tcPr>
            <w:tcW w:w="3680" w:type="dxa"/>
            <w:vAlign w:val="bottom"/>
          </w:tcPr>
          <w:p>
            <w:pPr>
              <w:ind w:left="80"/>
              <w:spacing w:after="0"/>
              <w:rPr>
                <w:sz w:val="20"/>
                <w:szCs w:val="20"/>
                <w:color w:val="auto"/>
              </w:rPr>
            </w:pPr>
            <w:r>
              <w:rPr>
                <w:rFonts w:ascii="Arial" w:cs="Arial" w:eastAsia="Arial" w:hAnsi="Arial"/>
                <w:sz w:val="8"/>
                <w:szCs w:val="8"/>
                <w:color w:val="auto"/>
              </w:rPr>
              <w:t>Member</w:t>
            </w:r>
          </w:p>
        </w:tc>
        <w:tc>
          <w:tcPr>
            <w:tcW w:w="4800" w:type="dxa"/>
            <w:vAlign w:val="bottom"/>
          </w:tcPr>
          <w:p>
            <w:pPr>
              <w:ind w:left="1980"/>
              <w:spacing w:after="0"/>
              <w:rPr>
                <w:sz w:val="20"/>
                <w:szCs w:val="20"/>
                <w:color w:val="auto"/>
              </w:rPr>
            </w:pPr>
            <w:r>
              <w:rPr>
                <w:rFonts w:ascii="Arial" w:cs="Arial" w:eastAsia="Arial" w:hAnsi="Arial"/>
                <w:sz w:val="8"/>
                <w:szCs w:val="8"/>
                <w:color w:val="auto"/>
              </w:rPr>
              <w:t>25,000</w:t>
            </w:r>
          </w:p>
        </w:tc>
      </w:tr>
      <w:tr>
        <w:trPr>
          <w:trHeight w:val="21"/>
        </w:trPr>
        <w:tc>
          <w:tcPr>
            <w:tcW w:w="3680" w:type="dxa"/>
            <w:vAlign w:val="bottom"/>
            <w:tcBorders>
              <w:bottom w:val="single" w:sz="8" w:color="494949"/>
            </w:tcBorders>
          </w:tcPr>
          <w:p>
            <w:pPr>
              <w:spacing w:after="0" w:line="20" w:lineRule="exact"/>
              <w:rPr>
                <w:sz w:val="1"/>
                <w:szCs w:val="1"/>
                <w:color w:val="auto"/>
              </w:rPr>
            </w:pPr>
          </w:p>
        </w:tc>
        <w:tc>
          <w:tcPr>
            <w:tcW w:w="4800" w:type="dxa"/>
            <w:vAlign w:val="bottom"/>
            <w:tcBorders>
              <w:bottom w:val="single" w:sz="8" w:color="494949"/>
            </w:tcBorders>
          </w:tcPr>
          <w:p>
            <w:pPr>
              <w:spacing w:after="0" w:line="20" w:lineRule="exact"/>
              <w:rPr>
                <w:sz w:val="1"/>
                <w:szCs w:val="1"/>
                <w:color w:val="auto"/>
              </w:rPr>
            </w:pPr>
          </w:p>
        </w:tc>
      </w:tr>
      <w:tr>
        <w:trPr>
          <w:trHeight w:val="103"/>
        </w:trPr>
        <w:tc>
          <w:tcPr>
            <w:tcW w:w="3680" w:type="dxa"/>
            <w:vAlign w:val="bottom"/>
          </w:tcPr>
          <w:p>
            <w:pPr>
              <w:spacing w:after="0"/>
              <w:rPr>
                <w:sz w:val="20"/>
                <w:szCs w:val="20"/>
                <w:color w:val="auto"/>
              </w:rPr>
            </w:pPr>
            <w:r>
              <w:rPr>
                <w:rFonts w:ascii="Arial" w:cs="Arial" w:eastAsia="Arial" w:hAnsi="Arial"/>
                <w:sz w:val="8"/>
                <w:szCs w:val="8"/>
                <w:color w:val="auto"/>
              </w:rPr>
              <w:t>Safety, Environment and Sustainability Committee</w:t>
            </w:r>
          </w:p>
        </w:tc>
        <w:tc>
          <w:tcPr>
            <w:tcW w:w="4800" w:type="dxa"/>
            <w:vAlign w:val="bottom"/>
          </w:tcPr>
          <w:p>
            <w:pPr>
              <w:spacing w:after="0"/>
              <w:rPr>
                <w:sz w:val="8"/>
                <w:szCs w:val="8"/>
                <w:color w:val="auto"/>
              </w:rPr>
            </w:pPr>
          </w:p>
        </w:tc>
      </w:tr>
      <w:tr>
        <w:trPr>
          <w:trHeight w:val="21"/>
        </w:trPr>
        <w:tc>
          <w:tcPr>
            <w:tcW w:w="3680" w:type="dxa"/>
            <w:vAlign w:val="bottom"/>
            <w:tcBorders>
              <w:bottom w:val="single" w:sz="8" w:color="494949"/>
            </w:tcBorders>
          </w:tcPr>
          <w:p>
            <w:pPr>
              <w:spacing w:after="0" w:line="20" w:lineRule="exact"/>
              <w:rPr>
                <w:sz w:val="1"/>
                <w:szCs w:val="1"/>
                <w:color w:val="auto"/>
              </w:rPr>
            </w:pPr>
          </w:p>
        </w:tc>
        <w:tc>
          <w:tcPr>
            <w:tcW w:w="4800" w:type="dxa"/>
            <w:vAlign w:val="bottom"/>
            <w:tcBorders>
              <w:bottom w:val="single" w:sz="8" w:color="494949"/>
            </w:tcBorders>
          </w:tcPr>
          <w:p>
            <w:pPr>
              <w:spacing w:after="0" w:line="20" w:lineRule="exact"/>
              <w:rPr>
                <w:sz w:val="1"/>
                <w:szCs w:val="1"/>
                <w:color w:val="auto"/>
              </w:rPr>
            </w:pPr>
          </w:p>
        </w:tc>
      </w:tr>
      <w:tr>
        <w:trPr>
          <w:trHeight w:val="103"/>
        </w:trPr>
        <w:tc>
          <w:tcPr>
            <w:tcW w:w="3680" w:type="dxa"/>
            <w:vAlign w:val="bottom"/>
          </w:tcPr>
          <w:p>
            <w:pPr>
              <w:ind w:left="80"/>
              <w:spacing w:after="0"/>
              <w:rPr>
                <w:sz w:val="20"/>
                <w:szCs w:val="20"/>
                <w:color w:val="auto"/>
              </w:rPr>
            </w:pPr>
            <w:r>
              <w:rPr>
                <w:rFonts w:ascii="Arial" w:cs="Arial" w:eastAsia="Arial" w:hAnsi="Arial"/>
                <w:sz w:val="8"/>
                <w:szCs w:val="8"/>
                <w:color w:val="auto"/>
              </w:rPr>
              <w:t>Chair [A]</w:t>
            </w:r>
          </w:p>
        </w:tc>
        <w:tc>
          <w:tcPr>
            <w:tcW w:w="4800" w:type="dxa"/>
            <w:vAlign w:val="bottom"/>
          </w:tcPr>
          <w:p>
            <w:pPr>
              <w:ind w:left="1980"/>
              <w:spacing w:after="0"/>
              <w:rPr>
                <w:sz w:val="20"/>
                <w:szCs w:val="20"/>
                <w:color w:val="auto"/>
              </w:rPr>
            </w:pPr>
            <w:r>
              <w:rPr>
                <w:rFonts w:ascii="Arial" w:cs="Arial" w:eastAsia="Arial" w:hAnsi="Arial"/>
                <w:sz w:val="8"/>
                <w:szCs w:val="8"/>
                <w:color w:val="auto"/>
              </w:rPr>
              <w:t>35,000</w:t>
            </w:r>
          </w:p>
        </w:tc>
      </w:tr>
      <w:tr>
        <w:trPr>
          <w:trHeight w:val="21"/>
        </w:trPr>
        <w:tc>
          <w:tcPr>
            <w:tcW w:w="3680" w:type="dxa"/>
            <w:vAlign w:val="bottom"/>
            <w:tcBorders>
              <w:bottom w:val="single" w:sz="8" w:color="494949"/>
            </w:tcBorders>
          </w:tcPr>
          <w:p>
            <w:pPr>
              <w:spacing w:after="0" w:line="20" w:lineRule="exact"/>
              <w:rPr>
                <w:sz w:val="1"/>
                <w:szCs w:val="1"/>
                <w:color w:val="auto"/>
              </w:rPr>
            </w:pPr>
          </w:p>
        </w:tc>
        <w:tc>
          <w:tcPr>
            <w:tcW w:w="4800" w:type="dxa"/>
            <w:vAlign w:val="bottom"/>
            <w:tcBorders>
              <w:bottom w:val="single" w:sz="8" w:color="494949"/>
            </w:tcBorders>
          </w:tcPr>
          <w:p>
            <w:pPr>
              <w:spacing w:after="0" w:line="20" w:lineRule="exact"/>
              <w:rPr>
                <w:sz w:val="1"/>
                <w:szCs w:val="1"/>
                <w:color w:val="auto"/>
              </w:rPr>
            </w:pPr>
          </w:p>
        </w:tc>
      </w:tr>
      <w:tr>
        <w:trPr>
          <w:trHeight w:val="103"/>
        </w:trPr>
        <w:tc>
          <w:tcPr>
            <w:tcW w:w="3680" w:type="dxa"/>
            <w:vAlign w:val="bottom"/>
          </w:tcPr>
          <w:p>
            <w:pPr>
              <w:ind w:left="80"/>
              <w:spacing w:after="0"/>
              <w:rPr>
                <w:sz w:val="20"/>
                <w:szCs w:val="20"/>
                <w:color w:val="auto"/>
              </w:rPr>
            </w:pPr>
            <w:r>
              <w:rPr>
                <w:rFonts w:ascii="Arial" w:cs="Arial" w:eastAsia="Arial" w:hAnsi="Arial"/>
                <w:sz w:val="8"/>
                <w:szCs w:val="8"/>
                <w:color w:val="auto"/>
              </w:rPr>
              <w:t>Member</w:t>
            </w:r>
          </w:p>
        </w:tc>
        <w:tc>
          <w:tcPr>
            <w:tcW w:w="4800" w:type="dxa"/>
            <w:vAlign w:val="bottom"/>
          </w:tcPr>
          <w:p>
            <w:pPr>
              <w:ind w:left="1980"/>
              <w:spacing w:after="0"/>
              <w:rPr>
                <w:sz w:val="20"/>
                <w:szCs w:val="20"/>
                <w:color w:val="auto"/>
              </w:rPr>
            </w:pPr>
            <w:r>
              <w:rPr>
                <w:rFonts w:ascii="Arial" w:cs="Arial" w:eastAsia="Arial" w:hAnsi="Arial"/>
                <w:sz w:val="8"/>
                <w:szCs w:val="8"/>
                <w:color w:val="auto"/>
              </w:rPr>
              <w:t>17,250</w:t>
            </w:r>
          </w:p>
        </w:tc>
      </w:tr>
      <w:tr>
        <w:trPr>
          <w:trHeight w:val="21"/>
        </w:trPr>
        <w:tc>
          <w:tcPr>
            <w:tcW w:w="3680" w:type="dxa"/>
            <w:vAlign w:val="bottom"/>
            <w:tcBorders>
              <w:bottom w:val="single" w:sz="8" w:color="494949"/>
            </w:tcBorders>
          </w:tcPr>
          <w:p>
            <w:pPr>
              <w:spacing w:after="0" w:line="20" w:lineRule="exact"/>
              <w:rPr>
                <w:sz w:val="1"/>
                <w:szCs w:val="1"/>
                <w:color w:val="auto"/>
              </w:rPr>
            </w:pPr>
          </w:p>
        </w:tc>
        <w:tc>
          <w:tcPr>
            <w:tcW w:w="4800" w:type="dxa"/>
            <w:vAlign w:val="bottom"/>
            <w:tcBorders>
              <w:bottom w:val="single" w:sz="8" w:color="494949"/>
            </w:tcBorders>
          </w:tcPr>
          <w:p>
            <w:pPr>
              <w:spacing w:after="0" w:line="20" w:lineRule="exact"/>
              <w:rPr>
                <w:sz w:val="1"/>
                <w:szCs w:val="1"/>
                <w:color w:val="auto"/>
              </w:rPr>
            </w:pPr>
          </w:p>
        </w:tc>
      </w:tr>
      <w:tr>
        <w:trPr>
          <w:trHeight w:val="103"/>
        </w:trPr>
        <w:tc>
          <w:tcPr>
            <w:tcW w:w="3680" w:type="dxa"/>
            <w:vAlign w:val="bottom"/>
          </w:tcPr>
          <w:p>
            <w:pPr>
              <w:spacing w:after="0"/>
              <w:rPr>
                <w:sz w:val="20"/>
                <w:szCs w:val="20"/>
                <w:color w:val="auto"/>
              </w:rPr>
            </w:pPr>
            <w:r>
              <w:rPr>
                <w:rFonts w:ascii="Arial" w:cs="Arial" w:eastAsia="Arial" w:hAnsi="Arial"/>
                <w:sz w:val="8"/>
                <w:szCs w:val="8"/>
                <w:color w:val="auto"/>
              </w:rPr>
              <w:t>Nomination and Succession Committee</w:t>
            </w:r>
          </w:p>
        </w:tc>
        <w:tc>
          <w:tcPr>
            <w:tcW w:w="4800" w:type="dxa"/>
            <w:vAlign w:val="bottom"/>
          </w:tcPr>
          <w:p>
            <w:pPr>
              <w:spacing w:after="0"/>
              <w:rPr>
                <w:sz w:val="8"/>
                <w:szCs w:val="8"/>
                <w:color w:val="auto"/>
              </w:rPr>
            </w:pPr>
          </w:p>
        </w:tc>
      </w:tr>
      <w:tr>
        <w:trPr>
          <w:trHeight w:val="21"/>
        </w:trPr>
        <w:tc>
          <w:tcPr>
            <w:tcW w:w="3680" w:type="dxa"/>
            <w:vAlign w:val="bottom"/>
            <w:tcBorders>
              <w:bottom w:val="single" w:sz="8" w:color="494949"/>
            </w:tcBorders>
          </w:tcPr>
          <w:p>
            <w:pPr>
              <w:spacing w:after="0" w:line="20" w:lineRule="exact"/>
              <w:rPr>
                <w:sz w:val="1"/>
                <w:szCs w:val="1"/>
                <w:color w:val="auto"/>
              </w:rPr>
            </w:pPr>
          </w:p>
        </w:tc>
        <w:tc>
          <w:tcPr>
            <w:tcW w:w="4800" w:type="dxa"/>
            <w:vAlign w:val="bottom"/>
            <w:tcBorders>
              <w:bottom w:val="single" w:sz="8" w:color="494949"/>
            </w:tcBorders>
          </w:tcPr>
          <w:p>
            <w:pPr>
              <w:spacing w:after="0" w:line="20" w:lineRule="exact"/>
              <w:rPr>
                <w:sz w:val="1"/>
                <w:szCs w:val="1"/>
                <w:color w:val="auto"/>
              </w:rPr>
            </w:pPr>
          </w:p>
        </w:tc>
      </w:tr>
      <w:tr>
        <w:trPr>
          <w:trHeight w:val="103"/>
        </w:trPr>
        <w:tc>
          <w:tcPr>
            <w:tcW w:w="3680" w:type="dxa"/>
            <w:vAlign w:val="bottom"/>
          </w:tcPr>
          <w:p>
            <w:pPr>
              <w:ind w:left="80"/>
              <w:spacing w:after="0"/>
              <w:rPr>
                <w:sz w:val="20"/>
                <w:szCs w:val="20"/>
                <w:color w:val="auto"/>
              </w:rPr>
            </w:pPr>
            <w:r>
              <w:rPr>
                <w:rFonts w:ascii="Arial" w:cs="Arial" w:eastAsia="Arial" w:hAnsi="Arial"/>
                <w:sz w:val="8"/>
                <w:szCs w:val="8"/>
                <w:color w:val="auto"/>
              </w:rPr>
              <w:t>Chair [A]</w:t>
            </w:r>
          </w:p>
        </w:tc>
        <w:tc>
          <w:tcPr>
            <w:tcW w:w="4800" w:type="dxa"/>
            <w:vAlign w:val="bottom"/>
          </w:tcPr>
          <w:p>
            <w:pPr>
              <w:ind w:left="1980"/>
              <w:spacing w:after="0"/>
              <w:rPr>
                <w:sz w:val="20"/>
                <w:szCs w:val="20"/>
                <w:color w:val="auto"/>
              </w:rPr>
            </w:pPr>
            <w:r>
              <w:rPr>
                <w:rFonts w:ascii="Arial" w:cs="Arial" w:eastAsia="Arial" w:hAnsi="Arial"/>
                <w:sz w:val="8"/>
                <w:szCs w:val="8"/>
                <w:color w:val="auto"/>
              </w:rPr>
              <w:t>25,000</w:t>
            </w:r>
          </w:p>
        </w:tc>
      </w:tr>
      <w:tr>
        <w:trPr>
          <w:trHeight w:val="21"/>
        </w:trPr>
        <w:tc>
          <w:tcPr>
            <w:tcW w:w="3680" w:type="dxa"/>
            <w:vAlign w:val="bottom"/>
            <w:tcBorders>
              <w:bottom w:val="single" w:sz="8" w:color="494949"/>
            </w:tcBorders>
          </w:tcPr>
          <w:p>
            <w:pPr>
              <w:spacing w:after="0" w:line="20" w:lineRule="exact"/>
              <w:rPr>
                <w:sz w:val="1"/>
                <w:szCs w:val="1"/>
                <w:color w:val="auto"/>
              </w:rPr>
            </w:pPr>
          </w:p>
        </w:tc>
        <w:tc>
          <w:tcPr>
            <w:tcW w:w="4800" w:type="dxa"/>
            <w:vAlign w:val="bottom"/>
            <w:tcBorders>
              <w:bottom w:val="single" w:sz="8" w:color="494949"/>
            </w:tcBorders>
          </w:tcPr>
          <w:p>
            <w:pPr>
              <w:spacing w:after="0" w:line="20" w:lineRule="exact"/>
              <w:rPr>
                <w:sz w:val="1"/>
                <w:szCs w:val="1"/>
                <w:color w:val="auto"/>
              </w:rPr>
            </w:pPr>
          </w:p>
        </w:tc>
      </w:tr>
      <w:tr>
        <w:trPr>
          <w:trHeight w:val="103"/>
        </w:trPr>
        <w:tc>
          <w:tcPr>
            <w:tcW w:w="3680" w:type="dxa"/>
            <w:vAlign w:val="bottom"/>
          </w:tcPr>
          <w:p>
            <w:pPr>
              <w:ind w:left="80"/>
              <w:spacing w:after="0"/>
              <w:rPr>
                <w:sz w:val="20"/>
                <w:szCs w:val="20"/>
                <w:color w:val="auto"/>
              </w:rPr>
            </w:pPr>
            <w:r>
              <w:rPr>
                <w:rFonts w:ascii="Arial" w:cs="Arial" w:eastAsia="Arial" w:hAnsi="Arial"/>
                <w:sz w:val="8"/>
                <w:szCs w:val="8"/>
                <w:color w:val="auto"/>
              </w:rPr>
              <w:t>Member</w:t>
            </w:r>
          </w:p>
        </w:tc>
        <w:tc>
          <w:tcPr>
            <w:tcW w:w="4800" w:type="dxa"/>
            <w:vAlign w:val="bottom"/>
          </w:tcPr>
          <w:p>
            <w:pPr>
              <w:ind w:left="1980"/>
              <w:spacing w:after="0"/>
              <w:rPr>
                <w:sz w:val="20"/>
                <w:szCs w:val="20"/>
                <w:color w:val="auto"/>
              </w:rPr>
            </w:pPr>
            <w:r>
              <w:rPr>
                <w:rFonts w:ascii="Arial" w:cs="Arial" w:eastAsia="Arial" w:hAnsi="Arial"/>
                <w:sz w:val="8"/>
                <w:szCs w:val="8"/>
                <w:color w:val="auto"/>
              </w:rPr>
              <w:t>12,000</w:t>
            </w:r>
          </w:p>
        </w:tc>
      </w:tr>
      <w:tr>
        <w:trPr>
          <w:trHeight w:val="21"/>
        </w:trPr>
        <w:tc>
          <w:tcPr>
            <w:tcW w:w="3680" w:type="dxa"/>
            <w:vAlign w:val="bottom"/>
            <w:tcBorders>
              <w:bottom w:val="single" w:sz="8" w:color="494949"/>
            </w:tcBorders>
          </w:tcPr>
          <w:p>
            <w:pPr>
              <w:spacing w:after="0" w:line="20" w:lineRule="exact"/>
              <w:rPr>
                <w:sz w:val="1"/>
                <w:szCs w:val="1"/>
                <w:color w:val="auto"/>
              </w:rPr>
            </w:pPr>
          </w:p>
        </w:tc>
        <w:tc>
          <w:tcPr>
            <w:tcW w:w="4800" w:type="dxa"/>
            <w:vAlign w:val="bottom"/>
            <w:tcBorders>
              <w:bottom w:val="single" w:sz="8" w:color="494949"/>
            </w:tcBorders>
          </w:tcPr>
          <w:p>
            <w:pPr>
              <w:spacing w:after="0" w:line="20" w:lineRule="exact"/>
              <w:rPr>
                <w:sz w:val="1"/>
                <w:szCs w:val="1"/>
                <w:color w:val="auto"/>
              </w:rPr>
            </w:pPr>
          </w:p>
        </w:tc>
      </w:tr>
      <w:tr>
        <w:trPr>
          <w:trHeight w:val="103"/>
        </w:trPr>
        <w:tc>
          <w:tcPr>
            <w:tcW w:w="3680" w:type="dxa"/>
            <w:vAlign w:val="bottom"/>
          </w:tcPr>
          <w:p>
            <w:pPr>
              <w:spacing w:after="0"/>
              <w:rPr>
                <w:sz w:val="20"/>
                <w:szCs w:val="20"/>
                <w:color w:val="auto"/>
              </w:rPr>
            </w:pPr>
            <w:r>
              <w:rPr>
                <w:rFonts w:ascii="Arial" w:cs="Arial" w:eastAsia="Arial" w:hAnsi="Arial"/>
                <w:sz w:val="8"/>
                <w:szCs w:val="8"/>
                <w:color w:val="auto"/>
              </w:rPr>
              <w:t>Remuneration Committee</w:t>
            </w:r>
          </w:p>
        </w:tc>
        <w:tc>
          <w:tcPr>
            <w:tcW w:w="4800" w:type="dxa"/>
            <w:vAlign w:val="bottom"/>
          </w:tcPr>
          <w:p>
            <w:pPr>
              <w:spacing w:after="0"/>
              <w:rPr>
                <w:sz w:val="8"/>
                <w:szCs w:val="8"/>
                <w:color w:val="auto"/>
              </w:rPr>
            </w:pPr>
          </w:p>
        </w:tc>
      </w:tr>
      <w:tr>
        <w:trPr>
          <w:trHeight w:val="21"/>
        </w:trPr>
        <w:tc>
          <w:tcPr>
            <w:tcW w:w="3680" w:type="dxa"/>
            <w:vAlign w:val="bottom"/>
            <w:tcBorders>
              <w:bottom w:val="single" w:sz="8" w:color="494949"/>
            </w:tcBorders>
          </w:tcPr>
          <w:p>
            <w:pPr>
              <w:spacing w:after="0" w:line="20" w:lineRule="exact"/>
              <w:rPr>
                <w:sz w:val="1"/>
                <w:szCs w:val="1"/>
                <w:color w:val="auto"/>
              </w:rPr>
            </w:pPr>
          </w:p>
        </w:tc>
        <w:tc>
          <w:tcPr>
            <w:tcW w:w="4800" w:type="dxa"/>
            <w:vAlign w:val="bottom"/>
            <w:tcBorders>
              <w:bottom w:val="single" w:sz="8" w:color="494949"/>
            </w:tcBorders>
          </w:tcPr>
          <w:p>
            <w:pPr>
              <w:spacing w:after="0" w:line="20" w:lineRule="exact"/>
              <w:rPr>
                <w:sz w:val="1"/>
                <w:szCs w:val="1"/>
                <w:color w:val="auto"/>
              </w:rPr>
            </w:pPr>
          </w:p>
        </w:tc>
      </w:tr>
      <w:tr>
        <w:trPr>
          <w:trHeight w:val="103"/>
        </w:trPr>
        <w:tc>
          <w:tcPr>
            <w:tcW w:w="3680" w:type="dxa"/>
            <w:vAlign w:val="bottom"/>
          </w:tcPr>
          <w:p>
            <w:pPr>
              <w:ind w:left="80"/>
              <w:spacing w:after="0"/>
              <w:rPr>
                <w:sz w:val="20"/>
                <w:szCs w:val="20"/>
                <w:color w:val="auto"/>
              </w:rPr>
            </w:pPr>
            <w:r>
              <w:rPr>
                <w:rFonts w:ascii="Arial" w:cs="Arial" w:eastAsia="Arial" w:hAnsi="Arial"/>
                <w:sz w:val="8"/>
                <w:szCs w:val="8"/>
                <w:color w:val="auto"/>
              </w:rPr>
              <w:t>Chair [A]</w:t>
            </w:r>
          </w:p>
        </w:tc>
        <w:tc>
          <w:tcPr>
            <w:tcW w:w="4800" w:type="dxa"/>
            <w:vAlign w:val="bottom"/>
          </w:tcPr>
          <w:p>
            <w:pPr>
              <w:ind w:left="1980"/>
              <w:spacing w:after="0"/>
              <w:rPr>
                <w:sz w:val="20"/>
                <w:szCs w:val="20"/>
                <w:color w:val="auto"/>
              </w:rPr>
            </w:pPr>
            <w:r>
              <w:rPr>
                <w:rFonts w:ascii="Arial" w:cs="Arial" w:eastAsia="Arial" w:hAnsi="Arial"/>
                <w:sz w:val="8"/>
                <w:szCs w:val="8"/>
                <w:color w:val="auto"/>
              </w:rPr>
              <w:t>40,000</w:t>
            </w:r>
          </w:p>
        </w:tc>
      </w:tr>
      <w:tr>
        <w:trPr>
          <w:trHeight w:val="21"/>
        </w:trPr>
        <w:tc>
          <w:tcPr>
            <w:tcW w:w="3680" w:type="dxa"/>
            <w:vAlign w:val="bottom"/>
            <w:tcBorders>
              <w:bottom w:val="single" w:sz="8" w:color="494949"/>
            </w:tcBorders>
          </w:tcPr>
          <w:p>
            <w:pPr>
              <w:spacing w:after="0" w:line="20" w:lineRule="exact"/>
              <w:rPr>
                <w:sz w:val="1"/>
                <w:szCs w:val="1"/>
                <w:color w:val="auto"/>
              </w:rPr>
            </w:pPr>
          </w:p>
        </w:tc>
        <w:tc>
          <w:tcPr>
            <w:tcW w:w="4800" w:type="dxa"/>
            <w:vAlign w:val="bottom"/>
            <w:tcBorders>
              <w:bottom w:val="single" w:sz="8" w:color="494949"/>
            </w:tcBorders>
          </w:tcPr>
          <w:p>
            <w:pPr>
              <w:spacing w:after="0" w:line="20" w:lineRule="exact"/>
              <w:rPr>
                <w:sz w:val="1"/>
                <w:szCs w:val="1"/>
                <w:color w:val="auto"/>
              </w:rPr>
            </w:pPr>
          </w:p>
        </w:tc>
      </w:tr>
      <w:tr>
        <w:trPr>
          <w:trHeight w:val="103"/>
        </w:trPr>
        <w:tc>
          <w:tcPr>
            <w:tcW w:w="3680" w:type="dxa"/>
            <w:vAlign w:val="bottom"/>
          </w:tcPr>
          <w:p>
            <w:pPr>
              <w:ind w:left="80"/>
              <w:spacing w:after="0"/>
              <w:rPr>
                <w:sz w:val="20"/>
                <w:szCs w:val="20"/>
                <w:color w:val="auto"/>
              </w:rPr>
            </w:pPr>
            <w:r>
              <w:rPr>
                <w:rFonts w:ascii="Arial" w:cs="Arial" w:eastAsia="Arial" w:hAnsi="Arial"/>
                <w:sz w:val="8"/>
                <w:szCs w:val="8"/>
                <w:color w:val="auto"/>
              </w:rPr>
              <w:t>Member</w:t>
            </w:r>
          </w:p>
        </w:tc>
        <w:tc>
          <w:tcPr>
            <w:tcW w:w="4800" w:type="dxa"/>
            <w:vAlign w:val="bottom"/>
          </w:tcPr>
          <w:p>
            <w:pPr>
              <w:ind w:left="1980"/>
              <w:spacing w:after="0"/>
              <w:rPr>
                <w:sz w:val="20"/>
                <w:szCs w:val="20"/>
                <w:color w:val="auto"/>
              </w:rPr>
            </w:pPr>
            <w:r>
              <w:rPr>
                <w:rFonts w:ascii="Arial" w:cs="Arial" w:eastAsia="Arial" w:hAnsi="Arial"/>
                <w:sz w:val="8"/>
                <w:szCs w:val="8"/>
                <w:color w:val="auto"/>
              </w:rPr>
              <w:t>17,250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02945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02945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300"/>
        <w:spacing w:after="0" w:line="251" w:lineRule="auto"/>
        <w:rPr>
          <w:sz w:val="20"/>
          <w:szCs w:val="20"/>
          <w:color w:val="auto"/>
        </w:rPr>
      </w:pPr>
      <w:r>
        <w:rPr>
          <w:rFonts w:ascii="Arial" w:cs="Arial" w:eastAsia="Arial" w:hAnsi="Arial"/>
          <w:sz w:val="8"/>
          <w:szCs w:val="8"/>
          <w:color w:val="auto"/>
        </w:rPr>
        <w:t>Non-executive Directors receive an additional fee of €5,000 for any Board meeting involving intercontinental travel – except for one meeting a year held in a location other than The Hague.</w:t>
      </w:r>
    </w:p>
    <w:p>
      <w:pPr>
        <w:spacing w:after="0" w:line="2015" w:lineRule="exact"/>
        <w:rPr>
          <w:sz w:val="20"/>
          <w:szCs w:val="20"/>
          <w:color w:val="auto"/>
        </w:rPr>
      </w:pPr>
    </w:p>
    <w:p>
      <w:pPr>
        <w:sectPr>
          <w:pgSz w:w="11900" w:h="16838" w:orient="portrait"/>
          <w:cols w:equalWidth="0" w:num="2">
            <w:col w:w="8480" w:space="20"/>
            <w:col w:w="2800"/>
          </w:cols>
          <w:pgMar w:left="300" w:top="1440" w:right="299" w:bottom="1440" w:gutter="0" w:footer="0" w:header="0"/>
          <w:type w:val="continuous"/>
        </w:sectPr>
      </w:pPr>
    </w:p>
    <w:p>
      <w:pPr>
        <w:spacing w:after="0"/>
        <w:rPr>
          <w:sz w:val="20"/>
          <w:szCs w:val="20"/>
          <w:color w:val="auto"/>
        </w:rPr>
      </w:pPr>
      <w:r>
        <w:rPr>
          <w:rFonts w:ascii="Arial" w:cs="Arial" w:eastAsia="Arial" w:hAnsi="Arial"/>
          <w:sz w:val="8"/>
          <w:szCs w:val="8"/>
          <w:color w:val="auto"/>
        </w:rPr>
        <w:t>[A] The chair of a committee does not receive an additional fee for membership of that committee.</w:t>
      </w:r>
    </w:p>
    <w:p>
      <w:pPr>
        <w:spacing w:after="0" w:line="165" w:lineRule="exact"/>
        <w:rPr>
          <w:sz w:val="20"/>
          <w:szCs w:val="20"/>
          <w:color w:val="auto"/>
        </w:rPr>
      </w:pPr>
    </w:p>
    <w:p>
      <w:pPr>
        <w:spacing w:after="0"/>
        <w:rPr>
          <w:sz w:val="20"/>
          <w:szCs w:val="20"/>
          <w:color w:val="auto"/>
        </w:rPr>
      </w:pPr>
      <w:r>
        <w:rPr>
          <w:rFonts w:ascii="Arial" w:cs="Arial" w:eastAsia="Arial" w:hAnsi="Arial"/>
          <w:sz w:val="10"/>
          <w:szCs w:val="10"/>
          <w:color w:val="auto"/>
        </w:rPr>
        <w:t>The Chair’s fee is determined by the REMCO and the annual fee for Charles O. Holliday was set at €850,000 upon appointment in 2015</w:t>
      </w:r>
    </w:p>
    <w:p>
      <w:pPr>
        <w:spacing w:after="0" w:line="227" w:lineRule="auto"/>
        <w:rPr>
          <w:sz w:val="20"/>
          <w:szCs w:val="20"/>
          <w:color w:val="auto"/>
        </w:rPr>
      </w:pPr>
      <w:r>
        <w:rPr>
          <w:rFonts w:ascii="Arial" w:cs="Arial" w:eastAsia="Arial" w:hAnsi="Arial"/>
          <w:sz w:val="10"/>
          <w:szCs w:val="10"/>
          <w:color w:val="auto"/>
        </w:rPr>
        <w:t>and will remain unchanged for 2021. Mr Holliday will step down as Chair following the 2021 AGM. Following a review of the competitive</w:t>
      </w:r>
    </w:p>
    <w:p>
      <w:pPr>
        <w:spacing w:after="0" w:line="225" w:lineRule="auto"/>
        <w:rPr>
          <w:sz w:val="20"/>
          <w:szCs w:val="20"/>
          <w:color w:val="auto"/>
        </w:rPr>
      </w:pPr>
      <w:r>
        <w:rPr>
          <w:rFonts w:ascii="Arial" w:cs="Arial" w:eastAsia="Arial" w:hAnsi="Arial"/>
          <w:sz w:val="10"/>
          <w:szCs w:val="10"/>
          <w:color w:val="auto"/>
        </w:rPr>
        <w:t>positioning of the fee by the REMCO, the annual fee for the new Chair will also be €850,000. The Chair of the Board does not receive any</w:t>
      </w:r>
    </w:p>
    <w:p>
      <w:pPr>
        <w:spacing w:after="0" w:line="237" w:lineRule="auto"/>
        <w:rPr>
          <w:sz w:val="20"/>
          <w:szCs w:val="20"/>
          <w:color w:val="auto"/>
        </w:rPr>
      </w:pPr>
      <w:r>
        <w:rPr>
          <w:rFonts w:ascii="Arial" w:cs="Arial" w:eastAsia="Arial" w:hAnsi="Arial"/>
          <w:sz w:val="10"/>
          <w:szCs w:val="10"/>
          <w:color w:val="auto"/>
        </w:rPr>
        <w:t>additional fee for chairing the Nomination and Succession Committee or attending any other Board committee meeting.</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The Non-executive Directors receive a basic fee. There are additional fees for the Senior Independent Director, a Board committee chair or a</w:t>
      </w:r>
    </w:p>
    <w:p>
      <w:pPr>
        <w:spacing w:after="0" w:line="227" w:lineRule="auto"/>
        <w:rPr>
          <w:sz w:val="20"/>
          <w:szCs w:val="20"/>
          <w:color w:val="auto"/>
        </w:rPr>
      </w:pPr>
      <w:r>
        <w:rPr>
          <w:rFonts w:ascii="Arial" w:cs="Arial" w:eastAsia="Arial" w:hAnsi="Arial"/>
          <w:sz w:val="10"/>
          <w:szCs w:val="10"/>
          <w:color w:val="auto"/>
        </w:rPr>
        <w:t>Board committee member for each committee. Non-executive Directors receive an additional fee of €5,000 for most Board meetings</w:t>
      </w:r>
    </w:p>
    <w:p>
      <w:pPr>
        <w:spacing w:after="0" w:line="225" w:lineRule="auto"/>
        <w:rPr>
          <w:sz w:val="20"/>
          <w:szCs w:val="20"/>
          <w:color w:val="auto"/>
        </w:rPr>
      </w:pPr>
      <w:r>
        <w:rPr>
          <w:rFonts w:ascii="Arial" w:cs="Arial" w:eastAsia="Arial" w:hAnsi="Arial"/>
          <w:sz w:val="10"/>
          <w:szCs w:val="10"/>
          <w:color w:val="auto"/>
        </w:rPr>
        <w:t>involving intercontinental travel. Business expenses (including transport between home and office and occasional business-required partner</w:t>
      </w:r>
    </w:p>
    <w:p>
      <w:pPr>
        <w:spacing w:after="0" w:line="237" w:lineRule="auto"/>
        <w:rPr>
          <w:sz w:val="20"/>
          <w:szCs w:val="20"/>
          <w:color w:val="auto"/>
        </w:rPr>
      </w:pPr>
      <w:r>
        <w:rPr>
          <w:rFonts w:ascii="Arial" w:cs="Arial" w:eastAsia="Arial" w:hAnsi="Arial"/>
          <w:sz w:val="10"/>
          <w:szCs w:val="10"/>
          <w:color w:val="auto"/>
        </w:rPr>
        <w:t>travel) and associated tax are paid or reimbursed by Shell. The Chair has use of a Shell-provided apartment while in The Hague.</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The Board reviews Non-executive Directors’ fees periodically to ensure that they are aligned with those of other major listed companies,</w:t>
      </w:r>
    </w:p>
    <w:p>
      <w:pPr>
        <w:spacing w:after="0" w:line="227" w:lineRule="auto"/>
        <w:rPr>
          <w:sz w:val="20"/>
          <w:szCs w:val="20"/>
          <w:color w:val="auto"/>
        </w:rPr>
      </w:pPr>
      <w:r>
        <w:rPr>
          <w:rFonts w:ascii="Arial" w:cs="Arial" w:eastAsia="Arial" w:hAnsi="Arial"/>
          <w:sz w:val="10"/>
          <w:szCs w:val="10"/>
          <w:color w:val="auto"/>
        </w:rPr>
        <w:t>using the largest 30 companies by market capitalisation listed on the FTSE and the European Comparator group as the primary points of</w:t>
      </w:r>
    </w:p>
    <w:p>
      <w:pPr>
        <w:spacing w:after="0" w:line="225" w:lineRule="auto"/>
        <w:rPr>
          <w:sz w:val="20"/>
          <w:szCs w:val="20"/>
          <w:color w:val="auto"/>
        </w:rPr>
      </w:pPr>
      <w:r>
        <w:rPr>
          <w:rFonts w:ascii="Arial" w:cs="Arial" w:eastAsia="Arial" w:hAnsi="Arial"/>
          <w:sz w:val="10"/>
          <w:szCs w:val="10"/>
          <w:color w:val="auto"/>
        </w:rPr>
        <w:t>reference. The last general review was in 2018. There was a review of the Chair of the Board's fee in 2021 and the Nomination and</w:t>
      </w:r>
    </w:p>
    <w:p>
      <w:pPr>
        <w:spacing w:after="0" w:line="237" w:lineRule="auto"/>
        <w:rPr>
          <w:sz w:val="20"/>
          <w:szCs w:val="20"/>
          <w:color w:val="auto"/>
        </w:rPr>
      </w:pPr>
      <w:r>
        <w:rPr>
          <w:rFonts w:ascii="Arial" w:cs="Arial" w:eastAsia="Arial" w:hAnsi="Arial"/>
          <w:sz w:val="10"/>
          <w:szCs w:val="10"/>
          <w:color w:val="auto"/>
        </w:rPr>
        <w:t>Succession Committee fees in 2019. Fees will remain unchanged for 2021.</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136</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type w:val="continuous"/>
        </w:sectPr>
      </w:pPr>
    </w:p>
    <w:bookmarkStart w:id="139" w:name="page140"/>
    <w:bookmarkEnd w:id="139"/>
    <w:p>
      <w:pPr>
        <w:ind w:left="8"/>
        <w:spacing w:after="0"/>
        <w:rPr>
          <w:sz w:val="20"/>
          <w:szCs w:val="20"/>
          <w:color w:val="auto"/>
        </w:rPr>
      </w:pPr>
      <w:r>
        <w:rPr>
          <w:rFonts w:ascii="Arial" w:cs="Arial" w:eastAsia="Arial" w:hAnsi="Arial"/>
          <w:sz w:val="22"/>
          <w:szCs w:val="22"/>
          <w:color w:val="auto"/>
        </w:rPr>
        <w:t>DIRECTORS’ REMUNERATION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2915" cy="228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141"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Directors’ Remuneration Policy sets out:</w:t>
      </w:r>
    </w:p>
    <w:p>
      <w:pPr>
        <w:spacing w:after="0" w:line="155" w:lineRule="exact"/>
        <w:rPr>
          <w:sz w:val="20"/>
          <w:szCs w:val="20"/>
          <w:color w:val="auto"/>
        </w:rPr>
      </w:pPr>
    </w:p>
    <w:p>
      <w:pPr>
        <w:ind w:left="88" w:hanging="88"/>
        <w:spacing w:after="0"/>
        <w:tabs>
          <w:tab w:leader="none" w:pos="88" w:val="left"/>
        </w:tabs>
        <w:numPr>
          <w:ilvl w:val="0"/>
          <w:numId w:val="142"/>
        </w:numPr>
        <w:rPr>
          <w:rFonts w:ascii="Arial" w:cs="Arial" w:eastAsia="Arial" w:hAnsi="Arial"/>
          <w:sz w:val="10"/>
          <w:szCs w:val="10"/>
          <w:color w:val="auto"/>
        </w:rPr>
      </w:pPr>
      <w:r>
        <w:rPr>
          <w:rFonts w:ascii="Arial" w:cs="Arial" w:eastAsia="Arial" w:hAnsi="Arial"/>
          <w:sz w:val="10"/>
          <w:szCs w:val="10"/>
          <w:color w:val="auto"/>
        </w:rPr>
        <w:t>A summary of proposed changes to the Directors’ Remuneration Policy, page 138;</w:t>
      </w:r>
    </w:p>
    <w:p>
      <w:pPr>
        <w:spacing w:after="0" w:line="1" w:lineRule="exact"/>
        <w:rPr>
          <w:rFonts w:ascii="Arial" w:cs="Arial" w:eastAsia="Arial" w:hAnsi="Arial"/>
          <w:sz w:val="10"/>
          <w:szCs w:val="10"/>
          <w:color w:val="auto"/>
        </w:rPr>
      </w:pPr>
    </w:p>
    <w:p>
      <w:pPr>
        <w:ind w:left="88" w:hanging="88"/>
        <w:spacing w:after="0" w:line="225" w:lineRule="auto"/>
        <w:tabs>
          <w:tab w:leader="none" w:pos="88" w:val="left"/>
        </w:tabs>
        <w:numPr>
          <w:ilvl w:val="0"/>
          <w:numId w:val="142"/>
        </w:numPr>
        <w:rPr>
          <w:rFonts w:ascii="Arial" w:cs="Arial" w:eastAsia="Arial" w:hAnsi="Arial"/>
          <w:sz w:val="10"/>
          <w:szCs w:val="10"/>
          <w:color w:val="auto"/>
        </w:rPr>
      </w:pPr>
      <w:r>
        <w:rPr>
          <w:rFonts w:ascii="Arial" w:cs="Arial" w:eastAsia="Arial" w:hAnsi="Arial"/>
          <w:sz w:val="10"/>
          <w:szCs w:val="10"/>
          <w:color w:val="auto"/>
        </w:rPr>
        <w:t>Executive Directors’ Remuneration Policy, page 139; and</w:t>
      </w:r>
    </w:p>
    <w:p>
      <w:pPr>
        <w:ind w:left="88" w:hanging="88"/>
        <w:spacing w:after="0" w:line="236" w:lineRule="auto"/>
        <w:tabs>
          <w:tab w:leader="none" w:pos="88" w:val="left"/>
        </w:tabs>
        <w:numPr>
          <w:ilvl w:val="0"/>
          <w:numId w:val="142"/>
        </w:numPr>
        <w:rPr>
          <w:rFonts w:ascii="Arial" w:cs="Arial" w:eastAsia="Arial" w:hAnsi="Arial"/>
          <w:sz w:val="10"/>
          <w:szCs w:val="10"/>
          <w:color w:val="auto"/>
        </w:rPr>
      </w:pPr>
      <w:r>
        <w:rPr>
          <w:rFonts w:ascii="Arial" w:cs="Arial" w:eastAsia="Arial" w:hAnsi="Arial"/>
          <w:sz w:val="10"/>
          <w:szCs w:val="10"/>
          <w:color w:val="auto"/>
        </w:rPr>
        <w:t>Non-executive Directors’ Remuneration Policy, page 146.</w:t>
      </w:r>
    </w:p>
    <w:p>
      <w:pPr>
        <w:spacing w:after="0" w:line="149" w:lineRule="exact"/>
        <w:rPr>
          <w:sz w:val="20"/>
          <w:szCs w:val="20"/>
          <w:color w:val="auto"/>
        </w:rPr>
      </w:pPr>
    </w:p>
    <w:p>
      <w:pPr>
        <w:ind w:left="8"/>
        <w:spacing w:after="0" w:line="234" w:lineRule="auto"/>
        <w:rPr>
          <w:sz w:val="20"/>
          <w:szCs w:val="20"/>
          <w:color w:val="auto"/>
        </w:rPr>
      </w:pPr>
      <w:r>
        <w:rPr>
          <w:rFonts w:ascii="Arial" w:cs="Arial" w:eastAsia="Arial" w:hAnsi="Arial"/>
          <w:sz w:val="10"/>
          <w:szCs w:val="10"/>
          <w:color w:val="auto"/>
        </w:rPr>
        <w:t>This section describes the Directors’ Remuneration Policy (Policy) which, following shareholder approval at the 2020 Annual General Meeting (AGM), came into effect from May 19, 2020, and will be effective until the 2023 AGM, unless a further policy is proposed by Royal Dutch Shell plc (the Company) and approved by shareholders in the meantime.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8"/>
          <w:szCs w:val="8"/>
          <w:color w:val="auto"/>
        </w:rPr>
        <w:t>The principles underpinning the REMCO’s approach to executive remuneration are the foundation for everything we do, and are:</w:t>
      </w:r>
    </w:p>
    <w:p>
      <w:pPr>
        <w:spacing w:after="0" w:line="24" w:lineRule="exact"/>
        <w:rPr>
          <w:sz w:val="20"/>
          <w:szCs w:val="20"/>
          <w:color w:val="auto"/>
        </w:rPr>
      </w:pPr>
    </w:p>
    <w:p>
      <w:pPr>
        <w:ind w:left="108" w:hanging="108"/>
        <w:spacing w:after="0" w:line="225" w:lineRule="auto"/>
        <w:tabs>
          <w:tab w:leader="none" w:pos="103" w:val="left"/>
        </w:tabs>
        <w:numPr>
          <w:ilvl w:val="0"/>
          <w:numId w:val="143"/>
        </w:numPr>
        <w:rPr>
          <w:rFonts w:ascii="Arial" w:cs="Arial" w:eastAsia="Arial" w:hAnsi="Arial"/>
          <w:sz w:val="10"/>
          <w:szCs w:val="10"/>
          <w:color w:val="auto"/>
        </w:rPr>
      </w:pPr>
      <w:r>
        <w:rPr>
          <w:rFonts w:ascii="Arial" w:cs="Arial" w:eastAsia="Arial" w:hAnsi="Arial"/>
          <w:sz w:val="10"/>
          <w:szCs w:val="10"/>
          <w:color w:val="auto"/>
        </w:rPr>
        <w:t>Alignment with Shell’s strategy: the Executive Directors’ compensation package should be strongly linked to the achievement of stretching targets that are seen as indicators of the execution of Shell’s strategy;</w:t>
      </w:r>
    </w:p>
    <w:p>
      <w:pPr>
        <w:ind w:left="108" w:right="80" w:hanging="108"/>
        <w:spacing w:after="0" w:line="225" w:lineRule="auto"/>
        <w:tabs>
          <w:tab w:leader="none" w:pos="103" w:val="left"/>
        </w:tabs>
        <w:numPr>
          <w:ilvl w:val="0"/>
          <w:numId w:val="143"/>
        </w:numPr>
        <w:rPr>
          <w:rFonts w:ascii="Arial" w:cs="Arial" w:eastAsia="Arial" w:hAnsi="Arial"/>
          <w:sz w:val="10"/>
          <w:szCs w:val="10"/>
          <w:color w:val="auto"/>
        </w:rPr>
      </w:pPr>
      <w:r>
        <w:rPr>
          <w:rFonts w:ascii="Arial" w:cs="Arial" w:eastAsia="Arial" w:hAnsi="Arial"/>
          <w:sz w:val="10"/>
          <w:szCs w:val="10"/>
          <w:color w:val="auto"/>
        </w:rPr>
        <w:t>Pay for performance: the majority of the Executive Directors’ compensation, (excluding benefits and pensions), should be linked directly to Shell’s performance through variable pay instruments;</w:t>
      </w:r>
    </w:p>
    <w:p>
      <w:pPr>
        <w:ind w:left="108" w:right="220" w:hanging="108"/>
        <w:spacing w:after="0" w:line="225" w:lineRule="auto"/>
        <w:tabs>
          <w:tab w:leader="none" w:pos="103" w:val="left"/>
        </w:tabs>
        <w:numPr>
          <w:ilvl w:val="0"/>
          <w:numId w:val="143"/>
        </w:numPr>
        <w:rPr>
          <w:rFonts w:ascii="Arial" w:cs="Arial" w:eastAsia="Arial" w:hAnsi="Arial"/>
          <w:sz w:val="10"/>
          <w:szCs w:val="10"/>
          <w:color w:val="auto"/>
        </w:rPr>
      </w:pPr>
      <w:r>
        <w:rPr>
          <w:rFonts w:ascii="Arial" w:cs="Arial" w:eastAsia="Arial" w:hAnsi="Arial"/>
          <w:sz w:val="10"/>
          <w:szCs w:val="10"/>
          <w:color w:val="auto"/>
        </w:rPr>
        <w:t>Competitiveness: remuneration levels should be determined by reference internally against Shell’s Senior Management and externally against companies of comparable size, complexity and global scope;</w:t>
      </w:r>
    </w:p>
    <w:p>
      <w:pPr>
        <w:ind w:left="108" w:right="220" w:hanging="108"/>
        <w:spacing w:after="0" w:line="231" w:lineRule="auto"/>
        <w:tabs>
          <w:tab w:leader="none" w:pos="103" w:val="left"/>
        </w:tabs>
        <w:numPr>
          <w:ilvl w:val="0"/>
          <w:numId w:val="143"/>
        </w:numPr>
        <w:rPr>
          <w:rFonts w:ascii="Arial" w:cs="Arial" w:eastAsia="Arial" w:hAnsi="Arial"/>
          <w:sz w:val="10"/>
          <w:szCs w:val="10"/>
          <w:color w:val="auto"/>
        </w:rPr>
      </w:pPr>
      <w:r>
        <w:rPr>
          <w:rFonts w:ascii="Arial" w:cs="Arial" w:eastAsia="Arial" w:hAnsi="Arial"/>
          <w:sz w:val="10"/>
          <w:szCs w:val="10"/>
          <w:color w:val="auto"/>
        </w:rPr>
        <w:t>Long-term creation of shareholder value: Executive Directors should align their interests with those of shareholders by holding shares in Shell;</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120" w:right="180" w:hanging="111"/>
        <w:spacing w:after="0" w:line="230" w:lineRule="auto"/>
        <w:tabs>
          <w:tab w:leader="none" w:pos="115" w:val="left"/>
        </w:tabs>
        <w:numPr>
          <w:ilvl w:val="0"/>
          <w:numId w:val="144"/>
        </w:numPr>
        <w:rPr>
          <w:rFonts w:ascii="Arial" w:cs="Arial" w:eastAsia="Arial" w:hAnsi="Arial"/>
          <w:sz w:val="10"/>
          <w:szCs w:val="10"/>
          <w:color w:val="auto"/>
        </w:rPr>
      </w:pPr>
      <w:r>
        <w:rPr>
          <w:rFonts w:ascii="Arial" w:cs="Arial" w:eastAsia="Arial" w:hAnsi="Arial"/>
          <w:sz w:val="10"/>
          <w:szCs w:val="10"/>
          <w:color w:val="auto"/>
        </w:rPr>
        <w:t>Consistency: the remuneration structure for Executive Directors should generally be consistent with the remuneration structure for Shell’s Senior Management. This consistency builds a culture of alignment with Shell’s purpose and a common approach to sharing in Shell’s success;</w:t>
      </w:r>
    </w:p>
    <w:p>
      <w:pPr>
        <w:spacing w:after="0" w:line="1" w:lineRule="exact"/>
        <w:rPr>
          <w:rFonts w:ascii="Arial" w:cs="Arial" w:eastAsia="Arial" w:hAnsi="Arial"/>
          <w:sz w:val="10"/>
          <w:szCs w:val="10"/>
          <w:color w:val="auto"/>
        </w:rPr>
      </w:pPr>
    </w:p>
    <w:p>
      <w:pPr>
        <w:ind w:left="120" w:right="240" w:hanging="111"/>
        <w:spacing w:after="0" w:line="225" w:lineRule="auto"/>
        <w:tabs>
          <w:tab w:leader="none" w:pos="115" w:val="left"/>
        </w:tabs>
        <w:numPr>
          <w:ilvl w:val="0"/>
          <w:numId w:val="144"/>
        </w:numPr>
        <w:rPr>
          <w:rFonts w:ascii="Arial" w:cs="Arial" w:eastAsia="Arial" w:hAnsi="Arial"/>
          <w:sz w:val="10"/>
          <w:szCs w:val="10"/>
          <w:color w:val="auto"/>
        </w:rPr>
      </w:pPr>
      <w:r>
        <w:rPr>
          <w:rFonts w:ascii="Arial" w:cs="Arial" w:eastAsia="Arial" w:hAnsi="Arial"/>
          <w:sz w:val="10"/>
          <w:szCs w:val="10"/>
          <w:color w:val="auto"/>
        </w:rPr>
        <w:t>Compliance: decisions should be made in the context of the Shell General Business Principles and Code of Conduct. The REMCO also seeks to ensure compliance with applicable laws and corporate governance requirements when designing and implementing policies and plans; and</w:t>
      </w:r>
    </w:p>
    <w:p>
      <w:pPr>
        <w:ind w:left="120" w:right="380" w:hanging="111"/>
        <w:spacing w:after="0" w:line="231" w:lineRule="auto"/>
        <w:tabs>
          <w:tab w:leader="none" w:pos="115" w:val="left"/>
        </w:tabs>
        <w:numPr>
          <w:ilvl w:val="0"/>
          <w:numId w:val="144"/>
        </w:numPr>
        <w:rPr>
          <w:rFonts w:ascii="Arial" w:cs="Arial" w:eastAsia="Arial" w:hAnsi="Arial"/>
          <w:sz w:val="10"/>
          <w:szCs w:val="10"/>
          <w:color w:val="auto"/>
        </w:rPr>
      </w:pPr>
      <w:r>
        <w:rPr>
          <w:rFonts w:ascii="Arial" w:cs="Arial" w:eastAsia="Arial" w:hAnsi="Arial"/>
          <w:sz w:val="10"/>
          <w:szCs w:val="10"/>
          <w:color w:val="auto"/>
        </w:rPr>
        <w:t>Risk assessment: the remuneration structures and rewards should meet risk-assessment tests to ensure that shareholder’s interests are safeguarded and that inappropriate actions are avoided.</w:t>
      </w:r>
    </w:p>
    <w:p>
      <w:pPr>
        <w:spacing w:after="0" w:line="149" w:lineRule="exact"/>
        <w:rPr>
          <w:sz w:val="20"/>
          <w:szCs w:val="20"/>
          <w:color w:val="auto"/>
        </w:rPr>
      </w:pPr>
    </w:p>
    <w:p>
      <w:pPr>
        <w:ind w:right="120"/>
        <w:spacing w:after="0" w:line="285" w:lineRule="auto"/>
        <w:rPr>
          <w:sz w:val="20"/>
          <w:szCs w:val="20"/>
          <w:color w:val="auto"/>
        </w:rPr>
      </w:pPr>
      <w:r>
        <w:rPr>
          <w:rFonts w:ascii="Arial" w:cs="Arial" w:eastAsia="Arial" w:hAnsi="Arial"/>
          <w:sz w:val="8"/>
          <w:szCs w:val="8"/>
          <w:color w:val="auto"/>
        </w:rPr>
        <w:t>The Executive Directors’ remuneration structure is made up of a fixed element of basic pay and two variable elements: the annual bonus (50% delivered in shares) and the Long-term Incentive Plan (LTIP). Variable pay outcomes are conditional on the successful execution of the operating plan in the short term and the delivery of strategic goals and financial outperformance over the longer term. The award of shares under the bonus and LTIP, along with significant shareholding requirements, are intended to ensure executives have a sizeable shareholding in Royal Dutch Shell plc (the Company) and experience the same outcomes as shareholders.</w:t>
      </w:r>
    </w:p>
    <w:p>
      <w:pPr>
        <w:spacing w:after="0" w:line="2" w:lineRule="exact"/>
        <w:rPr>
          <w:sz w:val="20"/>
          <w:szCs w:val="20"/>
          <w:color w:val="auto"/>
        </w:rPr>
      </w:pPr>
    </w:p>
    <w:p>
      <w:pPr>
        <w:ind w:right="140"/>
        <w:spacing w:after="0" w:line="296" w:lineRule="auto"/>
        <w:rPr>
          <w:sz w:val="20"/>
          <w:szCs w:val="20"/>
          <w:color w:val="auto"/>
        </w:rPr>
      </w:pPr>
      <w:r>
        <w:rPr>
          <w:rFonts w:ascii="Arial" w:cs="Arial" w:eastAsia="Arial" w:hAnsi="Arial"/>
          <w:sz w:val="8"/>
          <w:szCs w:val="8"/>
          <w:color w:val="auto"/>
        </w:rPr>
        <w:t>During 2018 and 2019, the REMCO reviewed the Remuneration Policy to ensure that the Policy continues to be aligned with Shell’s strategy, including delivery of shareholder returns. REMCO determined that while the current policy remains appropriate in many respects, certain changes will support the REMCO to simplify remuneration structures and address the management of quantum. For each area of the policy, the REMCO has considered market practice, the corporate governance environment and feedback from shareholders. The Safety, Environment and Sustainability Committee (SESCo) has provided input to the development of the sustainable development and energy transition metrics. Any potential conflict of interest is mitigated by the independence of the REMCO members and the REMCO Terms of Reference.</w:t>
      </w:r>
    </w:p>
    <w:p>
      <w:pPr>
        <w:spacing w:after="0" w:line="238" w:lineRule="exact"/>
        <w:rPr>
          <w:sz w:val="20"/>
          <w:szCs w:val="20"/>
          <w:color w:val="auto"/>
        </w:rPr>
      </w:pPr>
    </w:p>
    <w:p>
      <w:pPr>
        <w:ind w:right="200"/>
        <w:spacing w:after="0" w:line="239" w:lineRule="auto"/>
        <w:rPr>
          <w:sz w:val="20"/>
          <w:szCs w:val="20"/>
          <w:color w:val="auto"/>
        </w:rPr>
      </w:pPr>
      <w:r>
        <w:rPr>
          <w:rFonts w:ascii="Arial" w:cs="Arial" w:eastAsia="Arial" w:hAnsi="Arial"/>
          <w:sz w:val="10"/>
          <w:szCs w:val="10"/>
          <w:color w:val="auto"/>
        </w:rPr>
        <w:t>A summary of the main changes to the Policy for the Executive Directors is outlined below. No significant changes were made to the Policy for Non-executive Directors.</w:t>
      </w:r>
    </w:p>
    <w:p>
      <w:pPr>
        <w:spacing w:after="0" w:line="200" w:lineRule="exact"/>
        <w:rPr>
          <w:sz w:val="20"/>
          <w:szCs w:val="20"/>
          <w:color w:val="auto"/>
        </w:rPr>
      </w:pPr>
    </w:p>
    <w:p>
      <w:pPr>
        <w:sectPr>
          <w:pgSz w:w="11900" w:h="16838" w:orient="portrait"/>
          <w:cols w:equalWidth="0" w:num="2">
            <w:col w:w="5448" w:space="280"/>
            <w:col w:w="5580"/>
          </w:cols>
          <w:pgMar w:left="292" w:top="721" w:right="299" w:bottom="1440" w:gutter="0" w:footer="0" w:header="0"/>
        </w:sectPr>
      </w:pPr>
    </w:p>
    <w:p>
      <w:pPr>
        <w:spacing w:after="0" w:line="314"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137</w:t>
            </w:r>
          </w:p>
        </w:tc>
      </w:tr>
      <w:tr>
        <w:trPr>
          <w:trHeight w:val="142"/>
        </w:trPr>
        <w:tc>
          <w:tcPr>
            <w:tcW w:w="3420" w:type="dxa"/>
            <w:vAlign w:val="bottom"/>
            <w:tcBorders>
              <w:bottom w:val="single" w:sz="8" w:color="9A9A9A"/>
            </w:tcBorders>
          </w:tcPr>
          <w:p>
            <w:pPr>
              <w:spacing w:after="0"/>
              <w:rPr>
                <w:sz w:val="12"/>
                <w:szCs w:val="12"/>
                <w:color w:val="auto"/>
              </w:rPr>
            </w:pPr>
          </w:p>
        </w:tc>
        <w:tc>
          <w:tcPr>
            <w:tcW w:w="78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92"/>
        </w:trPr>
        <w:tc>
          <w:tcPr>
            <w:tcW w:w="520" w:type="dxa"/>
            <w:vAlign w:val="bottom"/>
          </w:tcPr>
          <w:p>
            <w:pPr>
              <w:spacing w:after="0"/>
              <w:rPr>
                <w:sz w:val="20"/>
                <w:szCs w:val="20"/>
                <w:color w:val="auto"/>
              </w:rPr>
            </w:pPr>
            <w:r>
              <w:rPr>
                <w:rFonts w:ascii="Arial" w:cs="Arial" w:eastAsia="Arial" w:hAnsi="Arial"/>
                <w:sz w:val="8"/>
                <w:szCs w:val="8"/>
                <w:color w:val="auto"/>
                <w:w w:val="99"/>
              </w:rPr>
              <w:t>Remuneration</w:t>
            </w:r>
          </w:p>
        </w:tc>
        <w:tc>
          <w:tcPr>
            <w:tcW w:w="2940" w:type="dxa"/>
            <w:vAlign w:val="bottom"/>
          </w:tcPr>
          <w:p>
            <w:pPr>
              <w:ind w:left="20"/>
              <w:spacing w:after="0"/>
              <w:rPr>
                <w:sz w:val="20"/>
                <w:szCs w:val="20"/>
                <w:color w:val="auto"/>
              </w:rPr>
            </w:pPr>
            <w:r>
              <w:rPr>
                <w:rFonts w:ascii="Arial" w:cs="Arial" w:eastAsia="Arial" w:hAnsi="Arial"/>
                <w:sz w:val="8"/>
                <w:szCs w:val="8"/>
                <w:color w:val="auto"/>
              </w:rPr>
              <w:t>Proposed Changes to Policy</w:t>
            </w:r>
          </w:p>
        </w:tc>
        <w:tc>
          <w:tcPr>
            <w:tcW w:w="1980" w:type="dxa"/>
            <w:vAlign w:val="bottom"/>
          </w:tcPr>
          <w:p>
            <w:pPr>
              <w:ind w:left="300"/>
              <w:spacing w:after="0"/>
              <w:rPr>
                <w:sz w:val="20"/>
                <w:szCs w:val="20"/>
                <w:color w:val="auto"/>
              </w:rPr>
            </w:pPr>
            <w:r>
              <w:rPr>
                <w:rFonts w:ascii="Arial" w:cs="Arial" w:eastAsia="Arial" w:hAnsi="Arial"/>
                <w:sz w:val="8"/>
                <w:szCs w:val="8"/>
                <w:color w:val="auto"/>
              </w:rPr>
              <w:t>Rationale for the change</w:t>
            </w:r>
          </w:p>
        </w:tc>
      </w:tr>
      <w:tr>
        <w:trPr>
          <w:trHeight w:val="111"/>
        </w:trPr>
        <w:tc>
          <w:tcPr>
            <w:tcW w:w="52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element</w:t>
            </w:r>
          </w:p>
        </w:tc>
        <w:tc>
          <w:tcPr>
            <w:tcW w:w="294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r>
      <w:tr>
        <w:trPr>
          <w:trHeight w:val="94"/>
        </w:trPr>
        <w:tc>
          <w:tcPr>
            <w:tcW w:w="520" w:type="dxa"/>
            <w:vAlign w:val="bottom"/>
          </w:tcPr>
          <w:p>
            <w:pPr>
              <w:spacing w:after="0"/>
              <w:rPr>
                <w:sz w:val="20"/>
                <w:szCs w:val="20"/>
                <w:color w:val="auto"/>
              </w:rPr>
            </w:pPr>
            <w:r>
              <w:rPr>
                <w:rFonts w:ascii="Arial" w:cs="Arial" w:eastAsia="Arial" w:hAnsi="Arial"/>
                <w:sz w:val="8"/>
                <w:szCs w:val="8"/>
                <w:color w:val="auto"/>
              </w:rPr>
              <w:t>Annual Bonus</w:t>
            </w:r>
          </w:p>
        </w:tc>
        <w:tc>
          <w:tcPr>
            <w:tcW w:w="2940" w:type="dxa"/>
            <w:vAlign w:val="bottom"/>
          </w:tcPr>
          <w:p>
            <w:pPr>
              <w:ind w:left="20"/>
              <w:spacing w:after="0"/>
              <w:rPr>
                <w:sz w:val="20"/>
                <w:szCs w:val="20"/>
                <w:color w:val="auto"/>
              </w:rPr>
            </w:pPr>
            <w:r>
              <w:rPr>
                <w:rFonts w:ascii="Arial" w:cs="Arial" w:eastAsia="Arial" w:hAnsi="Arial"/>
                <w:sz w:val="8"/>
                <w:szCs w:val="8"/>
                <w:color w:val="auto"/>
              </w:rPr>
              <w:t>•  Reduction of the CEO’s target bonus from 150% to 125%; and</w:t>
            </w:r>
          </w:p>
        </w:tc>
        <w:tc>
          <w:tcPr>
            <w:tcW w:w="1980" w:type="dxa"/>
            <w:vAlign w:val="bottom"/>
          </w:tcPr>
          <w:p>
            <w:pPr>
              <w:ind w:left="300"/>
              <w:spacing w:after="0"/>
              <w:rPr>
                <w:sz w:val="20"/>
                <w:szCs w:val="20"/>
                <w:color w:val="auto"/>
              </w:rPr>
            </w:pPr>
            <w:r>
              <w:rPr>
                <w:rFonts w:ascii="Arial" w:cs="Arial" w:eastAsia="Arial" w:hAnsi="Arial"/>
                <w:sz w:val="8"/>
                <w:szCs w:val="8"/>
                <w:color w:val="auto"/>
              </w:rPr>
              <w:t>▪  Simplification: the asymmetry in the CEO’s</w:t>
            </w:r>
          </w:p>
        </w:tc>
      </w:tr>
      <w:tr>
        <w:trPr>
          <w:trHeight w:val="90"/>
        </w:trPr>
        <w:tc>
          <w:tcPr>
            <w:tcW w:w="520" w:type="dxa"/>
            <w:vAlign w:val="bottom"/>
          </w:tcPr>
          <w:p>
            <w:pPr>
              <w:spacing w:after="0"/>
              <w:rPr>
                <w:sz w:val="7"/>
                <w:szCs w:val="7"/>
                <w:color w:val="auto"/>
              </w:rPr>
            </w:pPr>
          </w:p>
        </w:tc>
        <w:tc>
          <w:tcPr>
            <w:tcW w:w="2940" w:type="dxa"/>
            <w:vAlign w:val="bottom"/>
          </w:tcPr>
          <w:p>
            <w:pPr>
              <w:ind w:left="20"/>
              <w:spacing w:after="0" w:line="90" w:lineRule="exact"/>
              <w:rPr>
                <w:sz w:val="20"/>
                <w:szCs w:val="20"/>
                <w:color w:val="auto"/>
              </w:rPr>
            </w:pPr>
            <w:r>
              <w:rPr>
                <w:rFonts w:ascii="Arial" w:cs="Arial" w:eastAsia="Arial" w:hAnsi="Arial"/>
                <w:sz w:val="8"/>
                <w:szCs w:val="8"/>
                <w:color w:val="auto"/>
              </w:rPr>
              <w:t>•  Removal of the individual performance factor for Executive Directors.</w:t>
            </w:r>
          </w:p>
        </w:tc>
        <w:tc>
          <w:tcPr>
            <w:tcW w:w="1980" w:type="dxa"/>
            <w:vAlign w:val="bottom"/>
          </w:tcPr>
          <w:p>
            <w:pPr>
              <w:ind w:left="400"/>
              <w:spacing w:after="0" w:line="90" w:lineRule="exact"/>
              <w:rPr>
                <w:sz w:val="20"/>
                <w:szCs w:val="20"/>
                <w:color w:val="auto"/>
              </w:rPr>
            </w:pPr>
            <w:r>
              <w:rPr>
                <w:rFonts w:ascii="Arial" w:cs="Arial" w:eastAsia="Arial" w:hAnsi="Arial"/>
                <w:sz w:val="8"/>
                <w:szCs w:val="8"/>
                <w:color w:val="auto"/>
              </w:rPr>
              <w:t>bonus structure and the inclusion of</w:t>
            </w:r>
          </w:p>
        </w:tc>
      </w:tr>
      <w:tr>
        <w:trPr>
          <w:trHeight w:val="90"/>
        </w:trPr>
        <w:tc>
          <w:tcPr>
            <w:tcW w:w="5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980" w:type="dxa"/>
            <w:vAlign w:val="bottom"/>
          </w:tcPr>
          <w:p>
            <w:pPr>
              <w:ind w:left="400"/>
              <w:spacing w:after="0" w:line="90" w:lineRule="exact"/>
              <w:rPr>
                <w:sz w:val="20"/>
                <w:szCs w:val="20"/>
                <w:color w:val="auto"/>
              </w:rPr>
            </w:pPr>
            <w:r>
              <w:rPr>
                <w:rFonts w:ascii="Arial" w:cs="Arial" w:eastAsia="Arial" w:hAnsi="Arial"/>
                <w:sz w:val="8"/>
                <w:szCs w:val="8"/>
                <w:color w:val="auto"/>
                <w:w w:val="99"/>
              </w:rPr>
              <w:t>individual performance factors were creating</w:t>
            </w:r>
          </w:p>
        </w:tc>
      </w:tr>
      <w:tr>
        <w:trPr>
          <w:trHeight w:val="90"/>
        </w:trPr>
        <w:tc>
          <w:tcPr>
            <w:tcW w:w="5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980" w:type="dxa"/>
            <w:vAlign w:val="bottom"/>
          </w:tcPr>
          <w:p>
            <w:pPr>
              <w:ind w:left="400"/>
              <w:spacing w:after="0" w:line="90" w:lineRule="exact"/>
              <w:rPr>
                <w:sz w:val="20"/>
                <w:szCs w:val="20"/>
                <w:color w:val="auto"/>
              </w:rPr>
            </w:pPr>
            <w:r>
              <w:rPr>
                <w:rFonts w:ascii="Arial" w:cs="Arial" w:eastAsia="Arial" w:hAnsi="Arial"/>
                <w:sz w:val="8"/>
                <w:szCs w:val="8"/>
                <w:color w:val="auto"/>
              </w:rPr>
              <w:t>undue complexity; and</w:t>
            </w:r>
          </w:p>
        </w:tc>
      </w:tr>
      <w:tr>
        <w:trPr>
          <w:trHeight w:val="90"/>
        </w:trPr>
        <w:tc>
          <w:tcPr>
            <w:tcW w:w="5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980" w:type="dxa"/>
            <w:vAlign w:val="bottom"/>
          </w:tcPr>
          <w:p>
            <w:pPr>
              <w:ind w:left="300"/>
              <w:spacing w:after="0" w:line="90" w:lineRule="exact"/>
              <w:rPr>
                <w:sz w:val="20"/>
                <w:szCs w:val="20"/>
                <w:color w:val="auto"/>
              </w:rPr>
            </w:pPr>
            <w:r>
              <w:rPr>
                <w:rFonts w:ascii="Arial" w:cs="Arial" w:eastAsia="Arial" w:hAnsi="Arial"/>
                <w:sz w:val="8"/>
                <w:szCs w:val="8"/>
                <w:color w:val="auto"/>
              </w:rPr>
              <w:t>▪  Transparency: The annual bonus is now</w:t>
            </w:r>
          </w:p>
        </w:tc>
      </w:tr>
      <w:tr>
        <w:trPr>
          <w:trHeight w:val="90"/>
        </w:trPr>
        <w:tc>
          <w:tcPr>
            <w:tcW w:w="5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980" w:type="dxa"/>
            <w:vAlign w:val="bottom"/>
          </w:tcPr>
          <w:p>
            <w:pPr>
              <w:ind w:left="400"/>
              <w:spacing w:after="0" w:line="90" w:lineRule="exact"/>
              <w:rPr>
                <w:sz w:val="20"/>
                <w:szCs w:val="20"/>
                <w:color w:val="auto"/>
              </w:rPr>
            </w:pPr>
            <w:r>
              <w:rPr>
                <w:rFonts w:ascii="Arial" w:cs="Arial" w:eastAsia="Arial" w:hAnsi="Arial"/>
                <w:sz w:val="8"/>
                <w:szCs w:val="8"/>
                <w:color w:val="auto"/>
              </w:rPr>
              <w:t>solely linked to the performance of Shell to</w:t>
            </w:r>
          </w:p>
        </w:tc>
      </w:tr>
      <w:tr>
        <w:trPr>
          <w:trHeight w:val="111"/>
        </w:trPr>
        <w:tc>
          <w:tcPr>
            <w:tcW w:w="520" w:type="dxa"/>
            <w:vAlign w:val="bottom"/>
            <w:tcBorders>
              <w:bottom w:val="single" w:sz="8" w:color="595959"/>
            </w:tcBorders>
          </w:tcPr>
          <w:p>
            <w:pPr>
              <w:spacing w:after="0"/>
              <w:rPr>
                <w:sz w:val="9"/>
                <w:szCs w:val="9"/>
                <w:color w:val="auto"/>
              </w:rPr>
            </w:pPr>
          </w:p>
        </w:tc>
        <w:tc>
          <w:tcPr>
            <w:tcW w:w="2940" w:type="dxa"/>
            <w:vAlign w:val="bottom"/>
            <w:tcBorders>
              <w:bottom w:val="single" w:sz="8" w:color="595959"/>
            </w:tcBorders>
          </w:tcPr>
          <w:p>
            <w:pPr>
              <w:spacing w:after="0"/>
              <w:rPr>
                <w:sz w:val="9"/>
                <w:szCs w:val="9"/>
                <w:color w:val="auto"/>
              </w:rPr>
            </w:pPr>
          </w:p>
        </w:tc>
        <w:tc>
          <w:tcPr>
            <w:tcW w:w="1980" w:type="dxa"/>
            <w:vAlign w:val="bottom"/>
            <w:tcBorders>
              <w:bottom w:val="single" w:sz="8" w:color="595959"/>
            </w:tcBorders>
          </w:tcPr>
          <w:p>
            <w:pPr>
              <w:ind w:left="400"/>
              <w:spacing w:after="0"/>
              <w:rPr>
                <w:sz w:val="20"/>
                <w:szCs w:val="20"/>
                <w:color w:val="auto"/>
              </w:rPr>
            </w:pPr>
            <w:r>
              <w:rPr>
                <w:rFonts w:ascii="Arial" w:cs="Arial" w:eastAsia="Arial" w:hAnsi="Arial"/>
                <w:sz w:val="8"/>
                <w:szCs w:val="8"/>
                <w:color w:val="auto"/>
                <w:w w:val="96"/>
              </w:rPr>
              <w:t>support clarity and transparency of outcomes.</w:t>
            </w:r>
          </w:p>
        </w:tc>
      </w:tr>
      <w:tr>
        <w:trPr>
          <w:trHeight w:val="94"/>
        </w:trPr>
        <w:tc>
          <w:tcPr>
            <w:tcW w:w="520" w:type="dxa"/>
            <w:vAlign w:val="bottom"/>
          </w:tcPr>
          <w:p>
            <w:pPr>
              <w:spacing w:after="0"/>
              <w:rPr>
                <w:sz w:val="20"/>
                <w:szCs w:val="20"/>
                <w:color w:val="auto"/>
              </w:rPr>
            </w:pPr>
            <w:r>
              <w:rPr>
                <w:rFonts w:ascii="Arial" w:cs="Arial" w:eastAsia="Arial" w:hAnsi="Arial"/>
                <w:sz w:val="8"/>
                <w:szCs w:val="8"/>
                <w:color w:val="auto"/>
              </w:rPr>
              <w:t>Long-Term</w:t>
            </w:r>
          </w:p>
        </w:tc>
        <w:tc>
          <w:tcPr>
            <w:tcW w:w="2940" w:type="dxa"/>
            <w:vAlign w:val="bottom"/>
          </w:tcPr>
          <w:p>
            <w:pPr>
              <w:ind w:left="20"/>
              <w:spacing w:after="0"/>
              <w:rPr>
                <w:sz w:val="20"/>
                <w:szCs w:val="20"/>
                <w:color w:val="auto"/>
              </w:rPr>
            </w:pPr>
            <w:r>
              <w:rPr>
                <w:rFonts w:ascii="Arial" w:cs="Arial" w:eastAsia="Arial" w:hAnsi="Arial"/>
                <w:sz w:val="8"/>
                <w:szCs w:val="8"/>
                <w:color w:val="auto"/>
              </w:rPr>
              <w:t>•  Reduction of the target LTIP grant from 400% to 300% of base salary; and</w:t>
            </w:r>
          </w:p>
        </w:tc>
        <w:tc>
          <w:tcPr>
            <w:tcW w:w="1980" w:type="dxa"/>
            <w:vAlign w:val="bottom"/>
          </w:tcPr>
          <w:p>
            <w:pPr>
              <w:ind w:left="300"/>
              <w:spacing w:after="0"/>
              <w:rPr>
                <w:sz w:val="20"/>
                <w:szCs w:val="20"/>
                <w:color w:val="auto"/>
              </w:rPr>
            </w:pPr>
            <w:r>
              <w:rPr>
                <w:rFonts w:ascii="Arial" w:cs="Arial" w:eastAsia="Arial" w:hAnsi="Arial"/>
                <w:sz w:val="8"/>
                <w:szCs w:val="8"/>
                <w:color w:val="auto"/>
              </w:rPr>
              <w:t>•  Management of quantum: to moderate the</w:t>
            </w:r>
          </w:p>
        </w:tc>
      </w:tr>
      <w:tr>
        <w:trPr>
          <w:trHeight w:val="90"/>
        </w:trPr>
        <w:tc>
          <w:tcPr>
            <w:tcW w:w="520" w:type="dxa"/>
            <w:vAlign w:val="bottom"/>
          </w:tcPr>
          <w:p>
            <w:pPr>
              <w:spacing w:after="0" w:line="90" w:lineRule="exact"/>
              <w:rPr>
                <w:sz w:val="20"/>
                <w:szCs w:val="20"/>
                <w:color w:val="auto"/>
              </w:rPr>
            </w:pPr>
            <w:r>
              <w:rPr>
                <w:rFonts w:ascii="Arial" w:cs="Arial" w:eastAsia="Arial" w:hAnsi="Arial"/>
                <w:sz w:val="8"/>
                <w:szCs w:val="8"/>
                <w:color w:val="auto"/>
                <w:w w:val="99"/>
              </w:rPr>
              <w:t>Incentive Plan</w:t>
            </w:r>
          </w:p>
        </w:tc>
        <w:tc>
          <w:tcPr>
            <w:tcW w:w="2940" w:type="dxa"/>
            <w:vAlign w:val="bottom"/>
          </w:tcPr>
          <w:p>
            <w:pPr>
              <w:ind w:left="20"/>
              <w:spacing w:after="0" w:line="90" w:lineRule="exact"/>
              <w:rPr>
                <w:sz w:val="20"/>
                <w:szCs w:val="20"/>
                <w:color w:val="auto"/>
              </w:rPr>
            </w:pPr>
            <w:r>
              <w:rPr>
                <w:rFonts w:ascii="Arial" w:cs="Arial" w:eastAsia="Arial" w:hAnsi="Arial"/>
                <w:sz w:val="8"/>
                <w:szCs w:val="8"/>
                <w:color w:val="auto"/>
              </w:rPr>
              <w:t>•  Inclusion of an energy transition metric.</w:t>
            </w:r>
          </w:p>
        </w:tc>
        <w:tc>
          <w:tcPr>
            <w:tcW w:w="1980" w:type="dxa"/>
            <w:vAlign w:val="bottom"/>
          </w:tcPr>
          <w:p>
            <w:pPr>
              <w:ind w:left="400"/>
              <w:spacing w:after="0" w:line="90" w:lineRule="exact"/>
              <w:rPr>
                <w:sz w:val="20"/>
                <w:szCs w:val="20"/>
                <w:color w:val="auto"/>
              </w:rPr>
            </w:pPr>
            <w:r>
              <w:rPr>
                <w:rFonts w:ascii="Arial" w:cs="Arial" w:eastAsia="Arial" w:hAnsi="Arial"/>
                <w:sz w:val="8"/>
                <w:szCs w:val="8"/>
                <w:color w:val="auto"/>
              </w:rPr>
              <w:t>quantum of pay and assist the REMCO in</w:t>
            </w:r>
          </w:p>
        </w:tc>
      </w:tr>
      <w:tr>
        <w:trPr>
          <w:trHeight w:val="90"/>
        </w:trPr>
        <w:tc>
          <w:tcPr>
            <w:tcW w:w="5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980" w:type="dxa"/>
            <w:vAlign w:val="bottom"/>
          </w:tcPr>
          <w:p>
            <w:pPr>
              <w:ind w:left="400"/>
              <w:spacing w:after="0" w:line="90" w:lineRule="exact"/>
              <w:rPr>
                <w:sz w:val="20"/>
                <w:szCs w:val="20"/>
                <w:color w:val="auto"/>
              </w:rPr>
            </w:pPr>
            <w:r>
              <w:rPr>
                <w:rFonts w:ascii="Arial" w:cs="Arial" w:eastAsia="Arial" w:hAnsi="Arial"/>
                <w:sz w:val="8"/>
                <w:szCs w:val="8"/>
                <w:color w:val="auto"/>
              </w:rPr>
              <w:t>managing the range of outcomes; and</w:t>
            </w:r>
          </w:p>
        </w:tc>
      </w:tr>
      <w:tr>
        <w:trPr>
          <w:trHeight w:val="90"/>
        </w:trPr>
        <w:tc>
          <w:tcPr>
            <w:tcW w:w="5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980" w:type="dxa"/>
            <w:vAlign w:val="bottom"/>
          </w:tcPr>
          <w:p>
            <w:pPr>
              <w:ind w:left="300"/>
              <w:spacing w:after="0" w:line="90" w:lineRule="exact"/>
              <w:rPr>
                <w:sz w:val="20"/>
                <w:szCs w:val="20"/>
                <w:color w:val="auto"/>
              </w:rPr>
            </w:pPr>
            <w:r>
              <w:rPr>
                <w:rFonts w:ascii="Arial" w:cs="Arial" w:eastAsia="Arial" w:hAnsi="Arial"/>
                <w:sz w:val="8"/>
                <w:szCs w:val="8"/>
                <w:color w:val="auto"/>
                <w:w w:val="99"/>
              </w:rPr>
              <w:t>•  Alignment to strategy: inclusion of the energy</w:t>
            </w:r>
          </w:p>
        </w:tc>
      </w:tr>
      <w:tr>
        <w:trPr>
          <w:trHeight w:val="90"/>
        </w:trPr>
        <w:tc>
          <w:tcPr>
            <w:tcW w:w="5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980" w:type="dxa"/>
            <w:vAlign w:val="bottom"/>
          </w:tcPr>
          <w:p>
            <w:pPr>
              <w:ind w:left="400"/>
              <w:spacing w:after="0" w:line="90" w:lineRule="exact"/>
              <w:rPr>
                <w:sz w:val="20"/>
                <w:szCs w:val="20"/>
                <w:color w:val="auto"/>
              </w:rPr>
            </w:pPr>
            <w:r>
              <w:rPr>
                <w:rFonts w:ascii="Arial" w:cs="Arial" w:eastAsia="Arial" w:hAnsi="Arial"/>
                <w:sz w:val="8"/>
                <w:szCs w:val="8"/>
                <w:color w:val="auto"/>
              </w:rPr>
              <w:t>transition metric strengthens the LTIP’s</w:t>
            </w:r>
          </w:p>
        </w:tc>
      </w:tr>
      <w:tr>
        <w:trPr>
          <w:trHeight w:val="105"/>
        </w:trPr>
        <w:tc>
          <w:tcPr>
            <w:tcW w:w="5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980" w:type="dxa"/>
            <w:vAlign w:val="bottom"/>
          </w:tcPr>
          <w:p>
            <w:pPr>
              <w:ind w:left="400"/>
              <w:spacing w:after="0"/>
              <w:rPr>
                <w:sz w:val="20"/>
                <w:szCs w:val="20"/>
                <w:color w:val="auto"/>
              </w:rPr>
            </w:pPr>
            <w:r>
              <w:rPr>
                <w:rFonts w:ascii="Arial" w:cs="Arial" w:eastAsia="Arial" w:hAnsi="Arial"/>
                <w:sz w:val="8"/>
                <w:szCs w:val="8"/>
                <w:color w:val="auto"/>
              </w:rPr>
              <w:t>alignment to Shell's strategy and purpose.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345757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p>
      <w:pPr>
        <w:spacing w:after="0" w:line="30" w:lineRule="exact"/>
        <w:rPr>
          <w:sz w:val="20"/>
          <w:szCs w:val="20"/>
          <w:color w:val="auto"/>
        </w:rPr>
      </w:pPr>
    </w:p>
    <w:p>
      <w:pPr>
        <w:spacing w:after="0"/>
        <w:tabs>
          <w:tab w:leader="none" w:pos="520" w:val="left"/>
          <w:tab w:leader="none" w:pos="620" w:val="left"/>
        </w:tabs>
        <w:rPr>
          <w:sz w:val="20"/>
          <w:szCs w:val="20"/>
          <w:color w:val="auto"/>
        </w:rPr>
      </w:pPr>
      <w:r>
        <w:rPr>
          <w:rFonts w:ascii="Arial" w:cs="Arial" w:eastAsia="Arial" w:hAnsi="Arial"/>
          <w:sz w:val="8"/>
          <w:szCs w:val="8"/>
          <w:color w:val="auto"/>
        </w:rPr>
        <w:t>Discretion,</w:t>
      </w:r>
      <w:r>
        <w:rPr>
          <w:sz w:val="20"/>
          <w:szCs w:val="20"/>
          <w:color w:val="auto"/>
        </w:rPr>
        <w:tab/>
      </w:r>
      <w:r>
        <w:rPr>
          <w:rFonts w:ascii="Arial" w:cs="Arial" w:eastAsia="Arial" w:hAnsi="Arial"/>
          <w:sz w:val="8"/>
          <w:szCs w:val="8"/>
          <w:color w:val="auto"/>
        </w:rPr>
        <w:t>•</w:t>
      </w:r>
      <w:r>
        <w:rPr>
          <w:sz w:val="20"/>
          <w:szCs w:val="20"/>
          <w:color w:val="auto"/>
        </w:rPr>
        <w:tab/>
      </w:r>
      <w:r>
        <w:rPr>
          <w:rFonts w:ascii="Arial" w:cs="Arial" w:eastAsia="Arial" w:hAnsi="Arial"/>
          <w:sz w:val="7"/>
          <w:szCs w:val="7"/>
          <w:color w:val="auto"/>
        </w:rPr>
        <w:t>After reviewing the single figure outcomes for the year, the REMCO will consider an</w:t>
      </w:r>
    </w:p>
    <w:p>
      <w:pPr>
        <w:spacing w:after="0" w:line="2" w:lineRule="exact"/>
        <w:rPr>
          <w:sz w:val="20"/>
          <w:szCs w:val="20"/>
          <w:color w:val="auto"/>
        </w:rPr>
      </w:pPr>
    </w:p>
    <w:p>
      <w:pPr>
        <w:spacing w:after="0"/>
        <w:tabs>
          <w:tab w:leader="none" w:pos="620" w:val="left"/>
        </w:tabs>
        <w:rPr>
          <w:sz w:val="20"/>
          <w:szCs w:val="20"/>
          <w:color w:val="auto"/>
        </w:rPr>
      </w:pPr>
      <w:r>
        <w:rPr>
          <w:rFonts w:ascii="Arial" w:cs="Arial" w:eastAsia="Arial" w:hAnsi="Arial"/>
          <w:sz w:val="8"/>
          <w:szCs w:val="8"/>
          <w:color w:val="auto"/>
        </w:rPr>
        <w:t>Malus and</w:t>
      </w:r>
      <w:r>
        <w:rPr>
          <w:sz w:val="20"/>
          <w:szCs w:val="20"/>
          <w:color w:val="auto"/>
        </w:rPr>
        <w:tab/>
      </w:r>
      <w:r>
        <w:rPr>
          <w:rFonts w:ascii="Arial" w:cs="Arial" w:eastAsia="Arial" w:hAnsi="Arial"/>
          <w:sz w:val="7"/>
          <w:szCs w:val="7"/>
          <w:color w:val="auto"/>
        </w:rPr>
        <w:t>adjustment for the purposes of managing remuneration quantum, taking into account</w:t>
      </w:r>
    </w:p>
    <w:p>
      <w:pPr>
        <w:spacing w:after="0" w:line="234" w:lineRule="auto"/>
        <w:tabs>
          <w:tab w:leader="none" w:pos="620" w:val="left"/>
        </w:tabs>
        <w:rPr>
          <w:sz w:val="20"/>
          <w:szCs w:val="20"/>
          <w:color w:val="auto"/>
        </w:rPr>
      </w:pPr>
      <w:r>
        <w:rPr>
          <w:rFonts w:ascii="Arial" w:cs="Arial" w:eastAsia="Arial" w:hAnsi="Arial"/>
          <w:sz w:val="8"/>
          <w:szCs w:val="8"/>
          <w:color w:val="auto"/>
        </w:rPr>
        <w:t>Clawback</w:t>
      </w:r>
      <w:r>
        <w:rPr>
          <w:sz w:val="20"/>
          <w:szCs w:val="20"/>
          <w:color w:val="auto"/>
        </w:rPr>
        <w:tab/>
      </w:r>
      <w:r>
        <w:rPr>
          <w:rFonts w:ascii="Arial" w:cs="Arial" w:eastAsia="Arial" w:hAnsi="Arial"/>
          <w:sz w:val="8"/>
          <w:szCs w:val="8"/>
          <w:color w:val="auto"/>
        </w:rPr>
        <w:t>performance, the operation of the remuneration structures and any other relevant</w:t>
      </w:r>
    </w:p>
    <w:p>
      <w:pPr>
        <w:jc w:val="right"/>
        <w:spacing w:after="0" w:line="235" w:lineRule="auto"/>
        <w:rPr>
          <w:sz w:val="20"/>
          <w:szCs w:val="20"/>
          <w:color w:val="auto"/>
        </w:rPr>
      </w:pPr>
      <w:r>
        <w:rPr>
          <w:rFonts w:ascii="Arial" w:cs="Arial" w:eastAsia="Arial" w:hAnsi="Arial"/>
          <w:sz w:val="8"/>
          <w:szCs w:val="8"/>
          <w:color w:val="auto"/>
        </w:rPr>
        <w:t>considerations. An explanation of any discretionary adjustment would be set out in the</w:t>
      </w:r>
    </w:p>
    <w:p>
      <w:pPr>
        <w:ind w:left="640"/>
        <w:spacing w:after="0" w:line="235" w:lineRule="auto"/>
        <w:rPr>
          <w:sz w:val="20"/>
          <w:szCs w:val="20"/>
          <w:color w:val="auto"/>
        </w:rPr>
      </w:pPr>
      <w:r>
        <w:rPr>
          <w:rFonts w:ascii="Arial" w:cs="Arial" w:eastAsia="Arial" w:hAnsi="Arial"/>
          <w:sz w:val="8"/>
          <w:szCs w:val="8"/>
          <w:color w:val="auto"/>
        </w:rPr>
        <w:t>relevant Director’s Remuneration Report;</w:t>
      </w:r>
    </w:p>
    <w:p>
      <w:pPr>
        <w:ind w:left="540"/>
        <w:spacing w:after="0"/>
        <w:tabs>
          <w:tab w:leader="none" w:pos="620" w:val="left"/>
        </w:tabs>
        <w:rPr>
          <w:sz w:val="20"/>
          <w:szCs w:val="20"/>
          <w:color w:val="auto"/>
        </w:rPr>
      </w:pPr>
      <w:r>
        <w:rPr>
          <w:rFonts w:ascii="Arial" w:cs="Arial" w:eastAsia="Arial" w:hAnsi="Arial"/>
          <w:sz w:val="8"/>
          <w:szCs w:val="8"/>
          <w:color w:val="auto"/>
        </w:rPr>
        <w:t>•</w:t>
      </w:r>
      <w:r>
        <w:rPr>
          <w:sz w:val="20"/>
          <w:szCs w:val="20"/>
          <w:color w:val="auto"/>
        </w:rPr>
        <w:tab/>
      </w:r>
      <w:r>
        <w:rPr>
          <w:rFonts w:ascii="Arial" w:cs="Arial" w:eastAsia="Arial" w:hAnsi="Arial"/>
          <w:sz w:val="7"/>
          <w:szCs w:val="7"/>
          <w:color w:val="auto"/>
        </w:rPr>
        <w:t>Alignment of malus and clawback provisions so that these are the same. Inclusion of</w:t>
      </w:r>
    </w:p>
    <w:p>
      <w:pPr>
        <w:ind w:left="640"/>
        <w:spacing w:after="0" w:line="235" w:lineRule="auto"/>
        <w:rPr>
          <w:sz w:val="20"/>
          <w:szCs w:val="20"/>
          <w:color w:val="auto"/>
        </w:rPr>
      </w:pPr>
      <w:r>
        <w:rPr>
          <w:rFonts w:ascii="Arial" w:cs="Arial" w:eastAsia="Arial" w:hAnsi="Arial"/>
          <w:sz w:val="8"/>
          <w:szCs w:val="8"/>
          <w:color w:val="auto"/>
        </w:rPr>
        <w:t>corporate failure as an adjustment event; and</w:t>
      </w:r>
    </w:p>
    <w:p>
      <w:pPr>
        <w:ind w:left="540"/>
        <w:spacing w:after="0"/>
        <w:tabs>
          <w:tab w:leader="none" w:pos="620" w:val="left"/>
        </w:tabs>
        <w:rPr>
          <w:sz w:val="20"/>
          <w:szCs w:val="20"/>
          <w:color w:val="auto"/>
        </w:rPr>
      </w:pPr>
      <w:r>
        <w:rPr>
          <w:rFonts w:ascii="Arial" w:cs="Arial" w:eastAsia="Arial" w:hAnsi="Arial"/>
          <w:sz w:val="8"/>
          <w:szCs w:val="8"/>
          <w:color w:val="auto"/>
        </w:rPr>
        <w:t>•</w:t>
      </w:r>
      <w:r>
        <w:rPr>
          <w:sz w:val="20"/>
          <w:szCs w:val="20"/>
          <w:color w:val="auto"/>
        </w:rPr>
        <w:tab/>
      </w:r>
      <w:r>
        <w:rPr>
          <w:rFonts w:ascii="Arial" w:cs="Arial" w:eastAsia="Arial" w:hAnsi="Arial"/>
          <w:sz w:val="7"/>
          <w:szCs w:val="7"/>
          <w:color w:val="auto"/>
        </w:rPr>
        <w:t>Amendment of provisions in the share plan such that for future grants, awards may be</w:t>
      </w:r>
    </w:p>
    <w:p>
      <w:pPr>
        <w:ind w:left="640"/>
        <w:spacing w:after="0"/>
        <w:rPr>
          <w:sz w:val="20"/>
          <w:szCs w:val="20"/>
          <w:color w:val="auto"/>
        </w:rPr>
      </w:pPr>
      <w:r>
        <w:rPr>
          <w:rFonts w:ascii="Arial" w:cs="Arial" w:eastAsia="Arial" w:hAnsi="Arial"/>
          <w:sz w:val="8"/>
          <w:szCs w:val="8"/>
          <w:color w:val="auto"/>
        </w:rPr>
        <w:t>adjusted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57575"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94" w:right="5900" w:hanging="94"/>
        <w:spacing w:after="0"/>
        <w:tabs>
          <w:tab w:leader="none" w:pos="93" w:val="left"/>
        </w:tabs>
        <w:numPr>
          <w:ilvl w:val="0"/>
          <w:numId w:val="145"/>
        </w:numPr>
        <w:rPr>
          <w:rFonts w:ascii="Arial" w:cs="Arial" w:eastAsia="Arial" w:hAnsi="Arial"/>
          <w:sz w:val="8"/>
          <w:szCs w:val="8"/>
          <w:color w:val="auto"/>
        </w:rPr>
      </w:pPr>
      <w:r>
        <w:rPr>
          <w:rFonts w:ascii="Arial" w:cs="Arial" w:eastAsia="Arial" w:hAnsi="Arial"/>
          <w:sz w:val="8"/>
          <w:szCs w:val="8"/>
          <w:color w:val="auto"/>
        </w:rPr>
        <w:t>Corporate governance: to assist the REMCO in managing the risks from behavioural-based incentive schemes; and</w:t>
      </w:r>
    </w:p>
    <w:p>
      <w:pPr>
        <w:ind w:left="94" w:right="5900" w:hanging="94"/>
        <w:spacing w:after="0" w:line="322" w:lineRule="auto"/>
        <w:tabs>
          <w:tab w:leader="none" w:pos="93" w:val="left"/>
        </w:tabs>
        <w:numPr>
          <w:ilvl w:val="0"/>
          <w:numId w:val="145"/>
        </w:numPr>
        <w:rPr>
          <w:rFonts w:ascii="Arial" w:cs="Arial" w:eastAsia="Arial" w:hAnsi="Arial"/>
          <w:sz w:val="7"/>
          <w:szCs w:val="7"/>
          <w:color w:val="auto"/>
        </w:rPr>
      </w:pPr>
      <w:r>
        <w:rPr>
          <w:rFonts w:ascii="Arial" w:cs="Arial" w:eastAsia="Arial" w:hAnsi="Arial"/>
          <w:sz w:val="7"/>
          <w:szCs w:val="7"/>
          <w:color w:val="auto"/>
        </w:rPr>
        <w:t>Management of quantum: to assist the REMCO in managing the range of outcomes.</w:t>
      </w:r>
    </w:p>
    <w:p>
      <w:pPr>
        <w:spacing w:after="0" w:line="362" w:lineRule="exact"/>
        <w:rPr>
          <w:sz w:val="20"/>
          <w:szCs w:val="20"/>
          <w:color w:val="auto"/>
        </w:rPr>
      </w:pPr>
    </w:p>
    <w:p>
      <w:pPr>
        <w:sectPr>
          <w:pgSz w:w="11900" w:h="16838" w:orient="portrait"/>
          <w:cols w:equalWidth="0" w:num="2">
            <w:col w:w="3560" w:space="206"/>
            <w:col w:w="7534"/>
          </w:cols>
          <w:pgMar w:left="300" w:top="678" w:right="299" w:bottom="1440" w:gutter="0" w:footer="0" w:header="0"/>
          <w:type w:val="continuous"/>
        </w:sectPr>
      </w:pPr>
    </w:p>
    <w:p>
      <w:pPr>
        <w:spacing w:after="0"/>
        <w:tabs>
          <w:tab w:leader="none" w:pos="520" w:val="left"/>
          <w:tab w:leader="none" w:pos="620" w:val="left"/>
        </w:tabs>
        <w:rPr>
          <w:sz w:val="20"/>
          <w:szCs w:val="20"/>
          <w:color w:val="auto"/>
        </w:rPr>
      </w:pPr>
      <w:r>
        <w:rPr>
          <w:rFonts w:ascii="Arial" w:cs="Arial" w:eastAsia="Arial" w:hAnsi="Arial"/>
          <w:sz w:val="8"/>
          <w:szCs w:val="8"/>
          <w:color w:val="auto"/>
        </w:rPr>
        <w:t>Pension</w:t>
      </w:r>
      <w:r>
        <w:rPr>
          <w:sz w:val="20"/>
          <w:szCs w:val="20"/>
          <w:color w:val="auto"/>
        </w:rPr>
        <w:tab/>
      </w:r>
      <w:r>
        <w:rPr>
          <w:rFonts w:ascii="Arial" w:cs="Arial" w:eastAsia="Arial" w:hAnsi="Arial"/>
          <w:sz w:val="8"/>
          <w:szCs w:val="8"/>
          <w:color w:val="auto"/>
        </w:rPr>
        <w:t>•</w:t>
      </w:r>
      <w:r>
        <w:rPr>
          <w:sz w:val="20"/>
          <w:szCs w:val="20"/>
          <w:color w:val="auto"/>
        </w:rPr>
        <w:tab/>
      </w:r>
      <w:r>
        <w:rPr>
          <w:rFonts w:ascii="Arial" w:cs="Arial" w:eastAsia="Arial" w:hAnsi="Arial"/>
          <w:sz w:val="7"/>
          <w:szCs w:val="7"/>
          <w:color w:val="auto"/>
        </w:rPr>
        <w:t>New Executive Directors who are members of a defined benefit pension arrangement will</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8"/>
          <w:szCs w:val="8"/>
          <w:color w:val="auto"/>
        </w:rPr>
        <w:t>have their pensionable salary capped at the salary applicable immediately prior to</w:t>
      </w:r>
    </w:p>
    <w:p>
      <w:pPr>
        <w:jc w:val="right"/>
        <w:spacing w:after="0" w:line="234" w:lineRule="auto"/>
        <w:rPr>
          <w:sz w:val="20"/>
          <w:szCs w:val="20"/>
          <w:color w:val="auto"/>
        </w:rPr>
      </w:pPr>
      <w:r>
        <w:rPr>
          <w:rFonts w:ascii="Arial" w:cs="Arial" w:eastAsia="Arial" w:hAnsi="Arial"/>
          <w:sz w:val="8"/>
          <w:szCs w:val="8"/>
          <w:color w:val="auto"/>
        </w:rPr>
        <w:t>appointment, with the exception of existing US base country participants who will have the</w:t>
      </w:r>
    </w:p>
    <w:p>
      <w:pPr>
        <w:ind w:left="640"/>
        <w:spacing w:after="0" w:line="235" w:lineRule="auto"/>
        <w:rPr>
          <w:sz w:val="20"/>
          <w:szCs w:val="20"/>
          <w:color w:val="auto"/>
        </w:rPr>
      </w:pPr>
      <w:r>
        <w:rPr>
          <w:rFonts w:ascii="Arial" w:cs="Arial" w:eastAsia="Arial" w:hAnsi="Arial"/>
          <w:sz w:val="8"/>
          <w:szCs w:val="8"/>
          <w:color w:val="auto"/>
        </w:rPr>
        <w:t>bonus removed from the definition of pensionable base salary instead. The Executive</w:t>
      </w:r>
    </w:p>
    <w:p>
      <w:pPr>
        <w:ind w:left="640"/>
        <w:spacing w:after="0" w:line="235" w:lineRule="auto"/>
        <w:rPr>
          <w:sz w:val="20"/>
          <w:szCs w:val="20"/>
          <w:color w:val="auto"/>
        </w:rPr>
      </w:pPr>
      <w:r>
        <w:rPr>
          <w:rFonts w:ascii="Arial" w:cs="Arial" w:eastAsia="Arial" w:hAnsi="Arial"/>
          <w:sz w:val="8"/>
          <w:szCs w:val="8"/>
          <w:color w:val="auto"/>
        </w:rPr>
        <w:t>Director will join a defined contribution scheme in their base country for contributions</w:t>
      </w:r>
    </w:p>
    <w:p>
      <w:pPr>
        <w:ind w:left="640"/>
        <w:spacing w:after="0"/>
        <w:rPr>
          <w:sz w:val="20"/>
          <w:szCs w:val="20"/>
          <w:color w:val="auto"/>
        </w:rPr>
      </w:pPr>
      <w:r>
        <w:rPr>
          <w:rFonts w:ascii="Arial" w:cs="Arial" w:eastAsia="Arial" w:hAnsi="Arial"/>
          <w:sz w:val="7"/>
          <w:szCs w:val="7"/>
          <w:color w:val="auto"/>
        </w:rPr>
        <w:t>made in respect of salary above the defined benefit pensionable salary, or in exceptional</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7"/>
          <w:szCs w:val="7"/>
          <w:color w:val="auto"/>
        </w:rPr>
        <w:t>circumstances, receive a cash allowance equivalent to the contribution above the cap; and</w:t>
      </w:r>
    </w:p>
    <w:p>
      <w:pPr>
        <w:spacing w:after="0" w:line="8" w:lineRule="exact"/>
        <w:rPr>
          <w:sz w:val="20"/>
          <w:szCs w:val="20"/>
          <w:color w:val="auto"/>
        </w:rPr>
      </w:pPr>
    </w:p>
    <w:p>
      <w:pPr>
        <w:ind w:left="540"/>
        <w:spacing w:after="0"/>
        <w:tabs>
          <w:tab w:leader="none" w:pos="620" w:val="left"/>
        </w:tabs>
        <w:rPr>
          <w:sz w:val="20"/>
          <w:szCs w:val="20"/>
          <w:color w:val="auto"/>
        </w:rPr>
      </w:pPr>
      <w:r>
        <w:rPr>
          <w:rFonts w:ascii="Arial" w:cs="Arial" w:eastAsia="Arial" w:hAnsi="Arial"/>
          <w:sz w:val="8"/>
          <w:szCs w:val="8"/>
          <w:color w:val="auto"/>
        </w:rPr>
        <w:t>•</w:t>
      </w:r>
      <w:r>
        <w:rPr>
          <w:sz w:val="20"/>
          <w:szCs w:val="20"/>
          <w:color w:val="auto"/>
        </w:rPr>
        <w:tab/>
      </w:r>
      <w:r>
        <w:rPr>
          <w:rFonts w:ascii="Arial" w:cs="Arial" w:eastAsia="Arial" w:hAnsi="Arial"/>
          <w:sz w:val="7"/>
          <w:szCs w:val="7"/>
          <w:color w:val="auto"/>
        </w:rPr>
        <w:t>For recruitment: Explicit confirmation that new appointees, whether internally promoted or</w:t>
      </w:r>
    </w:p>
    <w:p>
      <w:pPr>
        <w:ind w:left="640"/>
        <w:spacing w:after="0"/>
        <w:rPr>
          <w:sz w:val="20"/>
          <w:szCs w:val="20"/>
          <w:color w:val="auto"/>
        </w:rPr>
      </w:pPr>
      <w:r>
        <w:rPr>
          <w:rFonts w:ascii="Arial" w:cs="Arial" w:eastAsia="Arial" w:hAnsi="Arial"/>
          <w:sz w:val="7"/>
          <w:szCs w:val="7"/>
          <w:color w:val="auto"/>
        </w:rPr>
        <w:t>newly hired, will be provided with a pension in line with the wider workforce in their base</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8"/>
          <w:szCs w:val="8"/>
          <w:color w:val="auto"/>
        </w:rPr>
        <w:t>country.</w:t>
      </w:r>
    </w:p>
    <w:p>
      <w:pPr>
        <w:spacing w:after="0" w:line="20" w:lineRule="exact"/>
        <w:rPr>
          <w:sz w:val="20"/>
          <w:szCs w:val="20"/>
          <w:color w:val="auto"/>
        </w:rPr>
      </w:pPr>
      <w:r>
        <w:rPr>
          <w:sz w:val="20"/>
          <w:szCs w:val="20"/>
          <w:color w:val="auto"/>
        </w:rPr>
        <w:br w:type="column"/>
      </w:r>
    </w:p>
    <w:p>
      <w:pPr>
        <w:jc w:val="both"/>
        <w:ind w:left="94" w:right="6020" w:hanging="94"/>
        <w:spacing w:after="0" w:line="274" w:lineRule="auto"/>
        <w:tabs>
          <w:tab w:leader="none" w:pos="93" w:val="left"/>
        </w:tabs>
        <w:numPr>
          <w:ilvl w:val="0"/>
          <w:numId w:val="146"/>
        </w:numPr>
        <w:rPr>
          <w:rFonts w:ascii="Arial" w:cs="Arial" w:eastAsia="Arial" w:hAnsi="Arial"/>
          <w:sz w:val="7"/>
          <w:szCs w:val="7"/>
          <w:color w:val="auto"/>
        </w:rPr>
      </w:pPr>
      <w:r>
        <w:rPr>
          <w:rFonts w:ascii="Arial" w:cs="Arial" w:eastAsia="Arial" w:hAnsi="Arial"/>
          <w:sz w:val="7"/>
          <w:szCs w:val="7"/>
          <w:color w:val="auto"/>
        </w:rPr>
        <w:t>Management of quantum: to moderate the quantum of pay and assist the REMCO in managing the range of outcomes; and</w:t>
      </w:r>
    </w:p>
    <w:p>
      <w:pPr>
        <w:ind w:left="94" w:right="5920" w:hanging="94"/>
        <w:spacing w:after="0" w:line="252" w:lineRule="auto"/>
        <w:tabs>
          <w:tab w:leader="none" w:pos="93" w:val="left"/>
        </w:tabs>
        <w:numPr>
          <w:ilvl w:val="0"/>
          <w:numId w:val="146"/>
        </w:numPr>
        <w:rPr>
          <w:rFonts w:ascii="Arial" w:cs="Arial" w:eastAsia="Arial" w:hAnsi="Arial"/>
          <w:sz w:val="8"/>
          <w:szCs w:val="8"/>
          <w:color w:val="auto"/>
        </w:rPr>
      </w:pPr>
      <w:r>
        <w:rPr>
          <w:rFonts w:ascii="Arial" w:cs="Arial" w:eastAsia="Arial" w:hAnsi="Arial"/>
          <w:sz w:val="8"/>
          <w:szCs w:val="8"/>
          <w:color w:val="auto"/>
        </w:rPr>
        <w:t>Corporate governance: to adopt best practice in line with external guidelines.</w:t>
      </w:r>
    </w:p>
    <w:p>
      <w:pPr>
        <w:spacing w:after="0" w:line="445" w:lineRule="exact"/>
        <w:rPr>
          <w:sz w:val="20"/>
          <w:szCs w:val="20"/>
          <w:color w:val="auto"/>
        </w:rPr>
      </w:pPr>
    </w:p>
    <w:p>
      <w:pPr>
        <w:sectPr>
          <w:pgSz w:w="11900" w:h="16838" w:orient="portrait"/>
          <w:cols w:equalWidth="0" w:num="2">
            <w:col w:w="3720" w:space="46"/>
            <w:col w:w="7534"/>
          </w:cols>
          <w:pgMar w:left="300" w:top="678" w:right="299" w:bottom="1440" w:gutter="0" w:footer="0" w:header="0"/>
          <w:type w:val="continuous"/>
        </w:sectPr>
      </w:pPr>
    </w:p>
    <w:tbl>
      <w:tblPr>
        <w:tblLayout w:type="fixed"/>
        <w:tblInd w:w="0" w:type="dxa"/>
        <w:tblCellMar>
          <w:top w:w="0" w:type="dxa"/>
          <w:left w:w="0" w:type="dxa"/>
          <w:bottom w:w="0" w:type="dxa"/>
          <w:right w:w="0" w:type="dxa"/>
        </w:tblCellMar>
      </w:tblPr>
      <w:tr>
        <w:trPr>
          <w:trHeight w:val="100"/>
        </w:trPr>
        <w:tc>
          <w:tcPr>
            <w:tcW w:w="500" w:type="dxa"/>
            <w:vAlign w:val="bottom"/>
            <w:tcBorders>
              <w:top w:val="single" w:sz="8" w:color="595959"/>
            </w:tcBorders>
          </w:tcPr>
          <w:p>
            <w:pPr>
              <w:spacing w:after="0"/>
              <w:rPr>
                <w:sz w:val="20"/>
                <w:szCs w:val="20"/>
                <w:color w:val="auto"/>
              </w:rPr>
            </w:pPr>
            <w:r>
              <w:rPr>
                <w:rFonts w:ascii="Arial" w:cs="Arial" w:eastAsia="Arial" w:hAnsi="Arial"/>
                <w:sz w:val="8"/>
                <w:szCs w:val="8"/>
                <w:color w:val="auto"/>
              </w:rPr>
              <w:t>Shareholding</w:t>
            </w:r>
          </w:p>
        </w:tc>
        <w:tc>
          <w:tcPr>
            <w:tcW w:w="100" w:type="dxa"/>
            <w:vAlign w:val="bottom"/>
            <w:tcBorders>
              <w:top w:val="single" w:sz="8" w:color="595959"/>
            </w:tcBorders>
          </w:tcPr>
          <w:p>
            <w:pPr>
              <w:ind w:left="40"/>
              <w:spacing w:after="0"/>
              <w:rPr>
                <w:sz w:val="20"/>
                <w:szCs w:val="20"/>
                <w:color w:val="auto"/>
              </w:rPr>
            </w:pPr>
            <w:r>
              <w:rPr>
                <w:rFonts w:ascii="Arial" w:cs="Arial" w:eastAsia="Arial" w:hAnsi="Arial"/>
                <w:sz w:val="8"/>
                <w:szCs w:val="8"/>
                <w:color w:val="auto"/>
              </w:rPr>
              <w:t>•</w:t>
            </w:r>
          </w:p>
        </w:tc>
        <w:tc>
          <w:tcPr>
            <w:tcW w:w="3040" w:type="dxa"/>
            <w:vAlign w:val="bottom"/>
            <w:tcBorders>
              <w:top w:val="single" w:sz="8" w:color="595959"/>
            </w:tcBorders>
          </w:tcPr>
          <w:p>
            <w:pPr>
              <w:ind w:left="40"/>
              <w:spacing w:after="0"/>
              <w:rPr>
                <w:sz w:val="20"/>
                <w:szCs w:val="20"/>
                <w:color w:val="auto"/>
              </w:rPr>
            </w:pPr>
            <w:r>
              <w:rPr>
                <w:rFonts w:ascii="Arial" w:cs="Arial" w:eastAsia="Arial" w:hAnsi="Arial"/>
                <w:sz w:val="8"/>
                <w:szCs w:val="8"/>
                <w:color w:val="auto"/>
              </w:rPr>
              <w:t>CFO requirement increased to 500% of base salary; and</w:t>
            </w:r>
          </w:p>
        </w:tc>
        <w:tc>
          <w:tcPr>
            <w:tcW w:w="1800" w:type="dxa"/>
            <w:vAlign w:val="bottom"/>
            <w:tcBorders>
              <w:top w:val="single" w:sz="8" w:color="595959"/>
            </w:tcBorders>
          </w:tcPr>
          <w:p>
            <w:pPr>
              <w:ind w:left="120"/>
              <w:spacing w:after="0"/>
              <w:rPr>
                <w:sz w:val="20"/>
                <w:szCs w:val="20"/>
                <w:color w:val="auto"/>
              </w:rPr>
            </w:pPr>
            <w:r>
              <w:rPr>
                <w:rFonts w:ascii="Arial" w:cs="Arial" w:eastAsia="Arial" w:hAnsi="Arial"/>
                <w:sz w:val="8"/>
                <w:szCs w:val="8"/>
                <w:color w:val="auto"/>
              </w:rPr>
              <w:t>•  Alignment with shareholders: further aligns</w:t>
            </w:r>
          </w:p>
        </w:tc>
      </w:tr>
      <w:tr>
        <w:trPr>
          <w:trHeight w:val="90"/>
        </w:trPr>
        <w:tc>
          <w:tcPr>
            <w:tcW w:w="500" w:type="dxa"/>
            <w:vAlign w:val="bottom"/>
          </w:tcPr>
          <w:p>
            <w:pPr>
              <w:spacing w:after="0" w:line="90" w:lineRule="exact"/>
              <w:rPr>
                <w:sz w:val="20"/>
                <w:szCs w:val="20"/>
                <w:color w:val="auto"/>
              </w:rPr>
            </w:pPr>
            <w:r>
              <w:rPr>
                <w:rFonts w:ascii="Arial" w:cs="Arial" w:eastAsia="Arial" w:hAnsi="Arial"/>
                <w:sz w:val="8"/>
                <w:szCs w:val="8"/>
                <w:color w:val="auto"/>
              </w:rPr>
              <w:t>Requirement</w:t>
            </w:r>
          </w:p>
        </w:tc>
        <w:tc>
          <w:tcPr>
            <w:tcW w:w="100" w:type="dxa"/>
            <w:vAlign w:val="bottom"/>
          </w:tcPr>
          <w:p>
            <w:pPr>
              <w:ind w:left="40"/>
              <w:spacing w:after="0" w:line="90" w:lineRule="exact"/>
              <w:rPr>
                <w:sz w:val="20"/>
                <w:szCs w:val="20"/>
                <w:color w:val="auto"/>
              </w:rPr>
            </w:pPr>
            <w:r>
              <w:rPr>
                <w:rFonts w:ascii="Arial" w:cs="Arial" w:eastAsia="Arial" w:hAnsi="Arial"/>
                <w:sz w:val="8"/>
                <w:szCs w:val="8"/>
                <w:color w:val="auto"/>
              </w:rPr>
              <w:t>•</w:t>
            </w:r>
          </w:p>
        </w:tc>
        <w:tc>
          <w:tcPr>
            <w:tcW w:w="3040" w:type="dxa"/>
            <w:vAlign w:val="bottom"/>
          </w:tcPr>
          <w:p>
            <w:pPr>
              <w:ind w:left="40"/>
              <w:spacing w:after="0" w:line="90" w:lineRule="exact"/>
              <w:rPr>
                <w:sz w:val="20"/>
                <w:szCs w:val="20"/>
                <w:color w:val="auto"/>
              </w:rPr>
            </w:pPr>
            <w:r>
              <w:rPr>
                <w:rFonts w:ascii="Arial" w:cs="Arial" w:eastAsia="Arial" w:hAnsi="Arial"/>
                <w:sz w:val="8"/>
                <w:szCs w:val="8"/>
                <w:color w:val="auto"/>
                <w:w w:val="99"/>
              </w:rPr>
              <w:t>Extended so it applies for a period of two years post-employment (at the lower of the</w:t>
            </w:r>
          </w:p>
        </w:tc>
        <w:tc>
          <w:tcPr>
            <w:tcW w:w="1800" w:type="dxa"/>
            <w:vAlign w:val="bottom"/>
          </w:tcPr>
          <w:p>
            <w:pPr>
              <w:ind w:left="220"/>
              <w:spacing w:after="0" w:line="90" w:lineRule="exact"/>
              <w:rPr>
                <w:sz w:val="20"/>
                <w:szCs w:val="20"/>
                <w:color w:val="auto"/>
              </w:rPr>
            </w:pPr>
            <w:r>
              <w:rPr>
                <w:rFonts w:ascii="Arial" w:cs="Arial" w:eastAsia="Arial" w:hAnsi="Arial"/>
                <w:sz w:val="8"/>
                <w:szCs w:val="8"/>
                <w:color w:val="auto"/>
              </w:rPr>
              <w:t>executives with the long-term interests of</w:t>
            </w:r>
          </w:p>
        </w:tc>
      </w:tr>
      <w:tr>
        <w:trPr>
          <w:trHeight w:val="111"/>
        </w:trPr>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ind w:left="40"/>
              <w:spacing w:after="0"/>
              <w:rPr>
                <w:sz w:val="20"/>
                <w:szCs w:val="20"/>
                <w:color w:val="auto"/>
              </w:rPr>
            </w:pPr>
            <w:r>
              <w:rPr>
                <w:rFonts w:ascii="Arial" w:cs="Arial" w:eastAsia="Arial" w:hAnsi="Arial"/>
                <w:sz w:val="8"/>
                <w:szCs w:val="8"/>
                <w:color w:val="auto"/>
              </w:rPr>
              <w:t>shareholding requirement or the number of shares held at departure).</w:t>
            </w:r>
          </w:p>
        </w:tc>
        <w:tc>
          <w:tcPr>
            <w:tcW w:w="18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shareholders.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138</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0"/>
          <w:szCs w:val="10"/>
          <w:color w:val="auto"/>
        </w:rPr>
        <w:t>EXECUTIVE DIRECTORS</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Executive Directors’ remuneration policy table</w:t>
      </w:r>
    </w:p>
    <w:p>
      <w:pPr>
        <w:spacing w:after="0" w:line="33" w:lineRule="exact"/>
        <w:rPr>
          <w:sz w:val="20"/>
          <w:szCs w:val="20"/>
          <w:color w:val="auto"/>
        </w:rPr>
      </w:pPr>
    </w:p>
    <w:p>
      <w:pPr>
        <w:spacing w:after="0"/>
        <w:tabs>
          <w:tab w:leader="none" w:pos="1260" w:val="left"/>
          <w:tab w:leader="none" w:pos="2640" w:val="left"/>
        </w:tabs>
        <w:rPr>
          <w:sz w:val="20"/>
          <w:szCs w:val="20"/>
          <w:color w:val="auto"/>
        </w:rPr>
      </w:pPr>
      <w:r>
        <w:rPr>
          <w:rFonts w:ascii="Arial" w:cs="Arial" w:eastAsia="Arial" w:hAnsi="Arial"/>
          <w:sz w:val="8"/>
          <w:szCs w:val="8"/>
          <w:color w:val="auto"/>
        </w:rPr>
        <w:t>Purpose and link to strategy</w:t>
      </w:r>
      <w:r>
        <w:rPr>
          <w:sz w:val="20"/>
          <w:szCs w:val="20"/>
          <w:color w:val="auto"/>
        </w:rPr>
        <w:tab/>
      </w:r>
      <w:r>
        <w:rPr>
          <w:rFonts w:ascii="Arial" w:cs="Arial" w:eastAsia="Arial" w:hAnsi="Arial"/>
          <w:sz w:val="8"/>
          <w:szCs w:val="8"/>
          <w:color w:val="auto"/>
        </w:rPr>
        <w:t>Maximum opportunity</w:t>
      </w:r>
      <w:r>
        <w:rPr>
          <w:sz w:val="20"/>
          <w:szCs w:val="20"/>
          <w:color w:val="auto"/>
        </w:rPr>
        <w:tab/>
      </w:r>
      <w:r>
        <w:rPr>
          <w:rFonts w:ascii="Arial" w:cs="Arial" w:eastAsia="Arial" w:hAnsi="Arial"/>
          <w:sz w:val="7"/>
          <w:szCs w:val="7"/>
          <w:color w:val="auto"/>
        </w:rPr>
        <w:t>Operation and performance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57575" cy="857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57575" cy="8572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Salary and pensionable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45757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p>
      <w:pPr>
        <w:spacing w:after="0" w:line="45" w:lineRule="exact"/>
        <w:rPr>
          <w:sz w:val="20"/>
          <w:szCs w:val="20"/>
          <w:color w:val="auto"/>
        </w:rPr>
      </w:pPr>
    </w:p>
    <w:p>
      <w:pPr>
        <w:ind w:right="279"/>
        <w:spacing w:after="0" w:line="251" w:lineRule="auto"/>
        <w:rPr>
          <w:sz w:val="20"/>
          <w:szCs w:val="20"/>
          <w:color w:val="auto"/>
        </w:rPr>
      </w:pPr>
      <w:r>
        <w:rPr>
          <w:rFonts w:ascii="Arial" w:cs="Arial" w:eastAsia="Arial" w:hAnsi="Arial"/>
          <w:sz w:val="8"/>
          <w:szCs w:val="8"/>
          <w:color w:val="auto"/>
        </w:rPr>
        <w:t>Provides a fixed level of earnings to €2,000,000 attract and retain Executive Directors.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
        <w:spacing w:after="0"/>
        <w:rPr>
          <w:sz w:val="20"/>
          <w:szCs w:val="20"/>
          <w:color w:val="auto"/>
        </w:rPr>
      </w:pPr>
      <w:r>
        <w:rPr>
          <w:rFonts w:ascii="Arial" w:cs="Arial" w:eastAsia="Arial" w:hAnsi="Arial"/>
          <w:sz w:val="8"/>
          <w:szCs w:val="8"/>
          <w:color w:val="auto"/>
        </w:rPr>
        <w:t>Reviewed annually with adjustments effective from January 1.</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8"/>
          <w:szCs w:val="8"/>
          <w:color w:val="auto"/>
        </w:rPr>
        <w:t>In making salary determinations, the REMCO will consider:</w:t>
      </w:r>
    </w:p>
    <w:p>
      <w:pPr>
        <w:spacing w:after="0" w:line="2" w:lineRule="exact"/>
        <w:rPr>
          <w:sz w:val="20"/>
          <w:szCs w:val="20"/>
          <w:color w:val="auto"/>
        </w:rPr>
      </w:pPr>
    </w:p>
    <w:p>
      <w:pPr>
        <w:ind w:left="101" w:hanging="101"/>
        <w:spacing w:after="0"/>
        <w:tabs>
          <w:tab w:leader="none" w:pos="101" w:val="left"/>
        </w:tabs>
        <w:numPr>
          <w:ilvl w:val="0"/>
          <w:numId w:val="147"/>
        </w:numPr>
        <w:rPr>
          <w:rFonts w:ascii="Arial" w:cs="Arial" w:eastAsia="Arial" w:hAnsi="Arial"/>
          <w:sz w:val="8"/>
          <w:szCs w:val="8"/>
          <w:color w:val="auto"/>
        </w:rPr>
      </w:pPr>
      <w:r>
        <w:rPr>
          <w:rFonts w:ascii="Arial" w:cs="Arial" w:eastAsia="Arial" w:hAnsi="Arial"/>
          <w:sz w:val="8"/>
          <w:szCs w:val="8"/>
          <w:color w:val="auto"/>
        </w:rPr>
        <w:t>the market positioning of the compensation packages;</w:t>
      </w:r>
    </w:p>
    <w:p>
      <w:pPr>
        <w:ind w:left="101" w:hanging="101"/>
        <w:spacing w:after="0" w:line="234" w:lineRule="auto"/>
        <w:tabs>
          <w:tab w:leader="none" w:pos="101" w:val="left"/>
        </w:tabs>
        <w:numPr>
          <w:ilvl w:val="0"/>
          <w:numId w:val="147"/>
        </w:numPr>
        <w:rPr>
          <w:rFonts w:ascii="Arial" w:cs="Arial" w:eastAsia="Arial" w:hAnsi="Arial"/>
          <w:sz w:val="8"/>
          <w:szCs w:val="8"/>
          <w:color w:val="auto"/>
        </w:rPr>
      </w:pPr>
      <w:r>
        <w:rPr>
          <w:rFonts w:ascii="Arial" w:cs="Arial" w:eastAsia="Arial" w:hAnsi="Arial"/>
          <w:sz w:val="8"/>
          <w:szCs w:val="8"/>
          <w:color w:val="auto"/>
        </w:rPr>
        <w:t>comparison with Senior Management salaries;</w:t>
      </w:r>
    </w:p>
    <w:p>
      <w:pPr>
        <w:ind w:left="101" w:right="5880" w:hanging="101"/>
        <w:spacing w:after="0" w:line="234" w:lineRule="auto"/>
        <w:tabs>
          <w:tab w:leader="none" w:pos="100" w:val="left"/>
        </w:tabs>
        <w:numPr>
          <w:ilvl w:val="0"/>
          <w:numId w:val="147"/>
        </w:numPr>
        <w:rPr>
          <w:rFonts w:ascii="Arial" w:cs="Arial" w:eastAsia="Arial" w:hAnsi="Arial"/>
          <w:sz w:val="8"/>
          <w:szCs w:val="8"/>
          <w:color w:val="auto"/>
        </w:rPr>
      </w:pPr>
      <w:r>
        <w:rPr>
          <w:rFonts w:ascii="Arial" w:cs="Arial" w:eastAsia="Arial" w:hAnsi="Arial"/>
          <w:sz w:val="8"/>
          <w:szCs w:val="8"/>
          <w:color w:val="auto"/>
        </w:rPr>
        <w:t>the employee context, and planned average salary increase for other employees across the Netherlands, the UK and the USA;</w:t>
      </w:r>
    </w:p>
    <w:p>
      <w:pPr>
        <w:ind w:left="101" w:right="6120" w:hanging="101"/>
        <w:spacing w:after="0" w:line="234" w:lineRule="auto"/>
        <w:tabs>
          <w:tab w:leader="none" w:pos="100" w:val="left"/>
        </w:tabs>
        <w:numPr>
          <w:ilvl w:val="0"/>
          <w:numId w:val="147"/>
        </w:numPr>
        <w:rPr>
          <w:rFonts w:ascii="Arial" w:cs="Arial" w:eastAsia="Arial" w:hAnsi="Arial"/>
          <w:sz w:val="8"/>
          <w:szCs w:val="8"/>
          <w:color w:val="auto"/>
        </w:rPr>
      </w:pPr>
      <w:r>
        <w:rPr>
          <w:rFonts w:ascii="Arial" w:cs="Arial" w:eastAsia="Arial" w:hAnsi="Arial"/>
          <w:sz w:val="8"/>
          <w:szCs w:val="8"/>
          <w:color w:val="auto"/>
        </w:rPr>
        <w:t>the experience, skills and performance of the Executive Director, or any change in the scope and responsibility of their role;</w:t>
      </w:r>
    </w:p>
    <w:p>
      <w:pPr>
        <w:ind w:left="101" w:right="5980" w:hanging="101"/>
        <w:spacing w:after="0" w:line="234" w:lineRule="auto"/>
        <w:tabs>
          <w:tab w:leader="none" w:pos="100" w:val="left"/>
        </w:tabs>
        <w:numPr>
          <w:ilvl w:val="0"/>
          <w:numId w:val="147"/>
        </w:numPr>
        <w:rPr>
          <w:rFonts w:ascii="Arial" w:cs="Arial" w:eastAsia="Arial" w:hAnsi="Arial"/>
          <w:sz w:val="8"/>
          <w:szCs w:val="8"/>
          <w:color w:val="auto"/>
        </w:rPr>
      </w:pPr>
      <w:r>
        <w:rPr>
          <w:rFonts w:ascii="Arial" w:cs="Arial" w:eastAsia="Arial" w:hAnsi="Arial"/>
          <w:sz w:val="8"/>
          <w:szCs w:val="8"/>
          <w:color w:val="auto"/>
        </w:rPr>
        <w:t>general economic conditions, Shell’s financial performance, and governance trends; and</w:t>
      </w:r>
    </w:p>
    <w:p>
      <w:pPr>
        <w:ind w:left="101" w:right="6000" w:hanging="101"/>
        <w:spacing w:after="0" w:line="252" w:lineRule="auto"/>
        <w:tabs>
          <w:tab w:leader="none" w:pos="100" w:val="left"/>
        </w:tabs>
        <w:numPr>
          <w:ilvl w:val="0"/>
          <w:numId w:val="147"/>
        </w:numPr>
        <w:rPr>
          <w:rFonts w:ascii="Arial" w:cs="Arial" w:eastAsia="Arial" w:hAnsi="Arial"/>
          <w:sz w:val="8"/>
          <w:szCs w:val="8"/>
          <w:color w:val="auto"/>
        </w:rPr>
      </w:pPr>
      <w:r>
        <w:rPr>
          <w:rFonts w:ascii="Arial" w:cs="Arial" w:eastAsia="Arial" w:hAnsi="Arial"/>
          <w:sz w:val="8"/>
          <w:szCs w:val="8"/>
          <w:color w:val="auto"/>
        </w:rPr>
        <w:t>the impact of salary increases on pension benefits and other elements of the package.</w:t>
      </w:r>
    </w:p>
    <w:p>
      <w:pPr>
        <w:spacing w:after="0" w:line="143" w:lineRule="exact"/>
        <w:rPr>
          <w:sz w:val="20"/>
          <w:szCs w:val="20"/>
          <w:color w:val="auto"/>
        </w:rPr>
      </w:pPr>
    </w:p>
    <w:p>
      <w:pPr>
        <w:ind w:left="1"/>
        <w:spacing w:after="0"/>
        <w:rPr>
          <w:sz w:val="20"/>
          <w:szCs w:val="20"/>
          <w:color w:val="auto"/>
        </w:rPr>
      </w:pPr>
      <w:r>
        <w:rPr>
          <w:rFonts w:ascii="Arial" w:cs="Arial" w:eastAsia="Arial" w:hAnsi="Arial"/>
          <w:sz w:val="7"/>
          <w:szCs w:val="7"/>
          <w:color w:val="auto"/>
        </w:rPr>
        <w:t>For Executive Directors employed outside their base country, euro base salaries</w:t>
      </w:r>
    </w:p>
    <w:p>
      <w:pPr>
        <w:spacing w:after="0" w:line="16" w:lineRule="exact"/>
        <w:rPr>
          <w:sz w:val="20"/>
          <w:szCs w:val="20"/>
          <w:color w:val="auto"/>
        </w:rPr>
      </w:pPr>
    </w:p>
    <w:p>
      <w:pPr>
        <w:ind w:left="1"/>
        <w:spacing w:after="0"/>
        <w:rPr>
          <w:sz w:val="20"/>
          <w:szCs w:val="20"/>
          <w:color w:val="auto"/>
        </w:rPr>
      </w:pPr>
      <w:r>
        <w:rPr>
          <w:rFonts w:ascii="Arial" w:cs="Arial" w:eastAsia="Arial" w:hAnsi="Arial"/>
          <w:sz w:val="7"/>
          <w:szCs w:val="7"/>
          <w:color w:val="auto"/>
        </w:rPr>
        <w:t>are translated into their home currency for pension purposes. Pensionable base</w:t>
      </w:r>
    </w:p>
    <w:p>
      <w:pPr>
        <w:spacing w:after="0" w:line="8" w:lineRule="exact"/>
        <w:rPr>
          <w:sz w:val="20"/>
          <w:szCs w:val="20"/>
          <w:color w:val="auto"/>
        </w:rPr>
      </w:pPr>
    </w:p>
    <w:p>
      <w:pPr>
        <w:ind w:left="1"/>
        <w:spacing w:after="0"/>
        <w:rPr>
          <w:sz w:val="20"/>
          <w:szCs w:val="20"/>
          <w:color w:val="auto"/>
        </w:rPr>
      </w:pPr>
      <w:r>
        <w:rPr>
          <w:rFonts w:ascii="Arial" w:cs="Arial" w:eastAsia="Arial" w:hAnsi="Arial"/>
          <w:sz w:val="8"/>
          <w:szCs w:val="8"/>
          <w:color w:val="auto"/>
        </w:rPr>
        <w:t>salaries are maintained in line with euro base salaries taking into account</w:t>
      </w:r>
    </w:p>
    <w:p>
      <w:pPr>
        <w:ind w:left="1"/>
        <w:spacing w:after="0"/>
        <w:rPr>
          <w:sz w:val="20"/>
          <w:szCs w:val="20"/>
          <w:color w:val="auto"/>
        </w:rPr>
      </w:pPr>
      <w:r>
        <w:rPr>
          <w:rFonts w:ascii="Arial" w:cs="Arial" w:eastAsia="Arial" w:hAnsi="Arial"/>
          <w:sz w:val="8"/>
          <w:szCs w:val="8"/>
          <w:color w:val="auto"/>
        </w:rPr>
        <w:t>exchange rate fluctuations and other factors as determined by the REMCO.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12065</wp:posOffset>
            </wp:positionV>
            <wp:extent cx="3457575" cy="857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57575" cy="8572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1939" w:space="720"/>
            <w:col w:w="8641"/>
          </w:cols>
          <w:pgMar w:left="300" w:top="640" w:right="299" w:bottom="1440" w:gutter="0" w:footer="0" w:header="0"/>
          <w:type w:val="continuous"/>
        </w:sectPr>
      </w:pPr>
    </w:p>
    <w:p>
      <w:pPr>
        <w:spacing w:after="0"/>
        <w:rPr>
          <w:sz w:val="20"/>
          <w:szCs w:val="20"/>
          <w:color w:val="auto"/>
        </w:rPr>
      </w:pPr>
      <w:r>
        <w:rPr>
          <w:rFonts w:ascii="Arial" w:cs="Arial" w:eastAsia="Arial" w:hAnsi="Arial"/>
          <w:sz w:val="8"/>
          <w:szCs w:val="8"/>
          <w:b w:val="1"/>
          <w:bCs w:val="1"/>
          <w:color w:val="auto"/>
        </w:rPr>
        <w:t>Benefits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00"/>
        </w:trPr>
        <w:tc>
          <w:tcPr>
            <w:tcW w:w="1240" w:type="dxa"/>
            <w:vAlign w:val="bottom"/>
            <w:tcBorders>
              <w:top w:val="single" w:sz="8" w:color="595959"/>
            </w:tcBorders>
          </w:tcPr>
          <w:p>
            <w:pPr>
              <w:spacing w:after="0"/>
              <w:rPr>
                <w:sz w:val="20"/>
                <w:szCs w:val="20"/>
                <w:color w:val="auto"/>
              </w:rPr>
            </w:pPr>
            <w:r>
              <w:rPr>
                <w:rFonts w:ascii="Arial" w:cs="Arial" w:eastAsia="Arial" w:hAnsi="Arial"/>
                <w:sz w:val="8"/>
                <w:szCs w:val="8"/>
                <w:color w:val="auto"/>
                <w:w w:val="97"/>
              </w:rPr>
              <w:t>Provides benefits, in line with those</w:t>
            </w:r>
          </w:p>
        </w:tc>
        <w:tc>
          <w:tcPr>
            <w:tcW w:w="1400" w:type="dxa"/>
            <w:vAlign w:val="bottom"/>
            <w:tcBorders>
              <w:top w:val="single" w:sz="8" w:color="595959"/>
            </w:tcBorders>
          </w:tcPr>
          <w:p>
            <w:pPr>
              <w:ind w:left="40"/>
              <w:spacing w:after="0"/>
              <w:rPr>
                <w:sz w:val="20"/>
                <w:szCs w:val="20"/>
                <w:color w:val="auto"/>
              </w:rPr>
            </w:pPr>
            <w:r>
              <w:rPr>
                <w:rFonts w:ascii="Arial" w:cs="Arial" w:eastAsia="Arial" w:hAnsi="Arial"/>
                <w:sz w:val="8"/>
                <w:szCs w:val="8"/>
                <w:color w:val="auto"/>
                <w:w w:val="95"/>
              </w:rPr>
              <w:t>The maximum opportunity is the cost of</w:t>
            </w:r>
          </w:p>
        </w:tc>
        <w:tc>
          <w:tcPr>
            <w:tcW w:w="2800" w:type="dxa"/>
            <w:vAlign w:val="bottom"/>
            <w:tcBorders>
              <w:top w:val="single" w:sz="8" w:color="595959"/>
            </w:tcBorders>
          </w:tcPr>
          <w:p>
            <w:pPr>
              <w:ind w:left="20"/>
              <w:spacing w:after="0"/>
              <w:rPr>
                <w:sz w:val="20"/>
                <w:szCs w:val="20"/>
                <w:color w:val="auto"/>
              </w:rPr>
            </w:pPr>
            <w:r>
              <w:rPr>
                <w:rFonts w:ascii="Arial" w:cs="Arial" w:eastAsia="Arial" w:hAnsi="Arial"/>
                <w:sz w:val="8"/>
                <w:szCs w:val="8"/>
                <w:color w:val="auto"/>
                <w:w w:val="95"/>
              </w:rPr>
              <w:t>Typical benefits include car allowances and home-to-office transport, risk benefits</w:t>
            </w:r>
          </w:p>
        </w:tc>
      </w:tr>
      <w:tr>
        <w:trPr>
          <w:trHeight w:val="90"/>
        </w:trPr>
        <w:tc>
          <w:tcPr>
            <w:tcW w:w="2640" w:type="dxa"/>
            <w:vAlign w:val="bottom"/>
            <w:gridSpan w:val="2"/>
          </w:tcPr>
          <w:p>
            <w:pPr>
              <w:spacing w:after="0" w:line="90" w:lineRule="exact"/>
              <w:rPr>
                <w:sz w:val="20"/>
                <w:szCs w:val="20"/>
                <w:color w:val="auto"/>
              </w:rPr>
            </w:pPr>
            <w:r>
              <w:rPr>
                <w:rFonts w:ascii="Arial" w:cs="Arial" w:eastAsia="Arial" w:hAnsi="Arial"/>
                <w:sz w:val="8"/>
                <w:szCs w:val="8"/>
                <w:color w:val="auto"/>
              </w:rPr>
              <w:t>applicable to the wider workforce, in providing the benefit under Shell’s</w:t>
            </w:r>
          </w:p>
        </w:tc>
        <w:tc>
          <w:tcPr>
            <w:tcW w:w="2800" w:type="dxa"/>
            <w:vAlign w:val="bottom"/>
          </w:tcPr>
          <w:p>
            <w:pPr>
              <w:ind w:left="20"/>
              <w:spacing w:after="0" w:line="90" w:lineRule="exact"/>
              <w:rPr>
                <w:sz w:val="20"/>
                <w:szCs w:val="20"/>
                <w:color w:val="auto"/>
              </w:rPr>
            </w:pPr>
            <w:r>
              <w:rPr>
                <w:rFonts w:ascii="Arial" w:cs="Arial" w:eastAsia="Arial" w:hAnsi="Arial"/>
                <w:sz w:val="8"/>
                <w:szCs w:val="8"/>
                <w:color w:val="auto"/>
              </w:rPr>
              <w:t>(for example ill-health, disability or death-in-service), security provision, and</w:t>
            </w: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w w:val="96"/>
              </w:rPr>
              <w:t>order to attract and retain Executive</w:t>
            </w:r>
          </w:p>
        </w:tc>
        <w:tc>
          <w:tcPr>
            <w:tcW w:w="1400" w:type="dxa"/>
            <w:vAlign w:val="bottom"/>
          </w:tcPr>
          <w:p>
            <w:pPr>
              <w:ind w:left="40"/>
              <w:spacing w:after="0" w:line="90" w:lineRule="exact"/>
              <w:rPr>
                <w:sz w:val="20"/>
                <w:szCs w:val="20"/>
                <w:color w:val="auto"/>
              </w:rPr>
            </w:pPr>
            <w:r>
              <w:rPr>
                <w:rFonts w:ascii="Arial" w:cs="Arial" w:eastAsia="Arial" w:hAnsi="Arial"/>
                <w:sz w:val="8"/>
                <w:szCs w:val="8"/>
                <w:color w:val="auto"/>
                <w:w w:val="98"/>
              </w:rPr>
              <w:t>standard policy. These costs can vary.</w:t>
            </w:r>
          </w:p>
        </w:tc>
        <w:tc>
          <w:tcPr>
            <w:tcW w:w="2800" w:type="dxa"/>
            <w:vAlign w:val="bottom"/>
          </w:tcPr>
          <w:p>
            <w:pPr>
              <w:ind w:left="20"/>
              <w:spacing w:after="0" w:line="90" w:lineRule="exact"/>
              <w:rPr>
                <w:sz w:val="20"/>
                <w:szCs w:val="20"/>
                <w:color w:val="auto"/>
              </w:rPr>
            </w:pPr>
            <w:r>
              <w:rPr>
                <w:rFonts w:ascii="Arial" w:cs="Arial" w:eastAsia="Arial" w:hAnsi="Arial"/>
                <w:sz w:val="8"/>
                <w:szCs w:val="8"/>
                <w:color w:val="auto"/>
                <w:w w:val="96"/>
              </w:rPr>
              <w:t>employer contributions to insurance plans (such as medical). Precise benefits will</w:t>
            </w: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rPr>
              <w:t>Directors.</w:t>
            </w:r>
          </w:p>
        </w:tc>
        <w:tc>
          <w:tcPr>
            <w:tcW w:w="1400" w:type="dxa"/>
            <w:vAlign w:val="bottom"/>
          </w:tcPr>
          <w:p>
            <w:pPr>
              <w:spacing w:after="0"/>
              <w:rPr>
                <w:sz w:val="7"/>
                <w:szCs w:val="7"/>
                <w:color w:val="auto"/>
              </w:rPr>
            </w:pPr>
          </w:p>
        </w:tc>
        <w:tc>
          <w:tcPr>
            <w:tcW w:w="2800" w:type="dxa"/>
            <w:vAlign w:val="bottom"/>
          </w:tcPr>
          <w:p>
            <w:pPr>
              <w:ind w:left="20"/>
              <w:spacing w:after="0" w:line="90" w:lineRule="exact"/>
              <w:rPr>
                <w:sz w:val="20"/>
                <w:szCs w:val="20"/>
                <w:color w:val="auto"/>
              </w:rPr>
            </w:pPr>
            <w:r>
              <w:rPr>
                <w:rFonts w:ascii="Arial" w:cs="Arial" w:eastAsia="Arial" w:hAnsi="Arial"/>
                <w:sz w:val="8"/>
                <w:szCs w:val="8"/>
                <w:color w:val="auto"/>
              </w:rPr>
              <w:t>depend on the Executive Director’s specific circumstances. Post-retirement</w:t>
            </w:r>
          </w:p>
        </w:tc>
      </w:tr>
      <w:tr>
        <w:trPr>
          <w:trHeight w:val="90"/>
        </w:trPr>
        <w:tc>
          <w:tcPr>
            <w:tcW w:w="1240" w:type="dxa"/>
            <w:vAlign w:val="bottom"/>
          </w:tcPr>
          <w:p>
            <w:pPr>
              <w:spacing w:after="0"/>
              <w:rPr>
                <w:sz w:val="7"/>
                <w:szCs w:val="7"/>
                <w:color w:val="auto"/>
              </w:rPr>
            </w:pPr>
          </w:p>
        </w:tc>
        <w:tc>
          <w:tcPr>
            <w:tcW w:w="1400" w:type="dxa"/>
            <w:vAlign w:val="bottom"/>
          </w:tcPr>
          <w:p>
            <w:pPr>
              <w:ind w:left="40"/>
              <w:spacing w:after="0" w:line="90" w:lineRule="exact"/>
              <w:rPr>
                <w:sz w:val="20"/>
                <w:szCs w:val="20"/>
                <w:color w:val="auto"/>
              </w:rPr>
            </w:pPr>
            <w:r>
              <w:rPr>
                <w:rFonts w:ascii="Arial" w:cs="Arial" w:eastAsia="Arial" w:hAnsi="Arial"/>
                <w:sz w:val="8"/>
                <w:szCs w:val="8"/>
                <w:color w:val="auto"/>
              </w:rPr>
              <w:t>For certain benefits, for example,</w:t>
            </w:r>
          </w:p>
        </w:tc>
        <w:tc>
          <w:tcPr>
            <w:tcW w:w="2800" w:type="dxa"/>
            <w:vAlign w:val="bottom"/>
          </w:tcPr>
          <w:p>
            <w:pPr>
              <w:ind w:left="20"/>
              <w:spacing w:after="0" w:line="90" w:lineRule="exact"/>
              <w:rPr>
                <w:sz w:val="20"/>
                <w:szCs w:val="20"/>
                <w:color w:val="auto"/>
              </w:rPr>
            </w:pPr>
            <w:r>
              <w:rPr>
                <w:rFonts w:ascii="Arial" w:cs="Arial" w:eastAsia="Arial" w:hAnsi="Arial"/>
                <w:sz w:val="8"/>
                <w:szCs w:val="8"/>
                <w:color w:val="auto"/>
                <w:w w:val="99"/>
              </w:rPr>
              <w:t>benefits such as healthcare and ongoing security provision may be applicable.</w:t>
            </w:r>
          </w:p>
        </w:tc>
      </w:tr>
      <w:tr>
        <w:trPr>
          <w:trHeight w:val="90"/>
        </w:trPr>
        <w:tc>
          <w:tcPr>
            <w:tcW w:w="1240" w:type="dxa"/>
            <w:vAlign w:val="bottom"/>
          </w:tcPr>
          <w:p>
            <w:pPr>
              <w:spacing w:after="0"/>
              <w:rPr>
                <w:sz w:val="7"/>
                <w:szCs w:val="7"/>
                <w:color w:val="auto"/>
              </w:rPr>
            </w:pPr>
          </w:p>
        </w:tc>
        <w:tc>
          <w:tcPr>
            <w:tcW w:w="1400" w:type="dxa"/>
            <w:vAlign w:val="bottom"/>
          </w:tcPr>
          <w:p>
            <w:pPr>
              <w:ind w:left="40"/>
              <w:spacing w:after="0" w:line="90" w:lineRule="exact"/>
              <w:rPr>
                <w:sz w:val="20"/>
                <w:szCs w:val="20"/>
                <w:color w:val="auto"/>
              </w:rPr>
            </w:pPr>
            <w:r>
              <w:rPr>
                <w:rFonts w:ascii="Arial" w:cs="Arial" w:eastAsia="Arial" w:hAnsi="Arial"/>
                <w:sz w:val="8"/>
                <w:szCs w:val="8"/>
                <w:color w:val="auto"/>
              </w:rPr>
              <w:t>relocation and tax equalisation, the</w:t>
            </w:r>
          </w:p>
        </w:tc>
        <w:tc>
          <w:tcPr>
            <w:tcW w:w="2800" w:type="dxa"/>
            <w:vAlign w:val="bottom"/>
          </w:tcPr>
          <w:p>
            <w:pPr>
              <w:ind w:left="20"/>
              <w:spacing w:after="0" w:line="90" w:lineRule="exact"/>
              <w:rPr>
                <w:sz w:val="20"/>
                <w:szCs w:val="20"/>
                <w:color w:val="auto"/>
              </w:rPr>
            </w:pPr>
            <w:r>
              <w:rPr>
                <w:rFonts w:ascii="Arial" w:cs="Arial" w:eastAsia="Arial" w:hAnsi="Arial"/>
                <w:sz w:val="8"/>
                <w:szCs w:val="8"/>
                <w:color w:val="auto"/>
              </w:rPr>
              <w:t>Shell’s mobility policies may apply, such as for relocation and tax return</w:t>
            </w:r>
          </w:p>
        </w:tc>
      </w:tr>
      <w:tr>
        <w:trPr>
          <w:trHeight w:val="90"/>
        </w:trPr>
        <w:tc>
          <w:tcPr>
            <w:tcW w:w="1240" w:type="dxa"/>
            <w:vAlign w:val="bottom"/>
          </w:tcPr>
          <w:p>
            <w:pPr>
              <w:spacing w:after="0"/>
              <w:rPr>
                <w:sz w:val="7"/>
                <w:szCs w:val="7"/>
                <w:color w:val="auto"/>
              </w:rPr>
            </w:pPr>
          </w:p>
        </w:tc>
        <w:tc>
          <w:tcPr>
            <w:tcW w:w="1400" w:type="dxa"/>
            <w:vAlign w:val="bottom"/>
          </w:tcPr>
          <w:p>
            <w:pPr>
              <w:ind w:left="40"/>
              <w:spacing w:after="0" w:line="90" w:lineRule="exact"/>
              <w:rPr>
                <w:sz w:val="20"/>
                <w:szCs w:val="20"/>
                <w:color w:val="auto"/>
              </w:rPr>
            </w:pPr>
            <w:r>
              <w:rPr>
                <w:rFonts w:ascii="Arial" w:cs="Arial" w:eastAsia="Arial" w:hAnsi="Arial"/>
                <w:sz w:val="8"/>
                <w:szCs w:val="8"/>
                <w:color w:val="auto"/>
              </w:rPr>
              <w:t>maximum opportunity will be the</w:t>
            </w:r>
          </w:p>
        </w:tc>
        <w:tc>
          <w:tcPr>
            <w:tcW w:w="2800" w:type="dxa"/>
            <w:vAlign w:val="bottom"/>
          </w:tcPr>
          <w:p>
            <w:pPr>
              <w:ind w:left="20"/>
              <w:spacing w:after="0" w:line="90" w:lineRule="exact"/>
              <w:rPr>
                <w:sz w:val="20"/>
                <w:szCs w:val="20"/>
                <w:color w:val="auto"/>
              </w:rPr>
            </w:pPr>
            <w:r>
              <w:rPr>
                <w:rFonts w:ascii="Arial" w:cs="Arial" w:eastAsia="Arial" w:hAnsi="Arial"/>
                <w:sz w:val="8"/>
                <w:szCs w:val="8"/>
                <w:color w:val="auto"/>
                <w:w w:val="99"/>
              </w:rPr>
              <w:t>preparation support, as may tax equalisation related to expatriate employment</w:t>
            </w:r>
          </w:p>
        </w:tc>
      </w:tr>
      <w:tr>
        <w:trPr>
          <w:trHeight w:val="90"/>
        </w:trPr>
        <w:tc>
          <w:tcPr>
            <w:tcW w:w="1240" w:type="dxa"/>
            <w:vAlign w:val="bottom"/>
          </w:tcPr>
          <w:p>
            <w:pPr>
              <w:spacing w:after="0"/>
              <w:rPr>
                <w:sz w:val="7"/>
                <w:szCs w:val="7"/>
                <w:color w:val="auto"/>
              </w:rPr>
            </w:pPr>
          </w:p>
        </w:tc>
        <w:tc>
          <w:tcPr>
            <w:tcW w:w="1400" w:type="dxa"/>
            <w:vAlign w:val="bottom"/>
          </w:tcPr>
          <w:p>
            <w:pPr>
              <w:ind w:left="40"/>
              <w:spacing w:after="0" w:line="90" w:lineRule="exact"/>
              <w:rPr>
                <w:sz w:val="20"/>
                <w:szCs w:val="20"/>
                <w:color w:val="auto"/>
              </w:rPr>
            </w:pPr>
            <w:r>
              <w:rPr>
                <w:rFonts w:ascii="Arial" w:cs="Arial" w:eastAsia="Arial" w:hAnsi="Arial"/>
                <w:sz w:val="8"/>
                <w:szCs w:val="8"/>
                <w:color w:val="auto"/>
                <w:w w:val="96"/>
              </w:rPr>
              <w:t>grossed-up cost of meeting the specific</w:t>
            </w:r>
          </w:p>
        </w:tc>
        <w:tc>
          <w:tcPr>
            <w:tcW w:w="2800" w:type="dxa"/>
            <w:vAlign w:val="bottom"/>
          </w:tcPr>
          <w:p>
            <w:pPr>
              <w:ind w:left="20"/>
              <w:spacing w:after="0" w:line="90" w:lineRule="exact"/>
              <w:rPr>
                <w:sz w:val="20"/>
                <w:szCs w:val="20"/>
                <w:color w:val="auto"/>
              </w:rPr>
            </w:pPr>
            <w:r>
              <w:rPr>
                <w:rFonts w:ascii="Arial" w:cs="Arial" w:eastAsia="Arial" w:hAnsi="Arial"/>
                <w:sz w:val="8"/>
                <w:szCs w:val="8"/>
                <w:color w:val="auto"/>
              </w:rPr>
              <w:t>prior to Board appointment, or in other limited circumstances to offset double</w:t>
            </w:r>
          </w:p>
        </w:tc>
      </w:tr>
      <w:tr>
        <w:trPr>
          <w:trHeight w:val="90"/>
        </w:trPr>
        <w:tc>
          <w:tcPr>
            <w:tcW w:w="1240" w:type="dxa"/>
            <w:vAlign w:val="bottom"/>
          </w:tcPr>
          <w:p>
            <w:pPr>
              <w:spacing w:after="0"/>
              <w:rPr>
                <w:sz w:val="7"/>
                <w:szCs w:val="7"/>
                <w:color w:val="auto"/>
              </w:rPr>
            </w:pPr>
          </w:p>
        </w:tc>
        <w:tc>
          <w:tcPr>
            <w:tcW w:w="1400" w:type="dxa"/>
            <w:vAlign w:val="bottom"/>
          </w:tcPr>
          <w:p>
            <w:pPr>
              <w:ind w:left="40"/>
              <w:spacing w:after="0" w:line="90" w:lineRule="exact"/>
              <w:rPr>
                <w:sz w:val="20"/>
                <w:szCs w:val="20"/>
                <w:color w:val="auto"/>
              </w:rPr>
            </w:pPr>
            <w:r>
              <w:rPr>
                <w:rFonts w:ascii="Arial" w:cs="Arial" w:eastAsia="Arial" w:hAnsi="Arial"/>
                <w:sz w:val="8"/>
                <w:szCs w:val="8"/>
                <w:color w:val="auto"/>
              </w:rPr>
              <w:t>Executive Director’s costs.</w:t>
            </w:r>
          </w:p>
        </w:tc>
        <w:tc>
          <w:tcPr>
            <w:tcW w:w="2800" w:type="dxa"/>
            <w:vAlign w:val="bottom"/>
          </w:tcPr>
          <w:p>
            <w:pPr>
              <w:ind w:left="20"/>
              <w:spacing w:after="0" w:line="90" w:lineRule="exact"/>
              <w:rPr>
                <w:sz w:val="20"/>
                <w:szCs w:val="20"/>
                <w:color w:val="auto"/>
              </w:rPr>
            </w:pPr>
            <w:r>
              <w:rPr>
                <w:rFonts w:ascii="Arial" w:cs="Arial" w:eastAsia="Arial" w:hAnsi="Arial"/>
                <w:sz w:val="8"/>
                <w:szCs w:val="8"/>
                <w:color w:val="auto"/>
                <w:w w:val="97"/>
              </w:rPr>
              <w:t>taxation. The REMCO may adjust the range and scope of the benefits offered in</w:t>
            </w:r>
          </w:p>
        </w:tc>
      </w:tr>
      <w:tr>
        <w:trPr>
          <w:trHeight w:val="90"/>
        </w:trPr>
        <w:tc>
          <w:tcPr>
            <w:tcW w:w="1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800" w:type="dxa"/>
            <w:vAlign w:val="bottom"/>
          </w:tcPr>
          <w:p>
            <w:pPr>
              <w:ind w:left="20"/>
              <w:spacing w:after="0" w:line="90" w:lineRule="exact"/>
              <w:rPr>
                <w:sz w:val="20"/>
                <w:szCs w:val="20"/>
                <w:color w:val="auto"/>
              </w:rPr>
            </w:pPr>
            <w:r>
              <w:rPr>
                <w:rFonts w:ascii="Arial" w:cs="Arial" w:eastAsia="Arial" w:hAnsi="Arial"/>
                <w:sz w:val="8"/>
                <w:szCs w:val="8"/>
                <w:color w:val="auto"/>
                <w:w w:val="97"/>
              </w:rPr>
              <w:t>the context of developments for other employees in relevant countries. Personal</w:t>
            </w:r>
          </w:p>
        </w:tc>
      </w:tr>
      <w:tr>
        <w:trPr>
          <w:trHeight w:val="105"/>
        </w:trPr>
        <w:tc>
          <w:tcPr>
            <w:tcW w:w="1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800" w:type="dxa"/>
            <w:vAlign w:val="bottom"/>
          </w:tcPr>
          <w:p>
            <w:pPr>
              <w:ind w:left="20"/>
              <w:spacing w:after="0"/>
              <w:rPr>
                <w:sz w:val="20"/>
                <w:szCs w:val="20"/>
                <w:color w:val="auto"/>
              </w:rPr>
            </w:pPr>
            <w:r>
              <w:rPr>
                <w:rFonts w:ascii="Arial" w:cs="Arial" w:eastAsia="Arial" w:hAnsi="Arial"/>
                <w:sz w:val="8"/>
                <w:szCs w:val="8"/>
                <w:color w:val="auto"/>
              </w:rPr>
              <w:t>loans or guarantees are not provided to Executive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3457575" cy="857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57575" cy="8572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Annual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45757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p>
      <w:pPr>
        <w:spacing w:after="0" w:line="45" w:lineRule="exact"/>
        <w:rPr>
          <w:sz w:val="20"/>
          <w:szCs w:val="20"/>
          <w:color w:val="auto"/>
        </w:rPr>
      </w:pPr>
    </w:p>
    <w:p>
      <w:pPr>
        <w:spacing w:after="0" w:line="304" w:lineRule="auto"/>
        <w:rPr>
          <w:sz w:val="20"/>
          <w:szCs w:val="20"/>
          <w:color w:val="auto"/>
        </w:rPr>
      </w:pPr>
      <w:r>
        <w:rPr>
          <w:rFonts w:ascii="Arial" w:cs="Arial" w:eastAsia="Arial" w:hAnsi="Arial"/>
          <w:sz w:val="7"/>
          <w:szCs w:val="7"/>
          <w:color w:val="auto"/>
        </w:rPr>
        <w:t>Rewards the delivery of short-term operational targets as derived from Shell’s operating plan.</w:t>
      </w:r>
    </w:p>
    <w:p>
      <w:pPr>
        <w:spacing w:after="0" w:line="54" w:lineRule="exact"/>
        <w:rPr>
          <w:sz w:val="20"/>
          <w:szCs w:val="20"/>
          <w:color w:val="auto"/>
        </w:rPr>
      </w:pPr>
    </w:p>
    <w:p>
      <w:pPr>
        <w:ind w:right="40"/>
        <w:spacing w:after="0" w:line="280" w:lineRule="auto"/>
        <w:rPr>
          <w:sz w:val="20"/>
          <w:szCs w:val="20"/>
          <w:color w:val="auto"/>
        </w:rPr>
      </w:pPr>
      <w:r>
        <w:rPr>
          <w:rFonts w:ascii="Arial" w:cs="Arial" w:eastAsia="Arial" w:hAnsi="Arial"/>
          <w:sz w:val="7"/>
          <w:szCs w:val="7"/>
          <w:color w:val="auto"/>
        </w:rPr>
        <w:t>To reinforce alignment with shareholder interests, 50% is delivered in cash and 50% is delivered in shares. The shares are subject to a three-year holding period, which applies beyond an Executive Director’s tenure.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7" w:right="20"/>
        <w:spacing w:after="0" w:line="242" w:lineRule="auto"/>
        <w:rPr>
          <w:sz w:val="20"/>
          <w:szCs w:val="20"/>
          <w:color w:val="auto"/>
        </w:rPr>
      </w:pPr>
      <w:r>
        <w:rPr>
          <w:rFonts w:ascii="Arial" w:cs="Arial" w:eastAsia="Arial" w:hAnsi="Arial"/>
          <w:sz w:val="8"/>
          <w:szCs w:val="8"/>
          <w:color w:val="auto"/>
        </w:rPr>
        <w:t>Maximum bonus (as a percentage of base salary):</w:t>
      </w:r>
    </w:p>
    <w:p>
      <w:pPr>
        <w:ind w:left="107" w:right="80" w:hanging="107"/>
        <w:spacing w:after="0" w:line="234" w:lineRule="auto"/>
        <w:tabs>
          <w:tab w:leader="none" w:pos="106" w:val="left"/>
        </w:tabs>
        <w:numPr>
          <w:ilvl w:val="0"/>
          <w:numId w:val="148"/>
        </w:numPr>
        <w:rPr>
          <w:rFonts w:ascii="Arial" w:cs="Arial" w:eastAsia="Arial" w:hAnsi="Arial"/>
          <w:sz w:val="8"/>
          <w:szCs w:val="8"/>
          <w:color w:val="auto"/>
        </w:rPr>
      </w:pPr>
      <w:r>
        <w:rPr>
          <w:rFonts w:ascii="Arial" w:cs="Arial" w:eastAsia="Arial" w:hAnsi="Arial"/>
          <w:sz w:val="8"/>
          <w:szCs w:val="8"/>
          <w:color w:val="auto"/>
        </w:rPr>
        <w:t>Chief Executive Officer (CEO): 250%</w:t>
      </w:r>
    </w:p>
    <w:p>
      <w:pPr>
        <w:ind w:left="107" w:right="100" w:hanging="107"/>
        <w:spacing w:after="0" w:line="252" w:lineRule="auto"/>
        <w:tabs>
          <w:tab w:leader="none" w:pos="106" w:val="left"/>
        </w:tabs>
        <w:numPr>
          <w:ilvl w:val="0"/>
          <w:numId w:val="148"/>
        </w:numPr>
        <w:rPr>
          <w:rFonts w:ascii="Arial" w:cs="Arial" w:eastAsia="Arial" w:hAnsi="Arial"/>
          <w:sz w:val="8"/>
          <w:szCs w:val="8"/>
          <w:color w:val="auto"/>
        </w:rPr>
      </w:pPr>
      <w:r>
        <w:rPr>
          <w:rFonts w:ascii="Arial" w:cs="Arial" w:eastAsia="Arial" w:hAnsi="Arial"/>
          <w:sz w:val="8"/>
          <w:szCs w:val="8"/>
          <w:color w:val="auto"/>
        </w:rPr>
        <w:t>Chief Financial Officer (CFO): 240%</w:t>
      </w:r>
    </w:p>
    <w:p>
      <w:pPr>
        <w:spacing w:after="0" w:line="143" w:lineRule="exact"/>
        <w:rPr>
          <w:sz w:val="20"/>
          <w:szCs w:val="20"/>
          <w:color w:val="auto"/>
        </w:rPr>
      </w:pPr>
    </w:p>
    <w:p>
      <w:pPr>
        <w:ind w:left="7"/>
        <w:spacing w:after="0" w:line="242" w:lineRule="auto"/>
        <w:rPr>
          <w:sz w:val="20"/>
          <w:szCs w:val="20"/>
          <w:color w:val="auto"/>
        </w:rPr>
      </w:pPr>
      <w:r>
        <w:rPr>
          <w:rFonts w:ascii="Arial" w:cs="Arial" w:eastAsia="Arial" w:hAnsi="Arial"/>
          <w:sz w:val="8"/>
          <w:szCs w:val="8"/>
          <w:color w:val="auto"/>
        </w:rPr>
        <w:t>Target levels (as a percentage of base salary):</w:t>
      </w:r>
    </w:p>
    <w:p>
      <w:pPr>
        <w:ind w:left="107" w:hanging="107"/>
        <w:spacing w:after="0" w:line="236" w:lineRule="auto"/>
        <w:tabs>
          <w:tab w:leader="none" w:pos="107" w:val="left"/>
        </w:tabs>
        <w:numPr>
          <w:ilvl w:val="0"/>
          <w:numId w:val="149"/>
        </w:numPr>
        <w:rPr>
          <w:rFonts w:ascii="Arial" w:cs="Arial" w:eastAsia="Arial" w:hAnsi="Arial"/>
          <w:sz w:val="8"/>
          <w:szCs w:val="8"/>
          <w:color w:val="auto"/>
        </w:rPr>
      </w:pPr>
      <w:r>
        <w:rPr>
          <w:rFonts w:ascii="Arial" w:cs="Arial" w:eastAsia="Arial" w:hAnsi="Arial"/>
          <w:sz w:val="8"/>
          <w:szCs w:val="8"/>
          <w:color w:val="auto"/>
        </w:rPr>
        <w:t>CEO: 125%</w:t>
      </w:r>
    </w:p>
    <w:p>
      <w:pPr>
        <w:ind w:left="107" w:hanging="107"/>
        <w:spacing w:after="0"/>
        <w:tabs>
          <w:tab w:leader="none" w:pos="107" w:val="left"/>
        </w:tabs>
        <w:numPr>
          <w:ilvl w:val="0"/>
          <w:numId w:val="149"/>
        </w:numPr>
        <w:rPr>
          <w:rFonts w:ascii="Arial" w:cs="Arial" w:eastAsia="Arial" w:hAnsi="Arial"/>
          <w:sz w:val="8"/>
          <w:szCs w:val="8"/>
          <w:color w:val="auto"/>
        </w:rPr>
      </w:pPr>
      <w:r>
        <w:rPr>
          <w:rFonts w:ascii="Arial" w:cs="Arial" w:eastAsia="Arial" w:hAnsi="Arial"/>
          <w:sz w:val="8"/>
          <w:szCs w:val="8"/>
          <w:color w:val="auto"/>
        </w:rPr>
        <w:t>CFO: 120%</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01" w:right="6120" w:hanging="101"/>
        <w:spacing w:after="0" w:line="242" w:lineRule="auto"/>
        <w:tabs>
          <w:tab w:leader="none" w:pos="100" w:val="left"/>
        </w:tabs>
        <w:numPr>
          <w:ilvl w:val="0"/>
          <w:numId w:val="150"/>
        </w:numPr>
        <w:rPr>
          <w:rFonts w:ascii="Arial" w:cs="Arial" w:eastAsia="Arial" w:hAnsi="Arial"/>
          <w:sz w:val="8"/>
          <w:szCs w:val="8"/>
          <w:color w:val="auto"/>
        </w:rPr>
      </w:pPr>
      <w:r>
        <w:rPr>
          <w:rFonts w:ascii="Arial" w:cs="Arial" w:eastAsia="Arial" w:hAnsi="Arial"/>
          <w:sz w:val="8"/>
          <w:szCs w:val="8"/>
          <w:color w:val="auto"/>
        </w:rPr>
        <w:t>The bonus is determined by reference to performance from January 1 to December 31 each year;</w:t>
      </w:r>
    </w:p>
    <w:p>
      <w:pPr>
        <w:ind w:left="101" w:hanging="101"/>
        <w:spacing w:after="0" w:line="234" w:lineRule="auto"/>
        <w:tabs>
          <w:tab w:leader="none" w:pos="101" w:val="left"/>
        </w:tabs>
        <w:numPr>
          <w:ilvl w:val="0"/>
          <w:numId w:val="150"/>
        </w:numPr>
        <w:rPr>
          <w:rFonts w:ascii="Arial" w:cs="Arial" w:eastAsia="Arial" w:hAnsi="Arial"/>
          <w:sz w:val="8"/>
          <w:szCs w:val="8"/>
          <w:color w:val="auto"/>
        </w:rPr>
      </w:pPr>
      <w:r>
        <w:rPr>
          <w:rFonts w:ascii="Arial" w:cs="Arial" w:eastAsia="Arial" w:hAnsi="Arial"/>
          <w:sz w:val="8"/>
          <w:szCs w:val="8"/>
          <w:color w:val="auto"/>
        </w:rPr>
        <w:t>Annual bonus = base salary x target bonus % x scorecard result (0–2);</w:t>
      </w:r>
    </w:p>
    <w:p>
      <w:pPr>
        <w:ind w:left="101" w:right="5900" w:hanging="101"/>
        <w:spacing w:after="0" w:line="268" w:lineRule="auto"/>
        <w:tabs>
          <w:tab w:leader="none" w:pos="100" w:val="left"/>
        </w:tabs>
        <w:numPr>
          <w:ilvl w:val="0"/>
          <w:numId w:val="150"/>
        </w:numPr>
        <w:rPr>
          <w:rFonts w:ascii="Arial" w:cs="Arial" w:eastAsia="Arial" w:hAnsi="Arial"/>
          <w:sz w:val="7"/>
          <w:szCs w:val="7"/>
          <w:color w:val="auto"/>
        </w:rPr>
      </w:pPr>
      <w:r>
        <w:rPr>
          <w:rFonts w:ascii="Arial" w:cs="Arial" w:eastAsia="Arial" w:hAnsi="Arial"/>
          <w:sz w:val="7"/>
          <w:szCs w:val="7"/>
          <w:color w:val="auto"/>
        </w:rPr>
        <w:t>Taking the Shell operating plan into consideration, REMCO sets stretching scorecard targets and weightings which support the delivery of the strategy. Measures are related to financial performance, operational excellence and sustainable development. Indicative weightings are 30%, 50% and 20% respectively. This balance ensures that the achievement of short-term financial performance does not undermine future shareholder value creation;</w:t>
      </w:r>
    </w:p>
    <w:p>
      <w:pPr>
        <w:ind w:left="101" w:right="5980" w:hanging="101"/>
        <w:spacing w:after="0" w:line="268" w:lineRule="auto"/>
        <w:tabs>
          <w:tab w:leader="none" w:pos="100" w:val="left"/>
        </w:tabs>
        <w:numPr>
          <w:ilvl w:val="0"/>
          <w:numId w:val="150"/>
        </w:numPr>
        <w:rPr>
          <w:rFonts w:ascii="Arial" w:cs="Arial" w:eastAsia="Arial" w:hAnsi="Arial"/>
          <w:sz w:val="7"/>
          <w:szCs w:val="7"/>
          <w:color w:val="auto"/>
        </w:rPr>
      </w:pPr>
      <w:r>
        <w:rPr>
          <w:rFonts w:ascii="Arial" w:cs="Arial" w:eastAsia="Arial" w:hAnsi="Arial"/>
          <w:sz w:val="7"/>
          <w:szCs w:val="7"/>
          <w:color w:val="auto"/>
        </w:rPr>
        <w:t>Scorecard targets will be disclosed in a subsequent Directors’ Remuneration Report when they are no longer deemed to be commercially sensitive;</w:t>
      </w:r>
    </w:p>
    <w:p>
      <w:pPr>
        <w:ind w:left="101" w:right="5900" w:hanging="101"/>
        <w:spacing w:after="0" w:line="234" w:lineRule="auto"/>
        <w:tabs>
          <w:tab w:leader="none" w:pos="100" w:val="left"/>
        </w:tabs>
        <w:numPr>
          <w:ilvl w:val="0"/>
          <w:numId w:val="150"/>
        </w:numPr>
        <w:rPr>
          <w:rFonts w:ascii="Arial" w:cs="Arial" w:eastAsia="Arial" w:hAnsi="Arial"/>
          <w:sz w:val="8"/>
          <w:szCs w:val="8"/>
          <w:color w:val="auto"/>
        </w:rPr>
      </w:pPr>
      <w:r>
        <w:rPr>
          <w:rFonts w:ascii="Arial" w:cs="Arial" w:eastAsia="Arial" w:hAnsi="Arial"/>
          <w:sz w:val="8"/>
          <w:szCs w:val="8"/>
          <w:color w:val="auto"/>
        </w:rPr>
        <w:t>There are no prescribed thresholds or minimum levels of performance that equate to a prescribed payment under the Policy and this structure can result in no bonus being awarded;</w:t>
      </w:r>
    </w:p>
    <w:p>
      <w:pPr>
        <w:ind w:left="101" w:right="5980" w:hanging="101"/>
        <w:spacing w:after="0" w:line="234" w:lineRule="auto"/>
        <w:tabs>
          <w:tab w:leader="none" w:pos="100" w:val="left"/>
        </w:tabs>
        <w:numPr>
          <w:ilvl w:val="0"/>
          <w:numId w:val="150"/>
        </w:numPr>
        <w:rPr>
          <w:rFonts w:ascii="Arial" w:cs="Arial" w:eastAsia="Arial" w:hAnsi="Arial"/>
          <w:sz w:val="8"/>
          <w:szCs w:val="8"/>
          <w:color w:val="auto"/>
        </w:rPr>
      </w:pPr>
      <w:r>
        <w:rPr>
          <w:rFonts w:ascii="Arial" w:cs="Arial" w:eastAsia="Arial" w:hAnsi="Arial"/>
          <w:sz w:val="8"/>
          <w:szCs w:val="8"/>
          <w:color w:val="auto"/>
        </w:rPr>
        <w:t>The annual bonus is subject to malus provisions before it is delivered and to clawback provisions thereafter;</w:t>
      </w:r>
    </w:p>
    <w:p>
      <w:pPr>
        <w:ind w:left="101" w:right="6040" w:hanging="101"/>
        <w:spacing w:after="0" w:line="234" w:lineRule="auto"/>
        <w:tabs>
          <w:tab w:leader="none" w:pos="100" w:val="left"/>
        </w:tabs>
        <w:numPr>
          <w:ilvl w:val="0"/>
          <w:numId w:val="150"/>
        </w:numPr>
        <w:rPr>
          <w:rFonts w:ascii="Arial" w:cs="Arial" w:eastAsia="Arial" w:hAnsi="Arial"/>
          <w:sz w:val="8"/>
          <w:szCs w:val="8"/>
          <w:color w:val="auto"/>
        </w:rPr>
      </w:pPr>
      <w:r>
        <w:rPr>
          <w:rFonts w:ascii="Arial" w:cs="Arial" w:eastAsia="Arial" w:hAnsi="Arial"/>
          <w:sz w:val="8"/>
          <w:szCs w:val="8"/>
          <w:color w:val="auto"/>
        </w:rPr>
        <w:t>The REMCO retains the ability to adjust performance measure targets and weightings year-by-year within the overall target and maximum payouts approved in the Policy; and</w:t>
      </w:r>
    </w:p>
    <w:p>
      <w:pPr>
        <w:ind w:left="101" w:right="5920" w:hanging="101"/>
        <w:spacing w:after="0" w:line="243" w:lineRule="auto"/>
        <w:tabs>
          <w:tab w:leader="none" w:pos="100" w:val="left"/>
        </w:tabs>
        <w:numPr>
          <w:ilvl w:val="0"/>
          <w:numId w:val="150"/>
        </w:numPr>
        <w:rPr>
          <w:rFonts w:ascii="Arial" w:cs="Arial" w:eastAsia="Arial" w:hAnsi="Arial"/>
          <w:sz w:val="8"/>
          <w:szCs w:val="8"/>
          <w:color w:val="auto"/>
        </w:rPr>
      </w:pPr>
      <w:r>
        <w:rPr>
          <w:rFonts w:ascii="Arial" w:cs="Arial" w:eastAsia="Arial" w:hAnsi="Arial"/>
          <w:sz w:val="8"/>
          <w:szCs w:val="8"/>
          <w:color w:val="auto"/>
        </w:rPr>
        <w:t>In the event that another Executive Director joins the Board, the REMCO will determine their target and maximum bonus, which will not exceed the target and maximum for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6985</wp:posOffset>
            </wp:positionV>
            <wp:extent cx="345757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180" w:space="93"/>
            <w:col w:w="1247" w:space="139"/>
            <w:col w:w="8641"/>
          </w:cols>
          <w:pgMar w:left="300" w:top="640" w:right="29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139</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0"/>
          <w:szCs w:val="10"/>
          <w:color w:val="auto"/>
        </w:rPr>
        <w:t>Executive Directors’ remuneration policy table continued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24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Purpose and link to strategy</w:t>
            </w: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8"/>
                <w:szCs w:val="8"/>
                <w:color w:val="auto"/>
              </w:rPr>
              <w:t>Maximum opportunity</w:t>
            </w:r>
          </w:p>
        </w:tc>
        <w:tc>
          <w:tcPr>
            <w:tcW w:w="284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Operation and performance management</w:t>
            </w:r>
          </w:p>
        </w:tc>
        <w:tc>
          <w:tcPr>
            <w:tcW w:w="0" w:type="dxa"/>
            <w:vAlign w:val="bottom"/>
          </w:tcPr>
          <w:p>
            <w:pPr>
              <w:spacing w:after="0"/>
              <w:rPr>
                <w:sz w:val="1"/>
                <w:szCs w:val="1"/>
                <w:color w:val="auto"/>
              </w:rPr>
            </w:pPr>
          </w:p>
        </w:tc>
      </w:tr>
      <w:tr>
        <w:trPr>
          <w:trHeight w:val="115"/>
        </w:trPr>
        <w:tc>
          <w:tcPr>
            <w:tcW w:w="1240" w:type="dxa"/>
            <w:vAlign w:val="bottom"/>
            <w:tcBorders>
              <w:bottom w:val="single" w:sz="8" w:color="595959"/>
            </w:tcBorders>
            <w:shd w:val="clear" w:color="auto" w:fill="DDDDDD"/>
          </w:tcPr>
          <w:p>
            <w:pPr>
              <w:spacing w:after="0"/>
              <w:rPr>
                <w:sz w:val="20"/>
                <w:szCs w:val="20"/>
                <w:color w:val="auto"/>
              </w:rPr>
            </w:pPr>
            <w:r>
              <w:rPr>
                <w:rFonts w:ascii="Arial" w:cs="Arial" w:eastAsia="Arial" w:hAnsi="Arial"/>
                <w:sz w:val="8"/>
                <w:szCs w:val="8"/>
                <w:color w:val="auto"/>
              </w:rPr>
              <w:t>Long-term Incentive Plan (LTIP)</w:t>
            </w:r>
          </w:p>
        </w:tc>
        <w:tc>
          <w:tcPr>
            <w:tcW w:w="1360" w:type="dxa"/>
            <w:vAlign w:val="bottom"/>
            <w:tcBorders>
              <w:bottom w:val="single" w:sz="8" w:color="595959"/>
            </w:tcBorders>
            <w:shd w:val="clear" w:color="auto" w:fill="DDDDDD"/>
          </w:tcPr>
          <w:p>
            <w:pPr>
              <w:spacing w:after="0"/>
              <w:rPr>
                <w:sz w:val="10"/>
                <w:szCs w:val="10"/>
                <w:color w:val="auto"/>
              </w:rPr>
            </w:pPr>
          </w:p>
        </w:tc>
        <w:tc>
          <w:tcPr>
            <w:tcW w:w="2840" w:type="dxa"/>
            <w:vAlign w:val="bottom"/>
            <w:tcBorders>
              <w:bottom w:val="single" w:sz="8" w:color="595959"/>
            </w:tcBorders>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20"/>
                <w:szCs w:val="20"/>
                <w:color w:val="auto"/>
              </w:rPr>
            </w:pPr>
            <w:r>
              <w:rPr>
                <w:rFonts w:ascii="Arial" w:cs="Arial" w:eastAsia="Arial" w:hAnsi="Arial"/>
                <w:sz w:val="8"/>
                <w:szCs w:val="8"/>
                <w:color w:val="auto"/>
                <w:w w:val="96"/>
              </w:rPr>
              <w:t>Rewards longer-term value creation</w:t>
            </w:r>
          </w:p>
        </w:tc>
        <w:tc>
          <w:tcPr>
            <w:tcW w:w="1360" w:type="dxa"/>
            <w:vAlign w:val="bottom"/>
          </w:tcPr>
          <w:p>
            <w:pPr>
              <w:ind w:left="40"/>
              <w:spacing w:after="0"/>
              <w:rPr>
                <w:sz w:val="20"/>
                <w:szCs w:val="20"/>
                <w:color w:val="auto"/>
              </w:rPr>
            </w:pPr>
            <w:r>
              <w:rPr>
                <w:rFonts w:ascii="Arial" w:cs="Arial" w:eastAsia="Arial" w:hAnsi="Arial"/>
                <w:sz w:val="8"/>
                <w:szCs w:val="8"/>
                <w:color w:val="auto"/>
              </w:rPr>
              <w:t>Target award of 300% base salary.</w:t>
            </w:r>
          </w:p>
        </w:tc>
        <w:tc>
          <w:tcPr>
            <w:tcW w:w="2840" w:type="dxa"/>
            <w:vAlign w:val="bottom"/>
          </w:tcPr>
          <w:p>
            <w:pPr>
              <w:ind w:left="60"/>
              <w:spacing w:after="0"/>
              <w:rPr>
                <w:sz w:val="20"/>
                <w:szCs w:val="20"/>
                <w:color w:val="auto"/>
              </w:rPr>
            </w:pPr>
            <w:r>
              <w:rPr>
                <w:rFonts w:ascii="Arial" w:cs="Arial" w:eastAsia="Arial" w:hAnsi="Arial"/>
                <w:sz w:val="8"/>
                <w:szCs w:val="8"/>
                <w:color w:val="auto"/>
              </w:rPr>
              <w:t>•  Award levels are determined annually by the REMCO within the approved</w:t>
            </w:r>
          </w:p>
        </w:tc>
        <w:tc>
          <w:tcPr>
            <w:tcW w:w="0" w:type="dxa"/>
            <w:vAlign w:val="bottom"/>
          </w:tcPr>
          <w:p>
            <w:pPr>
              <w:spacing w:after="0"/>
              <w:rPr>
                <w:sz w:val="1"/>
                <w:szCs w:val="1"/>
                <w:color w:val="auto"/>
              </w:rPr>
            </w:pP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rPr>
              <w:t>linked to Shell’s strategy. The</w:t>
            </w:r>
          </w:p>
        </w:tc>
        <w:tc>
          <w:tcPr>
            <w:tcW w:w="1360" w:type="dxa"/>
            <w:vAlign w:val="bottom"/>
          </w:tcPr>
          <w:p>
            <w:pPr>
              <w:spacing w:after="0"/>
              <w:rPr>
                <w:sz w:val="7"/>
                <w:szCs w:val="7"/>
                <w:color w:val="auto"/>
              </w:rPr>
            </w:pPr>
          </w:p>
        </w:tc>
        <w:tc>
          <w:tcPr>
            <w:tcW w:w="2840" w:type="dxa"/>
            <w:vAlign w:val="bottom"/>
          </w:tcPr>
          <w:p>
            <w:pPr>
              <w:ind w:left="160"/>
              <w:spacing w:after="0" w:line="90" w:lineRule="exact"/>
              <w:rPr>
                <w:sz w:val="20"/>
                <w:szCs w:val="20"/>
                <w:color w:val="auto"/>
              </w:rPr>
            </w:pPr>
            <w:r>
              <w:rPr>
                <w:rFonts w:ascii="Arial" w:cs="Arial" w:eastAsia="Arial" w:hAnsi="Arial"/>
                <w:sz w:val="8"/>
                <w:szCs w:val="8"/>
                <w:color w:val="auto"/>
              </w:rPr>
              <w:t>policy maximum;</w:t>
            </w:r>
          </w:p>
        </w:tc>
        <w:tc>
          <w:tcPr>
            <w:tcW w:w="0" w:type="dxa"/>
            <w:vAlign w:val="bottom"/>
          </w:tcPr>
          <w:p>
            <w:pPr>
              <w:spacing w:after="0"/>
              <w:rPr>
                <w:sz w:val="1"/>
                <w:szCs w:val="1"/>
                <w:color w:val="auto"/>
              </w:rPr>
            </w:pP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rPr>
              <w:t>measures predominantly focus on</w:t>
            </w:r>
          </w:p>
        </w:tc>
        <w:tc>
          <w:tcPr>
            <w:tcW w:w="1360" w:type="dxa"/>
            <w:vAlign w:val="bottom"/>
          </w:tcPr>
          <w:p>
            <w:pPr>
              <w:ind w:left="40"/>
              <w:spacing w:after="0" w:line="90" w:lineRule="exact"/>
              <w:rPr>
                <w:sz w:val="20"/>
                <w:szCs w:val="20"/>
                <w:color w:val="auto"/>
              </w:rPr>
            </w:pPr>
            <w:r>
              <w:rPr>
                <w:rFonts w:ascii="Arial" w:cs="Arial" w:eastAsia="Arial" w:hAnsi="Arial"/>
                <w:sz w:val="8"/>
                <w:szCs w:val="8"/>
                <w:color w:val="auto"/>
                <w:w w:val="96"/>
              </w:rPr>
              <w:t>Awards may vest at up to 200% of the</w:t>
            </w: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rPr>
              <w:t>financial growth and increases in</w:t>
            </w:r>
          </w:p>
        </w:tc>
        <w:tc>
          <w:tcPr>
            <w:tcW w:w="1360" w:type="dxa"/>
            <w:vAlign w:val="bottom"/>
          </w:tcPr>
          <w:p>
            <w:pPr>
              <w:ind w:left="40"/>
              <w:spacing w:after="0" w:line="90" w:lineRule="exact"/>
              <w:rPr>
                <w:sz w:val="20"/>
                <w:szCs w:val="20"/>
                <w:color w:val="auto"/>
              </w:rPr>
            </w:pPr>
            <w:r>
              <w:rPr>
                <w:rFonts w:ascii="Arial" w:cs="Arial" w:eastAsia="Arial" w:hAnsi="Arial"/>
                <w:sz w:val="8"/>
                <w:szCs w:val="8"/>
                <w:color w:val="auto"/>
              </w:rPr>
              <w:t>shares originally awarded, plus</w:t>
            </w:r>
          </w:p>
        </w:tc>
        <w:tc>
          <w:tcPr>
            <w:tcW w:w="2840" w:type="dxa"/>
            <w:vAlign w:val="bottom"/>
            <w:vMerge w:val="restart"/>
          </w:tcPr>
          <w:p>
            <w:pPr>
              <w:ind w:left="60"/>
              <w:spacing w:after="0"/>
              <w:rPr>
                <w:sz w:val="20"/>
                <w:szCs w:val="20"/>
                <w:color w:val="auto"/>
              </w:rPr>
            </w:pPr>
            <w:r>
              <w:rPr>
                <w:rFonts w:ascii="Arial" w:cs="Arial" w:eastAsia="Arial" w:hAnsi="Arial"/>
                <w:sz w:val="8"/>
                <w:szCs w:val="8"/>
                <w:color w:val="auto"/>
              </w:rPr>
              <w:t>•  Awards may vest between 0% and 200% of the initial award, depending on</w:t>
            </w:r>
          </w:p>
        </w:tc>
        <w:tc>
          <w:tcPr>
            <w:tcW w:w="0" w:type="dxa"/>
            <w:vAlign w:val="bottom"/>
          </w:tcPr>
          <w:p>
            <w:pPr>
              <w:spacing w:after="0"/>
              <w:rPr>
                <w:sz w:val="1"/>
                <w:szCs w:val="1"/>
                <w:color w:val="auto"/>
              </w:rPr>
            </w:pPr>
          </w:p>
        </w:tc>
      </w:tr>
      <w:tr>
        <w:trPr>
          <w:trHeight w:val="81"/>
        </w:trPr>
        <w:tc>
          <w:tcPr>
            <w:tcW w:w="1240" w:type="dxa"/>
            <w:vAlign w:val="bottom"/>
          </w:tcPr>
          <w:p>
            <w:pPr>
              <w:spacing w:after="0" w:line="81" w:lineRule="exact"/>
              <w:rPr>
                <w:sz w:val="20"/>
                <w:szCs w:val="20"/>
                <w:color w:val="auto"/>
              </w:rPr>
            </w:pPr>
            <w:r>
              <w:rPr>
                <w:rFonts w:ascii="Arial" w:cs="Arial" w:eastAsia="Arial" w:hAnsi="Arial"/>
                <w:sz w:val="8"/>
                <w:szCs w:val="8"/>
                <w:color w:val="auto"/>
              </w:rPr>
              <w:t>value compared with the other oil</w:t>
            </w:r>
          </w:p>
        </w:tc>
        <w:tc>
          <w:tcPr>
            <w:tcW w:w="1360" w:type="dxa"/>
            <w:vAlign w:val="bottom"/>
          </w:tcPr>
          <w:p>
            <w:pPr>
              <w:ind w:left="40"/>
              <w:spacing w:after="0" w:line="81" w:lineRule="exact"/>
              <w:rPr>
                <w:sz w:val="20"/>
                <w:szCs w:val="20"/>
                <w:color w:val="auto"/>
              </w:rPr>
            </w:pPr>
            <w:r>
              <w:rPr>
                <w:rFonts w:ascii="Arial" w:cs="Arial" w:eastAsia="Arial" w:hAnsi="Arial"/>
                <w:sz w:val="8"/>
                <w:szCs w:val="8"/>
                <w:color w:val="auto"/>
              </w:rPr>
              <w:t>dividends.</w:t>
            </w:r>
          </w:p>
        </w:tc>
        <w:tc>
          <w:tcPr>
            <w:tcW w:w="2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rPr>
              <w:t>majors, supported by measures</w:t>
            </w:r>
          </w:p>
        </w:tc>
        <w:tc>
          <w:tcPr>
            <w:tcW w:w="1360" w:type="dxa"/>
            <w:vAlign w:val="bottom"/>
          </w:tcPr>
          <w:p>
            <w:pPr>
              <w:spacing w:after="0"/>
              <w:rPr>
                <w:sz w:val="7"/>
                <w:szCs w:val="7"/>
                <w:color w:val="auto"/>
              </w:rPr>
            </w:pPr>
          </w:p>
        </w:tc>
        <w:tc>
          <w:tcPr>
            <w:tcW w:w="2840" w:type="dxa"/>
            <w:vAlign w:val="bottom"/>
          </w:tcPr>
          <w:p>
            <w:pPr>
              <w:ind w:left="160"/>
              <w:spacing w:after="0" w:line="90" w:lineRule="exact"/>
              <w:rPr>
                <w:sz w:val="20"/>
                <w:szCs w:val="20"/>
                <w:color w:val="auto"/>
              </w:rPr>
            </w:pPr>
            <w:r>
              <w:rPr>
                <w:rFonts w:ascii="Arial" w:cs="Arial" w:eastAsia="Arial" w:hAnsi="Arial"/>
                <w:sz w:val="8"/>
                <w:szCs w:val="8"/>
                <w:color w:val="auto"/>
              </w:rPr>
              <w:t>Shell’s performance assessed on either an absolute basis against strategic</w:t>
            </w:r>
          </w:p>
        </w:tc>
        <w:tc>
          <w:tcPr>
            <w:tcW w:w="0" w:type="dxa"/>
            <w:vAlign w:val="bottom"/>
          </w:tcPr>
          <w:p>
            <w:pPr>
              <w:spacing w:after="0"/>
              <w:rPr>
                <w:sz w:val="1"/>
                <w:szCs w:val="1"/>
                <w:color w:val="auto"/>
              </w:rPr>
            </w:pP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rPr>
              <w:t>focused on the achievement of</w:t>
            </w:r>
          </w:p>
        </w:tc>
        <w:tc>
          <w:tcPr>
            <w:tcW w:w="1360" w:type="dxa"/>
            <w:vAlign w:val="bottom"/>
          </w:tcPr>
          <w:p>
            <w:pPr>
              <w:spacing w:after="0"/>
              <w:rPr>
                <w:sz w:val="7"/>
                <w:szCs w:val="7"/>
                <w:color w:val="auto"/>
              </w:rPr>
            </w:pPr>
          </w:p>
        </w:tc>
        <w:tc>
          <w:tcPr>
            <w:tcW w:w="2840" w:type="dxa"/>
            <w:vAlign w:val="bottom"/>
          </w:tcPr>
          <w:p>
            <w:pPr>
              <w:ind w:left="160"/>
              <w:spacing w:after="0" w:line="90" w:lineRule="exact"/>
              <w:rPr>
                <w:sz w:val="20"/>
                <w:szCs w:val="20"/>
                <w:color w:val="auto"/>
              </w:rPr>
            </w:pPr>
            <w:r>
              <w:rPr>
                <w:rFonts w:ascii="Arial" w:cs="Arial" w:eastAsia="Arial" w:hAnsi="Arial"/>
                <w:sz w:val="8"/>
                <w:szCs w:val="8"/>
                <w:color w:val="auto"/>
              </w:rPr>
              <w:t>targets or on a relative basis against the other oil majors;</w:t>
            </w:r>
          </w:p>
        </w:tc>
        <w:tc>
          <w:tcPr>
            <w:tcW w:w="0" w:type="dxa"/>
            <w:vAlign w:val="bottom"/>
          </w:tcPr>
          <w:p>
            <w:pPr>
              <w:spacing w:after="0"/>
              <w:rPr>
                <w:sz w:val="1"/>
                <w:szCs w:val="1"/>
                <w:color w:val="auto"/>
              </w:rPr>
            </w:pP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rPr>
              <w:t>Shell’s ambitions in the energy</w:t>
            </w:r>
          </w:p>
        </w:tc>
        <w:tc>
          <w:tcPr>
            <w:tcW w:w="1360" w:type="dxa"/>
            <w:vAlign w:val="bottom"/>
          </w:tcPr>
          <w:p>
            <w:pPr>
              <w:spacing w:after="0"/>
              <w:rPr>
                <w:sz w:val="7"/>
                <w:szCs w:val="7"/>
                <w:color w:val="auto"/>
              </w:rPr>
            </w:pPr>
          </w:p>
        </w:tc>
        <w:tc>
          <w:tcPr>
            <w:tcW w:w="2840" w:type="dxa"/>
            <w:vAlign w:val="bottom"/>
          </w:tcPr>
          <w:p>
            <w:pPr>
              <w:ind w:left="60"/>
              <w:spacing w:after="0" w:line="90" w:lineRule="exact"/>
              <w:rPr>
                <w:sz w:val="20"/>
                <w:szCs w:val="20"/>
                <w:color w:val="auto"/>
              </w:rPr>
            </w:pPr>
            <w:r>
              <w:rPr>
                <w:rFonts w:ascii="Arial" w:cs="Arial" w:eastAsia="Arial" w:hAnsi="Arial"/>
                <w:sz w:val="8"/>
                <w:szCs w:val="8"/>
                <w:color w:val="auto"/>
                <w:w w:val="96"/>
              </w:rPr>
              <w:t>•  Performance metrics and targets are set by the REMCO at the beginning of the</w:t>
            </w:r>
          </w:p>
        </w:tc>
        <w:tc>
          <w:tcPr>
            <w:tcW w:w="0" w:type="dxa"/>
            <w:vAlign w:val="bottom"/>
          </w:tcPr>
          <w:p>
            <w:pPr>
              <w:spacing w:after="0"/>
              <w:rPr>
                <w:sz w:val="1"/>
                <w:szCs w:val="1"/>
                <w:color w:val="auto"/>
              </w:rPr>
            </w:pP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rPr>
              <w:t>transition.</w:t>
            </w:r>
          </w:p>
        </w:tc>
        <w:tc>
          <w:tcPr>
            <w:tcW w:w="1360" w:type="dxa"/>
            <w:vAlign w:val="bottom"/>
          </w:tcPr>
          <w:p>
            <w:pPr>
              <w:spacing w:after="0"/>
              <w:rPr>
                <w:sz w:val="7"/>
                <w:szCs w:val="7"/>
                <w:color w:val="auto"/>
              </w:rPr>
            </w:pPr>
          </w:p>
        </w:tc>
        <w:tc>
          <w:tcPr>
            <w:tcW w:w="2840" w:type="dxa"/>
            <w:vAlign w:val="bottom"/>
          </w:tcPr>
          <w:p>
            <w:pPr>
              <w:ind w:left="160"/>
              <w:spacing w:after="0" w:line="90" w:lineRule="exact"/>
              <w:rPr>
                <w:sz w:val="20"/>
                <w:szCs w:val="20"/>
                <w:color w:val="auto"/>
              </w:rPr>
            </w:pPr>
            <w:r>
              <w:rPr>
                <w:rFonts w:ascii="Arial" w:cs="Arial" w:eastAsia="Arial" w:hAnsi="Arial"/>
                <w:sz w:val="8"/>
                <w:szCs w:val="8"/>
                <w:color w:val="auto"/>
                <w:w w:val="98"/>
              </w:rPr>
              <w:t>relative performance period. When setting performance targets, the REMCO</w:t>
            </w: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40" w:type="dxa"/>
            <w:vAlign w:val="bottom"/>
          </w:tcPr>
          <w:p>
            <w:pPr>
              <w:ind w:left="160"/>
              <w:spacing w:after="0" w:line="81" w:lineRule="exact"/>
              <w:rPr>
                <w:sz w:val="20"/>
                <w:szCs w:val="20"/>
                <w:color w:val="auto"/>
              </w:rPr>
            </w:pPr>
            <w:r>
              <w:rPr>
                <w:rFonts w:ascii="Arial" w:cs="Arial" w:eastAsia="Arial" w:hAnsi="Arial"/>
                <w:sz w:val="8"/>
                <w:szCs w:val="8"/>
                <w:color w:val="auto"/>
              </w:rPr>
              <w:t>allocates weightings to each metric as it considers appropriate, taking into</w:t>
            </w:r>
          </w:p>
        </w:tc>
        <w:tc>
          <w:tcPr>
            <w:tcW w:w="0" w:type="dxa"/>
            <w:vAlign w:val="bottom"/>
          </w:tcPr>
          <w:p>
            <w:pPr>
              <w:spacing w:after="0"/>
              <w:rPr>
                <w:sz w:val="1"/>
                <w:szCs w:val="1"/>
                <w:color w:val="auto"/>
              </w:rPr>
            </w:pPr>
          </w:p>
        </w:tc>
      </w:tr>
      <w:tr>
        <w:trPr>
          <w:trHeight w:val="99"/>
        </w:trPr>
        <w:tc>
          <w:tcPr>
            <w:tcW w:w="1240" w:type="dxa"/>
            <w:vAlign w:val="bottom"/>
          </w:tcPr>
          <w:p>
            <w:pPr>
              <w:spacing w:after="0"/>
              <w:rPr>
                <w:sz w:val="20"/>
                <w:szCs w:val="20"/>
                <w:color w:val="auto"/>
              </w:rPr>
            </w:pPr>
            <w:r>
              <w:rPr>
                <w:rFonts w:ascii="Arial" w:cs="Arial" w:eastAsia="Arial" w:hAnsi="Arial"/>
                <w:sz w:val="8"/>
                <w:szCs w:val="8"/>
                <w:color w:val="auto"/>
              </w:rPr>
              <w:t>To reinforce alignment with</w:t>
            </w:r>
          </w:p>
        </w:tc>
        <w:tc>
          <w:tcPr>
            <w:tcW w:w="1360" w:type="dxa"/>
            <w:vAlign w:val="bottom"/>
          </w:tcPr>
          <w:p>
            <w:pPr>
              <w:spacing w:after="0"/>
              <w:rPr>
                <w:sz w:val="8"/>
                <w:szCs w:val="8"/>
                <w:color w:val="auto"/>
              </w:rPr>
            </w:pPr>
          </w:p>
        </w:tc>
        <w:tc>
          <w:tcPr>
            <w:tcW w:w="2840" w:type="dxa"/>
            <w:vAlign w:val="bottom"/>
          </w:tcPr>
          <w:p>
            <w:pPr>
              <w:ind w:left="160"/>
              <w:spacing w:after="0"/>
              <w:rPr>
                <w:sz w:val="20"/>
                <w:szCs w:val="20"/>
                <w:color w:val="auto"/>
              </w:rPr>
            </w:pPr>
            <w:r>
              <w:rPr>
                <w:rFonts w:ascii="Arial" w:cs="Arial" w:eastAsia="Arial" w:hAnsi="Arial"/>
                <w:sz w:val="8"/>
                <w:szCs w:val="8"/>
                <w:color w:val="auto"/>
              </w:rPr>
              <w:t>account strategic priorities;</w:t>
            </w:r>
          </w:p>
        </w:tc>
        <w:tc>
          <w:tcPr>
            <w:tcW w:w="0" w:type="dxa"/>
            <w:vAlign w:val="bottom"/>
          </w:tcPr>
          <w:p>
            <w:pPr>
              <w:spacing w:after="0"/>
              <w:rPr>
                <w:sz w:val="1"/>
                <w:szCs w:val="1"/>
                <w:color w:val="auto"/>
              </w:rPr>
            </w:pP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rPr>
              <w:t>shareholder interests, shares</w:t>
            </w:r>
          </w:p>
        </w:tc>
        <w:tc>
          <w:tcPr>
            <w:tcW w:w="1360" w:type="dxa"/>
            <w:vAlign w:val="bottom"/>
          </w:tcPr>
          <w:p>
            <w:pPr>
              <w:spacing w:after="0"/>
              <w:rPr>
                <w:sz w:val="7"/>
                <w:szCs w:val="7"/>
                <w:color w:val="auto"/>
              </w:rPr>
            </w:pPr>
          </w:p>
        </w:tc>
        <w:tc>
          <w:tcPr>
            <w:tcW w:w="2840" w:type="dxa"/>
            <w:vAlign w:val="bottom"/>
          </w:tcPr>
          <w:p>
            <w:pPr>
              <w:ind w:left="60"/>
              <w:spacing w:after="0" w:line="90" w:lineRule="exact"/>
              <w:rPr>
                <w:sz w:val="20"/>
                <w:szCs w:val="20"/>
                <w:color w:val="auto"/>
              </w:rPr>
            </w:pPr>
            <w:r>
              <w:rPr>
                <w:rFonts w:ascii="Arial" w:cs="Arial" w:eastAsia="Arial" w:hAnsi="Arial"/>
                <w:sz w:val="8"/>
                <w:szCs w:val="8"/>
                <w:color w:val="auto"/>
                <w:w w:val="99"/>
              </w:rPr>
              <w:t>•  For 2020, performance is assessed over three years based 90% on financial</w:t>
            </w:r>
          </w:p>
        </w:tc>
        <w:tc>
          <w:tcPr>
            <w:tcW w:w="0" w:type="dxa"/>
            <w:vAlign w:val="bottom"/>
          </w:tcPr>
          <w:p>
            <w:pPr>
              <w:spacing w:after="0"/>
              <w:rPr>
                <w:sz w:val="1"/>
                <w:szCs w:val="1"/>
                <w:color w:val="auto"/>
              </w:rPr>
            </w:pP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w w:val="98"/>
              </w:rPr>
              <w:t>delivered from vested LTIP awards</w:t>
            </w:r>
          </w:p>
        </w:tc>
        <w:tc>
          <w:tcPr>
            <w:tcW w:w="1360" w:type="dxa"/>
            <w:vAlign w:val="bottom"/>
          </w:tcPr>
          <w:p>
            <w:pPr>
              <w:spacing w:after="0"/>
              <w:rPr>
                <w:sz w:val="7"/>
                <w:szCs w:val="7"/>
                <w:color w:val="auto"/>
              </w:rPr>
            </w:pPr>
          </w:p>
        </w:tc>
        <w:tc>
          <w:tcPr>
            <w:tcW w:w="2840" w:type="dxa"/>
            <w:vAlign w:val="bottom"/>
          </w:tcPr>
          <w:p>
            <w:pPr>
              <w:ind w:left="160"/>
              <w:spacing w:after="0" w:line="90" w:lineRule="exact"/>
              <w:rPr>
                <w:sz w:val="20"/>
                <w:szCs w:val="20"/>
                <w:color w:val="auto"/>
              </w:rPr>
            </w:pPr>
            <w:r>
              <w:rPr>
                <w:rFonts w:ascii="Arial" w:cs="Arial" w:eastAsia="Arial" w:hAnsi="Arial"/>
                <w:sz w:val="8"/>
                <w:szCs w:val="8"/>
                <w:color w:val="auto"/>
                <w:w w:val="97"/>
              </w:rPr>
              <w:t>metrics (TSR, ROACE, FCF and CFFO) which support our strategic ambition</w:t>
            </w:r>
          </w:p>
        </w:tc>
        <w:tc>
          <w:tcPr>
            <w:tcW w:w="0" w:type="dxa"/>
            <w:vAlign w:val="bottom"/>
          </w:tcPr>
          <w:p>
            <w:pPr>
              <w:spacing w:after="0"/>
              <w:rPr>
                <w:sz w:val="1"/>
                <w:szCs w:val="1"/>
                <w:color w:val="auto"/>
              </w:rPr>
            </w:pP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rPr>
              <w:t>are subject to a three-year holding</w:t>
            </w:r>
          </w:p>
        </w:tc>
        <w:tc>
          <w:tcPr>
            <w:tcW w:w="1360" w:type="dxa"/>
            <w:vAlign w:val="bottom"/>
          </w:tcPr>
          <w:p>
            <w:pPr>
              <w:spacing w:after="0"/>
              <w:rPr>
                <w:sz w:val="7"/>
                <w:szCs w:val="7"/>
                <w:color w:val="auto"/>
              </w:rPr>
            </w:pPr>
          </w:p>
        </w:tc>
        <w:tc>
          <w:tcPr>
            <w:tcW w:w="2840" w:type="dxa"/>
            <w:vAlign w:val="bottom"/>
          </w:tcPr>
          <w:p>
            <w:pPr>
              <w:ind w:left="160"/>
              <w:spacing w:after="0" w:line="90" w:lineRule="exact"/>
              <w:rPr>
                <w:sz w:val="20"/>
                <w:szCs w:val="20"/>
                <w:color w:val="auto"/>
              </w:rPr>
            </w:pPr>
            <w:r>
              <w:rPr>
                <w:rFonts w:ascii="Arial" w:cs="Arial" w:eastAsia="Arial" w:hAnsi="Arial"/>
                <w:sz w:val="8"/>
                <w:szCs w:val="8"/>
                <w:color w:val="auto"/>
                <w:w w:val="98"/>
              </w:rPr>
              <w:t>to provide a world-class investment case and 10% on a measure focused on</w:t>
            </w:r>
          </w:p>
        </w:tc>
        <w:tc>
          <w:tcPr>
            <w:tcW w:w="0" w:type="dxa"/>
            <w:vAlign w:val="bottom"/>
          </w:tcPr>
          <w:p>
            <w:pPr>
              <w:spacing w:after="0"/>
              <w:rPr>
                <w:sz w:val="1"/>
                <w:szCs w:val="1"/>
                <w:color w:val="auto"/>
              </w:rPr>
            </w:pP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rPr>
              <w:t>period, which applies beyond an</w:t>
            </w:r>
          </w:p>
        </w:tc>
        <w:tc>
          <w:tcPr>
            <w:tcW w:w="1360" w:type="dxa"/>
            <w:vAlign w:val="bottom"/>
          </w:tcPr>
          <w:p>
            <w:pPr>
              <w:spacing w:after="0"/>
              <w:rPr>
                <w:sz w:val="7"/>
                <w:szCs w:val="7"/>
                <w:color w:val="auto"/>
              </w:rPr>
            </w:pPr>
          </w:p>
        </w:tc>
        <w:tc>
          <w:tcPr>
            <w:tcW w:w="2840" w:type="dxa"/>
            <w:vAlign w:val="bottom"/>
          </w:tcPr>
          <w:p>
            <w:pPr>
              <w:ind w:left="160"/>
              <w:spacing w:after="0" w:line="90" w:lineRule="exact"/>
              <w:rPr>
                <w:sz w:val="20"/>
                <w:szCs w:val="20"/>
                <w:color w:val="auto"/>
              </w:rPr>
            </w:pPr>
            <w:r>
              <w:rPr>
                <w:rFonts w:ascii="Arial" w:cs="Arial" w:eastAsia="Arial" w:hAnsi="Arial"/>
                <w:sz w:val="8"/>
                <w:szCs w:val="8"/>
                <w:color w:val="auto"/>
              </w:rPr>
              <w:t>thriving in the energy transition;</w:t>
            </w:r>
          </w:p>
        </w:tc>
        <w:tc>
          <w:tcPr>
            <w:tcW w:w="0" w:type="dxa"/>
            <w:vAlign w:val="bottom"/>
          </w:tcPr>
          <w:p>
            <w:pPr>
              <w:spacing w:after="0"/>
              <w:rPr>
                <w:sz w:val="1"/>
                <w:szCs w:val="1"/>
                <w:color w:val="auto"/>
              </w:rPr>
            </w:pP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rPr>
              <w:t>Executive Director’s tenure.</w:t>
            </w:r>
          </w:p>
        </w:tc>
        <w:tc>
          <w:tcPr>
            <w:tcW w:w="1360" w:type="dxa"/>
            <w:vAlign w:val="bottom"/>
          </w:tcPr>
          <w:p>
            <w:pPr>
              <w:spacing w:after="0"/>
              <w:rPr>
                <w:sz w:val="7"/>
                <w:szCs w:val="7"/>
                <w:color w:val="auto"/>
              </w:rPr>
            </w:pPr>
          </w:p>
        </w:tc>
        <w:tc>
          <w:tcPr>
            <w:tcW w:w="2840" w:type="dxa"/>
            <w:vAlign w:val="bottom"/>
          </w:tcPr>
          <w:p>
            <w:pPr>
              <w:ind w:left="60"/>
              <w:spacing w:after="0" w:line="90" w:lineRule="exact"/>
              <w:rPr>
                <w:sz w:val="20"/>
                <w:szCs w:val="20"/>
                <w:color w:val="auto"/>
              </w:rPr>
            </w:pPr>
            <w:r>
              <w:rPr>
                <w:rFonts w:ascii="Arial" w:cs="Arial" w:eastAsia="Arial" w:hAnsi="Arial"/>
                <w:sz w:val="8"/>
                <w:szCs w:val="8"/>
                <w:color w:val="auto"/>
                <w:w w:val="97"/>
              </w:rPr>
              <w:t>•  Additional shares are released representing the value of dividends payable on</w:t>
            </w: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40" w:type="dxa"/>
            <w:vAlign w:val="bottom"/>
          </w:tcPr>
          <w:p>
            <w:pPr>
              <w:ind w:left="160"/>
              <w:spacing w:after="0" w:line="81" w:lineRule="exact"/>
              <w:rPr>
                <w:sz w:val="20"/>
                <w:szCs w:val="20"/>
                <w:color w:val="auto"/>
              </w:rPr>
            </w:pPr>
            <w:r>
              <w:rPr>
                <w:rFonts w:ascii="Arial" w:cs="Arial" w:eastAsia="Arial" w:hAnsi="Arial"/>
                <w:sz w:val="8"/>
                <w:szCs w:val="8"/>
                <w:color w:val="auto"/>
              </w:rPr>
              <w:t>the vested shares, as if these had been owned from the award date;</w:t>
            </w: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40" w:type="dxa"/>
            <w:vAlign w:val="bottom"/>
          </w:tcPr>
          <w:p>
            <w:pPr>
              <w:ind w:left="60"/>
              <w:spacing w:after="0" w:line="90" w:lineRule="exact"/>
              <w:rPr>
                <w:sz w:val="20"/>
                <w:szCs w:val="20"/>
                <w:color w:val="auto"/>
              </w:rPr>
            </w:pPr>
            <w:r>
              <w:rPr>
                <w:rFonts w:ascii="Arial" w:cs="Arial" w:eastAsia="Arial" w:hAnsi="Arial"/>
                <w:sz w:val="8"/>
                <w:szCs w:val="8"/>
                <w:color w:val="auto"/>
              </w:rPr>
              <w:t>•  LTIP awards (net of tax) must be held for a further three years to align with</w:t>
            </w: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40" w:type="dxa"/>
            <w:vAlign w:val="bottom"/>
          </w:tcPr>
          <w:p>
            <w:pPr>
              <w:ind w:left="160"/>
              <w:spacing w:after="0" w:line="90" w:lineRule="exact"/>
              <w:rPr>
                <w:sz w:val="20"/>
                <w:szCs w:val="20"/>
                <w:color w:val="auto"/>
              </w:rPr>
            </w:pPr>
            <w:r>
              <w:rPr>
                <w:rFonts w:ascii="Arial" w:cs="Arial" w:eastAsia="Arial" w:hAnsi="Arial"/>
                <w:sz w:val="8"/>
                <w:szCs w:val="8"/>
                <w:color w:val="auto"/>
              </w:rPr>
              <w:t>Shell’s longer-term time horizon and strategy;</w:t>
            </w: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40" w:type="dxa"/>
            <w:vAlign w:val="bottom"/>
          </w:tcPr>
          <w:p>
            <w:pPr>
              <w:ind w:left="60"/>
              <w:spacing w:after="0" w:line="90" w:lineRule="exact"/>
              <w:rPr>
                <w:sz w:val="20"/>
                <w:szCs w:val="20"/>
                <w:color w:val="auto"/>
              </w:rPr>
            </w:pPr>
            <w:r>
              <w:rPr>
                <w:rFonts w:ascii="Arial" w:cs="Arial" w:eastAsia="Arial" w:hAnsi="Arial"/>
                <w:sz w:val="8"/>
                <w:szCs w:val="8"/>
                <w:color w:val="auto"/>
              </w:rPr>
              <w:t>•  The LTIP award is subject to malus provisions before it is delivered and to</w:t>
            </w: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40" w:type="dxa"/>
            <w:vAlign w:val="bottom"/>
          </w:tcPr>
          <w:p>
            <w:pPr>
              <w:ind w:left="160"/>
              <w:spacing w:after="0" w:line="90" w:lineRule="exact"/>
              <w:rPr>
                <w:sz w:val="20"/>
                <w:szCs w:val="20"/>
                <w:color w:val="auto"/>
              </w:rPr>
            </w:pPr>
            <w:r>
              <w:rPr>
                <w:rFonts w:ascii="Arial" w:cs="Arial" w:eastAsia="Arial" w:hAnsi="Arial"/>
                <w:sz w:val="8"/>
                <w:szCs w:val="8"/>
                <w:color w:val="auto"/>
              </w:rPr>
              <w:t>clawback provisions thereafter;</w:t>
            </w: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40" w:type="dxa"/>
            <w:vAlign w:val="bottom"/>
          </w:tcPr>
          <w:p>
            <w:pPr>
              <w:ind w:left="60"/>
              <w:spacing w:after="0" w:line="90" w:lineRule="exact"/>
              <w:rPr>
                <w:sz w:val="20"/>
                <w:szCs w:val="20"/>
                <w:color w:val="auto"/>
              </w:rPr>
            </w:pPr>
            <w:r>
              <w:rPr>
                <w:rFonts w:ascii="Arial" w:cs="Arial" w:eastAsia="Arial" w:hAnsi="Arial"/>
                <w:sz w:val="8"/>
                <w:szCs w:val="8"/>
                <w:color w:val="auto"/>
                <w:w w:val="96"/>
              </w:rPr>
              <w:t>•  The REMCO may adjust or change the LTIP measures, targets and weightings</w:t>
            </w: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40" w:type="dxa"/>
            <w:vAlign w:val="bottom"/>
          </w:tcPr>
          <w:p>
            <w:pPr>
              <w:ind w:left="160"/>
              <w:spacing w:after="0" w:line="90" w:lineRule="exact"/>
              <w:rPr>
                <w:sz w:val="20"/>
                <w:szCs w:val="20"/>
                <w:color w:val="auto"/>
              </w:rPr>
            </w:pPr>
            <w:r>
              <w:rPr>
                <w:rFonts w:ascii="Arial" w:cs="Arial" w:eastAsia="Arial" w:hAnsi="Arial"/>
                <w:sz w:val="8"/>
                <w:szCs w:val="8"/>
                <w:color w:val="auto"/>
              </w:rPr>
              <w:t>to ensure continued alignment with Shell’s strategy; and</w:t>
            </w: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40" w:type="dxa"/>
            <w:vAlign w:val="bottom"/>
          </w:tcPr>
          <w:p>
            <w:pPr>
              <w:ind w:left="60"/>
              <w:spacing w:after="0" w:line="90" w:lineRule="exact"/>
              <w:rPr>
                <w:sz w:val="20"/>
                <w:szCs w:val="20"/>
                <w:color w:val="auto"/>
              </w:rPr>
            </w:pPr>
            <w:r>
              <w:rPr>
                <w:rFonts w:ascii="Arial" w:cs="Arial" w:eastAsia="Arial" w:hAnsi="Arial"/>
                <w:sz w:val="8"/>
                <w:szCs w:val="8"/>
                <w:color w:val="auto"/>
                <w:w w:val="99"/>
              </w:rPr>
              <w:t>•  In the event that another Executive Director joins the Board, the REMCO will</w:t>
            </w:r>
          </w:p>
        </w:tc>
        <w:tc>
          <w:tcPr>
            <w:tcW w:w="0" w:type="dxa"/>
            <w:vAlign w:val="bottom"/>
          </w:tcPr>
          <w:p>
            <w:pPr>
              <w:spacing w:after="0"/>
              <w:rPr>
                <w:sz w:val="1"/>
                <w:szCs w:val="1"/>
                <w:color w:val="auto"/>
              </w:rPr>
            </w:pPr>
          </w:p>
        </w:tc>
      </w:tr>
      <w:tr>
        <w:trPr>
          <w:trHeight w:val="111"/>
        </w:trPr>
        <w:tc>
          <w:tcPr>
            <w:tcW w:w="1240" w:type="dxa"/>
            <w:vAlign w:val="bottom"/>
            <w:tcBorders>
              <w:bottom w:val="single" w:sz="8" w:color="595959"/>
            </w:tcBorders>
          </w:tcPr>
          <w:p>
            <w:pPr>
              <w:spacing w:after="0"/>
              <w:rPr>
                <w:sz w:val="9"/>
                <w:szCs w:val="9"/>
                <w:color w:val="auto"/>
              </w:rPr>
            </w:pPr>
          </w:p>
        </w:tc>
        <w:tc>
          <w:tcPr>
            <w:tcW w:w="1360" w:type="dxa"/>
            <w:vAlign w:val="bottom"/>
            <w:tcBorders>
              <w:bottom w:val="single" w:sz="8" w:color="595959"/>
            </w:tcBorders>
          </w:tcPr>
          <w:p>
            <w:pPr>
              <w:spacing w:after="0"/>
              <w:rPr>
                <w:sz w:val="9"/>
                <w:szCs w:val="9"/>
                <w:color w:val="auto"/>
              </w:rPr>
            </w:pPr>
          </w:p>
        </w:tc>
        <w:tc>
          <w:tcPr>
            <w:tcW w:w="2840" w:type="dxa"/>
            <w:vAlign w:val="bottom"/>
            <w:tcBorders>
              <w:bottom w:val="single" w:sz="8" w:color="595959"/>
            </w:tcBorders>
          </w:tcPr>
          <w:p>
            <w:pPr>
              <w:ind w:left="160"/>
              <w:spacing w:after="0"/>
              <w:rPr>
                <w:sz w:val="20"/>
                <w:szCs w:val="20"/>
                <w:color w:val="auto"/>
              </w:rPr>
            </w:pPr>
            <w:r>
              <w:rPr>
                <w:rFonts w:ascii="Arial" w:cs="Arial" w:eastAsia="Arial" w:hAnsi="Arial"/>
                <w:sz w:val="8"/>
                <w:szCs w:val="8"/>
                <w:color w:val="auto"/>
              </w:rPr>
              <w:t>determine their award level.</w:t>
            </w:r>
          </w:p>
        </w:tc>
        <w:tc>
          <w:tcPr>
            <w:tcW w:w="0" w:type="dxa"/>
            <w:vAlign w:val="bottom"/>
          </w:tcPr>
          <w:p>
            <w:pPr>
              <w:spacing w:after="0"/>
              <w:rPr>
                <w:sz w:val="1"/>
                <w:szCs w:val="1"/>
                <w:color w:val="auto"/>
              </w:rPr>
            </w:pPr>
          </w:p>
        </w:tc>
      </w:tr>
      <w:tr>
        <w:trPr>
          <w:trHeight w:val="115"/>
        </w:trPr>
        <w:tc>
          <w:tcPr>
            <w:tcW w:w="1240" w:type="dxa"/>
            <w:vAlign w:val="bottom"/>
            <w:tcBorders>
              <w:bottom w:val="single" w:sz="8" w:color="595959"/>
            </w:tcBorders>
            <w:shd w:val="clear" w:color="auto" w:fill="DDDDDD"/>
          </w:tcPr>
          <w:p>
            <w:pPr>
              <w:spacing w:after="0"/>
              <w:rPr>
                <w:sz w:val="20"/>
                <w:szCs w:val="20"/>
                <w:color w:val="auto"/>
              </w:rPr>
            </w:pPr>
            <w:r>
              <w:rPr>
                <w:rFonts w:ascii="Arial" w:cs="Arial" w:eastAsia="Arial" w:hAnsi="Arial"/>
                <w:sz w:val="8"/>
                <w:szCs w:val="8"/>
                <w:color w:val="auto"/>
              </w:rPr>
              <w:t>Discretion, Malus and Clawback</w:t>
            </w:r>
          </w:p>
        </w:tc>
        <w:tc>
          <w:tcPr>
            <w:tcW w:w="1360" w:type="dxa"/>
            <w:vAlign w:val="bottom"/>
            <w:tcBorders>
              <w:bottom w:val="single" w:sz="8" w:color="595959"/>
            </w:tcBorders>
            <w:shd w:val="clear" w:color="auto" w:fill="DDDDDD"/>
          </w:tcPr>
          <w:p>
            <w:pPr>
              <w:spacing w:after="0"/>
              <w:rPr>
                <w:sz w:val="10"/>
                <w:szCs w:val="10"/>
                <w:color w:val="auto"/>
              </w:rPr>
            </w:pPr>
          </w:p>
        </w:tc>
        <w:tc>
          <w:tcPr>
            <w:tcW w:w="2840" w:type="dxa"/>
            <w:vAlign w:val="bottom"/>
            <w:tcBorders>
              <w:bottom w:val="single" w:sz="8" w:color="595959"/>
            </w:tcBorders>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20"/>
                <w:szCs w:val="20"/>
                <w:color w:val="auto"/>
              </w:rPr>
            </w:pPr>
            <w:r>
              <w:rPr>
                <w:rFonts w:ascii="Arial" w:cs="Arial" w:eastAsia="Arial" w:hAnsi="Arial"/>
                <w:sz w:val="8"/>
                <w:szCs w:val="8"/>
                <w:color w:val="auto"/>
              </w:rPr>
              <w:t>Enables the management of risks</w:t>
            </w:r>
          </w:p>
        </w:tc>
        <w:tc>
          <w:tcPr>
            <w:tcW w:w="1360" w:type="dxa"/>
            <w:vAlign w:val="bottom"/>
          </w:tcPr>
          <w:p>
            <w:pPr>
              <w:ind w:left="40"/>
              <w:spacing w:after="0"/>
              <w:rPr>
                <w:sz w:val="20"/>
                <w:szCs w:val="20"/>
                <w:color w:val="auto"/>
              </w:rPr>
            </w:pPr>
            <w:r>
              <w:rPr>
                <w:rFonts w:ascii="Arial" w:cs="Arial" w:eastAsia="Arial" w:hAnsi="Arial"/>
                <w:sz w:val="8"/>
                <w:szCs w:val="8"/>
                <w:color w:val="auto"/>
              </w:rPr>
              <w:t>Adjustment events exist for the</w:t>
            </w:r>
          </w:p>
        </w:tc>
        <w:tc>
          <w:tcPr>
            <w:tcW w:w="2840" w:type="dxa"/>
            <w:vAlign w:val="bottom"/>
          </w:tcPr>
          <w:p>
            <w:pPr>
              <w:ind w:left="60"/>
              <w:spacing w:after="0"/>
              <w:rPr>
                <w:sz w:val="20"/>
                <w:szCs w:val="20"/>
                <w:color w:val="auto"/>
              </w:rPr>
            </w:pPr>
            <w:r>
              <w:rPr>
                <w:rFonts w:ascii="Arial" w:cs="Arial" w:eastAsia="Arial" w:hAnsi="Arial"/>
                <w:sz w:val="8"/>
                <w:szCs w:val="8"/>
                <w:color w:val="auto"/>
                <w:w w:val="95"/>
              </w:rPr>
              <w:t>The REMCO retains the discretion to adjust mathematical outcomes of the annual</w:t>
            </w:r>
          </w:p>
        </w:tc>
        <w:tc>
          <w:tcPr>
            <w:tcW w:w="0" w:type="dxa"/>
            <w:vAlign w:val="bottom"/>
          </w:tcPr>
          <w:p>
            <w:pPr>
              <w:spacing w:after="0"/>
              <w:rPr>
                <w:sz w:val="1"/>
                <w:szCs w:val="1"/>
                <w:color w:val="auto"/>
              </w:rPr>
            </w:pPr>
          </w:p>
        </w:tc>
      </w:tr>
      <w:tr>
        <w:trPr>
          <w:trHeight w:val="90"/>
        </w:trPr>
        <w:tc>
          <w:tcPr>
            <w:tcW w:w="1240" w:type="dxa"/>
            <w:vAlign w:val="bottom"/>
          </w:tcPr>
          <w:p>
            <w:pPr>
              <w:spacing w:after="0" w:line="90" w:lineRule="exact"/>
              <w:rPr>
                <w:sz w:val="20"/>
                <w:szCs w:val="20"/>
                <w:color w:val="auto"/>
              </w:rPr>
            </w:pPr>
            <w:r>
              <w:rPr>
                <w:rFonts w:ascii="Arial" w:cs="Arial" w:eastAsia="Arial" w:hAnsi="Arial"/>
                <w:sz w:val="8"/>
                <w:szCs w:val="8"/>
                <w:color w:val="auto"/>
              </w:rPr>
              <w:t>from behavioural-based incentive</w:t>
            </w:r>
          </w:p>
        </w:tc>
        <w:tc>
          <w:tcPr>
            <w:tcW w:w="1360" w:type="dxa"/>
            <w:vAlign w:val="bottom"/>
          </w:tcPr>
          <w:p>
            <w:pPr>
              <w:ind w:left="40"/>
              <w:spacing w:after="0" w:line="90" w:lineRule="exact"/>
              <w:rPr>
                <w:sz w:val="20"/>
                <w:szCs w:val="20"/>
                <w:color w:val="auto"/>
              </w:rPr>
            </w:pPr>
            <w:r>
              <w:rPr>
                <w:rFonts w:ascii="Arial" w:cs="Arial" w:eastAsia="Arial" w:hAnsi="Arial"/>
                <w:sz w:val="8"/>
                <w:szCs w:val="8"/>
                <w:color w:val="auto"/>
              </w:rPr>
              <w:t>purposes of applying malus and</w:t>
            </w:r>
          </w:p>
        </w:tc>
        <w:tc>
          <w:tcPr>
            <w:tcW w:w="2840" w:type="dxa"/>
            <w:vAlign w:val="bottom"/>
          </w:tcPr>
          <w:p>
            <w:pPr>
              <w:ind w:left="60"/>
              <w:spacing w:after="0" w:line="90" w:lineRule="exact"/>
              <w:rPr>
                <w:sz w:val="20"/>
                <w:szCs w:val="20"/>
                <w:color w:val="auto"/>
              </w:rPr>
            </w:pPr>
            <w:r>
              <w:rPr>
                <w:rFonts w:ascii="Arial" w:cs="Arial" w:eastAsia="Arial" w:hAnsi="Arial"/>
                <w:sz w:val="8"/>
                <w:szCs w:val="8"/>
                <w:color w:val="auto"/>
              </w:rPr>
              <w:t>bonus scorecard and / or LTIP vesting for any Executive Director if and to the</w:t>
            </w:r>
          </w:p>
        </w:tc>
        <w:tc>
          <w:tcPr>
            <w:tcW w:w="0" w:type="dxa"/>
            <w:vAlign w:val="bottom"/>
          </w:tcPr>
          <w:p>
            <w:pPr>
              <w:spacing w:after="0"/>
              <w:rPr>
                <w:sz w:val="1"/>
                <w:szCs w:val="1"/>
                <w:color w:val="auto"/>
              </w:rPr>
            </w:pPr>
          </w:p>
        </w:tc>
      </w:tr>
      <w:tr>
        <w:trPr>
          <w:trHeight w:val="90"/>
        </w:trPr>
        <w:tc>
          <w:tcPr>
            <w:tcW w:w="2600" w:type="dxa"/>
            <w:vAlign w:val="bottom"/>
            <w:gridSpan w:val="2"/>
          </w:tcPr>
          <w:p>
            <w:pPr>
              <w:spacing w:after="0" w:line="90" w:lineRule="exact"/>
              <w:rPr>
                <w:sz w:val="20"/>
                <w:szCs w:val="20"/>
                <w:color w:val="auto"/>
              </w:rPr>
            </w:pPr>
            <w:r>
              <w:rPr>
                <w:rFonts w:ascii="Arial" w:cs="Arial" w:eastAsia="Arial" w:hAnsi="Arial"/>
                <w:sz w:val="8"/>
                <w:szCs w:val="8"/>
                <w:color w:val="auto"/>
              </w:rPr>
              <w:t>schemes and the REMCO to manage clawback.</w:t>
            </w:r>
          </w:p>
        </w:tc>
        <w:tc>
          <w:tcPr>
            <w:tcW w:w="2840" w:type="dxa"/>
            <w:vAlign w:val="bottom"/>
          </w:tcPr>
          <w:p>
            <w:pPr>
              <w:ind w:left="60"/>
              <w:spacing w:after="0" w:line="90" w:lineRule="exact"/>
              <w:rPr>
                <w:sz w:val="20"/>
                <w:szCs w:val="20"/>
                <w:color w:val="auto"/>
              </w:rPr>
            </w:pPr>
            <w:r>
              <w:rPr>
                <w:rFonts w:ascii="Arial" w:cs="Arial" w:eastAsia="Arial" w:hAnsi="Arial"/>
                <w:sz w:val="8"/>
                <w:szCs w:val="8"/>
                <w:color w:val="auto"/>
              </w:rPr>
              <w:t>extent that it considers this appropriate at their sole discretion.</w:t>
            </w:r>
          </w:p>
        </w:tc>
        <w:tc>
          <w:tcPr>
            <w:tcW w:w="0" w:type="dxa"/>
            <w:vAlign w:val="bottom"/>
          </w:tcPr>
          <w:p>
            <w:pPr>
              <w:spacing w:after="0"/>
              <w:rPr>
                <w:sz w:val="1"/>
                <w:szCs w:val="1"/>
                <w:color w:val="auto"/>
              </w:rPr>
            </w:pPr>
          </w:p>
        </w:tc>
      </w:tr>
      <w:tr>
        <w:trPr>
          <w:trHeight w:val="105"/>
        </w:trPr>
        <w:tc>
          <w:tcPr>
            <w:tcW w:w="1240" w:type="dxa"/>
            <w:vAlign w:val="bottom"/>
          </w:tcPr>
          <w:p>
            <w:pPr>
              <w:spacing w:after="0"/>
              <w:rPr>
                <w:sz w:val="20"/>
                <w:szCs w:val="20"/>
                <w:color w:val="auto"/>
              </w:rPr>
            </w:pPr>
            <w:r>
              <w:rPr>
                <w:rFonts w:ascii="Arial" w:cs="Arial" w:eastAsia="Arial" w:hAnsi="Arial"/>
                <w:sz w:val="8"/>
                <w:szCs w:val="8"/>
                <w:color w:val="auto"/>
              </w:rPr>
              <w:t>the range of pay outcomes.</w:t>
            </w:r>
          </w:p>
        </w:tc>
        <w:tc>
          <w:tcPr>
            <w:tcW w:w="4200" w:type="dxa"/>
            <w:vAlign w:val="bottom"/>
            <w:gridSpan w:val="2"/>
            <w:vMerge w:val="restart"/>
          </w:tcPr>
          <w:p>
            <w:pPr>
              <w:ind w:left="40"/>
              <w:spacing w:after="0"/>
              <w:rPr>
                <w:sz w:val="20"/>
                <w:szCs w:val="20"/>
                <w:color w:val="auto"/>
              </w:rPr>
            </w:pPr>
            <w:r>
              <w:rPr>
                <w:rFonts w:ascii="Arial" w:cs="Arial" w:eastAsia="Arial" w:hAnsi="Arial"/>
                <w:sz w:val="8"/>
                <w:szCs w:val="8"/>
                <w:color w:val="auto"/>
              </w:rPr>
              <w:t>The REMCO retains discretion to adjust The use of any discretion will be disclosed and explained.</w:t>
            </w:r>
          </w:p>
        </w:tc>
        <w:tc>
          <w:tcPr>
            <w:tcW w:w="0" w:type="dxa"/>
            <w:vAlign w:val="bottom"/>
          </w:tcPr>
          <w:p>
            <w:pPr>
              <w:spacing w:after="0"/>
              <w:rPr>
                <w:sz w:val="1"/>
                <w:szCs w:val="1"/>
                <w:color w:val="auto"/>
              </w:rPr>
            </w:pPr>
          </w:p>
        </w:tc>
      </w:tr>
      <w:tr>
        <w:trPr>
          <w:trHeight w:val="75"/>
        </w:trPr>
        <w:tc>
          <w:tcPr>
            <w:tcW w:w="1240" w:type="dxa"/>
            <w:vAlign w:val="bottom"/>
          </w:tcPr>
          <w:p>
            <w:pPr>
              <w:spacing w:after="0"/>
              <w:rPr>
                <w:sz w:val="6"/>
                <w:szCs w:val="6"/>
                <w:color w:val="auto"/>
              </w:rPr>
            </w:pPr>
          </w:p>
        </w:tc>
        <w:tc>
          <w:tcPr>
            <w:tcW w:w="42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240" w:type="dxa"/>
            <w:vAlign w:val="bottom"/>
          </w:tcPr>
          <w:p>
            <w:pPr>
              <w:spacing w:after="0"/>
              <w:rPr>
                <w:sz w:val="9"/>
                <w:szCs w:val="9"/>
                <w:color w:val="auto"/>
              </w:rPr>
            </w:pPr>
          </w:p>
        </w:tc>
        <w:tc>
          <w:tcPr>
            <w:tcW w:w="1360" w:type="dxa"/>
            <w:vAlign w:val="bottom"/>
          </w:tcPr>
          <w:p>
            <w:pPr>
              <w:ind w:left="40"/>
              <w:spacing w:after="0"/>
              <w:rPr>
                <w:sz w:val="20"/>
                <w:szCs w:val="20"/>
                <w:color w:val="auto"/>
              </w:rPr>
            </w:pPr>
            <w:r>
              <w:rPr>
                <w:rFonts w:ascii="Arial" w:cs="Arial" w:eastAsia="Arial" w:hAnsi="Arial"/>
                <w:sz w:val="8"/>
                <w:szCs w:val="8"/>
                <w:color w:val="auto"/>
              </w:rPr>
              <w:t>pay outcomes.</w:t>
            </w:r>
          </w:p>
        </w:tc>
        <w:tc>
          <w:tcPr>
            <w:tcW w:w="2840" w:type="dxa"/>
            <w:vAlign w:val="bottom"/>
            <w:vMerge w:val="restart"/>
          </w:tcPr>
          <w:p>
            <w:pPr>
              <w:ind w:left="60"/>
              <w:spacing w:after="0"/>
              <w:rPr>
                <w:sz w:val="20"/>
                <w:szCs w:val="20"/>
                <w:color w:val="auto"/>
              </w:rPr>
            </w:pPr>
            <w:r>
              <w:rPr>
                <w:rFonts w:ascii="Arial" w:cs="Arial" w:eastAsia="Arial" w:hAnsi="Arial"/>
                <w:sz w:val="8"/>
                <w:szCs w:val="8"/>
                <w:color w:val="auto"/>
                <w:w w:val="98"/>
              </w:rPr>
              <w:t>The REMCO may adjust pay outcomes for the purposes of managing quantum.</w:t>
            </w:r>
          </w:p>
        </w:tc>
        <w:tc>
          <w:tcPr>
            <w:tcW w:w="0" w:type="dxa"/>
            <w:vAlign w:val="bottom"/>
          </w:tcPr>
          <w:p>
            <w:pPr>
              <w:spacing w:after="0"/>
              <w:rPr>
                <w:sz w:val="1"/>
                <w:szCs w:val="1"/>
                <w:color w:val="auto"/>
              </w:rPr>
            </w:pPr>
          </w:p>
        </w:tc>
      </w:tr>
      <w:tr>
        <w:trPr>
          <w:trHeight w:val="75"/>
        </w:trPr>
        <w:tc>
          <w:tcPr>
            <w:tcW w:w="1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40" w:type="dxa"/>
            <w:vAlign w:val="bottom"/>
          </w:tcPr>
          <w:p>
            <w:pPr>
              <w:ind w:left="60"/>
              <w:spacing w:after="0" w:line="90" w:lineRule="exact"/>
              <w:rPr>
                <w:sz w:val="20"/>
                <w:szCs w:val="20"/>
                <w:color w:val="auto"/>
              </w:rPr>
            </w:pPr>
            <w:r>
              <w:rPr>
                <w:rFonts w:ascii="Arial" w:cs="Arial" w:eastAsia="Arial" w:hAnsi="Arial"/>
                <w:sz w:val="8"/>
                <w:szCs w:val="8"/>
                <w:color w:val="auto"/>
              </w:rPr>
              <w:t>This would be done at the REMCO’s discretion after considering single figure</w:t>
            </w: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40" w:type="dxa"/>
            <w:vAlign w:val="bottom"/>
          </w:tcPr>
          <w:p>
            <w:pPr>
              <w:ind w:left="60"/>
              <w:spacing w:after="0" w:line="90" w:lineRule="exact"/>
              <w:rPr>
                <w:sz w:val="20"/>
                <w:szCs w:val="20"/>
                <w:color w:val="auto"/>
              </w:rPr>
            </w:pPr>
            <w:r>
              <w:rPr>
                <w:rFonts w:ascii="Arial" w:cs="Arial" w:eastAsia="Arial" w:hAnsi="Arial"/>
                <w:sz w:val="8"/>
                <w:szCs w:val="8"/>
                <w:color w:val="auto"/>
                <w:w w:val="99"/>
              </w:rPr>
              <w:t>outcome for the year, taking into account Shell’s performance, the operation of</w:t>
            </w:r>
          </w:p>
        </w:tc>
        <w:tc>
          <w:tcPr>
            <w:tcW w:w="0" w:type="dxa"/>
            <w:vAlign w:val="bottom"/>
          </w:tcPr>
          <w:p>
            <w:pPr>
              <w:spacing w:after="0"/>
              <w:rPr>
                <w:sz w:val="1"/>
                <w:szCs w:val="1"/>
                <w:color w:val="auto"/>
              </w:rPr>
            </w:pPr>
          </w:p>
        </w:tc>
      </w:tr>
      <w:tr>
        <w:trPr>
          <w:trHeight w:val="105"/>
        </w:trPr>
        <w:tc>
          <w:tcPr>
            <w:tcW w:w="1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840" w:type="dxa"/>
            <w:vAlign w:val="bottom"/>
          </w:tcPr>
          <w:p>
            <w:pPr>
              <w:ind w:left="60"/>
              <w:spacing w:after="0"/>
              <w:rPr>
                <w:sz w:val="20"/>
                <w:szCs w:val="20"/>
                <w:color w:val="auto"/>
              </w:rPr>
            </w:pPr>
            <w:r>
              <w:rPr>
                <w:rFonts w:ascii="Arial" w:cs="Arial" w:eastAsia="Arial" w:hAnsi="Arial"/>
                <w:sz w:val="8"/>
                <w:szCs w:val="8"/>
                <w:color w:val="auto"/>
              </w:rPr>
              <w:t>the remuneration structures and any other relevant considerations.</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660"/>
        <w:spacing w:after="0"/>
        <w:rPr>
          <w:sz w:val="20"/>
          <w:szCs w:val="20"/>
          <w:color w:val="auto"/>
        </w:rPr>
      </w:pPr>
      <w:r>
        <w:rPr>
          <w:rFonts w:ascii="Arial" w:cs="Arial" w:eastAsia="Arial" w:hAnsi="Arial"/>
          <w:sz w:val="8"/>
          <w:szCs w:val="8"/>
          <w:color w:val="auto"/>
        </w:rPr>
        <w:t>Please refer to page 142 for a summary of the defined adjustment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57575" cy="857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57575" cy="8572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5757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7"/>
          <w:szCs w:val="7"/>
          <w:color w:val="auto"/>
        </w:rPr>
        <w:t>Provides a competitive retirement Determined by the rules of the base provision under the individual’s base country pension plan of which the</w:t>
      </w:r>
    </w:p>
    <w:p>
      <w:pPr>
        <w:spacing w:after="0"/>
        <w:tabs>
          <w:tab w:leader="none" w:pos="1260" w:val="left"/>
        </w:tabs>
        <w:rPr>
          <w:sz w:val="20"/>
          <w:szCs w:val="20"/>
          <w:color w:val="auto"/>
        </w:rPr>
      </w:pPr>
      <w:r>
        <w:rPr>
          <w:rFonts w:ascii="Arial" w:cs="Arial" w:eastAsia="Arial" w:hAnsi="Arial"/>
          <w:sz w:val="8"/>
          <w:szCs w:val="8"/>
          <w:color w:val="auto"/>
        </w:rPr>
        <w:t>country benefits policy, to attract</w:t>
      </w:r>
      <w:r>
        <w:rPr>
          <w:sz w:val="20"/>
          <w:szCs w:val="20"/>
          <w:color w:val="auto"/>
        </w:rPr>
        <w:tab/>
      </w:r>
      <w:r>
        <w:rPr>
          <w:rFonts w:ascii="Arial" w:cs="Arial" w:eastAsia="Arial" w:hAnsi="Arial"/>
          <w:sz w:val="7"/>
          <w:szCs w:val="7"/>
          <w:color w:val="auto"/>
        </w:rPr>
        <w:t>Executive Director is a member.</w:t>
      </w:r>
    </w:p>
    <w:p>
      <w:pPr>
        <w:spacing w:after="0"/>
        <w:rPr>
          <w:sz w:val="20"/>
          <w:szCs w:val="20"/>
          <w:color w:val="auto"/>
        </w:rPr>
      </w:pPr>
      <w:r>
        <w:rPr>
          <w:rFonts w:ascii="Arial" w:cs="Arial" w:eastAsia="Arial" w:hAnsi="Arial"/>
          <w:sz w:val="8"/>
          <w:szCs w:val="8"/>
          <w:color w:val="auto"/>
        </w:rPr>
        <w:t>and retain Executive Directors.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1"/>
        <w:spacing w:after="0"/>
        <w:rPr>
          <w:sz w:val="20"/>
          <w:szCs w:val="20"/>
          <w:color w:val="auto"/>
        </w:rPr>
      </w:pPr>
      <w:r>
        <w:rPr>
          <w:rFonts w:ascii="Arial" w:cs="Arial" w:eastAsia="Arial" w:hAnsi="Arial"/>
          <w:sz w:val="7"/>
          <w:szCs w:val="7"/>
          <w:color w:val="auto"/>
        </w:rPr>
        <w:t>Executive Directors’ retirement benefits are maintained in line with those of the</w:t>
      </w:r>
    </w:p>
    <w:p>
      <w:pPr>
        <w:spacing w:after="0" w:line="16" w:lineRule="exact"/>
        <w:rPr>
          <w:sz w:val="20"/>
          <w:szCs w:val="20"/>
          <w:color w:val="auto"/>
        </w:rPr>
      </w:pPr>
    </w:p>
    <w:p>
      <w:pPr>
        <w:ind w:left="1"/>
        <w:spacing w:after="0"/>
        <w:rPr>
          <w:sz w:val="20"/>
          <w:szCs w:val="20"/>
          <w:color w:val="auto"/>
        </w:rPr>
      </w:pPr>
      <w:r>
        <w:rPr>
          <w:rFonts w:ascii="Arial" w:cs="Arial" w:eastAsia="Arial" w:hAnsi="Arial"/>
          <w:sz w:val="7"/>
          <w:szCs w:val="7"/>
          <w:color w:val="auto"/>
        </w:rPr>
        <w:t>wider workforce in their base country. Only base salary is pensionable, unless</w:t>
      </w:r>
    </w:p>
    <w:p>
      <w:pPr>
        <w:spacing w:after="0" w:line="10" w:lineRule="exact"/>
        <w:rPr>
          <w:sz w:val="20"/>
          <w:szCs w:val="20"/>
          <w:color w:val="auto"/>
        </w:rPr>
      </w:pPr>
    </w:p>
    <w:p>
      <w:pPr>
        <w:ind w:left="1"/>
        <w:spacing w:after="0"/>
        <w:rPr>
          <w:sz w:val="20"/>
          <w:szCs w:val="20"/>
          <w:color w:val="auto"/>
        </w:rPr>
      </w:pPr>
      <w:r>
        <w:rPr>
          <w:rFonts w:ascii="Arial" w:cs="Arial" w:eastAsia="Arial" w:hAnsi="Arial"/>
          <w:sz w:val="7"/>
          <w:szCs w:val="7"/>
          <w:color w:val="auto"/>
        </w:rPr>
        <w:t>country plan regulations specify otherwise and cannot legally be disapplied. The</w:t>
      </w:r>
    </w:p>
    <w:p>
      <w:pPr>
        <w:spacing w:after="0" w:line="10" w:lineRule="exact"/>
        <w:rPr>
          <w:sz w:val="20"/>
          <w:szCs w:val="20"/>
          <w:color w:val="auto"/>
        </w:rPr>
      </w:pPr>
    </w:p>
    <w:p>
      <w:pPr>
        <w:ind w:left="1"/>
        <w:spacing w:after="0"/>
        <w:rPr>
          <w:sz w:val="20"/>
          <w:szCs w:val="20"/>
          <w:color w:val="auto"/>
        </w:rPr>
      </w:pPr>
      <w:r>
        <w:rPr>
          <w:rFonts w:ascii="Arial" w:cs="Arial" w:eastAsia="Arial" w:hAnsi="Arial"/>
          <w:sz w:val="7"/>
          <w:szCs w:val="7"/>
          <w:color w:val="auto"/>
        </w:rPr>
        <w:t>rules of the relevant plans detail the pension benefits which members can receive.</w:t>
      </w:r>
    </w:p>
    <w:p>
      <w:pPr>
        <w:spacing w:after="0" w:line="8" w:lineRule="exact"/>
        <w:rPr>
          <w:sz w:val="20"/>
          <w:szCs w:val="20"/>
          <w:color w:val="auto"/>
        </w:rPr>
      </w:pPr>
    </w:p>
    <w:p>
      <w:pPr>
        <w:ind w:left="1"/>
        <w:spacing w:after="0"/>
        <w:rPr>
          <w:sz w:val="20"/>
          <w:szCs w:val="20"/>
          <w:color w:val="auto"/>
        </w:rPr>
      </w:pPr>
      <w:r>
        <w:rPr>
          <w:rFonts w:ascii="Arial" w:cs="Arial" w:eastAsia="Arial" w:hAnsi="Arial"/>
          <w:sz w:val="8"/>
          <w:szCs w:val="8"/>
          <w:color w:val="auto"/>
        </w:rPr>
        <w:t>The REMCO retains the right to amend the form of any Executive Director’s</w:t>
      </w:r>
    </w:p>
    <w:p>
      <w:pPr>
        <w:ind w:left="1"/>
        <w:spacing w:after="0"/>
        <w:rPr>
          <w:sz w:val="20"/>
          <w:szCs w:val="20"/>
          <w:color w:val="auto"/>
        </w:rPr>
      </w:pPr>
      <w:r>
        <w:rPr>
          <w:rFonts w:ascii="Arial" w:cs="Arial" w:eastAsia="Arial" w:hAnsi="Arial"/>
          <w:sz w:val="7"/>
          <w:szCs w:val="7"/>
          <w:color w:val="auto"/>
        </w:rPr>
        <w:t>pension arrangements where appropriate, for example in response to changes in</w:t>
      </w:r>
    </w:p>
    <w:p>
      <w:pPr>
        <w:spacing w:after="0" w:line="8" w:lineRule="exact"/>
        <w:rPr>
          <w:sz w:val="20"/>
          <w:szCs w:val="20"/>
          <w:color w:val="auto"/>
        </w:rPr>
      </w:pPr>
    </w:p>
    <w:p>
      <w:pPr>
        <w:ind w:left="1"/>
        <w:spacing w:after="0"/>
        <w:rPr>
          <w:sz w:val="20"/>
          <w:szCs w:val="20"/>
          <w:color w:val="auto"/>
        </w:rPr>
      </w:pPr>
      <w:r>
        <w:rPr>
          <w:rFonts w:ascii="Arial" w:cs="Arial" w:eastAsia="Arial" w:hAnsi="Arial"/>
          <w:sz w:val="8"/>
          <w:szCs w:val="8"/>
          <w:color w:val="auto"/>
        </w:rPr>
        <w:t>legislation to ensure the original objective of this element of remuneration is</w:t>
      </w:r>
    </w:p>
    <w:p>
      <w:pPr>
        <w:ind w:left="1"/>
        <w:spacing w:after="0"/>
        <w:rPr>
          <w:sz w:val="20"/>
          <w:szCs w:val="20"/>
          <w:color w:val="auto"/>
        </w:rPr>
      </w:pPr>
      <w:r>
        <w:rPr>
          <w:rFonts w:ascii="Arial" w:cs="Arial" w:eastAsia="Arial" w:hAnsi="Arial"/>
          <w:sz w:val="8"/>
          <w:szCs w:val="8"/>
          <w:color w:val="auto"/>
        </w:rPr>
        <w:t>preserved.</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7"/>
          <w:szCs w:val="7"/>
          <w:color w:val="auto"/>
        </w:rPr>
        <w:t>New Executive Directors, whether internal appointees or external hires, will be</w:t>
      </w:r>
    </w:p>
    <w:p>
      <w:pPr>
        <w:spacing w:after="0" w:line="16" w:lineRule="exact"/>
        <w:rPr>
          <w:sz w:val="20"/>
          <w:szCs w:val="20"/>
          <w:color w:val="auto"/>
        </w:rPr>
      </w:pPr>
    </w:p>
    <w:p>
      <w:pPr>
        <w:ind w:left="1"/>
        <w:spacing w:after="0"/>
        <w:rPr>
          <w:sz w:val="20"/>
          <w:szCs w:val="20"/>
          <w:color w:val="auto"/>
        </w:rPr>
      </w:pPr>
      <w:r>
        <w:rPr>
          <w:rFonts w:ascii="Arial" w:cs="Arial" w:eastAsia="Arial" w:hAnsi="Arial"/>
          <w:sz w:val="7"/>
          <w:szCs w:val="7"/>
          <w:color w:val="auto"/>
        </w:rPr>
        <w:t>provided with a retirement benefit in line with the wider workforce in their base</w:t>
      </w:r>
    </w:p>
    <w:p>
      <w:pPr>
        <w:spacing w:after="0" w:line="8" w:lineRule="exact"/>
        <w:rPr>
          <w:sz w:val="20"/>
          <w:szCs w:val="20"/>
          <w:color w:val="auto"/>
        </w:rPr>
      </w:pPr>
    </w:p>
    <w:p>
      <w:pPr>
        <w:ind w:left="1"/>
        <w:spacing w:after="0"/>
        <w:rPr>
          <w:sz w:val="20"/>
          <w:szCs w:val="20"/>
          <w:color w:val="auto"/>
        </w:rPr>
      </w:pPr>
      <w:r>
        <w:rPr>
          <w:rFonts w:ascii="Arial" w:cs="Arial" w:eastAsia="Arial" w:hAnsi="Arial"/>
          <w:sz w:val="8"/>
          <w:szCs w:val="8"/>
          <w:color w:val="auto"/>
        </w:rPr>
        <w:t>country. For individuals who are members of a defined benefit pension</w:t>
      </w:r>
    </w:p>
    <w:p>
      <w:pPr>
        <w:ind w:left="1"/>
        <w:spacing w:after="0" w:line="234" w:lineRule="auto"/>
        <w:rPr>
          <w:sz w:val="20"/>
          <w:szCs w:val="20"/>
          <w:color w:val="auto"/>
        </w:rPr>
      </w:pPr>
      <w:r>
        <w:rPr>
          <w:rFonts w:ascii="Arial" w:cs="Arial" w:eastAsia="Arial" w:hAnsi="Arial"/>
          <w:sz w:val="8"/>
          <w:szCs w:val="8"/>
          <w:color w:val="auto"/>
        </w:rPr>
        <w:t>arrangement:</w:t>
      </w:r>
    </w:p>
    <w:p>
      <w:pPr>
        <w:ind w:left="101" w:right="6020" w:hanging="101"/>
        <w:spacing w:after="0" w:line="234" w:lineRule="auto"/>
        <w:tabs>
          <w:tab w:leader="none" w:pos="100" w:val="left"/>
        </w:tabs>
        <w:numPr>
          <w:ilvl w:val="0"/>
          <w:numId w:val="151"/>
        </w:numPr>
        <w:rPr>
          <w:rFonts w:ascii="Arial" w:cs="Arial" w:eastAsia="Arial" w:hAnsi="Arial"/>
          <w:sz w:val="8"/>
          <w:szCs w:val="8"/>
          <w:color w:val="auto"/>
        </w:rPr>
      </w:pPr>
      <w:r>
        <w:rPr>
          <w:rFonts w:ascii="Arial" w:cs="Arial" w:eastAsia="Arial" w:hAnsi="Arial"/>
          <w:sz w:val="8"/>
          <w:szCs w:val="8"/>
          <w:color w:val="auto"/>
        </w:rPr>
        <w:t>The pensionable salary will be capped at the salary applicable immediately prior to appointment, with the exception of existing US base country participants who will have the bonus removed from the definition of pensionable base salary instead; and</w:t>
      </w:r>
    </w:p>
    <w:p>
      <w:pPr>
        <w:spacing w:after="0" w:line="1" w:lineRule="exact"/>
        <w:rPr>
          <w:rFonts w:ascii="Arial" w:cs="Arial" w:eastAsia="Arial" w:hAnsi="Arial"/>
          <w:sz w:val="8"/>
          <w:szCs w:val="8"/>
          <w:color w:val="auto"/>
        </w:rPr>
      </w:pPr>
    </w:p>
    <w:p>
      <w:pPr>
        <w:jc w:val="both"/>
        <w:ind w:left="101" w:right="5940" w:hanging="101"/>
        <w:spacing w:after="0"/>
        <w:tabs>
          <w:tab w:leader="none" w:pos="100" w:val="left"/>
        </w:tabs>
        <w:numPr>
          <w:ilvl w:val="0"/>
          <w:numId w:val="151"/>
        </w:numPr>
        <w:rPr>
          <w:rFonts w:ascii="Arial" w:cs="Arial" w:eastAsia="Arial" w:hAnsi="Arial"/>
          <w:sz w:val="8"/>
          <w:szCs w:val="8"/>
          <w:color w:val="auto"/>
        </w:rPr>
      </w:pPr>
      <w:r>
        <w:rPr>
          <w:rFonts w:ascii="Arial" w:cs="Arial" w:eastAsia="Arial" w:hAnsi="Arial"/>
          <w:sz w:val="8"/>
          <w:szCs w:val="8"/>
          <w:color w:val="auto"/>
        </w:rPr>
        <w:t>The Executive Director will join a defined contribution scheme in their base country for contributions made in respect of salary above the defined benefit pensionable salary, or in exceptional circumstances, receive a cash allowance equivalent to the contribution above the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8255</wp:posOffset>
            </wp:positionV>
            <wp:extent cx="3457575" cy="857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57575" cy="8572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2460" w:space="199"/>
            <w:col w:w="8641"/>
          </w:cols>
          <w:pgMar w:left="300" w:top="640" w:right="299" w:bottom="1440" w:gutter="0" w:footer="0" w:header="0"/>
          <w:type w:val="continuous"/>
        </w:sectPr>
      </w:pPr>
    </w:p>
    <w:p>
      <w:pPr>
        <w:spacing w:after="0"/>
        <w:rPr>
          <w:sz w:val="20"/>
          <w:szCs w:val="20"/>
          <w:color w:val="auto"/>
        </w:rPr>
      </w:pPr>
      <w:r>
        <w:rPr>
          <w:rFonts w:ascii="Arial" w:cs="Arial" w:eastAsia="Arial" w:hAnsi="Arial"/>
          <w:sz w:val="7"/>
          <w:szCs w:val="7"/>
          <w:color w:val="auto"/>
        </w:rPr>
        <w:t>Shareholding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345757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p>
      <w:pPr>
        <w:spacing w:after="0" w:line="55" w:lineRule="exact"/>
        <w:rPr>
          <w:sz w:val="20"/>
          <w:szCs w:val="20"/>
          <w:color w:val="auto"/>
        </w:rPr>
      </w:pPr>
    </w:p>
    <w:p>
      <w:pPr>
        <w:spacing w:after="0" w:line="289" w:lineRule="auto"/>
        <w:rPr>
          <w:sz w:val="20"/>
          <w:szCs w:val="20"/>
          <w:color w:val="auto"/>
        </w:rPr>
      </w:pPr>
      <w:r>
        <w:rPr>
          <w:rFonts w:ascii="Arial" w:cs="Arial" w:eastAsia="Arial" w:hAnsi="Arial"/>
          <w:sz w:val="7"/>
          <w:szCs w:val="7"/>
          <w:color w:val="auto"/>
        </w:rPr>
        <w:t>Aligns interests of Executive Directors with those of shareholders by creating a connection between individual wealth and Shell’s long-term performance.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7"/>
        <w:spacing w:after="0"/>
        <w:rPr>
          <w:sz w:val="20"/>
          <w:szCs w:val="20"/>
          <w:color w:val="auto"/>
        </w:rPr>
      </w:pPr>
      <w:r>
        <w:rPr>
          <w:rFonts w:ascii="Arial" w:cs="Arial" w:eastAsia="Arial" w:hAnsi="Arial"/>
          <w:sz w:val="7"/>
          <w:szCs w:val="7"/>
          <w:color w:val="auto"/>
        </w:rPr>
        <w:t>Shareholding (% of base salary):</w:t>
      </w:r>
    </w:p>
    <w:p>
      <w:pPr>
        <w:spacing w:after="0" w:line="14" w:lineRule="exact"/>
        <w:rPr>
          <w:sz w:val="20"/>
          <w:szCs w:val="20"/>
          <w:color w:val="auto"/>
        </w:rPr>
      </w:pPr>
    </w:p>
    <w:p>
      <w:pPr>
        <w:ind w:left="107" w:hanging="107"/>
        <w:spacing w:after="0"/>
        <w:tabs>
          <w:tab w:leader="none" w:pos="107" w:val="left"/>
        </w:tabs>
        <w:numPr>
          <w:ilvl w:val="0"/>
          <w:numId w:val="152"/>
        </w:numPr>
        <w:rPr>
          <w:rFonts w:ascii="Arial" w:cs="Arial" w:eastAsia="Arial" w:hAnsi="Arial"/>
          <w:sz w:val="8"/>
          <w:szCs w:val="8"/>
          <w:color w:val="auto"/>
        </w:rPr>
      </w:pPr>
      <w:r>
        <w:rPr>
          <w:rFonts w:ascii="Arial" w:cs="Arial" w:eastAsia="Arial" w:hAnsi="Arial"/>
          <w:sz w:val="8"/>
          <w:szCs w:val="8"/>
          <w:color w:val="auto"/>
        </w:rPr>
        <w:t>CEO: 700%</w:t>
      </w:r>
    </w:p>
    <w:p>
      <w:pPr>
        <w:ind w:left="107" w:hanging="107"/>
        <w:spacing w:after="0"/>
        <w:tabs>
          <w:tab w:leader="none" w:pos="107" w:val="left"/>
        </w:tabs>
        <w:numPr>
          <w:ilvl w:val="0"/>
          <w:numId w:val="152"/>
        </w:numPr>
        <w:rPr>
          <w:rFonts w:ascii="Arial" w:cs="Arial" w:eastAsia="Arial" w:hAnsi="Arial"/>
          <w:sz w:val="8"/>
          <w:szCs w:val="8"/>
          <w:color w:val="auto"/>
        </w:rPr>
      </w:pPr>
      <w:r>
        <w:rPr>
          <w:rFonts w:ascii="Arial" w:cs="Arial" w:eastAsia="Arial" w:hAnsi="Arial"/>
          <w:sz w:val="8"/>
          <w:szCs w:val="8"/>
          <w:color w:val="auto"/>
        </w:rPr>
        <w:t>CFO: 500%</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7"/>
          <w:szCs w:val="7"/>
          <w:color w:val="auto"/>
        </w:rPr>
        <w:t>Executive Directors are expected to build up their shareholding to the required</w:t>
      </w:r>
    </w:p>
    <w:p>
      <w:pPr>
        <w:spacing w:after="0" w:line="16" w:lineRule="exact"/>
        <w:rPr>
          <w:sz w:val="20"/>
          <w:szCs w:val="20"/>
          <w:color w:val="auto"/>
        </w:rPr>
      </w:pPr>
    </w:p>
    <w:p>
      <w:pPr>
        <w:spacing w:after="0"/>
        <w:rPr>
          <w:sz w:val="20"/>
          <w:szCs w:val="20"/>
          <w:color w:val="auto"/>
        </w:rPr>
      </w:pPr>
      <w:r>
        <w:rPr>
          <w:rFonts w:ascii="Arial" w:cs="Arial" w:eastAsia="Arial" w:hAnsi="Arial"/>
          <w:sz w:val="7"/>
          <w:szCs w:val="7"/>
          <w:color w:val="auto"/>
        </w:rPr>
        <w:t>level over a period of five years from appointment and, once reached, to maintain</w:t>
      </w:r>
    </w:p>
    <w:p>
      <w:pPr>
        <w:spacing w:after="0" w:line="8" w:lineRule="exact"/>
        <w:rPr>
          <w:sz w:val="20"/>
          <w:szCs w:val="20"/>
          <w:color w:val="auto"/>
        </w:rPr>
      </w:pPr>
    </w:p>
    <w:p>
      <w:pPr>
        <w:spacing w:after="0"/>
        <w:rPr>
          <w:sz w:val="20"/>
          <w:szCs w:val="20"/>
          <w:color w:val="auto"/>
        </w:rPr>
      </w:pPr>
      <w:r>
        <w:rPr>
          <w:rFonts w:ascii="Arial" w:cs="Arial" w:eastAsia="Arial" w:hAnsi="Arial"/>
          <w:sz w:val="8"/>
          <w:szCs w:val="8"/>
          <w:color w:val="auto"/>
        </w:rPr>
        <w:t>this level for the full period of their appointment. The intention is for the</w:t>
      </w:r>
    </w:p>
    <w:p>
      <w:pPr>
        <w:spacing w:after="0" w:line="234" w:lineRule="auto"/>
        <w:rPr>
          <w:sz w:val="20"/>
          <w:szCs w:val="20"/>
          <w:color w:val="auto"/>
        </w:rPr>
      </w:pPr>
      <w:r>
        <w:rPr>
          <w:rFonts w:ascii="Arial" w:cs="Arial" w:eastAsia="Arial" w:hAnsi="Arial"/>
          <w:sz w:val="8"/>
          <w:szCs w:val="8"/>
          <w:color w:val="auto"/>
        </w:rPr>
        <w:t>shareholding guideline to be reached through retention of vested shares from</w:t>
      </w:r>
    </w:p>
    <w:p>
      <w:pPr>
        <w:spacing w:after="0"/>
        <w:rPr>
          <w:sz w:val="20"/>
          <w:szCs w:val="20"/>
          <w:color w:val="auto"/>
        </w:rPr>
      </w:pPr>
      <w:r>
        <w:rPr>
          <w:rFonts w:ascii="Arial" w:cs="Arial" w:eastAsia="Arial" w:hAnsi="Arial"/>
          <w:sz w:val="7"/>
          <w:szCs w:val="7"/>
          <w:color w:val="auto"/>
        </w:rPr>
        <w:t>share plans. The REMCO will monitor individual progress and retains the ability</w:t>
      </w:r>
    </w:p>
    <w:p>
      <w:pPr>
        <w:spacing w:after="0" w:line="10" w:lineRule="exact"/>
        <w:rPr>
          <w:sz w:val="20"/>
          <w:szCs w:val="20"/>
          <w:color w:val="auto"/>
        </w:rPr>
      </w:pPr>
    </w:p>
    <w:p>
      <w:pPr>
        <w:spacing w:after="0"/>
        <w:rPr>
          <w:sz w:val="20"/>
          <w:szCs w:val="20"/>
          <w:color w:val="auto"/>
        </w:rPr>
      </w:pPr>
      <w:r>
        <w:rPr>
          <w:rFonts w:ascii="Arial" w:cs="Arial" w:eastAsia="Arial" w:hAnsi="Arial"/>
          <w:sz w:val="8"/>
          <w:szCs w:val="8"/>
          <w:color w:val="auto"/>
        </w:rPr>
        <w:t>to adjust the guideline in special circumstances on an individual basis.</w:t>
      </w:r>
    </w:p>
    <w:p>
      <w:pPr>
        <w:spacing w:after="0" w:line="82" w:lineRule="exact"/>
        <w:rPr>
          <w:sz w:val="20"/>
          <w:szCs w:val="20"/>
          <w:color w:val="auto"/>
        </w:rPr>
      </w:pPr>
    </w:p>
    <w:p>
      <w:pPr>
        <w:spacing w:after="0"/>
        <w:rPr>
          <w:sz w:val="20"/>
          <w:szCs w:val="20"/>
          <w:color w:val="auto"/>
        </w:rPr>
      </w:pPr>
      <w:r>
        <w:rPr>
          <w:rFonts w:ascii="Arial" w:cs="Arial" w:eastAsia="Arial" w:hAnsi="Arial"/>
          <w:sz w:val="8"/>
          <w:szCs w:val="8"/>
          <w:color w:val="auto"/>
        </w:rPr>
        <w:t>The Executive Director will be required to maintain their shareholding</w:t>
      </w:r>
    </w:p>
    <w:p>
      <w:pPr>
        <w:spacing w:after="0" w:line="4" w:lineRule="exact"/>
        <w:rPr>
          <w:sz w:val="20"/>
          <w:szCs w:val="20"/>
          <w:color w:val="auto"/>
        </w:rPr>
      </w:pPr>
    </w:p>
    <w:p>
      <w:pPr>
        <w:spacing w:after="0"/>
        <w:rPr>
          <w:sz w:val="20"/>
          <w:szCs w:val="20"/>
          <w:color w:val="auto"/>
        </w:rPr>
      </w:pPr>
      <w:r>
        <w:rPr>
          <w:rFonts w:ascii="Arial" w:cs="Arial" w:eastAsia="Arial" w:hAnsi="Arial"/>
          <w:sz w:val="7"/>
          <w:szCs w:val="7"/>
          <w:color w:val="auto"/>
        </w:rPr>
        <w:t>requirement (or existing shareholding if lower) for a period of two years from the</w:t>
      </w:r>
    </w:p>
    <w:p>
      <w:pPr>
        <w:spacing w:after="0" w:line="10" w:lineRule="exact"/>
        <w:rPr>
          <w:sz w:val="20"/>
          <w:szCs w:val="20"/>
          <w:color w:val="auto"/>
        </w:rPr>
      </w:pPr>
    </w:p>
    <w:p>
      <w:pPr>
        <w:spacing w:after="0"/>
        <w:rPr>
          <w:sz w:val="20"/>
          <w:szCs w:val="20"/>
          <w:color w:val="auto"/>
        </w:rPr>
      </w:pPr>
      <w:r>
        <w:rPr>
          <w:rFonts w:ascii="Arial" w:cs="Arial" w:eastAsia="Arial" w:hAnsi="Arial"/>
          <w:sz w:val="8"/>
          <w:szCs w:val="8"/>
          <w:color w:val="auto"/>
        </w:rPr>
        <w:t>date they cease to be an employee.</w:t>
      </w:r>
    </w:p>
    <w:p>
      <w:pPr>
        <w:spacing w:after="0" w:line="82" w:lineRule="exact"/>
        <w:rPr>
          <w:sz w:val="20"/>
          <w:szCs w:val="20"/>
          <w:color w:val="auto"/>
        </w:rPr>
      </w:pPr>
    </w:p>
    <w:p>
      <w:pPr>
        <w:spacing w:after="0"/>
        <w:rPr>
          <w:sz w:val="20"/>
          <w:szCs w:val="20"/>
          <w:color w:val="auto"/>
        </w:rPr>
      </w:pPr>
      <w:r>
        <w:rPr>
          <w:rFonts w:ascii="Arial" w:cs="Arial" w:eastAsia="Arial" w:hAnsi="Arial"/>
          <w:sz w:val="8"/>
          <w:szCs w:val="8"/>
          <w:color w:val="auto"/>
        </w:rPr>
        <w:t>In the event that another Executive Director joins the Board the REMCO will</w:t>
      </w:r>
    </w:p>
    <w:p>
      <w:pPr>
        <w:spacing w:after="0" w:line="4" w:lineRule="exact"/>
        <w:rPr>
          <w:sz w:val="20"/>
          <w:szCs w:val="20"/>
          <w:color w:val="auto"/>
        </w:rPr>
      </w:pPr>
    </w:p>
    <w:p>
      <w:pPr>
        <w:spacing w:after="0"/>
        <w:rPr>
          <w:sz w:val="20"/>
          <w:szCs w:val="20"/>
          <w:color w:val="auto"/>
        </w:rPr>
      </w:pPr>
      <w:r>
        <w:rPr>
          <w:rFonts w:ascii="Arial" w:cs="Arial" w:eastAsia="Arial" w:hAnsi="Arial"/>
          <w:sz w:val="7"/>
          <w:szCs w:val="7"/>
          <w:color w:val="auto"/>
        </w:rPr>
        <w:t>determine their Shareholding requirement level, which will not be less than 200%</w:t>
      </w:r>
    </w:p>
    <w:p>
      <w:pPr>
        <w:spacing w:after="0" w:line="10" w:lineRule="exact"/>
        <w:rPr>
          <w:sz w:val="20"/>
          <w:szCs w:val="20"/>
          <w:color w:val="auto"/>
        </w:rPr>
      </w:pPr>
    </w:p>
    <w:p>
      <w:pPr>
        <w:spacing w:after="0"/>
        <w:rPr>
          <w:sz w:val="20"/>
          <w:szCs w:val="20"/>
          <w:color w:val="auto"/>
        </w:rPr>
      </w:pPr>
      <w:r>
        <w:rPr>
          <w:rFonts w:ascii="Arial" w:cs="Arial" w:eastAsia="Arial" w:hAnsi="Arial"/>
          <w:sz w:val="8"/>
          <w:szCs w:val="8"/>
          <w:color w:val="auto"/>
        </w:rPr>
        <w:t>in line with corporate governance best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12065</wp:posOffset>
            </wp:positionV>
            <wp:extent cx="345757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220" w:space="53"/>
            <w:col w:w="1107" w:space="280"/>
            <w:col w:w="8640"/>
          </w:cols>
          <w:pgMar w:left="300" w:top="640" w:right="299" w:bottom="1440" w:gutter="0" w:footer="0" w:header="0"/>
          <w:type w:val="continuous"/>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140</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0"/>
          <w:szCs w:val="10"/>
          <w:color w:val="auto"/>
        </w:rPr>
        <w:t>Notes to the Executive Directors’ remuneration policy table</w:t>
      </w:r>
    </w:p>
    <w:p>
      <w:pPr>
        <w:spacing w:after="0"/>
        <w:rPr>
          <w:sz w:val="20"/>
          <w:szCs w:val="20"/>
          <w:color w:val="auto"/>
        </w:rPr>
      </w:pPr>
      <w:r>
        <w:rPr>
          <w:rFonts w:ascii="Arial" w:cs="Arial" w:eastAsia="Arial" w:hAnsi="Arial"/>
          <w:sz w:val="10"/>
          <w:szCs w:val="10"/>
          <w:color w:val="auto"/>
        </w:rPr>
        <w:t>Comparator group</w:t>
      </w:r>
    </w:p>
    <w:p>
      <w:pPr>
        <w:spacing w:after="0" w:line="148" w:lineRule="exact"/>
        <w:rPr>
          <w:sz w:val="20"/>
          <w:szCs w:val="20"/>
          <w:color w:val="auto"/>
        </w:rPr>
      </w:pPr>
    </w:p>
    <w:p>
      <w:pPr>
        <w:ind w:right="20"/>
        <w:spacing w:after="0" w:line="239" w:lineRule="auto"/>
        <w:rPr>
          <w:sz w:val="20"/>
          <w:szCs w:val="20"/>
          <w:color w:val="auto"/>
        </w:rPr>
      </w:pPr>
      <w:r>
        <w:rPr>
          <w:rFonts w:ascii="Arial" w:cs="Arial" w:eastAsia="Arial" w:hAnsi="Arial"/>
          <w:sz w:val="10"/>
          <w:szCs w:val="10"/>
          <w:color w:val="auto"/>
        </w:rPr>
        <w:t>The benchmarking comparator group consists of the other oil majors (BP, Chevron, ExxonMobil, and Total) and a selection of major Europe-based companies.</w:t>
      </w:r>
    </w:p>
    <w:p>
      <w:pPr>
        <w:spacing w:after="0" w:line="149" w:lineRule="exact"/>
        <w:rPr>
          <w:sz w:val="20"/>
          <w:szCs w:val="20"/>
          <w:color w:val="auto"/>
        </w:rPr>
      </w:pPr>
    </w:p>
    <w:p>
      <w:pPr>
        <w:ind w:right="100"/>
        <w:spacing w:after="0" w:line="358" w:lineRule="auto"/>
        <w:rPr>
          <w:sz w:val="20"/>
          <w:szCs w:val="20"/>
          <w:color w:val="auto"/>
        </w:rPr>
      </w:pPr>
      <w:r>
        <w:rPr>
          <w:rFonts w:ascii="Arial" w:cs="Arial" w:eastAsia="Arial" w:hAnsi="Arial"/>
          <w:sz w:val="8"/>
          <w:szCs w:val="8"/>
          <w:color w:val="auto"/>
        </w:rPr>
        <w:t>The comparator companies are reviewed by the REMCO as part of the Remuneration Policy review every three years. The last review took place in 2019 in preparation for the 2020 Directors’ Remuneration Policy vote. No changes to the comparator group are proposed.</w:t>
      </w:r>
    </w:p>
    <w:p>
      <w:pPr>
        <w:spacing w:after="0" w:line="104" w:lineRule="exact"/>
        <w:rPr>
          <w:sz w:val="20"/>
          <w:szCs w:val="20"/>
          <w:color w:val="auto"/>
        </w:rPr>
      </w:pPr>
    </w:p>
    <w:p>
      <w:pPr>
        <w:ind w:right="140"/>
        <w:spacing w:after="0" w:line="232" w:lineRule="auto"/>
        <w:rPr>
          <w:sz w:val="20"/>
          <w:szCs w:val="20"/>
          <w:color w:val="auto"/>
        </w:rPr>
      </w:pPr>
      <w:r>
        <w:rPr>
          <w:rFonts w:ascii="Arial" w:cs="Arial" w:eastAsia="Arial" w:hAnsi="Arial"/>
          <w:sz w:val="10"/>
          <w:szCs w:val="10"/>
          <w:color w:val="auto"/>
        </w:rPr>
        <w:t>The other oil majors are included in the comparator group as these represent our closest direct competitors operating in similar market conditions. The Europe-based companies are selected based on their size, complexity and global reach. The REMCO uses benchmark data from these companies only as a guide to the competitiveness of the remuneration packages. We do not seek to position our remuneration at any defined point against the benchmarked positions.</w:t>
      </w:r>
    </w:p>
    <w:p>
      <w:pPr>
        <w:spacing w:after="0" w:line="149" w:lineRule="exact"/>
        <w:rPr>
          <w:sz w:val="20"/>
          <w:szCs w:val="20"/>
          <w:color w:val="auto"/>
        </w:rPr>
      </w:pPr>
    </w:p>
    <w:p>
      <w:pPr>
        <w:spacing w:after="0"/>
        <w:rPr>
          <w:sz w:val="20"/>
          <w:szCs w:val="20"/>
          <w:color w:val="auto"/>
        </w:rPr>
      </w:pPr>
      <w:r>
        <w:rPr>
          <w:rFonts w:ascii="Arial" w:cs="Arial" w:eastAsia="Arial" w:hAnsi="Arial"/>
          <w:sz w:val="8"/>
          <w:szCs w:val="8"/>
          <w:color w:val="auto"/>
        </w:rPr>
        <w:t>The REMCO retains the right to alter the comparator group as it sees fit in order to ensure it remains an appropriate and relevant benchmark.</w:t>
      </w:r>
    </w:p>
    <w:p>
      <w:pPr>
        <w:spacing w:after="0" w:line="178" w:lineRule="exact"/>
        <w:rPr>
          <w:sz w:val="20"/>
          <w:szCs w:val="20"/>
          <w:color w:val="auto"/>
        </w:rPr>
      </w:pPr>
    </w:p>
    <w:p>
      <w:pPr>
        <w:spacing w:after="0"/>
        <w:rPr>
          <w:sz w:val="20"/>
          <w:szCs w:val="20"/>
          <w:color w:val="auto"/>
        </w:rPr>
      </w:pPr>
      <w:r>
        <w:rPr>
          <w:rFonts w:ascii="Arial" w:cs="Arial" w:eastAsia="Arial" w:hAnsi="Arial"/>
          <w:sz w:val="10"/>
          <w:szCs w:val="10"/>
          <w:color w:val="auto"/>
        </w:rPr>
        <w:t>2020 European comparator group</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120" w:type="dxa"/>
            <w:vAlign w:val="bottom"/>
            <w:tcBorders>
              <w:bottom w:val="single" w:sz="8" w:color="595959"/>
            </w:tcBorders>
          </w:tcPr>
          <w:p>
            <w:pPr>
              <w:spacing w:after="0"/>
              <w:rPr>
                <w:sz w:val="20"/>
                <w:szCs w:val="20"/>
                <w:color w:val="auto"/>
              </w:rPr>
            </w:pPr>
            <w:r>
              <w:rPr>
                <w:rFonts w:ascii="Arial" w:cs="Arial" w:eastAsia="Arial" w:hAnsi="Arial"/>
                <w:sz w:val="8"/>
                <w:szCs w:val="8"/>
                <w:color w:val="auto"/>
              </w:rPr>
              <w:t>Allianz</w:t>
            </w:r>
          </w:p>
        </w:tc>
        <w:tc>
          <w:tcPr>
            <w:tcW w:w="1880" w:type="dxa"/>
            <w:vAlign w:val="bottom"/>
            <w:tcBorders>
              <w:bottom w:val="single" w:sz="8" w:color="595959"/>
            </w:tcBorders>
          </w:tcPr>
          <w:p>
            <w:pPr>
              <w:ind w:left="680"/>
              <w:spacing w:after="0"/>
              <w:rPr>
                <w:sz w:val="20"/>
                <w:szCs w:val="20"/>
                <w:color w:val="auto"/>
              </w:rPr>
            </w:pPr>
            <w:r>
              <w:rPr>
                <w:rFonts w:ascii="Arial" w:cs="Arial" w:eastAsia="Arial" w:hAnsi="Arial"/>
                <w:sz w:val="8"/>
                <w:szCs w:val="8"/>
                <w:color w:val="auto"/>
              </w:rPr>
              <w:t>Daimler</w:t>
            </w:r>
          </w:p>
        </w:tc>
        <w:tc>
          <w:tcPr>
            <w:tcW w:w="2400" w:type="dxa"/>
            <w:vAlign w:val="bottom"/>
            <w:tcBorders>
              <w:bottom w:val="single" w:sz="8" w:color="595959"/>
            </w:tcBorders>
          </w:tcPr>
          <w:p>
            <w:pPr>
              <w:ind w:left="600"/>
              <w:spacing w:after="0"/>
              <w:rPr>
                <w:sz w:val="20"/>
                <w:szCs w:val="20"/>
                <w:color w:val="auto"/>
              </w:rPr>
            </w:pPr>
            <w:r>
              <w:rPr>
                <w:rFonts w:ascii="Arial" w:cs="Arial" w:eastAsia="Arial" w:hAnsi="Arial"/>
                <w:sz w:val="8"/>
                <w:szCs w:val="8"/>
                <w:color w:val="auto"/>
              </w:rPr>
              <w:t>Rio Tinto</w:t>
            </w:r>
          </w:p>
        </w:tc>
      </w:tr>
      <w:tr>
        <w:trPr>
          <w:trHeight w:val="115"/>
        </w:trPr>
        <w:tc>
          <w:tcPr>
            <w:tcW w:w="1120" w:type="dxa"/>
            <w:vAlign w:val="bottom"/>
            <w:tcBorders>
              <w:bottom w:val="single" w:sz="8" w:color="595959"/>
            </w:tcBorders>
          </w:tcPr>
          <w:p>
            <w:pPr>
              <w:spacing w:after="0"/>
              <w:rPr>
                <w:sz w:val="20"/>
                <w:szCs w:val="20"/>
                <w:color w:val="auto"/>
              </w:rPr>
            </w:pPr>
            <w:r>
              <w:rPr>
                <w:rFonts w:ascii="Arial" w:cs="Arial" w:eastAsia="Arial" w:hAnsi="Arial"/>
                <w:sz w:val="8"/>
                <w:szCs w:val="8"/>
                <w:color w:val="auto"/>
              </w:rPr>
              <w:t>AstraZeneca</w:t>
            </w:r>
          </w:p>
        </w:tc>
        <w:tc>
          <w:tcPr>
            <w:tcW w:w="1880" w:type="dxa"/>
            <w:vAlign w:val="bottom"/>
            <w:tcBorders>
              <w:bottom w:val="single" w:sz="8" w:color="595959"/>
            </w:tcBorders>
          </w:tcPr>
          <w:p>
            <w:pPr>
              <w:ind w:left="680"/>
              <w:spacing w:after="0"/>
              <w:rPr>
                <w:sz w:val="20"/>
                <w:szCs w:val="20"/>
                <w:color w:val="auto"/>
              </w:rPr>
            </w:pPr>
            <w:r>
              <w:rPr>
                <w:rFonts w:ascii="Arial" w:cs="Arial" w:eastAsia="Arial" w:hAnsi="Arial"/>
                <w:sz w:val="8"/>
                <w:szCs w:val="8"/>
                <w:color w:val="auto"/>
              </w:rPr>
              <w:t>Diageo</w:t>
            </w:r>
          </w:p>
        </w:tc>
        <w:tc>
          <w:tcPr>
            <w:tcW w:w="2400" w:type="dxa"/>
            <w:vAlign w:val="bottom"/>
            <w:tcBorders>
              <w:bottom w:val="single" w:sz="8" w:color="595959"/>
            </w:tcBorders>
          </w:tcPr>
          <w:p>
            <w:pPr>
              <w:ind w:left="600"/>
              <w:spacing w:after="0"/>
              <w:rPr>
                <w:sz w:val="20"/>
                <w:szCs w:val="20"/>
                <w:color w:val="auto"/>
              </w:rPr>
            </w:pPr>
            <w:r>
              <w:rPr>
                <w:rFonts w:ascii="Arial" w:cs="Arial" w:eastAsia="Arial" w:hAnsi="Arial"/>
                <w:sz w:val="8"/>
                <w:szCs w:val="8"/>
                <w:color w:val="auto"/>
              </w:rPr>
              <w:t>Roche</w:t>
            </w:r>
          </w:p>
        </w:tc>
      </w:tr>
      <w:tr>
        <w:trPr>
          <w:trHeight w:val="115"/>
        </w:trPr>
        <w:tc>
          <w:tcPr>
            <w:tcW w:w="1120" w:type="dxa"/>
            <w:vAlign w:val="bottom"/>
            <w:tcBorders>
              <w:bottom w:val="single" w:sz="8" w:color="595959"/>
            </w:tcBorders>
          </w:tcPr>
          <w:p>
            <w:pPr>
              <w:spacing w:after="0"/>
              <w:rPr>
                <w:sz w:val="20"/>
                <w:szCs w:val="20"/>
                <w:color w:val="auto"/>
              </w:rPr>
            </w:pPr>
            <w:r>
              <w:rPr>
                <w:rFonts w:ascii="Arial" w:cs="Arial" w:eastAsia="Arial" w:hAnsi="Arial"/>
                <w:sz w:val="8"/>
                <w:szCs w:val="8"/>
                <w:color w:val="auto"/>
              </w:rPr>
              <w:t>BAT</w:t>
            </w:r>
          </w:p>
        </w:tc>
        <w:tc>
          <w:tcPr>
            <w:tcW w:w="1880" w:type="dxa"/>
            <w:vAlign w:val="bottom"/>
            <w:tcBorders>
              <w:bottom w:val="single" w:sz="8" w:color="595959"/>
            </w:tcBorders>
          </w:tcPr>
          <w:p>
            <w:pPr>
              <w:ind w:left="680"/>
              <w:spacing w:after="0"/>
              <w:rPr>
                <w:sz w:val="20"/>
                <w:szCs w:val="20"/>
                <w:color w:val="auto"/>
              </w:rPr>
            </w:pPr>
            <w:r>
              <w:rPr>
                <w:rFonts w:ascii="Arial" w:cs="Arial" w:eastAsia="Arial" w:hAnsi="Arial"/>
                <w:sz w:val="8"/>
                <w:szCs w:val="8"/>
                <w:color w:val="auto"/>
              </w:rPr>
              <w:t>GlaxoSmithKline</w:t>
            </w:r>
          </w:p>
        </w:tc>
        <w:tc>
          <w:tcPr>
            <w:tcW w:w="2400" w:type="dxa"/>
            <w:vAlign w:val="bottom"/>
            <w:tcBorders>
              <w:bottom w:val="single" w:sz="8" w:color="595959"/>
            </w:tcBorders>
          </w:tcPr>
          <w:p>
            <w:pPr>
              <w:ind w:left="600"/>
              <w:spacing w:after="0"/>
              <w:rPr>
                <w:sz w:val="20"/>
                <w:szCs w:val="20"/>
                <w:color w:val="auto"/>
              </w:rPr>
            </w:pPr>
            <w:r>
              <w:rPr>
                <w:rFonts w:ascii="Arial" w:cs="Arial" w:eastAsia="Arial" w:hAnsi="Arial"/>
                <w:sz w:val="8"/>
                <w:szCs w:val="8"/>
                <w:color w:val="auto"/>
              </w:rPr>
              <w:t>Siemens</w:t>
            </w:r>
          </w:p>
        </w:tc>
      </w:tr>
      <w:tr>
        <w:trPr>
          <w:trHeight w:val="115"/>
        </w:trPr>
        <w:tc>
          <w:tcPr>
            <w:tcW w:w="1120" w:type="dxa"/>
            <w:vAlign w:val="bottom"/>
            <w:tcBorders>
              <w:bottom w:val="single" w:sz="8" w:color="595959"/>
            </w:tcBorders>
          </w:tcPr>
          <w:p>
            <w:pPr>
              <w:spacing w:after="0"/>
              <w:rPr>
                <w:sz w:val="20"/>
                <w:szCs w:val="20"/>
                <w:color w:val="auto"/>
              </w:rPr>
            </w:pPr>
            <w:r>
              <w:rPr>
                <w:rFonts w:ascii="Arial" w:cs="Arial" w:eastAsia="Arial" w:hAnsi="Arial"/>
                <w:sz w:val="8"/>
                <w:szCs w:val="8"/>
                <w:color w:val="auto"/>
              </w:rPr>
              <w:t>Bayer</w:t>
            </w:r>
          </w:p>
        </w:tc>
        <w:tc>
          <w:tcPr>
            <w:tcW w:w="1880" w:type="dxa"/>
            <w:vAlign w:val="bottom"/>
            <w:tcBorders>
              <w:bottom w:val="single" w:sz="8" w:color="595959"/>
            </w:tcBorders>
          </w:tcPr>
          <w:p>
            <w:pPr>
              <w:ind w:left="680"/>
              <w:spacing w:after="0"/>
              <w:rPr>
                <w:sz w:val="20"/>
                <w:szCs w:val="20"/>
                <w:color w:val="auto"/>
              </w:rPr>
            </w:pPr>
            <w:r>
              <w:rPr>
                <w:rFonts w:ascii="Arial" w:cs="Arial" w:eastAsia="Arial" w:hAnsi="Arial"/>
                <w:sz w:val="8"/>
                <w:szCs w:val="8"/>
                <w:color w:val="auto"/>
              </w:rPr>
              <w:t>Nestle</w:t>
            </w:r>
          </w:p>
        </w:tc>
        <w:tc>
          <w:tcPr>
            <w:tcW w:w="2400" w:type="dxa"/>
            <w:vAlign w:val="bottom"/>
            <w:tcBorders>
              <w:bottom w:val="single" w:sz="8" w:color="595959"/>
            </w:tcBorders>
          </w:tcPr>
          <w:p>
            <w:pPr>
              <w:ind w:left="600"/>
              <w:spacing w:after="0"/>
              <w:rPr>
                <w:sz w:val="20"/>
                <w:szCs w:val="20"/>
                <w:color w:val="auto"/>
              </w:rPr>
            </w:pPr>
            <w:r>
              <w:rPr>
                <w:rFonts w:ascii="Arial" w:cs="Arial" w:eastAsia="Arial" w:hAnsi="Arial"/>
                <w:sz w:val="8"/>
                <w:szCs w:val="8"/>
                <w:color w:val="auto"/>
              </w:rPr>
              <w:t>Unilever</w:t>
            </w:r>
          </w:p>
        </w:tc>
      </w:tr>
      <w:tr>
        <w:trPr>
          <w:trHeight w:val="115"/>
        </w:trPr>
        <w:tc>
          <w:tcPr>
            <w:tcW w:w="112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BHP Billiton</w:t>
            </w:r>
          </w:p>
        </w:tc>
        <w:tc>
          <w:tcPr>
            <w:tcW w:w="1880" w:type="dxa"/>
            <w:vAlign w:val="bottom"/>
            <w:tcBorders>
              <w:bottom w:val="single" w:sz="8" w:color="auto"/>
            </w:tcBorders>
          </w:tcPr>
          <w:p>
            <w:pPr>
              <w:ind w:left="680"/>
              <w:spacing w:after="0"/>
              <w:rPr>
                <w:sz w:val="20"/>
                <w:szCs w:val="20"/>
                <w:color w:val="auto"/>
              </w:rPr>
            </w:pPr>
            <w:r>
              <w:rPr>
                <w:rFonts w:ascii="Arial" w:cs="Arial" w:eastAsia="Arial" w:hAnsi="Arial"/>
                <w:sz w:val="8"/>
                <w:szCs w:val="8"/>
                <w:color w:val="auto"/>
              </w:rPr>
              <w:t>Novartis</w:t>
            </w:r>
          </w:p>
        </w:tc>
        <w:tc>
          <w:tcPr>
            <w:tcW w:w="2400" w:type="dxa"/>
            <w:vAlign w:val="bottom"/>
            <w:tcBorders>
              <w:bottom w:val="single" w:sz="8" w:color="auto"/>
            </w:tcBorders>
          </w:tcPr>
          <w:p>
            <w:pPr>
              <w:ind w:left="600"/>
              <w:spacing w:after="0"/>
              <w:rPr>
                <w:sz w:val="20"/>
                <w:szCs w:val="20"/>
                <w:color w:val="auto"/>
              </w:rPr>
            </w:pPr>
            <w:r>
              <w:rPr>
                <w:rFonts w:ascii="Arial" w:cs="Arial" w:eastAsia="Arial" w:hAnsi="Arial"/>
                <w:sz w:val="8"/>
                <w:szCs w:val="8"/>
                <w:color w:val="auto"/>
              </w:rPr>
              <w:t>Vodafone</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Benefits</w:t>
      </w:r>
    </w:p>
    <w:p>
      <w:pPr>
        <w:spacing w:after="0" w:line="1" w:lineRule="exact"/>
        <w:rPr>
          <w:sz w:val="20"/>
          <w:szCs w:val="20"/>
          <w:color w:val="auto"/>
        </w:rPr>
      </w:pPr>
    </w:p>
    <w:p>
      <w:pPr>
        <w:ind w:right="60"/>
        <w:spacing w:after="0" w:line="309" w:lineRule="auto"/>
        <w:rPr>
          <w:sz w:val="20"/>
          <w:szCs w:val="20"/>
          <w:color w:val="auto"/>
        </w:rPr>
      </w:pPr>
      <w:r>
        <w:rPr>
          <w:rFonts w:ascii="Arial" w:cs="Arial" w:eastAsia="Arial" w:hAnsi="Arial"/>
          <w:sz w:val="8"/>
          <w:szCs w:val="8"/>
          <w:color w:val="auto"/>
        </w:rPr>
        <w:t>Benefits for Executive Directors deemed taxable in the UK are included as taxable benefits in the single total figure of remuneration table. These elements may include transport to and from home and office, the provision of home security, and occasional business-required partner travel, which are generally considered legitimate business expenses rather than components of remuneration.</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Annual bonus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8"/>
          <w:szCs w:val="8"/>
          <w:color w:val="auto"/>
        </w:rPr>
        <w:t>For the 2020 performance year, the scorecard framework will consist of cash flow from operating activities (30% weight), operational excellence (50% weight) and sustainable development (20% weight). Targets are derived from the annual business plan. These measures are designed to drive focus on the financial and operational performance critical to our success as a world-class investment case and to maintain a strong licence to operate, underpinned by our commitment to safety and journey to thrive in the energy transition. The REMCO believes it is important for annual variable pay to remain balanced, with operational and environmental components, complementing the LTIP’s focus on longer-term financial and strategic outcomes. The same annual bonus scorecard applies to the majority of group employees, supporting consistency of remuneration and alignment of objective across employees and senior management.</w:t>
      </w:r>
    </w:p>
    <w:p>
      <w:pPr>
        <w:spacing w:after="0" w:line="131" w:lineRule="exact"/>
        <w:rPr>
          <w:sz w:val="20"/>
          <w:szCs w:val="20"/>
          <w:color w:val="auto"/>
        </w:rPr>
      </w:pPr>
    </w:p>
    <w:p>
      <w:pPr>
        <w:jc w:val="both"/>
        <w:spacing w:after="0" w:line="234" w:lineRule="auto"/>
        <w:rPr>
          <w:sz w:val="20"/>
          <w:szCs w:val="20"/>
          <w:color w:val="auto"/>
        </w:rPr>
      </w:pPr>
      <w:r>
        <w:rPr>
          <w:rFonts w:ascii="Arial" w:cs="Arial" w:eastAsia="Arial" w:hAnsi="Arial"/>
          <w:sz w:val="10"/>
          <w:szCs w:val="10"/>
          <w:color w:val="auto"/>
        </w:rPr>
        <w:t>For future years, the specific measures and weightings for the annual bonus scorecard will be reviewed annually by the REMCO and adjusted accordingly to evolve with Shell’s strategy and circumstances. The annual review will also consider the scorecard target and outcome history over a decade to ensure that the targets set remain stretching but realistic.</w:t>
      </w:r>
    </w:p>
    <w:p>
      <w:pPr>
        <w:spacing w:after="0" w:line="150" w:lineRule="exact"/>
        <w:rPr>
          <w:sz w:val="20"/>
          <w:szCs w:val="20"/>
          <w:color w:val="auto"/>
        </w:rPr>
      </w:pPr>
    </w:p>
    <w:p>
      <w:pPr>
        <w:ind w:right="300"/>
        <w:spacing w:after="0" w:line="222" w:lineRule="auto"/>
        <w:rPr>
          <w:sz w:val="20"/>
          <w:szCs w:val="20"/>
          <w:color w:val="auto"/>
        </w:rPr>
      </w:pPr>
      <w:r>
        <w:rPr>
          <w:rFonts w:ascii="Arial" w:cs="Arial" w:eastAsia="Arial" w:hAnsi="Arial"/>
          <w:sz w:val="10"/>
          <w:szCs w:val="10"/>
          <w:color w:val="auto"/>
        </w:rPr>
        <w:t>The REMCO retains the right to exercise its judgement to adjust the mathematical bonus scorecard outcome to ensure that the bonus scorecard outcome for Executive Directors reflects other aspects of Shell’s performance which the REMCO deems appropriate for the reported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0"/>
          <w:szCs w:val="10"/>
          <w:color w:val="auto"/>
        </w:rPr>
        <w:t>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-1596390</wp:posOffset>
            </wp:positionV>
            <wp:extent cx="1885950" cy="13887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885950" cy="1388745"/>
                    </a:xfrm>
                    <a:prstGeom prst="rect">
                      <a:avLst/>
                    </a:prstGeom>
                    <a:noFill/>
                  </pic:spPr>
                </pic:pic>
              </a:graphicData>
            </a:graphic>
          </wp:anchor>
        </w:drawing>
      </w:r>
    </w:p>
    <w:p>
      <w:pPr>
        <w:ind w:right="280"/>
        <w:spacing w:after="0" w:line="231" w:lineRule="auto"/>
        <w:rPr>
          <w:sz w:val="20"/>
          <w:szCs w:val="20"/>
          <w:color w:val="auto"/>
        </w:rPr>
      </w:pPr>
      <w:r>
        <w:rPr>
          <w:rFonts w:ascii="Arial" w:cs="Arial" w:eastAsia="Arial" w:hAnsi="Arial"/>
          <w:sz w:val="10"/>
          <w:szCs w:val="10"/>
          <w:color w:val="auto"/>
        </w:rPr>
        <w:t>The LTIP rewards longer-term performance linked to Shell’s strategy, which includes cash generation, capital discipline, value created for shareholders as well as progress towards meeting our ambition to thrive in the energy transition.</w:t>
      </w:r>
    </w:p>
    <w:p>
      <w:pPr>
        <w:spacing w:after="0" w:line="149" w:lineRule="exact"/>
        <w:rPr>
          <w:sz w:val="20"/>
          <w:szCs w:val="20"/>
          <w:color w:val="auto"/>
        </w:rPr>
      </w:pPr>
    </w:p>
    <w:p>
      <w:pPr>
        <w:ind w:right="120"/>
        <w:spacing w:after="0" w:line="300" w:lineRule="auto"/>
        <w:rPr>
          <w:sz w:val="20"/>
          <w:szCs w:val="20"/>
          <w:color w:val="auto"/>
        </w:rPr>
      </w:pPr>
      <w:r>
        <w:rPr>
          <w:rFonts w:ascii="Arial" w:cs="Arial" w:eastAsia="Arial" w:hAnsi="Arial"/>
          <w:sz w:val="8"/>
          <w:szCs w:val="8"/>
          <w:color w:val="auto"/>
        </w:rPr>
        <w:t>For 2020, the absolute measures will be FCF and energy transition, and relative growth compared with our peers will be based on: TSR, ROACE and CFFO. The relative measures, which focus on outperforming our closest competitors on key financial metrics, are supported by the absolute FCF metric which provides cash to service and repay debt, make shareholder distributions and fund capital investment. These are aligned with our strategic ambition to be a world-class investment case, and are supported by an energy transition measure focused on thriving in the energy transition and delivering our NCF target.</w:t>
      </w:r>
    </w:p>
    <w:p>
      <w:pPr>
        <w:spacing w:after="0" w:line="127" w:lineRule="exact"/>
        <w:rPr>
          <w:sz w:val="20"/>
          <w:szCs w:val="20"/>
          <w:color w:val="auto"/>
        </w:rPr>
      </w:pPr>
    </w:p>
    <w:p>
      <w:pPr>
        <w:ind w:right="200"/>
        <w:spacing w:after="0" w:line="300" w:lineRule="auto"/>
        <w:rPr>
          <w:sz w:val="20"/>
          <w:szCs w:val="20"/>
          <w:color w:val="auto"/>
        </w:rPr>
      </w:pPr>
      <w:r>
        <w:rPr>
          <w:rFonts w:ascii="Arial" w:cs="Arial" w:eastAsia="Arial" w:hAnsi="Arial"/>
          <w:sz w:val="8"/>
          <w:szCs w:val="8"/>
          <w:color w:val="auto"/>
        </w:rPr>
        <w:t>For the relative measures, 200% vests for first position, 150% for second, 80% for third and 0% for ranking fourth or fifth. The comparator group consists of four of the strongest companies in our industry (BP, Chevron, ExxonMobil and Total). Outperforming Shell’s closest competitors on key financial metrics is challenging. A vesting outcome of 80% for median performance (40% of maximum) in a small comparator group is considered appropriate by the REMCO. The REMCO is aware that vesting for median performance is generally set at a limit of 25% of maximum for other UK companies. However, these are typically applied against a larger comparator group.</w:t>
      </w:r>
    </w:p>
    <w:p>
      <w:pPr>
        <w:spacing w:after="0" w:line="127" w:lineRule="exact"/>
        <w:rPr>
          <w:sz w:val="20"/>
          <w:szCs w:val="20"/>
          <w:color w:val="auto"/>
        </w:rPr>
      </w:pPr>
    </w:p>
    <w:p>
      <w:pPr>
        <w:ind w:right="200"/>
        <w:spacing w:after="0" w:line="234" w:lineRule="auto"/>
        <w:rPr>
          <w:sz w:val="20"/>
          <w:szCs w:val="20"/>
          <w:color w:val="auto"/>
        </w:rPr>
      </w:pPr>
      <w:r>
        <w:rPr>
          <w:rFonts w:ascii="Arial" w:cs="Arial" w:eastAsia="Arial" w:hAnsi="Arial"/>
          <w:sz w:val="10"/>
          <w:szCs w:val="10"/>
          <w:color w:val="auto"/>
        </w:rPr>
        <w:t>The REMCO will regularly review the measures, weightings and comparator group, and retains the right to adjust these to ensure that the LTIP continues to serve its intended purpose with a stretching level of challenge. If the REMCO was to propose any material changes to the LTIP performance metrics, it would consult with major shareholders.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TSR underpin</w:t>
      </w:r>
    </w:p>
    <w:p>
      <w:pPr>
        <w:spacing w:after="0" w:line="1" w:lineRule="exact"/>
        <w:rPr>
          <w:sz w:val="20"/>
          <w:szCs w:val="20"/>
          <w:color w:val="auto"/>
        </w:rPr>
      </w:pPr>
    </w:p>
    <w:p>
      <w:pPr>
        <w:ind w:right="380"/>
        <w:spacing w:after="0" w:line="231" w:lineRule="auto"/>
        <w:rPr>
          <w:sz w:val="20"/>
          <w:szCs w:val="20"/>
          <w:color w:val="auto"/>
        </w:rPr>
      </w:pPr>
      <w:r>
        <w:rPr>
          <w:rFonts w:ascii="Arial" w:cs="Arial" w:eastAsia="Arial" w:hAnsi="Arial"/>
          <w:sz w:val="10"/>
          <w:szCs w:val="10"/>
          <w:color w:val="auto"/>
        </w:rPr>
        <w:t>If the TSR ranking is fourth or fifth, the level of the award that can vest on the basis of the other measures will be capped at 50% of the maximum payout for the LTIP.</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The detailed weightings and metrics applicable to the 2020 bonus scorecard are set out on page 123.</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detailed weightings and metrics applicable to the 2020 grant are set out on page 127.</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Performance Period</w:t>
      </w:r>
    </w:p>
    <w:p>
      <w:pPr>
        <w:spacing w:after="0" w:line="1" w:lineRule="exact"/>
        <w:rPr>
          <w:sz w:val="20"/>
          <w:szCs w:val="20"/>
          <w:color w:val="auto"/>
        </w:rPr>
      </w:pPr>
    </w:p>
    <w:p>
      <w:pPr>
        <w:ind w:right="120"/>
        <w:spacing w:after="0" w:line="228" w:lineRule="auto"/>
        <w:rPr>
          <w:sz w:val="20"/>
          <w:szCs w:val="20"/>
          <w:color w:val="auto"/>
        </w:rPr>
      </w:pPr>
      <w:r>
        <w:rPr>
          <w:rFonts w:ascii="Arial" w:cs="Arial" w:eastAsia="Arial" w:hAnsi="Arial"/>
          <w:sz w:val="10"/>
          <w:szCs w:val="10"/>
          <w:color w:val="auto"/>
        </w:rPr>
        <w:t>LTIP performance is assessed over a three-year period. Vested shares from the LTIP are subject to a further three-year holding period post-vesting. This holding period commences on the date of vesting and remains in force beyond an Executive Director’s tenure. This time horizon is deemed to be suitable for incentive purposes but is recognised as short relative to some of Shell’s operations. However, the REMCO believes that it provides for broad</w:t>
      </w:r>
    </w:p>
    <w:p>
      <w:pPr>
        <w:spacing w:after="0" w:line="200" w:lineRule="exact"/>
        <w:rPr>
          <w:sz w:val="20"/>
          <w:szCs w:val="20"/>
          <w:color w:val="auto"/>
        </w:rPr>
      </w:pPr>
    </w:p>
    <w:p>
      <w:pPr>
        <w:sectPr>
          <w:pgSz w:w="11900" w:h="16838" w:orient="portrait"/>
          <w:cols w:equalWidth="0" w:num="2">
            <w:col w:w="5440" w:space="280"/>
            <w:col w:w="5580"/>
          </w:cols>
          <w:pgMar w:left="300" w:top="802" w:right="299" w:bottom="1440" w:gutter="0" w:footer="0" w:header="0"/>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141</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8"/>
          <w:szCs w:val="8"/>
          <w:color w:val="auto"/>
        </w:rPr>
        <w:t>alignment with shareholder interests when coupled with significant shareholding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1885950" cy="10801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88595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7"/>
          <w:szCs w:val="7"/>
          <w:color w:val="auto"/>
        </w:rPr>
        <w:t>GOVERNANCE SHELL FORM 20-F 2020</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0"/>
          <w:szCs w:val="10"/>
          <w:color w:val="auto"/>
        </w:rPr>
        <w:t>Discretion, malus and clawback</w:t>
      </w:r>
    </w:p>
    <w:p>
      <w:pPr>
        <w:spacing w:after="0" w:line="1" w:lineRule="exact"/>
        <w:rPr>
          <w:sz w:val="20"/>
          <w:szCs w:val="20"/>
          <w:color w:val="auto"/>
        </w:rPr>
      </w:pPr>
    </w:p>
    <w:p>
      <w:pPr>
        <w:ind w:left="140" w:right="20"/>
        <w:spacing w:after="0" w:line="231" w:lineRule="auto"/>
        <w:rPr>
          <w:sz w:val="20"/>
          <w:szCs w:val="20"/>
          <w:color w:val="auto"/>
        </w:rPr>
      </w:pPr>
      <w:r>
        <w:rPr>
          <w:rFonts w:ascii="Arial" w:cs="Arial" w:eastAsia="Arial" w:hAnsi="Arial"/>
          <w:sz w:val="10"/>
          <w:szCs w:val="10"/>
          <w:color w:val="auto"/>
        </w:rPr>
        <w:t>Variable pay awards may be made subject to adjustment events. At the discretion of REMCO, such an award may be adjusted before delivery (malus) or reclaimed after delivery (clawback) if an adjustment event occurs.</w:t>
      </w:r>
    </w:p>
    <w:p>
      <w:pPr>
        <w:spacing w:after="0" w:line="149" w:lineRule="exact"/>
        <w:rPr>
          <w:sz w:val="20"/>
          <w:szCs w:val="20"/>
          <w:color w:val="auto"/>
        </w:rPr>
      </w:pPr>
    </w:p>
    <w:p>
      <w:pPr>
        <w:ind w:left="140" w:right="60"/>
        <w:spacing w:after="0" w:line="300" w:lineRule="auto"/>
        <w:rPr>
          <w:sz w:val="20"/>
          <w:szCs w:val="20"/>
          <w:color w:val="auto"/>
        </w:rPr>
      </w:pPr>
      <w:r>
        <w:rPr>
          <w:rFonts w:ascii="Arial" w:cs="Arial" w:eastAsia="Arial" w:hAnsi="Arial"/>
          <w:sz w:val="8"/>
          <w:szCs w:val="8"/>
          <w:color w:val="auto"/>
        </w:rPr>
        <w:t>Adjustment events will be specified in award documentation and it is intended that they will, for example, relate to restatement of financial statements due to material non-compliance with a financial reporting requirement; misconduct by an Executive Director or misconduct through their direction or non-direction; any material breach of health and safety or environment regulations; serious reputational damage to Shell; material failure of risk management; corporate failure; or other exceptional events as determined at the discretion of the REMCO. The REMCO retains the right to alter the list of adjustment events in respect of future awards.</w:t>
      </w:r>
    </w:p>
    <w:p>
      <w:pPr>
        <w:spacing w:after="0" w:line="127" w:lineRule="exact"/>
        <w:rPr>
          <w:sz w:val="20"/>
          <w:szCs w:val="20"/>
          <w:color w:val="auto"/>
        </w:rPr>
      </w:pPr>
    </w:p>
    <w:p>
      <w:pPr>
        <w:ind w:left="140"/>
        <w:spacing w:after="0" w:line="234" w:lineRule="auto"/>
        <w:rPr>
          <w:sz w:val="20"/>
          <w:szCs w:val="20"/>
          <w:color w:val="auto"/>
        </w:rPr>
      </w:pPr>
      <w:r>
        <w:rPr>
          <w:rFonts w:ascii="Arial" w:cs="Arial" w:eastAsia="Arial" w:hAnsi="Arial"/>
          <w:sz w:val="10"/>
          <w:szCs w:val="10"/>
          <w:color w:val="auto"/>
        </w:rPr>
        <w:t>In addition, the REMCO retains the discretion to adjust mathematical outcomes if and to the extent that it considers this appropriate. This power to adjust the outcomes is broad and includes adjusting the outcomes to zero. For example, an adjustment might be made if the REMCO considers:</w:t>
      </w:r>
    </w:p>
    <w:p>
      <w:pPr>
        <w:spacing w:after="0" w:line="150" w:lineRule="exact"/>
        <w:rPr>
          <w:sz w:val="20"/>
          <w:szCs w:val="20"/>
          <w:color w:val="auto"/>
        </w:rPr>
      </w:pPr>
    </w:p>
    <w:p>
      <w:pPr>
        <w:ind w:left="260" w:hanging="111"/>
        <w:spacing w:after="0" w:line="233" w:lineRule="auto"/>
        <w:tabs>
          <w:tab w:leader="none" w:pos="255" w:val="left"/>
        </w:tabs>
        <w:numPr>
          <w:ilvl w:val="0"/>
          <w:numId w:val="153"/>
        </w:numPr>
        <w:rPr>
          <w:rFonts w:ascii="Arial" w:cs="Arial" w:eastAsia="Arial" w:hAnsi="Arial"/>
          <w:sz w:val="10"/>
          <w:szCs w:val="10"/>
          <w:color w:val="auto"/>
        </w:rPr>
      </w:pPr>
      <w:r>
        <w:rPr>
          <w:rFonts w:ascii="Arial" w:cs="Arial" w:eastAsia="Arial" w:hAnsi="Arial"/>
          <w:sz w:val="10"/>
          <w:szCs w:val="10"/>
          <w:color w:val="auto"/>
        </w:rPr>
        <w:t>The mathematical outcomes do not reflect the wider financial or non-financial performance of RDS or the participant over the performance period;</w:t>
      </w:r>
    </w:p>
    <w:p>
      <w:pPr>
        <w:ind w:left="240" w:hanging="91"/>
        <w:spacing w:after="0"/>
        <w:tabs>
          <w:tab w:leader="none" w:pos="240" w:val="left"/>
        </w:tabs>
        <w:numPr>
          <w:ilvl w:val="0"/>
          <w:numId w:val="153"/>
        </w:numPr>
        <w:rPr>
          <w:rFonts w:ascii="Arial" w:cs="Arial" w:eastAsia="Arial" w:hAnsi="Arial"/>
          <w:sz w:val="8"/>
          <w:szCs w:val="8"/>
          <w:color w:val="auto"/>
        </w:rPr>
      </w:pPr>
      <w:r>
        <w:rPr>
          <w:rFonts w:ascii="Arial" w:cs="Arial" w:eastAsia="Arial" w:hAnsi="Arial"/>
          <w:sz w:val="8"/>
          <w:szCs w:val="8"/>
          <w:color w:val="auto"/>
        </w:rPr>
        <w:t>The LTIP vesting percentage is not appropriate in the context of circumstances that were unexpected or unforeseen at award; and</w:t>
      </w:r>
    </w:p>
    <w:p>
      <w:pPr>
        <w:spacing w:after="0" w:line="16" w:lineRule="exact"/>
        <w:rPr>
          <w:rFonts w:ascii="Arial" w:cs="Arial" w:eastAsia="Arial" w:hAnsi="Arial"/>
          <w:sz w:val="8"/>
          <w:szCs w:val="8"/>
          <w:color w:val="auto"/>
        </w:rPr>
      </w:pPr>
    </w:p>
    <w:p>
      <w:pPr>
        <w:ind w:left="240" w:hanging="91"/>
        <w:spacing w:after="0" w:line="236" w:lineRule="auto"/>
        <w:tabs>
          <w:tab w:leader="none" w:pos="240" w:val="left"/>
        </w:tabs>
        <w:numPr>
          <w:ilvl w:val="0"/>
          <w:numId w:val="153"/>
        </w:numPr>
        <w:rPr>
          <w:rFonts w:ascii="Arial" w:cs="Arial" w:eastAsia="Arial" w:hAnsi="Arial"/>
          <w:sz w:val="10"/>
          <w:szCs w:val="10"/>
          <w:color w:val="auto"/>
        </w:rPr>
      </w:pPr>
      <w:r>
        <w:rPr>
          <w:rFonts w:ascii="Arial" w:cs="Arial" w:eastAsia="Arial" w:hAnsi="Arial"/>
          <w:sz w:val="10"/>
          <w:szCs w:val="10"/>
          <w:color w:val="auto"/>
        </w:rPr>
        <w:t>There is any other reason why an adjustment is appropriate.</w:t>
      </w:r>
    </w:p>
    <w:p>
      <w:pPr>
        <w:spacing w:after="0" w:line="149" w:lineRule="exact"/>
        <w:rPr>
          <w:sz w:val="20"/>
          <w:szCs w:val="20"/>
          <w:color w:val="auto"/>
        </w:rPr>
      </w:pPr>
    </w:p>
    <w:p>
      <w:pPr>
        <w:ind w:left="140" w:right="80"/>
        <w:spacing w:after="0" w:line="239" w:lineRule="auto"/>
        <w:rPr>
          <w:sz w:val="20"/>
          <w:szCs w:val="20"/>
          <w:color w:val="auto"/>
        </w:rPr>
      </w:pPr>
      <w:r>
        <w:rPr>
          <w:rFonts w:ascii="Arial" w:cs="Arial" w:eastAsia="Arial" w:hAnsi="Arial"/>
          <w:sz w:val="10"/>
          <w:szCs w:val="10"/>
          <w:color w:val="auto"/>
        </w:rPr>
        <w:t>It is not anticipated that discretion would be used for upwards adjustment. If, in exceptional circumstances, it was considered, this would be done only after consultation with major shareholders.</w:t>
      </w:r>
    </w:p>
    <w:p>
      <w:pPr>
        <w:spacing w:after="0" w:line="149" w:lineRule="exact"/>
        <w:rPr>
          <w:sz w:val="20"/>
          <w:szCs w:val="20"/>
          <w:color w:val="auto"/>
        </w:rPr>
      </w:pPr>
    </w:p>
    <w:p>
      <w:pPr>
        <w:ind w:left="140" w:right="20"/>
        <w:spacing w:after="0" w:line="299" w:lineRule="auto"/>
        <w:rPr>
          <w:sz w:val="20"/>
          <w:szCs w:val="20"/>
          <w:color w:val="auto"/>
        </w:rPr>
      </w:pPr>
      <w:r>
        <w:rPr>
          <w:rFonts w:ascii="Arial" w:cs="Arial" w:eastAsia="Arial" w:hAnsi="Arial"/>
          <w:sz w:val="8"/>
          <w:szCs w:val="8"/>
          <w:color w:val="auto"/>
        </w:rPr>
        <w:t>Performance outcomes and/or share price appreciation make it difficult to predict the final amounts delivered under the LTIP at the time of award. In years where the vesting outcome makes the total remuneration inappropriate for any Executive Director, the REMCO will consider an adjustment to the annual bonus outcome or the LTIP vesting outcome for the purposes of managing remuneration quantum. In making any adjustment to the annual bonus or LTIP vesting outcome for this purpose REMCO will consider the overall level of remuneration for the Executive Director, the operation of the annual bonus, the operation of the LTIP, the wider performance of Shell over the performance periods, as well as the internal context for other employees.</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An explanation of any discretionary adjustment would be set out in the relevant Directors’ Remuneration Report.</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Treatment of outstanding awards</w:t>
      </w:r>
    </w:p>
    <w:p>
      <w:pPr>
        <w:spacing w:after="0" w:line="1" w:lineRule="exact"/>
        <w:rPr>
          <w:sz w:val="20"/>
          <w:szCs w:val="20"/>
          <w:color w:val="auto"/>
        </w:rPr>
      </w:pPr>
    </w:p>
    <w:p>
      <w:pPr>
        <w:ind w:left="140" w:right="20"/>
        <w:spacing w:after="0" w:line="337" w:lineRule="auto"/>
        <w:rPr>
          <w:sz w:val="20"/>
          <w:szCs w:val="20"/>
          <w:color w:val="auto"/>
        </w:rPr>
      </w:pPr>
      <w:r>
        <w:rPr>
          <w:rFonts w:ascii="Arial" w:cs="Arial" w:eastAsia="Arial" w:hAnsi="Arial"/>
          <w:sz w:val="8"/>
          <w:szCs w:val="8"/>
          <w:color w:val="auto"/>
        </w:rPr>
        <w:t>Awards granted prior to the approval and implementation of this Policy and/or prior to an individual becoming an Executive Director will continue to vest and be delivered in accordance with the terms of the original award even if this is not consistent with the terms of this Policy.</w:t>
      </w:r>
    </w:p>
    <w:p>
      <w:pPr>
        <w:spacing w:after="0" w:line="112" w:lineRule="exact"/>
        <w:rPr>
          <w:sz w:val="20"/>
          <w:szCs w:val="20"/>
          <w:color w:val="auto"/>
        </w:rPr>
      </w:pPr>
    </w:p>
    <w:p>
      <w:pPr>
        <w:ind w:left="140" w:right="200"/>
        <w:spacing w:after="0" w:line="239" w:lineRule="auto"/>
        <w:rPr>
          <w:sz w:val="20"/>
          <w:szCs w:val="20"/>
          <w:color w:val="auto"/>
        </w:rPr>
      </w:pPr>
      <w:r>
        <w:rPr>
          <w:rFonts w:ascii="Arial" w:cs="Arial" w:eastAsia="Arial" w:hAnsi="Arial"/>
          <w:sz w:val="10"/>
          <w:szCs w:val="10"/>
          <w:color w:val="auto"/>
        </w:rPr>
        <w:t>As at March 10, 2020, this applies to Executive Directors Ben van Beurden and Jessica Uhl who each have outstanding awards under the LTIP.</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Shareholding</w:t>
      </w:r>
    </w:p>
    <w:p>
      <w:pPr>
        <w:spacing w:after="0" w:line="1" w:lineRule="exact"/>
        <w:rPr>
          <w:sz w:val="20"/>
          <w:szCs w:val="20"/>
          <w:color w:val="auto"/>
        </w:rPr>
      </w:pPr>
    </w:p>
    <w:p>
      <w:pPr>
        <w:ind w:left="140" w:right="120"/>
        <w:spacing w:after="0" w:line="300" w:lineRule="auto"/>
        <w:rPr>
          <w:sz w:val="20"/>
          <w:szCs w:val="20"/>
          <w:color w:val="auto"/>
        </w:rPr>
      </w:pPr>
      <w:r>
        <w:rPr>
          <w:rFonts w:ascii="Arial" w:cs="Arial" w:eastAsia="Arial" w:hAnsi="Arial"/>
          <w:sz w:val="8"/>
          <w:szCs w:val="8"/>
          <w:color w:val="auto"/>
        </w:rPr>
        <w:t>The REMCO believes significant shareholding by Executive Directors is an important way of ensuring that shareholders and Executive Directors share the same priorities. Shareholding is one of Shell’s core remuneration principles as it creates a balanced connection between individual wealth and Shell’s long-term performance. This will support effective governance and an ownership mindset. Significant shareholding requirements reflect the performance timescales of Shell and are aligned with absolute shareholder return.</w:t>
      </w:r>
    </w:p>
    <w:p>
      <w:pPr>
        <w:spacing w:after="0" w:line="126" w:lineRule="exact"/>
        <w:rPr>
          <w:sz w:val="20"/>
          <w:szCs w:val="20"/>
          <w:color w:val="auto"/>
        </w:rPr>
      </w:pPr>
    </w:p>
    <w:p>
      <w:pPr>
        <w:ind w:left="140" w:right="40"/>
        <w:spacing w:after="0" w:line="232" w:lineRule="auto"/>
        <w:rPr>
          <w:sz w:val="20"/>
          <w:szCs w:val="20"/>
          <w:color w:val="auto"/>
        </w:rPr>
      </w:pPr>
      <w:r>
        <w:rPr>
          <w:rFonts w:ascii="Arial" w:cs="Arial" w:eastAsia="Arial" w:hAnsi="Arial"/>
          <w:sz w:val="10"/>
          <w:szCs w:val="10"/>
          <w:color w:val="auto"/>
        </w:rPr>
        <w:t>The CEO is expected to build up a shareholding of seven times their base salary over five years from appointment. The CFO is expected to build up a shareholding of five times their base salary over the same period. In the event of an increase to the guideline multiple of salary, for every additional multiple of salary required, the director will have one extra year to reach the increased guideline, subject to a maximum of five years from the date of the change.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7"/>
          <w:szCs w:val="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-3547745</wp:posOffset>
            </wp:positionH>
            <wp:positionV relativeFrom="paragraph">
              <wp:posOffset>102235</wp:posOffset>
            </wp:positionV>
            <wp:extent cx="7178040" cy="114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2">
            <w:col w:w="4860" w:space="720"/>
            <w:col w:w="5600"/>
          </w:cols>
          <w:pgMar w:left="300" w:top="640" w:right="419" w:bottom="1440" w:gutter="0" w:footer="0" w:header="0"/>
        </w:sectPr>
      </w:pPr>
    </w:p>
    <w:bookmarkStart w:id="145" w:name="page146"/>
    <w:bookmarkEnd w:id="145"/>
    <w:p>
      <w:pPr>
        <w:ind w:right="200"/>
        <w:spacing w:after="0" w:line="239" w:lineRule="auto"/>
        <w:rPr>
          <w:sz w:val="20"/>
          <w:szCs w:val="20"/>
          <w:color w:val="auto"/>
        </w:rPr>
      </w:pPr>
      <w:r>
        <w:rPr>
          <w:rFonts w:ascii="Arial" w:cs="Arial" w:eastAsia="Arial" w:hAnsi="Arial"/>
          <w:sz w:val="10"/>
          <w:szCs w:val="10"/>
          <w:color w:val="auto"/>
        </w:rPr>
        <w:t>Executive Directors will be required to maintain their shareholding requirement (or their existing shareholding if less than the guideline) for a period of two years post-employment.</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10"/>
          <w:szCs w:val="10"/>
          <w:color w:val="auto"/>
        </w:rPr>
        <w:t>The holding periods for LTIP vested shares and shares delivered as part of the annual bonus continue to apply after Executive Directors leave employment.</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Differences for Executive Directors from other employees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0"/>
          <w:szCs w:val="10"/>
          <w:color w:val="auto"/>
        </w:rPr>
        <w:t>The remuneration structure and approach to setting remuneration levels is consistent across Shell, with consideration given to location, seniority and responsibilities. However, a higher proportion of total remuneration is tied to variable pay for Executive Directors and members of Senior Management.</w:t>
      </w:r>
    </w:p>
    <w:p>
      <w:pPr>
        <w:spacing w:after="0" w:line="149" w:lineRule="exact"/>
        <w:rPr>
          <w:sz w:val="20"/>
          <w:szCs w:val="20"/>
          <w:color w:val="auto"/>
        </w:rPr>
      </w:pPr>
    </w:p>
    <w:p>
      <w:pPr>
        <w:jc w:val="both"/>
        <w:ind w:right="60"/>
        <w:spacing w:after="0" w:line="358" w:lineRule="auto"/>
        <w:rPr>
          <w:sz w:val="20"/>
          <w:szCs w:val="20"/>
          <w:color w:val="auto"/>
        </w:rPr>
      </w:pPr>
      <w:r>
        <w:rPr>
          <w:rFonts w:ascii="Arial" w:cs="Arial" w:eastAsia="Arial" w:hAnsi="Arial"/>
          <w:sz w:val="8"/>
          <w:szCs w:val="8"/>
          <w:color w:val="auto"/>
        </w:rPr>
        <w:t>The salary for each Executive Director is determined based on the indicators in the “Executive Directors’ remuneration policy table”, which reflect the international nature of the Executive Directors’ labour market. The salary for other employees is normally set on a country basis.</w:t>
      </w:r>
    </w:p>
    <w:p>
      <w:pPr>
        <w:spacing w:after="0" w:line="20" w:lineRule="exact"/>
        <w:rPr>
          <w:sz w:val="20"/>
          <w:szCs w:val="20"/>
          <w:color w:val="auto"/>
        </w:rPr>
      </w:pPr>
      <w:r>
        <w:rPr>
          <w:sz w:val="20"/>
          <w:szCs w:val="20"/>
          <w:color w:val="auto"/>
        </w:rPr>
        <w:br w:type="column"/>
      </w:r>
    </w:p>
    <w:p>
      <w:pPr>
        <w:ind w:right="240"/>
        <w:spacing w:after="0" w:line="239" w:lineRule="auto"/>
        <w:rPr>
          <w:sz w:val="20"/>
          <w:szCs w:val="20"/>
          <w:color w:val="auto"/>
        </w:rPr>
      </w:pPr>
      <w:r>
        <w:rPr>
          <w:rFonts w:ascii="Arial" w:cs="Arial" w:eastAsia="Arial" w:hAnsi="Arial"/>
          <w:sz w:val="10"/>
          <w:szCs w:val="10"/>
          <w:color w:val="auto"/>
        </w:rPr>
        <w:t>Executive Directors are eligible to receive the standard benefits and allowances provided to other employees. The provisions which are not generally available for other employees are described in “Benefits”.</w:t>
      </w:r>
    </w:p>
    <w:p>
      <w:pPr>
        <w:spacing w:after="0" w:line="149" w:lineRule="exact"/>
        <w:rPr>
          <w:sz w:val="20"/>
          <w:szCs w:val="20"/>
          <w:color w:val="auto"/>
        </w:rPr>
      </w:pPr>
    </w:p>
    <w:p>
      <w:pPr>
        <w:ind w:right="160"/>
        <w:spacing w:after="0" w:line="299" w:lineRule="auto"/>
        <w:rPr>
          <w:sz w:val="20"/>
          <w:szCs w:val="20"/>
          <w:color w:val="auto"/>
        </w:rPr>
      </w:pPr>
      <w:r>
        <w:rPr>
          <w:rFonts w:ascii="Arial" w:cs="Arial" w:eastAsia="Arial" w:hAnsi="Arial"/>
          <w:sz w:val="8"/>
          <w:szCs w:val="8"/>
          <w:color w:val="auto"/>
        </w:rPr>
        <w:t>The methodology used for determining the annual bonus for Executive Directors is broadly consistent with the approach for Shell employees generally. However, bonuses for the majority of Shell employees are determined taking into account individual and business performance, whereas bonuses for Executive Directors are based solely on business performance. Although the makeup and weightings scorecard used for the majority of Shell employees is currently aligned with the scorecard, these scorecards may differ if required to support the achievement of business objectives. All Executive Directors and Executive Committee members receive 50% of their annual bonus in shares, which are subject to a three-year holding period.</w:t>
      </w:r>
    </w:p>
    <w:p>
      <w:pPr>
        <w:spacing w:after="0" w:line="237" w:lineRule="exact"/>
        <w:rPr>
          <w:sz w:val="20"/>
          <w:szCs w:val="20"/>
          <w:color w:val="auto"/>
        </w:rPr>
      </w:pPr>
    </w:p>
    <w:p>
      <w:pPr>
        <w:ind w:right="300"/>
        <w:spacing w:after="0" w:line="300" w:lineRule="auto"/>
        <w:rPr>
          <w:sz w:val="20"/>
          <w:szCs w:val="20"/>
          <w:color w:val="auto"/>
        </w:rPr>
      </w:pPr>
      <w:r>
        <w:rPr>
          <w:rFonts w:ascii="Arial" w:cs="Arial" w:eastAsia="Arial" w:hAnsi="Arial"/>
          <w:sz w:val="8"/>
          <w:szCs w:val="8"/>
          <w:color w:val="auto"/>
        </w:rPr>
        <w:t>Executive Directors are not eligible to receive new awards under employee share plans other than the LTIP, although awards previously granted will continue to vest in accordance with the terms of the original award. Selected employees participate in the Performance Share Plan (PSP). The operation of the PSP is similar to the LTIP, but currently differs, for example, in some performance measures and their relative weightings. As at March 2020, around 51,000 employees participate in one or more of Shell’s global share plans and/or incentive plans, further supporting alignment with shareholder interests.</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Executive Directors’ retirement benefits are maintained in line with those of the wider workforce in their base country.</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Illustration of potential remuneration outcomes</w:t>
      </w:r>
    </w:p>
    <w:p>
      <w:pPr>
        <w:spacing w:after="0" w:line="1" w:lineRule="exact"/>
        <w:rPr>
          <w:sz w:val="20"/>
          <w:szCs w:val="20"/>
          <w:color w:val="auto"/>
        </w:rPr>
      </w:pPr>
    </w:p>
    <w:p>
      <w:pPr>
        <w:jc w:val="both"/>
        <w:ind w:right="360"/>
        <w:spacing w:after="0" w:line="276" w:lineRule="auto"/>
        <w:rPr>
          <w:sz w:val="20"/>
          <w:szCs w:val="20"/>
          <w:color w:val="auto"/>
        </w:rPr>
      </w:pPr>
      <w:r>
        <w:rPr>
          <w:rFonts w:ascii="Arial" w:cs="Arial" w:eastAsia="Arial" w:hAnsi="Arial"/>
          <w:sz w:val="8"/>
          <w:szCs w:val="8"/>
          <w:color w:val="auto"/>
        </w:rPr>
        <w:t>The charts on this page represent estimates under four performance scenarios (“Minimum”, “On-target”, “Maximum” and “Maximum, assuming a 50% share price appreciation between award and vest”) of the potential remuneration outcomes for each Executive Director resulting from the application of 2020 base salaries to awards made in accordance with the proposed Policy. The majority of Executive Directors’ remuneration is delivered through variable pay elements, which are conditional on the achievement of stretching targets.</w:t>
      </w:r>
    </w:p>
    <w:p>
      <w:pPr>
        <w:spacing w:after="0" w:line="127" w:lineRule="exact"/>
        <w:rPr>
          <w:sz w:val="20"/>
          <w:szCs w:val="20"/>
          <w:color w:val="auto"/>
        </w:rPr>
      </w:pPr>
    </w:p>
    <w:p>
      <w:pPr>
        <w:jc w:val="both"/>
        <w:ind w:right="220"/>
        <w:spacing w:after="0" w:line="320" w:lineRule="auto"/>
        <w:rPr>
          <w:sz w:val="20"/>
          <w:szCs w:val="20"/>
          <w:color w:val="auto"/>
        </w:rPr>
      </w:pPr>
      <w:r>
        <w:rPr>
          <w:rFonts w:ascii="Arial" w:cs="Arial" w:eastAsia="Arial" w:hAnsi="Arial"/>
          <w:sz w:val="8"/>
          <w:szCs w:val="8"/>
          <w:color w:val="auto"/>
        </w:rPr>
        <w:t>The REMCO will review the formulaic Single Figure outcome relative to the quality of performance outcomes and adjust these, taking into account Shell’s performance, shareholder experience, the operation of the remuneration structures and any other relevant factors, to ensure that the highest variable pay outcomes are only achieved in years with the highest quality performance.</w:t>
      </w:r>
    </w:p>
    <w:p>
      <w:pPr>
        <w:spacing w:after="0" w:line="200" w:lineRule="exact"/>
        <w:rPr>
          <w:sz w:val="20"/>
          <w:szCs w:val="20"/>
          <w:color w:val="auto"/>
        </w:rPr>
      </w:pPr>
    </w:p>
    <w:p>
      <w:pPr>
        <w:sectPr>
          <w:pgSz w:w="11900" w:h="16838" w:orient="portrait"/>
          <w:cols w:equalWidth="0" w:num="2">
            <w:col w:w="5420" w:space="300"/>
            <w:col w:w="5580"/>
          </w:cols>
          <w:pgMar w:left="300" w:top="640" w:right="299" w:bottom="1440" w:gutter="0" w:footer="0" w:header="0"/>
        </w:sect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143</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46" w:name="page147"/>
    <w:bookmarkEnd w:id="146"/>
    <w:p>
      <w:pPr>
        <w:spacing w:after="0" w:line="231" w:lineRule="auto"/>
        <w:rPr>
          <w:sz w:val="20"/>
          <w:szCs w:val="20"/>
          <w:color w:val="auto"/>
        </w:rPr>
      </w:pPr>
      <w:r>
        <w:rPr>
          <w:rFonts w:ascii="Arial" w:cs="Arial" w:eastAsia="Arial" w:hAnsi="Arial"/>
          <w:sz w:val="10"/>
          <w:szCs w:val="10"/>
          <w:color w:val="auto"/>
        </w:rPr>
        <w:t>The scenario charts are based on future Policy award levels and are combined with projected single total figures of remuneration. The pay scenarios are forward-looking and only serve to illustrate the future Policy. For simplicity, the minimum, on-target and maximum scenarios assume no share price movement and exclude dividend accrual, for the portion of the bonus paid in shares and the LTIP, although dividend accrual during the performance and holding period applies. The scenarios are based on the current CEO (Ben van Beurden) and CFO (Jessica Uhl)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205105</wp:posOffset>
            </wp:positionV>
            <wp:extent cx="1885950" cy="30003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885950" cy="3000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Recruitment</w:t>
      </w:r>
    </w:p>
    <w:p>
      <w:pPr>
        <w:spacing w:after="0" w:line="1" w:lineRule="exact"/>
        <w:rPr>
          <w:sz w:val="20"/>
          <w:szCs w:val="20"/>
          <w:color w:val="auto"/>
        </w:rPr>
      </w:pPr>
    </w:p>
    <w:p>
      <w:pPr>
        <w:ind w:right="240"/>
        <w:spacing w:after="0" w:line="231" w:lineRule="auto"/>
        <w:rPr>
          <w:sz w:val="20"/>
          <w:szCs w:val="20"/>
          <w:color w:val="auto"/>
        </w:rPr>
      </w:pPr>
      <w:r>
        <w:rPr>
          <w:rFonts w:ascii="Arial" w:cs="Arial" w:eastAsia="Arial" w:hAnsi="Arial"/>
          <w:sz w:val="10"/>
          <w:szCs w:val="10"/>
          <w:color w:val="auto"/>
        </w:rPr>
        <w:t>The REMCO determines the remuneration package for new Executive Director appointments. These appointments may involve external or internal recruitment or reflect a change in role of a current Executive Director.</w:t>
      </w:r>
    </w:p>
    <w:p>
      <w:pPr>
        <w:spacing w:after="0" w:line="149" w:lineRule="exact"/>
        <w:rPr>
          <w:sz w:val="20"/>
          <w:szCs w:val="20"/>
          <w:color w:val="auto"/>
        </w:rPr>
      </w:pPr>
    </w:p>
    <w:p>
      <w:pPr>
        <w:spacing w:after="0"/>
        <w:rPr>
          <w:sz w:val="20"/>
          <w:szCs w:val="20"/>
          <w:color w:val="auto"/>
        </w:rPr>
      </w:pPr>
      <w:r>
        <w:rPr>
          <w:rFonts w:ascii="Arial" w:cs="Arial" w:eastAsia="Arial" w:hAnsi="Arial"/>
          <w:sz w:val="8"/>
          <w:szCs w:val="8"/>
          <w:color w:val="auto"/>
        </w:rPr>
        <w:t>When determining remuneration packages for new Executive Directors, the REMCO will seek a balanced outcome which allows Shell to:</w:t>
      </w:r>
    </w:p>
    <w:p>
      <w:pPr>
        <w:spacing w:after="0" w:line="17" w:lineRule="exact"/>
        <w:rPr>
          <w:sz w:val="20"/>
          <w:szCs w:val="20"/>
          <w:color w:val="auto"/>
        </w:rPr>
      </w:pPr>
    </w:p>
    <w:p>
      <w:pPr>
        <w:ind w:left="100" w:hanging="91"/>
        <w:spacing w:after="0"/>
        <w:tabs>
          <w:tab w:leader="none" w:pos="100" w:val="left"/>
        </w:tabs>
        <w:numPr>
          <w:ilvl w:val="0"/>
          <w:numId w:val="154"/>
        </w:numPr>
        <w:rPr>
          <w:rFonts w:ascii="Arial" w:cs="Arial" w:eastAsia="Arial" w:hAnsi="Arial"/>
          <w:sz w:val="10"/>
          <w:szCs w:val="10"/>
          <w:color w:val="auto"/>
        </w:rPr>
      </w:pPr>
      <w:r>
        <w:rPr>
          <w:rFonts w:ascii="Arial" w:cs="Arial" w:eastAsia="Arial" w:hAnsi="Arial"/>
          <w:sz w:val="10"/>
          <w:szCs w:val="10"/>
          <w:color w:val="auto"/>
        </w:rPr>
        <w:t>attract and motivate candidates of the right quality;</w:t>
      </w:r>
    </w:p>
    <w:p>
      <w:pPr>
        <w:ind w:left="100" w:hanging="91"/>
        <w:spacing w:after="0" w:line="225" w:lineRule="auto"/>
        <w:tabs>
          <w:tab w:leader="none" w:pos="100" w:val="left"/>
        </w:tabs>
        <w:numPr>
          <w:ilvl w:val="0"/>
          <w:numId w:val="154"/>
        </w:numPr>
        <w:rPr>
          <w:rFonts w:ascii="Arial" w:cs="Arial" w:eastAsia="Arial" w:hAnsi="Arial"/>
          <w:sz w:val="10"/>
          <w:szCs w:val="10"/>
          <w:color w:val="auto"/>
        </w:rPr>
      </w:pPr>
      <w:r>
        <w:rPr>
          <w:rFonts w:ascii="Arial" w:cs="Arial" w:eastAsia="Arial" w:hAnsi="Arial"/>
          <w:sz w:val="10"/>
          <w:szCs w:val="10"/>
          <w:color w:val="auto"/>
        </w:rPr>
        <w:t>take into account the individual’s current remuneration package and other contractual entitlements;</w:t>
      </w:r>
    </w:p>
    <w:p>
      <w:pPr>
        <w:ind w:left="100" w:hanging="91"/>
        <w:spacing w:after="0" w:line="225" w:lineRule="auto"/>
        <w:tabs>
          <w:tab w:leader="none" w:pos="100" w:val="left"/>
        </w:tabs>
        <w:numPr>
          <w:ilvl w:val="0"/>
          <w:numId w:val="154"/>
        </w:numPr>
        <w:rPr>
          <w:rFonts w:ascii="Arial" w:cs="Arial" w:eastAsia="Arial" w:hAnsi="Arial"/>
          <w:sz w:val="10"/>
          <w:szCs w:val="10"/>
          <w:color w:val="auto"/>
        </w:rPr>
      </w:pPr>
      <w:r>
        <w:rPr>
          <w:rFonts w:ascii="Arial" w:cs="Arial" w:eastAsia="Arial" w:hAnsi="Arial"/>
          <w:sz w:val="10"/>
          <w:szCs w:val="10"/>
          <w:color w:val="auto"/>
        </w:rPr>
        <w:t>seek a competitive pay position relative to our comparator group, without overpaying;</w:t>
      </w:r>
    </w:p>
    <w:p>
      <w:pPr>
        <w:ind w:left="100" w:hanging="91"/>
        <w:spacing w:after="0" w:line="225" w:lineRule="auto"/>
        <w:tabs>
          <w:tab w:leader="none" w:pos="100" w:val="left"/>
        </w:tabs>
        <w:numPr>
          <w:ilvl w:val="0"/>
          <w:numId w:val="154"/>
        </w:numPr>
        <w:rPr>
          <w:rFonts w:ascii="Arial" w:cs="Arial" w:eastAsia="Arial" w:hAnsi="Arial"/>
          <w:sz w:val="10"/>
          <w:szCs w:val="10"/>
          <w:color w:val="auto"/>
        </w:rPr>
      </w:pPr>
      <w:r>
        <w:rPr>
          <w:rFonts w:ascii="Arial" w:cs="Arial" w:eastAsia="Arial" w:hAnsi="Arial"/>
          <w:sz w:val="10"/>
          <w:szCs w:val="10"/>
          <w:color w:val="auto"/>
        </w:rPr>
        <w:t>encourage relocation if required; and</w:t>
      </w:r>
    </w:p>
    <w:p>
      <w:pPr>
        <w:ind w:left="120" w:right="300" w:hanging="111"/>
        <w:spacing w:after="0" w:line="337" w:lineRule="auto"/>
        <w:tabs>
          <w:tab w:leader="none" w:pos="115" w:val="left"/>
        </w:tabs>
        <w:numPr>
          <w:ilvl w:val="0"/>
          <w:numId w:val="154"/>
        </w:numPr>
        <w:rPr>
          <w:rFonts w:ascii="Arial" w:cs="Arial" w:eastAsia="Arial" w:hAnsi="Arial"/>
          <w:sz w:val="8"/>
          <w:szCs w:val="8"/>
          <w:color w:val="auto"/>
        </w:rPr>
      </w:pPr>
      <w:r>
        <w:rPr>
          <w:rFonts w:ascii="Arial" w:cs="Arial" w:eastAsia="Arial" w:hAnsi="Arial"/>
          <w:sz w:val="8"/>
          <w:szCs w:val="8"/>
          <w:color w:val="auto"/>
        </w:rPr>
        <w:t>honour entitlements (for example, variable remuneration) of internal candidates before their promotion to the Board. The REMCO will follow the approach set out in the table below when determining the remuneration package for a new Executive Director.</w:t>
      </w:r>
    </w:p>
    <w:p>
      <w:pPr>
        <w:spacing w:after="0" w:line="200" w:lineRule="exact"/>
        <w:rPr>
          <w:sz w:val="20"/>
          <w:szCs w:val="20"/>
          <w:color w:val="auto"/>
        </w:rPr>
      </w:pPr>
    </w:p>
    <w:p>
      <w:pPr>
        <w:sectPr>
          <w:pgSz w:w="11900" w:h="16838" w:orient="portrait"/>
          <w:cols w:equalWidth="0" w:num="2">
            <w:col w:w="5420" w:space="300"/>
            <w:col w:w="5580"/>
          </w:cols>
          <w:pgMar w:left="300" w:top="64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144</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0"/>
          <w:szCs w:val="10"/>
          <w:color w:val="auto"/>
        </w:rPr>
        <w:t>Recruitment – Remuneration package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56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Component</w:t>
            </w: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Approach</w:t>
            </w:r>
          </w:p>
        </w:tc>
        <w:tc>
          <w:tcPr>
            <w:tcW w:w="25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Maximum</w:t>
            </w:r>
          </w:p>
        </w:tc>
      </w:tr>
      <w:tr>
        <w:trPr>
          <w:trHeight w:val="94"/>
        </w:trPr>
        <w:tc>
          <w:tcPr>
            <w:tcW w:w="2560" w:type="dxa"/>
            <w:vAlign w:val="bottom"/>
          </w:tcPr>
          <w:p>
            <w:pPr>
              <w:spacing w:after="0"/>
              <w:rPr>
                <w:sz w:val="20"/>
                <w:szCs w:val="20"/>
                <w:color w:val="auto"/>
              </w:rPr>
            </w:pPr>
            <w:r>
              <w:rPr>
                <w:rFonts w:ascii="Arial" w:cs="Arial" w:eastAsia="Arial" w:hAnsi="Arial"/>
                <w:sz w:val="8"/>
                <w:szCs w:val="8"/>
                <w:color w:val="auto"/>
              </w:rPr>
              <w:t>Ongoing remuneration</w:t>
            </w:r>
          </w:p>
        </w:tc>
        <w:tc>
          <w:tcPr>
            <w:tcW w:w="5920" w:type="dxa"/>
            <w:vAlign w:val="bottom"/>
          </w:tcPr>
          <w:p>
            <w:pPr>
              <w:ind w:left="20"/>
              <w:spacing w:after="0"/>
              <w:rPr>
                <w:sz w:val="20"/>
                <w:szCs w:val="20"/>
                <w:color w:val="auto"/>
              </w:rPr>
            </w:pPr>
            <w:r>
              <w:rPr>
                <w:rFonts w:ascii="Arial" w:cs="Arial" w:eastAsia="Arial" w:hAnsi="Arial"/>
                <w:sz w:val="8"/>
                <w:szCs w:val="8"/>
                <w:color w:val="auto"/>
                <w:w w:val="96"/>
              </w:rPr>
              <w:t>The salary, benefits, annual bonus, long-term incentives and pension benefits will be positioned and delivered within the framework of the Executive Directors’ remuneration</w:t>
            </w:r>
          </w:p>
        </w:tc>
        <w:tc>
          <w:tcPr>
            <w:tcW w:w="2580" w:type="dxa"/>
            <w:vAlign w:val="bottom"/>
          </w:tcPr>
          <w:p>
            <w:pPr>
              <w:ind w:left="20"/>
              <w:spacing w:after="0"/>
              <w:rPr>
                <w:sz w:val="20"/>
                <w:szCs w:val="20"/>
                <w:color w:val="auto"/>
              </w:rPr>
            </w:pPr>
            <w:r>
              <w:rPr>
                <w:rFonts w:ascii="Arial" w:cs="Arial" w:eastAsia="Arial" w:hAnsi="Arial"/>
                <w:sz w:val="8"/>
                <w:szCs w:val="8"/>
                <w:color w:val="auto"/>
              </w:rPr>
              <w:t>As stated in the “Executive Directors’ remuneration policy table”.</w:t>
            </w:r>
          </w:p>
        </w:tc>
      </w:tr>
      <w:tr>
        <w:trPr>
          <w:trHeight w:val="111"/>
        </w:trPr>
        <w:tc>
          <w:tcPr>
            <w:tcW w:w="2560" w:type="dxa"/>
            <w:vAlign w:val="bottom"/>
            <w:tcBorders>
              <w:bottom w:val="single" w:sz="8" w:color="auto"/>
            </w:tcBorders>
          </w:tcPr>
          <w:p>
            <w:pPr>
              <w:spacing w:after="0"/>
              <w:rPr>
                <w:sz w:val="9"/>
                <w:szCs w:val="9"/>
                <w:color w:val="auto"/>
              </w:rPr>
            </w:pP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policy.</w:t>
            </w:r>
          </w:p>
        </w:tc>
        <w:tc>
          <w:tcPr>
            <w:tcW w:w="2580" w:type="dxa"/>
            <w:vAlign w:val="bottom"/>
            <w:tcBorders>
              <w:bottom w:val="single" w:sz="8" w:color="auto"/>
            </w:tcBorders>
          </w:tcPr>
          <w:p>
            <w:pPr>
              <w:spacing w:after="0"/>
              <w:rPr>
                <w:sz w:val="9"/>
                <w:szCs w:val="9"/>
                <w:color w:val="auto"/>
              </w:rPr>
            </w:pPr>
          </w:p>
        </w:tc>
      </w:tr>
      <w:tr>
        <w:trPr>
          <w:trHeight w:val="94"/>
        </w:trPr>
        <w:tc>
          <w:tcPr>
            <w:tcW w:w="2560" w:type="dxa"/>
            <w:vAlign w:val="bottom"/>
          </w:tcPr>
          <w:p>
            <w:pPr>
              <w:spacing w:after="0"/>
              <w:rPr>
                <w:sz w:val="20"/>
                <w:szCs w:val="20"/>
                <w:color w:val="auto"/>
              </w:rPr>
            </w:pPr>
            <w:r>
              <w:rPr>
                <w:rFonts w:ascii="Arial" w:cs="Arial" w:eastAsia="Arial" w:hAnsi="Arial"/>
                <w:sz w:val="8"/>
                <w:szCs w:val="8"/>
                <w:color w:val="auto"/>
                <w:w w:val="95"/>
              </w:rPr>
              <w:t>Compensation for the forfeiture of any awards under variable remuneration</w:t>
            </w:r>
          </w:p>
        </w:tc>
        <w:tc>
          <w:tcPr>
            <w:tcW w:w="5920" w:type="dxa"/>
            <w:vAlign w:val="bottom"/>
          </w:tcPr>
          <w:p>
            <w:pPr>
              <w:ind w:left="20"/>
              <w:spacing w:after="0"/>
              <w:rPr>
                <w:sz w:val="20"/>
                <w:szCs w:val="20"/>
                <w:color w:val="auto"/>
              </w:rPr>
            </w:pPr>
            <w:r>
              <w:rPr>
                <w:rFonts w:ascii="Arial" w:cs="Arial" w:eastAsia="Arial" w:hAnsi="Arial"/>
                <w:sz w:val="8"/>
                <w:szCs w:val="8"/>
                <w:color w:val="auto"/>
                <w:w w:val="95"/>
              </w:rPr>
              <w:t>To facilitate external recruitment, one-off compensation in consideration for forfeited awards under variable remuneration arrangements entered into with a previous employer</w:t>
            </w:r>
          </w:p>
        </w:tc>
        <w:tc>
          <w:tcPr>
            <w:tcW w:w="2580" w:type="dxa"/>
            <w:vAlign w:val="bottom"/>
          </w:tcPr>
          <w:p>
            <w:pPr>
              <w:ind w:left="20"/>
              <w:spacing w:after="0"/>
              <w:rPr>
                <w:sz w:val="20"/>
                <w:szCs w:val="20"/>
                <w:color w:val="auto"/>
              </w:rPr>
            </w:pPr>
            <w:r>
              <w:rPr>
                <w:rFonts w:ascii="Arial" w:cs="Arial" w:eastAsia="Arial" w:hAnsi="Arial"/>
                <w:sz w:val="8"/>
                <w:szCs w:val="8"/>
                <w:color w:val="auto"/>
              </w:rPr>
              <w:t>An amount equal to the value of the forfeited variable remuneration</w:t>
            </w:r>
          </w:p>
        </w:tc>
      </w:tr>
      <w:tr>
        <w:trPr>
          <w:trHeight w:val="90"/>
        </w:trPr>
        <w:tc>
          <w:tcPr>
            <w:tcW w:w="2560" w:type="dxa"/>
            <w:vAlign w:val="bottom"/>
          </w:tcPr>
          <w:p>
            <w:pPr>
              <w:spacing w:after="0" w:line="90" w:lineRule="exact"/>
              <w:rPr>
                <w:sz w:val="20"/>
                <w:szCs w:val="20"/>
                <w:color w:val="auto"/>
              </w:rPr>
            </w:pPr>
            <w:r>
              <w:rPr>
                <w:rFonts w:ascii="Arial" w:cs="Arial" w:eastAsia="Arial" w:hAnsi="Arial"/>
                <w:sz w:val="8"/>
                <w:szCs w:val="8"/>
                <w:color w:val="auto"/>
              </w:rPr>
              <w:t>arrangements</w:t>
            </w:r>
          </w:p>
        </w:tc>
        <w:tc>
          <w:tcPr>
            <w:tcW w:w="5920" w:type="dxa"/>
            <w:vAlign w:val="bottom"/>
          </w:tcPr>
          <w:p>
            <w:pPr>
              <w:ind w:left="20"/>
              <w:spacing w:after="0" w:line="90" w:lineRule="exact"/>
              <w:rPr>
                <w:sz w:val="20"/>
                <w:szCs w:val="20"/>
                <w:color w:val="auto"/>
              </w:rPr>
            </w:pPr>
            <w:r>
              <w:rPr>
                <w:rFonts w:ascii="Arial" w:cs="Arial" w:eastAsia="Arial" w:hAnsi="Arial"/>
                <w:sz w:val="8"/>
                <w:szCs w:val="8"/>
                <w:color w:val="auto"/>
              </w:rPr>
              <w:t>may be required. The REMCO will use its judgement to determine the appropriate level of compensation by matching the value of any lost awards under variable</w:t>
            </w:r>
          </w:p>
        </w:tc>
        <w:tc>
          <w:tcPr>
            <w:tcW w:w="2580" w:type="dxa"/>
            <w:vAlign w:val="bottom"/>
          </w:tcPr>
          <w:p>
            <w:pPr>
              <w:ind w:left="20"/>
              <w:spacing w:after="0" w:line="90" w:lineRule="exact"/>
              <w:rPr>
                <w:sz w:val="20"/>
                <w:szCs w:val="20"/>
                <w:color w:val="auto"/>
              </w:rPr>
            </w:pPr>
            <w:r>
              <w:rPr>
                <w:rFonts w:ascii="Arial" w:cs="Arial" w:eastAsia="Arial" w:hAnsi="Arial"/>
                <w:sz w:val="8"/>
                <w:szCs w:val="8"/>
                <w:color w:val="auto"/>
              </w:rPr>
              <w:t>awards, as assessed by the REMCO. Consideration will be given to</w:t>
            </w:r>
          </w:p>
        </w:tc>
      </w:tr>
      <w:tr>
        <w:trPr>
          <w:trHeight w:val="90"/>
        </w:trPr>
        <w:tc>
          <w:tcPr>
            <w:tcW w:w="2560" w:type="dxa"/>
            <w:vAlign w:val="bottom"/>
          </w:tcPr>
          <w:p>
            <w:pPr>
              <w:spacing w:after="0"/>
              <w:rPr>
                <w:sz w:val="7"/>
                <w:szCs w:val="7"/>
                <w:color w:val="auto"/>
              </w:rPr>
            </w:pPr>
          </w:p>
        </w:tc>
        <w:tc>
          <w:tcPr>
            <w:tcW w:w="5920" w:type="dxa"/>
            <w:vAlign w:val="bottom"/>
          </w:tcPr>
          <w:p>
            <w:pPr>
              <w:ind w:left="20"/>
              <w:spacing w:after="0" w:line="90" w:lineRule="exact"/>
              <w:rPr>
                <w:sz w:val="20"/>
                <w:szCs w:val="20"/>
                <w:color w:val="auto"/>
              </w:rPr>
            </w:pPr>
            <w:r>
              <w:rPr>
                <w:rFonts w:ascii="Arial" w:cs="Arial" w:eastAsia="Arial" w:hAnsi="Arial"/>
                <w:sz w:val="8"/>
                <w:szCs w:val="8"/>
                <w:color w:val="auto"/>
                <w:w w:val="96"/>
              </w:rPr>
              <w:t>remuneration arrangements with the candidate’s previous employer. This compensation may take the form of a one-off cash payment or an additional award under the LTIP.</w:t>
            </w:r>
          </w:p>
        </w:tc>
        <w:tc>
          <w:tcPr>
            <w:tcW w:w="2580" w:type="dxa"/>
            <w:vAlign w:val="bottom"/>
          </w:tcPr>
          <w:p>
            <w:pPr>
              <w:ind w:left="20"/>
              <w:spacing w:after="0" w:line="90" w:lineRule="exact"/>
              <w:rPr>
                <w:sz w:val="20"/>
                <w:szCs w:val="20"/>
                <w:color w:val="auto"/>
              </w:rPr>
            </w:pPr>
            <w:r>
              <w:rPr>
                <w:rFonts w:ascii="Arial" w:cs="Arial" w:eastAsia="Arial" w:hAnsi="Arial"/>
                <w:sz w:val="8"/>
                <w:szCs w:val="8"/>
                <w:color w:val="auto"/>
                <w:w w:val="99"/>
              </w:rPr>
              <w:t>appropriate performance conditions, performance periods and clawback</w:t>
            </w:r>
          </w:p>
        </w:tc>
      </w:tr>
      <w:tr>
        <w:trPr>
          <w:trHeight w:val="90"/>
        </w:trPr>
        <w:tc>
          <w:tcPr>
            <w:tcW w:w="2560" w:type="dxa"/>
            <w:vAlign w:val="bottom"/>
          </w:tcPr>
          <w:p>
            <w:pPr>
              <w:spacing w:after="0"/>
              <w:rPr>
                <w:sz w:val="7"/>
                <w:szCs w:val="7"/>
                <w:color w:val="auto"/>
              </w:rPr>
            </w:pPr>
          </w:p>
        </w:tc>
        <w:tc>
          <w:tcPr>
            <w:tcW w:w="5920" w:type="dxa"/>
            <w:vAlign w:val="bottom"/>
          </w:tcPr>
          <w:p>
            <w:pPr>
              <w:ind w:left="20"/>
              <w:spacing w:after="0" w:line="90" w:lineRule="exact"/>
              <w:rPr>
                <w:sz w:val="20"/>
                <w:szCs w:val="20"/>
                <w:color w:val="auto"/>
              </w:rPr>
            </w:pPr>
            <w:r>
              <w:rPr>
                <w:rFonts w:ascii="Arial" w:cs="Arial" w:eastAsia="Arial" w:hAnsi="Arial"/>
                <w:sz w:val="8"/>
                <w:szCs w:val="8"/>
                <w:color w:val="auto"/>
                <w:w w:val="95"/>
              </w:rPr>
              <w:t>The compensation can alternatively be based on a newly created long-term incentive plan arrangement where the only participant is the new director. The intention is that any</w:t>
            </w:r>
          </w:p>
        </w:tc>
        <w:tc>
          <w:tcPr>
            <w:tcW w:w="2580" w:type="dxa"/>
            <w:vAlign w:val="bottom"/>
          </w:tcPr>
          <w:p>
            <w:pPr>
              <w:ind w:left="20"/>
              <w:spacing w:after="0" w:line="90" w:lineRule="exact"/>
              <w:rPr>
                <w:sz w:val="20"/>
                <w:szCs w:val="20"/>
                <w:color w:val="auto"/>
              </w:rPr>
            </w:pPr>
            <w:r>
              <w:rPr>
                <w:rFonts w:ascii="Arial" w:cs="Arial" w:eastAsia="Arial" w:hAnsi="Arial"/>
                <w:sz w:val="8"/>
                <w:szCs w:val="8"/>
                <w:color w:val="auto"/>
              </w:rPr>
              <w:t>arrangements.</w:t>
            </w:r>
          </w:p>
        </w:tc>
      </w:tr>
      <w:tr>
        <w:trPr>
          <w:trHeight w:val="111"/>
        </w:trPr>
        <w:tc>
          <w:tcPr>
            <w:tcW w:w="2560" w:type="dxa"/>
            <w:vAlign w:val="bottom"/>
            <w:tcBorders>
              <w:bottom w:val="single" w:sz="8" w:color="auto"/>
            </w:tcBorders>
          </w:tcPr>
          <w:p>
            <w:pPr>
              <w:spacing w:after="0"/>
              <w:rPr>
                <w:sz w:val="9"/>
                <w:szCs w:val="9"/>
                <w:color w:val="auto"/>
              </w:rPr>
            </w:pP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such compensation would, as far as possible, align to the duration and structure of the award being forfeited.</w:t>
            </w:r>
          </w:p>
        </w:tc>
        <w:tc>
          <w:tcPr>
            <w:tcW w:w="2580" w:type="dxa"/>
            <w:vAlign w:val="bottom"/>
            <w:tcBorders>
              <w:bottom w:val="single" w:sz="8" w:color="auto"/>
            </w:tcBorders>
          </w:tcPr>
          <w:p>
            <w:pPr>
              <w:spacing w:after="0"/>
              <w:rPr>
                <w:sz w:val="9"/>
                <w:szCs w:val="9"/>
                <w:color w:val="auto"/>
              </w:rPr>
            </w:pPr>
          </w:p>
        </w:tc>
      </w:tr>
      <w:tr>
        <w:trPr>
          <w:trHeight w:val="94"/>
        </w:trPr>
        <w:tc>
          <w:tcPr>
            <w:tcW w:w="2560" w:type="dxa"/>
            <w:vAlign w:val="bottom"/>
          </w:tcPr>
          <w:p>
            <w:pPr>
              <w:spacing w:after="0"/>
              <w:rPr>
                <w:sz w:val="20"/>
                <w:szCs w:val="20"/>
                <w:color w:val="auto"/>
              </w:rPr>
            </w:pPr>
            <w:r>
              <w:rPr>
                <w:rFonts w:ascii="Arial" w:cs="Arial" w:eastAsia="Arial" w:hAnsi="Arial"/>
                <w:sz w:val="8"/>
                <w:szCs w:val="8"/>
                <w:color w:val="auto"/>
                <w:w w:val="95"/>
              </w:rPr>
              <w:t>Replacement of forfeited entitlements other than any awards under variable</w:t>
            </w:r>
          </w:p>
        </w:tc>
        <w:tc>
          <w:tcPr>
            <w:tcW w:w="5920" w:type="dxa"/>
            <w:vAlign w:val="bottom"/>
          </w:tcPr>
          <w:p>
            <w:pPr>
              <w:ind w:left="20"/>
              <w:spacing w:after="0"/>
              <w:rPr>
                <w:sz w:val="20"/>
                <w:szCs w:val="20"/>
                <w:color w:val="auto"/>
              </w:rPr>
            </w:pPr>
            <w:r>
              <w:rPr>
                <w:rFonts w:ascii="Arial" w:cs="Arial" w:eastAsia="Arial" w:hAnsi="Arial"/>
                <w:sz w:val="8"/>
                <w:szCs w:val="8"/>
                <w:color w:val="auto"/>
                <w:w w:val="95"/>
              </w:rPr>
              <w:t>There may also be a need to compensate a new Executive Director in respect of forfeited entitlements other than any awards under variable remuneration arrangements. This</w:t>
            </w:r>
          </w:p>
        </w:tc>
        <w:tc>
          <w:tcPr>
            <w:tcW w:w="2580" w:type="dxa"/>
            <w:vAlign w:val="bottom"/>
          </w:tcPr>
          <w:p>
            <w:pPr>
              <w:ind w:left="20"/>
              <w:spacing w:after="0"/>
              <w:rPr>
                <w:sz w:val="20"/>
                <w:szCs w:val="20"/>
                <w:color w:val="auto"/>
              </w:rPr>
            </w:pPr>
            <w:r>
              <w:rPr>
                <w:rFonts w:ascii="Arial" w:cs="Arial" w:eastAsia="Arial" w:hAnsi="Arial"/>
                <w:sz w:val="8"/>
                <w:szCs w:val="8"/>
                <w:color w:val="auto"/>
                <w:w w:val="96"/>
              </w:rPr>
              <w:t>An amount equal to the value of the forfeited entitlements, as assessed by</w:t>
            </w:r>
          </w:p>
        </w:tc>
      </w:tr>
      <w:tr>
        <w:trPr>
          <w:trHeight w:val="90"/>
        </w:trPr>
        <w:tc>
          <w:tcPr>
            <w:tcW w:w="2560" w:type="dxa"/>
            <w:vAlign w:val="bottom"/>
          </w:tcPr>
          <w:p>
            <w:pPr>
              <w:spacing w:after="0" w:line="90" w:lineRule="exact"/>
              <w:rPr>
                <w:sz w:val="20"/>
                <w:szCs w:val="20"/>
                <w:color w:val="auto"/>
              </w:rPr>
            </w:pPr>
            <w:r>
              <w:rPr>
                <w:rFonts w:ascii="Arial" w:cs="Arial" w:eastAsia="Arial" w:hAnsi="Arial"/>
                <w:sz w:val="8"/>
                <w:szCs w:val="8"/>
                <w:color w:val="auto"/>
              </w:rPr>
              <w:t>remuneration arrangements</w:t>
            </w:r>
          </w:p>
        </w:tc>
        <w:tc>
          <w:tcPr>
            <w:tcW w:w="5920" w:type="dxa"/>
            <w:vAlign w:val="bottom"/>
          </w:tcPr>
          <w:p>
            <w:pPr>
              <w:ind w:left="20"/>
              <w:spacing w:after="0" w:line="90" w:lineRule="exact"/>
              <w:rPr>
                <w:sz w:val="20"/>
                <w:szCs w:val="20"/>
                <w:color w:val="auto"/>
              </w:rPr>
            </w:pPr>
            <w:r>
              <w:rPr>
                <w:rFonts w:ascii="Arial" w:cs="Arial" w:eastAsia="Arial" w:hAnsi="Arial"/>
                <w:sz w:val="8"/>
                <w:szCs w:val="8"/>
                <w:color w:val="auto"/>
              </w:rPr>
              <w:t>could include, for example, pension or contractual entitlements, or other benefits. On recruitment, these entitlements may be replicated within the Executive Directors’</w:t>
            </w:r>
          </w:p>
        </w:tc>
        <w:tc>
          <w:tcPr>
            <w:tcW w:w="2580" w:type="dxa"/>
            <w:vAlign w:val="bottom"/>
          </w:tcPr>
          <w:p>
            <w:pPr>
              <w:ind w:left="20"/>
              <w:spacing w:after="0" w:line="90" w:lineRule="exact"/>
              <w:rPr>
                <w:sz w:val="20"/>
                <w:szCs w:val="20"/>
                <w:color w:val="auto"/>
              </w:rPr>
            </w:pPr>
            <w:r>
              <w:rPr>
                <w:rFonts w:ascii="Arial" w:cs="Arial" w:eastAsia="Arial" w:hAnsi="Arial"/>
                <w:sz w:val="8"/>
                <w:szCs w:val="8"/>
                <w:color w:val="auto"/>
              </w:rPr>
              <w:t>the REMCO.</w:t>
            </w:r>
          </w:p>
        </w:tc>
      </w:tr>
      <w:tr>
        <w:trPr>
          <w:trHeight w:val="105"/>
        </w:trPr>
        <w:tc>
          <w:tcPr>
            <w:tcW w:w="2560" w:type="dxa"/>
            <w:vAlign w:val="bottom"/>
          </w:tcPr>
          <w:p>
            <w:pPr>
              <w:spacing w:after="0"/>
              <w:rPr>
                <w:sz w:val="9"/>
                <w:szCs w:val="9"/>
                <w:color w:val="auto"/>
              </w:rPr>
            </w:pPr>
          </w:p>
        </w:tc>
        <w:tc>
          <w:tcPr>
            <w:tcW w:w="5920" w:type="dxa"/>
            <w:vAlign w:val="bottom"/>
          </w:tcPr>
          <w:p>
            <w:pPr>
              <w:ind w:left="20"/>
              <w:spacing w:after="0"/>
              <w:rPr>
                <w:sz w:val="20"/>
                <w:szCs w:val="20"/>
                <w:color w:val="auto"/>
              </w:rPr>
            </w:pPr>
            <w:r>
              <w:rPr>
                <w:rFonts w:ascii="Arial" w:cs="Arial" w:eastAsia="Arial" w:hAnsi="Arial"/>
                <w:sz w:val="8"/>
                <w:szCs w:val="8"/>
                <w:color w:val="auto"/>
              </w:rPr>
              <w:t>remuneration policy or valued by the REMCO and compensated in cash.</w:t>
            </w:r>
          </w:p>
        </w:tc>
        <w:tc>
          <w:tcPr>
            <w:tcW w:w="2580" w:type="dxa"/>
            <w:vAlign w:val="bottom"/>
          </w:tcPr>
          <w:p>
            <w:pPr>
              <w:spacing w:after="0"/>
              <w:rPr>
                <w:sz w:val="9"/>
                <w:szCs w:val="9"/>
                <w:color w:val="auto"/>
              </w:rPr>
            </w:pPr>
          </w:p>
        </w:tc>
      </w:tr>
      <w:tr>
        <w:trPr>
          <w:trHeight w:val="165"/>
        </w:trPr>
        <w:tc>
          <w:tcPr>
            <w:tcW w:w="2560" w:type="dxa"/>
            <w:vAlign w:val="bottom"/>
          </w:tcPr>
          <w:p>
            <w:pPr>
              <w:spacing w:after="0"/>
              <w:rPr>
                <w:sz w:val="14"/>
                <w:szCs w:val="14"/>
                <w:color w:val="auto"/>
              </w:rPr>
            </w:pPr>
          </w:p>
        </w:tc>
        <w:tc>
          <w:tcPr>
            <w:tcW w:w="5920" w:type="dxa"/>
            <w:vAlign w:val="bottom"/>
          </w:tcPr>
          <w:p>
            <w:pPr>
              <w:ind w:left="20"/>
              <w:spacing w:after="0"/>
              <w:rPr>
                <w:sz w:val="20"/>
                <w:szCs w:val="20"/>
                <w:color w:val="auto"/>
              </w:rPr>
            </w:pPr>
            <w:r>
              <w:rPr>
                <w:rFonts w:ascii="Arial" w:cs="Arial" w:eastAsia="Arial" w:hAnsi="Arial"/>
                <w:sz w:val="8"/>
                <w:szCs w:val="8"/>
                <w:color w:val="auto"/>
                <w:w w:val="99"/>
              </w:rPr>
              <w:t>In cases of internal promotion to the Board, any commitments made which cannot be effectively replaced within the Executive Directors’ remuneration policy may, at the</w:t>
            </w:r>
          </w:p>
        </w:tc>
        <w:tc>
          <w:tcPr>
            <w:tcW w:w="2580" w:type="dxa"/>
            <w:vAlign w:val="bottom"/>
          </w:tcPr>
          <w:p>
            <w:pPr>
              <w:spacing w:after="0"/>
              <w:rPr>
                <w:sz w:val="14"/>
                <w:szCs w:val="14"/>
                <w:color w:val="auto"/>
              </w:rPr>
            </w:pPr>
          </w:p>
        </w:tc>
      </w:tr>
      <w:tr>
        <w:trPr>
          <w:trHeight w:val="105"/>
        </w:trPr>
        <w:tc>
          <w:tcPr>
            <w:tcW w:w="2560" w:type="dxa"/>
            <w:vAlign w:val="bottom"/>
          </w:tcPr>
          <w:p>
            <w:pPr>
              <w:spacing w:after="0"/>
              <w:rPr>
                <w:sz w:val="9"/>
                <w:szCs w:val="9"/>
                <w:color w:val="auto"/>
              </w:rPr>
            </w:pPr>
          </w:p>
        </w:tc>
        <w:tc>
          <w:tcPr>
            <w:tcW w:w="5920" w:type="dxa"/>
            <w:vAlign w:val="bottom"/>
          </w:tcPr>
          <w:p>
            <w:pPr>
              <w:ind w:left="20"/>
              <w:spacing w:after="0"/>
              <w:rPr>
                <w:sz w:val="20"/>
                <w:szCs w:val="20"/>
                <w:color w:val="auto"/>
              </w:rPr>
            </w:pPr>
            <w:r>
              <w:rPr>
                <w:rFonts w:ascii="Arial" w:cs="Arial" w:eastAsia="Arial" w:hAnsi="Arial"/>
                <w:sz w:val="8"/>
                <w:szCs w:val="8"/>
                <w:color w:val="auto"/>
              </w:rPr>
              <w:t>REMCO’s discretion, continue to be honoured.</w:t>
            </w:r>
          </w:p>
        </w:tc>
        <w:tc>
          <w:tcPr>
            <w:tcW w:w="25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02945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029450" cy="5715"/>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p>
      <w:pPr>
        <w:spacing w:after="0" w:line="30" w:lineRule="exact"/>
        <w:rPr>
          <w:sz w:val="20"/>
          <w:szCs w:val="20"/>
          <w:color w:val="auto"/>
        </w:rPr>
      </w:pPr>
    </w:p>
    <w:p>
      <w:pPr>
        <w:spacing w:after="0"/>
        <w:tabs>
          <w:tab w:leader="none" w:pos="2560" w:val="left"/>
        </w:tabs>
        <w:rPr>
          <w:sz w:val="20"/>
          <w:szCs w:val="20"/>
          <w:color w:val="auto"/>
        </w:rPr>
      </w:pPr>
      <w:r>
        <w:rPr>
          <w:rFonts w:ascii="Arial" w:cs="Arial" w:eastAsia="Arial" w:hAnsi="Arial"/>
          <w:sz w:val="8"/>
          <w:szCs w:val="8"/>
          <w:color w:val="auto"/>
        </w:rPr>
        <w:t>Exceptional recruitment incentive</w:t>
      </w:r>
      <w:r>
        <w:rPr>
          <w:sz w:val="20"/>
          <w:szCs w:val="20"/>
          <w:color w:val="auto"/>
        </w:rPr>
        <w:tab/>
      </w:r>
      <w:r>
        <w:rPr>
          <w:rFonts w:ascii="Arial" w:cs="Arial" w:eastAsia="Arial" w:hAnsi="Arial"/>
          <w:sz w:val="7"/>
          <w:szCs w:val="7"/>
          <w:color w:val="auto"/>
        </w:rPr>
        <w:t>Apart from the ongoing annual remuneration package and any compensation in respect of the replacement of forfeited entitlements, there may be circumstances in which the</w:t>
      </w:r>
    </w:p>
    <w:p>
      <w:pPr>
        <w:spacing w:after="0" w:line="4" w:lineRule="exact"/>
        <w:rPr>
          <w:sz w:val="20"/>
          <w:szCs w:val="20"/>
          <w:color w:val="auto"/>
        </w:rPr>
      </w:pPr>
    </w:p>
    <w:p>
      <w:pPr>
        <w:ind w:left="2580" w:right="40"/>
        <w:spacing w:after="0" w:line="295" w:lineRule="auto"/>
        <w:rPr>
          <w:sz w:val="20"/>
          <w:szCs w:val="20"/>
          <w:color w:val="auto"/>
        </w:rPr>
      </w:pPr>
      <w:r>
        <w:rPr>
          <w:rFonts w:ascii="Arial" w:cs="Arial" w:eastAsia="Arial" w:hAnsi="Arial"/>
          <w:sz w:val="7"/>
          <w:szCs w:val="7"/>
          <w:color w:val="auto"/>
        </w:rPr>
        <w:t>REMCO needs to offer a one-off recruitment incentive in the form of cash or shares to ensure the right external candidate is attracted (e.g. to the industry). The REMCO recognises the importance of internal succession planning but it must also have the ability to compete for talent with other global companies. The necessity and level of this incentive will depend on the individual’s circumstances. The intention will be that this is only used in genuinely exceptional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02945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02945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440"/>
        <w:spacing w:after="0" w:line="268" w:lineRule="auto"/>
        <w:rPr>
          <w:sz w:val="20"/>
          <w:szCs w:val="20"/>
          <w:color w:val="auto"/>
        </w:rPr>
      </w:pPr>
      <w:r>
        <w:rPr>
          <w:rFonts w:ascii="Arial" w:cs="Arial" w:eastAsia="Arial" w:hAnsi="Arial"/>
          <w:sz w:val="8"/>
          <w:szCs w:val="8"/>
          <w:color w:val="auto"/>
        </w:rPr>
        <w:t>Subject to the limits set out in the “Executive Directors’ remuneration policy table”.</w:t>
      </w:r>
    </w:p>
    <w:p>
      <w:pPr>
        <w:spacing w:after="0" w:line="199" w:lineRule="exact"/>
        <w:rPr>
          <w:sz w:val="20"/>
          <w:szCs w:val="20"/>
          <w:color w:val="auto"/>
        </w:rPr>
      </w:pPr>
    </w:p>
    <w:p>
      <w:pPr>
        <w:sectPr>
          <w:pgSz w:w="11900" w:h="16838" w:orient="portrait"/>
          <w:cols w:equalWidth="0" w:num="2">
            <w:col w:w="8400" w:space="100"/>
            <w:col w:w="2800"/>
          </w:cols>
          <w:pgMar w:left="300" w:top="640" w:right="299" w:bottom="1440" w:gutter="0" w:footer="0" w:header="0"/>
          <w:type w:val="continuous"/>
        </w:sectPr>
      </w:pPr>
    </w:p>
    <w:p>
      <w:pPr>
        <w:spacing w:after="0"/>
        <w:tabs>
          <w:tab w:leader="none" w:pos="2560" w:val="left"/>
        </w:tabs>
        <w:rPr>
          <w:sz w:val="20"/>
          <w:szCs w:val="20"/>
          <w:color w:val="auto"/>
        </w:rPr>
      </w:pPr>
      <w:r>
        <w:rPr>
          <w:rFonts w:ascii="Arial" w:cs="Arial" w:eastAsia="Arial" w:hAnsi="Arial"/>
          <w:sz w:val="8"/>
          <w:szCs w:val="8"/>
          <w:color w:val="auto"/>
        </w:rPr>
        <w:t>Pension</w:t>
      </w:r>
      <w:r>
        <w:rPr>
          <w:sz w:val="20"/>
          <w:szCs w:val="20"/>
          <w:color w:val="auto"/>
        </w:rPr>
        <w:tab/>
      </w:r>
      <w:r>
        <w:rPr>
          <w:rFonts w:ascii="Arial" w:cs="Arial" w:eastAsia="Arial" w:hAnsi="Arial"/>
          <w:sz w:val="8"/>
          <w:szCs w:val="8"/>
          <w:color w:val="auto"/>
        </w:rPr>
        <w:t>New appointees will be provided with a pension in line with the wider workforce in their base country. For defined benefit members:</w:t>
      </w:r>
    </w:p>
    <w:p>
      <w:pPr>
        <w:spacing w:after="0" w:line="4" w:lineRule="exact"/>
        <w:rPr>
          <w:sz w:val="20"/>
          <w:szCs w:val="20"/>
          <w:color w:val="auto"/>
        </w:rPr>
      </w:pPr>
    </w:p>
    <w:p>
      <w:pPr>
        <w:ind w:left="2680" w:right="200" w:hanging="93"/>
        <w:spacing w:after="0" w:line="234" w:lineRule="auto"/>
        <w:tabs>
          <w:tab w:leader="none" w:pos="2679" w:val="left"/>
        </w:tabs>
        <w:numPr>
          <w:ilvl w:val="0"/>
          <w:numId w:val="155"/>
        </w:numPr>
        <w:rPr>
          <w:rFonts w:ascii="Arial" w:cs="Arial" w:eastAsia="Arial" w:hAnsi="Arial"/>
          <w:sz w:val="8"/>
          <w:szCs w:val="8"/>
          <w:color w:val="auto"/>
        </w:rPr>
      </w:pPr>
      <w:r>
        <w:rPr>
          <w:rFonts w:ascii="Arial" w:cs="Arial" w:eastAsia="Arial" w:hAnsi="Arial"/>
          <w:sz w:val="8"/>
          <w:szCs w:val="8"/>
          <w:color w:val="auto"/>
        </w:rPr>
        <w:t>The pensionable salary is capped at executive committee level pay for defined benefit purposes (with the exception of participants in the US plan where the bonus is removed from the definition of pensionable pay; and</w:t>
      </w:r>
    </w:p>
    <w:p>
      <w:pPr>
        <w:ind w:left="2680" w:hanging="93"/>
        <w:spacing w:after="0" w:line="252" w:lineRule="auto"/>
        <w:tabs>
          <w:tab w:leader="none" w:pos="2679" w:val="left"/>
        </w:tabs>
        <w:numPr>
          <w:ilvl w:val="0"/>
          <w:numId w:val="155"/>
        </w:numPr>
        <w:rPr>
          <w:rFonts w:ascii="Arial" w:cs="Arial" w:eastAsia="Arial" w:hAnsi="Arial"/>
          <w:sz w:val="8"/>
          <w:szCs w:val="8"/>
          <w:color w:val="auto"/>
        </w:rPr>
      </w:pPr>
      <w:r>
        <w:rPr>
          <w:rFonts w:ascii="Arial" w:cs="Arial" w:eastAsia="Arial" w:hAnsi="Arial"/>
          <w:sz w:val="8"/>
          <w:szCs w:val="8"/>
          <w:color w:val="auto"/>
        </w:rPr>
        <w:t>The member joins an appropriate base country defined contribution mechanism in excess of the cap, or exceptionally a pension cash allowance equivalent to the defined contribution level is payable in excess of the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02945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02945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60"/>
        <w:spacing w:after="0" w:line="268" w:lineRule="auto"/>
        <w:rPr>
          <w:sz w:val="20"/>
          <w:szCs w:val="20"/>
          <w:color w:val="auto"/>
        </w:rPr>
      </w:pPr>
      <w:r>
        <w:rPr>
          <w:rFonts w:ascii="Arial" w:cs="Arial" w:eastAsia="Arial" w:hAnsi="Arial"/>
          <w:sz w:val="8"/>
          <w:szCs w:val="8"/>
          <w:color w:val="auto"/>
        </w:rPr>
        <w:t>In accordance with the pension provision applicable to the wider workforce in the base country.</w:t>
      </w:r>
    </w:p>
    <w:p>
      <w:pPr>
        <w:spacing w:after="0" w:line="429" w:lineRule="exact"/>
        <w:rPr>
          <w:sz w:val="20"/>
          <w:szCs w:val="20"/>
          <w:color w:val="auto"/>
        </w:rPr>
      </w:pPr>
    </w:p>
    <w:p>
      <w:pPr>
        <w:sectPr>
          <w:pgSz w:w="11900" w:h="16838" w:orient="portrait"/>
          <w:cols w:equalWidth="0" w:num="2">
            <w:col w:w="8340" w:space="160"/>
            <w:col w:w="2800"/>
          </w:cols>
          <w:pgMar w:left="300" w:top="640" w:right="299" w:bottom="1440" w:gutter="0" w:footer="0" w:header="0"/>
          <w:type w:val="continuous"/>
        </w:sectPr>
      </w:pPr>
    </w:p>
    <w:p>
      <w:pPr>
        <w:spacing w:after="0"/>
        <w:rPr>
          <w:sz w:val="20"/>
          <w:szCs w:val="20"/>
          <w:color w:val="auto"/>
        </w:rPr>
      </w:pPr>
      <w:r>
        <w:rPr>
          <w:rFonts w:ascii="Arial" w:cs="Arial" w:eastAsia="Arial" w:hAnsi="Arial"/>
          <w:sz w:val="10"/>
          <w:szCs w:val="10"/>
          <w:color w:val="auto"/>
        </w:rPr>
        <w:t>Executive Directors’ employment arrangements and letters of appointment</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8"/>
          <w:szCs w:val="8"/>
          <w:color w:val="auto"/>
        </w:rPr>
        <w:t>The Dutch Executive Directors are employed for an indefinite period. Executive Directors with the Netherlands as their base country will be employed on the basis of a contract of employment governed by Dutch employment law. For Executive Directors with a base country other than the Netherlands, REMCO will determine their employment arrangements based on a number of considerations, including Dutch immigration requirements and base country retirement benefits. Executive Directors’ employment arrangements are available for inspection at the AGM or on request. For further details on appointment and re-appointment of Directors, see pages 97-98 and page 151 in "Governance".</w:t>
      </w:r>
    </w:p>
    <w:p>
      <w:pPr>
        <w:spacing w:after="0" w:line="237" w:lineRule="exact"/>
        <w:rPr>
          <w:sz w:val="20"/>
          <w:szCs w:val="20"/>
          <w:color w:val="auto"/>
        </w:rPr>
      </w:pPr>
    </w:p>
    <w:p>
      <w:pPr>
        <w:spacing w:after="0"/>
        <w:rPr>
          <w:sz w:val="20"/>
          <w:szCs w:val="20"/>
          <w:color w:val="auto"/>
        </w:rPr>
      </w:pPr>
      <w:r>
        <w:rPr>
          <w:rFonts w:ascii="Arial" w:cs="Arial" w:eastAsia="Arial" w:hAnsi="Arial"/>
          <w:sz w:val="10"/>
          <w:szCs w:val="10"/>
          <w:color w:val="auto"/>
        </w:rPr>
        <w:t>End of employment</w:t>
      </w:r>
    </w:p>
    <w:p>
      <w:pPr>
        <w:spacing w:after="0" w:line="227" w:lineRule="auto"/>
        <w:rPr>
          <w:sz w:val="20"/>
          <w:szCs w:val="20"/>
          <w:color w:val="auto"/>
        </w:rPr>
      </w:pPr>
      <w:r>
        <w:rPr>
          <w:rFonts w:ascii="Arial" w:cs="Arial" w:eastAsia="Arial" w:hAnsi="Arial"/>
          <w:sz w:val="10"/>
          <w:szCs w:val="10"/>
          <w:color w:val="auto"/>
        </w:rPr>
        <w:t>Notice period</w:t>
      </w:r>
    </w:p>
    <w:p>
      <w:pPr>
        <w:spacing w:after="0" w:line="228" w:lineRule="auto"/>
        <w:rPr>
          <w:sz w:val="20"/>
          <w:szCs w:val="20"/>
          <w:color w:val="auto"/>
        </w:rPr>
      </w:pPr>
      <w:r>
        <w:rPr>
          <w:rFonts w:ascii="Arial" w:cs="Arial" w:eastAsia="Arial" w:hAnsi="Arial"/>
          <w:sz w:val="10"/>
          <w:szCs w:val="10"/>
          <w:color w:val="auto"/>
        </w:rPr>
        <w:t>Employment arrangements of Executive Directors can generally end by either the employee or the employer providing one month’s notice, or the applicable statutory notice period. For example, under Dutch law, the statutory notice period for the employer will vary in line with the length of service, with the maximum being four months’ notice. Under Dutch law, termination payments are not linked to the contract’s notice period.</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The Netherlands statutory end-of-employment compensation</w:t>
      </w:r>
    </w:p>
    <w:p>
      <w:pPr>
        <w:spacing w:after="0" w:line="1" w:lineRule="exact"/>
        <w:rPr>
          <w:sz w:val="20"/>
          <w:szCs w:val="20"/>
          <w:color w:val="auto"/>
        </w:rPr>
      </w:pPr>
    </w:p>
    <w:p>
      <w:pPr>
        <w:spacing w:after="0"/>
        <w:rPr>
          <w:sz w:val="20"/>
          <w:szCs w:val="20"/>
          <w:color w:val="auto"/>
        </w:rPr>
      </w:pPr>
      <w:r>
        <w:rPr>
          <w:rFonts w:ascii="Arial" w:cs="Arial" w:eastAsia="Arial" w:hAnsi="Arial"/>
          <w:sz w:val="8"/>
          <w:szCs w:val="8"/>
          <w:color w:val="auto"/>
        </w:rPr>
        <w:t>With effect from July 1, 2015, employment legislation in the Netherlands introduced statutory end-of-employment compensation. Under this</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8"/>
          <w:szCs w:val="8"/>
          <w:color w:val="auto"/>
        </w:rPr>
        <w:t>legislation, every termination (other than following retirement or for cause) of a Dutch employment contract that has continued for a minimum of two years will give rise to an obligation to pay the departing employee transition compensation (“transitievergoeding”). The statutory compensation is capped at one times the annual salary, which is deemed to include variable pay such as the annual bonus. Executive Directors are expected not to claim transition compensation or any other applicable statutory compensation over and above the agreed compensation for loss of office as set out in the “End of employment” table on page 146.</w:t>
      </w:r>
    </w:p>
    <w:p>
      <w:pPr>
        <w:spacing w:after="0" w:line="126" w:lineRule="exact"/>
        <w:rPr>
          <w:sz w:val="20"/>
          <w:szCs w:val="20"/>
          <w:color w:val="auto"/>
        </w:rPr>
      </w:pPr>
    </w:p>
    <w:p>
      <w:pPr>
        <w:spacing w:after="0"/>
        <w:rPr>
          <w:sz w:val="20"/>
          <w:szCs w:val="20"/>
          <w:color w:val="auto"/>
        </w:rPr>
      </w:pPr>
      <w:r>
        <w:rPr>
          <w:rFonts w:ascii="Arial" w:cs="Arial" w:eastAsia="Arial" w:hAnsi="Arial"/>
          <w:sz w:val="10"/>
          <w:szCs w:val="10"/>
          <w:color w:val="auto"/>
        </w:rPr>
        <w:t>Outstanding entitlements</w:t>
      </w:r>
    </w:p>
    <w:p>
      <w:pPr>
        <w:spacing w:after="0" w:line="1" w:lineRule="exact"/>
        <w:rPr>
          <w:sz w:val="20"/>
          <w:szCs w:val="20"/>
          <w:color w:val="auto"/>
        </w:rPr>
      </w:pPr>
    </w:p>
    <w:p>
      <w:pPr>
        <w:ind w:right="120"/>
        <w:spacing w:after="0" w:line="229" w:lineRule="auto"/>
        <w:rPr>
          <w:sz w:val="20"/>
          <w:szCs w:val="20"/>
          <w:color w:val="auto"/>
        </w:rPr>
      </w:pPr>
      <w:r>
        <w:rPr>
          <w:rFonts w:ascii="Arial" w:cs="Arial" w:eastAsia="Arial" w:hAnsi="Arial"/>
          <w:sz w:val="10"/>
          <w:szCs w:val="10"/>
          <w:color w:val="auto"/>
        </w:rPr>
        <w:t>In cases of resignation or dismissal for cause, fixed remuneration (base salary, benefits, and employer pension contributions) will cease on the last day of employment, variable remuneration elements will generally lapse and the Executive Director is not eligible for compensation for loss of office.</w:t>
      </w:r>
    </w:p>
    <w:p>
      <w:pPr>
        <w:spacing w:after="0" w:line="149" w:lineRule="exact"/>
        <w:rPr>
          <w:sz w:val="20"/>
          <w:szCs w:val="20"/>
          <w:color w:val="auto"/>
        </w:rPr>
      </w:pPr>
    </w:p>
    <w:p>
      <w:pPr>
        <w:ind w:right="220"/>
        <w:spacing w:after="0" w:line="222" w:lineRule="auto"/>
        <w:rPr>
          <w:sz w:val="20"/>
          <w:szCs w:val="20"/>
          <w:color w:val="auto"/>
        </w:rPr>
      </w:pPr>
      <w:r>
        <w:rPr>
          <w:rFonts w:ascii="Arial" w:cs="Arial" w:eastAsia="Arial" w:hAnsi="Arial"/>
          <w:sz w:val="10"/>
          <w:szCs w:val="10"/>
          <w:color w:val="auto"/>
        </w:rPr>
        <w:t>The information, on page 146, generally applies to termination of employment by Shell giving notice, by mutual agreement, or in situations where the employment terminates because of retirement with Shell consent at a date other than the normal retirement date, redundancy or in other similar circumstances at the REMCO’s discretion.</w:t>
      </w:r>
    </w:p>
    <w:p>
      <w:pPr>
        <w:spacing w:after="0" w:line="565" w:lineRule="exact"/>
        <w:rPr>
          <w:sz w:val="20"/>
          <w:szCs w:val="20"/>
          <w:color w:val="auto"/>
        </w:rPr>
      </w:pPr>
    </w:p>
    <w:p>
      <w:pPr>
        <w:sectPr>
          <w:pgSz w:w="11900" w:h="16838" w:orient="portrait"/>
          <w:cols w:equalWidth="0" w:num="2">
            <w:col w:w="5440" w:space="280"/>
            <w:col w:w="5580"/>
          </w:cols>
          <w:pgMar w:left="300" w:top="640" w:right="299" w:bottom="1440" w:gutter="0" w:footer="0" w:header="0"/>
          <w:type w:val="continuous"/>
        </w:sect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145</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0"/>
          <w:szCs w:val="10"/>
          <w:color w:val="auto"/>
        </w:rPr>
        <w:t>End of employment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16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Provision</w:t>
            </w:r>
          </w:p>
        </w:tc>
        <w:tc>
          <w:tcPr>
            <w:tcW w:w="4280" w:type="dxa"/>
            <w:vAlign w:val="bottom"/>
            <w:tcBorders>
              <w:bottom w:val="single" w:sz="8" w:color="auto"/>
            </w:tcBorders>
          </w:tcPr>
          <w:p>
            <w:pPr>
              <w:ind w:left="120"/>
              <w:spacing w:after="0"/>
              <w:rPr>
                <w:sz w:val="20"/>
                <w:szCs w:val="20"/>
                <w:color w:val="auto"/>
              </w:rPr>
            </w:pPr>
            <w:r>
              <w:rPr>
                <w:rFonts w:ascii="Arial" w:cs="Arial" w:eastAsia="Arial" w:hAnsi="Arial"/>
                <w:sz w:val="8"/>
                <w:szCs w:val="8"/>
                <w:color w:val="auto"/>
              </w:rPr>
              <w:t>Policy</w:t>
            </w:r>
          </w:p>
        </w:tc>
      </w:tr>
      <w:tr>
        <w:trPr>
          <w:trHeight w:val="94"/>
        </w:trPr>
        <w:tc>
          <w:tcPr>
            <w:tcW w:w="1160" w:type="dxa"/>
            <w:vAlign w:val="bottom"/>
          </w:tcPr>
          <w:p>
            <w:pPr>
              <w:spacing w:after="0"/>
              <w:rPr>
                <w:sz w:val="20"/>
                <w:szCs w:val="20"/>
                <w:color w:val="auto"/>
              </w:rPr>
            </w:pPr>
            <w:r>
              <w:rPr>
                <w:rFonts w:ascii="Arial" w:cs="Arial" w:eastAsia="Arial" w:hAnsi="Arial"/>
                <w:sz w:val="8"/>
                <w:szCs w:val="8"/>
                <w:color w:val="auto"/>
              </w:rPr>
              <w:t>Compensation for loss of office</w:t>
            </w:r>
          </w:p>
        </w:tc>
        <w:tc>
          <w:tcPr>
            <w:tcW w:w="4280" w:type="dxa"/>
            <w:vAlign w:val="bottom"/>
          </w:tcPr>
          <w:p>
            <w:pPr>
              <w:ind w:left="120"/>
              <w:spacing w:after="0"/>
              <w:rPr>
                <w:sz w:val="20"/>
                <w:szCs w:val="20"/>
                <w:color w:val="auto"/>
              </w:rPr>
            </w:pPr>
            <w:r>
              <w:rPr>
                <w:rFonts w:ascii="Arial" w:cs="Arial" w:eastAsia="Arial" w:hAnsi="Arial"/>
                <w:sz w:val="8"/>
                <w:szCs w:val="8"/>
                <w:color w:val="auto"/>
                <w:w w:val="95"/>
              </w:rPr>
              <w:t>For Executive Directors appointed between January 1, 2011 and December 31, 2016, employment contracts include a cap</w:t>
            </w:r>
          </w:p>
        </w:tc>
      </w:tr>
      <w:tr>
        <w:trPr>
          <w:trHeight w:val="90"/>
        </w:trPr>
        <w:tc>
          <w:tcPr>
            <w:tcW w:w="1160" w:type="dxa"/>
            <w:vAlign w:val="bottom"/>
          </w:tcPr>
          <w:p>
            <w:pPr>
              <w:spacing w:after="0"/>
              <w:rPr>
                <w:sz w:val="7"/>
                <w:szCs w:val="7"/>
                <w:color w:val="auto"/>
              </w:rPr>
            </w:pPr>
          </w:p>
        </w:tc>
        <w:tc>
          <w:tcPr>
            <w:tcW w:w="4280" w:type="dxa"/>
            <w:vAlign w:val="bottom"/>
          </w:tcPr>
          <w:p>
            <w:pPr>
              <w:ind w:left="120"/>
              <w:spacing w:after="0" w:line="90" w:lineRule="exact"/>
              <w:rPr>
                <w:sz w:val="20"/>
                <w:szCs w:val="20"/>
                <w:color w:val="auto"/>
              </w:rPr>
            </w:pPr>
            <w:r>
              <w:rPr>
                <w:rFonts w:ascii="Arial" w:cs="Arial" w:eastAsia="Arial" w:hAnsi="Arial"/>
                <w:sz w:val="8"/>
                <w:szCs w:val="8"/>
                <w:color w:val="auto"/>
                <w:w w:val="95"/>
              </w:rPr>
              <w:t>on termination payments of one times annual pay (base salary plus target bonus). Delivery of compensation is mitigated by</w:t>
            </w:r>
          </w:p>
        </w:tc>
      </w:tr>
      <w:tr>
        <w:trPr>
          <w:trHeight w:val="90"/>
        </w:trPr>
        <w:tc>
          <w:tcPr>
            <w:tcW w:w="1160" w:type="dxa"/>
            <w:vAlign w:val="bottom"/>
          </w:tcPr>
          <w:p>
            <w:pPr>
              <w:spacing w:after="0"/>
              <w:rPr>
                <w:sz w:val="7"/>
                <w:szCs w:val="7"/>
                <w:color w:val="auto"/>
              </w:rPr>
            </w:pPr>
          </w:p>
        </w:tc>
        <w:tc>
          <w:tcPr>
            <w:tcW w:w="4280" w:type="dxa"/>
            <w:vAlign w:val="bottom"/>
          </w:tcPr>
          <w:p>
            <w:pPr>
              <w:ind w:left="120"/>
              <w:spacing w:after="0" w:line="90" w:lineRule="exact"/>
              <w:rPr>
                <w:sz w:val="20"/>
                <w:szCs w:val="20"/>
                <w:color w:val="auto"/>
              </w:rPr>
            </w:pPr>
            <w:r>
              <w:rPr>
                <w:rFonts w:ascii="Arial" w:cs="Arial" w:eastAsia="Arial" w:hAnsi="Arial"/>
                <w:sz w:val="8"/>
                <w:szCs w:val="8"/>
                <w:color w:val="auto"/>
                <w:w w:val="96"/>
              </w:rPr>
              <w:t>a contractual obligation for the Executive Director to seek alternative employment and Shell’s ability to implement phased</w:t>
            </w:r>
          </w:p>
        </w:tc>
      </w:tr>
      <w:tr>
        <w:trPr>
          <w:trHeight w:val="105"/>
        </w:trPr>
        <w:tc>
          <w:tcPr>
            <w:tcW w:w="1160" w:type="dxa"/>
            <w:vAlign w:val="bottom"/>
          </w:tcPr>
          <w:p>
            <w:pPr>
              <w:spacing w:after="0"/>
              <w:rPr>
                <w:sz w:val="9"/>
                <w:szCs w:val="9"/>
                <w:color w:val="auto"/>
              </w:rPr>
            </w:pPr>
          </w:p>
        </w:tc>
        <w:tc>
          <w:tcPr>
            <w:tcW w:w="4280" w:type="dxa"/>
            <w:vAlign w:val="bottom"/>
          </w:tcPr>
          <w:p>
            <w:pPr>
              <w:ind w:left="120"/>
              <w:spacing w:after="0"/>
              <w:rPr>
                <w:sz w:val="20"/>
                <w:szCs w:val="20"/>
                <w:color w:val="auto"/>
              </w:rPr>
            </w:pPr>
            <w:r>
              <w:rPr>
                <w:rFonts w:ascii="Arial" w:cs="Arial" w:eastAsia="Arial" w:hAnsi="Arial"/>
                <w:sz w:val="8"/>
                <w:szCs w:val="8"/>
                <w:color w:val="auto"/>
              </w:rPr>
              <w:t>payment terms.</w:t>
            </w:r>
          </w:p>
        </w:tc>
      </w:tr>
      <w:tr>
        <w:trPr>
          <w:trHeight w:val="165"/>
        </w:trPr>
        <w:tc>
          <w:tcPr>
            <w:tcW w:w="1160" w:type="dxa"/>
            <w:vAlign w:val="bottom"/>
          </w:tcPr>
          <w:p>
            <w:pPr>
              <w:spacing w:after="0"/>
              <w:rPr>
                <w:sz w:val="14"/>
                <w:szCs w:val="14"/>
                <w:color w:val="auto"/>
              </w:rPr>
            </w:pPr>
          </w:p>
        </w:tc>
        <w:tc>
          <w:tcPr>
            <w:tcW w:w="4280" w:type="dxa"/>
            <w:vAlign w:val="bottom"/>
          </w:tcPr>
          <w:p>
            <w:pPr>
              <w:ind w:left="120"/>
              <w:spacing w:after="0"/>
              <w:rPr>
                <w:sz w:val="20"/>
                <w:szCs w:val="20"/>
                <w:color w:val="auto"/>
              </w:rPr>
            </w:pPr>
            <w:r>
              <w:rPr>
                <w:rFonts w:ascii="Arial" w:cs="Arial" w:eastAsia="Arial" w:hAnsi="Arial"/>
                <w:sz w:val="8"/>
                <w:szCs w:val="8"/>
                <w:color w:val="auto"/>
                <w:w w:val="96"/>
              </w:rPr>
              <w:t>For Executive Directors appointed on or after January 1, 2017, the REMCO may offer a termination payment of up to one</w:t>
            </w:r>
          </w:p>
        </w:tc>
      </w:tr>
      <w:tr>
        <w:trPr>
          <w:trHeight w:val="90"/>
        </w:trPr>
        <w:tc>
          <w:tcPr>
            <w:tcW w:w="1160" w:type="dxa"/>
            <w:vAlign w:val="bottom"/>
          </w:tcPr>
          <w:p>
            <w:pPr>
              <w:spacing w:after="0"/>
              <w:rPr>
                <w:sz w:val="7"/>
                <w:szCs w:val="7"/>
                <w:color w:val="auto"/>
              </w:rPr>
            </w:pPr>
          </w:p>
        </w:tc>
        <w:tc>
          <w:tcPr>
            <w:tcW w:w="4280" w:type="dxa"/>
            <w:vAlign w:val="bottom"/>
          </w:tcPr>
          <w:p>
            <w:pPr>
              <w:ind w:left="120"/>
              <w:spacing w:after="0" w:line="90" w:lineRule="exact"/>
              <w:rPr>
                <w:sz w:val="20"/>
                <w:szCs w:val="20"/>
                <w:color w:val="auto"/>
              </w:rPr>
            </w:pPr>
            <w:r>
              <w:rPr>
                <w:rFonts w:ascii="Arial" w:cs="Arial" w:eastAsia="Arial" w:hAnsi="Arial"/>
                <w:sz w:val="8"/>
                <w:szCs w:val="8"/>
                <w:color w:val="auto"/>
                <w:w w:val="97"/>
              </w:rPr>
              <w:t>times base salary (target bonus will not be included). However, REMCO may be obligated to pay statutory compensation</w:t>
            </w:r>
          </w:p>
        </w:tc>
      </w:tr>
      <w:tr>
        <w:trPr>
          <w:trHeight w:val="90"/>
        </w:trPr>
        <w:tc>
          <w:tcPr>
            <w:tcW w:w="1160" w:type="dxa"/>
            <w:vAlign w:val="bottom"/>
          </w:tcPr>
          <w:p>
            <w:pPr>
              <w:spacing w:after="0"/>
              <w:rPr>
                <w:sz w:val="7"/>
                <w:szCs w:val="7"/>
                <w:color w:val="auto"/>
              </w:rPr>
            </w:pPr>
          </w:p>
        </w:tc>
        <w:tc>
          <w:tcPr>
            <w:tcW w:w="4280" w:type="dxa"/>
            <w:vAlign w:val="bottom"/>
          </w:tcPr>
          <w:p>
            <w:pPr>
              <w:ind w:left="120"/>
              <w:spacing w:after="0" w:line="90" w:lineRule="exact"/>
              <w:rPr>
                <w:sz w:val="20"/>
                <w:szCs w:val="20"/>
                <w:color w:val="auto"/>
              </w:rPr>
            </w:pPr>
            <w:r>
              <w:rPr>
                <w:rFonts w:ascii="Arial" w:cs="Arial" w:eastAsia="Arial" w:hAnsi="Arial"/>
                <w:sz w:val="8"/>
                <w:szCs w:val="8"/>
                <w:color w:val="auto"/>
                <w:w w:val="95"/>
              </w:rPr>
              <w:t>over and above the compensation for loss of office to a departing Executive Director who asserts a statutory claim thereto.</w:t>
            </w:r>
          </w:p>
        </w:tc>
      </w:tr>
      <w:tr>
        <w:trPr>
          <w:trHeight w:val="90"/>
        </w:trPr>
        <w:tc>
          <w:tcPr>
            <w:tcW w:w="1160" w:type="dxa"/>
            <w:vAlign w:val="bottom"/>
          </w:tcPr>
          <w:p>
            <w:pPr>
              <w:spacing w:after="0"/>
              <w:rPr>
                <w:sz w:val="7"/>
                <w:szCs w:val="7"/>
                <w:color w:val="auto"/>
              </w:rPr>
            </w:pPr>
          </w:p>
        </w:tc>
        <w:tc>
          <w:tcPr>
            <w:tcW w:w="4280" w:type="dxa"/>
            <w:vAlign w:val="bottom"/>
          </w:tcPr>
          <w:p>
            <w:pPr>
              <w:ind w:left="120"/>
              <w:spacing w:after="0" w:line="90" w:lineRule="exact"/>
              <w:rPr>
                <w:sz w:val="20"/>
                <w:szCs w:val="20"/>
                <w:color w:val="auto"/>
              </w:rPr>
            </w:pPr>
            <w:r>
              <w:rPr>
                <w:rFonts w:ascii="Arial" w:cs="Arial" w:eastAsia="Arial" w:hAnsi="Arial"/>
                <w:sz w:val="8"/>
                <w:szCs w:val="8"/>
                <w:color w:val="auto"/>
              </w:rPr>
              <w:t>Delivery of compensation is mitigated by a contractual obligation for the Executive Director to seek alternative</w:t>
            </w:r>
          </w:p>
        </w:tc>
      </w:tr>
      <w:tr>
        <w:trPr>
          <w:trHeight w:val="105"/>
        </w:trPr>
        <w:tc>
          <w:tcPr>
            <w:tcW w:w="1160" w:type="dxa"/>
            <w:vAlign w:val="bottom"/>
          </w:tcPr>
          <w:p>
            <w:pPr>
              <w:spacing w:after="0"/>
              <w:rPr>
                <w:sz w:val="9"/>
                <w:szCs w:val="9"/>
                <w:color w:val="auto"/>
              </w:rPr>
            </w:pPr>
          </w:p>
        </w:tc>
        <w:tc>
          <w:tcPr>
            <w:tcW w:w="4280" w:type="dxa"/>
            <w:vAlign w:val="bottom"/>
          </w:tcPr>
          <w:p>
            <w:pPr>
              <w:ind w:left="120"/>
              <w:spacing w:after="0"/>
              <w:rPr>
                <w:sz w:val="20"/>
                <w:szCs w:val="20"/>
                <w:color w:val="auto"/>
              </w:rPr>
            </w:pPr>
            <w:r>
              <w:rPr>
                <w:rFonts w:ascii="Arial" w:cs="Arial" w:eastAsia="Arial" w:hAnsi="Arial"/>
                <w:sz w:val="8"/>
                <w:szCs w:val="8"/>
                <w:color w:val="auto"/>
              </w:rPr>
              <w:t>employment and Shell’s ability to implement phased payment terms.</w:t>
            </w:r>
          </w:p>
        </w:tc>
      </w:tr>
      <w:tr>
        <w:trPr>
          <w:trHeight w:val="165"/>
        </w:trPr>
        <w:tc>
          <w:tcPr>
            <w:tcW w:w="1160" w:type="dxa"/>
            <w:vAlign w:val="bottom"/>
          </w:tcPr>
          <w:p>
            <w:pPr>
              <w:spacing w:after="0"/>
              <w:rPr>
                <w:sz w:val="14"/>
                <w:szCs w:val="14"/>
                <w:color w:val="auto"/>
              </w:rPr>
            </w:pPr>
          </w:p>
        </w:tc>
        <w:tc>
          <w:tcPr>
            <w:tcW w:w="4280" w:type="dxa"/>
            <w:vAlign w:val="bottom"/>
          </w:tcPr>
          <w:p>
            <w:pPr>
              <w:ind w:left="120"/>
              <w:spacing w:after="0"/>
              <w:rPr>
                <w:sz w:val="20"/>
                <w:szCs w:val="20"/>
                <w:color w:val="auto"/>
              </w:rPr>
            </w:pPr>
            <w:r>
              <w:rPr>
                <w:rFonts w:ascii="Arial" w:cs="Arial" w:eastAsia="Arial" w:hAnsi="Arial"/>
                <w:sz w:val="8"/>
                <w:szCs w:val="8"/>
                <w:color w:val="auto"/>
                <w:w w:val="99"/>
              </w:rPr>
              <w:t>The provision of standard end-of-employment benefits such as repatriation costs, security provision and outplacement</w:t>
            </w:r>
          </w:p>
        </w:tc>
      </w:tr>
      <w:tr>
        <w:trPr>
          <w:trHeight w:val="105"/>
        </w:trPr>
        <w:tc>
          <w:tcPr>
            <w:tcW w:w="1160" w:type="dxa"/>
            <w:vAlign w:val="bottom"/>
          </w:tcPr>
          <w:p>
            <w:pPr>
              <w:spacing w:after="0"/>
              <w:rPr>
                <w:sz w:val="9"/>
                <w:szCs w:val="9"/>
                <w:color w:val="auto"/>
              </w:rPr>
            </w:pPr>
          </w:p>
        </w:tc>
        <w:tc>
          <w:tcPr>
            <w:tcW w:w="4280" w:type="dxa"/>
            <w:vAlign w:val="bottom"/>
          </w:tcPr>
          <w:p>
            <w:pPr>
              <w:ind w:left="120"/>
              <w:spacing w:after="0"/>
              <w:rPr>
                <w:sz w:val="20"/>
                <w:szCs w:val="20"/>
                <w:color w:val="auto"/>
              </w:rPr>
            </w:pPr>
            <w:r>
              <w:rPr>
                <w:rFonts w:ascii="Arial" w:cs="Arial" w:eastAsia="Arial" w:hAnsi="Arial"/>
                <w:sz w:val="8"/>
                <w:szCs w:val="8"/>
                <w:color w:val="auto"/>
              </w:rPr>
              <w:t>support may also be included, as deemed reasonable by the REMCO.</w:t>
            </w:r>
          </w:p>
        </w:tc>
      </w:tr>
      <w:tr>
        <w:trPr>
          <w:trHeight w:val="165"/>
        </w:trPr>
        <w:tc>
          <w:tcPr>
            <w:tcW w:w="1160" w:type="dxa"/>
            <w:vAlign w:val="bottom"/>
          </w:tcPr>
          <w:p>
            <w:pPr>
              <w:spacing w:after="0"/>
              <w:rPr>
                <w:sz w:val="14"/>
                <w:szCs w:val="14"/>
                <w:color w:val="auto"/>
              </w:rPr>
            </w:pPr>
          </w:p>
        </w:tc>
        <w:tc>
          <w:tcPr>
            <w:tcW w:w="4280" w:type="dxa"/>
            <w:vAlign w:val="bottom"/>
          </w:tcPr>
          <w:p>
            <w:pPr>
              <w:ind w:left="120"/>
              <w:spacing w:after="0"/>
              <w:rPr>
                <w:sz w:val="20"/>
                <w:szCs w:val="20"/>
                <w:color w:val="auto"/>
              </w:rPr>
            </w:pPr>
            <w:r>
              <w:rPr>
                <w:rFonts w:ascii="Arial" w:cs="Arial" w:eastAsia="Arial" w:hAnsi="Arial"/>
                <w:sz w:val="8"/>
                <w:szCs w:val="8"/>
                <w:color w:val="auto"/>
              </w:rPr>
              <w:t>The REMCO may adjust the termination payment for any situation where a full payment is inappropriate, taking into</w:t>
            </w:r>
          </w:p>
        </w:tc>
      </w:tr>
      <w:tr>
        <w:trPr>
          <w:trHeight w:val="90"/>
        </w:trPr>
        <w:tc>
          <w:tcPr>
            <w:tcW w:w="1160" w:type="dxa"/>
            <w:vAlign w:val="bottom"/>
          </w:tcPr>
          <w:p>
            <w:pPr>
              <w:spacing w:after="0"/>
              <w:rPr>
                <w:sz w:val="7"/>
                <w:szCs w:val="7"/>
                <w:color w:val="auto"/>
              </w:rPr>
            </w:pPr>
          </w:p>
        </w:tc>
        <w:tc>
          <w:tcPr>
            <w:tcW w:w="4280" w:type="dxa"/>
            <w:vAlign w:val="bottom"/>
          </w:tcPr>
          <w:p>
            <w:pPr>
              <w:ind w:left="120"/>
              <w:spacing w:after="0" w:line="90" w:lineRule="exact"/>
              <w:rPr>
                <w:sz w:val="20"/>
                <w:szCs w:val="20"/>
                <w:color w:val="auto"/>
              </w:rPr>
            </w:pPr>
            <w:r>
              <w:rPr>
                <w:rFonts w:ascii="Arial" w:cs="Arial" w:eastAsia="Arial" w:hAnsi="Arial"/>
                <w:sz w:val="8"/>
                <w:szCs w:val="8"/>
                <w:color w:val="auto"/>
                <w:w w:val="95"/>
              </w:rPr>
              <w:t>consideration applicable law, corporate governance provisions, the applicability of any statutory compensation and the best</w:t>
            </w:r>
          </w:p>
        </w:tc>
      </w:tr>
      <w:tr>
        <w:trPr>
          <w:trHeight w:val="111"/>
        </w:trPr>
        <w:tc>
          <w:tcPr>
            <w:tcW w:w="116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ind w:left="120"/>
              <w:spacing w:after="0"/>
              <w:rPr>
                <w:sz w:val="20"/>
                <w:szCs w:val="20"/>
                <w:color w:val="auto"/>
              </w:rPr>
            </w:pPr>
            <w:r>
              <w:rPr>
                <w:rFonts w:ascii="Arial" w:cs="Arial" w:eastAsia="Arial" w:hAnsi="Arial"/>
                <w:sz w:val="8"/>
                <w:szCs w:val="8"/>
                <w:color w:val="auto"/>
              </w:rPr>
              <w:t>interests of Shell and shareholders as a whole.</w:t>
            </w:r>
          </w:p>
        </w:tc>
      </w:tr>
      <w:tr>
        <w:trPr>
          <w:trHeight w:val="94"/>
        </w:trPr>
        <w:tc>
          <w:tcPr>
            <w:tcW w:w="1160" w:type="dxa"/>
            <w:vAlign w:val="bottom"/>
          </w:tcPr>
          <w:p>
            <w:pPr>
              <w:spacing w:after="0"/>
              <w:rPr>
                <w:sz w:val="20"/>
                <w:szCs w:val="20"/>
                <w:color w:val="auto"/>
              </w:rPr>
            </w:pPr>
            <w:r>
              <w:rPr>
                <w:rFonts w:ascii="Arial" w:cs="Arial" w:eastAsia="Arial" w:hAnsi="Arial"/>
                <w:sz w:val="8"/>
                <w:szCs w:val="8"/>
                <w:color w:val="auto"/>
              </w:rPr>
              <w:t>Annual bonus</w:t>
            </w:r>
          </w:p>
        </w:tc>
        <w:tc>
          <w:tcPr>
            <w:tcW w:w="4280" w:type="dxa"/>
            <w:vAlign w:val="bottom"/>
          </w:tcPr>
          <w:p>
            <w:pPr>
              <w:ind w:left="120"/>
              <w:spacing w:after="0"/>
              <w:rPr>
                <w:sz w:val="20"/>
                <w:szCs w:val="20"/>
                <w:color w:val="auto"/>
              </w:rPr>
            </w:pPr>
            <w:r>
              <w:rPr>
                <w:rFonts w:ascii="Arial" w:cs="Arial" w:eastAsia="Arial" w:hAnsi="Arial"/>
                <w:sz w:val="8"/>
                <w:szCs w:val="8"/>
                <w:color w:val="auto"/>
                <w:w w:val="99"/>
              </w:rPr>
              <w:t>Any annual bonus in the year of departure is prorated based on service. Depending on the timing of the departure, the</w:t>
            </w:r>
          </w:p>
        </w:tc>
      </w:tr>
      <w:tr>
        <w:trPr>
          <w:trHeight w:val="105"/>
        </w:trPr>
        <w:tc>
          <w:tcPr>
            <w:tcW w:w="1160" w:type="dxa"/>
            <w:vAlign w:val="bottom"/>
          </w:tcPr>
          <w:p>
            <w:pPr>
              <w:spacing w:after="0"/>
              <w:rPr>
                <w:sz w:val="9"/>
                <w:szCs w:val="9"/>
                <w:color w:val="auto"/>
              </w:rPr>
            </w:pPr>
          </w:p>
        </w:tc>
        <w:tc>
          <w:tcPr>
            <w:tcW w:w="4280" w:type="dxa"/>
            <w:vAlign w:val="bottom"/>
          </w:tcPr>
          <w:p>
            <w:pPr>
              <w:ind w:left="120"/>
              <w:spacing w:after="0"/>
              <w:rPr>
                <w:sz w:val="20"/>
                <w:szCs w:val="20"/>
                <w:color w:val="auto"/>
              </w:rPr>
            </w:pPr>
            <w:r>
              <w:rPr>
                <w:rFonts w:ascii="Arial" w:cs="Arial" w:eastAsia="Arial" w:hAnsi="Arial"/>
                <w:sz w:val="8"/>
                <w:szCs w:val="8"/>
                <w:color w:val="auto"/>
              </w:rPr>
              <w:t>REMCO may consider the latest scorecard position or defer payment until the full-year scorecard result is known.</w:t>
            </w:r>
          </w:p>
        </w:tc>
      </w:tr>
      <w:tr>
        <w:trPr>
          <w:trHeight w:val="165"/>
        </w:trPr>
        <w:tc>
          <w:tcPr>
            <w:tcW w:w="1160" w:type="dxa"/>
            <w:vAlign w:val="bottom"/>
          </w:tcPr>
          <w:p>
            <w:pPr>
              <w:spacing w:after="0"/>
              <w:rPr>
                <w:sz w:val="14"/>
                <w:szCs w:val="14"/>
                <w:color w:val="auto"/>
              </w:rPr>
            </w:pPr>
          </w:p>
        </w:tc>
        <w:tc>
          <w:tcPr>
            <w:tcW w:w="4280" w:type="dxa"/>
            <w:vAlign w:val="bottom"/>
          </w:tcPr>
          <w:p>
            <w:pPr>
              <w:ind w:left="120"/>
              <w:spacing w:after="0"/>
              <w:rPr>
                <w:sz w:val="20"/>
                <w:szCs w:val="20"/>
                <w:color w:val="auto"/>
              </w:rPr>
            </w:pPr>
            <w:r>
              <w:rPr>
                <w:rFonts w:ascii="Arial" w:cs="Arial" w:eastAsia="Arial" w:hAnsi="Arial"/>
                <w:sz w:val="8"/>
                <w:szCs w:val="8"/>
                <w:color w:val="auto"/>
                <w:w w:val="95"/>
              </w:rPr>
              <w:t>Bonuses delivered in shares represent the bonus which a participant has already earned and carry no further performance</w:t>
            </w:r>
          </w:p>
        </w:tc>
      </w:tr>
      <w:tr>
        <w:trPr>
          <w:trHeight w:val="90"/>
        </w:trPr>
        <w:tc>
          <w:tcPr>
            <w:tcW w:w="1160" w:type="dxa"/>
            <w:vAlign w:val="bottom"/>
          </w:tcPr>
          <w:p>
            <w:pPr>
              <w:spacing w:after="0"/>
              <w:rPr>
                <w:sz w:val="7"/>
                <w:szCs w:val="7"/>
                <w:color w:val="auto"/>
              </w:rPr>
            </w:pPr>
          </w:p>
        </w:tc>
        <w:tc>
          <w:tcPr>
            <w:tcW w:w="4280" w:type="dxa"/>
            <w:vAlign w:val="bottom"/>
          </w:tcPr>
          <w:p>
            <w:pPr>
              <w:ind w:left="120"/>
              <w:spacing w:after="0" w:line="90" w:lineRule="exact"/>
              <w:rPr>
                <w:sz w:val="20"/>
                <w:szCs w:val="20"/>
                <w:color w:val="auto"/>
              </w:rPr>
            </w:pPr>
            <w:r>
              <w:rPr>
                <w:rFonts w:ascii="Arial" w:cs="Arial" w:eastAsia="Arial" w:hAnsi="Arial"/>
                <w:sz w:val="8"/>
                <w:szCs w:val="8"/>
                <w:color w:val="auto"/>
              </w:rPr>
              <w:t>conditions; therefore, these shares will be unrestricted at the conclusion of the normal deferral or holding period</w:t>
            </w:r>
          </w:p>
        </w:tc>
      </w:tr>
      <w:tr>
        <w:trPr>
          <w:trHeight w:val="111"/>
        </w:trPr>
        <w:tc>
          <w:tcPr>
            <w:tcW w:w="116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ind w:left="120"/>
              <w:spacing w:after="0"/>
              <w:rPr>
                <w:sz w:val="20"/>
                <w:szCs w:val="20"/>
                <w:color w:val="auto"/>
              </w:rPr>
            </w:pPr>
            <w:r>
              <w:rPr>
                <w:rFonts w:ascii="Arial" w:cs="Arial" w:eastAsia="Arial" w:hAnsi="Arial"/>
                <w:sz w:val="8"/>
                <w:szCs w:val="8"/>
                <w:color w:val="auto"/>
              </w:rPr>
              <w:t>respectively and no proration will apply.</w:t>
            </w:r>
          </w:p>
        </w:tc>
      </w:tr>
      <w:tr>
        <w:trPr>
          <w:trHeight w:val="94"/>
        </w:trPr>
        <w:tc>
          <w:tcPr>
            <w:tcW w:w="1160" w:type="dxa"/>
            <w:vAlign w:val="bottom"/>
          </w:tcPr>
          <w:p>
            <w:pPr>
              <w:spacing w:after="0"/>
              <w:rPr>
                <w:sz w:val="20"/>
                <w:szCs w:val="20"/>
                <w:color w:val="auto"/>
              </w:rPr>
            </w:pPr>
            <w:r>
              <w:rPr>
                <w:rFonts w:ascii="Arial" w:cs="Arial" w:eastAsia="Arial" w:hAnsi="Arial"/>
                <w:sz w:val="8"/>
                <w:szCs w:val="8"/>
                <w:color w:val="auto"/>
              </w:rPr>
              <w:t>LTIP</w:t>
            </w:r>
          </w:p>
        </w:tc>
        <w:tc>
          <w:tcPr>
            <w:tcW w:w="4280" w:type="dxa"/>
            <w:vAlign w:val="bottom"/>
          </w:tcPr>
          <w:p>
            <w:pPr>
              <w:ind w:left="120"/>
              <w:spacing w:after="0"/>
              <w:rPr>
                <w:sz w:val="20"/>
                <w:szCs w:val="20"/>
                <w:color w:val="auto"/>
              </w:rPr>
            </w:pPr>
            <w:r>
              <w:rPr>
                <w:rFonts w:ascii="Arial" w:cs="Arial" w:eastAsia="Arial" w:hAnsi="Arial"/>
                <w:sz w:val="8"/>
                <w:szCs w:val="8"/>
                <w:color w:val="auto"/>
              </w:rPr>
              <w:t>Outstanding awards are prorated on a monthly basis, by reference to the Executive Director’s service within the</w:t>
            </w:r>
          </w:p>
        </w:tc>
      </w:tr>
      <w:tr>
        <w:trPr>
          <w:trHeight w:val="90"/>
        </w:trPr>
        <w:tc>
          <w:tcPr>
            <w:tcW w:w="1160" w:type="dxa"/>
            <w:vAlign w:val="bottom"/>
          </w:tcPr>
          <w:p>
            <w:pPr>
              <w:spacing w:after="0"/>
              <w:rPr>
                <w:sz w:val="7"/>
                <w:szCs w:val="7"/>
                <w:color w:val="auto"/>
              </w:rPr>
            </w:pPr>
          </w:p>
        </w:tc>
        <w:tc>
          <w:tcPr>
            <w:tcW w:w="4280" w:type="dxa"/>
            <w:vAlign w:val="bottom"/>
          </w:tcPr>
          <w:p>
            <w:pPr>
              <w:ind w:left="120"/>
              <w:spacing w:after="0" w:line="90" w:lineRule="exact"/>
              <w:rPr>
                <w:sz w:val="20"/>
                <w:szCs w:val="20"/>
                <w:color w:val="auto"/>
              </w:rPr>
            </w:pPr>
            <w:r>
              <w:rPr>
                <w:rFonts w:ascii="Arial" w:cs="Arial" w:eastAsia="Arial" w:hAnsi="Arial"/>
                <w:sz w:val="8"/>
                <w:szCs w:val="8"/>
                <w:color w:val="auto"/>
              </w:rPr>
              <w:t>performance period. They will generally survive the end of employment and will remain subject to the same vesting</w:t>
            </w:r>
          </w:p>
        </w:tc>
      </w:tr>
      <w:tr>
        <w:trPr>
          <w:trHeight w:val="90"/>
        </w:trPr>
        <w:tc>
          <w:tcPr>
            <w:tcW w:w="1160" w:type="dxa"/>
            <w:vAlign w:val="bottom"/>
          </w:tcPr>
          <w:p>
            <w:pPr>
              <w:spacing w:after="0"/>
              <w:rPr>
                <w:sz w:val="7"/>
                <w:szCs w:val="7"/>
                <w:color w:val="auto"/>
              </w:rPr>
            </w:pPr>
          </w:p>
        </w:tc>
        <w:tc>
          <w:tcPr>
            <w:tcW w:w="4280" w:type="dxa"/>
            <w:vAlign w:val="bottom"/>
          </w:tcPr>
          <w:p>
            <w:pPr>
              <w:ind w:left="120"/>
              <w:spacing w:after="0" w:line="90" w:lineRule="exact"/>
              <w:rPr>
                <w:sz w:val="20"/>
                <w:szCs w:val="20"/>
                <w:color w:val="auto"/>
              </w:rPr>
            </w:pPr>
            <w:r>
              <w:rPr>
                <w:rFonts w:ascii="Arial" w:cs="Arial" w:eastAsia="Arial" w:hAnsi="Arial"/>
                <w:sz w:val="8"/>
                <w:szCs w:val="8"/>
                <w:color w:val="auto"/>
                <w:w w:val="98"/>
              </w:rPr>
              <w:t>performance conditions, and malus and clawback provisions, as if the Executive Director had remained in employment.</w:t>
            </w:r>
          </w:p>
        </w:tc>
      </w:tr>
      <w:tr>
        <w:trPr>
          <w:trHeight w:val="90"/>
        </w:trPr>
        <w:tc>
          <w:tcPr>
            <w:tcW w:w="1160" w:type="dxa"/>
            <w:vAlign w:val="bottom"/>
          </w:tcPr>
          <w:p>
            <w:pPr>
              <w:spacing w:after="0"/>
              <w:rPr>
                <w:sz w:val="7"/>
                <w:szCs w:val="7"/>
                <w:color w:val="auto"/>
              </w:rPr>
            </w:pPr>
          </w:p>
        </w:tc>
        <w:tc>
          <w:tcPr>
            <w:tcW w:w="4280" w:type="dxa"/>
            <w:vAlign w:val="bottom"/>
          </w:tcPr>
          <w:p>
            <w:pPr>
              <w:ind w:left="120"/>
              <w:spacing w:after="0" w:line="90" w:lineRule="exact"/>
              <w:rPr>
                <w:sz w:val="20"/>
                <w:szCs w:val="20"/>
                <w:color w:val="auto"/>
              </w:rPr>
            </w:pPr>
            <w:r>
              <w:rPr>
                <w:rFonts w:ascii="Arial" w:cs="Arial" w:eastAsia="Arial" w:hAnsi="Arial"/>
                <w:sz w:val="8"/>
                <w:szCs w:val="8"/>
                <w:color w:val="auto"/>
                <w:w w:val="96"/>
              </w:rPr>
              <w:t>The three-year holding period will also remain in force for any awards made on or after January 1, 2017. If the participant</w:t>
            </w:r>
          </w:p>
        </w:tc>
      </w:tr>
      <w:tr>
        <w:trPr>
          <w:trHeight w:val="90"/>
        </w:trPr>
        <w:tc>
          <w:tcPr>
            <w:tcW w:w="1160" w:type="dxa"/>
            <w:vAlign w:val="bottom"/>
          </w:tcPr>
          <w:p>
            <w:pPr>
              <w:spacing w:after="0"/>
              <w:rPr>
                <w:sz w:val="7"/>
                <w:szCs w:val="7"/>
                <w:color w:val="auto"/>
              </w:rPr>
            </w:pPr>
          </w:p>
        </w:tc>
        <w:tc>
          <w:tcPr>
            <w:tcW w:w="4280" w:type="dxa"/>
            <w:vAlign w:val="bottom"/>
          </w:tcPr>
          <w:p>
            <w:pPr>
              <w:ind w:left="120"/>
              <w:spacing w:after="0" w:line="90" w:lineRule="exact"/>
              <w:rPr>
                <w:sz w:val="20"/>
                <w:szCs w:val="20"/>
                <w:color w:val="auto"/>
              </w:rPr>
            </w:pPr>
            <w:r>
              <w:rPr>
                <w:rFonts w:ascii="Arial" w:cs="Arial" w:eastAsia="Arial" w:hAnsi="Arial"/>
                <w:sz w:val="8"/>
                <w:szCs w:val="8"/>
                <w:color w:val="auto"/>
                <w:w w:val="96"/>
              </w:rPr>
              <w:t>dies before the end of the performance period, the award will vest at the target level on the date of death. In case of death</w:t>
            </w:r>
          </w:p>
        </w:tc>
      </w:tr>
      <w:tr>
        <w:trPr>
          <w:trHeight w:val="111"/>
        </w:trPr>
        <w:tc>
          <w:tcPr>
            <w:tcW w:w="116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ind w:left="120"/>
              <w:spacing w:after="0"/>
              <w:rPr>
                <w:sz w:val="20"/>
                <w:szCs w:val="20"/>
                <w:color w:val="auto"/>
              </w:rPr>
            </w:pPr>
            <w:r>
              <w:rPr>
                <w:rFonts w:ascii="Arial" w:cs="Arial" w:eastAsia="Arial" w:hAnsi="Arial"/>
                <w:sz w:val="8"/>
                <w:szCs w:val="8"/>
                <w:color w:val="auto"/>
              </w:rPr>
              <w:t>after the end of the performance period, the award will vest as described in this Policy.</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NON-EXECUTIVE DIRECTORS</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Non-executive Directors’ remuneration policy table</w:t>
      </w:r>
    </w:p>
    <w:p>
      <w:pPr>
        <w:spacing w:after="0" w:line="33" w:lineRule="exact"/>
        <w:rPr>
          <w:sz w:val="20"/>
          <w:szCs w:val="20"/>
          <w:color w:val="auto"/>
        </w:rPr>
      </w:pPr>
    </w:p>
    <w:p>
      <w:pPr>
        <w:spacing w:after="0"/>
        <w:tabs>
          <w:tab w:leader="none" w:pos="1780" w:val="left"/>
          <w:tab w:leader="none" w:pos="3240" w:val="left"/>
        </w:tabs>
        <w:rPr>
          <w:sz w:val="20"/>
          <w:szCs w:val="20"/>
          <w:color w:val="auto"/>
        </w:rPr>
      </w:pPr>
      <w:r>
        <w:rPr>
          <w:rFonts w:ascii="Arial" w:cs="Arial" w:eastAsia="Arial" w:hAnsi="Arial"/>
          <w:sz w:val="8"/>
          <w:szCs w:val="8"/>
          <w:color w:val="auto"/>
        </w:rPr>
        <w:t>Fee structure</w:t>
      </w:r>
      <w:r>
        <w:rPr>
          <w:sz w:val="20"/>
          <w:szCs w:val="20"/>
          <w:color w:val="auto"/>
        </w:rPr>
        <w:tab/>
      </w:r>
      <w:r>
        <w:rPr>
          <w:rFonts w:ascii="Arial" w:cs="Arial" w:eastAsia="Arial" w:hAnsi="Arial"/>
          <w:sz w:val="8"/>
          <w:szCs w:val="8"/>
          <w:color w:val="auto"/>
        </w:rPr>
        <w:t>Approach to setting fees</w:t>
      </w:r>
      <w:r>
        <w:rPr>
          <w:sz w:val="20"/>
          <w:szCs w:val="20"/>
          <w:color w:val="auto"/>
        </w:rPr>
        <w:tab/>
      </w:r>
      <w:r>
        <w:rPr>
          <w:rFonts w:ascii="Arial" w:cs="Arial" w:eastAsia="Arial" w:hAnsi="Arial"/>
          <w:sz w:val="7"/>
          <w:szCs w:val="7"/>
          <w:color w:val="auto"/>
        </w:rPr>
        <w:t>Other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57575"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p>
      <w:pPr>
        <w:spacing w:after="0" w:line="43" w:lineRule="exact"/>
        <w:rPr>
          <w:sz w:val="20"/>
          <w:szCs w:val="20"/>
          <w:color w:val="auto"/>
        </w:rPr>
      </w:pPr>
    </w:p>
    <w:p>
      <w:pPr>
        <w:ind w:right="80"/>
        <w:spacing w:after="0" w:line="243" w:lineRule="auto"/>
        <w:rPr>
          <w:sz w:val="20"/>
          <w:szCs w:val="20"/>
          <w:color w:val="auto"/>
        </w:rPr>
      </w:pPr>
      <w:r>
        <w:rPr>
          <w:rFonts w:ascii="Arial" w:cs="Arial" w:eastAsia="Arial" w:hAnsi="Arial"/>
          <w:sz w:val="8"/>
          <w:szCs w:val="8"/>
          <w:color w:val="auto"/>
        </w:rPr>
        <w:t>Non-executive Directors (NEDs) receive a fixed annual fee for their directorship. The size of the fee will differ based on the position on the Board: Chair of the Board fee or standard Non-executive Director fee.</w:t>
      </w:r>
    </w:p>
    <w:p>
      <w:pPr>
        <w:spacing w:after="0" w:line="74" w:lineRule="exact"/>
        <w:rPr>
          <w:sz w:val="20"/>
          <w:szCs w:val="20"/>
          <w:color w:val="auto"/>
        </w:rPr>
      </w:pPr>
    </w:p>
    <w:p>
      <w:pPr>
        <w:jc w:val="both"/>
        <w:spacing w:after="0" w:line="304" w:lineRule="auto"/>
        <w:rPr>
          <w:sz w:val="20"/>
          <w:szCs w:val="20"/>
          <w:color w:val="auto"/>
        </w:rPr>
      </w:pPr>
      <w:r>
        <w:rPr>
          <w:rFonts w:ascii="Arial" w:cs="Arial" w:eastAsia="Arial" w:hAnsi="Arial"/>
          <w:sz w:val="7"/>
          <w:szCs w:val="7"/>
          <w:color w:val="auto"/>
        </w:rPr>
        <w:t>Additional annual fee(s) are payable to any Director who serves as Senior Independent Director, a Board committee chair, or a Board committee member.</w:t>
      </w:r>
    </w:p>
    <w:p>
      <w:pPr>
        <w:spacing w:after="0" w:line="54" w:lineRule="exact"/>
        <w:rPr>
          <w:sz w:val="20"/>
          <w:szCs w:val="20"/>
          <w:color w:val="auto"/>
        </w:rPr>
      </w:pPr>
    </w:p>
    <w:p>
      <w:pPr>
        <w:ind w:right="120"/>
        <w:spacing w:after="0" w:line="251" w:lineRule="auto"/>
        <w:rPr>
          <w:sz w:val="20"/>
          <w:szCs w:val="20"/>
          <w:color w:val="auto"/>
        </w:rPr>
      </w:pPr>
      <w:r>
        <w:rPr>
          <w:rFonts w:ascii="Arial" w:cs="Arial" w:eastAsia="Arial" w:hAnsi="Arial"/>
          <w:sz w:val="8"/>
          <w:szCs w:val="8"/>
          <w:color w:val="auto"/>
        </w:rPr>
        <w:t>A NED receives either a chair or member fee for each committee. This means that a chair of a committee does not receive both fees.</w:t>
      </w:r>
    </w:p>
    <w:p>
      <w:pPr>
        <w:spacing w:after="0" w:line="71" w:lineRule="exact"/>
        <w:rPr>
          <w:sz w:val="20"/>
          <w:szCs w:val="20"/>
          <w:color w:val="auto"/>
        </w:rPr>
      </w:pPr>
    </w:p>
    <w:p>
      <w:pPr>
        <w:ind w:right="80"/>
        <w:spacing w:after="0" w:line="245" w:lineRule="auto"/>
        <w:rPr>
          <w:sz w:val="20"/>
          <w:szCs w:val="20"/>
          <w:color w:val="auto"/>
        </w:rPr>
      </w:pPr>
      <w:r>
        <w:rPr>
          <w:rFonts w:ascii="Arial" w:cs="Arial" w:eastAsia="Arial" w:hAnsi="Arial"/>
          <w:sz w:val="8"/>
          <w:szCs w:val="8"/>
          <w:color w:val="auto"/>
        </w:rPr>
        <w:t>NEDs receive an additional fee for any Board meeting involving intercontinental travel – except for one meeting a year held in a location other than The Hague.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2"/>
        </w:trPr>
        <w:tc>
          <w:tcPr>
            <w:tcW w:w="1440" w:type="dxa"/>
            <w:vAlign w:val="bottom"/>
          </w:tcPr>
          <w:p>
            <w:pPr>
              <w:spacing w:after="0"/>
              <w:rPr>
                <w:sz w:val="20"/>
                <w:szCs w:val="20"/>
                <w:color w:val="auto"/>
              </w:rPr>
            </w:pPr>
            <w:r>
              <w:rPr>
                <w:rFonts w:ascii="Arial" w:cs="Arial" w:eastAsia="Arial" w:hAnsi="Arial"/>
                <w:sz w:val="8"/>
                <w:szCs w:val="8"/>
                <w:color w:val="auto"/>
              </w:rPr>
              <w:t>The Chair’s fee is determined by the</w:t>
            </w:r>
          </w:p>
        </w:tc>
        <w:tc>
          <w:tcPr>
            <w:tcW w:w="2180" w:type="dxa"/>
            <w:vAlign w:val="bottom"/>
          </w:tcPr>
          <w:p>
            <w:pPr>
              <w:ind w:left="20"/>
              <w:spacing w:after="0"/>
              <w:rPr>
                <w:sz w:val="20"/>
                <w:szCs w:val="20"/>
                <w:color w:val="auto"/>
              </w:rPr>
            </w:pPr>
            <w:r>
              <w:rPr>
                <w:rFonts w:ascii="Arial" w:cs="Arial" w:eastAsia="Arial" w:hAnsi="Arial"/>
                <w:sz w:val="8"/>
                <w:szCs w:val="8"/>
                <w:color w:val="auto"/>
                <w:w w:val="99"/>
              </w:rPr>
              <w:t>Business expenses incurred in respect of the performance of</w:t>
            </w:r>
          </w:p>
        </w:tc>
        <w:tc>
          <w:tcPr>
            <w:tcW w:w="0" w:type="dxa"/>
            <w:vAlign w:val="bottom"/>
          </w:tcPr>
          <w:p>
            <w:pPr>
              <w:spacing w:after="0"/>
              <w:rPr>
                <w:sz w:val="1"/>
                <w:szCs w:val="1"/>
                <w:color w:val="auto"/>
              </w:rPr>
            </w:pPr>
          </w:p>
        </w:tc>
      </w:tr>
      <w:tr>
        <w:trPr>
          <w:trHeight w:val="90"/>
        </w:trPr>
        <w:tc>
          <w:tcPr>
            <w:tcW w:w="1440" w:type="dxa"/>
            <w:vAlign w:val="bottom"/>
          </w:tcPr>
          <w:p>
            <w:pPr>
              <w:spacing w:after="0" w:line="90" w:lineRule="exact"/>
              <w:rPr>
                <w:sz w:val="20"/>
                <w:szCs w:val="20"/>
                <w:color w:val="auto"/>
              </w:rPr>
            </w:pPr>
            <w:r>
              <w:rPr>
                <w:rFonts w:ascii="Arial" w:cs="Arial" w:eastAsia="Arial" w:hAnsi="Arial"/>
                <w:sz w:val="8"/>
                <w:szCs w:val="8"/>
                <w:color w:val="auto"/>
                <w:w w:val="98"/>
              </w:rPr>
              <w:t>REMCO. The Board determines the fees</w:t>
            </w:r>
          </w:p>
        </w:tc>
        <w:tc>
          <w:tcPr>
            <w:tcW w:w="2180" w:type="dxa"/>
            <w:vAlign w:val="bottom"/>
          </w:tcPr>
          <w:p>
            <w:pPr>
              <w:ind w:left="20"/>
              <w:spacing w:after="0" w:line="90" w:lineRule="exact"/>
              <w:rPr>
                <w:sz w:val="20"/>
                <w:szCs w:val="20"/>
                <w:color w:val="auto"/>
              </w:rPr>
            </w:pPr>
            <w:r>
              <w:rPr>
                <w:rFonts w:ascii="Arial" w:cs="Arial" w:eastAsia="Arial" w:hAnsi="Arial"/>
                <w:sz w:val="8"/>
                <w:szCs w:val="8"/>
                <w:color w:val="auto"/>
                <w:w w:val="96"/>
              </w:rPr>
              <w:t>their duties as a NED will be paid or reimbursed by Shell. Such</w:t>
            </w:r>
          </w:p>
        </w:tc>
        <w:tc>
          <w:tcPr>
            <w:tcW w:w="0" w:type="dxa"/>
            <w:vAlign w:val="bottom"/>
          </w:tcPr>
          <w:p>
            <w:pPr>
              <w:spacing w:after="0"/>
              <w:rPr>
                <w:sz w:val="1"/>
                <w:szCs w:val="1"/>
                <w:color w:val="auto"/>
              </w:rPr>
            </w:pPr>
          </w:p>
        </w:tc>
      </w:tr>
      <w:tr>
        <w:trPr>
          <w:trHeight w:val="90"/>
        </w:trPr>
        <w:tc>
          <w:tcPr>
            <w:tcW w:w="1440" w:type="dxa"/>
            <w:vAlign w:val="bottom"/>
          </w:tcPr>
          <w:p>
            <w:pPr>
              <w:spacing w:after="0" w:line="90" w:lineRule="exact"/>
              <w:rPr>
                <w:sz w:val="20"/>
                <w:szCs w:val="20"/>
                <w:color w:val="auto"/>
              </w:rPr>
            </w:pPr>
            <w:r>
              <w:rPr>
                <w:rFonts w:ascii="Arial" w:cs="Arial" w:eastAsia="Arial" w:hAnsi="Arial"/>
                <w:sz w:val="8"/>
                <w:szCs w:val="8"/>
                <w:color w:val="auto"/>
              </w:rPr>
              <w:t>payable to NEDs. The maximum</w:t>
            </w:r>
          </w:p>
        </w:tc>
        <w:tc>
          <w:tcPr>
            <w:tcW w:w="2180" w:type="dxa"/>
            <w:vAlign w:val="bottom"/>
          </w:tcPr>
          <w:p>
            <w:pPr>
              <w:ind w:left="20"/>
              <w:spacing w:after="0" w:line="90" w:lineRule="exact"/>
              <w:rPr>
                <w:sz w:val="20"/>
                <w:szCs w:val="20"/>
                <w:color w:val="auto"/>
              </w:rPr>
            </w:pPr>
            <w:r>
              <w:rPr>
                <w:rFonts w:ascii="Arial" w:cs="Arial" w:eastAsia="Arial" w:hAnsi="Arial"/>
                <w:sz w:val="8"/>
                <w:szCs w:val="8"/>
                <w:color w:val="auto"/>
                <w:w w:val="95"/>
              </w:rPr>
              <w:t>expenses could include transport between home and office and</w:t>
            </w:r>
          </w:p>
        </w:tc>
        <w:tc>
          <w:tcPr>
            <w:tcW w:w="0" w:type="dxa"/>
            <w:vAlign w:val="bottom"/>
          </w:tcPr>
          <w:p>
            <w:pPr>
              <w:spacing w:after="0"/>
              <w:rPr>
                <w:sz w:val="1"/>
                <w:szCs w:val="1"/>
                <w:color w:val="auto"/>
              </w:rPr>
            </w:pPr>
          </w:p>
        </w:tc>
      </w:tr>
      <w:tr>
        <w:trPr>
          <w:trHeight w:val="90"/>
        </w:trPr>
        <w:tc>
          <w:tcPr>
            <w:tcW w:w="1440" w:type="dxa"/>
            <w:vAlign w:val="bottom"/>
          </w:tcPr>
          <w:p>
            <w:pPr>
              <w:spacing w:after="0" w:line="90" w:lineRule="exact"/>
              <w:rPr>
                <w:sz w:val="20"/>
                <w:szCs w:val="20"/>
                <w:color w:val="auto"/>
              </w:rPr>
            </w:pPr>
            <w:r>
              <w:rPr>
                <w:rFonts w:ascii="Arial" w:cs="Arial" w:eastAsia="Arial" w:hAnsi="Arial"/>
                <w:sz w:val="8"/>
                <w:szCs w:val="8"/>
                <w:color w:val="auto"/>
              </w:rPr>
              <w:t>aggregate annual fees will be within the</w:t>
            </w:r>
          </w:p>
        </w:tc>
        <w:tc>
          <w:tcPr>
            <w:tcW w:w="2180" w:type="dxa"/>
            <w:vAlign w:val="bottom"/>
          </w:tcPr>
          <w:p>
            <w:pPr>
              <w:ind w:left="20"/>
              <w:spacing w:after="0" w:line="90" w:lineRule="exact"/>
              <w:rPr>
                <w:sz w:val="20"/>
                <w:szCs w:val="20"/>
                <w:color w:val="auto"/>
              </w:rPr>
            </w:pPr>
            <w:r>
              <w:rPr>
                <w:rFonts w:ascii="Arial" w:cs="Arial" w:eastAsia="Arial" w:hAnsi="Arial"/>
                <w:sz w:val="8"/>
                <w:szCs w:val="8"/>
                <w:color w:val="auto"/>
                <w:w w:val="95"/>
              </w:rPr>
              <w:t>occasional business-required partner travel. NEDs may receive</w:t>
            </w:r>
          </w:p>
        </w:tc>
        <w:tc>
          <w:tcPr>
            <w:tcW w:w="0" w:type="dxa"/>
            <w:vAlign w:val="bottom"/>
          </w:tcPr>
          <w:p>
            <w:pPr>
              <w:spacing w:after="0"/>
              <w:rPr>
                <w:sz w:val="1"/>
                <w:szCs w:val="1"/>
                <w:color w:val="auto"/>
              </w:rPr>
            </w:pPr>
          </w:p>
        </w:tc>
      </w:tr>
      <w:tr>
        <w:trPr>
          <w:trHeight w:val="90"/>
        </w:trPr>
        <w:tc>
          <w:tcPr>
            <w:tcW w:w="1440" w:type="dxa"/>
            <w:vAlign w:val="bottom"/>
          </w:tcPr>
          <w:p>
            <w:pPr>
              <w:spacing w:after="0" w:line="90" w:lineRule="exact"/>
              <w:rPr>
                <w:sz w:val="20"/>
                <w:szCs w:val="20"/>
                <w:color w:val="auto"/>
              </w:rPr>
            </w:pPr>
            <w:r>
              <w:rPr>
                <w:rFonts w:ascii="Arial" w:cs="Arial" w:eastAsia="Arial" w:hAnsi="Arial"/>
                <w:sz w:val="8"/>
                <w:szCs w:val="8"/>
                <w:color w:val="auto"/>
              </w:rPr>
              <w:t>limit specified by the Articles of</w:t>
            </w:r>
          </w:p>
        </w:tc>
        <w:tc>
          <w:tcPr>
            <w:tcW w:w="2180" w:type="dxa"/>
            <w:vAlign w:val="bottom"/>
          </w:tcPr>
          <w:p>
            <w:pPr>
              <w:ind w:left="20"/>
              <w:spacing w:after="0" w:line="90" w:lineRule="exact"/>
              <w:rPr>
                <w:sz w:val="20"/>
                <w:szCs w:val="20"/>
                <w:color w:val="auto"/>
              </w:rPr>
            </w:pPr>
            <w:r>
              <w:rPr>
                <w:rFonts w:ascii="Arial" w:cs="Arial" w:eastAsia="Arial" w:hAnsi="Arial"/>
                <w:sz w:val="8"/>
                <w:szCs w:val="8"/>
                <w:color w:val="auto"/>
              </w:rPr>
              <w:t>a token of recognition on retirement from the board. The</w:t>
            </w:r>
          </w:p>
        </w:tc>
        <w:tc>
          <w:tcPr>
            <w:tcW w:w="0" w:type="dxa"/>
            <w:vAlign w:val="bottom"/>
          </w:tcPr>
          <w:p>
            <w:pPr>
              <w:spacing w:after="0"/>
              <w:rPr>
                <w:sz w:val="1"/>
                <w:szCs w:val="1"/>
                <w:color w:val="auto"/>
              </w:rPr>
            </w:pPr>
          </w:p>
        </w:tc>
      </w:tr>
      <w:tr>
        <w:trPr>
          <w:trHeight w:val="90"/>
        </w:trPr>
        <w:tc>
          <w:tcPr>
            <w:tcW w:w="1440" w:type="dxa"/>
            <w:vAlign w:val="bottom"/>
          </w:tcPr>
          <w:p>
            <w:pPr>
              <w:spacing w:after="0" w:line="90" w:lineRule="exact"/>
              <w:rPr>
                <w:sz w:val="20"/>
                <w:szCs w:val="20"/>
                <w:color w:val="auto"/>
              </w:rPr>
            </w:pPr>
            <w:r>
              <w:rPr>
                <w:rFonts w:ascii="Arial" w:cs="Arial" w:eastAsia="Arial" w:hAnsi="Arial"/>
                <w:sz w:val="8"/>
                <w:szCs w:val="8"/>
                <w:color w:val="auto"/>
              </w:rPr>
              <w:t>Association and in accordance with the</w:t>
            </w:r>
          </w:p>
        </w:tc>
        <w:tc>
          <w:tcPr>
            <w:tcW w:w="2180" w:type="dxa"/>
            <w:vAlign w:val="bottom"/>
          </w:tcPr>
          <w:p>
            <w:pPr>
              <w:ind w:left="20"/>
              <w:spacing w:after="0" w:line="90" w:lineRule="exact"/>
              <w:rPr>
                <w:sz w:val="20"/>
                <w:szCs w:val="20"/>
                <w:color w:val="auto"/>
              </w:rPr>
            </w:pPr>
            <w:r>
              <w:rPr>
                <w:rFonts w:ascii="Arial" w:cs="Arial" w:eastAsia="Arial" w:hAnsi="Arial"/>
                <w:sz w:val="8"/>
                <w:szCs w:val="8"/>
                <w:color w:val="auto"/>
                <w:w w:val="99"/>
              </w:rPr>
              <w:t>maximum value for this is €300. Where required, the Chair is</w:t>
            </w:r>
          </w:p>
        </w:tc>
        <w:tc>
          <w:tcPr>
            <w:tcW w:w="0" w:type="dxa"/>
            <w:vAlign w:val="bottom"/>
          </w:tcPr>
          <w:p>
            <w:pPr>
              <w:spacing w:after="0"/>
              <w:rPr>
                <w:sz w:val="1"/>
                <w:szCs w:val="1"/>
                <w:color w:val="auto"/>
              </w:rPr>
            </w:pPr>
          </w:p>
        </w:tc>
      </w:tr>
      <w:tr>
        <w:trPr>
          <w:trHeight w:val="90"/>
        </w:trPr>
        <w:tc>
          <w:tcPr>
            <w:tcW w:w="1440" w:type="dxa"/>
            <w:vAlign w:val="bottom"/>
          </w:tcPr>
          <w:p>
            <w:pPr>
              <w:spacing w:after="0" w:line="90" w:lineRule="exact"/>
              <w:rPr>
                <w:sz w:val="20"/>
                <w:szCs w:val="20"/>
                <w:color w:val="auto"/>
              </w:rPr>
            </w:pPr>
            <w:r>
              <w:rPr>
                <w:rFonts w:ascii="Arial" w:cs="Arial" w:eastAsia="Arial" w:hAnsi="Arial"/>
                <w:sz w:val="8"/>
                <w:szCs w:val="8"/>
                <w:color w:val="auto"/>
              </w:rPr>
              <w:t>NEDs’ responsibilities and time</w:t>
            </w:r>
          </w:p>
        </w:tc>
        <w:tc>
          <w:tcPr>
            <w:tcW w:w="2180" w:type="dxa"/>
            <w:vAlign w:val="bottom"/>
          </w:tcPr>
          <w:p>
            <w:pPr>
              <w:ind w:left="20"/>
              <w:spacing w:after="0" w:line="90" w:lineRule="exact"/>
              <w:rPr>
                <w:sz w:val="20"/>
                <w:szCs w:val="20"/>
                <w:color w:val="auto"/>
              </w:rPr>
            </w:pPr>
            <w:r>
              <w:rPr>
                <w:rFonts w:ascii="Arial" w:cs="Arial" w:eastAsia="Arial" w:hAnsi="Arial"/>
                <w:sz w:val="8"/>
                <w:szCs w:val="8"/>
                <w:color w:val="auto"/>
              </w:rPr>
              <w:t>offered Shell-provided accommodation in The Hague. The</w:t>
            </w:r>
          </w:p>
        </w:tc>
        <w:tc>
          <w:tcPr>
            <w:tcW w:w="0" w:type="dxa"/>
            <w:vAlign w:val="bottom"/>
          </w:tcPr>
          <w:p>
            <w:pPr>
              <w:spacing w:after="0"/>
              <w:rPr>
                <w:sz w:val="1"/>
                <w:szCs w:val="1"/>
                <w:color w:val="auto"/>
              </w:rPr>
            </w:pPr>
          </w:p>
        </w:tc>
      </w:tr>
      <w:tr>
        <w:trPr>
          <w:trHeight w:val="90"/>
        </w:trPr>
        <w:tc>
          <w:tcPr>
            <w:tcW w:w="1440" w:type="dxa"/>
            <w:vAlign w:val="bottom"/>
          </w:tcPr>
          <w:p>
            <w:pPr>
              <w:spacing w:after="0" w:line="90" w:lineRule="exact"/>
              <w:rPr>
                <w:sz w:val="20"/>
                <w:szCs w:val="20"/>
                <w:color w:val="auto"/>
              </w:rPr>
            </w:pPr>
            <w:r>
              <w:rPr>
                <w:rFonts w:ascii="Arial" w:cs="Arial" w:eastAsia="Arial" w:hAnsi="Arial"/>
                <w:sz w:val="8"/>
                <w:szCs w:val="8"/>
                <w:color w:val="auto"/>
              </w:rPr>
              <w:t>commitments.</w:t>
            </w:r>
          </w:p>
        </w:tc>
        <w:tc>
          <w:tcPr>
            <w:tcW w:w="2180" w:type="dxa"/>
            <w:vAlign w:val="bottom"/>
          </w:tcPr>
          <w:p>
            <w:pPr>
              <w:ind w:left="20"/>
              <w:spacing w:after="0" w:line="90" w:lineRule="exact"/>
              <w:rPr>
                <w:sz w:val="20"/>
                <w:szCs w:val="20"/>
                <w:color w:val="auto"/>
              </w:rPr>
            </w:pPr>
            <w:r>
              <w:rPr>
                <w:rFonts w:ascii="Arial" w:cs="Arial" w:eastAsia="Arial" w:hAnsi="Arial"/>
                <w:sz w:val="8"/>
                <w:szCs w:val="8"/>
                <w:color w:val="auto"/>
                <w:w w:val="94"/>
              </w:rPr>
              <w:t>REMCO has the discretion to offer other benefits to the Chair as</w:t>
            </w:r>
          </w:p>
        </w:tc>
        <w:tc>
          <w:tcPr>
            <w:tcW w:w="0" w:type="dxa"/>
            <w:vAlign w:val="bottom"/>
          </w:tcPr>
          <w:p>
            <w:pPr>
              <w:spacing w:after="0"/>
              <w:rPr>
                <w:sz w:val="1"/>
                <w:szCs w:val="1"/>
                <w:color w:val="auto"/>
              </w:rPr>
            </w:pPr>
          </w:p>
        </w:tc>
      </w:tr>
      <w:tr>
        <w:trPr>
          <w:trHeight w:val="90"/>
        </w:trPr>
        <w:tc>
          <w:tcPr>
            <w:tcW w:w="1440" w:type="dxa"/>
            <w:vAlign w:val="bottom"/>
          </w:tcPr>
          <w:p>
            <w:pPr>
              <w:spacing w:after="0"/>
              <w:rPr>
                <w:sz w:val="7"/>
                <w:szCs w:val="7"/>
                <w:color w:val="auto"/>
              </w:rPr>
            </w:pPr>
          </w:p>
        </w:tc>
        <w:tc>
          <w:tcPr>
            <w:tcW w:w="2180" w:type="dxa"/>
            <w:vAlign w:val="bottom"/>
          </w:tcPr>
          <w:p>
            <w:pPr>
              <w:ind w:left="20"/>
              <w:spacing w:after="0" w:line="90" w:lineRule="exact"/>
              <w:rPr>
                <w:sz w:val="20"/>
                <w:szCs w:val="20"/>
                <w:color w:val="auto"/>
              </w:rPr>
            </w:pPr>
            <w:r>
              <w:rPr>
                <w:rFonts w:ascii="Arial" w:cs="Arial" w:eastAsia="Arial" w:hAnsi="Arial"/>
                <w:sz w:val="8"/>
                <w:szCs w:val="8"/>
                <w:color w:val="auto"/>
                <w:w w:val="93"/>
              </w:rPr>
              <w:t>appropriate to their circumstances. Where business expenses or</w:t>
            </w:r>
          </w:p>
        </w:tc>
        <w:tc>
          <w:tcPr>
            <w:tcW w:w="0" w:type="dxa"/>
            <w:vAlign w:val="bottom"/>
          </w:tcPr>
          <w:p>
            <w:pPr>
              <w:spacing w:after="0"/>
              <w:rPr>
                <w:sz w:val="1"/>
                <w:szCs w:val="1"/>
                <w:color w:val="auto"/>
              </w:rPr>
            </w:pPr>
          </w:p>
        </w:tc>
      </w:tr>
      <w:tr>
        <w:trPr>
          <w:trHeight w:val="90"/>
        </w:trPr>
        <w:tc>
          <w:tcPr>
            <w:tcW w:w="1440" w:type="dxa"/>
            <w:vAlign w:val="bottom"/>
          </w:tcPr>
          <w:p>
            <w:pPr>
              <w:spacing w:after="0" w:line="90" w:lineRule="exact"/>
              <w:rPr>
                <w:sz w:val="20"/>
                <w:szCs w:val="20"/>
                <w:color w:val="auto"/>
              </w:rPr>
            </w:pPr>
            <w:r>
              <w:rPr>
                <w:rFonts w:ascii="Arial" w:cs="Arial" w:eastAsia="Arial" w:hAnsi="Arial"/>
                <w:sz w:val="8"/>
                <w:szCs w:val="8"/>
                <w:color w:val="auto"/>
                <w:w w:val="97"/>
              </w:rPr>
              <w:t>The Board reviews NED fees periodically</w:t>
            </w:r>
          </w:p>
        </w:tc>
        <w:tc>
          <w:tcPr>
            <w:tcW w:w="2180" w:type="dxa"/>
            <w:vAlign w:val="bottom"/>
          </w:tcPr>
          <w:p>
            <w:pPr>
              <w:ind w:left="20"/>
              <w:spacing w:after="0" w:line="90" w:lineRule="exact"/>
              <w:rPr>
                <w:sz w:val="20"/>
                <w:szCs w:val="20"/>
                <w:color w:val="auto"/>
              </w:rPr>
            </w:pPr>
            <w:r>
              <w:rPr>
                <w:rFonts w:ascii="Arial" w:cs="Arial" w:eastAsia="Arial" w:hAnsi="Arial"/>
                <w:sz w:val="8"/>
                <w:szCs w:val="8"/>
                <w:color w:val="auto"/>
                <w:w w:val="95"/>
              </w:rPr>
              <w:t>benefits create a personal tax liability to the Director, Shell may</w:t>
            </w:r>
          </w:p>
        </w:tc>
        <w:tc>
          <w:tcPr>
            <w:tcW w:w="0" w:type="dxa"/>
            <w:vAlign w:val="bottom"/>
          </w:tcPr>
          <w:p>
            <w:pPr>
              <w:spacing w:after="0"/>
              <w:rPr>
                <w:sz w:val="1"/>
                <w:szCs w:val="1"/>
                <w:color w:val="auto"/>
              </w:rPr>
            </w:pPr>
          </w:p>
        </w:tc>
      </w:tr>
      <w:tr>
        <w:trPr>
          <w:trHeight w:val="90"/>
        </w:trPr>
        <w:tc>
          <w:tcPr>
            <w:tcW w:w="1440" w:type="dxa"/>
            <w:vAlign w:val="bottom"/>
          </w:tcPr>
          <w:p>
            <w:pPr>
              <w:spacing w:after="0" w:line="90" w:lineRule="exact"/>
              <w:rPr>
                <w:sz w:val="20"/>
                <w:szCs w:val="20"/>
                <w:color w:val="auto"/>
              </w:rPr>
            </w:pPr>
            <w:r>
              <w:rPr>
                <w:rFonts w:ascii="Arial" w:cs="Arial" w:eastAsia="Arial" w:hAnsi="Arial"/>
                <w:sz w:val="8"/>
                <w:szCs w:val="8"/>
                <w:color w:val="auto"/>
                <w:w w:val="97"/>
              </w:rPr>
              <w:t>to ensure that they are aligned with those</w:t>
            </w:r>
          </w:p>
        </w:tc>
        <w:tc>
          <w:tcPr>
            <w:tcW w:w="2180" w:type="dxa"/>
            <w:vAlign w:val="bottom"/>
          </w:tcPr>
          <w:p>
            <w:pPr>
              <w:ind w:left="20"/>
              <w:spacing w:after="0" w:line="90" w:lineRule="exact"/>
              <w:rPr>
                <w:sz w:val="20"/>
                <w:szCs w:val="20"/>
                <w:color w:val="auto"/>
              </w:rPr>
            </w:pPr>
            <w:r>
              <w:rPr>
                <w:rFonts w:ascii="Arial" w:cs="Arial" w:eastAsia="Arial" w:hAnsi="Arial"/>
                <w:sz w:val="8"/>
                <w:szCs w:val="8"/>
                <w:color w:val="auto"/>
              </w:rPr>
              <w:t>cover the associated tax.</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20"/>
                <w:szCs w:val="20"/>
                <w:color w:val="auto"/>
              </w:rPr>
            </w:pPr>
            <w:r>
              <w:rPr>
                <w:rFonts w:ascii="Arial" w:cs="Arial" w:eastAsia="Arial" w:hAnsi="Arial"/>
                <w:sz w:val="8"/>
                <w:szCs w:val="8"/>
                <w:color w:val="auto"/>
              </w:rPr>
              <w:t>of other major listed companies.</w:t>
            </w:r>
          </w:p>
        </w:tc>
        <w:tc>
          <w:tcPr>
            <w:tcW w:w="2180" w:type="dxa"/>
            <w:vAlign w:val="bottom"/>
            <w:vMerge w:val="restart"/>
          </w:tcPr>
          <w:p>
            <w:pPr>
              <w:ind w:left="20"/>
              <w:spacing w:after="0"/>
              <w:rPr>
                <w:sz w:val="20"/>
                <w:szCs w:val="20"/>
                <w:color w:val="auto"/>
              </w:rPr>
            </w:pPr>
            <w:r>
              <w:rPr>
                <w:rFonts w:ascii="Arial" w:cs="Arial" w:eastAsia="Arial" w:hAnsi="Arial"/>
                <w:sz w:val="8"/>
                <w:szCs w:val="8"/>
                <w:color w:val="auto"/>
                <w:w w:val="93"/>
              </w:rPr>
              <w:t>The Chair and the other NEDs cannot receive awards under any</w:t>
            </w:r>
          </w:p>
        </w:tc>
        <w:tc>
          <w:tcPr>
            <w:tcW w:w="0" w:type="dxa"/>
            <w:vAlign w:val="bottom"/>
          </w:tcPr>
          <w:p>
            <w:pPr>
              <w:spacing w:after="0"/>
              <w:rPr>
                <w:sz w:val="1"/>
                <w:szCs w:val="1"/>
                <w:color w:val="auto"/>
              </w:rPr>
            </w:pPr>
          </w:p>
        </w:tc>
      </w:tr>
      <w:tr>
        <w:trPr>
          <w:trHeight w:val="75"/>
        </w:trPr>
        <w:tc>
          <w:tcPr>
            <w:tcW w:w="1440" w:type="dxa"/>
            <w:vAlign w:val="bottom"/>
          </w:tcPr>
          <w:p>
            <w:pPr>
              <w:spacing w:after="0"/>
              <w:rPr>
                <w:sz w:val="6"/>
                <w:szCs w:val="6"/>
                <w:color w:val="auto"/>
              </w:rPr>
            </w:pPr>
          </w:p>
        </w:tc>
        <w:tc>
          <w:tcPr>
            <w:tcW w:w="2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440" w:type="dxa"/>
            <w:vAlign w:val="bottom"/>
          </w:tcPr>
          <w:p>
            <w:pPr>
              <w:spacing w:after="0"/>
              <w:rPr>
                <w:sz w:val="7"/>
                <w:szCs w:val="7"/>
                <w:color w:val="auto"/>
              </w:rPr>
            </w:pPr>
          </w:p>
        </w:tc>
        <w:tc>
          <w:tcPr>
            <w:tcW w:w="2180" w:type="dxa"/>
            <w:vAlign w:val="bottom"/>
          </w:tcPr>
          <w:p>
            <w:pPr>
              <w:ind w:left="20"/>
              <w:spacing w:after="0" w:line="90" w:lineRule="exact"/>
              <w:rPr>
                <w:sz w:val="20"/>
                <w:szCs w:val="20"/>
                <w:color w:val="auto"/>
              </w:rPr>
            </w:pPr>
            <w:r>
              <w:rPr>
                <w:rFonts w:ascii="Arial" w:cs="Arial" w:eastAsia="Arial" w:hAnsi="Arial"/>
                <w:sz w:val="8"/>
                <w:szCs w:val="8"/>
                <w:color w:val="auto"/>
              </w:rPr>
              <w:t>incentive or performance-based remuneration plans, and</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180" w:type="dxa"/>
            <w:vAlign w:val="bottom"/>
          </w:tcPr>
          <w:p>
            <w:pPr>
              <w:ind w:left="20"/>
              <w:spacing w:after="0"/>
              <w:rPr>
                <w:sz w:val="20"/>
                <w:szCs w:val="20"/>
                <w:color w:val="auto"/>
              </w:rPr>
            </w:pPr>
            <w:r>
              <w:rPr>
                <w:rFonts w:ascii="Arial" w:cs="Arial" w:eastAsia="Arial" w:hAnsi="Arial"/>
                <w:sz w:val="8"/>
                <w:szCs w:val="8"/>
                <w:color w:val="auto"/>
              </w:rPr>
              <w:t>personal loans or guarantees are not granted to them.</w:t>
            </w: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8"/>
                <w:szCs w:val="8"/>
                <w:color w:val="auto"/>
                <w:w w:val="96"/>
              </w:rPr>
              <w:t>NEDs do not accrue any retirement benefits as a result of their</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180" w:type="dxa"/>
            <w:vAlign w:val="bottom"/>
          </w:tcPr>
          <w:p>
            <w:pPr>
              <w:ind w:left="20"/>
              <w:spacing w:after="0"/>
              <w:rPr>
                <w:sz w:val="20"/>
                <w:szCs w:val="20"/>
                <w:color w:val="auto"/>
              </w:rPr>
            </w:pPr>
            <w:r>
              <w:rPr>
                <w:rFonts w:ascii="Arial" w:cs="Arial" w:eastAsia="Arial" w:hAnsi="Arial"/>
                <w:sz w:val="8"/>
                <w:szCs w:val="8"/>
                <w:color w:val="auto"/>
              </w:rPr>
              <w:t>non-executive directorships with Shell.</w:t>
            </w: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8"/>
                <w:szCs w:val="8"/>
                <w:color w:val="auto"/>
                <w:w w:val="95"/>
              </w:rPr>
              <w:t>NEDs are encouraged to hold shares with a value equivalent to</w:t>
            </w:r>
          </w:p>
        </w:tc>
        <w:tc>
          <w:tcPr>
            <w:tcW w:w="0" w:type="dxa"/>
            <w:vAlign w:val="bottom"/>
          </w:tcPr>
          <w:p>
            <w:pPr>
              <w:spacing w:after="0"/>
              <w:rPr>
                <w:sz w:val="1"/>
                <w:szCs w:val="1"/>
                <w:color w:val="auto"/>
              </w:rPr>
            </w:pPr>
          </w:p>
        </w:tc>
      </w:tr>
      <w:tr>
        <w:trPr>
          <w:trHeight w:val="90"/>
        </w:trPr>
        <w:tc>
          <w:tcPr>
            <w:tcW w:w="1440" w:type="dxa"/>
            <w:vAlign w:val="bottom"/>
          </w:tcPr>
          <w:p>
            <w:pPr>
              <w:spacing w:after="0"/>
              <w:rPr>
                <w:sz w:val="7"/>
                <w:szCs w:val="7"/>
                <w:color w:val="auto"/>
              </w:rPr>
            </w:pPr>
          </w:p>
        </w:tc>
        <w:tc>
          <w:tcPr>
            <w:tcW w:w="2180" w:type="dxa"/>
            <w:vAlign w:val="bottom"/>
          </w:tcPr>
          <w:p>
            <w:pPr>
              <w:ind w:left="20"/>
              <w:spacing w:after="0" w:line="90" w:lineRule="exact"/>
              <w:rPr>
                <w:sz w:val="20"/>
                <w:szCs w:val="20"/>
                <w:color w:val="auto"/>
              </w:rPr>
            </w:pPr>
            <w:r>
              <w:rPr>
                <w:rFonts w:ascii="Arial" w:cs="Arial" w:eastAsia="Arial" w:hAnsi="Arial"/>
                <w:sz w:val="8"/>
                <w:szCs w:val="8"/>
                <w:color w:val="auto"/>
                <w:w w:val="96"/>
              </w:rPr>
              <w:t>100% of their fixed annual fee and maintain that holding during</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180" w:type="dxa"/>
            <w:vAlign w:val="bottom"/>
          </w:tcPr>
          <w:p>
            <w:pPr>
              <w:ind w:left="20"/>
              <w:spacing w:after="0"/>
              <w:rPr>
                <w:sz w:val="20"/>
                <w:szCs w:val="20"/>
                <w:color w:val="auto"/>
              </w:rPr>
            </w:pPr>
            <w:r>
              <w:rPr>
                <w:rFonts w:ascii="Arial" w:cs="Arial" w:eastAsia="Arial" w:hAnsi="Arial"/>
                <w:sz w:val="8"/>
                <w:szCs w:val="8"/>
                <w:color w:val="auto"/>
              </w:rPr>
              <w:t>their tenure.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7620</wp:posOffset>
            </wp:positionV>
            <wp:extent cx="3457575"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40"/>
            <w:col w:w="9500"/>
          </w:cols>
          <w:pgMar w:left="300" w:top="640" w:right="299" w:bottom="1440" w:gutter="0" w:footer="0" w:header="0"/>
          <w:type w:val="continuous"/>
        </w:sect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146</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0"/>
          <w:szCs w:val="10"/>
          <w:color w:val="auto"/>
        </w:rPr>
        <w:t>Non-executive Directors’ letters of appointment</w:t>
      </w:r>
    </w:p>
    <w:p>
      <w:pPr>
        <w:spacing w:after="0" w:line="1" w:lineRule="exact"/>
        <w:rPr>
          <w:sz w:val="20"/>
          <w:szCs w:val="20"/>
          <w:color w:val="auto"/>
        </w:rPr>
      </w:pPr>
    </w:p>
    <w:p>
      <w:pPr>
        <w:spacing w:after="0"/>
        <w:rPr>
          <w:sz w:val="20"/>
          <w:szCs w:val="20"/>
          <w:color w:val="auto"/>
        </w:rPr>
      </w:pPr>
      <w:r>
        <w:rPr>
          <w:rFonts w:ascii="Arial" w:cs="Arial" w:eastAsia="Arial" w:hAnsi="Arial"/>
          <w:sz w:val="8"/>
          <w:szCs w:val="8"/>
          <w:color w:val="auto"/>
        </w:rPr>
        <w:t>NEDs, including the Chair, have letters of appointment. NEDs’ letters of appointment are available for inspection at the AGM or on request.</w:t>
      </w:r>
    </w:p>
    <w:p>
      <w:pPr>
        <w:spacing w:after="0" w:line="14" w:lineRule="exact"/>
        <w:rPr>
          <w:sz w:val="20"/>
          <w:szCs w:val="20"/>
          <w:color w:val="auto"/>
        </w:rPr>
      </w:pPr>
    </w:p>
    <w:p>
      <w:pPr>
        <w:spacing w:after="0"/>
        <w:rPr>
          <w:sz w:val="20"/>
          <w:szCs w:val="20"/>
          <w:color w:val="auto"/>
        </w:rPr>
      </w:pPr>
      <w:r>
        <w:rPr>
          <w:rFonts w:ascii="Arial" w:cs="Arial" w:eastAsia="Arial" w:hAnsi="Arial"/>
          <w:sz w:val="10"/>
          <w:szCs w:val="10"/>
          <w:color w:val="auto"/>
        </w:rPr>
        <w:t>For further details on appointment and re-appointment of Directors, see pages 97-98 and page 151 in "Governance".</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Non-executive Director recruitment</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0"/>
          <w:szCs w:val="10"/>
          <w:color w:val="auto"/>
        </w:rPr>
        <w:t>The REMCO’s approach to setting the remuneration package for NEDs is to offer fee levels and specific benefits (where appropriate) in line with the “Non-executive Directors’ remuneration policy table” and subject to the Articles of Association. NEDs are not offered variable remuneration or retention awards.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When determining the benefits for a new Chair, the individual circumstances of the future Chair will be taken into account.</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Non-executive Director termination of office</w:t>
      </w:r>
    </w:p>
    <w:p>
      <w:pPr>
        <w:spacing w:after="0"/>
        <w:rPr>
          <w:sz w:val="20"/>
          <w:szCs w:val="20"/>
          <w:color w:val="auto"/>
        </w:rPr>
      </w:pPr>
      <w:r>
        <w:rPr>
          <w:rFonts w:ascii="Arial" w:cs="Arial" w:eastAsia="Arial" w:hAnsi="Arial"/>
          <w:sz w:val="10"/>
          <w:szCs w:val="10"/>
          <w:color w:val="auto"/>
        </w:rPr>
        <w:t>No payments for loss of office will be made to NEDs.</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Consideration of overall pay and employment conditions</w:t>
      </w:r>
    </w:p>
    <w:p>
      <w:pPr>
        <w:spacing w:after="0" w:line="1" w:lineRule="exact"/>
        <w:rPr>
          <w:sz w:val="20"/>
          <w:szCs w:val="20"/>
          <w:color w:val="auto"/>
        </w:rPr>
      </w:pPr>
    </w:p>
    <w:p>
      <w:pPr>
        <w:ind w:right="120"/>
        <w:spacing w:after="0" w:line="231" w:lineRule="auto"/>
        <w:rPr>
          <w:sz w:val="20"/>
          <w:szCs w:val="20"/>
          <w:color w:val="auto"/>
        </w:rPr>
      </w:pPr>
      <w:r>
        <w:rPr>
          <w:rFonts w:ascii="Arial" w:cs="Arial" w:eastAsia="Arial" w:hAnsi="Arial"/>
          <w:sz w:val="10"/>
          <w:szCs w:val="10"/>
          <w:color w:val="auto"/>
        </w:rPr>
        <w:t>When setting the Policy, no specific employee groups were consulted. However, Shell seeks to promote and maintain good relations with employee representative bodies as part of its employee engagement wperformance as required.</w:t>
      </w:r>
    </w:p>
    <w:p>
      <w:pPr>
        <w:spacing w:after="0" w:line="149" w:lineRule="exact"/>
        <w:rPr>
          <w:sz w:val="20"/>
          <w:szCs w:val="20"/>
          <w:color w:val="auto"/>
        </w:rPr>
      </w:pPr>
    </w:p>
    <w:p>
      <w:pPr>
        <w:ind w:right="20"/>
        <w:spacing w:after="0" w:line="271" w:lineRule="auto"/>
        <w:rPr>
          <w:sz w:val="20"/>
          <w:szCs w:val="20"/>
          <w:color w:val="auto"/>
        </w:rPr>
      </w:pPr>
      <w:r>
        <w:rPr>
          <w:rFonts w:ascii="Arial" w:cs="Arial" w:eastAsia="Arial" w:hAnsi="Arial"/>
          <w:sz w:val="8"/>
          <w:szCs w:val="8"/>
          <w:color w:val="auto"/>
        </w:rPr>
        <w:t>When determining Executive Directors’ remuneration structure and outcomes, the REMCO reviews a set of information, including relevant reference points and trends, which includes internal data on employee remuneration (for example, employee relations matters in respect of remuneration and average salary increases applying in the Netherlands, UK and the USA). During the Policy review, pay and employment conditions of the wider Shell employee population were taken into account by adhering to the same performance, rewards and benefits philosophy for the Executive Directors, as well as overall benchmarking principles. Furthermore, any potential differences from other employees (see “Differences for Executive Directors from other employees”) were taken into account when providing the REMCO with advice in the formation of this Policy.</w:t>
      </w:r>
    </w:p>
    <w:p>
      <w:pPr>
        <w:spacing w:after="0" w:line="20" w:lineRule="exact"/>
        <w:rPr>
          <w:sz w:val="20"/>
          <w:szCs w:val="20"/>
          <w:color w:val="auto"/>
        </w:rPr>
      </w:pPr>
      <w:r>
        <w:rPr>
          <w:sz w:val="20"/>
          <w:szCs w:val="20"/>
          <w:color w:val="auto"/>
        </w:rPr>
        <w:br w:type="column"/>
      </w:r>
    </w:p>
    <w:p>
      <w:pPr>
        <w:ind w:right="160"/>
        <w:spacing w:after="0" w:line="232" w:lineRule="auto"/>
        <w:rPr>
          <w:sz w:val="20"/>
          <w:szCs w:val="20"/>
          <w:color w:val="auto"/>
        </w:rPr>
      </w:pPr>
      <w:r>
        <w:rPr>
          <w:rFonts w:ascii="Arial" w:cs="Arial" w:eastAsia="Arial" w:hAnsi="Arial"/>
          <w:sz w:val="10"/>
          <w:szCs w:val="10"/>
          <w:color w:val="auto"/>
        </w:rPr>
        <w:t>Dialogue between management and employees is important, with the annual Shell People Survey being one of the principal means of gathering employee views on a range of matters. The Shell People Survey includes questions inviting employees’ views on their pay and benefit arrangements. Shell also encourages share ownership among employees, and many are shareholders who are able to participate in the vote on the Policy at the AGM.</w:t>
      </w:r>
    </w:p>
    <w:p>
      <w:pPr>
        <w:spacing w:after="0" w:line="149" w:lineRule="exact"/>
        <w:rPr>
          <w:sz w:val="20"/>
          <w:szCs w:val="20"/>
          <w:color w:val="auto"/>
        </w:rPr>
      </w:pPr>
    </w:p>
    <w:p>
      <w:pPr>
        <w:ind w:right="140"/>
        <w:spacing w:after="0" w:line="234" w:lineRule="auto"/>
        <w:rPr>
          <w:sz w:val="20"/>
          <w:szCs w:val="20"/>
          <w:color w:val="auto"/>
        </w:rPr>
      </w:pPr>
      <w:r>
        <w:rPr>
          <w:rFonts w:ascii="Arial" w:cs="Arial" w:eastAsia="Arial" w:hAnsi="Arial"/>
          <w:sz w:val="10"/>
          <w:szCs w:val="10"/>
          <w:color w:val="auto"/>
        </w:rPr>
        <w:t>The REMCO is kept informed by the CEO, the Chief Human Resources &amp; Corporate Officer and the Executive Vice President Remuneration and HR Operations on the bonus scorecard and any relevant remuneration matters affecting other senior executives, extending to multiple levels below the Board and Executive Committee.</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Consideration of shareholder views</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8"/>
          <w:szCs w:val="8"/>
          <w:color w:val="auto"/>
        </w:rPr>
        <w:t>The REMCO engages with major shareholders on a regular basis throughout the year and this allows it to hear views on Shell’s remuneration approach and test proposals when developing or evolving the Policy. Recent examples of the REMCO responding to shareholder views include: considering the quantum of executive pay and the use of alternative reward structures; introducing the Energy Transition metric</w:t>
      </w:r>
    </w:p>
    <w:p>
      <w:pPr>
        <w:ind w:right="340"/>
        <w:spacing w:after="0" w:line="286" w:lineRule="auto"/>
        <w:rPr>
          <w:sz w:val="20"/>
          <w:szCs w:val="20"/>
          <w:color w:val="auto"/>
        </w:rPr>
      </w:pPr>
      <w:r>
        <w:rPr>
          <w:rFonts w:ascii="Arial" w:cs="Arial" w:eastAsia="Arial" w:hAnsi="Arial"/>
          <w:sz w:val="8"/>
          <w:szCs w:val="8"/>
          <w:color w:val="auto"/>
        </w:rPr>
        <w:t>to the LTIP in line with our strategic ambitions; removing the individual performance modifier from the calculation of annual bonus outcomes to make remuneration structures simpler and more transparent to shareholders; reducing the CEO’s target bonus from 150% to 125%; reducing the CEO’s LTIP grant; and enabling the broader use of discretion to manage remuneration outcomes.</w:t>
      </w:r>
    </w:p>
    <w:p>
      <w:pPr>
        <w:spacing w:after="0" w:line="122" w:lineRule="exact"/>
        <w:rPr>
          <w:sz w:val="20"/>
          <w:szCs w:val="20"/>
          <w:color w:val="auto"/>
        </w:rPr>
      </w:pPr>
    </w:p>
    <w:p>
      <w:pPr>
        <w:ind w:right="200"/>
        <w:spacing w:after="0" w:line="239" w:lineRule="auto"/>
        <w:rPr>
          <w:sz w:val="20"/>
          <w:szCs w:val="20"/>
          <w:color w:val="auto"/>
        </w:rPr>
      </w:pPr>
      <w:r>
        <w:rPr>
          <w:rFonts w:ascii="Arial" w:cs="Arial" w:eastAsia="Arial" w:hAnsi="Arial"/>
          <w:sz w:val="10"/>
          <w:szCs w:val="10"/>
          <w:color w:val="auto"/>
        </w:rPr>
        <w:t>The REMCO will review the Policy regularly to ensure it continues to reinforce Shell’s long-term strategy and remains closely aligned with shareholders’ interests.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Additional policy statement</w:t>
      </w:r>
    </w:p>
    <w:p>
      <w:pPr>
        <w:spacing w:after="0" w:line="1" w:lineRule="exact"/>
        <w:rPr>
          <w:sz w:val="20"/>
          <w:szCs w:val="20"/>
          <w:color w:val="auto"/>
        </w:rPr>
      </w:pPr>
    </w:p>
    <w:p>
      <w:pPr>
        <w:jc w:val="both"/>
        <w:ind w:right="360"/>
        <w:spacing w:after="0" w:line="229" w:lineRule="auto"/>
        <w:rPr>
          <w:sz w:val="20"/>
          <w:szCs w:val="20"/>
          <w:color w:val="auto"/>
        </w:rPr>
      </w:pPr>
      <w:r>
        <w:rPr>
          <w:rFonts w:ascii="Arial" w:cs="Arial" w:eastAsia="Arial" w:hAnsi="Arial"/>
          <w:sz w:val="10"/>
          <w:szCs w:val="10"/>
          <w:color w:val="auto"/>
        </w:rPr>
        <w:t>The REMCO reserves the right to make payments outside the Policy in limited exceptional circumstances, such as for regulatory, tax or administrative purposes or to take account of a change in legislation or exchange controls, and only where the REMCO considers such payments are necessary to give effect to the intent of the Policy.</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Signed on behalf of the Board</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/s/ Linda M. Coulter</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LINDA M. COULTER</w:t>
      </w:r>
    </w:p>
    <w:p>
      <w:pPr>
        <w:spacing w:after="0" w:line="227" w:lineRule="auto"/>
        <w:rPr>
          <w:sz w:val="20"/>
          <w:szCs w:val="20"/>
          <w:color w:val="auto"/>
        </w:rPr>
      </w:pPr>
      <w:r>
        <w:rPr>
          <w:rFonts w:ascii="Arial" w:cs="Arial" w:eastAsia="Arial" w:hAnsi="Arial"/>
          <w:sz w:val="10"/>
          <w:szCs w:val="10"/>
          <w:color w:val="auto"/>
        </w:rPr>
        <w:t>Company Secretary</w:t>
      </w:r>
    </w:p>
    <w:p>
      <w:pPr>
        <w:spacing w:after="0" w:line="237" w:lineRule="auto"/>
        <w:rPr>
          <w:sz w:val="20"/>
          <w:szCs w:val="20"/>
          <w:color w:val="auto"/>
        </w:rPr>
      </w:pPr>
      <w:r>
        <w:rPr>
          <w:rFonts w:ascii="Arial" w:cs="Arial" w:eastAsia="Arial" w:hAnsi="Arial"/>
          <w:sz w:val="10"/>
          <w:szCs w:val="10"/>
          <w:color w:val="auto"/>
        </w:rPr>
        <w:t>March 10, 2021</w:t>
      </w:r>
    </w:p>
    <w:p>
      <w:pPr>
        <w:spacing w:after="0" w:line="200" w:lineRule="exact"/>
        <w:rPr>
          <w:sz w:val="20"/>
          <w:szCs w:val="20"/>
          <w:color w:val="auto"/>
        </w:rPr>
      </w:pPr>
    </w:p>
    <w:p>
      <w:pPr>
        <w:sectPr>
          <w:pgSz w:w="11900" w:h="16838" w:orient="portrait"/>
          <w:cols w:equalWidth="0" w:num="2">
            <w:col w:w="5380" w:space="340"/>
            <w:col w:w="5580"/>
          </w:cols>
          <w:pgMar w:left="300" w:top="640" w:right="299" w:bottom="1440" w:gutter="0" w:footer="0" w:header="0"/>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147</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22"/>
          <w:szCs w:val="2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74345" cy="228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74345" cy="2286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MANAGEMENT’S EVALUATION OF DISCLOSURE CONTROLS AND PROCEDURES OF SHELL</w:t>
      </w:r>
    </w:p>
    <w:p>
      <w:pPr>
        <w:spacing w:after="0" w:line="3" w:lineRule="exact"/>
        <w:rPr>
          <w:sz w:val="20"/>
          <w:szCs w:val="20"/>
          <w:color w:val="auto"/>
        </w:rPr>
      </w:pPr>
    </w:p>
    <w:p>
      <w:pPr>
        <w:ind w:right="560"/>
        <w:spacing w:after="0" w:line="231" w:lineRule="auto"/>
        <w:rPr>
          <w:sz w:val="20"/>
          <w:szCs w:val="20"/>
          <w:color w:val="auto"/>
        </w:rPr>
      </w:pPr>
      <w:r>
        <w:rPr>
          <w:rFonts w:ascii="Arial" w:cs="Arial" w:eastAsia="Arial" w:hAnsi="Arial"/>
          <w:sz w:val="10"/>
          <w:szCs w:val="10"/>
          <w:color w:val="auto"/>
        </w:rPr>
        <w:t>Shell’s CEO and CFO have evaluated the effectiveness of Shell’s disclosure controls and procedures at December 31, 2020. Based on that evaluation, they concluded that Shell’s disclosure controls and procedures are effective.</w:t>
      </w:r>
    </w:p>
    <w:p>
      <w:pPr>
        <w:spacing w:after="0" w:line="147" w:lineRule="exact"/>
        <w:rPr>
          <w:sz w:val="20"/>
          <w:szCs w:val="20"/>
          <w:color w:val="auto"/>
        </w:rPr>
      </w:pPr>
    </w:p>
    <w:p>
      <w:pPr>
        <w:ind w:right="560"/>
        <w:spacing w:after="0" w:line="297" w:lineRule="auto"/>
        <w:rPr>
          <w:sz w:val="20"/>
          <w:szCs w:val="20"/>
          <w:color w:val="auto"/>
        </w:rPr>
      </w:pPr>
      <w:r>
        <w:rPr>
          <w:rFonts w:ascii="Arial" w:cs="Arial" w:eastAsia="Arial" w:hAnsi="Arial"/>
          <w:sz w:val="8"/>
          <w:szCs w:val="8"/>
          <w:b w:val="1"/>
          <w:bCs w:val="1"/>
          <w:color w:val="auto"/>
        </w:rPr>
        <w:t xml:space="preserve">MANAGEMENT’S REPORT ON INTERNAL CONTROL OVER FINANCIAL REPORTING OF SHELL </w:t>
      </w:r>
      <w:r>
        <w:rPr>
          <w:rFonts w:ascii="Arial" w:cs="Arial" w:eastAsia="Arial" w:hAnsi="Arial"/>
          <w:sz w:val="8"/>
          <w:szCs w:val="8"/>
          <w:color w:val="auto"/>
        </w:rPr>
        <w:t>Management, including the CEO and CFO, is responsible for establishing and maintaining adequate internal control over Shell’s financial reporting and the preparation of the “Consolidated Financial Statements”. It conducted an evaluation of the effectiveness of Shell’s internal control over financial reporting and the preparation of the “Consolidated Financial Statements” based on the Internal Control - Integrated Framework (2013) issued by the Committee of Sponsoring Organizations of the Treadway Commission (COSO). On the basis of this evaluation, management concluded that, at December 31, 2020, the Company’s internal control over financial reporting and the preparation of the “Consolidated Financial Statements” was effective.</w:t>
      </w:r>
    </w:p>
    <w:p>
      <w:pPr>
        <w:spacing w:after="0" w:line="235" w:lineRule="exact"/>
        <w:rPr>
          <w:sz w:val="20"/>
          <w:szCs w:val="20"/>
          <w:color w:val="auto"/>
        </w:rPr>
      </w:pPr>
    </w:p>
    <w:p>
      <w:pPr>
        <w:ind w:right="480"/>
        <w:spacing w:after="0" w:line="235" w:lineRule="auto"/>
        <w:rPr>
          <w:sz w:val="20"/>
          <w:szCs w:val="20"/>
          <w:color w:val="auto"/>
        </w:rPr>
      </w:pPr>
      <w:r>
        <w:rPr>
          <w:rFonts w:ascii="Arial" w:cs="Arial" w:eastAsia="Arial" w:hAnsi="Arial"/>
          <w:sz w:val="10"/>
          <w:szCs w:val="10"/>
          <w:b w:val="1"/>
          <w:bCs w:val="1"/>
          <w:color w:val="auto"/>
        </w:rPr>
        <w:t>THE TRUSTEE’S AND MANAGEMENT’S EVALUATION OF DISCLOSURE CONTROLS AND PROCEDURES FOR THE ROYAL DUTCH SHELL DIVIDEND ACCESS TRUST</w:t>
      </w:r>
    </w:p>
    <w:p>
      <w:pPr>
        <w:spacing w:after="0" w:line="1" w:lineRule="exact"/>
        <w:rPr>
          <w:sz w:val="20"/>
          <w:szCs w:val="20"/>
          <w:color w:val="auto"/>
        </w:rPr>
      </w:pPr>
    </w:p>
    <w:p>
      <w:pPr>
        <w:ind w:right="440"/>
        <w:spacing w:after="0" w:line="309" w:lineRule="auto"/>
        <w:rPr>
          <w:sz w:val="20"/>
          <w:szCs w:val="20"/>
          <w:color w:val="auto"/>
        </w:rPr>
      </w:pPr>
      <w:r>
        <w:rPr>
          <w:rFonts w:ascii="Arial" w:cs="Arial" w:eastAsia="Arial" w:hAnsi="Arial"/>
          <w:sz w:val="8"/>
          <w:szCs w:val="8"/>
          <w:color w:val="auto"/>
        </w:rPr>
        <w:t>The Trustee of the Royal Dutch Shell Dividend Access Trust (the Trustee) and Shell’s CEO and CFO have evaluated the effectiveness of the disclosure controls and procedures in respect of the Dividend Access Trust (the Trust) at December 31, 2020. On the basis of this evaluation, these officers have concluded that the disclosure controls and procedures of the Trust are effective.</w:t>
      </w:r>
    </w:p>
    <w:p>
      <w:pPr>
        <w:spacing w:after="0" w:line="121" w:lineRule="exact"/>
        <w:rPr>
          <w:sz w:val="20"/>
          <w:szCs w:val="20"/>
          <w:color w:val="auto"/>
        </w:rPr>
      </w:pPr>
    </w:p>
    <w:p>
      <w:pPr>
        <w:ind w:right="600"/>
        <w:spacing w:after="0" w:line="235" w:lineRule="auto"/>
        <w:rPr>
          <w:sz w:val="20"/>
          <w:szCs w:val="20"/>
          <w:color w:val="auto"/>
        </w:rPr>
      </w:pPr>
      <w:r>
        <w:rPr>
          <w:rFonts w:ascii="Arial" w:cs="Arial" w:eastAsia="Arial" w:hAnsi="Arial"/>
          <w:sz w:val="10"/>
          <w:szCs w:val="10"/>
          <w:b w:val="1"/>
          <w:bCs w:val="1"/>
          <w:color w:val="auto"/>
        </w:rPr>
        <w:t>THE TRUSTEE’S AND MANAGEMENT’S REPORT ON INTERNAL CONTROL OVER FINANCIAL REPORTING OF THE ROYAL DUTCH SHELL DIVIDEND ACCESS TRUST</w:t>
      </w:r>
    </w:p>
    <w:p>
      <w:pPr>
        <w:spacing w:after="0" w:line="1" w:lineRule="exact"/>
        <w:rPr>
          <w:sz w:val="20"/>
          <w:szCs w:val="20"/>
          <w:color w:val="auto"/>
        </w:rPr>
      </w:pPr>
    </w:p>
    <w:p>
      <w:pPr>
        <w:ind w:right="480"/>
        <w:spacing w:after="0" w:line="300" w:lineRule="auto"/>
        <w:rPr>
          <w:sz w:val="20"/>
          <w:szCs w:val="20"/>
          <w:color w:val="auto"/>
        </w:rPr>
      </w:pPr>
      <w:r>
        <w:rPr>
          <w:rFonts w:ascii="Arial" w:cs="Arial" w:eastAsia="Arial" w:hAnsi="Arial"/>
          <w:sz w:val="8"/>
          <w:szCs w:val="8"/>
          <w:color w:val="auto"/>
        </w:rPr>
        <w:t>The Trustee and the Company’s management are responsible for establishing and maintaining adequate internal control over the Trust’s financial reporting. The Trustee and the Company’s management conducted an evaluation of the effectiveness of internal control over financial reporting based on the Internal Control - Integrated Framework (2013) issued by COSO. On the basis of this evaluation, the Trustee and management concluded that, at December 31, 2020, the Trust’s internal control over financial reporting was effective.</w:t>
      </w:r>
    </w:p>
    <w:p>
      <w:pPr>
        <w:spacing w:after="0" w:line="12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CHANGES IN INTERNAL CONTROL OVER FINANCIAL REPORTING</w:t>
      </w:r>
    </w:p>
    <w:p>
      <w:pPr>
        <w:spacing w:after="0" w:line="3" w:lineRule="exact"/>
        <w:rPr>
          <w:sz w:val="20"/>
          <w:szCs w:val="20"/>
          <w:color w:val="auto"/>
        </w:rPr>
      </w:pPr>
    </w:p>
    <w:p>
      <w:pPr>
        <w:ind w:right="500"/>
        <w:spacing w:after="0" w:line="295" w:lineRule="auto"/>
        <w:rPr>
          <w:sz w:val="20"/>
          <w:szCs w:val="20"/>
          <w:color w:val="auto"/>
        </w:rPr>
      </w:pPr>
      <w:r>
        <w:rPr>
          <w:rFonts w:ascii="Arial" w:cs="Arial" w:eastAsia="Arial" w:hAnsi="Arial"/>
          <w:sz w:val="8"/>
          <w:szCs w:val="8"/>
          <w:color w:val="auto"/>
        </w:rPr>
        <w:t>There has not been any change in the internal control over financial reporting of Shell or the Trust that occurred during the period covered by this Report that has materially affected, or is reasonably likely to materially affect, the internal control over financial reporting of Shell or the Trust. Material financial information of the Trust is included in the “Consolidated Financial Statements” and is therefore subject to the same disclosure controls and procedures as Shell. See the “Royal Dutch Shell Dividend Access Trust Financial Statements” on pages 231 -234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FINANCIAL STATEMENTS, DIVIDENDS AND DIVIDEND POLICY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The “Consolidated Statement of Income” and “Consolidated Balance Sheet” can be found on pages 164 and 166 respectively.</w:t>
      </w:r>
    </w:p>
    <w:p>
      <w:pPr>
        <w:spacing w:after="0" w:line="149" w:lineRule="exact"/>
        <w:rPr>
          <w:sz w:val="20"/>
          <w:szCs w:val="20"/>
          <w:color w:val="auto"/>
        </w:rPr>
      </w:pPr>
    </w:p>
    <w:p>
      <w:pPr>
        <w:ind w:right="460"/>
        <w:spacing w:after="0" w:line="300" w:lineRule="auto"/>
        <w:rPr>
          <w:sz w:val="20"/>
          <w:szCs w:val="20"/>
          <w:color w:val="auto"/>
        </w:rPr>
      </w:pPr>
      <w:r>
        <w:rPr>
          <w:rFonts w:ascii="Arial" w:cs="Arial" w:eastAsia="Arial" w:hAnsi="Arial"/>
          <w:sz w:val="8"/>
          <w:szCs w:val="8"/>
          <w:color w:val="auto"/>
        </w:rPr>
        <w:t>Subject to Board approval, Shell aims to grow the dividend per share by around 4% every year, and once the Shell Group’s net debt level has reached $65 billion, Shell will target the distribution of 20-30% of its cash flow from operations to shareholders. The Board may choose to return cash to shareholders through a combination of dividends and share buybacks. When setting the level of shareholder remuneration, the Board looks at a range of factors, including the macro-environment, the underlying business earnings and cash flow of the Shell Group, the current balance sheet, future investment and divestment plans, and existing commitments.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2260" w:type="dxa"/>
            <w:vAlign w:val="bottom"/>
          </w:tcPr>
          <w:p>
            <w:pPr>
              <w:jc w:val="right"/>
              <w:spacing w:after="0"/>
              <w:rPr>
                <w:sz w:val="20"/>
                <w:szCs w:val="20"/>
                <w:color w:val="auto"/>
              </w:rPr>
            </w:pPr>
            <w:r>
              <w:rPr>
                <w:rFonts w:ascii="Arial" w:cs="Arial" w:eastAsia="Arial" w:hAnsi="Arial"/>
                <w:sz w:val="7"/>
                <w:szCs w:val="7"/>
                <w:color w:val="auto"/>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78040" cy="114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right="40"/>
        <w:spacing w:after="0" w:line="231" w:lineRule="auto"/>
        <w:rPr>
          <w:sz w:val="20"/>
          <w:szCs w:val="20"/>
          <w:color w:val="auto"/>
        </w:rPr>
      </w:pPr>
      <w:r>
        <w:rPr>
          <w:rFonts w:ascii="Arial" w:cs="Arial" w:eastAsia="Arial" w:hAnsi="Arial"/>
          <w:sz w:val="10"/>
          <w:szCs w:val="10"/>
          <w:color w:val="auto"/>
        </w:rPr>
        <w:t>Interim dividends are currently declared by the Board and paid on a quarterly basis. Shell does not currently pay a “final” dividend, which would need to be voted on by shareholders, requiring the introduction of a resolution at the AGM. This would delay the payment of the fourth quarter dividend (currently paid in late March) until after the AGM, which is towards the end of May, a delay of around seven weeks. Our approach to dividend payments is not uncommon for companies distributing returns to shareholders on a quarterly basis.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Shell pays its dividend in USD, EUR or GBP fully electronically either in CREST or via interbank transfers.</w:t>
      </w:r>
    </w:p>
    <w:p>
      <w:pPr>
        <w:spacing w:after="0" w:line="155" w:lineRule="exact"/>
        <w:rPr>
          <w:sz w:val="20"/>
          <w:szCs w:val="20"/>
          <w:color w:val="auto"/>
        </w:rPr>
      </w:pPr>
    </w:p>
    <w:p>
      <w:pPr>
        <w:ind w:right="20"/>
        <w:spacing w:after="0" w:line="294" w:lineRule="auto"/>
        <w:rPr>
          <w:sz w:val="20"/>
          <w:szCs w:val="20"/>
          <w:color w:val="auto"/>
        </w:rPr>
      </w:pPr>
      <w:r>
        <w:rPr>
          <w:rFonts w:ascii="Arial" w:cs="Arial" w:eastAsia="Arial" w:hAnsi="Arial"/>
          <w:sz w:val="8"/>
          <w:szCs w:val="8"/>
          <w:color w:val="auto"/>
        </w:rPr>
        <w:t>The Directors have announced a fourth quarter interim dividend as set out in the table below, payable on March 29, 2021, to shareholders on the Register of Members at the close of business on February 19, 2021. The closing date for dividend currency elections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was March 5, 2021 [A] and the euro and sterling equivalents announcement date is March 15, 2021</w:t>
      </w:r>
      <w:r>
        <w:rPr>
          <w:rFonts w:ascii="Arial" w:cs="Arial" w:eastAsia="Arial" w:hAnsi="Arial"/>
          <w:sz w:val="13"/>
          <w:szCs w:val="13"/>
          <w:color w:val="auto"/>
        </w:rPr>
        <w:t>.</w:t>
      </w:r>
    </w:p>
    <w:p>
      <w:pPr>
        <w:spacing w:after="0" w:line="146" w:lineRule="exact"/>
        <w:rPr>
          <w:sz w:val="20"/>
          <w:szCs w:val="20"/>
          <w:color w:val="auto"/>
        </w:rPr>
      </w:pPr>
    </w:p>
    <w:p>
      <w:pPr>
        <w:ind w:right="20" w:firstLine="7"/>
        <w:spacing w:after="0" w:line="307" w:lineRule="auto"/>
        <w:tabs>
          <w:tab w:leader="none" w:pos="157" w:val="left"/>
        </w:tabs>
        <w:numPr>
          <w:ilvl w:val="0"/>
          <w:numId w:val="156"/>
        </w:numPr>
        <w:rPr>
          <w:rFonts w:ascii="Arial" w:cs="Arial" w:eastAsia="Arial" w:hAnsi="Arial"/>
          <w:sz w:val="8"/>
          <w:szCs w:val="8"/>
          <w:color w:val="auto"/>
        </w:rPr>
      </w:pPr>
      <w:r>
        <w:rPr>
          <w:rFonts w:ascii="Arial" w:cs="Arial" w:eastAsia="Arial" w:hAnsi="Arial"/>
          <w:sz w:val="8"/>
          <w:szCs w:val="8"/>
          <w:color w:val="auto"/>
        </w:rPr>
        <w:t>A different dividend currency election date may apply to shareholders holding shares in a securities account with a bank or financial institution ultimately through Euroclear Nederland. This may also apply to other shareholders who do not hold their shares either directly on the Register of Members or in the corporate sponsored nominee arrangement. Such shareholders can contact their broker, financial intermediary, bank or financial institution for the election deadline that applies.</w:t>
      </w: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REPURCHASES OF SHARES</w:t>
      </w:r>
    </w:p>
    <w:p>
      <w:pPr>
        <w:spacing w:after="0" w:line="3" w:lineRule="exact"/>
        <w:rPr>
          <w:sz w:val="20"/>
          <w:szCs w:val="20"/>
          <w:color w:val="auto"/>
        </w:rPr>
      </w:pPr>
    </w:p>
    <w:p>
      <w:pPr>
        <w:spacing w:after="0" w:line="292" w:lineRule="auto"/>
        <w:rPr>
          <w:sz w:val="20"/>
          <w:szCs w:val="20"/>
          <w:color w:val="auto"/>
        </w:rPr>
      </w:pPr>
      <w:r>
        <w:rPr>
          <w:rFonts w:ascii="Arial" w:cs="Arial" w:eastAsia="Arial" w:hAnsi="Arial"/>
          <w:sz w:val="8"/>
          <w:szCs w:val="8"/>
          <w:color w:val="auto"/>
        </w:rPr>
        <w:t>On July 26, 2018, the Company announced the start of a share buyback programme of at least $25 billion, subject to further progress with debt reduction and oil price conditions. On March 23, 2020, the Company announced that in light of the economic and oil price environment, it had decided not to continue with the next tranche of the share buyback programme following the completion of the tranche announced on January 30, 2020. On April 14, 2020, the seventh tranche of the share buyback programme was completed, and no further tranches were undertaken in 2020. As announced on October 29, 2020, the Shell Group’s cash allocation framework includes a target to reduce net debt to $65 billion and following that an aim to increase distributions to shareholders through a combination of Shell’s progressive dividend and share buybacks.</w:t>
      </w:r>
    </w:p>
    <w:p>
      <w:pPr>
        <w:spacing w:after="0" w:line="238" w:lineRule="exact"/>
        <w:rPr>
          <w:sz w:val="20"/>
          <w:szCs w:val="20"/>
          <w:color w:val="auto"/>
        </w:rPr>
      </w:pPr>
    </w:p>
    <w:p>
      <w:pPr>
        <w:ind w:right="40"/>
        <w:spacing w:after="0" w:line="232" w:lineRule="auto"/>
        <w:rPr>
          <w:sz w:val="20"/>
          <w:szCs w:val="20"/>
          <w:color w:val="auto"/>
        </w:rPr>
      </w:pPr>
      <w:r>
        <w:rPr>
          <w:rFonts w:ascii="Arial" w:cs="Arial" w:eastAsia="Arial" w:hAnsi="Arial"/>
          <w:sz w:val="10"/>
          <w:szCs w:val="10"/>
          <w:color w:val="auto"/>
        </w:rPr>
        <w:t>To ensure that the Company had the necessary authority to continue to buy back its shares when the time is considered appropriate, at the 2020 AGM, shareholders granted an authority for the Company to repurchase up to a maximum of 783 million of its shares (excluding purchases for employee share plans). This authority expires on the earlier of the close of business on August 19, 2021, or the end of the 2021 AGM.</w:t>
      </w:r>
    </w:p>
    <w:p>
      <w:pPr>
        <w:spacing w:after="0" w:line="149" w:lineRule="exact"/>
        <w:rPr>
          <w:sz w:val="20"/>
          <w:szCs w:val="20"/>
          <w:color w:val="auto"/>
        </w:rPr>
      </w:pPr>
    </w:p>
    <w:p>
      <w:pPr>
        <w:ind w:right="20"/>
        <w:spacing w:after="0" w:line="292" w:lineRule="auto"/>
        <w:rPr>
          <w:sz w:val="20"/>
          <w:szCs w:val="20"/>
          <w:color w:val="auto"/>
        </w:rPr>
      </w:pPr>
      <w:r>
        <w:rPr>
          <w:rFonts w:ascii="Arial" w:cs="Arial" w:eastAsia="Arial" w:hAnsi="Arial"/>
          <w:sz w:val="8"/>
          <w:szCs w:val="8"/>
          <w:color w:val="auto"/>
        </w:rPr>
        <w:t>As at December 31, 2020, 496 million A shares with a nominal value of €34.7 million ($41.8 million) and 39 million B shares with a nominal value of €2.8 million ($3.2 million) (6.85% of the Company’s total issued share capital at December 31, 2020) had been cumulatively purchased and cancelled since the beginning of this programme, for a total cost of $15.8 billion including expenses, at an average price of $29.45 per share. The purpose of the shares repurchased in 2020 under the share buyback programme was to reduce the issued share capital of the Company. This is to offset the number of shares issued under the Scrip Dividend Programme and to reduce the equity issued in connection with the Company’s combination with BG Group. The Scrip Dividend Programme was cancelled with effect from the fourth quarter 2017 interim dividend. More information can be found at www.shell.com/scrip. Since the completion of the tranche announced on January 30, 2020, no further shares have been bought back by the Company. This means that 783 million shares could still be repurchased under the current AGM authority.</w:t>
      </w:r>
    </w:p>
    <w:p>
      <w:pPr>
        <w:spacing w:after="0" w:line="239" w:lineRule="exact"/>
        <w:rPr>
          <w:sz w:val="20"/>
          <w:szCs w:val="20"/>
          <w:color w:val="auto"/>
        </w:rPr>
      </w:pPr>
    </w:p>
    <w:p>
      <w:pPr>
        <w:spacing w:after="0"/>
        <w:rPr>
          <w:sz w:val="20"/>
          <w:szCs w:val="20"/>
          <w:color w:val="auto"/>
        </w:rPr>
      </w:pPr>
      <w:r>
        <w:rPr>
          <w:rFonts w:ascii="Arial" w:cs="Arial" w:eastAsia="Arial" w:hAnsi="Arial"/>
          <w:sz w:val="8"/>
          <w:szCs w:val="8"/>
          <w:color w:val="auto"/>
        </w:rPr>
        <w:t>The Board continues to regard the ability to repurchase issued shares in suitable circumstances as an important part of Shell’s financial</w:t>
      </w:r>
    </w:p>
    <w:p>
      <w:pPr>
        <w:sectPr>
          <w:pgSz w:w="11900" w:h="16838" w:orient="portrait"/>
          <w:cols w:equalWidth="0" w:num="2">
            <w:col w:w="5680" w:space="240"/>
            <w:col w:w="5260"/>
          </w:cols>
          <w:pgMar w:left="300" w:top="721" w:right="419" w:bottom="1440" w:gutter="0" w:footer="0" w:header="0"/>
        </w:sectPr>
      </w:pPr>
    </w:p>
    <w:bookmarkStart w:id="151" w:name="page152"/>
    <w:bookmarkEnd w:id="151"/>
    <w:p>
      <w:pPr>
        <w:spacing w:after="0" w:line="2" w:lineRule="exact"/>
        <w:rPr>
          <w:sz w:val="20"/>
          <w:szCs w:val="20"/>
          <w:color w:val="auto"/>
        </w:rPr>
      </w:pPr>
    </w:p>
    <w:p>
      <w:pPr>
        <w:jc w:val="both"/>
        <w:ind w:right="140"/>
        <w:spacing w:after="0" w:line="234" w:lineRule="auto"/>
        <w:rPr>
          <w:sz w:val="20"/>
          <w:szCs w:val="20"/>
          <w:color w:val="auto"/>
        </w:rPr>
      </w:pPr>
      <w:r>
        <w:rPr>
          <w:rFonts w:ascii="Arial" w:cs="Arial" w:eastAsia="Arial" w:hAnsi="Arial"/>
          <w:sz w:val="10"/>
          <w:szCs w:val="10"/>
          <w:color w:val="auto"/>
        </w:rPr>
        <w:t>management. A new resolution will be proposed at the 2021 AGM to renew the authority for the Company to purchase its own share capital, up to specified limits, for a further year. This proposal will be described in more detail in the 2021 Notice of Annual General Meeting.</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QUALIFYING THIRD-PARTY INDEMNITIES</w:t>
      </w:r>
    </w:p>
    <w:p>
      <w:pPr>
        <w:spacing w:after="0" w:line="3" w:lineRule="exact"/>
        <w:rPr>
          <w:sz w:val="20"/>
          <w:szCs w:val="20"/>
          <w:color w:val="auto"/>
        </w:rPr>
      </w:pPr>
    </w:p>
    <w:p>
      <w:pPr>
        <w:spacing w:after="0" w:line="288" w:lineRule="auto"/>
        <w:rPr>
          <w:sz w:val="20"/>
          <w:szCs w:val="20"/>
          <w:color w:val="auto"/>
        </w:rPr>
      </w:pPr>
      <w:r>
        <w:rPr>
          <w:rFonts w:ascii="Arial" w:cs="Arial" w:eastAsia="Arial" w:hAnsi="Arial"/>
          <w:sz w:val="8"/>
          <w:szCs w:val="8"/>
          <w:color w:val="auto"/>
        </w:rPr>
        <w:t>The Company has entered into a Deed of Indemnity (Deed) with each Director of the Company who served during the year. The terms of each of these Deeds are identical and they reflect the statutory provisions on indemnities contained in the Companies Act 2006 (CA 2006). Under the terms of each Deed, the Company has agreed to indemnify the Director, to the widest extent permitted by the CA 2006, against any loss, liability or damage, howsoever caused (including in respect of a Director’s own negligence), suffered or incurred by a Director in respect of their acts or omissions while or in the course of acting as a Director or employee of the Company, any associated company or affiliate (within the meaning of the CA 2006). In addition, the Company shall lend funds to Directors as required to meet reasonable costs and expenses incurred or to be incurred by them in defending any criminal or civil proceedings brought against them in their capacity as a Director or employee of the Company, associated company or affiliate, or, in connection with certain applications brought under the CA 2006. The provisions in the Company’s Articles relating to arbitration and exclusive jurisdiction are incorporated, mutatis mutandis, into the Deeds entered into by each Director and the Company.</w:t>
      </w:r>
    </w:p>
    <w:p>
      <w:pPr>
        <w:spacing w:after="0" w:line="240" w:lineRule="exact"/>
        <w:rPr>
          <w:sz w:val="20"/>
          <w:szCs w:val="20"/>
          <w:color w:val="auto"/>
        </w:rPr>
      </w:pPr>
    </w:p>
    <w:p>
      <w:pPr>
        <w:jc w:val="both"/>
        <w:spacing w:after="0" w:line="320" w:lineRule="auto"/>
        <w:rPr>
          <w:sz w:val="20"/>
          <w:szCs w:val="20"/>
          <w:color w:val="auto"/>
        </w:rPr>
      </w:pPr>
      <w:r>
        <w:rPr>
          <w:rFonts w:ascii="Arial" w:cs="Arial" w:eastAsia="Arial" w:hAnsi="Arial"/>
          <w:sz w:val="8"/>
          <w:szCs w:val="8"/>
          <w:color w:val="auto"/>
        </w:rPr>
        <w:t>The Company has provided both indemnities and Directors’ and officers’ insurance to the Directors in connection with the performance of their responsibilities. Copies of these indemnities and the Directors’ and officers’ insurance policies are open to inspection. A copy of the form of these indemnities has been previously filed with the US Securities and Exchange Commission.</w:t>
      </w: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RELATED PARTY TRANSACTIONS</w:t>
      </w:r>
    </w:p>
    <w:p>
      <w:pPr>
        <w:spacing w:after="0" w:line="3" w:lineRule="exact"/>
        <w:rPr>
          <w:sz w:val="20"/>
          <w:szCs w:val="20"/>
          <w:color w:val="auto"/>
        </w:rPr>
      </w:pPr>
    </w:p>
    <w:p>
      <w:pPr>
        <w:ind w:right="260"/>
        <w:spacing w:after="0" w:line="314" w:lineRule="auto"/>
        <w:rPr>
          <w:sz w:val="20"/>
          <w:szCs w:val="20"/>
          <w:color w:val="auto"/>
        </w:rPr>
      </w:pPr>
      <w:r>
        <w:rPr>
          <w:rFonts w:ascii="Arial" w:cs="Arial" w:eastAsia="Arial" w:hAnsi="Arial"/>
          <w:sz w:val="8"/>
          <w:szCs w:val="8"/>
          <w:color w:val="auto"/>
        </w:rPr>
        <w:t>In addition to the disclosures given in Notes 9 and 27 to the “Consolidated Financial Statements” on pages 185 - 186 and 209, the following related party transactions took place between Shell and Shell Midstream Partners, L.P. (the “Partnership”).</w:t>
      </w:r>
    </w:p>
    <w:p>
      <w:pPr>
        <w:spacing w:after="0" w:line="27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Credit Facilities</w:t>
      </w:r>
    </w:p>
    <w:p>
      <w:pPr>
        <w:spacing w:after="0" w:line="236" w:lineRule="auto"/>
        <w:rPr>
          <w:sz w:val="20"/>
          <w:szCs w:val="20"/>
          <w:color w:val="auto"/>
        </w:rPr>
      </w:pPr>
      <w:r>
        <w:rPr>
          <w:rFonts w:ascii="Arial" w:cs="Arial" w:eastAsia="Arial" w:hAnsi="Arial"/>
          <w:sz w:val="10"/>
          <w:szCs w:val="10"/>
          <w:color w:val="auto"/>
        </w:rPr>
        <w:t>We have entered into the following credit facilities with the Partnership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auto"/>
        </w:rPr>
        <w:t>Sale of Assets and GP/IDR Restructuring</w:t>
      </w:r>
    </w:p>
    <w:p>
      <w:pPr>
        <w:spacing w:after="0" w:line="3" w:lineRule="exact"/>
        <w:rPr>
          <w:sz w:val="20"/>
          <w:szCs w:val="20"/>
          <w:color w:val="auto"/>
        </w:rPr>
      </w:pPr>
    </w:p>
    <w:p>
      <w:pPr>
        <w:ind w:right="180"/>
        <w:spacing w:after="0" w:line="272" w:lineRule="auto"/>
        <w:rPr>
          <w:sz w:val="20"/>
          <w:szCs w:val="20"/>
          <w:color w:val="auto"/>
        </w:rPr>
      </w:pPr>
      <w:r>
        <w:rPr>
          <w:rFonts w:ascii="Arial" w:cs="Arial" w:eastAsia="Arial" w:hAnsi="Arial"/>
          <w:sz w:val="8"/>
          <w:szCs w:val="8"/>
          <w:color w:val="auto"/>
        </w:rPr>
        <w:t>On April 1, 2020, Shell completed the announced sale of 79% of the issued and outstanding membership interests in Mattox Pipeline Company LLC and certain logistics assets at the Shell Norco Manufacturing Complex to the Partnership and Triton West LLC (Triton) (Asset Sale). As part of the Asset Sale, Shell and the Partnership agreed to indemnify each other and their respective affiliates, officers, directors and other representatives against certain losses resulting from any breach of their representations, warranties or covenants contained in the Purchase and Sale Agreement entered into on February 27, 2020, subject to certain limitations and survival periods.</w:t>
      </w:r>
    </w:p>
    <w:p>
      <w:pPr>
        <w:spacing w:after="0" w:line="128" w:lineRule="exact"/>
        <w:rPr>
          <w:sz w:val="20"/>
          <w:szCs w:val="20"/>
          <w:color w:val="auto"/>
        </w:rPr>
      </w:pPr>
    </w:p>
    <w:p>
      <w:pPr>
        <w:ind w:right="140"/>
        <w:spacing w:after="0" w:line="271" w:lineRule="auto"/>
        <w:rPr>
          <w:sz w:val="20"/>
          <w:szCs w:val="20"/>
          <w:color w:val="auto"/>
        </w:rPr>
      </w:pPr>
      <w:r>
        <w:rPr>
          <w:rFonts w:ascii="Arial" w:cs="Arial" w:eastAsia="Arial" w:hAnsi="Arial"/>
          <w:sz w:val="8"/>
          <w:szCs w:val="8"/>
          <w:color w:val="auto"/>
        </w:rPr>
        <w:t>Simultaneously with the closing of the Asset Sale, Shell Midstream Partners GP LLC, the general partner of the Partnership and which Shell controls, and the Partnership, pursuant to a Partnership Interests Restructuring Agreement entered into on February 27, 2020, (i) cancelled the general partner’s incentive distribution rights and the general partner’s 4,761,012 units and (ii) converted the general partner’s two percent general partner interest in the Partnership into a non-economic general partner interest in the Partnership (the “GP/IDR Restructuring”). Simultaneously with the closing of the GP/IDR Restructuring, the general partner, amended and restated the First Amended and Restated Agreement of Limited Partnership of the Partnership, dated as of November 3, 2014, as amended, to reflect the GP/IDR Restructuring and the establishment of the Series A Preferred Units.</w:t>
      </w:r>
    </w:p>
    <w:p>
      <w:pPr>
        <w:spacing w:after="0" w:line="128" w:lineRule="exact"/>
        <w:rPr>
          <w:sz w:val="20"/>
          <w:szCs w:val="20"/>
          <w:color w:val="auto"/>
        </w:rPr>
      </w:pPr>
    </w:p>
    <w:p>
      <w:pPr>
        <w:ind w:right="120"/>
        <w:spacing w:after="0" w:line="277" w:lineRule="auto"/>
        <w:rPr>
          <w:sz w:val="20"/>
          <w:szCs w:val="20"/>
          <w:color w:val="auto"/>
        </w:rPr>
      </w:pPr>
      <w:r>
        <w:rPr>
          <w:rFonts w:ascii="Arial" w:cs="Arial" w:eastAsia="Arial" w:hAnsi="Arial"/>
          <w:sz w:val="8"/>
          <w:szCs w:val="8"/>
          <w:color w:val="auto"/>
        </w:rPr>
        <w:t>As consideration for the two transaction described above, the Partnership issued $1.2 billion of Series A perpetual convertible preferred units at a price of $23.63 per unit, plus 160 million newly issued common units representing limited partner interests in the Partnership. In addition, and pursuant to the Partnership Interests Restructuring Agreement, the general partner waived a portion of the distributions that would otherwise be payable on the Common Units issued to the general partner as part of the GP/IDR Restructuring in an amount of $20 million per quarter for each of the four consecutive fiscal quarters following the closing of both transactions.</w:t>
      </w:r>
    </w:p>
    <w:p>
      <w:pPr>
        <w:spacing w:after="0" w:line="126" w:lineRule="exact"/>
        <w:rPr>
          <w:sz w:val="20"/>
          <w:szCs w:val="20"/>
          <w:color w:val="auto"/>
        </w:rPr>
      </w:pPr>
    </w:p>
    <w:p>
      <w:pPr>
        <w:ind w:right="380"/>
        <w:spacing w:after="0" w:line="335" w:lineRule="auto"/>
        <w:rPr>
          <w:sz w:val="20"/>
          <w:szCs w:val="20"/>
          <w:color w:val="auto"/>
        </w:rPr>
      </w:pPr>
      <w:r>
        <w:rPr>
          <w:rFonts w:ascii="Arial" w:cs="Arial" w:eastAsia="Arial" w:hAnsi="Arial"/>
          <w:sz w:val="8"/>
          <w:szCs w:val="8"/>
          <w:color w:val="auto"/>
        </w:rPr>
        <w:t>Upon the closing of the above two transactions, the Partnership has 393,289,537 Common Units outstanding, of which Shell owns 269,457,304 Common Units in the Partnership, representing an aggregate 68.5% limited partner interest.</w:t>
      </w:r>
    </w:p>
    <w:p>
      <w:pPr>
        <w:spacing w:after="0" w:line="648" w:lineRule="exact"/>
        <w:rPr>
          <w:sz w:val="20"/>
          <w:szCs w:val="20"/>
          <w:color w:val="auto"/>
        </w:rPr>
      </w:pPr>
    </w:p>
    <w:p>
      <w:pPr>
        <w:sectPr>
          <w:pgSz w:w="11900" w:h="16838" w:orient="portrait"/>
          <w:cols w:equalWidth="0" w:num="2">
            <w:col w:w="5220" w:space="700"/>
            <w:col w:w="5380"/>
          </w:cols>
          <w:pgMar w:left="300" w:top="638" w:right="299" w:bottom="1440" w:gutter="0" w:footer="0" w:header="0"/>
        </w:sectPr>
      </w:pPr>
    </w:p>
    <w:tbl>
      <w:tblPr>
        <w:tblLayout w:type="fixed"/>
        <w:tblInd w:w="10" w:type="dxa"/>
        <w:tblCellMar>
          <w:top w:w="0" w:type="dxa"/>
          <w:left w:w="0" w:type="dxa"/>
          <w:bottom w:w="0" w:type="dxa"/>
          <w:right w:w="0" w:type="dxa"/>
        </w:tblCellMar>
      </w:tblPr>
      <w:tr>
        <w:trPr>
          <w:trHeight w:val="123"/>
        </w:trPr>
        <w:tc>
          <w:tcPr>
            <w:tcW w:w="2340" w:type="dxa"/>
            <w:vAlign w:val="bottom"/>
            <w:tcBorders>
              <w:top w:val="single" w:sz="8" w:color="auto"/>
              <w:left w:val="single" w:sz="8" w:color="auto"/>
              <w:bottom w:val="single" w:sz="8" w:color="auto"/>
              <w:right w:val="single" w:sz="8" w:color="auto"/>
            </w:tcBorders>
          </w:tcPr>
          <w:p>
            <w:pPr>
              <w:spacing w:after="0"/>
              <w:rPr>
                <w:sz w:val="10"/>
                <w:szCs w:val="10"/>
                <w:color w:val="auto"/>
              </w:rPr>
            </w:pPr>
          </w:p>
        </w:tc>
        <w:tc>
          <w:tcPr>
            <w:tcW w:w="1620" w:type="dxa"/>
            <w:vAlign w:val="bottom"/>
            <w:tcBorders>
              <w:top w:val="single" w:sz="8" w:color="auto"/>
              <w:bottom w:val="single" w:sz="8" w:color="auto"/>
            </w:tcBorders>
          </w:tcPr>
          <w:p>
            <w:pPr>
              <w:spacing w:after="0"/>
              <w:rPr>
                <w:sz w:val="10"/>
                <w:szCs w:val="10"/>
                <w:color w:val="auto"/>
              </w:rPr>
            </w:pPr>
          </w:p>
        </w:tc>
        <w:tc>
          <w:tcPr>
            <w:tcW w:w="172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spacing w:after="0"/>
              <w:rPr>
                <w:sz w:val="10"/>
                <w:szCs w:val="10"/>
                <w:color w:val="auto"/>
              </w:rPr>
            </w:pPr>
          </w:p>
        </w:tc>
        <w:tc>
          <w:tcPr>
            <w:tcW w:w="1260" w:type="dxa"/>
            <w:vAlign w:val="bottom"/>
            <w:tcBorders>
              <w:top w:val="single" w:sz="8" w:color="auto"/>
              <w:bottom w:val="single" w:sz="8" w:color="auto"/>
            </w:tcBorders>
          </w:tcPr>
          <w:p>
            <w:pPr>
              <w:spacing w:after="0"/>
              <w:rPr>
                <w:sz w:val="10"/>
                <w:szCs w:val="10"/>
                <w:color w:val="auto"/>
              </w:rPr>
            </w:pPr>
          </w:p>
        </w:tc>
        <w:tc>
          <w:tcPr>
            <w:tcW w:w="1640" w:type="dxa"/>
            <w:vAlign w:val="bottom"/>
            <w:tcBorders>
              <w:top w:val="single" w:sz="8" w:color="auto"/>
              <w:bottom w:val="single" w:sz="8" w:color="auto"/>
            </w:tcBorders>
          </w:tcPr>
          <w:p>
            <w:pPr>
              <w:spacing w:after="0"/>
              <w:rPr>
                <w:sz w:val="10"/>
                <w:szCs w:val="10"/>
                <w:color w:val="auto"/>
              </w:rPr>
            </w:pPr>
          </w:p>
        </w:tc>
        <w:tc>
          <w:tcPr>
            <w:tcW w:w="16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 million</w:t>
            </w:r>
          </w:p>
        </w:tc>
        <w:tc>
          <w:tcPr>
            <w:tcW w:w="660" w:type="dxa"/>
            <w:vAlign w:val="bottom"/>
          </w:tcPr>
          <w:p>
            <w:pPr>
              <w:spacing w:after="0"/>
              <w:rPr>
                <w:sz w:val="10"/>
                <w:szCs w:val="10"/>
                <w:color w:val="auto"/>
              </w:rPr>
            </w:pPr>
          </w:p>
        </w:tc>
      </w:tr>
      <w:tr>
        <w:trPr>
          <w:trHeight w:val="114"/>
        </w:trPr>
        <w:tc>
          <w:tcPr>
            <w:tcW w:w="2340" w:type="dxa"/>
            <w:vAlign w:val="bottom"/>
            <w:tcBorders>
              <w:left w:val="single" w:sz="8" w:color="auto"/>
              <w:bottom w:val="single" w:sz="8" w:color="auto"/>
              <w:right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December 31, 2020</w:t>
            </w:r>
          </w:p>
        </w:tc>
        <w:tc>
          <w:tcPr>
            <w:tcW w:w="660" w:type="dxa"/>
            <w:vAlign w:val="bottom"/>
          </w:tcPr>
          <w:p>
            <w:pPr>
              <w:spacing w:after="0"/>
              <w:rPr>
                <w:sz w:val="9"/>
                <w:szCs w:val="9"/>
                <w:color w:val="auto"/>
              </w:rPr>
            </w:pPr>
          </w:p>
        </w:tc>
      </w:tr>
      <w:tr>
        <w:trPr>
          <w:trHeight w:val="115"/>
        </w:trPr>
        <w:tc>
          <w:tcPr>
            <w:tcW w:w="234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Maturity Date</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Interest Rate</w:t>
            </w:r>
          </w:p>
        </w:tc>
        <w:tc>
          <w:tcPr>
            <w:tcW w:w="38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Outstanding Balance</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Total Capacity</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Available Capacity</w:t>
            </w:r>
          </w:p>
        </w:tc>
        <w:tc>
          <w:tcPr>
            <w:tcW w:w="660" w:type="dxa"/>
            <w:vAlign w:val="bottom"/>
          </w:tcPr>
          <w:p>
            <w:pPr>
              <w:spacing w:after="0"/>
              <w:rPr>
                <w:sz w:val="10"/>
                <w:szCs w:val="10"/>
                <w:color w:val="auto"/>
              </w:rPr>
            </w:pPr>
          </w:p>
        </w:tc>
      </w:tr>
      <w:tr>
        <w:trPr>
          <w:trHeight w:val="114"/>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Ten Year Fixed Facility</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June 4, 2029</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4.18 %</w:t>
            </w:r>
          </w:p>
        </w:tc>
        <w:tc>
          <w:tcPr>
            <w:tcW w:w="3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$ 600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$ 600</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w:t>
            </w:r>
          </w:p>
        </w:tc>
        <w:tc>
          <w:tcPr>
            <w:tcW w:w="660" w:type="dxa"/>
            <w:vAlign w:val="bottom"/>
          </w:tcPr>
          <w:p>
            <w:pPr>
              <w:spacing w:after="0"/>
              <w:rPr>
                <w:sz w:val="9"/>
                <w:szCs w:val="9"/>
                <w:color w:val="auto"/>
              </w:rPr>
            </w:pPr>
          </w:p>
        </w:tc>
      </w:tr>
      <w:tr>
        <w:trPr>
          <w:trHeight w:val="115"/>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Seven Year Fixed Facility</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July 31, 2025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4.06 %</w:t>
            </w:r>
          </w:p>
        </w:tc>
        <w:tc>
          <w:tcPr>
            <w:tcW w:w="38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$ 600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$ 600</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w:t>
            </w:r>
          </w:p>
        </w:tc>
        <w:tc>
          <w:tcPr>
            <w:tcW w:w="660" w:type="dxa"/>
            <w:vAlign w:val="bottom"/>
          </w:tcPr>
          <w:p>
            <w:pPr>
              <w:spacing w:after="0"/>
              <w:rPr>
                <w:sz w:val="10"/>
                <w:szCs w:val="10"/>
                <w:color w:val="auto"/>
              </w:rPr>
            </w:pPr>
          </w:p>
        </w:tc>
      </w:tr>
      <w:tr>
        <w:trPr>
          <w:trHeight w:val="115"/>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Five Year Revolver</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July 31, 2023</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1.20 %</w:t>
            </w:r>
          </w:p>
        </w:tc>
        <w:tc>
          <w:tcPr>
            <w:tcW w:w="38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$ 494</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$ 760</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$ 266</w:t>
            </w:r>
          </w:p>
        </w:tc>
        <w:tc>
          <w:tcPr>
            <w:tcW w:w="660" w:type="dxa"/>
            <w:vAlign w:val="bottom"/>
          </w:tcPr>
          <w:p>
            <w:pPr>
              <w:spacing w:after="0"/>
              <w:rPr>
                <w:sz w:val="10"/>
                <w:szCs w:val="10"/>
                <w:color w:val="auto"/>
              </w:rPr>
            </w:pPr>
          </w:p>
        </w:tc>
      </w:tr>
      <w:tr>
        <w:trPr>
          <w:trHeight w:val="115"/>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Five Year Revolver</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December 1, 2022</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1.21 %</w:t>
            </w:r>
          </w:p>
        </w:tc>
        <w:tc>
          <w:tcPr>
            <w:tcW w:w="38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$ 400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$ 1,000</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$ 600</w:t>
            </w:r>
          </w:p>
        </w:tc>
        <w:tc>
          <w:tcPr>
            <w:tcW w:w="660" w:type="dxa"/>
            <w:vAlign w:val="bottom"/>
          </w:tcPr>
          <w:p>
            <w:pPr>
              <w:spacing w:after="0"/>
              <w:rPr>
                <w:sz w:val="10"/>
                <w:szCs w:val="10"/>
                <w:color w:val="auto"/>
              </w:rPr>
            </w:pPr>
          </w:p>
        </w:tc>
      </w:tr>
      <w:tr>
        <w:trPr>
          <w:trHeight w:val="115"/>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Five Year Fixed Facility</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March 1, 2022</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3.23 %</w:t>
            </w:r>
          </w:p>
        </w:tc>
        <w:tc>
          <w:tcPr>
            <w:tcW w:w="38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$ 600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$ 600</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w:t>
            </w:r>
          </w:p>
        </w:tc>
        <w:tc>
          <w:tcPr>
            <w:tcW w:w="660" w:type="dxa"/>
            <w:vAlign w:val="bottom"/>
          </w:tcPr>
          <w:p>
            <w:pPr>
              <w:spacing w:after="0"/>
              <w:rPr>
                <w:sz w:val="10"/>
                <w:szCs w:val="10"/>
                <w:color w:val="auto"/>
              </w:rPr>
            </w:pPr>
          </w:p>
        </w:tc>
      </w:tr>
      <w:tr>
        <w:trPr>
          <w:trHeight w:val="115"/>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2019 Zydeco Revolver</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August 6, 2024</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0.86 %</w:t>
            </w:r>
          </w:p>
        </w:tc>
        <w:tc>
          <w:tcPr>
            <w:tcW w:w="38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$ 30</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$ 30</w:t>
            </w:r>
          </w:p>
        </w:tc>
        <w:tc>
          <w:tcPr>
            <w:tcW w:w="660" w:type="dxa"/>
            <w:vAlign w:val="bottom"/>
          </w:tcPr>
          <w:p>
            <w:pPr>
              <w:spacing w:after="0"/>
              <w:rPr>
                <w:sz w:val="10"/>
                <w:szCs w:val="10"/>
                <w:color w:val="auto"/>
              </w:rPr>
            </w:pPr>
          </w:p>
        </w:tc>
      </w:tr>
      <w:tr>
        <w:trPr>
          <w:trHeight w:val="116"/>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Total</w:t>
            </w:r>
          </w:p>
        </w:tc>
        <w:tc>
          <w:tcPr>
            <w:tcW w:w="1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$2,694</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$ 3,590</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$ 896</w:t>
            </w:r>
          </w:p>
        </w:tc>
        <w:tc>
          <w:tcPr>
            <w:tcW w:w="660" w:type="dxa"/>
            <w:vAlign w:val="bottom"/>
          </w:tcPr>
          <w:p>
            <w:pPr>
              <w:spacing w:after="0"/>
              <w:rPr>
                <w:sz w:val="10"/>
                <w:szCs w:val="10"/>
                <w:color w:val="auto"/>
              </w:rPr>
            </w:pPr>
          </w:p>
        </w:tc>
      </w:tr>
      <w:tr>
        <w:trPr>
          <w:trHeight w:val="658"/>
        </w:trPr>
        <w:tc>
          <w:tcPr>
            <w:tcW w:w="234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1620" w:type="dxa"/>
            <w:vAlign w:val="bottom"/>
          </w:tcPr>
          <w:p>
            <w:pPr>
              <w:spacing w:after="0"/>
              <w:rPr>
                <w:sz w:val="24"/>
                <w:szCs w:val="24"/>
                <w:color w:val="auto"/>
              </w:rPr>
            </w:pPr>
          </w:p>
        </w:tc>
        <w:tc>
          <w:tcPr>
            <w:tcW w:w="2100" w:type="dxa"/>
            <w:vAlign w:val="bottom"/>
            <w:gridSpan w:val="2"/>
          </w:tcPr>
          <w:p>
            <w:pPr>
              <w:jc w:val="right"/>
              <w:ind w:right="380"/>
              <w:spacing w:after="0"/>
              <w:rPr>
                <w:sz w:val="20"/>
                <w:szCs w:val="20"/>
                <w:color w:val="auto"/>
              </w:rPr>
            </w:pPr>
            <w:r>
              <w:rPr>
                <w:rFonts w:ascii="Arial" w:cs="Arial" w:eastAsia="Arial" w:hAnsi="Arial"/>
                <w:sz w:val="7"/>
                <w:szCs w:val="7"/>
                <w:color w:val="auto"/>
              </w:rPr>
              <w:t>149</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51"/>
        </w:trPr>
        <w:tc>
          <w:tcPr>
            <w:tcW w:w="23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-622300</wp:posOffset>
            </wp:positionV>
            <wp:extent cx="17145"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0"/>
          <w:szCs w:val="10"/>
          <w:b w:val="1"/>
          <w:bCs w:val="1"/>
          <w:color w:val="auto"/>
        </w:rPr>
        <w:t>POLITICAL CONTRIBUTIONS</w:t>
      </w:r>
    </w:p>
    <w:p>
      <w:pPr>
        <w:spacing w:after="0" w:line="3" w:lineRule="exact"/>
        <w:rPr>
          <w:sz w:val="20"/>
          <w:szCs w:val="20"/>
          <w:color w:val="auto"/>
        </w:rPr>
      </w:pPr>
    </w:p>
    <w:p>
      <w:pPr>
        <w:ind w:right="480"/>
        <w:spacing w:after="0" w:line="295" w:lineRule="auto"/>
        <w:rPr>
          <w:sz w:val="20"/>
          <w:szCs w:val="20"/>
          <w:color w:val="auto"/>
        </w:rPr>
      </w:pPr>
      <w:r>
        <w:rPr>
          <w:rFonts w:ascii="Arial" w:cs="Arial" w:eastAsia="Arial" w:hAnsi="Arial"/>
          <w:sz w:val="8"/>
          <w:szCs w:val="8"/>
          <w:color w:val="auto"/>
        </w:rPr>
        <w:t>No donations were made by the Company or any of its subsidiaries to political parties or organisations during the year. Shell Oil Company administers the non-partisan Shell Oil Company Employees’ Political Awareness Committee (SEPAC), a political action committee registered with the US Federal Election Commission. Eligible employees may make voluntary personal contributions to the SEPAC. All employees’ contributions comply with federal and state law and are publicly reported in accordance with US election laws. Shell Oil Company does not exercise control over SEPAC’s funding decisions.</w:t>
      </w:r>
    </w:p>
    <w:p>
      <w:pPr>
        <w:spacing w:after="0" w:line="127" w:lineRule="exact"/>
        <w:rPr>
          <w:sz w:val="20"/>
          <w:szCs w:val="20"/>
          <w:color w:val="auto"/>
        </w:rPr>
      </w:pPr>
    </w:p>
    <w:p>
      <w:pPr>
        <w:ind w:right="2700"/>
        <w:spacing w:after="0" w:line="363" w:lineRule="auto"/>
        <w:rPr>
          <w:sz w:val="20"/>
          <w:szCs w:val="20"/>
          <w:color w:val="auto"/>
        </w:rPr>
      </w:pPr>
      <w:r>
        <w:rPr>
          <w:rFonts w:ascii="Arial" w:cs="Arial" w:eastAsia="Arial" w:hAnsi="Arial"/>
          <w:sz w:val="8"/>
          <w:szCs w:val="8"/>
          <w:b w:val="1"/>
          <w:bCs w:val="1"/>
          <w:color w:val="auto"/>
        </w:rPr>
        <w:t xml:space="preserve">RECENT DEVELOPMENTS AND POST-BALANCE SHEET EVENTS </w:t>
      </w:r>
      <w:r>
        <w:rPr>
          <w:rFonts w:ascii="Arial" w:cs="Arial" w:eastAsia="Arial" w:hAnsi="Arial"/>
          <w:sz w:val="8"/>
          <w:szCs w:val="8"/>
          <w:color w:val="auto"/>
        </w:rPr>
        <w:t>See Note 30 to the “Consolidated Financial Statements” on page 210.</w:t>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SHARE CAPITAL</w:t>
      </w:r>
    </w:p>
    <w:p>
      <w:pPr>
        <w:spacing w:after="0" w:line="3" w:lineRule="exact"/>
        <w:rPr>
          <w:sz w:val="20"/>
          <w:szCs w:val="20"/>
          <w:color w:val="auto"/>
        </w:rPr>
      </w:pPr>
    </w:p>
    <w:p>
      <w:pPr>
        <w:ind w:right="620"/>
        <w:spacing w:after="0" w:line="337" w:lineRule="auto"/>
        <w:rPr>
          <w:sz w:val="20"/>
          <w:szCs w:val="20"/>
          <w:color w:val="auto"/>
        </w:rPr>
      </w:pPr>
      <w:r>
        <w:rPr>
          <w:rFonts w:ascii="Arial" w:cs="Arial" w:eastAsia="Arial" w:hAnsi="Arial"/>
          <w:sz w:val="8"/>
          <w:szCs w:val="8"/>
          <w:color w:val="auto"/>
        </w:rPr>
        <w:t>The Company’s issued share capital at December 31, 2020, is set out in Note 20 to the “Consolidated Financial Statements” on page 203. The percentage of the total issued share capital represented by each class of share is given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900" w:type="dxa"/>
            <w:vAlign w:val="bottom"/>
          </w:tcPr>
          <w:p>
            <w:pPr>
              <w:spacing w:after="0"/>
              <w:rPr>
                <w:sz w:val="20"/>
                <w:szCs w:val="20"/>
                <w:color w:val="auto"/>
              </w:rPr>
            </w:pPr>
            <w:r>
              <w:rPr>
                <w:rFonts w:ascii="Arial" w:cs="Arial" w:eastAsia="Arial" w:hAnsi="Arial"/>
                <w:sz w:val="10"/>
                <w:szCs w:val="10"/>
                <w:b w:val="1"/>
                <w:bCs w:val="1"/>
                <w:color w:val="auto"/>
              </w:rPr>
              <w:t>Share capital percentage</w:t>
            </w:r>
          </w:p>
        </w:tc>
        <w:tc>
          <w:tcPr>
            <w:tcW w:w="2340" w:type="dxa"/>
            <w:vAlign w:val="bottom"/>
          </w:tcPr>
          <w:p>
            <w:pPr>
              <w:spacing w:after="0"/>
              <w:rPr>
                <w:sz w:val="10"/>
                <w:szCs w:val="10"/>
                <w:color w:val="auto"/>
              </w:rPr>
            </w:pPr>
          </w:p>
        </w:tc>
      </w:tr>
      <w:tr>
        <w:trPr>
          <w:trHeight w:val="157"/>
        </w:trPr>
        <w:tc>
          <w:tcPr>
            <w:tcW w:w="2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Share class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20"/>
        </w:trPr>
        <w:tc>
          <w:tcPr>
            <w:tcW w:w="2900" w:type="dxa"/>
            <w:vAlign w:val="bottom"/>
          </w:tcPr>
          <w:p>
            <w:pPr>
              <w:spacing w:after="0"/>
              <w:rPr>
                <w:sz w:val="20"/>
                <w:szCs w:val="20"/>
                <w:color w:val="auto"/>
              </w:rPr>
            </w:pPr>
            <w:r>
              <w:rPr>
                <w:rFonts w:ascii="Arial" w:cs="Arial" w:eastAsia="Arial" w:hAnsi="Arial"/>
                <w:sz w:val="10"/>
                <w:szCs w:val="10"/>
                <w:color w:val="auto"/>
              </w:rPr>
              <w:t>A</w:t>
            </w:r>
          </w:p>
        </w:tc>
        <w:tc>
          <w:tcPr>
            <w:tcW w:w="2340" w:type="dxa"/>
            <w:vAlign w:val="bottom"/>
          </w:tcPr>
          <w:p>
            <w:pPr>
              <w:jc w:val="right"/>
              <w:spacing w:after="0"/>
              <w:rPr>
                <w:sz w:val="20"/>
                <w:szCs w:val="20"/>
                <w:color w:val="auto"/>
              </w:rPr>
            </w:pPr>
            <w:r>
              <w:rPr>
                <w:rFonts w:ascii="Arial" w:cs="Arial" w:eastAsia="Arial" w:hAnsi="Arial"/>
                <w:sz w:val="10"/>
                <w:szCs w:val="10"/>
                <w:color w:val="auto"/>
              </w:rPr>
              <w:t>52.53</w:t>
            </w:r>
          </w:p>
        </w:tc>
      </w:tr>
      <w:tr>
        <w:trPr>
          <w:trHeight w:val="144"/>
        </w:trPr>
        <w:tc>
          <w:tcPr>
            <w:tcW w:w="2900" w:type="dxa"/>
            <w:vAlign w:val="bottom"/>
          </w:tcPr>
          <w:p>
            <w:pPr>
              <w:spacing w:after="0"/>
              <w:rPr>
                <w:sz w:val="20"/>
                <w:szCs w:val="20"/>
                <w:color w:val="auto"/>
              </w:rPr>
            </w:pPr>
            <w:r>
              <w:rPr>
                <w:rFonts w:ascii="Arial" w:cs="Arial" w:eastAsia="Arial" w:hAnsi="Arial"/>
                <w:sz w:val="10"/>
                <w:szCs w:val="10"/>
                <w:color w:val="auto"/>
              </w:rPr>
              <w:t>B</w:t>
            </w:r>
          </w:p>
        </w:tc>
        <w:tc>
          <w:tcPr>
            <w:tcW w:w="2340" w:type="dxa"/>
            <w:vAlign w:val="bottom"/>
          </w:tcPr>
          <w:p>
            <w:pPr>
              <w:jc w:val="right"/>
              <w:spacing w:after="0"/>
              <w:rPr>
                <w:sz w:val="20"/>
                <w:szCs w:val="20"/>
                <w:color w:val="auto"/>
              </w:rPr>
            </w:pPr>
            <w:r>
              <w:rPr>
                <w:rFonts w:ascii="Arial" w:cs="Arial" w:eastAsia="Arial" w:hAnsi="Arial"/>
                <w:sz w:val="10"/>
                <w:szCs w:val="10"/>
                <w:color w:val="auto"/>
              </w:rPr>
              <w:t>47.47</w:t>
            </w:r>
          </w:p>
        </w:tc>
      </w:tr>
      <w:tr>
        <w:trPr>
          <w:trHeight w:val="157"/>
        </w:trPr>
        <w:tc>
          <w:tcPr>
            <w:tcW w:w="2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Sterling deferred</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 minimis</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TRANSFER OF SECURITIES</w:t>
      </w:r>
    </w:p>
    <w:p>
      <w:pPr>
        <w:spacing w:after="0" w:line="3" w:lineRule="exact"/>
        <w:rPr>
          <w:sz w:val="20"/>
          <w:szCs w:val="20"/>
          <w:color w:val="auto"/>
        </w:rPr>
      </w:pPr>
    </w:p>
    <w:p>
      <w:pPr>
        <w:ind w:right="500"/>
        <w:spacing w:after="0" w:line="337" w:lineRule="auto"/>
        <w:rPr>
          <w:sz w:val="20"/>
          <w:szCs w:val="20"/>
          <w:color w:val="auto"/>
        </w:rPr>
      </w:pPr>
      <w:r>
        <w:rPr>
          <w:rFonts w:ascii="Arial" w:cs="Arial" w:eastAsia="Arial" w:hAnsi="Arial"/>
          <w:sz w:val="8"/>
          <w:szCs w:val="8"/>
          <w:color w:val="auto"/>
        </w:rPr>
        <w:t>There are no restrictions on transfer or limitations on the holding of the ordinary shares other than under the Articles, under restrictions imposed by law or regulation (for example, insider trading laws) or pursuant to the Company’s Share Dealing Code.</w:t>
      </w:r>
    </w:p>
    <w:p>
      <w:pPr>
        <w:spacing w:after="0" w:line="11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SHARE OWNERSHIP TRUSTS AND TRUST-LIKE ENTITIES</w:t>
      </w:r>
    </w:p>
    <w:p>
      <w:pPr>
        <w:spacing w:after="0" w:line="3" w:lineRule="exact"/>
        <w:rPr>
          <w:sz w:val="20"/>
          <w:szCs w:val="20"/>
          <w:color w:val="auto"/>
        </w:rPr>
      </w:pPr>
    </w:p>
    <w:p>
      <w:pPr>
        <w:ind w:right="460"/>
        <w:spacing w:after="0" w:line="309" w:lineRule="auto"/>
        <w:rPr>
          <w:sz w:val="20"/>
          <w:szCs w:val="20"/>
          <w:color w:val="auto"/>
        </w:rPr>
      </w:pPr>
      <w:r>
        <w:rPr>
          <w:rFonts w:ascii="Arial" w:cs="Arial" w:eastAsia="Arial" w:hAnsi="Arial"/>
          <w:sz w:val="8"/>
          <w:szCs w:val="8"/>
          <w:color w:val="auto"/>
        </w:rPr>
        <w:t>Shell has three primary employee share ownership trusts and trust-like entities: a Dutch foundation (stichting) and two US Rabbi Trusts. The shares held by the Dutch foundation are voted by its Board and the shares in the US Rabbi Trusts are voted by the Voting Trustee, Newport Trust Company. Both the Board of the Dutch foundation and the Voting Trustee are independent of Shell.</w:t>
      </w:r>
    </w:p>
    <w:p>
      <w:pPr>
        <w:spacing w:after="0" w:line="123" w:lineRule="exact"/>
        <w:rPr>
          <w:sz w:val="20"/>
          <w:szCs w:val="20"/>
          <w:color w:val="auto"/>
        </w:rPr>
      </w:pPr>
    </w:p>
    <w:p>
      <w:pPr>
        <w:ind w:right="460"/>
        <w:spacing w:after="0" w:line="239" w:lineRule="auto"/>
        <w:rPr>
          <w:sz w:val="20"/>
          <w:szCs w:val="20"/>
          <w:color w:val="auto"/>
        </w:rPr>
      </w:pPr>
      <w:r>
        <w:rPr>
          <w:rFonts w:ascii="Arial" w:cs="Arial" w:eastAsia="Arial" w:hAnsi="Arial"/>
          <w:sz w:val="10"/>
          <w:szCs w:val="10"/>
          <w:color w:val="auto"/>
        </w:rPr>
        <w:t>The UK Shell All Employee Share Ownership Plan has a separate related share ownership trust. Shares held by the trust are voted by its trustee, Computershare Trustees Limited, as directed by the participants.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AUDITOR</w:t>
      </w:r>
    </w:p>
    <w:p>
      <w:pPr>
        <w:spacing w:after="0" w:line="3" w:lineRule="exact"/>
        <w:rPr>
          <w:sz w:val="20"/>
          <w:szCs w:val="20"/>
          <w:color w:val="auto"/>
        </w:rPr>
      </w:pPr>
    </w:p>
    <w:p>
      <w:pPr>
        <w:ind w:right="700"/>
        <w:spacing w:after="0" w:line="231" w:lineRule="auto"/>
        <w:rPr>
          <w:sz w:val="20"/>
          <w:szCs w:val="20"/>
          <w:color w:val="auto"/>
        </w:rPr>
      </w:pPr>
      <w:r>
        <w:rPr>
          <w:rFonts w:ascii="Arial" w:cs="Arial" w:eastAsia="Arial" w:hAnsi="Arial"/>
          <w:sz w:val="10"/>
          <w:szCs w:val="10"/>
          <w:color w:val="auto"/>
        </w:rPr>
        <w:t>A resolution relating to the appointment of Ernst &amp; Young LLP as auditor for the financial year 2021 will be proposed at the 2021 AGM.</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ANNUAL GENERAL MEETING</w:t>
      </w:r>
    </w:p>
    <w:p>
      <w:pPr>
        <w:spacing w:after="0" w:line="3" w:lineRule="exact"/>
        <w:rPr>
          <w:sz w:val="20"/>
          <w:szCs w:val="20"/>
          <w:color w:val="auto"/>
        </w:rPr>
      </w:pPr>
    </w:p>
    <w:p>
      <w:pPr>
        <w:ind w:right="580"/>
        <w:spacing w:after="0" w:line="231" w:lineRule="auto"/>
        <w:rPr>
          <w:sz w:val="20"/>
          <w:szCs w:val="20"/>
          <w:color w:val="auto"/>
        </w:rPr>
      </w:pPr>
      <w:r>
        <w:rPr>
          <w:rFonts w:ascii="Arial" w:cs="Arial" w:eastAsia="Arial" w:hAnsi="Arial"/>
          <w:sz w:val="10"/>
          <w:szCs w:val="10"/>
          <w:color w:val="auto"/>
        </w:rPr>
        <w:t>The AGM will be held on May 19, 2021, at Carel van Bylandtlaan 16, 2596 HR, The Hague, The Netherlands. The Notice of Annual General Meeting will include details of the business to be put to shareholders at the AGM.</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CONFLICTS OF INTEREST</w:t>
      </w:r>
    </w:p>
    <w:p>
      <w:pPr>
        <w:spacing w:after="0" w:line="3" w:lineRule="exact"/>
        <w:rPr>
          <w:sz w:val="20"/>
          <w:szCs w:val="20"/>
          <w:color w:val="auto"/>
        </w:rPr>
      </w:pPr>
    </w:p>
    <w:p>
      <w:pPr>
        <w:ind w:right="440"/>
        <w:spacing w:after="0" w:line="295" w:lineRule="auto"/>
        <w:rPr>
          <w:sz w:val="20"/>
          <w:szCs w:val="20"/>
          <w:color w:val="auto"/>
        </w:rPr>
      </w:pPr>
      <w:r>
        <w:rPr>
          <w:rFonts w:ascii="Arial" w:cs="Arial" w:eastAsia="Arial" w:hAnsi="Arial"/>
          <w:sz w:val="8"/>
          <w:szCs w:val="8"/>
          <w:color w:val="auto"/>
        </w:rPr>
        <w:t>In accordance with the Act and the Company's Articles, the Board may authorise any matter that otherwise may involve any Directors breaching their duty to avoid conflicts of interest. The Board has adopted a procedure to address these requirements. Detailed conflict of interest questionnaires are reviewed by the Board and, if considered appropriate, authorised. Conflicts of interest as well as any gifts and hospitality received by and provided by Directors are kept under review by the Board. Further information relating to conflicts of interest can be found in the Articles, available on the Shell website.</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SHELL GENERAL BUSINESS PRINCIPLES</w:t>
      </w:r>
    </w:p>
    <w:p>
      <w:pPr>
        <w:spacing w:after="0" w:line="3" w:lineRule="exact"/>
        <w:rPr>
          <w:sz w:val="20"/>
          <w:szCs w:val="20"/>
          <w:color w:val="auto"/>
        </w:rPr>
      </w:pPr>
    </w:p>
    <w:p>
      <w:pPr>
        <w:ind w:right="600"/>
        <w:spacing w:after="0" w:line="231" w:lineRule="auto"/>
        <w:rPr>
          <w:sz w:val="20"/>
          <w:szCs w:val="20"/>
          <w:color w:val="auto"/>
        </w:rPr>
      </w:pPr>
      <w:r>
        <w:rPr>
          <w:rFonts w:ascii="Arial" w:cs="Arial" w:eastAsia="Arial" w:hAnsi="Arial"/>
          <w:sz w:val="10"/>
          <w:szCs w:val="10"/>
          <w:color w:val="auto"/>
        </w:rPr>
        <w:t>The Shell General Business Principles define how Shell subsidiaries are expected to conduct their affairs and are underpinned by the Shell core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2260" w:type="dxa"/>
            <w:vAlign w:val="bottom"/>
          </w:tcPr>
          <w:p>
            <w:pPr>
              <w:jc w:val="right"/>
              <w:spacing w:after="0"/>
              <w:rPr>
                <w:sz w:val="20"/>
                <w:szCs w:val="20"/>
                <w:color w:val="auto"/>
              </w:rPr>
            </w:pPr>
            <w:r>
              <w:rPr>
                <w:rFonts w:ascii="Arial" w:cs="Arial" w:eastAsia="Arial" w:hAnsi="Arial"/>
                <w:sz w:val="7"/>
                <w:szCs w:val="7"/>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0"/>
          <w:szCs w:val="10"/>
          <w:color w:val="auto"/>
        </w:rPr>
        <w:t>values of honesty, integrity and respect for people. These principles include, among other things, Shell’s commitment to support fundamental human rights in line with the legitimate role of business and to contribute to sustainable development. They are designed to mitigate the risk of damage to our business reputation and to prevent violations of local and international legislation. They can be found at www.shell.com/sgbp. See “Risk factors” on pages 18-22.</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SHELL CODE OF CONDUCT</w:t>
      </w:r>
    </w:p>
    <w:p>
      <w:pPr>
        <w:spacing w:after="0" w:line="3" w:lineRule="exact"/>
        <w:rPr>
          <w:sz w:val="20"/>
          <w:szCs w:val="20"/>
          <w:color w:val="auto"/>
        </w:rPr>
      </w:pPr>
    </w:p>
    <w:p>
      <w:pPr>
        <w:spacing w:after="0" w:line="309" w:lineRule="auto"/>
        <w:rPr>
          <w:sz w:val="20"/>
          <w:szCs w:val="20"/>
          <w:color w:val="auto"/>
        </w:rPr>
      </w:pPr>
      <w:r>
        <w:rPr>
          <w:rFonts w:ascii="Arial" w:cs="Arial" w:eastAsia="Arial" w:hAnsi="Arial"/>
          <w:sz w:val="8"/>
          <w:szCs w:val="8"/>
          <w:color w:val="auto"/>
        </w:rPr>
        <w:t>Directors, officers, employees and contract staff are required to comply with the Shell Code of Conduct, which instructs them on how to behave in line with the Shell General Business Principles. This Code clarifies the basic rules and standards they are expected to follow and the behaviour expected of them. These individuals must also complete mandatory Code of Conduct training.</w:t>
      </w:r>
    </w:p>
    <w:p>
      <w:pPr>
        <w:spacing w:after="0" w:line="123" w:lineRule="exact"/>
        <w:rPr>
          <w:sz w:val="20"/>
          <w:szCs w:val="20"/>
          <w:color w:val="auto"/>
        </w:rPr>
      </w:pPr>
    </w:p>
    <w:p>
      <w:pPr>
        <w:ind w:right="20"/>
        <w:spacing w:after="0" w:line="320" w:lineRule="auto"/>
        <w:rPr>
          <w:sz w:val="20"/>
          <w:szCs w:val="20"/>
          <w:color w:val="auto"/>
        </w:rPr>
      </w:pPr>
      <w:r>
        <w:rPr>
          <w:rFonts w:ascii="Arial" w:cs="Arial" w:eastAsia="Arial" w:hAnsi="Arial"/>
          <w:sz w:val="8"/>
          <w:szCs w:val="8"/>
          <w:color w:val="auto"/>
        </w:rPr>
        <w:t>Designated individuals are required to complete additional mandatory training on antitrust and competition laws, anti-bribery, anti-corruption and anti-money laundering laws, financial crime, data protection laws and trade compliance requirements (see “Risk factors” on page 21 - 22). The Shell Code of Conduct can be found at www.shell.com/codeofconduct.</w:t>
      </w: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CODE OF ETHICS</w:t>
      </w:r>
    </w:p>
    <w:p>
      <w:pPr>
        <w:spacing w:after="0" w:line="3" w:lineRule="exact"/>
        <w:rPr>
          <w:sz w:val="20"/>
          <w:szCs w:val="20"/>
          <w:color w:val="auto"/>
        </w:rPr>
      </w:pPr>
    </w:p>
    <w:p>
      <w:pPr>
        <w:spacing w:after="0" w:line="337" w:lineRule="auto"/>
        <w:rPr>
          <w:sz w:val="20"/>
          <w:szCs w:val="20"/>
          <w:color w:val="auto"/>
        </w:rPr>
      </w:pPr>
      <w:r>
        <w:rPr>
          <w:rFonts w:ascii="Arial" w:cs="Arial" w:eastAsia="Arial" w:hAnsi="Arial"/>
          <w:sz w:val="8"/>
          <w:szCs w:val="8"/>
          <w:color w:val="auto"/>
        </w:rPr>
        <w:t>Executive Directors and Senior Financial Officers of Shell must also comply with the Code of Ethics. This Code is specifically intended to meet the requirements of Section 406 of the Sarbanes-Oxley Act. It can be found at www.shell.com/codeofethics.</w:t>
      </w:r>
    </w:p>
    <w:p>
      <w:pPr>
        <w:spacing w:after="0" w:line="11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INDEPENDENT PROFESSIONAL ADVICE</w:t>
      </w:r>
    </w:p>
    <w:p>
      <w:pPr>
        <w:spacing w:after="0" w:line="3" w:lineRule="exact"/>
        <w:rPr>
          <w:sz w:val="20"/>
          <w:szCs w:val="20"/>
          <w:color w:val="auto"/>
        </w:rPr>
      </w:pPr>
    </w:p>
    <w:p>
      <w:pPr>
        <w:ind w:right="60"/>
        <w:spacing w:after="0" w:line="227" w:lineRule="auto"/>
        <w:rPr>
          <w:sz w:val="20"/>
          <w:szCs w:val="20"/>
          <w:color w:val="auto"/>
        </w:rPr>
      </w:pPr>
      <w:r>
        <w:rPr>
          <w:rFonts w:ascii="Arial" w:cs="Arial" w:eastAsia="Arial" w:hAnsi="Arial"/>
          <w:sz w:val="10"/>
          <w:szCs w:val="10"/>
          <w:color w:val="auto"/>
        </w:rPr>
        <w:t>All Directors may seek independent professional advice in connection with their role as a Director. All Directors have access to the advice and services of the Company Secretary. The Company has provided both indemnities and Directors’ and officers’ insurance to the Directors in connection with the performance of their responsibilities. Copies of these indemnities and the Directors’ and officers’ insurance policies are open to inspection. A copy of the form of these indemnities has been previously filed with the US Securities and Exchange Commission.</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DIRECTORS’ SHAREHOLDING QUALIFICATION</w:t>
      </w:r>
    </w:p>
    <w:p>
      <w:pPr>
        <w:spacing w:after="0" w:line="3" w:lineRule="exact"/>
        <w:rPr>
          <w:sz w:val="20"/>
          <w:szCs w:val="20"/>
          <w:color w:val="auto"/>
        </w:rPr>
      </w:pPr>
    </w:p>
    <w:p>
      <w:pPr>
        <w:ind w:right="60"/>
        <w:spacing w:after="0" w:line="295" w:lineRule="auto"/>
        <w:rPr>
          <w:sz w:val="20"/>
          <w:szCs w:val="20"/>
          <w:color w:val="auto"/>
        </w:rPr>
      </w:pPr>
      <w:r>
        <w:rPr>
          <w:rFonts w:ascii="Arial" w:cs="Arial" w:eastAsia="Arial" w:hAnsi="Arial"/>
          <w:sz w:val="8"/>
          <w:szCs w:val="8"/>
          <w:color w:val="auto"/>
        </w:rPr>
        <w:t>While the Articles do not require Directors to hold shares in the Company, the Remuneration Committee believes that Executive Directors should align their interests with those of shareholders by holding shares in the Company. The CEO is expected to build up a shareholding of seven times base salary over five years from appointment and the CFO is expected to build up a shareholding of five times base salary over the same period. In the event that another Executive Director joins the Board, the Remuneration Committee will determine their shareholding requirement, which will not be less than 200% of their base salary.</w:t>
      </w:r>
    </w:p>
    <w:p>
      <w:pPr>
        <w:spacing w:after="0" w:line="129" w:lineRule="exact"/>
        <w:rPr>
          <w:sz w:val="20"/>
          <w:szCs w:val="20"/>
          <w:color w:val="auto"/>
        </w:rPr>
      </w:pPr>
    </w:p>
    <w:p>
      <w:pPr>
        <w:spacing w:after="0" w:line="232" w:lineRule="auto"/>
        <w:rPr>
          <w:sz w:val="20"/>
          <w:szCs w:val="20"/>
          <w:color w:val="auto"/>
        </w:rPr>
      </w:pPr>
      <w:r>
        <w:rPr>
          <w:rFonts w:ascii="Arial" w:cs="Arial" w:eastAsia="Arial" w:hAnsi="Arial"/>
          <w:sz w:val="10"/>
          <w:szCs w:val="10"/>
          <w:color w:val="auto"/>
        </w:rPr>
        <w:t>Executive Directors will be required to maintain their requirement (or existing shareholding if less than the guideline) for a period of two years post-employment. Non-executive Directors are encouraged to hold shares with a value equivalent to 100% of their fixed annual fee and to maintain that holding during their tenure. Information on the Directors with shares in the Company can be found in the “Directors’ Remuneration Report” on pages 116 - 119,</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NON-EXECUTIVE DIRECTOR INDEPENDENCE</w:t>
      </w:r>
    </w:p>
    <w:p>
      <w:pPr>
        <w:spacing w:after="0" w:line="3" w:lineRule="exact"/>
        <w:rPr>
          <w:sz w:val="20"/>
          <w:szCs w:val="20"/>
          <w:color w:val="auto"/>
        </w:rPr>
      </w:pPr>
    </w:p>
    <w:p>
      <w:pPr>
        <w:spacing w:after="0" w:line="309" w:lineRule="auto"/>
        <w:rPr>
          <w:sz w:val="20"/>
          <w:szCs w:val="20"/>
          <w:color w:val="auto"/>
        </w:rPr>
      </w:pPr>
      <w:r>
        <w:rPr>
          <w:rFonts w:ascii="Arial" w:cs="Arial" w:eastAsia="Arial" w:hAnsi="Arial"/>
          <w:sz w:val="8"/>
          <w:szCs w:val="8"/>
          <w:color w:val="auto"/>
        </w:rPr>
        <w:t>The Board follows the provisions of the Code in determining Non-executive Director independence, which states that at least half of the Board, excluding the Chair, should comprise Non-executive Directors determined by the Board to be independent. In the case of the Company, the Board has determined that all the Non-executive Directors at the end of 2020 are independent.</w:t>
      </w: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NOMINATING/CORPORATE GOVERNANCE COMMITTEE AND COMPENSATION COMMITTEE</w:t>
      </w:r>
    </w:p>
    <w:p>
      <w:pPr>
        <w:spacing w:after="0" w:line="3" w:lineRule="exact"/>
        <w:rPr>
          <w:sz w:val="20"/>
          <w:szCs w:val="20"/>
          <w:color w:val="auto"/>
        </w:rPr>
      </w:pPr>
    </w:p>
    <w:p>
      <w:pPr>
        <w:ind w:right="60"/>
        <w:spacing w:after="0" w:line="337" w:lineRule="auto"/>
        <w:rPr>
          <w:sz w:val="20"/>
          <w:szCs w:val="20"/>
          <w:color w:val="auto"/>
        </w:rPr>
      </w:pPr>
      <w:r>
        <w:rPr>
          <w:rFonts w:ascii="Arial" w:cs="Arial" w:eastAsia="Arial" w:hAnsi="Arial"/>
          <w:sz w:val="8"/>
          <w:szCs w:val="8"/>
          <w:color w:val="auto"/>
        </w:rPr>
        <w:t>The NYSE listing standards require that a listed company maintain a nominating/corporate governance committee and a compensation committee, both composed entirely of independent directors and with certain specific responsibilities. The Company’s Nomination and</w:t>
      </w:r>
    </w:p>
    <w:p>
      <w:pPr>
        <w:sectPr>
          <w:pgSz w:w="11900" w:h="16838" w:orient="portrait"/>
          <w:cols w:equalWidth="0" w:num="2">
            <w:col w:w="5680" w:space="240"/>
            <w:col w:w="5240"/>
          </w:cols>
          <w:pgMar w:left="300" w:top="962" w:right="439" w:bottom="1440" w:gutter="0" w:footer="0" w:header="0"/>
        </w:sectPr>
      </w:pPr>
    </w:p>
    <w:bookmarkStart w:id="153" w:name="page154"/>
    <w:bookmarkEnd w:id="153"/>
    <w:p>
      <w:pPr>
        <w:ind w:right="620"/>
        <w:spacing w:after="0" w:line="358" w:lineRule="auto"/>
        <w:rPr>
          <w:sz w:val="20"/>
          <w:szCs w:val="20"/>
          <w:color w:val="auto"/>
        </w:rPr>
      </w:pPr>
      <w:r>
        <w:rPr>
          <w:rFonts w:ascii="Arial" w:cs="Arial" w:eastAsia="Arial" w:hAnsi="Arial"/>
          <w:sz w:val="8"/>
          <w:szCs w:val="8"/>
          <w:color w:val="auto"/>
        </w:rPr>
        <w:t>Succession Committee and Remuneration Committee both comply with these requirements, except that the terms of reference of the Nomination and Succession Committee require only a majority of the committee members to be independent.</w:t>
      </w:r>
    </w:p>
    <w:p>
      <w:pPr>
        <w:spacing w:after="0" w:line="10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AUDIT COMMITTEE</w:t>
      </w:r>
    </w:p>
    <w:p>
      <w:pPr>
        <w:spacing w:after="0" w:line="3" w:lineRule="exact"/>
        <w:rPr>
          <w:sz w:val="20"/>
          <w:szCs w:val="20"/>
          <w:color w:val="auto"/>
        </w:rPr>
      </w:pPr>
    </w:p>
    <w:p>
      <w:pPr>
        <w:ind w:right="520"/>
        <w:spacing w:after="0" w:line="309" w:lineRule="auto"/>
        <w:rPr>
          <w:sz w:val="20"/>
          <w:szCs w:val="20"/>
          <w:color w:val="auto"/>
        </w:rPr>
      </w:pPr>
      <w:r>
        <w:rPr>
          <w:rFonts w:ascii="Arial" w:cs="Arial" w:eastAsia="Arial" w:hAnsi="Arial"/>
          <w:sz w:val="8"/>
          <w:szCs w:val="8"/>
          <w:color w:val="auto"/>
        </w:rPr>
        <w:t>As required by NYSE listing standards, the Company maintains an Audit Committee for the purpose of assisting the Board’s oversight of its financial statements, its internal audit function and its independent auditors. The Company’s Audit Committee is in full compliance with US Exchange Act Rule 10A-3 and Section 303A.06 of the NYSE Listed Company Manual.</w:t>
      </w:r>
    </w:p>
    <w:p>
      <w:pPr>
        <w:spacing w:after="0" w:line="123" w:lineRule="exact"/>
        <w:rPr>
          <w:sz w:val="20"/>
          <w:szCs w:val="20"/>
          <w:color w:val="auto"/>
        </w:rPr>
      </w:pPr>
    </w:p>
    <w:p>
      <w:pPr>
        <w:ind w:right="520"/>
        <w:spacing w:after="0" w:line="232" w:lineRule="auto"/>
        <w:rPr>
          <w:sz w:val="20"/>
          <w:szCs w:val="20"/>
          <w:color w:val="auto"/>
        </w:rPr>
      </w:pPr>
      <w:r>
        <w:rPr>
          <w:rFonts w:ascii="Arial" w:cs="Arial" w:eastAsia="Arial" w:hAnsi="Arial"/>
          <w:sz w:val="10"/>
          <w:szCs w:val="10"/>
          <w:color w:val="auto"/>
        </w:rPr>
        <w:t>The Company’s Audit Committee is not directly responsible for the appointment of independent auditors. However, the Company's Audit Committee makes recommendations to the Board on the appointment or reappointment of the external auditor to put to shareholders for approval in the Annual General Meetings. UK legislation provides that it is for shareholders to agree the appointment, reappointment and removal of the Company’s independent auditors.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SHAREHOLDER APPROVAL OF SHARE-BASED COMPENSATION PLANS</w:t>
      </w:r>
    </w:p>
    <w:p>
      <w:pPr>
        <w:spacing w:after="0" w:line="3" w:lineRule="exact"/>
        <w:rPr>
          <w:sz w:val="20"/>
          <w:szCs w:val="20"/>
          <w:color w:val="auto"/>
        </w:rPr>
      </w:pPr>
    </w:p>
    <w:p>
      <w:pPr>
        <w:ind w:right="440"/>
        <w:spacing w:after="0" w:line="292" w:lineRule="auto"/>
        <w:rPr>
          <w:sz w:val="20"/>
          <w:szCs w:val="20"/>
          <w:color w:val="auto"/>
        </w:rPr>
      </w:pPr>
      <w:r>
        <w:rPr>
          <w:rFonts w:ascii="Arial" w:cs="Arial" w:eastAsia="Arial" w:hAnsi="Arial"/>
          <w:sz w:val="8"/>
          <w:szCs w:val="8"/>
          <w:color w:val="auto"/>
        </w:rPr>
        <w:t>The Company complies with the Listing Rules published by the Financial Conduct Authority (FCA), which require shareholder approval for the adoption of share-based compensation plans which are either long-term incentive plans in which one or more Directors can participate or plans which involve or may involve the issue of new shares or the transfer of treasury shares. Under the FCA rules, such plans cannot be changed to the advantage of participants without shareholder approval, except for certain minor amendments, for example to benefit the administration of the plan or to take account of tax benefits. The rules on the requirements to seek shareholder approval for share-based compensation plans, including those in respect of material revisions to such plans, may deviate from the NYSE listing standards.</w:t>
      </w:r>
    </w:p>
    <w:p>
      <w:pPr>
        <w:spacing w:after="0" w:line="23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CHANGE OF CONTROL</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There are no provisions in the Articles that would delay, defer or prevent a change of control.</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NYSE GOVERNANCE STANDARDS</w:t>
      </w:r>
    </w:p>
    <w:p>
      <w:pPr>
        <w:spacing w:after="0" w:line="3" w:lineRule="exact"/>
        <w:rPr>
          <w:sz w:val="20"/>
          <w:szCs w:val="20"/>
          <w:color w:val="auto"/>
        </w:rPr>
      </w:pPr>
    </w:p>
    <w:p>
      <w:pPr>
        <w:ind w:right="440"/>
        <w:spacing w:after="0" w:line="292" w:lineRule="auto"/>
        <w:rPr>
          <w:sz w:val="20"/>
          <w:szCs w:val="20"/>
          <w:color w:val="auto"/>
        </w:rPr>
      </w:pPr>
      <w:r>
        <w:rPr>
          <w:rFonts w:ascii="Arial" w:cs="Arial" w:eastAsia="Arial" w:hAnsi="Arial"/>
          <w:sz w:val="8"/>
          <w:szCs w:val="8"/>
          <w:color w:val="auto"/>
        </w:rPr>
        <w:t>In accordance with the NYSE rules for foreign private issuers, the Company follows home-country practice in relation to corporate governance. However, foreign private issuers are required to have an audit committee that satisfies the requirements of the US Exchange Act Rule 10A-3. The Company’s Audit Committee satisfies such requirements. The NYSE also requires a foreign private issuer to provide certain written affirmations and notices to the NYSE, as well as a summary of the significant ways in which its corporate governance practices differ from those followed by domestic US companies under NYSE listing standards (see Section 303A.11 of the NYSE Listed Company Manual). The Company’s summary of its corporate governance differences is given below and can be found at www.shell.com/investor.</w:t>
      </w:r>
    </w:p>
    <w:p>
      <w:pPr>
        <w:spacing w:after="0" w:line="23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APPOINTMENT AND RETIREMENT OF DIRECTORS</w:t>
      </w:r>
    </w:p>
    <w:p>
      <w:pPr>
        <w:spacing w:after="0" w:line="3" w:lineRule="exact"/>
        <w:rPr>
          <w:sz w:val="20"/>
          <w:szCs w:val="20"/>
          <w:color w:val="auto"/>
        </w:rPr>
      </w:pPr>
    </w:p>
    <w:p>
      <w:pPr>
        <w:ind w:right="600"/>
        <w:spacing w:after="0" w:line="229" w:lineRule="auto"/>
        <w:rPr>
          <w:sz w:val="20"/>
          <w:szCs w:val="20"/>
          <w:color w:val="auto"/>
        </w:rPr>
      </w:pPr>
      <w:r>
        <w:rPr>
          <w:rFonts w:ascii="Arial" w:cs="Arial" w:eastAsia="Arial" w:hAnsi="Arial"/>
          <w:sz w:val="10"/>
          <w:szCs w:val="10"/>
          <w:color w:val="auto"/>
        </w:rPr>
        <w:t>The Company’s Articles, the Corporate Governance Code and the Companies Act 2006 govern the appointment and retirement of Directors. Board membership and biographical details of the Directors are provided on pages 89 - 94. However, Directors follow the direction laid out in the Code and stand for re-election annually.</w:t>
      </w:r>
    </w:p>
    <w:p>
      <w:pPr>
        <w:spacing w:after="0" w:line="149" w:lineRule="exact"/>
        <w:rPr>
          <w:sz w:val="20"/>
          <w:szCs w:val="20"/>
          <w:color w:val="auto"/>
        </w:rPr>
      </w:pPr>
    </w:p>
    <w:p>
      <w:pPr>
        <w:jc w:val="both"/>
        <w:ind w:right="640"/>
        <w:spacing w:after="0" w:line="234" w:lineRule="auto"/>
        <w:rPr>
          <w:sz w:val="20"/>
          <w:szCs w:val="20"/>
          <w:color w:val="auto"/>
        </w:rPr>
      </w:pPr>
      <w:r>
        <w:rPr>
          <w:rFonts w:ascii="Arial" w:cs="Arial" w:eastAsia="Arial" w:hAnsi="Arial"/>
          <w:sz w:val="10"/>
          <w:szCs w:val="10"/>
          <w:color w:val="auto"/>
        </w:rPr>
        <w:t>During the year, Dick Boer and Martina Hund-Mejean (effective May 20, 2020), Sir Andrew Mackenzie and Bram Schot (effective October 1, 2020) were appointed to the Board. Further, Gerard Kleisterlee, Linda Stuntz and Roberto Setubal stood down from the Board at the 2020 AGM held on May 19, 2020.</w:t>
      </w:r>
    </w:p>
    <w:p>
      <w:pPr>
        <w:spacing w:after="0" w:line="150" w:lineRule="exact"/>
        <w:rPr>
          <w:sz w:val="20"/>
          <w:szCs w:val="20"/>
          <w:color w:val="auto"/>
        </w:rPr>
      </w:pPr>
    </w:p>
    <w:p>
      <w:pPr>
        <w:jc w:val="both"/>
        <w:ind w:right="580"/>
        <w:spacing w:after="0" w:line="307" w:lineRule="auto"/>
        <w:rPr>
          <w:sz w:val="20"/>
          <w:szCs w:val="20"/>
          <w:color w:val="auto"/>
        </w:rPr>
      </w:pPr>
      <w:r>
        <w:rPr>
          <w:rFonts w:ascii="Arial" w:cs="Arial" w:eastAsia="Arial" w:hAnsi="Arial"/>
          <w:sz w:val="8"/>
          <w:szCs w:val="8"/>
          <w:color w:val="auto"/>
        </w:rPr>
        <w:t>On March 11, 2021, the Company announced the appointment of Sir Andrew Mackenzie as Chair of the Board of Royal Dutch Shell plc, with effect from the conclusion of the 2021 AGM. Andrew replaces Chad Holliday, who stands down following the 2021 AGM after more than 10 years’ service. Sir Nigel Sheinwald will also stand down following the 2021 AGM, after serving nine years on the Board. Jane Lute will be proposed to shareholders for appointment as a Non-executive Director,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2260" w:type="dxa"/>
            <w:vAlign w:val="bottom"/>
          </w:tcPr>
          <w:p>
            <w:pPr>
              <w:jc w:val="right"/>
              <w:spacing w:after="0"/>
              <w:rPr>
                <w:sz w:val="20"/>
                <w:szCs w:val="20"/>
                <w:color w:val="auto"/>
              </w:rPr>
            </w:pPr>
            <w:r>
              <w:rPr>
                <w:rFonts w:ascii="Arial" w:cs="Arial" w:eastAsia="Arial" w:hAnsi="Arial"/>
                <w:sz w:val="7"/>
                <w:szCs w:val="7"/>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effective May 19, 2021. The 2021 AGM is currently scheduled for May 18, 2021.</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ARTICLES OF ASSOCIATION</w:t>
      </w:r>
    </w:p>
    <w:p>
      <w:pPr>
        <w:spacing w:after="0" w:line="157" w:lineRule="exact"/>
        <w:rPr>
          <w:sz w:val="20"/>
          <w:szCs w:val="20"/>
          <w:color w:val="auto"/>
        </w:rPr>
      </w:pPr>
    </w:p>
    <w:p>
      <w:pPr>
        <w:ind w:right="60"/>
        <w:spacing w:after="0" w:line="358" w:lineRule="auto"/>
        <w:rPr>
          <w:sz w:val="20"/>
          <w:szCs w:val="20"/>
          <w:color w:val="auto"/>
        </w:rPr>
      </w:pPr>
      <w:r>
        <w:rPr>
          <w:rFonts w:ascii="Arial" w:cs="Arial" w:eastAsia="Arial" w:hAnsi="Arial"/>
          <w:sz w:val="8"/>
          <w:szCs w:val="8"/>
          <w:color w:val="auto"/>
        </w:rPr>
        <w:t>The Company’s Articles of Association (Articles) were adopted at the 2019 AGM. The Articles may only be amended by a special resolution of the shareholders in a general meeting. A full version of the Company’s Articles can be found at www.shell.com/investors.</w:t>
      </w:r>
    </w:p>
    <w:p>
      <w:pPr>
        <w:spacing w:after="0" w:line="104" w:lineRule="exact"/>
        <w:rPr>
          <w:sz w:val="20"/>
          <w:szCs w:val="20"/>
          <w:color w:val="auto"/>
        </w:rPr>
      </w:pPr>
    </w:p>
    <w:p>
      <w:pPr>
        <w:jc w:val="both"/>
        <w:ind w:right="260"/>
        <w:spacing w:after="0" w:line="320" w:lineRule="auto"/>
        <w:rPr>
          <w:sz w:val="20"/>
          <w:szCs w:val="20"/>
          <w:color w:val="auto"/>
        </w:rPr>
      </w:pPr>
      <w:r>
        <w:rPr>
          <w:rFonts w:ascii="Arial" w:cs="Arial" w:eastAsia="Arial" w:hAnsi="Arial"/>
          <w:sz w:val="8"/>
          <w:szCs w:val="8"/>
          <w:color w:val="auto"/>
        </w:rPr>
        <w:t>The following summarises certain provisions of the Articles [A] and of the applicable corporate legislation, including the Act (the legislation). This summary is qualified in its entirety by reference to the Articles and the Act. The information provided under this section is applicable to the Articles, which were in effect during the 2020 financial year to which this Report relates.</w:t>
      </w:r>
    </w:p>
    <w:p>
      <w:pPr>
        <w:spacing w:after="0" w:line="109" w:lineRule="exact"/>
        <w:rPr>
          <w:sz w:val="20"/>
          <w:szCs w:val="20"/>
          <w:color w:val="auto"/>
        </w:rPr>
      </w:pPr>
    </w:p>
    <w:p>
      <w:pPr>
        <w:ind w:left="440" w:right="40" w:hanging="217"/>
        <w:spacing w:after="0" w:line="220" w:lineRule="auto"/>
        <w:tabs>
          <w:tab w:leader="none" w:pos="434" w:val="left"/>
        </w:tabs>
        <w:numPr>
          <w:ilvl w:val="0"/>
          <w:numId w:val="157"/>
        </w:numPr>
        <w:rPr>
          <w:rFonts w:ascii="Arial" w:cs="Arial" w:eastAsia="Arial" w:hAnsi="Arial"/>
          <w:sz w:val="10"/>
          <w:szCs w:val="10"/>
          <w:color w:val="auto"/>
        </w:rPr>
      </w:pPr>
      <w:r>
        <w:rPr>
          <w:rFonts w:ascii="Arial" w:cs="Arial" w:eastAsia="Arial" w:hAnsi="Arial"/>
          <w:sz w:val="10"/>
          <w:szCs w:val="10"/>
          <w:color w:val="auto"/>
        </w:rPr>
        <w:t>A copy of the Articles has been previously filed with the SEC and is incorporated by reference as an exhibit to this Report. It can also be found at www.shell.com/investors.</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Number of Directors</w:t>
      </w:r>
    </w:p>
    <w:p>
      <w:pPr>
        <w:spacing w:after="0" w:line="3" w:lineRule="exact"/>
        <w:rPr>
          <w:sz w:val="20"/>
          <w:szCs w:val="20"/>
          <w:color w:val="auto"/>
        </w:rPr>
      </w:pPr>
    </w:p>
    <w:p>
      <w:pPr>
        <w:ind w:right="60"/>
        <w:spacing w:after="0" w:line="231" w:lineRule="auto"/>
        <w:rPr>
          <w:sz w:val="20"/>
          <w:szCs w:val="20"/>
          <w:color w:val="auto"/>
        </w:rPr>
      </w:pPr>
      <w:r>
        <w:rPr>
          <w:rFonts w:ascii="Arial" w:cs="Arial" w:eastAsia="Arial" w:hAnsi="Arial"/>
          <w:sz w:val="10"/>
          <w:szCs w:val="10"/>
          <w:color w:val="auto"/>
        </w:rPr>
        <w:t>The Articles provide that the Company must have a minimum of three and can have a maximum of 20 Directors (disregarding alternate directors), but these restrictions can be changed by the Board.</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Appointment of Directors</w:t>
      </w:r>
    </w:p>
    <w:p>
      <w:pPr>
        <w:spacing w:after="0" w:line="3" w:lineRule="exact"/>
        <w:rPr>
          <w:sz w:val="20"/>
          <w:szCs w:val="20"/>
          <w:color w:val="auto"/>
        </w:rPr>
      </w:pPr>
    </w:p>
    <w:p>
      <w:pPr>
        <w:jc w:val="both"/>
        <w:ind w:right="120"/>
        <w:spacing w:after="0" w:line="300" w:lineRule="auto"/>
        <w:rPr>
          <w:sz w:val="20"/>
          <w:szCs w:val="20"/>
          <w:color w:val="auto"/>
        </w:rPr>
      </w:pPr>
      <w:r>
        <w:rPr>
          <w:rFonts w:ascii="Arial" w:cs="Arial" w:eastAsia="Arial" w:hAnsi="Arial"/>
          <w:sz w:val="8"/>
          <w:szCs w:val="8"/>
          <w:color w:val="auto"/>
        </w:rPr>
        <w:t>The Company can, by passing an ordinary resolution, appoint any willing person to be a Director. The Board can appoint any willing person to be a Director. Any Director appointed in this way must retire from office at the first AGM after his appointment. A Director who retires in this way is then eligible for reappointment. At the general meeting at which a Director retires, shareholders can pass an ordinary resolution to reappoint the Director or to appoint some other eligible person in their place.</w:t>
      </w:r>
    </w:p>
    <w:p>
      <w:pPr>
        <w:spacing w:after="0" w:line="126" w:lineRule="exact"/>
        <w:rPr>
          <w:sz w:val="20"/>
          <w:szCs w:val="20"/>
          <w:color w:val="auto"/>
        </w:rPr>
      </w:pPr>
    </w:p>
    <w:p>
      <w:pPr>
        <w:ind w:right="100"/>
        <w:spacing w:after="0" w:line="257" w:lineRule="auto"/>
        <w:rPr>
          <w:sz w:val="20"/>
          <w:szCs w:val="20"/>
          <w:color w:val="auto"/>
        </w:rPr>
      </w:pPr>
      <w:r>
        <w:rPr>
          <w:rFonts w:ascii="Arial" w:cs="Arial" w:eastAsia="Arial" w:hAnsi="Arial"/>
          <w:sz w:val="8"/>
          <w:szCs w:val="8"/>
          <w:color w:val="auto"/>
        </w:rPr>
        <w:t>The only people who can be appointed as Directors at a general meeting are the following: (i) Directors retiring at the meeting; (ii) anyone recommended by a resolution of the Board; and (iii) anyone nominated by a shareholder (not being a person to be nominated), where the shareholder is entitled to vote at the meeting and delivers to the Company’s registered</w:t>
      </w:r>
    </w:p>
    <w:p>
      <w:pPr>
        <w:spacing w:after="0" w:line="290" w:lineRule="auto"/>
        <w:rPr>
          <w:sz w:val="20"/>
          <w:szCs w:val="20"/>
          <w:color w:val="auto"/>
        </w:rPr>
      </w:pPr>
      <w:r>
        <w:rPr>
          <w:rFonts w:ascii="Arial" w:cs="Arial" w:eastAsia="Arial" w:hAnsi="Arial"/>
          <w:sz w:val="8"/>
          <w:szCs w:val="8"/>
          <w:color w:val="auto"/>
        </w:rPr>
        <w:t>office, not less than six but not more than 21 days before the day of the meeting, a letter stating that he intends to nominate another person for appointment as a Director and written confirmation from that person that he is willing to be appointed.</w:t>
      </w:r>
    </w:p>
    <w:p>
      <w:pPr>
        <w:spacing w:after="0" w:line="11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Retirement of Directors</w:t>
      </w:r>
    </w:p>
    <w:p>
      <w:pPr>
        <w:spacing w:after="0" w:line="3" w:lineRule="exact"/>
        <w:rPr>
          <w:sz w:val="20"/>
          <w:szCs w:val="20"/>
          <w:color w:val="auto"/>
        </w:rPr>
      </w:pPr>
    </w:p>
    <w:p>
      <w:pPr>
        <w:ind w:right="60"/>
        <w:spacing w:after="0" w:line="220" w:lineRule="auto"/>
        <w:rPr>
          <w:sz w:val="20"/>
          <w:szCs w:val="20"/>
          <w:color w:val="auto"/>
        </w:rPr>
      </w:pPr>
      <w:r>
        <w:rPr>
          <w:rFonts w:ascii="Arial" w:cs="Arial" w:eastAsia="Arial" w:hAnsi="Arial"/>
          <w:sz w:val="10"/>
          <w:szCs w:val="10"/>
          <w:color w:val="auto"/>
        </w:rPr>
        <w:t>At every AGM, the following Directors shall retire from office: (i) any Director who has been appointed by the Board since the last AGM; (ii) any Director who held office at the time of the two preceding AGMs and who did not retire at either of them; and (iii) any Director who has been in office, other than as a Director holding an executive position, for a continuous period of nine years or more at the date of the meeting.</w:t>
      </w:r>
    </w:p>
    <w:p>
      <w:pPr>
        <w:spacing w:after="0" w:line="1" w:lineRule="exact"/>
        <w:rPr>
          <w:sz w:val="20"/>
          <w:szCs w:val="20"/>
          <w:color w:val="auto"/>
        </w:rPr>
      </w:pPr>
    </w:p>
    <w:p>
      <w:pPr>
        <w:ind w:right="120"/>
        <w:spacing w:after="0" w:line="262" w:lineRule="auto"/>
        <w:rPr>
          <w:sz w:val="20"/>
          <w:szCs w:val="20"/>
          <w:color w:val="auto"/>
        </w:rPr>
      </w:pPr>
      <w:r>
        <w:rPr>
          <w:rFonts w:ascii="Arial" w:cs="Arial" w:eastAsia="Arial" w:hAnsi="Arial"/>
          <w:sz w:val="8"/>
          <w:szCs w:val="8"/>
          <w:color w:val="auto"/>
        </w:rPr>
        <w:t>Notwithstanding the Articles, the Company complies with the Code which contains, among other matters, provisions regarding the composition of the Board and re-election of the Directors. As a result, the Company’s current policy is that Directors are subject to annual re-election by shareholders. Any Director who retires at an AGM may offer themselves for reappointment by the shareholders.</w:t>
      </w:r>
    </w:p>
    <w:p>
      <w:pPr>
        <w:spacing w:after="0" w:line="13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Removal of Directors</w:t>
      </w:r>
    </w:p>
    <w:p>
      <w:pPr>
        <w:spacing w:after="0" w:line="3" w:lineRule="exact"/>
        <w:rPr>
          <w:sz w:val="20"/>
          <w:szCs w:val="20"/>
          <w:color w:val="auto"/>
        </w:rPr>
      </w:pPr>
    </w:p>
    <w:p>
      <w:pPr>
        <w:jc w:val="both"/>
        <w:ind w:right="300"/>
        <w:spacing w:after="0" w:line="309" w:lineRule="auto"/>
        <w:rPr>
          <w:sz w:val="20"/>
          <w:szCs w:val="20"/>
          <w:color w:val="auto"/>
        </w:rPr>
      </w:pPr>
      <w:r>
        <w:rPr>
          <w:rFonts w:ascii="Arial" w:cs="Arial" w:eastAsia="Arial" w:hAnsi="Arial"/>
          <w:sz w:val="8"/>
          <w:szCs w:val="8"/>
          <w:color w:val="auto"/>
        </w:rPr>
        <w:t>In addition to any power to remove Directors conferred by the legislation, the Company can pass a special resolution to remove a Director from office, even though his time in office has not ended, and can (subject to the Articles) appoint a person to replace a Director who has been removed in this way by passing an ordinary resolution.</w:t>
      </w: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Vacation of office by Directors</w:t>
      </w:r>
    </w:p>
    <w:p>
      <w:pPr>
        <w:spacing w:after="0" w:line="3" w:lineRule="exact"/>
        <w:rPr>
          <w:sz w:val="20"/>
          <w:szCs w:val="20"/>
          <w:color w:val="auto"/>
        </w:rPr>
      </w:pPr>
    </w:p>
    <w:p>
      <w:pPr>
        <w:spacing w:after="0" w:line="292" w:lineRule="auto"/>
        <w:rPr>
          <w:sz w:val="20"/>
          <w:szCs w:val="20"/>
          <w:color w:val="auto"/>
        </w:rPr>
      </w:pPr>
      <w:r>
        <w:rPr>
          <w:rFonts w:ascii="Arial" w:cs="Arial" w:eastAsia="Arial" w:hAnsi="Arial"/>
          <w:sz w:val="8"/>
          <w:szCs w:val="8"/>
          <w:color w:val="auto"/>
        </w:rPr>
        <w:t>Any Director automatically stops being a Director if: (i) he gives the Company a written notice of resignation; (ii) he gives the Company a written notice in which he offers to resign and the Board decides to accept this offer; (iii) all of the other Directors (who must comprise at least three people) pass a resolution or sign a written notice requiring the Director to resign; (iv) he is or has been suffering from mental or physical ill-health and the Board passes a resolution removing the Director from office; (v) he has missed Directors’ meetings (whether or not an alternate director appointed by him attends those meetings) for a continuous period of six months without permission from the Board and the Board passes a resolution removing the Director from office; (vi) a bankruptcy order is</w:t>
      </w:r>
    </w:p>
    <w:p>
      <w:pPr>
        <w:sectPr>
          <w:pgSz w:w="11900" w:h="16838" w:orient="portrait"/>
          <w:cols w:equalWidth="0" w:num="2">
            <w:col w:w="5680" w:space="240"/>
            <w:col w:w="5260"/>
          </w:cols>
          <w:pgMar w:left="300" w:top="640" w:right="419" w:bottom="1440" w:gutter="0" w:footer="0" w:header="0"/>
        </w:sectPr>
      </w:pPr>
    </w:p>
    <w:bookmarkStart w:id="154" w:name="page155"/>
    <w:bookmarkEnd w:id="154"/>
    <w:p>
      <w:pPr>
        <w:ind w:right="500"/>
        <w:spacing w:after="0" w:line="232" w:lineRule="auto"/>
        <w:rPr>
          <w:sz w:val="20"/>
          <w:szCs w:val="20"/>
          <w:color w:val="auto"/>
        </w:rPr>
      </w:pPr>
      <w:r>
        <w:rPr>
          <w:rFonts w:ascii="Arial" w:cs="Arial" w:eastAsia="Arial" w:hAnsi="Arial"/>
          <w:sz w:val="10"/>
          <w:szCs w:val="10"/>
          <w:color w:val="auto"/>
        </w:rPr>
        <w:t>made against him or he makes any arrangement or composition with his creditors generally; (vii) he is prohibited from being a Director under the legislation; or (viii) he ceases to be a Director under the legislation or he is removed from office under the Articles. If a Director stops being a Director for any reason, he will also automatically cease to be a member of any committee or sub-committee of the Board.</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Alternate directors</w:t>
      </w:r>
    </w:p>
    <w:p>
      <w:pPr>
        <w:spacing w:after="0" w:line="3" w:lineRule="exact"/>
        <w:rPr>
          <w:sz w:val="20"/>
          <w:szCs w:val="20"/>
          <w:color w:val="auto"/>
        </w:rPr>
      </w:pPr>
    </w:p>
    <w:p>
      <w:pPr>
        <w:ind w:right="520"/>
        <w:spacing w:after="0" w:line="337" w:lineRule="auto"/>
        <w:rPr>
          <w:sz w:val="20"/>
          <w:szCs w:val="20"/>
          <w:color w:val="auto"/>
        </w:rPr>
      </w:pPr>
      <w:r>
        <w:rPr>
          <w:rFonts w:ascii="Arial" w:cs="Arial" w:eastAsia="Arial" w:hAnsi="Arial"/>
          <w:sz w:val="8"/>
          <w:szCs w:val="8"/>
          <w:color w:val="auto"/>
        </w:rPr>
        <w:t>Any Director can appoint any person (including another Director) to act in his place as an alternate director. That appointment requires the approval of the Board, unless previously approved by the Board or unless the appointee is another Director.</w:t>
      </w:r>
    </w:p>
    <w:p>
      <w:pPr>
        <w:spacing w:after="0" w:line="11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Proceedings of the Board</w:t>
      </w:r>
    </w:p>
    <w:p>
      <w:pPr>
        <w:spacing w:after="0" w:line="3" w:lineRule="exact"/>
        <w:rPr>
          <w:sz w:val="20"/>
          <w:szCs w:val="20"/>
          <w:color w:val="auto"/>
        </w:rPr>
      </w:pPr>
    </w:p>
    <w:p>
      <w:pPr>
        <w:jc w:val="both"/>
        <w:ind w:right="480"/>
        <w:spacing w:after="0" w:line="309" w:lineRule="auto"/>
        <w:rPr>
          <w:sz w:val="20"/>
          <w:szCs w:val="20"/>
          <w:color w:val="auto"/>
        </w:rPr>
      </w:pPr>
      <w:r>
        <w:rPr>
          <w:rFonts w:ascii="Arial" w:cs="Arial" w:eastAsia="Arial" w:hAnsi="Arial"/>
          <w:sz w:val="8"/>
          <w:szCs w:val="8"/>
          <w:color w:val="auto"/>
        </w:rPr>
        <w:t>Meetings of the Board will usually be held in the Netherlands but the Board may decide in each case when and where to have meetings and how they will be conducted. The Board can also adjourn its meetings. If no other quorum is fixed by the Board, two Directors are a quorum. A Directors’ meeting at which a quorum is present can exercise all the powers and discretions of the Board.</w:t>
      </w:r>
    </w:p>
    <w:p>
      <w:pPr>
        <w:spacing w:after="0" w:line="114" w:lineRule="exact"/>
        <w:rPr>
          <w:sz w:val="20"/>
          <w:szCs w:val="20"/>
          <w:color w:val="auto"/>
        </w:rPr>
      </w:pPr>
    </w:p>
    <w:p>
      <w:pPr>
        <w:ind w:right="440"/>
        <w:spacing w:after="0" w:line="245" w:lineRule="auto"/>
        <w:rPr>
          <w:sz w:val="20"/>
          <w:szCs w:val="20"/>
          <w:color w:val="auto"/>
        </w:rPr>
      </w:pPr>
      <w:r>
        <w:rPr>
          <w:rFonts w:ascii="Arial" w:cs="Arial" w:eastAsia="Arial" w:hAnsi="Arial"/>
          <w:sz w:val="8"/>
          <w:szCs w:val="8"/>
          <w:color w:val="auto"/>
        </w:rPr>
        <w:t>All or any of the Directors can take part in a meeting of the Directors by way of a conference telephone or any communication equipment which allows everybody to take part in the meeting by being able to hear each of the other people at the meeting and by being able to speak to all of them at the same time. A person taking part in this way will be treated as being present at the meeting and will be entitled to vote and be counted in the quorum. Any such meeting will be deemed to take place where the largest</w:t>
      </w:r>
    </w:p>
    <w:p>
      <w:pPr>
        <w:spacing w:after="0"/>
        <w:rPr>
          <w:sz w:val="20"/>
          <w:szCs w:val="20"/>
          <w:color w:val="auto"/>
        </w:rPr>
      </w:pPr>
      <w:r>
        <w:rPr>
          <w:rFonts w:ascii="Arial" w:cs="Arial" w:eastAsia="Arial" w:hAnsi="Arial"/>
          <w:sz w:val="10"/>
          <w:szCs w:val="10"/>
          <w:color w:val="auto"/>
        </w:rPr>
        <w:t>group of Directors participating is assembled or, if there is no such group, where the Chair of the meeting then is located.</w:t>
      </w:r>
    </w:p>
    <w:p>
      <w:pPr>
        <w:spacing w:after="0" w:line="157" w:lineRule="exact"/>
        <w:rPr>
          <w:sz w:val="20"/>
          <w:szCs w:val="20"/>
          <w:color w:val="auto"/>
        </w:rPr>
      </w:pPr>
    </w:p>
    <w:p>
      <w:pPr>
        <w:ind w:right="460"/>
        <w:spacing w:after="0" w:line="382" w:lineRule="auto"/>
        <w:rPr>
          <w:sz w:val="20"/>
          <w:szCs w:val="20"/>
          <w:color w:val="auto"/>
        </w:rPr>
      </w:pPr>
      <w:r>
        <w:rPr>
          <w:rFonts w:ascii="Arial" w:cs="Arial" w:eastAsia="Arial" w:hAnsi="Arial"/>
          <w:sz w:val="8"/>
          <w:szCs w:val="8"/>
          <w:color w:val="auto"/>
        </w:rPr>
        <w:t>The Board can appoint any Director as Chair or as Deputy Chair and can remove him from that office at any time. Matters to be decided at a Directors’ meeting will be decided by a majority vote. If votes are equal, the Chair of the meeting has a second, casting vote.</w:t>
      </w:r>
    </w:p>
    <w:p>
      <w:pPr>
        <w:spacing w:after="0" w:line="85" w:lineRule="exact"/>
        <w:rPr>
          <w:sz w:val="20"/>
          <w:szCs w:val="20"/>
          <w:color w:val="auto"/>
        </w:rPr>
      </w:pPr>
    </w:p>
    <w:p>
      <w:pPr>
        <w:jc w:val="both"/>
        <w:ind w:right="540"/>
        <w:spacing w:after="0" w:line="196" w:lineRule="auto"/>
        <w:rPr>
          <w:sz w:val="20"/>
          <w:szCs w:val="20"/>
          <w:color w:val="auto"/>
        </w:rPr>
      </w:pPr>
      <w:r>
        <w:rPr>
          <w:rFonts w:ascii="Arial" w:cs="Arial" w:eastAsia="Arial" w:hAnsi="Arial"/>
          <w:sz w:val="10"/>
          <w:szCs w:val="10"/>
          <w:color w:val="auto"/>
        </w:rPr>
        <w:t>The Board will manage the Company’s business. It can use all the Company’s powers, except where the Articles or the legislation say that powers can only be used by shareholders voting to do so at a general meeting. The Board is, however, subject to the provisions of the legislation, the requirements of the Articles and any regulations laid down by the shareholders by passing a special resolution at a general meeting.</w:t>
      </w:r>
    </w:p>
    <w:p>
      <w:pPr>
        <w:spacing w:after="0" w:line="1" w:lineRule="exact"/>
        <w:rPr>
          <w:sz w:val="20"/>
          <w:szCs w:val="20"/>
          <w:color w:val="auto"/>
        </w:rPr>
      </w:pPr>
    </w:p>
    <w:p>
      <w:pPr>
        <w:ind w:right="460"/>
        <w:spacing w:after="0" w:line="266" w:lineRule="auto"/>
        <w:rPr>
          <w:sz w:val="20"/>
          <w:szCs w:val="20"/>
          <w:color w:val="auto"/>
        </w:rPr>
      </w:pPr>
      <w:r>
        <w:rPr>
          <w:rFonts w:ascii="Arial" w:cs="Arial" w:eastAsia="Arial" w:hAnsi="Arial"/>
          <w:sz w:val="8"/>
          <w:szCs w:val="8"/>
          <w:color w:val="auto"/>
        </w:rPr>
        <w:t>The Board can exercise the Company’s powers: (i) to borrow money; (ii) to guarantee; (iii) to indemnify; (iv) to mortgage or charge all or any of the Company’s undertaking, property and assets (present and future) and uncalled capital; (v) to issue debentures and other securities; and (vi) to give security, either outright or as collateral security, for any debt, liability or obligation of the Company or of any third party. The Board must limit the borrowings of the Company and exercise all voting and other rights or powers of control exercisable by the Company in relation to its subsidiary undertakings so as to ensure that no money is borrowed if the total amount of the group’s borrowings (as defined in the Articles) then exceeds, or would as a result of such borrowing exceed, two times the Company’s adjusted capital and reserves (as defined in the Articles). Shareholders may pass an ordinary resolution allowing borrowings to exceed such limit.</w:t>
      </w:r>
    </w:p>
    <w:p>
      <w:pPr>
        <w:spacing w:after="0" w:line="232" w:lineRule="exact"/>
        <w:rPr>
          <w:sz w:val="20"/>
          <w:szCs w:val="20"/>
          <w:color w:val="auto"/>
        </w:rPr>
      </w:pPr>
    </w:p>
    <w:p>
      <w:pPr>
        <w:ind w:right="560"/>
        <w:spacing w:after="0" w:line="231" w:lineRule="auto"/>
        <w:rPr>
          <w:sz w:val="20"/>
          <w:szCs w:val="20"/>
          <w:color w:val="auto"/>
        </w:rPr>
      </w:pPr>
      <w:r>
        <w:rPr>
          <w:rFonts w:ascii="Arial" w:cs="Arial" w:eastAsia="Arial" w:hAnsi="Arial"/>
          <w:sz w:val="10"/>
          <w:szCs w:val="10"/>
          <w:color w:val="auto"/>
        </w:rPr>
        <w:t>The Board can delegate any of its powers or discretions to committees of one or more persons. Any committee must comply with any regulations laid down by the Board. These regulations can require or allow people who are not Directors to be members of the committee, and can give voting rights to such people but there must be more Directors on a committee than persons who are not Directors and a resolution of the committee is only effective if a majority of the members of the committee present at the time of the resolution were Directors.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Fees</w:t>
      </w:r>
    </w:p>
    <w:p>
      <w:pPr>
        <w:spacing w:after="0" w:line="3" w:lineRule="exact"/>
        <w:rPr>
          <w:sz w:val="20"/>
          <w:szCs w:val="20"/>
          <w:color w:val="auto"/>
        </w:rPr>
      </w:pPr>
    </w:p>
    <w:p>
      <w:pPr>
        <w:ind w:right="460"/>
        <w:spacing w:after="0" w:line="295" w:lineRule="auto"/>
        <w:rPr>
          <w:sz w:val="20"/>
          <w:szCs w:val="20"/>
          <w:color w:val="auto"/>
        </w:rPr>
      </w:pPr>
      <w:r>
        <w:rPr>
          <w:rFonts w:ascii="Arial" w:cs="Arial" w:eastAsia="Arial" w:hAnsi="Arial"/>
          <w:sz w:val="8"/>
          <w:szCs w:val="8"/>
          <w:color w:val="auto"/>
        </w:rPr>
        <w:t>The total fees paid to all the Directors (excluding any payments made under any other provision of the Articles) must not exceed €4,000,000 a year or any higher sum decided on by an ordinary resolution at a general meeting. It is for the Board to decide how much to pay each Director by way of fees. The Board, or any committee authorised by the Board, can award extra fees to any Director who, in its view, performs any special or extra services for the Company. The extra fees can take the form of salary, commission, profit-sharing or other benefits (and can be paid partly in one way and partly in another).</w:t>
      </w:r>
    </w:p>
    <w:p>
      <w:pPr>
        <w:spacing w:after="0" w:line="129" w:lineRule="exact"/>
        <w:rPr>
          <w:sz w:val="20"/>
          <w:szCs w:val="20"/>
          <w:color w:val="auto"/>
        </w:rPr>
      </w:pPr>
    </w:p>
    <w:p>
      <w:pPr>
        <w:ind w:right="620"/>
        <w:spacing w:after="0" w:line="239" w:lineRule="auto"/>
        <w:rPr>
          <w:sz w:val="20"/>
          <w:szCs w:val="20"/>
          <w:color w:val="auto"/>
        </w:rPr>
      </w:pPr>
      <w:r>
        <w:rPr>
          <w:rFonts w:ascii="Arial" w:cs="Arial" w:eastAsia="Arial" w:hAnsi="Arial"/>
          <w:sz w:val="10"/>
          <w:szCs w:val="10"/>
          <w:color w:val="auto"/>
        </w:rPr>
        <w:t>The Company can pay the reasonable travel, hotel and incidental expenses of each Director incurred in attending and returning from general</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2260" w:type="dxa"/>
            <w:vAlign w:val="bottom"/>
          </w:tcPr>
          <w:p>
            <w:pPr>
              <w:jc w:val="right"/>
              <w:spacing w:after="0"/>
              <w:rPr>
                <w:sz w:val="20"/>
                <w:szCs w:val="20"/>
                <w:color w:val="auto"/>
              </w:rPr>
            </w:pPr>
            <w:r>
              <w:rPr>
                <w:rFonts w:ascii="Arial" w:cs="Arial" w:eastAsia="Arial" w:hAnsi="Arial"/>
                <w:sz w:val="7"/>
                <w:szCs w:val="7"/>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9" w:lineRule="auto"/>
        <w:rPr>
          <w:sz w:val="20"/>
          <w:szCs w:val="20"/>
          <w:color w:val="auto"/>
        </w:rPr>
      </w:pPr>
      <w:r>
        <w:rPr>
          <w:rFonts w:ascii="Arial" w:cs="Arial" w:eastAsia="Arial" w:hAnsi="Arial"/>
          <w:sz w:val="8"/>
          <w:szCs w:val="8"/>
          <w:color w:val="auto"/>
        </w:rPr>
        <w:t>meetings, meetings of the Board or committees of the Board or any other meetings which, as a Director, he is entitled to attend. The Company will pay all other expenses properly and reasonably incurred by each Director in connection with the Company’s business or in the performance of his duties as a Director. The Company can also fund a Director’s or former Director’s expenditure and that of a Director or former Director of any holding company of the Company for the purposes permitted by the legislation and can do anything to enable a Director or former Director of the Company or any holding company of the Company to avoid incurring such expenditure all as provided in the legislation.</w:t>
      </w: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Pensions and gratuities</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8"/>
          <w:szCs w:val="8"/>
          <w:color w:val="auto"/>
        </w:rPr>
        <w:t>The Board or any committee authorised by the Board can decide whether to provide pensions, annual payments or other benefits to any Director or former Director, or any relation or dependant of, or person connected to, such a person. The Board can also decide to contribute to a scheme or fund or to pay premiums to a third party for these purposes. The Company can only provide pensions and other benefits to people who are or were Directors but who have not been employed by or held an office or executive position in the Company or any of its subsidiary undertakings or former subsidiary undertakings or any predecessor in business of the Company or any such other company or to relations or dependants of, or persons connected to, these Directors or former Directors if the shareholders approve this by passing an ordinary resolution.</w:t>
      </w:r>
    </w:p>
    <w:p>
      <w:pPr>
        <w:spacing w:after="0" w:line="23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Directors’ interests</w:t>
      </w:r>
    </w:p>
    <w:p>
      <w:pPr>
        <w:spacing w:after="0" w:line="206" w:lineRule="auto"/>
        <w:rPr>
          <w:sz w:val="20"/>
          <w:szCs w:val="20"/>
          <w:color w:val="auto"/>
        </w:rPr>
      </w:pPr>
      <w:r>
        <w:rPr>
          <w:rFonts w:ascii="Arial" w:cs="Arial" w:eastAsia="Arial" w:hAnsi="Arial"/>
          <w:sz w:val="10"/>
          <w:szCs w:val="10"/>
          <w:b w:val="1"/>
          <w:bCs w:val="1"/>
          <w:color w:val="auto"/>
        </w:rPr>
        <w:t>Conflicts of interest requiring authorisation by Directors</w:t>
      </w:r>
    </w:p>
    <w:p>
      <w:pPr>
        <w:spacing w:after="0" w:line="309" w:lineRule="auto"/>
        <w:rPr>
          <w:sz w:val="20"/>
          <w:szCs w:val="20"/>
          <w:color w:val="auto"/>
        </w:rPr>
      </w:pPr>
      <w:r>
        <w:rPr>
          <w:rFonts w:ascii="Arial" w:cs="Arial" w:eastAsia="Arial" w:hAnsi="Arial"/>
          <w:sz w:val="8"/>
          <w:szCs w:val="8"/>
          <w:color w:val="auto"/>
        </w:rPr>
        <w:t>The Board may, subject to the relevant quorum and voting requirements, authorise any matter which would otherwise involve a Director breaching his duty under the legislation to avoid conflicts of interest. A Director seeking authorisation in respect of such a conflict of interest must tell the Board the nature and extent of his interest in the conflict of interest as soon as possible.</w:t>
      </w:r>
    </w:p>
    <w:p>
      <w:pPr>
        <w:spacing w:after="0" w:line="114" w:lineRule="exact"/>
        <w:rPr>
          <w:sz w:val="20"/>
          <w:szCs w:val="20"/>
          <w:color w:val="auto"/>
        </w:rPr>
      </w:pPr>
    </w:p>
    <w:p>
      <w:pPr>
        <w:ind w:right="20"/>
        <w:spacing w:after="0" w:line="247" w:lineRule="auto"/>
        <w:rPr>
          <w:sz w:val="20"/>
          <w:szCs w:val="20"/>
          <w:color w:val="auto"/>
        </w:rPr>
      </w:pPr>
      <w:r>
        <w:rPr>
          <w:rFonts w:ascii="Arial" w:cs="Arial" w:eastAsia="Arial" w:hAnsi="Arial"/>
          <w:sz w:val="8"/>
          <w:szCs w:val="8"/>
          <w:color w:val="auto"/>
        </w:rPr>
        <w:t>The Director must give the Board sufficient details of the relevant matter to enable it to decide how to address the conflict of interest, together with any additional information which it may request. Any Director (including the relevant Director) may propose that the relevant Director be authorised in relation to any matter which is the subject of such a conflict of interest. Such proposal and any authority given by the Board shall be effected in the same way as any other matter may be proposed to and resolved upon by the Board except that: (i) the relevant Director and any other Director with a similar interest will not count in the quorum and will not vote on a resolution giving such authority; and (ii) the conflicted Director and any other Director with a similar interest may, if the other members of the Board so decide, be excluded from any meeting of the Board while the conflict of interest is under consideration.</w:t>
      </w:r>
    </w:p>
    <w:p>
      <w:pPr>
        <w:spacing w:after="0" w:line="138" w:lineRule="exact"/>
        <w:rPr>
          <w:sz w:val="20"/>
          <w:szCs w:val="20"/>
          <w:color w:val="auto"/>
        </w:rPr>
      </w:pPr>
    </w:p>
    <w:p>
      <w:pPr>
        <w:ind w:right="20"/>
        <w:spacing w:after="0" w:line="266" w:lineRule="auto"/>
        <w:rPr>
          <w:sz w:val="20"/>
          <w:szCs w:val="20"/>
          <w:color w:val="auto"/>
        </w:rPr>
      </w:pPr>
      <w:r>
        <w:rPr>
          <w:rFonts w:ascii="Arial" w:cs="Arial" w:eastAsia="Arial" w:hAnsi="Arial"/>
          <w:sz w:val="8"/>
          <w:szCs w:val="8"/>
          <w:color w:val="auto"/>
        </w:rPr>
        <w:t>Where the Board gives authority in relation to a conflict of interest or where any of the situations described in (i) to (v) of “Other conflicts of interest” below applies in relation to a Director: (i) the Board may (whether at the relevant time or subsequently) (a) require that the relevant Director is excluded from the receipt of information, the participation in discussion and/or the making of decisions related to the conflict or the situation and (b) impose upon the relevant Director such other terms for the purpose of dealing with the conflict or situation as they think fit; (ii) the relevant Director will be obliged to conduct himself in accordance with any terms imposed by the Board in relation to the conflict or situation; (iii) the Board may also provide that, where the relevant Director obtains (other than through his position as a Director of the Company) information that is confidential to a third party, the Director will not be obliged to disclose that information to the Company, or to use or apply the information in relation to the Company’s affairs, where to do so would amount to a breach of that confidence; (iv) the terms of the authority shall be recorded in writing (but the authority shall be effective whether or not the terms are so recorded); and (v) the Board may revoke or vary such authority at any time but this will not affect anything done by the relevant Director prior to such revocation in accordance with the terms of such authority.</w:t>
      </w:r>
    </w:p>
    <w:p>
      <w:pPr>
        <w:spacing w:after="0" w:line="22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conflicts of interest</w:t>
      </w:r>
    </w:p>
    <w:p>
      <w:pPr>
        <w:spacing w:after="0" w:line="3" w:lineRule="exact"/>
        <w:rPr>
          <w:sz w:val="20"/>
          <w:szCs w:val="20"/>
          <w:color w:val="auto"/>
        </w:rPr>
      </w:pPr>
    </w:p>
    <w:p>
      <w:pPr>
        <w:ind w:right="40"/>
        <w:spacing w:after="0" w:line="227" w:lineRule="auto"/>
        <w:rPr>
          <w:sz w:val="20"/>
          <w:szCs w:val="20"/>
          <w:color w:val="auto"/>
        </w:rPr>
      </w:pPr>
      <w:r>
        <w:rPr>
          <w:rFonts w:ascii="Arial" w:cs="Arial" w:eastAsia="Arial" w:hAnsi="Arial"/>
          <w:sz w:val="10"/>
          <w:szCs w:val="10"/>
          <w:color w:val="auto"/>
        </w:rPr>
        <w:t>If a Director knows that he is in any way directly or indirectly interested in a proposed contract with the Company or a contract that has been entered into by the Company, he must tell the other Directors of the nature and extent of that interest in accordance with the legislation. If he has so disclosed the nature and extent of his interest, a Director can do one or more of the following: (i) have any kind of interest in a contract with or involving the Company or another company in which the Company has an interest; (ii) hold any other office or place of profit with</w:t>
      </w:r>
    </w:p>
    <w:p>
      <w:pPr>
        <w:sectPr>
          <w:pgSz w:w="11900" w:h="16838" w:orient="portrait"/>
          <w:cols w:equalWidth="0" w:num="2">
            <w:col w:w="5680" w:space="240"/>
            <w:col w:w="5240"/>
          </w:cols>
          <w:pgMar w:left="300" w:top="640" w:right="439" w:bottom="1440" w:gutter="0" w:footer="0" w:header="0"/>
        </w:sectPr>
      </w:pPr>
    </w:p>
    <w:bookmarkStart w:id="155" w:name="page156"/>
    <w:bookmarkEnd w:id="155"/>
    <w:p>
      <w:pPr>
        <w:ind w:right="440"/>
        <w:spacing w:after="0" w:line="296" w:lineRule="auto"/>
        <w:rPr>
          <w:sz w:val="20"/>
          <w:szCs w:val="20"/>
          <w:color w:val="auto"/>
        </w:rPr>
      </w:pPr>
      <w:r>
        <w:rPr>
          <w:rFonts w:ascii="Arial" w:cs="Arial" w:eastAsia="Arial" w:hAnsi="Arial"/>
          <w:sz w:val="8"/>
          <w:szCs w:val="8"/>
          <w:color w:val="auto"/>
        </w:rPr>
        <w:t>the Company (except that of auditor) in conjunction with his office of Director for such period and upon such terms, including as to remuneration, as the Board may decide; (iii) alone, or through a firm with which he is associated, do paid professional work for the Company or another company in which the Company has an interest (other than as auditor); (iv) be or become a Director or other officer of, or employed by a party to a transaction or (iv) arrangement with, or otherwise be interested in, any holding company or subsidiary company of the Company or any other company in which the Company has an interest; and (v) be or become a Director of any other company in which the Company does not have an interest and which cannot reasonably be regarded as giving rise to a conflict of interest at the time of his appointment as a Director of that other company.</w:t>
      </w: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Benefits</w:t>
      </w:r>
    </w:p>
    <w:p>
      <w:pPr>
        <w:spacing w:after="0" w:line="3" w:lineRule="exact"/>
        <w:rPr>
          <w:sz w:val="20"/>
          <w:szCs w:val="20"/>
          <w:color w:val="auto"/>
        </w:rPr>
      </w:pPr>
    </w:p>
    <w:p>
      <w:pPr>
        <w:ind w:right="460"/>
        <w:spacing w:after="0" w:line="228" w:lineRule="auto"/>
        <w:rPr>
          <w:sz w:val="20"/>
          <w:szCs w:val="20"/>
          <w:color w:val="auto"/>
        </w:rPr>
      </w:pPr>
      <w:r>
        <w:rPr>
          <w:rFonts w:ascii="Arial" w:cs="Arial" w:eastAsia="Arial" w:hAnsi="Arial"/>
          <w:sz w:val="10"/>
          <w:szCs w:val="10"/>
          <w:color w:val="auto"/>
        </w:rPr>
        <w:t>A Director does not have to hand over to the Company or its shareholders any benefit he receives or profit that he makes as a result of any matter which would otherwise involve a direct breach of his duty under the legislation to avoid conflicts of interest but which has been authorised or anything allowed under (i) to (v) of “Other conflicts of interest” above, nor is any type of contract so authorised or so allowed liable to be avoided.</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Quorum and voting requirements</w:t>
      </w:r>
    </w:p>
    <w:p>
      <w:pPr>
        <w:spacing w:after="0" w:line="3" w:lineRule="exact"/>
        <w:rPr>
          <w:sz w:val="20"/>
          <w:szCs w:val="20"/>
          <w:color w:val="auto"/>
        </w:rPr>
      </w:pPr>
    </w:p>
    <w:p>
      <w:pPr>
        <w:ind w:right="460"/>
        <w:spacing w:after="0" w:line="228" w:lineRule="auto"/>
        <w:rPr>
          <w:sz w:val="20"/>
          <w:szCs w:val="20"/>
          <w:color w:val="auto"/>
        </w:rPr>
      </w:pPr>
      <w:r>
        <w:rPr>
          <w:rFonts w:ascii="Arial" w:cs="Arial" w:eastAsia="Arial" w:hAnsi="Arial"/>
          <w:sz w:val="10"/>
          <w:szCs w:val="10"/>
          <w:color w:val="auto"/>
        </w:rPr>
        <w:t>Subject to certain exceptions, a Director cannot vote or be counted in the quorum on a resolution of the Board relating to appointing that Director to a position with the Company or a company in which the Company has an interest or the terms or the termination of the appointment and a Director cannot vote or be counted in the quorum on a resolution of the Board about a contract in which he has an interest and, if he does vote, his vote will not be counted.</w:t>
      </w:r>
    </w:p>
    <w:p>
      <w:pPr>
        <w:spacing w:after="0" w:line="140" w:lineRule="exact"/>
        <w:rPr>
          <w:sz w:val="20"/>
          <w:szCs w:val="20"/>
          <w:color w:val="auto"/>
        </w:rPr>
      </w:pPr>
    </w:p>
    <w:p>
      <w:pPr>
        <w:ind w:right="580"/>
        <w:spacing w:after="0" w:line="220" w:lineRule="auto"/>
        <w:rPr>
          <w:sz w:val="20"/>
          <w:szCs w:val="20"/>
          <w:color w:val="auto"/>
        </w:rPr>
      </w:pPr>
      <w:r>
        <w:rPr>
          <w:rFonts w:ascii="Arial" w:cs="Arial" w:eastAsia="Arial" w:hAnsi="Arial"/>
          <w:sz w:val="10"/>
          <w:szCs w:val="10"/>
          <w:color w:val="auto"/>
        </w:rPr>
        <w:t>The Company can, by ordinary resolution, suspend or relax the provisions of the relevant article in the Articles to any extent or ratify any contract which has not been properly authorised in accordance with that relevant article.</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Directors’ indemnities</w:t>
      </w:r>
    </w:p>
    <w:p>
      <w:pPr>
        <w:spacing w:after="0" w:line="3" w:lineRule="exact"/>
        <w:rPr>
          <w:sz w:val="20"/>
          <w:szCs w:val="20"/>
          <w:color w:val="auto"/>
        </w:rPr>
      </w:pPr>
    </w:p>
    <w:p>
      <w:pPr>
        <w:ind w:right="460"/>
        <w:spacing w:after="0" w:line="295" w:lineRule="auto"/>
        <w:rPr>
          <w:sz w:val="20"/>
          <w:szCs w:val="20"/>
          <w:color w:val="auto"/>
        </w:rPr>
      </w:pPr>
      <w:r>
        <w:rPr>
          <w:rFonts w:ascii="Arial" w:cs="Arial" w:eastAsia="Arial" w:hAnsi="Arial"/>
          <w:sz w:val="8"/>
          <w:szCs w:val="8"/>
          <w:color w:val="auto"/>
        </w:rPr>
        <w:t>As far as the legislation allows this, the Company can indemnify any Director or former Director of the Company, of any associated company or of any affiliate against any liability and can purchase and maintain insurance against any liability for any Director or former Director of the Company, of any associated company or of any affiliate. A Director or former Director of the Company, of any associated company or of any affiliate will not be accountable to the Company or the shareholders for any benefit so provided. Anyone receiving such a benefit will not be disqualified from being or becoming a Director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RIGHTS ATTACHING TO SHARES</w:t>
      </w:r>
    </w:p>
    <w:p>
      <w:pPr>
        <w:spacing w:after="0" w:line="3" w:lineRule="exact"/>
        <w:rPr>
          <w:sz w:val="20"/>
          <w:szCs w:val="20"/>
          <w:color w:val="auto"/>
        </w:rPr>
      </w:pPr>
    </w:p>
    <w:p>
      <w:pPr>
        <w:ind w:right="440"/>
        <w:spacing w:after="0" w:line="229" w:lineRule="auto"/>
        <w:rPr>
          <w:sz w:val="20"/>
          <w:szCs w:val="20"/>
          <w:color w:val="auto"/>
        </w:rPr>
      </w:pPr>
      <w:r>
        <w:rPr>
          <w:rFonts w:ascii="Arial" w:cs="Arial" w:eastAsia="Arial" w:hAnsi="Arial"/>
          <w:sz w:val="10"/>
          <w:szCs w:val="10"/>
          <w:color w:val="auto"/>
        </w:rPr>
        <w:t>The Company can issue shares with any rights or restrictions attached to them as long as this is not restricted by any rights attached to existing shares. These rights or restrictions can be decided either by an ordinary resolution passed by the shareholders or by the Board as long as there is no conflict with any resolution passed by the shareholders.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Dividends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Currently, only A shares and B shares are entitled to a dividend.</w:t>
      </w:r>
    </w:p>
    <w:p>
      <w:pPr>
        <w:spacing w:after="0" w:line="149" w:lineRule="exact"/>
        <w:rPr>
          <w:sz w:val="20"/>
          <w:szCs w:val="20"/>
          <w:color w:val="auto"/>
        </w:rPr>
      </w:pPr>
    </w:p>
    <w:p>
      <w:pPr>
        <w:ind w:right="460"/>
        <w:spacing w:after="0" w:line="299" w:lineRule="auto"/>
        <w:rPr>
          <w:sz w:val="20"/>
          <w:szCs w:val="20"/>
          <w:color w:val="auto"/>
        </w:rPr>
      </w:pPr>
      <w:r>
        <w:rPr>
          <w:rFonts w:ascii="Arial" w:cs="Arial" w:eastAsia="Arial" w:hAnsi="Arial"/>
          <w:sz w:val="8"/>
          <w:szCs w:val="8"/>
          <w:color w:val="auto"/>
        </w:rPr>
        <w:t>Under the legislation, dividends are payable only out of profits available for distribution, as determined in accordance with the Act and under IFRS. Subject to the Act, if the Directors consider that the Company’s financial position justifies the payment of a dividend, the Company can pay a fixed or other dividend on any class of shares on the dates prescribed for the payments of those dividends and pay interim dividends on shares of any class of any amounts and on any dates and for any periods which it decides. Shareholders can declare dividends in accordance with the rights of shareholders by passing an ordinary resolution, although such dividends cannot exceed the amount recommended by the Board.</w:t>
      </w:r>
    </w:p>
    <w:p>
      <w:pPr>
        <w:spacing w:after="0" w:line="228" w:lineRule="exact"/>
        <w:rPr>
          <w:sz w:val="20"/>
          <w:szCs w:val="20"/>
          <w:color w:val="auto"/>
        </w:rPr>
      </w:pPr>
    </w:p>
    <w:p>
      <w:pPr>
        <w:ind w:right="580"/>
        <w:spacing w:after="0" w:line="209" w:lineRule="auto"/>
        <w:rPr>
          <w:sz w:val="20"/>
          <w:szCs w:val="20"/>
          <w:color w:val="auto"/>
        </w:rPr>
      </w:pPr>
      <w:r>
        <w:rPr>
          <w:rFonts w:ascii="Arial" w:cs="Arial" w:eastAsia="Arial" w:hAnsi="Arial"/>
          <w:sz w:val="10"/>
          <w:szCs w:val="10"/>
          <w:color w:val="auto"/>
        </w:rPr>
        <w:t>Dividends are payable to persons registered as the holder(s) of shares, or to anyone entitled in any other way, at a particular time on a particular day selected by the Board. All dividends will be declared and paid in proportions based on the amounts paid up on the relevant shares during any period for which that dividend is paid.</w:t>
      </w:r>
    </w:p>
    <w:p>
      <w:pPr>
        <w:spacing w:after="0" w:line="141" w:lineRule="exact"/>
        <w:rPr>
          <w:sz w:val="20"/>
          <w:szCs w:val="20"/>
          <w:color w:val="auto"/>
        </w:rPr>
      </w:pPr>
    </w:p>
    <w:p>
      <w:pPr>
        <w:ind w:right="660"/>
        <w:spacing w:after="0" w:line="239" w:lineRule="auto"/>
        <w:rPr>
          <w:sz w:val="20"/>
          <w:szCs w:val="20"/>
          <w:color w:val="auto"/>
        </w:rPr>
      </w:pPr>
      <w:r>
        <w:rPr>
          <w:rFonts w:ascii="Arial" w:cs="Arial" w:eastAsia="Arial" w:hAnsi="Arial"/>
          <w:sz w:val="10"/>
          <w:szCs w:val="10"/>
          <w:color w:val="auto"/>
        </w:rPr>
        <w:t>Any dividend or other money payable in cash relating to a share can be paid: (i) by inter-bank transfer or by other electronic means (including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2260" w:type="dxa"/>
            <w:vAlign w:val="bottom"/>
          </w:tcPr>
          <w:p>
            <w:pPr>
              <w:jc w:val="right"/>
              <w:spacing w:after="0"/>
              <w:rPr>
                <w:sz w:val="20"/>
                <w:szCs w:val="20"/>
                <w:color w:val="auto"/>
              </w:rPr>
            </w:pPr>
            <w:r>
              <w:rPr>
                <w:rFonts w:ascii="Arial" w:cs="Arial" w:eastAsia="Arial" w:hAnsi="Arial"/>
                <w:sz w:val="7"/>
                <w:szCs w:val="7"/>
                <w:color w:val="auto"/>
              </w:rPr>
              <w:t>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8"/>
          <w:szCs w:val="8"/>
          <w:color w:val="auto"/>
        </w:rPr>
        <w:t>payment through CREST) directly to an account with a bank or other financial institution (or other organisations operating deposit accounts if allowed by the Company) named in a written instruction from the persons entitled to receive the payment under the Articles, such an account must be an account in the UK, unless the share on which the payment is to be made is held by Euroclear Nederland and the Dutch Securities Giro Act (Wet giraal effectenverkeer) applies to such share; (ii) by sending a cheque, warrant or similar financial instrument payable to the shareholder who is entitled to it by post addressed to his registered address; (iii) by sending a cheque, warrant or similar financial instrument payable to someone else named in a written instruction from the shareholder (or all joint shareholders) and sent by post to the address specified in that instruction; or (iv) in some other way if requested in writing by the shareholder (or all joint shareholders) and agreed with the Company. In respect of the payment of any dividend or other money, the Directors can decide and notify shareholders that: (i) one or more of the payment means described in paragraph above will be used for payment and, where more than one means will be used, a shareholder (or all joint shareholders) may elect to receive payment by one of the means so notified in the manner prescribed by the directors; (ii) one or more of such means will be used for the payment unless a shareholder (or all joint shareholders) elects for another means of payment in the manner prescribed by the Directors; or (iii)one or more of such means will be used for the payment and that</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shareholders will not be able to elect to receive the payment by any other means.</w:t>
      </w:r>
    </w:p>
    <w:p>
      <w:pPr>
        <w:spacing w:after="0" w:line="149" w:lineRule="exact"/>
        <w:rPr>
          <w:sz w:val="20"/>
          <w:szCs w:val="20"/>
          <w:color w:val="auto"/>
        </w:rPr>
      </w:pPr>
    </w:p>
    <w:p>
      <w:pPr>
        <w:ind w:right="60"/>
        <w:spacing w:after="0" w:line="296" w:lineRule="auto"/>
        <w:rPr>
          <w:sz w:val="20"/>
          <w:szCs w:val="20"/>
          <w:color w:val="auto"/>
        </w:rPr>
      </w:pPr>
      <w:r>
        <w:rPr>
          <w:rFonts w:ascii="Arial" w:cs="Arial" w:eastAsia="Arial" w:hAnsi="Arial"/>
          <w:sz w:val="8"/>
          <w:szCs w:val="8"/>
          <w:color w:val="auto"/>
        </w:rPr>
        <w:t>And for these purposes the Directors can decide that different means of payment will apply to different shareholders or groups of shareholders. If: (i) a shareholder (or all joint shareholders) does not specify an address, or does not (i) specify an account of a type prescribed by the Directors, or does not specify other details, and in each case that information is necessary in order to make a payment of a dividend or other money in the way in which under this Article the directors have decided that the payment is to be made or by which the shareholder (or all joint shareholders) has validly elected to receive the payment; or (ii) payment cannot be made by the company using the information provided by the shareholder (or all joint shareholders), then the dividend or other money will be treated as unclaimed for the purposes of these articles.</w:t>
      </w:r>
    </w:p>
    <w:p>
      <w:pPr>
        <w:spacing w:after="0" w:line="237" w:lineRule="exact"/>
        <w:rPr>
          <w:sz w:val="20"/>
          <w:szCs w:val="20"/>
          <w:color w:val="auto"/>
        </w:rPr>
      </w:pPr>
    </w:p>
    <w:p>
      <w:pPr>
        <w:jc w:val="both"/>
        <w:spacing w:after="0" w:line="267" w:lineRule="auto"/>
        <w:rPr>
          <w:sz w:val="20"/>
          <w:szCs w:val="20"/>
          <w:color w:val="auto"/>
        </w:rPr>
      </w:pPr>
      <w:r>
        <w:rPr>
          <w:rFonts w:ascii="Arial" w:cs="Arial" w:eastAsia="Arial" w:hAnsi="Arial"/>
          <w:sz w:val="8"/>
          <w:szCs w:val="8"/>
          <w:color w:val="auto"/>
        </w:rPr>
        <w:t>The Company will not be responsible for a payment which is lost or delayed. Unless the rights attached to any shares, the terms of any shares or the Articles say otherwise, a dividend or any other money payable in respect of a share can be declared and paid in whatever currency or currencies the Board decides using an exchange rate or exchange rates selected by the Board for any currency conversions required. The Board can also decide how any costs relating to the choice of currency will be met. The Board can offer shareholders the choice to receive dividends and other money payable in respect of their shares in alternative currencies on such terms and conditions as the Board may prescribe from time to time. Where any dividends or other amounts payable on a share have not been claimed, the Board can invest them or use them in any other way for the Company’s benefit until they are claimed. The Company will not be a trustee of the money and will not be liable to pay interest on it. If a dividend or other money has not been claimed for 12 years after being declared or becoming due for payment, it will be forfeited and go back to the Company, unless the Board decides otherwise.</w:t>
      </w:r>
    </w:p>
    <w:p>
      <w:pPr>
        <w:spacing w:after="0" w:line="132" w:lineRule="exact"/>
        <w:rPr>
          <w:sz w:val="20"/>
          <w:szCs w:val="20"/>
          <w:color w:val="auto"/>
        </w:rPr>
      </w:pPr>
    </w:p>
    <w:p>
      <w:pPr>
        <w:ind w:right="20"/>
        <w:spacing w:after="0" w:line="265" w:lineRule="auto"/>
        <w:rPr>
          <w:sz w:val="20"/>
          <w:szCs w:val="20"/>
          <w:color w:val="auto"/>
        </w:rPr>
      </w:pPr>
      <w:r>
        <w:rPr>
          <w:rFonts w:ascii="Arial" w:cs="Arial" w:eastAsia="Arial" w:hAnsi="Arial"/>
          <w:sz w:val="8"/>
          <w:szCs w:val="8"/>
          <w:color w:val="auto"/>
        </w:rPr>
        <w:t>The Company expects that dividends in respect of B shares will be paid under the dividend access mechanism described below. Currently, the Articles provide that if any amount paid by way of dividend by a subsidiary of the Company is received by the dividend access trustee on behalf of any holder of B shares and paid by the dividend access trustee to such holder, the entitlement of such holder of B shares to be paid any dividend declared pursuant to the Articles will be reduced by the corresponding amount that has been paid by the dividend access trustee to such holder. If a dividend is declared pursuant to the Articles and the entitlement of any holder of B shares to be paid his pro rata share of such dividend is not fully extinguished on the relevant payment date by virtue of a payment made by the dividend access trustee, the Company has a full and unconditional obligation to make payment in respect of the outstanding part of such dividend entitlement immediately. Where amounts are paid by the dividend access trustee in one currency and a dividend is declared by the Company in another currency, the amounts so paid by the dividend access trustee will, for the purposes of the comparison required by the two immediately preceding sentences, be converted into the currency in which the Company has declared the dividend at such rate as the Board shall consider appropriate. For the purposes of the provisions referred to in this paragraph, the amount that</w:t>
      </w:r>
    </w:p>
    <w:p>
      <w:pPr>
        <w:sectPr>
          <w:pgSz w:w="11900" w:h="16838" w:orient="portrait"/>
          <w:cols w:equalWidth="0" w:num="2">
            <w:col w:w="5680" w:space="240"/>
            <w:col w:w="5260"/>
          </w:cols>
          <w:pgMar w:left="300" w:top="640" w:right="419" w:bottom="1440" w:gutter="0" w:footer="0" w:header="0"/>
        </w:sectPr>
      </w:pPr>
    </w:p>
    <w:bookmarkStart w:id="156" w:name="page157"/>
    <w:bookmarkEnd w:id="156"/>
    <w:p>
      <w:pPr>
        <w:spacing w:after="0" w:line="9" w:lineRule="exact"/>
        <w:rPr>
          <w:sz w:val="20"/>
          <w:szCs w:val="20"/>
          <w:color w:val="auto"/>
        </w:rPr>
      </w:pPr>
    </w:p>
    <w:p>
      <w:pPr>
        <w:ind w:right="480"/>
        <w:spacing w:after="0" w:line="271" w:lineRule="auto"/>
        <w:rPr>
          <w:sz w:val="20"/>
          <w:szCs w:val="20"/>
          <w:color w:val="auto"/>
        </w:rPr>
      </w:pPr>
      <w:r>
        <w:rPr>
          <w:rFonts w:ascii="Arial" w:cs="Arial" w:eastAsia="Arial" w:hAnsi="Arial"/>
          <w:sz w:val="8"/>
          <w:szCs w:val="8"/>
          <w:color w:val="auto"/>
        </w:rPr>
        <w:t>the dividend access trustee has paid to any holder of B shares in respect of any particular dividend paid by a subsidiary of the Company (a “specified dividend”) will be deemed to include: (i) any amount that the dividend access trustee may be compelled by law to withhold; (ii) a pro rata share of any tax that the subsidiary paying the specified dividend is obliged to withhold or to deduct from the same; and (iii) a pro rata share of any tax that is payable by the dividend access trustee in respect of the specified dividend. The Board can offer shareholders of ordinary shares (excluding any shareholder holding shares as treasury shares) the right to choose to receive extra ordinary shares, which are credited as fully paid up, instead of some or all of their cash dividend. Before the Board can do this, shareholders must have passed an ordinary resolution authorising the Board to make this offer.</w:t>
      </w:r>
    </w:p>
    <w:p>
      <w:pPr>
        <w:spacing w:after="0" w:line="12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Dividend access mechanism for B shares</w:t>
      </w:r>
    </w:p>
    <w:p>
      <w:pPr>
        <w:spacing w:after="0" w:line="231" w:lineRule="auto"/>
        <w:rPr>
          <w:sz w:val="20"/>
          <w:szCs w:val="20"/>
          <w:color w:val="auto"/>
        </w:rPr>
      </w:pPr>
      <w:r>
        <w:rPr>
          <w:rFonts w:ascii="Arial" w:cs="Arial" w:eastAsia="Arial" w:hAnsi="Arial"/>
          <w:sz w:val="10"/>
          <w:szCs w:val="10"/>
          <w:b w:val="1"/>
          <w:bCs w:val="1"/>
          <w:color w:val="auto"/>
        </w:rPr>
        <w:t>General</w:t>
      </w:r>
    </w:p>
    <w:p>
      <w:pPr>
        <w:ind w:right="500"/>
        <w:spacing w:after="0" w:line="231" w:lineRule="auto"/>
        <w:rPr>
          <w:sz w:val="20"/>
          <w:szCs w:val="20"/>
          <w:color w:val="auto"/>
        </w:rPr>
      </w:pPr>
      <w:r>
        <w:rPr>
          <w:rFonts w:ascii="Arial" w:cs="Arial" w:eastAsia="Arial" w:hAnsi="Arial"/>
          <w:sz w:val="10"/>
          <w:szCs w:val="10"/>
          <w:color w:val="auto"/>
        </w:rPr>
        <w:t>A and B shares are identical, except for the dividend access mechanism, which will only apply to B shares. Dividends paid on A shares have a Dutch source for tax purposes and are subject to Dutch withholding tax.</w:t>
      </w:r>
    </w:p>
    <w:p>
      <w:pPr>
        <w:spacing w:after="0" w:line="149" w:lineRule="exact"/>
        <w:rPr>
          <w:sz w:val="20"/>
          <w:szCs w:val="20"/>
          <w:color w:val="auto"/>
        </w:rPr>
      </w:pPr>
    </w:p>
    <w:p>
      <w:pPr>
        <w:ind w:right="440"/>
        <w:spacing w:after="0" w:line="307" w:lineRule="auto"/>
        <w:rPr>
          <w:sz w:val="20"/>
          <w:szCs w:val="20"/>
          <w:color w:val="auto"/>
        </w:rPr>
      </w:pPr>
      <w:r>
        <w:rPr>
          <w:rFonts w:ascii="Arial" w:cs="Arial" w:eastAsia="Arial" w:hAnsi="Arial"/>
          <w:sz w:val="8"/>
          <w:szCs w:val="8"/>
          <w:color w:val="auto"/>
        </w:rPr>
        <w:t>It is the expectation and the intention, although there can be no certainty, that holders of B shares will receive dividends through the dividend access mechanism. Any dividends paid on the dividend access shares will have a UK source for UK and Dutch tax purposes. There will be no Dutch withholding tax on such dividends. For further details regarding the tax treatment of dividends paid on the A and B shares and American Depositary Shares (ADS), refer to “Shareholder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Description of dividend access mechanism</w:t>
      </w:r>
    </w:p>
    <w:p>
      <w:pPr>
        <w:spacing w:after="0" w:line="3" w:lineRule="exact"/>
        <w:rPr>
          <w:sz w:val="20"/>
          <w:szCs w:val="20"/>
          <w:color w:val="auto"/>
        </w:rPr>
      </w:pPr>
    </w:p>
    <w:p>
      <w:pPr>
        <w:ind w:right="480"/>
        <w:spacing w:after="0" w:line="289" w:lineRule="auto"/>
        <w:rPr>
          <w:sz w:val="20"/>
          <w:szCs w:val="20"/>
          <w:color w:val="auto"/>
        </w:rPr>
      </w:pPr>
      <w:r>
        <w:rPr>
          <w:rFonts w:ascii="Arial" w:cs="Arial" w:eastAsia="Arial" w:hAnsi="Arial"/>
          <w:sz w:val="8"/>
          <w:szCs w:val="8"/>
          <w:color w:val="auto"/>
        </w:rPr>
        <w:t>The “Shell” Transport and Trading Company, p.l.c., now The Shell Transport and Trading Company Limited (Shell Transport), and BG Group plc, now BG Group Limited (BG), have each issued a dividend access share to Computershare Trustees (Jersey) Limited as Trustee. Pursuant to a declaration of trust, the Trustee will hold any dividends paid in respect of the dividend access shares on trust for the holders of B shares and will arrange for prompt disbursement of such dividends to holders of B shares. Interest and other income earned on unclaimed dividends will be for the account of Shell Transport and BG and any dividends which are unclaimed after 12 years will revert to Shell Transport and BG, as appropriate. Holders of B shares will not have any interest in either dividend access share and will not have any rights against Shell Transport and BG as issuers of the dividend access shares. The only assets held on trust for the benefit of the holders of B shares will be dividends paid to the Trustee in respect of the dividend access shares.</w:t>
      </w:r>
    </w:p>
    <w:p>
      <w:pPr>
        <w:spacing w:after="0" w:line="123" w:lineRule="exact"/>
        <w:rPr>
          <w:sz w:val="20"/>
          <w:szCs w:val="20"/>
          <w:color w:val="auto"/>
        </w:rPr>
      </w:pPr>
    </w:p>
    <w:p>
      <w:pPr>
        <w:ind w:right="440"/>
        <w:spacing w:after="0" w:line="254" w:lineRule="auto"/>
        <w:rPr>
          <w:sz w:val="20"/>
          <w:szCs w:val="20"/>
          <w:color w:val="auto"/>
        </w:rPr>
      </w:pPr>
      <w:r>
        <w:rPr>
          <w:rFonts w:ascii="Arial" w:cs="Arial" w:eastAsia="Arial" w:hAnsi="Arial"/>
          <w:sz w:val="8"/>
          <w:szCs w:val="8"/>
          <w:color w:val="auto"/>
        </w:rPr>
        <w:t>The declaration and payment of dividends on the dividend access shares will require board action by Shell Transport and BG (as applicable) and will be subject to any applicable limitations in law or in the Shell Transport or BG (as appropriate) articles of association in effect. In no event will the aggregate amount of the dividend paid by Shell Transport and BG under the dividend access mechanism for a particular period exceed the aggregate of the dividend announced by the Board of the Company on B shares in respect of the same period (after giving effect to currency conversions).</w:t>
      </w:r>
    </w:p>
    <w:p>
      <w:pPr>
        <w:spacing w:after="0" w:line="134" w:lineRule="exact"/>
        <w:rPr>
          <w:sz w:val="20"/>
          <w:szCs w:val="20"/>
          <w:color w:val="auto"/>
        </w:rPr>
      </w:pPr>
    </w:p>
    <w:p>
      <w:pPr>
        <w:ind w:right="540"/>
        <w:spacing w:after="0" w:line="299" w:lineRule="auto"/>
        <w:rPr>
          <w:sz w:val="20"/>
          <w:szCs w:val="20"/>
          <w:color w:val="auto"/>
        </w:rPr>
      </w:pPr>
      <w:r>
        <w:rPr>
          <w:rFonts w:ascii="Arial" w:cs="Arial" w:eastAsia="Arial" w:hAnsi="Arial"/>
          <w:sz w:val="8"/>
          <w:szCs w:val="8"/>
          <w:color w:val="auto"/>
        </w:rPr>
        <w:t>In particular, under their respective articles of association, Shell Transport and BG are each only able to pay a dividend on their respective dividend access share which represents a proportional amount of the aggregate of any dividend announced by the Company on the B shares in respect of the relevant period, where such proportions are calculated by reference to, in the case of Shell Transport, the number of B shares in existence prior to completion of the Company’s acquisition of BG (the Acquisition) and, in the case of BG, the number of B shares issued as part of the Acquisition, in each case as against the total number of B shares in issue immediately following completion of the Acquisition.</w:t>
      </w: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Operation of the dividend access mechanism</w:t>
      </w:r>
    </w:p>
    <w:p>
      <w:pPr>
        <w:spacing w:after="0" w:line="3" w:lineRule="exact"/>
        <w:rPr>
          <w:sz w:val="20"/>
          <w:szCs w:val="20"/>
          <w:color w:val="auto"/>
        </w:rPr>
      </w:pPr>
    </w:p>
    <w:p>
      <w:pPr>
        <w:ind w:right="560"/>
        <w:spacing w:after="0" w:line="300" w:lineRule="auto"/>
        <w:rPr>
          <w:sz w:val="20"/>
          <w:szCs w:val="20"/>
          <w:color w:val="auto"/>
        </w:rPr>
      </w:pPr>
      <w:r>
        <w:rPr>
          <w:rFonts w:ascii="Arial" w:cs="Arial" w:eastAsia="Arial" w:hAnsi="Arial"/>
          <w:sz w:val="8"/>
          <w:szCs w:val="8"/>
          <w:color w:val="auto"/>
        </w:rPr>
        <w:t>If, in connection with the announcement of a dividend by the Company on B shares, the Board of Shell Transport and/or the Board of BG elects to declare and pay a dividend on their respective dividend access shares to the Trustee, the holders of B shares will be beneficially entitled to receive their share of those dividends pursuant to the declaration of trust (and arrangements will be made to ensure that the dividend is paid in the same currency in which they would have received a dividend from the Company).</w:t>
      </w:r>
    </w:p>
    <w:p>
      <w:pPr>
        <w:spacing w:after="0" w:line="117" w:lineRule="exact"/>
        <w:rPr>
          <w:sz w:val="20"/>
          <w:szCs w:val="20"/>
          <w:color w:val="auto"/>
        </w:rPr>
      </w:pPr>
    </w:p>
    <w:p>
      <w:pPr>
        <w:ind w:right="440"/>
        <w:spacing w:after="0" w:line="220" w:lineRule="auto"/>
        <w:rPr>
          <w:sz w:val="20"/>
          <w:szCs w:val="20"/>
          <w:color w:val="auto"/>
        </w:rPr>
      </w:pPr>
      <w:r>
        <w:rPr>
          <w:rFonts w:ascii="Arial" w:cs="Arial" w:eastAsia="Arial" w:hAnsi="Arial"/>
          <w:sz w:val="10"/>
          <w:szCs w:val="10"/>
          <w:color w:val="auto"/>
        </w:rPr>
        <w:t>If any amount is paid by Shell Transport or BG by way of a dividend on the dividend access shares and paid by the Trustee to any holder of B shares, the dividend which the Company would otherwise pay on B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2260" w:type="dxa"/>
            <w:vAlign w:val="bottom"/>
          </w:tcPr>
          <w:p>
            <w:pPr>
              <w:jc w:val="right"/>
              <w:spacing w:after="0"/>
              <w:rPr>
                <w:sz w:val="20"/>
                <w:szCs w:val="20"/>
                <w:color w:val="auto"/>
              </w:rPr>
            </w:pPr>
            <w:r>
              <w:rPr>
                <w:rFonts w:ascii="Arial" w:cs="Arial" w:eastAsia="Arial" w:hAnsi="Arial"/>
                <w:sz w:val="7"/>
                <w:szCs w:val="7"/>
                <w:color w:val="auto"/>
              </w:rPr>
              <w:t>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will be reduced by an amount equal to the amount paid to such holders of B shares by the Trustee.</w:t>
      </w:r>
    </w:p>
    <w:p>
      <w:pPr>
        <w:spacing w:after="0" w:line="146" w:lineRule="exact"/>
        <w:rPr>
          <w:sz w:val="20"/>
          <w:szCs w:val="20"/>
          <w:color w:val="auto"/>
        </w:rPr>
      </w:pPr>
    </w:p>
    <w:p>
      <w:pPr>
        <w:ind w:right="80"/>
        <w:spacing w:after="0" w:line="296" w:lineRule="auto"/>
        <w:rPr>
          <w:sz w:val="20"/>
          <w:szCs w:val="20"/>
          <w:color w:val="auto"/>
        </w:rPr>
      </w:pPr>
      <w:r>
        <w:rPr>
          <w:rFonts w:ascii="Arial" w:cs="Arial" w:eastAsia="Arial" w:hAnsi="Arial"/>
          <w:sz w:val="8"/>
          <w:szCs w:val="8"/>
          <w:color w:val="auto"/>
        </w:rPr>
        <w:t>The Company will have a full and unconditional obligation, in the event that the Trustee does not pay an amount to holders of B shares on a cash dividend payment date (even if that amount has been paid to the Trustee), to pay immediately the dividend announced on B shares. The right of holders of B shares to receive distributions from the Trustee will be reduced by an amount equal to the amount of any payment actually made by the Company on account of any dividend on B shares. If for any reason no dividend is paid on the dividend access shares, holders of B shares will only receive dividends from the Company directly. Any payment by the Company will be subject to Dutch withholding tax (unless an exemption is obtained under Dutch law or under the provisions of an applicable tax treaty).</w:t>
      </w:r>
    </w:p>
    <w:p>
      <w:pPr>
        <w:spacing w:after="0" w:line="237" w:lineRule="exact"/>
        <w:rPr>
          <w:sz w:val="20"/>
          <w:szCs w:val="20"/>
          <w:color w:val="auto"/>
        </w:rPr>
      </w:pPr>
    </w:p>
    <w:p>
      <w:pPr>
        <w:ind w:right="60"/>
        <w:spacing w:after="0" w:line="297" w:lineRule="auto"/>
        <w:rPr>
          <w:sz w:val="20"/>
          <w:szCs w:val="20"/>
          <w:color w:val="auto"/>
        </w:rPr>
      </w:pPr>
      <w:r>
        <w:rPr>
          <w:rFonts w:ascii="Arial" w:cs="Arial" w:eastAsia="Arial" w:hAnsi="Arial"/>
          <w:sz w:val="8"/>
          <w:szCs w:val="8"/>
          <w:color w:val="auto"/>
        </w:rPr>
        <w:t>The Dutch tax treatment of dividends paid under the dividend access mechanism has been confirmed by the Dutch Revenue Service in an agreement (vaststellingsovereenkomst) with the Company and N.V. Koninklijke Nederlandsche Petroleum Maatschappij (Royal Dutch Petroleum Company) dated October 26, 2004, as supplemented and amended by an agreement between the same parties dated April 25, 2005, and a final settlement agreement in connection with the Acquisition dated November 9, 2015. The agreements state, among other things, that dividend distributions on the dividend access shares by Shell Transport and/or BG will not be subject to Dutch withholding tax provided that the dividend access mechanism is structured and operated substantially as set out above.</w:t>
      </w:r>
    </w:p>
    <w:p>
      <w:pPr>
        <w:spacing w:after="0" w:line="118" w:lineRule="exact"/>
        <w:rPr>
          <w:sz w:val="20"/>
          <w:szCs w:val="20"/>
          <w:color w:val="auto"/>
        </w:rPr>
      </w:pPr>
    </w:p>
    <w:p>
      <w:pPr>
        <w:ind w:right="140"/>
        <w:spacing w:after="0" w:line="220" w:lineRule="auto"/>
        <w:rPr>
          <w:sz w:val="20"/>
          <w:szCs w:val="20"/>
          <w:color w:val="auto"/>
        </w:rPr>
      </w:pPr>
      <w:r>
        <w:rPr>
          <w:rFonts w:ascii="Arial" w:cs="Arial" w:eastAsia="Arial" w:hAnsi="Arial"/>
          <w:sz w:val="10"/>
          <w:szCs w:val="10"/>
          <w:color w:val="auto"/>
        </w:rPr>
        <w:t>The Company may not extend the dividend access mechanism to any future issuances of B shares without prior consultation with the Dutch Revenue Service.</w:t>
      </w:r>
    </w:p>
    <w:p>
      <w:pPr>
        <w:spacing w:after="0" w:line="140" w:lineRule="exact"/>
        <w:rPr>
          <w:sz w:val="20"/>
          <w:szCs w:val="20"/>
          <w:color w:val="auto"/>
        </w:rPr>
      </w:pPr>
    </w:p>
    <w:p>
      <w:pPr>
        <w:jc w:val="both"/>
        <w:ind w:right="220"/>
        <w:spacing w:after="0" w:line="320" w:lineRule="auto"/>
        <w:rPr>
          <w:sz w:val="20"/>
          <w:szCs w:val="20"/>
          <w:color w:val="auto"/>
        </w:rPr>
      </w:pPr>
      <w:r>
        <w:rPr>
          <w:rFonts w:ascii="Arial" w:cs="Arial" w:eastAsia="Arial" w:hAnsi="Arial"/>
          <w:sz w:val="8"/>
          <w:szCs w:val="8"/>
          <w:color w:val="auto"/>
        </w:rPr>
        <w:t>Accordingly, the Company would not expect to issue additional B shares unless confirmation from the Dutch Revenue Service was obtained or the Company were to determine that the continued operation of the dividend access mechanism was unnecessary. Any further issue of B shares is subject to advance consultation with the Dutch Revenue Service.</w:t>
      </w:r>
    </w:p>
    <w:p>
      <w:pPr>
        <w:spacing w:after="0" w:line="127" w:lineRule="exact"/>
        <w:rPr>
          <w:sz w:val="20"/>
          <w:szCs w:val="20"/>
          <w:color w:val="auto"/>
        </w:rPr>
      </w:pPr>
    </w:p>
    <w:p>
      <w:pPr>
        <w:ind w:right="20"/>
        <w:spacing w:after="0" w:line="250" w:lineRule="auto"/>
        <w:rPr>
          <w:sz w:val="20"/>
          <w:szCs w:val="20"/>
          <w:color w:val="auto"/>
        </w:rPr>
      </w:pPr>
      <w:r>
        <w:rPr>
          <w:rFonts w:ascii="Arial" w:cs="Arial" w:eastAsia="Arial" w:hAnsi="Arial"/>
          <w:sz w:val="10"/>
          <w:szCs w:val="10"/>
          <w:color w:val="auto"/>
        </w:rPr>
        <w:t>The dividend access mechanism may be suspended or terminated at any time by the Company’s Directors or the Directors of Shell Transport or BG, for any reason and without financial recompense. This might, for instance, occur in response to changes in relevant tax legislation.</w:t>
      </w:r>
    </w:p>
    <w:p>
      <w:pPr>
        <w:spacing w:after="0" w:line="154" w:lineRule="exact"/>
        <w:rPr>
          <w:sz w:val="20"/>
          <w:szCs w:val="20"/>
          <w:color w:val="auto"/>
        </w:rPr>
      </w:pPr>
    </w:p>
    <w:p>
      <w:pPr>
        <w:jc w:val="both"/>
        <w:ind w:right="60"/>
        <w:spacing w:after="0" w:line="382" w:lineRule="auto"/>
        <w:rPr>
          <w:sz w:val="20"/>
          <w:szCs w:val="20"/>
          <w:color w:val="auto"/>
        </w:rPr>
      </w:pPr>
      <w:r>
        <w:rPr>
          <w:rFonts w:ascii="Arial" w:cs="Arial" w:eastAsia="Arial" w:hAnsi="Arial"/>
          <w:sz w:val="8"/>
          <w:szCs w:val="8"/>
          <w:color w:val="auto"/>
        </w:rPr>
        <w:t>The daily operations of the Trust are administered on behalf of the Company by the Trustee. Material financial information of the Trust is included in the “Consolidated Financial Statements” and is therefore subject to the same disclosure controls and procedures as Shell.</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Pre-emption rights</w:t>
      </w:r>
    </w:p>
    <w:p>
      <w:pPr>
        <w:spacing w:after="0" w:line="3" w:lineRule="exact"/>
        <w:rPr>
          <w:sz w:val="20"/>
          <w:szCs w:val="20"/>
          <w:color w:val="auto"/>
        </w:rPr>
      </w:pPr>
    </w:p>
    <w:p>
      <w:pPr>
        <w:ind w:right="20"/>
        <w:spacing w:after="0" w:line="309" w:lineRule="auto"/>
        <w:rPr>
          <w:sz w:val="20"/>
          <w:szCs w:val="20"/>
          <w:color w:val="auto"/>
        </w:rPr>
      </w:pPr>
      <w:r>
        <w:rPr>
          <w:rFonts w:ascii="Arial" w:cs="Arial" w:eastAsia="Arial" w:hAnsi="Arial"/>
          <w:sz w:val="8"/>
          <w:szCs w:val="8"/>
          <w:color w:val="auto"/>
        </w:rPr>
        <w:t>Subject to the Act and the Listing Rules published by the UK‘s Financial Conduct Authority (FCA), any equity securities allotted by the Company for cash must first be offered to shareholders in proportion to their holdings. The Act and the Listing Rules allow for the disapplication of pre-emption rights which may be waived by a special resolution of the shareholders, either generally or specifically.</w:t>
      </w:r>
    </w:p>
    <w:p>
      <w:pPr>
        <w:spacing w:after="0" w:line="28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VOTING</w:t>
      </w:r>
    </w:p>
    <w:p>
      <w:pPr>
        <w:spacing w:after="0" w:line="3" w:lineRule="exact"/>
        <w:rPr>
          <w:sz w:val="20"/>
          <w:szCs w:val="20"/>
          <w:color w:val="auto"/>
        </w:rPr>
      </w:pPr>
    </w:p>
    <w:p>
      <w:pPr>
        <w:spacing w:after="0" w:line="231" w:lineRule="auto"/>
        <w:rPr>
          <w:sz w:val="20"/>
          <w:szCs w:val="20"/>
          <w:color w:val="auto"/>
        </w:rPr>
      </w:pPr>
      <w:r>
        <w:rPr>
          <w:rFonts w:ascii="Arial" w:cs="Arial" w:eastAsia="Arial" w:hAnsi="Arial"/>
          <w:sz w:val="10"/>
          <w:szCs w:val="10"/>
          <w:color w:val="auto"/>
        </w:rPr>
        <w:t>Currently, only the A and B shares have voting rights. The voting rights of each A share and each B share are equal and carry one vote at a general meeting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Changing the rights attached to the shares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The Act provides that the Articles can be amended by a special resolution.</w:t>
      </w:r>
    </w:p>
    <w:p>
      <w:pPr>
        <w:spacing w:after="0" w:line="149" w:lineRule="exact"/>
        <w:rPr>
          <w:sz w:val="20"/>
          <w:szCs w:val="20"/>
          <w:color w:val="auto"/>
        </w:rPr>
      </w:pPr>
    </w:p>
    <w:p>
      <w:pPr>
        <w:ind w:right="20"/>
        <w:spacing w:after="0" w:line="299" w:lineRule="auto"/>
        <w:rPr>
          <w:sz w:val="20"/>
          <w:szCs w:val="20"/>
          <w:color w:val="auto"/>
        </w:rPr>
      </w:pPr>
      <w:r>
        <w:rPr>
          <w:rFonts w:ascii="Arial" w:cs="Arial" w:eastAsia="Arial" w:hAnsi="Arial"/>
          <w:sz w:val="8"/>
          <w:szCs w:val="8"/>
          <w:color w:val="auto"/>
        </w:rPr>
        <w:t>The Articles provide that, if the legislation allows this, the rights attached to any class of shares can be changed if this is approved either in writing by shareholders holding at least three-quarters of the issued shares of that class by amount (excluding any shares of that class held as treasury shares) or by a special resolution passed at a separate meeting of the relevant shareholders. At each such separate meeting, all of the provisions of the Articles relating to proceedings at a general meeting apply, except that: (i) a quorum will be present if at least one shareholder who is entitled to vote is present in person or by proxy who owns at least one-third in amount of the issued shares of the relevant class; (ii) any shareholder who</w:t>
      </w:r>
    </w:p>
    <w:p>
      <w:pPr>
        <w:sectPr>
          <w:pgSz w:w="11900" w:h="16838" w:orient="portrait"/>
          <w:cols w:equalWidth="0" w:num="2">
            <w:col w:w="5680" w:space="240"/>
            <w:col w:w="5260"/>
          </w:cols>
          <w:pgMar w:left="300" w:top="631" w:right="419" w:bottom="1440" w:gutter="0" w:footer="0" w:header="0"/>
        </w:sectPr>
      </w:pPr>
    </w:p>
    <w:bookmarkStart w:id="157" w:name="page158"/>
    <w:bookmarkEnd w:id="157"/>
    <w:p>
      <w:pPr>
        <w:jc w:val="both"/>
        <w:ind w:right="460"/>
        <w:spacing w:after="0" w:line="358" w:lineRule="auto"/>
        <w:rPr>
          <w:sz w:val="20"/>
          <w:szCs w:val="20"/>
          <w:color w:val="auto"/>
        </w:rPr>
      </w:pPr>
      <w:r>
        <w:rPr>
          <w:rFonts w:ascii="Arial" w:cs="Arial" w:eastAsia="Arial" w:hAnsi="Arial"/>
          <w:sz w:val="8"/>
          <w:szCs w:val="8"/>
          <w:color w:val="auto"/>
        </w:rPr>
        <w:t>is present in person or by proxy and entitled to vote can demand a poll; and (iii) at an adjourned meeting, one person entitled to vote and who holds shares of the class, or his proxy, will be a quorum. These provisions are not more restrictive than required by law in England.</w:t>
      </w:r>
    </w:p>
    <w:p>
      <w:pPr>
        <w:spacing w:after="0" w:line="104" w:lineRule="exact"/>
        <w:rPr>
          <w:sz w:val="20"/>
          <w:szCs w:val="20"/>
          <w:color w:val="auto"/>
        </w:rPr>
      </w:pPr>
    </w:p>
    <w:p>
      <w:pPr>
        <w:ind w:right="480"/>
        <w:spacing w:after="0" w:line="234" w:lineRule="auto"/>
        <w:rPr>
          <w:sz w:val="20"/>
          <w:szCs w:val="20"/>
          <w:color w:val="auto"/>
        </w:rPr>
      </w:pPr>
      <w:r>
        <w:rPr>
          <w:rFonts w:ascii="Arial" w:cs="Arial" w:eastAsia="Arial" w:hAnsi="Arial"/>
          <w:sz w:val="10"/>
          <w:szCs w:val="10"/>
          <w:color w:val="auto"/>
        </w:rPr>
        <w:t>If new shares are created or issued which rank equally with any other existing shares, or if the company purchases or redeems any of its own shares, the rights of the existing shares will not be regarded as changed or abrogated unless the terms of the existing shares expressly say otherwise.</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Redemption provisions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The Company’s shares are not subject to any redemption provisions.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Rights attaching to the sterling deferred shares</w:t>
      </w:r>
    </w:p>
    <w:p>
      <w:pPr>
        <w:spacing w:after="0" w:line="3" w:lineRule="exact"/>
        <w:rPr>
          <w:sz w:val="20"/>
          <w:szCs w:val="20"/>
          <w:color w:val="auto"/>
        </w:rPr>
      </w:pPr>
    </w:p>
    <w:p>
      <w:pPr>
        <w:ind w:right="440"/>
        <w:spacing w:after="0" w:line="284" w:lineRule="auto"/>
        <w:rPr>
          <w:sz w:val="20"/>
          <w:szCs w:val="20"/>
          <w:color w:val="auto"/>
        </w:rPr>
      </w:pPr>
      <w:r>
        <w:rPr>
          <w:rFonts w:ascii="Arial" w:cs="Arial" w:eastAsia="Arial" w:hAnsi="Arial"/>
          <w:sz w:val="8"/>
          <w:szCs w:val="8"/>
          <w:color w:val="auto"/>
        </w:rPr>
        <w:t>The sterling deferred shares are (unlike the A and B shares) not ordinary shares and, therefore, they have different rights and restrictions. The sterling deferred shares have the following rights and restrictions: (i) on a distribution of assets of the Company among its shareholders on a winding-up, the holders of the sterling deferred shares will be entitled (such entitlement ranking in priority to the rights of holders of ordinary shares) to receive an amount equal to the aggregate of the capital paid up or credited as paid up on each sterling deferred share; (ii) save as provided in (i), the holders of the sterling deferred shares will not be entitled to any participation in the profits or assets of the Company; (iii) the holders of sterling deferred shares will not be entitled to receive notice of or to attend and/or speak or vote (whether on a show of hands or on a poll) at general meetings of the Company; (iv) the written consent of the holders of three quarters in nominal value of the issued sterling deferred shares or the sanction of a special resolution passed at a separate general meeting of the holders of the sterling deferred shares is required if the special rights and privileges attaching to the sterling deferred shares are to be abrogated, or adversely varied or otherwise directly adversely affected in any way (the creation, allotment or issue of shares or securities which rank in priority to or equally with the sterling deferred shares, or of any right to call for the allotment or issue of such shares or securities, is for these purposes deemed not to be an abrogation or variation or to have an effect on the rights and privileges attaching to sterling deferred shares); all provisions of the Articles relating to general meetings of the Company will apply, with necessary modifications, to every general meeting of the holders of the sterling deferred shares; (vi) subject to the legislation, the Company will have the right at any time to redeem any such sterling deferred shares (provided that it is credited as fully paid) at a price not exceeding £1 for all the sterling deferred shares redeemed at any one time (to be paid on such date as the Board shall select as the date of redemption to such one of the holders, if more than one, as may be selected by lot) without the requirement to give notice to the holder(s) of the sterling deferred shares; (vii) if any holder of a sterling deferred share to be redeemed fails or refuses to surrender the share certificate(s) or indemnity for such sterling deferred share or if the holder selected by lot to receive the redemption monies fails or refuses to accept the redemption monies payable in respect of it, such sterling deferred share will, notwithstanding the foregoing, be redeemed and cancelled by the Company and, in the event of a failure or refusal to accept the redemption monies, the Company will retain such money and hold it on trust for the selected holder without interest, and, in each case, the Company will have no further obligation whatsoever to the holder of such sterling deferred share; and (viii) no sterling deferred share will be redeemed otherwise than out of distributable profits or the proceeds of a fresh issue of shares made for the purposes of the redemption or out of capital to the extent permitted by the legislation.</w:t>
      </w:r>
    </w:p>
    <w:p>
      <w:pPr>
        <w:spacing w:after="0" w:line="34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Calls on shares</w:t>
      </w:r>
    </w:p>
    <w:p>
      <w:pPr>
        <w:spacing w:after="0" w:line="3" w:lineRule="exact"/>
        <w:rPr>
          <w:sz w:val="20"/>
          <w:szCs w:val="20"/>
          <w:color w:val="auto"/>
        </w:rPr>
      </w:pPr>
    </w:p>
    <w:p>
      <w:pPr>
        <w:ind w:right="500"/>
        <w:spacing w:after="0" w:line="229" w:lineRule="auto"/>
        <w:rPr>
          <w:sz w:val="20"/>
          <w:szCs w:val="20"/>
          <w:color w:val="auto"/>
        </w:rPr>
      </w:pPr>
      <w:r>
        <w:rPr>
          <w:rFonts w:ascii="Arial" w:cs="Arial" w:eastAsia="Arial" w:hAnsi="Arial"/>
          <w:sz w:val="10"/>
          <w:szCs w:val="10"/>
          <w:color w:val="auto"/>
        </w:rPr>
        <w:t>The Board can call on shareholders to pay any money which has not yet been paid to the Company for their shares. This includes the nominal value of the shares and any premium which may be payable on those shares. The Board can also make calls on people who are entitled to shares by law.</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Winding-up of the Company</w:t>
      </w:r>
    </w:p>
    <w:p>
      <w:pPr>
        <w:spacing w:after="0" w:line="3" w:lineRule="exact"/>
        <w:rPr>
          <w:sz w:val="20"/>
          <w:szCs w:val="20"/>
          <w:color w:val="auto"/>
        </w:rPr>
      </w:pPr>
    </w:p>
    <w:p>
      <w:pPr>
        <w:ind w:right="460"/>
        <w:spacing w:after="0" w:line="337" w:lineRule="auto"/>
        <w:rPr>
          <w:sz w:val="20"/>
          <w:szCs w:val="20"/>
          <w:color w:val="auto"/>
        </w:rPr>
      </w:pPr>
      <w:r>
        <w:rPr>
          <w:rFonts w:ascii="Arial" w:cs="Arial" w:eastAsia="Arial" w:hAnsi="Arial"/>
          <w:sz w:val="8"/>
          <w:szCs w:val="8"/>
          <w:color w:val="auto"/>
        </w:rPr>
        <w:t>If the Company is voluntarily wound up, the liquidator can distribute to shareholders any assets remaining after the liquidator’s fees and expenses have been paid and all sums due to prior-ranking creditors (as defined under the laws of England) have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2260" w:type="dxa"/>
            <w:vAlign w:val="bottom"/>
          </w:tcPr>
          <w:p>
            <w:pPr>
              <w:jc w:val="right"/>
              <w:spacing w:after="0"/>
              <w:rPr>
                <w:sz w:val="20"/>
                <w:szCs w:val="20"/>
                <w:color w:val="auto"/>
              </w:rPr>
            </w:pPr>
            <w:r>
              <w:rPr>
                <w:rFonts w:ascii="Arial" w:cs="Arial" w:eastAsia="Arial" w:hAnsi="Arial"/>
                <w:sz w:val="7"/>
                <w:szCs w:val="7"/>
                <w:color w:val="auto"/>
              </w:rPr>
              <w:t>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14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Sinking fund provisions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The shares are not subject to any sinking fund provision under the Articles or as a matter of the laws of England.</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Discriminating provisions</w:t>
      </w:r>
    </w:p>
    <w:p>
      <w:pPr>
        <w:spacing w:after="0" w:line="3" w:lineRule="exact"/>
        <w:rPr>
          <w:sz w:val="20"/>
          <w:szCs w:val="20"/>
          <w:color w:val="auto"/>
        </w:rPr>
      </w:pPr>
    </w:p>
    <w:p>
      <w:pPr>
        <w:spacing w:after="0"/>
        <w:rPr>
          <w:sz w:val="20"/>
          <w:szCs w:val="20"/>
          <w:color w:val="auto"/>
        </w:rPr>
      </w:pPr>
      <w:r>
        <w:rPr>
          <w:rFonts w:ascii="Arial" w:cs="Arial" w:eastAsia="Arial" w:hAnsi="Arial"/>
          <w:sz w:val="8"/>
          <w:szCs w:val="8"/>
          <w:color w:val="auto"/>
        </w:rPr>
        <w:t>There are no provisions in the Articles discriminating against a shareholder because of his ownership of a particular number of shares.</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Limitations on rights to own shares</w:t>
      </w:r>
    </w:p>
    <w:p>
      <w:pPr>
        <w:spacing w:after="0" w:line="3" w:lineRule="exact"/>
        <w:rPr>
          <w:sz w:val="20"/>
          <w:szCs w:val="20"/>
          <w:color w:val="auto"/>
        </w:rPr>
      </w:pPr>
    </w:p>
    <w:p>
      <w:pPr>
        <w:ind w:right="160"/>
        <w:spacing w:after="0" w:line="337" w:lineRule="auto"/>
        <w:rPr>
          <w:sz w:val="20"/>
          <w:szCs w:val="20"/>
          <w:color w:val="auto"/>
        </w:rPr>
      </w:pPr>
      <w:r>
        <w:rPr>
          <w:rFonts w:ascii="Arial" w:cs="Arial" w:eastAsia="Arial" w:hAnsi="Arial"/>
          <w:sz w:val="8"/>
          <w:szCs w:val="8"/>
          <w:color w:val="auto"/>
        </w:rPr>
        <w:t>There are no limitations imposed by the Articles or the legislation on the rights to own shares, including the right of non-residents or foreign persons to hold or vote shares, other than limitations that would generally apply to all shareholders.</w:t>
      </w:r>
    </w:p>
    <w:p>
      <w:pPr>
        <w:spacing w:after="0" w:line="11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Transfer of shares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There are no significant restrictions on the transfer of shares.</w:t>
      </w:r>
    </w:p>
    <w:p>
      <w:pPr>
        <w:spacing w:after="0" w:line="149" w:lineRule="exact"/>
        <w:rPr>
          <w:sz w:val="20"/>
          <w:szCs w:val="20"/>
          <w:color w:val="auto"/>
        </w:rPr>
      </w:pPr>
    </w:p>
    <w:p>
      <w:pPr>
        <w:ind w:right="120"/>
        <w:spacing w:after="0" w:line="307" w:lineRule="auto"/>
        <w:rPr>
          <w:sz w:val="20"/>
          <w:szCs w:val="20"/>
          <w:color w:val="auto"/>
        </w:rPr>
      </w:pPr>
      <w:r>
        <w:rPr>
          <w:rFonts w:ascii="Arial" w:cs="Arial" w:eastAsia="Arial" w:hAnsi="Arial"/>
          <w:sz w:val="8"/>
          <w:szCs w:val="8"/>
          <w:color w:val="auto"/>
        </w:rPr>
        <w:t>Except as set out below, any shareholder can transfer some or all of his certificated shares to another person. A transfer of certificated shares must be made in writing and either in the usual standard form or in any other form approved by the Board. Except as set out below, any shareholder can transfer some or all of his CREST shares to another person. A transfer of CREST shares must be made through CREST and must comply with the uncertificated securities rules.</w:t>
      </w:r>
    </w:p>
    <w:p>
      <w:pPr>
        <w:spacing w:after="0" w:line="123" w:lineRule="exact"/>
        <w:rPr>
          <w:sz w:val="20"/>
          <w:szCs w:val="20"/>
          <w:color w:val="auto"/>
        </w:rPr>
      </w:pPr>
    </w:p>
    <w:p>
      <w:pPr>
        <w:spacing w:after="0"/>
        <w:rPr>
          <w:sz w:val="20"/>
          <w:szCs w:val="20"/>
          <w:color w:val="auto"/>
        </w:rPr>
      </w:pPr>
      <w:r>
        <w:rPr>
          <w:rFonts w:ascii="Arial" w:cs="Arial" w:eastAsia="Arial" w:hAnsi="Arial"/>
          <w:sz w:val="8"/>
          <w:szCs w:val="8"/>
          <w:color w:val="auto"/>
        </w:rPr>
        <w:t>The Board can refuse to register the transfer of any shares which are not fully paid. Further rights to decline registration are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Certificated shares</w:t>
      </w:r>
    </w:p>
    <w:p>
      <w:pPr>
        <w:spacing w:after="0" w:line="3" w:lineRule="exact"/>
        <w:rPr>
          <w:sz w:val="20"/>
          <w:szCs w:val="20"/>
          <w:color w:val="auto"/>
        </w:rPr>
      </w:pPr>
    </w:p>
    <w:p>
      <w:pPr>
        <w:ind w:right="20"/>
        <w:spacing w:after="0" w:line="290" w:lineRule="auto"/>
        <w:rPr>
          <w:sz w:val="20"/>
          <w:szCs w:val="20"/>
          <w:color w:val="auto"/>
        </w:rPr>
      </w:pPr>
      <w:r>
        <w:rPr>
          <w:rFonts w:ascii="Arial" w:cs="Arial" w:eastAsia="Arial" w:hAnsi="Arial"/>
          <w:sz w:val="8"/>
          <w:szCs w:val="8"/>
          <w:color w:val="auto"/>
        </w:rPr>
        <w:t>A share transfer form cannot be used to transfer more than one class of share. Each class needs a separate form. Transfers cannot be in favour of more than four joint holders. The share transfer form must be properly stamped to show payment of any applicable stamp duty or certified or otherwise shown to the satisfaction of the Board to be exempt from stamp duty and must be delivered to the Company’s registered office, or any other place decided on by the Board. The transfer form must be accompanied by the share certificate relating to the share being transferred, unless the transfer is being made by a person to whom the Company was not required to, and did not send, a certificate. The Board can also ask (acting reasonably) for any other evidence to show that the person wishing to transfer the share is entitled to do so and, if the share transfer form is signed by another person on behalf of the person making the transfer, evidence of the authority of that person to do so.</w:t>
      </w:r>
    </w:p>
    <w:p>
      <w:pPr>
        <w:spacing w:after="0" w:line="2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CREST shares</w:t>
      </w:r>
    </w:p>
    <w:p>
      <w:pPr>
        <w:spacing w:after="0" w:line="3" w:lineRule="exact"/>
        <w:rPr>
          <w:sz w:val="20"/>
          <w:szCs w:val="20"/>
          <w:color w:val="auto"/>
        </w:rPr>
      </w:pPr>
    </w:p>
    <w:p>
      <w:pPr>
        <w:jc w:val="both"/>
        <w:ind w:right="120"/>
        <w:spacing w:after="0" w:line="300" w:lineRule="auto"/>
        <w:rPr>
          <w:sz w:val="20"/>
          <w:szCs w:val="20"/>
          <w:color w:val="auto"/>
        </w:rPr>
      </w:pPr>
      <w:r>
        <w:rPr>
          <w:rFonts w:ascii="Arial" w:cs="Arial" w:eastAsia="Arial" w:hAnsi="Arial"/>
          <w:sz w:val="8"/>
          <w:szCs w:val="8"/>
          <w:color w:val="auto"/>
        </w:rPr>
        <w:t>Registration of a transfer of CREST shares can be refused in the circumstances set out in the uncertificated securities rules. Transfers cannot be in favour of more than four joint holders. Where a share has not yet been entered on the register, the Board can recognise a renunciation by that person of his right to the share in favour of some other person. Such renunciation will be treated as a transfer and the Board has the same powers of refusing to give effect to such a renunciation as if it were a transfer.</w:t>
      </w:r>
    </w:p>
    <w:p>
      <w:pPr>
        <w:spacing w:after="0" w:line="12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Partly paid shares</w:t>
      </w:r>
    </w:p>
    <w:p>
      <w:pPr>
        <w:spacing w:after="0" w:line="3" w:lineRule="exact"/>
        <w:rPr>
          <w:sz w:val="20"/>
          <w:szCs w:val="20"/>
          <w:color w:val="auto"/>
        </w:rPr>
      </w:pPr>
    </w:p>
    <w:p>
      <w:pPr>
        <w:spacing w:after="0" w:line="231" w:lineRule="auto"/>
        <w:rPr>
          <w:sz w:val="20"/>
          <w:szCs w:val="20"/>
          <w:color w:val="auto"/>
        </w:rPr>
      </w:pPr>
      <w:r>
        <w:rPr>
          <w:rFonts w:ascii="Arial" w:cs="Arial" w:eastAsia="Arial" w:hAnsi="Arial"/>
          <w:sz w:val="10"/>
          <w:szCs w:val="10"/>
          <w:color w:val="auto"/>
        </w:rPr>
        <w:t>If a shareholder fails to pay the Company any amount due on his partly paid shares, the Board can enforce the Company’s lien by selling all or any of the partly paid shares in any way they decide (subject to certain conditions).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Capital changes</w:t>
      </w:r>
    </w:p>
    <w:p>
      <w:pPr>
        <w:spacing w:after="0" w:line="3" w:lineRule="exact"/>
        <w:rPr>
          <w:sz w:val="20"/>
          <w:szCs w:val="20"/>
          <w:color w:val="auto"/>
        </w:rPr>
      </w:pPr>
    </w:p>
    <w:p>
      <w:pPr>
        <w:ind w:right="280"/>
        <w:spacing w:after="0" w:line="231" w:lineRule="auto"/>
        <w:rPr>
          <w:sz w:val="20"/>
          <w:szCs w:val="20"/>
          <w:color w:val="auto"/>
        </w:rPr>
      </w:pPr>
      <w:r>
        <w:rPr>
          <w:rFonts w:ascii="Arial" w:cs="Arial" w:eastAsia="Arial" w:hAnsi="Arial"/>
          <w:sz w:val="10"/>
          <w:szCs w:val="10"/>
          <w:color w:val="auto"/>
        </w:rPr>
        <w:t>The conditions imposed by the Articles for changes in capital are not more stringent than those required by the applicable laws of England.</w:t>
      </w:r>
    </w:p>
    <w:p>
      <w:pPr>
        <w:spacing w:after="0" w:line="149" w:lineRule="exact"/>
        <w:rPr>
          <w:sz w:val="20"/>
          <w:szCs w:val="20"/>
          <w:color w:val="auto"/>
        </w:rPr>
      </w:pPr>
    </w:p>
    <w:p>
      <w:pPr>
        <w:spacing w:after="0" w:line="231" w:lineRule="auto"/>
        <w:rPr>
          <w:sz w:val="20"/>
          <w:szCs w:val="20"/>
          <w:color w:val="auto"/>
        </w:rPr>
      </w:pPr>
      <w:r>
        <w:rPr>
          <w:rFonts w:ascii="Arial" w:cs="Arial" w:eastAsia="Arial" w:hAnsi="Arial"/>
          <w:sz w:val="10"/>
          <w:szCs w:val="10"/>
          <w:color w:val="auto"/>
        </w:rPr>
        <w:t>Disputes between a shareholder or ADS holder and Royal Dutch Shell plc, any subsidiary, Director or professional service provider The Articles generally require that, except as noted below, all disputes: (i) between a shareholder in such capacity and the Company and/or its Directors, arising out of or in connection with the Articles or otherwise; (ii) so far as permitted by law, between the Company and any of its Directors in their capacities as such or as the Company’s employees, including all claims made by the Company or on behalf of the Company against any or all of</w:t>
      </w:r>
    </w:p>
    <w:p>
      <w:pPr>
        <w:sectPr>
          <w:pgSz w:w="11900" w:h="16838" w:orient="portrait"/>
          <w:cols w:equalWidth="0" w:num="2">
            <w:col w:w="5680" w:space="240"/>
            <w:col w:w="5260"/>
          </w:cols>
          <w:pgMar w:left="300" w:top="640" w:right="419" w:bottom="1440" w:gutter="0" w:footer="0" w:header="0"/>
        </w:sectPr>
      </w:pPr>
    </w:p>
    <w:bookmarkStart w:id="158" w:name="page159"/>
    <w:bookmarkEnd w:id="158"/>
    <w:p>
      <w:pPr>
        <w:ind w:right="60"/>
        <w:spacing w:after="0" w:line="230" w:lineRule="auto"/>
        <w:rPr>
          <w:sz w:val="20"/>
          <w:szCs w:val="20"/>
          <w:color w:val="auto"/>
        </w:rPr>
      </w:pPr>
      <w:r>
        <w:rPr>
          <w:rFonts w:ascii="Arial" w:cs="Arial" w:eastAsia="Arial" w:hAnsi="Arial"/>
          <w:sz w:val="10"/>
          <w:szCs w:val="10"/>
          <w:color w:val="auto"/>
        </w:rPr>
        <w:t>its Directors; (iii) between a shareholder in such capacity and the Company’s professional service providers (which could include the Company’s auditors, legal counsel, bankers and ADS depositaries); and/or (iv) between the Company and its professional service providers arising in connection with any claim within the scope of (iii) above, shall be exclusively and finally resolved by arbitration under the Rules of Arbitration of the International Chamber of Commerce (ICC), as amended from time to time. This would include all disputes arising under UK, Dutch or US law (including securities laws), or under any other law, between parties covered by the arbitration provision.</w:t>
      </w:r>
    </w:p>
    <w:p>
      <w:pPr>
        <w:spacing w:after="0" w:line="149" w:lineRule="exact"/>
        <w:rPr>
          <w:sz w:val="20"/>
          <w:szCs w:val="20"/>
          <w:color w:val="auto"/>
        </w:rPr>
      </w:pPr>
    </w:p>
    <w:p>
      <w:pPr>
        <w:ind w:right="240"/>
        <w:spacing w:after="0" w:line="320" w:lineRule="auto"/>
        <w:rPr>
          <w:sz w:val="20"/>
          <w:szCs w:val="20"/>
          <w:color w:val="auto"/>
        </w:rPr>
      </w:pPr>
      <w:r>
        <w:rPr>
          <w:rFonts w:ascii="Arial" w:cs="Arial" w:eastAsia="Arial" w:hAnsi="Arial"/>
          <w:sz w:val="8"/>
          <w:szCs w:val="8"/>
          <w:color w:val="auto"/>
        </w:rPr>
        <w:t>Accordingly, the ability of shareholders to obtain monetary or other relief, including in respect of securities law claims, may be determined in accordance with these provisions, and the ability of shareholders to obtain monetary or other relief may therefore be limited and their cost of seeking and obtaining recoveries in a dispute may be higher than otherwise would be the case.</w:t>
      </w:r>
    </w:p>
    <w:p>
      <w:pPr>
        <w:spacing w:after="0" w:line="118" w:lineRule="exact"/>
        <w:rPr>
          <w:sz w:val="20"/>
          <w:szCs w:val="20"/>
          <w:color w:val="auto"/>
        </w:rPr>
      </w:pPr>
    </w:p>
    <w:p>
      <w:pPr>
        <w:ind w:right="80"/>
        <w:spacing w:after="0" w:line="307" w:lineRule="auto"/>
        <w:rPr>
          <w:sz w:val="20"/>
          <w:szCs w:val="20"/>
          <w:color w:val="auto"/>
        </w:rPr>
      </w:pPr>
      <w:r>
        <w:rPr>
          <w:rFonts w:ascii="Arial" w:cs="Arial" w:eastAsia="Arial" w:hAnsi="Arial"/>
          <w:sz w:val="8"/>
          <w:szCs w:val="8"/>
          <w:color w:val="auto"/>
        </w:rPr>
        <w:t>The tribunal shall consist of three arbitrators to be appointed in accordance with the ICC rules. The chairman of the tribunal must have at least 20 years’ experience as a lawyer qualified to practise in a common-law jurisdiction which is within the Commonwealth (as constituted on May 12, 2005) and each other arbitrator must have at least 20 years’ experience as a qualified lawyer. The place of arbitration must be The Hague, the Netherlands; and the language of the arbitration must be English.</w:t>
      </w:r>
    </w:p>
    <w:p>
      <w:pPr>
        <w:spacing w:after="0" w:line="123" w:lineRule="exact"/>
        <w:rPr>
          <w:sz w:val="20"/>
          <w:szCs w:val="20"/>
          <w:color w:val="auto"/>
        </w:rPr>
      </w:pPr>
    </w:p>
    <w:p>
      <w:pPr>
        <w:ind w:right="20"/>
        <w:spacing w:after="0" w:line="232" w:lineRule="auto"/>
        <w:rPr>
          <w:sz w:val="20"/>
          <w:szCs w:val="20"/>
          <w:color w:val="auto"/>
        </w:rPr>
      </w:pPr>
      <w:r>
        <w:rPr>
          <w:rFonts w:ascii="Arial" w:cs="Arial" w:eastAsia="Arial" w:hAnsi="Arial"/>
          <w:sz w:val="10"/>
          <w:szCs w:val="10"/>
          <w:color w:val="auto"/>
        </w:rPr>
        <w:t>Pursuant to the exclusive jurisdiction provision in the Articles, if a court or other competent authority in any jurisdiction determines that the arbitration requirement described above is invalid or unenforceable in relation to any particular dispute in that jurisdiction, then that dispute may only be brought in the courts of England and Wales, as is the case with any derivative claim brought under the Act. The governing law of the Articles is the substantive law of England.</w:t>
      </w:r>
    </w:p>
    <w:p>
      <w:pPr>
        <w:spacing w:after="0" w:line="149" w:lineRule="exact"/>
        <w:rPr>
          <w:sz w:val="20"/>
          <w:szCs w:val="20"/>
          <w:color w:val="auto"/>
        </w:rPr>
      </w:pPr>
    </w:p>
    <w:p>
      <w:pPr>
        <w:jc w:val="both"/>
        <w:ind w:right="120"/>
        <w:spacing w:after="0" w:line="288" w:lineRule="auto"/>
        <w:rPr>
          <w:sz w:val="20"/>
          <w:szCs w:val="20"/>
          <w:color w:val="auto"/>
        </w:rPr>
      </w:pPr>
      <w:r>
        <w:rPr>
          <w:rFonts w:ascii="Arial" w:cs="Arial" w:eastAsia="Arial" w:hAnsi="Arial"/>
          <w:sz w:val="8"/>
          <w:szCs w:val="8"/>
          <w:color w:val="auto"/>
        </w:rPr>
        <w:t>Disputes relating to the Company’s failure or alleged failure to pay all or part of a dividend which has been announced and which has fallen due for payment will not be subject to the arbitration and exclusive jurisdiction provisions of the Articles. Any derivative claim brought under the Act will not be subject to the arbitration provisions of the Articles.</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0"/>
          <w:szCs w:val="10"/>
          <w:color w:val="auto"/>
        </w:rPr>
        <w:t>Pursuant to the relevant depositary agreement, each holder of ADSs is bound by the arbitration and exclusive jurisdiction provisions of the Articles as described in this section as if that holder were a shareholder.</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GENERAL MEETINGS</w:t>
      </w:r>
    </w:p>
    <w:p>
      <w:pPr>
        <w:spacing w:after="0" w:line="3" w:lineRule="exact"/>
        <w:rPr>
          <w:sz w:val="20"/>
          <w:szCs w:val="20"/>
          <w:color w:val="auto"/>
        </w:rPr>
      </w:pPr>
    </w:p>
    <w:p>
      <w:pPr>
        <w:jc w:val="both"/>
        <w:ind w:right="140"/>
        <w:spacing w:after="0" w:line="225" w:lineRule="auto"/>
        <w:rPr>
          <w:sz w:val="20"/>
          <w:szCs w:val="20"/>
          <w:color w:val="auto"/>
        </w:rPr>
      </w:pPr>
      <w:r>
        <w:rPr>
          <w:rFonts w:ascii="Arial" w:cs="Arial" w:eastAsia="Arial" w:hAnsi="Arial"/>
          <w:sz w:val="10"/>
          <w:szCs w:val="10"/>
          <w:color w:val="auto"/>
        </w:rPr>
        <w:t>Under the applicable laws of England, the Company is required in each year to hold an AGM of shareholders in addition to any other meeting of shareholders that may be held. Each AGM must be held in the period six months from the date following the Company’s accounting reference date.</w:t>
      </w:r>
    </w:p>
    <w:p>
      <w:pPr>
        <w:spacing w:after="0"/>
        <w:rPr>
          <w:sz w:val="20"/>
          <w:szCs w:val="20"/>
          <w:color w:val="auto"/>
        </w:rPr>
      </w:pPr>
      <w:r>
        <w:rPr>
          <w:rFonts w:ascii="Arial" w:cs="Arial" w:eastAsia="Arial" w:hAnsi="Arial"/>
          <w:sz w:val="10"/>
          <w:szCs w:val="10"/>
          <w:color w:val="auto"/>
        </w:rPr>
        <w:t>Additionally, shareholders may submit resolutions in accordance with Section 338 of the Act.</w:t>
      </w:r>
    </w:p>
    <w:p>
      <w:pPr>
        <w:spacing w:after="0" w:line="148" w:lineRule="exact"/>
        <w:rPr>
          <w:sz w:val="20"/>
          <w:szCs w:val="20"/>
          <w:color w:val="auto"/>
        </w:rPr>
      </w:pPr>
    </w:p>
    <w:p>
      <w:pPr>
        <w:spacing w:after="0" w:line="290" w:lineRule="auto"/>
        <w:rPr>
          <w:sz w:val="20"/>
          <w:szCs w:val="20"/>
          <w:color w:val="auto"/>
        </w:rPr>
      </w:pPr>
      <w:r>
        <w:rPr>
          <w:rFonts w:ascii="Arial" w:cs="Arial" w:eastAsia="Arial" w:hAnsi="Arial"/>
          <w:sz w:val="8"/>
          <w:szCs w:val="8"/>
          <w:color w:val="auto"/>
        </w:rPr>
        <w:t>Directors have the power to convene a general meeting of shareholders at any time. In addition, Directors are required to call a general meeting once requests to do so have been received by the Company from shareholders representing at least 5% of such paid-up capital of the Company as carries voting rights at general meetings of the Company (excluding any paid-up capital held as treasury shares) pursuant to Section 303 of the Act. A request for a general meeting must state the general nature of the business to be dealt with at the meeting and must be authenticated by the requesting shareholders. If Directors fail to call such a meeting within 21 days from receipt of such requests, and on a date not more than 28 days after the date of the notice convening the meeting, the shareholders that requested the general meeting, or any of them representing more than half of the total voting rights of all shareholders that requested the meeting, may themselves convene a general meeting which must be called for a date not more than three months after the date upon which the Directors became subject to the requirement to call a general meeting. Any such meeting must be convened in the same manner, as nearly as possible, as that in which meetings are required to be convened by the Directors of the Company.</w:t>
      </w:r>
    </w:p>
    <w:p>
      <w:pPr>
        <w:spacing w:after="0" w:line="20" w:lineRule="exact"/>
        <w:rPr>
          <w:sz w:val="20"/>
          <w:szCs w:val="20"/>
          <w:color w:val="auto"/>
        </w:rPr>
      </w:pPr>
      <w:r>
        <w:rPr>
          <w:sz w:val="20"/>
          <w:szCs w:val="20"/>
          <w:color w:val="auto"/>
        </w:rPr>
        <w:br w:type="column"/>
      </w:r>
    </w:p>
    <w:p>
      <w:pPr>
        <w:jc w:val="both"/>
        <w:ind w:right="240"/>
        <w:spacing w:after="0" w:line="320" w:lineRule="auto"/>
        <w:rPr>
          <w:sz w:val="20"/>
          <w:szCs w:val="20"/>
          <w:color w:val="auto"/>
        </w:rPr>
      </w:pPr>
      <w:r>
        <w:rPr>
          <w:rFonts w:ascii="Arial" w:cs="Arial" w:eastAsia="Arial" w:hAnsi="Arial"/>
          <w:sz w:val="8"/>
          <w:szCs w:val="8"/>
          <w:color w:val="auto"/>
        </w:rPr>
        <w:t>Under the Act, the Company is required to give at least 21 clear days’ notice of any AGM or, except where the conditions in Section 307A of the Act apply, any other general meeting of the Company. In addition, the Company complies with the Code which currently states that notices of AGMs should be sent to shareholders at least 20 working days before the meeting.</w:t>
      </w:r>
    </w:p>
    <w:p>
      <w:pPr>
        <w:spacing w:after="0" w:line="118" w:lineRule="exact"/>
        <w:rPr>
          <w:sz w:val="20"/>
          <w:szCs w:val="20"/>
          <w:color w:val="auto"/>
        </w:rPr>
      </w:pPr>
    </w:p>
    <w:p>
      <w:pPr>
        <w:ind w:right="120"/>
        <w:spacing w:after="0" w:line="297" w:lineRule="auto"/>
        <w:rPr>
          <w:sz w:val="20"/>
          <w:szCs w:val="20"/>
          <w:color w:val="auto"/>
        </w:rPr>
      </w:pPr>
      <w:r>
        <w:rPr>
          <w:rFonts w:ascii="Arial" w:cs="Arial" w:eastAsia="Arial" w:hAnsi="Arial"/>
          <w:sz w:val="8"/>
          <w:szCs w:val="8"/>
          <w:color w:val="auto"/>
        </w:rPr>
        <w:t>The Articles require that, in addition to any requirements under the legislation, the notice for any general meeting must state where the meeting is to be held (the principal meeting place) and the location of any satellite meeting place, which shall be identified as such in the notice as well as details of any arrangements made for those persons not entitled to attend a general meeting to be able to view and hear the proceedings (making it clear that participation in those arrangements will not amount to attendance at the meeting to which the notice relates). At the same time that notice is given for any general meeting, an announcement of the date, time and place of that meeting will, if practical, be published in a national newspaper in the Netherlands.</w:t>
      </w:r>
    </w:p>
    <w:p>
      <w:pPr>
        <w:spacing w:after="0" w:line="127" w:lineRule="exact"/>
        <w:rPr>
          <w:sz w:val="20"/>
          <w:szCs w:val="20"/>
          <w:color w:val="auto"/>
        </w:rPr>
      </w:pPr>
    </w:p>
    <w:p>
      <w:pPr>
        <w:ind w:right="220"/>
        <w:spacing w:after="0" w:line="232" w:lineRule="auto"/>
        <w:rPr>
          <w:sz w:val="20"/>
          <w:szCs w:val="20"/>
          <w:color w:val="auto"/>
        </w:rPr>
      </w:pPr>
      <w:r>
        <w:rPr>
          <w:rFonts w:ascii="Arial" w:cs="Arial" w:eastAsia="Arial" w:hAnsi="Arial"/>
          <w:sz w:val="10"/>
          <w:szCs w:val="10"/>
          <w:color w:val="auto"/>
        </w:rPr>
        <w:t>A shareholder is entitled to appoint a proxy (who is not required to be another shareholder) to represent and vote on behalf of the shareholder at any general meeting of shareholders, including the AGM, if a duly completed form of proxy has been received by the Company within the relevant deadlines (in general, where a poll is not demanded, 48 hours (or such shorter time as the Board decides) before the meeting).</w:t>
      </w:r>
    </w:p>
    <w:p>
      <w:pPr>
        <w:spacing w:after="0" w:line="149" w:lineRule="exact"/>
        <w:rPr>
          <w:sz w:val="20"/>
          <w:szCs w:val="20"/>
          <w:color w:val="auto"/>
        </w:rPr>
      </w:pPr>
    </w:p>
    <w:p>
      <w:pPr>
        <w:ind w:right="120"/>
        <w:spacing w:after="0" w:line="291" w:lineRule="auto"/>
        <w:rPr>
          <w:sz w:val="20"/>
          <w:szCs w:val="20"/>
          <w:color w:val="auto"/>
        </w:rPr>
      </w:pPr>
      <w:r>
        <w:rPr>
          <w:rFonts w:ascii="Arial" w:cs="Arial" w:eastAsia="Arial" w:hAnsi="Arial"/>
          <w:sz w:val="8"/>
          <w:szCs w:val="8"/>
          <w:color w:val="auto"/>
        </w:rPr>
        <w:t>Before a general meeting starts to do business, there must be a quorum present. Save as in relation to adjourned meetings, a quorum for all purposes is two people who are entitled to vote. They can be shareholders who are personally present, proxies for shareholders, or a combination of both. If a quorum is not present, a chairman of the meeting can still be chosen and this will not be treated as part of the business of the meeting. If a quorum is not present within five minutes of the time fixed for a general meeting to start or within any longer period not exceeding one hour which the chairman of the meeting can decide, or if a quorum ceases to be present during a general meeting: (i) if the meeting was called by shareholders, it will be cancelled; (ii) any other meeting will be adjourned to a day (being not less than 10 days later, excluding the day on which it is adjourned and the day for which it is reconvened) with the time and place decided upon by the chairman of the meeting; and (iii) one shareholder present in person or by proxy and entitled to vote will constitute a quorum at any such adjourned general meeting and any notice of such adjourned meeting will say this.</w:t>
      </w:r>
    </w:p>
    <w:p>
      <w:pPr>
        <w:spacing w:after="0" w:line="12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DEEMED DELIVERY OF DOCUMENTS</w:t>
      </w:r>
    </w:p>
    <w:p>
      <w:pPr>
        <w:spacing w:after="0" w:line="3" w:lineRule="exact"/>
        <w:rPr>
          <w:sz w:val="20"/>
          <w:szCs w:val="20"/>
          <w:color w:val="auto"/>
        </w:rPr>
      </w:pPr>
    </w:p>
    <w:p>
      <w:pPr>
        <w:ind w:right="120"/>
        <w:spacing w:after="0" w:line="292" w:lineRule="auto"/>
        <w:rPr>
          <w:sz w:val="20"/>
          <w:szCs w:val="20"/>
          <w:color w:val="auto"/>
        </w:rPr>
      </w:pPr>
      <w:r>
        <w:rPr>
          <w:rFonts w:ascii="Arial" w:cs="Arial" w:eastAsia="Arial" w:hAnsi="Arial"/>
          <w:sz w:val="8"/>
          <w:szCs w:val="8"/>
          <w:color w:val="auto"/>
        </w:rPr>
        <w:t>Under the Articles, if any notice, document or other information is given, sent or supplied by the Company by inland post, it is treated as being received the day after it was posted if first class post (or a service similar to first class post) was used, or 72 hours after it was posted if first class post (or a service similar to first class post) was not used. If a notice or document is sent by the Company by airmail, it is treated as being received 72 hours after it was posted. Any notice, document or other information left at a shareholder’s registered address or a postal address notified to the Company in accordance with the Articles by a shareholder or a person entitled to a share by law is treated as being received on the day on which it was left.</w:t>
      </w:r>
    </w:p>
    <w:p>
      <w:pPr>
        <w:spacing w:after="0" w:line="12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THRESHOLD FOR DISCLOSURE OF SHARE OWNERSHIP</w:t>
      </w:r>
    </w:p>
    <w:p>
      <w:pPr>
        <w:spacing w:after="0" w:line="3" w:lineRule="exact"/>
        <w:rPr>
          <w:sz w:val="20"/>
          <w:szCs w:val="20"/>
          <w:color w:val="auto"/>
        </w:rPr>
      </w:pPr>
    </w:p>
    <w:p>
      <w:pPr>
        <w:ind w:right="120"/>
        <w:spacing w:after="0" w:line="289" w:lineRule="auto"/>
        <w:rPr>
          <w:sz w:val="20"/>
          <w:szCs w:val="20"/>
          <w:color w:val="auto"/>
        </w:rPr>
      </w:pPr>
      <w:r>
        <w:rPr>
          <w:rFonts w:ascii="Arial" w:cs="Arial" w:eastAsia="Arial" w:hAnsi="Arial"/>
          <w:sz w:val="8"/>
          <w:szCs w:val="8"/>
          <w:color w:val="auto"/>
        </w:rPr>
        <w:t>The Articles provide that, when a person receives a statutory notice, he has 14 days to comply with it. If he does not do so or if he makes a statement in response to the notice which is false or inadequate in some important way, the Company can decide to restrict the rights relating to the identified shares and send out a further notice to the shareholder, known as a restriction notice, which will take effect when delivered. The restriction notice will state that the identified shares no longer give the shareholder any right to attend or vote either personally or by proxy at a shareholders’ meeting or to exercise any right in relation to shareholders’ meetings. Where the identified shares make up 0.25% or more (in amount or in number) of the existing shares of a class at the date of delivery of the restriction notice, the restriction notice can also contain the following further restrictions: (i) the Board can withhold any dividend or part of a dividend (including scrip dividend) or other money which would otherwise be payable in respect of the identified shares without any</w:t>
      </w:r>
    </w:p>
    <w:p>
      <w:pPr>
        <w:spacing w:after="0" w:line="255" w:lineRule="exact"/>
        <w:rPr>
          <w:sz w:val="20"/>
          <w:szCs w:val="20"/>
          <w:color w:val="auto"/>
        </w:rPr>
      </w:pPr>
    </w:p>
    <w:p>
      <w:pPr>
        <w:sectPr>
          <w:pgSz w:w="11900" w:h="16838" w:orient="portrait"/>
          <w:cols w:equalWidth="0" w:num="2">
            <w:col w:w="5240" w:space="680"/>
            <w:col w:w="5380"/>
          </w:cols>
          <w:pgMar w:left="300" w:top="640" w:right="299" w:bottom="1440" w:gutter="0" w:footer="0" w:header="0"/>
        </w:sect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156</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59" w:name="page160"/>
    <w:bookmarkEnd w:id="159"/>
    <w:p>
      <w:pPr>
        <w:spacing w:after="0" w:line="293" w:lineRule="auto"/>
        <w:rPr>
          <w:sz w:val="20"/>
          <w:szCs w:val="20"/>
          <w:color w:val="auto"/>
        </w:rPr>
      </w:pPr>
      <w:r>
        <w:rPr>
          <w:rFonts w:ascii="Arial" w:cs="Arial" w:eastAsia="Arial" w:hAnsi="Arial"/>
          <w:sz w:val="8"/>
          <w:szCs w:val="8"/>
          <w:color w:val="auto"/>
        </w:rPr>
        <w:t>liability to pay interest when such money is finally paid to the shareholder; and (ii) the Board can refuse to register a transfer of any of the identified shares which are certificated shares unless the Board is satisfied that they have been sold outright to an independent third party (as specified in the Articles). Once a restriction notice has been given, the Board is free to cancel it or exclude any shares from it at any time the Board thinks fit. In addition, the Board must cancel the restriction notice within seven days of being satisfied that all of the information requested in the statutory notice has been given. Also, where any of the identified shares are sold and the Board is satisfied that they were sold outright to an independent third party, it must cancel the restriction notice within seven days of receipt of notification of the sale. The Articles do not restrict in any way the provision of the legislation which applies to failures to comply with notices under the legislation.</w:t>
      </w:r>
    </w:p>
    <w:p>
      <w:pPr>
        <w:spacing w:after="0" w:line="240" w:lineRule="exact"/>
        <w:rPr>
          <w:sz w:val="20"/>
          <w:szCs w:val="20"/>
          <w:color w:val="auto"/>
        </w:rPr>
      </w:pPr>
    </w:p>
    <w:p>
      <w:pPr>
        <w:ind w:right="60"/>
        <w:spacing w:after="0" w:line="232" w:lineRule="auto"/>
        <w:rPr>
          <w:sz w:val="20"/>
          <w:szCs w:val="20"/>
          <w:color w:val="auto"/>
        </w:rPr>
      </w:pPr>
      <w:r>
        <w:rPr>
          <w:rFonts w:ascii="Arial" w:cs="Arial" w:eastAsia="Arial" w:hAnsi="Arial"/>
          <w:sz w:val="10"/>
          <w:szCs w:val="10"/>
          <w:color w:val="auto"/>
        </w:rPr>
        <w:t>The UK City Code on Takeovers and Mergers (the Takeover Code) imposes disclosure obligations on parties subject to the Takeover Code’s disclosure regime. The Takeover Code requires that an opening position disclosure be made by: (i) an offeror company after the announcement that first identifies it as an offeror and after the announcement that first identifies a competing securities exchange offeror; and (ii) an offeree</w:t>
      </w:r>
    </w:p>
    <w:p>
      <w:pPr>
        <w:spacing w:after="0" w:line="20" w:lineRule="exact"/>
        <w:rPr>
          <w:sz w:val="20"/>
          <w:szCs w:val="20"/>
          <w:color w:val="auto"/>
        </w:rPr>
      </w:pPr>
      <w:r>
        <w:rPr>
          <w:sz w:val="20"/>
          <w:szCs w:val="20"/>
          <w:color w:val="auto"/>
        </w:rPr>
        <w:br w:type="column"/>
      </w:r>
    </w:p>
    <w:p>
      <w:pPr>
        <w:ind w:right="120"/>
        <w:spacing w:after="0" w:line="294" w:lineRule="auto"/>
        <w:rPr>
          <w:sz w:val="20"/>
          <w:szCs w:val="20"/>
          <w:color w:val="auto"/>
        </w:rPr>
      </w:pPr>
      <w:r>
        <w:rPr>
          <w:rFonts w:ascii="Arial" w:cs="Arial" w:eastAsia="Arial" w:hAnsi="Arial"/>
          <w:sz w:val="8"/>
          <w:szCs w:val="8"/>
          <w:color w:val="auto"/>
        </w:rPr>
        <w:t>company after the commencement of an offer period and, if later, after the announcement that first identifies any securities exchange offeror. An opening position disclosure must be made by any person that is interested in 1% or more of any class of relevant securities of the offeree company or any securities exchange offeror. The Takeover Code also requires any person who is, or becomes, interested in 1% or more of any class of relevant securities of an offeree company or any securities exchange offeror to make a dealing disclosure if the person deals in any relevant securities of the offeree company or any securities exchange offeror during an offer period. Where two or more persons act together pursuant to an agreement or understanding, whether formal or informal, to acquire or control an interest in relevant securities, they will normally be deemed to be a single person for the purpose of the relevant provisions of the Takeover Code.</w:t>
      </w:r>
    </w:p>
    <w:p>
      <w:pPr>
        <w:spacing w:after="0" w:line="129" w:lineRule="exact"/>
        <w:rPr>
          <w:sz w:val="20"/>
          <w:szCs w:val="20"/>
          <w:color w:val="auto"/>
        </w:rPr>
      </w:pPr>
    </w:p>
    <w:p>
      <w:pPr>
        <w:ind w:right="140"/>
        <w:spacing w:after="0" w:line="234" w:lineRule="auto"/>
        <w:rPr>
          <w:sz w:val="20"/>
          <w:szCs w:val="20"/>
          <w:color w:val="auto"/>
        </w:rPr>
      </w:pPr>
      <w:r>
        <w:rPr>
          <w:rFonts w:ascii="Arial" w:cs="Arial" w:eastAsia="Arial" w:hAnsi="Arial"/>
          <w:sz w:val="10"/>
          <w:szCs w:val="10"/>
          <w:color w:val="auto"/>
        </w:rPr>
        <w:t>Rule 13d-1 of the US Securities Exchange Act of 1934 requires that a person or group that acquires beneficial ownership of more than 5% of equity securities registered under the US Securities Exchange Act, and that is not eligible to file a short-form report, disclose such information to the SEC within 10 days after the acquisition.</w:t>
      </w:r>
    </w:p>
    <w:p>
      <w:pPr>
        <w:spacing w:after="0" w:line="416" w:lineRule="exact"/>
        <w:rPr>
          <w:sz w:val="20"/>
          <w:szCs w:val="20"/>
          <w:color w:val="auto"/>
        </w:rPr>
      </w:pPr>
    </w:p>
    <w:p>
      <w:pPr>
        <w:sectPr>
          <w:pgSz w:w="11900" w:h="16838" w:orient="portrait"/>
          <w:cols w:equalWidth="0" w:num="2">
            <w:col w:w="5240" w:space="680"/>
            <w:col w:w="5380"/>
          </w:cols>
          <w:pgMar w:left="300" w:top="640" w:right="299" w:bottom="1440" w:gutter="0" w:footer="0" w:header="0"/>
        </w:sect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420" w:type="dxa"/>
            <w:vAlign w:val="bottom"/>
          </w:tcPr>
          <w:p>
            <w:pPr>
              <w:spacing w:after="0"/>
              <w:rPr>
                <w:sz w:val="20"/>
                <w:szCs w:val="20"/>
                <w:color w:val="auto"/>
              </w:rPr>
            </w:pPr>
            <w:r>
              <w:rPr>
                <w:rFonts w:ascii="Arial" w:cs="Arial" w:eastAsia="Arial" w:hAnsi="Arial"/>
                <w:sz w:val="7"/>
                <w:szCs w:val="7"/>
                <w:color w:val="auto"/>
              </w:rPr>
              <w:t>GOVERNANCE SHELL FORM 20-F 2020</w:t>
            </w:r>
          </w:p>
        </w:tc>
        <w:tc>
          <w:tcPr>
            <w:tcW w:w="7880" w:type="dxa"/>
            <w:vAlign w:val="bottom"/>
          </w:tcPr>
          <w:p>
            <w:pPr>
              <w:jc w:val="right"/>
              <w:ind w:right="5584"/>
              <w:spacing w:after="0"/>
              <w:rPr>
                <w:sz w:val="20"/>
                <w:szCs w:val="20"/>
                <w:color w:val="auto"/>
              </w:rPr>
            </w:pPr>
            <w:r>
              <w:rPr>
                <w:rFonts w:ascii="Arial" w:cs="Arial" w:eastAsia="Arial" w:hAnsi="Arial"/>
                <w:sz w:val="7"/>
                <w:szCs w:val="7"/>
                <w:color w:val="auto"/>
              </w:rPr>
              <w:t>157</w:t>
            </w:r>
          </w:p>
        </w:tc>
      </w:tr>
      <w:tr>
        <w:trPr>
          <w:trHeight w:val="151"/>
        </w:trPr>
        <w:tc>
          <w:tcPr>
            <w:tcW w:w="3420" w:type="dxa"/>
            <w:vAlign w:val="bottom"/>
            <w:tcBorders>
              <w:bottom w:val="single" w:sz="8" w:color="9A9A9A"/>
            </w:tcBorders>
          </w:tcPr>
          <w:p>
            <w:pPr>
              <w:spacing w:after="0"/>
              <w:rPr>
                <w:sz w:val="13"/>
                <w:szCs w:val="13"/>
                <w:color w:val="auto"/>
              </w:rPr>
            </w:pPr>
          </w:p>
        </w:tc>
        <w:tc>
          <w:tcPr>
            <w:tcW w:w="7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24"/>
          <w:szCs w:val="24"/>
          <w:color w:val="auto"/>
        </w:rPr>
        <w:t>FINANCIAL STATEMENTS AND SUPPLEMENTS</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77215" cy="228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77215" cy="228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TO THE SHAREHOLDERS AND BOARD OF DIRECTORS OF ROYAL DUTCH SHELL PLC</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Opinion on the Consolidated Financial Statements</w:t>
      </w:r>
    </w:p>
    <w:p>
      <w:pPr>
        <w:spacing w:after="0" w:line="149" w:lineRule="exact"/>
        <w:rPr>
          <w:sz w:val="20"/>
          <w:szCs w:val="20"/>
          <w:color w:val="auto"/>
        </w:rPr>
      </w:pPr>
    </w:p>
    <w:p>
      <w:pPr>
        <w:jc w:val="both"/>
        <w:ind w:right="20"/>
        <w:spacing w:after="0" w:line="232" w:lineRule="auto"/>
        <w:rPr>
          <w:sz w:val="20"/>
          <w:szCs w:val="20"/>
          <w:color w:val="auto"/>
        </w:rPr>
      </w:pPr>
      <w:r>
        <w:rPr>
          <w:rFonts w:ascii="Arial" w:cs="Arial" w:eastAsia="Arial" w:hAnsi="Arial"/>
          <w:sz w:val="10"/>
          <w:szCs w:val="10"/>
          <w:color w:val="auto"/>
        </w:rPr>
        <w:t>We have audited the accompanying consolidated balance sheets of Royal Dutch Shell plc (Shell or the Company) as of December 31, 2020 and 2019, the related consolidated statements of income, comprehensive income, changes in equity and cash flows for each of the three years in the period ended December 31, 2020, and the related notes (collectively referred to as the Consolidated Financial Statements). In our opinion, the Consolidated Financial Statements present fairly, in all material respects, the consolidated financial position of the Company at December 31, 2020 and 2019, and the results of its operations and its cash flows for each of the three years in the period ended December 31, 2020, in conformity with International Financial Reporting Standards (IFRS) as issued by the International Accounting Standards Board (IASB) and in conformity with IFRS adopted pursuant to Regulation (EC) No.1606/2002 as it applies in the European Union.</w:t>
      </w:r>
    </w:p>
    <w:p>
      <w:pPr>
        <w:spacing w:after="0" w:line="149" w:lineRule="exact"/>
        <w:rPr>
          <w:sz w:val="20"/>
          <w:szCs w:val="20"/>
          <w:color w:val="auto"/>
        </w:rPr>
      </w:pPr>
    </w:p>
    <w:p>
      <w:pPr>
        <w:ind w:right="100"/>
        <w:spacing w:after="0" w:line="239" w:lineRule="auto"/>
        <w:rPr>
          <w:sz w:val="20"/>
          <w:szCs w:val="20"/>
          <w:color w:val="auto"/>
        </w:rPr>
      </w:pPr>
      <w:r>
        <w:rPr>
          <w:rFonts w:ascii="Arial" w:cs="Arial" w:eastAsia="Arial" w:hAnsi="Arial"/>
          <w:sz w:val="10"/>
          <w:szCs w:val="10"/>
          <w:color w:val="auto"/>
        </w:rPr>
        <w:t>We also have audited, in accordance with the standards of the Public Company Accounting Oversight Board (United States) (PCAOB), the Company's internal control over financial reporting as of December 31, 2020, based on criteria established in the Internal Control Integrated Framework issued by the Committee of Sponsoring Organizations of the Treadway Commission (2013 framework), and our report dated March 10, 2021,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Basis for Opinion</w:t>
      </w:r>
    </w:p>
    <w:p>
      <w:pPr>
        <w:spacing w:after="0" w:line="157" w:lineRule="exact"/>
        <w:rPr>
          <w:sz w:val="20"/>
          <w:szCs w:val="20"/>
          <w:color w:val="auto"/>
        </w:rPr>
      </w:pPr>
    </w:p>
    <w:p>
      <w:pPr>
        <w:ind w:right="60"/>
        <w:spacing w:after="0" w:line="239" w:lineRule="auto"/>
        <w:rPr>
          <w:sz w:val="20"/>
          <w:szCs w:val="20"/>
          <w:color w:val="auto"/>
        </w:rPr>
      </w:pPr>
      <w:r>
        <w:rPr>
          <w:rFonts w:ascii="Arial" w:cs="Arial" w:eastAsia="Arial" w:hAnsi="Arial"/>
          <w:sz w:val="10"/>
          <w:szCs w:val="1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(SEC) and the PCAOB.</w:t>
      </w:r>
    </w:p>
    <w:p>
      <w:pPr>
        <w:spacing w:after="0" w:line="149" w:lineRule="exact"/>
        <w:rPr>
          <w:sz w:val="20"/>
          <w:szCs w:val="20"/>
          <w:color w:val="auto"/>
        </w:rPr>
      </w:pPr>
    </w:p>
    <w:p>
      <w:pPr>
        <w:jc w:val="both"/>
        <w:ind w:right="40"/>
        <w:spacing w:after="0" w:line="232" w:lineRule="auto"/>
        <w:rPr>
          <w:sz w:val="20"/>
          <w:szCs w:val="20"/>
          <w:color w:val="auto"/>
        </w:rPr>
      </w:pPr>
      <w:r>
        <w:rPr>
          <w:rFonts w:ascii="Arial" w:cs="Arial" w:eastAsia="Arial" w:hAnsi="Arial"/>
          <w:sz w:val="10"/>
          <w:szCs w:val="1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Critical audit matters</w:t>
      </w:r>
    </w:p>
    <w:p>
      <w:pPr>
        <w:spacing w:after="0" w:line="3" w:lineRule="exact"/>
        <w:rPr>
          <w:sz w:val="20"/>
          <w:szCs w:val="20"/>
          <w:color w:val="auto"/>
        </w:rPr>
      </w:pPr>
    </w:p>
    <w:p>
      <w:pPr>
        <w:ind w:right="180"/>
        <w:spacing w:after="0" w:line="229" w:lineRule="auto"/>
        <w:rPr>
          <w:sz w:val="20"/>
          <w:szCs w:val="20"/>
          <w:color w:val="auto"/>
        </w:rPr>
      </w:pPr>
      <w:r>
        <w:rPr>
          <w:rFonts w:ascii="Arial" w:cs="Arial" w:eastAsia="Arial" w:hAnsi="Arial"/>
          <w:sz w:val="10"/>
          <w:szCs w:val="10"/>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judgements.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980" w:type="dxa"/>
            <w:vAlign w:val="bottom"/>
          </w:tcPr>
          <w:p>
            <w:pPr>
              <w:ind w:left="40"/>
              <w:spacing w:after="0"/>
              <w:rPr>
                <w:sz w:val="20"/>
                <w:szCs w:val="20"/>
                <w:color w:val="auto"/>
              </w:rPr>
            </w:pPr>
            <w:r>
              <w:rPr>
                <w:rFonts w:ascii="Arial" w:cs="Arial" w:eastAsia="Arial" w:hAnsi="Arial"/>
                <w:sz w:val="7"/>
                <w:szCs w:val="7"/>
                <w:color w:val="auto"/>
              </w:rPr>
              <w:t>FINANCIAL STATEMENTS AND SUPPLEMENTS SHELL FORM 20-F 2020</w:t>
            </w:r>
          </w:p>
        </w:tc>
        <w:tc>
          <w:tcPr>
            <w:tcW w:w="7320" w:type="dxa"/>
            <w:vAlign w:val="bottom"/>
          </w:tcPr>
          <w:p>
            <w:pPr>
              <w:jc w:val="right"/>
              <w:ind w:right="5564"/>
              <w:spacing w:after="0"/>
              <w:rPr>
                <w:sz w:val="20"/>
                <w:szCs w:val="20"/>
                <w:color w:val="auto"/>
              </w:rPr>
            </w:pPr>
            <w:r>
              <w:rPr>
                <w:rFonts w:ascii="Arial" w:cs="Arial" w:eastAsia="Arial" w:hAnsi="Arial"/>
                <w:sz w:val="7"/>
                <w:szCs w:val="7"/>
                <w:color w:val="auto"/>
              </w:rPr>
              <w:t>158</w:t>
            </w:r>
          </w:p>
        </w:tc>
      </w:tr>
      <w:tr>
        <w:trPr>
          <w:trHeight w:val="304"/>
        </w:trPr>
        <w:tc>
          <w:tcPr>
            <w:tcW w:w="398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15"/>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93"/>
              </w:rPr>
              <w:t>THE ESTIMATION OF OIL AND GAS RESERVES, INCLUDING RESERVES USED IN THE CALCULATION OF DEPRECIATION, DEPLETION AND AMORTISATION (DD&amp;A), IMPAIRMENT TESTING TO EVALUATE</w:t>
            </w:r>
          </w:p>
        </w:tc>
      </w:tr>
      <w:tr>
        <w:trPr>
          <w:trHeight w:val="121"/>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rPr>
              <w:t>THE RECOVERABLE AMOUNTS OF EXPLORATION AND PRODUCTION ASSETS AND THE ESTIMATION OF DECOMMISSIONING AND RESTORATION (D&amp;R) PROVISIONS</w:t>
            </w:r>
          </w:p>
        </w:tc>
      </w:tr>
      <w:tr>
        <w:trPr>
          <w:trHeight w:val="95"/>
        </w:trPr>
        <w:tc>
          <w:tcPr>
            <w:tcW w:w="1920" w:type="dxa"/>
            <w:vAlign w:val="bottom"/>
          </w:tcPr>
          <w:p>
            <w:pPr>
              <w:ind w:left="20"/>
              <w:spacing w:after="0" w:line="95" w:lineRule="exact"/>
              <w:rPr>
                <w:sz w:val="20"/>
                <w:szCs w:val="20"/>
                <w:color w:val="auto"/>
              </w:rPr>
            </w:pPr>
            <w:r>
              <w:rPr>
                <w:rFonts w:ascii="Arial" w:cs="Arial" w:eastAsia="Arial" w:hAnsi="Arial"/>
                <w:sz w:val="10"/>
                <w:szCs w:val="10"/>
                <w:color w:val="auto"/>
              </w:rPr>
              <w:t>Description of the matter</w:t>
            </w:r>
          </w:p>
        </w:tc>
        <w:tc>
          <w:tcPr>
            <w:tcW w:w="9380" w:type="dxa"/>
            <w:vAlign w:val="bottom"/>
            <w:gridSpan w:val="2"/>
          </w:tcPr>
          <w:p>
            <w:pPr>
              <w:ind w:left="300"/>
              <w:spacing w:after="0" w:line="95" w:lineRule="exact"/>
              <w:rPr>
                <w:sz w:val="20"/>
                <w:szCs w:val="20"/>
                <w:color w:val="auto"/>
              </w:rPr>
            </w:pPr>
            <w:r>
              <w:rPr>
                <w:rFonts w:ascii="Arial" w:cs="Arial" w:eastAsia="Arial" w:hAnsi="Arial"/>
                <w:sz w:val="10"/>
                <w:szCs w:val="10"/>
                <w:color w:val="auto"/>
                <w:w w:val="90"/>
              </w:rPr>
              <w:t>As described in Note 8 to the Consolidated Financial Statements, at December 31, 2020 Exploration and evaluation (E&amp;E) assets amounted to $9 billion and Production assets amounted to $132 billion. Production assets had an</w:t>
            </w:r>
          </w:p>
        </w:tc>
      </w:tr>
      <w:tr>
        <w:trPr>
          <w:trHeight w:val="81"/>
        </w:trPr>
        <w:tc>
          <w:tcPr>
            <w:tcW w:w="1920" w:type="dxa"/>
            <w:vAlign w:val="bottom"/>
          </w:tcPr>
          <w:p>
            <w:pPr>
              <w:spacing w:after="0"/>
              <w:rPr>
                <w:sz w:val="7"/>
                <w:szCs w:val="7"/>
                <w:color w:val="auto"/>
              </w:rPr>
            </w:pPr>
          </w:p>
        </w:tc>
        <w:tc>
          <w:tcPr>
            <w:tcW w:w="9380" w:type="dxa"/>
            <w:vAlign w:val="bottom"/>
            <w:gridSpan w:val="2"/>
          </w:tcPr>
          <w:p>
            <w:pPr>
              <w:ind w:left="300"/>
              <w:spacing w:after="0" w:line="81" w:lineRule="exact"/>
              <w:rPr>
                <w:sz w:val="20"/>
                <w:szCs w:val="20"/>
                <w:color w:val="auto"/>
              </w:rPr>
            </w:pPr>
            <w:r>
              <w:rPr>
                <w:rFonts w:ascii="Arial" w:cs="Arial" w:eastAsia="Arial" w:hAnsi="Arial"/>
                <w:sz w:val="8"/>
                <w:szCs w:val="8"/>
                <w:color w:val="auto"/>
              </w:rPr>
              <w:t>associated DD&amp;A charge of $34 billion. As further described in Note 8, impairment charges of $20 billion of Exploration and production assets were recorded during the year. As described in Note 18 to the Consolidated Financial</w:t>
            </w:r>
          </w:p>
        </w:tc>
      </w:tr>
      <w:tr>
        <w:trPr>
          <w:trHeight w:val="81"/>
        </w:trPr>
        <w:tc>
          <w:tcPr>
            <w:tcW w:w="1920" w:type="dxa"/>
            <w:vAlign w:val="bottom"/>
          </w:tcPr>
          <w:p>
            <w:pPr>
              <w:spacing w:after="0"/>
              <w:rPr>
                <w:sz w:val="7"/>
                <w:szCs w:val="7"/>
                <w:color w:val="auto"/>
              </w:rPr>
            </w:pPr>
          </w:p>
        </w:tc>
        <w:tc>
          <w:tcPr>
            <w:tcW w:w="9380" w:type="dxa"/>
            <w:vAlign w:val="bottom"/>
            <w:gridSpan w:val="2"/>
          </w:tcPr>
          <w:p>
            <w:pPr>
              <w:ind w:left="300"/>
              <w:spacing w:after="0" w:line="81" w:lineRule="exact"/>
              <w:rPr>
                <w:sz w:val="20"/>
                <w:szCs w:val="20"/>
                <w:color w:val="auto"/>
              </w:rPr>
            </w:pPr>
            <w:r>
              <w:rPr>
                <w:rFonts w:ascii="Arial" w:cs="Arial" w:eastAsia="Arial" w:hAnsi="Arial"/>
                <w:sz w:val="8"/>
                <w:szCs w:val="8"/>
                <w:color w:val="auto"/>
              </w:rPr>
              <w:t>Statements, D&amp;R provisions amounted to $23 billion. The estimation of oil and gas reserves is a key input to the accounting for DD&amp;A, estimation of the recoverable amount of exploration and production assets and estimation of D&amp;R</w:t>
            </w:r>
          </w:p>
        </w:tc>
      </w:tr>
      <w:tr>
        <w:trPr>
          <w:trHeight w:val="121"/>
        </w:trPr>
        <w:tc>
          <w:tcPr>
            <w:tcW w:w="1920" w:type="dxa"/>
            <w:vAlign w:val="bottom"/>
          </w:tcPr>
          <w:p>
            <w:pPr>
              <w:spacing w:after="0"/>
              <w:rPr>
                <w:sz w:val="10"/>
                <w:szCs w:val="10"/>
                <w:color w:val="auto"/>
              </w:rPr>
            </w:pPr>
          </w:p>
        </w:tc>
        <w:tc>
          <w:tcPr>
            <w:tcW w:w="3500" w:type="dxa"/>
            <w:vAlign w:val="bottom"/>
          </w:tcPr>
          <w:p>
            <w:pPr>
              <w:ind w:left="300"/>
              <w:spacing w:after="0"/>
              <w:rPr>
                <w:sz w:val="20"/>
                <w:szCs w:val="20"/>
                <w:color w:val="auto"/>
              </w:rPr>
            </w:pPr>
            <w:r>
              <w:rPr>
                <w:rFonts w:ascii="Arial" w:cs="Arial" w:eastAsia="Arial" w:hAnsi="Arial"/>
                <w:sz w:val="10"/>
                <w:szCs w:val="10"/>
                <w:color w:val="auto"/>
              </w:rPr>
              <w:t>provisions.</w:t>
            </w:r>
          </w:p>
        </w:tc>
        <w:tc>
          <w:tcPr>
            <w:tcW w:w="5880" w:type="dxa"/>
            <w:vAlign w:val="bottom"/>
          </w:tcPr>
          <w:p>
            <w:pPr>
              <w:spacing w:after="0"/>
              <w:rPr>
                <w:sz w:val="10"/>
                <w:szCs w:val="10"/>
                <w:color w:val="auto"/>
              </w:rPr>
            </w:pPr>
          </w:p>
        </w:tc>
      </w:tr>
      <w:tr>
        <w:trPr>
          <w:trHeight w:val="203"/>
        </w:trPr>
        <w:tc>
          <w:tcPr>
            <w:tcW w:w="1920" w:type="dxa"/>
            <w:vAlign w:val="bottom"/>
          </w:tcPr>
          <w:p>
            <w:pPr>
              <w:spacing w:after="0"/>
              <w:rPr>
                <w:sz w:val="17"/>
                <w:szCs w:val="17"/>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7"/>
              </w:rPr>
              <w:t>In-year movements of oil and gas reserves consist of revisions of previous estimates resulting from reclassifications, improved recovery assumptions, extensions and discoveries and purchases and sales of reserves in place. Revisions</w:t>
            </w:r>
          </w:p>
        </w:tc>
      </w:tr>
      <w:tr>
        <w:trPr>
          <w:trHeight w:val="121"/>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rPr>
              <w:t>generally arise from new information, for example additional drilling results, changes in production patterns and changes to development plans.</w:t>
            </w:r>
          </w:p>
        </w:tc>
      </w:tr>
      <w:tr>
        <w:trPr>
          <w:trHeight w:val="203"/>
        </w:trPr>
        <w:tc>
          <w:tcPr>
            <w:tcW w:w="1920" w:type="dxa"/>
            <w:vAlign w:val="bottom"/>
          </w:tcPr>
          <w:p>
            <w:pPr>
              <w:spacing w:after="0"/>
              <w:rPr>
                <w:sz w:val="17"/>
                <w:szCs w:val="17"/>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6"/>
              </w:rPr>
              <w:t>Auditing the estimation of oil and gas reserves is complex, as there is significant estimation uncertainty in assessing the quantities of reserves and resources in place. The estimates are based on a central group of experts’ assessments of</w:t>
            </w:r>
          </w:p>
        </w:tc>
      </w:tr>
      <w:tr>
        <w:trPr>
          <w:trHeight w:val="81"/>
        </w:trPr>
        <w:tc>
          <w:tcPr>
            <w:tcW w:w="1920" w:type="dxa"/>
            <w:vAlign w:val="bottom"/>
          </w:tcPr>
          <w:p>
            <w:pPr>
              <w:spacing w:after="0"/>
              <w:rPr>
                <w:sz w:val="7"/>
                <w:szCs w:val="7"/>
                <w:color w:val="auto"/>
              </w:rPr>
            </w:pPr>
          </w:p>
        </w:tc>
        <w:tc>
          <w:tcPr>
            <w:tcW w:w="9380" w:type="dxa"/>
            <w:vAlign w:val="bottom"/>
            <w:gridSpan w:val="2"/>
          </w:tcPr>
          <w:p>
            <w:pPr>
              <w:ind w:left="300"/>
              <w:spacing w:after="0" w:line="81" w:lineRule="exact"/>
              <w:rPr>
                <w:sz w:val="20"/>
                <w:szCs w:val="20"/>
                <w:color w:val="auto"/>
              </w:rPr>
            </w:pPr>
            <w:r>
              <w:rPr>
                <w:rFonts w:ascii="Arial" w:cs="Arial" w:eastAsia="Arial" w:hAnsi="Arial"/>
                <w:sz w:val="8"/>
                <w:szCs w:val="8"/>
                <w:color w:val="auto"/>
              </w:rPr>
              <w:t>petroleum initially in place, production curves and certain other inputs, including forecast production volumes and future capital and operating cost assumptions, all of which are inputs used by reservoir engineers to estimate oil and gas</w:t>
            </w:r>
          </w:p>
        </w:tc>
      </w:tr>
      <w:tr>
        <w:trPr>
          <w:trHeight w:val="105"/>
        </w:trPr>
        <w:tc>
          <w:tcPr>
            <w:tcW w:w="1920" w:type="dxa"/>
            <w:vAlign w:val="bottom"/>
          </w:tcPr>
          <w:p>
            <w:pPr>
              <w:spacing w:after="0"/>
              <w:rPr>
                <w:sz w:val="9"/>
                <w:szCs w:val="9"/>
                <w:color w:val="auto"/>
              </w:rPr>
            </w:pPr>
          </w:p>
        </w:tc>
        <w:tc>
          <w:tcPr>
            <w:tcW w:w="3500" w:type="dxa"/>
            <w:vAlign w:val="bottom"/>
          </w:tcPr>
          <w:p>
            <w:pPr>
              <w:ind w:left="300"/>
              <w:spacing w:after="0" w:line="105" w:lineRule="exact"/>
              <w:rPr>
                <w:sz w:val="20"/>
                <w:szCs w:val="20"/>
                <w:color w:val="auto"/>
              </w:rPr>
            </w:pPr>
            <w:r>
              <w:rPr>
                <w:rFonts w:ascii="Arial" w:cs="Arial" w:eastAsia="Arial" w:hAnsi="Arial"/>
                <w:sz w:val="10"/>
                <w:szCs w:val="10"/>
                <w:color w:val="auto"/>
              </w:rPr>
              <w:t>reserves.</w:t>
            </w:r>
          </w:p>
        </w:tc>
        <w:tc>
          <w:tcPr>
            <w:tcW w:w="5880" w:type="dxa"/>
            <w:vAlign w:val="bottom"/>
          </w:tcPr>
          <w:p>
            <w:pPr>
              <w:spacing w:after="0"/>
              <w:rPr>
                <w:sz w:val="9"/>
                <w:szCs w:val="9"/>
                <w:color w:val="auto"/>
              </w:rPr>
            </w:pPr>
          </w:p>
        </w:tc>
      </w:tr>
      <w:tr>
        <w:trPr>
          <w:trHeight w:val="93"/>
        </w:trPr>
        <w:tc>
          <w:tcPr>
            <w:tcW w:w="1920" w:type="dxa"/>
            <w:vAlign w:val="bottom"/>
          </w:tcPr>
          <w:p>
            <w:pPr>
              <w:ind w:left="20"/>
              <w:spacing w:after="0" w:line="94" w:lineRule="exact"/>
              <w:rPr>
                <w:sz w:val="20"/>
                <w:szCs w:val="20"/>
                <w:color w:val="auto"/>
              </w:rPr>
            </w:pPr>
            <w:r>
              <w:rPr>
                <w:rFonts w:ascii="Arial" w:cs="Arial" w:eastAsia="Arial" w:hAnsi="Arial"/>
                <w:sz w:val="10"/>
                <w:szCs w:val="10"/>
                <w:color w:val="auto"/>
              </w:rPr>
              <w:t>How we addressed the matter in our audit</w:t>
            </w:r>
          </w:p>
        </w:tc>
        <w:tc>
          <w:tcPr>
            <w:tcW w:w="9380" w:type="dxa"/>
            <w:vAlign w:val="bottom"/>
            <w:gridSpan w:val="2"/>
          </w:tcPr>
          <w:p>
            <w:pPr>
              <w:ind w:left="300"/>
              <w:spacing w:after="0" w:line="94" w:lineRule="exact"/>
              <w:rPr>
                <w:sz w:val="20"/>
                <w:szCs w:val="20"/>
                <w:color w:val="auto"/>
              </w:rPr>
            </w:pPr>
            <w:r>
              <w:rPr>
                <w:rFonts w:ascii="Arial" w:cs="Arial" w:eastAsia="Arial" w:hAnsi="Arial"/>
                <w:sz w:val="10"/>
                <w:szCs w:val="10"/>
                <w:color w:val="auto"/>
                <w:w w:val="86"/>
              </w:rPr>
              <w:t>We obtained an understanding of the controls over Shell’s oil and gas reserves' estimation process. We then evaluated the design of these controls and tested their operating effectiveness. For example, we tested management’s controls</w:t>
            </w:r>
          </w:p>
        </w:tc>
      </w:tr>
      <w:tr>
        <w:trPr>
          <w:trHeight w:val="121"/>
        </w:trPr>
        <w:tc>
          <w:tcPr>
            <w:tcW w:w="1920" w:type="dxa"/>
            <w:vAlign w:val="bottom"/>
          </w:tcPr>
          <w:p>
            <w:pPr>
              <w:spacing w:after="0"/>
              <w:rPr>
                <w:sz w:val="10"/>
                <w:szCs w:val="10"/>
                <w:color w:val="auto"/>
              </w:rPr>
            </w:pPr>
          </w:p>
        </w:tc>
        <w:tc>
          <w:tcPr>
            <w:tcW w:w="3500" w:type="dxa"/>
            <w:vAlign w:val="bottom"/>
          </w:tcPr>
          <w:p>
            <w:pPr>
              <w:ind w:left="300"/>
              <w:spacing w:after="0"/>
              <w:rPr>
                <w:sz w:val="20"/>
                <w:szCs w:val="20"/>
                <w:color w:val="auto"/>
              </w:rPr>
            </w:pPr>
            <w:r>
              <w:rPr>
                <w:rFonts w:ascii="Arial" w:cs="Arial" w:eastAsia="Arial" w:hAnsi="Arial"/>
                <w:sz w:val="10"/>
                <w:szCs w:val="10"/>
                <w:color w:val="auto"/>
                <w:w w:val="89"/>
              </w:rPr>
              <w:t>over review of changes to year-on-year estimated oil and gas reserves volumes.</w:t>
            </w:r>
          </w:p>
        </w:tc>
        <w:tc>
          <w:tcPr>
            <w:tcW w:w="5880" w:type="dxa"/>
            <w:vAlign w:val="bottom"/>
          </w:tcPr>
          <w:p>
            <w:pPr>
              <w:spacing w:after="0"/>
              <w:rPr>
                <w:sz w:val="10"/>
                <w:szCs w:val="10"/>
                <w:color w:val="auto"/>
              </w:rPr>
            </w:pPr>
          </w:p>
        </w:tc>
      </w:tr>
      <w:tr>
        <w:trPr>
          <w:trHeight w:val="177"/>
        </w:trPr>
        <w:tc>
          <w:tcPr>
            <w:tcW w:w="1920" w:type="dxa"/>
            <w:vAlign w:val="bottom"/>
          </w:tcPr>
          <w:p>
            <w:pPr>
              <w:spacing w:after="0"/>
              <w:rPr>
                <w:sz w:val="15"/>
                <w:szCs w:val="15"/>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9"/>
              </w:rPr>
              <w:t>We involved professionals with substantial oil and gas reserves and valuation experience and relevant qualifications in energy economics to assist us in evaluating the key assumptions and methodologies applied by management.</w:t>
            </w:r>
          </w:p>
        </w:tc>
      </w:tr>
      <w:tr>
        <w:trPr>
          <w:trHeight w:val="152"/>
        </w:trPr>
        <w:tc>
          <w:tcPr>
            <w:tcW w:w="1920" w:type="dxa"/>
            <w:vAlign w:val="bottom"/>
          </w:tcPr>
          <w:p>
            <w:pPr>
              <w:spacing w:after="0"/>
              <w:rPr>
                <w:sz w:val="13"/>
                <w:szCs w:val="13"/>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7"/>
              </w:rPr>
              <w:t>Our procedures included, amongst others, testing that significant additions or reductions in reserves had been made in the period in which the new information became available. We also evaluated management’s estimation of the point</w:t>
            </w:r>
          </w:p>
        </w:tc>
      </w:tr>
      <w:tr>
        <w:trPr>
          <w:trHeight w:val="90"/>
        </w:trPr>
        <w:tc>
          <w:tcPr>
            <w:tcW w:w="1920" w:type="dxa"/>
            <w:vAlign w:val="bottom"/>
          </w:tcPr>
          <w:p>
            <w:pPr>
              <w:spacing w:after="0"/>
              <w:rPr>
                <w:sz w:val="7"/>
                <w:szCs w:val="7"/>
                <w:color w:val="auto"/>
              </w:rPr>
            </w:pPr>
          </w:p>
        </w:tc>
        <w:tc>
          <w:tcPr>
            <w:tcW w:w="9380" w:type="dxa"/>
            <w:vAlign w:val="bottom"/>
            <w:gridSpan w:val="2"/>
          </w:tcPr>
          <w:p>
            <w:pPr>
              <w:ind w:left="300"/>
              <w:spacing w:after="0" w:line="90" w:lineRule="exact"/>
              <w:rPr>
                <w:sz w:val="20"/>
                <w:szCs w:val="20"/>
                <w:color w:val="auto"/>
              </w:rPr>
            </w:pPr>
            <w:r>
              <w:rPr>
                <w:rFonts w:ascii="Arial" w:cs="Arial" w:eastAsia="Arial" w:hAnsi="Arial"/>
                <w:sz w:val="10"/>
                <w:szCs w:val="10"/>
                <w:color w:val="auto"/>
                <w:w w:val="87"/>
              </w:rPr>
              <w:t>at which the operating cash flow from a project becomes negative, as this impacts DD&amp;A and impairment. We evaluated the professional qualifications and objectivity of management's experts who performed the detailed preparation of</w:t>
            </w:r>
          </w:p>
        </w:tc>
      </w:tr>
      <w:tr>
        <w:trPr>
          <w:trHeight w:val="90"/>
        </w:trPr>
        <w:tc>
          <w:tcPr>
            <w:tcW w:w="1920" w:type="dxa"/>
            <w:vAlign w:val="bottom"/>
          </w:tcPr>
          <w:p>
            <w:pPr>
              <w:spacing w:after="0"/>
              <w:rPr>
                <w:sz w:val="7"/>
                <w:szCs w:val="7"/>
                <w:color w:val="auto"/>
              </w:rPr>
            </w:pPr>
          </w:p>
        </w:tc>
        <w:tc>
          <w:tcPr>
            <w:tcW w:w="9380" w:type="dxa"/>
            <w:vAlign w:val="bottom"/>
            <w:gridSpan w:val="2"/>
          </w:tcPr>
          <w:p>
            <w:pPr>
              <w:ind w:left="300"/>
              <w:spacing w:after="0" w:line="90" w:lineRule="exact"/>
              <w:rPr>
                <w:sz w:val="20"/>
                <w:szCs w:val="20"/>
                <w:color w:val="auto"/>
              </w:rPr>
            </w:pPr>
            <w:r>
              <w:rPr>
                <w:rFonts w:ascii="Arial" w:cs="Arial" w:eastAsia="Arial" w:hAnsi="Arial"/>
                <w:sz w:val="10"/>
                <w:szCs w:val="10"/>
                <w:color w:val="auto"/>
                <w:w w:val="87"/>
              </w:rPr>
              <w:t>the reserve estimates and those who are primarily responsible for providing independent review and challenge, and ultimately endorsement of, the reserve estimates. We also evaluated the completeness and accuracy of the inputs used</w:t>
            </w:r>
          </w:p>
        </w:tc>
      </w:tr>
      <w:tr>
        <w:trPr>
          <w:trHeight w:val="90"/>
        </w:trPr>
        <w:tc>
          <w:tcPr>
            <w:tcW w:w="1920" w:type="dxa"/>
            <w:vAlign w:val="bottom"/>
          </w:tcPr>
          <w:p>
            <w:pPr>
              <w:spacing w:after="0"/>
              <w:rPr>
                <w:sz w:val="7"/>
                <w:szCs w:val="7"/>
                <w:color w:val="auto"/>
              </w:rPr>
            </w:pPr>
          </w:p>
        </w:tc>
        <w:tc>
          <w:tcPr>
            <w:tcW w:w="9380" w:type="dxa"/>
            <w:vAlign w:val="bottom"/>
            <w:gridSpan w:val="2"/>
          </w:tcPr>
          <w:p>
            <w:pPr>
              <w:ind w:left="300"/>
              <w:spacing w:after="0" w:line="90" w:lineRule="exact"/>
              <w:rPr>
                <w:sz w:val="20"/>
                <w:szCs w:val="20"/>
                <w:color w:val="auto"/>
              </w:rPr>
            </w:pPr>
            <w:r>
              <w:rPr>
                <w:rFonts w:ascii="Arial" w:cs="Arial" w:eastAsia="Arial" w:hAnsi="Arial"/>
                <w:sz w:val="10"/>
                <w:szCs w:val="10"/>
                <w:color w:val="auto"/>
                <w:w w:val="88"/>
              </w:rPr>
              <w:t>by management in estimating the oil and gas reserves by agreeing the inputs to source documentation. We evaluated management’s development plan for compliance with SEC rules that undrilled locations must be scheduled to be</w:t>
            </w:r>
          </w:p>
        </w:tc>
      </w:tr>
      <w:tr>
        <w:trPr>
          <w:trHeight w:val="90"/>
        </w:trPr>
        <w:tc>
          <w:tcPr>
            <w:tcW w:w="1920" w:type="dxa"/>
            <w:vAlign w:val="bottom"/>
          </w:tcPr>
          <w:p>
            <w:pPr>
              <w:spacing w:after="0"/>
              <w:rPr>
                <w:sz w:val="7"/>
                <w:szCs w:val="7"/>
                <w:color w:val="auto"/>
              </w:rPr>
            </w:pPr>
          </w:p>
        </w:tc>
        <w:tc>
          <w:tcPr>
            <w:tcW w:w="9380" w:type="dxa"/>
            <w:vAlign w:val="bottom"/>
            <w:gridSpan w:val="2"/>
          </w:tcPr>
          <w:p>
            <w:pPr>
              <w:ind w:left="300"/>
              <w:spacing w:after="0" w:line="90" w:lineRule="exact"/>
              <w:rPr>
                <w:sz w:val="20"/>
                <w:szCs w:val="20"/>
                <w:color w:val="auto"/>
              </w:rPr>
            </w:pPr>
            <w:r>
              <w:rPr>
                <w:rFonts w:ascii="Arial" w:cs="Arial" w:eastAsia="Arial" w:hAnsi="Arial"/>
                <w:sz w:val="10"/>
                <w:szCs w:val="10"/>
                <w:color w:val="auto"/>
                <w:w w:val="87"/>
              </w:rPr>
              <w:t>drilled within five years, unless specific circumstances justify a longer period. This evaluation was made by assessing the consistency of the development projections with Shell's development and capital expenditure plans. Also, where</w:t>
            </w:r>
          </w:p>
        </w:tc>
      </w:tr>
      <w:tr>
        <w:trPr>
          <w:trHeight w:val="90"/>
        </w:trPr>
        <w:tc>
          <w:tcPr>
            <w:tcW w:w="1920" w:type="dxa"/>
            <w:vAlign w:val="bottom"/>
          </w:tcPr>
          <w:p>
            <w:pPr>
              <w:spacing w:after="0"/>
              <w:rPr>
                <w:sz w:val="7"/>
                <w:szCs w:val="7"/>
                <w:color w:val="auto"/>
              </w:rPr>
            </w:pPr>
          </w:p>
        </w:tc>
        <w:tc>
          <w:tcPr>
            <w:tcW w:w="9380" w:type="dxa"/>
            <w:vAlign w:val="bottom"/>
            <w:gridSpan w:val="2"/>
          </w:tcPr>
          <w:p>
            <w:pPr>
              <w:ind w:left="300"/>
              <w:spacing w:after="0" w:line="90" w:lineRule="exact"/>
              <w:rPr>
                <w:sz w:val="20"/>
                <w:szCs w:val="20"/>
                <w:color w:val="auto"/>
              </w:rPr>
            </w:pPr>
            <w:r>
              <w:rPr>
                <w:rFonts w:ascii="Arial" w:cs="Arial" w:eastAsia="Arial" w:hAnsi="Arial"/>
                <w:sz w:val="10"/>
                <w:szCs w:val="10"/>
                <w:color w:val="auto"/>
                <w:w w:val="86"/>
              </w:rPr>
              <w:t>reserves are recognised beyond current licence terms, we obtained evidence to support the assumption that the licence would be renewed. We also considered whether or not the development and capital expenditure plans reflect Shell's</w:t>
            </w:r>
          </w:p>
        </w:tc>
      </w:tr>
      <w:tr>
        <w:trPr>
          <w:trHeight w:val="121"/>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rPr>
              <w:t>net-zero emissions ambition, specifically considering reserve volumes expected to be lifted beyond 2030.</w:t>
            </w:r>
          </w:p>
        </w:tc>
      </w:tr>
      <w:tr>
        <w:trPr>
          <w:trHeight w:val="340"/>
        </w:trPr>
        <w:tc>
          <w:tcPr>
            <w:tcW w:w="5420" w:type="dxa"/>
            <w:vAlign w:val="bottom"/>
            <w:gridSpan w:val="2"/>
          </w:tcPr>
          <w:p>
            <w:pPr>
              <w:ind w:left="40"/>
              <w:spacing w:after="0"/>
              <w:rPr>
                <w:sz w:val="20"/>
                <w:szCs w:val="20"/>
                <w:color w:val="auto"/>
              </w:rPr>
            </w:pPr>
            <w:r>
              <w:rPr>
                <w:rFonts w:ascii="Arial" w:cs="Arial" w:eastAsia="Arial" w:hAnsi="Arial"/>
                <w:sz w:val="7"/>
                <w:szCs w:val="7"/>
                <w:color w:val="auto"/>
              </w:rPr>
              <w:t>FINANCIAL STATEMENTS AND SUPPLEMENTS SHELL FORM 20-F 2020</w:t>
            </w:r>
          </w:p>
        </w:tc>
        <w:tc>
          <w:tcPr>
            <w:tcW w:w="5880" w:type="dxa"/>
            <w:vAlign w:val="bottom"/>
          </w:tcPr>
          <w:p>
            <w:pPr>
              <w:jc w:val="right"/>
              <w:ind w:right="5564"/>
              <w:spacing w:after="0"/>
              <w:rPr>
                <w:sz w:val="20"/>
                <w:szCs w:val="20"/>
                <w:color w:val="auto"/>
              </w:rPr>
            </w:pPr>
            <w:r>
              <w:rPr>
                <w:rFonts w:ascii="Arial" w:cs="Arial" w:eastAsia="Arial" w:hAnsi="Arial"/>
                <w:sz w:val="7"/>
                <w:szCs w:val="7"/>
                <w:color w:val="auto"/>
              </w:rPr>
              <w:t>159</w:t>
            </w:r>
          </w:p>
        </w:tc>
      </w:tr>
      <w:tr>
        <w:trPr>
          <w:trHeight w:val="304"/>
        </w:trPr>
        <w:tc>
          <w:tcPr>
            <w:tcW w:w="19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09" w:right="29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23"/>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b w:val="1"/>
                <w:bCs w:val="1"/>
                <w:color w:val="auto"/>
              </w:rPr>
              <w:t>IMPAIRMENT OF EXPLORATION AND PRODUCTION ASSETS AND MANUFACTURING, SUPPLY AND DISTRIBUTION ASSETS</w:t>
            </w:r>
          </w:p>
        </w:tc>
      </w:tr>
      <w:tr>
        <w:trPr>
          <w:trHeight w:val="107"/>
        </w:trPr>
        <w:tc>
          <w:tcPr>
            <w:tcW w:w="1920" w:type="dxa"/>
            <w:vAlign w:val="bottom"/>
          </w:tcPr>
          <w:p>
            <w:pPr>
              <w:ind w:left="20"/>
              <w:spacing w:after="0" w:line="107" w:lineRule="exact"/>
              <w:rPr>
                <w:sz w:val="20"/>
                <w:szCs w:val="20"/>
                <w:color w:val="auto"/>
              </w:rPr>
            </w:pPr>
            <w:r>
              <w:rPr>
                <w:rFonts w:ascii="Arial" w:cs="Arial" w:eastAsia="Arial" w:hAnsi="Arial"/>
                <w:sz w:val="10"/>
                <w:szCs w:val="10"/>
                <w:color w:val="auto"/>
              </w:rPr>
              <w:t>Description of the matter</w:t>
            </w:r>
          </w:p>
        </w:tc>
        <w:tc>
          <w:tcPr>
            <w:tcW w:w="9380" w:type="dxa"/>
            <w:vAlign w:val="bottom"/>
            <w:gridSpan w:val="2"/>
          </w:tcPr>
          <w:p>
            <w:pPr>
              <w:ind w:left="300"/>
              <w:spacing w:after="0" w:line="107" w:lineRule="exact"/>
              <w:rPr>
                <w:sz w:val="20"/>
                <w:szCs w:val="20"/>
                <w:color w:val="auto"/>
              </w:rPr>
            </w:pPr>
            <w:r>
              <w:rPr>
                <w:rFonts w:ascii="Arial" w:cs="Arial" w:eastAsia="Arial" w:hAnsi="Arial"/>
                <w:sz w:val="10"/>
                <w:szCs w:val="10"/>
                <w:color w:val="auto"/>
                <w:w w:val="88"/>
              </w:rPr>
              <w:t>As described in Note 8 to the Consolidated Financial Statements, in the year ended December 31, 2020, Shell recorded impairment charges of $20 billion relating to Exploration and production assets and $7 billion for manufacturing,</w:t>
            </w:r>
          </w:p>
        </w:tc>
      </w:tr>
      <w:tr>
        <w:trPr>
          <w:trHeight w:val="121"/>
        </w:trPr>
        <w:tc>
          <w:tcPr>
            <w:tcW w:w="1920" w:type="dxa"/>
            <w:vAlign w:val="bottom"/>
          </w:tcPr>
          <w:p>
            <w:pPr>
              <w:spacing w:after="0"/>
              <w:rPr>
                <w:sz w:val="10"/>
                <w:szCs w:val="10"/>
                <w:color w:val="auto"/>
              </w:rPr>
            </w:pPr>
          </w:p>
        </w:tc>
        <w:tc>
          <w:tcPr>
            <w:tcW w:w="3100" w:type="dxa"/>
            <w:vAlign w:val="bottom"/>
          </w:tcPr>
          <w:p>
            <w:pPr>
              <w:ind w:left="300"/>
              <w:spacing w:after="0"/>
              <w:rPr>
                <w:sz w:val="20"/>
                <w:szCs w:val="20"/>
                <w:color w:val="auto"/>
              </w:rPr>
            </w:pPr>
            <w:r>
              <w:rPr>
                <w:rFonts w:ascii="Arial" w:cs="Arial" w:eastAsia="Arial" w:hAnsi="Arial"/>
                <w:sz w:val="10"/>
                <w:szCs w:val="10"/>
                <w:color w:val="auto"/>
              </w:rPr>
              <w:t>supply and distribution assets.</w:t>
            </w:r>
          </w:p>
        </w:tc>
        <w:tc>
          <w:tcPr>
            <w:tcW w:w="6280" w:type="dxa"/>
            <w:vAlign w:val="bottom"/>
          </w:tcPr>
          <w:p>
            <w:pPr>
              <w:spacing w:after="0"/>
              <w:rPr>
                <w:sz w:val="10"/>
                <w:szCs w:val="10"/>
                <w:color w:val="auto"/>
              </w:rPr>
            </w:pPr>
          </w:p>
        </w:tc>
      </w:tr>
      <w:tr>
        <w:trPr>
          <w:trHeight w:val="149"/>
        </w:trPr>
        <w:tc>
          <w:tcPr>
            <w:tcW w:w="1920" w:type="dxa"/>
            <w:vAlign w:val="bottom"/>
          </w:tcPr>
          <w:p>
            <w:pPr>
              <w:spacing w:after="0"/>
              <w:rPr>
                <w:sz w:val="12"/>
                <w:szCs w:val="12"/>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9"/>
              </w:rPr>
              <w:t>Auditing the impairment charges recorded for Exploration and production assets, and Manufacturing, supply and distribution assets is complex and subjective due to the significant amount of judgement involved in determining the</w:t>
            </w:r>
          </w:p>
        </w:tc>
      </w:tr>
      <w:tr>
        <w:trPr>
          <w:trHeight w:val="90"/>
        </w:trPr>
        <w:tc>
          <w:tcPr>
            <w:tcW w:w="1920" w:type="dxa"/>
            <w:vAlign w:val="bottom"/>
          </w:tcPr>
          <w:p>
            <w:pPr>
              <w:spacing w:after="0"/>
              <w:rPr>
                <w:sz w:val="7"/>
                <w:szCs w:val="7"/>
                <w:color w:val="auto"/>
              </w:rPr>
            </w:pPr>
          </w:p>
        </w:tc>
        <w:tc>
          <w:tcPr>
            <w:tcW w:w="9380" w:type="dxa"/>
            <w:vAlign w:val="bottom"/>
            <w:gridSpan w:val="2"/>
          </w:tcPr>
          <w:p>
            <w:pPr>
              <w:ind w:left="300"/>
              <w:spacing w:after="0" w:line="90" w:lineRule="exact"/>
              <w:rPr>
                <w:sz w:val="20"/>
                <w:szCs w:val="20"/>
                <w:color w:val="auto"/>
              </w:rPr>
            </w:pPr>
            <w:r>
              <w:rPr>
                <w:rFonts w:ascii="Arial" w:cs="Arial" w:eastAsia="Arial" w:hAnsi="Arial"/>
                <w:sz w:val="10"/>
                <w:szCs w:val="10"/>
                <w:color w:val="auto"/>
                <w:w w:val="90"/>
              </w:rPr>
              <w:t>recoverable amount. As described in Note 2A, the most complex judgements in forecasting cash flows for impairment testing relate to management's assessment of the long-term oil and gas price outlook, and forecasting refining</w:t>
            </w:r>
          </w:p>
        </w:tc>
      </w:tr>
      <w:tr>
        <w:trPr>
          <w:trHeight w:val="90"/>
        </w:trPr>
        <w:tc>
          <w:tcPr>
            <w:tcW w:w="1920" w:type="dxa"/>
            <w:vAlign w:val="bottom"/>
          </w:tcPr>
          <w:p>
            <w:pPr>
              <w:spacing w:after="0"/>
              <w:rPr>
                <w:sz w:val="7"/>
                <w:szCs w:val="7"/>
                <w:color w:val="auto"/>
              </w:rPr>
            </w:pPr>
          </w:p>
        </w:tc>
        <w:tc>
          <w:tcPr>
            <w:tcW w:w="9380" w:type="dxa"/>
            <w:vAlign w:val="bottom"/>
            <w:gridSpan w:val="2"/>
          </w:tcPr>
          <w:p>
            <w:pPr>
              <w:ind w:left="300"/>
              <w:spacing w:after="0" w:line="90" w:lineRule="exact"/>
              <w:rPr>
                <w:sz w:val="20"/>
                <w:szCs w:val="20"/>
                <w:color w:val="auto"/>
              </w:rPr>
            </w:pPr>
            <w:r>
              <w:rPr>
                <w:rFonts w:ascii="Arial" w:cs="Arial" w:eastAsia="Arial" w:hAnsi="Arial"/>
                <w:sz w:val="10"/>
                <w:szCs w:val="10"/>
                <w:color w:val="auto"/>
                <w:w w:val="87"/>
              </w:rPr>
              <w:t>margins appropriate to local markets. Estimating long-term oil and gas prices and forecast refining margins is inherently difficult, as it requires forecasts that reflect developments in demand such as global economic growth, technology</w:t>
            </w:r>
          </w:p>
        </w:tc>
      </w:tr>
      <w:tr>
        <w:trPr>
          <w:trHeight w:val="90"/>
        </w:trPr>
        <w:tc>
          <w:tcPr>
            <w:tcW w:w="1920" w:type="dxa"/>
            <w:vAlign w:val="bottom"/>
          </w:tcPr>
          <w:p>
            <w:pPr>
              <w:spacing w:after="0"/>
              <w:rPr>
                <w:sz w:val="7"/>
                <w:szCs w:val="7"/>
                <w:color w:val="auto"/>
              </w:rPr>
            </w:pPr>
          </w:p>
        </w:tc>
        <w:tc>
          <w:tcPr>
            <w:tcW w:w="9380" w:type="dxa"/>
            <w:vAlign w:val="bottom"/>
            <w:gridSpan w:val="2"/>
          </w:tcPr>
          <w:p>
            <w:pPr>
              <w:ind w:left="300"/>
              <w:spacing w:after="0" w:line="90" w:lineRule="exact"/>
              <w:rPr>
                <w:sz w:val="20"/>
                <w:szCs w:val="20"/>
                <w:color w:val="auto"/>
              </w:rPr>
            </w:pPr>
            <w:r>
              <w:rPr>
                <w:rFonts w:ascii="Arial" w:cs="Arial" w:eastAsia="Arial" w:hAnsi="Arial"/>
                <w:sz w:val="10"/>
                <w:szCs w:val="10"/>
                <w:color w:val="auto"/>
                <w:w w:val="87"/>
              </w:rPr>
              <w:t>efficiency, policy measures and, on the supply side, consideration of investment and resource potential, cost of development of new supply and behaviour of major resource holders. These judgements are particularly difficult because of</w:t>
            </w:r>
          </w:p>
        </w:tc>
      </w:tr>
      <w:tr>
        <w:trPr>
          <w:trHeight w:val="121"/>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rPr>
              <w:t>increased demand uncertainty due to factors such as the macro-economic impacts of the COVID-19 pandemic and the pace of decarbonisation and the energy transition.</w:t>
            </w:r>
          </w:p>
        </w:tc>
      </w:tr>
      <w:tr>
        <w:trPr>
          <w:trHeight w:val="149"/>
        </w:trPr>
        <w:tc>
          <w:tcPr>
            <w:tcW w:w="1920" w:type="dxa"/>
            <w:vAlign w:val="bottom"/>
          </w:tcPr>
          <w:p>
            <w:pPr>
              <w:spacing w:after="0"/>
              <w:rPr>
                <w:sz w:val="12"/>
                <w:szCs w:val="12"/>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8"/>
              </w:rPr>
              <w:t>Other judgements relate to oil and gas reserve estimates, future expected production volumes, the expected useful lives of the assets and asset-specific risk adjustments. Further, given the long timeframes involved, the recoverable</w:t>
            </w:r>
          </w:p>
        </w:tc>
      </w:tr>
      <w:tr>
        <w:trPr>
          <w:trHeight w:val="90"/>
        </w:trPr>
        <w:tc>
          <w:tcPr>
            <w:tcW w:w="1920" w:type="dxa"/>
            <w:vAlign w:val="bottom"/>
          </w:tcPr>
          <w:p>
            <w:pPr>
              <w:spacing w:after="0"/>
              <w:rPr>
                <w:sz w:val="7"/>
                <w:szCs w:val="7"/>
                <w:color w:val="auto"/>
              </w:rPr>
            </w:pPr>
          </w:p>
        </w:tc>
        <w:tc>
          <w:tcPr>
            <w:tcW w:w="9380" w:type="dxa"/>
            <w:vAlign w:val="bottom"/>
            <w:gridSpan w:val="2"/>
          </w:tcPr>
          <w:p>
            <w:pPr>
              <w:ind w:left="300"/>
              <w:spacing w:after="0" w:line="90" w:lineRule="exact"/>
              <w:rPr>
                <w:sz w:val="20"/>
                <w:szCs w:val="20"/>
                <w:color w:val="auto"/>
              </w:rPr>
            </w:pPr>
            <w:r>
              <w:rPr>
                <w:rFonts w:ascii="Arial" w:cs="Arial" w:eastAsia="Arial" w:hAnsi="Arial"/>
                <w:sz w:val="10"/>
                <w:szCs w:val="10"/>
                <w:color w:val="auto"/>
                <w:w w:val="87"/>
              </w:rPr>
              <w:t>amounts of assets are often sensitive to the extent of the risk adjustments applied to the future cash flows. There is a risk of material misstatement in the event that the future cash flows do not reflect appropriately the risks specific to the</w:t>
            </w:r>
          </w:p>
        </w:tc>
      </w:tr>
      <w:tr>
        <w:trPr>
          <w:trHeight w:val="121"/>
        </w:trPr>
        <w:tc>
          <w:tcPr>
            <w:tcW w:w="1920" w:type="dxa"/>
            <w:vAlign w:val="bottom"/>
          </w:tcPr>
          <w:p>
            <w:pPr>
              <w:spacing w:after="0"/>
              <w:rPr>
                <w:sz w:val="10"/>
                <w:szCs w:val="10"/>
                <w:color w:val="auto"/>
              </w:rPr>
            </w:pPr>
          </w:p>
        </w:tc>
        <w:tc>
          <w:tcPr>
            <w:tcW w:w="3100" w:type="dxa"/>
            <w:vAlign w:val="bottom"/>
          </w:tcPr>
          <w:p>
            <w:pPr>
              <w:ind w:left="300"/>
              <w:spacing w:after="0"/>
              <w:rPr>
                <w:sz w:val="20"/>
                <w:szCs w:val="20"/>
                <w:color w:val="auto"/>
              </w:rPr>
            </w:pPr>
            <w:r>
              <w:rPr>
                <w:rFonts w:ascii="Arial" w:cs="Arial" w:eastAsia="Arial" w:hAnsi="Arial"/>
                <w:sz w:val="10"/>
                <w:szCs w:val="10"/>
                <w:color w:val="auto"/>
              </w:rPr>
              <w:t>asset.</w:t>
            </w:r>
          </w:p>
        </w:tc>
        <w:tc>
          <w:tcPr>
            <w:tcW w:w="6280" w:type="dxa"/>
            <w:vAlign w:val="bottom"/>
          </w:tcPr>
          <w:p>
            <w:pPr>
              <w:spacing w:after="0"/>
              <w:rPr>
                <w:sz w:val="10"/>
                <w:szCs w:val="10"/>
                <w:color w:val="auto"/>
              </w:rPr>
            </w:pPr>
          </w:p>
        </w:tc>
      </w:tr>
      <w:tr>
        <w:trPr>
          <w:trHeight w:val="149"/>
        </w:trPr>
        <w:tc>
          <w:tcPr>
            <w:tcW w:w="1920" w:type="dxa"/>
            <w:vAlign w:val="bottom"/>
          </w:tcPr>
          <w:p>
            <w:pPr>
              <w:spacing w:after="0"/>
              <w:rPr>
                <w:sz w:val="12"/>
                <w:szCs w:val="12"/>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9"/>
              </w:rPr>
              <w:t>Exploration and evaluation (E&amp;E) expenditures are capitalised on a project-by-project basis. Auditing impairment of E&amp;E assets is inherently judgemental given the level of uncertainty considered in the run up to the final investment</w:t>
            </w:r>
          </w:p>
        </w:tc>
      </w:tr>
      <w:tr>
        <w:trPr>
          <w:trHeight w:val="121"/>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rPr>
              <w:t>decision. Until final investment is approved, there is a significant judgement relating to the risk that certain E&amp;E costs are not written off in the appropriate reporting period.</w:t>
            </w:r>
          </w:p>
        </w:tc>
      </w:tr>
      <w:tr>
        <w:trPr>
          <w:trHeight w:val="95"/>
        </w:trPr>
        <w:tc>
          <w:tcPr>
            <w:tcW w:w="1920" w:type="dxa"/>
            <w:vAlign w:val="bottom"/>
          </w:tcPr>
          <w:p>
            <w:pPr>
              <w:ind w:left="20"/>
              <w:spacing w:after="0" w:line="95" w:lineRule="exact"/>
              <w:rPr>
                <w:sz w:val="20"/>
                <w:szCs w:val="20"/>
                <w:color w:val="auto"/>
              </w:rPr>
            </w:pPr>
            <w:r>
              <w:rPr>
                <w:rFonts w:ascii="Arial" w:cs="Arial" w:eastAsia="Arial" w:hAnsi="Arial"/>
                <w:sz w:val="10"/>
                <w:szCs w:val="10"/>
                <w:color w:val="auto"/>
              </w:rPr>
              <w:t>How we addressed the matter in our audit</w:t>
            </w:r>
          </w:p>
        </w:tc>
        <w:tc>
          <w:tcPr>
            <w:tcW w:w="9380" w:type="dxa"/>
            <w:vAlign w:val="bottom"/>
            <w:gridSpan w:val="2"/>
          </w:tcPr>
          <w:p>
            <w:pPr>
              <w:ind w:left="300"/>
              <w:spacing w:after="0" w:line="95" w:lineRule="exact"/>
              <w:rPr>
                <w:sz w:val="20"/>
                <w:szCs w:val="20"/>
                <w:color w:val="auto"/>
              </w:rPr>
            </w:pPr>
            <w:r>
              <w:rPr>
                <w:rFonts w:ascii="Arial" w:cs="Arial" w:eastAsia="Arial" w:hAnsi="Arial"/>
                <w:sz w:val="10"/>
                <w:szCs w:val="10"/>
                <w:color w:val="auto"/>
                <w:w w:val="88"/>
              </w:rPr>
              <w:t>We obtained an understanding of the controls over Shell’s asset impairment process. We then evaluated the design of these controls and tested their operating effectiveness. For example, we tested the controls over management’s</w:t>
            </w:r>
          </w:p>
        </w:tc>
      </w:tr>
      <w:tr>
        <w:trPr>
          <w:trHeight w:val="81"/>
        </w:trPr>
        <w:tc>
          <w:tcPr>
            <w:tcW w:w="1920" w:type="dxa"/>
            <w:vAlign w:val="bottom"/>
          </w:tcPr>
          <w:p>
            <w:pPr>
              <w:spacing w:after="0"/>
              <w:rPr>
                <w:sz w:val="7"/>
                <w:szCs w:val="7"/>
                <w:color w:val="auto"/>
              </w:rPr>
            </w:pPr>
          </w:p>
        </w:tc>
        <w:tc>
          <w:tcPr>
            <w:tcW w:w="9380" w:type="dxa"/>
            <w:vAlign w:val="bottom"/>
            <w:gridSpan w:val="2"/>
          </w:tcPr>
          <w:p>
            <w:pPr>
              <w:ind w:left="300"/>
              <w:spacing w:after="0" w:line="81" w:lineRule="exact"/>
              <w:rPr>
                <w:sz w:val="20"/>
                <w:szCs w:val="20"/>
                <w:color w:val="auto"/>
              </w:rPr>
            </w:pPr>
            <w:r>
              <w:rPr>
                <w:rFonts w:ascii="Arial" w:cs="Arial" w:eastAsia="Arial" w:hAnsi="Arial"/>
                <w:sz w:val="8"/>
                <w:szCs w:val="8"/>
                <w:color w:val="auto"/>
              </w:rPr>
              <w:t>identification of cash generating units, of indicators of impairment and reversals of impairment and the approval of oil and gas prices and refining margins, which are the key inputs in the estimation of cash flows for the purpose of</w:t>
            </w:r>
          </w:p>
        </w:tc>
      </w:tr>
      <w:tr>
        <w:trPr>
          <w:trHeight w:val="121"/>
        </w:trPr>
        <w:tc>
          <w:tcPr>
            <w:tcW w:w="1920" w:type="dxa"/>
            <w:vAlign w:val="bottom"/>
          </w:tcPr>
          <w:p>
            <w:pPr>
              <w:spacing w:after="0"/>
              <w:rPr>
                <w:sz w:val="10"/>
                <w:szCs w:val="10"/>
                <w:color w:val="auto"/>
              </w:rPr>
            </w:pPr>
          </w:p>
        </w:tc>
        <w:tc>
          <w:tcPr>
            <w:tcW w:w="3100" w:type="dxa"/>
            <w:vAlign w:val="bottom"/>
          </w:tcPr>
          <w:p>
            <w:pPr>
              <w:ind w:left="300"/>
              <w:spacing w:after="0"/>
              <w:rPr>
                <w:sz w:val="20"/>
                <w:szCs w:val="20"/>
                <w:color w:val="auto"/>
              </w:rPr>
            </w:pPr>
            <w:r>
              <w:rPr>
                <w:rFonts w:ascii="Arial" w:cs="Arial" w:eastAsia="Arial" w:hAnsi="Arial"/>
                <w:sz w:val="10"/>
                <w:szCs w:val="10"/>
                <w:color w:val="auto"/>
              </w:rPr>
              <w:t>testing assets for impairment and reversals of impairment.</w:t>
            </w:r>
          </w:p>
        </w:tc>
        <w:tc>
          <w:tcPr>
            <w:tcW w:w="6280" w:type="dxa"/>
            <w:vAlign w:val="bottom"/>
          </w:tcPr>
          <w:p>
            <w:pPr>
              <w:spacing w:after="0"/>
              <w:rPr>
                <w:sz w:val="10"/>
                <w:szCs w:val="10"/>
                <w:color w:val="auto"/>
              </w:rPr>
            </w:pPr>
          </w:p>
        </w:tc>
      </w:tr>
      <w:tr>
        <w:trPr>
          <w:trHeight w:val="203"/>
        </w:trPr>
        <w:tc>
          <w:tcPr>
            <w:tcW w:w="1920" w:type="dxa"/>
            <w:vAlign w:val="bottom"/>
          </w:tcPr>
          <w:p>
            <w:pPr>
              <w:spacing w:after="0"/>
              <w:rPr>
                <w:sz w:val="17"/>
                <w:szCs w:val="17"/>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6"/>
              </w:rPr>
              <w:t>To test price assumptions, amongst other procedures, we compared future short and long-term oil and gas prices to consensus analysts' forecasts and those adopted by other international oil companies. We evaluated whether prices were</w:t>
            </w:r>
          </w:p>
        </w:tc>
      </w:tr>
      <w:tr>
        <w:trPr>
          <w:trHeight w:val="81"/>
        </w:trPr>
        <w:tc>
          <w:tcPr>
            <w:tcW w:w="1920" w:type="dxa"/>
            <w:vAlign w:val="bottom"/>
          </w:tcPr>
          <w:p>
            <w:pPr>
              <w:spacing w:after="0"/>
              <w:rPr>
                <w:sz w:val="7"/>
                <w:szCs w:val="7"/>
                <w:color w:val="auto"/>
              </w:rPr>
            </w:pPr>
          </w:p>
        </w:tc>
        <w:tc>
          <w:tcPr>
            <w:tcW w:w="9380" w:type="dxa"/>
            <w:vAlign w:val="bottom"/>
            <w:gridSpan w:val="2"/>
          </w:tcPr>
          <w:p>
            <w:pPr>
              <w:ind w:left="300"/>
              <w:spacing w:after="0" w:line="81" w:lineRule="exact"/>
              <w:rPr>
                <w:sz w:val="20"/>
                <w:szCs w:val="20"/>
                <w:color w:val="auto"/>
              </w:rPr>
            </w:pPr>
            <w:r>
              <w:rPr>
                <w:rFonts w:ascii="Arial" w:cs="Arial" w:eastAsia="Arial" w:hAnsi="Arial"/>
                <w:sz w:val="8"/>
                <w:szCs w:val="8"/>
                <w:color w:val="auto"/>
              </w:rPr>
              <w:t>used consistently across Shell, including pricing differentials with respect to market prices such as Brent. We considered management's long-term price assumptions including the extent to which the pricing scenarios incorporated the</w:t>
            </w:r>
          </w:p>
        </w:tc>
      </w:tr>
      <w:tr>
        <w:trPr>
          <w:trHeight w:val="121"/>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rPr>
              <w:t>potential impact of climate change and the energy transition by comparing the assumptions to the International Energy Agency price outlook in the Energy Outlook scenarios.</w:t>
            </w:r>
          </w:p>
        </w:tc>
      </w:tr>
      <w:tr>
        <w:trPr>
          <w:trHeight w:val="203"/>
        </w:trPr>
        <w:tc>
          <w:tcPr>
            <w:tcW w:w="1920" w:type="dxa"/>
            <w:vAlign w:val="bottom"/>
          </w:tcPr>
          <w:p>
            <w:pPr>
              <w:spacing w:after="0"/>
              <w:rPr>
                <w:sz w:val="17"/>
                <w:szCs w:val="17"/>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7"/>
              </w:rPr>
              <w:t>We assessed the basis for adjusting the cash flows to reflect the risks of each CGU or JVA that were not reflected in the impairment discount rate. In so doing, we considered, for Upstream and Integrated Gas, the stage of the life of the</w:t>
            </w:r>
          </w:p>
        </w:tc>
      </w:tr>
      <w:tr>
        <w:trPr>
          <w:trHeight w:val="121"/>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7"/>
              </w:rPr>
              <w:t>asset, the nature of the asset and tested the consistency across similar fields. In respect of Manufacturing, supply and distribution assets, we considered refining margins, refinery availability and estimated unplanned maintenance costs.</w:t>
            </w:r>
          </w:p>
        </w:tc>
      </w:tr>
      <w:tr>
        <w:trPr>
          <w:trHeight w:val="203"/>
        </w:trPr>
        <w:tc>
          <w:tcPr>
            <w:tcW w:w="1920" w:type="dxa"/>
            <w:vAlign w:val="bottom"/>
          </w:tcPr>
          <w:p>
            <w:pPr>
              <w:spacing w:after="0"/>
              <w:rPr>
                <w:sz w:val="17"/>
                <w:szCs w:val="17"/>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90"/>
              </w:rPr>
              <w:t>We also evaluated the cash flow inputs to the impairment models by reconciling reserves and future production volumes in the impairment models and the life-of-field assumptions with those applied in the decommissioning and</w:t>
            </w:r>
          </w:p>
        </w:tc>
      </w:tr>
      <w:tr>
        <w:trPr>
          <w:trHeight w:val="81"/>
        </w:trPr>
        <w:tc>
          <w:tcPr>
            <w:tcW w:w="1920" w:type="dxa"/>
            <w:vAlign w:val="bottom"/>
          </w:tcPr>
          <w:p>
            <w:pPr>
              <w:spacing w:after="0"/>
              <w:rPr>
                <w:sz w:val="7"/>
                <w:szCs w:val="7"/>
                <w:color w:val="auto"/>
              </w:rPr>
            </w:pPr>
          </w:p>
        </w:tc>
        <w:tc>
          <w:tcPr>
            <w:tcW w:w="9380" w:type="dxa"/>
            <w:vAlign w:val="bottom"/>
            <w:gridSpan w:val="2"/>
          </w:tcPr>
          <w:p>
            <w:pPr>
              <w:ind w:left="300"/>
              <w:spacing w:after="0" w:line="81" w:lineRule="exact"/>
              <w:rPr>
                <w:sz w:val="20"/>
                <w:szCs w:val="20"/>
                <w:color w:val="auto"/>
              </w:rPr>
            </w:pPr>
            <w:r>
              <w:rPr>
                <w:rFonts w:ascii="Arial" w:cs="Arial" w:eastAsia="Arial" w:hAnsi="Arial"/>
                <w:sz w:val="8"/>
                <w:szCs w:val="8"/>
                <w:color w:val="auto"/>
              </w:rPr>
              <w:t>restoration provision models. We evaluated the reasonableness of useful lives assigned for Manufacturing, supply and distribution assets, particularly those that management had assessed as longer-lived assets for consistency with the</w:t>
            </w:r>
          </w:p>
        </w:tc>
      </w:tr>
      <w:tr>
        <w:trPr>
          <w:trHeight w:val="81"/>
        </w:trPr>
        <w:tc>
          <w:tcPr>
            <w:tcW w:w="1920" w:type="dxa"/>
            <w:vAlign w:val="bottom"/>
          </w:tcPr>
          <w:p>
            <w:pPr>
              <w:spacing w:after="0"/>
              <w:rPr>
                <w:sz w:val="7"/>
                <w:szCs w:val="7"/>
                <w:color w:val="auto"/>
              </w:rPr>
            </w:pPr>
          </w:p>
        </w:tc>
        <w:tc>
          <w:tcPr>
            <w:tcW w:w="9380" w:type="dxa"/>
            <w:vAlign w:val="bottom"/>
            <w:gridSpan w:val="2"/>
          </w:tcPr>
          <w:p>
            <w:pPr>
              <w:ind w:left="300"/>
              <w:spacing w:after="0" w:line="81" w:lineRule="exact"/>
              <w:rPr>
                <w:sz w:val="20"/>
                <w:szCs w:val="20"/>
                <w:color w:val="auto"/>
              </w:rPr>
            </w:pPr>
            <w:r>
              <w:rPr>
                <w:rFonts w:ascii="Arial" w:cs="Arial" w:eastAsia="Arial" w:hAnsi="Arial"/>
                <w:sz w:val="8"/>
                <w:szCs w:val="8"/>
                <w:color w:val="auto"/>
              </w:rPr>
              <w:t>Company's strategy and energy transition goals. We also tested that carbon pricing was included in cash flows, where applicable; and we performed sensitivity analyses on critical assumptions in the cash flow models to understand the</w:t>
            </w:r>
          </w:p>
        </w:tc>
      </w:tr>
      <w:tr>
        <w:trPr>
          <w:trHeight w:val="121"/>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rPr>
              <w:t>impact of changes to certain assumptions, including oil and gas prices, refining margins, production and the risking of cashflows.</w:t>
            </w:r>
          </w:p>
        </w:tc>
      </w:tr>
      <w:tr>
        <w:trPr>
          <w:trHeight w:val="203"/>
        </w:trPr>
        <w:tc>
          <w:tcPr>
            <w:tcW w:w="1920" w:type="dxa"/>
            <w:vAlign w:val="bottom"/>
          </w:tcPr>
          <w:p>
            <w:pPr>
              <w:spacing w:after="0"/>
              <w:rPr>
                <w:sz w:val="17"/>
                <w:szCs w:val="17"/>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7"/>
              </w:rPr>
              <w:t>To test the completeness of the impairment charge recorded on exploration and evaluation assets, amongst other procedures, we performed a licence-by-licence risk assessment of Shell's E&amp;E assets to identify assets with a significant</w:t>
            </w:r>
          </w:p>
        </w:tc>
      </w:tr>
      <w:tr>
        <w:trPr>
          <w:trHeight w:val="81"/>
        </w:trPr>
        <w:tc>
          <w:tcPr>
            <w:tcW w:w="1920" w:type="dxa"/>
            <w:vAlign w:val="bottom"/>
          </w:tcPr>
          <w:p>
            <w:pPr>
              <w:spacing w:after="0"/>
              <w:rPr>
                <w:sz w:val="7"/>
                <w:szCs w:val="7"/>
                <w:color w:val="auto"/>
              </w:rPr>
            </w:pPr>
          </w:p>
        </w:tc>
        <w:tc>
          <w:tcPr>
            <w:tcW w:w="9380" w:type="dxa"/>
            <w:vAlign w:val="bottom"/>
            <w:gridSpan w:val="2"/>
          </w:tcPr>
          <w:p>
            <w:pPr>
              <w:ind w:left="300"/>
              <w:spacing w:after="0" w:line="81" w:lineRule="exact"/>
              <w:rPr>
                <w:sz w:val="20"/>
                <w:szCs w:val="20"/>
                <w:color w:val="auto"/>
              </w:rPr>
            </w:pPr>
            <w:r>
              <w:rPr>
                <w:rFonts w:ascii="Arial" w:cs="Arial" w:eastAsia="Arial" w:hAnsi="Arial"/>
                <w:sz w:val="8"/>
                <w:szCs w:val="8"/>
                <w:color w:val="auto"/>
              </w:rPr>
              <w:t>risk of impairment. We assessed each significant licence area against the impairment criteria, with a particular focus on those assets where the final investment decision was expected to be approved over the medium or long term, or</w:t>
            </w:r>
          </w:p>
        </w:tc>
      </w:tr>
      <w:tr>
        <w:trPr>
          <w:trHeight w:val="81"/>
        </w:trPr>
        <w:tc>
          <w:tcPr>
            <w:tcW w:w="1920" w:type="dxa"/>
            <w:vAlign w:val="bottom"/>
          </w:tcPr>
          <w:p>
            <w:pPr>
              <w:spacing w:after="0"/>
              <w:rPr>
                <w:sz w:val="7"/>
                <w:szCs w:val="7"/>
                <w:color w:val="auto"/>
              </w:rPr>
            </w:pPr>
          </w:p>
        </w:tc>
        <w:tc>
          <w:tcPr>
            <w:tcW w:w="9380" w:type="dxa"/>
            <w:vAlign w:val="bottom"/>
            <w:gridSpan w:val="2"/>
          </w:tcPr>
          <w:p>
            <w:pPr>
              <w:ind w:left="300"/>
              <w:spacing w:after="0" w:line="81" w:lineRule="exact"/>
              <w:rPr>
                <w:sz w:val="20"/>
                <w:szCs w:val="20"/>
                <w:color w:val="auto"/>
              </w:rPr>
            </w:pPr>
            <w:r>
              <w:rPr>
                <w:rFonts w:ascii="Arial" w:cs="Arial" w:eastAsia="Arial" w:hAnsi="Arial"/>
                <w:sz w:val="8"/>
                <w:szCs w:val="8"/>
                <w:color w:val="auto"/>
              </w:rPr>
              <w:t>those assets where the dominant commodity that will be produced is oil. We considered whether the development of E&amp;E projects would be inconsistent with Shell's current strategy and whether business plans confirm the company's</w:t>
            </w:r>
          </w:p>
        </w:tc>
      </w:tr>
      <w:tr>
        <w:trPr>
          <w:trHeight w:val="121"/>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rPr>
              <w:t>commitment to continue to invest in the projects. We assessed the appropriateness of the Company's impairment disclosures.</w:t>
            </w:r>
          </w:p>
        </w:tc>
      </w:tr>
      <w:tr>
        <w:trPr>
          <w:trHeight w:val="510"/>
        </w:trPr>
        <w:tc>
          <w:tcPr>
            <w:tcW w:w="1920" w:type="dxa"/>
            <w:vAlign w:val="bottom"/>
          </w:tcPr>
          <w:p>
            <w:pPr>
              <w:spacing w:after="0"/>
              <w:rPr>
                <w:sz w:val="24"/>
                <w:szCs w:val="24"/>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b w:val="1"/>
                <w:bCs w:val="1"/>
                <w:color w:val="auto"/>
              </w:rPr>
              <w:t xml:space="preserve">THE ESTIMATION OF FUTURE REFINING MARGINS TO EVALUATE THE RECOVERABILITY OF MANUFACTURING, SUPPLY AND DISTRIBUTION </w:t>
            </w:r>
            <w:r>
              <w:rPr>
                <w:rFonts w:ascii="Arial" w:cs="Arial" w:eastAsia="Arial" w:hAnsi="Arial"/>
                <w:sz w:val="10"/>
                <w:szCs w:val="10"/>
                <w:color w:val="auto"/>
              </w:rPr>
              <w:t>A</w:t>
            </w:r>
            <w:r>
              <w:rPr>
                <w:rFonts w:ascii="Arial" w:cs="Arial" w:eastAsia="Arial" w:hAnsi="Arial"/>
                <w:sz w:val="10"/>
                <w:szCs w:val="10"/>
                <w:b w:val="1"/>
                <w:bCs w:val="1"/>
                <w:color w:val="auto"/>
              </w:rPr>
              <w:t>SSETS</w:t>
            </w:r>
          </w:p>
        </w:tc>
      </w:tr>
      <w:tr>
        <w:trPr>
          <w:trHeight w:val="107"/>
        </w:trPr>
        <w:tc>
          <w:tcPr>
            <w:tcW w:w="1920" w:type="dxa"/>
            <w:vAlign w:val="bottom"/>
          </w:tcPr>
          <w:p>
            <w:pPr>
              <w:ind w:left="20"/>
              <w:spacing w:after="0" w:line="107" w:lineRule="exact"/>
              <w:rPr>
                <w:sz w:val="20"/>
                <w:szCs w:val="20"/>
                <w:color w:val="auto"/>
              </w:rPr>
            </w:pPr>
            <w:r>
              <w:rPr>
                <w:rFonts w:ascii="Arial" w:cs="Arial" w:eastAsia="Arial" w:hAnsi="Arial"/>
                <w:sz w:val="10"/>
                <w:szCs w:val="10"/>
                <w:color w:val="auto"/>
              </w:rPr>
              <w:t>Description of the matter</w:t>
            </w:r>
          </w:p>
        </w:tc>
        <w:tc>
          <w:tcPr>
            <w:tcW w:w="9380" w:type="dxa"/>
            <w:vAlign w:val="bottom"/>
            <w:gridSpan w:val="2"/>
          </w:tcPr>
          <w:p>
            <w:pPr>
              <w:ind w:left="300"/>
              <w:spacing w:after="0" w:line="107" w:lineRule="exact"/>
              <w:rPr>
                <w:sz w:val="20"/>
                <w:szCs w:val="20"/>
                <w:color w:val="auto"/>
              </w:rPr>
            </w:pPr>
            <w:r>
              <w:rPr>
                <w:rFonts w:ascii="Arial" w:cs="Arial" w:eastAsia="Arial" w:hAnsi="Arial"/>
                <w:sz w:val="10"/>
                <w:szCs w:val="10"/>
                <w:color w:val="auto"/>
                <w:w w:val="89"/>
              </w:rPr>
              <w:t>As described in Note 8 to the Consolidated Financial Statements, at December 31, 2020 manufacturing, supply and distribution assets amounted to $50 billion and impairment charges recorded on those assets for the year were $7</w:t>
            </w:r>
          </w:p>
        </w:tc>
      </w:tr>
      <w:tr>
        <w:trPr>
          <w:trHeight w:val="81"/>
        </w:trPr>
        <w:tc>
          <w:tcPr>
            <w:tcW w:w="1920" w:type="dxa"/>
            <w:vAlign w:val="bottom"/>
          </w:tcPr>
          <w:p>
            <w:pPr>
              <w:spacing w:after="0"/>
              <w:rPr>
                <w:sz w:val="7"/>
                <w:szCs w:val="7"/>
                <w:color w:val="auto"/>
              </w:rPr>
            </w:pPr>
          </w:p>
        </w:tc>
        <w:tc>
          <w:tcPr>
            <w:tcW w:w="9380" w:type="dxa"/>
            <w:vAlign w:val="bottom"/>
            <w:gridSpan w:val="2"/>
          </w:tcPr>
          <w:p>
            <w:pPr>
              <w:ind w:left="300"/>
              <w:spacing w:after="0" w:line="81" w:lineRule="exact"/>
              <w:rPr>
                <w:sz w:val="20"/>
                <w:szCs w:val="20"/>
                <w:color w:val="auto"/>
              </w:rPr>
            </w:pPr>
            <w:r>
              <w:rPr>
                <w:rFonts w:ascii="Arial" w:cs="Arial" w:eastAsia="Arial" w:hAnsi="Arial"/>
                <w:sz w:val="8"/>
                <w:szCs w:val="8"/>
                <w:color w:val="auto"/>
              </w:rPr>
              <w:t>billion. As described in Note 2A, forecasted refining margins are a key input to assessing whether or not refining assets are impaired and to assessing the useful lives of Manufacturing, supply and distribution assets for the estimation of</w:t>
            </w:r>
          </w:p>
        </w:tc>
      </w:tr>
      <w:tr>
        <w:trPr>
          <w:trHeight w:val="121"/>
        </w:trPr>
        <w:tc>
          <w:tcPr>
            <w:tcW w:w="1920" w:type="dxa"/>
            <w:vAlign w:val="bottom"/>
          </w:tcPr>
          <w:p>
            <w:pPr>
              <w:spacing w:after="0"/>
              <w:rPr>
                <w:sz w:val="10"/>
                <w:szCs w:val="10"/>
                <w:color w:val="auto"/>
              </w:rPr>
            </w:pPr>
          </w:p>
        </w:tc>
        <w:tc>
          <w:tcPr>
            <w:tcW w:w="3100" w:type="dxa"/>
            <w:vAlign w:val="bottom"/>
          </w:tcPr>
          <w:p>
            <w:pPr>
              <w:ind w:left="300"/>
              <w:spacing w:after="0"/>
              <w:rPr>
                <w:sz w:val="20"/>
                <w:szCs w:val="20"/>
                <w:color w:val="auto"/>
              </w:rPr>
            </w:pPr>
            <w:r>
              <w:rPr>
                <w:rFonts w:ascii="Arial" w:cs="Arial" w:eastAsia="Arial" w:hAnsi="Arial"/>
                <w:sz w:val="10"/>
                <w:szCs w:val="10"/>
                <w:color w:val="auto"/>
              </w:rPr>
              <w:t>D&amp;R provisions.</w:t>
            </w:r>
          </w:p>
        </w:tc>
        <w:tc>
          <w:tcPr>
            <w:tcW w:w="6280" w:type="dxa"/>
            <w:vAlign w:val="bottom"/>
          </w:tcPr>
          <w:p>
            <w:pPr>
              <w:spacing w:after="0"/>
              <w:rPr>
                <w:sz w:val="10"/>
                <w:szCs w:val="10"/>
                <w:color w:val="auto"/>
              </w:rPr>
            </w:pPr>
          </w:p>
        </w:tc>
      </w:tr>
      <w:tr>
        <w:trPr>
          <w:trHeight w:val="203"/>
        </w:trPr>
        <w:tc>
          <w:tcPr>
            <w:tcW w:w="1920" w:type="dxa"/>
            <w:vAlign w:val="bottom"/>
          </w:tcPr>
          <w:p>
            <w:pPr>
              <w:spacing w:after="0"/>
              <w:rPr>
                <w:sz w:val="17"/>
                <w:szCs w:val="17"/>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9"/>
              </w:rPr>
              <w:t>Auditing future refining margins is inherently complex as the margins are influenced by both regional and global factors and there is limited external refining margin forecast data available. The estimation of refining margins is highly</w:t>
            </w:r>
          </w:p>
        </w:tc>
      </w:tr>
      <w:tr>
        <w:trPr>
          <w:trHeight w:val="105"/>
        </w:trPr>
        <w:tc>
          <w:tcPr>
            <w:tcW w:w="1920" w:type="dxa"/>
            <w:vAlign w:val="bottom"/>
          </w:tcPr>
          <w:p>
            <w:pPr>
              <w:spacing w:after="0"/>
              <w:rPr>
                <w:sz w:val="9"/>
                <w:szCs w:val="9"/>
                <w:color w:val="auto"/>
              </w:rPr>
            </w:pPr>
          </w:p>
        </w:tc>
        <w:tc>
          <w:tcPr>
            <w:tcW w:w="9380" w:type="dxa"/>
            <w:vAlign w:val="bottom"/>
            <w:gridSpan w:val="2"/>
          </w:tcPr>
          <w:p>
            <w:pPr>
              <w:ind w:left="300"/>
              <w:spacing w:after="0" w:line="105" w:lineRule="exact"/>
              <w:rPr>
                <w:sz w:val="20"/>
                <w:szCs w:val="20"/>
                <w:color w:val="auto"/>
              </w:rPr>
            </w:pPr>
            <w:r>
              <w:rPr>
                <w:rFonts w:ascii="Arial" w:cs="Arial" w:eastAsia="Arial" w:hAnsi="Arial"/>
                <w:sz w:val="10"/>
                <w:szCs w:val="10"/>
                <w:color w:val="auto"/>
              </w:rPr>
              <w:t>judgemental and incorporates long-run demand forecasts, including the impacts of the energy transition, and supply dynamics, including the speed of the industry's response to changing demand.</w:t>
            </w:r>
          </w:p>
        </w:tc>
      </w:tr>
      <w:tr>
        <w:trPr>
          <w:trHeight w:val="93"/>
        </w:trPr>
        <w:tc>
          <w:tcPr>
            <w:tcW w:w="1920" w:type="dxa"/>
            <w:vAlign w:val="bottom"/>
          </w:tcPr>
          <w:p>
            <w:pPr>
              <w:ind w:left="20"/>
              <w:spacing w:after="0" w:line="94" w:lineRule="exact"/>
              <w:rPr>
                <w:sz w:val="20"/>
                <w:szCs w:val="20"/>
                <w:color w:val="auto"/>
              </w:rPr>
            </w:pPr>
            <w:r>
              <w:rPr>
                <w:rFonts w:ascii="Arial" w:cs="Arial" w:eastAsia="Arial" w:hAnsi="Arial"/>
                <w:sz w:val="10"/>
                <w:szCs w:val="10"/>
                <w:color w:val="auto"/>
              </w:rPr>
              <w:t>How we addressed the matter in our audit</w:t>
            </w:r>
          </w:p>
        </w:tc>
        <w:tc>
          <w:tcPr>
            <w:tcW w:w="9380" w:type="dxa"/>
            <w:vAlign w:val="bottom"/>
            <w:gridSpan w:val="2"/>
          </w:tcPr>
          <w:p>
            <w:pPr>
              <w:ind w:left="300"/>
              <w:spacing w:after="0" w:line="94" w:lineRule="exact"/>
              <w:rPr>
                <w:sz w:val="20"/>
                <w:szCs w:val="20"/>
                <w:color w:val="auto"/>
              </w:rPr>
            </w:pPr>
            <w:r>
              <w:rPr>
                <w:rFonts w:ascii="Arial" w:cs="Arial" w:eastAsia="Arial" w:hAnsi="Arial"/>
                <w:sz w:val="10"/>
                <w:szCs w:val="10"/>
                <w:color w:val="auto"/>
                <w:w w:val="88"/>
              </w:rPr>
              <w:t>We obtained an understanding of the controls over Shell’s process for the estimation of refining margins. We then evaluated the design of, and tested the operating effectiveness of, controls over the estimation and approval of refining</w:t>
            </w:r>
          </w:p>
        </w:tc>
      </w:tr>
      <w:tr>
        <w:trPr>
          <w:trHeight w:val="121"/>
        </w:trPr>
        <w:tc>
          <w:tcPr>
            <w:tcW w:w="1920" w:type="dxa"/>
            <w:vAlign w:val="bottom"/>
          </w:tcPr>
          <w:p>
            <w:pPr>
              <w:spacing w:after="0"/>
              <w:rPr>
                <w:sz w:val="10"/>
                <w:szCs w:val="10"/>
                <w:color w:val="auto"/>
              </w:rPr>
            </w:pPr>
          </w:p>
        </w:tc>
        <w:tc>
          <w:tcPr>
            <w:tcW w:w="3100" w:type="dxa"/>
            <w:vAlign w:val="bottom"/>
          </w:tcPr>
          <w:p>
            <w:pPr>
              <w:ind w:left="300"/>
              <w:spacing w:after="0"/>
              <w:rPr>
                <w:sz w:val="20"/>
                <w:szCs w:val="20"/>
                <w:color w:val="auto"/>
              </w:rPr>
            </w:pPr>
            <w:r>
              <w:rPr>
                <w:rFonts w:ascii="Arial" w:cs="Arial" w:eastAsia="Arial" w:hAnsi="Arial"/>
                <w:sz w:val="10"/>
                <w:szCs w:val="10"/>
                <w:color w:val="auto"/>
              </w:rPr>
              <w:t>margins.</w:t>
            </w:r>
          </w:p>
        </w:tc>
        <w:tc>
          <w:tcPr>
            <w:tcW w:w="6280" w:type="dxa"/>
            <w:vAlign w:val="bottom"/>
          </w:tcPr>
          <w:p>
            <w:pPr>
              <w:spacing w:after="0"/>
              <w:rPr>
                <w:sz w:val="10"/>
                <w:szCs w:val="10"/>
                <w:color w:val="auto"/>
              </w:rPr>
            </w:pPr>
          </w:p>
        </w:tc>
      </w:tr>
      <w:tr>
        <w:trPr>
          <w:trHeight w:val="365"/>
        </w:trPr>
        <w:tc>
          <w:tcPr>
            <w:tcW w:w="1920" w:type="dxa"/>
            <w:vAlign w:val="bottom"/>
          </w:tcPr>
          <w:p>
            <w:pPr>
              <w:spacing w:after="0"/>
              <w:rPr>
                <w:sz w:val="24"/>
                <w:szCs w:val="24"/>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7"/>
              </w:rPr>
              <w:t>We were assisted by internal oil and gas valuation specialists in evaluating the reasonableness of Shell’s refining margin estimation methodology and their assumptions. This included reading third-party research papers to compare the</w:t>
            </w:r>
          </w:p>
        </w:tc>
      </w:tr>
      <w:tr>
        <w:trPr>
          <w:trHeight w:val="121"/>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97"/>
              </w:rPr>
              <w:t>key inputs and assumptions used in Shell's margin model, such as refining capacity additions, expected refinery closures, carbon dioxide costs and the strategic and political behaviour of National Oil Companies.</w:t>
            </w:r>
          </w:p>
        </w:tc>
      </w:tr>
      <w:tr>
        <w:trPr>
          <w:trHeight w:val="226"/>
        </w:trPr>
        <w:tc>
          <w:tcPr>
            <w:tcW w:w="1920" w:type="dxa"/>
            <w:vAlign w:val="bottom"/>
          </w:tcPr>
          <w:p>
            <w:pPr>
              <w:spacing w:after="0"/>
              <w:rPr>
                <w:sz w:val="19"/>
                <w:szCs w:val="19"/>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9"/>
              </w:rPr>
              <w:t>We performed benchmark analyses of the indicative refining margins for the three key refining hubs (US Gulf Coast, North West Europe and Singapore) and compared these to market and consultant forecasts. We recalculated the</w:t>
            </w:r>
          </w:p>
        </w:tc>
      </w:tr>
      <w:tr>
        <w:trPr>
          <w:trHeight w:val="121"/>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rPr>
              <w:t>refining margins from Shell’s price forecasts and compared these to the refining margins derived from traded futures.</w:t>
            </w:r>
          </w:p>
        </w:tc>
      </w:tr>
      <w:tr>
        <w:trPr>
          <w:trHeight w:val="352"/>
        </w:trPr>
        <w:tc>
          <w:tcPr>
            <w:tcW w:w="5020" w:type="dxa"/>
            <w:vAlign w:val="bottom"/>
            <w:gridSpan w:val="2"/>
          </w:tcPr>
          <w:p>
            <w:pPr>
              <w:ind w:left="40"/>
              <w:spacing w:after="0"/>
              <w:rPr>
                <w:sz w:val="20"/>
                <w:szCs w:val="20"/>
                <w:color w:val="auto"/>
              </w:rPr>
            </w:pPr>
            <w:r>
              <w:rPr>
                <w:rFonts w:ascii="Arial" w:cs="Arial" w:eastAsia="Arial" w:hAnsi="Arial"/>
                <w:sz w:val="7"/>
                <w:szCs w:val="7"/>
                <w:color w:val="auto"/>
              </w:rPr>
              <w:t>FINANCIAL STATEMENTS AND SUPPLEMENTS SHELL FORM 20-F 2020</w:t>
            </w:r>
          </w:p>
        </w:tc>
        <w:tc>
          <w:tcPr>
            <w:tcW w:w="6280" w:type="dxa"/>
            <w:vAlign w:val="bottom"/>
          </w:tcPr>
          <w:p>
            <w:pPr>
              <w:jc w:val="right"/>
              <w:ind w:right="5564"/>
              <w:spacing w:after="0"/>
              <w:rPr>
                <w:sz w:val="20"/>
                <w:szCs w:val="20"/>
                <w:color w:val="auto"/>
              </w:rPr>
            </w:pPr>
            <w:r>
              <w:rPr>
                <w:rFonts w:ascii="Arial" w:cs="Arial" w:eastAsia="Arial" w:hAnsi="Arial"/>
                <w:sz w:val="7"/>
                <w:szCs w:val="7"/>
                <w:color w:val="auto"/>
              </w:rPr>
              <w:t>160</w:t>
            </w:r>
          </w:p>
        </w:tc>
      </w:tr>
      <w:tr>
        <w:trPr>
          <w:trHeight w:val="313"/>
        </w:trPr>
        <w:tc>
          <w:tcPr>
            <w:tcW w:w="19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sectPr>
      </w:pPr>
    </w:p>
    <w:bookmarkStart w:id="163" w:name="page164"/>
    <w:bookmarkEnd w:id="163"/>
    <w:p>
      <w:pPr>
        <w:ind w:left="2220"/>
        <w:spacing w:after="0"/>
        <w:rPr>
          <w:sz w:val="20"/>
          <w:szCs w:val="20"/>
          <w:color w:val="auto"/>
        </w:rPr>
      </w:pPr>
      <w:r>
        <w:rPr>
          <w:rFonts w:ascii="Arial" w:cs="Arial" w:eastAsia="Arial" w:hAnsi="Arial"/>
          <w:sz w:val="8"/>
          <w:szCs w:val="8"/>
          <w:b w:val="1"/>
          <w:bCs w:val="1"/>
          <w:color w:val="auto"/>
        </w:rPr>
        <w:t>THE ESTIMATION OF DECOMMISSIONING AND RESTORATION (D&amp;R) PROVISIONS</w:t>
      </w:r>
    </w:p>
    <w:p>
      <w:pPr>
        <w:sectPr>
          <w:pgSz w:w="11900" w:h="16838" w:orient="portrait"/>
          <w:cols w:equalWidth="0" w:num="1">
            <w:col w:w="11300"/>
          </w:cols>
          <w:pgMar w:left="300" w:top="737" w:right="29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0"/>
          <w:szCs w:val="10"/>
          <w:color w:val="auto"/>
        </w:rPr>
        <w:t>Description of the matter</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8"/>
          <w:szCs w:val="8"/>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40"/>
        <w:spacing w:after="0" w:line="232" w:lineRule="auto"/>
        <w:rPr>
          <w:sz w:val="20"/>
          <w:szCs w:val="20"/>
          <w:color w:val="auto"/>
        </w:rPr>
      </w:pPr>
      <w:r>
        <w:rPr>
          <w:rFonts w:ascii="Arial" w:cs="Arial" w:eastAsia="Arial" w:hAnsi="Arial"/>
          <w:sz w:val="10"/>
          <w:szCs w:val="10"/>
          <w:color w:val="auto"/>
        </w:rPr>
        <w:t>As described in Note 18 to the Consolidated Financial Statements, at December 31, 2020 Shell recognised $23 billion in decommissioning and restoration (D&amp;R) provisions. Auditing D&amp;R provisions is complex because management's estimation of future cash outflows involves significant judgement. As explained in Note 2 to the Consolidated Financial Statements, the estimate is based on current legal and constructive obligations, technology and price levels. However, the extent and timing of the actual outflows incurred in the future may differ due to changes in laws, regulations, public expectations, technology, prices and conditions at the time of decommissioning, and can take place many years in the future.</w:t>
      </w:r>
    </w:p>
    <w:p>
      <w:pPr>
        <w:spacing w:after="0" w:line="14" w:lineRule="exact"/>
        <w:rPr>
          <w:sz w:val="20"/>
          <w:szCs w:val="20"/>
          <w:color w:val="auto"/>
        </w:rPr>
      </w:pPr>
    </w:p>
    <w:p>
      <w:pPr>
        <w:ind w:right="40"/>
        <w:spacing w:after="0" w:line="211" w:lineRule="auto"/>
        <w:rPr>
          <w:sz w:val="20"/>
          <w:szCs w:val="20"/>
          <w:color w:val="auto"/>
        </w:rPr>
      </w:pPr>
      <w:r>
        <w:rPr>
          <w:rFonts w:ascii="Arial" w:cs="Arial" w:eastAsia="Arial" w:hAnsi="Arial"/>
          <w:sz w:val="10"/>
          <w:szCs w:val="10"/>
          <w:color w:val="auto"/>
        </w:rPr>
        <w:t>We obtained an understanding of the controls over Shell’s process for the estimation of decommissioning and restoration provisions. We then evaluated the design of, and tested the operating effectiveness of, controls over the estimation of D&amp;R provisions. For example, we tested controls over the review of the estimation and completeness of costs.</w:t>
      </w:r>
    </w:p>
    <w:p>
      <w:pPr>
        <w:spacing w:after="0" w:line="122" w:lineRule="exact"/>
        <w:rPr>
          <w:sz w:val="20"/>
          <w:szCs w:val="20"/>
          <w:color w:val="auto"/>
        </w:rPr>
      </w:pPr>
    </w:p>
    <w:p>
      <w:pPr>
        <w:jc w:val="both"/>
        <w:ind w:right="100"/>
        <w:spacing w:after="0" w:line="237" w:lineRule="auto"/>
        <w:rPr>
          <w:sz w:val="20"/>
          <w:szCs w:val="20"/>
          <w:color w:val="auto"/>
        </w:rPr>
      </w:pPr>
      <w:r>
        <w:rPr>
          <w:rFonts w:ascii="Arial" w:cs="Arial" w:eastAsia="Arial" w:hAnsi="Arial"/>
          <w:sz w:val="8"/>
          <w:szCs w:val="8"/>
          <w:color w:val="auto"/>
        </w:rPr>
        <w:t>Our audit procedures included, amongst others, assessing changes in D&amp;R cost estimates, and whether they reflected the latest regulatory requirements and technical developments. We audited cost assumptions relating to labour rates, rig type and rates, number of wells, well durations, and any contingencies applied by inspecting contracts. We evaluated the expected timing of decommissioning by comparing these factors to the estimated life-of-field assumptions. In addition, we tested the D&amp;R accounting models and assumptions therein, including discount rates and inflation rates. We reconciled these assumptions with those used in other areas of measurement, such as impairment. We evaluated the timing of recognition of D&amp;R liabilities related to contingent liabilities and D&amp;R liabilities arising from assets previously disposed of, including assessing the counterparty risk associated with those disposals.</w:t>
      </w:r>
    </w:p>
    <w:p>
      <w:pPr>
        <w:spacing w:after="0" w:line="123" w:lineRule="exact"/>
        <w:rPr>
          <w:sz w:val="20"/>
          <w:szCs w:val="20"/>
          <w:color w:val="auto"/>
        </w:rPr>
      </w:pPr>
    </w:p>
    <w:p>
      <w:pPr>
        <w:jc w:val="both"/>
        <w:ind w:right="100"/>
        <w:spacing w:after="0" w:line="197" w:lineRule="auto"/>
        <w:rPr>
          <w:sz w:val="20"/>
          <w:szCs w:val="20"/>
          <w:color w:val="auto"/>
        </w:rPr>
      </w:pPr>
      <w:r>
        <w:rPr>
          <w:rFonts w:ascii="Arial" w:cs="Arial" w:eastAsia="Arial" w:hAnsi="Arial"/>
          <w:sz w:val="10"/>
          <w:szCs w:val="10"/>
          <w:color w:val="auto"/>
        </w:rPr>
        <w:t>We also evaluated management’s assessment of the useful lives of manufacturing assets in light of the changed macro-economic fundamentals, particularly in developed economies, together with plans to rationalise their manufacturing portfolio. In particular, we evaluated management’s conclusion that manufacturing assets could no longer be considered to have indefinite lives, and that therefore D&amp;R provisions were required for certain refineries and petrochemical facilities.</w:t>
      </w:r>
    </w:p>
    <w:p>
      <w:pPr>
        <w:spacing w:after="0" w:line="131" w:lineRule="exact"/>
        <w:rPr>
          <w:sz w:val="20"/>
          <w:szCs w:val="20"/>
          <w:color w:val="auto"/>
        </w:rPr>
      </w:pPr>
    </w:p>
    <w:p>
      <w:pPr>
        <w:ind w:right="40"/>
        <w:spacing w:after="0" w:line="239" w:lineRule="auto"/>
        <w:rPr>
          <w:sz w:val="20"/>
          <w:szCs w:val="20"/>
          <w:color w:val="auto"/>
        </w:rPr>
      </w:pPr>
      <w:r>
        <w:rPr>
          <w:rFonts w:ascii="Arial" w:cs="Arial" w:eastAsia="Arial" w:hAnsi="Arial"/>
          <w:sz w:val="10"/>
          <w:szCs w:val="10"/>
          <w:color w:val="auto"/>
        </w:rPr>
        <w:t>We assessed the appropriateness of disclosure of D&amp;R provisions and contingent liability disclosures in the financial statements. We also evaluated management’s re-assessment of the need for contingent liability disclosure in respect of certain manufacturing assets.</w:t>
      </w:r>
    </w:p>
    <w:p>
      <w:pPr>
        <w:spacing w:after="0" w:line="9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THE RECOGNITION AND MEASUREMENT OF DEFERRED TAX ASSETS (DTAs)</w:t>
      </w:r>
    </w:p>
    <w:p>
      <w:pPr>
        <w:spacing w:after="0" w:line="1" w:lineRule="exact"/>
        <w:rPr>
          <w:sz w:val="20"/>
          <w:szCs w:val="20"/>
          <w:color w:val="auto"/>
        </w:rPr>
      </w:pPr>
    </w:p>
    <w:p>
      <w:pPr>
        <w:sectPr>
          <w:pgSz w:w="11900" w:h="16838" w:orient="portrait"/>
          <w:cols w:equalWidth="0" w:num="2">
            <w:col w:w="1620" w:space="600"/>
            <w:col w:w="9080"/>
          </w:cols>
          <w:pgMar w:left="300" w:top="737" w:right="299" w:bottom="1440" w:gutter="0" w:footer="0" w:header="0"/>
          <w:type w:val="continuous"/>
        </w:sectPr>
      </w:pPr>
    </w:p>
    <w:tbl>
      <w:tblPr>
        <w:tblLayout w:type="fixed"/>
        <w:tblInd w:w="0" w:type="dxa"/>
        <w:tblCellMar>
          <w:top w:w="0" w:type="dxa"/>
          <w:left w:w="0" w:type="dxa"/>
          <w:bottom w:w="0" w:type="dxa"/>
          <w:right w:w="0" w:type="dxa"/>
        </w:tblCellMar>
      </w:tblPr>
      <w:tr>
        <w:trPr>
          <w:trHeight w:val="115"/>
        </w:trPr>
        <w:tc>
          <w:tcPr>
            <w:tcW w:w="1920" w:type="dxa"/>
            <w:vAlign w:val="bottom"/>
          </w:tcPr>
          <w:p>
            <w:pPr>
              <w:ind w:left="20"/>
              <w:spacing w:after="0"/>
              <w:rPr>
                <w:sz w:val="20"/>
                <w:szCs w:val="20"/>
                <w:color w:val="auto"/>
              </w:rPr>
            </w:pPr>
            <w:r>
              <w:rPr>
                <w:rFonts w:ascii="Arial" w:cs="Arial" w:eastAsia="Arial" w:hAnsi="Arial"/>
                <w:sz w:val="10"/>
                <w:szCs w:val="10"/>
                <w:color w:val="auto"/>
              </w:rPr>
              <w:t>Description of the matter</w:t>
            </w: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9"/>
              </w:rPr>
              <w:t>As described in Note 16 to the Consolidated Financial Statements, at December 31, 2020 Shell recognised gross DTAs of $33 billion, which are recognised on the balance sheet as either DTAs or as an offset against deferred tax</w:t>
            </w:r>
          </w:p>
        </w:tc>
      </w:tr>
      <w:tr>
        <w:trPr>
          <w:trHeight w:val="121"/>
        </w:trPr>
        <w:tc>
          <w:tcPr>
            <w:tcW w:w="1920" w:type="dxa"/>
            <w:vAlign w:val="bottom"/>
          </w:tcPr>
          <w:p>
            <w:pPr>
              <w:spacing w:after="0"/>
              <w:rPr>
                <w:sz w:val="10"/>
                <w:szCs w:val="10"/>
                <w:color w:val="auto"/>
              </w:rPr>
            </w:pPr>
          </w:p>
        </w:tc>
        <w:tc>
          <w:tcPr>
            <w:tcW w:w="3580" w:type="dxa"/>
            <w:vAlign w:val="bottom"/>
          </w:tcPr>
          <w:p>
            <w:pPr>
              <w:ind w:left="300"/>
              <w:spacing w:after="0"/>
              <w:rPr>
                <w:sz w:val="20"/>
                <w:szCs w:val="20"/>
                <w:color w:val="auto"/>
              </w:rPr>
            </w:pPr>
            <w:r>
              <w:rPr>
                <w:rFonts w:ascii="Arial" w:cs="Arial" w:eastAsia="Arial" w:hAnsi="Arial"/>
                <w:sz w:val="10"/>
                <w:szCs w:val="10"/>
                <w:color w:val="auto"/>
                <w:w w:val="91"/>
              </w:rPr>
              <w:t>liabilities (DTLs), depending on the overall tax position in a particular jurisdiction.</w:t>
            </w:r>
          </w:p>
        </w:tc>
        <w:tc>
          <w:tcPr>
            <w:tcW w:w="5800" w:type="dxa"/>
            <w:vAlign w:val="bottom"/>
          </w:tcPr>
          <w:p>
            <w:pPr>
              <w:spacing w:after="0"/>
              <w:rPr>
                <w:sz w:val="10"/>
                <w:szCs w:val="10"/>
                <w:color w:val="auto"/>
              </w:rPr>
            </w:pPr>
          </w:p>
        </w:tc>
      </w:tr>
      <w:tr>
        <w:trPr>
          <w:trHeight w:val="226"/>
        </w:trPr>
        <w:tc>
          <w:tcPr>
            <w:tcW w:w="1920" w:type="dxa"/>
            <w:vAlign w:val="bottom"/>
          </w:tcPr>
          <w:p>
            <w:pPr>
              <w:spacing w:after="0"/>
              <w:rPr>
                <w:sz w:val="19"/>
                <w:szCs w:val="19"/>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92"/>
              </w:rPr>
              <w:t>Auditing the recognition and measurement of DTA balances is subjective because the estimation requires significant judgement, including the timing of reversals of DTLs and the availability of future profits against which tax</w:t>
            </w:r>
          </w:p>
        </w:tc>
      </w:tr>
      <w:tr>
        <w:trPr>
          <w:trHeight w:val="108"/>
        </w:trPr>
        <w:tc>
          <w:tcPr>
            <w:tcW w:w="1920" w:type="dxa"/>
            <w:vAlign w:val="bottom"/>
          </w:tcPr>
          <w:p>
            <w:pPr>
              <w:spacing w:after="0"/>
              <w:rPr>
                <w:sz w:val="9"/>
                <w:szCs w:val="9"/>
                <w:color w:val="auto"/>
              </w:rPr>
            </w:pPr>
          </w:p>
        </w:tc>
        <w:tc>
          <w:tcPr>
            <w:tcW w:w="9380" w:type="dxa"/>
            <w:vAlign w:val="bottom"/>
            <w:gridSpan w:val="2"/>
          </w:tcPr>
          <w:p>
            <w:pPr>
              <w:ind w:left="300"/>
              <w:spacing w:after="0" w:line="108" w:lineRule="exact"/>
              <w:rPr>
                <w:sz w:val="20"/>
                <w:szCs w:val="20"/>
                <w:color w:val="auto"/>
              </w:rPr>
            </w:pPr>
            <w:r>
              <w:rPr>
                <w:rFonts w:ascii="Arial" w:cs="Arial" w:eastAsia="Arial" w:hAnsi="Arial"/>
                <w:sz w:val="10"/>
                <w:szCs w:val="10"/>
                <w:color w:val="auto"/>
                <w:w w:val="89"/>
              </w:rPr>
              <w:t>deductions represented by the DTA can be offset. In addition, auditing the recognition of DTA balances that are supported by the expectation of future taxable profits arising beyond Shell's regular forecast planning horizon required</w:t>
            </w:r>
          </w:p>
        </w:tc>
      </w:tr>
      <w:tr>
        <w:trPr>
          <w:trHeight w:val="121"/>
        </w:trPr>
        <w:tc>
          <w:tcPr>
            <w:tcW w:w="1920" w:type="dxa"/>
            <w:vAlign w:val="bottom"/>
          </w:tcPr>
          <w:p>
            <w:pPr>
              <w:spacing w:after="0"/>
              <w:rPr>
                <w:sz w:val="10"/>
                <w:szCs w:val="10"/>
                <w:color w:val="auto"/>
              </w:rPr>
            </w:pPr>
          </w:p>
        </w:tc>
        <w:tc>
          <w:tcPr>
            <w:tcW w:w="3580" w:type="dxa"/>
            <w:vAlign w:val="bottom"/>
          </w:tcPr>
          <w:p>
            <w:pPr>
              <w:ind w:left="300"/>
              <w:spacing w:after="0"/>
              <w:rPr>
                <w:sz w:val="20"/>
                <w:szCs w:val="20"/>
                <w:color w:val="auto"/>
              </w:rPr>
            </w:pPr>
            <w:r>
              <w:rPr>
                <w:rFonts w:ascii="Arial" w:cs="Arial" w:eastAsia="Arial" w:hAnsi="Arial"/>
                <w:sz w:val="10"/>
                <w:szCs w:val="10"/>
                <w:color w:val="auto"/>
              </w:rPr>
              <w:t>significant audit judgement.</w:t>
            </w:r>
          </w:p>
        </w:tc>
        <w:tc>
          <w:tcPr>
            <w:tcW w:w="5800" w:type="dxa"/>
            <w:vAlign w:val="bottom"/>
          </w:tcPr>
          <w:p>
            <w:pPr>
              <w:spacing w:after="0"/>
              <w:rPr>
                <w:sz w:val="10"/>
                <w:szCs w:val="10"/>
                <w:color w:val="auto"/>
              </w:rPr>
            </w:pPr>
          </w:p>
        </w:tc>
      </w:tr>
      <w:tr>
        <w:trPr>
          <w:trHeight w:val="107"/>
        </w:trPr>
        <w:tc>
          <w:tcPr>
            <w:tcW w:w="1920" w:type="dxa"/>
            <w:vAlign w:val="bottom"/>
          </w:tcPr>
          <w:p>
            <w:pPr>
              <w:ind w:left="20"/>
              <w:spacing w:after="0" w:line="107" w:lineRule="exact"/>
              <w:rPr>
                <w:sz w:val="20"/>
                <w:szCs w:val="20"/>
                <w:color w:val="auto"/>
              </w:rPr>
            </w:pPr>
            <w:r>
              <w:rPr>
                <w:rFonts w:ascii="Arial" w:cs="Arial" w:eastAsia="Arial" w:hAnsi="Arial"/>
                <w:sz w:val="10"/>
                <w:szCs w:val="10"/>
                <w:color w:val="auto"/>
              </w:rPr>
              <w:t>How we addressed the matter in our audit</w:t>
            </w:r>
          </w:p>
        </w:tc>
        <w:tc>
          <w:tcPr>
            <w:tcW w:w="9380" w:type="dxa"/>
            <w:vAlign w:val="bottom"/>
            <w:gridSpan w:val="2"/>
          </w:tcPr>
          <w:p>
            <w:pPr>
              <w:ind w:left="300"/>
              <w:spacing w:after="0" w:line="107" w:lineRule="exact"/>
              <w:rPr>
                <w:sz w:val="20"/>
                <w:szCs w:val="20"/>
                <w:color w:val="auto"/>
              </w:rPr>
            </w:pPr>
            <w:r>
              <w:rPr>
                <w:rFonts w:ascii="Arial" w:cs="Arial" w:eastAsia="Arial" w:hAnsi="Arial"/>
                <w:sz w:val="10"/>
                <w:szCs w:val="10"/>
                <w:color w:val="auto"/>
                <w:w w:val="86"/>
              </w:rPr>
              <w:t>We obtained an understanding of the controls over Shell’s processes for the recognition and measurement of DTAs. We then evaluated the design of these controls and tested their operating effectiveness. For example, we tested controls</w:t>
            </w:r>
          </w:p>
        </w:tc>
      </w:tr>
      <w:tr>
        <w:trPr>
          <w:trHeight w:val="121"/>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rPr>
              <w:t>over projections of future taxable income and the deferred tax calculations that support the recognition of DTAs.</w:t>
            </w:r>
          </w:p>
        </w:tc>
      </w:tr>
      <w:tr>
        <w:trPr>
          <w:trHeight w:val="149"/>
        </w:trPr>
        <w:tc>
          <w:tcPr>
            <w:tcW w:w="1920" w:type="dxa"/>
            <w:vAlign w:val="bottom"/>
          </w:tcPr>
          <w:p>
            <w:pPr>
              <w:spacing w:after="0"/>
              <w:rPr>
                <w:sz w:val="12"/>
                <w:szCs w:val="12"/>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91"/>
              </w:rPr>
              <w:t>Amongst other procedures, we assessed management’s determination of the expected timing of utilisation of the DTAs, including the application of relevant tax laws that apply to the utilisation of tax losses. We involved our tax</w:t>
            </w:r>
          </w:p>
        </w:tc>
      </w:tr>
      <w:tr>
        <w:trPr>
          <w:trHeight w:val="90"/>
        </w:trPr>
        <w:tc>
          <w:tcPr>
            <w:tcW w:w="1920" w:type="dxa"/>
            <w:vAlign w:val="bottom"/>
          </w:tcPr>
          <w:p>
            <w:pPr>
              <w:spacing w:after="0"/>
              <w:rPr>
                <w:sz w:val="7"/>
                <w:szCs w:val="7"/>
                <w:color w:val="auto"/>
              </w:rPr>
            </w:pPr>
          </w:p>
        </w:tc>
        <w:tc>
          <w:tcPr>
            <w:tcW w:w="9380" w:type="dxa"/>
            <w:vAlign w:val="bottom"/>
            <w:gridSpan w:val="2"/>
          </w:tcPr>
          <w:p>
            <w:pPr>
              <w:ind w:left="300"/>
              <w:spacing w:after="0" w:line="90" w:lineRule="exact"/>
              <w:rPr>
                <w:sz w:val="20"/>
                <w:szCs w:val="20"/>
                <w:color w:val="auto"/>
              </w:rPr>
            </w:pPr>
            <w:r>
              <w:rPr>
                <w:rFonts w:ascii="Arial" w:cs="Arial" w:eastAsia="Arial" w:hAnsi="Arial"/>
                <w:sz w:val="10"/>
                <w:szCs w:val="10"/>
                <w:color w:val="auto"/>
                <w:w w:val="87"/>
              </w:rPr>
              <w:t>professionals to evaluate the application of relevant tax laws, Shell’s assessment of its ability to carry forward or backward losses, the scheduling of the reversal of existing temporary taxable differences and carry forward amounts, and</w:t>
            </w:r>
          </w:p>
        </w:tc>
      </w:tr>
      <w:tr>
        <w:trPr>
          <w:trHeight w:val="90"/>
        </w:trPr>
        <w:tc>
          <w:tcPr>
            <w:tcW w:w="1920" w:type="dxa"/>
            <w:vAlign w:val="bottom"/>
          </w:tcPr>
          <w:p>
            <w:pPr>
              <w:spacing w:after="0"/>
              <w:rPr>
                <w:sz w:val="7"/>
                <w:szCs w:val="7"/>
                <w:color w:val="auto"/>
              </w:rPr>
            </w:pPr>
          </w:p>
        </w:tc>
        <w:tc>
          <w:tcPr>
            <w:tcW w:w="9380" w:type="dxa"/>
            <w:vAlign w:val="bottom"/>
            <w:gridSpan w:val="2"/>
          </w:tcPr>
          <w:p>
            <w:pPr>
              <w:ind w:left="300"/>
              <w:spacing w:after="0" w:line="90" w:lineRule="exact"/>
              <w:rPr>
                <w:sz w:val="20"/>
                <w:szCs w:val="20"/>
                <w:color w:val="auto"/>
              </w:rPr>
            </w:pPr>
            <w:r>
              <w:rPr>
                <w:rFonts w:ascii="Arial" w:cs="Arial" w:eastAsia="Arial" w:hAnsi="Arial"/>
                <w:sz w:val="10"/>
                <w:szCs w:val="10"/>
                <w:color w:val="auto"/>
                <w:w w:val="88"/>
              </w:rPr>
              <w:t>the evaluation of the carry forward lives of the Company's DTAs. We tested management’s forecasted timing of the reversal of taxable temporary differences by evaluating the projected sources of taxable income and considering the</w:t>
            </w:r>
          </w:p>
        </w:tc>
      </w:tr>
      <w:tr>
        <w:trPr>
          <w:trHeight w:val="121"/>
        </w:trPr>
        <w:tc>
          <w:tcPr>
            <w:tcW w:w="1920" w:type="dxa"/>
            <w:vAlign w:val="bottom"/>
          </w:tcPr>
          <w:p>
            <w:pPr>
              <w:spacing w:after="0"/>
              <w:rPr>
                <w:sz w:val="10"/>
                <w:szCs w:val="10"/>
                <w:color w:val="auto"/>
              </w:rPr>
            </w:pPr>
          </w:p>
        </w:tc>
        <w:tc>
          <w:tcPr>
            <w:tcW w:w="3580" w:type="dxa"/>
            <w:vAlign w:val="bottom"/>
          </w:tcPr>
          <w:p>
            <w:pPr>
              <w:ind w:left="300"/>
              <w:spacing w:after="0"/>
              <w:rPr>
                <w:sz w:val="20"/>
                <w:szCs w:val="20"/>
                <w:color w:val="auto"/>
              </w:rPr>
            </w:pPr>
            <w:r>
              <w:rPr>
                <w:rFonts w:ascii="Arial" w:cs="Arial" w:eastAsia="Arial" w:hAnsi="Arial"/>
                <w:sz w:val="10"/>
                <w:szCs w:val="10"/>
                <w:color w:val="auto"/>
              </w:rPr>
              <w:t>nature of the temporary differences and the relevant tax law.</w:t>
            </w:r>
          </w:p>
        </w:tc>
        <w:tc>
          <w:tcPr>
            <w:tcW w:w="5800" w:type="dxa"/>
            <w:vAlign w:val="bottom"/>
          </w:tcPr>
          <w:p>
            <w:pPr>
              <w:spacing w:after="0"/>
              <w:rPr>
                <w:sz w:val="10"/>
                <w:szCs w:val="10"/>
                <w:color w:val="auto"/>
              </w:rPr>
            </w:pPr>
          </w:p>
        </w:tc>
      </w:tr>
      <w:tr>
        <w:trPr>
          <w:trHeight w:val="149"/>
        </w:trPr>
        <w:tc>
          <w:tcPr>
            <w:tcW w:w="1920" w:type="dxa"/>
            <w:vAlign w:val="bottom"/>
          </w:tcPr>
          <w:p>
            <w:pPr>
              <w:spacing w:after="0"/>
              <w:rPr>
                <w:sz w:val="12"/>
                <w:szCs w:val="12"/>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89"/>
              </w:rPr>
              <w:t>We performed sensitivity analyses over Shell’s risk-weighted future taxable profits by jurisdiction, which take into account potential costs of decarbonisation and reconciled the forecast to that used in other areas of analysis, such as</w:t>
            </w:r>
          </w:p>
        </w:tc>
      </w:tr>
      <w:tr>
        <w:trPr>
          <w:trHeight w:val="90"/>
        </w:trPr>
        <w:tc>
          <w:tcPr>
            <w:tcW w:w="1920" w:type="dxa"/>
            <w:vAlign w:val="bottom"/>
          </w:tcPr>
          <w:p>
            <w:pPr>
              <w:spacing w:after="0"/>
              <w:rPr>
                <w:sz w:val="7"/>
                <w:szCs w:val="7"/>
                <w:color w:val="auto"/>
              </w:rPr>
            </w:pPr>
          </w:p>
        </w:tc>
        <w:tc>
          <w:tcPr>
            <w:tcW w:w="9380" w:type="dxa"/>
            <w:vAlign w:val="bottom"/>
            <w:gridSpan w:val="2"/>
          </w:tcPr>
          <w:p>
            <w:pPr>
              <w:ind w:left="300"/>
              <w:spacing w:after="0" w:line="90" w:lineRule="exact"/>
              <w:rPr>
                <w:sz w:val="20"/>
                <w:szCs w:val="20"/>
                <w:color w:val="auto"/>
              </w:rPr>
            </w:pPr>
            <w:r>
              <w:rPr>
                <w:rFonts w:ascii="Arial" w:cs="Arial" w:eastAsia="Arial" w:hAnsi="Arial"/>
                <w:sz w:val="10"/>
                <w:szCs w:val="10"/>
                <w:color w:val="auto"/>
                <w:w w:val="89"/>
              </w:rPr>
              <w:t>impairment. Our testing also included evaluating the extent to which sufficient probable taxable profits would arise in the period within which the related losses would be available for utilisation, considering, for example, limits on the</w:t>
            </w:r>
          </w:p>
        </w:tc>
      </w:tr>
      <w:tr>
        <w:trPr>
          <w:trHeight w:val="121"/>
        </w:trPr>
        <w:tc>
          <w:tcPr>
            <w:tcW w:w="1920" w:type="dxa"/>
            <w:vAlign w:val="bottom"/>
          </w:tcPr>
          <w:p>
            <w:pPr>
              <w:spacing w:after="0"/>
              <w:rPr>
                <w:sz w:val="10"/>
                <w:szCs w:val="10"/>
                <w:color w:val="auto"/>
              </w:rPr>
            </w:pPr>
          </w:p>
        </w:tc>
        <w:tc>
          <w:tcPr>
            <w:tcW w:w="9380" w:type="dxa"/>
            <w:vAlign w:val="bottom"/>
            <w:gridSpan w:val="2"/>
          </w:tcPr>
          <w:p>
            <w:pPr>
              <w:ind w:left="300"/>
              <w:spacing w:after="0"/>
              <w:rPr>
                <w:sz w:val="20"/>
                <w:szCs w:val="20"/>
                <w:color w:val="auto"/>
              </w:rPr>
            </w:pPr>
            <w:r>
              <w:rPr>
                <w:rFonts w:ascii="Arial" w:cs="Arial" w:eastAsia="Arial" w:hAnsi="Arial"/>
                <w:sz w:val="10"/>
                <w:szCs w:val="10"/>
                <w:color w:val="auto"/>
                <w:w w:val="90"/>
              </w:rPr>
              <w:t>length of time that losses can be carried forward, if applicable, or if losses are ring-fenced for tax purposes. We evaluated management’s negative stress test to assess the tolerance of the estimation uncertainty to further risking.</w:t>
            </w:r>
          </w:p>
        </w:tc>
      </w:tr>
      <w:tr>
        <w:trPr>
          <w:trHeight w:val="340"/>
        </w:trPr>
        <w:tc>
          <w:tcPr>
            <w:tcW w:w="5500" w:type="dxa"/>
            <w:vAlign w:val="bottom"/>
            <w:gridSpan w:val="2"/>
          </w:tcPr>
          <w:p>
            <w:pPr>
              <w:ind w:left="40"/>
              <w:spacing w:after="0"/>
              <w:rPr>
                <w:sz w:val="20"/>
                <w:szCs w:val="20"/>
                <w:color w:val="auto"/>
              </w:rPr>
            </w:pPr>
            <w:r>
              <w:rPr>
                <w:rFonts w:ascii="Arial" w:cs="Arial" w:eastAsia="Arial" w:hAnsi="Arial"/>
                <w:sz w:val="7"/>
                <w:szCs w:val="7"/>
                <w:color w:val="auto"/>
              </w:rPr>
              <w:t>FINANCIAL STATEMENTS AND SUPPLEMENTS SHELL FORM 20-F 2020</w:t>
            </w:r>
          </w:p>
        </w:tc>
        <w:tc>
          <w:tcPr>
            <w:tcW w:w="5800" w:type="dxa"/>
            <w:vAlign w:val="bottom"/>
          </w:tcPr>
          <w:p>
            <w:pPr>
              <w:jc w:val="right"/>
              <w:ind w:right="5564"/>
              <w:spacing w:after="0"/>
              <w:rPr>
                <w:sz w:val="20"/>
                <w:szCs w:val="20"/>
                <w:color w:val="auto"/>
              </w:rPr>
            </w:pPr>
            <w:r>
              <w:rPr>
                <w:rFonts w:ascii="Arial" w:cs="Arial" w:eastAsia="Arial" w:hAnsi="Arial"/>
                <w:sz w:val="7"/>
                <w:szCs w:val="7"/>
                <w:color w:val="auto"/>
              </w:rPr>
              <w:t>161</w:t>
            </w:r>
          </w:p>
        </w:tc>
      </w:tr>
      <w:tr>
        <w:trPr>
          <w:trHeight w:val="313"/>
        </w:trPr>
        <w:tc>
          <w:tcPr>
            <w:tcW w:w="19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type w:val="continuous"/>
        </w:sectPr>
      </w:pPr>
    </w:p>
    <w:bookmarkStart w:id="164" w:name="page165"/>
    <w:bookmarkEnd w:id="164"/>
    <w:p>
      <w:pPr>
        <w:ind w:left="2120" w:right="560"/>
        <w:spacing w:after="0" w:line="243" w:lineRule="auto"/>
        <w:rPr>
          <w:sz w:val="20"/>
          <w:szCs w:val="20"/>
          <w:color w:val="auto"/>
        </w:rPr>
      </w:pPr>
      <w:r>
        <w:rPr>
          <w:rFonts w:ascii="Arial" w:cs="Arial" w:eastAsia="Arial" w:hAnsi="Arial"/>
          <w:sz w:val="10"/>
          <w:szCs w:val="10"/>
          <w:b w:val="1"/>
          <w:bCs w:val="1"/>
          <w:color w:val="auto"/>
        </w:rPr>
        <w:t>REVENUE RECOGNITION: THE MEASUREMENT OF UNREALISED TRADING GAINS AND LOSSES AND THE RISK OF UNREALISED TRADING GAINS OR LOSSES NOT BEING RECOGNISED, OR BEING RECOGNISED AS A RESULT OF ERRORS</w:t>
      </w:r>
    </w:p>
    <w:p>
      <w:pPr>
        <w:sectPr>
          <w:pgSz w:w="11900" w:h="16838" w:orient="portrait"/>
          <w:cols w:equalWidth="0" w:num="1">
            <w:col w:w="11300"/>
          </w:cols>
          <w:pgMar w:left="300" w:top="773" w:right="29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8"/>
          <w:szCs w:val="8"/>
          <w:color w:val="auto"/>
        </w:rPr>
        <w:t>Description of the 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As described in Note 4 to the Consolidated Financial Statements, in the year ended December 31, 2020 Shell recognised $181 billion of revenue. As described in Note 19 to the Consolidated Financial Statements, Shell</w:t>
      </w:r>
    </w:p>
    <w:p>
      <w:pPr>
        <w:spacing w:after="0" w:line="236" w:lineRule="auto"/>
        <w:rPr>
          <w:sz w:val="20"/>
          <w:szCs w:val="20"/>
          <w:color w:val="auto"/>
        </w:rPr>
      </w:pPr>
      <w:r>
        <w:rPr>
          <w:rFonts w:ascii="Arial" w:cs="Arial" w:eastAsia="Arial" w:hAnsi="Arial"/>
          <w:sz w:val="10"/>
          <w:szCs w:val="10"/>
          <w:color w:val="auto"/>
        </w:rPr>
        <w:t>recognised derivative financial instrument assets of $9 billion and derivative financial instrument liabilities of $6 billion.</w:t>
      </w:r>
    </w:p>
    <w:p>
      <w:pPr>
        <w:spacing w:after="0" w:line="119" w:lineRule="exact"/>
        <w:rPr>
          <w:sz w:val="20"/>
          <w:szCs w:val="20"/>
          <w:color w:val="auto"/>
        </w:rPr>
      </w:pPr>
    </w:p>
    <w:p>
      <w:pPr>
        <w:spacing w:after="0"/>
        <w:rPr>
          <w:sz w:val="20"/>
          <w:szCs w:val="20"/>
          <w:color w:val="auto"/>
        </w:rPr>
      </w:pPr>
      <w:r>
        <w:rPr>
          <w:rFonts w:ascii="Arial" w:cs="Arial" w:eastAsia="Arial" w:hAnsi="Arial"/>
          <w:sz w:val="8"/>
          <w:szCs w:val="8"/>
          <w:color w:val="auto"/>
        </w:rPr>
        <w:t>Shell's trading and supply function is integrated within the Oil Products, Chemicals, Integrated Gas and Upstream segments and is spread across multiple regions. Auditing the measurement of unrealised trading gains and</w:t>
      </w:r>
    </w:p>
    <w:p>
      <w:pPr>
        <w:spacing w:after="0" w:line="211" w:lineRule="auto"/>
        <w:rPr>
          <w:sz w:val="20"/>
          <w:szCs w:val="20"/>
          <w:color w:val="auto"/>
        </w:rPr>
      </w:pPr>
      <w:r>
        <w:rPr>
          <w:rFonts w:ascii="Arial" w:cs="Arial" w:eastAsia="Arial" w:hAnsi="Arial"/>
          <w:sz w:val="8"/>
          <w:szCs w:val="8"/>
          <w:color w:val="auto"/>
        </w:rPr>
        <w:t>losses is complex because trading is not always carried out in active markets where prices are readily available, increasing subjectivity used in determining the pricing curve and volatility assumptions which are key inputs to</w:t>
      </w:r>
    </w:p>
    <w:p>
      <w:pPr>
        <w:spacing w:after="0" w:line="237" w:lineRule="auto"/>
        <w:rPr>
          <w:sz w:val="20"/>
          <w:szCs w:val="20"/>
          <w:color w:val="auto"/>
        </w:rPr>
      </w:pPr>
      <w:r>
        <w:rPr>
          <w:rFonts w:ascii="Arial" w:cs="Arial" w:eastAsia="Arial" w:hAnsi="Arial"/>
          <w:sz w:val="10"/>
          <w:szCs w:val="10"/>
          <w:color w:val="auto"/>
        </w:rPr>
        <w:t>valuing the trades.</w:t>
      </w:r>
    </w:p>
    <w:p>
      <w:pPr>
        <w:spacing w:after="0" w:line="122" w:lineRule="exact"/>
        <w:rPr>
          <w:sz w:val="20"/>
          <w:szCs w:val="20"/>
          <w:color w:val="auto"/>
        </w:rPr>
      </w:pPr>
    </w:p>
    <w:p>
      <w:pPr>
        <w:sectPr>
          <w:pgSz w:w="11900" w:h="16838" w:orient="portrait"/>
          <w:cols w:equalWidth="0" w:num="2">
            <w:col w:w="1400" w:space="720"/>
            <w:col w:w="9180"/>
          </w:cols>
          <w:pgMar w:left="300" w:top="773" w:right="299" w:bottom="1440" w:gutter="0" w:footer="0" w:header="0"/>
          <w:type w:val="continuous"/>
        </w:sectPr>
      </w:pPr>
    </w:p>
    <w:p>
      <w:pPr>
        <w:jc w:val="center"/>
        <w:spacing w:after="0"/>
        <w:rPr>
          <w:sz w:val="20"/>
          <w:szCs w:val="20"/>
          <w:color w:val="auto"/>
        </w:rPr>
      </w:pPr>
      <w:r>
        <w:rPr>
          <w:rFonts w:ascii="Arial" w:cs="Arial" w:eastAsia="Arial" w:hAnsi="Arial"/>
          <w:sz w:val="8"/>
          <w:szCs w:val="8"/>
          <w:color w:val="auto"/>
        </w:rPr>
        <w:t>Identifying unrealised trading gains and losses is also complex due to the significant volume of transactions entered into by Shell and the lack of market transparency of executed deals.</w:t>
      </w:r>
    </w:p>
    <w:p>
      <w:pPr>
        <w:sectPr>
          <w:pgSz w:w="11900" w:h="16838" w:orient="portrait"/>
          <w:cols w:equalWidth="0" w:num="1">
            <w:col w:w="11300"/>
          </w:cols>
          <w:pgMar w:left="300" w:top="773" w:right="2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8"/>
          <w:szCs w:val="8"/>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700"/>
        <w:spacing w:after="0" w:line="206" w:lineRule="auto"/>
        <w:rPr>
          <w:sz w:val="20"/>
          <w:szCs w:val="20"/>
          <w:color w:val="auto"/>
        </w:rPr>
      </w:pPr>
      <w:r>
        <w:rPr>
          <w:rFonts w:ascii="Arial" w:cs="Arial" w:eastAsia="Arial" w:hAnsi="Arial"/>
          <w:sz w:val="10"/>
          <w:szCs w:val="10"/>
          <w:color w:val="auto"/>
        </w:rPr>
        <w:t>We obtained an understanding of the controls over Shell’s process for the recognition of revenue relating to unrealised trading gains and losses. We then evaluated the design of these controls and tested their operating effectiveness. For example, we tested controls within the front-to-end deal lifecycle across the trading and supply function and controls around the review of pricing curve and volatility assumptions applied in the valuation models.</w:t>
      </w:r>
    </w:p>
    <w:p>
      <w:pPr>
        <w:spacing w:after="0" w:line="59" w:lineRule="exact"/>
        <w:rPr>
          <w:sz w:val="20"/>
          <w:szCs w:val="20"/>
          <w:color w:val="auto"/>
        </w:rPr>
      </w:pPr>
    </w:p>
    <w:p>
      <w:pPr>
        <w:sectPr>
          <w:pgSz w:w="11900" w:h="16838" w:orient="portrait"/>
          <w:cols w:equalWidth="0" w:num="2">
            <w:col w:w="1600" w:space="520"/>
            <w:col w:w="9180"/>
          </w:cols>
          <w:pgMar w:left="300" w:top="773" w:right="299" w:bottom="1440" w:gutter="0" w:footer="0" w:header="0"/>
          <w:type w:val="continuous"/>
        </w:sectPr>
      </w:pPr>
    </w:p>
    <w:p>
      <w:pPr>
        <w:ind w:left="2120"/>
        <w:spacing w:after="0"/>
        <w:rPr>
          <w:sz w:val="20"/>
          <w:szCs w:val="20"/>
          <w:color w:val="auto"/>
        </w:rPr>
      </w:pPr>
      <w:r>
        <w:rPr>
          <w:rFonts w:ascii="Arial" w:cs="Arial" w:eastAsia="Arial" w:hAnsi="Arial"/>
          <w:sz w:val="10"/>
          <w:szCs w:val="10"/>
          <w:color w:val="auto"/>
        </w:rPr>
        <w:t>We involved professionals with significant experience auditing both large commodity trading organisations and financial institutions.</w:t>
      </w:r>
    </w:p>
    <w:p>
      <w:pPr>
        <w:spacing w:after="0" w:line="65" w:lineRule="exact"/>
        <w:rPr>
          <w:sz w:val="20"/>
          <w:szCs w:val="20"/>
          <w:color w:val="auto"/>
        </w:rPr>
      </w:pPr>
    </w:p>
    <w:p>
      <w:pPr>
        <w:ind w:left="2120" w:right="580"/>
        <w:spacing w:after="0" w:line="273" w:lineRule="auto"/>
        <w:rPr>
          <w:sz w:val="20"/>
          <w:szCs w:val="20"/>
          <w:color w:val="auto"/>
        </w:rPr>
      </w:pPr>
      <w:r>
        <w:rPr>
          <w:rFonts w:ascii="Arial" w:cs="Arial" w:eastAsia="Arial" w:hAnsi="Arial"/>
          <w:sz w:val="8"/>
          <w:szCs w:val="8"/>
          <w:color w:val="auto"/>
        </w:rPr>
        <w:t>We tested the pricing curve and volatility assumptions in the valuation models. This included comparing the price curves and volatility assumptions adopted by Shell to external broker quotes. market consensus providers, and our independent assessments. We involved EY valuation specialists to assist us in performing independent testing of the valuation models of Level 3 contracts. We evaluated contract terms and key assumptions against independent market information. We assessed Shell's valuation methodology against market practice and analysed whether a consistent framework was applied across the business.</w:t>
      </w:r>
    </w:p>
    <w:p>
      <w:pPr>
        <w:spacing w:after="0" w:line="46" w:lineRule="exact"/>
        <w:rPr>
          <w:sz w:val="20"/>
          <w:szCs w:val="20"/>
          <w:color w:val="auto"/>
        </w:rPr>
      </w:pPr>
    </w:p>
    <w:p>
      <w:pPr>
        <w:ind w:left="2120" w:right="600"/>
        <w:spacing w:after="0" w:line="260" w:lineRule="auto"/>
        <w:rPr>
          <w:sz w:val="20"/>
          <w:szCs w:val="20"/>
          <w:color w:val="auto"/>
        </w:rPr>
      </w:pPr>
      <w:r>
        <w:rPr>
          <w:rFonts w:ascii="Arial" w:cs="Arial" w:eastAsia="Arial" w:hAnsi="Arial"/>
          <w:sz w:val="8"/>
          <w:szCs w:val="8"/>
          <w:color w:val="auto"/>
        </w:rPr>
        <w:t>To audit the existence, completeness and valuation of open positions, we focused specifically on over-the-counter (OTC) physical and financial transactions. Amongst other procedures, we obtained external confirmation of a sample of open trading positions with brokers and counterparties and, where necessary, we tested the existence of the position by agreement to signed contracts. We performed additional confirmation testing by obtaining confirmations from a sample of counterparties who had open positions in the prior trading year, but no reported trading positions in the current year. We also performed procedures to identify unrecorded liabilities by comparing sales to trade receivables and purchases to trade payables that occurred near the end of the financial year to evaluate whether or not the transactions had been recorded appropriately and in the correct period.</w:t>
      </w:r>
    </w:p>
    <w:p>
      <w:pPr>
        <w:sectPr>
          <w:pgSz w:w="11900" w:h="16838" w:orient="portrait"/>
          <w:cols w:equalWidth="0" w:num="1">
            <w:col w:w="11300"/>
          </w:cols>
          <w:pgMar w:left="300" w:top="773" w:right="299" w:bottom="1440" w:gutter="0" w:footer="0" w:header="0"/>
          <w:type w:val="continuous"/>
        </w:sectPr>
      </w:pPr>
    </w:p>
    <w:p>
      <w:pPr>
        <w:spacing w:after="0" w:line="312"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/s/ Ernst &amp; Young LLP</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We have served as the Company’s auditor since 2016.</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London, United Kingdom</w:t>
      </w:r>
    </w:p>
    <w:p>
      <w:pPr>
        <w:spacing w:after="0" w:line="236" w:lineRule="auto"/>
        <w:rPr>
          <w:sz w:val="20"/>
          <w:szCs w:val="20"/>
          <w:color w:val="auto"/>
        </w:rPr>
      </w:pPr>
      <w:r>
        <w:rPr>
          <w:rFonts w:ascii="Arial" w:cs="Arial" w:eastAsia="Arial" w:hAnsi="Arial"/>
          <w:sz w:val="10"/>
          <w:szCs w:val="10"/>
          <w:color w:val="auto"/>
        </w:rPr>
        <w:t>March 10, 2021</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TO THE SHAREHOLDERS AND BOARD OF DIRECTORS OF ROYAL DUTCH SHELL PLC</w:t>
      </w:r>
    </w:p>
    <w:p>
      <w:pPr>
        <w:spacing w:after="0" w:line="231" w:lineRule="auto"/>
        <w:rPr>
          <w:sz w:val="20"/>
          <w:szCs w:val="20"/>
          <w:color w:val="auto"/>
        </w:rPr>
      </w:pPr>
      <w:r>
        <w:rPr>
          <w:rFonts w:ascii="Arial" w:cs="Arial" w:eastAsia="Arial" w:hAnsi="Arial"/>
          <w:sz w:val="10"/>
          <w:szCs w:val="10"/>
          <w:b w:val="1"/>
          <w:bCs w:val="1"/>
          <w:color w:val="auto"/>
        </w:rPr>
        <w:t>Opinion on Internal Control over Financial Reporting</w:t>
      </w:r>
    </w:p>
    <w:p>
      <w:pPr>
        <w:ind w:right="280"/>
        <w:spacing w:after="0" w:line="225" w:lineRule="auto"/>
        <w:rPr>
          <w:sz w:val="20"/>
          <w:szCs w:val="20"/>
          <w:color w:val="auto"/>
        </w:rPr>
      </w:pPr>
      <w:r>
        <w:rPr>
          <w:rFonts w:ascii="Arial" w:cs="Arial" w:eastAsia="Arial" w:hAnsi="Arial"/>
          <w:sz w:val="10"/>
          <w:szCs w:val="10"/>
          <w:color w:val="auto"/>
        </w:rPr>
        <w:t>We have audited Royal Dutch Shell plc’s (the Company) internal control over financial reporting as of December 31, 2020, based on criteria established in Internal Control—Integrated Framework issued by the Committee of Sponsoring Organizations of the Treadway Commission (2013 framework) (the COSO criteria). In our opinion, the Company maintained, in all material respects, effective internal control over financial reporting as of December 31, 2020, based on the COSO criteria.</w:t>
      </w:r>
    </w:p>
    <w:p>
      <w:pPr>
        <w:ind w:right="880"/>
        <w:spacing w:after="0" w:line="225" w:lineRule="auto"/>
        <w:rPr>
          <w:sz w:val="20"/>
          <w:szCs w:val="20"/>
          <w:color w:val="auto"/>
        </w:rPr>
      </w:pPr>
      <w:r>
        <w:rPr>
          <w:rFonts w:ascii="Arial" w:cs="Arial" w:eastAsia="Arial" w:hAnsi="Arial"/>
          <w:sz w:val="10"/>
          <w:szCs w:val="10"/>
          <w:color w:val="auto"/>
        </w:rPr>
        <w:t xml:space="preserve">We also have audited, in accordance with the standards of the Public Company Accounting Oversight Board (United States) (PCAOB), the Consolidated Financial Statements of the Company, and our report dated March 10, 2021, expressed an unqualified opinion thereon. </w:t>
      </w:r>
      <w:r>
        <w:rPr>
          <w:rFonts w:ascii="Arial" w:cs="Arial" w:eastAsia="Arial" w:hAnsi="Arial"/>
          <w:sz w:val="10"/>
          <w:szCs w:val="10"/>
          <w:b w:val="1"/>
          <w:bCs w:val="1"/>
          <w:color w:val="auto"/>
        </w:rPr>
        <w:t>Basis for Opinion</w:t>
      </w:r>
    </w:p>
    <w:p>
      <w:pPr>
        <w:jc w:val="both"/>
        <w:ind w:right="40"/>
        <w:spacing w:after="0" w:line="225" w:lineRule="auto"/>
        <w:rPr>
          <w:sz w:val="20"/>
          <w:szCs w:val="20"/>
          <w:color w:val="auto"/>
        </w:rPr>
      </w:pPr>
      <w:r>
        <w:rPr>
          <w:rFonts w:ascii="Arial" w:cs="Arial" w:eastAsia="Arial" w:hAnsi="Arial"/>
          <w:sz w:val="10"/>
          <w:szCs w:val="1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as set out on page 148.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 w:lineRule="exact"/>
        <w:rPr>
          <w:sz w:val="20"/>
          <w:szCs w:val="20"/>
          <w:color w:val="auto"/>
        </w:rPr>
      </w:pPr>
    </w:p>
    <w:p>
      <w:pPr>
        <w:ind w:right="280"/>
        <w:spacing w:after="0" w:line="225" w:lineRule="auto"/>
        <w:rPr>
          <w:sz w:val="20"/>
          <w:szCs w:val="20"/>
          <w:color w:val="auto"/>
        </w:rPr>
      </w:pPr>
      <w:r>
        <w:rPr>
          <w:rFonts w:ascii="Arial" w:cs="Arial" w:eastAsia="Arial" w:hAnsi="Arial"/>
          <w:sz w:val="10"/>
          <w:szCs w:val="1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6" w:lineRule="auto"/>
        <w:rPr>
          <w:sz w:val="20"/>
          <w:szCs w:val="20"/>
          <w:color w:val="auto"/>
        </w:rPr>
      </w:pPr>
      <w:r>
        <w:rPr>
          <w:rFonts w:ascii="Arial" w:cs="Arial" w:eastAsia="Arial" w:hAnsi="Arial"/>
          <w:sz w:val="10"/>
          <w:szCs w:val="10"/>
          <w:b w:val="1"/>
          <w:bCs w:val="1"/>
          <w:color w:val="auto"/>
        </w:rPr>
        <w:t>Definition and Limitations of Internal Control over Financial Reporting</w:t>
      </w:r>
    </w:p>
    <w:p>
      <w:pPr>
        <w:ind w:right="180"/>
        <w:spacing w:after="0" w:line="281" w:lineRule="auto"/>
        <w:rPr>
          <w:sz w:val="20"/>
          <w:szCs w:val="20"/>
          <w:color w:val="auto"/>
        </w:rPr>
      </w:pPr>
      <w:r>
        <w:rPr>
          <w:rFonts w:ascii="Arial" w:cs="Arial" w:eastAsia="Arial" w:hAnsi="Arial"/>
          <w:sz w:val="8"/>
          <w:szCs w:val="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authorisations of management and directors of the company; and (3) provide reasonable assurance regarding prevention or timely detection of unauthorised acquisition, use, or disposition of the company’s assets that could have a material effect on the financial statements.</w:t>
      </w:r>
    </w:p>
    <w:p>
      <w:pPr>
        <w:spacing w:after="0" w:line="1" w:lineRule="exact"/>
        <w:rPr>
          <w:sz w:val="20"/>
          <w:szCs w:val="20"/>
          <w:color w:val="auto"/>
        </w:rPr>
      </w:pPr>
    </w:p>
    <w:p>
      <w:pPr>
        <w:ind w:right="160"/>
        <w:spacing w:after="0" w:line="225" w:lineRule="auto"/>
        <w:rPr>
          <w:sz w:val="20"/>
          <w:szCs w:val="20"/>
          <w:color w:val="auto"/>
        </w:rPr>
      </w:pPr>
      <w:r>
        <w:rPr>
          <w:rFonts w:ascii="Arial" w:cs="Arial" w:eastAsia="Arial" w:hAnsi="Arial"/>
          <w:sz w:val="10"/>
          <w:szCs w:val="1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6" w:lineRule="auto"/>
        <w:rPr>
          <w:sz w:val="20"/>
          <w:szCs w:val="20"/>
          <w:color w:val="auto"/>
        </w:rPr>
      </w:pPr>
      <w:r>
        <w:rPr>
          <w:rFonts w:ascii="Arial" w:cs="Arial" w:eastAsia="Arial" w:hAnsi="Arial"/>
          <w:sz w:val="10"/>
          <w:szCs w:val="10"/>
          <w:u w:val="single" w:color="auto"/>
          <w:color w:val="auto"/>
        </w:rPr>
        <w:t>/s/ Ernst &amp; Young LLP</w:t>
      </w:r>
    </w:p>
    <w:p>
      <w:pPr>
        <w:spacing w:after="0" w:line="237" w:lineRule="auto"/>
        <w:rPr>
          <w:sz w:val="20"/>
          <w:szCs w:val="20"/>
          <w:color w:val="auto"/>
        </w:rPr>
      </w:pPr>
      <w:r>
        <w:rPr>
          <w:rFonts w:ascii="Arial" w:cs="Arial" w:eastAsia="Arial" w:hAnsi="Arial"/>
          <w:sz w:val="10"/>
          <w:szCs w:val="10"/>
          <w:color w:val="auto"/>
        </w:rPr>
        <w:t>London, United Kingdom March 10, 2021</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980" w:type="dxa"/>
            <w:vAlign w:val="bottom"/>
          </w:tcPr>
          <w:p>
            <w:pPr>
              <w:ind w:left="40"/>
              <w:spacing w:after="0"/>
              <w:rPr>
                <w:sz w:val="20"/>
                <w:szCs w:val="20"/>
                <w:color w:val="auto"/>
              </w:rPr>
            </w:pPr>
            <w:r>
              <w:rPr>
                <w:rFonts w:ascii="Arial" w:cs="Arial" w:eastAsia="Arial" w:hAnsi="Arial"/>
                <w:sz w:val="7"/>
                <w:szCs w:val="7"/>
                <w:color w:val="auto"/>
              </w:rPr>
              <w:t>FINANCIAL STATEMENTS AND SUPPLEMENTS SHELL FORM 20-F 2020</w:t>
            </w:r>
          </w:p>
        </w:tc>
        <w:tc>
          <w:tcPr>
            <w:tcW w:w="7320" w:type="dxa"/>
            <w:vAlign w:val="bottom"/>
          </w:tcPr>
          <w:p>
            <w:pPr>
              <w:jc w:val="right"/>
              <w:ind w:right="5564"/>
              <w:spacing w:after="0"/>
              <w:rPr>
                <w:sz w:val="20"/>
                <w:szCs w:val="20"/>
                <w:color w:val="auto"/>
              </w:rPr>
            </w:pPr>
            <w:r>
              <w:rPr>
                <w:rFonts w:ascii="Arial" w:cs="Arial" w:eastAsia="Arial" w:hAnsi="Arial"/>
                <w:sz w:val="7"/>
                <w:szCs w:val="7"/>
                <w:color w:val="auto"/>
              </w:rPr>
              <w:t>162</w:t>
            </w:r>
          </w:p>
        </w:tc>
      </w:tr>
      <w:tr>
        <w:trPr>
          <w:trHeight w:val="313"/>
        </w:trPr>
        <w:tc>
          <w:tcPr>
            <w:tcW w:w="398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type w:val="continuous"/>
        </w:sectPr>
      </w:pPr>
    </w:p>
    <w:bookmarkStart w:id="165" w:name="page166"/>
    <w:bookmarkEnd w:id="165"/>
    <w:tbl>
      <w:tblPr>
        <w:tblLayout w:type="fixed"/>
        <w:tblInd w:w="0" w:type="dxa"/>
        <w:tblCellMar>
          <w:top w:w="0" w:type="dxa"/>
          <w:left w:w="0" w:type="dxa"/>
          <w:bottom w:w="0" w:type="dxa"/>
          <w:right w:w="0" w:type="dxa"/>
        </w:tblCellMar>
      </w:tblPr>
      <w:tr>
        <w:trPr>
          <w:trHeight w:val="90"/>
        </w:trPr>
        <w:tc>
          <w:tcPr>
            <w:tcW w:w="3980" w:type="dxa"/>
            <w:vAlign w:val="bottom"/>
          </w:tcPr>
          <w:p>
            <w:pPr>
              <w:ind w:left="40"/>
              <w:spacing w:after="0"/>
              <w:rPr>
                <w:sz w:val="20"/>
                <w:szCs w:val="20"/>
                <w:color w:val="auto"/>
              </w:rPr>
            </w:pPr>
            <w:r>
              <w:rPr>
                <w:rFonts w:ascii="Arial" w:cs="Arial" w:eastAsia="Arial" w:hAnsi="Arial"/>
                <w:sz w:val="7"/>
                <w:szCs w:val="7"/>
                <w:color w:val="auto"/>
              </w:rPr>
              <w:t>FINANCIAL STATEMENTS AND SUPPLEMENTS SHELL FORM 20-F 2020</w:t>
            </w:r>
          </w:p>
        </w:tc>
        <w:tc>
          <w:tcPr>
            <w:tcW w:w="7320" w:type="dxa"/>
            <w:vAlign w:val="bottom"/>
          </w:tcPr>
          <w:p>
            <w:pPr>
              <w:jc w:val="right"/>
              <w:ind w:right="5564"/>
              <w:spacing w:after="0"/>
              <w:rPr>
                <w:sz w:val="20"/>
                <w:szCs w:val="20"/>
                <w:color w:val="auto"/>
              </w:rPr>
            </w:pPr>
            <w:r>
              <w:rPr>
                <w:rFonts w:ascii="Arial" w:cs="Arial" w:eastAsia="Arial" w:hAnsi="Arial"/>
                <w:sz w:val="7"/>
                <w:szCs w:val="7"/>
                <w:color w:val="auto"/>
              </w:rPr>
              <w:t>163</w:t>
            </w:r>
          </w:p>
        </w:tc>
      </w:tr>
      <w:tr>
        <w:trPr>
          <w:trHeight w:val="313"/>
        </w:trPr>
        <w:tc>
          <w:tcPr>
            <w:tcW w:w="398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997" w:right="29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577215" cy="228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77215" cy="22860"/>
                    </a:xfrm>
                    <a:prstGeom prst="rect">
                      <a:avLst/>
                    </a:prstGeom>
                    <a:noFill/>
                  </pic:spPr>
                </pic:pic>
              </a:graphicData>
            </a:graphic>
          </wp:anchor>
        </w:drawing>
      </w:r>
    </w:p>
    <w:p>
      <w:pPr>
        <w:spacing w:after="0" w:line="96" w:lineRule="exact"/>
        <w:rPr>
          <w:sz w:val="20"/>
          <w:szCs w:val="20"/>
          <w:color w:val="auto"/>
        </w:rPr>
      </w:pPr>
    </w:p>
    <w:p>
      <w:pPr>
        <w:ind w:left="540" w:hanging="536"/>
        <w:spacing w:after="0"/>
        <w:tabs>
          <w:tab w:leader="none" w:pos="540" w:val="left"/>
        </w:tabs>
        <w:numPr>
          <w:ilvl w:val="0"/>
          <w:numId w:val="158"/>
        </w:numPr>
        <w:rPr>
          <w:rFonts w:ascii="Arial" w:cs="Arial" w:eastAsia="Arial" w:hAnsi="Arial"/>
          <w:sz w:val="10"/>
          <w:szCs w:val="10"/>
          <w:color w:val="auto"/>
        </w:rPr>
      </w:pPr>
      <w:r>
        <w:rPr>
          <w:rFonts w:ascii="Arial" w:cs="Arial" w:eastAsia="Arial" w:hAnsi="Arial"/>
          <w:sz w:val="10"/>
          <w:szCs w:val="10"/>
          <w:color w:val="auto"/>
        </w:rPr>
        <w:t>Consolidated Statement of Income</w:t>
      </w:r>
    </w:p>
    <w:p>
      <w:pPr>
        <w:spacing w:after="0" w:line="11" w:lineRule="exact"/>
        <w:rPr>
          <w:rFonts w:ascii="Arial" w:cs="Arial" w:eastAsia="Arial" w:hAnsi="Arial"/>
          <w:sz w:val="10"/>
          <w:szCs w:val="10"/>
          <w:color w:val="auto"/>
        </w:rPr>
      </w:pPr>
    </w:p>
    <w:p>
      <w:pPr>
        <w:ind w:left="540" w:hanging="536"/>
        <w:spacing w:after="0"/>
        <w:tabs>
          <w:tab w:leader="none" w:pos="540" w:val="left"/>
        </w:tabs>
        <w:numPr>
          <w:ilvl w:val="0"/>
          <w:numId w:val="158"/>
        </w:numPr>
        <w:rPr>
          <w:rFonts w:ascii="Arial" w:cs="Arial" w:eastAsia="Arial" w:hAnsi="Arial"/>
          <w:sz w:val="10"/>
          <w:szCs w:val="10"/>
          <w:color w:val="auto"/>
        </w:rPr>
      </w:pPr>
      <w:r>
        <w:rPr>
          <w:rFonts w:ascii="Arial" w:cs="Arial" w:eastAsia="Arial" w:hAnsi="Arial"/>
          <w:sz w:val="10"/>
          <w:szCs w:val="10"/>
          <w:color w:val="auto"/>
        </w:rPr>
        <w:t>Consolidated Statement of Comprehensive Income</w:t>
      </w:r>
    </w:p>
    <w:p>
      <w:pPr>
        <w:spacing w:after="0" w:line="11" w:lineRule="exact"/>
        <w:rPr>
          <w:rFonts w:ascii="Arial" w:cs="Arial" w:eastAsia="Arial" w:hAnsi="Arial"/>
          <w:sz w:val="10"/>
          <w:szCs w:val="10"/>
          <w:color w:val="auto"/>
        </w:rPr>
      </w:pPr>
    </w:p>
    <w:p>
      <w:pPr>
        <w:ind w:left="540" w:hanging="536"/>
        <w:spacing w:after="0"/>
        <w:tabs>
          <w:tab w:leader="none" w:pos="540" w:val="left"/>
        </w:tabs>
        <w:numPr>
          <w:ilvl w:val="0"/>
          <w:numId w:val="158"/>
        </w:numPr>
        <w:rPr>
          <w:rFonts w:ascii="Arial" w:cs="Arial" w:eastAsia="Arial" w:hAnsi="Arial"/>
          <w:sz w:val="10"/>
          <w:szCs w:val="10"/>
          <w:color w:val="auto"/>
        </w:rPr>
      </w:pPr>
      <w:r>
        <w:rPr>
          <w:rFonts w:ascii="Arial" w:cs="Arial" w:eastAsia="Arial" w:hAnsi="Arial"/>
          <w:sz w:val="10"/>
          <w:szCs w:val="10"/>
          <w:color w:val="auto"/>
        </w:rPr>
        <w:t>Consolidated Balance Sheet</w:t>
      </w:r>
    </w:p>
    <w:p>
      <w:pPr>
        <w:spacing w:after="0" w:line="11" w:lineRule="exact"/>
        <w:rPr>
          <w:rFonts w:ascii="Arial" w:cs="Arial" w:eastAsia="Arial" w:hAnsi="Arial"/>
          <w:sz w:val="10"/>
          <w:szCs w:val="10"/>
          <w:color w:val="auto"/>
        </w:rPr>
      </w:pPr>
    </w:p>
    <w:p>
      <w:pPr>
        <w:ind w:left="540" w:hanging="536"/>
        <w:spacing w:after="0"/>
        <w:tabs>
          <w:tab w:leader="none" w:pos="540" w:val="left"/>
        </w:tabs>
        <w:numPr>
          <w:ilvl w:val="0"/>
          <w:numId w:val="158"/>
        </w:numPr>
        <w:rPr>
          <w:rFonts w:ascii="Arial" w:cs="Arial" w:eastAsia="Arial" w:hAnsi="Arial"/>
          <w:sz w:val="10"/>
          <w:szCs w:val="10"/>
          <w:color w:val="auto"/>
        </w:rPr>
      </w:pPr>
      <w:r>
        <w:rPr>
          <w:rFonts w:ascii="Arial" w:cs="Arial" w:eastAsia="Arial" w:hAnsi="Arial"/>
          <w:sz w:val="10"/>
          <w:szCs w:val="10"/>
          <w:color w:val="auto"/>
        </w:rPr>
        <w:t>Consolidated Statement of Changes in Equity</w:t>
      </w:r>
    </w:p>
    <w:p>
      <w:pPr>
        <w:spacing w:after="0" w:line="11" w:lineRule="exact"/>
        <w:rPr>
          <w:rFonts w:ascii="Arial" w:cs="Arial" w:eastAsia="Arial" w:hAnsi="Arial"/>
          <w:sz w:val="10"/>
          <w:szCs w:val="10"/>
          <w:color w:val="auto"/>
        </w:rPr>
      </w:pPr>
    </w:p>
    <w:p>
      <w:pPr>
        <w:ind w:left="540" w:hanging="536"/>
        <w:spacing w:after="0"/>
        <w:tabs>
          <w:tab w:leader="none" w:pos="540" w:val="left"/>
        </w:tabs>
        <w:numPr>
          <w:ilvl w:val="0"/>
          <w:numId w:val="158"/>
        </w:numPr>
        <w:rPr>
          <w:rFonts w:ascii="Arial" w:cs="Arial" w:eastAsia="Arial" w:hAnsi="Arial"/>
          <w:sz w:val="10"/>
          <w:szCs w:val="10"/>
          <w:color w:val="auto"/>
        </w:rPr>
      </w:pPr>
      <w:r>
        <w:rPr>
          <w:rFonts w:ascii="Arial" w:cs="Arial" w:eastAsia="Arial" w:hAnsi="Arial"/>
          <w:sz w:val="10"/>
          <w:szCs w:val="10"/>
          <w:color w:val="auto"/>
        </w:rPr>
        <w:t>Consolidated Statement of Cash Flows</w:t>
      </w:r>
    </w:p>
    <w:p>
      <w:pPr>
        <w:spacing w:after="0" w:line="11" w:lineRule="exact"/>
        <w:rPr>
          <w:rFonts w:ascii="Arial" w:cs="Arial" w:eastAsia="Arial" w:hAnsi="Arial"/>
          <w:sz w:val="10"/>
          <w:szCs w:val="10"/>
          <w:color w:val="auto"/>
        </w:rPr>
      </w:pPr>
    </w:p>
    <w:p>
      <w:pPr>
        <w:ind w:left="540" w:hanging="536"/>
        <w:spacing w:after="0"/>
        <w:tabs>
          <w:tab w:leader="none" w:pos="540" w:val="left"/>
        </w:tabs>
        <w:numPr>
          <w:ilvl w:val="0"/>
          <w:numId w:val="158"/>
        </w:numPr>
        <w:rPr>
          <w:rFonts w:ascii="Arial" w:cs="Arial" w:eastAsia="Arial" w:hAnsi="Arial"/>
          <w:sz w:val="10"/>
          <w:szCs w:val="10"/>
          <w:color w:val="auto"/>
        </w:rPr>
      </w:pPr>
      <w:r>
        <w:rPr>
          <w:rFonts w:ascii="Arial" w:cs="Arial" w:eastAsia="Arial" w:hAnsi="Arial"/>
          <w:sz w:val="10"/>
          <w:szCs w:val="10"/>
          <w:color w:val="auto"/>
        </w:rPr>
        <w:t>Notes to the Consolidated Financial Statements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40" w:type="dxa"/>
            <w:vAlign w:val="bottom"/>
          </w:tcPr>
          <w:p>
            <w:pPr>
              <w:jc w:val="right"/>
              <w:ind w:right="152"/>
              <w:spacing w:after="0"/>
              <w:rPr>
                <w:rFonts w:ascii="Arial" w:cs="Arial" w:eastAsia="Arial" w:hAnsi="Arial"/>
                <w:sz w:val="10"/>
                <w:szCs w:val="10"/>
                <w:color w:val="auto"/>
                <w:w w:val="71"/>
              </w:rPr>
            </w:pPr>
            <w:hyperlink w:anchor="page173">
              <w:r>
                <w:rPr>
                  <w:rFonts w:ascii="Arial" w:cs="Arial" w:eastAsia="Arial" w:hAnsi="Arial"/>
                  <w:sz w:val="10"/>
                  <w:szCs w:val="10"/>
                  <w:color w:val="auto"/>
                  <w:w w:val="71"/>
                </w:rPr>
                <w:t>170</w:t>
              </w:r>
            </w:hyperlink>
          </w:p>
        </w:tc>
        <w:tc>
          <w:tcPr>
            <w:tcW w:w="2700" w:type="dxa"/>
            <w:vAlign w:val="bottom"/>
            <w:gridSpan w:val="2"/>
          </w:tcPr>
          <w:p>
            <w:pPr>
              <w:ind w:left="200"/>
              <w:spacing w:after="0"/>
              <w:rPr>
                <w:sz w:val="20"/>
                <w:szCs w:val="20"/>
                <w:color w:val="auto"/>
              </w:rPr>
            </w:pPr>
            <w:r>
              <w:rPr>
                <w:rFonts w:ascii="Arial" w:cs="Arial" w:eastAsia="Arial" w:hAnsi="Arial"/>
                <w:sz w:val="10"/>
                <w:szCs w:val="10"/>
                <w:color w:val="auto"/>
              </w:rPr>
              <w:t>Note 1 Basis of preparation</w:t>
            </w:r>
          </w:p>
        </w:tc>
      </w:tr>
      <w:tr>
        <w:trPr>
          <w:trHeight w:val="126"/>
        </w:trPr>
        <w:tc>
          <w:tcPr>
            <w:tcW w:w="340" w:type="dxa"/>
            <w:vAlign w:val="bottom"/>
          </w:tcPr>
          <w:p>
            <w:pPr>
              <w:jc w:val="right"/>
              <w:ind w:right="152"/>
              <w:spacing w:after="0"/>
              <w:rPr>
                <w:rFonts w:ascii="Arial" w:cs="Arial" w:eastAsia="Arial" w:hAnsi="Arial"/>
                <w:sz w:val="10"/>
                <w:szCs w:val="10"/>
                <w:color w:val="auto"/>
                <w:w w:val="71"/>
              </w:rPr>
            </w:pPr>
            <w:hyperlink w:anchor="page173">
              <w:r>
                <w:rPr>
                  <w:rFonts w:ascii="Arial" w:cs="Arial" w:eastAsia="Arial" w:hAnsi="Arial"/>
                  <w:sz w:val="10"/>
                  <w:szCs w:val="10"/>
                  <w:color w:val="auto"/>
                  <w:w w:val="71"/>
                </w:rPr>
                <w:t>170</w:t>
              </w:r>
            </w:hyperlink>
          </w:p>
        </w:tc>
        <w:tc>
          <w:tcPr>
            <w:tcW w:w="2700" w:type="dxa"/>
            <w:vAlign w:val="bottom"/>
            <w:gridSpan w:val="2"/>
          </w:tcPr>
          <w:p>
            <w:pPr>
              <w:ind w:left="200"/>
              <w:spacing w:after="0"/>
              <w:rPr>
                <w:sz w:val="20"/>
                <w:szCs w:val="20"/>
                <w:color w:val="auto"/>
              </w:rPr>
            </w:pPr>
            <w:r>
              <w:rPr>
                <w:rFonts w:ascii="Arial" w:cs="Arial" w:eastAsia="Arial" w:hAnsi="Arial"/>
                <w:sz w:val="10"/>
                <w:szCs w:val="10"/>
                <w:color w:val="auto"/>
                <w:w w:val="86"/>
              </w:rPr>
              <w:t>Note 2 Significant accounting policies, judgements and estimates</w:t>
            </w:r>
          </w:p>
        </w:tc>
      </w:tr>
      <w:tr>
        <w:trPr>
          <w:trHeight w:val="126"/>
        </w:trPr>
        <w:tc>
          <w:tcPr>
            <w:tcW w:w="340" w:type="dxa"/>
            <w:vAlign w:val="bottom"/>
          </w:tcPr>
          <w:p>
            <w:pPr>
              <w:jc w:val="right"/>
              <w:ind w:right="152"/>
              <w:spacing w:after="0"/>
              <w:rPr>
                <w:rFonts w:ascii="Arial" w:cs="Arial" w:eastAsia="Arial" w:hAnsi="Arial"/>
                <w:sz w:val="10"/>
                <w:szCs w:val="10"/>
                <w:color w:val="auto"/>
                <w:w w:val="71"/>
              </w:rPr>
            </w:pPr>
            <w:hyperlink w:anchor="page180">
              <w:r>
                <w:rPr>
                  <w:rFonts w:ascii="Arial" w:cs="Arial" w:eastAsia="Arial" w:hAnsi="Arial"/>
                  <w:sz w:val="10"/>
                  <w:szCs w:val="10"/>
                  <w:color w:val="auto"/>
                  <w:w w:val="71"/>
                </w:rPr>
                <w:t>178</w:t>
              </w:r>
            </w:hyperlink>
          </w:p>
        </w:tc>
        <w:tc>
          <w:tcPr>
            <w:tcW w:w="480" w:type="dxa"/>
            <w:vAlign w:val="bottom"/>
          </w:tcPr>
          <w:p>
            <w:pPr>
              <w:ind w:left="200"/>
              <w:spacing w:after="0"/>
              <w:rPr>
                <w:sz w:val="20"/>
                <w:szCs w:val="20"/>
                <w:color w:val="auto"/>
              </w:rPr>
            </w:pPr>
            <w:r>
              <w:rPr>
                <w:rFonts w:ascii="Arial" w:cs="Arial" w:eastAsia="Arial" w:hAnsi="Arial"/>
                <w:sz w:val="10"/>
                <w:szCs w:val="10"/>
                <w:color w:val="auto"/>
                <w:w w:val="88"/>
              </w:rPr>
              <w:t>Note 3</w:t>
            </w:r>
          </w:p>
        </w:tc>
        <w:tc>
          <w:tcPr>
            <w:tcW w:w="2220" w:type="dxa"/>
            <w:vAlign w:val="bottom"/>
          </w:tcPr>
          <w:p>
            <w:pPr>
              <w:spacing w:after="0"/>
              <w:rPr>
                <w:sz w:val="20"/>
                <w:szCs w:val="20"/>
                <w:color w:val="auto"/>
              </w:rPr>
            </w:pPr>
            <w:r>
              <w:rPr>
                <w:rFonts w:ascii="Arial" w:cs="Arial" w:eastAsia="Arial" w:hAnsi="Arial"/>
                <w:sz w:val="10"/>
                <w:szCs w:val="10"/>
                <w:color w:val="auto"/>
              </w:rPr>
              <w:t>Changes to IFRS not yet adopted</w:t>
            </w:r>
          </w:p>
        </w:tc>
      </w:tr>
      <w:tr>
        <w:trPr>
          <w:trHeight w:val="126"/>
        </w:trPr>
        <w:tc>
          <w:tcPr>
            <w:tcW w:w="340" w:type="dxa"/>
            <w:vAlign w:val="bottom"/>
          </w:tcPr>
          <w:p>
            <w:pPr>
              <w:jc w:val="right"/>
              <w:ind w:right="152"/>
              <w:spacing w:after="0"/>
              <w:rPr>
                <w:rFonts w:ascii="Arial" w:cs="Arial" w:eastAsia="Arial" w:hAnsi="Arial"/>
                <w:sz w:val="10"/>
                <w:szCs w:val="10"/>
                <w:color w:val="auto"/>
                <w:w w:val="71"/>
              </w:rPr>
            </w:pPr>
            <w:hyperlink w:anchor="page181">
              <w:r>
                <w:rPr>
                  <w:rFonts w:ascii="Arial" w:cs="Arial" w:eastAsia="Arial" w:hAnsi="Arial"/>
                  <w:sz w:val="10"/>
                  <w:szCs w:val="10"/>
                  <w:color w:val="auto"/>
                  <w:w w:val="71"/>
                </w:rPr>
                <w:t>178</w:t>
              </w:r>
            </w:hyperlink>
          </w:p>
        </w:tc>
        <w:tc>
          <w:tcPr>
            <w:tcW w:w="480" w:type="dxa"/>
            <w:vAlign w:val="bottom"/>
          </w:tcPr>
          <w:p>
            <w:pPr>
              <w:ind w:left="200"/>
              <w:spacing w:after="0"/>
              <w:rPr>
                <w:sz w:val="20"/>
                <w:szCs w:val="20"/>
                <w:color w:val="auto"/>
              </w:rPr>
            </w:pPr>
            <w:r>
              <w:rPr>
                <w:rFonts w:ascii="Arial" w:cs="Arial" w:eastAsia="Arial" w:hAnsi="Arial"/>
                <w:sz w:val="10"/>
                <w:szCs w:val="10"/>
                <w:color w:val="auto"/>
                <w:w w:val="88"/>
              </w:rPr>
              <w:t>Note 4</w:t>
            </w:r>
          </w:p>
        </w:tc>
        <w:tc>
          <w:tcPr>
            <w:tcW w:w="2220" w:type="dxa"/>
            <w:vAlign w:val="bottom"/>
          </w:tcPr>
          <w:p>
            <w:pPr>
              <w:spacing w:after="0"/>
              <w:rPr>
                <w:sz w:val="20"/>
                <w:szCs w:val="20"/>
                <w:color w:val="auto"/>
              </w:rPr>
            </w:pPr>
            <w:r>
              <w:rPr>
                <w:rFonts w:ascii="Arial" w:cs="Arial" w:eastAsia="Arial" w:hAnsi="Arial"/>
                <w:sz w:val="10"/>
                <w:szCs w:val="10"/>
                <w:color w:val="auto"/>
              </w:rPr>
              <w:t>Segment information</w:t>
            </w:r>
          </w:p>
        </w:tc>
      </w:tr>
      <w:tr>
        <w:trPr>
          <w:trHeight w:val="126"/>
        </w:trPr>
        <w:tc>
          <w:tcPr>
            <w:tcW w:w="340" w:type="dxa"/>
            <w:vAlign w:val="bottom"/>
          </w:tcPr>
          <w:p>
            <w:pPr>
              <w:jc w:val="right"/>
              <w:ind w:right="152"/>
              <w:spacing w:after="0"/>
              <w:rPr>
                <w:rFonts w:ascii="Arial" w:cs="Arial" w:eastAsia="Arial" w:hAnsi="Arial"/>
                <w:sz w:val="10"/>
                <w:szCs w:val="10"/>
                <w:color w:val="auto"/>
                <w:w w:val="71"/>
              </w:rPr>
            </w:pPr>
            <w:hyperlink w:anchor="page184">
              <w:r>
                <w:rPr>
                  <w:rFonts w:ascii="Arial" w:cs="Arial" w:eastAsia="Arial" w:hAnsi="Arial"/>
                  <w:sz w:val="10"/>
                  <w:szCs w:val="10"/>
                  <w:color w:val="auto"/>
                  <w:w w:val="71"/>
                </w:rPr>
                <w:t>182</w:t>
              </w:r>
            </w:hyperlink>
          </w:p>
        </w:tc>
        <w:tc>
          <w:tcPr>
            <w:tcW w:w="480" w:type="dxa"/>
            <w:vAlign w:val="bottom"/>
          </w:tcPr>
          <w:p>
            <w:pPr>
              <w:ind w:left="200"/>
              <w:spacing w:after="0"/>
              <w:rPr>
                <w:sz w:val="20"/>
                <w:szCs w:val="20"/>
                <w:color w:val="auto"/>
              </w:rPr>
            </w:pPr>
            <w:r>
              <w:rPr>
                <w:rFonts w:ascii="Arial" w:cs="Arial" w:eastAsia="Arial" w:hAnsi="Arial"/>
                <w:sz w:val="10"/>
                <w:szCs w:val="10"/>
                <w:color w:val="auto"/>
                <w:w w:val="88"/>
              </w:rPr>
              <w:t>Note 5</w:t>
            </w:r>
          </w:p>
        </w:tc>
        <w:tc>
          <w:tcPr>
            <w:tcW w:w="2220" w:type="dxa"/>
            <w:vAlign w:val="bottom"/>
          </w:tcPr>
          <w:p>
            <w:pPr>
              <w:spacing w:after="0"/>
              <w:rPr>
                <w:sz w:val="20"/>
                <w:szCs w:val="20"/>
                <w:color w:val="auto"/>
              </w:rPr>
            </w:pPr>
            <w:r>
              <w:rPr>
                <w:rFonts w:ascii="Arial" w:cs="Arial" w:eastAsia="Arial" w:hAnsi="Arial"/>
                <w:sz w:val="10"/>
                <w:szCs w:val="10"/>
                <w:color w:val="auto"/>
              </w:rPr>
              <w:t>Interest and other income</w:t>
            </w:r>
          </w:p>
        </w:tc>
      </w:tr>
      <w:tr>
        <w:trPr>
          <w:trHeight w:val="126"/>
        </w:trPr>
        <w:tc>
          <w:tcPr>
            <w:tcW w:w="340" w:type="dxa"/>
            <w:vAlign w:val="bottom"/>
          </w:tcPr>
          <w:p>
            <w:pPr>
              <w:jc w:val="right"/>
              <w:ind w:right="152"/>
              <w:spacing w:after="0"/>
              <w:rPr>
                <w:rFonts w:ascii="Arial" w:cs="Arial" w:eastAsia="Arial" w:hAnsi="Arial"/>
                <w:sz w:val="10"/>
                <w:szCs w:val="10"/>
                <w:color w:val="auto"/>
                <w:w w:val="71"/>
              </w:rPr>
            </w:pPr>
            <w:hyperlink w:anchor="page185">
              <w:r>
                <w:rPr>
                  <w:rFonts w:ascii="Arial" w:cs="Arial" w:eastAsia="Arial" w:hAnsi="Arial"/>
                  <w:sz w:val="10"/>
                  <w:szCs w:val="10"/>
                  <w:color w:val="auto"/>
                  <w:w w:val="71"/>
                </w:rPr>
                <w:t>182</w:t>
              </w:r>
            </w:hyperlink>
          </w:p>
        </w:tc>
        <w:tc>
          <w:tcPr>
            <w:tcW w:w="480" w:type="dxa"/>
            <w:vAlign w:val="bottom"/>
          </w:tcPr>
          <w:p>
            <w:pPr>
              <w:ind w:left="200"/>
              <w:spacing w:after="0"/>
              <w:rPr>
                <w:sz w:val="20"/>
                <w:szCs w:val="20"/>
                <w:color w:val="auto"/>
              </w:rPr>
            </w:pPr>
            <w:r>
              <w:rPr>
                <w:rFonts w:ascii="Arial" w:cs="Arial" w:eastAsia="Arial" w:hAnsi="Arial"/>
                <w:sz w:val="10"/>
                <w:szCs w:val="10"/>
                <w:color w:val="auto"/>
                <w:w w:val="88"/>
              </w:rPr>
              <w:t>Note 6</w:t>
            </w:r>
          </w:p>
        </w:tc>
        <w:tc>
          <w:tcPr>
            <w:tcW w:w="2220" w:type="dxa"/>
            <w:vAlign w:val="bottom"/>
          </w:tcPr>
          <w:p>
            <w:pPr>
              <w:spacing w:after="0"/>
              <w:rPr>
                <w:sz w:val="20"/>
                <w:szCs w:val="20"/>
                <w:color w:val="auto"/>
              </w:rPr>
            </w:pPr>
            <w:r>
              <w:rPr>
                <w:rFonts w:ascii="Arial" w:cs="Arial" w:eastAsia="Arial" w:hAnsi="Arial"/>
                <w:sz w:val="10"/>
                <w:szCs w:val="10"/>
                <w:color w:val="auto"/>
              </w:rPr>
              <w:t>Interest expense</w:t>
            </w:r>
          </w:p>
        </w:tc>
      </w:tr>
    </w:tbl>
    <w:p>
      <w:pPr>
        <w:spacing w:after="0" w:line="5" w:lineRule="exact"/>
        <w:rPr>
          <w:sz w:val="20"/>
          <w:szCs w:val="20"/>
          <w:color w:val="auto"/>
        </w:rPr>
      </w:pPr>
    </w:p>
    <w:p>
      <w:pPr>
        <w:ind w:left="540" w:hanging="536"/>
        <w:spacing w:after="0"/>
        <w:tabs>
          <w:tab w:leader="none" w:pos="540" w:val="left"/>
        </w:tabs>
        <w:numPr>
          <w:ilvl w:val="0"/>
          <w:numId w:val="159"/>
        </w:numPr>
        <w:rPr>
          <w:rFonts w:ascii="Arial" w:cs="Arial" w:eastAsia="Arial" w:hAnsi="Arial"/>
          <w:sz w:val="10"/>
          <w:szCs w:val="10"/>
          <w:color w:val="auto"/>
        </w:rPr>
      </w:pPr>
      <w:r>
        <w:rPr>
          <w:rFonts w:ascii="Arial" w:cs="Arial" w:eastAsia="Arial" w:hAnsi="Arial"/>
          <w:sz w:val="10"/>
          <w:szCs w:val="10"/>
          <w:color w:val="auto"/>
        </w:rPr>
        <w:t>Note 7 Intangible assets</w:t>
      </w:r>
    </w:p>
    <w:p>
      <w:pPr>
        <w:spacing w:after="0" w:line="11" w:lineRule="exact"/>
        <w:rPr>
          <w:rFonts w:ascii="Arial" w:cs="Arial" w:eastAsia="Arial" w:hAnsi="Arial"/>
          <w:sz w:val="10"/>
          <w:szCs w:val="10"/>
          <w:color w:val="auto"/>
        </w:rPr>
      </w:pPr>
    </w:p>
    <w:p>
      <w:pPr>
        <w:ind w:left="540" w:hanging="536"/>
        <w:spacing w:after="0"/>
        <w:tabs>
          <w:tab w:leader="none" w:pos="540" w:val="left"/>
        </w:tabs>
        <w:numPr>
          <w:ilvl w:val="0"/>
          <w:numId w:val="159"/>
        </w:numPr>
        <w:rPr>
          <w:rFonts w:ascii="Arial" w:cs="Arial" w:eastAsia="Arial" w:hAnsi="Arial"/>
          <w:sz w:val="10"/>
          <w:szCs w:val="10"/>
          <w:color w:val="auto"/>
        </w:rPr>
      </w:pPr>
      <w:r>
        <w:rPr>
          <w:rFonts w:ascii="Arial" w:cs="Arial" w:eastAsia="Arial" w:hAnsi="Arial"/>
          <w:sz w:val="10"/>
          <w:szCs w:val="10"/>
          <w:color w:val="auto"/>
        </w:rPr>
        <w:t>Note 8 Property, plant and equipment</w:t>
      </w:r>
    </w:p>
    <w:p>
      <w:pPr>
        <w:spacing w:after="0" w:line="11" w:lineRule="exact"/>
        <w:rPr>
          <w:sz w:val="20"/>
          <w:szCs w:val="20"/>
          <w:color w:val="auto"/>
        </w:rPr>
      </w:pPr>
    </w:p>
    <w:p>
      <w:pPr>
        <w:ind w:left="540" w:hanging="536"/>
        <w:spacing w:after="0"/>
        <w:tabs>
          <w:tab w:leader="none" w:pos="540" w:val="left"/>
        </w:tabs>
        <w:numPr>
          <w:ilvl w:val="0"/>
          <w:numId w:val="160"/>
        </w:numPr>
        <w:rPr>
          <w:rFonts w:ascii="Arial" w:cs="Arial" w:eastAsia="Arial" w:hAnsi="Arial"/>
          <w:sz w:val="10"/>
          <w:szCs w:val="10"/>
          <w:color w:val="auto"/>
        </w:rPr>
      </w:pPr>
      <w:r>
        <w:rPr>
          <w:rFonts w:ascii="Arial" w:cs="Arial" w:eastAsia="Arial" w:hAnsi="Arial"/>
          <w:sz w:val="10"/>
          <w:szCs w:val="10"/>
          <w:color w:val="auto"/>
        </w:rPr>
        <w:t>Note 9 Joint ventures and associates</w:t>
      </w:r>
    </w:p>
    <w:p>
      <w:pPr>
        <w:spacing w:after="0" w:line="11" w:lineRule="exact"/>
        <w:rPr>
          <w:rFonts w:ascii="Arial" w:cs="Arial" w:eastAsia="Arial" w:hAnsi="Arial"/>
          <w:sz w:val="10"/>
          <w:szCs w:val="10"/>
          <w:color w:val="auto"/>
        </w:rPr>
      </w:pPr>
    </w:p>
    <w:p>
      <w:pPr>
        <w:ind w:left="540" w:hanging="536"/>
        <w:spacing w:after="0"/>
        <w:tabs>
          <w:tab w:leader="none" w:pos="540" w:val="left"/>
        </w:tabs>
        <w:numPr>
          <w:ilvl w:val="0"/>
          <w:numId w:val="160"/>
        </w:numPr>
        <w:rPr>
          <w:rFonts w:ascii="Arial" w:cs="Arial" w:eastAsia="Arial" w:hAnsi="Arial"/>
          <w:sz w:val="10"/>
          <w:szCs w:val="10"/>
          <w:color w:val="auto"/>
        </w:rPr>
      </w:pPr>
      <w:r>
        <w:rPr>
          <w:rFonts w:ascii="Arial" w:cs="Arial" w:eastAsia="Arial" w:hAnsi="Arial"/>
          <w:sz w:val="10"/>
          <w:szCs w:val="10"/>
          <w:color w:val="auto"/>
        </w:rPr>
        <w:t>Note 10 Investments in securities</w:t>
      </w:r>
    </w:p>
    <w:p>
      <w:pPr>
        <w:spacing w:after="0" w:line="11" w:lineRule="exact"/>
        <w:rPr>
          <w:sz w:val="20"/>
          <w:szCs w:val="20"/>
          <w:color w:val="auto"/>
        </w:rPr>
      </w:pPr>
    </w:p>
    <w:p>
      <w:pPr>
        <w:ind w:left="540" w:hanging="536"/>
        <w:spacing w:after="0"/>
        <w:tabs>
          <w:tab w:leader="none" w:pos="540" w:val="left"/>
        </w:tabs>
        <w:numPr>
          <w:ilvl w:val="0"/>
          <w:numId w:val="161"/>
        </w:numPr>
        <w:rPr>
          <w:rFonts w:ascii="Arial" w:cs="Arial" w:eastAsia="Arial" w:hAnsi="Arial"/>
          <w:sz w:val="10"/>
          <w:szCs w:val="10"/>
          <w:color w:val="auto"/>
        </w:rPr>
      </w:pPr>
      <w:r>
        <w:rPr>
          <w:rFonts w:ascii="Arial" w:cs="Arial" w:eastAsia="Arial" w:hAnsi="Arial"/>
          <w:sz w:val="10"/>
          <w:szCs w:val="10"/>
          <w:color w:val="auto"/>
        </w:rPr>
        <w:t>Note 11 Trade and other receivables</w:t>
      </w:r>
    </w:p>
    <w:p>
      <w:pPr>
        <w:spacing w:after="0" w:line="11" w:lineRule="exact"/>
        <w:rPr>
          <w:rFonts w:ascii="Arial" w:cs="Arial" w:eastAsia="Arial" w:hAnsi="Arial"/>
          <w:sz w:val="10"/>
          <w:szCs w:val="10"/>
          <w:color w:val="auto"/>
        </w:rPr>
      </w:pPr>
    </w:p>
    <w:p>
      <w:pPr>
        <w:ind w:left="540" w:hanging="536"/>
        <w:spacing w:after="0"/>
        <w:tabs>
          <w:tab w:leader="none" w:pos="540" w:val="left"/>
        </w:tabs>
        <w:numPr>
          <w:ilvl w:val="0"/>
          <w:numId w:val="161"/>
        </w:numPr>
        <w:rPr>
          <w:rFonts w:ascii="Arial" w:cs="Arial" w:eastAsia="Arial" w:hAnsi="Arial"/>
          <w:sz w:val="10"/>
          <w:szCs w:val="10"/>
          <w:color w:val="auto"/>
        </w:rPr>
      </w:pPr>
      <w:r>
        <w:rPr>
          <w:rFonts w:ascii="Arial" w:cs="Arial" w:eastAsia="Arial" w:hAnsi="Arial"/>
          <w:sz w:val="10"/>
          <w:szCs w:val="10"/>
          <w:color w:val="auto"/>
        </w:rPr>
        <w:t>Note 12 Inventories</w:t>
      </w:r>
    </w:p>
    <w:p>
      <w:pPr>
        <w:spacing w:after="0" w:line="11" w:lineRule="exact"/>
        <w:rPr>
          <w:sz w:val="20"/>
          <w:szCs w:val="20"/>
          <w:color w:val="auto"/>
        </w:rPr>
      </w:pPr>
    </w:p>
    <w:p>
      <w:pPr>
        <w:ind w:left="540" w:hanging="536"/>
        <w:spacing w:after="0"/>
        <w:tabs>
          <w:tab w:leader="none" w:pos="540" w:val="left"/>
        </w:tabs>
        <w:numPr>
          <w:ilvl w:val="0"/>
          <w:numId w:val="162"/>
        </w:numPr>
        <w:rPr>
          <w:rFonts w:ascii="Arial" w:cs="Arial" w:eastAsia="Arial" w:hAnsi="Arial"/>
          <w:sz w:val="10"/>
          <w:szCs w:val="10"/>
          <w:color w:val="auto"/>
        </w:rPr>
      </w:pPr>
      <w:r>
        <w:rPr>
          <w:rFonts w:ascii="Arial" w:cs="Arial" w:eastAsia="Arial" w:hAnsi="Arial"/>
          <w:sz w:val="10"/>
          <w:szCs w:val="10"/>
          <w:color w:val="auto"/>
        </w:rPr>
        <w:t>Note 13 Cash and cash equivalents</w:t>
      </w:r>
    </w:p>
    <w:p>
      <w:pPr>
        <w:spacing w:after="0" w:line="11" w:lineRule="exact"/>
        <w:rPr>
          <w:rFonts w:ascii="Arial" w:cs="Arial" w:eastAsia="Arial" w:hAnsi="Arial"/>
          <w:sz w:val="10"/>
          <w:szCs w:val="10"/>
          <w:color w:val="auto"/>
        </w:rPr>
      </w:pPr>
    </w:p>
    <w:p>
      <w:pPr>
        <w:ind w:left="540" w:hanging="536"/>
        <w:spacing w:after="0"/>
        <w:tabs>
          <w:tab w:leader="none" w:pos="540" w:val="left"/>
        </w:tabs>
        <w:numPr>
          <w:ilvl w:val="0"/>
          <w:numId w:val="162"/>
        </w:numPr>
        <w:rPr>
          <w:rFonts w:ascii="Arial" w:cs="Arial" w:eastAsia="Arial" w:hAnsi="Arial"/>
          <w:sz w:val="10"/>
          <w:szCs w:val="10"/>
          <w:color w:val="auto"/>
        </w:rPr>
      </w:pPr>
      <w:r>
        <w:rPr>
          <w:rFonts w:ascii="Arial" w:cs="Arial" w:eastAsia="Arial" w:hAnsi="Arial"/>
          <w:sz w:val="10"/>
          <w:szCs w:val="10"/>
          <w:color w:val="auto"/>
        </w:rPr>
        <w:t>Note 14 Debt and lease arrangements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40" w:type="dxa"/>
            <w:vAlign w:val="bottom"/>
          </w:tcPr>
          <w:p>
            <w:pPr>
              <w:jc w:val="right"/>
              <w:ind w:right="152"/>
              <w:spacing w:after="0"/>
              <w:rPr>
                <w:rFonts w:ascii="Arial" w:cs="Arial" w:eastAsia="Arial" w:hAnsi="Arial"/>
                <w:sz w:val="10"/>
                <w:szCs w:val="10"/>
                <w:color w:val="auto"/>
                <w:w w:val="71"/>
              </w:rPr>
            </w:pPr>
            <w:hyperlink w:anchor="page194">
              <w:r>
                <w:rPr>
                  <w:rFonts w:ascii="Arial" w:cs="Arial" w:eastAsia="Arial" w:hAnsi="Arial"/>
                  <w:sz w:val="10"/>
                  <w:szCs w:val="10"/>
                  <w:color w:val="auto"/>
                  <w:w w:val="71"/>
                </w:rPr>
                <w:t>191</w:t>
              </w:r>
            </w:hyperlink>
          </w:p>
        </w:tc>
        <w:tc>
          <w:tcPr>
            <w:tcW w:w="520" w:type="dxa"/>
            <w:vAlign w:val="bottom"/>
          </w:tcPr>
          <w:p>
            <w:pPr>
              <w:ind w:left="200"/>
              <w:spacing w:after="0"/>
              <w:rPr>
                <w:sz w:val="20"/>
                <w:szCs w:val="20"/>
                <w:color w:val="auto"/>
              </w:rPr>
            </w:pPr>
            <w:r>
              <w:rPr>
                <w:rFonts w:ascii="Arial" w:cs="Arial" w:eastAsia="Arial" w:hAnsi="Arial"/>
                <w:sz w:val="10"/>
                <w:szCs w:val="10"/>
                <w:color w:val="auto"/>
                <w:w w:val="85"/>
              </w:rPr>
              <w:t>Note 15</w:t>
            </w:r>
          </w:p>
        </w:tc>
        <w:tc>
          <w:tcPr>
            <w:tcW w:w="980" w:type="dxa"/>
            <w:vAlign w:val="bottom"/>
          </w:tcPr>
          <w:p>
            <w:pPr>
              <w:ind w:left="20"/>
              <w:spacing w:after="0"/>
              <w:rPr>
                <w:sz w:val="20"/>
                <w:szCs w:val="20"/>
                <w:color w:val="auto"/>
              </w:rPr>
            </w:pPr>
            <w:r>
              <w:rPr>
                <w:rFonts w:ascii="Arial" w:cs="Arial" w:eastAsia="Arial" w:hAnsi="Arial"/>
                <w:sz w:val="10"/>
                <w:szCs w:val="10"/>
                <w:color w:val="auto"/>
                <w:w w:val="82"/>
              </w:rPr>
              <w:t>Trade and other payables</w:t>
            </w:r>
          </w:p>
        </w:tc>
      </w:tr>
      <w:tr>
        <w:trPr>
          <w:trHeight w:val="126"/>
        </w:trPr>
        <w:tc>
          <w:tcPr>
            <w:tcW w:w="340" w:type="dxa"/>
            <w:vAlign w:val="bottom"/>
          </w:tcPr>
          <w:p>
            <w:pPr>
              <w:jc w:val="right"/>
              <w:ind w:right="152"/>
              <w:spacing w:after="0"/>
              <w:rPr>
                <w:rFonts w:ascii="Arial" w:cs="Arial" w:eastAsia="Arial" w:hAnsi="Arial"/>
                <w:sz w:val="10"/>
                <w:szCs w:val="10"/>
                <w:color w:val="auto"/>
                <w:w w:val="71"/>
              </w:rPr>
            </w:pPr>
            <w:hyperlink w:anchor="page194">
              <w:r>
                <w:rPr>
                  <w:rFonts w:ascii="Arial" w:cs="Arial" w:eastAsia="Arial" w:hAnsi="Arial"/>
                  <w:sz w:val="10"/>
                  <w:szCs w:val="10"/>
                  <w:color w:val="auto"/>
                  <w:w w:val="71"/>
                </w:rPr>
                <w:t>191</w:t>
              </w:r>
            </w:hyperlink>
          </w:p>
        </w:tc>
        <w:tc>
          <w:tcPr>
            <w:tcW w:w="520" w:type="dxa"/>
            <w:vAlign w:val="bottom"/>
          </w:tcPr>
          <w:p>
            <w:pPr>
              <w:ind w:left="200"/>
              <w:spacing w:after="0"/>
              <w:rPr>
                <w:sz w:val="20"/>
                <w:szCs w:val="20"/>
                <w:color w:val="auto"/>
              </w:rPr>
            </w:pPr>
            <w:r>
              <w:rPr>
                <w:rFonts w:ascii="Arial" w:cs="Arial" w:eastAsia="Arial" w:hAnsi="Arial"/>
                <w:sz w:val="10"/>
                <w:szCs w:val="10"/>
                <w:color w:val="auto"/>
                <w:w w:val="85"/>
              </w:rPr>
              <w:t>Note 16</w:t>
            </w:r>
          </w:p>
        </w:tc>
        <w:tc>
          <w:tcPr>
            <w:tcW w:w="980" w:type="dxa"/>
            <w:vAlign w:val="bottom"/>
          </w:tcPr>
          <w:p>
            <w:pPr>
              <w:ind w:left="20"/>
              <w:spacing w:after="0"/>
              <w:rPr>
                <w:sz w:val="20"/>
                <w:szCs w:val="20"/>
                <w:color w:val="auto"/>
              </w:rPr>
            </w:pPr>
            <w:r>
              <w:rPr>
                <w:rFonts w:ascii="Arial" w:cs="Arial" w:eastAsia="Arial" w:hAnsi="Arial"/>
                <w:sz w:val="10"/>
                <w:szCs w:val="10"/>
                <w:color w:val="auto"/>
              </w:rPr>
              <w:t>Taxation</w:t>
            </w:r>
          </w:p>
        </w:tc>
      </w:tr>
      <w:tr>
        <w:trPr>
          <w:trHeight w:val="126"/>
        </w:trPr>
        <w:tc>
          <w:tcPr>
            <w:tcW w:w="340" w:type="dxa"/>
            <w:vAlign w:val="bottom"/>
          </w:tcPr>
          <w:p>
            <w:pPr>
              <w:jc w:val="right"/>
              <w:ind w:right="152"/>
              <w:spacing w:after="0"/>
              <w:rPr>
                <w:rFonts w:ascii="Arial" w:cs="Arial" w:eastAsia="Arial" w:hAnsi="Arial"/>
                <w:sz w:val="10"/>
                <w:szCs w:val="10"/>
                <w:color w:val="auto"/>
                <w:w w:val="71"/>
              </w:rPr>
            </w:pPr>
            <w:hyperlink w:anchor="page196">
              <w:r>
                <w:rPr>
                  <w:rFonts w:ascii="Arial" w:cs="Arial" w:eastAsia="Arial" w:hAnsi="Arial"/>
                  <w:sz w:val="10"/>
                  <w:szCs w:val="10"/>
                  <w:color w:val="auto"/>
                  <w:w w:val="71"/>
                </w:rPr>
                <w:t>194</w:t>
              </w:r>
            </w:hyperlink>
          </w:p>
        </w:tc>
        <w:tc>
          <w:tcPr>
            <w:tcW w:w="520" w:type="dxa"/>
            <w:vAlign w:val="bottom"/>
          </w:tcPr>
          <w:p>
            <w:pPr>
              <w:ind w:left="200"/>
              <w:spacing w:after="0"/>
              <w:rPr>
                <w:sz w:val="20"/>
                <w:szCs w:val="20"/>
                <w:color w:val="auto"/>
              </w:rPr>
            </w:pPr>
            <w:r>
              <w:rPr>
                <w:rFonts w:ascii="Arial" w:cs="Arial" w:eastAsia="Arial" w:hAnsi="Arial"/>
                <w:sz w:val="10"/>
                <w:szCs w:val="10"/>
                <w:color w:val="auto"/>
                <w:w w:val="85"/>
              </w:rPr>
              <w:t>Note 17</w:t>
            </w:r>
          </w:p>
        </w:tc>
        <w:tc>
          <w:tcPr>
            <w:tcW w:w="980" w:type="dxa"/>
            <w:vAlign w:val="bottom"/>
          </w:tcPr>
          <w:p>
            <w:pPr>
              <w:ind w:left="20"/>
              <w:spacing w:after="0"/>
              <w:rPr>
                <w:sz w:val="20"/>
                <w:szCs w:val="20"/>
                <w:color w:val="auto"/>
              </w:rPr>
            </w:pPr>
            <w:r>
              <w:rPr>
                <w:rFonts w:ascii="Arial" w:cs="Arial" w:eastAsia="Arial" w:hAnsi="Arial"/>
                <w:sz w:val="10"/>
                <w:szCs w:val="10"/>
                <w:color w:val="auto"/>
              </w:rPr>
              <w:t>Retirement benefits</w:t>
            </w:r>
          </w:p>
        </w:tc>
      </w:tr>
    </w:tbl>
    <w:p>
      <w:pPr>
        <w:spacing w:after="0" w:line="5" w:lineRule="exact"/>
        <w:rPr>
          <w:sz w:val="20"/>
          <w:szCs w:val="20"/>
          <w:color w:val="auto"/>
        </w:rPr>
      </w:pPr>
    </w:p>
    <w:p>
      <w:pPr>
        <w:ind w:left="540" w:hanging="536"/>
        <w:spacing w:after="0"/>
        <w:tabs>
          <w:tab w:leader="none" w:pos="540" w:val="left"/>
        </w:tabs>
        <w:numPr>
          <w:ilvl w:val="0"/>
          <w:numId w:val="163"/>
        </w:numPr>
        <w:rPr>
          <w:rFonts w:ascii="Arial" w:cs="Arial" w:eastAsia="Arial" w:hAnsi="Arial"/>
          <w:sz w:val="10"/>
          <w:szCs w:val="10"/>
          <w:color w:val="auto"/>
        </w:rPr>
      </w:pPr>
      <w:r>
        <w:rPr>
          <w:rFonts w:ascii="Arial" w:cs="Arial" w:eastAsia="Arial" w:hAnsi="Arial"/>
          <w:sz w:val="10"/>
          <w:szCs w:val="10"/>
          <w:color w:val="auto"/>
        </w:rPr>
        <w:t>Note 18 Decommissioning and other provisions</w:t>
      </w:r>
    </w:p>
    <w:p>
      <w:pPr>
        <w:spacing w:after="0" w:line="11" w:lineRule="exact"/>
        <w:rPr>
          <w:rFonts w:ascii="Arial" w:cs="Arial" w:eastAsia="Arial" w:hAnsi="Arial"/>
          <w:sz w:val="10"/>
          <w:szCs w:val="10"/>
          <w:color w:val="auto"/>
        </w:rPr>
      </w:pPr>
    </w:p>
    <w:p>
      <w:pPr>
        <w:ind w:left="540" w:hanging="536"/>
        <w:spacing w:after="0"/>
        <w:tabs>
          <w:tab w:leader="none" w:pos="540" w:val="left"/>
        </w:tabs>
        <w:numPr>
          <w:ilvl w:val="0"/>
          <w:numId w:val="163"/>
        </w:numPr>
        <w:rPr>
          <w:rFonts w:ascii="Arial" w:cs="Arial" w:eastAsia="Arial" w:hAnsi="Arial"/>
          <w:sz w:val="10"/>
          <w:szCs w:val="10"/>
          <w:color w:val="auto"/>
        </w:rPr>
      </w:pPr>
      <w:r>
        <w:rPr>
          <w:rFonts w:ascii="Arial" w:cs="Arial" w:eastAsia="Arial" w:hAnsi="Arial"/>
          <w:sz w:val="10"/>
          <w:szCs w:val="10"/>
          <w:color w:val="auto"/>
        </w:rPr>
        <w:t>Note 19 Financial instruments</w:t>
      </w:r>
    </w:p>
    <w:p>
      <w:pPr>
        <w:spacing w:after="0" w:line="11" w:lineRule="exact"/>
        <w:rPr>
          <w:sz w:val="20"/>
          <w:szCs w:val="20"/>
          <w:color w:val="auto"/>
        </w:rPr>
      </w:pPr>
    </w:p>
    <w:p>
      <w:pPr>
        <w:spacing w:after="0"/>
        <w:tabs>
          <w:tab w:leader="none" w:pos="520" w:val="left"/>
        </w:tabs>
        <w:rPr>
          <w:sz w:val="20"/>
          <w:szCs w:val="20"/>
          <w:color w:val="auto"/>
        </w:rPr>
      </w:pPr>
      <w:r>
        <w:rPr>
          <w:rFonts w:ascii="Arial" w:cs="Arial" w:eastAsia="Arial" w:hAnsi="Arial"/>
          <w:sz w:val="10"/>
          <w:szCs w:val="10"/>
          <w:color w:val="auto"/>
        </w:rPr>
        <w:t>204</w:t>
      </w:r>
      <w:r>
        <w:rPr>
          <w:sz w:val="20"/>
          <w:szCs w:val="20"/>
          <w:color w:val="auto"/>
        </w:rPr>
        <w:tab/>
      </w:r>
      <w:r>
        <w:rPr>
          <w:rFonts w:ascii="Arial" w:cs="Arial" w:eastAsia="Arial" w:hAnsi="Arial"/>
          <w:sz w:val="10"/>
          <w:szCs w:val="10"/>
          <w:color w:val="auto"/>
        </w:rPr>
        <w:t>Note 20 Share capital</w:t>
      </w:r>
    </w:p>
    <w:p>
      <w:pPr>
        <w:spacing w:after="0" w:line="11" w:lineRule="exact"/>
        <w:rPr>
          <w:sz w:val="20"/>
          <w:szCs w:val="20"/>
          <w:color w:val="auto"/>
        </w:rPr>
      </w:pPr>
    </w:p>
    <w:p>
      <w:pPr>
        <w:ind w:left="540" w:hanging="536"/>
        <w:spacing w:after="0"/>
        <w:tabs>
          <w:tab w:leader="none" w:pos="540" w:val="left"/>
        </w:tabs>
        <w:numPr>
          <w:ilvl w:val="0"/>
          <w:numId w:val="164"/>
        </w:numPr>
        <w:rPr>
          <w:rFonts w:ascii="Arial" w:cs="Arial" w:eastAsia="Arial" w:hAnsi="Arial"/>
          <w:sz w:val="10"/>
          <w:szCs w:val="10"/>
          <w:color w:val="auto"/>
        </w:rPr>
      </w:pPr>
      <w:r>
        <w:rPr>
          <w:rFonts w:ascii="Arial" w:cs="Arial" w:eastAsia="Arial" w:hAnsi="Arial"/>
          <w:sz w:val="10"/>
          <w:szCs w:val="10"/>
          <w:color w:val="auto"/>
        </w:rPr>
        <w:t>Note 21 Share-based compensation plans and shares held in trust</w:t>
      </w:r>
    </w:p>
    <w:p>
      <w:pPr>
        <w:spacing w:after="0" w:line="11" w:lineRule="exact"/>
        <w:rPr>
          <w:rFonts w:ascii="Arial" w:cs="Arial" w:eastAsia="Arial" w:hAnsi="Arial"/>
          <w:sz w:val="10"/>
          <w:szCs w:val="10"/>
          <w:color w:val="auto"/>
        </w:rPr>
      </w:pPr>
    </w:p>
    <w:p>
      <w:pPr>
        <w:ind w:left="540" w:hanging="536"/>
        <w:spacing w:after="0"/>
        <w:tabs>
          <w:tab w:leader="none" w:pos="540" w:val="left"/>
        </w:tabs>
        <w:numPr>
          <w:ilvl w:val="0"/>
          <w:numId w:val="164"/>
        </w:numPr>
        <w:rPr>
          <w:rFonts w:ascii="Arial" w:cs="Arial" w:eastAsia="Arial" w:hAnsi="Arial"/>
          <w:sz w:val="10"/>
          <w:szCs w:val="10"/>
          <w:color w:val="auto"/>
        </w:rPr>
      </w:pPr>
      <w:r>
        <w:rPr>
          <w:rFonts w:ascii="Arial" w:cs="Arial" w:eastAsia="Arial" w:hAnsi="Arial"/>
          <w:sz w:val="10"/>
          <w:szCs w:val="10"/>
          <w:color w:val="auto"/>
        </w:rPr>
        <w:t>Note 22 Other reserves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40" w:type="dxa"/>
            <w:vAlign w:val="bottom"/>
          </w:tcPr>
          <w:p>
            <w:pPr>
              <w:jc w:val="right"/>
              <w:ind w:right="152"/>
              <w:spacing w:after="0"/>
              <w:rPr>
                <w:rFonts w:ascii="Arial" w:cs="Arial" w:eastAsia="Arial" w:hAnsi="Arial"/>
                <w:sz w:val="10"/>
                <w:szCs w:val="10"/>
                <w:color w:val="auto"/>
                <w:w w:val="71"/>
              </w:rPr>
            </w:pPr>
            <w:hyperlink w:anchor="page209">
              <w:r>
                <w:rPr>
                  <w:rFonts w:ascii="Arial" w:cs="Arial" w:eastAsia="Arial" w:hAnsi="Arial"/>
                  <w:sz w:val="10"/>
                  <w:szCs w:val="10"/>
                  <w:color w:val="auto"/>
                  <w:w w:val="71"/>
                </w:rPr>
                <w:t>207</w:t>
              </w:r>
            </w:hyperlink>
          </w:p>
        </w:tc>
        <w:tc>
          <w:tcPr>
            <w:tcW w:w="520" w:type="dxa"/>
            <w:vAlign w:val="bottom"/>
          </w:tcPr>
          <w:p>
            <w:pPr>
              <w:ind w:left="200"/>
              <w:spacing w:after="0"/>
              <w:rPr>
                <w:sz w:val="20"/>
                <w:szCs w:val="20"/>
                <w:color w:val="auto"/>
              </w:rPr>
            </w:pPr>
            <w:r>
              <w:rPr>
                <w:rFonts w:ascii="Arial" w:cs="Arial" w:eastAsia="Arial" w:hAnsi="Arial"/>
                <w:sz w:val="10"/>
                <w:szCs w:val="10"/>
                <w:color w:val="auto"/>
                <w:w w:val="85"/>
              </w:rPr>
              <w:t>Note 23</w:t>
            </w:r>
          </w:p>
        </w:tc>
        <w:tc>
          <w:tcPr>
            <w:tcW w:w="1660" w:type="dxa"/>
            <w:vAlign w:val="bottom"/>
          </w:tcPr>
          <w:p>
            <w:pPr>
              <w:ind w:left="20"/>
              <w:spacing w:after="0"/>
              <w:rPr>
                <w:sz w:val="20"/>
                <w:szCs w:val="20"/>
                <w:color w:val="auto"/>
              </w:rPr>
            </w:pPr>
            <w:r>
              <w:rPr>
                <w:rFonts w:ascii="Arial" w:cs="Arial" w:eastAsia="Arial" w:hAnsi="Arial"/>
                <w:sz w:val="10"/>
                <w:szCs w:val="10"/>
                <w:color w:val="auto"/>
              </w:rPr>
              <w:t>Dividends</w:t>
            </w:r>
          </w:p>
        </w:tc>
      </w:tr>
      <w:tr>
        <w:trPr>
          <w:trHeight w:val="126"/>
        </w:trPr>
        <w:tc>
          <w:tcPr>
            <w:tcW w:w="340" w:type="dxa"/>
            <w:vAlign w:val="bottom"/>
          </w:tcPr>
          <w:p>
            <w:pPr>
              <w:jc w:val="right"/>
              <w:ind w:right="152"/>
              <w:spacing w:after="0"/>
              <w:rPr>
                <w:rFonts w:ascii="Arial" w:cs="Arial" w:eastAsia="Arial" w:hAnsi="Arial"/>
                <w:sz w:val="10"/>
                <w:szCs w:val="10"/>
                <w:color w:val="auto"/>
                <w:w w:val="71"/>
              </w:rPr>
            </w:pPr>
            <w:hyperlink w:anchor="page210">
              <w:r>
                <w:rPr>
                  <w:rFonts w:ascii="Arial" w:cs="Arial" w:eastAsia="Arial" w:hAnsi="Arial"/>
                  <w:sz w:val="10"/>
                  <w:szCs w:val="10"/>
                  <w:color w:val="auto"/>
                  <w:w w:val="71"/>
                </w:rPr>
                <w:t>207</w:t>
              </w:r>
            </w:hyperlink>
          </w:p>
        </w:tc>
        <w:tc>
          <w:tcPr>
            <w:tcW w:w="520" w:type="dxa"/>
            <w:vAlign w:val="bottom"/>
          </w:tcPr>
          <w:p>
            <w:pPr>
              <w:ind w:left="200"/>
              <w:spacing w:after="0"/>
              <w:rPr>
                <w:sz w:val="20"/>
                <w:szCs w:val="20"/>
                <w:color w:val="auto"/>
              </w:rPr>
            </w:pPr>
            <w:r>
              <w:rPr>
                <w:rFonts w:ascii="Arial" w:cs="Arial" w:eastAsia="Arial" w:hAnsi="Arial"/>
                <w:sz w:val="10"/>
                <w:szCs w:val="10"/>
                <w:color w:val="auto"/>
                <w:w w:val="85"/>
              </w:rPr>
              <w:t>Note 24</w:t>
            </w:r>
          </w:p>
        </w:tc>
        <w:tc>
          <w:tcPr>
            <w:tcW w:w="1660" w:type="dxa"/>
            <w:vAlign w:val="bottom"/>
          </w:tcPr>
          <w:p>
            <w:pPr>
              <w:ind w:left="20"/>
              <w:spacing w:after="0"/>
              <w:rPr>
                <w:sz w:val="20"/>
                <w:szCs w:val="20"/>
                <w:color w:val="auto"/>
              </w:rPr>
            </w:pPr>
            <w:r>
              <w:rPr>
                <w:rFonts w:ascii="Arial" w:cs="Arial" w:eastAsia="Arial" w:hAnsi="Arial"/>
                <w:sz w:val="10"/>
                <w:szCs w:val="10"/>
                <w:color w:val="auto"/>
              </w:rPr>
              <w:t>Earnings per share</w:t>
            </w:r>
          </w:p>
        </w:tc>
      </w:tr>
      <w:tr>
        <w:trPr>
          <w:trHeight w:val="126"/>
        </w:trPr>
        <w:tc>
          <w:tcPr>
            <w:tcW w:w="340" w:type="dxa"/>
            <w:vAlign w:val="bottom"/>
          </w:tcPr>
          <w:p>
            <w:pPr>
              <w:jc w:val="right"/>
              <w:ind w:right="152"/>
              <w:spacing w:after="0"/>
              <w:rPr>
                <w:rFonts w:ascii="Arial" w:cs="Arial" w:eastAsia="Arial" w:hAnsi="Arial"/>
                <w:sz w:val="10"/>
                <w:szCs w:val="10"/>
                <w:color w:val="auto"/>
                <w:w w:val="71"/>
              </w:rPr>
            </w:pPr>
            <w:hyperlink w:anchor="page210">
              <w:r>
                <w:rPr>
                  <w:rFonts w:ascii="Arial" w:cs="Arial" w:eastAsia="Arial" w:hAnsi="Arial"/>
                  <w:sz w:val="10"/>
                  <w:szCs w:val="10"/>
                  <w:color w:val="auto"/>
                  <w:w w:val="71"/>
                </w:rPr>
                <w:t>207</w:t>
              </w:r>
            </w:hyperlink>
          </w:p>
        </w:tc>
        <w:tc>
          <w:tcPr>
            <w:tcW w:w="520" w:type="dxa"/>
            <w:vAlign w:val="bottom"/>
          </w:tcPr>
          <w:p>
            <w:pPr>
              <w:ind w:left="200"/>
              <w:spacing w:after="0"/>
              <w:rPr>
                <w:sz w:val="20"/>
                <w:szCs w:val="20"/>
                <w:color w:val="auto"/>
              </w:rPr>
            </w:pPr>
            <w:r>
              <w:rPr>
                <w:rFonts w:ascii="Arial" w:cs="Arial" w:eastAsia="Arial" w:hAnsi="Arial"/>
                <w:sz w:val="10"/>
                <w:szCs w:val="10"/>
                <w:color w:val="auto"/>
                <w:w w:val="85"/>
              </w:rPr>
              <w:t>Note 25</w:t>
            </w:r>
          </w:p>
        </w:tc>
        <w:tc>
          <w:tcPr>
            <w:tcW w:w="1660" w:type="dxa"/>
            <w:vAlign w:val="bottom"/>
          </w:tcPr>
          <w:p>
            <w:pPr>
              <w:ind w:left="20"/>
              <w:spacing w:after="0"/>
              <w:rPr>
                <w:sz w:val="20"/>
                <w:szCs w:val="20"/>
                <w:color w:val="auto"/>
              </w:rPr>
            </w:pPr>
            <w:r>
              <w:rPr>
                <w:rFonts w:ascii="Arial" w:cs="Arial" w:eastAsia="Arial" w:hAnsi="Arial"/>
                <w:sz w:val="10"/>
                <w:szCs w:val="10"/>
                <w:color w:val="auto"/>
                <w:w w:val="84"/>
              </w:rPr>
              <w:t>Legal proceedings and other contingencies</w:t>
            </w:r>
          </w:p>
        </w:tc>
      </w:tr>
    </w:tbl>
    <w:p>
      <w:pPr>
        <w:spacing w:after="0" w:line="5" w:lineRule="exact"/>
        <w:rPr>
          <w:sz w:val="20"/>
          <w:szCs w:val="20"/>
          <w:color w:val="auto"/>
        </w:rPr>
      </w:pPr>
    </w:p>
    <w:p>
      <w:pPr>
        <w:ind w:left="540" w:hanging="536"/>
        <w:spacing w:after="0"/>
        <w:tabs>
          <w:tab w:leader="none" w:pos="540" w:val="left"/>
        </w:tabs>
        <w:numPr>
          <w:ilvl w:val="0"/>
          <w:numId w:val="165"/>
        </w:numPr>
        <w:rPr>
          <w:rFonts w:ascii="Arial" w:cs="Arial" w:eastAsia="Arial" w:hAnsi="Arial"/>
          <w:sz w:val="10"/>
          <w:szCs w:val="10"/>
          <w:color w:val="auto"/>
        </w:rPr>
      </w:pPr>
      <w:r>
        <w:rPr>
          <w:rFonts w:ascii="Arial" w:cs="Arial" w:eastAsia="Arial" w:hAnsi="Arial"/>
          <w:sz w:val="10"/>
          <w:szCs w:val="10"/>
          <w:color w:val="auto"/>
        </w:rPr>
        <w:t>Note 26 Employees</w:t>
      </w:r>
    </w:p>
    <w:p>
      <w:pPr>
        <w:spacing w:after="0" w:line="11" w:lineRule="exact"/>
        <w:rPr>
          <w:rFonts w:ascii="Arial" w:cs="Arial" w:eastAsia="Arial" w:hAnsi="Arial"/>
          <w:sz w:val="10"/>
          <w:szCs w:val="10"/>
          <w:color w:val="auto"/>
        </w:rPr>
      </w:pPr>
    </w:p>
    <w:p>
      <w:pPr>
        <w:ind w:left="540" w:hanging="536"/>
        <w:spacing w:after="0"/>
        <w:tabs>
          <w:tab w:leader="none" w:pos="540" w:val="left"/>
        </w:tabs>
        <w:numPr>
          <w:ilvl w:val="0"/>
          <w:numId w:val="165"/>
        </w:numPr>
        <w:rPr>
          <w:rFonts w:ascii="Arial" w:cs="Arial" w:eastAsia="Arial" w:hAnsi="Arial"/>
          <w:sz w:val="10"/>
          <w:szCs w:val="10"/>
          <w:color w:val="auto"/>
        </w:rPr>
      </w:pPr>
      <w:r>
        <w:rPr>
          <w:rFonts w:ascii="Arial" w:cs="Arial" w:eastAsia="Arial" w:hAnsi="Arial"/>
          <w:sz w:val="10"/>
          <w:szCs w:val="10"/>
          <w:color w:val="auto"/>
        </w:rPr>
        <w:t>Note 27 Directors and Senior Management</w:t>
      </w:r>
    </w:p>
    <w:p>
      <w:pPr>
        <w:spacing w:after="0" w:line="11" w:lineRule="exact"/>
        <w:rPr>
          <w:sz w:val="20"/>
          <w:szCs w:val="20"/>
          <w:color w:val="auto"/>
        </w:rPr>
      </w:pPr>
    </w:p>
    <w:p>
      <w:pPr>
        <w:spacing w:after="0"/>
        <w:tabs>
          <w:tab w:leader="none" w:pos="520" w:val="left"/>
        </w:tabs>
        <w:rPr>
          <w:sz w:val="20"/>
          <w:szCs w:val="20"/>
          <w:color w:val="auto"/>
        </w:rPr>
      </w:pPr>
      <w:r>
        <w:rPr>
          <w:rFonts w:ascii="Arial" w:cs="Arial" w:eastAsia="Arial" w:hAnsi="Arial"/>
          <w:sz w:val="10"/>
          <w:szCs w:val="10"/>
          <w:color w:val="auto"/>
        </w:rPr>
        <w:t>210</w:t>
      </w:r>
      <w:r>
        <w:rPr>
          <w:sz w:val="20"/>
          <w:szCs w:val="20"/>
          <w:color w:val="auto"/>
        </w:rPr>
        <w:tab/>
      </w:r>
      <w:r>
        <w:rPr>
          <w:rFonts w:ascii="Arial" w:cs="Arial" w:eastAsia="Arial" w:hAnsi="Arial"/>
          <w:sz w:val="10"/>
          <w:szCs w:val="10"/>
          <w:color w:val="auto"/>
        </w:rPr>
        <w:t>Note 28 Auditor’s remuneration</w:t>
      </w:r>
    </w:p>
    <w:p>
      <w:pPr>
        <w:spacing w:after="0" w:line="18" w:lineRule="exact"/>
        <w:rPr>
          <w:sz w:val="20"/>
          <w:szCs w:val="20"/>
          <w:color w:val="auto"/>
        </w:rPr>
      </w:pPr>
    </w:p>
    <w:p>
      <w:pPr>
        <w:ind w:left="540" w:hanging="536"/>
        <w:spacing w:after="0"/>
        <w:tabs>
          <w:tab w:leader="none" w:pos="540" w:val="left"/>
        </w:tabs>
        <w:numPr>
          <w:ilvl w:val="0"/>
          <w:numId w:val="166"/>
        </w:numPr>
        <w:rPr>
          <w:rFonts w:ascii="Arial" w:cs="Arial" w:eastAsia="Arial" w:hAnsi="Arial"/>
          <w:sz w:val="10"/>
          <w:szCs w:val="10"/>
          <w:color w:val="auto"/>
        </w:rPr>
      </w:pPr>
      <w:r>
        <w:rPr>
          <w:rFonts w:ascii="Arial" w:cs="Arial" w:eastAsia="Arial" w:hAnsi="Arial"/>
          <w:sz w:val="10"/>
          <w:szCs w:val="10"/>
          <w:color w:val="auto"/>
        </w:rPr>
        <w:t>Note 29 Emission schemes and related environmental plans</w:t>
      </w:r>
    </w:p>
    <w:p>
      <w:pPr>
        <w:spacing w:after="0" w:line="21" w:lineRule="exact"/>
        <w:rPr>
          <w:rFonts w:ascii="Arial" w:cs="Arial" w:eastAsia="Arial" w:hAnsi="Arial"/>
          <w:sz w:val="10"/>
          <w:szCs w:val="10"/>
          <w:color w:val="auto"/>
        </w:rPr>
      </w:pPr>
    </w:p>
    <w:p>
      <w:pPr>
        <w:ind w:left="540" w:hanging="536"/>
        <w:spacing w:after="0"/>
        <w:tabs>
          <w:tab w:leader="none" w:pos="540" w:val="left"/>
        </w:tabs>
        <w:numPr>
          <w:ilvl w:val="0"/>
          <w:numId w:val="166"/>
        </w:numPr>
        <w:rPr>
          <w:rFonts w:ascii="Arial" w:cs="Arial" w:eastAsia="Arial" w:hAnsi="Arial"/>
          <w:sz w:val="10"/>
          <w:szCs w:val="10"/>
          <w:color w:val="auto"/>
        </w:rPr>
      </w:pPr>
      <w:r>
        <w:rPr>
          <w:rFonts w:ascii="Arial" w:cs="Arial" w:eastAsia="Arial" w:hAnsi="Arial"/>
          <w:sz w:val="10"/>
          <w:szCs w:val="10"/>
          <w:color w:val="auto"/>
        </w:rPr>
        <w:t>Note 30 Post-balance sheet events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980" w:type="dxa"/>
            <w:vAlign w:val="bottom"/>
          </w:tcPr>
          <w:p>
            <w:pPr>
              <w:ind w:left="40"/>
              <w:spacing w:after="0"/>
              <w:rPr>
                <w:sz w:val="20"/>
                <w:szCs w:val="20"/>
                <w:color w:val="auto"/>
              </w:rPr>
            </w:pPr>
            <w:r>
              <w:rPr>
                <w:rFonts w:ascii="Arial" w:cs="Arial" w:eastAsia="Arial" w:hAnsi="Arial"/>
                <w:sz w:val="7"/>
                <w:szCs w:val="7"/>
                <w:color w:val="auto"/>
              </w:rPr>
              <w:t>FINANCIAL STATEMENTS AND SUPPLEMENTS SHELL FORM 20-F 2020</w:t>
            </w:r>
          </w:p>
        </w:tc>
        <w:tc>
          <w:tcPr>
            <w:tcW w:w="7320" w:type="dxa"/>
            <w:vAlign w:val="bottom"/>
          </w:tcPr>
          <w:p>
            <w:pPr>
              <w:jc w:val="right"/>
              <w:ind w:right="5564"/>
              <w:spacing w:after="0"/>
              <w:rPr>
                <w:sz w:val="20"/>
                <w:szCs w:val="20"/>
                <w:color w:val="auto"/>
              </w:rPr>
            </w:pPr>
            <w:r>
              <w:rPr>
                <w:rFonts w:ascii="Arial" w:cs="Arial" w:eastAsia="Arial" w:hAnsi="Arial"/>
                <w:sz w:val="7"/>
                <w:szCs w:val="7"/>
                <w:color w:val="auto"/>
              </w:rPr>
              <w:t>164</w:t>
            </w:r>
          </w:p>
        </w:tc>
      </w:tr>
      <w:tr>
        <w:trPr>
          <w:trHeight w:val="313"/>
        </w:trPr>
        <w:tc>
          <w:tcPr>
            <w:tcW w:w="398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76"/>
        </w:trPr>
        <w:tc>
          <w:tcPr>
            <w:tcW w:w="4120" w:type="dxa"/>
            <w:vAlign w:val="bottom"/>
            <w:tcBorders>
              <w:top w:val="single" w:sz="8" w:color="D9D9D9"/>
            </w:tcBorders>
          </w:tcPr>
          <w:p>
            <w:pPr>
              <w:spacing w:after="0"/>
              <w:rPr>
                <w:sz w:val="20"/>
                <w:szCs w:val="20"/>
                <w:color w:val="auto"/>
              </w:rPr>
            </w:pPr>
            <w:r>
              <w:rPr>
                <w:rFonts w:ascii="Arial" w:cs="Arial" w:eastAsia="Arial" w:hAnsi="Arial"/>
                <w:sz w:val="11"/>
                <w:szCs w:val="11"/>
                <w:color w:val="auto"/>
              </w:rPr>
              <w:t>CONSOLIDATED STATEMENT OF INCOME</w:t>
            </w:r>
          </w:p>
        </w:tc>
        <w:tc>
          <w:tcPr>
            <w:tcW w:w="3180" w:type="dxa"/>
            <w:vAlign w:val="bottom"/>
            <w:tcBorders>
              <w:top w:val="single" w:sz="8" w:color="D9D9D9"/>
            </w:tcBorders>
          </w:tcPr>
          <w:p>
            <w:pPr>
              <w:spacing w:after="0"/>
              <w:rPr>
                <w:sz w:val="15"/>
                <w:szCs w:val="15"/>
                <w:color w:val="auto"/>
              </w:rPr>
            </w:pPr>
          </w:p>
        </w:tc>
        <w:tc>
          <w:tcPr>
            <w:tcW w:w="1340" w:type="dxa"/>
            <w:vAlign w:val="bottom"/>
            <w:tcBorders>
              <w:top w:val="single" w:sz="8" w:color="D9D9D9"/>
            </w:tcBorders>
          </w:tcPr>
          <w:p>
            <w:pPr>
              <w:spacing w:after="0"/>
              <w:rPr>
                <w:sz w:val="15"/>
                <w:szCs w:val="15"/>
                <w:color w:val="auto"/>
              </w:rPr>
            </w:pPr>
          </w:p>
        </w:tc>
        <w:tc>
          <w:tcPr>
            <w:tcW w:w="1800" w:type="dxa"/>
            <w:vAlign w:val="bottom"/>
            <w:tcBorders>
              <w:top w:val="single" w:sz="8" w:color="D9D9D9"/>
            </w:tcBorders>
          </w:tcPr>
          <w:p>
            <w:pPr>
              <w:spacing w:after="0"/>
              <w:rPr>
                <w:sz w:val="15"/>
                <w:szCs w:val="15"/>
                <w:color w:val="auto"/>
              </w:rPr>
            </w:pPr>
          </w:p>
        </w:tc>
        <w:tc>
          <w:tcPr>
            <w:tcW w:w="84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c>
          <w:tcPr>
            <w:tcW w:w="20" w:type="dxa"/>
            <w:vAlign w:val="bottom"/>
          </w:tcPr>
          <w:p>
            <w:pPr>
              <w:spacing w:after="0"/>
              <w:rPr>
                <w:sz w:val="15"/>
                <w:szCs w:val="15"/>
                <w:color w:val="auto"/>
              </w:rPr>
            </w:pPr>
          </w:p>
        </w:tc>
      </w:tr>
      <w:tr>
        <w:trPr>
          <w:trHeight w:val="144"/>
        </w:trPr>
        <w:tc>
          <w:tcPr>
            <w:tcW w:w="412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Notes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20" w:type="dxa"/>
            <w:vAlign w:val="bottom"/>
          </w:tcPr>
          <w:p>
            <w:pPr>
              <w:spacing w:after="0"/>
              <w:rPr>
                <w:sz w:val="12"/>
                <w:szCs w:val="12"/>
                <w:color w:val="auto"/>
              </w:rPr>
            </w:pPr>
          </w:p>
        </w:tc>
      </w:tr>
      <w:tr>
        <w:trPr>
          <w:trHeight w:val="114"/>
        </w:trPr>
        <w:tc>
          <w:tcPr>
            <w:tcW w:w="4120" w:type="dxa"/>
            <w:vAlign w:val="bottom"/>
          </w:tcPr>
          <w:p>
            <w:pPr>
              <w:spacing w:after="0"/>
              <w:rPr>
                <w:sz w:val="20"/>
                <w:szCs w:val="20"/>
                <w:color w:val="auto"/>
              </w:rPr>
            </w:pPr>
            <w:r>
              <w:rPr>
                <w:rFonts w:ascii="Arial" w:cs="Arial" w:eastAsia="Arial" w:hAnsi="Arial"/>
                <w:sz w:val="10"/>
                <w:szCs w:val="10"/>
                <w:color w:val="auto"/>
              </w:rPr>
              <w:t>Revenue</w:t>
            </w:r>
          </w:p>
        </w:tc>
        <w:tc>
          <w:tcPr>
            <w:tcW w:w="3180" w:type="dxa"/>
            <w:vAlign w:val="bottom"/>
          </w:tcPr>
          <w:p>
            <w:pPr>
              <w:jc w:val="right"/>
              <w:spacing w:after="0"/>
              <w:rPr>
                <w:sz w:val="20"/>
                <w:szCs w:val="20"/>
                <w:color w:val="auto"/>
              </w:rPr>
            </w:pPr>
            <w:r>
              <w:rPr>
                <w:rFonts w:ascii="Arial" w:cs="Arial" w:eastAsia="Arial" w:hAnsi="Arial"/>
                <w:sz w:val="10"/>
                <w:szCs w:val="10"/>
                <w:color w:val="auto"/>
              </w:rPr>
              <w:t>4</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180,543</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344,877</w:t>
            </w:r>
          </w:p>
        </w:tc>
        <w:tc>
          <w:tcPr>
            <w:tcW w:w="840" w:type="dxa"/>
            <w:vAlign w:val="bottom"/>
          </w:tcPr>
          <w:p>
            <w:pPr>
              <w:jc w:val="right"/>
              <w:spacing w:after="0"/>
              <w:rPr>
                <w:sz w:val="20"/>
                <w:szCs w:val="20"/>
                <w:color w:val="auto"/>
              </w:rPr>
            </w:pPr>
            <w:r>
              <w:rPr>
                <w:rFonts w:ascii="Arial" w:cs="Arial" w:eastAsia="Arial" w:hAnsi="Arial"/>
                <w:sz w:val="10"/>
                <w:szCs w:val="10"/>
                <w:color w:val="auto"/>
              </w:rPr>
              <w:t>388,379</w:t>
            </w:r>
          </w:p>
        </w:tc>
        <w:tc>
          <w:tcPr>
            <w:tcW w:w="20" w:type="dxa"/>
            <w:vAlign w:val="bottom"/>
          </w:tcPr>
          <w:p>
            <w:pPr>
              <w:spacing w:after="0"/>
              <w:rPr>
                <w:sz w:val="9"/>
                <w:szCs w:val="9"/>
                <w:color w:val="auto"/>
              </w:rPr>
            </w:pPr>
          </w:p>
        </w:tc>
      </w:tr>
      <w:tr>
        <w:trPr>
          <w:trHeight w:val="123"/>
        </w:trPr>
        <w:tc>
          <w:tcPr>
            <w:tcW w:w="4120" w:type="dxa"/>
            <w:vAlign w:val="bottom"/>
          </w:tcPr>
          <w:p>
            <w:pPr>
              <w:spacing w:after="0"/>
              <w:rPr>
                <w:sz w:val="20"/>
                <w:szCs w:val="20"/>
                <w:color w:val="auto"/>
              </w:rPr>
            </w:pPr>
            <w:r>
              <w:rPr>
                <w:rFonts w:ascii="Arial" w:cs="Arial" w:eastAsia="Arial" w:hAnsi="Arial"/>
                <w:sz w:val="10"/>
                <w:szCs w:val="10"/>
                <w:color w:val="auto"/>
              </w:rPr>
              <w:t>Share of profit of joint ventures and associates</w:t>
            </w:r>
          </w:p>
        </w:tc>
        <w:tc>
          <w:tcPr>
            <w:tcW w:w="3180" w:type="dxa"/>
            <w:vAlign w:val="bottom"/>
          </w:tcPr>
          <w:p>
            <w:pPr>
              <w:jc w:val="right"/>
              <w:spacing w:after="0"/>
              <w:rPr>
                <w:sz w:val="20"/>
                <w:szCs w:val="20"/>
                <w:color w:val="auto"/>
              </w:rPr>
            </w:pPr>
            <w:r>
              <w:rPr>
                <w:rFonts w:ascii="Arial" w:cs="Arial" w:eastAsia="Arial" w:hAnsi="Arial"/>
                <w:sz w:val="10"/>
                <w:szCs w:val="10"/>
                <w:color w:val="auto"/>
              </w:rPr>
              <w:t>9</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1,783</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3,604</w:t>
            </w:r>
          </w:p>
        </w:tc>
        <w:tc>
          <w:tcPr>
            <w:tcW w:w="840" w:type="dxa"/>
            <w:vAlign w:val="bottom"/>
          </w:tcPr>
          <w:p>
            <w:pPr>
              <w:jc w:val="right"/>
              <w:spacing w:after="0"/>
              <w:rPr>
                <w:sz w:val="20"/>
                <w:szCs w:val="20"/>
                <w:color w:val="auto"/>
              </w:rPr>
            </w:pPr>
            <w:r>
              <w:rPr>
                <w:rFonts w:ascii="Arial" w:cs="Arial" w:eastAsia="Arial" w:hAnsi="Arial"/>
                <w:sz w:val="10"/>
                <w:szCs w:val="10"/>
                <w:color w:val="auto"/>
              </w:rPr>
              <w:t>4,106</w:t>
            </w:r>
          </w:p>
        </w:tc>
        <w:tc>
          <w:tcPr>
            <w:tcW w:w="20" w:type="dxa"/>
            <w:vAlign w:val="bottom"/>
          </w:tcPr>
          <w:p>
            <w:pPr>
              <w:spacing w:after="0"/>
              <w:rPr>
                <w:sz w:val="10"/>
                <w:szCs w:val="10"/>
                <w:color w:val="auto"/>
              </w:rPr>
            </w:pPr>
          </w:p>
        </w:tc>
      </w:tr>
      <w:tr>
        <w:trPr>
          <w:trHeight w:val="130"/>
        </w:trPr>
        <w:tc>
          <w:tcPr>
            <w:tcW w:w="41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Interest and other income</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869</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3,625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4,071</w:t>
            </w:r>
          </w:p>
        </w:tc>
        <w:tc>
          <w:tcPr>
            <w:tcW w:w="20" w:type="dxa"/>
            <w:vAlign w:val="bottom"/>
          </w:tcPr>
          <w:p>
            <w:pPr>
              <w:spacing w:after="0"/>
              <w:rPr>
                <w:sz w:val="11"/>
                <w:szCs w:val="11"/>
                <w:color w:val="auto"/>
              </w:rPr>
            </w:pPr>
          </w:p>
        </w:tc>
      </w:tr>
      <w:tr>
        <w:trPr>
          <w:trHeight w:val="118"/>
        </w:trPr>
        <w:tc>
          <w:tcPr>
            <w:tcW w:w="41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Total revenue and other income</w:t>
            </w:r>
          </w:p>
        </w:tc>
        <w:tc>
          <w:tcPr>
            <w:tcW w:w="3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183,195</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352,106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396,556</w:t>
            </w:r>
          </w:p>
        </w:tc>
        <w:tc>
          <w:tcPr>
            <w:tcW w:w="20" w:type="dxa"/>
            <w:vAlign w:val="bottom"/>
          </w:tcPr>
          <w:p>
            <w:pPr>
              <w:spacing w:after="0"/>
              <w:rPr>
                <w:sz w:val="10"/>
                <w:szCs w:val="10"/>
                <w:color w:val="auto"/>
              </w:rPr>
            </w:pPr>
          </w:p>
        </w:tc>
      </w:tr>
      <w:tr>
        <w:trPr>
          <w:trHeight w:val="112"/>
        </w:trPr>
        <w:tc>
          <w:tcPr>
            <w:tcW w:w="4120" w:type="dxa"/>
            <w:vAlign w:val="bottom"/>
          </w:tcPr>
          <w:p>
            <w:pPr>
              <w:spacing w:after="0" w:line="112" w:lineRule="exact"/>
              <w:rPr>
                <w:sz w:val="20"/>
                <w:szCs w:val="20"/>
                <w:color w:val="auto"/>
              </w:rPr>
            </w:pPr>
            <w:r>
              <w:rPr>
                <w:rFonts w:ascii="Arial" w:cs="Arial" w:eastAsia="Arial" w:hAnsi="Arial"/>
                <w:sz w:val="10"/>
                <w:szCs w:val="10"/>
                <w:color w:val="auto"/>
              </w:rPr>
              <w:t>Purchases</w:t>
            </w:r>
          </w:p>
        </w:tc>
        <w:tc>
          <w:tcPr>
            <w:tcW w:w="3180" w:type="dxa"/>
            <w:vAlign w:val="bottom"/>
          </w:tcPr>
          <w:p>
            <w:pPr>
              <w:spacing w:after="0"/>
              <w:rPr>
                <w:sz w:val="9"/>
                <w:szCs w:val="9"/>
                <w:color w:val="auto"/>
              </w:rPr>
            </w:pPr>
          </w:p>
        </w:tc>
        <w:tc>
          <w:tcPr>
            <w:tcW w:w="1340" w:type="dxa"/>
            <w:vAlign w:val="bottom"/>
            <w:shd w:val="clear" w:color="auto" w:fill="CDCDCD"/>
          </w:tcPr>
          <w:p>
            <w:pPr>
              <w:jc w:val="right"/>
              <w:spacing w:after="0" w:line="112" w:lineRule="exact"/>
              <w:rPr>
                <w:sz w:val="20"/>
                <w:szCs w:val="20"/>
                <w:color w:val="auto"/>
              </w:rPr>
            </w:pPr>
            <w:r>
              <w:rPr>
                <w:rFonts w:ascii="Arial" w:cs="Arial" w:eastAsia="Arial" w:hAnsi="Arial"/>
                <w:sz w:val="10"/>
                <w:szCs w:val="10"/>
                <w:color w:val="auto"/>
              </w:rPr>
              <w:t>117,093</w:t>
            </w:r>
          </w:p>
        </w:tc>
        <w:tc>
          <w:tcPr>
            <w:tcW w:w="1800" w:type="dxa"/>
            <w:vAlign w:val="bottom"/>
          </w:tcPr>
          <w:p>
            <w:pPr>
              <w:jc w:val="right"/>
              <w:ind w:right="472"/>
              <w:spacing w:after="0" w:line="112" w:lineRule="exact"/>
              <w:rPr>
                <w:sz w:val="20"/>
                <w:szCs w:val="20"/>
                <w:color w:val="auto"/>
              </w:rPr>
            </w:pPr>
            <w:r>
              <w:rPr>
                <w:rFonts w:ascii="Arial" w:cs="Arial" w:eastAsia="Arial" w:hAnsi="Arial"/>
                <w:sz w:val="10"/>
                <w:szCs w:val="10"/>
                <w:color w:val="auto"/>
              </w:rPr>
              <w:t>252,983</w:t>
            </w:r>
          </w:p>
        </w:tc>
        <w:tc>
          <w:tcPr>
            <w:tcW w:w="840" w:type="dxa"/>
            <w:vAlign w:val="bottom"/>
          </w:tcPr>
          <w:p>
            <w:pPr>
              <w:jc w:val="right"/>
              <w:spacing w:after="0" w:line="112" w:lineRule="exact"/>
              <w:rPr>
                <w:sz w:val="20"/>
                <w:szCs w:val="20"/>
                <w:color w:val="auto"/>
              </w:rPr>
            </w:pPr>
            <w:r>
              <w:rPr>
                <w:rFonts w:ascii="Arial" w:cs="Arial" w:eastAsia="Arial" w:hAnsi="Arial"/>
                <w:sz w:val="10"/>
                <w:szCs w:val="10"/>
                <w:color w:val="auto"/>
              </w:rPr>
              <w:t>294,399</w:t>
            </w:r>
          </w:p>
        </w:tc>
        <w:tc>
          <w:tcPr>
            <w:tcW w:w="20" w:type="dxa"/>
            <w:vAlign w:val="bottom"/>
          </w:tcPr>
          <w:p>
            <w:pPr>
              <w:spacing w:after="0"/>
              <w:rPr>
                <w:sz w:val="9"/>
                <w:szCs w:val="9"/>
                <w:color w:val="auto"/>
              </w:rPr>
            </w:pPr>
          </w:p>
        </w:tc>
      </w:tr>
      <w:tr>
        <w:trPr>
          <w:trHeight w:val="123"/>
        </w:trPr>
        <w:tc>
          <w:tcPr>
            <w:tcW w:w="4120" w:type="dxa"/>
            <w:vAlign w:val="bottom"/>
          </w:tcPr>
          <w:p>
            <w:pPr>
              <w:spacing w:after="0"/>
              <w:rPr>
                <w:sz w:val="20"/>
                <w:szCs w:val="20"/>
                <w:color w:val="auto"/>
              </w:rPr>
            </w:pPr>
            <w:r>
              <w:rPr>
                <w:rFonts w:ascii="Arial" w:cs="Arial" w:eastAsia="Arial" w:hAnsi="Arial"/>
                <w:sz w:val="10"/>
                <w:szCs w:val="10"/>
                <w:color w:val="auto"/>
              </w:rPr>
              <w:t>Production and manufacturing expenses</w:t>
            </w:r>
          </w:p>
        </w:tc>
        <w:tc>
          <w:tcPr>
            <w:tcW w:w="3180" w:type="dxa"/>
            <w:vAlign w:val="bottom"/>
          </w:tcPr>
          <w:p>
            <w:pPr>
              <w:jc w:val="right"/>
              <w:spacing w:after="0"/>
              <w:rPr>
                <w:sz w:val="20"/>
                <w:szCs w:val="20"/>
                <w:color w:val="auto"/>
              </w:rPr>
            </w:pPr>
            <w:r>
              <w:rPr>
                <w:rFonts w:ascii="Arial" w:cs="Arial" w:eastAsia="Arial" w:hAnsi="Arial"/>
                <w:sz w:val="10"/>
                <w:szCs w:val="10"/>
                <w:color w:val="auto"/>
              </w:rPr>
              <w:t>4</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24,001</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26,438</w:t>
            </w:r>
          </w:p>
        </w:tc>
        <w:tc>
          <w:tcPr>
            <w:tcW w:w="840" w:type="dxa"/>
            <w:vAlign w:val="bottom"/>
          </w:tcPr>
          <w:p>
            <w:pPr>
              <w:jc w:val="right"/>
              <w:spacing w:after="0"/>
              <w:rPr>
                <w:sz w:val="20"/>
                <w:szCs w:val="20"/>
                <w:color w:val="auto"/>
              </w:rPr>
            </w:pPr>
            <w:r>
              <w:rPr>
                <w:rFonts w:ascii="Arial" w:cs="Arial" w:eastAsia="Arial" w:hAnsi="Arial"/>
                <w:sz w:val="10"/>
                <w:szCs w:val="10"/>
                <w:color w:val="auto"/>
              </w:rPr>
              <w:t>26,970</w:t>
            </w:r>
          </w:p>
        </w:tc>
        <w:tc>
          <w:tcPr>
            <w:tcW w:w="20" w:type="dxa"/>
            <w:vAlign w:val="bottom"/>
          </w:tcPr>
          <w:p>
            <w:pPr>
              <w:spacing w:after="0"/>
              <w:rPr>
                <w:sz w:val="10"/>
                <w:szCs w:val="10"/>
                <w:color w:val="auto"/>
              </w:rPr>
            </w:pPr>
          </w:p>
        </w:tc>
      </w:tr>
      <w:tr>
        <w:trPr>
          <w:trHeight w:val="126"/>
        </w:trPr>
        <w:tc>
          <w:tcPr>
            <w:tcW w:w="4120" w:type="dxa"/>
            <w:vAlign w:val="bottom"/>
          </w:tcPr>
          <w:p>
            <w:pPr>
              <w:spacing w:after="0"/>
              <w:rPr>
                <w:sz w:val="20"/>
                <w:szCs w:val="20"/>
                <w:color w:val="auto"/>
              </w:rPr>
            </w:pPr>
            <w:r>
              <w:rPr>
                <w:rFonts w:ascii="Arial" w:cs="Arial" w:eastAsia="Arial" w:hAnsi="Arial"/>
                <w:sz w:val="10"/>
                <w:szCs w:val="10"/>
                <w:color w:val="auto"/>
              </w:rPr>
              <w:t>Selling, distribution and administrative expenses</w:t>
            </w:r>
          </w:p>
        </w:tc>
        <w:tc>
          <w:tcPr>
            <w:tcW w:w="3180" w:type="dxa"/>
            <w:vAlign w:val="bottom"/>
          </w:tcPr>
          <w:p>
            <w:pPr>
              <w:jc w:val="right"/>
              <w:spacing w:after="0"/>
              <w:rPr>
                <w:sz w:val="20"/>
                <w:szCs w:val="20"/>
                <w:color w:val="auto"/>
              </w:rPr>
            </w:pPr>
            <w:r>
              <w:rPr>
                <w:rFonts w:ascii="Arial" w:cs="Arial" w:eastAsia="Arial" w:hAnsi="Arial"/>
                <w:sz w:val="10"/>
                <w:szCs w:val="10"/>
                <w:color w:val="auto"/>
              </w:rPr>
              <w:t>4</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9,881</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10,493</w:t>
            </w:r>
          </w:p>
        </w:tc>
        <w:tc>
          <w:tcPr>
            <w:tcW w:w="840" w:type="dxa"/>
            <w:vAlign w:val="bottom"/>
          </w:tcPr>
          <w:p>
            <w:pPr>
              <w:jc w:val="right"/>
              <w:spacing w:after="0"/>
              <w:rPr>
                <w:sz w:val="20"/>
                <w:szCs w:val="20"/>
                <w:color w:val="auto"/>
              </w:rPr>
            </w:pPr>
            <w:r>
              <w:rPr>
                <w:rFonts w:ascii="Arial" w:cs="Arial" w:eastAsia="Arial" w:hAnsi="Arial"/>
                <w:sz w:val="10"/>
                <w:szCs w:val="10"/>
                <w:color w:val="auto"/>
              </w:rPr>
              <w:t>11,360</w:t>
            </w:r>
          </w:p>
        </w:tc>
        <w:tc>
          <w:tcPr>
            <w:tcW w:w="20" w:type="dxa"/>
            <w:vAlign w:val="bottom"/>
          </w:tcPr>
          <w:p>
            <w:pPr>
              <w:spacing w:after="0"/>
              <w:rPr>
                <w:sz w:val="10"/>
                <w:szCs w:val="10"/>
                <w:color w:val="auto"/>
              </w:rPr>
            </w:pPr>
          </w:p>
        </w:tc>
      </w:tr>
      <w:tr>
        <w:trPr>
          <w:trHeight w:val="126"/>
        </w:trPr>
        <w:tc>
          <w:tcPr>
            <w:tcW w:w="4120" w:type="dxa"/>
            <w:vAlign w:val="bottom"/>
          </w:tcPr>
          <w:p>
            <w:pPr>
              <w:spacing w:after="0"/>
              <w:rPr>
                <w:sz w:val="20"/>
                <w:szCs w:val="20"/>
                <w:color w:val="auto"/>
              </w:rPr>
            </w:pPr>
            <w:r>
              <w:rPr>
                <w:rFonts w:ascii="Arial" w:cs="Arial" w:eastAsia="Arial" w:hAnsi="Arial"/>
                <w:sz w:val="10"/>
                <w:szCs w:val="10"/>
                <w:color w:val="auto"/>
              </w:rPr>
              <w:t>Research and development</w:t>
            </w:r>
          </w:p>
        </w:tc>
        <w:tc>
          <w:tcPr>
            <w:tcW w:w="3180" w:type="dxa"/>
            <w:vAlign w:val="bottom"/>
          </w:tcPr>
          <w:p>
            <w:pPr>
              <w:jc w:val="right"/>
              <w:spacing w:after="0"/>
              <w:rPr>
                <w:sz w:val="20"/>
                <w:szCs w:val="20"/>
                <w:color w:val="auto"/>
              </w:rPr>
            </w:pPr>
            <w:r>
              <w:rPr>
                <w:rFonts w:ascii="Arial" w:cs="Arial" w:eastAsia="Arial" w:hAnsi="Arial"/>
                <w:sz w:val="10"/>
                <w:szCs w:val="10"/>
                <w:color w:val="auto"/>
              </w:rPr>
              <w:t>4</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907</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962</w:t>
            </w:r>
          </w:p>
        </w:tc>
        <w:tc>
          <w:tcPr>
            <w:tcW w:w="840" w:type="dxa"/>
            <w:vAlign w:val="bottom"/>
          </w:tcPr>
          <w:p>
            <w:pPr>
              <w:jc w:val="right"/>
              <w:spacing w:after="0"/>
              <w:rPr>
                <w:sz w:val="20"/>
                <w:szCs w:val="20"/>
                <w:color w:val="auto"/>
              </w:rPr>
            </w:pPr>
            <w:r>
              <w:rPr>
                <w:rFonts w:ascii="Arial" w:cs="Arial" w:eastAsia="Arial" w:hAnsi="Arial"/>
                <w:sz w:val="10"/>
                <w:szCs w:val="10"/>
                <w:color w:val="auto"/>
              </w:rPr>
              <w:t>986</w:t>
            </w:r>
          </w:p>
        </w:tc>
        <w:tc>
          <w:tcPr>
            <w:tcW w:w="20" w:type="dxa"/>
            <w:vAlign w:val="bottom"/>
          </w:tcPr>
          <w:p>
            <w:pPr>
              <w:spacing w:after="0"/>
              <w:rPr>
                <w:sz w:val="10"/>
                <w:szCs w:val="10"/>
                <w:color w:val="auto"/>
              </w:rPr>
            </w:pPr>
          </w:p>
        </w:tc>
      </w:tr>
      <w:tr>
        <w:trPr>
          <w:trHeight w:val="126"/>
        </w:trPr>
        <w:tc>
          <w:tcPr>
            <w:tcW w:w="4120" w:type="dxa"/>
            <w:vAlign w:val="bottom"/>
          </w:tcPr>
          <w:p>
            <w:pPr>
              <w:spacing w:after="0"/>
              <w:rPr>
                <w:sz w:val="20"/>
                <w:szCs w:val="20"/>
                <w:color w:val="auto"/>
              </w:rPr>
            </w:pPr>
            <w:r>
              <w:rPr>
                <w:rFonts w:ascii="Arial" w:cs="Arial" w:eastAsia="Arial" w:hAnsi="Arial"/>
                <w:sz w:val="10"/>
                <w:szCs w:val="10"/>
                <w:color w:val="auto"/>
              </w:rPr>
              <w:t>Exploration</w:t>
            </w:r>
          </w:p>
        </w:tc>
        <w:tc>
          <w:tcPr>
            <w:tcW w:w="3180" w:type="dxa"/>
            <w:vAlign w:val="bottom"/>
          </w:tcPr>
          <w:p>
            <w:pPr>
              <w:jc w:val="right"/>
              <w:spacing w:after="0"/>
              <w:rPr>
                <w:sz w:val="20"/>
                <w:szCs w:val="20"/>
                <w:color w:val="auto"/>
              </w:rPr>
            </w:pPr>
            <w:r>
              <w:rPr>
                <w:rFonts w:ascii="Arial" w:cs="Arial" w:eastAsia="Arial" w:hAnsi="Arial"/>
                <w:sz w:val="10"/>
                <w:szCs w:val="10"/>
                <w:color w:val="auto"/>
              </w:rPr>
              <w:t>4</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1,747</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2,354</w:t>
            </w:r>
          </w:p>
        </w:tc>
        <w:tc>
          <w:tcPr>
            <w:tcW w:w="840" w:type="dxa"/>
            <w:vAlign w:val="bottom"/>
          </w:tcPr>
          <w:p>
            <w:pPr>
              <w:jc w:val="right"/>
              <w:spacing w:after="0"/>
              <w:rPr>
                <w:sz w:val="20"/>
                <w:szCs w:val="20"/>
                <w:color w:val="auto"/>
              </w:rPr>
            </w:pPr>
            <w:r>
              <w:rPr>
                <w:rFonts w:ascii="Arial" w:cs="Arial" w:eastAsia="Arial" w:hAnsi="Arial"/>
                <w:sz w:val="10"/>
                <w:szCs w:val="10"/>
                <w:color w:val="auto"/>
              </w:rPr>
              <w:t>1,340</w:t>
            </w:r>
          </w:p>
        </w:tc>
        <w:tc>
          <w:tcPr>
            <w:tcW w:w="20" w:type="dxa"/>
            <w:vAlign w:val="bottom"/>
          </w:tcPr>
          <w:p>
            <w:pPr>
              <w:spacing w:after="0"/>
              <w:rPr>
                <w:sz w:val="10"/>
                <w:szCs w:val="10"/>
                <w:color w:val="auto"/>
              </w:rPr>
            </w:pPr>
          </w:p>
        </w:tc>
      </w:tr>
      <w:tr>
        <w:trPr>
          <w:trHeight w:val="126"/>
        </w:trPr>
        <w:tc>
          <w:tcPr>
            <w:tcW w:w="4120" w:type="dxa"/>
            <w:vAlign w:val="bottom"/>
          </w:tcPr>
          <w:p>
            <w:pPr>
              <w:spacing w:after="0"/>
              <w:rPr>
                <w:sz w:val="20"/>
                <w:szCs w:val="20"/>
                <w:color w:val="auto"/>
              </w:rPr>
            </w:pPr>
            <w:r>
              <w:rPr>
                <w:rFonts w:ascii="Arial" w:cs="Arial" w:eastAsia="Arial" w:hAnsi="Arial"/>
                <w:sz w:val="10"/>
                <w:szCs w:val="10"/>
                <w:color w:val="auto"/>
              </w:rPr>
              <w:t>Depreciation, depletion and amortisation</w:t>
            </w:r>
          </w:p>
        </w:tc>
        <w:tc>
          <w:tcPr>
            <w:tcW w:w="3180" w:type="dxa"/>
            <w:vAlign w:val="bottom"/>
          </w:tcPr>
          <w:p>
            <w:pPr>
              <w:jc w:val="right"/>
              <w:spacing w:after="0"/>
              <w:rPr>
                <w:sz w:val="20"/>
                <w:szCs w:val="20"/>
                <w:color w:val="auto"/>
              </w:rPr>
            </w:pPr>
            <w:r>
              <w:rPr>
                <w:rFonts w:ascii="Arial" w:cs="Arial" w:eastAsia="Arial" w:hAnsi="Arial"/>
                <w:sz w:val="10"/>
                <w:szCs w:val="10"/>
                <w:color w:val="auto"/>
              </w:rPr>
              <w:t>4</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52,444</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28,701</w:t>
            </w:r>
          </w:p>
        </w:tc>
        <w:tc>
          <w:tcPr>
            <w:tcW w:w="840" w:type="dxa"/>
            <w:vAlign w:val="bottom"/>
          </w:tcPr>
          <w:p>
            <w:pPr>
              <w:jc w:val="right"/>
              <w:spacing w:after="0"/>
              <w:rPr>
                <w:sz w:val="20"/>
                <w:szCs w:val="20"/>
                <w:color w:val="auto"/>
              </w:rPr>
            </w:pPr>
            <w:r>
              <w:rPr>
                <w:rFonts w:ascii="Arial" w:cs="Arial" w:eastAsia="Arial" w:hAnsi="Arial"/>
                <w:sz w:val="10"/>
                <w:szCs w:val="10"/>
                <w:color w:val="auto"/>
              </w:rPr>
              <w:t>22,135</w:t>
            </w:r>
          </w:p>
        </w:tc>
        <w:tc>
          <w:tcPr>
            <w:tcW w:w="20" w:type="dxa"/>
            <w:vAlign w:val="bottom"/>
          </w:tcPr>
          <w:p>
            <w:pPr>
              <w:spacing w:after="0"/>
              <w:rPr>
                <w:sz w:val="10"/>
                <w:szCs w:val="10"/>
                <w:color w:val="auto"/>
              </w:rPr>
            </w:pPr>
          </w:p>
        </w:tc>
      </w:tr>
      <w:tr>
        <w:trPr>
          <w:trHeight w:val="130"/>
        </w:trPr>
        <w:tc>
          <w:tcPr>
            <w:tcW w:w="41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Interest expense</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w:t>
            </w: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4,089</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4,690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3,745</w:t>
            </w:r>
          </w:p>
        </w:tc>
        <w:tc>
          <w:tcPr>
            <w:tcW w:w="20" w:type="dxa"/>
            <w:vAlign w:val="bottom"/>
          </w:tcPr>
          <w:p>
            <w:pPr>
              <w:spacing w:after="0"/>
              <w:rPr>
                <w:sz w:val="11"/>
                <w:szCs w:val="11"/>
                <w:color w:val="auto"/>
              </w:rPr>
            </w:pPr>
          </w:p>
        </w:tc>
      </w:tr>
      <w:tr>
        <w:trPr>
          <w:trHeight w:val="118"/>
        </w:trPr>
        <w:tc>
          <w:tcPr>
            <w:tcW w:w="41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Total expenditure</w:t>
            </w:r>
          </w:p>
        </w:tc>
        <w:tc>
          <w:tcPr>
            <w:tcW w:w="3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210,162</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326,621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360,935</w:t>
            </w:r>
          </w:p>
        </w:tc>
        <w:tc>
          <w:tcPr>
            <w:tcW w:w="20" w:type="dxa"/>
            <w:vAlign w:val="bottom"/>
          </w:tcPr>
          <w:p>
            <w:pPr>
              <w:spacing w:after="0"/>
              <w:rPr>
                <w:sz w:val="10"/>
                <w:szCs w:val="10"/>
                <w:color w:val="auto"/>
              </w:rPr>
            </w:pPr>
          </w:p>
        </w:tc>
      </w:tr>
      <w:tr>
        <w:trPr>
          <w:trHeight w:val="113"/>
        </w:trPr>
        <w:tc>
          <w:tcPr>
            <w:tcW w:w="4120" w:type="dxa"/>
            <w:vAlign w:val="bottom"/>
          </w:tcPr>
          <w:p>
            <w:pPr>
              <w:spacing w:after="0" w:line="113" w:lineRule="exact"/>
              <w:rPr>
                <w:sz w:val="20"/>
                <w:szCs w:val="20"/>
                <w:color w:val="auto"/>
              </w:rPr>
            </w:pPr>
            <w:r>
              <w:rPr>
                <w:rFonts w:ascii="Arial" w:cs="Arial" w:eastAsia="Arial" w:hAnsi="Arial"/>
                <w:sz w:val="10"/>
                <w:szCs w:val="10"/>
                <w:b w:val="1"/>
                <w:bCs w:val="1"/>
                <w:color w:val="auto"/>
              </w:rPr>
              <w:t>(Loss)/income before taxation</w:t>
            </w:r>
          </w:p>
        </w:tc>
        <w:tc>
          <w:tcPr>
            <w:tcW w:w="3180" w:type="dxa"/>
            <w:vAlign w:val="bottom"/>
          </w:tcPr>
          <w:p>
            <w:pPr>
              <w:spacing w:after="0"/>
              <w:rPr>
                <w:sz w:val="9"/>
                <w:szCs w:val="9"/>
                <w:color w:val="auto"/>
              </w:rPr>
            </w:pPr>
          </w:p>
        </w:tc>
        <w:tc>
          <w:tcPr>
            <w:tcW w:w="1340" w:type="dxa"/>
            <w:vAlign w:val="bottom"/>
            <w:shd w:val="clear" w:color="auto" w:fill="CDCDCD"/>
          </w:tcPr>
          <w:p>
            <w:pPr>
              <w:jc w:val="right"/>
              <w:spacing w:after="0" w:line="113" w:lineRule="exact"/>
              <w:rPr>
                <w:sz w:val="20"/>
                <w:szCs w:val="20"/>
                <w:color w:val="auto"/>
              </w:rPr>
            </w:pPr>
            <w:r>
              <w:rPr>
                <w:rFonts w:ascii="Arial" w:cs="Arial" w:eastAsia="Arial" w:hAnsi="Arial"/>
                <w:sz w:val="10"/>
                <w:szCs w:val="10"/>
                <w:b w:val="1"/>
                <w:bCs w:val="1"/>
                <w:color w:val="auto"/>
              </w:rPr>
              <w:t>(26,967)</w:t>
            </w:r>
          </w:p>
        </w:tc>
        <w:tc>
          <w:tcPr>
            <w:tcW w:w="1800" w:type="dxa"/>
            <w:vAlign w:val="bottom"/>
          </w:tcPr>
          <w:p>
            <w:pPr>
              <w:jc w:val="right"/>
              <w:ind w:right="472"/>
              <w:spacing w:after="0" w:line="113" w:lineRule="exact"/>
              <w:rPr>
                <w:sz w:val="20"/>
                <w:szCs w:val="20"/>
                <w:color w:val="auto"/>
              </w:rPr>
            </w:pPr>
            <w:r>
              <w:rPr>
                <w:rFonts w:ascii="Arial" w:cs="Arial" w:eastAsia="Arial" w:hAnsi="Arial"/>
                <w:sz w:val="10"/>
                <w:szCs w:val="10"/>
                <w:b w:val="1"/>
                <w:bCs w:val="1"/>
                <w:color w:val="auto"/>
              </w:rPr>
              <w:t>25,485</w:t>
            </w:r>
          </w:p>
        </w:tc>
        <w:tc>
          <w:tcPr>
            <w:tcW w:w="840" w:type="dxa"/>
            <w:vAlign w:val="bottom"/>
          </w:tcPr>
          <w:p>
            <w:pPr>
              <w:jc w:val="right"/>
              <w:spacing w:after="0" w:line="113" w:lineRule="exact"/>
              <w:rPr>
                <w:sz w:val="20"/>
                <w:szCs w:val="20"/>
                <w:color w:val="auto"/>
              </w:rPr>
            </w:pPr>
            <w:r>
              <w:rPr>
                <w:rFonts w:ascii="Arial" w:cs="Arial" w:eastAsia="Arial" w:hAnsi="Arial"/>
                <w:sz w:val="10"/>
                <w:szCs w:val="10"/>
                <w:b w:val="1"/>
                <w:bCs w:val="1"/>
                <w:color w:val="auto"/>
              </w:rPr>
              <w:t>35,621</w:t>
            </w:r>
          </w:p>
        </w:tc>
        <w:tc>
          <w:tcPr>
            <w:tcW w:w="20" w:type="dxa"/>
            <w:vAlign w:val="bottom"/>
          </w:tcPr>
          <w:p>
            <w:pPr>
              <w:spacing w:after="0"/>
              <w:rPr>
                <w:sz w:val="9"/>
                <w:szCs w:val="9"/>
                <w:color w:val="auto"/>
              </w:rPr>
            </w:pPr>
          </w:p>
        </w:tc>
      </w:tr>
      <w:tr>
        <w:trPr>
          <w:trHeight w:val="125"/>
        </w:trPr>
        <w:tc>
          <w:tcPr>
            <w:tcW w:w="41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Taxation (credit)/charge</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w:t>
            </w: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(5,433)</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9,053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11,715</w:t>
            </w:r>
          </w:p>
        </w:tc>
        <w:tc>
          <w:tcPr>
            <w:tcW w:w="20" w:type="dxa"/>
            <w:vAlign w:val="bottom"/>
          </w:tcPr>
          <w:p>
            <w:pPr>
              <w:spacing w:after="0"/>
              <w:rPr>
                <w:sz w:val="10"/>
                <w:szCs w:val="10"/>
                <w:color w:val="auto"/>
              </w:rPr>
            </w:pPr>
          </w:p>
        </w:tc>
      </w:tr>
      <w:tr>
        <w:trPr>
          <w:trHeight w:val="118"/>
        </w:trPr>
        <w:tc>
          <w:tcPr>
            <w:tcW w:w="41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(Loss)/income for the period</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w:t>
            </w: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(21,534)</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16,432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23,906</w:t>
            </w:r>
          </w:p>
        </w:tc>
        <w:tc>
          <w:tcPr>
            <w:tcW w:w="20" w:type="dxa"/>
            <w:vAlign w:val="bottom"/>
          </w:tcPr>
          <w:p>
            <w:pPr>
              <w:spacing w:after="0"/>
              <w:rPr>
                <w:sz w:val="10"/>
                <w:szCs w:val="10"/>
                <w:color w:val="auto"/>
              </w:rPr>
            </w:pPr>
          </w:p>
        </w:tc>
      </w:tr>
      <w:tr>
        <w:trPr>
          <w:trHeight w:val="114"/>
        </w:trPr>
        <w:tc>
          <w:tcPr>
            <w:tcW w:w="41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Income attributable to non-controlling interest</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146</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590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554</w:t>
            </w:r>
          </w:p>
        </w:tc>
        <w:tc>
          <w:tcPr>
            <w:tcW w:w="20" w:type="dxa"/>
            <w:vAlign w:val="bottom"/>
          </w:tcPr>
          <w:p>
            <w:pPr>
              <w:spacing w:after="0"/>
              <w:rPr>
                <w:sz w:val="9"/>
                <w:szCs w:val="9"/>
                <w:color w:val="auto"/>
              </w:rPr>
            </w:pPr>
          </w:p>
        </w:tc>
      </w:tr>
      <w:tr>
        <w:trPr>
          <w:trHeight w:val="116"/>
        </w:trPr>
        <w:tc>
          <w:tcPr>
            <w:tcW w:w="41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(Loss)/income attributable to Royal Dutch Shell plc shareholders</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w:t>
            </w: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(21,680)</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15,842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23,352</w:t>
            </w:r>
          </w:p>
        </w:tc>
        <w:tc>
          <w:tcPr>
            <w:tcW w:w="20" w:type="dxa"/>
            <w:vAlign w:val="bottom"/>
          </w:tcPr>
          <w:p>
            <w:pPr>
              <w:spacing w:after="0"/>
              <w:rPr>
                <w:sz w:val="10"/>
                <w:szCs w:val="10"/>
                <w:color w:val="auto"/>
              </w:rPr>
            </w:pPr>
          </w:p>
        </w:tc>
      </w:tr>
      <w:tr>
        <w:trPr>
          <w:trHeight w:val="112"/>
        </w:trPr>
        <w:tc>
          <w:tcPr>
            <w:tcW w:w="4120" w:type="dxa"/>
            <w:vAlign w:val="bottom"/>
          </w:tcPr>
          <w:p>
            <w:pPr>
              <w:spacing w:after="0" w:line="112" w:lineRule="exact"/>
              <w:rPr>
                <w:sz w:val="20"/>
                <w:szCs w:val="20"/>
                <w:color w:val="auto"/>
              </w:rPr>
            </w:pPr>
            <w:r>
              <w:rPr>
                <w:rFonts w:ascii="Arial" w:cs="Arial" w:eastAsia="Arial" w:hAnsi="Arial"/>
                <w:sz w:val="10"/>
                <w:szCs w:val="10"/>
                <w:color w:val="auto"/>
              </w:rPr>
              <w:t>Basic earnings per share ($)</w:t>
            </w:r>
          </w:p>
        </w:tc>
        <w:tc>
          <w:tcPr>
            <w:tcW w:w="3180" w:type="dxa"/>
            <w:vAlign w:val="bottom"/>
          </w:tcPr>
          <w:p>
            <w:pPr>
              <w:jc w:val="right"/>
              <w:spacing w:after="0" w:line="112" w:lineRule="exact"/>
              <w:rPr>
                <w:sz w:val="20"/>
                <w:szCs w:val="20"/>
                <w:color w:val="auto"/>
              </w:rPr>
            </w:pPr>
            <w:r>
              <w:rPr>
                <w:rFonts w:ascii="Arial" w:cs="Arial" w:eastAsia="Arial" w:hAnsi="Arial"/>
                <w:sz w:val="10"/>
                <w:szCs w:val="10"/>
                <w:color w:val="auto"/>
              </w:rPr>
              <w:t>24</w:t>
            </w:r>
          </w:p>
        </w:tc>
        <w:tc>
          <w:tcPr>
            <w:tcW w:w="1340" w:type="dxa"/>
            <w:vAlign w:val="bottom"/>
            <w:shd w:val="clear" w:color="auto" w:fill="CDCDCD"/>
          </w:tcPr>
          <w:p>
            <w:pPr>
              <w:jc w:val="right"/>
              <w:spacing w:after="0" w:line="112" w:lineRule="exact"/>
              <w:rPr>
                <w:sz w:val="20"/>
                <w:szCs w:val="20"/>
                <w:color w:val="auto"/>
              </w:rPr>
            </w:pPr>
            <w:r>
              <w:rPr>
                <w:rFonts w:ascii="Arial" w:cs="Arial" w:eastAsia="Arial" w:hAnsi="Arial"/>
                <w:sz w:val="10"/>
                <w:szCs w:val="10"/>
                <w:color w:val="auto"/>
              </w:rPr>
              <w:t>(2.78)</w:t>
            </w:r>
          </w:p>
        </w:tc>
        <w:tc>
          <w:tcPr>
            <w:tcW w:w="1800" w:type="dxa"/>
            <w:vAlign w:val="bottom"/>
          </w:tcPr>
          <w:p>
            <w:pPr>
              <w:jc w:val="right"/>
              <w:ind w:right="472"/>
              <w:spacing w:after="0" w:line="112" w:lineRule="exact"/>
              <w:rPr>
                <w:sz w:val="20"/>
                <w:szCs w:val="20"/>
                <w:color w:val="auto"/>
              </w:rPr>
            </w:pPr>
            <w:r>
              <w:rPr>
                <w:rFonts w:ascii="Arial" w:cs="Arial" w:eastAsia="Arial" w:hAnsi="Arial"/>
                <w:sz w:val="10"/>
                <w:szCs w:val="10"/>
                <w:color w:val="auto"/>
              </w:rPr>
              <w:t>1.97</w:t>
            </w:r>
          </w:p>
        </w:tc>
        <w:tc>
          <w:tcPr>
            <w:tcW w:w="840" w:type="dxa"/>
            <w:vAlign w:val="bottom"/>
          </w:tcPr>
          <w:p>
            <w:pPr>
              <w:jc w:val="right"/>
              <w:spacing w:after="0" w:line="112" w:lineRule="exact"/>
              <w:rPr>
                <w:sz w:val="20"/>
                <w:szCs w:val="20"/>
                <w:color w:val="auto"/>
              </w:rPr>
            </w:pPr>
            <w:r>
              <w:rPr>
                <w:rFonts w:ascii="Arial" w:cs="Arial" w:eastAsia="Arial" w:hAnsi="Arial"/>
                <w:sz w:val="10"/>
                <w:szCs w:val="10"/>
                <w:color w:val="auto"/>
              </w:rPr>
              <w:t>2.82</w:t>
            </w:r>
          </w:p>
        </w:tc>
        <w:tc>
          <w:tcPr>
            <w:tcW w:w="20" w:type="dxa"/>
            <w:vAlign w:val="bottom"/>
          </w:tcPr>
          <w:p>
            <w:pPr>
              <w:spacing w:after="0"/>
              <w:rPr>
                <w:sz w:val="9"/>
                <w:szCs w:val="9"/>
                <w:color w:val="auto"/>
              </w:rPr>
            </w:pPr>
          </w:p>
        </w:tc>
      </w:tr>
      <w:tr>
        <w:trPr>
          <w:trHeight w:val="127"/>
        </w:trPr>
        <w:tc>
          <w:tcPr>
            <w:tcW w:w="41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Diluted earnings per share ($)</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w:t>
            </w: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(2.78)</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1.95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2.80</w:t>
            </w:r>
          </w:p>
        </w:tc>
        <w:tc>
          <w:tcPr>
            <w:tcW w:w="20" w:type="dxa"/>
            <w:vAlign w:val="bottom"/>
          </w:tcPr>
          <w:p>
            <w:pPr>
              <w:spacing w:after="0"/>
              <w:rPr>
                <w:sz w:val="11"/>
                <w:szCs w:val="11"/>
                <w:color w:val="auto"/>
              </w:rPr>
            </w:pPr>
          </w:p>
        </w:tc>
      </w:tr>
      <w:tr>
        <w:trPr>
          <w:trHeight w:val="328"/>
        </w:trPr>
        <w:tc>
          <w:tcPr>
            <w:tcW w:w="4120" w:type="dxa"/>
            <w:vAlign w:val="bottom"/>
          </w:tcPr>
          <w:p>
            <w:pPr>
              <w:ind w:left="40"/>
              <w:spacing w:after="0"/>
              <w:rPr>
                <w:sz w:val="20"/>
                <w:szCs w:val="20"/>
                <w:color w:val="auto"/>
              </w:rPr>
            </w:pPr>
            <w:r>
              <w:rPr>
                <w:rFonts w:ascii="Arial" w:cs="Arial" w:eastAsia="Arial" w:hAnsi="Arial"/>
                <w:sz w:val="7"/>
                <w:szCs w:val="7"/>
                <w:color w:val="auto"/>
              </w:rPr>
              <w:t>FINANCIAL STATEMENTS AND SUPPLEMENTS SHELL FORM 20-F 2020</w:t>
            </w:r>
          </w:p>
        </w:tc>
        <w:tc>
          <w:tcPr>
            <w:tcW w:w="3180" w:type="dxa"/>
            <w:vAlign w:val="bottom"/>
          </w:tcPr>
          <w:p>
            <w:pPr>
              <w:jc w:val="right"/>
              <w:ind w:right="1553"/>
              <w:spacing w:after="0"/>
              <w:rPr>
                <w:sz w:val="20"/>
                <w:szCs w:val="20"/>
                <w:color w:val="auto"/>
              </w:rPr>
            </w:pPr>
            <w:r>
              <w:rPr>
                <w:rFonts w:ascii="Arial" w:cs="Arial" w:eastAsia="Arial" w:hAnsi="Arial"/>
                <w:sz w:val="7"/>
                <w:szCs w:val="7"/>
                <w:color w:val="auto"/>
              </w:rPr>
              <w:t>165</w:t>
            </w: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1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76"/>
        </w:trPr>
        <w:tc>
          <w:tcPr>
            <w:tcW w:w="4440" w:type="dxa"/>
            <w:vAlign w:val="bottom"/>
            <w:tcBorders>
              <w:top w:val="single" w:sz="8" w:color="D9D9D9"/>
            </w:tcBorders>
          </w:tcPr>
          <w:p>
            <w:pPr>
              <w:spacing w:after="0"/>
              <w:rPr>
                <w:sz w:val="20"/>
                <w:szCs w:val="20"/>
                <w:color w:val="auto"/>
              </w:rPr>
            </w:pPr>
            <w:r>
              <w:rPr>
                <w:rFonts w:ascii="Arial" w:cs="Arial" w:eastAsia="Arial" w:hAnsi="Arial"/>
                <w:sz w:val="11"/>
                <w:szCs w:val="11"/>
                <w:color w:val="auto"/>
              </w:rPr>
              <w:t>CONSOLIDATED STATEMENT OF COMPREHENSIVE INCOME</w:t>
            </w:r>
          </w:p>
        </w:tc>
        <w:tc>
          <w:tcPr>
            <w:tcW w:w="2880" w:type="dxa"/>
            <w:vAlign w:val="bottom"/>
            <w:tcBorders>
              <w:top w:val="single" w:sz="8" w:color="D9D9D9"/>
            </w:tcBorders>
          </w:tcPr>
          <w:p>
            <w:pPr>
              <w:spacing w:after="0"/>
              <w:rPr>
                <w:sz w:val="15"/>
                <w:szCs w:val="15"/>
                <w:color w:val="auto"/>
              </w:rPr>
            </w:pPr>
          </w:p>
        </w:tc>
        <w:tc>
          <w:tcPr>
            <w:tcW w:w="1320" w:type="dxa"/>
            <w:vAlign w:val="bottom"/>
            <w:tcBorders>
              <w:top w:val="single" w:sz="8" w:color="D9D9D9"/>
            </w:tcBorders>
          </w:tcPr>
          <w:p>
            <w:pPr>
              <w:spacing w:after="0"/>
              <w:rPr>
                <w:sz w:val="15"/>
                <w:szCs w:val="15"/>
                <w:color w:val="auto"/>
              </w:rPr>
            </w:pPr>
          </w:p>
        </w:tc>
        <w:tc>
          <w:tcPr>
            <w:tcW w:w="1800" w:type="dxa"/>
            <w:vAlign w:val="bottom"/>
            <w:tcBorders>
              <w:top w:val="single" w:sz="8" w:color="D9D9D9"/>
            </w:tcBorders>
          </w:tcPr>
          <w:p>
            <w:pPr>
              <w:spacing w:after="0"/>
              <w:rPr>
                <w:sz w:val="15"/>
                <w:szCs w:val="15"/>
                <w:color w:val="auto"/>
              </w:rPr>
            </w:pPr>
          </w:p>
        </w:tc>
        <w:tc>
          <w:tcPr>
            <w:tcW w:w="86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r>
      <w:tr>
        <w:trPr>
          <w:trHeight w:val="126"/>
        </w:trPr>
        <w:tc>
          <w:tcPr>
            <w:tcW w:w="444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Notes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2019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4440" w:type="dxa"/>
            <w:vAlign w:val="bottom"/>
          </w:tcPr>
          <w:p>
            <w:pPr>
              <w:spacing w:after="0"/>
              <w:rPr>
                <w:sz w:val="20"/>
                <w:szCs w:val="20"/>
                <w:color w:val="auto"/>
              </w:rPr>
            </w:pPr>
            <w:r>
              <w:rPr>
                <w:rFonts w:ascii="Arial" w:cs="Arial" w:eastAsia="Arial" w:hAnsi="Arial"/>
                <w:sz w:val="10"/>
                <w:szCs w:val="10"/>
                <w:color w:val="auto"/>
              </w:rPr>
              <w:t>(Loss)/income for the period</w:t>
            </w:r>
          </w:p>
        </w:tc>
        <w:tc>
          <w:tcPr>
            <w:tcW w:w="2880" w:type="dxa"/>
            <w:vAlign w:val="bottom"/>
          </w:tcPr>
          <w:p>
            <w:pPr>
              <w:jc w:val="right"/>
              <w:spacing w:after="0"/>
              <w:rPr>
                <w:sz w:val="20"/>
                <w:szCs w:val="20"/>
                <w:color w:val="auto"/>
              </w:rPr>
            </w:pPr>
            <w:r>
              <w:rPr>
                <w:rFonts w:ascii="Arial" w:cs="Arial" w:eastAsia="Arial" w:hAnsi="Arial"/>
                <w:sz w:val="10"/>
                <w:szCs w:val="10"/>
                <w:color w:val="auto"/>
              </w:rPr>
              <w:t>4</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(21,534)</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16,432</w:t>
            </w:r>
          </w:p>
        </w:tc>
        <w:tc>
          <w:tcPr>
            <w:tcW w:w="860" w:type="dxa"/>
            <w:vAlign w:val="bottom"/>
          </w:tcPr>
          <w:p>
            <w:pPr>
              <w:jc w:val="right"/>
              <w:spacing w:after="0"/>
              <w:rPr>
                <w:sz w:val="20"/>
                <w:szCs w:val="20"/>
                <w:color w:val="auto"/>
              </w:rPr>
            </w:pPr>
            <w:r>
              <w:rPr>
                <w:rFonts w:ascii="Arial" w:cs="Arial" w:eastAsia="Arial" w:hAnsi="Arial"/>
                <w:sz w:val="10"/>
                <w:szCs w:val="10"/>
                <w:color w:val="auto"/>
              </w:rPr>
              <w:t>23,906</w:t>
            </w:r>
          </w:p>
        </w:tc>
      </w:tr>
      <w:tr>
        <w:trPr>
          <w:trHeight w:val="123"/>
        </w:trPr>
        <w:tc>
          <w:tcPr>
            <w:tcW w:w="4440" w:type="dxa"/>
            <w:vAlign w:val="bottom"/>
          </w:tcPr>
          <w:p>
            <w:pPr>
              <w:spacing w:after="0"/>
              <w:rPr>
                <w:sz w:val="20"/>
                <w:szCs w:val="20"/>
                <w:color w:val="auto"/>
              </w:rPr>
            </w:pPr>
            <w:r>
              <w:rPr>
                <w:rFonts w:ascii="Arial" w:cs="Arial" w:eastAsia="Arial" w:hAnsi="Arial"/>
                <w:sz w:val="10"/>
                <w:szCs w:val="10"/>
                <w:color w:val="auto"/>
              </w:rPr>
              <w:t>Other comprehensive income/(loss) net of tax</w:t>
            </w:r>
          </w:p>
        </w:tc>
        <w:tc>
          <w:tcPr>
            <w:tcW w:w="2880" w:type="dxa"/>
            <w:vAlign w:val="bottom"/>
          </w:tcPr>
          <w:p>
            <w:pPr>
              <w:spacing w:after="0"/>
              <w:rPr>
                <w:sz w:val="10"/>
                <w:szCs w:val="10"/>
                <w:color w:val="auto"/>
              </w:rPr>
            </w:pPr>
          </w:p>
        </w:tc>
        <w:tc>
          <w:tcPr>
            <w:tcW w:w="1320" w:type="dxa"/>
            <w:vAlign w:val="bottom"/>
            <w:shd w:val="clear" w:color="auto" w:fill="CDCDCD"/>
          </w:tcPr>
          <w:p>
            <w:pPr>
              <w:spacing w:after="0"/>
              <w:rPr>
                <w:sz w:val="10"/>
                <w:szCs w:val="10"/>
                <w:color w:val="auto"/>
              </w:rPr>
            </w:pPr>
          </w:p>
        </w:tc>
        <w:tc>
          <w:tcPr>
            <w:tcW w:w="18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6"/>
        </w:trPr>
        <w:tc>
          <w:tcPr>
            <w:tcW w:w="4440" w:type="dxa"/>
            <w:vAlign w:val="bottom"/>
          </w:tcPr>
          <w:p>
            <w:pPr>
              <w:ind w:left="140"/>
              <w:spacing w:after="0"/>
              <w:rPr>
                <w:sz w:val="20"/>
                <w:szCs w:val="20"/>
                <w:color w:val="auto"/>
              </w:rPr>
            </w:pPr>
            <w:r>
              <w:rPr>
                <w:rFonts w:ascii="Arial" w:cs="Arial" w:eastAsia="Arial" w:hAnsi="Arial"/>
                <w:sz w:val="10"/>
                <w:szCs w:val="10"/>
                <w:color w:val="auto"/>
              </w:rPr>
              <w:t>Items that may be reclassified to income in later periods:</w:t>
            </w:r>
          </w:p>
        </w:tc>
        <w:tc>
          <w:tcPr>
            <w:tcW w:w="2880" w:type="dxa"/>
            <w:vAlign w:val="bottom"/>
          </w:tcPr>
          <w:p>
            <w:pPr>
              <w:spacing w:after="0"/>
              <w:rPr>
                <w:sz w:val="10"/>
                <w:szCs w:val="10"/>
                <w:color w:val="auto"/>
              </w:rPr>
            </w:pPr>
          </w:p>
        </w:tc>
        <w:tc>
          <w:tcPr>
            <w:tcW w:w="1320" w:type="dxa"/>
            <w:vAlign w:val="bottom"/>
            <w:shd w:val="clear" w:color="auto" w:fill="CDCDCD"/>
          </w:tcPr>
          <w:p>
            <w:pPr>
              <w:spacing w:after="0"/>
              <w:rPr>
                <w:sz w:val="10"/>
                <w:szCs w:val="10"/>
                <w:color w:val="auto"/>
              </w:rPr>
            </w:pPr>
          </w:p>
        </w:tc>
        <w:tc>
          <w:tcPr>
            <w:tcW w:w="18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6"/>
        </w:trPr>
        <w:tc>
          <w:tcPr>
            <w:tcW w:w="4440" w:type="dxa"/>
            <w:vAlign w:val="bottom"/>
          </w:tcPr>
          <w:p>
            <w:pPr>
              <w:ind w:left="300"/>
              <w:spacing w:after="0"/>
              <w:rPr>
                <w:sz w:val="20"/>
                <w:szCs w:val="20"/>
                <w:color w:val="auto"/>
              </w:rPr>
            </w:pPr>
            <w:r>
              <w:rPr>
                <w:rFonts w:ascii="Arial" w:cs="Arial" w:eastAsia="Arial" w:hAnsi="Arial"/>
                <w:sz w:val="10"/>
                <w:szCs w:val="10"/>
                <w:color w:val="auto"/>
              </w:rPr>
              <w:t>Currency translation differences</w:t>
            </w:r>
          </w:p>
        </w:tc>
        <w:tc>
          <w:tcPr>
            <w:tcW w:w="2880" w:type="dxa"/>
            <w:vAlign w:val="bottom"/>
          </w:tcPr>
          <w:p>
            <w:pPr>
              <w:jc w:val="right"/>
              <w:spacing w:after="0"/>
              <w:rPr>
                <w:sz w:val="20"/>
                <w:szCs w:val="20"/>
                <w:color w:val="auto"/>
              </w:rPr>
            </w:pPr>
            <w:r>
              <w:rPr>
                <w:rFonts w:ascii="Arial" w:cs="Arial" w:eastAsia="Arial" w:hAnsi="Arial"/>
                <w:sz w:val="10"/>
                <w:szCs w:val="10"/>
                <w:color w:val="auto"/>
              </w:rPr>
              <w:t>22</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1,179</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344</w:t>
            </w:r>
          </w:p>
        </w:tc>
        <w:tc>
          <w:tcPr>
            <w:tcW w:w="860" w:type="dxa"/>
            <w:vAlign w:val="bottom"/>
          </w:tcPr>
          <w:p>
            <w:pPr>
              <w:jc w:val="right"/>
              <w:spacing w:after="0"/>
              <w:rPr>
                <w:sz w:val="20"/>
                <w:szCs w:val="20"/>
                <w:color w:val="auto"/>
              </w:rPr>
            </w:pPr>
            <w:r>
              <w:rPr>
                <w:rFonts w:ascii="Arial" w:cs="Arial" w:eastAsia="Arial" w:hAnsi="Arial"/>
                <w:sz w:val="10"/>
                <w:szCs w:val="10"/>
                <w:color w:val="auto"/>
              </w:rPr>
              <w:t>(3,171)</w:t>
            </w:r>
          </w:p>
        </w:tc>
      </w:tr>
      <w:tr>
        <w:trPr>
          <w:trHeight w:val="126"/>
        </w:trPr>
        <w:tc>
          <w:tcPr>
            <w:tcW w:w="4440" w:type="dxa"/>
            <w:vAlign w:val="bottom"/>
          </w:tcPr>
          <w:p>
            <w:pPr>
              <w:ind w:left="300"/>
              <w:spacing w:after="0"/>
              <w:rPr>
                <w:sz w:val="20"/>
                <w:szCs w:val="20"/>
                <w:color w:val="auto"/>
              </w:rPr>
            </w:pPr>
            <w:r>
              <w:rPr>
                <w:rFonts w:ascii="Arial" w:cs="Arial" w:eastAsia="Arial" w:hAnsi="Arial"/>
                <w:sz w:val="10"/>
                <w:szCs w:val="10"/>
                <w:color w:val="auto"/>
              </w:rPr>
              <w:t>Debt instruments remeasurements</w:t>
            </w:r>
          </w:p>
        </w:tc>
        <w:tc>
          <w:tcPr>
            <w:tcW w:w="2880" w:type="dxa"/>
            <w:vAlign w:val="bottom"/>
          </w:tcPr>
          <w:p>
            <w:pPr>
              <w:jc w:val="right"/>
              <w:spacing w:after="0"/>
              <w:rPr>
                <w:sz w:val="20"/>
                <w:szCs w:val="20"/>
                <w:color w:val="auto"/>
              </w:rPr>
            </w:pPr>
            <w:r>
              <w:rPr>
                <w:rFonts w:ascii="Arial" w:cs="Arial" w:eastAsia="Arial" w:hAnsi="Arial"/>
                <w:sz w:val="10"/>
                <w:szCs w:val="10"/>
                <w:color w:val="auto"/>
              </w:rPr>
              <w:t>22</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23</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29</w:t>
            </w:r>
          </w:p>
        </w:tc>
        <w:tc>
          <w:tcPr>
            <w:tcW w:w="860" w:type="dxa"/>
            <w:vAlign w:val="bottom"/>
          </w:tcPr>
          <w:p>
            <w:pPr>
              <w:jc w:val="right"/>
              <w:spacing w:after="0"/>
              <w:rPr>
                <w:sz w:val="20"/>
                <w:szCs w:val="20"/>
                <w:color w:val="auto"/>
              </w:rPr>
            </w:pPr>
            <w:r>
              <w:rPr>
                <w:rFonts w:ascii="Arial" w:cs="Arial" w:eastAsia="Arial" w:hAnsi="Arial"/>
                <w:sz w:val="10"/>
                <w:szCs w:val="10"/>
                <w:color w:val="auto"/>
              </w:rPr>
              <w:t>(15)</w:t>
            </w:r>
          </w:p>
        </w:tc>
      </w:tr>
      <w:tr>
        <w:trPr>
          <w:trHeight w:val="126"/>
        </w:trPr>
        <w:tc>
          <w:tcPr>
            <w:tcW w:w="4440" w:type="dxa"/>
            <w:vAlign w:val="bottom"/>
          </w:tcPr>
          <w:p>
            <w:pPr>
              <w:ind w:left="300"/>
              <w:spacing w:after="0"/>
              <w:rPr>
                <w:sz w:val="20"/>
                <w:szCs w:val="20"/>
                <w:color w:val="auto"/>
              </w:rPr>
            </w:pPr>
            <w:r>
              <w:rPr>
                <w:rFonts w:ascii="Arial" w:cs="Arial" w:eastAsia="Arial" w:hAnsi="Arial"/>
                <w:sz w:val="10"/>
                <w:szCs w:val="10"/>
                <w:color w:val="auto"/>
              </w:rPr>
              <w:t>Cash flow hedging (losses)/gains [A]</w:t>
            </w:r>
          </w:p>
        </w:tc>
        <w:tc>
          <w:tcPr>
            <w:tcW w:w="2880" w:type="dxa"/>
            <w:vAlign w:val="bottom"/>
          </w:tcPr>
          <w:p>
            <w:pPr>
              <w:jc w:val="right"/>
              <w:spacing w:after="0"/>
              <w:rPr>
                <w:sz w:val="20"/>
                <w:szCs w:val="20"/>
                <w:color w:val="auto"/>
              </w:rPr>
            </w:pPr>
            <w:r>
              <w:rPr>
                <w:rFonts w:ascii="Arial" w:cs="Arial" w:eastAsia="Arial" w:hAnsi="Arial"/>
                <w:sz w:val="10"/>
                <w:szCs w:val="10"/>
                <w:color w:val="auto"/>
              </w:rPr>
              <w:t>22</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(160)</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(276)</w:t>
            </w:r>
          </w:p>
        </w:tc>
        <w:tc>
          <w:tcPr>
            <w:tcW w:w="860" w:type="dxa"/>
            <w:vAlign w:val="bottom"/>
          </w:tcPr>
          <w:p>
            <w:pPr>
              <w:jc w:val="right"/>
              <w:spacing w:after="0"/>
              <w:rPr>
                <w:sz w:val="20"/>
                <w:szCs w:val="20"/>
                <w:color w:val="auto"/>
              </w:rPr>
            </w:pPr>
            <w:r>
              <w:rPr>
                <w:rFonts w:ascii="Arial" w:cs="Arial" w:eastAsia="Arial" w:hAnsi="Arial"/>
                <w:sz w:val="10"/>
                <w:szCs w:val="10"/>
                <w:color w:val="auto"/>
              </w:rPr>
              <w:t>730</w:t>
            </w:r>
          </w:p>
        </w:tc>
      </w:tr>
      <w:tr>
        <w:trPr>
          <w:trHeight w:val="126"/>
        </w:trPr>
        <w:tc>
          <w:tcPr>
            <w:tcW w:w="4440" w:type="dxa"/>
            <w:vAlign w:val="bottom"/>
          </w:tcPr>
          <w:p>
            <w:pPr>
              <w:ind w:left="300"/>
              <w:spacing w:after="0"/>
              <w:rPr>
                <w:sz w:val="20"/>
                <w:szCs w:val="20"/>
                <w:color w:val="auto"/>
              </w:rPr>
            </w:pPr>
            <w:r>
              <w:rPr>
                <w:rFonts w:ascii="Arial" w:cs="Arial" w:eastAsia="Arial" w:hAnsi="Arial"/>
                <w:sz w:val="10"/>
                <w:szCs w:val="10"/>
                <w:color w:val="auto"/>
              </w:rPr>
              <w:t>Net investment hedging (losses)/gains [A]</w:t>
            </w:r>
          </w:p>
        </w:tc>
        <w:tc>
          <w:tcPr>
            <w:tcW w:w="2880" w:type="dxa"/>
            <w:vAlign w:val="bottom"/>
          </w:tcPr>
          <w:p>
            <w:pPr>
              <w:jc w:val="right"/>
              <w:spacing w:after="0"/>
              <w:rPr>
                <w:sz w:val="20"/>
                <w:szCs w:val="20"/>
                <w:color w:val="auto"/>
              </w:rPr>
            </w:pPr>
            <w:r>
              <w:rPr>
                <w:rFonts w:ascii="Arial" w:cs="Arial" w:eastAsia="Arial" w:hAnsi="Arial"/>
                <w:sz w:val="10"/>
                <w:szCs w:val="10"/>
                <w:color w:val="auto"/>
              </w:rPr>
              <w:t>22</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(423)</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9</w:t>
            </w:r>
          </w:p>
        </w:tc>
        <w:tc>
          <w:tcPr>
            <w:tcW w:w="86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26"/>
        </w:trPr>
        <w:tc>
          <w:tcPr>
            <w:tcW w:w="4440" w:type="dxa"/>
            <w:vAlign w:val="bottom"/>
          </w:tcPr>
          <w:p>
            <w:pPr>
              <w:ind w:left="300"/>
              <w:spacing w:after="0"/>
              <w:rPr>
                <w:sz w:val="20"/>
                <w:szCs w:val="20"/>
                <w:color w:val="auto"/>
              </w:rPr>
            </w:pPr>
            <w:r>
              <w:rPr>
                <w:rFonts w:ascii="Arial" w:cs="Arial" w:eastAsia="Arial" w:hAnsi="Arial"/>
                <w:sz w:val="10"/>
                <w:szCs w:val="10"/>
                <w:color w:val="auto"/>
              </w:rPr>
              <w:t>Deferred cost of hedging</w:t>
            </w:r>
          </w:p>
        </w:tc>
        <w:tc>
          <w:tcPr>
            <w:tcW w:w="2880" w:type="dxa"/>
            <w:vAlign w:val="bottom"/>
          </w:tcPr>
          <w:p>
            <w:pPr>
              <w:jc w:val="right"/>
              <w:spacing w:after="0"/>
              <w:rPr>
                <w:sz w:val="20"/>
                <w:szCs w:val="20"/>
                <w:color w:val="auto"/>
              </w:rPr>
            </w:pPr>
            <w:r>
              <w:rPr>
                <w:rFonts w:ascii="Arial" w:cs="Arial" w:eastAsia="Arial" w:hAnsi="Arial"/>
                <w:sz w:val="10"/>
                <w:szCs w:val="10"/>
                <w:color w:val="auto"/>
              </w:rPr>
              <w:t>22</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100</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66</w:t>
            </w:r>
          </w:p>
        </w:tc>
        <w:tc>
          <w:tcPr>
            <w:tcW w:w="860" w:type="dxa"/>
            <w:vAlign w:val="bottom"/>
          </w:tcPr>
          <w:p>
            <w:pPr>
              <w:jc w:val="right"/>
              <w:spacing w:after="0"/>
              <w:rPr>
                <w:sz w:val="20"/>
                <w:szCs w:val="20"/>
                <w:color w:val="auto"/>
              </w:rPr>
            </w:pPr>
            <w:r>
              <w:rPr>
                <w:rFonts w:ascii="Arial" w:cs="Arial" w:eastAsia="Arial" w:hAnsi="Arial"/>
                <w:sz w:val="10"/>
                <w:szCs w:val="10"/>
                <w:color w:val="auto"/>
              </w:rPr>
              <w:t>(209)</w:t>
            </w:r>
          </w:p>
        </w:tc>
      </w:tr>
      <w:tr>
        <w:trPr>
          <w:trHeight w:val="130"/>
        </w:trPr>
        <w:tc>
          <w:tcPr>
            <w:tcW w:w="4440" w:type="dxa"/>
            <w:vAlign w:val="bottom"/>
            <w:tcBorders>
              <w:bottom w:val="single" w:sz="8" w:color="auto"/>
            </w:tcBorders>
          </w:tcPr>
          <w:p>
            <w:pPr>
              <w:ind w:left="300"/>
              <w:spacing w:after="0"/>
              <w:rPr>
                <w:sz w:val="20"/>
                <w:szCs w:val="20"/>
                <w:color w:val="auto"/>
              </w:rPr>
            </w:pPr>
            <w:r>
              <w:rPr>
                <w:rFonts w:ascii="Arial" w:cs="Arial" w:eastAsia="Arial" w:hAnsi="Arial"/>
                <w:sz w:val="10"/>
                <w:szCs w:val="10"/>
                <w:color w:val="auto"/>
              </w:rPr>
              <w:t>Share of other comprehensive loss of joint ventures and associates</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w:t>
            </w: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(42)</w:t>
            </w:r>
          </w:p>
        </w:tc>
        <w:tc>
          <w:tcPr>
            <w:tcW w:w="18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(76)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r>
      <w:tr>
        <w:trPr>
          <w:trHeight w:val="118"/>
        </w:trPr>
        <w:tc>
          <w:tcPr>
            <w:tcW w:w="444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Total</w:t>
            </w:r>
          </w:p>
        </w:tc>
        <w:tc>
          <w:tcPr>
            <w:tcW w:w="28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677</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96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(2,676)</w:t>
            </w:r>
          </w:p>
        </w:tc>
      </w:tr>
      <w:tr>
        <w:trPr>
          <w:trHeight w:val="112"/>
        </w:trPr>
        <w:tc>
          <w:tcPr>
            <w:tcW w:w="4440" w:type="dxa"/>
            <w:vAlign w:val="bottom"/>
          </w:tcPr>
          <w:p>
            <w:pPr>
              <w:ind w:left="140"/>
              <w:spacing w:after="0" w:line="112" w:lineRule="exact"/>
              <w:rPr>
                <w:sz w:val="20"/>
                <w:szCs w:val="20"/>
                <w:color w:val="auto"/>
              </w:rPr>
            </w:pPr>
            <w:r>
              <w:rPr>
                <w:rFonts w:ascii="Arial" w:cs="Arial" w:eastAsia="Arial" w:hAnsi="Arial"/>
                <w:sz w:val="10"/>
                <w:szCs w:val="10"/>
                <w:color w:val="auto"/>
              </w:rPr>
              <w:t>Items that are not reclassified to income in later periods:</w:t>
            </w:r>
          </w:p>
        </w:tc>
        <w:tc>
          <w:tcPr>
            <w:tcW w:w="2880" w:type="dxa"/>
            <w:vAlign w:val="bottom"/>
          </w:tcPr>
          <w:p>
            <w:pPr>
              <w:spacing w:after="0"/>
              <w:rPr>
                <w:sz w:val="9"/>
                <w:szCs w:val="9"/>
                <w:color w:val="auto"/>
              </w:rPr>
            </w:pPr>
          </w:p>
        </w:tc>
        <w:tc>
          <w:tcPr>
            <w:tcW w:w="1320" w:type="dxa"/>
            <w:vAlign w:val="bottom"/>
            <w:shd w:val="clear" w:color="auto" w:fill="CDCDCD"/>
          </w:tcPr>
          <w:p>
            <w:pPr>
              <w:spacing w:after="0"/>
              <w:rPr>
                <w:sz w:val="9"/>
                <w:szCs w:val="9"/>
                <w:color w:val="auto"/>
              </w:rPr>
            </w:pPr>
          </w:p>
        </w:tc>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23"/>
        </w:trPr>
        <w:tc>
          <w:tcPr>
            <w:tcW w:w="4440" w:type="dxa"/>
            <w:vAlign w:val="bottom"/>
          </w:tcPr>
          <w:p>
            <w:pPr>
              <w:ind w:left="300"/>
              <w:spacing w:after="0"/>
              <w:rPr>
                <w:sz w:val="20"/>
                <w:szCs w:val="20"/>
                <w:color w:val="auto"/>
              </w:rPr>
            </w:pPr>
            <w:r>
              <w:rPr>
                <w:rFonts w:ascii="Arial" w:cs="Arial" w:eastAsia="Arial" w:hAnsi="Arial"/>
                <w:sz w:val="10"/>
                <w:szCs w:val="10"/>
                <w:color w:val="auto"/>
              </w:rPr>
              <w:t>Retirement benefits remeasurements</w:t>
            </w:r>
          </w:p>
        </w:tc>
        <w:tc>
          <w:tcPr>
            <w:tcW w:w="288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(2,702)</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(2,102)</w:t>
            </w:r>
          </w:p>
        </w:tc>
        <w:tc>
          <w:tcPr>
            <w:tcW w:w="860" w:type="dxa"/>
            <w:vAlign w:val="bottom"/>
          </w:tcPr>
          <w:p>
            <w:pPr>
              <w:jc w:val="right"/>
              <w:spacing w:after="0"/>
              <w:rPr>
                <w:sz w:val="20"/>
                <w:szCs w:val="20"/>
                <w:color w:val="auto"/>
              </w:rPr>
            </w:pPr>
            <w:r>
              <w:rPr>
                <w:rFonts w:ascii="Arial" w:cs="Arial" w:eastAsia="Arial" w:hAnsi="Arial"/>
                <w:sz w:val="10"/>
                <w:szCs w:val="10"/>
                <w:color w:val="auto"/>
              </w:rPr>
              <w:t>3,588</w:t>
            </w:r>
          </w:p>
        </w:tc>
      </w:tr>
      <w:tr>
        <w:trPr>
          <w:trHeight w:val="126"/>
        </w:trPr>
        <w:tc>
          <w:tcPr>
            <w:tcW w:w="4440" w:type="dxa"/>
            <w:vAlign w:val="bottom"/>
          </w:tcPr>
          <w:p>
            <w:pPr>
              <w:ind w:left="300"/>
              <w:spacing w:after="0"/>
              <w:rPr>
                <w:sz w:val="20"/>
                <w:szCs w:val="20"/>
                <w:color w:val="auto"/>
              </w:rPr>
            </w:pPr>
            <w:r>
              <w:rPr>
                <w:rFonts w:ascii="Arial" w:cs="Arial" w:eastAsia="Arial" w:hAnsi="Arial"/>
                <w:sz w:val="10"/>
                <w:szCs w:val="10"/>
                <w:color w:val="auto"/>
              </w:rPr>
              <w:t>Equity instruments remeasurements</w:t>
            </w:r>
          </w:p>
        </w:tc>
        <w:tc>
          <w:tcPr>
            <w:tcW w:w="288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64</w:t>
            </w:r>
          </w:p>
        </w:tc>
        <w:tc>
          <w:tcPr>
            <w:tcW w:w="1800" w:type="dxa"/>
            <w:vAlign w:val="bottom"/>
          </w:tcPr>
          <w:p>
            <w:pPr>
              <w:jc w:val="right"/>
              <w:ind w:right="432"/>
              <w:spacing w:after="0"/>
              <w:rPr>
                <w:sz w:val="20"/>
                <w:szCs w:val="20"/>
                <w:color w:val="auto"/>
              </w:rPr>
            </w:pPr>
            <w:r>
              <w:rPr>
                <w:rFonts w:ascii="Arial" w:cs="Arial" w:eastAsia="Arial" w:hAnsi="Arial"/>
                <w:sz w:val="10"/>
                <w:szCs w:val="10"/>
                <w:color w:val="auto"/>
              </w:rPr>
              <w:t>(30)</w:t>
            </w:r>
          </w:p>
        </w:tc>
        <w:tc>
          <w:tcPr>
            <w:tcW w:w="860" w:type="dxa"/>
            <w:vAlign w:val="bottom"/>
          </w:tcPr>
          <w:p>
            <w:pPr>
              <w:jc w:val="right"/>
              <w:spacing w:after="0"/>
              <w:rPr>
                <w:sz w:val="20"/>
                <w:szCs w:val="20"/>
                <w:color w:val="auto"/>
              </w:rPr>
            </w:pPr>
            <w:r>
              <w:rPr>
                <w:rFonts w:ascii="Arial" w:cs="Arial" w:eastAsia="Arial" w:hAnsi="Arial"/>
                <w:sz w:val="10"/>
                <w:szCs w:val="10"/>
                <w:color w:val="auto"/>
              </w:rPr>
              <w:t>(153)</w:t>
            </w:r>
          </w:p>
        </w:tc>
      </w:tr>
      <w:tr>
        <w:trPr>
          <w:trHeight w:val="130"/>
        </w:trPr>
        <w:tc>
          <w:tcPr>
            <w:tcW w:w="4440" w:type="dxa"/>
            <w:vAlign w:val="bottom"/>
            <w:tcBorders>
              <w:bottom w:val="single" w:sz="8" w:color="auto"/>
            </w:tcBorders>
          </w:tcPr>
          <w:p>
            <w:pPr>
              <w:ind w:left="300"/>
              <w:spacing w:after="0"/>
              <w:rPr>
                <w:sz w:val="20"/>
                <w:szCs w:val="20"/>
                <w:color w:val="auto"/>
              </w:rPr>
            </w:pPr>
            <w:r>
              <w:rPr>
                <w:rFonts w:ascii="Arial" w:cs="Arial" w:eastAsia="Arial" w:hAnsi="Arial"/>
                <w:sz w:val="10"/>
                <w:szCs w:val="10"/>
                <w:color w:val="auto"/>
              </w:rPr>
              <w:t>Share of other comprehensive income of joint ventures and associates</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w:t>
            </w: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119</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193</w:t>
            </w:r>
          </w:p>
        </w:tc>
      </w:tr>
      <w:tr>
        <w:trPr>
          <w:trHeight w:val="118"/>
        </w:trPr>
        <w:tc>
          <w:tcPr>
            <w:tcW w:w="444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Total</w:t>
            </w:r>
          </w:p>
        </w:tc>
        <w:tc>
          <w:tcPr>
            <w:tcW w:w="28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(2,519)</w:t>
            </w:r>
          </w:p>
        </w:tc>
        <w:tc>
          <w:tcPr>
            <w:tcW w:w="18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(2,130)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3,628</w:t>
            </w:r>
          </w:p>
        </w:tc>
      </w:tr>
      <w:tr>
        <w:trPr>
          <w:trHeight w:val="114"/>
        </w:trPr>
        <w:tc>
          <w:tcPr>
            <w:tcW w:w="4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comprehensive (loss)/income for the period</w:t>
            </w:r>
          </w:p>
        </w:tc>
        <w:tc>
          <w:tcPr>
            <w:tcW w:w="28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(1,842)</w:t>
            </w:r>
          </w:p>
        </w:tc>
        <w:tc>
          <w:tcPr>
            <w:tcW w:w="18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(2,034)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952</w:t>
            </w:r>
          </w:p>
        </w:tc>
      </w:tr>
      <w:tr>
        <w:trPr>
          <w:trHeight w:val="116"/>
        </w:trPr>
        <w:tc>
          <w:tcPr>
            <w:tcW w:w="4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Comprehensive (loss)/income for the period</w:t>
            </w:r>
          </w:p>
        </w:tc>
        <w:tc>
          <w:tcPr>
            <w:tcW w:w="28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(23,376)</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14,398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24,858</w:t>
            </w:r>
          </w:p>
        </w:tc>
      </w:tr>
      <w:tr>
        <w:trPr>
          <w:trHeight w:val="114"/>
        </w:trPr>
        <w:tc>
          <w:tcPr>
            <w:tcW w:w="4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Comprehensive income attributable to non-controlling interest</w:t>
            </w:r>
          </w:p>
        </w:tc>
        <w:tc>
          <w:tcPr>
            <w:tcW w:w="28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136</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625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383</w:t>
            </w:r>
          </w:p>
        </w:tc>
      </w:tr>
      <w:tr>
        <w:trPr>
          <w:trHeight w:val="116"/>
        </w:trPr>
        <w:tc>
          <w:tcPr>
            <w:tcW w:w="4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Comprehensive (loss)/income attributable to Royal Dutch Shell plc shareholders</w:t>
            </w:r>
          </w:p>
        </w:tc>
        <w:tc>
          <w:tcPr>
            <w:tcW w:w="28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(23,512)</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13,773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24,475</w:t>
            </w:r>
          </w:p>
        </w:tc>
      </w:tr>
      <w:tr>
        <w:trPr>
          <w:trHeight w:val="127"/>
        </w:trPr>
        <w:tc>
          <w:tcPr>
            <w:tcW w:w="7320" w:type="dxa"/>
            <w:vAlign w:val="bottom"/>
            <w:gridSpan w:val="2"/>
          </w:tcPr>
          <w:p>
            <w:pPr>
              <w:spacing w:after="0"/>
              <w:rPr>
                <w:sz w:val="20"/>
                <w:szCs w:val="20"/>
                <w:color w:val="auto"/>
              </w:rPr>
            </w:pPr>
            <w:r>
              <w:rPr>
                <w:rFonts w:ascii="Arial" w:cs="Arial" w:eastAsia="Arial" w:hAnsi="Arial"/>
                <w:sz w:val="7"/>
                <w:szCs w:val="7"/>
                <w:color w:val="auto"/>
                <w:w w:val="95"/>
              </w:rPr>
              <w:t>[A] As from 2020, 'Cash flow hedging (losses)/gains' and 'Net investment hedging (losses)/gains' have been separately disclosed. Prior period comparatives for these items have been revised to conform with current year presentation (see Note 22).</w:t>
            </w:r>
          </w:p>
        </w:tc>
        <w:tc>
          <w:tcPr>
            <w:tcW w:w="13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79"/>
        </w:trPr>
        <w:tc>
          <w:tcPr>
            <w:tcW w:w="4440" w:type="dxa"/>
            <w:vAlign w:val="bottom"/>
          </w:tcPr>
          <w:p>
            <w:pPr>
              <w:ind w:left="40"/>
              <w:spacing w:after="0"/>
              <w:rPr>
                <w:sz w:val="20"/>
                <w:szCs w:val="20"/>
                <w:color w:val="auto"/>
              </w:rPr>
            </w:pPr>
            <w:r>
              <w:rPr>
                <w:rFonts w:ascii="Arial" w:cs="Arial" w:eastAsia="Arial" w:hAnsi="Arial"/>
                <w:sz w:val="7"/>
                <w:szCs w:val="7"/>
                <w:color w:val="auto"/>
              </w:rPr>
              <w:t>FINANCIAL STATEMENTS AND SUPPLEMENTS SHELL FORM 20-F 2020</w:t>
            </w:r>
          </w:p>
        </w:tc>
        <w:tc>
          <w:tcPr>
            <w:tcW w:w="2880" w:type="dxa"/>
            <w:vAlign w:val="bottom"/>
          </w:tcPr>
          <w:p>
            <w:pPr>
              <w:jc w:val="right"/>
              <w:ind w:right="1573"/>
              <w:spacing w:after="0"/>
              <w:rPr>
                <w:sz w:val="20"/>
                <w:szCs w:val="20"/>
                <w:color w:val="auto"/>
              </w:rPr>
            </w:pPr>
            <w:r>
              <w:rPr>
                <w:rFonts w:ascii="Arial" w:cs="Arial" w:eastAsia="Arial" w:hAnsi="Arial"/>
                <w:sz w:val="7"/>
                <w:szCs w:val="7"/>
                <w:color w:val="auto"/>
              </w:rPr>
              <w:t>166</w:t>
            </w:r>
          </w:p>
        </w:tc>
        <w:tc>
          <w:tcPr>
            <w:tcW w:w="1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4"/>
        </w:trPr>
        <w:tc>
          <w:tcPr>
            <w:tcW w:w="44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86"/>
        </w:trPr>
        <w:tc>
          <w:tcPr>
            <w:tcW w:w="4400" w:type="dxa"/>
            <w:vAlign w:val="bottom"/>
            <w:tcBorders>
              <w:top w:val="single" w:sz="8" w:color="D9D9D9"/>
            </w:tcBorders>
          </w:tcPr>
          <w:p>
            <w:pPr>
              <w:spacing w:after="0"/>
              <w:rPr>
                <w:sz w:val="20"/>
                <w:szCs w:val="20"/>
                <w:color w:val="auto"/>
              </w:rPr>
            </w:pPr>
            <w:r>
              <w:rPr>
                <w:rFonts w:ascii="Arial" w:cs="Arial" w:eastAsia="Arial" w:hAnsi="Arial"/>
                <w:sz w:val="12"/>
                <w:szCs w:val="12"/>
                <w:color w:val="auto"/>
              </w:rPr>
              <w:t>CONSOLIDATED BALANCE SHEET</w:t>
            </w:r>
          </w:p>
        </w:tc>
        <w:tc>
          <w:tcPr>
            <w:tcW w:w="4240" w:type="dxa"/>
            <w:vAlign w:val="bottom"/>
            <w:tcBorders>
              <w:top w:val="single" w:sz="8" w:color="D9D9D9"/>
            </w:tcBorders>
          </w:tcPr>
          <w:p>
            <w:pPr>
              <w:spacing w:after="0"/>
              <w:rPr>
                <w:sz w:val="16"/>
                <w:szCs w:val="16"/>
                <w:color w:val="auto"/>
              </w:rPr>
            </w:pPr>
          </w:p>
        </w:tc>
        <w:tc>
          <w:tcPr>
            <w:tcW w:w="1320" w:type="dxa"/>
            <w:vAlign w:val="bottom"/>
            <w:tcBorders>
              <w:top w:val="single" w:sz="8" w:color="D9D9D9"/>
            </w:tcBorders>
          </w:tcPr>
          <w:p>
            <w:pPr>
              <w:spacing w:after="0"/>
              <w:rPr>
                <w:sz w:val="16"/>
                <w:szCs w:val="16"/>
                <w:color w:val="auto"/>
              </w:rPr>
            </w:pPr>
          </w:p>
        </w:tc>
        <w:tc>
          <w:tcPr>
            <w:tcW w:w="132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c>
          <w:tcPr>
            <w:tcW w:w="20" w:type="dxa"/>
            <w:vAlign w:val="bottom"/>
          </w:tcPr>
          <w:p>
            <w:pPr>
              <w:spacing w:after="0"/>
              <w:rPr>
                <w:sz w:val="16"/>
                <w:szCs w:val="16"/>
                <w:color w:val="auto"/>
              </w:rPr>
            </w:pPr>
          </w:p>
        </w:tc>
      </w:tr>
      <w:tr>
        <w:trPr>
          <w:trHeight w:val="125"/>
        </w:trPr>
        <w:tc>
          <w:tcPr>
            <w:tcW w:w="4400" w:type="dxa"/>
            <w:vAlign w:val="bottom"/>
          </w:tcPr>
          <w:p>
            <w:pPr>
              <w:spacing w:after="0"/>
              <w:rPr>
                <w:sz w:val="10"/>
                <w:szCs w:val="10"/>
                <w:color w:val="auto"/>
              </w:rPr>
            </w:pPr>
          </w:p>
        </w:tc>
        <w:tc>
          <w:tcPr>
            <w:tcW w:w="4240" w:type="dxa"/>
            <w:vAlign w:val="bottom"/>
          </w:tcPr>
          <w:p>
            <w:pPr>
              <w:jc w:val="right"/>
              <w:spacing w:after="0"/>
              <w:rPr>
                <w:sz w:val="20"/>
                <w:szCs w:val="20"/>
                <w:color w:val="auto"/>
              </w:rPr>
            </w:pPr>
            <w:r>
              <w:rPr>
                <w:rFonts w:ascii="Arial" w:cs="Arial" w:eastAsia="Arial" w:hAnsi="Arial"/>
                <w:sz w:val="10"/>
                <w:szCs w:val="10"/>
                <w:color w:val="auto"/>
              </w:rPr>
              <w:t>Notes</w:t>
            </w:r>
          </w:p>
        </w:tc>
        <w:tc>
          <w:tcPr>
            <w:tcW w:w="1320" w:type="dxa"/>
            <w:vAlign w:val="bottom"/>
          </w:tcPr>
          <w:p>
            <w:pPr>
              <w:jc w:val="right"/>
              <w:spacing w:after="0"/>
              <w:rPr>
                <w:sz w:val="20"/>
                <w:szCs w:val="20"/>
                <w:color w:val="auto"/>
              </w:rPr>
            </w:pPr>
            <w:r>
              <w:rPr>
                <w:rFonts w:ascii="Arial" w:cs="Arial" w:eastAsia="Arial" w:hAnsi="Arial"/>
                <w:sz w:val="10"/>
                <w:szCs w:val="10"/>
                <w:color w:val="auto"/>
              </w:rPr>
              <w:t>Dec 31, 2020</w:t>
            </w:r>
          </w:p>
        </w:tc>
        <w:tc>
          <w:tcPr>
            <w:tcW w:w="1340" w:type="dxa"/>
            <w:vAlign w:val="bottom"/>
            <w:gridSpan w:val="2"/>
          </w:tcPr>
          <w:p>
            <w:pPr>
              <w:jc w:val="right"/>
              <w:ind w:right="40"/>
              <w:spacing w:after="0"/>
              <w:rPr>
                <w:sz w:val="20"/>
                <w:szCs w:val="20"/>
                <w:color w:val="auto"/>
              </w:rPr>
            </w:pPr>
            <w:r>
              <w:rPr>
                <w:rFonts w:ascii="Arial" w:cs="Arial" w:eastAsia="Arial" w:hAnsi="Arial"/>
                <w:sz w:val="10"/>
                <w:szCs w:val="10"/>
                <w:color w:val="auto"/>
              </w:rPr>
              <w:t>Dec 31, 2019</w:t>
            </w:r>
          </w:p>
        </w:tc>
      </w:tr>
      <w:tr>
        <w:trPr>
          <w:trHeight w:val="114"/>
        </w:trPr>
        <w:tc>
          <w:tcPr>
            <w:tcW w:w="4400" w:type="dxa"/>
            <w:vAlign w:val="bottom"/>
            <w:tcBorders>
              <w:top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Assets</w:t>
            </w:r>
          </w:p>
        </w:tc>
        <w:tc>
          <w:tcPr>
            <w:tcW w:w="424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shd w:val="clear" w:color="auto" w:fill="CDCDCD"/>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23"/>
        </w:trPr>
        <w:tc>
          <w:tcPr>
            <w:tcW w:w="4400" w:type="dxa"/>
            <w:vAlign w:val="bottom"/>
          </w:tcPr>
          <w:p>
            <w:pPr>
              <w:spacing w:after="0"/>
              <w:rPr>
                <w:sz w:val="20"/>
                <w:szCs w:val="20"/>
                <w:color w:val="auto"/>
              </w:rPr>
            </w:pPr>
            <w:r>
              <w:rPr>
                <w:rFonts w:ascii="Arial" w:cs="Arial" w:eastAsia="Arial" w:hAnsi="Arial"/>
                <w:sz w:val="10"/>
                <w:szCs w:val="10"/>
                <w:b w:val="1"/>
                <w:bCs w:val="1"/>
                <w:color w:val="auto"/>
              </w:rPr>
              <w:t>Non-current assets</w:t>
            </w:r>
          </w:p>
        </w:tc>
        <w:tc>
          <w:tcPr>
            <w:tcW w:w="4240" w:type="dxa"/>
            <w:vAlign w:val="bottom"/>
          </w:tcPr>
          <w:p>
            <w:pPr>
              <w:spacing w:after="0"/>
              <w:rPr>
                <w:sz w:val="10"/>
                <w:szCs w:val="10"/>
                <w:color w:val="auto"/>
              </w:rPr>
            </w:pPr>
          </w:p>
        </w:tc>
        <w:tc>
          <w:tcPr>
            <w:tcW w:w="1320" w:type="dxa"/>
            <w:vAlign w:val="bottom"/>
            <w:shd w:val="clear" w:color="auto" w:fill="CDCDCD"/>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Intangible assets</w:t>
            </w:r>
          </w:p>
        </w:tc>
        <w:tc>
          <w:tcPr>
            <w:tcW w:w="4240" w:type="dxa"/>
            <w:vAlign w:val="bottom"/>
          </w:tcPr>
          <w:p>
            <w:pPr>
              <w:jc w:val="right"/>
              <w:spacing w:after="0"/>
              <w:rPr>
                <w:sz w:val="20"/>
                <w:szCs w:val="20"/>
                <w:color w:val="auto"/>
              </w:rPr>
            </w:pPr>
            <w:r>
              <w:rPr>
                <w:rFonts w:ascii="Arial" w:cs="Arial" w:eastAsia="Arial" w:hAnsi="Arial"/>
                <w:sz w:val="10"/>
                <w:szCs w:val="10"/>
                <w:color w:val="auto"/>
              </w:rPr>
              <w:t>7</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22,822</w:t>
            </w:r>
          </w:p>
        </w:tc>
        <w:tc>
          <w:tcPr>
            <w:tcW w:w="1320" w:type="dxa"/>
            <w:vAlign w:val="bottom"/>
          </w:tcPr>
          <w:p>
            <w:pPr>
              <w:jc w:val="right"/>
              <w:spacing w:after="0"/>
              <w:rPr>
                <w:sz w:val="20"/>
                <w:szCs w:val="20"/>
                <w:color w:val="auto"/>
              </w:rPr>
            </w:pPr>
            <w:r>
              <w:rPr>
                <w:rFonts w:ascii="Arial" w:cs="Arial" w:eastAsia="Arial" w:hAnsi="Arial"/>
                <w:sz w:val="10"/>
                <w:szCs w:val="10"/>
                <w:color w:val="auto"/>
              </w:rPr>
              <w:t>23,486</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Property, plant and equipment</w:t>
            </w:r>
          </w:p>
        </w:tc>
        <w:tc>
          <w:tcPr>
            <w:tcW w:w="4240" w:type="dxa"/>
            <w:vAlign w:val="bottom"/>
          </w:tcPr>
          <w:p>
            <w:pPr>
              <w:jc w:val="right"/>
              <w:spacing w:after="0"/>
              <w:rPr>
                <w:sz w:val="20"/>
                <w:szCs w:val="20"/>
                <w:color w:val="auto"/>
              </w:rPr>
            </w:pPr>
            <w:r>
              <w:rPr>
                <w:rFonts w:ascii="Arial" w:cs="Arial" w:eastAsia="Arial" w:hAnsi="Arial"/>
                <w:sz w:val="10"/>
                <w:szCs w:val="10"/>
                <w:color w:val="auto"/>
              </w:rPr>
              <w:t>8</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210,847</w:t>
            </w:r>
          </w:p>
        </w:tc>
        <w:tc>
          <w:tcPr>
            <w:tcW w:w="1320" w:type="dxa"/>
            <w:vAlign w:val="bottom"/>
          </w:tcPr>
          <w:p>
            <w:pPr>
              <w:jc w:val="right"/>
              <w:spacing w:after="0"/>
              <w:rPr>
                <w:sz w:val="20"/>
                <w:szCs w:val="20"/>
                <w:color w:val="auto"/>
              </w:rPr>
            </w:pPr>
            <w:r>
              <w:rPr>
                <w:rFonts w:ascii="Arial" w:cs="Arial" w:eastAsia="Arial" w:hAnsi="Arial"/>
                <w:sz w:val="10"/>
                <w:szCs w:val="10"/>
                <w:color w:val="auto"/>
              </w:rPr>
              <w:t>238,349</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Joint ventures and associates</w:t>
            </w:r>
          </w:p>
        </w:tc>
        <w:tc>
          <w:tcPr>
            <w:tcW w:w="4240" w:type="dxa"/>
            <w:vAlign w:val="bottom"/>
          </w:tcPr>
          <w:p>
            <w:pPr>
              <w:jc w:val="right"/>
              <w:spacing w:after="0"/>
              <w:rPr>
                <w:sz w:val="20"/>
                <w:szCs w:val="20"/>
                <w:color w:val="auto"/>
              </w:rPr>
            </w:pPr>
            <w:r>
              <w:rPr>
                <w:rFonts w:ascii="Arial" w:cs="Arial" w:eastAsia="Arial" w:hAnsi="Arial"/>
                <w:sz w:val="10"/>
                <w:szCs w:val="10"/>
                <w:color w:val="auto"/>
              </w:rPr>
              <w:t>9</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22,451</w:t>
            </w:r>
          </w:p>
        </w:tc>
        <w:tc>
          <w:tcPr>
            <w:tcW w:w="1320" w:type="dxa"/>
            <w:vAlign w:val="bottom"/>
          </w:tcPr>
          <w:p>
            <w:pPr>
              <w:jc w:val="right"/>
              <w:spacing w:after="0"/>
              <w:rPr>
                <w:sz w:val="20"/>
                <w:szCs w:val="20"/>
                <w:color w:val="auto"/>
              </w:rPr>
            </w:pPr>
            <w:r>
              <w:rPr>
                <w:rFonts w:ascii="Arial" w:cs="Arial" w:eastAsia="Arial" w:hAnsi="Arial"/>
                <w:sz w:val="10"/>
                <w:szCs w:val="10"/>
                <w:color w:val="auto"/>
              </w:rPr>
              <w:t>22,808</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Investments in securities</w:t>
            </w:r>
          </w:p>
        </w:tc>
        <w:tc>
          <w:tcPr>
            <w:tcW w:w="4240" w:type="dxa"/>
            <w:vAlign w:val="bottom"/>
          </w:tcPr>
          <w:p>
            <w:pPr>
              <w:jc w:val="right"/>
              <w:spacing w:after="0"/>
              <w:rPr>
                <w:sz w:val="20"/>
                <w:szCs w:val="20"/>
                <w:color w:val="auto"/>
              </w:rPr>
            </w:pPr>
            <w:r>
              <w:rPr>
                <w:rFonts w:ascii="Arial" w:cs="Arial" w:eastAsia="Arial" w:hAnsi="Arial"/>
                <w:sz w:val="10"/>
                <w:szCs w:val="10"/>
                <w:color w:val="auto"/>
              </w:rPr>
              <w:t>10</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3,222</w:t>
            </w:r>
          </w:p>
        </w:tc>
        <w:tc>
          <w:tcPr>
            <w:tcW w:w="1320" w:type="dxa"/>
            <w:vAlign w:val="bottom"/>
          </w:tcPr>
          <w:p>
            <w:pPr>
              <w:jc w:val="right"/>
              <w:spacing w:after="0"/>
              <w:rPr>
                <w:sz w:val="20"/>
                <w:szCs w:val="20"/>
                <w:color w:val="auto"/>
              </w:rPr>
            </w:pPr>
            <w:r>
              <w:rPr>
                <w:rFonts w:ascii="Arial" w:cs="Arial" w:eastAsia="Arial" w:hAnsi="Arial"/>
                <w:sz w:val="10"/>
                <w:szCs w:val="10"/>
                <w:color w:val="auto"/>
              </w:rPr>
              <w:t>2,989</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Deferred tax</w:t>
            </w:r>
          </w:p>
        </w:tc>
        <w:tc>
          <w:tcPr>
            <w:tcW w:w="4240" w:type="dxa"/>
            <w:vAlign w:val="bottom"/>
          </w:tcPr>
          <w:p>
            <w:pPr>
              <w:jc w:val="right"/>
              <w:spacing w:after="0"/>
              <w:rPr>
                <w:sz w:val="20"/>
                <w:szCs w:val="20"/>
                <w:color w:val="auto"/>
              </w:rPr>
            </w:pPr>
            <w:r>
              <w:rPr>
                <w:rFonts w:ascii="Arial" w:cs="Arial" w:eastAsia="Arial" w:hAnsi="Arial"/>
                <w:sz w:val="10"/>
                <w:szCs w:val="10"/>
                <w:color w:val="auto"/>
              </w:rPr>
              <w:t>16</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16,311</w:t>
            </w:r>
          </w:p>
        </w:tc>
        <w:tc>
          <w:tcPr>
            <w:tcW w:w="1320" w:type="dxa"/>
            <w:vAlign w:val="bottom"/>
          </w:tcPr>
          <w:p>
            <w:pPr>
              <w:jc w:val="right"/>
              <w:spacing w:after="0"/>
              <w:rPr>
                <w:sz w:val="20"/>
                <w:szCs w:val="20"/>
                <w:color w:val="auto"/>
              </w:rPr>
            </w:pPr>
            <w:r>
              <w:rPr>
                <w:rFonts w:ascii="Arial" w:cs="Arial" w:eastAsia="Arial" w:hAnsi="Arial"/>
                <w:sz w:val="10"/>
                <w:szCs w:val="10"/>
                <w:color w:val="auto"/>
              </w:rPr>
              <w:t>10,524</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Retirement benefits</w:t>
            </w:r>
          </w:p>
        </w:tc>
        <w:tc>
          <w:tcPr>
            <w:tcW w:w="4240" w:type="dxa"/>
            <w:vAlign w:val="bottom"/>
          </w:tcPr>
          <w:p>
            <w:pPr>
              <w:jc w:val="right"/>
              <w:spacing w:after="0"/>
              <w:rPr>
                <w:sz w:val="20"/>
                <w:szCs w:val="20"/>
                <w:color w:val="auto"/>
              </w:rPr>
            </w:pPr>
            <w:r>
              <w:rPr>
                <w:rFonts w:ascii="Arial" w:cs="Arial" w:eastAsia="Arial" w:hAnsi="Arial"/>
                <w:sz w:val="10"/>
                <w:szCs w:val="10"/>
                <w:color w:val="auto"/>
              </w:rPr>
              <w:t>17</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2,474</w:t>
            </w:r>
          </w:p>
        </w:tc>
        <w:tc>
          <w:tcPr>
            <w:tcW w:w="1320" w:type="dxa"/>
            <w:vAlign w:val="bottom"/>
          </w:tcPr>
          <w:p>
            <w:pPr>
              <w:jc w:val="right"/>
              <w:spacing w:after="0"/>
              <w:rPr>
                <w:sz w:val="20"/>
                <w:szCs w:val="20"/>
                <w:color w:val="auto"/>
              </w:rPr>
            </w:pPr>
            <w:r>
              <w:rPr>
                <w:rFonts w:ascii="Arial" w:cs="Arial" w:eastAsia="Arial" w:hAnsi="Arial"/>
                <w:sz w:val="10"/>
                <w:szCs w:val="10"/>
                <w:color w:val="auto"/>
              </w:rPr>
              <w:t>4,717</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Trade and other receivables</w:t>
            </w:r>
          </w:p>
        </w:tc>
        <w:tc>
          <w:tcPr>
            <w:tcW w:w="4240" w:type="dxa"/>
            <w:vAlign w:val="bottom"/>
          </w:tcPr>
          <w:p>
            <w:pPr>
              <w:jc w:val="right"/>
              <w:spacing w:after="0"/>
              <w:rPr>
                <w:sz w:val="20"/>
                <w:szCs w:val="20"/>
                <w:color w:val="auto"/>
              </w:rPr>
            </w:pPr>
            <w:r>
              <w:rPr>
                <w:rFonts w:ascii="Arial" w:cs="Arial" w:eastAsia="Arial" w:hAnsi="Arial"/>
                <w:sz w:val="10"/>
                <w:szCs w:val="10"/>
                <w:color w:val="auto"/>
              </w:rPr>
              <w:t>11</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7,641</w:t>
            </w:r>
          </w:p>
        </w:tc>
        <w:tc>
          <w:tcPr>
            <w:tcW w:w="1320" w:type="dxa"/>
            <w:vAlign w:val="bottom"/>
          </w:tcPr>
          <w:p>
            <w:pPr>
              <w:jc w:val="right"/>
              <w:spacing w:after="0"/>
              <w:rPr>
                <w:sz w:val="20"/>
                <w:szCs w:val="20"/>
                <w:color w:val="auto"/>
              </w:rPr>
            </w:pPr>
            <w:r>
              <w:rPr>
                <w:rFonts w:ascii="Arial" w:cs="Arial" w:eastAsia="Arial" w:hAnsi="Arial"/>
                <w:sz w:val="10"/>
                <w:szCs w:val="10"/>
                <w:color w:val="auto"/>
              </w:rPr>
              <w:t>8,085</w:t>
            </w:r>
          </w:p>
        </w:tc>
        <w:tc>
          <w:tcPr>
            <w:tcW w:w="20" w:type="dxa"/>
            <w:vAlign w:val="bottom"/>
          </w:tcPr>
          <w:p>
            <w:pPr>
              <w:spacing w:after="0"/>
              <w:rPr>
                <w:sz w:val="10"/>
                <w:szCs w:val="10"/>
                <w:color w:val="auto"/>
              </w:rPr>
            </w:pPr>
          </w:p>
        </w:tc>
      </w:tr>
      <w:tr>
        <w:trPr>
          <w:trHeight w:val="130"/>
        </w:trPr>
        <w:tc>
          <w:tcPr>
            <w:tcW w:w="44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Derivative financial instruments</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w:t>
            </w: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2,805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689</w:t>
            </w:r>
          </w:p>
        </w:tc>
        <w:tc>
          <w:tcPr>
            <w:tcW w:w="20" w:type="dxa"/>
            <w:vAlign w:val="bottom"/>
          </w:tcPr>
          <w:p>
            <w:pPr>
              <w:spacing w:after="0"/>
              <w:rPr>
                <w:sz w:val="11"/>
                <w:szCs w:val="11"/>
                <w:color w:val="auto"/>
              </w:rPr>
            </w:pPr>
          </w:p>
        </w:tc>
      </w:tr>
      <w:tr>
        <w:trPr>
          <w:trHeight w:val="118"/>
        </w:trPr>
        <w:tc>
          <w:tcPr>
            <w:tcW w:w="440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288,573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311,647</w:t>
            </w:r>
          </w:p>
        </w:tc>
        <w:tc>
          <w:tcPr>
            <w:tcW w:w="20" w:type="dxa"/>
            <w:vAlign w:val="bottom"/>
          </w:tcPr>
          <w:p>
            <w:pPr>
              <w:spacing w:after="0"/>
              <w:rPr>
                <w:sz w:val="10"/>
                <w:szCs w:val="10"/>
                <w:color w:val="auto"/>
              </w:rPr>
            </w:pPr>
          </w:p>
        </w:tc>
      </w:tr>
      <w:tr>
        <w:trPr>
          <w:trHeight w:val="114"/>
        </w:trPr>
        <w:tc>
          <w:tcPr>
            <w:tcW w:w="4400" w:type="dxa"/>
            <w:vAlign w:val="bottom"/>
          </w:tcPr>
          <w:p>
            <w:pPr>
              <w:spacing w:after="0" w:line="114" w:lineRule="exact"/>
              <w:rPr>
                <w:sz w:val="20"/>
                <w:szCs w:val="20"/>
                <w:color w:val="auto"/>
              </w:rPr>
            </w:pPr>
            <w:r>
              <w:rPr>
                <w:rFonts w:ascii="Arial" w:cs="Arial" w:eastAsia="Arial" w:hAnsi="Arial"/>
                <w:sz w:val="10"/>
                <w:szCs w:val="10"/>
                <w:b w:val="1"/>
                <w:bCs w:val="1"/>
                <w:color w:val="auto"/>
              </w:rPr>
              <w:t>Current assets</w:t>
            </w:r>
          </w:p>
        </w:tc>
        <w:tc>
          <w:tcPr>
            <w:tcW w:w="4240" w:type="dxa"/>
            <w:vAlign w:val="bottom"/>
          </w:tcPr>
          <w:p>
            <w:pPr>
              <w:spacing w:after="0"/>
              <w:rPr>
                <w:sz w:val="9"/>
                <w:szCs w:val="9"/>
                <w:color w:val="auto"/>
              </w:rPr>
            </w:pPr>
          </w:p>
        </w:tc>
        <w:tc>
          <w:tcPr>
            <w:tcW w:w="1320" w:type="dxa"/>
            <w:vAlign w:val="bottom"/>
            <w:shd w:val="clear" w:color="auto" w:fill="CDCDCD"/>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1"/>
        </w:trPr>
        <w:tc>
          <w:tcPr>
            <w:tcW w:w="4400" w:type="dxa"/>
            <w:vAlign w:val="bottom"/>
          </w:tcPr>
          <w:p>
            <w:pPr>
              <w:spacing w:after="0"/>
              <w:rPr>
                <w:sz w:val="20"/>
                <w:szCs w:val="20"/>
                <w:color w:val="auto"/>
              </w:rPr>
            </w:pPr>
            <w:r>
              <w:rPr>
                <w:rFonts w:ascii="Arial" w:cs="Arial" w:eastAsia="Arial" w:hAnsi="Arial"/>
                <w:sz w:val="10"/>
                <w:szCs w:val="10"/>
                <w:color w:val="auto"/>
              </w:rPr>
              <w:t>Inventories</w:t>
            </w:r>
          </w:p>
        </w:tc>
        <w:tc>
          <w:tcPr>
            <w:tcW w:w="4240" w:type="dxa"/>
            <w:vAlign w:val="bottom"/>
          </w:tcPr>
          <w:p>
            <w:pPr>
              <w:jc w:val="right"/>
              <w:spacing w:after="0"/>
              <w:rPr>
                <w:sz w:val="20"/>
                <w:szCs w:val="20"/>
                <w:color w:val="auto"/>
              </w:rPr>
            </w:pPr>
            <w:r>
              <w:rPr>
                <w:rFonts w:ascii="Arial" w:cs="Arial" w:eastAsia="Arial" w:hAnsi="Arial"/>
                <w:sz w:val="10"/>
                <w:szCs w:val="10"/>
                <w:color w:val="auto"/>
              </w:rPr>
              <w:t>12</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19,457</w:t>
            </w:r>
          </w:p>
        </w:tc>
        <w:tc>
          <w:tcPr>
            <w:tcW w:w="1320" w:type="dxa"/>
            <w:vAlign w:val="bottom"/>
          </w:tcPr>
          <w:p>
            <w:pPr>
              <w:jc w:val="right"/>
              <w:spacing w:after="0"/>
              <w:rPr>
                <w:sz w:val="20"/>
                <w:szCs w:val="20"/>
                <w:color w:val="auto"/>
              </w:rPr>
            </w:pPr>
            <w:r>
              <w:rPr>
                <w:rFonts w:ascii="Arial" w:cs="Arial" w:eastAsia="Arial" w:hAnsi="Arial"/>
                <w:sz w:val="10"/>
                <w:szCs w:val="10"/>
                <w:color w:val="auto"/>
              </w:rPr>
              <w:t>24,071</w:t>
            </w:r>
          </w:p>
        </w:tc>
        <w:tc>
          <w:tcPr>
            <w:tcW w:w="20" w:type="dxa"/>
            <w:vAlign w:val="bottom"/>
          </w:tcPr>
          <w:p>
            <w:pPr>
              <w:spacing w:after="0"/>
              <w:rPr>
                <w:sz w:val="10"/>
                <w:szCs w:val="10"/>
                <w:color w:val="auto"/>
              </w:rPr>
            </w:pPr>
          </w:p>
        </w:tc>
      </w:tr>
      <w:tr>
        <w:trPr>
          <w:trHeight w:val="125"/>
        </w:trPr>
        <w:tc>
          <w:tcPr>
            <w:tcW w:w="4400" w:type="dxa"/>
            <w:vAlign w:val="bottom"/>
          </w:tcPr>
          <w:p>
            <w:pPr>
              <w:spacing w:after="0"/>
              <w:rPr>
                <w:sz w:val="20"/>
                <w:szCs w:val="20"/>
                <w:color w:val="auto"/>
              </w:rPr>
            </w:pPr>
            <w:r>
              <w:rPr>
                <w:rFonts w:ascii="Arial" w:cs="Arial" w:eastAsia="Arial" w:hAnsi="Arial"/>
                <w:sz w:val="10"/>
                <w:szCs w:val="10"/>
                <w:color w:val="auto"/>
              </w:rPr>
              <w:t>Trade and other receivables</w:t>
            </w:r>
          </w:p>
        </w:tc>
        <w:tc>
          <w:tcPr>
            <w:tcW w:w="4240" w:type="dxa"/>
            <w:vAlign w:val="bottom"/>
          </w:tcPr>
          <w:p>
            <w:pPr>
              <w:jc w:val="right"/>
              <w:spacing w:after="0"/>
              <w:rPr>
                <w:sz w:val="20"/>
                <w:szCs w:val="20"/>
                <w:color w:val="auto"/>
              </w:rPr>
            </w:pPr>
            <w:r>
              <w:rPr>
                <w:rFonts w:ascii="Arial" w:cs="Arial" w:eastAsia="Arial" w:hAnsi="Arial"/>
                <w:sz w:val="10"/>
                <w:szCs w:val="10"/>
                <w:color w:val="auto"/>
              </w:rPr>
              <w:t>11</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33,625</w:t>
            </w:r>
          </w:p>
        </w:tc>
        <w:tc>
          <w:tcPr>
            <w:tcW w:w="1320" w:type="dxa"/>
            <w:vAlign w:val="bottom"/>
          </w:tcPr>
          <w:p>
            <w:pPr>
              <w:jc w:val="right"/>
              <w:spacing w:after="0"/>
              <w:rPr>
                <w:sz w:val="20"/>
                <w:szCs w:val="20"/>
                <w:color w:val="auto"/>
              </w:rPr>
            </w:pPr>
            <w:r>
              <w:rPr>
                <w:rFonts w:ascii="Arial" w:cs="Arial" w:eastAsia="Arial" w:hAnsi="Arial"/>
                <w:sz w:val="10"/>
                <w:szCs w:val="10"/>
                <w:color w:val="auto"/>
              </w:rPr>
              <w:t>43,414</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Derivative financial instruments</w:t>
            </w:r>
          </w:p>
        </w:tc>
        <w:tc>
          <w:tcPr>
            <w:tcW w:w="4240" w:type="dxa"/>
            <w:vAlign w:val="bottom"/>
          </w:tcPr>
          <w:p>
            <w:pPr>
              <w:jc w:val="right"/>
              <w:spacing w:after="0"/>
              <w:rPr>
                <w:sz w:val="20"/>
                <w:szCs w:val="20"/>
                <w:color w:val="auto"/>
              </w:rPr>
            </w:pPr>
            <w:r>
              <w:rPr>
                <w:rFonts w:ascii="Arial" w:cs="Arial" w:eastAsia="Arial" w:hAnsi="Arial"/>
                <w:sz w:val="10"/>
                <w:szCs w:val="10"/>
                <w:color w:val="auto"/>
              </w:rPr>
              <w:t>19</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5,783</w:t>
            </w:r>
          </w:p>
        </w:tc>
        <w:tc>
          <w:tcPr>
            <w:tcW w:w="1320" w:type="dxa"/>
            <w:vAlign w:val="bottom"/>
          </w:tcPr>
          <w:p>
            <w:pPr>
              <w:jc w:val="right"/>
              <w:spacing w:after="0"/>
              <w:rPr>
                <w:sz w:val="20"/>
                <w:szCs w:val="20"/>
                <w:color w:val="auto"/>
              </w:rPr>
            </w:pPr>
            <w:r>
              <w:rPr>
                <w:rFonts w:ascii="Arial" w:cs="Arial" w:eastAsia="Arial" w:hAnsi="Arial"/>
                <w:sz w:val="10"/>
                <w:szCs w:val="10"/>
                <w:color w:val="auto"/>
              </w:rPr>
              <w:t>7,149</w:t>
            </w:r>
          </w:p>
        </w:tc>
        <w:tc>
          <w:tcPr>
            <w:tcW w:w="20" w:type="dxa"/>
            <w:vAlign w:val="bottom"/>
          </w:tcPr>
          <w:p>
            <w:pPr>
              <w:spacing w:after="0"/>
              <w:rPr>
                <w:sz w:val="10"/>
                <w:szCs w:val="10"/>
                <w:color w:val="auto"/>
              </w:rPr>
            </w:pPr>
          </w:p>
        </w:tc>
      </w:tr>
      <w:tr>
        <w:trPr>
          <w:trHeight w:val="130"/>
        </w:trPr>
        <w:tc>
          <w:tcPr>
            <w:tcW w:w="44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Cash and cash equivalents</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31,830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18,055</w:t>
            </w:r>
          </w:p>
        </w:tc>
        <w:tc>
          <w:tcPr>
            <w:tcW w:w="20" w:type="dxa"/>
            <w:vAlign w:val="bottom"/>
          </w:tcPr>
          <w:p>
            <w:pPr>
              <w:spacing w:after="0"/>
              <w:rPr>
                <w:sz w:val="11"/>
                <w:szCs w:val="11"/>
                <w:color w:val="auto"/>
              </w:rPr>
            </w:pPr>
          </w:p>
        </w:tc>
      </w:tr>
      <w:tr>
        <w:trPr>
          <w:trHeight w:val="118"/>
        </w:trPr>
        <w:tc>
          <w:tcPr>
            <w:tcW w:w="440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90,695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92,689</w:t>
            </w:r>
          </w:p>
        </w:tc>
        <w:tc>
          <w:tcPr>
            <w:tcW w:w="20" w:type="dxa"/>
            <w:vAlign w:val="bottom"/>
          </w:tcPr>
          <w:p>
            <w:pPr>
              <w:spacing w:after="0"/>
              <w:rPr>
                <w:sz w:val="10"/>
                <w:szCs w:val="10"/>
                <w:color w:val="auto"/>
              </w:rPr>
            </w:pPr>
          </w:p>
        </w:tc>
      </w:tr>
      <w:tr>
        <w:trPr>
          <w:trHeight w:val="115"/>
        </w:trPr>
        <w:tc>
          <w:tcPr>
            <w:tcW w:w="44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Total assets</w:t>
            </w:r>
          </w:p>
        </w:tc>
        <w:tc>
          <w:tcPr>
            <w:tcW w:w="4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379,268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404,336</w:t>
            </w:r>
          </w:p>
        </w:tc>
        <w:tc>
          <w:tcPr>
            <w:tcW w:w="20" w:type="dxa"/>
            <w:vAlign w:val="bottom"/>
          </w:tcPr>
          <w:p>
            <w:pPr>
              <w:spacing w:after="0"/>
              <w:rPr>
                <w:sz w:val="10"/>
                <w:szCs w:val="10"/>
                <w:color w:val="auto"/>
              </w:rPr>
            </w:pPr>
          </w:p>
        </w:tc>
      </w:tr>
      <w:tr>
        <w:trPr>
          <w:trHeight w:val="111"/>
        </w:trPr>
        <w:tc>
          <w:tcPr>
            <w:tcW w:w="4400" w:type="dxa"/>
            <w:vAlign w:val="bottom"/>
          </w:tcPr>
          <w:p>
            <w:pPr>
              <w:spacing w:after="0" w:line="111" w:lineRule="exact"/>
              <w:rPr>
                <w:sz w:val="20"/>
                <w:szCs w:val="20"/>
                <w:color w:val="auto"/>
              </w:rPr>
            </w:pPr>
            <w:r>
              <w:rPr>
                <w:rFonts w:ascii="Arial" w:cs="Arial" w:eastAsia="Arial" w:hAnsi="Arial"/>
                <w:sz w:val="10"/>
                <w:szCs w:val="10"/>
                <w:b w:val="1"/>
                <w:bCs w:val="1"/>
                <w:color w:val="auto"/>
              </w:rPr>
              <w:t>Liabilities</w:t>
            </w:r>
          </w:p>
        </w:tc>
        <w:tc>
          <w:tcPr>
            <w:tcW w:w="4240" w:type="dxa"/>
            <w:vAlign w:val="bottom"/>
          </w:tcPr>
          <w:p>
            <w:pPr>
              <w:spacing w:after="0"/>
              <w:rPr>
                <w:sz w:val="9"/>
                <w:szCs w:val="9"/>
                <w:color w:val="auto"/>
              </w:rPr>
            </w:pPr>
          </w:p>
        </w:tc>
        <w:tc>
          <w:tcPr>
            <w:tcW w:w="1320" w:type="dxa"/>
            <w:vAlign w:val="bottom"/>
            <w:shd w:val="clear" w:color="auto" w:fill="CDCDCD"/>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3"/>
        </w:trPr>
        <w:tc>
          <w:tcPr>
            <w:tcW w:w="4400" w:type="dxa"/>
            <w:vAlign w:val="bottom"/>
          </w:tcPr>
          <w:p>
            <w:pPr>
              <w:spacing w:after="0"/>
              <w:rPr>
                <w:sz w:val="20"/>
                <w:szCs w:val="20"/>
                <w:color w:val="auto"/>
              </w:rPr>
            </w:pPr>
            <w:r>
              <w:rPr>
                <w:rFonts w:ascii="Arial" w:cs="Arial" w:eastAsia="Arial" w:hAnsi="Arial"/>
                <w:sz w:val="10"/>
                <w:szCs w:val="10"/>
                <w:b w:val="1"/>
                <w:bCs w:val="1"/>
                <w:color w:val="auto"/>
              </w:rPr>
              <w:t>Non-current liabilities</w:t>
            </w:r>
          </w:p>
        </w:tc>
        <w:tc>
          <w:tcPr>
            <w:tcW w:w="4240" w:type="dxa"/>
            <w:vAlign w:val="bottom"/>
          </w:tcPr>
          <w:p>
            <w:pPr>
              <w:spacing w:after="0"/>
              <w:rPr>
                <w:sz w:val="10"/>
                <w:szCs w:val="10"/>
                <w:color w:val="auto"/>
              </w:rPr>
            </w:pPr>
          </w:p>
        </w:tc>
        <w:tc>
          <w:tcPr>
            <w:tcW w:w="1320" w:type="dxa"/>
            <w:vAlign w:val="bottom"/>
            <w:shd w:val="clear" w:color="auto" w:fill="CDCDCD"/>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Debt</w:t>
            </w:r>
          </w:p>
        </w:tc>
        <w:tc>
          <w:tcPr>
            <w:tcW w:w="4240" w:type="dxa"/>
            <w:vAlign w:val="bottom"/>
          </w:tcPr>
          <w:p>
            <w:pPr>
              <w:jc w:val="right"/>
              <w:spacing w:after="0"/>
              <w:rPr>
                <w:sz w:val="20"/>
                <w:szCs w:val="20"/>
                <w:color w:val="auto"/>
              </w:rPr>
            </w:pPr>
            <w:r>
              <w:rPr>
                <w:rFonts w:ascii="Arial" w:cs="Arial" w:eastAsia="Arial" w:hAnsi="Arial"/>
                <w:sz w:val="10"/>
                <w:szCs w:val="10"/>
                <w:color w:val="auto"/>
              </w:rPr>
              <w:t>14</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91,115</w:t>
            </w:r>
          </w:p>
        </w:tc>
        <w:tc>
          <w:tcPr>
            <w:tcW w:w="1320" w:type="dxa"/>
            <w:vAlign w:val="bottom"/>
          </w:tcPr>
          <w:p>
            <w:pPr>
              <w:jc w:val="right"/>
              <w:spacing w:after="0"/>
              <w:rPr>
                <w:sz w:val="20"/>
                <w:szCs w:val="20"/>
                <w:color w:val="auto"/>
              </w:rPr>
            </w:pPr>
            <w:r>
              <w:rPr>
                <w:rFonts w:ascii="Arial" w:cs="Arial" w:eastAsia="Arial" w:hAnsi="Arial"/>
                <w:sz w:val="10"/>
                <w:szCs w:val="10"/>
                <w:color w:val="auto"/>
              </w:rPr>
              <w:t>81,360</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Trade and other payables</w:t>
            </w:r>
          </w:p>
        </w:tc>
        <w:tc>
          <w:tcPr>
            <w:tcW w:w="4240" w:type="dxa"/>
            <w:vAlign w:val="bottom"/>
          </w:tcPr>
          <w:p>
            <w:pPr>
              <w:jc w:val="right"/>
              <w:spacing w:after="0"/>
              <w:rPr>
                <w:sz w:val="20"/>
                <w:szCs w:val="20"/>
                <w:color w:val="auto"/>
              </w:rPr>
            </w:pPr>
            <w:r>
              <w:rPr>
                <w:rFonts w:ascii="Arial" w:cs="Arial" w:eastAsia="Arial" w:hAnsi="Arial"/>
                <w:sz w:val="10"/>
                <w:szCs w:val="10"/>
                <w:color w:val="auto"/>
              </w:rPr>
              <w:t>15</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2,304</w:t>
            </w:r>
          </w:p>
        </w:tc>
        <w:tc>
          <w:tcPr>
            <w:tcW w:w="1320" w:type="dxa"/>
            <w:vAlign w:val="bottom"/>
          </w:tcPr>
          <w:p>
            <w:pPr>
              <w:jc w:val="right"/>
              <w:spacing w:after="0"/>
              <w:rPr>
                <w:sz w:val="20"/>
                <w:szCs w:val="20"/>
                <w:color w:val="auto"/>
              </w:rPr>
            </w:pPr>
            <w:r>
              <w:rPr>
                <w:rFonts w:ascii="Arial" w:cs="Arial" w:eastAsia="Arial" w:hAnsi="Arial"/>
                <w:sz w:val="10"/>
                <w:szCs w:val="10"/>
                <w:color w:val="auto"/>
              </w:rPr>
              <w:t>2,342</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Derivative financial instruments</w:t>
            </w:r>
          </w:p>
        </w:tc>
        <w:tc>
          <w:tcPr>
            <w:tcW w:w="4240" w:type="dxa"/>
            <w:vAlign w:val="bottom"/>
          </w:tcPr>
          <w:p>
            <w:pPr>
              <w:jc w:val="right"/>
              <w:spacing w:after="0"/>
              <w:rPr>
                <w:sz w:val="20"/>
                <w:szCs w:val="20"/>
                <w:color w:val="auto"/>
              </w:rPr>
            </w:pPr>
            <w:r>
              <w:rPr>
                <w:rFonts w:ascii="Arial" w:cs="Arial" w:eastAsia="Arial" w:hAnsi="Arial"/>
                <w:sz w:val="10"/>
                <w:szCs w:val="10"/>
                <w:color w:val="auto"/>
              </w:rPr>
              <w:t>19</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420</w:t>
            </w:r>
          </w:p>
        </w:tc>
        <w:tc>
          <w:tcPr>
            <w:tcW w:w="1320" w:type="dxa"/>
            <w:vAlign w:val="bottom"/>
          </w:tcPr>
          <w:p>
            <w:pPr>
              <w:jc w:val="right"/>
              <w:spacing w:after="0"/>
              <w:rPr>
                <w:sz w:val="20"/>
                <w:szCs w:val="20"/>
                <w:color w:val="auto"/>
              </w:rPr>
            </w:pPr>
            <w:r>
              <w:rPr>
                <w:rFonts w:ascii="Arial" w:cs="Arial" w:eastAsia="Arial" w:hAnsi="Arial"/>
                <w:sz w:val="10"/>
                <w:szCs w:val="10"/>
                <w:color w:val="auto"/>
              </w:rPr>
              <w:t>1,209</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Deferred tax</w:t>
            </w:r>
          </w:p>
        </w:tc>
        <w:tc>
          <w:tcPr>
            <w:tcW w:w="4240" w:type="dxa"/>
            <w:vAlign w:val="bottom"/>
          </w:tcPr>
          <w:p>
            <w:pPr>
              <w:jc w:val="right"/>
              <w:spacing w:after="0"/>
              <w:rPr>
                <w:sz w:val="20"/>
                <w:szCs w:val="20"/>
                <w:color w:val="auto"/>
              </w:rPr>
            </w:pPr>
            <w:r>
              <w:rPr>
                <w:rFonts w:ascii="Arial" w:cs="Arial" w:eastAsia="Arial" w:hAnsi="Arial"/>
                <w:sz w:val="10"/>
                <w:szCs w:val="10"/>
                <w:color w:val="auto"/>
              </w:rPr>
              <w:t>16</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10,463</w:t>
            </w:r>
          </w:p>
        </w:tc>
        <w:tc>
          <w:tcPr>
            <w:tcW w:w="1320" w:type="dxa"/>
            <w:vAlign w:val="bottom"/>
          </w:tcPr>
          <w:p>
            <w:pPr>
              <w:jc w:val="right"/>
              <w:spacing w:after="0"/>
              <w:rPr>
                <w:sz w:val="20"/>
                <w:szCs w:val="20"/>
                <w:color w:val="auto"/>
              </w:rPr>
            </w:pPr>
            <w:r>
              <w:rPr>
                <w:rFonts w:ascii="Arial" w:cs="Arial" w:eastAsia="Arial" w:hAnsi="Arial"/>
                <w:sz w:val="10"/>
                <w:szCs w:val="10"/>
                <w:color w:val="auto"/>
              </w:rPr>
              <w:t>14,522</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Retirement benefits</w:t>
            </w:r>
          </w:p>
        </w:tc>
        <w:tc>
          <w:tcPr>
            <w:tcW w:w="4240" w:type="dxa"/>
            <w:vAlign w:val="bottom"/>
          </w:tcPr>
          <w:p>
            <w:pPr>
              <w:jc w:val="right"/>
              <w:spacing w:after="0"/>
              <w:rPr>
                <w:sz w:val="20"/>
                <w:szCs w:val="20"/>
                <w:color w:val="auto"/>
              </w:rPr>
            </w:pPr>
            <w:r>
              <w:rPr>
                <w:rFonts w:ascii="Arial" w:cs="Arial" w:eastAsia="Arial" w:hAnsi="Arial"/>
                <w:sz w:val="10"/>
                <w:szCs w:val="10"/>
                <w:color w:val="auto"/>
              </w:rPr>
              <w:t>17</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15,168</w:t>
            </w:r>
          </w:p>
        </w:tc>
        <w:tc>
          <w:tcPr>
            <w:tcW w:w="1320" w:type="dxa"/>
            <w:vAlign w:val="bottom"/>
          </w:tcPr>
          <w:p>
            <w:pPr>
              <w:jc w:val="right"/>
              <w:spacing w:after="0"/>
              <w:rPr>
                <w:sz w:val="20"/>
                <w:szCs w:val="20"/>
                <w:color w:val="auto"/>
              </w:rPr>
            </w:pPr>
            <w:r>
              <w:rPr>
                <w:rFonts w:ascii="Arial" w:cs="Arial" w:eastAsia="Arial" w:hAnsi="Arial"/>
                <w:sz w:val="10"/>
                <w:szCs w:val="10"/>
                <w:color w:val="auto"/>
              </w:rPr>
              <w:t>13,017</w:t>
            </w:r>
          </w:p>
        </w:tc>
        <w:tc>
          <w:tcPr>
            <w:tcW w:w="20" w:type="dxa"/>
            <w:vAlign w:val="bottom"/>
          </w:tcPr>
          <w:p>
            <w:pPr>
              <w:spacing w:after="0"/>
              <w:rPr>
                <w:sz w:val="10"/>
                <w:szCs w:val="10"/>
                <w:color w:val="auto"/>
              </w:rPr>
            </w:pPr>
          </w:p>
        </w:tc>
      </w:tr>
      <w:tr>
        <w:trPr>
          <w:trHeight w:val="130"/>
        </w:trPr>
        <w:tc>
          <w:tcPr>
            <w:tcW w:w="44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Decommissioning and other provisions</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w:t>
            </w: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27,310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21,799</w:t>
            </w:r>
          </w:p>
        </w:tc>
        <w:tc>
          <w:tcPr>
            <w:tcW w:w="20" w:type="dxa"/>
            <w:vAlign w:val="bottom"/>
          </w:tcPr>
          <w:p>
            <w:pPr>
              <w:spacing w:after="0"/>
              <w:rPr>
                <w:sz w:val="11"/>
                <w:szCs w:val="11"/>
                <w:color w:val="auto"/>
              </w:rPr>
            </w:pPr>
          </w:p>
        </w:tc>
      </w:tr>
      <w:tr>
        <w:trPr>
          <w:trHeight w:val="118"/>
        </w:trPr>
        <w:tc>
          <w:tcPr>
            <w:tcW w:w="440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146,780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134,249</w:t>
            </w:r>
          </w:p>
        </w:tc>
        <w:tc>
          <w:tcPr>
            <w:tcW w:w="20" w:type="dxa"/>
            <w:vAlign w:val="bottom"/>
          </w:tcPr>
          <w:p>
            <w:pPr>
              <w:spacing w:after="0"/>
              <w:rPr>
                <w:sz w:val="10"/>
                <w:szCs w:val="10"/>
                <w:color w:val="auto"/>
              </w:rPr>
            </w:pPr>
          </w:p>
        </w:tc>
      </w:tr>
      <w:tr>
        <w:trPr>
          <w:trHeight w:val="114"/>
        </w:trPr>
        <w:tc>
          <w:tcPr>
            <w:tcW w:w="4400" w:type="dxa"/>
            <w:vAlign w:val="bottom"/>
          </w:tcPr>
          <w:p>
            <w:pPr>
              <w:spacing w:after="0" w:line="114" w:lineRule="exact"/>
              <w:rPr>
                <w:sz w:val="20"/>
                <w:szCs w:val="20"/>
                <w:color w:val="auto"/>
              </w:rPr>
            </w:pPr>
            <w:r>
              <w:rPr>
                <w:rFonts w:ascii="Arial" w:cs="Arial" w:eastAsia="Arial" w:hAnsi="Arial"/>
                <w:sz w:val="10"/>
                <w:szCs w:val="10"/>
                <w:b w:val="1"/>
                <w:bCs w:val="1"/>
                <w:color w:val="auto"/>
              </w:rPr>
              <w:t>Current liabilities</w:t>
            </w:r>
          </w:p>
        </w:tc>
        <w:tc>
          <w:tcPr>
            <w:tcW w:w="4240" w:type="dxa"/>
            <w:vAlign w:val="bottom"/>
          </w:tcPr>
          <w:p>
            <w:pPr>
              <w:spacing w:after="0"/>
              <w:rPr>
                <w:sz w:val="9"/>
                <w:szCs w:val="9"/>
                <w:color w:val="auto"/>
              </w:rPr>
            </w:pPr>
          </w:p>
        </w:tc>
        <w:tc>
          <w:tcPr>
            <w:tcW w:w="1320" w:type="dxa"/>
            <w:vAlign w:val="bottom"/>
            <w:shd w:val="clear" w:color="auto" w:fill="CDCDCD"/>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1"/>
        </w:trPr>
        <w:tc>
          <w:tcPr>
            <w:tcW w:w="4400" w:type="dxa"/>
            <w:vAlign w:val="bottom"/>
          </w:tcPr>
          <w:p>
            <w:pPr>
              <w:spacing w:after="0"/>
              <w:rPr>
                <w:sz w:val="20"/>
                <w:szCs w:val="20"/>
                <w:color w:val="auto"/>
              </w:rPr>
            </w:pPr>
            <w:r>
              <w:rPr>
                <w:rFonts w:ascii="Arial" w:cs="Arial" w:eastAsia="Arial" w:hAnsi="Arial"/>
                <w:sz w:val="10"/>
                <w:szCs w:val="10"/>
                <w:color w:val="auto"/>
              </w:rPr>
              <w:t>Debt</w:t>
            </w:r>
          </w:p>
        </w:tc>
        <w:tc>
          <w:tcPr>
            <w:tcW w:w="4240" w:type="dxa"/>
            <w:vAlign w:val="bottom"/>
          </w:tcPr>
          <w:p>
            <w:pPr>
              <w:jc w:val="right"/>
              <w:spacing w:after="0"/>
              <w:rPr>
                <w:sz w:val="20"/>
                <w:szCs w:val="20"/>
                <w:color w:val="auto"/>
              </w:rPr>
            </w:pPr>
            <w:r>
              <w:rPr>
                <w:rFonts w:ascii="Arial" w:cs="Arial" w:eastAsia="Arial" w:hAnsi="Arial"/>
                <w:sz w:val="10"/>
                <w:szCs w:val="10"/>
                <w:color w:val="auto"/>
              </w:rPr>
              <w:t>14</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16,899</w:t>
            </w:r>
          </w:p>
        </w:tc>
        <w:tc>
          <w:tcPr>
            <w:tcW w:w="1320" w:type="dxa"/>
            <w:vAlign w:val="bottom"/>
          </w:tcPr>
          <w:p>
            <w:pPr>
              <w:jc w:val="right"/>
              <w:spacing w:after="0"/>
              <w:rPr>
                <w:sz w:val="20"/>
                <w:szCs w:val="20"/>
                <w:color w:val="auto"/>
              </w:rPr>
            </w:pPr>
            <w:r>
              <w:rPr>
                <w:rFonts w:ascii="Arial" w:cs="Arial" w:eastAsia="Arial" w:hAnsi="Arial"/>
                <w:sz w:val="10"/>
                <w:szCs w:val="10"/>
                <w:color w:val="auto"/>
              </w:rPr>
              <w:t>15,064</w:t>
            </w:r>
          </w:p>
        </w:tc>
        <w:tc>
          <w:tcPr>
            <w:tcW w:w="20" w:type="dxa"/>
            <w:vAlign w:val="bottom"/>
          </w:tcPr>
          <w:p>
            <w:pPr>
              <w:spacing w:after="0"/>
              <w:rPr>
                <w:sz w:val="10"/>
                <w:szCs w:val="10"/>
                <w:color w:val="auto"/>
              </w:rPr>
            </w:pPr>
          </w:p>
        </w:tc>
      </w:tr>
      <w:tr>
        <w:trPr>
          <w:trHeight w:val="125"/>
        </w:trPr>
        <w:tc>
          <w:tcPr>
            <w:tcW w:w="4400" w:type="dxa"/>
            <w:vAlign w:val="bottom"/>
          </w:tcPr>
          <w:p>
            <w:pPr>
              <w:spacing w:after="0"/>
              <w:rPr>
                <w:sz w:val="20"/>
                <w:szCs w:val="20"/>
                <w:color w:val="auto"/>
              </w:rPr>
            </w:pPr>
            <w:r>
              <w:rPr>
                <w:rFonts w:ascii="Arial" w:cs="Arial" w:eastAsia="Arial" w:hAnsi="Arial"/>
                <w:sz w:val="10"/>
                <w:szCs w:val="10"/>
                <w:color w:val="auto"/>
              </w:rPr>
              <w:t>Trade and other payables</w:t>
            </w:r>
          </w:p>
        </w:tc>
        <w:tc>
          <w:tcPr>
            <w:tcW w:w="4240" w:type="dxa"/>
            <w:vAlign w:val="bottom"/>
          </w:tcPr>
          <w:p>
            <w:pPr>
              <w:jc w:val="right"/>
              <w:spacing w:after="0"/>
              <w:rPr>
                <w:sz w:val="20"/>
                <w:szCs w:val="20"/>
                <w:color w:val="auto"/>
              </w:rPr>
            </w:pPr>
            <w:r>
              <w:rPr>
                <w:rFonts w:ascii="Arial" w:cs="Arial" w:eastAsia="Arial" w:hAnsi="Arial"/>
                <w:sz w:val="10"/>
                <w:szCs w:val="10"/>
                <w:color w:val="auto"/>
              </w:rPr>
              <w:t>15</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41,677</w:t>
            </w:r>
          </w:p>
        </w:tc>
        <w:tc>
          <w:tcPr>
            <w:tcW w:w="1320" w:type="dxa"/>
            <w:vAlign w:val="bottom"/>
          </w:tcPr>
          <w:p>
            <w:pPr>
              <w:jc w:val="right"/>
              <w:spacing w:after="0"/>
              <w:rPr>
                <w:sz w:val="20"/>
                <w:szCs w:val="20"/>
                <w:color w:val="auto"/>
              </w:rPr>
            </w:pPr>
            <w:r>
              <w:rPr>
                <w:rFonts w:ascii="Arial" w:cs="Arial" w:eastAsia="Arial" w:hAnsi="Arial"/>
                <w:sz w:val="10"/>
                <w:szCs w:val="10"/>
                <w:color w:val="auto"/>
              </w:rPr>
              <w:t>49,208</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Derivative financial instruments</w:t>
            </w:r>
          </w:p>
        </w:tc>
        <w:tc>
          <w:tcPr>
            <w:tcW w:w="4240" w:type="dxa"/>
            <w:vAlign w:val="bottom"/>
          </w:tcPr>
          <w:p>
            <w:pPr>
              <w:jc w:val="right"/>
              <w:spacing w:after="0"/>
              <w:rPr>
                <w:sz w:val="20"/>
                <w:szCs w:val="20"/>
                <w:color w:val="auto"/>
              </w:rPr>
            </w:pPr>
            <w:r>
              <w:rPr>
                <w:rFonts w:ascii="Arial" w:cs="Arial" w:eastAsia="Arial" w:hAnsi="Arial"/>
                <w:sz w:val="10"/>
                <w:szCs w:val="10"/>
                <w:color w:val="auto"/>
              </w:rPr>
              <w:t>19</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5,308</w:t>
            </w:r>
          </w:p>
        </w:tc>
        <w:tc>
          <w:tcPr>
            <w:tcW w:w="1320" w:type="dxa"/>
            <w:vAlign w:val="bottom"/>
          </w:tcPr>
          <w:p>
            <w:pPr>
              <w:jc w:val="right"/>
              <w:spacing w:after="0"/>
              <w:rPr>
                <w:sz w:val="20"/>
                <w:szCs w:val="20"/>
                <w:color w:val="auto"/>
              </w:rPr>
            </w:pPr>
            <w:r>
              <w:rPr>
                <w:rFonts w:ascii="Arial" w:cs="Arial" w:eastAsia="Arial" w:hAnsi="Arial"/>
                <w:sz w:val="10"/>
                <w:szCs w:val="10"/>
                <w:color w:val="auto"/>
              </w:rPr>
              <w:t>5,429</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Taxes payable</w:t>
            </w:r>
          </w:p>
        </w:tc>
        <w:tc>
          <w:tcPr>
            <w:tcW w:w="4240" w:type="dxa"/>
            <w:vAlign w:val="bottom"/>
          </w:tcPr>
          <w:p>
            <w:pPr>
              <w:jc w:val="right"/>
              <w:spacing w:after="0"/>
              <w:rPr>
                <w:sz w:val="20"/>
                <w:szCs w:val="20"/>
                <w:color w:val="auto"/>
              </w:rPr>
            </w:pPr>
            <w:r>
              <w:rPr>
                <w:rFonts w:ascii="Arial" w:cs="Arial" w:eastAsia="Arial" w:hAnsi="Arial"/>
                <w:sz w:val="10"/>
                <w:szCs w:val="10"/>
                <w:color w:val="auto"/>
              </w:rPr>
              <w:t>16</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6,006</w:t>
            </w:r>
          </w:p>
        </w:tc>
        <w:tc>
          <w:tcPr>
            <w:tcW w:w="1320" w:type="dxa"/>
            <w:vAlign w:val="bottom"/>
          </w:tcPr>
          <w:p>
            <w:pPr>
              <w:jc w:val="right"/>
              <w:spacing w:after="0"/>
              <w:rPr>
                <w:sz w:val="20"/>
                <w:szCs w:val="20"/>
                <w:color w:val="auto"/>
              </w:rPr>
            </w:pPr>
            <w:r>
              <w:rPr>
                <w:rFonts w:ascii="Arial" w:cs="Arial" w:eastAsia="Arial" w:hAnsi="Arial"/>
                <w:sz w:val="10"/>
                <w:szCs w:val="10"/>
                <w:color w:val="auto"/>
              </w:rPr>
              <w:t>6,693</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Retirement benefits</w:t>
            </w:r>
          </w:p>
        </w:tc>
        <w:tc>
          <w:tcPr>
            <w:tcW w:w="4240" w:type="dxa"/>
            <w:vAlign w:val="bottom"/>
          </w:tcPr>
          <w:p>
            <w:pPr>
              <w:jc w:val="right"/>
              <w:spacing w:after="0"/>
              <w:rPr>
                <w:sz w:val="20"/>
                <w:szCs w:val="20"/>
                <w:color w:val="auto"/>
              </w:rPr>
            </w:pPr>
            <w:r>
              <w:rPr>
                <w:rFonts w:ascii="Arial" w:cs="Arial" w:eastAsia="Arial" w:hAnsi="Arial"/>
                <w:sz w:val="10"/>
                <w:szCs w:val="10"/>
                <w:color w:val="auto"/>
              </w:rPr>
              <w:t>17</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437</w:t>
            </w:r>
          </w:p>
        </w:tc>
        <w:tc>
          <w:tcPr>
            <w:tcW w:w="1320" w:type="dxa"/>
            <w:vAlign w:val="bottom"/>
          </w:tcPr>
          <w:p>
            <w:pPr>
              <w:jc w:val="right"/>
              <w:spacing w:after="0"/>
              <w:rPr>
                <w:sz w:val="20"/>
                <w:szCs w:val="20"/>
                <w:color w:val="auto"/>
              </w:rPr>
            </w:pPr>
            <w:r>
              <w:rPr>
                <w:rFonts w:ascii="Arial" w:cs="Arial" w:eastAsia="Arial" w:hAnsi="Arial"/>
                <w:sz w:val="10"/>
                <w:szCs w:val="10"/>
                <w:color w:val="auto"/>
              </w:rPr>
              <w:t>419</w:t>
            </w:r>
          </w:p>
        </w:tc>
        <w:tc>
          <w:tcPr>
            <w:tcW w:w="20" w:type="dxa"/>
            <w:vAlign w:val="bottom"/>
          </w:tcPr>
          <w:p>
            <w:pPr>
              <w:spacing w:after="0"/>
              <w:rPr>
                <w:sz w:val="10"/>
                <w:szCs w:val="10"/>
                <w:color w:val="auto"/>
              </w:rPr>
            </w:pPr>
          </w:p>
        </w:tc>
      </w:tr>
      <w:tr>
        <w:trPr>
          <w:trHeight w:val="130"/>
        </w:trPr>
        <w:tc>
          <w:tcPr>
            <w:tcW w:w="44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Decommissioning and other provisions</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w:t>
            </w: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3,624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2,811</w:t>
            </w:r>
          </w:p>
        </w:tc>
        <w:tc>
          <w:tcPr>
            <w:tcW w:w="20" w:type="dxa"/>
            <w:vAlign w:val="bottom"/>
          </w:tcPr>
          <w:p>
            <w:pPr>
              <w:spacing w:after="0"/>
              <w:rPr>
                <w:sz w:val="11"/>
                <w:szCs w:val="11"/>
                <w:color w:val="auto"/>
              </w:rPr>
            </w:pPr>
          </w:p>
        </w:tc>
      </w:tr>
      <w:tr>
        <w:trPr>
          <w:trHeight w:val="118"/>
        </w:trPr>
        <w:tc>
          <w:tcPr>
            <w:tcW w:w="440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73,951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79,624</w:t>
            </w:r>
          </w:p>
        </w:tc>
        <w:tc>
          <w:tcPr>
            <w:tcW w:w="20" w:type="dxa"/>
            <w:vAlign w:val="bottom"/>
          </w:tcPr>
          <w:p>
            <w:pPr>
              <w:spacing w:after="0"/>
              <w:rPr>
                <w:sz w:val="10"/>
                <w:szCs w:val="10"/>
                <w:color w:val="auto"/>
              </w:rPr>
            </w:pPr>
          </w:p>
        </w:tc>
      </w:tr>
      <w:tr>
        <w:trPr>
          <w:trHeight w:val="115"/>
        </w:trPr>
        <w:tc>
          <w:tcPr>
            <w:tcW w:w="44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Total liabilities</w:t>
            </w:r>
          </w:p>
        </w:tc>
        <w:tc>
          <w:tcPr>
            <w:tcW w:w="4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220,731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213,873</w:t>
            </w:r>
          </w:p>
        </w:tc>
        <w:tc>
          <w:tcPr>
            <w:tcW w:w="20" w:type="dxa"/>
            <w:vAlign w:val="bottom"/>
          </w:tcPr>
          <w:p>
            <w:pPr>
              <w:spacing w:after="0"/>
              <w:rPr>
                <w:sz w:val="10"/>
                <w:szCs w:val="10"/>
                <w:color w:val="auto"/>
              </w:rPr>
            </w:pPr>
          </w:p>
        </w:tc>
      </w:tr>
      <w:tr>
        <w:trPr>
          <w:trHeight w:val="114"/>
        </w:trPr>
        <w:tc>
          <w:tcPr>
            <w:tcW w:w="4400" w:type="dxa"/>
            <w:vAlign w:val="bottom"/>
          </w:tcPr>
          <w:p>
            <w:pPr>
              <w:spacing w:after="0" w:line="114" w:lineRule="exact"/>
              <w:rPr>
                <w:sz w:val="20"/>
                <w:szCs w:val="20"/>
                <w:color w:val="auto"/>
              </w:rPr>
            </w:pPr>
            <w:r>
              <w:rPr>
                <w:rFonts w:ascii="Arial" w:cs="Arial" w:eastAsia="Arial" w:hAnsi="Arial"/>
                <w:sz w:val="10"/>
                <w:szCs w:val="10"/>
                <w:b w:val="1"/>
                <w:bCs w:val="1"/>
                <w:color w:val="auto"/>
              </w:rPr>
              <w:t>Equity</w:t>
            </w:r>
          </w:p>
        </w:tc>
        <w:tc>
          <w:tcPr>
            <w:tcW w:w="4240" w:type="dxa"/>
            <w:vAlign w:val="bottom"/>
          </w:tcPr>
          <w:p>
            <w:pPr>
              <w:spacing w:after="0"/>
              <w:rPr>
                <w:sz w:val="9"/>
                <w:szCs w:val="9"/>
                <w:color w:val="auto"/>
              </w:rPr>
            </w:pPr>
          </w:p>
        </w:tc>
        <w:tc>
          <w:tcPr>
            <w:tcW w:w="1320" w:type="dxa"/>
            <w:vAlign w:val="bottom"/>
            <w:shd w:val="clear" w:color="auto" w:fill="CDCDCD"/>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1"/>
        </w:trPr>
        <w:tc>
          <w:tcPr>
            <w:tcW w:w="4400" w:type="dxa"/>
            <w:vAlign w:val="bottom"/>
          </w:tcPr>
          <w:p>
            <w:pPr>
              <w:spacing w:after="0"/>
              <w:rPr>
                <w:sz w:val="20"/>
                <w:szCs w:val="20"/>
                <w:color w:val="auto"/>
              </w:rPr>
            </w:pPr>
            <w:r>
              <w:rPr>
                <w:rFonts w:ascii="Arial" w:cs="Arial" w:eastAsia="Arial" w:hAnsi="Arial"/>
                <w:sz w:val="10"/>
                <w:szCs w:val="10"/>
                <w:color w:val="auto"/>
              </w:rPr>
              <w:t>Share capital</w:t>
            </w:r>
          </w:p>
        </w:tc>
        <w:tc>
          <w:tcPr>
            <w:tcW w:w="4240" w:type="dxa"/>
            <w:vAlign w:val="bottom"/>
          </w:tcPr>
          <w:p>
            <w:pPr>
              <w:jc w:val="right"/>
              <w:spacing w:after="0"/>
              <w:rPr>
                <w:sz w:val="20"/>
                <w:szCs w:val="20"/>
                <w:color w:val="auto"/>
              </w:rPr>
            </w:pPr>
            <w:r>
              <w:rPr>
                <w:rFonts w:ascii="Arial" w:cs="Arial" w:eastAsia="Arial" w:hAnsi="Arial"/>
                <w:sz w:val="10"/>
                <w:szCs w:val="10"/>
                <w:color w:val="auto"/>
              </w:rPr>
              <w:t>20</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651</w:t>
            </w:r>
          </w:p>
        </w:tc>
        <w:tc>
          <w:tcPr>
            <w:tcW w:w="1320" w:type="dxa"/>
            <w:vAlign w:val="bottom"/>
          </w:tcPr>
          <w:p>
            <w:pPr>
              <w:jc w:val="right"/>
              <w:spacing w:after="0"/>
              <w:rPr>
                <w:sz w:val="20"/>
                <w:szCs w:val="20"/>
                <w:color w:val="auto"/>
              </w:rPr>
            </w:pPr>
            <w:r>
              <w:rPr>
                <w:rFonts w:ascii="Arial" w:cs="Arial" w:eastAsia="Arial" w:hAnsi="Arial"/>
                <w:sz w:val="10"/>
                <w:szCs w:val="10"/>
                <w:color w:val="auto"/>
              </w:rPr>
              <w:t>657</w:t>
            </w:r>
          </w:p>
        </w:tc>
        <w:tc>
          <w:tcPr>
            <w:tcW w:w="20" w:type="dxa"/>
            <w:vAlign w:val="bottom"/>
          </w:tcPr>
          <w:p>
            <w:pPr>
              <w:spacing w:after="0"/>
              <w:rPr>
                <w:sz w:val="10"/>
                <w:szCs w:val="10"/>
                <w:color w:val="auto"/>
              </w:rPr>
            </w:pPr>
          </w:p>
        </w:tc>
      </w:tr>
      <w:tr>
        <w:trPr>
          <w:trHeight w:val="125"/>
        </w:trPr>
        <w:tc>
          <w:tcPr>
            <w:tcW w:w="4400" w:type="dxa"/>
            <w:vAlign w:val="bottom"/>
          </w:tcPr>
          <w:p>
            <w:pPr>
              <w:spacing w:after="0"/>
              <w:rPr>
                <w:sz w:val="20"/>
                <w:szCs w:val="20"/>
                <w:color w:val="auto"/>
              </w:rPr>
            </w:pPr>
            <w:r>
              <w:rPr>
                <w:rFonts w:ascii="Arial" w:cs="Arial" w:eastAsia="Arial" w:hAnsi="Arial"/>
                <w:sz w:val="10"/>
                <w:szCs w:val="10"/>
                <w:color w:val="auto"/>
              </w:rPr>
              <w:t>Shares held in trust</w:t>
            </w:r>
          </w:p>
        </w:tc>
        <w:tc>
          <w:tcPr>
            <w:tcW w:w="42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(709)</w:t>
            </w:r>
          </w:p>
        </w:tc>
        <w:tc>
          <w:tcPr>
            <w:tcW w:w="1320" w:type="dxa"/>
            <w:vAlign w:val="bottom"/>
          </w:tcPr>
          <w:p>
            <w:pPr>
              <w:jc w:val="right"/>
              <w:spacing w:after="0"/>
              <w:rPr>
                <w:sz w:val="20"/>
                <w:szCs w:val="20"/>
                <w:color w:val="auto"/>
              </w:rPr>
            </w:pPr>
            <w:r>
              <w:rPr>
                <w:rFonts w:ascii="Arial" w:cs="Arial" w:eastAsia="Arial" w:hAnsi="Arial"/>
                <w:sz w:val="10"/>
                <w:szCs w:val="10"/>
                <w:color w:val="auto"/>
              </w:rPr>
              <w:t>(1,063)</w:t>
            </w:r>
          </w:p>
        </w:tc>
        <w:tc>
          <w:tcPr>
            <w:tcW w:w="20" w:type="dxa"/>
            <w:vAlign w:val="bottom"/>
          </w:tcPr>
          <w:p>
            <w:pPr>
              <w:spacing w:after="0"/>
              <w:rPr>
                <w:sz w:val="10"/>
                <w:szCs w:val="10"/>
                <w:color w:val="auto"/>
              </w:rPr>
            </w:pPr>
          </w:p>
        </w:tc>
      </w:tr>
      <w:tr>
        <w:trPr>
          <w:trHeight w:val="126"/>
        </w:trPr>
        <w:tc>
          <w:tcPr>
            <w:tcW w:w="4400" w:type="dxa"/>
            <w:vAlign w:val="bottom"/>
          </w:tcPr>
          <w:p>
            <w:pPr>
              <w:spacing w:after="0"/>
              <w:rPr>
                <w:sz w:val="20"/>
                <w:szCs w:val="20"/>
                <w:color w:val="auto"/>
              </w:rPr>
            </w:pPr>
            <w:r>
              <w:rPr>
                <w:rFonts w:ascii="Arial" w:cs="Arial" w:eastAsia="Arial" w:hAnsi="Arial"/>
                <w:sz w:val="10"/>
                <w:szCs w:val="10"/>
                <w:color w:val="auto"/>
              </w:rPr>
              <w:t>Other reserves</w:t>
            </w:r>
          </w:p>
        </w:tc>
        <w:tc>
          <w:tcPr>
            <w:tcW w:w="4240" w:type="dxa"/>
            <w:vAlign w:val="bottom"/>
          </w:tcPr>
          <w:p>
            <w:pPr>
              <w:jc w:val="right"/>
              <w:spacing w:after="0"/>
              <w:rPr>
                <w:sz w:val="20"/>
                <w:szCs w:val="20"/>
                <w:color w:val="auto"/>
              </w:rPr>
            </w:pPr>
            <w:r>
              <w:rPr>
                <w:rFonts w:ascii="Arial" w:cs="Arial" w:eastAsia="Arial" w:hAnsi="Arial"/>
                <w:sz w:val="10"/>
                <w:szCs w:val="10"/>
                <w:color w:val="auto"/>
              </w:rPr>
              <w:t>22</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12,752</w:t>
            </w:r>
          </w:p>
        </w:tc>
        <w:tc>
          <w:tcPr>
            <w:tcW w:w="1320" w:type="dxa"/>
            <w:vAlign w:val="bottom"/>
          </w:tcPr>
          <w:p>
            <w:pPr>
              <w:jc w:val="right"/>
              <w:spacing w:after="0"/>
              <w:rPr>
                <w:sz w:val="20"/>
                <w:szCs w:val="20"/>
                <w:color w:val="auto"/>
              </w:rPr>
            </w:pPr>
            <w:r>
              <w:rPr>
                <w:rFonts w:ascii="Arial" w:cs="Arial" w:eastAsia="Arial" w:hAnsi="Arial"/>
                <w:sz w:val="10"/>
                <w:szCs w:val="10"/>
                <w:color w:val="auto"/>
              </w:rPr>
              <w:t>14,451</w:t>
            </w:r>
          </w:p>
        </w:tc>
        <w:tc>
          <w:tcPr>
            <w:tcW w:w="20" w:type="dxa"/>
            <w:vAlign w:val="bottom"/>
          </w:tcPr>
          <w:p>
            <w:pPr>
              <w:spacing w:after="0"/>
              <w:rPr>
                <w:sz w:val="10"/>
                <w:szCs w:val="10"/>
                <w:color w:val="auto"/>
              </w:rPr>
            </w:pPr>
          </w:p>
        </w:tc>
      </w:tr>
      <w:tr>
        <w:trPr>
          <w:trHeight w:val="130"/>
        </w:trPr>
        <w:tc>
          <w:tcPr>
            <w:tcW w:w="44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Retained earnings</w:t>
            </w:r>
          </w:p>
        </w:tc>
        <w:tc>
          <w:tcPr>
            <w:tcW w:w="42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142,616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172,431</w:t>
            </w:r>
          </w:p>
        </w:tc>
        <w:tc>
          <w:tcPr>
            <w:tcW w:w="20" w:type="dxa"/>
            <w:vAlign w:val="bottom"/>
          </w:tcPr>
          <w:p>
            <w:pPr>
              <w:spacing w:after="0"/>
              <w:rPr>
                <w:sz w:val="11"/>
                <w:szCs w:val="11"/>
                <w:color w:val="auto"/>
              </w:rPr>
            </w:pPr>
          </w:p>
        </w:tc>
      </w:tr>
      <w:tr>
        <w:trPr>
          <w:trHeight w:val="116"/>
        </w:trPr>
        <w:tc>
          <w:tcPr>
            <w:tcW w:w="4400" w:type="dxa"/>
            <w:vAlign w:val="bottom"/>
          </w:tcPr>
          <w:p>
            <w:pPr>
              <w:spacing w:after="0"/>
              <w:rPr>
                <w:sz w:val="20"/>
                <w:szCs w:val="20"/>
                <w:color w:val="auto"/>
              </w:rPr>
            </w:pPr>
            <w:r>
              <w:rPr>
                <w:rFonts w:ascii="Arial" w:cs="Arial" w:eastAsia="Arial" w:hAnsi="Arial"/>
                <w:sz w:val="10"/>
                <w:szCs w:val="10"/>
                <w:b w:val="1"/>
                <w:bCs w:val="1"/>
                <w:color w:val="auto"/>
              </w:rPr>
              <w:t>Equity attributable to Royal Dutch Shell plc shareholders</w:t>
            </w:r>
          </w:p>
        </w:tc>
        <w:tc>
          <w:tcPr>
            <w:tcW w:w="42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b w:val="1"/>
                <w:bCs w:val="1"/>
                <w:color w:val="auto"/>
              </w:rPr>
              <w:t>155,310</w:t>
            </w:r>
          </w:p>
        </w:tc>
        <w:tc>
          <w:tcPr>
            <w:tcW w:w="1320" w:type="dxa"/>
            <w:vAlign w:val="bottom"/>
          </w:tcPr>
          <w:p>
            <w:pPr>
              <w:jc w:val="right"/>
              <w:spacing w:after="0"/>
              <w:rPr>
                <w:sz w:val="20"/>
                <w:szCs w:val="20"/>
                <w:color w:val="auto"/>
              </w:rPr>
            </w:pPr>
            <w:r>
              <w:rPr>
                <w:rFonts w:ascii="Arial" w:cs="Arial" w:eastAsia="Arial" w:hAnsi="Arial"/>
                <w:sz w:val="10"/>
                <w:szCs w:val="10"/>
                <w:b w:val="1"/>
                <w:bCs w:val="1"/>
                <w:color w:val="auto"/>
              </w:rPr>
              <w:t>186,476</w:t>
            </w:r>
          </w:p>
        </w:tc>
        <w:tc>
          <w:tcPr>
            <w:tcW w:w="20" w:type="dxa"/>
            <w:vAlign w:val="bottom"/>
          </w:tcPr>
          <w:p>
            <w:pPr>
              <w:spacing w:after="0"/>
              <w:rPr>
                <w:sz w:val="10"/>
                <w:szCs w:val="10"/>
                <w:color w:val="auto"/>
              </w:rPr>
            </w:pPr>
          </w:p>
        </w:tc>
      </w:tr>
      <w:tr>
        <w:trPr>
          <w:trHeight w:val="125"/>
        </w:trPr>
        <w:tc>
          <w:tcPr>
            <w:tcW w:w="44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Non-controlling interest</w:t>
            </w:r>
          </w:p>
        </w:tc>
        <w:tc>
          <w:tcPr>
            <w:tcW w:w="4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3,227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3,987</w:t>
            </w:r>
          </w:p>
        </w:tc>
        <w:tc>
          <w:tcPr>
            <w:tcW w:w="20" w:type="dxa"/>
            <w:vAlign w:val="bottom"/>
          </w:tcPr>
          <w:p>
            <w:pPr>
              <w:spacing w:after="0"/>
              <w:rPr>
                <w:sz w:val="10"/>
                <w:szCs w:val="10"/>
                <w:color w:val="auto"/>
              </w:rPr>
            </w:pPr>
          </w:p>
        </w:tc>
      </w:tr>
      <w:tr>
        <w:trPr>
          <w:trHeight w:val="118"/>
        </w:trPr>
        <w:tc>
          <w:tcPr>
            <w:tcW w:w="44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Total equity</w:t>
            </w:r>
          </w:p>
        </w:tc>
        <w:tc>
          <w:tcPr>
            <w:tcW w:w="4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158,537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190,463</w:t>
            </w:r>
          </w:p>
        </w:tc>
        <w:tc>
          <w:tcPr>
            <w:tcW w:w="20" w:type="dxa"/>
            <w:vAlign w:val="bottom"/>
          </w:tcPr>
          <w:p>
            <w:pPr>
              <w:spacing w:after="0"/>
              <w:rPr>
                <w:sz w:val="10"/>
                <w:szCs w:val="10"/>
                <w:color w:val="auto"/>
              </w:rPr>
            </w:pPr>
          </w:p>
        </w:tc>
      </w:tr>
      <w:tr>
        <w:trPr>
          <w:trHeight w:val="115"/>
        </w:trPr>
        <w:tc>
          <w:tcPr>
            <w:tcW w:w="44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Total liabilities and equity</w:t>
            </w:r>
          </w:p>
        </w:tc>
        <w:tc>
          <w:tcPr>
            <w:tcW w:w="4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379,268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404,336</w:t>
            </w:r>
          </w:p>
        </w:tc>
        <w:tc>
          <w:tcPr>
            <w:tcW w:w="20" w:type="dxa"/>
            <w:vAlign w:val="bottom"/>
          </w:tcPr>
          <w:p>
            <w:pPr>
              <w:spacing w:after="0"/>
              <w:rPr>
                <w:sz w:val="10"/>
                <w:szCs w:val="10"/>
                <w:color w:val="auto"/>
              </w:rPr>
            </w:pPr>
          </w:p>
        </w:tc>
      </w:tr>
      <w:tr>
        <w:trPr>
          <w:trHeight w:val="392"/>
        </w:trPr>
        <w:tc>
          <w:tcPr>
            <w:tcW w:w="4400" w:type="dxa"/>
            <w:vAlign w:val="bottom"/>
          </w:tcPr>
          <w:p>
            <w:pPr>
              <w:spacing w:after="0"/>
              <w:rPr>
                <w:sz w:val="20"/>
                <w:szCs w:val="20"/>
                <w:color w:val="auto"/>
              </w:rPr>
            </w:pPr>
            <w:r>
              <w:rPr>
                <w:rFonts w:ascii="Arial" w:cs="Arial" w:eastAsia="Arial" w:hAnsi="Arial"/>
                <w:sz w:val="8"/>
                <w:szCs w:val="8"/>
                <w:color w:val="auto"/>
              </w:rPr>
              <w:t>Signed on behalf of the Board</w:t>
            </w:r>
          </w:p>
        </w:tc>
        <w:tc>
          <w:tcPr>
            <w:tcW w:w="4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440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/s/ Jessica Uhl</w:t>
            </w:r>
          </w:p>
        </w:tc>
        <w:tc>
          <w:tcPr>
            <w:tcW w:w="4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6"/>
        </w:trPr>
        <w:tc>
          <w:tcPr>
            <w:tcW w:w="4400" w:type="dxa"/>
            <w:vAlign w:val="bottom"/>
          </w:tcPr>
          <w:p>
            <w:pPr>
              <w:spacing w:after="0" w:line="76" w:lineRule="exact"/>
              <w:rPr>
                <w:sz w:val="20"/>
                <w:szCs w:val="20"/>
                <w:color w:val="auto"/>
              </w:rPr>
            </w:pPr>
            <w:r>
              <w:rPr>
                <w:rFonts w:ascii="Arial" w:cs="Arial" w:eastAsia="Arial" w:hAnsi="Arial"/>
                <w:sz w:val="8"/>
                <w:szCs w:val="8"/>
                <w:color w:val="auto"/>
              </w:rPr>
              <w:t>Jessica Uhl</w:t>
            </w:r>
          </w:p>
        </w:tc>
        <w:tc>
          <w:tcPr>
            <w:tcW w:w="42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81"/>
        </w:trPr>
        <w:tc>
          <w:tcPr>
            <w:tcW w:w="4400" w:type="dxa"/>
            <w:vAlign w:val="bottom"/>
          </w:tcPr>
          <w:p>
            <w:pPr>
              <w:spacing w:after="0" w:line="81" w:lineRule="exact"/>
              <w:rPr>
                <w:sz w:val="20"/>
                <w:szCs w:val="20"/>
                <w:color w:val="auto"/>
              </w:rPr>
            </w:pPr>
            <w:r>
              <w:rPr>
                <w:rFonts w:ascii="Arial" w:cs="Arial" w:eastAsia="Arial" w:hAnsi="Arial"/>
                <w:sz w:val="8"/>
                <w:szCs w:val="8"/>
                <w:color w:val="auto"/>
              </w:rPr>
              <w:t>Chief Financial Officer</w:t>
            </w:r>
          </w:p>
        </w:tc>
        <w:tc>
          <w:tcPr>
            <w:tcW w:w="4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5"/>
        </w:trPr>
        <w:tc>
          <w:tcPr>
            <w:tcW w:w="4400" w:type="dxa"/>
            <w:vAlign w:val="bottom"/>
          </w:tcPr>
          <w:p>
            <w:pPr>
              <w:spacing w:after="0"/>
              <w:rPr>
                <w:sz w:val="20"/>
                <w:szCs w:val="20"/>
                <w:color w:val="auto"/>
              </w:rPr>
            </w:pPr>
            <w:r>
              <w:rPr>
                <w:rFonts w:ascii="Arial" w:cs="Arial" w:eastAsia="Arial" w:hAnsi="Arial"/>
                <w:sz w:val="8"/>
                <w:szCs w:val="8"/>
                <w:color w:val="auto"/>
              </w:rPr>
              <w:t>March 10, 2021</w:t>
            </w:r>
          </w:p>
        </w:tc>
        <w:tc>
          <w:tcPr>
            <w:tcW w:w="4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47"/>
        </w:trPr>
        <w:tc>
          <w:tcPr>
            <w:tcW w:w="4400" w:type="dxa"/>
            <w:vAlign w:val="bottom"/>
          </w:tcPr>
          <w:p>
            <w:pPr>
              <w:ind w:left="40"/>
              <w:spacing w:after="0"/>
              <w:rPr>
                <w:sz w:val="20"/>
                <w:szCs w:val="20"/>
                <w:color w:val="auto"/>
              </w:rPr>
            </w:pPr>
            <w:r>
              <w:rPr>
                <w:rFonts w:ascii="Arial" w:cs="Arial" w:eastAsia="Arial" w:hAnsi="Arial"/>
                <w:sz w:val="7"/>
                <w:szCs w:val="7"/>
                <w:color w:val="auto"/>
              </w:rPr>
              <w:t>FINANCIAL STATEMENTS AND SUPPLEMENTS SHELL FORM 20-F 2020</w:t>
            </w:r>
          </w:p>
        </w:tc>
        <w:tc>
          <w:tcPr>
            <w:tcW w:w="4240" w:type="dxa"/>
            <w:vAlign w:val="bottom"/>
          </w:tcPr>
          <w:p>
            <w:pPr>
              <w:jc w:val="right"/>
              <w:ind w:right="2892"/>
              <w:spacing w:after="0"/>
              <w:rPr>
                <w:sz w:val="20"/>
                <w:szCs w:val="20"/>
                <w:color w:val="auto"/>
              </w:rPr>
            </w:pPr>
            <w:r>
              <w:rPr>
                <w:rFonts w:ascii="Arial" w:cs="Arial" w:eastAsia="Arial" w:hAnsi="Arial"/>
                <w:sz w:val="7"/>
                <w:szCs w:val="7"/>
                <w:color w:val="auto"/>
              </w:rPr>
              <w:t>167</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3"/>
        </w:trPr>
        <w:tc>
          <w:tcPr>
            <w:tcW w:w="44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170" w:name="page171"/>
    <w:bookmarkEnd w:id="170"/>
    <w:tbl>
      <w:tblPr>
        <w:tblLayout w:type="fixed"/>
        <w:tblInd w:w="8" w:type="dxa"/>
        <w:tblCellMar>
          <w:top w:w="0" w:type="dxa"/>
          <w:left w:w="0" w:type="dxa"/>
          <w:bottom w:w="0" w:type="dxa"/>
          <w:right w:w="0" w:type="dxa"/>
        </w:tblCellMar>
      </w:tblPr>
      <w:tr>
        <w:trPr>
          <w:trHeight w:val="157"/>
        </w:trPr>
        <w:tc>
          <w:tcPr>
            <w:tcW w:w="2620" w:type="dxa"/>
            <w:vAlign w:val="bottom"/>
            <w:tcBorders>
              <w:top w:val="single" w:sz="8" w:color="D9D9D9"/>
            </w:tcBorders>
            <w:gridSpan w:val="2"/>
          </w:tcPr>
          <w:p>
            <w:pPr>
              <w:spacing w:after="0"/>
              <w:rPr>
                <w:sz w:val="20"/>
                <w:szCs w:val="20"/>
                <w:color w:val="auto"/>
              </w:rPr>
            </w:pPr>
            <w:r>
              <w:rPr>
                <w:rFonts w:ascii="Arial" w:cs="Arial" w:eastAsia="Arial" w:hAnsi="Arial"/>
                <w:sz w:val="10"/>
                <w:szCs w:val="10"/>
                <w:color w:val="auto"/>
                <w:w w:val="98"/>
              </w:rPr>
              <w:t>CONSOLIDATED STATEMENT OF CHANGES IN EQUITY</w:t>
            </w:r>
          </w:p>
        </w:tc>
        <w:tc>
          <w:tcPr>
            <w:tcW w:w="1140" w:type="dxa"/>
            <w:vAlign w:val="bottom"/>
            <w:tcBorders>
              <w:top w:val="single" w:sz="8" w:color="D9D9D9"/>
            </w:tcBorders>
          </w:tcPr>
          <w:p>
            <w:pPr>
              <w:spacing w:after="0"/>
              <w:rPr>
                <w:sz w:val="13"/>
                <w:szCs w:val="13"/>
                <w:color w:val="auto"/>
              </w:rPr>
            </w:pPr>
          </w:p>
        </w:tc>
        <w:tc>
          <w:tcPr>
            <w:tcW w:w="1300" w:type="dxa"/>
            <w:vAlign w:val="bottom"/>
            <w:tcBorders>
              <w:top w:val="single" w:sz="8" w:color="D9D9D9"/>
            </w:tcBorders>
          </w:tcPr>
          <w:p>
            <w:pPr>
              <w:spacing w:after="0"/>
              <w:rPr>
                <w:sz w:val="13"/>
                <w:szCs w:val="13"/>
                <w:color w:val="auto"/>
              </w:rPr>
            </w:pPr>
          </w:p>
        </w:tc>
        <w:tc>
          <w:tcPr>
            <w:tcW w:w="1140" w:type="dxa"/>
            <w:vAlign w:val="bottom"/>
            <w:tcBorders>
              <w:top w:val="single" w:sz="8" w:color="D9D9D9"/>
            </w:tcBorders>
          </w:tcPr>
          <w:p>
            <w:pPr>
              <w:spacing w:after="0"/>
              <w:rPr>
                <w:sz w:val="13"/>
                <w:szCs w:val="13"/>
                <w:color w:val="auto"/>
              </w:rPr>
            </w:pPr>
          </w:p>
        </w:tc>
        <w:tc>
          <w:tcPr>
            <w:tcW w:w="1580" w:type="dxa"/>
            <w:vAlign w:val="bottom"/>
            <w:tcBorders>
              <w:top w:val="single" w:sz="8" w:color="D9D9D9"/>
            </w:tcBorders>
          </w:tcPr>
          <w:p>
            <w:pPr>
              <w:spacing w:after="0"/>
              <w:rPr>
                <w:sz w:val="13"/>
                <w:szCs w:val="13"/>
                <w:color w:val="auto"/>
              </w:rPr>
            </w:pPr>
          </w:p>
        </w:tc>
        <w:tc>
          <w:tcPr>
            <w:tcW w:w="860" w:type="dxa"/>
            <w:vAlign w:val="bottom"/>
            <w:tcBorders>
              <w:top w:val="single" w:sz="8" w:color="D9D9D9"/>
            </w:tcBorders>
          </w:tcPr>
          <w:p>
            <w:pPr>
              <w:spacing w:after="0"/>
              <w:rPr>
                <w:sz w:val="13"/>
                <w:szCs w:val="13"/>
                <w:color w:val="auto"/>
              </w:rPr>
            </w:pPr>
          </w:p>
        </w:tc>
        <w:tc>
          <w:tcPr>
            <w:tcW w:w="1800" w:type="dxa"/>
            <w:vAlign w:val="bottom"/>
            <w:tcBorders>
              <w:top w:val="single" w:sz="8" w:color="D9D9D9"/>
            </w:tcBorders>
          </w:tcPr>
          <w:p>
            <w:pPr>
              <w:spacing w:after="0"/>
              <w:rPr>
                <w:sz w:val="13"/>
                <w:szCs w:val="13"/>
                <w:color w:val="auto"/>
              </w:rPr>
            </w:pPr>
          </w:p>
        </w:tc>
        <w:tc>
          <w:tcPr>
            <w:tcW w:w="84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3"/>
        </w:trPr>
        <w:tc>
          <w:tcPr>
            <w:tcW w:w="20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96"/>
              </w:rPr>
              <w:t>Equity attributable to Royal Dutch Shell plc shareholders</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vMerge w:val="restart"/>
          </w:tcPr>
          <w:p>
            <w:pPr>
              <w:jc w:val="right"/>
              <w:ind w:right="392"/>
              <w:spacing w:after="0"/>
              <w:rPr>
                <w:sz w:val="20"/>
                <w:szCs w:val="20"/>
                <w:color w:val="auto"/>
              </w:rPr>
            </w:pPr>
            <w:r>
              <w:rPr>
                <w:rFonts w:ascii="Arial" w:cs="Arial" w:eastAsia="Arial" w:hAnsi="Arial"/>
                <w:sz w:val="10"/>
                <w:szCs w:val="10"/>
                <w:color w:val="auto"/>
              </w:rPr>
              <w:t>Share capital</w:t>
            </w:r>
          </w:p>
        </w:tc>
        <w:tc>
          <w:tcPr>
            <w:tcW w:w="1300" w:type="dxa"/>
            <w:vAlign w:val="bottom"/>
            <w:vMerge w:val="restart"/>
          </w:tcPr>
          <w:p>
            <w:pPr>
              <w:jc w:val="right"/>
              <w:ind w:right="352"/>
              <w:spacing w:after="0"/>
              <w:rPr>
                <w:sz w:val="20"/>
                <w:szCs w:val="20"/>
                <w:color w:val="auto"/>
              </w:rPr>
            </w:pPr>
            <w:r>
              <w:rPr>
                <w:rFonts w:ascii="Arial" w:cs="Arial" w:eastAsia="Arial" w:hAnsi="Arial"/>
                <w:sz w:val="10"/>
                <w:szCs w:val="10"/>
                <w:color w:val="auto"/>
              </w:rPr>
              <w:t>Shares</w:t>
            </w:r>
          </w:p>
        </w:tc>
        <w:tc>
          <w:tcPr>
            <w:tcW w:w="1140" w:type="dxa"/>
            <w:vAlign w:val="bottom"/>
          </w:tcPr>
          <w:p>
            <w:pPr>
              <w:jc w:val="right"/>
              <w:ind w:right="172"/>
              <w:spacing w:after="0" w:line="87" w:lineRule="exact"/>
              <w:rPr>
                <w:sz w:val="20"/>
                <w:szCs w:val="20"/>
                <w:color w:val="auto"/>
              </w:rPr>
            </w:pPr>
            <w:r>
              <w:rPr>
                <w:rFonts w:ascii="Arial" w:cs="Arial" w:eastAsia="Arial" w:hAnsi="Arial"/>
                <w:sz w:val="10"/>
                <w:szCs w:val="10"/>
                <w:color w:val="auto"/>
              </w:rPr>
              <w:t>Other</w:t>
            </w:r>
          </w:p>
        </w:tc>
        <w:tc>
          <w:tcPr>
            <w:tcW w:w="1580" w:type="dxa"/>
            <w:vAlign w:val="bottom"/>
            <w:vMerge w:val="restart"/>
          </w:tcPr>
          <w:p>
            <w:pPr>
              <w:jc w:val="right"/>
              <w:ind w:right="432"/>
              <w:spacing w:after="0"/>
              <w:rPr>
                <w:sz w:val="20"/>
                <w:szCs w:val="20"/>
                <w:color w:val="auto"/>
              </w:rPr>
            </w:pPr>
            <w:r>
              <w:rPr>
                <w:rFonts w:ascii="Arial" w:cs="Arial" w:eastAsia="Arial" w:hAnsi="Arial"/>
                <w:sz w:val="10"/>
                <w:szCs w:val="10"/>
                <w:color w:val="auto"/>
              </w:rPr>
              <w:t>Retained</w:t>
            </w:r>
          </w:p>
        </w:tc>
        <w:tc>
          <w:tcPr>
            <w:tcW w:w="860" w:type="dxa"/>
            <w:vAlign w:val="bottom"/>
          </w:tcPr>
          <w:p>
            <w:pPr>
              <w:spacing w:after="0"/>
              <w:rPr>
                <w:sz w:val="7"/>
                <w:szCs w:val="7"/>
                <w:color w:val="auto"/>
              </w:rPr>
            </w:pPr>
          </w:p>
        </w:tc>
        <w:tc>
          <w:tcPr>
            <w:tcW w:w="1800" w:type="dxa"/>
            <w:vAlign w:val="bottom"/>
          </w:tcPr>
          <w:p>
            <w:pPr>
              <w:jc w:val="right"/>
              <w:ind w:right="452"/>
              <w:spacing w:after="0" w:line="87" w:lineRule="exact"/>
              <w:rPr>
                <w:sz w:val="20"/>
                <w:szCs w:val="20"/>
                <w:color w:val="auto"/>
              </w:rPr>
            </w:pPr>
            <w:r>
              <w:rPr>
                <w:rFonts w:ascii="Arial" w:cs="Arial" w:eastAsia="Arial" w:hAnsi="Arial"/>
                <w:sz w:val="10"/>
                <w:szCs w:val="10"/>
                <w:color w:val="auto"/>
              </w:rPr>
              <w:t>Non-</w:t>
            </w: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90"/>
        </w:trPr>
        <w:tc>
          <w:tcPr>
            <w:tcW w:w="2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140" w:type="dxa"/>
            <w:vAlign w:val="bottom"/>
          </w:tcPr>
          <w:p>
            <w:pPr>
              <w:jc w:val="right"/>
              <w:ind w:right="172"/>
              <w:spacing w:after="0" w:line="90" w:lineRule="exact"/>
              <w:rPr>
                <w:sz w:val="20"/>
                <w:szCs w:val="20"/>
                <w:color w:val="auto"/>
              </w:rPr>
            </w:pPr>
            <w:r>
              <w:rPr>
                <w:rFonts w:ascii="Arial" w:cs="Arial" w:eastAsia="Arial" w:hAnsi="Arial"/>
                <w:sz w:val="10"/>
                <w:szCs w:val="10"/>
                <w:color w:val="auto"/>
              </w:rPr>
              <w:t>reserves</w:t>
            </w:r>
          </w:p>
        </w:tc>
        <w:tc>
          <w:tcPr>
            <w:tcW w:w="1580" w:type="dxa"/>
            <w:vAlign w:val="bottom"/>
            <w:vMerge w:val="continue"/>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1800" w:type="dxa"/>
            <w:vAlign w:val="bottom"/>
          </w:tcPr>
          <w:p>
            <w:pPr>
              <w:jc w:val="right"/>
              <w:ind w:right="452"/>
              <w:spacing w:after="0" w:line="90" w:lineRule="exact"/>
              <w:rPr>
                <w:sz w:val="20"/>
                <w:szCs w:val="20"/>
                <w:color w:val="auto"/>
              </w:rPr>
            </w:pPr>
            <w:r>
              <w:rPr>
                <w:rFonts w:ascii="Arial" w:cs="Arial" w:eastAsia="Arial" w:hAnsi="Arial"/>
                <w:sz w:val="10"/>
                <w:szCs w:val="10"/>
                <w:color w:val="auto"/>
              </w:rPr>
              <w:t>controlling</w:t>
            </w: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(see Note 20)</w:t>
            </w:r>
          </w:p>
        </w:tc>
        <w:tc>
          <w:tcPr>
            <w:tcW w:w="13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held in trust</w:t>
            </w: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(see Note 22)</w:t>
            </w:r>
          </w:p>
        </w:tc>
        <w:tc>
          <w:tcPr>
            <w:tcW w:w="158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earnings</w:t>
            </w:r>
          </w:p>
        </w:tc>
        <w:tc>
          <w:tcPr>
            <w:tcW w:w="860" w:type="dxa"/>
            <w:vAlign w:val="bottom"/>
            <w:tcBorders>
              <w:bottom w:val="single" w:sz="8" w:color="auto"/>
            </w:tcBorders>
            <w:vMerge w:val="continue"/>
          </w:tcPr>
          <w:p>
            <w:pPr>
              <w:spacing w:after="0"/>
              <w:rPr>
                <w:sz w:val="10"/>
                <w:szCs w:val="10"/>
                <w:color w:val="auto"/>
              </w:rPr>
            </w:pP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interest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equity</w:t>
            </w:r>
          </w:p>
        </w:tc>
        <w:tc>
          <w:tcPr>
            <w:tcW w:w="0" w:type="dxa"/>
            <w:vAlign w:val="bottom"/>
          </w:tcPr>
          <w:p>
            <w:pPr>
              <w:spacing w:after="0"/>
              <w:rPr>
                <w:sz w:val="1"/>
                <w:szCs w:val="1"/>
                <w:color w:val="auto"/>
              </w:rPr>
            </w:pPr>
          </w:p>
        </w:tc>
      </w:tr>
      <w:tr>
        <w:trPr>
          <w:trHeight w:val="114"/>
        </w:trPr>
        <w:tc>
          <w:tcPr>
            <w:tcW w:w="26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At January 1, 2020</w:t>
            </w:r>
          </w:p>
        </w:tc>
        <w:tc>
          <w:tcPr>
            <w:tcW w:w="1140" w:type="dxa"/>
            <w:vAlign w:val="bottom"/>
          </w:tcPr>
          <w:p>
            <w:pPr>
              <w:jc w:val="right"/>
              <w:ind w:right="412"/>
              <w:spacing w:after="0" w:line="114" w:lineRule="exact"/>
              <w:rPr>
                <w:sz w:val="20"/>
                <w:szCs w:val="20"/>
                <w:color w:val="auto"/>
              </w:rPr>
            </w:pPr>
            <w:r>
              <w:rPr>
                <w:rFonts w:ascii="Arial" w:cs="Arial" w:eastAsia="Arial" w:hAnsi="Arial"/>
                <w:sz w:val="10"/>
                <w:szCs w:val="10"/>
                <w:b w:val="1"/>
                <w:bCs w:val="1"/>
                <w:color w:val="auto"/>
              </w:rPr>
              <w:t>657</w:t>
            </w:r>
          </w:p>
        </w:tc>
        <w:tc>
          <w:tcPr>
            <w:tcW w:w="1300" w:type="dxa"/>
            <w:vAlign w:val="bottom"/>
          </w:tcPr>
          <w:p>
            <w:pPr>
              <w:jc w:val="right"/>
              <w:ind w:right="372"/>
              <w:spacing w:after="0" w:line="114" w:lineRule="exact"/>
              <w:rPr>
                <w:sz w:val="20"/>
                <w:szCs w:val="20"/>
                <w:color w:val="auto"/>
              </w:rPr>
            </w:pPr>
            <w:r>
              <w:rPr>
                <w:rFonts w:ascii="Arial" w:cs="Arial" w:eastAsia="Arial" w:hAnsi="Arial"/>
                <w:sz w:val="10"/>
                <w:szCs w:val="10"/>
                <w:b w:val="1"/>
                <w:bCs w:val="1"/>
                <w:color w:val="auto"/>
              </w:rPr>
              <w:t>(1,063)</w:t>
            </w:r>
          </w:p>
        </w:tc>
        <w:tc>
          <w:tcPr>
            <w:tcW w:w="1140" w:type="dxa"/>
            <w:vAlign w:val="bottom"/>
          </w:tcPr>
          <w:p>
            <w:pPr>
              <w:jc w:val="right"/>
              <w:ind w:right="212"/>
              <w:spacing w:after="0" w:line="114" w:lineRule="exact"/>
              <w:rPr>
                <w:sz w:val="20"/>
                <w:szCs w:val="20"/>
                <w:color w:val="auto"/>
              </w:rPr>
            </w:pPr>
            <w:r>
              <w:rPr>
                <w:rFonts w:ascii="Arial" w:cs="Arial" w:eastAsia="Arial" w:hAnsi="Arial"/>
                <w:sz w:val="10"/>
                <w:szCs w:val="10"/>
                <w:b w:val="1"/>
                <w:bCs w:val="1"/>
                <w:color w:val="auto"/>
              </w:rPr>
              <w:t>14,451</w:t>
            </w:r>
          </w:p>
        </w:tc>
        <w:tc>
          <w:tcPr>
            <w:tcW w:w="1580" w:type="dxa"/>
            <w:vAlign w:val="bottom"/>
          </w:tcPr>
          <w:p>
            <w:pPr>
              <w:jc w:val="right"/>
              <w:ind w:right="472"/>
              <w:spacing w:after="0" w:line="114" w:lineRule="exact"/>
              <w:rPr>
                <w:sz w:val="20"/>
                <w:szCs w:val="20"/>
                <w:color w:val="auto"/>
              </w:rPr>
            </w:pPr>
            <w:r>
              <w:rPr>
                <w:rFonts w:ascii="Arial" w:cs="Arial" w:eastAsia="Arial" w:hAnsi="Arial"/>
                <w:sz w:val="10"/>
                <w:szCs w:val="10"/>
                <w:b w:val="1"/>
                <w:bCs w:val="1"/>
                <w:color w:val="auto"/>
              </w:rPr>
              <w:t>172,431</w:t>
            </w:r>
          </w:p>
        </w:tc>
        <w:tc>
          <w:tcPr>
            <w:tcW w:w="86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186,476</w:t>
            </w:r>
          </w:p>
        </w:tc>
        <w:tc>
          <w:tcPr>
            <w:tcW w:w="1800" w:type="dxa"/>
            <w:vAlign w:val="bottom"/>
          </w:tcPr>
          <w:p>
            <w:pPr>
              <w:jc w:val="right"/>
              <w:ind w:right="472"/>
              <w:spacing w:after="0" w:line="114" w:lineRule="exact"/>
              <w:rPr>
                <w:sz w:val="20"/>
                <w:szCs w:val="20"/>
                <w:color w:val="auto"/>
              </w:rPr>
            </w:pPr>
            <w:r>
              <w:rPr>
                <w:rFonts w:ascii="Arial" w:cs="Arial" w:eastAsia="Arial" w:hAnsi="Arial"/>
                <w:sz w:val="10"/>
                <w:szCs w:val="10"/>
                <w:b w:val="1"/>
                <w:bCs w:val="1"/>
                <w:color w:val="auto"/>
              </w:rPr>
              <w:t>3,987</w:t>
            </w:r>
          </w:p>
        </w:tc>
        <w:tc>
          <w:tcPr>
            <w:tcW w:w="84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190,463</w:t>
            </w:r>
          </w:p>
        </w:tc>
        <w:tc>
          <w:tcPr>
            <w:tcW w:w="0" w:type="dxa"/>
            <w:vAlign w:val="bottom"/>
          </w:tcPr>
          <w:p>
            <w:pPr>
              <w:spacing w:after="0"/>
              <w:rPr>
                <w:sz w:val="1"/>
                <w:szCs w:val="1"/>
                <w:color w:val="auto"/>
              </w:rPr>
            </w:pPr>
          </w:p>
        </w:tc>
      </w:tr>
      <w:tr>
        <w:trPr>
          <w:trHeight w:val="121"/>
        </w:trPr>
        <w:tc>
          <w:tcPr>
            <w:tcW w:w="2620" w:type="dxa"/>
            <w:vAlign w:val="bottom"/>
            <w:gridSpan w:val="2"/>
          </w:tcPr>
          <w:p>
            <w:pPr>
              <w:spacing w:after="0"/>
              <w:rPr>
                <w:sz w:val="20"/>
                <w:szCs w:val="20"/>
                <w:color w:val="auto"/>
              </w:rPr>
            </w:pPr>
            <w:r>
              <w:rPr>
                <w:rFonts w:ascii="Arial" w:cs="Arial" w:eastAsia="Arial" w:hAnsi="Arial"/>
                <w:sz w:val="10"/>
                <w:szCs w:val="10"/>
                <w:color w:val="auto"/>
              </w:rPr>
              <w:t>Comprehensive (loss)/income for the period</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192"/>
              <w:spacing w:after="0"/>
              <w:rPr>
                <w:sz w:val="20"/>
                <w:szCs w:val="20"/>
                <w:color w:val="auto"/>
              </w:rPr>
            </w:pPr>
            <w:r>
              <w:rPr>
                <w:rFonts w:ascii="Arial" w:cs="Arial" w:eastAsia="Arial" w:hAnsi="Arial"/>
                <w:sz w:val="10"/>
                <w:szCs w:val="10"/>
                <w:color w:val="auto"/>
              </w:rPr>
              <w:t>(1,832)</w:t>
            </w:r>
          </w:p>
        </w:tc>
        <w:tc>
          <w:tcPr>
            <w:tcW w:w="1580" w:type="dxa"/>
            <w:vAlign w:val="bottom"/>
          </w:tcPr>
          <w:p>
            <w:pPr>
              <w:jc w:val="right"/>
              <w:ind w:right="432"/>
              <w:spacing w:after="0"/>
              <w:rPr>
                <w:sz w:val="20"/>
                <w:szCs w:val="20"/>
                <w:color w:val="auto"/>
              </w:rPr>
            </w:pPr>
            <w:r>
              <w:rPr>
                <w:rFonts w:ascii="Arial" w:cs="Arial" w:eastAsia="Arial" w:hAnsi="Arial"/>
                <w:sz w:val="10"/>
                <w:szCs w:val="10"/>
                <w:color w:val="auto"/>
              </w:rPr>
              <w:t>(21,397) [A]</w:t>
            </w:r>
          </w:p>
        </w:tc>
        <w:tc>
          <w:tcPr>
            <w:tcW w:w="860" w:type="dxa"/>
            <w:vAlign w:val="bottom"/>
          </w:tcPr>
          <w:p>
            <w:pPr>
              <w:jc w:val="right"/>
              <w:spacing w:after="0"/>
              <w:rPr>
                <w:sz w:val="20"/>
                <w:szCs w:val="20"/>
                <w:color w:val="auto"/>
              </w:rPr>
            </w:pPr>
            <w:r>
              <w:rPr>
                <w:rFonts w:ascii="Arial" w:cs="Arial" w:eastAsia="Arial" w:hAnsi="Arial"/>
                <w:sz w:val="10"/>
                <w:szCs w:val="10"/>
                <w:color w:val="auto"/>
              </w:rPr>
              <w:t>(23,229)</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136</w:t>
            </w:r>
          </w:p>
        </w:tc>
        <w:tc>
          <w:tcPr>
            <w:tcW w:w="840" w:type="dxa"/>
            <w:vAlign w:val="bottom"/>
          </w:tcPr>
          <w:p>
            <w:pPr>
              <w:jc w:val="right"/>
              <w:spacing w:after="0"/>
              <w:rPr>
                <w:sz w:val="20"/>
                <w:szCs w:val="20"/>
                <w:color w:val="auto"/>
              </w:rPr>
            </w:pPr>
            <w:r>
              <w:rPr>
                <w:rFonts w:ascii="Arial" w:cs="Arial" w:eastAsia="Arial" w:hAnsi="Arial"/>
                <w:sz w:val="10"/>
                <w:szCs w:val="10"/>
                <w:color w:val="auto"/>
              </w:rPr>
              <w:t>(23,093)</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0"/>
                <w:szCs w:val="10"/>
                <w:color w:val="auto"/>
              </w:rPr>
              <w:t>Transfer from other comprehensive income</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270</w:t>
            </w:r>
          </w:p>
        </w:tc>
        <w:tc>
          <w:tcPr>
            <w:tcW w:w="1580" w:type="dxa"/>
            <w:vAlign w:val="bottom"/>
          </w:tcPr>
          <w:p>
            <w:pPr>
              <w:jc w:val="right"/>
              <w:ind w:right="432"/>
              <w:spacing w:after="0"/>
              <w:rPr>
                <w:sz w:val="20"/>
                <w:szCs w:val="20"/>
                <w:color w:val="auto"/>
              </w:rPr>
            </w:pPr>
            <w:r>
              <w:rPr>
                <w:rFonts w:ascii="Arial" w:cs="Arial" w:eastAsia="Arial" w:hAnsi="Arial"/>
                <w:sz w:val="10"/>
                <w:szCs w:val="10"/>
                <w:color w:val="auto"/>
              </w:rPr>
              <w:t>(270)</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0"/>
                <w:szCs w:val="10"/>
                <w:color w:val="auto"/>
              </w:rPr>
              <w:t>Dividends (see Note 23)</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580" w:type="dxa"/>
            <w:vAlign w:val="bottom"/>
          </w:tcPr>
          <w:p>
            <w:pPr>
              <w:jc w:val="right"/>
              <w:ind w:right="432"/>
              <w:spacing w:after="0"/>
              <w:rPr>
                <w:sz w:val="20"/>
                <w:szCs w:val="20"/>
                <w:color w:val="auto"/>
              </w:rPr>
            </w:pPr>
            <w:r>
              <w:rPr>
                <w:rFonts w:ascii="Arial" w:cs="Arial" w:eastAsia="Arial" w:hAnsi="Arial"/>
                <w:sz w:val="10"/>
                <w:szCs w:val="10"/>
                <w:color w:val="auto"/>
              </w:rPr>
              <w:t>(7,270)</w:t>
            </w:r>
          </w:p>
        </w:tc>
        <w:tc>
          <w:tcPr>
            <w:tcW w:w="860" w:type="dxa"/>
            <w:vAlign w:val="bottom"/>
          </w:tcPr>
          <w:p>
            <w:pPr>
              <w:jc w:val="right"/>
              <w:spacing w:after="0"/>
              <w:rPr>
                <w:sz w:val="20"/>
                <w:szCs w:val="20"/>
                <w:color w:val="auto"/>
              </w:rPr>
            </w:pPr>
            <w:r>
              <w:rPr>
                <w:rFonts w:ascii="Arial" w:cs="Arial" w:eastAsia="Arial" w:hAnsi="Arial"/>
                <w:sz w:val="10"/>
                <w:szCs w:val="10"/>
                <w:color w:val="auto"/>
              </w:rPr>
              <w:t>(7,270)</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(311)</w:t>
            </w:r>
          </w:p>
        </w:tc>
        <w:tc>
          <w:tcPr>
            <w:tcW w:w="840" w:type="dxa"/>
            <w:vAlign w:val="bottom"/>
          </w:tcPr>
          <w:p>
            <w:pPr>
              <w:jc w:val="right"/>
              <w:spacing w:after="0"/>
              <w:rPr>
                <w:sz w:val="20"/>
                <w:szCs w:val="20"/>
                <w:color w:val="auto"/>
              </w:rPr>
            </w:pPr>
            <w:r>
              <w:rPr>
                <w:rFonts w:ascii="Arial" w:cs="Arial" w:eastAsia="Arial" w:hAnsi="Arial"/>
                <w:sz w:val="10"/>
                <w:szCs w:val="10"/>
                <w:color w:val="auto"/>
              </w:rPr>
              <w:t>(7,581)</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0"/>
                <w:szCs w:val="10"/>
                <w:color w:val="auto"/>
              </w:rPr>
              <w:t>Repurchases of shares</w:t>
            </w:r>
          </w:p>
        </w:tc>
        <w:tc>
          <w:tcPr>
            <w:tcW w:w="1140" w:type="dxa"/>
            <w:vAlign w:val="bottom"/>
          </w:tcPr>
          <w:p>
            <w:pPr>
              <w:jc w:val="right"/>
              <w:ind w:right="392"/>
              <w:spacing w:after="0"/>
              <w:rPr>
                <w:sz w:val="20"/>
                <w:szCs w:val="20"/>
                <w:color w:val="auto"/>
              </w:rPr>
            </w:pPr>
            <w:r>
              <w:rPr>
                <w:rFonts w:ascii="Arial" w:cs="Arial" w:eastAsia="Arial" w:hAnsi="Arial"/>
                <w:sz w:val="10"/>
                <w:szCs w:val="10"/>
                <w:color w:val="auto"/>
              </w:rPr>
              <w:t>(6)</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6</w:t>
            </w:r>
          </w:p>
        </w:tc>
        <w:tc>
          <w:tcPr>
            <w:tcW w:w="1580" w:type="dxa"/>
            <w:vAlign w:val="bottom"/>
          </w:tcPr>
          <w:p>
            <w:pPr>
              <w:jc w:val="right"/>
              <w:ind w:right="432"/>
              <w:spacing w:after="0"/>
              <w:rPr>
                <w:sz w:val="20"/>
                <w:szCs w:val="20"/>
                <w:color w:val="auto"/>
              </w:rPr>
            </w:pPr>
            <w:r>
              <w:rPr>
                <w:rFonts w:ascii="Arial" w:cs="Arial" w:eastAsia="Arial" w:hAnsi="Arial"/>
                <w:sz w:val="10"/>
                <w:szCs w:val="10"/>
                <w:color w:val="auto"/>
              </w:rPr>
              <w:t>(1,214)</w:t>
            </w:r>
          </w:p>
        </w:tc>
        <w:tc>
          <w:tcPr>
            <w:tcW w:w="860" w:type="dxa"/>
            <w:vAlign w:val="bottom"/>
          </w:tcPr>
          <w:p>
            <w:pPr>
              <w:jc w:val="right"/>
              <w:spacing w:after="0"/>
              <w:rPr>
                <w:sz w:val="20"/>
                <w:szCs w:val="20"/>
                <w:color w:val="auto"/>
              </w:rPr>
            </w:pPr>
            <w:r>
              <w:rPr>
                <w:rFonts w:ascii="Arial" w:cs="Arial" w:eastAsia="Arial" w:hAnsi="Arial"/>
                <w:sz w:val="10"/>
                <w:szCs w:val="10"/>
                <w:color w:val="auto"/>
              </w:rPr>
              <w:t>(1,214)</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(1,214)</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0"/>
                <w:szCs w:val="10"/>
                <w:color w:val="auto"/>
              </w:rPr>
              <w:t>Share-based compensation</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354</w:t>
            </w:r>
          </w:p>
        </w:tc>
        <w:tc>
          <w:tcPr>
            <w:tcW w:w="1140" w:type="dxa"/>
            <w:vAlign w:val="bottom"/>
          </w:tcPr>
          <w:p>
            <w:pPr>
              <w:jc w:val="right"/>
              <w:ind w:right="192"/>
              <w:spacing w:after="0"/>
              <w:rPr>
                <w:sz w:val="20"/>
                <w:szCs w:val="20"/>
                <w:color w:val="auto"/>
              </w:rPr>
            </w:pPr>
            <w:r>
              <w:rPr>
                <w:rFonts w:ascii="Arial" w:cs="Arial" w:eastAsia="Arial" w:hAnsi="Arial"/>
                <w:sz w:val="10"/>
                <w:szCs w:val="10"/>
                <w:color w:val="auto"/>
              </w:rPr>
              <w:t>(143)</w:t>
            </w:r>
          </w:p>
        </w:tc>
        <w:tc>
          <w:tcPr>
            <w:tcW w:w="1580" w:type="dxa"/>
            <w:vAlign w:val="bottom"/>
          </w:tcPr>
          <w:p>
            <w:pPr>
              <w:jc w:val="right"/>
              <w:ind w:right="432"/>
              <w:spacing w:after="0"/>
              <w:rPr>
                <w:sz w:val="20"/>
                <w:szCs w:val="20"/>
                <w:color w:val="auto"/>
              </w:rPr>
            </w:pPr>
            <w:r>
              <w:rPr>
                <w:rFonts w:ascii="Arial" w:cs="Arial" w:eastAsia="Arial" w:hAnsi="Arial"/>
                <w:sz w:val="10"/>
                <w:szCs w:val="10"/>
                <w:color w:val="auto"/>
              </w:rPr>
              <w:t>(230)</w:t>
            </w:r>
          </w:p>
        </w:tc>
        <w:tc>
          <w:tcPr>
            <w:tcW w:w="860" w:type="dxa"/>
            <w:vAlign w:val="bottom"/>
          </w:tcPr>
          <w:p>
            <w:pPr>
              <w:jc w:val="right"/>
              <w:spacing w:after="0"/>
              <w:rPr>
                <w:sz w:val="20"/>
                <w:szCs w:val="20"/>
                <w:color w:val="auto"/>
              </w:rPr>
            </w:pPr>
            <w:r>
              <w:rPr>
                <w:rFonts w:ascii="Arial" w:cs="Arial" w:eastAsia="Arial" w:hAnsi="Arial"/>
                <w:sz w:val="10"/>
                <w:szCs w:val="10"/>
                <w:color w:val="auto"/>
              </w:rPr>
              <w:t>(19)</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30"/>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 changes in non-controlling interest</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1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566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566</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(585) [B]</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18"/>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At December 31, 2020</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651</w:t>
            </w: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(709)</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12,752</w:t>
            </w:r>
          </w:p>
        </w:tc>
        <w:tc>
          <w:tcPr>
            <w:tcW w:w="1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142,616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155,310</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3,227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158,537</w:t>
            </w:r>
          </w:p>
        </w:tc>
        <w:tc>
          <w:tcPr>
            <w:tcW w:w="0" w:type="dxa"/>
            <w:vAlign w:val="bottom"/>
          </w:tcPr>
          <w:p>
            <w:pPr>
              <w:spacing w:after="0"/>
              <w:rPr>
                <w:sz w:val="1"/>
                <w:szCs w:val="1"/>
                <w:color w:val="auto"/>
              </w:rPr>
            </w:pPr>
          </w:p>
        </w:tc>
      </w:tr>
      <w:tr>
        <w:trPr>
          <w:trHeight w:val="115"/>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At January 1, 2019 (as previously published)</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685</w:t>
            </w: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(1,260)</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16,615</w:t>
            </w:r>
          </w:p>
        </w:tc>
        <w:tc>
          <w:tcPr>
            <w:tcW w:w="1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182,606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198,646</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3,888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202,534</w:t>
            </w:r>
          </w:p>
        </w:tc>
        <w:tc>
          <w:tcPr>
            <w:tcW w:w="0" w:type="dxa"/>
            <w:vAlign w:val="bottom"/>
          </w:tcPr>
          <w:p>
            <w:pPr>
              <w:spacing w:after="0"/>
              <w:rPr>
                <w:sz w:val="1"/>
                <w:szCs w:val="1"/>
                <w:color w:val="auto"/>
              </w:rPr>
            </w:pPr>
          </w:p>
        </w:tc>
      </w:tr>
      <w:tr>
        <w:trPr>
          <w:trHeight w:val="114"/>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Impact of IFRS 16</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1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16"/>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At January 1, 2019 (as revised)</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685</w:t>
            </w: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(1,260)</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16,615</w:t>
            </w:r>
          </w:p>
        </w:tc>
        <w:tc>
          <w:tcPr>
            <w:tcW w:w="1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182,610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198,650</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3,888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202,538</w:t>
            </w:r>
          </w:p>
        </w:tc>
        <w:tc>
          <w:tcPr>
            <w:tcW w:w="0" w:type="dxa"/>
            <w:vAlign w:val="bottom"/>
          </w:tcPr>
          <w:p>
            <w:pPr>
              <w:spacing w:after="0"/>
              <w:rPr>
                <w:sz w:val="1"/>
                <w:szCs w:val="1"/>
                <w:color w:val="auto"/>
              </w:rPr>
            </w:pPr>
          </w:p>
        </w:tc>
      </w:tr>
      <w:tr>
        <w:trPr>
          <w:trHeight w:val="112"/>
        </w:trPr>
        <w:tc>
          <w:tcPr>
            <w:tcW w:w="2620" w:type="dxa"/>
            <w:vAlign w:val="bottom"/>
            <w:gridSpan w:val="2"/>
          </w:tcPr>
          <w:p>
            <w:pPr>
              <w:spacing w:after="0" w:line="112" w:lineRule="exact"/>
              <w:rPr>
                <w:sz w:val="20"/>
                <w:szCs w:val="20"/>
                <w:color w:val="auto"/>
              </w:rPr>
            </w:pPr>
            <w:r>
              <w:rPr>
                <w:rFonts w:ascii="Arial" w:cs="Arial" w:eastAsia="Arial" w:hAnsi="Arial"/>
                <w:sz w:val="10"/>
                <w:szCs w:val="10"/>
                <w:color w:val="auto"/>
              </w:rPr>
              <w:t>Comprehensive income/(loss) for the period</w:t>
            </w:r>
          </w:p>
        </w:tc>
        <w:tc>
          <w:tcPr>
            <w:tcW w:w="1140" w:type="dxa"/>
            <w:vAlign w:val="bottom"/>
          </w:tcPr>
          <w:p>
            <w:pPr>
              <w:jc w:val="right"/>
              <w:ind w:right="412"/>
              <w:spacing w:after="0" w:line="112" w:lineRule="exact"/>
              <w:rPr>
                <w:sz w:val="20"/>
                <w:szCs w:val="20"/>
                <w:color w:val="auto"/>
              </w:rPr>
            </w:pPr>
            <w:r>
              <w:rPr>
                <w:rFonts w:ascii="Arial" w:cs="Arial" w:eastAsia="Arial" w:hAnsi="Arial"/>
                <w:sz w:val="10"/>
                <w:szCs w:val="10"/>
                <w:color w:val="auto"/>
              </w:rPr>
              <w:t>—</w:t>
            </w:r>
          </w:p>
        </w:tc>
        <w:tc>
          <w:tcPr>
            <w:tcW w:w="1300" w:type="dxa"/>
            <w:vAlign w:val="bottom"/>
          </w:tcPr>
          <w:p>
            <w:pPr>
              <w:jc w:val="right"/>
              <w:ind w:right="392"/>
              <w:spacing w:after="0" w:line="112"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192"/>
              <w:spacing w:after="0" w:line="112" w:lineRule="exact"/>
              <w:rPr>
                <w:sz w:val="20"/>
                <w:szCs w:val="20"/>
                <w:color w:val="auto"/>
              </w:rPr>
            </w:pPr>
            <w:r>
              <w:rPr>
                <w:rFonts w:ascii="Arial" w:cs="Arial" w:eastAsia="Arial" w:hAnsi="Arial"/>
                <w:sz w:val="10"/>
                <w:szCs w:val="10"/>
                <w:color w:val="auto"/>
              </w:rPr>
              <w:t>(2,069)</w:t>
            </w:r>
          </w:p>
        </w:tc>
        <w:tc>
          <w:tcPr>
            <w:tcW w:w="1580" w:type="dxa"/>
            <w:vAlign w:val="bottom"/>
          </w:tcPr>
          <w:p>
            <w:pPr>
              <w:jc w:val="right"/>
              <w:ind w:right="472"/>
              <w:spacing w:after="0" w:line="112" w:lineRule="exact"/>
              <w:rPr>
                <w:sz w:val="20"/>
                <w:szCs w:val="20"/>
                <w:color w:val="auto"/>
              </w:rPr>
            </w:pPr>
            <w:r>
              <w:rPr>
                <w:rFonts w:ascii="Arial" w:cs="Arial" w:eastAsia="Arial" w:hAnsi="Arial"/>
                <w:sz w:val="10"/>
                <w:szCs w:val="10"/>
                <w:color w:val="auto"/>
              </w:rPr>
              <w:t>15,842</w:t>
            </w:r>
          </w:p>
        </w:tc>
        <w:tc>
          <w:tcPr>
            <w:tcW w:w="860" w:type="dxa"/>
            <w:vAlign w:val="bottom"/>
          </w:tcPr>
          <w:p>
            <w:pPr>
              <w:jc w:val="right"/>
              <w:spacing w:after="0" w:line="112" w:lineRule="exact"/>
              <w:rPr>
                <w:sz w:val="20"/>
                <w:szCs w:val="20"/>
                <w:color w:val="auto"/>
              </w:rPr>
            </w:pPr>
            <w:r>
              <w:rPr>
                <w:rFonts w:ascii="Arial" w:cs="Arial" w:eastAsia="Arial" w:hAnsi="Arial"/>
                <w:sz w:val="10"/>
                <w:szCs w:val="10"/>
                <w:color w:val="auto"/>
              </w:rPr>
              <w:t>13,773</w:t>
            </w:r>
          </w:p>
        </w:tc>
        <w:tc>
          <w:tcPr>
            <w:tcW w:w="1800" w:type="dxa"/>
            <w:vAlign w:val="bottom"/>
          </w:tcPr>
          <w:p>
            <w:pPr>
              <w:jc w:val="right"/>
              <w:ind w:right="472"/>
              <w:spacing w:after="0" w:line="112" w:lineRule="exact"/>
              <w:rPr>
                <w:sz w:val="20"/>
                <w:szCs w:val="20"/>
                <w:color w:val="auto"/>
              </w:rPr>
            </w:pPr>
            <w:r>
              <w:rPr>
                <w:rFonts w:ascii="Arial" w:cs="Arial" w:eastAsia="Arial" w:hAnsi="Arial"/>
                <w:sz w:val="10"/>
                <w:szCs w:val="10"/>
                <w:color w:val="auto"/>
              </w:rPr>
              <w:t>625</w:t>
            </w:r>
          </w:p>
        </w:tc>
        <w:tc>
          <w:tcPr>
            <w:tcW w:w="840" w:type="dxa"/>
            <w:vAlign w:val="bottom"/>
          </w:tcPr>
          <w:p>
            <w:pPr>
              <w:jc w:val="right"/>
              <w:spacing w:after="0" w:line="112" w:lineRule="exact"/>
              <w:rPr>
                <w:sz w:val="20"/>
                <w:szCs w:val="20"/>
                <w:color w:val="auto"/>
              </w:rPr>
            </w:pPr>
            <w:r>
              <w:rPr>
                <w:rFonts w:ascii="Arial" w:cs="Arial" w:eastAsia="Arial" w:hAnsi="Arial"/>
                <w:sz w:val="10"/>
                <w:szCs w:val="10"/>
                <w:color w:val="auto"/>
              </w:rPr>
              <w:t>14,398</w:t>
            </w:r>
          </w:p>
        </w:tc>
        <w:tc>
          <w:tcPr>
            <w:tcW w:w="0" w:type="dxa"/>
            <w:vAlign w:val="bottom"/>
          </w:tcPr>
          <w:p>
            <w:pPr>
              <w:spacing w:after="0"/>
              <w:rPr>
                <w:sz w:val="1"/>
                <w:szCs w:val="1"/>
                <w:color w:val="auto"/>
              </w:rPr>
            </w:pPr>
          </w:p>
        </w:tc>
      </w:tr>
      <w:tr>
        <w:trPr>
          <w:trHeight w:val="123"/>
        </w:trPr>
        <w:tc>
          <w:tcPr>
            <w:tcW w:w="2620" w:type="dxa"/>
            <w:vAlign w:val="bottom"/>
            <w:gridSpan w:val="2"/>
          </w:tcPr>
          <w:p>
            <w:pPr>
              <w:spacing w:after="0"/>
              <w:rPr>
                <w:sz w:val="20"/>
                <w:szCs w:val="20"/>
                <w:color w:val="auto"/>
              </w:rPr>
            </w:pPr>
            <w:r>
              <w:rPr>
                <w:rFonts w:ascii="Arial" w:cs="Arial" w:eastAsia="Arial" w:hAnsi="Arial"/>
                <w:sz w:val="10"/>
                <w:szCs w:val="10"/>
                <w:color w:val="auto"/>
              </w:rPr>
              <w:t>Transfer from other comprehensive income</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192"/>
              <w:spacing w:after="0"/>
              <w:rPr>
                <w:sz w:val="20"/>
                <w:szCs w:val="20"/>
                <w:color w:val="auto"/>
              </w:rPr>
            </w:pPr>
            <w:r>
              <w:rPr>
                <w:rFonts w:ascii="Arial" w:cs="Arial" w:eastAsia="Arial" w:hAnsi="Arial"/>
                <w:sz w:val="10"/>
                <w:szCs w:val="10"/>
                <w:color w:val="auto"/>
              </w:rPr>
              <w:t>(74)</w:t>
            </w:r>
          </w:p>
        </w:tc>
        <w:tc>
          <w:tcPr>
            <w:tcW w:w="1580" w:type="dxa"/>
            <w:vAlign w:val="bottom"/>
          </w:tcPr>
          <w:p>
            <w:pPr>
              <w:jc w:val="right"/>
              <w:ind w:right="472"/>
              <w:spacing w:after="0"/>
              <w:rPr>
                <w:sz w:val="20"/>
                <w:szCs w:val="20"/>
                <w:color w:val="auto"/>
              </w:rPr>
            </w:pPr>
            <w:r>
              <w:rPr>
                <w:rFonts w:ascii="Arial" w:cs="Arial" w:eastAsia="Arial" w:hAnsi="Arial"/>
                <w:sz w:val="10"/>
                <w:szCs w:val="10"/>
                <w:color w:val="auto"/>
              </w:rPr>
              <w:t>74</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0"/>
                <w:szCs w:val="10"/>
                <w:color w:val="auto"/>
              </w:rPr>
              <w:t>Dividends (see Note 23)</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580" w:type="dxa"/>
            <w:vAlign w:val="bottom"/>
          </w:tcPr>
          <w:p>
            <w:pPr>
              <w:jc w:val="right"/>
              <w:ind w:right="432"/>
              <w:spacing w:after="0"/>
              <w:rPr>
                <w:sz w:val="20"/>
                <w:szCs w:val="20"/>
                <w:color w:val="auto"/>
              </w:rPr>
            </w:pPr>
            <w:r>
              <w:rPr>
                <w:rFonts w:ascii="Arial" w:cs="Arial" w:eastAsia="Arial" w:hAnsi="Arial"/>
                <w:sz w:val="10"/>
                <w:szCs w:val="10"/>
                <w:color w:val="auto"/>
              </w:rPr>
              <w:t>(15,198)</w:t>
            </w:r>
          </w:p>
        </w:tc>
        <w:tc>
          <w:tcPr>
            <w:tcW w:w="860" w:type="dxa"/>
            <w:vAlign w:val="bottom"/>
          </w:tcPr>
          <w:p>
            <w:pPr>
              <w:jc w:val="right"/>
              <w:spacing w:after="0"/>
              <w:rPr>
                <w:sz w:val="20"/>
                <w:szCs w:val="20"/>
                <w:color w:val="auto"/>
              </w:rPr>
            </w:pPr>
            <w:r>
              <w:rPr>
                <w:rFonts w:ascii="Arial" w:cs="Arial" w:eastAsia="Arial" w:hAnsi="Arial"/>
                <w:sz w:val="10"/>
                <w:szCs w:val="10"/>
                <w:color w:val="auto"/>
              </w:rPr>
              <w:t>(15,198)</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(537)</w:t>
            </w:r>
          </w:p>
        </w:tc>
        <w:tc>
          <w:tcPr>
            <w:tcW w:w="840" w:type="dxa"/>
            <w:vAlign w:val="bottom"/>
          </w:tcPr>
          <w:p>
            <w:pPr>
              <w:jc w:val="right"/>
              <w:spacing w:after="0"/>
              <w:rPr>
                <w:sz w:val="20"/>
                <w:szCs w:val="20"/>
                <w:color w:val="auto"/>
              </w:rPr>
            </w:pPr>
            <w:r>
              <w:rPr>
                <w:rFonts w:ascii="Arial" w:cs="Arial" w:eastAsia="Arial" w:hAnsi="Arial"/>
                <w:sz w:val="10"/>
                <w:szCs w:val="10"/>
                <w:color w:val="auto"/>
              </w:rPr>
              <w:t>(15,735)</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0"/>
                <w:szCs w:val="10"/>
                <w:color w:val="auto"/>
              </w:rPr>
              <w:t>Repurchases of shares [C]</w:t>
            </w:r>
          </w:p>
        </w:tc>
        <w:tc>
          <w:tcPr>
            <w:tcW w:w="1140" w:type="dxa"/>
            <w:vAlign w:val="bottom"/>
          </w:tcPr>
          <w:p>
            <w:pPr>
              <w:jc w:val="right"/>
              <w:ind w:right="392"/>
              <w:spacing w:after="0"/>
              <w:rPr>
                <w:sz w:val="20"/>
                <w:szCs w:val="20"/>
                <w:color w:val="auto"/>
              </w:rPr>
            </w:pPr>
            <w:r>
              <w:rPr>
                <w:rFonts w:ascii="Arial" w:cs="Arial" w:eastAsia="Arial" w:hAnsi="Arial"/>
                <w:sz w:val="10"/>
                <w:szCs w:val="10"/>
                <w:color w:val="auto"/>
              </w:rPr>
              <w:t>(28)</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28</w:t>
            </w:r>
          </w:p>
        </w:tc>
        <w:tc>
          <w:tcPr>
            <w:tcW w:w="1580" w:type="dxa"/>
            <w:vAlign w:val="bottom"/>
          </w:tcPr>
          <w:p>
            <w:pPr>
              <w:jc w:val="right"/>
              <w:ind w:right="432"/>
              <w:spacing w:after="0"/>
              <w:rPr>
                <w:sz w:val="20"/>
                <w:szCs w:val="20"/>
                <w:color w:val="auto"/>
              </w:rPr>
            </w:pPr>
            <w:r>
              <w:rPr>
                <w:rFonts w:ascii="Arial" w:cs="Arial" w:eastAsia="Arial" w:hAnsi="Arial"/>
                <w:sz w:val="10"/>
                <w:szCs w:val="10"/>
                <w:color w:val="auto"/>
              </w:rPr>
              <w:t>(10,286)</w:t>
            </w:r>
          </w:p>
        </w:tc>
        <w:tc>
          <w:tcPr>
            <w:tcW w:w="860" w:type="dxa"/>
            <w:vAlign w:val="bottom"/>
          </w:tcPr>
          <w:p>
            <w:pPr>
              <w:jc w:val="right"/>
              <w:spacing w:after="0"/>
              <w:rPr>
                <w:sz w:val="20"/>
                <w:szCs w:val="20"/>
                <w:color w:val="auto"/>
              </w:rPr>
            </w:pPr>
            <w:r>
              <w:rPr>
                <w:rFonts w:ascii="Arial" w:cs="Arial" w:eastAsia="Arial" w:hAnsi="Arial"/>
                <w:sz w:val="10"/>
                <w:szCs w:val="10"/>
                <w:color w:val="auto"/>
              </w:rPr>
              <w:t>(10,286)</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(10,286)</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0"/>
                <w:szCs w:val="10"/>
                <w:color w:val="auto"/>
              </w:rPr>
              <w:t>Share-based compensation</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197</w:t>
            </w:r>
          </w:p>
        </w:tc>
        <w:tc>
          <w:tcPr>
            <w:tcW w:w="1140" w:type="dxa"/>
            <w:vAlign w:val="bottom"/>
          </w:tcPr>
          <w:p>
            <w:pPr>
              <w:jc w:val="right"/>
              <w:ind w:right="192"/>
              <w:spacing w:after="0"/>
              <w:rPr>
                <w:sz w:val="20"/>
                <w:szCs w:val="20"/>
                <w:color w:val="auto"/>
              </w:rPr>
            </w:pPr>
            <w:r>
              <w:rPr>
                <w:rFonts w:ascii="Arial" w:cs="Arial" w:eastAsia="Arial" w:hAnsi="Arial"/>
                <w:sz w:val="10"/>
                <w:szCs w:val="10"/>
                <w:color w:val="auto"/>
              </w:rPr>
              <w:t>(49)</w:t>
            </w:r>
          </w:p>
        </w:tc>
        <w:tc>
          <w:tcPr>
            <w:tcW w:w="1580" w:type="dxa"/>
            <w:vAlign w:val="bottom"/>
          </w:tcPr>
          <w:p>
            <w:pPr>
              <w:jc w:val="right"/>
              <w:ind w:right="432"/>
              <w:spacing w:after="0"/>
              <w:rPr>
                <w:sz w:val="20"/>
                <w:szCs w:val="20"/>
                <w:color w:val="auto"/>
              </w:rPr>
            </w:pPr>
            <w:r>
              <w:rPr>
                <w:rFonts w:ascii="Arial" w:cs="Arial" w:eastAsia="Arial" w:hAnsi="Arial"/>
                <w:sz w:val="10"/>
                <w:szCs w:val="10"/>
                <w:color w:val="auto"/>
              </w:rPr>
              <w:t>(613)</w:t>
            </w:r>
          </w:p>
        </w:tc>
        <w:tc>
          <w:tcPr>
            <w:tcW w:w="860" w:type="dxa"/>
            <w:vAlign w:val="bottom"/>
          </w:tcPr>
          <w:p>
            <w:pPr>
              <w:jc w:val="right"/>
              <w:spacing w:after="0"/>
              <w:rPr>
                <w:sz w:val="20"/>
                <w:szCs w:val="20"/>
                <w:color w:val="auto"/>
              </w:rPr>
            </w:pPr>
            <w:r>
              <w:rPr>
                <w:rFonts w:ascii="Arial" w:cs="Arial" w:eastAsia="Arial" w:hAnsi="Arial"/>
                <w:sz w:val="10"/>
                <w:szCs w:val="10"/>
                <w:color w:val="auto"/>
              </w:rPr>
              <w:t>(465)</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(465)</w:t>
            </w:r>
          </w:p>
        </w:tc>
        <w:tc>
          <w:tcPr>
            <w:tcW w:w="0" w:type="dxa"/>
            <w:vAlign w:val="bottom"/>
          </w:tcPr>
          <w:p>
            <w:pPr>
              <w:spacing w:after="0"/>
              <w:rPr>
                <w:sz w:val="1"/>
                <w:szCs w:val="1"/>
                <w:color w:val="auto"/>
              </w:rPr>
            </w:pPr>
          </w:p>
        </w:tc>
      </w:tr>
      <w:tr>
        <w:trPr>
          <w:trHeight w:val="130"/>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 changes in non-controlling interest</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1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18"/>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At December 31, 2019</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657</w:t>
            </w: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(1,063)</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14,451</w:t>
            </w:r>
          </w:p>
        </w:tc>
        <w:tc>
          <w:tcPr>
            <w:tcW w:w="1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172,431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186,476</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3,987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190,463</w:t>
            </w:r>
          </w:p>
        </w:tc>
        <w:tc>
          <w:tcPr>
            <w:tcW w:w="0" w:type="dxa"/>
            <w:vAlign w:val="bottom"/>
          </w:tcPr>
          <w:p>
            <w:pPr>
              <w:spacing w:after="0"/>
              <w:rPr>
                <w:sz w:val="1"/>
                <w:szCs w:val="1"/>
                <w:color w:val="auto"/>
              </w:rPr>
            </w:pPr>
          </w:p>
        </w:tc>
      </w:tr>
      <w:tr>
        <w:trPr>
          <w:trHeight w:val="113"/>
        </w:trPr>
        <w:tc>
          <w:tcPr>
            <w:tcW w:w="26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At January 1, 2018</w:t>
            </w:r>
          </w:p>
        </w:tc>
        <w:tc>
          <w:tcPr>
            <w:tcW w:w="1140" w:type="dxa"/>
            <w:vAlign w:val="bottom"/>
          </w:tcPr>
          <w:p>
            <w:pPr>
              <w:jc w:val="right"/>
              <w:ind w:right="412"/>
              <w:spacing w:after="0" w:line="113" w:lineRule="exact"/>
              <w:rPr>
                <w:sz w:val="20"/>
                <w:szCs w:val="20"/>
                <w:color w:val="auto"/>
              </w:rPr>
            </w:pPr>
            <w:r>
              <w:rPr>
                <w:rFonts w:ascii="Arial" w:cs="Arial" w:eastAsia="Arial" w:hAnsi="Arial"/>
                <w:sz w:val="10"/>
                <w:szCs w:val="10"/>
                <w:b w:val="1"/>
                <w:bCs w:val="1"/>
                <w:color w:val="auto"/>
              </w:rPr>
              <w:t>696</w:t>
            </w:r>
          </w:p>
        </w:tc>
        <w:tc>
          <w:tcPr>
            <w:tcW w:w="1300" w:type="dxa"/>
            <w:vAlign w:val="bottom"/>
          </w:tcPr>
          <w:p>
            <w:pPr>
              <w:jc w:val="right"/>
              <w:ind w:right="372"/>
              <w:spacing w:after="0" w:line="113" w:lineRule="exact"/>
              <w:rPr>
                <w:sz w:val="20"/>
                <w:szCs w:val="20"/>
                <w:color w:val="auto"/>
              </w:rPr>
            </w:pPr>
            <w:r>
              <w:rPr>
                <w:rFonts w:ascii="Arial" w:cs="Arial" w:eastAsia="Arial" w:hAnsi="Arial"/>
                <w:sz w:val="10"/>
                <w:szCs w:val="10"/>
                <w:b w:val="1"/>
                <w:bCs w:val="1"/>
                <w:color w:val="auto"/>
              </w:rPr>
              <w:t>(917)</w:t>
            </w:r>
          </w:p>
        </w:tc>
        <w:tc>
          <w:tcPr>
            <w:tcW w:w="1140" w:type="dxa"/>
            <w:vAlign w:val="bottom"/>
          </w:tcPr>
          <w:p>
            <w:pPr>
              <w:jc w:val="right"/>
              <w:ind w:right="212"/>
              <w:spacing w:after="0" w:line="113" w:lineRule="exact"/>
              <w:rPr>
                <w:sz w:val="20"/>
                <w:szCs w:val="20"/>
                <w:color w:val="auto"/>
              </w:rPr>
            </w:pPr>
            <w:r>
              <w:rPr>
                <w:rFonts w:ascii="Arial" w:cs="Arial" w:eastAsia="Arial" w:hAnsi="Arial"/>
                <w:sz w:val="10"/>
                <w:szCs w:val="10"/>
                <w:b w:val="1"/>
                <w:bCs w:val="1"/>
                <w:color w:val="auto"/>
              </w:rPr>
              <w:t>16,794</w:t>
            </w:r>
          </w:p>
        </w:tc>
        <w:tc>
          <w:tcPr>
            <w:tcW w:w="1580" w:type="dxa"/>
            <w:vAlign w:val="bottom"/>
          </w:tcPr>
          <w:p>
            <w:pPr>
              <w:jc w:val="right"/>
              <w:ind w:right="472"/>
              <w:spacing w:after="0" w:line="113" w:lineRule="exact"/>
              <w:rPr>
                <w:sz w:val="20"/>
                <w:szCs w:val="20"/>
                <w:color w:val="auto"/>
              </w:rPr>
            </w:pPr>
            <w:r>
              <w:rPr>
                <w:rFonts w:ascii="Arial" w:cs="Arial" w:eastAsia="Arial" w:hAnsi="Arial"/>
                <w:sz w:val="10"/>
                <w:szCs w:val="10"/>
                <w:b w:val="1"/>
                <w:bCs w:val="1"/>
                <w:color w:val="auto"/>
              </w:rPr>
              <w:t>177,733</w:t>
            </w:r>
          </w:p>
        </w:tc>
        <w:tc>
          <w:tcPr>
            <w:tcW w:w="860" w:type="dxa"/>
            <w:vAlign w:val="bottom"/>
          </w:tcPr>
          <w:p>
            <w:pPr>
              <w:jc w:val="right"/>
              <w:spacing w:after="0" w:line="113" w:lineRule="exact"/>
              <w:rPr>
                <w:sz w:val="20"/>
                <w:szCs w:val="20"/>
                <w:color w:val="auto"/>
              </w:rPr>
            </w:pPr>
            <w:r>
              <w:rPr>
                <w:rFonts w:ascii="Arial" w:cs="Arial" w:eastAsia="Arial" w:hAnsi="Arial"/>
                <w:sz w:val="10"/>
                <w:szCs w:val="10"/>
                <w:b w:val="1"/>
                <w:bCs w:val="1"/>
                <w:color w:val="auto"/>
              </w:rPr>
              <w:t>194,306</w:t>
            </w:r>
          </w:p>
        </w:tc>
        <w:tc>
          <w:tcPr>
            <w:tcW w:w="1800" w:type="dxa"/>
            <w:vAlign w:val="bottom"/>
          </w:tcPr>
          <w:p>
            <w:pPr>
              <w:jc w:val="right"/>
              <w:ind w:right="472"/>
              <w:spacing w:after="0" w:line="113" w:lineRule="exact"/>
              <w:rPr>
                <w:sz w:val="20"/>
                <w:szCs w:val="20"/>
                <w:color w:val="auto"/>
              </w:rPr>
            </w:pPr>
            <w:r>
              <w:rPr>
                <w:rFonts w:ascii="Arial" w:cs="Arial" w:eastAsia="Arial" w:hAnsi="Arial"/>
                <w:sz w:val="10"/>
                <w:szCs w:val="10"/>
                <w:b w:val="1"/>
                <w:bCs w:val="1"/>
                <w:color w:val="auto"/>
              </w:rPr>
              <w:t>3,456</w:t>
            </w:r>
          </w:p>
        </w:tc>
        <w:tc>
          <w:tcPr>
            <w:tcW w:w="840" w:type="dxa"/>
            <w:vAlign w:val="bottom"/>
          </w:tcPr>
          <w:p>
            <w:pPr>
              <w:jc w:val="right"/>
              <w:spacing w:after="0" w:line="113" w:lineRule="exact"/>
              <w:rPr>
                <w:sz w:val="20"/>
                <w:szCs w:val="20"/>
                <w:color w:val="auto"/>
              </w:rPr>
            </w:pPr>
            <w:r>
              <w:rPr>
                <w:rFonts w:ascii="Arial" w:cs="Arial" w:eastAsia="Arial" w:hAnsi="Arial"/>
                <w:sz w:val="10"/>
                <w:szCs w:val="10"/>
                <w:b w:val="1"/>
                <w:bCs w:val="1"/>
                <w:color w:val="auto"/>
              </w:rPr>
              <w:t>197,762</w:t>
            </w:r>
          </w:p>
        </w:tc>
        <w:tc>
          <w:tcPr>
            <w:tcW w:w="0" w:type="dxa"/>
            <w:vAlign w:val="bottom"/>
          </w:tcPr>
          <w:p>
            <w:pPr>
              <w:spacing w:after="0"/>
              <w:rPr>
                <w:sz w:val="1"/>
                <w:szCs w:val="1"/>
                <w:color w:val="auto"/>
              </w:rPr>
            </w:pPr>
          </w:p>
        </w:tc>
      </w:tr>
      <w:tr>
        <w:trPr>
          <w:trHeight w:val="121"/>
        </w:trPr>
        <w:tc>
          <w:tcPr>
            <w:tcW w:w="2620" w:type="dxa"/>
            <w:vAlign w:val="bottom"/>
            <w:gridSpan w:val="2"/>
          </w:tcPr>
          <w:p>
            <w:pPr>
              <w:spacing w:after="0"/>
              <w:rPr>
                <w:sz w:val="20"/>
                <w:szCs w:val="20"/>
                <w:color w:val="auto"/>
              </w:rPr>
            </w:pPr>
            <w:r>
              <w:rPr>
                <w:rFonts w:ascii="Arial" w:cs="Arial" w:eastAsia="Arial" w:hAnsi="Arial"/>
                <w:sz w:val="10"/>
                <w:szCs w:val="10"/>
                <w:color w:val="auto"/>
              </w:rPr>
              <w:t>Comprehensive income for the period</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1,123</w:t>
            </w:r>
          </w:p>
        </w:tc>
        <w:tc>
          <w:tcPr>
            <w:tcW w:w="1580" w:type="dxa"/>
            <w:vAlign w:val="bottom"/>
          </w:tcPr>
          <w:p>
            <w:pPr>
              <w:jc w:val="right"/>
              <w:ind w:right="472"/>
              <w:spacing w:after="0"/>
              <w:rPr>
                <w:sz w:val="20"/>
                <w:szCs w:val="20"/>
                <w:color w:val="auto"/>
              </w:rPr>
            </w:pPr>
            <w:r>
              <w:rPr>
                <w:rFonts w:ascii="Arial" w:cs="Arial" w:eastAsia="Arial" w:hAnsi="Arial"/>
                <w:sz w:val="10"/>
                <w:szCs w:val="10"/>
                <w:color w:val="auto"/>
              </w:rPr>
              <w:t>23,352</w:t>
            </w:r>
          </w:p>
        </w:tc>
        <w:tc>
          <w:tcPr>
            <w:tcW w:w="860" w:type="dxa"/>
            <w:vAlign w:val="bottom"/>
          </w:tcPr>
          <w:p>
            <w:pPr>
              <w:jc w:val="right"/>
              <w:spacing w:after="0"/>
              <w:rPr>
                <w:sz w:val="20"/>
                <w:szCs w:val="20"/>
                <w:color w:val="auto"/>
              </w:rPr>
            </w:pPr>
            <w:r>
              <w:rPr>
                <w:rFonts w:ascii="Arial" w:cs="Arial" w:eastAsia="Arial" w:hAnsi="Arial"/>
                <w:sz w:val="10"/>
                <w:szCs w:val="10"/>
                <w:color w:val="auto"/>
              </w:rPr>
              <w:t>24,475</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383</w:t>
            </w:r>
          </w:p>
        </w:tc>
        <w:tc>
          <w:tcPr>
            <w:tcW w:w="840" w:type="dxa"/>
            <w:vAlign w:val="bottom"/>
          </w:tcPr>
          <w:p>
            <w:pPr>
              <w:jc w:val="right"/>
              <w:spacing w:after="0"/>
              <w:rPr>
                <w:sz w:val="20"/>
                <w:szCs w:val="20"/>
                <w:color w:val="auto"/>
              </w:rPr>
            </w:pPr>
            <w:r>
              <w:rPr>
                <w:rFonts w:ascii="Arial" w:cs="Arial" w:eastAsia="Arial" w:hAnsi="Arial"/>
                <w:sz w:val="10"/>
                <w:szCs w:val="10"/>
                <w:color w:val="auto"/>
              </w:rPr>
              <w:t>24,858</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0"/>
                <w:szCs w:val="10"/>
                <w:color w:val="auto"/>
              </w:rPr>
              <w:t>Transfer from other comprehensive income</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192"/>
              <w:spacing w:after="0"/>
              <w:rPr>
                <w:sz w:val="20"/>
                <w:szCs w:val="20"/>
                <w:color w:val="auto"/>
              </w:rPr>
            </w:pPr>
            <w:r>
              <w:rPr>
                <w:rFonts w:ascii="Arial" w:cs="Arial" w:eastAsia="Arial" w:hAnsi="Arial"/>
                <w:sz w:val="10"/>
                <w:szCs w:val="10"/>
                <w:color w:val="auto"/>
              </w:rPr>
              <w:t>(971)</w:t>
            </w:r>
          </w:p>
        </w:tc>
        <w:tc>
          <w:tcPr>
            <w:tcW w:w="1580" w:type="dxa"/>
            <w:vAlign w:val="bottom"/>
          </w:tcPr>
          <w:p>
            <w:pPr>
              <w:jc w:val="right"/>
              <w:ind w:right="472"/>
              <w:spacing w:after="0"/>
              <w:rPr>
                <w:sz w:val="20"/>
                <w:szCs w:val="20"/>
                <w:color w:val="auto"/>
              </w:rPr>
            </w:pPr>
            <w:r>
              <w:rPr>
                <w:rFonts w:ascii="Arial" w:cs="Arial" w:eastAsia="Arial" w:hAnsi="Arial"/>
                <w:sz w:val="10"/>
                <w:szCs w:val="10"/>
                <w:color w:val="auto"/>
              </w:rPr>
              <w:t>971</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0"/>
                <w:szCs w:val="10"/>
                <w:color w:val="auto"/>
              </w:rPr>
              <w:t>Dividends (see Note 23)</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580" w:type="dxa"/>
            <w:vAlign w:val="bottom"/>
          </w:tcPr>
          <w:p>
            <w:pPr>
              <w:jc w:val="right"/>
              <w:ind w:right="432"/>
              <w:spacing w:after="0"/>
              <w:rPr>
                <w:sz w:val="20"/>
                <w:szCs w:val="20"/>
                <w:color w:val="auto"/>
              </w:rPr>
            </w:pPr>
            <w:r>
              <w:rPr>
                <w:rFonts w:ascii="Arial" w:cs="Arial" w:eastAsia="Arial" w:hAnsi="Arial"/>
                <w:sz w:val="10"/>
                <w:szCs w:val="10"/>
                <w:color w:val="auto"/>
              </w:rPr>
              <w:t>(15,675)</w:t>
            </w:r>
          </w:p>
        </w:tc>
        <w:tc>
          <w:tcPr>
            <w:tcW w:w="860" w:type="dxa"/>
            <w:vAlign w:val="bottom"/>
          </w:tcPr>
          <w:p>
            <w:pPr>
              <w:jc w:val="right"/>
              <w:spacing w:after="0"/>
              <w:rPr>
                <w:sz w:val="20"/>
                <w:szCs w:val="20"/>
                <w:color w:val="auto"/>
              </w:rPr>
            </w:pPr>
            <w:r>
              <w:rPr>
                <w:rFonts w:ascii="Arial" w:cs="Arial" w:eastAsia="Arial" w:hAnsi="Arial"/>
                <w:sz w:val="10"/>
                <w:szCs w:val="10"/>
                <w:color w:val="auto"/>
              </w:rPr>
              <w:t>(15,675)</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(586)</w:t>
            </w:r>
          </w:p>
        </w:tc>
        <w:tc>
          <w:tcPr>
            <w:tcW w:w="840" w:type="dxa"/>
            <w:vAlign w:val="bottom"/>
          </w:tcPr>
          <w:p>
            <w:pPr>
              <w:jc w:val="right"/>
              <w:spacing w:after="0"/>
              <w:rPr>
                <w:sz w:val="20"/>
                <w:szCs w:val="20"/>
                <w:color w:val="auto"/>
              </w:rPr>
            </w:pPr>
            <w:r>
              <w:rPr>
                <w:rFonts w:ascii="Arial" w:cs="Arial" w:eastAsia="Arial" w:hAnsi="Arial"/>
                <w:sz w:val="10"/>
                <w:szCs w:val="10"/>
                <w:color w:val="auto"/>
              </w:rPr>
              <w:t>(16,261)</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0"/>
                <w:szCs w:val="10"/>
                <w:color w:val="auto"/>
              </w:rPr>
              <w:t>Repurchases of shares [C]</w:t>
            </w:r>
          </w:p>
        </w:tc>
        <w:tc>
          <w:tcPr>
            <w:tcW w:w="1140" w:type="dxa"/>
            <w:vAlign w:val="bottom"/>
          </w:tcPr>
          <w:p>
            <w:pPr>
              <w:jc w:val="right"/>
              <w:ind w:right="392"/>
              <w:spacing w:after="0"/>
              <w:rPr>
                <w:sz w:val="20"/>
                <w:szCs w:val="20"/>
                <w:color w:val="auto"/>
              </w:rPr>
            </w:pPr>
            <w:r>
              <w:rPr>
                <w:rFonts w:ascii="Arial" w:cs="Arial" w:eastAsia="Arial" w:hAnsi="Arial"/>
                <w:sz w:val="10"/>
                <w:szCs w:val="10"/>
                <w:color w:val="auto"/>
              </w:rPr>
              <w:t>(11)</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11</w:t>
            </w:r>
          </w:p>
        </w:tc>
        <w:tc>
          <w:tcPr>
            <w:tcW w:w="1580" w:type="dxa"/>
            <w:vAlign w:val="bottom"/>
          </w:tcPr>
          <w:p>
            <w:pPr>
              <w:jc w:val="right"/>
              <w:ind w:right="432"/>
              <w:spacing w:after="0"/>
              <w:rPr>
                <w:sz w:val="20"/>
                <w:szCs w:val="20"/>
                <w:color w:val="auto"/>
              </w:rPr>
            </w:pPr>
            <w:r>
              <w:rPr>
                <w:rFonts w:ascii="Arial" w:cs="Arial" w:eastAsia="Arial" w:hAnsi="Arial"/>
                <w:sz w:val="10"/>
                <w:szCs w:val="10"/>
                <w:color w:val="auto"/>
              </w:rPr>
              <w:t>(4,519)</w:t>
            </w:r>
          </w:p>
        </w:tc>
        <w:tc>
          <w:tcPr>
            <w:tcW w:w="860" w:type="dxa"/>
            <w:vAlign w:val="bottom"/>
          </w:tcPr>
          <w:p>
            <w:pPr>
              <w:jc w:val="right"/>
              <w:spacing w:after="0"/>
              <w:rPr>
                <w:sz w:val="20"/>
                <w:szCs w:val="20"/>
                <w:color w:val="auto"/>
              </w:rPr>
            </w:pPr>
            <w:r>
              <w:rPr>
                <w:rFonts w:ascii="Arial" w:cs="Arial" w:eastAsia="Arial" w:hAnsi="Arial"/>
                <w:sz w:val="10"/>
                <w:szCs w:val="10"/>
                <w:color w:val="auto"/>
              </w:rPr>
              <w:t>(4,519)</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(4,519)</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0"/>
                <w:szCs w:val="10"/>
                <w:color w:val="auto"/>
              </w:rPr>
              <w:t>Share-based compensation</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372"/>
              <w:spacing w:after="0"/>
              <w:rPr>
                <w:sz w:val="20"/>
                <w:szCs w:val="20"/>
                <w:color w:val="auto"/>
              </w:rPr>
            </w:pPr>
            <w:r>
              <w:rPr>
                <w:rFonts w:ascii="Arial" w:cs="Arial" w:eastAsia="Arial" w:hAnsi="Arial"/>
                <w:sz w:val="10"/>
                <w:szCs w:val="10"/>
                <w:color w:val="auto"/>
              </w:rPr>
              <w:t>(343)</w:t>
            </w:r>
          </w:p>
        </w:tc>
        <w:tc>
          <w:tcPr>
            <w:tcW w:w="1140" w:type="dxa"/>
            <w:vAlign w:val="bottom"/>
          </w:tcPr>
          <w:p>
            <w:pPr>
              <w:jc w:val="right"/>
              <w:ind w:right="192"/>
              <w:spacing w:after="0"/>
              <w:rPr>
                <w:sz w:val="20"/>
                <w:szCs w:val="20"/>
                <w:color w:val="auto"/>
              </w:rPr>
            </w:pPr>
            <w:r>
              <w:rPr>
                <w:rFonts w:ascii="Arial" w:cs="Arial" w:eastAsia="Arial" w:hAnsi="Arial"/>
                <w:sz w:val="10"/>
                <w:szCs w:val="10"/>
                <w:color w:val="auto"/>
              </w:rPr>
              <w:t>(342)</w:t>
            </w:r>
          </w:p>
        </w:tc>
        <w:tc>
          <w:tcPr>
            <w:tcW w:w="1580" w:type="dxa"/>
            <w:vAlign w:val="bottom"/>
          </w:tcPr>
          <w:p>
            <w:pPr>
              <w:jc w:val="right"/>
              <w:ind w:right="472"/>
              <w:spacing w:after="0"/>
              <w:rPr>
                <w:sz w:val="20"/>
                <w:szCs w:val="20"/>
                <w:color w:val="auto"/>
              </w:rPr>
            </w:pPr>
            <w:r>
              <w:rPr>
                <w:rFonts w:ascii="Arial" w:cs="Arial" w:eastAsia="Arial" w:hAnsi="Arial"/>
                <w:sz w:val="10"/>
                <w:szCs w:val="10"/>
                <w:color w:val="auto"/>
              </w:rPr>
              <w:t>693</w:t>
            </w:r>
          </w:p>
        </w:tc>
        <w:tc>
          <w:tcPr>
            <w:tcW w:w="860" w:type="dxa"/>
            <w:vAlign w:val="bottom"/>
          </w:tcPr>
          <w:p>
            <w:pPr>
              <w:jc w:val="right"/>
              <w:spacing w:after="0"/>
              <w:rPr>
                <w:sz w:val="20"/>
                <w:szCs w:val="20"/>
                <w:color w:val="auto"/>
              </w:rPr>
            </w:pPr>
            <w:r>
              <w:rPr>
                <w:rFonts w:ascii="Arial" w:cs="Arial" w:eastAsia="Arial" w:hAnsi="Arial"/>
                <w:sz w:val="10"/>
                <w:szCs w:val="10"/>
                <w:color w:val="auto"/>
              </w:rPr>
              <w:t>8</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30"/>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 changes in non-controlling interest</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1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51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635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686</w:t>
            </w:r>
          </w:p>
        </w:tc>
        <w:tc>
          <w:tcPr>
            <w:tcW w:w="0" w:type="dxa"/>
            <w:vAlign w:val="bottom"/>
          </w:tcPr>
          <w:p>
            <w:pPr>
              <w:spacing w:after="0"/>
              <w:rPr>
                <w:sz w:val="1"/>
                <w:szCs w:val="1"/>
                <w:color w:val="auto"/>
              </w:rPr>
            </w:pPr>
          </w:p>
        </w:tc>
      </w:tr>
      <w:tr>
        <w:trPr>
          <w:trHeight w:val="118"/>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At December 31, 2018</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685</w:t>
            </w: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(1,260)</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16,615</w:t>
            </w:r>
          </w:p>
        </w:tc>
        <w:tc>
          <w:tcPr>
            <w:tcW w:w="1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182,606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198,646</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3,888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202,534</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8" w:hanging="128"/>
        <w:spacing w:after="0"/>
        <w:tabs>
          <w:tab w:leader="none" w:pos="128" w:val="left"/>
        </w:tabs>
        <w:numPr>
          <w:ilvl w:val="0"/>
          <w:numId w:val="167"/>
        </w:numPr>
        <w:rPr>
          <w:rFonts w:ascii="Arial" w:cs="Arial" w:eastAsia="Arial" w:hAnsi="Arial"/>
          <w:sz w:val="7"/>
          <w:szCs w:val="7"/>
          <w:color w:val="auto"/>
        </w:rPr>
      </w:pPr>
      <w:r>
        <w:rPr>
          <w:rFonts w:ascii="Arial" w:cs="Arial" w:eastAsia="Arial" w:hAnsi="Arial"/>
          <w:sz w:val="7"/>
          <w:szCs w:val="7"/>
          <w:color w:val="auto"/>
        </w:rPr>
        <w:t>Comprehensive loss for the period of $21,397 million recognised in retained earnings includes a gain of $283 million, recognised in equity, that relates to remeasurement of a share of interest in a joint venture in respect of prior years.</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67"/>
        </w:numPr>
        <w:rPr>
          <w:rFonts w:ascii="Arial" w:cs="Arial" w:eastAsia="Arial" w:hAnsi="Arial"/>
          <w:sz w:val="7"/>
          <w:szCs w:val="7"/>
          <w:color w:val="auto"/>
        </w:rPr>
      </w:pPr>
      <w:r>
        <w:rPr>
          <w:rFonts w:ascii="Arial" w:cs="Arial" w:eastAsia="Arial" w:hAnsi="Arial"/>
          <w:sz w:val="7"/>
          <w:szCs w:val="7"/>
          <w:color w:val="auto"/>
        </w:rPr>
        <w:t>The change is mainly related to the non-controlling interest in Shell Midstream Partners, L.P. (SHLX) following the completion of the sale of Shell's 79% interest in the Mattox Pipeline Company LLC and certain logistics assets at the Shell Norco Manufacturing Complex to SHLX.</w:t>
      </w:r>
    </w:p>
    <w:p>
      <w:pPr>
        <w:ind w:left="108" w:hanging="108"/>
        <w:spacing w:after="0"/>
        <w:tabs>
          <w:tab w:leader="none" w:pos="108" w:val="left"/>
        </w:tabs>
        <w:numPr>
          <w:ilvl w:val="0"/>
          <w:numId w:val="167"/>
        </w:numPr>
        <w:rPr>
          <w:rFonts w:ascii="Arial" w:cs="Arial" w:eastAsia="Arial" w:hAnsi="Arial"/>
          <w:sz w:val="7"/>
          <w:szCs w:val="7"/>
          <w:color w:val="auto"/>
        </w:rPr>
      </w:pPr>
      <w:r>
        <w:rPr>
          <w:rFonts w:ascii="Arial" w:cs="Arial" w:eastAsia="Arial" w:hAnsi="Arial"/>
          <w:sz w:val="7"/>
          <w:szCs w:val="7"/>
          <w:color w:val="auto"/>
        </w:rPr>
        <w:t>The repurchase of shares recognised through retained earnings includes the aggregate maximum consideration to which Shell was contractually bound to under the tranches of the buyback programme, plus associated stamp duty (see Note 20)</w:t>
      </w:r>
      <w:r>
        <w:rPr>
          <w:rFonts w:ascii="Arial" w:cs="Arial" w:eastAsia="Arial" w:hAnsi="Arial"/>
          <w:sz w:val="7"/>
          <w:szCs w:val="7"/>
          <w:i w:val="1"/>
          <w:iCs w:val="1"/>
          <w:color w:val="auto"/>
        </w:rPr>
        <w:t>.</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980" w:type="dxa"/>
            <w:vAlign w:val="bottom"/>
          </w:tcPr>
          <w:p>
            <w:pPr>
              <w:ind w:left="40"/>
              <w:spacing w:after="0"/>
              <w:rPr>
                <w:sz w:val="20"/>
                <w:szCs w:val="20"/>
                <w:color w:val="auto"/>
              </w:rPr>
            </w:pPr>
            <w:r>
              <w:rPr>
                <w:rFonts w:ascii="Arial" w:cs="Arial" w:eastAsia="Arial" w:hAnsi="Arial"/>
                <w:sz w:val="7"/>
                <w:szCs w:val="7"/>
                <w:color w:val="auto"/>
              </w:rPr>
              <w:t>FINANCIAL STATEMENTS AND SUPPLEMENTS SHELL FORM 20-F 2020</w:t>
            </w:r>
          </w:p>
        </w:tc>
        <w:tc>
          <w:tcPr>
            <w:tcW w:w="7320" w:type="dxa"/>
            <w:vAlign w:val="bottom"/>
          </w:tcPr>
          <w:p>
            <w:pPr>
              <w:jc w:val="right"/>
              <w:ind w:right="5564"/>
              <w:spacing w:after="0"/>
              <w:rPr>
                <w:sz w:val="20"/>
                <w:szCs w:val="20"/>
                <w:color w:val="auto"/>
              </w:rPr>
            </w:pPr>
            <w:r>
              <w:rPr>
                <w:rFonts w:ascii="Arial" w:cs="Arial" w:eastAsia="Arial" w:hAnsi="Arial"/>
                <w:sz w:val="7"/>
                <w:szCs w:val="7"/>
                <w:color w:val="auto"/>
              </w:rPr>
              <w:t>168</w:t>
            </w:r>
          </w:p>
        </w:tc>
      </w:tr>
      <w:tr>
        <w:trPr>
          <w:trHeight w:val="304"/>
        </w:trPr>
        <w:tc>
          <w:tcPr>
            <w:tcW w:w="398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14" w:right="299" w:bottom="1440" w:gutter="0" w:footer="0" w:header="0"/>
        </w:sectPr>
      </w:pPr>
    </w:p>
    <w:bookmarkStart w:id="171" w:name="page172"/>
    <w:bookmarkEnd w:id="171"/>
    <w:tbl>
      <w:tblPr>
        <w:tblLayout w:type="fixed"/>
        <w:tblInd w:w="8" w:type="dxa"/>
        <w:tblCellMar>
          <w:top w:w="0" w:type="dxa"/>
          <w:left w:w="0" w:type="dxa"/>
          <w:bottom w:w="0" w:type="dxa"/>
          <w:right w:w="0" w:type="dxa"/>
        </w:tblCellMar>
      </w:tblPr>
      <w:tr>
        <w:trPr>
          <w:trHeight w:val="180"/>
        </w:trPr>
        <w:tc>
          <w:tcPr>
            <w:tcW w:w="4200" w:type="dxa"/>
            <w:vAlign w:val="bottom"/>
            <w:shd w:val="clear" w:color="auto" w:fill="CDCDCD"/>
          </w:tcPr>
          <w:p>
            <w:pPr>
              <w:spacing w:after="0"/>
              <w:rPr>
                <w:sz w:val="15"/>
                <w:szCs w:val="15"/>
                <w:color w:val="auto"/>
              </w:rPr>
            </w:pPr>
          </w:p>
        </w:tc>
        <w:tc>
          <w:tcPr>
            <w:tcW w:w="1800" w:type="dxa"/>
            <w:vAlign w:val="bottom"/>
            <w:shd w:val="clear" w:color="auto" w:fill="CDCDCD"/>
          </w:tcPr>
          <w:p>
            <w:pPr>
              <w:spacing w:after="0"/>
              <w:rPr>
                <w:sz w:val="15"/>
                <w:szCs w:val="15"/>
                <w:color w:val="auto"/>
              </w:rPr>
            </w:pPr>
          </w:p>
        </w:tc>
        <w:tc>
          <w:tcPr>
            <w:tcW w:w="540" w:type="dxa"/>
            <w:vAlign w:val="bottom"/>
            <w:shd w:val="clear" w:color="auto" w:fill="CDCDCD"/>
          </w:tcPr>
          <w:p>
            <w:pPr>
              <w:spacing w:after="0"/>
              <w:rPr>
                <w:sz w:val="15"/>
                <w:szCs w:val="15"/>
                <w:color w:val="auto"/>
              </w:rPr>
            </w:pPr>
          </w:p>
        </w:tc>
        <w:tc>
          <w:tcPr>
            <w:tcW w:w="1320" w:type="dxa"/>
            <w:vAlign w:val="bottom"/>
            <w:shd w:val="clear" w:color="auto" w:fill="CDCDCD"/>
          </w:tcPr>
          <w:p>
            <w:pPr>
              <w:spacing w:after="0"/>
              <w:rPr>
                <w:sz w:val="15"/>
                <w:szCs w:val="15"/>
                <w:color w:val="auto"/>
              </w:rPr>
            </w:pPr>
          </w:p>
        </w:tc>
        <w:tc>
          <w:tcPr>
            <w:tcW w:w="880" w:type="dxa"/>
            <w:vAlign w:val="bottom"/>
            <w:shd w:val="clear" w:color="auto" w:fill="CDCDCD"/>
          </w:tcPr>
          <w:p>
            <w:pPr>
              <w:spacing w:after="0"/>
              <w:rPr>
                <w:sz w:val="15"/>
                <w:szCs w:val="15"/>
                <w:color w:val="auto"/>
              </w:rPr>
            </w:pPr>
          </w:p>
        </w:tc>
        <w:tc>
          <w:tcPr>
            <w:tcW w:w="1460" w:type="dxa"/>
            <w:vAlign w:val="bottom"/>
            <w:shd w:val="clear" w:color="auto" w:fill="CDCDCD"/>
          </w:tcPr>
          <w:p>
            <w:pPr>
              <w:spacing w:after="0"/>
              <w:rPr>
                <w:sz w:val="15"/>
                <w:szCs w:val="15"/>
                <w:color w:val="auto"/>
              </w:rPr>
            </w:pPr>
          </w:p>
        </w:tc>
        <w:tc>
          <w:tcPr>
            <w:tcW w:w="1100" w:type="dxa"/>
            <w:vAlign w:val="bottom"/>
            <w:shd w:val="clear" w:color="auto" w:fill="CDCDCD"/>
          </w:tcPr>
          <w:p>
            <w:pPr>
              <w:spacing w:after="0"/>
              <w:rPr>
                <w:sz w:val="15"/>
                <w:szCs w:val="15"/>
                <w:color w:val="auto"/>
              </w:rPr>
            </w:pPr>
          </w:p>
        </w:tc>
      </w:tr>
      <w:tr>
        <w:trPr>
          <w:trHeight w:val="150"/>
        </w:trPr>
        <w:tc>
          <w:tcPr>
            <w:tcW w:w="4200" w:type="dxa"/>
            <w:vAlign w:val="bottom"/>
          </w:tcPr>
          <w:p>
            <w:pPr>
              <w:spacing w:after="0"/>
              <w:rPr>
                <w:sz w:val="20"/>
                <w:szCs w:val="20"/>
                <w:color w:val="auto"/>
              </w:rPr>
            </w:pPr>
            <w:r>
              <w:rPr>
                <w:rFonts w:ascii="Arial" w:cs="Arial" w:eastAsia="Arial" w:hAnsi="Arial"/>
                <w:sz w:val="10"/>
                <w:szCs w:val="10"/>
                <w:color w:val="auto"/>
              </w:rPr>
              <w:t>CONSOLIDATED STATEMENT OF CASH FLOWS</w:t>
            </w:r>
          </w:p>
        </w:tc>
        <w:tc>
          <w:tcPr>
            <w:tcW w:w="1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 million</w:t>
            </w:r>
          </w:p>
        </w:tc>
      </w:tr>
      <w:tr>
        <w:trPr>
          <w:trHeight w:val="125"/>
        </w:trPr>
        <w:tc>
          <w:tcPr>
            <w:tcW w:w="42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Notes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8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2019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4200" w:type="dxa"/>
            <w:vAlign w:val="bottom"/>
          </w:tcPr>
          <w:p>
            <w:pPr>
              <w:spacing w:after="0"/>
              <w:rPr>
                <w:sz w:val="20"/>
                <w:szCs w:val="20"/>
                <w:color w:val="auto"/>
              </w:rPr>
            </w:pPr>
            <w:r>
              <w:rPr>
                <w:rFonts w:ascii="Arial" w:cs="Arial" w:eastAsia="Arial" w:hAnsi="Arial"/>
                <w:sz w:val="10"/>
                <w:szCs w:val="10"/>
                <w:color w:val="auto"/>
              </w:rPr>
              <w:t>(Loss)/income before taxation for the period</w:t>
            </w:r>
          </w:p>
        </w:tc>
        <w:tc>
          <w:tcPr>
            <w:tcW w:w="1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(26,967)</w:t>
            </w:r>
          </w:p>
        </w:tc>
        <w:tc>
          <w:tcPr>
            <w:tcW w:w="880" w:type="dxa"/>
            <w:vAlign w:val="bottom"/>
          </w:tcPr>
          <w:p>
            <w:pPr>
              <w:spacing w:after="0"/>
              <w:rPr>
                <w:sz w:val="9"/>
                <w:szCs w:val="9"/>
                <w:color w:val="auto"/>
              </w:rPr>
            </w:pPr>
          </w:p>
        </w:tc>
        <w:tc>
          <w:tcPr>
            <w:tcW w:w="1460" w:type="dxa"/>
            <w:vAlign w:val="bottom"/>
          </w:tcPr>
          <w:p>
            <w:pPr>
              <w:jc w:val="right"/>
              <w:ind w:right="612"/>
              <w:spacing w:after="0"/>
              <w:rPr>
                <w:sz w:val="20"/>
                <w:szCs w:val="20"/>
                <w:color w:val="auto"/>
              </w:rPr>
            </w:pPr>
            <w:r>
              <w:rPr>
                <w:rFonts w:ascii="Arial" w:cs="Arial" w:eastAsia="Arial" w:hAnsi="Arial"/>
                <w:sz w:val="10"/>
                <w:szCs w:val="10"/>
                <w:color w:val="auto"/>
              </w:rPr>
              <w:t>25,485</w:t>
            </w:r>
          </w:p>
        </w:tc>
        <w:tc>
          <w:tcPr>
            <w:tcW w:w="1100" w:type="dxa"/>
            <w:vAlign w:val="bottom"/>
          </w:tcPr>
          <w:p>
            <w:pPr>
              <w:jc w:val="right"/>
              <w:spacing w:after="0"/>
              <w:rPr>
                <w:sz w:val="20"/>
                <w:szCs w:val="20"/>
                <w:color w:val="auto"/>
              </w:rPr>
            </w:pPr>
            <w:r>
              <w:rPr>
                <w:rFonts w:ascii="Arial" w:cs="Arial" w:eastAsia="Arial" w:hAnsi="Arial"/>
                <w:sz w:val="10"/>
                <w:szCs w:val="10"/>
                <w:color w:val="auto"/>
              </w:rPr>
              <w:t>35,621</w:t>
            </w:r>
          </w:p>
        </w:tc>
      </w:tr>
      <w:tr>
        <w:trPr>
          <w:trHeight w:val="123"/>
        </w:trPr>
        <w:tc>
          <w:tcPr>
            <w:tcW w:w="4200" w:type="dxa"/>
            <w:vAlign w:val="bottom"/>
          </w:tcPr>
          <w:p>
            <w:pPr>
              <w:spacing w:after="0"/>
              <w:rPr>
                <w:sz w:val="20"/>
                <w:szCs w:val="20"/>
                <w:color w:val="auto"/>
              </w:rPr>
            </w:pPr>
            <w:r>
              <w:rPr>
                <w:rFonts w:ascii="Arial" w:cs="Arial" w:eastAsia="Arial" w:hAnsi="Arial"/>
                <w:sz w:val="10"/>
                <w:szCs w:val="10"/>
                <w:color w:val="auto"/>
              </w:rPr>
              <w:t>Adjustment for:</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Interest expense (net)</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3,316</w:t>
            </w:r>
          </w:p>
        </w:tc>
        <w:tc>
          <w:tcPr>
            <w:tcW w:w="880" w:type="dxa"/>
            <w:vAlign w:val="bottom"/>
          </w:tcPr>
          <w:p>
            <w:pPr>
              <w:spacing w:after="0"/>
              <w:rPr>
                <w:sz w:val="10"/>
                <w:szCs w:val="10"/>
                <w:color w:val="auto"/>
              </w:rPr>
            </w:pPr>
          </w:p>
        </w:tc>
        <w:tc>
          <w:tcPr>
            <w:tcW w:w="1460" w:type="dxa"/>
            <w:vAlign w:val="bottom"/>
          </w:tcPr>
          <w:p>
            <w:pPr>
              <w:jc w:val="right"/>
              <w:ind w:right="612"/>
              <w:spacing w:after="0"/>
              <w:rPr>
                <w:sz w:val="20"/>
                <w:szCs w:val="20"/>
                <w:color w:val="auto"/>
              </w:rPr>
            </w:pPr>
            <w:r>
              <w:rPr>
                <w:rFonts w:ascii="Arial" w:cs="Arial" w:eastAsia="Arial" w:hAnsi="Arial"/>
                <w:sz w:val="10"/>
                <w:szCs w:val="10"/>
                <w:color w:val="auto"/>
              </w:rPr>
              <w:t>3,705</w:t>
            </w:r>
          </w:p>
        </w:tc>
        <w:tc>
          <w:tcPr>
            <w:tcW w:w="1100" w:type="dxa"/>
            <w:vAlign w:val="bottom"/>
          </w:tcPr>
          <w:p>
            <w:pPr>
              <w:jc w:val="right"/>
              <w:spacing w:after="0"/>
              <w:rPr>
                <w:sz w:val="20"/>
                <w:szCs w:val="20"/>
                <w:color w:val="auto"/>
              </w:rPr>
            </w:pPr>
            <w:r>
              <w:rPr>
                <w:rFonts w:ascii="Arial" w:cs="Arial" w:eastAsia="Arial" w:hAnsi="Arial"/>
                <w:sz w:val="10"/>
                <w:szCs w:val="10"/>
                <w:color w:val="auto"/>
              </w:rPr>
              <w:t>2,878</w:t>
            </w: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Depreciation, depletion and amortisation</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52,444</w:t>
            </w:r>
          </w:p>
        </w:tc>
        <w:tc>
          <w:tcPr>
            <w:tcW w:w="880" w:type="dxa"/>
            <w:vAlign w:val="bottom"/>
          </w:tcPr>
          <w:p>
            <w:pPr>
              <w:spacing w:after="0"/>
              <w:rPr>
                <w:sz w:val="10"/>
                <w:szCs w:val="10"/>
                <w:color w:val="auto"/>
              </w:rPr>
            </w:pPr>
          </w:p>
        </w:tc>
        <w:tc>
          <w:tcPr>
            <w:tcW w:w="1460" w:type="dxa"/>
            <w:vAlign w:val="bottom"/>
          </w:tcPr>
          <w:p>
            <w:pPr>
              <w:jc w:val="right"/>
              <w:ind w:right="612"/>
              <w:spacing w:after="0"/>
              <w:rPr>
                <w:sz w:val="20"/>
                <w:szCs w:val="20"/>
                <w:color w:val="auto"/>
              </w:rPr>
            </w:pPr>
            <w:r>
              <w:rPr>
                <w:rFonts w:ascii="Arial" w:cs="Arial" w:eastAsia="Arial" w:hAnsi="Arial"/>
                <w:sz w:val="10"/>
                <w:szCs w:val="10"/>
                <w:color w:val="auto"/>
              </w:rPr>
              <w:t>28,701</w:t>
            </w:r>
          </w:p>
        </w:tc>
        <w:tc>
          <w:tcPr>
            <w:tcW w:w="1100" w:type="dxa"/>
            <w:vAlign w:val="bottom"/>
          </w:tcPr>
          <w:p>
            <w:pPr>
              <w:jc w:val="right"/>
              <w:spacing w:after="0"/>
              <w:rPr>
                <w:sz w:val="20"/>
                <w:szCs w:val="20"/>
                <w:color w:val="auto"/>
              </w:rPr>
            </w:pPr>
            <w:r>
              <w:rPr>
                <w:rFonts w:ascii="Arial" w:cs="Arial" w:eastAsia="Arial" w:hAnsi="Arial"/>
                <w:sz w:val="10"/>
                <w:szCs w:val="10"/>
                <w:color w:val="auto"/>
              </w:rPr>
              <w:t>22,135</w:t>
            </w: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Exploration well write-offs</w:t>
            </w:r>
          </w:p>
        </w:tc>
        <w:tc>
          <w:tcPr>
            <w:tcW w:w="18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815</w:t>
            </w:r>
          </w:p>
        </w:tc>
        <w:tc>
          <w:tcPr>
            <w:tcW w:w="880" w:type="dxa"/>
            <w:vAlign w:val="bottom"/>
          </w:tcPr>
          <w:p>
            <w:pPr>
              <w:spacing w:after="0"/>
              <w:rPr>
                <w:sz w:val="10"/>
                <w:szCs w:val="10"/>
                <w:color w:val="auto"/>
              </w:rPr>
            </w:pPr>
          </w:p>
        </w:tc>
        <w:tc>
          <w:tcPr>
            <w:tcW w:w="1460" w:type="dxa"/>
            <w:vAlign w:val="bottom"/>
          </w:tcPr>
          <w:p>
            <w:pPr>
              <w:jc w:val="right"/>
              <w:ind w:right="612"/>
              <w:spacing w:after="0"/>
              <w:rPr>
                <w:sz w:val="20"/>
                <w:szCs w:val="20"/>
                <w:color w:val="auto"/>
              </w:rPr>
            </w:pPr>
            <w:r>
              <w:rPr>
                <w:rFonts w:ascii="Arial" w:cs="Arial" w:eastAsia="Arial" w:hAnsi="Arial"/>
                <w:sz w:val="10"/>
                <w:szCs w:val="10"/>
                <w:color w:val="auto"/>
              </w:rPr>
              <w:t>1,218</w:t>
            </w:r>
          </w:p>
        </w:tc>
        <w:tc>
          <w:tcPr>
            <w:tcW w:w="1100" w:type="dxa"/>
            <w:vAlign w:val="bottom"/>
          </w:tcPr>
          <w:p>
            <w:pPr>
              <w:jc w:val="right"/>
              <w:spacing w:after="0"/>
              <w:rPr>
                <w:sz w:val="20"/>
                <w:szCs w:val="20"/>
                <w:color w:val="auto"/>
              </w:rPr>
            </w:pPr>
            <w:r>
              <w:rPr>
                <w:rFonts w:ascii="Arial" w:cs="Arial" w:eastAsia="Arial" w:hAnsi="Arial"/>
                <w:sz w:val="10"/>
                <w:szCs w:val="10"/>
                <w:color w:val="auto"/>
              </w:rPr>
              <w:t>449</w:t>
            </w: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Net gains on sale and revaluation of non-current assets and businesses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(286)</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(2,519)</w:t>
            </w:r>
          </w:p>
        </w:tc>
        <w:tc>
          <w:tcPr>
            <w:tcW w:w="1100" w:type="dxa"/>
            <w:vAlign w:val="bottom"/>
          </w:tcPr>
          <w:p>
            <w:pPr>
              <w:jc w:val="right"/>
              <w:spacing w:after="0"/>
              <w:rPr>
                <w:sz w:val="20"/>
                <w:szCs w:val="20"/>
                <w:color w:val="auto"/>
              </w:rPr>
            </w:pPr>
            <w:r>
              <w:rPr>
                <w:rFonts w:ascii="Arial" w:cs="Arial" w:eastAsia="Arial" w:hAnsi="Arial"/>
                <w:sz w:val="10"/>
                <w:szCs w:val="10"/>
                <w:color w:val="auto"/>
              </w:rPr>
              <w:t>(3,265)</w:t>
            </w: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Share of profit of joint ventures and associates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(1,783)</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(3,604)</w:t>
            </w:r>
          </w:p>
        </w:tc>
        <w:tc>
          <w:tcPr>
            <w:tcW w:w="1100" w:type="dxa"/>
            <w:vAlign w:val="bottom"/>
          </w:tcPr>
          <w:p>
            <w:pPr>
              <w:jc w:val="right"/>
              <w:spacing w:after="0"/>
              <w:rPr>
                <w:sz w:val="20"/>
                <w:szCs w:val="20"/>
                <w:color w:val="auto"/>
              </w:rPr>
            </w:pPr>
            <w:r>
              <w:rPr>
                <w:rFonts w:ascii="Arial" w:cs="Arial" w:eastAsia="Arial" w:hAnsi="Arial"/>
                <w:sz w:val="10"/>
                <w:szCs w:val="10"/>
                <w:color w:val="auto"/>
              </w:rPr>
              <w:t>(4,106)</w:t>
            </w: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Dividends received from joint ventures and associates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2,591</w:t>
            </w:r>
          </w:p>
        </w:tc>
        <w:tc>
          <w:tcPr>
            <w:tcW w:w="880" w:type="dxa"/>
            <w:vAlign w:val="bottom"/>
          </w:tcPr>
          <w:p>
            <w:pPr>
              <w:spacing w:after="0"/>
              <w:rPr>
                <w:sz w:val="10"/>
                <w:szCs w:val="10"/>
                <w:color w:val="auto"/>
              </w:rPr>
            </w:pPr>
          </w:p>
        </w:tc>
        <w:tc>
          <w:tcPr>
            <w:tcW w:w="1460" w:type="dxa"/>
            <w:vAlign w:val="bottom"/>
          </w:tcPr>
          <w:p>
            <w:pPr>
              <w:jc w:val="right"/>
              <w:ind w:right="612"/>
              <w:spacing w:after="0"/>
              <w:rPr>
                <w:sz w:val="20"/>
                <w:szCs w:val="20"/>
                <w:color w:val="auto"/>
              </w:rPr>
            </w:pPr>
            <w:r>
              <w:rPr>
                <w:rFonts w:ascii="Arial" w:cs="Arial" w:eastAsia="Arial" w:hAnsi="Arial"/>
                <w:sz w:val="10"/>
                <w:szCs w:val="10"/>
                <w:color w:val="auto"/>
              </w:rPr>
              <w:t>4,139</w:t>
            </w:r>
          </w:p>
        </w:tc>
        <w:tc>
          <w:tcPr>
            <w:tcW w:w="1100" w:type="dxa"/>
            <w:vAlign w:val="bottom"/>
          </w:tcPr>
          <w:p>
            <w:pPr>
              <w:jc w:val="right"/>
              <w:spacing w:after="0"/>
              <w:rPr>
                <w:sz w:val="20"/>
                <w:szCs w:val="20"/>
                <w:color w:val="auto"/>
              </w:rPr>
            </w:pPr>
            <w:r>
              <w:rPr>
                <w:rFonts w:ascii="Arial" w:cs="Arial" w:eastAsia="Arial" w:hAnsi="Arial"/>
                <w:sz w:val="10"/>
                <w:szCs w:val="10"/>
                <w:color w:val="auto"/>
              </w:rPr>
              <w:t>4,903</w:t>
            </w: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Decrease/(increase) in inventories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4,477</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(2,635)</w:t>
            </w:r>
          </w:p>
        </w:tc>
        <w:tc>
          <w:tcPr>
            <w:tcW w:w="1100" w:type="dxa"/>
            <w:vAlign w:val="bottom"/>
          </w:tcPr>
          <w:p>
            <w:pPr>
              <w:jc w:val="right"/>
              <w:spacing w:after="0"/>
              <w:rPr>
                <w:sz w:val="20"/>
                <w:szCs w:val="20"/>
                <w:color w:val="auto"/>
              </w:rPr>
            </w:pPr>
            <w:r>
              <w:rPr>
                <w:rFonts w:ascii="Arial" w:cs="Arial" w:eastAsia="Arial" w:hAnsi="Arial"/>
                <w:sz w:val="10"/>
                <w:szCs w:val="10"/>
                <w:color w:val="auto"/>
              </w:rPr>
              <w:t>2,823</w:t>
            </w: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Decrease/(increase) in current receivables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9,625</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(921)</w:t>
            </w:r>
          </w:p>
        </w:tc>
        <w:tc>
          <w:tcPr>
            <w:tcW w:w="1100" w:type="dxa"/>
            <w:vAlign w:val="bottom"/>
          </w:tcPr>
          <w:p>
            <w:pPr>
              <w:jc w:val="right"/>
              <w:spacing w:after="0"/>
              <w:rPr>
                <w:sz w:val="20"/>
                <w:szCs w:val="20"/>
                <w:color w:val="auto"/>
              </w:rPr>
            </w:pPr>
            <w:r>
              <w:rPr>
                <w:rFonts w:ascii="Arial" w:cs="Arial" w:eastAsia="Arial" w:hAnsi="Arial"/>
                <w:sz w:val="10"/>
                <w:szCs w:val="10"/>
                <w:color w:val="auto"/>
              </w:rPr>
              <w:t>1,955</w:t>
            </w: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Decrease in current payables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(9,494)</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(1,223)</w:t>
            </w:r>
          </w:p>
        </w:tc>
        <w:tc>
          <w:tcPr>
            <w:tcW w:w="1100" w:type="dxa"/>
            <w:vAlign w:val="bottom"/>
          </w:tcPr>
          <w:p>
            <w:pPr>
              <w:jc w:val="right"/>
              <w:spacing w:after="0"/>
              <w:rPr>
                <w:sz w:val="20"/>
                <w:szCs w:val="20"/>
                <w:color w:val="auto"/>
              </w:rPr>
            </w:pPr>
            <w:r>
              <w:rPr>
                <w:rFonts w:ascii="Arial" w:cs="Arial" w:eastAsia="Arial" w:hAnsi="Arial"/>
                <w:sz w:val="10"/>
                <w:szCs w:val="10"/>
                <w:color w:val="auto"/>
              </w:rPr>
              <w:t>(1,336)</w:t>
            </w: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Derivative financial instruments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977</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(1,484)</w:t>
            </w:r>
          </w:p>
        </w:tc>
        <w:tc>
          <w:tcPr>
            <w:tcW w:w="1100" w:type="dxa"/>
            <w:vAlign w:val="bottom"/>
          </w:tcPr>
          <w:p>
            <w:pPr>
              <w:jc w:val="right"/>
              <w:spacing w:after="0"/>
              <w:rPr>
                <w:sz w:val="20"/>
                <w:szCs w:val="20"/>
                <w:color w:val="auto"/>
              </w:rPr>
            </w:pPr>
            <w:r>
              <w:rPr>
                <w:rFonts w:ascii="Arial" w:cs="Arial" w:eastAsia="Arial" w:hAnsi="Arial"/>
                <w:sz w:val="10"/>
                <w:szCs w:val="10"/>
                <w:color w:val="auto"/>
              </w:rPr>
              <w:t>799</w:t>
            </w: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Retirement benefits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568</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(365)</w:t>
            </w:r>
          </w:p>
        </w:tc>
        <w:tc>
          <w:tcPr>
            <w:tcW w:w="1100" w:type="dxa"/>
            <w:vAlign w:val="bottom"/>
          </w:tcPr>
          <w:p>
            <w:pPr>
              <w:jc w:val="right"/>
              <w:spacing w:after="0"/>
              <w:rPr>
                <w:sz w:val="20"/>
                <w:szCs w:val="20"/>
                <w:color w:val="auto"/>
              </w:rPr>
            </w:pPr>
            <w:r>
              <w:rPr>
                <w:rFonts w:ascii="Arial" w:cs="Arial" w:eastAsia="Arial" w:hAnsi="Arial"/>
                <w:sz w:val="10"/>
                <w:szCs w:val="10"/>
                <w:color w:val="auto"/>
              </w:rPr>
              <w:t>390</w:t>
            </w: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Decommissioning and other provisions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1,104</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(686)</w:t>
            </w:r>
          </w:p>
        </w:tc>
        <w:tc>
          <w:tcPr>
            <w:tcW w:w="1100" w:type="dxa"/>
            <w:vAlign w:val="bottom"/>
          </w:tcPr>
          <w:p>
            <w:pPr>
              <w:jc w:val="right"/>
              <w:spacing w:after="0"/>
              <w:rPr>
                <w:sz w:val="20"/>
                <w:szCs w:val="20"/>
                <w:color w:val="auto"/>
              </w:rPr>
            </w:pPr>
            <w:r>
              <w:rPr>
                <w:rFonts w:ascii="Arial" w:cs="Arial" w:eastAsia="Arial" w:hAnsi="Arial"/>
                <w:sz w:val="10"/>
                <w:szCs w:val="10"/>
                <w:color w:val="auto"/>
              </w:rPr>
              <w:t>(1,754)</w:t>
            </w: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Other</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8</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(28)</w:t>
            </w:r>
          </w:p>
        </w:tc>
        <w:tc>
          <w:tcPr>
            <w:tcW w:w="1100" w:type="dxa"/>
            <w:vAlign w:val="bottom"/>
          </w:tcPr>
          <w:p>
            <w:pPr>
              <w:jc w:val="right"/>
              <w:spacing w:after="0"/>
              <w:rPr>
                <w:sz w:val="20"/>
                <w:szCs w:val="20"/>
                <w:color w:val="auto"/>
              </w:rPr>
            </w:pPr>
            <w:r>
              <w:rPr>
                <w:rFonts w:ascii="Arial" w:cs="Arial" w:eastAsia="Arial" w:hAnsi="Arial"/>
                <w:sz w:val="10"/>
                <w:szCs w:val="10"/>
                <w:color w:val="auto"/>
              </w:rPr>
              <w:t>1,264</w:t>
            </w:r>
          </w:p>
        </w:tc>
      </w:tr>
      <w:tr>
        <w:trPr>
          <w:trHeight w:val="130"/>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Tax paid</w:t>
            </w:r>
          </w:p>
        </w:tc>
        <w:tc>
          <w:tcPr>
            <w:tcW w:w="18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(3,290)</w:t>
            </w:r>
          </w:p>
        </w:tc>
        <w:tc>
          <w:tcPr>
            <w:tcW w:w="8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(7,605)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(9,671)</w:t>
            </w:r>
          </w:p>
        </w:tc>
      </w:tr>
      <w:tr>
        <w:trPr>
          <w:trHeight w:val="118"/>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Cash flow from operating activities</w:t>
            </w:r>
          </w:p>
        </w:tc>
        <w:tc>
          <w:tcPr>
            <w:tcW w:w="18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34,105</w:t>
            </w:r>
          </w:p>
        </w:tc>
        <w:tc>
          <w:tcPr>
            <w:tcW w:w="8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42,178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53,085</w:t>
            </w:r>
          </w:p>
        </w:tc>
      </w:tr>
      <w:tr>
        <w:trPr>
          <w:trHeight w:val="112"/>
        </w:trPr>
        <w:tc>
          <w:tcPr>
            <w:tcW w:w="4200" w:type="dxa"/>
            <w:vAlign w:val="bottom"/>
          </w:tcPr>
          <w:p>
            <w:pPr>
              <w:spacing w:after="0" w:line="112" w:lineRule="exact"/>
              <w:rPr>
                <w:sz w:val="20"/>
                <w:szCs w:val="20"/>
                <w:color w:val="auto"/>
              </w:rPr>
            </w:pPr>
            <w:r>
              <w:rPr>
                <w:rFonts w:ascii="Arial" w:cs="Arial" w:eastAsia="Arial" w:hAnsi="Arial"/>
                <w:sz w:val="10"/>
                <w:szCs w:val="10"/>
                <w:color w:val="auto"/>
              </w:rPr>
              <w:t>Capital expenditure</w:t>
            </w:r>
          </w:p>
        </w:tc>
        <w:tc>
          <w:tcPr>
            <w:tcW w:w="1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shd w:val="clear" w:color="auto" w:fill="CDCDCD"/>
          </w:tcPr>
          <w:p>
            <w:pPr>
              <w:jc w:val="right"/>
              <w:spacing w:after="0" w:line="112" w:lineRule="exact"/>
              <w:rPr>
                <w:sz w:val="20"/>
                <w:szCs w:val="20"/>
                <w:color w:val="auto"/>
              </w:rPr>
            </w:pPr>
            <w:r>
              <w:rPr>
                <w:rFonts w:ascii="Arial" w:cs="Arial" w:eastAsia="Arial" w:hAnsi="Arial"/>
                <w:sz w:val="10"/>
                <w:szCs w:val="10"/>
                <w:color w:val="auto"/>
              </w:rPr>
              <w:t>(16,585)</w:t>
            </w:r>
          </w:p>
        </w:tc>
        <w:tc>
          <w:tcPr>
            <w:tcW w:w="880" w:type="dxa"/>
            <w:vAlign w:val="bottom"/>
          </w:tcPr>
          <w:p>
            <w:pPr>
              <w:spacing w:after="0"/>
              <w:rPr>
                <w:sz w:val="9"/>
                <w:szCs w:val="9"/>
                <w:color w:val="auto"/>
              </w:rPr>
            </w:pPr>
          </w:p>
        </w:tc>
        <w:tc>
          <w:tcPr>
            <w:tcW w:w="1460" w:type="dxa"/>
            <w:vAlign w:val="bottom"/>
          </w:tcPr>
          <w:p>
            <w:pPr>
              <w:jc w:val="right"/>
              <w:ind w:right="592"/>
              <w:spacing w:after="0" w:line="112" w:lineRule="exact"/>
              <w:rPr>
                <w:sz w:val="20"/>
                <w:szCs w:val="20"/>
                <w:color w:val="auto"/>
              </w:rPr>
            </w:pPr>
            <w:r>
              <w:rPr>
                <w:rFonts w:ascii="Arial" w:cs="Arial" w:eastAsia="Arial" w:hAnsi="Arial"/>
                <w:sz w:val="10"/>
                <w:szCs w:val="10"/>
                <w:color w:val="auto"/>
              </w:rPr>
              <w:t>(22,971)</w:t>
            </w:r>
          </w:p>
        </w:tc>
        <w:tc>
          <w:tcPr>
            <w:tcW w:w="1100" w:type="dxa"/>
            <w:vAlign w:val="bottom"/>
          </w:tcPr>
          <w:p>
            <w:pPr>
              <w:jc w:val="right"/>
              <w:spacing w:after="0" w:line="112" w:lineRule="exact"/>
              <w:rPr>
                <w:sz w:val="20"/>
                <w:szCs w:val="20"/>
                <w:color w:val="auto"/>
              </w:rPr>
            </w:pPr>
            <w:r>
              <w:rPr>
                <w:rFonts w:ascii="Arial" w:cs="Arial" w:eastAsia="Arial" w:hAnsi="Arial"/>
                <w:sz w:val="10"/>
                <w:szCs w:val="10"/>
                <w:color w:val="auto"/>
              </w:rPr>
              <w:t>(23,011)</w:t>
            </w:r>
          </w:p>
        </w:tc>
      </w:tr>
      <w:tr>
        <w:trPr>
          <w:trHeight w:val="123"/>
        </w:trPr>
        <w:tc>
          <w:tcPr>
            <w:tcW w:w="4200" w:type="dxa"/>
            <w:vAlign w:val="bottom"/>
          </w:tcPr>
          <w:p>
            <w:pPr>
              <w:spacing w:after="0"/>
              <w:rPr>
                <w:sz w:val="20"/>
                <w:szCs w:val="20"/>
                <w:color w:val="auto"/>
              </w:rPr>
            </w:pPr>
            <w:r>
              <w:rPr>
                <w:rFonts w:ascii="Arial" w:cs="Arial" w:eastAsia="Arial" w:hAnsi="Arial"/>
                <w:sz w:val="10"/>
                <w:szCs w:val="10"/>
                <w:color w:val="auto"/>
              </w:rPr>
              <w:t>Investments in joint ventures and associates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(1,024)</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(743)</w:t>
            </w:r>
          </w:p>
        </w:tc>
        <w:tc>
          <w:tcPr>
            <w:tcW w:w="1100" w:type="dxa"/>
            <w:vAlign w:val="bottom"/>
          </w:tcPr>
          <w:p>
            <w:pPr>
              <w:jc w:val="right"/>
              <w:spacing w:after="0"/>
              <w:rPr>
                <w:sz w:val="20"/>
                <w:szCs w:val="20"/>
                <w:color w:val="auto"/>
              </w:rPr>
            </w:pPr>
            <w:r>
              <w:rPr>
                <w:rFonts w:ascii="Arial" w:cs="Arial" w:eastAsia="Arial" w:hAnsi="Arial"/>
                <w:sz w:val="10"/>
                <w:szCs w:val="10"/>
                <w:color w:val="auto"/>
              </w:rPr>
              <w:t>(880)</w:t>
            </w: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Investment in equity securities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(218)</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(205)</w:t>
            </w:r>
          </w:p>
        </w:tc>
        <w:tc>
          <w:tcPr>
            <w:tcW w:w="1100" w:type="dxa"/>
            <w:vAlign w:val="bottom"/>
          </w:tcPr>
          <w:p>
            <w:pPr>
              <w:jc w:val="right"/>
              <w:spacing w:after="0"/>
              <w:rPr>
                <w:sz w:val="20"/>
                <w:szCs w:val="20"/>
                <w:color w:val="auto"/>
              </w:rPr>
            </w:pPr>
            <w:r>
              <w:rPr>
                <w:rFonts w:ascii="Arial" w:cs="Arial" w:eastAsia="Arial" w:hAnsi="Arial"/>
                <w:sz w:val="10"/>
                <w:szCs w:val="10"/>
                <w:color w:val="auto"/>
              </w:rPr>
              <w:t>(187)</w:t>
            </w: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Proceeds from sale of property, plant and equipment and businesses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2,489</w:t>
            </w:r>
          </w:p>
        </w:tc>
        <w:tc>
          <w:tcPr>
            <w:tcW w:w="880" w:type="dxa"/>
            <w:vAlign w:val="bottom"/>
          </w:tcPr>
          <w:p>
            <w:pPr>
              <w:spacing w:after="0"/>
              <w:rPr>
                <w:sz w:val="10"/>
                <w:szCs w:val="10"/>
                <w:color w:val="auto"/>
              </w:rPr>
            </w:pPr>
          </w:p>
        </w:tc>
        <w:tc>
          <w:tcPr>
            <w:tcW w:w="1460" w:type="dxa"/>
            <w:vAlign w:val="bottom"/>
          </w:tcPr>
          <w:p>
            <w:pPr>
              <w:jc w:val="right"/>
              <w:ind w:right="612"/>
              <w:spacing w:after="0"/>
              <w:rPr>
                <w:sz w:val="20"/>
                <w:szCs w:val="20"/>
                <w:color w:val="auto"/>
              </w:rPr>
            </w:pPr>
            <w:r>
              <w:rPr>
                <w:rFonts w:ascii="Arial" w:cs="Arial" w:eastAsia="Arial" w:hAnsi="Arial"/>
                <w:sz w:val="10"/>
                <w:szCs w:val="10"/>
                <w:color w:val="auto"/>
              </w:rPr>
              <w:t>4,803</w:t>
            </w:r>
          </w:p>
        </w:tc>
        <w:tc>
          <w:tcPr>
            <w:tcW w:w="1100" w:type="dxa"/>
            <w:vAlign w:val="bottom"/>
          </w:tcPr>
          <w:p>
            <w:pPr>
              <w:jc w:val="right"/>
              <w:spacing w:after="0"/>
              <w:rPr>
                <w:sz w:val="20"/>
                <w:szCs w:val="20"/>
                <w:color w:val="auto"/>
              </w:rPr>
            </w:pPr>
            <w:r>
              <w:rPr>
                <w:rFonts w:ascii="Arial" w:cs="Arial" w:eastAsia="Arial" w:hAnsi="Arial"/>
                <w:sz w:val="10"/>
                <w:szCs w:val="10"/>
                <w:color w:val="auto"/>
              </w:rPr>
              <w:t>4,366</w:t>
            </w: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Proceeds from sale of joint ventures and associates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1,240</w:t>
            </w:r>
          </w:p>
        </w:tc>
        <w:tc>
          <w:tcPr>
            <w:tcW w:w="880" w:type="dxa"/>
            <w:vAlign w:val="bottom"/>
          </w:tcPr>
          <w:p>
            <w:pPr>
              <w:spacing w:after="0"/>
              <w:rPr>
                <w:sz w:val="10"/>
                <w:szCs w:val="10"/>
                <w:color w:val="auto"/>
              </w:rPr>
            </w:pPr>
          </w:p>
        </w:tc>
        <w:tc>
          <w:tcPr>
            <w:tcW w:w="1460" w:type="dxa"/>
            <w:vAlign w:val="bottom"/>
          </w:tcPr>
          <w:p>
            <w:pPr>
              <w:jc w:val="right"/>
              <w:ind w:right="612"/>
              <w:spacing w:after="0"/>
              <w:rPr>
                <w:sz w:val="20"/>
                <w:szCs w:val="20"/>
                <w:color w:val="auto"/>
              </w:rPr>
            </w:pPr>
            <w:r>
              <w:rPr>
                <w:rFonts w:ascii="Arial" w:cs="Arial" w:eastAsia="Arial" w:hAnsi="Arial"/>
                <w:sz w:val="10"/>
                <w:szCs w:val="10"/>
                <w:color w:val="auto"/>
              </w:rPr>
              <w:t>2,599</w:t>
            </w:r>
          </w:p>
        </w:tc>
        <w:tc>
          <w:tcPr>
            <w:tcW w:w="1100" w:type="dxa"/>
            <w:vAlign w:val="bottom"/>
          </w:tcPr>
          <w:p>
            <w:pPr>
              <w:jc w:val="right"/>
              <w:spacing w:after="0"/>
              <w:rPr>
                <w:sz w:val="20"/>
                <w:szCs w:val="20"/>
                <w:color w:val="auto"/>
              </w:rPr>
            </w:pPr>
            <w:r>
              <w:rPr>
                <w:rFonts w:ascii="Arial" w:cs="Arial" w:eastAsia="Arial" w:hAnsi="Arial"/>
                <w:sz w:val="10"/>
                <w:szCs w:val="10"/>
                <w:color w:val="auto"/>
              </w:rPr>
              <w:t>1,594</w:t>
            </w: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Proceeds from sale of equity securities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281</w:t>
            </w:r>
          </w:p>
        </w:tc>
        <w:tc>
          <w:tcPr>
            <w:tcW w:w="880" w:type="dxa"/>
            <w:vAlign w:val="bottom"/>
          </w:tcPr>
          <w:p>
            <w:pPr>
              <w:spacing w:after="0"/>
              <w:rPr>
                <w:sz w:val="10"/>
                <w:szCs w:val="10"/>
                <w:color w:val="auto"/>
              </w:rPr>
            </w:pPr>
          </w:p>
        </w:tc>
        <w:tc>
          <w:tcPr>
            <w:tcW w:w="1460" w:type="dxa"/>
            <w:vAlign w:val="bottom"/>
          </w:tcPr>
          <w:p>
            <w:pPr>
              <w:jc w:val="right"/>
              <w:ind w:right="612"/>
              <w:spacing w:after="0"/>
              <w:rPr>
                <w:sz w:val="20"/>
                <w:szCs w:val="20"/>
                <w:color w:val="auto"/>
              </w:rPr>
            </w:pPr>
            <w:r>
              <w:rPr>
                <w:rFonts w:ascii="Arial" w:cs="Arial" w:eastAsia="Arial" w:hAnsi="Arial"/>
                <w:sz w:val="10"/>
                <w:szCs w:val="10"/>
                <w:color w:val="auto"/>
              </w:rPr>
              <w:t>469</w:t>
            </w:r>
          </w:p>
        </w:tc>
        <w:tc>
          <w:tcPr>
            <w:tcW w:w="1100" w:type="dxa"/>
            <w:vAlign w:val="bottom"/>
          </w:tcPr>
          <w:p>
            <w:pPr>
              <w:jc w:val="right"/>
              <w:spacing w:after="0"/>
              <w:rPr>
                <w:sz w:val="20"/>
                <w:szCs w:val="20"/>
                <w:color w:val="auto"/>
              </w:rPr>
            </w:pPr>
            <w:r>
              <w:rPr>
                <w:rFonts w:ascii="Arial" w:cs="Arial" w:eastAsia="Arial" w:hAnsi="Arial"/>
                <w:sz w:val="10"/>
                <w:szCs w:val="10"/>
                <w:color w:val="auto"/>
              </w:rPr>
              <w:t>4,505</w:t>
            </w: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Interest received</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532</w:t>
            </w:r>
          </w:p>
        </w:tc>
        <w:tc>
          <w:tcPr>
            <w:tcW w:w="880" w:type="dxa"/>
            <w:vAlign w:val="bottom"/>
          </w:tcPr>
          <w:p>
            <w:pPr>
              <w:spacing w:after="0"/>
              <w:rPr>
                <w:sz w:val="10"/>
                <w:szCs w:val="10"/>
                <w:color w:val="auto"/>
              </w:rPr>
            </w:pPr>
          </w:p>
        </w:tc>
        <w:tc>
          <w:tcPr>
            <w:tcW w:w="1460" w:type="dxa"/>
            <w:vAlign w:val="bottom"/>
          </w:tcPr>
          <w:p>
            <w:pPr>
              <w:jc w:val="right"/>
              <w:ind w:right="612"/>
              <w:spacing w:after="0"/>
              <w:rPr>
                <w:sz w:val="20"/>
                <w:szCs w:val="20"/>
                <w:color w:val="auto"/>
              </w:rPr>
            </w:pPr>
            <w:r>
              <w:rPr>
                <w:rFonts w:ascii="Arial" w:cs="Arial" w:eastAsia="Arial" w:hAnsi="Arial"/>
                <w:sz w:val="10"/>
                <w:szCs w:val="10"/>
                <w:color w:val="auto"/>
              </w:rPr>
              <w:t>911</w:t>
            </w:r>
          </w:p>
        </w:tc>
        <w:tc>
          <w:tcPr>
            <w:tcW w:w="1100" w:type="dxa"/>
            <w:vAlign w:val="bottom"/>
          </w:tcPr>
          <w:p>
            <w:pPr>
              <w:jc w:val="right"/>
              <w:spacing w:after="0"/>
              <w:rPr>
                <w:sz w:val="20"/>
                <w:szCs w:val="20"/>
                <w:color w:val="auto"/>
              </w:rPr>
            </w:pPr>
            <w:r>
              <w:rPr>
                <w:rFonts w:ascii="Arial" w:cs="Arial" w:eastAsia="Arial" w:hAnsi="Arial"/>
                <w:sz w:val="10"/>
                <w:szCs w:val="10"/>
                <w:color w:val="auto"/>
              </w:rPr>
              <w:t>823</w:t>
            </w:r>
          </w:p>
        </w:tc>
      </w:tr>
      <w:tr>
        <w:trPr>
          <w:trHeight w:val="130"/>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investing cash inflows</w:t>
            </w:r>
          </w:p>
        </w:tc>
        <w:tc>
          <w:tcPr>
            <w:tcW w:w="18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3,239</w:t>
            </w:r>
          </w:p>
        </w:tc>
        <w:tc>
          <w:tcPr>
            <w:tcW w:w="8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2,921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1,373</w:t>
            </w:r>
          </w:p>
        </w:tc>
      </w:tr>
      <w:tr>
        <w:trPr>
          <w:trHeight w:val="117"/>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investing cash outflows</w:t>
            </w:r>
          </w:p>
        </w:tc>
        <w:tc>
          <w:tcPr>
            <w:tcW w:w="18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(3,232)</w:t>
            </w:r>
          </w:p>
        </w:tc>
        <w:tc>
          <w:tcPr>
            <w:tcW w:w="8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(3,563)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(2,242)</w:t>
            </w:r>
          </w:p>
        </w:tc>
      </w:tr>
      <w:tr>
        <w:trPr>
          <w:trHeight w:val="116"/>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Cash flow from investing activities</w:t>
            </w:r>
          </w:p>
        </w:tc>
        <w:tc>
          <w:tcPr>
            <w:tcW w:w="18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(13,278)</w:t>
            </w:r>
          </w:p>
        </w:tc>
        <w:tc>
          <w:tcPr>
            <w:tcW w:w="8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(15,779)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(13,659)</w:t>
            </w:r>
          </w:p>
        </w:tc>
      </w:tr>
      <w:tr>
        <w:trPr>
          <w:trHeight w:val="112"/>
        </w:trPr>
        <w:tc>
          <w:tcPr>
            <w:tcW w:w="4200" w:type="dxa"/>
            <w:vAlign w:val="bottom"/>
          </w:tcPr>
          <w:p>
            <w:pPr>
              <w:spacing w:after="0" w:line="112" w:lineRule="exact"/>
              <w:rPr>
                <w:sz w:val="20"/>
                <w:szCs w:val="20"/>
                <w:color w:val="auto"/>
              </w:rPr>
            </w:pPr>
            <w:r>
              <w:rPr>
                <w:rFonts w:ascii="Arial" w:cs="Arial" w:eastAsia="Arial" w:hAnsi="Arial"/>
                <w:sz w:val="10"/>
                <w:szCs w:val="10"/>
                <w:color w:val="auto"/>
              </w:rPr>
              <w:t>Net decrease in debt with maturity period within three months</w:t>
            </w:r>
          </w:p>
        </w:tc>
        <w:tc>
          <w:tcPr>
            <w:tcW w:w="1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shd w:val="clear" w:color="auto" w:fill="CDCDCD"/>
          </w:tcPr>
          <w:p>
            <w:pPr>
              <w:jc w:val="right"/>
              <w:spacing w:after="0" w:line="112" w:lineRule="exact"/>
              <w:rPr>
                <w:sz w:val="20"/>
                <w:szCs w:val="20"/>
                <w:color w:val="auto"/>
              </w:rPr>
            </w:pPr>
            <w:r>
              <w:rPr>
                <w:rFonts w:ascii="Arial" w:cs="Arial" w:eastAsia="Arial" w:hAnsi="Arial"/>
                <w:sz w:val="10"/>
                <w:szCs w:val="10"/>
                <w:color w:val="auto"/>
              </w:rPr>
              <w:t>(63)</w:t>
            </w:r>
          </w:p>
        </w:tc>
        <w:tc>
          <w:tcPr>
            <w:tcW w:w="880" w:type="dxa"/>
            <w:vAlign w:val="bottom"/>
          </w:tcPr>
          <w:p>
            <w:pPr>
              <w:spacing w:after="0"/>
              <w:rPr>
                <w:sz w:val="9"/>
                <w:szCs w:val="9"/>
                <w:color w:val="auto"/>
              </w:rPr>
            </w:pPr>
          </w:p>
        </w:tc>
        <w:tc>
          <w:tcPr>
            <w:tcW w:w="1460" w:type="dxa"/>
            <w:vAlign w:val="bottom"/>
          </w:tcPr>
          <w:p>
            <w:pPr>
              <w:jc w:val="right"/>
              <w:ind w:right="592"/>
              <w:spacing w:after="0" w:line="112" w:lineRule="exact"/>
              <w:rPr>
                <w:sz w:val="20"/>
                <w:szCs w:val="20"/>
                <w:color w:val="auto"/>
              </w:rPr>
            </w:pPr>
            <w:r>
              <w:rPr>
                <w:rFonts w:ascii="Arial" w:cs="Arial" w:eastAsia="Arial" w:hAnsi="Arial"/>
                <w:sz w:val="10"/>
                <w:szCs w:val="10"/>
                <w:color w:val="auto"/>
              </w:rPr>
              <w:t>(308)</w:t>
            </w:r>
          </w:p>
        </w:tc>
        <w:tc>
          <w:tcPr>
            <w:tcW w:w="1100" w:type="dxa"/>
            <w:vAlign w:val="bottom"/>
          </w:tcPr>
          <w:p>
            <w:pPr>
              <w:jc w:val="right"/>
              <w:spacing w:after="0" w:line="112" w:lineRule="exact"/>
              <w:rPr>
                <w:sz w:val="20"/>
                <w:szCs w:val="20"/>
                <w:color w:val="auto"/>
              </w:rPr>
            </w:pPr>
            <w:r>
              <w:rPr>
                <w:rFonts w:ascii="Arial" w:cs="Arial" w:eastAsia="Arial" w:hAnsi="Arial"/>
                <w:sz w:val="10"/>
                <w:szCs w:val="10"/>
                <w:color w:val="auto"/>
              </w:rPr>
              <w:t>(396)</w:t>
            </w:r>
          </w:p>
        </w:tc>
      </w:tr>
      <w:tr>
        <w:trPr>
          <w:trHeight w:val="123"/>
        </w:trPr>
        <w:tc>
          <w:tcPr>
            <w:tcW w:w="4200" w:type="dxa"/>
            <w:vAlign w:val="bottom"/>
          </w:tcPr>
          <w:p>
            <w:pPr>
              <w:spacing w:after="0"/>
              <w:rPr>
                <w:sz w:val="20"/>
                <w:szCs w:val="20"/>
                <w:color w:val="auto"/>
              </w:rPr>
            </w:pPr>
            <w:r>
              <w:rPr>
                <w:rFonts w:ascii="Arial" w:cs="Arial" w:eastAsia="Arial" w:hAnsi="Arial"/>
                <w:sz w:val="10"/>
                <w:szCs w:val="10"/>
                <w:color w:val="auto"/>
              </w:rPr>
              <w:t>Other debt:</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New borrowings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23,033</w:t>
            </w:r>
          </w:p>
        </w:tc>
        <w:tc>
          <w:tcPr>
            <w:tcW w:w="880" w:type="dxa"/>
            <w:vAlign w:val="bottom"/>
          </w:tcPr>
          <w:p>
            <w:pPr>
              <w:spacing w:after="0"/>
              <w:rPr>
                <w:sz w:val="10"/>
                <w:szCs w:val="10"/>
                <w:color w:val="auto"/>
              </w:rPr>
            </w:pPr>
          </w:p>
        </w:tc>
        <w:tc>
          <w:tcPr>
            <w:tcW w:w="1460" w:type="dxa"/>
            <w:vAlign w:val="bottom"/>
          </w:tcPr>
          <w:p>
            <w:pPr>
              <w:jc w:val="right"/>
              <w:ind w:right="612"/>
              <w:spacing w:after="0"/>
              <w:rPr>
                <w:sz w:val="20"/>
                <w:szCs w:val="20"/>
                <w:color w:val="auto"/>
              </w:rPr>
            </w:pPr>
            <w:r>
              <w:rPr>
                <w:rFonts w:ascii="Arial" w:cs="Arial" w:eastAsia="Arial" w:hAnsi="Arial"/>
                <w:sz w:val="10"/>
                <w:szCs w:val="10"/>
                <w:color w:val="auto"/>
              </w:rPr>
              <w:t>11,185</w:t>
            </w:r>
          </w:p>
        </w:tc>
        <w:tc>
          <w:tcPr>
            <w:tcW w:w="1100" w:type="dxa"/>
            <w:vAlign w:val="bottom"/>
          </w:tcPr>
          <w:p>
            <w:pPr>
              <w:jc w:val="right"/>
              <w:spacing w:after="0"/>
              <w:rPr>
                <w:sz w:val="20"/>
                <w:szCs w:val="20"/>
                <w:color w:val="auto"/>
              </w:rPr>
            </w:pPr>
            <w:r>
              <w:rPr>
                <w:rFonts w:ascii="Arial" w:cs="Arial" w:eastAsia="Arial" w:hAnsi="Arial"/>
                <w:sz w:val="10"/>
                <w:szCs w:val="10"/>
                <w:color w:val="auto"/>
              </w:rPr>
              <w:t>3,977</w:t>
            </w: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Repayments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(17,385)</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(14,292)</w:t>
            </w:r>
          </w:p>
        </w:tc>
        <w:tc>
          <w:tcPr>
            <w:tcW w:w="1100" w:type="dxa"/>
            <w:vAlign w:val="bottom"/>
          </w:tcPr>
          <w:p>
            <w:pPr>
              <w:jc w:val="right"/>
              <w:spacing w:after="0"/>
              <w:rPr>
                <w:sz w:val="20"/>
                <w:szCs w:val="20"/>
                <w:color w:val="auto"/>
              </w:rPr>
            </w:pPr>
            <w:r>
              <w:rPr>
                <w:rFonts w:ascii="Arial" w:cs="Arial" w:eastAsia="Arial" w:hAnsi="Arial"/>
                <w:sz w:val="10"/>
                <w:szCs w:val="10"/>
                <w:color w:val="auto"/>
              </w:rPr>
              <w:t>(11,912)</w:t>
            </w: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Interest paid</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(4,105)</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(4,649)</w:t>
            </w:r>
          </w:p>
        </w:tc>
        <w:tc>
          <w:tcPr>
            <w:tcW w:w="1100" w:type="dxa"/>
            <w:vAlign w:val="bottom"/>
          </w:tcPr>
          <w:p>
            <w:pPr>
              <w:jc w:val="right"/>
              <w:spacing w:after="0"/>
              <w:rPr>
                <w:sz w:val="20"/>
                <w:szCs w:val="20"/>
                <w:color w:val="auto"/>
              </w:rPr>
            </w:pPr>
            <w:r>
              <w:rPr>
                <w:rFonts w:ascii="Arial" w:cs="Arial" w:eastAsia="Arial" w:hAnsi="Arial"/>
                <w:sz w:val="10"/>
                <w:szCs w:val="10"/>
                <w:color w:val="auto"/>
              </w:rPr>
              <w:t>(3,574)</w:t>
            </w: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Derivative financial instruments [A]</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1,157</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(48)</w:t>
            </w:r>
          </w:p>
        </w:tc>
        <w:tc>
          <w:tcPr>
            <w:tcW w:w="1100" w:type="dxa"/>
            <w:vAlign w:val="bottom"/>
          </w:tcPr>
          <w:p>
            <w:pPr>
              <w:spacing w:after="0"/>
              <w:rPr>
                <w:sz w:val="10"/>
                <w:szCs w:val="10"/>
                <w:color w:val="auto"/>
              </w:rPr>
            </w:pP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Change in non-controlling interest</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(42)</w:t>
            </w:r>
          </w:p>
        </w:tc>
        <w:tc>
          <w:tcPr>
            <w:tcW w:w="880" w:type="dxa"/>
            <w:vAlign w:val="bottom"/>
          </w:tcPr>
          <w:p>
            <w:pPr>
              <w:spacing w:after="0"/>
              <w:rPr>
                <w:sz w:val="10"/>
                <w:szCs w:val="10"/>
                <w:color w:val="auto"/>
              </w:rPr>
            </w:pPr>
          </w:p>
        </w:tc>
        <w:tc>
          <w:tcPr>
            <w:tcW w:w="1460" w:type="dxa"/>
            <w:vAlign w:val="bottom"/>
          </w:tcPr>
          <w:p>
            <w:pPr>
              <w:jc w:val="right"/>
              <w:ind w:right="612"/>
              <w:spacing w:after="0"/>
              <w:rPr>
                <w:sz w:val="20"/>
                <w:szCs w:val="20"/>
                <w:color w:val="auto"/>
              </w:rPr>
            </w:pPr>
            <w:r>
              <w:rPr>
                <w:rFonts w:ascii="Arial" w:cs="Arial" w:eastAsia="Arial" w:hAnsi="Arial"/>
                <w:sz w:val="10"/>
                <w:szCs w:val="10"/>
                <w:color w:val="auto"/>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678</w:t>
            </w: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Cash dividends paid to:</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Royal Dutch Shell plc shareholders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(7,424)</w:t>
            </w:r>
          </w:p>
        </w:tc>
        <w:tc>
          <w:tcPr>
            <w:tcW w:w="880" w:type="dxa"/>
            <w:vAlign w:val="bottom"/>
          </w:tcPr>
          <w:p>
            <w:pPr>
              <w:ind w:left="260"/>
              <w:spacing w:after="0"/>
              <w:rPr>
                <w:sz w:val="20"/>
                <w:szCs w:val="20"/>
                <w:color w:val="auto"/>
              </w:rPr>
            </w:pPr>
            <w:r>
              <w:rPr>
                <w:rFonts w:ascii="Arial" w:cs="Arial" w:eastAsia="Arial" w:hAnsi="Arial"/>
                <w:sz w:val="10"/>
                <w:szCs w:val="10"/>
                <w:color w:val="auto"/>
              </w:rPr>
              <w:t>[B]</w:t>
            </w: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(15,198)</w:t>
            </w:r>
          </w:p>
        </w:tc>
        <w:tc>
          <w:tcPr>
            <w:tcW w:w="1100" w:type="dxa"/>
            <w:vAlign w:val="bottom"/>
          </w:tcPr>
          <w:p>
            <w:pPr>
              <w:jc w:val="right"/>
              <w:spacing w:after="0"/>
              <w:rPr>
                <w:sz w:val="20"/>
                <w:szCs w:val="20"/>
                <w:color w:val="auto"/>
              </w:rPr>
            </w:pPr>
            <w:r>
              <w:rPr>
                <w:rFonts w:ascii="Arial" w:cs="Arial" w:eastAsia="Arial" w:hAnsi="Arial"/>
                <w:sz w:val="10"/>
                <w:szCs w:val="10"/>
                <w:color w:val="auto"/>
              </w:rPr>
              <w:t>(15,675)</w:t>
            </w: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Non-controlling interest</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(311)</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(537)</w:t>
            </w:r>
          </w:p>
        </w:tc>
        <w:tc>
          <w:tcPr>
            <w:tcW w:w="1100" w:type="dxa"/>
            <w:vAlign w:val="bottom"/>
          </w:tcPr>
          <w:p>
            <w:pPr>
              <w:jc w:val="right"/>
              <w:spacing w:after="0"/>
              <w:rPr>
                <w:sz w:val="20"/>
                <w:szCs w:val="20"/>
                <w:color w:val="auto"/>
              </w:rPr>
            </w:pPr>
            <w:r>
              <w:rPr>
                <w:rFonts w:ascii="Arial" w:cs="Arial" w:eastAsia="Arial" w:hAnsi="Arial"/>
                <w:sz w:val="10"/>
                <w:szCs w:val="10"/>
                <w:color w:val="auto"/>
              </w:rPr>
              <w:t>(584)</w:t>
            </w: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Repurchases of shares</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(1,702)</w:t>
            </w:r>
          </w:p>
        </w:tc>
        <w:tc>
          <w:tcPr>
            <w:tcW w:w="880" w:type="dxa"/>
            <w:vAlign w:val="bottom"/>
          </w:tcPr>
          <w:p>
            <w:pPr>
              <w:spacing w:after="0"/>
              <w:rPr>
                <w:sz w:val="10"/>
                <w:szCs w:val="10"/>
                <w:color w:val="auto"/>
              </w:rPr>
            </w:pPr>
          </w:p>
        </w:tc>
        <w:tc>
          <w:tcPr>
            <w:tcW w:w="1460" w:type="dxa"/>
            <w:vAlign w:val="bottom"/>
          </w:tcPr>
          <w:p>
            <w:pPr>
              <w:jc w:val="right"/>
              <w:ind w:right="592"/>
              <w:spacing w:after="0"/>
              <w:rPr>
                <w:sz w:val="20"/>
                <w:szCs w:val="20"/>
                <w:color w:val="auto"/>
              </w:rPr>
            </w:pPr>
            <w:r>
              <w:rPr>
                <w:rFonts w:ascii="Arial" w:cs="Arial" w:eastAsia="Arial" w:hAnsi="Arial"/>
                <w:sz w:val="10"/>
                <w:szCs w:val="10"/>
                <w:color w:val="auto"/>
              </w:rPr>
              <w:t>(10,188)</w:t>
            </w:r>
          </w:p>
        </w:tc>
        <w:tc>
          <w:tcPr>
            <w:tcW w:w="1100" w:type="dxa"/>
            <w:vAlign w:val="bottom"/>
          </w:tcPr>
          <w:p>
            <w:pPr>
              <w:jc w:val="right"/>
              <w:spacing w:after="0"/>
              <w:rPr>
                <w:sz w:val="20"/>
                <w:szCs w:val="20"/>
                <w:color w:val="auto"/>
              </w:rPr>
            </w:pPr>
            <w:r>
              <w:rPr>
                <w:rFonts w:ascii="Arial" w:cs="Arial" w:eastAsia="Arial" w:hAnsi="Arial"/>
                <w:sz w:val="10"/>
                <w:szCs w:val="10"/>
                <w:color w:val="auto"/>
              </w:rPr>
              <w:t>(3,947)</w:t>
            </w:r>
          </w:p>
        </w:tc>
      </w:tr>
      <w:tr>
        <w:trPr>
          <w:trHeight w:val="130"/>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Shares held in trust: net purchases and dividends received</w:t>
            </w:r>
          </w:p>
        </w:tc>
        <w:tc>
          <w:tcPr>
            <w:tcW w:w="18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(382)</w:t>
            </w:r>
          </w:p>
        </w:tc>
        <w:tc>
          <w:tcPr>
            <w:tcW w:w="8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(1,174)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(1,115)</w:t>
            </w:r>
          </w:p>
        </w:tc>
      </w:tr>
      <w:tr>
        <w:trPr>
          <w:trHeight w:val="118"/>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Cash flow from financing activities</w:t>
            </w:r>
          </w:p>
        </w:tc>
        <w:tc>
          <w:tcPr>
            <w:tcW w:w="18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(7,224)</w:t>
            </w:r>
          </w:p>
        </w:tc>
        <w:tc>
          <w:tcPr>
            <w:tcW w:w="8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(35,209)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(32,548)</w:t>
            </w:r>
          </w:p>
        </w:tc>
      </w:tr>
      <w:tr>
        <w:trPr>
          <w:trHeight w:val="114"/>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Currency translation differences relating to cash and cash equivalents</w:t>
            </w:r>
          </w:p>
        </w:tc>
        <w:tc>
          <w:tcPr>
            <w:tcW w:w="18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172</w:t>
            </w:r>
          </w:p>
        </w:tc>
        <w:tc>
          <w:tcPr>
            <w:tcW w:w="8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124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(449)</w:t>
            </w:r>
          </w:p>
        </w:tc>
      </w:tr>
      <w:tr>
        <w:trPr>
          <w:trHeight w:val="115"/>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Increase/(decrease) in cash and cash equivalents</w:t>
            </w:r>
          </w:p>
        </w:tc>
        <w:tc>
          <w:tcPr>
            <w:tcW w:w="18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13,775</w:t>
            </w:r>
          </w:p>
        </w:tc>
        <w:tc>
          <w:tcPr>
            <w:tcW w:w="8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(8,686)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6,429</w:t>
            </w:r>
          </w:p>
        </w:tc>
      </w:tr>
      <w:tr>
        <w:trPr>
          <w:trHeight w:val="115"/>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Cash and cash equivalents at beginning of year</w:t>
            </w:r>
          </w:p>
        </w:tc>
        <w:tc>
          <w:tcPr>
            <w:tcW w:w="18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18,055</w:t>
            </w:r>
          </w:p>
        </w:tc>
        <w:tc>
          <w:tcPr>
            <w:tcW w:w="8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26,741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20,312</w:t>
            </w:r>
          </w:p>
        </w:tc>
      </w:tr>
      <w:tr>
        <w:trPr>
          <w:trHeight w:val="116"/>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Cash</w:t>
            </w:r>
            <w:r>
              <w:rPr>
                <w:rFonts w:ascii="Arial" w:cs="Arial" w:eastAsia="Arial" w:hAnsi="Arial"/>
                <w:sz w:val="7"/>
                <w:szCs w:val="7"/>
                <w:color w:val="auto"/>
              </w:rPr>
              <w:t>FINANCIAL</w:t>
            </w:r>
            <w:r>
              <w:rPr>
                <w:rFonts w:ascii="Arial" w:cs="Arial" w:eastAsia="Arial" w:hAnsi="Arial"/>
                <w:sz w:val="10"/>
                <w:szCs w:val="10"/>
                <w:b w:val="1"/>
                <w:bCs w:val="1"/>
                <w:color w:val="auto"/>
              </w:rPr>
              <w:t>andcash</w:t>
            </w:r>
            <w:r>
              <w:rPr>
                <w:rFonts w:ascii="Arial" w:cs="Arial" w:eastAsia="Arial" w:hAnsi="Arial"/>
                <w:sz w:val="7"/>
                <w:szCs w:val="7"/>
                <w:color w:val="auto"/>
              </w:rPr>
              <w:t>STATEMENTS</w:t>
            </w:r>
            <w:r>
              <w:rPr>
                <w:rFonts w:ascii="Arial" w:cs="Arial" w:eastAsia="Arial" w:hAnsi="Arial"/>
                <w:sz w:val="10"/>
                <w:szCs w:val="10"/>
                <w:b w:val="1"/>
                <w:bCs w:val="1"/>
                <w:color w:val="auto"/>
              </w:rPr>
              <w:t>equivalents</w:t>
            </w:r>
            <w:r>
              <w:rPr>
                <w:rFonts w:ascii="Arial" w:cs="Arial" w:eastAsia="Arial" w:hAnsi="Arial"/>
                <w:sz w:val="7"/>
                <w:szCs w:val="7"/>
                <w:color w:val="auto"/>
              </w:rPr>
              <w:t>ANDSUPPLEMENTS</w:t>
            </w:r>
            <w:r>
              <w:rPr>
                <w:rFonts w:ascii="Arial" w:cs="Arial" w:eastAsia="Arial" w:hAnsi="Arial"/>
                <w:sz w:val="10"/>
                <w:szCs w:val="10"/>
                <w:b w:val="1"/>
                <w:bCs w:val="1"/>
                <w:color w:val="auto"/>
              </w:rPr>
              <w:t>atendofyear</w:t>
            </w:r>
            <w:r>
              <w:rPr>
                <w:rFonts w:ascii="Arial" w:cs="Arial" w:eastAsia="Arial" w:hAnsi="Arial"/>
                <w:sz w:val="7"/>
                <w:szCs w:val="7"/>
                <w:color w:val="auto"/>
              </w:rPr>
              <w:t>SHELL FORM 20-F 2020</w:t>
            </w:r>
          </w:p>
        </w:tc>
        <w:tc>
          <w:tcPr>
            <w:tcW w:w="1800" w:type="dxa"/>
            <w:vAlign w:val="bottom"/>
            <w:tcBorders>
              <w:bottom w:val="single" w:sz="8" w:color="auto"/>
            </w:tcBorders>
          </w:tcPr>
          <w:p>
            <w:pPr>
              <w:jc w:val="right"/>
              <w:ind w:right="264"/>
              <w:spacing w:after="0"/>
              <w:rPr>
                <w:sz w:val="20"/>
                <w:szCs w:val="20"/>
                <w:color w:val="auto"/>
              </w:rPr>
            </w:pPr>
            <w:r>
              <w:rPr>
                <w:rFonts w:ascii="Arial" w:cs="Arial" w:eastAsia="Arial" w:hAnsi="Arial"/>
                <w:sz w:val="7"/>
                <w:szCs w:val="7"/>
                <w:color w:val="auto"/>
              </w:rPr>
              <w:t>169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b w:val="1"/>
                <w:bCs w:val="1"/>
                <w:color w:val="auto"/>
              </w:rPr>
              <w:t>31,830</w:t>
            </w:r>
          </w:p>
        </w:tc>
        <w:tc>
          <w:tcPr>
            <w:tcW w:w="8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18,055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26,741</w:t>
            </w:r>
          </w:p>
        </w:tc>
      </w:tr>
    </w:tbl>
    <w:p>
      <w:pPr>
        <w:spacing w:after="0" w:line="47" w:lineRule="exact"/>
        <w:rPr>
          <w:sz w:val="20"/>
          <w:szCs w:val="20"/>
          <w:color w:val="auto"/>
        </w:rPr>
      </w:pPr>
    </w:p>
    <w:p>
      <w:pPr>
        <w:ind w:left="128" w:hanging="128"/>
        <w:spacing w:after="0"/>
        <w:tabs>
          <w:tab w:leader="none" w:pos="128" w:val="left"/>
        </w:tabs>
        <w:numPr>
          <w:ilvl w:val="0"/>
          <w:numId w:val="168"/>
        </w:numPr>
        <w:rPr>
          <w:rFonts w:ascii="Arial" w:cs="Arial" w:eastAsia="Arial" w:hAnsi="Arial"/>
          <w:sz w:val="7"/>
          <w:szCs w:val="7"/>
          <w:color w:val="auto"/>
        </w:rPr>
      </w:pPr>
      <w:r>
        <w:rPr>
          <w:rFonts w:ascii="Arial" w:cs="Arial" w:eastAsia="Arial" w:hAnsi="Arial"/>
          <w:sz w:val="7"/>
          <w:szCs w:val="7"/>
          <w:color w:val="auto"/>
        </w:rPr>
        <w:t>As from 2019, a new line item 'Derivative financial instruments' has been introduced for derivatives related to debt.</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68"/>
        </w:numPr>
        <w:rPr>
          <w:rFonts w:ascii="Arial" w:cs="Arial" w:eastAsia="Arial" w:hAnsi="Arial"/>
          <w:sz w:val="7"/>
          <w:szCs w:val="7"/>
          <w:color w:val="auto"/>
        </w:rPr>
      </w:pPr>
      <w:r>
        <w:rPr>
          <w:rFonts w:ascii="Arial" w:cs="Arial" w:eastAsia="Arial" w:hAnsi="Arial"/>
          <w:sz w:val="7"/>
          <w:szCs w:val="7"/>
          <w:color w:val="auto"/>
        </w:rPr>
        <w:t>Cash dividends paid represents the payment of net dividends (after deduction of withholding taxes where applicable) and payment of withholding taxes on dividends paid in the previous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78040" cy="114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83" w:right="299" w:bottom="1440" w:gutter="0" w:footer="0" w:header="0"/>
        </w:sectPr>
      </w:pPr>
    </w:p>
    <w:bookmarkStart w:id="172" w:name="page173"/>
    <w:bookmarkEnd w:id="172"/>
    <w:p>
      <w:pPr>
        <w:ind w:left="20"/>
        <w:spacing w:after="0"/>
        <w:rPr>
          <w:sz w:val="20"/>
          <w:szCs w:val="20"/>
          <w:color w:val="auto"/>
        </w:rPr>
      </w:pPr>
      <w:r>
        <w:rPr>
          <w:rFonts w:ascii="Arial" w:cs="Arial" w:eastAsia="Arial" w:hAnsi="Arial"/>
          <w:sz w:val="22"/>
          <w:szCs w:val="22"/>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462915" cy="228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1"/>
          <w:szCs w:val="11"/>
          <w:color w:val="auto"/>
        </w:rPr>
        <w:t>1 – BASIS OF PREPARATION</w:t>
      </w:r>
    </w:p>
    <w:p>
      <w:pPr>
        <w:ind w:right="20"/>
        <w:spacing w:after="0" w:line="229" w:lineRule="auto"/>
        <w:rPr>
          <w:sz w:val="20"/>
          <w:szCs w:val="20"/>
          <w:color w:val="auto"/>
        </w:rPr>
      </w:pPr>
      <w:r>
        <w:rPr>
          <w:rFonts w:ascii="Arial" w:cs="Arial" w:eastAsia="Arial" w:hAnsi="Arial"/>
          <w:sz w:val="10"/>
          <w:szCs w:val="10"/>
          <w:color w:val="auto"/>
        </w:rPr>
        <w:t>The Consolidated Financial Statements of Royal Dutch Shell plc (the “Company”) and its subsidiaries (collectively referred to as “Shell”) have been prepared in accordance with international accounting standards in conformity with the requirements of the UK Companies Act 2006 (the “Act”), and therefore in accordance with International Financial Reporting Standards (IFRS) adopted pursuant to Regulation (EC) No 1606/2002 as it applies in the European Union. As applied to Shell, there are no material differences from IFRS as issued by the International Accounting Standards Board (IASB); therefore, the Consolidated Financial Statements have been prepared in accordance with IFRS as issued by the IASB.</w:t>
      </w:r>
    </w:p>
    <w:p>
      <w:pPr>
        <w:spacing w:after="0" w:line="149" w:lineRule="exact"/>
        <w:rPr>
          <w:sz w:val="20"/>
          <w:szCs w:val="20"/>
          <w:color w:val="auto"/>
        </w:rPr>
      </w:pPr>
    </w:p>
    <w:p>
      <w:pPr>
        <w:ind w:right="20"/>
        <w:spacing w:after="0" w:line="239" w:lineRule="auto"/>
        <w:rPr>
          <w:sz w:val="20"/>
          <w:szCs w:val="20"/>
          <w:color w:val="auto"/>
        </w:rPr>
      </w:pPr>
      <w:r>
        <w:rPr>
          <w:rFonts w:ascii="Arial" w:cs="Arial" w:eastAsia="Arial" w:hAnsi="Arial"/>
          <w:sz w:val="10"/>
          <w:szCs w:val="10"/>
          <w:color w:val="auto"/>
        </w:rPr>
        <w:t>As described in the accounting policies in Note 2, the Consolidated Financial Statements have been prepared under the historical cost convention except for certain items measured at fair value. Those accounting policies have been applied consistently in all periods, except for the accounting for lease contracts following the prospective adoption of IFRS 16 Leases from January 1, 2019.</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The Consolidated Financial Statements were approved and authorised for issue by the Board of Directors on March 10, 2021.</w:t>
      </w:r>
    </w:p>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auto"/>
        </w:rPr>
        <w:t>2 – SIGNIFICANT ACCOUNTING POLICIES, JUDGEMENTS AND ESTIMATES</w:t>
      </w:r>
    </w:p>
    <w:p>
      <w:pPr>
        <w:spacing w:after="0" w:line="154" w:lineRule="exact"/>
        <w:rPr>
          <w:sz w:val="20"/>
          <w:szCs w:val="20"/>
          <w:color w:val="auto"/>
        </w:rPr>
      </w:pPr>
    </w:p>
    <w:p>
      <w:pPr>
        <w:ind w:right="200"/>
        <w:spacing w:after="0" w:line="232" w:lineRule="auto"/>
        <w:rPr>
          <w:sz w:val="20"/>
          <w:szCs w:val="20"/>
          <w:color w:val="auto"/>
        </w:rPr>
      </w:pPr>
      <w:r>
        <w:rPr>
          <w:rFonts w:ascii="Arial" w:cs="Arial" w:eastAsia="Arial" w:hAnsi="Arial"/>
          <w:sz w:val="10"/>
          <w:szCs w:val="10"/>
          <w:color w:val="auto"/>
        </w:rPr>
        <w:t>This Note describes Shell’s significant accounting policies, which are those relevant to an understanding of the Consolidated Financial Statements. It includes the measurement bases used in preparing the Consolidated Financial Statements. It allows an understanding as to how transactions, other events and conditions are reported. It also describes: (a) judgements, apart from those involving estimations, that management makes in applying the policies that have the most significant effect on the amounts recognised in the Consolidated Financial Statements; and (b) estimations, including assumptions about the future, that management makes in applying the policies. The sources of estimation uncertainty that have a significant risk of a material adjustment to the carrying amounts of assets and liabilities within the next financial year are specifically identified as a significant estimate.</w:t>
      </w:r>
    </w:p>
    <w:p>
      <w:pPr>
        <w:spacing w:after="0" w:line="149" w:lineRule="exact"/>
        <w:rPr>
          <w:sz w:val="20"/>
          <w:szCs w:val="20"/>
          <w:color w:val="auto"/>
        </w:rPr>
      </w:pPr>
    </w:p>
    <w:p>
      <w:pPr>
        <w:ind w:right="260"/>
        <w:spacing w:after="0" w:line="239" w:lineRule="auto"/>
        <w:rPr>
          <w:sz w:val="20"/>
          <w:szCs w:val="20"/>
          <w:color w:val="auto"/>
        </w:rPr>
      </w:pPr>
      <w:r>
        <w:rPr>
          <w:rFonts w:ascii="Arial" w:cs="Arial" w:eastAsia="Arial" w:hAnsi="Arial"/>
          <w:sz w:val="10"/>
          <w:szCs w:val="10"/>
          <w:color w:val="auto"/>
        </w:rPr>
        <w:t xml:space="preserve">The accounting policies applied are consistent with those of the previous financial year except for the adoption as from January 1, 2020 of amendments to IFRS 9 </w:t>
      </w:r>
      <w:r>
        <w:rPr>
          <w:rFonts w:ascii="Arial" w:cs="Arial" w:eastAsia="Arial" w:hAnsi="Arial"/>
          <w:sz w:val="10"/>
          <w:szCs w:val="10"/>
          <w:i w:val="1"/>
          <w:iCs w:val="1"/>
          <w:color w:val="auto"/>
        </w:rPr>
        <w:t>Financial Instruments</w:t>
      </w:r>
      <w:r>
        <w:rPr>
          <w:rFonts w:ascii="Arial" w:cs="Arial" w:eastAsia="Arial" w:hAnsi="Arial"/>
          <w:sz w:val="10"/>
          <w:szCs w:val="10"/>
          <w:color w:val="auto"/>
        </w:rPr>
        <w:t xml:space="preserve"> (IFRS 9) and IFRS 7 </w:t>
      </w:r>
      <w:r>
        <w:rPr>
          <w:rFonts w:ascii="Arial" w:cs="Arial" w:eastAsia="Arial" w:hAnsi="Arial"/>
          <w:sz w:val="10"/>
          <w:szCs w:val="10"/>
          <w:i w:val="1"/>
          <w:iCs w:val="1"/>
          <w:color w:val="auto"/>
        </w:rPr>
        <w:t>Financial Instruments: Disclosures</w:t>
      </w:r>
      <w:r>
        <w:rPr>
          <w:rFonts w:ascii="Arial" w:cs="Arial" w:eastAsia="Arial" w:hAnsi="Arial"/>
          <w:sz w:val="10"/>
          <w:szCs w:val="10"/>
          <w:color w:val="auto"/>
        </w:rPr>
        <w:t xml:space="preserve"> (IFRS 7), and IFRS 3 </w:t>
      </w:r>
      <w:r>
        <w:rPr>
          <w:rFonts w:ascii="Arial" w:cs="Arial" w:eastAsia="Arial" w:hAnsi="Arial"/>
          <w:sz w:val="10"/>
          <w:szCs w:val="10"/>
          <w:i w:val="1"/>
          <w:iCs w:val="1"/>
          <w:color w:val="auto"/>
        </w:rPr>
        <w:t>Business Combinations</w:t>
      </w:r>
      <w:r>
        <w:rPr>
          <w:rFonts w:ascii="Arial" w:cs="Arial" w:eastAsia="Arial" w:hAnsi="Arial"/>
          <w:sz w:val="10"/>
          <w:szCs w:val="10"/>
          <w:color w:val="auto"/>
        </w:rPr>
        <w:t xml:space="preserve"> (IFRS 3).</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The transition to the accounting pronouncements as listed below has no or no material impact.</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IFRS 9 </w:t>
      </w:r>
      <w:r>
        <w:rPr>
          <w:rFonts w:ascii="Arial" w:cs="Arial" w:eastAsia="Arial" w:hAnsi="Arial"/>
          <w:sz w:val="10"/>
          <w:szCs w:val="10"/>
          <w:b w:val="1"/>
          <w:bCs w:val="1"/>
          <w:i w:val="1"/>
          <w:iCs w:val="1"/>
          <w:color w:val="auto"/>
        </w:rPr>
        <w:t>Financial Instruments</w:t>
      </w:r>
      <w:r>
        <w:rPr>
          <w:rFonts w:ascii="Arial" w:cs="Arial" w:eastAsia="Arial" w:hAnsi="Arial"/>
          <w:sz w:val="10"/>
          <w:szCs w:val="10"/>
          <w:b w:val="1"/>
          <w:bCs w:val="1"/>
          <w:color w:val="auto"/>
        </w:rPr>
        <w:t xml:space="preserve"> and IFRS 7 </w:t>
      </w:r>
      <w:r>
        <w:rPr>
          <w:rFonts w:ascii="Arial" w:cs="Arial" w:eastAsia="Arial" w:hAnsi="Arial"/>
          <w:sz w:val="10"/>
          <w:szCs w:val="10"/>
          <w:b w:val="1"/>
          <w:bCs w:val="1"/>
          <w:i w:val="1"/>
          <w:iCs w:val="1"/>
          <w:color w:val="auto"/>
        </w:rPr>
        <w:t>Financial Instruments: Disclosures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Inter-Bank Offered Rate (IBOR) Reform - Phase 1</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IFRS 9 and IFRS 7 contain a temporary targeted exception from applying specific hedge accounting requirements pre-IBOR reform.</w:t>
      </w:r>
    </w:p>
    <w:p>
      <w:pPr>
        <w:spacing w:after="0" w:line="155" w:lineRule="exact"/>
        <w:rPr>
          <w:sz w:val="20"/>
          <w:szCs w:val="20"/>
          <w:color w:val="auto"/>
        </w:rPr>
      </w:pPr>
    </w:p>
    <w:p>
      <w:pPr>
        <w:ind w:right="460"/>
        <w:spacing w:after="0" w:line="239" w:lineRule="auto"/>
        <w:rPr>
          <w:sz w:val="20"/>
          <w:szCs w:val="20"/>
          <w:color w:val="auto"/>
        </w:rPr>
      </w:pPr>
      <w:r>
        <w:rPr>
          <w:rFonts w:ascii="Arial" w:cs="Arial" w:eastAsia="Arial" w:hAnsi="Arial"/>
          <w:sz w:val="10"/>
          <w:szCs w:val="10"/>
          <w:color w:val="auto"/>
        </w:rPr>
        <w:t>By applying the exception, Shell anticipates that the interest rate benchmark on which the hedged risk is based is not altered as a result of the IBOR reform. However, any hedge ineffectiveness continues to be recorded in the income statement. The exception ceases to apply when the uncertainty arising from interest rate benchmark reform is no longer present.</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IFRS 3 </w:t>
      </w:r>
      <w:r>
        <w:rPr>
          <w:rFonts w:ascii="Arial" w:cs="Arial" w:eastAsia="Arial" w:hAnsi="Arial"/>
          <w:sz w:val="10"/>
          <w:szCs w:val="10"/>
          <w:b w:val="1"/>
          <w:bCs w:val="1"/>
          <w:i w:val="1"/>
          <w:iCs w:val="1"/>
          <w:color w:val="auto"/>
        </w:rPr>
        <w:t>Business Combinations</w:t>
      </w:r>
    </w:p>
    <w:p>
      <w:pPr>
        <w:spacing w:after="0" w:line="3" w:lineRule="exact"/>
        <w:rPr>
          <w:sz w:val="20"/>
          <w:szCs w:val="20"/>
          <w:color w:val="auto"/>
        </w:rPr>
      </w:pPr>
    </w:p>
    <w:p>
      <w:pPr>
        <w:ind w:right="160"/>
        <w:spacing w:after="0" w:line="231" w:lineRule="auto"/>
        <w:rPr>
          <w:sz w:val="20"/>
          <w:szCs w:val="20"/>
          <w:color w:val="auto"/>
        </w:rPr>
      </w:pPr>
      <w:r>
        <w:rPr>
          <w:rFonts w:ascii="Arial" w:cs="Arial" w:eastAsia="Arial" w:hAnsi="Arial"/>
          <w:sz w:val="10"/>
          <w:szCs w:val="10"/>
          <w:color w:val="auto"/>
        </w:rPr>
        <w:t>The amendment to IFRS 3 resolves the difficulties that arose when an entity determined whether it acquired a business or a group of assets. Under the amended definition of a business, an acquisition qualifies as a business combination when the assets and liabilities acquired include an input and a substantive process that together significantly contribute to the ability to create outputs. The amended definition of a business is applied prospectively.</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Nature of the Consolidated Financial Statements</w:t>
      </w:r>
    </w:p>
    <w:p>
      <w:pPr>
        <w:spacing w:after="0" w:line="4" w:lineRule="exact"/>
        <w:rPr>
          <w:sz w:val="20"/>
          <w:szCs w:val="20"/>
          <w:color w:val="auto"/>
        </w:rPr>
      </w:pPr>
    </w:p>
    <w:p>
      <w:pPr>
        <w:ind w:right="80"/>
        <w:spacing w:after="0" w:line="231" w:lineRule="auto"/>
        <w:rPr>
          <w:sz w:val="20"/>
          <w:szCs w:val="20"/>
          <w:color w:val="auto"/>
        </w:rPr>
      </w:pPr>
      <w:r>
        <w:rPr>
          <w:rFonts w:ascii="Arial" w:cs="Arial" w:eastAsia="Arial" w:hAnsi="Arial"/>
          <w:sz w:val="10"/>
          <w:szCs w:val="10"/>
          <w:color w:val="auto"/>
        </w:rPr>
        <w:t>The Consolidated Financial Statements are presented in US dollars (dollars) and comprise the financial statements of the Company and its subsidiaries, being those entities over which the Company has control, either directly or indirectly, through exposure or rights to their variable returns and the ability to affect those returns through its power over the entities. Information about subsidiaries at December 31, 2020, can be found in Exhibit 8.</w:t>
      </w:r>
    </w:p>
    <w:p>
      <w:pPr>
        <w:spacing w:after="0" w:line="149" w:lineRule="exact"/>
        <w:rPr>
          <w:sz w:val="20"/>
          <w:szCs w:val="20"/>
          <w:color w:val="auto"/>
        </w:rPr>
      </w:pPr>
    </w:p>
    <w:p>
      <w:pPr>
        <w:ind w:right="160"/>
        <w:spacing w:after="0" w:line="358" w:lineRule="auto"/>
        <w:rPr>
          <w:sz w:val="20"/>
          <w:szCs w:val="20"/>
          <w:color w:val="auto"/>
        </w:rPr>
      </w:pPr>
      <w:r>
        <w:rPr>
          <w:rFonts w:ascii="Arial" w:cs="Arial" w:eastAsia="Arial" w:hAnsi="Arial"/>
          <w:sz w:val="8"/>
          <w:szCs w:val="8"/>
          <w:color w:val="auto"/>
        </w:rPr>
        <w:t>Subsidiaries are consolidated from the date on which control is obtained until the date that such control ceases, using consistent accounting policies. All inter-company balances and transactions, including unrealised profits arising from such transactions, are eliminated. Unrealised losses are also eliminated unless the transaction provides evidence of an impairment of the asset transferred. Non-controlling interest represents the proportion of income, other comprehensive income and net assets in subsidiaries that is not attributable to the Company’s shareholders.</w:t>
      </w:r>
    </w:p>
    <w:p>
      <w:pPr>
        <w:spacing w:after="0" w:line="10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Climate change and energy transition</w:t>
      </w:r>
    </w:p>
    <w:p>
      <w:pPr>
        <w:spacing w:after="0" w:line="3" w:lineRule="exact"/>
        <w:rPr>
          <w:sz w:val="20"/>
          <w:szCs w:val="20"/>
          <w:color w:val="auto"/>
        </w:rPr>
      </w:pPr>
    </w:p>
    <w:p>
      <w:pPr>
        <w:spacing w:after="0"/>
        <w:rPr>
          <w:sz w:val="20"/>
          <w:szCs w:val="20"/>
          <w:color w:val="auto"/>
        </w:rPr>
      </w:pPr>
      <w:r>
        <w:rPr>
          <w:rFonts w:ascii="Arial" w:cs="Arial" w:eastAsia="Arial" w:hAnsi="Arial"/>
          <w:sz w:val="8"/>
          <w:szCs w:val="8"/>
          <w:color w:val="auto"/>
        </w:rPr>
        <w:t>Meeting the goals of the Paris Agreement is a global and Shell target. Shell’s pathway to Paris alignment is reflected in the Group’s strategy and in 2020 we announced a long-term target to become a net-zero emissions energy business by 2050, in step with society.</w:t>
      </w:r>
    </w:p>
    <w:p>
      <w:pPr>
        <w:spacing w:after="0" w:line="170" w:lineRule="exact"/>
        <w:rPr>
          <w:sz w:val="20"/>
          <w:szCs w:val="20"/>
          <w:color w:val="auto"/>
        </w:rPr>
      </w:pPr>
    </w:p>
    <w:p>
      <w:pPr>
        <w:ind w:right="120"/>
        <w:spacing w:after="0" w:line="239" w:lineRule="auto"/>
        <w:rPr>
          <w:sz w:val="20"/>
          <w:szCs w:val="20"/>
          <w:color w:val="auto"/>
        </w:rPr>
      </w:pPr>
      <w:r>
        <w:rPr>
          <w:rFonts w:ascii="Arial" w:cs="Arial" w:eastAsia="Arial" w:hAnsi="Arial"/>
          <w:sz w:val="10"/>
          <w:szCs w:val="10"/>
          <w:color w:val="auto"/>
        </w:rPr>
        <w:t>It is important to note that the world needs to transform in a number of complex and interconnected ways. While the world has made some movement towards the goals of Paris, unfortunately, society is not yet on a path to meet Paris. Getting the energy system on a path to net-zero emissions will require coordinated action between energy providers, energy users and governments.</w:t>
      </w:r>
    </w:p>
    <w:p>
      <w:pPr>
        <w:spacing w:after="0" w:line="149" w:lineRule="exact"/>
        <w:rPr>
          <w:sz w:val="20"/>
          <w:szCs w:val="20"/>
          <w:color w:val="auto"/>
        </w:rPr>
      </w:pPr>
    </w:p>
    <w:p>
      <w:pPr>
        <w:ind w:right="20"/>
        <w:spacing w:after="0" w:line="239" w:lineRule="auto"/>
        <w:rPr>
          <w:sz w:val="20"/>
          <w:szCs w:val="20"/>
          <w:color w:val="auto"/>
        </w:rPr>
      </w:pPr>
      <w:r>
        <w:rPr>
          <w:rFonts w:ascii="Arial" w:cs="Arial" w:eastAsia="Arial" w:hAnsi="Arial"/>
          <w:sz w:val="10"/>
          <w:szCs w:val="10"/>
          <w:color w:val="auto"/>
        </w:rPr>
        <w:t>One of the key aspects that underpin Shell's financial statements are the oil and gas price and refining margin assumptions. These price assumptions are developed with input from our scenarios and other factors. The mid-price is our reasonable best estimate and the basis for our operating plans, outlooks and impairment testing.</w:t>
      </w:r>
    </w:p>
    <w:p>
      <w:pPr>
        <w:spacing w:after="0" w:line="149" w:lineRule="exact"/>
        <w:rPr>
          <w:sz w:val="20"/>
          <w:szCs w:val="20"/>
          <w:color w:val="auto"/>
        </w:rPr>
      </w:pPr>
    </w:p>
    <w:p>
      <w:pPr>
        <w:ind w:right="40"/>
        <w:spacing w:after="0" w:line="320" w:lineRule="auto"/>
        <w:rPr>
          <w:sz w:val="20"/>
          <w:szCs w:val="20"/>
          <w:color w:val="auto"/>
        </w:rPr>
      </w:pPr>
      <w:r>
        <w:rPr>
          <w:rFonts w:ascii="Arial" w:cs="Arial" w:eastAsia="Arial" w:hAnsi="Arial"/>
          <w:sz w:val="8"/>
          <w:szCs w:val="8"/>
          <w:color w:val="auto"/>
        </w:rPr>
        <w:t>Shell’s operating plan and outlook (including portfolio changes) are forecasted for a 10-year period and include significant actions to reduce its greenhouse gas (GHG) emissions in its journey towards its net-zero emissions target by 2050 as outlined in this report. However, our plan and pricing assumptions do not yet reflect Shell's 2050 net-zero emissions target, because our planning timeframe is 10 years and there is significant uncertainty on how society will transition to net-zero emissions. Instead these reflect the current economic environment, the pace of the world's energy transition and Shell’s reasonable expectation of how the next 10 years will evolve. As society moves towards net-zero emissions, Shell expects its operating plan, outlook and assumptions to be revised accordingly.</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170</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73" w:name="page174"/>
    <w:bookmarkEnd w:id="173"/>
    <w:p>
      <w:pPr>
        <w:ind w:right="20"/>
        <w:spacing w:after="0" w:line="239" w:lineRule="auto"/>
        <w:rPr>
          <w:sz w:val="20"/>
          <w:szCs w:val="20"/>
          <w:color w:val="auto"/>
        </w:rPr>
      </w:pPr>
      <w:r>
        <w:rPr>
          <w:rFonts w:ascii="Arial" w:cs="Arial" w:eastAsia="Arial" w:hAnsi="Arial"/>
          <w:sz w:val="10"/>
          <w:szCs w:val="10"/>
          <w:color w:val="auto"/>
        </w:rPr>
        <w:t>Long term, it is expected that the current Shell portfolio will change and evolve with the energy transition. Decision-making on the future portfolio is guided by the pace of society’s progress and the aim of being in step with society as it moves towards the goal of the Paris Agreement. Shell has set out its strategy of how it will achieve its target to be a net-zero emissions energy business by 2050, in step with society’s progress towards achieving net-zero emissions.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Currency translation</w:t>
      </w:r>
    </w:p>
    <w:p>
      <w:pPr>
        <w:spacing w:after="0" w:line="3" w:lineRule="exact"/>
        <w:rPr>
          <w:sz w:val="20"/>
          <w:szCs w:val="20"/>
          <w:color w:val="auto"/>
        </w:rPr>
      </w:pPr>
    </w:p>
    <w:p>
      <w:pPr>
        <w:ind w:right="60"/>
        <w:spacing w:after="0" w:line="309" w:lineRule="auto"/>
        <w:rPr>
          <w:sz w:val="20"/>
          <w:szCs w:val="20"/>
          <w:color w:val="auto"/>
        </w:rPr>
      </w:pPr>
      <w:r>
        <w:rPr>
          <w:rFonts w:ascii="Arial" w:cs="Arial" w:eastAsia="Arial" w:hAnsi="Arial"/>
          <w:sz w:val="8"/>
          <w:szCs w:val="8"/>
          <w:color w:val="auto"/>
        </w:rPr>
        <w:t>Foreign currency transactions are translated using the exchange rate at the dates of the transactions or valuation where items are remeasured. Foreign exchange gains and losses resulting from the settlement of such transactions and from the translation at quarter-end exchange rates of monetary assets and liabilities denominated in foreign currencies (including those in respect of inter-company balances, unless related to loans of a long-term investment nature) are recognised in income unless when recognised in other comprehensive income in respect of cash flow or net investment hedges. Foreign exchange gains and losses in income are presented within interest and other income or within purchases where not related to financing. Share capital issued in currencies other than the dollar is translated at the exchange rate at the date of issue.</w:t>
      </w:r>
    </w:p>
    <w:p>
      <w:pPr>
        <w:spacing w:after="0" w:line="123" w:lineRule="exact"/>
        <w:rPr>
          <w:sz w:val="20"/>
          <w:szCs w:val="20"/>
          <w:color w:val="auto"/>
        </w:rPr>
      </w:pPr>
    </w:p>
    <w:p>
      <w:pPr>
        <w:ind w:right="240"/>
        <w:spacing w:after="0" w:line="358" w:lineRule="auto"/>
        <w:rPr>
          <w:sz w:val="20"/>
          <w:szCs w:val="20"/>
          <w:color w:val="auto"/>
        </w:rPr>
      </w:pPr>
      <w:r>
        <w:rPr>
          <w:rFonts w:ascii="Arial" w:cs="Arial" w:eastAsia="Arial" w:hAnsi="Arial"/>
          <w:sz w:val="8"/>
          <w:szCs w:val="8"/>
          <w:color w:val="auto"/>
        </w:rPr>
        <w:t>On consolidation, assets and liabilities of non-dollar entities are translated to dollars at year-end rates of exchange, while their statements of income, other comprehensive income and cash flows are translated at quarterly average rates. The resulting translation differences are recognised as currency translation differences within other comprehensive income. Upon sale of all or part of an interest in, or upon liquidation of, an entity, the appropriate portion of cumulative currency translation differences related to that entity is generally recognised in income.</w:t>
      </w:r>
    </w:p>
    <w:p>
      <w:pPr>
        <w:spacing w:after="0" w:line="10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Revenue recognition</w:t>
      </w:r>
    </w:p>
    <w:p>
      <w:pPr>
        <w:spacing w:after="0" w:line="3" w:lineRule="exact"/>
        <w:rPr>
          <w:sz w:val="20"/>
          <w:szCs w:val="20"/>
          <w:color w:val="auto"/>
        </w:rPr>
      </w:pPr>
    </w:p>
    <w:p>
      <w:pPr>
        <w:ind w:right="320"/>
        <w:spacing w:after="0" w:line="231" w:lineRule="auto"/>
        <w:rPr>
          <w:sz w:val="20"/>
          <w:szCs w:val="20"/>
          <w:color w:val="auto"/>
        </w:rPr>
      </w:pPr>
      <w:r>
        <w:rPr>
          <w:rFonts w:ascii="Arial" w:cs="Arial" w:eastAsia="Arial" w:hAnsi="Arial"/>
          <w:sz w:val="10"/>
          <w:szCs w:val="10"/>
          <w:color w:val="auto"/>
        </w:rPr>
        <w:t>Revenue from sales of oil, natural gas, chemicals and other products is recognised at the transaction price to which Shell expects to be entitled, after deducting sales taxes, excise duties and similar levies. For contracts that contain separate performance obligations, the transaction price is allocated to those separate performance obligations by reference to their relative stand-alone selling prices.</w:t>
      </w:r>
    </w:p>
    <w:p>
      <w:pPr>
        <w:spacing w:after="0" w:line="149" w:lineRule="exact"/>
        <w:rPr>
          <w:sz w:val="20"/>
          <w:szCs w:val="20"/>
          <w:color w:val="auto"/>
        </w:rPr>
      </w:pPr>
    </w:p>
    <w:p>
      <w:pPr>
        <w:ind w:right="80"/>
        <w:spacing w:after="0" w:line="358" w:lineRule="auto"/>
        <w:rPr>
          <w:sz w:val="20"/>
          <w:szCs w:val="20"/>
          <w:color w:val="auto"/>
        </w:rPr>
      </w:pPr>
      <w:r>
        <w:rPr>
          <w:rFonts w:ascii="Arial" w:cs="Arial" w:eastAsia="Arial" w:hAnsi="Arial"/>
          <w:sz w:val="8"/>
          <w:szCs w:val="8"/>
          <w:color w:val="auto"/>
        </w:rPr>
        <w:t>Revenue is recognised when control of the products has been transferred to the customer. For sales by Integrated Gas and Upstream operations, this generally occurs when the product is physically transferred into a vessel, pipe or other delivery mechanism; for sales by refining operations, it is either when the product is placed onboard a vessel or offloaded from the vessel, depending on the contractually agreed terms; and for sales of oil products and chemicals, it is either at the point of delivery or the point of receipt, depending on contractual conditions.</w:t>
      </w:r>
    </w:p>
    <w:p>
      <w:pPr>
        <w:spacing w:after="0" w:line="104" w:lineRule="exact"/>
        <w:rPr>
          <w:sz w:val="20"/>
          <w:szCs w:val="20"/>
          <w:color w:val="auto"/>
        </w:rPr>
      </w:pPr>
    </w:p>
    <w:p>
      <w:pPr>
        <w:ind w:right="220"/>
        <w:spacing w:after="0" w:line="320" w:lineRule="auto"/>
        <w:rPr>
          <w:sz w:val="20"/>
          <w:szCs w:val="20"/>
          <w:color w:val="auto"/>
        </w:rPr>
      </w:pPr>
      <w:r>
        <w:rPr>
          <w:rFonts w:ascii="Arial" w:cs="Arial" w:eastAsia="Arial" w:hAnsi="Arial"/>
          <w:sz w:val="8"/>
          <w:szCs w:val="8"/>
          <w:color w:val="auto"/>
        </w:rPr>
        <w:t>Revenue resulting from hydrocarbon production from properties in which Shell has an interest with partners in joint arrangements is recognised on the basis of Shell’s volumes lifted and sold. Revenue resulting from the production of oil and natural gas under production-sharing contracts (PSCs) is recognised for those amounts relating to Shell’s cost recoveries and Shell’s share of the remaining production. Gains and losses on derivative contracts and the revenue and costs associated with other contracts that are classified as held primarily for the purpose of being traded are reported on a net basis in the Consolidated Statement of Income. Purchases and sales of hydrocarbons under exchange contracts that are necessary to obtain or reposition feedstocks for refinery operations are presented net in the Consolidated Statement of Income.</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Revenue resulting from arrangements that are not considered contracts with customers is presented as revenue from other sources.</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Research and development</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Development costs that are expected to generate probable future economic benefits are capitalised as intangible assets. All other research and development expenditure is recognised in income as incurred.</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Exploration costs</w:t>
      </w:r>
    </w:p>
    <w:p>
      <w:pPr>
        <w:spacing w:after="0" w:line="3" w:lineRule="exact"/>
        <w:rPr>
          <w:sz w:val="20"/>
          <w:szCs w:val="20"/>
          <w:color w:val="auto"/>
        </w:rPr>
      </w:pPr>
    </w:p>
    <w:p>
      <w:pPr>
        <w:jc w:val="both"/>
        <w:ind w:right="140"/>
        <w:spacing w:after="0" w:line="309" w:lineRule="auto"/>
        <w:rPr>
          <w:sz w:val="20"/>
          <w:szCs w:val="20"/>
          <w:color w:val="auto"/>
        </w:rPr>
      </w:pPr>
      <w:r>
        <w:rPr>
          <w:rFonts w:ascii="Arial" w:cs="Arial" w:eastAsia="Arial" w:hAnsi="Arial"/>
          <w:sz w:val="8"/>
          <w:szCs w:val="8"/>
          <w:color w:val="auto"/>
        </w:rPr>
        <w:t>Hydrocarbon exploration costs are accounted for under the successful efforts method: exploration costs are recognised in income when incurred, except that exploratory drilling costs, including in respect of the recapitalisation of the depreciation, are included in property, plant and equipment pending determination of proved reserves. Exploration costs capitalised in respect of exploration wells that are more than 12 months old are written off unless: (a) proved reserves are booked; or (b) (i) they have found commercially producible quantities of reserves and (ii) they are subject to further exploration or appraisal activity in that either drilling of additional exploratory wells is under way or firmly planned for the near future or other activities are being undertaken to sufficiently progress the assessing of reserves and the economic and operating viability of the project.</w:t>
      </w: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Property, plant and equipment and intangible assets</w:t>
      </w:r>
    </w:p>
    <w:p>
      <w:pPr>
        <w:spacing w:after="0" w:line="231" w:lineRule="auto"/>
        <w:rPr>
          <w:sz w:val="20"/>
          <w:szCs w:val="20"/>
          <w:color w:val="auto"/>
        </w:rPr>
      </w:pPr>
      <w:r>
        <w:rPr>
          <w:rFonts w:ascii="Arial" w:cs="Arial" w:eastAsia="Arial" w:hAnsi="Arial"/>
          <w:sz w:val="10"/>
          <w:szCs w:val="10"/>
          <w:b w:val="1"/>
          <w:bCs w:val="1"/>
          <w:color w:val="auto"/>
        </w:rPr>
        <w:t>Recognition</w:t>
      </w:r>
    </w:p>
    <w:p>
      <w:pPr>
        <w:ind w:right="60"/>
        <w:spacing w:after="0" w:line="227" w:lineRule="auto"/>
        <w:rPr>
          <w:sz w:val="20"/>
          <w:szCs w:val="20"/>
          <w:color w:val="auto"/>
        </w:rPr>
      </w:pPr>
      <w:r>
        <w:rPr>
          <w:rFonts w:ascii="Arial" w:cs="Arial" w:eastAsia="Arial" w:hAnsi="Arial"/>
          <w:sz w:val="10"/>
          <w:szCs w:val="10"/>
          <w:color w:val="auto"/>
        </w:rPr>
        <w:t>Property, plant and equipment comprise assets owned by Shell, assets held by Shell under lease contracts, and assets operated by Shell as contractor in PSCs. They include rights and concessions in respect of properties with proved reserves ("proved properties") and with no proved reserves ("unproved properties"). Property, plant and equipment, including expenditure on major inspections, and intangible assets are initially recognised in the Consolidated Balance Sheet at cost where it is probable that they will generate future economic benefits. This includes capitalisation of decommissioning and restoration costs associated with provisions for asset retirement (see "provisions"), certain development costs (see "research and development") and the effects of associated cash flow hedges (see "financial instruments") as applicable. The accounting for exploration costs is described separately (see "exploration costs"). Intangible assets include goodwill, liquefied natural gas (LNG) off-take and sales contracts obtained through acquisition, emission certificates, software costs and trademarks. Interest is capitalised as an increase in property, plant and equipment, on major capital projects during construction.</w:t>
      </w:r>
    </w:p>
    <w:p>
      <w:pPr>
        <w:spacing w:after="0" w:line="150" w:lineRule="exact"/>
        <w:rPr>
          <w:sz w:val="20"/>
          <w:szCs w:val="20"/>
          <w:color w:val="auto"/>
        </w:rPr>
      </w:pPr>
    </w:p>
    <w:p>
      <w:pPr>
        <w:ind w:right="280"/>
        <w:spacing w:after="0" w:line="239" w:lineRule="auto"/>
        <w:rPr>
          <w:sz w:val="20"/>
          <w:szCs w:val="20"/>
          <w:color w:val="auto"/>
        </w:rPr>
      </w:pPr>
      <w:r>
        <w:rPr>
          <w:rFonts w:ascii="Arial" w:cs="Arial" w:eastAsia="Arial" w:hAnsi="Arial"/>
          <w:sz w:val="10"/>
          <w:szCs w:val="10"/>
          <w:color w:val="auto"/>
        </w:rPr>
        <w:t>Property, plant and equipment and intangible assets are subsequently carried at cost less accumulated depreciation, depletion and amortisation (including any impairment). Gains and losses on sale are determined by comparing the proceeds with the carrying amounts of assets sold and are recognised in income, within interest and other income.</w:t>
      </w:r>
    </w:p>
    <w:p>
      <w:pPr>
        <w:spacing w:after="0" w:line="149" w:lineRule="exact"/>
        <w:rPr>
          <w:sz w:val="20"/>
          <w:szCs w:val="20"/>
          <w:color w:val="auto"/>
        </w:rPr>
      </w:pPr>
    </w:p>
    <w:p>
      <w:pPr>
        <w:ind w:right="100"/>
        <w:spacing w:after="0" w:line="239" w:lineRule="auto"/>
        <w:rPr>
          <w:sz w:val="20"/>
          <w:szCs w:val="20"/>
          <w:color w:val="auto"/>
        </w:rPr>
      </w:pPr>
      <w:r>
        <w:rPr>
          <w:rFonts w:ascii="Arial" w:cs="Arial" w:eastAsia="Arial" w:hAnsi="Arial"/>
          <w:sz w:val="10"/>
          <w:szCs w:val="10"/>
          <w:color w:val="auto"/>
        </w:rPr>
        <w:t>An asset is classified as held for sale if its carrying amount will be recovered principally through sale rather than through continuing use, which is when the sale is highly probable, and it is available for immediate sale. Assets classified as held for sale are measured at the lower of the carrying amount upon classification and the fair value less costs to sell.</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Depreciation, depletion and amortisation</w:t>
      </w:r>
    </w:p>
    <w:p>
      <w:pPr>
        <w:spacing w:after="0" w:line="3" w:lineRule="exact"/>
        <w:rPr>
          <w:sz w:val="20"/>
          <w:szCs w:val="20"/>
          <w:color w:val="auto"/>
        </w:rPr>
      </w:pPr>
    </w:p>
    <w:p>
      <w:pPr>
        <w:spacing w:after="0" w:line="309" w:lineRule="auto"/>
        <w:rPr>
          <w:sz w:val="20"/>
          <w:szCs w:val="20"/>
          <w:color w:val="auto"/>
        </w:rPr>
      </w:pPr>
      <w:r>
        <w:rPr>
          <w:rFonts w:ascii="Arial" w:cs="Arial" w:eastAsia="Arial" w:hAnsi="Arial"/>
          <w:sz w:val="8"/>
          <w:szCs w:val="8"/>
          <w:color w:val="auto"/>
        </w:rPr>
        <w:t>Property, plant and equipment related to hydrocarbon production activities are in principle depreciated on a unit-of-production basis over the proved developed reserves of the field concerned, other than assets whose useful lives differ from the lifetime of the field which are depreciated applying the straight-line method. However, for certain Integrated Gas and Upstream assets, the use for this purpose of proved developed reserves, which are determined using the SEC-mandated yearly average oil and gas prices, would result in depreciation charges for these assets which do not reflect the pattern in which their future economic benefits are expected to be consumed as, for example, it may result in assets with long-term expected lives being depreciated in full within one year. Therefore, in these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171</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174" w:name="page175"/>
    <w:bookmarkEnd w:id="174"/>
    <w:p>
      <w:pPr>
        <w:spacing w:after="0" w:line="239" w:lineRule="auto"/>
        <w:rPr>
          <w:sz w:val="20"/>
          <w:szCs w:val="20"/>
          <w:color w:val="auto"/>
        </w:rPr>
      </w:pPr>
      <w:r>
        <w:rPr>
          <w:rFonts w:ascii="Arial" w:cs="Arial" w:eastAsia="Arial" w:hAnsi="Arial"/>
          <w:sz w:val="10"/>
          <w:szCs w:val="10"/>
          <w:color w:val="auto"/>
        </w:rPr>
        <w:t>instances, other approaches are applied to determine the reserves base for the purpose of calculating depreciation, such as using management’s expectations of future oil and gas prices rather than yearly average prices, to provide a phasing of periodic depreciation charges that more appropriately reflects the expected utilisation of the assets concerned. (See Note 8)</w:t>
      </w:r>
    </w:p>
    <w:p>
      <w:pPr>
        <w:spacing w:after="0" w:line="149" w:lineRule="exact"/>
        <w:rPr>
          <w:sz w:val="20"/>
          <w:szCs w:val="20"/>
          <w:color w:val="auto"/>
        </w:rPr>
      </w:pPr>
    </w:p>
    <w:p>
      <w:pPr>
        <w:ind w:right="160"/>
        <w:spacing w:after="0" w:line="239" w:lineRule="auto"/>
        <w:rPr>
          <w:sz w:val="20"/>
          <w:szCs w:val="20"/>
          <w:color w:val="auto"/>
        </w:rPr>
      </w:pPr>
      <w:r>
        <w:rPr>
          <w:rFonts w:ascii="Arial" w:cs="Arial" w:eastAsia="Arial" w:hAnsi="Arial"/>
          <w:sz w:val="10"/>
          <w:szCs w:val="10"/>
          <w:color w:val="auto"/>
        </w:rPr>
        <w:t>Rights and concessions in respect of proved properties are depleted on the unit-of-production basis over the total proved reserves of the relevant area. Where individually insignificant, unproved properties may be grouped and depreciated based on factors such as the average concession term and past experience of recognising proved reserves.</w:t>
      </w:r>
    </w:p>
    <w:p>
      <w:pPr>
        <w:spacing w:after="0" w:line="149" w:lineRule="exact"/>
        <w:rPr>
          <w:sz w:val="20"/>
          <w:szCs w:val="20"/>
          <w:color w:val="auto"/>
        </w:rPr>
      </w:pPr>
    </w:p>
    <w:p>
      <w:pPr>
        <w:ind w:right="160"/>
        <w:spacing w:after="0" w:line="234" w:lineRule="auto"/>
        <w:rPr>
          <w:sz w:val="20"/>
          <w:szCs w:val="20"/>
          <w:color w:val="auto"/>
        </w:rPr>
      </w:pPr>
      <w:r>
        <w:rPr>
          <w:rFonts w:ascii="Arial" w:cs="Arial" w:eastAsia="Arial" w:hAnsi="Arial"/>
          <w:sz w:val="10"/>
          <w:szCs w:val="10"/>
          <w:color w:val="auto"/>
        </w:rPr>
        <w:t>Property, plant and equipment held under lease contracts and capitalised LNG off-take and sales contracts are depreciated or amortised over the term of the respective contract. Other property, plant and equipment and intangible assets are depreciated or amortised on a straight-line basis over their estimated useful lives, except for goodwill, which is not amortised. They include refineries and chemical plants (for which the useful life is generally 20 years), retail service stations (15 years), upgraders (30 years) and major inspection costs, which are depreciated over the estimated period before the next planned major inspection (three to five years).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On classification of an asset as held for sale, depreciation ceases.</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Estimates of the useful lives and residual values of property, plant and equipment and intangible assets are reviewed annually and adjusted if appropriate.</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Impairment</w:t>
      </w:r>
    </w:p>
    <w:p>
      <w:pPr>
        <w:spacing w:after="0" w:line="3" w:lineRule="exact"/>
        <w:rPr>
          <w:sz w:val="20"/>
          <w:szCs w:val="20"/>
          <w:color w:val="auto"/>
        </w:rPr>
      </w:pPr>
    </w:p>
    <w:p>
      <w:pPr>
        <w:jc w:val="both"/>
        <w:ind w:right="60"/>
        <w:spacing w:after="0" w:line="229" w:lineRule="auto"/>
        <w:rPr>
          <w:sz w:val="20"/>
          <w:szCs w:val="20"/>
          <w:color w:val="auto"/>
        </w:rPr>
      </w:pPr>
      <w:r>
        <w:rPr>
          <w:rFonts w:ascii="Arial" w:cs="Arial" w:eastAsia="Arial" w:hAnsi="Arial"/>
          <w:sz w:val="10"/>
          <w:szCs w:val="10"/>
          <w:color w:val="auto"/>
        </w:rPr>
        <w:t>The carrying amount of goodwill is tested for impairment annually; in addition, assets other than unproved properties (see "exploration costs") are tested for impairment whenever events or changes in circumstances indicate that the carrying amounts for those assets may not be recoverable. On classification as held for sale, the carrying amounts of property, plant and equipment and intangible assets are also reviewed. If assets are determined to be impaired, the carrying amounts of those assets are written down to their recoverable amount, which is the higher of fair value less costs of disposal (see "fair value measurements") and value in use.</w:t>
      </w:r>
    </w:p>
    <w:p>
      <w:pPr>
        <w:spacing w:after="0" w:line="149" w:lineRule="exact"/>
        <w:rPr>
          <w:sz w:val="20"/>
          <w:szCs w:val="20"/>
          <w:color w:val="auto"/>
        </w:rPr>
      </w:pPr>
    </w:p>
    <w:p>
      <w:pPr>
        <w:ind w:right="140"/>
        <w:spacing w:after="0" w:line="111" w:lineRule="exact"/>
        <w:rPr>
          <w:sz w:val="20"/>
          <w:szCs w:val="20"/>
          <w:color w:val="auto"/>
        </w:rPr>
      </w:pPr>
      <w:r>
        <w:rPr>
          <w:rFonts w:ascii="Arial" w:cs="Arial" w:eastAsia="Arial" w:hAnsi="Arial"/>
          <w:sz w:val="10"/>
          <w:szCs w:val="10"/>
          <w:color w:val="auto"/>
        </w:rPr>
        <w:t>Value in use is determined as the amount of estimated risk-adjusted discounted future cash flows. For this purpose, assets are grouped into cash-generating units based on separately identifiable and largely independent cash inflows. Estimates of future cash flows used in the evaluation of impairment of assets are made using management’s forecasts of commodity prices, market supply and demand, potential costs associated with operational GHG emissions, mainly related to CO</w:t>
      </w:r>
      <w:r>
        <w:rPr>
          <w:rFonts w:ascii="MS PGothic" w:cs="MS PGothic" w:eastAsia="MS PGothic" w:hAnsi="MS PGothic"/>
          <w:sz w:val="10"/>
          <w:szCs w:val="10"/>
          <w:color w:val="auto"/>
        </w:rPr>
        <w:t>₂</w:t>
      </w:r>
      <w:r>
        <w:rPr>
          <w:rFonts w:ascii="Arial" w:cs="Arial" w:eastAsia="Arial" w:hAnsi="Arial"/>
          <w:sz w:val="10"/>
          <w:szCs w:val="10"/>
          <w:color w:val="auto"/>
        </w:rPr>
        <w:t>, and forecast product and refining margins. In addition, management takes into consideration the expected useful lives of the manufacturing facilities, exploration and production assets, and expected production volumes. The latter takes into account assessments of field and reservoir performance and includes expectations about both proved reserves and volumes that are expected to constitute proved reserves in the future (unproved volumes), which are risk-weighted utilising geological, production, recovery and economic projections. Cash flow estimates are risk-adjusted to reflect local conditions as appropriate and discounted at a rate based on Shell’s marginal cost of debt.</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Impairments, except those related to goodwill, are reversed as applicable to the extent that the events or circumstances that triggered the original impairment have changed.</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Impairment losses and reversals are reported within depreciation, depletion and amortisation.</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Judgements and estimates</w:t>
      </w:r>
    </w:p>
    <w:p>
      <w:pPr>
        <w:spacing w:after="0" w:line="231" w:lineRule="auto"/>
        <w:rPr>
          <w:sz w:val="20"/>
          <w:szCs w:val="20"/>
          <w:color w:val="auto"/>
        </w:rPr>
      </w:pPr>
      <w:r>
        <w:rPr>
          <w:rFonts w:ascii="Arial" w:cs="Arial" w:eastAsia="Arial" w:hAnsi="Arial"/>
          <w:sz w:val="10"/>
          <w:szCs w:val="10"/>
          <w:b w:val="1"/>
          <w:bCs w:val="1"/>
          <w:color w:val="auto"/>
        </w:rPr>
        <w:t>Proved oil and gas reserves</w:t>
      </w:r>
    </w:p>
    <w:p>
      <w:pPr>
        <w:ind w:right="160"/>
        <w:spacing w:after="0" w:line="231" w:lineRule="auto"/>
        <w:rPr>
          <w:sz w:val="20"/>
          <w:szCs w:val="20"/>
          <w:color w:val="auto"/>
        </w:rPr>
      </w:pPr>
      <w:r>
        <w:rPr>
          <w:rFonts w:ascii="Arial" w:cs="Arial" w:eastAsia="Arial" w:hAnsi="Arial"/>
          <w:sz w:val="10"/>
          <w:szCs w:val="10"/>
          <w:color w:val="auto"/>
        </w:rPr>
        <w:t>Unit-of-production depreciation, depletion and amortisation charges are principally measured based on management’s estimates of proved developed oil and gas reserves. Also, exploration drilling costs are capitalised pending the results of further exploration or appraisal activity, which may take several years to complete and before any related proved reserves can be booked.</w:t>
      </w:r>
    </w:p>
    <w:p>
      <w:pPr>
        <w:spacing w:after="0" w:line="149" w:lineRule="exact"/>
        <w:rPr>
          <w:sz w:val="20"/>
          <w:szCs w:val="20"/>
          <w:color w:val="auto"/>
        </w:rPr>
      </w:pPr>
    </w:p>
    <w:p>
      <w:pPr>
        <w:ind w:right="160"/>
        <w:spacing w:after="0" w:line="320" w:lineRule="auto"/>
        <w:rPr>
          <w:sz w:val="20"/>
          <w:szCs w:val="20"/>
          <w:color w:val="auto"/>
        </w:rPr>
      </w:pPr>
      <w:r>
        <w:rPr>
          <w:rFonts w:ascii="Arial" w:cs="Arial" w:eastAsia="Arial" w:hAnsi="Arial"/>
          <w:sz w:val="8"/>
          <w:szCs w:val="8"/>
          <w:color w:val="auto"/>
        </w:rPr>
        <w:t>Proved reserves are estimated by a central group of reserves experts. The estimated proved reserves are determined by reference to available geological and engineering data and only include volumes for which access to market is assured with reasonable certainty. Yearly average oil and gas prices are applied in the determination of proved reserves. Estimates of proved reserves are inherently imprecise, require the application of judgement and are subject to regular revision, either upward or downward, based on new information such as from the drilling of additional wells, observation of long-term reservoir performance under producing conditions and changes in economic factors, including product prices, contract terms, legislation or development plans.</w:t>
      </w:r>
    </w:p>
    <w:p>
      <w:pPr>
        <w:spacing w:after="0" w:line="118" w:lineRule="exact"/>
        <w:rPr>
          <w:sz w:val="20"/>
          <w:szCs w:val="20"/>
          <w:color w:val="auto"/>
        </w:rPr>
      </w:pPr>
    </w:p>
    <w:p>
      <w:pPr>
        <w:ind w:right="80"/>
        <w:spacing w:after="0" w:line="358" w:lineRule="auto"/>
        <w:rPr>
          <w:sz w:val="20"/>
          <w:szCs w:val="20"/>
          <w:color w:val="auto"/>
        </w:rPr>
      </w:pPr>
      <w:r>
        <w:rPr>
          <w:rFonts w:ascii="Arial" w:cs="Arial" w:eastAsia="Arial" w:hAnsi="Arial"/>
          <w:sz w:val="8"/>
          <w:szCs w:val="8"/>
          <w:color w:val="auto"/>
        </w:rPr>
        <w:t>Changes to estimates of proved developed reserves affect prospectively the amounts of depreciation, depletion and amortisation charged and, consequently, the carrying amounts of exploration and production assets. Generally, in the normal course of business the diversity of the asset portfolio will limit the net effect of such revisions. The outcome of, or assessment of plans for, exploration or appraisal activity may result in the related capitalised exploration drilling costs being recognised in income in that period.</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Judgement is involved in determining when to use an alternative reserves base in order to appropriately reflect the expected utilisation of the assets concerned (see "depreciation, depletion and amortisation").</w:t>
      </w:r>
    </w:p>
    <w:p>
      <w:pPr>
        <w:spacing w:after="0" w:line="155" w:lineRule="exact"/>
        <w:rPr>
          <w:sz w:val="20"/>
          <w:szCs w:val="20"/>
          <w:color w:val="auto"/>
        </w:rPr>
      </w:pPr>
    </w:p>
    <w:p>
      <w:pPr>
        <w:spacing w:after="0"/>
        <w:rPr>
          <w:sz w:val="20"/>
          <w:szCs w:val="20"/>
          <w:color w:val="auto"/>
        </w:rPr>
      </w:pPr>
      <w:r>
        <w:rPr>
          <w:rFonts w:ascii="Arial" w:cs="Arial" w:eastAsia="Arial" w:hAnsi="Arial"/>
          <w:sz w:val="8"/>
          <w:szCs w:val="8"/>
          <w:color w:val="auto"/>
        </w:rPr>
        <w:t>Information about the carrying amounts of exploration and production assets and the amounts charged to income, including depreciation, depletion and amortisation and the quantitative impact of the use of an alternative reserves base, is presented in Note 8.</w:t>
      </w:r>
    </w:p>
    <w:p>
      <w:pPr>
        <w:spacing w:after="0" w:line="178" w:lineRule="exact"/>
        <w:rPr>
          <w:sz w:val="20"/>
          <w:szCs w:val="20"/>
          <w:color w:val="auto"/>
        </w:rPr>
      </w:pPr>
    </w:p>
    <w:p>
      <w:pPr>
        <w:spacing w:after="0"/>
        <w:rPr>
          <w:sz w:val="20"/>
          <w:szCs w:val="20"/>
          <w:color w:val="auto"/>
        </w:rPr>
      </w:pPr>
      <w:r>
        <w:rPr>
          <w:rFonts w:ascii="Arial" w:cs="Arial" w:eastAsia="Arial" w:hAnsi="Arial"/>
          <w:sz w:val="10"/>
          <w:szCs w:val="10"/>
          <w:color w:val="auto"/>
        </w:rPr>
        <w:t>Impairment</w:t>
      </w:r>
    </w:p>
    <w:p>
      <w:pPr>
        <w:spacing w:after="0" w:line="1" w:lineRule="exact"/>
        <w:rPr>
          <w:sz w:val="20"/>
          <w:szCs w:val="20"/>
          <w:color w:val="auto"/>
        </w:rPr>
      </w:pPr>
    </w:p>
    <w:p>
      <w:pPr>
        <w:ind w:right="20"/>
        <w:spacing w:after="0" w:line="228" w:lineRule="auto"/>
        <w:rPr>
          <w:sz w:val="20"/>
          <w:szCs w:val="20"/>
          <w:color w:val="auto"/>
        </w:rPr>
      </w:pPr>
      <w:r>
        <w:rPr>
          <w:rFonts w:ascii="Arial" w:cs="Arial" w:eastAsia="Arial" w:hAnsi="Arial"/>
          <w:sz w:val="10"/>
          <w:szCs w:val="10"/>
          <w:color w:val="auto"/>
        </w:rPr>
        <w:t>For the purposes of determining whether impairment of assets has occurred, and the extent of any impairment loss or its reversal, the key assumptions management uses in estimating risk-adjusted future cash flows for value in use measures are future oil and gas prices and refining margins. In addition, management uses other assumptions such as potential costs associated with operational GHG emissions and expected production volumes appropriate to the local circumstances and environment. These assumptions and the judgements of management that are based on them are subject to change as new information becomes available. Changes in assumptions could affect the carrying amounts of assets, and any impairment losses and reversals will affect income. Changes in economic conditions can affect the rate used to discount future cash flow estimates or the risk-adjustment in the future cash flows.</w:t>
      </w:r>
    </w:p>
    <w:p>
      <w:pPr>
        <w:spacing w:after="0" w:line="149" w:lineRule="exact"/>
        <w:rPr>
          <w:sz w:val="20"/>
          <w:szCs w:val="20"/>
          <w:color w:val="auto"/>
        </w:rPr>
      </w:pPr>
    </w:p>
    <w:p>
      <w:pPr>
        <w:ind w:right="60"/>
        <w:spacing w:after="0" w:line="239" w:lineRule="auto"/>
        <w:rPr>
          <w:sz w:val="20"/>
          <w:szCs w:val="20"/>
          <w:color w:val="auto"/>
        </w:rPr>
      </w:pPr>
      <w:r>
        <w:rPr>
          <w:rFonts w:ascii="Arial" w:cs="Arial" w:eastAsia="Arial" w:hAnsi="Arial"/>
          <w:sz w:val="10"/>
          <w:szCs w:val="10"/>
          <w:color w:val="auto"/>
        </w:rPr>
        <w:t>Expected production volumes, which comprise proved reserves and unproved volumes, are used for impairment testing because management believes this to be the most appropriate indicator of expected future cash flows. As discussed in "Proved oil and gas reserves" above, reserves estimates are inherently imprecise. Furthermore, projections about unproved volumes are based on information that is necessarily less robust than that available for mature reservoirs.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172</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175" w:name="page176"/>
    <w:bookmarkEnd w:id="175"/>
    <w:p>
      <w:pPr>
        <w:spacing w:after="0"/>
        <w:rPr>
          <w:sz w:val="20"/>
          <w:szCs w:val="20"/>
          <w:color w:val="auto"/>
        </w:rPr>
      </w:pPr>
      <w:r>
        <w:rPr>
          <w:rFonts w:ascii="Arial" w:cs="Arial" w:eastAsia="Arial" w:hAnsi="Arial"/>
          <w:sz w:val="10"/>
          <w:szCs w:val="10"/>
          <w:color w:val="auto"/>
        </w:rPr>
        <w:t>Estimation is involved with respect to the expected life of refineries and chemicals sites, and also including management’s view on the future development of refining margins.</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determination of cash-generating units requires judgement. Changes in this determination could impact the calculation of value in use and therefore the conclusion on the recoverability of assets’ carrying amounts when performing an impairment test.</w:t>
      </w:r>
    </w:p>
    <w:p>
      <w:pPr>
        <w:spacing w:after="0" w:line="155" w:lineRule="exact"/>
        <w:rPr>
          <w:sz w:val="20"/>
          <w:szCs w:val="20"/>
          <w:color w:val="auto"/>
        </w:rPr>
      </w:pPr>
    </w:p>
    <w:p>
      <w:pPr>
        <w:ind w:right="60"/>
        <w:spacing w:after="0" w:line="239" w:lineRule="auto"/>
        <w:rPr>
          <w:sz w:val="20"/>
          <w:szCs w:val="20"/>
          <w:color w:val="auto"/>
        </w:rPr>
      </w:pPr>
      <w:r>
        <w:rPr>
          <w:rFonts w:ascii="Arial" w:cs="Arial" w:eastAsia="Arial" w:hAnsi="Arial"/>
          <w:sz w:val="10"/>
          <w:szCs w:val="10"/>
          <w:color w:val="auto"/>
        </w:rPr>
        <w:t>Judgement, which is subject to change as new information becomes available, can be required in determining when an asset is classified as held for sale. A change in that judgement could result in impairment charges affecting income, depending on whether classification requires a write-down of the asset to its fair value less costs to sell.</w:t>
      </w:r>
    </w:p>
    <w:p>
      <w:pPr>
        <w:spacing w:after="0" w:line="149" w:lineRule="exact"/>
        <w:rPr>
          <w:sz w:val="20"/>
          <w:szCs w:val="20"/>
          <w:color w:val="auto"/>
        </w:rPr>
      </w:pPr>
    </w:p>
    <w:p>
      <w:pPr>
        <w:ind w:right="180"/>
        <w:spacing w:after="0" w:line="239" w:lineRule="auto"/>
        <w:rPr>
          <w:sz w:val="20"/>
          <w:szCs w:val="20"/>
          <w:color w:val="auto"/>
        </w:rPr>
      </w:pPr>
      <w:r>
        <w:rPr>
          <w:rFonts w:ascii="Arial" w:cs="Arial" w:eastAsia="Arial" w:hAnsi="Arial"/>
          <w:sz w:val="10"/>
          <w:szCs w:val="10"/>
          <w:color w:val="auto"/>
        </w:rPr>
        <w:t>In assessing the value in use, the estimated risk adjusted future cash flows are discounted to their present value using a pre-tax discount rate that reflects Shell’s marginal cost of debt, current market assessments of the time value of money and residual risks (e.g. normal operational and other generic uncertainties). The discount rate applied does not reflect risks for which future cash flow estimates have been adjusted.</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Significant estimates</w:t>
      </w:r>
    </w:p>
    <w:p>
      <w:pPr>
        <w:spacing w:after="0" w:line="3" w:lineRule="exact"/>
        <w:rPr>
          <w:sz w:val="20"/>
          <w:szCs w:val="20"/>
          <w:color w:val="auto"/>
        </w:rPr>
      </w:pPr>
    </w:p>
    <w:p>
      <w:pPr>
        <w:ind w:right="40"/>
        <w:spacing w:after="0" w:line="231" w:lineRule="auto"/>
        <w:rPr>
          <w:sz w:val="20"/>
          <w:szCs w:val="20"/>
          <w:color w:val="auto"/>
        </w:rPr>
      </w:pPr>
      <w:r>
        <w:rPr>
          <w:rFonts w:ascii="Arial" w:cs="Arial" w:eastAsia="Arial" w:hAnsi="Arial"/>
          <w:sz w:val="10"/>
          <w:szCs w:val="10"/>
          <w:color w:val="auto"/>
        </w:rPr>
        <w:t>Future commodity price assumptions used in the impairment testing in Integrated Gas and Upstream, presented in Note 8, tend to be stable because management does not consider short-term increases or decreases in prices as being indicative of long-term levels, but they are nonetheless subject to change.</w:t>
      </w:r>
    </w:p>
    <w:p>
      <w:pPr>
        <w:spacing w:after="0" w:line="149" w:lineRule="exact"/>
        <w:rPr>
          <w:sz w:val="20"/>
          <w:szCs w:val="20"/>
          <w:color w:val="auto"/>
        </w:rPr>
      </w:pPr>
    </w:p>
    <w:p>
      <w:pPr>
        <w:jc w:val="both"/>
        <w:spacing w:after="0" w:line="234" w:lineRule="auto"/>
        <w:rPr>
          <w:sz w:val="20"/>
          <w:szCs w:val="20"/>
          <w:color w:val="auto"/>
        </w:rPr>
      </w:pPr>
      <w:r>
        <w:rPr>
          <w:rFonts w:ascii="Arial" w:cs="Arial" w:eastAsia="Arial" w:hAnsi="Arial"/>
          <w:sz w:val="10"/>
          <w:szCs w:val="10"/>
          <w:color w:val="auto"/>
        </w:rPr>
        <w:t>Until 2019 management’s estimate of longer-term refining margins used in the impairment testing in Oil Products was based on the reversion to mean methodology, unless a fundamental shift in markets had been identified, over the life of the refineries. Under this approach, it was assumed that refining margins would revert to historical averages over time. As from 2020, a different price methodology applies, based on Shell management's understanding and interpretation of demand and supply fundamentals in the near term and taking into account various other factors such as industry rationalisation and energy transition in the long term.</w:t>
      </w:r>
    </w:p>
    <w:p>
      <w:pPr>
        <w:spacing w:after="0" w:line="132"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Future commodity prices and refining margins used in impairment testing provide a source of estimation uncertainty as referred to in paragraph 125 of IAS 1 </w:t>
      </w:r>
      <w:r>
        <w:rPr>
          <w:rFonts w:ascii="Arial" w:cs="Arial" w:eastAsia="Arial" w:hAnsi="Arial"/>
          <w:sz w:val="10"/>
          <w:szCs w:val="10"/>
          <w:i w:val="1"/>
          <w:iCs w:val="1"/>
          <w:color w:val="auto"/>
        </w:rPr>
        <w:t>Presentation of Financial Statements</w:t>
      </w:r>
      <w:r>
        <w:rPr>
          <w:rFonts w:ascii="Arial" w:cs="Arial" w:eastAsia="Arial" w:hAnsi="Arial"/>
          <w:sz w:val="10"/>
          <w:szCs w:val="10"/>
          <w:color w:val="auto"/>
        </w:rPr>
        <w:t xml:space="preserve"> (IAS 1.125).</w:t>
      </w:r>
    </w:p>
    <w:p>
      <w:pPr>
        <w:spacing w:after="0" w:line="137" w:lineRule="exact"/>
        <w:rPr>
          <w:sz w:val="20"/>
          <w:szCs w:val="20"/>
          <w:color w:val="auto"/>
        </w:rPr>
      </w:pPr>
    </w:p>
    <w:p>
      <w:pPr>
        <w:spacing w:after="0"/>
        <w:rPr>
          <w:sz w:val="20"/>
          <w:szCs w:val="20"/>
          <w:color w:val="auto"/>
        </w:rPr>
      </w:pPr>
      <w:r>
        <w:rPr>
          <w:rFonts w:ascii="Arial" w:cs="Arial" w:eastAsia="Arial" w:hAnsi="Arial"/>
          <w:sz w:val="10"/>
          <w:szCs w:val="10"/>
          <w:color w:val="auto"/>
        </w:rPr>
        <w:t>Information about the carrying amounts of assets and impairments and their sensitivity to changes in significant estimates are presented in Notes 7 and 8.</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Leases (from January 1, 2019)</w:t>
      </w:r>
    </w:p>
    <w:p>
      <w:pPr>
        <w:spacing w:after="0" w:line="3" w:lineRule="exact"/>
        <w:rPr>
          <w:sz w:val="20"/>
          <w:szCs w:val="20"/>
          <w:color w:val="auto"/>
        </w:rPr>
      </w:pPr>
    </w:p>
    <w:p>
      <w:pPr>
        <w:ind w:right="280"/>
        <w:spacing w:after="0" w:line="229" w:lineRule="auto"/>
        <w:rPr>
          <w:sz w:val="20"/>
          <w:szCs w:val="20"/>
          <w:color w:val="auto"/>
        </w:rPr>
      </w:pPr>
      <w:r>
        <w:rPr>
          <w:rFonts w:ascii="Arial" w:cs="Arial" w:eastAsia="Arial" w:hAnsi="Arial"/>
          <w:sz w:val="10"/>
          <w:szCs w:val="10"/>
          <w:color w:val="auto"/>
        </w:rPr>
        <w:t>A contract, or part of a contract, that conveys the right to control the use of an identified asset for a period of time in exchange for payments to be made to the owners (lessors) is accounted for as a lease. Contracts are assessed to determine whether a contract is, or contains, a lease at the inception of a contract or when the terms and conditions of a contract are significantly changed. The lease term is the non-cancellable period of a lease, together with contractual options to extend or to terminate the lease early, where it is reasonably certain that an extension option will be exercised or a termination option will not be exercised.</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0"/>
          <w:szCs w:val="10"/>
          <w:color w:val="auto"/>
        </w:rPr>
        <w:t>At the commencement of a lease contract, a right-of-use asset and a corresponding lease liability are recognised, unless the lease term is 12 months or less. The commencement date of a lease is the date on which the underlying asset is made available for use. The lease liability is measured at an amount equal to the present value of the lease payments during the lease term that are not paid at that date. The lease liability includes contingent rentals and variable lease payments that depend on an index, rate, or where they are fixed payments in substance. The lease liability is remeasured when the contractual cash flows of variable lease payments change due to a change in an index or rate when the lease term changes following a reassessment.</w:t>
      </w:r>
    </w:p>
    <w:p>
      <w:pPr>
        <w:spacing w:after="0" w:line="150" w:lineRule="exact"/>
        <w:rPr>
          <w:sz w:val="20"/>
          <w:szCs w:val="20"/>
          <w:color w:val="auto"/>
        </w:rPr>
      </w:pPr>
    </w:p>
    <w:p>
      <w:pPr>
        <w:ind w:right="220"/>
        <w:spacing w:after="0" w:line="239" w:lineRule="auto"/>
        <w:rPr>
          <w:sz w:val="20"/>
          <w:szCs w:val="20"/>
          <w:color w:val="auto"/>
        </w:rPr>
      </w:pPr>
      <w:r>
        <w:rPr>
          <w:rFonts w:ascii="Arial" w:cs="Arial" w:eastAsia="Arial" w:hAnsi="Arial"/>
          <w:sz w:val="10"/>
          <w:szCs w:val="10"/>
          <w:color w:val="auto"/>
        </w:rPr>
        <w:t>Lease payments are discounted using the interest rate implicit in the lease. If that rate is not readily available, the incremental borrowing rate is applied. The incremental borrowing rate reflects the rate of interest that the lessee would have to pay to borrow over a similar term, with a similar security, the funds necessary to obtain an asset of a similar nature and value to the right-of-use asset in a similar economic environment.</w:t>
      </w:r>
    </w:p>
    <w:p>
      <w:pPr>
        <w:spacing w:after="0" w:line="149" w:lineRule="exact"/>
        <w:rPr>
          <w:sz w:val="20"/>
          <w:szCs w:val="20"/>
          <w:color w:val="auto"/>
        </w:rPr>
      </w:pPr>
    </w:p>
    <w:p>
      <w:pPr>
        <w:ind w:right="140"/>
        <w:spacing w:after="0" w:line="239" w:lineRule="auto"/>
        <w:rPr>
          <w:sz w:val="20"/>
          <w:szCs w:val="20"/>
          <w:color w:val="auto"/>
        </w:rPr>
      </w:pPr>
      <w:r>
        <w:rPr>
          <w:rFonts w:ascii="Arial" w:cs="Arial" w:eastAsia="Arial" w:hAnsi="Arial"/>
          <w:sz w:val="10"/>
          <w:szCs w:val="10"/>
          <w:color w:val="auto"/>
        </w:rPr>
        <w:t>In general, a corresponding right-of-use asset is recognised for an amount equal to each lease liability, adjusted by the amount of any pre-paid lease payment relating to the specific lease contract. The depreciation on right-of-use assets is recognised in income unless capitalised as exploration drilling cost (see "exploration cost") or capitalised when the right-of-use asset is used to construct another asset.</w:t>
      </w:r>
    </w:p>
    <w:p>
      <w:pPr>
        <w:spacing w:after="0" w:line="149" w:lineRule="exact"/>
        <w:rPr>
          <w:sz w:val="20"/>
          <w:szCs w:val="20"/>
          <w:color w:val="auto"/>
        </w:rPr>
      </w:pPr>
    </w:p>
    <w:p>
      <w:pPr>
        <w:spacing w:after="0"/>
        <w:rPr>
          <w:sz w:val="20"/>
          <w:szCs w:val="20"/>
          <w:color w:val="auto"/>
        </w:rPr>
      </w:pPr>
      <w:r>
        <w:rPr>
          <w:rFonts w:ascii="Arial" w:cs="Arial" w:eastAsia="Arial" w:hAnsi="Arial"/>
          <w:sz w:val="8"/>
          <w:szCs w:val="8"/>
          <w:color w:val="auto"/>
        </w:rPr>
        <w:t>Where Shell is the lessor in a lease arrangement at inception, the lease arrangement will be classified as a finance lease or an operating lease. Classification is based on the extent to which the risks and rewards incidental to ownership of the underlying asset lie with the lessor or the lessee.</w:t>
      </w:r>
    </w:p>
    <w:p>
      <w:pPr>
        <w:spacing w:after="0" w:line="178" w:lineRule="exact"/>
        <w:rPr>
          <w:sz w:val="20"/>
          <w:szCs w:val="20"/>
          <w:color w:val="auto"/>
        </w:rPr>
      </w:pPr>
    </w:p>
    <w:p>
      <w:pPr>
        <w:jc w:val="both"/>
        <w:ind w:right="60"/>
        <w:spacing w:after="0" w:line="239" w:lineRule="auto"/>
        <w:rPr>
          <w:sz w:val="20"/>
          <w:szCs w:val="20"/>
          <w:color w:val="auto"/>
        </w:rPr>
      </w:pPr>
      <w:r>
        <w:rPr>
          <w:rFonts w:ascii="Arial" w:cs="Arial" w:eastAsia="Arial" w:hAnsi="Arial"/>
          <w:sz w:val="10"/>
          <w:szCs w:val="10"/>
          <w:color w:val="auto"/>
        </w:rPr>
        <w:t>Where Shell, usually in its capacity as operator, has entered into a lease contract on behalf of a joint arrangement, a lease liability is recognised to the extent that Shell has primary responsibility for the lease liability. A finance sub-lease is subsequently recognised if the related right-of-use asset is subleased to the joint arrangement. This is usually the case when the joint arrangement has the right to direct the use and obtains substantially all of the economic benefits from using the asset.</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Impairment of the right-of-use asset</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Right-of-use assets are subject to existing impairment requirements as set out in "property, plant and equipment" (see Note 8).</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Judgements and estimates</w:t>
      </w:r>
    </w:p>
    <w:p>
      <w:pPr>
        <w:spacing w:after="0" w:line="3" w:lineRule="exact"/>
        <w:rPr>
          <w:sz w:val="20"/>
          <w:szCs w:val="20"/>
          <w:color w:val="auto"/>
        </w:rPr>
      </w:pPr>
    </w:p>
    <w:p>
      <w:pPr>
        <w:jc w:val="both"/>
        <w:ind w:right="60"/>
        <w:spacing w:after="0" w:line="229" w:lineRule="auto"/>
        <w:rPr>
          <w:sz w:val="20"/>
          <w:szCs w:val="20"/>
          <w:color w:val="auto"/>
        </w:rPr>
      </w:pPr>
      <w:r>
        <w:rPr>
          <w:rFonts w:ascii="Arial" w:cs="Arial" w:eastAsia="Arial" w:hAnsi="Arial"/>
          <w:sz w:val="10"/>
          <w:szCs w:val="10"/>
          <w:color w:val="auto"/>
        </w:rPr>
        <w:t>A lease term includes optional lease periods where it is reasonably certain Shell will exercise the option to extend or not to exercise the option to terminate the lease. Determination of the lease term is subject to judgement and has an impact on the measurement of the lease liability and related right-of-use asset. When assessing the lease term at the commencement date, Shell takes into consideration the broader economics of the contract. Reassessment of the lease term is performed upon changes in circumstances that may affect the probability that an option to extend or to terminate the lease will be exercised.</w:t>
      </w:r>
    </w:p>
    <w:p>
      <w:pPr>
        <w:spacing w:after="0" w:line="149" w:lineRule="exact"/>
        <w:rPr>
          <w:sz w:val="20"/>
          <w:szCs w:val="20"/>
          <w:color w:val="auto"/>
        </w:rPr>
      </w:pPr>
    </w:p>
    <w:p>
      <w:pPr>
        <w:ind w:right="160"/>
        <w:spacing w:after="0" w:line="239" w:lineRule="auto"/>
        <w:rPr>
          <w:sz w:val="20"/>
          <w:szCs w:val="20"/>
          <w:color w:val="auto"/>
        </w:rPr>
      </w:pPr>
      <w:r>
        <w:rPr>
          <w:rFonts w:ascii="Arial" w:cs="Arial" w:eastAsia="Arial" w:hAnsi="Arial"/>
          <w:sz w:val="10"/>
          <w:szCs w:val="10"/>
          <w:color w:val="auto"/>
        </w:rPr>
        <w:t>Where the rate implicit in the lease is not readily available, an incremental borrowing rate is applied. This incremental borrowing rate reflects the rate of interest that the lessee would have to pay to borrow over a similar term, with a similar security, the funds necessary to obtain an asset of a similar nature and value to the right-of-use asset in a similar economic environment. Determination of the incremental borrowing rate requires estimation.</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Leases (prior to January 1, 2019)</w:t>
      </w:r>
    </w:p>
    <w:p>
      <w:pPr>
        <w:spacing w:after="0" w:line="3" w:lineRule="exact"/>
        <w:rPr>
          <w:sz w:val="20"/>
          <w:szCs w:val="20"/>
          <w:color w:val="auto"/>
        </w:rPr>
      </w:pPr>
    </w:p>
    <w:p>
      <w:pPr>
        <w:ind w:right="60"/>
        <w:spacing w:after="0" w:line="231" w:lineRule="auto"/>
        <w:rPr>
          <w:sz w:val="20"/>
          <w:szCs w:val="20"/>
          <w:color w:val="auto"/>
        </w:rPr>
      </w:pPr>
      <w:r>
        <w:rPr>
          <w:rFonts w:ascii="Arial" w:cs="Arial" w:eastAsia="Arial" w:hAnsi="Arial"/>
          <w:sz w:val="10"/>
          <w:szCs w:val="10"/>
          <w:color w:val="auto"/>
        </w:rPr>
        <w:t>Agreements under which payments are made to owners in return for the right to use an asset for a period are accounted for as leases. Leases that transfer substantially all the risks and rewards of ownership are recognised at the commencement of the lease term as finance leases within property, plant and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173</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176" w:name="page177"/>
    <w:bookmarkEnd w:id="176"/>
    <w:p>
      <w:pPr>
        <w:ind w:right="220"/>
        <w:spacing w:after="0" w:line="239" w:lineRule="auto"/>
        <w:rPr>
          <w:sz w:val="20"/>
          <w:szCs w:val="20"/>
          <w:color w:val="auto"/>
        </w:rPr>
      </w:pPr>
      <w:r>
        <w:rPr>
          <w:rFonts w:ascii="Arial" w:cs="Arial" w:eastAsia="Arial" w:hAnsi="Arial"/>
          <w:sz w:val="10"/>
          <w:szCs w:val="10"/>
          <w:color w:val="auto"/>
        </w:rPr>
        <w:t>equipment and debt at the fair value of the leased asset or, if lower, at the present value of the minimum lease payments. Finance lease payments are apportioned between interest expense and repayments of debt. All other leases are classified as operating leases and the cost is recognised in income on a straight-line basis, except where capitalised as exploration drilling costs (see "exploration costs").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Joint arrangements and associates</w:t>
      </w:r>
    </w:p>
    <w:p>
      <w:pPr>
        <w:spacing w:after="0" w:line="3" w:lineRule="exact"/>
        <w:rPr>
          <w:sz w:val="20"/>
          <w:szCs w:val="20"/>
          <w:color w:val="auto"/>
        </w:rPr>
      </w:pPr>
    </w:p>
    <w:p>
      <w:pPr>
        <w:jc w:val="both"/>
        <w:ind w:right="160"/>
        <w:spacing w:after="0" w:line="229" w:lineRule="auto"/>
        <w:rPr>
          <w:sz w:val="20"/>
          <w:szCs w:val="20"/>
          <w:color w:val="auto"/>
        </w:rPr>
      </w:pPr>
      <w:r>
        <w:rPr>
          <w:rFonts w:ascii="Arial" w:cs="Arial" w:eastAsia="Arial" w:hAnsi="Arial"/>
          <w:sz w:val="10"/>
          <w:szCs w:val="10"/>
          <w:color w:val="auto"/>
        </w:rPr>
        <w:t>Arrangements under which Shell has contractually agreed to share control (see "Nature of the Consolidated Financial Statements" for the definition of control) with another party or parties are joint ventures where the parties have rights to the net assets of the arrangement, or joint operations where the parties have rights to the assets and obligations for the liabilities relating to the arrangement. Investments in entities over which Shell has the right to exercise significant influence but neither control nor joint control are classified as associates. Information about incorporated joint arrangements and associates at December 31, 2020, can be found in Exhibit 8.</w:t>
      </w:r>
    </w:p>
    <w:p>
      <w:pPr>
        <w:spacing w:after="0" w:line="149" w:lineRule="exact"/>
        <w:rPr>
          <w:sz w:val="20"/>
          <w:szCs w:val="20"/>
          <w:color w:val="auto"/>
        </w:rPr>
      </w:pPr>
    </w:p>
    <w:p>
      <w:pPr>
        <w:jc w:val="both"/>
        <w:ind w:right="20"/>
        <w:spacing w:after="0" w:line="307" w:lineRule="auto"/>
        <w:rPr>
          <w:sz w:val="20"/>
          <w:szCs w:val="20"/>
          <w:color w:val="auto"/>
        </w:rPr>
      </w:pPr>
      <w:r>
        <w:rPr>
          <w:rFonts w:ascii="Arial" w:cs="Arial" w:eastAsia="Arial" w:hAnsi="Arial"/>
          <w:sz w:val="8"/>
          <w:szCs w:val="8"/>
          <w:color w:val="auto"/>
        </w:rPr>
        <w:t>Investments in joint ventures and associates are accounted for using the equity method, under which the investment is initially recognised at cost and subsequently adjusted for the Shell share of post-acquisition income less dividends received and the Shell share of other comprehensive income and other movements in equity, together with any loans of a long-term investment nature. Where necessary, adjustments are made to the financial statements of joint ventures and associates to bring the accounting policies used into line with those of Shell. In an exchange of assets and liabilities for an interest in a joint venture, the non-Shell share of any excess of the fair value of the assets and liabilities transferred over the pre-exchange carrying amounts is recognised in income. Unrealised gains on other transactions between Shell and its joint ventures and associates are eliminated to the extent of Shell’s interest in them; unrealised losses are treated similarly but may also result in an assessment of whether the asset transferred is impaired.</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Shell recognises its assets and liabilities relating to its interests in joint operations, including its share of assets held jointly and liabilities incurred jointly with other partners.</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Inventories</w:t>
      </w:r>
    </w:p>
    <w:p>
      <w:pPr>
        <w:spacing w:after="0" w:line="3" w:lineRule="exact"/>
        <w:rPr>
          <w:sz w:val="20"/>
          <w:szCs w:val="20"/>
          <w:color w:val="auto"/>
        </w:rPr>
      </w:pPr>
    </w:p>
    <w:p>
      <w:pPr>
        <w:ind w:right="80"/>
        <w:spacing w:after="0" w:line="231" w:lineRule="auto"/>
        <w:rPr>
          <w:sz w:val="20"/>
          <w:szCs w:val="20"/>
          <w:color w:val="auto"/>
        </w:rPr>
      </w:pPr>
      <w:r>
        <w:rPr>
          <w:rFonts w:ascii="Arial" w:cs="Arial" w:eastAsia="Arial" w:hAnsi="Arial"/>
          <w:sz w:val="10"/>
          <w:szCs w:val="10"/>
          <w:color w:val="auto"/>
        </w:rPr>
        <w:t>Inventories are stated at cost or net realisable value, whichever is lower. Cost comprises direct purchase costs (including transportation), and associated costs incurred in bringing inventories to their present condition and location, and is determined using the first-in, first-out (FIFO) method for oil, gas and chemicals and by the weighted average cost method for materials.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Taxation</w:t>
      </w:r>
    </w:p>
    <w:p>
      <w:pPr>
        <w:spacing w:after="0" w:line="3" w:lineRule="exact"/>
        <w:rPr>
          <w:sz w:val="20"/>
          <w:szCs w:val="20"/>
          <w:color w:val="auto"/>
        </w:rPr>
      </w:pPr>
    </w:p>
    <w:p>
      <w:pPr>
        <w:spacing w:after="0"/>
        <w:rPr>
          <w:sz w:val="20"/>
          <w:szCs w:val="20"/>
          <w:color w:val="auto"/>
        </w:rPr>
      </w:pPr>
      <w:r>
        <w:rPr>
          <w:rFonts w:ascii="Arial" w:cs="Arial" w:eastAsia="Arial" w:hAnsi="Arial"/>
          <w:sz w:val="8"/>
          <w:szCs w:val="8"/>
          <w:color w:val="auto"/>
        </w:rPr>
        <w:t>The charge for current tax is calculated based on the income reported by the Company and its subsidiaries, as adjusted for items that are non-taxable or disallowed and using rates that have been enacted or substantively enacted by the balance sheet date.</w:t>
      </w:r>
    </w:p>
    <w:p>
      <w:pPr>
        <w:spacing w:after="0" w:line="170" w:lineRule="exact"/>
        <w:rPr>
          <w:sz w:val="20"/>
          <w:szCs w:val="20"/>
          <w:color w:val="auto"/>
        </w:rPr>
      </w:pPr>
    </w:p>
    <w:p>
      <w:pPr>
        <w:spacing w:after="0"/>
        <w:rPr>
          <w:sz w:val="20"/>
          <w:szCs w:val="20"/>
          <w:color w:val="auto"/>
        </w:rPr>
      </w:pPr>
      <w:r>
        <w:rPr>
          <w:rFonts w:ascii="Arial" w:cs="Arial" w:eastAsia="Arial" w:hAnsi="Arial"/>
          <w:sz w:val="10"/>
          <w:szCs w:val="10"/>
          <w:color w:val="auto"/>
        </w:rPr>
        <w:t>Deferred tax is determined, using the liability method, on temporary differences arising between the tax bases of assets and liabilities and their carrying amounts in the Consolidated Balance Sheet and on unused tax losses and credits carried forward.</w:t>
      </w:r>
    </w:p>
    <w:p>
      <w:pPr>
        <w:spacing w:after="0" w:line="155" w:lineRule="exact"/>
        <w:rPr>
          <w:sz w:val="20"/>
          <w:szCs w:val="20"/>
          <w:color w:val="auto"/>
        </w:rPr>
      </w:pPr>
    </w:p>
    <w:p>
      <w:pPr>
        <w:ind w:right="180"/>
        <w:spacing w:after="0" w:line="234" w:lineRule="auto"/>
        <w:rPr>
          <w:sz w:val="20"/>
          <w:szCs w:val="20"/>
          <w:color w:val="auto"/>
        </w:rPr>
      </w:pPr>
      <w:r>
        <w:rPr>
          <w:rFonts w:ascii="Arial" w:cs="Arial" w:eastAsia="Arial" w:hAnsi="Arial"/>
          <w:sz w:val="10"/>
          <w:szCs w:val="10"/>
          <w:color w:val="auto"/>
        </w:rPr>
        <w:t>Deferred tax assets and liabilities are calculated using the enacted or substantively enacted rates that are expected to apply when an asset is realised or a liability is settled. They are not recognised where they arise on the initial recognition of goodwill or of an asset or liability in a transaction (other than in a business combination) that, at the time of the transaction, affects neither accounting nor taxable profit, or in respect of taxable temporary differences associated with subsidiaries, joint ventures and associates where the reversal of the respective temporary difference can be controlled by Shell and it is probable that it will not reverse in the foreseeable future.</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Deferred tax assets are recognised to the extent that it is probable that future taxable profits will be available against which the deductible temporary differences, unused tax losses and credits carried forward can be utilised.</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Income tax receivables and payables as well as deferred tax assets and liabilities include provisions for uncertain income tax positions/treatments.</w:t>
      </w:r>
    </w:p>
    <w:p>
      <w:pPr>
        <w:spacing w:after="0" w:line="155" w:lineRule="exact"/>
        <w:rPr>
          <w:sz w:val="20"/>
          <w:szCs w:val="20"/>
          <w:color w:val="auto"/>
        </w:rPr>
      </w:pPr>
    </w:p>
    <w:p>
      <w:pPr>
        <w:ind w:right="180"/>
        <w:spacing w:after="0" w:line="239" w:lineRule="auto"/>
        <w:rPr>
          <w:sz w:val="20"/>
          <w:szCs w:val="20"/>
          <w:color w:val="auto"/>
        </w:rPr>
      </w:pPr>
      <w:r>
        <w:rPr>
          <w:rFonts w:ascii="Arial" w:cs="Arial" w:eastAsia="Arial" w:hAnsi="Arial"/>
          <w:sz w:val="10"/>
          <w:szCs w:val="10"/>
          <w:color w:val="auto"/>
        </w:rPr>
        <w:t>Income taxes are recognised in income except when they relate to items recognised in other comprehensive income, in which case the tax is recognised in other comprehensive income. Income tax assets and liabilities are presented separately in the Consolidated Balance Sheet except where there is a right of offset within fiscal jurisdictions and an intention to settle such balances on a net basis.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Judgements and estimates</w:t>
      </w:r>
    </w:p>
    <w:p>
      <w:pPr>
        <w:spacing w:after="0" w:line="3" w:lineRule="exact"/>
        <w:rPr>
          <w:sz w:val="20"/>
          <w:szCs w:val="20"/>
          <w:color w:val="auto"/>
        </w:rPr>
      </w:pPr>
    </w:p>
    <w:p>
      <w:pPr>
        <w:ind w:right="100"/>
        <w:spacing w:after="0" w:line="227" w:lineRule="auto"/>
        <w:rPr>
          <w:sz w:val="20"/>
          <w:szCs w:val="20"/>
          <w:color w:val="auto"/>
        </w:rPr>
      </w:pPr>
      <w:r>
        <w:rPr>
          <w:rFonts w:ascii="Arial" w:cs="Arial" w:eastAsia="Arial" w:hAnsi="Arial"/>
          <w:sz w:val="10"/>
          <w:szCs w:val="10"/>
          <w:color w:val="auto"/>
        </w:rPr>
        <w:t>Tax liabilities are recognised when it is considered probable that there will be a future outflow of funds to a taxing authority. In such cases, provision is made for the amount that is expected to be settled, where this can be reasonably estimated. Provisions for uncertain income tax positions/treatments are measured at the most likely amount or the expected value, whichever method is more appropriate. Generally, uncertain tax treatments are assessed on an individual basis, except where they are expected to be settled collectively. It is assumed that taxing authorities will examine positions taken if they have the right to do so and that they have full knowledge of the relevant information. A change in estimate of the likelihood of a future outflow and/or in the expected amount to be settled would be recognised in income in the period in which the change occurs. This requires the application of judgement as to the ultimate outcome, which can change over time depending on facts and circumstances. Judgements mainly relate to transfer pricing, including inter-company financing, interpretation of PSCs, expenditure deductible for tax purposes and taxation arising on disposal.</w:t>
      </w:r>
    </w:p>
    <w:p>
      <w:pPr>
        <w:spacing w:after="0" w:line="150" w:lineRule="exact"/>
        <w:rPr>
          <w:sz w:val="20"/>
          <w:szCs w:val="20"/>
          <w:color w:val="auto"/>
        </w:rPr>
      </w:pPr>
    </w:p>
    <w:p>
      <w:pPr>
        <w:ind w:right="120"/>
        <w:spacing w:after="0" w:line="234" w:lineRule="auto"/>
        <w:rPr>
          <w:sz w:val="20"/>
          <w:szCs w:val="20"/>
          <w:color w:val="auto"/>
        </w:rPr>
      </w:pPr>
      <w:r>
        <w:rPr>
          <w:rFonts w:ascii="Arial" w:cs="Arial" w:eastAsia="Arial" w:hAnsi="Arial"/>
          <w:sz w:val="10"/>
          <w:szCs w:val="10"/>
          <w:color w:val="auto"/>
        </w:rPr>
        <w:t>Deferred tax assets are recognised only to the extent it is considered probable that those assets will be recoverable. This involves an assessment of when those assets are likely to reverse, and a judgement as to whether or not there will be sufficient taxable profits available to offset the assets when they do reverse. This requires assumptions regarding future profitability and is therefore inherently uncertain. To the extent assumptions regarding future profitability change, there can be an increase or decrease in the amounts recognised in respect of deferred tax assets as well as in the amounts recognised in income in the period in which the change occurs.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Taxation information, including charges and deferred tax assets and liabilities, is presented in Note 16. Income taxes include taxes at higher rates levied on income from certain Integrated Gas and Upstream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Retirement benefits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Benefits in the form of retirement pensions and health care and life insurance are provided to certain employees and retirees under defined benefit and defined contribution plans.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174</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177" w:name="page178"/>
    <w:bookmarkEnd w:id="177"/>
    <w:p>
      <w:pPr>
        <w:spacing w:after="0" w:line="320" w:lineRule="auto"/>
        <w:rPr>
          <w:sz w:val="20"/>
          <w:szCs w:val="20"/>
          <w:color w:val="auto"/>
        </w:rPr>
      </w:pPr>
      <w:r>
        <w:rPr>
          <w:rFonts w:ascii="Arial" w:cs="Arial" w:eastAsia="Arial" w:hAnsi="Arial"/>
          <w:sz w:val="8"/>
          <w:szCs w:val="8"/>
          <w:color w:val="auto"/>
        </w:rPr>
        <w:t>Obligations under defined benefit plans are calculated annually by independent actuaries using the projected unit credit method, which takes into account employees’ years of service and, for pensions, average or final pensionable remuneration, and are discounted to their present value using interest rates of high-quality corporate bonds denominated in the currency in which the benefits will be paid and of a duration consistent with the plan obligations. Where plans are funded, payments are made to independently managed trusts; assets held by those trusts are measured at fair value. Defined benefit plan surpluses are recognised as assets to the extent that they are considered recoverable, which is generally by way of a refund or lower future employer contributions.</w:t>
      </w:r>
    </w:p>
    <w:p>
      <w:pPr>
        <w:spacing w:after="0" w:line="118" w:lineRule="exact"/>
        <w:rPr>
          <w:sz w:val="20"/>
          <w:szCs w:val="20"/>
          <w:color w:val="auto"/>
        </w:rPr>
      </w:pPr>
    </w:p>
    <w:p>
      <w:pPr>
        <w:ind w:right="20"/>
        <w:spacing w:after="0" w:line="232" w:lineRule="auto"/>
        <w:rPr>
          <w:sz w:val="20"/>
          <w:szCs w:val="20"/>
          <w:color w:val="auto"/>
        </w:rPr>
      </w:pPr>
      <w:r>
        <w:rPr>
          <w:rFonts w:ascii="Arial" w:cs="Arial" w:eastAsia="Arial" w:hAnsi="Arial"/>
          <w:sz w:val="10"/>
          <w:szCs w:val="10"/>
          <w:color w:val="auto"/>
        </w:rPr>
        <w:t>The amounts recognised in income in respect of defined benefit plans mainly comprise service cost and net interest. Service cost comprises principally the increase in the present value of the obligation for benefits resulting from employee service during the period (current service cost) and also amounts relating to past service and settlements or amendments of plans. Plan amendments are changes to benefits and are generally recognised when all legal and regulatory approvals have been received and the effects have been communicated to members. Net interest is calculated using the net defined benefit liability or asset matched against the discount rate yield curve at the beginning of each year for each plan. Remeasurements of the net defined benefit liability or asset resulting from actuarial gains and losses, and the return on plan assets excluding the amount recognised in income, are recognised in other comprehensive income.</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For defined contribution plans, pension expense represents the amount of employer contributions payable for the period.</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Significant judgements and estimates</w:t>
      </w:r>
    </w:p>
    <w:p>
      <w:pPr>
        <w:spacing w:after="0" w:line="3" w:lineRule="exact"/>
        <w:rPr>
          <w:sz w:val="20"/>
          <w:szCs w:val="20"/>
          <w:color w:val="auto"/>
        </w:rPr>
      </w:pPr>
    </w:p>
    <w:p>
      <w:pPr>
        <w:jc w:val="both"/>
        <w:ind w:right="20"/>
        <w:spacing w:after="0" w:line="229" w:lineRule="auto"/>
        <w:rPr>
          <w:sz w:val="20"/>
          <w:szCs w:val="20"/>
          <w:color w:val="auto"/>
        </w:rPr>
      </w:pPr>
      <w:r>
        <w:rPr>
          <w:rFonts w:ascii="Arial" w:cs="Arial" w:eastAsia="Arial" w:hAnsi="Arial"/>
          <w:sz w:val="10"/>
          <w:szCs w:val="10"/>
          <w:color w:val="auto"/>
        </w:rPr>
        <w:t>Defined benefit obligations and plan assets, and the resulting liabilities and assets that are recognised, require significant estimation as these are subject to volatility as (actuarial) assumptions regarding future outcomes and market values change. Substantial judgement is required in determining the actuarial assumptions, which vary for the different plans to reflect local conditions but are determined under a common process in consultation with independent actuaries. The assumptions applied in respect of each plan are reviewed annually and adjusted where necessary to reflect changes in experience and actuarial recommendations.</w:t>
      </w:r>
    </w:p>
    <w:p>
      <w:pPr>
        <w:spacing w:after="0" w:line="131" w:lineRule="exact"/>
        <w:rPr>
          <w:sz w:val="20"/>
          <w:szCs w:val="20"/>
          <w:color w:val="auto"/>
        </w:rPr>
      </w:pPr>
    </w:p>
    <w:p>
      <w:pPr>
        <w:spacing w:after="0"/>
        <w:rPr>
          <w:sz w:val="20"/>
          <w:szCs w:val="20"/>
          <w:color w:val="auto"/>
        </w:rPr>
      </w:pPr>
      <w:r>
        <w:rPr>
          <w:rFonts w:ascii="Arial" w:cs="Arial" w:eastAsia="Arial" w:hAnsi="Arial"/>
          <w:sz w:val="10"/>
          <w:szCs w:val="10"/>
          <w:color w:val="auto"/>
        </w:rPr>
        <w:t>Actuarial assumptions applied in determining defined benefit obligations provide a source of estimation uncertainty as referred to in IAS 1.125.</w:t>
      </w:r>
    </w:p>
    <w:p>
      <w:pPr>
        <w:spacing w:after="0" w:line="137" w:lineRule="exact"/>
        <w:rPr>
          <w:sz w:val="20"/>
          <w:szCs w:val="20"/>
          <w:color w:val="auto"/>
        </w:rPr>
      </w:pPr>
    </w:p>
    <w:p>
      <w:pPr>
        <w:spacing w:after="0"/>
        <w:rPr>
          <w:sz w:val="20"/>
          <w:szCs w:val="20"/>
          <w:color w:val="auto"/>
        </w:rPr>
      </w:pPr>
      <w:r>
        <w:rPr>
          <w:rFonts w:ascii="Arial" w:cs="Arial" w:eastAsia="Arial" w:hAnsi="Arial"/>
          <w:sz w:val="10"/>
          <w:szCs w:val="10"/>
          <w:color w:val="auto"/>
        </w:rPr>
        <w:t>Information about the amounts reported in respect of defined benefit pension plans, assumptions applicable to the principal plans and their sensitivity to changes in significant estimates are presented in Note 17.</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Provisions</w:t>
      </w:r>
    </w:p>
    <w:p>
      <w:pPr>
        <w:spacing w:after="0" w:line="3" w:lineRule="exact"/>
        <w:rPr>
          <w:sz w:val="20"/>
          <w:szCs w:val="20"/>
          <w:color w:val="auto"/>
        </w:rPr>
      </w:pPr>
    </w:p>
    <w:p>
      <w:pPr>
        <w:ind w:right="240"/>
        <w:spacing w:after="0" w:line="231" w:lineRule="auto"/>
        <w:rPr>
          <w:sz w:val="20"/>
          <w:szCs w:val="20"/>
          <w:color w:val="auto"/>
        </w:rPr>
      </w:pPr>
      <w:r>
        <w:rPr>
          <w:rFonts w:ascii="Arial" w:cs="Arial" w:eastAsia="Arial" w:hAnsi="Arial"/>
          <w:sz w:val="10"/>
          <w:szCs w:val="10"/>
          <w:color w:val="auto"/>
        </w:rPr>
        <w:t>Provisions are recognised at the balance sheet date at management’s best estimate of the expenditure required to settle the present obligation. Non-current amounts are discounted at a rate intended to reflect the time value of money. The carrying amounts of provisions and the discount rate applied are regularly reviewed and adjusted for new facts or changes in law, technology or financial markets.</w:t>
      </w:r>
    </w:p>
    <w:p>
      <w:pPr>
        <w:spacing w:after="0" w:line="149" w:lineRule="exact"/>
        <w:rPr>
          <w:sz w:val="20"/>
          <w:szCs w:val="20"/>
          <w:color w:val="auto"/>
        </w:rPr>
      </w:pPr>
    </w:p>
    <w:p>
      <w:pPr>
        <w:ind w:right="20"/>
        <w:spacing w:after="0" w:line="307" w:lineRule="auto"/>
        <w:rPr>
          <w:sz w:val="20"/>
          <w:szCs w:val="20"/>
          <w:color w:val="auto"/>
        </w:rPr>
      </w:pPr>
      <w:r>
        <w:rPr>
          <w:rFonts w:ascii="Arial" w:cs="Arial" w:eastAsia="Arial" w:hAnsi="Arial"/>
          <w:sz w:val="8"/>
          <w:szCs w:val="8"/>
          <w:color w:val="auto"/>
        </w:rPr>
        <w:t>Provisions for decommissioning and restoration costs, which arise principally in connection with hydrocarbon production facilities, oil products manufacturing facilities and pipelines, are measured on the basis of current requirements, technology and price levels; the present value is calculated using amounts discounted over the useful economic life of the assets. The liability is recognised (together with a corresponding amount as part of the related property, plant and equipment) once a legal or constructive obligation arises to dismantle an item of property, plant and equipment and to restore the site on which it is located and when a reasonable estimate can be made. The effects of changes resulting from revisions to the timing or the amount of the original estimate of the provision are reflected on a prospective basis, generally by adjustment to the carrying amount of the related property, plant and equipment. However, where there is no related asset, or the change reduces the carrying amount to nil, the effect, or the amount in excess of the reduction in the related asset to nil, is recognised in income.</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Shell reviews its refinery and chemical sites on a regular basis to determine whether any changes in assumptions, including expected life, trigger the need to recognise a provision for decommissioning and restoration.</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0"/>
          <w:szCs w:val="10"/>
          <w:color w:val="auto"/>
        </w:rPr>
        <w:t>Redundancy provisions are recognised when a detailed formal plan identifies the business or part of the business concerned, the location and number of employees affected, a detailed estimate of the associated costs and an appropriate timeline, and the employees affected have been notified of the plan's main features.</w:t>
      </w:r>
    </w:p>
    <w:p>
      <w:pPr>
        <w:spacing w:after="0" w:line="149" w:lineRule="exact"/>
        <w:rPr>
          <w:sz w:val="20"/>
          <w:szCs w:val="20"/>
          <w:color w:val="auto"/>
        </w:rPr>
      </w:pPr>
    </w:p>
    <w:p>
      <w:pPr>
        <w:ind w:right="100"/>
        <w:spacing w:after="0" w:line="358" w:lineRule="auto"/>
        <w:rPr>
          <w:sz w:val="20"/>
          <w:szCs w:val="20"/>
          <w:color w:val="auto"/>
        </w:rPr>
      </w:pPr>
      <w:r>
        <w:rPr>
          <w:rFonts w:ascii="Arial" w:cs="Arial" w:eastAsia="Arial" w:hAnsi="Arial"/>
          <w:sz w:val="8"/>
          <w:szCs w:val="8"/>
          <w:color w:val="auto"/>
        </w:rPr>
        <w:t>An onerous contract provision is recognised when the unavoidable cost of meeting the obligations under the contract exceed the economic benefits expected to be received under it. The unavoidable cost under a contract is the lower of the cost of fulfilling the contract and any compensation or penalties arising from failure to fulfil it. The cost of fulfilling a contract comprises the costs that relate directly to the contract. Before an onerous provision is recognised Shell first recognises any impairment loss that has occurred on assets dedicated to that contract.</w:t>
      </w:r>
    </w:p>
    <w:p>
      <w:pPr>
        <w:spacing w:after="0" w:line="104" w:lineRule="exact"/>
        <w:rPr>
          <w:sz w:val="20"/>
          <w:szCs w:val="20"/>
          <w:color w:val="auto"/>
        </w:rPr>
      </w:pPr>
    </w:p>
    <w:p>
      <w:pPr>
        <w:ind w:right="120"/>
        <w:spacing w:after="0" w:line="239" w:lineRule="auto"/>
        <w:rPr>
          <w:sz w:val="20"/>
          <w:szCs w:val="20"/>
          <w:color w:val="auto"/>
        </w:rPr>
      </w:pPr>
      <w:r>
        <w:rPr>
          <w:rFonts w:ascii="Arial" w:cs="Arial" w:eastAsia="Arial" w:hAnsi="Arial"/>
          <w:sz w:val="10"/>
          <w:szCs w:val="10"/>
          <w:color w:val="auto"/>
        </w:rPr>
        <w:t>Other provisions are recognised in income in the period in which an obligation arises and the amount can be reasonably estimated. Provisions are measured based on current legal requirements and existing technology where applicable. Recognition of any joint and several liability is based on management’s best estimate of the final pro rata share of the liability. Provisions are determined independently of expected insurance recoveries. Recoveries are recognised when virtually certain of realisation.</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Estimates</w:t>
      </w:r>
    </w:p>
    <w:p>
      <w:pPr>
        <w:spacing w:after="0" w:line="3" w:lineRule="exact"/>
        <w:rPr>
          <w:sz w:val="20"/>
          <w:szCs w:val="20"/>
          <w:color w:val="auto"/>
        </w:rPr>
      </w:pPr>
    </w:p>
    <w:p>
      <w:pPr>
        <w:ind w:right="280"/>
        <w:spacing w:after="0" w:line="231" w:lineRule="auto"/>
        <w:rPr>
          <w:sz w:val="20"/>
          <w:szCs w:val="20"/>
          <w:color w:val="auto"/>
        </w:rPr>
      </w:pPr>
      <w:r>
        <w:rPr>
          <w:rFonts w:ascii="Arial" w:cs="Arial" w:eastAsia="Arial" w:hAnsi="Arial"/>
          <w:sz w:val="10"/>
          <w:szCs w:val="10"/>
          <w:color w:val="auto"/>
        </w:rPr>
        <w:t>Estimates of provisions for future decommissioning and restoration costs are recognised and based on current legal and constructive requirements, technology and price levels. Because actual cash outflows can differ from estimates due to changes in laws, regulations, public expectations, technology, prices and conditions, and can take place many years in the future, the carrying amounts of provisions are regularly reviewed and adjusted to take account of such changes.</w:t>
      </w:r>
    </w:p>
    <w:p>
      <w:pPr>
        <w:spacing w:after="0" w:line="13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Significant estimate</w:t>
      </w:r>
    </w:p>
    <w:p>
      <w:pPr>
        <w:spacing w:after="0" w:line="236" w:lineRule="auto"/>
        <w:rPr>
          <w:sz w:val="20"/>
          <w:szCs w:val="20"/>
          <w:color w:val="auto"/>
        </w:rPr>
      </w:pPr>
      <w:r>
        <w:rPr>
          <w:rFonts w:ascii="Arial" w:cs="Arial" w:eastAsia="Arial" w:hAnsi="Arial"/>
          <w:sz w:val="10"/>
          <w:szCs w:val="10"/>
          <w:color w:val="auto"/>
        </w:rPr>
        <w:t>The discount rate applied to reflect the time value of money in the carrying amount of provisions requires estimation. The discount rate applied is reviewed regularly and adjusted following changes in market rates.</w:t>
      </w:r>
    </w:p>
    <w:p>
      <w:pPr>
        <w:spacing w:after="0" w:line="113" w:lineRule="exact"/>
        <w:rPr>
          <w:sz w:val="20"/>
          <w:szCs w:val="20"/>
          <w:color w:val="auto"/>
        </w:rPr>
      </w:pPr>
    </w:p>
    <w:p>
      <w:pPr>
        <w:spacing w:after="0"/>
        <w:rPr>
          <w:sz w:val="20"/>
          <w:szCs w:val="20"/>
          <w:color w:val="auto"/>
        </w:rPr>
      </w:pPr>
      <w:r>
        <w:rPr>
          <w:rFonts w:ascii="Arial" w:cs="Arial" w:eastAsia="Arial" w:hAnsi="Arial"/>
          <w:sz w:val="10"/>
          <w:szCs w:val="10"/>
          <w:color w:val="auto"/>
        </w:rPr>
        <w:t>The discount rate applied to determine the carrying amount of provisions provides a source of estimation uncertainty as referred to in IAS 1.125.</w:t>
      </w:r>
    </w:p>
    <w:p>
      <w:pPr>
        <w:spacing w:after="0" w:line="137" w:lineRule="exact"/>
        <w:rPr>
          <w:sz w:val="20"/>
          <w:szCs w:val="20"/>
          <w:color w:val="auto"/>
        </w:rPr>
      </w:pPr>
    </w:p>
    <w:p>
      <w:pPr>
        <w:spacing w:after="0"/>
        <w:rPr>
          <w:sz w:val="20"/>
          <w:szCs w:val="20"/>
          <w:color w:val="auto"/>
        </w:rPr>
      </w:pPr>
      <w:r>
        <w:rPr>
          <w:rFonts w:ascii="Arial" w:cs="Arial" w:eastAsia="Arial" w:hAnsi="Arial"/>
          <w:sz w:val="10"/>
          <w:szCs w:val="10"/>
          <w:color w:val="auto"/>
        </w:rPr>
        <w:t>Information about decommissioning and restoration provisions and their sensitivity to changes in estimates are presented in Note 18.</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Financial instruments</w:t>
      </w:r>
    </w:p>
    <w:p>
      <w:pPr>
        <w:spacing w:after="0" w:line="3" w:lineRule="exact"/>
        <w:rPr>
          <w:sz w:val="20"/>
          <w:szCs w:val="20"/>
          <w:color w:val="auto"/>
        </w:rPr>
      </w:pPr>
    </w:p>
    <w:p>
      <w:pPr>
        <w:spacing w:after="0"/>
        <w:rPr>
          <w:sz w:val="20"/>
          <w:szCs w:val="20"/>
          <w:color w:val="auto"/>
        </w:rPr>
      </w:pPr>
      <w:r>
        <w:rPr>
          <w:rFonts w:ascii="Arial" w:cs="Arial" w:eastAsia="Arial" w:hAnsi="Arial"/>
          <w:sz w:val="8"/>
          <w:szCs w:val="8"/>
          <w:color w:val="auto"/>
        </w:rPr>
        <w:t>Financial assets and liabilities are presented separately in the Consolidated Balance Sheet except where there is a legally enforceable right of offset and Shell has the intention to settle on a net basis or realise the asset and settle the liability simultaneously.</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175</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178" w:name="page179"/>
    <w:bookmarkEnd w:id="178"/>
    <w:p>
      <w:pPr>
        <w:spacing w:after="0"/>
        <w:rPr>
          <w:sz w:val="20"/>
          <w:szCs w:val="20"/>
          <w:color w:val="auto"/>
        </w:rPr>
      </w:pPr>
      <w:r>
        <w:rPr>
          <w:rFonts w:ascii="Arial" w:cs="Arial" w:eastAsia="Arial" w:hAnsi="Arial"/>
          <w:sz w:val="10"/>
          <w:szCs w:val="10"/>
          <w:color w:val="auto"/>
        </w:rPr>
        <w:t>Financial Assets</w:t>
      </w:r>
    </w:p>
    <w:p>
      <w:pPr>
        <w:spacing w:after="0" w:line="1" w:lineRule="exact"/>
        <w:rPr>
          <w:sz w:val="20"/>
          <w:szCs w:val="20"/>
          <w:color w:val="auto"/>
        </w:rPr>
      </w:pPr>
    </w:p>
    <w:p>
      <w:pPr>
        <w:ind w:right="320"/>
        <w:spacing w:after="0" w:line="231" w:lineRule="auto"/>
        <w:rPr>
          <w:sz w:val="20"/>
          <w:szCs w:val="20"/>
          <w:color w:val="auto"/>
        </w:rPr>
      </w:pPr>
      <w:r>
        <w:rPr>
          <w:rFonts w:ascii="Arial" w:cs="Arial" w:eastAsia="Arial" w:hAnsi="Arial"/>
          <w:sz w:val="10"/>
          <w:szCs w:val="10"/>
          <w:color w:val="auto"/>
        </w:rPr>
        <w:t>Financial assets are classified at initial recognition and subsequently measured at amortised cost, fair value through other comprehensive income or fair value through profit or loss. The classification of financial assets is determined by the contractual cash flows and where applicable the business model for managing the financial assets.</w:t>
      </w:r>
    </w:p>
    <w:p>
      <w:pPr>
        <w:spacing w:after="0" w:line="149" w:lineRule="exact"/>
        <w:rPr>
          <w:sz w:val="20"/>
          <w:szCs w:val="20"/>
          <w:color w:val="auto"/>
        </w:rPr>
      </w:pPr>
    </w:p>
    <w:p>
      <w:pPr>
        <w:ind w:right="80"/>
        <w:spacing w:after="0" w:line="234" w:lineRule="auto"/>
        <w:rPr>
          <w:sz w:val="20"/>
          <w:szCs w:val="20"/>
          <w:color w:val="auto"/>
        </w:rPr>
      </w:pPr>
      <w:r>
        <w:rPr>
          <w:rFonts w:ascii="Arial" w:cs="Arial" w:eastAsia="Arial" w:hAnsi="Arial"/>
          <w:sz w:val="10"/>
          <w:szCs w:val="10"/>
          <w:color w:val="auto"/>
        </w:rPr>
        <w:t>Debt instruments are measured at amortised cost, if the objective of the business model is to hold the financial asset in order to collect contractual cash flows and the contractual terms give rise to cash flows that are solely payments of principal and interest. It is initially recognised at fair value plus or minus transaction costs that are directly attributable to the acquisition or issue of the financial asset. Subsequently the financial asset is measured using the effective interest method less any impairment. Gains and losses are recognised in profit or loss when the asset is derecognised, modified or impaired.</w:t>
      </w:r>
    </w:p>
    <w:p>
      <w:pPr>
        <w:spacing w:after="0" w:line="150" w:lineRule="exact"/>
        <w:rPr>
          <w:sz w:val="20"/>
          <w:szCs w:val="20"/>
          <w:color w:val="auto"/>
        </w:rPr>
      </w:pPr>
    </w:p>
    <w:p>
      <w:pPr>
        <w:jc w:val="both"/>
        <w:ind w:right="100"/>
        <w:spacing w:after="0" w:line="234" w:lineRule="auto"/>
        <w:rPr>
          <w:sz w:val="20"/>
          <w:szCs w:val="20"/>
          <w:color w:val="auto"/>
        </w:rPr>
      </w:pPr>
      <w:r>
        <w:rPr>
          <w:rFonts w:ascii="Arial" w:cs="Arial" w:eastAsia="Arial" w:hAnsi="Arial"/>
          <w:sz w:val="10"/>
          <w:szCs w:val="10"/>
          <w:color w:val="auto"/>
        </w:rPr>
        <w:t>All equity instruments and other debt instruments are recognised at fair value. For equity instruments, on initial recognition, an irrevocable election (on an instrument-by-instrument basis) can be made to designate these as at fair value through other comprehensive income instead of fair value through profit or loss. Dividends received on equity instruments are recognised as other income in profit or loss when the right of payment has been established, except when Shell benefits from such proceeds as a recovery of part of the cost of the financial asset, in which case, such gains are recorded in other comprehensive income.</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Investments in securities</w:t>
      </w:r>
    </w:p>
    <w:p>
      <w:pPr>
        <w:spacing w:after="0" w:line="1" w:lineRule="exact"/>
        <w:rPr>
          <w:sz w:val="20"/>
          <w:szCs w:val="20"/>
          <w:color w:val="auto"/>
        </w:rPr>
      </w:pPr>
    </w:p>
    <w:p>
      <w:pPr>
        <w:jc w:val="both"/>
        <w:ind w:right="180"/>
        <w:spacing w:after="0" w:line="337" w:lineRule="auto"/>
        <w:rPr>
          <w:sz w:val="20"/>
          <w:szCs w:val="20"/>
          <w:color w:val="auto"/>
        </w:rPr>
      </w:pPr>
      <w:r>
        <w:rPr>
          <w:rFonts w:ascii="Arial" w:cs="Arial" w:eastAsia="Arial" w:hAnsi="Arial"/>
          <w:sz w:val="8"/>
          <w:szCs w:val="8"/>
          <w:color w:val="auto"/>
        </w:rPr>
        <w:t>Investments in securities (“securities”) comprise equity and debt securities. Equity securities are carried at fair value. Generally, unrealised holding gains and losses are recognised in other comprehensive income. On sale, net gains and losses previously accumulated in other comprehensive income are transferred to retained earnings. Debt securities are generally carried at fair value with unrealised holding gains and losses recognised in other comprehensive income. On sale, net gains and losses previously accumulated in other comprehensive income are recognised in income.</w:t>
      </w:r>
    </w:p>
    <w:p>
      <w:pPr>
        <w:spacing w:after="0" w:line="112" w:lineRule="exact"/>
        <w:rPr>
          <w:sz w:val="20"/>
          <w:szCs w:val="20"/>
          <w:color w:val="auto"/>
        </w:rPr>
      </w:pPr>
    </w:p>
    <w:p>
      <w:pPr>
        <w:spacing w:after="0"/>
        <w:rPr>
          <w:sz w:val="20"/>
          <w:szCs w:val="20"/>
          <w:color w:val="auto"/>
        </w:rPr>
      </w:pPr>
      <w:r>
        <w:rPr>
          <w:rFonts w:ascii="Arial" w:cs="Arial" w:eastAsia="Arial" w:hAnsi="Arial"/>
          <w:sz w:val="10"/>
          <w:szCs w:val="10"/>
          <w:color w:val="auto"/>
        </w:rPr>
        <w:t>Impairment of financial assets</w:t>
      </w:r>
    </w:p>
    <w:p>
      <w:pPr>
        <w:spacing w:after="0" w:line="1" w:lineRule="exact"/>
        <w:rPr>
          <w:sz w:val="20"/>
          <w:szCs w:val="20"/>
          <w:color w:val="auto"/>
        </w:rPr>
      </w:pPr>
    </w:p>
    <w:p>
      <w:pPr>
        <w:ind w:right="180"/>
        <w:spacing w:after="0" w:line="309" w:lineRule="auto"/>
        <w:rPr>
          <w:sz w:val="20"/>
          <w:szCs w:val="20"/>
          <w:color w:val="auto"/>
        </w:rPr>
      </w:pPr>
      <w:r>
        <w:rPr>
          <w:rFonts w:ascii="Arial" w:cs="Arial" w:eastAsia="Arial" w:hAnsi="Arial"/>
          <w:sz w:val="8"/>
          <w:szCs w:val="8"/>
          <w:color w:val="auto"/>
        </w:rPr>
        <w:t>The expected credit loss model is applied for recognition and measurement of impairments in financial assets measured at amortised cost or at fair value through other comprehensive income. The expected credit loss model is also applied for financial guarantee contracts to which IFRS 9 applies and which are not accounted for at fair value through profit or loss. The loss allowance for the financial asset is measured at an amount equal to the 12-month expected credit losses. If the credit risk on the financial asset has increased significantly since initial recognition, the loss allowance for the financial asset is measured at an amount equal to the lifetime expected credit losses. Changes in loss allowances are recognised in profit or loss. For trade receivables, a simplified impairment approach is applied recognising expected lifetime losses from initial recognition.</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Cash and cash equivalents</w:t>
      </w:r>
    </w:p>
    <w:p>
      <w:pPr>
        <w:spacing w:after="0" w:line="1" w:lineRule="exact"/>
        <w:rPr>
          <w:sz w:val="20"/>
          <w:szCs w:val="20"/>
          <w:color w:val="auto"/>
        </w:rPr>
      </w:pPr>
    </w:p>
    <w:p>
      <w:pPr>
        <w:spacing w:after="0"/>
        <w:rPr>
          <w:sz w:val="20"/>
          <w:szCs w:val="20"/>
          <w:color w:val="auto"/>
        </w:rPr>
      </w:pPr>
      <w:r>
        <w:rPr>
          <w:rFonts w:ascii="Arial" w:cs="Arial" w:eastAsia="Arial" w:hAnsi="Arial"/>
          <w:sz w:val="8"/>
          <w:szCs w:val="8"/>
          <w:color w:val="auto"/>
        </w:rPr>
        <w:t>Cash and cash equivalents comprise cash at bank and in hand, including offsetting bank overdrafts, short-term bank deposits, money market funds, reverse repos and similar instruments that generally have a maturity of three months or less at the date of purchase.</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Financial Liabilities</w:t>
      </w:r>
    </w:p>
    <w:p>
      <w:pPr>
        <w:spacing w:after="0" w:line="3" w:lineRule="exact"/>
        <w:rPr>
          <w:sz w:val="20"/>
          <w:szCs w:val="20"/>
          <w:color w:val="auto"/>
        </w:rPr>
      </w:pPr>
    </w:p>
    <w:p>
      <w:pPr>
        <w:ind w:right="100"/>
        <w:spacing w:after="0" w:line="228" w:lineRule="auto"/>
        <w:rPr>
          <w:sz w:val="20"/>
          <w:szCs w:val="20"/>
          <w:color w:val="auto"/>
        </w:rPr>
      </w:pPr>
      <w:r>
        <w:rPr>
          <w:rFonts w:ascii="Arial" w:cs="Arial" w:eastAsia="Arial" w:hAnsi="Arial"/>
          <w:sz w:val="10"/>
          <w:szCs w:val="10"/>
          <w:color w:val="auto"/>
        </w:rPr>
        <w:t>Financial liabilities are measured at amortised cost, unless they are required to be measured at fair value through profit or loss, such as instruments held for trading, or Shell has opted to measure them at fair value through profit or loss. Debt and trade payables are recognised initially at fair value based on amounts exchanged, net of transaction costs, and subsequently at amortised cost except for fixed rate debt subject to fair value hedging which is remeasured for the hedged risk (see below). Interest expense on debt is accounted for using the effective interest method, and other than interest capitalised, is recognised in income. For financial liabilities that are measured under the fair value option, the change in the fair value related to own credit risk is recognised in other comprehensive income. The remaining fair value change is recognised at fair value through profit or loss.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Derivative contracts and hedges</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0"/>
          <w:szCs w:val="10"/>
          <w:color w:val="auto"/>
        </w:rPr>
        <w:t>Derivative contracts are used in the management of interest rate risk, foreign exchange risk, commodity price risk, and foreign currency cash balances. Derivatives that are not closely related to the host contract in terms of economic characteristics and risks and the host contract of which is not a financial asset are separated from their host contract and recognised at fair value with the associated gains and losses recognised in income.</w:t>
      </w:r>
    </w:p>
    <w:p>
      <w:pPr>
        <w:spacing w:after="0" w:line="149" w:lineRule="exact"/>
        <w:rPr>
          <w:sz w:val="20"/>
          <w:szCs w:val="20"/>
          <w:color w:val="auto"/>
        </w:rPr>
      </w:pPr>
    </w:p>
    <w:p>
      <w:pPr>
        <w:ind w:right="100"/>
        <w:spacing w:after="0" w:line="239" w:lineRule="auto"/>
        <w:rPr>
          <w:sz w:val="20"/>
          <w:szCs w:val="20"/>
          <w:color w:val="auto"/>
        </w:rPr>
      </w:pPr>
      <w:r>
        <w:rPr>
          <w:rFonts w:ascii="Arial" w:cs="Arial" w:eastAsia="Arial" w:hAnsi="Arial"/>
          <w:sz w:val="10"/>
          <w:szCs w:val="10"/>
          <w:color w:val="auto"/>
        </w:rPr>
        <w:t>Contracts to buy or sell a non-financial item that can be settled net in cash are accounted for as financial instruments, with the exception of those contracts that were entered into and continue to be held for the purpose of the receipt or delivery of a non-financial item in accordance with Shell’s expected purchase, sale or usage requirements. Gains or losses arising from changes in the fair value of derivatives that are not designated as effective hedging instruments are recognised in income.</w:t>
      </w:r>
    </w:p>
    <w:p>
      <w:pPr>
        <w:spacing w:after="0" w:line="149" w:lineRule="exact"/>
        <w:rPr>
          <w:sz w:val="20"/>
          <w:szCs w:val="20"/>
          <w:color w:val="auto"/>
        </w:rPr>
      </w:pPr>
    </w:p>
    <w:p>
      <w:pPr>
        <w:ind w:right="260"/>
        <w:spacing w:after="0" w:line="358" w:lineRule="auto"/>
        <w:rPr>
          <w:sz w:val="20"/>
          <w:szCs w:val="20"/>
          <w:color w:val="auto"/>
        </w:rPr>
      </w:pPr>
      <w:r>
        <w:rPr>
          <w:rFonts w:ascii="Arial" w:cs="Arial" w:eastAsia="Arial" w:hAnsi="Arial"/>
          <w:sz w:val="8"/>
          <w:szCs w:val="8"/>
          <w:color w:val="auto"/>
        </w:rPr>
        <w:t xml:space="preserve">Certain derivative contracts qualify and are designated either: as a </w:t>
      </w:r>
      <w:r>
        <w:rPr>
          <w:rFonts w:ascii="Arial" w:cs="Arial" w:eastAsia="Arial" w:hAnsi="Arial"/>
          <w:sz w:val="8"/>
          <w:szCs w:val="8"/>
          <w:i w:val="1"/>
          <w:iCs w:val="1"/>
          <w:color w:val="auto"/>
        </w:rPr>
        <w:t>fair value hedge</w:t>
      </w:r>
      <w:r>
        <w:rPr>
          <w:rFonts w:ascii="Arial" w:cs="Arial" w:eastAsia="Arial" w:hAnsi="Arial"/>
          <w:sz w:val="8"/>
          <w:szCs w:val="8"/>
          <w:color w:val="auto"/>
        </w:rPr>
        <w:t xml:space="preserve"> of the change in fair value of a recognised asset or liability or an unrecognised firm commitment; or as a </w:t>
      </w:r>
      <w:r>
        <w:rPr>
          <w:rFonts w:ascii="Arial" w:cs="Arial" w:eastAsia="Arial" w:hAnsi="Arial"/>
          <w:sz w:val="8"/>
          <w:szCs w:val="8"/>
          <w:i w:val="1"/>
          <w:iCs w:val="1"/>
          <w:color w:val="auto"/>
        </w:rPr>
        <w:t>cash flow hedge</w:t>
      </w:r>
      <w:r>
        <w:rPr>
          <w:rFonts w:ascii="Arial" w:cs="Arial" w:eastAsia="Arial" w:hAnsi="Arial"/>
          <w:sz w:val="8"/>
          <w:szCs w:val="8"/>
          <w:color w:val="auto"/>
        </w:rPr>
        <w:t xml:space="preserve"> for the change in cash flows to be received or paid relating to a recognised asset or liability or a highly probable forecast transaction; or as a </w:t>
      </w:r>
      <w:r>
        <w:rPr>
          <w:rFonts w:ascii="Arial" w:cs="Arial" w:eastAsia="Arial" w:hAnsi="Arial"/>
          <w:sz w:val="8"/>
          <w:szCs w:val="8"/>
          <w:i w:val="1"/>
          <w:iCs w:val="1"/>
          <w:color w:val="auto"/>
        </w:rPr>
        <w:t>net investment hedge</w:t>
      </w:r>
      <w:r>
        <w:rPr>
          <w:rFonts w:ascii="Arial" w:cs="Arial" w:eastAsia="Arial" w:hAnsi="Arial"/>
          <w:sz w:val="8"/>
          <w:szCs w:val="8"/>
          <w:color w:val="auto"/>
        </w:rPr>
        <w:t xml:space="preserve"> of the change in foreign exchange rates associated with net investments in foreign operations with a different functional currency than Shell’s functional currency.</w:t>
      </w:r>
    </w:p>
    <w:p>
      <w:pPr>
        <w:spacing w:after="0" w:line="104" w:lineRule="exact"/>
        <w:rPr>
          <w:sz w:val="20"/>
          <w:szCs w:val="20"/>
          <w:color w:val="auto"/>
        </w:rPr>
      </w:pPr>
    </w:p>
    <w:p>
      <w:pPr>
        <w:ind w:right="160"/>
        <w:spacing w:after="0" w:line="307" w:lineRule="auto"/>
        <w:rPr>
          <w:sz w:val="20"/>
          <w:szCs w:val="20"/>
          <w:color w:val="auto"/>
        </w:rPr>
      </w:pPr>
      <w:r>
        <w:rPr>
          <w:rFonts w:ascii="Arial" w:cs="Arial" w:eastAsia="Arial" w:hAnsi="Arial"/>
          <w:sz w:val="8"/>
          <w:szCs w:val="8"/>
          <w:color w:val="auto"/>
        </w:rPr>
        <w:t>A change in the fair value of a hedging instrument designated as a fair value hedge is recognised in income, together with the consequential adjustment to the carrying amount of the hedged item. The effective portion of a change in fair value of a derivative contract designated as a cash flow hedge is recognised in other comprehensive income until the hedged transaction occurs; any ineffective portion is recognised in income. Where the hedged item is a non-financial asset or liability, the amount in accumulated other comprehensive income is transferred to the initial carrying amount of the asset or liability (reclassified to the balance sheet); a net investment hedge is accounted for similarly to a cash flow hedge. Gains or losses on the hedging instrument relating to the effective portion of the hedge are recognised in other comprehensive income while any gains or losses relating to the ineffective portion are recognised in the income statements. On disposal of the foreign operation, the cumulative value of any such gains or losses recorded in other comprehensive income is reclassified to the income statement.</w:t>
      </w:r>
    </w:p>
    <w:p>
      <w:pPr>
        <w:spacing w:after="0" w:line="123" w:lineRule="exact"/>
        <w:rPr>
          <w:sz w:val="20"/>
          <w:szCs w:val="20"/>
          <w:color w:val="auto"/>
        </w:rPr>
      </w:pPr>
    </w:p>
    <w:p>
      <w:pPr>
        <w:ind w:right="160"/>
        <w:spacing w:after="0" w:line="239" w:lineRule="auto"/>
        <w:rPr>
          <w:sz w:val="20"/>
          <w:szCs w:val="20"/>
          <w:color w:val="auto"/>
        </w:rPr>
      </w:pPr>
      <w:r>
        <w:rPr>
          <w:rFonts w:ascii="Arial" w:cs="Arial" w:eastAsia="Arial" w:hAnsi="Arial"/>
          <w:sz w:val="10"/>
          <w:szCs w:val="10"/>
          <w:color w:val="auto"/>
        </w:rPr>
        <w:t>The effective portion of a change due to retranslation at quarter-end exchange rates in the carrying amount of debt and the principal amount of derivative contracts used to hedge net investments in foreign operations is recognised in other comprehensive income until the related investment is sold or liquidated; any ineffective portion is recognised in income.</w:t>
      </w:r>
    </w:p>
    <w:p>
      <w:pPr>
        <w:spacing w:after="0" w:line="149" w:lineRule="exact"/>
        <w:rPr>
          <w:sz w:val="20"/>
          <w:szCs w:val="20"/>
          <w:color w:val="auto"/>
        </w:rPr>
      </w:pPr>
    </w:p>
    <w:p>
      <w:pPr>
        <w:ind w:right="140"/>
        <w:spacing w:after="0" w:line="239" w:lineRule="auto"/>
        <w:rPr>
          <w:sz w:val="20"/>
          <w:szCs w:val="20"/>
          <w:color w:val="auto"/>
        </w:rPr>
      </w:pPr>
      <w:r>
        <w:rPr>
          <w:rFonts w:ascii="Arial" w:cs="Arial" w:eastAsia="Arial" w:hAnsi="Arial"/>
          <w:sz w:val="10"/>
          <w:szCs w:val="10"/>
          <w:color w:val="auto"/>
        </w:rPr>
        <w:t>All relationships between hedging instruments and hedged items are documented, as well as risk management objectives and strategies for undertaking hedge transactions. The effectiveness of hedges is also continually assessed and hedge accounting is discontinued when there is a change in the risk management strategy.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176</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179" w:name="page180"/>
    <w:bookmarkEnd w:id="179"/>
    <w:p>
      <w:pPr>
        <w:ind w:right="340"/>
        <w:spacing w:after="0" w:line="239" w:lineRule="auto"/>
        <w:rPr>
          <w:sz w:val="20"/>
          <w:szCs w:val="20"/>
          <w:color w:val="auto"/>
        </w:rPr>
      </w:pPr>
      <w:r>
        <w:rPr>
          <w:rFonts w:ascii="Arial" w:cs="Arial" w:eastAsia="Arial" w:hAnsi="Arial"/>
          <w:sz w:val="10"/>
          <w:szCs w:val="10"/>
          <w:color w:val="auto"/>
        </w:rPr>
        <w:t>Unless designated as hedging instruments, contracts to sell or purchase non-financial items that can be settled net as if the contracts were financial instruments and that do not meet expected own use requirements (typically, forward sale and purchase contracts for commodities in trading operations), and contracts that are or contain written options, are recognised at fair value; associated gains and losses are recognised in income.</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Derivatives that are held primarily for the purpose of trading are presented as current in the Consolidated Balance Sheet.</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Fair value measurements</w:t>
      </w:r>
    </w:p>
    <w:p>
      <w:pPr>
        <w:spacing w:after="0" w:line="3" w:lineRule="exact"/>
        <w:rPr>
          <w:sz w:val="20"/>
          <w:szCs w:val="20"/>
          <w:color w:val="auto"/>
        </w:rPr>
      </w:pPr>
    </w:p>
    <w:p>
      <w:pPr>
        <w:spacing w:after="0"/>
        <w:rPr>
          <w:sz w:val="20"/>
          <w:szCs w:val="20"/>
          <w:color w:val="auto"/>
        </w:rPr>
      </w:pPr>
      <w:r>
        <w:rPr>
          <w:rFonts w:ascii="Arial" w:cs="Arial" w:eastAsia="Arial" w:hAnsi="Arial"/>
          <w:sz w:val="8"/>
          <w:szCs w:val="8"/>
          <w:color w:val="auto"/>
        </w:rPr>
        <w:t>Fair value measurements are estimates of the amounts for which assets or liabilities could be transferred at the measurement date, based on the assumption that such transfers take place between participants in principal markets and, where applicable, taking highest and best use into account.</w:t>
      </w:r>
    </w:p>
    <w:p>
      <w:pPr>
        <w:spacing w:after="0" w:line="10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Estimates</w:t>
      </w:r>
    </w:p>
    <w:p>
      <w:pPr>
        <w:spacing w:after="0" w:line="3" w:lineRule="exact"/>
        <w:rPr>
          <w:sz w:val="20"/>
          <w:szCs w:val="20"/>
          <w:color w:val="auto"/>
        </w:rPr>
      </w:pPr>
    </w:p>
    <w:p>
      <w:pPr>
        <w:ind w:right="40"/>
        <w:spacing w:after="0" w:line="228" w:lineRule="auto"/>
        <w:rPr>
          <w:sz w:val="20"/>
          <w:szCs w:val="20"/>
          <w:color w:val="auto"/>
        </w:rPr>
      </w:pPr>
      <w:r>
        <w:rPr>
          <w:rFonts w:ascii="Arial" w:cs="Arial" w:eastAsia="Arial" w:hAnsi="Arial"/>
          <w:sz w:val="10"/>
          <w:szCs w:val="10"/>
          <w:color w:val="auto"/>
        </w:rPr>
        <w:t>Where available, fair value measurements are derived from prices quoted in active markets for identical assets or liabilities. In the absence of such information, other observable inputs are used to estimate fair value. Inputs derived from external sources are corroborated or otherwise verified, as appropriate. In the absence of publicly available information, fair value is determined using estimation techniques that take into account market perspectives relevant to the asset or liability, in as far as they can reasonably be ascertained, based on predominantly unobservable inputs. For derivative contracts where publicly available information is not available, fair value estimations are generally determined using models and other valuation methods, the key inputs for which include future prices, volatility, price correlation, counterparty credit risk and market liquidity, as appropriate; for other assets and liabilities, fair value estimations are generally based on the net present value of expected future cash flows.</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Share-based compensation plans</w:t>
      </w:r>
    </w:p>
    <w:p>
      <w:pPr>
        <w:spacing w:after="0" w:line="3" w:lineRule="exact"/>
        <w:rPr>
          <w:sz w:val="20"/>
          <w:szCs w:val="20"/>
          <w:color w:val="auto"/>
        </w:rPr>
      </w:pPr>
    </w:p>
    <w:p>
      <w:pPr>
        <w:ind w:right="80"/>
        <w:spacing w:after="0" w:line="229" w:lineRule="auto"/>
        <w:rPr>
          <w:sz w:val="20"/>
          <w:szCs w:val="20"/>
          <w:color w:val="auto"/>
        </w:rPr>
      </w:pPr>
      <w:r>
        <w:rPr>
          <w:rFonts w:ascii="Arial" w:cs="Arial" w:eastAsia="Arial" w:hAnsi="Arial"/>
          <w:sz w:val="10"/>
          <w:szCs w:val="10"/>
          <w:color w:val="auto"/>
        </w:rPr>
        <w:t>The fair value of share-based compensation expense arising from the Performance Share Plan (PSP) and the Long-term Incentive Plan (LTIP) - Shell’s main equity-settled plans - is estimated using a Monte Carlo option pricing model and is recognised in income from the date of grant over the vesting period with a corresponding increase directly in equity. The model projects and averages the results for a range of potential outcomes for the vesting conditions, the principal assumptions for which are the share price volatility and dividend yields for Shell and four of its main competitors over the last three years and the last 10 years.</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Shares held in trust</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Shares in the Company, which are held by employee share ownership trusts and trust-like entities, are not included in assets but are reflected at cost as a deduction from equity as shares held in trust.</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Acquisitions and sales of interests in a business</w:t>
      </w:r>
    </w:p>
    <w:p>
      <w:pPr>
        <w:spacing w:after="0" w:line="3" w:lineRule="exact"/>
        <w:rPr>
          <w:sz w:val="20"/>
          <w:szCs w:val="20"/>
          <w:color w:val="auto"/>
        </w:rPr>
      </w:pPr>
    </w:p>
    <w:p>
      <w:pPr>
        <w:ind w:right="60"/>
        <w:spacing w:after="0" w:line="228" w:lineRule="auto"/>
        <w:rPr>
          <w:sz w:val="20"/>
          <w:szCs w:val="20"/>
          <w:color w:val="auto"/>
        </w:rPr>
      </w:pPr>
      <w:r>
        <w:rPr>
          <w:rFonts w:ascii="Arial" w:cs="Arial" w:eastAsia="Arial" w:hAnsi="Arial"/>
          <w:sz w:val="10"/>
          <w:szCs w:val="10"/>
          <w:color w:val="auto"/>
        </w:rPr>
        <w:t>Assets acquired and liabilities assumed when control is obtained over a business, and when an interest or an additional interest is acquired in a joint operation which is a business, are recognised at their fair value at the date of the acquisition; the amount of the purchase consideration above this value is recognised as goodwill. When control is obtained, any non-controlling interest is recognised as the proportionate share of the identifiable net assets. The acquisition of a non-controlling interest in a subsidiary and the sale of an interest while retaining control are accounted for as transactions within equity. The difference between the purchase consideration or sale proceeds after tax and the relevant proportion of the non-controlling interest, measured by reference to the carrying amount of the interest’s net assets at the date of acquisition or sale, is recognised in retained earnings as a movement in equity attributable to Royal Dutch Shell plc shareholders.</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Environmental schemes and related environmental plans</w:t>
      </w:r>
    </w:p>
    <w:p>
      <w:pPr>
        <w:spacing w:after="0" w:line="212" w:lineRule="auto"/>
        <w:rPr>
          <w:sz w:val="20"/>
          <w:szCs w:val="20"/>
          <w:color w:val="auto"/>
        </w:rPr>
      </w:pPr>
      <w:r>
        <w:rPr>
          <w:rFonts w:ascii="Arial" w:cs="Arial" w:eastAsia="Arial" w:hAnsi="Arial"/>
          <w:sz w:val="10"/>
          <w:szCs w:val="10"/>
          <w:b w:val="1"/>
          <w:bCs w:val="1"/>
          <w:color w:val="auto"/>
        </w:rPr>
        <w:t>Emission trading schemes</w:t>
      </w:r>
    </w:p>
    <w:p>
      <w:pPr>
        <w:ind w:right="120"/>
        <w:spacing w:after="0" w:line="200" w:lineRule="auto"/>
        <w:rPr>
          <w:sz w:val="20"/>
          <w:szCs w:val="20"/>
          <w:color w:val="auto"/>
        </w:rPr>
      </w:pPr>
      <w:r>
        <w:rPr>
          <w:rFonts w:ascii="Arial" w:cs="Arial" w:eastAsia="Arial" w:hAnsi="Arial"/>
          <w:sz w:val="10"/>
          <w:szCs w:val="10"/>
          <w:color w:val="auto"/>
        </w:rPr>
        <w:t>Emission certificates acquired for compliance purposes are initially recognised at cost and classified under intangible assets. In the schemes where a cap is set for emissions, the associated emission certificates granted are recognised at cost, which may be zero. Emission certificates held for trading purposes are recognised at cost or net realisable value, whichever is lower, and classified under inventory. An emission liability is recognised under other liabilities when actual emissions occur that give rise to an obligation. To the extent the liability is covered by emission certificates held for compliance purposes, the liability is measured with reference to the value of these emission certificates held and for the remaining uncovered portion at fair market value. The associated expense is presented under "production and manufacturing expenses". Both the emission certificates and the emission liability are derecognised upon settling the liability with the respective regulator.</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Biofuel certificates</w:t>
      </w:r>
    </w:p>
    <w:p>
      <w:pPr>
        <w:spacing w:after="0" w:line="3" w:lineRule="exact"/>
        <w:rPr>
          <w:sz w:val="20"/>
          <w:szCs w:val="20"/>
          <w:color w:val="auto"/>
        </w:rPr>
      </w:pPr>
    </w:p>
    <w:p>
      <w:pPr>
        <w:jc w:val="both"/>
        <w:ind w:right="240"/>
        <w:spacing w:after="0" w:line="229" w:lineRule="auto"/>
        <w:rPr>
          <w:sz w:val="20"/>
          <w:szCs w:val="20"/>
          <w:color w:val="auto"/>
        </w:rPr>
      </w:pPr>
      <w:r>
        <w:rPr>
          <w:rFonts w:ascii="Arial" w:cs="Arial" w:eastAsia="Arial" w:hAnsi="Arial"/>
          <w:sz w:val="10"/>
          <w:szCs w:val="10"/>
          <w:color w:val="auto"/>
        </w:rPr>
        <w:t>Self-generated biofuel certificates are recognised at nil value, as they primarily offset the obligation. Biofuel certificates acquired that are held for compliance purposes are recognised at cost under intangible assets. A biofuel liability is recognised under other liabilities when the number of biofuel certificates available from own activities is less than required. To the extent covered by biofuel certificates held for compliance purposes, the liability is measured with reference to the value of these certificates held and for the remaining uncovered portion at market value. Biofuel certificates and the biofuel liability are both derecognised upon settling the liability with the respective regulator.</w:t>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Renewable power schemes</w:t>
      </w:r>
    </w:p>
    <w:p>
      <w:pPr>
        <w:ind w:right="20"/>
        <w:spacing w:after="0" w:line="200" w:lineRule="auto"/>
        <w:rPr>
          <w:sz w:val="20"/>
          <w:szCs w:val="20"/>
          <w:color w:val="auto"/>
        </w:rPr>
      </w:pPr>
      <w:r>
        <w:rPr>
          <w:rFonts w:ascii="Arial" w:cs="Arial" w:eastAsia="Arial" w:hAnsi="Arial"/>
          <w:sz w:val="10"/>
          <w:szCs w:val="10"/>
          <w:color w:val="auto"/>
        </w:rPr>
        <w:t>Renewable power certificates acquired for compliance purposes are recognised at cost as an intangible asset. Self-generated renewable power certificates are generally transferred to the customer upon sales of electricity. A renewable power liability is recognised under other liabilities when electricity sales take place that give rise to an obligation to retire renewable power certificates. The associated cost is recognised in "Purchases" in the income statement. If the obligation relates to power consumed in business operations, it is presented in other liabilities with cost reflected in "Production and manufacturing expenses". To the extent covered by renewable power certificates held for compliance purposes, the liability is measured with reference to the value of these renewable power certificates and for the remaining uncovered portion at market value. Renewable power certificates and the renewable power liability are derecognised upon settling the liability with the respective regulator.</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Consolidated Statement of Income presentation</w:t>
      </w:r>
    </w:p>
    <w:p>
      <w:pPr>
        <w:spacing w:after="0" w:line="3" w:lineRule="exact"/>
        <w:rPr>
          <w:sz w:val="20"/>
          <w:szCs w:val="20"/>
          <w:color w:val="auto"/>
        </w:rPr>
      </w:pPr>
    </w:p>
    <w:p>
      <w:pPr>
        <w:ind w:right="220"/>
        <w:spacing w:after="0" w:line="231" w:lineRule="auto"/>
        <w:rPr>
          <w:sz w:val="20"/>
          <w:szCs w:val="20"/>
          <w:color w:val="auto"/>
        </w:rPr>
      </w:pPr>
      <w:r>
        <w:rPr>
          <w:rFonts w:ascii="Arial" w:cs="Arial" w:eastAsia="Arial" w:hAnsi="Arial"/>
          <w:sz w:val="10"/>
          <w:szCs w:val="10"/>
          <w:color w:val="auto"/>
        </w:rPr>
        <w:t>Purchases reflect all costs related to the acquisition of inventories and the effects of the changes therein, and include associated costs incurred in conversion into finished or intermediate products. Production and manufacturing expenses are the costs of operating, maintaining and managing production and manufacturing assets. Selling, distribution and administrative expenses include direct and indirect costs of marketing and selling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177</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180" w:name="page181"/>
    <w:bookmarkEnd w:id="180"/>
    <w:p>
      <w:pPr>
        <w:spacing w:after="0"/>
        <w:rPr>
          <w:sz w:val="20"/>
          <w:szCs w:val="20"/>
          <w:color w:val="auto"/>
        </w:rPr>
      </w:pPr>
      <w:r>
        <w:rPr>
          <w:rFonts w:ascii="Arial" w:cs="Arial" w:eastAsia="Arial" w:hAnsi="Arial"/>
          <w:sz w:val="11"/>
          <w:szCs w:val="11"/>
          <w:color w:val="auto"/>
        </w:rPr>
        <w:t>3 – CHANGES TO IFRS NOT YET ADOPTED</w:t>
      </w:r>
    </w:p>
    <w:p>
      <w:pPr>
        <w:spacing w:after="0" w:line="225" w:lineRule="auto"/>
        <w:rPr>
          <w:sz w:val="20"/>
          <w:szCs w:val="20"/>
          <w:color w:val="auto"/>
        </w:rPr>
      </w:pPr>
      <w:r>
        <w:rPr>
          <w:rFonts w:ascii="Arial" w:cs="Arial" w:eastAsia="Arial" w:hAnsi="Arial"/>
          <w:sz w:val="10"/>
          <w:szCs w:val="10"/>
          <w:b w:val="1"/>
          <w:bCs w:val="1"/>
          <w:color w:val="auto"/>
        </w:rPr>
        <w:t>Inter-Bank Offered Rate (IBOR) Reform - Phase 2</w:t>
      </w:r>
    </w:p>
    <w:p>
      <w:pPr>
        <w:ind w:right="100"/>
        <w:spacing w:after="0" w:line="231" w:lineRule="auto"/>
        <w:rPr>
          <w:sz w:val="20"/>
          <w:szCs w:val="20"/>
          <w:color w:val="auto"/>
        </w:rPr>
      </w:pPr>
      <w:r>
        <w:rPr>
          <w:rFonts w:ascii="Arial" w:cs="Arial" w:eastAsia="Arial" w:hAnsi="Arial"/>
          <w:sz w:val="10"/>
          <w:szCs w:val="10"/>
          <w:color w:val="auto"/>
        </w:rPr>
        <w:t>Amendments to IFRS 9 Financial Instruments (IFRS 9), IFRS 7 Financial Instruments: Disclosures (IFRS 7) and IFRS 16 Leases (IFRS 16) were issued in August 2020 that complement those amendments issued in 2019 (IBOR Reform - Phase 1) and focus on the effects of IBOR reform on a company’s financial statements that arise when, for example, an IBOR used to calculate interest on a financial asset is replaced with an alternative benchmark rate.</w:t>
      </w:r>
    </w:p>
    <w:p>
      <w:pPr>
        <w:spacing w:after="0" w:line="149" w:lineRule="exact"/>
        <w:rPr>
          <w:sz w:val="20"/>
          <w:szCs w:val="20"/>
          <w:color w:val="auto"/>
        </w:rPr>
      </w:pPr>
    </w:p>
    <w:p>
      <w:pPr>
        <w:ind w:right="40"/>
        <w:spacing w:after="0" w:line="239" w:lineRule="auto"/>
        <w:rPr>
          <w:sz w:val="20"/>
          <w:szCs w:val="20"/>
          <w:color w:val="auto"/>
        </w:rPr>
      </w:pPr>
      <w:r>
        <w:rPr>
          <w:rFonts w:ascii="Arial" w:cs="Arial" w:eastAsia="Arial" w:hAnsi="Arial"/>
          <w:sz w:val="10"/>
          <w:szCs w:val="10"/>
          <w:color w:val="auto"/>
        </w:rPr>
        <w:t>In Phase 2 the IASB amended requirements relating to: changes in the basis for determining contractual cash flows of financial assets, financial liabilities and lease liabilities; hedge accounting; and disclosures. These amendments apply only to changes required by the IBOR reform to financial instruments and hedging relationships.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The amendments are effective for periods beginning on or after January 1, 2021 and are to be applied retrospectively. Early application is permitted.</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Shell’s fixed-rate debt hedged to floating rate will be affected by the market-wide replacement of London Inter-Bank Offered Rate (LIBOR) by alternative risk-free reference rates, most significantly by reform of dollar LIBOR.</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majority of Shell’s debt-related interest rate and currency swaps were designated in fair value hedge relationships at December 31, 2020.</w:t>
      </w:r>
    </w:p>
    <w:p>
      <w:pPr>
        <w:spacing w:after="0" w:line="155" w:lineRule="exact"/>
        <w:rPr>
          <w:sz w:val="20"/>
          <w:szCs w:val="20"/>
          <w:color w:val="auto"/>
        </w:rPr>
      </w:pPr>
    </w:p>
    <w:p>
      <w:pPr>
        <w:spacing w:after="0"/>
        <w:rPr>
          <w:sz w:val="20"/>
          <w:szCs w:val="20"/>
          <w:color w:val="auto"/>
        </w:rPr>
      </w:pPr>
      <w:r>
        <w:rPr>
          <w:rFonts w:ascii="Arial" w:cs="Arial" w:eastAsia="Arial" w:hAnsi="Arial"/>
          <w:sz w:val="8"/>
          <w:szCs w:val="8"/>
          <w:color w:val="auto"/>
        </w:rPr>
        <w:t>The notional amount of hedging instruments designated in hedge relationships affected by the reform, at December 31, 2020, was $23,010 million. Furthermore, Shell has one floating rate note of $500 million tied to LIBOR, maturing in 2023, which will be affected.</w:t>
      </w:r>
    </w:p>
    <w:p>
      <w:pPr>
        <w:spacing w:after="0" w:line="178" w:lineRule="exact"/>
        <w:rPr>
          <w:sz w:val="20"/>
          <w:szCs w:val="20"/>
          <w:color w:val="auto"/>
        </w:rPr>
      </w:pPr>
    </w:p>
    <w:p>
      <w:pPr>
        <w:spacing w:after="0"/>
        <w:rPr>
          <w:sz w:val="20"/>
          <w:szCs w:val="20"/>
          <w:color w:val="auto"/>
        </w:rPr>
      </w:pPr>
      <w:r>
        <w:rPr>
          <w:rFonts w:ascii="Arial" w:cs="Arial" w:eastAsia="Arial" w:hAnsi="Arial"/>
          <w:sz w:val="10"/>
          <w:szCs w:val="10"/>
          <w:color w:val="auto"/>
        </w:rPr>
        <w:t>A Group-wide project is in progress to manage the transition to alternative benchmark rates disclosures.</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UK-adopted international accounting standards</w:t>
      </w:r>
    </w:p>
    <w:p>
      <w:pPr>
        <w:spacing w:after="0" w:line="3" w:lineRule="exact"/>
        <w:rPr>
          <w:sz w:val="20"/>
          <w:szCs w:val="20"/>
          <w:color w:val="auto"/>
        </w:rPr>
      </w:pPr>
    </w:p>
    <w:p>
      <w:pPr>
        <w:ind w:right="20"/>
        <w:spacing w:after="0" w:line="231" w:lineRule="auto"/>
        <w:rPr>
          <w:sz w:val="20"/>
          <w:szCs w:val="20"/>
          <w:color w:val="auto"/>
        </w:rPr>
      </w:pPr>
      <w:r>
        <w:rPr>
          <w:rFonts w:ascii="Arial" w:cs="Arial" w:eastAsia="Arial" w:hAnsi="Arial"/>
          <w:sz w:val="10"/>
          <w:szCs w:val="10"/>
          <w:color w:val="auto"/>
        </w:rPr>
        <w:t xml:space="preserve">On December 31, 2020 at 11pm BST, legislation made under the European Union (Withdrawal) Act 2018 brought into UK law IFRS adopted pursuant to Regulation (EC) No 1606/2002 as it applies in the European Union (EU) (previously referred to as "IFRS as adopted by the EU") to provide continuity. These standards are referred to as </w:t>
      </w:r>
      <w:r>
        <w:rPr>
          <w:rFonts w:ascii="Arial" w:cs="Arial" w:eastAsia="Arial" w:hAnsi="Arial"/>
          <w:sz w:val="10"/>
          <w:szCs w:val="10"/>
          <w:i w:val="1"/>
          <w:iCs w:val="1"/>
          <w:color w:val="auto"/>
        </w:rPr>
        <w:t>UK-adopted international accounting standards</w:t>
      </w:r>
      <w:r>
        <w:rPr>
          <w:rFonts w:ascii="Arial" w:cs="Arial" w:eastAsia="Arial" w:hAnsi="Arial"/>
          <w:sz w:val="10"/>
          <w:szCs w:val="10"/>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8"/>
          <w:szCs w:val="8"/>
          <w:color w:val="auto"/>
        </w:rPr>
        <w:t>For reporting periods beginning on or after January 1, 2021, Shell's filing of the Annual Report to the Registrar of Companies for England and Wales ("Companies House") and other UK regulatory filings will be prepared in accordance with these UK-adopted international accounting standards.</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The IFRS endorsement powers for the UK have been transferred from the European Commission to the Secretary of State for Business, Energy and Industrial Strategy (BEIS).</w:t>
      </w:r>
    </w:p>
    <w:p>
      <w:pPr>
        <w:spacing w:after="0" w:line="149" w:lineRule="exact"/>
        <w:rPr>
          <w:sz w:val="20"/>
          <w:szCs w:val="20"/>
          <w:color w:val="auto"/>
        </w:rPr>
      </w:pPr>
    </w:p>
    <w:p>
      <w:pPr>
        <w:ind w:right="120"/>
        <w:spacing w:after="0" w:line="296" w:lineRule="auto"/>
        <w:rPr>
          <w:sz w:val="20"/>
          <w:szCs w:val="20"/>
          <w:color w:val="auto"/>
        </w:rPr>
      </w:pPr>
      <w:r>
        <w:rPr>
          <w:rFonts w:ascii="Arial" w:cs="Arial" w:eastAsia="Arial" w:hAnsi="Arial"/>
          <w:sz w:val="8"/>
          <w:szCs w:val="8"/>
          <w:color w:val="auto"/>
        </w:rPr>
        <w:t>There are currently no material differences between the UK-adopted international accounting standards and IFRS adopted pursuant to Regulation (EC) No 1606/2002 as it applies in the EU. But if divergence occurs between the two accounting frameworks this may result in the need to report against both accounting frameworks to meet the UK and Dutch reporting requirements. However, if the EU determines that UK-adopted international accounting standards are equivalent to IFRS adopted pursuant to Regulation (EC) No 1606/2002 as it applies in the EU, any divergence between the two accounting frameworks would have no impact on Shell’s future reporting. The EU has not yet accepted the UK-adopted international accounting standards at the time of publishing this Report.</w:t>
      </w:r>
    </w:p>
    <w:p>
      <w:pPr>
        <w:spacing w:after="0" w:line="119" w:lineRule="exact"/>
        <w:rPr>
          <w:sz w:val="20"/>
          <w:szCs w:val="20"/>
          <w:color w:val="auto"/>
        </w:rPr>
      </w:pPr>
    </w:p>
    <w:p>
      <w:pPr>
        <w:spacing w:after="0"/>
        <w:rPr>
          <w:sz w:val="20"/>
          <w:szCs w:val="20"/>
          <w:color w:val="auto"/>
        </w:rPr>
      </w:pPr>
      <w:r>
        <w:rPr>
          <w:rFonts w:ascii="Arial" w:cs="Arial" w:eastAsia="Arial" w:hAnsi="Arial"/>
          <w:sz w:val="10"/>
          <w:szCs w:val="10"/>
          <w:color w:val="auto"/>
        </w:rPr>
        <w:t>It is expected that in the short term there will be no material differences between IFRS as issued by the IASB, UK-adopted international accounting standards and IFRS adopted pursuant to Regulation (EC) No 1606/2002 as it applies in the EU.</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IFRS 17 Insurance contracts (IFRS 17)</w:t>
      </w:r>
    </w:p>
    <w:p>
      <w:pPr>
        <w:spacing w:after="0" w:line="3" w:lineRule="exact"/>
        <w:rPr>
          <w:sz w:val="20"/>
          <w:szCs w:val="20"/>
          <w:color w:val="auto"/>
        </w:rPr>
      </w:pPr>
    </w:p>
    <w:p>
      <w:pPr>
        <w:ind w:right="100"/>
        <w:spacing w:after="0" w:line="309" w:lineRule="auto"/>
        <w:rPr>
          <w:sz w:val="20"/>
          <w:szCs w:val="20"/>
          <w:color w:val="auto"/>
        </w:rPr>
      </w:pPr>
      <w:r>
        <w:rPr>
          <w:rFonts w:ascii="Arial" w:cs="Arial" w:eastAsia="Arial" w:hAnsi="Arial"/>
          <w:sz w:val="8"/>
          <w:szCs w:val="8"/>
          <w:color w:val="auto"/>
        </w:rPr>
        <w:t>IFRS 17 was issued in 2017, and is required to be adopted for annual reporting periods beginning on or after January 1, 2023. The IFRS 17 model combines a current balance sheet measurement of insurance contracts with recognition of profit over the period that services are provided. The general model in the standard requires insurance contract liabilities to be measured using probability-weighted current estimates of future cash flows, an adjustment for risk, and a contractual service margin representing the profit expected from fulfilling the contracts. Effects of changes in the estimates of future cash flows and the risk adjustment relating to future services are recognised over the period services are provided rather than immediately in profit or loss. Shell is in the process of evaluating the initial impact of this standard.</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color w:val="auto"/>
        </w:rPr>
        <w:t>4 – SEGMENT INFORMATION</w:t>
      </w:r>
    </w:p>
    <w:p>
      <w:pPr>
        <w:spacing w:after="0" w:line="225" w:lineRule="auto"/>
        <w:rPr>
          <w:sz w:val="20"/>
          <w:szCs w:val="20"/>
          <w:color w:val="auto"/>
        </w:rPr>
      </w:pPr>
      <w:r>
        <w:rPr>
          <w:rFonts w:ascii="Arial" w:cs="Arial" w:eastAsia="Arial" w:hAnsi="Arial"/>
          <w:sz w:val="10"/>
          <w:szCs w:val="10"/>
          <w:color w:val="auto"/>
        </w:rPr>
        <w:t>General information</w:t>
      </w:r>
    </w:p>
    <w:p>
      <w:pPr>
        <w:jc w:val="both"/>
        <w:ind w:right="200"/>
        <w:spacing w:after="0" w:line="229" w:lineRule="auto"/>
        <w:rPr>
          <w:sz w:val="20"/>
          <w:szCs w:val="20"/>
          <w:color w:val="auto"/>
        </w:rPr>
      </w:pPr>
      <w:r>
        <w:rPr>
          <w:rFonts w:ascii="Arial" w:cs="Arial" w:eastAsia="Arial" w:hAnsi="Arial"/>
          <w:sz w:val="10"/>
          <w:szCs w:val="10"/>
          <w:color w:val="auto"/>
        </w:rPr>
        <w:t>Shell is an international energy company engaged in the principal aspects of the oil and gas industry and reports its business through segments. With effect from 2020, Shell's reporting segments consist of Integrated Gas, Upstream, Oil Products, Chemicals and Corporate, reflecting the way Shell reviews and assesses its performance. The Oil Products and Chemicals businesses were previously reported under the Downstream segment. Oil sands mining activities, previously included in the Upstream segment, are reported under Oil Products. Comparative information has been reclassified.</w:t>
      </w:r>
    </w:p>
    <w:p>
      <w:pPr>
        <w:spacing w:after="0" w:line="149" w:lineRule="exact"/>
        <w:rPr>
          <w:sz w:val="20"/>
          <w:szCs w:val="20"/>
          <w:color w:val="auto"/>
        </w:rPr>
      </w:pPr>
    </w:p>
    <w:p>
      <w:pPr>
        <w:ind w:right="360"/>
        <w:spacing w:after="0" w:line="358" w:lineRule="auto"/>
        <w:rPr>
          <w:sz w:val="20"/>
          <w:szCs w:val="20"/>
          <w:color w:val="auto"/>
        </w:rPr>
      </w:pPr>
      <w:r>
        <w:rPr>
          <w:rFonts w:ascii="Arial" w:cs="Arial" w:eastAsia="Arial" w:hAnsi="Arial"/>
          <w:sz w:val="8"/>
          <w:szCs w:val="8"/>
          <w:color w:val="auto"/>
        </w:rPr>
        <w:t>The Integrated Gas segment manages liquefied natural gas (LNG) activities and the conversion of natural gas into gas-to-liquids (GTL) fuels and other products, as well as the New Energies portfolio. It includes natural gas and liquids exploration and extraction, and the operation of the upstream and midstream infrastructure necessary to deliver gas and liquids to market. It markets and trades natural gas, LNG, electricity and carbon-emission rights, and also markets and sells LNG as a fuel for heavy-duty vehicles and marine vessels.</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The Upstream segment explores for and extracts crude oil, natural gas and natural gas liquids. It also markets and transports oil and gas, and operates the infrastructure necessary to deliver them to market.</w:t>
      </w:r>
    </w:p>
    <w:p>
      <w:pPr>
        <w:spacing w:after="0" w:line="155" w:lineRule="exact"/>
        <w:rPr>
          <w:sz w:val="20"/>
          <w:szCs w:val="20"/>
          <w:color w:val="auto"/>
        </w:rPr>
      </w:pPr>
    </w:p>
    <w:p>
      <w:pPr>
        <w:ind w:right="40"/>
        <w:spacing w:after="0" w:line="358" w:lineRule="auto"/>
        <w:rPr>
          <w:sz w:val="20"/>
          <w:szCs w:val="20"/>
          <w:color w:val="auto"/>
        </w:rPr>
      </w:pPr>
      <w:r>
        <w:rPr>
          <w:rFonts w:ascii="Arial" w:cs="Arial" w:eastAsia="Arial" w:hAnsi="Arial"/>
          <w:sz w:val="8"/>
          <w:szCs w:val="8"/>
          <w:color w:val="auto"/>
        </w:rPr>
        <w:t>The Oil Products segment comprises the Refining and Trading, and Marketing classes of business. The Refining and Trading class of business turns crude oil and other feedstocks into a range of oil products which are moved and marketed around the world for domestic, industrial and transport use. With effect from 2020, this class of business includes the oil sands mining activities which were previously reported under the Upstream segment. The Marketing class of business includes the Retail, Lubricants, Business-to-Business (B2B), Pipelines and Biofuels businesses.</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The Chemicals segment operates manufacturing plants and its own marketing network.</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Corporate segment covers the non-operating activities supporting Shell, comprising Shell’s holdings and treasury organisation, its self-insurance activities and its headquarters and central functions.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178</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181" w:name="page182"/>
    <w:bookmarkEnd w:id="181"/>
    <w:p>
      <w:pPr>
        <w:ind w:left="8"/>
        <w:spacing w:after="0"/>
        <w:rPr>
          <w:sz w:val="20"/>
          <w:szCs w:val="20"/>
          <w:color w:val="auto"/>
        </w:rPr>
      </w:pPr>
      <w:r>
        <w:rPr>
          <w:rFonts w:ascii="Arial" w:cs="Arial" w:eastAsia="Arial" w:hAnsi="Arial"/>
          <w:sz w:val="10"/>
          <w:szCs w:val="10"/>
          <w:b w:val="1"/>
          <w:bCs w:val="1"/>
          <w:color w:val="auto"/>
        </w:rPr>
        <w:t>Basis of Segmental Reporting</w:t>
      </w:r>
    </w:p>
    <w:p>
      <w:pPr>
        <w:spacing w:after="0" w:line="3" w:lineRule="exact"/>
        <w:rPr>
          <w:sz w:val="20"/>
          <w:szCs w:val="20"/>
          <w:color w:val="auto"/>
        </w:rPr>
      </w:pPr>
    </w:p>
    <w:p>
      <w:pPr>
        <w:ind w:left="8" w:right="160"/>
        <w:spacing w:after="0" w:line="231" w:lineRule="auto"/>
        <w:rPr>
          <w:sz w:val="20"/>
          <w:szCs w:val="20"/>
          <w:color w:val="auto"/>
        </w:rPr>
      </w:pPr>
      <w:r>
        <w:rPr>
          <w:rFonts w:ascii="Arial" w:cs="Arial" w:eastAsia="Arial" w:hAnsi="Arial"/>
          <w:sz w:val="10"/>
          <w:szCs w:val="10"/>
          <w:color w:val="auto"/>
        </w:rPr>
        <w:t>Sales between segments are based on prices generally equivalent to commercially available prices. Third-party revenue and non-current assets information by geographical area are based on the country of operation of the Group subsidiaries that report this information. Separate disclosure is provided for the UK as this is the Company’s country of domicile.</w:t>
      </w:r>
    </w:p>
    <w:p>
      <w:pPr>
        <w:spacing w:after="0" w:line="149" w:lineRule="exact"/>
        <w:rPr>
          <w:sz w:val="20"/>
          <w:szCs w:val="20"/>
          <w:color w:val="auto"/>
        </w:rPr>
      </w:pPr>
    </w:p>
    <w:p>
      <w:pPr>
        <w:ind w:left="8" w:right="140"/>
        <w:spacing w:after="0" w:line="358" w:lineRule="auto"/>
        <w:rPr>
          <w:sz w:val="20"/>
          <w:szCs w:val="20"/>
          <w:color w:val="auto"/>
        </w:rPr>
      </w:pPr>
      <w:r>
        <w:rPr>
          <w:rFonts w:ascii="Arial" w:cs="Arial" w:eastAsia="Arial" w:hAnsi="Arial"/>
          <w:sz w:val="8"/>
          <w:szCs w:val="8"/>
          <w:color w:val="auto"/>
        </w:rPr>
        <w:t>Segment earnings are presented on a current cost of supplies basis (CCS earnings). On this basis, the purchase price of volumes sold during the period is based on the current cost of supplies during the same period after making allowance for the tax effect. CCS earnings therefore exclude the effect of changes in the oil price on inventory carrying amounts. CCS earnings attributable to RDS plc shareholders is the earnings measure used by the Chief Executive Officer for the purposes of making decisions about allocating resources and assessing performance.</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0"/>
          <w:szCs w:val="10"/>
          <w:color w:val="auto"/>
        </w:rPr>
        <w:t>Finance expense and income related to core financing activities, as well as related taxes, are included in the Corporate segment earnings rather than in the earnings of the business segments.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0"/>
          <w:szCs w:val="10"/>
          <w:color w:val="auto"/>
        </w:rPr>
        <w:t>Information by segment on a current cost of supplies basis is as follows:</w:t>
      </w:r>
    </w:p>
    <w:p>
      <w:pPr>
        <w:spacing w:after="0" w:line="6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56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2020</w:t>
            </w:r>
          </w:p>
        </w:tc>
        <w:tc>
          <w:tcPr>
            <w:tcW w:w="1700" w:type="dxa"/>
            <w:vAlign w:val="bottom"/>
            <w:tcBorders>
              <w:top w:val="single" w:sz="8" w:color="CDCDCD"/>
            </w:tcBorders>
          </w:tcPr>
          <w:p>
            <w:pPr>
              <w:spacing w:after="0"/>
              <w:rPr>
                <w:sz w:val="13"/>
                <w:szCs w:val="13"/>
                <w:color w:val="auto"/>
              </w:rPr>
            </w:pPr>
          </w:p>
        </w:tc>
        <w:tc>
          <w:tcPr>
            <w:tcW w:w="1160" w:type="dxa"/>
            <w:vAlign w:val="bottom"/>
            <w:tcBorders>
              <w:top w:val="single" w:sz="8" w:color="CDCDCD"/>
            </w:tcBorders>
          </w:tcPr>
          <w:p>
            <w:pPr>
              <w:spacing w:after="0"/>
              <w:rPr>
                <w:sz w:val="13"/>
                <w:szCs w:val="13"/>
                <w:color w:val="auto"/>
              </w:rPr>
            </w:pPr>
          </w:p>
        </w:tc>
        <w:tc>
          <w:tcPr>
            <w:tcW w:w="1240" w:type="dxa"/>
            <w:vAlign w:val="bottom"/>
            <w:tcBorders>
              <w:top w:val="single" w:sz="8" w:color="CDCDCD"/>
            </w:tcBorders>
          </w:tcPr>
          <w:p>
            <w:pPr>
              <w:spacing w:after="0"/>
              <w:rPr>
                <w:sz w:val="13"/>
                <w:szCs w:val="13"/>
                <w:color w:val="auto"/>
              </w:rPr>
            </w:pPr>
          </w:p>
        </w:tc>
        <w:tc>
          <w:tcPr>
            <w:tcW w:w="1220" w:type="dxa"/>
            <w:vAlign w:val="bottom"/>
            <w:tcBorders>
              <w:top w:val="single" w:sz="8" w:color="CDCDCD"/>
            </w:tcBorders>
          </w:tcPr>
          <w:p>
            <w:pPr>
              <w:spacing w:after="0"/>
              <w:rPr>
                <w:sz w:val="13"/>
                <w:szCs w:val="13"/>
                <w:color w:val="auto"/>
              </w:rPr>
            </w:pPr>
          </w:p>
        </w:tc>
        <w:tc>
          <w:tcPr>
            <w:tcW w:w="1220" w:type="dxa"/>
            <w:vAlign w:val="bottom"/>
            <w:tcBorders>
              <w:top w:val="single" w:sz="8" w:color="CDCDCD"/>
            </w:tcBorders>
          </w:tcPr>
          <w:p>
            <w:pPr>
              <w:spacing w:after="0"/>
              <w:rPr>
                <w:sz w:val="13"/>
                <w:szCs w:val="13"/>
                <w:color w:val="auto"/>
              </w:rPr>
            </w:pPr>
          </w:p>
        </w:tc>
        <w:tc>
          <w:tcPr>
            <w:tcW w:w="80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400" w:type="dxa"/>
            <w:vAlign w:val="bottom"/>
            <w:tcBorders>
              <w:top w:val="single" w:sz="8" w:color="CDCDCD"/>
            </w:tcBorders>
          </w:tcPr>
          <w:p>
            <w:pPr>
              <w:spacing w:after="0"/>
              <w:rPr>
                <w:sz w:val="13"/>
                <w:szCs w:val="13"/>
                <w:color w:val="auto"/>
              </w:rPr>
            </w:pPr>
          </w:p>
        </w:tc>
      </w:tr>
      <w:tr>
        <w:trPr>
          <w:trHeight w:val="127"/>
        </w:trPr>
        <w:tc>
          <w:tcPr>
            <w:tcW w:w="35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Integrated Gas</w:t>
            </w: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Upstream</w:t>
            </w: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Oil Products</w:t>
            </w: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Chemicals</w:t>
            </w: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Corporate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c>
          <w:tcPr>
            <w:tcW w:w="400" w:type="dxa"/>
            <w:vAlign w:val="bottom"/>
            <w:tcBorders>
              <w:bottom w:val="single" w:sz="8" w:color="auto"/>
            </w:tcBorders>
          </w:tcPr>
          <w:p>
            <w:pPr>
              <w:spacing w:after="0"/>
              <w:rPr>
                <w:sz w:val="11"/>
                <w:szCs w:val="11"/>
                <w:color w:val="auto"/>
              </w:rPr>
            </w:pPr>
          </w:p>
        </w:tc>
      </w:tr>
      <w:tr>
        <w:trPr>
          <w:trHeight w:val="114"/>
        </w:trPr>
        <w:tc>
          <w:tcPr>
            <w:tcW w:w="3560" w:type="dxa"/>
            <w:vAlign w:val="bottom"/>
          </w:tcPr>
          <w:p>
            <w:pPr>
              <w:spacing w:after="0"/>
              <w:rPr>
                <w:sz w:val="20"/>
                <w:szCs w:val="20"/>
                <w:color w:val="auto"/>
              </w:rPr>
            </w:pPr>
            <w:r>
              <w:rPr>
                <w:rFonts w:ascii="Arial" w:cs="Arial" w:eastAsia="Arial" w:hAnsi="Arial"/>
                <w:sz w:val="10"/>
                <w:szCs w:val="10"/>
                <w:color w:val="auto"/>
              </w:rPr>
              <w:t>Revenue:</w:t>
            </w:r>
          </w:p>
        </w:tc>
        <w:tc>
          <w:tcPr>
            <w:tcW w:w="1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123"/>
        </w:trPr>
        <w:tc>
          <w:tcPr>
            <w:tcW w:w="3560" w:type="dxa"/>
            <w:vAlign w:val="bottom"/>
          </w:tcPr>
          <w:p>
            <w:pPr>
              <w:ind w:left="140"/>
              <w:spacing w:after="0"/>
              <w:rPr>
                <w:sz w:val="20"/>
                <w:szCs w:val="20"/>
                <w:color w:val="auto"/>
              </w:rPr>
            </w:pPr>
            <w:r>
              <w:rPr>
                <w:rFonts w:ascii="Arial" w:cs="Arial" w:eastAsia="Arial" w:hAnsi="Arial"/>
                <w:sz w:val="10"/>
                <w:szCs w:val="10"/>
                <w:color w:val="auto"/>
              </w:rPr>
              <w:t>Third-party</w:t>
            </w:r>
          </w:p>
        </w:tc>
        <w:tc>
          <w:tcPr>
            <w:tcW w:w="1700" w:type="dxa"/>
            <w:vAlign w:val="bottom"/>
          </w:tcPr>
          <w:p>
            <w:pPr>
              <w:jc w:val="right"/>
              <w:ind w:right="392"/>
              <w:spacing w:after="0"/>
              <w:rPr>
                <w:sz w:val="20"/>
                <w:szCs w:val="20"/>
                <w:color w:val="auto"/>
              </w:rPr>
            </w:pPr>
            <w:r>
              <w:rPr>
                <w:rFonts w:ascii="Arial" w:cs="Arial" w:eastAsia="Arial" w:hAnsi="Arial"/>
                <w:sz w:val="10"/>
                <w:szCs w:val="10"/>
                <w:color w:val="auto"/>
              </w:rPr>
              <w:t>33,287</w:t>
            </w:r>
          </w:p>
        </w:tc>
        <w:tc>
          <w:tcPr>
            <w:tcW w:w="1160" w:type="dxa"/>
            <w:vAlign w:val="bottom"/>
          </w:tcPr>
          <w:p>
            <w:pPr>
              <w:jc w:val="right"/>
              <w:ind w:right="352"/>
              <w:spacing w:after="0"/>
              <w:rPr>
                <w:sz w:val="20"/>
                <w:szCs w:val="20"/>
                <w:color w:val="auto"/>
              </w:rPr>
            </w:pPr>
            <w:r>
              <w:rPr>
                <w:rFonts w:ascii="Arial" w:cs="Arial" w:eastAsia="Arial" w:hAnsi="Arial"/>
                <w:sz w:val="10"/>
                <w:szCs w:val="10"/>
                <w:color w:val="auto"/>
              </w:rPr>
              <w:t>6,767</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128,717</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11,721</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51</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180,543</w:t>
            </w:r>
          </w:p>
        </w:tc>
        <w:tc>
          <w:tcPr>
            <w:tcW w:w="400" w:type="dxa"/>
            <w:vAlign w:val="bottom"/>
          </w:tcPr>
          <w:p>
            <w:pPr>
              <w:spacing w:after="0"/>
              <w:rPr>
                <w:sz w:val="20"/>
                <w:szCs w:val="20"/>
                <w:color w:val="auto"/>
              </w:rPr>
            </w:pPr>
            <w:r>
              <w:rPr>
                <w:rFonts w:ascii="Arial" w:cs="Arial" w:eastAsia="Arial" w:hAnsi="Arial"/>
                <w:sz w:val="10"/>
                <w:szCs w:val="10"/>
                <w:color w:val="auto"/>
              </w:rPr>
              <w:t>[A] [B]</w:t>
            </w:r>
          </w:p>
        </w:tc>
      </w:tr>
      <w:tr>
        <w:trPr>
          <w:trHeight w:val="126"/>
        </w:trPr>
        <w:tc>
          <w:tcPr>
            <w:tcW w:w="3560" w:type="dxa"/>
            <w:vAlign w:val="bottom"/>
          </w:tcPr>
          <w:p>
            <w:pPr>
              <w:ind w:left="140"/>
              <w:spacing w:after="0"/>
              <w:rPr>
                <w:sz w:val="20"/>
                <w:szCs w:val="20"/>
                <w:color w:val="auto"/>
              </w:rPr>
            </w:pPr>
            <w:r>
              <w:rPr>
                <w:rFonts w:ascii="Arial" w:cs="Arial" w:eastAsia="Arial" w:hAnsi="Arial"/>
                <w:sz w:val="10"/>
                <w:szCs w:val="10"/>
                <w:color w:val="auto"/>
              </w:rPr>
              <w:t>Inter-segment</w:t>
            </w:r>
          </w:p>
        </w:tc>
        <w:tc>
          <w:tcPr>
            <w:tcW w:w="1700" w:type="dxa"/>
            <w:vAlign w:val="bottom"/>
          </w:tcPr>
          <w:p>
            <w:pPr>
              <w:jc w:val="right"/>
              <w:ind w:right="392"/>
              <w:spacing w:after="0"/>
              <w:rPr>
                <w:sz w:val="20"/>
                <w:szCs w:val="20"/>
                <w:color w:val="auto"/>
              </w:rPr>
            </w:pPr>
            <w:r>
              <w:rPr>
                <w:rFonts w:ascii="Arial" w:cs="Arial" w:eastAsia="Arial" w:hAnsi="Arial"/>
                <w:sz w:val="10"/>
                <w:szCs w:val="10"/>
                <w:color w:val="auto"/>
              </w:rPr>
              <w:t>3,410</w:t>
            </w:r>
          </w:p>
        </w:tc>
        <w:tc>
          <w:tcPr>
            <w:tcW w:w="1160" w:type="dxa"/>
            <w:vAlign w:val="bottom"/>
          </w:tcPr>
          <w:p>
            <w:pPr>
              <w:jc w:val="right"/>
              <w:ind w:right="352"/>
              <w:spacing w:after="0"/>
              <w:rPr>
                <w:sz w:val="20"/>
                <w:szCs w:val="20"/>
                <w:color w:val="auto"/>
              </w:rPr>
            </w:pPr>
            <w:r>
              <w:rPr>
                <w:rFonts w:ascii="Arial" w:cs="Arial" w:eastAsia="Arial" w:hAnsi="Arial"/>
                <w:sz w:val="10"/>
                <w:szCs w:val="10"/>
                <w:color w:val="auto"/>
              </w:rPr>
              <w:t>21,564</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6,213</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2,850</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34,037</w:t>
            </w:r>
          </w:p>
        </w:tc>
        <w:tc>
          <w:tcPr>
            <w:tcW w:w="400" w:type="dxa"/>
            <w:vAlign w:val="bottom"/>
          </w:tcPr>
          <w:p>
            <w:pPr>
              <w:spacing w:after="0"/>
              <w:rPr>
                <w:sz w:val="10"/>
                <w:szCs w:val="10"/>
                <w:color w:val="auto"/>
              </w:rPr>
            </w:pPr>
          </w:p>
        </w:tc>
      </w:tr>
      <w:tr>
        <w:trPr>
          <w:trHeight w:val="126"/>
        </w:trPr>
        <w:tc>
          <w:tcPr>
            <w:tcW w:w="3560" w:type="dxa"/>
            <w:vAlign w:val="bottom"/>
          </w:tcPr>
          <w:p>
            <w:pPr>
              <w:spacing w:after="0"/>
              <w:rPr>
                <w:sz w:val="20"/>
                <w:szCs w:val="20"/>
                <w:color w:val="auto"/>
              </w:rPr>
            </w:pPr>
            <w:r>
              <w:rPr>
                <w:rFonts w:ascii="Arial" w:cs="Arial" w:eastAsia="Arial" w:hAnsi="Arial"/>
                <w:sz w:val="10"/>
                <w:szCs w:val="10"/>
                <w:color w:val="auto"/>
              </w:rPr>
              <w:t>Share of profit/(loss) of joint ventures and associates (CCS basis)</w:t>
            </w:r>
          </w:p>
        </w:tc>
        <w:tc>
          <w:tcPr>
            <w:tcW w:w="1700" w:type="dxa"/>
            <w:vAlign w:val="bottom"/>
          </w:tcPr>
          <w:p>
            <w:pPr>
              <w:jc w:val="right"/>
              <w:ind w:right="392"/>
              <w:spacing w:after="0"/>
              <w:rPr>
                <w:sz w:val="20"/>
                <w:szCs w:val="20"/>
                <w:color w:val="auto"/>
              </w:rPr>
            </w:pPr>
            <w:r>
              <w:rPr>
                <w:rFonts w:ascii="Arial" w:cs="Arial" w:eastAsia="Arial" w:hAnsi="Arial"/>
                <w:sz w:val="10"/>
                <w:szCs w:val="10"/>
                <w:color w:val="auto"/>
              </w:rPr>
              <w:t>562</w:t>
            </w:r>
          </w:p>
        </w:tc>
        <w:tc>
          <w:tcPr>
            <w:tcW w:w="1160" w:type="dxa"/>
            <w:vAlign w:val="bottom"/>
          </w:tcPr>
          <w:p>
            <w:pPr>
              <w:jc w:val="right"/>
              <w:ind w:right="332"/>
              <w:spacing w:after="0"/>
              <w:rPr>
                <w:sz w:val="20"/>
                <w:szCs w:val="20"/>
                <w:color w:val="auto"/>
              </w:rPr>
            </w:pPr>
            <w:r>
              <w:rPr>
                <w:rFonts w:ascii="Arial" w:cs="Arial" w:eastAsia="Arial" w:hAnsi="Arial"/>
                <w:sz w:val="10"/>
                <w:szCs w:val="10"/>
                <w:color w:val="auto"/>
              </w:rPr>
              <w:t>(7)</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988</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567</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(268)</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1,842</w:t>
            </w:r>
          </w:p>
        </w:tc>
        <w:tc>
          <w:tcPr>
            <w:tcW w:w="400" w:type="dxa"/>
            <w:vAlign w:val="bottom"/>
          </w:tcPr>
          <w:p>
            <w:pPr>
              <w:spacing w:after="0"/>
              <w:rPr>
                <w:sz w:val="10"/>
                <w:szCs w:val="10"/>
                <w:color w:val="auto"/>
              </w:rPr>
            </w:pPr>
          </w:p>
        </w:tc>
      </w:tr>
      <w:tr>
        <w:trPr>
          <w:trHeight w:val="126"/>
        </w:trPr>
        <w:tc>
          <w:tcPr>
            <w:tcW w:w="3560" w:type="dxa"/>
            <w:vAlign w:val="bottom"/>
          </w:tcPr>
          <w:p>
            <w:pPr>
              <w:spacing w:after="0"/>
              <w:rPr>
                <w:sz w:val="20"/>
                <w:szCs w:val="20"/>
                <w:color w:val="auto"/>
              </w:rPr>
            </w:pPr>
            <w:r>
              <w:rPr>
                <w:rFonts w:ascii="Arial" w:cs="Arial" w:eastAsia="Arial" w:hAnsi="Arial"/>
                <w:sz w:val="10"/>
                <w:szCs w:val="10"/>
                <w:color w:val="auto"/>
              </w:rPr>
              <w:t>Interest and other income, of which:</w:t>
            </w:r>
          </w:p>
        </w:tc>
        <w:tc>
          <w:tcPr>
            <w:tcW w:w="1700" w:type="dxa"/>
            <w:vAlign w:val="bottom"/>
          </w:tcPr>
          <w:p>
            <w:pPr>
              <w:jc w:val="right"/>
              <w:ind w:right="392"/>
              <w:spacing w:after="0"/>
              <w:rPr>
                <w:sz w:val="20"/>
                <w:szCs w:val="20"/>
                <w:color w:val="auto"/>
              </w:rPr>
            </w:pPr>
            <w:r>
              <w:rPr>
                <w:rFonts w:ascii="Arial" w:cs="Arial" w:eastAsia="Arial" w:hAnsi="Arial"/>
                <w:sz w:val="10"/>
                <w:szCs w:val="10"/>
                <w:color w:val="auto"/>
              </w:rPr>
              <w:t>14</w:t>
            </w:r>
          </w:p>
        </w:tc>
        <w:tc>
          <w:tcPr>
            <w:tcW w:w="1160" w:type="dxa"/>
            <w:vAlign w:val="bottom"/>
          </w:tcPr>
          <w:p>
            <w:pPr>
              <w:jc w:val="right"/>
              <w:ind w:right="352"/>
              <w:spacing w:after="0"/>
              <w:rPr>
                <w:sz w:val="20"/>
                <w:szCs w:val="20"/>
                <w:color w:val="auto"/>
              </w:rPr>
            </w:pPr>
            <w:r>
              <w:rPr>
                <w:rFonts w:ascii="Arial" w:cs="Arial" w:eastAsia="Arial" w:hAnsi="Arial"/>
                <w:sz w:val="10"/>
                <w:szCs w:val="10"/>
                <w:color w:val="auto"/>
              </w:rPr>
              <w:t>542</w:t>
            </w:r>
          </w:p>
        </w:tc>
        <w:tc>
          <w:tcPr>
            <w:tcW w:w="1240" w:type="dxa"/>
            <w:vAlign w:val="bottom"/>
          </w:tcPr>
          <w:p>
            <w:pPr>
              <w:jc w:val="right"/>
              <w:ind w:right="352"/>
              <w:spacing w:after="0"/>
              <w:rPr>
                <w:sz w:val="20"/>
                <w:szCs w:val="20"/>
                <w:color w:val="auto"/>
              </w:rPr>
            </w:pPr>
            <w:r>
              <w:rPr>
                <w:rFonts w:ascii="Arial" w:cs="Arial" w:eastAsia="Arial" w:hAnsi="Arial"/>
                <w:sz w:val="10"/>
                <w:szCs w:val="10"/>
                <w:color w:val="auto"/>
              </w:rPr>
              <w:t>(93)</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406</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869</w:t>
            </w:r>
          </w:p>
        </w:tc>
        <w:tc>
          <w:tcPr>
            <w:tcW w:w="400" w:type="dxa"/>
            <w:vAlign w:val="bottom"/>
          </w:tcPr>
          <w:p>
            <w:pPr>
              <w:spacing w:after="0"/>
              <w:rPr>
                <w:sz w:val="10"/>
                <w:szCs w:val="10"/>
                <w:color w:val="auto"/>
              </w:rPr>
            </w:pPr>
          </w:p>
        </w:tc>
      </w:tr>
      <w:tr>
        <w:trPr>
          <w:trHeight w:val="126"/>
        </w:trPr>
        <w:tc>
          <w:tcPr>
            <w:tcW w:w="3560" w:type="dxa"/>
            <w:vAlign w:val="bottom"/>
          </w:tcPr>
          <w:p>
            <w:pPr>
              <w:ind w:left="140"/>
              <w:spacing w:after="0"/>
              <w:rPr>
                <w:sz w:val="20"/>
                <w:szCs w:val="20"/>
                <w:color w:val="auto"/>
              </w:rPr>
            </w:pPr>
            <w:r>
              <w:rPr>
                <w:rFonts w:ascii="Arial" w:cs="Arial" w:eastAsia="Arial" w:hAnsi="Arial"/>
                <w:sz w:val="10"/>
                <w:szCs w:val="10"/>
                <w:color w:val="auto"/>
              </w:rPr>
              <w:t>Interest income</w:t>
            </w:r>
          </w:p>
        </w:tc>
        <w:tc>
          <w:tcPr>
            <w:tcW w:w="1700" w:type="dxa"/>
            <w:vAlign w:val="bottom"/>
          </w:tcPr>
          <w:p>
            <w:pPr>
              <w:jc w:val="right"/>
              <w:ind w:right="392"/>
              <w:spacing w:after="0"/>
              <w:rPr>
                <w:sz w:val="20"/>
                <w:szCs w:val="20"/>
                <w:color w:val="auto"/>
              </w:rPr>
            </w:pPr>
            <w:r>
              <w:rPr>
                <w:rFonts w:ascii="Arial" w:cs="Arial" w:eastAsia="Arial" w:hAnsi="Arial"/>
                <w:sz w:val="10"/>
                <w:szCs w:val="10"/>
                <w:color w:val="auto"/>
              </w:rPr>
              <w:t>6</w:t>
            </w:r>
          </w:p>
        </w:tc>
        <w:tc>
          <w:tcPr>
            <w:tcW w:w="1160" w:type="dxa"/>
            <w:vAlign w:val="bottom"/>
          </w:tcPr>
          <w:p>
            <w:pPr>
              <w:jc w:val="right"/>
              <w:ind w:right="352"/>
              <w:spacing w:after="0"/>
              <w:rPr>
                <w:sz w:val="20"/>
                <w:szCs w:val="20"/>
                <w:color w:val="auto"/>
              </w:rPr>
            </w:pPr>
            <w:r>
              <w:rPr>
                <w:rFonts w:ascii="Arial" w:cs="Arial" w:eastAsia="Arial" w:hAnsi="Arial"/>
                <w:sz w:val="10"/>
                <w:szCs w:val="10"/>
                <w:color w:val="auto"/>
              </w:rPr>
              <w:t>56</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28</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589</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679</w:t>
            </w:r>
          </w:p>
        </w:tc>
        <w:tc>
          <w:tcPr>
            <w:tcW w:w="400" w:type="dxa"/>
            <w:vAlign w:val="bottom"/>
          </w:tcPr>
          <w:p>
            <w:pPr>
              <w:spacing w:after="0"/>
              <w:rPr>
                <w:sz w:val="10"/>
                <w:szCs w:val="10"/>
                <w:color w:val="auto"/>
              </w:rPr>
            </w:pPr>
          </w:p>
        </w:tc>
      </w:tr>
      <w:tr>
        <w:trPr>
          <w:trHeight w:val="126"/>
        </w:trPr>
        <w:tc>
          <w:tcPr>
            <w:tcW w:w="3560" w:type="dxa"/>
            <w:vAlign w:val="bottom"/>
          </w:tcPr>
          <w:p>
            <w:pPr>
              <w:ind w:left="140"/>
              <w:spacing w:after="0"/>
              <w:rPr>
                <w:sz w:val="20"/>
                <w:szCs w:val="20"/>
                <w:color w:val="auto"/>
              </w:rPr>
            </w:pPr>
            <w:r>
              <w:rPr>
                <w:rFonts w:ascii="Arial" w:cs="Arial" w:eastAsia="Arial" w:hAnsi="Arial"/>
                <w:sz w:val="10"/>
                <w:szCs w:val="10"/>
                <w:color w:val="auto"/>
              </w:rPr>
              <w:t>Net gains on sale and revaluation of non-current assets and businesses</w:t>
            </w:r>
          </w:p>
        </w:tc>
        <w:tc>
          <w:tcPr>
            <w:tcW w:w="1700" w:type="dxa"/>
            <w:vAlign w:val="bottom"/>
          </w:tcPr>
          <w:p>
            <w:pPr>
              <w:jc w:val="right"/>
              <w:ind w:right="392"/>
              <w:spacing w:after="0"/>
              <w:rPr>
                <w:sz w:val="20"/>
                <w:szCs w:val="20"/>
                <w:color w:val="auto"/>
              </w:rPr>
            </w:pPr>
            <w:r>
              <w:rPr>
                <w:rFonts w:ascii="Arial" w:cs="Arial" w:eastAsia="Arial" w:hAnsi="Arial"/>
                <w:sz w:val="10"/>
                <w:szCs w:val="10"/>
                <w:color w:val="auto"/>
              </w:rPr>
              <w:t>218</w:t>
            </w:r>
          </w:p>
        </w:tc>
        <w:tc>
          <w:tcPr>
            <w:tcW w:w="1160" w:type="dxa"/>
            <w:vAlign w:val="bottom"/>
          </w:tcPr>
          <w:p>
            <w:pPr>
              <w:jc w:val="right"/>
              <w:ind w:right="352"/>
              <w:spacing w:after="0"/>
              <w:rPr>
                <w:sz w:val="20"/>
                <w:szCs w:val="20"/>
                <w:color w:val="auto"/>
              </w:rPr>
            </w:pPr>
            <w:r>
              <w:rPr>
                <w:rFonts w:ascii="Arial" w:cs="Arial" w:eastAsia="Arial" w:hAnsi="Arial"/>
                <w:sz w:val="10"/>
                <w:szCs w:val="10"/>
                <w:color w:val="auto"/>
              </w:rPr>
              <w:t>55</w:t>
            </w:r>
          </w:p>
        </w:tc>
        <w:tc>
          <w:tcPr>
            <w:tcW w:w="1240" w:type="dxa"/>
            <w:vAlign w:val="bottom"/>
          </w:tcPr>
          <w:p>
            <w:pPr>
              <w:jc w:val="right"/>
              <w:ind w:right="352"/>
              <w:spacing w:after="0"/>
              <w:rPr>
                <w:sz w:val="20"/>
                <w:szCs w:val="20"/>
                <w:color w:val="auto"/>
              </w:rPr>
            </w:pPr>
            <w:r>
              <w:rPr>
                <w:rFonts w:ascii="Arial" w:cs="Arial" w:eastAsia="Arial" w:hAnsi="Arial"/>
                <w:sz w:val="10"/>
                <w:szCs w:val="10"/>
                <w:color w:val="auto"/>
              </w:rPr>
              <w:t>(9)</w:t>
            </w:r>
          </w:p>
        </w:tc>
        <w:tc>
          <w:tcPr>
            <w:tcW w:w="1220" w:type="dxa"/>
            <w:vAlign w:val="bottom"/>
          </w:tcPr>
          <w:p>
            <w:pPr>
              <w:jc w:val="right"/>
              <w:ind w:right="372"/>
              <w:spacing w:after="0"/>
              <w:rPr>
                <w:sz w:val="20"/>
                <w:szCs w:val="20"/>
                <w:color w:val="auto"/>
              </w:rPr>
            </w:pPr>
            <w:r>
              <w:rPr>
                <w:rFonts w:ascii="Arial" w:cs="Arial" w:eastAsia="Arial" w:hAnsi="Arial"/>
                <w:sz w:val="10"/>
                <w:szCs w:val="10"/>
                <w:color w:val="auto"/>
              </w:rPr>
              <w:t>(2)</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24</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286</w:t>
            </w:r>
          </w:p>
        </w:tc>
        <w:tc>
          <w:tcPr>
            <w:tcW w:w="400" w:type="dxa"/>
            <w:vAlign w:val="bottom"/>
          </w:tcPr>
          <w:p>
            <w:pPr>
              <w:spacing w:after="0"/>
              <w:rPr>
                <w:sz w:val="10"/>
                <w:szCs w:val="10"/>
                <w:color w:val="auto"/>
              </w:rPr>
            </w:pPr>
          </w:p>
        </w:tc>
      </w:tr>
      <w:tr>
        <w:trPr>
          <w:trHeight w:val="130"/>
        </w:trPr>
        <w:tc>
          <w:tcPr>
            <w:tcW w:w="356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Other</w:t>
            </w:r>
          </w:p>
        </w:tc>
        <w:tc>
          <w:tcPr>
            <w:tcW w:w="17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(210)</w:t>
            </w: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431</w:t>
            </w: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(112)</w:t>
            </w: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w:t>
            </w: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(207)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w:t>
            </w:r>
          </w:p>
        </w:tc>
        <w:tc>
          <w:tcPr>
            <w:tcW w:w="400" w:type="dxa"/>
            <w:vAlign w:val="bottom"/>
            <w:tcBorders>
              <w:bottom w:val="single" w:sz="8" w:color="auto"/>
            </w:tcBorders>
          </w:tcPr>
          <w:p>
            <w:pPr>
              <w:spacing w:after="0"/>
              <w:rPr>
                <w:sz w:val="11"/>
                <w:szCs w:val="11"/>
                <w:color w:val="auto"/>
              </w:rPr>
            </w:pPr>
          </w:p>
        </w:tc>
      </w:tr>
      <w:tr>
        <w:trPr>
          <w:trHeight w:val="114"/>
        </w:trPr>
        <w:tc>
          <w:tcPr>
            <w:tcW w:w="3560" w:type="dxa"/>
            <w:vAlign w:val="bottom"/>
          </w:tcPr>
          <w:p>
            <w:pPr>
              <w:spacing w:after="0"/>
              <w:rPr>
                <w:sz w:val="20"/>
                <w:szCs w:val="20"/>
                <w:color w:val="auto"/>
              </w:rPr>
            </w:pPr>
            <w:r>
              <w:rPr>
                <w:rFonts w:ascii="Arial" w:cs="Arial" w:eastAsia="Arial" w:hAnsi="Arial"/>
                <w:sz w:val="10"/>
                <w:szCs w:val="10"/>
                <w:color w:val="auto"/>
              </w:rPr>
              <w:t>Third-party and inter-segment purchases (CCS basis)</w:t>
            </w:r>
          </w:p>
        </w:tc>
        <w:tc>
          <w:tcPr>
            <w:tcW w:w="1700" w:type="dxa"/>
            <w:vAlign w:val="bottom"/>
          </w:tcPr>
          <w:p>
            <w:pPr>
              <w:jc w:val="right"/>
              <w:ind w:right="392"/>
              <w:spacing w:after="0"/>
              <w:rPr>
                <w:sz w:val="20"/>
                <w:szCs w:val="20"/>
                <w:color w:val="auto"/>
              </w:rPr>
            </w:pPr>
            <w:r>
              <w:rPr>
                <w:rFonts w:ascii="Arial" w:cs="Arial" w:eastAsia="Arial" w:hAnsi="Arial"/>
                <w:sz w:val="10"/>
                <w:szCs w:val="10"/>
                <w:color w:val="auto"/>
              </w:rPr>
              <w:t>21,112</w:t>
            </w:r>
          </w:p>
        </w:tc>
        <w:tc>
          <w:tcPr>
            <w:tcW w:w="1160" w:type="dxa"/>
            <w:vAlign w:val="bottom"/>
          </w:tcPr>
          <w:p>
            <w:pPr>
              <w:jc w:val="right"/>
              <w:ind w:right="352"/>
              <w:spacing w:after="0"/>
              <w:rPr>
                <w:sz w:val="20"/>
                <w:szCs w:val="20"/>
                <w:color w:val="auto"/>
              </w:rPr>
            </w:pPr>
            <w:r>
              <w:rPr>
                <w:rFonts w:ascii="Arial" w:cs="Arial" w:eastAsia="Arial" w:hAnsi="Arial"/>
                <w:sz w:val="10"/>
                <w:szCs w:val="10"/>
                <w:color w:val="auto"/>
              </w:rPr>
              <w:t>4,505</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113,177</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9,969</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8</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148,771</w:t>
            </w:r>
          </w:p>
        </w:tc>
        <w:tc>
          <w:tcPr>
            <w:tcW w:w="400" w:type="dxa"/>
            <w:vAlign w:val="bottom"/>
          </w:tcPr>
          <w:p>
            <w:pPr>
              <w:spacing w:after="0"/>
              <w:rPr>
                <w:sz w:val="9"/>
                <w:szCs w:val="9"/>
                <w:color w:val="auto"/>
              </w:rPr>
            </w:pPr>
          </w:p>
        </w:tc>
      </w:tr>
      <w:tr>
        <w:trPr>
          <w:trHeight w:val="123"/>
        </w:trPr>
        <w:tc>
          <w:tcPr>
            <w:tcW w:w="3560" w:type="dxa"/>
            <w:vAlign w:val="bottom"/>
          </w:tcPr>
          <w:p>
            <w:pPr>
              <w:spacing w:after="0"/>
              <w:rPr>
                <w:sz w:val="20"/>
                <w:szCs w:val="20"/>
                <w:color w:val="auto"/>
              </w:rPr>
            </w:pPr>
            <w:r>
              <w:rPr>
                <w:rFonts w:ascii="Arial" w:cs="Arial" w:eastAsia="Arial" w:hAnsi="Arial"/>
                <w:sz w:val="10"/>
                <w:szCs w:val="10"/>
                <w:color w:val="auto"/>
              </w:rPr>
              <w:t>Production and manufacturing expenses</w:t>
            </w:r>
          </w:p>
        </w:tc>
        <w:tc>
          <w:tcPr>
            <w:tcW w:w="1700" w:type="dxa"/>
            <w:vAlign w:val="bottom"/>
          </w:tcPr>
          <w:p>
            <w:pPr>
              <w:jc w:val="right"/>
              <w:ind w:right="392"/>
              <w:spacing w:after="0"/>
              <w:rPr>
                <w:sz w:val="20"/>
                <w:szCs w:val="20"/>
                <w:color w:val="auto"/>
              </w:rPr>
            </w:pPr>
            <w:r>
              <w:rPr>
                <w:rFonts w:ascii="Arial" w:cs="Arial" w:eastAsia="Arial" w:hAnsi="Arial"/>
                <w:sz w:val="10"/>
                <w:szCs w:val="10"/>
                <w:color w:val="auto"/>
              </w:rPr>
              <w:t>5,723</w:t>
            </w:r>
          </w:p>
        </w:tc>
        <w:tc>
          <w:tcPr>
            <w:tcW w:w="1160" w:type="dxa"/>
            <w:vAlign w:val="bottom"/>
          </w:tcPr>
          <w:p>
            <w:pPr>
              <w:jc w:val="right"/>
              <w:ind w:right="352"/>
              <w:spacing w:after="0"/>
              <w:rPr>
                <w:sz w:val="20"/>
                <w:szCs w:val="20"/>
                <w:color w:val="auto"/>
              </w:rPr>
            </w:pPr>
            <w:r>
              <w:rPr>
                <w:rFonts w:ascii="Arial" w:cs="Arial" w:eastAsia="Arial" w:hAnsi="Arial"/>
                <w:sz w:val="10"/>
                <w:szCs w:val="10"/>
                <w:color w:val="auto"/>
              </w:rPr>
              <w:t>10,521</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5,942</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1,787</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28</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24,001</w:t>
            </w:r>
          </w:p>
        </w:tc>
        <w:tc>
          <w:tcPr>
            <w:tcW w:w="400" w:type="dxa"/>
            <w:vAlign w:val="bottom"/>
          </w:tcPr>
          <w:p>
            <w:pPr>
              <w:spacing w:after="0"/>
              <w:rPr>
                <w:sz w:val="10"/>
                <w:szCs w:val="10"/>
                <w:color w:val="auto"/>
              </w:rPr>
            </w:pPr>
          </w:p>
        </w:tc>
      </w:tr>
      <w:tr>
        <w:trPr>
          <w:trHeight w:val="126"/>
        </w:trPr>
        <w:tc>
          <w:tcPr>
            <w:tcW w:w="3560" w:type="dxa"/>
            <w:vAlign w:val="bottom"/>
          </w:tcPr>
          <w:p>
            <w:pPr>
              <w:spacing w:after="0"/>
              <w:rPr>
                <w:sz w:val="20"/>
                <w:szCs w:val="20"/>
                <w:color w:val="auto"/>
              </w:rPr>
            </w:pPr>
            <w:r>
              <w:rPr>
                <w:rFonts w:ascii="Arial" w:cs="Arial" w:eastAsia="Arial" w:hAnsi="Arial"/>
                <w:sz w:val="10"/>
                <w:szCs w:val="10"/>
                <w:color w:val="auto"/>
              </w:rPr>
              <w:t>Selling, distribution and administrative expenses</w:t>
            </w:r>
          </w:p>
        </w:tc>
        <w:tc>
          <w:tcPr>
            <w:tcW w:w="1700" w:type="dxa"/>
            <w:vAlign w:val="bottom"/>
          </w:tcPr>
          <w:p>
            <w:pPr>
              <w:jc w:val="right"/>
              <w:ind w:right="392"/>
              <w:spacing w:after="0"/>
              <w:rPr>
                <w:sz w:val="20"/>
                <w:szCs w:val="20"/>
                <w:color w:val="auto"/>
              </w:rPr>
            </w:pPr>
            <w:r>
              <w:rPr>
                <w:rFonts w:ascii="Arial" w:cs="Arial" w:eastAsia="Arial" w:hAnsi="Arial"/>
                <w:sz w:val="10"/>
                <w:szCs w:val="10"/>
                <w:color w:val="auto"/>
              </w:rPr>
              <w:t>729</w:t>
            </w:r>
          </w:p>
        </w:tc>
        <w:tc>
          <w:tcPr>
            <w:tcW w:w="1160" w:type="dxa"/>
            <w:vAlign w:val="bottom"/>
          </w:tcPr>
          <w:p>
            <w:pPr>
              <w:jc w:val="right"/>
              <w:ind w:right="332"/>
              <w:spacing w:after="0"/>
              <w:rPr>
                <w:sz w:val="20"/>
                <w:szCs w:val="20"/>
                <w:color w:val="auto"/>
              </w:rPr>
            </w:pPr>
            <w:r>
              <w:rPr>
                <w:rFonts w:ascii="Arial" w:cs="Arial" w:eastAsia="Arial" w:hAnsi="Arial"/>
                <w:sz w:val="10"/>
                <w:szCs w:val="10"/>
                <w:color w:val="auto"/>
              </w:rPr>
              <w:t>(23)</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7,360</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1,339</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476</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9,881</w:t>
            </w:r>
          </w:p>
        </w:tc>
        <w:tc>
          <w:tcPr>
            <w:tcW w:w="400" w:type="dxa"/>
            <w:vAlign w:val="bottom"/>
          </w:tcPr>
          <w:p>
            <w:pPr>
              <w:spacing w:after="0"/>
              <w:rPr>
                <w:sz w:val="10"/>
                <w:szCs w:val="10"/>
                <w:color w:val="auto"/>
              </w:rPr>
            </w:pPr>
          </w:p>
        </w:tc>
      </w:tr>
      <w:tr>
        <w:trPr>
          <w:trHeight w:val="126"/>
        </w:trPr>
        <w:tc>
          <w:tcPr>
            <w:tcW w:w="3560" w:type="dxa"/>
            <w:vAlign w:val="bottom"/>
          </w:tcPr>
          <w:p>
            <w:pPr>
              <w:spacing w:after="0"/>
              <w:rPr>
                <w:sz w:val="20"/>
                <w:szCs w:val="20"/>
                <w:color w:val="auto"/>
              </w:rPr>
            </w:pPr>
            <w:r>
              <w:rPr>
                <w:rFonts w:ascii="Arial" w:cs="Arial" w:eastAsia="Arial" w:hAnsi="Arial"/>
                <w:sz w:val="10"/>
                <w:szCs w:val="10"/>
                <w:color w:val="auto"/>
              </w:rPr>
              <w:t>Research and development expenses</w:t>
            </w:r>
          </w:p>
        </w:tc>
        <w:tc>
          <w:tcPr>
            <w:tcW w:w="1700" w:type="dxa"/>
            <w:vAlign w:val="bottom"/>
          </w:tcPr>
          <w:p>
            <w:pPr>
              <w:jc w:val="right"/>
              <w:ind w:right="392"/>
              <w:spacing w:after="0"/>
              <w:rPr>
                <w:sz w:val="20"/>
                <w:szCs w:val="20"/>
                <w:color w:val="auto"/>
              </w:rPr>
            </w:pPr>
            <w:r>
              <w:rPr>
                <w:rFonts w:ascii="Arial" w:cs="Arial" w:eastAsia="Arial" w:hAnsi="Arial"/>
                <w:sz w:val="10"/>
                <w:szCs w:val="10"/>
                <w:color w:val="auto"/>
              </w:rPr>
              <w:t>103</w:t>
            </w:r>
          </w:p>
        </w:tc>
        <w:tc>
          <w:tcPr>
            <w:tcW w:w="1160" w:type="dxa"/>
            <w:vAlign w:val="bottom"/>
          </w:tcPr>
          <w:p>
            <w:pPr>
              <w:jc w:val="right"/>
              <w:ind w:right="352"/>
              <w:spacing w:after="0"/>
              <w:rPr>
                <w:sz w:val="20"/>
                <w:szCs w:val="20"/>
                <w:color w:val="auto"/>
              </w:rPr>
            </w:pPr>
            <w:r>
              <w:rPr>
                <w:rFonts w:ascii="Arial" w:cs="Arial" w:eastAsia="Arial" w:hAnsi="Arial"/>
                <w:sz w:val="10"/>
                <w:szCs w:val="10"/>
                <w:color w:val="auto"/>
              </w:rPr>
              <w:t>486</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209</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109</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907</w:t>
            </w:r>
          </w:p>
        </w:tc>
        <w:tc>
          <w:tcPr>
            <w:tcW w:w="400" w:type="dxa"/>
            <w:vAlign w:val="bottom"/>
          </w:tcPr>
          <w:p>
            <w:pPr>
              <w:spacing w:after="0"/>
              <w:rPr>
                <w:sz w:val="10"/>
                <w:szCs w:val="10"/>
                <w:color w:val="auto"/>
              </w:rPr>
            </w:pPr>
          </w:p>
        </w:tc>
      </w:tr>
      <w:tr>
        <w:trPr>
          <w:trHeight w:val="126"/>
        </w:trPr>
        <w:tc>
          <w:tcPr>
            <w:tcW w:w="3560" w:type="dxa"/>
            <w:vAlign w:val="bottom"/>
          </w:tcPr>
          <w:p>
            <w:pPr>
              <w:spacing w:after="0"/>
              <w:rPr>
                <w:sz w:val="20"/>
                <w:szCs w:val="20"/>
                <w:color w:val="auto"/>
              </w:rPr>
            </w:pPr>
            <w:r>
              <w:rPr>
                <w:rFonts w:ascii="Arial" w:cs="Arial" w:eastAsia="Arial" w:hAnsi="Arial"/>
                <w:sz w:val="10"/>
                <w:szCs w:val="10"/>
                <w:color w:val="auto"/>
              </w:rPr>
              <w:t>Exploration expenses</w:t>
            </w:r>
          </w:p>
        </w:tc>
        <w:tc>
          <w:tcPr>
            <w:tcW w:w="1700" w:type="dxa"/>
            <w:vAlign w:val="bottom"/>
          </w:tcPr>
          <w:p>
            <w:pPr>
              <w:jc w:val="right"/>
              <w:ind w:right="392"/>
              <w:spacing w:after="0"/>
              <w:rPr>
                <w:sz w:val="20"/>
                <w:szCs w:val="20"/>
                <w:color w:val="auto"/>
              </w:rPr>
            </w:pPr>
            <w:r>
              <w:rPr>
                <w:rFonts w:ascii="Arial" w:cs="Arial" w:eastAsia="Arial" w:hAnsi="Arial"/>
                <w:sz w:val="10"/>
                <w:szCs w:val="10"/>
                <w:color w:val="auto"/>
              </w:rPr>
              <w:t>611</w:t>
            </w:r>
          </w:p>
        </w:tc>
        <w:tc>
          <w:tcPr>
            <w:tcW w:w="1160" w:type="dxa"/>
            <w:vAlign w:val="bottom"/>
          </w:tcPr>
          <w:p>
            <w:pPr>
              <w:jc w:val="right"/>
              <w:ind w:right="352"/>
              <w:spacing w:after="0"/>
              <w:rPr>
                <w:sz w:val="20"/>
                <w:szCs w:val="20"/>
                <w:color w:val="auto"/>
              </w:rPr>
            </w:pPr>
            <w:r>
              <w:rPr>
                <w:rFonts w:ascii="Arial" w:cs="Arial" w:eastAsia="Arial" w:hAnsi="Arial"/>
                <w:sz w:val="10"/>
                <w:szCs w:val="10"/>
                <w:color w:val="auto"/>
              </w:rPr>
              <w:t>1,136</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1,747</w:t>
            </w:r>
          </w:p>
        </w:tc>
        <w:tc>
          <w:tcPr>
            <w:tcW w:w="400" w:type="dxa"/>
            <w:vAlign w:val="bottom"/>
          </w:tcPr>
          <w:p>
            <w:pPr>
              <w:spacing w:after="0"/>
              <w:rPr>
                <w:sz w:val="10"/>
                <w:szCs w:val="10"/>
                <w:color w:val="auto"/>
              </w:rPr>
            </w:pPr>
          </w:p>
        </w:tc>
      </w:tr>
      <w:tr>
        <w:trPr>
          <w:trHeight w:val="126"/>
        </w:trPr>
        <w:tc>
          <w:tcPr>
            <w:tcW w:w="3560" w:type="dxa"/>
            <w:vAlign w:val="bottom"/>
          </w:tcPr>
          <w:p>
            <w:pPr>
              <w:spacing w:after="0"/>
              <w:rPr>
                <w:sz w:val="20"/>
                <w:szCs w:val="20"/>
                <w:color w:val="auto"/>
              </w:rPr>
            </w:pPr>
            <w:r>
              <w:rPr>
                <w:rFonts w:ascii="Arial" w:cs="Arial" w:eastAsia="Arial" w:hAnsi="Arial"/>
                <w:sz w:val="10"/>
                <w:szCs w:val="10"/>
                <w:color w:val="auto"/>
              </w:rPr>
              <w:t>Depreciation, depletion and amortisation charge, of which:</w:t>
            </w:r>
          </w:p>
        </w:tc>
        <w:tc>
          <w:tcPr>
            <w:tcW w:w="1700" w:type="dxa"/>
            <w:vAlign w:val="bottom"/>
          </w:tcPr>
          <w:p>
            <w:pPr>
              <w:jc w:val="right"/>
              <w:ind w:right="392"/>
              <w:spacing w:after="0"/>
              <w:rPr>
                <w:sz w:val="20"/>
                <w:szCs w:val="20"/>
                <w:color w:val="auto"/>
              </w:rPr>
            </w:pPr>
            <w:r>
              <w:rPr>
                <w:rFonts w:ascii="Arial" w:cs="Arial" w:eastAsia="Arial" w:hAnsi="Arial"/>
                <w:sz w:val="10"/>
                <w:szCs w:val="10"/>
                <w:color w:val="auto"/>
              </w:rPr>
              <w:t>17,704</w:t>
            </w:r>
          </w:p>
        </w:tc>
        <w:tc>
          <w:tcPr>
            <w:tcW w:w="1160" w:type="dxa"/>
            <w:vAlign w:val="bottom"/>
          </w:tcPr>
          <w:p>
            <w:pPr>
              <w:jc w:val="right"/>
              <w:ind w:right="352"/>
              <w:spacing w:after="0"/>
              <w:rPr>
                <w:sz w:val="20"/>
                <w:szCs w:val="20"/>
                <w:color w:val="auto"/>
              </w:rPr>
            </w:pPr>
            <w:r>
              <w:rPr>
                <w:rFonts w:ascii="Arial" w:cs="Arial" w:eastAsia="Arial" w:hAnsi="Arial"/>
                <w:sz w:val="10"/>
                <w:szCs w:val="10"/>
                <w:color w:val="auto"/>
              </w:rPr>
              <w:t>23,119</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10,473</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1,116</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32</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52,444</w:t>
            </w:r>
          </w:p>
        </w:tc>
        <w:tc>
          <w:tcPr>
            <w:tcW w:w="400" w:type="dxa"/>
            <w:vAlign w:val="bottom"/>
          </w:tcPr>
          <w:p>
            <w:pPr>
              <w:spacing w:after="0"/>
              <w:rPr>
                <w:sz w:val="10"/>
                <w:szCs w:val="10"/>
                <w:color w:val="auto"/>
              </w:rPr>
            </w:pPr>
          </w:p>
        </w:tc>
      </w:tr>
      <w:tr>
        <w:trPr>
          <w:trHeight w:val="126"/>
        </w:trPr>
        <w:tc>
          <w:tcPr>
            <w:tcW w:w="3560" w:type="dxa"/>
            <w:vAlign w:val="bottom"/>
          </w:tcPr>
          <w:p>
            <w:pPr>
              <w:ind w:left="140"/>
              <w:spacing w:after="0"/>
              <w:rPr>
                <w:sz w:val="20"/>
                <w:szCs w:val="20"/>
                <w:color w:val="auto"/>
              </w:rPr>
            </w:pPr>
            <w:r>
              <w:rPr>
                <w:rFonts w:ascii="Arial" w:cs="Arial" w:eastAsia="Arial" w:hAnsi="Arial"/>
                <w:sz w:val="10"/>
                <w:szCs w:val="10"/>
                <w:color w:val="auto"/>
              </w:rPr>
              <w:t>Impairment losses</w:t>
            </w:r>
          </w:p>
        </w:tc>
        <w:tc>
          <w:tcPr>
            <w:tcW w:w="1700" w:type="dxa"/>
            <w:vAlign w:val="bottom"/>
          </w:tcPr>
          <w:p>
            <w:pPr>
              <w:jc w:val="right"/>
              <w:ind w:right="392"/>
              <w:spacing w:after="0"/>
              <w:rPr>
                <w:sz w:val="20"/>
                <w:szCs w:val="20"/>
                <w:color w:val="auto"/>
              </w:rPr>
            </w:pPr>
            <w:r>
              <w:rPr>
                <w:rFonts w:ascii="Arial" w:cs="Arial" w:eastAsia="Arial" w:hAnsi="Arial"/>
                <w:sz w:val="10"/>
                <w:szCs w:val="10"/>
                <w:color w:val="auto"/>
              </w:rPr>
              <w:t>12,221</w:t>
            </w:r>
          </w:p>
        </w:tc>
        <w:tc>
          <w:tcPr>
            <w:tcW w:w="1160" w:type="dxa"/>
            <w:vAlign w:val="bottom"/>
          </w:tcPr>
          <w:p>
            <w:pPr>
              <w:jc w:val="right"/>
              <w:ind w:right="352"/>
              <w:spacing w:after="0"/>
              <w:rPr>
                <w:sz w:val="20"/>
                <w:szCs w:val="20"/>
                <w:color w:val="auto"/>
              </w:rPr>
            </w:pPr>
            <w:r>
              <w:rPr>
                <w:rFonts w:ascii="Arial" w:cs="Arial" w:eastAsia="Arial" w:hAnsi="Arial"/>
                <w:sz w:val="10"/>
                <w:szCs w:val="10"/>
                <w:color w:val="auto"/>
              </w:rPr>
              <w:t>8,697</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6,531</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5</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9</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27,463</w:t>
            </w:r>
          </w:p>
        </w:tc>
        <w:tc>
          <w:tcPr>
            <w:tcW w:w="400" w:type="dxa"/>
            <w:vAlign w:val="bottom"/>
          </w:tcPr>
          <w:p>
            <w:pPr>
              <w:ind w:left="260"/>
              <w:spacing w:after="0"/>
              <w:rPr>
                <w:sz w:val="20"/>
                <w:szCs w:val="20"/>
                <w:color w:val="auto"/>
              </w:rPr>
            </w:pPr>
            <w:r>
              <w:rPr>
                <w:rFonts w:ascii="Arial" w:cs="Arial" w:eastAsia="Arial" w:hAnsi="Arial"/>
                <w:sz w:val="10"/>
                <w:szCs w:val="10"/>
                <w:color w:val="auto"/>
                <w:w w:val="93"/>
              </w:rPr>
              <w:t>[C]</w:t>
            </w:r>
          </w:p>
        </w:tc>
      </w:tr>
      <w:tr>
        <w:trPr>
          <w:trHeight w:val="126"/>
        </w:trPr>
        <w:tc>
          <w:tcPr>
            <w:tcW w:w="3560" w:type="dxa"/>
            <w:vAlign w:val="bottom"/>
          </w:tcPr>
          <w:p>
            <w:pPr>
              <w:spacing w:after="0"/>
              <w:rPr>
                <w:sz w:val="20"/>
                <w:szCs w:val="20"/>
                <w:color w:val="auto"/>
              </w:rPr>
            </w:pPr>
            <w:r>
              <w:rPr>
                <w:rFonts w:ascii="Arial" w:cs="Arial" w:eastAsia="Arial" w:hAnsi="Arial"/>
                <w:sz w:val="10"/>
                <w:szCs w:val="10"/>
                <w:color w:val="auto"/>
              </w:rPr>
              <w:t>Interest expense</w:t>
            </w:r>
          </w:p>
        </w:tc>
        <w:tc>
          <w:tcPr>
            <w:tcW w:w="1700" w:type="dxa"/>
            <w:vAlign w:val="bottom"/>
          </w:tcPr>
          <w:p>
            <w:pPr>
              <w:jc w:val="right"/>
              <w:ind w:right="392"/>
              <w:spacing w:after="0"/>
              <w:rPr>
                <w:sz w:val="20"/>
                <w:szCs w:val="20"/>
                <w:color w:val="auto"/>
              </w:rPr>
            </w:pPr>
            <w:r>
              <w:rPr>
                <w:rFonts w:ascii="Arial" w:cs="Arial" w:eastAsia="Arial" w:hAnsi="Arial"/>
                <w:sz w:val="10"/>
                <w:szCs w:val="10"/>
                <w:color w:val="auto"/>
              </w:rPr>
              <w:t>76</w:t>
            </w:r>
          </w:p>
        </w:tc>
        <w:tc>
          <w:tcPr>
            <w:tcW w:w="1160" w:type="dxa"/>
            <w:vAlign w:val="bottom"/>
          </w:tcPr>
          <w:p>
            <w:pPr>
              <w:jc w:val="right"/>
              <w:ind w:right="352"/>
              <w:spacing w:after="0"/>
              <w:rPr>
                <w:sz w:val="20"/>
                <w:szCs w:val="20"/>
                <w:color w:val="auto"/>
              </w:rPr>
            </w:pPr>
            <w:r>
              <w:rPr>
                <w:rFonts w:ascii="Arial" w:cs="Arial" w:eastAsia="Arial" w:hAnsi="Arial"/>
                <w:sz w:val="10"/>
                <w:szCs w:val="10"/>
                <w:color w:val="auto"/>
              </w:rPr>
              <w:t>374</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56</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3</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3,580</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4,089</w:t>
            </w:r>
          </w:p>
        </w:tc>
        <w:tc>
          <w:tcPr>
            <w:tcW w:w="400" w:type="dxa"/>
            <w:vAlign w:val="bottom"/>
          </w:tcPr>
          <w:p>
            <w:pPr>
              <w:spacing w:after="0"/>
              <w:rPr>
                <w:sz w:val="10"/>
                <w:szCs w:val="10"/>
                <w:color w:val="auto"/>
              </w:rPr>
            </w:pPr>
          </w:p>
        </w:tc>
      </w:tr>
      <w:tr>
        <w:trPr>
          <w:trHeight w:val="130"/>
        </w:trPr>
        <w:tc>
          <w:tcPr>
            <w:tcW w:w="35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Taxation (credit)/charge (CCS basis)</w:t>
            </w:r>
          </w:p>
        </w:tc>
        <w:tc>
          <w:tcPr>
            <w:tcW w:w="17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(2,507)</w:t>
            </w: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(467)</w:t>
            </w: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(898)</w:t>
            </w: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7</w:t>
            </w: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(983)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(4,848)</w:t>
            </w:r>
          </w:p>
        </w:tc>
        <w:tc>
          <w:tcPr>
            <w:tcW w:w="400" w:type="dxa"/>
            <w:vAlign w:val="bottom"/>
            <w:tcBorders>
              <w:bottom w:val="single" w:sz="8" w:color="auto"/>
            </w:tcBorders>
          </w:tcPr>
          <w:p>
            <w:pPr>
              <w:spacing w:after="0"/>
              <w:rPr>
                <w:sz w:val="11"/>
                <w:szCs w:val="11"/>
                <w:color w:val="auto"/>
              </w:rPr>
            </w:pPr>
          </w:p>
        </w:tc>
      </w:tr>
      <w:tr>
        <w:trPr>
          <w:trHeight w:val="117"/>
        </w:trPr>
        <w:tc>
          <w:tcPr>
            <w:tcW w:w="35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CCS earnings</w:t>
            </w:r>
          </w:p>
        </w:tc>
        <w:tc>
          <w:tcPr>
            <w:tcW w:w="17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(6,278)</w:t>
            </w: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(10,785)</w:t>
            </w: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(494)</w:t>
            </w: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808</w:t>
            </w: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(2,952)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(19,701)</w:t>
            </w:r>
          </w:p>
        </w:tc>
        <w:tc>
          <w:tcPr>
            <w:tcW w:w="400" w:type="dxa"/>
            <w:vAlign w:val="bottom"/>
            <w:tcBorders>
              <w:bottom w:val="single" w:sz="8" w:color="auto"/>
            </w:tcBorders>
          </w:tcPr>
          <w:p>
            <w:pPr>
              <w:spacing w:after="0"/>
              <w:rPr>
                <w:sz w:val="10"/>
                <w:szCs w:val="10"/>
                <w:color w:val="auto"/>
              </w:rPr>
            </w:pPr>
          </w:p>
        </w:tc>
      </w:tr>
    </w:tbl>
    <w:p>
      <w:pPr>
        <w:spacing w:after="0" w:line="83" w:lineRule="exact"/>
        <w:rPr>
          <w:sz w:val="20"/>
          <w:szCs w:val="20"/>
          <w:color w:val="auto"/>
        </w:rPr>
      </w:pPr>
    </w:p>
    <w:p>
      <w:pPr>
        <w:ind w:left="8" w:right="180" w:hanging="8"/>
        <w:spacing w:after="0" w:line="277" w:lineRule="auto"/>
        <w:tabs>
          <w:tab w:leader="none" w:pos="126" w:val="left"/>
        </w:tabs>
        <w:numPr>
          <w:ilvl w:val="0"/>
          <w:numId w:val="169"/>
        </w:numPr>
        <w:rPr>
          <w:rFonts w:ascii="Arial" w:cs="Arial" w:eastAsia="Arial" w:hAnsi="Arial"/>
          <w:sz w:val="7"/>
          <w:szCs w:val="7"/>
          <w:color w:val="auto"/>
        </w:rPr>
      </w:pPr>
      <w:r>
        <w:rPr>
          <w:rFonts w:ascii="Arial" w:cs="Arial" w:eastAsia="Arial" w:hAnsi="Arial"/>
          <w:sz w:val="7"/>
          <w:szCs w:val="7"/>
          <w:color w:val="auto"/>
        </w:rPr>
        <w:t>Includes $10,008 million of revenue from sources other than from contracts with customers, which mainly comprises the impact of fair value accounting of commodity derivatives. This amount includes both the reversal of prior gains of $1,136 million related to sales contracts and prior losses of $539 million related to purchase contracts that were previously recognised and where physical settlement has taken place during 2020.</w:t>
      </w:r>
    </w:p>
    <w:p>
      <w:pPr>
        <w:ind w:left="108" w:hanging="108"/>
        <w:spacing w:after="0"/>
        <w:tabs>
          <w:tab w:leader="none" w:pos="108" w:val="left"/>
        </w:tabs>
        <w:numPr>
          <w:ilvl w:val="0"/>
          <w:numId w:val="169"/>
        </w:numPr>
        <w:rPr>
          <w:rFonts w:ascii="Arial" w:cs="Arial" w:eastAsia="Arial" w:hAnsi="Arial"/>
          <w:sz w:val="7"/>
          <w:szCs w:val="7"/>
          <w:color w:val="auto"/>
        </w:rPr>
      </w:pPr>
      <w:r>
        <w:rPr>
          <w:rFonts w:ascii="Arial" w:cs="Arial" w:eastAsia="Arial" w:hAnsi="Arial"/>
          <w:sz w:val="7"/>
          <w:szCs w:val="7"/>
          <w:color w:val="auto"/>
        </w:rPr>
        <w:t>With effect from 2020, additional contracts are classified as held for trading purposes and consequently revenue is reported on a net rather than gross basis. The effect on revenue for the full year was a reduction of $46,289 million.</w:t>
      </w:r>
    </w:p>
    <w:p>
      <w:pPr>
        <w:ind w:left="108" w:hanging="108"/>
        <w:spacing w:after="0"/>
        <w:tabs>
          <w:tab w:leader="none" w:pos="108" w:val="left"/>
        </w:tabs>
        <w:numPr>
          <w:ilvl w:val="0"/>
          <w:numId w:val="169"/>
        </w:numPr>
        <w:rPr>
          <w:rFonts w:ascii="Arial" w:cs="Arial" w:eastAsia="Arial" w:hAnsi="Arial"/>
          <w:sz w:val="7"/>
          <w:szCs w:val="7"/>
          <w:color w:val="auto"/>
        </w:rPr>
      </w:pPr>
      <w:r>
        <w:rPr>
          <w:rFonts w:ascii="Arial" w:cs="Arial" w:eastAsia="Arial" w:hAnsi="Arial"/>
          <w:sz w:val="7"/>
          <w:szCs w:val="7"/>
          <w:color w:val="auto"/>
        </w:rPr>
        <w:t>Impairment losses comprise Property, plant and equipment ($26,676 million) and Intangible assets ($787 million).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179</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38" w:right="299" w:bottom="1440" w:gutter="0" w:footer="0" w:header="0"/>
        </w:sectPr>
      </w:pPr>
    </w:p>
    <w:bookmarkStart w:id="182" w:name="page183"/>
    <w:bookmarkEnd w:id="182"/>
    <w:tbl>
      <w:tblPr>
        <w:tblLayout w:type="fixed"/>
        <w:tblInd w:w="8" w:type="dxa"/>
        <w:tblCellMar>
          <w:top w:w="0" w:type="dxa"/>
          <w:left w:w="0" w:type="dxa"/>
          <w:bottom w:w="0" w:type="dxa"/>
          <w:right w:w="0" w:type="dxa"/>
        </w:tblCellMar>
      </w:tblPr>
      <w:tr>
        <w:trPr>
          <w:trHeight w:val="157"/>
        </w:trPr>
        <w:tc>
          <w:tcPr>
            <w:tcW w:w="356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2019</w:t>
            </w:r>
          </w:p>
        </w:tc>
        <w:tc>
          <w:tcPr>
            <w:tcW w:w="1620" w:type="dxa"/>
            <w:vAlign w:val="bottom"/>
            <w:tcBorders>
              <w:top w:val="single" w:sz="8" w:color="CDCDCD"/>
            </w:tcBorders>
          </w:tcPr>
          <w:p>
            <w:pPr>
              <w:spacing w:after="0"/>
              <w:rPr>
                <w:sz w:val="13"/>
                <w:szCs w:val="13"/>
                <w:color w:val="auto"/>
              </w:rPr>
            </w:pPr>
          </w:p>
        </w:tc>
        <w:tc>
          <w:tcPr>
            <w:tcW w:w="1160" w:type="dxa"/>
            <w:vAlign w:val="bottom"/>
            <w:tcBorders>
              <w:top w:val="single" w:sz="8" w:color="CDCDCD"/>
            </w:tcBorders>
          </w:tcPr>
          <w:p>
            <w:pPr>
              <w:spacing w:after="0"/>
              <w:rPr>
                <w:sz w:val="13"/>
                <w:szCs w:val="13"/>
                <w:color w:val="auto"/>
              </w:rPr>
            </w:pPr>
          </w:p>
        </w:tc>
        <w:tc>
          <w:tcPr>
            <w:tcW w:w="1240" w:type="dxa"/>
            <w:vAlign w:val="bottom"/>
            <w:tcBorders>
              <w:top w:val="single" w:sz="8" w:color="CDCDCD"/>
            </w:tcBorders>
          </w:tcPr>
          <w:p>
            <w:pPr>
              <w:spacing w:after="0"/>
              <w:rPr>
                <w:sz w:val="13"/>
                <w:szCs w:val="13"/>
                <w:color w:val="auto"/>
              </w:rPr>
            </w:pPr>
          </w:p>
        </w:tc>
        <w:tc>
          <w:tcPr>
            <w:tcW w:w="1300" w:type="dxa"/>
            <w:vAlign w:val="bottom"/>
            <w:tcBorders>
              <w:top w:val="single" w:sz="8" w:color="CDCDCD"/>
            </w:tcBorders>
          </w:tcPr>
          <w:p>
            <w:pPr>
              <w:spacing w:after="0"/>
              <w:rPr>
                <w:sz w:val="13"/>
                <w:szCs w:val="13"/>
                <w:color w:val="auto"/>
              </w:rPr>
            </w:pPr>
          </w:p>
        </w:tc>
        <w:tc>
          <w:tcPr>
            <w:tcW w:w="1220" w:type="dxa"/>
            <w:vAlign w:val="bottom"/>
            <w:tcBorders>
              <w:top w:val="single" w:sz="8" w:color="CDCDCD"/>
            </w:tcBorders>
          </w:tcPr>
          <w:p>
            <w:pPr>
              <w:spacing w:after="0"/>
              <w:rPr>
                <w:sz w:val="13"/>
                <w:szCs w:val="13"/>
                <w:color w:val="auto"/>
              </w:rPr>
            </w:pPr>
          </w:p>
        </w:tc>
        <w:tc>
          <w:tcPr>
            <w:tcW w:w="920" w:type="dxa"/>
            <w:vAlign w:val="bottom"/>
            <w:tcBorders>
              <w:top w:val="single" w:sz="8" w:color="CDCDCD"/>
            </w:tcBorders>
          </w:tcPr>
          <w:p>
            <w:pPr>
              <w:jc w:val="right"/>
              <w:ind w:right="92"/>
              <w:spacing w:after="0"/>
              <w:rPr>
                <w:sz w:val="20"/>
                <w:szCs w:val="20"/>
                <w:color w:val="auto"/>
              </w:rPr>
            </w:pPr>
            <w:r>
              <w:rPr>
                <w:rFonts w:ascii="Arial" w:cs="Arial" w:eastAsia="Arial" w:hAnsi="Arial"/>
                <w:sz w:val="10"/>
                <w:szCs w:val="10"/>
                <w:color w:val="auto"/>
              </w:rPr>
              <w:t>$ million</w:t>
            </w:r>
          </w:p>
        </w:tc>
        <w:tc>
          <w:tcPr>
            <w:tcW w:w="280" w:type="dxa"/>
            <w:vAlign w:val="bottom"/>
            <w:tcBorders>
              <w:top w:val="single" w:sz="8" w:color="CDCDCD"/>
            </w:tcBorders>
          </w:tcPr>
          <w:p>
            <w:pPr>
              <w:spacing w:after="0"/>
              <w:rPr>
                <w:sz w:val="13"/>
                <w:szCs w:val="13"/>
                <w:color w:val="auto"/>
              </w:rPr>
            </w:pPr>
          </w:p>
        </w:tc>
      </w:tr>
      <w:tr>
        <w:trPr>
          <w:trHeight w:val="123"/>
        </w:trPr>
        <w:tc>
          <w:tcPr>
            <w:tcW w:w="3560" w:type="dxa"/>
            <w:vAlign w:val="bottom"/>
          </w:tcPr>
          <w:p>
            <w:pPr>
              <w:spacing w:after="0"/>
              <w:rPr>
                <w:sz w:val="10"/>
                <w:szCs w:val="10"/>
                <w:color w:val="auto"/>
              </w:rPr>
            </w:pPr>
          </w:p>
        </w:tc>
        <w:tc>
          <w:tcPr>
            <w:tcW w:w="1620" w:type="dxa"/>
            <w:vAlign w:val="bottom"/>
          </w:tcPr>
          <w:p>
            <w:pPr>
              <w:jc w:val="right"/>
              <w:ind w:right="292"/>
              <w:spacing w:after="0"/>
              <w:rPr>
                <w:sz w:val="20"/>
                <w:szCs w:val="20"/>
                <w:color w:val="auto"/>
              </w:rPr>
            </w:pPr>
            <w:r>
              <w:rPr>
                <w:rFonts w:ascii="Arial" w:cs="Arial" w:eastAsia="Arial" w:hAnsi="Arial"/>
                <w:sz w:val="10"/>
                <w:szCs w:val="10"/>
                <w:color w:val="auto"/>
              </w:rPr>
              <w:t>Integrated Gas</w:t>
            </w:r>
          </w:p>
        </w:tc>
        <w:tc>
          <w:tcPr>
            <w:tcW w:w="1160" w:type="dxa"/>
            <w:vAlign w:val="bottom"/>
          </w:tcPr>
          <w:p>
            <w:pPr>
              <w:jc w:val="right"/>
              <w:ind w:right="232"/>
              <w:spacing w:after="0"/>
              <w:rPr>
                <w:sz w:val="20"/>
                <w:szCs w:val="20"/>
                <w:color w:val="auto"/>
              </w:rPr>
            </w:pPr>
            <w:r>
              <w:rPr>
                <w:rFonts w:ascii="Arial" w:cs="Arial" w:eastAsia="Arial" w:hAnsi="Arial"/>
                <w:sz w:val="10"/>
                <w:szCs w:val="10"/>
                <w:color w:val="auto"/>
              </w:rPr>
              <w:t>Upstream [A]</w:t>
            </w:r>
          </w:p>
        </w:tc>
        <w:tc>
          <w:tcPr>
            <w:tcW w:w="1240" w:type="dxa"/>
            <w:vAlign w:val="bottom"/>
          </w:tcPr>
          <w:p>
            <w:pPr>
              <w:jc w:val="right"/>
              <w:ind w:right="272"/>
              <w:spacing w:after="0"/>
              <w:rPr>
                <w:sz w:val="20"/>
                <w:szCs w:val="20"/>
                <w:color w:val="auto"/>
              </w:rPr>
            </w:pPr>
            <w:r>
              <w:rPr>
                <w:rFonts w:ascii="Arial" w:cs="Arial" w:eastAsia="Arial" w:hAnsi="Arial"/>
                <w:sz w:val="10"/>
                <w:szCs w:val="10"/>
                <w:color w:val="auto"/>
              </w:rPr>
              <w:t>Oil Products [A]</w:t>
            </w:r>
          </w:p>
        </w:tc>
        <w:tc>
          <w:tcPr>
            <w:tcW w:w="1300" w:type="dxa"/>
            <w:vAlign w:val="bottom"/>
          </w:tcPr>
          <w:p>
            <w:pPr>
              <w:jc w:val="right"/>
              <w:ind w:right="372"/>
              <w:spacing w:after="0"/>
              <w:rPr>
                <w:sz w:val="20"/>
                <w:szCs w:val="20"/>
                <w:color w:val="auto"/>
              </w:rPr>
            </w:pPr>
            <w:r>
              <w:rPr>
                <w:rFonts w:ascii="Arial" w:cs="Arial" w:eastAsia="Arial" w:hAnsi="Arial"/>
                <w:sz w:val="10"/>
                <w:szCs w:val="10"/>
                <w:color w:val="auto"/>
              </w:rPr>
              <w:t>Chemicals [A]</w:t>
            </w:r>
          </w:p>
        </w:tc>
        <w:tc>
          <w:tcPr>
            <w:tcW w:w="1220" w:type="dxa"/>
            <w:vAlign w:val="bottom"/>
          </w:tcPr>
          <w:p>
            <w:pPr>
              <w:jc w:val="right"/>
              <w:ind w:right="372"/>
              <w:spacing w:after="0"/>
              <w:rPr>
                <w:sz w:val="20"/>
                <w:szCs w:val="20"/>
                <w:color w:val="auto"/>
              </w:rPr>
            </w:pPr>
            <w:r>
              <w:rPr>
                <w:rFonts w:ascii="Arial" w:cs="Arial" w:eastAsia="Arial" w:hAnsi="Arial"/>
                <w:sz w:val="10"/>
                <w:szCs w:val="10"/>
                <w:color w:val="auto"/>
              </w:rPr>
              <w:t>Corporate</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Total</w:t>
            </w:r>
          </w:p>
        </w:tc>
        <w:tc>
          <w:tcPr>
            <w:tcW w:w="280" w:type="dxa"/>
            <w:vAlign w:val="bottom"/>
          </w:tcPr>
          <w:p>
            <w:pPr>
              <w:spacing w:after="0"/>
              <w:rPr>
                <w:sz w:val="10"/>
                <w:szCs w:val="10"/>
                <w:color w:val="auto"/>
              </w:rPr>
            </w:pPr>
          </w:p>
        </w:tc>
      </w:tr>
      <w:tr>
        <w:trPr>
          <w:trHeight w:val="152"/>
        </w:trPr>
        <w:tc>
          <w:tcPr>
            <w:tcW w:w="35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r>
      <w:tr>
        <w:trPr>
          <w:trHeight w:val="110"/>
        </w:trPr>
        <w:tc>
          <w:tcPr>
            <w:tcW w:w="3560" w:type="dxa"/>
            <w:vAlign w:val="bottom"/>
          </w:tcPr>
          <w:p>
            <w:pPr>
              <w:spacing w:after="0" w:line="111" w:lineRule="exact"/>
              <w:rPr>
                <w:sz w:val="20"/>
                <w:szCs w:val="20"/>
                <w:color w:val="auto"/>
              </w:rPr>
            </w:pPr>
            <w:r>
              <w:rPr>
                <w:rFonts w:ascii="Arial" w:cs="Arial" w:eastAsia="Arial" w:hAnsi="Arial"/>
                <w:sz w:val="10"/>
                <w:szCs w:val="10"/>
                <w:color w:val="auto"/>
              </w:rPr>
              <w:t>Revenue:</w:t>
            </w: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123"/>
        </w:trPr>
        <w:tc>
          <w:tcPr>
            <w:tcW w:w="3560" w:type="dxa"/>
            <w:vAlign w:val="bottom"/>
          </w:tcPr>
          <w:p>
            <w:pPr>
              <w:ind w:left="140"/>
              <w:spacing w:after="0"/>
              <w:rPr>
                <w:sz w:val="20"/>
                <w:szCs w:val="20"/>
                <w:color w:val="auto"/>
              </w:rPr>
            </w:pPr>
            <w:r>
              <w:rPr>
                <w:rFonts w:ascii="Arial" w:cs="Arial" w:eastAsia="Arial" w:hAnsi="Arial"/>
                <w:sz w:val="10"/>
                <w:szCs w:val="10"/>
                <w:color w:val="auto"/>
              </w:rPr>
              <w:t>Third-party</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41,322</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9,482</w:t>
            </w:r>
          </w:p>
        </w:tc>
        <w:tc>
          <w:tcPr>
            <w:tcW w:w="1240" w:type="dxa"/>
            <w:vAlign w:val="bottom"/>
          </w:tcPr>
          <w:p>
            <w:pPr>
              <w:jc w:val="right"/>
              <w:ind w:right="292"/>
              <w:spacing w:after="0"/>
              <w:rPr>
                <w:sz w:val="20"/>
                <w:szCs w:val="20"/>
                <w:color w:val="auto"/>
              </w:rPr>
            </w:pPr>
            <w:r>
              <w:rPr>
                <w:rFonts w:ascii="Arial" w:cs="Arial" w:eastAsia="Arial" w:hAnsi="Arial"/>
                <w:sz w:val="10"/>
                <w:szCs w:val="10"/>
                <w:color w:val="auto"/>
              </w:rPr>
              <w:t>280,460</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13,568</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45</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344,877</w:t>
            </w:r>
          </w:p>
        </w:tc>
        <w:tc>
          <w:tcPr>
            <w:tcW w:w="280" w:type="dxa"/>
            <w:vAlign w:val="bottom"/>
          </w:tcPr>
          <w:p>
            <w:pPr>
              <w:jc w:val="right"/>
              <w:spacing w:after="0"/>
              <w:rPr>
                <w:sz w:val="20"/>
                <w:szCs w:val="20"/>
                <w:color w:val="auto"/>
              </w:rPr>
            </w:pPr>
            <w:r>
              <w:rPr>
                <w:rFonts w:ascii="Arial" w:cs="Arial" w:eastAsia="Arial" w:hAnsi="Arial"/>
                <w:sz w:val="10"/>
                <w:szCs w:val="10"/>
                <w:color w:val="auto"/>
              </w:rPr>
              <w:t>[B]</w:t>
            </w:r>
          </w:p>
        </w:tc>
      </w:tr>
      <w:tr>
        <w:trPr>
          <w:trHeight w:val="126"/>
        </w:trPr>
        <w:tc>
          <w:tcPr>
            <w:tcW w:w="3560" w:type="dxa"/>
            <w:vAlign w:val="bottom"/>
          </w:tcPr>
          <w:p>
            <w:pPr>
              <w:ind w:left="140"/>
              <w:spacing w:after="0"/>
              <w:rPr>
                <w:sz w:val="20"/>
                <w:szCs w:val="20"/>
                <w:color w:val="auto"/>
              </w:rPr>
            </w:pPr>
            <w:r>
              <w:rPr>
                <w:rFonts w:ascii="Arial" w:cs="Arial" w:eastAsia="Arial" w:hAnsi="Arial"/>
                <w:sz w:val="10"/>
                <w:szCs w:val="10"/>
                <w:color w:val="auto"/>
              </w:rPr>
              <w:t>Inter-segment</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4,280</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35,735</w:t>
            </w:r>
          </w:p>
        </w:tc>
        <w:tc>
          <w:tcPr>
            <w:tcW w:w="1240" w:type="dxa"/>
            <w:vAlign w:val="bottom"/>
          </w:tcPr>
          <w:p>
            <w:pPr>
              <w:jc w:val="right"/>
              <w:ind w:right="292"/>
              <w:spacing w:after="0"/>
              <w:rPr>
                <w:sz w:val="20"/>
                <w:szCs w:val="20"/>
                <w:color w:val="auto"/>
              </w:rPr>
            </w:pPr>
            <w:r>
              <w:rPr>
                <w:rFonts w:ascii="Arial" w:cs="Arial" w:eastAsia="Arial" w:hAnsi="Arial"/>
                <w:sz w:val="10"/>
                <w:szCs w:val="10"/>
                <w:color w:val="auto"/>
              </w:rPr>
              <w:t>7,819</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3,917</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51,751</w:t>
            </w:r>
          </w:p>
        </w:tc>
        <w:tc>
          <w:tcPr>
            <w:tcW w:w="280" w:type="dxa"/>
            <w:vAlign w:val="bottom"/>
          </w:tcPr>
          <w:p>
            <w:pPr>
              <w:spacing w:after="0"/>
              <w:rPr>
                <w:sz w:val="10"/>
                <w:szCs w:val="10"/>
                <w:color w:val="auto"/>
              </w:rPr>
            </w:pPr>
          </w:p>
        </w:tc>
      </w:tr>
      <w:tr>
        <w:trPr>
          <w:trHeight w:val="126"/>
        </w:trPr>
        <w:tc>
          <w:tcPr>
            <w:tcW w:w="3560" w:type="dxa"/>
            <w:vAlign w:val="bottom"/>
          </w:tcPr>
          <w:p>
            <w:pPr>
              <w:spacing w:after="0"/>
              <w:rPr>
                <w:sz w:val="20"/>
                <w:szCs w:val="20"/>
                <w:color w:val="auto"/>
              </w:rPr>
            </w:pPr>
            <w:r>
              <w:rPr>
                <w:rFonts w:ascii="Arial" w:cs="Arial" w:eastAsia="Arial" w:hAnsi="Arial"/>
                <w:sz w:val="10"/>
                <w:szCs w:val="10"/>
                <w:color w:val="auto"/>
              </w:rPr>
              <w:t>Share of profit/(loss) of joint ventures and associates (CCS basis)</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1,791</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379</w:t>
            </w:r>
          </w:p>
        </w:tc>
        <w:tc>
          <w:tcPr>
            <w:tcW w:w="1240" w:type="dxa"/>
            <w:vAlign w:val="bottom"/>
          </w:tcPr>
          <w:p>
            <w:pPr>
              <w:jc w:val="right"/>
              <w:ind w:right="292"/>
              <w:spacing w:after="0"/>
              <w:rPr>
                <w:sz w:val="20"/>
                <w:szCs w:val="20"/>
                <w:color w:val="auto"/>
              </w:rPr>
            </w:pPr>
            <w:r>
              <w:rPr>
                <w:rFonts w:ascii="Arial" w:cs="Arial" w:eastAsia="Arial" w:hAnsi="Arial"/>
                <w:sz w:val="10"/>
                <w:szCs w:val="10"/>
                <w:color w:val="auto"/>
              </w:rPr>
              <w:t>1,179</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546</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(307)</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3,588</w:t>
            </w:r>
          </w:p>
        </w:tc>
        <w:tc>
          <w:tcPr>
            <w:tcW w:w="280" w:type="dxa"/>
            <w:vAlign w:val="bottom"/>
          </w:tcPr>
          <w:p>
            <w:pPr>
              <w:spacing w:after="0"/>
              <w:rPr>
                <w:sz w:val="10"/>
                <w:szCs w:val="10"/>
                <w:color w:val="auto"/>
              </w:rPr>
            </w:pPr>
          </w:p>
        </w:tc>
      </w:tr>
      <w:tr>
        <w:trPr>
          <w:trHeight w:val="126"/>
        </w:trPr>
        <w:tc>
          <w:tcPr>
            <w:tcW w:w="3560" w:type="dxa"/>
            <w:vAlign w:val="bottom"/>
          </w:tcPr>
          <w:p>
            <w:pPr>
              <w:spacing w:after="0"/>
              <w:rPr>
                <w:sz w:val="20"/>
                <w:szCs w:val="20"/>
                <w:color w:val="auto"/>
              </w:rPr>
            </w:pPr>
            <w:r>
              <w:rPr>
                <w:rFonts w:ascii="Arial" w:cs="Arial" w:eastAsia="Arial" w:hAnsi="Arial"/>
                <w:sz w:val="10"/>
                <w:szCs w:val="10"/>
                <w:color w:val="auto"/>
              </w:rPr>
              <w:t>Interest and other income, of which:</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263</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2,180</w:t>
            </w:r>
          </w:p>
        </w:tc>
        <w:tc>
          <w:tcPr>
            <w:tcW w:w="1240" w:type="dxa"/>
            <w:vAlign w:val="bottom"/>
          </w:tcPr>
          <w:p>
            <w:pPr>
              <w:jc w:val="right"/>
              <w:ind w:right="292"/>
              <w:spacing w:after="0"/>
              <w:rPr>
                <w:sz w:val="20"/>
                <w:szCs w:val="20"/>
                <w:color w:val="auto"/>
              </w:rPr>
            </w:pPr>
            <w:r>
              <w:rPr>
                <w:rFonts w:ascii="Arial" w:cs="Arial" w:eastAsia="Arial" w:hAnsi="Arial"/>
                <w:sz w:val="10"/>
                <w:szCs w:val="10"/>
                <w:color w:val="auto"/>
              </w:rPr>
              <w:t>273</w:t>
            </w:r>
          </w:p>
        </w:tc>
        <w:tc>
          <w:tcPr>
            <w:tcW w:w="1300" w:type="dxa"/>
            <w:vAlign w:val="bottom"/>
          </w:tcPr>
          <w:p>
            <w:pPr>
              <w:jc w:val="right"/>
              <w:ind w:right="372"/>
              <w:spacing w:after="0"/>
              <w:rPr>
                <w:sz w:val="20"/>
                <w:szCs w:val="20"/>
                <w:color w:val="auto"/>
              </w:rPr>
            </w:pPr>
            <w:r>
              <w:rPr>
                <w:rFonts w:ascii="Arial" w:cs="Arial" w:eastAsia="Arial" w:hAnsi="Arial"/>
                <w:sz w:val="10"/>
                <w:szCs w:val="10"/>
                <w:color w:val="auto"/>
              </w:rPr>
              <w:t>(7)</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916</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3,625</w:t>
            </w:r>
          </w:p>
        </w:tc>
        <w:tc>
          <w:tcPr>
            <w:tcW w:w="280" w:type="dxa"/>
            <w:vAlign w:val="bottom"/>
          </w:tcPr>
          <w:p>
            <w:pPr>
              <w:spacing w:after="0"/>
              <w:rPr>
                <w:sz w:val="10"/>
                <w:szCs w:val="10"/>
                <w:color w:val="auto"/>
              </w:rPr>
            </w:pPr>
          </w:p>
        </w:tc>
      </w:tr>
      <w:tr>
        <w:trPr>
          <w:trHeight w:val="126"/>
        </w:trPr>
        <w:tc>
          <w:tcPr>
            <w:tcW w:w="3560" w:type="dxa"/>
            <w:vAlign w:val="bottom"/>
          </w:tcPr>
          <w:p>
            <w:pPr>
              <w:ind w:left="140"/>
              <w:spacing w:after="0"/>
              <w:rPr>
                <w:sz w:val="20"/>
                <w:szCs w:val="20"/>
                <w:color w:val="auto"/>
              </w:rPr>
            </w:pPr>
            <w:r>
              <w:rPr>
                <w:rFonts w:ascii="Arial" w:cs="Arial" w:eastAsia="Arial" w:hAnsi="Arial"/>
                <w:sz w:val="10"/>
                <w:szCs w:val="10"/>
                <w:color w:val="auto"/>
              </w:rPr>
              <w:t>Interest income</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899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899</w:t>
            </w:r>
          </w:p>
        </w:tc>
        <w:tc>
          <w:tcPr>
            <w:tcW w:w="280" w:type="dxa"/>
            <w:vAlign w:val="bottom"/>
          </w:tcPr>
          <w:p>
            <w:pPr>
              <w:spacing w:after="0"/>
              <w:rPr>
                <w:sz w:val="10"/>
                <w:szCs w:val="10"/>
                <w:color w:val="auto"/>
              </w:rPr>
            </w:pPr>
          </w:p>
        </w:tc>
      </w:tr>
      <w:tr>
        <w:trPr>
          <w:trHeight w:val="126"/>
        </w:trPr>
        <w:tc>
          <w:tcPr>
            <w:tcW w:w="3560" w:type="dxa"/>
            <w:vAlign w:val="bottom"/>
          </w:tcPr>
          <w:p>
            <w:pPr>
              <w:ind w:left="140"/>
              <w:spacing w:after="0"/>
              <w:rPr>
                <w:sz w:val="20"/>
                <w:szCs w:val="20"/>
                <w:color w:val="auto"/>
              </w:rPr>
            </w:pPr>
            <w:r>
              <w:rPr>
                <w:rFonts w:ascii="Arial" w:cs="Arial" w:eastAsia="Arial" w:hAnsi="Arial"/>
                <w:sz w:val="10"/>
                <w:szCs w:val="10"/>
                <w:color w:val="auto"/>
              </w:rPr>
              <w:t>Net gains on sale and revaluation of non-current assets and businesses</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282</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1,888</w:t>
            </w:r>
          </w:p>
        </w:tc>
        <w:tc>
          <w:tcPr>
            <w:tcW w:w="1240" w:type="dxa"/>
            <w:vAlign w:val="bottom"/>
          </w:tcPr>
          <w:p>
            <w:pPr>
              <w:jc w:val="right"/>
              <w:ind w:right="292"/>
              <w:spacing w:after="0"/>
              <w:rPr>
                <w:sz w:val="20"/>
                <w:szCs w:val="20"/>
                <w:color w:val="auto"/>
              </w:rPr>
            </w:pPr>
            <w:r>
              <w:rPr>
                <w:rFonts w:ascii="Arial" w:cs="Arial" w:eastAsia="Arial" w:hAnsi="Arial"/>
                <w:sz w:val="10"/>
                <w:szCs w:val="10"/>
                <w:color w:val="auto"/>
              </w:rPr>
              <w:t>305</w:t>
            </w:r>
          </w:p>
        </w:tc>
        <w:tc>
          <w:tcPr>
            <w:tcW w:w="1300" w:type="dxa"/>
            <w:vAlign w:val="bottom"/>
          </w:tcPr>
          <w:p>
            <w:pPr>
              <w:jc w:val="right"/>
              <w:ind w:right="372"/>
              <w:spacing w:after="0"/>
              <w:rPr>
                <w:sz w:val="20"/>
                <w:szCs w:val="20"/>
                <w:color w:val="auto"/>
              </w:rPr>
            </w:pPr>
            <w:r>
              <w:rPr>
                <w:rFonts w:ascii="Arial" w:cs="Arial" w:eastAsia="Arial" w:hAnsi="Arial"/>
                <w:sz w:val="10"/>
                <w:szCs w:val="10"/>
                <w:color w:val="auto"/>
              </w:rPr>
              <w:t>(8)</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52</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2,519</w:t>
            </w:r>
          </w:p>
        </w:tc>
        <w:tc>
          <w:tcPr>
            <w:tcW w:w="280" w:type="dxa"/>
            <w:vAlign w:val="bottom"/>
          </w:tcPr>
          <w:p>
            <w:pPr>
              <w:spacing w:after="0"/>
              <w:rPr>
                <w:sz w:val="10"/>
                <w:szCs w:val="10"/>
                <w:color w:val="auto"/>
              </w:rPr>
            </w:pPr>
          </w:p>
        </w:tc>
      </w:tr>
      <w:tr>
        <w:trPr>
          <w:trHeight w:val="130"/>
        </w:trPr>
        <w:tc>
          <w:tcPr>
            <w:tcW w:w="356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Other</w:t>
            </w:r>
          </w:p>
        </w:tc>
        <w:tc>
          <w:tcPr>
            <w:tcW w:w="16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(19)</w:t>
            </w: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292</w:t>
            </w: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(32)</w:t>
            </w: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1</w:t>
            </w: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(35)</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207</w:t>
            </w:r>
          </w:p>
        </w:tc>
        <w:tc>
          <w:tcPr>
            <w:tcW w:w="280" w:type="dxa"/>
            <w:vAlign w:val="bottom"/>
            <w:tcBorders>
              <w:bottom w:val="single" w:sz="8" w:color="auto"/>
            </w:tcBorders>
          </w:tcPr>
          <w:p>
            <w:pPr>
              <w:spacing w:after="0"/>
              <w:rPr>
                <w:sz w:val="11"/>
                <w:szCs w:val="11"/>
                <w:color w:val="auto"/>
              </w:rPr>
            </w:pPr>
          </w:p>
        </w:tc>
      </w:tr>
      <w:tr>
        <w:trPr>
          <w:trHeight w:val="114"/>
        </w:trPr>
        <w:tc>
          <w:tcPr>
            <w:tcW w:w="3560" w:type="dxa"/>
            <w:vAlign w:val="bottom"/>
          </w:tcPr>
          <w:p>
            <w:pPr>
              <w:spacing w:after="0"/>
              <w:rPr>
                <w:sz w:val="20"/>
                <w:szCs w:val="20"/>
                <w:color w:val="auto"/>
              </w:rPr>
            </w:pPr>
            <w:r>
              <w:rPr>
                <w:rFonts w:ascii="Arial" w:cs="Arial" w:eastAsia="Arial" w:hAnsi="Arial"/>
                <w:sz w:val="10"/>
                <w:szCs w:val="10"/>
                <w:color w:val="auto"/>
              </w:rPr>
              <w:t>Third-party and inter-segment purchases (CCS basis)</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23,498</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6,982</w:t>
            </w:r>
          </w:p>
        </w:tc>
        <w:tc>
          <w:tcPr>
            <w:tcW w:w="1240" w:type="dxa"/>
            <w:vAlign w:val="bottom"/>
          </w:tcPr>
          <w:p>
            <w:pPr>
              <w:jc w:val="right"/>
              <w:ind w:right="292"/>
              <w:spacing w:after="0"/>
              <w:rPr>
                <w:sz w:val="20"/>
                <w:szCs w:val="20"/>
                <w:color w:val="auto"/>
              </w:rPr>
            </w:pPr>
            <w:r>
              <w:rPr>
                <w:rFonts w:ascii="Arial" w:cs="Arial" w:eastAsia="Arial" w:hAnsi="Arial"/>
                <w:sz w:val="10"/>
                <w:szCs w:val="10"/>
                <w:color w:val="auto"/>
              </w:rPr>
              <w:t>262,004</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13,039</w:t>
            </w:r>
          </w:p>
        </w:tc>
        <w:tc>
          <w:tcPr>
            <w:tcW w:w="1220" w:type="dxa"/>
            <w:vAlign w:val="bottom"/>
          </w:tcPr>
          <w:p>
            <w:pPr>
              <w:jc w:val="right"/>
              <w:ind w:right="392"/>
              <w:spacing w:after="0"/>
              <w:rPr>
                <w:sz w:val="20"/>
                <w:szCs w:val="20"/>
                <w:color w:val="auto"/>
              </w:rPr>
            </w:pPr>
            <w:r>
              <w:rPr>
                <w:rFonts w:ascii="Arial" w:cs="Arial" w:eastAsia="Arial" w:hAnsi="Arial"/>
                <w:sz w:val="10"/>
                <w:szCs w:val="10"/>
                <w:color w:val="auto"/>
              </w:rPr>
              <w:t>(6)</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305,517</w:t>
            </w:r>
          </w:p>
        </w:tc>
        <w:tc>
          <w:tcPr>
            <w:tcW w:w="280" w:type="dxa"/>
            <w:vAlign w:val="bottom"/>
          </w:tcPr>
          <w:p>
            <w:pPr>
              <w:spacing w:after="0"/>
              <w:rPr>
                <w:sz w:val="9"/>
                <w:szCs w:val="9"/>
                <w:color w:val="auto"/>
              </w:rPr>
            </w:pPr>
          </w:p>
        </w:tc>
      </w:tr>
      <w:tr>
        <w:trPr>
          <w:trHeight w:val="123"/>
        </w:trPr>
        <w:tc>
          <w:tcPr>
            <w:tcW w:w="3560" w:type="dxa"/>
            <w:vAlign w:val="bottom"/>
          </w:tcPr>
          <w:p>
            <w:pPr>
              <w:spacing w:after="0"/>
              <w:rPr>
                <w:sz w:val="20"/>
                <w:szCs w:val="20"/>
                <w:color w:val="auto"/>
              </w:rPr>
            </w:pPr>
            <w:r>
              <w:rPr>
                <w:rFonts w:ascii="Arial" w:cs="Arial" w:eastAsia="Arial" w:hAnsi="Arial"/>
                <w:sz w:val="10"/>
                <w:szCs w:val="10"/>
                <w:color w:val="auto"/>
              </w:rPr>
              <w:t>Production and manufacturing expenses</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5,768</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11,102</w:t>
            </w:r>
          </w:p>
        </w:tc>
        <w:tc>
          <w:tcPr>
            <w:tcW w:w="1240" w:type="dxa"/>
            <w:vAlign w:val="bottom"/>
          </w:tcPr>
          <w:p>
            <w:pPr>
              <w:jc w:val="right"/>
              <w:ind w:right="292"/>
              <w:spacing w:after="0"/>
              <w:rPr>
                <w:sz w:val="20"/>
                <w:szCs w:val="20"/>
                <w:color w:val="auto"/>
              </w:rPr>
            </w:pPr>
            <w:r>
              <w:rPr>
                <w:rFonts w:ascii="Arial" w:cs="Arial" w:eastAsia="Arial" w:hAnsi="Arial"/>
                <w:sz w:val="10"/>
                <w:szCs w:val="10"/>
                <w:color w:val="auto"/>
              </w:rPr>
              <w:t>7,536</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1,995</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37</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26,438</w:t>
            </w:r>
          </w:p>
        </w:tc>
        <w:tc>
          <w:tcPr>
            <w:tcW w:w="280" w:type="dxa"/>
            <w:vAlign w:val="bottom"/>
          </w:tcPr>
          <w:p>
            <w:pPr>
              <w:spacing w:after="0"/>
              <w:rPr>
                <w:sz w:val="10"/>
                <w:szCs w:val="10"/>
                <w:color w:val="auto"/>
              </w:rPr>
            </w:pPr>
          </w:p>
        </w:tc>
      </w:tr>
      <w:tr>
        <w:trPr>
          <w:trHeight w:val="126"/>
        </w:trPr>
        <w:tc>
          <w:tcPr>
            <w:tcW w:w="3560" w:type="dxa"/>
            <w:vAlign w:val="bottom"/>
          </w:tcPr>
          <w:p>
            <w:pPr>
              <w:spacing w:after="0"/>
              <w:rPr>
                <w:sz w:val="20"/>
                <w:szCs w:val="20"/>
                <w:color w:val="auto"/>
              </w:rPr>
            </w:pPr>
            <w:r>
              <w:rPr>
                <w:rFonts w:ascii="Arial" w:cs="Arial" w:eastAsia="Arial" w:hAnsi="Arial"/>
                <w:sz w:val="10"/>
                <w:szCs w:val="10"/>
                <w:color w:val="auto"/>
              </w:rPr>
              <w:t>Selling, distribution and administrative expenses</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716</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29</w:t>
            </w:r>
          </w:p>
        </w:tc>
        <w:tc>
          <w:tcPr>
            <w:tcW w:w="1240" w:type="dxa"/>
            <w:vAlign w:val="bottom"/>
          </w:tcPr>
          <w:p>
            <w:pPr>
              <w:jc w:val="right"/>
              <w:ind w:right="292"/>
              <w:spacing w:after="0"/>
              <w:rPr>
                <w:sz w:val="20"/>
                <w:szCs w:val="20"/>
                <w:color w:val="auto"/>
              </w:rPr>
            </w:pPr>
            <w:r>
              <w:rPr>
                <w:rFonts w:ascii="Arial" w:cs="Arial" w:eastAsia="Arial" w:hAnsi="Arial"/>
                <w:sz w:val="10"/>
                <w:szCs w:val="10"/>
                <w:color w:val="auto"/>
              </w:rPr>
              <w:t>7,976</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1,323</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449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10,493</w:t>
            </w:r>
          </w:p>
        </w:tc>
        <w:tc>
          <w:tcPr>
            <w:tcW w:w="280" w:type="dxa"/>
            <w:vAlign w:val="bottom"/>
          </w:tcPr>
          <w:p>
            <w:pPr>
              <w:spacing w:after="0"/>
              <w:rPr>
                <w:sz w:val="10"/>
                <w:szCs w:val="10"/>
                <w:color w:val="auto"/>
              </w:rPr>
            </w:pPr>
          </w:p>
        </w:tc>
      </w:tr>
      <w:tr>
        <w:trPr>
          <w:trHeight w:val="126"/>
        </w:trPr>
        <w:tc>
          <w:tcPr>
            <w:tcW w:w="3560" w:type="dxa"/>
            <w:vAlign w:val="bottom"/>
          </w:tcPr>
          <w:p>
            <w:pPr>
              <w:spacing w:after="0"/>
              <w:rPr>
                <w:sz w:val="20"/>
                <w:szCs w:val="20"/>
                <w:color w:val="auto"/>
              </w:rPr>
            </w:pPr>
            <w:r>
              <w:rPr>
                <w:rFonts w:ascii="Arial" w:cs="Arial" w:eastAsia="Arial" w:hAnsi="Arial"/>
                <w:sz w:val="10"/>
                <w:szCs w:val="10"/>
                <w:color w:val="auto"/>
              </w:rPr>
              <w:t>Research and development expenses</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181</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450</w:t>
            </w:r>
          </w:p>
        </w:tc>
        <w:tc>
          <w:tcPr>
            <w:tcW w:w="1240" w:type="dxa"/>
            <w:vAlign w:val="bottom"/>
          </w:tcPr>
          <w:p>
            <w:pPr>
              <w:jc w:val="right"/>
              <w:ind w:right="292"/>
              <w:spacing w:after="0"/>
              <w:rPr>
                <w:sz w:val="20"/>
                <w:szCs w:val="20"/>
                <w:color w:val="auto"/>
              </w:rPr>
            </w:pPr>
            <w:r>
              <w:rPr>
                <w:rFonts w:ascii="Arial" w:cs="Arial" w:eastAsia="Arial" w:hAnsi="Arial"/>
                <w:sz w:val="10"/>
                <w:szCs w:val="10"/>
                <w:color w:val="auto"/>
              </w:rPr>
              <w:t>219</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112</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962</w:t>
            </w:r>
          </w:p>
        </w:tc>
        <w:tc>
          <w:tcPr>
            <w:tcW w:w="280" w:type="dxa"/>
            <w:vAlign w:val="bottom"/>
          </w:tcPr>
          <w:p>
            <w:pPr>
              <w:spacing w:after="0"/>
              <w:rPr>
                <w:sz w:val="10"/>
                <w:szCs w:val="10"/>
                <w:color w:val="auto"/>
              </w:rPr>
            </w:pPr>
          </w:p>
        </w:tc>
      </w:tr>
      <w:tr>
        <w:trPr>
          <w:trHeight w:val="126"/>
        </w:trPr>
        <w:tc>
          <w:tcPr>
            <w:tcW w:w="3560" w:type="dxa"/>
            <w:vAlign w:val="bottom"/>
          </w:tcPr>
          <w:p>
            <w:pPr>
              <w:spacing w:after="0"/>
              <w:rPr>
                <w:sz w:val="20"/>
                <w:szCs w:val="20"/>
                <w:color w:val="auto"/>
              </w:rPr>
            </w:pPr>
            <w:r>
              <w:rPr>
                <w:rFonts w:ascii="Arial" w:cs="Arial" w:eastAsia="Arial" w:hAnsi="Arial"/>
                <w:sz w:val="10"/>
                <w:szCs w:val="10"/>
                <w:color w:val="auto"/>
              </w:rPr>
              <w:t>Exploration expenses</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281</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2,073</w:t>
            </w:r>
          </w:p>
        </w:tc>
        <w:tc>
          <w:tcPr>
            <w:tcW w:w="124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2,354</w:t>
            </w:r>
          </w:p>
        </w:tc>
        <w:tc>
          <w:tcPr>
            <w:tcW w:w="280" w:type="dxa"/>
            <w:vAlign w:val="bottom"/>
          </w:tcPr>
          <w:p>
            <w:pPr>
              <w:spacing w:after="0"/>
              <w:rPr>
                <w:sz w:val="10"/>
                <w:szCs w:val="10"/>
                <w:color w:val="auto"/>
              </w:rPr>
            </w:pPr>
          </w:p>
        </w:tc>
      </w:tr>
      <w:tr>
        <w:trPr>
          <w:trHeight w:val="126"/>
        </w:trPr>
        <w:tc>
          <w:tcPr>
            <w:tcW w:w="3560" w:type="dxa"/>
            <w:vAlign w:val="bottom"/>
          </w:tcPr>
          <w:p>
            <w:pPr>
              <w:spacing w:after="0"/>
              <w:rPr>
                <w:sz w:val="20"/>
                <w:szCs w:val="20"/>
                <w:color w:val="auto"/>
              </w:rPr>
            </w:pPr>
            <w:r>
              <w:rPr>
                <w:rFonts w:ascii="Arial" w:cs="Arial" w:eastAsia="Arial" w:hAnsi="Arial"/>
                <w:sz w:val="10"/>
                <w:szCs w:val="10"/>
                <w:color w:val="auto"/>
              </w:rPr>
              <w:t>Depreciation, depletion and amortisation charge, of which:</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6,238</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16,881</w:t>
            </w:r>
          </w:p>
        </w:tc>
        <w:tc>
          <w:tcPr>
            <w:tcW w:w="1240" w:type="dxa"/>
            <w:vAlign w:val="bottom"/>
          </w:tcPr>
          <w:p>
            <w:pPr>
              <w:jc w:val="right"/>
              <w:ind w:right="292"/>
              <w:spacing w:after="0"/>
              <w:rPr>
                <w:sz w:val="20"/>
                <w:szCs w:val="20"/>
                <w:color w:val="auto"/>
              </w:rPr>
            </w:pPr>
            <w:r>
              <w:rPr>
                <w:rFonts w:ascii="Arial" w:cs="Arial" w:eastAsia="Arial" w:hAnsi="Arial"/>
                <w:sz w:val="10"/>
                <w:szCs w:val="10"/>
                <w:color w:val="auto"/>
              </w:rPr>
              <w:t>4,461</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1,074</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47</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28,701</w:t>
            </w:r>
          </w:p>
        </w:tc>
        <w:tc>
          <w:tcPr>
            <w:tcW w:w="280" w:type="dxa"/>
            <w:vAlign w:val="bottom"/>
          </w:tcPr>
          <w:p>
            <w:pPr>
              <w:spacing w:after="0"/>
              <w:rPr>
                <w:sz w:val="10"/>
                <w:szCs w:val="10"/>
                <w:color w:val="auto"/>
              </w:rPr>
            </w:pPr>
          </w:p>
        </w:tc>
      </w:tr>
      <w:tr>
        <w:trPr>
          <w:trHeight w:val="126"/>
        </w:trPr>
        <w:tc>
          <w:tcPr>
            <w:tcW w:w="3560" w:type="dxa"/>
            <w:vAlign w:val="bottom"/>
          </w:tcPr>
          <w:p>
            <w:pPr>
              <w:ind w:left="140"/>
              <w:spacing w:after="0"/>
              <w:rPr>
                <w:sz w:val="20"/>
                <w:szCs w:val="20"/>
                <w:color w:val="auto"/>
              </w:rPr>
            </w:pPr>
            <w:r>
              <w:rPr>
                <w:rFonts w:ascii="Arial" w:cs="Arial" w:eastAsia="Arial" w:hAnsi="Arial"/>
                <w:sz w:val="10"/>
                <w:szCs w:val="10"/>
                <w:color w:val="auto"/>
              </w:rPr>
              <w:t>Impairment losses</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579</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2,576</w:t>
            </w:r>
          </w:p>
        </w:tc>
        <w:tc>
          <w:tcPr>
            <w:tcW w:w="1240" w:type="dxa"/>
            <w:vAlign w:val="bottom"/>
          </w:tcPr>
          <w:p>
            <w:pPr>
              <w:jc w:val="right"/>
              <w:ind w:right="292"/>
              <w:spacing w:after="0"/>
              <w:rPr>
                <w:sz w:val="20"/>
                <w:szCs w:val="20"/>
                <w:color w:val="auto"/>
              </w:rPr>
            </w:pPr>
            <w:r>
              <w:rPr>
                <w:rFonts w:ascii="Arial" w:cs="Arial" w:eastAsia="Arial" w:hAnsi="Arial"/>
                <w:sz w:val="10"/>
                <w:szCs w:val="10"/>
                <w:color w:val="auto"/>
              </w:rPr>
              <w:t>622</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5</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3,782</w:t>
            </w:r>
          </w:p>
        </w:tc>
        <w:tc>
          <w:tcPr>
            <w:tcW w:w="280" w:type="dxa"/>
            <w:vAlign w:val="bottom"/>
          </w:tcPr>
          <w:p>
            <w:pPr>
              <w:jc w:val="right"/>
              <w:spacing w:after="0"/>
              <w:rPr>
                <w:sz w:val="20"/>
                <w:szCs w:val="20"/>
                <w:color w:val="auto"/>
              </w:rPr>
            </w:pPr>
            <w:r>
              <w:rPr>
                <w:rFonts w:ascii="Arial" w:cs="Arial" w:eastAsia="Arial" w:hAnsi="Arial"/>
                <w:sz w:val="10"/>
                <w:szCs w:val="10"/>
                <w:color w:val="auto"/>
              </w:rPr>
              <w:t>[C]</w:t>
            </w:r>
          </w:p>
        </w:tc>
      </w:tr>
      <w:tr>
        <w:trPr>
          <w:trHeight w:val="126"/>
        </w:trPr>
        <w:tc>
          <w:tcPr>
            <w:tcW w:w="3560" w:type="dxa"/>
            <w:vAlign w:val="bottom"/>
          </w:tcPr>
          <w:p>
            <w:pPr>
              <w:ind w:left="140"/>
              <w:spacing w:after="0"/>
              <w:rPr>
                <w:sz w:val="20"/>
                <w:szCs w:val="20"/>
                <w:color w:val="auto"/>
              </w:rPr>
            </w:pPr>
            <w:r>
              <w:rPr>
                <w:rFonts w:ascii="Arial" w:cs="Arial" w:eastAsia="Arial" w:hAnsi="Arial"/>
                <w:sz w:val="10"/>
                <w:szCs w:val="10"/>
                <w:color w:val="auto"/>
              </w:rPr>
              <w:t>Impairment reversals</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272"/>
              <w:spacing w:after="0"/>
              <w:rPr>
                <w:sz w:val="20"/>
                <w:szCs w:val="20"/>
                <w:color w:val="auto"/>
              </w:rPr>
            </w:pPr>
            <w:r>
              <w:rPr>
                <w:rFonts w:ascii="Arial" w:cs="Arial" w:eastAsia="Arial" w:hAnsi="Arial"/>
                <w:sz w:val="10"/>
                <w:szCs w:val="10"/>
                <w:color w:val="auto"/>
              </w:rPr>
              <w:t>(190)</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(190)</w:t>
            </w:r>
          </w:p>
        </w:tc>
        <w:tc>
          <w:tcPr>
            <w:tcW w:w="280" w:type="dxa"/>
            <w:vAlign w:val="bottom"/>
          </w:tcPr>
          <w:p>
            <w:pPr>
              <w:jc w:val="right"/>
              <w:spacing w:after="0"/>
              <w:rPr>
                <w:sz w:val="20"/>
                <w:szCs w:val="20"/>
                <w:color w:val="auto"/>
              </w:rPr>
            </w:pPr>
            <w:r>
              <w:rPr>
                <w:rFonts w:ascii="Arial" w:cs="Arial" w:eastAsia="Arial" w:hAnsi="Arial"/>
                <w:sz w:val="10"/>
                <w:szCs w:val="10"/>
                <w:color w:val="auto"/>
              </w:rPr>
              <w:t>[D]</w:t>
            </w:r>
          </w:p>
        </w:tc>
      </w:tr>
      <w:tr>
        <w:trPr>
          <w:trHeight w:val="126"/>
        </w:trPr>
        <w:tc>
          <w:tcPr>
            <w:tcW w:w="3560" w:type="dxa"/>
            <w:vAlign w:val="bottom"/>
          </w:tcPr>
          <w:p>
            <w:pPr>
              <w:spacing w:after="0"/>
              <w:rPr>
                <w:sz w:val="20"/>
                <w:szCs w:val="20"/>
                <w:color w:val="auto"/>
              </w:rPr>
            </w:pPr>
            <w:r>
              <w:rPr>
                <w:rFonts w:ascii="Arial" w:cs="Arial" w:eastAsia="Arial" w:hAnsi="Arial"/>
                <w:sz w:val="10"/>
                <w:szCs w:val="10"/>
                <w:color w:val="auto"/>
              </w:rPr>
              <w:t>Interest expense</w:t>
            </w:r>
          </w:p>
        </w:tc>
        <w:tc>
          <w:tcPr>
            <w:tcW w:w="1620" w:type="dxa"/>
            <w:vAlign w:val="bottom"/>
          </w:tcPr>
          <w:p>
            <w:pPr>
              <w:jc w:val="right"/>
              <w:ind w:right="312"/>
              <w:spacing w:after="0"/>
              <w:rPr>
                <w:sz w:val="20"/>
                <w:szCs w:val="20"/>
                <w:color w:val="auto"/>
              </w:rPr>
            </w:pPr>
            <w:r>
              <w:rPr>
                <w:rFonts w:ascii="Arial" w:cs="Arial" w:eastAsia="Arial" w:hAnsi="Arial"/>
                <w:sz w:val="10"/>
                <w:szCs w:val="10"/>
                <w:color w:val="auto"/>
              </w:rPr>
              <w:t>104</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526</w:t>
            </w:r>
          </w:p>
        </w:tc>
        <w:tc>
          <w:tcPr>
            <w:tcW w:w="1240" w:type="dxa"/>
            <w:vAlign w:val="bottom"/>
          </w:tcPr>
          <w:p>
            <w:pPr>
              <w:jc w:val="right"/>
              <w:ind w:right="292"/>
              <w:spacing w:after="0"/>
              <w:rPr>
                <w:sz w:val="20"/>
                <w:szCs w:val="20"/>
                <w:color w:val="auto"/>
              </w:rPr>
            </w:pPr>
            <w:r>
              <w:rPr>
                <w:rFonts w:ascii="Arial" w:cs="Arial" w:eastAsia="Arial" w:hAnsi="Arial"/>
                <w:sz w:val="10"/>
                <w:szCs w:val="10"/>
                <w:color w:val="auto"/>
              </w:rPr>
              <w:t>77</w:t>
            </w:r>
          </w:p>
        </w:tc>
        <w:tc>
          <w:tcPr>
            <w:tcW w:w="1300" w:type="dxa"/>
            <w:vAlign w:val="bottom"/>
          </w:tcPr>
          <w:p>
            <w:pPr>
              <w:jc w:val="right"/>
              <w:ind w:right="392"/>
              <w:spacing w:after="0"/>
              <w:rPr>
                <w:sz w:val="20"/>
                <w:szCs w:val="20"/>
                <w:color w:val="auto"/>
              </w:rPr>
            </w:pPr>
            <w:r>
              <w:rPr>
                <w:rFonts w:ascii="Arial" w:cs="Arial" w:eastAsia="Arial" w:hAnsi="Arial"/>
                <w:sz w:val="10"/>
                <w:szCs w:val="10"/>
                <w:color w:val="auto"/>
              </w:rPr>
              <w:t>5</w:t>
            </w:r>
          </w:p>
        </w:tc>
        <w:tc>
          <w:tcPr>
            <w:tcW w:w="1220" w:type="dxa"/>
            <w:vAlign w:val="bottom"/>
          </w:tcPr>
          <w:p>
            <w:pPr>
              <w:jc w:val="right"/>
              <w:ind w:right="412"/>
              <w:spacing w:after="0"/>
              <w:rPr>
                <w:sz w:val="20"/>
                <w:szCs w:val="20"/>
                <w:color w:val="auto"/>
              </w:rPr>
            </w:pPr>
            <w:r>
              <w:rPr>
                <w:rFonts w:ascii="Arial" w:cs="Arial" w:eastAsia="Arial" w:hAnsi="Arial"/>
                <w:sz w:val="10"/>
                <w:szCs w:val="10"/>
                <w:color w:val="auto"/>
              </w:rPr>
              <w:t>3,978</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4,690</w:t>
            </w:r>
          </w:p>
        </w:tc>
        <w:tc>
          <w:tcPr>
            <w:tcW w:w="280" w:type="dxa"/>
            <w:vAlign w:val="bottom"/>
          </w:tcPr>
          <w:p>
            <w:pPr>
              <w:spacing w:after="0"/>
              <w:rPr>
                <w:sz w:val="10"/>
                <w:szCs w:val="10"/>
                <w:color w:val="auto"/>
              </w:rPr>
            </w:pPr>
          </w:p>
        </w:tc>
      </w:tr>
      <w:tr>
        <w:trPr>
          <w:trHeight w:val="130"/>
        </w:trPr>
        <w:tc>
          <w:tcPr>
            <w:tcW w:w="35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Taxation charge/(credit) (CCS basis)</w:t>
            </w:r>
          </w:p>
        </w:tc>
        <w:tc>
          <w:tcPr>
            <w:tcW w:w="16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2,242</w:t>
            </w: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5,878</w:t>
            </w:r>
          </w:p>
        </w:tc>
        <w:tc>
          <w:tcPr>
            <w:tcW w:w="12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1,319</w:t>
            </w: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(2)</w:t>
            </w: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(578)</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8,859</w:t>
            </w:r>
          </w:p>
        </w:tc>
        <w:tc>
          <w:tcPr>
            <w:tcW w:w="280" w:type="dxa"/>
            <w:vAlign w:val="bottom"/>
            <w:tcBorders>
              <w:bottom w:val="single" w:sz="8" w:color="auto"/>
            </w:tcBorders>
          </w:tcPr>
          <w:p>
            <w:pPr>
              <w:spacing w:after="0"/>
              <w:rPr>
                <w:sz w:val="11"/>
                <w:szCs w:val="11"/>
                <w:color w:val="auto"/>
              </w:rPr>
            </w:pPr>
          </w:p>
        </w:tc>
      </w:tr>
      <w:tr>
        <w:trPr>
          <w:trHeight w:val="117"/>
        </w:trPr>
        <w:tc>
          <w:tcPr>
            <w:tcW w:w="35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CCS earnings</w:t>
            </w:r>
          </w:p>
        </w:tc>
        <w:tc>
          <w:tcPr>
            <w:tcW w:w="16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8,628</w:t>
            </w: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3,855</w:t>
            </w:r>
          </w:p>
        </w:tc>
        <w:tc>
          <w:tcPr>
            <w:tcW w:w="12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6,139</w:t>
            </w: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478</w:t>
            </w: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(3,273)</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15,827</w:t>
            </w:r>
          </w:p>
        </w:tc>
        <w:tc>
          <w:tcPr>
            <w:tcW w:w="280" w:type="dxa"/>
            <w:vAlign w:val="bottom"/>
            <w:tcBorders>
              <w:bottom w:val="single" w:sz="8" w:color="auto"/>
            </w:tcBorders>
          </w:tcPr>
          <w:p>
            <w:pPr>
              <w:spacing w:after="0"/>
              <w:rPr>
                <w:sz w:val="10"/>
                <w:szCs w:val="10"/>
                <w:color w:val="auto"/>
              </w:rPr>
            </w:pPr>
          </w:p>
        </w:tc>
      </w:tr>
    </w:tbl>
    <w:p>
      <w:pPr>
        <w:spacing w:after="0" w:line="155" w:lineRule="exact"/>
        <w:rPr>
          <w:sz w:val="20"/>
          <w:szCs w:val="20"/>
          <w:color w:val="auto"/>
        </w:rPr>
      </w:pPr>
    </w:p>
    <w:p>
      <w:pPr>
        <w:ind w:left="128" w:hanging="128"/>
        <w:spacing w:after="0"/>
        <w:tabs>
          <w:tab w:leader="none" w:pos="128" w:val="left"/>
        </w:tabs>
        <w:numPr>
          <w:ilvl w:val="0"/>
          <w:numId w:val="170"/>
        </w:numPr>
        <w:rPr>
          <w:rFonts w:ascii="Arial" w:cs="Arial" w:eastAsia="Arial" w:hAnsi="Arial"/>
          <w:sz w:val="7"/>
          <w:szCs w:val="7"/>
          <w:color w:val="auto"/>
        </w:rPr>
      </w:pPr>
      <w:r>
        <w:rPr>
          <w:rFonts w:ascii="Arial" w:cs="Arial" w:eastAsia="Arial" w:hAnsi="Arial"/>
          <w:sz w:val="7"/>
          <w:szCs w:val="7"/>
          <w:color w:val="auto"/>
        </w:rPr>
        <w:t>Revised to conform with reporting segment changes applicable from 2020.</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70"/>
        </w:numPr>
        <w:rPr>
          <w:rFonts w:ascii="Arial" w:cs="Arial" w:eastAsia="Arial" w:hAnsi="Arial"/>
          <w:sz w:val="7"/>
          <w:szCs w:val="7"/>
          <w:color w:val="auto"/>
        </w:rPr>
      </w:pPr>
      <w:r>
        <w:rPr>
          <w:rFonts w:ascii="Arial" w:cs="Arial" w:eastAsia="Arial" w:hAnsi="Arial"/>
          <w:sz w:val="7"/>
          <w:szCs w:val="7"/>
          <w:color w:val="auto"/>
        </w:rPr>
        <w:t>Includes $3,760 million of revenue from sources other than from contracts with customers, which mainly comprises the impact of fair value accounting of commodity derivatives.</w:t>
      </w:r>
    </w:p>
    <w:p>
      <w:pPr>
        <w:ind w:left="108" w:hanging="108"/>
        <w:spacing w:after="0"/>
        <w:tabs>
          <w:tab w:leader="none" w:pos="108" w:val="left"/>
        </w:tabs>
        <w:numPr>
          <w:ilvl w:val="0"/>
          <w:numId w:val="170"/>
        </w:numPr>
        <w:rPr>
          <w:rFonts w:ascii="Arial" w:cs="Arial" w:eastAsia="Arial" w:hAnsi="Arial"/>
          <w:sz w:val="7"/>
          <w:szCs w:val="7"/>
          <w:color w:val="auto"/>
        </w:rPr>
      </w:pPr>
      <w:r>
        <w:rPr>
          <w:rFonts w:ascii="Arial" w:cs="Arial" w:eastAsia="Arial" w:hAnsi="Arial"/>
          <w:sz w:val="7"/>
          <w:szCs w:val="7"/>
          <w:color w:val="auto"/>
        </w:rPr>
        <w:t>Impairment losses comprise Property, plant and equipment ($3,639 million) and Intangible assets ($143 million).</w:t>
      </w:r>
    </w:p>
    <w:p>
      <w:pPr>
        <w:ind w:left="128" w:hanging="128"/>
        <w:spacing w:after="0"/>
        <w:tabs>
          <w:tab w:leader="none" w:pos="128" w:val="left"/>
        </w:tabs>
        <w:numPr>
          <w:ilvl w:val="0"/>
          <w:numId w:val="170"/>
        </w:numPr>
        <w:rPr>
          <w:rFonts w:ascii="Arial" w:cs="Arial" w:eastAsia="Arial" w:hAnsi="Arial"/>
          <w:sz w:val="7"/>
          <w:szCs w:val="7"/>
          <w:color w:val="auto"/>
        </w:rPr>
      </w:pPr>
      <w:r>
        <w:rPr>
          <w:rFonts w:ascii="Arial" w:cs="Arial" w:eastAsia="Arial" w:hAnsi="Arial"/>
          <w:sz w:val="7"/>
          <w:szCs w:val="7"/>
          <w:color w:val="auto"/>
        </w:rPr>
        <w:t>See Note 8.</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62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2018</w:t>
            </w:r>
          </w:p>
        </w:tc>
        <w:tc>
          <w:tcPr>
            <w:tcW w:w="1420" w:type="dxa"/>
            <w:vAlign w:val="bottom"/>
            <w:tcBorders>
              <w:top w:val="single" w:sz="8" w:color="CDCDCD"/>
            </w:tcBorders>
          </w:tcPr>
          <w:p>
            <w:pPr>
              <w:spacing w:after="0"/>
              <w:rPr>
                <w:sz w:val="13"/>
                <w:szCs w:val="13"/>
                <w:color w:val="auto"/>
              </w:rPr>
            </w:pPr>
          </w:p>
        </w:tc>
        <w:tc>
          <w:tcPr>
            <w:tcW w:w="1180" w:type="dxa"/>
            <w:vAlign w:val="bottom"/>
            <w:tcBorders>
              <w:top w:val="single" w:sz="8" w:color="CDCDCD"/>
            </w:tcBorders>
          </w:tcPr>
          <w:p>
            <w:pPr>
              <w:spacing w:after="0"/>
              <w:rPr>
                <w:sz w:val="13"/>
                <w:szCs w:val="13"/>
                <w:color w:val="auto"/>
              </w:rPr>
            </w:pPr>
          </w:p>
        </w:tc>
        <w:tc>
          <w:tcPr>
            <w:tcW w:w="128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spacing w:after="0"/>
              <w:rPr>
                <w:sz w:val="13"/>
                <w:szCs w:val="13"/>
                <w:color w:val="auto"/>
              </w:rPr>
            </w:pPr>
          </w:p>
        </w:tc>
        <w:tc>
          <w:tcPr>
            <w:tcW w:w="1260" w:type="dxa"/>
            <w:vAlign w:val="bottom"/>
            <w:tcBorders>
              <w:top w:val="single" w:sz="8" w:color="CDCDCD"/>
            </w:tcBorders>
          </w:tcPr>
          <w:p>
            <w:pPr>
              <w:spacing w:after="0"/>
              <w:rPr>
                <w:sz w:val="13"/>
                <w:szCs w:val="13"/>
                <w:color w:val="auto"/>
              </w:rPr>
            </w:pPr>
          </w:p>
        </w:tc>
        <w:tc>
          <w:tcPr>
            <w:tcW w:w="82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400" w:type="dxa"/>
            <w:vAlign w:val="bottom"/>
            <w:tcBorders>
              <w:top w:val="single" w:sz="8" w:color="CDCDCD"/>
            </w:tcBorders>
          </w:tcPr>
          <w:p>
            <w:pPr>
              <w:spacing w:after="0"/>
              <w:rPr>
                <w:sz w:val="13"/>
                <w:szCs w:val="13"/>
                <w:color w:val="auto"/>
              </w:rPr>
            </w:pPr>
          </w:p>
        </w:tc>
      </w:tr>
      <w:tr>
        <w:trPr>
          <w:trHeight w:val="127"/>
        </w:trPr>
        <w:tc>
          <w:tcPr>
            <w:tcW w:w="36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Integrated Gas</w:t>
            </w: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0"/>
                <w:szCs w:val="10"/>
                <w:color w:val="auto"/>
              </w:rPr>
              <w:t>Upstream [A]</w:t>
            </w: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Oil Products [A]</w:t>
            </w:r>
          </w:p>
        </w:tc>
        <w:tc>
          <w:tcPr>
            <w:tcW w:w="132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Chemicals [A]</w:t>
            </w: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Corporate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c>
          <w:tcPr>
            <w:tcW w:w="400" w:type="dxa"/>
            <w:vAlign w:val="bottom"/>
            <w:tcBorders>
              <w:bottom w:val="single" w:sz="8" w:color="auto"/>
            </w:tcBorders>
          </w:tcPr>
          <w:p>
            <w:pPr>
              <w:spacing w:after="0"/>
              <w:rPr>
                <w:sz w:val="11"/>
                <w:szCs w:val="11"/>
                <w:color w:val="auto"/>
              </w:rPr>
            </w:pPr>
          </w:p>
        </w:tc>
      </w:tr>
      <w:tr>
        <w:trPr>
          <w:trHeight w:val="114"/>
        </w:trPr>
        <w:tc>
          <w:tcPr>
            <w:tcW w:w="3620" w:type="dxa"/>
            <w:vAlign w:val="bottom"/>
          </w:tcPr>
          <w:p>
            <w:pPr>
              <w:spacing w:after="0"/>
              <w:rPr>
                <w:sz w:val="20"/>
                <w:szCs w:val="20"/>
                <w:color w:val="auto"/>
              </w:rPr>
            </w:pPr>
            <w:r>
              <w:rPr>
                <w:rFonts w:ascii="Arial" w:cs="Arial" w:eastAsia="Arial" w:hAnsi="Arial"/>
                <w:sz w:val="10"/>
                <w:szCs w:val="10"/>
                <w:color w:val="auto"/>
              </w:rPr>
              <w:t>Revenue:</w:t>
            </w:r>
          </w:p>
        </w:tc>
        <w:tc>
          <w:tcPr>
            <w:tcW w:w="1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123"/>
        </w:trPr>
        <w:tc>
          <w:tcPr>
            <w:tcW w:w="3620" w:type="dxa"/>
            <w:vAlign w:val="bottom"/>
          </w:tcPr>
          <w:p>
            <w:pPr>
              <w:ind w:left="80"/>
              <w:spacing w:after="0"/>
              <w:rPr>
                <w:sz w:val="20"/>
                <w:szCs w:val="20"/>
                <w:color w:val="auto"/>
              </w:rPr>
            </w:pPr>
            <w:r>
              <w:rPr>
                <w:rFonts w:ascii="Arial" w:cs="Arial" w:eastAsia="Arial" w:hAnsi="Arial"/>
                <w:sz w:val="10"/>
                <w:szCs w:val="10"/>
                <w:color w:val="auto"/>
              </w:rPr>
              <w:t>Third-party</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43,764</w:t>
            </w:r>
          </w:p>
        </w:tc>
        <w:tc>
          <w:tcPr>
            <w:tcW w:w="1180" w:type="dxa"/>
            <w:vAlign w:val="bottom"/>
          </w:tcPr>
          <w:p>
            <w:pPr>
              <w:jc w:val="right"/>
              <w:ind w:right="273"/>
              <w:spacing w:after="0"/>
              <w:rPr>
                <w:sz w:val="20"/>
                <w:szCs w:val="20"/>
                <w:color w:val="auto"/>
              </w:rPr>
            </w:pPr>
            <w:r>
              <w:rPr>
                <w:rFonts w:ascii="Arial" w:cs="Arial" w:eastAsia="Arial" w:hAnsi="Arial"/>
                <w:sz w:val="10"/>
                <w:szCs w:val="10"/>
                <w:color w:val="auto"/>
              </w:rPr>
              <w:t>9,459</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316,409</w:t>
            </w:r>
          </w:p>
        </w:tc>
        <w:tc>
          <w:tcPr>
            <w:tcW w:w="1320" w:type="dxa"/>
            <w:vAlign w:val="bottom"/>
          </w:tcPr>
          <w:p>
            <w:pPr>
              <w:jc w:val="right"/>
              <w:ind w:right="412"/>
              <w:spacing w:after="0"/>
              <w:rPr>
                <w:sz w:val="20"/>
                <w:szCs w:val="20"/>
                <w:color w:val="auto"/>
              </w:rPr>
            </w:pPr>
            <w:r>
              <w:rPr>
                <w:rFonts w:ascii="Arial" w:cs="Arial" w:eastAsia="Arial" w:hAnsi="Arial"/>
                <w:sz w:val="10"/>
                <w:szCs w:val="10"/>
                <w:color w:val="auto"/>
              </w:rPr>
              <w:t>18,704</w:t>
            </w:r>
          </w:p>
        </w:tc>
        <w:tc>
          <w:tcPr>
            <w:tcW w:w="1260" w:type="dxa"/>
            <w:vAlign w:val="bottom"/>
          </w:tcPr>
          <w:p>
            <w:pPr>
              <w:jc w:val="right"/>
              <w:ind w:right="432"/>
              <w:spacing w:after="0"/>
              <w:rPr>
                <w:sz w:val="20"/>
                <w:szCs w:val="20"/>
                <w:color w:val="auto"/>
              </w:rPr>
            </w:pPr>
            <w:r>
              <w:rPr>
                <w:rFonts w:ascii="Arial" w:cs="Arial" w:eastAsia="Arial" w:hAnsi="Arial"/>
                <w:sz w:val="10"/>
                <w:szCs w:val="10"/>
                <w:color w:val="auto"/>
              </w:rPr>
              <w:t>43</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388,379</w:t>
            </w:r>
          </w:p>
        </w:tc>
        <w:tc>
          <w:tcPr>
            <w:tcW w:w="400" w:type="dxa"/>
            <w:vAlign w:val="bottom"/>
          </w:tcPr>
          <w:p>
            <w:pPr>
              <w:jc w:val="right"/>
              <w:ind w:right="212"/>
              <w:spacing w:after="0"/>
              <w:rPr>
                <w:sz w:val="20"/>
                <w:szCs w:val="20"/>
                <w:color w:val="auto"/>
              </w:rPr>
            </w:pPr>
            <w:r>
              <w:rPr>
                <w:rFonts w:ascii="Arial" w:cs="Arial" w:eastAsia="Arial" w:hAnsi="Arial"/>
                <w:sz w:val="10"/>
                <w:szCs w:val="10"/>
                <w:color w:val="auto"/>
                <w:w w:val="97"/>
              </w:rPr>
              <w:t>[B]</w:t>
            </w:r>
          </w:p>
        </w:tc>
      </w:tr>
      <w:tr>
        <w:trPr>
          <w:trHeight w:val="126"/>
        </w:trPr>
        <w:tc>
          <w:tcPr>
            <w:tcW w:w="3620" w:type="dxa"/>
            <w:vAlign w:val="bottom"/>
          </w:tcPr>
          <w:p>
            <w:pPr>
              <w:ind w:left="80"/>
              <w:spacing w:after="0"/>
              <w:rPr>
                <w:sz w:val="20"/>
                <w:szCs w:val="20"/>
                <w:color w:val="auto"/>
              </w:rPr>
            </w:pPr>
            <w:r>
              <w:rPr>
                <w:rFonts w:ascii="Arial" w:cs="Arial" w:eastAsia="Arial" w:hAnsi="Arial"/>
                <w:sz w:val="10"/>
                <w:szCs w:val="10"/>
                <w:color w:val="auto"/>
              </w:rPr>
              <w:t>Inter-segment</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5,031</w:t>
            </w:r>
          </w:p>
        </w:tc>
        <w:tc>
          <w:tcPr>
            <w:tcW w:w="1180" w:type="dxa"/>
            <w:vAlign w:val="bottom"/>
          </w:tcPr>
          <w:p>
            <w:pPr>
              <w:jc w:val="right"/>
              <w:ind w:right="273"/>
              <w:spacing w:after="0"/>
              <w:rPr>
                <w:sz w:val="20"/>
                <w:szCs w:val="20"/>
                <w:color w:val="auto"/>
              </w:rPr>
            </w:pPr>
            <w:r>
              <w:rPr>
                <w:rFonts w:ascii="Arial" w:cs="Arial" w:eastAsia="Arial" w:hAnsi="Arial"/>
                <w:sz w:val="10"/>
                <w:szCs w:val="10"/>
                <w:color w:val="auto"/>
              </w:rPr>
              <w:t>37,125</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10,613</w:t>
            </w:r>
          </w:p>
        </w:tc>
        <w:tc>
          <w:tcPr>
            <w:tcW w:w="1320" w:type="dxa"/>
            <w:vAlign w:val="bottom"/>
          </w:tcPr>
          <w:p>
            <w:pPr>
              <w:jc w:val="right"/>
              <w:ind w:right="412"/>
              <w:spacing w:after="0"/>
              <w:rPr>
                <w:sz w:val="20"/>
                <w:szCs w:val="20"/>
                <w:color w:val="auto"/>
              </w:rPr>
            </w:pPr>
            <w:r>
              <w:rPr>
                <w:rFonts w:ascii="Arial" w:cs="Arial" w:eastAsia="Arial" w:hAnsi="Arial"/>
                <w:sz w:val="10"/>
                <w:szCs w:val="10"/>
                <w:color w:val="auto"/>
              </w:rPr>
              <w:t>4,864</w:t>
            </w:r>
          </w:p>
        </w:tc>
        <w:tc>
          <w:tcPr>
            <w:tcW w:w="1260" w:type="dxa"/>
            <w:vAlign w:val="bottom"/>
          </w:tcPr>
          <w:p>
            <w:pPr>
              <w:jc w:val="right"/>
              <w:ind w:right="43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57,633</w:t>
            </w:r>
          </w:p>
        </w:tc>
        <w:tc>
          <w:tcPr>
            <w:tcW w:w="400" w:type="dxa"/>
            <w:vAlign w:val="bottom"/>
          </w:tcPr>
          <w:p>
            <w:pPr>
              <w:spacing w:after="0"/>
              <w:rPr>
                <w:sz w:val="10"/>
                <w:szCs w:val="10"/>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Share of profit/(loss) of joint ventures and associates (CCS basis)</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2,273</w:t>
            </w:r>
          </w:p>
        </w:tc>
        <w:tc>
          <w:tcPr>
            <w:tcW w:w="1180" w:type="dxa"/>
            <w:vAlign w:val="bottom"/>
          </w:tcPr>
          <w:p>
            <w:pPr>
              <w:jc w:val="right"/>
              <w:ind w:right="273"/>
              <w:spacing w:after="0"/>
              <w:rPr>
                <w:sz w:val="20"/>
                <w:szCs w:val="20"/>
                <w:color w:val="auto"/>
              </w:rPr>
            </w:pPr>
            <w:r>
              <w:rPr>
                <w:rFonts w:ascii="Arial" w:cs="Arial" w:eastAsia="Arial" w:hAnsi="Arial"/>
                <w:sz w:val="10"/>
                <w:szCs w:val="10"/>
                <w:color w:val="auto"/>
              </w:rPr>
              <w:t>285</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1,101</w:t>
            </w:r>
          </w:p>
        </w:tc>
        <w:tc>
          <w:tcPr>
            <w:tcW w:w="1320" w:type="dxa"/>
            <w:vAlign w:val="bottom"/>
          </w:tcPr>
          <w:p>
            <w:pPr>
              <w:jc w:val="right"/>
              <w:ind w:right="412"/>
              <w:spacing w:after="0"/>
              <w:rPr>
                <w:sz w:val="20"/>
                <w:szCs w:val="20"/>
                <w:color w:val="auto"/>
              </w:rPr>
            </w:pPr>
            <w:r>
              <w:rPr>
                <w:rFonts w:ascii="Arial" w:cs="Arial" w:eastAsia="Arial" w:hAnsi="Arial"/>
                <w:sz w:val="10"/>
                <w:szCs w:val="10"/>
                <w:color w:val="auto"/>
              </w:rPr>
              <w:t>684</w:t>
            </w:r>
          </w:p>
        </w:tc>
        <w:tc>
          <w:tcPr>
            <w:tcW w:w="1260" w:type="dxa"/>
            <w:vAlign w:val="bottom"/>
          </w:tcPr>
          <w:p>
            <w:pPr>
              <w:jc w:val="right"/>
              <w:ind w:right="392"/>
              <w:spacing w:after="0"/>
              <w:rPr>
                <w:sz w:val="20"/>
                <w:szCs w:val="20"/>
                <w:color w:val="auto"/>
              </w:rPr>
            </w:pPr>
            <w:r>
              <w:rPr>
                <w:rFonts w:ascii="Arial" w:cs="Arial" w:eastAsia="Arial" w:hAnsi="Arial"/>
                <w:sz w:val="10"/>
                <w:szCs w:val="10"/>
                <w:color w:val="auto"/>
              </w:rPr>
              <w:t>(222)</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4,121</w:t>
            </w:r>
          </w:p>
        </w:tc>
        <w:tc>
          <w:tcPr>
            <w:tcW w:w="400" w:type="dxa"/>
            <w:vAlign w:val="bottom"/>
          </w:tcPr>
          <w:p>
            <w:pPr>
              <w:spacing w:after="0"/>
              <w:rPr>
                <w:sz w:val="10"/>
                <w:szCs w:val="10"/>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Interest and other income, of which:</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2,230</w:t>
            </w:r>
          </w:p>
        </w:tc>
        <w:tc>
          <w:tcPr>
            <w:tcW w:w="1180" w:type="dxa"/>
            <w:vAlign w:val="bottom"/>
          </w:tcPr>
          <w:p>
            <w:pPr>
              <w:jc w:val="right"/>
              <w:ind w:right="273"/>
              <w:spacing w:after="0"/>
              <w:rPr>
                <w:sz w:val="20"/>
                <w:szCs w:val="20"/>
                <w:color w:val="auto"/>
              </w:rPr>
            </w:pPr>
            <w:r>
              <w:rPr>
                <w:rFonts w:ascii="Arial" w:cs="Arial" w:eastAsia="Arial" w:hAnsi="Arial"/>
                <w:sz w:val="10"/>
                <w:szCs w:val="10"/>
                <w:color w:val="auto"/>
              </w:rPr>
              <w:t>605</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393</w:t>
            </w:r>
          </w:p>
        </w:tc>
        <w:tc>
          <w:tcPr>
            <w:tcW w:w="1320" w:type="dxa"/>
            <w:vAlign w:val="bottom"/>
          </w:tcPr>
          <w:p>
            <w:pPr>
              <w:jc w:val="right"/>
              <w:ind w:right="392"/>
              <w:spacing w:after="0"/>
              <w:rPr>
                <w:sz w:val="20"/>
                <w:szCs w:val="20"/>
                <w:color w:val="auto"/>
              </w:rPr>
            </w:pPr>
            <w:r>
              <w:rPr>
                <w:rFonts w:ascii="Arial" w:cs="Arial" w:eastAsia="Arial" w:hAnsi="Arial"/>
                <w:sz w:val="10"/>
                <w:szCs w:val="10"/>
                <w:color w:val="auto"/>
              </w:rPr>
              <w:t>(53)</w:t>
            </w:r>
          </w:p>
        </w:tc>
        <w:tc>
          <w:tcPr>
            <w:tcW w:w="1260" w:type="dxa"/>
            <w:vAlign w:val="bottom"/>
          </w:tcPr>
          <w:p>
            <w:pPr>
              <w:jc w:val="right"/>
              <w:ind w:right="432"/>
              <w:spacing w:after="0"/>
              <w:rPr>
                <w:sz w:val="20"/>
                <w:szCs w:val="20"/>
                <w:color w:val="auto"/>
              </w:rPr>
            </w:pPr>
            <w:r>
              <w:rPr>
                <w:rFonts w:ascii="Arial" w:cs="Arial" w:eastAsia="Arial" w:hAnsi="Arial"/>
                <w:sz w:val="10"/>
                <w:szCs w:val="10"/>
                <w:color w:val="auto"/>
              </w:rPr>
              <w:t>896</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4,071</w:t>
            </w:r>
          </w:p>
        </w:tc>
        <w:tc>
          <w:tcPr>
            <w:tcW w:w="400" w:type="dxa"/>
            <w:vAlign w:val="bottom"/>
          </w:tcPr>
          <w:p>
            <w:pPr>
              <w:spacing w:after="0"/>
              <w:rPr>
                <w:sz w:val="10"/>
                <w:szCs w:val="10"/>
                <w:color w:val="auto"/>
              </w:rPr>
            </w:pPr>
          </w:p>
        </w:tc>
      </w:tr>
      <w:tr>
        <w:trPr>
          <w:trHeight w:val="126"/>
        </w:trPr>
        <w:tc>
          <w:tcPr>
            <w:tcW w:w="3620" w:type="dxa"/>
            <w:vAlign w:val="bottom"/>
          </w:tcPr>
          <w:p>
            <w:pPr>
              <w:ind w:left="80"/>
              <w:spacing w:after="0"/>
              <w:rPr>
                <w:sz w:val="20"/>
                <w:szCs w:val="20"/>
                <w:color w:val="auto"/>
              </w:rPr>
            </w:pPr>
            <w:r>
              <w:rPr>
                <w:rFonts w:ascii="Arial" w:cs="Arial" w:eastAsia="Arial" w:hAnsi="Arial"/>
                <w:sz w:val="10"/>
                <w:szCs w:val="10"/>
                <w:color w:val="auto"/>
              </w:rPr>
              <w:t>Interest income</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273"/>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432"/>
              <w:spacing w:after="0"/>
              <w:rPr>
                <w:sz w:val="20"/>
                <w:szCs w:val="20"/>
                <w:color w:val="auto"/>
              </w:rPr>
            </w:pPr>
            <w:r>
              <w:rPr>
                <w:rFonts w:ascii="Arial" w:cs="Arial" w:eastAsia="Arial" w:hAnsi="Arial"/>
                <w:sz w:val="10"/>
                <w:szCs w:val="10"/>
                <w:color w:val="auto"/>
              </w:rPr>
              <w:t>772</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772</w:t>
            </w:r>
          </w:p>
        </w:tc>
        <w:tc>
          <w:tcPr>
            <w:tcW w:w="400" w:type="dxa"/>
            <w:vAlign w:val="bottom"/>
          </w:tcPr>
          <w:p>
            <w:pPr>
              <w:spacing w:after="0"/>
              <w:rPr>
                <w:sz w:val="10"/>
                <w:szCs w:val="10"/>
                <w:color w:val="auto"/>
              </w:rPr>
            </w:pPr>
          </w:p>
        </w:tc>
      </w:tr>
      <w:tr>
        <w:trPr>
          <w:trHeight w:val="126"/>
        </w:trPr>
        <w:tc>
          <w:tcPr>
            <w:tcW w:w="3620" w:type="dxa"/>
            <w:vAlign w:val="bottom"/>
          </w:tcPr>
          <w:p>
            <w:pPr>
              <w:ind w:left="80"/>
              <w:spacing w:after="0"/>
              <w:rPr>
                <w:sz w:val="20"/>
                <w:szCs w:val="20"/>
                <w:color w:val="auto"/>
              </w:rPr>
            </w:pPr>
            <w:r>
              <w:rPr>
                <w:rFonts w:ascii="Arial" w:cs="Arial" w:eastAsia="Arial" w:hAnsi="Arial"/>
                <w:sz w:val="10"/>
                <w:szCs w:val="10"/>
                <w:color w:val="auto"/>
              </w:rPr>
              <w:t>Net gains on sale and revaluation of non-current assets and businesses</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2,231</w:t>
            </w:r>
          </w:p>
        </w:tc>
        <w:tc>
          <w:tcPr>
            <w:tcW w:w="1180" w:type="dxa"/>
            <w:vAlign w:val="bottom"/>
          </w:tcPr>
          <w:p>
            <w:pPr>
              <w:jc w:val="right"/>
              <w:ind w:right="273"/>
              <w:spacing w:after="0"/>
              <w:rPr>
                <w:sz w:val="20"/>
                <w:szCs w:val="20"/>
                <w:color w:val="auto"/>
              </w:rPr>
            </w:pPr>
            <w:r>
              <w:rPr>
                <w:rFonts w:ascii="Arial" w:cs="Arial" w:eastAsia="Arial" w:hAnsi="Arial"/>
                <w:sz w:val="10"/>
                <w:szCs w:val="10"/>
                <w:color w:val="auto"/>
              </w:rPr>
              <w:t>717</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350</w:t>
            </w:r>
          </w:p>
        </w:tc>
        <w:tc>
          <w:tcPr>
            <w:tcW w:w="1320" w:type="dxa"/>
            <w:vAlign w:val="bottom"/>
          </w:tcPr>
          <w:p>
            <w:pPr>
              <w:jc w:val="right"/>
              <w:ind w:right="392"/>
              <w:spacing w:after="0"/>
              <w:rPr>
                <w:sz w:val="20"/>
                <w:szCs w:val="20"/>
                <w:color w:val="auto"/>
              </w:rPr>
            </w:pPr>
            <w:r>
              <w:rPr>
                <w:rFonts w:ascii="Arial" w:cs="Arial" w:eastAsia="Arial" w:hAnsi="Arial"/>
                <w:sz w:val="10"/>
                <w:szCs w:val="10"/>
                <w:color w:val="auto"/>
              </w:rPr>
              <w:t>(53)</w:t>
            </w:r>
          </w:p>
        </w:tc>
        <w:tc>
          <w:tcPr>
            <w:tcW w:w="1260" w:type="dxa"/>
            <w:vAlign w:val="bottom"/>
          </w:tcPr>
          <w:p>
            <w:pPr>
              <w:jc w:val="right"/>
              <w:ind w:right="432"/>
              <w:spacing w:after="0"/>
              <w:rPr>
                <w:sz w:val="20"/>
                <w:szCs w:val="20"/>
                <w:color w:val="auto"/>
              </w:rPr>
            </w:pPr>
            <w:r>
              <w:rPr>
                <w:rFonts w:ascii="Arial" w:cs="Arial" w:eastAsia="Arial" w:hAnsi="Arial"/>
                <w:sz w:val="10"/>
                <w:szCs w:val="10"/>
                <w:color w:val="auto"/>
              </w:rPr>
              <w:t>20</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3,265</w:t>
            </w:r>
          </w:p>
        </w:tc>
        <w:tc>
          <w:tcPr>
            <w:tcW w:w="400" w:type="dxa"/>
            <w:vAlign w:val="bottom"/>
          </w:tcPr>
          <w:p>
            <w:pPr>
              <w:spacing w:after="0"/>
              <w:rPr>
                <w:sz w:val="10"/>
                <w:szCs w:val="10"/>
                <w:color w:val="auto"/>
              </w:rPr>
            </w:pPr>
          </w:p>
        </w:tc>
      </w:tr>
      <w:tr>
        <w:trPr>
          <w:trHeight w:val="130"/>
        </w:trPr>
        <w:tc>
          <w:tcPr>
            <w:tcW w:w="362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Other</w:t>
            </w:r>
          </w:p>
        </w:tc>
        <w:tc>
          <w:tcPr>
            <w:tcW w:w="1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w:t>
            </w: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0"/>
                <w:szCs w:val="10"/>
                <w:color w:val="auto"/>
              </w:rPr>
              <w:t>(112)</w:t>
            </w:r>
          </w:p>
        </w:tc>
        <w:tc>
          <w:tcPr>
            <w:tcW w:w="12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43</w:t>
            </w: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104</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34</w:t>
            </w:r>
          </w:p>
        </w:tc>
        <w:tc>
          <w:tcPr>
            <w:tcW w:w="400" w:type="dxa"/>
            <w:vAlign w:val="bottom"/>
            <w:tcBorders>
              <w:bottom w:val="single" w:sz="8" w:color="auto"/>
            </w:tcBorders>
          </w:tcPr>
          <w:p>
            <w:pPr>
              <w:spacing w:after="0"/>
              <w:rPr>
                <w:sz w:val="11"/>
                <w:szCs w:val="11"/>
                <w:color w:val="auto"/>
              </w:rPr>
            </w:pPr>
          </w:p>
        </w:tc>
      </w:tr>
      <w:tr>
        <w:trPr>
          <w:trHeight w:val="114"/>
        </w:trPr>
        <w:tc>
          <w:tcPr>
            <w:tcW w:w="3620" w:type="dxa"/>
            <w:vAlign w:val="bottom"/>
          </w:tcPr>
          <w:p>
            <w:pPr>
              <w:spacing w:after="0"/>
              <w:rPr>
                <w:sz w:val="20"/>
                <w:szCs w:val="20"/>
                <w:color w:val="auto"/>
              </w:rPr>
            </w:pPr>
            <w:r>
              <w:rPr>
                <w:rFonts w:ascii="Arial" w:cs="Arial" w:eastAsia="Arial" w:hAnsi="Arial"/>
                <w:sz w:val="10"/>
                <w:szCs w:val="10"/>
                <w:color w:val="auto"/>
              </w:rPr>
              <w:t>Third-party and inter-segment purchases (CCS basis)</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27,775</w:t>
            </w:r>
          </w:p>
        </w:tc>
        <w:tc>
          <w:tcPr>
            <w:tcW w:w="1180" w:type="dxa"/>
            <w:vAlign w:val="bottom"/>
          </w:tcPr>
          <w:p>
            <w:pPr>
              <w:jc w:val="right"/>
              <w:ind w:right="273"/>
              <w:spacing w:after="0"/>
              <w:rPr>
                <w:sz w:val="20"/>
                <w:szCs w:val="20"/>
                <w:color w:val="auto"/>
              </w:rPr>
            </w:pPr>
            <w:r>
              <w:rPr>
                <w:rFonts w:ascii="Arial" w:cs="Arial" w:eastAsia="Arial" w:hAnsi="Arial"/>
                <w:sz w:val="10"/>
                <w:szCs w:val="10"/>
                <w:color w:val="auto"/>
              </w:rPr>
              <w:t>5,948</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300,417</w:t>
            </w:r>
          </w:p>
        </w:tc>
        <w:tc>
          <w:tcPr>
            <w:tcW w:w="1320" w:type="dxa"/>
            <w:vAlign w:val="bottom"/>
          </w:tcPr>
          <w:p>
            <w:pPr>
              <w:jc w:val="right"/>
              <w:ind w:right="412"/>
              <w:spacing w:after="0"/>
              <w:rPr>
                <w:sz w:val="20"/>
                <w:szCs w:val="20"/>
                <w:color w:val="auto"/>
              </w:rPr>
            </w:pPr>
            <w:r>
              <w:rPr>
                <w:rFonts w:ascii="Arial" w:cs="Arial" w:eastAsia="Arial" w:hAnsi="Arial"/>
                <w:sz w:val="10"/>
                <w:szCs w:val="10"/>
                <w:color w:val="auto"/>
              </w:rPr>
              <w:t>17,332</w:t>
            </w:r>
          </w:p>
        </w:tc>
        <w:tc>
          <w:tcPr>
            <w:tcW w:w="1260" w:type="dxa"/>
            <w:vAlign w:val="bottom"/>
          </w:tcPr>
          <w:p>
            <w:pPr>
              <w:jc w:val="right"/>
              <w:ind w:right="432"/>
              <w:spacing w:after="0"/>
              <w:rPr>
                <w:sz w:val="20"/>
                <w:szCs w:val="20"/>
                <w:color w:val="auto"/>
              </w:rPr>
            </w:pPr>
            <w:r>
              <w:rPr>
                <w:rFonts w:ascii="Arial" w:cs="Arial" w:eastAsia="Arial" w:hAnsi="Arial"/>
                <w:sz w:val="10"/>
                <w:szCs w:val="10"/>
                <w:color w:val="auto"/>
              </w:rPr>
              <w:t>1</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351,473</w:t>
            </w:r>
          </w:p>
        </w:tc>
        <w:tc>
          <w:tcPr>
            <w:tcW w:w="400" w:type="dxa"/>
            <w:vAlign w:val="bottom"/>
          </w:tcPr>
          <w:p>
            <w:pPr>
              <w:spacing w:after="0"/>
              <w:rPr>
                <w:sz w:val="9"/>
                <w:szCs w:val="9"/>
                <w:color w:val="auto"/>
              </w:rPr>
            </w:pPr>
          </w:p>
        </w:tc>
      </w:tr>
      <w:tr>
        <w:trPr>
          <w:trHeight w:val="123"/>
        </w:trPr>
        <w:tc>
          <w:tcPr>
            <w:tcW w:w="3620" w:type="dxa"/>
            <w:vAlign w:val="bottom"/>
          </w:tcPr>
          <w:p>
            <w:pPr>
              <w:spacing w:after="0"/>
              <w:rPr>
                <w:sz w:val="20"/>
                <w:szCs w:val="20"/>
                <w:color w:val="auto"/>
              </w:rPr>
            </w:pPr>
            <w:r>
              <w:rPr>
                <w:rFonts w:ascii="Arial" w:cs="Arial" w:eastAsia="Arial" w:hAnsi="Arial"/>
                <w:sz w:val="10"/>
                <w:szCs w:val="10"/>
                <w:color w:val="auto"/>
              </w:rPr>
              <w:t>Production and manufacturing expenses</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5,370</w:t>
            </w:r>
          </w:p>
        </w:tc>
        <w:tc>
          <w:tcPr>
            <w:tcW w:w="1180" w:type="dxa"/>
            <w:vAlign w:val="bottom"/>
          </w:tcPr>
          <w:p>
            <w:pPr>
              <w:jc w:val="right"/>
              <w:ind w:right="273"/>
              <w:spacing w:after="0"/>
              <w:rPr>
                <w:sz w:val="20"/>
                <w:szCs w:val="20"/>
                <w:color w:val="auto"/>
              </w:rPr>
            </w:pPr>
            <w:r>
              <w:rPr>
                <w:rFonts w:ascii="Arial" w:cs="Arial" w:eastAsia="Arial" w:hAnsi="Arial"/>
                <w:sz w:val="10"/>
                <w:szCs w:val="10"/>
                <w:color w:val="auto"/>
              </w:rPr>
              <w:t>11,169</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8,226</w:t>
            </w:r>
          </w:p>
        </w:tc>
        <w:tc>
          <w:tcPr>
            <w:tcW w:w="1320" w:type="dxa"/>
            <w:vAlign w:val="bottom"/>
          </w:tcPr>
          <w:p>
            <w:pPr>
              <w:jc w:val="right"/>
              <w:ind w:right="412"/>
              <w:spacing w:after="0"/>
              <w:rPr>
                <w:sz w:val="20"/>
                <w:szCs w:val="20"/>
                <w:color w:val="auto"/>
              </w:rPr>
            </w:pPr>
            <w:r>
              <w:rPr>
                <w:rFonts w:ascii="Arial" w:cs="Arial" w:eastAsia="Arial" w:hAnsi="Arial"/>
                <w:sz w:val="10"/>
                <w:szCs w:val="10"/>
                <w:color w:val="auto"/>
              </w:rPr>
              <w:t>2,362</w:t>
            </w:r>
          </w:p>
        </w:tc>
        <w:tc>
          <w:tcPr>
            <w:tcW w:w="1260" w:type="dxa"/>
            <w:vAlign w:val="bottom"/>
          </w:tcPr>
          <w:p>
            <w:pPr>
              <w:jc w:val="right"/>
              <w:ind w:right="392"/>
              <w:spacing w:after="0"/>
              <w:rPr>
                <w:sz w:val="20"/>
                <w:szCs w:val="20"/>
                <w:color w:val="auto"/>
              </w:rPr>
            </w:pPr>
            <w:r>
              <w:rPr>
                <w:rFonts w:ascii="Arial" w:cs="Arial" w:eastAsia="Arial" w:hAnsi="Arial"/>
                <w:sz w:val="10"/>
                <w:szCs w:val="10"/>
                <w:color w:val="auto"/>
              </w:rPr>
              <w:t>(157)</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26,970</w:t>
            </w:r>
          </w:p>
        </w:tc>
        <w:tc>
          <w:tcPr>
            <w:tcW w:w="400" w:type="dxa"/>
            <w:vAlign w:val="bottom"/>
          </w:tcPr>
          <w:p>
            <w:pPr>
              <w:spacing w:after="0"/>
              <w:rPr>
                <w:sz w:val="10"/>
                <w:szCs w:val="10"/>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Selling, distribution and administrative expenses</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458</w:t>
            </w:r>
          </w:p>
        </w:tc>
        <w:tc>
          <w:tcPr>
            <w:tcW w:w="1180" w:type="dxa"/>
            <w:vAlign w:val="bottom"/>
          </w:tcPr>
          <w:p>
            <w:pPr>
              <w:jc w:val="right"/>
              <w:ind w:right="273"/>
              <w:spacing w:after="0"/>
              <w:rPr>
                <w:sz w:val="20"/>
                <w:szCs w:val="20"/>
                <w:color w:val="auto"/>
              </w:rPr>
            </w:pPr>
            <w:r>
              <w:rPr>
                <w:rFonts w:ascii="Arial" w:cs="Arial" w:eastAsia="Arial" w:hAnsi="Arial"/>
                <w:sz w:val="10"/>
                <w:szCs w:val="10"/>
                <w:color w:val="auto"/>
              </w:rPr>
              <w:t>29</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9,183</w:t>
            </w:r>
          </w:p>
        </w:tc>
        <w:tc>
          <w:tcPr>
            <w:tcW w:w="1320" w:type="dxa"/>
            <w:vAlign w:val="bottom"/>
          </w:tcPr>
          <w:p>
            <w:pPr>
              <w:jc w:val="right"/>
              <w:ind w:right="412"/>
              <w:spacing w:after="0"/>
              <w:rPr>
                <w:sz w:val="20"/>
                <w:szCs w:val="20"/>
                <w:color w:val="auto"/>
              </w:rPr>
            </w:pPr>
            <w:r>
              <w:rPr>
                <w:rFonts w:ascii="Arial" w:cs="Arial" w:eastAsia="Arial" w:hAnsi="Arial"/>
                <w:sz w:val="10"/>
                <w:szCs w:val="10"/>
                <w:color w:val="auto"/>
              </w:rPr>
              <w:t>1,130</w:t>
            </w:r>
          </w:p>
        </w:tc>
        <w:tc>
          <w:tcPr>
            <w:tcW w:w="1260" w:type="dxa"/>
            <w:vAlign w:val="bottom"/>
          </w:tcPr>
          <w:p>
            <w:pPr>
              <w:jc w:val="right"/>
              <w:ind w:right="432"/>
              <w:spacing w:after="0"/>
              <w:rPr>
                <w:sz w:val="20"/>
                <w:szCs w:val="20"/>
                <w:color w:val="auto"/>
              </w:rPr>
            </w:pPr>
            <w:r>
              <w:rPr>
                <w:rFonts w:ascii="Arial" w:cs="Arial" w:eastAsia="Arial" w:hAnsi="Arial"/>
                <w:sz w:val="10"/>
                <w:szCs w:val="10"/>
                <w:color w:val="auto"/>
              </w:rPr>
              <w:t>560</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11,360</w:t>
            </w:r>
          </w:p>
        </w:tc>
        <w:tc>
          <w:tcPr>
            <w:tcW w:w="400" w:type="dxa"/>
            <w:vAlign w:val="bottom"/>
          </w:tcPr>
          <w:p>
            <w:pPr>
              <w:spacing w:after="0"/>
              <w:rPr>
                <w:sz w:val="10"/>
                <w:szCs w:val="10"/>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Research and development expenses</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186</w:t>
            </w:r>
          </w:p>
        </w:tc>
        <w:tc>
          <w:tcPr>
            <w:tcW w:w="1180" w:type="dxa"/>
            <w:vAlign w:val="bottom"/>
          </w:tcPr>
          <w:p>
            <w:pPr>
              <w:jc w:val="right"/>
              <w:ind w:right="273"/>
              <w:spacing w:after="0"/>
              <w:rPr>
                <w:sz w:val="20"/>
                <w:szCs w:val="20"/>
                <w:color w:val="auto"/>
              </w:rPr>
            </w:pPr>
            <w:r>
              <w:rPr>
                <w:rFonts w:ascii="Arial" w:cs="Arial" w:eastAsia="Arial" w:hAnsi="Arial"/>
                <w:sz w:val="10"/>
                <w:szCs w:val="10"/>
                <w:color w:val="auto"/>
              </w:rPr>
              <w:t>493</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205</w:t>
            </w:r>
          </w:p>
        </w:tc>
        <w:tc>
          <w:tcPr>
            <w:tcW w:w="1320" w:type="dxa"/>
            <w:vAlign w:val="bottom"/>
          </w:tcPr>
          <w:p>
            <w:pPr>
              <w:jc w:val="right"/>
              <w:ind w:right="412"/>
              <w:spacing w:after="0"/>
              <w:rPr>
                <w:sz w:val="20"/>
                <w:szCs w:val="20"/>
                <w:color w:val="auto"/>
              </w:rPr>
            </w:pPr>
            <w:r>
              <w:rPr>
                <w:rFonts w:ascii="Arial" w:cs="Arial" w:eastAsia="Arial" w:hAnsi="Arial"/>
                <w:sz w:val="10"/>
                <w:szCs w:val="10"/>
                <w:color w:val="auto"/>
              </w:rPr>
              <w:t>102</w:t>
            </w:r>
          </w:p>
        </w:tc>
        <w:tc>
          <w:tcPr>
            <w:tcW w:w="1260" w:type="dxa"/>
            <w:vAlign w:val="bottom"/>
          </w:tcPr>
          <w:p>
            <w:pPr>
              <w:jc w:val="right"/>
              <w:ind w:right="43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986</w:t>
            </w:r>
          </w:p>
        </w:tc>
        <w:tc>
          <w:tcPr>
            <w:tcW w:w="400" w:type="dxa"/>
            <w:vAlign w:val="bottom"/>
          </w:tcPr>
          <w:p>
            <w:pPr>
              <w:spacing w:after="0"/>
              <w:rPr>
                <w:sz w:val="10"/>
                <w:szCs w:val="10"/>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Exploration expenses</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208</w:t>
            </w:r>
          </w:p>
        </w:tc>
        <w:tc>
          <w:tcPr>
            <w:tcW w:w="1180" w:type="dxa"/>
            <w:vAlign w:val="bottom"/>
          </w:tcPr>
          <w:p>
            <w:pPr>
              <w:jc w:val="right"/>
              <w:ind w:right="273"/>
              <w:spacing w:after="0"/>
              <w:rPr>
                <w:sz w:val="20"/>
                <w:szCs w:val="20"/>
                <w:color w:val="auto"/>
              </w:rPr>
            </w:pPr>
            <w:r>
              <w:rPr>
                <w:rFonts w:ascii="Arial" w:cs="Arial" w:eastAsia="Arial" w:hAnsi="Arial"/>
                <w:sz w:val="10"/>
                <w:szCs w:val="10"/>
                <w:color w:val="auto"/>
              </w:rPr>
              <w:t>1,132</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43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1,340</w:t>
            </w:r>
          </w:p>
        </w:tc>
        <w:tc>
          <w:tcPr>
            <w:tcW w:w="400" w:type="dxa"/>
            <w:vAlign w:val="bottom"/>
          </w:tcPr>
          <w:p>
            <w:pPr>
              <w:spacing w:after="0"/>
              <w:rPr>
                <w:sz w:val="10"/>
                <w:szCs w:val="10"/>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Depreciation, depletion and amortisation charge, of which:</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4,850</w:t>
            </w:r>
          </w:p>
        </w:tc>
        <w:tc>
          <w:tcPr>
            <w:tcW w:w="1180" w:type="dxa"/>
            <w:vAlign w:val="bottom"/>
          </w:tcPr>
          <w:p>
            <w:pPr>
              <w:jc w:val="right"/>
              <w:ind w:right="273"/>
              <w:spacing w:after="0"/>
              <w:rPr>
                <w:sz w:val="20"/>
                <w:szCs w:val="20"/>
                <w:color w:val="auto"/>
              </w:rPr>
            </w:pPr>
            <w:r>
              <w:rPr>
                <w:rFonts w:ascii="Arial" w:cs="Arial" w:eastAsia="Arial" w:hAnsi="Arial"/>
                <w:sz w:val="10"/>
                <w:szCs w:val="10"/>
                <w:color w:val="auto"/>
              </w:rPr>
              <w:t>12,871</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3,165</w:t>
            </w:r>
          </w:p>
        </w:tc>
        <w:tc>
          <w:tcPr>
            <w:tcW w:w="1320" w:type="dxa"/>
            <w:vAlign w:val="bottom"/>
          </w:tcPr>
          <w:p>
            <w:pPr>
              <w:jc w:val="right"/>
              <w:ind w:right="412"/>
              <w:spacing w:after="0"/>
              <w:rPr>
                <w:sz w:val="20"/>
                <w:szCs w:val="20"/>
                <w:color w:val="auto"/>
              </w:rPr>
            </w:pPr>
            <w:r>
              <w:rPr>
                <w:rFonts w:ascii="Arial" w:cs="Arial" w:eastAsia="Arial" w:hAnsi="Arial"/>
                <w:sz w:val="10"/>
                <w:szCs w:val="10"/>
                <w:color w:val="auto"/>
              </w:rPr>
              <w:t>1,034</w:t>
            </w:r>
          </w:p>
        </w:tc>
        <w:tc>
          <w:tcPr>
            <w:tcW w:w="1260" w:type="dxa"/>
            <w:vAlign w:val="bottom"/>
          </w:tcPr>
          <w:p>
            <w:pPr>
              <w:jc w:val="right"/>
              <w:ind w:right="432"/>
              <w:spacing w:after="0"/>
              <w:rPr>
                <w:sz w:val="20"/>
                <w:szCs w:val="20"/>
                <w:color w:val="auto"/>
              </w:rPr>
            </w:pPr>
            <w:r>
              <w:rPr>
                <w:rFonts w:ascii="Arial" w:cs="Arial" w:eastAsia="Arial" w:hAnsi="Arial"/>
                <w:sz w:val="10"/>
                <w:szCs w:val="10"/>
                <w:color w:val="auto"/>
              </w:rPr>
              <w:t>215</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22,135</w:t>
            </w:r>
          </w:p>
        </w:tc>
        <w:tc>
          <w:tcPr>
            <w:tcW w:w="400" w:type="dxa"/>
            <w:vAlign w:val="bottom"/>
          </w:tcPr>
          <w:p>
            <w:pPr>
              <w:spacing w:after="0"/>
              <w:rPr>
                <w:sz w:val="10"/>
                <w:szCs w:val="10"/>
                <w:color w:val="auto"/>
              </w:rPr>
            </w:pPr>
          </w:p>
        </w:tc>
      </w:tr>
      <w:tr>
        <w:trPr>
          <w:trHeight w:val="126"/>
        </w:trPr>
        <w:tc>
          <w:tcPr>
            <w:tcW w:w="3620" w:type="dxa"/>
            <w:vAlign w:val="bottom"/>
          </w:tcPr>
          <w:p>
            <w:pPr>
              <w:ind w:left="80"/>
              <w:spacing w:after="0"/>
              <w:rPr>
                <w:sz w:val="20"/>
                <w:szCs w:val="20"/>
                <w:color w:val="auto"/>
              </w:rPr>
            </w:pPr>
            <w:r>
              <w:rPr>
                <w:rFonts w:ascii="Arial" w:cs="Arial" w:eastAsia="Arial" w:hAnsi="Arial"/>
                <w:sz w:val="10"/>
                <w:szCs w:val="10"/>
                <w:color w:val="auto"/>
              </w:rPr>
              <w:t>Impairment losses</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200</w:t>
            </w:r>
          </w:p>
        </w:tc>
        <w:tc>
          <w:tcPr>
            <w:tcW w:w="1180" w:type="dxa"/>
            <w:vAlign w:val="bottom"/>
          </w:tcPr>
          <w:p>
            <w:pPr>
              <w:jc w:val="right"/>
              <w:ind w:right="273"/>
              <w:spacing w:after="0"/>
              <w:rPr>
                <w:sz w:val="20"/>
                <w:szCs w:val="20"/>
                <w:color w:val="auto"/>
              </w:rPr>
            </w:pPr>
            <w:r>
              <w:rPr>
                <w:rFonts w:ascii="Arial" w:cs="Arial" w:eastAsia="Arial" w:hAnsi="Arial"/>
                <w:sz w:val="10"/>
                <w:szCs w:val="10"/>
                <w:color w:val="auto"/>
              </w:rPr>
              <w:t>1,065</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346</w:t>
            </w:r>
          </w:p>
        </w:tc>
        <w:tc>
          <w:tcPr>
            <w:tcW w:w="1320" w:type="dxa"/>
            <w:vAlign w:val="bottom"/>
          </w:tcPr>
          <w:p>
            <w:pPr>
              <w:jc w:val="right"/>
              <w:ind w:right="412"/>
              <w:spacing w:after="0"/>
              <w:rPr>
                <w:sz w:val="20"/>
                <w:szCs w:val="20"/>
                <w:color w:val="auto"/>
              </w:rPr>
            </w:pPr>
            <w:r>
              <w:rPr>
                <w:rFonts w:ascii="Arial" w:cs="Arial" w:eastAsia="Arial" w:hAnsi="Arial"/>
                <w:sz w:val="10"/>
                <w:szCs w:val="10"/>
                <w:color w:val="auto"/>
              </w:rPr>
              <w:t>78</w:t>
            </w:r>
          </w:p>
        </w:tc>
        <w:tc>
          <w:tcPr>
            <w:tcW w:w="1260" w:type="dxa"/>
            <w:vAlign w:val="bottom"/>
          </w:tcPr>
          <w:p>
            <w:pPr>
              <w:jc w:val="right"/>
              <w:ind w:right="432"/>
              <w:spacing w:after="0"/>
              <w:rPr>
                <w:sz w:val="20"/>
                <w:szCs w:val="20"/>
                <w:color w:val="auto"/>
              </w:rPr>
            </w:pPr>
            <w:r>
              <w:rPr>
                <w:rFonts w:ascii="Arial" w:cs="Arial" w:eastAsia="Arial" w:hAnsi="Arial"/>
                <w:sz w:val="10"/>
                <w:szCs w:val="10"/>
                <w:color w:val="auto"/>
              </w:rPr>
              <w:t>7</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1,696</w:t>
            </w:r>
          </w:p>
        </w:tc>
        <w:tc>
          <w:tcPr>
            <w:tcW w:w="400" w:type="dxa"/>
            <w:vAlign w:val="bottom"/>
          </w:tcPr>
          <w:p>
            <w:pPr>
              <w:jc w:val="right"/>
              <w:spacing w:after="0"/>
              <w:rPr>
                <w:sz w:val="20"/>
                <w:szCs w:val="20"/>
                <w:color w:val="auto"/>
              </w:rPr>
            </w:pPr>
            <w:r>
              <w:rPr>
                <w:rFonts w:ascii="Arial" w:cs="Arial" w:eastAsia="Arial" w:hAnsi="Arial"/>
                <w:sz w:val="10"/>
                <w:szCs w:val="10"/>
                <w:color w:val="auto"/>
              </w:rPr>
              <w:t>[C]</w:t>
            </w:r>
          </w:p>
        </w:tc>
      </w:tr>
      <w:tr>
        <w:trPr>
          <w:trHeight w:val="126"/>
        </w:trPr>
        <w:tc>
          <w:tcPr>
            <w:tcW w:w="3620" w:type="dxa"/>
            <w:vAlign w:val="bottom"/>
          </w:tcPr>
          <w:p>
            <w:pPr>
              <w:ind w:left="80"/>
              <w:spacing w:after="0"/>
              <w:rPr>
                <w:sz w:val="20"/>
                <w:szCs w:val="20"/>
                <w:color w:val="auto"/>
              </w:rPr>
            </w:pPr>
            <w:r>
              <w:rPr>
                <w:rFonts w:ascii="Arial" w:cs="Arial" w:eastAsia="Arial" w:hAnsi="Arial"/>
                <w:sz w:val="10"/>
                <w:szCs w:val="10"/>
                <w:color w:val="auto"/>
              </w:rPr>
              <w:t>Impairment reversals</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253"/>
              <w:spacing w:after="0"/>
              <w:rPr>
                <w:sz w:val="20"/>
                <w:szCs w:val="20"/>
                <w:color w:val="auto"/>
              </w:rPr>
            </w:pPr>
            <w:r>
              <w:rPr>
                <w:rFonts w:ascii="Arial" w:cs="Arial" w:eastAsia="Arial" w:hAnsi="Arial"/>
                <w:sz w:val="10"/>
                <w:szCs w:val="10"/>
                <w:color w:val="auto"/>
              </w:rPr>
              <w:t>(1,265)</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432"/>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(1,265)</w:t>
            </w:r>
          </w:p>
        </w:tc>
        <w:tc>
          <w:tcPr>
            <w:tcW w:w="400" w:type="dxa"/>
            <w:vAlign w:val="bottom"/>
          </w:tcPr>
          <w:p>
            <w:pPr>
              <w:jc w:val="right"/>
              <w:spacing w:after="0"/>
              <w:rPr>
                <w:sz w:val="20"/>
                <w:szCs w:val="20"/>
                <w:color w:val="auto"/>
              </w:rPr>
            </w:pPr>
            <w:r>
              <w:rPr>
                <w:rFonts w:ascii="Arial" w:cs="Arial" w:eastAsia="Arial" w:hAnsi="Arial"/>
                <w:sz w:val="10"/>
                <w:szCs w:val="10"/>
                <w:color w:val="auto"/>
              </w:rPr>
              <w:t>[D]</w:t>
            </w: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Interest expense</w:t>
            </w:r>
          </w:p>
        </w:tc>
        <w:tc>
          <w:tcPr>
            <w:tcW w:w="1420" w:type="dxa"/>
            <w:vAlign w:val="bottom"/>
          </w:tcPr>
          <w:p>
            <w:pPr>
              <w:jc w:val="right"/>
              <w:ind w:right="332"/>
              <w:spacing w:after="0"/>
              <w:rPr>
                <w:sz w:val="20"/>
                <w:szCs w:val="20"/>
                <w:color w:val="auto"/>
              </w:rPr>
            </w:pPr>
            <w:r>
              <w:rPr>
                <w:rFonts w:ascii="Arial" w:cs="Arial" w:eastAsia="Arial" w:hAnsi="Arial"/>
                <w:sz w:val="10"/>
                <w:szCs w:val="10"/>
                <w:color w:val="auto"/>
              </w:rPr>
              <w:t>212</w:t>
            </w:r>
          </w:p>
        </w:tc>
        <w:tc>
          <w:tcPr>
            <w:tcW w:w="1180" w:type="dxa"/>
            <w:vAlign w:val="bottom"/>
          </w:tcPr>
          <w:p>
            <w:pPr>
              <w:jc w:val="right"/>
              <w:ind w:right="273"/>
              <w:spacing w:after="0"/>
              <w:rPr>
                <w:sz w:val="20"/>
                <w:szCs w:val="20"/>
                <w:color w:val="auto"/>
              </w:rPr>
            </w:pPr>
            <w:r>
              <w:rPr>
                <w:rFonts w:ascii="Arial" w:cs="Arial" w:eastAsia="Arial" w:hAnsi="Arial"/>
                <w:sz w:val="10"/>
                <w:szCs w:val="10"/>
                <w:color w:val="auto"/>
              </w:rPr>
              <w:t>586</w:t>
            </w:r>
          </w:p>
        </w:tc>
        <w:tc>
          <w:tcPr>
            <w:tcW w:w="1280" w:type="dxa"/>
            <w:vAlign w:val="bottom"/>
          </w:tcPr>
          <w:p>
            <w:pPr>
              <w:jc w:val="right"/>
              <w:ind w:right="332"/>
              <w:spacing w:after="0"/>
              <w:rPr>
                <w:sz w:val="20"/>
                <w:szCs w:val="20"/>
                <w:color w:val="auto"/>
              </w:rPr>
            </w:pPr>
            <w:r>
              <w:rPr>
                <w:rFonts w:ascii="Arial" w:cs="Arial" w:eastAsia="Arial" w:hAnsi="Arial"/>
                <w:sz w:val="10"/>
                <w:szCs w:val="10"/>
                <w:color w:val="auto"/>
              </w:rPr>
              <w:t>84</w:t>
            </w:r>
          </w:p>
        </w:tc>
        <w:tc>
          <w:tcPr>
            <w:tcW w:w="1320" w:type="dxa"/>
            <w:vAlign w:val="bottom"/>
          </w:tcPr>
          <w:p>
            <w:pPr>
              <w:jc w:val="right"/>
              <w:ind w:right="412"/>
              <w:spacing w:after="0"/>
              <w:rPr>
                <w:sz w:val="20"/>
                <w:szCs w:val="20"/>
                <w:color w:val="auto"/>
              </w:rPr>
            </w:pPr>
            <w:r>
              <w:rPr>
                <w:rFonts w:ascii="Arial" w:cs="Arial" w:eastAsia="Arial" w:hAnsi="Arial"/>
                <w:sz w:val="10"/>
                <w:szCs w:val="10"/>
                <w:color w:val="auto"/>
              </w:rPr>
              <w:t>16</w:t>
            </w:r>
          </w:p>
        </w:tc>
        <w:tc>
          <w:tcPr>
            <w:tcW w:w="1260" w:type="dxa"/>
            <w:vAlign w:val="bottom"/>
          </w:tcPr>
          <w:p>
            <w:pPr>
              <w:jc w:val="right"/>
              <w:ind w:right="432"/>
              <w:spacing w:after="0"/>
              <w:rPr>
                <w:sz w:val="20"/>
                <w:szCs w:val="20"/>
                <w:color w:val="auto"/>
              </w:rPr>
            </w:pPr>
            <w:r>
              <w:rPr>
                <w:rFonts w:ascii="Arial" w:cs="Arial" w:eastAsia="Arial" w:hAnsi="Arial"/>
                <w:sz w:val="10"/>
                <w:szCs w:val="10"/>
                <w:color w:val="auto"/>
              </w:rPr>
              <w:t>2,847</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3,745</w:t>
            </w:r>
          </w:p>
        </w:tc>
        <w:tc>
          <w:tcPr>
            <w:tcW w:w="400" w:type="dxa"/>
            <w:vAlign w:val="bottom"/>
          </w:tcPr>
          <w:p>
            <w:pPr>
              <w:spacing w:after="0"/>
              <w:rPr>
                <w:sz w:val="10"/>
                <w:szCs w:val="10"/>
                <w:color w:val="auto"/>
              </w:rPr>
            </w:pPr>
          </w:p>
        </w:tc>
      </w:tr>
      <w:tr>
        <w:trPr>
          <w:trHeight w:val="130"/>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Taxation charge/(credit) (CCS basis)</w:t>
            </w:r>
          </w:p>
        </w:tc>
        <w:tc>
          <w:tcPr>
            <w:tcW w:w="14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2,795</w:t>
            </w: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color w:val="auto"/>
              </w:rPr>
              <w:t>8,756</w:t>
            </w:r>
          </w:p>
        </w:tc>
        <w:tc>
          <w:tcPr>
            <w:tcW w:w="12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1,211</w:t>
            </w: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339</w:t>
            </w: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(1,270)</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11,831</w:t>
            </w:r>
          </w:p>
        </w:tc>
        <w:tc>
          <w:tcPr>
            <w:tcW w:w="400" w:type="dxa"/>
            <w:vAlign w:val="bottom"/>
            <w:tcBorders>
              <w:bottom w:val="single" w:sz="8" w:color="auto"/>
            </w:tcBorders>
          </w:tcPr>
          <w:p>
            <w:pPr>
              <w:spacing w:after="0"/>
              <w:rPr>
                <w:sz w:val="11"/>
                <w:szCs w:val="11"/>
                <w:color w:val="auto"/>
              </w:rPr>
            </w:pPr>
          </w:p>
        </w:tc>
      </w:tr>
      <w:tr>
        <w:trPr>
          <w:trHeight w:val="117"/>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CCS earnings</w:t>
            </w:r>
          </w:p>
        </w:tc>
        <w:tc>
          <w:tcPr>
            <w:tcW w:w="14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11,444</w:t>
            </w: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color w:val="auto"/>
              </w:rPr>
              <w:t>6,490</w:t>
            </w:r>
          </w:p>
        </w:tc>
        <w:tc>
          <w:tcPr>
            <w:tcW w:w="12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6,025</w:t>
            </w: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1,884</w:t>
            </w: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(1,479)</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24,364</w:t>
            </w:r>
          </w:p>
        </w:tc>
        <w:tc>
          <w:tcPr>
            <w:tcW w:w="400" w:type="dxa"/>
            <w:vAlign w:val="bottom"/>
            <w:tcBorders>
              <w:bottom w:val="single" w:sz="8" w:color="auto"/>
            </w:tcBorders>
          </w:tcPr>
          <w:p>
            <w:pPr>
              <w:spacing w:after="0"/>
              <w:rPr>
                <w:sz w:val="10"/>
                <w:szCs w:val="10"/>
                <w:color w:val="auto"/>
              </w:rPr>
            </w:pPr>
          </w:p>
        </w:tc>
      </w:tr>
      <w:tr>
        <w:trPr>
          <w:trHeight w:val="587"/>
        </w:trPr>
        <w:tc>
          <w:tcPr>
            <w:tcW w:w="36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1420" w:type="dxa"/>
            <w:vAlign w:val="bottom"/>
          </w:tcPr>
          <w:p>
            <w:pPr>
              <w:spacing w:after="0"/>
              <w:rPr>
                <w:sz w:val="24"/>
                <w:szCs w:val="24"/>
                <w:color w:val="auto"/>
              </w:rPr>
            </w:pPr>
          </w:p>
        </w:tc>
        <w:tc>
          <w:tcPr>
            <w:tcW w:w="1180" w:type="dxa"/>
            <w:vAlign w:val="bottom"/>
          </w:tcPr>
          <w:p>
            <w:pPr>
              <w:jc w:val="right"/>
              <w:ind w:right="533"/>
              <w:spacing w:after="0"/>
              <w:rPr>
                <w:sz w:val="20"/>
                <w:szCs w:val="20"/>
                <w:color w:val="auto"/>
              </w:rPr>
            </w:pPr>
            <w:r>
              <w:rPr>
                <w:rFonts w:ascii="Arial" w:cs="Arial" w:eastAsia="Arial" w:hAnsi="Arial"/>
                <w:sz w:val="7"/>
                <w:szCs w:val="7"/>
                <w:color w:val="auto"/>
              </w:rPr>
              <w:t>180</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51"/>
        </w:trPr>
        <w:tc>
          <w:tcPr>
            <w:tcW w:w="36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83" w:name="page184"/>
    <w:bookmarkEnd w:id="183"/>
    <w:p>
      <w:pPr>
        <w:ind w:left="128" w:hanging="128"/>
        <w:spacing w:after="0"/>
        <w:tabs>
          <w:tab w:leader="none" w:pos="128" w:val="left"/>
        </w:tabs>
        <w:numPr>
          <w:ilvl w:val="0"/>
          <w:numId w:val="171"/>
        </w:numPr>
        <w:rPr>
          <w:rFonts w:ascii="Arial" w:cs="Arial" w:eastAsia="Arial" w:hAnsi="Arial"/>
          <w:sz w:val="7"/>
          <w:szCs w:val="7"/>
          <w:color w:val="auto"/>
        </w:rPr>
      </w:pPr>
      <w:r>
        <w:rPr>
          <w:rFonts w:ascii="Arial" w:cs="Arial" w:eastAsia="Arial" w:hAnsi="Arial"/>
          <w:sz w:val="7"/>
          <w:szCs w:val="7"/>
          <w:color w:val="auto"/>
        </w:rPr>
        <w:t>Revised to conform with reporting segment changes applicable from 2020.</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71"/>
        </w:numPr>
        <w:rPr>
          <w:rFonts w:ascii="Arial" w:cs="Arial" w:eastAsia="Arial" w:hAnsi="Arial"/>
          <w:sz w:val="7"/>
          <w:szCs w:val="7"/>
          <w:color w:val="auto"/>
        </w:rPr>
      </w:pPr>
      <w:r>
        <w:rPr>
          <w:rFonts w:ascii="Arial" w:cs="Arial" w:eastAsia="Arial" w:hAnsi="Arial"/>
          <w:sz w:val="7"/>
          <w:szCs w:val="7"/>
          <w:color w:val="auto"/>
        </w:rPr>
        <w:t>Includes $3,348 million of revenue from sources other than from contracts with customers, which mainly comprises the impact of fair value accounting of commodity derivatives.</w:t>
      </w:r>
    </w:p>
    <w:p>
      <w:pPr>
        <w:ind w:left="108" w:hanging="108"/>
        <w:spacing w:after="0"/>
        <w:tabs>
          <w:tab w:leader="none" w:pos="108" w:val="left"/>
        </w:tabs>
        <w:numPr>
          <w:ilvl w:val="0"/>
          <w:numId w:val="171"/>
        </w:numPr>
        <w:rPr>
          <w:rFonts w:ascii="Arial" w:cs="Arial" w:eastAsia="Arial" w:hAnsi="Arial"/>
          <w:sz w:val="7"/>
          <w:szCs w:val="7"/>
          <w:color w:val="auto"/>
        </w:rPr>
      </w:pPr>
      <w:r>
        <w:rPr>
          <w:rFonts w:ascii="Arial" w:cs="Arial" w:eastAsia="Arial" w:hAnsi="Arial"/>
          <w:sz w:val="7"/>
          <w:szCs w:val="7"/>
          <w:color w:val="auto"/>
        </w:rPr>
        <w:t>Impairment losses comprise Property, plant and equipment ($1,515 million) and Intangible assets ($181 million).</w:t>
      </w:r>
    </w:p>
    <w:p>
      <w:pPr>
        <w:ind w:left="128" w:hanging="128"/>
        <w:spacing w:after="0"/>
        <w:tabs>
          <w:tab w:leader="none" w:pos="128" w:val="left"/>
        </w:tabs>
        <w:numPr>
          <w:ilvl w:val="0"/>
          <w:numId w:val="171"/>
        </w:numPr>
        <w:rPr>
          <w:rFonts w:ascii="Arial" w:cs="Arial" w:eastAsia="Arial" w:hAnsi="Arial"/>
          <w:sz w:val="7"/>
          <w:szCs w:val="7"/>
          <w:color w:val="auto"/>
        </w:rPr>
      </w:pPr>
      <w:r>
        <w:rPr>
          <w:rFonts w:ascii="Arial" w:cs="Arial" w:eastAsia="Arial" w:hAnsi="Arial"/>
          <w:sz w:val="7"/>
          <w:szCs w:val="7"/>
          <w:color w:val="auto"/>
        </w:rPr>
        <w:t>See Note 8.</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200" w:type="dxa"/>
            <w:vAlign w:val="bottom"/>
            <w:shd w:val="clear" w:color="auto" w:fill="CDCDCD"/>
          </w:tcPr>
          <w:p>
            <w:pPr>
              <w:spacing w:after="0"/>
              <w:rPr>
                <w:sz w:val="10"/>
                <w:szCs w:val="10"/>
                <w:color w:val="auto"/>
              </w:rPr>
            </w:pPr>
          </w:p>
        </w:tc>
        <w:tc>
          <w:tcPr>
            <w:tcW w:w="900" w:type="dxa"/>
            <w:vAlign w:val="bottom"/>
            <w:shd w:val="clear" w:color="auto" w:fill="CDCDCD"/>
          </w:tcPr>
          <w:p>
            <w:pPr>
              <w:spacing w:after="0"/>
              <w:rPr>
                <w:sz w:val="10"/>
                <w:szCs w:val="10"/>
                <w:color w:val="auto"/>
              </w:rPr>
            </w:pPr>
          </w:p>
        </w:tc>
        <w:tc>
          <w:tcPr>
            <w:tcW w:w="800" w:type="dxa"/>
            <w:vAlign w:val="bottom"/>
            <w:shd w:val="clear" w:color="auto" w:fill="CDCDCD"/>
          </w:tcPr>
          <w:p>
            <w:pPr>
              <w:spacing w:after="0"/>
              <w:rPr>
                <w:sz w:val="10"/>
                <w:szCs w:val="10"/>
                <w:color w:val="auto"/>
              </w:rPr>
            </w:pPr>
          </w:p>
        </w:tc>
        <w:tc>
          <w:tcPr>
            <w:tcW w:w="1400" w:type="dxa"/>
            <w:vAlign w:val="bottom"/>
            <w:shd w:val="clear" w:color="auto" w:fill="CDCDCD"/>
          </w:tcPr>
          <w:p>
            <w:pPr>
              <w:spacing w:after="0"/>
              <w:rPr>
                <w:sz w:val="10"/>
                <w:szCs w:val="10"/>
                <w:color w:val="auto"/>
              </w:rPr>
            </w:pPr>
          </w:p>
        </w:tc>
        <w:tc>
          <w:tcPr>
            <w:tcW w:w="1340" w:type="dxa"/>
            <w:vAlign w:val="bottom"/>
            <w:shd w:val="clear" w:color="auto" w:fill="CDCDCD"/>
          </w:tcPr>
          <w:p>
            <w:pPr>
              <w:spacing w:after="0"/>
              <w:rPr>
                <w:sz w:val="10"/>
                <w:szCs w:val="10"/>
                <w:color w:val="auto"/>
              </w:rPr>
            </w:pPr>
          </w:p>
        </w:tc>
        <w:tc>
          <w:tcPr>
            <w:tcW w:w="1780" w:type="dxa"/>
            <w:vAlign w:val="bottom"/>
            <w:shd w:val="clear" w:color="auto" w:fill="CDCDCD"/>
          </w:tcPr>
          <w:p>
            <w:pPr>
              <w:spacing w:after="0"/>
              <w:rPr>
                <w:sz w:val="10"/>
                <w:szCs w:val="10"/>
                <w:color w:val="auto"/>
              </w:rPr>
            </w:pPr>
          </w:p>
        </w:tc>
        <w:tc>
          <w:tcPr>
            <w:tcW w:w="840" w:type="dxa"/>
            <w:vAlign w:val="bottom"/>
            <w:shd w:val="clear" w:color="auto" w:fill="CDCDCD"/>
          </w:tcPr>
          <w:p>
            <w:pPr>
              <w:spacing w:after="0"/>
              <w:rPr>
                <w:sz w:val="10"/>
                <w:szCs w:val="10"/>
                <w:color w:val="auto"/>
              </w:rPr>
            </w:pPr>
          </w:p>
        </w:tc>
        <w:tc>
          <w:tcPr>
            <w:tcW w:w="20" w:type="dxa"/>
            <w:vAlign w:val="bottom"/>
            <w:shd w:val="clear" w:color="auto" w:fill="CDCDCD"/>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200" w:type="dxa"/>
            <w:vAlign w:val="bottom"/>
          </w:tcPr>
          <w:p>
            <w:pPr>
              <w:spacing w:after="0"/>
              <w:rPr>
                <w:sz w:val="20"/>
                <w:szCs w:val="20"/>
                <w:color w:val="auto"/>
              </w:rPr>
            </w:pPr>
            <w:r>
              <w:rPr>
                <w:rFonts w:ascii="Arial" w:cs="Arial" w:eastAsia="Arial" w:hAnsi="Arial"/>
                <w:sz w:val="10"/>
                <w:szCs w:val="10"/>
                <w:color w:val="auto"/>
              </w:rPr>
              <w:t>Reconciliation of CCS earnings to income for the period</w:t>
            </w: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7"/>
        </w:trPr>
        <w:tc>
          <w:tcPr>
            <w:tcW w:w="4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78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2019</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2018</w:t>
            </w:r>
          </w:p>
        </w:tc>
        <w:tc>
          <w:tcPr>
            <w:tcW w:w="0" w:type="dxa"/>
            <w:vAlign w:val="bottom"/>
          </w:tcPr>
          <w:p>
            <w:pPr>
              <w:spacing w:after="0"/>
              <w:rPr>
                <w:sz w:val="1"/>
                <w:szCs w:val="1"/>
                <w:color w:val="auto"/>
              </w:rPr>
            </w:pPr>
          </w:p>
        </w:tc>
      </w:tr>
      <w:tr>
        <w:trPr>
          <w:trHeight w:val="114"/>
        </w:trPr>
        <w:tc>
          <w:tcPr>
            <w:tcW w:w="4200" w:type="dxa"/>
            <w:vAlign w:val="bottom"/>
          </w:tcPr>
          <w:p>
            <w:pPr>
              <w:ind w:left="140"/>
              <w:spacing w:after="0"/>
              <w:rPr>
                <w:sz w:val="20"/>
                <w:szCs w:val="20"/>
                <w:color w:val="auto"/>
              </w:rPr>
            </w:pPr>
            <w:r>
              <w:rPr>
                <w:rFonts w:ascii="Arial" w:cs="Arial" w:eastAsia="Arial" w:hAnsi="Arial"/>
                <w:sz w:val="10"/>
                <w:szCs w:val="10"/>
                <w:color w:val="auto"/>
              </w:rPr>
              <w:t>(Loss)/income attributable to Royal Dutch Shell plc shareholders</w:t>
            </w: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(21,680)</w:t>
            </w:r>
          </w:p>
        </w:tc>
        <w:tc>
          <w:tcPr>
            <w:tcW w:w="1780" w:type="dxa"/>
            <w:vAlign w:val="bottom"/>
          </w:tcPr>
          <w:p>
            <w:pPr>
              <w:jc w:val="right"/>
              <w:ind w:right="452"/>
              <w:spacing w:after="0"/>
              <w:rPr>
                <w:sz w:val="20"/>
                <w:szCs w:val="20"/>
                <w:color w:val="auto"/>
              </w:rPr>
            </w:pPr>
            <w:r>
              <w:rPr>
                <w:rFonts w:ascii="Arial" w:cs="Arial" w:eastAsia="Arial" w:hAnsi="Arial"/>
                <w:sz w:val="10"/>
                <w:szCs w:val="10"/>
                <w:color w:val="auto"/>
              </w:rPr>
              <w:t>15,842</w:t>
            </w:r>
          </w:p>
        </w:tc>
        <w:tc>
          <w:tcPr>
            <w:tcW w:w="840" w:type="dxa"/>
            <w:vAlign w:val="bottom"/>
          </w:tcPr>
          <w:p>
            <w:pPr>
              <w:jc w:val="right"/>
              <w:spacing w:after="0"/>
              <w:rPr>
                <w:sz w:val="20"/>
                <w:szCs w:val="20"/>
                <w:color w:val="auto"/>
              </w:rPr>
            </w:pPr>
            <w:r>
              <w:rPr>
                <w:rFonts w:ascii="Arial" w:cs="Arial" w:eastAsia="Arial" w:hAnsi="Arial"/>
                <w:sz w:val="10"/>
                <w:szCs w:val="10"/>
                <w:color w:val="auto"/>
              </w:rPr>
              <w:t>23,352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200" w:type="dxa"/>
            <w:vAlign w:val="bottom"/>
          </w:tcPr>
          <w:p>
            <w:pPr>
              <w:ind w:left="140"/>
              <w:spacing w:after="0"/>
              <w:rPr>
                <w:sz w:val="20"/>
                <w:szCs w:val="20"/>
                <w:color w:val="auto"/>
              </w:rPr>
            </w:pPr>
            <w:r>
              <w:rPr>
                <w:rFonts w:ascii="Arial" w:cs="Arial" w:eastAsia="Arial" w:hAnsi="Arial"/>
                <w:sz w:val="10"/>
                <w:szCs w:val="10"/>
                <w:color w:val="auto"/>
              </w:rPr>
              <w:t>Income attributable to non-controlling interest</w:t>
            </w: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146</w:t>
            </w:r>
          </w:p>
        </w:tc>
        <w:tc>
          <w:tcPr>
            <w:tcW w:w="1780" w:type="dxa"/>
            <w:vAlign w:val="bottom"/>
          </w:tcPr>
          <w:p>
            <w:pPr>
              <w:jc w:val="right"/>
              <w:ind w:right="452"/>
              <w:spacing w:after="0"/>
              <w:rPr>
                <w:sz w:val="20"/>
                <w:szCs w:val="20"/>
                <w:color w:val="auto"/>
              </w:rPr>
            </w:pPr>
            <w:r>
              <w:rPr>
                <w:rFonts w:ascii="Arial" w:cs="Arial" w:eastAsia="Arial" w:hAnsi="Arial"/>
                <w:sz w:val="10"/>
                <w:szCs w:val="10"/>
                <w:color w:val="auto"/>
              </w:rPr>
              <w:t>590</w:t>
            </w:r>
          </w:p>
        </w:tc>
        <w:tc>
          <w:tcPr>
            <w:tcW w:w="840" w:type="dxa"/>
            <w:vAlign w:val="bottom"/>
          </w:tcPr>
          <w:p>
            <w:pPr>
              <w:jc w:val="right"/>
              <w:spacing w:after="0"/>
              <w:rPr>
                <w:sz w:val="20"/>
                <w:szCs w:val="20"/>
                <w:color w:val="auto"/>
              </w:rPr>
            </w:pPr>
            <w:r>
              <w:rPr>
                <w:rFonts w:ascii="Arial" w:cs="Arial" w:eastAsia="Arial" w:hAnsi="Arial"/>
                <w:sz w:val="10"/>
                <w:szCs w:val="10"/>
                <w:color w:val="auto"/>
              </w:rPr>
              <w:t>554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(Loss)/income for the period</w:t>
            </w:r>
          </w:p>
        </w:tc>
        <w:tc>
          <w:tcPr>
            <w:tcW w:w="9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(21,534)</w:t>
            </w:r>
          </w:p>
        </w:tc>
        <w:tc>
          <w:tcPr>
            <w:tcW w:w="17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16,432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23,906</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200" w:type="dxa"/>
            <w:vAlign w:val="bottom"/>
          </w:tcPr>
          <w:p>
            <w:pPr>
              <w:spacing w:after="0"/>
              <w:rPr>
                <w:sz w:val="20"/>
                <w:szCs w:val="20"/>
                <w:color w:val="auto"/>
              </w:rPr>
            </w:pPr>
            <w:r>
              <w:rPr>
                <w:rFonts w:ascii="Arial" w:cs="Arial" w:eastAsia="Arial" w:hAnsi="Arial"/>
                <w:sz w:val="10"/>
                <w:szCs w:val="10"/>
                <w:color w:val="auto"/>
              </w:rPr>
              <w:t>Current cost of supplies adjustment:</w:t>
            </w: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40" w:type="dxa"/>
            <w:vAlign w:val="bottom"/>
            <w:shd w:val="clear" w:color="auto" w:fill="D9D9D9"/>
          </w:tcPr>
          <w:p>
            <w:pPr>
              <w:spacing w:after="0"/>
              <w:rPr>
                <w:sz w:val="9"/>
                <w:szCs w:val="9"/>
                <w:color w:val="auto"/>
              </w:rPr>
            </w:pPr>
          </w:p>
        </w:tc>
        <w:tc>
          <w:tcPr>
            <w:tcW w:w="1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200" w:type="dxa"/>
            <w:vAlign w:val="bottom"/>
          </w:tcPr>
          <w:p>
            <w:pPr>
              <w:ind w:left="140"/>
              <w:spacing w:after="0"/>
              <w:rPr>
                <w:sz w:val="20"/>
                <w:szCs w:val="20"/>
                <w:color w:val="auto"/>
              </w:rPr>
            </w:pPr>
            <w:r>
              <w:rPr>
                <w:rFonts w:ascii="Arial" w:cs="Arial" w:eastAsia="Arial" w:hAnsi="Arial"/>
                <w:sz w:val="10"/>
                <w:szCs w:val="10"/>
                <w:color w:val="auto"/>
              </w:rPr>
              <w:t>Purchases</w:t>
            </w: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2,359</w:t>
            </w:r>
          </w:p>
        </w:tc>
        <w:tc>
          <w:tcPr>
            <w:tcW w:w="1780" w:type="dxa"/>
            <w:vAlign w:val="bottom"/>
          </w:tcPr>
          <w:p>
            <w:pPr>
              <w:jc w:val="right"/>
              <w:ind w:right="432"/>
              <w:spacing w:after="0"/>
              <w:rPr>
                <w:sz w:val="20"/>
                <w:szCs w:val="20"/>
                <w:color w:val="auto"/>
              </w:rPr>
            </w:pPr>
            <w:r>
              <w:rPr>
                <w:rFonts w:ascii="Arial" w:cs="Arial" w:eastAsia="Arial" w:hAnsi="Arial"/>
                <w:sz w:val="10"/>
                <w:szCs w:val="10"/>
                <w:color w:val="auto"/>
              </w:rPr>
              <w:t>(784)</w:t>
            </w:r>
          </w:p>
        </w:tc>
        <w:tc>
          <w:tcPr>
            <w:tcW w:w="840" w:type="dxa"/>
            <w:vAlign w:val="bottom"/>
          </w:tcPr>
          <w:p>
            <w:pPr>
              <w:jc w:val="right"/>
              <w:spacing w:after="0"/>
              <w:rPr>
                <w:sz w:val="20"/>
                <w:szCs w:val="20"/>
                <w:color w:val="auto"/>
              </w:rPr>
            </w:pPr>
            <w:r>
              <w:rPr>
                <w:rFonts w:ascii="Arial" w:cs="Arial" w:eastAsia="Arial" w:hAnsi="Arial"/>
                <w:sz w:val="10"/>
                <w:szCs w:val="10"/>
                <w:color w:val="auto"/>
              </w:rPr>
              <w:t>559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200" w:type="dxa"/>
            <w:vAlign w:val="bottom"/>
          </w:tcPr>
          <w:p>
            <w:pPr>
              <w:ind w:left="140"/>
              <w:spacing w:after="0"/>
              <w:rPr>
                <w:sz w:val="20"/>
                <w:szCs w:val="20"/>
                <w:color w:val="auto"/>
              </w:rPr>
            </w:pPr>
            <w:r>
              <w:rPr>
                <w:rFonts w:ascii="Arial" w:cs="Arial" w:eastAsia="Arial" w:hAnsi="Arial"/>
                <w:sz w:val="10"/>
                <w:szCs w:val="10"/>
                <w:color w:val="auto"/>
              </w:rPr>
              <w:t>Taxation</w:t>
            </w: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(585)</w:t>
            </w:r>
          </w:p>
        </w:tc>
        <w:tc>
          <w:tcPr>
            <w:tcW w:w="1780" w:type="dxa"/>
            <w:vAlign w:val="bottom"/>
          </w:tcPr>
          <w:p>
            <w:pPr>
              <w:jc w:val="right"/>
              <w:ind w:right="452"/>
              <w:spacing w:after="0"/>
              <w:rPr>
                <w:sz w:val="20"/>
                <w:szCs w:val="20"/>
                <w:color w:val="auto"/>
              </w:rPr>
            </w:pPr>
            <w:r>
              <w:rPr>
                <w:rFonts w:ascii="Arial" w:cs="Arial" w:eastAsia="Arial" w:hAnsi="Arial"/>
                <w:sz w:val="10"/>
                <w:szCs w:val="10"/>
                <w:color w:val="auto"/>
              </w:rPr>
              <w:t>194</w:t>
            </w:r>
          </w:p>
        </w:tc>
        <w:tc>
          <w:tcPr>
            <w:tcW w:w="860" w:type="dxa"/>
            <w:vAlign w:val="bottom"/>
            <w:gridSpan w:val="2"/>
          </w:tcPr>
          <w:p>
            <w:pPr>
              <w:jc w:val="right"/>
              <w:ind w:right="20"/>
              <w:spacing w:after="0"/>
              <w:rPr>
                <w:sz w:val="20"/>
                <w:szCs w:val="20"/>
                <w:color w:val="auto"/>
              </w:rPr>
            </w:pPr>
            <w:r>
              <w:rPr>
                <w:rFonts w:ascii="Arial" w:cs="Arial" w:eastAsia="Arial" w:hAnsi="Arial"/>
                <w:sz w:val="10"/>
                <w:szCs w:val="10"/>
                <w:color w:val="auto"/>
              </w:rPr>
              <w:t>(116)</w:t>
            </w:r>
          </w:p>
        </w:tc>
        <w:tc>
          <w:tcPr>
            <w:tcW w:w="0" w:type="dxa"/>
            <w:vAlign w:val="bottom"/>
          </w:tcPr>
          <w:p>
            <w:pPr>
              <w:spacing w:after="0"/>
              <w:rPr>
                <w:sz w:val="1"/>
                <w:szCs w:val="1"/>
                <w:color w:val="auto"/>
              </w:rPr>
            </w:pPr>
          </w:p>
        </w:tc>
      </w:tr>
      <w:tr>
        <w:trPr>
          <w:trHeight w:val="130"/>
        </w:trPr>
        <w:tc>
          <w:tcPr>
            <w:tcW w:w="420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Share of profit of joint ventures and associates</w:t>
            </w:r>
          </w:p>
        </w:tc>
        <w:tc>
          <w:tcPr>
            <w:tcW w:w="9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59</w:t>
            </w:r>
          </w:p>
        </w:tc>
        <w:tc>
          <w:tcPr>
            <w:tcW w:w="178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200" w:type="dxa"/>
            <w:vAlign w:val="bottom"/>
          </w:tcPr>
          <w:p>
            <w:pPr>
              <w:spacing w:after="0"/>
              <w:rPr>
                <w:sz w:val="20"/>
                <w:szCs w:val="20"/>
                <w:color w:val="auto"/>
              </w:rPr>
            </w:pPr>
            <w:r>
              <w:rPr>
                <w:rFonts w:ascii="Arial" w:cs="Arial" w:eastAsia="Arial" w:hAnsi="Arial"/>
                <w:sz w:val="10"/>
                <w:szCs w:val="10"/>
                <w:color w:val="auto"/>
              </w:rPr>
              <w:t>Current cost of supplies adjustment</w:t>
            </w: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1,833</w:t>
            </w:r>
          </w:p>
        </w:tc>
        <w:tc>
          <w:tcPr>
            <w:tcW w:w="1780" w:type="dxa"/>
            <w:vAlign w:val="bottom"/>
          </w:tcPr>
          <w:p>
            <w:pPr>
              <w:jc w:val="right"/>
              <w:ind w:right="432"/>
              <w:spacing w:after="0"/>
              <w:rPr>
                <w:sz w:val="20"/>
                <w:szCs w:val="20"/>
                <w:color w:val="auto"/>
              </w:rPr>
            </w:pPr>
            <w:r>
              <w:rPr>
                <w:rFonts w:ascii="Arial" w:cs="Arial" w:eastAsia="Arial" w:hAnsi="Arial"/>
                <w:sz w:val="10"/>
                <w:szCs w:val="10"/>
                <w:color w:val="auto"/>
              </w:rPr>
              <w:t>(605)</w:t>
            </w:r>
          </w:p>
        </w:tc>
        <w:tc>
          <w:tcPr>
            <w:tcW w:w="840" w:type="dxa"/>
            <w:vAlign w:val="bottom"/>
          </w:tcPr>
          <w:p>
            <w:pPr>
              <w:jc w:val="right"/>
              <w:spacing w:after="0"/>
              <w:rPr>
                <w:sz w:val="20"/>
                <w:szCs w:val="20"/>
                <w:color w:val="auto"/>
              </w:rPr>
            </w:pPr>
            <w:r>
              <w:rPr>
                <w:rFonts w:ascii="Arial" w:cs="Arial" w:eastAsia="Arial" w:hAnsi="Arial"/>
                <w:sz w:val="10"/>
                <w:szCs w:val="10"/>
                <w:color w:val="auto"/>
              </w:rPr>
              <w:t>458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200" w:type="dxa"/>
            <w:vAlign w:val="bottom"/>
          </w:tcPr>
          <w:p>
            <w:pPr>
              <w:ind w:left="140"/>
              <w:spacing w:after="0"/>
              <w:rPr>
                <w:sz w:val="20"/>
                <w:szCs w:val="20"/>
                <w:color w:val="auto"/>
              </w:rPr>
            </w:pPr>
            <w:r>
              <w:rPr>
                <w:rFonts w:ascii="Arial" w:cs="Arial" w:eastAsia="Arial" w:hAnsi="Arial"/>
                <w:sz w:val="10"/>
                <w:szCs w:val="10"/>
                <w:color w:val="auto"/>
              </w:rPr>
              <w:t>Of which:</w:t>
            </w: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shd w:val="clear" w:color="auto" w:fill="D9D9D9"/>
          </w:tcPr>
          <w:p>
            <w:pPr>
              <w:spacing w:after="0"/>
              <w:rPr>
                <w:sz w:val="10"/>
                <w:szCs w:val="10"/>
                <w:color w:val="auto"/>
              </w:rPr>
            </w:pPr>
          </w:p>
        </w:tc>
        <w:tc>
          <w:tcPr>
            <w:tcW w:w="1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200" w:type="dxa"/>
            <w:vAlign w:val="bottom"/>
          </w:tcPr>
          <w:p>
            <w:pPr>
              <w:ind w:left="300"/>
              <w:spacing w:after="0"/>
              <w:rPr>
                <w:sz w:val="20"/>
                <w:szCs w:val="20"/>
                <w:color w:val="auto"/>
              </w:rPr>
            </w:pPr>
            <w:r>
              <w:rPr>
                <w:rFonts w:ascii="Arial" w:cs="Arial" w:eastAsia="Arial" w:hAnsi="Arial"/>
                <w:sz w:val="10"/>
                <w:szCs w:val="10"/>
                <w:color w:val="auto"/>
              </w:rPr>
              <w:t>Attributable to Royal Dutch Shell plc shareholders</w:t>
            </w: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1,759</w:t>
            </w:r>
          </w:p>
        </w:tc>
        <w:tc>
          <w:tcPr>
            <w:tcW w:w="1780" w:type="dxa"/>
            <w:vAlign w:val="bottom"/>
          </w:tcPr>
          <w:p>
            <w:pPr>
              <w:jc w:val="right"/>
              <w:ind w:right="432"/>
              <w:spacing w:after="0"/>
              <w:rPr>
                <w:sz w:val="20"/>
                <w:szCs w:val="20"/>
                <w:color w:val="auto"/>
              </w:rPr>
            </w:pPr>
            <w:r>
              <w:rPr>
                <w:rFonts w:ascii="Arial" w:cs="Arial" w:eastAsia="Arial" w:hAnsi="Arial"/>
                <w:sz w:val="10"/>
                <w:szCs w:val="10"/>
                <w:color w:val="auto"/>
              </w:rPr>
              <w:t>(572)</w:t>
            </w:r>
          </w:p>
        </w:tc>
        <w:tc>
          <w:tcPr>
            <w:tcW w:w="840" w:type="dxa"/>
            <w:vAlign w:val="bottom"/>
          </w:tcPr>
          <w:p>
            <w:pPr>
              <w:jc w:val="right"/>
              <w:spacing w:after="0"/>
              <w:rPr>
                <w:sz w:val="20"/>
                <w:szCs w:val="20"/>
                <w:color w:val="auto"/>
              </w:rPr>
            </w:pPr>
            <w:r>
              <w:rPr>
                <w:rFonts w:ascii="Arial" w:cs="Arial" w:eastAsia="Arial" w:hAnsi="Arial"/>
                <w:sz w:val="10"/>
                <w:szCs w:val="10"/>
                <w:color w:val="auto"/>
              </w:rPr>
              <w:t>481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200" w:type="dxa"/>
            <w:vAlign w:val="bottom"/>
            <w:tcBorders>
              <w:bottom w:val="single" w:sz="8" w:color="auto"/>
            </w:tcBorders>
          </w:tcPr>
          <w:p>
            <w:pPr>
              <w:ind w:left="300"/>
              <w:spacing w:after="0"/>
              <w:rPr>
                <w:sz w:val="20"/>
                <w:szCs w:val="20"/>
                <w:color w:val="auto"/>
              </w:rPr>
            </w:pPr>
            <w:r>
              <w:rPr>
                <w:rFonts w:ascii="Arial" w:cs="Arial" w:eastAsia="Arial" w:hAnsi="Arial"/>
                <w:sz w:val="10"/>
                <w:szCs w:val="10"/>
                <w:color w:val="auto"/>
              </w:rPr>
              <w:t>Attributable to non-controlling interest</w:t>
            </w:r>
          </w:p>
        </w:tc>
        <w:tc>
          <w:tcPr>
            <w:tcW w:w="9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74</w:t>
            </w:r>
          </w:p>
        </w:tc>
        <w:tc>
          <w:tcPr>
            <w:tcW w:w="178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(33)</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117"/>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CCS earnings</w:t>
            </w:r>
          </w:p>
        </w:tc>
        <w:tc>
          <w:tcPr>
            <w:tcW w:w="9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(19,701)</w:t>
            </w:r>
          </w:p>
        </w:tc>
        <w:tc>
          <w:tcPr>
            <w:tcW w:w="17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15,827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24,364</w:t>
            </w: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200" w:type="dxa"/>
            <w:vAlign w:val="bottom"/>
          </w:tcPr>
          <w:p>
            <w:pPr>
              <w:ind w:left="140"/>
              <w:spacing w:after="0" w:line="113" w:lineRule="exact"/>
              <w:rPr>
                <w:sz w:val="20"/>
                <w:szCs w:val="20"/>
                <w:color w:val="auto"/>
              </w:rPr>
            </w:pPr>
            <w:r>
              <w:rPr>
                <w:rFonts w:ascii="Arial" w:cs="Arial" w:eastAsia="Arial" w:hAnsi="Arial"/>
                <w:sz w:val="10"/>
                <w:szCs w:val="10"/>
                <w:color w:val="auto"/>
              </w:rPr>
              <w:t>Of which:</w:t>
            </w: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40" w:type="dxa"/>
            <w:vAlign w:val="bottom"/>
            <w:shd w:val="clear" w:color="auto" w:fill="D9D9D9"/>
          </w:tcPr>
          <w:p>
            <w:pPr>
              <w:spacing w:after="0"/>
              <w:rPr>
                <w:sz w:val="9"/>
                <w:szCs w:val="9"/>
                <w:color w:val="auto"/>
              </w:rPr>
            </w:pPr>
          </w:p>
        </w:tc>
        <w:tc>
          <w:tcPr>
            <w:tcW w:w="1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200" w:type="dxa"/>
            <w:vAlign w:val="bottom"/>
          </w:tcPr>
          <w:p>
            <w:pPr>
              <w:ind w:left="300"/>
              <w:spacing w:after="0"/>
              <w:rPr>
                <w:sz w:val="20"/>
                <w:szCs w:val="20"/>
                <w:color w:val="auto"/>
              </w:rPr>
            </w:pPr>
            <w:r>
              <w:rPr>
                <w:rFonts w:ascii="Arial" w:cs="Arial" w:eastAsia="Arial" w:hAnsi="Arial"/>
                <w:sz w:val="10"/>
                <w:szCs w:val="10"/>
                <w:color w:val="auto"/>
              </w:rPr>
              <w:t>CCS earnings attributable to Royal Dutch Shell plc shareholders</w:t>
            </w: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(19,921)</w:t>
            </w:r>
          </w:p>
        </w:tc>
        <w:tc>
          <w:tcPr>
            <w:tcW w:w="1780" w:type="dxa"/>
            <w:vAlign w:val="bottom"/>
          </w:tcPr>
          <w:p>
            <w:pPr>
              <w:jc w:val="right"/>
              <w:ind w:right="452"/>
              <w:spacing w:after="0"/>
              <w:rPr>
                <w:sz w:val="20"/>
                <w:szCs w:val="20"/>
                <w:color w:val="auto"/>
              </w:rPr>
            </w:pPr>
            <w:r>
              <w:rPr>
                <w:rFonts w:ascii="Arial" w:cs="Arial" w:eastAsia="Arial" w:hAnsi="Arial"/>
                <w:sz w:val="10"/>
                <w:szCs w:val="10"/>
                <w:color w:val="auto"/>
              </w:rPr>
              <w:t>15,270</w:t>
            </w:r>
          </w:p>
        </w:tc>
        <w:tc>
          <w:tcPr>
            <w:tcW w:w="840" w:type="dxa"/>
            <w:vAlign w:val="bottom"/>
          </w:tcPr>
          <w:p>
            <w:pPr>
              <w:jc w:val="right"/>
              <w:spacing w:after="0"/>
              <w:rPr>
                <w:sz w:val="20"/>
                <w:szCs w:val="20"/>
                <w:color w:val="auto"/>
              </w:rPr>
            </w:pPr>
            <w:r>
              <w:rPr>
                <w:rFonts w:ascii="Arial" w:cs="Arial" w:eastAsia="Arial" w:hAnsi="Arial"/>
                <w:sz w:val="10"/>
                <w:szCs w:val="10"/>
                <w:color w:val="auto"/>
              </w:rPr>
              <w:t>23,833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200" w:type="dxa"/>
            <w:vAlign w:val="bottom"/>
            <w:tcBorders>
              <w:bottom w:val="single" w:sz="8" w:color="auto"/>
            </w:tcBorders>
          </w:tcPr>
          <w:p>
            <w:pPr>
              <w:ind w:left="300"/>
              <w:spacing w:after="0"/>
              <w:rPr>
                <w:sz w:val="20"/>
                <w:szCs w:val="20"/>
                <w:color w:val="auto"/>
              </w:rPr>
            </w:pPr>
            <w:r>
              <w:rPr>
                <w:rFonts w:ascii="Arial" w:cs="Arial" w:eastAsia="Arial" w:hAnsi="Arial"/>
                <w:sz w:val="10"/>
                <w:szCs w:val="10"/>
                <w:color w:val="auto"/>
              </w:rPr>
              <w:t>CCS earnings attributable to non-controlling interest</w:t>
            </w:r>
          </w:p>
        </w:tc>
        <w:tc>
          <w:tcPr>
            <w:tcW w:w="9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220</w:t>
            </w:r>
          </w:p>
        </w:tc>
        <w:tc>
          <w:tcPr>
            <w:tcW w:w="17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557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531</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4200" w:type="dxa"/>
            <w:vAlign w:val="bottom"/>
          </w:tcPr>
          <w:p>
            <w:pPr>
              <w:spacing w:after="0"/>
              <w:rPr>
                <w:sz w:val="20"/>
                <w:szCs w:val="20"/>
                <w:color w:val="auto"/>
              </w:rPr>
            </w:pPr>
            <w:r>
              <w:rPr>
                <w:rFonts w:ascii="Arial" w:cs="Arial" w:eastAsia="Arial" w:hAnsi="Arial"/>
                <w:sz w:val="10"/>
                <w:szCs w:val="10"/>
                <w:color w:val="auto"/>
              </w:rPr>
              <w:t>Information by geographical area is as follows:</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DCDCD"/>
          </w:tcPr>
          <w:p>
            <w:pPr>
              <w:spacing w:after="0"/>
              <w:rPr>
                <w:sz w:val="12"/>
                <w:szCs w:val="12"/>
                <w:color w:val="auto"/>
              </w:rPr>
            </w:pPr>
          </w:p>
        </w:tc>
        <w:tc>
          <w:tcPr>
            <w:tcW w:w="900" w:type="dxa"/>
            <w:vAlign w:val="bottom"/>
            <w:shd w:val="clear" w:color="auto" w:fill="CDCDCD"/>
          </w:tcPr>
          <w:p>
            <w:pPr>
              <w:spacing w:after="0"/>
              <w:rPr>
                <w:sz w:val="12"/>
                <w:szCs w:val="12"/>
                <w:color w:val="auto"/>
              </w:rPr>
            </w:pPr>
          </w:p>
        </w:tc>
        <w:tc>
          <w:tcPr>
            <w:tcW w:w="800" w:type="dxa"/>
            <w:vAlign w:val="bottom"/>
            <w:shd w:val="clear" w:color="auto" w:fill="CDCDCD"/>
          </w:tcPr>
          <w:p>
            <w:pPr>
              <w:spacing w:after="0"/>
              <w:rPr>
                <w:sz w:val="12"/>
                <w:szCs w:val="12"/>
                <w:color w:val="auto"/>
              </w:rPr>
            </w:pPr>
          </w:p>
        </w:tc>
        <w:tc>
          <w:tcPr>
            <w:tcW w:w="1400" w:type="dxa"/>
            <w:vAlign w:val="bottom"/>
            <w:shd w:val="clear" w:color="auto" w:fill="CDCDCD"/>
          </w:tcPr>
          <w:p>
            <w:pPr>
              <w:spacing w:after="0"/>
              <w:rPr>
                <w:sz w:val="12"/>
                <w:szCs w:val="12"/>
                <w:color w:val="auto"/>
              </w:rPr>
            </w:pPr>
          </w:p>
        </w:tc>
        <w:tc>
          <w:tcPr>
            <w:tcW w:w="1340" w:type="dxa"/>
            <w:vAlign w:val="bottom"/>
            <w:shd w:val="clear" w:color="auto" w:fill="CDCDCD"/>
          </w:tcPr>
          <w:p>
            <w:pPr>
              <w:spacing w:after="0"/>
              <w:rPr>
                <w:sz w:val="12"/>
                <w:szCs w:val="12"/>
                <w:color w:val="auto"/>
              </w:rPr>
            </w:pPr>
          </w:p>
        </w:tc>
        <w:tc>
          <w:tcPr>
            <w:tcW w:w="1780" w:type="dxa"/>
            <w:vAlign w:val="bottom"/>
            <w:shd w:val="clear" w:color="auto" w:fill="CDCDCD"/>
          </w:tcPr>
          <w:p>
            <w:pPr>
              <w:spacing w:after="0"/>
              <w:rPr>
                <w:sz w:val="12"/>
                <w:szCs w:val="12"/>
                <w:color w:val="auto"/>
              </w:rPr>
            </w:pPr>
          </w:p>
        </w:tc>
        <w:tc>
          <w:tcPr>
            <w:tcW w:w="840" w:type="dxa"/>
            <w:vAlign w:val="bottom"/>
            <w:shd w:val="clear" w:color="auto" w:fill="CDCDCD"/>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00" w:type="dxa"/>
            <w:vAlign w:val="bottom"/>
          </w:tcPr>
          <w:p>
            <w:pPr>
              <w:spacing w:after="0"/>
              <w:rPr>
                <w:sz w:val="20"/>
                <w:szCs w:val="20"/>
                <w:color w:val="auto"/>
              </w:rPr>
            </w:pPr>
            <w:r>
              <w:rPr>
                <w:rFonts w:ascii="Arial" w:cs="Arial" w:eastAsia="Arial" w:hAnsi="Arial"/>
                <w:sz w:val="10"/>
                <w:szCs w:val="10"/>
                <w:color w:val="auto"/>
              </w:rPr>
              <w:t>2020</w:t>
            </w: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 million</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0" w:type="dxa"/>
            <w:vAlign w:val="bottom"/>
          </w:tcPr>
          <w:p>
            <w:pPr>
              <w:jc w:val="right"/>
              <w:ind w:right="372"/>
              <w:spacing w:after="0" w:line="95" w:lineRule="exact"/>
              <w:rPr>
                <w:sz w:val="20"/>
                <w:szCs w:val="20"/>
                <w:color w:val="auto"/>
              </w:rPr>
            </w:pPr>
            <w:r>
              <w:rPr>
                <w:rFonts w:ascii="Arial" w:cs="Arial" w:eastAsia="Arial" w:hAnsi="Arial"/>
                <w:sz w:val="10"/>
                <w:szCs w:val="10"/>
                <w:color w:val="auto"/>
              </w:rPr>
              <w:t>Asia,</w:t>
            </w:r>
          </w:p>
        </w:tc>
        <w:tc>
          <w:tcPr>
            <w:tcW w:w="1340" w:type="dxa"/>
            <w:vAlign w:val="bottom"/>
          </w:tcPr>
          <w:p>
            <w:pPr>
              <w:spacing w:after="0"/>
              <w:rPr>
                <w:sz w:val="8"/>
                <w:szCs w:val="8"/>
                <w:color w:val="auto"/>
              </w:rPr>
            </w:pPr>
          </w:p>
        </w:tc>
        <w:tc>
          <w:tcPr>
            <w:tcW w:w="1780" w:type="dxa"/>
            <w:vAlign w:val="bottom"/>
            <w:vMerge w:val="restart"/>
          </w:tcPr>
          <w:p>
            <w:pPr>
              <w:jc w:val="right"/>
              <w:ind w:right="452"/>
              <w:spacing w:after="0"/>
              <w:rPr>
                <w:sz w:val="20"/>
                <w:szCs w:val="20"/>
                <w:color w:val="auto"/>
              </w:rPr>
            </w:pPr>
            <w:r>
              <w:rPr>
                <w:rFonts w:ascii="Arial" w:cs="Arial" w:eastAsia="Arial" w:hAnsi="Arial"/>
                <w:sz w:val="10"/>
                <w:szCs w:val="10"/>
                <w:color w:val="auto"/>
              </w:rPr>
              <w:t>Other</w:t>
            </w: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20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Europe</w:t>
            </w:r>
          </w:p>
        </w:tc>
        <w:tc>
          <w:tcPr>
            <w:tcW w:w="800" w:type="dxa"/>
            <w:vAlign w:val="bottom"/>
          </w:tcPr>
          <w:p>
            <w:pPr>
              <w:spacing w:after="0"/>
              <w:rPr>
                <w:sz w:val="7"/>
                <w:szCs w:val="7"/>
                <w:color w:val="auto"/>
              </w:rPr>
            </w:pPr>
          </w:p>
        </w:tc>
        <w:tc>
          <w:tcPr>
            <w:tcW w:w="1400" w:type="dxa"/>
            <w:vAlign w:val="bottom"/>
          </w:tcPr>
          <w:p>
            <w:pPr>
              <w:jc w:val="right"/>
              <w:ind w:right="372"/>
              <w:spacing w:after="0" w:line="90" w:lineRule="exact"/>
              <w:rPr>
                <w:sz w:val="20"/>
                <w:szCs w:val="20"/>
                <w:color w:val="auto"/>
              </w:rPr>
            </w:pPr>
            <w:r>
              <w:rPr>
                <w:rFonts w:ascii="Arial" w:cs="Arial" w:eastAsia="Arial" w:hAnsi="Arial"/>
                <w:sz w:val="10"/>
                <w:szCs w:val="10"/>
                <w:color w:val="auto"/>
              </w:rPr>
              <w:t>Oceania,</w:t>
            </w:r>
          </w:p>
        </w:tc>
        <w:tc>
          <w:tcPr>
            <w:tcW w:w="1340" w:type="dxa"/>
            <w:vAlign w:val="bottom"/>
            <w:vMerge w:val="restart"/>
          </w:tcPr>
          <w:p>
            <w:pPr>
              <w:jc w:val="right"/>
              <w:spacing w:after="0"/>
              <w:rPr>
                <w:sz w:val="20"/>
                <w:szCs w:val="20"/>
                <w:color w:val="auto"/>
              </w:rPr>
            </w:pPr>
            <w:r>
              <w:rPr>
                <w:rFonts w:ascii="Arial" w:cs="Arial" w:eastAsia="Arial" w:hAnsi="Arial"/>
                <w:sz w:val="10"/>
                <w:szCs w:val="10"/>
                <w:color w:val="auto"/>
              </w:rPr>
              <w:t>USA</w:t>
            </w:r>
          </w:p>
        </w:tc>
        <w:tc>
          <w:tcPr>
            <w:tcW w:w="1780" w:type="dxa"/>
            <w:vAlign w:val="bottom"/>
            <w:vMerge w:val="continue"/>
          </w:tcPr>
          <w:p>
            <w:pPr>
              <w:spacing w:after="0"/>
              <w:rPr>
                <w:sz w:val="7"/>
                <w:szCs w:val="7"/>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tcPr>
          <w:p>
            <w:pPr>
              <w:jc w:val="right"/>
              <w:ind w:right="372"/>
              <w:spacing w:after="0"/>
              <w:rPr>
                <w:sz w:val="20"/>
                <w:szCs w:val="20"/>
                <w:color w:val="auto"/>
              </w:rPr>
            </w:pPr>
            <w:r>
              <w:rPr>
                <w:rFonts w:ascii="Arial" w:cs="Arial" w:eastAsia="Arial" w:hAnsi="Arial"/>
                <w:sz w:val="10"/>
                <w:szCs w:val="10"/>
                <w:color w:val="auto"/>
              </w:rPr>
              <w:t>Africa</w:t>
            </w:r>
          </w:p>
        </w:tc>
        <w:tc>
          <w:tcPr>
            <w:tcW w:w="1340" w:type="dxa"/>
            <w:vAlign w:val="bottom"/>
            <w:vMerge w:val="continue"/>
          </w:tcPr>
          <w:p>
            <w:pPr>
              <w:spacing w:after="0"/>
              <w:rPr>
                <w:sz w:val="10"/>
                <w:szCs w:val="10"/>
                <w:color w:val="auto"/>
              </w:rPr>
            </w:pPr>
          </w:p>
        </w:tc>
        <w:tc>
          <w:tcPr>
            <w:tcW w:w="1780" w:type="dxa"/>
            <w:vAlign w:val="bottom"/>
          </w:tcPr>
          <w:p>
            <w:pPr>
              <w:jc w:val="right"/>
              <w:ind w:right="452"/>
              <w:spacing w:after="0"/>
              <w:rPr>
                <w:sz w:val="20"/>
                <w:szCs w:val="20"/>
                <w:color w:val="auto"/>
              </w:rPr>
            </w:pPr>
            <w:r>
              <w:rPr>
                <w:rFonts w:ascii="Arial" w:cs="Arial" w:eastAsia="Arial" w:hAnsi="Arial"/>
                <w:sz w:val="10"/>
                <w:szCs w:val="10"/>
                <w:color w:val="auto"/>
              </w:rPr>
              <w:t>Americas</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2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Third-party revenue, by origin</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50,138</w:t>
            </w:r>
          </w:p>
        </w:tc>
        <w:tc>
          <w:tcPr>
            <w:tcW w:w="8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[A]</w:t>
            </w:r>
          </w:p>
        </w:tc>
        <w:tc>
          <w:tcPr>
            <w:tcW w:w="1400" w:type="dxa"/>
            <w:vAlign w:val="bottom"/>
            <w:tcBorders>
              <w:top w:val="single" w:sz="8" w:color="auto"/>
            </w:tcBorders>
          </w:tcPr>
          <w:p>
            <w:pPr>
              <w:jc w:val="right"/>
              <w:ind w:right="392"/>
              <w:spacing w:after="0"/>
              <w:rPr>
                <w:sz w:val="20"/>
                <w:szCs w:val="20"/>
                <w:color w:val="auto"/>
              </w:rPr>
            </w:pPr>
            <w:r>
              <w:rPr>
                <w:rFonts w:ascii="Arial" w:cs="Arial" w:eastAsia="Arial" w:hAnsi="Arial"/>
                <w:sz w:val="10"/>
                <w:szCs w:val="10"/>
                <w:color w:val="auto"/>
              </w:rPr>
              <w:t>65,139</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50,856</w:t>
            </w:r>
          </w:p>
        </w:tc>
        <w:tc>
          <w:tcPr>
            <w:tcW w:w="1780" w:type="dxa"/>
            <w:vAlign w:val="bottom"/>
            <w:tcBorders>
              <w:top w:val="single" w:sz="8" w:color="auto"/>
            </w:tcBorders>
          </w:tcPr>
          <w:p>
            <w:pPr>
              <w:jc w:val="right"/>
              <w:ind w:right="472"/>
              <w:spacing w:after="0"/>
              <w:rPr>
                <w:sz w:val="20"/>
                <w:szCs w:val="20"/>
                <w:color w:val="auto"/>
              </w:rPr>
            </w:pPr>
            <w:r>
              <w:rPr>
                <w:rFonts w:ascii="Arial" w:cs="Arial" w:eastAsia="Arial" w:hAnsi="Arial"/>
                <w:sz w:val="10"/>
                <w:szCs w:val="10"/>
                <w:color w:val="auto"/>
              </w:rPr>
              <w:t>14,410</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180,543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9"/>
              </w:rPr>
              <w:t>Intangible assets, property, plant and equipment, joint ventures and associates at December 31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38,785</w:t>
            </w:r>
          </w:p>
        </w:tc>
        <w:tc>
          <w:tcPr>
            <w:tcW w:w="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[B]</w:t>
            </w:r>
          </w:p>
        </w:tc>
        <w:tc>
          <w:tcPr>
            <w:tcW w:w="14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104,450</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62,976</w:t>
            </w:r>
          </w:p>
        </w:tc>
        <w:tc>
          <w:tcPr>
            <w:tcW w:w="17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49,909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256,120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28" w:hanging="128"/>
        <w:spacing w:after="0"/>
        <w:tabs>
          <w:tab w:leader="none" w:pos="128" w:val="left"/>
        </w:tabs>
        <w:numPr>
          <w:ilvl w:val="0"/>
          <w:numId w:val="172"/>
        </w:numPr>
        <w:rPr>
          <w:rFonts w:ascii="Arial" w:cs="Arial" w:eastAsia="Arial" w:hAnsi="Arial"/>
          <w:sz w:val="7"/>
          <w:szCs w:val="7"/>
          <w:color w:val="auto"/>
        </w:rPr>
      </w:pPr>
      <w:r>
        <w:rPr>
          <w:rFonts w:ascii="Arial" w:cs="Arial" w:eastAsia="Arial" w:hAnsi="Arial"/>
          <w:sz w:val="7"/>
          <w:szCs w:val="7"/>
          <w:color w:val="auto"/>
        </w:rPr>
        <w:t>Includes $12,958 million that originated from the UK.</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72"/>
        </w:numPr>
        <w:rPr>
          <w:rFonts w:ascii="Arial" w:cs="Arial" w:eastAsia="Arial" w:hAnsi="Arial"/>
          <w:sz w:val="7"/>
          <w:szCs w:val="7"/>
          <w:color w:val="auto"/>
        </w:rPr>
      </w:pPr>
      <w:r>
        <w:rPr>
          <w:rFonts w:ascii="Arial" w:cs="Arial" w:eastAsia="Arial" w:hAnsi="Arial"/>
          <w:sz w:val="7"/>
          <w:szCs w:val="7"/>
          <w:color w:val="auto"/>
        </w:rPr>
        <w:t>Includes $23,302 million located in the UK.</w:t>
      </w:r>
    </w:p>
    <w:p>
      <w:pPr>
        <w:spacing w:after="0" w:line="74"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260" w:type="dxa"/>
            <w:vAlign w:val="bottom"/>
            <w:shd w:val="clear" w:color="auto" w:fill="CDCDCD"/>
          </w:tcPr>
          <w:p>
            <w:pPr>
              <w:spacing w:after="0"/>
              <w:rPr>
                <w:sz w:val="10"/>
                <w:szCs w:val="10"/>
                <w:color w:val="auto"/>
              </w:rPr>
            </w:pPr>
          </w:p>
        </w:tc>
        <w:tc>
          <w:tcPr>
            <w:tcW w:w="960" w:type="dxa"/>
            <w:vAlign w:val="bottom"/>
            <w:shd w:val="clear" w:color="auto" w:fill="CDCDCD"/>
          </w:tcPr>
          <w:p>
            <w:pPr>
              <w:spacing w:after="0"/>
              <w:rPr>
                <w:sz w:val="10"/>
                <w:szCs w:val="10"/>
                <w:color w:val="auto"/>
              </w:rPr>
            </w:pPr>
          </w:p>
        </w:tc>
        <w:tc>
          <w:tcPr>
            <w:tcW w:w="740" w:type="dxa"/>
            <w:vAlign w:val="bottom"/>
            <w:shd w:val="clear" w:color="auto" w:fill="CDCDCD"/>
          </w:tcPr>
          <w:p>
            <w:pPr>
              <w:spacing w:after="0"/>
              <w:rPr>
                <w:sz w:val="10"/>
                <w:szCs w:val="10"/>
                <w:color w:val="auto"/>
              </w:rPr>
            </w:pPr>
          </w:p>
        </w:tc>
        <w:tc>
          <w:tcPr>
            <w:tcW w:w="1600" w:type="dxa"/>
            <w:vAlign w:val="bottom"/>
            <w:shd w:val="clear" w:color="auto" w:fill="CDCDCD"/>
          </w:tcPr>
          <w:p>
            <w:pPr>
              <w:spacing w:after="0"/>
              <w:rPr>
                <w:sz w:val="10"/>
                <w:szCs w:val="10"/>
                <w:color w:val="auto"/>
              </w:rPr>
            </w:pPr>
          </w:p>
        </w:tc>
        <w:tc>
          <w:tcPr>
            <w:tcW w:w="1540" w:type="dxa"/>
            <w:vAlign w:val="bottom"/>
            <w:shd w:val="clear" w:color="auto" w:fill="CDCDCD"/>
          </w:tcPr>
          <w:p>
            <w:pPr>
              <w:spacing w:after="0"/>
              <w:rPr>
                <w:sz w:val="10"/>
                <w:szCs w:val="10"/>
                <w:color w:val="auto"/>
              </w:rPr>
            </w:pPr>
          </w:p>
        </w:tc>
        <w:tc>
          <w:tcPr>
            <w:tcW w:w="1360" w:type="dxa"/>
            <w:vAlign w:val="bottom"/>
            <w:shd w:val="clear" w:color="auto" w:fill="CDCDCD"/>
          </w:tcPr>
          <w:p>
            <w:pPr>
              <w:spacing w:after="0"/>
              <w:rPr>
                <w:sz w:val="10"/>
                <w:szCs w:val="10"/>
                <w:color w:val="auto"/>
              </w:rPr>
            </w:pPr>
          </w:p>
        </w:tc>
        <w:tc>
          <w:tcPr>
            <w:tcW w:w="800" w:type="dxa"/>
            <w:vAlign w:val="bottom"/>
            <w:shd w:val="clear" w:color="auto" w:fill="CDCDCD"/>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260" w:type="dxa"/>
            <w:vAlign w:val="bottom"/>
          </w:tcPr>
          <w:p>
            <w:pPr>
              <w:spacing w:after="0"/>
              <w:rPr>
                <w:sz w:val="20"/>
                <w:szCs w:val="20"/>
                <w:color w:val="auto"/>
              </w:rPr>
            </w:pPr>
            <w:r>
              <w:rPr>
                <w:rFonts w:ascii="Arial" w:cs="Arial" w:eastAsia="Arial" w:hAnsi="Arial"/>
                <w:sz w:val="10"/>
                <w:szCs w:val="10"/>
                <w:color w:val="auto"/>
              </w:rPr>
              <w:t>2019</w:t>
            </w: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ind w:left="440"/>
              <w:spacing w:after="0"/>
              <w:rPr>
                <w:sz w:val="20"/>
                <w:szCs w:val="20"/>
                <w:color w:val="auto"/>
              </w:rPr>
            </w:pPr>
            <w:r>
              <w:rPr>
                <w:rFonts w:ascii="Arial" w:cs="Arial" w:eastAsia="Arial" w:hAnsi="Arial"/>
                <w:sz w:val="10"/>
                <w:szCs w:val="10"/>
                <w:color w:val="auto"/>
                <w:w w:val="92"/>
              </w:rPr>
              <w:t>$ million</w:t>
            </w:r>
          </w:p>
        </w:tc>
        <w:tc>
          <w:tcPr>
            <w:tcW w:w="0" w:type="dxa"/>
            <w:vAlign w:val="bottom"/>
          </w:tcPr>
          <w:p>
            <w:pPr>
              <w:spacing w:after="0"/>
              <w:rPr>
                <w:sz w:val="1"/>
                <w:szCs w:val="1"/>
                <w:color w:val="auto"/>
              </w:rPr>
            </w:pPr>
          </w:p>
        </w:tc>
      </w:tr>
      <w:tr>
        <w:trPr>
          <w:trHeight w:val="95"/>
        </w:trPr>
        <w:tc>
          <w:tcPr>
            <w:tcW w:w="4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0" w:type="dxa"/>
            <w:vAlign w:val="bottom"/>
          </w:tcPr>
          <w:p>
            <w:pPr>
              <w:jc w:val="right"/>
              <w:ind w:right="592"/>
              <w:spacing w:after="0" w:line="95" w:lineRule="exact"/>
              <w:rPr>
                <w:sz w:val="20"/>
                <w:szCs w:val="20"/>
                <w:color w:val="auto"/>
              </w:rPr>
            </w:pPr>
            <w:r>
              <w:rPr>
                <w:rFonts w:ascii="Arial" w:cs="Arial" w:eastAsia="Arial" w:hAnsi="Arial"/>
                <w:sz w:val="10"/>
                <w:szCs w:val="10"/>
                <w:color w:val="auto"/>
              </w:rPr>
              <w:t>Asia,</w:t>
            </w:r>
          </w:p>
        </w:tc>
        <w:tc>
          <w:tcPr>
            <w:tcW w:w="1540" w:type="dxa"/>
            <w:vAlign w:val="bottom"/>
          </w:tcPr>
          <w:p>
            <w:pPr>
              <w:spacing w:after="0"/>
              <w:rPr>
                <w:sz w:val="8"/>
                <w:szCs w:val="8"/>
                <w:color w:val="auto"/>
              </w:rPr>
            </w:pPr>
          </w:p>
        </w:tc>
        <w:tc>
          <w:tcPr>
            <w:tcW w:w="1360" w:type="dxa"/>
            <w:vAlign w:val="bottom"/>
            <w:vMerge w:val="restart"/>
          </w:tcPr>
          <w:p>
            <w:pPr>
              <w:jc w:val="right"/>
              <w:ind w:right="372"/>
              <w:spacing w:after="0"/>
              <w:rPr>
                <w:sz w:val="20"/>
                <w:szCs w:val="20"/>
                <w:color w:val="auto"/>
              </w:rPr>
            </w:pPr>
            <w:r>
              <w:rPr>
                <w:rFonts w:ascii="Arial" w:cs="Arial" w:eastAsia="Arial" w:hAnsi="Arial"/>
                <w:sz w:val="10"/>
                <w:szCs w:val="10"/>
                <w:color w:val="auto"/>
              </w:rPr>
              <w:t>Other</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26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color w:val="auto"/>
              </w:rPr>
              <w:t>Europe</w:t>
            </w:r>
          </w:p>
        </w:tc>
        <w:tc>
          <w:tcPr>
            <w:tcW w:w="740" w:type="dxa"/>
            <w:vAlign w:val="bottom"/>
          </w:tcPr>
          <w:p>
            <w:pPr>
              <w:spacing w:after="0"/>
              <w:rPr>
                <w:sz w:val="7"/>
                <w:szCs w:val="7"/>
                <w:color w:val="auto"/>
              </w:rPr>
            </w:pPr>
          </w:p>
        </w:tc>
        <w:tc>
          <w:tcPr>
            <w:tcW w:w="1600" w:type="dxa"/>
            <w:vAlign w:val="bottom"/>
          </w:tcPr>
          <w:p>
            <w:pPr>
              <w:jc w:val="right"/>
              <w:ind w:right="592"/>
              <w:spacing w:after="0" w:line="90" w:lineRule="exact"/>
              <w:rPr>
                <w:sz w:val="20"/>
                <w:szCs w:val="20"/>
                <w:color w:val="auto"/>
              </w:rPr>
            </w:pPr>
            <w:r>
              <w:rPr>
                <w:rFonts w:ascii="Arial" w:cs="Arial" w:eastAsia="Arial" w:hAnsi="Arial"/>
                <w:sz w:val="10"/>
                <w:szCs w:val="10"/>
                <w:color w:val="auto"/>
              </w:rPr>
              <w:t>Oceania,</w:t>
            </w:r>
          </w:p>
        </w:tc>
        <w:tc>
          <w:tcPr>
            <w:tcW w:w="1540" w:type="dxa"/>
            <w:vAlign w:val="bottom"/>
            <w:vMerge w:val="restart"/>
          </w:tcPr>
          <w:p>
            <w:pPr>
              <w:jc w:val="right"/>
              <w:ind w:right="532"/>
              <w:spacing w:after="0"/>
              <w:rPr>
                <w:sz w:val="20"/>
                <w:szCs w:val="20"/>
                <w:color w:val="auto"/>
              </w:rPr>
            </w:pPr>
            <w:r>
              <w:rPr>
                <w:rFonts w:ascii="Arial" w:cs="Arial" w:eastAsia="Arial" w:hAnsi="Arial"/>
                <w:sz w:val="10"/>
                <w:szCs w:val="10"/>
                <w:color w:val="auto"/>
              </w:rPr>
              <w:t>USA</w:t>
            </w:r>
          </w:p>
        </w:tc>
        <w:tc>
          <w:tcPr>
            <w:tcW w:w="1360" w:type="dxa"/>
            <w:vAlign w:val="bottom"/>
            <w:vMerge w:val="continue"/>
          </w:tcPr>
          <w:p>
            <w:pPr>
              <w:spacing w:after="0"/>
              <w:rPr>
                <w:sz w:val="7"/>
                <w:szCs w:val="7"/>
                <w:color w:val="auto"/>
              </w:rPr>
            </w:pPr>
          </w:p>
        </w:tc>
        <w:tc>
          <w:tcPr>
            <w:tcW w:w="800" w:type="dxa"/>
            <w:vAlign w:val="bottom"/>
            <w:vMerge w:val="restart"/>
          </w:tcPr>
          <w:p>
            <w:pPr>
              <w:ind w:left="600"/>
              <w:spacing w:after="0"/>
              <w:rPr>
                <w:sz w:val="20"/>
                <w:szCs w:val="20"/>
                <w:color w:val="auto"/>
              </w:rPr>
            </w:pPr>
            <w:r>
              <w:rPr>
                <w:rFonts w:ascii="Arial" w:cs="Arial" w:eastAsia="Arial" w:hAnsi="Arial"/>
                <w:sz w:val="10"/>
                <w:szCs w:val="10"/>
                <w:color w:val="auto"/>
                <w:w w:val="80"/>
              </w:rPr>
              <w:t>Total</w:t>
            </w:r>
          </w:p>
        </w:tc>
        <w:tc>
          <w:tcPr>
            <w:tcW w:w="0" w:type="dxa"/>
            <w:vAlign w:val="bottom"/>
          </w:tcPr>
          <w:p>
            <w:pPr>
              <w:spacing w:after="0"/>
              <w:rPr>
                <w:sz w:val="1"/>
                <w:szCs w:val="1"/>
                <w:color w:val="auto"/>
              </w:rPr>
            </w:pPr>
          </w:p>
        </w:tc>
      </w:tr>
      <w:tr>
        <w:trPr>
          <w:trHeight w:val="124"/>
        </w:trPr>
        <w:tc>
          <w:tcPr>
            <w:tcW w:w="4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Africa</w:t>
            </w:r>
          </w:p>
        </w:tc>
        <w:tc>
          <w:tcPr>
            <w:tcW w:w="1540" w:type="dxa"/>
            <w:vAlign w:val="bottom"/>
            <w:tcBorders>
              <w:bottom w:val="single" w:sz="8" w:color="auto"/>
            </w:tcBorders>
            <w:vMerge w:val="continue"/>
          </w:tcPr>
          <w:p>
            <w:pPr>
              <w:spacing w:after="0"/>
              <w:rPr>
                <w:sz w:val="10"/>
                <w:szCs w:val="10"/>
                <w:color w:val="auto"/>
              </w:rPr>
            </w:pPr>
          </w:p>
        </w:tc>
        <w:tc>
          <w:tcPr>
            <w:tcW w:w="13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Americas</w:t>
            </w:r>
          </w:p>
        </w:tc>
        <w:tc>
          <w:tcPr>
            <w:tcW w:w="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260" w:type="dxa"/>
            <w:vAlign w:val="bottom"/>
          </w:tcPr>
          <w:p>
            <w:pPr>
              <w:spacing w:after="0" w:line="113" w:lineRule="exact"/>
              <w:rPr>
                <w:sz w:val="20"/>
                <w:szCs w:val="20"/>
                <w:color w:val="auto"/>
              </w:rPr>
            </w:pPr>
            <w:r>
              <w:rPr>
                <w:rFonts w:ascii="Arial" w:cs="Arial" w:eastAsia="Arial" w:hAnsi="Arial"/>
                <w:sz w:val="10"/>
                <w:szCs w:val="10"/>
                <w:color w:val="auto"/>
              </w:rPr>
              <w:t>Third-party revenue, by origin</w:t>
            </w: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98,455</w:t>
            </w:r>
          </w:p>
        </w:tc>
        <w:tc>
          <w:tcPr>
            <w:tcW w:w="740" w:type="dxa"/>
            <w:vAlign w:val="bottom"/>
          </w:tcPr>
          <w:p>
            <w:pPr>
              <w:ind w:left="20"/>
              <w:spacing w:after="0" w:line="113" w:lineRule="exact"/>
              <w:rPr>
                <w:sz w:val="20"/>
                <w:szCs w:val="20"/>
                <w:color w:val="auto"/>
              </w:rPr>
            </w:pPr>
            <w:r>
              <w:rPr>
                <w:rFonts w:ascii="Arial" w:cs="Arial" w:eastAsia="Arial" w:hAnsi="Arial"/>
                <w:sz w:val="10"/>
                <w:szCs w:val="10"/>
                <w:color w:val="auto"/>
              </w:rPr>
              <w:t>[A]</w:t>
            </w:r>
          </w:p>
        </w:tc>
        <w:tc>
          <w:tcPr>
            <w:tcW w:w="1600" w:type="dxa"/>
            <w:vAlign w:val="bottom"/>
          </w:tcPr>
          <w:p>
            <w:pPr>
              <w:jc w:val="right"/>
              <w:ind w:right="632"/>
              <w:spacing w:after="0" w:line="113" w:lineRule="exact"/>
              <w:rPr>
                <w:sz w:val="20"/>
                <w:szCs w:val="20"/>
                <w:color w:val="auto"/>
              </w:rPr>
            </w:pPr>
            <w:r>
              <w:rPr>
                <w:rFonts w:ascii="Arial" w:cs="Arial" w:eastAsia="Arial" w:hAnsi="Arial"/>
                <w:sz w:val="10"/>
                <w:szCs w:val="10"/>
                <w:color w:val="auto"/>
              </w:rPr>
              <w:t>139,916</w:t>
            </w:r>
          </w:p>
        </w:tc>
        <w:tc>
          <w:tcPr>
            <w:tcW w:w="1540" w:type="dxa"/>
            <w:vAlign w:val="bottom"/>
          </w:tcPr>
          <w:p>
            <w:pPr>
              <w:jc w:val="right"/>
              <w:ind w:right="572"/>
              <w:spacing w:after="0" w:line="113" w:lineRule="exact"/>
              <w:rPr>
                <w:sz w:val="20"/>
                <w:szCs w:val="20"/>
                <w:color w:val="auto"/>
              </w:rPr>
            </w:pPr>
            <w:r>
              <w:rPr>
                <w:rFonts w:ascii="Arial" w:cs="Arial" w:eastAsia="Arial" w:hAnsi="Arial"/>
                <w:sz w:val="10"/>
                <w:szCs w:val="10"/>
                <w:color w:val="auto"/>
              </w:rPr>
              <w:t>83,212</w:t>
            </w:r>
          </w:p>
        </w:tc>
        <w:tc>
          <w:tcPr>
            <w:tcW w:w="1360" w:type="dxa"/>
            <w:vAlign w:val="bottom"/>
          </w:tcPr>
          <w:p>
            <w:pPr>
              <w:jc w:val="right"/>
              <w:ind w:right="392"/>
              <w:spacing w:after="0" w:line="113" w:lineRule="exact"/>
              <w:rPr>
                <w:sz w:val="20"/>
                <w:szCs w:val="20"/>
                <w:color w:val="auto"/>
              </w:rPr>
            </w:pPr>
            <w:r>
              <w:rPr>
                <w:rFonts w:ascii="Arial" w:cs="Arial" w:eastAsia="Arial" w:hAnsi="Arial"/>
                <w:sz w:val="10"/>
                <w:szCs w:val="10"/>
                <w:color w:val="auto"/>
              </w:rPr>
              <w:t>23,294</w:t>
            </w:r>
          </w:p>
        </w:tc>
        <w:tc>
          <w:tcPr>
            <w:tcW w:w="800" w:type="dxa"/>
            <w:vAlign w:val="bottom"/>
          </w:tcPr>
          <w:p>
            <w:pPr>
              <w:ind w:left="440"/>
              <w:spacing w:after="0" w:line="113" w:lineRule="exact"/>
              <w:rPr>
                <w:sz w:val="20"/>
                <w:szCs w:val="20"/>
                <w:color w:val="auto"/>
              </w:rPr>
            </w:pPr>
            <w:r>
              <w:rPr>
                <w:rFonts w:ascii="Arial" w:cs="Arial" w:eastAsia="Arial" w:hAnsi="Arial"/>
                <w:sz w:val="10"/>
                <w:szCs w:val="10"/>
                <w:color w:val="auto"/>
                <w:w w:val="93"/>
              </w:rPr>
              <w:t>344,877</w:t>
            </w:r>
          </w:p>
        </w:tc>
        <w:tc>
          <w:tcPr>
            <w:tcW w:w="0" w:type="dxa"/>
            <w:vAlign w:val="bottom"/>
          </w:tcPr>
          <w:p>
            <w:pPr>
              <w:spacing w:after="0"/>
              <w:rPr>
                <w:sz w:val="1"/>
                <w:szCs w:val="1"/>
                <w:color w:val="auto"/>
              </w:rPr>
            </w:pPr>
          </w:p>
        </w:tc>
      </w:tr>
      <w:tr>
        <w:trPr>
          <w:trHeight w:val="127"/>
        </w:trPr>
        <w:tc>
          <w:tcPr>
            <w:tcW w:w="4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Intangible assets, property, plant and equipment, joint ventures and associates at December 31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43,262</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[B]</w:t>
            </w:r>
          </w:p>
        </w:tc>
        <w:tc>
          <w:tcPr>
            <w:tcW w:w="160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color w:val="auto"/>
              </w:rPr>
              <w:t>119,732</w:t>
            </w:r>
          </w:p>
        </w:tc>
        <w:tc>
          <w:tcPr>
            <w:tcW w:w="154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color w:val="auto"/>
              </w:rPr>
              <w:t>67,105</w:t>
            </w:r>
          </w:p>
        </w:tc>
        <w:tc>
          <w:tcPr>
            <w:tcW w:w="136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54,544</w:t>
            </w: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w w:val="93"/>
              </w:rPr>
              <w:t>284,643</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28" w:hanging="128"/>
        <w:spacing w:after="0"/>
        <w:tabs>
          <w:tab w:leader="none" w:pos="128" w:val="left"/>
        </w:tabs>
        <w:numPr>
          <w:ilvl w:val="0"/>
          <w:numId w:val="173"/>
        </w:numPr>
        <w:rPr>
          <w:rFonts w:ascii="Arial" w:cs="Arial" w:eastAsia="Arial" w:hAnsi="Arial"/>
          <w:sz w:val="7"/>
          <w:szCs w:val="7"/>
          <w:color w:val="auto"/>
        </w:rPr>
      </w:pPr>
      <w:r>
        <w:rPr>
          <w:rFonts w:ascii="Arial" w:cs="Arial" w:eastAsia="Arial" w:hAnsi="Arial"/>
          <w:sz w:val="7"/>
          <w:szCs w:val="7"/>
          <w:color w:val="auto"/>
        </w:rPr>
        <w:t>Includes $41,094 million that originated from the UK.</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73"/>
        </w:numPr>
        <w:rPr>
          <w:rFonts w:ascii="Arial" w:cs="Arial" w:eastAsia="Arial" w:hAnsi="Arial"/>
          <w:sz w:val="7"/>
          <w:szCs w:val="7"/>
          <w:color w:val="auto"/>
        </w:rPr>
      </w:pPr>
      <w:r>
        <w:rPr>
          <w:rFonts w:ascii="Arial" w:cs="Arial" w:eastAsia="Arial" w:hAnsi="Arial"/>
          <w:sz w:val="7"/>
          <w:szCs w:val="7"/>
          <w:color w:val="auto"/>
        </w:rPr>
        <w:t>Includes $24,696 million located in the UK.</w:t>
      </w:r>
    </w:p>
    <w:p>
      <w:pPr>
        <w:spacing w:after="0" w:line="6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24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2018</w:t>
            </w:r>
          </w:p>
        </w:tc>
        <w:tc>
          <w:tcPr>
            <w:tcW w:w="980" w:type="dxa"/>
            <w:vAlign w:val="bottom"/>
            <w:tcBorders>
              <w:top w:val="single" w:sz="8" w:color="CDCDCD"/>
            </w:tcBorders>
          </w:tcPr>
          <w:p>
            <w:pPr>
              <w:spacing w:after="0"/>
              <w:rPr>
                <w:sz w:val="13"/>
                <w:szCs w:val="13"/>
                <w:color w:val="auto"/>
              </w:rPr>
            </w:pPr>
          </w:p>
        </w:tc>
        <w:tc>
          <w:tcPr>
            <w:tcW w:w="760" w:type="dxa"/>
            <w:vAlign w:val="bottom"/>
            <w:tcBorders>
              <w:top w:val="single" w:sz="8" w:color="CDCDCD"/>
            </w:tcBorders>
          </w:tcPr>
          <w:p>
            <w:pPr>
              <w:spacing w:after="0"/>
              <w:rPr>
                <w:sz w:val="13"/>
                <w:szCs w:val="13"/>
                <w:color w:val="auto"/>
              </w:rPr>
            </w:pPr>
          </w:p>
        </w:tc>
        <w:tc>
          <w:tcPr>
            <w:tcW w:w="1600" w:type="dxa"/>
            <w:vAlign w:val="bottom"/>
            <w:tcBorders>
              <w:top w:val="single" w:sz="8" w:color="CDCDCD"/>
            </w:tcBorders>
          </w:tcPr>
          <w:p>
            <w:pPr>
              <w:spacing w:after="0"/>
              <w:rPr>
                <w:sz w:val="13"/>
                <w:szCs w:val="13"/>
                <w:color w:val="auto"/>
              </w:rPr>
            </w:pPr>
          </w:p>
        </w:tc>
        <w:tc>
          <w:tcPr>
            <w:tcW w:w="1520" w:type="dxa"/>
            <w:vAlign w:val="bottom"/>
            <w:tcBorders>
              <w:top w:val="single" w:sz="8" w:color="CDCDCD"/>
            </w:tcBorders>
          </w:tcPr>
          <w:p>
            <w:pPr>
              <w:spacing w:after="0"/>
              <w:rPr>
                <w:sz w:val="13"/>
                <w:szCs w:val="13"/>
                <w:color w:val="auto"/>
              </w:rPr>
            </w:pPr>
          </w:p>
        </w:tc>
        <w:tc>
          <w:tcPr>
            <w:tcW w:w="1360" w:type="dxa"/>
            <w:vAlign w:val="bottom"/>
            <w:tcBorders>
              <w:top w:val="single" w:sz="8" w:color="CDCDCD"/>
            </w:tcBorders>
          </w:tcPr>
          <w:p>
            <w:pPr>
              <w:spacing w:after="0"/>
              <w:rPr>
                <w:sz w:val="13"/>
                <w:szCs w:val="13"/>
                <w:color w:val="auto"/>
              </w:rPr>
            </w:pPr>
          </w:p>
        </w:tc>
        <w:tc>
          <w:tcPr>
            <w:tcW w:w="800" w:type="dxa"/>
            <w:vAlign w:val="bottom"/>
            <w:tcBorders>
              <w:top w:val="single" w:sz="8" w:color="CDCDCD"/>
            </w:tcBorders>
          </w:tcPr>
          <w:p>
            <w:pPr>
              <w:ind w:left="440"/>
              <w:spacing w:after="0"/>
              <w:rPr>
                <w:sz w:val="20"/>
                <w:szCs w:val="20"/>
                <w:color w:val="auto"/>
              </w:rPr>
            </w:pPr>
            <w:r>
              <w:rPr>
                <w:rFonts w:ascii="Arial" w:cs="Arial" w:eastAsia="Arial" w:hAnsi="Arial"/>
                <w:sz w:val="10"/>
                <w:szCs w:val="10"/>
                <w:color w:val="auto"/>
                <w:w w:val="92"/>
              </w:rPr>
              <w:t>$ million</w:t>
            </w:r>
          </w:p>
        </w:tc>
        <w:tc>
          <w:tcPr>
            <w:tcW w:w="0" w:type="dxa"/>
            <w:vAlign w:val="bottom"/>
          </w:tcPr>
          <w:p>
            <w:pPr>
              <w:spacing w:after="0"/>
              <w:rPr>
                <w:sz w:val="1"/>
                <w:szCs w:val="1"/>
                <w:color w:val="auto"/>
              </w:rPr>
            </w:pPr>
          </w:p>
        </w:tc>
      </w:tr>
      <w:tr>
        <w:trPr>
          <w:trHeight w:val="95"/>
        </w:trPr>
        <w:tc>
          <w:tcPr>
            <w:tcW w:w="4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0" w:type="dxa"/>
            <w:vAlign w:val="bottom"/>
          </w:tcPr>
          <w:p>
            <w:pPr>
              <w:jc w:val="right"/>
              <w:ind w:right="612"/>
              <w:spacing w:after="0" w:line="95" w:lineRule="exact"/>
              <w:rPr>
                <w:sz w:val="20"/>
                <w:szCs w:val="20"/>
                <w:color w:val="auto"/>
              </w:rPr>
            </w:pPr>
            <w:r>
              <w:rPr>
                <w:rFonts w:ascii="Arial" w:cs="Arial" w:eastAsia="Arial" w:hAnsi="Arial"/>
                <w:sz w:val="10"/>
                <w:szCs w:val="10"/>
                <w:color w:val="auto"/>
              </w:rPr>
              <w:t>Asia,</w:t>
            </w:r>
          </w:p>
        </w:tc>
        <w:tc>
          <w:tcPr>
            <w:tcW w:w="1520" w:type="dxa"/>
            <w:vAlign w:val="bottom"/>
          </w:tcPr>
          <w:p>
            <w:pPr>
              <w:spacing w:after="0"/>
              <w:rPr>
                <w:sz w:val="8"/>
                <w:szCs w:val="8"/>
                <w:color w:val="auto"/>
              </w:rPr>
            </w:pPr>
          </w:p>
        </w:tc>
        <w:tc>
          <w:tcPr>
            <w:tcW w:w="1360" w:type="dxa"/>
            <w:vAlign w:val="bottom"/>
            <w:vMerge w:val="restart"/>
          </w:tcPr>
          <w:p>
            <w:pPr>
              <w:jc w:val="right"/>
              <w:ind w:right="372"/>
              <w:spacing w:after="0"/>
              <w:rPr>
                <w:sz w:val="20"/>
                <w:szCs w:val="20"/>
                <w:color w:val="auto"/>
              </w:rPr>
            </w:pPr>
            <w:r>
              <w:rPr>
                <w:rFonts w:ascii="Arial" w:cs="Arial" w:eastAsia="Arial" w:hAnsi="Arial"/>
                <w:sz w:val="10"/>
                <w:szCs w:val="10"/>
                <w:color w:val="auto"/>
              </w:rPr>
              <w:t>Other</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Europe</w:t>
            </w:r>
          </w:p>
        </w:tc>
        <w:tc>
          <w:tcPr>
            <w:tcW w:w="760" w:type="dxa"/>
            <w:vAlign w:val="bottom"/>
          </w:tcPr>
          <w:p>
            <w:pPr>
              <w:spacing w:after="0"/>
              <w:rPr>
                <w:sz w:val="7"/>
                <w:szCs w:val="7"/>
                <w:color w:val="auto"/>
              </w:rPr>
            </w:pPr>
          </w:p>
        </w:tc>
        <w:tc>
          <w:tcPr>
            <w:tcW w:w="1600" w:type="dxa"/>
            <w:vAlign w:val="bottom"/>
          </w:tcPr>
          <w:p>
            <w:pPr>
              <w:jc w:val="right"/>
              <w:ind w:right="612"/>
              <w:spacing w:after="0" w:line="90" w:lineRule="exact"/>
              <w:rPr>
                <w:sz w:val="20"/>
                <w:szCs w:val="20"/>
                <w:color w:val="auto"/>
              </w:rPr>
            </w:pPr>
            <w:r>
              <w:rPr>
                <w:rFonts w:ascii="Arial" w:cs="Arial" w:eastAsia="Arial" w:hAnsi="Arial"/>
                <w:sz w:val="10"/>
                <w:szCs w:val="10"/>
                <w:color w:val="auto"/>
              </w:rPr>
              <w:t>Oceania,</w:t>
            </w:r>
          </w:p>
        </w:tc>
        <w:tc>
          <w:tcPr>
            <w:tcW w:w="1520" w:type="dxa"/>
            <w:vAlign w:val="bottom"/>
            <w:vMerge w:val="restart"/>
          </w:tcPr>
          <w:p>
            <w:pPr>
              <w:jc w:val="right"/>
              <w:ind w:right="532"/>
              <w:spacing w:after="0"/>
              <w:rPr>
                <w:sz w:val="20"/>
                <w:szCs w:val="20"/>
                <w:color w:val="auto"/>
              </w:rPr>
            </w:pPr>
            <w:r>
              <w:rPr>
                <w:rFonts w:ascii="Arial" w:cs="Arial" w:eastAsia="Arial" w:hAnsi="Arial"/>
                <w:sz w:val="10"/>
                <w:szCs w:val="10"/>
                <w:color w:val="auto"/>
              </w:rPr>
              <w:t>USA</w:t>
            </w:r>
          </w:p>
        </w:tc>
        <w:tc>
          <w:tcPr>
            <w:tcW w:w="1360" w:type="dxa"/>
            <w:vAlign w:val="bottom"/>
            <w:vMerge w:val="continue"/>
          </w:tcPr>
          <w:p>
            <w:pPr>
              <w:spacing w:after="0"/>
              <w:rPr>
                <w:sz w:val="7"/>
                <w:szCs w:val="7"/>
                <w:color w:val="auto"/>
              </w:rPr>
            </w:pPr>
          </w:p>
        </w:tc>
        <w:tc>
          <w:tcPr>
            <w:tcW w:w="800" w:type="dxa"/>
            <w:vAlign w:val="bottom"/>
            <w:vMerge w:val="restart"/>
          </w:tcPr>
          <w:p>
            <w:pPr>
              <w:ind w:left="600"/>
              <w:spacing w:after="0"/>
              <w:rPr>
                <w:sz w:val="20"/>
                <w:szCs w:val="20"/>
                <w:color w:val="auto"/>
              </w:rPr>
            </w:pPr>
            <w:r>
              <w:rPr>
                <w:rFonts w:ascii="Arial" w:cs="Arial" w:eastAsia="Arial" w:hAnsi="Arial"/>
                <w:sz w:val="10"/>
                <w:szCs w:val="10"/>
                <w:color w:val="auto"/>
                <w:w w:val="80"/>
              </w:rPr>
              <w:t>Total</w:t>
            </w:r>
          </w:p>
        </w:tc>
        <w:tc>
          <w:tcPr>
            <w:tcW w:w="0" w:type="dxa"/>
            <w:vAlign w:val="bottom"/>
          </w:tcPr>
          <w:p>
            <w:pPr>
              <w:spacing w:after="0"/>
              <w:rPr>
                <w:sz w:val="1"/>
                <w:szCs w:val="1"/>
                <w:color w:val="auto"/>
              </w:rPr>
            </w:pPr>
          </w:p>
        </w:tc>
      </w:tr>
      <w:tr>
        <w:trPr>
          <w:trHeight w:val="124"/>
        </w:trPr>
        <w:tc>
          <w:tcPr>
            <w:tcW w:w="4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Africa</w:t>
            </w:r>
          </w:p>
        </w:tc>
        <w:tc>
          <w:tcPr>
            <w:tcW w:w="1520" w:type="dxa"/>
            <w:vAlign w:val="bottom"/>
            <w:tcBorders>
              <w:bottom w:val="single" w:sz="8" w:color="auto"/>
            </w:tcBorders>
            <w:vMerge w:val="continue"/>
          </w:tcPr>
          <w:p>
            <w:pPr>
              <w:spacing w:after="0"/>
              <w:rPr>
                <w:sz w:val="10"/>
                <w:szCs w:val="10"/>
                <w:color w:val="auto"/>
              </w:rPr>
            </w:pPr>
          </w:p>
        </w:tc>
        <w:tc>
          <w:tcPr>
            <w:tcW w:w="13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Americas</w:t>
            </w:r>
          </w:p>
        </w:tc>
        <w:tc>
          <w:tcPr>
            <w:tcW w:w="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240" w:type="dxa"/>
            <w:vAlign w:val="bottom"/>
          </w:tcPr>
          <w:p>
            <w:pPr>
              <w:spacing w:after="0" w:line="113" w:lineRule="exact"/>
              <w:rPr>
                <w:sz w:val="20"/>
                <w:szCs w:val="20"/>
                <w:color w:val="auto"/>
              </w:rPr>
            </w:pPr>
            <w:r>
              <w:rPr>
                <w:rFonts w:ascii="Arial" w:cs="Arial" w:eastAsia="Arial" w:hAnsi="Arial"/>
                <w:sz w:val="10"/>
                <w:szCs w:val="10"/>
                <w:color w:val="auto"/>
              </w:rPr>
              <w:t>Third-party revenue, by origin</w:t>
            </w:r>
          </w:p>
        </w:tc>
        <w:tc>
          <w:tcPr>
            <w:tcW w:w="980" w:type="dxa"/>
            <w:vAlign w:val="bottom"/>
          </w:tcPr>
          <w:p>
            <w:pPr>
              <w:jc w:val="right"/>
              <w:spacing w:after="0" w:line="113" w:lineRule="exact"/>
              <w:rPr>
                <w:sz w:val="20"/>
                <w:szCs w:val="20"/>
                <w:color w:val="auto"/>
              </w:rPr>
            </w:pPr>
            <w:r>
              <w:rPr>
                <w:rFonts w:ascii="Arial" w:cs="Arial" w:eastAsia="Arial" w:hAnsi="Arial"/>
                <w:sz w:val="10"/>
                <w:szCs w:val="10"/>
                <w:color w:val="auto"/>
              </w:rPr>
              <w:t>118,960</w:t>
            </w:r>
          </w:p>
        </w:tc>
        <w:tc>
          <w:tcPr>
            <w:tcW w:w="760" w:type="dxa"/>
            <w:vAlign w:val="bottom"/>
          </w:tcPr>
          <w:p>
            <w:pPr>
              <w:ind w:left="20"/>
              <w:spacing w:after="0" w:line="113" w:lineRule="exact"/>
              <w:rPr>
                <w:sz w:val="20"/>
                <w:szCs w:val="20"/>
                <w:color w:val="auto"/>
              </w:rPr>
            </w:pPr>
            <w:r>
              <w:rPr>
                <w:rFonts w:ascii="Arial" w:cs="Arial" w:eastAsia="Arial" w:hAnsi="Arial"/>
                <w:sz w:val="10"/>
                <w:szCs w:val="10"/>
                <w:color w:val="auto"/>
              </w:rPr>
              <w:t>[A]</w:t>
            </w:r>
          </w:p>
        </w:tc>
        <w:tc>
          <w:tcPr>
            <w:tcW w:w="1600" w:type="dxa"/>
            <w:vAlign w:val="bottom"/>
          </w:tcPr>
          <w:p>
            <w:pPr>
              <w:jc w:val="right"/>
              <w:ind w:right="632"/>
              <w:spacing w:after="0" w:line="113" w:lineRule="exact"/>
              <w:rPr>
                <w:sz w:val="20"/>
                <w:szCs w:val="20"/>
                <w:color w:val="auto"/>
              </w:rPr>
            </w:pPr>
            <w:r>
              <w:rPr>
                <w:rFonts w:ascii="Arial" w:cs="Arial" w:eastAsia="Arial" w:hAnsi="Arial"/>
                <w:sz w:val="10"/>
                <w:szCs w:val="10"/>
                <w:color w:val="auto"/>
              </w:rPr>
              <w:t>153,716</w:t>
            </w:r>
          </w:p>
        </w:tc>
        <w:tc>
          <w:tcPr>
            <w:tcW w:w="1520" w:type="dxa"/>
            <w:vAlign w:val="bottom"/>
          </w:tcPr>
          <w:p>
            <w:pPr>
              <w:jc w:val="right"/>
              <w:ind w:right="572"/>
              <w:spacing w:after="0" w:line="113" w:lineRule="exact"/>
              <w:rPr>
                <w:sz w:val="20"/>
                <w:szCs w:val="20"/>
                <w:color w:val="auto"/>
              </w:rPr>
            </w:pPr>
            <w:r>
              <w:rPr>
                <w:rFonts w:ascii="Arial" w:cs="Arial" w:eastAsia="Arial" w:hAnsi="Arial"/>
                <w:sz w:val="10"/>
                <w:szCs w:val="10"/>
                <w:color w:val="auto"/>
              </w:rPr>
              <w:t>89,876</w:t>
            </w:r>
          </w:p>
        </w:tc>
        <w:tc>
          <w:tcPr>
            <w:tcW w:w="1360" w:type="dxa"/>
            <w:vAlign w:val="bottom"/>
          </w:tcPr>
          <w:p>
            <w:pPr>
              <w:jc w:val="right"/>
              <w:ind w:right="392"/>
              <w:spacing w:after="0" w:line="113" w:lineRule="exact"/>
              <w:rPr>
                <w:sz w:val="20"/>
                <w:szCs w:val="20"/>
                <w:color w:val="auto"/>
              </w:rPr>
            </w:pPr>
            <w:r>
              <w:rPr>
                <w:rFonts w:ascii="Arial" w:cs="Arial" w:eastAsia="Arial" w:hAnsi="Arial"/>
                <w:sz w:val="10"/>
                <w:szCs w:val="10"/>
                <w:color w:val="auto"/>
              </w:rPr>
              <w:t>25,827</w:t>
            </w:r>
          </w:p>
        </w:tc>
        <w:tc>
          <w:tcPr>
            <w:tcW w:w="800" w:type="dxa"/>
            <w:vAlign w:val="bottom"/>
          </w:tcPr>
          <w:p>
            <w:pPr>
              <w:ind w:left="440"/>
              <w:spacing w:after="0" w:line="113" w:lineRule="exact"/>
              <w:rPr>
                <w:sz w:val="20"/>
                <w:szCs w:val="20"/>
                <w:color w:val="auto"/>
              </w:rPr>
            </w:pPr>
            <w:r>
              <w:rPr>
                <w:rFonts w:ascii="Arial" w:cs="Arial" w:eastAsia="Arial" w:hAnsi="Arial"/>
                <w:sz w:val="10"/>
                <w:szCs w:val="10"/>
                <w:color w:val="auto"/>
                <w:w w:val="93"/>
              </w:rPr>
              <w:t>388,379</w:t>
            </w:r>
          </w:p>
        </w:tc>
        <w:tc>
          <w:tcPr>
            <w:tcW w:w="0" w:type="dxa"/>
            <w:vAlign w:val="bottom"/>
          </w:tcPr>
          <w:p>
            <w:pPr>
              <w:spacing w:after="0"/>
              <w:rPr>
                <w:sz w:val="1"/>
                <w:szCs w:val="1"/>
                <w:color w:val="auto"/>
              </w:rPr>
            </w:pPr>
          </w:p>
        </w:tc>
      </w:tr>
      <w:tr>
        <w:trPr>
          <w:trHeight w:val="127"/>
        </w:trPr>
        <w:tc>
          <w:tcPr>
            <w:tcW w:w="42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Intangible assets, property, plant and equipment, joint ventures and associates at December 31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38,617</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[B]</w:t>
            </w:r>
          </w:p>
        </w:tc>
        <w:tc>
          <w:tcPr>
            <w:tcW w:w="160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color w:val="auto"/>
              </w:rPr>
              <w:t>117,127</w:t>
            </w:r>
          </w:p>
        </w:tc>
        <w:tc>
          <w:tcPr>
            <w:tcW w:w="152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color w:val="auto"/>
              </w:rPr>
              <w:t>59,625</w:t>
            </w:r>
          </w:p>
        </w:tc>
        <w:tc>
          <w:tcPr>
            <w:tcW w:w="136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56,721</w:t>
            </w: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w w:val="93"/>
              </w:rPr>
              <w:t>272,090</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8" w:hanging="128"/>
        <w:spacing w:after="0"/>
        <w:tabs>
          <w:tab w:leader="none" w:pos="128" w:val="left"/>
        </w:tabs>
        <w:numPr>
          <w:ilvl w:val="0"/>
          <w:numId w:val="174"/>
        </w:numPr>
        <w:rPr>
          <w:rFonts w:ascii="Arial" w:cs="Arial" w:eastAsia="Arial" w:hAnsi="Arial"/>
          <w:sz w:val="7"/>
          <w:szCs w:val="7"/>
          <w:color w:val="auto"/>
        </w:rPr>
      </w:pPr>
      <w:r>
        <w:rPr>
          <w:rFonts w:ascii="Arial" w:cs="Arial" w:eastAsia="Arial" w:hAnsi="Arial"/>
          <w:sz w:val="7"/>
          <w:szCs w:val="7"/>
          <w:color w:val="auto"/>
        </w:rPr>
        <w:t>Includes $54,659 million that originated from the UK.</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74"/>
        </w:numPr>
        <w:rPr>
          <w:rFonts w:ascii="Arial" w:cs="Arial" w:eastAsia="Arial" w:hAnsi="Arial"/>
          <w:sz w:val="7"/>
          <w:szCs w:val="7"/>
          <w:color w:val="auto"/>
        </w:rPr>
      </w:pPr>
      <w:r>
        <w:rPr>
          <w:rFonts w:ascii="Arial" w:cs="Arial" w:eastAsia="Arial" w:hAnsi="Arial"/>
          <w:sz w:val="7"/>
          <w:szCs w:val="7"/>
          <w:color w:val="auto"/>
        </w:rPr>
        <w:t>Includes $21,863 million located in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181</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6" w:right="299" w:bottom="1440" w:gutter="0" w:footer="0" w:header="0"/>
        </w:sectPr>
      </w:pPr>
    </w:p>
    <w:bookmarkStart w:id="184" w:name="page185"/>
    <w:bookmarkEnd w:id="184"/>
    <w:p>
      <w:pPr>
        <w:ind w:left="8"/>
        <w:spacing w:after="0"/>
        <w:rPr>
          <w:sz w:val="20"/>
          <w:szCs w:val="20"/>
          <w:color w:val="auto"/>
        </w:rPr>
      </w:pPr>
      <w:r>
        <w:rPr>
          <w:rFonts w:ascii="Arial" w:cs="Arial" w:eastAsia="Arial" w:hAnsi="Arial"/>
          <w:sz w:val="11"/>
          <w:szCs w:val="11"/>
          <w:color w:val="auto"/>
        </w:rPr>
        <w:t>5 – INTEREST AND OTHER INCOME</w:t>
      </w:r>
    </w:p>
    <w:p>
      <w:pPr>
        <w:spacing w:after="0" w:line="8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7320" w:type="dxa"/>
            <w:vAlign w:val="bottom"/>
            <w:shd w:val="clear" w:color="auto" w:fill="CDCDCD"/>
          </w:tcPr>
          <w:p>
            <w:pPr>
              <w:spacing w:after="0"/>
              <w:rPr>
                <w:sz w:val="10"/>
                <w:szCs w:val="10"/>
                <w:color w:val="auto"/>
              </w:rPr>
            </w:pPr>
          </w:p>
        </w:tc>
        <w:tc>
          <w:tcPr>
            <w:tcW w:w="1320" w:type="dxa"/>
            <w:vAlign w:val="bottom"/>
            <w:shd w:val="clear" w:color="auto" w:fill="CDCDCD"/>
          </w:tcPr>
          <w:p>
            <w:pPr>
              <w:spacing w:after="0"/>
              <w:rPr>
                <w:sz w:val="10"/>
                <w:szCs w:val="10"/>
                <w:color w:val="auto"/>
              </w:rPr>
            </w:pPr>
          </w:p>
        </w:tc>
        <w:tc>
          <w:tcPr>
            <w:tcW w:w="1800" w:type="dxa"/>
            <w:vAlign w:val="bottom"/>
            <w:shd w:val="clear" w:color="auto" w:fill="CDCDCD"/>
          </w:tcPr>
          <w:p>
            <w:pPr>
              <w:spacing w:after="0"/>
              <w:rPr>
                <w:sz w:val="10"/>
                <w:szCs w:val="10"/>
                <w:color w:val="auto"/>
              </w:rPr>
            </w:pPr>
          </w:p>
        </w:tc>
        <w:tc>
          <w:tcPr>
            <w:tcW w:w="860" w:type="dxa"/>
            <w:vAlign w:val="bottom"/>
            <w:shd w:val="clear" w:color="auto" w:fill="CDCDCD"/>
          </w:tcPr>
          <w:p>
            <w:pPr>
              <w:spacing w:after="0"/>
              <w:rPr>
                <w:sz w:val="10"/>
                <w:szCs w:val="10"/>
                <w:color w:val="auto"/>
              </w:rPr>
            </w:pPr>
          </w:p>
        </w:tc>
      </w:tr>
      <w:tr>
        <w:trPr>
          <w:trHeight w:val="121"/>
        </w:trPr>
        <w:tc>
          <w:tcPr>
            <w:tcW w:w="7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73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2019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7320" w:type="dxa"/>
            <w:vAlign w:val="bottom"/>
          </w:tcPr>
          <w:p>
            <w:pPr>
              <w:spacing w:after="0"/>
              <w:rPr>
                <w:sz w:val="20"/>
                <w:szCs w:val="20"/>
                <w:color w:val="auto"/>
              </w:rPr>
            </w:pPr>
            <w:r>
              <w:rPr>
                <w:rFonts w:ascii="Arial" w:cs="Arial" w:eastAsia="Arial" w:hAnsi="Arial"/>
                <w:sz w:val="10"/>
                <w:szCs w:val="10"/>
                <w:color w:val="auto"/>
              </w:rPr>
              <w:t>Interest income</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679</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899</w:t>
            </w:r>
          </w:p>
        </w:tc>
        <w:tc>
          <w:tcPr>
            <w:tcW w:w="860" w:type="dxa"/>
            <w:vAlign w:val="bottom"/>
          </w:tcPr>
          <w:p>
            <w:pPr>
              <w:jc w:val="right"/>
              <w:spacing w:after="0"/>
              <w:rPr>
                <w:sz w:val="20"/>
                <w:szCs w:val="20"/>
                <w:color w:val="auto"/>
              </w:rPr>
            </w:pPr>
            <w:r>
              <w:rPr>
                <w:rFonts w:ascii="Arial" w:cs="Arial" w:eastAsia="Arial" w:hAnsi="Arial"/>
                <w:sz w:val="10"/>
                <w:szCs w:val="10"/>
                <w:color w:val="auto"/>
              </w:rPr>
              <w:t>772</w:t>
            </w:r>
          </w:p>
        </w:tc>
      </w:tr>
      <w:tr>
        <w:trPr>
          <w:trHeight w:val="123"/>
        </w:trPr>
        <w:tc>
          <w:tcPr>
            <w:tcW w:w="7320" w:type="dxa"/>
            <w:vAlign w:val="bottom"/>
          </w:tcPr>
          <w:p>
            <w:pPr>
              <w:spacing w:after="0"/>
              <w:rPr>
                <w:sz w:val="20"/>
                <w:szCs w:val="20"/>
                <w:color w:val="auto"/>
              </w:rPr>
            </w:pPr>
            <w:r>
              <w:rPr>
                <w:rFonts w:ascii="Arial" w:cs="Arial" w:eastAsia="Arial" w:hAnsi="Arial"/>
                <w:sz w:val="10"/>
                <w:szCs w:val="10"/>
                <w:color w:val="auto"/>
              </w:rPr>
              <w:t>Dividend income (from investments in equity securities)</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22</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23</w:t>
            </w:r>
          </w:p>
        </w:tc>
        <w:tc>
          <w:tcPr>
            <w:tcW w:w="860" w:type="dxa"/>
            <w:vAlign w:val="bottom"/>
          </w:tcPr>
          <w:p>
            <w:pPr>
              <w:jc w:val="right"/>
              <w:spacing w:after="0"/>
              <w:rPr>
                <w:sz w:val="20"/>
                <w:szCs w:val="20"/>
                <w:color w:val="auto"/>
              </w:rPr>
            </w:pPr>
            <w:r>
              <w:rPr>
                <w:rFonts w:ascii="Arial" w:cs="Arial" w:eastAsia="Arial" w:hAnsi="Arial"/>
                <w:sz w:val="10"/>
                <w:szCs w:val="10"/>
                <w:color w:val="auto"/>
              </w:rPr>
              <w:t>104</w:t>
            </w:r>
          </w:p>
        </w:tc>
      </w:tr>
      <w:tr>
        <w:trPr>
          <w:trHeight w:val="126"/>
        </w:trPr>
        <w:tc>
          <w:tcPr>
            <w:tcW w:w="7320" w:type="dxa"/>
            <w:vAlign w:val="bottom"/>
          </w:tcPr>
          <w:p>
            <w:pPr>
              <w:spacing w:after="0"/>
              <w:rPr>
                <w:sz w:val="20"/>
                <w:szCs w:val="20"/>
                <w:color w:val="auto"/>
              </w:rPr>
            </w:pPr>
            <w:r>
              <w:rPr>
                <w:rFonts w:ascii="Arial" w:cs="Arial" w:eastAsia="Arial" w:hAnsi="Arial"/>
                <w:sz w:val="10"/>
                <w:szCs w:val="10"/>
                <w:color w:val="auto"/>
              </w:rPr>
              <w:t>Net gains on sale and revaluation of non-current assets and businesses</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286</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2,519</w:t>
            </w:r>
          </w:p>
        </w:tc>
        <w:tc>
          <w:tcPr>
            <w:tcW w:w="860" w:type="dxa"/>
            <w:vAlign w:val="bottom"/>
          </w:tcPr>
          <w:p>
            <w:pPr>
              <w:jc w:val="right"/>
              <w:spacing w:after="0"/>
              <w:rPr>
                <w:sz w:val="20"/>
                <w:szCs w:val="20"/>
                <w:color w:val="auto"/>
              </w:rPr>
            </w:pPr>
            <w:r>
              <w:rPr>
                <w:rFonts w:ascii="Arial" w:cs="Arial" w:eastAsia="Arial" w:hAnsi="Arial"/>
                <w:sz w:val="10"/>
                <w:szCs w:val="10"/>
                <w:color w:val="auto"/>
              </w:rPr>
              <w:t>3,265</w:t>
            </w:r>
          </w:p>
        </w:tc>
      </w:tr>
      <w:tr>
        <w:trPr>
          <w:trHeight w:val="126"/>
        </w:trPr>
        <w:tc>
          <w:tcPr>
            <w:tcW w:w="7320" w:type="dxa"/>
            <w:vAlign w:val="bottom"/>
          </w:tcPr>
          <w:p>
            <w:pPr>
              <w:spacing w:after="0"/>
              <w:rPr>
                <w:sz w:val="20"/>
                <w:szCs w:val="20"/>
                <w:color w:val="auto"/>
              </w:rPr>
            </w:pPr>
            <w:r>
              <w:rPr>
                <w:rFonts w:ascii="Arial" w:cs="Arial" w:eastAsia="Arial" w:hAnsi="Arial"/>
                <w:sz w:val="10"/>
                <w:szCs w:val="10"/>
                <w:color w:val="auto"/>
              </w:rPr>
              <w:t>Net foreign exchange (losses)/gains on financing activities</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(391)</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5</w:t>
            </w:r>
          </w:p>
        </w:tc>
        <w:tc>
          <w:tcPr>
            <w:tcW w:w="860" w:type="dxa"/>
            <w:vAlign w:val="bottom"/>
          </w:tcPr>
          <w:p>
            <w:pPr>
              <w:jc w:val="right"/>
              <w:spacing w:after="0"/>
              <w:rPr>
                <w:sz w:val="20"/>
                <w:szCs w:val="20"/>
                <w:color w:val="auto"/>
              </w:rPr>
            </w:pPr>
            <w:r>
              <w:rPr>
                <w:rFonts w:ascii="Arial" w:cs="Arial" w:eastAsia="Arial" w:hAnsi="Arial"/>
                <w:sz w:val="10"/>
                <w:szCs w:val="10"/>
                <w:color w:val="auto"/>
              </w:rPr>
              <w:t>(174)</w:t>
            </w:r>
          </w:p>
        </w:tc>
      </w:tr>
      <w:tr>
        <w:trPr>
          <w:trHeight w:val="130"/>
        </w:trPr>
        <w:tc>
          <w:tcPr>
            <w:tcW w:w="7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w:t>
            </w: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273</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179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w:t>
            </w:r>
          </w:p>
        </w:tc>
      </w:tr>
      <w:tr>
        <w:trPr>
          <w:trHeight w:val="117"/>
        </w:trPr>
        <w:tc>
          <w:tcPr>
            <w:tcW w:w="7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869</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3,625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4,071</w:t>
            </w:r>
          </w:p>
        </w:tc>
      </w:tr>
    </w:tbl>
    <w:p>
      <w:pPr>
        <w:spacing w:after="0" w:line="204" w:lineRule="exact"/>
        <w:rPr>
          <w:sz w:val="20"/>
          <w:szCs w:val="20"/>
          <w:color w:val="auto"/>
        </w:rPr>
      </w:pPr>
    </w:p>
    <w:p>
      <w:pPr>
        <w:ind w:left="8"/>
        <w:spacing w:after="0"/>
        <w:rPr>
          <w:sz w:val="20"/>
          <w:szCs w:val="20"/>
          <w:color w:val="auto"/>
        </w:rPr>
      </w:pPr>
      <w:r>
        <w:rPr>
          <w:rFonts w:ascii="Arial" w:cs="Arial" w:eastAsia="Arial" w:hAnsi="Arial"/>
          <w:sz w:val="10"/>
          <w:szCs w:val="10"/>
          <w:color w:val="auto"/>
        </w:rPr>
        <w:t>In 2020, 'Other' income mainly related to amounts recognised in respect of sublease income from partners in joint operations.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0"/>
          <w:szCs w:val="10"/>
          <w:color w:val="auto"/>
        </w:rPr>
        <w:t>In 2019, net gains on sale of non-current assets and businesses arose mainly in respect of gains on the sale of Integrated Gas assets in Australia, Upstream assets in the USA and Denmark, as well as Oil Products assets in Saudi Arabia and China.</w:t>
      </w:r>
    </w:p>
    <w:p>
      <w:pPr>
        <w:spacing w:after="0" w:line="155" w:lineRule="exact"/>
        <w:rPr>
          <w:sz w:val="20"/>
          <w:szCs w:val="20"/>
          <w:color w:val="auto"/>
        </w:rPr>
      </w:pPr>
    </w:p>
    <w:p>
      <w:pPr>
        <w:ind w:left="8" w:right="140"/>
        <w:spacing w:after="0" w:line="239" w:lineRule="auto"/>
        <w:rPr>
          <w:sz w:val="20"/>
          <w:szCs w:val="20"/>
          <w:color w:val="auto"/>
        </w:rPr>
      </w:pPr>
      <w:r>
        <w:rPr>
          <w:rFonts w:ascii="Arial" w:cs="Arial" w:eastAsia="Arial" w:hAnsi="Arial"/>
          <w:sz w:val="10"/>
          <w:szCs w:val="10"/>
          <w:color w:val="auto"/>
        </w:rPr>
        <w:t>In 2018, net gains on sale of non-current assets and businesses arose mainly in respect of gains on the sale of Integrated Gas assets in Thailand, Malaysia, Oman and New Zealand, as well as Upstream assets in Iraq and Malaysia and an Oil Products divestment in Argentina, partly offset by a charge related to the disposal of our Upstream assets in Ireland.</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1"/>
          <w:szCs w:val="11"/>
          <w:color w:val="auto"/>
        </w:rPr>
        <w:t>6 – INTEREST EXPENSE</w:t>
      </w:r>
    </w:p>
    <w:p>
      <w:pPr>
        <w:spacing w:after="0" w:line="8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7020" w:type="dxa"/>
            <w:vAlign w:val="bottom"/>
            <w:shd w:val="clear" w:color="auto" w:fill="D9D9D9"/>
          </w:tcPr>
          <w:p>
            <w:pPr>
              <w:spacing w:after="0"/>
              <w:rPr>
                <w:sz w:val="10"/>
                <w:szCs w:val="10"/>
                <w:color w:val="auto"/>
              </w:rPr>
            </w:pPr>
          </w:p>
        </w:tc>
        <w:tc>
          <w:tcPr>
            <w:tcW w:w="1180" w:type="dxa"/>
            <w:vAlign w:val="bottom"/>
            <w:shd w:val="clear" w:color="auto" w:fill="D9D9D9"/>
          </w:tcPr>
          <w:p>
            <w:pPr>
              <w:spacing w:after="0"/>
              <w:rPr>
                <w:sz w:val="10"/>
                <w:szCs w:val="10"/>
                <w:color w:val="auto"/>
              </w:rPr>
            </w:pPr>
          </w:p>
        </w:tc>
        <w:tc>
          <w:tcPr>
            <w:tcW w:w="800" w:type="dxa"/>
            <w:vAlign w:val="bottom"/>
            <w:shd w:val="clear" w:color="auto" w:fill="D9D9D9"/>
          </w:tcPr>
          <w:p>
            <w:pPr>
              <w:spacing w:after="0"/>
              <w:rPr>
                <w:sz w:val="10"/>
                <w:szCs w:val="10"/>
                <w:color w:val="auto"/>
              </w:rPr>
            </w:pPr>
          </w:p>
        </w:tc>
        <w:tc>
          <w:tcPr>
            <w:tcW w:w="840" w:type="dxa"/>
            <w:vAlign w:val="bottom"/>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780" w:type="dxa"/>
            <w:vAlign w:val="bottom"/>
            <w:shd w:val="clear" w:color="auto" w:fill="D9D9D9"/>
          </w:tcPr>
          <w:p>
            <w:pPr>
              <w:spacing w:after="0"/>
              <w:rPr>
                <w:sz w:val="10"/>
                <w:szCs w:val="10"/>
                <w:color w:val="auto"/>
              </w:rPr>
            </w:pPr>
          </w:p>
        </w:tc>
      </w:tr>
      <w:tr>
        <w:trPr>
          <w:trHeight w:val="121"/>
        </w:trPr>
        <w:tc>
          <w:tcPr>
            <w:tcW w:w="7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70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8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2019</w:t>
            </w:r>
          </w:p>
        </w:tc>
        <w:tc>
          <w:tcPr>
            <w:tcW w:w="6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7020" w:type="dxa"/>
            <w:vAlign w:val="bottom"/>
          </w:tcPr>
          <w:p>
            <w:pPr>
              <w:spacing w:after="0"/>
              <w:rPr>
                <w:sz w:val="20"/>
                <w:szCs w:val="20"/>
                <w:color w:val="auto"/>
              </w:rPr>
            </w:pPr>
            <w:r>
              <w:rPr>
                <w:rFonts w:ascii="Arial" w:cs="Arial" w:eastAsia="Arial" w:hAnsi="Arial"/>
                <w:sz w:val="10"/>
                <w:szCs w:val="10"/>
                <w:color w:val="auto"/>
              </w:rPr>
              <w:t>Interest incurred and similar charges</w:t>
            </w:r>
          </w:p>
        </w:tc>
        <w:tc>
          <w:tcPr>
            <w:tcW w:w="11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4,359</w:t>
            </w:r>
          </w:p>
        </w:tc>
        <w:tc>
          <w:tcPr>
            <w:tcW w:w="800" w:type="dxa"/>
            <w:vAlign w:val="bottom"/>
          </w:tcPr>
          <w:p>
            <w:pPr>
              <w:ind w:left="200"/>
              <w:spacing w:after="0"/>
              <w:rPr>
                <w:sz w:val="20"/>
                <w:szCs w:val="20"/>
                <w:color w:val="auto"/>
              </w:rPr>
            </w:pPr>
            <w:r>
              <w:rPr>
                <w:rFonts w:ascii="Arial" w:cs="Arial" w:eastAsia="Arial" w:hAnsi="Arial"/>
                <w:sz w:val="10"/>
                <w:szCs w:val="10"/>
                <w:color w:val="auto"/>
              </w:rPr>
              <w:t>[A]</w:t>
            </w:r>
          </w:p>
        </w:tc>
        <w:tc>
          <w:tcPr>
            <w:tcW w:w="840" w:type="dxa"/>
            <w:vAlign w:val="bottom"/>
          </w:tcPr>
          <w:p>
            <w:pPr>
              <w:jc w:val="right"/>
              <w:ind w:right="112"/>
              <w:spacing w:after="0"/>
              <w:rPr>
                <w:sz w:val="20"/>
                <w:szCs w:val="20"/>
                <w:color w:val="auto"/>
              </w:rPr>
            </w:pPr>
            <w:r>
              <w:rPr>
                <w:rFonts w:ascii="Arial" w:cs="Arial" w:eastAsia="Arial" w:hAnsi="Arial"/>
                <w:sz w:val="10"/>
                <w:szCs w:val="10"/>
                <w:color w:val="auto"/>
              </w:rPr>
              <w:t>4,592</w:t>
            </w:r>
          </w:p>
        </w:tc>
        <w:tc>
          <w:tcPr>
            <w:tcW w:w="680" w:type="dxa"/>
            <w:vAlign w:val="bottom"/>
          </w:tcPr>
          <w:p>
            <w:pPr>
              <w:ind w:left="120"/>
              <w:spacing w:after="0"/>
              <w:rPr>
                <w:sz w:val="20"/>
                <w:szCs w:val="20"/>
                <w:color w:val="auto"/>
              </w:rPr>
            </w:pPr>
            <w:r>
              <w:rPr>
                <w:rFonts w:ascii="Arial" w:cs="Arial" w:eastAsia="Arial" w:hAnsi="Arial"/>
                <w:sz w:val="10"/>
                <w:szCs w:val="10"/>
                <w:color w:val="auto"/>
              </w:rPr>
              <w:t>[A]</w:t>
            </w:r>
          </w:p>
        </w:tc>
        <w:tc>
          <w:tcPr>
            <w:tcW w:w="780" w:type="dxa"/>
            <w:vAlign w:val="bottom"/>
          </w:tcPr>
          <w:p>
            <w:pPr>
              <w:jc w:val="right"/>
              <w:spacing w:after="0"/>
              <w:rPr>
                <w:sz w:val="20"/>
                <w:szCs w:val="20"/>
                <w:color w:val="auto"/>
              </w:rPr>
            </w:pPr>
            <w:r>
              <w:rPr>
                <w:rFonts w:ascii="Arial" w:cs="Arial" w:eastAsia="Arial" w:hAnsi="Arial"/>
                <w:sz w:val="10"/>
                <w:szCs w:val="10"/>
                <w:color w:val="auto"/>
              </w:rPr>
              <w:t>3,550</w:t>
            </w:r>
          </w:p>
        </w:tc>
      </w:tr>
      <w:tr>
        <w:trPr>
          <w:trHeight w:val="123"/>
        </w:trPr>
        <w:tc>
          <w:tcPr>
            <w:tcW w:w="7020" w:type="dxa"/>
            <w:vAlign w:val="bottom"/>
          </w:tcPr>
          <w:p>
            <w:pPr>
              <w:spacing w:after="0"/>
              <w:rPr>
                <w:sz w:val="20"/>
                <w:szCs w:val="20"/>
                <w:color w:val="auto"/>
              </w:rPr>
            </w:pPr>
            <w:r>
              <w:rPr>
                <w:rFonts w:ascii="Arial" w:cs="Arial" w:eastAsia="Arial" w:hAnsi="Arial"/>
                <w:sz w:val="10"/>
                <w:szCs w:val="10"/>
                <w:color w:val="auto"/>
              </w:rPr>
              <w:t>Less: interest capitalised</w:t>
            </w:r>
          </w:p>
        </w:tc>
        <w:tc>
          <w:tcPr>
            <w:tcW w:w="11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(799)</w:t>
            </w:r>
          </w:p>
        </w:tc>
        <w:tc>
          <w:tcPr>
            <w:tcW w:w="800" w:type="dxa"/>
            <w:vAlign w:val="bottom"/>
          </w:tcPr>
          <w:p>
            <w:pPr>
              <w:spacing w:after="0"/>
              <w:rPr>
                <w:sz w:val="10"/>
                <w:szCs w:val="10"/>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(752)</w:t>
            </w:r>
          </w:p>
        </w:tc>
        <w:tc>
          <w:tcPr>
            <w:tcW w:w="6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(876)</w:t>
            </w:r>
          </w:p>
        </w:tc>
      </w:tr>
      <w:tr>
        <w:trPr>
          <w:trHeight w:val="126"/>
        </w:trPr>
        <w:tc>
          <w:tcPr>
            <w:tcW w:w="7020" w:type="dxa"/>
            <w:vAlign w:val="bottom"/>
          </w:tcPr>
          <w:p>
            <w:pPr>
              <w:spacing w:after="0"/>
              <w:rPr>
                <w:sz w:val="20"/>
                <w:szCs w:val="20"/>
                <w:color w:val="auto"/>
              </w:rPr>
            </w:pPr>
            <w:r>
              <w:rPr>
                <w:rFonts w:ascii="Arial" w:cs="Arial" w:eastAsia="Arial" w:hAnsi="Arial"/>
                <w:sz w:val="10"/>
                <w:szCs w:val="10"/>
                <w:color w:val="auto"/>
              </w:rPr>
              <w:t>Other net losses on fair value and cash flow hedges of debt</w:t>
            </w:r>
          </w:p>
        </w:tc>
        <w:tc>
          <w:tcPr>
            <w:tcW w:w="11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32</w:t>
            </w:r>
          </w:p>
        </w:tc>
        <w:tc>
          <w:tcPr>
            <w:tcW w:w="800" w:type="dxa"/>
            <w:vAlign w:val="bottom"/>
          </w:tcPr>
          <w:p>
            <w:pPr>
              <w:spacing w:after="0"/>
              <w:rPr>
                <w:sz w:val="10"/>
                <w:szCs w:val="10"/>
                <w:color w:val="auto"/>
              </w:rPr>
            </w:pPr>
          </w:p>
        </w:tc>
        <w:tc>
          <w:tcPr>
            <w:tcW w:w="840" w:type="dxa"/>
            <w:vAlign w:val="bottom"/>
          </w:tcPr>
          <w:p>
            <w:pPr>
              <w:jc w:val="right"/>
              <w:ind w:right="112"/>
              <w:spacing w:after="0"/>
              <w:rPr>
                <w:sz w:val="20"/>
                <w:szCs w:val="20"/>
                <w:color w:val="auto"/>
              </w:rPr>
            </w:pPr>
            <w:r>
              <w:rPr>
                <w:rFonts w:ascii="Arial" w:cs="Arial" w:eastAsia="Arial" w:hAnsi="Arial"/>
                <w:sz w:val="10"/>
                <w:szCs w:val="10"/>
                <w:color w:val="auto"/>
              </w:rPr>
              <w:t>132</w:t>
            </w:r>
          </w:p>
        </w:tc>
        <w:tc>
          <w:tcPr>
            <w:tcW w:w="6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169</w:t>
            </w:r>
          </w:p>
        </w:tc>
      </w:tr>
      <w:tr>
        <w:trPr>
          <w:trHeight w:val="130"/>
        </w:trPr>
        <w:tc>
          <w:tcPr>
            <w:tcW w:w="70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Accretion expense</w:t>
            </w:r>
          </w:p>
        </w:tc>
        <w:tc>
          <w:tcPr>
            <w:tcW w:w="118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497</w:t>
            </w:r>
          </w:p>
        </w:tc>
        <w:tc>
          <w:tcPr>
            <w:tcW w:w="8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718</w:t>
            </w:r>
          </w:p>
        </w:tc>
        <w:tc>
          <w:tcPr>
            <w:tcW w:w="6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902</w:t>
            </w:r>
          </w:p>
        </w:tc>
      </w:tr>
      <w:tr>
        <w:trPr>
          <w:trHeight w:val="117"/>
        </w:trPr>
        <w:tc>
          <w:tcPr>
            <w:tcW w:w="70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18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4,089</w:t>
            </w:r>
          </w:p>
        </w:tc>
        <w:tc>
          <w:tcPr>
            <w:tcW w:w="8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4,690</w:t>
            </w: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3,745</w:t>
            </w:r>
          </w:p>
        </w:tc>
      </w:tr>
    </w:tbl>
    <w:p>
      <w:pPr>
        <w:spacing w:after="0" w:line="51" w:lineRule="exact"/>
        <w:rPr>
          <w:sz w:val="20"/>
          <w:szCs w:val="20"/>
          <w:color w:val="auto"/>
        </w:rPr>
      </w:pPr>
    </w:p>
    <w:p>
      <w:pPr>
        <w:ind w:left="8" w:right="2700" w:hanging="8"/>
        <w:spacing w:after="0" w:line="571" w:lineRule="auto"/>
        <w:tabs>
          <w:tab w:leader="none" w:pos="165" w:val="left"/>
        </w:tabs>
        <w:numPr>
          <w:ilvl w:val="0"/>
          <w:numId w:val="175"/>
        </w:numPr>
        <w:rPr>
          <w:rFonts w:ascii="Arial" w:cs="Arial" w:eastAsia="Arial" w:hAnsi="Arial"/>
          <w:sz w:val="10"/>
          <w:szCs w:val="10"/>
          <w:color w:val="auto"/>
        </w:rPr>
      </w:pPr>
      <w:r>
        <w:rPr>
          <w:rFonts w:ascii="Arial" w:cs="Arial" w:eastAsia="Arial" w:hAnsi="Arial"/>
          <w:sz w:val="10"/>
          <w:szCs w:val="10"/>
          <w:color w:val="auto"/>
        </w:rPr>
        <w:t>Includes $2,185 million (2019: $2,186 million) of interest expense related to leases, of which $1,031 million (2019: $1,137 million) related to those leases which before January 1, 2019 were classified as operating leases. The rate applied in determining the amount of interest capitalised in 2020 was 4.5% (2019: 4.5%; 2018: 4.0%).</w:t>
      </w:r>
    </w:p>
    <w:p>
      <w:pPr>
        <w:ind w:left="8"/>
        <w:spacing w:after="0"/>
        <w:rPr>
          <w:sz w:val="20"/>
          <w:szCs w:val="20"/>
          <w:color w:val="auto"/>
        </w:rPr>
      </w:pPr>
      <w:r>
        <w:rPr>
          <w:rFonts w:ascii="Arial" w:cs="Arial" w:eastAsia="Arial" w:hAnsi="Arial"/>
          <w:sz w:val="11"/>
          <w:szCs w:val="11"/>
          <w:color w:val="auto"/>
        </w:rPr>
        <w:t>7 – INTANGIBLE ASSETS</w:t>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500" w:type="dxa"/>
            <w:vAlign w:val="bottom"/>
            <w:shd w:val="clear" w:color="auto" w:fill="CDCDCD"/>
          </w:tcPr>
          <w:p>
            <w:pPr>
              <w:spacing w:after="0"/>
              <w:rPr>
                <w:sz w:val="10"/>
                <w:szCs w:val="10"/>
                <w:color w:val="auto"/>
              </w:rPr>
            </w:pPr>
          </w:p>
        </w:tc>
        <w:tc>
          <w:tcPr>
            <w:tcW w:w="2160" w:type="dxa"/>
            <w:vAlign w:val="bottom"/>
            <w:shd w:val="clear" w:color="auto" w:fill="CDCDCD"/>
          </w:tcPr>
          <w:p>
            <w:pPr>
              <w:spacing w:after="0"/>
              <w:rPr>
                <w:sz w:val="10"/>
                <w:szCs w:val="10"/>
                <w:color w:val="auto"/>
              </w:rPr>
            </w:pPr>
          </w:p>
        </w:tc>
        <w:tc>
          <w:tcPr>
            <w:tcW w:w="1320" w:type="dxa"/>
            <w:vAlign w:val="bottom"/>
            <w:shd w:val="clear" w:color="auto" w:fill="CDCDCD"/>
          </w:tcPr>
          <w:p>
            <w:pPr>
              <w:spacing w:after="0"/>
              <w:rPr>
                <w:sz w:val="10"/>
                <w:szCs w:val="10"/>
                <w:color w:val="auto"/>
              </w:rPr>
            </w:pPr>
          </w:p>
        </w:tc>
        <w:tc>
          <w:tcPr>
            <w:tcW w:w="980" w:type="dxa"/>
            <w:vAlign w:val="bottom"/>
            <w:shd w:val="clear" w:color="auto" w:fill="CDCDCD"/>
          </w:tcPr>
          <w:p>
            <w:pPr>
              <w:spacing w:after="0"/>
              <w:rPr>
                <w:sz w:val="10"/>
                <w:szCs w:val="10"/>
                <w:color w:val="auto"/>
              </w:rPr>
            </w:pPr>
          </w:p>
        </w:tc>
        <w:tc>
          <w:tcPr>
            <w:tcW w:w="740" w:type="dxa"/>
            <w:vAlign w:val="bottom"/>
            <w:shd w:val="clear" w:color="auto" w:fill="CDCDCD"/>
          </w:tcPr>
          <w:p>
            <w:pPr>
              <w:spacing w:after="0"/>
              <w:rPr>
                <w:sz w:val="10"/>
                <w:szCs w:val="10"/>
                <w:color w:val="auto"/>
              </w:rPr>
            </w:pPr>
          </w:p>
        </w:tc>
        <w:tc>
          <w:tcPr>
            <w:tcW w:w="740" w:type="dxa"/>
            <w:vAlign w:val="bottom"/>
            <w:shd w:val="clear" w:color="auto" w:fill="CDCDCD"/>
          </w:tcPr>
          <w:p>
            <w:pPr>
              <w:spacing w:after="0"/>
              <w:rPr>
                <w:sz w:val="10"/>
                <w:szCs w:val="10"/>
                <w:color w:val="auto"/>
              </w:rPr>
            </w:pPr>
          </w:p>
        </w:tc>
        <w:tc>
          <w:tcPr>
            <w:tcW w:w="860" w:type="dxa"/>
            <w:vAlign w:val="bottom"/>
            <w:shd w:val="clear" w:color="auto" w:fill="CDCDCD"/>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500" w:type="dxa"/>
            <w:vAlign w:val="bottom"/>
          </w:tcPr>
          <w:p>
            <w:pPr>
              <w:spacing w:after="0"/>
              <w:rPr>
                <w:sz w:val="20"/>
                <w:szCs w:val="20"/>
                <w:color w:val="auto"/>
              </w:rPr>
            </w:pPr>
            <w:r>
              <w:rPr>
                <w:rFonts w:ascii="Arial" w:cs="Arial" w:eastAsia="Arial" w:hAnsi="Arial"/>
                <w:sz w:val="10"/>
                <w:szCs w:val="10"/>
                <w:color w:val="auto"/>
              </w:rPr>
              <w:t>2020</w:t>
            </w:r>
          </w:p>
        </w:tc>
        <w:tc>
          <w:tcPr>
            <w:tcW w:w="2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95"/>
        </w:trPr>
        <w:tc>
          <w:tcPr>
            <w:tcW w:w="4500" w:type="dxa"/>
            <w:vAlign w:val="bottom"/>
          </w:tcPr>
          <w:p>
            <w:pPr>
              <w:spacing w:after="0"/>
              <w:rPr>
                <w:sz w:val="8"/>
                <w:szCs w:val="8"/>
                <w:color w:val="auto"/>
              </w:rPr>
            </w:pPr>
          </w:p>
        </w:tc>
        <w:tc>
          <w:tcPr>
            <w:tcW w:w="2160" w:type="dxa"/>
            <w:vAlign w:val="bottom"/>
            <w:vMerge w:val="restart"/>
          </w:tcPr>
          <w:p>
            <w:pPr>
              <w:jc w:val="right"/>
              <w:ind w:right="253"/>
              <w:spacing w:after="0"/>
              <w:rPr>
                <w:sz w:val="20"/>
                <w:szCs w:val="20"/>
                <w:color w:val="auto"/>
              </w:rPr>
            </w:pPr>
            <w:r>
              <w:rPr>
                <w:rFonts w:ascii="Arial" w:cs="Arial" w:eastAsia="Arial" w:hAnsi="Arial"/>
                <w:sz w:val="10"/>
                <w:szCs w:val="10"/>
                <w:color w:val="auto"/>
              </w:rPr>
              <w:t>Goodwill</w:t>
            </w:r>
          </w:p>
        </w:tc>
        <w:tc>
          <w:tcPr>
            <w:tcW w:w="1320" w:type="dxa"/>
            <w:vAlign w:val="bottom"/>
          </w:tcPr>
          <w:p>
            <w:pPr>
              <w:jc w:val="right"/>
              <w:ind w:right="252"/>
              <w:spacing w:after="0" w:line="95" w:lineRule="exact"/>
              <w:rPr>
                <w:sz w:val="20"/>
                <w:szCs w:val="20"/>
                <w:color w:val="auto"/>
              </w:rPr>
            </w:pPr>
            <w:r>
              <w:rPr>
                <w:rFonts w:ascii="Arial" w:cs="Arial" w:eastAsia="Arial" w:hAnsi="Arial"/>
                <w:sz w:val="10"/>
                <w:szCs w:val="10"/>
                <w:color w:val="auto"/>
              </w:rPr>
              <w:t>LNG off-take</w:t>
            </w:r>
          </w:p>
        </w:tc>
        <w:tc>
          <w:tcPr>
            <w:tcW w:w="980" w:type="dxa"/>
            <w:vAlign w:val="bottom"/>
            <w:vMerge w:val="restart"/>
          </w:tcPr>
          <w:p>
            <w:pPr>
              <w:jc w:val="right"/>
              <w:ind w:right="292"/>
              <w:spacing w:after="0"/>
              <w:rPr>
                <w:sz w:val="20"/>
                <w:szCs w:val="20"/>
                <w:color w:val="auto"/>
              </w:rPr>
            </w:pPr>
            <w:r>
              <w:rPr>
                <w:rFonts w:ascii="Arial" w:cs="Arial" w:eastAsia="Arial" w:hAnsi="Arial"/>
                <w:sz w:val="10"/>
                <w:szCs w:val="10"/>
                <w:color w:val="auto"/>
              </w:rPr>
              <w:t>Software</w:t>
            </w:r>
          </w:p>
        </w:tc>
        <w:tc>
          <w:tcPr>
            <w:tcW w:w="740" w:type="dxa"/>
            <w:vAlign w:val="bottom"/>
            <w:vMerge w:val="restart"/>
          </w:tcPr>
          <w:p>
            <w:pPr>
              <w:ind w:left="380"/>
              <w:spacing w:after="0"/>
              <w:rPr>
                <w:sz w:val="20"/>
                <w:szCs w:val="20"/>
                <w:color w:val="auto"/>
              </w:rPr>
            </w:pPr>
            <w:r>
              <w:rPr>
                <w:rFonts w:ascii="Arial" w:cs="Arial" w:eastAsia="Arial" w:hAnsi="Arial"/>
                <w:sz w:val="10"/>
                <w:szCs w:val="10"/>
                <w:color w:val="auto"/>
              </w:rPr>
              <w:t>Other</w:t>
            </w:r>
          </w:p>
        </w:tc>
        <w:tc>
          <w:tcPr>
            <w:tcW w:w="7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450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and sales contracts</w:t>
            </w:r>
          </w:p>
        </w:tc>
        <w:tc>
          <w:tcPr>
            <w:tcW w:w="98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500" w:type="dxa"/>
            <w:vAlign w:val="bottom"/>
          </w:tcPr>
          <w:p>
            <w:pPr>
              <w:spacing w:after="0" w:line="113" w:lineRule="exact"/>
              <w:rPr>
                <w:sz w:val="20"/>
                <w:szCs w:val="20"/>
                <w:color w:val="auto"/>
              </w:rPr>
            </w:pPr>
            <w:r>
              <w:rPr>
                <w:rFonts w:ascii="Arial" w:cs="Arial" w:eastAsia="Arial" w:hAnsi="Arial"/>
                <w:sz w:val="10"/>
                <w:szCs w:val="10"/>
                <w:color w:val="auto"/>
              </w:rPr>
              <w:t>Cost</w:t>
            </w:r>
          </w:p>
        </w:tc>
        <w:tc>
          <w:tcPr>
            <w:tcW w:w="2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500" w:type="dxa"/>
            <w:vAlign w:val="bottom"/>
          </w:tcPr>
          <w:p>
            <w:pPr>
              <w:ind w:left="80"/>
              <w:spacing w:after="0"/>
              <w:rPr>
                <w:sz w:val="20"/>
                <w:szCs w:val="20"/>
                <w:color w:val="auto"/>
              </w:rPr>
            </w:pPr>
            <w:r>
              <w:rPr>
                <w:rFonts w:ascii="Arial" w:cs="Arial" w:eastAsia="Arial" w:hAnsi="Arial"/>
                <w:sz w:val="10"/>
                <w:szCs w:val="10"/>
                <w:color w:val="auto"/>
              </w:rPr>
              <w:t>At January 1</w:t>
            </w:r>
          </w:p>
        </w:tc>
        <w:tc>
          <w:tcPr>
            <w:tcW w:w="2160" w:type="dxa"/>
            <w:vAlign w:val="bottom"/>
          </w:tcPr>
          <w:p>
            <w:pPr>
              <w:jc w:val="right"/>
              <w:ind w:right="273"/>
              <w:spacing w:after="0"/>
              <w:rPr>
                <w:sz w:val="20"/>
                <w:szCs w:val="20"/>
                <w:color w:val="auto"/>
              </w:rPr>
            </w:pPr>
            <w:r>
              <w:rPr>
                <w:rFonts w:ascii="Arial" w:cs="Arial" w:eastAsia="Arial" w:hAnsi="Arial"/>
                <w:sz w:val="10"/>
                <w:szCs w:val="10"/>
                <w:color w:val="auto"/>
              </w:rPr>
              <w:t>14,973</w:t>
            </w:r>
          </w:p>
        </w:tc>
        <w:tc>
          <w:tcPr>
            <w:tcW w:w="1320" w:type="dxa"/>
            <w:vAlign w:val="bottom"/>
          </w:tcPr>
          <w:p>
            <w:pPr>
              <w:jc w:val="right"/>
              <w:ind w:right="272"/>
              <w:spacing w:after="0"/>
              <w:rPr>
                <w:sz w:val="20"/>
                <w:szCs w:val="20"/>
                <w:color w:val="auto"/>
              </w:rPr>
            </w:pPr>
            <w:r>
              <w:rPr>
                <w:rFonts w:ascii="Arial" w:cs="Arial" w:eastAsia="Arial" w:hAnsi="Arial"/>
                <w:sz w:val="10"/>
                <w:szCs w:val="10"/>
                <w:color w:val="auto"/>
              </w:rPr>
              <w:t>10,211</w:t>
            </w:r>
          </w:p>
        </w:tc>
        <w:tc>
          <w:tcPr>
            <w:tcW w:w="980" w:type="dxa"/>
            <w:vAlign w:val="bottom"/>
          </w:tcPr>
          <w:p>
            <w:pPr>
              <w:jc w:val="right"/>
              <w:ind w:right="312"/>
              <w:spacing w:after="0"/>
              <w:rPr>
                <w:sz w:val="20"/>
                <w:szCs w:val="20"/>
                <w:color w:val="auto"/>
              </w:rPr>
            </w:pPr>
            <w:r>
              <w:rPr>
                <w:rFonts w:ascii="Arial" w:cs="Arial" w:eastAsia="Arial" w:hAnsi="Arial"/>
                <w:sz w:val="10"/>
                <w:szCs w:val="10"/>
                <w:color w:val="auto"/>
              </w:rPr>
              <w:t>2,958</w:t>
            </w:r>
          </w:p>
        </w:tc>
        <w:tc>
          <w:tcPr>
            <w:tcW w:w="740" w:type="dxa"/>
            <w:vAlign w:val="bottom"/>
          </w:tcPr>
          <w:p>
            <w:pPr>
              <w:jc w:val="right"/>
              <w:ind w:right="132"/>
              <w:spacing w:after="0"/>
              <w:rPr>
                <w:sz w:val="20"/>
                <w:szCs w:val="20"/>
                <w:color w:val="auto"/>
              </w:rPr>
            </w:pPr>
            <w:r>
              <w:rPr>
                <w:rFonts w:ascii="Arial" w:cs="Arial" w:eastAsia="Arial" w:hAnsi="Arial"/>
                <w:sz w:val="10"/>
                <w:szCs w:val="10"/>
                <w:color w:val="auto"/>
              </w:rPr>
              <w:t>3,908</w:t>
            </w:r>
          </w:p>
        </w:tc>
        <w:tc>
          <w:tcPr>
            <w:tcW w:w="740" w:type="dxa"/>
            <w:vAlign w:val="bottom"/>
          </w:tcPr>
          <w:p>
            <w:pPr>
              <w:spacing w:after="0"/>
              <w:rPr>
                <w:sz w:val="10"/>
                <w:szCs w:val="10"/>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32,050</w:t>
            </w:r>
          </w:p>
        </w:tc>
        <w:tc>
          <w:tcPr>
            <w:tcW w:w="0" w:type="dxa"/>
            <w:vAlign w:val="bottom"/>
          </w:tcPr>
          <w:p>
            <w:pPr>
              <w:spacing w:after="0"/>
              <w:rPr>
                <w:sz w:val="1"/>
                <w:szCs w:val="1"/>
                <w:color w:val="auto"/>
              </w:rPr>
            </w:pPr>
          </w:p>
        </w:tc>
      </w:tr>
      <w:tr>
        <w:trPr>
          <w:trHeight w:val="126"/>
        </w:trPr>
        <w:tc>
          <w:tcPr>
            <w:tcW w:w="4500" w:type="dxa"/>
            <w:vAlign w:val="bottom"/>
          </w:tcPr>
          <w:p>
            <w:pPr>
              <w:ind w:left="80"/>
              <w:spacing w:after="0"/>
              <w:rPr>
                <w:sz w:val="20"/>
                <w:szCs w:val="20"/>
                <w:color w:val="auto"/>
              </w:rPr>
            </w:pPr>
            <w:r>
              <w:rPr>
                <w:rFonts w:ascii="Arial" w:cs="Arial" w:eastAsia="Arial" w:hAnsi="Arial"/>
                <w:sz w:val="10"/>
                <w:szCs w:val="10"/>
                <w:color w:val="auto"/>
              </w:rPr>
              <w:t>Additions</w:t>
            </w:r>
          </w:p>
        </w:tc>
        <w:tc>
          <w:tcPr>
            <w:tcW w:w="2160" w:type="dxa"/>
            <w:vAlign w:val="bottom"/>
          </w:tcPr>
          <w:p>
            <w:pPr>
              <w:jc w:val="right"/>
              <w:ind w:right="273"/>
              <w:spacing w:after="0"/>
              <w:rPr>
                <w:sz w:val="20"/>
                <w:szCs w:val="20"/>
                <w:color w:val="auto"/>
              </w:rPr>
            </w:pPr>
            <w:r>
              <w:rPr>
                <w:rFonts w:ascii="Arial" w:cs="Arial" w:eastAsia="Arial" w:hAnsi="Arial"/>
                <w:sz w:val="10"/>
                <w:szCs w:val="10"/>
                <w:color w:val="auto"/>
              </w:rPr>
              <w:t>247</w:t>
            </w:r>
          </w:p>
        </w:tc>
        <w:tc>
          <w:tcPr>
            <w:tcW w:w="132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312"/>
              <w:spacing w:after="0"/>
              <w:rPr>
                <w:sz w:val="20"/>
                <w:szCs w:val="20"/>
                <w:color w:val="auto"/>
              </w:rPr>
            </w:pPr>
            <w:r>
              <w:rPr>
                <w:rFonts w:ascii="Arial" w:cs="Arial" w:eastAsia="Arial" w:hAnsi="Arial"/>
                <w:sz w:val="10"/>
                <w:szCs w:val="10"/>
                <w:color w:val="auto"/>
              </w:rPr>
              <w:t>133</w:t>
            </w:r>
          </w:p>
        </w:tc>
        <w:tc>
          <w:tcPr>
            <w:tcW w:w="740" w:type="dxa"/>
            <w:vAlign w:val="bottom"/>
          </w:tcPr>
          <w:p>
            <w:pPr>
              <w:jc w:val="right"/>
              <w:ind w:right="132"/>
              <w:spacing w:after="0"/>
              <w:rPr>
                <w:sz w:val="20"/>
                <w:szCs w:val="20"/>
                <w:color w:val="auto"/>
              </w:rPr>
            </w:pPr>
            <w:r>
              <w:rPr>
                <w:rFonts w:ascii="Arial" w:cs="Arial" w:eastAsia="Arial" w:hAnsi="Arial"/>
                <w:sz w:val="10"/>
                <w:szCs w:val="10"/>
                <w:color w:val="auto"/>
              </w:rPr>
              <w:t>1,448</w:t>
            </w:r>
          </w:p>
        </w:tc>
        <w:tc>
          <w:tcPr>
            <w:tcW w:w="740" w:type="dxa"/>
            <w:vAlign w:val="bottom"/>
          </w:tcPr>
          <w:p>
            <w:pPr>
              <w:spacing w:after="0"/>
              <w:rPr>
                <w:sz w:val="10"/>
                <w:szCs w:val="10"/>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1,828</w:t>
            </w:r>
          </w:p>
        </w:tc>
        <w:tc>
          <w:tcPr>
            <w:tcW w:w="0" w:type="dxa"/>
            <w:vAlign w:val="bottom"/>
          </w:tcPr>
          <w:p>
            <w:pPr>
              <w:spacing w:after="0"/>
              <w:rPr>
                <w:sz w:val="1"/>
                <w:szCs w:val="1"/>
                <w:color w:val="auto"/>
              </w:rPr>
            </w:pPr>
          </w:p>
        </w:tc>
      </w:tr>
      <w:tr>
        <w:trPr>
          <w:trHeight w:val="126"/>
        </w:trPr>
        <w:tc>
          <w:tcPr>
            <w:tcW w:w="4500" w:type="dxa"/>
            <w:vAlign w:val="bottom"/>
          </w:tcPr>
          <w:p>
            <w:pPr>
              <w:ind w:left="80"/>
              <w:spacing w:after="0"/>
              <w:rPr>
                <w:sz w:val="20"/>
                <w:szCs w:val="20"/>
                <w:color w:val="auto"/>
              </w:rPr>
            </w:pPr>
            <w:r>
              <w:rPr>
                <w:rFonts w:ascii="Arial" w:cs="Arial" w:eastAsia="Arial" w:hAnsi="Arial"/>
                <w:sz w:val="10"/>
                <w:szCs w:val="10"/>
                <w:color w:val="auto"/>
              </w:rPr>
              <w:t>Sales, retirements and other movements</w:t>
            </w:r>
          </w:p>
        </w:tc>
        <w:tc>
          <w:tcPr>
            <w:tcW w:w="2160" w:type="dxa"/>
            <w:vAlign w:val="bottom"/>
          </w:tcPr>
          <w:p>
            <w:pPr>
              <w:jc w:val="right"/>
              <w:ind w:right="253"/>
              <w:spacing w:after="0"/>
              <w:rPr>
                <w:sz w:val="20"/>
                <w:szCs w:val="20"/>
                <w:color w:val="auto"/>
              </w:rPr>
            </w:pPr>
            <w:r>
              <w:rPr>
                <w:rFonts w:ascii="Arial" w:cs="Arial" w:eastAsia="Arial" w:hAnsi="Arial"/>
                <w:sz w:val="10"/>
                <w:szCs w:val="10"/>
                <w:color w:val="auto"/>
              </w:rPr>
              <w:t>(64)</w:t>
            </w:r>
          </w:p>
        </w:tc>
        <w:tc>
          <w:tcPr>
            <w:tcW w:w="1320" w:type="dxa"/>
            <w:vAlign w:val="bottom"/>
          </w:tcPr>
          <w:p>
            <w:pPr>
              <w:jc w:val="right"/>
              <w:ind w:right="252"/>
              <w:spacing w:after="0"/>
              <w:rPr>
                <w:sz w:val="20"/>
                <w:szCs w:val="20"/>
                <w:color w:val="auto"/>
              </w:rPr>
            </w:pPr>
            <w:r>
              <w:rPr>
                <w:rFonts w:ascii="Arial" w:cs="Arial" w:eastAsia="Arial" w:hAnsi="Arial"/>
                <w:sz w:val="10"/>
                <w:szCs w:val="10"/>
                <w:color w:val="auto"/>
              </w:rPr>
              <w:t>(181)</w:t>
            </w:r>
          </w:p>
        </w:tc>
        <w:tc>
          <w:tcPr>
            <w:tcW w:w="980" w:type="dxa"/>
            <w:vAlign w:val="bottom"/>
          </w:tcPr>
          <w:p>
            <w:pPr>
              <w:jc w:val="right"/>
              <w:ind w:right="292"/>
              <w:spacing w:after="0"/>
              <w:rPr>
                <w:sz w:val="20"/>
                <w:szCs w:val="20"/>
                <w:color w:val="auto"/>
              </w:rPr>
            </w:pPr>
            <w:r>
              <w:rPr>
                <w:rFonts w:ascii="Arial" w:cs="Arial" w:eastAsia="Arial" w:hAnsi="Arial"/>
                <w:sz w:val="10"/>
                <w:szCs w:val="10"/>
                <w:color w:val="auto"/>
              </w:rPr>
              <w:t>(77)</w:t>
            </w:r>
          </w:p>
        </w:tc>
        <w:tc>
          <w:tcPr>
            <w:tcW w:w="740" w:type="dxa"/>
            <w:vAlign w:val="bottom"/>
          </w:tcPr>
          <w:p>
            <w:pPr>
              <w:ind w:left="380"/>
              <w:spacing w:after="0"/>
              <w:rPr>
                <w:sz w:val="20"/>
                <w:szCs w:val="20"/>
                <w:color w:val="auto"/>
              </w:rPr>
            </w:pPr>
            <w:r>
              <w:rPr>
                <w:rFonts w:ascii="Arial" w:cs="Arial" w:eastAsia="Arial" w:hAnsi="Arial"/>
                <w:sz w:val="10"/>
                <w:szCs w:val="10"/>
                <w:color w:val="auto"/>
              </w:rPr>
              <w:t>(637)</w:t>
            </w:r>
          </w:p>
        </w:tc>
        <w:tc>
          <w:tcPr>
            <w:tcW w:w="7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(959)</w:t>
            </w:r>
          </w:p>
        </w:tc>
        <w:tc>
          <w:tcPr>
            <w:tcW w:w="0" w:type="dxa"/>
            <w:vAlign w:val="bottom"/>
          </w:tcPr>
          <w:p>
            <w:pPr>
              <w:spacing w:after="0"/>
              <w:rPr>
                <w:sz w:val="1"/>
                <w:szCs w:val="1"/>
                <w:color w:val="auto"/>
              </w:rPr>
            </w:pPr>
          </w:p>
        </w:tc>
      </w:tr>
      <w:tr>
        <w:trPr>
          <w:trHeight w:val="130"/>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Currency translation differences</w:t>
            </w:r>
          </w:p>
        </w:tc>
        <w:tc>
          <w:tcPr>
            <w:tcW w:w="216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color w:val="auto"/>
              </w:rPr>
              <w:t>57</w:t>
            </w:r>
          </w:p>
        </w:tc>
        <w:tc>
          <w:tcPr>
            <w:tcW w:w="13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100</w:t>
            </w: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94</w:t>
            </w:r>
          </w:p>
        </w:tc>
        <w:tc>
          <w:tcPr>
            <w:tcW w:w="7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251</w:t>
            </w:r>
          </w:p>
        </w:tc>
        <w:tc>
          <w:tcPr>
            <w:tcW w:w="0" w:type="dxa"/>
            <w:vAlign w:val="bottom"/>
          </w:tcPr>
          <w:p>
            <w:pPr>
              <w:spacing w:after="0"/>
              <w:rPr>
                <w:sz w:val="1"/>
                <w:szCs w:val="1"/>
                <w:color w:val="auto"/>
              </w:rPr>
            </w:pPr>
          </w:p>
        </w:tc>
      </w:tr>
      <w:tr>
        <w:trPr>
          <w:trHeight w:val="117"/>
        </w:trPr>
        <w:tc>
          <w:tcPr>
            <w:tcW w:w="45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216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color w:val="auto"/>
              </w:rPr>
              <w:t>15,213</w:t>
            </w:r>
          </w:p>
        </w:tc>
        <w:tc>
          <w:tcPr>
            <w:tcW w:w="13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10,030</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3,114</w:t>
            </w: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4,813</w:t>
            </w:r>
          </w:p>
        </w:tc>
        <w:tc>
          <w:tcPr>
            <w:tcW w:w="7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33,170</w:t>
            </w:r>
          </w:p>
        </w:tc>
        <w:tc>
          <w:tcPr>
            <w:tcW w:w="0" w:type="dxa"/>
            <w:vAlign w:val="bottom"/>
          </w:tcPr>
          <w:p>
            <w:pPr>
              <w:spacing w:after="0"/>
              <w:rPr>
                <w:sz w:val="1"/>
                <w:szCs w:val="1"/>
                <w:color w:val="auto"/>
              </w:rPr>
            </w:pPr>
          </w:p>
        </w:tc>
      </w:tr>
      <w:tr>
        <w:trPr>
          <w:trHeight w:val="113"/>
        </w:trPr>
        <w:tc>
          <w:tcPr>
            <w:tcW w:w="4500" w:type="dxa"/>
            <w:vAlign w:val="bottom"/>
          </w:tcPr>
          <w:p>
            <w:pPr>
              <w:spacing w:after="0" w:line="113" w:lineRule="exact"/>
              <w:rPr>
                <w:sz w:val="20"/>
                <w:szCs w:val="20"/>
                <w:color w:val="auto"/>
              </w:rPr>
            </w:pPr>
            <w:r>
              <w:rPr>
                <w:rFonts w:ascii="Arial" w:cs="Arial" w:eastAsia="Arial" w:hAnsi="Arial"/>
                <w:sz w:val="10"/>
                <w:szCs w:val="10"/>
                <w:color w:val="auto"/>
              </w:rPr>
              <w:t>Depreciation, depletion and amortisation, including impairments</w:t>
            </w:r>
          </w:p>
        </w:tc>
        <w:tc>
          <w:tcPr>
            <w:tcW w:w="2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500" w:type="dxa"/>
            <w:vAlign w:val="bottom"/>
          </w:tcPr>
          <w:p>
            <w:pPr>
              <w:ind w:left="80"/>
              <w:spacing w:after="0"/>
              <w:rPr>
                <w:sz w:val="20"/>
                <w:szCs w:val="20"/>
                <w:color w:val="auto"/>
              </w:rPr>
            </w:pPr>
            <w:r>
              <w:rPr>
                <w:rFonts w:ascii="Arial" w:cs="Arial" w:eastAsia="Arial" w:hAnsi="Arial"/>
                <w:sz w:val="10"/>
                <w:szCs w:val="10"/>
                <w:color w:val="auto"/>
              </w:rPr>
              <w:t>At January 1</w:t>
            </w:r>
          </w:p>
        </w:tc>
        <w:tc>
          <w:tcPr>
            <w:tcW w:w="2160" w:type="dxa"/>
            <w:vAlign w:val="bottom"/>
          </w:tcPr>
          <w:p>
            <w:pPr>
              <w:jc w:val="right"/>
              <w:ind w:right="273"/>
              <w:spacing w:after="0"/>
              <w:rPr>
                <w:sz w:val="20"/>
                <w:szCs w:val="20"/>
                <w:color w:val="auto"/>
              </w:rPr>
            </w:pPr>
            <w:r>
              <w:rPr>
                <w:rFonts w:ascii="Arial" w:cs="Arial" w:eastAsia="Arial" w:hAnsi="Arial"/>
                <w:sz w:val="10"/>
                <w:szCs w:val="10"/>
                <w:color w:val="auto"/>
              </w:rPr>
              <w:t>768</w:t>
            </w:r>
          </w:p>
        </w:tc>
        <w:tc>
          <w:tcPr>
            <w:tcW w:w="1320" w:type="dxa"/>
            <w:vAlign w:val="bottom"/>
          </w:tcPr>
          <w:p>
            <w:pPr>
              <w:jc w:val="right"/>
              <w:ind w:right="272"/>
              <w:spacing w:after="0"/>
              <w:rPr>
                <w:sz w:val="20"/>
                <w:szCs w:val="20"/>
                <w:color w:val="auto"/>
              </w:rPr>
            </w:pPr>
            <w:r>
              <w:rPr>
                <w:rFonts w:ascii="Arial" w:cs="Arial" w:eastAsia="Arial" w:hAnsi="Arial"/>
                <w:sz w:val="10"/>
                <w:szCs w:val="10"/>
                <w:color w:val="auto"/>
              </w:rPr>
              <w:t>4,014</w:t>
            </w:r>
          </w:p>
        </w:tc>
        <w:tc>
          <w:tcPr>
            <w:tcW w:w="980" w:type="dxa"/>
            <w:vAlign w:val="bottom"/>
          </w:tcPr>
          <w:p>
            <w:pPr>
              <w:jc w:val="right"/>
              <w:ind w:right="312"/>
              <w:spacing w:after="0"/>
              <w:rPr>
                <w:sz w:val="20"/>
                <w:szCs w:val="20"/>
                <w:color w:val="auto"/>
              </w:rPr>
            </w:pPr>
            <w:r>
              <w:rPr>
                <w:rFonts w:ascii="Arial" w:cs="Arial" w:eastAsia="Arial" w:hAnsi="Arial"/>
                <w:sz w:val="10"/>
                <w:szCs w:val="10"/>
                <w:color w:val="auto"/>
              </w:rPr>
              <w:t>2,524</w:t>
            </w:r>
          </w:p>
        </w:tc>
        <w:tc>
          <w:tcPr>
            <w:tcW w:w="740" w:type="dxa"/>
            <w:vAlign w:val="bottom"/>
          </w:tcPr>
          <w:p>
            <w:pPr>
              <w:jc w:val="right"/>
              <w:ind w:right="132"/>
              <w:spacing w:after="0"/>
              <w:rPr>
                <w:sz w:val="20"/>
                <w:szCs w:val="20"/>
                <w:color w:val="auto"/>
              </w:rPr>
            </w:pPr>
            <w:r>
              <w:rPr>
                <w:rFonts w:ascii="Arial" w:cs="Arial" w:eastAsia="Arial" w:hAnsi="Arial"/>
                <w:sz w:val="10"/>
                <w:szCs w:val="10"/>
                <w:color w:val="auto"/>
              </w:rPr>
              <w:t>1,258</w:t>
            </w:r>
          </w:p>
        </w:tc>
        <w:tc>
          <w:tcPr>
            <w:tcW w:w="740" w:type="dxa"/>
            <w:vAlign w:val="bottom"/>
          </w:tcPr>
          <w:p>
            <w:pPr>
              <w:spacing w:after="0"/>
              <w:rPr>
                <w:sz w:val="10"/>
                <w:szCs w:val="10"/>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8,564</w:t>
            </w:r>
          </w:p>
        </w:tc>
        <w:tc>
          <w:tcPr>
            <w:tcW w:w="0" w:type="dxa"/>
            <w:vAlign w:val="bottom"/>
          </w:tcPr>
          <w:p>
            <w:pPr>
              <w:spacing w:after="0"/>
              <w:rPr>
                <w:sz w:val="1"/>
                <w:szCs w:val="1"/>
                <w:color w:val="auto"/>
              </w:rPr>
            </w:pPr>
          </w:p>
        </w:tc>
      </w:tr>
      <w:tr>
        <w:trPr>
          <w:trHeight w:val="126"/>
        </w:trPr>
        <w:tc>
          <w:tcPr>
            <w:tcW w:w="4500" w:type="dxa"/>
            <w:vAlign w:val="bottom"/>
          </w:tcPr>
          <w:p>
            <w:pPr>
              <w:ind w:left="80"/>
              <w:spacing w:after="0"/>
              <w:rPr>
                <w:sz w:val="20"/>
                <w:szCs w:val="20"/>
                <w:color w:val="auto"/>
              </w:rPr>
            </w:pPr>
            <w:r>
              <w:rPr>
                <w:rFonts w:ascii="Arial" w:cs="Arial" w:eastAsia="Arial" w:hAnsi="Arial"/>
                <w:sz w:val="10"/>
                <w:szCs w:val="10"/>
                <w:color w:val="auto"/>
              </w:rPr>
              <w:t>Charge for the year [A]</w:t>
            </w:r>
          </w:p>
        </w:tc>
        <w:tc>
          <w:tcPr>
            <w:tcW w:w="2160" w:type="dxa"/>
            <w:vAlign w:val="bottom"/>
          </w:tcPr>
          <w:p>
            <w:pPr>
              <w:jc w:val="right"/>
              <w:ind w:right="273"/>
              <w:spacing w:after="0"/>
              <w:rPr>
                <w:sz w:val="20"/>
                <w:szCs w:val="20"/>
                <w:color w:val="auto"/>
              </w:rPr>
            </w:pPr>
            <w:r>
              <w:rPr>
                <w:rFonts w:ascii="Arial" w:cs="Arial" w:eastAsia="Arial" w:hAnsi="Arial"/>
                <w:sz w:val="10"/>
                <w:szCs w:val="10"/>
                <w:color w:val="auto"/>
              </w:rPr>
              <w:t>276</w:t>
            </w:r>
          </w:p>
        </w:tc>
        <w:tc>
          <w:tcPr>
            <w:tcW w:w="1320" w:type="dxa"/>
            <w:vAlign w:val="bottom"/>
          </w:tcPr>
          <w:p>
            <w:pPr>
              <w:jc w:val="right"/>
              <w:ind w:right="272"/>
              <w:spacing w:after="0"/>
              <w:rPr>
                <w:sz w:val="20"/>
                <w:szCs w:val="20"/>
                <w:color w:val="auto"/>
              </w:rPr>
            </w:pPr>
            <w:r>
              <w:rPr>
                <w:rFonts w:ascii="Arial" w:cs="Arial" w:eastAsia="Arial" w:hAnsi="Arial"/>
                <w:sz w:val="10"/>
                <w:szCs w:val="10"/>
                <w:color w:val="auto"/>
              </w:rPr>
              <w:t>835</w:t>
            </w:r>
          </w:p>
        </w:tc>
        <w:tc>
          <w:tcPr>
            <w:tcW w:w="980" w:type="dxa"/>
            <w:vAlign w:val="bottom"/>
          </w:tcPr>
          <w:p>
            <w:pPr>
              <w:jc w:val="right"/>
              <w:ind w:right="312"/>
              <w:spacing w:after="0"/>
              <w:rPr>
                <w:sz w:val="20"/>
                <w:szCs w:val="20"/>
                <w:color w:val="auto"/>
              </w:rPr>
            </w:pPr>
            <w:r>
              <w:rPr>
                <w:rFonts w:ascii="Arial" w:cs="Arial" w:eastAsia="Arial" w:hAnsi="Arial"/>
                <w:sz w:val="10"/>
                <w:szCs w:val="10"/>
                <w:color w:val="auto"/>
              </w:rPr>
              <w:t>156</w:t>
            </w:r>
          </w:p>
        </w:tc>
        <w:tc>
          <w:tcPr>
            <w:tcW w:w="740" w:type="dxa"/>
            <w:vAlign w:val="bottom"/>
          </w:tcPr>
          <w:p>
            <w:pPr>
              <w:jc w:val="right"/>
              <w:ind w:right="132"/>
              <w:spacing w:after="0"/>
              <w:rPr>
                <w:sz w:val="20"/>
                <w:szCs w:val="20"/>
                <w:color w:val="auto"/>
              </w:rPr>
            </w:pPr>
            <w:r>
              <w:rPr>
                <w:rFonts w:ascii="Arial" w:cs="Arial" w:eastAsia="Arial" w:hAnsi="Arial"/>
                <w:sz w:val="10"/>
                <w:szCs w:val="10"/>
                <w:color w:val="auto"/>
              </w:rPr>
              <w:t>695</w:t>
            </w:r>
          </w:p>
        </w:tc>
        <w:tc>
          <w:tcPr>
            <w:tcW w:w="740" w:type="dxa"/>
            <w:vAlign w:val="bottom"/>
          </w:tcPr>
          <w:p>
            <w:pPr>
              <w:spacing w:after="0"/>
              <w:rPr>
                <w:sz w:val="10"/>
                <w:szCs w:val="10"/>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1,962</w:t>
            </w:r>
          </w:p>
        </w:tc>
        <w:tc>
          <w:tcPr>
            <w:tcW w:w="0" w:type="dxa"/>
            <w:vAlign w:val="bottom"/>
          </w:tcPr>
          <w:p>
            <w:pPr>
              <w:spacing w:after="0"/>
              <w:rPr>
                <w:sz w:val="1"/>
                <w:szCs w:val="1"/>
                <w:color w:val="auto"/>
              </w:rPr>
            </w:pPr>
          </w:p>
        </w:tc>
      </w:tr>
      <w:tr>
        <w:trPr>
          <w:trHeight w:val="126"/>
        </w:trPr>
        <w:tc>
          <w:tcPr>
            <w:tcW w:w="4500" w:type="dxa"/>
            <w:vAlign w:val="bottom"/>
          </w:tcPr>
          <w:p>
            <w:pPr>
              <w:ind w:left="80"/>
              <w:spacing w:after="0"/>
              <w:rPr>
                <w:sz w:val="20"/>
                <w:szCs w:val="20"/>
                <w:color w:val="auto"/>
              </w:rPr>
            </w:pPr>
            <w:r>
              <w:rPr>
                <w:rFonts w:ascii="Arial" w:cs="Arial" w:eastAsia="Arial" w:hAnsi="Arial"/>
                <w:sz w:val="10"/>
                <w:szCs w:val="10"/>
                <w:color w:val="auto"/>
              </w:rPr>
              <w:t>Sales, retirements and other movements</w:t>
            </w:r>
          </w:p>
        </w:tc>
        <w:tc>
          <w:tcPr>
            <w:tcW w:w="2160" w:type="dxa"/>
            <w:vAlign w:val="bottom"/>
          </w:tcPr>
          <w:p>
            <w:pPr>
              <w:jc w:val="right"/>
              <w:ind w:right="273"/>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252"/>
              <w:spacing w:after="0"/>
              <w:rPr>
                <w:sz w:val="20"/>
                <w:szCs w:val="20"/>
                <w:color w:val="auto"/>
              </w:rPr>
            </w:pPr>
            <w:r>
              <w:rPr>
                <w:rFonts w:ascii="Arial" w:cs="Arial" w:eastAsia="Arial" w:hAnsi="Arial"/>
                <w:sz w:val="10"/>
                <w:szCs w:val="10"/>
                <w:color w:val="auto"/>
              </w:rPr>
              <w:t>(181)</w:t>
            </w:r>
          </w:p>
        </w:tc>
        <w:tc>
          <w:tcPr>
            <w:tcW w:w="980" w:type="dxa"/>
            <w:vAlign w:val="bottom"/>
          </w:tcPr>
          <w:p>
            <w:pPr>
              <w:jc w:val="right"/>
              <w:ind w:right="292"/>
              <w:spacing w:after="0"/>
              <w:rPr>
                <w:sz w:val="20"/>
                <w:szCs w:val="20"/>
                <w:color w:val="auto"/>
              </w:rPr>
            </w:pPr>
            <w:r>
              <w:rPr>
                <w:rFonts w:ascii="Arial" w:cs="Arial" w:eastAsia="Arial" w:hAnsi="Arial"/>
                <w:sz w:val="10"/>
                <w:szCs w:val="10"/>
                <w:color w:val="auto"/>
              </w:rPr>
              <w:t>(129)</w:t>
            </w:r>
          </w:p>
        </w:tc>
        <w:tc>
          <w:tcPr>
            <w:tcW w:w="740" w:type="dxa"/>
            <w:vAlign w:val="bottom"/>
          </w:tcPr>
          <w:p>
            <w:pPr>
              <w:jc w:val="right"/>
              <w:ind w:right="132"/>
              <w:spacing w:after="0"/>
              <w:rPr>
                <w:sz w:val="20"/>
                <w:szCs w:val="20"/>
                <w:color w:val="auto"/>
              </w:rPr>
            </w:pPr>
            <w:r>
              <w:rPr>
                <w:rFonts w:ascii="Arial" w:cs="Arial" w:eastAsia="Arial" w:hAnsi="Arial"/>
                <w:sz w:val="10"/>
                <w:szCs w:val="10"/>
                <w:color w:val="auto"/>
              </w:rPr>
              <w:t>9</w:t>
            </w:r>
          </w:p>
        </w:tc>
        <w:tc>
          <w:tcPr>
            <w:tcW w:w="7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(301)</w:t>
            </w:r>
          </w:p>
        </w:tc>
        <w:tc>
          <w:tcPr>
            <w:tcW w:w="0" w:type="dxa"/>
            <w:vAlign w:val="bottom"/>
          </w:tcPr>
          <w:p>
            <w:pPr>
              <w:spacing w:after="0"/>
              <w:rPr>
                <w:sz w:val="1"/>
                <w:szCs w:val="1"/>
                <w:color w:val="auto"/>
              </w:rPr>
            </w:pPr>
          </w:p>
        </w:tc>
      </w:tr>
      <w:tr>
        <w:trPr>
          <w:trHeight w:val="130"/>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Currency translation differences</w:t>
            </w:r>
          </w:p>
        </w:tc>
        <w:tc>
          <w:tcPr>
            <w:tcW w:w="216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color w:val="auto"/>
              </w:rPr>
              <w:t>18</w:t>
            </w:r>
          </w:p>
        </w:tc>
        <w:tc>
          <w:tcPr>
            <w:tcW w:w="13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76</w:t>
            </w: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29</w:t>
            </w:r>
          </w:p>
        </w:tc>
        <w:tc>
          <w:tcPr>
            <w:tcW w:w="7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123</w:t>
            </w:r>
          </w:p>
        </w:tc>
        <w:tc>
          <w:tcPr>
            <w:tcW w:w="0" w:type="dxa"/>
            <w:vAlign w:val="bottom"/>
          </w:tcPr>
          <w:p>
            <w:pPr>
              <w:spacing w:after="0"/>
              <w:rPr>
                <w:sz w:val="1"/>
                <w:szCs w:val="1"/>
                <w:color w:val="auto"/>
              </w:rPr>
            </w:pPr>
          </w:p>
        </w:tc>
      </w:tr>
      <w:tr>
        <w:trPr>
          <w:trHeight w:val="117"/>
        </w:trPr>
        <w:tc>
          <w:tcPr>
            <w:tcW w:w="45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216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color w:val="auto"/>
              </w:rPr>
              <w:t>1,062</w:t>
            </w:r>
          </w:p>
        </w:tc>
        <w:tc>
          <w:tcPr>
            <w:tcW w:w="13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4,668</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2,627</w:t>
            </w: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1,991</w:t>
            </w:r>
          </w:p>
        </w:tc>
        <w:tc>
          <w:tcPr>
            <w:tcW w:w="7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10,348</w:t>
            </w:r>
          </w:p>
        </w:tc>
        <w:tc>
          <w:tcPr>
            <w:tcW w:w="0" w:type="dxa"/>
            <w:vAlign w:val="bottom"/>
          </w:tcPr>
          <w:p>
            <w:pPr>
              <w:spacing w:after="0"/>
              <w:rPr>
                <w:sz w:val="1"/>
                <w:szCs w:val="1"/>
                <w:color w:val="auto"/>
              </w:rPr>
            </w:pPr>
          </w:p>
        </w:tc>
      </w:tr>
      <w:tr>
        <w:trPr>
          <w:trHeight w:val="115"/>
        </w:trPr>
        <w:tc>
          <w:tcPr>
            <w:tcW w:w="45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Carrying amount at December 31</w:t>
            </w:r>
          </w:p>
        </w:tc>
        <w:tc>
          <w:tcPr>
            <w:tcW w:w="216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color w:val="auto"/>
              </w:rPr>
              <w:t>14,151</w:t>
            </w:r>
          </w:p>
        </w:tc>
        <w:tc>
          <w:tcPr>
            <w:tcW w:w="13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5,362</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487</w:t>
            </w: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2,822</w:t>
            </w: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[B]</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22,822</w:t>
            </w:r>
          </w:p>
        </w:tc>
        <w:tc>
          <w:tcPr>
            <w:tcW w:w="0" w:type="dxa"/>
            <w:vAlign w:val="bottom"/>
          </w:tcPr>
          <w:p>
            <w:pPr>
              <w:spacing w:after="0"/>
              <w:rPr>
                <w:sz w:val="1"/>
                <w:szCs w:val="1"/>
                <w:color w:val="auto"/>
              </w:rPr>
            </w:pPr>
          </w:p>
        </w:tc>
      </w:tr>
      <w:tr>
        <w:trPr>
          <w:trHeight w:val="110"/>
        </w:trPr>
        <w:tc>
          <w:tcPr>
            <w:tcW w:w="4500" w:type="dxa"/>
            <w:vAlign w:val="bottom"/>
          </w:tcPr>
          <w:p>
            <w:pPr>
              <w:spacing w:after="0"/>
              <w:rPr>
                <w:sz w:val="20"/>
                <w:szCs w:val="20"/>
                <w:color w:val="auto"/>
              </w:rPr>
            </w:pPr>
            <w:r>
              <w:rPr>
                <w:rFonts w:ascii="Arial" w:cs="Arial" w:eastAsia="Arial" w:hAnsi="Arial"/>
                <w:sz w:val="7"/>
                <w:szCs w:val="7"/>
                <w:color w:val="auto"/>
              </w:rPr>
              <w:t>[A] Includes $787 million related to impairments, of which $472 million in 'Other' related to Integrated Gas. (See Note 8)</w:t>
            </w:r>
          </w:p>
        </w:tc>
        <w:tc>
          <w:tcPr>
            <w:tcW w:w="2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500" w:type="dxa"/>
            <w:vAlign w:val="bottom"/>
          </w:tcPr>
          <w:p>
            <w:pPr>
              <w:spacing w:after="0"/>
              <w:rPr>
                <w:sz w:val="20"/>
                <w:szCs w:val="20"/>
                <w:color w:val="auto"/>
              </w:rPr>
            </w:pPr>
            <w:r>
              <w:rPr>
                <w:rFonts w:ascii="Arial" w:cs="Arial" w:eastAsia="Arial" w:hAnsi="Arial"/>
                <w:sz w:val="7"/>
                <w:szCs w:val="7"/>
                <w:color w:val="auto"/>
              </w:rPr>
              <w:t>[B] Includes $1,013 million related to emission certificates held for compliance purposes. (See Note 29)</w:t>
            </w:r>
          </w:p>
        </w:tc>
        <w:tc>
          <w:tcPr>
            <w:tcW w:w="2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4"/>
        </w:trPr>
        <w:tc>
          <w:tcPr>
            <w:tcW w:w="450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2160" w:type="dxa"/>
            <w:vAlign w:val="bottom"/>
          </w:tcPr>
          <w:p>
            <w:pPr>
              <w:jc w:val="right"/>
              <w:ind w:right="973"/>
              <w:spacing w:after="0"/>
              <w:rPr>
                <w:sz w:val="20"/>
                <w:szCs w:val="20"/>
                <w:color w:val="auto"/>
              </w:rPr>
            </w:pPr>
            <w:r>
              <w:rPr>
                <w:rFonts w:ascii="Arial" w:cs="Arial" w:eastAsia="Arial" w:hAnsi="Arial"/>
                <w:sz w:val="7"/>
                <w:szCs w:val="7"/>
                <w:color w:val="auto"/>
              </w:rPr>
              <w:t>182</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500" w:type="dxa"/>
            <w:vAlign w:val="bottom"/>
            <w:tcBorders>
              <w:bottom w:val="single" w:sz="8" w:color="9A9A9A"/>
            </w:tcBorders>
          </w:tcPr>
          <w:p>
            <w:pPr>
              <w:spacing w:after="0"/>
              <w:rPr>
                <w:sz w:val="13"/>
                <w:szCs w:val="13"/>
                <w:color w:val="auto"/>
              </w:rPr>
            </w:pPr>
          </w:p>
        </w:tc>
        <w:tc>
          <w:tcPr>
            <w:tcW w:w="216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8" w:right="29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26"/>
        </w:trPr>
        <w:tc>
          <w:tcPr>
            <w:tcW w:w="4580" w:type="dxa"/>
            <w:vAlign w:val="bottom"/>
            <w:shd w:val="clear" w:color="auto" w:fill="CDCDCD"/>
          </w:tcPr>
          <w:p>
            <w:pPr>
              <w:spacing w:after="0"/>
              <w:rPr>
                <w:sz w:val="10"/>
                <w:szCs w:val="10"/>
                <w:color w:val="auto"/>
              </w:rPr>
            </w:pPr>
          </w:p>
        </w:tc>
        <w:tc>
          <w:tcPr>
            <w:tcW w:w="2620" w:type="dxa"/>
            <w:vAlign w:val="bottom"/>
            <w:shd w:val="clear" w:color="auto" w:fill="CDCDCD"/>
          </w:tcPr>
          <w:p>
            <w:pPr>
              <w:spacing w:after="0"/>
              <w:rPr>
                <w:sz w:val="10"/>
                <w:szCs w:val="10"/>
                <w:color w:val="auto"/>
              </w:rPr>
            </w:pPr>
          </w:p>
        </w:tc>
        <w:tc>
          <w:tcPr>
            <w:tcW w:w="1240" w:type="dxa"/>
            <w:vAlign w:val="bottom"/>
            <w:shd w:val="clear" w:color="auto" w:fill="CDCDCD"/>
          </w:tcPr>
          <w:p>
            <w:pPr>
              <w:spacing w:after="0"/>
              <w:rPr>
                <w:sz w:val="10"/>
                <w:szCs w:val="10"/>
                <w:color w:val="auto"/>
              </w:rPr>
            </w:pPr>
          </w:p>
        </w:tc>
        <w:tc>
          <w:tcPr>
            <w:tcW w:w="1100" w:type="dxa"/>
            <w:vAlign w:val="bottom"/>
            <w:shd w:val="clear" w:color="auto" w:fill="CDCDCD"/>
          </w:tcPr>
          <w:p>
            <w:pPr>
              <w:spacing w:after="0"/>
              <w:rPr>
                <w:sz w:val="10"/>
                <w:szCs w:val="10"/>
                <w:color w:val="auto"/>
              </w:rPr>
            </w:pPr>
          </w:p>
        </w:tc>
        <w:tc>
          <w:tcPr>
            <w:tcW w:w="1020" w:type="dxa"/>
            <w:vAlign w:val="bottom"/>
            <w:shd w:val="clear" w:color="auto" w:fill="CDCDCD"/>
          </w:tcPr>
          <w:p>
            <w:pPr>
              <w:spacing w:after="0"/>
              <w:rPr>
                <w:sz w:val="10"/>
                <w:szCs w:val="10"/>
                <w:color w:val="auto"/>
              </w:rPr>
            </w:pPr>
          </w:p>
        </w:tc>
        <w:tc>
          <w:tcPr>
            <w:tcW w:w="720" w:type="dxa"/>
            <w:vAlign w:val="bottom"/>
            <w:shd w:val="clear" w:color="auto" w:fill="CDCDCD"/>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580" w:type="dxa"/>
            <w:vAlign w:val="bottom"/>
          </w:tcPr>
          <w:p>
            <w:pPr>
              <w:spacing w:after="0"/>
              <w:rPr>
                <w:sz w:val="20"/>
                <w:szCs w:val="20"/>
                <w:color w:val="auto"/>
              </w:rPr>
            </w:pPr>
            <w:r>
              <w:rPr>
                <w:rFonts w:ascii="Arial" w:cs="Arial" w:eastAsia="Arial" w:hAnsi="Arial"/>
                <w:sz w:val="10"/>
                <w:szCs w:val="10"/>
                <w:color w:val="auto"/>
              </w:rPr>
              <w:t>2019</w:t>
            </w:r>
          </w:p>
        </w:tc>
        <w:tc>
          <w:tcPr>
            <w:tcW w:w="2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95"/>
        </w:trPr>
        <w:tc>
          <w:tcPr>
            <w:tcW w:w="4580" w:type="dxa"/>
            <w:vAlign w:val="bottom"/>
          </w:tcPr>
          <w:p>
            <w:pPr>
              <w:spacing w:after="0"/>
              <w:rPr>
                <w:sz w:val="8"/>
                <w:szCs w:val="8"/>
                <w:color w:val="auto"/>
              </w:rPr>
            </w:pPr>
          </w:p>
        </w:tc>
        <w:tc>
          <w:tcPr>
            <w:tcW w:w="2620" w:type="dxa"/>
            <w:vAlign w:val="bottom"/>
            <w:vMerge w:val="restart"/>
          </w:tcPr>
          <w:p>
            <w:pPr>
              <w:jc w:val="right"/>
              <w:ind w:right="112"/>
              <w:spacing w:after="0"/>
              <w:rPr>
                <w:sz w:val="20"/>
                <w:szCs w:val="20"/>
                <w:color w:val="auto"/>
              </w:rPr>
            </w:pPr>
            <w:r>
              <w:rPr>
                <w:rFonts w:ascii="Arial" w:cs="Arial" w:eastAsia="Arial" w:hAnsi="Arial"/>
                <w:sz w:val="10"/>
                <w:szCs w:val="10"/>
                <w:color w:val="auto"/>
              </w:rPr>
              <w:t>Goodwill</w:t>
            </w:r>
          </w:p>
        </w:tc>
        <w:tc>
          <w:tcPr>
            <w:tcW w:w="1240" w:type="dxa"/>
            <w:vAlign w:val="bottom"/>
          </w:tcPr>
          <w:p>
            <w:pPr>
              <w:jc w:val="right"/>
              <w:ind w:right="312"/>
              <w:spacing w:after="0" w:line="95" w:lineRule="exact"/>
              <w:rPr>
                <w:sz w:val="20"/>
                <w:szCs w:val="20"/>
                <w:color w:val="auto"/>
              </w:rPr>
            </w:pPr>
            <w:r>
              <w:rPr>
                <w:rFonts w:ascii="Arial" w:cs="Arial" w:eastAsia="Arial" w:hAnsi="Arial"/>
                <w:sz w:val="10"/>
                <w:szCs w:val="10"/>
                <w:color w:val="auto"/>
              </w:rPr>
              <w:t>LNG off-take</w:t>
            </w:r>
          </w:p>
        </w:tc>
        <w:tc>
          <w:tcPr>
            <w:tcW w:w="1100" w:type="dxa"/>
            <w:vAlign w:val="bottom"/>
            <w:vMerge w:val="restart"/>
          </w:tcPr>
          <w:p>
            <w:pPr>
              <w:jc w:val="right"/>
              <w:ind w:right="352"/>
              <w:spacing w:after="0"/>
              <w:rPr>
                <w:sz w:val="20"/>
                <w:szCs w:val="20"/>
                <w:color w:val="auto"/>
              </w:rPr>
            </w:pPr>
            <w:r>
              <w:rPr>
                <w:rFonts w:ascii="Arial" w:cs="Arial" w:eastAsia="Arial" w:hAnsi="Arial"/>
                <w:sz w:val="10"/>
                <w:szCs w:val="10"/>
                <w:color w:val="auto"/>
              </w:rPr>
              <w:t>Software</w:t>
            </w:r>
          </w:p>
        </w:tc>
        <w:tc>
          <w:tcPr>
            <w:tcW w:w="1020" w:type="dxa"/>
            <w:vAlign w:val="bottom"/>
            <w:vMerge w:val="restart"/>
          </w:tcPr>
          <w:p>
            <w:pPr>
              <w:jc w:val="right"/>
              <w:ind w:right="312"/>
              <w:spacing w:after="0"/>
              <w:rPr>
                <w:sz w:val="20"/>
                <w:szCs w:val="20"/>
                <w:color w:val="auto"/>
              </w:rPr>
            </w:pPr>
            <w:r>
              <w:rPr>
                <w:rFonts w:ascii="Arial" w:cs="Arial" w:eastAsia="Arial" w:hAnsi="Arial"/>
                <w:sz w:val="10"/>
                <w:szCs w:val="10"/>
                <w:color w:val="auto"/>
              </w:rPr>
              <w:t>Other</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45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vMerge w:val="continue"/>
          </w:tcPr>
          <w:p>
            <w:pPr>
              <w:spacing w:after="0"/>
              <w:rPr>
                <w:sz w:val="10"/>
                <w:szCs w:val="10"/>
                <w:color w:val="auto"/>
              </w:rPr>
            </w:pPr>
          </w:p>
        </w:tc>
        <w:tc>
          <w:tcPr>
            <w:tcW w:w="12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99"/>
              </w:rPr>
              <w:t>and sales contracts</w:t>
            </w:r>
          </w:p>
        </w:tc>
        <w:tc>
          <w:tcPr>
            <w:tcW w:w="1100" w:type="dxa"/>
            <w:vAlign w:val="bottom"/>
            <w:tcBorders>
              <w:bottom w:val="single" w:sz="8" w:color="auto"/>
            </w:tcBorders>
            <w:vMerge w:val="continue"/>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580" w:type="dxa"/>
            <w:vAlign w:val="bottom"/>
          </w:tcPr>
          <w:p>
            <w:pPr>
              <w:spacing w:after="0" w:line="113" w:lineRule="exact"/>
              <w:rPr>
                <w:sz w:val="20"/>
                <w:szCs w:val="20"/>
                <w:color w:val="auto"/>
              </w:rPr>
            </w:pPr>
            <w:r>
              <w:rPr>
                <w:rFonts w:ascii="Arial" w:cs="Arial" w:eastAsia="Arial" w:hAnsi="Arial"/>
                <w:sz w:val="10"/>
                <w:szCs w:val="10"/>
                <w:color w:val="auto"/>
              </w:rPr>
              <w:t>Cost</w:t>
            </w:r>
          </w:p>
        </w:tc>
        <w:tc>
          <w:tcPr>
            <w:tcW w:w="26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580" w:type="dxa"/>
            <w:vAlign w:val="bottom"/>
          </w:tcPr>
          <w:p>
            <w:pPr>
              <w:ind w:left="80"/>
              <w:spacing w:after="0"/>
              <w:rPr>
                <w:sz w:val="20"/>
                <w:szCs w:val="20"/>
                <w:color w:val="auto"/>
              </w:rPr>
            </w:pPr>
            <w:r>
              <w:rPr>
                <w:rFonts w:ascii="Arial" w:cs="Arial" w:eastAsia="Arial" w:hAnsi="Arial"/>
                <w:sz w:val="10"/>
                <w:szCs w:val="10"/>
                <w:color w:val="auto"/>
              </w:rPr>
              <w:t>At January 1</w:t>
            </w:r>
          </w:p>
        </w:tc>
        <w:tc>
          <w:tcPr>
            <w:tcW w:w="2620" w:type="dxa"/>
            <w:vAlign w:val="bottom"/>
          </w:tcPr>
          <w:p>
            <w:pPr>
              <w:jc w:val="right"/>
              <w:ind w:right="152"/>
              <w:spacing w:after="0"/>
              <w:rPr>
                <w:sz w:val="20"/>
                <w:szCs w:val="20"/>
                <w:color w:val="auto"/>
              </w:rPr>
            </w:pPr>
            <w:r>
              <w:rPr>
                <w:rFonts w:ascii="Arial" w:cs="Arial" w:eastAsia="Arial" w:hAnsi="Arial"/>
                <w:sz w:val="10"/>
                <w:szCs w:val="10"/>
                <w:color w:val="auto"/>
              </w:rPr>
              <w:t>14,338</w:t>
            </w:r>
          </w:p>
        </w:tc>
        <w:tc>
          <w:tcPr>
            <w:tcW w:w="1240" w:type="dxa"/>
            <w:vAlign w:val="bottom"/>
          </w:tcPr>
          <w:p>
            <w:pPr>
              <w:jc w:val="right"/>
              <w:ind w:right="332"/>
              <w:spacing w:after="0"/>
              <w:rPr>
                <w:sz w:val="20"/>
                <w:szCs w:val="20"/>
                <w:color w:val="auto"/>
              </w:rPr>
            </w:pPr>
            <w:r>
              <w:rPr>
                <w:rFonts w:ascii="Arial" w:cs="Arial" w:eastAsia="Arial" w:hAnsi="Arial"/>
                <w:sz w:val="10"/>
                <w:szCs w:val="10"/>
                <w:color w:val="auto"/>
              </w:rPr>
              <w:t>10,365</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2,910</w:t>
            </w:r>
          </w:p>
        </w:tc>
        <w:tc>
          <w:tcPr>
            <w:tcW w:w="1020" w:type="dxa"/>
            <w:vAlign w:val="bottom"/>
          </w:tcPr>
          <w:p>
            <w:pPr>
              <w:jc w:val="right"/>
              <w:ind w:right="352"/>
              <w:spacing w:after="0"/>
              <w:rPr>
                <w:sz w:val="20"/>
                <w:szCs w:val="20"/>
                <w:color w:val="auto"/>
              </w:rPr>
            </w:pPr>
            <w:r>
              <w:rPr>
                <w:rFonts w:ascii="Arial" w:cs="Arial" w:eastAsia="Arial" w:hAnsi="Arial"/>
                <w:sz w:val="10"/>
                <w:szCs w:val="10"/>
                <w:color w:val="auto"/>
              </w:rPr>
              <w:t>3,482</w:t>
            </w: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31,095</w:t>
            </w:r>
          </w:p>
        </w:tc>
        <w:tc>
          <w:tcPr>
            <w:tcW w:w="0" w:type="dxa"/>
            <w:vAlign w:val="bottom"/>
          </w:tcPr>
          <w:p>
            <w:pPr>
              <w:spacing w:after="0"/>
              <w:rPr>
                <w:sz w:val="1"/>
                <w:szCs w:val="1"/>
                <w:color w:val="auto"/>
              </w:rPr>
            </w:pPr>
          </w:p>
        </w:tc>
      </w:tr>
      <w:tr>
        <w:trPr>
          <w:trHeight w:val="126"/>
        </w:trPr>
        <w:tc>
          <w:tcPr>
            <w:tcW w:w="4580" w:type="dxa"/>
            <w:vAlign w:val="bottom"/>
          </w:tcPr>
          <w:p>
            <w:pPr>
              <w:ind w:left="80"/>
              <w:spacing w:after="0"/>
              <w:rPr>
                <w:sz w:val="20"/>
                <w:szCs w:val="20"/>
                <w:color w:val="auto"/>
              </w:rPr>
            </w:pPr>
            <w:r>
              <w:rPr>
                <w:rFonts w:ascii="Arial" w:cs="Arial" w:eastAsia="Arial" w:hAnsi="Arial"/>
                <w:sz w:val="10"/>
                <w:szCs w:val="10"/>
                <w:color w:val="auto"/>
              </w:rPr>
              <w:t>Additions</w:t>
            </w:r>
          </w:p>
        </w:tc>
        <w:tc>
          <w:tcPr>
            <w:tcW w:w="2620" w:type="dxa"/>
            <w:vAlign w:val="bottom"/>
          </w:tcPr>
          <w:p>
            <w:pPr>
              <w:jc w:val="right"/>
              <w:ind w:right="152"/>
              <w:spacing w:after="0"/>
              <w:rPr>
                <w:sz w:val="20"/>
                <w:szCs w:val="20"/>
                <w:color w:val="auto"/>
              </w:rPr>
            </w:pPr>
            <w:r>
              <w:rPr>
                <w:rFonts w:ascii="Arial" w:cs="Arial" w:eastAsia="Arial" w:hAnsi="Arial"/>
                <w:sz w:val="10"/>
                <w:szCs w:val="10"/>
                <w:color w:val="auto"/>
              </w:rPr>
              <w:t>674</w:t>
            </w:r>
          </w:p>
        </w:tc>
        <w:tc>
          <w:tcPr>
            <w:tcW w:w="124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137</w:t>
            </w:r>
          </w:p>
        </w:tc>
        <w:tc>
          <w:tcPr>
            <w:tcW w:w="1020" w:type="dxa"/>
            <w:vAlign w:val="bottom"/>
          </w:tcPr>
          <w:p>
            <w:pPr>
              <w:jc w:val="right"/>
              <w:ind w:right="352"/>
              <w:spacing w:after="0"/>
              <w:rPr>
                <w:sz w:val="20"/>
                <w:szCs w:val="20"/>
                <w:color w:val="auto"/>
              </w:rPr>
            </w:pPr>
            <w:r>
              <w:rPr>
                <w:rFonts w:ascii="Arial" w:cs="Arial" w:eastAsia="Arial" w:hAnsi="Arial"/>
                <w:sz w:val="10"/>
                <w:szCs w:val="10"/>
                <w:color w:val="auto"/>
              </w:rPr>
              <w:t>449</w:t>
            </w: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1,260</w:t>
            </w:r>
          </w:p>
        </w:tc>
        <w:tc>
          <w:tcPr>
            <w:tcW w:w="0" w:type="dxa"/>
            <w:vAlign w:val="bottom"/>
          </w:tcPr>
          <w:p>
            <w:pPr>
              <w:spacing w:after="0"/>
              <w:rPr>
                <w:sz w:val="1"/>
                <w:szCs w:val="1"/>
                <w:color w:val="auto"/>
              </w:rPr>
            </w:pPr>
          </w:p>
        </w:tc>
      </w:tr>
      <w:tr>
        <w:trPr>
          <w:trHeight w:val="126"/>
        </w:trPr>
        <w:tc>
          <w:tcPr>
            <w:tcW w:w="4580" w:type="dxa"/>
            <w:vAlign w:val="bottom"/>
          </w:tcPr>
          <w:p>
            <w:pPr>
              <w:ind w:left="80"/>
              <w:spacing w:after="0"/>
              <w:rPr>
                <w:sz w:val="20"/>
                <w:szCs w:val="20"/>
                <w:color w:val="auto"/>
              </w:rPr>
            </w:pPr>
            <w:r>
              <w:rPr>
                <w:rFonts w:ascii="Arial" w:cs="Arial" w:eastAsia="Arial" w:hAnsi="Arial"/>
                <w:sz w:val="10"/>
                <w:szCs w:val="10"/>
                <w:color w:val="auto"/>
              </w:rPr>
              <w:t>Sales, retirements and other movements</w:t>
            </w:r>
          </w:p>
        </w:tc>
        <w:tc>
          <w:tcPr>
            <w:tcW w:w="2620" w:type="dxa"/>
            <w:vAlign w:val="bottom"/>
          </w:tcPr>
          <w:p>
            <w:pPr>
              <w:jc w:val="right"/>
              <w:ind w:right="112"/>
              <w:spacing w:after="0"/>
              <w:rPr>
                <w:sz w:val="20"/>
                <w:szCs w:val="20"/>
                <w:color w:val="auto"/>
              </w:rPr>
            </w:pPr>
            <w:r>
              <w:rPr>
                <w:rFonts w:ascii="Arial" w:cs="Arial" w:eastAsia="Arial" w:hAnsi="Arial"/>
                <w:sz w:val="10"/>
                <w:szCs w:val="10"/>
                <w:color w:val="auto"/>
              </w:rPr>
              <w:t>(46)</w:t>
            </w:r>
          </w:p>
        </w:tc>
        <w:tc>
          <w:tcPr>
            <w:tcW w:w="1240" w:type="dxa"/>
            <w:vAlign w:val="bottom"/>
          </w:tcPr>
          <w:p>
            <w:pPr>
              <w:jc w:val="right"/>
              <w:ind w:right="312"/>
              <w:spacing w:after="0"/>
              <w:rPr>
                <w:sz w:val="20"/>
                <w:szCs w:val="20"/>
                <w:color w:val="auto"/>
              </w:rPr>
            </w:pPr>
            <w:r>
              <w:rPr>
                <w:rFonts w:ascii="Arial" w:cs="Arial" w:eastAsia="Arial" w:hAnsi="Arial"/>
                <w:sz w:val="10"/>
                <w:szCs w:val="10"/>
                <w:color w:val="auto"/>
              </w:rPr>
              <w:t>(154)</w:t>
            </w:r>
          </w:p>
        </w:tc>
        <w:tc>
          <w:tcPr>
            <w:tcW w:w="1100" w:type="dxa"/>
            <w:vAlign w:val="bottom"/>
          </w:tcPr>
          <w:p>
            <w:pPr>
              <w:jc w:val="right"/>
              <w:ind w:right="352"/>
              <w:spacing w:after="0"/>
              <w:rPr>
                <w:sz w:val="20"/>
                <w:szCs w:val="20"/>
                <w:color w:val="auto"/>
              </w:rPr>
            </w:pPr>
            <w:r>
              <w:rPr>
                <w:rFonts w:ascii="Arial" w:cs="Arial" w:eastAsia="Arial" w:hAnsi="Arial"/>
                <w:sz w:val="10"/>
                <w:szCs w:val="10"/>
                <w:color w:val="auto"/>
              </w:rPr>
              <w:t>(100)</w:t>
            </w:r>
          </w:p>
        </w:tc>
        <w:tc>
          <w:tcPr>
            <w:tcW w:w="1020" w:type="dxa"/>
            <w:vAlign w:val="bottom"/>
          </w:tcPr>
          <w:p>
            <w:pPr>
              <w:jc w:val="right"/>
              <w:ind w:right="332"/>
              <w:spacing w:after="0"/>
              <w:rPr>
                <w:sz w:val="20"/>
                <w:szCs w:val="20"/>
                <w:color w:val="auto"/>
              </w:rPr>
            </w:pPr>
            <w:r>
              <w:rPr>
                <w:rFonts w:ascii="Arial" w:cs="Arial" w:eastAsia="Arial" w:hAnsi="Arial"/>
                <w:sz w:val="10"/>
                <w:szCs w:val="10"/>
                <w:color w:val="auto"/>
              </w:rPr>
              <w:t>(22)</w:t>
            </w:r>
          </w:p>
        </w:tc>
        <w:tc>
          <w:tcPr>
            <w:tcW w:w="720" w:type="dxa"/>
            <w:vAlign w:val="bottom"/>
          </w:tcPr>
          <w:p>
            <w:pPr>
              <w:jc w:val="right"/>
              <w:spacing w:after="0"/>
              <w:rPr>
                <w:sz w:val="20"/>
                <w:szCs w:val="20"/>
                <w:color w:val="auto"/>
              </w:rPr>
            </w:pPr>
            <w:r>
              <w:rPr>
                <w:rFonts w:ascii="Arial" w:cs="Arial" w:eastAsia="Arial" w:hAnsi="Arial"/>
                <w:sz w:val="10"/>
                <w:szCs w:val="10"/>
                <w:color w:val="auto"/>
              </w:rPr>
              <w:t>(322)</w:t>
            </w:r>
          </w:p>
        </w:tc>
        <w:tc>
          <w:tcPr>
            <w:tcW w:w="0" w:type="dxa"/>
            <w:vAlign w:val="bottom"/>
          </w:tcPr>
          <w:p>
            <w:pPr>
              <w:spacing w:after="0"/>
              <w:rPr>
                <w:sz w:val="1"/>
                <w:szCs w:val="1"/>
                <w:color w:val="auto"/>
              </w:rPr>
            </w:pPr>
          </w:p>
        </w:tc>
      </w:tr>
      <w:tr>
        <w:trPr>
          <w:trHeight w:val="130"/>
        </w:trPr>
        <w:tc>
          <w:tcPr>
            <w:tcW w:w="458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Currency translation differences</w:t>
            </w:r>
          </w:p>
        </w:tc>
        <w:tc>
          <w:tcPr>
            <w:tcW w:w="26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7</w:t>
            </w: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11</w:t>
            </w: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17"/>
        </w:trPr>
        <w:tc>
          <w:tcPr>
            <w:tcW w:w="45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26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14,973</w:t>
            </w: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10,211</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2,958</w:t>
            </w: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3,908</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32,050</w:t>
            </w:r>
          </w:p>
        </w:tc>
        <w:tc>
          <w:tcPr>
            <w:tcW w:w="0" w:type="dxa"/>
            <w:vAlign w:val="bottom"/>
          </w:tcPr>
          <w:p>
            <w:pPr>
              <w:spacing w:after="0"/>
              <w:rPr>
                <w:sz w:val="1"/>
                <w:szCs w:val="1"/>
                <w:color w:val="auto"/>
              </w:rPr>
            </w:pPr>
          </w:p>
        </w:tc>
      </w:tr>
      <w:tr>
        <w:trPr>
          <w:trHeight w:val="113"/>
        </w:trPr>
        <w:tc>
          <w:tcPr>
            <w:tcW w:w="4580" w:type="dxa"/>
            <w:vAlign w:val="bottom"/>
          </w:tcPr>
          <w:p>
            <w:pPr>
              <w:spacing w:after="0" w:line="113" w:lineRule="exact"/>
              <w:rPr>
                <w:sz w:val="20"/>
                <w:szCs w:val="20"/>
                <w:color w:val="auto"/>
              </w:rPr>
            </w:pPr>
            <w:r>
              <w:rPr>
                <w:rFonts w:ascii="Arial" w:cs="Arial" w:eastAsia="Arial" w:hAnsi="Arial"/>
                <w:sz w:val="10"/>
                <w:szCs w:val="10"/>
                <w:color w:val="auto"/>
              </w:rPr>
              <w:t>Depreciation, depletion and amortisation, including impairments</w:t>
            </w:r>
          </w:p>
        </w:tc>
        <w:tc>
          <w:tcPr>
            <w:tcW w:w="26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580" w:type="dxa"/>
            <w:vAlign w:val="bottom"/>
          </w:tcPr>
          <w:p>
            <w:pPr>
              <w:ind w:left="80"/>
              <w:spacing w:after="0"/>
              <w:rPr>
                <w:sz w:val="20"/>
                <w:szCs w:val="20"/>
                <w:color w:val="auto"/>
              </w:rPr>
            </w:pPr>
            <w:r>
              <w:rPr>
                <w:rFonts w:ascii="Arial" w:cs="Arial" w:eastAsia="Arial" w:hAnsi="Arial"/>
                <w:sz w:val="10"/>
                <w:szCs w:val="10"/>
                <w:color w:val="auto"/>
              </w:rPr>
              <w:t>At January 1</w:t>
            </w:r>
          </w:p>
        </w:tc>
        <w:tc>
          <w:tcPr>
            <w:tcW w:w="2620" w:type="dxa"/>
            <w:vAlign w:val="bottom"/>
          </w:tcPr>
          <w:p>
            <w:pPr>
              <w:jc w:val="right"/>
              <w:ind w:right="152"/>
              <w:spacing w:after="0"/>
              <w:rPr>
                <w:sz w:val="20"/>
                <w:szCs w:val="20"/>
                <w:color w:val="auto"/>
              </w:rPr>
            </w:pPr>
            <w:r>
              <w:rPr>
                <w:rFonts w:ascii="Arial" w:cs="Arial" w:eastAsia="Arial" w:hAnsi="Arial"/>
                <w:sz w:val="10"/>
                <w:szCs w:val="10"/>
                <w:color w:val="auto"/>
              </w:rPr>
              <w:t>622</w:t>
            </w:r>
          </w:p>
        </w:tc>
        <w:tc>
          <w:tcPr>
            <w:tcW w:w="1240" w:type="dxa"/>
            <w:vAlign w:val="bottom"/>
          </w:tcPr>
          <w:p>
            <w:pPr>
              <w:jc w:val="right"/>
              <w:ind w:right="332"/>
              <w:spacing w:after="0"/>
              <w:rPr>
                <w:sz w:val="20"/>
                <w:szCs w:val="20"/>
                <w:color w:val="auto"/>
              </w:rPr>
            </w:pPr>
            <w:r>
              <w:rPr>
                <w:rFonts w:ascii="Arial" w:cs="Arial" w:eastAsia="Arial" w:hAnsi="Arial"/>
                <w:sz w:val="10"/>
                <w:szCs w:val="10"/>
                <w:color w:val="auto"/>
              </w:rPr>
              <w:t>3,293</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2,425</w:t>
            </w:r>
          </w:p>
        </w:tc>
        <w:tc>
          <w:tcPr>
            <w:tcW w:w="1020" w:type="dxa"/>
            <w:vAlign w:val="bottom"/>
          </w:tcPr>
          <w:p>
            <w:pPr>
              <w:jc w:val="right"/>
              <w:ind w:right="352"/>
              <w:spacing w:after="0"/>
              <w:rPr>
                <w:sz w:val="20"/>
                <w:szCs w:val="20"/>
                <w:color w:val="auto"/>
              </w:rPr>
            </w:pPr>
            <w:r>
              <w:rPr>
                <w:rFonts w:ascii="Arial" w:cs="Arial" w:eastAsia="Arial" w:hAnsi="Arial"/>
                <w:sz w:val="10"/>
                <w:szCs w:val="10"/>
                <w:color w:val="auto"/>
              </w:rPr>
              <w:t>1,169</w:t>
            </w: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7,509</w:t>
            </w:r>
          </w:p>
        </w:tc>
        <w:tc>
          <w:tcPr>
            <w:tcW w:w="0" w:type="dxa"/>
            <w:vAlign w:val="bottom"/>
          </w:tcPr>
          <w:p>
            <w:pPr>
              <w:spacing w:after="0"/>
              <w:rPr>
                <w:sz w:val="1"/>
                <w:szCs w:val="1"/>
                <w:color w:val="auto"/>
              </w:rPr>
            </w:pPr>
          </w:p>
        </w:tc>
      </w:tr>
      <w:tr>
        <w:trPr>
          <w:trHeight w:val="126"/>
        </w:trPr>
        <w:tc>
          <w:tcPr>
            <w:tcW w:w="4580" w:type="dxa"/>
            <w:vAlign w:val="bottom"/>
          </w:tcPr>
          <w:p>
            <w:pPr>
              <w:ind w:left="80"/>
              <w:spacing w:after="0"/>
              <w:rPr>
                <w:sz w:val="20"/>
                <w:szCs w:val="20"/>
                <w:color w:val="auto"/>
              </w:rPr>
            </w:pPr>
            <w:r>
              <w:rPr>
                <w:rFonts w:ascii="Arial" w:cs="Arial" w:eastAsia="Arial" w:hAnsi="Arial"/>
                <w:sz w:val="10"/>
                <w:szCs w:val="10"/>
                <w:color w:val="auto"/>
              </w:rPr>
              <w:t>Charge for the year [A]</w:t>
            </w:r>
          </w:p>
        </w:tc>
        <w:tc>
          <w:tcPr>
            <w:tcW w:w="2620" w:type="dxa"/>
            <w:vAlign w:val="bottom"/>
          </w:tcPr>
          <w:p>
            <w:pPr>
              <w:jc w:val="right"/>
              <w:ind w:right="152"/>
              <w:spacing w:after="0"/>
              <w:rPr>
                <w:sz w:val="20"/>
                <w:szCs w:val="20"/>
                <w:color w:val="auto"/>
              </w:rPr>
            </w:pPr>
            <w:r>
              <w:rPr>
                <w:rFonts w:ascii="Arial" w:cs="Arial" w:eastAsia="Arial" w:hAnsi="Arial"/>
                <w:sz w:val="10"/>
                <w:szCs w:val="10"/>
                <w:color w:val="auto"/>
              </w:rPr>
              <w:t>135</w:t>
            </w:r>
          </w:p>
        </w:tc>
        <w:tc>
          <w:tcPr>
            <w:tcW w:w="1240" w:type="dxa"/>
            <w:vAlign w:val="bottom"/>
          </w:tcPr>
          <w:p>
            <w:pPr>
              <w:jc w:val="right"/>
              <w:ind w:right="332"/>
              <w:spacing w:after="0"/>
              <w:rPr>
                <w:sz w:val="20"/>
                <w:szCs w:val="20"/>
                <w:color w:val="auto"/>
              </w:rPr>
            </w:pPr>
            <w:r>
              <w:rPr>
                <w:rFonts w:ascii="Arial" w:cs="Arial" w:eastAsia="Arial" w:hAnsi="Arial"/>
                <w:sz w:val="10"/>
                <w:szCs w:val="10"/>
                <w:color w:val="auto"/>
              </w:rPr>
              <w:t>876</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176</w:t>
            </w:r>
          </w:p>
        </w:tc>
        <w:tc>
          <w:tcPr>
            <w:tcW w:w="1020" w:type="dxa"/>
            <w:vAlign w:val="bottom"/>
          </w:tcPr>
          <w:p>
            <w:pPr>
              <w:jc w:val="right"/>
              <w:ind w:right="352"/>
              <w:spacing w:after="0"/>
              <w:rPr>
                <w:sz w:val="20"/>
                <w:szCs w:val="20"/>
                <w:color w:val="auto"/>
              </w:rPr>
            </w:pPr>
            <w:r>
              <w:rPr>
                <w:rFonts w:ascii="Arial" w:cs="Arial" w:eastAsia="Arial" w:hAnsi="Arial"/>
                <w:sz w:val="10"/>
                <w:szCs w:val="10"/>
                <w:color w:val="auto"/>
              </w:rPr>
              <w:t>178</w:t>
            </w: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1,365</w:t>
            </w:r>
          </w:p>
        </w:tc>
        <w:tc>
          <w:tcPr>
            <w:tcW w:w="0" w:type="dxa"/>
            <w:vAlign w:val="bottom"/>
          </w:tcPr>
          <w:p>
            <w:pPr>
              <w:spacing w:after="0"/>
              <w:rPr>
                <w:sz w:val="1"/>
                <w:szCs w:val="1"/>
                <w:color w:val="auto"/>
              </w:rPr>
            </w:pPr>
          </w:p>
        </w:tc>
      </w:tr>
      <w:tr>
        <w:trPr>
          <w:trHeight w:val="126"/>
        </w:trPr>
        <w:tc>
          <w:tcPr>
            <w:tcW w:w="4580" w:type="dxa"/>
            <w:vAlign w:val="bottom"/>
          </w:tcPr>
          <w:p>
            <w:pPr>
              <w:ind w:left="80"/>
              <w:spacing w:after="0"/>
              <w:rPr>
                <w:sz w:val="20"/>
                <w:szCs w:val="20"/>
                <w:color w:val="auto"/>
              </w:rPr>
            </w:pPr>
            <w:r>
              <w:rPr>
                <w:rFonts w:ascii="Arial" w:cs="Arial" w:eastAsia="Arial" w:hAnsi="Arial"/>
                <w:sz w:val="10"/>
                <w:szCs w:val="10"/>
                <w:color w:val="auto"/>
              </w:rPr>
              <w:t>Sales, retirements and other movements</w:t>
            </w:r>
          </w:p>
        </w:tc>
        <w:tc>
          <w:tcPr>
            <w:tcW w:w="2620" w:type="dxa"/>
            <w:vAlign w:val="bottom"/>
          </w:tcPr>
          <w:p>
            <w:pPr>
              <w:jc w:val="right"/>
              <w:ind w:right="112"/>
              <w:spacing w:after="0"/>
              <w:rPr>
                <w:sz w:val="20"/>
                <w:szCs w:val="20"/>
                <w:color w:val="auto"/>
              </w:rPr>
            </w:pPr>
            <w:r>
              <w:rPr>
                <w:rFonts w:ascii="Arial" w:cs="Arial" w:eastAsia="Arial" w:hAnsi="Arial"/>
                <w:sz w:val="10"/>
                <w:szCs w:val="10"/>
                <w:color w:val="auto"/>
              </w:rPr>
              <w:t>(1)</w:t>
            </w:r>
          </w:p>
        </w:tc>
        <w:tc>
          <w:tcPr>
            <w:tcW w:w="1240" w:type="dxa"/>
            <w:vAlign w:val="bottom"/>
          </w:tcPr>
          <w:p>
            <w:pPr>
              <w:jc w:val="right"/>
              <w:ind w:right="312"/>
              <w:spacing w:after="0"/>
              <w:rPr>
                <w:sz w:val="20"/>
                <w:szCs w:val="20"/>
                <w:color w:val="auto"/>
              </w:rPr>
            </w:pPr>
            <w:r>
              <w:rPr>
                <w:rFonts w:ascii="Arial" w:cs="Arial" w:eastAsia="Arial" w:hAnsi="Arial"/>
                <w:sz w:val="10"/>
                <w:szCs w:val="10"/>
                <w:color w:val="auto"/>
              </w:rPr>
              <w:t>(155)</w:t>
            </w:r>
          </w:p>
        </w:tc>
        <w:tc>
          <w:tcPr>
            <w:tcW w:w="1100" w:type="dxa"/>
            <w:vAlign w:val="bottom"/>
          </w:tcPr>
          <w:p>
            <w:pPr>
              <w:jc w:val="right"/>
              <w:ind w:right="352"/>
              <w:spacing w:after="0"/>
              <w:rPr>
                <w:sz w:val="20"/>
                <w:szCs w:val="20"/>
                <w:color w:val="auto"/>
              </w:rPr>
            </w:pPr>
            <w:r>
              <w:rPr>
                <w:rFonts w:ascii="Arial" w:cs="Arial" w:eastAsia="Arial" w:hAnsi="Arial"/>
                <w:sz w:val="10"/>
                <w:szCs w:val="10"/>
                <w:color w:val="auto"/>
              </w:rPr>
              <w:t>(87)</w:t>
            </w:r>
          </w:p>
        </w:tc>
        <w:tc>
          <w:tcPr>
            <w:tcW w:w="1020" w:type="dxa"/>
            <w:vAlign w:val="bottom"/>
          </w:tcPr>
          <w:p>
            <w:pPr>
              <w:jc w:val="right"/>
              <w:ind w:right="332"/>
              <w:spacing w:after="0"/>
              <w:rPr>
                <w:sz w:val="20"/>
                <w:szCs w:val="20"/>
                <w:color w:val="auto"/>
              </w:rPr>
            </w:pPr>
            <w:r>
              <w:rPr>
                <w:rFonts w:ascii="Arial" w:cs="Arial" w:eastAsia="Arial" w:hAnsi="Arial"/>
                <w:sz w:val="10"/>
                <w:szCs w:val="10"/>
                <w:color w:val="auto"/>
              </w:rPr>
              <w:t>(85)</w:t>
            </w:r>
          </w:p>
        </w:tc>
        <w:tc>
          <w:tcPr>
            <w:tcW w:w="720" w:type="dxa"/>
            <w:vAlign w:val="bottom"/>
          </w:tcPr>
          <w:p>
            <w:pPr>
              <w:jc w:val="right"/>
              <w:spacing w:after="0"/>
              <w:rPr>
                <w:sz w:val="20"/>
                <w:szCs w:val="20"/>
                <w:color w:val="auto"/>
              </w:rPr>
            </w:pPr>
            <w:r>
              <w:rPr>
                <w:rFonts w:ascii="Arial" w:cs="Arial" w:eastAsia="Arial" w:hAnsi="Arial"/>
                <w:sz w:val="10"/>
                <w:szCs w:val="10"/>
                <w:color w:val="auto"/>
              </w:rPr>
              <w:t>(328)</w:t>
            </w:r>
          </w:p>
        </w:tc>
        <w:tc>
          <w:tcPr>
            <w:tcW w:w="0" w:type="dxa"/>
            <w:vAlign w:val="bottom"/>
          </w:tcPr>
          <w:p>
            <w:pPr>
              <w:spacing w:after="0"/>
              <w:rPr>
                <w:sz w:val="1"/>
                <w:szCs w:val="1"/>
                <w:color w:val="auto"/>
              </w:rPr>
            </w:pPr>
          </w:p>
        </w:tc>
      </w:tr>
      <w:tr>
        <w:trPr>
          <w:trHeight w:val="130"/>
        </w:trPr>
        <w:tc>
          <w:tcPr>
            <w:tcW w:w="458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Currency translation differences</w:t>
            </w:r>
          </w:p>
        </w:tc>
        <w:tc>
          <w:tcPr>
            <w:tcW w:w="26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12</w:t>
            </w: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10</w:t>
            </w: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(4)</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17"/>
        </w:trPr>
        <w:tc>
          <w:tcPr>
            <w:tcW w:w="45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26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768</w:t>
            </w: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4,014</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2,524</w:t>
            </w: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1,258</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8,564</w:t>
            </w:r>
          </w:p>
        </w:tc>
        <w:tc>
          <w:tcPr>
            <w:tcW w:w="0" w:type="dxa"/>
            <w:vAlign w:val="bottom"/>
          </w:tcPr>
          <w:p>
            <w:pPr>
              <w:spacing w:after="0"/>
              <w:rPr>
                <w:sz w:val="1"/>
                <w:szCs w:val="1"/>
                <w:color w:val="auto"/>
              </w:rPr>
            </w:pPr>
          </w:p>
        </w:tc>
      </w:tr>
      <w:tr>
        <w:trPr>
          <w:trHeight w:val="115"/>
        </w:trPr>
        <w:tc>
          <w:tcPr>
            <w:tcW w:w="45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Carrying amount at December 31</w:t>
            </w:r>
          </w:p>
        </w:tc>
        <w:tc>
          <w:tcPr>
            <w:tcW w:w="26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14,205</w:t>
            </w: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6,197</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434</w:t>
            </w: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2,650</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23,486</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7"/>
          <w:szCs w:val="7"/>
          <w:color w:val="auto"/>
        </w:rPr>
        <w:t>[A] Includes $143 million related to impairments.</w:t>
      </w:r>
    </w:p>
    <w:p>
      <w:pPr>
        <w:spacing w:after="0" w:line="382" w:lineRule="exact"/>
        <w:rPr>
          <w:sz w:val="20"/>
          <w:szCs w:val="20"/>
          <w:color w:val="auto"/>
        </w:rPr>
      </w:pPr>
    </w:p>
    <w:p>
      <w:pPr>
        <w:ind w:right="80"/>
        <w:spacing w:after="0" w:line="239" w:lineRule="auto"/>
        <w:rPr>
          <w:sz w:val="20"/>
          <w:szCs w:val="20"/>
          <w:color w:val="auto"/>
        </w:rPr>
      </w:pPr>
      <w:r>
        <w:rPr>
          <w:rFonts w:ascii="Arial" w:cs="Arial" w:eastAsia="Arial" w:hAnsi="Arial"/>
          <w:sz w:val="10"/>
          <w:szCs w:val="10"/>
          <w:color w:val="auto"/>
        </w:rPr>
        <w:t>Goodwill at December 31, 2020, principally related to the acquisition of BG Group plc in 2016, allocated to Integrated Gas ($4,800 million) and Upstream ($5,946 million) at the operating segment level, and to Pennzoil-Quaker State Company ($1,609 million), a lubricants business in the Oil Products segment based largely in North America.</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8 – PROPERTY, PLANT AND EQUIPMENT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6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2020</w:t>
            </w:r>
          </w:p>
        </w:tc>
        <w:tc>
          <w:tcPr>
            <w:tcW w:w="1480" w:type="dxa"/>
            <w:vAlign w:val="bottom"/>
            <w:tcBorders>
              <w:top w:val="single" w:sz="8" w:color="D9D9D9"/>
            </w:tcBorders>
          </w:tcPr>
          <w:p>
            <w:pPr>
              <w:spacing w:after="0"/>
              <w:rPr>
                <w:sz w:val="13"/>
                <w:szCs w:val="13"/>
                <w:color w:val="auto"/>
              </w:rPr>
            </w:pPr>
          </w:p>
        </w:tc>
        <w:tc>
          <w:tcPr>
            <w:tcW w:w="1180" w:type="dxa"/>
            <w:vAlign w:val="bottom"/>
            <w:tcBorders>
              <w:top w:val="single" w:sz="8" w:color="D9D9D9"/>
            </w:tcBorders>
          </w:tcPr>
          <w:p>
            <w:pPr>
              <w:spacing w:after="0"/>
              <w:rPr>
                <w:sz w:val="13"/>
                <w:szCs w:val="13"/>
                <w:color w:val="auto"/>
              </w:rPr>
            </w:pPr>
          </w:p>
        </w:tc>
        <w:tc>
          <w:tcPr>
            <w:tcW w:w="1820" w:type="dxa"/>
            <w:vAlign w:val="bottom"/>
            <w:tcBorders>
              <w:top w:val="single" w:sz="8" w:color="D9D9D9"/>
            </w:tcBorders>
          </w:tcPr>
          <w:p>
            <w:pPr>
              <w:spacing w:after="0"/>
              <w:rPr>
                <w:sz w:val="13"/>
                <w:szCs w:val="13"/>
                <w:color w:val="auto"/>
              </w:rPr>
            </w:pPr>
          </w:p>
        </w:tc>
        <w:tc>
          <w:tcPr>
            <w:tcW w:w="1300" w:type="dxa"/>
            <w:vAlign w:val="bottom"/>
            <w:tcBorders>
              <w:top w:val="single" w:sz="8" w:color="D9D9D9"/>
            </w:tcBorders>
          </w:tcPr>
          <w:p>
            <w:pPr>
              <w:spacing w:after="0"/>
              <w:rPr>
                <w:sz w:val="13"/>
                <w:szCs w:val="13"/>
                <w:color w:val="auto"/>
              </w:rPr>
            </w:pPr>
          </w:p>
        </w:tc>
        <w:tc>
          <w:tcPr>
            <w:tcW w:w="84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26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5"/>
              </w:rPr>
              <w:t>Exploration and production</w:t>
            </w:r>
          </w:p>
        </w:tc>
        <w:tc>
          <w:tcPr>
            <w:tcW w:w="1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260" w:type="dxa"/>
            <w:vAlign w:val="bottom"/>
          </w:tcPr>
          <w:p>
            <w:pPr>
              <w:spacing w:after="0"/>
              <w:rPr>
                <w:sz w:val="6"/>
                <w:szCs w:val="6"/>
                <w:color w:val="auto"/>
              </w:rPr>
            </w:pPr>
          </w:p>
        </w:tc>
        <w:tc>
          <w:tcPr>
            <w:tcW w:w="1480" w:type="dxa"/>
            <w:vAlign w:val="bottom"/>
            <w:vMerge w:val="restart"/>
          </w:tcPr>
          <w:p>
            <w:pPr>
              <w:jc w:val="right"/>
              <w:ind w:right="113"/>
              <w:spacing w:after="0"/>
              <w:rPr>
                <w:sz w:val="20"/>
                <w:szCs w:val="20"/>
                <w:color w:val="auto"/>
              </w:rPr>
            </w:pPr>
            <w:r>
              <w:rPr>
                <w:rFonts w:ascii="Arial" w:cs="Arial" w:eastAsia="Arial" w:hAnsi="Arial"/>
                <w:sz w:val="10"/>
                <w:szCs w:val="10"/>
                <w:color w:val="auto"/>
              </w:rPr>
              <w:t>Exploration</w:t>
            </w:r>
          </w:p>
        </w:tc>
        <w:tc>
          <w:tcPr>
            <w:tcW w:w="1180" w:type="dxa"/>
            <w:vAlign w:val="bottom"/>
          </w:tcPr>
          <w:p>
            <w:pPr>
              <w:spacing w:after="0"/>
              <w:rPr>
                <w:sz w:val="6"/>
                <w:szCs w:val="6"/>
                <w:color w:val="auto"/>
              </w:rPr>
            </w:pPr>
          </w:p>
        </w:tc>
        <w:tc>
          <w:tcPr>
            <w:tcW w:w="1820" w:type="dxa"/>
            <w:vAlign w:val="bottom"/>
          </w:tcPr>
          <w:p>
            <w:pPr>
              <w:jc w:val="right"/>
              <w:ind w:right="472"/>
              <w:spacing w:after="0" w:line="78" w:lineRule="exact"/>
              <w:rPr>
                <w:sz w:val="20"/>
                <w:szCs w:val="20"/>
                <w:color w:val="auto"/>
              </w:rPr>
            </w:pPr>
            <w:r>
              <w:rPr>
                <w:rFonts w:ascii="Arial" w:cs="Arial" w:eastAsia="Arial" w:hAnsi="Arial"/>
                <w:sz w:val="8"/>
                <w:szCs w:val="8"/>
                <w:color w:val="auto"/>
              </w:rPr>
              <w:t>Manufacturing,</w:t>
            </w:r>
          </w:p>
        </w:tc>
        <w:tc>
          <w:tcPr>
            <w:tcW w:w="1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426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180" w:type="dxa"/>
            <w:vAlign w:val="bottom"/>
            <w:vMerge w:val="restart"/>
          </w:tcPr>
          <w:p>
            <w:pPr>
              <w:jc w:val="right"/>
              <w:spacing w:after="0"/>
              <w:rPr>
                <w:sz w:val="20"/>
                <w:szCs w:val="20"/>
                <w:color w:val="auto"/>
              </w:rPr>
            </w:pPr>
            <w:r>
              <w:rPr>
                <w:rFonts w:ascii="Arial" w:cs="Arial" w:eastAsia="Arial" w:hAnsi="Arial"/>
                <w:sz w:val="10"/>
                <w:szCs w:val="10"/>
                <w:color w:val="auto"/>
              </w:rPr>
              <w:t>Production</w:t>
            </w:r>
          </w:p>
        </w:tc>
        <w:tc>
          <w:tcPr>
            <w:tcW w:w="1820" w:type="dxa"/>
            <w:vAlign w:val="bottom"/>
          </w:tcPr>
          <w:p>
            <w:pPr>
              <w:jc w:val="right"/>
              <w:ind w:right="472"/>
              <w:spacing w:after="0" w:line="90" w:lineRule="exact"/>
              <w:rPr>
                <w:sz w:val="20"/>
                <w:szCs w:val="20"/>
                <w:color w:val="auto"/>
              </w:rPr>
            </w:pPr>
            <w:r>
              <w:rPr>
                <w:rFonts w:ascii="Arial" w:cs="Arial" w:eastAsia="Arial" w:hAnsi="Arial"/>
                <w:sz w:val="10"/>
                <w:szCs w:val="10"/>
                <w:color w:val="auto"/>
              </w:rPr>
              <w:t>supply and</w:t>
            </w:r>
          </w:p>
        </w:tc>
        <w:tc>
          <w:tcPr>
            <w:tcW w:w="1300" w:type="dxa"/>
            <w:vAlign w:val="bottom"/>
            <w:vMerge w:val="restart"/>
          </w:tcPr>
          <w:p>
            <w:pPr>
              <w:jc w:val="right"/>
              <w:ind w:right="452"/>
              <w:spacing w:after="0"/>
              <w:rPr>
                <w:sz w:val="20"/>
                <w:szCs w:val="20"/>
                <w:color w:val="auto"/>
              </w:rPr>
            </w:pPr>
            <w:r>
              <w:rPr>
                <w:rFonts w:ascii="Arial" w:cs="Arial" w:eastAsia="Arial" w:hAnsi="Arial"/>
                <w:sz w:val="10"/>
                <w:szCs w:val="10"/>
                <w:color w:val="auto"/>
              </w:rPr>
              <w:t>Other</w:t>
            </w: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4260" w:type="dxa"/>
            <w:vAlign w:val="bottom"/>
          </w:tcPr>
          <w:p>
            <w:pPr>
              <w:spacing w:after="0"/>
              <w:rPr>
                <w:sz w:val="10"/>
                <w:szCs w:val="10"/>
                <w:color w:val="auto"/>
              </w:rPr>
            </w:pPr>
          </w:p>
        </w:tc>
        <w:tc>
          <w:tcPr>
            <w:tcW w:w="1480" w:type="dxa"/>
            <w:vAlign w:val="bottom"/>
          </w:tcPr>
          <w:p>
            <w:pPr>
              <w:jc w:val="right"/>
              <w:ind w:right="113"/>
              <w:spacing w:after="0"/>
              <w:rPr>
                <w:sz w:val="20"/>
                <w:szCs w:val="20"/>
                <w:color w:val="auto"/>
              </w:rPr>
            </w:pPr>
            <w:r>
              <w:rPr>
                <w:rFonts w:ascii="Arial" w:cs="Arial" w:eastAsia="Arial" w:hAnsi="Arial"/>
                <w:sz w:val="10"/>
                <w:szCs w:val="10"/>
                <w:color w:val="auto"/>
              </w:rPr>
              <w:t>and evaluation</w:t>
            </w:r>
          </w:p>
        </w:tc>
        <w:tc>
          <w:tcPr>
            <w:tcW w:w="1180" w:type="dxa"/>
            <w:vAlign w:val="bottom"/>
            <w:vMerge w:val="continue"/>
          </w:tcPr>
          <w:p>
            <w:pPr>
              <w:spacing w:after="0"/>
              <w:rPr>
                <w:sz w:val="10"/>
                <w:szCs w:val="10"/>
                <w:color w:val="auto"/>
              </w:rPr>
            </w:pPr>
          </w:p>
        </w:tc>
        <w:tc>
          <w:tcPr>
            <w:tcW w:w="1820" w:type="dxa"/>
            <w:vAlign w:val="bottom"/>
          </w:tcPr>
          <w:p>
            <w:pPr>
              <w:jc w:val="right"/>
              <w:ind w:right="472"/>
              <w:spacing w:after="0"/>
              <w:rPr>
                <w:sz w:val="20"/>
                <w:szCs w:val="20"/>
                <w:color w:val="auto"/>
              </w:rPr>
            </w:pPr>
            <w:r>
              <w:rPr>
                <w:rFonts w:ascii="Arial" w:cs="Arial" w:eastAsia="Arial" w:hAnsi="Arial"/>
                <w:sz w:val="10"/>
                <w:szCs w:val="10"/>
                <w:color w:val="auto"/>
              </w:rPr>
              <w:t>distribution</w:t>
            </w:r>
          </w:p>
        </w:tc>
        <w:tc>
          <w:tcPr>
            <w:tcW w:w="1300" w:type="dxa"/>
            <w:vAlign w:val="bottom"/>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260" w:type="dxa"/>
            <w:vAlign w:val="bottom"/>
            <w:tcBorders>
              <w:top w:val="single" w:sz="8" w:color="auto"/>
            </w:tcBorders>
          </w:tcPr>
          <w:p>
            <w:pPr>
              <w:spacing w:after="0" w:line="113" w:lineRule="exact"/>
              <w:rPr>
                <w:sz w:val="20"/>
                <w:szCs w:val="20"/>
                <w:color w:val="auto"/>
              </w:rPr>
            </w:pPr>
            <w:r>
              <w:rPr>
                <w:rFonts w:ascii="Arial" w:cs="Arial" w:eastAsia="Arial" w:hAnsi="Arial"/>
                <w:sz w:val="10"/>
                <w:szCs w:val="10"/>
                <w:color w:val="auto"/>
              </w:rPr>
              <w:t>Cost</w:t>
            </w:r>
          </w:p>
        </w:tc>
        <w:tc>
          <w:tcPr>
            <w:tcW w:w="148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82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260" w:type="dxa"/>
            <w:vAlign w:val="bottom"/>
          </w:tcPr>
          <w:p>
            <w:pPr>
              <w:ind w:left="120"/>
              <w:spacing w:after="0"/>
              <w:rPr>
                <w:sz w:val="20"/>
                <w:szCs w:val="20"/>
                <w:color w:val="auto"/>
              </w:rPr>
            </w:pPr>
            <w:r>
              <w:rPr>
                <w:rFonts w:ascii="Arial" w:cs="Arial" w:eastAsia="Arial" w:hAnsi="Arial"/>
                <w:sz w:val="10"/>
                <w:szCs w:val="10"/>
                <w:color w:val="auto"/>
              </w:rPr>
              <w:t>At January 1</w:t>
            </w:r>
          </w:p>
        </w:tc>
        <w:tc>
          <w:tcPr>
            <w:tcW w:w="1480" w:type="dxa"/>
            <w:vAlign w:val="bottom"/>
          </w:tcPr>
          <w:p>
            <w:pPr>
              <w:jc w:val="right"/>
              <w:ind w:right="153"/>
              <w:spacing w:after="0"/>
              <w:rPr>
                <w:sz w:val="20"/>
                <w:szCs w:val="20"/>
                <w:color w:val="auto"/>
              </w:rPr>
            </w:pPr>
            <w:r>
              <w:rPr>
                <w:rFonts w:ascii="Arial" w:cs="Arial" w:eastAsia="Arial" w:hAnsi="Arial"/>
                <w:sz w:val="10"/>
                <w:szCs w:val="10"/>
                <w:color w:val="auto"/>
              </w:rPr>
              <w:t>18,596</w:t>
            </w:r>
          </w:p>
        </w:tc>
        <w:tc>
          <w:tcPr>
            <w:tcW w:w="1180" w:type="dxa"/>
            <w:vAlign w:val="bottom"/>
          </w:tcPr>
          <w:p>
            <w:pPr>
              <w:jc w:val="right"/>
              <w:spacing w:after="0"/>
              <w:rPr>
                <w:sz w:val="20"/>
                <w:szCs w:val="20"/>
                <w:color w:val="auto"/>
              </w:rPr>
            </w:pPr>
            <w:r>
              <w:rPr>
                <w:rFonts w:ascii="Arial" w:cs="Arial" w:eastAsia="Arial" w:hAnsi="Arial"/>
                <w:sz w:val="10"/>
                <w:szCs w:val="10"/>
                <w:color w:val="auto"/>
              </w:rPr>
              <w:t>286,666</w:t>
            </w:r>
          </w:p>
        </w:tc>
        <w:tc>
          <w:tcPr>
            <w:tcW w:w="1820" w:type="dxa"/>
            <w:vAlign w:val="bottom"/>
          </w:tcPr>
          <w:p>
            <w:pPr>
              <w:jc w:val="right"/>
              <w:ind w:right="492"/>
              <w:spacing w:after="0"/>
              <w:rPr>
                <w:sz w:val="20"/>
                <w:szCs w:val="20"/>
                <w:color w:val="auto"/>
              </w:rPr>
            </w:pPr>
            <w:r>
              <w:rPr>
                <w:rFonts w:ascii="Arial" w:cs="Arial" w:eastAsia="Arial" w:hAnsi="Arial"/>
                <w:sz w:val="10"/>
                <w:szCs w:val="10"/>
                <w:color w:val="auto"/>
              </w:rPr>
              <w:t>104,817</w:t>
            </w:r>
          </w:p>
        </w:tc>
        <w:tc>
          <w:tcPr>
            <w:tcW w:w="1300" w:type="dxa"/>
            <w:vAlign w:val="bottom"/>
          </w:tcPr>
          <w:p>
            <w:pPr>
              <w:jc w:val="right"/>
              <w:ind w:right="472"/>
              <w:spacing w:after="0"/>
              <w:rPr>
                <w:sz w:val="20"/>
                <w:szCs w:val="20"/>
                <w:color w:val="auto"/>
              </w:rPr>
            </w:pPr>
            <w:r>
              <w:rPr>
                <w:rFonts w:ascii="Arial" w:cs="Arial" w:eastAsia="Arial" w:hAnsi="Arial"/>
                <w:sz w:val="10"/>
                <w:szCs w:val="10"/>
                <w:color w:val="auto"/>
              </w:rPr>
              <w:t>29,081</w:t>
            </w:r>
          </w:p>
        </w:tc>
        <w:tc>
          <w:tcPr>
            <w:tcW w:w="840" w:type="dxa"/>
            <w:vAlign w:val="bottom"/>
          </w:tcPr>
          <w:p>
            <w:pPr>
              <w:jc w:val="right"/>
              <w:spacing w:after="0"/>
              <w:rPr>
                <w:sz w:val="20"/>
                <w:szCs w:val="20"/>
                <w:color w:val="auto"/>
              </w:rPr>
            </w:pPr>
            <w:r>
              <w:rPr>
                <w:rFonts w:ascii="Arial" w:cs="Arial" w:eastAsia="Arial" w:hAnsi="Arial"/>
                <w:sz w:val="10"/>
                <w:szCs w:val="10"/>
                <w:color w:val="auto"/>
              </w:rPr>
              <w:t>439,160</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260" w:type="dxa"/>
            <w:vAlign w:val="bottom"/>
          </w:tcPr>
          <w:p>
            <w:pPr>
              <w:ind w:left="120"/>
              <w:spacing w:after="0"/>
              <w:rPr>
                <w:sz w:val="20"/>
                <w:szCs w:val="20"/>
                <w:color w:val="auto"/>
              </w:rPr>
            </w:pPr>
            <w:r>
              <w:rPr>
                <w:rFonts w:ascii="Arial" w:cs="Arial" w:eastAsia="Arial" w:hAnsi="Arial"/>
                <w:sz w:val="10"/>
                <w:szCs w:val="10"/>
                <w:color w:val="auto"/>
              </w:rPr>
              <w:t>Additions</w:t>
            </w:r>
          </w:p>
        </w:tc>
        <w:tc>
          <w:tcPr>
            <w:tcW w:w="1480" w:type="dxa"/>
            <w:vAlign w:val="bottom"/>
          </w:tcPr>
          <w:p>
            <w:pPr>
              <w:jc w:val="right"/>
              <w:ind w:right="153"/>
              <w:spacing w:after="0"/>
              <w:rPr>
                <w:sz w:val="20"/>
                <w:szCs w:val="20"/>
                <w:color w:val="auto"/>
              </w:rPr>
            </w:pPr>
            <w:r>
              <w:rPr>
                <w:rFonts w:ascii="Arial" w:cs="Arial" w:eastAsia="Arial" w:hAnsi="Arial"/>
                <w:sz w:val="10"/>
                <w:szCs w:val="10"/>
                <w:color w:val="auto"/>
              </w:rPr>
              <w:t>1,728</w:t>
            </w:r>
          </w:p>
        </w:tc>
        <w:tc>
          <w:tcPr>
            <w:tcW w:w="1180" w:type="dxa"/>
            <w:vAlign w:val="bottom"/>
          </w:tcPr>
          <w:p>
            <w:pPr>
              <w:jc w:val="right"/>
              <w:spacing w:after="0"/>
              <w:rPr>
                <w:sz w:val="20"/>
                <w:szCs w:val="20"/>
                <w:color w:val="auto"/>
              </w:rPr>
            </w:pPr>
            <w:r>
              <w:rPr>
                <w:rFonts w:ascii="Arial" w:cs="Arial" w:eastAsia="Arial" w:hAnsi="Arial"/>
                <w:sz w:val="10"/>
                <w:szCs w:val="10"/>
                <w:color w:val="auto"/>
              </w:rPr>
              <w:t>9,659</w:t>
            </w:r>
          </w:p>
        </w:tc>
        <w:tc>
          <w:tcPr>
            <w:tcW w:w="1820" w:type="dxa"/>
            <w:vAlign w:val="bottom"/>
          </w:tcPr>
          <w:p>
            <w:pPr>
              <w:jc w:val="right"/>
              <w:ind w:right="492"/>
              <w:spacing w:after="0"/>
              <w:rPr>
                <w:sz w:val="20"/>
                <w:szCs w:val="20"/>
                <w:color w:val="auto"/>
              </w:rPr>
            </w:pPr>
            <w:r>
              <w:rPr>
                <w:rFonts w:ascii="Arial" w:cs="Arial" w:eastAsia="Arial" w:hAnsi="Arial"/>
                <w:sz w:val="10"/>
                <w:szCs w:val="10"/>
                <w:color w:val="auto"/>
              </w:rPr>
              <w:t>6,287</w:t>
            </w:r>
          </w:p>
        </w:tc>
        <w:tc>
          <w:tcPr>
            <w:tcW w:w="1300" w:type="dxa"/>
            <w:vAlign w:val="bottom"/>
          </w:tcPr>
          <w:p>
            <w:pPr>
              <w:jc w:val="right"/>
              <w:ind w:right="472"/>
              <w:spacing w:after="0"/>
              <w:rPr>
                <w:sz w:val="20"/>
                <w:szCs w:val="20"/>
                <w:color w:val="auto"/>
              </w:rPr>
            </w:pPr>
            <w:r>
              <w:rPr>
                <w:rFonts w:ascii="Arial" w:cs="Arial" w:eastAsia="Arial" w:hAnsi="Arial"/>
                <w:sz w:val="10"/>
                <w:szCs w:val="10"/>
                <w:color w:val="auto"/>
              </w:rPr>
              <w:t>3,460</w:t>
            </w:r>
          </w:p>
        </w:tc>
        <w:tc>
          <w:tcPr>
            <w:tcW w:w="840" w:type="dxa"/>
            <w:vAlign w:val="bottom"/>
          </w:tcPr>
          <w:p>
            <w:pPr>
              <w:jc w:val="right"/>
              <w:spacing w:after="0"/>
              <w:rPr>
                <w:sz w:val="20"/>
                <w:szCs w:val="20"/>
                <w:color w:val="auto"/>
              </w:rPr>
            </w:pPr>
            <w:r>
              <w:rPr>
                <w:rFonts w:ascii="Arial" w:cs="Arial" w:eastAsia="Arial" w:hAnsi="Arial"/>
                <w:sz w:val="10"/>
                <w:szCs w:val="10"/>
                <w:color w:val="auto"/>
              </w:rPr>
              <w:t>21,134</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260" w:type="dxa"/>
            <w:vAlign w:val="bottom"/>
          </w:tcPr>
          <w:p>
            <w:pPr>
              <w:ind w:left="120"/>
              <w:spacing w:after="0"/>
              <w:rPr>
                <w:sz w:val="20"/>
                <w:szCs w:val="20"/>
                <w:color w:val="auto"/>
              </w:rPr>
            </w:pPr>
            <w:r>
              <w:rPr>
                <w:rFonts w:ascii="Arial" w:cs="Arial" w:eastAsia="Arial" w:hAnsi="Arial"/>
                <w:sz w:val="10"/>
                <w:szCs w:val="10"/>
                <w:color w:val="auto"/>
              </w:rPr>
              <w:t>Sales, retirements and other movements</w:t>
            </w:r>
          </w:p>
        </w:tc>
        <w:tc>
          <w:tcPr>
            <w:tcW w:w="1480" w:type="dxa"/>
            <w:vAlign w:val="bottom"/>
          </w:tcPr>
          <w:p>
            <w:pPr>
              <w:jc w:val="right"/>
              <w:ind w:right="113"/>
              <w:spacing w:after="0"/>
              <w:rPr>
                <w:sz w:val="20"/>
                <w:szCs w:val="20"/>
                <w:color w:val="auto"/>
              </w:rPr>
            </w:pPr>
            <w:r>
              <w:rPr>
                <w:rFonts w:ascii="Arial" w:cs="Arial" w:eastAsia="Arial" w:hAnsi="Arial"/>
                <w:sz w:val="10"/>
                <w:szCs w:val="10"/>
                <w:color w:val="auto"/>
              </w:rPr>
              <w:t>(5,928)</w:t>
            </w:r>
          </w:p>
        </w:tc>
        <w:tc>
          <w:tcPr>
            <w:tcW w:w="1180" w:type="dxa"/>
            <w:vAlign w:val="bottom"/>
          </w:tcPr>
          <w:p>
            <w:pPr>
              <w:jc w:val="right"/>
              <w:spacing w:after="0"/>
              <w:rPr>
                <w:sz w:val="20"/>
                <w:szCs w:val="20"/>
                <w:color w:val="auto"/>
              </w:rPr>
            </w:pPr>
            <w:r>
              <w:rPr>
                <w:rFonts w:ascii="Arial" w:cs="Arial" w:eastAsia="Arial" w:hAnsi="Arial"/>
                <w:sz w:val="10"/>
                <w:szCs w:val="10"/>
                <w:color w:val="auto"/>
              </w:rPr>
              <w:t>600</w:t>
            </w:r>
          </w:p>
        </w:tc>
        <w:tc>
          <w:tcPr>
            <w:tcW w:w="1820" w:type="dxa"/>
            <w:vAlign w:val="bottom"/>
          </w:tcPr>
          <w:p>
            <w:pPr>
              <w:jc w:val="right"/>
              <w:ind w:right="472"/>
              <w:spacing w:after="0"/>
              <w:rPr>
                <w:sz w:val="20"/>
                <w:szCs w:val="20"/>
                <w:color w:val="auto"/>
              </w:rPr>
            </w:pPr>
            <w:r>
              <w:rPr>
                <w:rFonts w:ascii="Arial" w:cs="Arial" w:eastAsia="Arial" w:hAnsi="Arial"/>
                <w:sz w:val="10"/>
                <w:szCs w:val="10"/>
                <w:color w:val="auto"/>
              </w:rPr>
              <w:t>(5,510)</w:t>
            </w:r>
          </w:p>
        </w:tc>
        <w:tc>
          <w:tcPr>
            <w:tcW w:w="1300" w:type="dxa"/>
            <w:vAlign w:val="bottom"/>
          </w:tcPr>
          <w:p>
            <w:pPr>
              <w:jc w:val="right"/>
              <w:ind w:right="452"/>
              <w:spacing w:after="0"/>
              <w:rPr>
                <w:sz w:val="20"/>
                <w:szCs w:val="20"/>
                <w:color w:val="auto"/>
              </w:rPr>
            </w:pPr>
            <w:r>
              <w:rPr>
                <w:rFonts w:ascii="Arial" w:cs="Arial" w:eastAsia="Arial" w:hAnsi="Arial"/>
                <w:sz w:val="10"/>
                <w:szCs w:val="10"/>
                <w:color w:val="auto"/>
              </w:rPr>
              <w:t>(1,109)</w:t>
            </w:r>
          </w:p>
        </w:tc>
        <w:tc>
          <w:tcPr>
            <w:tcW w:w="840" w:type="dxa"/>
            <w:vAlign w:val="bottom"/>
          </w:tcPr>
          <w:p>
            <w:pPr>
              <w:jc w:val="right"/>
              <w:spacing w:after="0"/>
              <w:rPr>
                <w:sz w:val="20"/>
                <w:szCs w:val="20"/>
                <w:color w:val="auto"/>
              </w:rPr>
            </w:pPr>
            <w:r>
              <w:rPr>
                <w:rFonts w:ascii="Arial" w:cs="Arial" w:eastAsia="Arial" w:hAnsi="Arial"/>
                <w:sz w:val="10"/>
                <w:szCs w:val="10"/>
                <w:color w:val="auto"/>
              </w:rPr>
              <w:t>(11,947)</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26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Currency translation differences</w:t>
            </w: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0"/>
                <w:szCs w:val="10"/>
                <w:color w:val="auto"/>
              </w:rPr>
              <w:t>92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3,632</w:t>
            </w: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2,282</w:t>
            </w: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970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6,976</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0"/>
                <w:szCs w:val="10"/>
                <w:color w:val="auto"/>
              </w:rPr>
              <w:t>14,488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300,557</w:t>
            </w: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107,876</w:t>
            </w: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32,402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455,323</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260" w:type="dxa"/>
            <w:vAlign w:val="bottom"/>
          </w:tcPr>
          <w:p>
            <w:pPr>
              <w:spacing w:after="0" w:line="113" w:lineRule="exact"/>
              <w:rPr>
                <w:sz w:val="20"/>
                <w:szCs w:val="20"/>
                <w:color w:val="auto"/>
              </w:rPr>
            </w:pPr>
            <w:r>
              <w:rPr>
                <w:rFonts w:ascii="Arial" w:cs="Arial" w:eastAsia="Arial" w:hAnsi="Arial"/>
                <w:sz w:val="10"/>
                <w:szCs w:val="10"/>
                <w:color w:val="auto"/>
              </w:rPr>
              <w:t>Depreciation, depletion and amortisation, including impairments</w:t>
            </w:r>
          </w:p>
        </w:tc>
        <w:tc>
          <w:tcPr>
            <w:tcW w:w="1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260" w:type="dxa"/>
            <w:vAlign w:val="bottom"/>
          </w:tcPr>
          <w:p>
            <w:pPr>
              <w:ind w:left="120"/>
              <w:spacing w:after="0"/>
              <w:rPr>
                <w:sz w:val="20"/>
                <w:szCs w:val="20"/>
                <w:color w:val="auto"/>
              </w:rPr>
            </w:pPr>
            <w:r>
              <w:rPr>
                <w:rFonts w:ascii="Arial" w:cs="Arial" w:eastAsia="Arial" w:hAnsi="Arial"/>
                <w:sz w:val="10"/>
                <w:szCs w:val="10"/>
                <w:color w:val="auto"/>
              </w:rPr>
              <w:t>At January 1</w:t>
            </w:r>
          </w:p>
        </w:tc>
        <w:tc>
          <w:tcPr>
            <w:tcW w:w="1480" w:type="dxa"/>
            <w:vAlign w:val="bottom"/>
          </w:tcPr>
          <w:p>
            <w:pPr>
              <w:jc w:val="right"/>
              <w:ind w:right="153"/>
              <w:spacing w:after="0"/>
              <w:rPr>
                <w:sz w:val="20"/>
                <w:szCs w:val="20"/>
                <w:color w:val="auto"/>
              </w:rPr>
            </w:pPr>
            <w:r>
              <w:rPr>
                <w:rFonts w:ascii="Arial" w:cs="Arial" w:eastAsia="Arial" w:hAnsi="Arial"/>
                <w:sz w:val="10"/>
                <w:szCs w:val="10"/>
                <w:color w:val="auto"/>
              </w:rPr>
              <w:t>4,010</w:t>
            </w:r>
          </w:p>
        </w:tc>
        <w:tc>
          <w:tcPr>
            <w:tcW w:w="1180" w:type="dxa"/>
            <w:vAlign w:val="bottom"/>
          </w:tcPr>
          <w:p>
            <w:pPr>
              <w:jc w:val="right"/>
              <w:spacing w:after="0"/>
              <w:rPr>
                <w:sz w:val="20"/>
                <w:szCs w:val="20"/>
                <w:color w:val="auto"/>
              </w:rPr>
            </w:pPr>
            <w:r>
              <w:rPr>
                <w:rFonts w:ascii="Arial" w:cs="Arial" w:eastAsia="Arial" w:hAnsi="Arial"/>
                <w:sz w:val="10"/>
                <w:szCs w:val="10"/>
                <w:color w:val="auto"/>
              </w:rPr>
              <w:t>136,300</w:t>
            </w:r>
          </w:p>
        </w:tc>
        <w:tc>
          <w:tcPr>
            <w:tcW w:w="1820" w:type="dxa"/>
            <w:vAlign w:val="bottom"/>
          </w:tcPr>
          <w:p>
            <w:pPr>
              <w:jc w:val="right"/>
              <w:ind w:right="492"/>
              <w:spacing w:after="0"/>
              <w:rPr>
                <w:sz w:val="20"/>
                <w:szCs w:val="20"/>
                <w:color w:val="auto"/>
              </w:rPr>
            </w:pPr>
            <w:r>
              <w:rPr>
                <w:rFonts w:ascii="Arial" w:cs="Arial" w:eastAsia="Arial" w:hAnsi="Arial"/>
                <w:sz w:val="10"/>
                <w:szCs w:val="10"/>
                <w:color w:val="auto"/>
              </w:rPr>
              <w:t>48,872</w:t>
            </w:r>
          </w:p>
        </w:tc>
        <w:tc>
          <w:tcPr>
            <w:tcW w:w="1300" w:type="dxa"/>
            <w:vAlign w:val="bottom"/>
          </w:tcPr>
          <w:p>
            <w:pPr>
              <w:jc w:val="right"/>
              <w:ind w:right="472"/>
              <w:spacing w:after="0"/>
              <w:rPr>
                <w:sz w:val="20"/>
                <w:szCs w:val="20"/>
                <w:color w:val="auto"/>
              </w:rPr>
            </w:pPr>
            <w:r>
              <w:rPr>
                <w:rFonts w:ascii="Arial" w:cs="Arial" w:eastAsia="Arial" w:hAnsi="Arial"/>
                <w:sz w:val="10"/>
                <w:szCs w:val="10"/>
                <w:color w:val="auto"/>
              </w:rPr>
              <w:t>11,629</w:t>
            </w:r>
          </w:p>
        </w:tc>
        <w:tc>
          <w:tcPr>
            <w:tcW w:w="840" w:type="dxa"/>
            <w:vAlign w:val="bottom"/>
          </w:tcPr>
          <w:p>
            <w:pPr>
              <w:jc w:val="right"/>
              <w:spacing w:after="0"/>
              <w:rPr>
                <w:sz w:val="20"/>
                <w:szCs w:val="20"/>
                <w:color w:val="auto"/>
              </w:rPr>
            </w:pPr>
            <w:r>
              <w:rPr>
                <w:rFonts w:ascii="Arial" w:cs="Arial" w:eastAsia="Arial" w:hAnsi="Arial"/>
                <w:sz w:val="10"/>
                <w:szCs w:val="10"/>
                <w:color w:val="auto"/>
              </w:rPr>
              <w:t>200,811</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260" w:type="dxa"/>
            <w:vAlign w:val="bottom"/>
          </w:tcPr>
          <w:p>
            <w:pPr>
              <w:ind w:left="120"/>
              <w:spacing w:after="0"/>
              <w:rPr>
                <w:sz w:val="20"/>
                <w:szCs w:val="20"/>
                <w:color w:val="auto"/>
              </w:rPr>
            </w:pPr>
            <w:r>
              <w:rPr>
                <w:rFonts w:ascii="Arial" w:cs="Arial" w:eastAsia="Arial" w:hAnsi="Arial"/>
                <w:sz w:val="10"/>
                <w:szCs w:val="10"/>
                <w:color w:val="auto"/>
              </w:rPr>
              <w:t>Charge for the year [A]</w:t>
            </w:r>
          </w:p>
        </w:tc>
        <w:tc>
          <w:tcPr>
            <w:tcW w:w="1480" w:type="dxa"/>
            <w:vAlign w:val="bottom"/>
          </w:tcPr>
          <w:p>
            <w:pPr>
              <w:jc w:val="right"/>
              <w:ind w:right="153"/>
              <w:spacing w:after="0"/>
              <w:rPr>
                <w:sz w:val="20"/>
                <w:szCs w:val="20"/>
                <w:color w:val="auto"/>
              </w:rPr>
            </w:pPr>
            <w:r>
              <w:rPr>
                <w:rFonts w:ascii="Arial" w:cs="Arial" w:eastAsia="Arial" w:hAnsi="Arial"/>
                <w:sz w:val="10"/>
                <w:szCs w:val="10"/>
                <w:color w:val="auto"/>
              </w:rPr>
              <w:t>3,336</w:t>
            </w:r>
          </w:p>
        </w:tc>
        <w:tc>
          <w:tcPr>
            <w:tcW w:w="1180" w:type="dxa"/>
            <w:vAlign w:val="bottom"/>
          </w:tcPr>
          <w:p>
            <w:pPr>
              <w:jc w:val="right"/>
              <w:spacing w:after="0"/>
              <w:rPr>
                <w:sz w:val="20"/>
                <w:szCs w:val="20"/>
                <w:color w:val="auto"/>
              </w:rPr>
            </w:pPr>
            <w:r>
              <w:rPr>
                <w:rFonts w:ascii="Arial" w:cs="Arial" w:eastAsia="Arial" w:hAnsi="Arial"/>
                <w:sz w:val="10"/>
                <w:szCs w:val="10"/>
                <w:color w:val="auto"/>
              </w:rPr>
              <w:t>34,209</w:t>
            </w:r>
          </w:p>
        </w:tc>
        <w:tc>
          <w:tcPr>
            <w:tcW w:w="1820" w:type="dxa"/>
            <w:vAlign w:val="bottom"/>
          </w:tcPr>
          <w:p>
            <w:pPr>
              <w:jc w:val="right"/>
              <w:ind w:right="492"/>
              <w:spacing w:after="0"/>
              <w:rPr>
                <w:sz w:val="20"/>
                <w:szCs w:val="20"/>
                <w:color w:val="auto"/>
              </w:rPr>
            </w:pPr>
            <w:r>
              <w:rPr>
                <w:rFonts w:ascii="Arial" w:cs="Arial" w:eastAsia="Arial" w:hAnsi="Arial"/>
                <w:sz w:val="10"/>
                <w:szCs w:val="10"/>
                <w:color w:val="auto"/>
              </w:rPr>
              <w:t>11,680</w:t>
            </w:r>
          </w:p>
        </w:tc>
        <w:tc>
          <w:tcPr>
            <w:tcW w:w="1300" w:type="dxa"/>
            <w:vAlign w:val="bottom"/>
          </w:tcPr>
          <w:p>
            <w:pPr>
              <w:jc w:val="right"/>
              <w:ind w:right="472"/>
              <w:spacing w:after="0"/>
              <w:rPr>
                <w:sz w:val="20"/>
                <w:szCs w:val="20"/>
                <w:color w:val="auto"/>
              </w:rPr>
            </w:pPr>
            <w:r>
              <w:rPr>
                <w:rFonts w:ascii="Arial" w:cs="Arial" w:eastAsia="Arial" w:hAnsi="Arial"/>
                <w:sz w:val="10"/>
                <w:szCs w:val="10"/>
                <w:color w:val="auto"/>
              </w:rPr>
              <w:t>1,693</w:t>
            </w:r>
          </w:p>
        </w:tc>
        <w:tc>
          <w:tcPr>
            <w:tcW w:w="840" w:type="dxa"/>
            <w:vAlign w:val="bottom"/>
          </w:tcPr>
          <w:p>
            <w:pPr>
              <w:jc w:val="right"/>
              <w:spacing w:after="0"/>
              <w:rPr>
                <w:sz w:val="20"/>
                <w:szCs w:val="20"/>
                <w:color w:val="auto"/>
              </w:rPr>
            </w:pPr>
            <w:r>
              <w:rPr>
                <w:rFonts w:ascii="Arial" w:cs="Arial" w:eastAsia="Arial" w:hAnsi="Arial"/>
                <w:sz w:val="10"/>
                <w:szCs w:val="10"/>
                <w:color w:val="auto"/>
              </w:rPr>
              <w:t>50,918</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260" w:type="dxa"/>
            <w:vAlign w:val="bottom"/>
          </w:tcPr>
          <w:p>
            <w:pPr>
              <w:ind w:left="120"/>
              <w:spacing w:after="0"/>
              <w:rPr>
                <w:sz w:val="20"/>
                <w:szCs w:val="20"/>
                <w:color w:val="auto"/>
              </w:rPr>
            </w:pPr>
            <w:r>
              <w:rPr>
                <w:rFonts w:ascii="Arial" w:cs="Arial" w:eastAsia="Arial" w:hAnsi="Arial"/>
                <w:sz w:val="10"/>
                <w:szCs w:val="10"/>
                <w:color w:val="auto"/>
              </w:rPr>
              <w:t>Sales, retirements and other movements</w:t>
            </w:r>
          </w:p>
        </w:tc>
        <w:tc>
          <w:tcPr>
            <w:tcW w:w="1480" w:type="dxa"/>
            <w:vAlign w:val="bottom"/>
          </w:tcPr>
          <w:p>
            <w:pPr>
              <w:jc w:val="right"/>
              <w:ind w:right="113"/>
              <w:spacing w:after="0"/>
              <w:rPr>
                <w:sz w:val="20"/>
                <w:szCs w:val="20"/>
                <w:color w:val="auto"/>
              </w:rPr>
            </w:pPr>
            <w:r>
              <w:rPr>
                <w:rFonts w:ascii="Arial" w:cs="Arial" w:eastAsia="Arial" w:hAnsi="Arial"/>
                <w:sz w:val="10"/>
                <w:szCs w:val="10"/>
                <w:color w:val="auto"/>
              </w:rPr>
              <w:t>(2,148)</w:t>
            </w:r>
          </w:p>
        </w:tc>
        <w:tc>
          <w:tcPr>
            <w:tcW w:w="1180" w:type="dxa"/>
            <w:vAlign w:val="bottom"/>
          </w:tcPr>
          <w:p>
            <w:pPr>
              <w:jc w:val="right"/>
              <w:spacing w:after="0"/>
              <w:rPr>
                <w:sz w:val="20"/>
                <w:szCs w:val="20"/>
                <w:color w:val="auto"/>
              </w:rPr>
            </w:pPr>
            <w:r>
              <w:rPr>
                <w:rFonts w:ascii="Arial" w:cs="Arial" w:eastAsia="Arial" w:hAnsi="Arial"/>
                <w:sz w:val="10"/>
                <w:szCs w:val="10"/>
                <w:color w:val="auto"/>
              </w:rPr>
              <w:t>(5,075)</w:t>
            </w:r>
          </w:p>
        </w:tc>
        <w:tc>
          <w:tcPr>
            <w:tcW w:w="1820" w:type="dxa"/>
            <w:vAlign w:val="bottom"/>
          </w:tcPr>
          <w:p>
            <w:pPr>
              <w:jc w:val="right"/>
              <w:ind w:right="472"/>
              <w:spacing w:after="0"/>
              <w:rPr>
                <w:sz w:val="20"/>
                <w:szCs w:val="20"/>
                <w:color w:val="auto"/>
              </w:rPr>
            </w:pPr>
            <w:r>
              <w:rPr>
                <w:rFonts w:ascii="Arial" w:cs="Arial" w:eastAsia="Arial" w:hAnsi="Arial"/>
                <w:sz w:val="10"/>
                <w:szCs w:val="10"/>
                <w:color w:val="auto"/>
              </w:rPr>
              <w:t>(4,129)</w:t>
            </w:r>
          </w:p>
        </w:tc>
        <w:tc>
          <w:tcPr>
            <w:tcW w:w="1300" w:type="dxa"/>
            <w:vAlign w:val="bottom"/>
          </w:tcPr>
          <w:p>
            <w:pPr>
              <w:jc w:val="right"/>
              <w:ind w:right="452"/>
              <w:spacing w:after="0"/>
              <w:rPr>
                <w:sz w:val="20"/>
                <w:szCs w:val="20"/>
                <w:color w:val="auto"/>
              </w:rPr>
            </w:pPr>
            <w:r>
              <w:rPr>
                <w:rFonts w:ascii="Arial" w:cs="Arial" w:eastAsia="Arial" w:hAnsi="Arial"/>
                <w:sz w:val="10"/>
                <w:szCs w:val="10"/>
                <w:color w:val="auto"/>
              </w:rPr>
              <w:t>(1,091)</w:t>
            </w:r>
          </w:p>
        </w:tc>
        <w:tc>
          <w:tcPr>
            <w:tcW w:w="840" w:type="dxa"/>
            <w:vAlign w:val="bottom"/>
          </w:tcPr>
          <w:p>
            <w:pPr>
              <w:jc w:val="right"/>
              <w:spacing w:after="0"/>
              <w:rPr>
                <w:sz w:val="20"/>
                <w:szCs w:val="20"/>
                <w:color w:val="auto"/>
              </w:rPr>
            </w:pPr>
            <w:r>
              <w:rPr>
                <w:rFonts w:ascii="Arial" w:cs="Arial" w:eastAsia="Arial" w:hAnsi="Arial"/>
                <w:sz w:val="10"/>
                <w:szCs w:val="10"/>
                <w:color w:val="auto"/>
              </w:rPr>
              <w:t>(12,443)</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26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Currency translation differences</w:t>
            </w: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0"/>
                <w:szCs w:val="10"/>
                <w:color w:val="auto"/>
              </w:rPr>
              <w:t>64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2,805</w:t>
            </w: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1,819</w:t>
            </w: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502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5,190</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0"/>
                <w:szCs w:val="10"/>
                <w:color w:val="auto"/>
              </w:rPr>
              <w:t>5,262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168,239</w:t>
            </w: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58,242</w:t>
            </w: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12,733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244,476</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Carrying amount at December 31</w:t>
            </w: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0"/>
                <w:szCs w:val="10"/>
                <w:color w:val="auto"/>
              </w:rPr>
              <w:t>9,226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132,318</w:t>
            </w: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49,634</w:t>
            </w: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19,669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210,847</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260" w:type="dxa"/>
            <w:vAlign w:val="bottom"/>
          </w:tcPr>
          <w:p>
            <w:pPr>
              <w:spacing w:after="0"/>
              <w:rPr>
                <w:sz w:val="20"/>
                <w:szCs w:val="20"/>
                <w:color w:val="auto"/>
              </w:rPr>
            </w:pPr>
            <w:r>
              <w:rPr>
                <w:rFonts w:ascii="Arial" w:cs="Arial" w:eastAsia="Arial" w:hAnsi="Arial"/>
                <w:sz w:val="7"/>
                <w:szCs w:val="7"/>
                <w:color w:val="auto"/>
              </w:rPr>
              <w:t>[A] Includes $26,676 million relating to impairment losses (see table 'Impairments' below).</w:t>
            </w:r>
          </w:p>
        </w:tc>
        <w:tc>
          <w:tcPr>
            <w:tcW w:w="1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1"/>
        </w:trPr>
        <w:tc>
          <w:tcPr>
            <w:tcW w:w="426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1480" w:type="dxa"/>
            <w:vAlign w:val="bottom"/>
          </w:tcPr>
          <w:p>
            <w:pPr>
              <w:jc w:val="right"/>
              <w:ind w:right="53"/>
              <w:spacing w:after="0"/>
              <w:rPr>
                <w:sz w:val="20"/>
                <w:szCs w:val="20"/>
                <w:color w:val="auto"/>
              </w:rPr>
            </w:pPr>
            <w:r>
              <w:rPr>
                <w:rFonts w:ascii="Arial" w:cs="Arial" w:eastAsia="Arial" w:hAnsi="Arial"/>
                <w:sz w:val="7"/>
                <w:szCs w:val="7"/>
                <w:color w:val="auto"/>
              </w:rPr>
              <w:t>183</w:t>
            </w: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34" w:right="29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57"/>
        </w:trPr>
        <w:tc>
          <w:tcPr>
            <w:tcW w:w="426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2019</w:t>
            </w:r>
          </w:p>
        </w:tc>
        <w:tc>
          <w:tcPr>
            <w:tcW w:w="2040" w:type="dxa"/>
            <w:vAlign w:val="bottom"/>
            <w:tcBorders>
              <w:top w:val="single" w:sz="8" w:color="D9D9D9"/>
            </w:tcBorders>
          </w:tcPr>
          <w:p>
            <w:pPr>
              <w:spacing w:after="0"/>
              <w:rPr>
                <w:sz w:val="13"/>
                <w:szCs w:val="13"/>
                <w:color w:val="auto"/>
              </w:rPr>
            </w:pPr>
          </w:p>
        </w:tc>
        <w:tc>
          <w:tcPr>
            <w:tcW w:w="620" w:type="dxa"/>
            <w:vAlign w:val="bottom"/>
            <w:tcBorders>
              <w:top w:val="single" w:sz="8" w:color="D9D9D9"/>
            </w:tcBorders>
          </w:tcPr>
          <w:p>
            <w:pPr>
              <w:spacing w:after="0"/>
              <w:rPr>
                <w:sz w:val="13"/>
                <w:szCs w:val="13"/>
                <w:color w:val="auto"/>
              </w:rPr>
            </w:pPr>
          </w:p>
        </w:tc>
        <w:tc>
          <w:tcPr>
            <w:tcW w:w="1820" w:type="dxa"/>
            <w:vAlign w:val="bottom"/>
            <w:tcBorders>
              <w:top w:val="single" w:sz="8" w:color="D9D9D9"/>
            </w:tcBorders>
          </w:tcPr>
          <w:p>
            <w:pPr>
              <w:spacing w:after="0"/>
              <w:rPr>
                <w:sz w:val="13"/>
                <w:szCs w:val="13"/>
                <w:color w:val="auto"/>
              </w:rPr>
            </w:pPr>
          </w:p>
        </w:tc>
        <w:tc>
          <w:tcPr>
            <w:tcW w:w="1300" w:type="dxa"/>
            <w:vAlign w:val="bottom"/>
            <w:tcBorders>
              <w:top w:val="single" w:sz="8" w:color="D9D9D9"/>
            </w:tcBorders>
          </w:tcPr>
          <w:p>
            <w:pPr>
              <w:spacing w:after="0"/>
              <w:rPr>
                <w:sz w:val="13"/>
                <w:szCs w:val="13"/>
                <w:color w:val="auto"/>
              </w:rPr>
            </w:pPr>
          </w:p>
        </w:tc>
        <w:tc>
          <w:tcPr>
            <w:tcW w:w="84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3"/>
        </w:trPr>
        <w:tc>
          <w:tcPr>
            <w:tcW w:w="4260" w:type="dxa"/>
            <w:vAlign w:val="bottom"/>
          </w:tcPr>
          <w:p>
            <w:pPr>
              <w:spacing w:after="0"/>
              <w:rPr>
                <w:sz w:val="10"/>
                <w:szCs w:val="10"/>
                <w:color w:val="auto"/>
              </w:rPr>
            </w:pPr>
          </w:p>
        </w:tc>
        <w:tc>
          <w:tcPr>
            <w:tcW w:w="20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Exploration and production</w:t>
            </w:r>
          </w:p>
        </w:tc>
        <w:tc>
          <w:tcPr>
            <w:tcW w:w="620" w:type="dxa"/>
            <w:vAlign w:val="bottom"/>
            <w:tcBorders>
              <w:bottom w:val="single" w:sz="8" w:color="auto"/>
            </w:tcBorders>
          </w:tcPr>
          <w:p>
            <w:pPr>
              <w:spacing w:after="0"/>
              <w:rPr>
                <w:sz w:val="10"/>
                <w:szCs w:val="10"/>
                <w:color w:val="auto"/>
              </w:rPr>
            </w:pPr>
          </w:p>
        </w:tc>
        <w:tc>
          <w:tcPr>
            <w:tcW w:w="1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260" w:type="dxa"/>
            <w:vAlign w:val="bottom"/>
          </w:tcPr>
          <w:p>
            <w:pPr>
              <w:spacing w:after="0"/>
              <w:rPr>
                <w:sz w:val="6"/>
                <w:szCs w:val="6"/>
                <w:color w:val="auto"/>
              </w:rPr>
            </w:pPr>
          </w:p>
        </w:tc>
        <w:tc>
          <w:tcPr>
            <w:tcW w:w="2040" w:type="dxa"/>
            <w:vAlign w:val="bottom"/>
            <w:vMerge w:val="restart"/>
          </w:tcPr>
          <w:p>
            <w:pPr>
              <w:jc w:val="right"/>
              <w:ind w:right="672"/>
              <w:spacing w:after="0"/>
              <w:rPr>
                <w:sz w:val="20"/>
                <w:szCs w:val="20"/>
                <w:color w:val="auto"/>
              </w:rPr>
            </w:pPr>
            <w:r>
              <w:rPr>
                <w:rFonts w:ascii="Arial" w:cs="Arial" w:eastAsia="Arial" w:hAnsi="Arial"/>
                <w:sz w:val="10"/>
                <w:szCs w:val="10"/>
                <w:color w:val="auto"/>
              </w:rPr>
              <w:t>Exploration</w:t>
            </w:r>
          </w:p>
        </w:tc>
        <w:tc>
          <w:tcPr>
            <w:tcW w:w="620" w:type="dxa"/>
            <w:vAlign w:val="bottom"/>
          </w:tcPr>
          <w:p>
            <w:pPr>
              <w:spacing w:after="0"/>
              <w:rPr>
                <w:sz w:val="6"/>
                <w:szCs w:val="6"/>
                <w:color w:val="auto"/>
              </w:rPr>
            </w:pPr>
          </w:p>
        </w:tc>
        <w:tc>
          <w:tcPr>
            <w:tcW w:w="1820" w:type="dxa"/>
            <w:vAlign w:val="bottom"/>
          </w:tcPr>
          <w:p>
            <w:pPr>
              <w:jc w:val="right"/>
              <w:ind w:right="472"/>
              <w:spacing w:after="0" w:line="78" w:lineRule="exact"/>
              <w:rPr>
                <w:sz w:val="20"/>
                <w:szCs w:val="20"/>
                <w:color w:val="auto"/>
              </w:rPr>
            </w:pPr>
            <w:r>
              <w:rPr>
                <w:rFonts w:ascii="Arial" w:cs="Arial" w:eastAsia="Arial" w:hAnsi="Arial"/>
                <w:sz w:val="8"/>
                <w:szCs w:val="8"/>
                <w:color w:val="auto"/>
              </w:rPr>
              <w:t>Manufacturing,</w:t>
            </w:r>
          </w:p>
        </w:tc>
        <w:tc>
          <w:tcPr>
            <w:tcW w:w="1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426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Production</w:t>
            </w:r>
          </w:p>
        </w:tc>
        <w:tc>
          <w:tcPr>
            <w:tcW w:w="1820" w:type="dxa"/>
            <w:vAlign w:val="bottom"/>
          </w:tcPr>
          <w:p>
            <w:pPr>
              <w:jc w:val="right"/>
              <w:ind w:right="472"/>
              <w:spacing w:after="0" w:line="90" w:lineRule="exact"/>
              <w:rPr>
                <w:sz w:val="20"/>
                <w:szCs w:val="20"/>
                <w:color w:val="auto"/>
              </w:rPr>
            </w:pPr>
            <w:r>
              <w:rPr>
                <w:rFonts w:ascii="Arial" w:cs="Arial" w:eastAsia="Arial" w:hAnsi="Arial"/>
                <w:sz w:val="10"/>
                <w:szCs w:val="10"/>
                <w:color w:val="auto"/>
              </w:rPr>
              <w:t>supply and</w:t>
            </w:r>
          </w:p>
        </w:tc>
        <w:tc>
          <w:tcPr>
            <w:tcW w:w="1300" w:type="dxa"/>
            <w:vAlign w:val="bottom"/>
            <w:vMerge w:val="restart"/>
          </w:tcPr>
          <w:p>
            <w:pPr>
              <w:ind w:left="580"/>
              <w:spacing w:after="0"/>
              <w:rPr>
                <w:sz w:val="20"/>
                <w:szCs w:val="20"/>
                <w:color w:val="auto"/>
              </w:rPr>
            </w:pPr>
            <w:r>
              <w:rPr>
                <w:rFonts w:ascii="Arial" w:cs="Arial" w:eastAsia="Arial" w:hAnsi="Arial"/>
                <w:sz w:val="10"/>
                <w:szCs w:val="10"/>
                <w:color w:val="auto"/>
              </w:rPr>
              <w:t>Other</w:t>
            </w: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426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color w:val="auto"/>
              </w:rPr>
              <w:t>and evaluation</w:t>
            </w:r>
          </w:p>
        </w:tc>
        <w:tc>
          <w:tcPr>
            <w:tcW w:w="620" w:type="dxa"/>
            <w:vAlign w:val="bottom"/>
            <w:tcBorders>
              <w:bottom w:val="single" w:sz="8" w:color="auto"/>
            </w:tcBorders>
            <w:vMerge w:val="continue"/>
          </w:tcPr>
          <w:p>
            <w:pPr>
              <w:spacing w:after="0"/>
              <w:rPr>
                <w:sz w:val="10"/>
                <w:szCs w:val="10"/>
                <w:color w:val="auto"/>
              </w:rPr>
            </w:pPr>
          </w:p>
        </w:tc>
        <w:tc>
          <w:tcPr>
            <w:tcW w:w="18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distribution</w:t>
            </w:r>
          </w:p>
        </w:tc>
        <w:tc>
          <w:tcPr>
            <w:tcW w:w="130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260" w:type="dxa"/>
            <w:vAlign w:val="bottom"/>
          </w:tcPr>
          <w:p>
            <w:pPr>
              <w:spacing w:after="0" w:line="113" w:lineRule="exact"/>
              <w:rPr>
                <w:sz w:val="20"/>
                <w:szCs w:val="20"/>
                <w:color w:val="auto"/>
              </w:rPr>
            </w:pPr>
            <w:r>
              <w:rPr>
                <w:rFonts w:ascii="Arial" w:cs="Arial" w:eastAsia="Arial" w:hAnsi="Arial"/>
                <w:sz w:val="10"/>
                <w:szCs w:val="10"/>
                <w:color w:val="auto"/>
              </w:rPr>
              <w:t>Cost</w:t>
            </w:r>
          </w:p>
        </w:tc>
        <w:tc>
          <w:tcPr>
            <w:tcW w:w="2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260" w:type="dxa"/>
            <w:vAlign w:val="bottom"/>
          </w:tcPr>
          <w:p>
            <w:pPr>
              <w:ind w:left="120"/>
              <w:spacing w:after="0"/>
              <w:rPr>
                <w:sz w:val="20"/>
                <w:szCs w:val="20"/>
                <w:color w:val="auto"/>
              </w:rPr>
            </w:pPr>
            <w:r>
              <w:rPr>
                <w:rFonts w:ascii="Arial" w:cs="Arial" w:eastAsia="Arial" w:hAnsi="Arial"/>
                <w:sz w:val="10"/>
                <w:szCs w:val="10"/>
                <w:color w:val="auto"/>
              </w:rPr>
              <w:t>At January 1</w:t>
            </w:r>
          </w:p>
        </w:tc>
        <w:tc>
          <w:tcPr>
            <w:tcW w:w="2040" w:type="dxa"/>
            <w:vAlign w:val="bottom"/>
          </w:tcPr>
          <w:p>
            <w:pPr>
              <w:jc w:val="right"/>
              <w:ind w:right="712"/>
              <w:spacing w:after="0"/>
              <w:rPr>
                <w:sz w:val="20"/>
                <w:szCs w:val="20"/>
                <w:color w:val="auto"/>
              </w:rPr>
            </w:pPr>
            <w:r>
              <w:rPr>
                <w:rFonts w:ascii="Arial" w:cs="Arial" w:eastAsia="Arial" w:hAnsi="Arial"/>
                <w:sz w:val="10"/>
                <w:szCs w:val="10"/>
                <w:color w:val="auto"/>
              </w:rPr>
              <w:t>21,181</w:t>
            </w:r>
          </w:p>
        </w:tc>
        <w:tc>
          <w:tcPr>
            <w:tcW w:w="620" w:type="dxa"/>
            <w:vAlign w:val="bottom"/>
          </w:tcPr>
          <w:p>
            <w:pPr>
              <w:jc w:val="right"/>
              <w:spacing w:after="0"/>
              <w:rPr>
                <w:sz w:val="20"/>
                <w:szCs w:val="20"/>
                <w:color w:val="auto"/>
              </w:rPr>
            </w:pPr>
            <w:r>
              <w:rPr>
                <w:rFonts w:ascii="Arial" w:cs="Arial" w:eastAsia="Arial" w:hAnsi="Arial"/>
                <w:sz w:val="10"/>
                <w:szCs w:val="10"/>
                <w:color w:val="auto"/>
              </w:rPr>
              <w:t>285,252</w:t>
            </w:r>
          </w:p>
        </w:tc>
        <w:tc>
          <w:tcPr>
            <w:tcW w:w="1820" w:type="dxa"/>
            <w:vAlign w:val="bottom"/>
          </w:tcPr>
          <w:p>
            <w:pPr>
              <w:jc w:val="right"/>
              <w:ind w:right="492"/>
              <w:spacing w:after="0"/>
              <w:rPr>
                <w:sz w:val="20"/>
                <w:szCs w:val="20"/>
                <w:color w:val="auto"/>
              </w:rPr>
            </w:pPr>
            <w:r>
              <w:rPr>
                <w:rFonts w:ascii="Arial" w:cs="Arial" w:eastAsia="Arial" w:hAnsi="Arial"/>
                <w:sz w:val="10"/>
                <w:szCs w:val="10"/>
                <w:color w:val="auto"/>
              </w:rPr>
              <w:t>97,694</w:t>
            </w:r>
          </w:p>
        </w:tc>
        <w:tc>
          <w:tcPr>
            <w:tcW w:w="1300" w:type="dxa"/>
            <w:vAlign w:val="bottom"/>
          </w:tcPr>
          <w:p>
            <w:pPr>
              <w:jc w:val="right"/>
              <w:ind w:right="472"/>
              <w:spacing w:after="0"/>
              <w:rPr>
                <w:sz w:val="20"/>
                <w:szCs w:val="20"/>
                <w:color w:val="auto"/>
              </w:rPr>
            </w:pPr>
            <w:r>
              <w:rPr>
                <w:rFonts w:ascii="Arial" w:cs="Arial" w:eastAsia="Arial" w:hAnsi="Arial"/>
                <w:sz w:val="10"/>
                <w:szCs w:val="10"/>
                <w:color w:val="auto"/>
              </w:rPr>
              <w:t>26,268</w:t>
            </w:r>
          </w:p>
        </w:tc>
        <w:tc>
          <w:tcPr>
            <w:tcW w:w="840" w:type="dxa"/>
            <w:vAlign w:val="bottom"/>
          </w:tcPr>
          <w:p>
            <w:pPr>
              <w:jc w:val="right"/>
              <w:spacing w:after="0"/>
              <w:rPr>
                <w:sz w:val="20"/>
                <w:szCs w:val="20"/>
                <w:color w:val="auto"/>
              </w:rPr>
            </w:pPr>
            <w:r>
              <w:rPr>
                <w:rFonts w:ascii="Arial" w:cs="Arial" w:eastAsia="Arial" w:hAnsi="Arial"/>
                <w:sz w:val="10"/>
                <w:szCs w:val="10"/>
                <w:color w:val="auto"/>
              </w:rPr>
              <w:t>430,395</w:t>
            </w:r>
          </w:p>
        </w:tc>
        <w:tc>
          <w:tcPr>
            <w:tcW w:w="0" w:type="dxa"/>
            <w:vAlign w:val="bottom"/>
          </w:tcPr>
          <w:p>
            <w:pPr>
              <w:spacing w:after="0"/>
              <w:rPr>
                <w:sz w:val="1"/>
                <w:szCs w:val="1"/>
                <w:color w:val="auto"/>
              </w:rPr>
            </w:pPr>
          </w:p>
        </w:tc>
      </w:tr>
      <w:tr>
        <w:trPr>
          <w:trHeight w:val="126"/>
        </w:trPr>
        <w:tc>
          <w:tcPr>
            <w:tcW w:w="4260" w:type="dxa"/>
            <w:vAlign w:val="bottom"/>
          </w:tcPr>
          <w:p>
            <w:pPr>
              <w:ind w:left="120"/>
              <w:spacing w:after="0"/>
              <w:rPr>
                <w:sz w:val="20"/>
                <w:szCs w:val="20"/>
                <w:color w:val="auto"/>
              </w:rPr>
            </w:pPr>
            <w:r>
              <w:rPr>
                <w:rFonts w:ascii="Arial" w:cs="Arial" w:eastAsia="Arial" w:hAnsi="Arial"/>
                <w:sz w:val="10"/>
                <w:szCs w:val="10"/>
                <w:color w:val="auto"/>
              </w:rPr>
              <w:t>Additions</w:t>
            </w:r>
          </w:p>
        </w:tc>
        <w:tc>
          <w:tcPr>
            <w:tcW w:w="2040" w:type="dxa"/>
            <w:vAlign w:val="bottom"/>
          </w:tcPr>
          <w:p>
            <w:pPr>
              <w:jc w:val="right"/>
              <w:ind w:right="712"/>
              <w:spacing w:after="0"/>
              <w:rPr>
                <w:sz w:val="20"/>
                <w:szCs w:val="20"/>
                <w:color w:val="auto"/>
              </w:rPr>
            </w:pPr>
            <w:r>
              <w:rPr>
                <w:rFonts w:ascii="Arial" w:cs="Arial" w:eastAsia="Arial" w:hAnsi="Arial"/>
                <w:sz w:val="10"/>
                <w:szCs w:val="10"/>
                <w:color w:val="auto"/>
              </w:rPr>
              <w:t>2,659</w:t>
            </w:r>
          </w:p>
        </w:tc>
        <w:tc>
          <w:tcPr>
            <w:tcW w:w="620" w:type="dxa"/>
            <w:vAlign w:val="bottom"/>
          </w:tcPr>
          <w:p>
            <w:pPr>
              <w:jc w:val="right"/>
              <w:spacing w:after="0"/>
              <w:rPr>
                <w:sz w:val="20"/>
                <w:szCs w:val="20"/>
                <w:color w:val="auto"/>
              </w:rPr>
            </w:pPr>
            <w:r>
              <w:rPr>
                <w:rFonts w:ascii="Arial" w:cs="Arial" w:eastAsia="Arial" w:hAnsi="Arial"/>
                <w:sz w:val="10"/>
                <w:szCs w:val="10"/>
                <w:color w:val="auto"/>
              </w:rPr>
              <w:t>11,374</w:t>
            </w:r>
          </w:p>
        </w:tc>
        <w:tc>
          <w:tcPr>
            <w:tcW w:w="1820" w:type="dxa"/>
            <w:vAlign w:val="bottom"/>
          </w:tcPr>
          <w:p>
            <w:pPr>
              <w:jc w:val="right"/>
              <w:ind w:right="492"/>
              <w:spacing w:after="0"/>
              <w:rPr>
                <w:sz w:val="20"/>
                <w:szCs w:val="20"/>
                <w:color w:val="auto"/>
              </w:rPr>
            </w:pPr>
            <w:r>
              <w:rPr>
                <w:rFonts w:ascii="Arial" w:cs="Arial" w:eastAsia="Arial" w:hAnsi="Arial"/>
                <w:sz w:val="10"/>
                <w:szCs w:val="10"/>
                <w:color w:val="auto"/>
              </w:rPr>
              <w:t>10,945</w:t>
            </w:r>
          </w:p>
        </w:tc>
        <w:tc>
          <w:tcPr>
            <w:tcW w:w="1300" w:type="dxa"/>
            <w:vAlign w:val="bottom"/>
          </w:tcPr>
          <w:p>
            <w:pPr>
              <w:jc w:val="right"/>
              <w:ind w:right="472"/>
              <w:spacing w:after="0"/>
              <w:rPr>
                <w:sz w:val="20"/>
                <w:szCs w:val="20"/>
                <w:color w:val="auto"/>
              </w:rPr>
            </w:pPr>
            <w:r>
              <w:rPr>
                <w:rFonts w:ascii="Arial" w:cs="Arial" w:eastAsia="Arial" w:hAnsi="Arial"/>
                <w:sz w:val="10"/>
                <w:szCs w:val="10"/>
                <w:color w:val="auto"/>
              </w:rPr>
              <w:t>3,145</w:t>
            </w:r>
          </w:p>
        </w:tc>
        <w:tc>
          <w:tcPr>
            <w:tcW w:w="840" w:type="dxa"/>
            <w:vAlign w:val="bottom"/>
          </w:tcPr>
          <w:p>
            <w:pPr>
              <w:jc w:val="right"/>
              <w:spacing w:after="0"/>
              <w:rPr>
                <w:sz w:val="20"/>
                <w:szCs w:val="20"/>
                <w:color w:val="auto"/>
              </w:rPr>
            </w:pPr>
            <w:r>
              <w:rPr>
                <w:rFonts w:ascii="Arial" w:cs="Arial" w:eastAsia="Arial" w:hAnsi="Arial"/>
                <w:sz w:val="10"/>
                <w:szCs w:val="10"/>
                <w:color w:val="auto"/>
              </w:rPr>
              <w:t>28,123</w:t>
            </w:r>
          </w:p>
        </w:tc>
        <w:tc>
          <w:tcPr>
            <w:tcW w:w="0" w:type="dxa"/>
            <w:vAlign w:val="bottom"/>
          </w:tcPr>
          <w:p>
            <w:pPr>
              <w:spacing w:after="0"/>
              <w:rPr>
                <w:sz w:val="1"/>
                <w:szCs w:val="1"/>
                <w:color w:val="auto"/>
              </w:rPr>
            </w:pPr>
          </w:p>
        </w:tc>
      </w:tr>
      <w:tr>
        <w:trPr>
          <w:trHeight w:val="126"/>
        </w:trPr>
        <w:tc>
          <w:tcPr>
            <w:tcW w:w="4260" w:type="dxa"/>
            <w:vAlign w:val="bottom"/>
          </w:tcPr>
          <w:p>
            <w:pPr>
              <w:ind w:left="120"/>
              <w:spacing w:after="0"/>
              <w:rPr>
                <w:sz w:val="20"/>
                <w:szCs w:val="20"/>
                <w:color w:val="auto"/>
              </w:rPr>
            </w:pPr>
            <w:r>
              <w:rPr>
                <w:rFonts w:ascii="Arial" w:cs="Arial" w:eastAsia="Arial" w:hAnsi="Arial"/>
                <w:sz w:val="10"/>
                <w:szCs w:val="10"/>
                <w:color w:val="auto"/>
              </w:rPr>
              <w:t>Sales, retirements and other movements</w:t>
            </w:r>
          </w:p>
        </w:tc>
        <w:tc>
          <w:tcPr>
            <w:tcW w:w="2040" w:type="dxa"/>
            <w:vAlign w:val="bottom"/>
          </w:tcPr>
          <w:p>
            <w:pPr>
              <w:jc w:val="right"/>
              <w:ind w:right="672"/>
              <w:spacing w:after="0"/>
              <w:rPr>
                <w:sz w:val="20"/>
                <w:szCs w:val="20"/>
                <w:color w:val="auto"/>
              </w:rPr>
            </w:pPr>
            <w:r>
              <w:rPr>
                <w:rFonts w:ascii="Arial" w:cs="Arial" w:eastAsia="Arial" w:hAnsi="Arial"/>
                <w:sz w:val="10"/>
                <w:szCs w:val="10"/>
                <w:color w:val="auto"/>
              </w:rPr>
              <w:t>(5,442)</w:t>
            </w:r>
          </w:p>
        </w:tc>
        <w:tc>
          <w:tcPr>
            <w:tcW w:w="620" w:type="dxa"/>
            <w:vAlign w:val="bottom"/>
          </w:tcPr>
          <w:p>
            <w:pPr>
              <w:jc w:val="right"/>
              <w:spacing w:after="0"/>
              <w:rPr>
                <w:sz w:val="20"/>
                <w:szCs w:val="20"/>
                <w:color w:val="auto"/>
              </w:rPr>
            </w:pPr>
            <w:r>
              <w:rPr>
                <w:rFonts w:ascii="Arial" w:cs="Arial" w:eastAsia="Arial" w:hAnsi="Arial"/>
                <w:sz w:val="10"/>
                <w:szCs w:val="10"/>
                <w:color w:val="auto"/>
              </w:rPr>
              <w:t>(11,253)</w:t>
            </w:r>
          </w:p>
        </w:tc>
        <w:tc>
          <w:tcPr>
            <w:tcW w:w="1820" w:type="dxa"/>
            <w:vAlign w:val="bottom"/>
          </w:tcPr>
          <w:p>
            <w:pPr>
              <w:jc w:val="right"/>
              <w:ind w:right="472"/>
              <w:spacing w:after="0"/>
              <w:rPr>
                <w:sz w:val="20"/>
                <w:szCs w:val="20"/>
                <w:color w:val="auto"/>
              </w:rPr>
            </w:pPr>
            <w:r>
              <w:rPr>
                <w:rFonts w:ascii="Arial" w:cs="Arial" w:eastAsia="Arial" w:hAnsi="Arial"/>
                <w:sz w:val="10"/>
                <w:szCs w:val="10"/>
                <w:color w:val="auto"/>
              </w:rPr>
              <w:t>(3,683)</w:t>
            </w:r>
          </w:p>
        </w:tc>
        <w:tc>
          <w:tcPr>
            <w:tcW w:w="1300" w:type="dxa"/>
            <w:vAlign w:val="bottom"/>
          </w:tcPr>
          <w:p>
            <w:pPr>
              <w:ind w:left="600"/>
              <w:spacing w:after="0"/>
              <w:rPr>
                <w:sz w:val="20"/>
                <w:szCs w:val="20"/>
                <w:color w:val="auto"/>
              </w:rPr>
            </w:pPr>
            <w:r>
              <w:rPr>
                <w:rFonts w:ascii="Arial" w:cs="Arial" w:eastAsia="Arial" w:hAnsi="Arial"/>
                <w:sz w:val="10"/>
                <w:szCs w:val="10"/>
                <w:color w:val="auto"/>
              </w:rPr>
              <w:t>(456)</w:t>
            </w:r>
          </w:p>
        </w:tc>
        <w:tc>
          <w:tcPr>
            <w:tcW w:w="840" w:type="dxa"/>
            <w:vAlign w:val="bottom"/>
          </w:tcPr>
          <w:p>
            <w:pPr>
              <w:jc w:val="right"/>
              <w:spacing w:after="0"/>
              <w:rPr>
                <w:sz w:val="20"/>
                <w:szCs w:val="20"/>
                <w:color w:val="auto"/>
              </w:rPr>
            </w:pPr>
            <w:r>
              <w:rPr>
                <w:rFonts w:ascii="Arial" w:cs="Arial" w:eastAsia="Arial" w:hAnsi="Arial"/>
                <w:sz w:val="10"/>
                <w:szCs w:val="10"/>
                <w:color w:val="auto"/>
              </w:rPr>
              <w:t>(20,834)</w:t>
            </w:r>
          </w:p>
        </w:tc>
        <w:tc>
          <w:tcPr>
            <w:tcW w:w="0" w:type="dxa"/>
            <w:vAlign w:val="bottom"/>
          </w:tcPr>
          <w:p>
            <w:pPr>
              <w:spacing w:after="0"/>
              <w:rPr>
                <w:sz w:val="1"/>
                <w:szCs w:val="1"/>
                <w:color w:val="auto"/>
              </w:rPr>
            </w:pPr>
          </w:p>
        </w:tc>
      </w:tr>
      <w:tr>
        <w:trPr>
          <w:trHeight w:val="130"/>
        </w:trPr>
        <w:tc>
          <w:tcPr>
            <w:tcW w:w="426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Currency translation differences</w:t>
            </w:r>
          </w:p>
        </w:tc>
        <w:tc>
          <w:tcPr>
            <w:tcW w:w="2040" w:type="dxa"/>
            <w:vAlign w:val="bottom"/>
            <w:tcBorders>
              <w:bottom w:val="single" w:sz="8" w:color="auto"/>
            </w:tcBorders>
          </w:tcPr>
          <w:p>
            <w:pPr>
              <w:jc w:val="right"/>
              <w:ind w:right="712"/>
              <w:spacing w:after="0"/>
              <w:rPr>
                <w:sz w:val="20"/>
                <w:szCs w:val="20"/>
                <w:color w:val="auto"/>
              </w:rPr>
            </w:pPr>
            <w:r>
              <w:rPr>
                <w:rFonts w:ascii="Arial" w:cs="Arial" w:eastAsia="Arial" w:hAnsi="Arial"/>
                <w:sz w:val="10"/>
                <w:szCs w:val="10"/>
                <w:color w:val="auto"/>
              </w:rPr>
              <w:t>198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1,293</w:t>
            </w:r>
          </w:p>
        </w:tc>
        <w:tc>
          <w:tcPr>
            <w:tcW w:w="18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(139)</w:t>
            </w: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124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1,476</w:t>
            </w:r>
          </w:p>
        </w:tc>
        <w:tc>
          <w:tcPr>
            <w:tcW w:w="0" w:type="dxa"/>
            <w:vAlign w:val="bottom"/>
          </w:tcPr>
          <w:p>
            <w:pPr>
              <w:spacing w:after="0"/>
              <w:rPr>
                <w:sz w:val="1"/>
                <w:szCs w:val="1"/>
                <w:color w:val="auto"/>
              </w:rPr>
            </w:pPr>
          </w:p>
        </w:tc>
      </w:tr>
      <w:tr>
        <w:trPr>
          <w:trHeight w:val="117"/>
        </w:trPr>
        <w:tc>
          <w:tcPr>
            <w:tcW w:w="4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2040" w:type="dxa"/>
            <w:vAlign w:val="bottom"/>
            <w:tcBorders>
              <w:bottom w:val="single" w:sz="8" w:color="auto"/>
            </w:tcBorders>
          </w:tcPr>
          <w:p>
            <w:pPr>
              <w:jc w:val="right"/>
              <w:ind w:right="712"/>
              <w:spacing w:after="0"/>
              <w:rPr>
                <w:sz w:val="20"/>
                <w:szCs w:val="20"/>
                <w:color w:val="auto"/>
              </w:rPr>
            </w:pPr>
            <w:r>
              <w:rPr>
                <w:rFonts w:ascii="Arial" w:cs="Arial" w:eastAsia="Arial" w:hAnsi="Arial"/>
                <w:sz w:val="10"/>
                <w:szCs w:val="10"/>
                <w:color w:val="auto"/>
              </w:rPr>
              <w:t>18,596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286,666</w:t>
            </w: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104,817</w:t>
            </w: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29,081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439,160</w:t>
            </w:r>
          </w:p>
        </w:tc>
        <w:tc>
          <w:tcPr>
            <w:tcW w:w="0" w:type="dxa"/>
            <w:vAlign w:val="bottom"/>
          </w:tcPr>
          <w:p>
            <w:pPr>
              <w:spacing w:after="0"/>
              <w:rPr>
                <w:sz w:val="1"/>
                <w:szCs w:val="1"/>
                <w:color w:val="auto"/>
              </w:rPr>
            </w:pPr>
          </w:p>
        </w:tc>
      </w:tr>
      <w:tr>
        <w:trPr>
          <w:trHeight w:val="113"/>
        </w:trPr>
        <w:tc>
          <w:tcPr>
            <w:tcW w:w="4260" w:type="dxa"/>
            <w:vAlign w:val="bottom"/>
          </w:tcPr>
          <w:p>
            <w:pPr>
              <w:spacing w:after="0" w:line="113" w:lineRule="exact"/>
              <w:rPr>
                <w:sz w:val="20"/>
                <w:szCs w:val="20"/>
                <w:color w:val="auto"/>
              </w:rPr>
            </w:pPr>
            <w:r>
              <w:rPr>
                <w:rFonts w:ascii="Arial" w:cs="Arial" w:eastAsia="Arial" w:hAnsi="Arial"/>
                <w:sz w:val="10"/>
                <w:szCs w:val="10"/>
                <w:color w:val="auto"/>
              </w:rPr>
              <w:t>Depreciation, depletion and amortisation, including impairments</w:t>
            </w:r>
          </w:p>
        </w:tc>
        <w:tc>
          <w:tcPr>
            <w:tcW w:w="2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260" w:type="dxa"/>
            <w:vAlign w:val="bottom"/>
          </w:tcPr>
          <w:p>
            <w:pPr>
              <w:ind w:left="120"/>
              <w:spacing w:after="0"/>
              <w:rPr>
                <w:sz w:val="20"/>
                <w:szCs w:val="20"/>
                <w:color w:val="auto"/>
              </w:rPr>
            </w:pPr>
            <w:r>
              <w:rPr>
                <w:rFonts w:ascii="Arial" w:cs="Arial" w:eastAsia="Arial" w:hAnsi="Arial"/>
                <w:sz w:val="10"/>
                <w:szCs w:val="10"/>
                <w:color w:val="auto"/>
              </w:rPr>
              <w:t>At January 1</w:t>
            </w:r>
          </w:p>
        </w:tc>
        <w:tc>
          <w:tcPr>
            <w:tcW w:w="2040" w:type="dxa"/>
            <w:vAlign w:val="bottom"/>
          </w:tcPr>
          <w:p>
            <w:pPr>
              <w:jc w:val="right"/>
              <w:ind w:right="712"/>
              <w:spacing w:after="0"/>
              <w:rPr>
                <w:sz w:val="20"/>
                <w:szCs w:val="20"/>
                <w:color w:val="auto"/>
              </w:rPr>
            </w:pPr>
            <w:r>
              <w:rPr>
                <w:rFonts w:ascii="Arial" w:cs="Arial" w:eastAsia="Arial" w:hAnsi="Arial"/>
                <w:sz w:val="10"/>
                <w:szCs w:val="10"/>
                <w:color w:val="auto"/>
              </w:rPr>
              <w:t>3,287</w:t>
            </w:r>
          </w:p>
        </w:tc>
        <w:tc>
          <w:tcPr>
            <w:tcW w:w="620" w:type="dxa"/>
            <w:vAlign w:val="bottom"/>
          </w:tcPr>
          <w:p>
            <w:pPr>
              <w:jc w:val="right"/>
              <w:spacing w:after="0"/>
              <w:rPr>
                <w:sz w:val="20"/>
                <w:szCs w:val="20"/>
                <w:color w:val="auto"/>
              </w:rPr>
            </w:pPr>
            <w:r>
              <w:rPr>
                <w:rFonts w:ascii="Arial" w:cs="Arial" w:eastAsia="Arial" w:hAnsi="Arial"/>
                <w:sz w:val="10"/>
                <w:szCs w:val="10"/>
                <w:color w:val="auto"/>
              </w:rPr>
              <w:t>131,692</w:t>
            </w:r>
          </w:p>
        </w:tc>
        <w:tc>
          <w:tcPr>
            <w:tcW w:w="1820" w:type="dxa"/>
            <w:vAlign w:val="bottom"/>
          </w:tcPr>
          <w:p>
            <w:pPr>
              <w:jc w:val="right"/>
              <w:ind w:right="492"/>
              <w:spacing w:after="0"/>
              <w:rPr>
                <w:sz w:val="20"/>
                <w:szCs w:val="20"/>
                <w:color w:val="auto"/>
              </w:rPr>
            </w:pPr>
            <w:r>
              <w:rPr>
                <w:rFonts w:ascii="Arial" w:cs="Arial" w:eastAsia="Arial" w:hAnsi="Arial"/>
                <w:sz w:val="10"/>
                <w:szCs w:val="10"/>
                <w:color w:val="auto"/>
              </w:rPr>
              <w:t>46,218</w:t>
            </w:r>
          </w:p>
        </w:tc>
        <w:tc>
          <w:tcPr>
            <w:tcW w:w="1300" w:type="dxa"/>
            <w:vAlign w:val="bottom"/>
          </w:tcPr>
          <w:p>
            <w:pPr>
              <w:jc w:val="right"/>
              <w:ind w:right="472"/>
              <w:spacing w:after="0"/>
              <w:rPr>
                <w:sz w:val="20"/>
                <w:szCs w:val="20"/>
                <w:color w:val="auto"/>
              </w:rPr>
            </w:pPr>
            <w:r>
              <w:rPr>
                <w:rFonts w:ascii="Arial" w:cs="Arial" w:eastAsia="Arial" w:hAnsi="Arial"/>
                <w:sz w:val="10"/>
                <w:szCs w:val="10"/>
                <w:color w:val="auto"/>
              </w:rPr>
              <w:t>10,465</w:t>
            </w:r>
          </w:p>
        </w:tc>
        <w:tc>
          <w:tcPr>
            <w:tcW w:w="840" w:type="dxa"/>
            <w:vAlign w:val="bottom"/>
          </w:tcPr>
          <w:p>
            <w:pPr>
              <w:jc w:val="right"/>
              <w:spacing w:after="0"/>
              <w:rPr>
                <w:sz w:val="20"/>
                <w:szCs w:val="20"/>
                <w:color w:val="auto"/>
              </w:rPr>
            </w:pPr>
            <w:r>
              <w:rPr>
                <w:rFonts w:ascii="Arial" w:cs="Arial" w:eastAsia="Arial" w:hAnsi="Arial"/>
                <w:sz w:val="10"/>
                <w:szCs w:val="10"/>
                <w:color w:val="auto"/>
              </w:rPr>
              <w:t>191,662</w:t>
            </w:r>
          </w:p>
        </w:tc>
        <w:tc>
          <w:tcPr>
            <w:tcW w:w="0" w:type="dxa"/>
            <w:vAlign w:val="bottom"/>
          </w:tcPr>
          <w:p>
            <w:pPr>
              <w:spacing w:after="0"/>
              <w:rPr>
                <w:sz w:val="1"/>
                <w:szCs w:val="1"/>
                <w:color w:val="auto"/>
              </w:rPr>
            </w:pPr>
          </w:p>
        </w:tc>
      </w:tr>
      <w:tr>
        <w:trPr>
          <w:trHeight w:val="126"/>
        </w:trPr>
        <w:tc>
          <w:tcPr>
            <w:tcW w:w="4260" w:type="dxa"/>
            <w:vAlign w:val="bottom"/>
          </w:tcPr>
          <w:p>
            <w:pPr>
              <w:ind w:left="120"/>
              <w:spacing w:after="0"/>
              <w:rPr>
                <w:sz w:val="20"/>
                <w:szCs w:val="20"/>
                <w:color w:val="auto"/>
              </w:rPr>
            </w:pPr>
            <w:r>
              <w:rPr>
                <w:rFonts w:ascii="Arial" w:cs="Arial" w:eastAsia="Arial" w:hAnsi="Arial"/>
                <w:sz w:val="10"/>
                <w:szCs w:val="10"/>
                <w:color w:val="auto"/>
              </w:rPr>
              <w:t>Charge for the year</w:t>
            </w:r>
          </w:p>
        </w:tc>
        <w:tc>
          <w:tcPr>
            <w:tcW w:w="2040" w:type="dxa"/>
            <w:vAlign w:val="bottom"/>
          </w:tcPr>
          <w:p>
            <w:pPr>
              <w:jc w:val="right"/>
              <w:ind w:right="712"/>
              <w:spacing w:after="0"/>
              <w:rPr>
                <w:sz w:val="20"/>
                <w:szCs w:val="20"/>
                <w:color w:val="auto"/>
              </w:rPr>
            </w:pPr>
            <w:r>
              <w:rPr>
                <w:rFonts w:ascii="Arial" w:cs="Arial" w:eastAsia="Arial" w:hAnsi="Arial"/>
                <w:sz w:val="10"/>
                <w:szCs w:val="10"/>
                <w:color w:val="auto"/>
              </w:rPr>
              <w:t>1,096</w:t>
            </w:r>
          </w:p>
        </w:tc>
        <w:tc>
          <w:tcPr>
            <w:tcW w:w="620" w:type="dxa"/>
            <w:vAlign w:val="bottom"/>
          </w:tcPr>
          <w:p>
            <w:pPr>
              <w:jc w:val="right"/>
              <w:spacing w:after="0"/>
              <w:rPr>
                <w:sz w:val="20"/>
                <w:szCs w:val="20"/>
                <w:color w:val="auto"/>
              </w:rPr>
            </w:pPr>
            <w:r>
              <w:rPr>
                <w:rFonts w:ascii="Arial" w:cs="Arial" w:eastAsia="Arial" w:hAnsi="Arial"/>
                <w:sz w:val="10"/>
                <w:szCs w:val="10"/>
                <w:color w:val="auto"/>
              </w:rPr>
              <w:t>19,346</w:t>
            </w:r>
          </w:p>
        </w:tc>
        <w:tc>
          <w:tcPr>
            <w:tcW w:w="1820" w:type="dxa"/>
            <w:vAlign w:val="bottom"/>
          </w:tcPr>
          <w:p>
            <w:pPr>
              <w:jc w:val="right"/>
              <w:ind w:right="492"/>
              <w:spacing w:after="0"/>
              <w:rPr>
                <w:sz w:val="20"/>
                <w:szCs w:val="20"/>
                <w:color w:val="auto"/>
              </w:rPr>
            </w:pPr>
            <w:r>
              <w:rPr>
                <w:rFonts w:ascii="Arial" w:cs="Arial" w:eastAsia="Arial" w:hAnsi="Arial"/>
                <w:sz w:val="10"/>
                <w:szCs w:val="10"/>
                <w:color w:val="auto"/>
              </w:rPr>
              <w:t>5,742</w:t>
            </w:r>
          </w:p>
        </w:tc>
        <w:tc>
          <w:tcPr>
            <w:tcW w:w="1300" w:type="dxa"/>
            <w:vAlign w:val="bottom"/>
          </w:tcPr>
          <w:p>
            <w:pPr>
              <w:jc w:val="right"/>
              <w:ind w:right="472"/>
              <w:spacing w:after="0"/>
              <w:rPr>
                <w:sz w:val="20"/>
                <w:szCs w:val="20"/>
                <w:color w:val="auto"/>
              </w:rPr>
            </w:pPr>
            <w:r>
              <w:rPr>
                <w:rFonts w:ascii="Arial" w:cs="Arial" w:eastAsia="Arial" w:hAnsi="Arial"/>
                <w:sz w:val="10"/>
                <w:szCs w:val="10"/>
                <w:color w:val="auto"/>
              </w:rPr>
              <w:t>1,573</w:t>
            </w:r>
          </w:p>
        </w:tc>
        <w:tc>
          <w:tcPr>
            <w:tcW w:w="840" w:type="dxa"/>
            <w:vAlign w:val="bottom"/>
          </w:tcPr>
          <w:p>
            <w:pPr>
              <w:jc w:val="right"/>
              <w:spacing w:after="0"/>
              <w:rPr>
                <w:sz w:val="20"/>
                <w:szCs w:val="20"/>
                <w:color w:val="auto"/>
              </w:rPr>
            </w:pPr>
            <w:r>
              <w:rPr>
                <w:rFonts w:ascii="Arial" w:cs="Arial" w:eastAsia="Arial" w:hAnsi="Arial"/>
                <w:sz w:val="10"/>
                <w:szCs w:val="10"/>
                <w:color w:val="auto"/>
              </w:rPr>
              <w:t>27,757</w:t>
            </w:r>
          </w:p>
        </w:tc>
        <w:tc>
          <w:tcPr>
            <w:tcW w:w="0" w:type="dxa"/>
            <w:vAlign w:val="bottom"/>
          </w:tcPr>
          <w:p>
            <w:pPr>
              <w:spacing w:after="0"/>
              <w:rPr>
                <w:sz w:val="1"/>
                <w:szCs w:val="1"/>
                <w:color w:val="auto"/>
              </w:rPr>
            </w:pPr>
          </w:p>
        </w:tc>
      </w:tr>
      <w:tr>
        <w:trPr>
          <w:trHeight w:val="126"/>
        </w:trPr>
        <w:tc>
          <w:tcPr>
            <w:tcW w:w="4260" w:type="dxa"/>
            <w:vAlign w:val="bottom"/>
          </w:tcPr>
          <w:p>
            <w:pPr>
              <w:ind w:left="120"/>
              <w:spacing w:after="0"/>
              <w:rPr>
                <w:sz w:val="20"/>
                <w:szCs w:val="20"/>
                <w:color w:val="auto"/>
              </w:rPr>
            </w:pPr>
            <w:r>
              <w:rPr>
                <w:rFonts w:ascii="Arial" w:cs="Arial" w:eastAsia="Arial" w:hAnsi="Arial"/>
                <w:sz w:val="10"/>
                <w:szCs w:val="10"/>
                <w:color w:val="auto"/>
              </w:rPr>
              <w:t>Sales, retirements and other movements</w:t>
            </w:r>
          </w:p>
        </w:tc>
        <w:tc>
          <w:tcPr>
            <w:tcW w:w="2040" w:type="dxa"/>
            <w:vAlign w:val="bottom"/>
          </w:tcPr>
          <w:p>
            <w:pPr>
              <w:jc w:val="right"/>
              <w:ind w:right="672"/>
              <w:spacing w:after="0"/>
              <w:rPr>
                <w:sz w:val="20"/>
                <w:szCs w:val="20"/>
                <w:color w:val="auto"/>
              </w:rPr>
            </w:pPr>
            <w:r>
              <w:rPr>
                <w:rFonts w:ascii="Arial" w:cs="Arial" w:eastAsia="Arial" w:hAnsi="Arial"/>
                <w:sz w:val="10"/>
                <w:szCs w:val="10"/>
                <w:color w:val="auto"/>
              </w:rPr>
              <w:t>(440)</w:t>
            </w:r>
          </w:p>
        </w:tc>
        <w:tc>
          <w:tcPr>
            <w:tcW w:w="620" w:type="dxa"/>
            <w:vAlign w:val="bottom"/>
          </w:tcPr>
          <w:p>
            <w:pPr>
              <w:jc w:val="right"/>
              <w:spacing w:after="0"/>
              <w:rPr>
                <w:sz w:val="20"/>
                <w:szCs w:val="20"/>
                <w:color w:val="auto"/>
              </w:rPr>
            </w:pPr>
            <w:r>
              <w:rPr>
                <w:rFonts w:ascii="Arial" w:cs="Arial" w:eastAsia="Arial" w:hAnsi="Arial"/>
                <w:sz w:val="10"/>
                <w:szCs w:val="10"/>
                <w:color w:val="auto"/>
              </w:rPr>
              <w:t>(15,567)</w:t>
            </w:r>
          </w:p>
        </w:tc>
        <w:tc>
          <w:tcPr>
            <w:tcW w:w="1820" w:type="dxa"/>
            <w:vAlign w:val="bottom"/>
          </w:tcPr>
          <w:p>
            <w:pPr>
              <w:jc w:val="right"/>
              <w:ind w:right="472"/>
              <w:spacing w:after="0"/>
              <w:rPr>
                <w:sz w:val="20"/>
                <w:szCs w:val="20"/>
                <w:color w:val="auto"/>
              </w:rPr>
            </w:pPr>
            <w:r>
              <w:rPr>
                <w:rFonts w:ascii="Arial" w:cs="Arial" w:eastAsia="Arial" w:hAnsi="Arial"/>
                <w:sz w:val="10"/>
                <w:szCs w:val="10"/>
                <w:color w:val="auto"/>
              </w:rPr>
              <w:t>(2,981)</w:t>
            </w:r>
          </w:p>
        </w:tc>
        <w:tc>
          <w:tcPr>
            <w:tcW w:w="1300" w:type="dxa"/>
            <w:vAlign w:val="bottom"/>
          </w:tcPr>
          <w:p>
            <w:pPr>
              <w:ind w:left="600"/>
              <w:spacing w:after="0"/>
              <w:rPr>
                <w:sz w:val="20"/>
                <w:szCs w:val="20"/>
                <w:color w:val="auto"/>
              </w:rPr>
            </w:pPr>
            <w:r>
              <w:rPr>
                <w:rFonts w:ascii="Arial" w:cs="Arial" w:eastAsia="Arial" w:hAnsi="Arial"/>
                <w:sz w:val="10"/>
                <w:szCs w:val="10"/>
                <w:color w:val="auto"/>
              </w:rPr>
              <w:t>(437)</w:t>
            </w:r>
          </w:p>
        </w:tc>
        <w:tc>
          <w:tcPr>
            <w:tcW w:w="840" w:type="dxa"/>
            <w:vAlign w:val="bottom"/>
          </w:tcPr>
          <w:p>
            <w:pPr>
              <w:jc w:val="right"/>
              <w:spacing w:after="0"/>
              <w:rPr>
                <w:sz w:val="20"/>
                <w:szCs w:val="20"/>
                <w:color w:val="auto"/>
              </w:rPr>
            </w:pPr>
            <w:r>
              <w:rPr>
                <w:rFonts w:ascii="Arial" w:cs="Arial" w:eastAsia="Arial" w:hAnsi="Arial"/>
                <w:sz w:val="10"/>
                <w:szCs w:val="10"/>
                <w:color w:val="auto"/>
              </w:rPr>
              <w:t>(19,425)</w:t>
            </w:r>
          </w:p>
        </w:tc>
        <w:tc>
          <w:tcPr>
            <w:tcW w:w="0" w:type="dxa"/>
            <w:vAlign w:val="bottom"/>
          </w:tcPr>
          <w:p>
            <w:pPr>
              <w:spacing w:after="0"/>
              <w:rPr>
                <w:sz w:val="1"/>
                <w:szCs w:val="1"/>
                <w:color w:val="auto"/>
              </w:rPr>
            </w:pPr>
          </w:p>
        </w:tc>
      </w:tr>
      <w:tr>
        <w:trPr>
          <w:trHeight w:val="130"/>
        </w:trPr>
        <w:tc>
          <w:tcPr>
            <w:tcW w:w="426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Currency translation differences</w:t>
            </w:r>
          </w:p>
        </w:tc>
        <w:tc>
          <w:tcPr>
            <w:tcW w:w="2040" w:type="dxa"/>
            <w:vAlign w:val="bottom"/>
            <w:tcBorders>
              <w:bottom w:val="single" w:sz="8" w:color="auto"/>
            </w:tcBorders>
          </w:tcPr>
          <w:p>
            <w:pPr>
              <w:jc w:val="right"/>
              <w:ind w:right="712"/>
              <w:spacing w:after="0"/>
              <w:rPr>
                <w:sz w:val="20"/>
                <w:szCs w:val="20"/>
                <w:color w:val="auto"/>
              </w:rPr>
            </w:pPr>
            <w:r>
              <w:rPr>
                <w:rFonts w:ascii="Arial" w:cs="Arial" w:eastAsia="Arial" w:hAnsi="Arial"/>
                <w:sz w:val="10"/>
                <w:szCs w:val="10"/>
                <w:color w:val="auto"/>
              </w:rPr>
              <w:t>67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829</w:t>
            </w:r>
          </w:p>
        </w:tc>
        <w:tc>
          <w:tcPr>
            <w:tcW w:w="18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(107)</w:t>
            </w: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817</w:t>
            </w:r>
          </w:p>
        </w:tc>
        <w:tc>
          <w:tcPr>
            <w:tcW w:w="0" w:type="dxa"/>
            <w:vAlign w:val="bottom"/>
          </w:tcPr>
          <w:p>
            <w:pPr>
              <w:spacing w:after="0"/>
              <w:rPr>
                <w:sz w:val="1"/>
                <w:szCs w:val="1"/>
                <w:color w:val="auto"/>
              </w:rPr>
            </w:pPr>
          </w:p>
        </w:tc>
      </w:tr>
      <w:tr>
        <w:trPr>
          <w:trHeight w:val="117"/>
        </w:trPr>
        <w:tc>
          <w:tcPr>
            <w:tcW w:w="4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2040" w:type="dxa"/>
            <w:vAlign w:val="bottom"/>
            <w:tcBorders>
              <w:bottom w:val="single" w:sz="8" w:color="auto"/>
            </w:tcBorders>
          </w:tcPr>
          <w:p>
            <w:pPr>
              <w:jc w:val="right"/>
              <w:ind w:right="712"/>
              <w:spacing w:after="0"/>
              <w:rPr>
                <w:sz w:val="20"/>
                <w:szCs w:val="20"/>
                <w:color w:val="auto"/>
              </w:rPr>
            </w:pPr>
            <w:r>
              <w:rPr>
                <w:rFonts w:ascii="Arial" w:cs="Arial" w:eastAsia="Arial" w:hAnsi="Arial"/>
                <w:sz w:val="10"/>
                <w:szCs w:val="10"/>
                <w:color w:val="auto"/>
              </w:rPr>
              <w:t>4,010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136,300</w:t>
            </w: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48,872</w:t>
            </w: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11,629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200,811</w:t>
            </w:r>
          </w:p>
        </w:tc>
        <w:tc>
          <w:tcPr>
            <w:tcW w:w="0" w:type="dxa"/>
            <w:vAlign w:val="bottom"/>
          </w:tcPr>
          <w:p>
            <w:pPr>
              <w:spacing w:after="0"/>
              <w:rPr>
                <w:sz w:val="1"/>
                <w:szCs w:val="1"/>
                <w:color w:val="auto"/>
              </w:rPr>
            </w:pPr>
          </w:p>
        </w:tc>
      </w:tr>
      <w:tr>
        <w:trPr>
          <w:trHeight w:val="115"/>
        </w:trPr>
        <w:tc>
          <w:tcPr>
            <w:tcW w:w="4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Carrying amount at December 31</w:t>
            </w:r>
          </w:p>
        </w:tc>
        <w:tc>
          <w:tcPr>
            <w:tcW w:w="2040" w:type="dxa"/>
            <w:vAlign w:val="bottom"/>
            <w:tcBorders>
              <w:bottom w:val="single" w:sz="8" w:color="auto"/>
            </w:tcBorders>
          </w:tcPr>
          <w:p>
            <w:pPr>
              <w:jc w:val="right"/>
              <w:ind w:right="712"/>
              <w:spacing w:after="0"/>
              <w:rPr>
                <w:sz w:val="20"/>
                <w:szCs w:val="20"/>
                <w:color w:val="auto"/>
              </w:rPr>
            </w:pPr>
            <w:r>
              <w:rPr>
                <w:rFonts w:ascii="Arial" w:cs="Arial" w:eastAsia="Arial" w:hAnsi="Arial"/>
                <w:sz w:val="10"/>
                <w:szCs w:val="10"/>
                <w:color w:val="auto"/>
              </w:rPr>
              <w:t>14,586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150,366</w:t>
            </w: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55,945</w:t>
            </w: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17,452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238,349</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0"/>
          <w:szCs w:val="10"/>
          <w:color w:val="auto"/>
        </w:rPr>
        <w:t>Sales, retirements and other movements in 2020 includes to sales of the Appalachia shale gas position and the Martinez refinery, both in the USA.</w:t>
      </w:r>
    </w:p>
    <w:p>
      <w:pPr>
        <w:spacing w:after="0" w:line="155" w:lineRule="exact"/>
        <w:rPr>
          <w:sz w:val="20"/>
          <w:szCs w:val="20"/>
          <w:color w:val="auto"/>
        </w:rPr>
      </w:pPr>
    </w:p>
    <w:p>
      <w:pPr>
        <w:spacing w:after="0"/>
        <w:rPr>
          <w:sz w:val="20"/>
          <w:szCs w:val="20"/>
          <w:color w:val="auto"/>
        </w:rPr>
      </w:pPr>
      <w:r>
        <w:rPr>
          <w:rFonts w:ascii="Arial" w:cs="Arial" w:eastAsia="Arial" w:hAnsi="Arial"/>
          <w:sz w:val="8"/>
          <w:szCs w:val="8"/>
          <w:color w:val="auto"/>
        </w:rPr>
        <w:t>The carrying amount of property, plant and equipment at December 31, 2020, included $31,611 million (2019: $27,779 million) of assets under construction. This amount excludes exploration and evaluation assets. The carrying amount at December 31, 2020, included $1,159 million of assets</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classified as held for sale (2019: $1,401 million).</w:t>
      </w:r>
    </w:p>
    <w:p>
      <w:pPr>
        <w:spacing w:after="0" w:line="149" w:lineRule="exact"/>
        <w:rPr>
          <w:sz w:val="20"/>
          <w:szCs w:val="20"/>
          <w:color w:val="auto"/>
        </w:rPr>
      </w:pPr>
    </w:p>
    <w:p>
      <w:pPr>
        <w:ind w:right="100"/>
        <w:spacing w:after="0" w:line="239" w:lineRule="auto"/>
        <w:rPr>
          <w:sz w:val="20"/>
          <w:szCs w:val="20"/>
          <w:color w:val="auto"/>
        </w:rPr>
      </w:pPr>
      <w:r>
        <w:rPr>
          <w:rFonts w:ascii="Arial" w:cs="Arial" w:eastAsia="Arial" w:hAnsi="Arial"/>
          <w:sz w:val="10"/>
          <w:szCs w:val="10"/>
          <w:color w:val="auto"/>
        </w:rPr>
        <w:t>The carrying amount of exploration and production assets at December 31, 2020, included rights and concessions in respect of proved and unproved properties of $11,485 million (2019: $14,355 million). Exploration and evaluation assets principally comprise rights and concessions in respect of unproved properties and capitalised exploration drilling costs.</w:t>
      </w:r>
    </w:p>
    <w:p>
      <w:pPr>
        <w:spacing w:after="0" w:line="149" w:lineRule="exact"/>
        <w:rPr>
          <w:sz w:val="20"/>
          <w:szCs w:val="20"/>
          <w:color w:val="auto"/>
        </w:rPr>
      </w:pPr>
    </w:p>
    <w:p>
      <w:pPr>
        <w:spacing w:after="0"/>
        <w:rPr>
          <w:sz w:val="20"/>
          <w:szCs w:val="20"/>
          <w:color w:val="auto"/>
        </w:rPr>
      </w:pPr>
      <w:r>
        <w:rPr>
          <w:rFonts w:ascii="Arial" w:cs="Arial" w:eastAsia="Arial" w:hAnsi="Arial"/>
          <w:sz w:val="8"/>
          <w:szCs w:val="8"/>
          <w:color w:val="auto"/>
        </w:rPr>
        <w:t>The carrying amount of assets at December 31, 2020, for which an alternative reserves base was applied in the calculation of the depreciation charge (see Note 2), was $1,707 million (2019: $173 million). If no alternative reserves base had been used, the pre-tax depreciation charge for the year</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ended December 31, 2020, would have been $1,012 million higher (2019:$77 million, 2018: $1,003 million).</w:t>
      </w:r>
    </w:p>
    <w:p>
      <w:pPr>
        <w:spacing w:after="0" w:line="176" w:lineRule="exact"/>
        <w:rPr>
          <w:sz w:val="20"/>
          <w:szCs w:val="20"/>
          <w:color w:val="auto"/>
        </w:rPr>
      </w:pPr>
    </w:p>
    <w:p>
      <w:pPr>
        <w:spacing w:after="0"/>
        <w:rPr>
          <w:sz w:val="20"/>
          <w:szCs w:val="20"/>
          <w:color w:val="auto"/>
        </w:rPr>
      </w:pPr>
      <w:r>
        <w:rPr>
          <w:rFonts w:ascii="Arial" w:cs="Arial" w:eastAsia="Arial" w:hAnsi="Arial"/>
          <w:sz w:val="10"/>
          <w:szCs w:val="10"/>
          <w:color w:val="auto"/>
        </w:rPr>
        <w:t>Contractual commitments for the purchase and lease of property, plant and equipment at December 31, 2020, amounted to $5,699 million (2019: $4,599 million (as revised)).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Right-of-use assets</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Within property, plant and equipment the following amounts relate to leases: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46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6"/>
        </w:trPr>
        <w:tc>
          <w:tcPr>
            <w:tcW w:w="4660" w:type="dxa"/>
            <w:vAlign w:val="bottom"/>
          </w:tcPr>
          <w:p>
            <w:pPr>
              <w:spacing w:after="0"/>
              <w:rPr>
                <w:sz w:val="20"/>
                <w:szCs w:val="20"/>
                <w:color w:val="auto"/>
              </w:rPr>
            </w:pPr>
            <w:r>
              <w:rPr>
                <w:rFonts w:ascii="Arial" w:cs="Arial" w:eastAsia="Arial" w:hAnsi="Arial"/>
                <w:sz w:val="10"/>
                <w:szCs w:val="10"/>
                <w:color w:val="auto"/>
              </w:rPr>
              <w:t>2020</w:t>
            </w:r>
          </w:p>
        </w:tc>
        <w:tc>
          <w:tcPr>
            <w:tcW w:w="14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9"/>
              </w:rPr>
              <w:t>Exploration and production</w:t>
            </w:r>
          </w:p>
        </w:tc>
        <w:tc>
          <w:tcPr>
            <w:tcW w:w="1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660" w:type="dxa"/>
            <w:vAlign w:val="bottom"/>
          </w:tcPr>
          <w:p>
            <w:pPr>
              <w:spacing w:after="0"/>
              <w:rPr>
                <w:sz w:val="6"/>
                <w:szCs w:val="6"/>
                <w:color w:val="auto"/>
              </w:rPr>
            </w:pPr>
          </w:p>
        </w:tc>
        <w:tc>
          <w:tcPr>
            <w:tcW w:w="1440" w:type="dxa"/>
            <w:vAlign w:val="bottom"/>
            <w:vMerge w:val="restart"/>
          </w:tcPr>
          <w:p>
            <w:pPr>
              <w:jc w:val="right"/>
              <w:ind w:right="73"/>
              <w:spacing w:after="0"/>
              <w:rPr>
                <w:sz w:val="20"/>
                <w:szCs w:val="20"/>
                <w:color w:val="auto"/>
              </w:rPr>
            </w:pPr>
            <w:r>
              <w:rPr>
                <w:rFonts w:ascii="Arial" w:cs="Arial" w:eastAsia="Arial" w:hAnsi="Arial"/>
                <w:sz w:val="10"/>
                <w:szCs w:val="10"/>
                <w:color w:val="auto"/>
              </w:rPr>
              <w:t>Exploration</w:t>
            </w:r>
          </w:p>
        </w:tc>
        <w:tc>
          <w:tcPr>
            <w:tcW w:w="1200" w:type="dxa"/>
            <w:vAlign w:val="bottom"/>
          </w:tcPr>
          <w:p>
            <w:pPr>
              <w:spacing w:after="0"/>
              <w:rPr>
                <w:sz w:val="6"/>
                <w:szCs w:val="6"/>
                <w:color w:val="auto"/>
              </w:rPr>
            </w:pPr>
          </w:p>
        </w:tc>
        <w:tc>
          <w:tcPr>
            <w:tcW w:w="1860" w:type="dxa"/>
            <w:vAlign w:val="bottom"/>
          </w:tcPr>
          <w:p>
            <w:pPr>
              <w:jc w:val="right"/>
              <w:ind w:right="492"/>
              <w:spacing w:after="0" w:line="78" w:lineRule="exact"/>
              <w:rPr>
                <w:sz w:val="20"/>
                <w:szCs w:val="20"/>
                <w:color w:val="auto"/>
              </w:rPr>
            </w:pPr>
            <w:r>
              <w:rPr>
                <w:rFonts w:ascii="Arial" w:cs="Arial" w:eastAsia="Arial" w:hAnsi="Arial"/>
                <w:sz w:val="8"/>
                <w:szCs w:val="8"/>
                <w:color w:val="auto"/>
              </w:rPr>
              <w:t>Manufacturing,</w:t>
            </w:r>
          </w:p>
        </w:tc>
        <w:tc>
          <w:tcPr>
            <w:tcW w:w="1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46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Arial" w:cs="Arial" w:eastAsia="Arial" w:hAnsi="Arial"/>
                <w:sz w:val="10"/>
                <w:szCs w:val="10"/>
                <w:color w:val="auto"/>
              </w:rPr>
              <w:t>Production</w:t>
            </w:r>
          </w:p>
        </w:tc>
        <w:tc>
          <w:tcPr>
            <w:tcW w:w="1860" w:type="dxa"/>
            <w:vAlign w:val="bottom"/>
          </w:tcPr>
          <w:p>
            <w:pPr>
              <w:jc w:val="right"/>
              <w:ind w:right="492"/>
              <w:spacing w:after="0" w:line="90" w:lineRule="exact"/>
              <w:rPr>
                <w:sz w:val="20"/>
                <w:szCs w:val="20"/>
                <w:color w:val="auto"/>
              </w:rPr>
            </w:pPr>
            <w:r>
              <w:rPr>
                <w:rFonts w:ascii="Arial" w:cs="Arial" w:eastAsia="Arial" w:hAnsi="Arial"/>
                <w:sz w:val="10"/>
                <w:szCs w:val="10"/>
                <w:color w:val="auto"/>
              </w:rPr>
              <w:t>supply and</w:t>
            </w:r>
          </w:p>
        </w:tc>
        <w:tc>
          <w:tcPr>
            <w:tcW w:w="1280" w:type="dxa"/>
            <w:vAlign w:val="bottom"/>
            <w:vMerge w:val="restart"/>
          </w:tcPr>
          <w:p>
            <w:pPr>
              <w:jc w:val="right"/>
              <w:ind w:right="452"/>
              <w:spacing w:after="0"/>
              <w:rPr>
                <w:sz w:val="20"/>
                <w:szCs w:val="20"/>
                <w:color w:val="auto"/>
              </w:rPr>
            </w:pPr>
            <w:r>
              <w:rPr>
                <w:rFonts w:ascii="Arial" w:cs="Arial" w:eastAsia="Arial" w:hAnsi="Arial"/>
                <w:sz w:val="10"/>
                <w:szCs w:val="10"/>
                <w:color w:val="auto"/>
              </w:rPr>
              <w:t>Other</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4660" w:type="dxa"/>
            <w:vAlign w:val="bottom"/>
          </w:tcPr>
          <w:p>
            <w:pPr>
              <w:spacing w:after="0"/>
              <w:rPr>
                <w:sz w:val="10"/>
                <w:szCs w:val="10"/>
                <w:color w:val="auto"/>
              </w:rPr>
            </w:pPr>
          </w:p>
        </w:tc>
        <w:tc>
          <w:tcPr>
            <w:tcW w:w="1440" w:type="dxa"/>
            <w:vAlign w:val="bottom"/>
          </w:tcPr>
          <w:p>
            <w:pPr>
              <w:jc w:val="right"/>
              <w:ind w:right="73"/>
              <w:spacing w:after="0"/>
              <w:rPr>
                <w:sz w:val="20"/>
                <w:szCs w:val="20"/>
                <w:color w:val="auto"/>
              </w:rPr>
            </w:pPr>
            <w:r>
              <w:rPr>
                <w:rFonts w:ascii="Arial" w:cs="Arial" w:eastAsia="Arial" w:hAnsi="Arial"/>
                <w:sz w:val="10"/>
                <w:szCs w:val="10"/>
                <w:color w:val="auto"/>
              </w:rPr>
              <w:t>and evaluation</w:t>
            </w:r>
          </w:p>
        </w:tc>
        <w:tc>
          <w:tcPr>
            <w:tcW w:w="1200" w:type="dxa"/>
            <w:vAlign w:val="bottom"/>
            <w:vMerge w:val="continue"/>
          </w:tcPr>
          <w:p>
            <w:pPr>
              <w:spacing w:after="0"/>
              <w:rPr>
                <w:sz w:val="10"/>
                <w:szCs w:val="10"/>
                <w:color w:val="auto"/>
              </w:rPr>
            </w:pPr>
          </w:p>
        </w:tc>
        <w:tc>
          <w:tcPr>
            <w:tcW w:w="1860" w:type="dxa"/>
            <w:vAlign w:val="bottom"/>
          </w:tcPr>
          <w:p>
            <w:pPr>
              <w:jc w:val="right"/>
              <w:ind w:right="492"/>
              <w:spacing w:after="0"/>
              <w:rPr>
                <w:sz w:val="20"/>
                <w:szCs w:val="20"/>
                <w:color w:val="auto"/>
              </w:rPr>
            </w:pPr>
            <w:r>
              <w:rPr>
                <w:rFonts w:ascii="Arial" w:cs="Arial" w:eastAsia="Arial" w:hAnsi="Arial"/>
                <w:sz w:val="10"/>
                <w:szCs w:val="10"/>
                <w:color w:val="auto"/>
              </w:rPr>
              <w:t>distribution</w:t>
            </w:r>
          </w:p>
        </w:tc>
        <w:tc>
          <w:tcPr>
            <w:tcW w:w="128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660" w:type="dxa"/>
            <w:vAlign w:val="bottom"/>
            <w:tcBorders>
              <w:top w:val="single" w:sz="8" w:color="auto"/>
            </w:tcBorders>
          </w:tcPr>
          <w:p>
            <w:pPr>
              <w:spacing w:after="0" w:line="113" w:lineRule="exact"/>
              <w:rPr>
                <w:sz w:val="20"/>
                <w:szCs w:val="20"/>
                <w:color w:val="auto"/>
              </w:rPr>
            </w:pPr>
            <w:r>
              <w:rPr>
                <w:rFonts w:ascii="Arial" w:cs="Arial" w:eastAsia="Arial" w:hAnsi="Arial"/>
                <w:sz w:val="10"/>
                <w:szCs w:val="10"/>
                <w:color w:val="auto"/>
              </w:rPr>
              <w:t>Cost</w:t>
            </w:r>
          </w:p>
        </w:tc>
        <w:tc>
          <w:tcPr>
            <w:tcW w:w="144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186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660" w:type="dxa"/>
            <w:vAlign w:val="bottom"/>
          </w:tcPr>
          <w:p>
            <w:pPr>
              <w:ind w:left="120"/>
              <w:spacing w:after="0"/>
              <w:rPr>
                <w:sz w:val="20"/>
                <w:szCs w:val="20"/>
                <w:color w:val="auto"/>
              </w:rPr>
            </w:pPr>
            <w:r>
              <w:rPr>
                <w:rFonts w:ascii="Arial" w:cs="Arial" w:eastAsia="Arial" w:hAnsi="Arial"/>
                <w:sz w:val="10"/>
                <w:szCs w:val="10"/>
                <w:color w:val="auto"/>
              </w:rPr>
              <w:t>At January 1</w:t>
            </w:r>
          </w:p>
        </w:tc>
        <w:tc>
          <w:tcPr>
            <w:tcW w:w="1440" w:type="dxa"/>
            <w:vAlign w:val="bottom"/>
          </w:tcPr>
          <w:p>
            <w:pPr>
              <w:jc w:val="right"/>
              <w:ind w:right="113"/>
              <w:spacing w:after="0"/>
              <w:rPr>
                <w:sz w:val="20"/>
                <w:szCs w:val="20"/>
                <w:color w:val="auto"/>
              </w:rPr>
            </w:pPr>
            <w:r>
              <w:rPr>
                <w:rFonts w:ascii="Arial" w:cs="Arial" w:eastAsia="Arial" w:hAnsi="Arial"/>
                <w:sz w:val="10"/>
                <w:szCs w:val="10"/>
                <w:color w:val="auto"/>
              </w:rPr>
              <w:t>5</w:t>
            </w:r>
          </w:p>
        </w:tc>
        <w:tc>
          <w:tcPr>
            <w:tcW w:w="1200" w:type="dxa"/>
            <w:vAlign w:val="bottom"/>
          </w:tcPr>
          <w:p>
            <w:pPr>
              <w:jc w:val="right"/>
              <w:spacing w:after="0"/>
              <w:rPr>
                <w:sz w:val="20"/>
                <w:szCs w:val="20"/>
                <w:color w:val="auto"/>
              </w:rPr>
            </w:pPr>
            <w:r>
              <w:rPr>
                <w:rFonts w:ascii="Arial" w:cs="Arial" w:eastAsia="Arial" w:hAnsi="Arial"/>
                <w:sz w:val="10"/>
                <w:szCs w:val="10"/>
                <w:color w:val="auto"/>
              </w:rPr>
              <w:t>15,213</w:t>
            </w:r>
          </w:p>
        </w:tc>
        <w:tc>
          <w:tcPr>
            <w:tcW w:w="1860" w:type="dxa"/>
            <w:vAlign w:val="bottom"/>
          </w:tcPr>
          <w:p>
            <w:pPr>
              <w:jc w:val="right"/>
              <w:ind w:right="512"/>
              <w:spacing w:after="0"/>
              <w:rPr>
                <w:sz w:val="20"/>
                <w:szCs w:val="20"/>
                <w:color w:val="auto"/>
              </w:rPr>
            </w:pPr>
            <w:r>
              <w:rPr>
                <w:rFonts w:ascii="Arial" w:cs="Arial" w:eastAsia="Arial" w:hAnsi="Arial"/>
                <w:sz w:val="10"/>
                <w:szCs w:val="10"/>
                <w:color w:val="auto"/>
              </w:rPr>
              <w:t>13,574</w:t>
            </w:r>
          </w:p>
        </w:tc>
        <w:tc>
          <w:tcPr>
            <w:tcW w:w="1280" w:type="dxa"/>
            <w:vAlign w:val="bottom"/>
          </w:tcPr>
          <w:p>
            <w:pPr>
              <w:jc w:val="right"/>
              <w:ind w:right="472"/>
              <w:spacing w:after="0"/>
              <w:rPr>
                <w:sz w:val="20"/>
                <w:szCs w:val="20"/>
                <w:color w:val="auto"/>
              </w:rPr>
            </w:pPr>
            <w:r>
              <w:rPr>
                <w:rFonts w:ascii="Arial" w:cs="Arial" w:eastAsia="Arial" w:hAnsi="Arial"/>
                <w:sz w:val="10"/>
                <w:szCs w:val="10"/>
                <w:color w:val="auto"/>
              </w:rPr>
              <w:t>5,759</w:t>
            </w:r>
          </w:p>
        </w:tc>
        <w:tc>
          <w:tcPr>
            <w:tcW w:w="840" w:type="dxa"/>
            <w:vAlign w:val="bottom"/>
          </w:tcPr>
          <w:p>
            <w:pPr>
              <w:jc w:val="right"/>
              <w:spacing w:after="0"/>
              <w:rPr>
                <w:sz w:val="20"/>
                <w:szCs w:val="20"/>
                <w:color w:val="auto"/>
              </w:rPr>
            </w:pPr>
            <w:r>
              <w:rPr>
                <w:rFonts w:ascii="Arial" w:cs="Arial" w:eastAsia="Arial" w:hAnsi="Arial"/>
                <w:sz w:val="10"/>
                <w:szCs w:val="10"/>
                <w:color w:val="auto"/>
              </w:rPr>
              <w:t>34,551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660" w:type="dxa"/>
            <w:vAlign w:val="bottom"/>
          </w:tcPr>
          <w:p>
            <w:pPr>
              <w:ind w:left="120"/>
              <w:spacing w:after="0"/>
              <w:rPr>
                <w:sz w:val="20"/>
                <w:szCs w:val="20"/>
                <w:color w:val="auto"/>
              </w:rPr>
            </w:pPr>
            <w:r>
              <w:rPr>
                <w:rFonts w:ascii="Arial" w:cs="Arial" w:eastAsia="Arial" w:hAnsi="Arial"/>
                <w:sz w:val="10"/>
                <w:szCs w:val="10"/>
                <w:color w:val="auto"/>
              </w:rPr>
              <w:t>Additions</w:t>
            </w:r>
          </w:p>
        </w:tc>
        <w:tc>
          <w:tcPr>
            <w:tcW w:w="1440" w:type="dxa"/>
            <w:vAlign w:val="bottom"/>
          </w:tcPr>
          <w:p>
            <w:pPr>
              <w:jc w:val="right"/>
              <w:ind w:right="113"/>
              <w:spacing w:after="0"/>
              <w:rPr>
                <w:sz w:val="20"/>
                <w:szCs w:val="20"/>
                <w:color w:val="auto"/>
              </w:rPr>
            </w:pPr>
            <w:r>
              <w:rPr>
                <w:rFonts w:ascii="Arial" w:cs="Arial" w:eastAsia="Arial" w:hAnsi="Arial"/>
                <w:sz w:val="10"/>
                <w:szCs w:val="10"/>
                <w:color w:val="auto"/>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502</w:t>
            </w:r>
          </w:p>
        </w:tc>
        <w:tc>
          <w:tcPr>
            <w:tcW w:w="1860" w:type="dxa"/>
            <w:vAlign w:val="bottom"/>
          </w:tcPr>
          <w:p>
            <w:pPr>
              <w:jc w:val="right"/>
              <w:ind w:right="512"/>
              <w:spacing w:after="0"/>
              <w:rPr>
                <w:sz w:val="20"/>
                <w:szCs w:val="20"/>
                <w:color w:val="auto"/>
              </w:rPr>
            </w:pPr>
            <w:r>
              <w:rPr>
                <w:rFonts w:ascii="Arial" w:cs="Arial" w:eastAsia="Arial" w:hAnsi="Arial"/>
                <w:sz w:val="10"/>
                <w:szCs w:val="10"/>
                <w:color w:val="auto"/>
              </w:rPr>
              <w:t>1,570</w:t>
            </w:r>
          </w:p>
        </w:tc>
        <w:tc>
          <w:tcPr>
            <w:tcW w:w="1280" w:type="dxa"/>
            <w:vAlign w:val="bottom"/>
          </w:tcPr>
          <w:p>
            <w:pPr>
              <w:jc w:val="right"/>
              <w:ind w:right="472"/>
              <w:spacing w:after="0"/>
              <w:rPr>
                <w:sz w:val="20"/>
                <w:szCs w:val="20"/>
                <w:color w:val="auto"/>
              </w:rPr>
            </w:pPr>
            <w:r>
              <w:rPr>
                <w:rFonts w:ascii="Arial" w:cs="Arial" w:eastAsia="Arial" w:hAnsi="Arial"/>
                <w:sz w:val="10"/>
                <w:szCs w:val="10"/>
                <w:color w:val="auto"/>
              </w:rPr>
              <w:t>1,580</w:t>
            </w:r>
          </w:p>
        </w:tc>
        <w:tc>
          <w:tcPr>
            <w:tcW w:w="840" w:type="dxa"/>
            <w:vAlign w:val="bottom"/>
          </w:tcPr>
          <w:p>
            <w:pPr>
              <w:jc w:val="right"/>
              <w:spacing w:after="0"/>
              <w:rPr>
                <w:sz w:val="20"/>
                <w:szCs w:val="20"/>
                <w:color w:val="auto"/>
              </w:rPr>
            </w:pPr>
            <w:r>
              <w:rPr>
                <w:rFonts w:ascii="Arial" w:cs="Arial" w:eastAsia="Arial" w:hAnsi="Arial"/>
                <w:sz w:val="10"/>
                <w:szCs w:val="10"/>
                <w:color w:val="auto"/>
              </w:rPr>
              <w:t>3,652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660" w:type="dxa"/>
            <w:vAlign w:val="bottom"/>
          </w:tcPr>
          <w:p>
            <w:pPr>
              <w:ind w:left="120"/>
              <w:spacing w:after="0"/>
              <w:rPr>
                <w:sz w:val="20"/>
                <w:szCs w:val="20"/>
                <w:color w:val="auto"/>
              </w:rPr>
            </w:pPr>
            <w:r>
              <w:rPr>
                <w:rFonts w:ascii="Arial" w:cs="Arial" w:eastAsia="Arial" w:hAnsi="Arial"/>
                <w:sz w:val="10"/>
                <w:szCs w:val="10"/>
                <w:color w:val="auto"/>
              </w:rPr>
              <w:t>Sales, retirements and other movements</w:t>
            </w:r>
          </w:p>
        </w:tc>
        <w:tc>
          <w:tcPr>
            <w:tcW w:w="1440" w:type="dxa"/>
            <w:vAlign w:val="bottom"/>
          </w:tcPr>
          <w:p>
            <w:pPr>
              <w:jc w:val="right"/>
              <w:ind w:right="113"/>
              <w:spacing w:after="0"/>
              <w:rPr>
                <w:sz w:val="20"/>
                <w:szCs w:val="20"/>
                <w:color w:val="auto"/>
              </w:rPr>
            </w:pPr>
            <w:r>
              <w:rPr>
                <w:rFonts w:ascii="Arial" w:cs="Arial" w:eastAsia="Arial" w:hAnsi="Arial"/>
                <w:sz w:val="10"/>
                <w:szCs w:val="10"/>
                <w:color w:val="auto"/>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(1,370)</w:t>
            </w:r>
          </w:p>
        </w:tc>
        <w:tc>
          <w:tcPr>
            <w:tcW w:w="1860" w:type="dxa"/>
            <w:vAlign w:val="bottom"/>
          </w:tcPr>
          <w:p>
            <w:pPr>
              <w:jc w:val="right"/>
              <w:ind w:right="492"/>
              <w:spacing w:after="0"/>
              <w:rPr>
                <w:sz w:val="20"/>
                <w:szCs w:val="20"/>
                <w:color w:val="auto"/>
              </w:rPr>
            </w:pPr>
            <w:r>
              <w:rPr>
                <w:rFonts w:ascii="Arial" w:cs="Arial" w:eastAsia="Arial" w:hAnsi="Arial"/>
                <w:sz w:val="10"/>
                <w:szCs w:val="10"/>
                <w:color w:val="auto"/>
              </w:rPr>
              <w:t>(675)</w:t>
            </w:r>
          </w:p>
        </w:tc>
        <w:tc>
          <w:tcPr>
            <w:tcW w:w="1280" w:type="dxa"/>
            <w:vAlign w:val="bottom"/>
          </w:tcPr>
          <w:p>
            <w:pPr>
              <w:jc w:val="right"/>
              <w:ind w:right="452"/>
              <w:spacing w:after="0"/>
              <w:rPr>
                <w:sz w:val="20"/>
                <w:szCs w:val="20"/>
                <w:color w:val="auto"/>
              </w:rPr>
            </w:pPr>
            <w:r>
              <w:rPr>
                <w:rFonts w:ascii="Arial" w:cs="Arial" w:eastAsia="Arial" w:hAnsi="Arial"/>
                <w:sz w:val="10"/>
                <w:szCs w:val="10"/>
                <w:color w:val="auto"/>
              </w:rPr>
              <w:t>(75)</w:t>
            </w:r>
          </w:p>
        </w:tc>
        <w:tc>
          <w:tcPr>
            <w:tcW w:w="840" w:type="dxa"/>
            <w:vAlign w:val="bottom"/>
          </w:tcPr>
          <w:p>
            <w:pPr>
              <w:jc w:val="right"/>
              <w:spacing w:after="0"/>
              <w:rPr>
                <w:sz w:val="20"/>
                <w:szCs w:val="20"/>
                <w:color w:val="auto"/>
              </w:rPr>
            </w:pPr>
            <w:r>
              <w:rPr>
                <w:rFonts w:ascii="Arial" w:cs="Arial" w:eastAsia="Arial" w:hAnsi="Arial"/>
                <w:sz w:val="10"/>
                <w:szCs w:val="10"/>
                <w:color w:val="auto"/>
              </w:rPr>
              <w:t>(2,120)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66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Currency translation differences</w:t>
            </w: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95</w:t>
            </w:r>
          </w:p>
        </w:tc>
        <w:tc>
          <w:tcPr>
            <w:tcW w:w="186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57</w:t>
            </w: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0"/>
                <w:szCs w:val="10"/>
                <w:color w:val="auto"/>
              </w:rPr>
              <w:t>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14,440</w:t>
            </w:r>
          </w:p>
        </w:tc>
        <w:tc>
          <w:tcPr>
            <w:tcW w:w="186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14,526</w:t>
            </w: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7,384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36,355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660" w:type="dxa"/>
            <w:vAlign w:val="bottom"/>
          </w:tcPr>
          <w:p>
            <w:pPr>
              <w:spacing w:after="0" w:line="113" w:lineRule="exact"/>
              <w:rPr>
                <w:sz w:val="20"/>
                <w:szCs w:val="20"/>
                <w:color w:val="auto"/>
              </w:rPr>
            </w:pPr>
            <w:r>
              <w:rPr>
                <w:rFonts w:ascii="Arial" w:cs="Arial" w:eastAsia="Arial" w:hAnsi="Arial"/>
                <w:sz w:val="10"/>
                <w:szCs w:val="10"/>
                <w:color w:val="auto"/>
              </w:rPr>
              <w:t>Depreciation, depletion and amortisation, including impairments</w:t>
            </w:r>
          </w:p>
        </w:tc>
        <w:tc>
          <w:tcPr>
            <w:tcW w:w="1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660" w:type="dxa"/>
            <w:vAlign w:val="bottom"/>
          </w:tcPr>
          <w:p>
            <w:pPr>
              <w:ind w:left="120"/>
              <w:spacing w:after="0"/>
              <w:rPr>
                <w:sz w:val="20"/>
                <w:szCs w:val="20"/>
                <w:color w:val="auto"/>
              </w:rPr>
            </w:pPr>
            <w:r>
              <w:rPr>
                <w:rFonts w:ascii="Arial" w:cs="Arial" w:eastAsia="Arial" w:hAnsi="Arial"/>
                <w:sz w:val="10"/>
                <w:szCs w:val="10"/>
                <w:color w:val="auto"/>
              </w:rPr>
              <w:t>At January 1</w:t>
            </w:r>
          </w:p>
        </w:tc>
        <w:tc>
          <w:tcPr>
            <w:tcW w:w="1440" w:type="dxa"/>
            <w:vAlign w:val="bottom"/>
          </w:tcPr>
          <w:p>
            <w:pPr>
              <w:jc w:val="right"/>
              <w:ind w:right="113"/>
              <w:spacing w:after="0"/>
              <w:rPr>
                <w:sz w:val="20"/>
                <w:szCs w:val="20"/>
                <w:color w:val="auto"/>
              </w:rPr>
            </w:pPr>
            <w:r>
              <w:rPr>
                <w:rFonts w:ascii="Arial" w:cs="Arial" w:eastAsia="Arial" w:hAnsi="Arial"/>
                <w:sz w:val="10"/>
                <w:szCs w:val="10"/>
                <w:color w:val="auto"/>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5,761</w:t>
            </w:r>
          </w:p>
        </w:tc>
        <w:tc>
          <w:tcPr>
            <w:tcW w:w="1860" w:type="dxa"/>
            <w:vAlign w:val="bottom"/>
          </w:tcPr>
          <w:p>
            <w:pPr>
              <w:jc w:val="right"/>
              <w:ind w:right="512"/>
              <w:spacing w:after="0"/>
              <w:rPr>
                <w:sz w:val="20"/>
                <w:szCs w:val="20"/>
                <w:color w:val="auto"/>
              </w:rPr>
            </w:pPr>
            <w:r>
              <w:rPr>
                <w:rFonts w:ascii="Arial" w:cs="Arial" w:eastAsia="Arial" w:hAnsi="Arial"/>
                <w:sz w:val="10"/>
                <w:szCs w:val="10"/>
                <w:color w:val="auto"/>
              </w:rPr>
              <w:t>2,936</w:t>
            </w:r>
          </w:p>
        </w:tc>
        <w:tc>
          <w:tcPr>
            <w:tcW w:w="1280" w:type="dxa"/>
            <w:vAlign w:val="bottom"/>
          </w:tcPr>
          <w:p>
            <w:pPr>
              <w:jc w:val="right"/>
              <w:ind w:right="472"/>
              <w:spacing w:after="0"/>
              <w:rPr>
                <w:sz w:val="20"/>
                <w:szCs w:val="20"/>
                <w:color w:val="auto"/>
              </w:rPr>
            </w:pPr>
            <w:r>
              <w:rPr>
                <w:rFonts w:ascii="Arial" w:cs="Arial" w:eastAsia="Arial" w:hAnsi="Arial"/>
                <w:sz w:val="10"/>
                <w:szCs w:val="10"/>
                <w:color w:val="auto"/>
              </w:rPr>
              <w:t>1,164</w:t>
            </w:r>
          </w:p>
        </w:tc>
        <w:tc>
          <w:tcPr>
            <w:tcW w:w="840" w:type="dxa"/>
            <w:vAlign w:val="bottom"/>
          </w:tcPr>
          <w:p>
            <w:pPr>
              <w:jc w:val="right"/>
              <w:spacing w:after="0"/>
              <w:rPr>
                <w:sz w:val="20"/>
                <w:szCs w:val="20"/>
                <w:color w:val="auto"/>
              </w:rPr>
            </w:pPr>
            <w:r>
              <w:rPr>
                <w:rFonts w:ascii="Arial" w:cs="Arial" w:eastAsia="Arial" w:hAnsi="Arial"/>
                <w:sz w:val="10"/>
                <w:szCs w:val="10"/>
                <w:color w:val="auto"/>
              </w:rPr>
              <w:t>9,861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660" w:type="dxa"/>
            <w:vAlign w:val="bottom"/>
          </w:tcPr>
          <w:p>
            <w:pPr>
              <w:ind w:left="120"/>
              <w:spacing w:after="0"/>
              <w:rPr>
                <w:sz w:val="20"/>
                <w:szCs w:val="20"/>
                <w:color w:val="auto"/>
              </w:rPr>
            </w:pPr>
            <w:r>
              <w:rPr>
                <w:rFonts w:ascii="Arial" w:cs="Arial" w:eastAsia="Arial" w:hAnsi="Arial"/>
                <w:sz w:val="10"/>
                <w:szCs w:val="10"/>
                <w:color w:val="auto"/>
              </w:rPr>
              <w:t>Charge for the year</w:t>
            </w:r>
          </w:p>
        </w:tc>
        <w:tc>
          <w:tcPr>
            <w:tcW w:w="1440" w:type="dxa"/>
            <w:vAlign w:val="bottom"/>
          </w:tcPr>
          <w:p>
            <w:pPr>
              <w:jc w:val="right"/>
              <w:ind w:right="113"/>
              <w:spacing w:after="0"/>
              <w:rPr>
                <w:sz w:val="20"/>
                <w:szCs w:val="20"/>
                <w:color w:val="auto"/>
              </w:rPr>
            </w:pPr>
            <w:r>
              <w:rPr>
                <w:rFonts w:ascii="Arial" w:cs="Arial" w:eastAsia="Arial" w:hAnsi="Arial"/>
                <w:sz w:val="10"/>
                <w:szCs w:val="10"/>
                <w:color w:val="auto"/>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1,898</w:t>
            </w:r>
          </w:p>
        </w:tc>
        <w:tc>
          <w:tcPr>
            <w:tcW w:w="1860" w:type="dxa"/>
            <w:vAlign w:val="bottom"/>
          </w:tcPr>
          <w:p>
            <w:pPr>
              <w:jc w:val="right"/>
              <w:ind w:right="512"/>
              <w:spacing w:after="0"/>
              <w:rPr>
                <w:sz w:val="20"/>
                <w:szCs w:val="20"/>
                <w:color w:val="auto"/>
              </w:rPr>
            </w:pPr>
            <w:r>
              <w:rPr>
                <w:rFonts w:ascii="Arial" w:cs="Arial" w:eastAsia="Arial" w:hAnsi="Arial"/>
                <w:sz w:val="10"/>
                <w:szCs w:val="10"/>
                <w:color w:val="auto"/>
              </w:rPr>
              <w:t>2,675</w:t>
            </w:r>
          </w:p>
        </w:tc>
        <w:tc>
          <w:tcPr>
            <w:tcW w:w="1280" w:type="dxa"/>
            <w:vAlign w:val="bottom"/>
          </w:tcPr>
          <w:p>
            <w:pPr>
              <w:jc w:val="right"/>
              <w:ind w:right="472"/>
              <w:spacing w:after="0"/>
              <w:rPr>
                <w:sz w:val="20"/>
                <w:szCs w:val="20"/>
                <w:color w:val="auto"/>
              </w:rPr>
            </w:pPr>
            <w:r>
              <w:rPr>
                <w:rFonts w:ascii="Arial" w:cs="Arial" w:eastAsia="Arial" w:hAnsi="Arial"/>
                <w:sz w:val="10"/>
                <w:szCs w:val="10"/>
                <w:color w:val="auto"/>
              </w:rPr>
              <w:t>760</w:t>
            </w:r>
          </w:p>
        </w:tc>
        <w:tc>
          <w:tcPr>
            <w:tcW w:w="840" w:type="dxa"/>
            <w:vAlign w:val="bottom"/>
          </w:tcPr>
          <w:p>
            <w:pPr>
              <w:jc w:val="right"/>
              <w:spacing w:after="0"/>
              <w:rPr>
                <w:sz w:val="20"/>
                <w:szCs w:val="20"/>
                <w:color w:val="auto"/>
              </w:rPr>
            </w:pPr>
            <w:r>
              <w:rPr>
                <w:rFonts w:ascii="Arial" w:cs="Arial" w:eastAsia="Arial" w:hAnsi="Arial"/>
                <w:sz w:val="10"/>
                <w:szCs w:val="10"/>
                <w:color w:val="auto"/>
              </w:rPr>
              <w:t>5,333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660" w:type="dxa"/>
            <w:vAlign w:val="bottom"/>
          </w:tcPr>
          <w:p>
            <w:pPr>
              <w:ind w:left="120"/>
              <w:spacing w:after="0"/>
              <w:rPr>
                <w:sz w:val="20"/>
                <w:szCs w:val="20"/>
                <w:color w:val="auto"/>
              </w:rPr>
            </w:pPr>
            <w:r>
              <w:rPr>
                <w:rFonts w:ascii="Arial" w:cs="Arial" w:eastAsia="Arial" w:hAnsi="Arial"/>
                <w:sz w:val="10"/>
                <w:szCs w:val="10"/>
                <w:color w:val="auto"/>
              </w:rPr>
              <w:t>Sales, retirements and other movements</w:t>
            </w:r>
          </w:p>
        </w:tc>
        <w:tc>
          <w:tcPr>
            <w:tcW w:w="1440" w:type="dxa"/>
            <w:vAlign w:val="bottom"/>
          </w:tcPr>
          <w:p>
            <w:pPr>
              <w:jc w:val="right"/>
              <w:ind w:right="113"/>
              <w:spacing w:after="0"/>
              <w:rPr>
                <w:sz w:val="20"/>
                <w:szCs w:val="20"/>
                <w:color w:val="auto"/>
              </w:rPr>
            </w:pPr>
            <w:r>
              <w:rPr>
                <w:rFonts w:ascii="Arial" w:cs="Arial" w:eastAsia="Arial" w:hAnsi="Arial"/>
                <w:sz w:val="10"/>
                <w:szCs w:val="10"/>
                <w:color w:val="auto"/>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(712)</w:t>
            </w:r>
          </w:p>
        </w:tc>
        <w:tc>
          <w:tcPr>
            <w:tcW w:w="1860" w:type="dxa"/>
            <w:vAlign w:val="bottom"/>
          </w:tcPr>
          <w:p>
            <w:pPr>
              <w:jc w:val="right"/>
              <w:ind w:right="492"/>
              <w:spacing w:after="0"/>
              <w:rPr>
                <w:sz w:val="20"/>
                <w:szCs w:val="20"/>
                <w:color w:val="auto"/>
              </w:rPr>
            </w:pPr>
            <w:r>
              <w:rPr>
                <w:rFonts w:ascii="Arial" w:cs="Arial" w:eastAsia="Arial" w:hAnsi="Arial"/>
                <w:sz w:val="10"/>
                <w:szCs w:val="10"/>
                <w:color w:val="auto"/>
              </w:rPr>
              <w:t>(627)</w:t>
            </w:r>
          </w:p>
        </w:tc>
        <w:tc>
          <w:tcPr>
            <w:tcW w:w="1280" w:type="dxa"/>
            <w:vAlign w:val="bottom"/>
          </w:tcPr>
          <w:p>
            <w:pPr>
              <w:jc w:val="right"/>
              <w:ind w:right="452"/>
              <w:spacing w:after="0"/>
              <w:rPr>
                <w:sz w:val="20"/>
                <w:szCs w:val="20"/>
                <w:color w:val="auto"/>
              </w:rPr>
            </w:pPr>
            <w:r>
              <w:rPr>
                <w:rFonts w:ascii="Arial" w:cs="Arial" w:eastAsia="Arial" w:hAnsi="Arial"/>
                <w:sz w:val="10"/>
                <w:szCs w:val="10"/>
                <w:color w:val="auto"/>
              </w:rPr>
              <w:t>(158)</w:t>
            </w:r>
          </w:p>
        </w:tc>
        <w:tc>
          <w:tcPr>
            <w:tcW w:w="840" w:type="dxa"/>
            <w:vAlign w:val="bottom"/>
          </w:tcPr>
          <w:p>
            <w:pPr>
              <w:jc w:val="right"/>
              <w:spacing w:after="0"/>
              <w:rPr>
                <w:sz w:val="20"/>
                <w:szCs w:val="20"/>
                <w:color w:val="auto"/>
              </w:rPr>
            </w:pPr>
            <w:r>
              <w:rPr>
                <w:rFonts w:ascii="Arial" w:cs="Arial" w:eastAsia="Arial" w:hAnsi="Arial"/>
                <w:sz w:val="10"/>
                <w:szCs w:val="10"/>
                <w:color w:val="auto"/>
              </w:rPr>
              <w:t>(1,497)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66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Currency translation differences</w:t>
            </w: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w:t>
            </w:r>
          </w:p>
        </w:tc>
        <w:tc>
          <w:tcPr>
            <w:tcW w:w="186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29</w:t>
            </w: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6,997</w:t>
            </w:r>
          </w:p>
        </w:tc>
        <w:tc>
          <w:tcPr>
            <w:tcW w:w="186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5,013</w:t>
            </w: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1,793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13,803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Carrying amount at December 31</w:t>
            </w: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0"/>
                <w:szCs w:val="10"/>
                <w:color w:val="auto"/>
              </w:rPr>
              <w:t>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7,443</w:t>
            </w:r>
          </w:p>
        </w:tc>
        <w:tc>
          <w:tcPr>
            <w:tcW w:w="186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9,513</w:t>
            </w: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5,591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22,552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8"/>
        </w:trPr>
        <w:tc>
          <w:tcPr>
            <w:tcW w:w="466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1440" w:type="dxa"/>
            <w:vAlign w:val="bottom"/>
          </w:tcPr>
          <w:p>
            <w:pPr>
              <w:jc w:val="right"/>
              <w:ind w:right="413"/>
              <w:spacing w:after="0"/>
              <w:rPr>
                <w:sz w:val="20"/>
                <w:szCs w:val="20"/>
                <w:color w:val="auto"/>
              </w:rPr>
            </w:pPr>
            <w:r>
              <w:rPr>
                <w:rFonts w:ascii="Arial" w:cs="Arial" w:eastAsia="Arial" w:hAnsi="Arial"/>
                <w:sz w:val="7"/>
                <w:szCs w:val="7"/>
                <w:color w:val="auto"/>
              </w:rPr>
              <w:t>184</w:t>
            </w: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6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21"/>
        </w:trPr>
        <w:tc>
          <w:tcPr>
            <w:tcW w:w="46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6"/>
        </w:trPr>
        <w:tc>
          <w:tcPr>
            <w:tcW w:w="4660" w:type="dxa"/>
            <w:vAlign w:val="bottom"/>
          </w:tcPr>
          <w:p>
            <w:pPr>
              <w:spacing w:after="0"/>
              <w:rPr>
                <w:sz w:val="20"/>
                <w:szCs w:val="20"/>
                <w:color w:val="auto"/>
              </w:rPr>
            </w:pPr>
            <w:r>
              <w:rPr>
                <w:rFonts w:ascii="Arial" w:cs="Arial" w:eastAsia="Arial" w:hAnsi="Arial"/>
                <w:sz w:val="10"/>
                <w:szCs w:val="10"/>
                <w:color w:val="auto"/>
              </w:rPr>
              <w:t>2019</w:t>
            </w:r>
          </w:p>
        </w:tc>
        <w:tc>
          <w:tcPr>
            <w:tcW w:w="14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9"/>
              </w:rPr>
              <w:t>Exploration and production</w:t>
            </w:r>
          </w:p>
        </w:tc>
        <w:tc>
          <w:tcPr>
            <w:tcW w:w="13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660" w:type="dxa"/>
            <w:vAlign w:val="bottom"/>
          </w:tcPr>
          <w:p>
            <w:pPr>
              <w:spacing w:after="0"/>
              <w:rPr>
                <w:sz w:val="6"/>
                <w:szCs w:val="6"/>
                <w:color w:val="auto"/>
              </w:rPr>
            </w:pPr>
          </w:p>
        </w:tc>
        <w:tc>
          <w:tcPr>
            <w:tcW w:w="1440" w:type="dxa"/>
            <w:vAlign w:val="bottom"/>
            <w:vMerge w:val="restart"/>
          </w:tcPr>
          <w:p>
            <w:pPr>
              <w:jc w:val="right"/>
              <w:ind w:right="72"/>
              <w:spacing w:after="0"/>
              <w:rPr>
                <w:sz w:val="20"/>
                <w:szCs w:val="20"/>
                <w:color w:val="auto"/>
              </w:rPr>
            </w:pPr>
            <w:r>
              <w:rPr>
                <w:rFonts w:ascii="Arial" w:cs="Arial" w:eastAsia="Arial" w:hAnsi="Arial"/>
                <w:sz w:val="10"/>
                <w:szCs w:val="10"/>
                <w:color w:val="auto"/>
              </w:rPr>
              <w:t>Exploration</w:t>
            </w:r>
          </w:p>
        </w:tc>
        <w:tc>
          <w:tcPr>
            <w:tcW w:w="1200" w:type="dxa"/>
            <w:vAlign w:val="bottom"/>
          </w:tcPr>
          <w:p>
            <w:pPr>
              <w:spacing w:after="0"/>
              <w:rPr>
                <w:sz w:val="6"/>
                <w:szCs w:val="6"/>
                <w:color w:val="auto"/>
              </w:rPr>
            </w:pPr>
          </w:p>
        </w:tc>
        <w:tc>
          <w:tcPr>
            <w:tcW w:w="1340" w:type="dxa"/>
            <w:vAlign w:val="bottom"/>
          </w:tcPr>
          <w:p>
            <w:pPr>
              <w:jc w:val="right"/>
              <w:spacing w:after="0" w:line="78" w:lineRule="exact"/>
              <w:rPr>
                <w:sz w:val="20"/>
                <w:szCs w:val="20"/>
                <w:color w:val="auto"/>
              </w:rPr>
            </w:pPr>
            <w:r>
              <w:rPr>
                <w:rFonts w:ascii="Arial" w:cs="Arial" w:eastAsia="Arial" w:hAnsi="Arial"/>
                <w:sz w:val="8"/>
                <w:szCs w:val="8"/>
                <w:color w:val="auto"/>
              </w:rPr>
              <w:t>Manufacturing,</w:t>
            </w:r>
          </w:p>
        </w:tc>
        <w:tc>
          <w:tcPr>
            <w:tcW w:w="1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46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Arial" w:cs="Arial" w:eastAsia="Arial" w:hAnsi="Arial"/>
                <w:sz w:val="10"/>
                <w:szCs w:val="10"/>
                <w:color w:val="auto"/>
              </w:rPr>
              <w:t>Production</w:t>
            </w:r>
          </w:p>
        </w:tc>
        <w:tc>
          <w:tcPr>
            <w:tcW w:w="1340" w:type="dxa"/>
            <w:vAlign w:val="bottom"/>
          </w:tcPr>
          <w:p>
            <w:pPr>
              <w:jc w:val="right"/>
              <w:spacing w:after="0" w:line="90" w:lineRule="exact"/>
              <w:rPr>
                <w:sz w:val="20"/>
                <w:szCs w:val="20"/>
                <w:color w:val="auto"/>
              </w:rPr>
            </w:pPr>
            <w:r>
              <w:rPr>
                <w:rFonts w:ascii="Arial" w:cs="Arial" w:eastAsia="Arial" w:hAnsi="Arial"/>
                <w:sz w:val="10"/>
                <w:szCs w:val="10"/>
                <w:color w:val="auto"/>
              </w:rPr>
              <w:t>supply and</w:t>
            </w:r>
          </w:p>
        </w:tc>
        <w:tc>
          <w:tcPr>
            <w:tcW w:w="1800" w:type="dxa"/>
            <w:vAlign w:val="bottom"/>
            <w:vMerge w:val="restart"/>
          </w:tcPr>
          <w:p>
            <w:pPr>
              <w:jc w:val="right"/>
              <w:ind w:right="452"/>
              <w:spacing w:after="0"/>
              <w:rPr>
                <w:sz w:val="20"/>
                <w:szCs w:val="20"/>
                <w:color w:val="auto"/>
              </w:rPr>
            </w:pPr>
            <w:r>
              <w:rPr>
                <w:rFonts w:ascii="Arial" w:cs="Arial" w:eastAsia="Arial" w:hAnsi="Arial"/>
                <w:sz w:val="10"/>
                <w:szCs w:val="10"/>
                <w:color w:val="auto"/>
              </w:rPr>
              <w:t>Other</w:t>
            </w: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46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and evaluation</w:t>
            </w:r>
          </w:p>
        </w:tc>
        <w:tc>
          <w:tcPr>
            <w:tcW w:w="1200" w:type="dxa"/>
            <w:vAlign w:val="bottom"/>
            <w:tcBorders>
              <w:bottom w:val="single" w:sz="8" w:color="auto"/>
            </w:tcBorders>
            <w:vMerge w:val="continue"/>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distribution</w:t>
            </w:r>
          </w:p>
        </w:tc>
        <w:tc>
          <w:tcPr>
            <w:tcW w:w="180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660" w:type="dxa"/>
            <w:vAlign w:val="bottom"/>
          </w:tcPr>
          <w:p>
            <w:pPr>
              <w:spacing w:after="0" w:line="113" w:lineRule="exact"/>
              <w:rPr>
                <w:sz w:val="20"/>
                <w:szCs w:val="20"/>
                <w:color w:val="auto"/>
              </w:rPr>
            </w:pPr>
            <w:r>
              <w:rPr>
                <w:rFonts w:ascii="Arial" w:cs="Arial" w:eastAsia="Arial" w:hAnsi="Arial"/>
                <w:sz w:val="10"/>
                <w:szCs w:val="10"/>
                <w:color w:val="auto"/>
              </w:rPr>
              <w:t>Cost</w:t>
            </w:r>
          </w:p>
        </w:tc>
        <w:tc>
          <w:tcPr>
            <w:tcW w:w="1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660" w:type="dxa"/>
            <w:vAlign w:val="bottom"/>
          </w:tcPr>
          <w:p>
            <w:pPr>
              <w:ind w:left="120"/>
              <w:spacing w:after="0"/>
              <w:rPr>
                <w:sz w:val="20"/>
                <w:szCs w:val="20"/>
                <w:color w:val="auto"/>
              </w:rPr>
            </w:pPr>
            <w:r>
              <w:rPr>
                <w:rFonts w:ascii="Arial" w:cs="Arial" w:eastAsia="Arial" w:hAnsi="Arial"/>
                <w:sz w:val="10"/>
                <w:szCs w:val="10"/>
                <w:color w:val="auto"/>
              </w:rPr>
              <w:t>At January 1</w:t>
            </w:r>
          </w:p>
        </w:tc>
        <w:tc>
          <w:tcPr>
            <w:tcW w:w="14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16,379</w:t>
            </w:r>
          </w:p>
        </w:tc>
        <w:tc>
          <w:tcPr>
            <w:tcW w:w="1340" w:type="dxa"/>
            <w:vAlign w:val="bottom"/>
          </w:tcPr>
          <w:p>
            <w:pPr>
              <w:jc w:val="right"/>
              <w:spacing w:after="0"/>
              <w:rPr>
                <w:sz w:val="20"/>
                <w:szCs w:val="20"/>
                <w:color w:val="auto"/>
              </w:rPr>
            </w:pPr>
            <w:r>
              <w:rPr>
                <w:rFonts w:ascii="Arial" w:cs="Arial" w:eastAsia="Arial" w:hAnsi="Arial"/>
                <w:sz w:val="10"/>
                <w:szCs w:val="10"/>
                <w:color w:val="auto"/>
              </w:rPr>
              <w:t>10,718</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5,017</w:t>
            </w:r>
          </w:p>
        </w:tc>
        <w:tc>
          <w:tcPr>
            <w:tcW w:w="840" w:type="dxa"/>
            <w:vAlign w:val="bottom"/>
          </w:tcPr>
          <w:p>
            <w:pPr>
              <w:jc w:val="right"/>
              <w:spacing w:after="0"/>
              <w:rPr>
                <w:sz w:val="20"/>
                <w:szCs w:val="20"/>
                <w:color w:val="auto"/>
              </w:rPr>
            </w:pPr>
            <w:r>
              <w:rPr>
                <w:rFonts w:ascii="Arial" w:cs="Arial" w:eastAsia="Arial" w:hAnsi="Arial"/>
                <w:sz w:val="10"/>
                <w:szCs w:val="10"/>
                <w:color w:val="auto"/>
              </w:rPr>
              <w:t>32,114</w:t>
            </w:r>
          </w:p>
        </w:tc>
        <w:tc>
          <w:tcPr>
            <w:tcW w:w="0" w:type="dxa"/>
            <w:vAlign w:val="bottom"/>
          </w:tcPr>
          <w:p>
            <w:pPr>
              <w:spacing w:after="0"/>
              <w:rPr>
                <w:sz w:val="1"/>
                <w:szCs w:val="1"/>
                <w:color w:val="auto"/>
              </w:rPr>
            </w:pPr>
          </w:p>
        </w:tc>
      </w:tr>
      <w:tr>
        <w:trPr>
          <w:trHeight w:val="126"/>
        </w:trPr>
        <w:tc>
          <w:tcPr>
            <w:tcW w:w="4660" w:type="dxa"/>
            <w:vAlign w:val="bottom"/>
          </w:tcPr>
          <w:p>
            <w:pPr>
              <w:ind w:left="120"/>
              <w:spacing w:after="0"/>
              <w:rPr>
                <w:sz w:val="20"/>
                <w:szCs w:val="20"/>
                <w:color w:val="auto"/>
              </w:rPr>
            </w:pPr>
            <w:r>
              <w:rPr>
                <w:rFonts w:ascii="Arial" w:cs="Arial" w:eastAsia="Arial" w:hAnsi="Arial"/>
                <w:sz w:val="10"/>
                <w:szCs w:val="10"/>
                <w:color w:val="auto"/>
              </w:rPr>
              <w:t>Additions</w:t>
            </w:r>
          </w:p>
        </w:tc>
        <w:tc>
          <w:tcPr>
            <w:tcW w:w="1440" w:type="dxa"/>
            <w:vAlign w:val="bottom"/>
          </w:tcPr>
          <w:p>
            <w:pPr>
              <w:jc w:val="right"/>
              <w:ind w:right="112"/>
              <w:spacing w:after="0"/>
              <w:rPr>
                <w:sz w:val="20"/>
                <w:szCs w:val="20"/>
                <w:color w:val="auto"/>
              </w:rPr>
            </w:pPr>
            <w:r>
              <w:rPr>
                <w:rFonts w:ascii="Arial" w:cs="Arial" w:eastAsia="Arial" w:hAnsi="Arial"/>
                <w:sz w:val="10"/>
                <w:szCs w:val="10"/>
                <w:color w:val="auto"/>
              </w:rPr>
              <w:t>5</w:t>
            </w:r>
          </w:p>
        </w:tc>
        <w:tc>
          <w:tcPr>
            <w:tcW w:w="1200" w:type="dxa"/>
            <w:vAlign w:val="bottom"/>
          </w:tcPr>
          <w:p>
            <w:pPr>
              <w:jc w:val="right"/>
              <w:spacing w:after="0"/>
              <w:rPr>
                <w:sz w:val="20"/>
                <w:szCs w:val="20"/>
                <w:color w:val="auto"/>
              </w:rPr>
            </w:pPr>
            <w:r>
              <w:rPr>
                <w:rFonts w:ascii="Arial" w:cs="Arial" w:eastAsia="Arial" w:hAnsi="Arial"/>
                <w:sz w:val="10"/>
                <w:szCs w:val="10"/>
                <w:color w:val="auto"/>
              </w:rPr>
              <w:t>664</w:t>
            </w:r>
          </w:p>
        </w:tc>
        <w:tc>
          <w:tcPr>
            <w:tcW w:w="1340" w:type="dxa"/>
            <w:vAlign w:val="bottom"/>
          </w:tcPr>
          <w:p>
            <w:pPr>
              <w:jc w:val="right"/>
              <w:spacing w:after="0"/>
              <w:rPr>
                <w:sz w:val="20"/>
                <w:szCs w:val="20"/>
                <w:color w:val="auto"/>
              </w:rPr>
            </w:pPr>
            <w:r>
              <w:rPr>
                <w:rFonts w:ascii="Arial" w:cs="Arial" w:eastAsia="Arial" w:hAnsi="Arial"/>
                <w:sz w:val="10"/>
                <w:szCs w:val="10"/>
                <w:color w:val="auto"/>
              </w:rPr>
              <w:t>3,124</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917</w:t>
            </w:r>
          </w:p>
        </w:tc>
        <w:tc>
          <w:tcPr>
            <w:tcW w:w="840" w:type="dxa"/>
            <w:vAlign w:val="bottom"/>
          </w:tcPr>
          <w:p>
            <w:pPr>
              <w:jc w:val="right"/>
              <w:spacing w:after="0"/>
              <w:rPr>
                <w:sz w:val="20"/>
                <w:szCs w:val="20"/>
                <w:color w:val="auto"/>
              </w:rPr>
            </w:pPr>
            <w:r>
              <w:rPr>
                <w:rFonts w:ascii="Arial" w:cs="Arial" w:eastAsia="Arial" w:hAnsi="Arial"/>
                <w:sz w:val="10"/>
                <w:szCs w:val="10"/>
                <w:color w:val="auto"/>
              </w:rPr>
              <w:t>4,710</w:t>
            </w:r>
          </w:p>
        </w:tc>
        <w:tc>
          <w:tcPr>
            <w:tcW w:w="0" w:type="dxa"/>
            <w:vAlign w:val="bottom"/>
          </w:tcPr>
          <w:p>
            <w:pPr>
              <w:spacing w:after="0"/>
              <w:rPr>
                <w:sz w:val="1"/>
                <w:szCs w:val="1"/>
                <w:color w:val="auto"/>
              </w:rPr>
            </w:pPr>
          </w:p>
        </w:tc>
      </w:tr>
      <w:tr>
        <w:trPr>
          <w:trHeight w:val="126"/>
        </w:trPr>
        <w:tc>
          <w:tcPr>
            <w:tcW w:w="4660" w:type="dxa"/>
            <w:vAlign w:val="bottom"/>
          </w:tcPr>
          <w:p>
            <w:pPr>
              <w:ind w:left="120"/>
              <w:spacing w:after="0"/>
              <w:rPr>
                <w:sz w:val="20"/>
                <w:szCs w:val="20"/>
                <w:color w:val="auto"/>
              </w:rPr>
            </w:pPr>
            <w:r>
              <w:rPr>
                <w:rFonts w:ascii="Arial" w:cs="Arial" w:eastAsia="Arial" w:hAnsi="Arial"/>
                <w:sz w:val="10"/>
                <w:szCs w:val="10"/>
                <w:color w:val="auto"/>
              </w:rPr>
              <w:t>Sales, retirements and other movements</w:t>
            </w:r>
          </w:p>
        </w:tc>
        <w:tc>
          <w:tcPr>
            <w:tcW w:w="14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(1,867)</w:t>
            </w:r>
          </w:p>
        </w:tc>
        <w:tc>
          <w:tcPr>
            <w:tcW w:w="1340" w:type="dxa"/>
            <w:vAlign w:val="bottom"/>
          </w:tcPr>
          <w:p>
            <w:pPr>
              <w:jc w:val="right"/>
              <w:spacing w:after="0"/>
              <w:rPr>
                <w:sz w:val="20"/>
                <w:szCs w:val="20"/>
                <w:color w:val="auto"/>
              </w:rPr>
            </w:pPr>
            <w:r>
              <w:rPr>
                <w:rFonts w:ascii="Arial" w:cs="Arial" w:eastAsia="Arial" w:hAnsi="Arial"/>
                <w:sz w:val="10"/>
                <w:szCs w:val="10"/>
                <w:color w:val="auto"/>
              </w:rPr>
              <w:t>(268)</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(157)</w:t>
            </w:r>
          </w:p>
        </w:tc>
        <w:tc>
          <w:tcPr>
            <w:tcW w:w="840" w:type="dxa"/>
            <w:vAlign w:val="bottom"/>
          </w:tcPr>
          <w:p>
            <w:pPr>
              <w:jc w:val="right"/>
              <w:spacing w:after="0"/>
              <w:rPr>
                <w:sz w:val="20"/>
                <w:szCs w:val="20"/>
                <w:color w:val="auto"/>
              </w:rPr>
            </w:pPr>
            <w:r>
              <w:rPr>
                <w:rFonts w:ascii="Arial" w:cs="Arial" w:eastAsia="Arial" w:hAnsi="Arial"/>
                <w:sz w:val="10"/>
                <w:szCs w:val="10"/>
                <w:color w:val="auto"/>
              </w:rPr>
              <w:t>(2,292)</w:t>
            </w:r>
          </w:p>
        </w:tc>
        <w:tc>
          <w:tcPr>
            <w:tcW w:w="0" w:type="dxa"/>
            <w:vAlign w:val="bottom"/>
          </w:tcPr>
          <w:p>
            <w:pPr>
              <w:spacing w:after="0"/>
              <w:rPr>
                <w:sz w:val="1"/>
                <w:szCs w:val="1"/>
                <w:color w:val="auto"/>
              </w:rPr>
            </w:pPr>
          </w:p>
        </w:tc>
      </w:tr>
      <w:tr>
        <w:trPr>
          <w:trHeight w:val="130"/>
        </w:trPr>
        <w:tc>
          <w:tcPr>
            <w:tcW w:w="466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Currency translation differences</w:t>
            </w: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17"/>
        </w:trPr>
        <w:tc>
          <w:tcPr>
            <w:tcW w:w="4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15,213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13,574</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5,759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34,551</w:t>
            </w:r>
          </w:p>
        </w:tc>
        <w:tc>
          <w:tcPr>
            <w:tcW w:w="0" w:type="dxa"/>
            <w:vAlign w:val="bottom"/>
          </w:tcPr>
          <w:p>
            <w:pPr>
              <w:spacing w:after="0"/>
              <w:rPr>
                <w:sz w:val="1"/>
                <w:szCs w:val="1"/>
                <w:color w:val="auto"/>
              </w:rPr>
            </w:pPr>
          </w:p>
        </w:tc>
      </w:tr>
      <w:tr>
        <w:trPr>
          <w:trHeight w:val="113"/>
        </w:trPr>
        <w:tc>
          <w:tcPr>
            <w:tcW w:w="4660" w:type="dxa"/>
            <w:vAlign w:val="bottom"/>
          </w:tcPr>
          <w:p>
            <w:pPr>
              <w:spacing w:after="0" w:line="113" w:lineRule="exact"/>
              <w:rPr>
                <w:sz w:val="20"/>
                <w:szCs w:val="20"/>
                <w:color w:val="auto"/>
              </w:rPr>
            </w:pPr>
            <w:r>
              <w:rPr>
                <w:rFonts w:ascii="Arial" w:cs="Arial" w:eastAsia="Arial" w:hAnsi="Arial"/>
                <w:sz w:val="10"/>
                <w:szCs w:val="10"/>
                <w:color w:val="auto"/>
              </w:rPr>
              <w:t>Depreciation, depletion and amortisation, including impairments</w:t>
            </w:r>
          </w:p>
        </w:tc>
        <w:tc>
          <w:tcPr>
            <w:tcW w:w="1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660" w:type="dxa"/>
            <w:vAlign w:val="bottom"/>
          </w:tcPr>
          <w:p>
            <w:pPr>
              <w:ind w:left="120"/>
              <w:spacing w:after="0"/>
              <w:rPr>
                <w:sz w:val="20"/>
                <w:szCs w:val="20"/>
                <w:color w:val="auto"/>
              </w:rPr>
            </w:pPr>
            <w:r>
              <w:rPr>
                <w:rFonts w:ascii="Arial" w:cs="Arial" w:eastAsia="Arial" w:hAnsi="Arial"/>
                <w:sz w:val="10"/>
                <w:szCs w:val="10"/>
                <w:color w:val="auto"/>
              </w:rPr>
              <w:t>At January 1</w:t>
            </w:r>
          </w:p>
        </w:tc>
        <w:tc>
          <w:tcPr>
            <w:tcW w:w="14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5,209</w:t>
            </w:r>
          </w:p>
        </w:tc>
        <w:tc>
          <w:tcPr>
            <w:tcW w:w="1340" w:type="dxa"/>
            <w:vAlign w:val="bottom"/>
          </w:tcPr>
          <w:p>
            <w:pPr>
              <w:jc w:val="right"/>
              <w:spacing w:after="0"/>
              <w:rPr>
                <w:sz w:val="20"/>
                <w:szCs w:val="20"/>
                <w:color w:val="auto"/>
              </w:rPr>
            </w:pPr>
            <w:r>
              <w:rPr>
                <w:rFonts w:ascii="Arial" w:cs="Arial" w:eastAsia="Arial" w:hAnsi="Arial"/>
                <w:sz w:val="10"/>
                <w:szCs w:val="10"/>
                <w:color w:val="auto"/>
              </w:rPr>
              <w:t>1,110</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589</w:t>
            </w:r>
          </w:p>
        </w:tc>
        <w:tc>
          <w:tcPr>
            <w:tcW w:w="840" w:type="dxa"/>
            <w:vAlign w:val="bottom"/>
          </w:tcPr>
          <w:p>
            <w:pPr>
              <w:jc w:val="right"/>
              <w:spacing w:after="0"/>
              <w:rPr>
                <w:sz w:val="20"/>
                <w:szCs w:val="20"/>
                <w:color w:val="auto"/>
              </w:rPr>
            </w:pPr>
            <w:r>
              <w:rPr>
                <w:rFonts w:ascii="Arial" w:cs="Arial" w:eastAsia="Arial" w:hAnsi="Arial"/>
                <w:sz w:val="10"/>
                <w:szCs w:val="10"/>
                <w:color w:val="auto"/>
              </w:rPr>
              <w:t>6,908</w:t>
            </w:r>
          </w:p>
        </w:tc>
        <w:tc>
          <w:tcPr>
            <w:tcW w:w="0" w:type="dxa"/>
            <w:vAlign w:val="bottom"/>
          </w:tcPr>
          <w:p>
            <w:pPr>
              <w:spacing w:after="0"/>
              <w:rPr>
                <w:sz w:val="1"/>
                <w:szCs w:val="1"/>
                <w:color w:val="auto"/>
              </w:rPr>
            </w:pPr>
          </w:p>
        </w:tc>
      </w:tr>
      <w:tr>
        <w:trPr>
          <w:trHeight w:val="126"/>
        </w:trPr>
        <w:tc>
          <w:tcPr>
            <w:tcW w:w="4660" w:type="dxa"/>
            <w:vAlign w:val="bottom"/>
          </w:tcPr>
          <w:p>
            <w:pPr>
              <w:ind w:left="120"/>
              <w:spacing w:after="0"/>
              <w:rPr>
                <w:sz w:val="20"/>
                <w:szCs w:val="20"/>
                <w:color w:val="auto"/>
              </w:rPr>
            </w:pPr>
            <w:r>
              <w:rPr>
                <w:rFonts w:ascii="Arial" w:cs="Arial" w:eastAsia="Arial" w:hAnsi="Arial"/>
                <w:sz w:val="10"/>
                <w:szCs w:val="10"/>
                <w:color w:val="auto"/>
              </w:rPr>
              <w:t>Charge for the year</w:t>
            </w:r>
          </w:p>
        </w:tc>
        <w:tc>
          <w:tcPr>
            <w:tcW w:w="14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1,632</w:t>
            </w:r>
          </w:p>
        </w:tc>
        <w:tc>
          <w:tcPr>
            <w:tcW w:w="1340" w:type="dxa"/>
            <w:vAlign w:val="bottom"/>
          </w:tcPr>
          <w:p>
            <w:pPr>
              <w:jc w:val="right"/>
              <w:spacing w:after="0"/>
              <w:rPr>
                <w:sz w:val="20"/>
                <w:szCs w:val="20"/>
                <w:color w:val="auto"/>
              </w:rPr>
            </w:pPr>
            <w:r>
              <w:rPr>
                <w:rFonts w:ascii="Arial" w:cs="Arial" w:eastAsia="Arial" w:hAnsi="Arial"/>
                <w:sz w:val="10"/>
                <w:szCs w:val="10"/>
                <w:color w:val="auto"/>
              </w:rPr>
              <w:t>1,855</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703</w:t>
            </w:r>
          </w:p>
        </w:tc>
        <w:tc>
          <w:tcPr>
            <w:tcW w:w="840" w:type="dxa"/>
            <w:vAlign w:val="bottom"/>
          </w:tcPr>
          <w:p>
            <w:pPr>
              <w:jc w:val="right"/>
              <w:spacing w:after="0"/>
              <w:rPr>
                <w:sz w:val="20"/>
                <w:szCs w:val="20"/>
                <w:color w:val="auto"/>
              </w:rPr>
            </w:pPr>
            <w:r>
              <w:rPr>
                <w:rFonts w:ascii="Arial" w:cs="Arial" w:eastAsia="Arial" w:hAnsi="Arial"/>
                <w:sz w:val="10"/>
                <w:szCs w:val="10"/>
                <w:color w:val="auto"/>
              </w:rPr>
              <w:t>4,190</w:t>
            </w:r>
          </w:p>
        </w:tc>
        <w:tc>
          <w:tcPr>
            <w:tcW w:w="0" w:type="dxa"/>
            <w:vAlign w:val="bottom"/>
          </w:tcPr>
          <w:p>
            <w:pPr>
              <w:spacing w:after="0"/>
              <w:rPr>
                <w:sz w:val="1"/>
                <w:szCs w:val="1"/>
                <w:color w:val="auto"/>
              </w:rPr>
            </w:pPr>
          </w:p>
        </w:tc>
      </w:tr>
      <w:tr>
        <w:trPr>
          <w:trHeight w:val="126"/>
        </w:trPr>
        <w:tc>
          <w:tcPr>
            <w:tcW w:w="4660" w:type="dxa"/>
            <w:vAlign w:val="bottom"/>
          </w:tcPr>
          <w:p>
            <w:pPr>
              <w:ind w:left="120"/>
              <w:spacing w:after="0"/>
              <w:rPr>
                <w:sz w:val="20"/>
                <w:szCs w:val="20"/>
                <w:color w:val="auto"/>
              </w:rPr>
            </w:pPr>
            <w:r>
              <w:rPr>
                <w:rFonts w:ascii="Arial" w:cs="Arial" w:eastAsia="Arial" w:hAnsi="Arial"/>
                <w:sz w:val="10"/>
                <w:szCs w:val="10"/>
                <w:color w:val="auto"/>
              </w:rPr>
              <w:t>Sales, retirements and other movements</w:t>
            </w:r>
          </w:p>
        </w:tc>
        <w:tc>
          <w:tcPr>
            <w:tcW w:w="14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(1,091)</w:t>
            </w:r>
          </w:p>
        </w:tc>
        <w:tc>
          <w:tcPr>
            <w:tcW w:w="1340" w:type="dxa"/>
            <w:vAlign w:val="bottom"/>
          </w:tcPr>
          <w:p>
            <w:pPr>
              <w:jc w:val="right"/>
              <w:spacing w:after="0"/>
              <w:rPr>
                <w:sz w:val="20"/>
                <w:szCs w:val="20"/>
                <w:color w:val="auto"/>
              </w:rPr>
            </w:pPr>
            <w:r>
              <w:rPr>
                <w:rFonts w:ascii="Arial" w:cs="Arial" w:eastAsia="Arial" w:hAnsi="Arial"/>
                <w:sz w:val="10"/>
                <w:szCs w:val="10"/>
                <w:color w:val="auto"/>
              </w:rPr>
              <w:t>(30)</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(128)</w:t>
            </w:r>
          </w:p>
        </w:tc>
        <w:tc>
          <w:tcPr>
            <w:tcW w:w="840" w:type="dxa"/>
            <w:vAlign w:val="bottom"/>
          </w:tcPr>
          <w:p>
            <w:pPr>
              <w:jc w:val="right"/>
              <w:spacing w:after="0"/>
              <w:rPr>
                <w:sz w:val="20"/>
                <w:szCs w:val="20"/>
                <w:color w:val="auto"/>
              </w:rPr>
            </w:pPr>
            <w:r>
              <w:rPr>
                <w:rFonts w:ascii="Arial" w:cs="Arial" w:eastAsia="Arial" w:hAnsi="Arial"/>
                <w:sz w:val="10"/>
                <w:szCs w:val="10"/>
                <w:color w:val="auto"/>
              </w:rPr>
              <w:t>(1,249)</w:t>
            </w:r>
          </w:p>
        </w:tc>
        <w:tc>
          <w:tcPr>
            <w:tcW w:w="0" w:type="dxa"/>
            <w:vAlign w:val="bottom"/>
          </w:tcPr>
          <w:p>
            <w:pPr>
              <w:spacing w:after="0"/>
              <w:rPr>
                <w:sz w:val="1"/>
                <w:szCs w:val="1"/>
                <w:color w:val="auto"/>
              </w:rPr>
            </w:pPr>
          </w:p>
        </w:tc>
      </w:tr>
      <w:tr>
        <w:trPr>
          <w:trHeight w:val="130"/>
        </w:trPr>
        <w:tc>
          <w:tcPr>
            <w:tcW w:w="466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Currency translation differences</w:t>
            </w: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17"/>
        </w:trPr>
        <w:tc>
          <w:tcPr>
            <w:tcW w:w="4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5,761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2,936</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1,164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9,861</w:t>
            </w:r>
          </w:p>
        </w:tc>
        <w:tc>
          <w:tcPr>
            <w:tcW w:w="0" w:type="dxa"/>
            <w:vAlign w:val="bottom"/>
          </w:tcPr>
          <w:p>
            <w:pPr>
              <w:spacing w:after="0"/>
              <w:rPr>
                <w:sz w:val="1"/>
                <w:szCs w:val="1"/>
                <w:color w:val="auto"/>
              </w:rPr>
            </w:pPr>
          </w:p>
        </w:tc>
      </w:tr>
      <w:tr>
        <w:trPr>
          <w:trHeight w:val="113"/>
        </w:trPr>
        <w:tc>
          <w:tcPr>
            <w:tcW w:w="4660" w:type="dxa"/>
            <w:vAlign w:val="bottom"/>
          </w:tcPr>
          <w:p>
            <w:pPr>
              <w:spacing w:after="0" w:line="113" w:lineRule="exact"/>
              <w:rPr>
                <w:sz w:val="20"/>
                <w:szCs w:val="20"/>
                <w:color w:val="auto"/>
              </w:rPr>
            </w:pPr>
            <w:r>
              <w:rPr>
                <w:rFonts w:ascii="Arial" w:cs="Arial" w:eastAsia="Arial" w:hAnsi="Arial"/>
                <w:sz w:val="10"/>
                <w:szCs w:val="10"/>
                <w:color w:val="auto"/>
              </w:rPr>
              <w:t>Carrying amount at December 31</w:t>
            </w:r>
          </w:p>
        </w:tc>
        <w:tc>
          <w:tcPr>
            <w:tcW w:w="1440" w:type="dxa"/>
            <w:vAlign w:val="bottom"/>
          </w:tcPr>
          <w:p>
            <w:pPr>
              <w:jc w:val="right"/>
              <w:ind w:right="112"/>
              <w:spacing w:after="0" w:line="113" w:lineRule="exact"/>
              <w:rPr>
                <w:sz w:val="20"/>
                <w:szCs w:val="20"/>
                <w:color w:val="auto"/>
              </w:rPr>
            </w:pPr>
            <w:r>
              <w:rPr>
                <w:rFonts w:ascii="Arial" w:cs="Arial" w:eastAsia="Arial" w:hAnsi="Arial"/>
                <w:sz w:val="10"/>
                <w:szCs w:val="10"/>
                <w:color w:val="auto"/>
              </w:rPr>
              <w:t>5</w:t>
            </w:r>
          </w:p>
        </w:tc>
        <w:tc>
          <w:tcPr>
            <w:tcW w:w="1200" w:type="dxa"/>
            <w:vAlign w:val="bottom"/>
          </w:tcPr>
          <w:p>
            <w:pPr>
              <w:jc w:val="right"/>
              <w:spacing w:after="0" w:line="113" w:lineRule="exact"/>
              <w:rPr>
                <w:sz w:val="20"/>
                <w:szCs w:val="20"/>
                <w:color w:val="auto"/>
              </w:rPr>
            </w:pPr>
            <w:r>
              <w:rPr>
                <w:rFonts w:ascii="Arial" w:cs="Arial" w:eastAsia="Arial" w:hAnsi="Arial"/>
                <w:sz w:val="10"/>
                <w:szCs w:val="10"/>
                <w:color w:val="auto"/>
              </w:rPr>
              <w:t>9,452</w:t>
            </w:r>
          </w:p>
        </w:tc>
        <w:tc>
          <w:tcPr>
            <w:tcW w:w="1340" w:type="dxa"/>
            <w:vAlign w:val="bottom"/>
          </w:tcPr>
          <w:p>
            <w:pPr>
              <w:jc w:val="right"/>
              <w:spacing w:after="0" w:line="113" w:lineRule="exact"/>
              <w:rPr>
                <w:sz w:val="20"/>
                <w:szCs w:val="20"/>
                <w:color w:val="auto"/>
              </w:rPr>
            </w:pPr>
            <w:r>
              <w:rPr>
                <w:rFonts w:ascii="Arial" w:cs="Arial" w:eastAsia="Arial" w:hAnsi="Arial"/>
                <w:sz w:val="10"/>
                <w:szCs w:val="10"/>
                <w:color w:val="auto"/>
              </w:rPr>
              <w:t>10,638</w:t>
            </w:r>
          </w:p>
        </w:tc>
        <w:tc>
          <w:tcPr>
            <w:tcW w:w="1800" w:type="dxa"/>
            <w:vAlign w:val="bottom"/>
          </w:tcPr>
          <w:p>
            <w:pPr>
              <w:jc w:val="right"/>
              <w:ind w:right="472"/>
              <w:spacing w:after="0" w:line="113" w:lineRule="exact"/>
              <w:rPr>
                <w:sz w:val="20"/>
                <w:szCs w:val="20"/>
                <w:color w:val="auto"/>
              </w:rPr>
            </w:pPr>
            <w:r>
              <w:rPr>
                <w:rFonts w:ascii="Arial" w:cs="Arial" w:eastAsia="Arial" w:hAnsi="Arial"/>
                <w:sz w:val="10"/>
                <w:szCs w:val="10"/>
                <w:color w:val="auto"/>
              </w:rPr>
              <w:t>4,595</w:t>
            </w: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24,690</w:t>
            </w:r>
          </w:p>
        </w:tc>
        <w:tc>
          <w:tcPr>
            <w:tcW w:w="0" w:type="dxa"/>
            <w:vAlign w:val="bottom"/>
          </w:tcPr>
          <w:p>
            <w:pPr>
              <w:spacing w:after="0"/>
              <w:rPr>
                <w:sz w:val="1"/>
                <w:szCs w:val="1"/>
                <w:color w:val="auto"/>
              </w:rPr>
            </w:pPr>
          </w:p>
        </w:tc>
      </w:tr>
      <w:tr>
        <w:trPr>
          <w:trHeight w:val="111"/>
        </w:trPr>
        <w:tc>
          <w:tcPr>
            <w:tcW w:w="4660" w:type="dxa"/>
            <w:vAlign w:val="bottom"/>
            <w:tcBorders>
              <w:bottom w:val="single" w:sz="8" w:color="D9D9D9"/>
            </w:tcBorders>
          </w:tcPr>
          <w:p>
            <w:pPr>
              <w:spacing w:after="0"/>
              <w:rPr>
                <w:sz w:val="9"/>
                <w:szCs w:val="9"/>
                <w:color w:val="auto"/>
              </w:rPr>
            </w:pPr>
          </w:p>
        </w:tc>
        <w:tc>
          <w:tcPr>
            <w:tcW w:w="1440" w:type="dxa"/>
            <w:vAlign w:val="bottom"/>
            <w:tcBorders>
              <w:bottom w:val="single" w:sz="8" w:color="D9D9D9"/>
            </w:tcBorders>
          </w:tcPr>
          <w:p>
            <w:pPr>
              <w:spacing w:after="0"/>
              <w:rPr>
                <w:sz w:val="9"/>
                <w:szCs w:val="9"/>
                <w:color w:val="auto"/>
              </w:rPr>
            </w:pPr>
          </w:p>
        </w:tc>
        <w:tc>
          <w:tcPr>
            <w:tcW w:w="1200" w:type="dxa"/>
            <w:vAlign w:val="bottom"/>
            <w:tcBorders>
              <w:bottom w:val="single" w:sz="8" w:color="D9D9D9"/>
            </w:tcBorders>
          </w:tcPr>
          <w:p>
            <w:pPr>
              <w:spacing w:after="0"/>
              <w:rPr>
                <w:sz w:val="9"/>
                <w:szCs w:val="9"/>
                <w:color w:val="auto"/>
              </w:rPr>
            </w:pPr>
          </w:p>
        </w:tc>
        <w:tc>
          <w:tcPr>
            <w:tcW w:w="1340" w:type="dxa"/>
            <w:vAlign w:val="bottom"/>
            <w:tcBorders>
              <w:bottom w:val="single" w:sz="8" w:color="D9D9D9"/>
            </w:tcBorders>
          </w:tcPr>
          <w:p>
            <w:pPr>
              <w:spacing w:after="0"/>
              <w:rPr>
                <w:sz w:val="9"/>
                <w:szCs w:val="9"/>
                <w:color w:val="auto"/>
              </w:rPr>
            </w:pPr>
          </w:p>
        </w:tc>
        <w:tc>
          <w:tcPr>
            <w:tcW w:w="1800" w:type="dxa"/>
            <w:vAlign w:val="bottom"/>
            <w:tcBorders>
              <w:bottom w:val="single" w:sz="8" w:color="D9D9D9"/>
            </w:tcBorders>
          </w:tcPr>
          <w:p>
            <w:pPr>
              <w:spacing w:after="0"/>
              <w:rPr>
                <w:sz w:val="9"/>
                <w:szCs w:val="9"/>
                <w:color w:val="auto"/>
              </w:rPr>
            </w:pPr>
          </w:p>
        </w:tc>
        <w:tc>
          <w:tcPr>
            <w:tcW w:w="840" w:type="dxa"/>
            <w:vAlign w:val="bottom"/>
            <w:tcBorders>
              <w:bottom w:val="single" w:sz="8" w:color="D9D9D9"/>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660" w:type="dxa"/>
            <w:vAlign w:val="bottom"/>
          </w:tcPr>
          <w:p>
            <w:pPr>
              <w:spacing w:after="0"/>
              <w:rPr>
                <w:sz w:val="20"/>
                <w:szCs w:val="20"/>
                <w:color w:val="auto"/>
              </w:rPr>
            </w:pPr>
            <w:r>
              <w:rPr>
                <w:rFonts w:ascii="Arial" w:cs="Arial" w:eastAsia="Arial" w:hAnsi="Arial"/>
                <w:sz w:val="10"/>
                <w:szCs w:val="10"/>
                <w:color w:val="auto"/>
              </w:rPr>
              <w:t>Impairments</w:t>
            </w:r>
          </w:p>
        </w:tc>
        <w:tc>
          <w:tcPr>
            <w:tcW w:w="1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7"/>
        </w:trPr>
        <w:tc>
          <w:tcPr>
            <w:tcW w:w="46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0" w:type="dxa"/>
            <w:vAlign w:val="bottom"/>
          </w:tcPr>
          <w:p>
            <w:pPr>
              <w:spacing w:after="0"/>
              <w:rPr>
                <w:sz w:val="1"/>
                <w:szCs w:val="1"/>
                <w:color w:val="auto"/>
              </w:rPr>
            </w:pPr>
          </w:p>
        </w:tc>
      </w:tr>
      <w:tr>
        <w:trPr>
          <w:trHeight w:val="114"/>
        </w:trPr>
        <w:tc>
          <w:tcPr>
            <w:tcW w:w="4660" w:type="dxa"/>
            <w:vAlign w:val="bottom"/>
          </w:tcPr>
          <w:p>
            <w:pPr>
              <w:spacing w:after="0"/>
              <w:rPr>
                <w:sz w:val="20"/>
                <w:szCs w:val="20"/>
                <w:color w:val="auto"/>
              </w:rPr>
            </w:pPr>
            <w:r>
              <w:rPr>
                <w:rFonts w:ascii="Arial" w:cs="Arial" w:eastAsia="Arial" w:hAnsi="Arial"/>
                <w:sz w:val="10"/>
                <w:szCs w:val="10"/>
                <w:color w:val="auto"/>
              </w:rPr>
              <w:t>Impairment losses [A]</w:t>
            </w:r>
          </w:p>
        </w:tc>
        <w:tc>
          <w:tcPr>
            <w:tcW w:w="1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40" w:type="dxa"/>
            <w:vAlign w:val="bottom"/>
            <w:shd w:val="clear" w:color="auto" w:fill="D9D9D9"/>
          </w:tcPr>
          <w:p>
            <w:pPr>
              <w:spacing w:after="0"/>
              <w:rPr>
                <w:sz w:val="9"/>
                <w:szCs w:val="9"/>
                <w:color w:val="auto"/>
              </w:rPr>
            </w:pPr>
          </w:p>
        </w:tc>
        <w:tc>
          <w:tcPr>
            <w:tcW w:w="1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660" w:type="dxa"/>
            <w:vAlign w:val="bottom"/>
          </w:tcPr>
          <w:p>
            <w:pPr>
              <w:ind w:left="140"/>
              <w:spacing w:after="0"/>
              <w:rPr>
                <w:sz w:val="20"/>
                <w:szCs w:val="20"/>
                <w:color w:val="auto"/>
              </w:rPr>
            </w:pPr>
            <w:r>
              <w:rPr>
                <w:rFonts w:ascii="Arial" w:cs="Arial" w:eastAsia="Arial" w:hAnsi="Arial"/>
                <w:sz w:val="10"/>
                <w:szCs w:val="10"/>
                <w:color w:val="auto"/>
              </w:rPr>
              <w:t>Exploration and production</w:t>
            </w:r>
          </w:p>
        </w:tc>
        <w:tc>
          <w:tcPr>
            <w:tcW w:w="1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20,155</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2,983</w:t>
            </w:r>
          </w:p>
        </w:tc>
        <w:tc>
          <w:tcPr>
            <w:tcW w:w="840" w:type="dxa"/>
            <w:vAlign w:val="bottom"/>
          </w:tcPr>
          <w:p>
            <w:pPr>
              <w:jc w:val="right"/>
              <w:spacing w:after="0"/>
              <w:rPr>
                <w:sz w:val="20"/>
                <w:szCs w:val="20"/>
                <w:color w:val="auto"/>
              </w:rPr>
            </w:pPr>
            <w:r>
              <w:rPr>
                <w:rFonts w:ascii="Arial" w:cs="Arial" w:eastAsia="Arial" w:hAnsi="Arial"/>
                <w:sz w:val="10"/>
                <w:szCs w:val="10"/>
                <w:color w:val="auto"/>
              </w:rPr>
              <w:t>1,066</w:t>
            </w:r>
          </w:p>
        </w:tc>
        <w:tc>
          <w:tcPr>
            <w:tcW w:w="0" w:type="dxa"/>
            <w:vAlign w:val="bottom"/>
          </w:tcPr>
          <w:p>
            <w:pPr>
              <w:spacing w:after="0"/>
              <w:rPr>
                <w:sz w:val="1"/>
                <w:szCs w:val="1"/>
                <w:color w:val="auto"/>
              </w:rPr>
            </w:pPr>
          </w:p>
        </w:tc>
      </w:tr>
      <w:tr>
        <w:trPr>
          <w:trHeight w:val="126"/>
        </w:trPr>
        <w:tc>
          <w:tcPr>
            <w:tcW w:w="4660" w:type="dxa"/>
            <w:vAlign w:val="bottom"/>
          </w:tcPr>
          <w:p>
            <w:pPr>
              <w:ind w:left="140"/>
              <w:spacing w:after="0"/>
              <w:rPr>
                <w:sz w:val="20"/>
                <w:szCs w:val="20"/>
                <w:color w:val="auto"/>
              </w:rPr>
            </w:pPr>
            <w:r>
              <w:rPr>
                <w:rFonts w:ascii="Arial" w:cs="Arial" w:eastAsia="Arial" w:hAnsi="Arial"/>
                <w:sz w:val="10"/>
                <w:szCs w:val="10"/>
                <w:color w:val="auto"/>
              </w:rPr>
              <w:t>Manufacturing, supply and distribution</w:t>
            </w:r>
          </w:p>
        </w:tc>
        <w:tc>
          <w:tcPr>
            <w:tcW w:w="1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6,490</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654</w:t>
            </w:r>
          </w:p>
        </w:tc>
        <w:tc>
          <w:tcPr>
            <w:tcW w:w="840" w:type="dxa"/>
            <w:vAlign w:val="bottom"/>
          </w:tcPr>
          <w:p>
            <w:pPr>
              <w:jc w:val="right"/>
              <w:spacing w:after="0"/>
              <w:rPr>
                <w:sz w:val="20"/>
                <w:szCs w:val="20"/>
                <w:color w:val="auto"/>
              </w:rPr>
            </w:pPr>
            <w:r>
              <w:rPr>
                <w:rFonts w:ascii="Arial" w:cs="Arial" w:eastAsia="Arial" w:hAnsi="Arial"/>
                <w:sz w:val="10"/>
                <w:szCs w:val="10"/>
                <w:color w:val="auto"/>
              </w:rPr>
              <w:t>441</w:t>
            </w:r>
          </w:p>
        </w:tc>
        <w:tc>
          <w:tcPr>
            <w:tcW w:w="0" w:type="dxa"/>
            <w:vAlign w:val="bottom"/>
          </w:tcPr>
          <w:p>
            <w:pPr>
              <w:spacing w:after="0"/>
              <w:rPr>
                <w:sz w:val="1"/>
                <w:szCs w:val="1"/>
                <w:color w:val="auto"/>
              </w:rPr>
            </w:pPr>
          </w:p>
        </w:tc>
      </w:tr>
      <w:tr>
        <w:trPr>
          <w:trHeight w:val="130"/>
        </w:trPr>
        <w:tc>
          <w:tcPr>
            <w:tcW w:w="466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Other</w:t>
            </w:r>
          </w:p>
        </w:tc>
        <w:tc>
          <w:tcPr>
            <w:tcW w:w="14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31</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17"/>
        </w:trPr>
        <w:tc>
          <w:tcPr>
            <w:tcW w:w="4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4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26,676</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3,639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1,515</w:t>
            </w:r>
          </w:p>
        </w:tc>
        <w:tc>
          <w:tcPr>
            <w:tcW w:w="0" w:type="dxa"/>
            <w:vAlign w:val="bottom"/>
          </w:tcPr>
          <w:p>
            <w:pPr>
              <w:spacing w:after="0"/>
              <w:rPr>
                <w:sz w:val="1"/>
                <w:szCs w:val="1"/>
                <w:color w:val="auto"/>
              </w:rPr>
            </w:pPr>
          </w:p>
        </w:tc>
      </w:tr>
      <w:tr>
        <w:trPr>
          <w:trHeight w:val="113"/>
        </w:trPr>
        <w:tc>
          <w:tcPr>
            <w:tcW w:w="4660" w:type="dxa"/>
            <w:vAlign w:val="bottom"/>
          </w:tcPr>
          <w:p>
            <w:pPr>
              <w:spacing w:after="0" w:line="113" w:lineRule="exact"/>
              <w:rPr>
                <w:sz w:val="20"/>
                <w:szCs w:val="20"/>
                <w:color w:val="auto"/>
              </w:rPr>
            </w:pPr>
            <w:r>
              <w:rPr>
                <w:rFonts w:ascii="Arial" w:cs="Arial" w:eastAsia="Arial" w:hAnsi="Arial"/>
                <w:sz w:val="10"/>
                <w:szCs w:val="10"/>
                <w:color w:val="auto"/>
              </w:rPr>
              <w:t>Impairment reversals [A]</w:t>
            </w:r>
          </w:p>
        </w:tc>
        <w:tc>
          <w:tcPr>
            <w:tcW w:w="1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40" w:type="dxa"/>
            <w:vAlign w:val="bottom"/>
            <w:shd w:val="clear" w:color="auto" w:fill="D9D9D9"/>
          </w:tcPr>
          <w:p>
            <w:pPr>
              <w:spacing w:after="0"/>
              <w:rPr>
                <w:sz w:val="9"/>
                <w:szCs w:val="9"/>
                <w:color w:val="auto"/>
              </w:rPr>
            </w:pPr>
          </w:p>
        </w:tc>
        <w:tc>
          <w:tcPr>
            <w:tcW w:w="1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660" w:type="dxa"/>
            <w:vAlign w:val="bottom"/>
          </w:tcPr>
          <w:p>
            <w:pPr>
              <w:ind w:left="140"/>
              <w:spacing w:after="0"/>
              <w:rPr>
                <w:sz w:val="20"/>
                <w:szCs w:val="20"/>
                <w:color w:val="auto"/>
              </w:rPr>
            </w:pPr>
            <w:r>
              <w:rPr>
                <w:rFonts w:ascii="Arial" w:cs="Arial" w:eastAsia="Arial" w:hAnsi="Arial"/>
                <w:sz w:val="10"/>
                <w:szCs w:val="10"/>
                <w:color w:val="auto"/>
              </w:rPr>
              <w:t>Exploration and production</w:t>
            </w:r>
          </w:p>
        </w:tc>
        <w:tc>
          <w:tcPr>
            <w:tcW w:w="1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1,265</w:t>
            </w:r>
          </w:p>
        </w:tc>
        <w:tc>
          <w:tcPr>
            <w:tcW w:w="0" w:type="dxa"/>
            <w:vAlign w:val="bottom"/>
          </w:tcPr>
          <w:p>
            <w:pPr>
              <w:spacing w:after="0"/>
              <w:rPr>
                <w:sz w:val="1"/>
                <w:szCs w:val="1"/>
                <w:color w:val="auto"/>
              </w:rPr>
            </w:pPr>
          </w:p>
        </w:tc>
      </w:tr>
      <w:tr>
        <w:trPr>
          <w:trHeight w:val="130"/>
        </w:trPr>
        <w:tc>
          <w:tcPr>
            <w:tcW w:w="466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Manufacturing, supply and distribution</w:t>
            </w:r>
          </w:p>
        </w:tc>
        <w:tc>
          <w:tcPr>
            <w:tcW w:w="14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190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4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4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190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1,265</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7"/>
          <w:szCs w:val="7"/>
          <w:color w:val="auto"/>
        </w:rPr>
        <w:t>[A] See Note 4.</w:t>
      </w:r>
    </w:p>
    <w:p>
      <w:pPr>
        <w:spacing w:after="0" w:line="148" w:lineRule="exact"/>
        <w:rPr>
          <w:sz w:val="20"/>
          <w:szCs w:val="20"/>
          <w:color w:val="auto"/>
        </w:rPr>
      </w:pPr>
    </w:p>
    <w:p>
      <w:pPr>
        <w:ind w:right="40"/>
        <w:spacing w:after="0" w:line="204" w:lineRule="auto"/>
        <w:rPr>
          <w:sz w:val="20"/>
          <w:szCs w:val="20"/>
          <w:color w:val="auto"/>
        </w:rPr>
      </w:pPr>
      <w:r>
        <w:rPr>
          <w:rFonts w:ascii="Arial" w:cs="Arial" w:eastAsia="Arial" w:hAnsi="Arial"/>
          <w:sz w:val="10"/>
          <w:szCs w:val="10"/>
          <w:color w:val="auto"/>
        </w:rPr>
        <w:t>Impairment losses in 2020 were mainly triggered by Shell's revision of the mid- and long-term commodity price and refining margin outlook reflecting the expected effects of the macroeconomic environment and the COVID-19 pandemic as well as energy market demand and supply fundamentals. The impairment losses for exploration and production assets related primarily to Integrated Gas ($11,539 million), including the Queensland Curtis LNG and Prelude floating LNG operations, and Upstream ($8,629 million), including assets in the Gulf of Mexico, unconventional assets in North America, offshore assets in Brazil and Europe and a project in Nigeria (OPL 245). The impairment losses for manufacturing, supply and distribution related primarily to Oil Products ($6,493 million), including assets in Europe and the shutdown of the Convent refinery in the USA.</w:t>
      </w:r>
    </w:p>
    <w:p>
      <w:pPr>
        <w:spacing w:after="0" w:line="140" w:lineRule="exact"/>
        <w:rPr>
          <w:sz w:val="20"/>
          <w:szCs w:val="20"/>
          <w:color w:val="auto"/>
        </w:rPr>
      </w:pPr>
    </w:p>
    <w:p>
      <w:pPr>
        <w:ind w:right="60"/>
        <w:spacing w:after="0" w:line="234" w:lineRule="auto"/>
        <w:rPr>
          <w:sz w:val="20"/>
          <w:szCs w:val="20"/>
          <w:color w:val="auto"/>
        </w:rPr>
      </w:pPr>
      <w:r>
        <w:rPr>
          <w:rFonts w:ascii="Arial" w:cs="Arial" w:eastAsia="Arial" w:hAnsi="Arial"/>
          <w:sz w:val="10"/>
          <w:szCs w:val="10"/>
          <w:color w:val="auto"/>
        </w:rPr>
        <w:t>Impairment losses in 2019 were mainly triggered by the revision to Shell's long-term oil and gas price outlook and change to future capital expenditure plans. The impairment losses related primarily to Upstream shale and deep-water properties in North and South America, in Integrated Gas to properties in Australia and in Oil Products to the refining portfolio. Impairment losses in 2018 were mainly in Upstream, and principally related to the disposal of Shell’s interests in Norway and Ireland and related to assets in the Gulf of Mexico. Impairment reversals in 2018 were mainly related to assets in North America.</w:t>
      </w:r>
    </w:p>
    <w:p>
      <w:pPr>
        <w:spacing w:after="0" w:line="150" w:lineRule="exact"/>
        <w:rPr>
          <w:sz w:val="20"/>
          <w:szCs w:val="20"/>
          <w:color w:val="auto"/>
        </w:rPr>
      </w:pPr>
    </w:p>
    <w:p>
      <w:pPr>
        <w:ind w:right="220"/>
        <w:spacing w:after="0" w:line="234" w:lineRule="auto"/>
        <w:rPr>
          <w:sz w:val="20"/>
          <w:szCs w:val="20"/>
          <w:color w:val="auto"/>
        </w:rPr>
      </w:pPr>
      <w:r>
        <w:rPr>
          <w:rFonts w:ascii="Arial" w:cs="Arial" w:eastAsia="Arial" w:hAnsi="Arial"/>
          <w:sz w:val="10"/>
          <w:szCs w:val="10"/>
          <w:color w:val="auto"/>
        </w:rPr>
        <w:t>For impairment testing purposes, the respective carrying amounts of property, plant and equipment and intangible assets were compared with their value in use. Cash flow projections used in the determination of value in use were made using management’s forecasts of commodity prices, market supply and demand, potential costs associated with operational GHG emissions, product margins including forecast refining margins and expected production volumes (see Note 2). These cash flows were adjusted for the risks specific to the assets, and therefore these risks were not included in the determination of the discount rate applied. The nominal pre-tax rate applied in 2020 was 6% (2019: 6%; 2018: 6%).</w:t>
      </w:r>
    </w:p>
    <w:p>
      <w:pPr>
        <w:spacing w:after="0" w:line="150" w:lineRule="exact"/>
        <w:rPr>
          <w:sz w:val="20"/>
          <w:szCs w:val="20"/>
          <w:color w:val="auto"/>
        </w:rPr>
      </w:pPr>
    </w:p>
    <w:p>
      <w:pPr>
        <w:ind w:right="220"/>
        <w:spacing w:after="0" w:line="358" w:lineRule="auto"/>
        <w:rPr>
          <w:sz w:val="20"/>
          <w:szCs w:val="20"/>
          <w:color w:val="auto"/>
        </w:rPr>
      </w:pPr>
      <w:r>
        <w:rPr>
          <w:rFonts w:ascii="Arial" w:cs="Arial" w:eastAsia="Arial" w:hAnsi="Arial"/>
          <w:sz w:val="8"/>
          <w:szCs w:val="8"/>
          <w:color w:val="auto"/>
        </w:rPr>
        <w:t>Oil and gas price assumptions applied for impairment testing are reviewed and, where necessary, adjusted on a periodic basis. Reviews include comparison with available market data and forecasts that reflect developments in demand such as global economic growth, technology efficiency, policy measures and, in supply, consideration of investment and resource potential, cost of development of new supply, and behaviour of major resource holders. The near-term commodity price assumptions applied in impairment testing in 2020 were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32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Commodity price assumptions [A]</w:t>
            </w:r>
          </w:p>
        </w:tc>
        <w:tc>
          <w:tcPr>
            <w:tcW w:w="4360" w:type="dxa"/>
            <w:vAlign w:val="bottom"/>
            <w:tcBorders>
              <w:top w:val="single" w:sz="8" w:color="D9D9D9"/>
            </w:tcBorders>
          </w:tcPr>
          <w:p>
            <w:pPr>
              <w:spacing w:after="0"/>
              <w:rPr>
                <w:sz w:val="13"/>
                <w:szCs w:val="13"/>
                <w:color w:val="auto"/>
              </w:rPr>
            </w:pPr>
          </w:p>
        </w:tc>
        <w:tc>
          <w:tcPr>
            <w:tcW w:w="1000" w:type="dxa"/>
            <w:vAlign w:val="bottom"/>
            <w:tcBorders>
              <w:top w:val="single" w:sz="8" w:color="D9D9D9"/>
            </w:tcBorders>
          </w:tcPr>
          <w:p>
            <w:pPr>
              <w:spacing w:after="0"/>
              <w:rPr>
                <w:sz w:val="13"/>
                <w:szCs w:val="13"/>
                <w:color w:val="auto"/>
              </w:rPr>
            </w:pPr>
          </w:p>
        </w:tc>
        <w:tc>
          <w:tcPr>
            <w:tcW w:w="980" w:type="dxa"/>
            <w:vAlign w:val="bottom"/>
            <w:tcBorders>
              <w:top w:val="single" w:sz="8" w:color="D9D9D9"/>
            </w:tcBorders>
          </w:tcPr>
          <w:p>
            <w:pPr>
              <w:spacing w:after="0"/>
              <w:rPr>
                <w:sz w:val="13"/>
                <w:szCs w:val="13"/>
                <w:color w:val="auto"/>
              </w:rPr>
            </w:pPr>
          </w:p>
        </w:tc>
        <w:tc>
          <w:tcPr>
            <w:tcW w:w="620" w:type="dxa"/>
            <w:vAlign w:val="bottom"/>
            <w:tcBorders>
              <w:top w:val="single" w:sz="8" w:color="D9D9D9"/>
            </w:tcBorders>
          </w:tcPr>
          <w:p>
            <w:pPr>
              <w:spacing w:after="0"/>
              <w:rPr>
                <w:sz w:val="13"/>
                <w:szCs w:val="13"/>
                <w:color w:val="auto"/>
              </w:rPr>
            </w:pPr>
          </w:p>
        </w:tc>
        <w:tc>
          <w:tcPr>
            <w:tcW w:w="20" w:type="dxa"/>
            <w:vAlign w:val="bottom"/>
          </w:tcPr>
          <w:p>
            <w:pPr>
              <w:spacing w:after="0"/>
              <w:rPr>
                <w:sz w:val="13"/>
                <w:szCs w:val="13"/>
                <w:color w:val="auto"/>
              </w:rPr>
            </w:pPr>
          </w:p>
        </w:tc>
      </w:tr>
      <w:tr>
        <w:trPr>
          <w:trHeight w:val="127"/>
        </w:trPr>
        <w:tc>
          <w:tcPr>
            <w:tcW w:w="4320" w:type="dxa"/>
            <w:vAlign w:val="bottom"/>
            <w:tcBorders>
              <w:bottom w:val="single" w:sz="8" w:color="auto"/>
            </w:tcBorders>
          </w:tcPr>
          <w:p>
            <w:pPr>
              <w:spacing w:after="0"/>
              <w:rPr>
                <w:sz w:val="11"/>
                <w:szCs w:val="11"/>
                <w:color w:val="auto"/>
              </w:rPr>
            </w:pPr>
          </w:p>
        </w:tc>
        <w:tc>
          <w:tcPr>
            <w:tcW w:w="4360" w:type="dxa"/>
            <w:vAlign w:val="bottom"/>
            <w:tcBorders>
              <w:bottom w:val="single" w:sz="8" w:color="auto"/>
            </w:tcBorders>
          </w:tcPr>
          <w:p>
            <w:pPr>
              <w:jc w:val="right"/>
              <w:ind w:right="355"/>
              <w:spacing w:after="0"/>
              <w:rPr>
                <w:sz w:val="20"/>
                <w:szCs w:val="20"/>
                <w:color w:val="auto"/>
              </w:rPr>
            </w:pPr>
            <w:r>
              <w:rPr>
                <w:rFonts w:ascii="Arial" w:cs="Arial" w:eastAsia="Arial" w:hAnsi="Arial"/>
                <w:sz w:val="10"/>
                <w:szCs w:val="10"/>
                <w:color w:val="auto"/>
              </w:rPr>
              <w:t>2021</w:t>
            </w: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2022</w:t>
            </w: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2023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2024</w:t>
            </w:r>
          </w:p>
        </w:tc>
        <w:tc>
          <w:tcPr>
            <w:tcW w:w="20" w:type="dxa"/>
            <w:vAlign w:val="bottom"/>
          </w:tcPr>
          <w:p>
            <w:pPr>
              <w:spacing w:after="0"/>
              <w:rPr>
                <w:sz w:val="11"/>
                <w:szCs w:val="11"/>
                <w:color w:val="auto"/>
              </w:rPr>
            </w:pPr>
          </w:p>
        </w:tc>
      </w:tr>
      <w:tr>
        <w:trPr>
          <w:trHeight w:val="114"/>
        </w:trPr>
        <w:tc>
          <w:tcPr>
            <w:tcW w:w="4320" w:type="dxa"/>
            <w:vAlign w:val="bottom"/>
          </w:tcPr>
          <w:p>
            <w:pPr>
              <w:spacing w:after="0"/>
              <w:rPr>
                <w:sz w:val="20"/>
                <w:szCs w:val="20"/>
                <w:color w:val="auto"/>
              </w:rPr>
            </w:pPr>
            <w:r>
              <w:rPr>
                <w:rFonts w:ascii="Arial" w:cs="Arial" w:eastAsia="Arial" w:hAnsi="Arial"/>
                <w:sz w:val="10"/>
                <w:szCs w:val="10"/>
                <w:color w:val="auto"/>
              </w:rPr>
              <w:t>Brent crude oil ($/b)</w:t>
            </w:r>
          </w:p>
        </w:tc>
        <w:tc>
          <w:tcPr>
            <w:tcW w:w="4360" w:type="dxa"/>
            <w:vAlign w:val="bottom"/>
          </w:tcPr>
          <w:p>
            <w:pPr>
              <w:jc w:val="right"/>
              <w:ind w:right="375"/>
              <w:spacing w:after="0"/>
              <w:rPr>
                <w:sz w:val="20"/>
                <w:szCs w:val="20"/>
                <w:color w:val="auto"/>
              </w:rPr>
            </w:pPr>
            <w:r>
              <w:rPr>
                <w:rFonts w:ascii="Arial" w:cs="Arial" w:eastAsia="Arial" w:hAnsi="Arial"/>
                <w:sz w:val="10"/>
                <w:szCs w:val="10"/>
                <w:color w:val="auto"/>
              </w:rPr>
              <w:t>40</w:t>
            </w:r>
          </w:p>
        </w:tc>
        <w:tc>
          <w:tcPr>
            <w:tcW w:w="1000" w:type="dxa"/>
            <w:vAlign w:val="bottom"/>
          </w:tcPr>
          <w:p>
            <w:pPr>
              <w:jc w:val="right"/>
              <w:ind w:right="392"/>
              <w:spacing w:after="0"/>
              <w:rPr>
                <w:sz w:val="20"/>
                <w:szCs w:val="20"/>
                <w:color w:val="auto"/>
              </w:rPr>
            </w:pPr>
            <w:r>
              <w:rPr>
                <w:rFonts w:ascii="Arial" w:cs="Arial" w:eastAsia="Arial" w:hAnsi="Arial"/>
                <w:sz w:val="10"/>
                <w:szCs w:val="10"/>
                <w:color w:val="auto"/>
              </w:rPr>
              <w:t>50</w:t>
            </w:r>
          </w:p>
        </w:tc>
        <w:tc>
          <w:tcPr>
            <w:tcW w:w="980" w:type="dxa"/>
            <w:vAlign w:val="bottom"/>
          </w:tcPr>
          <w:p>
            <w:pPr>
              <w:jc w:val="right"/>
              <w:ind w:right="372"/>
              <w:spacing w:after="0"/>
              <w:rPr>
                <w:sz w:val="20"/>
                <w:szCs w:val="20"/>
                <w:color w:val="auto"/>
              </w:rPr>
            </w:pPr>
            <w:r>
              <w:rPr>
                <w:rFonts w:ascii="Arial" w:cs="Arial" w:eastAsia="Arial" w:hAnsi="Arial"/>
                <w:sz w:val="10"/>
                <w:szCs w:val="10"/>
                <w:color w:val="auto"/>
              </w:rPr>
              <w:t>60</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63</w:t>
            </w:r>
          </w:p>
        </w:tc>
        <w:tc>
          <w:tcPr>
            <w:tcW w:w="20" w:type="dxa"/>
            <w:vAlign w:val="bottom"/>
          </w:tcPr>
          <w:p>
            <w:pPr>
              <w:spacing w:after="0"/>
              <w:rPr>
                <w:sz w:val="9"/>
                <w:szCs w:val="9"/>
                <w:color w:val="auto"/>
              </w:rPr>
            </w:pPr>
          </w:p>
        </w:tc>
      </w:tr>
      <w:tr>
        <w:trPr>
          <w:trHeight w:val="127"/>
        </w:trPr>
        <w:tc>
          <w:tcPr>
            <w:tcW w:w="4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Henry Hub natural gas ($/MMBtu)</w:t>
            </w:r>
          </w:p>
        </w:tc>
        <w:tc>
          <w:tcPr>
            <w:tcW w:w="4360" w:type="dxa"/>
            <w:vAlign w:val="bottom"/>
            <w:tcBorders>
              <w:bottom w:val="single" w:sz="8" w:color="auto"/>
            </w:tcBorders>
          </w:tcPr>
          <w:p>
            <w:pPr>
              <w:jc w:val="right"/>
              <w:ind w:right="375"/>
              <w:spacing w:after="0"/>
              <w:rPr>
                <w:sz w:val="20"/>
                <w:szCs w:val="20"/>
                <w:color w:val="auto"/>
              </w:rPr>
            </w:pPr>
            <w:r>
              <w:rPr>
                <w:rFonts w:ascii="Arial" w:cs="Arial" w:eastAsia="Arial" w:hAnsi="Arial"/>
                <w:sz w:val="10"/>
                <w:szCs w:val="10"/>
                <w:color w:val="auto"/>
              </w:rPr>
              <w:t>2.50</w:t>
            </w: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2.50</w:t>
            </w: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2.75</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3.03</w:t>
            </w:r>
          </w:p>
        </w:tc>
        <w:tc>
          <w:tcPr>
            <w:tcW w:w="20" w:type="dxa"/>
            <w:vAlign w:val="bottom"/>
          </w:tcPr>
          <w:p>
            <w:pPr>
              <w:spacing w:after="0"/>
              <w:rPr>
                <w:sz w:val="11"/>
                <w:szCs w:val="11"/>
                <w:color w:val="auto"/>
              </w:rPr>
            </w:pPr>
          </w:p>
        </w:tc>
      </w:tr>
      <w:tr>
        <w:trPr>
          <w:trHeight w:val="139"/>
        </w:trPr>
        <w:tc>
          <w:tcPr>
            <w:tcW w:w="4320" w:type="dxa"/>
            <w:vAlign w:val="bottom"/>
          </w:tcPr>
          <w:p>
            <w:pPr>
              <w:spacing w:after="0"/>
              <w:rPr>
                <w:sz w:val="20"/>
                <w:szCs w:val="20"/>
                <w:color w:val="auto"/>
              </w:rPr>
            </w:pPr>
            <w:r>
              <w:rPr>
                <w:rFonts w:ascii="Arial" w:cs="Arial" w:eastAsia="Arial" w:hAnsi="Arial"/>
                <w:sz w:val="7"/>
                <w:szCs w:val="7"/>
                <w:color w:val="auto"/>
              </w:rPr>
              <w:t>[A] Money of the day.</w:t>
            </w:r>
          </w:p>
        </w:tc>
        <w:tc>
          <w:tcPr>
            <w:tcW w:w="4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94"/>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4360" w:type="dxa"/>
            <w:vAlign w:val="bottom"/>
          </w:tcPr>
          <w:p>
            <w:pPr>
              <w:jc w:val="right"/>
              <w:ind w:right="2995"/>
              <w:spacing w:after="0"/>
              <w:rPr>
                <w:sz w:val="20"/>
                <w:szCs w:val="20"/>
                <w:color w:val="auto"/>
              </w:rPr>
            </w:pPr>
            <w:r>
              <w:rPr>
                <w:rFonts w:ascii="Arial" w:cs="Arial" w:eastAsia="Arial" w:hAnsi="Arial"/>
                <w:sz w:val="7"/>
                <w:szCs w:val="7"/>
                <w:color w:val="auto"/>
              </w:rPr>
              <w:t>185</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1"/>
        </w:trPr>
        <w:tc>
          <w:tcPr>
            <w:tcW w:w="4320" w:type="dxa"/>
            <w:vAlign w:val="bottom"/>
            <w:tcBorders>
              <w:bottom w:val="single" w:sz="8" w:color="9A9A9A"/>
            </w:tcBorders>
          </w:tcPr>
          <w:p>
            <w:pPr>
              <w:spacing w:after="0"/>
              <w:rPr>
                <w:sz w:val="13"/>
                <w:szCs w:val="13"/>
                <w:color w:val="auto"/>
              </w:rPr>
            </w:pPr>
          </w:p>
        </w:tc>
        <w:tc>
          <w:tcPr>
            <w:tcW w:w="43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188" w:name="page189"/>
    <w:bookmarkEnd w:id="188"/>
    <w:p>
      <w:pPr>
        <w:spacing w:after="0"/>
        <w:rPr>
          <w:sz w:val="20"/>
          <w:szCs w:val="20"/>
          <w:color w:val="auto"/>
        </w:rPr>
      </w:pPr>
      <w:r>
        <w:rPr>
          <w:rFonts w:ascii="Arial" w:cs="Arial" w:eastAsia="Arial" w:hAnsi="Arial"/>
          <w:sz w:val="10"/>
          <w:szCs w:val="10"/>
          <w:color w:val="auto"/>
        </w:rPr>
        <w:t>For periods after 2024, the real-terms long-term price assumptions applied were $60 per barrel (/b) (2019: $60/b)for Brent crude oil and $3.00 per million British thermal units (/MMBtu) (2019: $3.00</w:t>
      </w:r>
      <w:r>
        <w:rPr>
          <w:rFonts w:ascii="Arial" w:cs="Arial" w:eastAsia="Arial" w:hAnsi="Arial"/>
          <w:sz w:val="11"/>
          <w:szCs w:val="11"/>
          <w:color w:val="auto"/>
        </w:rPr>
        <w:t>/</w:t>
      </w:r>
      <w:r>
        <w:rPr>
          <w:rFonts w:ascii="Arial" w:cs="Arial" w:eastAsia="Arial" w:hAnsi="Arial"/>
          <w:sz w:val="10"/>
          <w:szCs w:val="10"/>
          <w:color w:val="auto"/>
        </w:rPr>
        <w:t>MMBtu) for Henry Hub natural gas, both at real term 2020.</w:t>
      </w:r>
    </w:p>
    <w:p>
      <w:pPr>
        <w:spacing w:after="0" w:line="149" w:lineRule="exact"/>
        <w:rPr>
          <w:sz w:val="20"/>
          <w:szCs w:val="20"/>
          <w:color w:val="auto"/>
        </w:rPr>
      </w:pPr>
    </w:p>
    <w:p>
      <w:pPr>
        <w:ind w:right="40"/>
        <w:spacing w:after="0" w:line="209" w:lineRule="auto"/>
        <w:rPr>
          <w:sz w:val="20"/>
          <w:szCs w:val="20"/>
          <w:color w:val="auto"/>
        </w:rPr>
      </w:pPr>
      <w:r>
        <w:rPr>
          <w:rFonts w:ascii="Arial" w:cs="Arial" w:eastAsia="Arial" w:hAnsi="Arial"/>
          <w:sz w:val="10"/>
          <w:szCs w:val="10"/>
          <w:color w:val="auto"/>
        </w:rPr>
        <w:t>Until 2019 management’s estimate of longer-term refining margins in Oil Products was based on the reversion to mean methodology, unless a fundamental shift in markets had been identified, over the life of the refineries. Under this approach, it was assumed that refining margins will revert to historical averages over time. As from 2020, a different price methodology has been applied, based on management's understanding and interpretation of demand and supply fundamentals in the near term and taking into account various other factors such as industry rationalisation and energy transition in the long term. This resulted in a downward revision of average long-term refining margins by around 30% from previous assumptions applied.</w:t>
      </w:r>
    </w:p>
    <w:p>
      <w:pPr>
        <w:spacing w:after="0" w:line="141" w:lineRule="exact"/>
        <w:rPr>
          <w:sz w:val="20"/>
          <w:szCs w:val="20"/>
          <w:color w:val="auto"/>
        </w:rPr>
      </w:pPr>
    </w:p>
    <w:p>
      <w:pPr>
        <w:ind w:right="320"/>
        <w:spacing w:after="0" w:line="230" w:lineRule="auto"/>
        <w:rPr>
          <w:sz w:val="20"/>
          <w:szCs w:val="20"/>
          <w:color w:val="auto"/>
        </w:rPr>
      </w:pPr>
      <w:r>
        <w:rPr>
          <w:rFonts w:ascii="Arial" w:cs="Arial" w:eastAsia="Arial" w:hAnsi="Arial"/>
          <w:sz w:val="10"/>
          <w:szCs w:val="10"/>
          <w:color w:val="auto"/>
        </w:rPr>
        <w:t>Some 53% of the Group’s combined “Property, plant and equipment", "Investments in Joint Ventures and Associates" and "Intangible assets” were tested for impairment in 2020. Of the assets tested, some 56% were subject to either partial or full impairments. At December 31, 2020, the recoverable amounts principally determined through value in use of assets subject to impairment were $17.2 billion for Integrated Gas, $39.1 billion for Upstream and $1.8 billion for Oil Products respectively.</w:t>
      </w:r>
    </w:p>
    <w:p>
      <w:pPr>
        <w:spacing w:after="0" w:line="140" w:lineRule="exact"/>
        <w:rPr>
          <w:sz w:val="20"/>
          <w:szCs w:val="20"/>
          <w:color w:val="auto"/>
        </w:rPr>
      </w:pPr>
    </w:p>
    <w:p>
      <w:pPr>
        <w:ind w:right="80"/>
        <w:spacing w:after="0" w:line="335" w:lineRule="auto"/>
        <w:rPr>
          <w:sz w:val="20"/>
          <w:szCs w:val="20"/>
          <w:color w:val="auto"/>
        </w:rPr>
      </w:pPr>
      <w:r>
        <w:rPr>
          <w:rFonts w:ascii="Arial" w:cs="Arial" w:eastAsia="Arial" w:hAnsi="Arial"/>
          <w:sz w:val="8"/>
          <w:szCs w:val="8"/>
          <w:color w:val="auto"/>
        </w:rPr>
        <w:t>The main sensitivities in relation to impairment are the commodity price assumptions in Integrated Gas and Upstream and refining margins in Oil Products. A change of -10% or +10% of the commodity price assumptions would ceteris paribus result in some $6.0-$8.0 billion impairment or of some $6.0-$9.0 billion impairment reversal respectively in Integrated Gas and Upstream. A change of -10% or +10% in long-term refining margins would ceteris paribus result in some $1.5-$2.5 billion impairment or some $1.7-$2.7 billion impairment reversal respectively in Oil Products.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98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Capitalised exploration drilling costs</w:t>
            </w:r>
          </w:p>
        </w:tc>
        <w:tc>
          <w:tcPr>
            <w:tcW w:w="1320" w:type="dxa"/>
            <w:vAlign w:val="bottom"/>
            <w:tcBorders>
              <w:top w:val="single" w:sz="8" w:color="D9D9D9"/>
            </w:tcBorders>
          </w:tcPr>
          <w:p>
            <w:pPr>
              <w:spacing w:after="0"/>
              <w:rPr>
                <w:sz w:val="13"/>
                <w:szCs w:val="13"/>
                <w:color w:val="auto"/>
              </w:rPr>
            </w:pPr>
          </w:p>
        </w:tc>
        <w:tc>
          <w:tcPr>
            <w:tcW w:w="1340" w:type="dxa"/>
            <w:vAlign w:val="bottom"/>
            <w:tcBorders>
              <w:top w:val="single" w:sz="8" w:color="D9D9D9"/>
            </w:tcBorders>
          </w:tcPr>
          <w:p>
            <w:pPr>
              <w:spacing w:after="0"/>
              <w:rPr>
                <w:sz w:val="13"/>
                <w:szCs w:val="13"/>
                <w:color w:val="auto"/>
              </w:rPr>
            </w:pPr>
          </w:p>
        </w:tc>
        <w:tc>
          <w:tcPr>
            <w:tcW w:w="1800" w:type="dxa"/>
            <w:vAlign w:val="bottom"/>
            <w:tcBorders>
              <w:top w:val="single" w:sz="8" w:color="D9D9D9"/>
            </w:tcBorders>
          </w:tcPr>
          <w:p>
            <w:pPr>
              <w:spacing w:after="0"/>
              <w:rPr>
                <w:sz w:val="13"/>
                <w:szCs w:val="13"/>
                <w:color w:val="auto"/>
              </w:rPr>
            </w:pPr>
          </w:p>
        </w:tc>
        <w:tc>
          <w:tcPr>
            <w:tcW w:w="84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59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5980" w:type="dxa"/>
            <w:vAlign w:val="bottom"/>
          </w:tcPr>
          <w:p>
            <w:pPr>
              <w:spacing w:after="0"/>
              <w:rPr>
                <w:sz w:val="20"/>
                <w:szCs w:val="20"/>
                <w:color w:val="auto"/>
              </w:rPr>
            </w:pPr>
            <w:r>
              <w:rPr>
                <w:rFonts w:ascii="Arial" w:cs="Arial" w:eastAsia="Arial" w:hAnsi="Arial"/>
                <w:sz w:val="10"/>
                <w:szCs w:val="10"/>
                <w:color w:val="auto"/>
              </w:rPr>
              <w:t>At January 1</w:t>
            </w:r>
          </w:p>
        </w:tc>
        <w:tc>
          <w:tcPr>
            <w:tcW w:w="1320" w:type="dxa"/>
            <w:vAlign w:val="bottom"/>
          </w:tcPr>
          <w:p>
            <w:pPr>
              <w:spacing w:after="0"/>
              <w:rPr>
                <w:sz w:val="9"/>
                <w:szCs w:val="9"/>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5,668</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6,629</w:t>
            </w:r>
          </w:p>
        </w:tc>
        <w:tc>
          <w:tcPr>
            <w:tcW w:w="840" w:type="dxa"/>
            <w:vAlign w:val="bottom"/>
          </w:tcPr>
          <w:p>
            <w:pPr>
              <w:jc w:val="right"/>
              <w:spacing w:after="0"/>
              <w:rPr>
                <w:sz w:val="20"/>
                <w:szCs w:val="20"/>
                <w:color w:val="auto"/>
              </w:rPr>
            </w:pPr>
            <w:r>
              <w:rPr>
                <w:rFonts w:ascii="Arial" w:cs="Arial" w:eastAsia="Arial" w:hAnsi="Arial"/>
                <w:sz w:val="10"/>
                <w:szCs w:val="10"/>
                <w:color w:val="auto"/>
              </w:rPr>
              <w:t>6,981</w:t>
            </w:r>
          </w:p>
        </w:tc>
      </w:tr>
      <w:tr>
        <w:trPr>
          <w:trHeight w:val="123"/>
        </w:trPr>
        <w:tc>
          <w:tcPr>
            <w:tcW w:w="5980" w:type="dxa"/>
            <w:vAlign w:val="bottom"/>
          </w:tcPr>
          <w:p>
            <w:pPr>
              <w:spacing w:after="0"/>
              <w:rPr>
                <w:sz w:val="20"/>
                <w:szCs w:val="20"/>
                <w:color w:val="auto"/>
              </w:rPr>
            </w:pPr>
            <w:r>
              <w:rPr>
                <w:rFonts w:ascii="Arial" w:cs="Arial" w:eastAsia="Arial" w:hAnsi="Arial"/>
                <w:sz w:val="10"/>
                <w:szCs w:val="10"/>
                <w:color w:val="auto"/>
              </w:rPr>
              <w:t>Additions pending determination of proved reserves</w:t>
            </w:r>
          </w:p>
        </w:tc>
        <w:tc>
          <w:tcPr>
            <w:tcW w:w="1320" w:type="dxa"/>
            <w:vAlign w:val="bottom"/>
          </w:tcPr>
          <w:p>
            <w:pPr>
              <w:spacing w:after="0"/>
              <w:rPr>
                <w:sz w:val="10"/>
                <w:szCs w:val="10"/>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1,016</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2,036</w:t>
            </w:r>
          </w:p>
        </w:tc>
        <w:tc>
          <w:tcPr>
            <w:tcW w:w="840" w:type="dxa"/>
            <w:vAlign w:val="bottom"/>
          </w:tcPr>
          <w:p>
            <w:pPr>
              <w:jc w:val="right"/>
              <w:spacing w:after="0"/>
              <w:rPr>
                <w:sz w:val="20"/>
                <w:szCs w:val="20"/>
                <w:color w:val="auto"/>
              </w:rPr>
            </w:pPr>
            <w:r>
              <w:rPr>
                <w:rFonts w:ascii="Arial" w:cs="Arial" w:eastAsia="Arial" w:hAnsi="Arial"/>
                <w:sz w:val="10"/>
                <w:szCs w:val="10"/>
                <w:color w:val="auto"/>
              </w:rPr>
              <w:t>2,588</w:t>
            </w:r>
          </w:p>
        </w:tc>
      </w:tr>
      <w:tr>
        <w:trPr>
          <w:trHeight w:val="126"/>
        </w:trPr>
        <w:tc>
          <w:tcPr>
            <w:tcW w:w="5980" w:type="dxa"/>
            <w:vAlign w:val="bottom"/>
          </w:tcPr>
          <w:p>
            <w:pPr>
              <w:spacing w:after="0"/>
              <w:rPr>
                <w:sz w:val="20"/>
                <w:szCs w:val="20"/>
                <w:color w:val="auto"/>
              </w:rPr>
            </w:pPr>
            <w:r>
              <w:rPr>
                <w:rFonts w:ascii="Arial" w:cs="Arial" w:eastAsia="Arial" w:hAnsi="Arial"/>
                <w:sz w:val="10"/>
                <w:szCs w:val="10"/>
                <w:color w:val="auto"/>
              </w:rPr>
              <w:t>Amounts charged to expense</w:t>
            </w:r>
          </w:p>
        </w:tc>
        <w:tc>
          <w:tcPr>
            <w:tcW w:w="1320" w:type="dxa"/>
            <w:vAlign w:val="bottom"/>
          </w:tcPr>
          <w:p>
            <w:pPr>
              <w:spacing w:after="0"/>
              <w:rPr>
                <w:sz w:val="10"/>
                <w:szCs w:val="10"/>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(815)</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(1,218)</w:t>
            </w:r>
          </w:p>
        </w:tc>
        <w:tc>
          <w:tcPr>
            <w:tcW w:w="840" w:type="dxa"/>
            <w:vAlign w:val="bottom"/>
          </w:tcPr>
          <w:p>
            <w:pPr>
              <w:jc w:val="right"/>
              <w:spacing w:after="0"/>
              <w:rPr>
                <w:sz w:val="20"/>
                <w:szCs w:val="20"/>
                <w:color w:val="auto"/>
              </w:rPr>
            </w:pPr>
            <w:r>
              <w:rPr>
                <w:rFonts w:ascii="Arial" w:cs="Arial" w:eastAsia="Arial" w:hAnsi="Arial"/>
                <w:sz w:val="10"/>
                <w:szCs w:val="10"/>
                <w:color w:val="auto"/>
              </w:rPr>
              <w:t>(449)</w:t>
            </w:r>
          </w:p>
        </w:tc>
      </w:tr>
      <w:tr>
        <w:trPr>
          <w:trHeight w:val="126"/>
        </w:trPr>
        <w:tc>
          <w:tcPr>
            <w:tcW w:w="5980" w:type="dxa"/>
            <w:vAlign w:val="bottom"/>
          </w:tcPr>
          <w:p>
            <w:pPr>
              <w:spacing w:after="0"/>
              <w:rPr>
                <w:sz w:val="20"/>
                <w:szCs w:val="20"/>
                <w:color w:val="auto"/>
              </w:rPr>
            </w:pPr>
            <w:r>
              <w:rPr>
                <w:rFonts w:ascii="Arial" w:cs="Arial" w:eastAsia="Arial" w:hAnsi="Arial"/>
                <w:sz w:val="10"/>
                <w:szCs w:val="10"/>
                <w:color w:val="auto"/>
              </w:rPr>
              <w:t>Reclassifications to productive wells on determination of proved reserves</w:t>
            </w:r>
          </w:p>
        </w:tc>
        <w:tc>
          <w:tcPr>
            <w:tcW w:w="1320" w:type="dxa"/>
            <w:vAlign w:val="bottom"/>
          </w:tcPr>
          <w:p>
            <w:pPr>
              <w:spacing w:after="0"/>
              <w:rPr>
                <w:sz w:val="10"/>
                <w:szCs w:val="10"/>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(1,385)</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(1,655)</w:t>
            </w:r>
          </w:p>
        </w:tc>
        <w:tc>
          <w:tcPr>
            <w:tcW w:w="840" w:type="dxa"/>
            <w:vAlign w:val="bottom"/>
          </w:tcPr>
          <w:p>
            <w:pPr>
              <w:jc w:val="right"/>
              <w:spacing w:after="0"/>
              <w:rPr>
                <w:sz w:val="20"/>
                <w:szCs w:val="20"/>
                <w:color w:val="auto"/>
              </w:rPr>
            </w:pPr>
            <w:r>
              <w:rPr>
                <w:rFonts w:ascii="Arial" w:cs="Arial" w:eastAsia="Arial" w:hAnsi="Arial"/>
                <w:sz w:val="10"/>
                <w:szCs w:val="10"/>
                <w:color w:val="auto"/>
              </w:rPr>
              <w:t>(2,461)</w:t>
            </w:r>
          </w:p>
        </w:tc>
      </w:tr>
      <w:tr>
        <w:trPr>
          <w:trHeight w:val="130"/>
        </w:trPr>
        <w:tc>
          <w:tcPr>
            <w:tcW w:w="59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movements [A]</w:t>
            </w:r>
          </w:p>
        </w:tc>
        <w:tc>
          <w:tcPr>
            <w:tcW w:w="13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(830)</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(124)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w:t>
            </w:r>
          </w:p>
        </w:tc>
      </w:tr>
      <w:tr>
        <w:trPr>
          <w:trHeight w:val="117"/>
        </w:trPr>
        <w:tc>
          <w:tcPr>
            <w:tcW w:w="59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13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3,654</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5,668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6,629</w:t>
            </w:r>
          </w:p>
        </w:tc>
      </w:tr>
      <w:tr>
        <w:trPr>
          <w:trHeight w:val="119"/>
        </w:trPr>
        <w:tc>
          <w:tcPr>
            <w:tcW w:w="5980" w:type="dxa"/>
            <w:vAlign w:val="bottom"/>
          </w:tcPr>
          <w:p>
            <w:pPr>
              <w:spacing w:after="0"/>
              <w:rPr>
                <w:sz w:val="20"/>
                <w:szCs w:val="20"/>
                <w:color w:val="auto"/>
              </w:rPr>
            </w:pPr>
            <w:r>
              <w:rPr>
                <w:rFonts w:ascii="Arial" w:cs="Arial" w:eastAsia="Arial" w:hAnsi="Arial"/>
                <w:sz w:val="7"/>
                <w:szCs w:val="7"/>
                <w:color w:val="auto"/>
              </w:rPr>
              <w:t>[A] Includes $750 million impairment of capitalised exploration drilling costs.</w:t>
            </w:r>
          </w:p>
        </w:tc>
        <w:tc>
          <w:tcPr>
            <w:tcW w:w="13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95"/>
        </w:trPr>
        <w:tc>
          <w:tcPr>
            <w:tcW w:w="5980" w:type="dxa"/>
            <w:vAlign w:val="bottom"/>
            <w:tcBorders>
              <w:bottom w:val="single" w:sz="8" w:color="D9D9D9"/>
            </w:tcBorders>
          </w:tcPr>
          <w:p>
            <w:pPr>
              <w:spacing w:after="0"/>
              <w:rPr>
                <w:sz w:val="8"/>
                <w:szCs w:val="8"/>
                <w:color w:val="auto"/>
              </w:rPr>
            </w:pPr>
          </w:p>
        </w:tc>
        <w:tc>
          <w:tcPr>
            <w:tcW w:w="1320" w:type="dxa"/>
            <w:vAlign w:val="bottom"/>
            <w:tcBorders>
              <w:bottom w:val="single" w:sz="8" w:color="D9D9D9"/>
            </w:tcBorders>
          </w:tcPr>
          <w:p>
            <w:pPr>
              <w:spacing w:after="0"/>
              <w:rPr>
                <w:sz w:val="8"/>
                <w:szCs w:val="8"/>
                <w:color w:val="auto"/>
              </w:rPr>
            </w:pPr>
          </w:p>
        </w:tc>
        <w:tc>
          <w:tcPr>
            <w:tcW w:w="1340" w:type="dxa"/>
            <w:vAlign w:val="bottom"/>
            <w:tcBorders>
              <w:bottom w:val="single" w:sz="8" w:color="D9D9D9"/>
            </w:tcBorders>
          </w:tcPr>
          <w:p>
            <w:pPr>
              <w:spacing w:after="0"/>
              <w:rPr>
                <w:sz w:val="8"/>
                <w:szCs w:val="8"/>
                <w:color w:val="auto"/>
              </w:rPr>
            </w:pPr>
          </w:p>
        </w:tc>
        <w:tc>
          <w:tcPr>
            <w:tcW w:w="1800" w:type="dxa"/>
            <w:vAlign w:val="bottom"/>
            <w:tcBorders>
              <w:bottom w:val="single" w:sz="8" w:color="D9D9D9"/>
            </w:tcBorders>
          </w:tcPr>
          <w:p>
            <w:pPr>
              <w:spacing w:after="0"/>
              <w:rPr>
                <w:sz w:val="8"/>
                <w:szCs w:val="8"/>
                <w:color w:val="auto"/>
              </w:rPr>
            </w:pPr>
          </w:p>
        </w:tc>
        <w:tc>
          <w:tcPr>
            <w:tcW w:w="840" w:type="dxa"/>
            <w:vAlign w:val="bottom"/>
            <w:tcBorders>
              <w:bottom w:val="single" w:sz="8" w:color="D9D9D9"/>
            </w:tcBorders>
          </w:tcPr>
          <w:p>
            <w:pPr>
              <w:spacing w:after="0"/>
              <w:rPr>
                <w:sz w:val="8"/>
                <w:szCs w:val="8"/>
                <w:color w:val="auto"/>
              </w:rPr>
            </w:pPr>
          </w:p>
        </w:tc>
      </w:tr>
      <w:tr>
        <w:trPr>
          <w:trHeight w:val="124"/>
        </w:trPr>
        <w:tc>
          <w:tcPr>
            <w:tcW w:w="598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Projects</w:t>
            </w:r>
          </w:p>
        </w:tc>
        <w:tc>
          <w:tcPr>
            <w:tcW w:w="18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Wells</w:t>
            </w:r>
          </w:p>
        </w:tc>
      </w:tr>
      <w:tr>
        <w:trPr>
          <w:trHeight w:val="115"/>
        </w:trPr>
        <w:tc>
          <w:tcPr>
            <w:tcW w:w="59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Number</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 million</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Number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 million</w:t>
            </w:r>
          </w:p>
        </w:tc>
      </w:tr>
      <w:tr>
        <w:trPr>
          <w:trHeight w:val="113"/>
        </w:trPr>
        <w:tc>
          <w:tcPr>
            <w:tcW w:w="5980" w:type="dxa"/>
            <w:vAlign w:val="bottom"/>
          </w:tcPr>
          <w:p>
            <w:pPr>
              <w:spacing w:after="0" w:line="113" w:lineRule="exact"/>
              <w:rPr>
                <w:sz w:val="20"/>
                <w:szCs w:val="20"/>
                <w:color w:val="auto"/>
              </w:rPr>
            </w:pPr>
            <w:r>
              <w:rPr>
                <w:rFonts w:ascii="Arial" w:cs="Arial" w:eastAsia="Arial" w:hAnsi="Arial"/>
                <w:sz w:val="10"/>
                <w:szCs w:val="10"/>
                <w:color w:val="auto"/>
              </w:rPr>
              <w:t>Between 1 and 5 years</w:t>
            </w:r>
          </w:p>
        </w:tc>
        <w:tc>
          <w:tcPr>
            <w:tcW w:w="1320" w:type="dxa"/>
            <w:vAlign w:val="bottom"/>
          </w:tcPr>
          <w:p>
            <w:pPr>
              <w:jc w:val="right"/>
              <w:spacing w:after="0" w:line="113" w:lineRule="exact"/>
              <w:rPr>
                <w:sz w:val="20"/>
                <w:szCs w:val="20"/>
                <w:color w:val="auto"/>
              </w:rPr>
            </w:pPr>
            <w:r>
              <w:rPr>
                <w:rFonts w:ascii="Arial" w:cs="Arial" w:eastAsia="Arial" w:hAnsi="Arial"/>
                <w:sz w:val="10"/>
                <w:szCs w:val="10"/>
                <w:color w:val="auto"/>
              </w:rPr>
              <w:t>33</w:t>
            </w:r>
          </w:p>
        </w:tc>
        <w:tc>
          <w:tcPr>
            <w:tcW w:w="1340" w:type="dxa"/>
            <w:vAlign w:val="bottom"/>
          </w:tcPr>
          <w:p>
            <w:pPr>
              <w:jc w:val="right"/>
              <w:spacing w:after="0" w:line="113" w:lineRule="exact"/>
              <w:rPr>
                <w:sz w:val="20"/>
                <w:szCs w:val="20"/>
                <w:color w:val="auto"/>
              </w:rPr>
            </w:pPr>
            <w:r>
              <w:rPr>
                <w:rFonts w:ascii="Arial" w:cs="Arial" w:eastAsia="Arial" w:hAnsi="Arial"/>
                <w:sz w:val="10"/>
                <w:szCs w:val="10"/>
                <w:color w:val="auto"/>
              </w:rPr>
              <w:t>1,666</w:t>
            </w:r>
          </w:p>
        </w:tc>
        <w:tc>
          <w:tcPr>
            <w:tcW w:w="1800" w:type="dxa"/>
            <w:vAlign w:val="bottom"/>
          </w:tcPr>
          <w:p>
            <w:pPr>
              <w:jc w:val="right"/>
              <w:ind w:right="452"/>
              <w:spacing w:after="0" w:line="113" w:lineRule="exact"/>
              <w:rPr>
                <w:sz w:val="20"/>
                <w:szCs w:val="20"/>
                <w:color w:val="auto"/>
              </w:rPr>
            </w:pPr>
            <w:r>
              <w:rPr>
                <w:rFonts w:ascii="Arial" w:cs="Arial" w:eastAsia="Arial" w:hAnsi="Arial"/>
                <w:sz w:val="10"/>
                <w:szCs w:val="10"/>
                <w:color w:val="auto"/>
              </w:rPr>
              <w:t>80</w:t>
            </w: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1,275</w:t>
            </w:r>
          </w:p>
        </w:tc>
      </w:tr>
      <w:tr>
        <w:trPr>
          <w:trHeight w:val="123"/>
        </w:trPr>
        <w:tc>
          <w:tcPr>
            <w:tcW w:w="5980" w:type="dxa"/>
            <w:vAlign w:val="bottom"/>
          </w:tcPr>
          <w:p>
            <w:pPr>
              <w:spacing w:after="0"/>
              <w:rPr>
                <w:sz w:val="20"/>
                <w:szCs w:val="20"/>
                <w:color w:val="auto"/>
              </w:rPr>
            </w:pPr>
            <w:r>
              <w:rPr>
                <w:rFonts w:ascii="Arial" w:cs="Arial" w:eastAsia="Arial" w:hAnsi="Arial"/>
                <w:sz w:val="10"/>
                <w:szCs w:val="10"/>
                <w:color w:val="auto"/>
              </w:rPr>
              <w:t>Between 6 and 10 years</w:t>
            </w:r>
          </w:p>
        </w:tc>
        <w:tc>
          <w:tcPr>
            <w:tcW w:w="1320" w:type="dxa"/>
            <w:vAlign w:val="bottom"/>
          </w:tcPr>
          <w:p>
            <w:pPr>
              <w:jc w:val="right"/>
              <w:spacing w:after="0"/>
              <w:rPr>
                <w:sz w:val="20"/>
                <w:szCs w:val="20"/>
                <w:color w:val="auto"/>
              </w:rPr>
            </w:pPr>
            <w:r>
              <w:rPr>
                <w:rFonts w:ascii="Arial" w:cs="Arial" w:eastAsia="Arial" w:hAnsi="Arial"/>
                <w:sz w:val="10"/>
                <w:szCs w:val="10"/>
                <w:color w:val="auto"/>
              </w:rPr>
              <w:t>12</w:t>
            </w:r>
          </w:p>
        </w:tc>
        <w:tc>
          <w:tcPr>
            <w:tcW w:w="1340" w:type="dxa"/>
            <w:vAlign w:val="bottom"/>
          </w:tcPr>
          <w:p>
            <w:pPr>
              <w:jc w:val="right"/>
              <w:spacing w:after="0"/>
              <w:rPr>
                <w:sz w:val="20"/>
                <w:szCs w:val="20"/>
                <w:color w:val="auto"/>
              </w:rPr>
            </w:pPr>
            <w:r>
              <w:rPr>
                <w:rFonts w:ascii="Arial" w:cs="Arial" w:eastAsia="Arial" w:hAnsi="Arial"/>
                <w:sz w:val="10"/>
                <w:szCs w:val="10"/>
                <w:color w:val="auto"/>
              </w:rPr>
              <w:t>975</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47</w:t>
            </w:r>
          </w:p>
        </w:tc>
        <w:tc>
          <w:tcPr>
            <w:tcW w:w="840" w:type="dxa"/>
            <w:vAlign w:val="bottom"/>
          </w:tcPr>
          <w:p>
            <w:pPr>
              <w:jc w:val="right"/>
              <w:spacing w:after="0"/>
              <w:rPr>
                <w:sz w:val="20"/>
                <w:szCs w:val="20"/>
                <w:color w:val="auto"/>
              </w:rPr>
            </w:pPr>
            <w:r>
              <w:rPr>
                <w:rFonts w:ascii="Arial" w:cs="Arial" w:eastAsia="Arial" w:hAnsi="Arial"/>
                <w:sz w:val="10"/>
                <w:szCs w:val="10"/>
                <w:color w:val="auto"/>
              </w:rPr>
              <w:t>1,309</w:t>
            </w:r>
          </w:p>
        </w:tc>
      </w:tr>
      <w:tr>
        <w:trPr>
          <w:trHeight w:val="126"/>
        </w:trPr>
        <w:tc>
          <w:tcPr>
            <w:tcW w:w="5980" w:type="dxa"/>
            <w:vAlign w:val="bottom"/>
          </w:tcPr>
          <w:p>
            <w:pPr>
              <w:spacing w:after="0"/>
              <w:rPr>
                <w:sz w:val="20"/>
                <w:szCs w:val="20"/>
                <w:color w:val="auto"/>
              </w:rPr>
            </w:pPr>
            <w:r>
              <w:rPr>
                <w:rFonts w:ascii="Arial" w:cs="Arial" w:eastAsia="Arial" w:hAnsi="Arial"/>
                <w:sz w:val="10"/>
                <w:szCs w:val="10"/>
                <w:color w:val="auto"/>
              </w:rPr>
              <w:t>Between 11 and 15 years</w:t>
            </w:r>
          </w:p>
        </w:tc>
        <w:tc>
          <w:tcPr>
            <w:tcW w:w="1320" w:type="dxa"/>
            <w:vAlign w:val="bottom"/>
          </w:tcPr>
          <w:p>
            <w:pPr>
              <w:jc w:val="right"/>
              <w:spacing w:after="0"/>
              <w:rPr>
                <w:sz w:val="20"/>
                <w:szCs w:val="20"/>
                <w:color w:val="auto"/>
              </w:rPr>
            </w:pPr>
            <w:r>
              <w:rPr>
                <w:rFonts w:ascii="Arial" w:cs="Arial" w:eastAsia="Arial" w:hAnsi="Arial"/>
                <w:sz w:val="10"/>
                <w:szCs w:val="10"/>
                <w:color w:val="auto"/>
              </w:rPr>
              <w:t>7</w:t>
            </w:r>
          </w:p>
        </w:tc>
        <w:tc>
          <w:tcPr>
            <w:tcW w:w="1340" w:type="dxa"/>
            <w:vAlign w:val="bottom"/>
          </w:tcPr>
          <w:p>
            <w:pPr>
              <w:jc w:val="right"/>
              <w:spacing w:after="0"/>
              <w:rPr>
                <w:sz w:val="20"/>
                <w:szCs w:val="20"/>
                <w:color w:val="auto"/>
              </w:rPr>
            </w:pPr>
            <w:r>
              <w:rPr>
                <w:rFonts w:ascii="Arial" w:cs="Arial" w:eastAsia="Arial" w:hAnsi="Arial"/>
                <w:sz w:val="10"/>
                <w:szCs w:val="10"/>
                <w:color w:val="auto"/>
              </w:rPr>
              <w:t>213</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21</w:t>
            </w:r>
          </w:p>
        </w:tc>
        <w:tc>
          <w:tcPr>
            <w:tcW w:w="840" w:type="dxa"/>
            <w:vAlign w:val="bottom"/>
          </w:tcPr>
          <w:p>
            <w:pPr>
              <w:jc w:val="right"/>
              <w:spacing w:after="0"/>
              <w:rPr>
                <w:sz w:val="20"/>
                <w:szCs w:val="20"/>
                <w:color w:val="auto"/>
              </w:rPr>
            </w:pPr>
            <w:r>
              <w:rPr>
                <w:rFonts w:ascii="Arial" w:cs="Arial" w:eastAsia="Arial" w:hAnsi="Arial"/>
                <w:sz w:val="10"/>
                <w:szCs w:val="10"/>
                <w:color w:val="auto"/>
              </w:rPr>
              <w:t>217</w:t>
            </w:r>
          </w:p>
        </w:tc>
      </w:tr>
      <w:tr>
        <w:trPr>
          <w:trHeight w:val="130"/>
        </w:trPr>
        <w:tc>
          <w:tcPr>
            <w:tcW w:w="59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Between 16 and 20 years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r>
      <w:tr>
        <w:trPr>
          <w:trHeight w:val="117"/>
        </w:trPr>
        <w:tc>
          <w:tcPr>
            <w:tcW w:w="59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2,854</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151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2,854</w:t>
            </w:r>
          </w:p>
        </w:tc>
      </w:tr>
    </w:tbl>
    <w:p>
      <w:pPr>
        <w:spacing w:after="0" w:line="51" w:lineRule="exact"/>
        <w:rPr>
          <w:sz w:val="20"/>
          <w:szCs w:val="20"/>
          <w:color w:val="auto"/>
        </w:rPr>
      </w:pPr>
    </w:p>
    <w:p>
      <w:pPr>
        <w:ind w:right="100"/>
        <w:spacing w:after="0" w:line="239" w:lineRule="auto"/>
        <w:rPr>
          <w:sz w:val="20"/>
          <w:szCs w:val="20"/>
          <w:color w:val="auto"/>
        </w:rPr>
      </w:pPr>
      <w:r>
        <w:rPr>
          <w:rFonts w:ascii="Arial" w:cs="Arial" w:eastAsia="Arial" w:hAnsi="Arial"/>
          <w:sz w:val="10"/>
          <w:szCs w:val="10"/>
          <w:color w:val="auto"/>
        </w:rPr>
        <w:t>Exploration drilling costs capitalised for periods greater than one year at December 31, 2020, analysed according to the most recent year of activity, are presented in the table above. These comprise $82 million relating to two projects where drilling activities were under way or firmly planned for the future, and $2,772 million relating to 50 projects awaiting development concepts.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9 – JOINT VENTURES AND ASSOCIATES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40" w:type="dxa"/>
            <w:vAlign w:val="bottom"/>
            <w:tcBorders>
              <w:top w:val="single" w:sz="8" w:color="CDCDCD"/>
            </w:tcBorders>
            <w:gridSpan w:val="2"/>
          </w:tcPr>
          <w:p>
            <w:pPr>
              <w:spacing w:after="0"/>
              <w:rPr>
                <w:sz w:val="20"/>
                <w:szCs w:val="20"/>
                <w:color w:val="auto"/>
              </w:rPr>
            </w:pPr>
            <w:r>
              <w:rPr>
                <w:rFonts w:ascii="Arial" w:cs="Arial" w:eastAsia="Arial" w:hAnsi="Arial"/>
                <w:sz w:val="10"/>
                <w:szCs w:val="10"/>
                <w:color w:val="auto"/>
                <w:w w:val="87"/>
              </w:rPr>
              <w:t>Shell share of comprehensive income of joint ventures and associates</w:t>
            </w:r>
          </w:p>
        </w:tc>
        <w:tc>
          <w:tcPr>
            <w:tcW w:w="400" w:type="dxa"/>
            <w:vAlign w:val="bottom"/>
            <w:tcBorders>
              <w:top w:val="single" w:sz="8" w:color="CDCDCD"/>
            </w:tcBorders>
          </w:tcPr>
          <w:p>
            <w:pPr>
              <w:spacing w:after="0"/>
              <w:rPr>
                <w:sz w:val="13"/>
                <w:szCs w:val="13"/>
                <w:color w:val="auto"/>
              </w:rPr>
            </w:pPr>
          </w:p>
        </w:tc>
        <w:tc>
          <w:tcPr>
            <w:tcW w:w="520" w:type="dxa"/>
            <w:vAlign w:val="bottom"/>
            <w:tcBorders>
              <w:top w:val="single" w:sz="8" w:color="CDCDCD"/>
            </w:tcBorders>
          </w:tcPr>
          <w:p>
            <w:pPr>
              <w:spacing w:after="0"/>
              <w:rPr>
                <w:sz w:val="13"/>
                <w:szCs w:val="13"/>
                <w:color w:val="auto"/>
              </w:rPr>
            </w:pPr>
          </w:p>
        </w:tc>
        <w:tc>
          <w:tcPr>
            <w:tcW w:w="860" w:type="dxa"/>
            <w:vAlign w:val="bottom"/>
            <w:tcBorders>
              <w:top w:val="single" w:sz="8" w:color="CDCDCD"/>
            </w:tcBorders>
          </w:tcPr>
          <w:p>
            <w:pPr>
              <w:spacing w:after="0"/>
              <w:rPr>
                <w:sz w:val="13"/>
                <w:szCs w:val="13"/>
                <w:color w:val="auto"/>
              </w:rPr>
            </w:pPr>
          </w:p>
        </w:tc>
        <w:tc>
          <w:tcPr>
            <w:tcW w:w="620" w:type="dxa"/>
            <w:vAlign w:val="bottom"/>
            <w:tcBorders>
              <w:top w:val="single" w:sz="8" w:color="CDCDCD"/>
            </w:tcBorders>
          </w:tcPr>
          <w:p>
            <w:pPr>
              <w:spacing w:after="0"/>
              <w:rPr>
                <w:sz w:val="13"/>
                <w:szCs w:val="13"/>
                <w:color w:val="auto"/>
              </w:rPr>
            </w:pPr>
          </w:p>
        </w:tc>
        <w:tc>
          <w:tcPr>
            <w:tcW w:w="80" w:type="dxa"/>
            <w:vAlign w:val="bottom"/>
            <w:tcBorders>
              <w:top w:val="single" w:sz="8" w:color="CDCDCD"/>
            </w:tcBorders>
          </w:tcPr>
          <w:p>
            <w:pPr>
              <w:spacing w:after="0"/>
              <w:rPr>
                <w:sz w:val="13"/>
                <w:szCs w:val="13"/>
                <w:color w:val="auto"/>
              </w:rPr>
            </w:pPr>
          </w:p>
        </w:tc>
        <w:tc>
          <w:tcPr>
            <w:tcW w:w="1120" w:type="dxa"/>
            <w:vAlign w:val="bottom"/>
            <w:tcBorders>
              <w:top w:val="single" w:sz="8" w:color="CDCDCD"/>
            </w:tcBorders>
          </w:tcPr>
          <w:p>
            <w:pPr>
              <w:spacing w:after="0"/>
              <w:rPr>
                <w:sz w:val="13"/>
                <w:szCs w:val="13"/>
                <w:color w:val="auto"/>
              </w:rPr>
            </w:pPr>
          </w:p>
        </w:tc>
        <w:tc>
          <w:tcPr>
            <w:tcW w:w="980" w:type="dxa"/>
            <w:vAlign w:val="bottom"/>
            <w:tcBorders>
              <w:top w:val="single" w:sz="8" w:color="CDCDCD"/>
            </w:tcBorders>
          </w:tcPr>
          <w:p>
            <w:pPr>
              <w:spacing w:after="0"/>
              <w:rPr>
                <w:sz w:val="13"/>
                <w:szCs w:val="13"/>
                <w:color w:val="auto"/>
              </w:rPr>
            </w:pPr>
          </w:p>
        </w:tc>
        <w:tc>
          <w:tcPr>
            <w:tcW w:w="880" w:type="dxa"/>
            <w:vAlign w:val="bottom"/>
            <w:tcBorders>
              <w:top w:val="single" w:sz="8" w:color="CDCDCD"/>
            </w:tcBorders>
          </w:tcPr>
          <w:p>
            <w:pPr>
              <w:spacing w:after="0"/>
              <w:rPr>
                <w:sz w:val="13"/>
                <w:szCs w:val="13"/>
                <w:color w:val="auto"/>
              </w:rPr>
            </w:pPr>
          </w:p>
        </w:tc>
        <w:tc>
          <w:tcPr>
            <w:tcW w:w="80" w:type="dxa"/>
            <w:vAlign w:val="bottom"/>
            <w:tcBorders>
              <w:top w:val="single" w:sz="8" w:color="CDCDCD"/>
            </w:tcBorders>
          </w:tcPr>
          <w:p>
            <w:pPr>
              <w:spacing w:after="0"/>
              <w:rPr>
                <w:sz w:val="13"/>
                <w:szCs w:val="13"/>
                <w:color w:val="auto"/>
              </w:rPr>
            </w:pPr>
          </w:p>
        </w:tc>
        <w:tc>
          <w:tcPr>
            <w:tcW w:w="420" w:type="dxa"/>
            <w:vAlign w:val="bottom"/>
            <w:tcBorders>
              <w:top w:val="single" w:sz="8" w:color="CDCDCD"/>
            </w:tcBorders>
          </w:tcPr>
          <w:p>
            <w:pPr>
              <w:spacing w:after="0"/>
              <w:rPr>
                <w:sz w:val="13"/>
                <w:szCs w:val="13"/>
                <w:color w:val="auto"/>
              </w:rPr>
            </w:pPr>
          </w:p>
        </w:tc>
        <w:tc>
          <w:tcPr>
            <w:tcW w:w="860" w:type="dxa"/>
            <w:vAlign w:val="bottom"/>
            <w:tcBorders>
              <w:top w:val="single" w:sz="8" w:color="CDCDCD"/>
            </w:tcBorders>
          </w:tcPr>
          <w:p>
            <w:pPr>
              <w:spacing w:after="0"/>
              <w:rPr>
                <w:sz w:val="13"/>
                <w:szCs w:val="13"/>
                <w:color w:val="auto"/>
              </w:rPr>
            </w:pPr>
          </w:p>
        </w:tc>
        <w:tc>
          <w:tcPr>
            <w:tcW w:w="740" w:type="dxa"/>
            <w:vAlign w:val="bottom"/>
            <w:tcBorders>
              <w:top w:val="single" w:sz="8" w:color="CDCDCD"/>
            </w:tcBorders>
          </w:tcPr>
          <w:p>
            <w:pPr>
              <w:spacing w:after="0"/>
              <w:rPr>
                <w:sz w:val="13"/>
                <w:szCs w:val="13"/>
                <w:color w:val="auto"/>
              </w:rPr>
            </w:pPr>
          </w:p>
        </w:tc>
        <w:tc>
          <w:tcPr>
            <w:tcW w:w="96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1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8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gridSpan w:val="2"/>
          </w:tcPr>
          <w:p>
            <w:pPr>
              <w:jc w:val="right"/>
              <w:ind w:right="520"/>
              <w:spacing w:after="0" w:line="83" w:lineRule="exact"/>
              <w:rPr>
                <w:sz w:val="20"/>
                <w:szCs w:val="20"/>
                <w:color w:val="auto"/>
              </w:rPr>
            </w:pPr>
            <w:r>
              <w:rPr>
                <w:rFonts w:ascii="Arial" w:cs="Arial" w:eastAsia="Arial" w:hAnsi="Arial"/>
                <w:sz w:val="8"/>
                <w:szCs w:val="8"/>
                <w:color w:val="auto"/>
              </w:rPr>
              <w:t>Joint</w:t>
            </w:r>
          </w:p>
        </w:tc>
        <w:tc>
          <w:tcPr>
            <w:tcW w:w="860" w:type="dxa"/>
            <w:vAlign w:val="bottom"/>
            <w:vMerge w:val="restart"/>
          </w:tcPr>
          <w:p>
            <w:pPr>
              <w:jc w:val="right"/>
              <w:ind w:right="332"/>
              <w:spacing w:after="0"/>
              <w:rPr>
                <w:sz w:val="20"/>
                <w:szCs w:val="20"/>
                <w:color w:val="auto"/>
              </w:rPr>
            </w:pPr>
            <w:r>
              <w:rPr>
                <w:rFonts w:ascii="Arial" w:cs="Arial" w:eastAsia="Arial" w:hAnsi="Arial"/>
                <w:sz w:val="10"/>
                <w:szCs w:val="10"/>
                <w:color w:val="auto"/>
                <w:w w:val="95"/>
              </w:rPr>
              <w:t>Associates</w:t>
            </w: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80" w:type="dxa"/>
            <w:vAlign w:val="bottom"/>
          </w:tcPr>
          <w:p>
            <w:pPr>
              <w:spacing w:after="0"/>
              <w:rPr>
                <w:sz w:val="7"/>
                <w:szCs w:val="7"/>
                <w:color w:val="auto"/>
              </w:rPr>
            </w:pPr>
          </w:p>
        </w:tc>
        <w:tc>
          <w:tcPr>
            <w:tcW w:w="1120" w:type="dxa"/>
            <w:vAlign w:val="bottom"/>
          </w:tcPr>
          <w:p>
            <w:pPr>
              <w:jc w:val="right"/>
              <w:ind w:right="94"/>
              <w:spacing w:after="0" w:line="83" w:lineRule="exact"/>
              <w:rPr>
                <w:sz w:val="20"/>
                <w:szCs w:val="20"/>
                <w:color w:val="auto"/>
              </w:rPr>
            </w:pPr>
            <w:r>
              <w:rPr>
                <w:rFonts w:ascii="Arial" w:cs="Arial" w:eastAsia="Arial" w:hAnsi="Arial"/>
                <w:sz w:val="8"/>
                <w:szCs w:val="8"/>
                <w:color w:val="auto"/>
              </w:rPr>
              <w:t>Joint</w:t>
            </w:r>
          </w:p>
        </w:tc>
        <w:tc>
          <w:tcPr>
            <w:tcW w:w="980" w:type="dxa"/>
            <w:vAlign w:val="bottom"/>
            <w:vMerge w:val="restart"/>
          </w:tcPr>
          <w:p>
            <w:pPr>
              <w:jc w:val="right"/>
              <w:ind w:right="72"/>
              <w:spacing w:after="0"/>
              <w:rPr>
                <w:sz w:val="20"/>
                <w:szCs w:val="20"/>
                <w:color w:val="auto"/>
              </w:rPr>
            </w:pPr>
            <w:r>
              <w:rPr>
                <w:rFonts w:ascii="Arial" w:cs="Arial" w:eastAsia="Arial" w:hAnsi="Arial"/>
                <w:sz w:val="10"/>
                <w:szCs w:val="10"/>
                <w:color w:val="auto"/>
              </w:rPr>
              <w:t>Associates</w:t>
            </w:r>
          </w:p>
        </w:tc>
        <w:tc>
          <w:tcPr>
            <w:tcW w:w="1380" w:type="dxa"/>
            <w:vAlign w:val="bottom"/>
            <w:gridSpan w:val="3"/>
            <w:vMerge w:val="restart"/>
          </w:tcPr>
          <w:p>
            <w:pPr>
              <w:jc w:val="right"/>
              <w:ind w:right="520"/>
              <w:spacing w:after="0"/>
              <w:rPr>
                <w:sz w:val="20"/>
                <w:szCs w:val="20"/>
                <w:color w:val="auto"/>
              </w:rPr>
            </w:pPr>
            <w:r>
              <w:rPr>
                <w:rFonts w:ascii="Arial" w:cs="Arial" w:eastAsia="Arial" w:hAnsi="Arial"/>
                <w:sz w:val="10"/>
                <w:szCs w:val="10"/>
                <w:color w:val="auto"/>
              </w:rPr>
              <w:t>Total</w:t>
            </w:r>
          </w:p>
        </w:tc>
        <w:tc>
          <w:tcPr>
            <w:tcW w:w="860" w:type="dxa"/>
            <w:vAlign w:val="bottom"/>
          </w:tcPr>
          <w:p>
            <w:pPr>
              <w:jc w:val="right"/>
              <w:ind w:right="254"/>
              <w:spacing w:after="0" w:line="83" w:lineRule="exact"/>
              <w:rPr>
                <w:sz w:val="20"/>
                <w:szCs w:val="20"/>
                <w:color w:val="auto"/>
              </w:rPr>
            </w:pPr>
            <w:r>
              <w:rPr>
                <w:rFonts w:ascii="Arial" w:cs="Arial" w:eastAsia="Arial" w:hAnsi="Arial"/>
                <w:sz w:val="8"/>
                <w:szCs w:val="8"/>
                <w:color w:val="auto"/>
              </w:rPr>
              <w:t>Joint</w:t>
            </w: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Associates</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2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0"/>
                <w:szCs w:val="10"/>
                <w:color w:val="auto"/>
                <w:w w:val="98"/>
              </w:rPr>
              <w:t>ventures</w:t>
            </w:r>
          </w:p>
        </w:tc>
        <w:tc>
          <w:tcPr>
            <w:tcW w:w="8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right"/>
              <w:ind w:right="94"/>
              <w:spacing w:after="0"/>
              <w:rPr>
                <w:sz w:val="20"/>
                <w:szCs w:val="20"/>
                <w:color w:val="auto"/>
              </w:rPr>
            </w:pPr>
            <w:r>
              <w:rPr>
                <w:rFonts w:ascii="Arial" w:cs="Arial" w:eastAsia="Arial" w:hAnsi="Arial"/>
                <w:sz w:val="10"/>
                <w:szCs w:val="10"/>
                <w:color w:val="auto"/>
              </w:rPr>
              <w:t>ventures</w:t>
            </w:r>
          </w:p>
        </w:tc>
        <w:tc>
          <w:tcPr>
            <w:tcW w:w="980" w:type="dxa"/>
            <w:vAlign w:val="bottom"/>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860" w:type="dxa"/>
            <w:vAlign w:val="bottom"/>
          </w:tcPr>
          <w:p>
            <w:pPr>
              <w:jc w:val="right"/>
              <w:ind w:right="254"/>
              <w:spacing w:after="0"/>
              <w:rPr>
                <w:sz w:val="20"/>
                <w:szCs w:val="20"/>
                <w:color w:val="auto"/>
              </w:rPr>
            </w:pPr>
            <w:r>
              <w:rPr>
                <w:rFonts w:ascii="Arial" w:cs="Arial" w:eastAsia="Arial" w:hAnsi="Arial"/>
                <w:sz w:val="10"/>
                <w:szCs w:val="10"/>
                <w:color w:val="auto"/>
              </w:rPr>
              <w:t>ventures</w:t>
            </w:r>
          </w:p>
        </w:tc>
        <w:tc>
          <w:tcPr>
            <w:tcW w:w="74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6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Income for the period</w:t>
            </w:r>
          </w:p>
        </w:tc>
        <w:tc>
          <w:tcPr>
            <w:tcW w:w="580" w:type="dxa"/>
            <w:vAlign w:val="bottom"/>
            <w:tcBorders>
              <w:top w:val="single" w:sz="8" w:color="auto"/>
            </w:tcBorders>
            <w:shd w:val="clear" w:color="auto" w:fill="D9D9D9"/>
          </w:tcPr>
          <w:p>
            <w:pPr>
              <w:spacing w:after="0"/>
              <w:rPr>
                <w:sz w:val="10"/>
                <w:szCs w:val="10"/>
                <w:color w:val="auto"/>
              </w:rPr>
            </w:pPr>
          </w:p>
        </w:tc>
        <w:tc>
          <w:tcPr>
            <w:tcW w:w="920" w:type="dxa"/>
            <w:vAlign w:val="bottom"/>
            <w:tcBorders>
              <w:top w:val="single" w:sz="8" w:color="auto"/>
            </w:tcBorders>
            <w:gridSpan w:val="2"/>
            <w:shd w:val="clear" w:color="auto" w:fill="D9D9D9"/>
          </w:tcPr>
          <w:p>
            <w:pPr>
              <w:jc w:val="right"/>
              <w:ind w:right="520"/>
              <w:spacing w:after="0" w:line="118" w:lineRule="exact"/>
              <w:rPr>
                <w:sz w:val="20"/>
                <w:szCs w:val="20"/>
                <w:color w:val="auto"/>
              </w:rPr>
            </w:pPr>
            <w:r>
              <w:rPr>
                <w:rFonts w:ascii="Arial" w:cs="Arial" w:eastAsia="Arial" w:hAnsi="Arial"/>
                <w:sz w:val="13"/>
                <w:szCs w:val="13"/>
                <w:color w:val="auto"/>
                <w:vertAlign w:val="superscript"/>
              </w:rPr>
              <w:t>629</w:t>
            </w:r>
            <w:r>
              <w:rPr>
                <w:rFonts w:ascii="Arial" w:cs="Arial" w:eastAsia="Arial" w:hAnsi="Arial"/>
                <w:sz w:val="5"/>
                <w:szCs w:val="5"/>
                <w:color w:val="auto"/>
              </w:rPr>
              <w:t xml:space="preserve"> [A]</w:t>
            </w:r>
          </w:p>
        </w:tc>
        <w:tc>
          <w:tcPr>
            <w:tcW w:w="860" w:type="dxa"/>
            <w:vAlign w:val="bottom"/>
            <w:tcBorders>
              <w:top w:val="single" w:sz="8" w:color="auto"/>
            </w:tcBorders>
            <w:shd w:val="clear" w:color="auto" w:fill="D9D9D9"/>
          </w:tcPr>
          <w:p>
            <w:pPr>
              <w:jc w:val="right"/>
              <w:ind w:right="372"/>
              <w:spacing w:after="0"/>
              <w:rPr>
                <w:sz w:val="20"/>
                <w:szCs w:val="20"/>
                <w:color w:val="auto"/>
              </w:rPr>
            </w:pPr>
            <w:r>
              <w:rPr>
                <w:rFonts w:ascii="Arial" w:cs="Arial" w:eastAsia="Arial" w:hAnsi="Arial"/>
                <w:sz w:val="10"/>
                <w:szCs w:val="10"/>
                <w:color w:val="auto"/>
              </w:rPr>
              <w:t>1,154</w:t>
            </w:r>
          </w:p>
        </w:tc>
        <w:tc>
          <w:tcPr>
            <w:tcW w:w="62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1,783</w:t>
            </w:r>
          </w:p>
        </w:tc>
        <w:tc>
          <w:tcPr>
            <w:tcW w:w="1200" w:type="dxa"/>
            <w:vAlign w:val="bottom"/>
            <w:tcBorders>
              <w:top w:val="single" w:sz="8" w:color="auto"/>
            </w:tcBorders>
            <w:gridSpan w:val="2"/>
          </w:tcPr>
          <w:p>
            <w:pPr>
              <w:jc w:val="right"/>
              <w:ind w:right="114"/>
              <w:spacing w:after="0"/>
              <w:rPr>
                <w:sz w:val="20"/>
                <w:szCs w:val="20"/>
                <w:color w:val="auto"/>
              </w:rPr>
            </w:pPr>
            <w:r>
              <w:rPr>
                <w:rFonts w:ascii="Arial" w:cs="Arial" w:eastAsia="Arial" w:hAnsi="Arial"/>
                <w:sz w:val="10"/>
                <w:szCs w:val="10"/>
                <w:color w:val="auto"/>
              </w:rPr>
              <w:t>1,121</w:t>
            </w:r>
          </w:p>
        </w:tc>
        <w:tc>
          <w:tcPr>
            <w:tcW w:w="980" w:type="dxa"/>
            <w:vAlign w:val="bottom"/>
            <w:tcBorders>
              <w:top w:val="single" w:sz="8" w:color="auto"/>
            </w:tcBorders>
          </w:tcPr>
          <w:p>
            <w:pPr>
              <w:jc w:val="right"/>
              <w:ind w:right="112"/>
              <w:spacing w:after="0"/>
              <w:rPr>
                <w:sz w:val="20"/>
                <w:szCs w:val="20"/>
                <w:color w:val="auto"/>
              </w:rPr>
            </w:pPr>
            <w:r>
              <w:rPr>
                <w:rFonts w:ascii="Arial" w:cs="Arial" w:eastAsia="Arial" w:hAnsi="Arial"/>
                <w:sz w:val="10"/>
                <w:szCs w:val="10"/>
                <w:color w:val="auto"/>
              </w:rPr>
              <w:t>2,483</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3,604</w:t>
            </w: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74"/>
              <w:spacing w:after="0"/>
              <w:rPr>
                <w:sz w:val="20"/>
                <w:szCs w:val="20"/>
                <w:color w:val="auto"/>
              </w:rPr>
            </w:pPr>
            <w:r>
              <w:rPr>
                <w:rFonts w:ascii="Arial" w:cs="Arial" w:eastAsia="Arial" w:hAnsi="Arial"/>
                <w:sz w:val="10"/>
                <w:szCs w:val="10"/>
                <w:color w:val="auto"/>
              </w:rPr>
              <w:t>1,307</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rPr>
              <w:t>2,799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4,106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60" w:type="dxa"/>
            <w:vAlign w:val="bottom"/>
          </w:tcPr>
          <w:p>
            <w:pPr>
              <w:spacing w:after="0" w:line="90" w:lineRule="exact"/>
              <w:rPr>
                <w:sz w:val="20"/>
                <w:szCs w:val="20"/>
                <w:color w:val="auto"/>
              </w:rPr>
            </w:pPr>
            <w:r>
              <w:rPr>
                <w:rFonts w:ascii="Arial" w:cs="Arial" w:eastAsia="Arial" w:hAnsi="Arial"/>
                <w:sz w:val="10"/>
                <w:szCs w:val="10"/>
                <w:color w:val="auto"/>
              </w:rPr>
              <w:t>Other comprehensive</w:t>
            </w:r>
          </w:p>
        </w:tc>
        <w:tc>
          <w:tcPr>
            <w:tcW w:w="580" w:type="dxa"/>
            <w:vAlign w:val="bottom"/>
            <w:shd w:val="clear" w:color="auto" w:fill="D9D9D9"/>
          </w:tcPr>
          <w:p>
            <w:pPr>
              <w:spacing w:after="0"/>
              <w:rPr>
                <w:sz w:val="7"/>
                <w:szCs w:val="7"/>
                <w:color w:val="auto"/>
              </w:rPr>
            </w:pPr>
          </w:p>
        </w:tc>
        <w:tc>
          <w:tcPr>
            <w:tcW w:w="400" w:type="dxa"/>
            <w:vAlign w:val="bottom"/>
            <w:vMerge w:val="restart"/>
            <w:shd w:val="clear" w:color="auto" w:fill="D9D9D9"/>
          </w:tcPr>
          <w:p>
            <w:pPr>
              <w:jc w:val="right"/>
              <w:spacing w:after="0"/>
              <w:rPr>
                <w:sz w:val="20"/>
                <w:szCs w:val="20"/>
                <w:color w:val="auto"/>
              </w:rPr>
            </w:pPr>
            <w:r>
              <w:rPr>
                <w:rFonts w:ascii="Arial" w:cs="Arial" w:eastAsia="Arial" w:hAnsi="Arial"/>
                <w:sz w:val="10"/>
                <w:szCs w:val="10"/>
                <w:color w:val="auto"/>
              </w:rPr>
              <w:t>76</w:t>
            </w:r>
          </w:p>
        </w:tc>
        <w:tc>
          <w:tcPr>
            <w:tcW w:w="520" w:type="dxa"/>
            <w:vAlign w:val="bottom"/>
            <w:shd w:val="clear" w:color="auto" w:fill="D9D9D9"/>
          </w:tcPr>
          <w:p>
            <w:pPr>
              <w:spacing w:after="0"/>
              <w:rPr>
                <w:sz w:val="7"/>
                <w:szCs w:val="7"/>
                <w:color w:val="auto"/>
              </w:rPr>
            </w:pPr>
          </w:p>
        </w:tc>
        <w:tc>
          <w:tcPr>
            <w:tcW w:w="860" w:type="dxa"/>
            <w:vAlign w:val="bottom"/>
            <w:vMerge w:val="restart"/>
            <w:shd w:val="clear" w:color="auto" w:fill="D9D9D9"/>
          </w:tcPr>
          <w:p>
            <w:pPr>
              <w:jc w:val="right"/>
              <w:ind w:right="372"/>
              <w:spacing w:after="0"/>
              <w:rPr>
                <w:sz w:val="20"/>
                <w:szCs w:val="20"/>
                <w:color w:val="auto"/>
              </w:rPr>
            </w:pPr>
            <w:r>
              <w:rPr>
                <w:rFonts w:ascii="Arial" w:cs="Arial" w:eastAsia="Arial" w:hAnsi="Arial"/>
                <w:sz w:val="10"/>
                <w:szCs w:val="10"/>
                <w:color w:val="auto"/>
              </w:rPr>
              <w:t>1</w:t>
            </w:r>
          </w:p>
        </w:tc>
        <w:tc>
          <w:tcPr>
            <w:tcW w:w="620" w:type="dxa"/>
            <w:vAlign w:val="bottom"/>
            <w:vMerge w:val="restart"/>
            <w:shd w:val="clear" w:color="auto" w:fill="D9D9D9"/>
          </w:tcPr>
          <w:p>
            <w:pPr>
              <w:jc w:val="right"/>
              <w:spacing w:after="0"/>
              <w:rPr>
                <w:sz w:val="20"/>
                <w:szCs w:val="20"/>
                <w:color w:val="auto"/>
              </w:rPr>
            </w:pPr>
            <w:r>
              <w:rPr>
                <w:rFonts w:ascii="Arial" w:cs="Arial" w:eastAsia="Arial" w:hAnsi="Arial"/>
                <w:sz w:val="10"/>
                <w:szCs w:val="10"/>
                <w:color w:val="auto"/>
              </w:rPr>
              <w:t>77</w:t>
            </w:r>
          </w:p>
        </w:tc>
        <w:tc>
          <w:tcPr>
            <w:tcW w:w="1200" w:type="dxa"/>
            <w:vAlign w:val="bottom"/>
            <w:gridSpan w:val="2"/>
            <w:vMerge w:val="restart"/>
          </w:tcPr>
          <w:p>
            <w:pPr>
              <w:jc w:val="right"/>
              <w:ind w:right="94"/>
              <w:spacing w:after="0"/>
              <w:rPr>
                <w:sz w:val="20"/>
                <w:szCs w:val="20"/>
                <w:color w:val="auto"/>
              </w:rPr>
            </w:pPr>
            <w:r>
              <w:rPr>
                <w:rFonts w:ascii="Arial" w:cs="Arial" w:eastAsia="Arial" w:hAnsi="Arial"/>
                <w:sz w:val="10"/>
                <w:szCs w:val="10"/>
                <w:color w:val="auto"/>
              </w:rPr>
              <w:t>(82)</w:t>
            </w:r>
          </w:p>
        </w:tc>
        <w:tc>
          <w:tcPr>
            <w:tcW w:w="980" w:type="dxa"/>
            <w:vAlign w:val="bottom"/>
            <w:vMerge w:val="restart"/>
          </w:tcPr>
          <w:p>
            <w:pPr>
              <w:jc w:val="right"/>
              <w:ind w:right="112"/>
              <w:spacing w:after="0"/>
              <w:rPr>
                <w:sz w:val="20"/>
                <w:szCs w:val="20"/>
                <w:color w:val="auto"/>
              </w:rPr>
            </w:pPr>
            <w:r>
              <w:rPr>
                <w:rFonts w:ascii="Arial" w:cs="Arial" w:eastAsia="Arial" w:hAnsi="Arial"/>
                <w:sz w:val="10"/>
                <w:szCs w:val="10"/>
                <w:color w:val="auto"/>
              </w:rPr>
              <w:t>8</w:t>
            </w: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(74)</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vMerge w:val="restart"/>
          </w:tcPr>
          <w:p>
            <w:pPr>
              <w:jc w:val="right"/>
              <w:ind w:right="274"/>
              <w:spacing w:after="0"/>
              <w:rPr>
                <w:sz w:val="20"/>
                <w:szCs w:val="20"/>
                <w:color w:val="auto"/>
              </w:rPr>
            </w:pPr>
            <w:r>
              <w:rPr>
                <w:rFonts w:ascii="Arial" w:cs="Arial" w:eastAsia="Arial" w:hAnsi="Arial"/>
                <w:sz w:val="10"/>
                <w:szCs w:val="10"/>
                <w:color w:val="auto"/>
              </w:rPr>
              <w:t>172</w:t>
            </w:r>
          </w:p>
        </w:tc>
        <w:tc>
          <w:tcPr>
            <w:tcW w:w="740" w:type="dxa"/>
            <w:vAlign w:val="bottom"/>
            <w:vMerge w:val="restart"/>
          </w:tcPr>
          <w:p>
            <w:pPr>
              <w:jc w:val="right"/>
              <w:ind w:right="32"/>
              <w:spacing w:after="0"/>
              <w:rPr>
                <w:sz w:val="20"/>
                <w:szCs w:val="20"/>
                <w:color w:val="auto"/>
              </w:rPr>
            </w:pPr>
            <w:r>
              <w:rPr>
                <w:rFonts w:ascii="Arial" w:cs="Arial" w:eastAsia="Arial" w:hAnsi="Arial"/>
                <w:sz w:val="10"/>
                <w:szCs w:val="10"/>
                <w:color w:val="auto"/>
              </w:rPr>
              <w:t>11</w:t>
            </w:r>
          </w:p>
        </w:tc>
        <w:tc>
          <w:tcPr>
            <w:tcW w:w="960" w:type="dxa"/>
            <w:vAlign w:val="bottom"/>
            <w:vMerge w:val="restart"/>
          </w:tcPr>
          <w:p>
            <w:pPr>
              <w:jc w:val="right"/>
              <w:spacing w:after="0"/>
              <w:rPr>
                <w:sz w:val="20"/>
                <w:szCs w:val="20"/>
                <w:color w:val="auto"/>
              </w:rPr>
            </w:pPr>
            <w:r>
              <w:rPr>
                <w:rFonts w:ascii="Arial" w:cs="Arial" w:eastAsia="Arial" w:hAnsi="Arial"/>
                <w:sz w:val="10"/>
                <w:szCs w:val="10"/>
                <w:color w:val="auto"/>
              </w:rPr>
              <w:t>183</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income/(loss) for the period</w:t>
            </w:r>
          </w:p>
        </w:tc>
        <w:tc>
          <w:tcPr>
            <w:tcW w:w="580" w:type="dxa"/>
            <w:vAlign w:val="bottom"/>
            <w:tcBorders>
              <w:bottom w:val="single" w:sz="8" w:color="auto"/>
            </w:tcBorders>
            <w:shd w:val="clear" w:color="auto" w:fill="D9D9D9"/>
          </w:tcPr>
          <w:p>
            <w:pPr>
              <w:spacing w:after="0"/>
              <w:rPr>
                <w:sz w:val="10"/>
                <w:szCs w:val="10"/>
                <w:color w:val="auto"/>
              </w:rPr>
            </w:pPr>
          </w:p>
        </w:tc>
        <w:tc>
          <w:tcPr>
            <w:tcW w:w="400" w:type="dxa"/>
            <w:vAlign w:val="bottom"/>
            <w:tcBorders>
              <w:bottom w:val="single" w:sz="8" w:color="auto"/>
            </w:tcBorders>
            <w:vMerge w:val="continue"/>
            <w:shd w:val="clear" w:color="auto" w:fill="D9D9D9"/>
          </w:tcPr>
          <w:p>
            <w:pPr>
              <w:spacing w:after="0"/>
              <w:rPr>
                <w:sz w:val="10"/>
                <w:szCs w:val="10"/>
                <w:color w:val="auto"/>
              </w:rPr>
            </w:pPr>
          </w:p>
        </w:tc>
        <w:tc>
          <w:tcPr>
            <w:tcW w:w="520" w:type="dxa"/>
            <w:vAlign w:val="bottom"/>
            <w:tcBorders>
              <w:bottom w:val="single" w:sz="8" w:color="auto"/>
            </w:tcBorders>
            <w:shd w:val="clear" w:color="auto" w:fill="D9D9D9"/>
          </w:tcPr>
          <w:p>
            <w:pPr>
              <w:spacing w:after="0"/>
              <w:rPr>
                <w:sz w:val="10"/>
                <w:szCs w:val="10"/>
                <w:color w:val="auto"/>
              </w:rPr>
            </w:pPr>
          </w:p>
        </w:tc>
        <w:tc>
          <w:tcPr>
            <w:tcW w:w="860" w:type="dxa"/>
            <w:vAlign w:val="bottom"/>
            <w:tcBorders>
              <w:bottom w:val="single" w:sz="8" w:color="auto"/>
            </w:tcBorders>
            <w:vMerge w:val="continue"/>
            <w:shd w:val="clear" w:color="auto" w:fill="D9D9D9"/>
          </w:tcPr>
          <w:p>
            <w:pPr>
              <w:spacing w:after="0"/>
              <w:rPr>
                <w:sz w:val="10"/>
                <w:szCs w:val="10"/>
                <w:color w:val="auto"/>
              </w:rPr>
            </w:pPr>
          </w:p>
        </w:tc>
        <w:tc>
          <w:tcPr>
            <w:tcW w:w="620" w:type="dxa"/>
            <w:vAlign w:val="bottom"/>
            <w:tcBorders>
              <w:bottom w:val="single" w:sz="8" w:color="auto"/>
            </w:tcBorders>
            <w:vMerge w:val="continue"/>
            <w:shd w:val="clear" w:color="auto" w:fill="D9D9D9"/>
          </w:tcPr>
          <w:p>
            <w:pPr>
              <w:spacing w:after="0"/>
              <w:rPr>
                <w:sz w:val="10"/>
                <w:szCs w:val="10"/>
                <w:color w:val="auto"/>
              </w:rPr>
            </w:pPr>
          </w:p>
        </w:tc>
        <w:tc>
          <w:tcPr>
            <w:tcW w:w="1200" w:type="dxa"/>
            <w:vAlign w:val="bottom"/>
            <w:tcBorders>
              <w:bottom w:val="single" w:sz="8" w:color="auto"/>
            </w:tcBorders>
            <w:gridSpan w:val="2"/>
            <w:vMerge w:val="continue"/>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Comprehensive income for the period</w:t>
            </w:r>
          </w:p>
        </w:tc>
        <w:tc>
          <w:tcPr>
            <w:tcW w:w="580" w:type="dxa"/>
            <w:vAlign w:val="bottom"/>
            <w:tcBorders>
              <w:bottom w:val="single" w:sz="8" w:color="auto"/>
            </w:tcBorders>
            <w:shd w:val="clear" w:color="auto" w:fill="D9D9D9"/>
          </w:tcPr>
          <w:p>
            <w:pPr>
              <w:spacing w:after="0"/>
              <w:rPr>
                <w:sz w:val="10"/>
                <w:szCs w:val="10"/>
                <w:color w:val="auto"/>
              </w:rPr>
            </w:pPr>
          </w:p>
        </w:tc>
        <w:tc>
          <w:tcPr>
            <w:tcW w:w="4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705</w:t>
            </w:r>
          </w:p>
        </w:tc>
        <w:tc>
          <w:tcPr>
            <w:tcW w:w="520" w:type="dxa"/>
            <w:vAlign w:val="bottom"/>
            <w:tcBorders>
              <w:bottom w:val="single" w:sz="8" w:color="auto"/>
            </w:tcBorders>
            <w:shd w:val="clear" w:color="auto" w:fill="D9D9D9"/>
          </w:tcPr>
          <w:p>
            <w:pPr>
              <w:spacing w:after="0"/>
              <w:rPr>
                <w:sz w:val="10"/>
                <w:szCs w:val="10"/>
                <w:color w:val="auto"/>
              </w:rPr>
            </w:pPr>
          </w:p>
        </w:tc>
        <w:tc>
          <w:tcPr>
            <w:tcW w:w="860" w:type="dxa"/>
            <w:vAlign w:val="bottom"/>
            <w:tcBorders>
              <w:bottom w:val="single" w:sz="8" w:color="auto"/>
            </w:tcBorders>
            <w:shd w:val="clear" w:color="auto" w:fill="D9D9D9"/>
          </w:tcPr>
          <w:p>
            <w:pPr>
              <w:jc w:val="right"/>
              <w:ind w:right="372"/>
              <w:spacing w:after="0"/>
              <w:rPr>
                <w:sz w:val="20"/>
                <w:szCs w:val="20"/>
                <w:color w:val="auto"/>
              </w:rPr>
            </w:pPr>
            <w:r>
              <w:rPr>
                <w:rFonts w:ascii="Arial" w:cs="Arial" w:eastAsia="Arial" w:hAnsi="Arial"/>
                <w:sz w:val="10"/>
                <w:szCs w:val="10"/>
                <w:color w:val="auto"/>
              </w:rPr>
              <w:t>1,155</w:t>
            </w:r>
          </w:p>
        </w:tc>
        <w:tc>
          <w:tcPr>
            <w:tcW w:w="6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1,860</w:t>
            </w:r>
          </w:p>
        </w:tc>
        <w:tc>
          <w:tcPr>
            <w:tcW w:w="120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0"/>
                <w:szCs w:val="10"/>
                <w:color w:val="auto"/>
              </w:rPr>
              <w:t>1,039</w:t>
            </w: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2,491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3,530</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0"/>
                <w:szCs w:val="10"/>
                <w:color w:val="auto"/>
              </w:rPr>
              <w:t>1,479</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2,810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4,289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660" w:type="dxa"/>
            <w:vAlign w:val="bottom"/>
            <w:gridSpan w:val="4"/>
          </w:tcPr>
          <w:p>
            <w:pPr>
              <w:spacing w:after="0"/>
              <w:rPr>
                <w:sz w:val="20"/>
                <w:szCs w:val="20"/>
                <w:color w:val="auto"/>
              </w:rPr>
            </w:pPr>
            <w:r>
              <w:rPr>
                <w:rFonts w:ascii="Arial" w:cs="Arial" w:eastAsia="Arial" w:hAnsi="Arial"/>
                <w:sz w:val="7"/>
                <w:szCs w:val="7"/>
                <w:color w:val="auto"/>
              </w:rPr>
              <w:t>[A] Includes $599 million impairment losses recognised in share of profit of joint ventures and associates.</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74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740" w:type="dxa"/>
            <w:vAlign w:val="bottom"/>
            <w:tcBorders>
              <w:top w:val="single" w:sz="8" w:color="CDCDCD"/>
            </w:tcBorders>
            <w:gridSpan w:val="2"/>
          </w:tcPr>
          <w:p>
            <w:pPr>
              <w:spacing w:after="0"/>
              <w:rPr>
                <w:sz w:val="20"/>
                <w:szCs w:val="20"/>
                <w:color w:val="auto"/>
              </w:rPr>
            </w:pPr>
            <w:r>
              <w:rPr>
                <w:rFonts w:ascii="Arial" w:cs="Arial" w:eastAsia="Arial" w:hAnsi="Arial"/>
                <w:sz w:val="10"/>
                <w:szCs w:val="10"/>
                <w:color w:val="auto"/>
              </w:rPr>
              <w:t>Carrying amount of interests in joint ventures and associates</w:t>
            </w:r>
          </w:p>
        </w:tc>
        <w:tc>
          <w:tcPr>
            <w:tcW w:w="400" w:type="dxa"/>
            <w:vAlign w:val="bottom"/>
            <w:tcBorders>
              <w:top w:val="single" w:sz="8" w:color="CDCDCD"/>
            </w:tcBorders>
          </w:tcPr>
          <w:p>
            <w:pPr>
              <w:spacing w:after="0"/>
              <w:rPr>
                <w:sz w:val="10"/>
                <w:szCs w:val="10"/>
                <w:color w:val="auto"/>
              </w:rPr>
            </w:pPr>
          </w:p>
        </w:tc>
        <w:tc>
          <w:tcPr>
            <w:tcW w:w="520" w:type="dxa"/>
            <w:vAlign w:val="bottom"/>
            <w:tcBorders>
              <w:top w:val="single" w:sz="8" w:color="CDCDCD"/>
            </w:tcBorders>
          </w:tcPr>
          <w:p>
            <w:pPr>
              <w:spacing w:after="0"/>
              <w:rPr>
                <w:sz w:val="10"/>
                <w:szCs w:val="10"/>
                <w:color w:val="auto"/>
              </w:rPr>
            </w:pPr>
          </w:p>
        </w:tc>
        <w:tc>
          <w:tcPr>
            <w:tcW w:w="860" w:type="dxa"/>
            <w:vAlign w:val="bottom"/>
            <w:tcBorders>
              <w:top w:val="single" w:sz="8" w:color="CDCDCD"/>
            </w:tcBorders>
          </w:tcPr>
          <w:p>
            <w:pPr>
              <w:spacing w:after="0"/>
              <w:rPr>
                <w:sz w:val="10"/>
                <w:szCs w:val="10"/>
                <w:color w:val="auto"/>
              </w:rPr>
            </w:pPr>
          </w:p>
        </w:tc>
        <w:tc>
          <w:tcPr>
            <w:tcW w:w="620" w:type="dxa"/>
            <w:vAlign w:val="bottom"/>
            <w:tcBorders>
              <w:top w:val="single" w:sz="8" w:color="CDCDCD"/>
            </w:tcBorders>
          </w:tcPr>
          <w:p>
            <w:pPr>
              <w:spacing w:after="0"/>
              <w:rPr>
                <w:sz w:val="10"/>
                <w:szCs w:val="10"/>
                <w:color w:val="auto"/>
              </w:rPr>
            </w:pPr>
          </w:p>
        </w:tc>
        <w:tc>
          <w:tcPr>
            <w:tcW w:w="80" w:type="dxa"/>
            <w:vAlign w:val="bottom"/>
            <w:tcBorders>
              <w:top w:val="single" w:sz="8" w:color="CDCDCD"/>
            </w:tcBorders>
          </w:tcPr>
          <w:p>
            <w:pPr>
              <w:spacing w:after="0"/>
              <w:rPr>
                <w:sz w:val="10"/>
                <w:szCs w:val="10"/>
                <w:color w:val="auto"/>
              </w:rPr>
            </w:pPr>
          </w:p>
        </w:tc>
        <w:tc>
          <w:tcPr>
            <w:tcW w:w="1120" w:type="dxa"/>
            <w:vAlign w:val="bottom"/>
            <w:tcBorders>
              <w:top w:val="single" w:sz="8" w:color="CDCDCD"/>
            </w:tcBorders>
          </w:tcPr>
          <w:p>
            <w:pPr>
              <w:spacing w:after="0"/>
              <w:rPr>
                <w:sz w:val="10"/>
                <w:szCs w:val="10"/>
                <w:color w:val="auto"/>
              </w:rPr>
            </w:pPr>
          </w:p>
        </w:tc>
        <w:tc>
          <w:tcPr>
            <w:tcW w:w="980" w:type="dxa"/>
            <w:vAlign w:val="bottom"/>
            <w:tcBorders>
              <w:top w:val="single" w:sz="8" w:color="CDCDCD"/>
            </w:tcBorders>
          </w:tcPr>
          <w:p>
            <w:pPr>
              <w:spacing w:after="0"/>
              <w:rPr>
                <w:sz w:val="10"/>
                <w:szCs w:val="10"/>
                <w:color w:val="auto"/>
              </w:rPr>
            </w:pPr>
          </w:p>
        </w:tc>
        <w:tc>
          <w:tcPr>
            <w:tcW w:w="880" w:type="dxa"/>
            <w:vAlign w:val="bottom"/>
            <w:tcBorders>
              <w:top w:val="single" w:sz="8" w:color="CDCDCD"/>
            </w:tcBorders>
          </w:tcPr>
          <w:p>
            <w:pPr>
              <w:spacing w:after="0"/>
              <w:rPr>
                <w:sz w:val="10"/>
                <w:szCs w:val="10"/>
                <w:color w:val="auto"/>
              </w:rPr>
            </w:pPr>
          </w:p>
        </w:tc>
        <w:tc>
          <w:tcPr>
            <w:tcW w:w="80" w:type="dxa"/>
            <w:vAlign w:val="bottom"/>
            <w:tcBorders>
              <w:top w:val="single" w:sz="8" w:color="CDCDCD"/>
            </w:tcBorders>
          </w:tcPr>
          <w:p>
            <w:pPr>
              <w:spacing w:after="0"/>
              <w:rPr>
                <w:sz w:val="10"/>
                <w:szCs w:val="10"/>
                <w:color w:val="auto"/>
              </w:rPr>
            </w:pPr>
          </w:p>
        </w:tc>
        <w:tc>
          <w:tcPr>
            <w:tcW w:w="420" w:type="dxa"/>
            <w:vAlign w:val="bottom"/>
            <w:tcBorders>
              <w:top w:val="single" w:sz="8" w:color="CDCDCD"/>
            </w:tcBorders>
          </w:tcPr>
          <w:p>
            <w:pPr>
              <w:spacing w:after="0"/>
              <w:rPr>
                <w:sz w:val="10"/>
                <w:szCs w:val="10"/>
                <w:color w:val="auto"/>
              </w:rPr>
            </w:pPr>
          </w:p>
        </w:tc>
        <w:tc>
          <w:tcPr>
            <w:tcW w:w="860" w:type="dxa"/>
            <w:vAlign w:val="bottom"/>
            <w:tcBorders>
              <w:top w:val="single" w:sz="8" w:color="CDCDCD"/>
            </w:tcBorders>
          </w:tcPr>
          <w:p>
            <w:pPr>
              <w:spacing w:after="0"/>
              <w:rPr>
                <w:sz w:val="10"/>
                <w:szCs w:val="10"/>
                <w:color w:val="auto"/>
              </w:rPr>
            </w:pPr>
          </w:p>
        </w:tc>
        <w:tc>
          <w:tcPr>
            <w:tcW w:w="740" w:type="dxa"/>
            <w:vAlign w:val="bottom"/>
            <w:tcBorders>
              <w:top w:val="single" w:sz="8" w:color="CDCDCD"/>
            </w:tcBorders>
          </w:tcPr>
          <w:p>
            <w:pPr>
              <w:spacing w:after="0"/>
              <w:rPr>
                <w:sz w:val="10"/>
                <w:szCs w:val="10"/>
                <w:color w:val="auto"/>
              </w:rPr>
            </w:pPr>
          </w:p>
        </w:tc>
        <w:tc>
          <w:tcPr>
            <w:tcW w:w="96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2020</w:t>
            </w: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jc w:val="right"/>
              <w:ind w:right="94"/>
              <w:spacing w:after="0" w:line="83" w:lineRule="exact"/>
              <w:rPr>
                <w:sz w:val="20"/>
                <w:szCs w:val="20"/>
                <w:color w:val="auto"/>
              </w:rPr>
            </w:pPr>
            <w:r>
              <w:rPr>
                <w:rFonts w:ascii="Arial" w:cs="Arial" w:eastAsia="Arial" w:hAnsi="Arial"/>
                <w:sz w:val="8"/>
                <w:szCs w:val="8"/>
                <w:color w:val="auto"/>
              </w:rPr>
              <w:t>Joint</w:t>
            </w:r>
          </w:p>
        </w:tc>
        <w:tc>
          <w:tcPr>
            <w:tcW w:w="980" w:type="dxa"/>
            <w:vAlign w:val="bottom"/>
            <w:vMerge w:val="restart"/>
          </w:tcPr>
          <w:p>
            <w:pPr>
              <w:jc w:val="right"/>
              <w:ind w:right="72"/>
              <w:spacing w:after="0"/>
              <w:rPr>
                <w:sz w:val="20"/>
                <w:szCs w:val="20"/>
                <w:color w:val="auto"/>
              </w:rPr>
            </w:pPr>
            <w:r>
              <w:rPr>
                <w:rFonts w:ascii="Arial" w:cs="Arial" w:eastAsia="Arial" w:hAnsi="Arial"/>
                <w:sz w:val="10"/>
                <w:szCs w:val="10"/>
                <w:color w:val="auto"/>
              </w:rPr>
              <w:t>Associates</w:t>
            </w:r>
          </w:p>
        </w:tc>
        <w:tc>
          <w:tcPr>
            <w:tcW w:w="1380" w:type="dxa"/>
            <w:vAlign w:val="bottom"/>
            <w:gridSpan w:val="3"/>
            <w:vMerge w:val="restart"/>
          </w:tcPr>
          <w:p>
            <w:pPr>
              <w:jc w:val="right"/>
              <w:ind w:right="520"/>
              <w:spacing w:after="0"/>
              <w:rPr>
                <w:sz w:val="20"/>
                <w:szCs w:val="20"/>
                <w:color w:val="auto"/>
              </w:rPr>
            </w:pPr>
            <w:r>
              <w:rPr>
                <w:rFonts w:ascii="Arial" w:cs="Arial" w:eastAsia="Arial" w:hAnsi="Arial"/>
                <w:sz w:val="10"/>
                <w:szCs w:val="10"/>
                <w:color w:val="auto"/>
              </w:rPr>
              <w:t>Total</w:t>
            </w:r>
          </w:p>
        </w:tc>
        <w:tc>
          <w:tcPr>
            <w:tcW w:w="860" w:type="dxa"/>
            <w:vAlign w:val="bottom"/>
          </w:tcPr>
          <w:p>
            <w:pPr>
              <w:jc w:val="right"/>
              <w:ind w:right="254"/>
              <w:spacing w:after="0" w:line="83" w:lineRule="exact"/>
              <w:rPr>
                <w:sz w:val="20"/>
                <w:szCs w:val="20"/>
                <w:color w:val="auto"/>
              </w:rPr>
            </w:pPr>
            <w:r>
              <w:rPr>
                <w:rFonts w:ascii="Arial" w:cs="Arial" w:eastAsia="Arial" w:hAnsi="Arial"/>
                <w:sz w:val="8"/>
                <w:szCs w:val="8"/>
                <w:color w:val="auto"/>
              </w:rPr>
              <w:t>Joint</w:t>
            </w: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Associates</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2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right"/>
              <w:ind w:right="94"/>
              <w:spacing w:after="0"/>
              <w:rPr>
                <w:sz w:val="20"/>
                <w:szCs w:val="20"/>
                <w:color w:val="auto"/>
              </w:rPr>
            </w:pPr>
            <w:r>
              <w:rPr>
                <w:rFonts w:ascii="Arial" w:cs="Arial" w:eastAsia="Arial" w:hAnsi="Arial"/>
                <w:sz w:val="10"/>
                <w:szCs w:val="10"/>
                <w:color w:val="auto"/>
              </w:rPr>
              <w:t>ventures</w:t>
            </w:r>
          </w:p>
        </w:tc>
        <w:tc>
          <w:tcPr>
            <w:tcW w:w="980" w:type="dxa"/>
            <w:vAlign w:val="bottom"/>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860" w:type="dxa"/>
            <w:vAlign w:val="bottom"/>
          </w:tcPr>
          <w:p>
            <w:pPr>
              <w:jc w:val="right"/>
              <w:ind w:right="254"/>
              <w:spacing w:after="0"/>
              <w:rPr>
                <w:sz w:val="20"/>
                <w:szCs w:val="20"/>
                <w:color w:val="auto"/>
              </w:rPr>
            </w:pPr>
            <w:r>
              <w:rPr>
                <w:rFonts w:ascii="Arial" w:cs="Arial" w:eastAsia="Arial" w:hAnsi="Arial"/>
                <w:sz w:val="10"/>
                <w:szCs w:val="10"/>
                <w:color w:val="auto"/>
              </w:rPr>
              <w:t>ventures</w:t>
            </w:r>
          </w:p>
        </w:tc>
        <w:tc>
          <w:tcPr>
            <w:tcW w:w="74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0"/>
                <w:szCs w:val="10"/>
                <w:color w:val="auto"/>
              </w:rPr>
              <w:t>Net assets</w:t>
            </w:r>
          </w:p>
        </w:tc>
        <w:tc>
          <w:tcPr>
            <w:tcW w:w="40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shd w:val="clear" w:color="auto" w:fill="D9D9D9"/>
          </w:tcPr>
          <w:p>
            <w:pPr>
              <w:jc w:val="right"/>
              <w:ind w:right="114"/>
              <w:spacing w:after="0"/>
              <w:rPr>
                <w:sz w:val="20"/>
                <w:szCs w:val="20"/>
                <w:color w:val="auto"/>
              </w:rPr>
            </w:pPr>
            <w:r>
              <w:rPr>
                <w:rFonts w:ascii="Arial" w:cs="Arial" w:eastAsia="Arial" w:hAnsi="Arial"/>
                <w:sz w:val="10"/>
                <w:szCs w:val="10"/>
                <w:color w:val="auto"/>
              </w:rPr>
              <w:t>14,406</w:t>
            </w:r>
          </w:p>
        </w:tc>
        <w:tc>
          <w:tcPr>
            <w:tcW w:w="980" w:type="dxa"/>
            <w:vAlign w:val="bottom"/>
            <w:tcBorders>
              <w:top w:val="single" w:sz="8" w:color="auto"/>
              <w:bottom w:val="single" w:sz="8" w:color="auto"/>
            </w:tcBorders>
            <w:shd w:val="clear" w:color="auto" w:fill="D9D9D9"/>
          </w:tcPr>
          <w:p>
            <w:pPr>
              <w:jc w:val="right"/>
              <w:ind w:right="112"/>
              <w:spacing w:after="0"/>
              <w:rPr>
                <w:sz w:val="20"/>
                <w:szCs w:val="20"/>
                <w:color w:val="auto"/>
              </w:rPr>
            </w:pPr>
            <w:r>
              <w:rPr>
                <w:rFonts w:ascii="Arial" w:cs="Arial" w:eastAsia="Arial" w:hAnsi="Arial"/>
                <w:sz w:val="10"/>
                <w:szCs w:val="10"/>
                <w:color w:val="auto"/>
              </w:rPr>
              <w:t>8,045</w:t>
            </w:r>
          </w:p>
        </w:tc>
        <w:tc>
          <w:tcPr>
            <w:tcW w:w="8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22,451</w:t>
            </w: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0"/>
                <w:szCs w:val="10"/>
                <w:color w:val="auto"/>
              </w:rPr>
              <w:t>13,426</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9,382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22,808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740" w:type="dxa"/>
            <w:vAlign w:val="bottom"/>
            <w:tcBorders>
              <w:bottom w:val="single" w:sz="8" w:color="CDCDCD"/>
            </w:tcBorders>
            <w:gridSpan w:val="2"/>
          </w:tcPr>
          <w:p>
            <w:pPr>
              <w:spacing w:after="0"/>
              <w:rPr>
                <w:sz w:val="6"/>
                <w:szCs w:val="6"/>
                <w:color w:val="auto"/>
              </w:rPr>
            </w:pPr>
          </w:p>
        </w:tc>
        <w:tc>
          <w:tcPr>
            <w:tcW w:w="400" w:type="dxa"/>
            <w:vAlign w:val="bottom"/>
            <w:tcBorders>
              <w:bottom w:val="single" w:sz="8" w:color="CDCDCD"/>
            </w:tcBorders>
          </w:tcPr>
          <w:p>
            <w:pPr>
              <w:spacing w:after="0"/>
              <w:rPr>
                <w:sz w:val="6"/>
                <w:szCs w:val="6"/>
                <w:color w:val="auto"/>
              </w:rPr>
            </w:pPr>
          </w:p>
        </w:tc>
        <w:tc>
          <w:tcPr>
            <w:tcW w:w="520" w:type="dxa"/>
            <w:vAlign w:val="bottom"/>
            <w:tcBorders>
              <w:bottom w:val="single" w:sz="8" w:color="CDCDCD"/>
            </w:tcBorders>
          </w:tcPr>
          <w:p>
            <w:pPr>
              <w:spacing w:after="0"/>
              <w:rPr>
                <w:sz w:val="6"/>
                <w:szCs w:val="6"/>
                <w:color w:val="auto"/>
              </w:rPr>
            </w:pPr>
          </w:p>
        </w:tc>
        <w:tc>
          <w:tcPr>
            <w:tcW w:w="860" w:type="dxa"/>
            <w:vAlign w:val="bottom"/>
            <w:tcBorders>
              <w:bottom w:val="single" w:sz="8" w:color="CDCDCD"/>
            </w:tcBorders>
          </w:tcPr>
          <w:p>
            <w:pPr>
              <w:spacing w:after="0"/>
              <w:rPr>
                <w:sz w:val="6"/>
                <w:szCs w:val="6"/>
                <w:color w:val="auto"/>
              </w:rPr>
            </w:pPr>
          </w:p>
        </w:tc>
        <w:tc>
          <w:tcPr>
            <w:tcW w:w="620" w:type="dxa"/>
            <w:vAlign w:val="bottom"/>
            <w:tcBorders>
              <w:bottom w:val="single" w:sz="8" w:color="CDCDCD"/>
            </w:tcBorders>
          </w:tcPr>
          <w:p>
            <w:pPr>
              <w:spacing w:after="0"/>
              <w:rPr>
                <w:sz w:val="6"/>
                <w:szCs w:val="6"/>
                <w:color w:val="auto"/>
              </w:rPr>
            </w:pPr>
          </w:p>
        </w:tc>
        <w:tc>
          <w:tcPr>
            <w:tcW w:w="80" w:type="dxa"/>
            <w:vAlign w:val="bottom"/>
            <w:tcBorders>
              <w:bottom w:val="single" w:sz="8" w:color="CDCDCD"/>
            </w:tcBorders>
          </w:tcPr>
          <w:p>
            <w:pPr>
              <w:spacing w:after="0"/>
              <w:rPr>
                <w:sz w:val="6"/>
                <w:szCs w:val="6"/>
                <w:color w:val="auto"/>
              </w:rPr>
            </w:pPr>
          </w:p>
        </w:tc>
        <w:tc>
          <w:tcPr>
            <w:tcW w:w="1120" w:type="dxa"/>
            <w:vAlign w:val="bottom"/>
            <w:tcBorders>
              <w:bottom w:val="single" w:sz="8" w:color="CDCDCD"/>
            </w:tcBorders>
          </w:tcPr>
          <w:p>
            <w:pPr>
              <w:spacing w:after="0"/>
              <w:rPr>
                <w:sz w:val="6"/>
                <w:szCs w:val="6"/>
                <w:color w:val="auto"/>
              </w:rPr>
            </w:pPr>
          </w:p>
        </w:tc>
        <w:tc>
          <w:tcPr>
            <w:tcW w:w="980" w:type="dxa"/>
            <w:vAlign w:val="bottom"/>
            <w:tcBorders>
              <w:bottom w:val="single" w:sz="8" w:color="CDCDCD"/>
            </w:tcBorders>
          </w:tcPr>
          <w:p>
            <w:pPr>
              <w:spacing w:after="0"/>
              <w:rPr>
                <w:sz w:val="6"/>
                <w:szCs w:val="6"/>
                <w:color w:val="auto"/>
              </w:rPr>
            </w:pPr>
          </w:p>
        </w:tc>
        <w:tc>
          <w:tcPr>
            <w:tcW w:w="880" w:type="dxa"/>
            <w:vAlign w:val="bottom"/>
            <w:tcBorders>
              <w:bottom w:val="single" w:sz="8" w:color="CDCDCD"/>
            </w:tcBorders>
          </w:tcPr>
          <w:p>
            <w:pPr>
              <w:spacing w:after="0"/>
              <w:rPr>
                <w:sz w:val="6"/>
                <w:szCs w:val="6"/>
                <w:color w:val="auto"/>
              </w:rPr>
            </w:pPr>
          </w:p>
        </w:tc>
        <w:tc>
          <w:tcPr>
            <w:tcW w:w="80" w:type="dxa"/>
            <w:vAlign w:val="bottom"/>
            <w:tcBorders>
              <w:bottom w:val="single" w:sz="8" w:color="CDCDCD"/>
            </w:tcBorders>
          </w:tcPr>
          <w:p>
            <w:pPr>
              <w:spacing w:after="0"/>
              <w:rPr>
                <w:sz w:val="6"/>
                <w:szCs w:val="6"/>
                <w:color w:val="auto"/>
              </w:rPr>
            </w:pPr>
          </w:p>
        </w:tc>
        <w:tc>
          <w:tcPr>
            <w:tcW w:w="420" w:type="dxa"/>
            <w:vAlign w:val="bottom"/>
            <w:tcBorders>
              <w:bottom w:val="single" w:sz="8" w:color="CDCDCD"/>
            </w:tcBorders>
          </w:tcPr>
          <w:p>
            <w:pPr>
              <w:spacing w:after="0"/>
              <w:rPr>
                <w:sz w:val="6"/>
                <w:szCs w:val="6"/>
                <w:color w:val="auto"/>
              </w:rPr>
            </w:pPr>
          </w:p>
        </w:tc>
        <w:tc>
          <w:tcPr>
            <w:tcW w:w="860" w:type="dxa"/>
            <w:vAlign w:val="bottom"/>
            <w:tcBorders>
              <w:bottom w:val="single" w:sz="8" w:color="CDCDCD"/>
            </w:tcBorders>
          </w:tcPr>
          <w:p>
            <w:pPr>
              <w:spacing w:after="0"/>
              <w:rPr>
                <w:sz w:val="6"/>
                <w:szCs w:val="6"/>
                <w:color w:val="auto"/>
              </w:rPr>
            </w:pPr>
          </w:p>
        </w:tc>
        <w:tc>
          <w:tcPr>
            <w:tcW w:w="740" w:type="dxa"/>
            <w:vAlign w:val="bottom"/>
            <w:tcBorders>
              <w:bottom w:val="single" w:sz="8" w:color="CDCDCD"/>
            </w:tcBorders>
          </w:tcPr>
          <w:p>
            <w:pPr>
              <w:spacing w:after="0"/>
              <w:rPr>
                <w:sz w:val="6"/>
                <w:szCs w:val="6"/>
                <w:color w:val="auto"/>
              </w:rPr>
            </w:pPr>
          </w:p>
        </w:tc>
        <w:tc>
          <w:tcPr>
            <w:tcW w:w="960" w:type="dxa"/>
            <w:vAlign w:val="bottom"/>
            <w:tcBorders>
              <w:bottom w:val="single" w:sz="8" w:color="CDCDCD"/>
            </w:tcBorders>
          </w:tcPr>
          <w:p>
            <w:pPr>
              <w:spacing w:after="0"/>
              <w:rPr>
                <w:sz w:val="6"/>
                <w:szCs w:val="6"/>
                <w:color w:val="auto"/>
              </w:rPr>
            </w:pPr>
          </w:p>
        </w:tc>
        <w:tc>
          <w:tcPr>
            <w:tcW w:w="40" w:type="dxa"/>
            <w:vAlign w:val="bottom"/>
            <w:tcBorders>
              <w:bottom w:val="single" w:sz="8" w:color="CDCDCD"/>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740" w:type="dxa"/>
            <w:vAlign w:val="bottom"/>
            <w:gridSpan w:val="2"/>
          </w:tcPr>
          <w:p>
            <w:pPr>
              <w:spacing w:after="0"/>
              <w:rPr>
                <w:sz w:val="20"/>
                <w:szCs w:val="20"/>
                <w:color w:val="auto"/>
              </w:rPr>
            </w:pPr>
            <w:r>
              <w:rPr>
                <w:rFonts w:ascii="Arial" w:cs="Arial" w:eastAsia="Arial" w:hAnsi="Arial"/>
                <w:sz w:val="10"/>
                <w:szCs w:val="10"/>
                <w:color w:val="auto"/>
              </w:rPr>
              <w:t>Transactions with joint ventures and associates</w:t>
            </w: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 million</w:t>
            </w: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3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0"/>
                <w:szCs w:val="10"/>
                <w:color w:val="auto"/>
              </w:rPr>
              <w:t>2019</w:t>
            </w:r>
          </w:p>
        </w:tc>
        <w:tc>
          <w:tcPr>
            <w:tcW w:w="8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740" w:type="dxa"/>
            <w:vAlign w:val="bottom"/>
            <w:gridSpan w:val="2"/>
          </w:tcPr>
          <w:p>
            <w:pPr>
              <w:spacing w:after="0"/>
              <w:rPr>
                <w:sz w:val="20"/>
                <w:szCs w:val="20"/>
                <w:color w:val="auto"/>
              </w:rPr>
            </w:pPr>
            <w:r>
              <w:rPr>
                <w:rFonts w:ascii="Arial" w:cs="Arial" w:eastAsia="Arial" w:hAnsi="Arial"/>
                <w:sz w:val="10"/>
                <w:szCs w:val="10"/>
                <w:color w:val="auto"/>
              </w:rPr>
              <w:t>Sales and charges to joint ventures and associates</w:t>
            </w: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5,426</w:t>
            </w:r>
          </w:p>
        </w:tc>
        <w:tc>
          <w:tcPr>
            <w:tcW w:w="960" w:type="dxa"/>
            <w:vAlign w:val="bottom"/>
            <w:gridSpan w:val="2"/>
          </w:tcPr>
          <w:p>
            <w:pPr>
              <w:jc w:val="right"/>
              <w:spacing w:after="0"/>
              <w:rPr>
                <w:sz w:val="20"/>
                <w:szCs w:val="20"/>
                <w:color w:val="auto"/>
              </w:rPr>
            </w:pPr>
            <w:r>
              <w:rPr>
                <w:rFonts w:ascii="Arial" w:cs="Arial" w:eastAsia="Arial" w:hAnsi="Arial"/>
                <w:sz w:val="10"/>
                <w:szCs w:val="10"/>
                <w:color w:val="auto"/>
              </w:rPr>
              <w:t>7,748</w:t>
            </w: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8,270</w:t>
            </w: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Purchases and charges from joint ventures and associates</w:t>
            </w:r>
          </w:p>
        </w:tc>
        <w:tc>
          <w:tcPr>
            <w:tcW w:w="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8,262</w:t>
            </w:r>
          </w:p>
        </w:tc>
        <w:tc>
          <w:tcPr>
            <w:tcW w:w="13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color w:val="auto"/>
              </w:rPr>
              <w:t>11,581 [A]</w:t>
            </w:r>
          </w:p>
        </w:tc>
        <w:tc>
          <w:tcPr>
            <w:tcW w:w="8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13,758</w:t>
            </w: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[A]</w:t>
            </w:r>
          </w:p>
        </w:tc>
        <w:tc>
          <w:tcPr>
            <w:tcW w:w="0" w:type="dxa"/>
            <w:vAlign w:val="bottom"/>
          </w:tcPr>
          <w:p>
            <w:pPr>
              <w:spacing w:after="0"/>
              <w:rPr>
                <w:sz w:val="1"/>
                <w:szCs w:val="1"/>
                <w:color w:val="auto"/>
              </w:rPr>
            </w:pPr>
          </w:p>
        </w:tc>
      </w:tr>
      <w:tr>
        <w:trPr>
          <w:trHeight w:val="139"/>
        </w:trPr>
        <w:tc>
          <w:tcPr>
            <w:tcW w:w="3660" w:type="dxa"/>
            <w:vAlign w:val="bottom"/>
            <w:gridSpan w:val="4"/>
          </w:tcPr>
          <w:p>
            <w:pPr>
              <w:spacing w:after="0"/>
              <w:rPr>
                <w:sz w:val="20"/>
                <w:szCs w:val="20"/>
                <w:color w:val="auto"/>
              </w:rPr>
            </w:pPr>
            <w:r>
              <w:rPr>
                <w:rFonts w:ascii="Arial" w:cs="Arial" w:eastAsia="Arial" w:hAnsi="Arial"/>
                <w:sz w:val="7"/>
                <w:szCs w:val="7"/>
                <w:color w:val="auto"/>
                <w:w w:val="96"/>
              </w:rPr>
              <w:t>[A] As revised, following the reassessment of contractual relationships, by $2,008 million (2019) and $2,546 million (2018).</w:t>
            </w: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660" w:type="dxa"/>
            <w:vAlign w:val="bottom"/>
            <w:gridSpan w:val="4"/>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gridSpan w:val="2"/>
          </w:tcPr>
          <w:p>
            <w:pPr>
              <w:jc w:val="right"/>
              <w:ind w:right="654"/>
              <w:spacing w:after="0"/>
              <w:rPr>
                <w:sz w:val="20"/>
                <w:szCs w:val="20"/>
                <w:color w:val="auto"/>
              </w:rPr>
            </w:pPr>
            <w:r>
              <w:rPr>
                <w:rFonts w:ascii="Arial" w:cs="Arial" w:eastAsia="Arial" w:hAnsi="Arial"/>
                <w:sz w:val="7"/>
                <w:szCs w:val="7"/>
                <w:color w:val="auto"/>
              </w:rPr>
              <w:t>186</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1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35" w:right="299" w:bottom="1440" w:gutter="0" w:footer="0" w:header="0"/>
        </w:sectPr>
      </w:pPr>
    </w:p>
    <w:bookmarkStart w:id="189" w:name="page190"/>
    <w:bookmarkEnd w:id="189"/>
    <w:p>
      <w:pPr>
        <w:ind w:left="8"/>
        <w:spacing w:after="0"/>
        <w:rPr>
          <w:sz w:val="20"/>
          <w:szCs w:val="20"/>
          <w:color w:val="auto"/>
        </w:rPr>
      </w:pPr>
      <w:r>
        <w:rPr>
          <w:rFonts w:ascii="Arial" w:cs="Arial" w:eastAsia="Arial" w:hAnsi="Arial"/>
          <w:sz w:val="10"/>
          <w:szCs w:val="10"/>
          <w:color w:val="auto"/>
        </w:rPr>
        <w:t>These transactions principally comprise sales and purchases of goods and services in the ordinary course of business. Related balances outstanding at December 31, 2020, and 2019, are presented in Notes 11 and 15.</w:t>
      </w:r>
    </w:p>
    <w:p>
      <w:pPr>
        <w:spacing w:after="0" w:line="6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64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Other arrangements in respect of joint ventures and associates</w:t>
            </w:r>
          </w:p>
        </w:tc>
        <w:tc>
          <w:tcPr>
            <w:tcW w:w="132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86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2019</w:t>
            </w:r>
          </w:p>
        </w:tc>
      </w:tr>
      <w:tr>
        <w:trPr>
          <w:trHeight w:val="114"/>
        </w:trPr>
        <w:tc>
          <w:tcPr>
            <w:tcW w:w="8640" w:type="dxa"/>
            <w:vAlign w:val="bottom"/>
          </w:tcPr>
          <w:p>
            <w:pPr>
              <w:spacing w:after="0"/>
              <w:rPr>
                <w:sz w:val="20"/>
                <w:szCs w:val="20"/>
                <w:color w:val="auto"/>
              </w:rPr>
            </w:pPr>
            <w:r>
              <w:rPr>
                <w:rFonts w:ascii="Arial" w:cs="Arial" w:eastAsia="Arial" w:hAnsi="Arial"/>
                <w:sz w:val="10"/>
                <w:szCs w:val="10"/>
                <w:color w:val="auto"/>
              </w:rPr>
              <w:t>Commitments to make purchases from joint ventures and associates [A]</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1,674</w:t>
            </w:r>
          </w:p>
        </w:tc>
        <w:tc>
          <w:tcPr>
            <w:tcW w:w="1320" w:type="dxa"/>
            <w:vAlign w:val="bottom"/>
          </w:tcPr>
          <w:p>
            <w:pPr>
              <w:jc w:val="right"/>
              <w:spacing w:after="0"/>
              <w:rPr>
                <w:sz w:val="20"/>
                <w:szCs w:val="20"/>
                <w:color w:val="auto"/>
              </w:rPr>
            </w:pPr>
            <w:r>
              <w:rPr>
                <w:rFonts w:ascii="Arial" w:cs="Arial" w:eastAsia="Arial" w:hAnsi="Arial"/>
                <w:sz w:val="10"/>
                <w:szCs w:val="10"/>
                <w:color w:val="auto"/>
              </w:rPr>
              <w:t>2,177</w:t>
            </w:r>
          </w:p>
        </w:tc>
      </w:tr>
      <w:tr>
        <w:trPr>
          <w:trHeight w:val="127"/>
        </w:trPr>
        <w:tc>
          <w:tcPr>
            <w:tcW w:w="86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Commitments to provide debt or equity funding to joint ventures and associates</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900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897</w:t>
            </w:r>
          </w:p>
        </w:tc>
      </w:tr>
    </w:tbl>
    <w:p>
      <w:pPr>
        <w:spacing w:after="0" w:line="47" w:lineRule="exact"/>
        <w:rPr>
          <w:sz w:val="20"/>
          <w:szCs w:val="20"/>
          <w:color w:val="auto"/>
        </w:rPr>
      </w:pPr>
    </w:p>
    <w:p>
      <w:pPr>
        <w:ind w:left="8" w:right="80" w:hanging="8"/>
        <w:spacing w:after="0" w:line="270" w:lineRule="auto"/>
        <w:tabs>
          <w:tab w:leader="none" w:pos="126" w:val="left"/>
        </w:tabs>
        <w:numPr>
          <w:ilvl w:val="0"/>
          <w:numId w:val="176"/>
        </w:numPr>
        <w:rPr>
          <w:rFonts w:ascii="Arial" w:cs="Arial" w:eastAsia="Arial" w:hAnsi="Arial"/>
          <w:sz w:val="7"/>
          <w:szCs w:val="7"/>
          <w:color w:val="auto"/>
        </w:rPr>
      </w:pPr>
      <w:r>
        <w:rPr>
          <w:rFonts w:ascii="Arial" w:cs="Arial" w:eastAsia="Arial" w:hAnsi="Arial"/>
          <w:sz w:val="7"/>
          <w:szCs w:val="7"/>
          <w:color w:val="auto"/>
        </w:rPr>
        <w:t>Commitments to make purchases from joint ventures and associates mainly relate to contracts associated with LNG processing fees and transportation capacity. Shell has other purchase obligations related to joint ventures and associates that are not fixed or determinable and are principally intended to be resold in a short period of time through sales agreements with third parties. These include long-term LNG and natural gas purchase commitments and commitments to purchase refined products or crude oil at market prices.</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1"/>
          <w:szCs w:val="11"/>
          <w:color w:val="auto"/>
        </w:rPr>
        <w:t>10 – INVESTMENTS IN SECURITIES</w:t>
      </w:r>
    </w:p>
    <w:p>
      <w:pPr>
        <w:spacing w:after="0" w:line="10"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864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Investment in securities</w:t>
            </w:r>
          </w:p>
        </w:tc>
        <w:tc>
          <w:tcPr>
            <w:tcW w:w="1320" w:type="dxa"/>
            <w:vAlign w:val="bottom"/>
            <w:tcBorders>
              <w:top w:val="single" w:sz="8" w:color="D9D9D9"/>
            </w:tcBorders>
          </w:tcPr>
          <w:p>
            <w:pPr>
              <w:spacing w:after="0"/>
              <w:rPr>
                <w:sz w:val="13"/>
                <w:szCs w:val="13"/>
                <w:color w:val="auto"/>
              </w:rPr>
            </w:pPr>
          </w:p>
        </w:tc>
        <w:tc>
          <w:tcPr>
            <w:tcW w:w="132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86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2019</w:t>
            </w:r>
          </w:p>
        </w:tc>
      </w:tr>
      <w:tr>
        <w:trPr>
          <w:trHeight w:val="114"/>
        </w:trPr>
        <w:tc>
          <w:tcPr>
            <w:tcW w:w="8640" w:type="dxa"/>
            <w:vAlign w:val="bottom"/>
          </w:tcPr>
          <w:p>
            <w:pPr>
              <w:spacing w:after="0"/>
              <w:rPr>
                <w:sz w:val="20"/>
                <w:szCs w:val="20"/>
                <w:color w:val="auto"/>
              </w:rPr>
            </w:pPr>
            <w:r>
              <w:rPr>
                <w:rFonts w:ascii="Arial" w:cs="Arial" w:eastAsia="Arial" w:hAnsi="Arial"/>
                <w:sz w:val="10"/>
                <w:szCs w:val="10"/>
                <w:color w:val="auto"/>
              </w:rPr>
              <w:t>Equity securities:</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1,396</w:t>
            </w:r>
          </w:p>
        </w:tc>
        <w:tc>
          <w:tcPr>
            <w:tcW w:w="1320" w:type="dxa"/>
            <w:vAlign w:val="bottom"/>
          </w:tcPr>
          <w:p>
            <w:pPr>
              <w:jc w:val="right"/>
              <w:spacing w:after="0"/>
              <w:rPr>
                <w:sz w:val="20"/>
                <w:szCs w:val="20"/>
                <w:color w:val="auto"/>
              </w:rPr>
            </w:pPr>
            <w:r>
              <w:rPr>
                <w:rFonts w:ascii="Arial" w:cs="Arial" w:eastAsia="Arial" w:hAnsi="Arial"/>
                <w:sz w:val="10"/>
                <w:szCs w:val="10"/>
                <w:color w:val="auto"/>
              </w:rPr>
              <w:t>1,437</w:t>
            </w:r>
          </w:p>
        </w:tc>
      </w:tr>
      <w:tr>
        <w:trPr>
          <w:trHeight w:val="123"/>
        </w:trPr>
        <w:tc>
          <w:tcPr>
            <w:tcW w:w="8640" w:type="dxa"/>
            <w:vAlign w:val="bottom"/>
          </w:tcPr>
          <w:p>
            <w:pPr>
              <w:ind w:left="140"/>
              <w:spacing w:after="0"/>
              <w:rPr>
                <w:sz w:val="20"/>
                <w:szCs w:val="20"/>
                <w:color w:val="auto"/>
              </w:rPr>
            </w:pPr>
            <w:r>
              <w:rPr>
                <w:rFonts w:ascii="Arial" w:cs="Arial" w:eastAsia="Arial" w:hAnsi="Arial"/>
                <w:sz w:val="10"/>
                <w:szCs w:val="10"/>
                <w:color w:val="auto"/>
              </w:rPr>
              <w:t>Equity securities at fair value through other comprehensive income</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1,396</w:t>
            </w:r>
          </w:p>
        </w:tc>
        <w:tc>
          <w:tcPr>
            <w:tcW w:w="1320" w:type="dxa"/>
            <w:vAlign w:val="bottom"/>
          </w:tcPr>
          <w:p>
            <w:pPr>
              <w:jc w:val="right"/>
              <w:spacing w:after="0"/>
              <w:rPr>
                <w:sz w:val="20"/>
                <w:szCs w:val="20"/>
                <w:color w:val="auto"/>
              </w:rPr>
            </w:pPr>
            <w:r>
              <w:rPr>
                <w:rFonts w:ascii="Arial" w:cs="Arial" w:eastAsia="Arial" w:hAnsi="Arial"/>
                <w:sz w:val="10"/>
                <w:szCs w:val="10"/>
                <w:color w:val="auto"/>
              </w:rPr>
              <w:t>1,437</w:t>
            </w:r>
          </w:p>
        </w:tc>
      </w:tr>
      <w:tr>
        <w:trPr>
          <w:trHeight w:val="126"/>
        </w:trPr>
        <w:tc>
          <w:tcPr>
            <w:tcW w:w="8640" w:type="dxa"/>
            <w:vAlign w:val="bottom"/>
          </w:tcPr>
          <w:p>
            <w:pPr>
              <w:spacing w:after="0"/>
              <w:rPr>
                <w:sz w:val="20"/>
                <w:szCs w:val="20"/>
                <w:color w:val="auto"/>
              </w:rPr>
            </w:pPr>
            <w:r>
              <w:rPr>
                <w:rFonts w:ascii="Arial" w:cs="Arial" w:eastAsia="Arial" w:hAnsi="Arial"/>
                <w:sz w:val="10"/>
                <w:szCs w:val="10"/>
                <w:color w:val="auto"/>
              </w:rPr>
              <w:t>Debt securities:</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1,826</w:t>
            </w:r>
          </w:p>
        </w:tc>
        <w:tc>
          <w:tcPr>
            <w:tcW w:w="1320" w:type="dxa"/>
            <w:vAlign w:val="bottom"/>
          </w:tcPr>
          <w:p>
            <w:pPr>
              <w:jc w:val="right"/>
              <w:spacing w:after="0"/>
              <w:rPr>
                <w:sz w:val="20"/>
                <w:szCs w:val="20"/>
                <w:color w:val="auto"/>
              </w:rPr>
            </w:pPr>
            <w:r>
              <w:rPr>
                <w:rFonts w:ascii="Arial" w:cs="Arial" w:eastAsia="Arial" w:hAnsi="Arial"/>
                <w:sz w:val="10"/>
                <w:szCs w:val="10"/>
                <w:color w:val="auto"/>
              </w:rPr>
              <w:t>1,552</w:t>
            </w:r>
          </w:p>
        </w:tc>
      </w:tr>
      <w:tr>
        <w:trPr>
          <w:trHeight w:val="126"/>
        </w:trPr>
        <w:tc>
          <w:tcPr>
            <w:tcW w:w="8640" w:type="dxa"/>
            <w:vAlign w:val="bottom"/>
          </w:tcPr>
          <w:p>
            <w:pPr>
              <w:ind w:left="140"/>
              <w:spacing w:after="0"/>
              <w:rPr>
                <w:sz w:val="20"/>
                <w:szCs w:val="20"/>
                <w:color w:val="auto"/>
              </w:rPr>
            </w:pPr>
            <w:r>
              <w:rPr>
                <w:rFonts w:ascii="Arial" w:cs="Arial" w:eastAsia="Arial" w:hAnsi="Arial"/>
                <w:sz w:val="10"/>
                <w:szCs w:val="10"/>
                <w:color w:val="auto"/>
              </w:rPr>
              <w:t>Debt securities at amortised cost</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12</w:t>
            </w:r>
          </w:p>
        </w:tc>
        <w:tc>
          <w:tcPr>
            <w:tcW w:w="1320" w:type="dxa"/>
            <w:vAlign w:val="bottom"/>
          </w:tcPr>
          <w:p>
            <w:pPr>
              <w:jc w:val="right"/>
              <w:spacing w:after="0"/>
              <w:rPr>
                <w:sz w:val="20"/>
                <w:szCs w:val="20"/>
                <w:color w:val="auto"/>
              </w:rPr>
            </w:pPr>
            <w:r>
              <w:rPr>
                <w:rFonts w:ascii="Arial" w:cs="Arial" w:eastAsia="Arial" w:hAnsi="Arial"/>
                <w:sz w:val="10"/>
                <w:szCs w:val="10"/>
                <w:color w:val="auto"/>
              </w:rPr>
              <w:t>11</w:t>
            </w:r>
          </w:p>
        </w:tc>
      </w:tr>
      <w:tr>
        <w:trPr>
          <w:trHeight w:val="126"/>
        </w:trPr>
        <w:tc>
          <w:tcPr>
            <w:tcW w:w="8640" w:type="dxa"/>
            <w:vAlign w:val="bottom"/>
          </w:tcPr>
          <w:p>
            <w:pPr>
              <w:ind w:left="140"/>
              <w:spacing w:after="0"/>
              <w:rPr>
                <w:sz w:val="20"/>
                <w:szCs w:val="20"/>
                <w:color w:val="auto"/>
              </w:rPr>
            </w:pPr>
            <w:r>
              <w:rPr>
                <w:rFonts w:ascii="Arial" w:cs="Arial" w:eastAsia="Arial" w:hAnsi="Arial"/>
                <w:sz w:val="10"/>
                <w:szCs w:val="10"/>
                <w:color w:val="auto"/>
              </w:rPr>
              <w:t>Debt securities at fair value through other comprehensive income</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1,165</w:t>
            </w:r>
          </w:p>
        </w:tc>
        <w:tc>
          <w:tcPr>
            <w:tcW w:w="1320" w:type="dxa"/>
            <w:vAlign w:val="bottom"/>
          </w:tcPr>
          <w:p>
            <w:pPr>
              <w:jc w:val="right"/>
              <w:spacing w:after="0"/>
              <w:rPr>
                <w:sz w:val="20"/>
                <w:szCs w:val="20"/>
                <w:color w:val="auto"/>
              </w:rPr>
            </w:pPr>
            <w:r>
              <w:rPr>
                <w:rFonts w:ascii="Arial" w:cs="Arial" w:eastAsia="Arial" w:hAnsi="Arial"/>
                <w:sz w:val="10"/>
                <w:szCs w:val="10"/>
                <w:color w:val="auto"/>
              </w:rPr>
              <w:t>1,086</w:t>
            </w:r>
          </w:p>
        </w:tc>
      </w:tr>
      <w:tr>
        <w:trPr>
          <w:trHeight w:val="130"/>
        </w:trPr>
        <w:tc>
          <w:tcPr>
            <w:tcW w:w="86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Debt securities at fair value through profit or loss</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649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455</w:t>
            </w:r>
          </w:p>
        </w:tc>
      </w:tr>
      <w:tr>
        <w:trPr>
          <w:trHeight w:val="117"/>
        </w:trPr>
        <w:tc>
          <w:tcPr>
            <w:tcW w:w="86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3,222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2,989</w:t>
            </w:r>
          </w:p>
        </w:tc>
      </w:tr>
      <w:tr>
        <w:trPr>
          <w:trHeight w:val="113"/>
        </w:trPr>
        <w:tc>
          <w:tcPr>
            <w:tcW w:w="8640" w:type="dxa"/>
            <w:vAlign w:val="bottom"/>
          </w:tcPr>
          <w:p>
            <w:pPr>
              <w:spacing w:after="0" w:line="113" w:lineRule="exact"/>
              <w:rPr>
                <w:sz w:val="20"/>
                <w:szCs w:val="20"/>
                <w:color w:val="auto"/>
              </w:rPr>
            </w:pPr>
            <w:r>
              <w:rPr>
                <w:rFonts w:ascii="Arial" w:cs="Arial" w:eastAsia="Arial" w:hAnsi="Arial"/>
                <w:sz w:val="10"/>
                <w:szCs w:val="10"/>
                <w:color w:val="auto"/>
              </w:rPr>
              <w:t>At fair value</w:t>
            </w:r>
          </w:p>
        </w:tc>
        <w:tc>
          <w:tcPr>
            <w:tcW w:w="1320" w:type="dxa"/>
            <w:vAlign w:val="bottom"/>
            <w:shd w:val="clear" w:color="auto" w:fill="D9D9D9"/>
          </w:tcPr>
          <w:p>
            <w:pPr>
              <w:spacing w:after="0"/>
              <w:rPr>
                <w:sz w:val="9"/>
                <w:szCs w:val="9"/>
                <w:color w:val="auto"/>
              </w:rPr>
            </w:pPr>
          </w:p>
        </w:tc>
        <w:tc>
          <w:tcPr>
            <w:tcW w:w="1320" w:type="dxa"/>
            <w:vAlign w:val="bottom"/>
          </w:tcPr>
          <w:p>
            <w:pPr>
              <w:spacing w:after="0"/>
              <w:rPr>
                <w:sz w:val="9"/>
                <w:szCs w:val="9"/>
                <w:color w:val="auto"/>
              </w:rPr>
            </w:pPr>
          </w:p>
        </w:tc>
      </w:tr>
      <w:tr>
        <w:trPr>
          <w:trHeight w:val="123"/>
        </w:trPr>
        <w:tc>
          <w:tcPr>
            <w:tcW w:w="8640" w:type="dxa"/>
            <w:vAlign w:val="bottom"/>
          </w:tcPr>
          <w:p>
            <w:pPr>
              <w:ind w:left="140"/>
              <w:spacing w:after="0"/>
              <w:rPr>
                <w:sz w:val="20"/>
                <w:szCs w:val="20"/>
                <w:color w:val="auto"/>
              </w:rPr>
            </w:pPr>
            <w:r>
              <w:rPr>
                <w:rFonts w:ascii="Arial" w:cs="Arial" w:eastAsia="Arial" w:hAnsi="Arial"/>
                <w:sz w:val="10"/>
                <w:szCs w:val="10"/>
                <w:color w:val="auto"/>
              </w:rPr>
              <w:t>Measured by reference to prices in active markets for identical assets</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1,637</w:t>
            </w:r>
          </w:p>
        </w:tc>
        <w:tc>
          <w:tcPr>
            <w:tcW w:w="1320" w:type="dxa"/>
            <w:vAlign w:val="bottom"/>
          </w:tcPr>
          <w:p>
            <w:pPr>
              <w:jc w:val="right"/>
              <w:spacing w:after="0"/>
              <w:rPr>
                <w:sz w:val="20"/>
                <w:szCs w:val="20"/>
                <w:color w:val="auto"/>
              </w:rPr>
            </w:pPr>
            <w:r>
              <w:rPr>
                <w:rFonts w:ascii="Arial" w:cs="Arial" w:eastAsia="Arial" w:hAnsi="Arial"/>
                <w:sz w:val="10"/>
                <w:szCs w:val="10"/>
                <w:color w:val="auto"/>
              </w:rPr>
              <w:t>1,669</w:t>
            </w:r>
          </w:p>
        </w:tc>
      </w:tr>
      <w:tr>
        <w:trPr>
          <w:trHeight w:val="126"/>
        </w:trPr>
        <w:tc>
          <w:tcPr>
            <w:tcW w:w="8640" w:type="dxa"/>
            <w:vAlign w:val="bottom"/>
          </w:tcPr>
          <w:p>
            <w:pPr>
              <w:ind w:left="140"/>
              <w:spacing w:after="0"/>
              <w:rPr>
                <w:sz w:val="20"/>
                <w:szCs w:val="20"/>
                <w:color w:val="auto"/>
              </w:rPr>
            </w:pPr>
            <w:r>
              <w:rPr>
                <w:rFonts w:ascii="Arial" w:cs="Arial" w:eastAsia="Arial" w:hAnsi="Arial"/>
                <w:sz w:val="10"/>
                <w:szCs w:val="10"/>
                <w:color w:val="auto"/>
              </w:rPr>
              <w:t>Measured by reference to other observable inputs</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68</w:t>
            </w:r>
          </w:p>
        </w:tc>
        <w:tc>
          <w:tcPr>
            <w:tcW w:w="1320" w:type="dxa"/>
            <w:vAlign w:val="bottom"/>
          </w:tcPr>
          <w:p>
            <w:pPr>
              <w:jc w:val="right"/>
              <w:spacing w:after="0"/>
              <w:rPr>
                <w:sz w:val="20"/>
                <w:szCs w:val="20"/>
                <w:color w:val="auto"/>
              </w:rPr>
            </w:pPr>
            <w:r>
              <w:rPr>
                <w:rFonts w:ascii="Arial" w:cs="Arial" w:eastAsia="Arial" w:hAnsi="Arial"/>
                <w:sz w:val="10"/>
                <w:szCs w:val="10"/>
                <w:color w:val="auto"/>
              </w:rPr>
              <w:t>56</w:t>
            </w:r>
          </w:p>
        </w:tc>
      </w:tr>
      <w:tr>
        <w:trPr>
          <w:trHeight w:val="130"/>
        </w:trPr>
        <w:tc>
          <w:tcPr>
            <w:tcW w:w="86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Measured using predominantly unobservable inputs</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1,505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1,253</w:t>
            </w:r>
          </w:p>
        </w:tc>
      </w:tr>
      <w:tr>
        <w:trPr>
          <w:trHeight w:val="114"/>
        </w:trPr>
        <w:tc>
          <w:tcPr>
            <w:tcW w:w="8640" w:type="dxa"/>
            <w:vAlign w:val="bottom"/>
          </w:tcPr>
          <w:p>
            <w:pPr>
              <w:spacing w:after="0"/>
              <w:rPr>
                <w:sz w:val="20"/>
                <w:szCs w:val="20"/>
                <w:color w:val="auto"/>
              </w:rPr>
            </w:pPr>
            <w:r>
              <w:rPr>
                <w:rFonts w:ascii="Arial" w:cs="Arial" w:eastAsia="Arial" w:hAnsi="Arial"/>
                <w:sz w:val="10"/>
                <w:szCs w:val="10"/>
                <w:color w:val="auto"/>
              </w:rPr>
              <w:t>Total</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3,210</w:t>
            </w:r>
          </w:p>
        </w:tc>
        <w:tc>
          <w:tcPr>
            <w:tcW w:w="1320" w:type="dxa"/>
            <w:vAlign w:val="bottom"/>
          </w:tcPr>
          <w:p>
            <w:pPr>
              <w:jc w:val="right"/>
              <w:spacing w:after="0"/>
              <w:rPr>
                <w:sz w:val="20"/>
                <w:szCs w:val="20"/>
                <w:color w:val="auto"/>
              </w:rPr>
            </w:pPr>
            <w:r>
              <w:rPr>
                <w:rFonts w:ascii="Arial" w:cs="Arial" w:eastAsia="Arial" w:hAnsi="Arial"/>
                <w:sz w:val="10"/>
                <w:szCs w:val="10"/>
                <w:color w:val="auto"/>
              </w:rPr>
              <w:t>2,978</w:t>
            </w:r>
          </w:p>
        </w:tc>
      </w:tr>
      <w:tr>
        <w:trPr>
          <w:trHeight w:val="127"/>
        </w:trPr>
        <w:tc>
          <w:tcPr>
            <w:tcW w:w="86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cost</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w:t>
            </w:r>
          </w:p>
        </w:tc>
      </w:tr>
      <w:tr>
        <w:trPr>
          <w:trHeight w:val="117"/>
        </w:trPr>
        <w:tc>
          <w:tcPr>
            <w:tcW w:w="86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3,222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2,989</w:t>
            </w:r>
          </w:p>
        </w:tc>
      </w:tr>
    </w:tbl>
    <w:p>
      <w:pPr>
        <w:spacing w:after="0" w:line="141" w:lineRule="exact"/>
        <w:rPr>
          <w:sz w:val="20"/>
          <w:szCs w:val="20"/>
          <w:color w:val="auto"/>
        </w:rPr>
      </w:pPr>
    </w:p>
    <w:p>
      <w:pPr>
        <w:ind w:left="8"/>
        <w:spacing w:after="0"/>
        <w:rPr>
          <w:sz w:val="20"/>
          <w:szCs w:val="20"/>
          <w:color w:val="auto"/>
        </w:rPr>
      </w:pPr>
      <w:r>
        <w:rPr>
          <w:rFonts w:ascii="Arial" w:cs="Arial" w:eastAsia="Arial" w:hAnsi="Arial"/>
          <w:sz w:val="10"/>
          <w:szCs w:val="10"/>
          <w:color w:val="auto"/>
        </w:rPr>
        <w:t>Equity securities at December 31, 2020, principally comprised interests below 5%in various investments. Debt securities principally comprised a portfolio required to be held by the Company’s internal insurance entities as security for their activities.</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24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Investments in securities measured using predominantly unobservable inputs [A]</w:t>
            </w:r>
          </w:p>
        </w:tc>
        <w:tc>
          <w:tcPr>
            <w:tcW w:w="1320" w:type="dxa"/>
            <w:vAlign w:val="bottom"/>
            <w:tcBorders>
              <w:top w:val="single" w:sz="8" w:color="D9D9D9"/>
            </w:tcBorders>
          </w:tcPr>
          <w:p>
            <w:pPr>
              <w:spacing w:after="0"/>
              <w:rPr>
                <w:sz w:val="13"/>
                <w:szCs w:val="13"/>
                <w:color w:val="auto"/>
              </w:rPr>
            </w:pPr>
          </w:p>
        </w:tc>
        <w:tc>
          <w:tcPr>
            <w:tcW w:w="134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82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r>
      <w:tr>
        <w:trPr>
          <w:trHeight w:val="114"/>
        </w:trPr>
        <w:tc>
          <w:tcPr>
            <w:tcW w:w="8240" w:type="dxa"/>
            <w:vAlign w:val="bottom"/>
          </w:tcPr>
          <w:p>
            <w:pPr>
              <w:spacing w:after="0"/>
              <w:rPr>
                <w:sz w:val="20"/>
                <w:szCs w:val="20"/>
                <w:color w:val="auto"/>
              </w:rPr>
            </w:pPr>
            <w:r>
              <w:rPr>
                <w:rFonts w:ascii="Arial" w:cs="Arial" w:eastAsia="Arial" w:hAnsi="Arial"/>
                <w:sz w:val="10"/>
                <w:szCs w:val="10"/>
                <w:color w:val="auto"/>
              </w:rPr>
              <w:t>At January 1</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1,253</w:t>
            </w:r>
          </w:p>
        </w:tc>
        <w:tc>
          <w:tcPr>
            <w:tcW w:w="1340" w:type="dxa"/>
            <w:vAlign w:val="bottom"/>
          </w:tcPr>
          <w:p>
            <w:pPr>
              <w:jc w:val="right"/>
              <w:ind w:right="12"/>
              <w:spacing w:after="0"/>
              <w:rPr>
                <w:sz w:val="20"/>
                <w:szCs w:val="20"/>
                <w:color w:val="auto"/>
              </w:rPr>
            </w:pPr>
            <w:r>
              <w:rPr>
                <w:rFonts w:ascii="Arial" w:cs="Arial" w:eastAsia="Arial" w:hAnsi="Arial"/>
                <w:sz w:val="10"/>
                <w:szCs w:val="10"/>
                <w:color w:val="auto"/>
              </w:rPr>
              <w:t>1,193</w:t>
            </w:r>
          </w:p>
        </w:tc>
      </w:tr>
      <w:tr>
        <w:trPr>
          <w:trHeight w:val="123"/>
        </w:trPr>
        <w:tc>
          <w:tcPr>
            <w:tcW w:w="8240" w:type="dxa"/>
            <w:vAlign w:val="bottom"/>
          </w:tcPr>
          <w:p>
            <w:pPr>
              <w:spacing w:after="0"/>
              <w:rPr>
                <w:sz w:val="20"/>
                <w:szCs w:val="20"/>
                <w:color w:val="auto"/>
              </w:rPr>
            </w:pPr>
            <w:r>
              <w:rPr>
                <w:rFonts w:ascii="Arial" w:cs="Arial" w:eastAsia="Arial" w:hAnsi="Arial"/>
                <w:sz w:val="10"/>
                <w:szCs w:val="10"/>
                <w:color w:val="auto"/>
              </w:rPr>
              <w:t>Gains/(losses) recognised in other comprehensive income</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45</w:t>
            </w:r>
          </w:p>
        </w:tc>
        <w:tc>
          <w:tcPr>
            <w:tcW w:w="1340" w:type="dxa"/>
            <w:vAlign w:val="bottom"/>
          </w:tcPr>
          <w:p>
            <w:pPr>
              <w:jc w:val="right"/>
              <w:spacing w:after="0"/>
              <w:rPr>
                <w:sz w:val="20"/>
                <w:szCs w:val="20"/>
                <w:color w:val="auto"/>
              </w:rPr>
            </w:pPr>
            <w:r>
              <w:rPr>
                <w:rFonts w:ascii="Arial" w:cs="Arial" w:eastAsia="Arial" w:hAnsi="Arial"/>
                <w:sz w:val="10"/>
                <w:szCs w:val="10"/>
                <w:color w:val="auto"/>
              </w:rPr>
              <w:t>(42)</w:t>
            </w:r>
          </w:p>
        </w:tc>
      </w:tr>
      <w:tr>
        <w:trPr>
          <w:trHeight w:val="126"/>
        </w:trPr>
        <w:tc>
          <w:tcPr>
            <w:tcW w:w="8240" w:type="dxa"/>
            <w:vAlign w:val="bottom"/>
          </w:tcPr>
          <w:p>
            <w:pPr>
              <w:spacing w:after="0"/>
              <w:rPr>
                <w:sz w:val="20"/>
                <w:szCs w:val="20"/>
                <w:color w:val="auto"/>
              </w:rPr>
            </w:pPr>
            <w:r>
              <w:rPr>
                <w:rFonts w:ascii="Arial" w:cs="Arial" w:eastAsia="Arial" w:hAnsi="Arial"/>
                <w:sz w:val="10"/>
                <w:szCs w:val="10"/>
                <w:color w:val="auto"/>
              </w:rPr>
              <w:t>Purchases</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329</w:t>
            </w:r>
          </w:p>
        </w:tc>
        <w:tc>
          <w:tcPr>
            <w:tcW w:w="1340" w:type="dxa"/>
            <w:vAlign w:val="bottom"/>
          </w:tcPr>
          <w:p>
            <w:pPr>
              <w:jc w:val="right"/>
              <w:ind w:right="12"/>
              <w:spacing w:after="0"/>
              <w:rPr>
                <w:sz w:val="20"/>
                <w:szCs w:val="20"/>
                <w:color w:val="auto"/>
              </w:rPr>
            </w:pPr>
            <w:r>
              <w:rPr>
                <w:rFonts w:ascii="Arial" w:cs="Arial" w:eastAsia="Arial" w:hAnsi="Arial"/>
                <w:sz w:val="10"/>
                <w:szCs w:val="10"/>
                <w:color w:val="auto"/>
              </w:rPr>
              <w:t>340</w:t>
            </w:r>
          </w:p>
        </w:tc>
      </w:tr>
      <w:tr>
        <w:trPr>
          <w:trHeight w:val="126"/>
        </w:trPr>
        <w:tc>
          <w:tcPr>
            <w:tcW w:w="8240" w:type="dxa"/>
            <w:vAlign w:val="bottom"/>
          </w:tcPr>
          <w:p>
            <w:pPr>
              <w:spacing w:after="0"/>
              <w:rPr>
                <w:sz w:val="20"/>
                <w:szCs w:val="20"/>
                <w:color w:val="auto"/>
              </w:rPr>
            </w:pPr>
            <w:r>
              <w:rPr>
                <w:rFonts w:ascii="Arial" w:cs="Arial" w:eastAsia="Arial" w:hAnsi="Arial"/>
                <w:sz w:val="10"/>
                <w:szCs w:val="10"/>
                <w:color w:val="auto"/>
              </w:rPr>
              <w:t>Sales</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(60)</w:t>
            </w:r>
          </w:p>
        </w:tc>
        <w:tc>
          <w:tcPr>
            <w:tcW w:w="1340" w:type="dxa"/>
            <w:vAlign w:val="bottom"/>
          </w:tcPr>
          <w:p>
            <w:pPr>
              <w:jc w:val="right"/>
              <w:spacing w:after="0"/>
              <w:rPr>
                <w:sz w:val="20"/>
                <w:szCs w:val="20"/>
                <w:color w:val="auto"/>
              </w:rPr>
            </w:pPr>
            <w:r>
              <w:rPr>
                <w:rFonts w:ascii="Arial" w:cs="Arial" w:eastAsia="Arial" w:hAnsi="Arial"/>
                <w:sz w:val="10"/>
                <w:szCs w:val="10"/>
                <w:color w:val="auto"/>
              </w:rPr>
              <w:t>(237)</w:t>
            </w:r>
          </w:p>
        </w:tc>
      </w:tr>
      <w:tr>
        <w:trPr>
          <w:trHeight w:val="130"/>
        </w:trPr>
        <w:tc>
          <w:tcPr>
            <w:tcW w:w="82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movements</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(62)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r>
      <w:tr>
        <w:trPr>
          <w:trHeight w:val="117"/>
        </w:trPr>
        <w:tc>
          <w:tcPr>
            <w:tcW w:w="82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1,505</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1,253</w:t>
            </w:r>
          </w:p>
        </w:tc>
      </w:tr>
    </w:tbl>
    <w:p>
      <w:pPr>
        <w:spacing w:after="0" w:line="56" w:lineRule="exact"/>
        <w:rPr>
          <w:sz w:val="20"/>
          <w:szCs w:val="20"/>
          <w:color w:val="auto"/>
        </w:rPr>
      </w:pPr>
    </w:p>
    <w:p>
      <w:pPr>
        <w:ind w:left="8"/>
        <w:spacing w:after="0"/>
        <w:rPr>
          <w:sz w:val="20"/>
          <w:szCs w:val="20"/>
          <w:color w:val="auto"/>
        </w:rPr>
      </w:pPr>
      <w:r>
        <w:rPr>
          <w:rFonts w:ascii="Arial" w:cs="Arial" w:eastAsia="Arial" w:hAnsi="Arial"/>
          <w:sz w:val="7"/>
          <w:szCs w:val="7"/>
          <w:color w:val="auto"/>
        </w:rPr>
        <w:t>[A] Based on expected dividend flows, adjusted for country and other risks as appropriate and discounted to their present value.</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1"/>
          <w:szCs w:val="11"/>
          <w:color w:val="auto"/>
        </w:rPr>
        <w:t>11 – TRADE AND OTHER RECEIVABLES</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7800" w:type="dxa"/>
            <w:vAlign w:val="bottom"/>
            <w:tcBorders>
              <w:top w:val="single" w:sz="8" w:color="D9D9D9"/>
            </w:tcBorders>
          </w:tcPr>
          <w:p>
            <w:pPr>
              <w:spacing w:after="0"/>
              <w:rPr>
                <w:sz w:val="13"/>
                <w:szCs w:val="13"/>
                <w:color w:val="auto"/>
              </w:rPr>
            </w:pPr>
          </w:p>
        </w:tc>
        <w:tc>
          <w:tcPr>
            <w:tcW w:w="840" w:type="dxa"/>
            <w:vAlign w:val="bottom"/>
            <w:tcBorders>
              <w:top w:val="single" w:sz="8" w:color="D9D9D9"/>
            </w:tcBorders>
          </w:tcPr>
          <w:p>
            <w:pPr>
              <w:spacing w:after="0"/>
              <w:rPr>
                <w:sz w:val="13"/>
                <w:szCs w:val="13"/>
                <w:color w:val="auto"/>
              </w:rPr>
            </w:pPr>
          </w:p>
        </w:tc>
        <w:tc>
          <w:tcPr>
            <w:tcW w:w="840" w:type="dxa"/>
            <w:vAlign w:val="bottom"/>
            <w:tcBorders>
              <w:top w:val="single" w:sz="8" w:color="D9D9D9"/>
            </w:tcBorders>
          </w:tcPr>
          <w:p>
            <w:pPr>
              <w:spacing w:after="0"/>
              <w:rPr>
                <w:sz w:val="13"/>
                <w:szCs w:val="13"/>
                <w:color w:val="auto"/>
              </w:rPr>
            </w:pPr>
          </w:p>
        </w:tc>
        <w:tc>
          <w:tcPr>
            <w:tcW w:w="100" w:type="dxa"/>
            <w:vAlign w:val="bottom"/>
            <w:tcBorders>
              <w:top w:val="single" w:sz="8" w:color="D9D9D9"/>
            </w:tcBorders>
          </w:tcPr>
          <w:p>
            <w:pPr>
              <w:spacing w:after="0"/>
              <w:rPr>
                <w:sz w:val="13"/>
                <w:szCs w:val="13"/>
                <w:color w:val="auto"/>
              </w:rPr>
            </w:pPr>
          </w:p>
        </w:tc>
        <w:tc>
          <w:tcPr>
            <w:tcW w:w="1060" w:type="dxa"/>
            <w:vAlign w:val="bottom"/>
            <w:tcBorders>
              <w:top w:val="single" w:sz="8" w:color="D9D9D9"/>
            </w:tcBorders>
          </w:tcPr>
          <w:p>
            <w:pPr>
              <w:spacing w:after="0"/>
              <w:rPr>
                <w:sz w:val="13"/>
                <w:szCs w:val="13"/>
                <w:color w:val="auto"/>
              </w:rPr>
            </w:pPr>
          </w:p>
        </w:tc>
        <w:tc>
          <w:tcPr>
            <w:tcW w:w="64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r>
      <w:tr>
        <w:trPr>
          <w:trHeight w:val="105"/>
        </w:trPr>
        <w:tc>
          <w:tcPr>
            <w:tcW w:w="78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Dec 31, 2020</w:t>
            </w:r>
          </w:p>
        </w:tc>
        <w:tc>
          <w:tcPr>
            <w:tcW w:w="1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Dec 31, 2019</w:t>
            </w:r>
          </w:p>
        </w:tc>
      </w:tr>
      <w:tr>
        <w:trPr>
          <w:trHeight w:val="97"/>
        </w:trPr>
        <w:tc>
          <w:tcPr>
            <w:tcW w:w="78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Current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Non-current</w:t>
            </w: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204"/>
              <w:spacing w:after="0"/>
              <w:rPr>
                <w:sz w:val="20"/>
                <w:szCs w:val="20"/>
                <w:color w:val="auto"/>
              </w:rPr>
            </w:pPr>
            <w:r>
              <w:rPr>
                <w:rFonts w:ascii="Arial" w:cs="Arial" w:eastAsia="Arial" w:hAnsi="Arial"/>
                <w:sz w:val="7"/>
                <w:szCs w:val="7"/>
                <w:color w:val="auto"/>
              </w:rPr>
              <w:t>Current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Non-current</w:t>
            </w:r>
          </w:p>
        </w:tc>
      </w:tr>
      <w:tr>
        <w:trPr>
          <w:trHeight w:val="118"/>
        </w:trPr>
        <w:tc>
          <w:tcPr>
            <w:tcW w:w="7800" w:type="dxa"/>
            <w:vAlign w:val="bottom"/>
          </w:tcPr>
          <w:p>
            <w:pPr>
              <w:spacing w:after="0"/>
              <w:rPr>
                <w:sz w:val="20"/>
                <w:szCs w:val="20"/>
                <w:color w:val="auto"/>
              </w:rPr>
            </w:pPr>
            <w:r>
              <w:rPr>
                <w:rFonts w:ascii="Arial" w:cs="Arial" w:eastAsia="Arial" w:hAnsi="Arial"/>
                <w:sz w:val="10"/>
                <w:szCs w:val="10"/>
                <w:color w:val="auto"/>
              </w:rPr>
              <w:t>Trade receivables</w:t>
            </w:r>
          </w:p>
        </w:tc>
        <w:tc>
          <w:tcPr>
            <w:tcW w:w="8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21,781</w:t>
            </w:r>
          </w:p>
        </w:tc>
        <w:tc>
          <w:tcPr>
            <w:tcW w:w="8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4"/>
              <w:spacing w:after="0"/>
              <w:rPr>
                <w:sz w:val="20"/>
                <w:szCs w:val="20"/>
                <w:color w:val="auto"/>
              </w:rPr>
            </w:pPr>
            <w:r>
              <w:rPr>
                <w:rFonts w:ascii="Arial" w:cs="Arial" w:eastAsia="Arial" w:hAnsi="Arial"/>
                <w:sz w:val="10"/>
                <w:szCs w:val="10"/>
                <w:color w:val="auto"/>
              </w:rPr>
              <w:t>30,216</w:t>
            </w:r>
          </w:p>
        </w:tc>
        <w:tc>
          <w:tcPr>
            <w:tcW w:w="640" w:type="dxa"/>
            <w:vAlign w:val="bottom"/>
          </w:tcPr>
          <w:p>
            <w:pPr>
              <w:jc w:val="right"/>
              <w:ind w:right="15"/>
              <w:spacing w:after="0"/>
              <w:rPr>
                <w:sz w:val="20"/>
                <w:szCs w:val="20"/>
                <w:color w:val="auto"/>
              </w:rPr>
            </w:pPr>
            <w:r>
              <w:rPr>
                <w:rFonts w:ascii="Arial" w:cs="Arial" w:eastAsia="Arial" w:hAnsi="Arial"/>
                <w:sz w:val="10"/>
                <w:szCs w:val="10"/>
                <w:color w:val="auto"/>
              </w:rPr>
              <w:t>—</w:t>
            </w:r>
          </w:p>
        </w:tc>
      </w:tr>
      <w:tr>
        <w:trPr>
          <w:trHeight w:val="123"/>
        </w:trPr>
        <w:tc>
          <w:tcPr>
            <w:tcW w:w="7800" w:type="dxa"/>
            <w:vAlign w:val="bottom"/>
          </w:tcPr>
          <w:p>
            <w:pPr>
              <w:spacing w:after="0"/>
              <w:rPr>
                <w:sz w:val="20"/>
                <w:szCs w:val="20"/>
                <w:color w:val="auto"/>
              </w:rPr>
            </w:pPr>
            <w:r>
              <w:rPr>
                <w:rFonts w:ascii="Arial" w:cs="Arial" w:eastAsia="Arial" w:hAnsi="Arial"/>
                <w:sz w:val="10"/>
                <w:szCs w:val="10"/>
                <w:color w:val="auto"/>
              </w:rPr>
              <w:t>Lease receivables</w:t>
            </w:r>
          </w:p>
        </w:tc>
        <w:tc>
          <w:tcPr>
            <w:tcW w:w="8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186</w:t>
            </w:r>
          </w:p>
        </w:tc>
        <w:tc>
          <w:tcPr>
            <w:tcW w:w="8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1,380</w:t>
            </w:r>
          </w:p>
        </w:tc>
        <w:tc>
          <w:tcPr>
            <w:tcW w:w="1160" w:type="dxa"/>
            <w:vAlign w:val="bottom"/>
            <w:gridSpan w:val="2"/>
          </w:tcPr>
          <w:p>
            <w:pPr>
              <w:jc w:val="right"/>
              <w:ind w:right="224"/>
              <w:spacing w:after="0"/>
              <w:rPr>
                <w:sz w:val="20"/>
                <w:szCs w:val="20"/>
                <w:color w:val="auto"/>
              </w:rPr>
            </w:pPr>
            <w:r>
              <w:rPr>
                <w:rFonts w:ascii="Arial" w:cs="Arial" w:eastAsia="Arial" w:hAnsi="Arial"/>
                <w:sz w:val="10"/>
                <w:szCs w:val="10"/>
                <w:color w:val="auto"/>
              </w:rPr>
              <w:t>213</w:t>
            </w:r>
          </w:p>
        </w:tc>
        <w:tc>
          <w:tcPr>
            <w:tcW w:w="640" w:type="dxa"/>
            <w:vAlign w:val="bottom"/>
          </w:tcPr>
          <w:p>
            <w:pPr>
              <w:jc w:val="right"/>
              <w:ind w:right="15"/>
              <w:spacing w:after="0"/>
              <w:rPr>
                <w:sz w:val="20"/>
                <w:szCs w:val="20"/>
                <w:color w:val="auto"/>
              </w:rPr>
            </w:pPr>
            <w:r>
              <w:rPr>
                <w:rFonts w:ascii="Arial" w:cs="Arial" w:eastAsia="Arial" w:hAnsi="Arial"/>
                <w:sz w:val="10"/>
                <w:szCs w:val="10"/>
                <w:color w:val="auto"/>
              </w:rPr>
              <w:t>1,528</w:t>
            </w:r>
          </w:p>
        </w:tc>
      </w:tr>
      <w:tr>
        <w:trPr>
          <w:trHeight w:val="126"/>
        </w:trPr>
        <w:tc>
          <w:tcPr>
            <w:tcW w:w="7800" w:type="dxa"/>
            <w:vAlign w:val="bottom"/>
          </w:tcPr>
          <w:p>
            <w:pPr>
              <w:spacing w:after="0"/>
              <w:rPr>
                <w:sz w:val="20"/>
                <w:szCs w:val="20"/>
                <w:color w:val="auto"/>
              </w:rPr>
            </w:pPr>
            <w:r>
              <w:rPr>
                <w:rFonts w:ascii="Arial" w:cs="Arial" w:eastAsia="Arial" w:hAnsi="Arial"/>
                <w:sz w:val="10"/>
                <w:szCs w:val="10"/>
                <w:color w:val="auto"/>
              </w:rPr>
              <w:t>Other receivables</w:t>
            </w:r>
          </w:p>
        </w:tc>
        <w:tc>
          <w:tcPr>
            <w:tcW w:w="8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7,251</w:t>
            </w:r>
          </w:p>
        </w:tc>
        <w:tc>
          <w:tcPr>
            <w:tcW w:w="8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4,109</w:t>
            </w:r>
          </w:p>
        </w:tc>
        <w:tc>
          <w:tcPr>
            <w:tcW w:w="1160" w:type="dxa"/>
            <w:vAlign w:val="bottom"/>
            <w:gridSpan w:val="2"/>
          </w:tcPr>
          <w:p>
            <w:pPr>
              <w:jc w:val="right"/>
              <w:ind w:right="224"/>
              <w:spacing w:after="0"/>
              <w:rPr>
                <w:sz w:val="20"/>
                <w:szCs w:val="20"/>
                <w:color w:val="auto"/>
              </w:rPr>
            </w:pPr>
            <w:r>
              <w:rPr>
                <w:rFonts w:ascii="Arial" w:cs="Arial" w:eastAsia="Arial" w:hAnsi="Arial"/>
                <w:sz w:val="10"/>
                <w:szCs w:val="10"/>
                <w:color w:val="auto"/>
              </w:rPr>
              <w:t>7,791</w:t>
            </w:r>
          </w:p>
        </w:tc>
        <w:tc>
          <w:tcPr>
            <w:tcW w:w="640" w:type="dxa"/>
            <w:vAlign w:val="bottom"/>
          </w:tcPr>
          <w:p>
            <w:pPr>
              <w:jc w:val="right"/>
              <w:ind w:right="15"/>
              <w:spacing w:after="0"/>
              <w:rPr>
                <w:sz w:val="20"/>
                <w:szCs w:val="20"/>
                <w:color w:val="auto"/>
              </w:rPr>
            </w:pPr>
            <w:r>
              <w:rPr>
                <w:rFonts w:ascii="Arial" w:cs="Arial" w:eastAsia="Arial" w:hAnsi="Arial"/>
                <w:sz w:val="10"/>
                <w:szCs w:val="10"/>
                <w:color w:val="auto"/>
              </w:rPr>
              <w:t>4,039</w:t>
            </w:r>
          </w:p>
        </w:tc>
      </w:tr>
      <w:tr>
        <w:trPr>
          <w:trHeight w:val="126"/>
        </w:trPr>
        <w:tc>
          <w:tcPr>
            <w:tcW w:w="7800" w:type="dxa"/>
            <w:vAlign w:val="bottom"/>
          </w:tcPr>
          <w:p>
            <w:pPr>
              <w:spacing w:after="0"/>
              <w:rPr>
                <w:sz w:val="20"/>
                <w:szCs w:val="20"/>
                <w:color w:val="auto"/>
              </w:rPr>
            </w:pPr>
            <w:r>
              <w:rPr>
                <w:rFonts w:ascii="Arial" w:cs="Arial" w:eastAsia="Arial" w:hAnsi="Arial"/>
                <w:sz w:val="10"/>
                <w:szCs w:val="10"/>
                <w:color w:val="auto"/>
              </w:rPr>
              <w:t>Amounts due from joint ventures and associates</w:t>
            </w:r>
          </w:p>
        </w:tc>
        <w:tc>
          <w:tcPr>
            <w:tcW w:w="8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726</w:t>
            </w:r>
          </w:p>
        </w:tc>
        <w:tc>
          <w:tcPr>
            <w:tcW w:w="8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829</w:t>
            </w:r>
          </w:p>
        </w:tc>
        <w:tc>
          <w:tcPr>
            <w:tcW w:w="1160" w:type="dxa"/>
            <w:vAlign w:val="bottom"/>
            <w:gridSpan w:val="2"/>
          </w:tcPr>
          <w:p>
            <w:pPr>
              <w:jc w:val="right"/>
              <w:ind w:right="224"/>
              <w:spacing w:after="0"/>
              <w:rPr>
                <w:sz w:val="20"/>
                <w:szCs w:val="20"/>
                <w:color w:val="auto"/>
              </w:rPr>
            </w:pPr>
            <w:r>
              <w:rPr>
                <w:rFonts w:ascii="Arial" w:cs="Arial" w:eastAsia="Arial" w:hAnsi="Arial"/>
                <w:sz w:val="10"/>
                <w:szCs w:val="10"/>
                <w:color w:val="auto"/>
              </w:rPr>
              <w:t>912</w:t>
            </w:r>
          </w:p>
        </w:tc>
        <w:tc>
          <w:tcPr>
            <w:tcW w:w="640" w:type="dxa"/>
            <w:vAlign w:val="bottom"/>
          </w:tcPr>
          <w:p>
            <w:pPr>
              <w:jc w:val="right"/>
              <w:ind w:right="15"/>
              <w:spacing w:after="0"/>
              <w:rPr>
                <w:sz w:val="20"/>
                <w:szCs w:val="20"/>
                <w:color w:val="auto"/>
              </w:rPr>
            </w:pPr>
            <w:r>
              <w:rPr>
                <w:rFonts w:ascii="Arial" w:cs="Arial" w:eastAsia="Arial" w:hAnsi="Arial"/>
                <w:sz w:val="10"/>
                <w:szCs w:val="10"/>
                <w:color w:val="auto"/>
              </w:rPr>
              <w:t>1,078</w:t>
            </w:r>
          </w:p>
        </w:tc>
      </w:tr>
      <w:tr>
        <w:trPr>
          <w:trHeight w:val="130"/>
        </w:trPr>
        <w:tc>
          <w:tcPr>
            <w:tcW w:w="7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Prepayments and deferred charges</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3,681</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1,323</w:t>
            </w:r>
          </w:p>
        </w:tc>
        <w:tc>
          <w:tcPr>
            <w:tcW w:w="116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0"/>
                <w:szCs w:val="10"/>
                <w:color w:val="auto"/>
              </w:rPr>
              <w:t>4,282</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color w:val="auto"/>
              </w:rPr>
              <w:t>1,440</w:t>
            </w:r>
          </w:p>
        </w:tc>
      </w:tr>
      <w:tr>
        <w:trPr>
          <w:trHeight w:val="117"/>
        </w:trPr>
        <w:tc>
          <w:tcPr>
            <w:tcW w:w="7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33,625</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7,641</w:t>
            </w:r>
          </w:p>
        </w:tc>
        <w:tc>
          <w:tcPr>
            <w:tcW w:w="116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0"/>
                <w:szCs w:val="10"/>
                <w:color w:val="auto"/>
              </w:rPr>
              <w:t>43,414</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color w:val="auto"/>
              </w:rPr>
              <w:t>8,085</w:t>
            </w:r>
          </w:p>
        </w:tc>
      </w:tr>
    </w:tbl>
    <w:p>
      <w:pPr>
        <w:spacing w:after="0" w:line="213"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fair value of financial assets included above approximates the carrying amount and was determined from predominantly unobservable inputs.</w:t>
      </w:r>
    </w:p>
    <w:p>
      <w:pPr>
        <w:spacing w:after="0" w:line="155" w:lineRule="exact"/>
        <w:rPr>
          <w:sz w:val="20"/>
          <w:szCs w:val="20"/>
          <w:color w:val="auto"/>
        </w:rPr>
      </w:pPr>
    </w:p>
    <w:p>
      <w:pPr>
        <w:ind w:left="8" w:right="140"/>
        <w:spacing w:after="0" w:line="239" w:lineRule="auto"/>
        <w:rPr>
          <w:sz w:val="20"/>
          <w:szCs w:val="20"/>
          <w:color w:val="auto"/>
        </w:rPr>
      </w:pPr>
      <w:r>
        <w:rPr>
          <w:rFonts w:ascii="Arial" w:cs="Arial" w:eastAsia="Arial" w:hAnsi="Arial"/>
          <w:sz w:val="10"/>
          <w:szCs w:val="10"/>
          <w:color w:val="auto"/>
        </w:rPr>
        <w:t>Other receivables at December 31, 2020, include receivables from certain governments in their capacity as joint arrangement partners of $1,357 million (2019: $1,209 million), after provisions for impairments, that are overdue in part or in full. Recoverability and timing thereof are subject to uncertainty, however, the ultimate risk of default on the carrying amount is considered to be low. Other receivables also include income tax and other tax receivables (see Note 16).</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Provisions for impairments deducted from trade and other receivables amounted to $968 million at December 31, 2020 (2019: $649 million).</w:t>
      </w: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187</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802" w:right="299" w:bottom="1440" w:gutter="0" w:footer="0" w:header="0"/>
        </w:sectPr>
      </w:pPr>
    </w:p>
    <w:bookmarkStart w:id="190" w:name="page191"/>
    <w:bookmarkEnd w:id="190"/>
    <w:p>
      <w:pPr>
        <w:spacing w:after="0"/>
        <w:rPr>
          <w:sz w:val="20"/>
          <w:szCs w:val="20"/>
          <w:color w:val="auto"/>
        </w:rPr>
      </w:pPr>
      <w:r>
        <w:rPr>
          <w:rFonts w:ascii="Arial" w:cs="Arial" w:eastAsia="Arial" w:hAnsi="Arial"/>
          <w:sz w:val="10"/>
          <w:szCs w:val="10"/>
          <w:b w:val="1"/>
          <w:bCs w:val="1"/>
          <w:color w:val="auto"/>
        </w:rPr>
        <w:t>Allowance for expected credit losses - trade receivables</w:t>
      </w:r>
    </w:p>
    <w:p>
      <w:pPr>
        <w:spacing w:after="0" w:line="3" w:lineRule="exact"/>
        <w:rPr>
          <w:sz w:val="20"/>
          <w:szCs w:val="20"/>
          <w:color w:val="auto"/>
        </w:rPr>
      </w:pPr>
    </w:p>
    <w:p>
      <w:pPr>
        <w:spacing w:after="0" w:line="337" w:lineRule="auto"/>
        <w:rPr>
          <w:sz w:val="20"/>
          <w:szCs w:val="20"/>
          <w:color w:val="auto"/>
        </w:rPr>
      </w:pPr>
      <w:r>
        <w:rPr>
          <w:rFonts w:ascii="Arial" w:cs="Arial" w:eastAsia="Arial" w:hAnsi="Arial"/>
          <w:sz w:val="8"/>
          <w:szCs w:val="8"/>
          <w:color w:val="auto"/>
        </w:rPr>
        <w:t>Shell uses a provision matrix to calculate expected credit losses (ECLs) for trade receivables. The provision matrix is initially based on Shell’s historical observed default rates. Shell calculates the ECL to adjust the historical credit loss experienced with forward-looking information. The ECL at December 31, 2020 is $112 million (2019: $83 million), which represents 0.27%-0.51% (2019: 0.08%-0.27%) of all trade receivables. The increase compared with prior year is mainly due to changes in the macroeconomic environment and the COVID-19 pandemic.</w:t>
      </w:r>
    </w:p>
    <w:p>
      <w:pPr>
        <w:spacing w:after="0" w:line="112" w:lineRule="exact"/>
        <w:rPr>
          <w:sz w:val="20"/>
          <w:szCs w:val="20"/>
          <w:color w:val="auto"/>
        </w:rPr>
      </w:pPr>
    </w:p>
    <w:p>
      <w:pPr>
        <w:spacing w:after="0"/>
        <w:rPr>
          <w:sz w:val="20"/>
          <w:szCs w:val="20"/>
          <w:color w:val="auto"/>
        </w:rPr>
      </w:pPr>
      <w:r>
        <w:rPr>
          <w:rFonts w:ascii="Arial" w:cs="Arial" w:eastAsia="Arial" w:hAnsi="Arial"/>
          <w:sz w:val="10"/>
          <w:szCs w:val="10"/>
          <w:color w:val="auto"/>
        </w:rPr>
        <w:t>A loss allowance provision of $349 million (2019: $193 million) was established, in addition to all other impairments to trade receivables as at December 31, 2020, that are outside of the provision matrix calculations.</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Lease receivables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Lease contracts where Shell is the lessor are classified as finance leases or operating leases. Receivables for lease contracts classified as finance leases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8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 million</w:t>
            </w:r>
          </w:p>
        </w:tc>
      </w:tr>
      <w:tr>
        <w:trPr>
          <w:trHeight w:val="117"/>
        </w:trPr>
        <w:tc>
          <w:tcPr>
            <w:tcW w:w="688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2020</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2019</w:t>
            </w:r>
          </w:p>
        </w:tc>
      </w:tr>
      <w:tr>
        <w:trPr>
          <w:trHeight w:val="113"/>
        </w:trPr>
        <w:tc>
          <w:tcPr>
            <w:tcW w:w="6880" w:type="dxa"/>
            <w:vAlign w:val="bottom"/>
          </w:tcPr>
          <w:p>
            <w:pPr>
              <w:ind w:left="20"/>
              <w:spacing w:after="0" w:line="113" w:lineRule="exact"/>
              <w:rPr>
                <w:sz w:val="20"/>
                <w:szCs w:val="20"/>
                <w:color w:val="auto"/>
              </w:rPr>
            </w:pPr>
            <w:r>
              <w:rPr>
                <w:rFonts w:ascii="Arial" w:cs="Arial" w:eastAsia="Arial" w:hAnsi="Arial"/>
                <w:sz w:val="10"/>
                <w:szCs w:val="10"/>
                <w:color w:val="auto"/>
              </w:rPr>
              <w:t>Less than one year</w:t>
            </w:r>
          </w:p>
        </w:tc>
        <w:tc>
          <w:tcPr>
            <w:tcW w:w="2200" w:type="dxa"/>
            <w:vAlign w:val="bottom"/>
            <w:shd w:val="clear" w:color="auto" w:fill="D9D9D9"/>
          </w:tcPr>
          <w:p>
            <w:pPr>
              <w:jc w:val="right"/>
              <w:spacing w:after="0" w:line="113" w:lineRule="exact"/>
              <w:rPr>
                <w:sz w:val="20"/>
                <w:szCs w:val="20"/>
                <w:color w:val="auto"/>
              </w:rPr>
            </w:pPr>
            <w:r>
              <w:rPr>
                <w:rFonts w:ascii="Arial" w:cs="Arial" w:eastAsia="Arial" w:hAnsi="Arial"/>
                <w:sz w:val="10"/>
                <w:szCs w:val="10"/>
                <w:color w:val="auto"/>
              </w:rPr>
              <w:t>262</w:t>
            </w:r>
          </w:p>
        </w:tc>
        <w:tc>
          <w:tcPr>
            <w:tcW w:w="2200" w:type="dxa"/>
            <w:vAlign w:val="bottom"/>
          </w:tcPr>
          <w:p>
            <w:pPr>
              <w:jc w:val="right"/>
              <w:spacing w:after="0" w:line="113" w:lineRule="exact"/>
              <w:rPr>
                <w:sz w:val="20"/>
                <w:szCs w:val="20"/>
                <w:color w:val="auto"/>
              </w:rPr>
            </w:pPr>
            <w:r>
              <w:rPr>
                <w:rFonts w:ascii="Arial" w:cs="Arial" w:eastAsia="Arial" w:hAnsi="Arial"/>
                <w:sz w:val="10"/>
                <w:szCs w:val="10"/>
                <w:color w:val="auto"/>
              </w:rPr>
              <w:t>305</w:t>
            </w:r>
          </w:p>
        </w:tc>
      </w:tr>
      <w:tr>
        <w:trPr>
          <w:trHeight w:val="123"/>
        </w:trPr>
        <w:tc>
          <w:tcPr>
            <w:tcW w:w="6880" w:type="dxa"/>
            <w:vAlign w:val="bottom"/>
          </w:tcPr>
          <w:p>
            <w:pPr>
              <w:ind w:left="20"/>
              <w:spacing w:after="0"/>
              <w:rPr>
                <w:sz w:val="20"/>
                <w:szCs w:val="20"/>
                <w:color w:val="auto"/>
              </w:rPr>
            </w:pPr>
            <w:r>
              <w:rPr>
                <w:rFonts w:ascii="Arial" w:cs="Arial" w:eastAsia="Arial" w:hAnsi="Arial"/>
                <w:sz w:val="10"/>
                <w:szCs w:val="10"/>
                <w:color w:val="auto"/>
              </w:rPr>
              <w:t>Between 1 and 5 years</w:t>
            </w:r>
          </w:p>
        </w:tc>
        <w:tc>
          <w:tcPr>
            <w:tcW w:w="22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859</w:t>
            </w:r>
          </w:p>
        </w:tc>
        <w:tc>
          <w:tcPr>
            <w:tcW w:w="2200" w:type="dxa"/>
            <w:vAlign w:val="bottom"/>
          </w:tcPr>
          <w:p>
            <w:pPr>
              <w:jc w:val="right"/>
              <w:spacing w:after="0"/>
              <w:rPr>
                <w:sz w:val="20"/>
                <w:szCs w:val="20"/>
                <w:color w:val="auto"/>
              </w:rPr>
            </w:pPr>
            <w:r>
              <w:rPr>
                <w:rFonts w:ascii="Arial" w:cs="Arial" w:eastAsia="Arial" w:hAnsi="Arial"/>
                <w:sz w:val="10"/>
                <w:szCs w:val="10"/>
                <w:color w:val="auto"/>
              </w:rPr>
              <w:t>953</w:t>
            </w:r>
          </w:p>
        </w:tc>
      </w:tr>
      <w:tr>
        <w:trPr>
          <w:trHeight w:val="130"/>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5 years and later</w:t>
            </w:r>
          </w:p>
        </w:tc>
        <w:tc>
          <w:tcPr>
            <w:tcW w:w="22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852</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1,019</w:t>
            </w:r>
          </w:p>
        </w:tc>
      </w:tr>
      <w:tr>
        <w:trPr>
          <w:trHeight w:val="117"/>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undiscounted lease payments receivable</w:t>
            </w:r>
          </w:p>
        </w:tc>
        <w:tc>
          <w:tcPr>
            <w:tcW w:w="22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1,973</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2,277</w:t>
            </w:r>
          </w:p>
        </w:tc>
      </w:tr>
      <w:tr>
        <w:trPr>
          <w:trHeight w:val="115"/>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Unearned finance income</w:t>
            </w:r>
          </w:p>
        </w:tc>
        <w:tc>
          <w:tcPr>
            <w:tcW w:w="22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407</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536</w:t>
            </w:r>
          </w:p>
        </w:tc>
      </w:tr>
      <w:tr>
        <w:trPr>
          <w:trHeight w:val="115"/>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Net investment in leases</w:t>
            </w:r>
          </w:p>
        </w:tc>
        <w:tc>
          <w:tcPr>
            <w:tcW w:w="22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1,566</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1,741</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0"/>
          <w:szCs w:val="10"/>
          <w:color w:val="auto"/>
        </w:rPr>
        <w:t>In addition at December 31, 2020, Shell is entitled to contractual payments under operating leases of $248 million (2019: $344 million).</w:t>
      </w:r>
    </w:p>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auto"/>
        </w:rPr>
        <w:t>12 – INVENTORIES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10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560" w:type="dxa"/>
            <w:vAlign w:val="bottom"/>
            <w:tcBorders>
              <w:top w:val="single" w:sz="8" w:color="CDCDCD"/>
            </w:tcBorders>
          </w:tcPr>
          <w:p>
            <w:pPr>
              <w:spacing w:after="0"/>
              <w:rPr>
                <w:sz w:val="13"/>
                <w:szCs w:val="13"/>
                <w:color w:val="auto"/>
              </w:rPr>
            </w:pPr>
          </w:p>
        </w:tc>
      </w:tr>
      <w:tr>
        <w:trPr>
          <w:trHeight w:val="127"/>
        </w:trPr>
        <w:tc>
          <w:tcPr>
            <w:tcW w:w="8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2019</w:t>
            </w:r>
          </w:p>
        </w:tc>
        <w:tc>
          <w:tcPr>
            <w:tcW w:w="560" w:type="dxa"/>
            <w:vAlign w:val="bottom"/>
            <w:tcBorders>
              <w:bottom w:val="single" w:sz="8" w:color="auto"/>
            </w:tcBorders>
          </w:tcPr>
          <w:p>
            <w:pPr>
              <w:spacing w:after="0"/>
              <w:rPr>
                <w:sz w:val="11"/>
                <w:szCs w:val="11"/>
                <w:color w:val="auto"/>
              </w:rPr>
            </w:pPr>
          </w:p>
        </w:tc>
      </w:tr>
      <w:tr>
        <w:trPr>
          <w:trHeight w:val="114"/>
        </w:trPr>
        <w:tc>
          <w:tcPr>
            <w:tcW w:w="8100" w:type="dxa"/>
            <w:vAlign w:val="bottom"/>
          </w:tcPr>
          <w:p>
            <w:pPr>
              <w:spacing w:after="0"/>
              <w:rPr>
                <w:sz w:val="20"/>
                <w:szCs w:val="20"/>
                <w:color w:val="auto"/>
              </w:rPr>
            </w:pPr>
            <w:r>
              <w:rPr>
                <w:rFonts w:ascii="Arial" w:cs="Arial" w:eastAsia="Arial" w:hAnsi="Arial"/>
                <w:sz w:val="10"/>
                <w:szCs w:val="10"/>
                <w:color w:val="auto"/>
              </w:rPr>
              <w:t>Oil, gas and chemicals</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16,949</w:t>
            </w:r>
          </w:p>
        </w:tc>
        <w:tc>
          <w:tcPr>
            <w:tcW w:w="1320" w:type="dxa"/>
            <w:vAlign w:val="bottom"/>
          </w:tcPr>
          <w:p>
            <w:pPr>
              <w:jc w:val="right"/>
              <w:spacing w:after="0"/>
              <w:rPr>
                <w:sz w:val="20"/>
                <w:szCs w:val="20"/>
                <w:color w:val="auto"/>
              </w:rPr>
            </w:pPr>
            <w:r>
              <w:rPr>
                <w:rFonts w:ascii="Arial" w:cs="Arial" w:eastAsia="Arial" w:hAnsi="Arial"/>
                <w:sz w:val="10"/>
                <w:szCs w:val="10"/>
                <w:color w:val="auto"/>
              </w:rPr>
              <w:t>21,653</w:t>
            </w:r>
          </w:p>
        </w:tc>
        <w:tc>
          <w:tcPr>
            <w:tcW w:w="560" w:type="dxa"/>
            <w:vAlign w:val="bottom"/>
          </w:tcPr>
          <w:p>
            <w:pPr>
              <w:ind w:left="20"/>
              <w:spacing w:after="0"/>
              <w:rPr>
                <w:sz w:val="20"/>
                <w:szCs w:val="20"/>
                <w:color w:val="auto"/>
              </w:rPr>
            </w:pPr>
            <w:r>
              <w:rPr>
                <w:rFonts w:ascii="Arial" w:cs="Arial" w:eastAsia="Arial" w:hAnsi="Arial"/>
                <w:sz w:val="10"/>
                <w:szCs w:val="10"/>
                <w:color w:val="auto"/>
              </w:rPr>
              <w:t>[A]</w:t>
            </w:r>
          </w:p>
        </w:tc>
      </w:tr>
      <w:tr>
        <w:trPr>
          <w:trHeight w:val="127"/>
        </w:trPr>
        <w:tc>
          <w:tcPr>
            <w:tcW w:w="81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including materials</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2,508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2,418</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w:t>
            </w:r>
          </w:p>
        </w:tc>
      </w:tr>
      <w:tr>
        <w:trPr>
          <w:trHeight w:val="117"/>
        </w:trPr>
        <w:tc>
          <w:tcPr>
            <w:tcW w:w="81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19,457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24,071</w:t>
            </w:r>
          </w:p>
        </w:tc>
        <w:tc>
          <w:tcPr>
            <w:tcW w:w="560" w:type="dxa"/>
            <w:vAlign w:val="bottom"/>
            <w:tcBorders>
              <w:bottom w:val="single" w:sz="8" w:color="auto"/>
            </w:tcBorders>
          </w:tcPr>
          <w:p>
            <w:pPr>
              <w:spacing w:after="0"/>
              <w:rPr>
                <w:sz w:val="10"/>
                <w:szCs w:val="10"/>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7"/>
          <w:szCs w:val="7"/>
          <w:color w:val="auto"/>
        </w:rPr>
        <w:t>[A] As revised, following the reclassification of non-physical trading inventories of $1,001 million from 'Oil, gas and chemicals' to 'Other including materials'.</w:t>
      </w:r>
    </w:p>
    <w:p>
      <w:pPr>
        <w:spacing w:after="0" w:line="157" w:lineRule="exact"/>
        <w:rPr>
          <w:sz w:val="20"/>
          <w:szCs w:val="20"/>
          <w:color w:val="auto"/>
        </w:rPr>
      </w:pPr>
    </w:p>
    <w:p>
      <w:pPr>
        <w:spacing w:after="0"/>
        <w:rPr>
          <w:sz w:val="20"/>
          <w:szCs w:val="20"/>
          <w:color w:val="auto"/>
        </w:rPr>
      </w:pPr>
      <w:r>
        <w:rPr>
          <w:rFonts w:ascii="Arial" w:cs="Arial" w:eastAsia="Arial" w:hAnsi="Arial"/>
          <w:sz w:val="10"/>
          <w:szCs w:val="10"/>
          <w:color w:val="auto"/>
        </w:rPr>
        <w:t>Inventories at December 31, 2020, include write-downs to net realisable value of $239 million (2019: $546 million).</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13 – CASH AND CASH EQUIVALENTS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640" w:type="dxa"/>
            <w:vAlign w:val="bottom"/>
            <w:tcBorders>
              <w:top w:val="single" w:sz="8" w:color="D9D9D9"/>
            </w:tcBorders>
          </w:tcPr>
          <w:p>
            <w:pPr>
              <w:spacing w:after="0"/>
              <w:rPr>
                <w:sz w:val="13"/>
                <w:szCs w:val="13"/>
                <w:color w:val="auto"/>
              </w:rPr>
            </w:pPr>
          </w:p>
        </w:tc>
        <w:tc>
          <w:tcPr>
            <w:tcW w:w="1320" w:type="dxa"/>
            <w:vAlign w:val="bottom"/>
            <w:tcBorders>
              <w:top w:val="single" w:sz="8" w:color="D9D9D9"/>
            </w:tcBorders>
          </w:tcPr>
          <w:p>
            <w:pPr>
              <w:spacing w:after="0"/>
              <w:rPr>
                <w:sz w:val="13"/>
                <w:szCs w:val="13"/>
                <w:color w:val="auto"/>
              </w:rPr>
            </w:pPr>
          </w:p>
        </w:tc>
        <w:tc>
          <w:tcPr>
            <w:tcW w:w="132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86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2019</w:t>
            </w:r>
          </w:p>
        </w:tc>
      </w:tr>
      <w:tr>
        <w:trPr>
          <w:trHeight w:val="114"/>
        </w:trPr>
        <w:tc>
          <w:tcPr>
            <w:tcW w:w="8640" w:type="dxa"/>
            <w:vAlign w:val="bottom"/>
          </w:tcPr>
          <w:p>
            <w:pPr>
              <w:spacing w:after="0"/>
              <w:rPr>
                <w:sz w:val="20"/>
                <w:szCs w:val="20"/>
                <w:color w:val="auto"/>
              </w:rPr>
            </w:pPr>
            <w:r>
              <w:rPr>
                <w:rFonts w:ascii="Arial" w:cs="Arial" w:eastAsia="Arial" w:hAnsi="Arial"/>
                <w:sz w:val="10"/>
                <w:szCs w:val="10"/>
                <w:color w:val="auto"/>
              </w:rPr>
              <w:t>Cash</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4,831</w:t>
            </w:r>
          </w:p>
        </w:tc>
        <w:tc>
          <w:tcPr>
            <w:tcW w:w="1320" w:type="dxa"/>
            <w:vAlign w:val="bottom"/>
          </w:tcPr>
          <w:p>
            <w:pPr>
              <w:jc w:val="right"/>
              <w:spacing w:after="0"/>
              <w:rPr>
                <w:sz w:val="20"/>
                <w:szCs w:val="20"/>
                <w:color w:val="auto"/>
              </w:rPr>
            </w:pPr>
            <w:r>
              <w:rPr>
                <w:rFonts w:ascii="Arial" w:cs="Arial" w:eastAsia="Arial" w:hAnsi="Arial"/>
                <w:sz w:val="10"/>
                <w:szCs w:val="10"/>
                <w:color w:val="auto"/>
              </w:rPr>
              <w:t>4,168</w:t>
            </w:r>
          </w:p>
        </w:tc>
      </w:tr>
      <w:tr>
        <w:trPr>
          <w:trHeight w:val="123"/>
        </w:trPr>
        <w:tc>
          <w:tcPr>
            <w:tcW w:w="8640" w:type="dxa"/>
            <w:vAlign w:val="bottom"/>
          </w:tcPr>
          <w:p>
            <w:pPr>
              <w:spacing w:after="0"/>
              <w:rPr>
                <w:sz w:val="20"/>
                <w:szCs w:val="20"/>
                <w:color w:val="auto"/>
              </w:rPr>
            </w:pPr>
            <w:r>
              <w:rPr>
                <w:rFonts w:ascii="Arial" w:cs="Arial" w:eastAsia="Arial" w:hAnsi="Arial"/>
                <w:sz w:val="10"/>
                <w:szCs w:val="10"/>
                <w:color w:val="auto"/>
              </w:rPr>
              <w:t>Short-term bank deposits</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2,220</w:t>
            </w:r>
          </w:p>
        </w:tc>
        <w:tc>
          <w:tcPr>
            <w:tcW w:w="1320" w:type="dxa"/>
            <w:vAlign w:val="bottom"/>
          </w:tcPr>
          <w:p>
            <w:pPr>
              <w:jc w:val="right"/>
              <w:spacing w:after="0"/>
              <w:rPr>
                <w:sz w:val="20"/>
                <w:szCs w:val="20"/>
                <w:color w:val="auto"/>
              </w:rPr>
            </w:pPr>
            <w:r>
              <w:rPr>
                <w:rFonts w:ascii="Arial" w:cs="Arial" w:eastAsia="Arial" w:hAnsi="Arial"/>
                <w:sz w:val="10"/>
                <w:szCs w:val="10"/>
                <w:color w:val="auto"/>
              </w:rPr>
              <w:t>2,665</w:t>
            </w:r>
          </w:p>
        </w:tc>
      </w:tr>
      <w:tr>
        <w:trPr>
          <w:trHeight w:val="130"/>
        </w:trPr>
        <w:tc>
          <w:tcPr>
            <w:tcW w:w="86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Money market funds, reverse repos and other cash equivalents</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24,779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11,222</w:t>
            </w:r>
          </w:p>
        </w:tc>
      </w:tr>
      <w:tr>
        <w:trPr>
          <w:trHeight w:val="117"/>
        </w:trPr>
        <w:tc>
          <w:tcPr>
            <w:tcW w:w="86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31,830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18,055</w:t>
            </w:r>
          </w:p>
        </w:tc>
      </w:tr>
    </w:tbl>
    <w:p>
      <w:pPr>
        <w:spacing w:after="0" w:line="213" w:lineRule="exact"/>
        <w:rPr>
          <w:sz w:val="20"/>
          <w:szCs w:val="20"/>
          <w:color w:val="auto"/>
        </w:rPr>
      </w:pPr>
    </w:p>
    <w:p>
      <w:pPr>
        <w:ind w:right="260"/>
        <w:spacing w:after="0" w:line="239" w:lineRule="auto"/>
        <w:rPr>
          <w:sz w:val="20"/>
          <w:szCs w:val="20"/>
          <w:color w:val="auto"/>
        </w:rPr>
      </w:pPr>
      <w:r>
        <w:rPr>
          <w:rFonts w:ascii="Arial" w:cs="Arial" w:eastAsia="Arial" w:hAnsi="Arial"/>
          <w:sz w:val="10"/>
          <w:szCs w:val="10"/>
          <w:color w:val="auto"/>
        </w:rPr>
        <w:t>Included in cash and cash equivalents at December 31, 2020, were amounts totalling $65 million (2019: $431 million) subject to currency controls or other legal restrictions. Money market funds and reverse repos used in cash management provided higher yields compared with other cash equivalents available in 2020. Information about credit risk is presented in Note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188</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sectPr>
      </w:pPr>
    </w:p>
    <w:bookmarkStart w:id="191" w:name="page192"/>
    <w:bookmarkEnd w:id="191"/>
    <w:p>
      <w:pPr>
        <w:spacing w:after="0"/>
        <w:rPr>
          <w:sz w:val="20"/>
          <w:szCs w:val="20"/>
          <w:color w:val="auto"/>
        </w:rPr>
      </w:pPr>
      <w:r>
        <w:rPr>
          <w:rFonts w:ascii="Arial" w:cs="Arial" w:eastAsia="Arial" w:hAnsi="Arial"/>
          <w:sz w:val="11"/>
          <w:szCs w:val="11"/>
          <w:color w:val="auto"/>
        </w:rPr>
        <w:t>14 – DEBT AND LEASE ARRANGEMENTS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Debt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Borders>
              <w:top w:val="single" w:sz="8" w:color="D9D9D9"/>
            </w:tcBorders>
          </w:tcPr>
          <w:p>
            <w:pPr>
              <w:spacing w:after="0"/>
              <w:rPr>
                <w:sz w:val="20"/>
                <w:szCs w:val="20"/>
                <w:color w:val="auto"/>
              </w:rPr>
            </w:pPr>
            <w:r>
              <w:rPr>
                <w:rFonts w:ascii="Arial" w:cs="Arial" w:eastAsia="Arial" w:hAnsi="Arial"/>
                <w:sz w:val="12"/>
                <w:szCs w:val="12"/>
                <w:color w:val="auto"/>
              </w:rPr>
              <w:t>Debt</w:t>
            </w:r>
          </w:p>
        </w:tc>
        <w:tc>
          <w:tcPr>
            <w:tcW w:w="1320" w:type="dxa"/>
            <w:vAlign w:val="bottom"/>
            <w:tcBorders>
              <w:top w:val="single" w:sz="8" w:color="D9D9D9"/>
            </w:tcBorders>
          </w:tcPr>
          <w:p>
            <w:pPr>
              <w:spacing w:after="0"/>
              <w:rPr>
                <w:sz w:val="16"/>
                <w:szCs w:val="16"/>
                <w:color w:val="auto"/>
              </w:rPr>
            </w:pPr>
          </w:p>
        </w:tc>
        <w:tc>
          <w:tcPr>
            <w:tcW w:w="1320" w:type="dxa"/>
            <w:vAlign w:val="bottom"/>
            <w:tcBorders>
              <w:top w:val="single" w:sz="8" w:color="D9D9D9"/>
            </w:tcBorders>
          </w:tcPr>
          <w:p>
            <w:pPr>
              <w:spacing w:after="0"/>
              <w:rPr>
                <w:sz w:val="16"/>
                <w:szCs w:val="16"/>
                <w:color w:val="auto"/>
              </w:rPr>
            </w:pPr>
          </w:p>
        </w:tc>
        <w:tc>
          <w:tcPr>
            <w:tcW w:w="1320" w:type="dxa"/>
            <w:vAlign w:val="bottom"/>
            <w:tcBorders>
              <w:top w:val="single" w:sz="8" w:color="D9D9D9"/>
            </w:tcBorders>
          </w:tcPr>
          <w:p>
            <w:pPr>
              <w:spacing w:after="0"/>
              <w:rPr>
                <w:sz w:val="16"/>
                <w:szCs w:val="16"/>
                <w:color w:val="auto"/>
              </w:rPr>
            </w:pPr>
          </w:p>
        </w:tc>
        <w:tc>
          <w:tcPr>
            <w:tcW w:w="1480" w:type="dxa"/>
            <w:vAlign w:val="bottom"/>
            <w:tcBorders>
              <w:top w:val="single" w:sz="8" w:color="D9D9D9"/>
            </w:tcBorders>
          </w:tcPr>
          <w:p>
            <w:pPr>
              <w:spacing w:after="0"/>
              <w:rPr>
                <w:sz w:val="16"/>
                <w:szCs w:val="16"/>
                <w:color w:val="auto"/>
              </w:rPr>
            </w:pPr>
          </w:p>
        </w:tc>
        <w:tc>
          <w:tcPr>
            <w:tcW w:w="1520" w:type="dxa"/>
            <w:vAlign w:val="bottom"/>
            <w:tcBorders>
              <w:top w:val="single" w:sz="8" w:color="D9D9D9"/>
            </w:tcBorders>
          </w:tcPr>
          <w:p>
            <w:pPr>
              <w:spacing w:after="0"/>
              <w:rPr>
                <w:sz w:val="16"/>
                <w:szCs w:val="16"/>
                <w:color w:val="auto"/>
              </w:rPr>
            </w:pPr>
          </w:p>
        </w:tc>
        <w:tc>
          <w:tcPr>
            <w:tcW w:w="98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5"/>
        </w:trPr>
        <w:tc>
          <w:tcPr>
            <w:tcW w:w="334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2020</w:t>
            </w:r>
          </w:p>
        </w:tc>
        <w:tc>
          <w:tcPr>
            <w:tcW w:w="14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2019</w:t>
            </w:r>
          </w:p>
        </w:tc>
        <w:tc>
          <w:tcPr>
            <w:tcW w:w="0" w:type="dxa"/>
            <w:vAlign w:val="bottom"/>
          </w:tcPr>
          <w:p>
            <w:pPr>
              <w:spacing w:after="0"/>
              <w:rPr>
                <w:sz w:val="1"/>
                <w:szCs w:val="1"/>
                <w:color w:val="auto"/>
              </w:rPr>
            </w:pPr>
          </w:p>
        </w:tc>
      </w:tr>
      <w:tr>
        <w:trPr>
          <w:trHeight w:val="83"/>
        </w:trPr>
        <w:tc>
          <w:tcPr>
            <w:tcW w:w="3340" w:type="dxa"/>
            <w:vAlign w:val="bottom"/>
          </w:tcPr>
          <w:p>
            <w:pPr>
              <w:spacing w:after="0"/>
              <w:rPr>
                <w:sz w:val="7"/>
                <w:szCs w:val="7"/>
                <w:color w:val="auto"/>
              </w:rPr>
            </w:pPr>
          </w:p>
        </w:tc>
        <w:tc>
          <w:tcPr>
            <w:tcW w:w="1320" w:type="dxa"/>
            <w:vAlign w:val="bottom"/>
          </w:tcPr>
          <w:p>
            <w:pPr>
              <w:jc w:val="right"/>
              <w:spacing w:after="0" w:line="83" w:lineRule="exact"/>
              <w:rPr>
                <w:sz w:val="20"/>
                <w:szCs w:val="20"/>
                <w:color w:val="auto"/>
              </w:rPr>
            </w:pPr>
            <w:r>
              <w:rPr>
                <w:rFonts w:ascii="Arial" w:cs="Arial" w:eastAsia="Arial" w:hAnsi="Arial"/>
                <w:sz w:val="8"/>
                <w:szCs w:val="8"/>
                <w:color w:val="auto"/>
              </w:rPr>
              <w:t>Debt</w:t>
            </w:r>
          </w:p>
        </w:tc>
        <w:tc>
          <w:tcPr>
            <w:tcW w:w="13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80" w:type="dxa"/>
            <w:vAlign w:val="bottom"/>
          </w:tcPr>
          <w:p>
            <w:pPr>
              <w:jc w:val="right"/>
              <w:ind w:right="112"/>
              <w:spacing w:after="0" w:line="83" w:lineRule="exact"/>
              <w:rPr>
                <w:sz w:val="20"/>
                <w:szCs w:val="20"/>
                <w:color w:val="auto"/>
              </w:rPr>
            </w:pPr>
            <w:r>
              <w:rPr>
                <w:rFonts w:ascii="Arial" w:cs="Arial" w:eastAsia="Arial" w:hAnsi="Arial"/>
                <w:sz w:val="8"/>
                <w:szCs w:val="8"/>
                <w:color w:val="auto"/>
              </w:rPr>
              <w:t>Debt</w:t>
            </w:r>
          </w:p>
        </w:tc>
        <w:tc>
          <w:tcPr>
            <w:tcW w:w="15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340" w:type="dxa"/>
            <w:vAlign w:val="bottom"/>
          </w:tcPr>
          <w:p>
            <w:pPr>
              <w:spacing w:after="0"/>
              <w:rPr>
                <w:sz w:val="7"/>
                <w:szCs w:val="7"/>
                <w:color w:val="auto"/>
              </w:rPr>
            </w:pPr>
          </w:p>
        </w:tc>
        <w:tc>
          <w:tcPr>
            <w:tcW w:w="1320" w:type="dxa"/>
            <w:vAlign w:val="bottom"/>
          </w:tcPr>
          <w:p>
            <w:pPr>
              <w:jc w:val="right"/>
              <w:spacing w:after="0" w:line="90" w:lineRule="exact"/>
              <w:rPr>
                <w:sz w:val="20"/>
                <w:szCs w:val="20"/>
                <w:color w:val="auto"/>
              </w:rPr>
            </w:pPr>
            <w:r>
              <w:rPr>
                <w:rFonts w:ascii="Arial" w:cs="Arial" w:eastAsia="Arial" w:hAnsi="Arial"/>
                <w:sz w:val="10"/>
                <w:szCs w:val="10"/>
                <w:color w:val="auto"/>
              </w:rPr>
              <w:t>(excluding</w:t>
            </w:r>
          </w:p>
        </w:tc>
        <w:tc>
          <w:tcPr>
            <w:tcW w:w="1320" w:type="dxa"/>
            <w:vAlign w:val="bottom"/>
            <w:vMerge w:val="restart"/>
          </w:tcPr>
          <w:p>
            <w:pPr>
              <w:jc w:val="right"/>
              <w:spacing w:after="0"/>
              <w:rPr>
                <w:sz w:val="20"/>
                <w:szCs w:val="20"/>
                <w:color w:val="auto"/>
              </w:rPr>
            </w:pPr>
            <w:r>
              <w:rPr>
                <w:rFonts w:ascii="Arial" w:cs="Arial" w:eastAsia="Arial" w:hAnsi="Arial"/>
                <w:sz w:val="10"/>
                <w:szCs w:val="10"/>
                <w:color w:val="auto"/>
              </w:rPr>
              <w:t>Lease</w:t>
            </w:r>
          </w:p>
        </w:tc>
        <w:tc>
          <w:tcPr>
            <w:tcW w:w="1320" w:type="dxa"/>
            <w:vAlign w:val="bottom"/>
          </w:tcPr>
          <w:p>
            <w:pPr>
              <w:spacing w:after="0"/>
              <w:rPr>
                <w:sz w:val="7"/>
                <w:szCs w:val="7"/>
                <w:color w:val="auto"/>
              </w:rPr>
            </w:pPr>
          </w:p>
        </w:tc>
        <w:tc>
          <w:tcPr>
            <w:tcW w:w="1480" w:type="dxa"/>
            <w:vAlign w:val="bottom"/>
          </w:tcPr>
          <w:p>
            <w:pPr>
              <w:jc w:val="right"/>
              <w:ind w:right="112"/>
              <w:spacing w:after="0" w:line="90" w:lineRule="exact"/>
              <w:rPr>
                <w:sz w:val="20"/>
                <w:szCs w:val="20"/>
                <w:color w:val="auto"/>
              </w:rPr>
            </w:pPr>
            <w:r>
              <w:rPr>
                <w:rFonts w:ascii="Arial" w:cs="Arial" w:eastAsia="Arial" w:hAnsi="Arial"/>
                <w:sz w:val="10"/>
                <w:szCs w:val="10"/>
                <w:color w:val="auto"/>
              </w:rPr>
              <w:t>(excluding</w:t>
            </w:r>
          </w:p>
        </w:tc>
        <w:tc>
          <w:tcPr>
            <w:tcW w:w="1520" w:type="dxa"/>
            <w:vAlign w:val="bottom"/>
            <w:vMerge w:val="restart"/>
          </w:tcPr>
          <w:p>
            <w:pPr>
              <w:jc w:val="right"/>
              <w:ind w:right="312"/>
              <w:spacing w:after="0"/>
              <w:rPr>
                <w:sz w:val="20"/>
                <w:szCs w:val="20"/>
                <w:color w:val="auto"/>
              </w:rPr>
            </w:pPr>
            <w:r>
              <w:rPr>
                <w:rFonts w:ascii="Arial" w:cs="Arial" w:eastAsia="Arial" w:hAnsi="Arial"/>
                <w:sz w:val="10"/>
                <w:szCs w:val="10"/>
                <w:color w:val="auto"/>
              </w:rPr>
              <w:t>Lease</w:t>
            </w: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340" w:type="dxa"/>
            <w:vAlign w:val="bottom"/>
          </w:tcPr>
          <w:p>
            <w:pPr>
              <w:spacing w:after="0"/>
              <w:rPr>
                <w:sz w:val="7"/>
                <w:szCs w:val="7"/>
                <w:color w:val="auto"/>
              </w:rPr>
            </w:pPr>
          </w:p>
        </w:tc>
        <w:tc>
          <w:tcPr>
            <w:tcW w:w="1320" w:type="dxa"/>
            <w:vAlign w:val="bottom"/>
          </w:tcPr>
          <w:p>
            <w:pPr>
              <w:jc w:val="right"/>
              <w:spacing w:after="0" w:line="90" w:lineRule="exact"/>
              <w:rPr>
                <w:sz w:val="20"/>
                <w:szCs w:val="20"/>
                <w:color w:val="auto"/>
              </w:rPr>
            </w:pPr>
            <w:r>
              <w:rPr>
                <w:rFonts w:ascii="Arial" w:cs="Arial" w:eastAsia="Arial" w:hAnsi="Arial"/>
                <w:sz w:val="10"/>
                <w:szCs w:val="10"/>
                <w:color w:val="auto"/>
              </w:rPr>
              <w:t>lease</w:t>
            </w:r>
          </w:p>
        </w:tc>
        <w:tc>
          <w:tcPr>
            <w:tcW w:w="1320" w:type="dxa"/>
            <w:vAlign w:val="bottom"/>
            <w:vMerge w:val="continue"/>
          </w:tcPr>
          <w:p>
            <w:pPr>
              <w:spacing w:after="0"/>
              <w:rPr>
                <w:sz w:val="7"/>
                <w:szCs w:val="7"/>
                <w:color w:val="auto"/>
              </w:rPr>
            </w:pPr>
          </w:p>
        </w:tc>
        <w:tc>
          <w:tcPr>
            <w:tcW w:w="132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1480" w:type="dxa"/>
            <w:vAlign w:val="bottom"/>
          </w:tcPr>
          <w:p>
            <w:pPr>
              <w:jc w:val="right"/>
              <w:ind w:right="112"/>
              <w:spacing w:after="0" w:line="90" w:lineRule="exact"/>
              <w:rPr>
                <w:sz w:val="20"/>
                <w:szCs w:val="20"/>
                <w:color w:val="auto"/>
              </w:rPr>
            </w:pPr>
            <w:r>
              <w:rPr>
                <w:rFonts w:ascii="Arial" w:cs="Arial" w:eastAsia="Arial" w:hAnsi="Arial"/>
                <w:sz w:val="10"/>
                <w:szCs w:val="10"/>
                <w:color w:val="auto"/>
              </w:rPr>
              <w:t>lease</w:t>
            </w:r>
          </w:p>
        </w:tc>
        <w:tc>
          <w:tcPr>
            <w:tcW w:w="1520" w:type="dxa"/>
            <w:vAlign w:val="bottom"/>
            <w:vMerge w:val="continue"/>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33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liabilities)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liabilities</w:t>
            </w:r>
          </w:p>
        </w:tc>
        <w:tc>
          <w:tcPr>
            <w:tcW w:w="1320" w:type="dxa"/>
            <w:vAlign w:val="bottom"/>
            <w:tcBorders>
              <w:bottom w:val="single" w:sz="8" w:color="auto"/>
            </w:tcBorders>
            <w:vMerge w:val="continue"/>
          </w:tcPr>
          <w:p>
            <w:pPr>
              <w:spacing w:after="0"/>
              <w:rPr>
                <w:sz w:val="10"/>
                <w:szCs w:val="10"/>
                <w:color w:val="auto"/>
              </w:rPr>
            </w:pP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liabilities)</w:t>
            </w:r>
          </w:p>
        </w:tc>
        <w:tc>
          <w:tcPr>
            <w:tcW w:w="15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liabilities</w:t>
            </w:r>
          </w:p>
        </w:tc>
        <w:tc>
          <w:tcPr>
            <w:tcW w:w="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340" w:type="dxa"/>
            <w:vAlign w:val="bottom"/>
          </w:tcPr>
          <w:p>
            <w:pPr>
              <w:spacing w:after="0" w:line="113" w:lineRule="exact"/>
              <w:rPr>
                <w:sz w:val="20"/>
                <w:szCs w:val="20"/>
                <w:color w:val="auto"/>
              </w:rPr>
            </w:pPr>
            <w:r>
              <w:rPr>
                <w:rFonts w:ascii="Arial" w:cs="Arial" w:eastAsia="Arial" w:hAnsi="Arial"/>
                <w:sz w:val="10"/>
                <w:szCs w:val="10"/>
                <w:color w:val="auto"/>
              </w:rPr>
              <w:t>Short-term debt</w:t>
            </w:r>
          </w:p>
        </w:tc>
        <w:tc>
          <w:tcPr>
            <w:tcW w:w="1320" w:type="dxa"/>
            <w:vAlign w:val="bottom"/>
            <w:shd w:val="clear" w:color="auto" w:fill="D9D9D9"/>
          </w:tcPr>
          <w:p>
            <w:pPr>
              <w:jc w:val="right"/>
              <w:spacing w:after="0" w:line="113" w:lineRule="exact"/>
              <w:rPr>
                <w:sz w:val="20"/>
                <w:szCs w:val="20"/>
                <w:color w:val="auto"/>
              </w:rPr>
            </w:pPr>
            <w:r>
              <w:rPr>
                <w:rFonts w:ascii="Arial" w:cs="Arial" w:eastAsia="Arial" w:hAnsi="Arial"/>
                <w:sz w:val="10"/>
                <w:szCs w:val="10"/>
                <w:color w:val="auto"/>
              </w:rPr>
              <w:t>7,535</w:t>
            </w:r>
          </w:p>
        </w:tc>
        <w:tc>
          <w:tcPr>
            <w:tcW w:w="1320" w:type="dxa"/>
            <w:vAlign w:val="bottom"/>
            <w:shd w:val="clear" w:color="auto" w:fill="D9D9D9"/>
          </w:tcPr>
          <w:p>
            <w:pPr>
              <w:jc w:val="right"/>
              <w:spacing w:after="0" w:line="113" w:lineRule="exact"/>
              <w:rPr>
                <w:sz w:val="20"/>
                <w:szCs w:val="20"/>
                <w:color w:val="auto"/>
              </w:rPr>
            </w:pPr>
            <w:r>
              <w:rPr>
                <w:rFonts w:ascii="Arial" w:cs="Arial" w:eastAsia="Arial" w:hAnsi="Arial"/>
                <w:sz w:val="10"/>
                <w:szCs w:val="10"/>
                <w:color w:val="auto"/>
              </w:rPr>
              <w:t>—</w:t>
            </w:r>
          </w:p>
        </w:tc>
        <w:tc>
          <w:tcPr>
            <w:tcW w:w="1320" w:type="dxa"/>
            <w:vAlign w:val="bottom"/>
            <w:shd w:val="clear" w:color="auto" w:fill="D9D9D9"/>
          </w:tcPr>
          <w:p>
            <w:pPr>
              <w:jc w:val="right"/>
              <w:spacing w:after="0" w:line="113" w:lineRule="exact"/>
              <w:rPr>
                <w:sz w:val="20"/>
                <w:szCs w:val="20"/>
                <w:color w:val="auto"/>
              </w:rPr>
            </w:pPr>
            <w:r>
              <w:rPr>
                <w:rFonts w:ascii="Arial" w:cs="Arial" w:eastAsia="Arial" w:hAnsi="Arial"/>
                <w:sz w:val="10"/>
                <w:szCs w:val="10"/>
                <w:color w:val="auto"/>
              </w:rPr>
              <w:t>7,535</w:t>
            </w:r>
          </w:p>
        </w:tc>
        <w:tc>
          <w:tcPr>
            <w:tcW w:w="1480" w:type="dxa"/>
            <w:vAlign w:val="bottom"/>
          </w:tcPr>
          <w:p>
            <w:pPr>
              <w:jc w:val="right"/>
              <w:ind w:right="132"/>
              <w:spacing w:after="0" w:line="113" w:lineRule="exact"/>
              <w:rPr>
                <w:sz w:val="20"/>
                <w:szCs w:val="20"/>
                <w:color w:val="auto"/>
              </w:rPr>
            </w:pPr>
            <w:r>
              <w:rPr>
                <w:rFonts w:ascii="Arial" w:cs="Arial" w:eastAsia="Arial" w:hAnsi="Arial"/>
                <w:sz w:val="10"/>
                <w:szCs w:val="10"/>
                <w:color w:val="auto"/>
              </w:rPr>
              <w:t>3,962</w:t>
            </w:r>
          </w:p>
        </w:tc>
        <w:tc>
          <w:tcPr>
            <w:tcW w:w="1520" w:type="dxa"/>
            <w:vAlign w:val="bottom"/>
          </w:tcPr>
          <w:p>
            <w:pPr>
              <w:jc w:val="right"/>
              <w:ind w:right="332"/>
              <w:spacing w:after="0" w:line="113" w:lineRule="exact"/>
              <w:rPr>
                <w:sz w:val="20"/>
                <w:szCs w:val="20"/>
                <w:color w:val="auto"/>
              </w:rPr>
            </w:pPr>
            <w:r>
              <w:rPr>
                <w:rFonts w:ascii="Arial" w:cs="Arial" w:eastAsia="Arial" w:hAnsi="Arial"/>
                <w:sz w:val="10"/>
                <w:szCs w:val="10"/>
                <w:color w:val="auto"/>
              </w:rPr>
              <w:t>—</w:t>
            </w:r>
          </w:p>
        </w:tc>
        <w:tc>
          <w:tcPr>
            <w:tcW w:w="980" w:type="dxa"/>
            <w:vAlign w:val="bottom"/>
          </w:tcPr>
          <w:p>
            <w:pPr>
              <w:jc w:val="right"/>
              <w:spacing w:after="0" w:line="113" w:lineRule="exact"/>
              <w:rPr>
                <w:sz w:val="20"/>
                <w:szCs w:val="20"/>
                <w:color w:val="auto"/>
              </w:rPr>
            </w:pPr>
            <w:r>
              <w:rPr>
                <w:rFonts w:ascii="Arial" w:cs="Arial" w:eastAsia="Arial" w:hAnsi="Arial"/>
                <w:sz w:val="10"/>
                <w:szCs w:val="10"/>
                <w:color w:val="auto"/>
              </w:rPr>
              <w:t>3,962</w:t>
            </w:r>
          </w:p>
        </w:tc>
        <w:tc>
          <w:tcPr>
            <w:tcW w:w="0" w:type="dxa"/>
            <w:vAlign w:val="bottom"/>
          </w:tcPr>
          <w:p>
            <w:pPr>
              <w:spacing w:after="0"/>
              <w:rPr>
                <w:sz w:val="1"/>
                <w:szCs w:val="1"/>
                <w:color w:val="auto"/>
              </w:rPr>
            </w:pPr>
          </w:p>
        </w:tc>
      </w:tr>
      <w:tr>
        <w:trPr>
          <w:trHeight w:val="127"/>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Long-term debt due within 1 year</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5,221</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4,143</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9,364</w:t>
            </w: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6,146</w:t>
            </w: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4,956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11,102</w:t>
            </w:r>
          </w:p>
        </w:tc>
        <w:tc>
          <w:tcPr>
            <w:tcW w:w="0" w:type="dxa"/>
            <w:vAlign w:val="bottom"/>
          </w:tcPr>
          <w:p>
            <w:pPr>
              <w:spacing w:after="0"/>
              <w:rPr>
                <w:sz w:val="1"/>
                <w:szCs w:val="1"/>
                <w:color w:val="auto"/>
              </w:rPr>
            </w:pPr>
          </w:p>
        </w:tc>
      </w:tr>
      <w:tr>
        <w:trPr>
          <w:trHeight w:val="114"/>
        </w:trPr>
        <w:tc>
          <w:tcPr>
            <w:tcW w:w="3340" w:type="dxa"/>
            <w:vAlign w:val="bottom"/>
          </w:tcPr>
          <w:p>
            <w:pPr>
              <w:spacing w:after="0"/>
              <w:rPr>
                <w:sz w:val="20"/>
                <w:szCs w:val="20"/>
                <w:color w:val="auto"/>
              </w:rPr>
            </w:pPr>
            <w:r>
              <w:rPr>
                <w:rFonts w:ascii="Arial" w:cs="Arial" w:eastAsia="Arial" w:hAnsi="Arial"/>
                <w:sz w:val="10"/>
                <w:szCs w:val="10"/>
                <w:color w:val="auto"/>
              </w:rPr>
              <w:t>Current debt</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12,756</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4,143</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16,899</w:t>
            </w:r>
          </w:p>
        </w:tc>
        <w:tc>
          <w:tcPr>
            <w:tcW w:w="1480" w:type="dxa"/>
            <w:vAlign w:val="bottom"/>
          </w:tcPr>
          <w:p>
            <w:pPr>
              <w:jc w:val="right"/>
              <w:ind w:right="132"/>
              <w:spacing w:after="0"/>
              <w:rPr>
                <w:sz w:val="20"/>
                <w:szCs w:val="20"/>
                <w:color w:val="auto"/>
              </w:rPr>
            </w:pPr>
            <w:r>
              <w:rPr>
                <w:rFonts w:ascii="Arial" w:cs="Arial" w:eastAsia="Arial" w:hAnsi="Arial"/>
                <w:sz w:val="10"/>
                <w:szCs w:val="10"/>
                <w:color w:val="auto"/>
              </w:rPr>
              <w:t>10,108</w:t>
            </w:r>
          </w:p>
        </w:tc>
        <w:tc>
          <w:tcPr>
            <w:tcW w:w="1520" w:type="dxa"/>
            <w:vAlign w:val="bottom"/>
          </w:tcPr>
          <w:p>
            <w:pPr>
              <w:jc w:val="right"/>
              <w:ind w:right="332"/>
              <w:spacing w:after="0"/>
              <w:rPr>
                <w:sz w:val="20"/>
                <w:szCs w:val="20"/>
                <w:color w:val="auto"/>
              </w:rPr>
            </w:pPr>
            <w:r>
              <w:rPr>
                <w:rFonts w:ascii="Arial" w:cs="Arial" w:eastAsia="Arial" w:hAnsi="Arial"/>
                <w:sz w:val="10"/>
                <w:szCs w:val="10"/>
                <w:color w:val="auto"/>
              </w:rPr>
              <w:t>4,956</w:t>
            </w:r>
          </w:p>
        </w:tc>
        <w:tc>
          <w:tcPr>
            <w:tcW w:w="980" w:type="dxa"/>
            <w:vAlign w:val="bottom"/>
          </w:tcPr>
          <w:p>
            <w:pPr>
              <w:jc w:val="right"/>
              <w:spacing w:after="0"/>
              <w:rPr>
                <w:sz w:val="20"/>
                <w:szCs w:val="20"/>
                <w:color w:val="auto"/>
              </w:rPr>
            </w:pPr>
            <w:r>
              <w:rPr>
                <w:rFonts w:ascii="Arial" w:cs="Arial" w:eastAsia="Arial" w:hAnsi="Arial"/>
                <w:sz w:val="10"/>
                <w:szCs w:val="10"/>
                <w:color w:val="auto"/>
              </w:rPr>
              <w:t>15,064</w:t>
            </w:r>
          </w:p>
        </w:tc>
        <w:tc>
          <w:tcPr>
            <w:tcW w:w="0" w:type="dxa"/>
            <w:vAlign w:val="bottom"/>
          </w:tcPr>
          <w:p>
            <w:pPr>
              <w:spacing w:after="0"/>
              <w:rPr>
                <w:sz w:val="1"/>
                <w:szCs w:val="1"/>
                <w:color w:val="auto"/>
              </w:rPr>
            </w:pPr>
          </w:p>
        </w:tc>
      </w:tr>
      <w:tr>
        <w:trPr>
          <w:trHeight w:val="127"/>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Non-current debt</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66,838</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24,277</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91,115</w:t>
            </w: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55,779</w:t>
            </w: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25,581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81,360</w:t>
            </w:r>
          </w:p>
        </w:tc>
        <w:tc>
          <w:tcPr>
            <w:tcW w:w="0" w:type="dxa"/>
            <w:vAlign w:val="bottom"/>
          </w:tcPr>
          <w:p>
            <w:pPr>
              <w:spacing w:after="0"/>
              <w:rPr>
                <w:sz w:val="1"/>
                <w:szCs w:val="1"/>
                <w:color w:val="auto"/>
              </w:rPr>
            </w:pPr>
          </w:p>
        </w:tc>
      </w:tr>
      <w:tr>
        <w:trPr>
          <w:trHeight w:val="117"/>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79,594</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28,420</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108,014</w:t>
            </w: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65,887</w:t>
            </w: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30,537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96,424</w:t>
            </w:r>
          </w:p>
        </w:tc>
        <w:tc>
          <w:tcPr>
            <w:tcW w:w="0" w:type="dxa"/>
            <w:vAlign w:val="bottom"/>
          </w:tcPr>
          <w:p>
            <w:pPr>
              <w:spacing w:after="0"/>
              <w:rPr>
                <w:sz w:val="1"/>
                <w:szCs w:val="1"/>
                <w:color w:val="auto"/>
              </w:rPr>
            </w:pPr>
          </w:p>
        </w:tc>
      </w:tr>
      <w:tr>
        <w:trPr>
          <w:trHeight w:val="79"/>
        </w:trPr>
        <w:tc>
          <w:tcPr>
            <w:tcW w:w="3340" w:type="dxa"/>
            <w:vAlign w:val="bottom"/>
            <w:tcBorders>
              <w:bottom w:val="single" w:sz="8" w:color="D9D9D9"/>
            </w:tcBorders>
          </w:tcPr>
          <w:p>
            <w:pPr>
              <w:spacing w:after="0"/>
              <w:rPr>
                <w:sz w:val="6"/>
                <w:szCs w:val="6"/>
                <w:color w:val="auto"/>
              </w:rPr>
            </w:pPr>
          </w:p>
        </w:tc>
        <w:tc>
          <w:tcPr>
            <w:tcW w:w="1320" w:type="dxa"/>
            <w:vAlign w:val="bottom"/>
            <w:tcBorders>
              <w:bottom w:val="single" w:sz="8" w:color="D9D9D9"/>
            </w:tcBorders>
          </w:tcPr>
          <w:p>
            <w:pPr>
              <w:spacing w:after="0"/>
              <w:rPr>
                <w:sz w:val="6"/>
                <w:szCs w:val="6"/>
                <w:color w:val="auto"/>
              </w:rPr>
            </w:pPr>
          </w:p>
        </w:tc>
        <w:tc>
          <w:tcPr>
            <w:tcW w:w="1320" w:type="dxa"/>
            <w:vAlign w:val="bottom"/>
            <w:tcBorders>
              <w:bottom w:val="single" w:sz="8" w:color="D9D9D9"/>
            </w:tcBorders>
          </w:tcPr>
          <w:p>
            <w:pPr>
              <w:spacing w:after="0"/>
              <w:rPr>
                <w:sz w:val="6"/>
                <w:szCs w:val="6"/>
                <w:color w:val="auto"/>
              </w:rPr>
            </w:pPr>
          </w:p>
        </w:tc>
        <w:tc>
          <w:tcPr>
            <w:tcW w:w="1320" w:type="dxa"/>
            <w:vAlign w:val="bottom"/>
            <w:tcBorders>
              <w:bottom w:val="single" w:sz="8" w:color="D9D9D9"/>
            </w:tcBorders>
          </w:tcPr>
          <w:p>
            <w:pPr>
              <w:spacing w:after="0"/>
              <w:rPr>
                <w:sz w:val="6"/>
                <w:szCs w:val="6"/>
                <w:color w:val="auto"/>
              </w:rPr>
            </w:pPr>
          </w:p>
        </w:tc>
        <w:tc>
          <w:tcPr>
            <w:tcW w:w="1480" w:type="dxa"/>
            <w:vAlign w:val="bottom"/>
            <w:tcBorders>
              <w:bottom w:val="single" w:sz="8" w:color="D9D9D9"/>
            </w:tcBorders>
          </w:tcPr>
          <w:p>
            <w:pPr>
              <w:spacing w:after="0"/>
              <w:rPr>
                <w:sz w:val="6"/>
                <w:szCs w:val="6"/>
                <w:color w:val="auto"/>
              </w:rPr>
            </w:pPr>
          </w:p>
        </w:tc>
        <w:tc>
          <w:tcPr>
            <w:tcW w:w="1520" w:type="dxa"/>
            <w:vAlign w:val="bottom"/>
            <w:tcBorders>
              <w:bottom w:val="single" w:sz="8" w:color="D9D9D9"/>
            </w:tcBorders>
          </w:tcPr>
          <w:p>
            <w:pPr>
              <w:spacing w:after="0"/>
              <w:rPr>
                <w:sz w:val="6"/>
                <w:szCs w:val="6"/>
                <w:color w:val="auto"/>
              </w:rPr>
            </w:pPr>
          </w:p>
        </w:tc>
        <w:tc>
          <w:tcPr>
            <w:tcW w:w="98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340" w:type="dxa"/>
            <w:vAlign w:val="bottom"/>
          </w:tcPr>
          <w:p>
            <w:pPr>
              <w:spacing w:after="0"/>
              <w:rPr>
                <w:sz w:val="20"/>
                <w:szCs w:val="20"/>
                <w:color w:val="auto"/>
              </w:rPr>
            </w:pPr>
            <w:r>
              <w:rPr>
                <w:rFonts w:ascii="Arial" w:cs="Arial" w:eastAsia="Arial" w:hAnsi="Arial"/>
                <w:sz w:val="12"/>
                <w:szCs w:val="12"/>
                <w:color w:val="auto"/>
              </w:rPr>
              <w:t>Net debt</w:t>
            </w:r>
          </w:p>
        </w:tc>
        <w:tc>
          <w:tcPr>
            <w:tcW w:w="1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Asset/(liability)</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vMerge w:val="restart"/>
          </w:tcPr>
          <w:p>
            <w:pPr>
              <w:jc w:val="right"/>
              <w:spacing w:after="0"/>
              <w:rPr>
                <w:sz w:val="20"/>
                <w:szCs w:val="20"/>
                <w:color w:val="auto"/>
              </w:rPr>
            </w:pPr>
            <w:r>
              <w:rPr>
                <w:rFonts w:ascii="Arial" w:cs="Arial" w:eastAsia="Arial" w:hAnsi="Arial"/>
                <w:sz w:val="10"/>
                <w:szCs w:val="10"/>
                <w:color w:val="auto"/>
              </w:rPr>
              <w:t>Current</w:t>
            </w:r>
          </w:p>
        </w:tc>
        <w:tc>
          <w:tcPr>
            <w:tcW w:w="1320" w:type="dxa"/>
            <w:vAlign w:val="bottom"/>
            <w:vMerge w:val="restart"/>
          </w:tcPr>
          <w:p>
            <w:pPr>
              <w:jc w:val="right"/>
              <w:spacing w:after="0"/>
              <w:rPr>
                <w:sz w:val="20"/>
                <w:szCs w:val="20"/>
                <w:color w:val="auto"/>
              </w:rPr>
            </w:pPr>
            <w:r>
              <w:rPr>
                <w:rFonts w:ascii="Arial" w:cs="Arial" w:eastAsia="Arial" w:hAnsi="Arial"/>
                <w:sz w:val="10"/>
                <w:szCs w:val="10"/>
                <w:color w:val="auto"/>
              </w:rPr>
              <w:t>Non-current</w:t>
            </w:r>
          </w:p>
        </w:tc>
        <w:tc>
          <w:tcPr>
            <w:tcW w:w="1480" w:type="dxa"/>
            <w:vAlign w:val="bottom"/>
          </w:tcPr>
          <w:p>
            <w:pPr>
              <w:jc w:val="right"/>
              <w:ind w:right="112"/>
              <w:spacing w:after="0" w:line="98" w:lineRule="exact"/>
              <w:rPr>
                <w:sz w:val="20"/>
                <w:szCs w:val="20"/>
                <w:color w:val="auto"/>
              </w:rPr>
            </w:pPr>
            <w:r>
              <w:rPr>
                <w:rFonts w:ascii="Arial" w:cs="Arial" w:eastAsia="Arial" w:hAnsi="Arial"/>
                <w:sz w:val="10"/>
                <w:szCs w:val="10"/>
                <w:color w:val="auto"/>
              </w:rPr>
              <w:t>Derivative</w:t>
            </w:r>
          </w:p>
        </w:tc>
        <w:tc>
          <w:tcPr>
            <w:tcW w:w="1520" w:type="dxa"/>
            <w:vAlign w:val="bottom"/>
            <w:vMerge w:val="restart"/>
          </w:tcPr>
          <w:p>
            <w:pPr>
              <w:jc w:val="right"/>
              <w:ind w:right="312"/>
              <w:spacing w:after="0"/>
              <w:rPr>
                <w:sz w:val="20"/>
                <w:szCs w:val="20"/>
                <w:color w:val="auto"/>
              </w:rPr>
            </w:pPr>
            <w:r>
              <w:rPr>
                <w:rFonts w:ascii="Arial" w:cs="Arial" w:eastAsia="Arial" w:hAnsi="Arial"/>
                <w:sz w:val="10"/>
                <w:szCs w:val="10"/>
                <w:color w:val="auto"/>
                <w:w w:val="94"/>
              </w:rPr>
              <w:t>Cash and cash equivalents</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3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480" w:type="dxa"/>
            <w:vAlign w:val="bottom"/>
          </w:tcPr>
          <w:p>
            <w:pPr>
              <w:jc w:val="right"/>
              <w:ind w:right="112"/>
              <w:spacing w:after="0" w:line="90" w:lineRule="exact"/>
              <w:rPr>
                <w:sz w:val="20"/>
                <w:szCs w:val="20"/>
                <w:color w:val="auto"/>
              </w:rPr>
            </w:pPr>
            <w:r>
              <w:rPr>
                <w:rFonts w:ascii="Arial" w:cs="Arial" w:eastAsia="Arial" w:hAnsi="Arial"/>
                <w:sz w:val="10"/>
                <w:szCs w:val="10"/>
                <w:color w:val="auto"/>
              </w:rPr>
              <w:t>financial</w:t>
            </w:r>
          </w:p>
        </w:tc>
        <w:tc>
          <w:tcPr>
            <w:tcW w:w="1520" w:type="dxa"/>
            <w:vAlign w:val="bottom"/>
            <w:vMerge w:val="continue"/>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Net debt</w:t>
            </w:r>
          </w:p>
        </w:tc>
        <w:tc>
          <w:tcPr>
            <w:tcW w:w="0" w:type="dxa"/>
            <w:vAlign w:val="bottom"/>
          </w:tcPr>
          <w:p>
            <w:pPr>
              <w:spacing w:after="0"/>
              <w:rPr>
                <w:sz w:val="1"/>
                <w:szCs w:val="1"/>
                <w:color w:val="auto"/>
              </w:rPr>
            </w:pPr>
          </w:p>
        </w:tc>
      </w:tr>
      <w:tr>
        <w:trPr>
          <w:trHeight w:val="124"/>
        </w:trPr>
        <w:tc>
          <w:tcPr>
            <w:tcW w:w="33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debt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debt</w:t>
            </w: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instruments</w:t>
            </w:r>
          </w:p>
        </w:tc>
        <w:tc>
          <w:tcPr>
            <w:tcW w:w="15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(see Note 13)</w:t>
            </w:r>
          </w:p>
        </w:tc>
        <w:tc>
          <w:tcPr>
            <w:tcW w:w="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340" w:type="dxa"/>
            <w:vAlign w:val="bottom"/>
          </w:tcPr>
          <w:p>
            <w:pPr>
              <w:spacing w:after="0" w:line="113" w:lineRule="exact"/>
              <w:rPr>
                <w:sz w:val="20"/>
                <w:szCs w:val="20"/>
                <w:color w:val="auto"/>
              </w:rPr>
            </w:pPr>
            <w:r>
              <w:rPr>
                <w:rFonts w:ascii="Arial" w:cs="Arial" w:eastAsia="Arial" w:hAnsi="Arial"/>
                <w:sz w:val="10"/>
                <w:szCs w:val="10"/>
                <w:color w:val="auto"/>
              </w:rPr>
              <w:t>At January 1, 2020</w:t>
            </w:r>
          </w:p>
        </w:tc>
        <w:tc>
          <w:tcPr>
            <w:tcW w:w="1320" w:type="dxa"/>
            <w:vAlign w:val="bottom"/>
          </w:tcPr>
          <w:p>
            <w:pPr>
              <w:spacing w:after="0"/>
              <w:rPr>
                <w:sz w:val="9"/>
                <w:szCs w:val="9"/>
                <w:color w:val="auto"/>
              </w:rPr>
            </w:pPr>
          </w:p>
        </w:tc>
        <w:tc>
          <w:tcPr>
            <w:tcW w:w="1320" w:type="dxa"/>
            <w:vAlign w:val="bottom"/>
          </w:tcPr>
          <w:p>
            <w:pPr>
              <w:jc w:val="right"/>
              <w:spacing w:after="0" w:line="113" w:lineRule="exact"/>
              <w:rPr>
                <w:sz w:val="20"/>
                <w:szCs w:val="20"/>
                <w:color w:val="auto"/>
              </w:rPr>
            </w:pPr>
            <w:r>
              <w:rPr>
                <w:rFonts w:ascii="Arial" w:cs="Arial" w:eastAsia="Arial" w:hAnsi="Arial"/>
                <w:sz w:val="10"/>
                <w:szCs w:val="10"/>
                <w:color w:val="auto"/>
              </w:rPr>
              <w:t>(15,064)</w:t>
            </w:r>
          </w:p>
        </w:tc>
        <w:tc>
          <w:tcPr>
            <w:tcW w:w="1320" w:type="dxa"/>
            <w:vAlign w:val="bottom"/>
          </w:tcPr>
          <w:p>
            <w:pPr>
              <w:jc w:val="right"/>
              <w:spacing w:after="0" w:line="113" w:lineRule="exact"/>
              <w:rPr>
                <w:sz w:val="20"/>
                <w:szCs w:val="20"/>
                <w:color w:val="auto"/>
              </w:rPr>
            </w:pPr>
            <w:r>
              <w:rPr>
                <w:rFonts w:ascii="Arial" w:cs="Arial" w:eastAsia="Arial" w:hAnsi="Arial"/>
                <w:sz w:val="10"/>
                <w:szCs w:val="10"/>
                <w:color w:val="auto"/>
              </w:rPr>
              <w:t>(81,360)</w:t>
            </w:r>
          </w:p>
        </w:tc>
        <w:tc>
          <w:tcPr>
            <w:tcW w:w="1480" w:type="dxa"/>
            <w:vAlign w:val="bottom"/>
          </w:tcPr>
          <w:p>
            <w:pPr>
              <w:jc w:val="right"/>
              <w:ind w:right="112"/>
              <w:spacing w:after="0" w:line="113" w:lineRule="exact"/>
              <w:rPr>
                <w:sz w:val="20"/>
                <w:szCs w:val="20"/>
                <w:color w:val="auto"/>
              </w:rPr>
            </w:pPr>
            <w:r>
              <w:rPr>
                <w:rFonts w:ascii="Arial" w:cs="Arial" w:eastAsia="Arial" w:hAnsi="Arial"/>
                <w:sz w:val="10"/>
                <w:szCs w:val="10"/>
                <w:color w:val="auto"/>
              </w:rPr>
              <w:t>(724)</w:t>
            </w:r>
          </w:p>
        </w:tc>
        <w:tc>
          <w:tcPr>
            <w:tcW w:w="1520" w:type="dxa"/>
            <w:vAlign w:val="bottom"/>
          </w:tcPr>
          <w:p>
            <w:pPr>
              <w:jc w:val="right"/>
              <w:ind w:right="332"/>
              <w:spacing w:after="0" w:line="113" w:lineRule="exact"/>
              <w:rPr>
                <w:sz w:val="20"/>
                <w:szCs w:val="20"/>
                <w:color w:val="auto"/>
              </w:rPr>
            </w:pPr>
            <w:r>
              <w:rPr>
                <w:rFonts w:ascii="Arial" w:cs="Arial" w:eastAsia="Arial" w:hAnsi="Arial"/>
                <w:sz w:val="10"/>
                <w:szCs w:val="10"/>
                <w:color w:val="auto"/>
              </w:rPr>
              <w:t>18,055</w:t>
            </w:r>
          </w:p>
        </w:tc>
        <w:tc>
          <w:tcPr>
            <w:tcW w:w="980" w:type="dxa"/>
            <w:vAlign w:val="bottom"/>
          </w:tcPr>
          <w:p>
            <w:pPr>
              <w:jc w:val="right"/>
              <w:spacing w:after="0" w:line="113" w:lineRule="exact"/>
              <w:rPr>
                <w:sz w:val="20"/>
                <w:szCs w:val="20"/>
                <w:color w:val="auto"/>
              </w:rPr>
            </w:pPr>
            <w:r>
              <w:rPr>
                <w:rFonts w:ascii="Arial" w:cs="Arial" w:eastAsia="Arial" w:hAnsi="Arial"/>
                <w:sz w:val="10"/>
                <w:szCs w:val="10"/>
                <w:color w:val="auto"/>
              </w:rPr>
              <w:t>(79,093)</w:t>
            </w:r>
          </w:p>
        </w:tc>
        <w:tc>
          <w:tcPr>
            <w:tcW w:w="0" w:type="dxa"/>
            <w:vAlign w:val="bottom"/>
          </w:tcPr>
          <w:p>
            <w:pPr>
              <w:spacing w:after="0"/>
              <w:rPr>
                <w:sz w:val="1"/>
                <w:szCs w:val="1"/>
                <w:color w:val="auto"/>
              </w:rPr>
            </w:pPr>
          </w:p>
        </w:tc>
      </w:tr>
      <w:tr>
        <w:trPr>
          <w:trHeight w:val="123"/>
        </w:trPr>
        <w:tc>
          <w:tcPr>
            <w:tcW w:w="3340" w:type="dxa"/>
            <w:vAlign w:val="bottom"/>
          </w:tcPr>
          <w:p>
            <w:pPr>
              <w:spacing w:after="0"/>
              <w:rPr>
                <w:sz w:val="20"/>
                <w:szCs w:val="20"/>
                <w:color w:val="auto"/>
              </w:rPr>
            </w:pPr>
            <w:r>
              <w:rPr>
                <w:rFonts w:ascii="Arial" w:cs="Arial" w:eastAsia="Arial" w:hAnsi="Arial"/>
                <w:sz w:val="10"/>
                <w:szCs w:val="10"/>
                <w:color w:val="auto"/>
              </w:rPr>
              <w:t>Cash flow</w:t>
            </w:r>
          </w:p>
        </w:tc>
        <w:tc>
          <w:tcPr>
            <w:tcW w:w="132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7,536</w:t>
            </w:r>
          </w:p>
        </w:tc>
        <w:tc>
          <w:tcPr>
            <w:tcW w:w="1320" w:type="dxa"/>
            <w:vAlign w:val="bottom"/>
          </w:tcPr>
          <w:p>
            <w:pPr>
              <w:jc w:val="right"/>
              <w:spacing w:after="0"/>
              <w:rPr>
                <w:sz w:val="20"/>
                <w:szCs w:val="20"/>
                <w:color w:val="auto"/>
              </w:rPr>
            </w:pPr>
            <w:r>
              <w:rPr>
                <w:rFonts w:ascii="Arial" w:cs="Arial" w:eastAsia="Arial" w:hAnsi="Arial"/>
                <w:sz w:val="10"/>
                <w:szCs w:val="10"/>
                <w:color w:val="auto"/>
              </w:rPr>
              <w:t>(13,121)</w:t>
            </w:r>
          </w:p>
        </w:tc>
        <w:tc>
          <w:tcPr>
            <w:tcW w:w="1480" w:type="dxa"/>
            <w:vAlign w:val="bottom"/>
          </w:tcPr>
          <w:p>
            <w:pPr>
              <w:jc w:val="right"/>
              <w:ind w:right="112"/>
              <w:spacing w:after="0"/>
              <w:rPr>
                <w:sz w:val="20"/>
                <w:szCs w:val="20"/>
                <w:color w:val="auto"/>
              </w:rPr>
            </w:pPr>
            <w:r>
              <w:rPr>
                <w:rFonts w:ascii="Arial" w:cs="Arial" w:eastAsia="Arial" w:hAnsi="Arial"/>
                <w:sz w:val="10"/>
                <w:szCs w:val="10"/>
                <w:color w:val="auto"/>
              </w:rPr>
              <w:t>(1,157)</w:t>
            </w:r>
          </w:p>
        </w:tc>
        <w:tc>
          <w:tcPr>
            <w:tcW w:w="1520" w:type="dxa"/>
            <w:vAlign w:val="bottom"/>
          </w:tcPr>
          <w:p>
            <w:pPr>
              <w:jc w:val="right"/>
              <w:ind w:right="332"/>
              <w:spacing w:after="0"/>
              <w:rPr>
                <w:sz w:val="20"/>
                <w:szCs w:val="20"/>
                <w:color w:val="auto"/>
              </w:rPr>
            </w:pPr>
            <w:r>
              <w:rPr>
                <w:rFonts w:ascii="Arial" w:cs="Arial" w:eastAsia="Arial" w:hAnsi="Arial"/>
                <w:sz w:val="10"/>
                <w:szCs w:val="10"/>
                <w:color w:val="auto"/>
              </w:rPr>
              <w:t>13,603</w:t>
            </w:r>
          </w:p>
        </w:tc>
        <w:tc>
          <w:tcPr>
            <w:tcW w:w="980" w:type="dxa"/>
            <w:vAlign w:val="bottom"/>
          </w:tcPr>
          <w:p>
            <w:pPr>
              <w:jc w:val="right"/>
              <w:spacing w:after="0"/>
              <w:rPr>
                <w:sz w:val="20"/>
                <w:szCs w:val="20"/>
                <w:color w:val="auto"/>
              </w:rPr>
            </w:pPr>
            <w:r>
              <w:rPr>
                <w:rFonts w:ascii="Arial" w:cs="Arial" w:eastAsia="Arial" w:hAnsi="Arial"/>
                <w:sz w:val="10"/>
                <w:szCs w:val="10"/>
                <w:color w:val="auto"/>
              </w:rPr>
              <w:t>6,861</w:t>
            </w:r>
          </w:p>
        </w:tc>
        <w:tc>
          <w:tcPr>
            <w:tcW w:w="0" w:type="dxa"/>
            <w:vAlign w:val="bottom"/>
          </w:tcPr>
          <w:p>
            <w:pPr>
              <w:spacing w:after="0"/>
              <w:rPr>
                <w:sz w:val="1"/>
                <w:szCs w:val="1"/>
                <w:color w:val="auto"/>
              </w:rPr>
            </w:pPr>
          </w:p>
        </w:tc>
      </w:tr>
      <w:tr>
        <w:trPr>
          <w:trHeight w:val="126"/>
        </w:trPr>
        <w:tc>
          <w:tcPr>
            <w:tcW w:w="3340" w:type="dxa"/>
            <w:vAlign w:val="bottom"/>
          </w:tcPr>
          <w:p>
            <w:pPr>
              <w:spacing w:after="0"/>
              <w:rPr>
                <w:sz w:val="20"/>
                <w:szCs w:val="20"/>
                <w:color w:val="auto"/>
              </w:rPr>
            </w:pPr>
            <w:r>
              <w:rPr>
                <w:rFonts w:ascii="Arial" w:cs="Arial" w:eastAsia="Arial" w:hAnsi="Arial"/>
                <w:sz w:val="10"/>
                <w:szCs w:val="10"/>
                <w:color w:val="auto"/>
              </w:rPr>
              <w:t>Lease additions</w:t>
            </w:r>
          </w:p>
        </w:tc>
        <w:tc>
          <w:tcPr>
            <w:tcW w:w="132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(870)</w:t>
            </w:r>
          </w:p>
        </w:tc>
        <w:tc>
          <w:tcPr>
            <w:tcW w:w="1320" w:type="dxa"/>
            <w:vAlign w:val="bottom"/>
          </w:tcPr>
          <w:p>
            <w:pPr>
              <w:jc w:val="right"/>
              <w:spacing w:after="0"/>
              <w:rPr>
                <w:sz w:val="20"/>
                <w:szCs w:val="20"/>
                <w:color w:val="auto"/>
              </w:rPr>
            </w:pPr>
            <w:r>
              <w:rPr>
                <w:rFonts w:ascii="Arial" w:cs="Arial" w:eastAsia="Arial" w:hAnsi="Arial"/>
                <w:sz w:val="10"/>
                <w:szCs w:val="10"/>
                <w:color w:val="auto"/>
              </w:rPr>
              <w:t>(2,268)</w:t>
            </w:r>
          </w:p>
        </w:tc>
        <w:tc>
          <w:tcPr>
            <w:tcW w:w="14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(3,138)</w:t>
            </w:r>
          </w:p>
        </w:tc>
        <w:tc>
          <w:tcPr>
            <w:tcW w:w="0" w:type="dxa"/>
            <w:vAlign w:val="bottom"/>
          </w:tcPr>
          <w:p>
            <w:pPr>
              <w:spacing w:after="0"/>
              <w:rPr>
                <w:sz w:val="1"/>
                <w:szCs w:val="1"/>
                <w:color w:val="auto"/>
              </w:rPr>
            </w:pPr>
          </w:p>
        </w:tc>
      </w:tr>
      <w:tr>
        <w:trPr>
          <w:trHeight w:val="126"/>
        </w:trPr>
        <w:tc>
          <w:tcPr>
            <w:tcW w:w="3340" w:type="dxa"/>
            <w:vAlign w:val="bottom"/>
          </w:tcPr>
          <w:p>
            <w:pPr>
              <w:spacing w:after="0"/>
              <w:rPr>
                <w:sz w:val="20"/>
                <w:szCs w:val="20"/>
                <w:color w:val="auto"/>
              </w:rPr>
            </w:pPr>
            <w:r>
              <w:rPr>
                <w:rFonts w:ascii="Arial" w:cs="Arial" w:eastAsia="Arial" w:hAnsi="Arial"/>
                <w:sz w:val="10"/>
                <w:szCs w:val="10"/>
                <w:color w:val="auto"/>
              </w:rPr>
              <w:t>Other movements</w:t>
            </w:r>
          </w:p>
        </w:tc>
        <w:tc>
          <w:tcPr>
            <w:tcW w:w="132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(8,380)</w:t>
            </w:r>
          </w:p>
        </w:tc>
        <w:tc>
          <w:tcPr>
            <w:tcW w:w="1320" w:type="dxa"/>
            <w:vAlign w:val="bottom"/>
          </w:tcPr>
          <w:p>
            <w:pPr>
              <w:jc w:val="right"/>
              <w:spacing w:after="0"/>
              <w:rPr>
                <w:sz w:val="20"/>
                <w:szCs w:val="20"/>
                <w:color w:val="auto"/>
              </w:rPr>
            </w:pPr>
            <w:r>
              <w:rPr>
                <w:rFonts w:ascii="Arial" w:cs="Arial" w:eastAsia="Arial" w:hAnsi="Arial"/>
                <w:sz w:val="10"/>
                <w:szCs w:val="10"/>
                <w:color w:val="auto"/>
              </w:rPr>
              <w:t>8,354</w:t>
            </w:r>
          </w:p>
        </w:tc>
        <w:tc>
          <w:tcPr>
            <w:tcW w:w="1480" w:type="dxa"/>
            <w:vAlign w:val="bottom"/>
          </w:tcPr>
          <w:p>
            <w:pPr>
              <w:jc w:val="right"/>
              <w:ind w:right="132"/>
              <w:spacing w:after="0"/>
              <w:rPr>
                <w:sz w:val="20"/>
                <w:szCs w:val="20"/>
                <w:color w:val="auto"/>
              </w:rPr>
            </w:pPr>
            <w:r>
              <w:rPr>
                <w:rFonts w:ascii="Arial" w:cs="Arial" w:eastAsia="Arial" w:hAnsi="Arial"/>
                <w:sz w:val="10"/>
                <w:szCs w:val="10"/>
                <w:color w:val="auto"/>
              </w:rPr>
              <w:t>524</w:t>
            </w:r>
          </w:p>
        </w:tc>
        <w:tc>
          <w:tcPr>
            <w:tcW w:w="152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498</w:t>
            </w:r>
          </w:p>
        </w:tc>
        <w:tc>
          <w:tcPr>
            <w:tcW w:w="0" w:type="dxa"/>
            <w:vAlign w:val="bottom"/>
          </w:tcPr>
          <w:p>
            <w:pPr>
              <w:spacing w:after="0"/>
              <w:rPr>
                <w:sz w:val="1"/>
                <w:szCs w:val="1"/>
                <w:color w:val="auto"/>
              </w:rPr>
            </w:pPr>
          </w:p>
        </w:tc>
      </w:tr>
      <w:tr>
        <w:trPr>
          <w:trHeight w:val="130"/>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Currency translation differences and foreign exchange gains/(losses)</w:t>
            </w:r>
          </w:p>
        </w:tc>
        <w:tc>
          <w:tcPr>
            <w:tcW w:w="13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(2,720)</w:t>
            </w: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2,155</w:t>
            </w: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172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(514)</w:t>
            </w:r>
          </w:p>
        </w:tc>
        <w:tc>
          <w:tcPr>
            <w:tcW w:w="0" w:type="dxa"/>
            <w:vAlign w:val="bottom"/>
          </w:tcPr>
          <w:p>
            <w:pPr>
              <w:spacing w:after="0"/>
              <w:rPr>
                <w:sz w:val="1"/>
                <w:szCs w:val="1"/>
                <w:color w:val="auto"/>
              </w:rPr>
            </w:pPr>
          </w:p>
        </w:tc>
      </w:tr>
      <w:tr>
        <w:trPr>
          <w:trHeight w:val="117"/>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2020</w:t>
            </w:r>
          </w:p>
        </w:tc>
        <w:tc>
          <w:tcPr>
            <w:tcW w:w="13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(16,899)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(91,115)</w:t>
            </w: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798</w:t>
            </w: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31,830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(75,386)</w:t>
            </w:r>
          </w:p>
        </w:tc>
        <w:tc>
          <w:tcPr>
            <w:tcW w:w="0" w:type="dxa"/>
            <w:vAlign w:val="bottom"/>
          </w:tcPr>
          <w:p>
            <w:pPr>
              <w:spacing w:after="0"/>
              <w:rPr>
                <w:sz w:val="1"/>
                <w:szCs w:val="1"/>
                <w:color w:val="auto"/>
              </w:rPr>
            </w:pPr>
          </w:p>
        </w:tc>
      </w:tr>
      <w:tr>
        <w:trPr>
          <w:trHeight w:val="113"/>
        </w:trPr>
        <w:tc>
          <w:tcPr>
            <w:tcW w:w="3340" w:type="dxa"/>
            <w:vAlign w:val="bottom"/>
          </w:tcPr>
          <w:p>
            <w:pPr>
              <w:spacing w:after="0" w:line="113" w:lineRule="exact"/>
              <w:rPr>
                <w:sz w:val="20"/>
                <w:szCs w:val="20"/>
                <w:color w:val="auto"/>
              </w:rPr>
            </w:pPr>
            <w:r>
              <w:rPr>
                <w:rFonts w:ascii="Arial" w:cs="Arial" w:eastAsia="Arial" w:hAnsi="Arial"/>
                <w:sz w:val="10"/>
                <w:szCs w:val="10"/>
                <w:color w:val="auto"/>
              </w:rPr>
              <w:t>At January 1, 2019</w:t>
            </w:r>
          </w:p>
        </w:tc>
        <w:tc>
          <w:tcPr>
            <w:tcW w:w="1320" w:type="dxa"/>
            <w:vAlign w:val="bottom"/>
          </w:tcPr>
          <w:p>
            <w:pPr>
              <w:spacing w:after="0"/>
              <w:rPr>
                <w:sz w:val="9"/>
                <w:szCs w:val="9"/>
                <w:color w:val="auto"/>
              </w:rPr>
            </w:pPr>
          </w:p>
        </w:tc>
        <w:tc>
          <w:tcPr>
            <w:tcW w:w="1320" w:type="dxa"/>
            <w:vAlign w:val="bottom"/>
          </w:tcPr>
          <w:p>
            <w:pPr>
              <w:jc w:val="right"/>
              <w:spacing w:after="0" w:line="113" w:lineRule="exact"/>
              <w:rPr>
                <w:sz w:val="20"/>
                <w:szCs w:val="20"/>
                <w:color w:val="auto"/>
              </w:rPr>
            </w:pPr>
            <w:r>
              <w:rPr>
                <w:rFonts w:ascii="Arial" w:cs="Arial" w:eastAsia="Arial" w:hAnsi="Arial"/>
                <w:sz w:val="10"/>
                <w:szCs w:val="10"/>
                <w:color w:val="auto"/>
              </w:rPr>
              <w:t>(13,046)</w:t>
            </w:r>
          </w:p>
        </w:tc>
        <w:tc>
          <w:tcPr>
            <w:tcW w:w="1320" w:type="dxa"/>
            <w:vAlign w:val="bottom"/>
          </w:tcPr>
          <w:p>
            <w:pPr>
              <w:jc w:val="right"/>
              <w:spacing w:after="0" w:line="113" w:lineRule="exact"/>
              <w:rPr>
                <w:sz w:val="20"/>
                <w:szCs w:val="20"/>
                <w:color w:val="auto"/>
              </w:rPr>
            </w:pPr>
            <w:r>
              <w:rPr>
                <w:rFonts w:ascii="Arial" w:cs="Arial" w:eastAsia="Arial" w:hAnsi="Arial"/>
                <w:sz w:val="10"/>
                <w:szCs w:val="10"/>
                <w:color w:val="auto"/>
              </w:rPr>
              <w:t>(79,815)</w:t>
            </w:r>
          </w:p>
        </w:tc>
        <w:tc>
          <w:tcPr>
            <w:tcW w:w="1480" w:type="dxa"/>
            <w:vAlign w:val="bottom"/>
          </w:tcPr>
          <w:p>
            <w:pPr>
              <w:jc w:val="right"/>
              <w:ind w:right="112"/>
              <w:spacing w:after="0" w:line="113" w:lineRule="exact"/>
              <w:rPr>
                <w:sz w:val="20"/>
                <w:szCs w:val="20"/>
                <w:color w:val="auto"/>
              </w:rPr>
            </w:pPr>
            <w:r>
              <w:rPr>
                <w:rFonts w:ascii="Arial" w:cs="Arial" w:eastAsia="Arial" w:hAnsi="Arial"/>
                <w:sz w:val="10"/>
                <w:szCs w:val="10"/>
                <w:color w:val="auto"/>
              </w:rPr>
              <w:t>(1,345)</w:t>
            </w:r>
          </w:p>
        </w:tc>
        <w:tc>
          <w:tcPr>
            <w:tcW w:w="1520" w:type="dxa"/>
            <w:vAlign w:val="bottom"/>
          </w:tcPr>
          <w:p>
            <w:pPr>
              <w:jc w:val="right"/>
              <w:ind w:right="332"/>
              <w:spacing w:after="0" w:line="113" w:lineRule="exact"/>
              <w:rPr>
                <w:sz w:val="20"/>
                <w:szCs w:val="20"/>
                <w:color w:val="auto"/>
              </w:rPr>
            </w:pPr>
            <w:r>
              <w:rPr>
                <w:rFonts w:ascii="Arial" w:cs="Arial" w:eastAsia="Arial" w:hAnsi="Arial"/>
                <w:sz w:val="10"/>
                <w:szCs w:val="10"/>
                <w:color w:val="auto"/>
              </w:rPr>
              <w:t>26,741</w:t>
            </w:r>
          </w:p>
        </w:tc>
        <w:tc>
          <w:tcPr>
            <w:tcW w:w="980" w:type="dxa"/>
            <w:vAlign w:val="bottom"/>
          </w:tcPr>
          <w:p>
            <w:pPr>
              <w:jc w:val="right"/>
              <w:spacing w:after="0" w:line="113" w:lineRule="exact"/>
              <w:rPr>
                <w:sz w:val="20"/>
                <w:szCs w:val="20"/>
                <w:color w:val="auto"/>
              </w:rPr>
            </w:pPr>
            <w:r>
              <w:rPr>
                <w:rFonts w:ascii="Arial" w:cs="Arial" w:eastAsia="Arial" w:hAnsi="Arial"/>
                <w:sz w:val="10"/>
                <w:szCs w:val="10"/>
                <w:color w:val="auto"/>
              </w:rPr>
              <w:t>(67,465)</w:t>
            </w:r>
          </w:p>
        </w:tc>
        <w:tc>
          <w:tcPr>
            <w:tcW w:w="0" w:type="dxa"/>
            <w:vAlign w:val="bottom"/>
          </w:tcPr>
          <w:p>
            <w:pPr>
              <w:spacing w:after="0"/>
              <w:rPr>
                <w:sz w:val="1"/>
                <w:szCs w:val="1"/>
                <w:color w:val="auto"/>
              </w:rPr>
            </w:pPr>
          </w:p>
        </w:tc>
      </w:tr>
      <w:tr>
        <w:trPr>
          <w:trHeight w:val="123"/>
        </w:trPr>
        <w:tc>
          <w:tcPr>
            <w:tcW w:w="3340" w:type="dxa"/>
            <w:vAlign w:val="bottom"/>
          </w:tcPr>
          <w:p>
            <w:pPr>
              <w:spacing w:after="0"/>
              <w:rPr>
                <w:sz w:val="20"/>
                <w:szCs w:val="20"/>
                <w:color w:val="auto"/>
              </w:rPr>
            </w:pPr>
            <w:r>
              <w:rPr>
                <w:rFonts w:ascii="Arial" w:cs="Arial" w:eastAsia="Arial" w:hAnsi="Arial"/>
                <w:sz w:val="10"/>
                <w:szCs w:val="10"/>
                <w:color w:val="auto"/>
              </w:rPr>
              <w:t>Cash flow</w:t>
            </w:r>
          </w:p>
        </w:tc>
        <w:tc>
          <w:tcPr>
            <w:tcW w:w="132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10,333</w:t>
            </w:r>
          </w:p>
        </w:tc>
        <w:tc>
          <w:tcPr>
            <w:tcW w:w="1320" w:type="dxa"/>
            <w:vAlign w:val="bottom"/>
          </w:tcPr>
          <w:p>
            <w:pPr>
              <w:jc w:val="right"/>
              <w:spacing w:after="0"/>
              <w:rPr>
                <w:sz w:val="20"/>
                <w:szCs w:val="20"/>
                <w:color w:val="auto"/>
              </w:rPr>
            </w:pPr>
            <w:r>
              <w:rPr>
                <w:rFonts w:ascii="Arial" w:cs="Arial" w:eastAsia="Arial" w:hAnsi="Arial"/>
                <w:sz w:val="10"/>
                <w:szCs w:val="10"/>
                <w:color w:val="auto"/>
              </w:rPr>
              <w:t>(7,269)</w:t>
            </w:r>
          </w:p>
        </w:tc>
        <w:tc>
          <w:tcPr>
            <w:tcW w:w="1480" w:type="dxa"/>
            <w:vAlign w:val="bottom"/>
          </w:tcPr>
          <w:p>
            <w:pPr>
              <w:jc w:val="right"/>
              <w:ind w:right="132"/>
              <w:spacing w:after="0"/>
              <w:rPr>
                <w:sz w:val="20"/>
                <w:szCs w:val="20"/>
                <w:color w:val="auto"/>
              </w:rPr>
            </w:pPr>
            <w:r>
              <w:rPr>
                <w:rFonts w:ascii="Arial" w:cs="Arial" w:eastAsia="Arial" w:hAnsi="Arial"/>
                <w:sz w:val="10"/>
                <w:szCs w:val="10"/>
                <w:color w:val="auto"/>
              </w:rPr>
              <w:t>351</w:t>
            </w:r>
          </w:p>
        </w:tc>
        <w:tc>
          <w:tcPr>
            <w:tcW w:w="1520" w:type="dxa"/>
            <w:vAlign w:val="bottom"/>
          </w:tcPr>
          <w:p>
            <w:pPr>
              <w:jc w:val="right"/>
              <w:ind w:right="312"/>
              <w:spacing w:after="0"/>
              <w:rPr>
                <w:sz w:val="20"/>
                <w:szCs w:val="20"/>
                <w:color w:val="auto"/>
              </w:rPr>
            </w:pPr>
            <w:r>
              <w:rPr>
                <w:rFonts w:ascii="Arial" w:cs="Arial" w:eastAsia="Arial" w:hAnsi="Arial"/>
                <w:sz w:val="10"/>
                <w:szCs w:val="10"/>
                <w:color w:val="auto"/>
              </w:rPr>
              <w:t>(8,810)</w:t>
            </w:r>
          </w:p>
        </w:tc>
        <w:tc>
          <w:tcPr>
            <w:tcW w:w="980" w:type="dxa"/>
            <w:vAlign w:val="bottom"/>
          </w:tcPr>
          <w:p>
            <w:pPr>
              <w:jc w:val="right"/>
              <w:spacing w:after="0"/>
              <w:rPr>
                <w:sz w:val="20"/>
                <w:szCs w:val="20"/>
                <w:color w:val="auto"/>
              </w:rPr>
            </w:pPr>
            <w:r>
              <w:rPr>
                <w:rFonts w:ascii="Arial" w:cs="Arial" w:eastAsia="Arial" w:hAnsi="Arial"/>
                <w:sz w:val="10"/>
                <w:szCs w:val="10"/>
                <w:color w:val="auto"/>
              </w:rPr>
              <w:t>(5,395)</w:t>
            </w:r>
          </w:p>
        </w:tc>
        <w:tc>
          <w:tcPr>
            <w:tcW w:w="0" w:type="dxa"/>
            <w:vAlign w:val="bottom"/>
          </w:tcPr>
          <w:p>
            <w:pPr>
              <w:spacing w:after="0"/>
              <w:rPr>
                <w:sz w:val="1"/>
                <w:szCs w:val="1"/>
                <w:color w:val="auto"/>
              </w:rPr>
            </w:pPr>
          </w:p>
        </w:tc>
      </w:tr>
      <w:tr>
        <w:trPr>
          <w:trHeight w:val="126"/>
        </w:trPr>
        <w:tc>
          <w:tcPr>
            <w:tcW w:w="3340" w:type="dxa"/>
            <w:vAlign w:val="bottom"/>
          </w:tcPr>
          <w:p>
            <w:pPr>
              <w:spacing w:after="0"/>
              <w:rPr>
                <w:sz w:val="20"/>
                <w:szCs w:val="20"/>
                <w:color w:val="auto"/>
              </w:rPr>
            </w:pPr>
            <w:r>
              <w:rPr>
                <w:rFonts w:ascii="Arial" w:cs="Arial" w:eastAsia="Arial" w:hAnsi="Arial"/>
                <w:sz w:val="10"/>
                <w:szCs w:val="10"/>
                <w:color w:val="auto"/>
              </w:rPr>
              <w:t>Lease additions</w:t>
            </w:r>
          </w:p>
        </w:tc>
        <w:tc>
          <w:tcPr>
            <w:tcW w:w="132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(971)</w:t>
            </w:r>
          </w:p>
        </w:tc>
        <w:tc>
          <w:tcPr>
            <w:tcW w:w="1320" w:type="dxa"/>
            <w:vAlign w:val="bottom"/>
          </w:tcPr>
          <w:p>
            <w:pPr>
              <w:jc w:val="right"/>
              <w:spacing w:after="0"/>
              <w:rPr>
                <w:sz w:val="20"/>
                <w:szCs w:val="20"/>
                <w:color w:val="auto"/>
              </w:rPr>
            </w:pPr>
            <w:r>
              <w:rPr>
                <w:rFonts w:ascii="Arial" w:cs="Arial" w:eastAsia="Arial" w:hAnsi="Arial"/>
                <w:sz w:val="10"/>
                <w:szCs w:val="10"/>
                <w:color w:val="auto"/>
              </w:rPr>
              <w:t>(3,547)</w:t>
            </w:r>
          </w:p>
        </w:tc>
        <w:tc>
          <w:tcPr>
            <w:tcW w:w="14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(4,518)</w:t>
            </w:r>
          </w:p>
        </w:tc>
        <w:tc>
          <w:tcPr>
            <w:tcW w:w="0" w:type="dxa"/>
            <w:vAlign w:val="bottom"/>
          </w:tcPr>
          <w:p>
            <w:pPr>
              <w:spacing w:after="0"/>
              <w:rPr>
                <w:sz w:val="1"/>
                <w:szCs w:val="1"/>
                <w:color w:val="auto"/>
              </w:rPr>
            </w:pPr>
          </w:p>
        </w:tc>
      </w:tr>
      <w:tr>
        <w:trPr>
          <w:trHeight w:val="126"/>
        </w:trPr>
        <w:tc>
          <w:tcPr>
            <w:tcW w:w="3340" w:type="dxa"/>
            <w:vAlign w:val="bottom"/>
          </w:tcPr>
          <w:p>
            <w:pPr>
              <w:spacing w:after="0"/>
              <w:rPr>
                <w:sz w:val="20"/>
                <w:szCs w:val="20"/>
                <w:color w:val="auto"/>
              </w:rPr>
            </w:pPr>
            <w:r>
              <w:rPr>
                <w:rFonts w:ascii="Arial" w:cs="Arial" w:eastAsia="Arial" w:hAnsi="Arial"/>
                <w:sz w:val="10"/>
                <w:szCs w:val="10"/>
                <w:color w:val="auto"/>
              </w:rPr>
              <w:t>Other movements</w:t>
            </w:r>
          </w:p>
        </w:tc>
        <w:tc>
          <w:tcPr>
            <w:tcW w:w="132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(11,453)</w:t>
            </w:r>
          </w:p>
        </w:tc>
        <w:tc>
          <w:tcPr>
            <w:tcW w:w="1320" w:type="dxa"/>
            <w:vAlign w:val="bottom"/>
          </w:tcPr>
          <w:p>
            <w:pPr>
              <w:jc w:val="right"/>
              <w:spacing w:after="0"/>
              <w:rPr>
                <w:sz w:val="20"/>
                <w:szCs w:val="20"/>
                <w:color w:val="auto"/>
              </w:rPr>
            </w:pPr>
            <w:r>
              <w:rPr>
                <w:rFonts w:ascii="Arial" w:cs="Arial" w:eastAsia="Arial" w:hAnsi="Arial"/>
                <w:sz w:val="10"/>
                <w:szCs w:val="10"/>
                <w:color w:val="auto"/>
              </w:rPr>
              <w:t>9,179</w:t>
            </w:r>
          </w:p>
        </w:tc>
        <w:tc>
          <w:tcPr>
            <w:tcW w:w="1480" w:type="dxa"/>
            <w:vAlign w:val="bottom"/>
          </w:tcPr>
          <w:p>
            <w:pPr>
              <w:jc w:val="right"/>
              <w:ind w:right="132"/>
              <w:spacing w:after="0"/>
              <w:rPr>
                <w:sz w:val="20"/>
                <w:szCs w:val="20"/>
                <w:color w:val="auto"/>
              </w:rPr>
            </w:pPr>
            <w:r>
              <w:rPr>
                <w:rFonts w:ascii="Arial" w:cs="Arial" w:eastAsia="Arial" w:hAnsi="Arial"/>
                <w:sz w:val="10"/>
                <w:szCs w:val="10"/>
                <w:color w:val="auto"/>
              </w:rPr>
              <w:t>453</w:t>
            </w:r>
          </w:p>
        </w:tc>
        <w:tc>
          <w:tcPr>
            <w:tcW w:w="152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(1,821)</w:t>
            </w:r>
          </w:p>
        </w:tc>
        <w:tc>
          <w:tcPr>
            <w:tcW w:w="0" w:type="dxa"/>
            <w:vAlign w:val="bottom"/>
          </w:tcPr>
          <w:p>
            <w:pPr>
              <w:spacing w:after="0"/>
              <w:rPr>
                <w:sz w:val="1"/>
                <w:szCs w:val="1"/>
                <w:color w:val="auto"/>
              </w:rPr>
            </w:pPr>
          </w:p>
        </w:tc>
      </w:tr>
      <w:tr>
        <w:trPr>
          <w:trHeight w:val="130"/>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Currency translation differences and foreign exchange gains/(losses)</w:t>
            </w:r>
          </w:p>
        </w:tc>
        <w:tc>
          <w:tcPr>
            <w:tcW w:w="13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w:t>
            </w: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(183)</w:t>
            </w: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124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117"/>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2019</w:t>
            </w:r>
          </w:p>
        </w:tc>
        <w:tc>
          <w:tcPr>
            <w:tcW w:w="13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(15,064)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(81,360)</w:t>
            </w: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(724)</w:t>
            </w: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18,055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(79,093)</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right="460"/>
        <w:spacing w:after="0" w:line="239" w:lineRule="auto"/>
        <w:rPr>
          <w:sz w:val="20"/>
          <w:szCs w:val="20"/>
          <w:color w:val="auto"/>
        </w:rPr>
      </w:pPr>
      <w:r>
        <w:rPr>
          <w:rFonts w:ascii="Arial" w:cs="Arial" w:eastAsia="Arial" w:hAnsi="Arial"/>
          <w:sz w:val="10"/>
          <w:szCs w:val="10"/>
          <w:color w:val="auto"/>
        </w:rPr>
        <w:t>Management's priorities for applying Shell's cash are first the reduction of net debt to $65 billion and, on achieving this milestone, distribution of a total of 20%—30% of cash flow from operations to shareholders. Remaining cash will be allocated to disciplined and measured capital expenditure growth and further debt reduction.</w:t>
      </w:r>
    </w:p>
    <w:tbl>
      <w:tblPr>
        <w:tblLayout w:type="fixed"/>
        <w:tblInd w:w="0" w:type="dxa"/>
        <w:tblCellMar>
          <w:top w:w="0" w:type="dxa"/>
          <w:left w:w="0" w:type="dxa"/>
          <w:bottom w:w="0" w:type="dxa"/>
          <w:right w:w="0" w:type="dxa"/>
        </w:tblCellMar>
      </w:tblPr>
      <w:tr>
        <w:trPr>
          <w:trHeight w:val="183"/>
        </w:trPr>
        <w:tc>
          <w:tcPr>
            <w:tcW w:w="8300" w:type="dxa"/>
            <w:vAlign w:val="bottom"/>
            <w:tcBorders>
              <w:top w:val="single" w:sz="8" w:color="D9D9D9"/>
            </w:tcBorders>
          </w:tcPr>
          <w:p>
            <w:pPr>
              <w:spacing w:after="0"/>
              <w:rPr>
                <w:sz w:val="20"/>
                <w:szCs w:val="20"/>
                <w:color w:val="auto"/>
              </w:rPr>
            </w:pPr>
            <w:r>
              <w:rPr>
                <w:rFonts w:ascii="Arial" w:cs="Arial" w:eastAsia="Arial" w:hAnsi="Arial"/>
                <w:sz w:val="12"/>
                <w:szCs w:val="12"/>
                <w:color w:val="auto"/>
              </w:rPr>
              <w:t>Gearing</w:t>
            </w:r>
          </w:p>
        </w:tc>
        <w:tc>
          <w:tcPr>
            <w:tcW w:w="1420" w:type="dxa"/>
            <w:vAlign w:val="bottom"/>
            <w:tcBorders>
              <w:top w:val="single" w:sz="8" w:color="D9D9D9"/>
            </w:tcBorders>
          </w:tcPr>
          <w:p>
            <w:pPr>
              <w:spacing w:after="0"/>
              <w:rPr>
                <w:sz w:val="15"/>
                <w:szCs w:val="15"/>
                <w:color w:val="auto"/>
              </w:rPr>
            </w:pPr>
          </w:p>
        </w:tc>
        <w:tc>
          <w:tcPr>
            <w:tcW w:w="100" w:type="dxa"/>
            <w:vAlign w:val="bottom"/>
            <w:tcBorders>
              <w:top w:val="single" w:sz="8" w:color="D9D9D9"/>
            </w:tcBorders>
          </w:tcPr>
          <w:p>
            <w:pPr>
              <w:spacing w:after="0"/>
              <w:rPr>
                <w:sz w:val="15"/>
                <w:szCs w:val="15"/>
                <w:color w:val="auto"/>
              </w:rPr>
            </w:pPr>
          </w:p>
        </w:tc>
        <w:tc>
          <w:tcPr>
            <w:tcW w:w="148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w w:val="99"/>
              </w:rPr>
              <w:t>$ million, except where indicated</w:t>
            </w:r>
          </w:p>
        </w:tc>
      </w:tr>
      <w:tr>
        <w:trPr>
          <w:trHeight w:val="125"/>
        </w:trPr>
        <w:tc>
          <w:tcPr>
            <w:tcW w:w="83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Dec 31, 2020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2019</w:t>
            </w:r>
          </w:p>
        </w:tc>
      </w:tr>
      <w:tr>
        <w:trPr>
          <w:trHeight w:val="114"/>
        </w:trPr>
        <w:tc>
          <w:tcPr>
            <w:tcW w:w="8300" w:type="dxa"/>
            <w:vAlign w:val="bottom"/>
          </w:tcPr>
          <w:p>
            <w:pPr>
              <w:spacing w:after="0"/>
              <w:rPr>
                <w:sz w:val="20"/>
                <w:szCs w:val="20"/>
                <w:color w:val="auto"/>
              </w:rPr>
            </w:pPr>
            <w:r>
              <w:rPr>
                <w:rFonts w:ascii="Arial" w:cs="Arial" w:eastAsia="Arial" w:hAnsi="Arial"/>
                <w:sz w:val="10"/>
                <w:szCs w:val="10"/>
                <w:color w:val="auto"/>
              </w:rPr>
              <w:t>Net debt</w:t>
            </w:r>
          </w:p>
        </w:tc>
        <w:tc>
          <w:tcPr>
            <w:tcW w:w="14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75,386</w:t>
            </w:r>
          </w:p>
        </w:tc>
        <w:tc>
          <w:tcPr>
            <w:tcW w:w="100" w:type="dxa"/>
            <w:vAlign w:val="bottom"/>
            <w:shd w:val="clear" w:color="auto" w:fill="D9D9D9"/>
          </w:tcPr>
          <w:p>
            <w:pPr>
              <w:spacing w:after="0"/>
              <w:rPr>
                <w:sz w:val="9"/>
                <w:szCs w:val="9"/>
                <w:color w:val="auto"/>
              </w:rPr>
            </w:pPr>
          </w:p>
        </w:tc>
        <w:tc>
          <w:tcPr>
            <w:tcW w:w="1480" w:type="dxa"/>
            <w:vAlign w:val="bottom"/>
          </w:tcPr>
          <w:p>
            <w:pPr>
              <w:jc w:val="right"/>
              <w:ind w:right="72"/>
              <w:spacing w:after="0"/>
              <w:rPr>
                <w:sz w:val="20"/>
                <w:szCs w:val="20"/>
                <w:color w:val="auto"/>
              </w:rPr>
            </w:pPr>
            <w:r>
              <w:rPr>
                <w:rFonts w:ascii="Arial" w:cs="Arial" w:eastAsia="Arial" w:hAnsi="Arial"/>
                <w:sz w:val="10"/>
                <w:szCs w:val="10"/>
                <w:color w:val="auto"/>
              </w:rPr>
              <w:t>79,093</w:t>
            </w:r>
          </w:p>
        </w:tc>
      </w:tr>
      <w:tr>
        <w:trPr>
          <w:trHeight w:val="127"/>
        </w:trPr>
        <w:tc>
          <w:tcPr>
            <w:tcW w:w="8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equity</w:t>
            </w:r>
          </w:p>
        </w:tc>
        <w:tc>
          <w:tcPr>
            <w:tcW w:w="14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158,537</w:t>
            </w:r>
          </w:p>
        </w:tc>
        <w:tc>
          <w:tcPr>
            <w:tcW w:w="100" w:type="dxa"/>
            <w:vAlign w:val="bottom"/>
            <w:tcBorders>
              <w:bottom w:val="single" w:sz="8" w:color="auto"/>
            </w:tcBorders>
            <w:shd w:val="clear" w:color="auto" w:fill="D9D9D9"/>
          </w:tcPr>
          <w:p>
            <w:pPr>
              <w:spacing w:after="0"/>
              <w:rPr>
                <w:sz w:val="11"/>
                <w:szCs w:val="11"/>
                <w:color w:val="auto"/>
              </w:rPr>
            </w:pPr>
          </w:p>
        </w:tc>
        <w:tc>
          <w:tcPr>
            <w:tcW w:w="14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190,463</w:t>
            </w:r>
          </w:p>
        </w:tc>
      </w:tr>
      <w:tr>
        <w:trPr>
          <w:trHeight w:val="117"/>
        </w:trPr>
        <w:tc>
          <w:tcPr>
            <w:tcW w:w="8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capital</w:t>
            </w:r>
          </w:p>
        </w:tc>
        <w:tc>
          <w:tcPr>
            <w:tcW w:w="14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233,923</w:t>
            </w:r>
          </w:p>
        </w:tc>
        <w:tc>
          <w:tcPr>
            <w:tcW w:w="100" w:type="dxa"/>
            <w:vAlign w:val="bottom"/>
            <w:tcBorders>
              <w:bottom w:val="single" w:sz="8" w:color="auto"/>
            </w:tcBorders>
            <w:shd w:val="clear" w:color="auto" w:fill="D9D9D9"/>
          </w:tcPr>
          <w:p>
            <w:pPr>
              <w:spacing w:after="0"/>
              <w:rPr>
                <w:sz w:val="10"/>
                <w:szCs w:val="10"/>
                <w:color w:val="auto"/>
              </w:rPr>
            </w:pPr>
          </w:p>
        </w:tc>
        <w:tc>
          <w:tcPr>
            <w:tcW w:w="14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269,556</w:t>
            </w:r>
          </w:p>
        </w:tc>
      </w:tr>
      <w:tr>
        <w:trPr>
          <w:trHeight w:val="115"/>
        </w:trPr>
        <w:tc>
          <w:tcPr>
            <w:tcW w:w="8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Gearing</w:t>
            </w:r>
          </w:p>
        </w:tc>
        <w:tc>
          <w:tcPr>
            <w:tcW w:w="14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32.2</w:t>
            </w:r>
          </w:p>
        </w:tc>
        <w:tc>
          <w:tcPr>
            <w:tcW w:w="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29.3 %</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Gearing is a measure of Shell’s capital structure and is defined as net debt (total debt less cash and cash equivalents) as a percentage of total capital (net debt plus total equity).</w:t>
      </w:r>
    </w:p>
    <w:p>
      <w:pPr>
        <w:spacing w:after="0" w:line="155" w:lineRule="exact"/>
        <w:rPr>
          <w:sz w:val="20"/>
          <w:szCs w:val="20"/>
          <w:color w:val="auto"/>
        </w:rPr>
      </w:pPr>
    </w:p>
    <w:p>
      <w:pPr>
        <w:spacing w:after="0"/>
        <w:rPr>
          <w:sz w:val="20"/>
          <w:szCs w:val="20"/>
          <w:color w:val="auto"/>
        </w:rPr>
      </w:pPr>
      <w:r>
        <w:rPr>
          <w:rFonts w:ascii="Arial" w:cs="Arial" w:eastAsia="Arial" w:hAnsi="Arial"/>
          <w:sz w:val="8"/>
          <w:szCs w:val="8"/>
          <w:color w:val="auto"/>
        </w:rPr>
        <w:t>Shell has access to international debt capital markets via two commercial paper (CP) programmes, a Euro medium-term note (EMTN) programme and a US universal shelf (US shelf) registration. Issuances under the CP programmes are supported by a committed credit facility and cash.</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Borders>
              <w:top w:val="single" w:sz="8" w:color="D9D9D9"/>
            </w:tcBorders>
          </w:tcPr>
          <w:p>
            <w:pPr>
              <w:spacing w:after="0"/>
              <w:rPr>
                <w:sz w:val="20"/>
                <w:szCs w:val="20"/>
                <w:color w:val="auto"/>
              </w:rPr>
            </w:pPr>
            <w:r>
              <w:rPr>
                <w:rFonts w:ascii="Arial" w:cs="Arial" w:eastAsia="Arial" w:hAnsi="Arial"/>
                <w:sz w:val="12"/>
                <w:szCs w:val="12"/>
                <w:color w:val="auto"/>
              </w:rPr>
              <w:t>Borrowing facilities and amounts undrawn</w:t>
            </w:r>
          </w:p>
        </w:tc>
        <w:tc>
          <w:tcPr>
            <w:tcW w:w="1560" w:type="dxa"/>
            <w:vAlign w:val="bottom"/>
            <w:tcBorders>
              <w:top w:val="single" w:sz="8" w:color="D9D9D9"/>
            </w:tcBorders>
          </w:tcPr>
          <w:p>
            <w:pPr>
              <w:spacing w:after="0"/>
              <w:rPr>
                <w:sz w:val="16"/>
                <w:szCs w:val="16"/>
                <w:color w:val="auto"/>
              </w:rPr>
            </w:pPr>
          </w:p>
        </w:tc>
        <w:tc>
          <w:tcPr>
            <w:tcW w:w="1320" w:type="dxa"/>
            <w:vAlign w:val="bottom"/>
            <w:tcBorders>
              <w:top w:val="single" w:sz="8" w:color="D9D9D9"/>
            </w:tcBorders>
            <w:vMerge w:val="restart"/>
          </w:tcPr>
          <w:p>
            <w:pPr>
              <w:jc w:val="right"/>
              <w:spacing w:after="0"/>
              <w:rPr>
                <w:sz w:val="20"/>
                <w:szCs w:val="20"/>
                <w:color w:val="auto"/>
              </w:rPr>
            </w:pPr>
            <w:r>
              <w:rPr>
                <w:rFonts w:ascii="Arial" w:cs="Arial" w:eastAsia="Arial" w:hAnsi="Arial"/>
                <w:sz w:val="10"/>
                <w:szCs w:val="10"/>
                <w:color w:val="auto"/>
              </w:rPr>
              <w:t>Facility</w:t>
            </w:r>
          </w:p>
        </w:tc>
        <w:tc>
          <w:tcPr>
            <w:tcW w:w="1320" w:type="dxa"/>
            <w:vAlign w:val="bottom"/>
            <w:tcBorders>
              <w:top w:val="single" w:sz="8" w:color="D9D9D9"/>
            </w:tcBorders>
          </w:tcPr>
          <w:p>
            <w:pPr>
              <w:spacing w:after="0"/>
              <w:rPr>
                <w:sz w:val="16"/>
                <w:szCs w:val="16"/>
                <w:color w:val="auto"/>
              </w:rPr>
            </w:pPr>
          </w:p>
        </w:tc>
        <w:tc>
          <w:tcPr>
            <w:tcW w:w="100" w:type="dxa"/>
            <w:vAlign w:val="bottom"/>
            <w:tcBorders>
              <w:top w:val="single" w:sz="8" w:color="D9D9D9"/>
            </w:tcBorders>
          </w:tcPr>
          <w:p>
            <w:pPr>
              <w:spacing w:after="0"/>
              <w:rPr>
                <w:sz w:val="16"/>
                <w:szCs w:val="16"/>
                <w:color w:val="auto"/>
              </w:rPr>
            </w:pPr>
          </w:p>
        </w:tc>
        <w:tc>
          <w:tcPr>
            <w:tcW w:w="1320" w:type="dxa"/>
            <w:vAlign w:val="bottom"/>
            <w:tcBorders>
              <w:top w:val="single" w:sz="8" w:color="D9D9D9"/>
            </w:tcBorders>
            <w:vMerge w:val="restart"/>
          </w:tcPr>
          <w:p>
            <w:pPr>
              <w:jc w:val="right"/>
              <w:spacing w:after="0"/>
              <w:rPr>
                <w:sz w:val="20"/>
                <w:szCs w:val="20"/>
                <w:color w:val="auto"/>
              </w:rPr>
            </w:pPr>
            <w:r>
              <w:rPr>
                <w:rFonts w:ascii="Arial" w:cs="Arial" w:eastAsia="Arial" w:hAnsi="Arial"/>
                <w:sz w:val="10"/>
                <w:szCs w:val="10"/>
                <w:color w:val="auto"/>
              </w:rPr>
              <w:t>Amount undrawn</w:t>
            </w:r>
          </w:p>
        </w:tc>
        <w:tc>
          <w:tcPr>
            <w:tcW w:w="132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3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2019</w:t>
            </w: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320" w:type="dxa"/>
            <w:vAlign w:val="bottom"/>
          </w:tcPr>
          <w:p>
            <w:pPr>
              <w:spacing w:after="0" w:line="113" w:lineRule="exact"/>
              <w:rPr>
                <w:sz w:val="20"/>
                <w:szCs w:val="20"/>
                <w:color w:val="auto"/>
              </w:rPr>
            </w:pPr>
            <w:r>
              <w:rPr>
                <w:rFonts w:ascii="Arial" w:cs="Arial" w:eastAsia="Arial" w:hAnsi="Arial"/>
                <w:sz w:val="10"/>
                <w:szCs w:val="10"/>
                <w:color w:val="auto"/>
              </w:rPr>
              <w:t>CP programmes</w:t>
            </w:r>
          </w:p>
        </w:tc>
        <w:tc>
          <w:tcPr>
            <w:tcW w:w="1560" w:type="dxa"/>
            <w:vAlign w:val="bottom"/>
          </w:tcPr>
          <w:p>
            <w:pPr>
              <w:spacing w:after="0"/>
              <w:rPr>
                <w:sz w:val="9"/>
                <w:szCs w:val="9"/>
                <w:color w:val="auto"/>
              </w:rPr>
            </w:pPr>
          </w:p>
        </w:tc>
        <w:tc>
          <w:tcPr>
            <w:tcW w:w="1320" w:type="dxa"/>
            <w:vAlign w:val="bottom"/>
            <w:shd w:val="clear" w:color="auto" w:fill="D9D9D9"/>
          </w:tcPr>
          <w:p>
            <w:pPr>
              <w:jc w:val="right"/>
              <w:spacing w:after="0" w:line="113" w:lineRule="exact"/>
              <w:rPr>
                <w:sz w:val="20"/>
                <w:szCs w:val="20"/>
                <w:color w:val="auto"/>
              </w:rPr>
            </w:pPr>
            <w:r>
              <w:rPr>
                <w:rFonts w:ascii="Arial" w:cs="Arial" w:eastAsia="Arial" w:hAnsi="Arial"/>
                <w:sz w:val="10"/>
                <w:szCs w:val="10"/>
                <w:color w:val="auto"/>
              </w:rPr>
              <w:t>20,000</w:t>
            </w:r>
          </w:p>
        </w:tc>
        <w:tc>
          <w:tcPr>
            <w:tcW w:w="1320" w:type="dxa"/>
            <w:vAlign w:val="bottom"/>
          </w:tcPr>
          <w:p>
            <w:pPr>
              <w:jc w:val="right"/>
              <w:spacing w:after="0" w:line="113" w:lineRule="exact"/>
              <w:rPr>
                <w:sz w:val="20"/>
                <w:szCs w:val="20"/>
                <w:color w:val="auto"/>
              </w:rPr>
            </w:pPr>
            <w:r>
              <w:rPr>
                <w:rFonts w:ascii="Arial" w:cs="Arial" w:eastAsia="Arial" w:hAnsi="Arial"/>
                <w:sz w:val="10"/>
                <w:szCs w:val="10"/>
                <w:color w:val="auto"/>
              </w:rPr>
              <w:t>20,000</w:t>
            </w:r>
          </w:p>
        </w:tc>
        <w:tc>
          <w:tcPr>
            <w:tcW w:w="100" w:type="dxa"/>
            <w:vAlign w:val="bottom"/>
          </w:tcPr>
          <w:p>
            <w:pPr>
              <w:spacing w:after="0"/>
              <w:rPr>
                <w:sz w:val="9"/>
                <w:szCs w:val="9"/>
                <w:color w:val="auto"/>
              </w:rPr>
            </w:pPr>
          </w:p>
        </w:tc>
        <w:tc>
          <w:tcPr>
            <w:tcW w:w="1320" w:type="dxa"/>
            <w:vAlign w:val="bottom"/>
            <w:shd w:val="clear" w:color="auto" w:fill="D9D9D9"/>
          </w:tcPr>
          <w:p>
            <w:pPr>
              <w:jc w:val="right"/>
              <w:spacing w:after="0" w:line="113" w:lineRule="exact"/>
              <w:rPr>
                <w:sz w:val="20"/>
                <w:szCs w:val="20"/>
                <w:color w:val="auto"/>
              </w:rPr>
            </w:pPr>
            <w:r>
              <w:rPr>
                <w:rFonts w:ascii="Arial" w:cs="Arial" w:eastAsia="Arial" w:hAnsi="Arial"/>
                <w:sz w:val="10"/>
                <w:szCs w:val="10"/>
                <w:color w:val="auto"/>
              </w:rPr>
              <w:t>13,254</w:t>
            </w:r>
          </w:p>
        </w:tc>
        <w:tc>
          <w:tcPr>
            <w:tcW w:w="1320" w:type="dxa"/>
            <w:vAlign w:val="bottom"/>
          </w:tcPr>
          <w:p>
            <w:pPr>
              <w:jc w:val="right"/>
              <w:spacing w:after="0" w:line="113" w:lineRule="exact"/>
              <w:rPr>
                <w:sz w:val="20"/>
                <w:szCs w:val="20"/>
                <w:color w:val="auto"/>
              </w:rPr>
            </w:pPr>
            <w:r>
              <w:rPr>
                <w:rFonts w:ascii="Arial" w:cs="Arial" w:eastAsia="Arial" w:hAnsi="Arial"/>
                <w:sz w:val="10"/>
                <w:szCs w:val="10"/>
                <w:color w:val="auto"/>
              </w:rPr>
              <w:t>16,610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320" w:type="dxa"/>
            <w:vAlign w:val="bottom"/>
          </w:tcPr>
          <w:p>
            <w:pPr>
              <w:spacing w:after="0"/>
              <w:rPr>
                <w:sz w:val="20"/>
                <w:szCs w:val="20"/>
                <w:color w:val="auto"/>
              </w:rPr>
            </w:pPr>
            <w:r>
              <w:rPr>
                <w:rFonts w:ascii="Arial" w:cs="Arial" w:eastAsia="Arial" w:hAnsi="Arial"/>
                <w:sz w:val="10"/>
                <w:szCs w:val="10"/>
                <w:color w:val="auto"/>
              </w:rPr>
              <w:t>EMTN programme</w:t>
            </w:r>
          </w:p>
        </w:tc>
        <w:tc>
          <w:tcPr>
            <w:tcW w:w="1560" w:type="dxa"/>
            <w:vAlign w:val="bottom"/>
          </w:tcPr>
          <w:p>
            <w:pPr>
              <w:spacing w:after="0"/>
              <w:rPr>
                <w:sz w:val="10"/>
                <w:szCs w:val="10"/>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unlimited</w:t>
            </w:r>
          </w:p>
        </w:tc>
        <w:tc>
          <w:tcPr>
            <w:tcW w:w="1420" w:type="dxa"/>
            <w:vAlign w:val="bottom"/>
            <w:gridSpan w:val="2"/>
          </w:tcPr>
          <w:p>
            <w:pPr>
              <w:jc w:val="right"/>
              <w:ind w:right="100"/>
              <w:spacing w:after="0"/>
              <w:rPr>
                <w:sz w:val="20"/>
                <w:szCs w:val="20"/>
                <w:color w:val="auto"/>
              </w:rPr>
            </w:pPr>
            <w:r>
              <w:rPr>
                <w:rFonts w:ascii="Arial" w:cs="Arial" w:eastAsia="Arial" w:hAnsi="Arial"/>
                <w:sz w:val="10"/>
                <w:szCs w:val="10"/>
                <w:color w:val="auto"/>
              </w:rPr>
              <w:t>unlimited</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N/A</w:t>
            </w:r>
          </w:p>
        </w:tc>
        <w:tc>
          <w:tcPr>
            <w:tcW w:w="1360" w:type="dxa"/>
            <w:vAlign w:val="bottom"/>
            <w:gridSpan w:val="2"/>
          </w:tcPr>
          <w:p>
            <w:pPr>
              <w:jc w:val="right"/>
              <w:ind w:right="60"/>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26"/>
        </w:trPr>
        <w:tc>
          <w:tcPr>
            <w:tcW w:w="4320" w:type="dxa"/>
            <w:vAlign w:val="bottom"/>
          </w:tcPr>
          <w:p>
            <w:pPr>
              <w:spacing w:after="0"/>
              <w:rPr>
                <w:sz w:val="20"/>
                <w:szCs w:val="20"/>
                <w:color w:val="auto"/>
              </w:rPr>
            </w:pPr>
            <w:r>
              <w:rPr>
                <w:rFonts w:ascii="Arial" w:cs="Arial" w:eastAsia="Arial" w:hAnsi="Arial"/>
                <w:sz w:val="10"/>
                <w:szCs w:val="10"/>
                <w:color w:val="auto"/>
              </w:rPr>
              <w:t>US shelf registration</w:t>
            </w:r>
          </w:p>
        </w:tc>
        <w:tc>
          <w:tcPr>
            <w:tcW w:w="1560" w:type="dxa"/>
            <w:vAlign w:val="bottom"/>
          </w:tcPr>
          <w:p>
            <w:pPr>
              <w:spacing w:after="0"/>
              <w:rPr>
                <w:sz w:val="10"/>
                <w:szCs w:val="10"/>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0"/>
                <w:szCs w:val="10"/>
                <w:color w:val="auto"/>
              </w:rPr>
              <w:t>unlimited</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N/A</w:t>
            </w:r>
          </w:p>
        </w:tc>
        <w:tc>
          <w:tcPr>
            <w:tcW w:w="1360" w:type="dxa"/>
            <w:vAlign w:val="bottom"/>
            <w:gridSpan w:val="2"/>
          </w:tcPr>
          <w:p>
            <w:pPr>
              <w:jc w:val="right"/>
              <w:ind w:right="60"/>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30"/>
        </w:trPr>
        <w:tc>
          <w:tcPr>
            <w:tcW w:w="4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Committed credit facilities</w:t>
            </w:r>
          </w:p>
        </w:tc>
        <w:tc>
          <w:tcPr>
            <w:tcW w:w="15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22,651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10,000</w:t>
            </w: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22,651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2"/>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1560" w:type="dxa"/>
            <w:vAlign w:val="bottom"/>
          </w:tcPr>
          <w:p>
            <w:pPr>
              <w:jc w:val="right"/>
              <w:ind w:right="204"/>
              <w:spacing w:after="0"/>
              <w:rPr>
                <w:sz w:val="20"/>
                <w:szCs w:val="20"/>
                <w:color w:val="auto"/>
              </w:rPr>
            </w:pPr>
            <w:r>
              <w:rPr>
                <w:rFonts w:ascii="Arial" w:cs="Arial" w:eastAsia="Arial" w:hAnsi="Arial"/>
                <w:sz w:val="7"/>
                <w:szCs w:val="7"/>
                <w:color w:val="auto"/>
              </w:rPr>
              <w:t>189</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192" w:name="page193"/>
    <w:bookmarkEnd w:id="192"/>
    <w:p>
      <w:pPr>
        <w:spacing w:after="0"/>
        <w:rPr>
          <w:sz w:val="20"/>
          <w:szCs w:val="20"/>
          <w:color w:val="auto"/>
        </w:rPr>
      </w:pPr>
      <w:r>
        <w:rPr>
          <w:rFonts w:ascii="Arial" w:cs="Arial" w:eastAsia="Arial" w:hAnsi="Arial"/>
          <w:sz w:val="10"/>
          <w:szCs w:val="10"/>
          <w:color w:val="auto"/>
        </w:rPr>
        <w:t>Under the CP programmes, Shell can issue debt of up to $10 billion with maturities not exceeding 270 days and $10 billion with maturities not exceeding 397 days.</w:t>
      </w:r>
    </w:p>
    <w:p>
      <w:pPr>
        <w:spacing w:after="0" w:line="227" w:lineRule="auto"/>
        <w:rPr>
          <w:sz w:val="20"/>
          <w:szCs w:val="20"/>
          <w:color w:val="auto"/>
        </w:rPr>
      </w:pPr>
      <w:r>
        <w:rPr>
          <w:rFonts w:ascii="Arial" w:cs="Arial" w:eastAsia="Arial" w:hAnsi="Arial"/>
          <w:sz w:val="10"/>
          <w:szCs w:val="10"/>
          <w:color w:val="auto"/>
        </w:rPr>
        <w:t>The EMTN programme is updated each year, most recently in August 2020. In 2020, debt issued under this programme amounted to $6,734 million (2019: $3,322 million).</w:t>
      </w:r>
    </w:p>
    <w:p>
      <w:pPr>
        <w:ind w:right="40"/>
        <w:spacing w:after="0" w:line="337" w:lineRule="auto"/>
        <w:rPr>
          <w:sz w:val="20"/>
          <w:szCs w:val="20"/>
          <w:color w:val="auto"/>
        </w:rPr>
      </w:pPr>
      <w:r>
        <w:rPr>
          <w:rFonts w:ascii="Arial" w:cs="Arial" w:eastAsia="Arial" w:hAnsi="Arial"/>
          <w:sz w:val="8"/>
          <w:szCs w:val="8"/>
          <w:color w:val="auto"/>
        </w:rPr>
        <w:t>The US shelf registration provides Shell with the flexibility to issue debt securities, ordinary shares, preferred shares and warrants. The registration is updated every three years. The US shelf registration expired in December 2020 . Concurrent with the filing of our Annual Report on Form 20-F with the Securities and Exchange Commission (SEC) on March 11, 2021, a new US shelf registration statement will be filed with the SEC and be effective upon filing. During 2020, debt totalling $6,250 million (2019: $4,000 million) was issued under the registration.</w:t>
      </w:r>
    </w:p>
    <w:p>
      <w:pPr>
        <w:spacing w:after="0" w:line="112" w:lineRule="exact"/>
        <w:rPr>
          <w:sz w:val="20"/>
          <w:szCs w:val="20"/>
          <w:color w:val="auto"/>
        </w:rPr>
      </w:pPr>
    </w:p>
    <w:p>
      <w:pPr>
        <w:ind w:right="60"/>
        <w:spacing w:after="0" w:line="307" w:lineRule="auto"/>
        <w:rPr>
          <w:sz w:val="20"/>
          <w:szCs w:val="20"/>
          <w:color w:val="auto"/>
        </w:rPr>
      </w:pPr>
      <w:r>
        <w:rPr>
          <w:rFonts w:ascii="Arial" w:cs="Arial" w:eastAsia="Arial" w:hAnsi="Arial"/>
          <w:sz w:val="8"/>
          <w:szCs w:val="8"/>
          <w:color w:val="auto"/>
        </w:rPr>
        <w:t>On December 13, 2019, Shell entered into $10 billion revolving credit facilities, which in anticipation of the LIBOR reform (see Notes 2 and 3), were linked to the new Secured Overnight Financing Rate (SOFR). Under the terms of the facilities, the LIBOR interest rate was replaced by SOFR on the first anniversary of the signing date of these revolving credit facilities. The committed credit facilities are available at pre-agreed margins, with $2 billion expiring in 2021 and $8 billion expiring in 2025. Each facility includes a remaining one-year extension option at the discretion of each lender. The terms and availability are not conditional on Shell’s financial ratios nor its financial credit ratings. The interest and fees paid on both facilities are linked to Shell’s progress towards reaching its short-term Net Carbon Footprint intensity target. In April 2020, Shell entered into a dual currency $7,200 million and €4,432 million revolving credit facility expiring in April 2021, with two 6 month extension options at the discretion of Shell. The extension options have not been exercised, and the facility will expire in April 2021.</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In addition, other subsidiaries have access to undrawn short-term bank facilities totalling $3,115 million at December 31, 2020 (2019: $2,784 million).</w:t>
      </w:r>
    </w:p>
    <w:p>
      <w:pPr>
        <w:spacing w:after="0" w:line="1" w:lineRule="exact"/>
        <w:rPr>
          <w:sz w:val="20"/>
          <w:szCs w:val="20"/>
          <w:color w:val="auto"/>
        </w:rPr>
      </w:pPr>
    </w:p>
    <w:p>
      <w:pPr>
        <w:ind w:right="240"/>
        <w:spacing w:after="0" w:line="229" w:lineRule="auto"/>
        <w:rPr>
          <w:sz w:val="20"/>
          <w:szCs w:val="20"/>
          <w:color w:val="auto"/>
        </w:rPr>
      </w:pPr>
      <w:r>
        <w:rPr>
          <w:rFonts w:ascii="Arial" w:cs="Arial" w:eastAsia="Arial" w:hAnsi="Arial"/>
          <w:sz w:val="10"/>
          <w:szCs w:val="10"/>
          <w:color w:val="auto"/>
        </w:rPr>
        <w:t>The following tables compare contractual cash flows for debt excluding lease liabilities at December 31 with the carrying amount in the Consolidated Balance Sheet. Contractual amounts reflect the effects of changes in foreign exchange rates; differences from carrying amounts reflect the effects of discounting, premiums and, where fair value hedge accounting is applied, fair value adjustments. Interest is estimated assuming interest rates applicable to variable rate debt remain constant and there is no change in aggregate principal amounts of debt other than repayment at scheduled maturity, as reflected in the table.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18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2020</w:t>
            </w:r>
          </w:p>
        </w:tc>
        <w:tc>
          <w:tcPr>
            <w:tcW w:w="1320" w:type="dxa"/>
            <w:vAlign w:val="bottom"/>
            <w:tcBorders>
              <w:top w:val="single" w:sz="8" w:color="D9D9D9"/>
            </w:tcBorders>
          </w:tcPr>
          <w:p>
            <w:pPr>
              <w:spacing w:after="0"/>
              <w:rPr>
                <w:sz w:val="13"/>
                <w:szCs w:val="13"/>
                <w:color w:val="auto"/>
              </w:rPr>
            </w:pPr>
          </w:p>
        </w:tc>
        <w:tc>
          <w:tcPr>
            <w:tcW w:w="900" w:type="dxa"/>
            <w:vAlign w:val="bottom"/>
            <w:tcBorders>
              <w:top w:val="single" w:sz="8" w:color="D9D9D9"/>
            </w:tcBorders>
          </w:tcPr>
          <w:p>
            <w:pPr>
              <w:spacing w:after="0"/>
              <w:rPr>
                <w:sz w:val="13"/>
                <w:szCs w:val="13"/>
                <w:color w:val="auto"/>
              </w:rPr>
            </w:pPr>
          </w:p>
        </w:tc>
        <w:tc>
          <w:tcPr>
            <w:tcW w:w="1080" w:type="dxa"/>
            <w:vAlign w:val="bottom"/>
            <w:tcBorders>
              <w:top w:val="single" w:sz="8" w:color="D9D9D9"/>
            </w:tcBorders>
          </w:tcPr>
          <w:p>
            <w:pPr>
              <w:spacing w:after="0"/>
              <w:rPr>
                <w:sz w:val="13"/>
                <w:szCs w:val="13"/>
                <w:color w:val="auto"/>
              </w:rPr>
            </w:pPr>
          </w:p>
        </w:tc>
        <w:tc>
          <w:tcPr>
            <w:tcW w:w="980" w:type="dxa"/>
            <w:vAlign w:val="bottom"/>
            <w:tcBorders>
              <w:top w:val="single" w:sz="8" w:color="D9D9D9"/>
            </w:tcBorders>
          </w:tcPr>
          <w:p>
            <w:pPr>
              <w:spacing w:after="0"/>
              <w:rPr>
                <w:sz w:val="13"/>
                <w:szCs w:val="13"/>
                <w:color w:val="auto"/>
              </w:rPr>
            </w:pPr>
          </w:p>
        </w:tc>
        <w:tc>
          <w:tcPr>
            <w:tcW w:w="1000" w:type="dxa"/>
            <w:vAlign w:val="bottom"/>
            <w:tcBorders>
              <w:top w:val="single" w:sz="8" w:color="D9D9D9"/>
            </w:tcBorders>
          </w:tcPr>
          <w:p>
            <w:pPr>
              <w:spacing w:after="0"/>
              <w:rPr>
                <w:sz w:val="13"/>
                <w:szCs w:val="13"/>
                <w:color w:val="auto"/>
              </w:rPr>
            </w:pPr>
          </w:p>
        </w:tc>
        <w:tc>
          <w:tcPr>
            <w:tcW w:w="740" w:type="dxa"/>
            <w:vAlign w:val="bottom"/>
            <w:tcBorders>
              <w:top w:val="single" w:sz="8" w:color="D9D9D9"/>
            </w:tcBorders>
          </w:tcPr>
          <w:p>
            <w:pPr>
              <w:spacing w:after="0"/>
              <w:rPr>
                <w:sz w:val="13"/>
                <w:szCs w:val="13"/>
                <w:color w:val="auto"/>
              </w:rPr>
            </w:pPr>
          </w:p>
        </w:tc>
        <w:tc>
          <w:tcPr>
            <w:tcW w:w="920" w:type="dxa"/>
            <w:vAlign w:val="bottom"/>
            <w:tcBorders>
              <w:top w:val="single" w:sz="8" w:color="D9D9D9"/>
            </w:tcBorders>
          </w:tcPr>
          <w:p>
            <w:pPr>
              <w:spacing w:after="0"/>
              <w:rPr>
                <w:sz w:val="13"/>
                <w:szCs w:val="13"/>
                <w:color w:val="auto"/>
              </w:rPr>
            </w:pPr>
          </w:p>
        </w:tc>
        <w:tc>
          <w:tcPr>
            <w:tcW w:w="1460" w:type="dxa"/>
            <w:vAlign w:val="bottom"/>
            <w:tcBorders>
              <w:top w:val="single" w:sz="8" w:color="D9D9D9"/>
            </w:tcBorders>
          </w:tcPr>
          <w:p>
            <w:pPr>
              <w:spacing w:after="0"/>
              <w:rPr>
                <w:sz w:val="13"/>
                <w:szCs w:val="13"/>
                <w:color w:val="auto"/>
              </w:rPr>
            </w:pPr>
          </w:p>
        </w:tc>
        <w:tc>
          <w:tcPr>
            <w:tcW w:w="68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3"/>
        </w:trPr>
        <w:tc>
          <w:tcPr>
            <w:tcW w:w="218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0"/>
              </w:rPr>
              <w:t>Contractual payments</w:t>
            </w:r>
          </w:p>
        </w:tc>
        <w:tc>
          <w:tcPr>
            <w:tcW w:w="1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180" w:type="dxa"/>
            <w:vAlign w:val="bottom"/>
          </w:tcPr>
          <w:p>
            <w:pPr>
              <w:spacing w:after="0"/>
              <w:rPr>
                <w:sz w:val="7"/>
                <w:szCs w:val="7"/>
                <w:color w:val="auto"/>
              </w:rPr>
            </w:pPr>
          </w:p>
        </w:tc>
        <w:tc>
          <w:tcPr>
            <w:tcW w:w="1320" w:type="dxa"/>
            <w:vAlign w:val="bottom"/>
            <w:vMerge w:val="restart"/>
          </w:tcPr>
          <w:p>
            <w:pPr>
              <w:jc w:val="right"/>
              <w:ind w:right="292"/>
              <w:spacing w:after="0"/>
              <w:rPr>
                <w:sz w:val="20"/>
                <w:szCs w:val="20"/>
                <w:color w:val="auto"/>
              </w:rPr>
            </w:pPr>
            <w:r>
              <w:rPr>
                <w:rFonts w:ascii="Arial" w:cs="Arial" w:eastAsia="Arial" w:hAnsi="Arial"/>
                <w:sz w:val="10"/>
                <w:szCs w:val="10"/>
                <w:color w:val="auto"/>
              </w:rPr>
              <w:t>Less than</w:t>
            </w:r>
          </w:p>
        </w:tc>
        <w:tc>
          <w:tcPr>
            <w:tcW w:w="900" w:type="dxa"/>
            <w:vAlign w:val="bottom"/>
          </w:tcPr>
          <w:p>
            <w:pPr>
              <w:jc w:val="right"/>
              <w:ind w:right="192"/>
              <w:spacing w:after="0" w:line="87" w:lineRule="exact"/>
              <w:rPr>
                <w:sz w:val="20"/>
                <w:szCs w:val="20"/>
                <w:color w:val="auto"/>
              </w:rPr>
            </w:pPr>
            <w:r>
              <w:rPr>
                <w:rFonts w:ascii="Arial" w:cs="Arial" w:eastAsia="Arial" w:hAnsi="Arial"/>
                <w:sz w:val="10"/>
                <w:szCs w:val="10"/>
                <w:color w:val="auto"/>
              </w:rPr>
              <w:t>Between</w:t>
            </w:r>
          </w:p>
        </w:tc>
        <w:tc>
          <w:tcPr>
            <w:tcW w:w="1080" w:type="dxa"/>
            <w:vAlign w:val="bottom"/>
            <w:vMerge w:val="restart"/>
          </w:tcPr>
          <w:p>
            <w:pPr>
              <w:jc w:val="right"/>
              <w:ind w:right="292"/>
              <w:spacing w:after="0"/>
              <w:rPr>
                <w:sz w:val="20"/>
                <w:szCs w:val="20"/>
                <w:color w:val="auto"/>
              </w:rPr>
            </w:pPr>
            <w:r>
              <w:rPr>
                <w:rFonts w:ascii="Arial" w:cs="Arial" w:eastAsia="Arial" w:hAnsi="Arial"/>
                <w:sz w:val="10"/>
                <w:szCs w:val="10"/>
                <w:color w:val="auto"/>
              </w:rPr>
              <w:t>Between</w:t>
            </w:r>
          </w:p>
        </w:tc>
        <w:tc>
          <w:tcPr>
            <w:tcW w:w="980" w:type="dxa"/>
            <w:vAlign w:val="bottom"/>
          </w:tcPr>
          <w:p>
            <w:pPr>
              <w:jc w:val="right"/>
              <w:ind w:right="272"/>
              <w:spacing w:after="0" w:line="87" w:lineRule="exact"/>
              <w:rPr>
                <w:sz w:val="20"/>
                <w:szCs w:val="20"/>
                <w:color w:val="auto"/>
              </w:rPr>
            </w:pPr>
            <w:r>
              <w:rPr>
                <w:rFonts w:ascii="Arial" w:cs="Arial" w:eastAsia="Arial" w:hAnsi="Arial"/>
                <w:sz w:val="10"/>
                <w:szCs w:val="10"/>
                <w:color w:val="auto"/>
              </w:rPr>
              <w:t>Between</w:t>
            </w:r>
          </w:p>
        </w:tc>
        <w:tc>
          <w:tcPr>
            <w:tcW w:w="1000" w:type="dxa"/>
            <w:vAlign w:val="bottom"/>
          </w:tcPr>
          <w:p>
            <w:pPr>
              <w:jc w:val="right"/>
              <w:ind w:right="292"/>
              <w:spacing w:after="0" w:line="87" w:lineRule="exact"/>
              <w:rPr>
                <w:sz w:val="20"/>
                <w:szCs w:val="20"/>
                <w:color w:val="auto"/>
              </w:rPr>
            </w:pPr>
            <w:r>
              <w:rPr>
                <w:rFonts w:ascii="Arial" w:cs="Arial" w:eastAsia="Arial" w:hAnsi="Arial"/>
                <w:sz w:val="10"/>
                <w:szCs w:val="10"/>
                <w:color w:val="auto"/>
              </w:rPr>
              <w:t>Between</w:t>
            </w:r>
          </w:p>
        </w:tc>
        <w:tc>
          <w:tcPr>
            <w:tcW w:w="740" w:type="dxa"/>
            <w:vAlign w:val="bottom"/>
            <w:vMerge w:val="restart"/>
          </w:tcPr>
          <w:p>
            <w:pPr>
              <w:jc w:val="right"/>
              <w:ind w:right="32"/>
              <w:spacing w:after="0"/>
              <w:rPr>
                <w:sz w:val="20"/>
                <w:szCs w:val="20"/>
                <w:color w:val="auto"/>
              </w:rPr>
            </w:pPr>
            <w:r>
              <w:rPr>
                <w:rFonts w:ascii="Arial" w:cs="Arial" w:eastAsia="Arial" w:hAnsi="Arial"/>
                <w:sz w:val="10"/>
                <w:szCs w:val="10"/>
                <w:color w:val="auto"/>
              </w:rPr>
              <w:t>5 years</w:t>
            </w:r>
          </w:p>
        </w:tc>
        <w:tc>
          <w:tcPr>
            <w:tcW w:w="920" w:type="dxa"/>
            <w:vAlign w:val="bottom"/>
          </w:tcPr>
          <w:p>
            <w:pPr>
              <w:spacing w:after="0"/>
              <w:rPr>
                <w:sz w:val="7"/>
                <w:szCs w:val="7"/>
                <w:color w:val="auto"/>
              </w:rPr>
            </w:pPr>
          </w:p>
        </w:tc>
        <w:tc>
          <w:tcPr>
            <w:tcW w:w="1460" w:type="dxa"/>
            <w:vAlign w:val="bottom"/>
          </w:tcPr>
          <w:p>
            <w:pPr>
              <w:jc w:val="right"/>
              <w:ind w:right="292"/>
              <w:spacing w:after="0" w:line="87" w:lineRule="exact"/>
              <w:rPr>
                <w:sz w:val="20"/>
                <w:szCs w:val="20"/>
                <w:color w:val="auto"/>
              </w:rPr>
            </w:pPr>
            <w:r>
              <w:rPr>
                <w:rFonts w:ascii="Arial" w:cs="Arial" w:eastAsia="Arial" w:hAnsi="Arial"/>
                <w:sz w:val="10"/>
                <w:szCs w:val="10"/>
                <w:color w:val="auto"/>
              </w:rPr>
              <w:t>Difference</w:t>
            </w: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Carrying</w:t>
            </w:r>
          </w:p>
        </w:tc>
        <w:tc>
          <w:tcPr>
            <w:tcW w:w="0" w:type="dxa"/>
            <w:vAlign w:val="bottom"/>
          </w:tcPr>
          <w:p>
            <w:pPr>
              <w:spacing w:after="0"/>
              <w:rPr>
                <w:sz w:val="1"/>
                <w:szCs w:val="1"/>
                <w:color w:val="auto"/>
              </w:rPr>
            </w:pPr>
          </w:p>
        </w:tc>
      </w:tr>
      <w:tr>
        <w:trPr>
          <w:trHeight w:val="90"/>
        </w:trPr>
        <w:tc>
          <w:tcPr>
            <w:tcW w:w="218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900" w:type="dxa"/>
            <w:vAlign w:val="bottom"/>
          </w:tcPr>
          <w:p>
            <w:pPr>
              <w:jc w:val="right"/>
              <w:ind w:right="192"/>
              <w:spacing w:after="0" w:line="90" w:lineRule="exact"/>
              <w:rPr>
                <w:sz w:val="20"/>
                <w:szCs w:val="20"/>
                <w:color w:val="auto"/>
              </w:rPr>
            </w:pPr>
            <w:r>
              <w:rPr>
                <w:rFonts w:ascii="Arial" w:cs="Arial" w:eastAsia="Arial" w:hAnsi="Arial"/>
                <w:sz w:val="10"/>
                <w:szCs w:val="10"/>
                <w:color w:val="auto"/>
              </w:rPr>
              <w:t>1 and 2</w:t>
            </w:r>
          </w:p>
        </w:tc>
        <w:tc>
          <w:tcPr>
            <w:tcW w:w="1080" w:type="dxa"/>
            <w:vAlign w:val="bottom"/>
            <w:vMerge w:val="continue"/>
          </w:tcPr>
          <w:p>
            <w:pPr>
              <w:spacing w:after="0"/>
              <w:rPr>
                <w:sz w:val="7"/>
                <w:szCs w:val="7"/>
                <w:color w:val="auto"/>
              </w:rPr>
            </w:pPr>
          </w:p>
        </w:tc>
        <w:tc>
          <w:tcPr>
            <w:tcW w:w="980" w:type="dxa"/>
            <w:vAlign w:val="bottom"/>
          </w:tcPr>
          <w:p>
            <w:pPr>
              <w:jc w:val="right"/>
              <w:ind w:right="272"/>
              <w:spacing w:after="0" w:line="90" w:lineRule="exact"/>
              <w:rPr>
                <w:sz w:val="20"/>
                <w:szCs w:val="20"/>
                <w:color w:val="auto"/>
              </w:rPr>
            </w:pPr>
            <w:r>
              <w:rPr>
                <w:rFonts w:ascii="Arial" w:cs="Arial" w:eastAsia="Arial" w:hAnsi="Arial"/>
                <w:sz w:val="10"/>
                <w:szCs w:val="10"/>
                <w:color w:val="auto"/>
              </w:rPr>
              <w:t>3 and 4</w:t>
            </w:r>
          </w:p>
        </w:tc>
        <w:tc>
          <w:tcPr>
            <w:tcW w:w="1000" w:type="dxa"/>
            <w:vAlign w:val="bottom"/>
          </w:tcPr>
          <w:p>
            <w:pPr>
              <w:jc w:val="right"/>
              <w:ind w:right="292"/>
              <w:spacing w:after="0" w:line="90" w:lineRule="exact"/>
              <w:rPr>
                <w:sz w:val="20"/>
                <w:szCs w:val="20"/>
                <w:color w:val="auto"/>
              </w:rPr>
            </w:pPr>
            <w:r>
              <w:rPr>
                <w:rFonts w:ascii="Arial" w:cs="Arial" w:eastAsia="Arial" w:hAnsi="Arial"/>
                <w:sz w:val="10"/>
                <w:szCs w:val="10"/>
                <w:color w:val="auto"/>
              </w:rPr>
              <w:t>4 and 5</w:t>
            </w:r>
          </w:p>
        </w:tc>
        <w:tc>
          <w:tcPr>
            <w:tcW w:w="740" w:type="dxa"/>
            <w:vAlign w:val="bottom"/>
            <w:vMerge w:val="continue"/>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1460" w:type="dxa"/>
            <w:vAlign w:val="bottom"/>
          </w:tcPr>
          <w:p>
            <w:pPr>
              <w:jc w:val="right"/>
              <w:ind w:right="292"/>
              <w:spacing w:after="0" w:line="90" w:lineRule="exact"/>
              <w:rPr>
                <w:sz w:val="20"/>
                <w:szCs w:val="20"/>
                <w:color w:val="auto"/>
              </w:rPr>
            </w:pPr>
            <w:r>
              <w:rPr>
                <w:rFonts w:ascii="Arial" w:cs="Arial" w:eastAsia="Arial" w:hAnsi="Arial"/>
                <w:sz w:val="10"/>
                <w:szCs w:val="10"/>
                <w:color w:val="auto"/>
              </w:rPr>
              <w:t>from carrying</w:t>
            </w: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 year</w:t>
            </w: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years</w:t>
            </w: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 and 3 years</w:t>
            </w: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years</w:t>
            </w: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years</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and later</w:t>
            </w:r>
          </w:p>
        </w:tc>
        <w:tc>
          <w:tcPr>
            <w:tcW w:w="920" w:type="dxa"/>
            <w:vAlign w:val="bottom"/>
            <w:tcBorders>
              <w:bottom w:val="single" w:sz="8" w:color="auto"/>
            </w:tcBorders>
            <w:vMerge w:val="continue"/>
          </w:tcPr>
          <w:p>
            <w:pPr>
              <w:spacing w:after="0"/>
              <w:rPr>
                <w:sz w:val="10"/>
                <w:szCs w:val="10"/>
                <w:color w:val="auto"/>
              </w:rPr>
            </w:pP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amount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amount</w:t>
            </w:r>
          </w:p>
        </w:tc>
        <w:tc>
          <w:tcPr>
            <w:tcW w:w="0" w:type="dxa"/>
            <w:vAlign w:val="bottom"/>
          </w:tcPr>
          <w:p>
            <w:pPr>
              <w:spacing w:after="0"/>
              <w:rPr>
                <w:sz w:val="1"/>
                <w:szCs w:val="1"/>
                <w:color w:val="auto"/>
              </w:rPr>
            </w:pPr>
          </w:p>
        </w:tc>
      </w:tr>
      <w:tr>
        <w:trPr>
          <w:trHeight w:val="113"/>
        </w:trPr>
        <w:tc>
          <w:tcPr>
            <w:tcW w:w="2180" w:type="dxa"/>
            <w:vAlign w:val="bottom"/>
          </w:tcPr>
          <w:p>
            <w:pPr>
              <w:spacing w:after="0" w:line="113" w:lineRule="exact"/>
              <w:rPr>
                <w:sz w:val="20"/>
                <w:szCs w:val="20"/>
                <w:color w:val="auto"/>
              </w:rPr>
            </w:pPr>
            <w:r>
              <w:rPr>
                <w:rFonts w:ascii="Arial" w:cs="Arial" w:eastAsia="Arial" w:hAnsi="Arial"/>
                <w:sz w:val="10"/>
                <w:szCs w:val="10"/>
                <w:color w:val="auto"/>
              </w:rPr>
              <w:t>Commercial paper</w:t>
            </w:r>
          </w:p>
        </w:tc>
        <w:tc>
          <w:tcPr>
            <w:tcW w:w="1320" w:type="dxa"/>
            <w:vAlign w:val="bottom"/>
          </w:tcPr>
          <w:p>
            <w:pPr>
              <w:jc w:val="right"/>
              <w:ind w:right="312"/>
              <w:spacing w:after="0" w:line="113" w:lineRule="exact"/>
              <w:rPr>
                <w:sz w:val="20"/>
                <w:szCs w:val="20"/>
                <w:color w:val="auto"/>
              </w:rPr>
            </w:pPr>
            <w:r>
              <w:rPr>
                <w:rFonts w:ascii="Arial" w:cs="Arial" w:eastAsia="Arial" w:hAnsi="Arial"/>
                <w:sz w:val="10"/>
                <w:szCs w:val="10"/>
                <w:color w:val="auto"/>
              </w:rPr>
              <w:t>6,746</w:t>
            </w:r>
          </w:p>
        </w:tc>
        <w:tc>
          <w:tcPr>
            <w:tcW w:w="900" w:type="dxa"/>
            <w:vAlign w:val="bottom"/>
          </w:tcPr>
          <w:p>
            <w:pPr>
              <w:jc w:val="right"/>
              <w:ind w:right="232"/>
              <w:spacing w:after="0" w:line="113" w:lineRule="exact"/>
              <w:rPr>
                <w:sz w:val="20"/>
                <w:szCs w:val="20"/>
                <w:color w:val="auto"/>
              </w:rPr>
            </w:pPr>
            <w:r>
              <w:rPr>
                <w:rFonts w:ascii="Arial" w:cs="Arial" w:eastAsia="Arial" w:hAnsi="Arial"/>
                <w:sz w:val="10"/>
                <w:szCs w:val="10"/>
                <w:color w:val="auto"/>
              </w:rPr>
              <w:t>—</w:t>
            </w:r>
          </w:p>
        </w:tc>
        <w:tc>
          <w:tcPr>
            <w:tcW w:w="1080" w:type="dxa"/>
            <w:vAlign w:val="bottom"/>
          </w:tcPr>
          <w:p>
            <w:pPr>
              <w:jc w:val="right"/>
              <w:ind w:right="312"/>
              <w:spacing w:after="0" w:line="113" w:lineRule="exact"/>
              <w:rPr>
                <w:sz w:val="20"/>
                <w:szCs w:val="20"/>
                <w:color w:val="auto"/>
              </w:rPr>
            </w:pPr>
            <w:r>
              <w:rPr>
                <w:rFonts w:ascii="Arial" w:cs="Arial" w:eastAsia="Arial" w:hAnsi="Arial"/>
                <w:sz w:val="10"/>
                <w:szCs w:val="10"/>
                <w:color w:val="auto"/>
              </w:rPr>
              <w:t>—</w:t>
            </w:r>
          </w:p>
        </w:tc>
        <w:tc>
          <w:tcPr>
            <w:tcW w:w="980" w:type="dxa"/>
            <w:vAlign w:val="bottom"/>
          </w:tcPr>
          <w:p>
            <w:pPr>
              <w:jc w:val="right"/>
              <w:ind w:right="312"/>
              <w:spacing w:after="0" w:line="113"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312"/>
              <w:spacing w:after="0" w:line="11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113"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6,746</w:t>
            </w:r>
          </w:p>
        </w:tc>
        <w:tc>
          <w:tcPr>
            <w:tcW w:w="1460" w:type="dxa"/>
            <w:vAlign w:val="bottom"/>
          </w:tcPr>
          <w:p>
            <w:pPr>
              <w:jc w:val="right"/>
              <w:ind w:right="292"/>
              <w:spacing w:after="0" w:line="113" w:lineRule="exact"/>
              <w:rPr>
                <w:sz w:val="20"/>
                <w:szCs w:val="20"/>
                <w:color w:val="auto"/>
              </w:rPr>
            </w:pPr>
            <w:r>
              <w:rPr>
                <w:rFonts w:ascii="Arial" w:cs="Arial" w:eastAsia="Arial" w:hAnsi="Arial"/>
                <w:sz w:val="10"/>
                <w:szCs w:val="10"/>
                <w:color w:val="auto"/>
              </w:rPr>
              <w:t>(15)</w:t>
            </w:r>
          </w:p>
        </w:tc>
        <w:tc>
          <w:tcPr>
            <w:tcW w:w="680" w:type="dxa"/>
            <w:vAlign w:val="bottom"/>
          </w:tcPr>
          <w:p>
            <w:pPr>
              <w:jc w:val="right"/>
              <w:ind w:right="12"/>
              <w:spacing w:after="0" w:line="113" w:lineRule="exact"/>
              <w:rPr>
                <w:sz w:val="20"/>
                <w:szCs w:val="20"/>
                <w:color w:val="auto"/>
              </w:rPr>
            </w:pPr>
            <w:r>
              <w:rPr>
                <w:rFonts w:ascii="Arial" w:cs="Arial" w:eastAsia="Arial" w:hAnsi="Arial"/>
                <w:sz w:val="10"/>
                <w:szCs w:val="10"/>
                <w:color w:val="auto"/>
              </w:rPr>
              <w:t>6,731</w:t>
            </w:r>
          </w:p>
        </w:tc>
        <w:tc>
          <w:tcPr>
            <w:tcW w:w="0" w:type="dxa"/>
            <w:vAlign w:val="bottom"/>
          </w:tcPr>
          <w:p>
            <w:pPr>
              <w:spacing w:after="0"/>
              <w:rPr>
                <w:sz w:val="1"/>
                <w:szCs w:val="1"/>
                <w:color w:val="auto"/>
              </w:rPr>
            </w:pPr>
          </w:p>
        </w:tc>
      </w:tr>
      <w:tr>
        <w:trPr>
          <w:trHeight w:val="123"/>
        </w:trPr>
        <w:tc>
          <w:tcPr>
            <w:tcW w:w="2180" w:type="dxa"/>
            <w:vAlign w:val="bottom"/>
          </w:tcPr>
          <w:p>
            <w:pPr>
              <w:spacing w:after="0"/>
              <w:rPr>
                <w:sz w:val="20"/>
                <w:szCs w:val="20"/>
                <w:color w:val="auto"/>
              </w:rPr>
            </w:pPr>
            <w:r>
              <w:rPr>
                <w:rFonts w:ascii="Arial" w:cs="Arial" w:eastAsia="Arial" w:hAnsi="Arial"/>
                <w:sz w:val="10"/>
                <w:szCs w:val="10"/>
                <w:color w:val="auto"/>
              </w:rPr>
              <w:t>Bonds</w:t>
            </w:r>
          </w:p>
        </w:tc>
        <w:tc>
          <w:tcPr>
            <w:tcW w:w="1320" w:type="dxa"/>
            <w:vAlign w:val="bottom"/>
          </w:tcPr>
          <w:p>
            <w:pPr>
              <w:jc w:val="right"/>
              <w:ind w:right="312"/>
              <w:spacing w:after="0"/>
              <w:rPr>
                <w:sz w:val="20"/>
                <w:szCs w:val="20"/>
                <w:color w:val="auto"/>
              </w:rPr>
            </w:pPr>
            <w:r>
              <w:rPr>
                <w:rFonts w:ascii="Arial" w:cs="Arial" w:eastAsia="Arial" w:hAnsi="Arial"/>
                <w:sz w:val="10"/>
                <w:szCs w:val="10"/>
                <w:color w:val="auto"/>
              </w:rPr>
              <w:t>5,080</w:t>
            </w:r>
          </w:p>
        </w:tc>
        <w:tc>
          <w:tcPr>
            <w:tcW w:w="900" w:type="dxa"/>
            <w:vAlign w:val="bottom"/>
          </w:tcPr>
          <w:p>
            <w:pPr>
              <w:jc w:val="right"/>
              <w:ind w:right="232"/>
              <w:spacing w:after="0"/>
              <w:rPr>
                <w:sz w:val="20"/>
                <w:szCs w:val="20"/>
                <w:color w:val="auto"/>
              </w:rPr>
            </w:pPr>
            <w:r>
              <w:rPr>
                <w:rFonts w:ascii="Arial" w:cs="Arial" w:eastAsia="Arial" w:hAnsi="Arial"/>
                <w:sz w:val="10"/>
                <w:szCs w:val="10"/>
                <w:color w:val="auto"/>
              </w:rPr>
              <w:t>4,720</w:t>
            </w:r>
          </w:p>
        </w:tc>
        <w:tc>
          <w:tcPr>
            <w:tcW w:w="1080" w:type="dxa"/>
            <w:vAlign w:val="bottom"/>
          </w:tcPr>
          <w:p>
            <w:pPr>
              <w:jc w:val="right"/>
              <w:ind w:right="312"/>
              <w:spacing w:after="0"/>
              <w:rPr>
                <w:sz w:val="20"/>
                <w:szCs w:val="20"/>
                <w:color w:val="auto"/>
              </w:rPr>
            </w:pPr>
            <w:r>
              <w:rPr>
                <w:rFonts w:ascii="Arial" w:cs="Arial" w:eastAsia="Arial" w:hAnsi="Arial"/>
                <w:sz w:val="10"/>
                <w:szCs w:val="10"/>
                <w:color w:val="auto"/>
              </w:rPr>
              <w:t>5,408</w:t>
            </w:r>
          </w:p>
        </w:tc>
        <w:tc>
          <w:tcPr>
            <w:tcW w:w="980" w:type="dxa"/>
            <w:vAlign w:val="bottom"/>
          </w:tcPr>
          <w:p>
            <w:pPr>
              <w:jc w:val="right"/>
              <w:ind w:right="312"/>
              <w:spacing w:after="0"/>
              <w:rPr>
                <w:sz w:val="20"/>
                <w:szCs w:val="20"/>
                <w:color w:val="auto"/>
              </w:rPr>
            </w:pPr>
            <w:r>
              <w:rPr>
                <w:rFonts w:ascii="Arial" w:cs="Arial" w:eastAsia="Arial" w:hAnsi="Arial"/>
                <w:sz w:val="10"/>
                <w:szCs w:val="10"/>
                <w:color w:val="auto"/>
              </w:rPr>
              <w:t>4,633</w:t>
            </w:r>
          </w:p>
        </w:tc>
        <w:tc>
          <w:tcPr>
            <w:tcW w:w="1000" w:type="dxa"/>
            <w:vAlign w:val="bottom"/>
          </w:tcPr>
          <w:p>
            <w:pPr>
              <w:jc w:val="right"/>
              <w:ind w:right="312"/>
              <w:spacing w:after="0"/>
              <w:rPr>
                <w:sz w:val="20"/>
                <w:szCs w:val="20"/>
                <w:color w:val="auto"/>
              </w:rPr>
            </w:pPr>
            <w:r>
              <w:rPr>
                <w:rFonts w:ascii="Arial" w:cs="Arial" w:eastAsia="Arial" w:hAnsi="Arial"/>
                <w:sz w:val="10"/>
                <w:szCs w:val="10"/>
                <w:color w:val="auto"/>
              </w:rPr>
              <w:t>8,043</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41,853</w:t>
            </w:r>
          </w:p>
        </w:tc>
        <w:tc>
          <w:tcPr>
            <w:tcW w:w="920" w:type="dxa"/>
            <w:vAlign w:val="bottom"/>
          </w:tcPr>
          <w:p>
            <w:pPr>
              <w:jc w:val="right"/>
              <w:spacing w:after="0"/>
              <w:rPr>
                <w:sz w:val="20"/>
                <w:szCs w:val="20"/>
                <w:color w:val="auto"/>
              </w:rPr>
            </w:pPr>
            <w:r>
              <w:rPr>
                <w:rFonts w:ascii="Arial" w:cs="Arial" w:eastAsia="Arial" w:hAnsi="Arial"/>
                <w:sz w:val="10"/>
                <w:szCs w:val="10"/>
                <w:color w:val="auto"/>
              </w:rPr>
              <w:t>69,737</w:t>
            </w:r>
          </w:p>
        </w:tc>
        <w:tc>
          <w:tcPr>
            <w:tcW w:w="1460" w:type="dxa"/>
            <w:vAlign w:val="bottom"/>
          </w:tcPr>
          <w:p>
            <w:pPr>
              <w:jc w:val="right"/>
              <w:ind w:right="312"/>
              <w:spacing w:after="0"/>
              <w:rPr>
                <w:sz w:val="20"/>
                <w:szCs w:val="20"/>
                <w:color w:val="auto"/>
              </w:rPr>
            </w:pPr>
            <w:r>
              <w:rPr>
                <w:rFonts w:ascii="Arial" w:cs="Arial" w:eastAsia="Arial" w:hAnsi="Arial"/>
                <w:sz w:val="10"/>
                <w:szCs w:val="10"/>
                <w:color w:val="auto"/>
              </w:rPr>
              <w:t>1,308</w:t>
            </w: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71,045</w:t>
            </w:r>
          </w:p>
        </w:tc>
        <w:tc>
          <w:tcPr>
            <w:tcW w:w="0" w:type="dxa"/>
            <w:vAlign w:val="bottom"/>
          </w:tcPr>
          <w:p>
            <w:pPr>
              <w:spacing w:after="0"/>
              <w:rPr>
                <w:sz w:val="1"/>
                <w:szCs w:val="1"/>
                <w:color w:val="auto"/>
              </w:rPr>
            </w:pPr>
          </w:p>
        </w:tc>
      </w:tr>
      <w:tr>
        <w:trPr>
          <w:trHeight w:val="130"/>
        </w:trPr>
        <w:tc>
          <w:tcPr>
            <w:tcW w:w="2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Bank and other borrowings</w:t>
            </w:r>
          </w:p>
        </w:tc>
        <w:tc>
          <w:tcPr>
            <w:tcW w:w="13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944</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162</w:t>
            </w: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33</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215</w:t>
            </w: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47</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417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1,818</w:t>
            </w:r>
          </w:p>
        </w:tc>
        <w:tc>
          <w:tcPr>
            <w:tcW w:w="14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1,818</w:t>
            </w:r>
          </w:p>
        </w:tc>
        <w:tc>
          <w:tcPr>
            <w:tcW w:w="0" w:type="dxa"/>
            <w:vAlign w:val="bottom"/>
          </w:tcPr>
          <w:p>
            <w:pPr>
              <w:spacing w:after="0"/>
              <w:rPr>
                <w:sz w:val="1"/>
                <w:szCs w:val="1"/>
                <w:color w:val="auto"/>
              </w:rPr>
            </w:pPr>
          </w:p>
        </w:tc>
      </w:tr>
      <w:tr>
        <w:trPr>
          <w:trHeight w:val="117"/>
        </w:trPr>
        <w:tc>
          <w:tcPr>
            <w:tcW w:w="2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(excluding interest)</w:t>
            </w:r>
          </w:p>
        </w:tc>
        <w:tc>
          <w:tcPr>
            <w:tcW w:w="13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12,770</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4,882</w:t>
            </w: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5,441</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4,848</w:t>
            </w: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8,090</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42,270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78,301</w:t>
            </w:r>
          </w:p>
        </w:tc>
        <w:tc>
          <w:tcPr>
            <w:tcW w:w="14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1,293</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79,594</w:t>
            </w:r>
          </w:p>
        </w:tc>
        <w:tc>
          <w:tcPr>
            <w:tcW w:w="0" w:type="dxa"/>
            <w:vAlign w:val="bottom"/>
          </w:tcPr>
          <w:p>
            <w:pPr>
              <w:spacing w:after="0"/>
              <w:rPr>
                <w:sz w:val="1"/>
                <w:szCs w:val="1"/>
                <w:color w:val="auto"/>
              </w:rPr>
            </w:pPr>
          </w:p>
        </w:tc>
      </w:tr>
      <w:tr>
        <w:trPr>
          <w:trHeight w:val="115"/>
        </w:trPr>
        <w:tc>
          <w:tcPr>
            <w:tcW w:w="2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Interest</w:t>
            </w:r>
          </w:p>
        </w:tc>
        <w:tc>
          <w:tcPr>
            <w:tcW w:w="13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1,834</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1,707</w:t>
            </w: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1,630</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1,527</w:t>
            </w: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1,412</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15,985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24,095</w:t>
            </w:r>
          </w:p>
        </w:tc>
        <w:tc>
          <w:tcPr>
            <w:tcW w:w="14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180" w:type="dxa"/>
            <w:vAlign w:val="bottom"/>
            <w:tcBorders>
              <w:bottom w:val="single" w:sz="8" w:color="D9D9D9"/>
            </w:tcBorders>
          </w:tcPr>
          <w:p>
            <w:pPr>
              <w:spacing w:after="0"/>
              <w:rPr>
                <w:sz w:val="6"/>
                <w:szCs w:val="6"/>
                <w:color w:val="auto"/>
              </w:rPr>
            </w:pPr>
          </w:p>
        </w:tc>
        <w:tc>
          <w:tcPr>
            <w:tcW w:w="1320" w:type="dxa"/>
            <w:vAlign w:val="bottom"/>
            <w:tcBorders>
              <w:bottom w:val="single" w:sz="8" w:color="D9D9D9"/>
            </w:tcBorders>
          </w:tcPr>
          <w:p>
            <w:pPr>
              <w:spacing w:after="0"/>
              <w:rPr>
                <w:sz w:val="6"/>
                <w:szCs w:val="6"/>
                <w:color w:val="auto"/>
              </w:rPr>
            </w:pPr>
          </w:p>
        </w:tc>
        <w:tc>
          <w:tcPr>
            <w:tcW w:w="900" w:type="dxa"/>
            <w:vAlign w:val="bottom"/>
            <w:tcBorders>
              <w:bottom w:val="single" w:sz="8" w:color="D9D9D9"/>
            </w:tcBorders>
          </w:tcPr>
          <w:p>
            <w:pPr>
              <w:spacing w:after="0"/>
              <w:rPr>
                <w:sz w:val="6"/>
                <w:szCs w:val="6"/>
                <w:color w:val="auto"/>
              </w:rPr>
            </w:pPr>
          </w:p>
        </w:tc>
        <w:tc>
          <w:tcPr>
            <w:tcW w:w="1080" w:type="dxa"/>
            <w:vAlign w:val="bottom"/>
            <w:tcBorders>
              <w:bottom w:val="single" w:sz="8" w:color="D9D9D9"/>
            </w:tcBorders>
          </w:tcPr>
          <w:p>
            <w:pPr>
              <w:spacing w:after="0"/>
              <w:rPr>
                <w:sz w:val="6"/>
                <w:szCs w:val="6"/>
                <w:color w:val="auto"/>
              </w:rPr>
            </w:pPr>
          </w:p>
        </w:tc>
        <w:tc>
          <w:tcPr>
            <w:tcW w:w="980" w:type="dxa"/>
            <w:vAlign w:val="bottom"/>
            <w:tcBorders>
              <w:bottom w:val="single" w:sz="8" w:color="D9D9D9"/>
            </w:tcBorders>
          </w:tcPr>
          <w:p>
            <w:pPr>
              <w:spacing w:after="0"/>
              <w:rPr>
                <w:sz w:val="6"/>
                <w:szCs w:val="6"/>
                <w:color w:val="auto"/>
              </w:rPr>
            </w:pPr>
          </w:p>
        </w:tc>
        <w:tc>
          <w:tcPr>
            <w:tcW w:w="1000" w:type="dxa"/>
            <w:vAlign w:val="bottom"/>
            <w:tcBorders>
              <w:bottom w:val="single" w:sz="8" w:color="D9D9D9"/>
            </w:tcBorders>
          </w:tcPr>
          <w:p>
            <w:pPr>
              <w:spacing w:after="0"/>
              <w:rPr>
                <w:sz w:val="6"/>
                <w:szCs w:val="6"/>
                <w:color w:val="auto"/>
              </w:rPr>
            </w:pPr>
          </w:p>
        </w:tc>
        <w:tc>
          <w:tcPr>
            <w:tcW w:w="740" w:type="dxa"/>
            <w:vAlign w:val="bottom"/>
            <w:tcBorders>
              <w:bottom w:val="single" w:sz="8" w:color="D9D9D9"/>
            </w:tcBorders>
          </w:tcPr>
          <w:p>
            <w:pPr>
              <w:spacing w:after="0"/>
              <w:rPr>
                <w:sz w:val="6"/>
                <w:szCs w:val="6"/>
                <w:color w:val="auto"/>
              </w:rPr>
            </w:pPr>
          </w:p>
        </w:tc>
        <w:tc>
          <w:tcPr>
            <w:tcW w:w="920" w:type="dxa"/>
            <w:vAlign w:val="bottom"/>
            <w:tcBorders>
              <w:bottom w:val="single" w:sz="8" w:color="D9D9D9"/>
            </w:tcBorders>
          </w:tcPr>
          <w:p>
            <w:pPr>
              <w:spacing w:after="0"/>
              <w:rPr>
                <w:sz w:val="6"/>
                <w:szCs w:val="6"/>
                <w:color w:val="auto"/>
              </w:rPr>
            </w:pPr>
          </w:p>
        </w:tc>
        <w:tc>
          <w:tcPr>
            <w:tcW w:w="1460" w:type="dxa"/>
            <w:vAlign w:val="bottom"/>
            <w:tcBorders>
              <w:bottom w:val="single" w:sz="8" w:color="D9D9D9"/>
            </w:tcBorders>
          </w:tcPr>
          <w:p>
            <w:pPr>
              <w:spacing w:after="0"/>
              <w:rPr>
                <w:sz w:val="6"/>
                <w:szCs w:val="6"/>
                <w:color w:val="auto"/>
              </w:rPr>
            </w:pPr>
          </w:p>
        </w:tc>
        <w:tc>
          <w:tcPr>
            <w:tcW w:w="68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20"/>
                <w:szCs w:val="20"/>
                <w:color w:val="auto"/>
              </w:rPr>
            </w:pPr>
            <w:r>
              <w:rPr>
                <w:rFonts w:ascii="Arial" w:cs="Arial" w:eastAsia="Arial" w:hAnsi="Arial"/>
                <w:sz w:val="10"/>
                <w:szCs w:val="10"/>
                <w:color w:val="auto"/>
              </w:rPr>
              <w:t>2019</w:t>
            </w:r>
          </w:p>
        </w:tc>
        <w:tc>
          <w:tcPr>
            <w:tcW w:w="1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3"/>
        </w:trPr>
        <w:tc>
          <w:tcPr>
            <w:tcW w:w="218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0"/>
              </w:rPr>
              <w:t>Contractual payments</w:t>
            </w:r>
          </w:p>
        </w:tc>
        <w:tc>
          <w:tcPr>
            <w:tcW w:w="1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180" w:type="dxa"/>
            <w:vAlign w:val="bottom"/>
          </w:tcPr>
          <w:p>
            <w:pPr>
              <w:spacing w:after="0"/>
              <w:rPr>
                <w:sz w:val="7"/>
                <w:szCs w:val="7"/>
                <w:color w:val="auto"/>
              </w:rPr>
            </w:pPr>
          </w:p>
        </w:tc>
        <w:tc>
          <w:tcPr>
            <w:tcW w:w="1320" w:type="dxa"/>
            <w:vAlign w:val="bottom"/>
            <w:vMerge w:val="restart"/>
          </w:tcPr>
          <w:p>
            <w:pPr>
              <w:jc w:val="right"/>
              <w:ind w:right="292"/>
              <w:spacing w:after="0"/>
              <w:rPr>
                <w:sz w:val="20"/>
                <w:szCs w:val="20"/>
                <w:color w:val="auto"/>
              </w:rPr>
            </w:pPr>
            <w:r>
              <w:rPr>
                <w:rFonts w:ascii="Arial" w:cs="Arial" w:eastAsia="Arial" w:hAnsi="Arial"/>
                <w:sz w:val="10"/>
                <w:szCs w:val="10"/>
                <w:color w:val="auto"/>
              </w:rPr>
              <w:t>Less than</w:t>
            </w:r>
          </w:p>
        </w:tc>
        <w:tc>
          <w:tcPr>
            <w:tcW w:w="900" w:type="dxa"/>
            <w:vAlign w:val="bottom"/>
          </w:tcPr>
          <w:p>
            <w:pPr>
              <w:jc w:val="right"/>
              <w:ind w:right="192"/>
              <w:spacing w:after="0" w:line="87" w:lineRule="exact"/>
              <w:rPr>
                <w:sz w:val="20"/>
                <w:szCs w:val="20"/>
                <w:color w:val="auto"/>
              </w:rPr>
            </w:pPr>
            <w:r>
              <w:rPr>
                <w:rFonts w:ascii="Arial" w:cs="Arial" w:eastAsia="Arial" w:hAnsi="Arial"/>
                <w:sz w:val="10"/>
                <w:szCs w:val="10"/>
                <w:color w:val="auto"/>
              </w:rPr>
              <w:t>Between</w:t>
            </w:r>
          </w:p>
        </w:tc>
        <w:tc>
          <w:tcPr>
            <w:tcW w:w="1080" w:type="dxa"/>
            <w:vAlign w:val="bottom"/>
            <w:vMerge w:val="restart"/>
          </w:tcPr>
          <w:p>
            <w:pPr>
              <w:jc w:val="right"/>
              <w:ind w:right="292"/>
              <w:spacing w:after="0"/>
              <w:rPr>
                <w:sz w:val="20"/>
                <w:szCs w:val="20"/>
                <w:color w:val="auto"/>
              </w:rPr>
            </w:pPr>
            <w:r>
              <w:rPr>
                <w:rFonts w:ascii="Arial" w:cs="Arial" w:eastAsia="Arial" w:hAnsi="Arial"/>
                <w:sz w:val="10"/>
                <w:szCs w:val="10"/>
                <w:color w:val="auto"/>
              </w:rPr>
              <w:t>Between</w:t>
            </w:r>
          </w:p>
        </w:tc>
        <w:tc>
          <w:tcPr>
            <w:tcW w:w="980" w:type="dxa"/>
            <w:vAlign w:val="bottom"/>
          </w:tcPr>
          <w:p>
            <w:pPr>
              <w:jc w:val="right"/>
              <w:ind w:right="272"/>
              <w:spacing w:after="0" w:line="87" w:lineRule="exact"/>
              <w:rPr>
                <w:sz w:val="20"/>
                <w:szCs w:val="20"/>
                <w:color w:val="auto"/>
              </w:rPr>
            </w:pPr>
            <w:r>
              <w:rPr>
                <w:rFonts w:ascii="Arial" w:cs="Arial" w:eastAsia="Arial" w:hAnsi="Arial"/>
                <w:sz w:val="10"/>
                <w:szCs w:val="10"/>
                <w:color w:val="auto"/>
              </w:rPr>
              <w:t>Between</w:t>
            </w:r>
          </w:p>
        </w:tc>
        <w:tc>
          <w:tcPr>
            <w:tcW w:w="1000" w:type="dxa"/>
            <w:vAlign w:val="bottom"/>
          </w:tcPr>
          <w:p>
            <w:pPr>
              <w:jc w:val="right"/>
              <w:ind w:right="292"/>
              <w:spacing w:after="0" w:line="87" w:lineRule="exact"/>
              <w:rPr>
                <w:sz w:val="20"/>
                <w:szCs w:val="20"/>
                <w:color w:val="auto"/>
              </w:rPr>
            </w:pPr>
            <w:r>
              <w:rPr>
                <w:rFonts w:ascii="Arial" w:cs="Arial" w:eastAsia="Arial" w:hAnsi="Arial"/>
                <w:sz w:val="10"/>
                <w:szCs w:val="10"/>
                <w:color w:val="auto"/>
              </w:rPr>
              <w:t>Between</w:t>
            </w:r>
          </w:p>
        </w:tc>
        <w:tc>
          <w:tcPr>
            <w:tcW w:w="740" w:type="dxa"/>
            <w:vAlign w:val="bottom"/>
            <w:vMerge w:val="restart"/>
          </w:tcPr>
          <w:p>
            <w:pPr>
              <w:jc w:val="right"/>
              <w:ind w:right="32"/>
              <w:spacing w:after="0"/>
              <w:rPr>
                <w:sz w:val="20"/>
                <w:szCs w:val="20"/>
                <w:color w:val="auto"/>
              </w:rPr>
            </w:pPr>
            <w:r>
              <w:rPr>
                <w:rFonts w:ascii="Arial" w:cs="Arial" w:eastAsia="Arial" w:hAnsi="Arial"/>
                <w:sz w:val="10"/>
                <w:szCs w:val="10"/>
                <w:color w:val="auto"/>
              </w:rPr>
              <w:t>5 years</w:t>
            </w:r>
          </w:p>
        </w:tc>
        <w:tc>
          <w:tcPr>
            <w:tcW w:w="920" w:type="dxa"/>
            <w:vAlign w:val="bottom"/>
          </w:tcPr>
          <w:p>
            <w:pPr>
              <w:spacing w:after="0"/>
              <w:rPr>
                <w:sz w:val="7"/>
                <w:szCs w:val="7"/>
                <w:color w:val="auto"/>
              </w:rPr>
            </w:pPr>
          </w:p>
        </w:tc>
        <w:tc>
          <w:tcPr>
            <w:tcW w:w="1460" w:type="dxa"/>
            <w:vAlign w:val="bottom"/>
          </w:tcPr>
          <w:p>
            <w:pPr>
              <w:jc w:val="right"/>
              <w:ind w:right="292"/>
              <w:spacing w:after="0" w:line="87" w:lineRule="exact"/>
              <w:rPr>
                <w:sz w:val="20"/>
                <w:szCs w:val="20"/>
                <w:color w:val="auto"/>
              </w:rPr>
            </w:pPr>
            <w:r>
              <w:rPr>
                <w:rFonts w:ascii="Arial" w:cs="Arial" w:eastAsia="Arial" w:hAnsi="Arial"/>
                <w:sz w:val="10"/>
                <w:szCs w:val="10"/>
                <w:color w:val="auto"/>
              </w:rPr>
              <w:t>Difference</w:t>
            </w: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Carrying</w:t>
            </w:r>
          </w:p>
        </w:tc>
        <w:tc>
          <w:tcPr>
            <w:tcW w:w="0" w:type="dxa"/>
            <w:vAlign w:val="bottom"/>
          </w:tcPr>
          <w:p>
            <w:pPr>
              <w:spacing w:after="0"/>
              <w:rPr>
                <w:sz w:val="1"/>
                <w:szCs w:val="1"/>
                <w:color w:val="auto"/>
              </w:rPr>
            </w:pPr>
          </w:p>
        </w:tc>
      </w:tr>
      <w:tr>
        <w:trPr>
          <w:trHeight w:val="90"/>
        </w:trPr>
        <w:tc>
          <w:tcPr>
            <w:tcW w:w="218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900" w:type="dxa"/>
            <w:vAlign w:val="bottom"/>
          </w:tcPr>
          <w:p>
            <w:pPr>
              <w:jc w:val="right"/>
              <w:ind w:right="192"/>
              <w:spacing w:after="0" w:line="90" w:lineRule="exact"/>
              <w:rPr>
                <w:sz w:val="20"/>
                <w:szCs w:val="20"/>
                <w:color w:val="auto"/>
              </w:rPr>
            </w:pPr>
            <w:r>
              <w:rPr>
                <w:rFonts w:ascii="Arial" w:cs="Arial" w:eastAsia="Arial" w:hAnsi="Arial"/>
                <w:sz w:val="10"/>
                <w:szCs w:val="10"/>
                <w:color w:val="auto"/>
              </w:rPr>
              <w:t>1 and 2</w:t>
            </w:r>
          </w:p>
        </w:tc>
        <w:tc>
          <w:tcPr>
            <w:tcW w:w="1080" w:type="dxa"/>
            <w:vAlign w:val="bottom"/>
            <w:vMerge w:val="continue"/>
          </w:tcPr>
          <w:p>
            <w:pPr>
              <w:spacing w:after="0"/>
              <w:rPr>
                <w:sz w:val="7"/>
                <w:szCs w:val="7"/>
                <w:color w:val="auto"/>
              </w:rPr>
            </w:pPr>
          </w:p>
        </w:tc>
        <w:tc>
          <w:tcPr>
            <w:tcW w:w="980" w:type="dxa"/>
            <w:vAlign w:val="bottom"/>
          </w:tcPr>
          <w:p>
            <w:pPr>
              <w:jc w:val="right"/>
              <w:ind w:right="272"/>
              <w:spacing w:after="0" w:line="90" w:lineRule="exact"/>
              <w:rPr>
                <w:sz w:val="20"/>
                <w:szCs w:val="20"/>
                <w:color w:val="auto"/>
              </w:rPr>
            </w:pPr>
            <w:r>
              <w:rPr>
                <w:rFonts w:ascii="Arial" w:cs="Arial" w:eastAsia="Arial" w:hAnsi="Arial"/>
                <w:sz w:val="10"/>
                <w:szCs w:val="10"/>
                <w:color w:val="auto"/>
              </w:rPr>
              <w:t>3 and 4</w:t>
            </w:r>
          </w:p>
        </w:tc>
        <w:tc>
          <w:tcPr>
            <w:tcW w:w="1000" w:type="dxa"/>
            <w:vAlign w:val="bottom"/>
          </w:tcPr>
          <w:p>
            <w:pPr>
              <w:jc w:val="right"/>
              <w:ind w:right="292"/>
              <w:spacing w:after="0" w:line="90" w:lineRule="exact"/>
              <w:rPr>
                <w:sz w:val="20"/>
                <w:szCs w:val="20"/>
                <w:color w:val="auto"/>
              </w:rPr>
            </w:pPr>
            <w:r>
              <w:rPr>
                <w:rFonts w:ascii="Arial" w:cs="Arial" w:eastAsia="Arial" w:hAnsi="Arial"/>
                <w:sz w:val="10"/>
                <w:szCs w:val="10"/>
                <w:color w:val="auto"/>
              </w:rPr>
              <w:t>4 and 5</w:t>
            </w:r>
          </w:p>
        </w:tc>
        <w:tc>
          <w:tcPr>
            <w:tcW w:w="740" w:type="dxa"/>
            <w:vAlign w:val="bottom"/>
            <w:vMerge w:val="continue"/>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1460" w:type="dxa"/>
            <w:vAlign w:val="bottom"/>
          </w:tcPr>
          <w:p>
            <w:pPr>
              <w:jc w:val="right"/>
              <w:ind w:right="292"/>
              <w:spacing w:after="0" w:line="90" w:lineRule="exact"/>
              <w:rPr>
                <w:sz w:val="20"/>
                <w:szCs w:val="20"/>
                <w:color w:val="auto"/>
              </w:rPr>
            </w:pPr>
            <w:r>
              <w:rPr>
                <w:rFonts w:ascii="Arial" w:cs="Arial" w:eastAsia="Arial" w:hAnsi="Arial"/>
                <w:sz w:val="10"/>
                <w:szCs w:val="10"/>
                <w:color w:val="auto"/>
              </w:rPr>
              <w:t>from carrying</w:t>
            </w: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 year</w:t>
            </w: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years</w:t>
            </w: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 and 3 years</w:t>
            </w: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years</w:t>
            </w: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years</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and later</w:t>
            </w:r>
          </w:p>
        </w:tc>
        <w:tc>
          <w:tcPr>
            <w:tcW w:w="920" w:type="dxa"/>
            <w:vAlign w:val="bottom"/>
            <w:tcBorders>
              <w:bottom w:val="single" w:sz="8" w:color="auto"/>
            </w:tcBorders>
            <w:vMerge w:val="continue"/>
          </w:tcPr>
          <w:p>
            <w:pPr>
              <w:spacing w:after="0"/>
              <w:rPr>
                <w:sz w:val="10"/>
                <w:szCs w:val="10"/>
                <w:color w:val="auto"/>
              </w:rPr>
            </w:pP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amount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amount</w:t>
            </w:r>
          </w:p>
        </w:tc>
        <w:tc>
          <w:tcPr>
            <w:tcW w:w="0" w:type="dxa"/>
            <w:vAlign w:val="bottom"/>
          </w:tcPr>
          <w:p>
            <w:pPr>
              <w:spacing w:after="0"/>
              <w:rPr>
                <w:sz w:val="1"/>
                <w:szCs w:val="1"/>
                <w:color w:val="auto"/>
              </w:rPr>
            </w:pPr>
          </w:p>
        </w:tc>
      </w:tr>
      <w:tr>
        <w:trPr>
          <w:trHeight w:val="113"/>
        </w:trPr>
        <w:tc>
          <w:tcPr>
            <w:tcW w:w="2180" w:type="dxa"/>
            <w:vAlign w:val="bottom"/>
          </w:tcPr>
          <w:p>
            <w:pPr>
              <w:spacing w:after="0" w:line="113" w:lineRule="exact"/>
              <w:rPr>
                <w:sz w:val="20"/>
                <w:szCs w:val="20"/>
                <w:color w:val="auto"/>
              </w:rPr>
            </w:pPr>
            <w:r>
              <w:rPr>
                <w:rFonts w:ascii="Arial" w:cs="Arial" w:eastAsia="Arial" w:hAnsi="Arial"/>
                <w:sz w:val="10"/>
                <w:szCs w:val="10"/>
                <w:color w:val="auto"/>
              </w:rPr>
              <w:t>Commercial paper</w:t>
            </w:r>
          </w:p>
        </w:tc>
        <w:tc>
          <w:tcPr>
            <w:tcW w:w="1320" w:type="dxa"/>
            <w:vAlign w:val="bottom"/>
          </w:tcPr>
          <w:p>
            <w:pPr>
              <w:jc w:val="right"/>
              <w:ind w:right="312"/>
              <w:spacing w:after="0" w:line="113" w:lineRule="exact"/>
              <w:rPr>
                <w:sz w:val="20"/>
                <w:szCs w:val="20"/>
                <w:color w:val="auto"/>
              </w:rPr>
            </w:pPr>
            <w:r>
              <w:rPr>
                <w:rFonts w:ascii="Arial" w:cs="Arial" w:eastAsia="Arial" w:hAnsi="Arial"/>
                <w:sz w:val="10"/>
                <w:szCs w:val="10"/>
                <w:color w:val="auto"/>
              </w:rPr>
              <w:t>3,390</w:t>
            </w:r>
          </w:p>
        </w:tc>
        <w:tc>
          <w:tcPr>
            <w:tcW w:w="900" w:type="dxa"/>
            <w:vAlign w:val="bottom"/>
          </w:tcPr>
          <w:p>
            <w:pPr>
              <w:jc w:val="right"/>
              <w:ind w:right="232"/>
              <w:spacing w:after="0" w:line="113" w:lineRule="exact"/>
              <w:rPr>
                <w:sz w:val="20"/>
                <w:szCs w:val="20"/>
                <w:color w:val="auto"/>
              </w:rPr>
            </w:pPr>
            <w:r>
              <w:rPr>
                <w:rFonts w:ascii="Arial" w:cs="Arial" w:eastAsia="Arial" w:hAnsi="Arial"/>
                <w:sz w:val="10"/>
                <w:szCs w:val="10"/>
                <w:color w:val="auto"/>
              </w:rPr>
              <w:t>—</w:t>
            </w:r>
          </w:p>
        </w:tc>
        <w:tc>
          <w:tcPr>
            <w:tcW w:w="1080" w:type="dxa"/>
            <w:vAlign w:val="bottom"/>
          </w:tcPr>
          <w:p>
            <w:pPr>
              <w:jc w:val="right"/>
              <w:ind w:right="312"/>
              <w:spacing w:after="0" w:line="113" w:lineRule="exact"/>
              <w:rPr>
                <w:sz w:val="20"/>
                <w:szCs w:val="20"/>
                <w:color w:val="auto"/>
              </w:rPr>
            </w:pPr>
            <w:r>
              <w:rPr>
                <w:rFonts w:ascii="Arial" w:cs="Arial" w:eastAsia="Arial" w:hAnsi="Arial"/>
                <w:sz w:val="10"/>
                <w:szCs w:val="10"/>
                <w:color w:val="auto"/>
              </w:rPr>
              <w:t>—</w:t>
            </w:r>
          </w:p>
        </w:tc>
        <w:tc>
          <w:tcPr>
            <w:tcW w:w="980" w:type="dxa"/>
            <w:vAlign w:val="bottom"/>
          </w:tcPr>
          <w:p>
            <w:pPr>
              <w:jc w:val="right"/>
              <w:ind w:right="312"/>
              <w:spacing w:after="0" w:line="113"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312"/>
              <w:spacing w:after="0" w:line="11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113"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3,390</w:t>
            </w:r>
          </w:p>
        </w:tc>
        <w:tc>
          <w:tcPr>
            <w:tcW w:w="1460" w:type="dxa"/>
            <w:vAlign w:val="bottom"/>
          </w:tcPr>
          <w:p>
            <w:pPr>
              <w:jc w:val="right"/>
              <w:ind w:right="292"/>
              <w:spacing w:after="0" w:line="113" w:lineRule="exact"/>
              <w:rPr>
                <w:sz w:val="20"/>
                <w:szCs w:val="20"/>
                <w:color w:val="auto"/>
              </w:rPr>
            </w:pPr>
            <w:r>
              <w:rPr>
                <w:rFonts w:ascii="Arial" w:cs="Arial" w:eastAsia="Arial" w:hAnsi="Arial"/>
                <w:sz w:val="10"/>
                <w:szCs w:val="10"/>
                <w:color w:val="auto"/>
              </w:rPr>
              <w:t>(38)</w:t>
            </w:r>
          </w:p>
        </w:tc>
        <w:tc>
          <w:tcPr>
            <w:tcW w:w="680" w:type="dxa"/>
            <w:vAlign w:val="bottom"/>
          </w:tcPr>
          <w:p>
            <w:pPr>
              <w:jc w:val="right"/>
              <w:ind w:right="12"/>
              <w:spacing w:after="0" w:line="113" w:lineRule="exact"/>
              <w:rPr>
                <w:sz w:val="20"/>
                <w:szCs w:val="20"/>
                <w:color w:val="auto"/>
              </w:rPr>
            </w:pPr>
            <w:r>
              <w:rPr>
                <w:rFonts w:ascii="Arial" w:cs="Arial" w:eastAsia="Arial" w:hAnsi="Arial"/>
                <w:sz w:val="10"/>
                <w:szCs w:val="10"/>
                <w:color w:val="auto"/>
              </w:rPr>
              <w:t>3,352</w:t>
            </w:r>
          </w:p>
        </w:tc>
        <w:tc>
          <w:tcPr>
            <w:tcW w:w="0" w:type="dxa"/>
            <w:vAlign w:val="bottom"/>
          </w:tcPr>
          <w:p>
            <w:pPr>
              <w:spacing w:after="0"/>
              <w:rPr>
                <w:sz w:val="1"/>
                <w:szCs w:val="1"/>
                <w:color w:val="auto"/>
              </w:rPr>
            </w:pPr>
          </w:p>
        </w:tc>
      </w:tr>
      <w:tr>
        <w:trPr>
          <w:trHeight w:val="123"/>
        </w:trPr>
        <w:tc>
          <w:tcPr>
            <w:tcW w:w="2180" w:type="dxa"/>
            <w:vAlign w:val="bottom"/>
          </w:tcPr>
          <w:p>
            <w:pPr>
              <w:spacing w:after="0"/>
              <w:rPr>
                <w:sz w:val="20"/>
                <w:szCs w:val="20"/>
                <w:color w:val="auto"/>
              </w:rPr>
            </w:pPr>
            <w:r>
              <w:rPr>
                <w:rFonts w:ascii="Arial" w:cs="Arial" w:eastAsia="Arial" w:hAnsi="Arial"/>
                <w:sz w:val="10"/>
                <w:szCs w:val="10"/>
                <w:color w:val="auto"/>
              </w:rPr>
              <w:t>Bonds</w:t>
            </w:r>
          </w:p>
        </w:tc>
        <w:tc>
          <w:tcPr>
            <w:tcW w:w="1320" w:type="dxa"/>
            <w:vAlign w:val="bottom"/>
          </w:tcPr>
          <w:p>
            <w:pPr>
              <w:jc w:val="right"/>
              <w:ind w:right="312"/>
              <w:spacing w:after="0"/>
              <w:rPr>
                <w:sz w:val="20"/>
                <w:szCs w:val="20"/>
                <w:color w:val="auto"/>
              </w:rPr>
            </w:pPr>
            <w:r>
              <w:rPr>
                <w:rFonts w:ascii="Arial" w:cs="Arial" w:eastAsia="Arial" w:hAnsi="Arial"/>
                <w:sz w:val="10"/>
                <w:szCs w:val="10"/>
                <w:color w:val="auto"/>
              </w:rPr>
              <w:t>5,900</w:t>
            </w:r>
          </w:p>
        </w:tc>
        <w:tc>
          <w:tcPr>
            <w:tcW w:w="900" w:type="dxa"/>
            <w:vAlign w:val="bottom"/>
          </w:tcPr>
          <w:p>
            <w:pPr>
              <w:jc w:val="right"/>
              <w:ind w:right="232"/>
              <w:spacing w:after="0"/>
              <w:rPr>
                <w:sz w:val="20"/>
                <w:szCs w:val="20"/>
                <w:color w:val="auto"/>
              </w:rPr>
            </w:pPr>
            <w:r>
              <w:rPr>
                <w:rFonts w:ascii="Arial" w:cs="Arial" w:eastAsia="Arial" w:hAnsi="Arial"/>
                <w:sz w:val="10"/>
                <w:szCs w:val="10"/>
                <w:color w:val="auto"/>
              </w:rPr>
              <w:t>4,971</w:t>
            </w:r>
          </w:p>
        </w:tc>
        <w:tc>
          <w:tcPr>
            <w:tcW w:w="1080" w:type="dxa"/>
            <w:vAlign w:val="bottom"/>
          </w:tcPr>
          <w:p>
            <w:pPr>
              <w:jc w:val="right"/>
              <w:ind w:right="312"/>
              <w:spacing w:after="0"/>
              <w:rPr>
                <w:sz w:val="20"/>
                <w:szCs w:val="20"/>
                <w:color w:val="auto"/>
              </w:rPr>
            </w:pPr>
            <w:r>
              <w:rPr>
                <w:rFonts w:ascii="Arial" w:cs="Arial" w:eastAsia="Arial" w:hAnsi="Arial"/>
                <w:sz w:val="10"/>
                <w:szCs w:val="10"/>
                <w:color w:val="auto"/>
              </w:rPr>
              <w:t>4,392</w:t>
            </w:r>
          </w:p>
        </w:tc>
        <w:tc>
          <w:tcPr>
            <w:tcW w:w="980" w:type="dxa"/>
            <w:vAlign w:val="bottom"/>
          </w:tcPr>
          <w:p>
            <w:pPr>
              <w:jc w:val="right"/>
              <w:ind w:right="312"/>
              <w:spacing w:after="0"/>
              <w:rPr>
                <w:sz w:val="20"/>
                <w:szCs w:val="20"/>
                <w:color w:val="auto"/>
              </w:rPr>
            </w:pPr>
            <w:r>
              <w:rPr>
                <w:rFonts w:ascii="Arial" w:cs="Arial" w:eastAsia="Arial" w:hAnsi="Arial"/>
                <w:sz w:val="10"/>
                <w:szCs w:val="10"/>
                <w:color w:val="auto"/>
              </w:rPr>
              <w:t>4,326</w:t>
            </w:r>
          </w:p>
        </w:tc>
        <w:tc>
          <w:tcPr>
            <w:tcW w:w="1000" w:type="dxa"/>
            <w:vAlign w:val="bottom"/>
          </w:tcPr>
          <w:p>
            <w:pPr>
              <w:jc w:val="right"/>
              <w:ind w:right="312"/>
              <w:spacing w:after="0"/>
              <w:rPr>
                <w:sz w:val="20"/>
                <w:szCs w:val="20"/>
                <w:color w:val="auto"/>
              </w:rPr>
            </w:pPr>
            <w:r>
              <w:rPr>
                <w:rFonts w:ascii="Arial" w:cs="Arial" w:eastAsia="Arial" w:hAnsi="Arial"/>
                <w:sz w:val="10"/>
                <w:szCs w:val="10"/>
                <w:color w:val="auto"/>
              </w:rPr>
              <w:t>2,091</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38,323</w:t>
            </w:r>
          </w:p>
        </w:tc>
        <w:tc>
          <w:tcPr>
            <w:tcW w:w="920" w:type="dxa"/>
            <w:vAlign w:val="bottom"/>
          </w:tcPr>
          <w:p>
            <w:pPr>
              <w:jc w:val="right"/>
              <w:spacing w:after="0"/>
              <w:rPr>
                <w:sz w:val="20"/>
                <w:szCs w:val="20"/>
                <w:color w:val="auto"/>
              </w:rPr>
            </w:pPr>
            <w:r>
              <w:rPr>
                <w:rFonts w:ascii="Arial" w:cs="Arial" w:eastAsia="Arial" w:hAnsi="Arial"/>
                <w:sz w:val="10"/>
                <w:szCs w:val="10"/>
                <w:color w:val="auto"/>
              </w:rPr>
              <w:t>60,003</w:t>
            </w:r>
          </w:p>
        </w:tc>
        <w:tc>
          <w:tcPr>
            <w:tcW w:w="1460" w:type="dxa"/>
            <w:vAlign w:val="bottom"/>
          </w:tcPr>
          <w:p>
            <w:pPr>
              <w:jc w:val="right"/>
              <w:ind w:right="312"/>
              <w:spacing w:after="0"/>
              <w:rPr>
                <w:sz w:val="20"/>
                <w:szCs w:val="20"/>
                <w:color w:val="auto"/>
              </w:rPr>
            </w:pPr>
            <w:r>
              <w:rPr>
                <w:rFonts w:ascii="Arial" w:cs="Arial" w:eastAsia="Arial" w:hAnsi="Arial"/>
                <w:sz w:val="10"/>
                <w:szCs w:val="10"/>
                <w:color w:val="auto"/>
              </w:rPr>
              <w:t>694</w:t>
            </w: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60,697</w:t>
            </w:r>
          </w:p>
        </w:tc>
        <w:tc>
          <w:tcPr>
            <w:tcW w:w="0" w:type="dxa"/>
            <w:vAlign w:val="bottom"/>
          </w:tcPr>
          <w:p>
            <w:pPr>
              <w:spacing w:after="0"/>
              <w:rPr>
                <w:sz w:val="1"/>
                <w:szCs w:val="1"/>
                <w:color w:val="auto"/>
              </w:rPr>
            </w:pPr>
          </w:p>
        </w:tc>
      </w:tr>
      <w:tr>
        <w:trPr>
          <w:trHeight w:val="130"/>
        </w:trPr>
        <w:tc>
          <w:tcPr>
            <w:tcW w:w="2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Bank and other borrowings</w:t>
            </w:r>
          </w:p>
        </w:tc>
        <w:tc>
          <w:tcPr>
            <w:tcW w:w="13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859</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425</w:t>
            </w: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56</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71</w:t>
            </w: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15</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1,838</w:t>
            </w:r>
          </w:p>
        </w:tc>
        <w:tc>
          <w:tcPr>
            <w:tcW w:w="14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1,838</w:t>
            </w:r>
          </w:p>
        </w:tc>
        <w:tc>
          <w:tcPr>
            <w:tcW w:w="0" w:type="dxa"/>
            <w:vAlign w:val="bottom"/>
          </w:tcPr>
          <w:p>
            <w:pPr>
              <w:spacing w:after="0"/>
              <w:rPr>
                <w:sz w:val="1"/>
                <w:szCs w:val="1"/>
                <w:color w:val="auto"/>
              </w:rPr>
            </w:pPr>
          </w:p>
        </w:tc>
      </w:tr>
      <w:tr>
        <w:trPr>
          <w:trHeight w:val="117"/>
        </w:trPr>
        <w:tc>
          <w:tcPr>
            <w:tcW w:w="2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(excluding interest)</w:t>
            </w:r>
          </w:p>
        </w:tc>
        <w:tc>
          <w:tcPr>
            <w:tcW w:w="13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10,149</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5,396</w:t>
            </w: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4,448</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4,397</w:t>
            </w: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2,106</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38,735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65,231</w:t>
            </w:r>
          </w:p>
        </w:tc>
        <w:tc>
          <w:tcPr>
            <w:tcW w:w="14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656</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65,887</w:t>
            </w:r>
          </w:p>
        </w:tc>
        <w:tc>
          <w:tcPr>
            <w:tcW w:w="0" w:type="dxa"/>
            <w:vAlign w:val="bottom"/>
          </w:tcPr>
          <w:p>
            <w:pPr>
              <w:spacing w:after="0"/>
              <w:rPr>
                <w:sz w:val="1"/>
                <w:szCs w:val="1"/>
                <w:color w:val="auto"/>
              </w:rPr>
            </w:pPr>
          </w:p>
        </w:tc>
      </w:tr>
      <w:tr>
        <w:trPr>
          <w:trHeight w:val="115"/>
        </w:trPr>
        <w:tc>
          <w:tcPr>
            <w:tcW w:w="2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Interest</w:t>
            </w:r>
          </w:p>
        </w:tc>
        <w:tc>
          <w:tcPr>
            <w:tcW w:w="13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1,665</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1,559</w:t>
            </w: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1,430</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1,357</w:t>
            </w: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1,263</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14,618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21,892</w:t>
            </w:r>
          </w:p>
        </w:tc>
        <w:tc>
          <w:tcPr>
            <w:tcW w:w="14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0"/>
          <w:szCs w:val="10"/>
          <w:color w:val="auto"/>
        </w:rPr>
        <w:t>Interest rate swaps have been entered into against certain fixed rate debt affecting the effective interest rate on these balances (see Note 19).</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fair value of debt excluding lease liabilities at December 31, 2020, was $88,294 million (2019: $71,163 million), mainly determined from the prices quoted for those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Lease arrangements</w:t>
      </w:r>
    </w:p>
    <w:p>
      <w:pPr>
        <w:spacing w:after="0" w:line="3" w:lineRule="exact"/>
        <w:rPr>
          <w:sz w:val="20"/>
          <w:szCs w:val="20"/>
          <w:color w:val="auto"/>
        </w:rPr>
      </w:pPr>
    </w:p>
    <w:p>
      <w:pPr>
        <w:ind w:right="260"/>
        <w:spacing w:after="0" w:line="231" w:lineRule="auto"/>
        <w:rPr>
          <w:sz w:val="20"/>
          <w:szCs w:val="20"/>
          <w:color w:val="auto"/>
        </w:rPr>
      </w:pPr>
      <w:r>
        <w:rPr>
          <w:rFonts w:ascii="Arial" w:cs="Arial" w:eastAsia="Arial" w:hAnsi="Arial"/>
          <w:sz w:val="10"/>
          <w:szCs w:val="10"/>
          <w:color w:val="auto"/>
        </w:rPr>
        <w:t>Lease liabilities are secured on the leased assets. Shell has lease contracts in Integrated Gas and Upstream, principally for floating production storage and offloading units, subsea equipment, power generation, for drilling and ancillary equipment, service vessels, LNG vessels and land and buildings; in Oil Products, principally for tankers, storage capacity and retail sites; in Chemicals, principally for plant pipeline and machinery and in Corporate, principally for land and buildings.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4320" w:type="dxa"/>
            <w:vAlign w:val="bottom"/>
          </w:tcPr>
          <w:p>
            <w:pPr>
              <w:ind w:left="20"/>
              <w:spacing w:after="0"/>
              <w:rPr>
                <w:sz w:val="20"/>
                <w:szCs w:val="20"/>
                <w:color w:val="auto"/>
              </w:rPr>
            </w:pPr>
            <w:r>
              <w:rPr>
                <w:rFonts w:ascii="Arial" w:cs="Arial" w:eastAsia="Arial" w:hAnsi="Arial"/>
                <w:sz w:val="10"/>
                <w:szCs w:val="10"/>
                <w:color w:val="auto"/>
              </w:rPr>
              <w:t>Lease expenses not included in the measurement of lease liability</w:t>
            </w:r>
          </w:p>
        </w:tc>
        <w:tc>
          <w:tcPr>
            <w:tcW w:w="4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0"/>
                <w:szCs w:val="10"/>
                <w:color w:val="auto"/>
              </w:rPr>
              <w:t>$ million</w:t>
            </w:r>
          </w:p>
        </w:tc>
      </w:tr>
      <w:tr>
        <w:trPr>
          <w:trHeight w:val="130"/>
        </w:trPr>
        <w:tc>
          <w:tcPr>
            <w:tcW w:w="4320" w:type="dxa"/>
            <w:vAlign w:val="bottom"/>
            <w:tcBorders>
              <w:bottom w:val="single" w:sz="8" w:color="auto"/>
            </w:tcBorders>
          </w:tcPr>
          <w:p>
            <w:pPr>
              <w:spacing w:after="0"/>
              <w:rPr>
                <w:sz w:val="11"/>
                <w:szCs w:val="11"/>
                <w:color w:val="auto"/>
              </w:rPr>
            </w:pPr>
          </w:p>
        </w:tc>
        <w:tc>
          <w:tcPr>
            <w:tcW w:w="61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2020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20" w:type="dxa"/>
            <w:vAlign w:val="bottom"/>
          </w:tcPr>
          <w:p>
            <w:pPr>
              <w:spacing w:after="0"/>
              <w:rPr>
                <w:sz w:val="11"/>
                <w:szCs w:val="11"/>
                <w:color w:val="auto"/>
              </w:rPr>
            </w:pPr>
          </w:p>
        </w:tc>
      </w:tr>
      <w:tr>
        <w:trPr>
          <w:trHeight w:val="114"/>
        </w:trPr>
        <w:tc>
          <w:tcPr>
            <w:tcW w:w="4320" w:type="dxa"/>
            <w:vAlign w:val="bottom"/>
          </w:tcPr>
          <w:p>
            <w:pPr>
              <w:ind w:left="20"/>
              <w:spacing w:after="0"/>
              <w:rPr>
                <w:sz w:val="20"/>
                <w:szCs w:val="20"/>
                <w:color w:val="auto"/>
              </w:rPr>
            </w:pPr>
            <w:r>
              <w:rPr>
                <w:rFonts w:ascii="Arial" w:cs="Arial" w:eastAsia="Arial" w:hAnsi="Arial"/>
                <w:sz w:val="10"/>
                <w:szCs w:val="10"/>
                <w:color w:val="auto"/>
              </w:rPr>
              <w:t>Expense relating to short-term leases</w:t>
            </w:r>
          </w:p>
        </w:tc>
        <w:tc>
          <w:tcPr>
            <w:tcW w:w="4680" w:type="dxa"/>
            <w:vAlign w:val="bottom"/>
          </w:tcPr>
          <w:p>
            <w:pPr>
              <w:spacing w:after="0"/>
              <w:rPr>
                <w:sz w:val="9"/>
                <w:szCs w:val="9"/>
                <w:color w:val="auto"/>
              </w:rPr>
            </w:pPr>
          </w:p>
        </w:tc>
        <w:tc>
          <w:tcPr>
            <w:tcW w:w="14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1,156</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834</w:t>
            </w:r>
          </w:p>
        </w:tc>
        <w:tc>
          <w:tcPr>
            <w:tcW w:w="20" w:type="dxa"/>
            <w:vAlign w:val="bottom"/>
          </w:tcPr>
          <w:p>
            <w:pPr>
              <w:spacing w:after="0"/>
              <w:rPr>
                <w:sz w:val="9"/>
                <w:szCs w:val="9"/>
                <w:color w:val="auto"/>
              </w:rPr>
            </w:pPr>
          </w:p>
        </w:tc>
      </w:tr>
      <w:tr>
        <w:trPr>
          <w:trHeight w:val="127"/>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Expense relating to variable lease payments not included in the lease liabilities</w:t>
            </w:r>
          </w:p>
        </w:tc>
        <w:tc>
          <w:tcPr>
            <w:tcW w:w="46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1,209</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1,091</w:t>
            </w:r>
          </w:p>
        </w:tc>
        <w:tc>
          <w:tcPr>
            <w:tcW w:w="20" w:type="dxa"/>
            <w:vAlign w:val="bottom"/>
          </w:tcPr>
          <w:p>
            <w:pPr>
              <w:spacing w:after="0"/>
              <w:rPr>
                <w:sz w:val="11"/>
                <w:szCs w:val="11"/>
                <w:color w:val="auto"/>
              </w:rPr>
            </w:pPr>
          </w:p>
        </w:tc>
      </w:tr>
      <w:tr>
        <w:trPr>
          <w:trHeight w:val="318"/>
        </w:trPr>
        <w:tc>
          <w:tcPr>
            <w:tcW w:w="10480" w:type="dxa"/>
            <w:vAlign w:val="bottom"/>
            <w:gridSpan w:val="3"/>
          </w:tcPr>
          <w:p>
            <w:pPr>
              <w:spacing w:after="0"/>
              <w:rPr>
                <w:sz w:val="20"/>
                <w:szCs w:val="20"/>
                <w:color w:val="auto"/>
              </w:rPr>
            </w:pPr>
            <w:r>
              <w:rPr>
                <w:rFonts w:ascii="Arial" w:cs="Arial" w:eastAsia="Arial" w:hAnsi="Arial"/>
                <w:sz w:val="10"/>
                <w:szCs w:val="10"/>
                <w:color w:val="auto"/>
              </w:rPr>
              <w:t>The total cash outflow in respect of leases representing repayment of principal and payment of interest in 2020 was $6,891 million (2019: $7,866 million), recognised in the Consolidated Statement of Cash Flows from financing activities.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4"/>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4680" w:type="dxa"/>
            <w:vAlign w:val="bottom"/>
          </w:tcPr>
          <w:p>
            <w:pPr>
              <w:jc w:val="right"/>
              <w:ind w:right="3318"/>
              <w:spacing w:after="0"/>
              <w:rPr>
                <w:sz w:val="20"/>
                <w:szCs w:val="20"/>
                <w:color w:val="auto"/>
              </w:rPr>
            </w:pPr>
            <w:r>
              <w:rPr>
                <w:rFonts w:ascii="Arial" w:cs="Arial" w:eastAsia="Arial" w:hAnsi="Arial"/>
                <w:sz w:val="7"/>
                <w:szCs w:val="7"/>
                <w:color w:val="auto"/>
              </w:rPr>
              <w:t>190</w:t>
            </w: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4320" w:type="dxa"/>
            <w:vAlign w:val="bottom"/>
            <w:tcBorders>
              <w:bottom w:val="single" w:sz="8" w:color="9A9A9A"/>
            </w:tcBorders>
          </w:tcPr>
          <w:p>
            <w:pPr>
              <w:spacing w:after="0"/>
              <w:rPr>
                <w:sz w:val="12"/>
                <w:szCs w:val="12"/>
                <w:color w:val="auto"/>
              </w:rPr>
            </w:pPr>
          </w:p>
        </w:tc>
        <w:tc>
          <w:tcPr>
            <w:tcW w:w="46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193" w:name="page194"/>
    <w:bookmarkEnd w:id="193"/>
    <w:p>
      <w:pPr>
        <w:ind w:left="8"/>
        <w:spacing w:after="0"/>
        <w:rPr>
          <w:sz w:val="20"/>
          <w:szCs w:val="20"/>
          <w:color w:val="auto"/>
        </w:rPr>
      </w:pPr>
      <w:r>
        <w:rPr>
          <w:rFonts w:ascii="Arial" w:cs="Arial" w:eastAsia="Arial" w:hAnsi="Arial"/>
          <w:sz w:val="10"/>
          <w:szCs w:val="10"/>
          <w:color w:val="auto"/>
        </w:rPr>
        <w:t>The future lease payments under lease contracts and the carrying amounts at December 31, by payment date are as follows:</w:t>
      </w:r>
    </w:p>
    <w:p>
      <w:pPr>
        <w:spacing w:after="0" w:line="6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10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2020</w:t>
            </w:r>
          </w:p>
        </w:tc>
        <w:tc>
          <w:tcPr>
            <w:tcW w:w="3800" w:type="dxa"/>
            <w:vAlign w:val="bottom"/>
            <w:tcBorders>
              <w:top w:val="single" w:sz="8" w:color="D9D9D9"/>
            </w:tcBorders>
          </w:tcPr>
          <w:p>
            <w:pPr>
              <w:spacing w:after="0"/>
              <w:rPr>
                <w:sz w:val="13"/>
                <w:szCs w:val="13"/>
                <w:color w:val="auto"/>
              </w:rPr>
            </w:pPr>
          </w:p>
        </w:tc>
        <w:tc>
          <w:tcPr>
            <w:tcW w:w="800" w:type="dxa"/>
            <w:vAlign w:val="bottom"/>
            <w:tcBorders>
              <w:top w:val="single" w:sz="8" w:color="D9D9D9"/>
            </w:tcBorders>
          </w:tcPr>
          <w:p>
            <w:pPr>
              <w:spacing w:after="0"/>
              <w:rPr>
                <w:sz w:val="13"/>
                <w:szCs w:val="13"/>
                <w:color w:val="auto"/>
              </w:rPr>
            </w:pPr>
          </w:p>
        </w:tc>
        <w:tc>
          <w:tcPr>
            <w:tcW w:w="1420" w:type="dxa"/>
            <w:vAlign w:val="bottom"/>
            <w:tcBorders>
              <w:top w:val="single" w:sz="8" w:color="D9D9D9"/>
            </w:tcBorders>
          </w:tcPr>
          <w:p>
            <w:pPr>
              <w:spacing w:after="0"/>
              <w:rPr>
                <w:sz w:val="13"/>
                <w:szCs w:val="13"/>
                <w:color w:val="auto"/>
              </w:rPr>
            </w:pPr>
          </w:p>
        </w:tc>
        <w:tc>
          <w:tcPr>
            <w:tcW w:w="1180" w:type="dxa"/>
            <w:vAlign w:val="bottom"/>
            <w:tcBorders>
              <w:top w:val="single" w:sz="8" w:color="D9D9D9"/>
            </w:tcBorders>
            <w:gridSpan w:val="2"/>
          </w:tcPr>
          <w:p>
            <w:pPr>
              <w:jc w:val="right"/>
              <w:ind w:right="120"/>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49"/>
        </w:trPr>
        <w:tc>
          <w:tcPr>
            <w:tcW w:w="410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4100" w:type="dxa"/>
            <w:vAlign w:val="bottom"/>
          </w:tcPr>
          <w:p>
            <w:pPr>
              <w:spacing w:after="0"/>
              <w:rPr>
                <w:sz w:val="6"/>
                <w:szCs w:val="6"/>
                <w:color w:val="auto"/>
              </w:rPr>
            </w:pPr>
          </w:p>
        </w:tc>
        <w:tc>
          <w:tcPr>
            <w:tcW w:w="3800" w:type="dxa"/>
            <w:vAlign w:val="bottom"/>
          </w:tcPr>
          <w:p>
            <w:pPr>
              <w:jc w:val="right"/>
              <w:spacing w:after="0" w:line="79" w:lineRule="exact"/>
              <w:rPr>
                <w:sz w:val="20"/>
                <w:szCs w:val="20"/>
                <w:color w:val="auto"/>
              </w:rPr>
            </w:pPr>
            <w:r>
              <w:rPr>
                <w:rFonts w:ascii="Arial" w:cs="Arial" w:eastAsia="Arial" w:hAnsi="Arial"/>
                <w:sz w:val="8"/>
                <w:szCs w:val="8"/>
                <w:color w:val="auto"/>
              </w:rPr>
              <w:t>Contractual</w:t>
            </w:r>
          </w:p>
        </w:tc>
        <w:tc>
          <w:tcPr>
            <w:tcW w:w="800" w:type="dxa"/>
            <w:vAlign w:val="bottom"/>
          </w:tcPr>
          <w:p>
            <w:pPr>
              <w:spacing w:after="0"/>
              <w:rPr>
                <w:sz w:val="6"/>
                <w:szCs w:val="6"/>
                <w:color w:val="auto"/>
              </w:rPr>
            </w:pPr>
          </w:p>
        </w:tc>
        <w:tc>
          <w:tcPr>
            <w:tcW w:w="1420" w:type="dxa"/>
            <w:vAlign w:val="bottom"/>
            <w:vMerge w:val="restart"/>
          </w:tcPr>
          <w:p>
            <w:pPr>
              <w:jc w:val="right"/>
              <w:ind w:right="412"/>
              <w:spacing w:after="0"/>
              <w:rPr>
                <w:sz w:val="20"/>
                <w:szCs w:val="20"/>
                <w:color w:val="auto"/>
              </w:rPr>
            </w:pPr>
            <w:r>
              <w:rPr>
                <w:rFonts w:ascii="Arial" w:cs="Arial" w:eastAsia="Arial" w:hAnsi="Arial"/>
                <w:sz w:val="10"/>
                <w:szCs w:val="10"/>
                <w:color w:val="auto"/>
              </w:rPr>
              <w:t>Interest</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Lease liabilities</w:t>
            </w:r>
          </w:p>
        </w:tc>
        <w:tc>
          <w:tcPr>
            <w:tcW w:w="0" w:type="dxa"/>
            <w:vAlign w:val="bottom"/>
          </w:tcPr>
          <w:p>
            <w:pPr>
              <w:spacing w:after="0"/>
              <w:rPr>
                <w:sz w:val="1"/>
                <w:szCs w:val="1"/>
                <w:color w:val="auto"/>
              </w:rPr>
            </w:pPr>
          </w:p>
        </w:tc>
      </w:tr>
      <w:tr>
        <w:trPr>
          <w:trHeight w:val="124"/>
        </w:trPr>
        <w:tc>
          <w:tcPr>
            <w:tcW w:w="4100" w:type="dxa"/>
            <w:vAlign w:val="bottom"/>
          </w:tcPr>
          <w:p>
            <w:pPr>
              <w:spacing w:after="0"/>
              <w:rPr>
                <w:sz w:val="10"/>
                <w:szCs w:val="10"/>
                <w:color w:val="auto"/>
              </w:rPr>
            </w:pPr>
          </w:p>
        </w:tc>
        <w:tc>
          <w:tcPr>
            <w:tcW w:w="3800" w:type="dxa"/>
            <w:vAlign w:val="bottom"/>
          </w:tcPr>
          <w:p>
            <w:pPr>
              <w:jc w:val="right"/>
              <w:spacing w:after="0"/>
              <w:rPr>
                <w:sz w:val="20"/>
                <w:szCs w:val="20"/>
                <w:color w:val="auto"/>
              </w:rPr>
            </w:pPr>
            <w:r>
              <w:rPr>
                <w:rFonts w:ascii="Arial" w:cs="Arial" w:eastAsia="Arial" w:hAnsi="Arial"/>
                <w:sz w:val="10"/>
                <w:szCs w:val="10"/>
                <w:color w:val="auto"/>
              </w:rPr>
              <w:t>lease payments</w:t>
            </w:r>
          </w:p>
        </w:tc>
        <w:tc>
          <w:tcPr>
            <w:tcW w:w="8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100" w:type="dxa"/>
            <w:vAlign w:val="bottom"/>
            <w:tcBorders>
              <w:top w:val="single" w:sz="8" w:color="auto"/>
            </w:tcBorders>
          </w:tcPr>
          <w:p>
            <w:pPr>
              <w:spacing w:after="0" w:line="113" w:lineRule="exact"/>
              <w:rPr>
                <w:sz w:val="20"/>
                <w:szCs w:val="20"/>
                <w:color w:val="auto"/>
              </w:rPr>
            </w:pPr>
            <w:r>
              <w:rPr>
                <w:rFonts w:ascii="Arial" w:cs="Arial" w:eastAsia="Arial" w:hAnsi="Arial"/>
                <w:sz w:val="10"/>
                <w:szCs w:val="10"/>
                <w:color w:val="auto"/>
              </w:rPr>
              <w:t>Less than 1 year</w:t>
            </w:r>
          </w:p>
        </w:tc>
        <w:tc>
          <w:tcPr>
            <w:tcW w:w="3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6,059</w:t>
            </w:r>
          </w:p>
        </w:tc>
        <w:tc>
          <w:tcPr>
            <w:tcW w:w="80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tcPr>
          <w:p>
            <w:pPr>
              <w:jc w:val="right"/>
              <w:ind w:right="452"/>
              <w:spacing w:after="0" w:line="113" w:lineRule="exact"/>
              <w:rPr>
                <w:sz w:val="20"/>
                <w:szCs w:val="20"/>
                <w:color w:val="auto"/>
              </w:rPr>
            </w:pPr>
            <w:r>
              <w:rPr>
                <w:rFonts w:ascii="Arial" w:cs="Arial" w:eastAsia="Arial" w:hAnsi="Arial"/>
                <w:sz w:val="10"/>
                <w:szCs w:val="10"/>
                <w:color w:val="auto"/>
              </w:rPr>
              <w:t>1,916</w:t>
            </w:r>
          </w:p>
        </w:tc>
        <w:tc>
          <w:tcPr>
            <w:tcW w:w="108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4,143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100" w:type="dxa"/>
            <w:vAlign w:val="bottom"/>
          </w:tcPr>
          <w:p>
            <w:pPr>
              <w:spacing w:after="0"/>
              <w:rPr>
                <w:sz w:val="20"/>
                <w:szCs w:val="20"/>
                <w:color w:val="auto"/>
              </w:rPr>
            </w:pPr>
            <w:r>
              <w:rPr>
                <w:rFonts w:ascii="Arial" w:cs="Arial" w:eastAsia="Arial" w:hAnsi="Arial"/>
                <w:sz w:val="10"/>
                <w:szCs w:val="10"/>
                <w:color w:val="auto"/>
              </w:rPr>
              <w:t>Between 1 and 5 years</w:t>
            </w:r>
          </w:p>
        </w:tc>
        <w:tc>
          <w:tcPr>
            <w:tcW w:w="3800" w:type="dxa"/>
            <w:vAlign w:val="bottom"/>
          </w:tcPr>
          <w:p>
            <w:pPr>
              <w:jc w:val="right"/>
              <w:spacing w:after="0"/>
              <w:rPr>
                <w:sz w:val="20"/>
                <w:szCs w:val="20"/>
                <w:color w:val="auto"/>
              </w:rPr>
            </w:pPr>
            <w:r>
              <w:rPr>
                <w:rFonts w:ascii="Arial" w:cs="Arial" w:eastAsia="Arial" w:hAnsi="Arial"/>
                <w:sz w:val="10"/>
                <w:szCs w:val="10"/>
                <w:color w:val="auto"/>
              </w:rPr>
              <w:t>16,681</w:t>
            </w:r>
          </w:p>
        </w:tc>
        <w:tc>
          <w:tcPr>
            <w:tcW w:w="800" w:type="dxa"/>
            <w:vAlign w:val="bottom"/>
          </w:tcPr>
          <w:p>
            <w:pPr>
              <w:spacing w:after="0"/>
              <w:rPr>
                <w:sz w:val="10"/>
                <w:szCs w:val="10"/>
                <w:color w:val="auto"/>
              </w:rPr>
            </w:pPr>
          </w:p>
        </w:tc>
        <w:tc>
          <w:tcPr>
            <w:tcW w:w="1420" w:type="dxa"/>
            <w:vAlign w:val="bottom"/>
          </w:tcPr>
          <w:p>
            <w:pPr>
              <w:jc w:val="right"/>
              <w:ind w:right="452"/>
              <w:spacing w:after="0"/>
              <w:rPr>
                <w:sz w:val="20"/>
                <w:szCs w:val="20"/>
                <w:color w:val="auto"/>
              </w:rPr>
            </w:pPr>
            <w:r>
              <w:rPr>
                <w:rFonts w:ascii="Arial" w:cs="Arial" w:eastAsia="Arial" w:hAnsi="Arial"/>
                <w:sz w:val="10"/>
                <w:szCs w:val="10"/>
                <w:color w:val="auto"/>
              </w:rPr>
              <w:t>5,617</w:t>
            </w:r>
          </w:p>
        </w:tc>
        <w:tc>
          <w:tcPr>
            <w:tcW w:w="1080" w:type="dxa"/>
            <w:vAlign w:val="bottom"/>
          </w:tcPr>
          <w:p>
            <w:pPr>
              <w:jc w:val="right"/>
              <w:spacing w:after="0"/>
              <w:rPr>
                <w:sz w:val="20"/>
                <w:szCs w:val="20"/>
                <w:color w:val="auto"/>
              </w:rPr>
            </w:pPr>
            <w:r>
              <w:rPr>
                <w:rFonts w:ascii="Arial" w:cs="Arial" w:eastAsia="Arial" w:hAnsi="Arial"/>
                <w:sz w:val="10"/>
                <w:szCs w:val="10"/>
                <w:color w:val="auto"/>
              </w:rPr>
              <w:t>11,064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1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5 years and later</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19,999</w:t>
            </w:r>
          </w:p>
        </w:tc>
        <w:tc>
          <w:tcPr>
            <w:tcW w:w="8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6,786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13,213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1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42,739</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w:t>
            </w:r>
          </w:p>
        </w:tc>
        <w:tc>
          <w:tcPr>
            <w:tcW w:w="14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14,319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28,420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8" w:right="60" w:hanging="8"/>
        <w:spacing w:after="0" w:line="270" w:lineRule="auto"/>
        <w:tabs>
          <w:tab w:leader="none" w:pos="126" w:val="left"/>
        </w:tabs>
        <w:numPr>
          <w:ilvl w:val="0"/>
          <w:numId w:val="177"/>
        </w:numPr>
        <w:rPr>
          <w:rFonts w:ascii="Arial" w:cs="Arial" w:eastAsia="Arial" w:hAnsi="Arial"/>
          <w:sz w:val="7"/>
          <w:szCs w:val="7"/>
          <w:color w:val="auto"/>
        </w:rPr>
      </w:pPr>
      <w:r>
        <w:rPr>
          <w:rFonts w:ascii="Arial" w:cs="Arial" w:eastAsia="Arial" w:hAnsi="Arial"/>
          <w:sz w:val="7"/>
          <w:szCs w:val="7"/>
          <w:color w:val="auto"/>
        </w:rPr>
        <w:t>Future cash outflows in respect of leases may differ from lease liabilities recognised due to future decisions that may be taken by Shell in respect of the use of leased assets. These decisions may result in variable lease payments being made. In addition, Shell may reconsider whether it will exercise extension options or termination options, where future reconsideration is not reflected in the lease liabilities. There is no exposure to these potential additional payments in excess of the recognised lease liabilities until these decisions have been taken by Shell.</w:t>
      </w:r>
    </w:p>
    <w:p>
      <w:pPr>
        <w:spacing w:after="0" w:line="14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22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2019</w:t>
            </w:r>
          </w:p>
        </w:tc>
        <w:tc>
          <w:tcPr>
            <w:tcW w:w="4940" w:type="dxa"/>
            <w:vAlign w:val="bottom"/>
            <w:tcBorders>
              <w:top w:val="single" w:sz="8" w:color="D9D9D9"/>
            </w:tcBorders>
          </w:tcPr>
          <w:p>
            <w:pPr>
              <w:spacing w:after="0"/>
              <w:rPr>
                <w:sz w:val="13"/>
                <w:szCs w:val="13"/>
                <w:color w:val="auto"/>
              </w:rPr>
            </w:pPr>
          </w:p>
        </w:tc>
        <w:tc>
          <w:tcPr>
            <w:tcW w:w="1160" w:type="dxa"/>
            <w:vAlign w:val="bottom"/>
            <w:tcBorders>
              <w:top w:val="single" w:sz="8" w:color="D9D9D9"/>
            </w:tcBorders>
          </w:tcPr>
          <w:p>
            <w:pPr>
              <w:spacing w:after="0"/>
              <w:rPr>
                <w:sz w:val="13"/>
                <w:szCs w:val="13"/>
                <w:color w:val="auto"/>
              </w:rPr>
            </w:pPr>
          </w:p>
        </w:tc>
        <w:tc>
          <w:tcPr>
            <w:tcW w:w="98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r>
      <w:tr>
        <w:trPr>
          <w:trHeight w:val="149"/>
        </w:trPr>
        <w:tc>
          <w:tcPr>
            <w:tcW w:w="4220" w:type="dxa"/>
            <w:vAlign w:val="bottom"/>
            <w:tcBorders>
              <w:bottom w:val="single" w:sz="8" w:color="auto"/>
            </w:tcBorders>
          </w:tcPr>
          <w:p>
            <w:pPr>
              <w:spacing w:after="0"/>
              <w:rPr>
                <w:sz w:val="12"/>
                <w:szCs w:val="12"/>
                <w:color w:val="auto"/>
              </w:rPr>
            </w:pPr>
          </w:p>
        </w:tc>
        <w:tc>
          <w:tcPr>
            <w:tcW w:w="49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113"/>
        </w:trPr>
        <w:tc>
          <w:tcPr>
            <w:tcW w:w="42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jc w:val="right"/>
              <w:ind w:right="472"/>
              <w:spacing w:after="0" w:line="113" w:lineRule="exact"/>
              <w:rPr>
                <w:sz w:val="20"/>
                <w:szCs w:val="20"/>
                <w:color w:val="auto"/>
              </w:rPr>
            </w:pPr>
            <w:r>
              <w:rPr>
                <w:rFonts w:ascii="Arial" w:cs="Arial" w:eastAsia="Arial" w:hAnsi="Arial"/>
                <w:sz w:val="10"/>
                <w:szCs w:val="10"/>
                <w:color w:val="auto"/>
              </w:rPr>
              <w:t>Contractual lease payments</w:t>
            </w:r>
          </w:p>
        </w:tc>
        <w:tc>
          <w:tcPr>
            <w:tcW w:w="1160" w:type="dxa"/>
            <w:vAlign w:val="bottom"/>
            <w:tcBorders>
              <w:bottom w:val="single" w:sz="8" w:color="auto"/>
            </w:tcBorders>
          </w:tcPr>
          <w:p>
            <w:pPr>
              <w:jc w:val="right"/>
              <w:ind w:right="312"/>
              <w:spacing w:after="0" w:line="113" w:lineRule="exact"/>
              <w:rPr>
                <w:sz w:val="20"/>
                <w:szCs w:val="20"/>
                <w:color w:val="auto"/>
              </w:rPr>
            </w:pPr>
            <w:r>
              <w:rPr>
                <w:rFonts w:ascii="Arial" w:cs="Arial" w:eastAsia="Arial" w:hAnsi="Arial"/>
                <w:sz w:val="10"/>
                <w:szCs w:val="10"/>
                <w:color w:val="auto"/>
              </w:rPr>
              <w:t>Interest</w:t>
            </w:r>
          </w:p>
        </w:tc>
        <w:tc>
          <w:tcPr>
            <w:tcW w:w="9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Lease liabilities</w:t>
            </w:r>
          </w:p>
        </w:tc>
      </w:tr>
      <w:tr>
        <w:trPr>
          <w:trHeight w:val="113"/>
        </w:trPr>
        <w:tc>
          <w:tcPr>
            <w:tcW w:w="4220" w:type="dxa"/>
            <w:vAlign w:val="bottom"/>
          </w:tcPr>
          <w:p>
            <w:pPr>
              <w:spacing w:after="0" w:line="113" w:lineRule="exact"/>
              <w:rPr>
                <w:sz w:val="20"/>
                <w:szCs w:val="20"/>
                <w:color w:val="auto"/>
              </w:rPr>
            </w:pPr>
            <w:r>
              <w:rPr>
                <w:rFonts w:ascii="Arial" w:cs="Arial" w:eastAsia="Arial" w:hAnsi="Arial"/>
                <w:sz w:val="10"/>
                <w:szCs w:val="10"/>
                <w:color w:val="auto"/>
              </w:rPr>
              <w:t>Less than 1 year</w:t>
            </w:r>
          </w:p>
        </w:tc>
        <w:tc>
          <w:tcPr>
            <w:tcW w:w="4940" w:type="dxa"/>
            <w:vAlign w:val="bottom"/>
          </w:tcPr>
          <w:p>
            <w:pPr>
              <w:jc w:val="right"/>
              <w:ind w:right="512"/>
              <w:spacing w:after="0" w:line="113" w:lineRule="exact"/>
              <w:rPr>
                <w:sz w:val="20"/>
                <w:szCs w:val="20"/>
                <w:color w:val="auto"/>
              </w:rPr>
            </w:pPr>
            <w:r>
              <w:rPr>
                <w:rFonts w:ascii="Arial" w:cs="Arial" w:eastAsia="Arial" w:hAnsi="Arial"/>
                <w:sz w:val="10"/>
                <w:szCs w:val="10"/>
                <w:color w:val="auto"/>
              </w:rPr>
              <w:t>7,337</w:t>
            </w:r>
          </w:p>
        </w:tc>
        <w:tc>
          <w:tcPr>
            <w:tcW w:w="1160" w:type="dxa"/>
            <w:vAlign w:val="bottom"/>
          </w:tcPr>
          <w:p>
            <w:pPr>
              <w:jc w:val="right"/>
              <w:ind w:right="332"/>
              <w:spacing w:after="0" w:line="113" w:lineRule="exact"/>
              <w:rPr>
                <w:sz w:val="20"/>
                <w:szCs w:val="20"/>
                <w:color w:val="auto"/>
              </w:rPr>
            </w:pPr>
            <w:r>
              <w:rPr>
                <w:rFonts w:ascii="Arial" w:cs="Arial" w:eastAsia="Arial" w:hAnsi="Arial"/>
                <w:sz w:val="10"/>
                <w:szCs w:val="10"/>
                <w:color w:val="auto"/>
              </w:rPr>
              <w:t>2,381</w:t>
            </w:r>
          </w:p>
        </w:tc>
        <w:tc>
          <w:tcPr>
            <w:tcW w:w="980" w:type="dxa"/>
            <w:vAlign w:val="bottom"/>
          </w:tcPr>
          <w:p>
            <w:pPr>
              <w:jc w:val="right"/>
              <w:spacing w:after="0" w:line="113" w:lineRule="exact"/>
              <w:rPr>
                <w:sz w:val="20"/>
                <w:szCs w:val="20"/>
                <w:color w:val="auto"/>
              </w:rPr>
            </w:pPr>
            <w:r>
              <w:rPr>
                <w:rFonts w:ascii="Arial" w:cs="Arial" w:eastAsia="Arial" w:hAnsi="Arial"/>
                <w:sz w:val="10"/>
                <w:szCs w:val="10"/>
                <w:color w:val="auto"/>
              </w:rPr>
              <w:t>4,956</w:t>
            </w:r>
          </w:p>
        </w:tc>
      </w:tr>
      <w:tr>
        <w:trPr>
          <w:trHeight w:val="123"/>
        </w:trPr>
        <w:tc>
          <w:tcPr>
            <w:tcW w:w="4220" w:type="dxa"/>
            <w:vAlign w:val="bottom"/>
          </w:tcPr>
          <w:p>
            <w:pPr>
              <w:spacing w:after="0"/>
              <w:rPr>
                <w:sz w:val="20"/>
                <w:szCs w:val="20"/>
                <w:color w:val="auto"/>
              </w:rPr>
            </w:pPr>
            <w:r>
              <w:rPr>
                <w:rFonts w:ascii="Arial" w:cs="Arial" w:eastAsia="Arial" w:hAnsi="Arial"/>
                <w:sz w:val="10"/>
                <w:szCs w:val="10"/>
                <w:color w:val="auto"/>
              </w:rPr>
              <w:t>Between 1 and 5 years</w:t>
            </w:r>
          </w:p>
        </w:tc>
        <w:tc>
          <w:tcPr>
            <w:tcW w:w="4940" w:type="dxa"/>
            <w:vAlign w:val="bottom"/>
          </w:tcPr>
          <w:p>
            <w:pPr>
              <w:jc w:val="right"/>
              <w:ind w:right="512"/>
              <w:spacing w:after="0"/>
              <w:rPr>
                <w:sz w:val="20"/>
                <w:szCs w:val="20"/>
                <w:color w:val="auto"/>
              </w:rPr>
            </w:pPr>
            <w:r>
              <w:rPr>
                <w:rFonts w:ascii="Arial" w:cs="Arial" w:eastAsia="Arial" w:hAnsi="Arial"/>
                <w:sz w:val="10"/>
                <w:szCs w:val="10"/>
                <w:color w:val="auto"/>
              </w:rPr>
              <w:t>17,435</w:t>
            </w:r>
          </w:p>
        </w:tc>
        <w:tc>
          <w:tcPr>
            <w:tcW w:w="1160" w:type="dxa"/>
            <w:vAlign w:val="bottom"/>
          </w:tcPr>
          <w:p>
            <w:pPr>
              <w:jc w:val="right"/>
              <w:ind w:right="332"/>
              <w:spacing w:after="0"/>
              <w:rPr>
                <w:sz w:val="20"/>
                <w:szCs w:val="20"/>
                <w:color w:val="auto"/>
              </w:rPr>
            </w:pPr>
            <w:r>
              <w:rPr>
                <w:rFonts w:ascii="Arial" w:cs="Arial" w:eastAsia="Arial" w:hAnsi="Arial"/>
                <w:sz w:val="10"/>
                <w:szCs w:val="10"/>
                <w:color w:val="auto"/>
              </w:rPr>
              <w:t>6,141</w:t>
            </w:r>
          </w:p>
        </w:tc>
        <w:tc>
          <w:tcPr>
            <w:tcW w:w="980" w:type="dxa"/>
            <w:vAlign w:val="bottom"/>
          </w:tcPr>
          <w:p>
            <w:pPr>
              <w:jc w:val="right"/>
              <w:spacing w:after="0"/>
              <w:rPr>
                <w:sz w:val="20"/>
                <w:szCs w:val="20"/>
                <w:color w:val="auto"/>
              </w:rPr>
            </w:pPr>
            <w:r>
              <w:rPr>
                <w:rFonts w:ascii="Arial" w:cs="Arial" w:eastAsia="Arial" w:hAnsi="Arial"/>
                <w:sz w:val="10"/>
                <w:szCs w:val="10"/>
                <w:color w:val="auto"/>
              </w:rPr>
              <w:t>11,294</w:t>
            </w:r>
          </w:p>
        </w:tc>
      </w:tr>
      <w:tr>
        <w:trPr>
          <w:trHeight w:val="130"/>
        </w:trPr>
        <w:tc>
          <w:tcPr>
            <w:tcW w:w="42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5 years and later</w:t>
            </w:r>
          </w:p>
        </w:tc>
        <w:tc>
          <w:tcPr>
            <w:tcW w:w="49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21,340</w:t>
            </w: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7,053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14,287</w:t>
            </w:r>
          </w:p>
        </w:tc>
      </w:tr>
      <w:tr>
        <w:trPr>
          <w:trHeight w:val="117"/>
        </w:trPr>
        <w:tc>
          <w:tcPr>
            <w:tcW w:w="42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49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46,112</w:t>
            </w: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15,575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30,537</w:t>
            </w:r>
          </w:p>
        </w:tc>
      </w:tr>
    </w:tbl>
    <w:p>
      <w:pPr>
        <w:spacing w:after="0" w:line="319" w:lineRule="exact"/>
        <w:rPr>
          <w:sz w:val="20"/>
          <w:szCs w:val="20"/>
          <w:color w:val="auto"/>
        </w:rPr>
      </w:pPr>
    </w:p>
    <w:p>
      <w:pPr>
        <w:ind w:left="8"/>
        <w:spacing w:after="0"/>
        <w:rPr>
          <w:sz w:val="20"/>
          <w:szCs w:val="20"/>
          <w:color w:val="auto"/>
        </w:rPr>
      </w:pPr>
      <w:r>
        <w:rPr>
          <w:rFonts w:ascii="Arial" w:cs="Arial" w:eastAsia="Arial" w:hAnsi="Arial"/>
          <w:sz w:val="11"/>
          <w:szCs w:val="11"/>
          <w:color w:val="auto"/>
        </w:rPr>
        <w:t>15 – TRADE AND OTHER PAYABLES</w:t>
      </w:r>
    </w:p>
    <w:p>
      <w:pPr>
        <w:spacing w:after="0" w:line="6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880" w:type="dxa"/>
            <w:vAlign w:val="bottom"/>
            <w:tcBorders>
              <w:top w:val="single" w:sz="8" w:color="CDCDCD"/>
            </w:tcBorders>
          </w:tcPr>
          <w:p>
            <w:pPr>
              <w:spacing w:after="0"/>
              <w:rPr>
                <w:sz w:val="13"/>
                <w:szCs w:val="13"/>
                <w:color w:val="auto"/>
              </w:rPr>
            </w:pPr>
          </w:p>
        </w:tc>
        <w:tc>
          <w:tcPr>
            <w:tcW w:w="110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spacing w:after="0"/>
              <w:rPr>
                <w:sz w:val="13"/>
                <w:szCs w:val="13"/>
                <w:color w:val="auto"/>
              </w:rPr>
            </w:pPr>
          </w:p>
        </w:tc>
        <w:tc>
          <w:tcPr>
            <w:tcW w:w="320" w:type="dxa"/>
            <w:vAlign w:val="bottom"/>
            <w:tcBorders>
              <w:top w:val="single" w:sz="8" w:color="CDCDCD"/>
            </w:tcBorders>
          </w:tcPr>
          <w:p>
            <w:pPr>
              <w:spacing w:after="0"/>
              <w:rPr>
                <w:sz w:val="13"/>
                <w:szCs w:val="13"/>
                <w:color w:val="auto"/>
              </w:rPr>
            </w:pPr>
          </w:p>
        </w:tc>
        <w:tc>
          <w:tcPr>
            <w:tcW w:w="1020" w:type="dxa"/>
            <w:vAlign w:val="bottom"/>
            <w:tcBorders>
              <w:top w:val="single" w:sz="8" w:color="CDCDCD"/>
            </w:tcBorders>
          </w:tcPr>
          <w:p>
            <w:pPr>
              <w:spacing w:after="0"/>
              <w:rPr>
                <w:sz w:val="13"/>
                <w:szCs w:val="13"/>
                <w:color w:val="auto"/>
              </w:rPr>
            </w:pPr>
          </w:p>
        </w:tc>
        <w:tc>
          <w:tcPr>
            <w:tcW w:w="200" w:type="dxa"/>
            <w:vAlign w:val="bottom"/>
            <w:tcBorders>
              <w:top w:val="single" w:sz="8" w:color="CDCDCD"/>
            </w:tcBorders>
          </w:tcPr>
          <w:p>
            <w:pPr>
              <w:spacing w:after="0"/>
              <w:rPr>
                <w:sz w:val="13"/>
                <w:szCs w:val="13"/>
                <w:color w:val="auto"/>
              </w:rPr>
            </w:pPr>
          </w:p>
        </w:tc>
        <w:tc>
          <w:tcPr>
            <w:tcW w:w="1560" w:type="dxa"/>
            <w:vAlign w:val="bottom"/>
            <w:tcBorders>
              <w:top w:val="single" w:sz="8" w:color="CDCDCD"/>
            </w:tcBorders>
          </w:tcPr>
          <w:p>
            <w:pPr>
              <w:spacing w:after="0"/>
              <w:rPr>
                <w:sz w:val="13"/>
                <w:szCs w:val="13"/>
                <w:color w:val="auto"/>
              </w:rPr>
            </w:pPr>
          </w:p>
        </w:tc>
        <w:tc>
          <w:tcPr>
            <w:tcW w:w="88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20" w:type="dxa"/>
            <w:vAlign w:val="bottom"/>
          </w:tcPr>
          <w:p>
            <w:pPr>
              <w:spacing w:after="0"/>
              <w:rPr>
                <w:sz w:val="13"/>
                <w:szCs w:val="13"/>
                <w:color w:val="auto"/>
              </w:rPr>
            </w:pPr>
          </w:p>
        </w:tc>
      </w:tr>
      <w:tr>
        <w:trPr>
          <w:trHeight w:val="127"/>
        </w:trPr>
        <w:tc>
          <w:tcPr>
            <w:tcW w:w="4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0"/>
                <w:szCs w:val="10"/>
                <w:color w:val="auto"/>
              </w:rPr>
              <w:t>Dec 31, 2020</w:t>
            </w:r>
          </w:p>
        </w:tc>
        <w:tc>
          <w:tcPr>
            <w:tcW w:w="1560" w:type="dxa"/>
            <w:vAlign w:val="bottom"/>
          </w:tcPr>
          <w:p>
            <w:pPr>
              <w:spacing w:after="0"/>
              <w:rPr>
                <w:sz w:val="11"/>
                <w:szCs w:val="1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0"/>
                <w:szCs w:val="10"/>
                <w:color w:val="auto"/>
              </w:rPr>
              <w:t>Dec 31, 2019</w:t>
            </w:r>
          </w:p>
        </w:tc>
      </w:tr>
      <w:tr>
        <w:trPr>
          <w:trHeight w:val="117"/>
        </w:trPr>
        <w:tc>
          <w:tcPr>
            <w:tcW w:w="4880" w:type="dxa"/>
            <w:vAlign w:val="bottom"/>
            <w:tcBorders>
              <w:top w:val="single" w:sz="8" w:color="auto"/>
              <w:bottom w:val="single" w:sz="8" w:color="auto"/>
            </w:tcBorders>
          </w:tcPr>
          <w:p>
            <w:pPr>
              <w:spacing w:after="0"/>
              <w:rPr>
                <w:sz w:val="10"/>
                <w:szCs w:val="10"/>
                <w:color w:val="auto"/>
              </w:rPr>
            </w:pPr>
          </w:p>
        </w:tc>
        <w:tc>
          <w:tcPr>
            <w:tcW w:w="1100" w:type="dxa"/>
            <w:vAlign w:val="bottom"/>
            <w:tcBorders>
              <w:top w:val="single" w:sz="8" w:color="auto"/>
              <w:bottom w:val="single" w:sz="8" w:color="auto"/>
            </w:tcBorders>
          </w:tcPr>
          <w:p>
            <w:pPr>
              <w:spacing w:after="0"/>
              <w:rPr>
                <w:sz w:val="10"/>
                <w:szCs w:val="1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Current</w:t>
            </w:r>
          </w:p>
        </w:tc>
        <w:tc>
          <w:tcPr>
            <w:tcW w:w="320" w:type="dxa"/>
            <w:vAlign w:val="bottom"/>
            <w:tcBorders>
              <w:top w:val="single" w:sz="8" w:color="auto"/>
              <w:bottom w:val="single" w:sz="8" w:color="auto"/>
            </w:tcBorders>
          </w:tcPr>
          <w:p>
            <w:pPr>
              <w:spacing w:after="0"/>
              <w:rPr>
                <w:sz w:val="10"/>
                <w:szCs w:val="10"/>
                <w:color w:val="auto"/>
              </w:rPr>
            </w:pPr>
          </w:p>
        </w:tc>
        <w:tc>
          <w:tcPr>
            <w:tcW w:w="122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Non-current</w:t>
            </w:r>
          </w:p>
        </w:tc>
        <w:tc>
          <w:tcPr>
            <w:tcW w:w="15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0"/>
                <w:szCs w:val="10"/>
                <w:color w:val="auto"/>
              </w:rPr>
              <w:t>Current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Non-current</w:t>
            </w:r>
          </w:p>
        </w:tc>
        <w:tc>
          <w:tcPr>
            <w:tcW w:w="20" w:type="dxa"/>
            <w:vAlign w:val="bottom"/>
          </w:tcPr>
          <w:p>
            <w:pPr>
              <w:spacing w:after="0"/>
              <w:rPr>
                <w:sz w:val="10"/>
                <w:szCs w:val="10"/>
                <w:color w:val="auto"/>
              </w:rPr>
            </w:pPr>
          </w:p>
        </w:tc>
      </w:tr>
      <w:tr>
        <w:trPr>
          <w:trHeight w:val="113"/>
        </w:trPr>
        <w:tc>
          <w:tcPr>
            <w:tcW w:w="4880" w:type="dxa"/>
            <w:vAlign w:val="bottom"/>
          </w:tcPr>
          <w:p>
            <w:pPr>
              <w:spacing w:after="0" w:line="113" w:lineRule="exact"/>
              <w:rPr>
                <w:sz w:val="20"/>
                <w:szCs w:val="20"/>
                <w:color w:val="auto"/>
              </w:rPr>
            </w:pPr>
            <w:r>
              <w:rPr>
                <w:rFonts w:ascii="Arial" w:cs="Arial" w:eastAsia="Arial" w:hAnsi="Arial"/>
                <w:sz w:val="10"/>
                <w:szCs w:val="10"/>
                <w:color w:val="auto"/>
              </w:rPr>
              <w:t>Trade payables</w:t>
            </w:r>
          </w:p>
        </w:tc>
        <w:tc>
          <w:tcPr>
            <w:tcW w:w="1100" w:type="dxa"/>
            <w:vAlign w:val="bottom"/>
          </w:tcPr>
          <w:p>
            <w:pPr>
              <w:spacing w:after="0"/>
              <w:rPr>
                <w:sz w:val="9"/>
                <w:szCs w:val="9"/>
                <w:color w:val="auto"/>
              </w:rPr>
            </w:pPr>
          </w:p>
        </w:tc>
        <w:tc>
          <w:tcPr>
            <w:tcW w:w="1320" w:type="dxa"/>
            <w:vAlign w:val="bottom"/>
            <w:shd w:val="clear" w:color="auto" w:fill="D9D9D9"/>
          </w:tcPr>
          <w:p>
            <w:pPr>
              <w:jc w:val="right"/>
              <w:spacing w:after="0" w:line="113" w:lineRule="exact"/>
              <w:rPr>
                <w:sz w:val="20"/>
                <w:szCs w:val="20"/>
                <w:color w:val="auto"/>
              </w:rPr>
            </w:pPr>
            <w:r>
              <w:rPr>
                <w:rFonts w:ascii="Arial" w:cs="Arial" w:eastAsia="Arial" w:hAnsi="Arial"/>
                <w:sz w:val="10"/>
                <w:szCs w:val="10"/>
                <w:color w:val="auto"/>
              </w:rPr>
              <w:t>22,664</w:t>
            </w:r>
          </w:p>
        </w:tc>
        <w:tc>
          <w:tcPr>
            <w:tcW w:w="320" w:type="dxa"/>
            <w:vAlign w:val="bottom"/>
            <w:shd w:val="clear" w:color="auto" w:fill="D9D9D9"/>
          </w:tcPr>
          <w:p>
            <w:pPr>
              <w:spacing w:after="0"/>
              <w:rPr>
                <w:sz w:val="9"/>
                <w:szCs w:val="9"/>
                <w:color w:val="auto"/>
              </w:rPr>
            </w:pPr>
          </w:p>
        </w:tc>
        <w:tc>
          <w:tcPr>
            <w:tcW w:w="1020" w:type="dxa"/>
            <w:vAlign w:val="bottom"/>
            <w:shd w:val="clear" w:color="auto" w:fill="D9D9D9"/>
          </w:tcPr>
          <w:p>
            <w:pPr>
              <w:jc w:val="right"/>
              <w:spacing w:after="0" w:line="113"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560" w:type="dxa"/>
            <w:vAlign w:val="bottom"/>
          </w:tcPr>
          <w:p>
            <w:pPr>
              <w:jc w:val="right"/>
              <w:ind w:right="432"/>
              <w:spacing w:after="0" w:line="113" w:lineRule="exact"/>
              <w:rPr>
                <w:sz w:val="20"/>
                <w:szCs w:val="20"/>
                <w:color w:val="auto"/>
              </w:rPr>
            </w:pPr>
            <w:r>
              <w:rPr>
                <w:rFonts w:ascii="Arial" w:cs="Arial" w:eastAsia="Arial" w:hAnsi="Arial"/>
                <w:sz w:val="10"/>
                <w:szCs w:val="10"/>
                <w:color w:val="auto"/>
              </w:rPr>
              <w:t>29,497</w:t>
            </w:r>
          </w:p>
        </w:tc>
        <w:tc>
          <w:tcPr>
            <w:tcW w:w="8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23"/>
        </w:trPr>
        <w:tc>
          <w:tcPr>
            <w:tcW w:w="4880" w:type="dxa"/>
            <w:vAlign w:val="bottom"/>
          </w:tcPr>
          <w:p>
            <w:pPr>
              <w:spacing w:after="0"/>
              <w:rPr>
                <w:sz w:val="20"/>
                <w:szCs w:val="20"/>
                <w:color w:val="auto"/>
              </w:rPr>
            </w:pPr>
            <w:r>
              <w:rPr>
                <w:rFonts w:ascii="Arial" w:cs="Arial" w:eastAsia="Arial" w:hAnsi="Arial"/>
                <w:sz w:val="10"/>
                <w:szCs w:val="10"/>
                <w:color w:val="auto"/>
              </w:rPr>
              <w:t>Other payables [A]</w:t>
            </w:r>
          </w:p>
        </w:tc>
        <w:tc>
          <w:tcPr>
            <w:tcW w:w="1100" w:type="dxa"/>
            <w:vAlign w:val="bottom"/>
          </w:tcPr>
          <w:p>
            <w:pPr>
              <w:spacing w:after="0"/>
              <w:rPr>
                <w:sz w:val="10"/>
                <w:szCs w:val="10"/>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6,941</w:t>
            </w:r>
          </w:p>
        </w:tc>
        <w:tc>
          <w:tcPr>
            <w:tcW w:w="1340" w:type="dxa"/>
            <w:vAlign w:val="bottom"/>
            <w:gridSpan w:val="2"/>
            <w:shd w:val="clear" w:color="auto" w:fill="D9D9D9"/>
          </w:tcPr>
          <w:p>
            <w:pPr>
              <w:jc w:val="right"/>
              <w:spacing w:after="0"/>
              <w:rPr>
                <w:sz w:val="20"/>
                <w:szCs w:val="20"/>
                <w:color w:val="auto"/>
              </w:rPr>
            </w:pPr>
            <w:r>
              <w:rPr>
                <w:rFonts w:ascii="Arial" w:cs="Arial" w:eastAsia="Arial" w:hAnsi="Arial"/>
                <w:sz w:val="10"/>
                <w:szCs w:val="10"/>
                <w:color w:val="auto"/>
              </w:rPr>
              <w:t>1,843</w:t>
            </w:r>
          </w:p>
        </w:tc>
        <w:tc>
          <w:tcPr>
            <w:tcW w:w="200" w:type="dxa"/>
            <w:vAlign w:val="bottom"/>
          </w:tcPr>
          <w:p>
            <w:pPr>
              <w:spacing w:after="0"/>
              <w:rPr>
                <w:sz w:val="10"/>
                <w:szCs w:val="10"/>
                <w:color w:val="auto"/>
              </w:rPr>
            </w:pPr>
          </w:p>
        </w:tc>
        <w:tc>
          <w:tcPr>
            <w:tcW w:w="1560" w:type="dxa"/>
            <w:vAlign w:val="bottom"/>
          </w:tcPr>
          <w:p>
            <w:pPr>
              <w:jc w:val="right"/>
              <w:ind w:right="432"/>
              <w:spacing w:after="0"/>
              <w:rPr>
                <w:sz w:val="20"/>
                <w:szCs w:val="20"/>
                <w:color w:val="auto"/>
              </w:rPr>
            </w:pPr>
            <w:r>
              <w:rPr>
                <w:rFonts w:ascii="Arial" w:cs="Arial" w:eastAsia="Arial" w:hAnsi="Arial"/>
                <w:sz w:val="10"/>
                <w:szCs w:val="10"/>
                <w:color w:val="auto"/>
              </w:rPr>
              <w:t>6,356</w:t>
            </w:r>
          </w:p>
        </w:tc>
        <w:tc>
          <w:tcPr>
            <w:tcW w:w="880" w:type="dxa"/>
            <w:vAlign w:val="bottom"/>
          </w:tcPr>
          <w:p>
            <w:pPr>
              <w:jc w:val="right"/>
              <w:spacing w:after="0"/>
              <w:rPr>
                <w:sz w:val="20"/>
                <w:szCs w:val="20"/>
                <w:color w:val="auto"/>
              </w:rPr>
            </w:pPr>
            <w:r>
              <w:rPr>
                <w:rFonts w:ascii="Arial" w:cs="Arial" w:eastAsia="Arial" w:hAnsi="Arial"/>
                <w:sz w:val="10"/>
                <w:szCs w:val="10"/>
                <w:color w:val="auto"/>
              </w:rPr>
              <w:t>2,060</w:t>
            </w:r>
          </w:p>
        </w:tc>
        <w:tc>
          <w:tcPr>
            <w:tcW w:w="20" w:type="dxa"/>
            <w:vAlign w:val="bottom"/>
          </w:tcPr>
          <w:p>
            <w:pPr>
              <w:spacing w:after="0"/>
              <w:rPr>
                <w:sz w:val="10"/>
                <w:szCs w:val="10"/>
                <w:color w:val="auto"/>
              </w:rPr>
            </w:pPr>
          </w:p>
        </w:tc>
      </w:tr>
      <w:tr>
        <w:trPr>
          <w:trHeight w:val="126"/>
        </w:trPr>
        <w:tc>
          <w:tcPr>
            <w:tcW w:w="4880" w:type="dxa"/>
            <w:vAlign w:val="bottom"/>
          </w:tcPr>
          <w:p>
            <w:pPr>
              <w:spacing w:after="0"/>
              <w:rPr>
                <w:sz w:val="20"/>
                <w:szCs w:val="20"/>
                <w:color w:val="auto"/>
              </w:rPr>
            </w:pPr>
            <w:r>
              <w:rPr>
                <w:rFonts w:ascii="Arial" w:cs="Arial" w:eastAsia="Arial" w:hAnsi="Arial"/>
                <w:sz w:val="10"/>
                <w:szCs w:val="10"/>
                <w:color w:val="auto"/>
              </w:rPr>
              <w:t>Amounts due to joint ventures and associates</w:t>
            </w:r>
          </w:p>
        </w:tc>
        <w:tc>
          <w:tcPr>
            <w:tcW w:w="1100" w:type="dxa"/>
            <w:vAlign w:val="bottom"/>
          </w:tcPr>
          <w:p>
            <w:pPr>
              <w:spacing w:after="0"/>
              <w:rPr>
                <w:sz w:val="10"/>
                <w:szCs w:val="10"/>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3,281</w:t>
            </w:r>
          </w:p>
        </w:tc>
        <w:tc>
          <w:tcPr>
            <w:tcW w:w="1340" w:type="dxa"/>
            <w:vAlign w:val="bottom"/>
            <w:gridSpan w:val="2"/>
            <w:shd w:val="clear" w:color="auto" w:fill="D9D9D9"/>
          </w:tcPr>
          <w:p>
            <w:pPr>
              <w:jc w:val="right"/>
              <w:spacing w:after="0"/>
              <w:rPr>
                <w:sz w:val="20"/>
                <w:szCs w:val="20"/>
                <w:color w:val="auto"/>
              </w:rPr>
            </w:pPr>
            <w:r>
              <w:rPr>
                <w:rFonts w:ascii="Arial" w:cs="Arial" w:eastAsia="Arial" w:hAnsi="Arial"/>
                <w:sz w:val="10"/>
                <w:szCs w:val="10"/>
                <w:color w:val="auto"/>
              </w:rPr>
              <w:t>39</w:t>
            </w:r>
          </w:p>
        </w:tc>
        <w:tc>
          <w:tcPr>
            <w:tcW w:w="200" w:type="dxa"/>
            <w:vAlign w:val="bottom"/>
          </w:tcPr>
          <w:p>
            <w:pPr>
              <w:spacing w:after="0"/>
              <w:rPr>
                <w:sz w:val="10"/>
                <w:szCs w:val="10"/>
                <w:color w:val="auto"/>
              </w:rPr>
            </w:pPr>
          </w:p>
        </w:tc>
        <w:tc>
          <w:tcPr>
            <w:tcW w:w="1560" w:type="dxa"/>
            <w:vAlign w:val="bottom"/>
          </w:tcPr>
          <w:p>
            <w:pPr>
              <w:jc w:val="right"/>
              <w:ind w:right="432"/>
              <w:spacing w:after="0"/>
              <w:rPr>
                <w:sz w:val="20"/>
                <w:szCs w:val="20"/>
                <w:color w:val="auto"/>
              </w:rPr>
            </w:pPr>
            <w:r>
              <w:rPr>
                <w:rFonts w:ascii="Arial" w:cs="Arial" w:eastAsia="Arial" w:hAnsi="Arial"/>
                <w:sz w:val="10"/>
                <w:szCs w:val="10"/>
                <w:color w:val="auto"/>
              </w:rPr>
              <w:t>3,312</w:t>
            </w:r>
          </w:p>
        </w:tc>
        <w:tc>
          <w:tcPr>
            <w:tcW w:w="880" w:type="dxa"/>
            <w:vAlign w:val="bottom"/>
          </w:tcPr>
          <w:p>
            <w:pPr>
              <w:jc w:val="right"/>
              <w:spacing w:after="0"/>
              <w:rPr>
                <w:sz w:val="20"/>
                <w:szCs w:val="20"/>
                <w:color w:val="auto"/>
              </w:rPr>
            </w:pPr>
            <w:r>
              <w:rPr>
                <w:rFonts w:ascii="Arial" w:cs="Arial" w:eastAsia="Arial" w:hAnsi="Arial"/>
                <w:sz w:val="10"/>
                <w:szCs w:val="10"/>
                <w:color w:val="auto"/>
              </w:rPr>
              <w:t>40</w:t>
            </w:r>
          </w:p>
        </w:tc>
        <w:tc>
          <w:tcPr>
            <w:tcW w:w="20" w:type="dxa"/>
            <w:vAlign w:val="bottom"/>
          </w:tcPr>
          <w:p>
            <w:pPr>
              <w:spacing w:after="0"/>
              <w:rPr>
                <w:sz w:val="10"/>
                <w:szCs w:val="10"/>
                <w:color w:val="auto"/>
              </w:rPr>
            </w:pPr>
          </w:p>
        </w:tc>
      </w:tr>
      <w:tr>
        <w:trPr>
          <w:trHeight w:val="130"/>
        </w:trPr>
        <w:tc>
          <w:tcPr>
            <w:tcW w:w="4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Accruals and deferred income</w:t>
            </w:r>
          </w:p>
        </w:tc>
        <w:tc>
          <w:tcPr>
            <w:tcW w:w="1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8,791</w:t>
            </w:r>
          </w:p>
        </w:tc>
        <w:tc>
          <w:tcPr>
            <w:tcW w:w="134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0"/>
                <w:szCs w:val="10"/>
                <w:color w:val="auto"/>
              </w:rPr>
              <w:t>422</w:t>
            </w:r>
          </w:p>
        </w:tc>
        <w:tc>
          <w:tcPr>
            <w:tcW w:w="2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10,043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242</w:t>
            </w:r>
          </w:p>
        </w:tc>
        <w:tc>
          <w:tcPr>
            <w:tcW w:w="20" w:type="dxa"/>
            <w:vAlign w:val="bottom"/>
          </w:tcPr>
          <w:p>
            <w:pPr>
              <w:spacing w:after="0"/>
              <w:rPr>
                <w:sz w:val="11"/>
                <w:szCs w:val="11"/>
                <w:color w:val="auto"/>
              </w:rPr>
            </w:pPr>
          </w:p>
        </w:tc>
      </w:tr>
      <w:tr>
        <w:trPr>
          <w:trHeight w:val="117"/>
        </w:trPr>
        <w:tc>
          <w:tcPr>
            <w:tcW w:w="4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41,677</w:t>
            </w:r>
          </w:p>
        </w:tc>
        <w:tc>
          <w:tcPr>
            <w:tcW w:w="134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0"/>
                <w:szCs w:val="10"/>
                <w:color w:val="auto"/>
              </w:rPr>
              <w:t>2,304</w:t>
            </w:r>
          </w:p>
        </w:tc>
        <w:tc>
          <w:tcPr>
            <w:tcW w:w="2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49,208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2,342</w:t>
            </w:r>
          </w:p>
        </w:tc>
        <w:tc>
          <w:tcPr>
            <w:tcW w:w="20" w:type="dxa"/>
            <w:vAlign w:val="bottom"/>
          </w:tcPr>
          <w:p>
            <w:pPr>
              <w:spacing w:after="0"/>
              <w:rPr>
                <w:sz w:val="10"/>
                <w:szCs w:val="10"/>
                <w:color w:val="auto"/>
              </w:rPr>
            </w:pPr>
          </w:p>
        </w:tc>
      </w:tr>
      <w:tr>
        <w:trPr>
          <w:trHeight w:val="128"/>
        </w:trPr>
        <w:tc>
          <w:tcPr>
            <w:tcW w:w="4880" w:type="dxa"/>
            <w:vAlign w:val="bottom"/>
          </w:tcPr>
          <w:p>
            <w:pPr>
              <w:spacing w:after="0"/>
              <w:rPr>
                <w:sz w:val="20"/>
                <w:szCs w:val="20"/>
                <w:color w:val="auto"/>
              </w:rPr>
            </w:pPr>
            <w:r>
              <w:rPr>
                <w:rFonts w:ascii="Arial" w:cs="Arial" w:eastAsia="Arial" w:hAnsi="Arial"/>
                <w:sz w:val="7"/>
                <w:szCs w:val="7"/>
                <w:color w:val="auto"/>
              </w:rPr>
              <w:t>[A] Includes obligations under environmental schemes for compliance purposes of $2,053 million as at December 31, 2020. (See Note 29)</w:t>
            </w:r>
          </w:p>
        </w:tc>
        <w:tc>
          <w:tcPr>
            <w:tcW w:w="1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9"/>
        </w:trPr>
        <w:tc>
          <w:tcPr>
            <w:tcW w:w="7300" w:type="dxa"/>
            <w:vAlign w:val="bottom"/>
            <w:gridSpan w:val="3"/>
          </w:tcPr>
          <w:p>
            <w:pPr>
              <w:spacing w:after="0"/>
              <w:rPr>
                <w:sz w:val="20"/>
                <w:szCs w:val="20"/>
                <w:color w:val="auto"/>
              </w:rPr>
            </w:pPr>
            <w:r>
              <w:rPr>
                <w:rFonts w:ascii="Arial" w:cs="Arial" w:eastAsia="Arial" w:hAnsi="Arial"/>
                <w:sz w:val="10"/>
                <w:szCs w:val="10"/>
                <w:color w:val="auto"/>
              </w:rPr>
              <w:t>The fair value of financial liabilities included above approximates the carrying amount and was determined from predominantly unobservable inputs.</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0"/>
                <w:szCs w:val="10"/>
                <w:color w:val="auto"/>
                <w:w w:val="98"/>
              </w:rPr>
              <w:t>Other payables include amounts due to joint arrangement partners and in respect of other project-related items.</w:t>
            </w:r>
          </w:p>
        </w:tc>
        <w:tc>
          <w:tcPr>
            <w:tcW w:w="1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0"/>
                <w:szCs w:val="10"/>
                <w:color w:val="auto"/>
              </w:rPr>
              <w:t>Information about offsetting, collateral and liquidity risk is presented in Note 19.</w:t>
            </w:r>
          </w:p>
        </w:tc>
        <w:tc>
          <w:tcPr>
            <w:tcW w:w="1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2"/>
        </w:trPr>
        <w:tc>
          <w:tcPr>
            <w:tcW w:w="4880" w:type="dxa"/>
            <w:vAlign w:val="bottom"/>
          </w:tcPr>
          <w:p>
            <w:pPr>
              <w:spacing w:after="0"/>
              <w:rPr>
                <w:sz w:val="20"/>
                <w:szCs w:val="20"/>
                <w:color w:val="auto"/>
              </w:rPr>
            </w:pPr>
            <w:r>
              <w:rPr>
                <w:rFonts w:ascii="Arial" w:cs="Arial" w:eastAsia="Arial" w:hAnsi="Arial"/>
                <w:sz w:val="11"/>
                <w:szCs w:val="11"/>
                <w:color w:val="auto"/>
              </w:rPr>
              <w:t>16 – TAXATION</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
        </w:trPr>
        <w:tc>
          <w:tcPr>
            <w:tcW w:w="48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00" w:type="dxa"/>
            <w:vAlign w:val="bottom"/>
            <w:gridSpan w:val="2"/>
          </w:tcPr>
          <w:p>
            <w:pPr>
              <w:spacing w:after="0"/>
              <w:rPr>
                <w:sz w:val="5"/>
                <w:szCs w:val="5"/>
                <w:color w:val="auto"/>
              </w:rPr>
            </w:pPr>
          </w:p>
        </w:tc>
      </w:tr>
      <w:tr>
        <w:trPr>
          <w:trHeight w:val="144"/>
        </w:trPr>
        <w:tc>
          <w:tcPr>
            <w:tcW w:w="4880" w:type="dxa"/>
            <w:vAlign w:val="bottom"/>
            <w:shd w:val="clear" w:color="auto" w:fill="CDCDCD"/>
          </w:tcPr>
          <w:p>
            <w:pPr>
              <w:spacing w:after="0"/>
              <w:rPr>
                <w:sz w:val="12"/>
                <w:szCs w:val="12"/>
                <w:color w:val="auto"/>
              </w:rPr>
            </w:pPr>
          </w:p>
        </w:tc>
        <w:tc>
          <w:tcPr>
            <w:tcW w:w="1100" w:type="dxa"/>
            <w:vAlign w:val="bottom"/>
            <w:shd w:val="clear" w:color="auto" w:fill="CDCDCD"/>
          </w:tcPr>
          <w:p>
            <w:pPr>
              <w:spacing w:after="0"/>
              <w:rPr>
                <w:sz w:val="12"/>
                <w:szCs w:val="12"/>
                <w:color w:val="auto"/>
              </w:rPr>
            </w:pPr>
          </w:p>
        </w:tc>
        <w:tc>
          <w:tcPr>
            <w:tcW w:w="1320" w:type="dxa"/>
            <w:vAlign w:val="bottom"/>
            <w:shd w:val="clear" w:color="auto" w:fill="CDCDCD"/>
          </w:tcPr>
          <w:p>
            <w:pPr>
              <w:spacing w:after="0"/>
              <w:rPr>
                <w:sz w:val="12"/>
                <w:szCs w:val="12"/>
                <w:color w:val="auto"/>
              </w:rPr>
            </w:pPr>
          </w:p>
        </w:tc>
        <w:tc>
          <w:tcPr>
            <w:tcW w:w="320" w:type="dxa"/>
            <w:vAlign w:val="bottom"/>
            <w:shd w:val="clear" w:color="auto" w:fill="CDCDCD"/>
          </w:tcPr>
          <w:p>
            <w:pPr>
              <w:spacing w:after="0"/>
              <w:rPr>
                <w:sz w:val="12"/>
                <w:szCs w:val="12"/>
                <w:color w:val="auto"/>
              </w:rPr>
            </w:pPr>
          </w:p>
        </w:tc>
        <w:tc>
          <w:tcPr>
            <w:tcW w:w="1020" w:type="dxa"/>
            <w:vAlign w:val="bottom"/>
            <w:shd w:val="clear" w:color="auto" w:fill="CDCDCD"/>
          </w:tcPr>
          <w:p>
            <w:pPr>
              <w:spacing w:after="0"/>
              <w:rPr>
                <w:sz w:val="12"/>
                <w:szCs w:val="12"/>
                <w:color w:val="auto"/>
              </w:rPr>
            </w:pPr>
          </w:p>
        </w:tc>
        <w:tc>
          <w:tcPr>
            <w:tcW w:w="200" w:type="dxa"/>
            <w:vAlign w:val="bottom"/>
            <w:shd w:val="clear" w:color="auto" w:fill="CDCDCD"/>
          </w:tcPr>
          <w:p>
            <w:pPr>
              <w:spacing w:after="0"/>
              <w:rPr>
                <w:sz w:val="12"/>
                <w:szCs w:val="12"/>
                <w:color w:val="auto"/>
              </w:rPr>
            </w:pPr>
          </w:p>
        </w:tc>
        <w:tc>
          <w:tcPr>
            <w:tcW w:w="1560" w:type="dxa"/>
            <w:vAlign w:val="bottom"/>
            <w:shd w:val="clear" w:color="auto" w:fill="CDCDCD"/>
          </w:tcPr>
          <w:p>
            <w:pPr>
              <w:spacing w:after="0"/>
              <w:rPr>
                <w:sz w:val="12"/>
                <w:szCs w:val="12"/>
                <w:color w:val="auto"/>
              </w:rPr>
            </w:pPr>
          </w:p>
        </w:tc>
        <w:tc>
          <w:tcPr>
            <w:tcW w:w="900" w:type="dxa"/>
            <w:vAlign w:val="bottom"/>
            <w:gridSpan w:val="2"/>
            <w:shd w:val="clear" w:color="auto" w:fill="CDCDCD"/>
          </w:tcPr>
          <w:p>
            <w:pPr>
              <w:spacing w:after="0"/>
              <w:rPr>
                <w:sz w:val="12"/>
                <w:szCs w:val="12"/>
                <w:color w:val="auto"/>
              </w:rPr>
            </w:pPr>
          </w:p>
        </w:tc>
      </w:tr>
      <w:tr>
        <w:trPr>
          <w:trHeight w:val="121"/>
        </w:trPr>
        <w:tc>
          <w:tcPr>
            <w:tcW w:w="4880" w:type="dxa"/>
            <w:vAlign w:val="bottom"/>
          </w:tcPr>
          <w:p>
            <w:pPr>
              <w:spacing w:after="0"/>
              <w:rPr>
                <w:sz w:val="20"/>
                <w:szCs w:val="20"/>
                <w:color w:val="auto"/>
              </w:rPr>
            </w:pPr>
            <w:r>
              <w:rPr>
                <w:rFonts w:ascii="Arial" w:cs="Arial" w:eastAsia="Arial" w:hAnsi="Arial"/>
                <w:sz w:val="10"/>
                <w:szCs w:val="10"/>
                <w:color w:val="auto"/>
              </w:rPr>
              <w:t>Taxation charge</w:t>
            </w:r>
          </w:p>
        </w:tc>
        <w:tc>
          <w:tcPr>
            <w:tcW w:w="1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0"/>
                <w:szCs w:val="10"/>
                <w:color w:val="auto"/>
              </w:rPr>
              <w:t>$ million</w:t>
            </w:r>
          </w:p>
        </w:tc>
      </w:tr>
      <w:tr>
        <w:trPr>
          <w:trHeight w:val="127"/>
        </w:trPr>
        <w:tc>
          <w:tcPr>
            <w:tcW w:w="48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2020</w:t>
            </w: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2019</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2018</w:t>
            </w:r>
          </w:p>
        </w:tc>
      </w:tr>
      <w:tr>
        <w:trPr>
          <w:trHeight w:val="114"/>
        </w:trPr>
        <w:tc>
          <w:tcPr>
            <w:tcW w:w="4880" w:type="dxa"/>
            <w:vAlign w:val="bottom"/>
          </w:tcPr>
          <w:p>
            <w:pPr>
              <w:spacing w:after="0"/>
              <w:rPr>
                <w:sz w:val="20"/>
                <w:szCs w:val="20"/>
                <w:color w:val="auto"/>
              </w:rPr>
            </w:pPr>
            <w:r>
              <w:rPr>
                <w:rFonts w:ascii="Arial" w:cs="Arial" w:eastAsia="Arial" w:hAnsi="Arial"/>
                <w:sz w:val="10"/>
                <w:szCs w:val="10"/>
                <w:color w:val="auto"/>
              </w:rPr>
              <w:t>Current tax:</w:t>
            </w:r>
          </w:p>
        </w:tc>
        <w:tc>
          <w:tcPr>
            <w:tcW w:w="1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1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3"/>
        </w:trPr>
        <w:tc>
          <w:tcPr>
            <w:tcW w:w="4880" w:type="dxa"/>
            <w:vAlign w:val="bottom"/>
          </w:tcPr>
          <w:p>
            <w:pPr>
              <w:ind w:left="140"/>
              <w:spacing w:after="0"/>
              <w:rPr>
                <w:sz w:val="20"/>
                <w:szCs w:val="20"/>
                <w:color w:val="auto"/>
              </w:rPr>
            </w:pPr>
            <w:r>
              <w:rPr>
                <w:rFonts w:ascii="Arial" w:cs="Arial" w:eastAsia="Arial" w:hAnsi="Arial"/>
                <w:sz w:val="10"/>
                <w:szCs w:val="10"/>
                <w:color w:val="auto"/>
              </w:rPr>
              <w:t>Charge in respect of current period</w:t>
            </w:r>
          </w:p>
        </w:tc>
        <w:tc>
          <w:tcPr>
            <w:tcW w:w="1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2"/>
            <w:shd w:val="clear" w:color="auto" w:fill="D9D9D9"/>
          </w:tcPr>
          <w:p>
            <w:pPr>
              <w:jc w:val="right"/>
              <w:ind w:right="40"/>
              <w:spacing w:after="0"/>
              <w:rPr>
                <w:sz w:val="20"/>
                <w:szCs w:val="20"/>
                <w:color w:val="auto"/>
              </w:rPr>
            </w:pPr>
            <w:r>
              <w:rPr>
                <w:rFonts w:ascii="Arial" w:cs="Arial" w:eastAsia="Arial" w:hAnsi="Arial"/>
                <w:sz w:val="10"/>
                <w:szCs w:val="10"/>
                <w:color w:val="auto"/>
              </w:rPr>
              <w:t>3,272</w:t>
            </w:r>
          </w:p>
        </w:tc>
        <w:tc>
          <w:tcPr>
            <w:tcW w:w="1560" w:type="dxa"/>
            <w:vAlign w:val="bottom"/>
          </w:tcPr>
          <w:p>
            <w:pPr>
              <w:jc w:val="right"/>
              <w:ind w:right="332"/>
              <w:spacing w:after="0"/>
              <w:rPr>
                <w:sz w:val="20"/>
                <w:szCs w:val="20"/>
                <w:color w:val="auto"/>
              </w:rPr>
            </w:pPr>
            <w:r>
              <w:rPr>
                <w:rFonts w:ascii="Arial" w:cs="Arial" w:eastAsia="Arial" w:hAnsi="Arial"/>
                <w:sz w:val="10"/>
                <w:szCs w:val="10"/>
                <w:color w:val="auto"/>
              </w:rPr>
              <w:t>7,597</w:t>
            </w:r>
          </w:p>
        </w:tc>
        <w:tc>
          <w:tcPr>
            <w:tcW w:w="880" w:type="dxa"/>
            <w:vAlign w:val="bottom"/>
          </w:tcPr>
          <w:p>
            <w:pPr>
              <w:jc w:val="right"/>
              <w:spacing w:after="0"/>
              <w:rPr>
                <w:sz w:val="20"/>
                <w:szCs w:val="20"/>
                <w:color w:val="auto"/>
              </w:rPr>
            </w:pPr>
            <w:r>
              <w:rPr>
                <w:rFonts w:ascii="Arial" w:cs="Arial" w:eastAsia="Arial" w:hAnsi="Arial"/>
                <w:sz w:val="10"/>
                <w:szCs w:val="10"/>
                <w:color w:val="auto"/>
              </w:rPr>
              <w:t>10,415</w:t>
            </w:r>
          </w:p>
        </w:tc>
        <w:tc>
          <w:tcPr>
            <w:tcW w:w="20" w:type="dxa"/>
            <w:vAlign w:val="bottom"/>
          </w:tcPr>
          <w:p>
            <w:pPr>
              <w:spacing w:after="0"/>
              <w:rPr>
                <w:sz w:val="10"/>
                <w:szCs w:val="10"/>
                <w:color w:val="auto"/>
              </w:rPr>
            </w:pPr>
          </w:p>
        </w:tc>
      </w:tr>
      <w:tr>
        <w:trPr>
          <w:trHeight w:val="130"/>
        </w:trPr>
        <w:tc>
          <w:tcPr>
            <w:tcW w:w="488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Adjustments in respect of prior periods</w:t>
            </w:r>
          </w:p>
        </w:tc>
        <w:tc>
          <w:tcPr>
            <w:tcW w:w="1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shd w:val="clear" w:color="auto" w:fill="D9D9D9"/>
          </w:tcPr>
          <w:p>
            <w:pPr>
              <w:jc w:val="right"/>
              <w:ind w:right="20"/>
              <w:spacing w:after="0"/>
              <w:rPr>
                <w:sz w:val="20"/>
                <w:szCs w:val="20"/>
                <w:color w:val="auto"/>
              </w:rPr>
            </w:pPr>
            <w:r>
              <w:rPr>
                <w:rFonts w:ascii="Arial" w:cs="Arial" w:eastAsia="Arial" w:hAnsi="Arial"/>
                <w:sz w:val="10"/>
                <w:szCs w:val="10"/>
                <w:color w:val="auto"/>
              </w:rPr>
              <w:t>(56)</w:t>
            </w: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w:t>
            </w:r>
          </w:p>
        </w:tc>
        <w:tc>
          <w:tcPr>
            <w:tcW w:w="20" w:type="dxa"/>
            <w:vAlign w:val="bottom"/>
            <w:tcBorders>
              <w:bottom w:val="single" w:sz="8" w:color="auto"/>
            </w:tcBorders>
          </w:tcPr>
          <w:p>
            <w:pPr>
              <w:spacing w:after="0"/>
              <w:rPr>
                <w:sz w:val="11"/>
                <w:szCs w:val="11"/>
                <w:color w:val="auto"/>
              </w:rPr>
            </w:pPr>
          </w:p>
        </w:tc>
      </w:tr>
      <w:tr>
        <w:trPr>
          <w:trHeight w:val="117"/>
        </w:trPr>
        <w:tc>
          <w:tcPr>
            <w:tcW w:w="4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shd w:val="clear" w:color="auto" w:fill="D9D9D9"/>
          </w:tcPr>
          <w:p>
            <w:pPr>
              <w:jc w:val="right"/>
              <w:ind w:right="40"/>
              <w:spacing w:after="0"/>
              <w:rPr>
                <w:sz w:val="20"/>
                <w:szCs w:val="20"/>
                <w:color w:val="auto"/>
              </w:rPr>
            </w:pPr>
            <w:r>
              <w:rPr>
                <w:rFonts w:ascii="Arial" w:cs="Arial" w:eastAsia="Arial" w:hAnsi="Arial"/>
                <w:sz w:val="10"/>
                <w:szCs w:val="10"/>
                <w:color w:val="auto"/>
              </w:rPr>
              <w:t>3,216</w:t>
            </w:r>
          </w:p>
        </w:tc>
        <w:tc>
          <w:tcPr>
            <w:tcW w:w="15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7,596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10,475</w:t>
            </w:r>
          </w:p>
        </w:tc>
        <w:tc>
          <w:tcPr>
            <w:tcW w:w="20" w:type="dxa"/>
            <w:vAlign w:val="bottom"/>
            <w:tcBorders>
              <w:bottom w:val="single" w:sz="8" w:color="auto"/>
            </w:tcBorders>
          </w:tcPr>
          <w:p>
            <w:pPr>
              <w:spacing w:after="0"/>
              <w:rPr>
                <w:sz w:val="10"/>
                <w:szCs w:val="10"/>
                <w:color w:val="auto"/>
              </w:rPr>
            </w:pPr>
          </w:p>
        </w:tc>
      </w:tr>
      <w:tr>
        <w:trPr>
          <w:trHeight w:val="113"/>
        </w:trPr>
        <w:tc>
          <w:tcPr>
            <w:tcW w:w="4880" w:type="dxa"/>
            <w:vAlign w:val="bottom"/>
          </w:tcPr>
          <w:p>
            <w:pPr>
              <w:spacing w:after="0" w:line="113" w:lineRule="exact"/>
              <w:rPr>
                <w:sz w:val="20"/>
                <w:szCs w:val="20"/>
                <w:color w:val="auto"/>
              </w:rPr>
            </w:pPr>
            <w:r>
              <w:rPr>
                <w:rFonts w:ascii="Arial" w:cs="Arial" w:eastAsia="Arial" w:hAnsi="Arial"/>
                <w:sz w:val="10"/>
                <w:szCs w:val="10"/>
                <w:color w:val="auto"/>
              </w:rPr>
              <w:t>Deferred tax:</w:t>
            </w:r>
          </w:p>
        </w:tc>
        <w:tc>
          <w:tcPr>
            <w:tcW w:w="1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1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3"/>
        </w:trPr>
        <w:tc>
          <w:tcPr>
            <w:tcW w:w="4880" w:type="dxa"/>
            <w:vAlign w:val="bottom"/>
          </w:tcPr>
          <w:p>
            <w:pPr>
              <w:ind w:left="140"/>
              <w:spacing w:after="0"/>
              <w:rPr>
                <w:sz w:val="20"/>
                <w:szCs w:val="20"/>
                <w:color w:val="auto"/>
              </w:rPr>
            </w:pPr>
            <w:r>
              <w:rPr>
                <w:rFonts w:ascii="Arial" w:cs="Arial" w:eastAsia="Arial" w:hAnsi="Arial"/>
                <w:sz w:val="10"/>
                <w:szCs w:val="10"/>
                <w:color w:val="auto"/>
              </w:rPr>
              <w:t>Relating to the origination and reversal of temporary differences, tax losses and credits</w:t>
            </w:r>
          </w:p>
        </w:tc>
        <w:tc>
          <w:tcPr>
            <w:tcW w:w="1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2"/>
            <w:shd w:val="clear" w:color="auto" w:fill="D9D9D9"/>
          </w:tcPr>
          <w:p>
            <w:pPr>
              <w:jc w:val="right"/>
              <w:ind w:right="20"/>
              <w:spacing w:after="0"/>
              <w:rPr>
                <w:sz w:val="20"/>
                <w:szCs w:val="20"/>
                <w:color w:val="auto"/>
              </w:rPr>
            </w:pPr>
            <w:r>
              <w:rPr>
                <w:rFonts w:ascii="Arial" w:cs="Arial" w:eastAsia="Arial" w:hAnsi="Arial"/>
                <w:sz w:val="10"/>
                <w:szCs w:val="10"/>
                <w:color w:val="auto"/>
              </w:rPr>
              <w:t>(9,063)</w:t>
            </w:r>
          </w:p>
        </w:tc>
        <w:tc>
          <w:tcPr>
            <w:tcW w:w="1560" w:type="dxa"/>
            <w:vAlign w:val="bottom"/>
          </w:tcPr>
          <w:p>
            <w:pPr>
              <w:jc w:val="right"/>
              <w:ind w:right="332"/>
              <w:spacing w:after="0"/>
              <w:rPr>
                <w:sz w:val="20"/>
                <w:szCs w:val="20"/>
                <w:color w:val="auto"/>
              </w:rPr>
            </w:pPr>
            <w:r>
              <w:rPr>
                <w:rFonts w:ascii="Arial" w:cs="Arial" w:eastAsia="Arial" w:hAnsi="Arial"/>
                <w:sz w:val="10"/>
                <w:szCs w:val="10"/>
                <w:color w:val="auto"/>
              </w:rPr>
              <w:t>1,377</w:t>
            </w:r>
          </w:p>
        </w:tc>
        <w:tc>
          <w:tcPr>
            <w:tcW w:w="880" w:type="dxa"/>
            <w:vAlign w:val="bottom"/>
          </w:tcPr>
          <w:p>
            <w:pPr>
              <w:jc w:val="right"/>
              <w:spacing w:after="0"/>
              <w:rPr>
                <w:sz w:val="20"/>
                <w:szCs w:val="20"/>
                <w:color w:val="auto"/>
              </w:rPr>
            </w:pPr>
            <w:r>
              <w:rPr>
                <w:rFonts w:ascii="Arial" w:cs="Arial" w:eastAsia="Arial" w:hAnsi="Arial"/>
                <w:sz w:val="10"/>
                <w:szCs w:val="10"/>
                <w:color w:val="auto"/>
              </w:rPr>
              <w:t>1,438</w:t>
            </w:r>
          </w:p>
        </w:tc>
        <w:tc>
          <w:tcPr>
            <w:tcW w:w="20" w:type="dxa"/>
            <w:vAlign w:val="bottom"/>
          </w:tcPr>
          <w:p>
            <w:pPr>
              <w:spacing w:after="0"/>
              <w:rPr>
                <w:sz w:val="10"/>
                <w:szCs w:val="10"/>
                <w:color w:val="auto"/>
              </w:rPr>
            </w:pPr>
          </w:p>
        </w:tc>
      </w:tr>
      <w:tr>
        <w:trPr>
          <w:trHeight w:val="126"/>
        </w:trPr>
        <w:tc>
          <w:tcPr>
            <w:tcW w:w="4880" w:type="dxa"/>
            <w:vAlign w:val="bottom"/>
          </w:tcPr>
          <w:p>
            <w:pPr>
              <w:ind w:left="140"/>
              <w:spacing w:after="0"/>
              <w:rPr>
                <w:sz w:val="20"/>
                <w:szCs w:val="20"/>
                <w:color w:val="auto"/>
              </w:rPr>
            </w:pPr>
            <w:r>
              <w:rPr>
                <w:rFonts w:ascii="Arial" w:cs="Arial" w:eastAsia="Arial" w:hAnsi="Arial"/>
                <w:sz w:val="10"/>
                <w:szCs w:val="10"/>
                <w:color w:val="auto"/>
              </w:rPr>
              <w:t>Relating to changes in tax rates and legislation</w:t>
            </w:r>
          </w:p>
        </w:tc>
        <w:tc>
          <w:tcPr>
            <w:tcW w:w="1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2"/>
            <w:shd w:val="clear" w:color="auto" w:fill="D9D9D9"/>
          </w:tcPr>
          <w:p>
            <w:pPr>
              <w:jc w:val="right"/>
              <w:ind w:right="20"/>
              <w:spacing w:after="0"/>
              <w:rPr>
                <w:sz w:val="20"/>
                <w:szCs w:val="20"/>
                <w:color w:val="auto"/>
              </w:rPr>
            </w:pPr>
            <w:r>
              <w:rPr>
                <w:rFonts w:ascii="Arial" w:cs="Arial" w:eastAsia="Arial" w:hAnsi="Arial"/>
                <w:sz w:val="10"/>
                <w:szCs w:val="10"/>
                <w:color w:val="auto"/>
              </w:rPr>
              <w:t>(16)</w:t>
            </w:r>
          </w:p>
        </w:tc>
        <w:tc>
          <w:tcPr>
            <w:tcW w:w="1560" w:type="dxa"/>
            <w:vAlign w:val="bottom"/>
          </w:tcPr>
          <w:p>
            <w:pPr>
              <w:jc w:val="right"/>
              <w:ind w:right="312"/>
              <w:spacing w:after="0"/>
              <w:rPr>
                <w:sz w:val="20"/>
                <w:szCs w:val="20"/>
                <w:color w:val="auto"/>
              </w:rPr>
            </w:pPr>
            <w:r>
              <w:rPr>
                <w:rFonts w:ascii="Arial" w:cs="Arial" w:eastAsia="Arial" w:hAnsi="Arial"/>
                <w:sz w:val="10"/>
                <w:szCs w:val="10"/>
                <w:color w:val="auto"/>
              </w:rPr>
              <w:t>(67)</w:t>
            </w:r>
          </w:p>
        </w:tc>
        <w:tc>
          <w:tcPr>
            <w:tcW w:w="880" w:type="dxa"/>
            <w:vAlign w:val="bottom"/>
          </w:tcPr>
          <w:p>
            <w:pPr>
              <w:jc w:val="right"/>
              <w:spacing w:after="0"/>
              <w:rPr>
                <w:sz w:val="20"/>
                <w:szCs w:val="20"/>
                <w:color w:val="auto"/>
              </w:rPr>
            </w:pPr>
            <w:r>
              <w:rPr>
                <w:rFonts w:ascii="Arial" w:cs="Arial" w:eastAsia="Arial" w:hAnsi="Arial"/>
                <w:sz w:val="10"/>
                <w:szCs w:val="10"/>
                <w:color w:val="auto"/>
              </w:rPr>
              <w:t>(157)</w:t>
            </w:r>
          </w:p>
        </w:tc>
        <w:tc>
          <w:tcPr>
            <w:tcW w:w="20" w:type="dxa"/>
            <w:vAlign w:val="bottom"/>
          </w:tcPr>
          <w:p>
            <w:pPr>
              <w:spacing w:after="0"/>
              <w:rPr>
                <w:sz w:val="10"/>
                <w:szCs w:val="10"/>
                <w:color w:val="auto"/>
              </w:rPr>
            </w:pPr>
          </w:p>
        </w:tc>
      </w:tr>
      <w:tr>
        <w:trPr>
          <w:trHeight w:val="130"/>
        </w:trPr>
        <w:tc>
          <w:tcPr>
            <w:tcW w:w="488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Adjustments in respect of prior periods</w:t>
            </w:r>
          </w:p>
        </w:tc>
        <w:tc>
          <w:tcPr>
            <w:tcW w:w="1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shd w:val="clear" w:color="auto" w:fill="D9D9D9"/>
          </w:tcPr>
          <w:p>
            <w:pPr>
              <w:jc w:val="right"/>
              <w:ind w:right="40"/>
              <w:spacing w:after="0"/>
              <w:rPr>
                <w:sz w:val="20"/>
                <w:szCs w:val="20"/>
                <w:color w:val="auto"/>
              </w:rPr>
            </w:pPr>
            <w:r>
              <w:rPr>
                <w:rFonts w:ascii="Arial" w:cs="Arial" w:eastAsia="Arial" w:hAnsi="Arial"/>
                <w:sz w:val="10"/>
                <w:szCs w:val="10"/>
                <w:color w:val="auto"/>
              </w:rPr>
              <w:t>430</w:t>
            </w:r>
          </w:p>
        </w:tc>
        <w:tc>
          <w:tcPr>
            <w:tcW w:w="15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147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w:t>
            </w:r>
          </w:p>
        </w:tc>
        <w:tc>
          <w:tcPr>
            <w:tcW w:w="20" w:type="dxa"/>
            <w:vAlign w:val="bottom"/>
            <w:tcBorders>
              <w:bottom w:val="single" w:sz="8" w:color="auto"/>
            </w:tcBorders>
          </w:tcPr>
          <w:p>
            <w:pPr>
              <w:spacing w:after="0"/>
              <w:rPr>
                <w:sz w:val="11"/>
                <w:szCs w:val="11"/>
                <w:color w:val="auto"/>
              </w:rPr>
            </w:pPr>
          </w:p>
        </w:tc>
      </w:tr>
      <w:tr>
        <w:trPr>
          <w:trHeight w:val="117"/>
        </w:trPr>
        <w:tc>
          <w:tcPr>
            <w:tcW w:w="4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shd w:val="clear" w:color="auto" w:fill="D9D9D9"/>
          </w:tcPr>
          <w:p>
            <w:pPr>
              <w:jc w:val="right"/>
              <w:ind w:right="20"/>
              <w:spacing w:after="0"/>
              <w:rPr>
                <w:sz w:val="20"/>
                <w:szCs w:val="20"/>
                <w:color w:val="auto"/>
              </w:rPr>
            </w:pPr>
            <w:r>
              <w:rPr>
                <w:rFonts w:ascii="Arial" w:cs="Arial" w:eastAsia="Arial" w:hAnsi="Arial"/>
                <w:sz w:val="10"/>
                <w:szCs w:val="10"/>
                <w:color w:val="auto"/>
              </w:rPr>
              <w:t>(8,649)</w:t>
            </w:r>
          </w:p>
        </w:tc>
        <w:tc>
          <w:tcPr>
            <w:tcW w:w="15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1,457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1,240</w:t>
            </w:r>
          </w:p>
        </w:tc>
        <w:tc>
          <w:tcPr>
            <w:tcW w:w="20" w:type="dxa"/>
            <w:vAlign w:val="bottom"/>
            <w:tcBorders>
              <w:bottom w:val="single" w:sz="8" w:color="auto"/>
            </w:tcBorders>
          </w:tcPr>
          <w:p>
            <w:pPr>
              <w:spacing w:after="0"/>
              <w:rPr>
                <w:sz w:val="10"/>
                <w:szCs w:val="10"/>
                <w:color w:val="auto"/>
              </w:rPr>
            </w:pPr>
          </w:p>
        </w:tc>
      </w:tr>
      <w:tr>
        <w:trPr>
          <w:trHeight w:val="115"/>
        </w:trPr>
        <w:tc>
          <w:tcPr>
            <w:tcW w:w="4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taxation (credit)/charge</w:t>
            </w:r>
          </w:p>
        </w:tc>
        <w:tc>
          <w:tcPr>
            <w:tcW w:w="1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shd w:val="clear" w:color="auto" w:fill="D9D9D9"/>
          </w:tcPr>
          <w:p>
            <w:pPr>
              <w:jc w:val="right"/>
              <w:ind w:right="20"/>
              <w:spacing w:after="0"/>
              <w:rPr>
                <w:sz w:val="20"/>
                <w:szCs w:val="20"/>
                <w:color w:val="auto"/>
              </w:rPr>
            </w:pPr>
            <w:r>
              <w:rPr>
                <w:rFonts w:ascii="Arial" w:cs="Arial" w:eastAsia="Arial" w:hAnsi="Arial"/>
                <w:sz w:val="10"/>
                <w:szCs w:val="10"/>
                <w:color w:val="auto"/>
              </w:rPr>
              <w:t>(5,433)</w:t>
            </w:r>
          </w:p>
        </w:tc>
        <w:tc>
          <w:tcPr>
            <w:tcW w:w="15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9,053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11,715</w:t>
            </w:r>
          </w:p>
        </w:tc>
        <w:tc>
          <w:tcPr>
            <w:tcW w:w="20" w:type="dxa"/>
            <w:vAlign w:val="bottom"/>
            <w:tcBorders>
              <w:bottom w:val="single" w:sz="8" w:color="auto"/>
            </w:tcBorders>
          </w:tcPr>
          <w:p>
            <w:pPr>
              <w:spacing w:after="0"/>
              <w:rPr>
                <w:sz w:val="10"/>
                <w:szCs w:val="10"/>
                <w:color w:val="auto"/>
              </w:rPr>
            </w:pPr>
          </w:p>
        </w:tc>
      </w:tr>
      <w:tr>
        <w:trPr>
          <w:trHeight w:val="488"/>
        </w:trPr>
        <w:tc>
          <w:tcPr>
            <w:tcW w:w="488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1100" w:type="dxa"/>
            <w:vAlign w:val="bottom"/>
          </w:tcPr>
          <w:p>
            <w:pPr>
              <w:jc w:val="right"/>
              <w:ind w:right="304"/>
              <w:spacing w:after="0"/>
              <w:rPr>
                <w:sz w:val="20"/>
                <w:szCs w:val="20"/>
                <w:color w:val="auto"/>
              </w:rPr>
            </w:pPr>
            <w:r>
              <w:rPr>
                <w:rFonts w:ascii="Arial" w:cs="Arial" w:eastAsia="Arial" w:hAnsi="Arial"/>
                <w:sz w:val="7"/>
                <w:szCs w:val="7"/>
                <w:color w:val="auto"/>
              </w:rPr>
              <w:t>191</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1"/>
        </w:trPr>
        <w:tc>
          <w:tcPr>
            <w:tcW w:w="48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121"/>
        </w:trPr>
        <w:tc>
          <w:tcPr>
            <w:tcW w:w="9520" w:type="dxa"/>
            <w:vAlign w:val="bottom"/>
            <w:gridSpan w:val="3"/>
          </w:tcPr>
          <w:p>
            <w:pPr>
              <w:spacing w:after="0"/>
              <w:rPr>
                <w:sz w:val="20"/>
                <w:szCs w:val="20"/>
                <w:color w:val="auto"/>
              </w:rPr>
            </w:pPr>
            <w:r>
              <w:rPr>
                <w:rFonts w:ascii="Arial" w:cs="Arial" w:eastAsia="Arial" w:hAnsi="Arial"/>
                <w:sz w:val="10"/>
                <w:szCs w:val="10"/>
                <w:color w:val="auto"/>
                <w:w w:val="87"/>
              </w:rPr>
              <w:t>Adjustments in respect of prior periods relate to events in the current period and reflect the effects of changes in rules, facts or other factors compared with those used in establishing the current tax position or deferred tax balance in prior periods.</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80"/>
        </w:trPr>
        <w:tc>
          <w:tcPr>
            <w:tcW w:w="7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126"/>
        </w:trPr>
        <w:tc>
          <w:tcPr>
            <w:tcW w:w="7300" w:type="dxa"/>
            <w:vAlign w:val="bottom"/>
            <w:shd w:val="clear" w:color="auto" w:fill="CDCDCD"/>
          </w:tcPr>
          <w:p>
            <w:pPr>
              <w:spacing w:after="0"/>
              <w:rPr>
                <w:sz w:val="10"/>
                <w:szCs w:val="10"/>
                <w:color w:val="auto"/>
              </w:rPr>
            </w:pPr>
          </w:p>
        </w:tc>
        <w:tc>
          <w:tcPr>
            <w:tcW w:w="1340" w:type="dxa"/>
            <w:vAlign w:val="bottom"/>
            <w:shd w:val="clear" w:color="auto" w:fill="CDCDCD"/>
          </w:tcPr>
          <w:p>
            <w:pPr>
              <w:spacing w:after="0"/>
              <w:rPr>
                <w:sz w:val="10"/>
                <w:szCs w:val="10"/>
                <w:color w:val="auto"/>
              </w:rPr>
            </w:pPr>
          </w:p>
        </w:tc>
        <w:tc>
          <w:tcPr>
            <w:tcW w:w="880" w:type="dxa"/>
            <w:vAlign w:val="bottom"/>
            <w:shd w:val="clear" w:color="auto" w:fill="CDCDCD"/>
          </w:tcPr>
          <w:p>
            <w:pPr>
              <w:spacing w:after="0"/>
              <w:rPr>
                <w:sz w:val="10"/>
                <w:szCs w:val="10"/>
                <w:color w:val="auto"/>
              </w:rPr>
            </w:pPr>
          </w:p>
        </w:tc>
        <w:tc>
          <w:tcPr>
            <w:tcW w:w="920" w:type="dxa"/>
            <w:vAlign w:val="bottom"/>
            <w:shd w:val="clear" w:color="auto" w:fill="CDCDCD"/>
          </w:tcPr>
          <w:p>
            <w:pPr>
              <w:spacing w:after="0"/>
              <w:rPr>
                <w:sz w:val="10"/>
                <w:szCs w:val="10"/>
                <w:color w:val="auto"/>
              </w:rPr>
            </w:pPr>
          </w:p>
        </w:tc>
        <w:tc>
          <w:tcPr>
            <w:tcW w:w="840" w:type="dxa"/>
            <w:vAlign w:val="bottom"/>
            <w:shd w:val="clear" w:color="auto" w:fill="CDCDCD"/>
          </w:tcPr>
          <w:p>
            <w:pPr>
              <w:spacing w:after="0"/>
              <w:rPr>
                <w:sz w:val="10"/>
                <w:szCs w:val="10"/>
                <w:color w:val="auto"/>
              </w:rPr>
            </w:pPr>
          </w:p>
        </w:tc>
      </w:tr>
      <w:tr>
        <w:trPr>
          <w:trHeight w:val="121"/>
        </w:trPr>
        <w:tc>
          <w:tcPr>
            <w:tcW w:w="7300" w:type="dxa"/>
            <w:vAlign w:val="bottom"/>
          </w:tcPr>
          <w:p>
            <w:pPr>
              <w:spacing w:after="0"/>
              <w:rPr>
                <w:sz w:val="20"/>
                <w:szCs w:val="20"/>
                <w:color w:val="auto"/>
              </w:rPr>
            </w:pPr>
            <w:r>
              <w:rPr>
                <w:rFonts w:ascii="Arial" w:cs="Arial" w:eastAsia="Arial" w:hAnsi="Arial"/>
                <w:sz w:val="10"/>
                <w:szCs w:val="10"/>
                <w:color w:val="auto"/>
              </w:rPr>
              <w:t>Reconciliation of applicable tax charge at statutory tax rates to taxation charge</w:t>
            </w:r>
          </w:p>
        </w:tc>
        <w:tc>
          <w:tcPr>
            <w:tcW w:w="1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73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8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7300" w:type="dxa"/>
            <w:vAlign w:val="bottom"/>
          </w:tcPr>
          <w:p>
            <w:pPr>
              <w:spacing w:after="0"/>
              <w:rPr>
                <w:sz w:val="20"/>
                <w:szCs w:val="20"/>
                <w:color w:val="auto"/>
              </w:rPr>
            </w:pPr>
            <w:r>
              <w:rPr>
                <w:rFonts w:ascii="Arial" w:cs="Arial" w:eastAsia="Arial" w:hAnsi="Arial"/>
                <w:sz w:val="10"/>
                <w:szCs w:val="10"/>
                <w:color w:val="auto"/>
              </w:rPr>
              <w:t>(Loss)/income before taxation</w:t>
            </w: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(26,967)</w:t>
            </w:r>
          </w:p>
        </w:tc>
        <w:tc>
          <w:tcPr>
            <w:tcW w:w="880" w:type="dxa"/>
            <w:vAlign w:val="bottom"/>
          </w:tcPr>
          <w:p>
            <w:pPr>
              <w:spacing w:after="0"/>
              <w:rPr>
                <w:sz w:val="9"/>
                <w:szCs w:val="9"/>
                <w:color w:val="auto"/>
              </w:rPr>
            </w:pPr>
          </w:p>
        </w:tc>
        <w:tc>
          <w:tcPr>
            <w:tcW w:w="920" w:type="dxa"/>
            <w:vAlign w:val="bottom"/>
          </w:tcPr>
          <w:p>
            <w:pPr>
              <w:jc w:val="right"/>
              <w:ind w:right="472"/>
              <w:spacing w:after="0"/>
              <w:rPr>
                <w:sz w:val="20"/>
                <w:szCs w:val="20"/>
                <w:color w:val="auto"/>
              </w:rPr>
            </w:pPr>
            <w:r>
              <w:rPr>
                <w:rFonts w:ascii="Arial" w:cs="Arial" w:eastAsia="Arial" w:hAnsi="Arial"/>
                <w:sz w:val="10"/>
                <w:szCs w:val="10"/>
                <w:color w:val="auto"/>
              </w:rPr>
              <w:t>25,485</w:t>
            </w:r>
          </w:p>
        </w:tc>
        <w:tc>
          <w:tcPr>
            <w:tcW w:w="840" w:type="dxa"/>
            <w:vAlign w:val="bottom"/>
          </w:tcPr>
          <w:p>
            <w:pPr>
              <w:jc w:val="right"/>
              <w:spacing w:after="0"/>
              <w:rPr>
                <w:sz w:val="20"/>
                <w:szCs w:val="20"/>
                <w:color w:val="auto"/>
              </w:rPr>
            </w:pPr>
            <w:r>
              <w:rPr>
                <w:rFonts w:ascii="Arial" w:cs="Arial" w:eastAsia="Arial" w:hAnsi="Arial"/>
                <w:sz w:val="10"/>
                <w:szCs w:val="10"/>
                <w:color w:val="auto"/>
              </w:rPr>
              <w:t>35,621</w:t>
            </w:r>
          </w:p>
        </w:tc>
      </w:tr>
      <w:tr>
        <w:trPr>
          <w:trHeight w:val="127"/>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Less: share of profit of joint ventures and associates</w:t>
            </w: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(1,783)</w:t>
            </w:r>
          </w:p>
        </w:tc>
        <w:tc>
          <w:tcPr>
            <w:tcW w:w="8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(3,604)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(4,106)</w:t>
            </w:r>
          </w:p>
        </w:tc>
      </w:tr>
      <w:tr>
        <w:trPr>
          <w:trHeight w:val="117"/>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(Loss)/income before taxation and share of profit of joint ventures and associates</w:t>
            </w: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(28,750)</w:t>
            </w: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21,881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31,515</w:t>
            </w:r>
          </w:p>
        </w:tc>
      </w:tr>
      <w:tr>
        <w:trPr>
          <w:trHeight w:val="113"/>
        </w:trPr>
        <w:tc>
          <w:tcPr>
            <w:tcW w:w="7300" w:type="dxa"/>
            <w:vAlign w:val="bottom"/>
          </w:tcPr>
          <w:p>
            <w:pPr>
              <w:spacing w:after="0" w:line="113" w:lineRule="exact"/>
              <w:rPr>
                <w:sz w:val="20"/>
                <w:szCs w:val="20"/>
                <w:color w:val="auto"/>
              </w:rPr>
            </w:pPr>
            <w:r>
              <w:rPr>
                <w:rFonts w:ascii="Arial" w:cs="Arial" w:eastAsia="Arial" w:hAnsi="Arial"/>
                <w:sz w:val="10"/>
                <w:szCs w:val="10"/>
                <w:color w:val="auto"/>
              </w:rPr>
              <w:t>Applicable tax (credit)/charge at standard statutory tax rates</w:t>
            </w:r>
          </w:p>
        </w:tc>
        <w:tc>
          <w:tcPr>
            <w:tcW w:w="1340" w:type="dxa"/>
            <w:vAlign w:val="bottom"/>
            <w:shd w:val="clear" w:color="auto" w:fill="D9D9D9"/>
          </w:tcPr>
          <w:p>
            <w:pPr>
              <w:jc w:val="right"/>
              <w:spacing w:after="0" w:line="113" w:lineRule="exact"/>
              <w:rPr>
                <w:sz w:val="20"/>
                <w:szCs w:val="20"/>
                <w:color w:val="auto"/>
              </w:rPr>
            </w:pPr>
            <w:r>
              <w:rPr>
                <w:rFonts w:ascii="Arial" w:cs="Arial" w:eastAsia="Arial" w:hAnsi="Arial"/>
                <w:sz w:val="10"/>
                <w:szCs w:val="10"/>
                <w:color w:val="auto"/>
              </w:rPr>
              <w:t>(8,330)</w:t>
            </w:r>
          </w:p>
        </w:tc>
        <w:tc>
          <w:tcPr>
            <w:tcW w:w="880" w:type="dxa"/>
            <w:vAlign w:val="bottom"/>
          </w:tcPr>
          <w:p>
            <w:pPr>
              <w:spacing w:after="0"/>
              <w:rPr>
                <w:sz w:val="9"/>
                <w:szCs w:val="9"/>
                <w:color w:val="auto"/>
              </w:rPr>
            </w:pPr>
          </w:p>
        </w:tc>
        <w:tc>
          <w:tcPr>
            <w:tcW w:w="920" w:type="dxa"/>
            <w:vAlign w:val="bottom"/>
          </w:tcPr>
          <w:p>
            <w:pPr>
              <w:jc w:val="right"/>
              <w:ind w:right="472"/>
              <w:spacing w:after="0" w:line="113" w:lineRule="exact"/>
              <w:rPr>
                <w:sz w:val="20"/>
                <w:szCs w:val="20"/>
                <w:color w:val="auto"/>
              </w:rPr>
            </w:pPr>
            <w:r>
              <w:rPr>
                <w:rFonts w:ascii="Arial" w:cs="Arial" w:eastAsia="Arial" w:hAnsi="Arial"/>
                <w:sz w:val="10"/>
                <w:szCs w:val="10"/>
                <w:color w:val="auto"/>
              </w:rPr>
              <w:t>7,214</w:t>
            </w: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11,641</w:t>
            </w:r>
          </w:p>
        </w:tc>
      </w:tr>
      <w:tr>
        <w:trPr>
          <w:trHeight w:val="123"/>
        </w:trPr>
        <w:tc>
          <w:tcPr>
            <w:tcW w:w="7300" w:type="dxa"/>
            <w:vAlign w:val="bottom"/>
          </w:tcPr>
          <w:p>
            <w:pPr>
              <w:spacing w:after="0"/>
              <w:rPr>
                <w:sz w:val="20"/>
                <w:szCs w:val="20"/>
                <w:color w:val="auto"/>
              </w:rPr>
            </w:pPr>
            <w:r>
              <w:rPr>
                <w:rFonts w:ascii="Arial" w:cs="Arial" w:eastAsia="Arial" w:hAnsi="Arial"/>
                <w:sz w:val="10"/>
                <w:szCs w:val="10"/>
                <w:color w:val="auto"/>
              </w:rPr>
              <w:t>Adjustments in respect of prior periods</w:t>
            </w: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374</w:t>
            </w:r>
          </w:p>
        </w:tc>
        <w:tc>
          <w:tcPr>
            <w:tcW w:w="880" w:type="dxa"/>
            <w:vAlign w:val="bottom"/>
          </w:tcPr>
          <w:p>
            <w:pPr>
              <w:spacing w:after="0"/>
              <w:rPr>
                <w:sz w:val="10"/>
                <w:szCs w:val="10"/>
                <w:color w:val="auto"/>
              </w:rPr>
            </w:pPr>
          </w:p>
        </w:tc>
        <w:tc>
          <w:tcPr>
            <w:tcW w:w="920" w:type="dxa"/>
            <w:vAlign w:val="bottom"/>
          </w:tcPr>
          <w:p>
            <w:pPr>
              <w:jc w:val="right"/>
              <w:ind w:right="472"/>
              <w:spacing w:after="0"/>
              <w:rPr>
                <w:sz w:val="20"/>
                <w:szCs w:val="20"/>
                <w:color w:val="auto"/>
              </w:rPr>
            </w:pPr>
            <w:r>
              <w:rPr>
                <w:rFonts w:ascii="Arial" w:cs="Arial" w:eastAsia="Arial" w:hAnsi="Arial"/>
                <w:sz w:val="10"/>
                <w:szCs w:val="10"/>
                <w:color w:val="auto"/>
              </w:rPr>
              <w:t>146</w:t>
            </w:r>
          </w:p>
        </w:tc>
        <w:tc>
          <w:tcPr>
            <w:tcW w:w="840" w:type="dxa"/>
            <w:vAlign w:val="bottom"/>
          </w:tcPr>
          <w:p>
            <w:pPr>
              <w:jc w:val="right"/>
              <w:spacing w:after="0"/>
              <w:rPr>
                <w:sz w:val="20"/>
                <w:szCs w:val="20"/>
                <w:color w:val="auto"/>
              </w:rPr>
            </w:pPr>
            <w:r>
              <w:rPr>
                <w:rFonts w:ascii="Arial" w:cs="Arial" w:eastAsia="Arial" w:hAnsi="Arial"/>
                <w:sz w:val="10"/>
                <w:szCs w:val="10"/>
                <w:color w:val="auto"/>
              </w:rPr>
              <w:t>19</w:t>
            </w:r>
          </w:p>
        </w:tc>
      </w:tr>
      <w:tr>
        <w:trPr>
          <w:trHeight w:val="126"/>
        </w:trPr>
        <w:tc>
          <w:tcPr>
            <w:tcW w:w="7300" w:type="dxa"/>
            <w:vAlign w:val="bottom"/>
          </w:tcPr>
          <w:p>
            <w:pPr>
              <w:spacing w:after="0"/>
              <w:rPr>
                <w:sz w:val="20"/>
                <w:szCs w:val="20"/>
                <w:color w:val="auto"/>
              </w:rPr>
            </w:pPr>
            <w:r>
              <w:rPr>
                <w:rFonts w:ascii="Arial" w:cs="Arial" w:eastAsia="Arial" w:hAnsi="Arial"/>
                <w:sz w:val="10"/>
                <w:szCs w:val="10"/>
                <w:color w:val="auto"/>
              </w:rPr>
              <w:t>Tax effects of:</w:t>
            </w:r>
          </w:p>
        </w:tc>
        <w:tc>
          <w:tcPr>
            <w:tcW w:w="1340" w:type="dxa"/>
            <w:vAlign w:val="bottom"/>
            <w:shd w:val="clear" w:color="auto" w:fill="D9D9D9"/>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6"/>
        </w:trPr>
        <w:tc>
          <w:tcPr>
            <w:tcW w:w="7300" w:type="dxa"/>
            <w:vAlign w:val="bottom"/>
          </w:tcPr>
          <w:p>
            <w:pPr>
              <w:ind w:left="140"/>
              <w:spacing w:after="0"/>
              <w:rPr>
                <w:sz w:val="20"/>
                <w:szCs w:val="20"/>
                <w:color w:val="auto"/>
              </w:rPr>
            </w:pPr>
            <w:r>
              <w:rPr>
                <w:rFonts w:ascii="Arial" w:cs="Arial" w:eastAsia="Arial" w:hAnsi="Arial"/>
                <w:sz w:val="10"/>
                <w:szCs w:val="10"/>
                <w:color w:val="auto"/>
              </w:rPr>
              <w:t>Derecognition/(recognition) of deferred tax assets</w:t>
            </w: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1,458</w:t>
            </w:r>
          </w:p>
        </w:tc>
        <w:tc>
          <w:tcPr>
            <w:tcW w:w="880" w:type="dxa"/>
            <w:vAlign w:val="bottom"/>
          </w:tcPr>
          <w:p>
            <w:pPr>
              <w:spacing w:after="0"/>
              <w:rPr>
                <w:sz w:val="10"/>
                <w:szCs w:val="10"/>
                <w:color w:val="auto"/>
              </w:rPr>
            </w:pPr>
          </w:p>
        </w:tc>
        <w:tc>
          <w:tcPr>
            <w:tcW w:w="920" w:type="dxa"/>
            <w:vAlign w:val="bottom"/>
          </w:tcPr>
          <w:p>
            <w:pPr>
              <w:jc w:val="right"/>
              <w:ind w:right="472"/>
              <w:spacing w:after="0"/>
              <w:rPr>
                <w:sz w:val="20"/>
                <w:szCs w:val="20"/>
                <w:color w:val="auto"/>
              </w:rPr>
            </w:pPr>
            <w:r>
              <w:rPr>
                <w:rFonts w:ascii="Arial" w:cs="Arial" w:eastAsia="Arial" w:hAnsi="Arial"/>
                <w:sz w:val="10"/>
                <w:szCs w:val="10"/>
                <w:color w:val="auto"/>
              </w:rPr>
              <w:t>846</w:t>
            </w:r>
          </w:p>
        </w:tc>
        <w:tc>
          <w:tcPr>
            <w:tcW w:w="840" w:type="dxa"/>
            <w:vAlign w:val="bottom"/>
          </w:tcPr>
          <w:p>
            <w:pPr>
              <w:jc w:val="right"/>
              <w:spacing w:after="0"/>
              <w:rPr>
                <w:sz w:val="20"/>
                <w:szCs w:val="20"/>
                <w:color w:val="auto"/>
              </w:rPr>
            </w:pPr>
            <w:r>
              <w:rPr>
                <w:rFonts w:ascii="Arial" w:cs="Arial" w:eastAsia="Arial" w:hAnsi="Arial"/>
                <w:sz w:val="10"/>
                <w:szCs w:val="10"/>
                <w:color w:val="auto"/>
              </w:rPr>
              <w:t>(381)</w:t>
            </w:r>
          </w:p>
        </w:tc>
      </w:tr>
      <w:tr>
        <w:trPr>
          <w:trHeight w:val="126"/>
        </w:trPr>
        <w:tc>
          <w:tcPr>
            <w:tcW w:w="7300" w:type="dxa"/>
            <w:vAlign w:val="bottom"/>
          </w:tcPr>
          <w:p>
            <w:pPr>
              <w:ind w:left="140"/>
              <w:spacing w:after="0"/>
              <w:rPr>
                <w:sz w:val="20"/>
                <w:szCs w:val="20"/>
                <w:color w:val="auto"/>
              </w:rPr>
            </w:pPr>
            <w:r>
              <w:rPr>
                <w:rFonts w:ascii="Arial" w:cs="Arial" w:eastAsia="Arial" w:hAnsi="Arial"/>
                <w:sz w:val="10"/>
                <w:szCs w:val="10"/>
                <w:color w:val="auto"/>
              </w:rPr>
              <w:t>Expenses not deductible for tax purposes</w:t>
            </w: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1,239</w:t>
            </w:r>
          </w:p>
        </w:tc>
        <w:tc>
          <w:tcPr>
            <w:tcW w:w="880" w:type="dxa"/>
            <w:vAlign w:val="bottom"/>
          </w:tcPr>
          <w:p>
            <w:pPr>
              <w:spacing w:after="0"/>
              <w:rPr>
                <w:sz w:val="10"/>
                <w:szCs w:val="10"/>
                <w:color w:val="auto"/>
              </w:rPr>
            </w:pPr>
          </w:p>
        </w:tc>
        <w:tc>
          <w:tcPr>
            <w:tcW w:w="920" w:type="dxa"/>
            <w:vAlign w:val="bottom"/>
          </w:tcPr>
          <w:p>
            <w:pPr>
              <w:jc w:val="right"/>
              <w:ind w:right="472"/>
              <w:spacing w:after="0"/>
              <w:rPr>
                <w:sz w:val="20"/>
                <w:szCs w:val="20"/>
                <w:color w:val="auto"/>
              </w:rPr>
            </w:pPr>
            <w:r>
              <w:rPr>
                <w:rFonts w:ascii="Arial" w:cs="Arial" w:eastAsia="Arial" w:hAnsi="Arial"/>
                <w:sz w:val="10"/>
                <w:szCs w:val="10"/>
                <w:color w:val="auto"/>
              </w:rPr>
              <w:t>1,493</w:t>
            </w:r>
          </w:p>
        </w:tc>
        <w:tc>
          <w:tcPr>
            <w:tcW w:w="840" w:type="dxa"/>
            <w:vAlign w:val="bottom"/>
          </w:tcPr>
          <w:p>
            <w:pPr>
              <w:jc w:val="right"/>
              <w:spacing w:after="0"/>
              <w:rPr>
                <w:sz w:val="20"/>
                <w:szCs w:val="20"/>
                <w:color w:val="auto"/>
              </w:rPr>
            </w:pPr>
            <w:r>
              <w:rPr>
                <w:rFonts w:ascii="Arial" w:cs="Arial" w:eastAsia="Arial" w:hAnsi="Arial"/>
                <w:sz w:val="10"/>
                <w:szCs w:val="10"/>
                <w:color w:val="auto"/>
              </w:rPr>
              <w:t>1,176</w:t>
            </w:r>
          </w:p>
        </w:tc>
      </w:tr>
      <w:tr>
        <w:trPr>
          <w:trHeight w:val="126"/>
        </w:trPr>
        <w:tc>
          <w:tcPr>
            <w:tcW w:w="7300" w:type="dxa"/>
            <w:vAlign w:val="bottom"/>
          </w:tcPr>
          <w:p>
            <w:pPr>
              <w:ind w:left="140"/>
              <w:spacing w:after="0"/>
              <w:rPr>
                <w:sz w:val="20"/>
                <w:szCs w:val="20"/>
                <w:color w:val="auto"/>
              </w:rPr>
            </w:pPr>
            <w:r>
              <w:rPr>
                <w:rFonts w:ascii="Arial" w:cs="Arial" w:eastAsia="Arial" w:hAnsi="Arial"/>
                <w:sz w:val="10"/>
                <w:szCs w:val="10"/>
                <w:color w:val="auto"/>
              </w:rPr>
              <w:t>Incentives for investment and development</w:t>
            </w: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(557)</w:t>
            </w:r>
          </w:p>
        </w:tc>
        <w:tc>
          <w:tcPr>
            <w:tcW w:w="880" w:type="dxa"/>
            <w:vAlign w:val="bottom"/>
          </w:tcPr>
          <w:p>
            <w:pPr>
              <w:spacing w:after="0"/>
              <w:rPr>
                <w:sz w:val="10"/>
                <w:szCs w:val="10"/>
                <w:color w:val="auto"/>
              </w:rPr>
            </w:pPr>
          </w:p>
        </w:tc>
        <w:tc>
          <w:tcPr>
            <w:tcW w:w="920" w:type="dxa"/>
            <w:vAlign w:val="bottom"/>
          </w:tcPr>
          <w:p>
            <w:pPr>
              <w:jc w:val="right"/>
              <w:ind w:right="452"/>
              <w:spacing w:after="0"/>
              <w:rPr>
                <w:sz w:val="20"/>
                <w:szCs w:val="20"/>
                <w:color w:val="auto"/>
              </w:rPr>
            </w:pPr>
            <w:r>
              <w:rPr>
                <w:rFonts w:ascii="Arial" w:cs="Arial" w:eastAsia="Arial" w:hAnsi="Arial"/>
                <w:sz w:val="10"/>
                <w:szCs w:val="10"/>
                <w:color w:val="auto"/>
              </w:rPr>
              <w:t>(757)</w:t>
            </w:r>
          </w:p>
        </w:tc>
        <w:tc>
          <w:tcPr>
            <w:tcW w:w="840" w:type="dxa"/>
            <w:vAlign w:val="bottom"/>
          </w:tcPr>
          <w:p>
            <w:pPr>
              <w:jc w:val="right"/>
              <w:spacing w:after="0"/>
              <w:rPr>
                <w:sz w:val="20"/>
                <w:szCs w:val="20"/>
                <w:color w:val="auto"/>
              </w:rPr>
            </w:pPr>
            <w:r>
              <w:rPr>
                <w:rFonts w:ascii="Arial" w:cs="Arial" w:eastAsia="Arial" w:hAnsi="Arial"/>
                <w:sz w:val="10"/>
                <w:szCs w:val="10"/>
                <w:color w:val="auto"/>
              </w:rPr>
              <w:t>(557)</w:t>
            </w:r>
          </w:p>
        </w:tc>
      </w:tr>
      <w:tr>
        <w:trPr>
          <w:trHeight w:val="126"/>
        </w:trPr>
        <w:tc>
          <w:tcPr>
            <w:tcW w:w="7300" w:type="dxa"/>
            <w:vAlign w:val="bottom"/>
          </w:tcPr>
          <w:p>
            <w:pPr>
              <w:ind w:left="140"/>
              <w:spacing w:after="0"/>
              <w:rPr>
                <w:sz w:val="20"/>
                <w:szCs w:val="20"/>
                <w:color w:val="auto"/>
              </w:rPr>
            </w:pPr>
            <w:r>
              <w:rPr>
                <w:rFonts w:ascii="Arial" w:cs="Arial" w:eastAsia="Arial" w:hAnsi="Arial"/>
                <w:sz w:val="10"/>
                <w:szCs w:val="10"/>
                <w:color w:val="auto"/>
              </w:rPr>
              <w:t>Exchange rate differences</w:t>
            </w: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339</w:t>
            </w:r>
          </w:p>
        </w:tc>
        <w:tc>
          <w:tcPr>
            <w:tcW w:w="880" w:type="dxa"/>
            <w:vAlign w:val="bottom"/>
          </w:tcPr>
          <w:p>
            <w:pPr>
              <w:spacing w:after="0"/>
              <w:rPr>
                <w:sz w:val="10"/>
                <w:szCs w:val="10"/>
                <w:color w:val="auto"/>
              </w:rPr>
            </w:pPr>
          </w:p>
        </w:tc>
        <w:tc>
          <w:tcPr>
            <w:tcW w:w="920" w:type="dxa"/>
            <w:vAlign w:val="bottom"/>
          </w:tcPr>
          <w:p>
            <w:pPr>
              <w:jc w:val="right"/>
              <w:ind w:right="452"/>
              <w:spacing w:after="0"/>
              <w:rPr>
                <w:sz w:val="20"/>
                <w:szCs w:val="20"/>
                <w:color w:val="auto"/>
              </w:rPr>
            </w:pPr>
            <w:r>
              <w:rPr>
                <w:rFonts w:ascii="Arial" w:cs="Arial" w:eastAsia="Arial" w:hAnsi="Arial"/>
                <w:sz w:val="10"/>
                <w:szCs w:val="10"/>
                <w:color w:val="auto"/>
              </w:rPr>
              <w:t>(34)</w:t>
            </w:r>
          </w:p>
        </w:tc>
        <w:tc>
          <w:tcPr>
            <w:tcW w:w="840" w:type="dxa"/>
            <w:vAlign w:val="bottom"/>
          </w:tcPr>
          <w:p>
            <w:pPr>
              <w:jc w:val="right"/>
              <w:spacing w:after="0"/>
              <w:rPr>
                <w:sz w:val="20"/>
                <w:szCs w:val="20"/>
                <w:color w:val="auto"/>
              </w:rPr>
            </w:pPr>
            <w:r>
              <w:rPr>
                <w:rFonts w:ascii="Arial" w:cs="Arial" w:eastAsia="Arial" w:hAnsi="Arial"/>
                <w:sz w:val="10"/>
                <w:szCs w:val="10"/>
                <w:color w:val="auto"/>
              </w:rPr>
              <w:t>623</w:t>
            </w:r>
          </w:p>
        </w:tc>
      </w:tr>
      <w:tr>
        <w:trPr>
          <w:trHeight w:val="126"/>
        </w:trPr>
        <w:tc>
          <w:tcPr>
            <w:tcW w:w="7300" w:type="dxa"/>
            <w:vAlign w:val="bottom"/>
          </w:tcPr>
          <w:p>
            <w:pPr>
              <w:ind w:left="140"/>
              <w:spacing w:after="0"/>
              <w:rPr>
                <w:sz w:val="20"/>
                <w:szCs w:val="20"/>
                <w:color w:val="auto"/>
              </w:rPr>
            </w:pPr>
            <w:r>
              <w:rPr>
                <w:rFonts w:ascii="Arial" w:cs="Arial" w:eastAsia="Arial" w:hAnsi="Arial"/>
                <w:sz w:val="10"/>
                <w:szCs w:val="10"/>
                <w:color w:val="auto"/>
              </w:rPr>
              <w:t>Disposals</w:t>
            </w: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(34)</w:t>
            </w:r>
          </w:p>
        </w:tc>
        <w:tc>
          <w:tcPr>
            <w:tcW w:w="880" w:type="dxa"/>
            <w:vAlign w:val="bottom"/>
          </w:tcPr>
          <w:p>
            <w:pPr>
              <w:spacing w:after="0"/>
              <w:rPr>
                <w:sz w:val="10"/>
                <w:szCs w:val="10"/>
                <w:color w:val="auto"/>
              </w:rPr>
            </w:pPr>
          </w:p>
        </w:tc>
        <w:tc>
          <w:tcPr>
            <w:tcW w:w="920" w:type="dxa"/>
            <w:vAlign w:val="bottom"/>
          </w:tcPr>
          <w:p>
            <w:pPr>
              <w:jc w:val="right"/>
              <w:ind w:right="452"/>
              <w:spacing w:after="0"/>
              <w:rPr>
                <w:sz w:val="20"/>
                <w:szCs w:val="20"/>
                <w:color w:val="auto"/>
              </w:rPr>
            </w:pPr>
            <w:r>
              <w:rPr>
                <w:rFonts w:ascii="Arial" w:cs="Arial" w:eastAsia="Arial" w:hAnsi="Arial"/>
                <w:sz w:val="10"/>
                <w:szCs w:val="10"/>
                <w:color w:val="auto"/>
              </w:rPr>
              <w:t>(235)</w:t>
            </w:r>
          </w:p>
        </w:tc>
        <w:tc>
          <w:tcPr>
            <w:tcW w:w="840" w:type="dxa"/>
            <w:vAlign w:val="bottom"/>
          </w:tcPr>
          <w:p>
            <w:pPr>
              <w:jc w:val="right"/>
              <w:spacing w:after="0"/>
              <w:rPr>
                <w:sz w:val="20"/>
                <w:szCs w:val="20"/>
                <w:color w:val="auto"/>
              </w:rPr>
            </w:pPr>
            <w:r>
              <w:rPr>
                <w:rFonts w:ascii="Arial" w:cs="Arial" w:eastAsia="Arial" w:hAnsi="Arial"/>
                <w:sz w:val="10"/>
                <w:szCs w:val="10"/>
                <w:color w:val="auto"/>
              </w:rPr>
              <w:t>(524)</w:t>
            </w:r>
          </w:p>
        </w:tc>
      </w:tr>
      <w:tr>
        <w:trPr>
          <w:trHeight w:val="126"/>
        </w:trPr>
        <w:tc>
          <w:tcPr>
            <w:tcW w:w="7300" w:type="dxa"/>
            <w:vAlign w:val="bottom"/>
          </w:tcPr>
          <w:p>
            <w:pPr>
              <w:ind w:left="140"/>
              <w:spacing w:after="0"/>
              <w:rPr>
                <w:sz w:val="20"/>
                <w:szCs w:val="20"/>
                <w:color w:val="auto"/>
              </w:rPr>
            </w:pPr>
            <w:r>
              <w:rPr>
                <w:rFonts w:ascii="Arial" w:cs="Arial" w:eastAsia="Arial" w:hAnsi="Arial"/>
                <w:sz w:val="10"/>
                <w:szCs w:val="10"/>
                <w:color w:val="auto"/>
              </w:rPr>
              <w:t>Changes in tax rates and legislation</w:t>
            </w: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(16)</w:t>
            </w:r>
          </w:p>
        </w:tc>
        <w:tc>
          <w:tcPr>
            <w:tcW w:w="880" w:type="dxa"/>
            <w:vAlign w:val="bottom"/>
          </w:tcPr>
          <w:p>
            <w:pPr>
              <w:spacing w:after="0"/>
              <w:rPr>
                <w:sz w:val="10"/>
                <w:szCs w:val="10"/>
                <w:color w:val="auto"/>
              </w:rPr>
            </w:pPr>
          </w:p>
        </w:tc>
        <w:tc>
          <w:tcPr>
            <w:tcW w:w="920" w:type="dxa"/>
            <w:vAlign w:val="bottom"/>
          </w:tcPr>
          <w:p>
            <w:pPr>
              <w:jc w:val="right"/>
              <w:ind w:right="452"/>
              <w:spacing w:after="0"/>
              <w:rPr>
                <w:sz w:val="20"/>
                <w:szCs w:val="20"/>
                <w:color w:val="auto"/>
              </w:rPr>
            </w:pPr>
            <w:r>
              <w:rPr>
                <w:rFonts w:ascii="Arial" w:cs="Arial" w:eastAsia="Arial" w:hAnsi="Arial"/>
                <w:sz w:val="10"/>
                <w:szCs w:val="10"/>
                <w:color w:val="auto"/>
              </w:rPr>
              <w:t>(67)</w:t>
            </w:r>
          </w:p>
        </w:tc>
        <w:tc>
          <w:tcPr>
            <w:tcW w:w="840" w:type="dxa"/>
            <w:vAlign w:val="bottom"/>
          </w:tcPr>
          <w:p>
            <w:pPr>
              <w:jc w:val="right"/>
              <w:spacing w:after="0"/>
              <w:rPr>
                <w:sz w:val="20"/>
                <w:szCs w:val="20"/>
                <w:color w:val="auto"/>
              </w:rPr>
            </w:pPr>
            <w:r>
              <w:rPr>
                <w:rFonts w:ascii="Arial" w:cs="Arial" w:eastAsia="Arial" w:hAnsi="Arial"/>
                <w:sz w:val="10"/>
                <w:szCs w:val="10"/>
                <w:color w:val="auto"/>
              </w:rPr>
              <w:t>(157)</w:t>
            </w:r>
          </w:p>
        </w:tc>
      </w:tr>
      <w:tr>
        <w:trPr>
          <w:trHeight w:val="126"/>
        </w:trPr>
        <w:tc>
          <w:tcPr>
            <w:tcW w:w="7300" w:type="dxa"/>
            <w:vAlign w:val="bottom"/>
          </w:tcPr>
          <w:p>
            <w:pPr>
              <w:ind w:left="140"/>
              <w:spacing w:after="0"/>
              <w:rPr>
                <w:sz w:val="20"/>
                <w:szCs w:val="20"/>
                <w:color w:val="auto"/>
              </w:rPr>
            </w:pPr>
            <w:r>
              <w:rPr>
                <w:rFonts w:ascii="Arial" w:cs="Arial" w:eastAsia="Arial" w:hAnsi="Arial"/>
                <w:sz w:val="10"/>
                <w:szCs w:val="10"/>
                <w:color w:val="auto"/>
              </w:rPr>
              <w:t>Income/(loss) not subject to tax at standard statutory rates</w:t>
            </w: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w:t>
            </w:r>
          </w:p>
        </w:tc>
        <w:tc>
          <w:tcPr>
            <w:tcW w:w="880" w:type="dxa"/>
            <w:vAlign w:val="bottom"/>
          </w:tcPr>
          <w:p>
            <w:pPr>
              <w:spacing w:after="0"/>
              <w:rPr>
                <w:sz w:val="10"/>
                <w:szCs w:val="10"/>
                <w:color w:val="auto"/>
              </w:rPr>
            </w:pPr>
          </w:p>
        </w:tc>
        <w:tc>
          <w:tcPr>
            <w:tcW w:w="920" w:type="dxa"/>
            <w:vAlign w:val="bottom"/>
          </w:tcPr>
          <w:p>
            <w:pPr>
              <w:jc w:val="right"/>
              <w:ind w:right="472"/>
              <w:spacing w:after="0"/>
              <w:rPr>
                <w:sz w:val="20"/>
                <w:szCs w:val="20"/>
                <w:color w:val="auto"/>
              </w:rPr>
            </w:pPr>
            <w:r>
              <w:rPr>
                <w:rFonts w:ascii="Arial" w:cs="Arial" w:eastAsia="Arial" w:hAnsi="Arial"/>
                <w:sz w:val="10"/>
                <w:szCs w:val="10"/>
                <w:color w:val="auto"/>
              </w:rPr>
              <w:t>159</w:t>
            </w:r>
          </w:p>
        </w:tc>
        <w:tc>
          <w:tcPr>
            <w:tcW w:w="840" w:type="dxa"/>
            <w:vAlign w:val="bottom"/>
          </w:tcPr>
          <w:p>
            <w:pPr>
              <w:jc w:val="right"/>
              <w:spacing w:after="0"/>
              <w:rPr>
                <w:sz w:val="20"/>
                <w:szCs w:val="20"/>
                <w:color w:val="auto"/>
              </w:rPr>
            </w:pPr>
            <w:r>
              <w:rPr>
                <w:rFonts w:ascii="Arial" w:cs="Arial" w:eastAsia="Arial" w:hAnsi="Arial"/>
                <w:sz w:val="10"/>
                <w:szCs w:val="10"/>
                <w:color w:val="auto"/>
              </w:rPr>
              <w:t>(286)</w:t>
            </w:r>
          </w:p>
        </w:tc>
      </w:tr>
      <w:tr>
        <w:trPr>
          <w:trHeight w:val="130"/>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reconciling items</w:t>
            </w: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88</w:t>
            </w:r>
          </w:p>
        </w:tc>
        <w:tc>
          <w:tcPr>
            <w:tcW w:w="8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288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w:t>
            </w:r>
          </w:p>
        </w:tc>
      </w:tr>
      <w:tr>
        <w:trPr>
          <w:trHeight w:val="117"/>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Taxation (credit)/charge</w:t>
            </w: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(5,433)</w:t>
            </w: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9,053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11,715</w:t>
            </w:r>
          </w:p>
        </w:tc>
      </w:tr>
    </w:tbl>
    <w:p>
      <w:pPr>
        <w:spacing w:after="0" w:line="42" w:lineRule="exact"/>
        <w:rPr>
          <w:sz w:val="20"/>
          <w:szCs w:val="20"/>
          <w:color w:val="auto"/>
        </w:rPr>
      </w:pPr>
    </w:p>
    <w:p>
      <w:pPr>
        <w:ind w:right="280"/>
        <w:spacing w:after="0" w:line="239" w:lineRule="auto"/>
        <w:rPr>
          <w:sz w:val="20"/>
          <w:szCs w:val="20"/>
          <w:color w:val="auto"/>
        </w:rPr>
      </w:pPr>
      <w:r>
        <w:rPr>
          <w:rFonts w:ascii="Arial" w:cs="Arial" w:eastAsia="Arial" w:hAnsi="Arial"/>
          <w:sz w:val="10"/>
          <w:szCs w:val="10"/>
          <w:color w:val="auto"/>
        </w:rPr>
        <w:t>The weighted average of statutory tax rates was 29% in 2020 (2019: 33%; 2018: 37%). The loss before taxation was significantly impacted by asset impairments which occurred in jurisdictions subject to relatively lower tax rates, resulting in a lower weighted average statutory tax rate as compared with 2019.</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40" w:type="dxa"/>
            <w:vAlign w:val="bottom"/>
            <w:shd w:val="clear" w:color="auto" w:fill="CDCDCD"/>
          </w:tcPr>
          <w:p>
            <w:pPr>
              <w:spacing w:after="0"/>
              <w:rPr>
                <w:sz w:val="10"/>
                <w:szCs w:val="10"/>
                <w:color w:val="auto"/>
              </w:rPr>
            </w:pPr>
          </w:p>
        </w:tc>
        <w:tc>
          <w:tcPr>
            <w:tcW w:w="1100" w:type="dxa"/>
            <w:vAlign w:val="bottom"/>
            <w:shd w:val="clear" w:color="auto" w:fill="CDCDCD"/>
          </w:tcPr>
          <w:p>
            <w:pPr>
              <w:spacing w:after="0"/>
              <w:rPr>
                <w:sz w:val="10"/>
                <w:szCs w:val="10"/>
                <w:color w:val="auto"/>
              </w:rPr>
            </w:pPr>
          </w:p>
        </w:tc>
        <w:tc>
          <w:tcPr>
            <w:tcW w:w="920" w:type="dxa"/>
            <w:vAlign w:val="bottom"/>
            <w:shd w:val="clear" w:color="auto" w:fill="CDCDCD"/>
          </w:tcPr>
          <w:p>
            <w:pPr>
              <w:spacing w:after="0"/>
              <w:rPr>
                <w:sz w:val="10"/>
                <w:szCs w:val="10"/>
                <w:color w:val="auto"/>
              </w:rPr>
            </w:pPr>
          </w:p>
        </w:tc>
        <w:tc>
          <w:tcPr>
            <w:tcW w:w="1040" w:type="dxa"/>
            <w:vAlign w:val="bottom"/>
            <w:shd w:val="clear" w:color="auto" w:fill="CDCDCD"/>
          </w:tcPr>
          <w:p>
            <w:pPr>
              <w:spacing w:after="0"/>
              <w:rPr>
                <w:sz w:val="10"/>
                <w:szCs w:val="10"/>
                <w:color w:val="auto"/>
              </w:rPr>
            </w:pPr>
          </w:p>
        </w:tc>
        <w:tc>
          <w:tcPr>
            <w:tcW w:w="240" w:type="dxa"/>
            <w:vAlign w:val="bottom"/>
            <w:shd w:val="clear" w:color="auto" w:fill="CDCDCD"/>
          </w:tcPr>
          <w:p>
            <w:pPr>
              <w:spacing w:after="0"/>
              <w:rPr>
                <w:sz w:val="10"/>
                <w:szCs w:val="10"/>
                <w:color w:val="auto"/>
              </w:rPr>
            </w:pPr>
          </w:p>
        </w:tc>
        <w:tc>
          <w:tcPr>
            <w:tcW w:w="720" w:type="dxa"/>
            <w:vAlign w:val="bottom"/>
            <w:shd w:val="clear" w:color="auto" w:fill="CDCDCD"/>
          </w:tcPr>
          <w:p>
            <w:pPr>
              <w:spacing w:after="0"/>
              <w:rPr>
                <w:sz w:val="10"/>
                <w:szCs w:val="10"/>
                <w:color w:val="auto"/>
              </w:rPr>
            </w:pPr>
          </w:p>
        </w:tc>
        <w:tc>
          <w:tcPr>
            <w:tcW w:w="600" w:type="dxa"/>
            <w:vAlign w:val="bottom"/>
            <w:shd w:val="clear" w:color="auto" w:fill="CDCDCD"/>
          </w:tcPr>
          <w:p>
            <w:pPr>
              <w:spacing w:after="0"/>
              <w:rPr>
                <w:sz w:val="10"/>
                <w:szCs w:val="10"/>
                <w:color w:val="auto"/>
              </w:rPr>
            </w:pPr>
          </w:p>
        </w:tc>
        <w:tc>
          <w:tcPr>
            <w:tcW w:w="540" w:type="dxa"/>
            <w:vAlign w:val="bottom"/>
            <w:shd w:val="clear" w:color="auto" w:fill="CDCDCD"/>
          </w:tcPr>
          <w:p>
            <w:pPr>
              <w:spacing w:after="0"/>
              <w:rPr>
                <w:sz w:val="10"/>
                <w:szCs w:val="10"/>
                <w:color w:val="auto"/>
              </w:rPr>
            </w:pPr>
          </w:p>
        </w:tc>
        <w:tc>
          <w:tcPr>
            <w:tcW w:w="780" w:type="dxa"/>
            <w:vAlign w:val="bottom"/>
            <w:shd w:val="clear" w:color="auto" w:fill="CDCDCD"/>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340" w:type="dxa"/>
            <w:vAlign w:val="bottom"/>
          </w:tcPr>
          <w:p>
            <w:pPr>
              <w:spacing w:after="0"/>
              <w:rPr>
                <w:sz w:val="20"/>
                <w:szCs w:val="20"/>
                <w:color w:val="auto"/>
              </w:rPr>
            </w:pPr>
            <w:r>
              <w:rPr>
                <w:rFonts w:ascii="Arial" w:cs="Arial" w:eastAsia="Arial" w:hAnsi="Arial"/>
                <w:sz w:val="10"/>
                <w:szCs w:val="10"/>
                <w:color w:val="auto"/>
              </w:rPr>
              <w:t>Taxes payable</w:t>
            </w:r>
          </w:p>
        </w:tc>
        <w:tc>
          <w:tcPr>
            <w:tcW w:w="1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7"/>
        </w:trPr>
        <w:tc>
          <w:tcPr>
            <w:tcW w:w="5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right"/>
              <w:ind w:right="512"/>
              <w:spacing w:after="0"/>
              <w:rPr>
                <w:sz w:val="20"/>
                <w:szCs w:val="20"/>
                <w:color w:val="auto"/>
              </w:rPr>
            </w:pPr>
            <w:r>
              <w:rPr>
                <w:rFonts w:ascii="Arial" w:cs="Arial" w:eastAsia="Arial" w:hAnsi="Arial"/>
                <w:sz w:val="10"/>
                <w:szCs w:val="10"/>
                <w:color w:val="auto"/>
                <w:w w:val="94"/>
              </w:rPr>
              <w:t>Dec 31, 2020</w:t>
            </w: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Dec 31, 2019</w:t>
            </w:r>
          </w:p>
        </w:tc>
        <w:tc>
          <w:tcPr>
            <w:tcW w:w="0" w:type="dxa"/>
            <w:vAlign w:val="bottom"/>
          </w:tcPr>
          <w:p>
            <w:pPr>
              <w:spacing w:after="0"/>
              <w:rPr>
                <w:sz w:val="1"/>
                <w:szCs w:val="1"/>
                <w:color w:val="auto"/>
              </w:rPr>
            </w:pPr>
          </w:p>
        </w:tc>
      </w:tr>
      <w:tr>
        <w:trPr>
          <w:trHeight w:val="114"/>
        </w:trPr>
        <w:tc>
          <w:tcPr>
            <w:tcW w:w="53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Income taxes</w:t>
            </w:r>
          </w:p>
        </w:tc>
        <w:tc>
          <w:tcPr>
            <w:tcW w:w="1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shd w:val="clear" w:color="auto" w:fill="D9D9D9"/>
          </w:tcPr>
          <w:p>
            <w:pPr>
              <w:spacing w:after="0"/>
              <w:rPr>
                <w:sz w:val="9"/>
                <w:szCs w:val="9"/>
                <w:color w:val="auto"/>
              </w:rPr>
            </w:pPr>
          </w:p>
        </w:tc>
        <w:tc>
          <w:tcPr>
            <w:tcW w:w="6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3,111</w:t>
            </w:r>
          </w:p>
        </w:tc>
        <w:tc>
          <w:tcPr>
            <w:tcW w:w="5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3,478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Sales taxes, excise duties and similar levies</w:t>
            </w:r>
          </w:p>
        </w:tc>
        <w:tc>
          <w:tcPr>
            <w:tcW w:w="1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shd w:val="clear" w:color="auto" w:fill="D9D9D9"/>
          </w:tcPr>
          <w:p>
            <w:pPr>
              <w:spacing w:after="0"/>
              <w:rPr>
                <w:sz w:val="11"/>
                <w:szCs w:val="11"/>
                <w:color w:val="auto"/>
              </w:rPr>
            </w:pPr>
          </w:p>
        </w:tc>
        <w:tc>
          <w:tcPr>
            <w:tcW w:w="6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2,895</w:t>
            </w: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shd w:val="clear" w:color="auto" w:fill="D9D9D9"/>
          </w:tcPr>
          <w:p>
            <w:pPr>
              <w:spacing w:after="0"/>
              <w:rPr>
                <w:sz w:val="10"/>
                <w:szCs w:val="10"/>
                <w:color w:val="auto"/>
              </w:rPr>
            </w:pPr>
          </w:p>
        </w:tc>
        <w:tc>
          <w:tcPr>
            <w:tcW w:w="6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6,006</w:t>
            </w:r>
          </w:p>
        </w:tc>
        <w:tc>
          <w:tcPr>
            <w:tcW w:w="5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6,693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5340" w:type="dxa"/>
            <w:vAlign w:val="bottom"/>
          </w:tcPr>
          <w:p>
            <w:pPr>
              <w:spacing w:after="0"/>
              <w:rPr>
                <w:sz w:val="20"/>
                <w:szCs w:val="20"/>
                <w:color w:val="auto"/>
              </w:rPr>
            </w:pPr>
            <w:r>
              <w:rPr>
                <w:rFonts w:ascii="Arial" w:cs="Arial" w:eastAsia="Arial" w:hAnsi="Arial"/>
                <w:sz w:val="10"/>
                <w:szCs w:val="10"/>
                <w:color w:val="auto"/>
                <w:w w:val="90"/>
              </w:rPr>
              <w:t>Included in other receivables at December 31, 2020 was income tax receivable of $1,293 million (2019</w:t>
            </w:r>
            <w:r>
              <w:rPr>
                <w:rFonts w:ascii="Arial" w:cs="Arial" w:eastAsia="Arial" w:hAnsi="Arial"/>
                <w:sz w:val="11"/>
                <w:szCs w:val="11"/>
                <w:color w:val="auto"/>
                <w:w w:val="90"/>
              </w:rPr>
              <w:t>:</w:t>
            </w:r>
            <w:r>
              <w:rPr>
                <w:rFonts w:ascii="Arial" w:cs="Arial" w:eastAsia="Arial" w:hAnsi="Arial"/>
                <w:sz w:val="10"/>
                <w:szCs w:val="10"/>
                <w:color w:val="auto"/>
                <w:w w:val="90"/>
              </w:rPr>
              <w:t xml:space="preserve"> $1,328 million) (see Note 11).</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534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2020 - Deferred tax</w:t>
            </w:r>
          </w:p>
        </w:tc>
        <w:tc>
          <w:tcPr>
            <w:tcW w:w="1100" w:type="dxa"/>
            <w:vAlign w:val="bottom"/>
            <w:tcBorders>
              <w:top w:val="single" w:sz="8" w:color="CDCDCD"/>
            </w:tcBorders>
          </w:tcPr>
          <w:p>
            <w:pPr>
              <w:spacing w:after="0"/>
              <w:rPr>
                <w:sz w:val="10"/>
                <w:szCs w:val="10"/>
                <w:color w:val="auto"/>
              </w:rPr>
            </w:pPr>
          </w:p>
        </w:tc>
        <w:tc>
          <w:tcPr>
            <w:tcW w:w="920" w:type="dxa"/>
            <w:vAlign w:val="bottom"/>
            <w:tcBorders>
              <w:top w:val="single" w:sz="8" w:color="CDCDCD"/>
            </w:tcBorders>
          </w:tcPr>
          <w:p>
            <w:pPr>
              <w:spacing w:after="0"/>
              <w:rPr>
                <w:sz w:val="10"/>
                <w:szCs w:val="10"/>
                <w:color w:val="auto"/>
              </w:rPr>
            </w:pPr>
          </w:p>
        </w:tc>
        <w:tc>
          <w:tcPr>
            <w:tcW w:w="1040" w:type="dxa"/>
            <w:vAlign w:val="bottom"/>
            <w:tcBorders>
              <w:top w:val="single" w:sz="8" w:color="CDCDCD"/>
            </w:tcBorders>
          </w:tcPr>
          <w:p>
            <w:pPr>
              <w:spacing w:after="0"/>
              <w:rPr>
                <w:sz w:val="10"/>
                <w:szCs w:val="10"/>
                <w:color w:val="auto"/>
              </w:rPr>
            </w:pPr>
          </w:p>
        </w:tc>
        <w:tc>
          <w:tcPr>
            <w:tcW w:w="240" w:type="dxa"/>
            <w:vAlign w:val="bottom"/>
            <w:tcBorders>
              <w:top w:val="single" w:sz="8" w:color="CDCDCD"/>
            </w:tcBorders>
          </w:tcPr>
          <w:p>
            <w:pPr>
              <w:spacing w:after="0"/>
              <w:rPr>
                <w:sz w:val="10"/>
                <w:szCs w:val="10"/>
                <w:color w:val="auto"/>
              </w:rPr>
            </w:pPr>
          </w:p>
        </w:tc>
        <w:tc>
          <w:tcPr>
            <w:tcW w:w="720" w:type="dxa"/>
            <w:vAlign w:val="bottom"/>
            <w:tcBorders>
              <w:top w:val="single" w:sz="8" w:color="CDCDCD"/>
            </w:tcBorders>
          </w:tcPr>
          <w:p>
            <w:pPr>
              <w:spacing w:after="0"/>
              <w:rPr>
                <w:sz w:val="10"/>
                <w:szCs w:val="10"/>
                <w:color w:val="auto"/>
              </w:rPr>
            </w:pPr>
          </w:p>
        </w:tc>
        <w:tc>
          <w:tcPr>
            <w:tcW w:w="600" w:type="dxa"/>
            <w:vAlign w:val="bottom"/>
            <w:tcBorders>
              <w:top w:val="single" w:sz="8" w:color="CDCDCD"/>
            </w:tcBorders>
          </w:tcPr>
          <w:p>
            <w:pPr>
              <w:spacing w:after="0"/>
              <w:rPr>
                <w:sz w:val="10"/>
                <w:szCs w:val="10"/>
                <w:color w:val="auto"/>
              </w:rPr>
            </w:pPr>
          </w:p>
        </w:tc>
        <w:tc>
          <w:tcPr>
            <w:tcW w:w="540" w:type="dxa"/>
            <w:vAlign w:val="bottom"/>
            <w:tcBorders>
              <w:top w:val="single" w:sz="8" w:color="CDCDCD"/>
            </w:tcBorders>
          </w:tcPr>
          <w:p>
            <w:pPr>
              <w:spacing w:after="0"/>
              <w:rPr>
                <w:sz w:val="10"/>
                <w:szCs w:val="10"/>
                <w:color w:val="auto"/>
              </w:rPr>
            </w:pPr>
          </w:p>
        </w:tc>
        <w:tc>
          <w:tcPr>
            <w:tcW w:w="78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340" w:type="dxa"/>
            <w:vAlign w:val="bottom"/>
          </w:tcPr>
          <w:p>
            <w:pPr>
              <w:spacing w:after="0"/>
              <w:rPr>
                <w:sz w:val="8"/>
                <w:szCs w:val="8"/>
                <w:color w:val="auto"/>
              </w:rPr>
            </w:pPr>
          </w:p>
        </w:tc>
        <w:tc>
          <w:tcPr>
            <w:tcW w:w="1100" w:type="dxa"/>
            <w:vAlign w:val="bottom"/>
          </w:tcPr>
          <w:p>
            <w:pPr>
              <w:jc w:val="right"/>
              <w:ind w:right="93"/>
              <w:spacing w:after="0" w:line="95" w:lineRule="exact"/>
              <w:rPr>
                <w:sz w:val="20"/>
                <w:szCs w:val="20"/>
                <w:color w:val="auto"/>
              </w:rPr>
            </w:pPr>
            <w:r>
              <w:rPr>
                <w:rFonts w:ascii="Arial" w:cs="Arial" w:eastAsia="Arial" w:hAnsi="Arial"/>
                <w:sz w:val="10"/>
                <w:szCs w:val="10"/>
                <w:color w:val="auto"/>
              </w:rPr>
              <w:t>Decommissioning</w:t>
            </w:r>
          </w:p>
        </w:tc>
        <w:tc>
          <w:tcPr>
            <w:tcW w:w="920" w:type="dxa"/>
            <w:vAlign w:val="bottom"/>
            <w:vMerge w:val="restart"/>
          </w:tcPr>
          <w:p>
            <w:pPr>
              <w:jc w:val="right"/>
              <w:ind w:right="12"/>
              <w:spacing w:after="0"/>
              <w:rPr>
                <w:sz w:val="20"/>
                <w:szCs w:val="20"/>
                <w:color w:val="auto"/>
              </w:rPr>
            </w:pPr>
            <w:r>
              <w:rPr>
                <w:rFonts w:ascii="Arial" w:cs="Arial" w:eastAsia="Arial" w:hAnsi="Arial"/>
                <w:sz w:val="10"/>
                <w:szCs w:val="10"/>
                <w:color w:val="auto"/>
                <w:w w:val="99"/>
              </w:rPr>
              <w:t>Property, plant and</w:t>
            </w:r>
          </w:p>
        </w:tc>
        <w:tc>
          <w:tcPr>
            <w:tcW w:w="1040" w:type="dxa"/>
            <w:vAlign w:val="bottom"/>
            <w:vMerge w:val="restart"/>
          </w:tcPr>
          <w:p>
            <w:pPr>
              <w:jc w:val="right"/>
              <w:ind w:right="92"/>
              <w:spacing w:after="0"/>
              <w:rPr>
                <w:sz w:val="20"/>
                <w:szCs w:val="20"/>
                <w:color w:val="auto"/>
              </w:rPr>
            </w:pPr>
            <w:r>
              <w:rPr>
                <w:rFonts w:ascii="Arial" w:cs="Arial" w:eastAsia="Arial" w:hAnsi="Arial"/>
                <w:sz w:val="10"/>
                <w:szCs w:val="10"/>
                <w:color w:val="auto"/>
                <w:w w:val="88"/>
              </w:rPr>
              <w:t>Tax losses and credits</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340" w:type="dxa"/>
            <w:vAlign w:val="bottom"/>
            <w:vMerge w:val="restart"/>
          </w:tcPr>
          <w:p>
            <w:pPr>
              <w:spacing w:after="0"/>
              <w:rPr>
                <w:sz w:val="20"/>
                <w:szCs w:val="20"/>
                <w:color w:val="auto"/>
              </w:rPr>
            </w:pPr>
            <w:r>
              <w:rPr>
                <w:rFonts w:ascii="Arial" w:cs="Arial" w:eastAsia="Arial" w:hAnsi="Arial"/>
                <w:sz w:val="10"/>
                <w:szCs w:val="10"/>
                <w:b w:val="1"/>
                <w:bCs w:val="1"/>
                <w:color w:val="auto"/>
              </w:rPr>
              <w:t>Deferred tax asset</w:t>
            </w:r>
          </w:p>
        </w:tc>
        <w:tc>
          <w:tcPr>
            <w:tcW w:w="1100" w:type="dxa"/>
            <w:vAlign w:val="bottom"/>
          </w:tcPr>
          <w:p>
            <w:pPr>
              <w:jc w:val="right"/>
              <w:ind w:right="93"/>
              <w:spacing w:after="0" w:line="90" w:lineRule="exact"/>
              <w:rPr>
                <w:sz w:val="20"/>
                <w:szCs w:val="20"/>
                <w:color w:val="auto"/>
              </w:rPr>
            </w:pPr>
            <w:r>
              <w:rPr>
                <w:rFonts w:ascii="Arial" w:cs="Arial" w:eastAsia="Arial" w:hAnsi="Arial"/>
                <w:sz w:val="10"/>
                <w:szCs w:val="10"/>
                <w:color w:val="auto"/>
              </w:rPr>
              <w:t>and other</w:t>
            </w:r>
          </w:p>
        </w:tc>
        <w:tc>
          <w:tcPr>
            <w:tcW w:w="9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0"/>
                <w:szCs w:val="10"/>
                <w:color w:val="auto"/>
                <w:w w:val="99"/>
              </w:rPr>
              <w:t>Retirement benefits</w:t>
            </w:r>
          </w:p>
        </w:tc>
        <w:tc>
          <w:tcPr>
            <w:tcW w:w="600" w:type="dxa"/>
            <w:vAlign w:val="bottom"/>
          </w:tcPr>
          <w:p>
            <w:pPr>
              <w:spacing w:after="0"/>
              <w:rPr>
                <w:sz w:val="7"/>
                <w:szCs w:val="7"/>
                <w:color w:val="auto"/>
              </w:rPr>
            </w:pPr>
          </w:p>
        </w:tc>
        <w:tc>
          <w:tcPr>
            <w:tcW w:w="540" w:type="dxa"/>
            <w:vAlign w:val="bottom"/>
            <w:vMerge w:val="restart"/>
          </w:tcPr>
          <w:p>
            <w:pPr>
              <w:jc w:val="right"/>
              <w:ind w:right="192"/>
              <w:spacing w:after="0"/>
              <w:rPr>
                <w:sz w:val="20"/>
                <w:szCs w:val="20"/>
                <w:color w:val="auto"/>
              </w:rPr>
            </w:pPr>
            <w:r>
              <w:rPr>
                <w:rFonts w:ascii="Arial" w:cs="Arial" w:eastAsia="Arial" w:hAnsi="Arial"/>
                <w:sz w:val="10"/>
                <w:szCs w:val="10"/>
                <w:color w:val="auto"/>
              </w:rPr>
              <w:t>Other</w:t>
            </w: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5340" w:type="dxa"/>
            <w:vAlign w:val="bottom"/>
            <w:vMerge w:val="continue"/>
          </w:tcPr>
          <w:p>
            <w:pPr>
              <w:spacing w:after="0"/>
              <w:rPr>
                <w:sz w:val="10"/>
                <w:szCs w:val="10"/>
                <w:color w:val="auto"/>
              </w:rPr>
            </w:pPr>
          </w:p>
        </w:tc>
        <w:tc>
          <w:tcPr>
            <w:tcW w:w="1100" w:type="dxa"/>
            <w:vAlign w:val="bottom"/>
          </w:tcPr>
          <w:p>
            <w:pPr>
              <w:jc w:val="right"/>
              <w:ind w:right="93"/>
              <w:spacing w:after="0"/>
              <w:rPr>
                <w:sz w:val="20"/>
                <w:szCs w:val="20"/>
                <w:color w:val="auto"/>
              </w:rPr>
            </w:pPr>
            <w:r>
              <w:rPr>
                <w:rFonts w:ascii="Arial" w:cs="Arial" w:eastAsia="Arial" w:hAnsi="Arial"/>
                <w:sz w:val="10"/>
                <w:szCs w:val="10"/>
                <w:color w:val="auto"/>
              </w:rPr>
              <w:t>provisions</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equipment</w:t>
            </w: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carried forward</w:t>
            </w:r>
          </w:p>
        </w:tc>
        <w:tc>
          <w:tcPr>
            <w:tcW w:w="9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340" w:type="dxa"/>
            <w:vAlign w:val="bottom"/>
            <w:tcBorders>
              <w:top w:val="single" w:sz="8" w:color="auto"/>
            </w:tcBorders>
          </w:tcPr>
          <w:p>
            <w:pPr>
              <w:spacing w:after="0" w:line="113" w:lineRule="exact"/>
              <w:rPr>
                <w:sz w:val="20"/>
                <w:szCs w:val="20"/>
                <w:color w:val="auto"/>
              </w:rPr>
            </w:pPr>
            <w:r>
              <w:rPr>
                <w:rFonts w:ascii="Arial" w:cs="Arial" w:eastAsia="Arial" w:hAnsi="Arial"/>
                <w:sz w:val="10"/>
                <w:szCs w:val="10"/>
                <w:color w:val="auto"/>
              </w:rPr>
              <w:t>At January 1, 2020</w:t>
            </w:r>
          </w:p>
        </w:tc>
        <w:tc>
          <w:tcPr>
            <w:tcW w:w="1100" w:type="dxa"/>
            <w:vAlign w:val="bottom"/>
            <w:tcBorders>
              <w:top w:val="single" w:sz="8" w:color="auto"/>
            </w:tcBorders>
          </w:tcPr>
          <w:p>
            <w:pPr>
              <w:jc w:val="right"/>
              <w:ind w:right="113"/>
              <w:spacing w:after="0" w:line="113" w:lineRule="exact"/>
              <w:rPr>
                <w:sz w:val="20"/>
                <w:szCs w:val="20"/>
                <w:color w:val="auto"/>
              </w:rPr>
            </w:pPr>
            <w:r>
              <w:rPr>
                <w:rFonts w:ascii="Arial" w:cs="Arial" w:eastAsia="Arial" w:hAnsi="Arial"/>
                <w:sz w:val="10"/>
                <w:szCs w:val="10"/>
                <w:color w:val="auto"/>
              </w:rPr>
              <w:t>5,380</w:t>
            </w:r>
          </w:p>
        </w:tc>
        <w:tc>
          <w:tcPr>
            <w:tcW w:w="920" w:type="dxa"/>
            <w:vAlign w:val="bottom"/>
            <w:tcBorders>
              <w:top w:val="single" w:sz="8" w:color="auto"/>
            </w:tcBorders>
          </w:tcPr>
          <w:p>
            <w:pPr>
              <w:jc w:val="right"/>
              <w:ind w:right="52"/>
              <w:spacing w:after="0" w:line="113" w:lineRule="exact"/>
              <w:rPr>
                <w:sz w:val="20"/>
                <w:szCs w:val="20"/>
                <w:color w:val="auto"/>
              </w:rPr>
            </w:pPr>
            <w:r>
              <w:rPr>
                <w:rFonts w:ascii="Arial" w:cs="Arial" w:eastAsia="Arial" w:hAnsi="Arial"/>
                <w:sz w:val="10"/>
                <w:szCs w:val="10"/>
                <w:color w:val="auto"/>
              </w:rPr>
              <w:t>3,014</w:t>
            </w:r>
          </w:p>
        </w:tc>
        <w:tc>
          <w:tcPr>
            <w:tcW w:w="1040" w:type="dxa"/>
            <w:vAlign w:val="bottom"/>
            <w:tcBorders>
              <w:top w:val="single" w:sz="8" w:color="auto"/>
            </w:tcBorders>
          </w:tcPr>
          <w:p>
            <w:pPr>
              <w:jc w:val="right"/>
              <w:ind w:right="92"/>
              <w:spacing w:after="0" w:line="113" w:lineRule="exact"/>
              <w:rPr>
                <w:sz w:val="20"/>
                <w:szCs w:val="20"/>
                <w:color w:val="auto"/>
              </w:rPr>
            </w:pPr>
            <w:r>
              <w:rPr>
                <w:rFonts w:ascii="Arial" w:cs="Arial" w:eastAsia="Arial" w:hAnsi="Arial"/>
                <w:sz w:val="10"/>
                <w:szCs w:val="10"/>
                <w:color w:val="auto"/>
              </w:rPr>
              <w:t>11,629</w:t>
            </w:r>
          </w:p>
        </w:tc>
        <w:tc>
          <w:tcPr>
            <w:tcW w:w="960" w:type="dxa"/>
            <w:vAlign w:val="bottom"/>
            <w:tcBorders>
              <w:top w:val="single" w:sz="8" w:color="auto"/>
            </w:tcBorders>
            <w:gridSpan w:val="2"/>
          </w:tcPr>
          <w:p>
            <w:pPr>
              <w:jc w:val="right"/>
              <w:ind w:right="120"/>
              <w:spacing w:after="0" w:line="113" w:lineRule="exact"/>
              <w:rPr>
                <w:sz w:val="20"/>
                <w:szCs w:val="20"/>
                <w:color w:val="auto"/>
              </w:rPr>
            </w:pPr>
            <w:r>
              <w:rPr>
                <w:rFonts w:ascii="Arial" w:cs="Arial" w:eastAsia="Arial" w:hAnsi="Arial"/>
                <w:sz w:val="10"/>
                <w:szCs w:val="10"/>
                <w:color w:val="auto"/>
              </w:rPr>
              <w:t>3,660</w:t>
            </w:r>
          </w:p>
        </w:tc>
        <w:tc>
          <w:tcPr>
            <w:tcW w:w="1140" w:type="dxa"/>
            <w:vAlign w:val="bottom"/>
            <w:tcBorders>
              <w:top w:val="single" w:sz="8" w:color="auto"/>
            </w:tcBorders>
            <w:gridSpan w:val="2"/>
          </w:tcPr>
          <w:p>
            <w:pPr>
              <w:jc w:val="right"/>
              <w:ind w:right="212"/>
              <w:spacing w:after="0" w:line="113" w:lineRule="exact"/>
              <w:rPr>
                <w:sz w:val="20"/>
                <w:szCs w:val="20"/>
                <w:color w:val="auto"/>
              </w:rPr>
            </w:pPr>
            <w:r>
              <w:rPr>
                <w:rFonts w:ascii="Arial" w:cs="Arial" w:eastAsia="Arial" w:hAnsi="Arial"/>
                <w:sz w:val="10"/>
                <w:szCs w:val="10"/>
                <w:color w:val="auto"/>
              </w:rPr>
              <w:t>4,361</w:t>
            </w:r>
          </w:p>
        </w:tc>
        <w:tc>
          <w:tcPr>
            <w:tcW w:w="780" w:type="dxa"/>
            <w:vAlign w:val="bottom"/>
            <w:tcBorders>
              <w:top w:val="single" w:sz="8" w:color="auto"/>
            </w:tcBorders>
          </w:tcPr>
          <w:p>
            <w:pPr>
              <w:jc w:val="right"/>
              <w:ind w:right="12"/>
              <w:spacing w:after="0" w:line="113" w:lineRule="exact"/>
              <w:rPr>
                <w:sz w:val="20"/>
                <w:szCs w:val="20"/>
                <w:color w:val="auto"/>
              </w:rPr>
            </w:pPr>
            <w:r>
              <w:rPr>
                <w:rFonts w:ascii="Arial" w:cs="Arial" w:eastAsia="Arial" w:hAnsi="Arial"/>
                <w:sz w:val="10"/>
                <w:szCs w:val="10"/>
                <w:color w:val="auto"/>
              </w:rPr>
              <w:t>28,044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5340" w:type="dxa"/>
            <w:vAlign w:val="bottom"/>
          </w:tcPr>
          <w:p>
            <w:pPr>
              <w:spacing w:after="0"/>
              <w:rPr>
                <w:sz w:val="20"/>
                <w:szCs w:val="20"/>
                <w:color w:val="auto"/>
              </w:rPr>
            </w:pPr>
            <w:r>
              <w:rPr>
                <w:rFonts w:ascii="Arial" w:cs="Arial" w:eastAsia="Arial" w:hAnsi="Arial"/>
                <w:sz w:val="10"/>
                <w:szCs w:val="10"/>
                <w:color w:val="auto"/>
              </w:rPr>
              <w:t>Credit/(charge) to income</w:t>
            </w:r>
          </w:p>
        </w:tc>
        <w:tc>
          <w:tcPr>
            <w:tcW w:w="1100" w:type="dxa"/>
            <w:vAlign w:val="bottom"/>
          </w:tcPr>
          <w:p>
            <w:pPr>
              <w:jc w:val="right"/>
              <w:ind w:right="113"/>
              <w:spacing w:after="0"/>
              <w:rPr>
                <w:sz w:val="20"/>
                <w:szCs w:val="20"/>
                <w:color w:val="auto"/>
              </w:rPr>
            </w:pPr>
            <w:r>
              <w:rPr>
                <w:rFonts w:ascii="Arial" w:cs="Arial" w:eastAsia="Arial" w:hAnsi="Arial"/>
                <w:sz w:val="10"/>
                <w:szCs w:val="10"/>
                <w:color w:val="auto"/>
              </w:rPr>
              <w:t>1,057</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1,975</w:t>
            </w:r>
          </w:p>
        </w:tc>
        <w:tc>
          <w:tcPr>
            <w:tcW w:w="1040" w:type="dxa"/>
            <w:vAlign w:val="bottom"/>
          </w:tcPr>
          <w:p>
            <w:pPr>
              <w:jc w:val="right"/>
              <w:ind w:right="92"/>
              <w:spacing w:after="0"/>
              <w:rPr>
                <w:sz w:val="20"/>
                <w:szCs w:val="20"/>
                <w:color w:val="auto"/>
              </w:rPr>
            </w:pPr>
            <w:r>
              <w:rPr>
                <w:rFonts w:ascii="Arial" w:cs="Arial" w:eastAsia="Arial" w:hAnsi="Arial"/>
                <w:sz w:val="10"/>
                <w:szCs w:val="10"/>
                <w:color w:val="auto"/>
              </w:rPr>
              <w:t>685</w:t>
            </w:r>
          </w:p>
        </w:tc>
        <w:tc>
          <w:tcPr>
            <w:tcW w:w="960" w:type="dxa"/>
            <w:vAlign w:val="bottom"/>
            <w:gridSpan w:val="2"/>
          </w:tcPr>
          <w:p>
            <w:pPr>
              <w:jc w:val="right"/>
              <w:ind w:right="80"/>
              <w:spacing w:after="0"/>
              <w:rPr>
                <w:sz w:val="20"/>
                <w:szCs w:val="20"/>
                <w:color w:val="auto"/>
              </w:rPr>
            </w:pPr>
            <w:r>
              <w:rPr>
                <w:rFonts w:ascii="Arial" w:cs="Arial" w:eastAsia="Arial" w:hAnsi="Arial"/>
                <w:sz w:val="10"/>
                <w:szCs w:val="10"/>
                <w:color w:val="auto"/>
              </w:rPr>
              <w:t>(250)</w:t>
            </w:r>
          </w:p>
        </w:tc>
        <w:tc>
          <w:tcPr>
            <w:tcW w:w="1140" w:type="dxa"/>
            <w:vAlign w:val="bottom"/>
            <w:gridSpan w:val="2"/>
          </w:tcPr>
          <w:p>
            <w:pPr>
              <w:jc w:val="right"/>
              <w:ind w:right="212"/>
              <w:spacing w:after="0"/>
              <w:rPr>
                <w:sz w:val="20"/>
                <w:szCs w:val="20"/>
                <w:color w:val="auto"/>
              </w:rPr>
            </w:pPr>
            <w:r>
              <w:rPr>
                <w:rFonts w:ascii="Arial" w:cs="Arial" w:eastAsia="Arial" w:hAnsi="Arial"/>
                <w:sz w:val="10"/>
                <w:szCs w:val="10"/>
                <w:color w:val="auto"/>
              </w:rPr>
              <w:t>605</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4,072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340" w:type="dxa"/>
            <w:vAlign w:val="bottom"/>
          </w:tcPr>
          <w:p>
            <w:pPr>
              <w:spacing w:after="0"/>
              <w:rPr>
                <w:sz w:val="20"/>
                <w:szCs w:val="20"/>
                <w:color w:val="auto"/>
              </w:rPr>
            </w:pPr>
            <w:r>
              <w:rPr>
                <w:rFonts w:ascii="Arial" w:cs="Arial" w:eastAsia="Arial" w:hAnsi="Arial"/>
                <w:sz w:val="10"/>
                <w:szCs w:val="10"/>
                <w:color w:val="auto"/>
              </w:rPr>
              <w:t>Currency translation differences</w:t>
            </w:r>
          </w:p>
        </w:tc>
        <w:tc>
          <w:tcPr>
            <w:tcW w:w="1100" w:type="dxa"/>
            <w:vAlign w:val="bottom"/>
          </w:tcPr>
          <w:p>
            <w:pPr>
              <w:jc w:val="right"/>
              <w:ind w:right="113"/>
              <w:spacing w:after="0"/>
              <w:rPr>
                <w:sz w:val="20"/>
                <w:szCs w:val="20"/>
                <w:color w:val="auto"/>
              </w:rPr>
            </w:pPr>
            <w:r>
              <w:rPr>
                <w:rFonts w:ascii="Arial" w:cs="Arial" w:eastAsia="Arial" w:hAnsi="Arial"/>
                <w:sz w:val="10"/>
                <w:szCs w:val="10"/>
                <w:color w:val="auto"/>
              </w:rPr>
              <w:t>140</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163</w:t>
            </w:r>
          </w:p>
        </w:tc>
        <w:tc>
          <w:tcPr>
            <w:tcW w:w="1040" w:type="dxa"/>
            <w:vAlign w:val="bottom"/>
          </w:tcPr>
          <w:p>
            <w:pPr>
              <w:jc w:val="right"/>
              <w:ind w:right="92"/>
              <w:spacing w:after="0"/>
              <w:rPr>
                <w:sz w:val="20"/>
                <w:szCs w:val="20"/>
                <w:color w:val="auto"/>
              </w:rPr>
            </w:pPr>
            <w:r>
              <w:rPr>
                <w:rFonts w:ascii="Arial" w:cs="Arial" w:eastAsia="Arial" w:hAnsi="Arial"/>
                <w:sz w:val="10"/>
                <w:szCs w:val="10"/>
                <w:color w:val="auto"/>
              </w:rPr>
              <w:t>286</w:t>
            </w: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122</w:t>
            </w:r>
          </w:p>
        </w:tc>
        <w:tc>
          <w:tcPr>
            <w:tcW w:w="1140" w:type="dxa"/>
            <w:vAlign w:val="bottom"/>
            <w:gridSpan w:val="2"/>
          </w:tcPr>
          <w:p>
            <w:pPr>
              <w:jc w:val="right"/>
              <w:ind w:right="212"/>
              <w:spacing w:after="0"/>
              <w:rPr>
                <w:sz w:val="20"/>
                <w:szCs w:val="20"/>
                <w:color w:val="auto"/>
              </w:rPr>
            </w:pPr>
            <w:r>
              <w:rPr>
                <w:rFonts w:ascii="Arial" w:cs="Arial" w:eastAsia="Arial" w:hAnsi="Arial"/>
                <w:sz w:val="10"/>
                <w:szCs w:val="10"/>
                <w:color w:val="auto"/>
              </w:rPr>
              <w:t>58</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769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w:t>
            </w: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0"/>
                <w:szCs w:val="10"/>
                <w:color w:val="auto"/>
              </w:rPr>
              <w:t>(10)</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80</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(104)</w:t>
            </w: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242</w:t>
            </w:r>
          </w:p>
        </w:tc>
        <w:tc>
          <w:tcPr>
            <w:tcW w:w="11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0"/>
                <w:szCs w:val="10"/>
                <w:color w:val="auto"/>
              </w:rPr>
              <w:t>60</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2020</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0"/>
                <w:szCs w:val="10"/>
                <w:color w:val="auto"/>
              </w:rPr>
              <w:t>6,567</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5,232</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12,496</w:t>
            </w: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3,774</w:t>
            </w:r>
          </w:p>
        </w:tc>
        <w:tc>
          <w:tcPr>
            <w:tcW w:w="11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0"/>
                <w:szCs w:val="10"/>
                <w:color w:val="auto"/>
              </w:rPr>
              <w:t>5,084</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33,153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Deferred tax liability</w:t>
            </w: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5340" w:type="dxa"/>
            <w:vAlign w:val="bottom"/>
          </w:tcPr>
          <w:p>
            <w:pPr>
              <w:spacing w:after="0" w:line="112" w:lineRule="exact"/>
              <w:rPr>
                <w:sz w:val="20"/>
                <w:szCs w:val="20"/>
                <w:color w:val="auto"/>
              </w:rPr>
            </w:pPr>
            <w:r>
              <w:rPr>
                <w:rFonts w:ascii="Arial" w:cs="Arial" w:eastAsia="Arial" w:hAnsi="Arial"/>
                <w:sz w:val="10"/>
                <w:szCs w:val="10"/>
                <w:color w:val="auto"/>
              </w:rPr>
              <w:t>At January 1, 2020</w:t>
            </w:r>
          </w:p>
        </w:tc>
        <w:tc>
          <w:tcPr>
            <w:tcW w:w="1100" w:type="dxa"/>
            <w:vAlign w:val="bottom"/>
          </w:tcPr>
          <w:p>
            <w:pPr>
              <w:spacing w:after="0"/>
              <w:rPr>
                <w:sz w:val="9"/>
                <w:szCs w:val="9"/>
                <w:color w:val="auto"/>
              </w:rPr>
            </w:pPr>
          </w:p>
        </w:tc>
        <w:tc>
          <w:tcPr>
            <w:tcW w:w="920" w:type="dxa"/>
            <w:vAlign w:val="bottom"/>
          </w:tcPr>
          <w:p>
            <w:pPr>
              <w:jc w:val="right"/>
              <w:ind w:right="12"/>
              <w:spacing w:after="0" w:line="112" w:lineRule="exact"/>
              <w:rPr>
                <w:sz w:val="20"/>
                <w:szCs w:val="20"/>
                <w:color w:val="auto"/>
              </w:rPr>
            </w:pPr>
            <w:r>
              <w:rPr>
                <w:rFonts w:ascii="Arial" w:cs="Arial" w:eastAsia="Arial" w:hAnsi="Arial"/>
                <w:sz w:val="10"/>
                <w:szCs w:val="10"/>
                <w:color w:val="auto"/>
              </w:rPr>
              <w:t>(28,040)</w:t>
            </w:r>
          </w:p>
        </w:tc>
        <w:tc>
          <w:tcPr>
            <w:tcW w:w="1040" w:type="dxa"/>
            <w:vAlign w:val="bottom"/>
          </w:tcPr>
          <w:p>
            <w:pPr>
              <w:spacing w:after="0"/>
              <w:rPr>
                <w:sz w:val="9"/>
                <w:szCs w:val="9"/>
                <w:color w:val="auto"/>
              </w:rPr>
            </w:pPr>
          </w:p>
        </w:tc>
        <w:tc>
          <w:tcPr>
            <w:tcW w:w="960" w:type="dxa"/>
            <w:vAlign w:val="bottom"/>
            <w:gridSpan w:val="2"/>
          </w:tcPr>
          <w:p>
            <w:pPr>
              <w:jc w:val="right"/>
              <w:ind w:right="80"/>
              <w:spacing w:after="0" w:line="112" w:lineRule="exact"/>
              <w:rPr>
                <w:sz w:val="20"/>
                <w:szCs w:val="20"/>
                <w:color w:val="auto"/>
              </w:rPr>
            </w:pPr>
            <w:r>
              <w:rPr>
                <w:rFonts w:ascii="Arial" w:cs="Arial" w:eastAsia="Arial" w:hAnsi="Arial"/>
                <w:sz w:val="10"/>
                <w:szCs w:val="10"/>
                <w:color w:val="auto"/>
              </w:rPr>
              <w:t>(1,093)</w:t>
            </w:r>
          </w:p>
        </w:tc>
        <w:tc>
          <w:tcPr>
            <w:tcW w:w="1140" w:type="dxa"/>
            <w:vAlign w:val="bottom"/>
            <w:gridSpan w:val="2"/>
          </w:tcPr>
          <w:p>
            <w:pPr>
              <w:jc w:val="right"/>
              <w:ind w:right="192"/>
              <w:spacing w:after="0" w:line="112" w:lineRule="exact"/>
              <w:rPr>
                <w:sz w:val="20"/>
                <w:szCs w:val="20"/>
                <w:color w:val="auto"/>
              </w:rPr>
            </w:pPr>
            <w:r>
              <w:rPr>
                <w:rFonts w:ascii="Arial" w:cs="Arial" w:eastAsia="Arial" w:hAnsi="Arial"/>
                <w:sz w:val="10"/>
                <w:szCs w:val="10"/>
                <w:color w:val="auto"/>
              </w:rPr>
              <w:t>(2,909)</w:t>
            </w:r>
          </w:p>
        </w:tc>
        <w:tc>
          <w:tcPr>
            <w:tcW w:w="780" w:type="dxa"/>
            <w:vAlign w:val="bottom"/>
          </w:tcPr>
          <w:p>
            <w:pPr>
              <w:jc w:val="right"/>
              <w:spacing w:after="0" w:line="112" w:lineRule="exact"/>
              <w:rPr>
                <w:sz w:val="20"/>
                <w:szCs w:val="20"/>
                <w:color w:val="auto"/>
              </w:rPr>
            </w:pPr>
            <w:r>
              <w:rPr>
                <w:rFonts w:ascii="Arial" w:cs="Arial" w:eastAsia="Arial" w:hAnsi="Arial"/>
                <w:sz w:val="10"/>
                <w:szCs w:val="10"/>
                <w:color w:val="auto"/>
              </w:rPr>
              <w:t>(32,042)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5340" w:type="dxa"/>
            <w:vAlign w:val="bottom"/>
          </w:tcPr>
          <w:p>
            <w:pPr>
              <w:spacing w:after="0"/>
              <w:rPr>
                <w:sz w:val="20"/>
                <w:szCs w:val="20"/>
                <w:color w:val="auto"/>
              </w:rPr>
            </w:pPr>
            <w:r>
              <w:rPr>
                <w:rFonts w:ascii="Arial" w:cs="Arial" w:eastAsia="Arial" w:hAnsi="Arial"/>
                <w:sz w:val="10"/>
                <w:szCs w:val="10"/>
                <w:color w:val="auto"/>
              </w:rPr>
              <w:t>Credit to income</w:t>
            </w:r>
          </w:p>
        </w:tc>
        <w:tc>
          <w:tcPr>
            <w:tcW w:w="1100" w:type="dxa"/>
            <w:vAlign w:val="bottom"/>
          </w:tcPr>
          <w:p>
            <w:pPr>
              <w:spacing w:after="0"/>
              <w:rPr>
                <w:sz w:val="10"/>
                <w:szCs w:val="10"/>
                <w:color w:val="auto"/>
              </w:rPr>
            </w:pP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4,355</w:t>
            </w:r>
          </w:p>
        </w:tc>
        <w:tc>
          <w:tcPr>
            <w:tcW w:w="104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4</w:t>
            </w:r>
          </w:p>
        </w:tc>
        <w:tc>
          <w:tcPr>
            <w:tcW w:w="1140" w:type="dxa"/>
            <w:vAlign w:val="bottom"/>
            <w:gridSpan w:val="2"/>
          </w:tcPr>
          <w:p>
            <w:pPr>
              <w:jc w:val="right"/>
              <w:ind w:right="212"/>
              <w:spacing w:after="0"/>
              <w:rPr>
                <w:sz w:val="20"/>
                <w:szCs w:val="20"/>
                <w:color w:val="auto"/>
              </w:rPr>
            </w:pPr>
            <w:r>
              <w:rPr>
                <w:rFonts w:ascii="Arial" w:cs="Arial" w:eastAsia="Arial" w:hAnsi="Arial"/>
                <w:sz w:val="10"/>
                <w:szCs w:val="10"/>
                <w:color w:val="auto"/>
              </w:rPr>
              <w:t>218</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4,577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340" w:type="dxa"/>
            <w:vAlign w:val="bottom"/>
          </w:tcPr>
          <w:p>
            <w:pPr>
              <w:spacing w:after="0"/>
              <w:rPr>
                <w:sz w:val="20"/>
                <w:szCs w:val="20"/>
                <w:color w:val="auto"/>
              </w:rPr>
            </w:pPr>
            <w:r>
              <w:rPr>
                <w:rFonts w:ascii="Arial" w:cs="Arial" w:eastAsia="Arial" w:hAnsi="Arial"/>
                <w:sz w:val="10"/>
                <w:szCs w:val="10"/>
                <w:color w:val="auto"/>
              </w:rPr>
              <w:t>Currency translation differences</w:t>
            </w:r>
          </w:p>
        </w:tc>
        <w:tc>
          <w:tcPr>
            <w:tcW w:w="1100" w:type="dxa"/>
            <w:vAlign w:val="bottom"/>
          </w:tcPr>
          <w:p>
            <w:pPr>
              <w:spacing w:after="0"/>
              <w:rPr>
                <w:sz w:val="10"/>
                <w:szCs w:val="10"/>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(143)</w:t>
            </w:r>
          </w:p>
        </w:tc>
        <w:tc>
          <w:tcPr>
            <w:tcW w:w="1040" w:type="dxa"/>
            <w:vAlign w:val="bottom"/>
          </w:tcPr>
          <w:p>
            <w:pPr>
              <w:spacing w:after="0"/>
              <w:rPr>
                <w:sz w:val="10"/>
                <w:szCs w:val="1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0"/>
                <w:szCs w:val="10"/>
                <w:color w:val="auto"/>
              </w:rPr>
              <w:t>(2)</w:t>
            </w:r>
          </w:p>
        </w:tc>
        <w:tc>
          <w:tcPr>
            <w:tcW w:w="1140" w:type="dxa"/>
            <w:vAlign w:val="bottom"/>
            <w:gridSpan w:val="2"/>
          </w:tcPr>
          <w:p>
            <w:pPr>
              <w:jc w:val="right"/>
              <w:ind w:right="192"/>
              <w:spacing w:after="0"/>
              <w:rPr>
                <w:sz w:val="20"/>
                <w:szCs w:val="20"/>
                <w:color w:val="auto"/>
              </w:rPr>
            </w:pPr>
            <w:r>
              <w:rPr>
                <w:rFonts w:ascii="Arial" w:cs="Arial" w:eastAsia="Arial" w:hAnsi="Arial"/>
                <w:sz w:val="10"/>
                <w:szCs w:val="10"/>
                <w:color w:val="auto"/>
              </w:rPr>
              <w:t>(39)</w:t>
            </w:r>
          </w:p>
        </w:tc>
        <w:tc>
          <w:tcPr>
            <w:tcW w:w="780" w:type="dxa"/>
            <w:vAlign w:val="bottom"/>
          </w:tcPr>
          <w:p>
            <w:pPr>
              <w:jc w:val="right"/>
              <w:spacing w:after="0"/>
              <w:rPr>
                <w:sz w:val="20"/>
                <w:szCs w:val="20"/>
                <w:color w:val="auto"/>
              </w:rPr>
            </w:pPr>
            <w:r>
              <w:rPr>
                <w:rFonts w:ascii="Arial" w:cs="Arial" w:eastAsia="Arial" w:hAnsi="Arial"/>
                <w:sz w:val="10"/>
                <w:szCs w:val="10"/>
                <w:color w:val="auto"/>
              </w:rPr>
              <w:t>(184)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w:t>
            </w:r>
          </w:p>
        </w:tc>
        <w:tc>
          <w:tcPr>
            <w:tcW w:w="1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27</w:t>
            </w:r>
          </w:p>
        </w:tc>
        <w:tc>
          <w:tcPr>
            <w:tcW w:w="10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418</w:t>
            </w:r>
          </w:p>
        </w:tc>
        <w:tc>
          <w:tcPr>
            <w:tcW w:w="114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0"/>
                <w:szCs w:val="10"/>
                <w:color w:val="auto"/>
              </w:rPr>
              <w:t>(101)</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2020</w:t>
            </w: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(23,801)</w:t>
            </w:r>
          </w:p>
        </w:tc>
        <w:tc>
          <w:tcPr>
            <w:tcW w:w="10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color w:val="auto"/>
              </w:rPr>
              <w:t>(673)</w:t>
            </w:r>
          </w:p>
        </w:tc>
        <w:tc>
          <w:tcPr>
            <w:tcW w:w="114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0"/>
                <w:szCs w:val="10"/>
                <w:color w:val="auto"/>
              </w:rPr>
              <w:t>(2,831)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(27,305)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Net deferred tax asset at December 31, 2020</w:t>
            </w: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5,848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Deferred tax asset/liability as presented in the balance sheet at December 31, 2020</w:t>
            </w: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5340" w:type="dxa"/>
            <w:vAlign w:val="bottom"/>
          </w:tcPr>
          <w:p>
            <w:pPr>
              <w:spacing w:after="0" w:line="112" w:lineRule="exact"/>
              <w:rPr>
                <w:sz w:val="20"/>
                <w:szCs w:val="20"/>
                <w:color w:val="auto"/>
              </w:rPr>
            </w:pPr>
            <w:r>
              <w:rPr>
                <w:rFonts w:ascii="Arial" w:cs="Arial" w:eastAsia="Arial" w:hAnsi="Arial"/>
                <w:sz w:val="10"/>
                <w:szCs w:val="10"/>
                <w:color w:val="auto"/>
              </w:rPr>
              <w:t>Deferred tax asset</w:t>
            </w:r>
          </w:p>
        </w:tc>
        <w:tc>
          <w:tcPr>
            <w:tcW w:w="1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jc w:val="right"/>
              <w:ind w:right="12"/>
              <w:spacing w:after="0" w:line="112" w:lineRule="exact"/>
              <w:rPr>
                <w:sz w:val="20"/>
                <w:szCs w:val="20"/>
                <w:color w:val="auto"/>
              </w:rPr>
            </w:pPr>
            <w:r>
              <w:rPr>
                <w:rFonts w:ascii="Arial" w:cs="Arial" w:eastAsia="Arial" w:hAnsi="Arial"/>
                <w:sz w:val="10"/>
                <w:szCs w:val="10"/>
                <w:color w:val="auto"/>
              </w:rPr>
              <w:t>16,311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Deferred tax liability</w:t>
            </w:r>
          </w:p>
        </w:tc>
        <w:tc>
          <w:tcPr>
            <w:tcW w:w="1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0"/>
        </w:trPr>
        <w:tc>
          <w:tcPr>
            <w:tcW w:w="534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1100" w:type="dxa"/>
            <w:vAlign w:val="bottom"/>
          </w:tcPr>
          <w:p>
            <w:pPr>
              <w:jc w:val="right"/>
              <w:ind w:right="753"/>
              <w:spacing w:after="0"/>
              <w:rPr>
                <w:sz w:val="20"/>
                <w:szCs w:val="20"/>
                <w:color w:val="auto"/>
              </w:rPr>
            </w:pPr>
            <w:r>
              <w:rPr>
                <w:rFonts w:ascii="Arial" w:cs="Arial" w:eastAsia="Arial" w:hAnsi="Arial"/>
                <w:sz w:val="7"/>
                <w:szCs w:val="7"/>
                <w:color w:val="auto"/>
              </w:rPr>
              <w:t>192</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3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157"/>
        </w:trPr>
        <w:tc>
          <w:tcPr>
            <w:tcW w:w="448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2019 - Deferred tax</w:t>
            </w:r>
          </w:p>
        </w:tc>
        <w:tc>
          <w:tcPr>
            <w:tcW w:w="1960" w:type="dxa"/>
            <w:vAlign w:val="bottom"/>
            <w:tcBorders>
              <w:top w:val="single" w:sz="8" w:color="CDCDCD"/>
            </w:tcBorders>
          </w:tcPr>
          <w:p>
            <w:pPr>
              <w:spacing w:after="0"/>
              <w:rPr>
                <w:sz w:val="13"/>
                <w:szCs w:val="13"/>
                <w:color w:val="auto"/>
              </w:rPr>
            </w:pPr>
          </w:p>
        </w:tc>
        <w:tc>
          <w:tcPr>
            <w:tcW w:w="940" w:type="dxa"/>
            <w:vAlign w:val="bottom"/>
            <w:tcBorders>
              <w:top w:val="single" w:sz="8" w:color="CDCDCD"/>
            </w:tcBorders>
          </w:tcPr>
          <w:p>
            <w:pPr>
              <w:spacing w:after="0"/>
              <w:rPr>
                <w:sz w:val="13"/>
                <w:szCs w:val="13"/>
                <w:color w:val="auto"/>
              </w:rPr>
            </w:pPr>
          </w:p>
        </w:tc>
        <w:tc>
          <w:tcPr>
            <w:tcW w:w="1020" w:type="dxa"/>
            <w:vAlign w:val="bottom"/>
            <w:tcBorders>
              <w:top w:val="single" w:sz="8" w:color="CDCDCD"/>
            </w:tcBorders>
          </w:tcPr>
          <w:p>
            <w:pPr>
              <w:spacing w:after="0"/>
              <w:rPr>
                <w:sz w:val="13"/>
                <w:szCs w:val="13"/>
                <w:color w:val="auto"/>
              </w:rPr>
            </w:pPr>
          </w:p>
        </w:tc>
        <w:tc>
          <w:tcPr>
            <w:tcW w:w="1220" w:type="dxa"/>
            <w:vAlign w:val="bottom"/>
            <w:tcBorders>
              <w:top w:val="single" w:sz="8" w:color="CDCDCD"/>
            </w:tcBorders>
          </w:tcPr>
          <w:p>
            <w:pPr>
              <w:spacing w:after="0"/>
              <w:rPr>
                <w:sz w:val="13"/>
                <w:szCs w:val="13"/>
                <w:color w:val="auto"/>
              </w:rPr>
            </w:pPr>
          </w:p>
        </w:tc>
        <w:tc>
          <w:tcPr>
            <w:tcW w:w="980" w:type="dxa"/>
            <w:vAlign w:val="bottom"/>
            <w:tcBorders>
              <w:top w:val="single" w:sz="8" w:color="CDCDCD"/>
            </w:tcBorders>
          </w:tcPr>
          <w:p>
            <w:pPr>
              <w:spacing w:after="0"/>
              <w:rPr>
                <w:sz w:val="13"/>
                <w:szCs w:val="13"/>
                <w:color w:val="auto"/>
              </w:rPr>
            </w:pPr>
          </w:p>
        </w:tc>
        <w:tc>
          <w:tcPr>
            <w:tcW w:w="68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95"/>
        </w:trPr>
        <w:tc>
          <w:tcPr>
            <w:tcW w:w="4480" w:type="dxa"/>
            <w:vAlign w:val="bottom"/>
          </w:tcPr>
          <w:p>
            <w:pPr>
              <w:spacing w:after="0"/>
              <w:rPr>
                <w:sz w:val="8"/>
                <w:szCs w:val="8"/>
                <w:color w:val="auto"/>
              </w:rPr>
            </w:pPr>
          </w:p>
        </w:tc>
        <w:tc>
          <w:tcPr>
            <w:tcW w:w="1960" w:type="dxa"/>
            <w:vAlign w:val="bottom"/>
          </w:tcPr>
          <w:p>
            <w:pPr>
              <w:jc w:val="right"/>
              <w:ind w:right="92"/>
              <w:spacing w:after="0" w:line="95" w:lineRule="exact"/>
              <w:rPr>
                <w:sz w:val="20"/>
                <w:szCs w:val="20"/>
                <w:color w:val="auto"/>
              </w:rPr>
            </w:pPr>
            <w:r>
              <w:rPr>
                <w:rFonts w:ascii="Arial" w:cs="Arial" w:eastAsia="Arial" w:hAnsi="Arial"/>
                <w:sz w:val="10"/>
                <w:szCs w:val="10"/>
                <w:color w:val="auto"/>
              </w:rPr>
              <w:t>Decommissioning</w:t>
            </w:r>
          </w:p>
        </w:tc>
        <w:tc>
          <w:tcPr>
            <w:tcW w:w="940" w:type="dxa"/>
            <w:vAlign w:val="bottom"/>
            <w:vMerge w:val="restart"/>
          </w:tcPr>
          <w:p>
            <w:pPr>
              <w:jc w:val="right"/>
              <w:ind w:right="32"/>
              <w:spacing w:after="0"/>
              <w:rPr>
                <w:sz w:val="20"/>
                <w:szCs w:val="20"/>
                <w:color w:val="auto"/>
              </w:rPr>
            </w:pPr>
            <w:r>
              <w:rPr>
                <w:rFonts w:ascii="Arial" w:cs="Arial" w:eastAsia="Arial" w:hAnsi="Arial"/>
                <w:sz w:val="10"/>
                <w:szCs w:val="10"/>
                <w:color w:val="auto"/>
                <w:w w:val="99"/>
              </w:rPr>
              <w:t>Property, plant and</w:t>
            </w:r>
          </w:p>
        </w:tc>
        <w:tc>
          <w:tcPr>
            <w:tcW w:w="1020" w:type="dxa"/>
            <w:vAlign w:val="bottom"/>
            <w:vMerge w:val="restart"/>
          </w:tcPr>
          <w:p>
            <w:pPr>
              <w:jc w:val="right"/>
              <w:ind w:right="72"/>
              <w:spacing w:after="0"/>
              <w:rPr>
                <w:sz w:val="20"/>
                <w:szCs w:val="20"/>
                <w:color w:val="auto"/>
              </w:rPr>
            </w:pPr>
            <w:r>
              <w:rPr>
                <w:rFonts w:ascii="Arial" w:cs="Arial" w:eastAsia="Arial" w:hAnsi="Arial"/>
                <w:sz w:val="10"/>
                <w:szCs w:val="10"/>
                <w:color w:val="auto"/>
                <w:w w:val="88"/>
              </w:rPr>
              <w:t>Tax losses and credits</w:t>
            </w: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480" w:type="dxa"/>
            <w:vAlign w:val="bottom"/>
            <w:vMerge w:val="restart"/>
          </w:tcPr>
          <w:p>
            <w:pPr>
              <w:spacing w:after="0"/>
              <w:rPr>
                <w:sz w:val="20"/>
                <w:szCs w:val="20"/>
                <w:color w:val="auto"/>
              </w:rPr>
            </w:pPr>
            <w:r>
              <w:rPr>
                <w:rFonts w:ascii="Arial" w:cs="Arial" w:eastAsia="Arial" w:hAnsi="Arial"/>
                <w:sz w:val="10"/>
                <w:szCs w:val="10"/>
                <w:b w:val="1"/>
                <w:bCs w:val="1"/>
                <w:color w:val="auto"/>
              </w:rPr>
              <w:t>Deferred tax asset</w:t>
            </w:r>
          </w:p>
        </w:tc>
        <w:tc>
          <w:tcPr>
            <w:tcW w:w="1960" w:type="dxa"/>
            <w:vAlign w:val="bottom"/>
          </w:tcPr>
          <w:p>
            <w:pPr>
              <w:jc w:val="right"/>
              <w:ind w:right="92"/>
              <w:spacing w:after="0" w:line="90" w:lineRule="exact"/>
              <w:rPr>
                <w:sz w:val="20"/>
                <w:szCs w:val="20"/>
                <w:color w:val="auto"/>
              </w:rPr>
            </w:pPr>
            <w:r>
              <w:rPr>
                <w:rFonts w:ascii="Arial" w:cs="Arial" w:eastAsia="Arial" w:hAnsi="Arial"/>
                <w:sz w:val="10"/>
                <w:szCs w:val="10"/>
                <w:color w:val="auto"/>
              </w:rPr>
              <w:t>and other</w:t>
            </w: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20" w:type="dxa"/>
            <w:vAlign w:val="bottom"/>
            <w:vMerge w:val="restart"/>
          </w:tcPr>
          <w:p>
            <w:pPr>
              <w:jc w:val="right"/>
              <w:ind w:right="292"/>
              <w:spacing w:after="0"/>
              <w:rPr>
                <w:sz w:val="20"/>
                <w:szCs w:val="20"/>
                <w:color w:val="auto"/>
              </w:rPr>
            </w:pPr>
            <w:r>
              <w:rPr>
                <w:rFonts w:ascii="Arial" w:cs="Arial" w:eastAsia="Arial" w:hAnsi="Arial"/>
                <w:sz w:val="10"/>
                <w:szCs w:val="10"/>
                <w:color w:val="auto"/>
                <w:w w:val="99"/>
              </w:rPr>
              <w:t>Retirement benefits</w:t>
            </w:r>
          </w:p>
        </w:tc>
        <w:tc>
          <w:tcPr>
            <w:tcW w:w="980" w:type="dxa"/>
            <w:vAlign w:val="bottom"/>
            <w:vMerge w:val="restart"/>
          </w:tcPr>
          <w:p>
            <w:pPr>
              <w:jc w:val="right"/>
              <w:ind w:right="292"/>
              <w:spacing w:after="0"/>
              <w:rPr>
                <w:sz w:val="20"/>
                <w:szCs w:val="20"/>
                <w:color w:val="auto"/>
              </w:rPr>
            </w:pPr>
            <w:r>
              <w:rPr>
                <w:rFonts w:ascii="Arial" w:cs="Arial" w:eastAsia="Arial" w:hAnsi="Arial"/>
                <w:sz w:val="10"/>
                <w:szCs w:val="10"/>
                <w:color w:val="auto"/>
              </w:rPr>
              <w:t>Other</w:t>
            </w: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4480" w:type="dxa"/>
            <w:vAlign w:val="bottom"/>
            <w:tcBorders>
              <w:bottom w:val="single" w:sz="8" w:color="auto"/>
            </w:tcBorders>
            <w:vMerge w:val="continue"/>
          </w:tcPr>
          <w:p>
            <w:pPr>
              <w:spacing w:after="0"/>
              <w:rPr>
                <w:sz w:val="10"/>
                <w:szCs w:val="10"/>
                <w:color w:val="auto"/>
              </w:rPr>
            </w:pPr>
          </w:p>
        </w:tc>
        <w:tc>
          <w:tcPr>
            <w:tcW w:w="1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provisions</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equipment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carried forward</w:t>
            </w:r>
          </w:p>
        </w:tc>
        <w:tc>
          <w:tcPr>
            <w:tcW w:w="1220" w:type="dxa"/>
            <w:vAlign w:val="bottom"/>
            <w:tcBorders>
              <w:bottom w:val="single" w:sz="8" w:color="auto"/>
            </w:tcBorders>
            <w:vMerge w:val="continue"/>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480" w:type="dxa"/>
            <w:vAlign w:val="bottom"/>
          </w:tcPr>
          <w:p>
            <w:pPr>
              <w:spacing w:after="0" w:line="113" w:lineRule="exact"/>
              <w:rPr>
                <w:sz w:val="20"/>
                <w:szCs w:val="20"/>
                <w:color w:val="auto"/>
              </w:rPr>
            </w:pPr>
            <w:r>
              <w:rPr>
                <w:rFonts w:ascii="Arial" w:cs="Arial" w:eastAsia="Arial" w:hAnsi="Arial"/>
                <w:sz w:val="10"/>
                <w:szCs w:val="10"/>
                <w:color w:val="auto"/>
              </w:rPr>
              <w:t>At January 1, 2019</w:t>
            </w:r>
          </w:p>
        </w:tc>
        <w:tc>
          <w:tcPr>
            <w:tcW w:w="1960" w:type="dxa"/>
            <w:vAlign w:val="bottom"/>
          </w:tcPr>
          <w:p>
            <w:pPr>
              <w:jc w:val="right"/>
              <w:ind w:right="112"/>
              <w:spacing w:after="0" w:line="113" w:lineRule="exact"/>
              <w:rPr>
                <w:sz w:val="20"/>
                <w:szCs w:val="20"/>
                <w:color w:val="auto"/>
              </w:rPr>
            </w:pPr>
            <w:r>
              <w:rPr>
                <w:rFonts w:ascii="Arial" w:cs="Arial" w:eastAsia="Arial" w:hAnsi="Arial"/>
                <w:sz w:val="10"/>
                <w:szCs w:val="10"/>
                <w:color w:val="auto"/>
              </w:rPr>
              <w:t>5,859</w:t>
            </w:r>
          </w:p>
        </w:tc>
        <w:tc>
          <w:tcPr>
            <w:tcW w:w="940" w:type="dxa"/>
            <w:vAlign w:val="bottom"/>
          </w:tcPr>
          <w:p>
            <w:pPr>
              <w:jc w:val="right"/>
              <w:ind w:right="72"/>
              <w:spacing w:after="0" w:line="113" w:lineRule="exact"/>
              <w:rPr>
                <w:sz w:val="20"/>
                <w:szCs w:val="20"/>
                <w:color w:val="auto"/>
              </w:rPr>
            </w:pPr>
            <w:r>
              <w:rPr>
                <w:rFonts w:ascii="Arial" w:cs="Arial" w:eastAsia="Arial" w:hAnsi="Arial"/>
                <w:sz w:val="10"/>
                <w:szCs w:val="10"/>
                <w:color w:val="auto"/>
              </w:rPr>
              <w:t>3,718</w:t>
            </w:r>
          </w:p>
        </w:tc>
        <w:tc>
          <w:tcPr>
            <w:tcW w:w="1020" w:type="dxa"/>
            <w:vAlign w:val="bottom"/>
          </w:tcPr>
          <w:p>
            <w:pPr>
              <w:jc w:val="right"/>
              <w:ind w:right="92"/>
              <w:spacing w:after="0" w:line="113" w:lineRule="exact"/>
              <w:rPr>
                <w:sz w:val="20"/>
                <w:szCs w:val="20"/>
                <w:color w:val="auto"/>
              </w:rPr>
            </w:pPr>
            <w:r>
              <w:rPr>
                <w:rFonts w:ascii="Arial" w:cs="Arial" w:eastAsia="Arial" w:hAnsi="Arial"/>
                <w:sz w:val="10"/>
                <w:szCs w:val="10"/>
                <w:color w:val="auto"/>
              </w:rPr>
              <w:t>12,167</w:t>
            </w:r>
          </w:p>
        </w:tc>
        <w:tc>
          <w:tcPr>
            <w:tcW w:w="1220" w:type="dxa"/>
            <w:vAlign w:val="bottom"/>
          </w:tcPr>
          <w:p>
            <w:pPr>
              <w:jc w:val="right"/>
              <w:ind w:right="332"/>
              <w:spacing w:after="0" w:line="113" w:lineRule="exact"/>
              <w:rPr>
                <w:sz w:val="20"/>
                <w:szCs w:val="20"/>
                <w:color w:val="auto"/>
              </w:rPr>
            </w:pPr>
            <w:r>
              <w:rPr>
                <w:rFonts w:ascii="Arial" w:cs="Arial" w:eastAsia="Arial" w:hAnsi="Arial"/>
                <w:sz w:val="10"/>
                <w:szCs w:val="10"/>
                <w:color w:val="auto"/>
              </w:rPr>
              <w:t>3,310</w:t>
            </w:r>
          </w:p>
        </w:tc>
        <w:tc>
          <w:tcPr>
            <w:tcW w:w="980" w:type="dxa"/>
            <w:vAlign w:val="bottom"/>
          </w:tcPr>
          <w:p>
            <w:pPr>
              <w:jc w:val="right"/>
              <w:ind w:right="312"/>
              <w:spacing w:after="0" w:line="113" w:lineRule="exact"/>
              <w:rPr>
                <w:sz w:val="20"/>
                <w:szCs w:val="20"/>
                <w:color w:val="auto"/>
              </w:rPr>
            </w:pPr>
            <w:r>
              <w:rPr>
                <w:rFonts w:ascii="Arial" w:cs="Arial" w:eastAsia="Arial" w:hAnsi="Arial"/>
                <w:sz w:val="10"/>
                <w:szCs w:val="10"/>
                <w:color w:val="auto"/>
              </w:rPr>
              <w:t>4,276</w:t>
            </w:r>
          </w:p>
        </w:tc>
        <w:tc>
          <w:tcPr>
            <w:tcW w:w="680" w:type="dxa"/>
            <w:vAlign w:val="bottom"/>
          </w:tcPr>
          <w:p>
            <w:pPr>
              <w:jc w:val="right"/>
              <w:ind w:right="12"/>
              <w:spacing w:after="0" w:line="113" w:lineRule="exact"/>
              <w:rPr>
                <w:sz w:val="20"/>
                <w:szCs w:val="20"/>
                <w:color w:val="auto"/>
              </w:rPr>
            </w:pPr>
            <w:r>
              <w:rPr>
                <w:rFonts w:ascii="Arial" w:cs="Arial" w:eastAsia="Arial" w:hAnsi="Arial"/>
                <w:sz w:val="10"/>
                <w:szCs w:val="10"/>
                <w:color w:val="auto"/>
              </w:rPr>
              <w:t>29,330</w:t>
            </w:r>
          </w:p>
        </w:tc>
        <w:tc>
          <w:tcPr>
            <w:tcW w:w="0" w:type="dxa"/>
            <w:vAlign w:val="bottom"/>
          </w:tcPr>
          <w:p>
            <w:pPr>
              <w:spacing w:after="0"/>
              <w:rPr>
                <w:sz w:val="1"/>
                <w:szCs w:val="1"/>
                <w:color w:val="auto"/>
              </w:rPr>
            </w:pPr>
          </w:p>
        </w:tc>
      </w:tr>
      <w:tr>
        <w:trPr>
          <w:trHeight w:val="123"/>
        </w:trPr>
        <w:tc>
          <w:tcPr>
            <w:tcW w:w="4480" w:type="dxa"/>
            <w:vAlign w:val="bottom"/>
          </w:tcPr>
          <w:p>
            <w:pPr>
              <w:spacing w:after="0"/>
              <w:rPr>
                <w:sz w:val="20"/>
                <w:szCs w:val="20"/>
                <w:color w:val="auto"/>
              </w:rPr>
            </w:pPr>
            <w:r>
              <w:rPr>
                <w:rFonts w:ascii="Arial" w:cs="Arial" w:eastAsia="Arial" w:hAnsi="Arial"/>
                <w:sz w:val="10"/>
                <w:szCs w:val="10"/>
                <w:color w:val="auto"/>
              </w:rPr>
              <w:t>Credit/(charge) to income</w:t>
            </w:r>
          </w:p>
        </w:tc>
        <w:tc>
          <w:tcPr>
            <w:tcW w:w="1960" w:type="dxa"/>
            <w:vAlign w:val="bottom"/>
          </w:tcPr>
          <w:p>
            <w:pPr>
              <w:jc w:val="right"/>
              <w:ind w:right="112"/>
              <w:spacing w:after="0"/>
              <w:rPr>
                <w:sz w:val="20"/>
                <w:szCs w:val="20"/>
                <w:color w:val="auto"/>
              </w:rPr>
            </w:pPr>
            <w:r>
              <w:rPr>
                <w:rFonts w:ascii="Arial" w:cs="Arial" w:eastAsia="Arial" w:hAnsi="Arial"/>
                <w:sz w:val="10"/>
                <w:szCs w:val="10"/>
                <w:color w:val="auto"/>
              </w:rPr>
              <w:t>15</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(521)</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(647)</w:t>
            </w:r>
          </w:p>
        </w:tc>
        <w:tc>
          <w:tcPr>
            <w:tcW w:w="1220" w:type="dxa"/>
            <w:vAlign w:val="bottom"/>
          </w:tcPr>
          <w:p>
            <w:pPr>
              <w:jc w:val="right"/>
              <w:ind w:right="292"/>
              <w:spacing w:after="0"/>
              <w:rPr>
                <w:sz w:val="20"/>
                <w:szCs w:val="20"/>
                <w:color w:val="auto"/>
              </w:rPr>
            </w:pPr>
            <w:r>
              <w:rPr>
                <w:rFonts w:ascii="Arial" w:cs="Arial" w:eastAsia="Arial" w:hAnsi="Arial"/>
                <w:sz w:val="10"/>
                <w:szCs w:val="10"/>
                <w:color w:val="auto"/>
              </w:rPr>
              <w:t>(76)</w:t>
            </w:r>
          </w:p>
        </w:tc>
        <w:tc>
          <w:tcPr>
            <w:tcW w:w="980" w:type="dxa"/>
            <w:vAlign w:val="bottom"/>
          </w:tcPr>
          <w:p>
            <w:pPr>
              <w:jc w:val="right"/>
              <w:ind w:right="312"/>
              <w:spacing w:after="0"/>
              <w:rPr>
                <w:sz w:val="20"/>
                <w:szCs w:val="20"/>
                <w:color w:val="auto"/>
              </w:rPr>
            </w:pPr>
            <w:r>
              <w:rPr>
                <w:rFonts w:ascii="Arial" w:cs="Arial" w:eastAsia="Arial" w:hAnsi="Arial"/>
                <w:sz w:val="10"/>
                <w:szCs w:val="10"/>
                <w:color w:val="auto"/>
              </w:rPr>
              <w:t>10</w:t>
            </w:r>
          </w:p>
        </w:tc>
        <w:tc>
          <w:tcPr>
            <w:tcW w:w="680" w:type="dxa"/>
            <w:vAlign w:val="bottom"/>
          </w:tcPr>
          <w:p>
            <w:pPr>
              <w:jc w:val="right"/>
              <w:spacing w:after="0"/>
              <w:rPr>
                <w:sz w:val="20"/>
                <w:szCs w:val="20"/>
                <w:color w:val="auto"/>
              </w:rPr>
            </w:pPr>
            <w:r>
              <w:rPr>
                <w:rFonts w:ascii="Arial" w:cs="Arial" w:eastAsia="Arial" w:hAnsi="Arial"/>
                <w:sz w:val="10"/>
                <w:szCs w:val="10"/>
                <w:color w:val="auto"/>
              </w:rPr>
              <w:t>(1,219)</w:t>
            </w:r>
          </w:p>
        </w:tc>
        <w:tc>
          <w:tcPr>
            <w:tcW w:w="0" w:type="dxa"/>
            <w:vAlign w:val="bottom"/>
          </w:tcPr>
          <w:p>
            <w:pPr>
              <w:spacing w:after="0"/>
              <w:rPr>
                <w:sz w:val="1"/>
                <w:szCs w:val="1"/>
                <w:color w:val="auto"/>
              </w:rPr>
            </w:pPr>
          </w:p>
        </w:tc>
      </w:tr>
      <w:tr>
        <w:trPr>
          <w:trHeight w:val="126"/>
        </w:trPr>
        <w:tc>
          <w:tcPr>
            <w:tcW w:w="4480" w:type="dxa"/>
            <w:vAlign w:val="bottom"/>
          </w:tcPr>
          <w:p>
            <w:pPr>
              <w:spacing w:after="0"/>
              <w:rPr>
                <w:sz w:val="20"/>
                <w:szCs w:val="20"/>
                <w:color w:val="auto"/>
              </w:rPr>
            </w:pPr>
            <w:r>
              <w:rPr>
                <w:rFonts w:ascii="Arial" w:cs="Arial" w:eastAsia="Arial" w:hAnsi="Arial"/>
                <w:sz w:val="10"/>
                <w:szCs w:val="10"/>
                <w:color w:val="auto"/>
              </w:rPr>
              <w:t>Currency translation differences</w:t>
            </w:r>
          </w:p>
        </w:tc>
        <w:tc>
          <w:tcPr>
            <w:tcW w:w="1960" w:type="dxa"/>
            <w:vAlign w:val="bottom"/>
          </w:tcPr>
          <w:p>
            <w:pPr>
              <w:jc w:val="right"/>
              <w:ind w:right="112"/>
              <w:spacing w:after="0"/>
              <w:rPr>
                <w:sz w:val="20"/>
                <w:szCs w:val="20"/>
                <w:color w:val="auto"/>
              </w:rPr>
            </w:pPr>
            <w:r>
              <w:rPr>
                <w:rFonts w:ascii="Arial" w:cs="Arial" w:eastAsia="Arial" w:hAnsi="Arial"/>
                <w:sz w:val="10"/>
                <w:szCs w:val="10"/>
                <w:color w:val="auto"/>
              </w:rPr>
              <w:t>56</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6</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57</w:t>
            </w:r>
          </w:p>
        </w:tc>
        <w:tc>
          <w:tcPr>
            <w:tcW w:w="1220" w:type="dxa"/>
            <w:vAlign w:val="bottom"/>
          </w:tcPr>
          <w:p>
            <w:pPr>
              <w:jc w:val="right"/>
              <w:ind w:right="292"/>
              <w:spacing w:after="0"/>
              <w:rPr>
                <w:sz w:val="20"/>
                <w:szCs w:val="20"/>
                <w:color w:val="auto"/>
              </w:rPr>
            </w:pPr>
            <w:r>
              <w:rPr>
                <w:rFonts w:ascii="Arial" w:cs="Arial" w:eastAsia="Arial" w:hAnsi="Arial"/>
                <w:sz w:val="10"/>
                <w:szCs w:val="10"/>
                <w:color w:val="auto"/>
              </w:rPr>
              <w:t>(8)</w:t>
            </w:r>
          </w:p>
        </w:tc>
        <w:tc>
          <w:tcPr>
            <w:tcW w:w="980" w:type="dxa"/>
            <w:vAlign w:val="bottom"/>
          </w:tcPr>
          <w:p>
            <w:pPr>
              <w:jc w:val="right"/>
              <w:ind w:right="292"/>
              <w:spacing w:after="0"/>
              <w:rPr>
                <w:sz w:val="20"/>
                <w:szCs w:val="20"/>
                <w:color w:val="auto"/>
              </w:rPr>
            </w:pPr>
            <w:r>
              <w:rPr>
                <w:rFonts w:ascii="Arial" w:cs="Arial" w:eastAsia="Arial" w:hAnsi="Arial"/>
                <w:sz w:val="10"/>
                <w:szCs w:val="10"/>
                <w:color w:val="auto"/>
              </w:rPr>
              <w:t>(2)</w:t>
            </w: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109</w:t>
            </w:r>
          </w:p>
        </w:tc>
        <w:tc>
          <w:tcPr>
            <w:tcW w:w="0" w:type="dxa"/>
            <w:vAlign w:val="bottom"/>
          </w:tcPr>
          <w:p>
            <w:pPr>
              <w:spacing w:after="0"/>
              <w:rPr>
                <w:sz w:val="1"/>
                <w:szCs w:val="1"/>
                <w:color w:val="auto"/>
              </w:rPr>
            </w:pPr>
          </w:p>
        </w:tc>
      </w:tr>
      <w:tr>
        <w:trPr>
          <w:trHeight w:val="130"/>
        </w:trPr>
        <w:tc>
          <w:tcPr>
            <w:tcW w:w="4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w:t>
            </w:r>
          </w:p>
        </w:tc>
        <w:tc>
          <w:tcPr>
            <w:tcW w:w="1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(550)</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(189)</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52</w:t>
            </w: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434</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77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(176)</w:t>
            </w:r>
          </w:p>
        </w:tc>
        <w:tc>
          <w:tcPr>
            <w:tcW w:w="0" w:type="dxa"/>
            <w:vAlign w:val="bottom"/>
          </w:tcPr>
          <w:p>
            <w:pPr>
              <w:spacing w:after="0"/>
              <w:rPr>
                <w:sz w:val="1"/>
                <w:szCs w:val="1"/>
                <w:color w:val="auto"/>
              </w:rPr>
            </w:pPr>
          </w:p>
        </w:tc>
      </w:tr>
      <w:tr>
        <w:trPr>
          <w:trHeight w:val="117"/>
        </w:trPr>
        <w:tc>
          <w:tcPr>
            <w:tcW w:w="4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2019</w:t>
            </w:r>
          </w:p>
        </w:tc>
        <w:tc>
          <w:tcPr>
            <w:tcW w:w="196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5,380</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3,014</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11,629</w:t>
            </w: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3,660</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4,361</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28,044</w:t>
            </w:r>
          </w:p>
        </w:tc>
        <w:tc>
          <w:tcPr>
            <w:tcW w:w="0" w:type="dxa"/>
            <w:vAlign w:val="bottom"/>
          </w:tcPr>
          <w:p>
            <w:pPr>
              <w:spacing w:after="0"/>
              <w:rPr>
                <w:sz w:val="1"/>
                <w:szCs w:val="1"/>
                <w:color w:val="auto"/>
              </w:rPr>
            </w:pPr>
          </w:p>
        </w:tc>
      </w:tr>
      <w:tr>
        <w:trPr>
          <w:trHeight w:val="114"/>
        </w:trPr>
        <w:tc>
          <w:tcPr>
            <w:tcW w:w="4480" w:type="dxa"/>
            <w:vAlign w:val="bottom"/>
          </w:tcPr>
          <w:p>
            <w:pPr>
              <w:spacing w:after="0" w:line="114" w:lineRule="exact"/>
              <w:rPr>
                <w:sz w:val="20"/>
                <w:szCs w:val="20"/>
                <w:color w:val="auto"/>
              </w:rPr>
            </w:pPr>
            <w:r>
              <w:rPr>
                <w:rFonts w:ascii="Arial" w:cs="Arial" w:eastAsia="Arial" w:hAnsi="Arial"/>
                <w:sz w:val="10"/>
                <w:szCs w:val="10"/>
                <w:b w:val="1"/>
                <w:bCs w:val="1"/>
                <w:color w:val="auto"/>
              </w:rPr>
              <w:t>Deferred tax liability</w:t>
            </w:r>
          </w:p>
        </w:tc>
        <w:tc>
          <w:tcPr>
            <w:tcW w:w="1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480" w:type="dxa"/>
            <w:vAlign w:val="bottom"/>
          </w:tcPr>
          <w:p>
            <w:pPr>
              <w:spacing w:after="0"/>
              <w:rPr>
                <w:sz w:val="20"/>
                <w:szCs w:val="20"/>
                <w:color w:val="auto"/>
              </w:rPr>
            </w:pPr>
            <w:r>
              <w:rPr>
                <w:rFonts w:ascii="Arial" w:cs="Arial" w:eastAsia="Arial" w:hAnsi="Arial"/>
                <w:sz w:val="10"/>
                <w:szCs w:val="10"/>
                <w:color w:val="auto"/>
              </w:rPr>
              <w:t>At January 1, 2019</w:t>
            </w:r>
          </w:p>
        </w:tc>
        <w:tc>
          <w:tcPr>
            <w:tcW w:w="196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(27,627)</w:t>
            </w:r>
          </w:p>
        </w:tc>
        <w:tc>
          <w:tcPr>
            <w:tcW w:w="1020" w:type="dxa"/>
            <w:vAlign w:val="bottom"/>
          </w:tcPr>
          <w:p>
            <w:pPr>
              <w:spacing w:after="0"/>
              <w:rPr>
                <w:sz w:val="10"/>
                <w:szCs w:val="10"/>
                <w:color w:val="auto"/>
              </w:rPr>
            </w:pPr>
          </w:p>
        </w:tc>
        <w:tc>
          <w:tcPr>
            <w:tcW w:w="1220" w:type="dxa"/>
            <w:vAlign w:val="bottom"/>
          </w:tcPr>
          <w:p>
            <w:pPr>
              <w:jc w:val="right"/>
              <w:ind w:right="292"/>
              <w:spacing w:after="0"/>
              <w:rPr>
                <w:sz w:val="20"/>
                <w:szCs w:val="20"/>
                <w:color w:val="auto"/>
              </w:rPr>
            </w:pPr>
            <w:r>
              <w:rPr>
                <w:rFonts w:ascii="Arial" w:cs="Arial" w:eastAsia="Arial" w:hAnsi="Arial"/>
                <w:sz w:val="10"/>
                <w:szCs w:val="10"/>
                <w:color w:val="auto"/>
              </w:rPr>
              <w:t>(1,674)</w:t>
            </w:r>
          </w:p>
        </w:tc>
        <w:tc>
          <w:tcPr>
            <w:tcW w:w="980" w:type="dxa"/>
            <w:vAlign w:val="bottom"/>
          </w:tcPr>
          <w:p>
            <w:pPr>
              <w:jc w:val="right"/>
              <w:ind w:right="292"/>
              <w:spacing w:after="0"/>
              <w:rPr>
                <w:sz w:val="20"/>
                <w:szCs w:val="20"/>
                <w:color w:val="auto"/>
              </w:rPr>
            </w:pPr>
            <w:r>
              <w:rPr>
                <w:rFonts w:ascii="Arial" w:cs="Arial" w:eastAsia="Arial" w:hAnsi="Arial"/>
                <w:sz w:val="10"/>
                <w:szCs w:val="10"/>
                <w:color w:val="auto"/>
              </w:rPr>
              <w:t>(2,769)</w:t>
            </w:r>
          </w:p>
        </w:tc>
        <w:tc>
          <w:tcPr>
            <w:tcW w:w="680" w:type="dxa"/>
            <w:vAlign w:val="bottom"/>
          </w:tcPr>
          <w:p>
            <w:pPr>
              <w:jc w:val="right"/>
              <w:spacing w:after="0"/>
              <w:rPr>
                <w:sz w:val="20"/>
                <w:szCs w:val="20"/>
                <w:color w:val="auto"/>
              </w:rPr>
            </w:pPr>
            <w:r>
              <w:rPr>
                <w:rFonts w:ascii="Arial" w:cs="Arial" w:eastAsia="Arial" w:hAnsi="Arial"/>
                <w:sz w:val="10"/>
                <w:szCs w:val="10"/>
                <w:color w:val="auto"/>
              </w:rPr>
              <w:t>(32,070)</w:t>
            </w:r>
          </w:p>
        </w:tc>
        <w:tc>
          <w:tcPr>
            <w:tcW w:w="0" w:type="dxa"/>
            <w:vAlign w:val="bottom"/>
          </w:tcPr>
          <w:p>
            <w:pPr>
              <w:spacing w:after="0"/>
              <w:rPr>
                <w:sz w:val="1"/>
                <w:szCs w:val="1"/>
                <w:color w:val="auto"/>
              </w:rPr>
            </w:pPr>
          </w:p>
        </w:tc>
      </w:tr>
      <w:tr>
        <w:trPr>
          <w:trHeight w:val="126"/>
        </w:trPr>
        <w:tc>
          <w:tcPr>
            <w:tcW w:w="4480" w:type="dxa"/>
            <w:vAlign w:val="bottom"/>
          </w:tcPr>
          <w:p>
            <w:pPr>
              <w:spacing w:after="0"/>
              <w:rPr>
                <w:sz w:val="20"/>
                <w:szCs w:val="20"/>
                <w:color w:val="auto"/>
              </w:rPr>
            </w:pPr>
            <w:r>
              <w:rPr>
                <w:rFonts w:ascii="Arial" w:cs="Arial" w:eastAsia="Arial" w:hAnsi="Arial"/>
                <w:sz w:val="10"/>
                <w:szCs w:val="10"/>
                <w:color w:val="auto"/>
              </w:rPr>
              <w:t>(Charge)/credit to income</w:t>
            </w:r>
          </w:p>
        </w:tc>
        <w:tc>
          <w:tcPr>
            <w:tcW w:w="196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(227)</w:t>
            </w:r>
          </w:p>
        </w:tc>
        <w:tc>
          <w:tcPr>
            <w:tcW w:w="1020" w:type="dxa"/>
            <w:vAlign w:val="bottom"/>
          </w:tcPr>
          <w:p>
            <w:pPr>
              <w:spacing w:after="0"/>
              <w:rPr>
                <w:sz w:val="10"/>
                <w:szCs w:val="10"/>
                <w:color w:val="auto"/>
              </w:rPr>
            </w:pPr>
          </w:p>
        </w:tc>
        <w:tc>
          <w:tcPr>
            <w:tcW w:w="1220" w:type="dxa"/>
            <w:vAlign w:val="bottom"/>
          </w:tcPr>
          <w:p>
            <w:pPr>
              <w:jc w:val="right"/>
              <w:ind w:right="332"/>
              <w:spacing w:after="0"/>
              <w:rPr>
                <w:sz w:val="20"/>
                <w:szCs w:val="20"/>
                <w:color w:val="auto"/>
              </w:rPr>
            </w:pPr>
            <w:r>
              <w:rPr>
                <w:rFonts w:ascii="Arial" w:cs="Arial" w:eastAsia="Arial" w:hAnsi="Arial"/>
                <w:sz w:val="10"/>
                <w:szCs w:val="10"/>
                <w:color w:val="auto"/>
              </w:rPr>
              <w:t>46</w:t>
            </w:r>
          </w:p>
        </w:tc>
        <w:tc>
          <w:tcPr>
            <w:tcW w:w="980" w:type="dxa"/>
            <w:vAlign w:val="bottom"/>
          </w:tcPr>
          <w:p>
            <w:pPr>
              <w:jc w:val="right"/>
              <w:ind w:right="292"/>
              <w:spacing w:after="0"/>
              <w:rPr>
                <w:sz w:val="20"/>
                <w:szCs w:val="20"/>
                <w:color w:val="auto"/>
              </w:rPr>
            </w:pPr>
            <w:r>
              <w:rPr>
                <w:rFonts w:ascii="Arial" w:cs="Arial" w:eastAsia="Arial" w:hAnsi="Arial"/>
                <w:sz w:val="10"/>
                <w:szCs w:val="10"/>
                <w:color w:val="auto"/>
              </w:rPr>
              <w:t>(57)</w:t>
            </w:r>
          </w:p>
        </w:tc>
        <w:tc>
          <w:tcPr>
            <w:tcW w:w="680" w:type="dxa"/>
            <w:vAlign w:val="bottom"/>
          </w:tcPr>
          <w:p>
            <w:pPr>
              <w:jc w:val="right"/>
              <w:spacing w:after="0"/>
              <w:rPr>
                <w:sz w:val="20"/>
                <w:szCs w:val="20"/>
                <w:color w:val="auto"/>
              </w:rPr>
            </w:pPr>
            <w:r>
              <w:rPr>
                <w:rFonts w:ascii="Arial" w:cs="Arial" w:eastAsia="Arial" w:hAnsi="Arial"/>
                <w:sz w:val="10"/>
                <w:szCs w:val="10"/>
                <w:color w:val="auto"/>
              </w:rPr>
              <w:t>(238)</w:t>
            </w:r>
          </w:p>
        </w:tc>
        <w:tc>
          <w:tcPr>
            <w:tcW w:w="0" w:type="dxa"/>
            <w:vAlign w:val="bottom"/>
          </w:tcPr>
          <w:p>
            <w:pPr>
              <w:spacing w:after="0"/>
              <w:rPr>
                <w:sz w:val="1"/>
                <w:szCs w:val="1"/>
                <w:color w:val="auto"/>
              </w:rPr>
            </w:pPr>
          </w:p>
        </w:tc>
      </w:tr>
      <w:tr>
        <w:trPr>
          <w:trHeight w:val="126"/>
        </w:trPr>
        <w:tc>
          <w:tcPr>
            <w:tcW w:w="4480" w:type="dxa"/>
            <w:vAlign w:val="bottom"/>
          </w:tcPr>
          <w:p>
            <w:pPr>
              <w:spacing w:after="0"/>
              <w:rPr>
                <w:sz w:val="20"/>
                <w:szCs w:val="20"/>
                <w:color w:val="auto"/>
              </w:rPr>
            </w:pPr>
            <w:r>
              <w:rPr>
                <w:rFonts w:ascii="Arial" w:cs="Arial" w:eastAsia="Arial" w:hAnsi="Arial"/>
                <w:sz w:val="10"/>
                <w:szCs w:val="10"/>
                <w:color w:val="auto"/>
              </w:rPr>
              <w:t>Currency translation differences</w:t>
            </w:r>
          </w:p>
        </w:tc>
        <w:tc>
          <w:tcPr>
            <w:tcW w:w="196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(129)</w:t>
            </w:r>
          </w:p>
        </w:tc>
        <w:tc>
          <w:tcPr>
            <w:tcW w:w="1020" w:type="dxa"/>
            <w:vAlign w:val="bottom"/>
          </w:tcPr>
          <w:p>
            <w:pPr>
              <w:spacing w:after="0"/>
              <w:rPr>
                <w:sz w:val="10"/>
                <w:szCs w:val="10"/>
                <w:color w:val="auto"/>
              </w:rPr>
            </w:pPr>
          </w:p>
        </w:tc>
        <w:tc>
          <w:tcPr>
            <w:tcW w:w="1220" w:type="dxa"/>
            <w:vAlign w:val="bottom"/>
          </w:tcPr>
          <w:p>
            <w:pPr>
              <w:jc w:val="right"/>
              <w:ind w:right="292"/>
              <w:spacing w:after="0"/>
              <w:rPr>
                <w:sz w:val="20"/>
                <w:szCs w:val="20"/>
                <w:color w:val="auto"/>
              </w:rPr>
            </w:pPr>
            <w:r>
              <w:rPr>
                <w:rFonts w:ascii="Arial" w:cs="Arial" w:eastAsia="Arial" w:hAnsi="Arial"/>
                <w:sz w:val="10"/>
                <w:szCs w:val="10"/>
                <w:color w:val="auto"/>
              </w:rPr>
              <w:t>(6)</w:t>
            </w:r>
          </w:p>
        </w:tc>
        <w:tc>
          <w:tcPr>
            <w:tcW w:w="980" w:type="dxa"/>
            <w:vAlign w:val="bottom"/>
          </w:tcPr>
          <w:p>
            <w:pPr>
              <w:jc w:val="right"/>
              <w:ind w:right="292"/>
              <w:spacing w:after="0"/>
              <w:rPr>
                <w:sz w:val="20"/>
                <w:szCs w:val="20"/>
                <w:color w:val="auto"/>
              </w:rPr>
            </w:pPr>
            <w:r>
              <w:rPr>
                <w:rFonts w:ascii="Arial" w:cs="Arial" w:eastAsia="Arial" w:hAnsi="Arial"/>
                <w:sz w:val="10"/>
                <w:szCs w:val="10"/>
                <w:color w:val="auto"/>
              </w:rPr>
              <w:t>(5)</w:t>
            </w:r>
          </w:p>
        </w:tc>
        <w:tc>
          <w:tcPr>
            <w:tcW w:w="680" w:type="dxa"/>
            <w:vAlign w:val="bottom"/>
          </w:tcPr>
          <w:p>
            <w:pPr>
              <w:jc w:val="right"/>
              <w:spacing w:after="0"/>
              <w:rPr>
                <w:sz w:val="20"/>
                <w:szCs w:val="20"/>
                <w:color w:val="auto"/>
              </w:rPr>
            </w:pPr>
            <w:r>
              <w:rPr>
                <w:rFonts w:ascii="Arial" w:cs="Arial" w:eastAsia="Arial" w:hAnsi="Arial"/>
                <w:sz w:val="10"/>
                <w:szCs w:val="10"/>
                <w:color w:val="auto"/>
              </w:rPr>
              <w:t>(140)</w:t>
            </w:r>
          </w:p>
        </w:tc>
        <w:tc>
          <w:tcPr>
            <w:tcW w:w="0" w:type="dxa"/>
            <w:vAlign w:val="bottom"/>
          </w:tcPr>
          <w:p>
            <w:pPr>
              <w:spacing w:after="0"/>
              <w:rPr>
                <w:sz w:val="1"/>
                <w:szCs w:val="1"/>
                <w:color w:val="auto"/>
              </w:rPr>
            </w:pPr>
          </w:p>
        </w:tc>
      </w:tr>
      <w:tr>
        <w:trPr>
          <w:trHeight w:val="130"/>
        </w:trPr>
        <w:tc>
          <w:tcPr>
            <w:tcW w:w="4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w:t>
            </w:r>
          </w:p>
        </w:tc>
        <w:tc>
          <w:tcPr>
            <w:tcW w:w="19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(57)</w:t>
            </w:r>
          </w:p>
        </w:tc>
        <w:tc>
          <w:tcPr>
            <w:tcW w:w="10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541</w:t>
            </w: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(78)</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406</w:t>
            </w:r>
          </w:p>
        </w:tc>
        <w:tc>
          <w:tcPr>
            <w:tcW w:w="0" w:type="dxa"/>
            <w:vAlign w:val="bottom"/>
          </w:tcPr>
          <w:p>
            <w:pPr>
              <w:spacing w:after="0"/>
              <w:rPr>
                <w:sz w:val="1"/>
                <w:szCs w:val="1"/>
                <w:color w:val="auto"/>
              </w:rPr>
            </w:pPr>
          </w:p>
        </w:tc>
      </w:tr>
      <w:tr>
        <w:trPr>
          <w:trHeight w:val="117"/>
        </w:trPr>
        <w:tc>
          <w:tcPr>
            <w:tcW w:w="4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2019</w:t>
            </w:r>
          </w:p>
        </w:tc>
        <w:tc>
          <w:tcPr>
            <w:tcW w:w="19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(28,040)</w:t>
            </w:r>
          </w:p>
        </w:tc>
        <w:tc>
          <w:tcPr>
            <w:tcW w:w="10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(1,093)</w:t>
            </w: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(2,909)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(32,042)</w:t>
            </w:r>
          </w:p>
        </w:tc>
        <w:tc>
          <w:tcPr>
            <w:tcW w:w="0" w:type="dxa"/>
            <w:vAlign w:val="bottom"/>
          </w:tcPr>
          <w:p>
            <w:pPr>
              <w:spacing w:after="0"/>
              <w:rPr>
                <w:sz w:val="1"/>
                <w:szCs w:val="1"/>
                <w:color w:val="auto"/>
              </w:rPr>
            </w:pPr>
          </w:p>
        </w:tc>
      </w:tr>
      <w:tr>
        <w:trPr>
          <w:trHeight w:val="116"/>
        </w:trPr>
        <w:tc>
          <w:tcPr>
            <w:tcW w:w="44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Net deferred tax liability at December 31, 2019</w:t>
            </w:r>
          </w:p>
        </w:tc>
        <w:tc>
          <w:tcPr>
            <w:tcW w:w="19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(3,998)</w:t>
            </w:r>
          </w:p>
        </w:tc>
        <w:tc>
          <w:tcPr>
            <w:tcW w:w="0" w:type="dxa"/>
            <w:vAlign w:val="bottom"/>
          </w:tcPr>
          <w:p>
            <w:pPr>
              <w:spacing w:after="0"/>
              <w:rPr>
                <w:sz w:val="1"/>
                <w:szCs w:val="1"/>
                <w:color w:val="auto"/>
              </w:rPr>
            </w:pPr>
          </w:p>
        </w:tc>
      </w:tr>
      <w:tr>
        <w:trPr>
          <w:trHeight w:val="115"/>
        </w:trPr>
        <w:tc>
          <w:tcPr>
            <w:tcW w:w="44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Deferred tax asset/liability as presented in the balance sheet at December 31, 2019</w:t>
            </w:r>
          </w:p>
        </w:tc>
        <w:tc>
          <w:tcPr>
            <w:tcW w:w="19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480" w:type="dxa"/>
            <w:vAlign w:val="bottom"/>
          </w:tcPr>
          <w:p>
            <w:pPr>
              <w:spacing w:after="0" w:line="112" w:lineRule="exact"/>
              <w:rPr>
                <w:sz w:val="20"/>
                <w:szCs w:val="20"/>
                <w:color w:val="auto"/>
              </w:rPr>
            </w:pPr>
            <w:r>
              <w:rPr>
                <w:rFonts w:ascii="Arial" w:cs="Arial" w:eastAsia="Arial" w:hAnsi="Arial"/>
                <w:sz w:val="10"/>
                <w:szCs w:val="10"/>
                <w:color w:val="auto"/>
              </w:rPr>
              <w:t>Deferred tax asset</w:t>
            </w:r>
          </w:p>
        </w:tc>
        <w:tc>
          <w:tcPr>
            <w:tcW w:w="1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tcPr>
          <w:p>
            <w:pPr>
              <w:jc w:val="right"/>
              <w:ind w:right="12"/>
              <w:spacing w:after="0" w:line="112" w:lineRule="exact"/>
              <w:rPr>
                <w:sz w:val="20"/>
                <w:szCs w:val="20"/>
                <w:color w:val="auto"/>
              </w:rPr>
            </w:pPr>
            <w:r>
              <w:rPr>
                <w:rFonts w:ascii="Arial" w:cs="Arial" w:eastAsia="Arial" w:hAnsi="Arial"/>
                <w:sz w:val="10"/>
                <w:szCs w:val="10"/>
                <w:color w:val="auto"/>
              </w:rPr>
              <w:t>10,524</w:t>
            </w:r>
          </w:p>
        </w:tc>
        <w:tc>
          <w:tcPr>
            <w:tcW w:w="0" w:type="dxa"/>
            <w:vAlign w:val="bottom"/>
          </w:tcPr>
          <w:p>
            <w:pPr>
              <w:spacing w:after="0"/>
              <w:rPr>
                <w:sz w:val="1"/>
                <w:szCs w:val="1"/>
                <w:color w:val="auto"/>
              </w:rPr>
            </w:pPr>
          </w:p>
        </w:tc>
      </w:tr>
      <w:tr>
        <w:trPr>
          <w:trHeight w:val="127"/>
        </w:trPr>
        <w:tc>
          <w:tcPr>
            <w:tcW w:w="4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Deferred tax liability</w:t>
            </w:r>
          </w:p>
        </w:tc>
        <w:tc>
          <w:tcPr>
            <w:tcW w:w="19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(14,522)</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60"/>
        <w:spacing w:after="0" w:line="239" w:lineRule="auto"/>
        <w:rPr>
          <w:sz w:val="20"/>
          <w:szCs w:val="20"/>
          <w:color w:val="auto"/>
        </w:rPr>
      </w:pPr>
      <w:r>
        <w:rPr>
          <w:rFonts w:ascii="Arial" w:cs="Arial" w:eastAsia="Arial" w:hAnsi="Arial"/>
          <w:sz w:val="10"/>
          <w:szCs w:val="10"/>
          <w:color w:val="auto"/>
        </w:rPr>
        <w:t>The presentation in the balance sheet takes into consideration the offsetting of deferred tax assets and deferred tax liabilities within the same tax jurisdiction, where this is permitted. The overall deferred tax position in a particular tax jurisdiction determines if a deferred tax balance related to that jurisdiction is presented within deferred tax assets or deferred tax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Other movements in deferred tax assets and liabilities principally relate to acquisitions, sales of non-current assets and businesses, and amounts recognised in other comprehensive income.</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deferred tax category 'Other' primarily includes deferred tax positions in respect of leases, financial assets and liabilities, inventories, intangible assets and investments in subsidiaries, joint ventures and associates.</w:t>
      </w:r>
    </w:p>
    <w:p>
      <w:pPr>
        <w:spacing w:after="0" w:line="155" w:lineRule="exact"/>
        <w:rPr>
          <w:sz w:val="20"/>
          <w:szCs w:val="20"/>
          <w:color w:val="auto"/>
        </w:rPr>
      </w:pPr>
    </w:p>
    <w:p>
      <w:pPr>
        <w:ind w:right="260"/>
        <w:spacing w:after="0" w:line="320" w:lineRule="auto"/>
        <w:rPr>
          <w:sz w:val="20"/>
          <w:szCs w:val="20"/>
          <w:color w:val="auto"/>
        </w:rPr>
      </w:pPr>
      <w:r>
        <w:rPr>
          <w:rFonts w:ascii="Arial" w:cs="Arial" w:eastAsia="Arial" w:hAnsi="Arial"/>
          <w:sz w:val="8"/>
          <w:szCs w:val="8"/>
          <w:color w:val="auto"/>
        </w:rPr>
        <w:t>Deferred tax assets of $16,311 million (2019: $10,524 million) are recognised only to the extent it is considered probable that those assets will be recoverable. This involves an assessment of when those assets are likely to be recovered, and a judgement as to whether or not there will be sufficient taxable profits available to offset the assets. It is considered probable based on business forecasts that such taxable profits will be available. For Oil Products additional judgement is required; in some European jurisdictions the assessment of forecasted taxable profits resulting in deferred tax asset recognition of $778 million (2019: $1,194 million) extends for an additional 10 years beyond Shell’s regular 10 years planning horizon. In those situations, additional risking has been applied to the forecast of taxable profits.</w:t>
      </w:r>
    </w:p>
    <w:p>
      <w:pPr>
        <w:spacing w:after="0" w:line="118" w:lineRule="exact"/>
        <w:rPr>
          <w:sz w:val="20"/>
          <w:szCs w:val="20"/>
          <w:color w:val="auto"/>
        </w:rPr>
      </w:pPr>
    </w:p>
    <w:p>
      <w:pPr>
        <w:spacing w:after="0"/>
        <w:rPr>
          <w:sz w:val="20"/>
          <w:szCs w:val="20"/>
          <w:color w:val="auto"/>
        </w:rPr>
      </w:pPr>
      <w:r>
        <w:rPr>
          <w:rFonts w:ascii="Arial" w:cs="Arial" w:eastAsia="Arial" w:hAnsi="Arial"/>
          <w:sz w:val="8"/>
          <w:szCs w:val="8"/>
          <w:color w:val="auto"/>
        </w:rPr>
        <w:t>The amount of deferred tax assets which are dependent on future taxable profits not arising from the reversal of existing deferred tax liabilities, and which relate to tax jurisdictions where Shell has suffered a loss in the current or preceding year, was $12,759 million at December 31, 2020 (2019:</w:t>
      </w:r>
    </w:p>
    <w:p>
      <w:pPr>
        <w:spacing w:after="0" w:line="24" w:lineRule="exact"/>
        <w:rPr>
          <w:sz w:val="20"/>
          <w:szCs w:val="20"/>
          <w:color w:val="auto"/>
        </w:rPr>
      </w:pPr>
    </w:p>
    <w:p>
      <w:pPr>
        <w:spacing w:after="0"/>
        <w:rPr>
          <w:sz w:val="20"/>
          <w:szCs w:val="20"/>
          <w:color w:val="auto"/>
        </w:rPr>
      </w:pPr>
      <w:r>
        <w:rPr>
          <w:rFonts w:ascii="Arial" w:cs="Arial" w:eastAsia="Arial" w:hAnsi="Arial"/>
          <w:sz w:val="8"/>
          <w:szCs w:val="8"/>
          <w:color w:val="auto"/>
        </w:rPr>
        <w:t>$8,773 million). The increase of the amount compared with 2019 is primarily due to the reduction in deferred tax liabilities or increase in deferred tax assets resulting from impairments recorded in 2020, as well as a greater number of entities having incurred a loss in 2020.</w:t>
      </w:r>
    </w:p>
    <w:p>
      <w:pPr>
        <w:spacing w:after="0" w:line="197" w:lineRule="exact"/>
        <w:rPr>
          <w:sz w:val="20"/>
          <w:szCs w:val="20"/>
          <w:color w:val="auto"/>
        </w:rPr>
      </w:pPr>
    </w:p>
    <w:p>
      <w:pPr>
        <w:ind w:right="280"/>
        <w:spacing w:after="0" w:line="257" w:lineRule="auto"/>
        <w:rPr>
          <w:sz w:val="20"/>
          <w:szCs w:val="20"/>
          <w:color w:val="auto"/>
        </w:rPr>
      </w:pPr>
      <w:r>
        <w:rPr>
          <w:rFonts w:ascii="Arial" w:cs="Arial" w:eastAsia="Arial" w:hAnsi="Arial"/>
          <w:sz w:val="10"/>
          <w:szCs w:val="10"/>
          <w:color w:val="auto"/>
        </w:rPr>
        <w:t>Unrecognised taxable temporary differences associated with undistributed retained earnings of investments in subsidiaries, joint ventures and associates amounted to $6,705 million at December 31, 2020 (2019: $6,356 million). These retained earnings are subject to withholding tax upon distribution.</w:t>
      </w:r>
    </w:p>
    <w:p>
      <w:pPr>
        <w:spacing w:after="0" w:line="141" w:lineRule="exact"/>
        <w:rPr>
          <w:sz w:val="20"/>
          <w:szCs w:val="20"/>
          <w:color w:val="auto"/>
        </w:rPr>
      </w:pPr>
    </w:p>
    <w:p>
      <w:pPr>
        <w:ind w:right="20"/>
        <w:spacing w:after="0" w:line="239" w:lineRule="auto"/>
        <w:rPr>
          <w:sz w:val="20"/>
          <w:szCs w:val="20"/>
          <w:color w:val="auto"/>
        </w:rPr>
      </w:pPr>
      <w:r>
        <w:rPr>
          <w:rFonts w:ascii="Arial" w:cs="Arial" w:eastAsia="Arial" w:hAnsi="Arial"/>
          <w:sz w:val="10"/>
          <w:szCs w:val="10"/>
          <w:color w:val="auto"/>
        </w:rPr>
        <w:t>Unrecognised deductible temporary differences, unused tax losses and credits carried forward amounted to $42,836 million at December 31, 2020 (2019: $33,068 million), including amounts of $31,873 million (2019: $24,295 million) that are subject to time limits for utilisation of five years or later, or are not time limited.</w:t>
      </w:r>
    </w:p>
    <w:p>
      <w:pPr>
        <w:spacing w:after="0" w:line="149" w:lineRule="exact"/>
        <w:rPr>
          <w:sz w:val="20"/>
          <w:szCs w:val="20"/>
          <w:color w:val="auto"/>
        </w:rPr>
      </w:pPr>
    </w:p>
    <w:p>
      <w:pPr>
        <w:ind w:right="140"/>
        <w:spacing w:after="0" w:line="239" w:lineRule="auto"/>
        <w:rPr>
          <w:sz w:val="20"/>
          <w:szCs w:val="20"/>
          <w:color w:val="auto"/>
        </w:rPr>
      </w:pPr>
      <w:r>
        <w:rPr>
          <w:rFonts w:ascii="Arial" w:cs="Arial" w:eastAsia="Arial" w:hAnsi="Arial"/>
          <w:sz w:val="10"/>
          <w:szCs w:val="10"/>
          <w:color w:val="auto"/>
        </w:rPr>
        <w:t>Furthermore, there are unrecognised losses for Petroleum Resource Rent Tax (PRRT) in Australia, amounting to $39,402 million as at the end of the most recent PRRT fiscal year, June 30, 2020 (June 30, 2019: $36,905 million).Based on business forecasts at existing commodity price levels, and the annual augmentation of the unused PRRT losses, this amount is expected to increase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193</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196" w:name="page197"/>
    <w:bookmarkEnd w:id="196"/>
    <w:p>
      <w:pPr>
        <w:ind w:left="8"/>
        <w:spacing w:after="0"/>
        <w:rPr>
          <w:sz w:val="20"/>
          <w:szCs w:val="20"/>
          <w:color w:val="auto"/>
        </w:rPr>
      </w:pPr>
      <w:r>
        <w:rPr>
          <w:rFonts w:ascii="Arial" w:cs="Arial" w:eastAsia="Arial" w:hAnsi="Arial"/>
          <w:sz w:val="11"/>
          <w:szCs w:val="11"/>
          <w:color w:val="auto"/>
        </w:rPr>
        <w:t>17 – RETIREMENT BENEFITS</w:t>
      </w:r>
    </w:p>
    <w:p>
      <w:pPr>
        <w:ind w:left="8" w:right="320"/>
        <w:spacing w:after="0" w:line="231" w:lineRule="auto"/>
        <w:rPr>
          <w:sz w:val="20"/>
          <w:szCs w:val="20"/>
          <w:color w:val="auto"/>
        </w:rPr>
      </w:pPr>
      <w:r>
        <w:rPr>
          <w:rFonts w:ascii="Arial" w:cs="Arial" w:eastAsia="Arial" w:hAnsi="Arial"/>
          <w:sz w:val="10"/>
          <w:szCs w:val="10"/>
          <w:color w:val="auto"/>
        </w:rPr>
        <w:t>Retirement benefits are provided through a number of funded and unfunded defined benefit plans and defined contribution plans, the most significant of which are in the Netherlands, UK and USA. Benefits comprise principally pensions; retirement health care and life insurance are also provided in certain countries.</w:t>
      </w:r>
    </w:p>
    <w:p>
      <w:pPr>
        <w:spacing w:after="0" w:line="185"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7300" w:type="dxa"/>
            <w:vAlign w:val="bottom"/>
          </w:tcPr>
          <w:p>
            <w:pPr>
              <w:spacing w:after="0"/>
              <w:rPr>
                <w:sz w:val="20"/>
                <w:szCs w:val="20"/>
                <w:color w:val="auto"/>
              </w:rPr>
            </w:pPr>
            <w:r>
              <w:rPr>
                <w:rFonts w:ascii="Arial" w:cs="Arial" w:eastAsia="Arial" w:hAnsi="Arial"/>
                <w:sz w:val="10"/>
                <w:szCs w:val="10"/>
                <w:color w:val="auto"/>
              </w:rPr>
              <w:t>Financial position</w:t>
            </w:r>
          </w:p>
        </w:tc>
        <w:tc>
          <w:tcPr>
            <w:tcW w:w="1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30"/>
        </w:trPr>
        <w:tc>
          <w:tcPr>
            <w:tcW w:w="73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 31, 2020</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Dec 31, 2019</w:t>
            </w:r>
          </w:p>
        </w:tc>
        <w:tc>
          <w:tcPr>
            <w:tcW w:w="0" w:type="dxa"/>
            <w:vAlign w:val="bottom"/>
          </w:tcPr>
          <w:p>
            <w:pPr>
              <w:spacing w:after="0"/>
              <w:rPr>
                <w:sz w:val="1"/>
                <w:szCs w:val="1"/>
                <w:color w:val="auto"/>
              </w:rPr>
            </w:pPr>
          </w:p>
        </w:tc>
      </w:tr>
      <w:tr>
        <w:trPr>
          <w:trHeight w:val="114"/>
        </w:trPr>
        <w:tc>
          <w:tcPr>
            <w:tcW w:w="7300" w:type="dxa"/>
            <w:vAlign w:val="bottom"/>
          </w:tcPr>
          <w:p>
            <w:pPr>
              <w:spacing w:after="0"/>
              <w:rPr>
                <w:sz w:val="20"/>
                <w:szCs w:val="20"/>
                <w:color w:val="auto"/>
              </w:rPr>
            </w:pPr>
            <w:r>
              <w:rPr>
                <w:rFonts w:ascii="Arial" w:cs="Arial" w:eastAsia="Arial" w:hAnsi="Arial"/>
                <w:sz w:val="10"/>
                <w:szCs w:val="10"/>
                <w:color w:val="auto"/>
              </w:rPr>
              <w:t>Obligations</w:t>
            </w:r>
          </w:p>
        </w:tc>
        <w:tc>
          <w:tcPr>
            <w:tcW w:w="1340" w:type="dxa"/>
            <w:vAlign w:val="bottom"/>
          </w:tcPr>
          <w:p>
            <w:pPr>
              <w:spacing w:after="0"/>
              <w:rPr>
                <w:sz w:val="9"/>
                <w:szCs w:val="9"/>
                <w:color w:val="auto"/>
              </w:rPr>
            </w:pP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(115,792)</w:t>
            </w:r>
          </w:p>
        </w:tc>
        <w:tc>
          <w:tcPr>
            <w:tcW w:w="1320" w:type="dxa"/>
            <w:vAlign w:val="bottom"/>
            <w:gridSpan w:val="2"/>
          </w:tcPr>
          <w:p>
            <w:pPr>
              <w:jc w:val="right"/>
              <w:ind w:right="20"/>
              <w:spacing w:after="0"/>
              <w:rPr>
                <w:sz w:val="20"/>
                <w:szCs w:val="20"/>
                <w:color w:val="auto"/>
              </w:rPr>
            </w:pPr>
            <w:r>
              <w:rPr>
                <w:rFonts w:ascii="Arial" w:cs="Arial" w:eastAsia="Arial" w:hAnsi="Arial"/>
                <w:sz w:val="10"/>
                <w:szCs w:val="10"/>
                <w:color w:val="auto"/>
              </w:rPr>
              <w:t>(103,545)</w:t>
            </w:r>
          </w:p>
        </w:tc>
        <w:tc>
          <w:tcPr>
            <w:tcW w:w="0" w:type="dxa"/>
            <w:vAlign w:val="bottom"/>
          </w:tcPr>
          <w:p>
            <w:pPr>
              <w:spacing w:after="0"/>
              <w:rPr>
                <w:sz w:val="1"/>
                <w:szCs w:val="1"/>
                <w:color w:val="auto"/>
              </w:rPr>
            </w:pPr>
          </w:p>
        </w:tc>
      </w:tr>
      <w:tr>
        <w:trPr>
          <w:trHeight w:val="123"/>
        </w:trPr>
        <w:tc>
          <w:tcPr>
            <w:tcW w:w="7300" w:type="dxa"/>
            <w:vAlign w:val="bottom"/>
          </w:tcPr>
          <w:p>
            <w:pPr>
              <w:spacing w:after="0"/>
              <w:rPr>
                <w:sz w:val="20"/>
                <w:szCs w:val="20"/>
                <w:color w:val="auto"/>
              </w:rPr>
            </w:pPr>
            <w:r>
              <w:rPr>
                <w:rFonts w:ascii="Arial" w:cs="Arial" w:eastAsia="Arial" w:hAnsi="Arial"/>
                <w:sz w:val="10"/>
                <w:szCs w:val="10"/>
                <w:color w:val="auto"/>
              </w:rPr>
              <w:t>Plan assets</w:t>
            </w:r>
          </w:p>
        </w:tc>
        <w:tc>
          <w:tcPr>
            <w:tcW w:w="1340" w:type="dxa"/>
            <w:vAlign w:val="bottom"/>
          </w:tcPr>
          <w:p>
            <w:pPr>
              <w:spacing w:after="0"/>
              <w:rPr>
                <w:sz w:val="10"/>
                <w:szCs w:val="10"/>
                <w:color w:val="auto"/>
              </w:rPr>
            </w:pP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102,678</w:t>
            </w:r>
          </w:p>
        </w:tc>
        <w:tc>
          <w:tcPr>
            <w:tcW w:w="1300" w:type="dxa"/>
            <w:vAlign w:val="bottom"/>
          </w:tcPr>
          <w:p>
            <w:pPr>
              <w:jc w:val="right"/>
              <w:spacing w:after="0"/>
              <w:rPr>
                <w:sz w:val="20"/>
                <w:szCs w:val="20"/>
                <w:color w:val="auto"/>
              </w:rPr>
            </w:pPr>
            <w:r>
              <w:rPr>
                <w:rFonts w:ascii="Arial" w:cs="Arial" w:eastAsia="Arial" w:hAnsi="Arial"/>
                <w:sz w:val="10"/>
                <w:szCs w:val="10"/>
                <w:color w:val="auto"/>
              </w:rPr>
              <w:t>94,826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Asset ceilings</w:t>
            </w:r>
          </w:p>
        </w:tc>
        <w:tc>
          <w:tcPr>
            <w:tcW w:w="13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(17)</w:t>
            </w:r>
          </w:p>
        </w:tc>
        <w:tc>
          <w:tcPr>
            <w:tcW w:w="1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Deficit</w:t>
            </w: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(13,131)</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(8,719)</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Arial" w:cs="Arial" w:eastAsia="Arial" w:hAnsi="Arial"/>
                <w:sz w:val="10"/>
                <w:szCs w:val="10"/>
                <w:color w:val="auto"/>
              </w:rPr>
              <w:t>Retirement benefits in the Consolidated Balance Sheet:</w:t>
            </w:r>
          </w:p>
        </w:tc>
        <w:tc>
          <w:tcPr>
            <w:tcW w:w="1340" w:type="dxa"/>
            <w:vAlign w:val="bottom"/>
          </w:tcPr>
          <w:p>
            <w:pPr>
              <w:spacing w:after="0"/>
              <w:rPr>
                <w:sz w:val="9"/>
                <w:szCs w:val="9"/>
                <w:color w:val="auto"/>
              </w:rPr>
            </w:pPr>
          </w:p>
        </w:tc>
        <w:tc>
          <w:tcPr>
            <w:tcW w:w="1340" w:type="dxa"/>
            <w:vAlign w:val="bottom"/>
            <w:shd w:val="clear" w:color="auto" w:fill="CDCDCD"/>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7300" w:type="dxa"/>
            <w:vAlign w:val="bottom"/>
          </w:tcPr>
          <w:p>
            <w:pPr>
              <w:ind w:left="80"/>
              <w:spacing w:after="0"/>
              <w:rPr>
                <w:sz w:val="20"/>
                <w:szCs w:val="20"/>
                <w:color w:val="auto"/>
              </w:rPr>
            </w:pPr>
            <w:r>
              <w:rPr>
                <w:rFonts w:ascii="Arial" w:cs="Arial" w:eastAsia="Arial" w:hAnsi="Arial"/>
                <w:sz w:val="10"/>
                <w:szCs w:val="10"/>
                <w:color w:val="auto"/>
              </w:rPr>
              <w:t>Non-current assets</w:t>
            </w:r>
          </w:p>
        </w:tc>
        <w:tc>
          <w:tcPr>
            <w:tcW w:w="1340" w:type="dxa"/>
            <w:vAlign w:val="bottom"/>
          </w:tcPr>
          <w:p>
            <w:pPr>
              <w:spacing w:after="0"/>
              <w:rPr>
                <w:sz w:val="10"/>
                <w:szCs w:val="10"/>
                <w:color w:val="auto"/>
              </w:rPr>
            </w:pP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2,474</w:t>
            </w:r>
          </w:p>
        </w:tc>
        <w:tc>
          <w:tcPr>
            <w:tcW w:w="1300" w:type="dxa"/>
            <w:vAlign w:val="bottom"/>
          </w:tcPr>
          <w:p>
            <w:pPr>
              <w:jc w:val="right"/>
              <w:spacing w:after="0"/>
              <w:rPr>
                <w:sz w:val="20"/>
                <w:szCs w:val="20"/>
                <w:color w:val="auto"/>
              </w:rPr>
            </w:pPr>
            <w:r>
              <w:rPr>
                <w:rFonts w:ascii="Arial" w:cs="Arial" w:eastAsia="Arial" w:hAnsi="Arial"/>
                <w:sz w:val="10"/>
                <w:szCs w:val="10"/>
                <w:color w:val="auto"/>
              </w:rPr>
              <w:t>4,717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300" w:type="dxa"/>
            <w:vAlign w:val="bottom"/>
          </w:tcPr>
          <w:p>
            <w:pPr>
              <w:ind w:left="80"/>
              <w:spacing w:after="0"/>
              <w:rPr>
                <w:sz w:val="20"/>
                <w:szCs w:val="20"/>
                <w:color w:val="auto"/>
              </w:rPr>
            </w:pPr>
            <w:r>
              <w:rPr>
                <w:rFonts w:ascii="Arial" w:cs="Arial" w:eastAsia="Arial" w:hAnsi="Arial"/>
                <w:sz w:val="10"/>
                <w:szCs w:val="10"/>
                <w:color w:val="auto"/>
              </w:rPr>
              <w:t>Non-current liabilities</w:t>
            </w:r>
          </w:p>
        </w:tc>
        <w:tc>
          <w:tcPr>
            <w:tcW w:w="1340" w:type="dxa"/>
            <w:vAlign w:val="bottom"/>
          </w:tcPr>
          <w:p>
            <w:pPr>
              <w:spacing w:after="0"/>
              <w:rPr>
                <w:sz w:val="10"/>
                <w:szCs w:val="10"/>
                <w:color w:val="auto"/>
              </w:rPr>
            </w:pP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(15,168)</w:t>
            </w:r>
          </w:p>
        </w:tc>
        <w:tc>
          <w:tcPr>
            <w:tcW w:w="1320" w:type="dxa"/>
            <w:vAlign w:val="bottom"/>
            <w:gridSpan w:val="2"/>
          </w:tcPr>
          <w:p>
            <w:pPr>
              <w:jc w:val="right"/>
              <w:ind w:right="20"/>
              <w:spacing w:after="0"/>
              <w:rPr>
                <w:sz w:val="20"/>
                <w:szCs w:val="20"/>
                <w:color w:val="auto"/>
              </w:rPr>
            </w:pPr>
            <w:r>
              <w:rPr>
                <w:rFonts w:ascii="Arial" w:cs="Arial" w:eastAsia="Arial" w:hAnsi="Arial"/>
                <w:sz w:val="10"/>
                <w:szCs w:val="10"/>
                <w:color w:val="auto"/>
              </w:rPr>
              <w:t>(13,017)</w:t>
            </w:r>
          </w:p>
        </w:tc>
        <w:tc>
          <w:tcPr>
            <w:tcW w:w="0" w:type="dxa"/>
            <w:vAlign w:val="bottom"/>
          </w:tcPr>
          <w:p>
            <w:pPr>
              <w:spacing w:after="0"/>
              <w:rPr>
                <w:sz w:val="1"/>
                <w:szCs w:val="1"/>
                <w:color w:val="auto"/>
              </w:rPr>
            </w:pPr>
          </w:p>
        </w:tc>
      </w:tr>
      <w:tr>
        <w:trPr>
          <w:trHeight w:val="130"/>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Current liabilities</w:t>
            </w:r>
          </w:p>
        </w:tc>
        <w:tc>
          <w:tcPr>
            <w:tcW w:w="13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(437)</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(419)</w:t>
            </w:r>
          </w:p>
        </w:tc>
        <w:tc>
          <w:tcPr>
            <w:tcW w:w="0" w:type="dxa"/>
            <w:vAlign w:val="bottom"/>
          </w:tcPr>
          <w:p>
            <w:pPr>
              <w:spacing w:after="0"/>
              <w:rPr>
                <w:sz w:val="1"/>
                <w:szCs w:val="1"/>
                <w:color w:val="auto"/>
              </w:rPr>
            </w:pPr>
          </w:p>
        </w:tc>
      </w:tr>
      <w:tr>
        <w:trPr>
          <w:trHeight w:val="117"/>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(13,131)</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(8,719)</w:t>
            </w:r>
          </w:p>
        </w:tc>
        <w:tc>
          <w:tcPr>
            <w:tcW w:w="0" w:type="dxa"/>
            <w:vAlign w:val="bottom"/>
          </w:tcPr>
          <w:p>
            <w:pPr>
              <w:spacing w:after="0"/>
              <w:rPr>
                <w:sz w:val="1"/>
                <w:szCs w:val="1"/>
                <w:color w:val="auto"/>
              </w:rPr>
            </w:pPr>
          </w:p>
        </w:tc>
      </w:tr>
      <w:tr>
        <w:trPr>
          <w:trHeight w:val="306"/>
        </w:trPr>
        <w:tc>
          <w:tcPr>
            <w:tcW w:w="7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7300" w:type="dxa"/>
            <w:vAlign w:val="bottom"/>
            <w:shd w:val="clear" w:color="auto" w:fill="D9D9D9"/>
          </w:tcPr>
          <w:p>
            <w:pPr>
              <w:spacing w:after="0"/>
              <w:rPr>
                <w:sz w:val="10"/>
                <w:szCs w:val="10"/>
                <w:color w:val="auto"/>
              </w:rPr>
            </w:pPr>
          </w:p>
        </w:tc>
        <w:tc>
          <w:tcPr>
            <w:tcW w:w="1340" w:type="dxa"/>
            <w:vAlign w:val="bottom"/>
            <w:shd w:val="clear" w:color="auto" w:fill="D9D9D9"/>
          </w:tcPr>
          <w:p>
            <w:pPr>
              <w:spacing w:after="0"/>
              <w:rPr>
                <w:sz w:val="10"/>
                <w:szCs w:val="10"/>
                <w:color w:val="auto"/>
              </w:rPr>
            </w:pPr>
          </w:p>
        </w:tc>
        <w:tc>
          <w:tcPr>
            <w:tcW w:w="1340" w:type="dxa"/>
            <w:vAlign w:val="bottom"/>
            <w:shd w:val="clear" w:color="auto" w:fill="D9D9D9"/>
          </w:tcPr>
          <w:p>
            <w:pPr>
              <w:spacing w:after="0"/>
              <w:rPr>
                <w:sz w:val="10"/>
                <w:szCs w:val="10"/>
                <w:color w:val="auto"/>
              </w:rPr>
            </w:pPr>
          </w:p>
        </w:tc>
        <w:tc>
          <w:tcPr>
            <w:tcW w:w="1300" w:type="dxa"/>
            <w:vAlign w:val="bottom"/>
            <w:shd w:val="clear" w:color="auto" w:fill="D9D9D9"/>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300" w:type="dxa"/>
            <w:vAlign w:val="bottom"/>
          </w:tcPr>
          <w:p>
            <w:pPr>
              <w:spacing w:after="0"/>
              <w:rPr>
                <w:sz w:val="20"/>
                <w:szCs w:val="20"/>
                <w:color w:val="auto"/>
              </w:rPr>
            </w:pPr>
            <w:r>
              <w:rPr>
                <w:rFonts w:ascii="Arial" w:cs="Arial" w:eastAsia="Arial" w:hAnsi="Arial"/>
                <w:sz w:val="10"/>
                <w:szCs w:val="10"/>
                <w:color w:val="auto"/>
              </w:rPr>
              <w:t>Retirement benefit expense</w:t>
            </w:r>
          </w:p>
        </w:tc>
        <w:tc>
          <w:tcPr>
            <w:tcW w:w="1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 million</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73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7300" w:type="dxa"/>
            <w:vAlign w:val="bottom"/>
          </w:tcPr>
          <w:p>
            <w:pPr>
              <w:spacing w:after="0"/>
              <w:rPr>
                <w:sz w:val="20"/>
                <w:szCs w:val="20"/>
                <w:color w:val="auto"/>
              </w:rPr>
            </w:pPr>
            <w:r>
              <w:rPr>
                <w:rFonts w:ascii="Arial" w:cs="Arial" w:eastAsia="Arial" w:hAnsi="Arial"/>
                <w:sz w:val="10"/>
                <w:szCs w:val="10"/>
                <w:color w:val="auto"/>
              </w:rPr>
              <w:t>Defined benefit plans:</w:t>
            </w:r>
          </w:p>
        </w:tc>
        <w:tc>
          <w:tcPr>
            <w:tcW w:w="1340" w:type="dxa"/>
            <w:vAlign w:val="bottom"/>
            <w:shd w:val="clear" w:color="auto" w:fill="CDCDCD"/>
          </w:tcPr>
          <w:p>
            <w:pPr>
              <w:spacing w:after="0"/>
              <w:rPr>
                <w:sz w:val="9"/>
                <w:szCs w:val="9"/>
                <w:color w:val="auto"/>
              </w:rPr>
            </w:pPr>
          </w:p>
        </w:tc>
        <w:tc>
          <w:tcPr>
            <w:tcW w:w="1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7300" w:type="dxa"/>
            <w:vAlign w:val="bottom"/>
          </w:tcPr>
          <w:p>
            <w:pPr>
              <w:ind w:left="80"/>
              <w:spacing w:after="0"/>
              <w:rPr>
                <w:sz w:val="20"/>
                <w:szCs w:val="20"/>
                <w:color w:val="auto"/>
              </w:rPr>
            </w:pPr>
            <w:r>
              <w:rPr>
                <w:rFonts w:ascii="Arial" w:cs="Arial" w:eastAsia="Arial" w:hAnsi="Arial"/>
                <w:sz w:val="10"/>
                <w:szCs w:val="10"/>
                <w:color w:val="auto"/>
              </w:rPr>
              <w:t>Interest expense on obligations</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1,828</w:t>
            </w:r>
          </w:p>
        </w:tc>
        <w:tc>
          <w:tcPr>
            <w:tcW w:w="1340" w:type="dxa"/>
            <w:vAlign w:val="bottom"/>
          </w:tcPr>
          <w:p>
            <w:pPr>
              <w:jc w:val="right"/>
              <w:ind w:right="12"/>
              <w:spacing w:after="0"/>
              <w:rPr>
                <w:sz w:val="20"/>
                <w:szCs w:val="20"/>
                <w:color w:val="auto"/>
              </w:rPr>
            </w:pPr>
            <w:r>
              <w:rPr>
                <w:rFonts w:ascii="Arial" w:cs="Arial" w:eastAsia="Arial" w:hAnsi="Arial"/>
                <w:sz w:val="10"/>
                <w:szCs w:val="10"/>
                <w:color w:val="auto"/>
              </w:rPr>
              <w:t>2,364</w:t>
            </w:r>
          </w:p>
        </w:tc>
        <w:tc>
          <w:tcPr>
            <w:tcW w:w="1300" w:type="dxa"/>
            <w:vAlign w:val="bottom"/>
          </w:tcPr>
          <w:p>
            <w:pPr>
              <w:jc w:val="right"/>
              <w:spacing w:after="0"/>
              <w:rPr>
                <w:sz w:val="20"/>
                <w:szCs w:val="20"/>
                <w:color w:val="auto"/>
              </w:rPr>
            </w:pPr>
            <w:r>
              <w:rPr>
                <w:rFonts w:ascii="Arial" w:cs="Arial" w:eastAsia="Arial" w:hAnsi="Arial"/>
                <w:sz w:val="10"/>
                <w:szCs w:val="10"/>
                <w:color w:val="auto"/>
              </w:rPr>
              <w:t>2,282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300" w:type="dxa"/>
            <w:vAlign w:val="bottom"/>
          </w:tcPr>
          <w:p>
            <w:pPr>
              <w:ind w:left="80"/>
              <w:spacing w:after="0"/>
              <w:rPr>
                <w:sz w:val="20"/>
                <w:szCs w:val="20"/>
                <w:color w:val="auto"/>
              </w:rPr>
            </w:pPr>
            <w:r>
              <w:rPr>
                <w:rFonts w:ascii="Arial" w:cs="Arial" w:eastAsia="Arial" w:hAnsi="Arial"/>
                <w:sz w:val="10"/>
                <w:szCs w:val="10"/>
                <w:color w:val="auto"/>
              </w:rPr>
              <w:t>Interest income on plan assets</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(1,657)</w:t>
            </w:r>
          </w:p>
        </w:tc>
        <w:tc>
          <w:tcPr>
            <w:tcW w:w="1340" w:type="dxa"/>
            <w:vAlign w:val="bottom"/>
          </w:tcPr>
          <w:p>
            <w:pPr>
              <w:jc w:val="right"/>
              <w:spacing w:after="0"/>
              <w:rPr>
                <w:sz w:val="20"/>
                <w:szCs w:val="20"/>
                <w:color w:val="auto"/>
              </w:rPr>
            </w:pPr>
            <w:r>
              <w:rPr>
                <w:rFonts w:ascii="Arial" w:cs="Arial" w:eastAsia="Arial" w:hAnsi="Arial"/>
                <w:sz w:val="10"/>
                <w:szCs w:val="10"/>
                <w:color w:val="auto"/>
              </w:rPr>
              <w:t>(2,253)</w:t>
            </w:r>
          </w:p>
        </w:tc>
        <w:tc>
          <w:tcPr>
            <w:tcW w:w="1300" w:type="dxa"/>
            <w:vAlign w:val="bottom"/>
          </w:tcPr>
          <w:p>
            <w:pPr>
              <w:jc w:val="right"/>
              <w:spacing w:after="0"/>
              <w:rPr>
                <w:sz w:val="20"/>
                <w:szCs w:val="20"/>
                <w:color w:val="auto"/>
              </w:rPr>
            </w:pPr>
            <w:r>
              <w:rPr>
                <w:rFonts w:ascii="Arial" w:cs="Arial" w:eastAsia="Arial" w:hAnsi="Arial"/>
                <w:sz w:val="10"/>
                <w:szCs w:val="10"/>
                <w:color w:val="auto"/>
              </w:rPr>
              <w:t>(2,087)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300" w:type="dxa"/>
            <w:vAlign w:val="bottom"/>
          </w:tcPr>
          <w:p>
            <w:pPr>
              <w:ind w:left="80"/>
              <w:spacing w:after="0"/>
              <w:rPr>
                <w:sz w:val="20"/>
                <w:szCs w:val="20"/>
                <w:color w:val="auto"/>
              </w:rPr>
            </w:pPr>
            <w:r>
              <w:rPr>
                <w:rFonts w:ascii="Arial" w:cs="Arial" w:eastAsia="Arial" w:hAnsi="Arial"/>
                <w:sz w:val="10"/>
                <w:szCs w:val="10"/>
                <w:color w:val="auto"/>
              </w:rPr>
              <w:t>Current service cost, net of plan participants’ contributions</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1,431</w:t>
            </w:r>
          </w:p>
        </w:tc>
        <w:tc>
          <w:tcPr>
            <w:tcW w:w="1340" w:type="dxa"/>
            <w:vAlign w:val="bottom"/>
          </w:tcPr>
          <w:p>
            <w:pPr>
              <w:jc w:val="right"/>
              <w:ind w:right="12"/>
              <w:spacing w:after="0"/>
              <w:rPr>
                <w:sz w:val="20"/>
                <w:szCs w:val="20"/>
                <w:color w:val="auto"/>
              </w:rPr>
            </w:pPr>
            <w:r>
              <w:rPr>
                <w:rFonts w:ascii="Arial" w:cs="Arial" w:eastAsia="Arial" w:hAnsi="Arial"/>
                <w:sz w:val="10"/>
                <w:szCs w:val="10"/>
                <w:color w:val="auto"/>
              </w:rPr>
              <w:t>1,188</w:t>
            </w:r>
          </w:p>
        </w:tc>
        <w:tc>
          <w:tcPr>
            <w:tcW w:w="1300" w:type="dxa"/>
            <w:vAlign w:val="bottom"/>
          </w:tcPr>
          <w:p>
            <w:pPr>
              <w:jc w:val="right"/>
              <w:spacing w:after="0"/>
              <w:rPr>
                <w:sz w:val="20"/>
                <w:szCs w:val="20"/>
                <w:color w:val="auto"/>
              </w:rPr>
            </w:pPr>
            <w:r>
              <w:rPr>
                <w:rFonts w:ascii="Arial" w:cs="Arial" w:eastAsia="Arial" w:hAnsi="Arial"/>
                <w:sz w:val="10"/>
                <w:szCs w:val="10"/>
                <w:color w:val="auto"/>
              </w:rPr>
              <w:t>1,494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Other</w:t>
            </w: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(174)</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7300" w:type="dxa"/>
            <w:vAlign w:val="bottom"/>
          </w:tcPr>
          <w:p>
            <w:pPr>
              <w:spacing w:after="0"/>
              <w:rPr>
                <w:sz w:val="20"/>
                <w:szCs w:val="20"/>
                <w:color w:val="auto"/>
              </w:rPr>
            </w:pPr>
            <w:r>
              <w:rPr>
                <w:rFonts w:ascii="Arial" w:cs="Arial" w:eastAsia="Arial" w:hAnsi="Arial"/>
                <w:sz w:val="10"/>
                <w:szCs w:val="10"/>
                <w:color w:val="auto"/>
              </w:rPr>
              <w:t>Total</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1,428</w:t>
            </w:r>
          </w:p>
        </w:tc>
        <w:tc>
          <w:tcPr>
            <w:tcW w:w="1340" w:type="dxa"/>
            <w:vAlign w:val="bottom"/>
          </w:tcPr>
          <w:p>
            <w:pPr>
              <w:jc w:val="right"/>
              <w:ind w:right="12"/>
              <w:spacing w:after="0"/>
              <w:rPr>
                <w:sz w:val="20"/>
                <w:szCs w:val="20"/>
                <w:color w:val="auto"/>
              </w:rPr>
            </w:pPr>
            <w:r>
              <w:rPr>
                <w:rFonts w:ascii="Arial" w:cs="Arial" w:eastAsia="Arial" w:hAnsi="Arial"/>
                <w:sz w:val="10"/>
                <w:szCs w:val="10"/>
                <w:color w:val="auto"/>
              </w:rPr>
              <w:t>1,325</w:t>
            </w:r>
          </w:p>
        </w:tc>
        <w:tc>
          <w:tcPr>
            <w:tcW w:w="1300" w:type="dxa"/>
            <w:vAlign w:val="bottom"/>
          </w:tcPr>
          <w:p>
            <w:pPr>
              <w:jc w:val="right"/>
              <w:spacing w:after="0"/>
              <w:rPr>
                <w:sz w:val="20"/>
                <w:szCs w:val="20"/>
                <w:color w:val="auto"/>
              </w:rPr>
            </w:pPr>
            <w:r>
              <w:rPr>
                <w:rFonts w:ascii="Arial" w:cs="Arial" w:eastAsia="Arial" w:hAnsi="Arial"/>
                <w:sz w:val="10"/>
                <w:szCs w:val="10"/>
                <w:color w:val="auto"/>
              </w:rPr>
              <w:t>1,468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Defined contribution plans</w:t>
            </w: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423</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428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retirement benefit expense</w:t>
            </w: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1,851</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1,753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8" w:right="20"/>
        <w:spacing w:after="0" w:line="239" w:lineRule="auto"/>
        <w:rPr>
          <w:sz w:val="20"/>
          <w:szCs w:val="20"/>
          <w:color w:val="auto"/>
        </w:rPr>
      </w:pPr>
      <w:r>
        <w:rPr>
          <w:rFonts w:ascii="Arial" w:cs="Arial" w:eastAsia="Arial" w:hAnsi="Arial"/>
          <w:sz w:val="10"/>
          <w:szCs w:val="10"/>
          <w:color w:val="auto"/>
        </w:rPr>
        <w:t>Retirement benefit expense is presented principally within production and manufacturing expenses and selling, distribution and administrative expenses in the Consolidated Statement of Income. Interest income on plan assets is calculated using the same rate as that applied to the related defined benefit obligations for each plan to determine interest expense.</w:t>
      </w:r>
    </w:p>
    <w:p>
      <w:pPr>
        <w:spacing w:after="0" w:line="242"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7300" w:type="dxa"/>
            <w:vAlign w:val="bottom"/>
            <w:shd w:val="clear" w:color="auto" w:fill="D9D9D9"/>
          </w:tcPr>
          <w:p>
            <w:pPr>
              <w:spacing w:after="0"/>
              <w:rPr>
                <w:sz w:val="10"/>
                <w:szCs w:val="10"/>
                <w:color w:val="auto"/>
              </w:rPr>
            </w:pPr>
          </w:p>
        </w:tc>
        <w:tc>
          <w:tcPr>
            <w:tcW w:w="1340" w:type="dxa"/>
            <w:vAlign w:val="bottom"/>
            <w:shd w:val="clear" w:color="auto" w:fill="D9D9D9"/>
          </w:tcPr>
          <w:p>
            <w:pPr>
              <w:spacing w:after="0"/>
              <w:rPr>
                <w:sz w:val="10"/>
                <w:szCs w:val="10"/>
                <w:color w:val="auto"/>
              </w:rPr>
            </w:pPr>
          </w:p>
        </w:tc>
        <w:tc>
          <w:tcPr>
            <w:tcW w:w="1800" w:type="dxa"/>
            <w:vAlign w:val="bottom"/>
            <w:shd w:val="clear" w:color="auto" w:fill="D9D9D9"/>
          </w:tcPr>
          <w:p>
            <w:pPr>
              <w:spacing w:after="0"/>
              <w:rPr>
                <w:sz w:val="10"/>
                <w:szCs w:val="10"/>
                <w:color w:val="auto"/>
              </w:rPr>
            </w:pPr>
          </w:p>
        </w:tc>
        <w:tc>
          <w:tcPr>
            <w:tcW w:w="840" w:type="dxa"/>
            <w:vAlign w:val="bottom"/>
            <w:shd w:val="clear" w:color="auto" w:fill="D9D9D9"/>
          </w:tcPr>
          <w:p>
            <w:pPr>
              <w:spacing w:after="0"/>
              <w:rPr>
                <w:sz w:val="10"/>
                <w:szCs w:val="10"/>
                <w:color w:val="auto"/>
              </w:rPr>
            </w:pPr>
          </w:p>
        </w:tc>
      </w:tr>
      <w:tr>
        <w:trPr>
          <w:trHeight w:val="121"/>
        </w:trPr>
        <w:tc>
          <w:tcPr>
            <w:tcW w:w="7300" w:type="dxa"/>
            <w:vAlign w:val="bottom"/>
          </w:tcPr>
          <w:p>
            <w:pPr>
              <w:spacing w:after="0"/>
              <w:rPr>
                <w:sz w:val="20"/>
                <w:szCs w:val="20"/>
                <w:color w:val="auto"/>
              </w:rPr>
            </w:pPr>
            <w:r>
              <w:rPr>
                <w:rFonts w:ascii="Arial" w:cs="Arial" w:eastAsia="Arial" w:hAnsi="Arial"/>
                <w:sz w:val="10"/>
                <w:szCs w:val="10"/>
                <w:color w:val="auto"/>
              </w:rPr>
              <w:t>Remeasurements</w:t>
            </w:r>
          </w:p>
        </w:tc>
        <w:tc>
          <w:tcPr>
            <w:tcW w:w="13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73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7300" w:type="dxa"/>
            <w:vAlign w:val="bottom"/>
          </w:tcPr>
          <w:p>
            <w:pPr>
              <w:spacing w:after="0"/>
              <w:rPr>
                <w:sz w:val="20"/>
                <w:szCs w:val="20"/>
                <w:color w:val="auto"/>
              </w:rPr>
            </w:pPr>
            <w:r>
              <w:rPr>
                <w:rFonts w:ascii="Arial" w:cs="Arial" w:eastAsia="Arial" w:hAnsi="Arial"/>
                <w:sz w:val="10"/>
                <w:szCs w:val="10"/>
                <w:color w:val="auto"/>
              </w:rPr>
              <w:t>Actuarial (losses)/gains on obligations:</w:t>
            </w:r>
          </w:p>
        </w:tc>
        <w:tc>
          <w:tcPr>
            <w:tcW w:w="1340" w:type="dxa"/>
            <w:vAlign w:val="bottom"/>
            <w:shd w:val="clear" w:color="auto" w:fill="CDCDCD"/>
          </w:tcPr>
          <w:p>
            <w:pPr>
              <w:spacing w:after="0"/>
              <w:rPr>
                <w:sz w:val="9"/>
                <w:szCs w:val="9"/>
                <w:color w:val="auto"/>
              </w:rPr>
            </w:pPr>
          </w:p>
        </w:tc>
        <w:tc>
          <w:tcPr>
            <w:tcW w:w="18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23"/>
        </w:trPr>
        <w:tc>
          <w:tcPr>
            <w:tcW w:w="7300" w:type="dxa"/>
            <w:vAlign w:val="bottom"/>
          </w:tcPr>
          <w:p>
            <w:pPr>
              <w:ind w:left="80"/>
              <w:spacing w:after="0"/>
              <w:rPr>
                <w:sz w:val="20"/>
                <w:szCs w:val="20"/>
                <w:color w:val="auto"/>
              </w:rPr>
            </w:pPr>
            <w:r>
              <w:rPr>
                <w:rFonts w:ascii="Arial" w:cs="Arial" w:eastAsia="Arial" w:hAnsi="Arial"/>
                <w:sz w:val="10"/>
                <w:szCs w:val="10"/>
                <w:color w:val="auto"/>
              </w:rPr>
              <w:t>Due to changes in financial assumptions [A]</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(10,150)</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(11,711)</w:t>
            </w:r>
          </w:p>
        </w:tc>
        <w:tc>
          <w:tcPr>
            <w:tcW w:w="840" w:type="dxa"/>
            <w:vAlign w:val="bottom"/>
          </w:tcPr>
          <w:p>
            <w:pPr>
              <w:jc w:val="right"/>
              <w:spacing w:after="0"/>
              <w:rPr>
                <w:sz w:val="20"/>
                <w:szCs w:val="20"/>
                <w:color w:val="auto"/>
              </w:rPr>
            </w:pPr>
            <w:r>
              <w:rPr>
                <w:rFonts w:ascii="Arial" w:cs="Arial" w:eastAsia="Arial" w:hAnsi="Arial"/>
                <w:sz w:val="10"/>
                <w:szCs w:val="10"/>
                <w:color w:val="auto"/>
              </w:rPr>
              <w:t>8,186</w:t>
            </w:r>
          </w:p>
        </w:tc>
      </w:tr>
      <w:tr>
        <w:trPr>
          <w:trHeight w:val="126"/>
        </w:trPr>
        <w:tc>
          <w:tcPr>
            <w:tcW w:w="7300" w:type="dxa"/>
            <w:vAlign w:val="bottom"/>
          </w:tcPr>
          <w:p>
            <w:pPr>
              <w:ind w:left="80"/>
              <w:spacing w:after="0"/>
              <w:rPr>
                <w:sz w:val="20"/>
                <w:szCs w:val="20"/>
                <w:color w:val="auto"/>
              </w:rPr>
            </w:pPr>
            <w:r>
              <w:rPr>
                <w:rFonts w:ascii="Arial" w:cs="Arial" w:eastAsia="Arial" w:hAnsi="Arial"/>
                <w:sz w:val="10"/>
                <w:szCs w:val="10"/>
                <w:color w:val="auto"/>
              </w:rPr>
              <w:t>Due to experience adjustments [B]</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804</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232</w:t>
            </w:r>
          </w:p>
        </w:tc>
        <w:tc>
          <w:tcPr>
            <w:tcW w:w="840" w:type="dxa"/>
            <w:vAlign w:val="bottom"/>
          </w:tcPr>
          <w:p>
            <w:pPr>
              <w:jc w:val="right"/>
              <w:spacing w:after="0"/>
              <w:rPr>
                <w:sz w:val="20"/>
                <w:szCs w:val="20"/>
                <w:color w:val="auto"/>
              </w:rPr>
            </w:pPr>
            <w:r>
              <w:rPr>
                <w:rFonts w:ascii="Arial" w:cs="Arial" w:eastAsia="Arial" w:hAnsi="Arial"/>
                <w:sz w:val="10"/>
                <w:szCs w:val="10"/>
                <w:color w:val="auto"/>
              </w:rPr>
              <w:t>(268)</w:t>
            </w:r>
          </w:p>
        </w:tc>
      </w:tr>
      <w:tr>
        <w:trPr>
          <w:trHeight w:val="130"/>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Due to changes in demographic assumptions [C]</w:t>
            </w: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1,375</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(75)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(459)</w:t>
            </w:r>
          </w:p>
        </w:tc>
      </w:tr>
      <w:tr>
        <w:trPr>
          <w:trHeight w:val="114"/>
        </w:trPr>
        <w:tc>
          <w:tcPr>
            <w:tcW w:w="7300" w:type="dxa"/>
            <w:vAlign w:val="bottom"/>
          </w:tcPr>
          <w:p>
            <w:pPr>
              <w:spacing w:after="0"/>
              <w:rPr>
                <w:sz w:val="20"/>
                <w:szCs w:val="20"/>
                <w:color w:val="auto"/>
              </w:rPr>
            </w:pPr>
            <w:r>
              <w:rPr>
                <w:rFonts w:ascii="Arial" w:cs="Arial" w:eastAsia="Arial" w:hAnsi="Arial"/>
                <w:sz w:val="10"/>
                <w:szCs w:val="10"/>
                <w:color w:val="auto"/>
              </w:rPr>
              <w:t>Total</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(7,971)</w:t>
            </w:r>
          </w:p>
        </w:tc>
        <w:tc>
          <w:tcPr>
            <w:tcW w:w="1800" w:type="dxa"/>
            <w:vAlign w:val="bottom"/>
          </w:tcPr>
          <w:p>
            <w:pPr>
              <w:jc w:val="right"/>
              <w:ind w:right="452"/>
              <w:spacing w:after="0"/>
              <w:rPr>
                <w:sz w:val="20"/>
                <w:szCs w:val="20"/>
                <w:color w:val="auto"/>
              </w:rPr>
            </w:pPr>
            <w:r>
              <w:rPr>
                <w:rFonts w:ascii="Arial" w:cs="Arial" w:eastAsia="Arial" w:hAnsi="Arial"/>
                <w:sz w:val="10"/>
                <w:szCs w:val="10"/>
                <w:color w:val="auto"/>
              </w:rPr>
              <w:t>(11,554)</w:t>
            </w:r>
          </w:p>
        </w:tc>
        <w:tc>
          <w:tcPr>
            <w:tcW w:w="840" w:type="dxa"/>
            <w:vAlign w:val="bottom"/>
          </w:tcPr>
          <w:p>
            <w:pPr>
              <w:jc w:val="right"/>
              <w:spacing w:after="0"/>
              <w:rPr>
                <w:sz w:val="20"/>
                <w:szCs w:val="20"/>
                <w:color w:val="auto"/>
              </w:rPr>
            </w:pPr>
            <w:r>
              <w:rPr>
                <w:rFonts w:ascii="Arial" w:cs="Arial" w:eastAsia="Arial" w:hAnsi="Arial"/>
                <w:sz w:val="10"/>
                <w:szCs w:val="10"/>
                <w:color w:val="auto"/>
              </w:rPr>
              <w:t>7,459</w:t>
            </w:r>
          </w:p>
        </w:tc>
      </w:tr>
      <w:tr>
        <w:trPr>
          <w:trHeight w:val="123"/>
        </w:trPr>
        <w:tc>
          <w:tcPr>
            <w:tcW w:w="7300" w:type="dxa"/>
            <w:vAlign w:val="bottom"/>
          </w:tcPr>
          <w:p>
            <w:pPr>
              <w:spacing w:after="0"/>
              <w:rPr>
                <w:sz w:val="20"/>
                <w:szCs w:val="20"/>
                <w:color w:val="auto"/>
              </w:rPr>
            </w:pPr>
            <w:r>
              <w:rPr>
                <w:rFonts w:ascii="Arial" w:cs="Arial" w:eastAsia="Arial" w:hAnsi="Arial"/>
                <w:sz w:val="10"/>
                <w:szCs w:val="10"/>
                <w:color w:val="auto"/>
              </w:rPr>
              <w:t>Return on plan assets in excess/(shortage) of interest income</w:t>
            </w:r>
          </w:p>
        </w:tc>
        <w:tc>
          <w:tcPr>
            <w:tcW w:w="13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4,509</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8,460</w:t>
            </w:r>
          </w:p>
        </w:tc>
        <w:tc>
          <w:tcPr>
            <w:tcW w:w="840" w:type="dxa"/>
            <w:vAlign w:val="bottom"/>
          </w:tcPr>
          <w:p>
            <w:pPr>
              <w:jc w:val="right"/>
              <w:spacing w:after="0"/>
              <w:rPr>
                <w:sz w:val="20"/>
                <w:szCs w:val="20"/>
                <w:color w:val="auto"/>
              </w:rPr>
            </w:pPr>
            <w:r>
              <w:rPr>
                <w:rFonts w:ascii="Arial" w:cs="Arial" w:eastAsia="Arial" w:hAnsi="Arial"/>
                <w:sz w:val="10"/>
                <w:szCs w:val="10"/>
                <w:color w:val="auto"/>
              </w:rPr>
              <w:t>(2,312)</w:t>
            </w:r>
          </w:p>
        </w:tc>
      </w:tr>
      <w:tr>
        <w:trPr>
          <w:trHeight w:val="130"/>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movements</w:t>
            </w: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7</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w:t>
            </w:r>
          </w:p>
        </w:tc>
      </w:tr>
      <w:tr>
        <w:trPr>
          <w:trHeight w:val="117"/>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remeasurements</w:t>
            </w:r>
          </w:p>
        </w:tc>
        <w:tc>
          <w:tcPr>
            <w:tcW w:w="13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(3,455)</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(3,106)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5,213</w:t>
            </w:r>
          </w:p>
        </w:tc>
      </w:tr>
    </w:tbl>
    <w:p>
      <w:pPr>
        <w:spacing w:after="0" w:line="56" w:lineRule="exact"/>
        <w:rPr>
          <w:sz w:val="20"/>
          <w:szCs w:val="20"/>
          <w:color w:val="auto"/>
        </w:rPr>
      </w:pPr>
    </w:p>
    <w:p>
      <w:pPr>
        <w:ind w:left="128" w:hanging="128"/>
        <w:spacing w:after="0"/>
        <w:tabs>
          <w:tab w:leader="none" w:pos="128" w:val="left"/>
        </w:tabs>
        <w:numPr>
          <w:ilvl w:val="0"/>
          <w:numId w:val="178"/>
        </w:numPr>
        <w:rPr>
          <w:rFonts w:ascii="Arial" w:cs="Arial" w:eastAsia="Arial" w:hAnsi="Arial"/>
          <w:sz w:val="7"/>
          <w:szCs w:val="7"/>
          <w:color w:val="auto"/>
        </w:rPr>
      </w:pPr>
      <w:r>
        <w:rPr>
          <w:rFonts w:ascii="Arial" w:cs="Arial" w:eastAsia="Arial" w:hAnsi="Arial"/>
          <w:sz w:val="7"/>
          <w:szCs w:val="7"/>
          <w:color w:val="auto"/>
        </w:rPr>
        <w:t>Mainly relates to changes in the discount rate assumptions.</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78"/>
        </w:numPr>
        <w:rPr>
          <w:rFonts w:ascii="Arial" w:cs="Arial" w:eastAsia="Arial" w:hAnsi="Arial"/>
          <w:sz w:val="7"/>
          <w:szCs w:val="7"/>
          <w:color w:val="auto"/>
        </w:rPr>
      </w:pPr>
      <w:r>
        <w:rPr>
          <w:rFonts w:ascii="Arial" w:cs="Arial" w:eastAsia="Arial" w:hAnsi="Arial"/>
          <w:sz w:val="7"/>
          <w:szCs w:val="7"/>
          <w:color w:val="auto"/>
        </w:rPr>
        <w:t>Experience adjustments arise from differences between the actuarial assumptions made in respect of the year and actual outcomes.</w:t>
      </w:r>
    </w:p>
    <w:p>
      <w:pPr>
        <w:ind w:left="108" w:hanging="108"/>
        <w:spacing w:after="0"/>
        <w:tabs>
          <w:tab w:leader="none" w:pos="108" w:val="left"/>
        </w:tabs>
        <w:numPr>
          <w:ilvl w:val="0"/>
          <w:numId w:val="178"/>
        </w:numPr>
        <w:rPr>
          <w:rFonts w:ascii="Arial" w:cs="Arial" w:eastAsia="Arial" w:hAnsi="Arial"/>
          <w:sz w:val="7"/>
          <w:szCs w:val="7"/>
          <w:color w:val="auto"/>
        </w:rPr>
      </w:pPr>
      <w:r>
        <w:rPr>
          <w:rFonts w:ascii="Arial" w:cs="Arial" w:eastAsia="Arial" w:hAnsi="Arial"/>
          <w:sz w:val="7"/>
          <w:szCs w:val="7"/>
          <w:color w:val="auto"/>
        </w:rPr>
        <w:t>Mainly relates to updates in mortality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194</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72"/>
        </w:trPr>
        <w:tc>
          <w:tcPr>
            <w:tcW w:w="8480" w:type="dxa"/>
            <w:vAlign w:val="bottom"/>
            <w:shd w:val="clear" w:color="auto" w:fill="D9D9D9"/>
          </w:tcPr>
          <w:p>
            <w:pPr>
              <w:spacing w:after="0"/>
              <w:rPr>
                <w:sz w:val="6"/>
                <w:szCs w:val="6"/>
                <w:color w:val="auto"/>
              </w:rPr>
            </w:pPr>
          </w:p>
        </w:tc>
        <w:tc>
          <w:tcPr>
            <w:tcW w:w="160" w:type="dxa"/>
            <w:vAlign w:val="bottom"/>
            <w:shd w:val="clear" w:color="auto" w:fill="D9D9D9"/>
          </w:tcPr>
          <w:p>
            <w:pPr>
              <w:spacing w:after="0"/>
              <w:rPr>
                <w:sz w:val="6"/>
                <w:szCs w:val="6"/>
                <w:color w:val="auto"/>
              </w:rPr>
            </w:pPr>
          </w:p>
        </w:tc>
        <w:tc>
          <w:tcPr>
            <w:tcW w:w="1140" w:type="dxa"/>
            <w:vAlign w:val="bottom"/>
            <w:shd w:val="clear" w:color="auto" w:fill="D9D9D9"/>
          </w:tcPr>
          <w:p>
            <w:pPr>
              <w:spacing w:after="0"/>
              <w:rPr>
                <w:sz w:val="6"/>
                <w:szCs w:val="6"/>
                <w:color w:val="auto"/>
              </w:rPr>
            </w:pPr>
          </w:p>
        </w:tc>
        <w:tc>
          <w:tcPr>
            <w:tcW w:w="100" w:type="dxa"/>
            <w:vAlign w:val="bottom"/>
            <w:shd w:val="clear" w:color="auto" w:fill="D9D9D9"/>
          </w:tcPr>
          <w:p>
            <w:pPr>
              <w:spacing w:after="0"/>
              <w:rPr>
                <w:sz w:val="6"/>
                <w:szCs w:val="6"/>
                <w:color w:val="auto"/>
              </w:rPr>
            </w:pPr>
          </w:p>
        </w:tc>
        <w:tc>
          <w:tcPr>
            <w:tcW w:w="80" w:type="dxa"/>
            <w:vAlign w:val="bottom"/>
            <w:shd w:val="clear" w:color="auto" w:fill="D9D9D9"/>
          </w:tcPr>
          <w:p>
            <w:pPr>
              <w:spacing w:after="0"/>
              <w:rPr>
                <w:sz w:val="6"/>
                <w:szCs w:val="6"/>
                <w:color w:val="auto"/>
              </w:rPr>
            </w:pPr>
          </w:p>
        </w:tc>
        <w:tc>
          <w:tcPr>
            <w:tcW w:w="1320" w:type="dxa"/>
            <w:vAlign w:val="bottom"/>
            <w:shd w:val="clear" w:color="auto" w:fill="D9D9D9"/>
          </w:tcPr>
          <w:p>
            <w:pPr>
              <w:spacing w:after="0"/>
              <w:rPr>
                <w:sz w:val="6"/>
                <w:szCs w:val="6"/>
                <w:color w:val="auto"/>
              </w:rPr>
            </w:pPr>
          </w:p>
        </w:tc>
      </w:tr>
      <w:tr>
        <w:trPr>
          <w:trHeight w:val="121"/>
        </w:trPr>
        <w:tc>
          <w:tcPr>
            <w:tcW w:w="8640" w:type="dxa"/>
            <w:vAlign w:val="bottom"/>
            <w:gridSpan w:val="2"/>
          </w:tcPr>
          <w:p>
            <w:pPr>
              <w:spacing w:after="0"/>
              <w:rPr>
                <w:sz w:val="20"/>
                <w:szCs w:val="20"/>
                <w:color w:val="auto"/>
              </w:rPr>
            </w:pPr>
            <w:r>
              <w:rPr>
                <w:rFonts w:ascii="Arial" w:cs="Arial" w:eastAsia="Arial" w:hAnsi="Arial"/>
                <w:sz w:val="10"/>
                <w:szCs w:val="10"/>
                <w:color w:val="auto"/>
              </w:rPr>
              <w:t>Defined benefit plan obligations</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w w:val="88"/>
              </w:rPr>
              <w:t>$ million, except where indicated</w:t>
            </w:r>
          </w:p>
        </w:tc>
      </w:tr>
      <w:tr>
        <w:trPr>
          <w:trHeight w:val="116"/>
        </w:trPr>
        <w:tc>
          <w:tcPr>
            <w:tcW w:w="8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8"/>
                <w:szCs w:val="8"/>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2019</w:t>
            </w:r>
          </w:p>
        </w:tc>
      </w:tr>
      <w:tr>
        <w:trPr>
          <w:trHeight w:val="116"/>
        </w:trPr>
        <w:tc>
          <w:tcPr>
            <w:tcW w:w="8640" w:type="dxa"/>
            <w:vAlign w:val="bottom"/>
            <w:gridSpan w:val="2"/>
          </w:tcPr>
          <w:p>
            <w:pPr>
              <w:spacing w:after="0"/>
              <w:rPr>
                <w:sz w:val="20"/>
                <w:szCs w:val="20"/>
                <w:color w:val="auto"/>
              </w:rPr>
            </w:pPr>
            <w:r>
              <w:rPr>
                <w:rFonts w:ascii="Arial" w:cs="Arial" w:eastAsia="Arial" w:hAnsi="Arial"/>
                <w:sz w:val="10"/>
                <w:szCs w:val="10"/>
                <w:color w:val="auto"/>
              </w:rPr>
              <w:t>At January 1</w:t>
            </w:r>
          </w:p>
        </w:tc>
        <w:tc>
          <w:tcPr>
            <w:tcW w:w="1320" w:type="dxa"/>
            <w:vAlign w:val="bottom"/>
            <w:gridSpan w:val="3"/>
            <w:shd w:val="clear" w:color="auto" w:fill="CDCDCD"/>
          </w:tcPr>
          <w:p>
            <w:pPr>
              <w:jc w:val="right"/>
              <w:ind w:right="40"/>
              <w:spacing w:after="0"/>
              <w:rPr>
                <w:sz w:val="20"/>
                <w:szCs w:val="20"/>
                <w:color w:val="auto"/>
              </w:rPr>
            </w:pPr>
            <w:r>
              <w:rPr>
                <w:rFonts w:ascii="Arial" w:cs="Arial" w:eastAsia="Arial" w:hAnsi="Arial"/>
                <w:sz w:val="10"/>
                <w:szCs w:val="10"/>
                <w:color w:val="auto"/>
              </w:rPr>
              <w:t>103,545</w:t>
            </w:r>
          </w:p>
        </w:tc>
        <w:tc>
          <w:tcPr>
            <w:tcW w:w="1320" w:type="dxa"/>
            <w:vAlign w:val="bottom"/>
          </w:tcPr>
          <w:p>
            <w:pPr>
              <w:jc w:val="right"/>
              <w:spacing w:after="0"/>
              <w:rPr>
                <w:sz w:val="20"/>
                <w:szCs w:val="20"/>
                <w:color w:val="auto"/>
              </w:rPr>
            </w:pPr>
            <w:r>
              <w:rPr>
                <w:rFonts w:ascii="Arial" w:cs="Arial" w:eastAsia="Arial" w:hAnsi="Arial"/>
                <w:sz w:val="10"/>
                <w:szCs w:val="10"/>
                <w:color w:val="auto"/>
              </w:rPr>
              <w:t>91,856</w:t>
            </w:r>
          </w:p>
        </w:tc>
      </w:tr>
      <w:tr>
        <w:trPr>
          <w:trHeight w:val="123"/>
        </w:trPr>
        <w:tc>
          <w:tcPr>
            <w:tcW w:w="8640" w:type="dxa"/>
            <w:vAlign w:val="bottom"/>
            <w:gridSpan w:val="2"/>
          </w:tcPr>
          <w:p>
            <w:pPr>
              <w:spacing w:after="0"/>
              <w:rPr>
                <w:sz w:val="20"/>
                <w:szCs w:val="20"/>
                <w:color w:val="auto"/>
              </w:rPr>
            </w:pPr>
            <w:r>
              <w:rPr>
                <w:rFonts w:ascii="Arial" w:cs="Arial" w:eastAsia="Arial" w:hAnsi="Arial"/>
                <w:sz w:val="10"/>
                <w:szCs w:val="10"/>
                <w:color w:val="auto"/>
              </w:rPr>
              <w:t>Current service cost</w:t>
            </w:r>
          </w:p>
        </w:tc>
        <w:tc>
          <w:tcPr>
            <w:tcW w:w="1320" w:type="dxa"/>
            <w:vAlign w:val="bottom"/>
            <w:gridSpan w:val="3"/>
            <w:shd w:val="clear" w:color="auto" w:fill="CDCDCD"/>
          </w:tcPr>
          <w:p>
            <w:pPr>
              <w:jc w:val="right"/>
              <w:ind w:right="40"/>
              <w:spacing w:after="0"/>
              <w:rPr>
                <w:sz w:val="20"/>
                <w:szCs w:val="20"/>
                <w:color w:val="auto"/>
              </w:rPr>
            </w:pPr>
            <w:r>
              <w:rPr>
                <w:rFonts w:ascii="Arial" w:cs="Arial" w:eastAsia="Arial" w:hAnsi="Arial"/>
                <w:sz w:val="10"/>
                <w:szCs w:val="10"/>
                <w:color w:val="auto"/>
              </w:rPr>
              <w:t>1,435</w:t>
            </w:r>
          </w:p>
        </w:tc>
        <w:tc>
          <w:tcPr>
            <w:tcW w:w="1320" w:type="dxa"/>
            <w:vAlign w:val="bottom"/>
          </w:tcPr>
          <w:p>
            <w:pPr>
              <w:jc w:val="right"/>
              <w:spacing w:after="0"/>
              <w:rPr>
                <w:sz w:val="20"/>
                <w:szCs w:val="20"/>
                <w:color w:val="auto"/>
              </w:rPr>
            </w:pPr>
            <w:r>
              <w:rPr>
                <w:rFonts w:ascii="Arial" w:cs="Arial" w:eastAsia="Arial" w:hAnsi="Arial"/>
                <w:sz w:val="10"/>
                <w:szCs w:val="10"/>
                <w:color w:val="auto"/>
              </w:rPr>
              <w:t>1,186</w:t>
            </w:r>
          </w:p>
        </w:tc>
      </w:tr>
      <w:tr>
        <w:trPr>
          <w:trHeight w:val="126"/>
        </w:trPr>
        <w:tc>
          <w:tcPr>
            <w:tcW w:w="8640" w:type="dxa"/>
            <w:vAlign w:val="bottom"/>
            <w:gridSpan w:val="2"/>
          </w:tcPr>
          <w:p>
            <w:pPr>
              <w:spacing w:after="0"/>
              <w:rPr>
                <w:sz w:val="20"/>
                <w:szCs w:val="20"/>
                <w:color w:val="auto"/>
              </w:rPr>
            </w:pPr>
            <w:r>
              <w:rPr>
                <w:rFonts w:ascii="Arial" w:cs="Arial" w:eastAsia="Arial" w:hAnsi="Arial"/>
                <w:sz w:val="10"/>
                <w:szCs w:val="10"/>
                <w:color w:val="auto"/>
              </w:rPr>
              <w:t>Interest expense</w:t>
            </w:r>
          </w:p>
        </w:tc>
        <w:tc>
          <w:tcPr>
            <w:tcW w:w="1320" w:type="dxa"/>
            <w:vAlign w:val="bottom"/>
            <w:gridSpan w:val="3"/>
            <w:shd w:val="clear" w:color="auto" w:fill="CDCDCD"/>
          </w:tcPr>
          <w:p>
            <w:pPr>
              <w:jc w:val="right"/>
              <w:ind w:right="40"/>
              <w:spacing w:after="0"/>
              <w:rPr>
                <w:sz w:val="20"/>
                <w:szCs w:val="20"/>
                <w:color w:val="auto"/>
              </w:rPr>
            </w:pPr>
            <w:r>
              <w:rPr>
                <w:rFonts w:ascii="Arial" w:cs="Arial" w:eastAsia="Arial" w:hAnsi="Arial"/>
                <w:sz w:val="10"/>
                <w:szCs w:val="10"/>
                <w:color w:val="auto"/>
              </w:rPr>
              <w:t>1,828</w:t>
            </w:r>
          </w:p>
        </w:tc>
        <w:tc>
          <w:tcPr>
            <w:tcW w:w="1320" w:type="dxa"/>
            <w:vAlign w:val="bottom"/>
          </w:tcPr>
          <w:p>
            <w:pPr>
              <w:jc w:val="right"/>
              <w:spacing w:after="0"/>
              <w:rPr>
                <w:sz w:val="20"/>
                <w:szCs w:val="20"/>
                <w:color w:val="auto"/>
              </w:rPr>
            </w:pPr>
            <w:r>
              <w:rPr>
                <w:rFonts w:ascii="Arial" w:cs="Arial" w:eastAsia="Arial" w:hAnsi="Arial"/>
                <w:sz w:val="10"/>
                <w:szCs w:val="10"/>
                <w:color w:val="auto"/>
              </w:rPr>
              <w:t>2,364</w:t>
            </w:r>
          </w:p>
        </w:tc>
      </w:tr>
      <w:tr>
        <w:trPr>
          <w:trHeight w:val="126"/>
        </w:trPr>
        <w:tc>
          <w:tcPr>
            <w:tcW w:w="8640" w:type="dxa"/>
            <w:vAlign w:val="bottom"/>
            <w:gridSpan w:val="2"/>
          </w:tcPr>
          <w:p>
            <w:pPr>
              <w:spacing w:after="0"/>
              <w:rPr>
                <w:sz w:val="20"/>
                <w:szCs w:val="20"/>
                <w:color w:val="auto"/>
              </w:rPr>
            </w:pPr>
            <w:r>
              <w:rPr>
                <w:rFonts w:ascii="Arial" w:cs="Arial" w:eastAsia="Arial" w:hAnsi="Arial"/>
                <w:sz w:val="10"/>
                <w:szCs w:val="10"/>
                <w:color w:val="auto"/>
              </w:rPr>
              <w:t>Actuarial losses</w:t>
            </w:r>
          </w:p>
        </w:tc>
        <w:tc>
          <w:tcPr>
            <w:tcW w:w="1320" w:type="dxa"/>
            <w:vAlign w:val="bottom"/>
            <w:gridSpan w:val="3"/>
            <w:shd w:val="clear" w:color="auto" w:fill="CDCDCD"/>
          </w:tcPr>
          <w:p>
            <w:pPr>
              <w:jc w:val="right"/>
              <w:ind w:right="40"/>
              <w:spacing w:after="0"/>
              <w:rPr>
                <w:sz w:val="20"/>
                <w:szCs w:val="20"/>
                <w:color w:val="auto"/>
              </w:rPr>
            </w:pPr>
            <w:r>
              <w:rPr>
                <w:rFonts w:ascii="Arial" w:cs="Arial" w:eastAsia="Arial" w:hAnsi="Arial"/>
                <w:sz w:val="10"/>
                <w:szCs w:val="10"/>
                <w:color w:val="auto"/>
              </w:rPr>
              <w:t>7,971</w:t>
            </w:r>
          </w:p>
        </w:tc>
        <w:tc>
          <w:tcPr>
            <w:tcW w:w="1320" w:type="dxa"/>
            <w:vAlign w:val="bottom"/>
          </w:tcPr>
          <w:p>
            <w:pPr>
              <w:jc w:val="right"/>
              <w:spacing w:after="0"/>
              <w:rPr>
                <w:sz w:val="20"/>
                <w:szCs w:val="20"/>
                <w:color w:val="auto"/>
              </w:rPr>
            </w:pPr>
            <w:r>
              <w:rPr>
                <w:rFonts w:ascii="Arial" w:cs="Arial" w:eastAsia="Arial" w:hAnsi="Arial"/>
                <w:sz w:val="10"/>
                <w:szCs w:val="10"/>
                <w:color w:val="auto"/>
              </w:rPr>
              <w:t>11,554</w:t>
            </w:r>
          </w:p>
        </w:tc>
      </w:tr>
      <w:tr>
        <w:trPr>
          <w:trHeight w:val="126"/>
        </w:trPr>
        <w:tc>
          <w:tcPr>
            <w:tcW w:w="8640" w:type="dxa"/>
            <w:vAlign w:val="bottom"/>
            <w:gridSpan w:val="2"/>
          </w:tcPr>
          <w:p>
            <w:pPr>
              <w:spacing w:after="0"/>
              <w:rPr>
                <w:sz w:val="20"/>
                <w:szCs w:val="20"/>
                <w:color w:val="auto"/>
              </w:rPr>
            </w:pPr>
            <w:r>
              <w:rPr>
                <w:rFonts w:ascii="Arial" w:cs="Arial" w:eastAsia="Arial" w:hAnsi="Arial"/>
                <w:sz w:val="10"/>
                <w:szCs w:val="10"/>
                <w:color w:val="auto"/>
              </w:rPr>
              <w:t>Benefit payments</w:t>
            </w:r>
          </w:p>
        </w:tc>
        <w:tc>
          <w:tcPr>
            <w:tcW w:w="1320" w:type="dxa"/>
            <w:vAlign w:val="bottom"/>
            <w:gridSpan w:val="3"/>
            <w:shd w:val="clear" w:color="auto" w:fill="CDCDCD"/>
          </w:tcPr>
          <w:p>
            <w:pPr>
              <w:jc w:val="right"/>
              <w:ind w:right="20"/>
              <w:spacing w:after="0"/>
              <w:rPr>
                <w:sz w:val="20"/>
                <w:szCs w:val="20"/>
                <w:color w:val="auto"/>
              </w:rPr>
            </w:pPr>
            <w:r>
              <w:rPr>
                <w:rFonts w:ascii="Arial" w:cs="Arial" w:eastAsia="Arial" w:hAnsi="Arial"/>
                <w:sz w:val="10"/>
                <w:szCs w:val="10"/>
                <w:color w:val="auto"/>
              </w:rPr>
              <w:t>(4,059)</w:t>
            </w:r>
          </w:p>
        </w:tc>
        <w:tc>
          <w:tcPr>
            <w:tcW w:w="1320" w:type="dxa"/>
            <w:vAlign w:val="bottom"/>
          </w:tcPr>
          <w:p>
            <w:pPr>
              <w:jc w:val="right"/>
              <w:spacing w:after="0"/>
              <w:rPr>
                <w:sz w:val="20"/>
                <w:szCs w:val="20"/>
                <w:color w:val="auto"/>
              </w:rPr>
            </w:pPr>
            <w:r>
              <w:rPr>
                <w:rFonts w:ascii="Arial" w:cs="Arial" w:eastAsia="Arial" w:hAnsi="Arial"/>
                <w:sz w:val="10"/>
                <w:szCs w:val="10"/>
                <w:color w:val="auto"/>
              </w:rPr>
              <w:t>(3,961)</w:t>
            </w:r>
          </w:p>
        </w:tc>
      </w:tr>
      <w:tr>
        <w:trPr>
          <w:trHeight w:val="126"/>
        </w:trPr>
        <w:tc>
          <w:tcPr>
            <w:tcW w:w="8640" w:type="dxa"/>
            <w:vAlign w:val="bottom"/>
            <w:gridSpan w:val="2"/>
          </w:tcPr>
          <w:p>
            <w:pPr>
              <w:spacing w:after="0"/>
              <w:rPr>
                <w:sz w:val="20"/>
                <w:szCs w:val="20"/>
                <w:color w:val="auto"/>
              </w:rPr>
            </w:pPr>
            <w:r>
              <w:rPr>
                <w:rFonts w:ascii="Arial" w:cs="Arial" w:eastAsia="Arial" w:hAnsi="Arial"/>
                <w:sz w:val="10"/>
                <w:szCs w:val="10"/>
                <w:color w:val="auto"/>
              </w:rPr>
              <w:t>Other movements</w:t>
            </w:r>
          </w:p>
        </w:tc>
        <w:tc>
          <w:tcPr>
            <w:tcW w:w="1320" w:type="dxa"/>
            <w:vAlign w:val="bottom"/>
            <w:gridSpan w:val="3"/>
            <w:shd w:val="clear" w:color="auto" w:fill="CDCDCD"/>
          </w:tcPr>
          <w:p>
            <w:pPr>
              <w:jc w:val="right"/>
              <w:ind w:right="20"/>
              <w:spacing w:after="0"/>
              <w:rPr>
                <w:sz w:val="20"/>
                <w:szCs w:val="20"/>
                <w:color w:val="auto"/>
              </w:rPr>
            </w:pPr>
            <w:r>
              <w:rPr>
                <w:rFonts w:ascii="Arial" w:cs="Arial" w:eastAsia="Arial" w:hAnsi="Arial"/>
                <w:sz w:val="10"/>
                <w:szCs w:val="10"/>
                <w:color w:val="auto"/>
              </w:rPr>
              <w:t>(444)</w:t>
            </w:r>
          </w:p>
        </w:tc>
        <w:tc>
          <w:tcPr>
            <w:tcW w:w="1320" w:type="dxa"/>
            <w:vAlign w:val="bottom"/>
          </w:tcPr>
          <w:p>
            <w:pPr>
              <w:jc w:val="right"/>
              <w:spacing w:after="0"/>
              <w:rPr>
                <w:sz w:val="20"/>
                <w:szCs w:val="20"/>
                <w:color w:val="auto"/>
              </w:rPr>
            </w:pPr>
            <w:r>
              <w:rPr>
                <w:rFonts w:ascii="Arial" w:cs="Arial" w:eastAsia="Arial" w:hAnsi="Arial"/>
                <w:sz w:val="10"/>
                <w:szCs w:val="10"/>
                <w:color w:val="auto"/>
              </w:rPr>
              <w:t>194</w:t>
            </w:r>
          </w:p>
        </w:tc>
      </w:tr>
      <w:tr>
        <w:trPr>
          <w:trHeight w:val="130"/>
        </w:trPr>
        <w:tc>
          <w:tcPr>
            <w:tcW w:w="86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Currency translation differences</w:t>
            </w:r>
          </w:p>
        </w:tc>
        <w:tc>
          <w:tcPr>
            <w:tcW w:w="1320" w:type="dxa"/>
            <w:vAlign w:val="bottom"/>
            <w:tcBorders>
              <w:bottom w:val="single" w:sz="8" w:color="auto"/>
            </w:tcBorders>
            <w:gridSpan w:val="3"/>
            <w:shd w:val="clear" w:color="auto" w:fill="CDCDCD"/>
          </w:tcPr>
          <w:p>
            <w:pPr>
              <w:jc w:val="right"/>
              <w:ind w:right="40"/>
              <w:spacing w:after="0"/>
              <w:rPr>
                <w:sz w:val="20"/>
                <w:szCs w:val="20"/>
                <w:color w:val="auto"/>
              </w:rPr>
            </w:pPr>
            <w:r>
              <w:rPr>
                <w:rFonts w:ascii="Arial" w:cs="Arial" w:eastAsia="Arial" w:hAnsi="Arial"/>
                <w:sz w:val="10"/>
                <w:szCs w:val="10"/>
                <w:color w:val="auto"/>
              </w:rPr>
              <w:t>5,516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352</w:t>
            </w:r>
          </w:p>
        </w:tc>
      </w:tr>
      <w:tr>
        <w:trPr>
          <w:trHeight w:val="117"/>
        </w:trPr>
        <w:tc>
          <w:tcPr>
            <w:tcW w:w="86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At December 31</w:t>
            </w:r>
          </w:p>
        </w:tc>
        <w:tc>
          <w:tcPr>
            <w:tcW w:w="1320" w:type="dxa"/>
            <w:vAlign w:val="bottom"/>
            <w:tcBorders>
              <w:bottom w:val="single" w:sz="8" w:color="auto"/>
            </w:tcBorders>
            <w:gridSpan w:val="3"/>
            <w:shd w:val="clear" w:color="auto" w:fill="CDCDCD"/>
          </w:tcPr>
          <w:p>
            <w:pPr>
              <w:jc w:val="right"/>
              <w:ind w:right="40"/>
              <w:spacing w:after="0"/>
              <w:rPr>
                <w:sz w:val="20"/>
                <w:szCs w:val="20"/>
                <w:color w:val="auto"/>
              </w:rPr>
            </w:pPr>
            <w:r>
              <w:rPr>
                <w:rFonts w:ascii="Arial" w:cs="Arial" w:eastAsia="Arial" w:hAnsi="Arial"/>
                <w:sz w:val="10"/>
                <w:szCs w:val="10"/>
                <w:color w:val="auto"/>
              </w:rPr>
              <w:t>115,792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103,545</w:t>
            </w:r>
          </w:p>
        </w:tc>
      </w:tr>
      <w:tr>
        <w:trPr>
          <w:trHeight w:val="113"/>
        </w:trPr>
        <w:tc>
          <w:tcPr>
            <w:tcW w:w="8640" w:type="dxa"/>
            <w:vAlign w:val="bottom"/>
            <w:gridSpan w:val="2"/>
          </w:tcPr>
          <w:p>
            <w:pPr>
              <w:spacing w:after="0" w:line="113" w:lineRule="exact"/>
              <w:rPr>
                <w:sz w:val="20"/>
                <w:szCs w:val="20"/>
                <w:color w:val="auto"/>
              </w:rPr>
            </w:pPr>
            <w:r>
              <w:rPr>
                <w:rFonts w:ascii="Arial" w:cs="Arial" w:eastAsia="Arial" w:hAnsi="Arial"/>
                <w:sz w:val="10"/>
                <w:szCs w:val="10"/>
                <w:color w:val="auto"/>
              </w:rPr>
              <w:t>Comprising:</w:t>
            </w:r>
          </w:p>
        </w:tc>
        <w:tc>
          <w:tcPr>
            <w:tcW w:w="1140" w:type="dxa"/>
            <w:vAlign w:val="bottom"/>
            <w:shd w:val="clear" w:color="auto" w:fill="CDCDCD"/>
          </w:tcPr>
          <w:p>
            <w:pPr>
              <w:spacing w:after="0"/>
              <w:rPr>
                <w:sz w:val="9"/>
                <w:szCs w:val="9"/>
                <w:color w:val="auto"/>
              </w:rPr>
            </w:pPr>
          </w:p>
        </w:tc>
        <w:tc>
          <w:tcPr>
            <w:tcW w:w="100" w:type="dxa"/>
            <w:vAlign w:val="bottom"/>
            <w:shd w:val="clear" w:color="auto" w:fill="CDCDCD"/>
          </w:tcPr>
          <w:p>
            <w:pPr>
              <w:spacing w:after="0"/>
              <w:rPr>
                <w:sz w:val="9"/>
                <w:szCs w:val="9"/>
                <w:color w:val="auto"/>
              </w:rPr>
            </w:pPr>
          </w:p>
        </w:tc>
        <w:tc>
          <w:tcPr>
            <w:tcW w:w="80" w:type="dxa"/>
            <w:vAlign w:val="bottom"/>
            <w:shd w:val="clear" w:color="auto" w:fill="CDCDCD"/>
          </w:tcPr>
          <w:p>
            <w:pPr>
              <w:spacing w:after="0"/>
              <w:rPr>
                <w:sz w:val="9"/>
                <w:szCs w:val="9"/>
                <w:color w:val="auto"/>
              </w:rPr>
            </w:pPr>
          </w:p>
        </w:tc>
        <w:tc>
          <w:tcPr>
            <w:tcW w:w="1320" w:type="dxa"/>
            <w:vAlign w:val="bottom"/>
          </w:tcPr>
          <w:p>
            <w:pPr>
              <w:spacing w:after="0"/>
              <w:rPr>
                <w:sz w:val="9"/>
                <w:szCs w:val="9"/>
                <w:color w:val="auto"/>
              </w:rPr>
            </w:pPr>
          </w:p>
        </w:tc>
      </w:tr>
      <w:tr>
        <w:trPr>
          <w:trHeight w:val="123"/>
        </w:trPr>
        <w:tc>
          <w:tcPr>
            <w:tcW w:w="8640" w:type="dxa"/>
            <w:vAlign w:val="bottom"/>
            <w:gridSpan w:val="2"/>
          </w:tcPr>
          <w:p>
            <w:pPr>
              <w:ind w:left="80"/>
              <w:spacing w:after="0"/>
              <w:rPr>
                <w:sz w:val="20"/>
                <w:szCs w:val="20"/>
                <w:color w:val="auto"/>
              </w:rPr>
            </w:pPr>
            <w:r>
              <w:rPr>
                <w:rFonts w:ascii="Arial" w:cs="Arial" w:eastAsia="Arial" w:hAnsi="Arial"/>
                <w:sz w:val="10"/>
                <w:szCs w:val="10"/>
                <w:color w:val="auto"/>
              </w:rPr>
              <w:t>Funded pension plans</w:t>
            </w:r>
          </w:p>
        </w:tc>
        <w:tc>
          <w:tcPr>
            <w:tcW w:w="1320" w:type="dxa"/>
            <w:vAlign w:val="bottom"/>
            <w:gridSpan w:val="3"/>
            <w:shd w:val="clear" w:color="auto" w:fill="CDCDCD"/>
          </w:tcPr>
          <w:p>
            <w:pPr>
              <w:jc w:val="right"/>
              <w:ind w:right="40"/>
              <w:spacing w:after="0"/>
              <w:rPr>
                <w:sz w:val="20"/>
                <w:szCs w:val="20"/>
                <w:color w:val="auto"/>
              </w:rPr>
            </w:pPr>
            <w:r>
              <w:rPr>
                <w:rFonts w:ascii="Arial" w:cs="Arial" w:eastAsia="Arial" w:hAnsi="Arial"/>
                <w:sz w:val="10"/>
                <w:szCs w:val="10"/>
                <w:color w:val="auto"/>
              </w:rPr>
              <w:t>105,338</w:t>
            </w:r>
          </w:p>
        </w:tc>
        <w:tc>
          <w:tcPr>
            <w:tcW w:w="1320" w:type="dxa"/>
            <w:vAlign w:val="bottom"/>
          </w:tcPr>
          <w:p>
            <w:pPr>
              <w:jc w:val="right"/>
              <w:spacing w:after="0"/>
              <w:rPr>
                <w:sz w:val="20"/>
                <w:szCs w:val="20"/>
                <w:color w:val="auto"/>
              </w:rPr>
            </w:pPr>
            <w:r>
              <w:rPr>
                <w:rFonts w:ascii="Arial" w:cs="Arial" w:eastAsia="Arial" w:hAnsi="Arial"/>
                <w:sz w:val="10"/>
                <w:szCs w:val="10"/>
                <w:color w:val="auto"/>
              </w:rPr>
              <w:t>93,727</w:t>
            </w:r>
          </w:p>
        </w:tc>
      </w:tr>
      <w:tr>
        <w:trPr>
          <w:trHeight w:val="126"/>
        </w:trPr>
        <w:tc>
          <w:tcPr>
            <w:tcW w:w="8640" w:type="dxa"/>
            <w:vAlign w:val="bottom"/>
            <w:gridSpan w:val="2"/>
          </w:tcPr>
          <w:p>
            <w:pPr>
              <w:ind w:left="140"/>
              <w:spacing w:after="0"/>
              <w:rPr>
                <w:sz w:val="20"/>
                <w:szCs w:val="20"/>
                <w:color w:val="auto"/>
              </w:rPr>
            </w:pPr>
            <w:r>
              <w:rPr>
                <w:rFonts w:ascii="Arial" w:cs="Arial" w:eastAsia="Arial" w:hAnsi="Arial"/>
                <w:sz w:val="10"/>
                <w:szCs w:val="10"/>
                <w:color w:val="auto"/>
              </w:rPr>
              <w:t>Weighted average duration</w:t>
            </w:r>
          </w:p>
        </w:tc>
        <w:tc>
          <w:tcPr>
            <w:tcW w:w="1320" w:type="dxa"/>
            <w:vAlign w:val="bottom"/>
            <w:gridSpan w:val="3"/>
            <w:shd w:val="clear" w:color="auto" w:fill="CDCDCD"/>
          </w:tcPr>
          <w:p>
            <w:pPr>
              <w:jc w:val="right"/>
              <w:ind w:right="20"/>
              <w:spacing w:after="0"/>
              <w:rPr>
                <w:sz w:val="20"/>
                <w:szCs w:val="20"/>
                <w:color w:val="auto"/>
              </w:rPr>
            </w:pPr>
            <w:r>
              <w:rPr>
                <w:rFonts w:ascii="Arial" w:cs="Arial" w:eastAsia="Arial" w:hAnsi="Arial"/>
                <w:sz w:val="10"/>
                <w:szCs w:val="10"/>
                <w:color w:val="auto"/>
              </w:rPr>
              <w:t>18 years</w:t>
            </w:r>
          </w:p>
        </w:tc>
        <w:tc>
          <w:tcPr>
            <w:tcW w:w="1320" w:type="dxa"/>
            <w:vAlign w:val="bottom"/>
          </w:tcPr>
          <w:p>
            <w:pPr>
              <w:jc w:val="right"/>
              <w:spacing w:after="0"/>
              <w:rPr>
                <w:sz w:val="20"/>
                <w:szCs w:val="20"/>
                <w:color w:val="auto"/>
              </w:rPr>
            </w:pPr>
            <w:r>
              <w:rPr>
                <w:rFonts w:ascii="Arial" w:cs="Arial" w:eastAsia="Arial" w:hAnsi="Arial"/>
                <w:sz w:val="10"/>
                <w:szCs w:val="10"/>
                <w:color w:val="auto"/>
              </w:rPr>
              <w:t>17 years</w:t>
            </w:r>
          </w:p>
        </w:tc>
      </w:tr>
      <w:tr>
        <w:trPr>
          <w:trHeight w:val="126"/>
        </w:trPr>
        <w:tc>
          <w:tcPr>
            <w:tcW w:w="8640" w:type="dxa"/>
            <w:vAlign w:val="bottom"/>
            <w:gridSpan w:val="2"/>
          </w:tcPr>
          <w:p>
            <w:pPr>
              <w:ind w:left="80"/>
              <w:spacing w:after="0"/>
              <w:rPr>
                <w:sz w:val="20"/>
                <w:szCs w:val="20"/>
                <w:color w:val="auto"/>
              </w:rPr>
            </w:pPr>
            <w:r>
              <w:rPr>
                <w:rFonts w:ascii="Arial" w:cs="Arial" w:eastAsia="Arial" w:hAnsi="Arial"/>
                <w:sz w:val="10"/>
                <w:szCs w:val="10"/>
                <w:color w:val="auto"/>
              </w:rPr>
              <w:t>Unfunded pension plans</w:t>
            </w:r>
          </w:p>
        </w:tc>
        <w:tc>
          <w:tcPr>
            <w:tcW w:w="1320" w:type="dxa"/>
            <w:vAlign w:val="bottom"/>
            <w:gridSpan w:val="3"/>
            <w:shd w:val="clear" w:color="auto" w:fill="CDCDCD"/>
          </w:tcPr>
          <w:p>
            <w:pPr>
              <w:jc w:val="right"/>
              <w:ind w:right="40"/>
              <w:spacing w:after="0"/>
              <w:rPr>
                <w:sz w:val="20"/>
                <w:szCs w:val="20"/>
                <w:color w:val="auto"/>
              </w:rPr>
            </w:pPr>
            <w:r>
              <w:rPr>
                <w:rFonts w:ascii="Arial" w:cs="Arial" w:eastAsia="Arial" w:hAnsi="Arial"/>
                <w:sz w:val="10"/>
                <w:szCs w:val="10"/>
                <w:color w:val="auto"/>
              </w:rPr>
              <w:t>5,086</w:t>
            </w:r>
          </w:p>
        </w:tc>
        <w:tc>
          <w:tcPr>
            <w:tcW w:w="1320" w:type="dxa"/>
            <w:vAlign w:val="bottom"/>
          </w:tcPr>
          <w:p>
            <w:pPr>
              <w:jc w:val="right"/>
              <w:spacing w:after="0"/>
              <w:rPr>
                <w:sz w:val="20"/>
                <w:szCs w:val="20"/>
                <w:color w:val="auto"/>
              </w:rPr>
            </w:pPr>
            <w:r>
              <w:rPr>
                <w:rFonts w:ascii="Arial" w:cs="Arial" w:eastAsia="Arial" w:hAnsi="Arial"/>
                <w:sz w:val="10"/>
                <w:szCs w:val="10"/>
                <w:color w:val="auto"/>
              </w:rPr>
              <w:t>4,793</w:t>
            </w:r>
          </w:p>
        </w:tc>
      </w:tr>
      <w:tr>
        <w:trPr>
          <w:trHeight w:val="126"/>
        </w:trPr>
        <w:tc>
          <w:tcPr>
            <w:tcW w:w="8640" w:type="dxa"/>
            <w:vAlign w:val="bottom"/>
            <w:gridSpan w:val="2"/>
          </w:tcPr>
          <w:p>
            <w:pPr>
              <w:ind w:left="140"/>
              <w:spacing w:after="0"/>
              <w:rPr>
                <w:sz w:val="20"/>
                <w:szCs w:val="20"/>
                <w:color w:val="auto"/>
              </w:rPr>
            </w:pPr>
            <w:r>
              <w:rPr>
                <w:rFonts w:ascii="Arial" w:cs="Arial" w:eastAsia="Arial" w:hAnsi="Arial"/>
                <w:sz w:val="10"/>
                <w:szCs w:val="10"/>
                <w:color w:val="auto"/>
              </w:rPr>
              <w:t>Weighted average duration</w:t>
            </w:r>
          </w:p>
        </w:tc>
        <w:tc>
          <w:tcPr>
            <w:tcW w:w="1320" w:type="dxa"/>
            <w:vAlign w:val="bottom"/>
            <w:gridSpan w:val="3"/>
            <w:shd w:val="clear" w:color="auto" w:fill="CDCDCD"/>
          </w:tcPr>
          <w:p>
            <w:pPr>
              <w:jc w:val="right"/>
              <w:ind w:right="20"/>
              <w:spacing w:after="0"/>
              <w:rPr>
                <w:sz w:val="20"/>
                <w:szCs w:val="20"/>
                <w:color w:val="auto"/>
              </w:rPr>
            </w:pPr>
            <w:r>
              <w:rPr>
                <w:rFonts w:ascii="Arial" w:cs="Arial" w:eastAsia="Arial" w:hAnsi="Arial"/>
                <w:sz w:val="10"/>
                <w:szCs w:val="10"/>
                <w:color w:val="auto"/>
              </w:rPr>
              <w:t>13 years</w:t>
            </w:r>
          </w:p>
        </w:tc>
        <w:tc>
          <w:tcPr>
            <w:tcW w:w="1320" w:type="dxa"/>
            <w:vAlign w:val="bottom"/>
          </w:tcPr>
          <w:p>
            <w:pPr>
              <w:jc w:val="right"/>
              <w:spacing w:after="0"/>
              <w:rPr>
                <w:sz w:val="20"/>
                <w:szCs w:val="20"/>
                <w:color w:val="auto"/>
              </w:rPr>
            </w:pPr>
            <w:r>
              <w:rPr>
                <w:rFonts w:ascii="Arial" w:cs="Arial" w:eastAsia="Arial" w:hAnsi="Arial"/>
                <w:sz w:val="10"/>
                <w:szCs w:val="10"/>
                <w:color w:val="auto"/>
              </w:rPr>
              <w:t>13 years</w:t>
            </w:r>
          </w:p>
        </w:tc>
      </w:tr>
      <w:tr>
        <w:trPr>
          <w:trHeight w:val="126"/>
        </w:trPr>
        <w:tc>
          <w:tcPr>
            <w:tcW w:w="8640" w:type="dxa"/>
            <w:vAlign w:val="bottom"/>
            <w:gridSpan w:val="2"/>
          </w:tcPr>
          <w:p>
            <w:pPr>
              <w:ind w:left="80"/>
              <w:spacing w:after="0"/>
              <w:rPr>
                <w:sz w:val="20"/>
                <w:szCs w:val="20"/>
                <w:color w:val="auto"/>
              </w:rPr>
            </w:pPr>
            <w:r>
              <w:rPr>
                <w:rFonts w:ascii="Arial" w:cs="Arial" w:eastAsia="Arial" w:hAnsi="Arial"/>
                <w:sz w:val="10"/>
                <w:szCs w:val="10"/>
                <w:color w:val="auto"/>
              </w:rPr>
              <w:t>Unfunded OPEB plans [A]</w:t>
            </w:r>
          </w:p>
        </w:tc>
        <w:tc>
          <w:tcPr>
            <w:tcW w:w="1320" w:type="dxa"/>
            <w:vAlign w:val="bottom"/>
            <w:gridSpan w:val="3"/>
            <w:shd w:val="clear" w:color="auto" w:fill="CDCDCD"/>
          </w:tcPr>
          <w:p>
            <w:pPr>
              <w:jc w:val="right"/>
              <w:ind w:right="40"/>
              <w:spacing w:after="0"/>
              <w:rPr>
                <w:sz w:val="20"/>
                <w:szCs w:val="20"/>
                <w:color w:val="auto"/>
              </w:rPr>
            </w:pPr>
            <w:r>
              <w:rPr>
                <w:rFonts w:ascii="Arial" w:cs="Arial" w:eastAsia="Arial" w:hAnsi="Arial"/>
                <w:sz w:val="10"/>
                <w:szCs w:val="10"/>
                <w:color w:val="auto"/>
              </w:rPr>
              <w:t>5,368</w:t>
            </w:r>
          </w:p>
        </w:tc>
        <w:tc>
          <w:tcPr>
            <w:tcW w:w="1320" w:type="dxa"/>
            <w:vAlign w:val="bottom"/>
          </w:tcPr>
          <w:p>
            <w:pPr>
              <w:jc w:val="right"/>
              <w:spacing w:after="0"/>
              <w:rPr>
                <w:sz w:val="20"/>
                <w:szCs w:val="20"/>
                <w:color w:val="auto"/>
              </w:rPr>
            </w:pPr>
            <w:r>
              <w:rPr>
                <w:rFonts w:ascii="Arial" w:cs="Arial" w:eastAsia="Arial" w:hAnsi="Arial"/>
                <w:sz w:val="10"/>
                <w:szCs w:val="10"/>
                <w:color w:val="auto"/>
              </w:rPr>
              <w:t>5,025</w:t>
            </w:r>
          </w:p>
        </w:tc>
      </w:tr>
      <w:tr>
        <w:trPr>
          <w:trHeight w:val="130"/>
        </w:trPr>
        <w:tc>
          <w:tcPr>
            <w:tcW w:w="864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color w:val="auto"/>
              </w:rPr>
              <w:t>Weighted average duration</w:t>
            </w:r>
          </w:p>
        </w:tc>
        <w:tc>
          <w:tcPr>
            <w:tcW w:w="1320" w:type="dxa"/>
            <w:vAlign w:val="bottom"/>
            <w:tcBorders>
              <w:bottom w:val="single" w:sz="8" w:color="auto"/>
            </w:tcBorders>
            <w:gridSpan w:val="3"/>
            <w:shd w:val="clear" w:color="auto" w:fill="CDCDCD"/>
          </w:tcPr>
          <w:p>
            <w:pPr>
              <w:jc w:val="right"/>
              <w:ind w:right="20"/>
              <w:spacing w:after="0"/>
              <w:rPr>
                <w:sz w:val="20"/>
                <w:szCs w:val="20"/>
                <w:color w:val="auto"/>
              </w:rPr>
            </w:pPr>
            <w:r>
              <w:rPr>
                <w:rFonts w:ascii="Arial" w:cs="Arial" w:eastAsia="Arial" w:hAnsi="Arial"/>
                <w:sz w:val="10"/>
                <w:szCs w:val="10"/>
                <w:color w:val="auto"/>
              </w:rPr>
              <w:t>15 years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 years</w:t>
            </w:r>
          </w:p>
        </w:tc>
      </w:tr>
      <w:tr>
        <w:trPr>
          <w:trHeight w:val="121"/>
        </w:trPr>
        <w:tc>
          <w:tcPr>
            <w:tcW w:w="8640" w:type="dxa"/>
            <w:vAlign w:val="bottom"/>
            <w:gridSpan w:val="2"/>
          </w:tcPr>
          <w:p>
            <w:pPr>
              <w:spacing w:after="0"/>
              <w:rPr>
                <w:sz w:val="20"/>
                <w:szCs w:val="20"/>
                <w:color w:val="auto"/>
              </w:rPr>
            </w:pPr>
            <w:r>
              <w:rPr>
                <w:rFonts w:ascii="Arial" w:cs="Arial" w:eastAsia="Arial" w:hAnsi="Arial"/>
                <w:sz w:val="7"/>
                <w:szCs w:val="7"/>
                <w:color w:val="auto"/>
              </w:rPr>
              <w:t>[A] Mainly related to post-retirement medical benefits in the USA.</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41"/>
        </w:trPr>
        <w:tc>
          <w:tcPr>
            <w:tcW w:w="8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72"/>
        </w:trPr>
        <w:tc>
          <w:tcPr>
            <w:tcW w:w="8480" w:type="dxa"/>
            <w:vAlign w:val="bottom"/>
            <w:shd w:val="clear" w:color="auto" w:fill="D9D9D9"/>
          </w:tcPr>
          <w:p>
            <w:pPr>
              <w:spacing w:after="0"/>
              <w:rPr>
                <w:sz w:val="6"/>
                <w:szCs w:val="6"/>
                <w:color w:val="auto"/>
              </w:rPr>
            </w:pPr>
          </w:p>
        </w:tc>
        <w:tc>
          <w:tcPr>
            <w:tcW w:w="160" w:type="dxa"/>
            <w:vAlign w:val="bottom"/>
            <w:shd w:val="clear" w:color="auto" w:fill="D9D9D9"/>
          </w:tcPr>
          <w:p>
            <w:pPr>
              <w:spacing w:after="0"/>
              <w:rPr>
                <w:sz w:val="6"/>
                <w:szCs w:val="6"/>
                <w:color w:val="auto"/>
              </w:rPr>
            </w:pPr>
          </w:p>
        </w:tc>
        <w:tc>
          <w:tcPr>
            <w:tcW w:w="1140" w:type="dxa"/>
            <w:vAlign w:val="bottom"/>
            <w:shd w:val="clear" w:color="auto" w:fill="D9D9D9"/>
          </w:tcPr>
          <w:p>
            <w:pPr>
              <w:spacing w:after="0"/>
              <w:rPr>
                <w:sz w:val="6"/>
                <w:szCs w:val="6"/>
                <w:color w:val="auto"/>
              </w:rPr>
            </w:pPr>
          </w:p>
        </w:tc>
        <w:tc>
          <w:tcPr>
            <w:tcW w:w="100" w:type="dxa"/>
            <w:vAlign w:val="bottom"/>
            <w:shd w:val="clear" w:color="auto" w:fill="D9D9D9"/>
          </w:tcPr>
          <w:p>
            <w:pPr>
              <w:spacing w:after="0"/>
              <w:rPr>
                <w:sz w:val="6"/>
                <w:szCs w:val="6"/>
                <w:color w:val="auto"/>
              </w:rPr>
            </w:pPr>
          </w:p>
        </w:tc>
        <w:tc>
          <w:tcPr>
            <w:tcW w:w="80" w:type="dxa"/>
            <w:vAlign w:val="bottom"/>
            <w:shd w:val="clear" w:color="auto" w:fill="D9D9D9"/>
          </w:tcPr>
          <w:p>
            <w:pPr>
              <w:spacing w:after="0"/>
              <w:rPr>
                <w:sz w:val="6"/>
                <w:szCs w:val="6"/>
                <w:color w:val="auto"/>
              </w:rPr>
            </w:pPr>
          </w:p>
        </w:tc>
        <w:tc>
          <w:tcPr>
            <w:tcW w:w="1320" w:type="dxa"/>
            <w:vAlign w:val="bottom"/>
            <w:shd w:val="clear" w:color="auto" w:fill="D9D9D9"/>
          </w:tcPr>
          <w:p>
            <w:pPr>
              <w:spacing w:after="0"/>
              <w:rPr>
                <w:sz w:val="6"/>
                <w:szCs w:val="6"/>
                <w:color w:val="auto"/>
              </w:rPr>
            </w:pPr>
          </w:p>
        </w:tc>
      </w:tr>
      <w:tr>
        <w:trPr>
          <w:trHeight w:val="121"/>
        </w:trPr>
        <w:tc>
          <w:tcPr>
            <w:tcW w:w="8640" w:type="dxa"/>
            <w:vAlign w:val="bottom"/>
            <w:gridSpan w:val="2"/>
          </w:tcPr>
          <w:p>
            <w:pPr>
              <w:spacing w:after="0"/>
              <w:rPr>
                <w:sz w:val="20"/>
                <w:szCs w:val="20"/>
                <w:color w:val="auto"/>
              </w:rPr>
            </w:pPr>
            <w:r>
              <w:rPr>
                <w:rFonts w:ascii="Arial" w:cs="Arial" w:eastAsia="Arial" w:hAnsi="Arial"/>
                <w:sz w:val="10"/>
                <w:szCs w:val="10"/>
                <w:color w:val="auto"/>
              </w:rPr>
              <w:t>Defined benefit plan assets</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w w:val="88"/>
              </w:rPr>
              <w:t>$ million, except where indicated</w:t>
            </w:r>
          </w:p>
        </w:tc>
      </w:tr>
      <w:tr>
        <w:trPr>
          <w:trHeight w:val="116"/>
        </w:trPr>
        <w:tc>
          <w:tcPr>
            <w:tcW w:w="8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2020</w:t>
            </w: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2019</w:t>
            </w:r>
          </w:p>
        </w:tc>
      </w:tr>
      <w:tr>
        <w:trPr>
          <w:trHeight w:val="116"/>
        </w:trPr>
        <w:tc>
          <w:tcPr>
            <w:tcW w:w="8480" w:type="dxa"/>
            <w:vAlign w:val="bottom"/>
          </w:tcPr>
          <w:p>
            <w:pPr>
              <w:spacing w:after="0"/>
              <w:rPr>
                <w:sz w:val="20"/>
                <w:szCs w:val="20"/>
                <w:color w:val="auto"/>
              </w:rPr>
            </w:pPr>
            <w:r>
              <w:rPr>
                <w:rFonts w:ascii="Arial" w:cs="Arial" w:eastAsia="Arial" w:hAnsi="Arial"/>
                <w:sz w:val="10"/>
                <w:szCs w:val="10"/>
                <w:color w:val="auto"/>
              </w:rPr>
              <w:t>At January 1</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94,826</w:t>
            </w:r>
          </w:p>
        </w:tc>
        <w:tc>
          <w:tcPr>
            <w:tcW w:w="100" w:type="dxa"/>
            <w:vAlign w:val="bottom"/>
            <w:shd w:val="clear" w:color="auto" w:fill="CDCDCD"/>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85,803</w:t>
            </w:r>
          </w:p>
        </w:tc>
      </w:tr>
      <w:tr>
        <w:trPr>
          <w:trHeight w:val="123"/>
        </w:trPr>
        <w:tc>
          <w:tcPr>
            <w:tcW w:w="8480" w:type="dxa"/>
            <w:vAlign w:val="bottom"/>
          </w:tcPr>
          <w:p>
            <w:pPr>
              <w:spacing w:after="0"/>
              <w:rPr>
                <w:sz w:val="20"/>
                <w:szCs w:val="20"/>
                <w:color w:val="auto"/>
              </w:rPr>
            </w:pPr>
            <w:r>
              <w:rPr>
                <w:rFonts w:ascii="Arial" w:cs="Arial" w:eastAsia="Arial" w:hAnsi="Arial"/>
                <w:sz w:val="10"/>
                <w:szCs w:val="10"/>
                <w:color w:val="auto"/>
              </w:rPr>
              <w:t>Return on plan assets in excess of interest income</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4,509</w:t>
            </w:r>
          </w:p>
        </w:tc>
        <w:tc>
          <w:tcPr>
            <w:tcW w:w="100" w:type="dxa"/>
            <w:vAlign w:val="bottom"/>
            <w:shd w:val="clear" w:color="auto" w:fill="CDCDCD"/>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8,460</w:t>
            </w:r>
          </w:p>
        </w:tc>
      </w:tr>
      <w:tr>
        <w:trPr>
          <w:trHeight w:val="126"/>
        </w:trPr>
        <w:tc>
          <w:tcPr>
            <w:tcW w:w="8480" w:type="dxa"/>
            <w:vAlign w:val="bottom"/>
          </w:tcPr>
          <w:p>
            <w:pPr>
              <w:spacing w:after="0"/>
              <w:rPr>
                <w:sz w:val="20"/>
                <w:szCs w:val="20"/>
                <w:color w:val="auto"/>
              </w:rPr>
            </w:pPr>
            <w:r>
              <w:rPr>
                <w:rFonts w:ascii="Arial" w:cs="Arial" w:eastAsia="Arial" w:hAnsi="Arial"/>
                <w:sz w:val="10"/>
                <w:szCs w:val="10"/>
                <w:color w:val="auto"/>
              </w:rPr>
              <w:t>Interest income</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1,657</w:t>
            </w:r>
          </w:p>
        </w:tc>
        <w:tc>
          <w:tcPr>
            <w:tcW w:w="100" w:type="dxa"/>
            <w:vAlign w:val="bottom"/>
            <w:shd w:val="clear" w:color="auto" w:fill="CDCDCD"/>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2,253</w:t>
            </w:r>
          </w:p>
        </w:tc>
      </w:tr>
      <w:tr>
        <w:trPr>
          <w:trHeight w:val="126"/>
        </w:trPr>
        <w:tc>
          <w:tcPr>
            <w:tcW w:w="8480" w:type="dxa"/>
            <w:vAlign w:val="bottom"/>
          </w:tcPr>
          <w:p>
            <w:pPr>
              <w:spacing w:after="0"/>
              <w:rPr>
                <w:sz w:val="20"/>
                <w:szCs w:val="20"/>
                <w:color w:val="auto"/>
              </w:rPr>
            </w:pPr>
            <w:r>
              <w:rPr>
                <w:rFonts w:ascii="Arial" w:cs="Arial" w:eastAsia="Arial" w:hAnsi="Arial"/>
                <w:sz w:val="10"/>
                <w:szCs w:val="10"/>
                <w:color w:val="auto"/>
              </w:rPr>
              <w:t>Employer contributions</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614</w:t>
            </w:r>
          </w:p>
        </w:tc>
        <w:tc>
          <w:tcPr>
            <w:tcW w:w="100" w:type="dxa"/>
            <w:vAlign w:val="bottom"/>
            <w:shd w:val="clear" w:color="auto" w:fill="CDCDCD"/>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1,462</w:t>
            </w:r>
          </w:p>
        </w:tc>
      </w:tr>
      <w:tr>
        <w:trPr>
          <w:trHeight w:val="126"/>
        </w:trPr>
        <w:tc>
          <w:tcPr>
            <w:tcW w:w="8480" w:type="dxa"/>
            <w:vAlign w:val="bottom"/>
          </w:tcPr>
          <w:p>
            <w:pPr>
              <w:spacing w:after="0"/>
              <w:rPr>
                <w:sz w:val="20"/>
                <w:szCs w:val="20"/>
                <w:color w:val="auto"/>
              </w:rPr>
            </w:pPr>
            <w:r>
              <w:rPr>
                <w:rFonts w:ascii="Arial" w:cs="Arial" w:eastAsia="Arial" w:hAnsi="Arial"/>
                <w:sz w:val="10"/>
                <w:szCs w:val="10"/>
                <w:color w:val="auto"/>
              </w:rPr>
              <w:t>Plan participants’ contributions</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42</w:t>
            </w:r>
          </w:p>
        </w:tc>
        <w:tc>
          <w:tcPr>
            <w:tcW w:w="100" w:type="dxa"/>
            <w:vAlign w:val="bottom"/>
            <w:shd w:val="clear" w:color="auto" w:fill="CDCDCD"/>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42</w:t>
            </w:r>
          </w:p>
        </w:tc>
      </w:tr>
      <w:tr>
        <w:trPr>
          <w:trHeight w:val="126"/>
        </w:trPr>
        <w:tc>
          <w:tcPr>
            <w:tcW w:w="8480" w:type="dxa"/>
            <w:vAlign w:val="bottom"/>
          </w:tcPr>
          <w:p>
            <w:pPr>
              <w:spacing w:after="0"/>
              <w:rPr>
                <w:sz w:val="20"/>
                <w:szCs w:val="20"/>
                <w:color w:val="auto"/>
              </w:rPr>
            </w:pPr>
            <w:r>
              <w:rPr>
                <w:rFonts w:ascii="Arial" w:cs="Arial" w:eastAsia="Arial" w:hAnsi="Arial"/>
                <w:sz w:val="10"/>
                <w:szCs w:val="10"/>
                <w:color w:val="auto"/>
              </w:rPr>
              <w:t>Benefit payments</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(3,843)</w:t>
            </w:r>
          </w:p>
        </w:tc>
        <w:tc>
          <w:tcPr>
            <w:tcW w:w="100" w:type="dxa"/>
            <w:vAlign w:val="bottom"/>
            <w:shd w:val="clear" w:color="auto" w:fill="CDCDCD"/>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right"/>
              <w:ind w:right="52"/>
              <w:spacing w:after="0"/>
              <w:rPr>
                <w:sz w:val="20"/>
                <w:szCs w:val="20"/>
                <w:color w:val="auto"/>
              </w:rPr>
            </w:pPr>
            <w:r>
              <w:rPr>
                <w:rFonts w:ascii="Arial" w:cs="Arial" w:eastAsia="Arial" w:hAnsi="Arial"/>
                <w:sz w:val="10"/>
                <w:szCs w:val="10"/>
                <w:color w:val="auto"/>
              </w:rPr>
              <w:t>(3,741)</w:t>
            </w:r>
          </w:p>
        </w:tc>
      </w:tr>
      <w:tr>
        <w:trPr>
          <w:trHeight w:val="126"/>
        </w:trPr>
        <w:tc>
          <w:tcPr>
            <w:tcW w:w="8480" w:type="dxa"/>
            <w:vAlign w:val="bottom"/>
          </w:tcPr>
          <w:p>
            <w:pPr>
              <w:spacing w:after="0"/>
              <w:rPr>
                <w:sz w:val="20"/>
                <w:szCs w:val="20"/>
                <w:color w:val="auto"/>
              </w:rPr>
            </w:pPr>
            <w:r>
              <w:rPr>
                <w:rFonts w:ascii="Arial" w:cs="Arial" w:eastAsia="Arial" w:hAnsi="Arial"/>
                <w:sz w:val="10"/>
                <w:szCs w:val="10"/>
                <w:color w:val="auto"/>
              </w:rPr>
              <w:t>Other movements</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(281)</w:t>
            </w:r>
          </w:p>
        </w:tc>
        <w:tc>
          <w:tcPr>
            <w:tcW w:w="100" w:type="dxa"/>
            <w:vAlign w:val="bottom"/>
            <w:shd w:val="clear" w:color="auto" w:fill="CDCDCD"/>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160</w:t>
            </w:r>
          </w:p>
        </w:tc>
      </w:tr>
      <w:tr>
        <w:trPr>
          <w:trHeight w:val="130"/>
        </w:trPr>
        <w:tc>
          <w:tcPr>
            <w:tcW w:w="8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Currency translation differences</w:t>
            </w:r>
          </w:p>
        </w:tc>
        <w:tc>
          <w:tcPr>
            <w:tcW w:w="160" w:type="dxa"/>
            <w:vAlign w:val="bottom"/>
            <w:tcBorders>
              <w:bottom w:val="single" w:sz="8" w:color="auto"/>
            </w:tcBorders>
            <w:shd w:val="clear" w:color="auto" w:fill="CDCDCD"/>
          </w:tcPr>
          <w:p>
            <w:pPr>
              <w:spacing w:after="0"/>
              <w:rPr>
                <w:sz w:val="11"/>
                <w:szCs w:val="11"/>
                <w:color w:val="auto"/>
              </w:rPr>
            </w:pPr>
          </w:p>
        </w:tc>
        <w:tc>
          <w:tcPr>
            <w:tcW w:w="11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5,154</w:t>
            </w:r>
          </w:p>
        </w:tc>
        <w:tc>
          <w:tcPr>
            <w:tcW w:w="100" w:type="dxa"/>
            <w:vAlign w:val="bottom"/>
            <w:tcBorders>
              <w:bottom w:val="single" w:sz="8" w:color="auto"/>
            </w:tcBorders>
            <w:shd w:val="clear" w:color="auto" w:fill="CDCDCD"/>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387</w:t>
            </w:r>
          </w:p>
        </w:tc>
      </w:tr>
      <w:tr>
        <w:trPr>
          <w:trHeight w:val="117"/>
        </w:trPr>
        <w:tc>
          <w:tcPr>
            <w:tcW w:w="8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160" w:type="dxa"/>
            <w:vAlign w:val="bottom"/>
            <w:tcBorders>
              <w:bottom w:val="single" w:sz="8" w:color="auto"/>
            </w:tcBorders>
            <w:shd w:val="clear" w:color="auto" w:fill="CDCDCD"/>
          </w:tcPr>
          <w:p>
            <w:pPr>
              <w:spacing w:after="0"/>
              <w:rPr>
                <w:sz w:val="10"/>
                <w:szCs w:val="10"/>
                <w:color w:val="auto"/>
              </w:rPr>
            </w:pPr>
          </w:p>
        </w:tc>
        <w:tc>
          <w:tcPr>
            <w:tcW w:w="11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102,678</w:t>
            </w:r>
          </w:p>
        </w:tc>
        <w:tc>
          <w:tcPr>
            <w:tcW w:w="100" w:type="dxa"/>
            <w:vAlign w:val="bottom"/>
            <w:tcBorders>
              <w:bottom w:val="single" w:sz="8" w:color="auto"/>
            </w:tcBorders>
            <w:shd w:val="clear" w:color="auto" w:fill="CDCDCD"/>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94,826</w:t>
            </w:r>
          </w:p>
        </w:tc>
      </w:tr>
      <w:tr>
        <w:trPr>
          <w:trHeight w:val="113"/>
        </w:trPr>
        <w:tc>
          <w:tcPr>
            <w:tcW w:w="8480" w:type="dxa"/>
            <w:vAlign w:val="bottom"/>
          </w:tcPr>
          <w:p>
            <w:pPr>
              <w:spacing w:after="0" w:line="113" w:lineRule="exact"/>
              <w:rPr>
                <w:sz w:val="20"/>
                <w:szCs w:val="20"/>
                <w:color w:val="auto"/>
              </w:rPr>
            </w:pPr>
            <w:r>
              <w:rPr>
                <w:rFonts w:ascii="Arial" w:cs="Arial" w:eastAsia="Arial" w:hAnsi="Arial"/>
                <w:sz w:val="10"/>
                <w:szCs w:val="10"/>
                <w:color w:val="auto"/>
              </w:rPr>
              <w:t>Comprising:</w:t>
            </w:r>
          </w:p>
        </w:tc>
        <w:tc>
          <w:tcPr>
            <w:tcW w:w="160" w:type="dxa"/>
            <w:vAlign w:val="bottom"/>
            <w:shd w:val="clear" w:color="auto" w:fill="CDCDCD"/>
          </w:tcPr>
          <w:p>
            <w:pPr>
              <w:spacing w:after="0"/>
              <w:rPr>
                <w:sz w:val="9"/>
                <w:szCs w:val="9"/>
                <w:color w:val="auto"/>
              </w:rPr>
            </w:pPr>
          </w:p>
        </w:tc>
        <w:tc>
          <w:tcPr>
            <w:tcW w:w="1140" w:type="dxa"/>
            <w:vAlign w:val="bottom"/>
            <w:shd w:val="clear" w:color="auto" w:fill="CDCDCD"/>
          </w:tcPr>
          <w:p>
            <w:pPr>
              <w:spacing w:after="0"/>
              <w:rPr>
                <w:sz w:val="9"/>
                <w:szCs w:val="9"/>
                <w:color w:val="auto"/>
              </w:rPr>
            </w:pPr>
          </w:p>
        </w:tc>
        <w:tc>
          <w:tcPr>
            <w:tcW w:w="100" w:type="dxa"/>
            <w:vAlign w:val="bottom"/>
            <w:shd w:val="clear" w:color="auto" w:fill="CDCDCD"/>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23"/>
        </w:trPr>
        <w:tc>
          <w:tcPr>
            <w:tcW w:w="8480" w:type="dxa"/>
            <w:vAlign w:val="bottom"/>
          </w:tcPr>
          <w:p>
            <w:pPr>
              <w:ind w:left="80"/>
              <w:spacing w:after="0"/>
              <w:rPr>
                <w:sz w:val="20"/>
                <w:szCs w:val="20"/>
                <w:color w:val="auto"/>
              </w:rPr>
            </w:pPr>
            <w:r>
              <w:rPr>
                <w:rFonts w:ascii="Arial" w:cs="Arial" w:eastAsia="Arial" w:hAnsi="Arial"/>
                <w:sz w:val="10"/>
                <w:szCs w:val="10"/>
                <w:color w:val="auto"/>
              </w:rPr>
              <w:t>Quoted in active markets:</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spacing w:after="0"/>
              <w:rPr>
                <w:sz w:val="10"/>
                <w:szCs w:val="10"/>
                <w:color w:val="auto"/>
              </w:rPr>
            </w:pPr>
          </w:p>
        </w:tc>
        <w:tc>
          <w:tcPr>
            <w:tcW w:w="100" w:type="dxa"/>
            <w:vAlign w:val="bottom"/>
            <w:shd w:val="clear" w:color="auto" w:fill="CDCDCD"/>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26"/>
        </w:trPr>
        <w:tc>
          <w:tcPr>
            <w:tcW w:w="8480" w:type="dxa"/>
            <w:vAlign w:val="bottom"/>
          </w:tcPr>
          <w:p>
            <w:pPr>
              <w:ind w:left="140"/>
              <w:spacing w:after="0"/>
              <w:rPr>
                <w:sz w:val="20"/>
                <w:szCs w:val="20"/>
                <w:color w:val="auto"/>
              </w:rPr>
            </w:pPr>
            <w:r>
              <w:rPr>
                <w:rFonts w:ascii="Arial" w:cs="Arial" w:eastAsia="Arial" w:hAnsi="Arial"/>
                <w:sz w:val="10"/>
                <w:szCs w:val="10"/>
                <w:color w:val="auto"/>
              </w:rPr>
              <w:t>Equities</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DCDCD"/>
          </w:tcPr>
          <w:p>
            <w:pPr>
              <w:jc w:val="right"/>
              <w:spacing w:after="0"/>
              <w:rPr>
                <w:sz w:val="20"/>
                <w:szCs w:val="20"/>
                <w:color w:val="auto"/>
              </w:rPr>
            </w:pPr>
            <w:r>
              <w:rPr>
                <w:rFonts w:ascii="Arial" w:cs="Arial" w:eastAsia="Arial" w:hAnsi="Arial"/>
                <w:sz w:val="10"/>
                <w:szCs w:val="10"/>
                <w:color w:val="auto"/>
                <w:w w:val="89"/>
              </w:rPr>
              <w:t>%</w:t>
            </w:r>
          </w:p>
        </w:tc>
        <w:tc>
          <w:tcPr>
            <w:tcW w:w="8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26 %</w:t>
            </w:r>
          </w:p>
        </w:tc>
      </w:tr>
      <w:tr>
        <w:trPr>
          <w:trHeight w:val="126"/>
        </w:trPr>
        <w:tc>
          <w:tcPr>
            <w:tcW w:w="8480" w:type="dxa"/>
            <w:vAlign w:val="bottom"/>
          </w:tcPr>
          <w:p>
            <w:pPr>
              <w:ind w:left="140"/>
              <w:spacing w:after="0"/>
              <w:rPr>
                <w:sz w:val="20"/>
                <w:szCs w:val="20"/>
                <w:color w:val="auto"/>
              </w:rPr>
            </w:pPr>
            <w:r>
              <w:rPr>
                <w:rFonts w:ascii="Arial" w:cs="Arial" w:eastAsia="Arial" w:hAnsi="Arial"/>
                <w:sz w:val="10"/>
                <w:szCs w:val="10"/>
                <w:color w:val="auto"/>
              </w:rPr>
              <w:t>Debt securities</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52</w:t>
            </w:r>
          </w:p>
        </w:tc>
        <w:tc>
          <w:tcPr>
            <w:tcW w:w="100" w:type="dxa"/>
            <w:vAlign w:val="bottom"/>
            <w:shd w:val="clear" w:color="auto" w:fill="CDCDCD"/>
          </w:tcPr>
          <w:p>
            <w:pPr>
              <w:jc w:val="right"/>
              <w:spacing w:after="0"/>
              <w:rPr>
                <w:sz w:val="20"/>
                <w:szCs w:val="20"/>
                <w:color w:val="auto"/>
              </w:rPr>
            </w:pPr>
            <w:r>
              <w:rPr>
                <w:rFonts w:ascii="Arial" w:cs="Arial" w:eastAsia="Arial" w:hAnsi="Arial"/>
                <w:sz w:val="10"/>
                <w:szCs w:val="10"/>
                <w:color w:val="auto"/>
                <w:w w:val="89"/>
              </w:rPr>
              <w:t>%</w:t>
            </w:r>
          </w:p>
        </w:tc>
        <w:tc>
          <w:tcPr>
            <w:tcW w:w="8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51 %</w:t>
            </w:r>
          </w:p>
        </w:tc>
      </w:tr>
      <w:tr>
        <w:trPr>
          <w:trHeight w:val="126"/>
        </w:trPr>
        <w:tc>
          <w:tcPr>
            <w:tcW w:w="8480" w:type="dxa"/>
            <w:vAlign w:val="bottom"/>
          </w:tcPr>
          <w:p>
            <w:pPr>
              <w:ind w:left="140"/>
              <w:spacing w:after="0"/>
              <w:rPr>
                <w:sz w:val="20"/>
                <w:szCs w:val="20"/>
                <w:color w:val="auto"/>
              </w:rPr>
            </w:pPr>
            <w:r>
              <w:rPr>
                <w:rFonts w:ascii="Arial" w:cs="Arial" w:eastAsia="Arial" w:hAnsi="Arial"/>
                <w:sz w:val="10"/>
                <w:szCs w:val="10"/>
                <w:color w:val="auto"/>
              </w:rPr>
              <w:t>Real estate</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DCDCD"/>
          </w:tcPr>
          <w:p>
            <w:pPr>
              <w:jc w:val="right"/>
              <w:spacing w:after="0"/>
              <w:rPr>
                <w:sz w:val="20"/>
                <w:szCs w:val="20"/>
                <w:color w:val="auto"/>
              </w:rPr>
            </w:pPr>
            <w:r>
              <w:rPr>
                <w:rFonts w:ascii="Arial" w:cs="Arial" w:eastAsia="Arial" w:hAnsi="Arial"/>
                <w:sz w:val="10"/>
                <w:szCs w:val="10"/>
                <w:color w:val="auto"/>
                <w:w w:val="89"/>
              </w:rPr>
              <w:t>%</w:t>
            </w:r>
          </w:p>
        </w:tc>
        <w:tc>
          <w:tcPr>
            <w:tcW w:w="8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1 %</w:t>
            </w:r>
          </w:p>
        </w:tc>
      </w:tr>
      <w:tr>
        <w:trPr>
          <w:trHeight w:val="126"/>
        </w:trPr>
        <w:tc>
          <w:tcPr>
            <w:tcW w:w="8480" w:type="dxa"/>
            <w:vAlign w:val="bottom"/>
          </w:tcPr>
          <w:p>
            <w:pPr>
              <w:ind w:left="80"/>
              <w:spacing w:after="0"/>
              <w:rPr>
                <w:sz w:val="20"/>
                <w:szCs w:val="20"/>
                <w:color w:val="auto"/>
              </w:rPr>
            </w:pPr>
            <w:r>
              <w:rPr>
                <w:rFonts w:ascii="Arial" w:cs="Arial" w:eastAsia="Arial" w:hAnsi="Arial"/>
                <w:sz w:val="10"/>
                <w:szCs w:val="10"/>
                <w:color w:val="auto"/>
              </w:rPr>
              <w:t>Other:</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spacing w:after="0"/>
              <w:rPr>
                <w:sz w:val="10"/>
                <w:szCs w:val="10"/>
                <w:color w:val="auto"/>
              </w:rPr>
            </w:pPr>
          </w:p>
        </w:tc>
        <w:tc>
          <w:tcPr>
            <w:tcW w:w="100" w:type="dxa"/>
            <w:vAlign w:val="bottom"/>
            <w:shd w:val="clear" w:color="auto" w:fill="CDCDCD"/>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26"/>
        </w:trPr>
        <w:tc>
          <w:tcPr>
            <w:tcW w:w="8480" w:type="dxa"/>
            <w:vAlign w:val="bottom"/>
          </w:tcPr>
          <w:p>
            <w:pPr>
              <w:ind w:left="140"/>
              <w:spacing w:after="0"/>
              <w:rPr>
                <w:sz w:val="20"/>
                <w:szCs w:val="20"/>
                <w:color w:val="auto"/>
              </w:rPr>
            </w:pPr>
            <w:r>
              <w:rPr>
                <w:rFonts w:ascii="Arial" w:cs="Arial" w:eastAsia="Arial" w:hAnsi="Arial"/>
                <w:sz w:val="10"/>
                <w:szCs w:val="10"/>
                <w:color w:val="auto"/>
              </w:rPr>
              <w:t>Equities</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8</w:t>
            </w:r>
          </w:p>
        </w:tc>
        <w:tc>
          <w:tcPr>
            <w:tcW w:w="100" w:type="dxa"/>
            <w:vAlign w:val="bottom"/>
            <w:shd w:val="clear" w:color="auto" w:fill="CDCDCD"/>
          </w:tcPr>
          <w:p>
            <w:pPr>
              <w:jc w:val="right"/>
              <w:spacing w:after="0"/>
              <w:rPr>
                <w:sz w:val="20"/>
                <w:szCs w:val="20"/>
                <w:color w:val="auto"/>
              </w:rPr>
            </w:pPr>
            <w:r>
              <w:rPr>
                <w:rFonts w:ascii="Arial" w:cs="Arial" w:eastAsia="Arial" w:hAnsi="Arial"/>
                <w:sz w:val="10"/>
                <w:szCs w:val="10"/>
                <w:color w:val="auto"/>
                <w:w w:val="89"/>
              </w:rPr>
              <w:t>%</w:t>
            </w:r>
          </w:p>
        </w:tc>
        <w:tc>
          <w:tcPr>
            <w:tcW w:w="8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8 %</w:t>
            </w:r>
          </w:p>
        </w:tc>
      </w:tr>
      <w:tr>
        <w:trPr>
          <w:trHeight w:val="126"/>
        </w:trPr>
        <w:tc>
          <w:tcPr>
            <w:tcW w:w="8480" w:type="dxa"/>
            <w:vAlign w:val="bottom"/>
          </w:tcPr>
          <w:p>
            <w:pPr>
              <w:ind w:left="140"/>
              <w:spacing w:after="0"/>
              <w:rPr>
                <w:sz w:val="20"/>
                <w:szCs w:val="20"/>
                <w:color w:val="auto"/>
              </w:rPr>
            </w:pPr>
            <w:r>
              <w:rPr>
                <w:rFonts w:ascii="Arial" w:cs="Arial" w:eastAsia="Arial" w:hAnsi="Arial"/>
                <w:sz w:val="10"/>
                <w:szCs w:val="10"/>
                <w:color w:val="auto"/>
              </w:rPr>
              <w:t>Debt securities</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DCDCD"/>
          </w:tcPr>
          <w:p>
            <w:pPr>
              <w:jc w:val="right"/>
              <w:spacing w:after="0"/>
              <w:rPr>
                <w:sz w:val="20"/>
                <w:szCs w:val="20"/>
                <w:color w:val="auto"/>
              </w:rPr>
            </w:pPr>
            <w:r>
              <w:rPr>
                <w:rFonts w:ascii="Arial" w:cs="Arial" w:eastAsia="Arial" w:hAnsi="Arial"/>
                <w:sz w:val="10"/>
                <w:szCs w:val="10"/>
                <w:color w:val="auto"/>
                <w:w w:val="89"/>
              </w:rPr>
              <w:t>%</w:t>
            </w:r>
          </w:p>
        </w:tc>
        <w:tc>
          <w:tcPr>
            <w:tcW w:w="8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4 %</w:t>
            </w:r>
          </w:p>
        </w:tc>
      </w:tr>
      <w:tr>
        <w:trPr>
          <w:trHeight w:val="126"/>
        </w:trPr>
        <w:tc>
          <w:tcPr>
            <w:tcW w:w="8480" w:type="dxa"/>
            <w:vAlign w:val="bottom"/>
          </w:tcPr>
          <w:p>
            <w:pPr>
              <w:ind w:left="140"/>
              <w:spacing w:after="0"/>
              <w:rPr>
                <w:sz w:val="20"/>
                <w:szCs w:val="20"/>
                <w:color w:val="auto"/>
              </w:rPr>
            </w:pPr>
            <w:r>
              <w:rPr>
                <w:rFonts w:ascii="Arial" w:cs="Arial" w:eastAsia="Arial" w:hAnsi="Arial"/>
                <w:sz w:val="10"/>
                <w:szCs w:val="10"/>
                <w:color w:val="auto"/>
              </w:rPr>
              <w:t>Real estate</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DCDCD"/>
          </w:tcPr>
          <w:p>
            <w:pPr>
              <w:jc w:val="right"/>
              <w:spacing w:after="0"/>
              <w:rPr>
                <w:sz w:val="20"/>
                <w:szCs w:val="20"/>
                <w:color w:val="auto"/>
              </w:rPr>
            </w:pPr>
            <w:r>
              <w:rPr>
                <w:rFonts w:ascii="Arial" w:cs="Arial" w:eastAsia="Arial" w:hAnsi="Arial"/>
                <w:sz w:val="10"/>
                <w:szCs w:val="10"/>
                <w:color w:val="auto"/>
                <w:w w:val="89"/>
              </w:rPr>
              <w:t>%</w:t>
            </w:r>
          </w:p>
        </w:tc>
        <w:tc>
          <w:tcPr>
            <w:tcW w:w="8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6 %</w:t>
            </w:r>
          </w:p>
        </w:tc>
      </w:tr>
      <w:tr>
        <w:trPr>
          <w:trHeight w:val="126"/>
        </w:trPr>
        <w:tc>
          <w:tcPr>
            <w:tcW w:w="8480" w:type="dxa"/>
            <w:vAlign w:val="bottom"/>
          </w:tcPr>
          <w:p>
            <w:pPr>
              <w:ind w:left="140"/>
              <w:spacing w:after="0"/>
              <w:rPr>
                <w:sz w:val="20"/>
                <w:szCs w:val="20"/>
                <w:color w:val="auto"/>
              </w:rPr>
            </w:pPr>
            <w:r>
              <w:rPr>
                <w:rFonts w:ascii="Arial" w:cs="Arial" w:eastAsia="Arial" w:hAnsi="Arial"/>
                <w:sz w:val="10"/>
                <w:szCs w:val="10"/>
                <w:color w:val="auto"/>
              </w:rPr>
              <w:t>Investment funds</w:t>
            </w:r>
          </w:p>
        </w:tc>
        <w:tc>
          <w:tcPr>
            <w:tcW w:w="160" w:type="dxa"/>
            <w:vAlign w:val="bottom"/>
            <w:shd w:val="clear" w:color="auto" w:fill="CDCDCD"/>
          </w:tcPr>
          <w:p>
            <w:pPr>
              <w:spacing w:after="0"/>
              <w:rPr>
                <w:sz w:val="10"/>
                <w:szCs w:val="10"/>
                <w:color w:val="auto"/>
              </w:rPr>
            </w:pPr>
          </w:p>
        </w:tc>
        <w:tc>
          <w:tcPr>
            <w:tcW w:w="1140" w:type="dxa"/>
            <w:vAlign w:val="bottom"/>
            <w:shd w:val="clear" w:color="auto" w:fill="CDCDCD"/>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DCDCD"/>
          </w:tcPr>
          <w:p>
            <w:pPr>
              <w:jc w:val="right"/>
              <w:spacing w:after="0"/>
              <w:rPr>
                <w:sz w:val="20"/>
                <w:szCs w:val="20"/>
                <w:color w:val="auto"/>
              </w:rPr>
            </w:pPr>
            <w:r>
              <w:rPr>
                <w:rFonts w:ascii="Arial" w:cs="Arial" w:eastAsia="Arial" w:hAnsi="Arial"/>
                <w:sz w:val="10"/>
                <w:szCs w:val="10"/>
                <w:color w:val="auto"/>
                <w:w w:val="89"/>
              </w:rPr>
              <w:t>%</w:t>
            </w:r>
          </w:p>
        </w:tc>
        <w:tc>
          <w:tcPr>
            <w:tcW w:w="8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3 %</w:t>
            </w:r>
          </w:p>
        </w:tc>
      </w:tr>
      <w:tr>
        <w:trPr>
          <w:trHeight w:val="130"/>
        </w:trPr>
        <w:tc>
          <w:tcPr>
            <w:tcW w:w="8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Cash</w:t>
            </w:r>
          </w:p>
        </w:tc>
        <w:tc>
          <w:tcPr>
            <w:tcW w:w="160" w:type="dxa"/>
            <w:vAlign w:val="bottom"/>
            <w:tcBorders>
              <w:bottom w:val="single" w:sz="8" w:color="auto"/>
            </w:tcBorders>
            <w:shd w:val="clear" w:color="auto" w:fill="CDCDCD"/>
          </w:tcPr>
          <w:p>
            <w:pPr>
              <w:spacing w:after="0"/>
              <w:rPr>
                <w:sz w:val="11"/>
                <w:szCs w:val="11"/>
                <w:color w:val="auto"/>
              </w:rPr>
            </w:pPr>
          </w:p>
        </w:tc>
        <w:tc>
          <w:tcPr>
            <w:tcW w:w="114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w w:val="89"/>
              </w:rPr>
              <w:t>%</w:t>
            </w: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1 %</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0"/>
          <w:szCs w:val="10"/>
          <w:color w:val="auto"/>
        </w:rPr>
        <w:t>Employer contributions to defined benefit pension plans are based on actuarial valuations in accordance with local regulations and are estimated to be $1.6 billion in 2021.</w:t>
      </w:r>
    </w:p>
    <w:p>
      <w:pPr>
        <w:spacing w:after="0" w:line="14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Characteristics of significant defined benefit and defined contribution plans and regulatory framework</w:t>
      </w:r>
    </w:p>
    <w:p>
      <w:pPr>
        <w:spacing w:after="0" w:line="157" w:lineRule="exact"/>
        <w:rPr>
          <w:sz w:val="20"/>
          <w:szCs w:val="20"/>
          <w:color w:val="auto"/>
        </w:rPr>
      </w:pPr>
    </w:p>
    <w:p>
      <w:pPr>
        <w:spacing w:after="0"/>
        <w:rPr>
          <w:sz w:val="20"/>
          <w:szCs w:val="20"/>
          <w:color w:val="auto"/>
        </w:rPr>
      </w:pPr>
      <w:r>
        <w:rPr>
          <w:rFonts w:ascii="Arial" w:cs="Arial" w:eastAsia="Arial" w:hAnsi="Arial"/>
          <w:sz w:val="10"/>
          <w:szCs w:val="10"/>
          <w:color w:val="666666"/>
        </w:rPr>
        <w:t>The Netherlands</w:t>
      </w:r>
    </w:p>
    <w:p>
      <w:pPr>
        <w:spacing w:after="0" w:line="1" w:lineRule="exact"/>
        <w:rPr>
          <w:sz w:val="20"/>
          <w:szCs w:val="20"/>
          <w:color w:val="auto"/>
        </w:rPr>
      </w:pPr>
    </w:p>
    <w:p>
      <w:pPr>
        <w:ind w:right="200"/>
        <w:spacing w:after="0" w:line="229" w:lineRule="auto"/>
        <w:rPr>
          <w:sz w:val="20"/>
          <w:szCs w:val="20"/>
          <w:color w:val="auto"/>
        </w:rPr>
      </w:pPr>
      <w:r>
        <w:rPr>
          <w:rFonts w:ascii="Arial" w:cs="Arial" w:eastAsia="Arial" w:hAnsi="Arial"/>
          <w:sz w:val="10"/>
          <w:szCs w:val="10"/>
          <w:color w:val="auto"/>
        </w:rPr>
        <w:t>The principal defined benefit pension plan in the Netherlands is a funded career-averaged pension arrangement with retired employees drawing benefits as an annuity. The duration of the related Dutch defined benefit obligation is 19 years (2019: 19 years). Whilst the plan was closed to employees hired or rehired after July 1, 2013, it currently remains open for ongoing accrual for existing active members. 31% (2019: 34%) of the overall defined benefit liability in the Netherlands relates to active members. From July 1, 2013 onwards new employees in the Netherlands are entitled to membership of a defined contribution pension plan.</w:t>
      </w:r>
    </w:p>
    <w:p>
      <w:pPr>
        <w:spacing w:after="0" w:line="149" w:lineRule="exact"/>
        <w:rPr>
          <w:sz w:val="20"/>
          <w:szCs w:val="20"/>
          <w:color w:val="auto"/>
        </w:rPr>
      </w:pPr>
    </w:p>
    <w:p>
      <w:pPr>
        <w:ind w:right="160"/>
        <w:spacing w:after="0" w:line="218" w:lineRule="auto"/>
        <w:rPr>
          <w:sz w:val="20"/>
          <w:szCs w:val="20"/>
          <w:color w:val="auto"/>
        </w:rPr>
      </w:pPr>
      <w:r>
        <w:rPr>
          <w:rFonts w:ascii="Arial" w:cs="Arial" w:eastAsia="Arial" w:hAnsi="Arial"/>
          <w:sz w:val="10"/>
          <w:szCs w:val="10"/>
          <w:color w:val="auto"/>
        </w:rPr>
        <w:t>In line with Dutch regulations, the defined benefit pension plan has a joint Trustee Board with trustee representatives nominated by the company, the Central Staff Council and retired members. The defined benefit pension plan also has an Accountability Council comprised of members nominated by the company, the Central Staff Council and retired members. Furthermore, there is a Supervisory Committee which includes external experts from the pension industry to oversee management, compliance and operations of the fund. The defined contribution pension plan has a one-tier Trustee Board with an independent chairperson, and trustee representatives nominated by the company and the Central Staff Council (currently no retired members in the fund to act as trustee) as well as two executive board members. The defined contribution fund also has an Accountability Council comprised of members nominated by the company and the Central Staff Council.</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195</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34" w:right="299" w:bottom="1440" w:gutter="0" w:footer="0" w:header="0"/>
        </w:sectPr>
      </w:pPr>
    </w:p>
    <w:bookmarkStart w:id="198" w:name="page199"/>
    <w:bookmarkEnd w:id="198"/>
    <w:p>
      <w:pPr>
        <w:ind w:left="8" w:right="20"/>
        <w:spacing w:after="0" w:line="230" w:lineRule="auto"/>
        <w:rPr>
          <w:sz w:val="20"/>
          <w:szCs w:val="20"/>
          <w:color w:val="auto"/>
        </w:rPr>
      </w:pPr>
      <w:r>
        <w:rPr>
          <w:rFonts w:ascii="Arial" w:cs="Arial" w:eastAsia="Arial" w:hAnsi="Arial"/>
          <w:sz w:val="10"/>
          <w:szCs w:val="10"/>
          <w:color w:val="auto"/>
        </w:rPr>
        <w:t>The Dutch government is currently drafting a new regulatory framework for pensions in the Netherlands. The government aims to complete development of new regulations by January 2022 with subsequent implementation by January 2026. It is expected that these regulatory changes will have an impact on both the defined benefit pension plan and the defined contribution pension plan with anticipated changes currently being discussed with the Central Staff Council.</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0"/>
          <w:szCs w:val="10"/>
          <w:color w:val="666666"/>
        </w:rPr>
        <w:t>UK</w:t>
      </w:r>
    </w:p>
    <w:p>
      <w:pPr>
        <w:spacing w:after="0" w:line="1" w:lineRule="exact"/>
        <w:rPr>
          <w:sz w:val="20"/>
          <w:szCs w:val="20"/>
          <w:color w:val="auto"/>
        </w:rPr>
      </w:pPr>
    </w:p>
    <w:p>
      <w:pPr>
        <w:jc w:val="both"/>
        <w:ind w:left="8" w:right="260"/>
        <w:spacing w:after="0" w:line="216" w:lineRule="auto"/>
        <w:rPr>
          <w:sz w:val="20"/>
          <w:szCs w:val="20"/>
          <w:color w:val="auto"/>
        </w:rPr>
      </w:pPr>
      <w:r>
        <w:rPr>
          <w:rFonts w:ascii="Arial" w:cs="Arial" w:eastAsia="Arial" w:hAnsi="Arial"/>
          <w:sz w:val="10"/>
          <w:szCs w:val="10"/>
          <w:color w:val="auto"/>
        </w:rPr>
        <w:t>The principal defined benefit pension plan in the UK is a funded final salary pension arrangement with retired employees mainly drawing benefits as an annuity with the option to take a portion as a lump sum. The duration of the related UK defined benefit obligation is 19 years (2019: 18 years). Whilst the plan was closed to employees hired or rehired on or after March 1, 2013, it currently remains open for ongoing accrual for existing active members. 21% (2019: 21%) of the overall defined liability in the UK relates to active members. From March 1, 2013 onwards new employees in the UK are entitled to membership of a defined contribution pension plan.</w:t>
      </w:r>
    </w:p>
    <w:p>
      <w:pPr>
        <w:spacing w:after="0" w:line="141" w:lineRule="exact"/>
        <w:rPr>
          <w:sz w:val="20"/>
          <w:szCs w:val="20"/>
          <w:color w:val="auto"/>
        </w:rPr>
      </w:pPr>
    </w:p>
    <w:p>
      <w:pPr>
        <w:ind w:left="8" w:right="40"/>
        <w:spacing w:after="0" w:line="222" w:lineRule="auto"/>
        <w:rPr>
          <w:sz w:val="20"/>
          <w:szCs w:val="20"/>
          <w:color w:val="auto"/>
        </w:rPr>
      </w:pPr>
      <w:r>
        <w:rPr>
          <w:rFonts w:ascii="Arial" w:cs="Arial" w:eastAsia="Arial" w:hAnsi="Arial"/>
          <w:sz w:val="10"/>
          <w:szCs w:val="10"/>
          <w:color w:val="auto"/>
        </w:rPr>
        <w:t>In line with UK regulations, the defined benefit pension plan is governed by a corporate trustee whose board is comprised of four trustee directors nominated by the company including the chair and four member-nominated trustee directors. The defined contribution pension plan is governed by a corporate trustee whose board is comprised of three company nominated directors including the chair and two member-nominated trustee directors. The trustees are responsible for administering the plans in line with the Trust Deed and Regulations, including setting the investment strategy for the pension plans’ assets and paying member benefits, and are required to act in the best interests of the members of the pension plans.</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0"/>
          <w:szCs w:val="10"/>
          <w:color w:val="666666"/>
        </w:rPr>
        <w:t>USA</w:t>
      </w:r>
    </w:p>
    <w:p>
      <w:pPr>
        <w:spacing w:after="0" w:line="1" w:lineRule="exact"/>
        <w:rPr>
          <w:sz w:val="20"/>
          <w:szCs w:val="20"/>
          <w:color w:val="auto"/>
        </w:rPr>
      </w:pPr>
    </w:p>
    <w:p>
      <w:pPr>
        <w:ind w:left="8" w:right="60"/>
        <w:spacing w:after="0" w:line="216" w:lineRule="auto"/>
        <w:rPr>
          <w:sz w:val="20"/>
          <w:szCs w:val="20"/>
          <w:color w:val="auto"/>
        </w:rPr>
      </w:pPr>
      <w:r>
        <w:rPr>
          <w:rFonts w:ascii="Arial" w:cs="Arial" w:eastAsia="Arial" w:hAnsi="Arial"/>
          <w:sz w:val="10"/>
          <w:szCs w:val="10"/>
          <w:color w:val="auto"/>
        </w:rPr>
        <w:t>The principal defined benefit pension plan in the USA is a funded average final pay pension plan. At retirement, all retirees can choose to draw their benefit as an annuity, whereas some also have the choice to take their benefit as a lump sum. The duration of the related US defined benefit obligation is 13 years (2019: 13 years). In addition, the company provides a defined contribution plan. Each of these plans is subject to the provisions of the Employee Retirement Income Security Act (ERISA). 25% (2019: 31%) of the overall defined liability of the funded defined benefit plan in the USA relates to active members.</w:t>
      </w:r>
    </w:p>
    <w:p>
      <w:pPr>
        <w:spacing w:after="0" w:line="141" w:lineRule="exact"/>
        <w:rPr>
          <w:sz w:val="20"/>
          <w:szCs w:val="20"/>
          <w:color w:val="auto"/>
        </w:rPr>
      </w:pPr>
    </w:p>
    <w:p>
      <w:pPr>
        <w:ind w:left="8" w:right="320"/>
        <w:spacing w:after="0" w:line="230" w:lineRule="auto"/>
        <w:rPr>
          <w:sz w:val="20"/>
          <w:szCs w:val="20"/>
          <w:color w:val="auto"/>
        </w:rPr>
      </w:pPr>
      <w:r>
        <w:rPr>
          <w:rFonts w:ascii="Arial" w:cs="Arial" w:eastAsia="Arial" w:hAnsi="Arial"/>
          <w:sz w:val="10"/>
          <w:szCs w:val="10"/>
          <w:color w:val="auto"/>
        </w:rPr>
        <w:t>Both the defined benefit pension plan and the defined contribution pension plan are governed by trustees who are appointed by the Plan Sponsor and are named fiduciaries with respect to the plans. The trustees are generally responsible for investment-related matters, appointing the Plan Administrator, maintaining general oversight and deciding appeals of participants.</w:t>
      </w:r>
    </w:p>
    <w:p>
      <w:pPr>
        <w:spacing w:after="0" w:line="140" w:lineRule="exact"/>
        <w:rPr>
          <w:sz w:val="20"/>
          <w:szCs w:val="20"/>
          <w:color w:val="auto"/>
        </w:rPr>
      </w:pPr>
    </w:p>
    <w:p>
      <w:pPr>
        <w:ind w:left="8" w:right="120"/>
        <w:spacing w:after="0" w:line="230" w:lineRule="auto"/>
        <w:rPr>
          <w:sz w:val="20"/>
          <w:szCs w:val="20"/>
          <w:color w:val="auto"/>
        </w:rPr>
      </w:pPr>
      <w:r>
        <w:rPr>
          <w:rFonts w:ascii="Arial" w:cs="Arial" w:eastAsia="Arial" w:hAnsi="Arial"/>
          <w:sz w:val="10"/>
          <w:szCs w:val="10"/>
          <w:color w:val="auto"/>
        </w:rPr>
        <w:t>The company also sponsors "other post-retirement employee benefit" (OPEB) plans in the USA that provide medical, dental, and vision benefits as well as life insurance benefits to eligible retired employees. The plans are unfunded, and the company and retirees share the costs. The plan that provides post-retirement medical benefits is closed to employees hired or rehired on or after January 1, 2017. Certain life insurance benefits are paid by the company.</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0"/>
          <w:szCs w:val="10"/>
          <w:color w:val="auto"/>
        </w:rPr>
        <w:t>Significant funding requirements:</w:t>
      </w:r>
    </w:p>
    <w:p>
      <w:pPr>
        <w:spacing w:after="0" w:line="1" w:lineRule="exact"/>
        <w:rPr>
          <w:sz w:val="20"/>
          <w:szCs w:val="20"/>
          <w:color w:val="auto"/>
        </w:rPr>
      </w:pPr>
    </w:p>
    <w:p>
      <w:pPr>
        <w:ind w:left="208" w:hanging="208"/>
        <w:spacing w:after="0"/>
        <w:tabs>
          <w:tab w:leader="none" w:pos="208" w:val="left"/>
        </w:tabs>
        <w:numPr>
          <w:ilvl w:val="0"/>
          <w:numId w:val="179"/>
        </w:numPr>
        <w:rPr>
          <w:rFonts w:ascii="Arial" w:cs="Arial" w:eastAsia="Arial" w:hAnsi="Arial"/>
          <w:sz w:val="8"/>
          <w:szCs w:val="8"/>
          <w:color w:val="auto"/>
        </w:rPr>
      </w:pPr>
      <w:r>
        <w:rPr>
          <w:rFonts w:ascii="Arial" w:cs="Arial" w:eastAsia="Arial" w:hAnsi="Arial"/>
          <w:sz w:val="8"/>
          <w:szCs w:val="8"/>
          <w:color w:val="auto"/>
        </w:rPr>
        <w:t>Additional contributions to the Dutch defined benefit pension plan would be required if the 12-month rolling average local funding percentage falls below 105% for six months or more. At the most recent (2020) funding valuation the local funding percentage was above this level;</w:t>
      </w:r>
    </w:p>
    <w:p>
      <w:pPr>
        <w:spacing w:after="0" w:line="16" w:lineRule="exact"/>
        <w:rPr>
          <w:rFonts w:ascii="Arial" w:cs="Arial" w:eastAsia="Arial" w:hAnsi="Arial"/>
          <w:sz w:val="8"/>
          <w:szCs w:val="8"/>
          <w:color w:val="auto"/>
        </w:rPr>
      </w:pPr>
    </w:p>
    <w:p>
      <w:pPr>
        <w:ind w:left="208" w:right="240" w:hanging="208"/>
        <w:spacing w:after="0" w:line="225" w:lineRule="auto"/>
        <w:tabs>
          <w:tab w:leader="none" w:pos="205" w:val="left"/>
        </w:tabs>
        <w:numPr>
          <w:ilvl w:val="0"/>
          <w:numId w:val="179"/>
        </w:numPr>
        <w:rPr>
          <w:rFonts w:ascii="Arial" w:cs="Arial" w:eastAsia="Arial" w:hAnsi="Arial"/>
          <w:sz w:val="10"/>
          <w:szCs w:val="10"/>
          <w:color w:val="auto"/>
        </w:rPr>
      </w:pPr>
      <w:r>
        <w:rPr>
          <w:rFonts w:ascii="Arial" w:cs="Arial" w:eastAsia="Arial" w:hAnsi="Arial"/>
          <w:sz w:val="10"/>
          <w:szCs w:val="10"/>
          <w:color w:val="auto"/>
        </w:rPr>
        <w:t>There are no set minimum statutory funding requirements for the UK plans. A professional qualified independent actuary, appointed by the trustee board, undertakes a local funding valuation typically every three years. The most recent completed funding valuation for the principal defined benefit plan was undertaken as at December 31, 2017. A funding valuation as at December 31, 2020 is currently under way. The most recent completed funding valuation (2017) revealed a funding ratio of 108% and the resulting Schedule of Contributions was for no Sponsor contribution (except for salary sacrifice contributions); and</w:t>
      </w:r>
    </w:p>
    <w:p>
      <w:pPr>
        <w:ind w:left="208" w:hanging="208"/>
        <w:spacing w:after="0" w:line="236" w:lineRule="auto"/>
        <w:tabs>
          <w:tab w:leader="none" w:pos="208" w:val="left"/>
        </w:tabs>
        <w:numPr>
          <w:ilvl w:val="0"/>
          <w:numId w:val="179"/>
        </w:numPr>
        <w:rPr>
          <w:rFonts w:ascii="Arial" w:cs="Arial" w:eastAsia="Arial" w:hAnsi="Arial"/>
          <w:sz w:val="10"/>
          <w:szCs w:val="10"/>
          <w:color w:val="auto"/>
        </w:rPr>
      </w:pPr>
      <w:r>
        <w:rPr>
          <w:rFonts w:ascii="Arial" w:cs="Arial" w:eastAsia="Arial" w:hAnsi="Arial"/>
          <w:sz w:val="10"/>
          <w:szCs w:val="10"/>
          <w:color w:val="auto"/>
        </w:rPr>
        <w:t>Under the Pension Protection Act, US pension plans are subject to minimum required contribution levels based on the funding position. No contributions are required based on the most recent funding valuation.</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Associated risks to which retirement benefits are exposed</w:t>
      </w:r>
    </w:p>
    <w:p>
      <w:pPr>
        <w:spacing w:after="0" w:line="1" w:lineRule="exact"/>
        <w:rPr>
          <w:sz w:val="20"/>
          <w:szCs w:val="20"/>
          <w:color w:val="auto"/>
        </w:rPr>
      </w:pPr>
    </w:p>
    <w:p>
      <w:pPr>
        <w:ind w:left="8" w:right="40"/>
        <w:spacing w:after="0" w:line="229" w:lineRule="auto"/>
        <w:rPr>
          <w:sz w:val="20"/>
          <w:szCs w:val="20"/>
          <w:color w:val="auto"/>
        </w:rPr>
      </w:pPr>
      <w:r>
        <w:rPr>
          <w:rFonts w:ascii="Arial" w:cs="Arial" w:eastAsia="Arial" w:hAnsi="Arial"/>
          <w:sz w:val="10"/>
          <w:szCs w:val="10"/>
          <w:color w:val="auto"/>
        </w:rPr>
        <w:t>There are inherent risks associated with defined benefit pension and OPEB plans. These risks are related to various assumptions made on valuation of the liabilities and the cash funding requirement of the underlying plans. Volatility in capital markets or government policies, and the resulting consequences for investment performance, interest and inflation rates, as well as changes in assumptions for mortality, retirement age or pensionable remuneration at retirement, could result in significant changes to the funding level of future liabilities, and in case of a shortfall, there could be a requirement to make substantial cash contributions (depending on the applicable local regulations).</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8"/>
          <w:szCs w:val="8"/>
          <w:color w:val="auto"/>
        </w:rPr>
        <w:t>These inherent risks are managed by a pension forum, chaired by the Chief Financial Officer, which oversees Shell’s pension strategy, policy and operations. The forum is supported by a risk committee in reviewing the results of the assurance process with respect to the pension risk.</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0"/>
          <w:szCs w:val="10"/>
          <w:color w:val="auto"/>
        </w:rPr>
        <w:t>Investment strategies</w:t>
      </w:r>
    </w:p>
    <w:p>
      <w:pPr>
        <w:spacing w:after="0" w:line="1" w:lineRule="exact"/>
        <w:rPr>
          <w:sz w:val="20"/>
          <w:szCs w:val="20"/>
          <w:color w:val="auto"/>
        </w:rPr>
      </w:pPr>
    </w:p>
    <w:p>
      <w:pPr>
        <w:ind w:left="8"/>
        <w:spacing w:after="0"/>
        <w:rPr>
          <w:sz w:val="20"/>
          <w:szCs w:val="20"/>
          <w:color w:val="auto"/>
        </w:rPr>
      </w:pPr>
      <w:r>
        <w:rPr>
          <w:rFonts w:ascii="Arial" w:cs="Arial" w:eastAsia="Arial" w:hAnsi="Arial"/>
          <w:sz w:val="8"/>
          <w:szCs w:val="8"/>
          <w:color w:val="auto"/>
        </w:rPr>
        <w:t>Long-term investment strategies of plans are generally determined by the relevant pension plan trustees using a structured asset/liability modelling approach to define the asset mix that best meets the objectives of optimising returns within agreed risk levels while maintaining adequate funding</w:t>
      </w:r>
    </w:p>
    <w:p>
      <w:pPr>
        <w:spacing w:after="0" w:line="9" w:lineRule="exact"/>
        <w:rPr>
          <w:sz w:val="20"/>
          <w:szCs w:val="20"/>
          <w:color w:val="auto"/>
        </w:rPr>
      </w:pPr>
    </w:p>
    <w:p>
      <w:pPr>
        <w:ind w:left="8"/>
        <w:spacing w:after="0"/>
        <w:rPr>
          <w:sz w:val="20"/>
          <w:szCs w:val="20"/>
          <w:color w:val="auto"/>
        </w:rPr>
      </w:pPr>
      <w:r>
        <w:rPr>
          <w:rFonts w:ascii="Arial" w:cs="Arial" w:eastAsia="Arial" w:hAnsi="Arial"/>
          <w:sz w:val="10"/>
          <w:szCs w:val="10"/>
          <w:color w:val="auto"/>
        </w:rPr>
        <w:t>levels.</w:t>
      </w:r>
    </w:p>
    <w:p>
      <w:pPr>
        <w:ind w:left="8"/>
        <w:spacing w:after="0" w:line="206" w:lineRule="auto"/>
        <w:rPr>
          <w:sz w:val="20"/>
          <w:szCs w:val="20"/>
          <w:color w:val="auto"/>
        </w:rPr>
      </w:pPr>
      <w:r>
        <w:rPr>
          <w:rFonts w:ascii="Arial" w:cs="Arial" w:eastAsia="Arial" w:hAnsi="Arial"/>
          <w:sz w:val="10"/>
          <w:szCs w:val="10"/>
          <w:color w:val="auto"/>
        </w:rPr>
        <w:t>Principal and actuarial assumptions</w:t>
      </w:r>
    </w:p>
    <w:p>
      <w:pPr>
        <w:ind w:left="8"/>
        <w:spacing w:after="0" w:line="218" w:lineRule="auto"/>
        <w:rPr>
          <w:sz w:val="20"/>
          <w:szCs w:val="20"/>
          <w:color w:val="auto"/>
        </w:rPr>
      </w:pPr>
      <w:r>
        <w:rPr>
          <w:rFonts w:ascii="Arial" w:cs="Arial" w:eastAsia="Arial" w:hAnsi="Arial"/>
          <w:sz w:val="10"/>
          <w:szCs w:val="10"/>
          <w:color w:val="auto"/>
        </w:rPr>
        <w:t>The principal assumptions applied in determining the present value of defined benefit obligations and their bases were as follows:</w:t>
      </w:r>
    </w:p>
    <w:p>
      <w:pPr>
        <w:ind w:left="208" w:hanging="208"/>
        <w:spacing w:after="0" w:line="235" w:lineRule="auto"/>
        <w:tabs>
          <w:tab w:leader="none" w:pos="208" w:val="left"/>
        </w:tabs>
        <w:numPr>
          <w:ilvl w:val="0"/>
          <w:numId w:val="180"/>
        </w:numPr>
        <w:rPr>
          <w:rFonts w:ascii="Arial" w:cs="Arial" w:eastAsia="Arial" w:hAnsi="Arial"/>
          <w:sz w:val="12"/>
          <w:szCs w:val="12"/>
          <w:color w:val="auto"/>
        </w:rPr>
      </w:pPr>
      <w:r>
        <w:rPr>
          <w:rFonts w:ascii="Arial" w:cs="Arial" w:eastAsia="Arial" w:hAnsi="Arial"/>
          <w:sz w:val="10"/>
          <w:szCs w:val="10"/>
          <w:color w:val="auto"/>
        </w:rPr>
        <w:t>rates of increase in pensionable remuneration, pensions in payment and health-care costs: historical experience and management’s long-term expectation;</w:t>
      </w:r>
    </w:p>
    <w:p>
      <w:pPr>
        <w:spacing w:after="0" w:line="8" w:lineRule="exact"/>
        <w:rPr>
          <w:rFonts w:ascii="Arial" w:cs="Arial" w:eastAsia="Arial" w:hAnsi="Arial"/>
          <w:sz w:val="12"/>
          <w:szCs w:val="12"/>
          <w:color w:val="auto"/>
        </w:rPr>
      </w:pPr>
    </w:p>
    <w:p>
      <w:pPr>
        <w:ind w:left="208" w:hanging="208"/>
        <w:spacing w:after="0" w:line="236" w:lineRule="auto"/>
        <w:tabs>
          <w:tab w:leader="none" w:pos="208" w:val="left"/>
        </w:tabs>
        <w:numPr>
          <w:ilvl w:val="0"/>
          <w:numId w:val="180"/>
        </w:numPr>
        <w:rPr>
          <w:rFonts w:ascii="Arial" w:cs="Arial" w:eastAsia="Arial" w:hAnsi="Arial"/>
          <w:sz w:val="12"/>
          <w:szCs w:val="12"/>
          <w:color w:val="auto"/>
        </w:rPr>
      </w:pPr>
      <w:r>
        <w:rPr>
          <w:rFonts w:ascii="Arial" w:cs="Arial" w:eastAsia="Arial" w:hAnsi="Arial"/>
          <w:sz w:val="10"/>
          <w:szCs w:val="10"/>
          <w:color w:val="auto"/>
        </w:rPr>
        <w:t>discount rates: prevailing long-term AA corporate bond yields, chosen to match the currency and duration of the relevant obligation; and</w:t>
      </w:r>
    </w:p>
    <w:p>
      <w:pPr>
        <w:spacing w:after="0" w:line="8" w:lineRule="exact"/>
        <w:rPr>
          <w:rFonts w:ascii="Arial" w:cs="Arial" w:eastAsia="Arial" w:hAnsi="Arial"/>
          <w:sz w:val="12"/>
          <w:szCs w:val="12"/>
          <w:color w:val="auto"/>
        </w:rPr>
      </w:pPr>
    </w:p>
    <w:p>
      <w:pPr>
        <w:ind w:left="208" w:hanging="208"/>
        <w:spacing w:after="0" w:line="236" w:lineRule="auto"/>
        <w:tabs>
          <w:tab w:leader="none" w:pos="208" w:val="left"/>
        </w:tabs>
        <w:numPr>
          <w:ilvl w:val="0"/>
          <w:numId w:val="180"/>
        </w:numPr>
        <w:rPr>
          <w:rFonts w:ascii="Arial" w:cs="Arial" w:eastAsia="Arial" w:hAnsi="Arial"/>
          <w:sz w:val="12"/>
          <w:szCs w:val="12"/>
          <w:color w:val="auto"/>
        </w:rPr>
      </w:pPr>
      <w:r>
        <w:rPr>
          <w:rFonts w:ascii="Arial" w:cs="Arial" w:eastAsia="Arial" w:hAnsi="Arial"/>
          <w:sz w:val="10"/>
          <w:szCs w:val="10"/>
          <w:color w:val="auto"/>
        </w:rPr>
        <w:t>mortality rates: published standard mortality tables for the individual countries concerned adjusted for Shell experience where statistically significant.</w:t>
      </w:r>
    </w:p>
    <w:p>
      <w:pPr>
        <w:spacing w:after="0" w:line="158" w:lineRule="exact"/>
        <w:rPr>
          <w:sz w:val="20"/>
          <w:szCs w:val="20"/>
          <w:color w:val="auto"/>
        </w:rPr>
      </w:pPr>
    </w:p>
    <w:p>
      <w:pPr>
        <w:ind w:left="8" w:right="40"/>
        <w:spacing w:after="0" w:line="239" w:lineRule="auto"/>
        <w:rPr>
          <w:sz w:val="20"/>
          <w:szCs w:val="20"/>
          <w:color w:val="auto"/>
        </w:rPr>
      </w:pPr>
      <w:r>
        <w:rPr>
          <w:rFonts w:ascii="Arial" w:cs="Arial" w:eastAsia="Arial" w:hAnsi="Arial"/>
          <w:sz w:val="10"/>
          <w:szCs w:val="10"/>
          <w:color w:val="auto"/>
        </w:rPr>
        <w:t>The weighted averages for those assumptions and related sensitivity information at December 31 are presented below. Sensitivity information indicates by how much the defined benefit obligations would increase or decrease if a given assumption were to increase or decrease with no change in other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196</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199" w:name="page200"/>
    <w:bookmarkEnd w:id="199"/>
    <w:tbl>
      <w:tblPr>
        <w:tblLayout w:type="fixed"/>
        <w:tblInd w:w="8" w:type="dxa"/>
        <w:tblCellMar>
          <w:top w:w="0" w:type="dxa"/>
          <w:left w:w="0" w:type="dxa"/>
          <w:bottom w:w="0" w:type="dxa"/>
          <w:right w:w="0" w:type="dxa"/>
        </w:tblCellMar>
      </w:tblPr>
      <w:tr>
        <w:trPr>
          <w:trHeight w:val="126"/>
        </w:trPr>
        <w:tc>
          <w:tcPr>
            <w:tcW w:w="2960" w:type="dxa"/>
            <w:vAlign w:val="bottom"/>
            <w:shd w:val="clear" w:color="auto" w:fill="D9D9D9"/>
          </w:tcPr>
          <w:p>
            <w:pPr>
              <w:spacing w:after="0"/>
              <w:rPr>
                <w:sz w:val="10"/>
                <w:szCs w:val="10"/>
                <w:color w:val="auto"/>
              </w:rPr>
            </w:pPr>
          </w:p>
        </w:tc>
        <w:tc>
          <w:tcPr>
            <w:tcW w:w="10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040" w:type="dxa"/>
            <w:vAlign w:val="bottom"/>
            <w:shd w:val="clear" w:color="auto" w:fill="D9D9D9"/>
          </w:tcPr>
          <w:p>
            <w:pPr>
              <w:spacing w:after="0"/>
              <w:rPr>
                <w:sz w:val="10"/>
                <w:szCs w:val="10"/>
                <w:color w:val="auto"/>
              </w:rPr>
            </w:pPr>
          </w:p>
        </w:tc>
        <w:tc>
          <w:tcPr>
            <w:tcW w:w="1820" w:type="dxa"/>
            <w:vAlign w:val="bottom"/>
            <w:shd w:val="clear" w:color="auto" w:fill="D9D9D9"/>
          </w:tcPr>
          <w:p>
            <w:pPr>
              <w:spacing w:after="0"/>
              <w:rPr>
                <w:sz w:val="10"/>
                <w:szCs w:val="10"/>
                <w:color w:val="auto"/>
              </w:rPr>
            </w:pPr>
          </w:p>
        </w:tc>
        <w:tc>
          <w:tcPr>
            <w:tcW w:w="660" w:type="dxa"/>
            <w:vAlign w:val="bottom"/>
            <w:shd w:val="clear" w:color="auto" w:fill="D9D9D9"/>
          </w:tcPr>
          <w:p>
            <w:pPr>
              <w:spacing w:after="0"/>
              <w:rPr>
                <w:sz w:val="10"/>
                <w:szCs w:val="10"/>
                <w:color w:val="auto"/>
              </w:rPr>
            </w:pPr>
          </w:p>
        </w:tc>
        <w:tc>
          <w:tcPr>
            <w:tcW w:w="360" w:type="dxa"/>
            <w:vAlign w:val="bottom"/>
            <w:shd w:val="clear" w:color="auto" w:fill="D9D9D9"/>
          </w:tcPr>
          <w:p>
            <w:pPr>
              <w:spacing w:after="0"/>
              <w:rPr>
                <w:sz w:val="10"/>
                <w:szCs w:val="10"/>
                <w:color w:val="auto"/>
              </w:rPr>
            </w:pPr>
          </w:p>
        </w:tc>
        <w:tc>
          <w:tcPr>
            <w:tcW w:w="980" w:type="dxa"/>
            <w:vAlign w:val="bottom"/>
            <w:shd w:val="clear" w:color="auto" w:fill="D9D9D9"/>
          </w:tcPr>
          <w:p>
            <w:pPr>
              <w:spacing w:after="0"/>
              <w:rPr>
                <w:sz w:val="10"/>
                <w:szCs w:val="10"/>
                <w:color w:val="auto"/>
              </w:rPr>
            </w:pPr>
          </w:p>
        </w:tc>
        <w:tc>
          <w:tcPr>
            <w:tcW w:w="1040" w:type="dxa"/>
            <w:vAlign w:val="bottom"/>
            <w:shd w:val="clear" w:color="auto" w:fill="D9D9D9"/>
          </w:tcPr>
          <w:p>
            <w:pPr>
              <w:spacing w:after="0"/>
              <w:rPr>
                <w:sz w:val="10"/>
                <w:szCs w:val="10"/>
                <w:color w:val="auto"/>
              </w:rPr>
            </w:pPr>
          </w:p>
        </w:tc>
        <w:tc>
          <w:tcPr>
            <w:tcW w:w="580" w:type="dxa"/>
            <w:vAlign w:val="bottom"/>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20" w:type="dxa"/>
            <w:vAlign w:val="bottom"/>
            <w:gridSpan w:val="2"/>
          </w:tcPr>
          <w:p>
            <w:pPr>
              <w:jc w:val="right"/>
              <w:ind w:right="272"/>
              <w:spacing w:after="0"/>
              <w:rPr>
                <w:sz w:val="20"/>
                <w:szCs w:val="20"/>
                <w:color w:val="auto"/>
              </w:rPr>
            </w:pPr>
            <w:r>
              <w:rPr>
                <w:rFonts w:ascii="Arial" w:cs="Arial" w:eastAsia="Arial" w:hAnsi="Arial"/>
                <w:sz w:val="10"/>
                <w:szCs w:val="10"/>
                <w:color w:val="auto"/>
                <w:w w:val="88"/>
              </w:rPr>
              <w:t>$ million, except where indicated</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0"/>
                <w:szCs w:val="10"/>
                <w:color w:val="auto"/>
              </w:rPr>
              <w:t>Effect of using alternative assumptions</w:t>
            </w: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960" w:type="dxa"/>
            <w:vAlign w:val="bottom"/>
          </w:tcPr>
          <w:p>
            <w:pPr>
              <w:spacing w:after="0"/>
              <w:rPr>
                <w:sz w:val="6"/>
                <w:szCs w:val="6"/>
                <w:color w:val="auto"/>
              </w:rPr>
            </w:pPr>
          </w:p>
        </w:tc>
        <w:tc>
          <w:tcPr>
            <w:tcW w:w="1180" w:type="dxa"/>
            <w:vAlign w:val="bottom"/>
            <w:gridSpan w:val="2"/>
          </w:tcPr>
          <w:p>
            <w:pPr>
              <w:jc w:val="right"/>
              <w:spacing w:after="0" w:line="78" w:lineRule="exact"/>
              <w:rPr>
                <w:sz w:val="20"/>
                <w:szCs w:val="20"/>
                <w:color w:val="auto"/>
              </w:rPr>
            </w:pPr>
            <w:r>
              <w:rPr>
                <w:rFonts w:ascii="Arial" w:cs="Arial" w:eastAsia="Arial" w:hAnsi="Arial"/>
                <w:sz w:val="8"/>
                <w:szCs w:val="8"/>
                <w:color w:val="auto"/>
              </w:rPr>
              <w:t>Assumptions used at nominal</w:t>
            </w:r>
          </w:p>
        </w:tc>
        <w:tc>
          <w:tcPr>
            <w:tcW w:w="10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0" w:type="dxa"/>
            <w:vAlign w:val="bottom"/>
            <w:gridSpan w:val="3"/>
            <w:vMerge w:val="restart"/>
          </w:tcPr>
          <w:p>
            <w:pPr>
              <w:jc w:val="right"/>
              <w:ind w:right="272"/>
              <w:spacing w:after="0"/>
              <w:rPr>
                <w:sz w:val="20"/>
                <w:szCs w:val="20"/>
                <w:color w:val="auto"/>
              </w:rPr>
            </w:pPr>
            <w:r>
              <w:rPr>
                <w:rFonts w:ascii="Arial" w:cs="Arial" w:eastAsia="Arial" w:hAnsi="Arial"/>
                <w:sz w:val="10"/>
                <w:szCs w:val="10"/>
                <w:color w:val="auto"/>
              </w:rPr>
              <w:t>Increase/(decrease) in defined benefit obligations</w:t>
            </w: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rates</w:t>
            </w:r>
          </w:p>
        </w:tc>
        <w:tc>
          <w:tcPr>
            <w:tcW w:w="10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3"/>
            <w:vMerge w:val="continue"/>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960" w:type="dxa"/>
            <w:vAlign w:val="bottom"/>
          </w:tcPr>
          <w:p>
            <w:pPr>
              <w:spacing w:after="0"/>
              <w:rPr>
                <w:sz w:val="7"/>
                <w:szCs w:val="7"/>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0"/>
                <w:szCs w:val="10"/>
                <w:color w:val="auto"/>
              </w:rPr>
              <w:t>2020 [A]</w:t>
            </w:r>
          </w:p>
        </w:tc>
        <w:tc>
          <w:tcPr>
            <w:tcW w:w="1040" w:type="dxa"/>
            <w:vAlign w:val="bottom"/>
            <w:vMerge w:val="restart"/>
          </w:tcPr>
          <w:p>
            <w:pPr>
              <w:jc w:val="right"/>
              <w:spacing w:after="0"/>
              <w:rPr>
                <w:sz w:val="20"/>
                <w:szCs w:val="20"/>
                <w:color w:val="auto"/>
              </w:rPr>
            </w:pPr>
            <w:r>
              <w:rPr>
                <w:rFonts w:ascii="Arial" w:cs="Arial" w:eastAsia="Arial" w:hAnsi="Arial"/>
                <w:sz w:val="10"/>
                <w:szCs w:val="10"/>
                <w:color w:val="auto"/>
              </w:rPr>
              <w:t>2019</w:t>
            </w:r>
          </w:p>
        </w:tc>
        <w:tc>
          <w:tcPr>
            <w:tcW w:w="1820" w:type="dxa"/>
            <w:vAlign w:val="bottom"/>
          </w:tcPr>
          <w:p>
            <w:pPr>
              <w:jc w:val="right"/>
              <w:ind w:right="273"/>
              <w:spacing w:after="0" w:line="81" w:lineRule="exact"/>
              <w:rPr>
                <w:sz w:val="20"/>
                <w:szCs w:val="20"/>
                <w:color w:val="auto"/>
              </w:rPr>
            </w:pPr>
            <w:r>
              <w:rPr>
                <w:rFonts w:ascii="Arial" w:cs="Arial" w:eastAsia="Arial" w:hAnsi="Arial"/>
                <w:sz w:val="8"/>
                <w:szCs w:val="8"/>
                <w:color w:val="auto"/>
              </w:rPr>
              <w:t>Range</w:t>
            </w: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2020</w:t>
            </w: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2019</w:t>
            </w:r>
          </w:p>
        </w:tc>
        <w:tc>
          <w:tcPr>
            <w:tcW w:w="0" w:type="dxa"/>
            <w:vAlign w:val="bottom"/>
          </w:tcPr>
          <w:p>
            <w:pPr>
              <w:spacing w:after="0"/>
              <w:rPr>
                <w:sz w:val="1"/>
                <w:szCs w:val="1"/>
                <w:color w:val="auto"/>
              </w:rPr>
            </w:pPr>
          </w:p>
        </w:tc>
      </w:tr>
      <w:tr>
        <w:trPr>
          <w:trHeight w:val="124"/>
        </w:trPr>
        <w:tc>
          <w:tcPr>
            <w:tcW w:w="29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vMerge w:val="continue"/>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182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color w:val="auto"/>
              </w:rPr>
              <w:t>of assumptions</w:t>
            </w:r>
          </w:p>
        </w:tc>
        <w:tc>
          <w:tcPr>
            <w:tcW w:w="6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rPr>
                <w:sz w:val="20"/>
                <w:szCs w:val="20"/>
                <w:color w:val="auto"/>
              </w:rPr>
            </w:pPr>
            <w:r>
              <w:rPr>
                <w:rFonts w:ascii="Arial" w:cs="Arial" w:eastAsia="Arial" w:hAnsi="Arial"/>
                <w:sz w:val="10"/>
                <w:szCs w:val="10"/>
                <w:color w:val="auto"/>
              </w:rPr>
              <w:t>Rate of increase in pensionable remuneration</w:t>
            </w:r>
          </w:p>
        </w:tc>
        <w:tc>
          <w:tcPr>
            <w:tcW w:w="10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3.8</w:t>
            </w:r>
          </w:p>
        </w:tc>
        <w:tc>
          <w:tcPr>
            <w:tcW w:w="100" w:type="dxa"/>
            <w:vAlign w:val="bottom"/>
            <w:shd w:val="clear" w:color="auto" w:fill="CDCDCD"/>
          </w:tcPr>
          <w:p>
            <w:pPr>
              <w:jc w:val="right"/>
              <w:spacing w:after="0"/>
              <w:rPr>
                <w:sz w:val="20"/>
                <w:szCs w:val="20"/>
                <w:color w:val="auto"/>
              </w:rPr>
            </w:pPr>
            <w:r>
              <w:rPr>
                <w:rFonts w:ascii="Arial" w:cs="Arial" w:eastAsia="Arial" w:hAnsi="Arial"/>
                <w:sz w:val="8"/>
                <w:szCs w:val="8"/>
                <w:color w:val="auto"/>
                <w:w w:val="83"/>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4.1 %</w:t>
            </w:r>
          </w:p>
        </w:tc>
        <w:tc>
          <w:tcPr>
            <w:tcW w:w="1820" w:type="dxa"/>
            <w:vAlign w:val="bottom"/>
          </w:tcPr>
          <w:p>
            <w:pPr>
              <w:jc w:val="right"/>
              <w:ind w:right="273"/>
              <w:spacing w:after="0"/>
              <w:rPr>
                <w:sz w:val="20"/>
                <w:szCs w:val="20"/>
                <w:color w:val="auto"/>
              </w:rPr>
            </w:pPr>
            <w:r>
              <w:rPr>
                <w:rFonts w:ascii="Arial" w:cs="Arial" w:eastAsia="Arial" w:hAnsi="Arial"/>
                <w:sz w:val="10"/>
                <w:szCs w:val="10"/>
                <w:color w:val="auto"/>
              </w:rPr>
              <w:t>-1% to +1%</w:t>
            </w:r>
          </w:p>
        </w:tc>
        <w:tc>
          <w:tcPr>
            <w:tcW w:w="660" w:type="dxa"/>
            <w:vAlign w:val="bottom"/>
          </w:tcPr>
          <w:p>
            <w:pPr>
              <w:jc w:val="right"/>
              <w:spacing w:after="0"/>
              <w:rPr>
                <w:sz w:val="20"/>
                <w:szCs w:val="20"/>
                <w:color w:val="auto"/>
              </w:rPr>
            </w:pPr>
            <w:r>
              <w:rPr>
                <w:rFonts w:ascii="Arial" w:cs="Arial" w:eastAsia="Arial" w:hAnsi="Arial"/>
                <w:sz w:val="10"/>
                <w:szCs w:val="10"/>
                <w:color w:val="auto"/>
              </w:rPr>
              <w:t>(1,780)</w:t>
            </w:r>
          </w:p>
        </w:tc>
        <w:tc>
          <w:tcPr>
            <w:tcW w:w="360" w:type="dxa"/>
            <w:vAlign w:val="bottom"/>
            <w:shd w:val="clear" w:color="auto" w:fill="CDCDCD"/>
          </w:tcPr>
          <w:p>
            <w:pPr>
              <w:ind w:left="140"/>
              <w:spacing w:after="0"/>
              <w:rPr>
                <w:sz w:val="20"/>
                <w:szCs w:val="20"/>
                <w:color w:val="auto"/>
              </w:rPr>
            </w:pPr>
            <w:r>
              <w:rPr>
                <w:rFonts w:ascii="Arial" w:cs="Arial" w:eastAsia="Arial" w:hAnsi="Arial"/>
                <w:sz w:val="10"/>
                <w:szCs w:val="10"/>
                <w:color w:val="auto"/>
              </w:rPr>
              <w:t>to</w:t>
            </w:r>
          </w:p>
        </w:tc>
        <w:tc>
          <w:tcPr>
            <w:tcW w:w="9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1,948</w:t>
            </w:r>
          </w:p>
        </w:tc>
        <w:tc>
          <w:tcPr>
            <w:tcW w:w="1040" w:type="dxa"/>
            <w:vAlign w:val="bottom"/>
          </w:tcPr>
          <w:p>
            <w:pPr>
              <w:jc w:val="right"/>
              <w:ind w:right="32"/>
              <w:spacing w:after="0"/>
              <w:rPr>
                <w:sz w:val="20"/>
                <w:szCs w:val="20"/>
                <w:color w:val="auto"/>
              </w:rPr>
            </w:pPr>
            <w:r>
              <w:rPr>
                <w:rFonts w:ascii="Arial" w:cs="Arial" w:eastAsia="Arial" w:hAnsi="Arial"/>
                <w:sz w:val="10"/>
                <w:szCs w:val="10"/>
                <w:color w:val="auto"/>
              </w:rPr>
              <w:t>(1,975)</w:t>
            </w:r>
          </w:p>
        </w:tc>
        <w:tc>
          <w:tcPr>
            <w:tcW w:w="580" w:type="dxa"/>
            <w:vAlign w:val="bottom"/>
          </w:tcPr>
          <w:p>
            <w:pPr>
              <w:ind w:left="60"/>
              <w:spacing w:after="0"/>
              <w:rPr>
                <w:sz w:val="20"/>
                <w:szCs w:val="20"/>
                <w:color w:val="auto"/>
              </w:rPr>
            </w:pPr>
            <w:r>
              <w:rPr>
                <w:rFonts w:ascii="Arial" w:cs="Arial" w:eastAsia="Arial" w:hAnsi="Arial"/>
                <w:sz w:val="10"/>
                <w:szCs w:val="10"/>
                <w:color w:val="auto"/>
              </w:rPr>
              <w:t>to</w:t>
            </w:r>
          </w:p>
        </w:tc>
        <w:tc>
          <w:tcPr>
            <w:tcW w:w="680" w:type="dxa"/>
            <w:vAlign w:val="bottom"/>
          </w:tcPr>
          <w:p>
            <w:pPr>
              <w:jc w:val="right"/>
              <w:spacing w:after="0"/>
              <w:rPr>
                <w:sz w:val="20"/>
                <w:szCs w:val="20"/>
                <w:color w:val="auto"/>
              </w:rPr>
            </w:pPr>
            <w:r>
              <w:rPr>
                <w:rFonts w:ascii="Arial" w:cs="Arial" w:eastAsia="Arial" w:hAnsi="Arial"/>
                <w:sz w:val="10"/>
                <w:szCs w:val="10"/>
                <w:color w:val="auto"/>
              </w:rPr>
              <w:t>2,266</w:t>
            </w:r>
          </w:p>
        </w:tc>
        <w:tc>
          <w:tcPr>
            <w:tcW w:w="0" w:type="dxa"/>
            <w:vAlign w:val="bottom"/>
          </w:tcPr>
          <w:p>
            <w:pPr>
              <w:spacing w:after="0"/>
              <w:rPr>
                <w:sz w:val="1"/>
                <w:szCs w:val="1"/>
                <w:color w:val="auto"/>
              </w:rPr>
            </w:pPr>
          </w:p>
        </w:tc>
      </w:tr>
      <w:tr>
        <w:trPr>
          <w:trHeight w:val="121"/>
        </w:trPr>
        <w:tc>
          <w:tcPr>
            <w:tcW w:w="2960" w:type="dxa"/>
            <w:vAlign w:val="bottom"/>
          </w:tcPr>
          <w:p>
            <w:pPr>
              <w:spacing w:after="0"/>
              <w:rPr>
                <w:sz w:val="20"/>
                <w:szCs w:val="20"/>
                <w:color w:val="auto"/>
              </w:rPr>
            </w:pPr>
            <w:r>
              <w:rPr>
                <w:rFonts w:ascii="Arial" w:cs="Arial" w:eastAsia="Arial" w:hAnsi="Arial"/>
                <w:sz w:val="10"/>
                <w:szCs w:val="10"/>
                <w:color w:val="auto"/>
              </w:rPr>
              <w:t>Rate of increase in pensions in payment</w:t>
            </w:r>
          </w:p>
        </w:tc>
        <w:tc>
          <w:tcPr>
            <w:tcW w:w="10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1.6</w:t>
            </w:r>
          </w:p>
        </w:tc>
        <w:tc>
          <w:tcPr>
            <w:tcW w:w="100" w:type="dxa"/>
            <w:vAlign w:val="bottom"/>
            <w:shd w:val="clear" w:color="auto" w:fill="CDCDCD"/>
          </w:tcPr>
          <w:p>
            <w:pPr>
              <w:jc w:val="right"/>
              <w:spacing w:after="0"/>
              <w:rPr>
                <w:sz w:val="20"/>
                <w:szCs w:val="20"/>
                <w:color w:val="auto"/>
              </w:rPr>
            </w:pPr>
            <w:r>
              <w:rPr>
                <w:rFonts w:ascii="Arial" w:cs="Arial" w:eastAsia="Arial" w:hAnsi="Arial"/>
                <w:sz w:val="8"/>
                <w:szCs w:val="8"/>
                <w:color w:val="auto"/>
                <w:w w:val="83"/>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1.6 %</w:t>
            </w:r>
          </w:p>
        </w:tc>
        <w:tc>
          <w:tcPr>
            <w:tcW w:w="1820" w:type="dxa"/>
            <w:vAlign w:val="bottom"/>
          </w:tcPr>
          <w:p>
            <w:pPr>
              <w:jc w:val="right"/>
              <w:ind w:right="273"/>
              <w:spacing w:after="0"/>
              <w:rPr>
                <w:sz w:val="20"/>
                <w:szCs w:val="20"/>
                <w:color w:val="auto"/>
              </w:rPr>
            </w:pPr>
            <w:r>
              <w:rPr>
                <w:rFonts w:ascii="Arial" w:cs="Arial" w:eastAsia="Arial" w:hAnsi="Arial"/>
                <w:sz w:val="10"/>
                <w:szCs w:val="10"/>
                <w:color w:val="auto"/>
              </w:rPr>
              <w:t>-1% to +1%</w:t>
            </w:r>
          </w:p>
        </w:tc>
        <w:tc>
          <w:tcPr>
            <w:tcW w:w="660" w:type="dxa"/>
            <w:vAlign w:val="bottom"/>
          </w:tcPr>
          <w:p>
            <w:pPr>
              <w:jc w:val="right"/>
              <w:spacing w:after="0"/>
              <w:rPr>
                <w:sz w:val="20"/>
                <w:szCs w:val="20"/>
                <w:color w:val="auto"/>
              </w:rPr>
            </w:pPr>
            <w:r>
              <w:rPr>
                <w:rFonts w:ascii="Arial" w:cs="Arial" w:eastAsia="Arial" w:hAnsi="Arial"/>
                <w:sz w:val="10"/>
                <w:szCs w:val="10"/>
                <w:color w:val="auto"/>
              </w:rPr>
              <w:t>(10,937)</w:t>
            </w:r>
          </w:p>
        </w:tc>
        <w:tc>
          <w:tcPr>
            <w:tcW w:w="360" w:type="dxa"/>
            <w:vAlign w:val="bottom"/>
          </w:tcPr>
          <w:p>
            <w:pPr>
              <w:ind w:left="140"/>
              <w:spacing w:after="0"/>
              <w:rPr>
                <w:sz w:val="20"/>
                <w:szCs w:val="20"/>
                <w:color w:val="auto"/>
              </w:rPr>
            </w:pPr>
            <w:r>
              <w:rPr>
                <w:rFonts w:ascii="Arial" w:cs="Arial" w:eastAsia="Arial" w:hAnsi="Arial"/>
                <w:sz w:val="10"/>
                <w:szCs w:val="10"/>
                <w:color w:val="auto"/>
              </w:rPr>
              <w:t>to</w:t>
            </w:r>
          </w:p>
        </w:tc>
        <w:tc>
          <w:tcPr>
            <w:tcW w:w="9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13,523</w:t>
            </w:r>
          </w:p>
        </w:tc>
        <w:tc>
          <w:tcPr>
            <w:tcW w:w="1040" w:type="dxa"/>
            <w:vAlign w:val="bottom"/>
          </w:tcPr>
          <w:p>
            <w:pPr>
              <w:jc w:val="right"/>
              <w:ind w:right="32"/>
              <w:spacing w:after="0"/>
              <w:rPr>
                <w:sz w:val="20"/>
                <w:szCs w:val="20"/>
                <w:color w:val="auto"/>
              </w:rPr>
            </w:pPr>
            <w:r>
              <w:rPr>
                <w:rFonts w:ascii="Arial" w:cs="Arial" w:eastAsia="Arial" w:hAnsi="Arial"/>
                <w:sz w:val="10"/>
                <w:szCs w:val="10"/>
                <w:color w:val="auto"/>
              </w:rPr>
              <w:t>(9,541)</w:t>
            </w:r>
          </w:p>
        </w:tc>
        <w:tc>
          <w:tcPr>
            <w:tcW w:w="580" w:type="dxa"/>
            <w:vAlign w:val="bottom"/>
          </w:tcPr>
          <w:p>
            <w:pPr>
              <w:ind w:left="60"/>
              <w:spacing w:after="0"/>
              <w:rPr>
                <w:sz w:val="20"/>
                <w:szCs w:val="20"/>
                <w:color w:val="auto"/>
              </w:rPr>
            </w:pPr>
            <w:r>
              <w:rPr>
                <w:rFonts w:ascii="Arial" w:cs="Arial" w:eastAsia="Arial" w:hAnsi="Arial"/>
                <w:sz w:val="10"/>
                <w:szCs w:val="10"/>
                <w:color w:val="auto"/>
              </w:rPr>
              <w:t>to</w:t>
            </w:r>
          </w:p>
        </w:tc>
        <w:tc>
          <w:tcPr>
            <w:tcW w:w="680" w:type="dxa"/>
            <w:vAlign w:val="bottom"/>
          </w:tcPr>
          <w:p>
            <w:pPr>
              <w:jc w:val="right"/>
              <w:spacing w:after="0"/>
              <w:rPr>
                <w:sz w:val="20"/>
                <w:szCs w:val="20"/>
                <w:color w:val="auto"/>
              </w:rPr>
            </w:pPr>
            <w:r>
              <w:rPr>
                <w:rFonts w:ascii="Arial" w:cs="Arial" w:eastAsia="Arial" w:hAnsi="Arial"/>
                <w:sz w:val="10"/>
                <w:szCs w:val="10"/>
                <w:color w:val="auto"/>
              </w:rPr>
              <w:t>11,757</w:t>
            </w:r>
          </w:p>
        </w:tc>
        <w:tc>
          <w:tcPr>
            <w:tcW w:w="0" w:type="dxa"/>
            <w:vAlign w:val="bottom"/>
          </w:tcPr>
          <w:p>
            <w:pPr>
              <w:spacing w:after="0"/>
              <w:rPr>
                <w:sz w:val="1"/>
                <w:szCs w:val="1"/>
                <w:color w:val="auto"/>
              </w:rPr>
            </w:pPr>
          </w:p>
        </w:tc>
      </w:tr>
      <w:tr>
        <w:trPr>
          <w:trHeight w:val="123"/>
        </w:trPr>
        <w:tc>
          <w:tcPr>
            <w:tcW w:w="2960" w:type="dxa"/>
            <w:vAlign w:val="bottom"/>
          </w:tcPr>
          <w:p>
            <w:pPr>
              <w:spacing w:after="0"/>
              <w:rPr>
                <w:sz w:val="20"/>
                <w:szCs w:val="20"/>
                <w:color w:val="auto"/>
              </w:rPr>
            </w:pPr>
            <w:r>
              <w:rPr>
                <w:rFonts w:ascii="Arial" w:cs="Arial" w:eastAsia="Arial" w:hAnsi="Arial"/>
                <w:sz w:val="10"/>
                <w:szCs w:val="10"/>
                <w:color w:val="auto"/>
              </w:rPr>
              <w:t>Rate of increase in health-care costs [B]</w:t>
            </w:r>
          </w:p>
        </w:tc>
        <w:tc>
          <w:tcPr>
            <w:tcW w:w="10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6.0</w:t>
            </w:r>
          </w:p>
        </w:tc>
        <w:tc>
          <w:tcPr>
            <w:tcW w:w="100" w:type="dxa"/>
            <w:vAlign w:val="bottom"/>
            <w:shd w:val="clear" w:color="auto" w:fill="CDCDCD"/>
          </w:tcPr>
          <w:p>
            <w:pPr>
              <w:jc w:val="right"/>
              <w:spacing w:after="0"/>
              <w:rPr>
                <w:sz w:val="20"/>
                <w:szCs w:val="20"/>
                <w:color w:val="auto"/>
              </w:rPr>
            </w:pPr>
            <w:r>
              <w:rPr>
                <w:rFonts w:ascii="Arial" w:cs="Arial" w:eastAsia="Arial" w:hAnsi="Arial"/>
                <w:sz w:val="8"/>
                <w:szCs w:val="8"/>
                <w:color w:val="auto"/>
                <w:w w:val="83"/>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6.1 %</w:t>
            </w:r>
          </w:p>
        </w:tc>
        <w:tc>
          <w:tcPr>
            <w:tcW w:w="1820" w:type="dxa"/>
            <w:vAlign w:val="bottom"/>
          </w:tcPr>
          <w:p>
            <w:pPr>
              <w:jc w:val="right"/>
              <w:ind w:right="273"/>
              <w:spacing w:after="0"/>
              <w:rPr>
                <w:sz w:val="20"/>
                <w:szCs w:val="20"/>
                <w:color w:val="auto"/>
              </w:rPr>
            </w:pPr>
            <w:r>
              <w:rPr>
                <w:rFonts w:ascii="Arial" w:cs="Arial" w:eastAsia="Arial" w:hAnsi="Arial"/>
                <w:sz w:val="10"/>
                <w:szCs w:val="10"/>
                <w:color w:val="auto"/>
              </w:rPr>
              <w:t>-1% to +1%</w:t>
            </w:r>
          </w:p>
        </w:tc>
        <w:tc>
          <w:tcPr>
            <w:tcW w:w="660" w:type="dxa"/>
            <w:vAlign w:val="bottom"/>
          </w:tcPr>
          <w:p>
            <w:pPr>
              <w:jc w:val="right"/>
              <w:spacing w:after="0"/>
              <w:rPr>
                <w:sz w:val="20"/>
                <w:szCs w:val="20"/>
                <w:color w:val="auto"/>
              </w:rPr>
            </w:pPr>
            <w:r>
              <w:rPr>
                <w:rFonts w:ascii="Arial" w:cs="Arial" w:eastAsia="Arial" w:hAnsi="Arial"/>
                <w:sz w:val="10"/>
                <w:szCs w:val="10"/>
                <w:color w:val="auto"/>
              </w:rPr>
              <w:t>(605)</w:t>
            </w:r>
          </w:p>
        </w:tc>
        <w:tc>
          <w:tcPr>
            <w:tcW w:w="360" w:type="dxa"/>
            <w:vAlign w:val="bottom"/>
          </w:tcPr>
          <w:p>
            <w:pPr>
              <w:ind w:left="140"/>
              <w:spacing w:after="0"/>
              <w:rPr>
                <w:sz w:val="20"/>
                <w:szCs w:val="20"/>
                <w:color w:val="auto"/>
              </w:rPr>
            </w:pPr>
            <w:r>
              <w:rPr>
                <w:rFonts w:ascii="Arial" w:cs="Arial" w:eastAsia="Arial" w:hAnsi="Arial"/>
                <w:sz w:val="10"/>
                <w:szCs w:val="10"/>
                <w:color w:val="auto"/>
              </w:rPr>
              <w:t>to</w:t>
            </w:r>
          </w:p>
        </w:tc>
        <w:tc>
          <w:tcPr>
            <w:tcW w:w="9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751</w:t>
            </w:r>
          </w:p>
        </w:tc>
        <w:tc>
          <w:tcPr>
            <w:tcW w:w="1040" w:type="dxa"/>
            <w:vAlign w:val="bottom"/>
          </w:tcPr>
          <w:p>
            <w:pPr>
              <w:jc w:val="right"/>
              <w:ind w:right="32"/>
              <w:spacing w:after="0"/>
              <w:rPr>
                <w:sz w:val="20"/>
                <w:szCs w:val="20"/>
                <w:color w:val="auto"/>
              </w:rPr>
            </w:pPr>
            <w:r>
              <w:rPr>
                <w:rFonts w:ascii="Arial" w:cs="Arial" w:eastAsia="Arial" w:hAnsi="Arial"/>
                <w:sz w:val="10"/>
                <w:szCs w:val="10"/>
                <w:color w:val="auto"/>
              </w:rPr>
              <w:t>(546)</w:t>
            </w:r>
          </w:p>
        </w:tc>
        <w:tc>
          <w:tcPr>
            <w:tcW w:w="580" w:type="dxa"/>
            <w:vAlign w:val="bottom"/>
          </w:tcPr>
          <w:p>
            <w:pPr>
              <w:ind w:left="60"/>
              <w:spacing w:after="0"/>
              <w:rPr>
                <w:sz w:val="20"/>
                <w:szCs w:val="20"/>
                <w:color w:val="auto"/>
              </w:rPr>
            </w:pPr>
            <w:r>
              <w:rPr>
                <w:rFonts w:ascii="Arial" w:cs="Arial" w:eastAsia="Arial" w:hAnsi="Arial"/>
                <w:sz w:val="10"/>
                <w:szCs w:val="10"/>
                <w:color w:val="auto"/>
              </w:rPr>
              <w:t>to</w:t>
            </w:r>
          </w:p>
        </w:tc>
        <w:tc>
          <w:tcPr>
            <w:tcW w:w="680" w:type="dxa"/>
            <w:vAlign w:val="bottom"/>
          </w:tcPr>
          <w:p>
            <w:pPr>
              <w:jc w:val="right"/>
              <w:spacing w:after="0"/>
              <w:rPr>
                <w:sz w:val="20"/>
                <w:szCs w:val="20"/>
                <w:color w:val="auto"/>
              </w:rPr>
            </w:pPr>
            <w:r>
              <w:rPr>
                <w:rFonts w:ascii="Arial" w:cs="Arial" w:eastAsia="Arial" w:hAnsi="Arial"/>
                <w:sz w:val="10"/>
                <w:szCs w:val="10"/>
                <w:color w:val="auto"/>
              </w:rPr>
              <w:t>675</w:t>
            </w:r>
          </w:p>
        </w:tc>
        <w:tc>
          <w:tcPr>
            <w:tcW w:w="0" w:type="dxa"/>
            <w:vAlign w:val="bottom"/>
          </w:tcPr>
          <w:p>
            <w:pPr>
              <w:spacing w:after="0"/>
              <w:rPr>
                <w:sz w:val="1"/>
                <w:szCs w:val="1"/>
                <w:color w:val="auto"/>
              </w:rPr>
            </w:pPr>
          </w:p>
        </w:tc>
      </w:tr>
      <w:tr>
        <w:trPr>
          <w:trHeight w:val="126"/>
        </w:trPr>
        <w:tc>
          <w:tcPr>
            <w:tcW w:w="2960" w:type="dxa"/>
            <w:vAlign w:val="bottom"/>
          </w:tcPr>
          <w:p>
            <w:pPr>
              <w:spacing w:after="0"/>
              <w:rPr>
                <w:sz w:val="20"/>
                <w:szCs w:val="20"/>
                <w:color w:val="auto"/>
              </w:rPr>
            </w:pPr>
            <w:r>
              <w:rPr>
                <w:rFonts w:ascii="Arial" w:cs="Arial" w:eastAsia="Arial" w:hAnsi="Arial"/>
                <w:sz w:val="10"/>
                <w:szCs w:val="10"/>
                <w:color w:val="auto"/>
              </w:rPr>
              <w:t>Discount rate for pension plans</w:t>
            </w:r>
          </w:p>
        </w:tc>
        <w:tc>
          <w:tcPr>
            <w:tcW w:w="10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DCDCD"/>
          </w:tcPr>
          <w:p>
            <w:pPr>
              <w:jc w:val="right"/>
              <w:spacing w:after="0"/>
              <w:rPr>
                <w:sz w:val="20"/>
                <w:szCs w:val="20"/>
                <w:color w:val="auto"/>
              </w:rPr>
            </w:pPr>
            <w:r>
              <w:rPr>
                <w:rFonts w:ascii="Arial" w:cs="Arial" w:eastAsia="Arial" w:hAnsi="Arial"/>
                <w:sz w:val="8"/>
                <w:szCs w:val="8"/>
                <w:color w:val="auto"/>
                <w:w w:val="83"/>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2.1 %</w:t>
            </w:r>
          </w:p>
        </w:tc>
        <w:tc>
          <w:tcPr>
            <w:tcW w:w="1820" w:type="dxa"/>
            <w:vAlign w:val="bottom"/>
          </w:tcPr>
          <w:p>
            <w:pPr>
              <w:jc w:val="right"/>
              <w:ind w:right="273"/>
              <w:spacing w:after="0"/>
              <w:rPr>
                <w:sz w:val="20"/>
                <w:szCs w:val="20"/>
                <w:color w:val="auto"/>
              </w:rPr>
            </w:pPr>
            <w:r>
              <w:rPr>
                <w:rFonts w:ascii="Arial" w:cs="Arial" w:eastAsia="Arial" w:hAnsi="Arial"/>
                <w:sz w:val="10"/>
                <w:szCs w:val="10"/>
                <w:color w:val="auto"/>
              </w:rPr>
              <w:t>-1% to +1%</w:t>
            </w:r>
          </w:p>
        </w:tc>
        <w:tc>
          <w:tcPr>
            <w:tcW w:w="660" w:type="dxa"/>
            <w:vAlign w:val="bottom"/>
          </w:tcPr>
          <w:p>
            <w:pPr>
              <w:jc w:val="right"/>
              <w:spacing w:after="0"/>
              <w:rPr>
                <w:sz w:val="20"/>
                <w:szCs w:val="20"/>
                <w:color w:val="auto"/>
              </w:rPr>
            </w:pPr>
            <w:r>
              <w:rPr>
                <w:rFonts w:ascii="Arial" w:cs="Arial" w:eastAsia="Arial" w:hAnsi="Arial"/>
                <w:sz w:val="10"/>
                <w:szCs w:val="10"/>
                <w:color w:val="auto"/>
              </w:rPr>
              <w:t>21,463</w:t>
            </w:r>
          </w:p>
        </w:tc>
        <w:tc>
          <w:tcPr>
            <w:tcW w:w="360" w:type="dxa"/>
            <w:vAlign w:val="bottom"/>
          </w:tcPr>
          <w:p>
            <w:pPr>
              <w:ind w:left="140"/>
              <w:spacing w:after="0"/>
              <w:rPr>
                <w:sz w:val="20"/>
                <w:szCs w:val="20"/>
                <w:color w:val="auto"/>
              </w:rPr>
            </w:pPr>
            <w:r>
              <w:rPr>
                <w:rFonts w:ascii="Arial" w:cs="Arial" w:eastAsia="Arial" w:hAnsi="Arial"/>
                <w:sz w:val="10"/>
                <w:szCs w:val="10"/>
                <w:color w:val="auto"/>
              </w:rPr>
              <w:t>to</w:t>
            </w:r>
          </w:p>
        </w:tc>
        <w:tc>
          <w:tcPr>
            <w:tcW w:w="9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(16,382)</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18,431</w:t>
            </w:r>
          </w:p>
        </w:tc>
        <w:tc>
          <w:tcPr>
            <w:tcW w:w="580" w:type="dxa"/>
            <w:vAlign w:val="bottom"/>
          </w:tcPr>
          <w:p>
            <w:pPr>
              <w:ind w:left="60"/>
              <w:spacing w:after="0"/>
              <w:rPr>
                <w:sz w:val="20"/>
                <w:szCs w:val="20"/>
                <w:color w:val="auto"/>
              </w:rPr>
            </w:pPr>
            <w:r>
              <w:rPr>
                <w:rFonts w:ascii="Arial" w:cs="Arial" w:eastAsia="Arial" w:hAnsi="Arial"/>
                <w:sz w:val="10"/>
                <w:szCs w:val="10"/>
                <w:color w:val="auto"/>
              </w:rPr>
              <w:t>to</w:t>
            </w:r>
          </w:p>
        </w:tc>
        <w:tc>
          <w:tcPr>
            <w:tcW w:w="680" w:type="dxa"/>
            <w:vAlign w:val="bottom"/>
          </w:tcPr>
          <w:p>
            <w:pPr>
              <w:jc w:val="right"/>
              <w:spacing w:after="0"/>
              <w:rPr>
                <w:sz w:val="20"/>
                <w:szCs w:val="20"/>
                <w:color w:val="auto"/>
              </w:rPr>
            </w:pPr>
            <w:r>
              <w:rPr>
                <w:rFonts w:ascii="Arial" w:cs="Arial" w:eastAsia="Arial" w:hAnsi="Arial"/>
                <w:sz w:val="10"/>
                <w:szCs w:val="10"/>
                <w:color w:val="auto"/>
              </w:rPr>
              <w:t>(14,155)</w:t>
            </w:r>
          </w:p>
        </w:tc>
        <w:tc>
          <w:tcPr>
            <w:tcW w:w="0" w:type="dxa"/>
            <w:vAlign w:val="bottom"/>
          </w:tcPr>
          <w:p>
            <w:pPr>
              <w:spacing w:after="0"/>
              <w:rPr>
                <w:sz w:val="1"/>
                <w:szCs w:val="1"/>
                <w:color w:val="auto"/>
              </w:rPr>
            </w:pPr>
          </w:p>
        </w:tc>
      </w:tr>
      <w:tr>
        <w:trPr>
          <w:trHeight w:val="134"/>
        </w:trPr>
        <w:tc>
          <w:tcPr>
            <w:tcW w:w="2960" w:type="dxa"/>
            <w:vAlign w:val="bottom"/>
          </w:tcPr>
          <w:p>
            <w:pPr>
              <w:spacing w:after="0"/>
              <w:rPr>
                <w:sz w:val="20"/>
                <w:szCs w:val="20"/>
                <w:color w:val="auto"/>
              </w:rPr>
            </w:pPr>
            <w:r>
              <w:rPr>
                <w:rFonts w:ascii="Arial" w:cs="Arial" w:eastAsia="Arial" w:hAnsi="Arial"/>
                <w:sz w:val="10"/>
                <w:szCs w:val="10"/>
                <w:color w:val="auto"/>
              </w:rPr>
              <w:t>Discount rate for health-care plans [B]</w:t>
            </w:r>
          </w:p>
        </w:tc>
        <w:tc>
          <w:tcPr>
            <w:tcW w:w="10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2.6</w:t>
            </w:r>
          </w:p>
        </w:tc>
        <w:tc>
          <w:tcPr>
            <w:tcW w:w="100" w:type="dxa"/>
            <w:vAlign w:val="bottom"/>
            <w:shd w:val="clear" w:color="auto" w:fill="CDCDCD"/>
          </w:tcPr>
          <w:p>
            <w:pPr>
              <w:jc w:val="right"/>
              <w:spacing w:after="0"/>
              <w:rPr>
                <w:sz w:val="20"/>
                <w:szCs w:val="20"/>
                <w:color w:val="auto"/>
              </w:rPr>
            </w:pPr>
            <w:r>
              <w:rPr>
                <w:rFonts w:ascii="Arial" w:cs="Arial" w:eastAsia="Arial" w:hAnsi="Arial"/>
                <w:sz w:val="8"/>
                <w:szCs w:val="8"/>
                <w:color w:val="auto"/>
                <w:w w:val="83"/>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3.2 %</w:t>
            </w:r>
          </w:p>
        </w:tc>
        <w:tc>
          <w:tcPr>
            <w:tcW w:w="1820" w:type="dxa"/>
            <w:vAlign w:val="bottom"/>
          </w:tcPr>
          <w:p>
            <w:pPr>
              <w:jc w:val="right"/>
              <w:ind w:right="273"/>
              <w:spacing w:after="0"/>
              <w:rPr>
                <w:sz w:val="20"/>
                <w:szCs w:val="20"/>
                <w:color w:val="auto"/>
              </w:rPr>
            </w:pPr>
            <w:r>
              <w:rPr>
                <w:rFonts w:ascii="Arial" w:cs="Arial" w:eastAsia="Arial" w:hAnsi="Arial"/>
                <w:sz w:val="10"/>
                <w:szCs w:val="10"/>
                <w:color w:val="auto"/>
              </w:rPr>
              <w:t>-1% to +1%</w:t>
            </w:r>
          </w:p>
        </w:tc>
        <w:tc>
          <w:tcPr>
            <w:tcW w:w="660" w:type="dxa"/>
            <w:vAlign w:val="bottom"/>
          </w:tcPr>
          <w:p>
            <w:pPr>
              <w:jc w:val="right"/>
              <w:spacing w:after="0"/>
              <w:rPr>
                <w:sz w:val="20"/>
                <w:szCs w:val="20"/>
                <w:color w:val="auto"/>
              </w:rPr>
            </w:pPr>
            <w:r>
              <w:rPr>
                <w:rFonts w:ascii="Arial" w:cs="Arial" w:eastAsia="Arial" w:hAnsi="Arial"/>
                <w:sz w:val="10"/>
                <w:szCs w:val="10"/>
                <w:color w:val="auto"/>
              </w:rPr>
              <w:t>791</w:t>
            </w:r>
          </w:p>
        </w:tc>
        <w:tc>
          <w:tcPr>
            <w:tcW w:w="360" w:type="dxa"/>
            <w:vAlign w:val="bottom"/>
          </w:tcPr>
          <w:p>
            <w:pPr>
              <w:ind w:left="140"/>
              <w:spacing w:after="0"/>
              <w:rPr>
                <w:sz w:val="20"/>
                <w:szCs w:val="20"/>
                <w:color w:val="auto"/>
              </w:rPr>
            </w:pPr>
            <w:r>
              <w:rPr>
                <w:rFonts w:ascii="Arial" w:cs="Arial" w:eastAsia="Arial" w:hAnsi="Arial"/>
                <w:sz w:val="10"/>
                <w:szCs w:val="10"/>
                <w:color w:val="auto"/>
              </w:rPr>
              <w:t>to</w:t>
            </w:r>
          </w:p>
        </w:tc>
        <w:tc>
          <w:tcPr>
            <w:tcW w:w="9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(624)</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704</w:t>
            </w:r>
          </w:p>
        </w:tc>
        <w:tc>
          <w:tcPr>
            <w:tcW w:w="580" w:type="dxa"/>
            <w:vAlign w:val="bottom"/>
          </w:tcPr>
          <w:p>
            <w:pPr>
              <w:ind w:left="60"/>
              <w:spacing w:after="0"/>
              <w:rPr>
                <w:sz w:val="20"/>
                <w:szCs w:val="20"/>
                <w:color w:val="auto"/>
              </w:rPr>
            </w:pPr>
            <w:r>
              <w:rPr>
                <w:rFonts w:ascii="Arial" w:cs="Arial" w:eastAsia="Arial" w:hAnsi="Arial"/>
                <w:sz w:val="10"/>
                <w:szCs w:val="10"/>
                <w:color w:val="auto"/>
              </w:rPr>
              <w:t>to</w:t>
            </w:r>
          </w:p>
        </w:tc>
        <w:tc>
          <w:tcPr>
            <w:tcW w:w="680" w:type="dxa"/>
            <w:vAlign w:val="bottom"/>
          </w:tcPr>
          <w:p>
            <w:pPr>
              <w:jc w:val="right"/>
              <w:spacing w:after="0"/>
              <w:rPr>
                <w:sz w:val="20"/>
                <w:szCs w:val="20"/>
                <w:color w:val="auto"/>
              </w:rPr>
            </w:pPr>
            <w:r>
              <w:rPr>
                <w:rFonts w:ascii="Arial" w:cs="Arial" w:eastAsia="Arial" w:hAnsi="Arial"/>
                <w:sz w:val="10"/>
                <w:szCs w:val="10"/>
                <w:color w:val="auto"/>
              </w:rPr>
              <w:t>(558)</w:t>
            </w:r>
          </w:p>
        </w:tc>
        <w:tc>
          <w:tcPr>
            <w:tcW w:w="0" w:type="dxa"/>
            <w:vAlign w:val="bottom"/>
          </w:tcPr>
          <w:p>
            <w:pPr>
              <w:spacing w:after="0"/>
              <w:rPr>
                <w:sz w:val="1"/>
                <w:szCs w:val="1"/>
                <w:color w:val="auto"/>
              </w:rPr>
            </w:pPr>
          </w:p>
        </w:tc>
      </w:tr>
      <w:tr>
        <w:trPr>
          <w:trHeight w:val="118"/>
        </w:trPr>
        <w:tc>
          <w:tcPr>
            <w:tcW w:w="2960" w:type="dxa"/>
            <w:vAlign w:val="bottom"/>
          </w:tcPr>
          <w:p>
            <w:pPr>
              <w:spacing w:after="0"/>
              <w:rPr>
                <w:sz w:val="20"/>
                <w:szCs w:val="20"/>
                <w:color w:val="auto"/>
              </w:rPr>
            </w:pPr>
            <w:r>
              <w:rPr>
                <w:rFonts w:ascii="Arial" w:cs="Arial" w:eastAsia="Arial" w:hAnsi="Arial"/>
                <w:sz w:val="10"/>
                <w:szCs w:val="10"/>
                <w:color w:val="auto"/>
              </w:rPr>
              <w:t>Expected age at death for persons aged 60:</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shd w:val="clear" w:color="auto" w:fill="CDCDCD"/>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60" w:type="dxa"/>
            <w:vAlign w:val="bottom"/>
          </w:tcPr>
          <w:p>
            <w:pPr>
              <w:ind w:left="120"/>
              <w:spacing w:after="0"/>
              <w:rPr>
                <w:sz w:val="20"/>
                <w:szCs w:val="20"/>
                <w:color w:val="auto"/>
              </w:rPr>
            </w:pPr>
            <w:r>
              <w:rPr>
                <w:rFonts w:ascii="Arial" w:cs="Arial" w:eastAsia="Arial" w:hAnsi="Arial"/>
                <w:sz w:val="10"/>
                <w:szCs w:val="10"/>
                <w:color w:val="auto"/>
              </w:rPr>
              <w:t>Men</w:t>
            </w:r>
          </w:p>
        </w:tc>
        <w:tc>
          <w:tcPr>
            <w:tcW w:w="1180" w:type="dxa"/>
            <w:vAlign w:val="bottom"/>
            <w:gridSpan w:val="2"/>
          </w:tcPr>
          <w:p>
            <w:pPr>
              <w:jc w:val="right"/>
              <w:spacing w:after="0"/>
              <w:rPr>
                <w:sz w:val="20"/>
                <w:szCs w:val="20"/>
                <w:color w:val="auto"/>
              </w:rPr>
            </w:pPr>
            <w:r>
              <w:rPr>
                <w:rFonts w:ascii="Arial" w:cs="Arial" w:eastAsia="Arial" w:hAnsi="Arial"/>
                <w:sz w:val="10"/>
                <w:szCs w:val="10"/>
                <w:color w:val="auto"/>
              </w:rPr>
              <w:t>87 years</w:t>
            </w:r>
          </w:p>
        </w:tc>
        <w:tc>
          <w:tcPr>
            <w:tcW w:w="1040" w:type="dxa"/>
            <w:vAlign w:val="bottom"/>
          </w:tcPr>
          <w:p>
            <w:pPr>
              <w:jc w:val="right"/>
              <w:spacing w:after="0"/>
              <w:rPr>
                <w:sz w:val="20"/>
                <w:szCs w:val="20"/>
                <w:color w:val="auto"/>
              </w:rPr>
            </w:pPr>
            <w:r>
              <w:rPr>
                <w:rFonts w:ascii="Arial" w:cs="Arial" w:eastAsia="Arial" w:hAnsi="Arial"/>
                <w:sz w:val="10"/>
                <w:szCs w:val="10"/>
                <w:color w:val="auto"/>
              </w:rPr>
              <w:t>87 years</w:t>
            </w:r>
          </w:p>
        </w:tc>
        <w:tc>
          <w:tcPr>
            <w:tcW w:w="1820" w:type="dxa"/>
            <w:vAlign w:val="bottom"/>
          </w:tcPr>
          <w:p>
            <w:pPr>
              <w:jc w:val="right"/>
              <w:ind w:right="273"/>
              <w:spacing w:after="0"/>
              <w:rPr>
                <w:sz w:val="20"/>
                <w:szCs w:val="20"/>
                <w:color w:val="auto"/>
              </w:rPr>
            </w:pPr>
            <w:r>
              <w:rPr>
                <w:rFonts w:ascii="Arial" w:cs="Arial" w:eastAsia="Arial" w:hAnsi="Arial"/>
                <w:sz w:val="10"/>
                <w:szCs w:val="10"/>
                <w:color w:val="auto"/>
              </w:rPr>
              <w:t>-1 year to +1 year</w:t>
            </w:r>
          </w:p>
        </w:tc>
        <w:tc>
          <w:tcPr>
            <w:tcW w:w="660" w:type="dxa"/>
            <w:vAlign w:val="bottom"/>
          </w:tcPr>
          <w:p>
            <w:pPr>
              <w:jc w:val="right"/>
              <w:spacing w:after="0"/>
              <w:rPr>
                <w:sz w:val="20"/>
                <w:szCs w:val="20"/>
                <w:color w:val="auto"/>
              </w:rPr>
            </w:pPr>
            <w:r>
              <w:rPr>
                <w:rFonts w:ascii="Arial" w:cs="Arial" w:eastAsia="Arial" w:hAnsi="Arial"/>
                <w:sz w:val="10"/>
                <w:szCs w:val="10"/>
                <w:color w:val="auto"/>
              </w:rPr>
              <w:t>(2,022)</w:t>
            </w:r>
          </w:p>
        </w:tc>
        <w:tc>
          <w:tcPr>
            <w:tcW w:w="360" w:type="dxa"/>
            <w:vAlign w:val="bottom"/>
          </w:tcPr>
          <w:p>
            <w:pPr>
              <w:ind w:left="140"/>
              <w:spacing w:after="0"/>
              <w:rPr>
                <w:sz w:val="20"/>
                <w:szCs w:val="20"/>
                <w:color w:val="auto"/>
              </w:rPr>
            </w:pPr>
            <w:r>
              <w:rPr>
                <w:rFonts w:ascii="Arial" w:cs="Arial" w:eastAsia="Arial" w:hAnsi="Arial"/>
                <w:sz w:val="10"/>
                <w:szCs w:val="10"/>
                <w:color w:val="auto"/>
              </w:rPr>
              <w:t>to</w:t>
            </w:r>
          </w:p>
        </w:tc>
        <w:tc>
          <w:tcPr>
            <w:tcW w:w="9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2,112</w:t>
            </w:r>
          </w:p>
        </w:tc>
        <w:tc>
          <w:tcPr>
            <w:tcW w:w="1040" w:type="dxa"/>
            <w:vAlign w:val="bottom"/>
          </w:tcPr>
          <w:p>
            <w:pPr>
              <w:jc w:val="right"/>
              <w:ind w:right="32"/>
              <w:spacing w:after="0"/>
              <w:rPr>
                <w:sz w:val="20"/>
                <w:szCs w:val="20"/>
                <w:color w:val="auto"/>
              </w:rPr>
            </w:pPr>
            <w:r>
              <w:rPr>
                <w:rFonts w:ascii="Arial" w:cs="Arial" w:eastAsia="Arial" w:hAnsi="Arial"/>
                <w:sz w:val="10"/>
                <w:szCs w:val="10"/>
                <w:color w:val="auto"/>
              </w:rPr>
              <w:t>(1,717)</w:t>
            </w:r>
          </w:p>
        </w:tc>
        <w:tc>
          <w:tcPr>
            <w:tcW w:w="580" w:type="dxa"/>
            <w:vAlign w:val="bottom"/>
          </w:tcPr>
          <w:p>
            <w:pPr>
              <w:ind w:left="60"/>
              <w:spacing w:after="0"/>
              <w:rPr>
                <w:sz w:val="20"/>
                <w:szCs w:val="20"/>
                <w:color w:val="auto"/>
              </w:rPr>
            </w:pPr>
            <w:r>
              <w:rPr>
                <w:rFonts w:ascii="Arial" w:cs="Arial" w:eastAsia="Arial" w:hAnsi="Arial"/>
                <w:sz w:val="10"/>
                <w:szCs w:val="10"/>
                <w:color w:val="auto"/>
              </w:rPr>
              <w:t>to</w:t>
            </w:r>
          </w:p>
        </w:tc>
        <w:tc>
          <w:tcPr>
            <w:tcW w:w="680" w:type="dxa"/>
            <w:vAlign w:val="bottom"/>
          </w:tcPr>
          <w:p>
            <w:pPr>
              <w:jc w:val="right"/>
              <w:spacing w:after="0"/>
              <w:rPr>
                <w:sz w:val="20"/>
                <w:szCs w:val="20"/>
                <w:color w:val="auto"/>
              </w:rPr>
            </w:pPr>
            <w:r>
              <w:rPr>
                <w:rFonts w:ascii="Arial" w:cs="Arial" w:eastAsia="Arial" w:hAnsi="Arial"/>
                <w:sz w:val="10"/>
                <w:szCs w:val="10"/>
                <w:color w:val="auto"/>
              </w:rPr>
              <w:t>1,782</w:t>
            </w:r>
          </w:p>
        </w:tc>
        <w:tc>
          <w:tcPr>
            <w:tcW w:w="0" w:type="dxa"/>
            <w:vAlign w:val="bottom"/>
          </w:tcPr>
          <w:p>
            <w:pPr>
              <w:spacing w:after="0"/>
              <w:rPr>
                <w:sz w:val="1"/>
                <w:szCs w:val="1"/>
                <w:color w:val="auto"/>
              </w:rPr>
            </w:pPr>
          </w:p>
        </w:tc>
      </w:tr>
      <w:tr>
        <w:trPr>
          <w:trHeight w:val="121"/>
        </w:trPr>
        <w:tc>
          <w:tcPr>
            <w:tcW w:w="2960" w:type="dxa"/>
            <w:vAlign w:val="bottom"/>
          </w:tcPr>
          <w:p>
            <w:pPr>
              <w:ind w:left="120"/>
              <w:spacing w:after="0"/>
              <w:rPr>
                <w:sz w:val="20"/>
                <w:szCs w:val="20"/>
                <w:color w:val="auto"/>
              </w:rPr>
            </w:pPr>
            <w:r>
              <w:rPr>
                <w:rFonts w:ascii="Arial" w:cs="Arial" w:eastAsia="Arial" w:hAnsi="Arial"/>
                <w:sz w:val="10"/>
                <w:szCs w:val="10"/>
                <w:color w:val="auto"/>
              </w:rPr>
              <w:t>Women</w:t>
            </w:r>
          </w:p>
        </w:tc>
        <w:tc>
          <w:tcPr>
            <w:tcW w:w="1180" w:type="dxa"/>
            <w:vAlign w:val="bottom"/>
            <w:gridSpan w:val="2"/>
          </w:tcPr>
          <w:p>
            <w:pPr>
              <w:jc w:val="right"/>
              <w:spacing w:after="0"/>
              <w:rPr>
                <w:sz w:val="20"/>
                <w:szCs w:val="20"/>
                <w:color w:val="auto"/>
              </w:rPr>
            </w:pPr>
            <w:r>
              <w:rPr>
                <w:rFonts w:ascii="Arial" w:cs="Arial" w:eastAsia="Arial" w:hAnsi="Arial"/>
                <w:sz w:val="10"/>
                <w:szCs w:val="10"/>
                <w:color w:val="auto"/>
              </w:rPr>
              <w:t>88 years</w:t>
            </w:r>
          </w:p>
        </w:tc>
        <w:tc>
          <w:tcPr>
            <w:tcW w:w="1040" w:type="dxa"/>
            <w:vAlign w:val="bottom"/>
          </w:tcPr>
          <w:p>
            <w:pPr>
              <w:jc w:val="right"/>
              <w:spacing w:after="0"/>
              <w:rPr>
                <w:sz w:val="20"/>
                <w:szCs w:val="20"/>
                <w:color w:val="auto"/>
              </w:rPr>
            </w:pPr>
            <w:r>
              <w:rPr>
                <w:rFonts w:ascii="Arial" w:cs="Arial" w:eastAsia="Arial" w:hAnsi="Arial"/>
                <w:sz w:val="10"/>
                <w:szCs w:val="10"/>
                <w:color w:val="auto"/>
              </w:rPr>
              <w:t>89 years</w:t>
            </w:r>
          </w:p>
        </w:tc>
        <w:tc>
          <w:tcPr>
            <w:tcW w:w="1820" w:type="dxa"/>
            <w:vAlign w:val="bottom"/>
          </w:tcPr>
          <w:p>
            <w:pPr>
              <w:jc w:val="right"/>
              <w:ind w:right="273"/>
              <w:spacing w:after="0"/>
              <w:rPr>
                <w:sz w:val="20"/>
                <w:szCs w:val="20"/>
                <w:color w:val="auto"/>
              </w:rPr>
            </w:pPr>
            <w:r>
              <w:rPr>
                <w:rFonts w:ascii="Arial" w:cs="Arial" w:eastAsia="Arial" w:hAnsi="Arial"/>
                <w:sz w:val="10"/>
                <w:szCs w:val="10"/>
                <w:color w:val="auto"/>
              </w:rPr>
              <w:t>-1 year to +1 year</w:t>
            </w:r>
          </w:p>
        </w:tc>
        <w:tc>
          <w:tcPr>
            <w:tcW w:w="660" w:type="dxa"/>
            <w:vAlign w:val="bottom"/>
          </w:tcPr>
          <w:p>
            <w:pPr>
              <w:jc w:val="right"/>
              <w:spacing w:after="0"/>
              <w:rPr>
                <w:sz w:val="20"/>
                <w:szCs w:val="20"/>
                <w:color w:val="auto"/>
              </w:rPr>
            </w:pPr>
            <w:r>
              <w:rPr>
                <w:rFonts w:ascii="Arial" w:cs="Arial" w:eastAsia="Arial" w:hAnsi="Arial"/>
                <w:sz w:val="10"/>
                <w:szCs w:val="10"/>
                <w:color w:val="auto"/>
              </w:rPr>
              <w:t>(1,985)</w:t>
            </w:r>
          </w:p>
        </w:tc>
        <w:tc>
          <w:tcPr>
            <w:tcW w:w="360" w:type="dxa"/>
            <w:vAlign w:val="bottom"/>
          </w:tcPr>
          <w:p>
            <w:pPr>
              <w:ind w:left="140"/>
              <w:spacing w:after="0"/>
              <w:rPr>
                <w:sz w:val="20"/>
                <w:szCs w:val="20"/>
                <w:color w:val="auto"/>
              </w:rPr>
            </w:pPr>
            <w:r>
              <w:rPr>
                <w:rFonts w:ascii="Arial" w:cs="Arial" w:eastAsia="Arial" w:hAnsi="Arial"/>
                <w:sz w:val="10"/>
                <w:szCs w:val="10"/>
                <w:color w:val="auto"/>
              </w:rPr>
              <w:t>to</w:t>
            </w:r>
          </w:p>
        </w:tc>
        <w:tc>
          <w:tcPr>
            <w:tcW w:w="980" w:type="dxa"/>
            <w:vAlign w:val="bottom"/>
          </w:tcPr>
          <w:p>
            <w:pPr>
              <w:jc w:val="right"/>
              <w:spacing w:after="0"/>
              <w:rPr>
                <w:sz w:val="20"/>
                <w:szCs w:val="20"/>
                <w:color w:val="auto"/>
              </w:rPr>
            </w:pPr>
            <w:r>
              <w:rPr>
                <w:rFonts w:ascii="Arial" w:cs="Arial" w:eastAsia="Arial" w:hAnsi="Arial"/>
                <w:sz w:val="10"/>
                <w:szCs w:val="10"/>
                <w:color w:val="auto"/>
              </w:rPr>
              <w:t>2,070</w:t>
            </w:r>
          </w:p>
        </w:tc>
        <w:tc>
          <w:tcPr>
            <w:tcW w:w="1040" w:type="dxa"/>
            <w:vAlign w:val="bottom"/>
          </w:tcPr>
          <w:p>
            <w:pPr>
              <w:jc w:val="right"/>
              <w:ind w:right="32"/>
              <w:spacing w:after="0"/>
              <w:rPr>
                <w:sz w:val="20"/>
                <w:szCs w:val="20"/>
                <w:color w:val="auto"/>
              </w:rPr>
            </w:pPr>
            <w:r>
              <w:rPr>
                <w:rFonts w:ascii="Arial" w:cs="Arial" w:eastAsia="Arial" w:hAnsi="Arial"/>
                <w:sz w:val="10"/>
                <w:szCs w:val="10"/>
                <w:color w:val="auto"/>
              </w:rPr>
              <w:t>(1,631)</w:t>
            </w:r>
          </w:p>
        </w:tc>
        <w:tc>
          <w:tcPr>
            <w:tcW w:w="580" w:type="dxa"/>
            <w:vAlign w:val="bottom"/>
          </w:tcPr>
          <w:p>
            <w:pPr>
              <w:ind w:left="60"/>
              <w:spacing w:after="0"/>
              <w:rPr>
                <w:sz w:val="20"/>
                <w:szCs w:val="20"/>
                <w:color w:val="auto"/>
              </w:rPr>
            </w:pPr>
            <w:r>
              <w:rPr>
                <w:rFonts w:ascii="Arial" w:cs="Arial" w:eastAsia="Arial" w:hAnsi="Arial"/>
                <w:sz w:val="10"/>
                <w:szCs w:val="10"/>
                <w:color w:val="auto"/>
              </w:rPr>
              <w:t>to</w:t>
            </w:r>
          </w:p>
        </w:tc>
        <w:tc>
          <w:tcPr>
            <w:tcW w:w="680" w:type="dxa"/>
            <w:vAlign w:val="bottom"/>
          </w:tcPr>
          <w:p>
            <w:pPr>
              <w:jc w:val="right"/>
              <w:spacing w:after="0"/>
              <w:rPr>
                <w:sz w:val="20"/>
                <w:szCs w:val="20"/>
                <w:color w:val="auto"/>
              </w:rPr>
            </w:pPr>
            <w:r>
              <w:rPr>
                <w:rFonts w:ascii="Arial" w:cs="Arial" w:eastAsia="Arial" w:hAnsi="Arial"/>
                <w:sz w:val="10"/>
                <w:szCs w:val="10"/>
                <w:color w:val="auto"/>
              </w:rPr>
              <w:t>1,694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-236220</wp:posOffset>
            </wp:positionV>
            <wp:extent cx="748665" cy="24003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48665" cy="240030"/>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-641985</wp:posOffset>
            </wp:positionV>
            <wp:extent cx="840105" cy="64579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40105" cy="645795"/>
                    </a:xfrm>
                    <a:prstGeom prst="rect">
                      <a:avLst/>
                    </a:prstGeom>
                    <a:noFill/>
                  </pic:spPr>
                </pic:pic>
              </a:graphicData>
            </a:graphic>
          </wp:anchor>
        </w:drawing>
      </w:r>
    </w:p>
    <w:p>
      <w:pPr>
        <w:ind w:left="128" w:hanging="128"/>
        <w:spacing w:after="0"/>
        <w:tabs>
          <w:tab w:leader="none" w:pos="128" w:val="left"/>
        </w:tabs>
        <w:numPr>
          <w:ilvl w:val="0"/>
          <w:numId w:val="181"/>
        </w:numPr>
        <w:rPr>
          <w:rFonts w:ascii="Arial" w:cs="Arial" w:eastAsia="Arial" w:hAnsi="Arial"/>
          <w:sz w:val="7"/>
          <w:szCs w:val="7"/>
          <w:color w:val="auto"/>
        </w:rPr>
      </w:pPr>
      <w:r>
        <w:rPr>
          <w:rFonts w:ascii="Arial" w:cs="Arial" w:eastAsia="Arial" w:hAnsi="Arial"/>
          <w:sz w:val="7"/>
          <w:szCs w:val="7"/>
          <w:color w:val="auto"/>
        </w:rPr>
        <w:t>The weighted average inflation rate used in the calculation of the defined benefit obligation is 1.7%.</w:t>
      </w:r>
    </w:p>
    <w:p>
      <w:pPr>
        <w:spacing w:after="0" w:line="3" w:lineRule="exact"/>
        <w:rPr>
          <w:rFonts w:ascii="Arial" w:cs="Arial" w:eastAsia="Arial" w:hAnsi="Arial"/>
          <w:sz w:val="7"/>
          <w:szCs w:val="7"/>
          <w:color w:val="auto"/>
        </w:rPr>
      </w:pPr>
    </w:p>
    <w:p>
      <w:pPr>
        <w:ind w:left="108" w:hanging="108"/>
        <w:spacing w:after="0"/>
        <w:tabs>
          <w:tab w:leader="none" w:pos="108" w:val="left"/>
        </w:tabs>
        <w:numPr>
          <w:ilvl w:val="0"/>
          <w:numId w:val="181"/>
        </w:numPr>
        <w:rPr>
          <w:rFonts w:ascii="Arial" w:cs="Arial" w:eastAsia="Arial" w:hAnsi="Arial"/>
          <w:sz w:val="7"/>
          <w:szCs w:val="7"/>
          <w:color w:val="auto"/>
        </w:rPr>
      </w:pPr>
      <w:r>
        <w:rPr>
          <w:rFonts w:ascii="Arial" w:cs="Arial" w:eastAsia="Arial" w:hAnsi="Arial"/>
          <w:sz w:val="7"/>
          <w:szCs w:val="7"/>
          <w:color w:val="auto"/>
        </w:rPr>
        <w:t>Mainly related to post-retirement medical benefits in the USA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197</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200" w:name="page201"/>
    <w:bookmarkEnd w:id="200"/>
    <w:p>
      <w:pPr>
        <w:spacing w:after="0"/>
        <w:rPr>
          <w:sz w:val="20"/>
          <w:szCs w:val="20"/>
          <w:color w:val="auto"/>
        </w:rPr>
      </w:pPr>
      <w:r>
        <w:rPr>
          <w:rFonts w:ascii="Arial" w:cs="Arial" w:eastAsia="Arial" w:hAnsi="Arial"/>
          <w:sz w:val="11"/>
          <w:szCs w:val="11"/>
          <w:color w:val="auto"/>
        </w:rPr>
        <w:t>18 – DECOMMISSIONING AND OTHER PROVISIONS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920" w:type="dxa"/>
            <w:vAlign w:val="bottom"/>
            <w:shd w:val="clear" w:color="auto" w:fill="CDCDCD"/>
          </w:tcPr>
          <w:p>
            <w:pPr>
              <w:spacing w:after="0"/>
              <w:rPr>
                <w:sz w:val="10"/>
                <w:szCs w:val="10"/>
                <w:color w:val="auto"/>
              </w:rPr>
            </w:pPr>
          </w:p>
        </w:tc>
        <w:tc>
          <w:tcPr>
            <w:tcW w:w="2360" w:type="dxa"/>
            <w:vAlign w:val="bottom"/>
            <w:shd w:val="clear" w:color="auto" w:fill="CDCDCD"/>
          </w:tcPr>
          <w:p>
            <w:pPr>
              <w:spacing w:after="0"/>
              <w:rPr>
                <w:sz w:val="10"/>
                <w:szCs w:val="10"/>
                <w:color w:val="auto"/>
              </w:rPr>
            </w:pPr>
          </w:p>
        </w:tc>
        <w:tc>
          <w:tcPr>
            <w:tcW w:w="700" w:type="dxa"/>
            <w:vAlign w:val="bottom"/>
            <w:shd w:val="clear" w:color="auto" w:fill="CDCDCD"/>
          </w:tcPr>
          <w:p>
            <w:pPr>
              <w:spacing w:after="0"/>
              <w:rPr>
                <w:sz w:val="10"/>
                <w:szCs w:val="10"/>
                <w:color w:val="auto"/>
              </w:rPr>
            </w:pPr>
          </w:p>
        </w:tc>
        <w:tc>
          <w:tcPr>
            <w:tcW w:w="1080" w:type="dxa"/>
            <w:vAlign w:val="bottom"/>
            <w:shd w:val="clear" w:color="auto" w:fill="CDCDCD"/>
          </w:tcPr>
          <w:p>
            <w:pPr>
              <w:spacing w:after="0"/>
              <w:rPr>
                <w:sz w:val="10"/>
                <w:szCs w:val="10"/>
                <w:color w:val="auto"/>
              </w:rPr>
            </w:pPr>
          </w:p>
        </w:tc>
        <w:tc>
          <w:tcPr>
            <w:tcW w:w="1240" w:type="dxa"/>
            <w:vAlign w:val="bottom"/>
            <w:shd w:val="clear" w:color="auto" w:fill="CDCDCD"/>
          </w:tcPr>
          <w:p>
            <w:pPr>
              <w:spacing w:after="0"/>
              <w:rPr>
                <w:sz w:val="10"/>
                <w:szCs w:val="10"/>
                <w:color w:val="auto"/>
              </w:rPr>
            </w:pPr>
          </w:p>
        </w:tc>
        <w:tc>
          <w:tcPr>
            <w:tcW w:w="1160" w:type="dxa"/>
            <w:vAlign w:val="bottom"/>
            <w:shd w:val="clear" w:color="auto" w:fill="CDCDCD"/>
          </w:tcPr>
          <w:p>
            <w:pPr>
              <w:spacing w:after="0"/>
              <w:rPr>
                <w:sz w:val="10"/>
                <w:szCs w:val="10"/>
                <w:color w:val="auto"/>
              </w:rPr>
            </w:pPr>
          </w:p>
        </w:tc>
        <w:tc>
          <w:tcPr>
            <w:tcW w:w="1080" w:type="dxa"/>
            <w:vAlign w:val="bottom"/>
            <w:shd w:val="clear" w:color="auto" w:fill="CDCDCD"/>
          </w:tcPr>
          <w:p>
            <w:pPr>
              <w:spacing w:after="0"/>
              <w:rPr>
                <w:sz w:val="10"/>
                <w:szCs w:val="10"/>
                <w:color w:val="auto"/>
              </w:rPr>
            </w:pPr>
          </w:p>
        </w:tc>
        <w:tc>
          <w:tcPr>
            <w:tcW w:w="760" w:type="dxa"/>
            <w:vAlign w:val="bottom"/>
            <w:shd w:val="clear" w:color="auto" w:fill="CDCDCD"/>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86"/>
        </w:trPr>
        <w:tc>
          <w:tcPr>
            <w:tcW w:w="2920" w:type="dxa"/>
            <w:vAlign w:val="bottom"/>
          </w:tcPr>
          <w:p>
            <w:pPr>
              <w:spacing w:after="0"/>
              <w:rPr>
                <w:sz w:val="7"/>
                <w:szCs w:val="7"/>
                <w:color w:val="auto"/>
              </w:rPr>
            </w:pPr>
          </w:p>
        </w:tc>
        <w:tc>
          <w:tcPr>
            <w:tcW w:w="2360" w:type="dxa"/>
            <w:vAlign w:val="bottom"/>
          </w:tcPr>
          <w:p>
            <w:pPr>
              <w:jc w:val="right"/>
              <w:ind w:right="98"/>
              <w:spacing w:after="0" w:line="86" w:lineRule="exact"/>
              <w:rPr>
                <w:sz w:val="20"/>
                <w:szCs w:val="20"/>
                <w:color w:val="auto"/>
              </w:rPr>
            </w:pPr>
            <w:r>
              <w:rPr>
                <w:rFonts w:ascii="Arial" w:cs="Arial" w:eastAsia="Arial" w:hAnsi="Arial"/>
                <w:sz w:val="8"/>
                <w:szCs w:val="8"/>
                <w:color w:val="auto"/>
              </w:rPr>
              <w:t>Decommissioning</w:t>
            </w:r>
          </w:p>
        </w:tc>
        <w:tc>
          <w:tcPr>
            <w:tcW w:w="700" w:type="dxa"/>
            <w:vAlign w:val="bottom"/>
          </w:tcPr>
          <w:p>
            <w:pPr>
              <w:spacing w:after="0"/>
              <w:rPr>
                <w:sz w:val="7"/>
                <w:szCs w:val="7"/>
                <w:color w:val="auto"/>
              </w:rPr>
            </w:pPr>
          </w:p>
        </w:tc>
        <w:tc>
          <w:tcPr>
            <w:tcW w:w="1080" w:type="dxa"/>
            <w:vAlign w:val="bottom"/>
            <w:vMerge w:val="restart"/>
          </w:tcPr>
          <w:p>
            <w:pPr>
              <w:jc w:val="right"/>
              <w:ind w:right="378"/>
              <w:spacing w:after="0"/>
              <w:rPr>
                <w:sz w:val="20"/>
                <w:szCs w:val="20"/>
                <w:color w:val="auto"/>
              </w:rPr>
            </w:pPr>
            <w:r>
              <w:rPr>
                <w:rFonts w:ascii="Arial" w:cs="Arial" w:eastAsia="Arial" w:hAnsi="Arial"/>
                <w:sz w:val="8"/>
                <w:szCs w:val="8"/>
                <w:color w:val="auto"/>
              </w:rPr>
              <w:t>Legal</w:t>
            </w:r>
          </w:p>
        </w:tc>
        <w:tc>
          <w:tcPr>
            <w:tcW w:w="1240" w:type="dxa"/>
            <w:vAlign w:val="bottom"/>
            <w:vMerge w:val="restart"/>
          </w:tcPr>
          <w:p>
            <w:pPr>
              <w:jc w:val="right"/>
              <w:ind w:right="278"/>
              <w:spacing w:after="0"/>
              <w:rPr>
                <w:sz w:val="20"/>
                <w:szCs w:val="20"/>
                <w:color w:val="auto"/>
              </w:rPr>
            </w:pPr>
            <w:r>
              <w:rPr>
                <w:rFonts w:ascii="Arial" w:cs="Arial" w:eastAsia="Arial" w:hAnsi="Arial"/>
                <w:sz w:val="8"/>
                <w:szCs w:val="8"/>
                <w:color w:val="auto"/>
              </w:rPr>
              <w:t>Environmental</w:t>
            </w:r>
          </w:p>
        </w:tc>
        <w:tc>
          <w:tcPr>
            <w:tcW w:w="1160" w:type="dxa"/>
            <w:vAlign w:val="bottom"/>
            <w:vMerge w:val="restart"/>
          </w:tcPr>
          <w:p>
            <w:pPr>
              <w:jc w:val="right"/>
              <w:ind w:right="378"/>
              <w:spacing w:after="0"/>
              <w:rPr>
                <w:sz w:val="20"/>
                <w:szCs w:val="20"/>
                <w:color w:val="auto"/>
              </w:rPr>
            </w:pPr>
            <w:r>
              <w:rPr>
                <w:rFonts w:ascii="Arial" w:cs="Arial" w:eastAsia="Arial" w:hAnsi="Arial"/>
                <w:sz w:val="8"/>
                <w:szCs w:val="8"/>
                <w:color w:val="auto"/>
              </w:rPr>
              <w:t>Redundancy</w:t>
            </w:r>
          </w:p>
        </w:tc>
        <w:tc>
          <w:tcPr>
            <w:tcW w:w="1080" w:type="dxa"/>
            <w:vAlign w:val="bottom"/>
            <w:vMerge w:val="restart"/>
          </w:tcPr>
          <w:p>
            <w:pPr>
              <w:jc w:val="right"/>
              <w:ind w:right="338"/>
              <w:spacing w:after="0"/>
              <w:rPr>
                <w:sz w:val="20"/>
                <w:szCs w:val="20"/>
                <w:color w:val="auto"/>
              </w:rPr>
            </w:pPr>
            <w:r>
              <w:rPr>
                <w:rFonts w:ascii="Arial" w:cs="Arial" w:eastAsia="Arial" w:hAnsi="Arial"/>
                <w:sz w:val="8"/>
                <w:szCs w:val="8"/>
                <w:color w:val="auto"/>
              </w:rPr>
              <w:t>Other</w:t>
            </w:r>
          </w:p>
        </w:tc>
        <w:tc>
          <w:tcPr>
            <w:tcW w:w="760" w:type="dxa"/>
            <w:vAlign w:val="bottom"/>
            <w:vMerge w:val="restart"/>
          </w:tcPr>
          <w:p>
            <w:pPr>
              <w:jc w:val="right"/>
              <w:spacing w:after="0"/>
              <w:rPr>
                <w:sz w:val="20"/>
                <w:szCs w:val="20"/>
                <w:color w:val="auto"/>
              </w:rPr>
            </w:pPr>
            <w:r>
              <w:rPr>
                <w:rFonts w:ascii="Arial" w:cs="Arial" w:eastAsia="Arial" w:hAnsi="Arial"/>
                <w:sz w:val="8"/>
                <w:szCs w:val="8"/>
                <w:color w:val="auto"/>
              </w:rPr>
              <w:t>Total</w:t>
            </w:r>
          </w:p>
        </w:tc>
        <w:tc>
          <w:tcPr>
            <w:tcW w:w="0" w:type="dxa"/>
            <w:vAlign w:val="bottom"/>
          </w:tcPr>
          <w:p>
            <w:pPr>
              <w:spacing w:after="0"/>
              <w:rPr>
                <w:sz w:val="1"/>
                <w:szCs w:val="1"/>
                <w:color w:val="auto"/>
              </w:rPr>
            </w:pPr>
          </w:p>
        </w:tc>
      </w:tr>
      <w:tr>
        <w:trPr>
          <w:trHeight w:val="111"/>
        </w:trPr>
        <w:tc>
          <w:tcPr>
            <w:tcW w:w="292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and restoration</w:t>
            </w:r>
          </w:p>
        </w:tc>
        <w:tc>
          <w:tcPr>
            <w:tcW w:w="7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920" w:type="dxa"/>
            <w:vAlign w:val="bottom"/>
          </w:tcPr>
          <w:p>
            <w:pPr>
              <w:spacing w:after="0"/>
              <w:rPr>
                <w:sz w:val="20"/>
                <w:szCs w:val="20"/>
                <w:color w:val="auto"/>
              </w:rPr>
            </w:pPr>
            <w:r>
              <w:rPr>
                <w:rFonts w:ascii="Arial" w:cs="Arial" w:eastAsia="Arial" w:hAnsi="Arial"/>
                <w:sz w:val="8"/>
                <w:szCs w:val="8"/>
                <w:color w:val="auto"/>
              </w:rPr>
              <w:t>At January 1, 2020</w:t>
            </w:r>
          </w:p>
        </w:tc>
        <w:tc>
          <w:tcPr>
            <w:tcW w:w="2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20"/>
                <w:szCs w:val="20"/>
                <w:color w:val="auto"/>
              </w:rPr>
            </w:pPr>
            <w:r>
              <w:rPr>
                <w:rFonts w:ascii="Arial" w:cs="Arial" w:eastAsia="Arial" w:hAnsi="Arial"/>
                <w:sz w:val="8"/>
                <w:szCs w:val="8"/>
                <w:color w:val="auto"/>
              </w:rPr>
              <w:t>Current</w:t>
            </w:r>
          </w:p>
        </w:tc>
        <w:tc>
          <w:tcPr>
            <w:tcW w:w="2360" w:type="dxa"/>
            <w:vAlign w:val="bottom"/>
          </w:tcPr>
          <w:p>
            <w:pPr>
              <w:jc w:val="right"/>
              <w:ind w:right="118"/>
              <w:spacing w:after="0"/>
              <w:rPr>
                <w:sz w:val="20"/>
                <w:szCs w:val="20"/>
                <w:color w:val="auto"/>
              </w:rPr>
            </w:pPr>
            <w:r>
              <w:rPr>
                <w:rFonts w:ascii="Arial" w:cs="Arial" w:eastAsia="Arial" w:hAnsi="Arial"/>
                <w:sz w:val="8"/>
                <w:szCs w:val="8"/>
                <w:color w:val="auto"/>
              </w:rPr>
              <w:t>755</w:t>
            </w:r>
          </w:p>
        </w:tc>
        <w:tc>
          <w:tcPr>
            <w:tcW w:w="700" w:type="dxa"/>
            <w:vAlign w:val="bottom"/>
          </w:tcPr>
          <w:p>
            <w:pPr>
              <w:spacing w:after="0"/>
              <w:rPr>
                <w:sz w:val="10"/>
                <w:szCs w:val="10"/>
                <w:color w:val="auto"/>
              </w:rPr>
            </w:pPr>
          </w:p>
        </w:tc>
        <w:tc>
          <w:tcPr>
            <w:tcW w:w="1080" w:type="dxa"/>
            <w:vAlign w:val="bottom"/>
          </w:tcPr>
          <w:p>
            <w:pPr>
              <w:jc w:val="right"/>
              <w:ind w:right="418"/>
              <w:spacing w:after="0"/>
              <w:rPr>
                <w:sz w:val="20"/>
                <w:szCs w:val="20"/>
                <w:color w:val="auto"/>
              </w:rPr>
            </w:pPr>
            <w:r>
              <w:rPr>
                <w:rFonts w:ascii="Arial" w:cs="Arial" w:eastAsia="Arial" w:hAnsi="Arial"/>
                <w:sz w:val="8"/>
                <w:szCs w:val="8"/>
                <w:color w:val="auto"/>
              </w:rPr>
              <w:t>626</w:t>
            </w:r>
          </w:p>
        </w:tc>
        <w:tc>
          <w:tcPr>
            <w:tcW w:w="1240" w:type="dxa"/>
            <w:vAlign w:val="bottom"/>
          </w:tcPr>
          <w:p>
            <w:pPr>
              <w:jc w:val="right"/>
              <w:ind w:right="318"/>
              <w:spacing w:after="0"/>
              <w:rPr>
                <w:sz w:val="20"/>
                <w:szCs w:val="20"/>
                <w:color w:val="auto"/>
              </w:rPr>
            </w:pPr>
            <w:r>
              <w:rPr>
                <w:rFonts w:ascii="Arial" w:cs="Arial" w:eastAsia="Arial" w:hAnsi="Arial"/>
                <w:sz w:val="8"/>
                <w:szCs w:val="8"/>
                <w:color w:val="auto"/>
              </w:rPr>
              <w:t>263</w:t>
            </w:r>
          </w:p>
        </w:tc>
        <w:tc>
          <w:tcPr>
            <w:tcW w:w="1160" w:type="dxa"/>
            <w:vAlign w:val="bottom"/>
          </w:tcPr>
          <w:p>
            <w:pPr>
              <w:jc w:val="right"/>
              <w:ind w:right="418"/>
              <w:spacing w:after="0"/>
              <w:rPr>
                <w:sz w:val="20"/>
                <w:szCs w:val="20"/>
                <w:color w:val="auto"/>
              </w:rPr>
            </w:pPr>
            <w:r>
              <w:rPr>
                <w:rFonts w:ascii="Arial" w:cs="Arial" w:eastAsia="Arial" w:hAnsi="Arial"/>
                <w:sz w:val="8"/>
                <w:szCs w:val="8"/>
                <w:color w:val="auto"/>
              </w:rPr>
              <w:t>295</w:t>
            </w:r>
          </w:p>
        </w:tc>
        <w:tc>
          <w:tcPr>
            <w:tcW w:w="1080" w:type="dxa"/>
            <w:vAlign w:val="bottom"/>
          </w:tcPr>
          <w:p>
            <w:pPr>
              <w:jc w:val="right"/>
              <w:ind w:right="378"/>
              <w:spacing w:after="0"/>
              <w:rPr>
                <w:sz w:val="20"/>
                <w:szCs w:val="20"/>
                <w:color w:val="auto"/>
              </w:rPr>
            </w:pPr>
            <w:r>
              <w:rPr>
                <w:rFonts w:ascii="Arial" w:cs="Arial" w:eastAsia="Arial" w:hAnsi="Arial"/>
                <w:sz w:val="8"/>
                <w:szCs w:val="8"/>
                <w:color w:val="auto"/>
              </w:rPr>
              <w:t>872</w:t>
            </w: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2,811</w:t>
            </w:r>
          </w:p>
        </w:tc>
        <w:tc>
          <w:tcPr>
            <w:tcW w:w="0" w:type="dxa"/>
            <w:vAlign w:val="bottom"/>
          </w:tcPr>
          <w:p>
            <w:pPr>
              <w:spacing w:after="0"/>
              <w:rPr>
                <w:sz w:val="1"/>
                <w:szCs w:val="1"/>
                <w:color w:val="auto"/>
              </w:rPr>
            </w:pPr>
          </w:p>
        </w:tc>
      </w:tr>
      <w:tr>
        <w:trPr>
          <w:trHeight w:val="123"/>
        </w:trPr>
        <w:tc>
          <w:tcPr>
            <w:tcW w:w="292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Non-current</w:t>
            </w:r>
          </w:p>
        </w:tc>
        <w:tc>
          <w:tcPr>
            <w:tcW w:w="23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18,264</w:t>
            </w:r>
          </w:p>
        </w:tc>
        <w:tc>
          <w:tcPr>
            <w:tcW w:w="7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1,185</w:t>
            </w:r>
          </w:p>
        </w:tc>
        <w:tc>
          <w:tcPr>
            <w:tcW w:w="1240" w:type="dxa"/>
            <w:vAlign w:val="bottom"/>
            <w:tcBorders>
              <w:bottom w:val="single" w:sz="8" w:color="auto"/>
            </w:tcBorders>
          </w:tcPr>
          <w:p>
            <w:pPr>
              <w:jc w:val="right"/>
              <w:ind w:right="318"/>
              <w:spacing w:after="0"/>
              <w:rPr>
                <w:sz w:val="20"/>
                <w:szCs w:val="20"/>
                <w:color w:val="auto"/>
              </w:rPr>
            </w:pPr>
            <w:r>
              <w:rPr>
                <w:rFonts w:ascii="Arial" w:cs="Arial" w:eastAsia="Arial" w:hAnsi="Arial"/>
                <w:sz w:val="8"/>
                <w:szCs w:val="8"/>
                <w:color w:val="auto"/>
              </w:rPr>
              <w:t>934</w:t>
            </w: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220</w:t>
            </w: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1,196</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21,799</w:t>
            </w:r>
          </w:p>
        </w:tc>
        <w:tc>
          <w:tcPr>
            <w:tcW w:w="0" w:type="dxa"/>
            <w:vAlign w:val="bottom"/>
          </w:tcPr>
          <w:p>
            <w:pPr>
              <w:spacing w:after="0"/>
              <w:rPr>
                <w:sz w:val="1"/>
                <w:szCs w:val="1"/>
                <w:color w:val="auto"/>
              </w:rPr>
            </w:pPr>
          </w:p>
        </w:tc>
      </w:tr>
      <w:tr>
        <w:trPr>
          <w:trHeight w:val="106"/>
        </w:trPr>
        <w:tc>
          <w:tcPr>
            <w:tcW w:w="292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19,019</w:t>
            </w:r>
          </w:p>
        </w:tc>
        <w:tc>
          <w:tcPr>
            <w:tcW w:w="7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1,811</w:t>
            </w:r>
          </w:p>
        </w:tc>
        <w:tc>
          <w:tcPr>
            <w:tcW w:w="1240" w:type="dxa"/>
            <w:vAlign w:val="bottom"/>
            <w:tcBorders>
              <w:bottom w:val="single" w:sz="8" w:color="auto"/>
            </w:tcBorders>
          </w:tcPr>
          <w:p>
            <w:pPr>
              <w:jc w:val="right"/>
              <w:ind w:right="318"/>
              <w:spacing w:after="0"/>
              <w:rPr>
                <w:sz w:val="20"/>
                <w:szCs w:val="20"/>
                <w:color w:val="auto"/>
              </w:rPr>
            </w:pPr>
            <w:r>
              <w:rPr>
                <w:rFonts w:ascii="Arial" w:cs="Arial" w:eastAsia="Arial" w:hAnsi="Arial"/>
                <w:sz w:val="8"/>
                <w:szCs w:val="8"/>
                <w:color w:val="auto"/>
              </w:rPr>
              <w:t>1,197</w:t>
            </w: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515</w:t>
            </w: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2,068</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24,610</w:t>
            </w:r>
          </w:p>
        </w:tc>
        <w:tc>
          <w:tcPr>
            <w:tcW w:w="0" w:type="dxa"/>
            <w:vAlign w:val="bottom"/>
          </w:tcPr>
          <w:p>
            <w:pPr>
              <w:spacing w:after="0"/>
              <w:rPr>
                <w:sz w:val="1"/>
                <w:szCs w:val="1"/>
                <w:color w:val="auto"/>
              </w:rPr>
            </w:pPr>
          </w:p>
        </w:tc>
      </w:tr>
      <w:tr>
        <w:trPr>
          <w:trHeight w:val="100"/>
        </w:trPr>
        <w:tc>
          <w:tcPr>
            <w:tcW w:w="2920" w:type="dxa"/>
            <w:vAlign w:val="bottom"/>
          </w:tcPr>
          <w:p>
            <w:pPr>
              <w:spacing w:after="0"/>
              <w:rPr>
                <w:sz w:val="20"/>
                <w:szCs w:val="20"/>
                <w:color w:val="auto"/>
              </w:rPr>
            </w:pPr>
            <w:r>
              <w:rPr>
                <w:rFonts w:ascii="Arial" w:cs="Arial" w:eastAsia="Arial" w:hAnsi="Arial"/>
                <w:sz w:val="8"/>
                <w:szCs w:val="8"/>
                <w:color w:val="auto"/>
              </w:rPr>
              <w:t>Additions</w:t>
            </w:r>
          </w:p>
        </w:tc>
        <w:tc>
          <w:tcPr>
            <w:tcW w:w="2360" w:type="dxa"/>
            <w:vAlign w:val="bottom"/>
          </w:tcPr>
          <w:p>
            <w:pPr>
              <w:jc w:val="right"/>
              <w:ind w:right="118"/>
              <w:spacing w:after="0"/>
              <w:rPr>
                <w:sz w:val="20"/>
                <w:szCs w:val="20"/>
                <w:color w:val="auto"/>
              </w:rPr>
            </w:pPr>
            <w:r>
              <w:rPr>
                <w:rFonts w:ascii="Arial" w:cs="Arial" w:eastAsia="Arial" w:hAnsi="Arial"/>
                <w:sz w:val="8"/>
                <w:szCs w:val="8"/>
                <w:color w:val="auto"/>
              </w:rPr>
              <w:t>1,697</w:t>
            </w:r>
          </w:p>
        </w:tc>
        <w:tc>
          <w:tcPr>
            <w:tcW w:w="700" w:type="dxa"/>
            <w:vAlign w:val="bottom"/>
          </w:tcPr>
          <w:p>
            <w:pPr>
              <w:ind w:left="140"/>
              <w:spacing w:after="0"/>
              <w:rPr>
                <w:sz w:val="20"/>
                <w:szCs w:val="20"/>
                <w:color w:val="auto"/>
              </w:rPr>
            </w:pPr>
            <w:r>
              <w:rPr>
                <w:rFonts w:ascii="Arial" w:cs="Arial" w:eastAsia="Arial" w:hAnsi="Arial"/>
                <w:sz w:val="8"/>
                <w:szCs w:val="8"/>
                <w:color w:val="auto"/>
              </w:rPr>
              <w:t>[A]</w:t>
            </w:r>
          </w:p>
        </w:tc>
        <w:tc>
          <w:tcPr>
            <w:tcW w:w="1080" w:type="dxa"/>
            <w:vAlign w:val="bottom"/>
          </w:tcPr>
          <w:p>
            <w:pPr>
              <w:jc w:val="right"/>
              <w:ind w:right="418"/>
              <w:spacing w:after="0"/>
              <w:rPr>
                <w:sz w:val="20"/>
                <w:szCs w:val="20"/>
                <w:color w:val="auto"/>
              </w:rPr>
            </w:pPr>
            <w:r>
              <w:rPr>
                <w:rFonts w:ascii="Arial" w:cs="Arial" w:eastAsia="Arial" w:hAnsi="Arial"/>
                <w:sz w:val="8"/>
                <w:szCs w:val="8"/>
                <w:color w:val="auto"/>
              </w:rPr>
              <w:t>502</w:t>
            </w:r>
          </w:p>
        </w:tc>
        <w:tc>
          <w:tcPr>
            <w:tcW w:w="1240" w:type="dxa"/>
            <w:vAlign w:val="bottom"/>
          </w:tcPr>
          <w:p>
            <w:pPr>
              <w:jc w:val="right"/>
              <w:ind w:right="318"/>
              <w:spacing w:after="0"/>
              <w:rPr>
                <w:sz w:val="20"/>
                <w:szCs w:val="20"/>
                <w:color w:val="auto"/>
              </w:rPr>
            </w:pPr>
            <w:r>
              <w:rPr>
                <w:rFonts w:ascii="Arial" w:cs="Arial" w:eastAsia="Arial" w:hAnsi="Arial"/>
                <w:sz w:val="8"/>
                <w:szCs w:val="8"/>
                <w:color w:val="auto"/>
              </w:rPr>
              <w:t>199</w:t>
            </w:r>
          </w:p>
        </w:tc>
        <w:tc>
          <w:tcPr>
            <w:tcW w:w="1160" w:type="dxa"/>
            <w:vAlign w:val="bottom"/>
          </w:tcPr>
          <w:p>
            <w:pPr>
              <w:jc w:val="right"/>
              <w:ind w:right="418"/>
              <w:spacing w:after="0"/>
              <w:rPr>
                <w:sz w:val="20"/>
                <w:szCs w:val="20"/>
                <w:color w:val="auto"/>
              </w:rPr>
            </w:pPr>
            <w:r>
              <w:rPr>
                <w:rFonts w:ascii="Arial" w:cs="Arial" w:eastAsia="Arial" w:hAnsi="Arial"/>
                <w:sz w:val="8"/>
                <w:szCs w:val="8"/>
                <w:color w:val="auto"/>
              </w:rPr>
              <w:t>986</w:t>
            </w:r>
          </w:p>
        </w:tc>
        <w:tc>
          <w:tcPr>
            <w:tcW w:w="1080" w:type="dxa"/>
            <w:vAlign w:val="bottom"/>
          </w:tcPr>
          <w:p>
            <w:pPr>
              <w:jc w:val="right"/>
              <w:ind w:right="378"/>
              <w:spacing w:after="0"/>
              <w:rPr>
                <w:sz w:val="20"/>
                <w:szCs w:val="20"/>
                <w:color w:val="auto"/>
              </w:rPr>
            </w:pPr>
            <w:r>
              <w:rPr>
                <w:rFonts w:ascii="Arial" w:cs="Arial" w:eastAsia="Arial" w:hAnsi="Arial"/>
                <w:sz w:val="8"/>
                <w:szCs w:val="8"/>
                <w:color w:val="auto"/>
              </w:rPr>
              <w:t>2,386</w:t>
            </w: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5,770</w:t>
            </w:r>
          </w:p>
        </w:tc>
        <w:tc>
          <w:tcPr>
            <w:tcW w:w="0" w:type="dxa"/>
            <w:vAlign w:val="bottom"/>
          </w:tcPr>
          <w:p>
            <w:pPr>
              <w:spacing w:after="0"/>
              <w:rPr>
                <w:sz w:val="1"/>
                <w:szCs w:val="1"/>
                <w:color w:val="auto"/>
              </w:rPr>
            </w:pPr>
          </w:p>
        </w:tc>
      </w:tr>
      <w:tr>
        <w:trPr>
          <w:trHeight w:val="117"/>
        </w:trPr>
        <w:tc>
          <w:tcPr>
            <w:tcW w:w="2920" w:type="dxa"/>
            <w:vAlign w:val="bottom"/>
          </w:tcPr>
          <w:p>
            <w:pPr>
              <w:spacing w:after="0"/>
              <w:rPr>
                <w:sz w:val="20"/>
                <w:szCs w:val="20"/>
                <w:color w:val="auto"/>
              </w:rPr>
            </w:pPr>
            <w:r>
              <w:rPr>
                <w:rFonts w:ascii="Arial" w:cs="Arial" w:eastAsia="Arial" w:hAnsi="Arial"/>
                <w:sz w:val="8"/>
                <w:szCs w:val="8"/>
                <w:color w:val="auto"/>
              </w:rPr>
              <w:t>Amounts charged against provisions</w:t>
            </w:r>
          </w:p>
        </w:tc>
        <w:tc>
          <w:tcPr>
            <w:tcW w:w="2360" w:type="dxa"/>
            <w:vAlign w:val="bottom"/>
          </w:tcPr>
          <w:p>
            <w:pPr>
              <w:jc w:val="right"/>
              <w:ind w:right="98"/>
              <w:spacing w:after="0"/>
              <w:rPr>
                <w:sz w:val="20"/>
                <w:szCs w:val="20"/>
                <w:color w:val="auto"/>
              </w:rPr>
            </w:pPr>
            <w:r>
              <w:rPr>
                <w:rFonts w:ascii="Arial" w:cs="Arial" w:eastAsia="Arial" w:hAnsi="Arial"/>
                <w:sz w:val="8"/>
                <w:szCs w:val="8"/>
                <w:color w:val="auto"/>
              </w:rPr>
              <w:t>(433)</w:t>
            </w:r>
          </w:p>
        </w:tc>
        <w:tc>
          <w:tcPr>
            <w:tcW w:w="700" w:type="dxa"/>
            <w:vAlign w:val="bottom"/>
          </w:tcPr>
          <w:p>
            <w:pPr>
              <w:spacing w:after="0"/>
              <w:rPr>
                <w:sz w:val="10"/>
                <w:szCs w:val="10"/>
                <w:color w:val="auto"/>
              </w:rPr>
            </w:pPr>
          </w:p>
        </w:tc>
        <w:tc>
          <w:tcPr>
            <w:tcW w:w="1080" w:type="dxa"/>
            <w:vAlign w:val="bottom"/>
          </w:tcPr>
          <w:p>
            <w:pPr>
              <w:jc w:val="right"/>
              <w:ind w:right="398"/>
              <w:spacing w:after="0"/>
              <w:rPr>
                <w:sz w:val="20"/>
                <w:szCs w:val="20"/>
                <w:color w:val="auto"/>
              </w:rPr>
            </w:pPr>
            <w:r>
              <w:rPr>
                <w:rFonts w:ascii="Arial" w:cs="Arial" w:eastAsia="Arial" w:hAnsi="Arial"/>
                <w:sz w:val="8"/>
                <w:szCs w:val="8"/>
                <w:color w:val="auto"/>
              </w:rPr>
              <w:t>(522)</w:t>
            </w:r>
          </w:p>
        </w:tc>
        <w:tc>
          <w:tcPr>
            <w:tcW w:w="1240" w:type="dxa"/>
            <w:vAlign w:val="bottom"/>
          </w:tcPr>
          <w:p>
            <w:pPr>
              <w:jc w:val="right"/>
              <w:ind w:right="298"/>
              <w:spacing w:after="0"/>
              <w:rPr>
                <w:sz w:val="20"/>
                <w:szCs w:val="20"/>
                <w:color w:val="auto"/>
              </w:rPr>
            </w:pPr>
            <w:r>
              <w:rPr>
                <w:rFonts w:ascii="Arial" w:cs="Arial" w:eastAsia="Arial" w:hAnsi="Arial"/>
                <w:sz w:val="8"/>
                <w:szCs w:val="8"/>
                <w:color w:val="auto"/>
              </w:rPr>
              <w:t>(138)</w:t>
            </w:r>
          </w:p>
        </w:tc>
        <w:tc>
          <w:tcPr>
            <w:tcW w:w="1160" w:type="dxa"/>
            <w:vAlign w:val="bottom"/>
          </w:tcPr>
          <w:p>
            <w:pPr>
              <w:jc w:val="right"/>
              <w:ind w:right="398"/>
              <w:spacing w:after="0"/>
              <w:rPr>
                <w:sz w:val="20"/>
                <w:szCs w:val="20"/>
                <w:color w:val="auto"/>
              </w:rPr>
            </w:pPr>
            <w:r>
              <w:rPr>
                <w:rFonts w:ascii="Arial" w:cs="Arial" w:eastAsia="Arial" w:hAnsi="Arial"/>
                <w:sz w:val="8"/>
                <w:szCs w:val="8"/>
                <w:color w:val="auto"/>
              </w:rPr>
              <w:t>(375)</w:t>
            </w:r>
          </w:p>
        </w:tc>
        <w:tc>
          <w:tcPr>
            <w:tcW w:w="1080" w:type="dxa"/>
            <w:vAlign w:val="bottom"/>
          </w:tcPr>
          <w:p>
            <w:pPr>
              <w:jc w:val="right"/>
              <w:ind w:right="358"/>
              <w:spacing w:after="0"/>
              <w:rPr>
                <w:sz w:val="20"/>
                <w:szCs w:val="20"/>
                <w:color w:val="auto"/>
              </w:rPr>
            </w:pPr>
            <w:r>
              <w:rPr>
                <w:rFonts w:ascii="Arial" w:cs="Arial" w:eastAsia="Arial" w:hAnsi="Arial"/>
                <w:sz w:val="8"/>
                <w:szCs w:val="8"/>
                <w:color w:val="auto"/>
              </w:rPr>
              <w:t>(388)</w:t>
            </w:r>
          </w:p>
        </w:tc>
        <w:tc>
          <w:tcPr>
            <w:tcW w:w="760" w:type="dxa"/>
            <w:vAlign w:val="bottom"/>
          </w:tcPr>
          <w:p>
            <w:pPr>
              <w:jc w:val="right"/>
              <w:spacing w:after="0"/>
              <w:rPr>
                <w:sz w:val="20"/>
                <w:szCs w:val="20"/>
                <w:color w:val="auto"/>
              </w:rPr>
            </w:pPr>
            <w:r>
              <w:rPr>
                <w:rFonts w:ascii="Arial" w:cs="Arial" w:eastAsia="Arial" w:hAnsi="Arial"/>
                <w:sz w:val="8"/>
                <w:szCs w:val="8"/>
                <w:color w:val="auto"/>
              </w:rPr>
              <w:t>(1,856)</w:t>
            </w:r>
          </w:p>
        </w:tc>
        <w:tc>
          <w:tcPr>
            <w:tcW w:w="0" w:type="dxa"/>
            <w:vAlign w:val="bottom"/>
          </w:tcPr>
          <w:p>
            <w:pPr>
              <w:spacing w:after="0"/>
              <w:rPr>
                <w:sz w:val="1"/>
                <w:szCs w:val="1"/>
                <w:color w:val="auto"/>
              </w:rPr>
            </w:pPr>
          </w:p>
        </w:tc>
      </w:tr>
      <w:tr>
        <w:trPr>
          <w:trHeight w:val="117"/>
        </w:trPr>
        <w:tc>
          <w:tcPr>
            <w:tcW w:w="2920" w:type="dxa"/>
            <w:vAlign w:val="bottom"/>
          </w:tcPr>
          <w:p>
            <w:pPr>
              <w:spacing w:after="0"/>
              <w:rPr>
                <w:sz w:val="20"/>
                <w:szCs w:val="20"/>
                <w:color w:val="auto"/>
              </w:rPr>
            </w:pPr>
            <w:r>
              <w:rPr>
                <w:rFonts w:ascii="Arial" w:cs="Arial" w:eastAsia="Arial" w:hAnsi="Arial"/>
                <w:sz w:val="8"/>
                <w:szCs w:val="8"/>
                <w:color w:val="auto"/>
              </w:rPr>
              <w:t>Accretion expense</w:t>
            </w:r>
          </w:p>
        </w:tc>
        <w:tc>
          <w:tcPr>
            <w:tcW w:w="2360" w:type="dxa"/>
            <w:vAlign w:val="bottom"/>
          </w:tcPr>
          <w:p>
            <w:pPr>
              <w:jc w:val="right"/>
              <w:ind w:right="118"/>
              <w:spacing w:after="0"/>
              <w:rPr>
                <w:sz w:val="20"/>
                <w:szCs w:val="20"/>
                <w:color w:val="auto"/>
              </w:rPr>
            </w:pPr>
            <w:r>
              <w:rPr>
                <w:rFonts w:ascii="Arial" w:cs="Arial" w:eastAsia="Arial" w:hAnsi="Arial"/>
                <w:sz w:val="8"/>
                <w:szCs w:val="8"/>
                <w:color w:val="auto"/>
              </w:rPr>
              <w:t>448</w:t>
            </w:r>
          </w:p>
        </w:tc>
        <w:tc>
          <w:tcPr>
            <w:tcW w:w="700" w:type="dxa"/>
            <w:vAlign w:val="bottom"/>
          </w:tcPr>
          <w:p>
            <w:pPr>
              <w:spacing w:after="0"/>
              <w:rPr>
                <w:sz w:val="10"/>
                <w:szCs w:val="10"/>
                <w:color w:val="auto"/>
              </w:rPr>
            </w:pPr>
          </w:p>
        </w:tc>
        <w:tc>
          <w:tcPr>
            <w:tcW w:w="1080" w:type="dxa"/>
            <w:vAlign w:val="bottom"/>
          </w:tcPr>
          <w:p>
            <w:pPr>
              <w:jc w:val="right"/>
              <w:ind w:right="418"/>
              <w:spacing w:after="0"/>
              <w:rPr>
                <w:sz w:val="20"/>
                <w:szCs w:val="20"/>
                <w:color w:val="auto"/>
              </w:rPr>
            </w:pPr>
            <w:r>
              <w:rPr>
                <w:rFonts w:ascii="Arial" w:cs="Arial" w:eastAsia="Arial" w:hAnsi="Arial"/>
                <w:sz w:val="8"/>
                <w:szCs w:val="8"/>
                <w:color w:val="auto"/>
              </w:rPr>
              <w:t>17</w:t>
            </w:r>
          </w:p>
        </w:tc>
        <w:tc>
          <w:tcPr>
            <w:tcW w:w="1240" w:type="dxa"/>
            <w:vAlign w:val="bottom"/>
          </w:tcPr>
          <w:p>
            <w:pPr>
              <w:jc w:val="right"/>
              <w:ind w:right="318"/>
              <w:spacing w:after="0"/>
              <w:rPr>
                <w:sz w:val="20"/>
                <w:szCs w:val="20"/>
                <w:color w:val="auto"/>
              </w:rPr>
            </w:pPr>
            <w:r>
              <w:rPr>
                <w:rFonts w:ascii="Arial" w:cs="Arial" w:eastAsia="Arial" w:hAnsi="Arial"/>
                <w:sz w:val="8"/>
                <w:szCs w:val="8"/>
                <w:color w:val="auto"/>
              </w:rPr>
              <w:t>21</w:t>
            </w:r>
          </w:p>
        </w:tc>
        <w:tc>
          <w:tcPr>
            <w:tcW w:w="1160" w:type="dxa"/>
            <w:vAlign w:val="bottom"/>
          </w:tcPr>
          <w:p>
            <w:pPr>
              <w:jc w:val="right"/>
              <w:ind w:right="418"/>
              <w:spacing w:after="0"/>
              <w:rPr>
                <w:sz w:val="20"/>
                <w:szCs w:val="20"/>
                <w:color w:val="auto"/>
              </w:rPr>
            </w:pPr>
            <w:r>
              <w:rPr>
                <w:rFonts w:ascii="Arial" w:cs="Arial" w:eastAsia="Arial" w:hAnsi="Arial"/>
                <w:sz w:val="8"/>
                <w:szCs w:val="8"/>
                <w:color w:val="auto"/>
              </w:rPr>
              <w:t>1</w:t>
            </w:r>
          </w:p>
        </w:tc>
        <w:tc>
          <w:tcPr>
            <w:tcW w:w="1080" w:type="dxa"/>
            <w:vAlign w:val="bottom"/>
          </w:tcPr>
          <w:p>
            <w:pPr>
              <w:jc w:val="right"/>
              <w:ind w:right="378"/>
              <w:spacing w:after="0"/>
              <w:rPr>
                <w:sz w:val="20"/>
                <w:szCs w:val="20"/>
                <w:color w:val="auto"/>
              </w:rPr>
            </w:pPr>
            <w:r>
              <w:rPr>
                <w:rFonts w:ascii="Arial" w:cs="Arial" w:eastAsia="Arial" w:hAnsi="Arial"/>
                <w:sz w:val="8"/>
                <w:szCs w:val="8"/>
                <w:color w:val="auto"/>
              </w:rPr>
              <w:t>10</w:t>
            </w: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497</w:t>
            </w:r>
          </w:p>
        </w:tc>
        <w:tc>
          <w:tcPr>
            <w:tcW w:w="0" w:type="dxa"/>
            <w:vAlign w:val="bottom"/>
          </w:tcPr>
          <w:p>
            <w:pPr>
              <w:spacing w:after="0"/>
              <w:rPr>
                <w:sz w:val="1"/>
                <w:szCs w:val="1"/>
                <w:color w:val="auto"/>
              </w:rPr>
            </w:pPr>
          </w:p>
        </w:tc>
      </w:tr>
      <w:tr>
        <w:trPr>
          <w:trHeight w:val="117"/>
        </w:trPr>
        <w:tc>
          <w:tcPr>
            <w:tcW w:w="2920" w:type="dxa"/>
            <w:vAlign w:val="bottom"/>
          </w:tcPr>
          <w:p>
            <w:pPr>
              <w:spacing w:after="0"/>
              <w:rPr>
                <w:sz w:val="20"/>
                <w:szCs w:val="20"/>
                <w:color w:val="auto"/>
              </w:rPr>
            </w:pPr>
            <w:r>
              <w:rPr>
                <w:rFonts w:ascii="Arial" w:cs="Arial" w:eastAsia="Arial" w:hAnsi="Arial"/>
                <w:sz w:val="8"/>
                <w:szCs w:val="8"/>
                <w:color w:val="auto"/>
              </w:rPr>
              <w:t>Disposals</w:t>
            </w:r>
          </w:p>
        </w:tc>
        <w:tc>
          <w:tcPr>
            <w:tcW w:w="2360" w:type="dxa"/>
            <w:vAlign w:val="bottom"/>
          </w:tcPr>
          <w:p>
            <w:pPr>
              <w:jc w:val="right"/>
              <w:ind w:right="98"/>
              <w:spacing w:after="0"/>
              <w:rPr>
                <w:sz w:val="20"/>
                <w:szCs w:val="20"/>
                <w:color w:val="auto"/>
              </w:rPr>
            </w:pPr>
            <w:r>
              <w:rPr>
                <w:rFonts w:ascii="Arial" w:cs="Arial" w:eastAsia="Arial" w:hAnsi="Arial"/>
                <w:sz w:val="8"/>
                <w:szCs w:val="8"/>
                <w:color w:val="auto"/>
              </w:rPr>
              <w:t>(154)</w:t>
            </w:r>
          </w:p>
        </w:tc>
        <w:tc>
          <w:tcPr>
            <w:tcW w:w="700" w:type="dxa"/>
            <w:vAlign w:val="bottom"/>
          </w:tcPr>
          <w:p>
            <w:pPr>
              <w:spacing w:after="0"/>
              <w:rPr>
                <w:sz w:val="10"/>
                <w:szCs w:val="10"/>
                <w:color w:val="auto"/>
              </w:rPr>
            </w:pPr>
          </w:p>
        </w:tc>
        <w:tc>
          <w:tcPr>
            <w:tcW w:w="1080" w:type="dxa"/>
            <w:vAlign w:val="bottom"/>
          </w:tcPr>
          <w:p>
            <w:pPr>
              <w:jc w:val="right"/>
              <w:ind w:right="418"/>
              <w:spacing w:after="0"/>
              <w:rPr>
                <w:sz w:val="20"/>
                <w:szCs w:val="20"/>
                <w:color w:val="auto"/>
              </w:rPr>
            </w:pPr>
            <w:r>
              <w:rPr>
                <w:rFonts w:ascii="Arial" w:cs="Arial" w:eastAsia="Arial" w:hAnsi="Arial"/>
                <w:sz w:val="8"/>
                <w:szCs w:val="8"/>
                <w:color w:val="auto"/>
              </w:rPr>
              <w:t>—</w:t>
            </w:r>
          </w:p>
        </w:tc>
        <w:tc>
          <w:tcPr>
            <w:tcW w:w="1240" w:type="dxa"/>
            <w:vAlign w:val="bottom"/>
          </w:tcPr>
          <w:p>
            <w:pPr>
              <w:jc w:val="right"/>
              <w:ind w:right="298"/>
              <w:spacing w:after="0"/>
              <w:rPr>
                <w:sz w:val="20"/>
                <w:szCs w:val="20"/>
                <w:color w:val="auto"/>
              </w:rPr>
            </w:pPr>
            <w:r>
              <w:rPr>
                <w:rFonts w:ascii="Arial" w:cs="Arial" w:eastAsia="Arial" w:hAnsi="Arial"/>
                <w:sz w:val="8"/>
                <w:szCs w:val="8"/>
                <w:color w:val="auto"/>
              </w:rPr>
              <w:t>(7)</w:t>
            </w:r>
          </w:p>
        </w:tc>
        <w:tc>
          <w:tcPr>
            <w:tcW w:w="1160" w:type="dxa"/>
            <w:vAlign w:val="bottom"/>
          </w:tcPr>
          <w:p>
            <w:pPr>
              <w:jc w:val="right"/>
              <w:ind w:right="418"/>
              <w:spacing w:after="0"/>
              <w:rPr>
                <w:sz w:val="20"/>
                <w:szCs w:val="20"/>
                <w:color w:val="auto"/>
              </w:rPr>
            </w:pPr>
            <w:r>
              <w:rPr>
                <w:rFonts w:ascii="Arial" w:cs="Arial" w:eastAsia="Arial" w:hAnsi="Arial"/>
                <w:sz w:val="8"/>
                <w:szCs w:val="8"/>
                <w:color w:val="auto"/>
              </w:rPr>
              <w:t>—</w:t>
            </w:r>
          </w:p>
        </w:tc>
        <w:tc>
          <w:tcPr>
            <w:tcW w:w="1080" w:type="dxa"/>
            <w:vAlign w:val="bottom"/>
          </w:tcPr>
          <w:p>
            <w:pPr>
              <w:jc w:val="right"/>
              <w:ind w:right="358"/>
              <w:spacing w:after="0"/>
              <w:rPr>
                <w:sz w:val="20"/>
                <w:szCs w:val="20"/>
                <w:color w:val="auto"/>
              </w:rPr>
            </w:pPr>
            <w:r>
              <w:rPr>
                <w:rFonts w:ascii="Arial" w:cs="Arial" w:eastAsia="Arial" w:hAnsi="Arial"/>
                <w:sz w:val="8"/>
                <w:szCs w:val="8"/>
                <w:color w:val="auto"/>
              </w:rPr>
              <w:t>(18)</w:t>
            </w:r>
          </w:p>
        </w:tc>
        <w:tc>
          <w:tcPr>
            <w:tcW w:w="760" w:type="dxa"/>
            <w:vAlign w:val="bottom"/>
          </w:tcPr>
          <w:p>
            <w:pPr>
              <w:jc w:val="right"/>
              <w:spacing w:after="0"/>
              <w:rPr>
                <w:sz w:val="20"/>
                <w:szCs w:val="20"/>
                <w:color w:val="auto"/>
              </w:rPr>
            </w:pPr>
            <w:r>
              <w:rPr>
                <w:rFonts w:ascii="Arial" w:cs="Arial" w:eastAsia="Arial" w:hAnsi="Arial"/>
                <w:sz w:val="8"/>
                <w:szCs w:val="8"/>
                <w:color w:val="auto"/>
              </w:rPr>
              <w:t>(179)</w:t>
            </w:r>
          </w:p>
        </w:tc>
        <w:tc>
          <w:tcPr>
            <w:tcW w:w="0" w:type="dxa"/>
            <w:vAlign w:val="bottom"/>
          </w:tcPr>
          <w:p>
            <w:pPr>
              <w:spacing w:after="0"/>
              <w:rPr>
                <w:sz w:val="1"/>
                <w:szCs w:val="1"/>
                <w:color w:val="auto"/>
              </w:rPr>
            </w:pPr>
          </w:p>
        </w:tc>
      </w:tr>
      <w:tr>
        <w:trPr>
          <w:trHeight w:val="117"/>
        </w:trPr>
        <w:tc>
          <w:tcPr>
            <w:tcW w:w="2920" w:type="dxa"/>
            <w:vAlign w:val="bottom"/>
          </w:tcPr>
          <w:p>
            <w:pPr>
              <w:spacing w:after="0"/>
              <w:rPr>
                <w:sz w:val="20"/>
                <w:szCs w:val="20"/>
                <w:color w:val="auto"/>
              </w:rPr>
            </w:pPr>
            <w:r>
              <w:rPr>
                <w:rFonts w:ascii="Arial" w:cs="Arial" w:eastAsia="Arial" w:hAnsi="Arial"/>
                <w:sz w:val="8"/>
                <w:szCs w:val="8"/>
                <w:color w:val="auto"/>
              </w:rPr>
              <w:t>Remeasurements and other movements</w:t>
            </w:r>
          </w:p>
        </w:tc>
        <w:tc>
          <w:tcPr>
            <w:tcW w:w="2360" w:type="dxa"/>
            <w:vAlign w:val="bottom"/>
          </w:tcPr>
          <w:p>
            <w:pPr>
              <w:jc w:val="right"/>
              <w:ind w:right="118"/>
              <w:spacing w:after="0"/>
              <w:rPr>
                <w:sz w:val="20"/>
                <w:szCs w:val="20"/>
                <w:color w:val="auto"/>
              </w:rPr>
            </w:pPr>
            <w:r>
              <w:rPr>
                <w:rFonts w:ascii="Arial" w:cs="Arial" w:eastAsia="Arial" w:hAnsi="Arial"/>
                <w:sz w:val="8"/>
                <w:szCs w:val="8"/>
                <w:color w:val="auto"/>
              </w:rPr>
              <w:t>2,090</w:t>
            </w:r>
          </w:p>
        </w:tc>
        <w:tc>
          <w:tcPr>
            <w:tcW w:w="700" w:type="dxa"/>
            <w:vAlign w:val="bottom"/>
          </w:tcPr>
          <w:p>
            <w:pPr>
              <w:spacing w:after="0"/>
              <w:rPr>
                <w:sz w:val="10"/>
                <w:szCs w:val="10"/>
                <w:color w:val="auto"/>
              </w:rPr>
            </w:pPr>
          </w:p>
        </w:tc>
        <w:tc>
          <w:tcPr>
            <w:tcW w:w="1080" w:type="dxa"/>
            <w:vAlign w:val="bottom"/>
          </w:tcPr>
          <w:p>
            <w:pPr>
              <w:jc w:val="right"/>
              <w:ind w:right="398"/>
              <w:spacing w:after="0"/>
              <w:rPr>
                <w:sz w:val="20"/>
                <w:szCs w:val="20"/>
                <w:color w:val="auto"/>
              </w:rPr>
            </w:pPr>
            <w:r>
              <w:rPr>
                <w:rFonts w:ascii="Arial" w:cs="Arial" w:eastAsia="Arial" w:hAnsi="Arial"/>
                <w:sz w:val="8"/>
                <w:szCs w:val="8"/>
                <w:color w:val="auto"/>
              </w:rPr>
              <w:t>(59)</w:t>
            </w:r>
          </w:p>
        </w:tc>
        <w:tc>
          <w:tcPr>
            <w:tcW w:w="1240" w:type="dxa"/>
            <w:vAlign w:val="bottom"/>
          </w:tcPr>
          <w:p>
            <w:pPr>
              <w:jc w:val="right"/>
              <w:ind w:right="298"/>
              <w:spacing w:after="0"/>
              <w:rPr>
                <w:sz w:val="20"/>
                <w:szCs w:val="20"/>
                <w:color w:val="auto"/>
              </w:rPr>
            </w:pPr>
            <w:r>
              <w:rPr>
                <w:rFonts w:ascii="Arial" w:cs="Arial" w:eastAsia="Arial" w:hAnsi="Arial"/>
                <w:sz w:val="8"/>
                <w:szCs w:val="8"/>
                <w:color w:val="auto"/>
              </w:rPr>
              <w:t>(73)</w:t>
            </w:r>
          </w:p>
        </w:tc>
        <w:tc>
          <w:tcPr>
            <w:tcW w:w="1160" w:type="dxa"/>
            <w:vAlign w:val="bottom"/>
          </w:tcPr>
          <w:p>
            <w:pPr>
              <w:jc w:val="right"/>
              <w:ind w:right="398"/>
              <w:spacing w:after="0"/>
              <w:rPr>
                <w:sz w:val="20"/>
                <w:szCs w:val="20"/>
                <w:color w:val="auto"/>
              </w:rPr>
            </w:pPr>
            <w:r>
              <w:rPr>
                <w:rFonts w:ascii="Arial" w:cs="Arial" w:eastAsia="Arial" w:hAnsi="Arial"/>
                <w:sz w:val="8"/>
                <w:szCs w:val="8"/>
                <w:color w:val="auto"/>
              </w:rPr>
              <w:t>(241)</w:t>
            </w:r>
          </w:p>
        </w:tc>
        <w:tc>
          <w:tcPr>
            <w:tcW w:w="1080" w:type="dxa"/>
            <w:vAlign w:val="bottom"/>
          </w:tcPr>
          <w:p>
            <w:pPr>
              <w:jc w:val="right"/>
              <w:ind w:right="358"/>
              <w:spacing w:after="0"/>
              <w:rPr>
                <w:sz w:val="20"/>
                <w:szCs w:val="20"/>
                <w:color w:val="auto"/>
              </w:rPr>
            </w:pPr>
            <w:r>
              <w:rPr>
                <w:rFonts w:ascii="Arial" w:cs="Arial" w:eastAsia="Arial" w:hAnsi="Arial"/>
                <w:sz w:val="8"/>
                <w:szCs w:val="8"/>
                <w:color w:val="auto"/>
              </w:rPr>
              <w:t>(265)</w:t>
            </w: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1,452</w:t>
            </w:r>
          </w:p>
        </w:tc>
        <w:tc>
          <w:tcPr>
            <w:tcW w:w="0" w:type="dxa"/>
            <w:vAlign w:val="bottom"/>
          </w:tcPr>
          <w:p>
            <w:pPr>
              <w:spacing w:after="0"/>
              <w:rPr>
                <w:sz w:val="1"/>
                <w:szCs w:val="1"/>
                <w:color w:val="auto"/>
              </w:rPr>
            </w:pPr>
          </w:p>
        </w:tc>
      </w:tr>
      <w:tr>
        <w:trPr>
          <w:trHeight w:val="123"/>
        </w:trPr>
        <w:tc>
          <w:tcPr>
            <w:tcW w:w="292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Currency translation differences</w:t>
            </w:r>
          </w:p>
        </w:tc>
        <w:tc>
          <w:tcPr>
            <w:tcW w:w="23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508</w:t>
            </w:r>
          </w:p>
        </w:tc>
        <w:tc>
          <w:tcPr>
            <w:tcW w:w="7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1</w:t>
            </w:r>
          </w:p>
        </w:tc>
        <w:tc>
          <w:tcPr>
            <w:tcW w:w="1240" w:type="dxa"/>
            <w:vAlign w:val="bottom"/>
            <w:tcBorders>
              <w:bottom w:val="single" w:sz="8" w:color="auto"/>
            </w:tcBorders>
          </w:tcPr>
          <w:p>
            <w:pPr>
              <w:jc w:val="right"/>
              <w:ind w:right="318"/>
              <w:spacing w:after="0"/>
              <w:rPr>
                <w:sz w:val="20"/>
                <w:szCs w:val="20"/>
                <w:color w:val="auto"/>
              </w:rPr>
            </w:pPr>
            <w:r>
              <w:rPr>
                <w:rFonts w:ascii="Arial" w:cs="Arial" w:eastAsia="Arial" w:hAnsi="Arial"/>
                <w:sz w:val="8"/>
                <w:szCs w:val="8"/>
                <w:color w:val="auto"/>
              </w:rPr>
              <w:t>26</w:t>
            </w: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52</w:t>
            </w: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53</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640</w:t>
            </w:r>
          </w:p>
        </w:tc>
        <w:tc>
          <w:tcPr>
            <w:tcW w:w="0" w:type="dxa"/>
            <w:vAlign w:val="bottom"/>
          </w:tcPr>
          <w:p>
            <w:pPr>
              <w:spacing w:after="0"/>
              <w:rPr>
                <w:sz w:val="1"/>
                <w:szCs w:val="1"/>
                <w:color w:val="auto"/>
              </w:rPr>
            </w:pPr>
          </w:p>
        </w:tc>
      </w:tr>
      <w:tr>
        <w:trPr>
          <w:trHeight w:val="100"/>
        </w:trPr>
        <w:tc>
          <w:tcPr>
            <w:tcW w:w="2920" w:type="dxa"/>
            <w:vAlign w:val="bottom"/>
          </w:tcPr>
          <w:p>
            <w:pPr>
              <w:spacing w:after="0"/>
              <w:rPr>
                <w:sz w:val="8"/>
                <w:szCs w:val="8"/>
                <w:color w:val="auto"/>
              </w:rPr>
            </w:pPr>
          </w:p>
        </w:tc>
        <w:tc>
          <w:tcPr>
            <w:tcW w:w="2360" w:type="dxa"/>
            <w:vAlign w:val="bottom"/>
          </w:tcPr>
          <w:p>
            <w:pPr>
              <w:jc w:val="right"/>
              <w:ind w:right="118"/>
              <w:spacing w:after="0"/>
              <w:rPr>
                <w:sz w:val="20"/>
                <w:szCs w:val="20"/>
                <w:color w:val="auto"/>
              </w:rPr>
            </w:pPr>
            <w:r>
              <w:rPr>
                <w:rFonts w:ascii="Arial" w:cs="Arial" w:eastAsia="Arial" w:hAnsi="Arial"/>
                <w:sz w:val="8"/>
                <w:szCs w:val="8"/>
                <w:color w:val="auto"/>
              </w:rPr>
              <w:t>4,156</w:t>
            </w:r>
          </w:p>
        </w:tc>
        <w:tc>
          <w:tcPr>
            <w:tcW w:w="700" w:type="dxa"/>
            <w:vAlign w:val="bottom"/>
          </w:tcPr>
          <w:p>
            <w:pPr>
              <w:spacing w:after="0"/>
              <w:rPr>
                <w:sz w:val="8"/>
                <w:szCs w:val="8"/>
                <w:color w:val="auto"/>
              </w:rPr>
            </w:pPr>
          </w:p>
        </w:tc>
        <w:tc>
          <w:tcPr>
            <w:tcW w:w="1080" w:type="dxa"/>
            <w:vAlign w:val="bottom"/>
          </w:tcPr>
          <w:p>
            <w:pPr>
              <w:jc w:val="right"/>
              <w:ind w:right="398"/>
              <w:spacing w:after="0"/>
              <w:rPr>
                <w:sz w:val="20"/>
                <w:szCs w:val="20"/>
                <w:color w:val="auto"/>
              </w:rPr>
            </w:pPr>
            <w:r>
              <w:rPr>
                <w:rFonts w:ascii="Arial" w:cs="Arial" w:eastAsia="Arial" w:hAnsi="Arial"/>
                <w:sz w:val="8"/>
                <w:szCs w:val="8"/>
                <w:color w:val="auto"/>
              </w:rPr>
              <w:t>(61)</w:t>
            </w:r>
          </w:p>
        </w:tc>
        <w:tc>
          <w:tcPr>
            <w:tcW w:w="1240" w:type="dxa"/>
            <w:vAlign w:val="bottom"/>
          </w:tcPr>
          <w:p>
            <w:pPr>
              <w:jc w:val="right"/>
              <w:ind w:right="318"/>
              <w:spacing w:after="0"/>
              <w:rPr>
                <w:sz w:val="20"/>
                <w:szCs w:val="20"/>
                <w:color w:val="auto"/>
              </w:rPr>
            </w:pPr>
            <w:r>
              <w:rPr>
                <w:rFonts w:ascii="Arial" w:cs="Arial" w:eastAsia="Arial" w:hAnsi="Arial"/>
                <w:sz w:val="8"/>
                <w:szCs w:val="8"/>
                <w:color w:val="auto"/>
              </w:rPr>
              <w:t>28</w:t>
            </w:r>
          </w:p>
        </w:tc>
        <w:tc>
          <w:tcPr>
            <w:tcW w:w="1160" w:type="dxa"/>
            <w:vAlign w:val="bottom"/>
          </w:tcPr>
          <w:p>
            <w:pPr>
              <w:jc w:val="right"/>
              <w:ind w:right="418"/>
              <w:spacing w:after="0"/>
              <w:rPr>
                <w:sz w:val="20"/>
                <w:szCs w:val="20"/>
                <w:color w:val="auto"/>
              </w:rPr>
            </w:pPr>
            <w:r>
              <w:rPr>
                <w:rFonts w:ascii="Arial" w:cs="Arial" w:eastAsia="Arial" w:hAnsi="Arial"/>
                <w:sz w:val="8"/>
                <w:szCs w:val="8"/>
                <w:color w:val="auto"/>
              </w:rPr>
              <w:t>423</w:t>
            </w:r>
          </w:p>
        </w:tc>
        <w:tc>
          <w:tcPr>
            <w:tcW w:w="1080" w:type="dxa"/>
            <w:vAlign w:val="bottom"/>
          </w:tcPr>
          <w:p>
            <w:pPr>
              <w:jc w:val="right"/>
              <w:ind w:right="378"/>
              <w:spacing w:after="0"/>
              <w:rPr>
                <w:sz w:val="20"/>
                <w:szCs w:val="20"/>
                <w:color w:val="auto"/>
              </w:rPr>
            </w:pPr>
            <w:r>
              <w:rPr>
                <w:rFonts w:ascii="Arial" w:cs="Arial" w:eastAsia="Arial" w:hAnsi="Arial"/>
                <w:sz w:val="8"/>
                <w:szCs w:val="8"/>
                <w:color w:val="auto"/>
              </w:rPr>
              <w:t>1,778</w:t>
            </w: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6,324</w:t>
            </w:r>
          </w:p>
        </w:tc>
        <w:tc>
          <w:tcPr>
            <w:tcW w:w="0" w:type="dxa"/>
            <w:vAlign w:val="bottom"/>
          </w:tcPr>
          <w:p>
            <w:pPr>
              <w:spacing w:after="0"/>
              <w:rPr>
                <w:sz w:val="1"/>
                <w:szCs w:val="1"/>
                <w:color w:val="auto"/>
              </w:rPr>
            </w:pPr>
          </w:p>
        </w:tc>
      </w:tr>
      <w:tr>
        <w:trPr>
          <w:trHeight w:val="117"/>
        </w:trPr>
        <w:tc>
          <w:tcPr>
            <w:tcW w:w="2920" w:type="dxa"/>
            <w:vAlign w:val="bottom"/>
          </w:tcPr>
          <w:p>
            <w:pPr>
              <w:spacing w:after="0"/>
              <w:rPr>
                <w:sz w:val="20"/>
                <w:szCs w:val="20"/>
                <w:color w:val="auto"/>
              </w:rPr>
            </w:pPr>
            <w:r>
              <w:rPr>
                <w:rFonts w:ascii="Arial" w:cs="Arial" w:eastAsia="Arial" w:hAnsi="Arial"/>
                <w:sz w:val="8"/>
                <w:szCs w:val="8"/>
                <w:color w:val="auto"/>
              </w:rPr>
              <w:t>At December 31, 2020</w:t>
            </w:r>
          </w:p>
        </w:tc>
        <w:tc>
          <w:tcPr>
            <w:tcW w:w="2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920" w:type="dxa"/>
            <w:vAlign w:val="bottom"/>
          </w:tcPr>
          <w:p>
            <w:pPr>
              <w:ind w:left="120"/>
              <w:spacing w:after="0"/>
              <w:rPr>
                <w:sz w:val="20"/>
                <w:szCs w:val="20"/>
                <w:color w:val="auto"/>
              </w:rPr>
            </w:pPr>
            <w:r>
              <w:rPr>
                <w:rFonts w:ascii="Arial" w:cs="Arial" w:eastAsia="Arial" w:hAnsi="Arial"/>
                <w:sz w:val="8"/>
                <w:szCs w:val="8"/>
                <w:color w:val="auto"/>
              </w:rPr>
              <w:t>Current</w:t>
            </w:r>
          </w:p>
        </w:tc>
        <w:tc>
          <w:tcPr>
            <w:tcW w:w="2360" w:type="dxa"/>
            <w:vAlign w:val="bottom"/>
          </w:tcPr>
          <w:p>
            <w:pPr>
              <w:jc w:val="right"/>
              <w:ind w:right="118"/>
              <w:spacing w:after="0"/>
              <w:rPr>
                <w:sz w:val="20"/>
                <w:szCs w:val="20"/>
                <w:color w:val="auto"/>
              </w:rPr>
            </w:pPr>
            <w:r>
              <w:rPr>
                <w:rFonts w:ascii="Arial" w:cs="Arial" w:eastAsia="Arial" w:hAnsi="Arial"/>
                <w:sz w:val="8"/>
                <w:szCs w:val="8"/>
                <w:color w:val="auto"/>
              </w:rPr>
              <w:t>900</w:t>
            </w:r>
          </w:p>
        </w:tc>
        <w:tc>
          <w:tcPr>
            <w:tcW w:w="700" w:type="dxa"/>
            <w:vAlign w:val="bottom"/>
          </w:tcPr>
          <w:p>
            <w:pPr>
              <w:spacing w:after="0"/>
              <w:rPr>
                <w:sz w:val="10"/>
                <w:szCs w:val="10"/>
                <w:color w:val="auto"/>
              </w:rPr>
            </w:pPr>
          </w:p>
        </w:tc>
        <w:tc>
          <w:tcPr>
            <w:tcW w:w="1080" w:type="dxa"/>
            <w:vAlign w:val="bottom"/>
          </w:tcPr>
          <w:p>
            <w:pPr>
              <w:jc w:val="right"/>
              <w:ind w:right="418"/>
              <w:spacing w:after="0"/>
              <w:rPr>
                <w:sz w:val="20"/>
                <w:szCs w:val="20"/>
                <w:color w:val="auto"/>
              </w:rPr>
            </w:pPr>
            <w:r>
              <w:rPr>
                <w:rFonts w:ascii="Arial" w:cs="Arial" w:eastAsia="Arial" w:hAnsi="Arial"/>
                <w:sz w:val="8"/>
                <w:szCs w:val="8"/>
                <w:color w:val="auto"/>
              </w:rPr>
              <w:t>521</w:t>
            </w:r>
          </w:p>
        </w:tc>
        <w:tc>
          <w:tcPr>
            <w:tcW w:w="1240" w:type="dxa"/>
            <w:vAlign w:val="bottom"/>
          </w:tcPr>
          <w:p>
            <w:pPr>
              <w:jc w:val="right"/>
              <w:ind w:right="318"/>
              <w:spacing w:after="0"/>
              <w:rPr>
                <w:sz w:val="20"/>
                <w:szCs w:val="20"/>
                <w:color w:val="auto"/>
              </w:rPr>
            </w:pPr>
            <w:r>
              <w:rPr>
                <w:rFonts w:ascii="Arial" w:cs="Arial" w:eastAsia="Arial" w:hAnsi="Arial"/>
                <w:sz w:val="8"/>
                <w:szCs w:val="8"/>
                <w:color w:val="auto"/>
              </w:rPr>
              <w:t>273</w:t>
            </w:r>
          </w:p>
        </w:tc>
        <w:tc>
          <w:tcPr>
            <w:tcW w:w="1160" w:type="dxa"/>
            <w:vAlign w:val="bottom"/>
          </w:tcPr>
          <w:p>
            <w:pPr>
              <w:jc w:val="right"/>
              <w:ind w:right="418"/>
              <w:spacing w:after="0"/>
              <w:rPr>
                <w:sz w:val="20"/>
                <w:szCs w:val="20"/>
                <w:color w:val="auto"/>
              </w:rPr>
            </w:pPr>
            <w:r>
              <w:rPr>
                <w:rFonts w:ascii="Arial" w:cs="Arial" w:eastAsia="Arial" w:hAnsi="Arial"/>
                <w:sz w:val="8"/>
                <w:szCs w:val="8"/>
                <w:color w:val="auto"/>
              </w:rPr>
              <w:t>673</w:t>
            </w:r>
          </w:p>
        </w:tc>
        <w:tc>
          <w:tcPr>
            <w:tcW w:w="1080" w:type="dxa"/>
            <w:vAlign w:val="bottom"/>
          </w:tcPr>
          <w:p>
            <w:pPr>
              <w:jc w:val="right"/>
              <w:ind w:right="378"/>
              <w:spacing w:after="0"/>
              <w:rPr>
                <w:sz w:val="20"/>
                <w:szCs w:val="20"/>
                <w:color w:val="auto"/>
              </w:rPr>
            </w:pPr>
            <w:r>
              <w:rPr>
                <w:rFonts w:ascii="Arial" w:cs="Arial" w:eastAsia="Arial" w:hAnsi="Arial"/>
                <w:sz w:val="8"/>
                <w:szCs w:val="8"/>
                <w:color w:val="auto"/>
              </w:rPr>
              <w:t>1,257</w:t>
            </w: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3,624</w:t>
            </w:r>
          </w:p>
        </w:tc>
        <w:tc>
          <w:tcPr>
            <w:tcW w:w="0" w:type="dxa"/>
            <w:vAlign w:val="bottom"/>
          </w:tcPr>
          <w:p>
            <w:pPr>
              <w:spacing w:after="0"/>
              <w:rPr>
                <w:sz w:val="1"/>
                <w:szCs w:val="1"/>
                <w:color w:val="auto"/>
              </w:rPr>
            </w:pPr>
          </w:p>
        </w:tc>
      </w:tr>
      <w:tr>
        <w:trPr>
          <w:trHeight w:val="123"/>
        </w:trPr>
        <w:tc>
          <w:tcPr>
            <w:tcW w:w="2920" w:type="dxa"/>
            <w:vAlign w:val="bottom"/>
            <w:tcBorders>
              <w:bottom w:val="single" w:sz="8" w:color="auto"/>
            </w:tcBorders>
          </w:tcPr>
          <w:p>
            <w:pPr>
              <w:ind w:left="120"/>
              <w:spacing w:after="0"/>
              <w:rPr>
                <w:sz w:val="20"/>
                <w:szCs w:val="20"/>
                <w:color w:val="auto"/>
              </w:rPr>
            </w:pPr>
            <w:r>
              <w:rPr>
                <w:rFonts w:ascii="Arial" w:cs="Arial" w:eastAsia="Arial" w:hAnsi="Arial"/>
                <w:sz w:val="8"/>
                <w:szCs w:val="8"/>
                <w:color w:val="auto"/>
              </w:rPr>
              <w:t>Non-current</w:t>
            </w:r>
          </w:p>
        </w:tc>
        <w:tc>
          <w:tcPr>
            <w:tcW w:w="23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22,275</w:t>
            </w:r>
          </w:p>
        </w:tc>
        <w:tc>
          <w:tcPr>
            <w:tcW w:w="7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1,229</w:t>
            </w:r>
          </w:p>
        </w:tc>
        <w:tc>
          <w:tcPr>
            <w:tcW w:w="1240" w:type="dxa"/>
            <w:vAlign w:val="bottom"/>
            <w:tcBorders>
              <w:bottom w:val="single" w:sz="8" w:color="auto"/>
            </w:tcBorders>
          </w:tcPr>
          <w:p>
            <w:pPr>
              <w:jc w:val="right"/>
              <w:ind w:right="318"/>
              <w:spacing w:after="0"/>
              <w:rPr>
                <w:sz w:val="20"/>
                <w:szCs w:val="20"/>
                <w:color w:val="auto"/>
              </w:rPr>
            </w:pPr>
            <w:r>
              <w:rPr>
                <w:rFonts w:ascii="Arial" w:cs="Arial" w:eastAsia="Arial" w:hAnsi="Arial"/>
                <w:sz w:val="8"/>
                <w:szCs w:val="8"/>
                <w:color w:val="auto"/>
              </w:rPr>
              <w:t>952</w:t>
            </w: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265</w:t>
            </w: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2,589</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27,310</w:t>
            </w:r>
          </w:p>
        </w:tc>
        <w:tc>
          <w:tcPr>
            <w:tcW w:w="0" w:type="dxa"/>
            <w:vAlign w:val="bottom"/>
          </w:tcPr>
          <w:p>
            <w:pPr>
              <w:spacing w:after="0"/>
              <w:rPr>
                <w:sz w:val="1"/>
                <w:szCs w:val="1"/>
                <w:color w:val="auto"/>
              </w:rPr>
            </w:pPr>
          </w:p>
        </w:tc>
      </w:tr>
      <w:tr>
        <w:trPr>
          <w:trHeight w:val="106"/>
        </w:trPr>
        <w:tc>
          <w:tcPr>
            <w:tcW w:w="292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23,175</w:t>
            </w:r>
          </w:p>
        </w:tc>
        <w:tc>
          <w:tcPr>
            <w:tcW w:w="7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1,750</w:t>
            </w:r>
          </w:p>
        </w:tc>
        <w:tc>
          <w:tcPr>
            <w:tcW w:w="1240" w:type="dxa"/>
            <w:vAlign w:val="bottom"/>
            <w:tcBorders>
              <w:bottom w:val="single" w:sz="8" w:color="auto"/>
            </w:tcBorders>
          </w:tcPr>
          <w:p>
            <w:pPr>
              <w:jc w:val="right"/>
              <w:ind w:right="318"/>
              <w:spacing w:after="0"/>
              <w:rPr>
                <w:sz w:val="20"/>
                <w:szCs w:val="20"/>
                <w:color w:val="auto"/>
              </w:rPr>
            </w:pPr>
            <w:r>
              <w:rPr>
                <w:rFonts w:ascii="Arial" w:cs="Arial" w:eastAsia="Arial" w:hAnsi="Arial"/>
                <w:sz w:val="8"/>
                <w:szCs w:val="8"/>
                <w:color w:val="auto"/>
              </w:rPr>
              <w:t>1,225</w:t>
            </w: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938</w:t>
            </w: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3,846</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30,934</w:t>
            </w:r>
          </w:p>
        </w:tc>
        <w:tc>
          <w:tcPr>
            <w:tcW w:w="0" w:type="dxa"/>
            <w:vAlign w:val="bottom"/>
          </w:tcPr>
          <w:p>
            <w:pPr>
              <w:spacing w:after="0"/>
              <w:rPr>
                <w:sz w:val="1"/>
                <w:szCs w:val="1"/>
                <w:color w:val="auto"/>
              </w:rPr>
            </w:pPr>
          </w:p>
        </w:tc>
      </w:tr>
      <w:tr>
        <w:trPr>
          <w:trHeight w:val="235"/>
        </w:trPr>
        <w:tc>
          <w:tcPr>
            <w:tcW w:w="2920" w:type="dxa"/>
            <w:vAlign w:val="bottom"/>
          </w:tcPr>
          <w:p>
            <w:pPr>
              <w:spacing w:after="0"/>
              <w:rPr>
                <w:sz w:val="20"/>
                <w:szCs w:val="20"/>
                <w:color w:val="auto"/>
              </w:rPr>
            </w:pPr>
            <w:r>
              <w:rPr>
                <w:rFonts w:ascii="Arial" w:cs="Arial" w:eastAsia="Arial" w:hAnsi="Arial"/>
                <w:sz w:val="8"/>
                <w:szCs w:val="8"/>
                <w:color w:val="auto"/>
              </w:rPr>
              <w:t>At January 1, 2019</w:t>
            </w:r>
          </w:p>
        </w:tc>
        <w:tc>
          <w:tcPr>
            <w:tcW w:w="2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20"/>
                <w:szCs w:val="20"/>
                <w:color w:val="auto"/>
              </w:rPr>
            </w:pPr>
            <w:r>
              <w:rPr>
                <w:rFonts w:ascii="Arial" w:cs="Arial" w:eastAsia="Arial" w:hAnsi="Arial"/>
                <w:sz w:val="8"/>
                <w:szCs w:val="8"/>
                <w:color w:val="auto"/>
              </w:rPr>
              <w:t>Current</w:t>
            </w:r>
          </w:p>
        </w:tc>
        <w:tc>
          <w:tcPr>
            <w:tcW w:w="2360" w:type="dxa"/>
            <w:vAlign w:val="bottom"/>
          </w:tcPr>
          <w:p>
            <w:pPr>
              <w:jc w:val="right"/>
              <w:ind w:right="118"/>
              <w:spacing w:after="0"/>
              <w:rPr>
                <w:sz w:val="20"/>
                <w:szCs w:val="20"/>
                <w:color w:val="auto"/>
              </w:rPr>
            </w:pPr>
            <w:r>
              <w:rPr>
                <w:rFonts w:ascii="Arial" w:cs="Arial" w:eastAsia="Arial" w:hAnsi="Arial"/>
                <w:sz w:val="8"/>
                <w:szCs w:val="8"/>
                <w:color w:val="auto"/>
              </w:rPr>
              <w:t>876</w:t>
            </w:r>
          </w:p>
        </w:tc>
        <w:tc>
          <w:tcPr>
            <w:tcW w:w="700" w:type="dxa"/>
            <w:vAlign w:val="bottom"/>
          </w:tcPr>
          <w:p>
            <w:pPr>
              <w:spacing w:after="0"/>
              <w:rPr>
                <w:sz w:val="10"/>
                <w:szCs w:val="10"/>
                <w:color w:val="auto"/>
              </w:rPr>
            </w:pPr>
          </w:p>
        </w:tc>
        <w:tc>
          <w:tcPr>
            <w:tcW w:w="1080" w:type="dxa"/>
            <w:vAlign w:val="bottom"/>
          </w:tcPr>
          <w:p>
            <w:pPr>
              <w:jc w:val="right"/>
              <w:ind w:right="418"/>
              <w:spacing w:after="0"/>
              <w:rPr>
                <w:sz w:val="20"/>
                <w:szCs w:val="20"/>
                <w:color w:val="auto"/>
              </w:rPr>
            </w:pPr>
            <w:r>
              <w:rPr>
                <w:rFonts w:ascii="Arial" w:cs="Arial" w:eastAsia="Arial" w:hAnsi="Arial"/>
                <w:sz w:val="8"/>
                <w:szCs w:val="8"/>
                <w:color w:val="auto"/>
              </w:rPr>
              <w:t>213</w:t>
            </w:r>
          </w:p>
        </w:tc>
        <w:tc>
          <w:tcPr>
            <w:tcW w:w="1240" w:type="dxa"/>
            <w:vAlign w:val="bottom"/>
          </w:tcPr>
          <w:p>
            <w:pPr>
              <w:jc w:val="right"/>
              <w:ind w:right="318"/>
              <w:spacing w:after="0"/>
              <w:rPr>
                <w:sz w:val="20"/>
                <w:szCs w:val="20"/>
                <w:color w:val="auto"/>
              </w:rPr>
            </w:pPr>
            <w:r>
              <w:rPr>
                <w:rFonts w:ascii="Arial" w:cs="Arial" w:eastAsia="Arial" w:hAnsi="Arial"/>
                <w:sz w:val="8"/>
                <w:szCs w:val="8"/>
                <w:color w:val="auto"/>
              </w:rPr>
              <w:t>264</w:t>
            </w:r>
          </w:p>
        </w:tc>
        <w:tc>
          <w:tcPr>
            <w:tcW w:w="1160" w:type="dxa"/>
            <w:vAlign w:val="bottom"/>
          </w:tcPr>
          <w:p>
            <w:pPr>
              <w:jc w:val="right"/>
              <w:ind w:right="418"/>
              <w:spacing w:after="0"/>
              <w:rPr>
                <w:sz w:val="20"/>
                <w:szCs w:val="20"/>
                <w:color w:val="auto"/>
              </w:rPr>
            </w:pPr>
            <w:r>
              <w:rPr>
                <w:rFonts w:ascii="Arial" w:cs="Arial" w:eastAsia="Arial" w:hAnsi="Arial"/>
                <w:sz w:val="8"/>
                <w:szCs w:val="8"/>
                <w:color w:val="auto"/>
              </w:rPr>
              <w:t>441</w:t>
            </w:r>
          </w:p>
        </w:tc>
        <w:tc>
          <w:tcPr>
            <w:tcW w:w="1080" w:type="dxa"/>
            <w:vAlign w:val="bottom"/>
          </w:tcPr>
          <w:p>
            <w:pPr>
              <w:jc w:val="right"/>
              <w:ind w:right="378"/>
              <w:spacing w:after="0"/>
              <w:rPr>
                <w:sz w:val="20"/>
                <w:szCs w:val="20"/>
                <w:color w:val="auto"/>
              </w:rPr>
            </w:pPr>
            <w:r>
              <w:rPr>
                <w:rFonts w:ascii="Arial" w:cs="Arial" w:eastAsia="Arial" w:hAnsi="Arial"/>
                <w:sz w:val="8"/>
                <w:szCs w:val="8"/>
                <w:color w:val="auto"/>
              </w:rPr>
              <w:t>1,547</w:t>
            </w: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3,341</w:t>
            </w:r>
          </w:p>
        </w:tc>
        <w:tc>
          <w:tcPr>
            <w:tcW w:w="0" w:type="dxa"/>
            <w:vAlign w:val="bottom"/>
          </w:tcPr>
          <w:p>
            <w:pPr>
              <w:spacing w:after="0"/>
              <w:rPr>
                <w:sz w:val="1"/>
                <w:szCs w:val="1"/>
                <w:color w:val="auto"/>
              </w:rPr>
            </w:pPr>
          </w:p>
        </w:tc>
      </w:tr>
      <w:tr>
        <w:trPr>
          <w:trHeight w:val="123"/>
        </w:trPr>
        <w:tc>
          <w:tcPr>
            <w:tcW w:w="292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Non-current</w:t>
            </w:r>
          </w:p>
        </w:tc>
        <w:tc>
          <w:tcPr>
            <w:tcW w:w="23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17,057</w:t>
            </w:r>
          </w:p>
        </w:tc>
        <w:tc>
          <w:tcPr>
            <w:tcW w:w="7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1,247</w:t>
            </w:r>
          </w:p>
        </w:tc>
        <w:tc>
          <w:tcPr>
            <w:tcW w:w="1240" w:type="dxa"/>
            <w:vAlign w:val="bottom"/>
            <w:tcBorders>
              <w:bottom w:val="single" w:sz="8" w:color="auto"/>
            </w:tcBorders>
          </w:tcPr>
          <w:p>
            <w:pPr>
              <w:jc w:val="right"/>
              <w:ind w:right="318"/>
              <w:spacing w:after="0"/>
              <w:rPr>
                <w:sz w:val="20"/>
                <w:szCs w:val="20"/>
                <w:color w:val="auto"/>
              </w:rPr>
            </w:pPr>
            <w:r>
              <w:rPr>
                <w:rFonts w:ascii="Arial" w:cs="Arial" w:eastAsia="Arial" w:hAnsi="Arial"/>
                <w:sz w:val="8"/>
                <w:szCs w:val="8"/>
                <w:color w:val="auto"/>
              </w:rPr>
              <w:t>1,074</w:t>
            </w: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280</w:t>
            </w: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1,528</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21,186</w:t>
            </w:r>
          </w:p>
        </w:tc>
        <w:tc>
          <w:tcPr>
            <w:tcW w:w="0" w:type="dxa"/>
            <w:vAlign w:val="bottom"/>
          </w:tcPr>
          <w:p>
            <w:pPr>
              <w:spacing w:after="0"/>
              <w:rPr>
                <w:sz w:val="1"/>
                <w:szCs w:val="1"/>
                <w:color w:val="auto"/>
              </w:rPr>
            </w:pPr>
          </w:p>
        </w:tc>
      </w:tr>
      <w:tr>
        <w:trPr>
          <w:trHeight w:val="106"/>
        </w:trPr>
        <w:tc>
          <w:tcPr>
            <w:tcW w:w="292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17,933</w:t>
            </w:r>
          </w:p>
        </w:tc>
        <w:tc>
          <w:tcPr>
            <w:tcW w:w="7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1,460</w:t>
            </w:r>
          </w:p>
        </w:tc>
        <w:tc>
          <w:tcPr>
            <w:tcW w:w="1240" w:type="dxa"/>
            <w:vAlign w:val="bottom"/>
            <w:tcBorders>
              <w:bottom w:val="single" w:sz="8" w:color="auto"/>
            </w:tcBorders>
          </w:tcPr>
          <w:p>
            <w:pPr>
              <w:jc w:val="right"/>
              <w:ind w:right="318"/>
              <w:spacing w:after="0"/>
              <w:rPr>
                <w:sz w:val="20"/>
                <w:szCs w:val="20"/>
                <w:color w:val="auto"/>
              </w:rPr>
            </w:pPr>
            <w:r>
              <w:rPr>
                <w:rFonts w:ascii="Arial" w:cs="Arial" w:eastAsia="Arial" w:hAnsi="Arial"/>
                <w:sz w:val="8"/>
                <w:szCs w:val="8"/>
                <w:color w:val="auto"/>
              </w:rPr>
              <w:t>1,338</w:t>
            </w: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721</w:t>
            </w: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3,075</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24,527</w:t>
            </w:r>
          </w:p>
        </w:tc>
        <w:tc>
          <w:tcPr>
            <w:tcW w:w="0" w:type="dxa"/>
            <w:vAlign w:val="bottom"/>
          </w:tcPr>
          <w:p>
            <w:pPr>
              <w:spacing w:after="0"/>
              <w:rPr>
                <w:sz w:val="1"/>
                <w:szCs w:val="1"/>
                <w:color w:val="auto"/>
              </w:rPr>
            </w:pPr>
          </w:p>
        </w:tc>
      </w:tr>
      <w:tr>
        <w:trPr>
          <w:trHeight w:val="100"/>
        </w:trPr>
        <w:tc>
          <w:tcPr>
            <w:tcW w:w="2920" w:type="dxa"/>
            <w:vAlign w:val="bottom"/>
          </w:tcPr>
          <w:p>
            <w:pPr>
              <w:spacing w:after="0"/>
              <w:rPr>
                <w:sz w:val="20"/>
                <w:szCs w:val="20"/>
                <w:color w:val="auto"/>
              </w:rPr>
            </w:pPr>
            <w:r>
              <w:rPr>
                <w:rFonts w:ascii="Arial" w:cs="Arial" w:eastAsia="Arial" w:hAnsi="Arial"/>
                <w:sz w:val="8"/>
                <w:szCs w:val="8"/>
                <w:color w:val="auto"/>
              </w:rPr>
              <w:t>Additions</w:t>
            </w:r>
          </w:p>
        </w:tc>
        <w:tc>
          <w:tcPr>
            <w:tcW w:w="2360" w:type="dxa"/>
            <w:vAlign w:val="bottom"/>
          </w:tcPr>
          <w:p>
            <w:pPr>
              <w:jc w:val="right"/>
              <w:ind w:right="118"/>
              <w:spacing w:after="0"/>
              <w:rPr>
                <w:sz w:val="20"/>
                <w:szCs w:val="20"/>
                <w:color w:val="auto"/>
              </w:rPr>
            </w:pPr>
            <w:r>
              <w:rPr>
                <w:rFonts w:ascii="Arial" w:cs="Arial" w:eastAsia="Arial" w:hAnsi="Arial"/>
                <w:sz w:val="8"/>
                <w:szCs w:val="8"/>
                <w:color w:val="auto"/>
              </w:rPr>
              <w:t>625</w:t>
            </w:r>
          </w:p>
        </w:tc>
        <w:tc>
          <w:tcPr>
            <w:tcW w:w="700" w:type="dxa"/>
            <w:vAlign w:val="bottom"/>
          </w:tcPr>
          <w:p>
            <w:pPr>
              <w:spacing w:after="0"/>
              <w:rPr>
                <w:sz w:val="8"/>
                <w:szCs w:val="8"/>
                <w:color w:val="auto"/>
              </w:rPr>
            </w:pPr>
          </w:p>
        </w:tc>
        <w:tc>
          <w:tcPr>
            <w:tcW w:w="1080" w:type="dxa"/>
            <w:vAlign w:val="bottom"/>
          </w:tcPr>
          <w:p>
            <w:pPr>
              <w:jc w:val="right"/>
              <w:ind w:right="418"/>
              <w:spacing w:after="0"/>
              <w:rPr>
                <w:sz w:val="20"/>
                <w:szCs w:val="20"/>
                <w:color w:val="auto"/>
              </w:rPr>
            </w:pPr>
            <w:r>
              <w:rPr>
                <w:rFonts w:ascii="Arial" w:cs="Arial" w:eastAsia="Arial" w:hAnsi="Arial"/>
                <w:sz w:val="8"/>
                <w:szCs w:val="8"/>
                <w:color w:val="auto"/>
              </w:rPr>
              <w:t>585</w:t>
            </w:r>
          </w:p>
        </w:tc>
        <w:tc>
          <w:tcPr>
            <w:tcW w:w="1240" w:type="dxa"/>
            <w:vAlign w:val="bottom"/>
          </w:tcPr>
          <w:p>
            <w:pPr>
              <w:jc w:val="right"/>
              <w:ind w:right="318"/>
              <w:spacing w:after="0"/>
              <w:rPr>
                <w:sz w:val="20"/>
                <w:szCs w:val="20"/>
                <w:color w:val="auto"/>
              </w:rPr>
            </w:pPr>
            <w:r>
              <w:rPr>
                <w:rFonts w:ascii="Arial" w:cs="Arial" w:eastAsia="Arial" w:hAnsi="Arial"/>
                <w:sz w:val="8"/>
                <w:szCs w:val="8"/>
                <w:color w:val="auto"/>
              </w:rPr>
              <w:t>229</w:t>
            </w:r>
          </w:p>
        </w:tc>
        <w:tc>
          <w:tcPr>
            <w:tcW w:w="1160" w:type="dxa"/>
            <w:vAlign w:val="bottom"/>
          </w:tcPr>
          <w:p>
            <w:pPr>
              <w:jc w:val="right"/>
              <w:ind w:right="418"/>
              <w:spacing w:after="0"/>
              <w:rPr>
                <w:sz w:val="20"/>
                <w:szCs w:val="20"/>
                <w:color w:val="auto"/>
              </w:rPr>
            </w:pPr>
            <w:r>
              <w:rPr>
                <w:rFonts w:ascii="Arial" w:cs="Arial" w:eastAsia="Arial" w:hAnsi="Arial"/>
                <w:sz w:val="8"/>
                <w:szCs w:val="8"/>
                <w:color w:val="auto"/>
              </w:rPr>
              <w:t>290</w:t>
            </w:r>
          </w:p>
        </w:tc>
        <w:tc>
          <w:tcPr>
            <w:tcW w:w="1080" w:type="dxa"/>
            <w:vAlign w:val="bottom"/>
          </w:tcPr>
          <w:p>
            <w:pPr>
              <w:jc w:val="right"/>
              <w:ind w:right="378"/>
              <w:spacing w:after="0"/>
              <w:rPr>
                <w:sz w:val="20"/>
                <w:szCs w:val="20"/>
                <w:color w:val="auto"/>
              </w:rPr>
            </w:pPr>
            <w:r>
              <w:rPr>
                <w:rFonts w:ascii="Arial" w:cs="Arial" w:eastAsia="Arial" w:hAnsi="Arial"/>
                <w:sz w:val="8"/>
                <w:szCs w:val="8"/>
                <w:color w:val="auto"/>
              </w:rPr>
              <w:t>535</w:t>
            </w: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2,264</w:t>
            </w:r>
          </w:p>
        </w:tc>
        <w:tc>
          <w:tcPr>
            <w:tcW w:w="0" w:type="dxa"/>
            <w:vAlign w:val="bottom"/>
          </w:tcPr>
          <w:p>
            <w:pPr>
              <w:spacing w:after="0"/>
              <w:rPr>
                <w:sz w:val="1"/>
                <w:szCs w:val="1"/>
                <w:color w:val="auto"/>
              </w:rPr>
            </w:pPr>
          </w:p>
        </w:tc>
      </w:tr>
      <w:tr>
        <w:trPr>
          <w:trHeight w:val="117"/>
        </w:trPr>
        <w:tc>
          <w:tcPr>
            <w:tcW w:w="2920" w:type="dxa"/>
            <w:vAlign w:val="bottom"/>
          </w:tcPr>
          <w:p>
            <w:pPr>
              <w:spacing w:after="0"/>
              <w:rPr>
                <w:sz w:val="20"/>
                <w:szCs w:val="20"/>
                <w:color w:val="auto"/>
              </w:rPr>
            </w:pPr>
            <w:r>
              <w:rPr>
                <w:rFonts w:ascii="Arial" w:cs="Arial" w:eastAsia="Arial" w:hAnsi="Arial"/>
                <w:sz w:val="8"/>
                <w:szCs w:val="8"/>
                <w:color w:val="auto"/>
              </w:rPr>
              <w:t>Amounts charged against provisions</w:t>
            </w:r>
          </w:p>
        </w:tc>
        <w:tc>
          <w:tcPr>
            <w:tcW w:w="2360" w:type="dxa"/>
            <w:vAlign w:val="bottom"/>
          </w:tcPr>
          <w:p>
            <w:pPr>
              <w:jc w:val="right"/>
              <w:ind w:right="98"/>
              <w:spacing w:after="0"/>
              <w:rPr>
                <w:sz w:val="20"/>
                <w:szCs w:val="20"/>
                <w:color w:val="auto"/>
              </w:rPr>
            </w:pPr>
            <w:r>
              <w:rPr>
                <w:rFonts w:ascii="Arial" w:cs="Arial" w:eastAsia="Arial" w:hAnsi="Arial"/>
                <w:sz w:val="8"/>
                <w:szCs w:val="8"/>
                <w:color w:val="auto"/>
              </w:rPr>
              <w:t>(797)</w:t>
            </w:r>
          </w:p>
        </w:tc>
        <w:tc>
          <w:tcPr>
            <w:tcW w:w="700" w:type="dxa"/>
            <w:vAlign w:val="bottom"/>
          </w:tcPr>
          <w:p>
            <w:pPr>
              <w:spacing w:after="0"/>
              <w:rPr>
                <w:sz w:val="10"/>
                <w:szCs w:val="10"/>
                <w:color w:val="auto"/>
              </w:rPr>
            </w:pPr>
          </w:p>
        </w:tc>
        <w:tc>
          <w:tcPr>
            <w:tcW w:w="1080" w:type="dxa"/>
            <w:vAlign w:val="bottom"/>
          </w:tcPr>
          <w:p>
            <w:pPr>
              <w:jc w:val="right"/>
              <w:ind w:right="398"/>
              <w:spacing w:after="0"/>
              <w:rPr>
                <w:sz w:val="20"/>
                <w:szCs w:val="20"/>
                <w:color w:val="auto"/>
              </w:rPr>
            </w:pPr>
            <w:r>
              <w:rPr>
                <w:rFonts w:ascii="Arial" w:cs="Arial" w:eastAsia="Arial" w:hAnsi="Arial"/>
                <w:sz w:val="8"/>
                <w:szCs w:val="8"/>
                <w:color w:val="auto"/>
              </w:rPr>
              <w:t>(216)</w:t>
            </w:r>
          </w:p>
        </w:tc>
        <w:tc>
          <w:tcPr>
            <w:tcW w:w="1240" w:type="dxa"/>
            <w:vAlign w:val="bottom"/>
          </w:tcPr>
          <w:p>
            <w:pPr>
              <w:jc w:val="right"/>
              <w:ind w:right="298"/>
              <w:spacing w:after="0"/>
              <w:rPr>
                <w:sz w:val="20"/>
                <w:szCs w:val="20"/>
                <w:color w:val="auto"/>
              </w:rPr>
            </w:pPr>
            <w:r>
              <w:rPr>
                <w:rFonts w:ascii="Arial" w:cs="Arial" w:eastAsia="Arial" w:hAnsi="Arial"/>
                <w:sz w:val="8"/>
                <w:szCs w:val="8"/>
                <w:color w:val="auto"/>
              </w:rPr>
              <w:t>(223)</w:t>
            </w:r>
          </w:p>
        </w:tc>
        <w:tc>
          <w:tcPr>
            <w:tcW w:w="1160" w:type="dxa"/>
            <w:vAlign w:val="bottom"/>
          </w:tcPr>
          <w:p>
            <w:pPr>
              <w:jc w:val="right"/>
              <w:ind w:right="398"/>
              <w:spacing w:after="0"/>
              <w:rPr>
                <w:sz w:val="20"/>
                <w:szCs w:val="20"/>
                <w:color w:val="auto"/>
              </w:rPr>
            </w:pPr>
            <w:r>
              <w:rPr>
                <w:rFonts w:ascii="Arial" w:cs="Arial" w:eastAsia="Arial" w:hAnsi="Arial"/>
                <w:sz w:val="8"/>
                <w:szCs w:val="8"/>
                <w:color w:val="auto"/>
              </w:rPr>
              <w:t>(304)</w:t>
            </w:r>
          </w:p>
        </w:tc>
        <w:tc>
          <w:tcPr>
            <w:tcW w:w="1080" w:type="dxa"/>
            <w:vAlign w:val="bottom"/>
          </w:tcPr>
          <w:p>
            <w:pPr>
              <w:jc w:val="right"/>
              <w:ind w:right="358"/>
              <w:spacing w:after="0"/>
              <w:rPr>
                <w:sz w:val="20"/>
                <w:szCs w:val="20"/>
                <w:color w:val="auto"/>
              </w:rPr>
            </w:pPr>
            <w:r>
              <w:rPr>
                <w:rFonts w:ascii="Arial" w:cs="Arial" w:eastAsia="Arial" w:hAnsi="Arial"/>
                <w:sz w:val="8"/>
                <w:szCs w:val="8"/>
                <w:color w:val="auto"/>
              </w:rPr>
              <w:t>(562)</w:t>
            </w:r>
          </w:p>
        </w:tc>
        <w:tc>
          <w:tcPr>
            <w:tcW w:w="760" w:type="dxa"/>
            <w:vAlign w:val="bottom"/>
          </w:tcPr>
          <w:p>
            <w:pPr>
              <w:jc w:val="right"/>
              <w:spacing w:after="0"/>
              <w:rPr>
                <w:sz w:val="20"/>
                <w:szCs w:val="20"/>
                <w:color w:val="auto"/>
              </w:rPr>
            </w:pPr>
            <w:r>
              <w:rPr>
                <w:rFonts w:ascii="Arial" w:cs="Arial" w:eastAsia="Arial" w:hAnsi="Arial"/>
                <w:sz w:val="8"/>
                <w:szCs w:val="8"/>
                <w:color w:val="auto"/>
              </w:rPr>
              <w:t>(2,102)</w:t>
            </w:r>
          </w:p>
        </w:tc>
        <w:tc>
          <w:tcPr>
            <w:tcW w:w="0" w:type="dxa"/>
            <w:vAlign w:val="bottom"/>
          </w:tcPr>
          <w:p>
            <w:pPr>
              <w:spacing w:after="0"/>
              <w:rPr>
                <w:sz w:val="1"/>
                <w:szCs w:val="1"/>
                <w:color w:val="auto"/>
              </w:rPr>
            </w:pPr>
          </w:p>
        </w:tc>
      </w:tr>
      <w:tr>
        <w:trPr>
          <w:trHeight w:val="117"/>
        </w:trPr>
        <w:tc>
          <w:tcPr>
            <w:tcW w:w="2920" w:type="dxa"/>
            <w:vAlign w:val="bottom"/>
          </w:tcPr>
          <w:p>
            <w:pPr>
              <w:spacing w:after="0"/>
              <w:rPr>
                <w:sz w:val="20"/>
                <w:szCs w:val="20"/>
                <w:color w:val="auto"/>
              </w:rPr>
            </w:pPr>
            <w:r>
              <w:rPr>
                <w:rFonts w:ascii="Arial" w:cs="Arial" w:eastAsia="Arial" w:hAnsi="Arial"/>
                <w:sz w:val="8"/>
                <w:szCs w:val="8"/>
                <w:color w:val="auto"/>
              </w:rPr>
              <w:t>Accretion expense</w:t>
            </w:r>
          </w:p>
        </w:tc>
        <w:tc>
          <w:tcPr>
            <w:tcW w:w="2360" w:type="dxa"/>
            <w:vAlign w:val="bottom"/>
          </w:tcPr>
          <w:p>
            <w:pPr>
              <w:jc w:val="right"/>
              <w:ind w:right="118"/>
              <w:spacing w:after="0"/>
              <w:rPr>
                <w:sz w:val="20"/>
                <w:szCs w:val="20"/>
                <w:color w:val="auto"/>
              </w:rPr>
            </w:pPr>
            <w:r>
              <w:rPr>
                <w:rFonts w:ascii="Arial" w:cs="Arial" w:eastAsia="Arial" w:hAnsi="Arial"/>
                <w:sz w:val="8"/>
                <w:szCs w:val="8"/>
                <w:color w:val="auto"/>
              </w:rPr>
              <w:t>644</w:t>
            </w:r>
          </w:p>
        </w:tc>
        <w:tc>
          <w:tcPr>
            <w:tcW w:w="700" w:type="dxa"/>
            <w:vAlign w:val="bottom"/>
          </w:tcPr>
          <w:p>
            <w:pPr>
              <w:spacing w:after="0"/>
              <w:rPr>
                <w:sz w:val="10"/>
                <w:szCs w:val="10"/>
                <w:color w:val="auto"/>
              </w:rPr>
            </w:pPr>
          </w:p>
        </w:tc>
        <w:tc>
          <w:tcPr>
            <w:tcW w:w="1080" w:type="dxa"/>
            <w:vAlign w:val="bottom"/>
          </w:tcPr>
          <w:p>
            <w:pPr>
              <w:jc w:val="right"/>
              <w:ind w:right="418"/>
              <w:spacing w:after="0"/>
              <w:rPr>
                <w:sz w:val="20"/>
                <w:szCs w:val="20"/>
                <w:color w:val="auto"/>
              </w:rPr>
            </w:pPr>
            <w:r>
              <w:rPr>
                <w:rFonts w:ascii="Arial" w:cs="Arial" w:eastAsia="Arial" w:hAnsi="Arial"/>
                <w:sz w:val="8"/>
                <w:szCs w:val="8"/>
                <w:color w:val="auto"/>
              </w:rPr>
              <w:t>28</w:t>
            </w:r>
          </w:p>
        </w:tc>
        <w:tc>
          <w:tcPr>
            <w:tcW w:w="1240" w:type="dxa"/>
            <w:vAlign w:val="bottom"/>
          </w:tcPr>
          <w:p>
            <w:pPr>
              <w:jc w:val="right"/>
              <w:ind w:right="318"/>
              <w:spacing w:after="0"/>
              <w:rPr>
                <w:sz w:val="20"/>
                <w:szCs w:val="20"/>
                <w:color w:val="auto"/>
              </w:rPr>
            </w:pPr>
            <w:r>
              <w:rPr>
                <w:rFonts w:ascii="Arial" w:cs="Arial" w:eastAsia="Arial" w:hAnsi="Arial"/>
                <w:sz w:val="8"/>
                <w:szCs w:val="8"/>
                <w:color w:val="auto"/>
              </w:rPr>
              <w:t>16</w:t>
            </w:r>
          </w:p>
        </w:tc>
        <w:tc>
          <w:tcPr>
            <w:tcW w:w="1160" w:type="dxa"/>
            <w:vAlign w:val="bottom"/>
          </w:tcPr>
          <w:p>
            <w:pPr>
              <w:jc w:val="right"/>
              <w:ind w:right="418"/>
              <w:spacing w:after="0"/>
              <w:rPr>
                <w:sz w:val="20"/>
                <w:szCs w:val="20"/>
                <w:color w:val="auto"/>
              </w:rPr>
            </w:pPr>
            <w:r>
              <w:rPr>
                <w:rFonts w:ascii="Arial" w:cs="Arial" w:eastAsia="Arial" w:hAnsi="Arial"/>
                <w:sz w:val="8"/>
                <w:szCs w:val="8"/>
                <w:color w:val="auto"/>
              </w:rPr>
              <w:t>3</w:t>
            </w:r>
          </w:p>
        </w:tc>
        <w:tc>
          <w:tcPr>
            <w:tcW w:w="1080" w:type="dxa"/>
            <w:vAlign w:val="bottom"/>
          </w:tcPr>
          <w:p>
            <w:pPr>
              <w:jc w:val="right"/>
              <w:ind w:right="378"/>
              <w:spacing w:after="0"/>
              <w:rPr>
                <w:sz w:val="20"/>
                <w:szCs w:val="20"/>
                <w:color w:val="auto"/>
              </w:rPr>
            </w:pPr>
            <w:r>
              <w:rPr>
                <w:rFonts w:ascii="Arial" w:cs="Arial" w:eastAsia="Arial" w:hAnsi="Arial"/>
                <w:sz w:val="8"/>
                <w:szCs w:val="8"/>
                <w:color w:val="auto"/>
              </w:rPr>
              <w:t>25</w:t>
            </w: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716</w:t>
            </w:r>
          </w:p>
        </w:tc>
        <w:tc>
          <w:tcPr>
            <w:tcW w:w="0" w:type="dxa"/>
            <w:vAlign w:val="bottom"/>
          </w:tcPr>
          <w:p>
            <w:pPr>
              <w:spacing w:after="0"/>
              <w:rPr>
                <w:sz w:val="1"/>
                <w:szCs w:val="1"/>
                <w:color w:val="auto"/>
              </w:rPr>
            </w:pPr>
          </w:p>
        </w:tc>
      </w:tr>
      <w:tr>
        <w:trPr>
          <w:trHeight w:val="117"/>
        </w:trPr>
        <w:tc>
          <w:tcPr>
            <w:tcW w:w="2920" w:type="dxa"/>
            <w:vAlign w:val="bottom"/>
          </w:tcPr>
          <w:p>
            <w:pPr>
              <w:spacing w:after="0"/>
              <w:rPr>
                <w:sz w:val="20"/>
                <w:szCs w:val="20"/>
                <w:color w:val="auto"/>
              </w:rPr>
            </w:pPr>
            <w:r>
              <w:rPr>
                <w:rFonts w:ascii="Arial" w:cs="Arial" w:eastAsia="Arial" w:hAnsi="Arial"/>
                <w:sz w:val="8"/>
                <w:szCs w:val="8"/>
                <w:color w:val="auto"/>
              </w:rPr>
              <w:t>Disposals</w:t>
            </w:r>
          </w:p>
        </w:tc>
        <w:tc>
          <w:tcPr>
            <w:tcW w:w="2360" w:type="dxa"/>
            <w:vAlign w:val="bottom"/>
          </w:tcPr>
          <w:p>
            <w:pPr>
              <w:jc w:val="right"/>
              <w:ind w:right="98"/>
              <w:spacing w:after="0"/>
              <w:rPr>
                <w:sz w:val="20"/>
                <w:szCs w:val="20"/>
                <w:color w:val="auto"/>
              </w:rPr>
            </w:pPr>
            <w:r>
              <w:rPr>
                <w:rFonts w:ascii="Arial" w:cs="Arial" w:eastAsia="Arial" w:hAnsi="Arial"/>
                <w:sz w:val="8"/>
                <w:szCs w:val="8"/>
                <w:color w:val="auto"/>
              </w:rPr>
              <w:t>(1,238)</w:t>
            </w:r>
          </w:p>
        </w:tc>
        <w:tc>
          <w:tcPr>
            <w:tcW w:w="700" w:type="dxa"/>
            <w:vAlign w:val="bottom"/>
          </w:tcPr>
          <w:p>
            <w:pPr>
              <w:spacing w:after="0"/>
              <w:rPr>
                <w:sz w:val="10"/>
                <w:szCs w:val="10"/>
                <w:color w:val="auto"/>
              </w:rPr>
            </w:pPr>
          </w:p>
        </w:tc>
        <w:tc>
          <w:tcPr>
            <w:tcW w:w="1080" w:type="dxa"/>
            <w:vAlign w:val="bottom"/>
          </w:tcPr>
          <w:p>
            <w:pPr>
              <w:jc w:val="right"/>
              <w:ind w:right="418"/>
              <w:spacing w:after="0"/>
              <w:rPr>
                <w:sz w:val="20"/>
                <w:szCs w:val="20"/>
                <w:color w:val="auto"/>
              </w:rPr>
            </w:pPr>
            <w:r>
              <w:rPr>
                <w:rFonts w:ascii="Arial" w:cs="Arial" w:eastAsia="Arial" w:hAnsi="Arial"/>
                <w:sz w:val="8"/>
                <w:szCs w:val="8"/>
                <w:color w:val="auto"/>
              </w:rPr>
              <w:t>—</w:t>
            </w:r>
          </w:p>
        </w:tc>
        <w:tc>
          <w:tcPr>
            <w:tcW w:w="1240" w:type="dxa"/>
            <w:vAlign w:val="bottom"/>
          </w:tcPr>
          <w:p>
            <w:pPr>
              <w:jc w:val="right"/>
              <w:ind w:right="298"/>
              <w:spacing w:after="0"/>
              <w:rPr>
                <w:sz w:val="20"/>
                <w:szCs w:val="20"/>
                <w:color w:val="auto"/>
              </w:rPr>
            </w:pPr>
            <w:r>
              <w:rPr>
                <w:rFonts w:ascii="Arial" w:cs="Arial" w:eastAsia="Arial" w:hAnsi="Arial"/>
                <w:sz w:val="8"/>
                <w:szCs w:val="8"/>
                <w:color w:val="auto"/>
              </w:rPr>
              <w:t>(8)</w:t>
            </w:r>
          </w:p>
        </w:tc>
        <w:tc>
          <w:tcPr>
            <w:tcW w:w="1160" w:type="dxa"/>
            <w:vAlign w:val="bottom"/>
          </w:tcPr>
          <w:p>
            <w:pPr>
              <w:jc w:val="right"/>
              <w:ind w:right="418"/>
              <w:spacing w:after="0"/>
              <w:rPr>
                <w:sz w:val="20"/>
                <w:szCs w:val="20"/>
                <w:color w:val="auto"/>
              </w:rPr>
            </w:pPr>
            <w:r>
              <w:rPr>
                <w:rFonts w:ascii="Arial" w:cs="Arial" w:eastAsia="Arial" w:hAnsi="Arial"/>
                <w:sz w:val="8"/>
                <w:szCs w:val="8"/>
                <w:color w:val="auto"/>
              </w:rPr>
              <w:t>—</w:t>
            </w:r>
          </w:p>
        </w:tc>
        <w:tc>
          <w:tcPr>
            <w:tcW w:w="1080" w:type="dxa"/>
            <w:vAlign w:val="bottom"/>
          </w:tcPr>
          <w:p>
            <w:pPr>
              <w:jc w:val="right"/>
              <w:ind w:right="358"/>
              <w:spacing w:after="0"/>
              <w:rPr>
                <w:sz w:val="20"/>
                <w:szCs w:val="20"/>
                <w:color w:val="auto"/>
              </w:rPr>
            </w:pPr>
            <w:r>
              <w:rPr>
                <w:rFonts w:ascii="Arial" w:cs="Arial" w:eastAsia="Arial" w:hAnsi="Arial"/>
                <w:sz w:val="8"/>
                <w:szCs w:val="8"/>
                <w:color w:val="auto"/>
              </w:rPr>
              <w:t>(14)</w:t>
            </w:r>
          </w:p>
        </w:tc>
        <w:tc>
          <w:tcPr>
            <w:tcW w:w="760" w:type="dxa"/>
            <w:vAlign w:val="bottom"/>
          </w:tcPr>
          <w:p>
            <w:pPr>
              <w:jc w:val="right"/>
              <w:spacing w:after="0"/>
              <w:rPr>
                <w:sz w:val="20"/>
                <w:szCs w:val="20"/>
                <w:color w:val="auto"/>
              </w:rPr>
            </w:pPr>
            <w:r>
              <w:rPr>
                <w:rFonts w:ascii="Arial" w:cs="Arial" w:eastAsia="Arial" w:hAnsi="Arial"/>
                <w:sz w:val="8"/>
                <w:szCs w:val="8"/>
                <w:color w:val="auto"/>
              </w:rPr>
              <w:t>(1,260)</w:t>
            </w:r>
          </w:p>
        </w:tc>
        <w:tc>
          <w:tcPr>
            <w:tcW w:w="0" w:type="dxa"/>
            <w:vAlign w:val="bottom"/>
          </w:tcPr>
          <w:p>
            <w:pPr>
              <w:spacing w:after="0"/>
              <w:rPr>
                <w:sz w:val="1"/>
                <w:szCs w:val="1"/>
                <w:color w:val="auto"/>
              </w:rPr>
            </w:pPr>
          </w:p>
        </w:tc>
      </w:tr>
      <w:tr>
        <w:trPr>
          <w:trHeight w:val="117"/>
        </w:trPr>
        <w:tc>
          <w:tcPr>
            <w:tcW w:w="2920" w:type="dxa"/>
            <w:vAlign w:val="bottom"/>
          </w:tcPr>
          <w:p>
            <w:pPr>
              <w:spacing w:after="0"/>
              <w:rPr>
                <w:sz w:val="20"/>
                <w:szCs w:val="20"/>
                <w:color w:val="auto"/>
              </w:rPr>
            </w:pPr>
            <w:r>
              <w:rPr>
                <w:rFonts w:ascii="Arial" w:cs="Arial" w:eastAsia="Arial" w:hAnsi="Arial"/>
                <w:sz w:val="8"/>
                <w:szCs w:val="8"/>
                <w:color w:val="auto"/>
              </w:rPr>
              <w:t>Remeasurements and other movements</w:t>
            </w:r>
          </w:p>
        </w:tc>
        <w:tc>
          <w:tcPr>
            <w:tcW w:w="2360" w:type="dxa"/>
            <w:vAlign w:val="bottom"/>
          </w:tcPr>
          <w:p>
            <w:pPr>
              <w:jc w:val="right"/>
              <w:ind w:right="118"/>
              <w:spacing w:after="0"/>
              <w:rPr>
                <w:sz w:val="20"/>
                <w:szCs w:val="20"/>
                <w:color w:val="auto"/>
              </w:rPr>
            </w:pPr>
            <w:r>
              <w:rPr>
                <w:rFonts w:ascii="Arial" w:cs="Arial" w:eastAsia="Arial" w:hAnsi="Arial"/>
                <w:sz w:val="8"/>
                <w:szCs w:val="8"/>
                <w:color w:val="auto"/>
              </w:rPr>
              <w:t>1,696</w:t>
            </w:r>
          </w:p>
        </w:tc>
        <w:tc>
          <w:tcPr>
            <w:tcW w:w="700" w:type="dxa"/>
            <w:vAlign w:val="bottom"/>
          </w:tcPr>
          <w:p>
            <w:pPr>
              <w:spacing w:after="0"/>
              <w:rPr>
                <w:sz w:val="10"/>
                <w:szCs w:val="10"/>
                <w:color w:val="auto"/>
              </w:rPr>
            </w:pPr>
          </w:p>
        </w:tc>
        <w:tc>
          <w:tcPr>
            <w:tcW w:w="1080" w:type="dxa"/>
            <w:vAlign w:val="bottom"/>
          </w:tcPr>
          <w:p>
            <w:pPr>
              <w:jc w:val="right"/>
              <w:ind w:right="398"/>
              <w:spacing w:after="0"/>
              <w:rPr>
                <w:sz w:val="20"/>
                <w:szCs w:val="20"/>
                <w:color w:val="auto"/>
              </w:rPr>
            </w:pPr>
            <w:r>
              <w:rPr>
                <w:rFonts w:ascii="Arial" w:cs="Arial" w:eastAsia="Arial" w:hAnsi="Arial"/>
                <w:sz w:val="8"/>
                <w:szCs w:val="8"/>
                <w:color w:val="auto"/>
              </w:rPr>
              <w:t>(45)</w:t>
            </w:r>
          </w:p>
        </w:tc>
        <w:tc>
          <w:tcPr>
            <w:tcW w:w="1240" w:type="dxa"/>
            <w:vAlign w:val="bottom"/>
          </w:tcPr>
          <w:p>
            <w:pPr>
              <w:jc w:val="right"/>
              <w:ind w:right="298"/>
              <w:spacing w:after="0"/>
              <w:rPr>
                <w:sz w:val="20"/>
                <w:szCs w:val="20"/>
                <w:color w:val="auto"/>
              </w:rPr>
            </w:pPr>
            <w:r>
              <w:rPr>
                <w:rFonts w:ascii="Arial" w:cs="Arial" w:eastAsia="Arial" w:hAnsi="Arial"/>
                <w:sz w:val="8"/>
                <w:szCs w:val="8"/>
                <w:color w:val="auto"/>
              </w:rPr>
              <w:t>(155)</w:t>
            </w:r>
          </w:p>
        </w:tc>
        <w:tc>
          <w:tcPr>
            <w:tcW w:w="1160" w:type="dxa"/>
            <w:vAlign w:val="bottom"/>
          </w:tcPr>
          <w:p>
            <w:pPr>
              <w:jc w:val="right"/>
              <w:ind w:right="398"/>
              <w:spacing w:after="0"/>
              <w:rPr>
                <w:sz w:val="20"/>
                <w:szCs w:val="20"/>
                <w:color w:val="auto"/>
              </w:rPr>
            </w:pPr>
            <w:r>
              <w:rPr>
                <w:rFonts w:ascii="Arial" w:cs="Arial" w:eastAsia="Arial" w:hAnsi="Arial"/>
                <w:sz w:val="8"/>
                <w:szCs w:val="8"/>
                <w:color w:val="auto"/>
              </w:rPr>
              <w:t>(192)</w:t>
            </w:r>
          </w:p>
        </w:tc>
        <w:tc>
          <w:tcPr>
            <w:tcW w:w="1080" w:type="dxa"/>
            <w:vAlign w:val="bottom"/>
          </w:tcPr>
          <w:p>
            <w:pPr>
              <w:jc w:val="right"/>
              <w:ind w:right="358"/>
              <w:spacing w:after="0"/>
              <w:rPr>
                <w:sz w:val="20"/>
                <w:szCs w:val="20"/>
                <w:color w:val="auto"/>
              </w:rPr>
            </w:pPr>
            <w:r>
              <w:rPr>
                <w:rFonts w:ascii="Arial" w:cs="Arial" w:eastAsia="Arial" w:hAnsi="Arial"/>
                <w:sz w:val="8"/>
                <w:szCs w:val="8"/>
                <w:color w:val="auto"/>
              </w:rPr>
              <w:t>(988)</w:t>
            </w: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316</w:t>
            </w:r>
          </w:p>
        </w:tc>
        <w:tc>
          <w:tcPr>
            <w:tcW w:w="0" w:type="dxa"/>
            <w:vAlign w:val="bottom"/>
          </w:tcPr>
          <w:p>
            <w:pPr>
              <w:spacing w:after="0"/>
              <w:rPr>
                <w:sz w:val="1"/>
                <w:szCs w:val="1"/>
                <w:color w:val="auto"/>
              </w:rPr>
            </w:pPr>
          </w:p>
        </w:tc>
      </w:tr>
      <w:tr>
        <w:trPr>
          <w:trHeight w:val="123"/>
        </w:trPr>
        <w:tc>
          <w:tcPr>
            <w:tcW w:w="292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Currency translation differences</w:t>
            </w:r>
          </w:p>
        </w:tc>
        <w:tc>
          <w:tcPr>
            <w:tcW w:w="23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156</w:t>
            </w:r>
          </w:p>
        </w:tc>
        <w:tc>
          <w:tcPr>
            <w:tcW w:w="7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398"/>
              <w:spacing w:after="0"/>
              <w:rPr>
                <w:sz w:val="20"/>
                <w:szCs w:val="20"/>
                <w:color w:val="auto"/>
              </w:rPr>
            </w:pPr>
            <w:r>
              <w:rPr>
                <w:rFonts w:ascii="Arial" w:cs="Arial" w:eastAsia="Arial" w:hAnsi="Arial"/>
                <w:sz w:val="8"/>
                <w:szCs w:val="8"/>
                <w:color w:val="auto"/>
              </w:rPr>
              <w:t>(1)</w:t>
            </w:r>
          </w:p>
        </w:tc>
        <w:tc>
          <w:tcPr>
            <w:tcW w:w="1240" w:type="dxa"/>
            <w:vAlign w:val="bottom"/>
            <w:tcBorders>
              <w:bottom w:val="single" w:sz="8" w:color="auto"/>
            </w:tcBorders>
          </w:tcPr>
          <w:p>
            <w:pPr>
              <w:jc w:val="right"/>
              <w:ind w:right="318"/>
              <w:spacing w:after="0"/>
              <w:rPr>
                <w:sz w:val="20"/>
                <w:szCs w:val="20"/>
                <w:color w:val="auto"/>
              </w:rPr>
            </w:pPr>
            <w:r>
              <w:rPr>
                <w:rFonts w:ascii="Arial" w:cs="Arial" w:eastAsia="Arial" w:hAnsi="Arial"/>
                <w:sz w:val="8"/>
                <w:szCs w:val="8"/>
                <w:color w:val="auto"/>
              </w:rPr>
              <w:t>—</w:t>
            </w:r>
          </w:p>
        </w:tc>
        <w:tc>
          <w:tcPr>
            <w:tcW w:w="1160" w:type="dxa"/>
            <w:vAlign w:val="bottom"/>
            <w:tcBorders>
              <w:bottom w:val="single" w:sz="8" w:color="auto"/>
            </w:tcBorders>
          </w:tcPr>
          <w:p>
            <w:pPr>
              <w:jc w:val="right"/>
              <w:ind w:right="398"/>
              <w:spacing w:after="0"/>
              <w:rPr>
                <w:sz w:val="20"/>
                <w:szCs w:val="20"/>
                <w:color w:val="auto"/>
              </w:rPr>
            </w:pPr>
            <w:r>
              <w:rPr>
                <w:rFonts w:ascii="Arial" w:cs="Arial" w:eastAsia="Arial" w:hAnsi="Arial"/>
                <w:sz w:val="8"/>
                <w:szCs w:val="8"/>
                <w:color w:val="auto"/>
              </w:rPr>
              <w:t>(3)</w:t>
            </w:r>
          </w:p>
        </w:tc>
        <w:tc>
          <w:tcPr>
            <w:tcW w:w="1080" w:type="dxa"/>
            <w:vAlign w:val="bottom"/>
            <w:tcBorders>
              <w:bottom w:val="single" w:sz="8" w:color="auto"/>
            </w:tcBorders>
          </w:tcPr>
          <w:p>
            <w:pPr>
              <w:jc w:val="right"/>
              <w:ind w:right="358"/>
              <w:spacing w:after="0"/>
              <w:rPr>
                <w:sz w:val="20"/>
                <w:szCs w:val="20"/>
                <w:color w:val="auto"/>
              </w:rPr>
            </w:pPr>
            <w:r>
              <w:rPr>
                <w:rFonts w:ascii="Arial" w:cs="Arial" w:eastAsia="Arial" w:hAnsi="Arial"/>
                <w:sz w:val="8"/>
                <w:szCs w:val="8"/>
                <w:color w:val="auto"/>
              </w:rPr>
              <w:t>(3)</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149</w:t>
            </w:r>
          </w:p>
        </w:tc>
        <w:tc>
          <w:tcPr>
            <w:tcW w:w="0" w:type="dxa"/>
            <w:vAlign w:val="bottom"/>
          </w:tcPr>
          <w:p>
            <w:pPr>
              <w:spacing w:after="0"/>
              <w:rPr>
                <w:sz w:val="1"/>
                <w:szCs w:val="1"/>
                <w:color w:val="auto"/>
              </w:rPr>
            </w:pPr>
          </w:p>
        </w:tc>
      </w:tr>
      <w:tr>
        <w:trPr>
          <w:trHeight w:val="100"/>
        </w:trPr>
        <w:tc>
          <w:tcPr>
            <w:tcW w:w="2920" w:type="dxa"/>
            <w:vAlign w:val="bottom"/>
          </w:tcPr>
          <w:p>
            <w:pPr>
              <w:spacing w:after="0"/>
              <w:rPr>
                <w:sz w:val="8"/>
                <w:szCs w:val="8"/>
                <w:color w:val="auto"/>
              </w:rPr>
            </w:pPr>
          </w:p>
        </w:tc>
        <w:tc>
          <w:tcPr>
            <w:tcW w:w="2360" w:type="dxa"/>
            <w:vAlign w:val="bottom"/>
          </w:tcPr>
          <w:p>
            <w:pPr>
              <w:jc w:val="right"/>
              <w:ind w:right="118"/>
              <w:spacing w:after="0"/>
              <w:rPr>
                <w:sz w:val="20"/>
                <w:szCs w:val="20"/>
                <w:color w:val="auto"/>
              </w:rPr>
            </w:pPr>
            <w:r>
              <w:rPr>
                <w:rFonts w:ascii="Arial" w:cs="Arial" w:eastAsia="Arial" w:hAnsi="Arial"/>
                <w:sz w:val="8"/>
                <w:szCs w:val="8"/>
                <w:color w:val="auto"/>
              </w:rPr>
              <w:t>1,086</w:t>
            </w:r>
          </w:p>
        </w:tc>
        <w:tc>
          <w:tcPr>
            <w:tcW w:w="700" w:type="dxa"/>
            <w:vAlign w:val="bottom"/>
          </w:tcPr>
          <w:p>
            <w:pPr>
              <w:spacing w:after="0"/>
              <w:rPr>
                <w:sz w:val="8"/>
                <w:szCs w:val="8"/>
                <w:color w:val="auto"/>
              </w:rPr>
            </w:pPr>
          </w:p>
        </w:tc>
        <w:tc>
          <w:tcPr>
            <w:tcW w:w="1080" w:type="dxa"/>
            <w:vAlign w:val="bottom"/>
          </w:tcPr>
          <w:p>
            <w:pPr>
              <w:jc w:val="right"/>
              <w:ind w:right="418"/>
              <w:spacing w:after="0"/>
              <w:rPr>
                <w:sz w:val="20"/>
                <w:szCs w:val="20"/>
                <w:color w:val="auto"/>
              </w:rPr>
            </w:pPr>
            <w:r>
              <w:rPr>
                <w:rFonts w:ascii="Arial" w:cs="Arial" w:eastAsia="Arial" w:hAnsi="Arial"/>
                <w:sz w:val="8"/>
                <w:szCs w:val="8"/>
                <w:color w:val="auto"/>
              </w:rPr>
              <w:t>351</w:t>
            </w:r>
          </w:p>
        </w:tc>
        <w:tc>
          <w:tcPr>
            <w:tcW w:w="1240" w:type="dxa"/>
            <w:vAlign w:val="bottom"/>
          </w:tcPr>
          <w:p>
            <w:pPr>
              <w:jc w:val="right"/>
              <w:ind w:right="298"/>
              <w:spacing w:after="0"/>
              <w:rPr>
                <w:sz w:val="20"/>
                <w:szCs w:val="20"/>
                <w:color w:val="auto"/>
              </w:rPr>
            </w:pPr>
            <w:r>
              <w:rPr>
                <w:rFonts w:ascii="Arial" w:cs="Arial" w:eastAsia="Arial" w:hAnsi="Arial"/>
                <w:sz w:val="8"/>
                <w:szCs w:val="8"/>
                <w:color w:val="auto"/>
              </w:rPr>
              <w:t>(141)</w:t>
            </w:r>
          </w:p>
        </w:tc>
        <w:tc>
          <w:tcPr>
            <w:tcW w:w="1160" w:type="dxa"/>
            <w:vAlign w:val="bottom"/>
          </w:tcPr>
          <w:p>
            <w:pPr>
              <w:jc w:val="right"/>
              <w:ind w:right="398"/>
              <w:spacing w:after="0"/>
              <w:rPr>
                <w:sz w:val="20"/>
                <w:szCs w:val="20"/>
                <w:color w:val="auto"/>
              </w:rPr>
            </w:pPr>
            <w:r>
              <w:rPr>
                <w:rFonts w:ascii="Arial" w:cs="Arial" w:eastAsia="Arial" w:hAnsi="Arial"/>
                <w:sz w:val="8"/>
                <w:szCs w:val="8"/>
                <w:color w:val="auto"/>
              </w:rPr>
              <w:t>(206)</w:t>
            </w:r>
          </w:p>
        </w:tc>
        <w:tc>
          <w:tcPr>
            <w:tcW w:w="1080" w:type="dxa"/>
            <w:vAlign w:val="bottom"/>
          </w:tcPr>
          <w:p>
            <w:pPr>
              <w:jc w:val="right"/>
              <w:ind w:right="358"/>
              <w:spacing w:after="0"/>
              <w:rPr>
                <w:sz w:val="20"/>
                <w:szCs w:val="20"/>
                <w:color w:val="auto"/>
              </w:rPr>
            </w:pPr>
            <w:r>
              <w:rPr>
                <w:rFonts w:ascii="Arial" w:cs="Arial" w:eastAsia="Arial" w:hAnsi="Arial"/>
                <w:sz w:val="8"/>
                <w:szCs w:val="8"/>
                <w:color w:val="auto"/>
              </w:rPr>
              <w:t>(1,007)</w:t>
            </w: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83</w:t>
            </w:r>
          </w:p>
        </w:tc>
        <w:tc>
          <w:tcPr>
            <w:tcW w:w="0" w:type="dxa"/>
            <w:vAlign w:val="bottom"/>
          </w:tcPr>
          <w:p>
            <w:pPr>
              <w:spacing w:after="0"/>
              <w:rPr>
                <w:sz w:val="1"/>
                <w:szCs w:val="1"/>
                <w:color w:val="auto"/>
              </w:rPr>
            </w:pPr>
          </w:p>
        </w:tc>
      </w:tr>
      <w:tr>
        <w:trPr>
          <w:trHeight w:val="117"/>
        </w:trPr>
        <w:tc>
          <w:tcPr>
            <w:tcW w:w="2920" w:type="dxa"/>
            <w:vAlign w:val="bottom"/>
          </w:tcPr>
          <w:p>
            <w:pPr>
              <w:spacing w:after="0"/>
              <w:rPr>
                <w:sz w:val="20"/>
                <w:szCs w:val="20"/>
                <w:color w:val="auto"/>
              </w:rPr>
            </w:pPr>
            <w:r>
              <w:rPr>
                <w:rFonts w:ascii="Arial" w:cs="Arial" w:eastAsia="Arial" w:hAnsi="Arial"/>
                <w:sz w:val="8"/>
                <w:szCs w:val="8"/>
                <w:color w:val="auto"/>
              </w:rPr>
              <w:t>At December 31, 2019</w:t>
            </w:r>
          </w:p>
        </w:tc>
        <w:tc>
          <w:tcPr>
            <w:tcW w:w="2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920" w:type="dxa"/>
            <w:vAlign w:val="bottom"/>
          </w:tcPr>
          <w:p>
            <w:pPr>
              <w:ind w:left="120"/>
              <w:spacing w:after="0"/>
              <w:rPr>
                <w:sz w:val="20"/>
                <w:szCs w:val="20"/>
                <w:color w:val="auto"/>
              </w:rPr>
            </w:pPr>
            <w:r>
              <w:rPr>
                <w:rFonts w:ascii="Arial" w:cs="Arial" w:eastAsia="Arial" w:hAnsi="Arial"/>
                <w:sz w:val="8"/>
                <w:szCs w:val="8"/>
                <w:color w:val="auto"/>
              </w:rPr>
              <w:t>Current</w:t>
            </w:r>
          </w:p>
        </w:tc>
        <w:tc>
          <w:tcPr>
            <w:tcW w:w="2360" w:type="dxa"/>
            <w:vAlign w:val="bottom"/>
          </w:tcPr>
          <w:p>
            <w:pPr>
              <w:jc w:val="right"/>
              <w:ind w:right="118"/>
              <w:spacing w:after="0"/>
              <w:rPr>
                <w:sz w:val="20"/>
                <w:szCs w:val="20"/>
                <w:color w:val="auto"/>
              </w:rPr>
            </w:pPr>
            <w:r>
              <w:rPr>
                <w:rFonts w:ascii="Arial" w:cs="Arial" w:eastAsia="Arial" w:hAnsi="Arial"/>
                <w:sz w:val="8"/>
                <w:szCs w:val="8"/>
                <w:color w:val="auto"/>
              </w:rPr>
              <w:t>755</w:t>
            </w:r>
          </w:p>
        </w:tc>
        <w:tc>
          <w:tcPr>
            <w:tcW w:w="700" w:type="dxa"/>
            <w:vAlign w:val="bottom"/>
          </w:tcPr>
          <w:p>
            <w:pPr>
              <w:spacing w:after="0"/>
              <w:rPr>
                <w:sz w:val="10"/>
                <w:szCs w:val="10"/>
                <w:color w:val="auto"/>
              </w:rPr>
            </w:pPr>
          </w:p>
        </w:tc>
        <w:tc>
          <w:tcPr>
            <w:tcW w:w="1080" w:type="dxa"/>
            <w:vAlign w:val="bottom"/>
          </w:tcPr>
          <w:p>
            <w:pPr>
              <w:jc w:val="right"/>
              <w:ind w:right="418"/>
              <w:spacing w:after="0"/>
              <w:rPr>
                <w:sz w:val="20"/>
                <w:szCs w:val="20"/>
                <w:color w:val="auto"/>
              </w:rPr>
            </w:pPr>
            <w:r>
              <w:rPr>
                <w:rFonts w:ascii="Arial" w:cs="Arial" w:eastAsia="Arial" w:hAnsi="Arial"/>
                <w:sz w:val="8"/>
                <w:szCs w:val="8"/>
                <w:color w:val="auto"/>
              </w:rPr>
              <w:t>626</w:t>
            </w:r>
          </w:p>
        </w:tc>
        <w:tc>
          <w:tcPr>
            <w:tcW w:w="1240" w:type="dxa"/>
            <w:vAlign w:val="bottom"/>
          </w:tcPr>
          <w:p>
            <w:pPr>
              <w:jc w:val="right"/>
              <w:ind w:right="318"/>
              <w:spacing w:after="0"/>
              <w:rPr>
                <w:sz w:val="20"/>
                <w:szCs w:val="20"/>
                <w:color w:val="auto"/>
              </w:rPr>
            </w:pPr>
            <w:r>
              <w:rPr>
                <w:rFonts w:ascii="Arial" w:cs="Arial" w:eastAsia="Arial" w:hAnsi="Arial"/>
                <w:sz w:val="8"/>
                <w:szCs w:val="8"/>
                <w:color w:val="auto"/>
              </w:rPr>
              <w:t>263</w:t>
            </w:r>
          </w:p>
        </w:tc>
        <w:tc>
          <w:tcPr>
            <w:tcW w:w="1160" w:type="dxa"/>
            <w:vAlign w:val="bottom"/>
          </w:tcPr>
          <w:p>
            <w:pPr>
              <w:jc w:val="right"/>
              <w:ind w:right="418"/>
              <w:spacing w:after="0"/>
              <w:rPr>
                <w:sz w:val="20"/>
                <w:szCs w:val="20"/>
                <w:color w:val="auto"/>
              </w:rPr>
            </w:pPr>
            <w:r>
              <w:rPr>
                <w:rFonts w:ascii="Arial" w:cs="Arial" w:eastAsia="Arial" w:hAnsi="Arial"/>
                <w:sz w:val="8"/>
                <w:szCs w:val="8"/>
                <w:color w:val="auto"/>
              </w:rPr>
              <w:t>295</w:t>
            </w:r>
          </w:p>
        </w:tc>
        <w:tc>
          <w:tcPr>
            <w:tcW w:w="1080" w:type="dxa"/>
            <w:vAlign w:val="bottom"/>
          </w:tcPr>
          <w:p>
            <w:pPr>
              <w:jc w:val="right"/>
              <w:ind w:right="378"/>
              <w:spacing w:after="0"/>
              <w:rPr>
                <w:sz w:val="20"/>
                <w:szCs w:val="20"/>
                <w:color w:val="auto"/>
              </w:rPr>
            </w:pPr>
            <w:r>
              <w:rPr>
                <w:rFonts w:ascii="Arial" w:cs="Arial" w:eastAsia="Arial" w:hAnsi="Arial"/>
                <w:sz w:val="8"/>
                <w:szCs w:val="8"/>
                <w:color w:val="auto"/>
              </w:rPr>
              <w:t>872</w:t>
            </w: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2,811</w:t>
            </w:r>
          </w:p>
        </w:tc>
        <w:tc>
          <w:tcPr>
            <w:tcW w:w="0" w:type="dxa"/>
            <w:vAlign w:val="bottom"/>
          </w:tcPr>
          <w:p>
            <w:pPr>
              <w:spacing w:after="0"/>
              <w:rPr>
                <w:sz w:val="1"/>
                <w:szCs w:val="1"/>
                <w:color w:val="auto"/>
              </w:rPr>
            </w:pPr>
          </w:p>
        </w:tc>
      </w:tr>
      <w:tr>
        <w:trPr>
          <w:trHeight w:val="123"/>
        </w:trPr>
        <w:tc>
          <w:tcPr>
            <w:tcW w:w="2920" w:type="dxa"/>
            <w:vAlign w:val="bottom"/>
            <w:tcBorders>
              <w:bottom w:val="single" w:sz="8" w:color="auto"/>
            </w:tcBorders>
          </w:tcPr>
          <w:p>
            <w:pPr>
              <w:ind w:left="120"/>
              <w:spacing w:after="0"/>
              <w:rPr>
                <w:sz w:val="20"/>
                <w:szCs w:val="20"/>
                <w:color w:val="auto"/>
              </w:rPr>
            </w:pPr>
            <w:r>
              <w:rPr>
                <w:rFonts w:ascii="Arial" w:cs="Arial" w:eastAsia="Arial" w:hAnsi="Arial"/>
                <w:sz w:val="8"/>
                <w:szCs w:val="8"/>
                <w:color w:val="auto"/>
              </w:rPr>
              <w:t>Non-current</w:t>
            </w:r>
          </w:p>
        </w:tc>
        <w:tc>
          <w:tcPr>
            <w:tcW w:w="23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18,264</w:t>
            </w:r>
          </w:p>
        </w:tc>
        <w:tc>
          <w:tcPr>
            <w:tcW w:w="7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1,185</w:t>
            </w:r>
          </w:p>
        </w:tc>
        <w:tc>
          <w:tcPr>
            <w:tcW w:w="1240" w:type="dxa"/>
            <w:vAlign w:val="bottom"/>
            <w:tcBorders>
              <w:bottom w:val="single" w:sz="8" w:color="auto"/>
            </w:tcBorders>
          </w:tcPr>
          <w:p>
            <w:pPr>
              <w:jc w:val="right"/>
              <w:ind w:right="318"/>
              <w:spacing w:after="0"/>
              <w:rPr>
                <w:sz w:val="20"/>
                <w:szCs w:val="20"/>
                <w:color w:val="auto"/>
              </w:rPr>
            </w:pPr>
            <w:r>
              <w:rPr>
                <w:rFonts w:ascii="Arial" w:cs="Arial" w:eastAsia="Arial" w:hAnsi="Arial"/>
                <w:sz w:val="8"/>
                <w:szCs w:val="8"/>
                <w:color w:val="auto"/>
              </w:rPr>
              <w:t>934</w:t>
            </w: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220</w:t>
            </w: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1,196</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21,799</w:t>
            </w:r>
          </w:p>
        </w:tc>
        <w:tc>
          <w:tcPr>
            <w:tcW w:w="0" w:type="dxa"/>
            <w:vAlign w:val="bottom"/>
          </w:tcPr>
          <w:p>
            <w:pPr>
              <w:spacing w:after="0"/>
              <w:rPr>
                <w:sz w:val="1"/>
                <w:szCs w:val="1"/>
                <w:color w:val="auto"/>
              </w:rPr>
            </w:pPr>
          </w:p>
        </w:tc>
      </w:tr>
      <w:tr>
        <w:trPr>
          <w:trHeight w:val="106"/>
        </w:trPr>
        <w:tc>
          <w:tcPr>
            <w:tcW w:w="292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19,019</w:t>
            </w:r>
          </w:p>
        </w:tc>
        <w:tc>
          <w:tcPr>
            <w:tcW w:w="7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1,811</w:t>
            </w:r>
          </w:p>
        </w:tc>
        <w:tc>
          <w:tcPr>
            <w:tcW w:w="1240" w:type="dxa"/>
            <w:vAlign w:val="bottom"/>
            <w:tcBorders>
              <w:bottom w:val="single" w:sz="8" w:color="auto"/>
            </w:tcBorders>
          </w:tcPr>
          <w:p>
            <w:pPr>
              <w:jc w:val="right"/>
              <w:ind w:right="318"/>
              <w:spacing w:after="0"/>
              <w:rPr>
                <w:sz w:val="20"/>
                <w:szCs w:val="20"/>
                <w:color w:val="auto"/>
              </w:rPr>
            </w:pPr>
            <w:r>
              <w:rPr>
                <w:rFonts w:ascii="Arial" w:cs="Arial" w:eastAsia="Arial" w:hAnsi="Arial"/>
                <w:sz w:val="8"/>
                <w:szCs w:val="8"/>
                <w:color w:val="auto"/>
              </w:rPr>
              <w:t>1,197</w:t>
            </w: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rPr>
              <w:t>515</w:t>
            </w: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rPr>
              <w:t>2,068</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24,610</w:t>
            </w:r>
          </w:p>
        </w:tc>
        <w:tc>
          <w:tcPr>
            <w:tcW w:w="0" w:type="dxa"/>
            <w:vAlign w:val="bottom"/>
          </w:tcPr>
          <w:p>
            <w:pPr>
              <w:spacing w:after="0"/>
              <w:rPr>
                <w:sz w:val="1"/>
                <w:szCs w:val="1"/>
                <w:color w:val="auto"/>
              </w:rPr>
            </w:pPr>
          </w:p>
        </w:tc>
      </w:tr>
    </w:tbl>
    <w:p>
      <w:pPr>
        <w:spacing w:after="0" w:line="29" w:lineRule="exact"/>
        <w:rPr>
          <w:sz w:val="20"/>
          <w:szCs w:val="20"/>
          <w:color w:val="auto"/>
        </w:rPr>
      </w:pPr>
    </w:p>
    <w:p>
      <w:pPr>
        <w:spacing w:after="0"/>
        <w:rPr>
          <w:sz w:val="20"/>
          <w:szCs w:val="20"/>
          <w:color w:val="auto"/>
        </w:rPr>
      </w:pPr>
      <w:r>
        <w:rPr>
          <w:rFonts w:ascii="Arial" w:cs="Arial" w:eastAsia="Arial" w:hAnsi="Arial"/>
          <w:sz w:val="7"/>
          <w:szCs w:val="7"/>
          <w:color w:val="auto"/>
        </w:rPr>
        <w:t>[A] Includes $798 million additions for the recognition of decommissioning and restoration provisions in Integrated Gas and Upstream and $899 million for the recognition of decommissioning and restoration provisions for manufacturing facilities in Oil Products.</w:t>
      </w:r>
    </w:p>
    <w:p>
      <w:pPr>
        <w:spacing w:after="0" w:line="157" w:lineRule="exact"/>
        <w:rPr>
          <w:sz w:val="20"/>
          <w:szCs w:val="20"/>
          <w:color w:val="auto"/>
        </w:rPr>
      </w:pPr>
    </w:p>
    <w:p>
      <w:pPr>
        <w:ind w:right="140"/>
        <w:spacing w:after="0" w:line="320" w:lineRule="auto"/>
        <w:rPr>
          <w:sz w:val="20"/>
          <w:szCs w:val="20"/>
          <w:color w:val="auto"/>
        </w:rPr>
      </w:pPr>
      <w:r>
        <w:rPr>
          <w:rFonts w:ascii="Arial" w:cs="Arial" w:eastAsia="Arial" w:hAnsi="Arial"/>
          <w:sz w:val="8"/>
          <w:szCs w:val="8"/>
          <w:color w:val="auto"/>
        </w:rPr>
        <w:t>The amount and timing of settlement in respect of these provisions are uncertain and dependent on various factors that are not always within management’s control. Reviews of estimated future decommissioning and restoration costs and the discount rate applied are carried out regularly. The discount rate applied at December 31, 2020 was 1.75% (2019: 3%). This decrease resulted from the significant decrease in capital markets rates in 2020. An increase of 0.5% or a decrease of 0.5% in the discount rate could result in a decrease of $1.7 billion or an increase of $2.2 billion of decommissioning and restoration provisions, respectively. Such increase/decrease will be reflected in the carrying amount of the related asset. Where applicable that carrying amount is tested for impairment.</w:t>
      </w:r>
    </w:p>
    <w:p>
      <w:pPr>
        <w:spacing w:after="0" w:line="118" w:lineRule="exact"/>
        <w:rPr>
          <w:sz w:val="20"/>
          <w:szCs w:val="20"/>
          <w:color w:val="auto"/>
        </w:rPr>
      </w:pPr>
    </w:p>
    <w:p>
      <w:pPr>
        <w:ind w:right="160"/>
        <w:spacing w:after="0" w:line="239" w:lineRule="auto"/>
        <w:rPr>
          <w:sz w:val="20"/>
          <w:szCs w:val="20"/>
          <w:color w:val="auto"/>
        </w:rPr>
      </w:pPr>
      <w:r>
        <w:rPr>
          <w:rFonts w:ascii="Arial" w:cs="Arial" w:eastAsia="Arial" w:hAnsi="Arial"/>
          <w:sz w:val="10"/>
          <w:szCs w:val="10"/>
          <w:color w:val="424242"/>
        </w:rPr>
        <w:t>In 2020</w:t>
      </w:r>
      <w:r>
        <w:rPr>
          <w:rFonts w:ascii="Arial" w:cs="Arial" w:eastAsia="Arial" w:hAnsi="Arial"/>
          <w:sz w:val="10"/>
          <w:szCs w:val="10"/>
          <w:color w:val="000000"/>
        </w:rPr>
        <w:t>, there was an increase of $3,999 million (2019: $2,241 million) in the decommissioning and restoration provision as a result of the change in the discount rate, partly offset by a decrease in the provision resulting from changes in cost estimates of $1,909 million (2019: $545 million),</w:t>
      </w:r>
      <w:r>
        <w:rPr>
          <w:rFonts w:ascii="Arial" w:cs="Arial" w:eastAsia="Arial" w:hAnsi="Arial"/>
          <w:sz w:val="10"/>
          <w:szCs w:val="10"/>
          <w:color w:val="424242"/>
        </w:rPr>
        <w:t xml:space="preserve"> </w:t>
      </w:r>
      <w:r>
        <w:rPr>
          <w:rFonts w:ascii="Arial" w:cs="Arial" w:eastAsia="Arial" w:hAnsi="Arial"/>
          <w:sz w:val="10"/>
          <w:szCs w:val="10"/>
          <w:color w:val="000000"/>
        </w:rPr>
        <w:t>reported within remeasurements and other movements.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Of the decommissioning and restoration provision at December 31, 2020, an estimated $3,921 million is expected to be utilised within one to five years, $2,206 million within six to 10 years, and the remainder in later periods.</w:t>
      </w:r>
    </w:p>
    <w:p>
      <w:pPr>
        <w:spacing w:after="0" w:line="155" w:lineRule="exact"/>
        <w:rPr>
          <w:sz w:val="20"/>
          <w:szCs w:val="20"/>
          <w:color w:val="auto"/>
        </w:rPr>
      </w:pPr>
    </w:p>
    <w:p>
      <w:pPr>
        <w:spacing w:after="0"/>
        <w:rPr>
          <w:sz w:val="20"/>
          <w:szCs w:val="20"/>
          <w:color w:val="auto"/>
        </w:rPr>
      </w:pPr>
      <w:r>
        <w:rPr>
          <w:rFonts w:ascii="Arial" w:cs="Arial" w:eastAsia="Arial" w:hAnsi="Arial"/>
          <w:sz w:val="8"/>
          <w:szCs w:val="8"/>
          <w:color w:val="auto"/>
        </w:rPr>
        <w:t>Other provisions include amounts recognised in respect of onerous contracts ($1,739 million) and employee benefits. At December 31, 2020, the onerous contract provision includes onerous contracts that relate to Lake Charles terminals and the closure of the Convent refinery, both in the USA.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198</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01" w:name="page202"/>
    <w:bookmarkEnd w:id="201"/>
    <w:p>
      <w:pPr>
        <w:spacing w:after="0"/>
        <w:rPr>
          <w:sz w:val="20"/>
          <w:szCs w:val="20"/>
          <w:color w:val="auto"/>
        </w:rPr>
      </w:pPr>
      <w:r>
        <w:rPr>
          <w:rFonts w:ascii="Arial" w:cs="Arial" w:eastAsia="Arial" w:hAnsi="Arial"/>
          <w:sz w:val="11"/>
          <w:szCs w:val="11"/>
          <w:color w:val="auto"/>
        </w:rPr>
        <w:t>19 – FINANCIAL INSTRUMENTS</w:t>
      </w:r>
    </w:p>
    <w:p>
      <w:pPr>
        <w:spacing w:after="0" w:line="237" w:lineRule="auto"/>
        <w:rPr>
          <w:sz w:val="20"/>
          <w:szCs w:val="20"/>
          <w:color w:val="auto"/>
        </w:rPr>
      </w:pPr>
      <w:r>
        <w:rPr>
          <w:rFonts w:ascii="Arial" w:cs="Arial" w:eastAsia="Arial" w:hAnsi="Arial"/>
          <w:sz w:val="10"/>
          <w:szCs w:val="10"/>
          <w:color w:val="auto"/>
        </w:rPr>
        <w:t>Financial instruments in the Consolidated Balance Sheet include investments in securities (see Note 10), cash and cash equivalents (see Note 13), debt (see Note 14) and derivative contracts.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Risks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In the normal course of business, financial instruments of various kinds are used for the purposes of managing exposure to interest rate, foreign exchange and commodity price movements.</w:t>
      </w:r>
    </w:p>
    <w:p>
      <w:pPr>
        <w:spacing w:after="0" w:line="149" w:lineRule="exact"/>
        <w:rPr>
          <w:sz w:val="20"/>
          <w:szCs w:val="20"/>
          <w:color w:val="auto"/>
        </w:rPr>
      </w:pPr>
    </w:p>
    <w:p>
      <w:pPr>
        <w:ind w:right="180"/>
        <w:spacing w:after="0" w:line="358" w:lineRule="auto"/>
        <w:rPr>
          <w:sz w:val="20"/>
          <w:szCs w:val="20"/>
          <w:color w:val="auto"/>
        </w:rPr>
      </w:pPr>
      <w:r>
        <w:rPr>
          <w:rFonts w:ascii="Arial" w:cs="Arial" w:eastAsia="Arial" w:hAnsi="Arial"/>
          <w:sz w:val="8"/>
          <w:szCs w:val="8"/>
          <w:color w:val="auto"/>
        </w:rPr>
        <w:t>Treasury standards are applicable to all subsidiaries and each subsidiary is required to adopt a treasury policy consistent with these standards. These policies cover: financing structure; interest rate and foreign exchange risk management; insurance; counterparty risk management; and use of derivative contracts. Wherever possible, treasury operations are carried out through specialist regional organisations without removing from each subsidiary the responsibility to formulate and implement appropriate treasury policies.</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Apart from forward foreign exchange contracts to meet known commitments, the use of derivative contracts by most subsidiaries is not permitted by their treasury policy.</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Other than in exceptional cases, the use of external derivative contracts is confined to specialist trading and central treasury organisations that have appropriate skills, experience, supervision, control and reporting systems.</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Shell’s operations expose it to market, credit and liquidity risk, as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666666"/>
        </w:rPr>
        <w:t>Market risk</w:t>
      </w:r>
    </w:p>
    <w:p>
      <w:pPr>
        <w:spacing w:after="0" w:line="3" w:lineRule="exact"/>
        <w:rPr>
          <w:sz w:val="20"/>
          <w:szCs w:val="20"/>
          <w:color w:val="auto"/>
        </w:rPr>
      </w:pPr>
    </w:p>
    <w:p>
      <w:pPr>
        <w:spacing w:after="0"/>
        <w:rPr>
          <w:sz w:val="20"/>
          <w:szCs w:val="20"/>
          <w:color w:val="auto"/>
        </w:rPr>
      </w:pPr>
      <w:r>
        <w:rPr>
          <w:rFonts w:ascii="Arial" w:cs="Arial" w:eastAsia="Arial" w:hAnsi="Arial"/>
          <w:sz w:val="8"/>
          <w:szCs w:val="8"/>
          <w:color w:val="auto"/>
        </w:rPr>
        <w:t>Market risk is the possibility that changes in interest rates, foreign exchange rates or the prices of crude oil, natural gas, LNG, refined products, chemical feedstocks, power and carbon-emission rights will adversely affect the value of assets, liabilities or expected future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0"/>
          <w:szCs w:val="10"/>
          <w:color w:val="666666"/>
        </w:rPr>
        <w:t>Interest rate risk</w:t>
      </w:r>
    </w:p>
    <w:p>
      <w:pPr>
        <w:spacing w:after="0" w:line="1" w:lineRule="exact"/>
        <w:rPr>
          <w:sz w:val="20"/>
          <w:szCs w:val="20"/>
          <w:color w:val="auto"/>
        </w:rPr>
      </w:pPr>
    </w:p>
    <w:p>
      <w:pPr>
        <w:ind w:right="320"/>
        <w:spacing w:after="0" w:line="337" w:lineRule="auto"/>
        <w:rPr>
          <w:sz w:val="20"/>
          <w:szCs w:val="20"/>
          <w:color w:val="auto"/>
        </w:rPr>
      </w:pPr>
      <w:r>
        <w:rPr>
          <w:rFonts w:ascii="Arial" w:cs="Arial" w:eastAsia="Arial" w:hAnsi="Arial"/>
          <w:sz w:val="8"/>
          <w:szCs w:val="8"/>
          <w:color w:val="auto"/>
        </w:rPr>
        <w:t>Most debt is raised from central borrowing programmes. Shell’s policy continues to be to have debt principally denominated in dollars and to maintain a largely floating interest rate exposure profile; however, Shell has issued a significant amount of fixed rate debt in recent years, taking advantage of historically low interest rates available in debt markets. As a result, the majority of the debt portfolio at December 31, 2020, is at fixed rates and this reduces Shell’s adverse exposure to rising floating dollar interest rates (see Notes 2 and 3).</w:t>
      </w:r>
    </w:p>
    <w:p>
      <w:pPr>
        <w:spacing w:after="0" w:line="112" w:lineRule="exact"/>
        <w:rPr>
          <w:sz w:val="20"/>
          <w:szCs w:val="20"/>
          <w:color w:val="auto"/>
        </w:rPr>
      </w:pPr>
    </w:p>
    <w:p>
      <w:pPr>
        <w:spacing w:after="0"/>
        <w:rPr>
          <w:sz w:val="20"/>
          <w:szCs w:val="20"/>
          <w:color w:val="auto"/>
        </w:rPr>
      </w:pPr>
      <w:r>
        <w:rPr>
          <w:rFonts w:ascii="Arial" w:cs="Arial" w:eastAsia="Arial" w:hAnsi="Arial"/>
          <w:sz w:val="10"/>
          <w:szCs w:val="10"/>
          <w:color w:val="auto"/>
        </w:rPr>
        <w:t>The financing of most subsidiaries is structured on a floating-rate basis, and any further interest rate risk management is only applied under exceptional circumstances.</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0"/>
          <w:szCs w:val="10"/>
          <w:color w:val="auto"/>
        </w:rPr>
        <w:t>On the basis of the floating-rate net cash position at December 31, 2020 (both issued and hedged), and assuming other factors (principally foreign exchange rates and commodity prices) remained constant and that no further interest rate management action was taken, an increase in interest rates of 1% would have increased 2020 income before taxation by $62 million (2019: $98 million decrease, based on the floating rate net debt position at December 31, 2019).</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The carrying amounts and maturities of debt and borrowing facilities are presented in Note 14. Interest expense is presented in Note 6.</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666666"/>
        </w:rPr>
        <w:t>Foreign exchange risk</w:t>
      </w:r>
    </w:p>
    <w:p>
      <w:pPr>
        <w:spacing w:after="0" w:line="1" w:lineRule="exact"/>
        <w:rPr>
          <w:sz w:val="20"/>
          <w:szCs w:val="20"/>
          <w:color w:val="auto"/>
        </w:rPr>
      </w:pPr>
    </w:p>
    <w:p>
      <w:pPr>
        <w:ind w:right="100"/>
        <w:spacing w:after="0" w:line="309" w:lineRule="auto"/>
        <w:rPr>
          <w:sz w:val="20"/>
          <w:szCs w:val="20"/>
          <w:color w:val="auto"/>
        </w:rPr>
      </w:pPr>
      <w:r>
        <w:rPr>
          <w:rFonts w:ascii="Arial" w:cs="Arial" w:eastAsia="Arial" w:hAnsi="Arial"/>
          <w:sz w:val="8"/>
          <w:szCs w:val="8"/>
          <w:color w:val="auto"/>
        </w:rPr>
        <w:t>Many of the markets in which Shell operates are priced, directly or indirectly, in dollars. As a result, the functional currency of most Integrated Gas and Upstream entities and those with significant cross-border business is the dollar. For Oil Products and Chemicals entities, the functional currency is typically the local currency. Consequently, Shell is exposed to varying levels of foreign exchange risk when an entity enters into transactions that are not denominated in its functional currency, when foreign currency monetary assets and liabilities are translated at the balance sheet date and as a result of holding net investments in operations that are not dollar-functional. Each entity is required to adopt treasury policies that are designed to measure and manage its foreign exchange exposures by reference to its functional currency.</w:t>
      </w:r>
    </w:p>
    <w:p>
      <w:pPr>
        <w:spacing w:after="0" w:line="123" w:lineRule="exact"/>
        <w:rPr>
          <w:sz w:val="20"/>
          <w:szCs w:val="20"/>
          <w:color w:val="auto"/>
        </w:rPr>
      </w:pPr>
    </w:p>
    <w:p>
      <w:pPr>
        <w:ind w:right="100"/>
        <w:spacing w:after="0" w:line="239" w:lineRule="auto"/>
        <w:rPr>
          <w:sz w:val="20"/>
          <w:szCs w:val="20"/>
          <w:color w:val="auto"/>
        </w:rPr>
      </w:pPr>
      <w:r>
        <w:rPr>
          <w:rFonts w:ascii="Arial" w:cs="Arial" w:eastAsia="Arial" w:hAnsi="Arial"/>
          <w:sz w:val="10"/>
          <w:szCs w:val="10"/>
          <w:color w:val="auto"/>
        </w:rPr>
        <w:t>Foreign exchange gains and losses arise in the normal course of business from the recognition of receivables and payables and other monetary items in currencies other than an entity’s functional currency. Foreign exchange risk may also arise in connection with capital expenditure. For major projects, an assessment is made at the final investment decision stage whether to hedge any resulting exposure.</w:t>
      </w:r>
    </w:p>
    <w:p>
      <w:pPr>
        <w:spacing w:after="0" w:line="149" w:lineRule="exact"/>
        <w:rPr>
          <w:sz w:val="20"/>
          <w:szCs w:val="20"/>
          <w:color w:val="auto"/>
        </w:rPr>
      </w:pPr>
    </w:p>
    <w:p>
      <w:pPr>
        <w:ind w:right="400"/>
        <w:spacing w:after="0" w:line="239" w:lineRule="auto"/>
        <w:rPr>
          <w:sz w:val="20"/>
          <w:szCs w:val="20"/>
          <w:color w:val="auto"/>
        </w:rPr>
      </w:pPr>
      <w:r>
        <w:rPr>
          <w:rFonts w:ascii="Arial" w:cs="Arial" w:eastAsia="Arial" w:hAnsi="Arial"/>
          <w:sz w:val="10"/>
          <w:szCs w:val="10"/>
          <w:color w:val="auto"/>
        </w:rPr>
        <w:t>Assuming other factors (principally interest rates and commodity prices) remained constant and that no further foreign exchange risk management action were taken, a 10% appreciation against the dollar at December 31 of the main currencies to which Shell is exposed would have the following effects: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00" w:type="dxa"/>
            <w:vAlign w:val="bottom"/>
            <w:shd w:val="clear" w:color="auto" w:fill="CDCDCD"/>
          </w:tcPr>
          <w:p>
            <w:pPr>
              <w:spacing w:after="0"/>
              <w:rPr>
                <w:sz w:val="10"/>
                <w:szCs w:val="10"/>
                <w:color w:val="auto"/>
              </w:rPr>
            </w:pPr>
          </w:p>
        </w:tc>
        <w:tc>
          <w:tcPr>
            <w:tcW w:w="3100" w:type="dxa"/>
            <w:vAlign w:val="bottom"/>
            <w:shd w:val="clear" w:color="auto" w:fill="CDCDCD"/>
          </w:tcPr>
          <w:p>
            <w:pPr>
              <w:spacing w:after="0"/>
              <w:rPr>
                <w:sz w:val="10"/>
                <w:szCs w:val="10"/>
                <w:color w:val="auto"/>
              </w:rPr>
            </w:pPr>
          </w:p>
        </w:tc>
        <w:tc>
          <w:tcPr>
            <w:tcW w:w="1760" w:type="dxa"/>
            <w:vAlign w:val="bottom"/>
            <w:shd w:val="clear" w:color="auto" w:fill="CDCDCD"/>
          </w:tcPr>
          <w:p>
            <w:pPr>
              <w:spacing w:after="0"/>
              <w:rPr>
                <w:sz w:val="10"/>
                <w:szCs w:val="10"/>
                <w:color w:val="auto"/>
              </w:rPr>
            </w:pPr>
          </w:p>
        </w:tc>
        <w:tc>
          <w:tcPr>
            <w:tcW w:w="1100" w:type="dxa"/>
            <w:vAlign w:val="bottom"/>
            <w:shd w:val="clear" w:color="auto" w:fill="CDCDCD"/>
          </w:tcPr>
          <w:p>
            <w:pPr>
              <w:spacing w:after="0"/>
              <w:rPr>
                <w:sz w:val="10"/>
                <w:szCs w:val="10"/>
                <w:color w:val="auto"/>
              </w:rPr>
            </w:pPr>
          </w:p>
        </w:tc>
        <w:tc>
          <w:tcPr>
            <w:tcW w:w="1080" w:type="dxa"/>
            <w:vAlign w:val="bottom"/>
            <w:shd w:val="clear" w:color="auto" w:fill="CDCDCD"/>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2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95"/>
        </w:trPr>
        <w:tc>
          <w:tcPr>
            <w:tcW w:w="42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760" w:type="dxa"/>
            <w:vAlign w:val="bottom"/>
          </w:tcPr>
          <w:p>
            <w:pPr>
              <w:jc w:val="right"/>
              <w:ind w:right="552"/>
              <w:spacing w:after="0" w:line="95" w:lineRule="exact"/>
              <w:rPr>
                <w:sz w:val="20"/>
                <w:szCs w:val="20"/>
                <w:color w:val="auto"/>
              </w:rPr>
            </w:pPr>
            <w:r>
              <w:rPr>
                <w:rFonts w:ascii="Arial" w:cs="Arial" w:eastAsia="Arial" w:hAnsi="Arial"/>
                <w:sz w:val="10"/>
                <w:szCs w:val="10"/>
                <w:color w:val="auto"/>
              </w:rPr>
              <w:t>Increase/(decrease)</w:t>
            </w:r>
          </w:p>
        </w:tc>
        <w:tc>
          <w:tcPr>
            <w:tcW w:w="110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0"/>
                <w:szCs w:val="10"/>
                <w:color w:val="auto"/>
              </w:rPr>
              <w:t>Increase in net assets</w:t>
            </w:r>
          </w:p>
        </w:tc>
        <w:tc>
          <w:tcPr>
            <w:tcW w:w="0" w:type="dxa"/>
            <w:vAlign w:val="bottom"/>
          </w:tcPr>
          <w:p>
            <w:pPr>
              <w:spacing w:after="0"/>
              <w:rPr>
                <w:sz w:val="1"/>
                <w:szCs w:val="1"/>
                <w:color w:val="auto"/>
              </w:rPr>
            </w:pPr>
          </w:p>
        </w:tc>
      </w:tr>
      <w:tr>
        <w:trPr>
          <w:trHeight w:val="121"/>
        </w:trPr>
        <w:tc>
          <w:tcPr>
            <w:tcW w:w="42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760" w:type="dxa"/>
            <w:vAlign w:val="bottom"/>
          </w:tcPr>
          <w:p>
            <w:pPr>
              <w:jc w:val="right"/>
              <w:ind w:right="552"/>
              <w:spacing w:after="0"/>
              <w:rPr>
                <w:sz w:val="20"/>
                <w:szCs w:val="20"/>
                <w:color w:val="auto"/>
              </w:rPr>
            </w:pPr>
            <w:r>
              <w:rPr>
                <w:rFonts w:ascii="Arial" w:cs="Arial" w:eastAsia="Arial" w:hAnsi="Arial"/>
                <w:sz w:val="10"/>
                <w:szCs w:val="10"/>
                <w:color w:val="auto"/>
              </w:rPr>
              <w:t>in income before taxation</w:t>
            </w:r>
          </w:p>
        </w:tc>
        <w:tc>
          <w:tcPr>
            <w:tcW w:w="1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20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tcPr>
          <w:p>
            <w:pPr>
              <w:ind w:left="2720"/>
              <w:spacing w:after="0"/>
              <w:rPr>
                <w:sz w:val="20"/>
                <w:szCs w:val="20"/>
                <w:color w:val="auto"/>
              </w:rPr>
            </w:pPr>
            <w:r>
              <w:rPr>
                <w:rFonts w:ascii="Arial" w:cs="Arial" w:eastAsia="Arial" w:hAnsi="Arial"/>
                <w:sz w:val="10"/>
                <w:szCs w:val="10"/>
                <w:color w:val="auto"/>
              </w:rPr>
              <w:t>2020</w:t>
            </w:r>
          </w:p>
        </w:tc>
        <w:tc>
          <w:tcPr>
            <w:tcW w:w="176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2019</w:t>
            </w: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2020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0" w:type="dxa"/>
            <w:vAlign w:val="bottom"/>
          </w:tcPr>
          <w:p>
            <w:pPr>
              <w:spacing w:after="0"/>
              <w:rPr>
                <w:sz w:val="1"/>
                <w:szCs w:val="1"/>
                <w:color w:val="auto"/>
              </w:rPr>
            </w:pPr>
          </w:p>
        </w:tc>
      </w:tr>
      <w:tr>
        <w:trPr>
          <w:trHeight w:val="110"/>
        </w:trPr>
        <w:tc>
          <w:tcPr>
            <w:tcW w:w="4200" w:type="dxa"/>
            <w:vAlign w:val="bottom"/>
          </w:tcPr>
          <w:p>
            <w:pPr>
              <w:spacing w:after="0" w:line="111" w:lineRule="exact"/>
              <w:rPr>
                <w:sz w:val="20"/>
                <w:szCs w:val="20"/>
                <w:color w:val="auto"/>
              </w:rPr>
            </w:pPr>
            <w:r>
              <w:rPr>
                <w:rFonts w:ascii="Arial" w:cs="Arial" w:eastAsia="Arial" w:hAnsi="Arial"/>
                <w:sz w:val="10"/>
                <w:szCs w:val="10"/>
                <w:color w:val="auto"/>
              </w:rPr>
              <w:t>10% appreciation against the dollar of:</w:t>
            </w:r>
          </w:p>
        </w:tc>
        <w:tc>
          <w:tcPr>
            <w:tcW w:w="3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200" w:type="dxa"/>
            <w:vAlign w:val="bottom"/>
          </w:tcPr>
          <w:p>
            <w:pPr>
              <w:ind w:left="80"/>
              <w:spacing w:after="0"/>
              <w:rPr>
                <w:sz w:val="20"/>
                <w:szCs w:val="20"/>
                <w:color w:val="auto"/>
              </w:rPr>
            </w:pPr>
            <w:r>
              <w:rPr>
                <w:rFonts w:ascii="Arial" w:cs="Arial" w:eastAsia="Arial" w:hAnsi="Arial"/>
                <w:sz w:val="10"/>
                <w:szCs w:val="10"/>
                <w:color w:val="auto"/>
              </w:rPr>
              <w:t>Euro</w:t>
            </w:r>
          </w:p>
        </w:tc>
        <w:tc>
          <w:tcPr>
            <w:tcW w:w="3100" w:type="dxa"/>
            <w:vAlign w:val="bottom"/>
          </w:tcPr>
          <w:p>
            <w:pPr>
              <w:ind w:left="2720"/>
              <w:spacing w:after="0"/>
              <w:rPr>
                <w:sz w:val="20"/>
                <w:szCs w:val="20"/>
                <w:color w:val="auto"/>
              </w:rPr>
            </w:pPr>
            <w:r>
              <w:rPr>
                <w:rFonts w:ascii="Arial" w:cs="Arial" w:eastAsia="Arial" w:hAnsi="Arial"/>
                <w:sz w:val="10"/>
                <w:szCs w:val="10"/>
                <w:color w:val="auto"/>
              </w:rPr>
              <w:t>(263)</w:t>
            </w:r>
          </w:p>
        </w:tc>
        <w:tc>
          <w:tcPr>
            <w:tcW w:w="1760" w:type="dxa"/>
            <w:vAlign w:val="bottom"/>
          </w:tcPr>
          <w:p>
            <w:pPr>
              <w:jc w:val="right"/>
              <w:ind w:right="572"/>
              <w:spacing w:after="0"/>
              <w:rPr>
                <w:sz w:val="20"/>
                <w:szCs w:val="20"/>
                <w:color w:val="auto"/>
              </w:rPr>
            </w:pPr>
            <w:r>
              <w:rPr>
                <w:rFonts w:ascii="Arial" w:cs="Arial" w:eastAsia="Arial" w:hAnsi="Arial"/>
                <w:sz w:val="10"/>
                <w:szCs w:val="10"/>
                <w:color w:val="auto"/>
              </w:rPr>
              <w:t>36</w:t>
            </w:r>
          </w:p>
        </w:tc>
        <w:tc>
          <w:tcPr>
            <w:tcW w:w="1100" w:type="dxa"/>
            <w:vAlign w:val="bottom"/>
          </w:tcPr>
          <w:p>
            <w:pPr>
              <w:jc w:val="right"/>
              <w:ind w:right="252"/>
              <w:spacing w:after="0"/>
              <w:rPr>
                <w:sz w:val="20"/>
                <w:szCs w:val="20"/>
                <w:color w:val="auto"/>
              </w:rPr>
            </w:pPr>
            <w:r>
              <w:rPr>
                <w:rFonts w:ascii="Arial" w:cs="Arial" w:eastAsia="Arial" w:hAnsi="Arial"/>
                <w:sz w:val="10"/>
                <w:szCs w:val="10"/>
                <w:color w:val="auto"/>
              </w:rPr>
              <w:t>451</w:t>
            </w:r>
          </w:p>
        </w:tc>
        <w:tc>
          <w:tcPr>
            <w:tcW w:w="1080" w:type="dxa"/>
            <w:vAlign w:val="bottom"/>
          </w:tcPr>
          <w:p>
            <w:pPr>
              <w:jc w:val="right"/>
              <w:spacing w:after="0"/>
              <w:rPr>
                <w:sz w:val="20"/>
                <w:szCs w:val="20"/>
                <w:color w:val="auto"/>
              </w:rPr>
            </w:pPr>
            <w:r>
              <w:rPr>
                <w:rFonts w:ascii="Arial" w:cs="Arial" w:eastAsia="Arial" w:hAnsi="Arial"/>
                <w:sz w:val="10"/>
                <w:szCs w:val="10"/>
                <w:color w:val="auto"/>
              </w:rPr>
              <w:t>1,227</w:t>
            </w:r>
          </w:p>
        </w:tc>
        <w:tc>
          <w:tcPr>
            <w:tcW w:w="0" w:type="dxa"/>
            <w:vAlign w:val="bottom"/>
          </w:tcPr>
          <w:p>
            <w:pPr>
              <w:spacing w:after="0"/>
              <w:rPr>
                <w:sz w:val="1"/>
                <w:szCs w:val="1"/>
                <w:color w:val="auto"/>
              </w:rPr>
            </w:pPr>
          </w:p>
        </w:tc>
      </w:tr>
      <w:tr>
        <w:trPr>
          <w:trHeight w:val="126"/>
        </w:trPr>
        <w:tc>
          <w:tcPr>
            <w:tcW w:w="4200" w:type="dxa"/>
            <w:vAlign w:val="bottom"/>
          </w:tcPr>
          <w:p>
            <w:pPr>
              <w:ind w:left="80"/>
              <w:spacing w:after="0"/>
              <w:rPr>
                <w:sz w:val="20"/>
                <w:szCs w:val="20"/>
                <w:color w:val="auto"/>
              </w:rPr>
            </w:pPr>
            <w:r>
              <w:rPr>
                <w:rFonts w:ascii="Arial" w:cs="Arial" w:eastAsia="Arial" w:hAnsi="Arial"/>
                <w:sz w:val="10"/>
                <w:szCs w:val="10"/>
                <w:color w:val="auto"/>
              </w:rPr>
              <w:t>Malaysian ringgit</w:t>
            </w:r>
          </w:p>
        </w:tc>
        <w:tc>
          <w:tcPr>
            <w:tcW w:w="3100" w:type="dxa"/>
            <w:vAlign w:val="bottom"/>
          </w:tcPr>
          <w:p>
            <w:pPr>
              <w:jc w:val="right"/>
              <w:ind w:right="152"/>
              <w:spacing w:after="0"/>
              <w:rPr>
                <w:sz w:val="20"/>
                <w:szCs w:val="20"/>
                <w:color w:val="auto"/>
              </w:rPr>
            </w:pPr>
            <w:r>
              <w:rPr>
                <w:rFonts w:ascii="Arial" w:cs="Arial" w:eastAsia="Arial" w:hAnsi="Arial"/>
                <w:sz w:val="10"/>
                <w:szCs w:val="10"/>
                <w:color w:val="auto"/>
              </w:rPr>
              <w:t>255</w:t>
            </w:r>
          </w:p>
        </w:tc>
        <w:tc>
          <w:tcPr>
            <w:tcW w:w="1760" w:type="dxa"/>
            <w:vAlign w:val="bottom"/>
          </w:tcPr>
          <w:p>
            <w:pPr>
              <w:jc w:val="right"/>
              <w:ind w:right="572"/>
              <w:spacing w:after="0"/>
              <w:rPr>
                <w:sz w:val="20"/>
                <w:szCs w:val="20"/>
                <w:color w:val="auto"/>
              </w:rPr>
            </w:pPr>
            <w:r>
              <w:rPr>
                <w:rFonts w:ascii="Arial" w:cs="Arial" w:eastAsia="Arial" w:hAnsi="Arial"/>
                <w:sz w:val="10"/>
                <w:szCs w:val="10"/>
                <w:color w:val="auto"/>
              </w:rPr>
              <w:t>243</w:t>
            </w:r>
          </w:p>
        </w:tc>
        <w:tc>
          <w:tcPr>
            <w:tcW w:w="1100" w:type="dxa"/>
            <w:vAlign w:val="bottom"/>
          </w:tcPr>
          <w:p>
            <w:pPr>
              <w:jc w:val="right"/>
              <w:ind w:right="252"/>
              <w:spacing w:after="0"/>
              <w:rPr>
                <w:sz w:val="20"/>
                <w:szCs w:val="20"/>
                <w:color w:val="auto"/>
              </w:rPr>
            </w:pPr>
            <w:r>
              <w:rPr>
                <w:rFonts w:ascii="Arial" w:cs="Arial" w:eastAsia="Arial" w:hAnsi="Arial"/>
                <w:sz w:val="10"/>
                <w:szCs w:val="10"/>
                <w:color w:val="auto"/>
              </w:rPr>
              <w:t>270</w:t>
            </w:r>
          </w:p>
        </w:tc>
        <w:tc>
          <w:tcPr>
            <w:tcW w:w="1080" w:type="dxa"/>
            <w:vAlign w:val="bottom"/>
          </w:tcPr>
          <w:p>
            <w:pPr>
              <w:jc w:val="right"/>
              <w:spacing w:after="0"/>
              <w:rPr>
                <w:sz w:val="20"/>
                <w:szCs w:val="20"/>
                <w:color w:val="auto"/>
              </w:rPr>
            </w:pPr>
            <w:r>
              <w:rPr>
                <w:rFonts w:ascii="Arial" w:cs="Arial" w:eastAsia="Arial" w:hAnsi="Arial"/>
                <w:sz w:val="10"/>
                <w:szCs w:val="10"/>
                <w:color w:val="auto"/>
              </w:rPr>
              <w:t>290</w:t>
            </w:r>
          </w:p>
        </w:tc>
        <w:tc>
          <w:tcPr>
            <w:tcW w:w="0" w:type="dxa"/>
            <w:vAlign w:val="bottom"/>
          </w:tcPr>
          <w:p>
            <w:pPr>
              <w:spacing w:after="0"/>
              <w:rPr>
                <w:sz w:val="1"/>
                <w:szCs w:val="1"/>
                <w:color w:val="auto"/>
              </w:rPr>
            </w:pPr>
          </w:p>
        </w:tc>
      </w:tr>
      <w:tr>
        <w:trPr>
          <w:trHeight w:val="126"/>
        </w:trPr>
        <w:tc>
          <w:tcPr>
            <w:tcW w:w="4200" w:type="dxa"/>
            <w:vAlign w:val="bottom"/>
          </w:tcPr>
          <w:p>
            <w:pPr>
              <w:ind w:left="80"/>
              <w:spacing w:after="0"/>
              <w:rPr>
                <w:sz w:val="20"/>
                <w:szCs w:val="20"/>
                <w:color w:val="auto"/>
              </w:rPr>
            </w:pPr>
            <w:r>
              <w:rPr>
                <w:rFonts w:ascii="Arial" w:cs="Arial" w:eastAsia="Arial" w:hAnsi="Arial"/>
                <w:sz w:val="10"/>
                <w:szCs w:val="10"/>
                <w:color w:val="auto"/>
              </w:rPr>
              <w:t>Australian dollar</w:t>
            </w:r>
          </w:p>
        </w:tc>
        <w:tc>
          <w:tcPr>
            <w:tcW w:w="3100" w:type="dxa"/>
            <w:vAlign w:val="bottom"/>
          </w:tcPr>
          <w:p>
            <w:pPr>
              <w:jc w:val="right"/>
              <w:ind w:right="152"/>
              <w:spacing w:after="0"/>
              <w:rPr>
                <w:sz w:val="20"/>
                <w:szCs w:val="20"/>
                <w:color w:val="auto"/>
              </w:rPr>
            </w:pPr>
            <w:r>
              <w:rPr>
                <w:rFonts w:ascii="Arial" w:cs="Arial" w:eastAsia="Arial" w:hAnsi="Arial"/>
                <w:sz w:val="10"/>
                <w:szCs w:val="10"/>
                <w:color w:val="auto"/>
              </w:rPr>
              <w:t>179</w:t>
            </w:r>
          </w:p>
        </w:tc>
        <w:tc>
          <w:tcPr>
            <w:tcW w:w="1760" w:type="dxa"/>
            <w:vAlign w:val="bottom"/>
          </w:tcPr>
          <w:p>
            <w:pPr>
              <w:jc w:val="right"/>
              <w:ind w:right="552"/>
              <w:spacing w:after="0"/>
              <w:rPr>
                <w:sz w:val="20"/>
                <w:szCs w:val="20"/>
                <w:color w:val="auto"/>
              </w:rPr>
            </w:pPr>
            <w:r>
              <w:rPr>
                <w:rFonts w:ascii="Arial" w:cs="Arial" w:eastAsia="Arial" w:hAnsi="Arial"/>
                <w:sz w:val="10"/>
                <w:szCs w:val="10"/>
                <w:color w:val="auto"/>
              </w:rPr>
              <w:t>(55)</w:t>
            </w:r>
          </w:p>
        </w:tc>
        <w:tc>
          <w:tcPr>
            <w:tcW w:w="1100" w:type="dxa"/>
            <w:vAlign w:val="bottom"/>
          </w:tcPr>
          <w:p>
            <w:pPr>
              <w:jc w:val="right"/>
              <w:ind w:right="252"/>
              <w:spacing w:after="0"/>
              <w:rPr>
                <w:sz w:val="20"/>
                <w:szCs w:val="20"/>
                <w:color w:val="auto"/>
              </w:rPr>
            </w:pPr>
            <w:r>
              <w:rPr>
                <w:rFonts w:ascii="Arial" w:cs="Arial" w:eastAsia="Arial" w:hAnsi="Arial"/>
                <w:sz w:val="10"/>
                <w:szCs w:val="10"/>
                <w:color w:val="auto"/>
              </w:rPr>
              <w:t>598</w:t>
            </w:r>
          </w:p>
        </w:tc>
        <w:tc>
          <w:tcPr>
            <w:tcW w:w="1080" w:type="dxa"/>
            <w:vAlign w:val="bottom"/>
          </w:tcPr>
          <w:p>
            <w:pPr>
              <w:jc w:val="right"/>
              <w:spacing w:after="0"/>
              <w:rPr>
                <w:sz w:val="20"/>
                <w:szCs w:val="20"/>
                <w:color w:val="auto"/>
              </w:rPr>
            </w:pPr>
            <w:r>
              <w:rPr>
                <w:rFonts w:ascii="Arial" w:cs="Arial" w:eastAsia="Arial" w:hAnsi="Arial"/>
                <w:sz w:val="10"/>
                <w:szCs w:val="10"/>
                <w:color w:val="auto"/>
              </w:rPr>
              <w:t>835</w:t>
            </w:r>
          </w:p>
        </w:tc>
        <w:tc>
          <w:tcPr>
            <w:tcW w:w="0" w:type="dxa"/>
            <w:vAlign w:val="bottom"/>
          </w:tcPr>
          <w:p>
            <w:pPr>
              <w:spacing w:after="0"/>
              <w:rPr>
                <w:sz w:val="1"/>
                <w:szCs w:val="1"/>
                <w:color w:val="auto"/>
              </w:rPr>
            </w:pPr>
          </w:p>
        </w:tc>
      </w:tr>
      <w:tr>
        <w:trPr>
          <w:trHeight w:val="126"/>
        </w:trPr>
        <w:tc>
          <w:tcPr>
            <w:tcW w:w="4200" w:type="dxa"/>
            <w:vAlign w:val="bottom"/>
          </w:tcPr>
          <w:p>
            <w:pPr>
              <w:ind w:left="80"/>
              <w:spacing w:after="0"/>
              <w:rPr>
                <w:sz w:val="20"/>
                <w:szCs w:val="20"/>
                <w:color w:val="auto"/>
              </w:rPr>
            </w:pPr>
            <w:r>
              <w:rPr>
                <w:rFonts w:ascii="Arial" w:cs="Arial" w:eastAsia="Arial" w:hAnsi="Arial"/>
                <w:sz w:val="10"/>
                <w:szCs w:val="10"/>
                <w:color w:val="auto"/>
              </w:rPr>
              <w:t>Sterling</w:t>
            </w:r>
          </w:p>
        </w:tc>
        <w:tc>
          <w:tcPr>
            <w:tcW w:w="3100" w:type="dxa"/>
            <w:vAlign w:val="bottom"/>
          </w:tcPr>
          <w:p>
            <w:pPr>
              <w:ind w:left="2720"/>
              <w:spacing w:after="0"/>
              <w:rPr>
                <w:sz w:val="20"/>
                <w:szCs w:val="20"/>
                <w:color w:val="auto"/>
              </w:rPr>
            </w:pPr>
            <w:r>
              <w:rPr>
                <w:rFonts w:ascii="Arial" w:cs="Arial" w:eastAsia="Arial" w:hAnsi="Arial"/>
                <w:sz w:val="10"/>
                <w:szCs w:val="10"/>
                <w:color w:val="auto"/>
              </w:rPr>
              <w:t>(166)</w:t>
            </w:r>
          </w:p>
        </w:tc>
        <w:tc>
          <w:tcPr>
            <w:tcW w:w="1760" w:type="dxa"/>
            <w:vAlign w:val="bottom"/>
          </w:tcPr>
          <w:p>
            <w:pPr>
              <w:jc w:val="right"/>
              <w:ind w:right="552"/>
              <w:spacing w:after="0"/>
              <w:rPr>
                <w:sz w:val="20"/>
                <w:szCs w:val="20"/>
                <w:color w:val="auto"/>
              </w:rPr>
            </w:pPr>
            <w:r>
              <w:rPr>
                <w:rFonts w:ascii="Arial" w:cs="Arial" w:eastAsia="Arial" w:hAnsi="Arial"/>
                <w:sz w:val="10"/>
                <w:szCs w:val="10"/>
                <w:color w:val="auto"/>
              </w:rPr>
              <w:t>(58)</w:t>
            </w:r>
          </w:p>
        </w:tc>
        <w:tc>
          <w:tcPr>
            <w:tcW w:w="1100" w:type="dxa"/>
            <w:vAlign w:val="bottom"/>
          </w:tcPr>
          <w:p>
            <w:pPr>
              <w:jc w:val="right"/>
              <w:ind w:right="252"/>
              <w:spacing w:after="0"/>
              <w:rPr>
                <w:sz w:val="20"/>
                <w:szCs w:val="20"/>
                <w:color w:val="auto"/>
              </w:rPr>
            </w:pPr>
            <w:r>
              <w:rPr>
                <w:rFonts w:ascii="Arial" w:cs="Arial" w:eastAsia="Arial" w:hAnsi="Arial"/>
                <w:sz w:val="10"/>
                <w:szCs w:val="10"/>
                <w:color w:val="auto"/>
              </w:rPr>
              <w:t>328</w:t>
            </w:r>
          </w:p>
        </w:tc>
        <w:tc>
          <w:tcPr>
            <w:tcW w:w="1080" w:type="dxa"/>
            <w:vAlign w:val="bottom"/>
          </w:tcPr>
          <w:p>
            <w:pPr>
              <w:jc w:val="right"/>
              <w:spacing w:after="0"/>
              <w:rPr>
                <w:sz w:val="20"/>
                <w:szCs w:val="20"/>
                <w:color w:val="auto"/>
              </w:rPr>
            </w:pPr>
            <w:r>
              <w:rPr>
                <w:rFonts w:ascii="Arial" w:cs="Arial" w:eastAsia="Arial" w:hAnsi="Arial"/>
                <w:sz w:val="10"/>
                <w:szCs w:val="10"/>
                <w:color w:val="auto"/>
              </w:rPr>
              <w:t>581</w:t>
            </w:r>
          </w:p>
        </w:tc>
        <w:tc>
          <w:tcPr>
            <w:tcW w:w="0" w:type="dxa"/>
            <w:vAlign w:val="bottom"/>
          </w:tcPr>
          <w:p>
            <w:pPr>
              <w:spacing w:after="0"/>
              <w:rPr>
                <w:sz w:val="1"/>
                <w:szCs w:val="1"/>
                <w:color w:val="auto"/>
              </w:rPr>
            </w:pPr>
          </w:p>
        </w:tc>
      </w:tr>
      <w:tr>
        <w:trPr>
          <w:trHeight w:val="130"/>
        </w:trPr>
        <w:tc>
          <w:tcPr>
            <w:tcW w:w="420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Canadian dollar</w:t>
            </w:r>
          </w:p>
        </w:tc>
        <w:tc>
          <w:tcPr>
            <w:tcW w:w="31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1</w:t>
            </w:r>
          </w:p>
        </w:tc>
        <w:tc>
          <w:tcPr>
            <w:tcW w:w="176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(97)</w:t>
            </w: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1,299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1,380</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60"/>
        <w:spacing w:after="0" w:line="239" w:lineRule="auto"/>
        <w:rPr>
          <w:sz w:val="20"/>
          <w:szCs w:val="20"/>
          <w:color w:val="auto"/>
        </w:rPr>
      </w:pPr>
      <w:r>
        <w:rPr>
          <w:rFonts w:ascii="Arial" w:cs="Arial" w:eastAsia="Arial" w:hAnsi="Arial"/>
          <w:sz w:val="10"/>
          <w:szCs w:val="10"/>
          <w:color w:val="auto"/>
        </w:rPr>
        <w:t>The above sensitivity information was calculated by reference to carrying amounts of assets and liabilities at December 31 only. The effect on income before taxation arises in connection with monetary balances denominated in currencies other than an entity’s functional currency; the effect on net assets arises principally from the translation of assets and liabilities of entities that are not dollar-functional.</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199</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202" w:name="page203"/>
    <w:bookmarkEnd w:id="202"/>
    <w:p>
      <w:pPr>
        <w:spacing w:after="0"/>
        <w:rPr>
          <w:sz w:val="20"/>
          <w:szCs w:val="20"/>
          <w:color w:val="auto"/>
        </w:rPr>
      </w:pPr>
      <w:r>
        <w:rPr>
          <w:rFonts w:ascii="Arial" w:cs="Arial" w:eastAsia="Arial" w:hAnsi="Arial"/>
          <w:sz w:val="10"/>
          <w:szCs w:val="10"/>
          <w:color w:val="auto"/>
        </w:rPr>
        <w:t>Foreign exchange gains and losses included in income are presented in Note 5.</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666666"/>
        </w:rPr>
        <w:t>Commodity price risk</w:t>
      </w:r>
    </w:p>
    <w:p>
      <w:pPr>
        <w:spacing w:after="0" w:line="1" w:lineRule="exact"/>
        <w:rPr>
          <w:sz w:val="20"/>
          <w:szCs w:val="20"/>
          <w:color w:val="auto"/>
        </w:rPr>
      </w:pPr>
    </w:p>
    <w:p>
      <w:pPr>
        <w:ind w:right="60"/>
        <w:spacing w:after="0" w:line="337" w:lineRule="auto"/>
        <w:rPr>
          <w:sz w:val="20"/>
          <w:szCs w:val="20"/>
          <w:color w:val="auto"/>
        </w:rPr>
      </w:pPr>
      <w:r>
        <w:rPr>
          <w:rFonts w:ascii="Arial" w:cs="Arial" w:eastAsia="Arial" w:hAnsi="Arial"/>
          <w:sz w:val="8"/>
          <w:szCs w:val="8"/>
          <w:color w:val="auto"/>
        </w:rPr>
        <w:t>Certain subsidiaries have a mandate to trade crude oil, natural gas, LNG, refined products, chemical feedstocks, power and carbon-emission rights, and to use commodity derivative contracts (forwards, futures, swaps and options) as a means of managing price and timing risks arising from this trading activity. In effecting these transactions, the entities concerned operate within procedures and policies designed to ensure that risks, including those relating to the default of counterparties, are managed within authorised limits.</w:t>
      </w:r>
    </w:p>
    <w:p>
      <w:pPr>
        <w:spacing w:after="0" w:line="112" w:lineRule="exact"/>
        <w:rPr>
          <w:sz w:val="20"/>
          <w:szCs w:val="20"/>
          <w:color w:val="auto"/>
        </w:rPr>
      </w:pPr>
    </w:p>
    <w:p>
      <w:pPr>
        <w:jc w:val="both"/>
        <w:ind w:right="40"/>
        <w:spacing w:after="0" w:line="320" w:lineRule="auto"/>
        <w:rPr>
          <w:sz w:val="20"/>
          <w:szCs w:val="20"/>
          <w:color w:val="auto"/>
        </w:rPr>
      </w:pPr>
      <w:r>
        <w:rPr>
          <w:rFonts w:ascii="Arial" w:cs="Arial" w:eastAsia="Arial" w:hAnsi="Arial"/>
          <w:sz w:val="8"/>
          <w:szCs w:val="8"/>
          <w:color w:val="auto"/>
        </w:rPr>
        <w:t>Value-at-risk (VAR) techniques based on variance/covariance or Monte Carlo simulation models are used to make a statistical assessment of the market risk arising from possible future changes in market values over a 1-day holding period and within a 95% confidence level. The calculation of potential changes in fair value takes into account positions, the history of price movements and the correlation of these price movements. Models are regularly reviewed against actual fair value movements to ensure integrity is maintained. The VAR year-end positions in respect of commodities traded in active markets, which are presented in the table below, are calculated on a diversified basis in order to reflect the effect of offsetting risk within combined portfolios.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060" w:type="dxa"/>
            <w:vAlign w:val="bottom"/>
            <w:tcBorders>
              <w:top w:val="single" w:sz="8" w:color="CDCDCD"/>
            </w:tcBorders>
          </w:tcPr>
          <w:p>
            <w:pPr>
              <w:ind w:left="20"/>
              <w:spacing w:after="0"/>
              <w:rPr>
                <w:sz w:val="20"/>
                <w:szCs w:val="20"/>
                <w:color w:val="auto"/>
              </w:rPr>
            </w:pPr>
            <w:r>
              <w:rPr>
                <w:rFonts w:ascii="Arial" w:cs="Arial" w:eastAsia="Arial" w:hAnsi="Arial"/>
                <w:sz w:val="10"/>
                <w:szCs w:val="10"/>
                <w:color w:val="auto"/>
              </w:rPr>
              <w:t>Value-at-risk (pre-tax)</w:t>
            </w:r>
          </w:p>
        </w:tc>
        <w:tc>
          <w:tcPr>
            <w:tcW w:w="5040" w:type="dxa"/>
            <w:vAlign w:val="bottom"/>
            <w:tcBorders>
              <w:top w:val="single" w:sz="8" w:color="CDCDCD"/>
            </w:tcBorders>
          </w:tcPr>
          <w:p>
            <w:pPr>
              <w:spacing w:after="0"/>
              <w:rPr>
                <w:sz w:val="13"/>
                <w:szCs w:val="13"/>
                <w:color w:val="auto"/>
              </w:rPr>
            </w:pPr>
          </w:p>
        </w:tc>
        <w:tc>
          <w:tcPr>
            <w:tcW w:w="118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5060" w:type="dxa"/>
            <w:vAlign w:val="bottom"/>
            <w:tcBorders>
              <w:bottom w:val="single" w:sz="8" w:color="auto"/>
            </w:tcBorders>
          </w:tcPr>
          <w:p>
            <w:pPr>
              <w:spacing w:after="0"/>
              <w:rPr>
                <w:sz w:val="11"/>
                <w:szCs w:val="11"/>
                <w:color w:val="auto"/>
              </w:rPr>
            </w:pPr>
          </w:p>
        </w:tc>
        <w:tc>
          <w:tcPr>
            <w:tcW w:w="50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December 31, 2020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December 31, 2019</w:t>
            </w:r>
          </w:p>
        </w:tc>
      </w:tr>
      <w:tr>
        <w:trPr>
          <w:trHeight w:val="114"/>
        </w:trPr>
        <w:tc>
          <w:tcPr>
            <w:tcW w:w="5060" w:type="dxa"/>
            <w:vAlign w:val="bottom"/>
          </w:tcPr>
          <w:p>
            <w:pPr>
              <w:ind w:left="20"/>
              <w:spacing w:after="0"/>
              <w:rPr>
                <w:sz w:val="20"/>
                <w:szCs w:val="20"/>
                <w:color w:val="auto"/>
              </w:rPr>
            </w:pPr>
            <w:r>
              <w:rPr>
                <w:rFonts w:ascii="Arial" w:cs="Arial" w:eastAsia="Arial" w:hAnsi="Arial"/>
                <w:sz w:val="10"/>
                <w:szCs w:val="10"/>
                <w:color w:val="auto"/>
              </w:rPr>
              <w:t>Global oil</w:t>
            </w:r>
          </w:p>
        </w:tc>
        <w:tc>
          <w:tcPr>
            <w:tcW w:w="5040" w:type="dxa"/>
            <w:vAlign w:val="bottom"/>
          </w:tcPr>
          <w:p>
            <w:pPr>
              <w:jc w:val="right"/>
              <w:ind w:right="392"/>
              <w:spacing w:after="0"/>
              <w:rPr>
                <w:sz w:val="20"/>
                <w:szCs w:val="20"/>
                <w:color w:val="auto"/>
              </w:rPr>
            </w:pPr>
            <w:r>
              <w:rPr>
                <w:rFonts w:ascii="Arial" w:cs="Arial" w:eastAsia="Arial" w:hAnsi="Arial"/>
                <w:sz w:val="10"/>
                <w:szCs w:val="10"/>
                <w:color w:val="auto"/>
              </w:rPr>
              <w:t>24</w:t>
            </w:r>
          </w:p>
        </w:tc>
        <w:tc>
          <w:tcPr>
            <w:tcW w:w="1180" w:type="dxa"/>
            <w:vAlign w:val="bottom"/>
          </w:tcPr>
          <w:p>
            <w:pPr>
              <w:jc w:val="right"/>
              <w:spacing w:after="0"/>
              <w:rPr>
                <w:sz w:val="20"/>
                <w:szCs w:val="20"/>
                <w:color w:val="auto"/>
              </w:rPr>
            </w:pPr>
            <w:r>
              <w:rPr>
                <w:rFonts w:ascii="Arial" w:cs="Arial" w:eastAsia="Arial" w:hAnsi="Arial"/>
                <w:sz w:val="10"/>
                <w:szCs w:val="10"/>
                <w:color w:val="auto"/>
              </w:rPr>
              <w:t>22</w:t>
            </w:r>
          </w:p>
        </w:tc>
      </w:tr>
      <w:tr>
        <w:trPr>
          <w:trHeight w:val="123"/>
        </w:trPr>
        <w:tc>
          <w:tcPr>
            <w:tcW w:w="5060" w:type="dxa"/>
            <w:vAlign w:val="bottom"/>
          </w:tcPr>
          <w:p>
            <w:pPr>
              <w:ind w:left="20"/>
              <w:spacing w:after="0"/>
              <w:rPr>
                <w:sz w:val="20"/>
                <w:szCs w:val="20"/>
                <w:color w:val="auto"/>
              </w:rPr>
            </w:pPr>
            <w:r>
              <w:rPr>
                <w:rFonts w:ascii="Arial" w:cs="Arial" w:eastAsia="Arial" w:hAnsi="Arial"/>
                <w:sz w:val="10"/>
                <w:szCs w:val="10"/>
                <w:color w:val="auto"/>
              </w:rPr>
              <w:t>North America gas and power</w:t>
            </w:r>
          </w:p>
        </w:tc>
        <w:tc>
          <w:tcPr>
            <w:tcW w:w="5040" w:type="dxa"/>
            <w:vAlign w:val="bottom"/>
          </w:tcPr>
          <w:p>
            <w:pPr>
              <w:jc w:val="right"/>
              <w:ind w:right="392"/>
              <w:spacing w:after="0"/>
              <w:rPr>
                <w:sz w:val="20"/>
                <w:szCs w:val="20"/>
                <w:color w:val="auto"/>
              </w:rPr>
            </w:pPr>
            <w:r>
              <w:rPr>
                <w:rFonts w:ascii="Arial" w:cs="Arial" w:eastAsia="Arial" w:hAnsi="Arial"/>
                <w:sz w:val="10"/>
                <w:szCs w:val="10"/>
                <w:color w:val="auto"/>
              </w:rPr>
              <w:t>14</w:t>
            </w:r>
          </w:p>
        </w:tc>
        <w:tc>
          <w:tcPr>
            <w:tcW w:w="1180" w:type="dxa"/>
            <w:vAlign w:val="bottom"/>
          </w:tcPr>
          <w:p>
            <w:pPr>
              <w:jc w:val="right"/>
              <w:spacing w:after="0"/>
              <w:rPr>
                <w:sz w:val="20"/>
                <w:szCs w:val="20"/>
                <w:color w:val="auto"/>
              </w:rPr>
            </w:pPr>
            <w:r>
              <w:rPr>
                <w:rFonts w:ascii="Arial" w:cs="Arial" w:eastAsia="Arial" w:hAnsi="Arial"/>
                <w:sz w:val="10"/>
                <w:szCs w:val="10"/>
                <w:color w:val="auto"/>
              </w:rPr>
              <w:t>12</w:t>
            </w:r>
          </w:p>
        </w:tc>
      </w:tr>
      <w:tr>
        <w:trPr>
          <w:trHeight w:val="126"/>
        </w:trPr>
        <w:tc>
          <w:tcPr>
            <w:tcW w:w="5060" w:type="dxa"/>
            <w:vAlign w:val="bottom"/>
          </w:tcPr>
          <w:p>
            <w:pPr>
              <w:ind w:left="20"/>
              <w:spacing w:after="0"/>
              <w:rPr>
                <w:sz w:val="20"/>
                <w:szCs w:val="20"/>
                <w:color w:val="auto"/>
              </w:rPr>
            </w:pPr>
            <w:r>
              <w:rPr>
                <w:rFonts w:ascii="Arial" w:cs="Arial" w:eastAsia="Arial" w:hAnsi="Arial"/>
                <w:sz w:val="10"/>
                <w:szCs w:val="10"/>
                <w:color w:val="auto"/>
              </w:rPr>
              <w:t>Europe gas and power</w:t>
            </w:r>
          </w:p>
        </w:tc>
        <w:tc>
          <w:tcPr>
            <w:tcW w:w="5040" w:type="dxa"/>
            <w:vAlign w:val="bottom"/>
          </w:tcPr>
          <w:p>
            <w:pPr>
              <w:jc w:val="right"/>
              <w:ind w:right="392"/>
              <w:spacing w:after="0"/>
              <w:rPr>
                <w:sz w:val="20"/>
                <w:szCs w:val="20"/>
                <w:color w:val="auto"/>
              </w:rPr>
            </w:pPr>
            <w:r>
              <w:rPr>
                <w:rFonts w:ascii="Arial" w:cs="Arial" w:eastAsia="Arial" w:hAnsi="Arial"/>
                <w:sz w:val="10"/>
                <w:szCs w:val="10"/>
                <w:color w:val="auto"/>
              </w:rPr>
              <w:t>11</w:t>
            </w:r>
          </w:p>
        </w:tc>
        <w:tc>
          <w:tcPr>
            <w:tcW w:w="1180" w:type="dxa"/>
            <w:vAlign w:val="bottom"/>
          </w:tcPr>
          <w:p>
            <w:pPr>
              <w:jc w:val="right"/>
              <w:spacing w:after="0"/>
              <w:rPr>
                <w:sz w:val="20"/>
                <w:szCs w:val="20"/>
                <w:color w:val="auto"/>
              </w:rPr>
            </w:pPr>
            <w:r>
              <w:rPr>
                <w:rFonts w:ascii="Arial" w:cs="Arial" w:eastAsia="Arial" w:hAnsi="Arial"/>
                <w:sz w:val="10"/>
                <w:szCs w:val="10"/>
                <w:color w:val="auto"/>
              </w:rPr>
              <w:t>5</w:t>
            </w:r>
          </w:p>
        </w:tc>
      </w:tr>
      <w:tr>
        <w:trPr>
          <w:trHeight w:val="13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Carbon-emission rights</w:t>
            </w:r>
          </w:p>
        </w:tc>
        <w:tc>
          <w:tcPr>
            <w:tcW w:w="50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0"/>
          <w:szCs w:val="10"/>
          <w:b w:val="1"/>
          <w:bCs w:val="1"/>
          <w:color w:val="666666"/>
        </w:rPr>
        <w:t>Credit risk</w:t>
      </w:r>
    </w:p>
    <w:p>
      <w:pPr>
        <w:spacing w:after="0" w:line="3" w:lineRule="exact"/>
        <w:rPr>
          <w:sz w:val="20"/>
          <w:szCs w:val="20"/>
          <w:color w:val="auto"/>
        </w:rPr>
      </w:pPr>
    </w:p>
    <w:p>
      <w:pPr>
        <w:ind w:right="40"/>
        <w:spacing w:after="0" w:line="309" w:lineRule="auto"/>
        <w:rPr>
          <w:sz w:val="20"/>
          <w:szCs w:val="20"/>
          <w:color w:val="auto"/>
        </w:rPr>
      </w:pPr>
      <w:r>
        <w:rPr>
          <w:rFonts w:ascii="Arial" w:cs="Arial" w:eastAsia="Arial" w:hAnsi="Arial"/>
          <w:sz w:val="8"/>
          <w:szCs w:val="8"/>
          <w:color w:val="auto"/>
        </w:rPr>
        <w:t>Policies are in place to ensure that sales of products are made to customers with appropriate creditworthiness. These policies include detailed credit analysis and monitoring of trading partners against counterparty credit limits. Credit information is regularly shared between business and finance functions, with dedicated teams in place to quickly identify and respond to cases of credit deterioration. Mitigation measures are defined and implemented for higher-risk business partners and customers, and include shortened payment terms, collateral or other security posting and vigorous collections. In addition, policies limit the amount of credit exposure to any individual financial institution. There are no material concentrations of credit risk, with individual customers or geographically, and there has been no significant level of counterparty default in recent years.</w:t>
      </w:r>
    </w:p>
    <w:p>
      <w:pPr>
        <w:spacing w:after="0" w:line="123" w:lineRule="exact"/>
        <w:rPr>
          <w:sz w:val="20"/>
          <w:szCs w:val="20"/>
          <w:color w:val="auto"/>
        </w:rPr>
      </w:pPr>
    </w:p>
    <w:p>
      <w:pPr>
        <w:ind w:right="340"/>
        <w:spacing w:after="0" w:line="239" w:lineRule="auto"/>
        <w:rPr>
          <w:sz w:val="20"/>
          <w:szCs w:val="20"/>
          <w:color w:val="auto"/>
        </w:rPr>
      </w:pPr>
      <w:r>
        <w:rPr>
          <w:rFonts w:ascii="Arial" w:cs="Arial" w:eastAsia="Arial" w:hAnsi="Arial"/>
          <w:sz w:val="10"/>
          <w:szCs w:val="10"/>
          <w:color w:val="auto"/>
        </w:rPr>
        <w:t>Surplus cash is invested in a range of short-dated, secure and liquid instruments including short-term bank deposits, money market funds, reverse repos and similar instruments. The portfolio of these investments is diversified to avoid concentrating risk in any one instrument, country or counterparty. Management monitors the investments regularly and adjusts the investment portfolio in light of new market information where necessary to ensure credit risk is effectively diversified.</w:t>
      </w:r>
    </w:p>
    <w:p>
      <w:pPr>
        <w:spacing w:after="0" w:line="149" w:lineRule="exact"/>
        <w:rPr>
          <w:sz w:val="20"/>
          <w:szCs w:val="20"/>
          <w:color w:val="auto"/>
        </w:rPr>
      </w:pPr>
    </w:p>
    <w:p>
      <w:pPr>
        <w:ind w:right="400"/>
        <w:spacing w:after="0" w:line="239" w:lineRule="auto"/>
        <w:rPr>
          <w:sz w:val="20"/>
          <w:szCs w:val="20"/>
          <w:color w:val="auto"/>
        </w:rPr>
      </w:pPr>
      <w:r>
        <w:rPr>
          <w:rFonts w:ascii="Arial" w:cs="Arial" w:eastAsia="Arial" w:hAnsi="Arial"/>
          <w:sz w:val="10"/>
          <w:szCs w:val="10"/>
          <w:color w:val="auto"/>
        </w:rPr>
        <w:t>In commodity trading, counterparty credit risk is managed within a framework of credit limits with utilisation being regularly reviewed. Credit risk exposure is monitored and the acceptable level of credit exposure is determined by a credit committee. Credit checks are performed by a department independent of traders, and are undertaken before contractual commitment. Where appropriate, netting arrangements, credit insurance, prepayments and collateral are used to manage specific risks.</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0"/>
          <w:szCs w:val="10"/>
          <w:color w:val="auto"/>
        </w:rPr>
        <w:t>Shell routinely enters into offsetting, master netting and similar arrangements with trading and other counterparties to manage credit risk. Where there is a legally enforceable right of offset under such arrangements and Shell has the intention to settle on a net basis or realise the asset and settle the liability simultaneously, the net asset or liability is recognised in the Consolidated Balance Sheet, otherwise assets and liabilities are presented gross. These amounts, as presented net and gross within trade and other receivables, trade and other payables and derivative financial instruments in the Consolidated Balance Sheet at December 31,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4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2020</w:t>
            </w:r>
          </w:p>
        </w:tc>
        <w:tc>
          <w:tcPr>
            <w:tcW w:w="1760" w:type="dxa"/>
            <w:vAlign w:val="bottom"/>
            <w:tcBorders>
              <w:top w:val="single" w:sz="8" w:color="CDCDCD"/>
            </w:tcBorders>
          </w:tcPr>
          <w:p>
            <w:pPr>
              <w:spacing w:after="0"/>
              <w:rPr>
                <w:sz w:val="13"/>
                <w:szCs w:val="13"/>
                <w:color w:val="auto"/>
              </w:rPr>
            </w:pPr>
          </w:p>
        </w:tc>
        <w:tc>
          <w:tcPr>
            <w:tcW w:w="1180" w:type="dxa"/>
            <w:vAlign w:val="bottom"/>
            <w:tcBorders>
              <w:top w:val="single" w:sz="8" w:color="CDCDCD"/>
            </w:tcBorders>
          </w:tcPr>
          <w:p>
            <w:pPr>
              <w:spacing w:after="0"/>
              <w:rPr>
                <w:sz w:val="13"/>
                <w:szCs w:val="13"/>
                <w:color w:val="auto"/>
              </w:rPr>
            </w:pPr>
          </w:p>
        </w:tc>
        <w:tc>
          <w:tcPr>
            <w:tcW w:w="1280" w:type="dxa"/>
            <w:vAlign w:val="bottom"/>
            <w:tcBorders>
              <w:top w:val="single" w:sz="8" w:color="CDCDCD"/>
            </w:tcBorders>
          </w:tcPr>
          <w:p>
            <w:pPr>
              <w:spacing w:after="0"/>
              <w:rPr>
                <w:sz w:val="13"/>
                <w:szCs w:val="13"/>
                <w:color w:val="auto"/>
              </w:rPr>
            </w:pPr>
          </w:p>
        </w:tc>
        <w:tc>
          <w:tcPr>
            <w:tcW w:w="1380" w:type="dxa"/>
            <w:vAlign w:val="bottom"/>
            <w:tcBorders>
              <w:top w:val="single" w:sz="8" w:color="CDCDCD"/>
            </w:tcBorders>
          </w:tcPr>
          <w:p>
            <w:pPr>
              <w:spacing w:after="0"/>
              <w:rPr>
                <w:sz w:val="13"/>
                <w:szCs w:val="13"/>
                <w:color w:val="auto"/>
              </w:rPr>
            </w:pPr>
          </w:p>
        </w:tc>
        <w:tc>
          <w:tcPr>
            <w:tcW w:w="114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7"/>
        </w:trPr>
        <w:tc>
          <w:tcPr>
            <w:tcW w:w="3240" w:type="dxa"/>
            <w:vAlign w:val="bottom"/>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color w:val="auto"/>
              </w:rPr>
              <w:t>Amounts offset</w:t>
            </w:r>
          </w:p>
        </w:tc>
        <w:tc>
          <w:tcPr>
            <w:tcW w:w="13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Amounts not offset</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240" w:type="dxa"/>
            <w:vAlign w:val="bottom"/>
          </w:tcPr>
          <w:p>
            <w:pPr>
              <w:spacing w:after="0"/>
              <w:rPr>
                <w:sz w:val="7"/>
                <w:szCs w:val="7"/>
                <w:color w:val="auto"/>
              </w:rPr>
            </w:pPr>
          </w:p>
        </w:tc>
        <w:tc>
          <w:tcPr>
            <w:tcW w:w="1760" w:type="dxa"/>
            <w:vAlign w:val="bottom"/>
          </w:tcPr>
          <w:p>
            <w:pPr>
              <w:jc w:val="right"/>
              <w:ind w:right="433"/>
              <w:spacing w:after="0" w:line="83" w:lineRule="exact"/>
              <w:rPr>
                <w:sz w:val="20"/>
                <w:szCs w:val="20"/>
                <w:color w:val="auto"/>
              </w:rPr>
            </w:pPr>
            <w:r>
              <w:rPr>
                <w:rFonts w:ascii="Arial" w:cs="Arial" w:eastAsia="Arial" w:hAnsi="Arial"/>
                <w:sz w:val="8"/>
                <w:szCs w:val="8"/>
                <w:color w:val="auto"/>
              </w:rPr>
              <w:t>Gross amounts</w:t>
            </w:r>
          </w:p>
        </w:tc>
        <w:tc>
          <w:tcPr>
            <w:tcW w:w="1180" w:type="dxa"/>
            <w:vAlign w:val="bottom"/>
          </w:tcPr>
          <w:p>
            <w:pPr>
              <w:jc w:val="right"/>
              <w:ind w:right="295"/>
              <w:spacing w:after="0" w:line="83" w:lineRule="exact"/>
              <w:rPr>
                <w:sz w:val="20"/>
                <w:szCs w:val="20"/>
                <w:color w:val="auto"/>
              </w:rPr>
            </w:pPr>
            <w:r>
              <w:rPr>
                <w:rFonts w:ascii="Arial" w:cs="Arial" w:eastAsia="Arial" w:hAnsi="Arial"/>
                <w:sz w:val="8"/>
                <w:szCs w:val="8"/>
                <w:color w:val="auto"/>
              </w:rPr>
              <w:t>Amounts</w:t>
            </w:r>
          </w:p>
        </w:tc>
        <w:tc>
          <w:tcPr>
            <w:tcW w:w="1280" w:type="dxa"/>
            <w:vAlign w:val="bottom"/>
          </w:tcPr>
          <w:p>
            <w:pPr>
              <w:jc w:val="right"/>
              <w:ind w:right="273"/>
              <w:spacing w:after="0" w:line="83" w:lineRule="exact"/>
              <w:rPr>
                <w:sz w:val="20"/>
                <w:szCs w:val="20"/>
                <w:color w:val="auto"/>
              </w:rPr>
            </w:pPr>
            <w:r>
              <w:rPr>
                <w:rFonts w:ascii="Arial" w:cs="Arial" w:eastAsia="Arial" w:hAnsi="Arial"/>
                <w:sz w:val="8"/>
                <w:szCs w:val="8"/>
                <w:color w:val="auto"/>
              </w:rPr>
              <w:t>Net amounts</w:t>
            </w:r>
          </w:p>
        </w:tc>
        <w:tc>
          <w:tcPr>
            <w:tcW w:w="1380" w:type="dxa"/>
            <w:vAlign w:val="bottom"/>
          </w:tcPr>
          <w:p>
            <w:pPr>
              <w:jc w:val="right"/>
              <w:ind w:right="353"/>
              <w:spacing w:after="0" w:line="83" w:lineRule="exact"/>
              <w:rPr>
                <w:sz w:val="20"/>
                <w:szCs w:val="20"/>
                <w:color w:val="auto"/>
              </w:rPr>
            </w:pPr>
            <w:r>
              <w:rPr>
                <w:rFonts w:ascii="Arial" w:cs="Arial" w:eastAsia="Arial" w:hAnsi="Arial"/>
                <w:sz w:val="8"/>
                <w:szCs w:val="8"/>
                <w:color w:val="auto"/>
              </w:rPr>
              <w:t>Cash collateral</w:t>
            </w:r>
          </w:p>
        </w:tc>
        <w:tc>
          <w:tcPr>
            <w:tcW w:w="1140" w:type="dxa"/>
            <w:vAlign w:val="bottom"/>
          </w:tcPr>
          <w:p>
            <w:pPr>
              <w:jc w:val="right"/>
              <w:spacing w:after="0" w:line="83" w:lineRule="exact"/>
              <w:rPr>
                <w:sz w:val="20"/>
                <w:szCs w:val="20"/>
                <w:color w:val="auto"/>
              </w:rPr>
            </w:pPr>
            <w:r>
              <w:rPr>
                <w:rFonts w:ascii="Arial" w:cs="Arial" w:eastAsia="Arial" w:hAnsi="Arial"/>
                <w:sz w:val="8"/>
                <w:szCs w:val="8"/>
                <w:color w:val="auto"/>
              </w:rPr>
              <w:t>Other offsetting</w:t>
            </w:r>
          </w:p>
        </w:tc>
        <w:tc>
          <w:tcPr>
            <w:tcW w:w="1320" w:type="dxa"/>
            <w:vAlign w:val="bottom"/>
            <w:vMerge w:val="restart"/>
          </w:tcPr>
          <w:p>
            <w:pPr>
              <w:jc w:val="right"/>
              <w:spacing w:after="0"/>
              <w:rPr>
                <w:sz w:val="20"/>
                <w:szCs w:val="20"/>
                <w:color w:val="auto"/>
              </w:rPr>
            </w:pPr>
            <w:r>
              <w:rPr>
                <w:rFonts w:ascii="Arial" w:cs="Arial" w:eastAsia="Arial" w:hAnsi="Arial"/>
                <w:sz w:val="10"/>
                <w:szCs w:val="10"/>
                <w:color w:val="auto"/>
              </w:rPr>
              <w:t>Net amounts</w:t>
            </w:r>
          </w:p>
        </w:tc>
        <w:tc>
          <w:tcPr>
            <w:tcW w:w="0" w:type="dxa"/>
            <w:vAlign w:val="bottom"/>
          </w:tcPr>
          <w:p>
            <w:pPr>
              <w:spacing w:after="0"/>
              <w:rPr>
                <w:sz w:val="1"/>
                <w:szCs w:val="1"/>
                <w:color w:val="auto"/>
              </w:rPr>
            </w:pPr>
          </w:p>
        </w:tc>
      </w:tr>
      <w:tr>
        <w:trPr>
          <w:trHeight w:val="124"/>
        </w:trPr>
        <w:tc>
          <w:tcPr>
            <w:tcW w:w="32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before offset</w:t>
            </w:r>
          </w:p>
        </w:tc>
        <w:tc>
          <w:tcPr>
            <w:tcW w:w="1180" w:type="dxa"/>
            <w:vAlign w:val="bottom"/>
            <w:tcBorders>
              <w:bottom w:val="single" w:sz="8" w:color="auto"/>
            </w:tcBorders>
          </w:tcPr>
          <w:p>
            <w:pPr>
              <w:jc w:val="right"/>
              <w:ind w:right="295"/>
              <w:spacing w:after="0"/>
              <w:rPr>
                <w:sz w:val="20"/>
                <w:szCs w:val="20"/>
                <w:color w:val="auto"/>
              </w:rPr>
            </w:pPr>
            <w:r>
              <w:rPr>
                <w:rFonts w:ascii="Arial" w:cs="Arial" w:eastAsia="Arial" w:hAnsi="Arial"/>
                <w:sz w:val="10"/>
                <w:szCs w:val="10"/>
                <w:color w:val="auto"/>
              </w:rPr>
              <w:t>offset</w:t>
            </w: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color w:val="auto"/>
              </w:rPr>
              <w:t>as presented</w:t>
            </w:r>
          </w:p>
        </w:tc>
        <w:tc>
          <w:tcPr>
            <w:tcW w:w="1380" w:type="dxa"/>
            <w:vAlign w:val="bottom"/>
            <w:tcBorders>
              <w:bottom w:val="single" w:sz="8" w:color="auto"/>
            </w:tcBorders>
          </w:tcPr>
          <w:p>
            <w:pPr>
              <w:jc w:val="right"/>
              <w:ind w:right="353"/>
              <w:spacing w:after="0"/>
              <w:rPr>
                <w:sz w:val="20"/>
                <w:szCs w:val="20"/>
                <w:color w:val="auto"/>
              </w:rPr>
            </w:pPr>
            <w:r>
              <w:rPr>
                <w:rFonts w:ascii="Arial" w:cs="Arial" w:eastAsia="Arial" w:hAnsi="Arial"/>
                <w:sz w:val="10"/>
                <w:szCs w:val="10"/>
                <w:color w:val="auto"/>
              </w:rPr>
              <w:t>received/pledged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instruments</w:t>
            </w: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40" w:type="dxa"/>
            <w:vAlign w:val="bottom"/>
          </w:tcPr>
          <w:p>
            <w:pPr>
              <w:spacing w:after="0" w:line="113" w:lineRule="exact"/>
              <w:rPr>
                <w:sz w:val="20"/>
                <w:szCs w:val="20"/>
                <w:color w:val="auto"/>
              </w:rPr>
            </w:pPr>
            <w:r>
              <w:rPr>
                <w:rFonts w:ascii="Arial" w:cs="Arial" w:eastAsia="Arial" w:hAnsi="Arial"/>
                <w:sz w:val="10"/>
                <w:szCs w:val="10"/>
                <w:color w:val="auto"/>
              </w:rPr>
              <w:t>Assets:</w:t>
            </w:r>
          </w:p>
        </w:tc>
        <w:tc>
          <w:tcPr>
            <w:tcW w:w="1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240" w:type="dxa"/>
            <w:vAlign w:val="bottom"/>
          </w:tcPr>
          <w:p>
            <w:pPr>
              <w:ind w:left="80"/>
              <w:spacing w:after="0"/>
              <w:rPr>
                <w:sz w:val="20"/>
                <w:szCs w:val="20"/>
                <w:color w:val="auto"/>
              </w:rPr>
            </w:pPr>
            <w:r>
              <w:rPr>
                <w:rFonts w:ascii="Arial" w:cs="Arial" w:eastAsia="Arial" w:hAnsi="Arial"/>
                <w:sz w:val="10"/>
                <w:szCs w:val="10"/>
                <w:color w:val="auto"/>
              </w:rPr>
              <w:t>Within trade receivables</w:t>
            </w:r>
          </w:p>
        </w:tc>
        <w:tc>
          <w:tcPr>
            <w:tcW w:w="1760" w:type="dxa"/>
            <w:vAlign w:val="bottom"/>
          </w:tcPr>
          <w:p>
            <w:pPr>
              <w:jc w:val="right"/>
              <w:ind w:right="453"/>
              <w:spacing w:after="0"/>
              <w:rPr>
                <w:sz w:val="20"/>
                <w:szCs w:val="20"/>
                <w:color w:val="auto"/>
              </w:rPr>
            </w:pPr>
            <w:r>
              <w:rPr>
                <w:rFonts w:ascii="Arial" w:cs="Arial" w:eastAsia="Arial" w:hAnsi="Arial"/>
                <w:sz w:val="10"/>
                <w:szCs w:val="10"/>
                <w:color w:val="auto"/>
              </w:rPr>
              <w:t>10,658</w:t>
            </w:r>
          </w:p>
        </w:tc>
        <w:tc>
          <w:tcPr>
            <w:tcW w:w="1180" w:type="dxa"/>
            <w:vAlign w:val="bottom"/>
          </w:tcPr>
          <w:p>
            <w:pPr>
              <w:jc w:val="right"/>
              <w:ind w:right="335"/>
              <w:spacing w:after="0"/>
              <w:rPr>
                <w:sz w:val="20"/>
                <w:szCs w:val="20"/>
                <w:color w:val="auto"/>
              </w:rPr>
            </w:pPr>
            <w:r>
              <w:rPr>
                <w:rFonts w:ascii="Arial" w:cs="Arial" w:eastAsia="Arial" w:hAnsi="Arial"/>
                <w:sz w:val="10"/>
                <w:szCs w:val="10"/>
                <w:color w:val="auto"/>
              </w:rPr>
              <w:t>6,470</w:t>
            </w:r>
          </w:p>
        </w:tc>
        <w:tc>
          <w:tcPr>
            <w:tcW w:w="1280" w:type="dxa"/>
            <w:vAlign w:val="bottom"/>
          </w:tcPr>
          <w:p>
            <w:pPr>
              <w:jc w:val="right"/>
              <w:ind w:right="313"/>
              <w:spacing w:after="0"/>
              <w:rPr>
                <w:sz w:val="20"/>
                <w:szCs w:val="20"/>
                <w:color w:val="auto"/>
              </w:rPr>
            </w:pPr>
            <w:r>
              <w:rPr>
                <w:rFonts w:ascii="Arial" w:cs="Arial" w:eastAsia="Arial" w:hAnsi="Arial"/>
                <w:sz w:val="10"/>
                <w:szCs w:val="10"/>
                <w:color w:val="auto"/>
              </w:rPr>
              <w:t>4,188</w:t>
            </w:r>
          </w:p>
        </w:tc>
        <w:tc>
          <w:tcPr>
            <w:tcW w:w="1380" w:type="dxa"/>
            <w:vAlign w:val="bottom"/>
          </w:tcPr>
          <w:p>
            <w:pPr>
              <w:jc w:val="right"/>
              <w:ind w:right="373"/>
              <w:spacing w:after="0"/>
              <w:rPr>
                <w:sz w:val="20"/>
                <w:szCs w:val="20"/>
                <w:color w:val="auto"/>
              </w:rPr>
            </w:pPr>
            <w:r>
              <w:rPr>
                <w:rFonts w:ascii="Arial" w:cs="Arial" w:eastAsia="Arial" w:hAnsi="Arial"/>
                <w:sz w:val="10"/>
                <w:szCs w:val="10"/>
                <w:color w:val="auto"/>
              </w:rPr>
              <w:t>14</w:t>
            </w:r>
          </w:p>
        </w:tc>
        <w:tc>
          <w:tcPr>
            <w:tcW w:w="1140" w:type="dxa"/>
            <w:vAlign w:val="bottom"/>
          </w:tcPr>
          <w:p>
            <w:pPr>
              <w:jc w:val="right"/>
              <w:spacing w:after="0"/>
              <w:rPr>
                <w:sz w:val="20"/>
                <w:szCs w:val="20"/>
                <w:color w:val="auto"/>
              </w:rPr>
            </w:pPr>
            <w:r>
              <w:rPr>
                <w:rFonts w:ascii="Arial" w:cs="Arial" w:eastAsia="Arial" w:hAnsi="Arial"/>
                <w:sz w:val="10"/>
                <w:szCs w:val="10"/>
                <w:color w:val="auto"/>
              </w:rPr>
              <w:t>79</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4,095</w:t>
            </w:r>
          </w:p>
        </w:tc>
        <w:tc>
          <w:tcPr>
            <w:tcW w:w="0" w:type="dxa"/>
            <w:vAlign w:val="bottom"/>
          </w:tcPr>
          <w:p>
            <w:pPr>
              <w:spacing w:after="0"/>
              <w:rPr>
                <w:sz w:val="1"/>
                <w:szCs w:val="1"/>
                <w:color w:val="auto"/>
              </w:rPr>
            </w:pPr>
          </w:p>
        </w:tc>
      </w:tr>
      <w:tr>
        <w:trPr>
          <w:trHeight w:val="126"/>
        </w:trPr>
        <w:tc>
          <w:tcPr>
            <w:tcW w:w="3240" w:type="dxa"/>
            <w:vAlign w:val="bottom"/>
          </w:tcPr>
          <w:p>
            <w:pPr>
              <w:ind w:left="80"/>
              <w:spacing w:after="0"/>
              <w:rPr>
                <w:sz w:val="20"/>
                <w:szCs w:val="20"/>
                <w:color w:val="auto"/>
              </w:rPr>
            </w:pPr>
            <w:r>
              <w:rPr>
                <w:rFonts w:ascii="Arial" w:cs="Arial" w:eastAsia="Arial" w:hAnsi="Arial"/>
                <w:sz w:val="10"/>
                <w:szCs w:val="10"/>
                <w:color w:val="auto"/>
              </w:rPr>
              <w:t>Within derivative financial instruments</w:t>
            </w:r>
          </w:p>
        </w:tc>
        <w:tc>
          <w:tcPr>
            <w:tcW w:w="1760" w:type="dxa"/>
            <w:vAlign w:val="bottom"/>
          </w:tcPr>
          <w:p>
            <w:pPr>
              <w:jc w:val="right"/>
              <w:ind w:right="453"/>
              <w:spacing w:after="0"/>
              <w:rPr>
                <w:sz w:val="20"/>
                <w:szCs w:val="20"/>
                <w:color w:val="auto"/>
              </w:rPr>
            </w:pPr>
            <w:r>
              <w:rPr>
                <w:rFonts w:ascii="Arial" w:cs="Arial" w:eastAsia="Arial" w:hAnsi="Arial"/>
                <w:sz w:val="10"/>
                <w:szCs w:val="10"/>
                <w:color w:val="auto"/>
              </w:rPr>
              <w:t>12,798</w:t>
            </w:r>
          </w:p>
        </w:tc>
        <w:tc>
          <w:tcPr>
            <w:tcW w:w="1180" w:type="dxa"/>
            <w:vAlign w:val="bottom"/>
          </w:tcPr>
          <w:p>
            <w:pPr>
              <w:jc w:val="right"/>
              <w:ind w:right="335"/>
              <w:spacing w:after="0"/>
              <w:rPr>
                <w:sz w:val="20"/>
                <w:szCs w:val="20"/>
                <w:color w:val="auto"/>
              </w:rPr>
            </w:pPr>
            <w:r>
              <w:rPr>
                <w:rFonts w:ascii="Arial" w:cs="Arial" w:eastAsia="Arial" w:hAnsi="Arial"/>
                <w:sz w:val="10"/>
                <w:szCs w:val="10"/>
                <w:color w:val="auto"/>
              </w:rPr>
              <w:t>6,125</w:t>
            </w:r>
          </w:p>
        </w:tc>
        <w:tc>
          <w:tcPr>
            <w:tcW w:w="1280" w:type="dxa"/>
            <w:vAlign w:val="bottom"/>
          </w:tcPr>
          <w:p>
            <w:pPr>
              <w:jc w:val="right"/>
              <w:ind w:right="313"/>
              <w:spacing w:after="0"/>
              <w:rPr>
                <w:sz w:val="20"/>
                <w:szCs w:val="20"/>
                <w:color w:val="auto"/>
              </w:rPr>
            </w:pPr>
            <w:r>
              <w:rPr>
                <w:rFonts w:ascii="Arial" w:cs="Arial" w:eastAsia="Arial" w:hAnsi="Arial"/>
                <w:sz w:val="10"/>
                <w:szCs w:val="10"/>
                <w:color w:val="auto"/>
              </w:rPr>
              <w:t>6,673</w:t>
            </w:r>
          </w:p>
        </w:tc>
        <w:tc>
          <w:tcPr>
            <w:tcW w:w="1380" w:type="dxa"/>
            <w:vAlign w:val="bottom"/>
          </w:tcPr>
          <w:p>
            <w:pPr>
              <w:jc w:val="right"/>
              <w:ind w:right="373"/>
              <w:spacing w:after="0"/>
              <w:rPr>
                <w:sz w:val="20"/>
                <w:szCs w:val="20"/>
                <w:color w:val="auto"/>
              </w:rPr>
            </w:pPr>
            <w:r>
              <w:rPr>
                <w:rFonts w:ascii="Arial" w:cs="Arial" w:eastAsia="Arial" w:hAnsi="Arial"/>
                <w:sz w:val="10"/>
                <w:szCs w:val="10"/>
                <w:color w:val="auto"/>
              </w:rPr>
              <w:t>1,573</w:t>
            </w:r>
          </w:p>
        </w:tc>
        <w:tc>
          <w:tcPr>
            <w:tcW w:w="1140" w:type="dxa"/>
            <w:vAlign w:val="bottom"/>
          </w:tcPr>
          <w:p>
            <w:pPr>
              <w:jc w:val="right"/>
              <w:spacing w:after="0"/>
              <w:rPr>
                <w:sz w:val="20"/>
                <w:szCs w:val="20"/>
                <w:color w:val="auto"/>
              </w:rPr>
            </w:pPr>
            <w:r>
              <w:rPr>
                <w:rFonts w:ascii="Arial" w:cs="Arial" w:eastAsia="Arial" w:hAnsi="Arial"/>
                <w:sz w:val="10"/>
                <w:szCs w:val="10"/>
                <w:color w:val="auto"/>
              </w:rPr>
              <w:t>1,750</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3,350</w:t>
            </w:r>
          </w:p>
        </w:tc>
        <w:tc>
          <w:tcPr>
            <w:tcW w:w="0" w:type="dxa"/>
            <w:vAlign w:val="bottom"/>
          </w:tcPr>
          <w:p>
            <w:pPr>
              <w:spacing w:after="0"/>
              <w:rPr>
                <w:sz w:val="1"/>
                <w:szCs w:val="1"/>
                <w:color w:val="auto"/>
              </w:rPr>
            </w:pPr>
          </w:p>
        </w:tc>
      </w:tr>
      <w:tr>
        <w:trPr>
          <w:trHeight w:val="126"/>
        </w:trPr>
        <w:tc>
          <w:tcPr>
            <w:tcW w:w="3240" w:type="dxa"/>
            <w:vAlign w:val="bottom"/>
          </w:tcPr>
          <w:p>
            <w:pPr>
              <w:spacing w:after="0"/>
              <w:rPr>
                <w:sz w:val="20"/>
                <w:szCs w:val="20"/>
                <w:color w:val="auto"/>
              </w:rPr>
            </w:pPr>
            <w:r>
              <w:rPr>
                <w:rFonts w:ascii="Arial" w:cs="Arial" w:eastAsia="Arial" w:hAnsi="Arial"/>
                <w:sz w:val="10"/>
                <w:szCs w:val="10"/>
                <w:color w:val="auto"/>
              </w:rPr>
              <w:t>Liabilities:</w:t>
            </w:r>
          </w:p>
        </w:tc>
        <w:tc>
          <w:tcPr>
            <w:tcW w:w="1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240" w:type="dxa"/>
            <w:vAlign w:val="bottom"/>
          </w:tcPr>
          <w:p>
            <w:pPr>
              <w:ind w:left="80"/>
              <w:spacing w:after="0"/>
              <w:rPr>
                <w:sz w:val="20"/>
                <w:szCs w:val="20"/>
                <w:color w:val="auto"/>
              </w:rPr>
            </w:pPr>
            <w:r>
              <w:rPr>
                <w:rFonts w:ascii="Arial" w:cs="Arial" w:eastAsia="Arial" w:hAnsi="Arial"/>
                <w:sz w:val="10"/>
                <w:szCs w:val="10"/>
                <w:color w:val="auto"/>
              </w:rPr>
              <w:t>Within trade payables</w:t>
            </w:r>
          </w:p>
        </w:tc>
        <w:tc>
          <w:tcPr>
            <w:tcW w:w="1760" w:type="dxa"/>
            <w:vAlign w:val="bottom"/>
          </w:tcPr>
          <w:p>
            <w:pPr>
              <w:jc w:val="right"/>
              <w:ind w:right="453"/>
              <w:spacing w:after="0"/>
              <w:rPr>
                <w:sz w:val="20"/>
                <w:szCs w:val="20"/>
                <w:color w:val="auto"/>
              </w:rPr>
            </w:pPr>
            <w:r>
              <w:rPr>
                <w:rFonts w:ascii="Arial" w:cs="Arial" w:eastAsia="Arial" w:hAnsi="Arial"/>
                <w:sz w:val="10"/>
                <w:szCs w:val="10"/>
                <w:color w:val="auto"/>
              </w:rPr>
              <w:t>10,580</w:t>
            </w:r>
          </w:p>
        </w:tc>
        <w:tc>
          <w:tcPr>
            <w:tcW w:w="1180" w:type="dxa"/>
            <w:vAlign w:val="bottom"/>
          </w:tcPr>
          <w:p>
            <w:pPr>
              <w:jc w:val="right"/>
              <w:ind w:right="335"/>
              <w:spacing w:after="0"/>
              <w:rPr>
                <w:sz w:val="20"/>
                <w:szCs w:val="20"/>
                <w:color w:val="auto"/>
              </w:rPr>
            </w:pPr>
            <w:r>
              <w:rPr>
                <w:rFonts w:ascii="Arial" w:cs="Arial" w:eastAsia="Arial" w:hAnsi="Arial"/>
                <w:sz w:val="10"/>
                <w:szCs w:val="10"/>
                <w:color w:val="auto"/>
              </w:rPr>
              <w:t>6,467</w:t>
            </w:r>
          </w:p>
        </w:tc>
        <w:tc>
          <w:tcPr>
            <w:tcW w:w="1280" w:type="dxa"/>
            <w:vAlign w:val="bottom"/>
          </w:tcPr>
          <w:p>
            <w:pPr>
              <w:jc w:val="right"/>
              <w:ind w:right="313"/>
              <w:spacing w:after="0"/>
              <w:rPr>
                <w:sz w:val="20"/>
                <w:szCs w:val="20"/>
                <w:color w:val="auto"/>
              </w:rPr>
            </w:pPr>
            <w:r>
              <w:rPr>
                <w:rFonts w:ascii="Arial" w:cs="Arial" w:eastAsia="Arial" w:hAnsi="Arial"/>
                <w:sz w:val="10"/>
                <w:szCs w:val="10"/>
                <w:color w:val="auto"/>
              </w:rPr>
              <w:t>4,113</w:t>
            </w:r>
          </w:p>
        </w:tc>
        <w:tc>
          <w:tcPr>
            <w:tcW w:w="1380" w:type="dxa"/>
            <w:vAlign w:val="bottom"/>
          </w:tcPr>
          <w:p>
            <w:pPr>
              <w:jc w:val="right"/>
              <w:ind w:right="373"/>
              <w:spacing w:after="0"/>
              <w:rPr>
                <w:sz w:val="20"/>
                <w:szCs w:val="20"/>
                <w:color w:val="auto"/>
              </w:rPr>
            </w:pPr>
            <w:r>
              <w:rPr>
                <w:rFonts w:ascii="Arial" w:cs="Arial" w:eastAsia="Arial" w:hAnsi="Arial"/>
                <w:sz w:val="10"/>
                <w:szCs w:val="10"/>
                <w:color w:val="auto"/>
              </w:rPr>
              <w:t>1</w:t>
            </w:r>
          </w:p>
        </w:tc>
        <w:tc>
          <w:tcPr>
            <w:tcW w:w="1140" w:type="dxa"/>
            <w:vAlign w:val="bottom"/>
          </w:tcPr>
          <w:p>
            <w:pPr>
              <w:jc w:val="right"/>
              <w:spacing w:after="0"/>
              <w:rPr>
                <w:sz w:val="20"/>
                <w:szCs w:val="20"/>
                <w:color w:val="auto"/>
              </w:rPr>
            </w:pPr>
            <w:r>
              <w:rPr>
                <w:rFonts w:ascii="Arial" w:cs="Arial" w:eastAsia="Arial" w:hAnsi="Arial"/>
                <w:sz w:val="10"/>
                <w:szCs w:val="10"/>
                <w:color w:val="auto"/>
              </w:rPr>
              <w:t>79</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4,033</w:t>
            </w:r>
          </w:p>
        </w:tc>
        <w:tc>
          <w:tcPr>
            <w:tcW w:w="0" w:type="dxa"/>
            <w:vAlign w:val="bottom"/>
          </w:tcPr>
          <w:p>
            <w:pPr>
              <w:spacing w:after="0"/>
              <w:rPr>
                <w:sz w:val="1"/>
                <w:szCs w:val="1"/>
                <w:color w:val="auto"/>
              </w:rPr>
            </w:pPr>
          </w:p>
        </w:tc>
      </w:tr>
      <w:tr>
        <w:trPr>
          <w:trHeight w:val="130"/>
        </w:trPr>
        <w:tc>
          <w:tcPr>
            <w:tcW w:w="324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Within derivative financial instruments</w:t>
            </w:r>
          </w:p>
        </w:tc>
        <w:tc>
          <w:tcPr>
            <w:tcW w:w="1760" w:type="dxa"/>
            <w:vAlign w:val="bottom"/>
            <w:tcBorders>
              <w:bottom w:val="single" w:sz="8" w:color="auto"/>
            </w:tcBorders>
          </w:tcPr>
          <w:p>
            <w:pPr>
              <w:jc w:val="right"/>
              <w:ind w:right="453"/>
              <w:spacing w:after="0"/>
              <w:rPr>
                <w:sz w:val="20"/>
                <w:szCs w:val="20"/>
                <w:color w:val="auto"/>
              </w:rPr>
            </w:pPr>
            <w:r>
              <w:rPr>
                <w:rFonts w:ascii="Arial" w:cs="Arial" w:eastAsia="Arial" w:hAnsi="Arial"/>
                <w:sz w:val="10"/>
                <w:szCs w:val="10"/>
                <w:color w:val="auto"/>
              </w:rPr>
              <w:t>10,502</w:t>
            </w: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0"/>
                <w:szCs w:val="10"/>
                <w:color w:val="auto"/>
              </w:rPr>
              <w:t>5,893</w:t>
            </w:r>
          </w:p>
        </w:tc>
        <w:tc>
          <w:tcPr>
            <w:tcW w:w="1280" w:type="dxa"/>
            <w:vAlign w:val="bottom"/>
            <w:tcBorders>
              <w:bottom w:val="single" w:sz="8" w:color="auto"/>
            </w:tcBorders>
          </w:tcPr>
          <w:p>
            <w:pPr>
              <w:jc w:val="right"/>
              <w:ind w:right="313"/>
              <w:spacing w:after="0"/>
              <w:rPr>
                <w:sz w:val="20"/>
                <w:szCs w:val="20"/>
                <w:color w:val="auto"/>
              </w:rPr>
            </w:pPr>
            <w:r>
              <w:rPr>
                <w:rFonts w:ascii="Arial" w:cs="Arial" w:eastAsia="Arial" w:hAnsi="Arial"/>
                <w:sz w:val="10"/>
                <w:szCs w:val="10"/>
                <w:color w:val="auto"/>
              </w:rPr>
              <w:t>4,609</w:t>
            </w: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10"/>
                <w:szCs w:val="10"/>
                <w:color w:val="auto"/>
              </w:rPr>
              <w:t>797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1,761</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2,051</w:t>
            </w:r>
          </w:p>
        </w:tc>
        <w:tc>
          <w:tcPr>
            <w:tcW w:w="0" w:type="dxa"/>
            <w:vAlign w:val="bottom"/>
          </w:tcPr>
          <w:p>
            <w:pPr>
              <w:spacing w:after="0"/>
              <w:rPr>
                <w:sz w:val="1"/>
                <w:szCs w:val="1"/>
                <w:color w:val="auto"/>
              </w:rPr>
            </w:pPr>
          </w:p>
        </w:tc>
      </w:tr>
      <w:tr>
        <w:trPr>
          <w:trHeight w:val="490"/>
        </w:trPr>
        <w:tc>
          <w:tcPr>
            <w:tcW w:w="324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1760" w:type="dxa"/>
            <w:vAlign w:val="bottom"/>
          </w:tcPr>
          <w:p>
            <w:pPr>
              <w:spacing w:after="0"/>
              <w:rPr>
                <w:sz w:val="24"/>
                <w:szCs w:val="24"/>
                <w:color w:val="auto"/>
              </w:rPr>
            </w:pPr>
          </w:p>
        </w:tc>
        <w:tc>
          <w:tcPr>
            <w:tcW w:w="1180" w:type="dxa"/>
            <w:vAlign w:val="bottom"/>
          </w:tcPr>
          <w:p>
            <w:pPr>
              <w:jc w:val="right"/>
              <w:ind w:right="495"/>
              <w:spacing w:after="0"/>
              <w:rPr>
                <w:sz w:val="20"/>
                <w:szCs w:val="20"/>
                <w:color w:val="auto"/>
              </w:rPr>
            </w:pPr>
            <w:r>
              <w:rPr>
                <w:rFonts w:ascii="Arial" w:cs="Arial" w:eastAsia="Arial" w:hAnsi="Arial"/>
                <w:sz w:val="7"/>
                <w:szCs w:val="7"/>
                <w:color w:val="auto"/>
              </w:rPr>
              <w:t>200</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4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157"/>
        </w:trPr>
        <w:tc>
          <w:tcPr>
            <w:tcW w:w="324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2019</w:t>
            </w:r>
          </w:p>
        </w:tc>
        <w:tc>
          <w:tcPr>
            <w:tcW w:w="1760" w:type="dxa"/>
            <w:vAlign w:val="bottom"/>
            <w:tcBorders>
              <w:top w:val="single" w:sz="8" w:color="CDCDCD"/>
            </w:tcBorders>
          </w:tcPr>
          <w:p>
            <w:pPr>
              <w:spacing w:after="0"/>
              <w:rPr>
                <w:sz w:val="13"/>
                <w:szCs w:val="13"/>
                <w:color w:val="auto"/>
              </w:rPr>
            </w:pPr>
          </w:p>
        </w:tc>
        <w:tc>
          <w:tcPr>
            <w:tcW w:w="1180" w:type="dxa"/>
            <w:vAlign w:val="bottom"/>
            <w:tcBorders>
              <w:top w:val="single" w:sz="8" w:color="CDCDCD"/>
            </w:tcBorders>
          </w:tcPr>
          <w:p>
            <w:pPr>
              <w:spacing w:after="0"/>
              <w:rPr>
                <w:sz w:val="13"/>
                <w:szCs w:val="13"/>
                <w:color w:val="auto"/>
              </w:rPr>
            </w:pPr>
          </w:p>
        </w:tc>
        <w:tc>
          <w:tcPr>
            <w:tcW w:w="1280" w:type="dxa"/>
            <w:vAlign w:val="bottom"/>
            <w:tcBorders>
              <w:top w:val="single" w:sz="8" w:color="CDCDCD"/>
            </w:tcBorders>
          </w:tcPr>
          <w:p>
            <w:pPr>
              <w:spacing w:after="0"/>
              <w:rPr>
                <w:sz w:val="13"/>
                <w:szCs w:val="13"/>
                <w:color w:val="auto"/>
              </w:rPr>
            </w:pPr>
          </w:p>
        </w:tc>
        <w:tc>
          <w:tcPr>
            <w:tcW w:w="120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7"/>
        </w:trPr>
        <w:tc>
          <w:tcPr>
            <w:tcW w:w="3240" w:type="dxa"/>
            <w:vAlign w:val="bottom"/>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color w:val="auto"/>
              </w:rPr>
              <w:t>Amounts offset</w:t>
            </w:r>
          </w:p>
        </w:tc>
        <w:tc>
          <w:tcPr>
            <w:tcW w:w="12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Amounts not offset</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240" w:type="dxa"/>
            <w:vAlign w:val="bottom"/>
          </w:tcPr>
          <w:p>
            <w:pPr>
              <w:spacing w:after="0"/>
              <w:rPr>
                <w:sz w:val="7"/>
                <w:szCs w:val="7"/>
                <w:color w:val="auto"/>
              </w:rPr>
            </w:pPr>
          </w:p>
        </w:tc>
        <w:tc>
          <w:tcPr>
            <w:tcW w:w="1760" w:type="dxa"/>
            <w:vAlign w:val="bottom"/>
          </w:tcPr>
          <w:p>
            <w:pPr>
              <w:jc w:val="right"/>
              <w:ind w:right="433"/>
              <w:spacing w:after="0" w:line="83" w:lineRule="exact"/>
              <w:rPr>
                <w:sz w:val="20"/>
                <w:szCs w:val="20"/>
                <w:color w:val="auto"/>
              </w:rPr>
            </w:pPr>
            <w:r>
              <w:rPr>
                <w:rFonts w:ascii="Arial" w:cs="Arial" w:eastAsia="Arial" w:hAnsi="Arial"/>
                <w:sz w:val="8"/>
                <w:szCs w:val="8"/>
                <w:color w:val="auto"/>
              </w:rPr>
              <w:t>Gross amounts</w:t>
            </w:r>
          </w:p>
        </w:tc>
        <w:tc>
          <w:tcPr>
            <w:tcW w:w="1180" w:type="dxa"/>
            <w:vAlign w:val="bottom"/>
          </w:tcPr>
          <w:p>
            <w:pPr>
              <w:jc w:val="right"/>
              <w:ind w:right="293"/>
              <w:spacing w:after="0" w:line="83" w:lineRule="exact"/>
              <w:rPr>
                <w:sz w:val="20"/>
                <w:szCs w:val="20"/>
                <w:color w:val="auto"/>
              </w:rPr>
            </w:pPr>
            <w:r>
              <w:rPr>
                <w:rFonts w:ascii="Arial" w:cs="Arial" w:eastAsia="Arial" w:hAnsi="Arial"/>
                <w:sz w:val="8"/>
                <w:szCs w:val="8"/>
                <w:color w:val="auto"/>
              </w:rPr>
              <w:t>Amounts</w:t>
            </w:r>
          </w:p>
        </w:tc>
        <w:tc>
          <w:tcPr>
            <w:tcW w:w="1280" w:type="dxa"/>
            <w:vAlign w:val="bottom"/>
          </w:tcPr>
          <w:p>
            <w:pPr>
              <w:jc w:val="right"/>
              <w:ind w:right="273"/>
              <w:spacing w:after="0" w:line="83" w:lineRule="exact"/>
              <w:rPr>
                <w:sz w:val="20"/>
                <w:szCs w:val="20"/>
                <w:color w:val="auto"/>
              </w:rPr>
            </w:pPr>
            <w:r>
              <w:rPr>
                <w:rFonts w:ascii="Arial" w:cs="Arial" w:eastAsia="Arial" w:hAnsi="Arial"/>
                <w:sz w:val="8"/>
                <w:szCs w:val="8"/>
                <w:color w:val="auto"/>
              </w:rPr>
              <w:t>Net amounts</w:t>
            </w:r>
          </w:p>
        </w:tc>
        <w:tc>
          <w:tcPr>
            <w:tcW w:w="1200" w:type="dxa"/>
            <w:vAlign w:val="bottom"/>
          </w:tcPr>
          <w:p>
            <w:pPr>
              <w:jc w:val="right"/>
              <w:ind w:right="173"/>
              <w:spacing w:after="0" w:line="83" w:lineRule="exact"/>
              <w:rPr>
                <w:sz w:val="20"/>
                <w:szCs w:val="20"/>
                <w:color w:val="auto"/>
              </w:rPr>
            </w:pPr>
            <w:r>
              <w:rPr>
                <w:rFonts w:ascii="Arial" w:cs="Arial" w:eastAsia="Arial" w:hAnsi="Arial"/>
                <w:sz w:val="8"/>
                <w:szCs w:val="8"/>
                <w:color w:val="auto"/>
              </w:rPr>
              <w:t>Cash collateral</w:t>
            </w:r>
          </w:p>
        </w:tc>
        <w:tc>
          <w:tcPr>
            <w:tcW w:w="1320" w:type="dxa"/>
            <w:vAlign w:val="bottom"/>
            <w:vMerge w:val="restart"/>
          </w:tcPr>
          <w:p>
            <w:pPr>
              <w:jc w:val="right"/>
              <w:spacing w:after="0"/>
              <w:rPr>
                <w:sz w:val="20"/>
                <w:szCs w:val="20"/>
                <w:color w:val="auto"/>
              </w:rPr>
            </w:pPr>
            <w:r>
              <w:rPr>
                <w:rFonts w:ascii="Arial" w:cs="Arial" w:eastAsia="Arial" w:hAnsi="Arial"/>
                <w:sz w:val="10"/>
                <w:szCs w:val="10"/>
                <w:color w:val="auto"/>
              </w:rPr>
              <w:t>Other offsetting instruments</w:t>
            </w:r>
          </w:p>
        </w:tc>
        <w:tc>
          <w:tcPr>
            <w:tcW w:w="1320" w:type="dxa"/>
            <w:vAlign w:val="bottom"/>
            <w:vMerge w:val="restart"/>
          </w:tcPr>
          <w:p>
            <w:pPr>
              <w:jc w:val="right"/>
              <w:spacing w:after="0"/>
              <w:rPr>
                <w:sz w:val="20"/>
                <w:szCs w:val="20"/>
                <w:color w:val="auto"/>
              </w:rPr>
            </w:pPr>
            <w:r>
              <w:rPr>
                <w:rFonts w:ascii="Arial" w:cs="Arial" w:eastAsia="Arial" w:hAnsi="Arial"/>
                <w:sz w:val="10"/>
                <w:szCs w:val="10"/>
                <w:color w:val="auto"/>
              </w:rPr>
              <w:t>Net amounts</w:t>
            </w:r>
          </w:p>
        </w:tc>
        <w:tc>
          <w:tcPr>
            <w:tcW w:w="0" w:type="dxa"/>
            <w:vAlign w:val="bottom"/>
          </w:tcPr>
          <w:p>
            <w:pPr>
              <w:spacing w:after="0"/>
              <w:rPr>
                <w:sz w:val="1"/>
                <w:szCs w:val="1"/>
                <w:color w:val="auto"/>
              </w:rPr>
            </w:pPr>
          </w:p>
        </w:tc>
      </w:tr>
      <w:tr>
        <w:trPr>
          <w:trHeight w:val="124"/>
        </w:trPr>
        <w:tc>
          <w:tcPr>
            <w:tcW w:w="32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jc w:val="right"/>
              <w:ind w:right="433"/>
              <w:spacing w:after="0"/>
              <w:rPr>
                <w:sz w:val="20"/>
                <w:szCs w:val="20"/>
                <w:color w:val="auto"/>
              </w:rPr>
            </w:pPr>
            <w:r>
              <w:rPr>
                <w:rFonts w:ascii="Arial" w:cs="Arial" w:eastAsia="Arial" w:hAnsi="Arial"/>
                <w:sz w:val="10"/>
                <w:szCs w:val="10"/>
                <w:color w:val="auto"/>
              </w:rPr>
              <w:t>before offset</w:t>
            </w: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0"/>
                <w:szCs w:val="10"/>
                <w:color w:val="auto"/>
              </w:rPr>
              <w:t>offset</w:t>
            </w: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color w:val="auto"/>
              </w:rPr>
              <w:t>as presented</w:t>
            </w: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color w:val="auto"/>
              </w:rPr>
              <w:t>received/pledged</w:t>
            </w:r>
          </w:p>
        </w:tc>
        <w:tc>
          <w:tcPr>
            <w:tcW w:w="132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40" w:type="dxa"/>
            <w:vAlign w:val="bottom"/>
          </w:tcPr>
          <w:p>
            <w:pPr>
              <w:spacing w:after="0" w:line="113" w:lineRule="exact"/>
              <w:rPr>
                <w:sz w:val="20"/>
                <w:szCs w:val="20"/>
                <w:color w:val="auto"/>
              </w:rPr>
            </w:pPr>
            <w:r>
              <w:rPr>
                <w:rFonts w:ascii="Arial" w:cs="Arial" w:eastAsia="Arial" w:hAnsi="Arial"/>
                <w:sz w:val="10"/>
                <w:szCs w:val="10"/>
                <w:color w:val="auto"/>
              </w:rPr>
              <w:t>Assets:</w:t>
            </w:r>
          </w:p>
        </w:tc>
        <w:tc>
          <w:tcPr>
            <w:tcW w:w="1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240" w:type="dxa"/>
            <w:vAlign w:val="bottom"/>
          </w:tcPr>
          <w:p>
            <w:pPr>
              <w:ind w:left="80"/>
              <w:spacing w:after="0"/>
              <w:rPr>
                <w:sz w:val="20"/>
                <w:szCs w:val="20"/>
                <w:color w:val="auto"/>
              </w:rPr>
            </w:pPr>
            <w:r>
              <w:rPr>
                <w:rFonts w:ascii="Arial" w:cs="Arial" w:eastAsia="Arial" w:hAnsi="Arial"/>
                <w:sz w:val="10"/>
                <w:szCs w:val="10"/>
                <w:color w:val="auto"/>
              </w:rPr>
              <w:t>Within trade receivables</w:t>
            </w:r>
          </w:p>
        </w:tc>
        <w:tc>
          <w:tcPr>
            <w:tcW w:w="1760" w:type="dxa"/>
            <w:vAlign w:val="bottom"/>
          </w:tcPr>
          <w:p>
            <w:pPr>
              <w:jc w:val="right"/>
              <w:ind w:right="453"/>
              <w:spacing w:after="0"/>
              <w:rPr>
                <w:sz w:val="20"/>
                <w:szCs w:val="20"/>
                <w:color w:val="auto"/>
              </w:rPr>
            </w:pPr>
            <w:r>
              <w:rPr>
                <w:rFonts w:ascii="Arial" w:cs="Arial" w:eastAsia="Arial" w:hAnsi="Arial"/>
                <w:sz w:val="10"/>
                <w:szCs w:val="10"/>
                <w:color w:val="auto"/>
              </w:rPr>
              <w:t>13,821</w:t>
            </w:r>
          </w:p>
        </w:tc>
        <w:tc>
          <w:tcPr>
            <w:tcW w:w="1180" w:type="dxa"/>
            <w:vAlign w:val="bottom"/>
          </w:tcPr>
          <w:p>
            <w:pPr>
              <w:jc w:val="right"/>
              <w:ind w:right="333"/>
              <w:spacing w:after="0"/>
              <w:rPr>
                <w:sz w:val="20"/>
                <w:szCs w:val="20"/>
                <w:color w:val="auto"/>
              </w:rPr>
            </w:pPr>
            <w:r>
              <w:rPr>
                <w:rFonts w:ascii="Arial" w:cs="Arial" w:eastAsia="Arial" w:hAnsi="Arial"/>
                <w:sz w:val="10"/>
                <w:szCs w:val="10"/>
                <w:color w:val="auto"/>
              </w:rPr>
              <w:t>8,975</w:t>
            </w:r>
          </w:p>
        </w:tc>
        <w:tc>
          <w:tcPr>
            <w:tcW w:w="1280" w:type="dxa"/>
            <w:vAlign w:val="bottom"/>
          </w:tcPr>
          <w:p>
            <w:pPr>
              <w:jc w:val="right"/>
              <w:ind w:right="313"/>
              <w:spacing w:after="0"/>
              <w:rPr>
                <w:sz w:val="20"/>
                <w:szCs w:val="20"/>
                <w:color w:val="auto"/>
              </w:rPr>
            </w:pPr>
            <w:r>
              <w:rPr>
                <w:rFonts w:ascii="Arial" w:cs="Arial" w:eastAsia="Arial" w:hAnsi="Arial"/>
                <w:sz w:val="10"/>
                <w:szCs w:val="10"/>
                <w:color w:val="auto"/>
              </w:rPr>
              <w:t>4,846</w:t>
            </w:r>
          </w:p>
        </w:tc>
        <w:tc>
          <w:tcPr>
            <w:tcW w:w="1200" w:type="dxa"/>
            <w:vAlign w:val="bottom"/>
          </w:tcPr>
          <w:p>
            <w:pPr>
              <w:jc w:val="right"/>
              <w:ind w:right="193"/>
              <w:spacing w:after="0"/>
              <w:rPr>
                <w:sz w:val="20"/>
                <w:szCs w:val="20"/>
                <w:color w:val="auto"/>
              </w:rPr>
            </w:pPr>
            <w:r>
              <w:rPr>
                <w:rFonts w:ascii="Arial" w:cs="Arial" w:eastAsia="Arial" w:hAnsi="Arial"/>
                <w:sz w:val="10"/>
                <w:szCs w:val="10"/>
                <w:color w:val="auto"/>
              </w:rPr>
              <w:t>54</w:t>
            </w:r>
          </w:p>
        </w:tc>
        <w:tc>
          <w:tcPr>
            <w:tcW w:w="1320" w:type="dxa"/>
            <w:vAlign w:val="bottom"/>
          </w:tcPr>
          <w:p>
            <w:pPr>
              <w:jc w:val="right"/>
              <w:spacing w:after="0"/>
              <w:rPr>
                <w:sz w:val="20"/>
                <w:szCs w:val="20"/>
                <w:color w:val="auto"/>
              </w:rPr>
            </w:pPr>
            <w:r>
              <w:rPr>
                <w:rFonts w:ascii="Arial" w:cs="Arial" w:eastAsia="Arial" w:hAnsi="Arial"/>
                <w:sz w:val="10"/>
                <w:szCs w:val="10"/>
                <w:color w:val="auto"/>
              </w:rPr>
              <w:t>101</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4,691</w:t>
            </w:r>
          </w:p>
        </w:tc>
        <w:tc>
          <w:tcPr>
            <w:tcW w:w="0" w:type="dxa"/>
            <w:vAlign w:val="bottom"/>
          </w:tcPr>
          <w:p>
            <w:pPr>
              <w:spacing w:after="0"/>
              <w:rPr>
                <w:sz w:val="1"/>
                <w:szCs w:val="1"/>
                <w:color w:val="auto"/>
              </w:rPr>
            </w:pPr>
          </w:p>
        </w:tc>
      </w:tr>
      <w:tr>
        <w:trPr>
          <w:trHeight w:val="126"/>
        </w:trPr>
        <w:tc>
          <w:tcPr>
            <w:tcW w:w="3240" w:type="dxa"/>
            <w:vAlign w:val="bottom"/>
          </w:tcPr>
          <w:p>
            <w:pPr>
              <w:ind w:left="80"/>
              <w:spacing w:after="0"/>
              <w:rPr>
                <w:sz w:val="20"/>
                <w:szCs w:val="20"/>
                <w:color w:val="auto"/>
              </w:rPr>
            </w:pPr>
            <w:r>
              <w:rPr>
                <w:rFonts w:ascii="Arial" w:cs="Arial" w:eastAsia="Arial" w:hAnsi="Arial"/>
                <w:sz w:val="10"/>
                <w:szCs w:val="10"/>
                <w:color w:val="auto"/>
              </w:rPr>
              <w:t>Within derivative financial instruments</w:t>
            </w:r>
          </w:p>
        </w:tc>
        <w:tc>
          <w:tcPr>
            <w:tcW w:w="1760" w:type="dxa"/>
            <w:vAlign w:val="bottom"/>
          </w:tcPr>
          <w:p>
            <w:pPr>
              <w:jc w:val="right"/>
              <w:ind w:right="453"/>
              <w:spacing w:after="0"/>
              <w:rPr>
                <w:sz w:val="20"/>
                <w:szCs w:val="20"/>
                <w:color w:val="auto"/>
              </w:rPr>
            </w:pPr>
            <w:r>
              <w:rPr>
                <w:rFonts w:ascii="Arial" w:cs="Arial" w:eastAsia="Arial" w:hAnsi="Arial"/>
                <w:sz w:val="10"/>
                <w:szCs w:val="10"/>
                <w:color w:val="auto"/>
              </w:rPr>
              <w:t>12,995</w:t>
            </w:r>
          </w:p>
        </w:tc>
        <w:tc>
          <w:tcPr>
            <w:tcW w:w="1180" w:type="dxa"/>
            <w:vAlign w:val="bottom"/>
          </w:tcPr>
          <w:p>
            <w:pPr>
              <w:jc w:val="right"/>
              <w:ind w:right="333"/>
              <w:spacing w:after="0"/>
              <w:rPr>
                <w:sz w:val="20"/>
                <w:szCs w:val="20"/>
                <w:color w:val="auto"/>
              </w:rPr>
            </w:pPr>
            <w:r>
              <w:rPr>
                <w:rFonts w:ascii="Arial" w:cs="Arial" w:eastAsia="Arial" w:hAnsi="Arial"/>
                <w:sz w:val="10"/>
                <w:szCs w:val="10"/>
                <w:color w:val="auto"/>
              </w:rPr>
              <w:t>7,310</w:t>
            </w:r>
          </w:p>
        </w:tc>
        <w:tc>
          <w:tcPr>
            <w:tcW w:w="1280" w:type="dxa"/>
            <w:vAlign w:val="bottom"/>
          </w:tcPr>
          <w:p>
            <w:pPr>
              <w:jc w:val="right"/>
              <w:ind w:right="313"/>
              <w:spacing w:after="0"/>
              <w:rPr>
                <w:sz w:val="20"/>
                <w:szCs w:val="20"/>
                <w:color w:val="auto"/>
              </w:rPr>
            </w:pPr>
            <w:r>
              <w:rPr>
                <w:rFonts w:ascii="Arial" w:cs="Arial" w:eastAsia="Arial" w:hAnsi="Arial"/>
                <w:sz w:val="10"/>
                <w:szCs w:val="10"/>
                <w:color w:val="auto"/>
              </w:rPr>
              <w:t>5,685</w:t>
            </w:r>
          </w:p>
        </w:tc>
        <w:tc>
          <w:tcPr>
            <w:tcW w:w="1200" w:type="dxa"/>
            <w:vAlign w:val="bottom"/>
          </w:tcPr>
          <w:p>
            <w:pPr>
              <w:jc w:val="right"/>
              <w:ind w:right="193"/>
              <w:spacing w:after="0"/>
              <w:rPr>
                <w:sz w:val="20"/>
                <w:szCs w:val="20"/>
                <w:color w:val="auto"/>
              </w:rPr>
            </w:pPr>
            <w:r>
              <w:rPr>
                <w:rFonts w:ascii="Arial" w:cs="Arial" w:eastAsia="Arial" w:hAnsi="Arial"/>
                <w:sz w:val="10"/>
                <w:szCs w:val="10"/>
                <w:color w:val="auto"/>
              </w:rPr>
              <w:t>531</w:t>
            </w:r>
          </w:p>
        </w:tc>
        <w:tc>
          <w:tcPr>
            <w:tcW w:w="1320" w:type="dxa"/>
            <w:vAlign w:val="bottom"/>
          </w:tcPr>
          <w:p>
            <w:pPr>
              <w:jc w:val="right"/>
              <w:spacing w:after="0"/>
              <w:rPr>
                <w:sz w:val="20"/>
                <w:szCs w:val="20"/>
                <w:color w:val="auto"/>
              </w:rPr>
            </w:pPr>
            <w:r>
              <w:rPr>
                <w:rFonts w:ascii="Arial" w:cs="Arial" w:eastAsia="Arial" w:hAnsi="Arial"/>
                <w:sz w:val="10"/>
                <w:szCs w:val="10"/>
                <w:color w:val="auto"/>
              </w:rPr>
              <w:t>2,262</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2,892</w:t>
            </w:r>
          </w:p>
        </w:tc>
        <w:tc>
          <w:tcPr>
            <w:tcW w:w="0" w:type="dxa"/>
            <w:vAlign w:val="bottom"/>
          </w:tcPr>
          <w:p>
            <w:pPr>
              <w:spacing w:after="0"/>
              <w:rPr>
                <w:sz w:val="1"/>
                <w:szCs w:val="1"/>
                <w:color w:val="auto"/>
              </w:rPr>
            </w:pPr>
          </w:p>
        </w:tc>
      </w:tr>
      <w:tr>
        <w:trPr>
          <w:trHeight w:val="126"/>
        </w:trPr>
        <w:tc>
          <w:tcPr>
            <w:tcW w:w="3240" w:type="dxa"/>
            <w:vAlign w:val="bottom"/>
          </w:tcPr>
          <w:p>
            <w:pPr>
              <w:spacing w:after="0"/>
              <w:rPr>
                <w:sz w:val="20"/>
                <w:szCs w:val="20"/>
                <w:color w:val="auto"/>
              </w:rPr>
            </w:pPr>
            <w:r>
              <w:rPr>
                <w:rFonts w:ascii="Arial" w:cs="Arial" w:eastAsia="Arial" w:hAnsi="Arial"/>
                <w:sz w:val="10"/>
                <w:szCs w:val="10"/>
                <w:color w:val="auto"/>
              </w:rPr>
              <w:t>Liabilities:</w:t>
            </w:r>
          </w:p>
        </w:tc>
        <w:tc>
          <w:tcPr>
            <w:tcW w:w="1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240" w:type="dxa"/>
            <w:vAlign w:val="bottom"/>
          </w:tcPr>
          <w:p>
            <w:pPr>
              <w:ind w:left="80"/>
              <w:spacing w:after="0"/>
              <w:rPr>
                <w:sz w:val="20"/>
                <w:szCs w:val="20"/>
                <w:color w:val="auto"/>
              </w:rPr>
            </w:pPr>
            <w:r>
              <w:rPr>
                <w:rFonts w:ascii="Arial" w:cs="Arial" w:eastAsia="Arial" w:hAnsi="Arial"/>
                <w:sz w:val="10"/>
                <w:szCs w:val="10"/>
                <w:color w:val="auto"/>
              </w:rPr>
              <w:t>Within trade payables</w:t>
            </w:r>
          </w:p>
        </w:tc>
        <w:tc>
          <w:tcPr>
            <w:tcW w:w="1760" w:type="dxa"/>
            <w:vAlign w:val="bottom"/>
          </w:tcPr>
          <w:p>
            <w:pPr>
              <w:jc w:val="right"/>
              <w:ind w:right="453"/>
              <w:spacing w:after="0"/>
              <w:rPr>
                <w:sz w:val="20"/>
                <w:szCs w:val="20"/>
                <w:color w:val="auto"/>
              </w:rPr>
            </w:pPr>
            <w:r>
              <w:rPr>
                <w:rFonts w:ascii="Arial" w:cs="Arial" w:eastAsia="Arial" w:hAnsi="Arial"/>
                <w:sz w:val="10"/>
                <w:szCs w:val="10"/>
                <w:color w:val="auto"/>
              </w:rPr>
              <w:t>13,335</w:t>
            </w:r>
          </w:p>
        </w:tc>
        <w:tc>
          <w:tcPr>
            <w:tcW w:w="1180" w:type="dxa"/>
            <w:vAlign w:val="bottom"/>
          </w:tcPr>
          <w:p>
            <w:pPr>
              <w:jc w:val="right"/>
              <w:ind w:right="333"/>
              <w:spacing w:after="0"/>
              <w:rPr>
                <w:sz w:val="20"/>
                <w:szCs w:val="20"/>
                <w:color w:val="auto"/>
              </w:rPr>
            </w:pPr>
            <w:r>
              <w:rPr>
                <w:rFonts w:ascii="Arial" w:cs="Arial" w:eastAsia="Arial" w:hAnsi="Arial"/>
                <w:sz w:val="10"/>
                <w:szCs w:val="10"/>
                <w:color w:val="auto"/>
              </w:rPr>
              <w:t>9,029</w:t>
            </w:r>
          </w:p>
        </w:tc>
        <w:tc>
          <w:tcPr>
            <w:tcW w:w="1280" w:type="dxa"/>
            <w:vAlign w:val="bottom"/>
          </w:tcPr>
          <w:p>
            <w:pPr>
              <w:jc w:val="right"/>
              <w:ind w:right="313"/>
              <w:spacing w:after="0"/>
              <w:rPr>
                <w:sz w:val="20"/>
                <w:szCs w:val="20"/>
                <w:color w:val="auto"/>
              </w:rPr>
            </w:pPr>
            <w:r>
              <w:rPr>
                <w:rFonts w:ascii="Arial" w:cs="Arial" w:eastAsia="Arial" w:hAnsi="Arial"/>
                <w:sz w:val="10"/>
                <w:szCs w:val="10"/>
                <w:color w:val="auto"/>
              </w:rPr>
              <w:t>4,306</w:t>
            </w:r>
          </w:p>
        </w:tc>
        <w:tc>
          <w:tcPr>
            <w:tcW w:w="1200" w:type="dxa"/>
            <w:vAlign w:val="bottom"/>
          </w:tcPr>
          <w:p>
            <w:pPr>
              <w:jc w:val="right"/>
              <w:ind w:right="193"/>
              <w:spacing w:after="0"/>
              <w:rPr>
                <w:sz w:val="20"/>
                <w:szCs w:val="20"/>
                <w:color w:val="auto"/>
              </w:rPr>
            </w:pPr>
            <w:r>
              <w:rPr>
                <w:rFonts w:ascii="Arial" w:cs="Arial" w:eastAsia="Arial" w:hAnsi="Arial"/>
                <w:sz w:val="10"/>
                <w:szCs w:val="10"/>
                <w:color w:val="auto"/>
              </w:rPr>
              <w:t>11</w:t>
            </w:r>
          </w:p>
        </w:tc>
        <w:tc>
          <w:tcPr>
            <w:tcW w:w="1320" w:type="dxa"/>
            <w:vAlign w:val="bottom"/>
          </w:tcPr>
          <w:p>
            <w:pPr>
              <w:jc w:val="right"/>
              <w:spacing w:after="0"/>
              <w:rPr>
                <w:sz w:val="20"/>
                <w:szCs w:val="20"/>
                <w:color w:val="auto"/>
              </w:rPr>
            </w:pPr>
            <w:r>
              <w:rPr>
                <w:rFonts w:ascii="Arial" w:cs="Arial" w:eastAsia="Arial" w:hAnsi="Arial"/>
                <w:sz w:val="10"/>
                <w:szCs w:val="10"/>
                <w:color w:val="auto"/>
              </w:rPr>
              <w:t>101</w:t>
            </w:r>
          </w:p>
        </w:tc>
        <w:tc>
          <w:tcPr>
            <w:tcW w:w="1320" w:type="dxa"/>
            <w:vAlign w:val="bottom"/>
          </w:tcPr>
          <w:p>
            <w:pPr>
              <w:jc w:val="right"/>
              <w:ind w:right="12"/>
              <w:spacing w:after="0"/>
              <w:rPr>
                <w:sz w:val="20"/>
                <w:szCs w:val="20"/>
                <w:color w:val="auto"/>
              </w:rPr>
            </w:pPr>
            <w:r>
              <w:rPr>
                <w:rFonts w:ascii="Arial" w:cs="Arial" w:eastAsia="Arial" w:hAnsi="Arial"/>
                <w:sz w:val="10"/>
                <w:szCs w:val="10"/>
                <w:color w:val="auto"/>
              </w:rPr>
              <w:t>4,194</w:t>
            </w:r>
          </w:p>
        </w:tc>
        <w:tc>
          <w:tcPr>
            <w:tcW w:w="0" w:type="dxa"/>
            <w:vAlign w:val="bottom"/>
          </w:tcPr>
          <w:p>
            <w:pPr>
              <w:spacing w:after="0"/>
              <w:rPr>
                <w:sz w:val="1"/>
                <w:szCs w:val="1"/>
                <w:color w:val="auto"/>
              </w:rPr>
            </w:pPr>
          </w:p>
        </w:tc>
      </w:tr>
      <w:tr>
        <w:trPr>
          <w:trHeight w:val="130"/>
        </w:trPr>
        <w:tc>
          <w:tcPr>
            <w:tcW w:w="324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Within derivative financial instruments</w:t>
            </w:r>
          </w:p>
        </w:tc>
        <w:tc>
          <w:tcPr>
            <w:tcW w:w="1760" w:type="dxa"/>
            <w:vAlign w:val="bottom"/>
            <w:tcBorders>
              <w:bottom w:val="single" w:sz="8" w:color="auto"/>
            </w:tcBorders>
          </w:tcPr>
          <w:p>
            <w:pPr>
              <w:jc w:val="right"/>
              <w:ind w:right="453"/>
              <w:spacing w:after="0"/>
              <w:rPr>
                <w:sz w:val="20"/>
                <w:szCs w:val="20"/>
                <w:color w:val="auto"/>
              </w:rPr>
            </w:pPr>
            <w:r>
              <w:rPr>
                <w:rFonts w:ascii="Arial" w:cs="Arial" w:eastAsia="Arial" w:hAnsi="Arial"/>
                <w:sz w:val="10"/>
                <w:szCs w:val="10"/>
                <w:color w:val="auto"/>
              </w:rPr>
              <w:t>12,355</w:t>
            </w: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7,253</w:t>
            </w:r>
          </w:p>
        </w:tc>
        <w:tc>
          <w:tcPr>
            <w:tcW w:w="1280" w:type="dxa"/>
            <w:vAlign w:val="bottom"/>
            <w:tcBorders>
              <w:bottom w:val="single" w:sz="8" w:color="auto"/>
            </w:tcBorders>
          </w:tcPr>
          <w:p>
            <w:pPr>
              <w:jc w:val="right"/>
              <w:ind w:right="313"/>
              <w:spacing w:after="0"/>
              <w:rPr>
                <w:sz w:val="20"/>
                <w:szCs w:val="20"/>
                <w:color w:val="auto"/>
              </w:rPr>
            </w:pPr>
            <w:r>
              <w:rPr>
                <w:rFonts w:ascii="Arial" w:cs="Arial" w:eastAsia="Arial" w:hAnsi="Arial"/>
                <w:sz w:val="10"/>
                <w:szCs w:val="10"/>
                <w:color w:val="auto"/>
              </w:rPr>
              <w:t>5,102</w:t>
            </w: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0"/>
                <w:szCs w:val="10"/>
                <w:color w:val="auto"/>
              </w:rPr>
              <w:t>706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2,262</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2,134</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0"/>
          <w:szCs w:val="10"/>
          <w:color w:val="auto"/>
        </w:rPr>
        <w:t>Amounts not offset principally relate to contracts where the intention to settle on a net basis was not clearly established at December 31.</w:t>
      </w:r>
    </w:p>
    <w:p>
      <w:pPr>
        <w:spacing w:after="0" w:line="155" w:lineRule="exact"/>
        <w:rPr>
          <w:sz w:val="20"/>
          <w:szCs w:val="20"/>
          <w:color w:val="auto"/>
        </w:rPr>
      </w:pPr>
    </w:p>
    <w:p>
      <w:pPr>
        <w:ind w:right="20"/>
        <w:spacing w:after="0" w:line="234" w:lineRule="auto"/>
        <w:rPr>
          <w:sz w:val="20"/>
          <w:szCs w:val="20"/>
          <w:color w:val="auto"/>
        </w:rPr>
      </w:pPr>
      <w:r>
        <w:rPr>
          <w:rFonts w:ascii="Arial" w:cs="Arial" w:eastAsia="Arial" w:hAnsi="Arial"/>
          <w:sz w:val="10"/>
          <w:szCs w:val="10"/>
          <w:color w:val="auto"/>
        </w:rPr>
        <w:t>The carrying amount of financial assets pledged as collateral for liabilities or contingent liabilities at December 31, 2020, presented within trade and other receivables, was $1,909 million (2019: $1,948 million). The carrying amount of collateral held at December 31, 2020, presented within trade and other payables, was $1,675 million (2019: $718 million). Collateral mainly relates to initial margins held with commodity exchanges and over-the-counter counterparty variation margins. Some derivative contracts are fully cash collateralised, thereby eliminating both counterparty risk and the Group’s own non-performance risk.</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b w:val="1"/>
          <w:bCs w:val="1"/>
          <w:color w:val="666666"/>
        </w:rPr>
        <w:t>Liquidity risk</w:t>
      </w:r>
    </w:p>
    <w:p>
      <w:pPr>
        <w:spacing w:after="0" w:line="3" w:lineRule="exact"/>
        <w:rPr>
          <w:sz w:val="20"/>
          <w:szCs w:val="20"/>
          <w:color w:val="auto"/>
        </w:rPr>
      </w:pPr>
    </w:p>
    <w:p>
      <w:pPr>
        <w:ind w:right="40"/>
        <w:spacing w:after="0" w:line="231" w:lineRule="auto"/>
        <w:rPr>
          <w:sz w:val="20"/>
          <w:szCs w:val="20"/>
          <w:color w:val="auto"/>
        </w:rPr>
      </w:pPr>
      <w:r>
        <w:rPr>
          <w:rFonts w:ascii="Arial" w:cs="Arial" w:eastAsia="Arial" w:hAnsi="Arial"/>
          <w:sz w:val="10"/>
          <w:szCs w:val="10"/>
          <w:color w:val="auto"/>
        </w:rPr>
        <w:t>Liquidity risk is the risk that suitable sources of funding for Shell’s business activities may not be available. Management believes that it has access to sufficient debt funding sources (capital markets) and to undrawn committed borrowing facilities to meet foreseeable requirements. Information about borrowing facilities is presented in Note 14.</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Derivative contracts and hedges</w:t>
      </w:r>
    </w:p>
    <w:p>
      <w:pPr>
        <w:spacing w:after="0" w:line="4" w:lineRule="exact"/>
        <w:rPr>
          <w:sz w:val="20"/>
          <w:szCs w:val="20"/>
          <w:color w:val="auto"/>
        </w:rPr>
      </w:pPr>
    </w:p>
    <w:p>
      <w:pPr>
        <w:ind w:right="200"/>
        <w:spacing w:after="0" w:line="231" w:lineRule="auto"/>
        <w:rPr>
          <w:sz w:val="20"/>
          <w:szCs w:val="20"/>
          <w:color w:val="auto"/>
        </w:rPr>
      </w:pPr>
      <w:r>
        <w:rPr>
          <w:rFonts w:ascii="Arial" w:cs="Arial" w:eastAsia="Arial" w:hAnsi="Arial"/>
          <w:sz w:val="10"/>
          <w:szCs w:val="10"/>
          <w:color w:val="auto"/>
        </w:rPr>
        <w:t>Derivative contracts are used principally as hedging instruments, however, because hedge accounting is not always applied, movements in the carrying amounts of derivative contracts that are recognised in income are not always matched in the same period by the recognition of the income effects of the related hedged items.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666666"/>
        </w:rPr>
        <w:t>Carrying amounts, maturities and hedges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The carrying amounts of derivative contracts at December 31, designated and not designated as hedging instruments for hedge accounting purposes,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8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2020</w:t>
            </w:r>
          </w:p>
        </w:tc>
        <w:tc>
          <w:tcPr>
            <w:tcW w:w="300" w:type="dxa"/>
            <w:vAlign w:val="bottom"/>
            <w:tcBorders>
              <w:top w:val="single" w:sz="8" w:color="CDCDCD"/>
            </w:tcBorders>
          </w:tcPr>
          <w:p>
            <w:pPr>
              <w:spacing w:after="0"/>
              <w:rPr>
                <w:sz w:val="13"/>
                <w:szCs w:val="13"/>
                <w:color w:val="auto"/>
              </w:rPr>
            </w:pPr>
          </w:p>
        </w:tc>
        <w:tc>
          <w:tcPr>
            <w:tcW w:w="1420" w:type="dxa"/>
            <w:vAlign w:val="bottom"/>
            <w:tcBorders>
              <w:top w:val="single" w:sz="8" w:color="CDCDCD"/>
            </w:tcBorders>
          </w:tcPr>
          <w:p>
            <w:pPr>
              <w:spacing w:after="0"/>
              <w:rPr>
                <w:sz w:val="13"/>
                <w:szCs w:val="13"/>
                <w:color w:val="auto"/>
              </w:rPr>
            </w:pPr>
          </w:p>
        </w:tc>
        <w:tc>
          <w:tcPr>
            <w:tcW w:w="1280" w:type="dxa"/>
            <w:vAlign w:val="bottom"/>
            <w:tcBorders>
              <w:top w:val="single" w:sz="8" w:color="CDCDCD"/>
            </w:tcBorders>
          </w:tcPr>
          <w:p>
            <w:pPr>
              <w:spacing w:after="0"/>
              <w:rPr>
                <w:sz w:val="13"/>
                <w:szCs w:val="13"/>
                <w:color w:val="auto"/>
              </w:rPr>
            </w:pPr>
          </w:p>
        </w:tc>
        <w:tc>
          <w:tcPr>
            <w:tcW w:w="1100" w:type="dxa"/>
            <w:vAlign w:val="bottom"/>
            <w:tcBorders>
              <w:top w:val="single" w:sz="8" w:color="CDCDCD"/>
            </w:tcBorders>
          </w:tcPr>
          <w:p>
            <w:pPr>
              <w:spacing w:after="0"/>
              <w:rPr>
                <w:sz w:val="13"/>
                <w:szCs w:val="13"/>
                <w:color w:val="auto"/>
              </w:rPr>
            </w:pPr>
          </w:p>
        </w:tc>
        <w:tc>
          <w:tcPr>
            <w:tcW w:w="1200" w:type="dxa"/>
            <w:vAlign w:val="bottom"/>
            <w:tcBorders>
              <w:top w:val="single" w:sz="8" w:color="CDCDCD"/>
            </w:tcBorders>
          </w:tcPr>
          <w:p>
            <w:pPr>
              <w:spacing w:after="0"/>
              <w:rPr>
                <w:sz w:val="13"/>
                <w:szCs w:val="13"/>
                <w:color w:val="auto"/>
              </w:rPr>
            </w:pPr>
          </w:p>
        </w:tc>
        <w:tc>
          <w:tcPr>
            <w:tcW w:w="1200" w:type="dxa"/>
            <w:vAlign w:val="bottom"/>
            <w:tcBorders>
              <w:top w:val="single" w:sz="8" w:color="CDCDCD"/>
            </w:tcBorders>
          </w:tcPr>
          <w:p>
            <w:pPr>
              <w:spacing w:after="0"/>
              <w:rPr>
                <w:sz w:val="13"/>
                <w:szCs w:val="13"/>
                <w:color w:val="auto"/>
              </w:rPr>
            </w:pPr>
          </w:p>
        </w:tc>
        <w:tc>
          <w:tcPr>
            <w:tcW w:w="740" w:type="dxa"/>
            <w:vAlign w:val="bottom"/>
            <w:tcBorders>
              <w:top w:val="single" w:sz="8" w:color="CDCDCD"/>
            </w:tcBorders>
          </w:tcPr>
          <w:p>
            <w:pPr>
              <w:spacing w:after="0"/>
              <w:rPr>
                <w:sz w:val="13"/>
                <w:szCs w:val="13"/>
                <w:color w:val="auto"/>
              </w:rPr>
            </w:pPr>
          </w:p>
        </w:tc>
        <w:tc>
          <w:tcPr>
            <w:tcW w:w="80" w:type="dxa"/>
            <w:vAlign w:val="bottom"/>
            <w:tcBorders>
              <w:top w:val="single" w:sz="8" w:color="CDCDCD"/>
            </w:tcBorders>
          </w:tcPr>
          <w:p>
            <w:pPr>
              <w:spacing w:after="0"/>
              <w:rPr>
                <w:sz w:val="13"/>
                <w:szCs w:val="13"/>
                <w:color w:val="auto"/>
              </w:rPr>
            </w:pPr>
          </w:p>
        </w:tc>
        <w:tc>
          <w:tcPr>
            <w:tcW w:w="1200" w:type="dxa"/>
            <w:vAlign w:val="bottom"/>
            <w:tcBorders>
              <w:top w:val="single" w:sz="8" w:color="CDCDCD"/>
            </w:tcBorders>
            <w:gridSpan w:val="2"/>
          </w:tcPr>
          <w:p>
            <w:pPr>
              <w:jc w:val="right"/>
              <w:ind w:right="20"/>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7"/>
        </w:trPr>
        <w:tc>
          <w:tcPr>
            <w:tcW w:w="2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Assets</w:t>
            </w:r>
          </w:p>
        </w:tc>
        <w:tc>
          <w:tcPr>
            <w:tcW w:w="1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Liabilities</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20" w:type="dxa"/>
            <w:vAlign w:val="bottom"/>
            <w:vMerge w:val="restart"/>
          </w:tcPr>
          <w:p>
            <w:pPr>
              <w:jc w:val="right"/>
              <w:ind w:right="212"/>
              <w:spacing w:after="0"/>
              <w:rPr>
                <w:sz w:val="20"/>
                <w:szCs w:val="20"/>
                <w:color w:val="auto"/>
              </w:rPr>
            </w:pPr>
            <w:r>
              <w:rPr>
                <w:rFonts w:ascii="Arial" w:cs="Arial" w:eastAsia="Arial" w:hAnsi="Arial"/>
                <w:sz w:val="10"/>
                <w:szCs w:val="10"/>
                <w:color w:val="auto"/>
              </w:rPr>
              <w:t>Designated</w:t>
            </w:r>
          </w:p>
        </w:tc>
        <w:tc>
          <w:tcPr>
            <w:tcW w:w="1280" w:type="dxa"/>
            <w:vAlign w:val="bottom"/>
          </w:tcPr>
          <w:p>
            <w:pPr>
              <w:jc w:val="right"/>
              <w:ind w:right="313"/>
              <w:spacing w:after="0" w:line="83" w:lineRule="exact"/>
              <w:rPr>
                <w:sz w:val="20"/>
                <w:szCs w:val="20"/>
                <w:color w:val="auto"/>
              </w:rPr>
            </w:pPr>
            <w:r>
              <w:rPr>
                <w:rFonts w:ascii="Arial" w:cs="Arial" w:eastAsia="Arial" w:hAnsi="Arial"/>
                <w:sz w:val="8"/>
                <w:szCs w:val="8"/>
                <w:color w:val="auto"/>
              </w:rPr>
              <w:t>Not</w:t>
            </w:r>
          </w:p>
        </w:tc>
        <w:tc>
          <w:tcPr>
            <w:tcW w:w="1100" w:type="dxa"/>
            <w:vAlign w:val="bottom"/>
            <w:vMerge w:val="restart"/>
          </w:tcPr>
          <w:p>
            <w:pPr>
              <w:jc w:val="right"/>
              <w:ind w:right="252"/>
              <w:spacing w:after="0"/>
              <w:rPr>
                <w:sz w:val="20"/>
                <w:szCs w:val="20"/>
                <w:color w:val="auto"/>
              </w:rPr>
            </w:pPr>
            <w:r>
              <w:rPr>
                <w:rFonts w:ascii="Arial" w:cs="Arial" w:eastAsia="Arial" w:hAnsi="Arial"/>
                <w:sz w:val="10"/>
                <w:szCs w:val="10"/>
                <w:color w:val="auto"/>
              </w:rPr>
              <w:t>Total</w:t>
            </w:r>
          </w:p>
        </w:tc>
        <w:tc>
          <w:tcPr>
            <w:tcW w:w="1200" w:type="dxa"/>
            <w:vAlign w:val="bottom"/>
            <w:vMerge w:val="restart"/>
          </w:tcPr>
          <w:p>
            <w:pPr>
              <w:jc w:val="right"/>
              <w:ind w:right="272"/>
              <w:spacing w:after="0"/>
              <w:rPr>
                <w:sz w:val="20"/>
                <w:szCs w:val="20"/>
                <w:color w:val="auto"/>
              </w:rPr>
            </w:pPr>
            <w:r>
              <w:rPr>
                <w:rFonts w:ascii="Arial" w:cs="Arial" w:eastAsia="Arial" w:hAnsi="Arial"/>
                <w:sz w:val="10"/>
                <w:szCs w:val="10"/>
                <w:color w:val="auto"/>
              </w:rPr>
              <w:t>Designated</w:t>
            </w:r>
          </w:p>
        </w:tc>
        <w:tc>
          <w:tcPr>
            <w:tcW w:w="1200" w:type="dxa"/>
            <w:vAlign w:val="bottom"/>
          </w:tcPr>
          <w:p>
            <w:pPr>
              <w:jc w:val="right"/>
              <w:ind w:right="313"/>
              <w:spacing w:after="0" w:line="83" w:lineRule="exact"/>
              <w:rPr>
                <w:sz w:val="20"/>
                <w:szCs w:val="20"/>
                <w:color w:val="auto"/>
              </w:rPr>
            </w:pPr>
            <w:r>
              <w:rPr>
                <w:rFonts w:ascii="Arial" w:cs="Arial" w:eastAsia="Arial" w:hAnsi="Arial"/>
                <w:sz w:val="8"/>
                <w:szCs w:val="8"/>
                <w:color w:val="auto"/>
              </w:rPr>
              <w:t>Not</w:t>
            </w:r>
          </w:p>
        </w:tc>
        <w:tc>
          <w:tcPr>
            <w:tcW w:w="820" w:type="dxa"/>
            <w:vAlign w:val="bottom"/>
            <w:gridSpan w:val="2"/>
            <w:vMerge w:val="restart"/>
          </w:tcPr>
          <w:p>
            <w:pPr>
              <w:jc w:val="right"/>
              <w:spacing w:after="0"/>
              <w:rPr>
                <w:sz w:val="20"/>
                <w:szCs w:val="20"/>
                <w:color w:val="auto"/>
              </w:rPr>
            </w:pPr>
            <w:r>
              <w:rPr>
                <w:rFonts w:ascii="Arial" w:cs="Arial" w:eastAsia="Arial" w:hAnsi="Arial"/>
                <w:sz w:val="10"/>
                <w:szCs w:val="10"/>
                <w:color w:val="auto"/>
              </w:rPr>
              <w:t>Total</w:t>
            </w: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Net</w:t>
            </w:r>
          </w:p>
        </w:tc>
        <w:tc>
          <w:tcPr>
            <w:tcW w:w="0" w:type="dxa"/>
            <w:vAlign w:val="bottom"/>
          </w:tcPr>
          <w:p>
            <w:pPr>
              <w:spacing w:after="0"/>
              <w:rPr>
                <w:sz w:val="1"/>
                <w:szCs w:val="1"/>
                <w:color w:val="auto"/>
              </w:rPr>
            </w:pPr>
          </w:p>
        </w:tc>
      </w:tr>
      <w:tr>
        <w:trPr>
          <w:trHeight w:val="124"/>
        </w:trPr>
        <w:tc>
          <w:tcPr>
            <w:tcW w:w="27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tcPr>
          <w:p>
            <w:pPr>
              <w:jc w:val="right"/>
              <w:ind w:right="313"/>
              <w:spacing w:after="0"/>
              <w:rPr>
                <w:sz w:val="20"/>
                <w:szCs w:val="20"/>
                <w:color w:val="auto"/>
              </w:rPr>
            </w:pPr>
            <w:r>
              <w:rPr>
                <w:rFonts w:ascii="Arial" w:cs="Arial" w:eastAsia="Arial" w:hAnsi="Arial"/>
                <w:sz w:val="10"/>
                <w:szCs w:val="10"/>
                <w:color w:val="auto"/>
              </w:rPr>
              <w:t>designated</w:t>
            </w:r>
          </w:p>
        </w:tc>
        <w:tc>
          <w:tcPr>
            <w:tcW w:w="1100" w:type="dxa"/>
            <w:vAlign w:val="bottom"/>
            <w:tcBorders>
              <w:bottom w:val="single" w:sz="8" w:color="auto"/>
            </w:tcBorders>
            <w:vMerge w:val="continue"/>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0"/>
                <w:szCs w:val="10"/>
                <w:color w:val="auto"/>
              </w:rPr>
              <w:t>designated</w:t>
            </w:r>
          </w:p>
        </w:tc>
        <w:tc>
          <w:tcPr>
            <w:tcW w:w="820" w:type="dxa"/>
            <w:vAlign w:val="bottom"/>
            <w:tcBorders>
              <w:bottom w:val="single" w:sz="8" w:color="auto"/>
            </w:tcBorders>
            <w:gridSpan w:val="2"/>
            <w:vMerge w:val="continue"/>
          </w:tcPr>
          <w:p>
            <w:pPr>
              <w:spacing w:after="0"/>
              <w:rPr>
                <w:sz w:val="10"/>
                <w:szCs w:val="10"/>
                <w:color w:val="auto"/>
              </w:rPr>
            </w:pPr>
          </w:p>
        </w:tc>
        <w:tc>
          <w:tcPr>
            <w:tcW w:w="120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080" w:type="dxa"/>
            <w:vAlign w:val="bottom"/>
            <w:gridSpan w:val="2"/>
          </w:tcPr>
          <w:p>
            <w:pPr>
              <w:spacing w:after="0" w:line="113" w:lineRule="exact"/>
              <w:rPr>
                <w:sz w:val="20"/>
                <w:szCs w:val="20"/>
                <w:color w:val="auto"/>
              </w:rPr>
            </w:pPr>
            <w:r>
              <w:rPr>
                <w:rFonts w:ascii="Arial" w:cs="Arial" w:eastAsia="Arial" w:hAnsi="Arial"/>
                <w:sz w:val="10"/>
                <w:szCs w:val="10"/>
                <w:color w:val="auto"/>
              </w:rPr>
              <w:t>Interest rate swaps</w:t>
            </w:r>
          </w:p>
        </w:tc>
        <w:tc>
          <w:tcPr>
            <w:tcW w:w="1420" w:type="dxa"/>
            <w:vAlign w:val="bottom"/>
          </w:tcPr>
          <w:p>
            <w:pPr>
              <w:jc w:val="right"/>
              <w:ind w:right="232"/>
              <w:spacing w:after="0" w:line="113" w:lineRule="exact"/>
              <w:rPr>
                <w:sz w:val="20"/>
                <w:szCs w:val="20"/>
                <w:color w:val="auto"/>
              </w:rPr>
            </w:pPr>
            <w:r>
              <w:rPr>
                <w:rFonts w:ascii="Arial" w:cs="Arial" w:eastAsia="Arial" w:hAnsi="Arial"/>
                <w:sz w:val="10"/>
                <w:szCs w:val="10"/>
                <w:color w:val="auto"/>
              </w:rPr>
              <w:t>451</w:t>
            </w:r>
          </w:p>
        </w:tc>
        <w:tc>
          <w:tcPr>
            <w:tcW w:w="1280" w:type="dxa"/>
            <w:vAlign w:val="bottom"/>
          </w:tcPr>
          <w:p>
            <w:pPr>
              <w:jc w:val="right"/>
              <w:ind w:right="353"/>
              <w:spacing w:after="0" w:line="113" w:lineRule="exact"/>
              <w:rPr>
                <w:sz w:val="20"/>
                <w:szCs w:val="20"/>
                <w:color w:val="auto"/>
              </w:rPr>
            </w:pPr>
            <w:r>
              <w:rPr>
                <w:rFonts w:ascii="Arial" w:cs="Arial" w:eastAsia="Arial" w:hAnsi="Arial"/>
                <w:sz w:val="10"/>
                <w:szCs w:val="10"/>
                <w:color w:val="auto"/>
              </w:rPr>
              <w:t>—</w:t>
            </w:r>
          </w:p>
        </w:tc>
        <w:tc>
          <w:tcPr>
            <w:tcW w:w="1100" w:type="dxa"/>
            <w:vAlign w:val="bottom"/>
          </w:tcPr>
          <w:p>
            <w:pPr>
              <w:jc w:val="right"/>
              <w:ind w:right="272"/>
              <w:spacing w:after="0" w:line="113" w:lineRule="exact"/>
              <w:rPr>
                <w:sz w:val="20"/>
                <w:szCs w:val="20"/>
                <w:color w:val="auto"/>
              </w:rPr>
            </w:pPr>
            <w:r>
              <w:rPr>
                <w:rFonts w:ascii="Arial" w:cs="Arial" w:eastAsia="Arial" w:hAnsi="Arial"/>
                <w:sz w:val="10"/>
                <w:szCs w:val="10"/>
                <w:color w:val="auto"/>
              </w:rPr>
              <w:t>451</w:t>
            </w:r>
          </w:p>
        </w:tc>
        <w:tc>
          <w:tcPr>
            <w:tcW w:w="1200" w:type="dxa"/>
            <w:vAlign w:val="bottom"/>
          </w:tcPr>
          <w:p>
            <w:pPr>
              <w:jc w:val="right"/>
              <w:ind w:right="312"/>
              <w:spacing w:after="0" w:line="113" w:lineRule="exact"/>
              <w:rPr>
                <w:sz w:val="20"/>
                <w:szCs w:val="20"/>
                <w:color w:val="auto"/>
              </w:rPr>
            </w:pPr>
            <w:r>
              <w:rPr>
                <w:rFonts w:ascii="Arial" w:cs="Arial" w:eastAsia="Arial" w:hAnsi="Arial"/>
                <w:sz w:val="10"/>
                <w:szCs w:val="10"/>
                <w:color w:val="auto"/>
              </w:rPr>
              <w:t>26</w:t>
            </w:r>
          </w:p>
        </w:tc>
        <w:tc>
          <w:tcPr>
            <w:tcW w:w="1200" w:type="dxa"/>
            <w:vAlign w:val="bottom"/>
          </w:tcPr>
          <w:p>
            <w:pPr>
              <w:jc w:val="right"/>
              <w:ind w:right="333"/>
              <w:spacing w:after="0" w:line="113" w:lineRule="exact"/>
              <w:rPr>
                <w:sz w:val="20"/>
                <w:szCs w:val="20"/>
                <w:color w:val="auto"/>
              </w:rPr>
            </w:pPr>
            <w:r>
              <w:rPr>
                <w:rFonts w:ascii="Arial" w:cs="Arial" w:eastAsia="Arial" w:hAnsi="Arial"/>
                <w:sz w:val="10"/>
                <w:szCs w:val="10"/>
                <w:color w:val="auto"/>
              </w:rPr>
              <w:t>22</w:t>
            </w:r>
          </w:p>
        </w:tc>
        <w:tc>
          <w:tcPr>
            <w:tcW w:w="82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48</w:t>
            </w:r>
          </w:p>
        </w:tc>
        <w:tc>
          <w:tcPr>
            <w:tcW w:w="120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403</w:t>
            </w:r>
          </w:p>
        </w:tc>
        <w:tc>
          <w:tcPr>
            <w:tcW w:w="0" w:type="dxa"/>
            <w:vAlign w:val="bottom"/>
          </w:tcPr>
          <w:p>
            <w:pPr>
              <w:spacing w:after="0"/>
              <w:rPr>
                <w:sz w:val="1"/>
                <w:szCs w:val="1"/>
                <w:color w:val="auto"/>
              </w:rPr>
            </w:pPr>
          </w:p>
        </w:tc>
      </w:tr>
      <w:tr>
        <w:trPr>
          <w:trHeight w:val="123"/>
        </w:trPr>
        <w:tc>
          <w:tcPr>
            <w:tcW w:w="3080" w:type="dxa"/>
            <w:vAlign w:val="bottom"/>
            <w:gridSpan w:val="2"/>
          </w:tcPr>
          <w:p>
            <w:pPr>
              <w:spacing w:after="0"/>
              <w:rPr>
                <w:sz w:val="20"/>
                <w:szCs w:val="20"/>
                <w:color w:val="auto"/>
              </w:rPr>
            </w:pPr>
            <w:r>
              <w:rPr>
                <w:rFonts w:ascii="Arial" w:cs="Arial" w:eastAsia="Arial" w:hAnsi="Arial"/>
                <w:sz w:val="10"/>
                <w:szCs w:val="10"/>
                <w:color w:val="auto"/>
              </w:rPr>
              <w:t>Forward foreign exchange contracts</w:t>
            </w:r>
          </w:p>
        </w:tc>
        <w:tc>
          <w:tcPr>
            <w:tcW w:w="142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353"/>
              <w:spacing w:after="0"/>
              <w:rPr>
                <w:sz w:val="20"/>
                <w:szCs w:val="20"/>
                <w:color w:val="auto"/>
              </w:rPr>
            </w:pPr>
            <w:r>
              <w:rPr>
                <w:rFonts w:ascii="Arial" w:cs="Arial" w:eastAsia="Arial" w:hAnsi="Arial"/>
                <w:sz w:val="10"/>
                <w:szCs w:val="10"/>
                <w:color w:val="auto"/>
              </w:rPr>
              <w:t>276</w:t>
            </w:r>
          </w:p>
        </w:tc>
        <w:tc>
          <w:tcPr>
            <w:tcW w:w="1100" w:type="dxa"/>
            <w:vAlign w:val="bottom"/>
          </w:tcPr>
          <w:p>
            <w:pPr>
              <w:jc w:val="right"/>
              <w:ind w:right="272"/>
              <w:spacing w:after="0"/>
              <w:rPr>
                <w:sz w:val="20"/>
                <w:szCs w:val="20"/>
                <w:color w:val="auto"/>
              </w:rPr>
            </w:pPr>
            <w:r>
              <w:rPr>
                <w:rFonts w:ascii="Arial" w:cs="Arial" w:eastAsia="Arial" w:hAnsi="Arial"/>
                <w:sz w:val="10"/>
                <w:szCs w:val="10"/>
                <w:color w:val="auto"/>
              </w:rPr>
              <w:t>276</w:t>
            </w:r>
          </w:p>
        </w:tc>
        <w:tc>
          <w:tcPr>
            <w:tcW w:w="120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333"/>
              <w:spacing w:after="0"/>
              <w:rPr>
                <w:sz w:val="20"/>
                <w:szCs w:val="20"/>
                <w:color w:val="auto"/>
              </w:rPr>
            </w:pPr>
            <w:r>
              <w:rPr>
                <w:rFonts w:ascii="Arial" w:cs="Arial" w:eastAsia="Arial" w:hAnsi="Arial"/>
                <w:sz w:val="10"/>
                <w:szCs w:val="10"/>
                <w:color w:val="auto"/>
              </w:rPr>
              <w:t>651</w:t>
            </w: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651</w:t>
            </w:r>
          </w:p>
        </w:tc>
        <w:tc>
          <w:tcPr>
            <w:tcW w:w="1200" w:type="dxa"/>
            <w:vAlign w:val="bottom"/>
            <w:gridSpan w:val="2"/>
          </w:tcPr>
          <w:p>
            <w:pPr>
              <w:jc w:val="right"/>
              <w:ind w:right="40"/>
              <w:spacing w:after="0"/>
              <w:rPr>
                <w:sz w:val="20"/>
                <w:szCs w:val="20"/>
                <w:color w:val="auto"/>
              </w:rPr>
            </w:pPr>
            <w:r>
              <w:rPr>
                <w:rFonts w:ascii="Arial" w:cs="Arial" w:eastAsia="Arial" w:hAnsi="Arial"/>
                <w:sz w:val="10"/>
                <w:szCs w:val="10"/>
                <w:color w:val="auto"/>
              </w:rPr>
              <w:t>(375)</w:t>
            </w:r>
          </w:p>
        </w:tc>
        <w:tc>
          <w:tcPr>
            <w:tcW w:w="0" w:type="dxa"/>
            <w:vAlign w:val="bottom"/>
          </w:tcPr>
          <w:p>
            <w:pPr>
              <w:spacing w:after="0"/>
              <w:rPr>
                <w:sz w:val="1"/>
                <w:szCs w:val="1"/>
                <w:color w:val="auto"/>
              </w:rPr>
            </w:pPr>
          </w:p>
        </w:tc>
      </w:tr>
      <w:tr>
        <w:trPr>
          <w:trHeight w:val="126"/>
        </w:trPr>
        <w:tc>
          <w:tcPr>
            <w:tcW w:w="3080" w:type="dxa"/>
            <w:vAlign w:val="bottom"/>
            <w:gridSpan w:val="2"/>
          </w:tcPr>
          <w:p>
            <w:pPr>
              <w:spacing w:after="0"/>
              <w:rPr>
                <w:sz w:val="20"/>
                <w:szCs w:val="20"/>
                <w:color w:val="auto"/>
              </w:rPr>
            </w:pPr>
            <w:r>
              <w:rPr>
                <w:rFonts w:ascii="Arial" w:cs="Arial" w:eastAsia="Arial" w:hAnsi="Arial"/>
                <w:sz w:val="10"/>
                <w:szCs w:val="10"/>
                <w:color w:val="auto"/>
              </w:rPr>
              <w:t>Currency swaps and options</w:t>
            </w:r>
          </w:p>
        </w:tc>
        <w:tc>
          <w:tcPr>
            <w:tcW w:w="1420" w:type="dxa"/>
            <w:vAlign w:val="bottom"/>
          </w:tcPr>
          <w:p>
            <w:pPr>
              <w:jc w:val="right"/>
              <w:ind w:right="232"/>
              <w:spacing w:after="0"/>
              <w:rPr>
                <w:sz w:val="20"/>
                <w:szCs w:val="20"/>
                <w:color w:val="auto"/>
              </w:rPr>
            </w:pPr>
            <w:r>
              <w:rPr>
                <w:rFonts w:ascii="Arial" w:cs="Arial" w:eastAsia="Arial" w:hAnsi="Arial"/>
                <w:sz w:val="10"/>
                <w:szCs w:val="10"/>
                <w:color w:val="auto"/>
              </w:rPr>
              <w:t>1,890</w:t>
            </w:r>
          </w:p>
        </w:tc>
        <w:tc>
          <w:tcPr>
            <w:tcW w:w="1280" w:type="dxa"/>
            <w:vAlign w:val="bottom"/>
          </w:tcPr>
          <w:p>
            <w:pPr>
              <w:jc w:val="right"/>
              <w:ind w:right="353"/>
              <w:spacing w:after="0"/>
              <w:rPr>
                <w:sz w:val="20"/>
                <w:szCs w:val="20"/>
                <w:color w:val="auto"/>
              </w:rPr>
            </w:pPr>
            <w:r>
              <w:rPr>
                <w:rFonts w:ascii="Arial" w:cs="Arial" w:eastAsia="Arial" w:hAnsi="Arial"/>
                <w:sz w:val="10"/>
                <w:szCs w:val="10"/>
                <w:color w:val="auto"/>
              </w:rPr>
              <w:t>13</w:t>
            </w:r>
          </w:p>
        </w:tc>
        <w:tc>
          <w:tcPr>
            <w:tcW w:w="1100" w:type="dxa"/>
            <w:vAlign w:val="bottom"/>
          </w:tcPr>
          <w:p>
            <w:pPr>
              <w:jc w:val="right"/>
              <w:ind w:right="272"/>
              <w:spacing w:after="0"/>
              <w:rPr>
                <w:sz w:val="20"/>
                <w:szCs w:val="20"/>
                <w:color w:val="auto"/>
              </w:rPr>
            </w:pPr>
            <w:r>
              <w:rPr>
                <w:rFonts w:ascii="Arial" w:cs="Arial" w:eastAsia="Arial" w:hAnsi="Arial"/>
                <w:sz w:val="10"/>
                <w:szCs w:val="10"/>
                <w:color w:val="auto"/>
              </w:rPr>
              <w:t>1,903</w:t>
            </w:r>
          </w:p>
        </w:tc>
        <w:tc>
          <w:tcPr>
            <w:tcW w:w="1200" w:type="dxa"/>
            <w:vAlign w:val="bottom"/>
          </w:tcPr>
          <w:p>
            <w:pPr>
              <w:jc w:val="right"/>
              <w:ind w:right="312"/>
              <w:spacing w:after="0"/>
              <w:rPr>
                <w:sz w:val="20"/>
                <w:szCs w:val="20"/>
                <w:color w:val="auto"/>
              </w:rPr>
            </w:pPr>
            <w:r>
              <w:rPr>
                <w:rFonts w:ascii="Arial" w:cs="Arial" w:eastAsia="Arial" w:hAnsi="Arial"/>
                <w:sz w:val="10"/>
                <w:szCs w:val="10"/>
                <w:color w:val="auto"/>
              </w:rPr>
              <w:t>280</w:t>
            </w:r>
          </w:p>
        </w:tc>
        <w:tc>
          <w:tcPr>
            <w:tcW w:w="1200" w:type="dxa"/>
            <w:vAlign w:val="bottom"/>
          </w:tcPr>
          <w:p>
            <w:pPr>
              <w:jc w:val="right"/>
              <w:ind w:right="333"/>
              <w:spacing w:after="0"/>
              <w:rPr>
                <w:sz w:val="20"/>
                <w:szCs w:val="20"/>
                <w:color w:val="auto"/>
              </w:rPr>
            </w:pPr>
            <w:r>
              <w:rPr>
                <w:rFonts w:ascii="Arial" w:cs="Arial" w:eastAsia="Arial" w:hAnsi="Arial"/>
                <w:sz w:val="10"/>
                <w:szCs w:val="10"/>
                <w:color w:val="auto"/>
              </w:rPr>
              <w:t>63</w:t>
            </w: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343</w:t>
            </w:r>
          </w:p>
        </w:tc>
        <w:tc>
          <w:tcPr>
            <w:tcW w:w="1200" w:type="dxa"/>
            <w:vAlign w:val="bottom"/>
            <w:gridSpan w:val="2"/>
          </w:tcPr>
          <w:p>
            <w:pPr>
              <w:jc w:val="right"/>
              <w:ind w:right="60"/>
              <w:spacing w:after="0"/>
              <w:rPr>
                <w:sz w:val="20"/>
                <w:szCs w:val="20"/>
                <w:color w:val="auto"/>
              </w:rPr>
            </w:pPr>
            <w:r>
              <w:rPr>
                <w:rFonts w:ascii="Arial" w:cs="Arial" w:eastAsia="Arial" w:hAnsi="Arial"/>
                <w:sz w:val="10"/>
                <w:szCs w:val="10"/>
                <w:color w:val="auto"/>
              </w:rPr>
              <w:t>1,560</w:t>
            </w:r>
          </w:p>
        </w:tc>
        <w:tc>
          <w:tcPr>
            <w:tcW w:w="0" w:type="dxa"/>
            <w:vAlign w:val="bottom"/>
          </w:tcPr>
          <w:p>
            <w:pPr>
              <w:spacing w:after="0"/>
              <w:rPr>
                <w:sz w:val="1"/>
                <w:szCs w:val="1"/>
                <w:color w:val="auto"/>
              </w:rPr>
            </w:pPr>
          </w:p>
        </w:tc>
      </w:tr>
      <w:tr>
        <w:trPr>
          <w:trHeight w:val="126"/>
        </w:trPr>
        <w:tc>
          <w:tcPr>
            <w:tcW w:w="3080" w:type="dxa"/>
            <w:vAlign w:val="bottom"/>
            <w:gridSpan w:val="2"/>
          </w:tcPr>
          <w:p>
            <w:pPr>
              <w:spacing w:after="0"/>
              <w:rPr>
                <w:sz w:val="20"/>
                <w:szCs w:val="20"/>
                <w:color w:val="auto"/>
              </w:rPr>
            </w:pPr>
            <w:r>
              <w:rPr>
                <w:rFonts w:ascii="Arial" w:cs="Arial" w:eastAsia="Arial" w:hAnsi="Arial"/>
                <w:sz w:val="10"/>
                <w:szCs w:val="10"/>
                <w:color w:val="auto"/>
              </w:rPr>
              <w:t>Commodity derivatives</w:t>
            </w:r>
          </w:p>
        </w:tc>
        <w:tc>
          <w:tcPr>
            <w:tcW w:w="142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353"/>
              <w:spacing w:after="0"/>
              <w:rPr>
                <w:sz w:val="20"/>
                <w:szCs w:val="20"/>
                <w:color w:val="auto"/>
              </w:rPr>
            </w:pPr>
            <w:r>
              <w:rPr>
                <w:rFonts w:ascii="Arial" w:cs="Arial" w:eastAsia="Arial" w:hAnsi="Arial"/>
                <w:sz w:val="10"/>
                <w:szCs w:val="10"/>
                <w:color w:val="auto"/>
              </w:rPr>
              <w:t>5,534</w:t>
            </w:r>
          </w:p>
        </w:tc>
        <w:tc>
          <w:tcPr>
            <w:tcW w:w="1100" w:type="dxa"/>
            <w:vAlign w:val="bottom"/>
          </w:tcPr>
          <w:p>
            <w:pPr>
              <w:jc w:val="right"/>
              <w:ind w:right="272"/>
              <w:spacing w:after="0"/>
              <w:rPr>
                <w:sz w:val="20"/>
                <w:szCs w:val="20"/>
                <w:color w:val="auto"/>
              </w:rPr>
            </w:pPr>
            <w:r>
              <w:rPr>
                <w:rFonts w:ascii="Arial" w:cs="Arial" w:eastAsia="Arial" w:hAnsi="Arial"/>
                <w:sz w:val="10"/>
                <w:szCs w:val="10"/>
                <w:color w:val="auto"/>
              </w:rPr>
              <w:t>5,534</w:t>
            </w:r>
          </w:p>
        </w:tc>
        <w:tc>
          <w:tcPr>
            <w:tcW w:w="1200" w:type="dxa"/>
            <w:vAlign w:val="bottom"/>
          </w:tcPr>
          <w:p>
            <w:pPr>
              <w:jc w:val="right"/>
              <w:ind w:right="312"/>
              <w:spacing w:after="0"/>
              <w:rPr>
                <w:sz w:val="20"/>
                <w:szCs w:val="20"/>
                <w:color w:val="auto"/>
              </w:rPr>
            </w:pPr>
            <w:r>
              <w:rPr>
                <w:rFonts w:ascii="Arial" w:cs="Arial" w:eastAsia="Arial" w:hAnsi="Arial"/>
                <w:sz w:val="10"/>
                <w:szCs w:val="10"/>
                <w:color w:val="auto"/>
              </w:rPr>
              <w:t>92</w:t>
            </w:r>
          </w:p>
        </w:tc>
        <w:tc>
          <w:tcPr>
            <w:tcW w:w="1200" w:type="dxa"/>
            <w:vAlign w:val="bottom"/>
          </w:tcPr>
          <w:p>
            <w:pPr>
              <w:jc w:val="right"/>
              <w:ind w:right="333"/>
              <w:spacing w:after="0"/>
              <w:rPr>
                <w:sz w:val="20"/>
                <w:szCs w:val="20"/>
                <w:color w:val="auto"/>
              </w:rPr>
            </w:pPr>
            <w:r>
              <w:rPr>
                <w:rFonts w:ascii="Arial" w:cs="Arial" w:eastAsia="Arial" w:hAnsi="Arial"/>
                <w:sz w:val="10"/>
                <w:szCs w:val="10"/>
                <w:color w:val="auto"/>
              </w:rPr>
              <w:t>4,565</w:t>
            </w: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4,657</w:t>
            </w:r>
          </w:p>
        </w:tc>
        <w:tc>
          <w:tcPr>
            <w:tcW w:w="1200" w:type="dxa"/>
            <w:vAlign w:val="bottom"/>
            <w:gridSpan w:val="2"/>
          </w:tcPr>
          <w:p>
            <w:pPr>
              <w:jc w:val="right"/>
              <w:ind w:right="60"/>
              <w:spacing w:after="0"/>
              <w:rPr>
                <w:sz w:val="20"/>
                <w:szCs w:val="20"/>
                <w:color w:val="auto"/>
              </w:rPr>
            </w:pPr>
            <w:r>
              <w:rPr>
                <w:rFonts w:ascii="Arial" w:cs="Arial" w:eastAsia="Arial" w:hAnsi="Arial"/>
                <w:sz w:val="10"/>
                <w:szCs w:val="10"/>
                <w:color w:val="auto"/>
              </w:rPr>
              <w:t>877</w:t>
            </w:r>
          </w:p>
        </w:tc>
        <w:tc>
          <w:tcPr>
            <w:tcW w:w="0" w:type="dxa"/>
            <w:vAlign w:val="bottom"/>
          </w:tcPr>
          <w:p>
            <w:pPr>
              <w:spacing w:after="0"/>
              <w:rPr>
                <w:sz w:val="1"/>
                <w:szCs w:val="1"/>
                <w:color w:val="auto"/>
              </w:rPr>
            </w:pPr>
          </w:p>
        </w:tc>
      </w:tr>
      <w:tr>
        <w:trPr>
          <w:trHeight w:val="130"/>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 contracts</w:t>
            </w:r>
          </w:p>
        </w:tc>
        <w:tc>
          <w:tcPr>
            <w:tcW w:w="142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tcPr>
          <w:p>
            <w:pPr>
              <w:jc w:val="right"/>
              <w:ind w:right="353"/>
              <w:spacing w:after="0"/>
              <w:rPr>
                <w:sz w:val="20"/>
                <w:szCs w:val="20"/>
                <w:color w:val="auto"/>
              </w:rPr>
            </w:pPr>
            <w:r>
              <w:rPr>
                <w:rFonts w:ascii="Arial" w:cs="Arial" w:eastAsia="Arial" w:hAnsi="Arial"/>
                <w:sz w:val="10"/>
                <w:szCs w:val="10"/>
                <w:color w:val="auto"/>
              </w:rPr>
              <w:t>424</w:t>
            </w: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424</w:t>
            </w: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29</w:t>
            </w: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29</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395</w:t>
            </w:r>
          </w:p>
        </w:tc>
        <w:tc>
          <w:tcPr>
            <w:tcW w:w="0" w:type="dxa"/>
            <w:vAlign w:val="bottom"/>
          </w:tcPr>
          <w:p>
            <w:pPr>
              <w:spacing w:after="0"/>
              <w:rPr>
                <w:sz w:val="1"/>
                <w:szCs w:val="1"/>
                <w:color w:val="auto"/>
              </w:rPr>
            </w:pPr>
          </w:p>
        </w:tc>
      </w:tr>
      <w:tr>
        <w:trPr>
          <w:trHeight w:val="117"/>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Total</w:t>
            </w:r>
          </w:p>
        </w:tc>
        <w:tc>
          <w:tcPr>
            <w:tcW w:w="142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2,341</w:t>
            </w:r>
          </w:p>
        </w:tc>
        <w:tc>
          <w:tcPr>
            <w:tcW w:w="1280" w:type="dxa"/>
            <w:vAlign w:val="bottom"/>
            <w:tcBorders>
              <w:bottom w:val="single" w:sz="8" w:color="auto"/>
            </w:tcBorders>
          </w:tcPr>
          <w:p>
            <w:pPr>
              <w:jc w:val="right"/>
              <w:ind w:right="353"/>
              <w:spacing w:after="0"/>
              <w:rPr>
                <w:sz w:val="20"/>
                <w:szCs w:val="20"/>
                <w:color w:val="auto"/>
              </w:rPr>
            </w:pPr>
            <w:r>
              <w:rPr>
                <w:rFonts w:ascii="Arial" w:cs="Arial" w:eastAsia="Arial" w:hAnsi="Arial"/>
                <w:sz w:val="10"/>
                <w:szCs w:val="10"/>
                <w:color w:val="auto"/>
              </w:rPr>
              <w:t>6,247</w:t>
            </w: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8,588</w:t>
            </w: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398</w:t>
            </w: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color w:val="auto"/>
              </w:rPr>
              <w:t>5,330</w:t>
            </w: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5,728</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2,860</w:t>
            </w:r>
          </w:p>
        </w:tc>
        <w:tc>
          <w:tcPr>
            <w:tcW w:w="0" w:type="dxa"/>
            <w:vAlign w:val="bottom"/>
          </w:tcPr>
          <w:p>
            <w:pPr>
              <w:spacing w:after="0"/>
              <w:rPr>
                <w:sz w:val="1"/>
                <w:szCs w:val="1"/>
                <w:color w:val="auto"/>
              </w:rPr>
            </w:pPr>
          </w:p>
        </w:tc>
      </w:tr>
      <w:tr>
        <w:trPr>
          <w:trHeight w:val="88"/>
        </w:trPr>
        <w:tc>
          <w:tcPr>
            <w:tcW w:w="2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78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2019</w:t>
            </w:r>
          </w:p>
        </w:tc>
        <w:tc>
          <w:tcPr>
            <w:tcW w:w="300" w:type="dxa"/>
            <w:vAlign w:val="bottom"/>
            <w:tcBorders>
              <w:top w:val="single" w:sz="8" w:color="CDCDCD"/>
            </w:tcBorders>
          </w:tcPr>
          <w:p>
            <w:pPr>
              <w:spacing w:after="0"/>
              <w:rPr>
                <w:sz w:val="10"/>
                <w:szCs w:val="10"/>
                <w:color w:val="auto"/>
              </w:rPr>
            </w:pPr>
          </w:p>
        </w:tc>
        <w:tc>
          <w:tcPr>
            <w:tcW w:w="1420" w:type="dxa"/>
            <w:vAlign w:val="bottom"/>
            <w:tcBorders>
              <w:top w:val="single" w:sz="8" w:color="CDCDCD"/>
            </w:tcBorders>
          </w:tcPr>
          <w:p>
            <w:pPr>
              <w:spacing w:after="0"/>
              <w:rPr>
                <w:sz w:val="10"/>
                <w:szCs w:val="10"/>
                <w:color w:val="auto"/>
              </w:rPr>
            </w:pPr>
          </w:p>
        </w:tc>
        <w:tc>
          <w:tcPr>
            <w:tcW w:w="1280" w:type="dxa"/>
            <w:vAlign w:val="bottom"/>
            <w:tcBorders>
              <w:top w:val="single" w:sz="8" w:color="CDCDCD"/>
            </w:tcBorders>
          </w:tcPr>
          <w:p>
            <w:pPr>
              <w:spacing w:after="0"/>
              <w:rPr>
                <w:sz w:val="10"/>
                <w:szCs w:val="10"/>
                <w:color w:val="auto"/>
              </w:rPr>
            </w:pPr>
          </w:p>
        </w:tc>
        <w:tc>
          <w:tcPr>
            <w:tcW w:w="1100" w:type="dxa"/>
            <w:vAlign w:val="bottom"/>
            <w:tcBorders>
              <w:top w:val="single" w:sz="8" w:color="CDCDCD"/>
            </w:tcBorders>
          </w:tcPr>
          <w:p>
            <w:pPr>
              <w:spacing w:after="0"/>
              <w:rPr>
                <w:sz w:val="10"/>
                <w:szCs w:val="10"/>
                <w:color w:val="auto"/>
              </w:rPr>
            </w:pPr>
          </w:p>
        </w:tc>
        <w:tc>
          <w:tcPr>
            <w:tcW w:w="1200" w:type="dxa"/>
            <w:vAlign w:val="bottom"/>
            <w:tcBorders>
              <w:top w:val="single" w:sz="8" w:color="CDCDCD"/>
            </w:tcBorders>
          </w:tcPr>
          <w:p>
            <w:pPr>
              <w:spacing w:after="0"/>
              <w:rPr>
                <w:sz w:val="10"/>
                <w:szCs w:val="10"/>
                <w:color w:val="auto"/>
              </w:rPr>
            </w:pPr>
          </w:p>
        </w:tc>
        <w:tc>
          <w:tcPr>
            <w:tcW w:w="1200" w:type="dxa"/>
            <w:vAlign w:val="bottom"/>
            <w:tcBorders>
              <w:top w:val="single" w:sz="8" w:color="CDCDCD"/>
            </w:tcBorders>
          </w:tcPr>
          <w:p>
            <w:pPr>
              <w:spacing w:after="0"/>
              <w:rPr>
                <w:sz w:val="10"/>
                <w:szCs w:val="10"/>
                <w:color w:val="auto"/>
              </w:rPr>
            </w:pPr>
          </w:p>
        </w:tc>
        <w:tc>
          <w:tcPr>
            <w:tcW w:w="740" w:type="dxa"/>
            <w:vAlign w:val="bottom"/>
            <w:tcBorders>
              <w:top w:val="single" w:sz="8" w:color="CDCDCD"/>
            </w:tcBorders>
          </w:tcPr>
          <w:p>
            <w:pPr>
              <w:spacing w:after="0"/>
              <w:rPr>
                <w:sz w:val="10"/>
                <w:szCs w:val="10"/>
                <w:color w:val="auto"/>
              </w:rPr>
            </w:pPr>
          </w:p>
        </w:tc>
        <w:tc>
          <w:tcPr>
            <w:tcW w:w="80" w:type="dxa"/>
            <w:vAlign w:val="bottom"/>
            <w:tcBorders>
              <w:top w:val="single" w:sz="8" w:color="CDCDCD"/>
            </w:tcBorders>
          </w:tcPr>
          <w:p>
            <w:pPr>
              <w:spacing w:after="0"/>
              <w:rPr>
                <w:sz w:val="10"/>
                <w:szCs w:val="10"/>
                <w:color w:val="auto"/>
              </w:rPr>
            </w:pPr>
          </w:p>
        </w:tc>
        <w:tc>
          <w:tcPr>
            <w:tcW w:w="112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7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Assets</w:t>
            </w:r>
          </w:p>
        </w:tc>
        <w:tc>
          <w:tcPr>
            <w:tcW w:w="1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Liabilities</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20" w:type="dxa"/>
            <w:vAlign w:val="bottom"/>
            <w:vMerge w:val="restart"/>
          </w:tcPr>
          <w:p>
            <w:pPr>
              <w:jc w:val="right"/>
              <w:ind w:right="472"/>
              <w:spacing w:after="0"/>
              <w:rPr>
                <w:sz w:val="20"/>
                <w:szCs w:val="20"/>
                <w:color w:val="auto"/>
              </w:rPr>
            </w:pPr>
            <w:r>
              <w:rPr>
                <w:rFonts w:ascii="Arial" w:cs="Arial" w:eastAsia="Arial" w:hAnsi="Arial"/>
                <w:sz w:val="10"/>
                <w:szCs w:val="10"/>
                <w:color w:val="auto"/>
              </w:rPr>
              <w:t>Designated</w:t>
            </w:r>
          </w:p>
        </w:tc>
        <w:tc>
          <w:tcPr>
            <w:tcW w:w="1280" w:type="dxa"/>
            <w:vAlign w:val="bottom"/>
          </w:tcPr>
          <w:p>
            <w:pPr>
              <w:jc w:val="right"/>
              <w:ind w:right="553"/>
              <w:spacing w:after="0" w:line="83" w:lineRule="exact"/>
              <w:rPr>
                <w:sz w:val="20"/>
                <w:szCs w:val="20"/>
                <w:color w:val="auto"/>
              </w:rPr>
            </w:pPr>
            <w:r>
              <w:rPr>
                <w:rFonts w:ascii="Arial" w:cs="Arial" w:eastAsia="Arial" w:hAnsi="Arial"/>
                <w:sz w:val="8"/>
                <w:szCs w:val="8"/>
                <w:color w:val="auto"/>
              </w:rPr>
              <w:t>Not</w:t>
            </w:r>
          </w:p>
        </w:tc>
        <w:tc>
          <w:tcPr>
            <w:tcW w:w="1100" w:type="dxa"/>
            <w:vAlign w:val="bottom"/>
            <w:vMerge w:val="restart"/>
          </w:tcPr>
          <w:p>
            <w:pPr>
              <w:jc w:val="right"/>
              <w:ind w:right="452"/>
              <w:spacing w:after="0"/>
              <w:rPr>
                <w:sz w:val="20"/>
                <w:szCs w:val="20"/>
                <w:color w:val="auto"/>
              </w:rPr>
            </w:pPr>
            <w:r>
              <w:rPr>
                <w:rFonts w:ascii="Arial" w:cs="Arial" w:eastAsia="Arial" w:hAnsi="Arial"/>
                <w:sz w:val="10"/>
                <w:szCs w:val="10"/>
                <w:color w:val="auto"/>
              </w:rPr>
              <w:t>Total</w:t>
            </w:r>
          </w:p>
        </w:tc>
        <w:tc>
          <w:tcPr>
            <w:tcW w:w="1200" w:type="dxa"/>
            <w:vAlign w:val="bottom"/>
            <w:vMerge w:val="restart"/>
          </w:tcPr>
          <w:p>
            <w:pPr>
              <w:jc w:val="right"/>
              <w:ind w:right="432"/>
              <w:spacing w:after="0"/>
              <w:rPr>
                <w:sz w:val="20"/>
                <w:szCs w:val="20"/>
                <w:color w:val="auto"/>
              </w:rPr>
            </w:pPr>
            <w:r>
              <w:rPr>
                <w:rFonts w:ascii="Arial" w:cs="Arial" w:eastAsia="Arial" w:hAnsi="Arial"/>
                <w:sz w:val="10"/>
                <w:szCs w:val="10"/>
                <w:color w:val="auto"/>
              </w:rPr>
              <w:t>Designated</w:t>
            </w:r>
          </w:p>
        </w:tc>
        <w:tc>
          <w:tcPr>
            <w:tcW w:w="1200" w:type="dxa"/>
            <w:vAlign w:val="bottom"/>
          </w:tcPr>
          <w:p>
            <w:pPr>
              <w:jc w:val="right"/>
              <w:ind w:right="433"/>
              <w:spacing w:after="0" w:line="83" w:lineRule="exact"/>
              <w:rPr>
                <w:sz w:val="20"/>
                <w:szCs w:val="20"/>
                <w:color w:val="auto"/>
              </w:rPr>
            </w:pPr>
            <w:r>
              <w:rPr>
                <w:rFonts w:ascii="Arial" w:cs="Arial" w:eastAsia="Arial" w:hAnsi="Arial"/>
                <w:sz w:val="8"/>
                <w:szCs w:val="8"/>
                <w:color w:val="auto"/>
              </w:rPr>
              <w:t>Not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Total</w:t>
            </w: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0"/>
                <w:szCs w:val="10"/>
                <w:color w:val="auto"/>
              </w:rPr>
              <w:t>Net</w:t>
            </w: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280" w:type="dxa"/>
            <w:vAlign w:val="bottom"/>
          </w:tcPr>
          <w:p>
            <w:pPr>
              <w:jc w:val="right"/>
              <w:ind w:right="553"/>
              <w:spacing w:after="0"/>
              <w:rPr>
                <w:sz w:val="20"/>
                <w:szCs w:val="20"/>
                <w:color w:val="auto"/>
              </w:rPr>
            </w:pPr>
            <w:r>
              <w:rPr>
                <w:rFonts w:ascii="Arial" w:cs="Arial" w:eastAsia="Arial" w:hAnsi="Arial"/>
                <w:sz w:val="10"/>
                <w:szCs w:val="10"/>
                <w:color w:val="auto"/>
              </w:rPr>
              <w:t>designated</w:t>
            </w:r>
          </w:p>
        </w:tc>
        <w:tc>
          <w:tcPr>
            <w:tcW w:w="11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200" w:type="dxa"/>
            <w:vAlign w:val="bottom"/>
          </w:tcPr>
          <w:p>
            <w:pPr>
              <w:jc w:val="right"/>
              <w:ind w:right="433"/>
              <w:spacing w:after="0"/>
              <w:rPr>
                <w:sz w:val="20"/>
                <w:szCs w:val="20"/>
                <w:color w:val="auto"/>
              </w:rPr>
            </w:pPr>
            <w:r>
              <w:rPr>
                <w:rFonts w:ascii="Arial" w:cs="Arial" w:eastAsia="Arial" w:hAnsi="Arial"/>
                <w:sz w:val="10"/>
                <w:szCs w:val="10"/>
                <w:color w:val="auto"/>
              </w:rPr>
              <w:t>designated</w:t>
            </w:r>
          </w:p>
        </w:tc>
        <w:tc>
          <w:tcPr>
            <w:tcW w:w="82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080" w:type="dxa"/>
            <w:vAlign w:val="bottom"/>
            <w:tcBorders>
              <w:top w:val="single" w:sz="8" w:color="auto"/>
            </w:tcBorders>
            <w:gridSpan w:val="2"/>
          </w:tcPr>
          <w:p>
            <w:pPr>
              <w:spacing w:after="0" w:line="113" w:lineRule="exact"/>
              <w:rPr>
                <w:sz w:val="20"/>
                <w:szCs w:val="20"/>
                <w:color w:val="auto"/>
              </w:rPr>
            </w:pPr>
            <w:r>
              <w:rPr>
                <w:rFonts w:ascii="Arial" w:cs="Arial" w:eastAsia="Arial" w:hAnsi="Arial"/>
                <w:sz w:val="10"/>
                <w:szCs w:val="10"/>
                <w:color w:val="auto"/>
              </w:rPr>
              <w:t>Interest rate swaps</w:t>
            </w:r>
          </w:p>
        </w:tc>
        <w:tc>
          <w:tcPr>
            <w:tcW w:w="1420" w:type="dxa"/>
            <w:vAlign w:val="bottom"/>
            <w:tcBorders>
              <w:top w:val="single" w:sz="8" w:color="auto"/>
            </w:tcBorders>
          </w:tcPr>
          <w:p>
            <w:pPr>
              <w:jc w:val="right"/>
              <w:ind w:right="512"/>
              <w:spacing w:after="0" w:line="113" w:lineRule="exact"/>
              <w:rPr>
                <w:sz w:val="20"/>
                <w:szCs w:val="20"/>
                <w:color w:val="auto"/>
              </w:rPr>
            </w:pPr>
            <w:r>
              <w:rPr>
                <w:rFonts w:ascii="Arial" w:cs="Arial" w:eastAsia="Arial" w:hAnsi="Arial"/>
                <w:sz w:val="10"/>
                <w:szCs w:val="10"/>
                <w:color w:val="auto"/>
              </w:rPr>
              <w:t>227</w:t>
            </w:r>
          </w:p>
        </w:tc>
        <w:tc>
          <w:tcPr>
            <w:tcW w:w="1280" w:type="dxa"/>
            <w:vAlign w:val="bottom"/>
            <w:tcBorders>
              <w:top w:val="single" w:sz="8" w:color="auto"/>
            </w:tcBorders>
          </w:tcPr>
          <w:p>
            <w:pPr>
              <w:jc w:val="right"/>
              <w:ind w:right="573"/>
              <w:spacing w:after="0" w:line="113" w:lineRule="exact"/>
              <w:rPr>
                <w:sz w:val="20"/>
                <w:szCs w:val="20"/>
                <w:color w:val="auto"/>
              </w:rPr>
            </w:pPr>
            <w:r>
              <w:rPr>
                <w:rFonts w:ascii="Arial" w:cs="Arial" w:eastAsia="Arial" w:hAnsi="Arial"/>
                <w:sz w:val="10"/>
                <w:szCs w:val="10"/>
                <w:color w:val="auto"/>
              </w:rPr>
              <w:t>8</w:t>
            </w:r>
          </w:p>
        </w:tc>
        <w:tc>
          <w:tcPr>
            <w:tcW w:w="1100" w:type="dxa"/>
            <w:vAlign w:val="bottom"/>
            <w:tcBorders>
              <w:top w:val="single" w:sz="8" w:color="auto"/>
            </w:tcBorders>
          </w:tcPr>
          <w:p>
            <w:pPr>
              <w:jc w:val="right"/>
              <w:ind w:right="472"/>
              <w:spacing w:after="0" w:line="113" w:lineRule="exact"/>
              <w:rPr>
                <w:sz w:val="20"/>
                <w:szCs w:val="20"/>
                <w:color w:val="auto"/>
              </w:rPr>
            </w:pPr>
            <w:r>
              <w:rPr>
                <w:rFonts w:ascii="Arial" w:cs="Arial" w:eastAsia="Arial" w:hAnsi="Arial"/>
                <w:sz w:val="10"/>
                <w:szCs w:val="10"/>
                <w:color w:val="auto"/>
              </w:rPr>
              <w:t>235</w:t>
            </w:r>
          </w:p>
        </w:tc>
        <w:tc>
          <w:tcPr>
            <w:tcW w:w="1200" w:type="dxa"/>
            <w:vAlign w:val="bottom"/>
            <w:tcBorders>
              <w:top w:val="single" w:sz="8" w:color="auto"/>
            </w:tcBorders>
          </w:tcPr>
          <w:p>
            <w:pPr>
              <w:jc w:val="right"/>
              <w:ind w:right="472"/>
              <w:spacing w:after="0" w:line="113" w:lineRule="exact"/>
              <w:rPr>
                <w:sz w:val="20"/>
                <w:szCs w:val="20"/>
                <w:color w:val="auto"/>
              </w:rPr>
            </w:pPr>
            <w:r>
              <w:rPr>
                <w:rFonts w:ascii="Arial" w:cs="Arial" w:eastAsia="Arial" w:hAnsi="Arial"/>
                <w:sz w:val="10"/>
                <w:szCs w:val="10"/>
                <w:color w:val="auto"/>
              </w:rPr>
              <w:t>34</w:t>
            </w:r>
          </w:p>
        </w:tc>
        <w:tc>
          <w:tcPr>
            <w:tcW w:w="1200" w:type="dxa"/>
            <w:vAlign w:val="bottom"/>
            <w:tcBorders>
              <w:top w:val="single" w:sz="8" w:color="auto"/>
            </w:tcBorders>
          </w:tcPr>
          <w:p>
            <w:pPr>
              <w:jc w:val="right"/>
              <w:ind w:right="453"/>
              <w:spacing w:after="0" w:line="113" w:lineRule="exact"/>
              <w:rPr>
                <w:sz w:val="20"/>
                <w:szCs w:val="20"/>
                <w:color w:val="auto"/>
              </w:rPr>
            </w:pPr>
            <w:r>
              <w:rPr>
                <w:rFonts w:ascii="Arial" w:cs="Arial" w:eastAsia="Arial" w:hAnsi="Arial"/>
                <w:sz w:val="10"/>
                <w:szCs w:val="10"/>
                <w:color w:val="auto"/>
              </w:rPr>
              <w:t>24</w:t>
            </w:r>
          </w:p>
        </w:tc>
        <w:tc>
          <w:tcPr>
            <w:tcW w:w="7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58</w:t>
            </w:r>
          </w:p>
        </w:tc>
        <w:tc>
          <w:tcPr>
            <w:tcW w:w="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177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080" w:type="dxa"/>
            <w:vAlign w:val="bottom"/>
            <w:gridSpan w:val="2"/>
          </w:tcPr>
          <w:p>
            <w:pPr>
              <w:spacing w:after="0"/>
              <w:rPr>
                <w:sz w:val="20"/>
                <w:szCs w:val="20"/>
                <w:color w:val="auto"/>
              </w:rPr>
            </w:pPr>
            <w:r>
              <w:rPr>
                <w:rFonts w:ascii="Arial" w:cs="Arial" w:eastAsia="Arial" w:hAnsi="Arial"/>
                <w:sz w:val="10"/>
                <w:szCs w:val="10"/>
                <w:color w:val="auto"/>
              </w:rPr>
              <w:t>Forward foreign exchange contracts</w:t>
            </w:r>
          </w:p>
        </w:tc>
        <w:tc>
          <w:tcPr>
            <w:tcW w:w="1420" w:type="dxa"/>
            <w:vAlign w:val="bottom"/>
          </w:tcPr>
          <w:p>
            <w:pPr>
              <w:jc w:val="right"/>
              <w:ind w:right="512"/>
              <w:spacing w:after="0"/>
              <w:rPr>
                <w:sz w:val="20"/>
                <w:szCs w:val="20"/>
                <w:color w:val="auto"/>
              </w:rPr>
            </w:pPr>
            <w:r>
              <w:rPr>
                <w:rFonts w:ascii="Arial" w:cs="Arial" w:eastAsia="Arial" w:hAnsi="Arial"/>
                <w:sz w:val="10"/>
                <w:szCs w:val="10"/>
                <w:color w:val="auto"/>
              </w:rPr>
              <w:t>7</w:t>
            </w:r>
          </w:p>
        </w:tc>
        <w:tc>
          <w:tcPr>
            <w:tcW w:w="1280" w:type="dxa"/>
            <w:vAlign w:val="bottom"/>
          </w:tcPr>
          <w:p>
            <w:pPr>
              <w:jc w:val="right"/>
              <w:ind w:right="573"/>
              <w:spacing w:after="0"/>
              <w:rPr>
                <w:sz w:val="20"/>
                <w:szCs w:val="20"/>
                <w:color w:val="auto"/>
              </w:rPr>
            </w:pPr>
            <w:r>
              <w:rPr>
                <w:rFonts w:ascii="Arial" w:cs="Arial" w:eastAsia="Arial" w:hAnsi="Arial"/>
                <w:sz w:val="10"/>
                <w:szCs w:val="10"/>
                <w:color w:val="auto"/>
              </w:rPr>
              <w:t>236</w:t>
            </w:r>
          </w:p>
        </w:tc>
        <w:tc>
          <w:tcPr>
            <w:tcW w:w="1100" w:type="dxa"/>
            <w:vAlign w:val="bottom"/>
          </w:tcPr>
          <w:p>
            <w:pPr>
              <w:jc w:val="right"/>
              <w:ind w:right="472"/>
              <w:spacing w:after="0"/>
              <w:rPr>
                <w:sz w:val="20"/>
                <w:szCs w:val="20"/>
                <w:color w:val="auto"/>
              </w:rPr>
            </w:pPr>
            <w:r>
              <w:rPr>
                <w:rFonts w:ascii="Arial" w:cs="Arial" w:eastAsia="Arial" w:hAnsi="Arial"/>
                <w:sz w:val="10"/>
                <w:szCs w:val="10"/>
                <w:color w:val="auto"/>
              </w:rPr>
              <w:t>243</w:t>
            </w:r>
          </w:p>
        </w:tc>
        <w:tc>
          <w:tcPr>
            <w:tcW w:w="1200" w:type="dxa"/>
            <w:vAlign w:val="bottom"/>
          </w:tcPr>
          <w:p>
            <w:pPr>
              <w:jc w:val="right"/>
              <w:ind w:right="472"/>
              <w:spacing w:after="0"/>
              <w:rPr>
                <w:sz w:val="20"/>
                <w:szCs w:val="20"/>
                <w:color w:val="auto"/>
              </w:rPr>
            </w:pPr>
            <w:r>
              <w:rPr>
                <w:rFonts w:ascii="Arial" w:cs="Arial" w:eastAsia="Arial" w:hAnsi="Arial"/>
                <w:sz w:val="10"/>
                <w:szCs w:val="10"/>
                <w:color w:val="auto"/>
              </w:rPr>
              <w:t>2</w:t>
            </w:r>
          </w:p>
        </w:tc>
        <w:tc>
          <w:tcPr>
            <w:tcW w:w="1200" w:type="dxa"/>
            <w:vAlign w:val="bottom"/>
          </w:tcPr>
          <w:p>
            <w:pPr>
              <w:jc w:val="right"/>
              <w:ind w:right="453"/>
              <w:spacing w:after="0"/>
              <w:rPr>
                <w:sz w:val="20"/>
                <w:szCs w:val="20"/>
                <w:color w:val="auto"/>
              </w:rPr>
            </w:pPr>
            <w:r>
              <w:rPr>
                <w:rFonts w:ascii="Arial" w:cs="Arial" w:eastAsia="Arial" w:hAnsi="Arial"/>
                <w:sz w:val="10"/>
                <w:szCs w:val="10"/>
                <w:color w:val="auto"/>
              </w:rPr>
              <w:t>309</w:t>
            </w:r>
          </w:p>
        </w:tc>
        <w:tc>
          <w:tcPr>
            <w:tcW w:w="740" w:type="dxa"/>
            <w:vAlign w:val="bottom"/>
          </w:tcPr>
          <w:p>
            <w:pPr>
              <w:jc w:val="right"/>
              <w:spacing w:after="0"/>
              <w:rPr>
                <w:sz w:val="20"/>
                <w:szCs w:val="20"/>
                <w:color w:val="auto"/>
              </w:rPr>
            </w:pPr>
            <w:r>
              <w:rPr>
                <w:rFonts w:ascii="Arial" w:cs="Arial" w:eastAsia="Arial" w:hAnsi="Arial"/>
                <w:sz w:val="10"/>
                <w:szCs w:val="10"/>
                <w:color w:val="auto"/>
              </w:rPr>
              <w:t>311</w:t>
            </w:r>
          </w:p>
        </w:tc>
        <w:tc>
          <w:tcPr>
            <w:tcW w:w="8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(68)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080" w:type="dxa"/>
            <w:vAlign w:val="bottom"/>
            <w:gridSpan w:val="2"/>
          </w:tcPr>
          <w:p>
            <w:pPr>
              <w:spacing w:after="0"/>
              <w:rPr>
                <w:sz w:val="20"/>
                <w:szCs w:val="20"/>
                <w:color w:val="auto"/>
              </w:rPr>
            </w:pPr>
            <w:r>
              <w:rPr>
                <w:rFonts w:ascii="Arial" w:cs="Arial" w:eastAsia="Arial" w:hAnsi="Arial"/>
                <w:sz w:val="10"/>
                <w:szCs w:val="10"/>
                <w:color w:val="auto"/>
              </w:rPr>
              <w:t>Currency swaps and options</w:t>
            </w:r>
          </w:p>
        </w:tc>
        <w:tc>
          <w:tcPr>
            <w:tcW w:w="1420" w:type="dxa"/>
            <w:vAlign w:val="bottom"/>
          </w:tcPr>
          <w:p>
            <w:pPr>
              <w:jc w:val="right"/>
              <w:ind w:right="512"/>
              <w:spacing w:after="0"/>
              <w:rPr>
                <w:sz w:val="20"/>
                <w:szCs w:val="20"/>
                <w:color w:val="auto"/>
              </w:rPr>
            </w:pPr>
            <w:r>
              <w:rPr>
                <w:rFonts w:ascii="Arial" w:cs="Arial" w:eastAsia="Arial" w:hAnsi="Arial"/>
                <w:sz w:val="10"/>
                <w:szCs w:val="10"/>
                <w:color w:val="auto"/>
              </w:rPr>
              <w:t>90</w:t>
            </w:r>
          </w:p>
        </w:tc>
        <w:tc>
          <w:tcPr>
            <w:tcW w:w="1280" w:type="dxa"/>
            <w:vAlign w:val="bottom"/>
          </w:tcPr>
          <w:p>
            <w:pPr>
              <w:jc w:val="right"/>
              <w:ind w:right="573"/>
              <w:spacing w:after="0"/>
              <w:rPr>
                <w:sz w:val="20"/>
                <w:szCs w:val="20"/>
                <w:color w:val="auto"/>
              </w:rPr>
            </w:pPr>
            <w:r>
              <w:rPr>
                <w:rFonts w:ascii="Arial" w:cs="Arial" w:eastAsia="Arial" w:hAnsi="Arial"/>
                <w:sz w:val="10"/>
                <w:szCs w:val="10"/>
                <w:color w:val="auto"/>
              </w:rPr>
              <w:t>15</w:t>
            </w:r>
          </w:p>
        </w:tc>
        <w:tc>
          <w:tcPr>
            <w:tcW w:w="1100" w:type="dxa"/>
            <w:vAlign w:val="bottom"/>
          </w:tcPr>
          <w:p>
            <w:pPr>
              <w:jc w:val="right"/>
              <w:ind w:right="472"/>
              <w:spacing w:after="0"/>
              <w:rPr>
                <w:sz w:val="20"/>
                <w:szCs w:val="20"/>
                <w:color w:val="auto"/>
              </w:rPr>
            </w:pPr>
            <w:r>
              <w:rPr>
                <w:rFonts w:ascii="Arial" w:cs="Arial" w:eastAsia="Arial" w:hAnsi="Arial"/>
                <w:sz w:val="10"/>
                <w:szCs w:val="10"/>
                <w:color w:val="auto"/>
              </w:rPr>
              <w:t>105</w:t>
            </w:r>
          </w:p>
        </w:tc>
        <w:tc>
          <w:tcPr>
            <w:tcW w:w="1200" w:type="dxa"/>
            <w:vAlign w:val="bottom"/>
          </w:tcPr>
          <w:p>
            <w:pPr>
              <w:jc w:val="right"/>
              <w:ind w:right="472"/>
              <w:spacing w:after="0"/>
              <w:rPr>
                <w:sz w:val="20"/>
                <w:szCs w:val="20"/>
                <w:color w:val="auto"/>
              </w:rPr>
            </w:pPr>
            <w:r>
              <w:rPr>
                <w:rFonts w:ascii="Arial" w:cs="Arial" w:eastAsia="Arial" w:hAnsi="Arial"/>
                <w:sz w:val="10"/>
                <w:szCs w:val="10"/>
                <w:color w:val="auto"/>
              </w:rPr>
              <w:t>932</w:t>
            </w:r>
          </w:p>
        </w:tc>
        <w:tc>
          <w:tcPr>
            <w:tcW w:w="1200" w:type="dxa"/>
            <w:vAlign w:val="bottom"/>
          </w:tcPr>
          <w:p>
            <w:pPr>
              <w:jc w:val="right"/>
              <w:ind w:right="453"/>
              <w:spacing w:after="0"/>
              <w:rPr>
                <w:sz w:val="20"/>
                <w:szCs w:val="20"/>
                <w:color w:val="auto"/>
              </w:rPr>
            </w:pPr>
            <w:r>
              <w:rPr>
                <w:rFonts w:ascii="Arial" w:cs="Arial" w:eastAsia="Arial" w:hAnsi="Arial"/>
                <w:sz w:val="10"/>
                <w:szCs w:val="10"/>
                <w:color w:val="auto"/>
              </w:rPr>
              <w:t>56</w:t>
            </w:r>
          </w:p>
        </w:tc>
        <w:tc>
          <w:tcPr>
            <w:tcW w:w="740" w:type="dxa"/>
            <w:vAlign w:val="bottom"/>
          </w:tcPr>
          <w:p>
            <w:pPr>
              <w:jc w:val="right"/>
              <w:spacing w:after="0"/>
              <w:rPr>
                <w:sz w:val="20"/>
                <w:szCs w:val="20"/>
                <w:color w:val="auto"/>
              </w:rPr>
            </w:pPr>
            <w:r>
              <w:rPr>
                <w:rFonts w:ascii="Arial" w:cs="Arial" w:eastAsia="Arial" w:hAnsi="Arial"/>
                <w:sz w:val="10"/>
                <w:szCs w:val="10"/>
                <w:color w:val="auto"/>
              </w:rPr>
              <w:t>988</w:t>
            </w:r>
          </w:p>
        </w:tc>
        <w:tc>
          <w:tcPr>
            <w:tcW w:w="8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(883)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080" w:type="dxa"/>
            <w:vAlign w:val="bottom"/>
            <w:gridSpan w:val="2"/>
          </w:tcPr>
          <w:p>
            <w:pPr>
              <w:spacing w:after="0"/>
              <w:rPr>
                <w:sz w:val="20"/>
                <w:szCs w:val="20"/>
                <w:color w:val="auto"/>
              </w:rPr>
            </w:pPr>
            <w:r>
              <w:rPr>
                <w:rFonts w:ascii="Arial" w:cs="Arial" w:eastAsia="Arial" w:hAnsi="Arial"/>
                <w:sz w:val="10"/>
                <w:szCs w:val="10"/>
                <w:color w:val="auto"/>
              </w:rPr>
              <w:t>Commodity derivatives</w:t>
            </w:r>
          </w:p>
        </w:tc>
        <w:tc>
          <w:tcPr>
            <w:tcW w:w="1420" w:type="dxa"/>
            <w:vAlign w:val="bottom"/>
          </w:tcPr>
          <w:p>
            <w:pPr>
              <w:jc w:val="right"/>
              <w:ind w:right="51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573"/>
              <w:spacing w:after="0"/>
              <w:rPr>
                <w:sz w:val="20"/>
                <w:szCs w:val="20"/>
                <w:color w:val="auto"/>
              </w:rPr>
            </w:pPr>
            <w:r>
              <w:rPr>
                <w:rFonts w:ascii="Arial" w:cs="Arial" w:eastAsia="Arial" w:hAnsi="Arial"/>
                <w:sz w:val="10"/>
                <w:szCs w:val="10"/>
                <w:color w:val="auto"/>
              </w:rPr>
              <w:t>6,914</w:t>
            </w:r>
          </w:p>
        </w:tc>
        <w:tc>
          <w:tcPr>
            <w:tcW w:w="1100" w:type="dxa"/>
            <w:vAlign w:val="bottom"/>
          </w:tcPr>
          <w:p>
            <w:pPr>
              <w:jc w:val="right"/>
              <w:ind w:right="472"/>
              <w:spacing w:after="0"/>
              <w:rPr>
                <w:sz w:val="20"/>
                <w:szCs w:val="20"/>
                <w:color w:val="auto"/>
              </w:rPr>
            </w:pPr>
            <w:r>
              <w:rPr>
                <w:rFonts w:ascii="Arial" w:cs="Arial" w:eastAsia="Arial" w:hAnsi="Arial"/>
                <w:sz w:val="10"/>
                <w:szCs w:val="10"/>
                <w:color w:val="auto"/>
              </w:rPr>
              <w:t>6,914</w:t>
            </w:r>
          </w:p>
        </w:tc>
        <w:tc>
          <w:tcPr>
            <w:tcW w:w="120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453"/>
              <w:spacing w:after="0"/>
              <w:rPr>
                <w:sz w:val="20"/>
                <w:szCs w:val="20"/>
                <w:color w:val="auto"/>
              </w:rPr>
            </w:pPr>
            <w:r>
              <w:rPr>
                <w:rFonts w:ascii="Arial" w:cs="Arial" w:eastAsia="Arial" w:hAnsi="Arial"/>
                <w:sz w:val="10"/>
                <w:szCs w:val="10"/>
                <w:color w:val="auto"/>
              </w:rPr>
              <w:t>5,281</w:t>
            </w:r>
          </w:p>
        </w:tc>
        <w:tc>
          <w:tcPr>
            <w:tcW w:w="740" w:type="dxa"/>
            <w:vAlign w:val="bottom"/>
          </w:tcPr>
          <w:p>
            <w:pPr>
              <w:jc w:val="right"/>
              <w:spacing w:after="0"/>
              <w:rPr>
                <w:sz w:val="20"/>
                <w:szCs w:val="20"/>
                <w:color w:val="auto"/>
              </w:rPr>
            </w:pPr>
            <w:r>
              <w:rPr>
                <w:rFonts w:ascii="Arial" w:cs="Arial" w:eastAsia="Arial" w:hAnsi="Arial"/>
                <w:sz w:val="10"/>
                <w:szCs w:val="10"/>
                <w:color w:val="auto"/>
              </w:rPr>
              <w:t>5,281</w:t>
            </w:r>
          </w:p>
        </w:tc>
        <w:tc>
          <w:tcPr>
            <w:tcW w:w="8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1,633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 contracts</w:t>
            </w: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0"/>
                <w:szCs w:val="10"/>
                <w:color w:val="auto"/>
              </w:rPr>
              <w:t>341</w:t>
            </w: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341</w:t>
            </w: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Total</w:t>
            </w: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324</w:t>
            </w: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0"/>
                <w:szCs w:val="10"/>
                <w:color w:val="auto"/>
              </w:rPr>
              <w:t>7,514</w:t>
            </w: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7,838</w:t>
            </w: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968</w:t>
            </w: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0"/>
                <w:szCs w:val="10"/>
                <w:color w:val="auto"/>
              </w:rPr>
              <w:t>5,670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6,638</w:t>
            </w: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100"/>
        <w:spacing w:after="0" w:line="209" w:lineRule="auto"/>
        <w:rPr>
          <w:sz w:val="20"/>
          <w:szCs w:val="20"/>
          <w:color w:val="auto"/>
        </w:rPr>
      </w:pPr>
      <w:r>
        <w:rPr>
          <w:rFonts w:ascii="Arial" w:cs="Arial" w:eastAsia="Arial" w:hAnsi="Arial"/>
          <w:sz w:val="10"/>
          <w:szCs w:val="10"/>
          <w:color w:val="auto"/>
        </w:rPr>
        <w:t>Net gains before tax on derivative contracts, excluding realised commodity contracts and those accounted for as hedges, were $1,676 million in 2020 (2019: $2,004 million losses; 2018: $1,818 million losses). The International Financial Reporting Interpretation Committee (IFRIC) guidance concerning the physical settlement of a contract to buy or sell a non-financial item has been applied prospectively as from 2020. The result of this decision is that $597 million of prior gains that would have previously reversed at the time of trade delivery, have been excluded from the amount disclosed in 2020.</w:t>
      </w:r>
    </w:p>
    <w:p>
      <w:pPr>
        <w:spacing w:after="0" w:line="141" w:lineRule="exact"/>
        <w:rPr>
          <w:sz w:val="20"/>
          <w:szCs w:val="20"/>
          <w:color w:val="auto"/>
        </w:rPr>
      </w:pPr>
    </w:p>
    <w:p>
      <w:pPr>
        <w:spacing w:after="0" w:line="358" w:lineRule="auto"/>
        <w:rPr>
          <w:sz w:val="20"/>
          <w:szCs w:val="20"/>
          <w:color w:val="auto"/>
        </w:rPr>
      </w:pPr>
      <w:r>
        <w:rPr>
          <w:rFonts w:ascii="Arial" w:cs="Arial" w:eastAsia="Arial" w:hAnsi="Arial"/>
          <w:sz w:val="8"/>
          <w:szCs w:val="8"/>
          <w:color w:val="auto"/>
        </w:rPr>
        <w:t>Certain contracts, mainly to hedge price risk relating to forecast commodity transactions, were designated in cash flow hedging relationships and are presented after the offset of related margin balances with exchanges. Contracts to hedge foreign exchange risks were also designated in cash flow hedging relationships and the net carrying amount of these contracts at December 31, 2020, was an asset of $556 million (2019: $167 million liability). See Note 22 for the accumulated balance recognised within other comprehensive income.</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201</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204" w:name="page205"/>
    <w:bookmarkEnd w:id="204"/>
    <w:p>
      <w:pPr>
        <w:spacing w:after="0"/>
        <w:rPr>
          <w:sz w:val="20"/>
          <w:szCs w:val="20"/>
          <w:color w:val="auto"/>
        </w:rPr>
      </w:pPr>
      <w:r>
        <w:rPr>
          <w:rFonts w:ascii="Arial" w:cs="Arial" w:eastAsia="Arial" w:hAnsi="Arial"/>
          <w:sz w:val="8"/>
          <w:szCs w:val="8"/>
          <w:color w:val="auto"/>
        </w:rPr>
        <w:t>Certain interest rate and currency swaps were designated in fair value hedges, principally in respect of debt for which the net carrying amount of the related derivative contracts, net of accrued interest, at December 31, 2020, was an asset of $1,422 million (2019: $518 million liability).</w:t>
      </w:r>
    </w:p>
    <w:p>
      <w:pPr>
        <w:spacing w:after="0" w:line="169" w:lineRule="exact"/>
        <w:rPr>
          <w:sz w:val="20"/>
          <w:szCs w:val="20"/>
          <w:color w:val="auto"/>
        </w:rPr>
      </w:pPr>
    </w:p>
    <w:p>
      <w:pPr>
        <w:ind w:right="260"/>
        <w:spacing w:after="0" w:line="220" w:lineRule="auto"/>
        <w:rPr>
          <w:sz w:val="20"/>
          <w:szCs w:val="20"/>
          <w:color w:val="auto"/>
        </w:rPr>
      </w:pPr>
      <w:r>
        <w:rPr>
          <w:rFonts w:ascii="Arial" w:cs="Arial" w:eastAsia="Arial" w:hAnsi="Arial"/>
          <w:sz w:val="10"/>
          <w:szCs w:val="10"/>
          <w:color w:val="auto"/>
        </w:rPr>
        <w:t>In 2020, €3 billion of debt instruments were designated as hedges of net investments in foreign operations, relating to the foreign exchange risk arising between certain intermediate holding companies and their subsidiaries. See Note 22 for the accumulated balance recognised within other comprehensive income.</w:t>
      </w:r>
    </w:p>
    <w:p>
      <w:pPr>
        <w:spacing w:after="0" w:line="140" w:lineRule="exact"/>
        <w:rPr>
          <w:sz w:val="20"/>
          <w:szCs w:val="20"/>
          <w:color w:val="auto"/>
        </w:rPr>
      </w:pPr>
    </w:p>
    <w:p>
      <w:pPr>
        <w:ind w:right="140"/>
        <w:spacing w:after="0" w:line="239" w:lineRule="auto"/>
        <w:rPr>
          <w:sz w:val="20"/>
          <w:szCs w:val="20"/>
          <w:color w:val="auto"/>
        </w:rPr>
      </w:pPr>
      <w:r>
        <w:rPr>
          <w:rFonts w:ascii="Arial" w:cs="Arial" w:eastAsia="Arial" w:hAnsi="Arial"/>
          <w:sz w:val="10"/>
          <w:szCs w:val="10"/>
          <w:color w:val="auto"/>
        </w:rPr>
        <w:t>In the course of trading operations, certain contracts are entered into for delivery of commodities that are accounted for as derivatives. The resulting price exposures are managed by entering into related derivative contracts. These contracts are managed on a fair value basis and the maximum exposure to liquidity risk is the undiscounted fair value of derivative liabilities.</w:t>
      </w:r>
    </w:p>
    <w:p>
      <w:pPr>
        <w:spacing w:after="0" w:line="149" w:lineRule="exact"/>
        <w:rPr>
          <w:sz w:val="20"/>
          <w:szCs w:val="20"/>
          <w:color w:val="auto"/>
        </w:rPr>
      </w:pPr>
    </w:p>
    <w:p>
      <w:pPr>
        <w:ind w:right="140"/>
        <w:spacing w:after="0" w:line="239" w:lineRule="auto"/>
        <w:rPr>
          <w:sz w:val="20"/>
          <w:szCs w:val="20"/>
          <w:color w:val="auto"/>
        </w:rPr>
      </w:pPr>
      <w:r>
        <w:rPr>
          <w:rFonts w:ascii="Arial" w:cs="Arial" w:eastAsia="Arial" w:hAnsi="Arial"/>
          <w:sz w:val="10"/>
          <w:szCs w:val="10"/>
          <w:color w:val="auto"/>
        </w:rPr>
        <w:t>For a minority of commodity derivatives contracts, carrying amounts cannot be derived from quoted market prices or other observable inputs, in which case fair value is estimated using valuation techniques such as Black-Scholes, option spread models and extrapolation using quoted spreads with assumptions developed internally based on observable market activity.</w:t>
      </w:r>
    </w:p>
    <w:p>
      <w:pPr>
        <w:spacing w:after="0" w:line="149" w:lineRule="exact"/>
        <w:rPr>
          <w:sz w:val="20"/>
          <w:szCs w:val="20"/>
          <w:color w:val="auto"/>
        </w:rPr>
      </w:pPr>
    </w:p>
    <w:p>
      <w:pPr>
        <w:spacing w:after="0"/>
        <w:rPr>
          <w:sz w:val="20"/>
          <w:szCs w:val="20"/>
          <w:color w:val="auto"/>
        </w:rPr>
      </w:pPr>
      <w:r>
        <w:rPr>
          <w:rFonts w:ascii="Arial" w:cs="Arial" w:eastAsia="Arial" w:hAnsi="Arial"/>
          <w:sz w:val="8"/>
          <w:szCs w:val="8"/>
          <w:color w:val="auto"/>
        </w:rPr>
        <w:t>Other contracts include certain contracts that are held to sell or purchase commodities and others containing embedded derivatives, which are required to be recognised at fair value because of pricing or delivery conditions, even though they were entered into to meet operational requirements.</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These contracts are expected to mature in 2021-2025, with certain contracts having early termination rights (for either party). Valuations are derived from quoted market prices.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The contractual maturities of derivative liabilities at December 31 compare with their carrying amounts in the Consolidated Balance Sheet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40" w:type="dxa"/>
            <w:vAlign w:val="bottom"/>
            <w:tcBorders>
              <w:top w:val="single" w:sz="8" w:color="CDCDCD"/>
            </w:tcBorders>
          </w:tcPr>
          <w:p>
            <w:pPr>
              <w:ind w:left="20"/>
              <w:spacing w:after="0"/>
              <w:rPr>
                <w:sz w:val="20"/>
                <w:szCs w:val="20"/>
                <w:color w:val="auto"/>
              </w:rPr>
            </w:pPr>
            <w:r>
              <w:rPr>
                <w:rFonts w:ascii="Arial" w:cs="Arial" w:eastAsia="Arial" w:hAnsi="Arial"/>
                <w:sz w:val="10"/>
                <w:szCs w:val="10"/>
                <w:color w:val="auto"/>
              </w:rPr>
              <w:t>2020</w:t>
            </w:r>
          </w:p>
        </w:tc>
        <w:tc>
          <w:tcPr>
            <w:tcW w:w="1220" w:type="dxa"/>
            <w:vAlign w:val="bottom"/>
            <w:tcBorders>
              <w:top w:val="single" w:sz="8" w:color="CDCDCD"/>
            </w:tcBorders>
          </w:tcPr>
          <w:p>
            <w:pPr>
              <w:spacing w:after="0"/>
              <w:rPr>
                <w:sz w:val="13"/>
                <w:szCs w:val="13"/>
                <w:color w:val="auto"/>
              </w:rPr>
            </w:pPr>
          </w:p>
        </w:tc>
        <w:tc>
          <w:tcPr>
            <w:tcW w:w="920" w:type="dxa"/>
            <w:vAlign w:val="bottom"/>
            <w:tcBorders>
              <w:top w:val="single" w:sz="8" w:color="CDCDCD"/>
            </w:tcBorders>
          </w:tcPr>
          <w:p>
            <w:pPr>
              <w:spacing w:after="0"/>
              <w:rPr>
                <w:sz w:val="13"/>
                <w:szCs w:val="13"/>
                <w:color w:val="auto"/>
              </w:rPr>
            </w:pPr>
          </w:p>
        </w:tc>
        <w:tc>
          <w:tcPr>
            <w:tcW w:w="940" w:type="dxa"/>
            <w:vAlign w:val="bottom"/>
            <w:tcBorders>
              <w:top w:val="single" w:sz="8" w:color="CDCDCD"/>
            </w:tcBorders>
          </w:tcPr>
          <w:p>
            <w:pPr>
              <w:spacing w:after="0"/>
              <w:rPr>
                <w:sz w:val="13"/>
                <w:szCs w:val="13"/>
                <w:color w:val="auto"/>
              </w:rPr>
            </w:pPr>
          </w:p>
        </w:tc>
        <w:tc>
          <w:tcPr>
            <w:tcW w:w="920" w:type="dxa"/>
            <w:vAlign w:val="bottom"/>
            <w:tcBorders>
              <w:top w:val="single" w:sz="8" w:color="CDCDCD"/>
            </w:tcBorders>
          </w:tcPr>
          <w:p>
            <w:pPr>
              <w:spacing w:after="0"/>
              <w:rPr>
                <w:sz w:val="13"/>
                <w:szCs w:val="13"/>
                <w:color w:val="auto"/>
              </w:rPr>
            </w:pPr>
          </w:p>
        </w:tc>
        <w:tc>
          <w:tcPr>
            <w:tcW w:w="920" w:type="dxa"/>
            <w:vAlign w:val="bottom"/>
            <w:tcBorders>
              <w:top w:val="single" w:sz="8" w:color="CDCDCD"/>
            </w:tcBorders>
          </w:tcPr>
          <w:p>
            <w:pPr>
              <w:spacing w:after="0"/>
              <w:rPr>
                <w:sz w:val="13"/>
                <w:szCs w:val="13"/>
                <w:color w:val="auto"/>
              </w:rPr>
            </w:pPr>
          </w:p>
        </w:tc>
        <w:tc>
          <w:tcPr>
            <w:tcW w:w="680" w:type="dxa"/>
            <w:vAlign w:val="bottom"/>
            <w:tcBorders>
              <w:top w:val="single" w:sz="8" w:color="CDCDCD"/>
            </w:tcBorders>
          </w:tcPr>
          <w:p>
            <w:pPr>
              <w:spacing w:after="0"/>
              <w:rPr>
                <w:sz w:val="13"/>
                <w:szCs w:val="13"/>
                <w:color w:val="auto"/>
              </w:rPr>
            </w:pPr>
          </w:p>
        </w:tc>
        <w:tc>
          <w:tcPr>
            <w:tcW w:w="900" w:type="dxa"/>
            <w:vAlign w:val="bottom"/>
            <w:tcBorders>
              <w:top w:val="single" w:sz="8" w:color="CDCDCD"/>
            </w:tcBorders>
          </w:tcPr>
          <w:p>
            <w:pPr>
              <w:spacing w:after="0"/>
              <w:rPr>
                <w:sz w:val="13"/>
                <w:szCs w:val="13"/>
                <w:color w:val="auto"/>
              </w:rPr>
            </w:pPr>
          </w:p>
        </w:tc>
        <w:tc>
          <w:tcPr>
            <w:tcW w:w="1400" w:type="dxa"/>
            <w:vAlign w:val="bottom"/>
            <w:tcBorders>
              <w:top w:val="single" w:sz="8" w:color="CDCDCD"/>
            </w:tcBorders>
          </w:tcPr>
          <w:p>
            <w:pPr>
              <w:spacing w:after="0"/>
              <w:rPr>
                <w:sz w:val="13"/>
                <w:szCs w:val="13"/>
                <w:color w:val="auto"/>
              </w:rPr>
            </w:pPr>
          </w:p>
        </w:tc>
        <w:tc>
          <w:tcPr>
            <w:tcW w:w="64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3"/>
        </w:trPr>
        <w:tc>
          <w:tcPr>
            <w:tcW w:w="2740" w:type="dxa"/>
            <w:vAlign w:val="bottom"/>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8"/>
              </w:rPr>
              <w:t>Contractual maturities</w:t>
            </w:r>
          </w:p>
        </w:tc>
        <w:tc>
          <w:tcPr>
            <w:tcW w:w="1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740" w:type="dxa"/>
            <w:vAlign w:val="bottom"/>
          </w:tcPr>
          <w:p>
            <w:pPr>
              <w:spacing w:after="0"/>
              <w:rPr>
                <w:sz w:val="7"/>
                <w:szCs w:val="7"/>
                <w:color w:val="auto"/>
              </w:rPr>
            </w:pPr>
          </w:p>
        </w:tc>
        <w:tc>
          <w:tcPr>
            <w:tcW w:w="1220" w:type="dxa"/>
            <w:vAlign w:val="bottom"/>
            <w:vMerge w:val="restart"/>
          </w:tcPr>
          <w:p>
            <w:pPr>
              <w:jc w:val="right"/>
              <w:ind w:right="252"/>
              <w:spacing w:after="0"/>
              <w:rPr>
                <w:sz w:val="20"/>
                <w:szCs w:val="20"/>
                <w:color w:val="auto"/>
              </w:rPr>
            </w:pPr>
            <w:r>
              <w:rPr>
                <w:rFonts w:ascii="Arial" w:cs="Arial" w:eastAsia="Arial" w:hAnsi="Arial"/>
                <w:sz w:val="10"/>
                <w:szCs w:val="10"/>
                <w:color w:val="auto"/>
              </w:rPr>
              <w:t>Less than</w:t>
            </w:r>
          </w:p>
        </w:tc>
        <w:tc>
          <w:tcPr>
            <w:tcW w:w="920" w:type="dxa"/>
            <w:vAlign w:val="bottom"/>
          </w:tcPr>
          <w:p>
            <w:pPr>
              <w:jc w:val="right"/>
              <w:ind w:right="252"/>
              <w:spacing w:after="0" w:line="87" w:lineRule="exact"/>
              <w:rPr>
                <w:sz w:val="20"/>
                <w:szCs w:val="20"/>
                <w:color w:val="auto"/>
              </w:rPr>
            </w:pPr>
            <w:r>
              <w:rPr>
                <w:rFonts w:ascii="Arial" w:cs="Arial" w:eastAsia="Arial" w:hAnsi="Arial"/>
                <w:sz w:val="10"/>
                <w:szCs w:val="10"/>
                <w:color w:val="auto"/>
              </w:rPr>
              <w:t>Between</w:t>
            </w:r>
          </w:p>
        </w:tc>
        <w:tc>
          <w:tcPr>
            <w:tcW w:w="940" w:type="dxa"/>
            <w:vAlign w:val="bottom"/>
          </w:tcPr>
          <w:p>
            <w:pPr>
              <w:jc w:val="right"/>
              <w:ind w:right="252"/>
              <w:spacing w:after="0" w:line="87" w:lineRule="exact"/>
              <w:rPr>
                <w:sz w:val="20"/>
                <w:szCs w:val="20"/>
                <w:color w:val="auto"/>
              </w:rPr>
            </w:pPr>
            <w:r>
              <w:rPr>
                <w:rFonts w:ascii="Arial" w:cs="Arial" w:eastAsia="Arial" w:hAnsi="Arial"/>
                <w:sz w:val="10"/>
                <w:szCs w:val="10"/>
                <w:color w:val="auto"/>
              </w:rPr>
              <w:t>Between</w:t>
            </w:r>
          </w:p>
        </w:tc>
        <w:tc>
          <w:tcPr>
            <w:tcW w:w="920" w:type="dxa"/>
            <w:vAlign w:val="bottom"/>
          </w:tcPr>
          <w:p>
            <w:pPr>
              <w:jc w:val="right"/>
              <w:ind w:right="252"/>
              <w:spacing w:after="0" w:line="87" w:lineRule="exact"/>
              <w:rPr>
                <w:sz w:val="20"/>
                <w:szCs w:val="20"/>
                <w:color w:val="auto"/>
              </w:rPr>
            </w:pPr>
            <w:r>
              <w:rPr>
                <w:rFonts w:ascii="Arial" w:cs="Arial" w:eastAsia="Arial" w:hAnsi="Arial"/>
                <w:sz w:val="10"/>
                <w:szCs w:val="10"/>
                <w:color w:val="auto"/>
              </w:rPr>
              <w:t>Between</w:t>
            </w:r>
          </w:p>
        </w:tc>
        <w:tc>
          <w:tcPr>
            <w:tcW w:w="920" w:type="dxa"/>
            <w:vAlign w:val="bottom"/>
          </w:tcPr>
          <w:p>
            <w:pPr>
              <w:jc w:val="right"/>
              <w:ind w:right="252"/>
              <w:spacing w:after="0" w:line="87" w:lineRule="exact"/>
              <w:rPr>
                <w:sz w:val="20"/>
                <w:szCs w:val="20"/>
                <w:color w:val="auto"/>
              </w:rPr>
            </w:pPr>
            <w:r>
              <w:rPr>
                <w:rFonts w:ascii="Arial" w:cs="Arial" w:eastAsia="Arial" w:hAnsi="Arial"/>
                <w:sz w:val="10"/>
                <w:szCs w:val="10"/>
                <w:color w:val="auto"/>
              </w:rPr>
              <w:t>Between</w:t>
            </w: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5 years</w:t>
            </w:r>
          </w:p>
        </w:tc>
        <w:tc>
          <w:tcPr>
            <w:tcW w:w="900" w:type="dxa"/>
            <w:vAlign w:val="bottom"/>
          </w:tcPr>
          <w:p>
            <w:pPr>
              <w:spacing w:after="0"/>
              <w:rPr>
                <w:sz w:val="7"/>
                <w:szCs w:val="7"/>
                <w:color w:val="auto"/>
              </w:rPr>
            </w:pPr>
          </w:p>
        </w:tc>
        <w:tc>
          <w:tcPr>
            <w:tcW w:w="1400" w:type="dxa"/>
            <w:vAlign w:val="bottom"/>
          </w:tcPr>
          <w:p>
            <w:pPr>
              <w:jc w:val="right"/>
              <w:ind w:right="252"/>
              <w:spacing w:after="0" w:line="87" w:lineRule="exact"/>
              <w:rPr>
                <w:sz w:val="20"/>
                <w:szCs w:val="20"/>
                <w:color w:val="auto"/>
              </w:rPr>
            </w:pPr>
            <w:r>
              <w:rPr>
                <w:rFonts w:ascii="Arial" w:cs="Arial" w:eastAsia="Arial" w:hAnsi="Arial"/>
                <w:sz w:val="10"/>
                <w:szCs w:val="10"/>
                <w:color w:val="auto"/>
              </w:rPr>
              <w:t>Difference</w:t>
            </w: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Carrying</w:t>
            </w:r>
          </w:p>
        </w:tc>
        <w:tc>
          <w:tcPr>
            <w:tcW w:w="0" w:type="dxa"/>
            <w:vAlign w:val="bottom"/>
          </w:tcPr>
          <w:p>
            <w:pPr>
              <w:spacing w:after="0"/>
              <w:rPr>
                <w:sz w:val="1"/>
                <w:szCs w:val="1"/>
                <w:color w:val="auto"/>
              </w:rPr>
            </w:pPr>
          </w:p>
        </w:tc>
      </w:tr>
      <w:tr>
        <w:trPr>
          <w:trHeight w:val="90"/>
        </w:trPr>
        <w:tc>
          <w:tcPr>
            <w:tcW w:w="27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920" w:type="dxa"/>
            <w:vAlign w:val="bottom"/>
          </w:tcPr>
          <w:p>
            <w:pPr>
              <w:jc w:val="right"/>
              <w:ind w:right="252"/>
              <w:spacing w:after="0" w:line="90" w:lineRule="exact"/>
              <w:rPr>
                <w:sz w:val="20"/>
                <w:szCs w:val="20"/>
                <w:color w:val="auto"/>
              </w:rPr>
            </w:pPr>
            <w:r>
              <w:rPr>
                <w:rFonts w:ascii="Arial" w:cs="Arial" w:eastAsia="Arial" w:hAnsi="Arial"/>
                <w:sz w:val="10"/>
                <w:szCs w:val="10"/>
                <w:color w:val="auto"/>
              </w:rPr>
              <w:t>1 and 2</w:t>
            </w:r>
          </w:p>
        </w:tc>
        <w:tc>
          <w:tcPr>
            <w:tcW w:w="940" w:type="dxa"/>
            <w:vAlign w:val="bottom"/>
          </w:tcPr>
          <w:p>
            <w:pPr>
              <w:jc w:val="right"/>
              <w:ind w:right="252"/>
              <w:spacing w:after="0" w:line="90" w:lineRule="exact"/>
              <w:rPr>
                <w:sz w:val="20"/>
                <w:szCs w:val="20"/>
                <w:color w:val="auto"/>
              </w:rPr>
            </w:pPr>
            <w:r>
              <w:rPr>
                <w:rFonts w:ascii="Arial" w:cs="Arial" w:eastAsia="Arial" w:hAnsi="Arial"/>
                <w:sz w:val="10"/>
                <w:szCs w:val="10"/>
                <w:color w:val="auto"/>
              </w:rPr>
              <w:t>2 and 3</w:t>
            </w:r>
          </w:p>
        </w:tc>
        <w:tc>
          <w:tcPr>
            <w:tcW w:w="920" w:type="dxa"/>
            <w:vAlign w:val="bottom"/>
          </w:tcPr>
          <w:p>
            <w:pPr>
              <w:jc w:val="right"/>
              <w:ind w:right="252"/>
              <w:spacing w:after="0" w:line="90" w:lineRule="exact"/>
              <w:rPr>
                <w:sz w:val="20"/>
                <w:szCs w:val="20"/>
                <w:color w:val="auto"/>
              </w:rPr>
            </w:pPr>
            <w:r>
              <w:rPr>
                <w:rFonts w:ascii="Arial" w:cs="Arial" w:eastAsia="Arial" w:hAnsi="Arial"/>
                <w:sz w:val="10"/>
                <w:szCs w:val="10"/>
                <w:color w:val="auto"/>
              </w:rPr>
              <w:t>3 and 4</w:t>
            </w:r>
          </w:p>
        </w:tc>
        <w:tc>
          <w:tcPr>
            <w:tcW w:w="920" w:type="dxa"/>
            <w:vAlign w:val="bottom"/>
          </w:tcPr>
          <w:p>
            <w:pPr>
              <w:jc w:val="right"/>
              <w:ind w:right="252"/>
              <w:spacing w:after="0" w:line="90" w:lineRule="exact"/>
              <w:rPr>
                <w:sz w:val="20"/>
                <w:szCs w:val="20"/>
                <w:color w:val="auto"/>
              </w:rPr>
            </w:pPr>
            <w:r>
              <w:rPr>
                <w:rFonts w:ascii="Arial" w:cs="Arial" w:eastAsia="Arial" w:hAnsi="Arial"/>
                <w:sz w:val="10"/>
                <w:szCs w:val="10"/>
                <w:color w:val="auto"/>
              </w:rPr>
              <w:t>4 and 5</w:t>
            </w:r>
          </w:p>
        </w:tc>
        <w:tc>
          <w:tcPr>
            <w:tcW w:w="680" w:type="dxa"/>
            <w:vAlign w:val="bottom"/>
            <w:vMerge w:val="continue"/>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1400" w:type="dxa"/>
            <w:vAlign w:val="bottom"/>
          </w:tcPr>
          <w:p>
            <w:pPr>
              <w:jc w:val="right"/>
              <w:ind w:right="252"/>
              <w:spacing w:after="0" w:line="90" w:lineRule="exact"/>
              <w:rPr>
                <w:sz w:val="20"/>
                <w:szCs w:val="20"/>
                <w:color w:val="auto"/>
              </w:rPr>
            </w:pPr>
            <w:r>
              <w:rPr>
                <w:rFonts w:ascii="Arial" w:cs="Arial" w:eastAsia="Arial" w:hAnsi="Arial"/>
                <w:sz w:val="10"/>
                <w:szCs w:val="10"/>
                <w:color w:val="auto"/>
              </w:rPr>
              <w:t>from carrying</w:t>
            </w: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7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1 year</w:t>
            </w: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years</w:t>
            </w: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years</w:t>
            </w: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years</w:t>
            </w: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years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and later</w:t>
            </w:r>
          </w:p>
        </w:tc>
        <w:tc>
          <w:tcPr>
            <w:tcW w:w="900" w:type="dxa"/>
            <w:vAlign w:val="bottom"/>
            <w:tcBorders>
              <w:bottom w:val="single" w:sz="8" w:color="auto"/>
            </w:tcBorders>
            <w:vMerge w:val="continue"/>
          </w:tcPr>
          <w:p>
            <w:pPr>
              <w:spacing w:after="0"/>
              <w:rPr>
                <w:sz w:val="10"/>
                <w:szCs w:val="10"/>
                <w:color w:val="auto"/>
              </w:rPr>
            </w:pPr>
          </w:p>
        </w:tc>
        <w:tc>
          <w:tcPr>
            <w:tcW w:w="140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amount [A]</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amount</w:t>
            </w:r>
          </w:p>
        </w:tc>
        <w:tc>
          <w:tcPr>
            <w:tcW w:w="0" w:type="dxa"/>
            <w:vAlign w:val="bottom"/>
          </w:tcPr>
          <w:p>
            <w:pPr>
              <w:spacing w:after="0"/>
              <w:rPr>
                <w:sz w:val="1"/>
                <w:szCs w:val="1"/>
                <w:color w:val="auto"/>
              </w:rPr>
            </w:pPr>
          </w:p>
        </w:tc>
      </w:tr>
      <w:tr>
        <w:trPr>
          <w:trHeight w:val="113"/>
        </w:trPr>
        <w:tc>
          <w:tcPr>
            <w:tcW w:w="2740" w:type="dxa"/>
            <w:vAlign w:val="bottom"/>
          </w:tcPr>
          <w:p>
            <w:pPr>
              <w:ind w:left="20"/>
              <w:spacing w:after="0" w:line="113" w:lineRule="exact"/>
              <w:rPr>
                <w:sz w:val="20"/>
                <w:szCs w:val="20"/>
                <w:color w:val="auto"/>
              </w:rPr>
            </w:pPr>
            <w:r>
              <w:rPr>
                <w:rFonts w:ascii="Arial" w:cs="Arial" w:eastAsia="Arial" w:hAnsi="Arial"/>
                <w:sz w:val="10"/>
                <w:szCs w:val="10"/>
                <w:color w:val="auto"/>
              </w:rPr>
              <w:t>Interest rate swaps</w:t>
            </w:r>
          </w:p>
        </w:tc>
        <w:tc>
          <w:tcPr>
            <w:tcW w:w="1220" w:type="dxa"/>
            <w:vAlign w:val="bottom"/>
          </w:tcPr>
          <w:p>
            <w:pPr>
              <w:jc w:val="right"/>
              <w:ind w:right="272"/>
              <w:spacing w:after="0" w:line="113" w:lineRule="exact"/>
              <w:rPr>
                <w:sz w:val="20"/>
                <w:szCs w:val="20"/>
                <w:color w:val="auto"/>
              </w:rPr>
            </w:pPr>
            <w:r>
              <w:rPr>
                <w:rFonts w:ascii="Arial" w:cs="Arial" w:eastAsia="Arial" w:hAnsi="Arial"/>
                <w:sz w:val="10"/>
                <w:szCs w:val="10"/>
                <w:color w:val="auto"/>
              </w:rPr>
              <w:t>12</w:t>
            </w:r>
          </w:p>
        </w:tc>
        <w:tc>
          <w:tcPr>
            <w:tcW w:w="920" w:type="dxa"/>
            <w:vAlign w:val="bottom"/>
          </w:tcPr>
          <w:p>
            <w:pPr>
              <w:jc w:val="right"/>
              <w:ind w:right="272"/>
              <w:spacing w:after="0" w:line="113" w:lineRule="exact"/>
              <w:rPr>
                <w:sz w:val="20"/>
                <w:szCs w:val="20"/>
                <w:color w:val="auto"/>
              </w:rPr>
            </w:pPr>
            <w:r>
              <w:rPr>
                <w:rFonts w:ascii="Arial" w:cs="Arial" w:eastAsia="Arial" w:hAnsi="Arial"/>
                <w:sz w:val="10"/>
                <w:szCs w:val="10"/>
                <w:color w:val="auto"/>
              </w:rPr>
              <w:t>10</w:t>
            </w:r>
          </w:p>
        </w:tc>
        <w:tc>
          <w:tcPr>
            <w:tcW w:w="940" w:type="dxa"/>
            <w:vAlign w:val="bottom"/>
          </w:tcPr>
          <w:p>
            <w:pPr>
              <w:jc w:val="right"/>
              <w:ind w:right="292"/>
              <w:spacing w:after="0" w:line="113" w:lineRule="exact"/>
              <w:rPr>
                <w:sz w:val="20"/>
                <w:szCs w:val="20"/>
                <w:color w:val="auto"/>
              </w:rPr>
            </w:pPr>
            <w:r>
              <w:rPr>
                <w:rFonts w:ascii="Arial" w:cs="Arial" w:eastAsia="Arial" w:hAnsi="Arial"/>
                <w:sz w:val="10"/>
                <w:szCs w:val="10"/>
                <w:color w:val="auto"/>
              </w:rPr>
              <w:t>9</w:t>
            </w:r>
          </w:p>
        </w:tc>
        <w:tc>
          <w:tcPr>
            <w:tcW w:w="920" w:type="dxa"/>
            <w:vAlign w:val="bottom"/>
          </w:tcPr>
          <w:p>
            <w:pPr>
              <w:jc w:val="right"/>
              <w:ind w:right="272"/>
              <w:spacing w:after="0" w:line="113" w:lineRule="exact"/>
              <w:rPr>
                <w:sz w:val="20"/>
                <w:szCs w:val="20"/>
                <w:color w:val="auto"/>
              </w:rPr>
            </w:pPr>
            <w:r>
              <w:rPr>
                <w:rFonts w:ascii="Arial" w:cs="Arial" w:eastAsia="Arial" w:hAnsi="Arial"/>
                <w:sz w:val="10"/>
                <w:szCs w:val="10"/>
                <w:color w:val="auto"/>
              </w:rPr>
              <w:t>7</w:t>
            </w:r>
          </w:p>
        </w:tc>
        <w:tc>
          <w:tcPr>
            <w:tcW w:w="920" w:type="dxa"/>
            <w:vAlign w:val="bottom"/>
          </w:tcPr>
          <w:p>
            <w:pPr>
              <w:jc w:val="right"/>
              <w:ind w:right="272"/>
              <w:spacing w:after="0" w:line="113" w:lineRule="exact"/>
              <w:rPr>
                <w:sz w:val="20"/>
                <w:szCs w:val="20"/>
                <w:color w:val="auto"/>
              </w:rPr>
            </w:pPr>
            <w:r>
              <w:rPr>
                <w:rFonts w:ascii="Arial" w:cs="Arial" w:eastAsia="Arial" w:hAnsi="Arial"/>
                <w:sz w:val="10"/>
                <w:szCs w:val="10"/>
                <w:color w:val="auto"/>
              </w:rPr>
              <w:t>5</w:t>
            </w:r>
          </w:p>
        </w:tc>
        <w:tc>
          <w:tcPr>
            <w:tcW w:w="680" w:type="dxa"/>
            <w:vAlign w:val="bottom"/>
          </w:tcPr>
          <w:p>
            <w:pPr>
              <w:jc w:val="right"/>
              <w:ind w:right="32"/>
              <w:spacing w:after="0" w:line="113" w:lineRule="exact"/>
              <w:rPr>
                <w:sz w:val="20"/>
                <w:szCs w:val="20"/>
                <w:color w:val="auto"/>
              </w:rPr>
            </w:pPr>
            <w:r>
              <w:rPr>
                <w:rFonts w:ascii="Arial" w:cs="Arial" w:eastAsia="Arial" w:hAnsi="Arial"/>
                <w:sz w:val="10"/>
                <w:szCs w:val="10"/>
                <w:color w:val="auto"/>
              </w:rPr>
              <w:t>6</w:t>
            </w:r>
          </w:p>
        </w:tc>
        <w:tc>
          <w:tcPr>
            <w:tcW w:w="900" w:type="dxa"/>
            <w:vAlign w:val="bottom"/>
          </w:tcPr>
          <w:p>
            <w:pPr>
              <w:jc w:val="right"/>
              <w:spacing w:after="0" w:line="113" w:lineRule="exact"/>
              <w:rPr>
                <w:sz w:val="20"/>
                <w:szCs w:val="20"/>
                <w:color w:val="auto"/>
              </w:rPr>
            </w:pPr>
            <w:r>
              <w:rPr>
                <w:rFonts w:ascii="Arial" w:cs="Arial" w:eastAsia="Arial" w:hAnsi="Arial"/>
                <w:sz w:val="10"/>
                <w:szCs w:val="10"/>
                <w:color w:val="auto"/>
              </w:rPr>
              <w:t>49</w:t>
            </w:r>
          </w:p>
        </w:tc>
        <w:tc>
          <w:tcPr>
            <w:tcW w:w="1400" w:type="dxa"/>
            <w:vAlign w:val="bottom"/>
          </w:tcPr>
          <w:p>
            <w:pPr>
              <w:jc w:val="right"/>
              <w:ind w:right="252"/>
              <w:spacing w:after="0" w:line="113" w:lineRule="exact"/>
              <w:rPr>
                <w:sz w:val="20"/>
                <w:szCs w:val="20"/>
                <w:color w:val="auto"/>
              </w:rPr>
            </w:pPr>
            <w:r>
              <w:rPr>
                <w:rFonts w:ascii="Arial" w:cs="Arial" w:eastAsia="Arial" w:hAnsi="Arial"/>
                <w:sz w:val="10"/>
                <w:szCs w:val="10"/>
                <w:color w:val="auto"/>
              </w:rPr>
              <w:t>(1)</w:t>
            </w: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23"/>
        </w:trPr>
        <w:tc>
          <w:tcPr>
            <w:tcW w:w="2740" w:type="dxa"/>
            <w:vAlign w:val="bottom"/>
          </w:tcPr>
          <w:p>
            <w:pPr>
              <w:ind w:left="20"/>
              <w:spacing w:after="0"/>
              <w:rPr>
                <w:sz w:val="20"/>
                <w:szCs w:val="20"/>
                <w:color w:val="auto"/>
              </w:rPr>
            </w:pPr>
            <w:r>
              <w:rPr>
                <w:rFonts w:ascii="Arial" w:cs="Arial" w:eastAsia="Arial" w:hAnsi="Arial"/>
                <w:sz w:val="10"/>
                <w:szCs w:val="10"/>
                <w:color w:val="auto"/>
              </w:rPr>
              <w:t>Forward foreign exchange contracts</w:t>
            </w:r>
          </w:p>
        </w:tc>
        <w:tc>
          <w:tcPr>
            <w:tcW w:w="1220" w:type="dxa"/>
            <w:vAlign w:val="bottom"/>
          </w:tcPr>
          <w:p>
            <w:pPr>
              <w:jc w:val="right"/>
              <w:ind w:right="272"/>
              <w:spacing w:after="0"/>
              <w:rPr>
                <w:sz w:val="20"/>
                <w:szCs w:val="20"/>
                <w:color w:val="auto"/>
              </w:rPr>
            </w:pPr>
            <w:r>
              <w:rPr>
                <w:rFonts w:ascii="Arial" w:cs="Arial" w:eastAsia="Arial" w:hAnsi="Arial"/>
                <w:sz w:val="10"/>
                <w:szCs w:val="10"/>
                <w:color w:val="auto"/>
              </w:rPr>
              <w:t>504</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56</w:t>
            </w:r>
          </w:p>
        </w:tc>
        <w:tc>
          <w:tcPr>
            <w:tcW w:w="940" w:type="dxa"/>
            <w:vAlign w:val="bottom"/>
          </w:tcPr>
          <w:p>
            <w:pPr>
              <w:jc w:val="right"/>
              <w:ind w:right="292"/>
              <w:spacing w:after="0"/>
              <w:rPr>
                <w:sz w:val="20"/>
                <w:szCs w:val="20"/>
                <w:color w:val="auto"/>
              </w:rPr>
            </w:pPr>
            <w:r>
              <w:rPr>
                <w:rFonts w:ascii="Arial" w:cs="Arial" w:eastAsia="Arial" w:hAnsi="Arial"/>
                <w:sz w:val="10"/>
                <w:szCs w:val="10"/>
                <w:color w:val="auto"/>
              </w:rPr>
              <w:t>22</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38</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620</w:t>
            </w:r>
          </w:p>
        </w:tc>
        <w:tc>
          <w:tcPr>
            <w:tcW w:w="1400" w:type="dxa"/>
            <w:vAlign w:val="bottom"/>
          </w:tcPr>
          <w:p>
            <w:pPr>
              <w:jc w:val="right"/>
              <w:ind w:right="272"/>
              <w:spacing w:after="0"/>
              <w:rPr>
                <w:sz w:val="20"/>
                <w:szCs w:val="20"/>
                <w:color w:val="auto"/>
              </w:rPr>
            </w:pPr>
            <w:r>
              <w:rPr>
                <w:rFonts w:ascii="Arial" w:cs="Arial" w:eastAsia="Arial" w:hAnsi="Arial"/>
                <w:sz w:val="10"/>
                <w:szCs w:val="10"/>
                <w:color w:val="auto"/>
              </w:rPr>
              <w:t>31</w:t>
            </w:r>
          </w:p>
        </w:tc>
        <w:tc>
          <w:tcPr>
            <w:tcW w:w="640" w:type="dxa"/>
            <w:vAlign w:val="bottom"/>
          </w:tcPr>
          <w:p>
            <w:pPr>
              <w:jc w:val="right"/>
              <w:spacing w:after="0"/>
              <w:rPr>
                <w:sz w:val="20"/>
                <w:szCs w:val="20"/>
                <w:color w:val="auto"/>
              </w:rPr>
            </w:pPr>
            <w:r>
              <w:rPr>
                <w:rFonts w:ascii="Arial" w:cs="Arial" w:eastAsia="Arial" w:hAnsi="Arial"/>
                <w:sz w:val="10"/>
                <w:szCs w:val="10"/>
                <w:color w:val="auto"/>
              </w:rPr>
              <w:t>651</w:t>
            </w:r>
          </w:p>
        </w:tc>
        <w:tc>
          <w:tcPr>
            <w:tcW w:w="0" w:type="dxa"/>
            <w:vAlign w:val="bottom"/>
          </w:tcPr>
          <w:p>
            <w:pPr>
              <w:spacing w:after="0"/>
              <w:rPr>
                <w:sz w:val="1"/>
                <w:szCs w:val="1"/>
                <w:color w:val="auto"/>
              </w:rPr>
            </w:pPr>
          </w:p>
        </w:tc>
      </w:tr>
      <w:tr>
        <w:trPr>
          <w:trHeight w:val="126"/>
        </w:trPr>
        <w:tc>
          <w:tcPr>
            <w:tcW w:w="2740" w:type="dxa"/>
            <w:vAlign w:val="bottom"/>
          </w:tcPr>
          <w:p>
            <w:pPr>
              <w:ind w:left="20"/>
              <w:spacing w:after="0"/>
              <w:rPr>
                <w:sz w:val="20"/>
                <w:szCs w:val="20"/>
                <w:color w:val="auto"/>
              </w:rPr>
            </w:pPr>
            <w:r>
              <w:rPr>
                <w:rFonts w:ascii="Arial" w:cs="Arial" w:eastAsia="Arial" w:hAnsi="Arial"/>
                <w:sz w:val="10"/>
                <w:szCs w:val="10"/>
                <w:color w:val="auto"/>
              </w:rPr>
              <w:t>Currency swaps and options</w:t>
            </w:r>
          </w:p>
        </w:tc>
        <w:tc>
          <w:tcPr>
            <w:tcW w:w="1220" w:type="dxa"/>
            <w:vAlign w:val="bottom"/>
          </w:tcPr>
          <w:p>
            <w:pPr>
              <w:jc w:val="right"/>
              <w:ind w:right="272"/>
              <w:spacing w:after="0"/>
              <w:rPr>
                <w:sz w:val="20"/>
                <w:szCs w:val="20"/>
                <w:color w:val="auto"/>
              </w:rPr>
            </w:pPr>
            <w:r>
              <w:rPr>
                <w:rFonts w:ascii="Arial" w:cs="Arial" w:eastAsia="Arial" w:hAnsi="Arial"/>
                <w:sz w:val="10"/>
                <w:szCs w:val="10"/>
                <w:color w:val="auto"/>
              </w:rPr>
              <w:t>174</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13</w:t>
            </w:r>
          </w:p>
        </w:tc>
        <w:tc>
          <w:tcPr>
            <w:tcW w:w="940" w:type="dxa"/>
            <w:vAlign w:val="bottom"/>
          </w:tcPr>
          <w:p>
            <w:pPr>
              <w:jc w:val="right"/>
              <w:ind w:right="292"/>
              <w:spacing w:after="0"/>
              <w:rPr>
                <w:sz w:val="20"/>
                <w:szCs w:val="20"/>
                <w:color w:val="auto"/>
              </w:rPr>
            </w:pPr>
            <w:r>
              <w:rPr>
                <w:rFonts w:ascii="Arial" w:cs="Arial" w:eastAsia="Arial" w:hAnsi="Arial"/>
                <w:sz w:val="10"/>
                <w:szCs w:val="10"/>
                <w:color w:val="auto"/>
              </w:rPr>
              <w:t>28</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159</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374</w:t>
            </w:r>
          </w:p>
        </w:tc>
        <w:tc>
          <w:tcPr>
            <w:tcW w:w="1400" w:type="dxa"/>
            <w:vAlign w:val="bottom"/>
          </w:tcPr>
          <w:p>
            <w:pPr>
              <w:jc w:val="right"/>
              <w:ind w:right="252"/>
              <w:spacing w:after="0"/>
              <w:rPr>
                <w:sz w:val="20"/>
                <w:szCs w:val="20"/>
                <w:color w:val="auto"/>
              </w:rPr>
            </w:pPr>
            <w:r>
              <w:rPr>
                <w:rFonts w:ascii="Arial" w:cs="Arial" w:eastAsia="Arial" w:hAnsi="Arial"/>
                <w:sz w:val="10"/>
                <w:szCs w:val="10"/>
                <w:color w:val="auto"/>
              </w:rPr>
              <w:t>(31)</w:t>
            </w:r>
          </w:p>
        </w:tc>
        <w:tc>
          <w:tcPr>
            <w:tcW w:w="640" w:type="dxa"/>
            <w:vAlign w:val="bottom"/>
          </w:tcPr>
          <w:p>
            <w:pPr>
              <w:jc w:val="right"/>
              <w:spacing w:after="0"/>
              <w:rPr>
                <w:sz w:val="20"/>
                <w:szCs w:val="20"/>
                <w:color w:val="auto"/>
              </w:rPr>
            </w:pPr>
            <w:r>
              <w:rPr>
                <w:rFonts w:ascii="Arial" w:cs="Arial" w:eastAsia="Arial" w:hAnsi="Arial"/>
                <w:sz w:val="10"/>
                <w:szCs w:val="10"/>
                <w:color w:val="auto"/>
              </w:rPr>
              <w:t>343</w:t>
            </w:r>
          </w:p>
        </w:tc>
        <w:tc>
          <w:tcPr>
            <w:tcW w:w="0" w:type="dxa"/>
            <w:vAlign w:val="bottom"/>
          </w:tcPr>
          <w:p>
            <w:pPr>
              <w:spacing w:after="0"/>
              <w:rPr>
                <w:sz w:val="1"/>
                <w:szCs w:val="1"/>
                <w:color w:val="auto"/>
              </w:rPr>
            </w:pPr>
          </w:p>
        </w:tc>
      </w:tr>
      <w:tr>
        <w:trPr>
          <w:trHeight w:val="126"/>
        </w:trPr>
        <w:tc>
          <w:tcPr>
            <w:tcW w:w="2740" w:type="dxa"/>
            <w:vAlign w:val="bottom"/>
          </w:tcPr>
          <w:p>
            <w:pPr>
              <w:ind w:left="20"/>
              <w:spacing w:after="0"/>
              <w:rPr>
                <w:sz w:val="20"/>
                <w:szCs w:val="20"/>
                <w:color w:val="auto"/>
              </w:rPr>
            </w:pPr>
            <w:r>
              <w:rPr>
                <w:rFonts w:ascii="Arial" w:cs="Arial" w:eastAsia="Arial" w:hAnsi="Arial"/>
                <w:sz w:val="10"/>
                <w:szCs w:val="10"/>
                <w:color w:val="auto"/>
              </w:rPr>
              <w:t>Commodity derivatives</w:t>
            </w:r>
          </w:p>
        </w:tc>
        <w:tc>
          <w:tcPr>
            <w:tcW w:w="1220" w:type="dxa"/>
            <w:vAlign w:val="bottom"/>
          </w:tcPr>
          <w:p>
            <w:pPr>
              <w:jc w:val="right"/>
              <w:ind w:right="272"/>
              <w:spacing w:after="0"/>
              <w:rPr>
                <w:sz w:val="20"/>
                <w:szCs w:val="20"/>
                <w:color w:val="auto"/>
              </w:rPr>
            </w:pPr>
            <w:r>
              <w:rPr>
                <w:rFonts w:ascii="Arial" w:cs="Arial" w:eastAsia="Arial" w:hAnsi="Arial"/>
                <w:sz w:val="10"/>
                <w:szCs w:val="10"/>
                <w:color w:val="auto"/>
              </w:rPr>
              <w:t>2,990</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743</w:t>
            </w:r>
          </w:p>
        </w:tc>
        <w:tc>
          <w:tcPr>
            <w:tcW w:w="940" w:type="dxa"/>
            <w:vAlign w:val="bottom"/>
          </w:tcPr>
          <w:p>
            <w:pPr>
              <w:jc w:val="right"/>
              <w:ind w:right="292"/>
              <w:spacing w:after="0"/>
              <w:rPr>
                <w:sz w:val="20"/>
                <w:szCs w:val="20"/>
                <w:color w:val="auto"/>
              </w:rPr>
            </w:pPr>
            <w:r>
              <w:rPr>
                <w:rFonts w:ascii="Arial" w:cs="Arial" w:eastAsia="Arial" w:hAnsi="Arial"/>
                <w:sz w:val="10"/>
                <w:szCs w:val="10"/>
                <w:color w:val="auto"/>
              </w:rPr>
              <w:t>265</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174</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115</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391</w:t>
            </w:r>
          </w:p>
        </w:tc>
        <w:tc>
          <w:tcPr>
            <w:tcW w:w="900" w:type="dxa"/>
            <w:vAlign w:val="bottom"/>
          </w:tcPr>
          <w:p>
            <w:pPr>
              <w:jc w:val="right"/>
              <w:spacing w:after="0"/>
              <w:rPr>
                <w:sz w:val="20"/>
                <w:szCs w:val="20"/>
                <w:color w:val="auto"/>
              </w:rPr>
            </w:pPr>
            <w:r>
              <w:rPr>
                <w:rFonts w:ascii="Arial" w:cs="Arial" w:eastAsia="Arial" w:hAnsi="Arial"/>
                <w:sz w:val="10"/>
                <w:szCs w:val="10"/>
                <w:color w:val="auto"/>
              </w:rPr>
              <w:t>4,678</w:t>
            </w:r>
          </w:p>
        </w:tc>
        <w:tc>
          <w:tcPr>
            <w:tcW w:w="1400" w:type="dxa"/>
            <w:vAlign w:val="bottom"/>
          </w:tcPr>
          <w:p>
            <w:pPr>
              <w:jc w:val="right"/>
              <w:ind w:right="252"/>
              <w:spacing w:after="0"/>
              <w:rPr>
                <w:sz w:val="20"/>
                <w:szCs w:val="20"/>
                <w:color w:val="auto"/>
              </w:rPr>
            </w:pPr>
            <w:r>
              <w:rPr>
                <w:rFonts w:ascii="Arial" w:cs="Arial" w:eastAsia="Arial" w:hAnsi="Arial"/>
                <w:sz w:val="10"/>
                <w:szCs w:val="10"/>
                <w:color w:val="auto"/>
              </w:rPr>
              <w:t>(21)</w:t>
            </w:r>
          </w:p>
        </w:tc>
        <w:tc>
          <w:tcPr>
            <w:tcW w:w="640" w:type="dxa"/>
            <w:vAlign w:val="bottom"/>
          </w:tcPr>
          <w:p>
            <w:pPr>
              <w:jc w:val="right"/>
              <w:spacing w:after="0"/>
              <w:rPr>
                <w:sz w:val="20"/>
                <w:szCs w:val="20"/>
                <w:color w:val="auto"/>
              </w:rPr>
            </w:pPr>
            <w:r>
              <w:rPr>
                <w:rFonts w:ascii="Arial" w:cs="Arial" w:eastAsia="Arial" w:hAnsi="Arial"/>
                <w:sz w:val="10"/>
                <w:szCs w:val="10"/>
                <w:color w:val="auto"/>
              </w:rPr>
              <w:t>4,657</w:t>
            </w:r>
          </w:p>
        </w:tc>
        <w:tc>
          <w:tcPr>
            <w:tcW w:w="0" w:type="dxa"/>
            <w:vAlign w:val="bottom"/>
          </w:tcPr>
          <w:p>
            <w:pPr>
              <w:spacing w:after="0"/>
              <w:rPr>
                <w:sz w:val="1"/>
                <w:szCs w:val="1"/>
                <w:color w:val="auto"/>
              </w:rPr>
            </w:pPr>
          </w:p>
        </w:tc>
      </w:tr>
      <w:tr>
        <w:trPr>
          <w:trHeight w:val="13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Other contracts</w:t>
            </w: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15</w:t>
            </w: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15</w:t>
            </w: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w:t>
            </w:r>
          </w:p>
        </w:tc>
        <w:tc>
          <w:tcPr>
            <w:tcW w:w="140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w:t>
            </w:r>
          </w:p>
        </w:tc>
        <w:tc>
          <w:tcPr>
            <w:tcW w:w="0" w:type="dxa"/>
            <w:vAlign w:val="bottom"/>
          </w:tcPr>
          <w:p>
            <w:pPr>
              <w:spacing w:after="0"/>
              <w:rPr>
                <w:sz w:val="1"/>
                <w:szCs w:val="1"/>
                <w:color w:val="auto"/>
              </w:rPr>
            </w:pPr>
          </w:p>
        </w:tc>
      </w:tr>
      <w:tr>
        <w:trPr>
          <w:trHeight w:val="117"/>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3,695</w:t>
            </w: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837</w:t>
            </w: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324</w:t>
            </w: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219</w:t>
            </w: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279</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397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5,751</w:t>
            </w:r>
          </w:p>
        </w:tc>
        <w:tc>
          <w:tcPr>
            <w:tcW w:w="140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(23)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5,728</w:t>
            </w: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7"/>
          <w:szCs w:val="7"/>
          <w:color w:val="auto"/>
        </w:rPr>
        <w:t>[A] Mainly related to the effect of discounting.</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40" w:type="dxa"/>
            <w:vAlign w:val="bottom"/>
            <w:tcBorders>
              <w:top w:val="single" w:sz="8" w:color="CDCDCD"/>
            </w:tcBorders>
          </w:tcPr>
          <w:p>
            <w:pPr>
              <w:ind w:left="20"/>
              <w:spacing w:after="0"/>
              <w:rPr>
                <w:sz w:val="20"/>
                <w:szCs w:val="20"/>
                <w:color w:val="auto"/>
              </w:rPr>
            </w:pPr>
            <w:r>
              <w:rPr>
                <w:rFonts w:ascii="Arial" w:cs="Arial" w:eastAsia="Arial" w:hAnsi="Arial"/>
                <w:sz w:val="10"/>
                <w:szCs w:val="10"/>
                <w:color w:val="auto"/>
              </w:rPr>
              <w:t>2019</w:t>
            </w:r>
          </w:p>
        </w:tc>
        <w:tc>
          <w:tcPr>
            <w:tcW w:w="480" w:type="dxa"/>
            <w:vAlign w:val="bottom"/>
            <w:tcBorders>
              <w:top w:val="single" w:sz="8" w:color="CDCDCD"/>
            </w:tcBorders>
          </w:tcPr>
          <w:p>
            <w:pPr>
              <w:spacing w:after="0"/>
              <w:rPr>
                <w:sz w:val="13"/>
                <w:szCs w:val="13"/>
                <w:color w:val="auto"/>
              </w:rPr>
            </w:pPr>
          </w:p>
        </w:tc>
        <w:tc>
          <w:tcPr>
            <w:tcW w:w="740" w:type="dxa"/>
            <w:vAlign w:val="bottom"/>
            <w:tcBorders>
              <w:top w:val="single" w:sz="8" w:color="CDCDCD"/>
            </w:tcBorders>
          </w:tcPr>
          <w:p>
            <w:pPr>
              <w:spacing w:after="0"/>
              <w:rPr>
                <w:sz w:val="13"/>
                <w:szCs w:val="13"/>
                <w:color w:val="auto"/>
              </w:rPr>
            </w:pPr>
          </w:p>
        </w:tc>
        <w:tc>
          <w:tcPr>
            <w:tcW w:w="920" w:type="dxa"/>
            <w:vAlign w:val="bottom"/>
            <w:tcBorders>
              <w:top w:val="single" w:sz="8" w:color="CDCDCD"/>
            </w:tcBorders>
          </w:tcPr>
          <w:p>
            <w:pPr>
              <w:spacing w:after="0"/>
              <w:rPr>
                <w:sz w:val="13"/>
                <w:szCs w:val="13"/>
                <w:color w:val="auto"/>
              </w:rPr>
            </w:pPr>
          </w:p>
        </w:tc>
        <w:tc>
          <w:tcPr>
            <w:tcW w:w="640" w:type="dxa"/>
            <w:vAlign w:val="bottom"/>
            <w:tcBorders>
              <w:top w:val="single" w:sz="8" w:color="CDCDCD"/>
            </w:tcBorders>
          </w:tcPr>
          <w:p>
            <w:pPr>
              <w:spacing w:after="0"/>
              <w:rPr>
                <w:sz w:val="13"/>
                <w:szCs w:val="13"/>
                <w:color w:val="auto"/>
              </w:rPr>
            </w:pPr>
          </w:p>
        </w:tc>
        <w:tc>
          <w:tcPr>
            <w:tcW w:w="1220" w:type="dxa"/>
            <w:vAlign w:val="bottom"/>
            <w:tcBorders>
              <w:top w:val="single" w:sz="8" w:color="CDCDCD"/>
            </w:tcBorders>
          </w:tcPr>
          <w:p>
            <w:pPr>
              <w:spacing w:after="0"/>
              <w:rPr>
                <w:sz w:val="13"/>
                <w:szCs w:val="13"/>
                <w:color w:val="auto"/>
              </w:rPr>
            </w:pPr>
          </w:p>
        </w:tc>
        <w:tc>
          <w:tcPr>
            <w:tcW w:w="920" w:type="dxa"/>
            <w:vAlign w:val="bottom"/>
            <w:tcBorders>
              <w:top w:val="single" w:sz="8" w:color="CDCDCD"/>
            </w:tcBorders>
          </w:tcPr>
          <w:p>
            <w:pPr>
              <w:spacing w:after="0"/>
              <w:rPr>
                <w:sz w:val="13"/>
                <w:szCs w:val="13"/>
                <w:color w:val="auto"/>
              </w:rPr>
            </w:pPr>
          </w:p>
        </w:tc>
        <w:tc>
          <w:tcPr>
            <w:tcW w:w="680" w:type="dxa"/>
            <w:vAlign w:val="bottom"/>
            <w:tcBorders>
              <w:top w:val="single" w:sz="8" w:color="CDCDCD"/>
            </w:tcBorders>
          </w:tcPr>
          <w:p>
            <w:pPr>
              <w:spacing w:after="0"/>
              <w:rPr>
                <w:sz w:val="13"/>
                <w:szCs w:val="13"/>
                <w:color w:val="auto"/>
              </w:rPr>
            </w:pPr>
          </w:p>
        </w:tc>
        <w:tc>
          <w:tcPr>
            <w:tcW w:w="900" w:type="dxa"/>
            <w:vAlign w:val="bottom"/>
            <w:tcBorders>
              <w:top w:val="single" w:sz="8" w:color="CDCDCD"/>
            </w:tcBorders>
          </w:tcPr>
          <w:p>
            <w:pPr>
              <w:spacing w:after="0"/>
              <w:rPr>
                <w:sz w:val="13"/>
                <w:szCs w:val="13"/>
                <w:color w:val="auto"/>
              </w:rPr>
            </w:pPr>
          </w:p>
        </w:tc>
        <w:tc>
          <w:tcPr>
            <w:tcW w:w="1400" w:type="dxa"/>
            <w:vAlign w:val="bottom"/>
            <w:tcBorders>
              <w:top w:val="single" w:sz="8" w:color="CDCDCD"/>
            </w:tcBorders>
          </w:tcPr>
          <w:p>
            <w:pPr>
              <w:spacing w:after="0"/>
              <w:rPr>
                <w:sz w:val="13"/>
                <w:szCs w:val="13"/>
                <w:color w:val="auto"/>
              </w:rPr>
            </w:pPr>
          </w:p>
        </w:tc>
        <w:tc>
          <w:tcPr>
            <w:tcW w:w="64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74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8"/>
              </w:rPr>
              <w:t>Contractual maturities</w:t>
            </w:r>
          </w:p>
        </w:tc>
        <w:tc>
          <w:tcPr>
            <w:tcW w:w="1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0"/>
                <w:szCs w:val="10"/>
                <w:color w:val="auto"/>
                <w:w w:val="96"/>
              </w:rPr>
              <w:t>Less than</w:t>
            </w:r>
          </w:p>
        </w:tc>
        <w:tc>
          <w:tcPr>
            <w:tcW w:w="920" w:type="dxa"/>
            <w:vAlign w:val="bottom"/>
          </w:tcPr>
          <w:p>
            <w:pPr>
              <w:jc w:val="right"/>
              <w:ind w:right="252"/>
              <w:spacing w:after="0" w:line="87" w:lineRule="exact"/>
              <w:rPr>
                <w:sz w:val="20"/>
                <w:szCs w:val="20"/>
                <w:color w:val="auto"/>
              </w:rPr>
            </w:pPr>
            <w:r>
              <w:rPr>
                <w:rFonts w:ascii="Arial" w:cs="Arial" w:eastAsia="Arial" w:hAnsi="Arial"/>
                <w:sz w:val="10"/>
                <w:szCs w:val="10"/>
                <w:color w:val="auto"/>
              </w:rPr>
              <w:t>Between</w:t>
            </w:r>
          </w:p>
        </w:tc>
        <w:tc>
          <w:tcPr>
            <w:tcW w:w="640" w:type="dxa"/>
            <w:vAlign w:val="bottom"/>
          </w:tcPr>
          <w:p>
            <w:pPr>
              <w:jc w:val="right"/>
              <w:spacing w:after="0" w:line="87" w:lineRule="exact"/>
              <w:rPr>
                <w:sz w:val="20"/>
                <w:szCs w:val="20"/>
                <w:color w:val="auto"/>
              </w:rPr>
            </w:pPr>
            <w:r>
              <w:rPr>
                <w:rFonts w:ascii="Arial" w:cs="Arial" w:eastAsia="Arial" w:hAnsi="Arial"/>
                <w:sz w:val="10"/>
                <w:szCs w:val="10"/>
                <w:color w:val="auto"/>
              </w:rPr>
              <w:t>Between</w:t>
            </w:r>
          </w:p>
        </w:tc>
        <w:tc>
          <w:tcPr>
            <w:tcW w:w="1220" w:type="dxa"/>
            <w:vAlign w:val="bottom"/>
          </w:tcPr>
          <w:p>
            <w:pPr>
              <w:jc w:val="right"/>
              <w:ind w:right="253"/>
              <w:spacing w:after="0" w:line="87" w:lineRule="exact"/>
              <w:rPr>
                <w:sz w:val="20"/>
                <w:szCs w:val="20"/>
                <w:color w:val="auto"/>
              </w:rPr>
            </w:pPr>
            <w:r>
              <w:rPr>
                <w:rFonts w:ascii="Arial" w:cs="Arial" w:eastAsia="Arial" w:hAnsi="Arial"/>
                <w:sz w:val="10"/>
                <w:szCs w:val="10"/>
                <w:color w:val="auto"/>
              </w:rPr>
              <w:t>Between</w:t>
            </w:r>
          </w:p>
        </w:tc>
        <w:tc>
          <w:tcPr>
            <w:tcW w:w="920" w:type="dxa"/>
            <w:vAlign w:val="bottom"/>
          </w:tcPr>
          <w:p>
            <w:pPr>
              <w:jc w:val="right"/>
              <w:ind w:right="252"/>
              <w:spacing w:after="0" w:line="87" w:lineRule="exact"/>
              <w:rPr>
                <w:sz w:val="20"/>
                <w:szCs w:val="20"/>
                <w:color w:val="auto"/>
              </w:rPr>
            </w:pPr>
            <w:r>
              <w:rPr>
                <w:rFonts w:ascii="Arial" w:cs="Arial" w:eastAsia="Arial" w:hAnsi="Arial"/>
                <w:sz w:val="10"/>
                <w:szCs w:val="10"/>
                <w:color w:val="auto"/>
              </w:rPr>
              <w:t>Between</w:t>
            </w: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5 years</w:t>
            </w:r>
          </w:p>
        </w:tc>
        <w:tc>
          <w:tcPr>
            <w:tcW w:w="900" w:type="dxa"/>
            <w:vAlign w:val="bottom"/>
          </w:tcPr>
          <w:p>
            <w:pPr>
              <w:spacing w:after="0"/>
              <w:rPr>
                <w:sz w:val="7"/>
                <w:szCs w:val="7"/>
                <w:color w:val="auto"/>
              </w:rPr>
            </w:pPr>
          </w:p>
        </w:tc>
        <w:tc>
          <w:tcPr>
            <w:tcW w:w="1400" w:type="dxa"/>
            <w:vAlign w:val="bottom"/>
          </w:tcPr>
          <w:p>
            <w:pPr>
              <w:jc w:val="right"/>
              <w:ind w:right="252"/>
              <w:spacing w:after="0" w:line="87" w:lineRule="exact"/>
              <w:rPr>
                <w:sz w:val="20"/>
                <w:szCs w:val="20"/>
                <w:color w:val="auto"/>
              </w:rPr>
            </w:pPr>
            <w:r>
              <w:rPr>
                <w:rFonts w:ascii="Arial" w:cs="Arial" w:eastAsia="Arial" w:hAnsi="Arial"/>
                <w:sz w:val="10"/>
                <w:szCs w:val="10"/>
                <w:color w:val="auto"/>
              </w:rPr>
              <w:t>Difference</w:t>
            </w: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Carrying</w:t>
            </w:r>
          </w:p>
        </w:tc>
        <w:tc>
          <w:tcPr>
            <w:tcW w:w="0" w:type="dxa"/>
            <w:vAlign w:val="bottom"/>
          </w:tcPr>
          <w:p>
            <w:pPr>
              <w:spacing w:after="0"/>
              <w:rPr>
                <w:sz w:val="1"/>
                <w:szCs w:val="1"/>
                <w:color w:val="auto"/>
              </w:rPr>
            </w:pPr>
          </w:p>
        </w:tc>
      </w:tr>
      <w:tr>
        <w:trPr>
          <w:trHeight w:val="90"/>
        </w:trPr>
        <w:tc>
          <w:tcPr>
            <w:tcW w:w="2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tcPr>
          <w:p>
            <w:pPr>
              <w:jc w:val="right"/>
              <w:ind w:right="252"/>
              <w:spacing w:after="0" w:line="90" w:lineRule="exact"/>
              <w:rPr>
                <w:sz w:val="20"/>
                <w:szCs w:val="20"/>
                <w:color w:val="auto"/>
              </w:rPr>
            </w:pPr>
            <w:r>
              <w:rPr>
                <w:rFonts w:ascii="Arial" w:cs="Arial" w:eastAsia="Arial" w:hAnsi="Arial"/>
                <w:sz w:val="10"/>
                <w:szCs w:val="10"/>
                <w:color w:val="auto"/>
              </w:rPr>
              <w:t>1 and 2</w:t>
            </w:r>
          </w:p>
        </w:tc>
        <w:tc>
          <w:tcPr>
            <w:tcW w:w="640" w:type="dxa"/>
            <w:vAlign w:val="bottom"/>
          </w:tcPr>
          <w:p>
            <w:pPr>
              <w:jc w:val="right"/>
              <w:spacing w:after="0" w:line="90" w:lineRule="exact"/>
              <w:rPr>
                <w:sz w:val="20"/>
                <w:szCs w:val="20"/>
                <w:color w:val="auto"/>
              </w:rPr>
            </w:pPr>
            <w:r>
              <w:rPr>
                <w:rFonts w:ascii="Arial" w:cs="Arial" w:eastAsia="Arial" w:hAnsi="Arial"/>
                <w:sz w:val="10"/>
                <w:szCs w:val="10"/>
                <w:color w:val="auto"/>
              </w:rPr>
              <w:t>2 and 3</w:t>
            </w:r>
          </w:p>
        </w:tc>
        <w:tc>
          <w:tcPr>
            <w:tcW w:w="1220" w:type="dxa"/>
            <w:vAlign w:val="bottom"/>
          </w:tcPr>
          <w:p>
            <w:pPr>
              <w:jc w:val="right"/>
              <w:ind w:right="253"/>
              <w:spacing w:after="0" w:line="90" w:lineRule="exact"/>
              <w:rPr>
                <w:sz w:val="20"/>
                <w:szCs w:val="20"/>
                <w:color w:val="auto"/>
              </w:rPr>
            </w:pPr>
            <w:r>
              <w:rPr>
                <w:rFonts w:ascii="Arial" w:cs="Arial" w:eastAsia="Arial" w:hAnsi="Arial"/>
                <w:sz w:val="10"/>
                <w:szCs w:val="10"/>
                <w:color w:val="auto"/>
              </w:rPr>
              <w:t>3 and 4</w:t>
            </w:r>
          </w:p>
        </w:tc>
        <w:tc>
          <w:tcPr>
            <w:tcW w:w="920" w:type="dxa"/>
            <w:vAlign w:val="bottom"/>
          </w:tcPr>
          <w:p>
            <w:pPr>
              <w:jc w:val="right"/>
              <w:ind w:right="252"/>
              <w:spacing w:after="0" w:line="90" w:lineRule="exact"/>
              <w:rPr>
                <w:sz w:val="20"/>
                <w:szCs w:val="20"/>
                <w:color w:val="auto"/>
              </w:rPr>
            </w:pPr>
            <w:r>
              <w:rPr>
                <w:rFonts w:ascii="Arial" w:cs="Arial" w:eastAsia="Arial" w:hAnsi="Arial"/>
                <w:sz w:val="10"/>
                <w:szCs w:val="10"/>
                <w:color w:val="auto"/>
              </w:rPr>
              <w:t>4 and 5</w:t>
            </w:r>
          </w:p>
        </w:tc>
        <w:tc>
          <w:tcPr>
            <w:tcW w:w="680" w:type="dxa"/>
            <w:vAlign w:val="bottom"/>
            <w:vMerge w:val="continue"/>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1400" w:type="dxa"/>
            <w:vAlign w:val="bottom"/>
          </w:tcPr>
          <w:p>
            <w:pPr>
              <w:jc w:val="right"/>
              <w:ind w:right="252"/>
              <w:spacing w:after="0" w:line="90" w:lineRule="exact"/>
              <w:rPr>
                <w:sz w:val="20"/>
                <w:szCs w:val="20"/>
                <w:color w:val="auto"/>
              </w:rPr>
            </w:pPr>
            <w:r>
              <w:rPr>
                <w:rFonts w:ascii="Arial" w:cs="Arial" w:eastAsia="Arial" w:hAnsi="Arial"/>
                <w:sz w:val="10"/>
                <w:szCs w:val="10"/>
                <w:color w:val="auto"/>
              </w:rPr>
              <w:t>from carrying</w:t>
            </w: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jc w:val="right"/>
              <w:ind w:right="252"/>
              <w:spacing w:after="0"/>
              <w:rPr>
                <w:sz w:val="20"/>
                <w:szCs w:val="20"/>
                <w:color w:val="auto"/>
              </w:rPr>
            </w:pPr>
            <w:r>
              <w:rPr>
                <w:rFonts w:ascii="Arial" w:cs="Arial" w:eastAsia="Arial" w:hAnsi="Arial"/>
                <w:sz w:val="10"/>
                <w:szCs w:val="10"/>
                <w:color w:val="auto"/>
              </w:rPr>
              <w:t>1 year</w:t>
            </w:r>
          </w:p>
        </w:tc>
        <w:tc>
          <w:tcPr>
            <w:tcW w:w="920" w:type="dxa"/>
            <w:vAlign w:val="bottom"/>
          </w:tcPr>
          <w:p>
            <w:pPr>
              <w:jc w:val="right"/>
              <w:ind w:right="252"/>
              <w:spacing w:after="0"/>
              <w:rPr>
                <w:sz w:val="20"/>
                <w:szCs w:val="20"/>
                <w:color w:val="auto"/>
              </w:rPr>
            </w:pPr>
            <w:r>
              <w:rPr>
                <w:rFonts w:ascii="Arial" w:cs="Arial" w:eastAsia="Arial" w:hAnsi="Arial"/>
                <w:sz w:val="10"/>
                <w:szCs w:val="10"/>
                <w:color w:val="auto"/>
              </w:rPr>
              <w:t>years</w:t>
            </w:r>
          </w:p>
        </w:tc>
        <w:tc>
          <w:tcPr>
            <w:tcW w:w="640" w:type="dxa"/>
            <w:vAlign w:val="bottom"/>
          </w:tcPr>
          <w:p>
            <w:pPr>
              <w:jc w:val="right"/>
              <w:spacing w:after="0"/>
              <w:rPr>
                <w:sz w:val="20"/>
                <w:szCs w:val="20"/>
                <w:color w:val="auto"/>
              </w:rPr>
            </w:pPr>
            <w:r>
              <w:rPr>
                <w:rFonts w:ascii="Arial" w:cs="Arial" w:eastAsia="Arial" w:hAnsi="Arial"/>
                <w:sz w:val="10"/>
                <w:szCs w:val="10"/>
                <w:color w:val="auto"/>
              </w:rPr>
              <w:t>years</w:t>
            </w:r>
          </w:p>
        </w:tc>
        <w:tc>
          <w:tcPr>
            <w:tcW w:w="1220" w:type="dxa"/>
            <w:vAlign w:val="bottom"/>
          </w:tcPr>
          <w:p>
            <w:pPr>
              <w:jc w:val="right"/>
              <w:ind w:right="253"/>
              <w:spacing w:after="0"/>
              <w:rPr>
                <w:sz w:val="20"/>
                <w:szCs w:val="20"/>
                <w:color w:val="auto"/>
              </w:rPr>
            </w:pPr>
            <w:r>
              <w:rPr>
                <w:rFonts w:ascii="Arial" w:cs="Arial" w:eastAsia="Arial" w:hAnsi="Arial"/>
                <w:sz w:val="10"/>
                <w:szCs w:val="10"/>
                <w:color w:val="auto"/>
              </w:rPr>
              <w:t>years</w:t>
            </w:r>
          </w:p>
        </w:tc>
        <w:tc>
          <w:tcPr>
            <w:tcW w:w="920" w:type="dxa"/>
            <w:vAlign w:val="bottom"/>
          </w:tcPr>
          <w:p>
            <w:pPr>
              <w:jc w:val="right"/>
              <w:ind w:right="252"/>
              <w:spacing w:after="0"/>
              <w:rPr>
                <w:sz w:val="20"/>
                <w:szCs w:val="20"/>
                <w:color w:val="auto"/>
              </w:rPr>
            </w:pPr>
            <w:r>
              <w:rPr>
                <w:rFonts w:ascii="Arial" w:cs="Arial" w:eastAsia="Arial" w:hAnsi="Arial"/>
                <w:sz w:val="10"/>
                <w:szCs w:val="10"/>
                <w:color w:val="auto"/>
              </w:rPr>
              <w:t>years</w:t>
            </w:r>
          </w:p>
        </w:tc>
        <w:tc>
          <w:tcPr>
            <w:tcW w:w="680" w:type="dxa"/>
            <w:vAlign w:val="bottom"/>
          </w:tcPr>
          <w:p>
            <w:pPr>
              <w:jc w:val="right"/>
              <w:spacing w:after="0"/>
              <w:rPr>
                <w:sz w:val="20"/>
                <w:szCs w:val="20"/>
                <w:color w:val="auto"/>
              </w:rPr>
            </w:pPr>
            <w:r>
              <w:rPr>
                <w:rFonts w:ascii="Arial" w:cs="Arial" w:eastAsia="Arial" w:hAnsi="Arial"/>
                <w:sz w:val="10"/>
                <w:szCs w:val="10"/>
                <w:color w:val="auto"/>
              </w:rPr>
              <w:t>and later</w:t>
            </w:r>
          </w:p>
        </w:tc>
        <w:tc>
          <w:tcPr>
            <w:tcW w:w="900" w:type="dxa"/>
            <w:vAlign w:val="bottom"/>
            <w:vMerge w:val="continue"/>
          </w:tcPr>
          <w:p>
            <w:pPr>
              <w:spacing w:after="0"/>
              <w:rPr>
                <w:sz w:val="10"/>
                <w:szCs w:val="10"/>
                <w:color w:val="auto"/>
              </w:rPr>
            </w:pPr>
          </w:p>
        </w:tc>
        <w:tc>
          <w:tcPr>
            <w:tcW w:w="1400" w:type="dxa"/>
            <w:vAlign w:val="bottom"/>
          </w:tcPr>
          <w:p>
            <w:pPr>
              <w:jc w:val="right"/>
              <w:ind w:right="252"/>
              <w:spacing w:after="0"/>
              <w:rPr>
                <w:sz w:val="20"/>
                <w:szCs w:val="20"/>
                <w:color w:val="auto"/>
              </w:rPr>
            </w:pPr>
            <w:r>
              <w:rPr>
                <w:rFonts w:ascii="Arial" w:cs="Arial" w:eastAsia="Arial" w:hAnsi="Arial"/>
                <w:sz w:val="10"/>
                <w:szCs w:val="10"/>
                <w:color w:val="auto"/>
              </w:rPr>
              <w:t>amount [A]</w:t>
            </w:r>
          </w:p>
        </w:tc>
        <w:tc>
          <w:tcPr>
            <w:tcW w:w="660" w:type="dxa"/>
            <w:vAlign w:val="bottom"/>
            <w:gridSpan w:val="2"/>
          </w:tcPr>
          <w:p>
            <w:pPr>
              <w:jc w:val="right"/>
              <w:ind w:right="20"/>
              <w:spacing w:after="0"/>
              <w:rPr>
                <w:sz w:val="20"/>
                <w:szCs w:val="20"/>
                <w:color w:val="auto"/>
              </w:rPr>
            </w:pPr>
            <w:r>
              <w:rPr>
                <w:rFonts w:ascii="Arial" w:cs="Arial" w:eastAsia="Arial" w:hAnsi="Arial"/>
                <w:sz w:val="10"/>
                <w:szCs w:val="10"/>
                <w:color w:val="auto"/>
              </w:rPr>
              <w:t>amount</w:t>
            </w:r>
          </w:p>
        </w:tc>
        <w:tc>
          <w:tcPr>
            <w:tcW w:w="0" w:type="dxa"/>
            <w:vAlign w:val="bottom"/>
          </w:tcPr>
          <w:p>
            <w:pPr>
              <w:spacing w:after="0"/>
              <w:rPr>
                <w:sz w:val="1"/>
                <w:szCs w:val="1"/>
                <w:color w:val="auto"/>
              </w:rPr>
            </w:pPr>
          </w:p>
        </w:tc>
      </w:tr>
      <w:tr>
        <w:trPr>
          <w:trHeight w:val="113"/>
        </w:trPr>
        <w:tc>
          <w:tcPr>
            <w:tcW w:w="3220" w:type="dxa"/>
            <w:vAlign w:val="bottom"/>
            <w:tcBorders>
              <w:top w:val="single" w:sz="8" w:color="auto"/>
            </w:tcBorders>
            <w:gridSpan w:val="2"/>
          </w:tcPr>
          <w:p>
            <w:pPr>
              <w:ind w:left="20"/>
              <w:spacing w:after="0" w:line="113" w:lineRule="exact"/>
              <w:rPr>
                <w:sz w:val="20"/>
                <w:szCs w:val="20"/>
                <w:color w:val="auto"/>
              </w:rPr>
            </w:pPr>
            <w:r>
              <w:rPr>
                <w:rFonts w:ascii="Arial" w:cs="Arial" w:eastAsia="Arial" w:hAnsi="Arial"/>
                <w:sz w:val="10"/>
                <w:szCs w:val="10"/>
                <w:color w:val="auto"/>
              </w:rPr>
              <w:t>Interest rate swaps</w:t>
            </w:r>
          </w:p>
        </w:tc>
        <w:tc>
          <w:tcPr>
            <w:tcW w:w="740" w:type="dxa"/>
            <w:vAlign w:val="bottom"/>
            <w:tcBorders>
              <w:top w:val="single" w:sz="8" w:color="auto"/>
            </w:tcBorders>
          </w:tcPr>
          <w:p>
            <w:pPr>
              <w:jc w:val="right"/>
              <w:ind w:right="272"/>
              <w:spacing w:after="0" w:line="113" w:lineRule="exact"/>
              <w:rPr>
                <w:sz w:val="20"/>
                <w:szCs w:val="20"/>
                <w:color w:val="auto"/>
              </w:rPr>
            </w:pPr>
            <w:r>
              <w:rPr>
                <w:rFonts w:ascii="Arial" w:cs="Arial" w:eastAsia="Arial" w:hAnsi="Arial"/>
                <w:sz w:val="10"/>
                <w:szCs w:val="10"/>
                <w:color w:val="auto"/>
              </w:rPr>
              <w:t>35</w:t>
            </w:r>
          </w:p>
        </w:tc>
        <w:tc>
          <w:tcPr>
            <w:tcW w:w="920" w:type="dxa"/>
            <w:vAlign w:val="bottom"/>
            <w:tcBorders>
              <w:top w:val="single" w:sz="8" w:color="auto"/>
            </w:tcBorders>
          </w:tcPr>
          <w:p>
            <w:pPr>
              <w:jc w:val="right"/>
              <w:ind w:right="272"/>
              <w:spacing w:after="0" w:line="113" w:lineRule="exact"/>
              <w:rPr>
                <w:sz w:val="20"/>
                <w:szCs w:val="20"/>
                <w:color w:val="auto"/>
              </w:rPr>
            </w:pPr>
            <w:r>
              <w:rPr>
                <w:rFonts w:ascii="Arial" w:cs="Arial" w:eastAsia="Arial" w:hAnsi="Arial"/>
                <w:sz w:val="10"/>
                <w:szCs w:val="10"/>
                <w:color w:val="auto"/>
              </w:rPr>
              <w:t>8</w:t>
            </w:r>
          </w:p>
        </w:tc>
        <w:tc>
          <w:tcPr>
            <w:tcW w:w="6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4</w:t>
            </w:r>
          </w:p>
        </w:tc>
        <w:tc>
          <w:tcPr>
            <w:tcW w:w="1220" w:type="dxa"/>
            <w:vAlign w:val="bottom"/>
            <w:tcBorders>
              <w:top w:val="single" w:sz="8" w:color="auto"/>
            </w:tcBorders>
          </w:tcPr>
          <w:p>
            <w:pPr>
              <w:jc w:val="right"/>
              <w:ind w:right="273"/>
              <w:spacing w:after="0" w:line="113" w:lineRule="exact"/>
              <w:rPr>
                <w:sz w:val="20"/>
                <w:szCs w:val="20"/>
                <w:color w:val="auto"/>
              </w:rPr>
            </w:pPr>
            <w:r>
              <w:rPr>
                <w:rFonts w:ascii="Arial" w:cs="Arial" w:eastAsia="Arial" w:hAnsi="Arial"/>
                <w:sz w:val="10"/>
                <w:szCs w:val="10"/>
                <w:color w:val="auto"/>
              </w:rPr>
              <w:t>4</w:t>
            </w:r>
          </w:p>
        </w:tc>
        <w:tc>
          <w:tcPr>
            <w:tcW w:w="920" w:type="dxa"/>
            <w:vAlign w:val="bottom"/>
            <w:tcBorders>
              <w:top w:val="single" w:sz="8" w:color="auto"/>
            </w:tcBorders>
          </w:tcPr>
          <w:p>
            <w:pPr>
              <w:jc w:val="right"/>
              <w:ind w:right="272"/>
              <w:spacing w:after="0" w:line="113" w:lineRule="exact"/>
              <w:rPr>
                <w:sz w:val="20"/>
                <w:szCs w:val="20"/>
                <w:color w:val="auto"/>
              </w:rPr>
            </w:pPr>
            <w:r>
              <w:rPr>
                <w:rFonts w:ascii="Arial" w:cs="Arial" w:eastAsia="Arial" w:hAnsi="Arial"/>
                <w:sz w:val="10"/>
                <w:szCs w:val="10"/>
                <w:color w:val="auto"/>
              </w:rPr>
              <w:t>5</w:t>
            </w:r>
          </w:p>
        </w:tc>
        <w:tc>
          <w:tcPr>
            <w:tcW w:w="680" w:type="dxa"/>
            <w:vAlign w:val="bottom"/>
            <w:tcBorders>
              <w:top w:val="single" w:sz="8" w:color="auto"/>
            </w:tcBorders>
          </w:tcPr>
          <w:p>
            <w:pPr>
              <w:jc w:val="right"/>
              <w:ind w:right="32"/>
              <w:spacing w:after="0" w:line="113" w:lineRule="exact"/>
              <w:rPr>
                <w:sz w:val="20"/>
                <w:szCs w:val="20"/>
                <w:color w:val="auto"/>
              </w:rPr>
            </w:pPr>
            <w:r>
              <w:rPr>
                <w:rFonts w:ascii="Arial" w:cs="Arial" w:eastAsia="Arial" w:hAnsi="Arial"/>
                <w:sz w:val="10"/>
                <w:szCs w:val="10"/>
                <w:color w:val="auto"/>
              </w:rPr>
              <w:t>4</w:t>
            </w:r>
          </w:p>
        </w:tc>
        <w:tc>
          <w:tcPr>
            <w:tcW w:w="9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60</w:t>
            </w:r>
          </w:p>
        </w:tc>
        <w:tc>
          <w:tcPr>
            <w:tcW w:w="1400" w:type="dxa"/>
            <w:vAlign w:val="bottom"/>
            <w:tcBorders>
              <w:top w:val="single" w:sz="8" w:color="auto"/>
            </w:tcBorders>
          </w:tcPr>
          <w:p>
            <w:pPr>
              <w:jc w:val="right"/>
              <w:ind w:right="252"/>
              <w:spacing w:after="0" w:line="113" w:lineRule="exact"/>
              <w:rPr>
                <w:sz w:val="20"/>
                <w:szCs w:val="20"/>
                <w:color w:val="auto"/>
              </w:rPr>
            </w:pPr>
            <w:r>
              <w:rPr>
                <w:rFonts w:ascii="Arial" w:cs="Arial" w:eastAsia="Arial" w:hAnsi="Arial"/>
                <w:sz w:val="10"/>
                <w:szCs w:val="10"/>
                <w:color w:val="auto"/>
              </w:rPr>
              <w:t>(2)</w:t>
            </w:r>
          </w:p>
        </w:tc>
        <w:tc>
          <w:tcPr>
            <w:tcW w:w="6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58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220" w:type="dxa"/>
            <w:vAlign w:val="bottom"/>
            <w:gridSpan w:val="2"/>
          </w:tcPr>
          <w:p>
            <w:pPr>
              <w:ind w:left="20"/>
              <w:spacing w:after="0"/>
              <w:rPr>
                <w:sz w:val="20"/>
                <w:szCs w:val="20"/>
                <w:color w:val="auto"/>
              </w:rPr>
            </w:pPr>
            <w:r>
              <w:rPr>
                <w:rFonts w:ascii="Arial" w:cs="Arial" w:eastAsia="Arial" w:hAnsi="Arial"/>
                <w:sz w:val="10"/>
                <w:szCs w:val="10"/>
                <w:color w:val="auto"/>
              </w:rPr>
              <w:t>Forward foreign exchange contracts</w:t>
            </w:r>
          </w:p>
        </w:tc>
        <w:tc>
          <w:tcPr>
            <w:tcW w:w="740" w:type="dxa"/>
            <w:vAlign w:val="bottom"/>
          </w:tcPr>
          <w:p>
            <w:pPr>
              <w:jc w:val="right"/>
              <w:ind w:right="272"/>
              <w:spacing w:after="0"/>
              <w:rPr>
                <w:sz w:val="20"/>
                <w:szCs w:val="20"/>
                <w:color w:val="auto"/>
              </w:rPr>
            </w:pPr>
            <w:r>
              <w:rPr>
                <w:rFonts w:ascii="Arial" w:cs="Arial" w:eastAsia="Arial" w:hAnsi="Arial"/>
                <w:sz w:val="10"/>
                <w:szCs w:val="10"/>
                <w:color w:val="auto"/>
              </w:rPr>
              <w:t>214</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40</w:t>
            </w:r>
          </w:p>
        </w:tc>
        <w:tc>
          <w:tcPr>
            <w:tcW w:w="640" w:type="dxa"/>
            <w:vAlign w:val="bottom"/>
          </w:tcPr>
          <w:p>
            <w:pPr>
              <w:jc w:val="right"/>
              <w:spacing w:after="0"/>
              <w:rPr>
                <w:sz w:val="20"/>
                <w:szCs w:val="20"/>
                <w:color w:val="auto"/>
              </w:rPr>
            </w:pPr>
            <w:r>
              <w:rPr>
                <w:rFonts w:ascii="Arial" w:cs="Arial" w:eastAsia="Arial" w:hAnsi="Arial"/>
                <w:sz w:val="10"/>
                <w:szCs w:val="10"/>
                <w:color w:val="auto"/>
              </w:rPr>
              <w:t>8</w:t>
            </w:r>
          </w:p>
        </w:tc>
        <w:tc>
          <w:tcPr>
            <w:tcW w:w="1220" w:type="dxa"/>
            <w:vAlign w:val="bottom"/>
          </w:tcPr>
          <w:p>
            <w:pPr>
              <w:jc w:val="right"/>
              <w:ind w:right="273"/>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118</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380</w:t>
            </w:r>
          </w:p>
        </w:tc>
        <w:tc>
          <w:tcPr>
            <w:tcW w:w="1400" w:type="dxa"/>
            <w:vAlign w:val="bottom"/>
          </w:tcPr>
          <w:p>
            <w:pPr>
              <w:jc w:val="right"/>
              <w:ind w:right="252"/>
              <w:spacing w:after="0"/>
              <w:rPr>
                <w:sz w:val="20"/>
                <w:szCs w:val="20"/>
                <w:color w:val="auto"/>
              </w:rPr>
            </w:pPr>
            <w:r>
              <w:rPr>
                <w:rFonts w:ascii="Arial" w:cs="Arial" w:eastAsia="Arial" w:hAnsi="Arial"/>
                <w:sz w:val="10"/>
                <w:szCs w:val="10"/>
                <w:color w:val="auto"/>
              </w:rPr>
              <w:t>(69)</w:t>
            </w:r>
          </w:p>
        </w:tc>
        <w:tc>
          <w:tcPr>
            <w:tcW w:w="640" w:type="dxa"/>
            <w:vAlign w:val="bottom"/>
          </w:tcPr>
          <w:p>
            <w:pPr>
              <w:jc w:val="right"/>
              <w:spacing w:after="0"/>
              <w:rPr>
                <w:sz w:val="20"/>
                <w:szCs w:val="20"/>
                <w:color w:val="auto"/>
              </w:rPr>
            </w:pPr>
            <w:r>
              <w:rPr>
                <w:rFonts w:ascii="Arial" w:cs="Arial" w:eastAsia="Arial" w:hAnsi="Arial"/>
                <w:sz w:val="10"/>
                <w:szCs w:val="10"/>
                <w:color w:val="auto"/>
              </w:rPr>
              <w:t>311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220" w:type="dxa"/>
            <w:vAlign w:val="bottom"/>
            <w:gridSpan w:val="2"/>
          </w:tcPr>
          <w:p>
            <w:pPr>
              <w:ind w:left="20"/>
              <w:spacing w:after="0"/>
              <w:rPr>
                <w:sz w:val="20"/>
                <w:szCs w:val="20"/>
                <w:color w:val="auto"/>
              </w:rPr>
            </w:pPr>
            <w:r>
              <w:rPr>
                <w:rFonts w:ascii="Arial" w:cs="Arial" w:eastAsia="Arial" w:hAnsi="Arial"/>
                <w:sz w:val="10"/>
                <w:szCs w:val="10"/>
                <w:color w:val="auto"/>
              </w:rPr>
              <w:t>Currency swaps and options</w:t>
            </w:r>
          </w:p>
        </w:tc>
        <w:tc>
          <w:tcPr>
            <w:tcW w:w="740" w:type="dxa"/>
            <w:vAlign w:val="bottom"/>
          </w:tcPr>
          <w:p>
            <w:pPr>
              <w:jc w:val="right"/>
              <w:ind w:right="272"/>
              <w:spacing w:after="0"/>
              <w:rPr>
                <w:sz w:val="20"/>
                <w:szCs w:val="20"/>
                <w:color w:val="auto"/>
              </w:rPr>
            </w:pPr>
            <w:r>
              <w:rPr>
                <w:rFonts w:ascii="Arial" w:cs="Arial" w:eastAsia="Arial" w:hAnsi="Arial"/>
                <w:sz w:val="10"/>
                <w:szCs w:val="10"/>
                <w:color w:val="auto"/>
              </w:rPr>
              <w:t>255</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475</w:t>
            </w:r>
          </w:p>
        </w:tc>
        <w:tc>
          <w:tcPr>
            <w:tcW w:w="640" w:type="dxa"/>
            <w:vAlign w:val="bottom"/>
          </w:tcPr>
          <w:p>
            <w:pPr>
              <w:jc w:val="right"/>
              <w:spacing w:after="0"/>
              <w:rPr>
                <w:sz w:val="20"/>
                <w:szCs w:val="20"/>
                <w:color w:val="auto"/>
              </w:rPr>
            </w:pPr>
            <w:r>
              <w:rPr>
                <w:rFonts w:ascii="Arial" w:cs="Arial" w:eastAsia="Arial" w:hAnsi="Arial"/>
                <w:sz w:val="10"/>
                <w:szCs w:val="10"/>
                <w:color w:val="auto"/>
              </w:rPr>
              <w:t>444</w:t>
            </w:r>
          </w:p>
        </w:tc>
        <w:tc>
          <w:tcPr>
            <w:tcW w:w="1220" w:type="dxa"/>
            <w:vAlign w:val="bottom"/>
          </w:tcPr>
          <w:p>
            <w:pPr>
              <w:jc w:val="right"/>
              <w:ind w:right="273"/>
              <w:spacing w:after="0"/>
              <w:rPr>
                <w:sz w:val="20"/>
                <w:szCs w:val="20"/>
                <w:color w:val="auto"/>
              </w:rPr>
            </w:pPr>
            <w:r>
              <w:rPr>
                <w:rFonts w:ascii="Arial" w:cs="Arial" w:eastAsia="Arial" w:hAnsi="Arial"/>
                <w:sz w:val="10"/>
                <w:szCs w:val="10"/>
                <w:color w:val="auto"/>
              </w:rPr>
              <w:t>201</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204</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1,777</w:t>
            </w:r>
          </w:p>
        </w:tc>
        <w:tc>
          <w:tcPr>
            <w:tcW w:w="900" w:type="dxa"/>
            <w:vAlign w:val="bottom"/>
          </w:tcPr>
          <w:p>
            <w:pPr>
              <w:jc w:val="right"/>
              <w:spacing w:after="0"/>
              <w:rPr>
                <w:sz w:val="20"/>
                <w:szCs w:val="20"/>
                <w:color w:val="auto"/>
              </w:rPr>
            </w:pPr>
            <w:r>
              <w:rPr>
                <w:rFonts w:ascii="Arial" w:cs="Arial" w:eastAsia="Arial" w:hAnsi="Arial"/>
                <w:sz w:val="10"/>
                <w:szCs w:val="10"/>
                <w:color w:val="auto"/>
              </w:rPr>
              <w:t>3,356</w:t>
            </w:r>
          </w:p>
        </w:tc>
        <w:tc>
          <w:tcPr>
            <w:tcW w:w="1400" w:type="dxa"/>
            <w:vAlign w:val="bottom"/>
          </w:tcPr>
          <w:p>
            <w:pPr>
              <w:jc w:val="right"/>
              <w:ind w:right="252"/>
              <w:spacing w:after="0"/>
              <w:rPr>
                <w:sz w:val="20"/>
                <w:szCs w:val="20"/>
                <w:color w:val="auto"/>
              </w:rPr>
            </w:pPr>
            <w:r>
              <w:rPr>
                <w:rFonts w:ascii="Arial" w:cs="Arial" w:eastAsia="Arial" w:hAnsi="Arial"/>
                <w:sz w:val="10"/>
                <w:szCs w:val="10"/>
                <w:color w:val="auto"/>
              </w:rPr>
              <w:t>(2,368)</w:t>
            </w:r>
          </w:p>
        </w:tc>
        <w:tc>
          <w:tcPr>
            <w:tcW w:w="640" w:type="dxa"/>
            <w:vAlign w:val="bottom"/>
          </w:tcPr>
          <w:p>
            <w:pPr>
              <w:jc w:val="right"/>
              <w:spacing w:after="0"/>
              <w:rPr>
                <w:sz w:val="20"/>
                <w:szCs w:val="20"/>
                <w:color w:val="auto"/>
              </w:rPr>
            </w:pPr>
            <w:r>
              <w:rPr>
                <w:rFonts w:ascii="Arial" w:cs="Arial" w:eastAsia="Arial" w:hAnsi="Arial"/>
                <w:sz w:val="10"/>
                <w:szCs w:val="10"/>
                <w:color w:val="auto"/>
              </w:rPr>
              <w:t>988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220" w:type="dxa"/>
            <w:vAlign w:val="bottom"/>
            <w:gridSpan w:val="2"/>
          </w:tcPr>
          <w:p>
            <w:pPr>
              <w:ind w:left="20"/>
              <w:spacing w:after="0"/>
              <w:rPr>
                <w:sz w:val="20"/>
                <w:szCs w:val="20"/>
                <w:color w:val="auto"/>
              </w:rPr>
            </w:pPr>
            <w:r>
              <w:rPr>
                <w:rFonts w:ascii="Arial" w:cs="Arial" w:eastAsia="Arial" w:hAnsi="Arial"/>
                <w:sz w:val="10"/>
                <w:szCs w:val="10"/>
                <w:color w:val="auto"/>
              </w:rPr>
              <w:t>Commodity derivatives</w:t>
            </w:r>
          </w:p>
        </w:tc>
        <w:tc>
          <w:tcPr>
            <w:tcW w:w="740" w:type="dxa"/>
            <w:vAlign w:val="bottom"/>
          </w:tcPr>
          <w:p>
            <w:pPr>
              <w:jc w:val="right"/>
              <w:ind w:right="272"/>
              <w:spacing w:after="0"/>
              <w:rPr>
                <w:sz w:val="20"/>
                <w:szCs w:val="20"/>
                <w:color w:val="auto"/>
              </w:rPr>
            </w:pPr>
            <w:r>
              <w:rPr>
                <w:rFonts w:ascii="Arial" w:cs="Arial" w:eastAsia="Arial" w:hAnsi="Arial"/>
                <w:sz w:val="10"/>
                <w:szCs w:val="10"/>
                <w:color w:val="auto"/>
              </w:rPr>
              <w:t>3,472</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756</w:t>
            </w:r>
          </w:p>
        </w:tc>
        <w:tc>
          <w:tcPr>
            <w:tcW w:w="640" w:type="dxa"/>
            <w:vAlign w:val="bottom"/>
          </w:tcPr>
          <w:p>
            <w:pPr>
              <w:jc w:val="right"/>
              <w:spacing w:after="0"/>
              <w:rPr>
                <w:sz w:val="20"/>
                <w:szCs w:val="20"/>
                <w:color w:val="auto"/>
              </w:rPr>
            </w:pPr>
            <w:r>
              <w:rPr>
                <w:rFonts w:ascii="Arial" w:cs="Arial" w:eastAsia="Arial" w:hAnsi="Arial"/>
                <w:sz w:val="10"/>
                <w:szCs w:val="10"/>
                <w:color w:val="auto"/>
              </w:rPr>
              <w:t>349</w:t>
            </w:r>
          </w:p>
        </w:tc>
        <w:tc>
          <w:tcPr>
            <w:tcW w:w="1220" w:type="dxa"/>
            <w:vAlign w:val="bottom"/>
          </w:tcPr>
          <w:p>
            <w:pPr>
              <w:jc w:val="right"/>
              <w:ind w:right="273"/>
              <w:spacing w:after="0"/>
              <w:rPr>
                <w:sz w:val="20"/>
                <w:szCs w:val="20"/>
                <w:color w:val="auto"/>
              </w:rPr>
            </w:pPr>
            <w:r>
              <w:rPr>
                <w:rFonts w:ascii="Arial" w:cs="Arial" w:eastAsia="Arial" w:hAnsi="Arial"/>
                <w:sz w:val="10"/>
                <w:szCs w:val="10"/>
                <w:color w:val="auto"/>
              </w:rPr>
              <w:t>189</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123</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511</w:t>
            </w:r>
          </w:p>
        </w:tc>
        <w:tc>
          <w:tcPr>
            <w:tcW w:w="900" w:type="dxa"/>
            <w:vAlign w:val="bottom"/>
          </w:tcPr>
          <w:p>
            <w:pPr>
              <w:jc w:val="right"/>
              <w:spacing w:after="0"/>
              <w:rPr>
                <w:sz w:val="20"/>
                <w:szCs w:val="20"/>
                <w:color w:val="auto"/>
              </w:rPr>
            </w:pPr>
            <w:r>
              <w:rPr>
                <w:rFonts w:ascii="Arial" w:cs="Arial" w:eastAsia="Arial" w:hAnsi="Arial"/>
                <w:sz w:val="10"/>
                <w:szCs w:val="10"/>
                <w:color w:val="auto"/>
              </w:rPr>
              <w:t>5,400</w:t>
            </w:r>
          </w:p>
        </w:tc>
        <w:tc>
          <w:tcPr>
            <w:tcW w:w="1400" w:type="dxa"/>
            <w:vAlign w:val="bottom"/>
          </w:tcPr>
          <w:p>
            <w:pPr>
              <w:jc w:val="right"/>
              <w:ind w:right="252"/>
              <w:spacing w:after="0"/>
              <w:rPr>
                <w:sz w:val="20"/>
                <w:szCs w:val="20"/>
                <w:color w:val="auto"/>
              </w:rPr>
            </w:pPr>
            <w:r>
              <w:rPr>
                <w:rFonts w:ascii="Arial" w:cs="Arial" w:eastAsia="Arial" w:hAnsi="Arial"/>
                <w:sz w:val="10"/>
                <w:szCs w:val="10"/>
                <w:color w:val="auto"/>
              </w:rPr>
              <w:t>(119)</w:t>
            </w:r>
          </w:p>
        </w:tc>
        <w:tc>
          <w:tcPr>
            <w:tcW w:w="640" w:type="dxa"/>
            <w:vAlign w:val="bottom"/>
          </w:tcPr>
          <w:p>
            <w:pPr>
              <w:jc w:val="right"/>
              <w:spacing w:after="0"/>
              <w:rPr>
                <w:sz w:val="20"/>
                <w:szCs w:val="20"/>
                <w:color w:val="auto"/>
              </w:rPr>
            </w:pPr>
            <w:r>
              <w:rPr>
                <w:rFonts w:ascii="Arial" w:cs="Arial" w:eastAsia="Arial" w:hAnsi="Arial"/>
                <w:sz w:val="10"/>
                <w:szCs w:val="10"/>
                <w:color w:val="auto"/>
              </w:rPr>
              <w:t>5,281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220" w:type="dxa"/>
            <w:vAlign w:val="bottom"/>
            <w:gridSpan w:val="2"/>
          </w:tcPr>
          <w:p>
            <w:pPr>
              <w:ind w:left="20"/>
              <w:spacing w:after="0"/>
              <w:rPr>
                <w:sz w:val="20"/>
                <w:szCs w:val="20"/>
                <w:color w:val="auto"/>
              </w:rPr>
            </w:pPr>
            <w:r>
              <w:rPr>
                <w:rFonts w:ascii="Arial" w:cs="Arial" w:eastAsia="Arial" w:hAnsi="Arial"/>
                <w:sz w:val="10"/>
                <w:szCs w:val="10"/>
                <w:color w:val="auto"/>
              </w:rPr>
              <w:t>Other contracts</w:t>
            </w:r>
          </w:p>
        </w:tc>
        <w:tc>
          <w:tcPr>
            <w:tcW w:w="74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273"/>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40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32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0"/>
                <w:szCs w:val="10"/>
                <w:color w:val="auto"/>
              </w:rPr>
              <w:t>Total</w:t>
            </w:r>
          </w:p>
        </w:tc>
        <w:tc>
          <w:tcPr>
            <w:tcW w:w="7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rPr>
              <w:t>3,976</w:t>
            </w: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rPr>
              <w:t>1,279</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805</w:t>
            </w:r>
          </w:p>
        </w:tc>
        <w:tc>
          <w:tcPr>
            <w:tcW w:w="12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0"/>
                <w:szCs w:val="10"/>
                <w:color w:val="auto"/>
              </w:rPr>
              <w:t>394</w:t>
            </w: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rPr>
              <w:t>450</w:t>
            </w: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2,292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9,196</w:t>
            </w:r>
          </w:p>
        </w:tc>
        <w:tc>
          <w:tcPr>
            <w:tcW w:w="14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0"/>
                <w:szCs w:val="10"/>
                <w:color w:val="auto"/>
              </w:rPr>
              <w:t>(2,558)</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6,638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220" w:type="dxa"/>
            <w:vAlign w:val="bottom"/>
            <w:gridSpan w:val="2"/>
          </w:tcPr>
          <w:p>
            <w:pPr>
              <w:spacing w:after="0"/>
              <w:rPr>
                <w:sz w:val="20"/>
                <w:szCs w:val="20"/>
                <w:color w:val="auto"/>
              </w:rPr>
            </w:pPr>
            <w:r>
              <w:rPr>
                <w:rFonts w:ascii="Arial" w:cs="Arial" w:eastAsia="Arial" w:hAnsi="Arial"/>
                <w:sz w:val="7"/>
                <w:szCs w:val="7"/>
                <w:color w:val="auto"/>
              </w:rPr>
              <w:t>[A] Mainly related to the effect of discounting.</w:t>
            </w: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220" w:type="dxa"/>
            <w:vAlign w:val="bottom"/>
            <w:gridSpan w:val="2"/>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jc w:val="right"/>
              <w:ind w:right="1053"/>
              <w:spacing w:after="0"/>
              <w:rPr>
                <w:sz w:val="20"/>
                <w:szCs w:val="20"/>
                <w:color w:val="auto"/>
              </w:rPr>
            </w:pPr>
            <w:r>
              <w:rPr>
                <w:rFonts w:ascii="Arial" w:cs="Arial" w:eastAsia="Arial" w:hAnsi="Arial"/>
                <w:sz w:val="7"/>
                <w:szCs w:val="7"/>
                <w:color w:val="auto"/>
                <w:w w:val="85"/>
              </w:rPr>
              <w:t>202</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7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05" w:name="page206"/>
    <w:bookmarkEnd w:id="205"/>
    <w:p>
      <w:pPr>
        <w:spacing w:after="0"/>
        <w:rPr>
          <w:sz w:val="20"/>
          <w:szCs w:val="20"/>
          <w:color w:val="auto"/>
        </w:rPr>
      </w:pPr>
      <w:r>
        <w:rPr>
          <w:rFonts w:ascii="Arial" w:cs="Arial" w:eastAsia="Arial" w:hAnsi="Arial"/>
          <w:sz w:val="10"/>
          <w:szCs w:val="10"/>
          <w:b w:val="1"/>
          <w:bCs w:val="1"/>
          <w:color w:val="666666"/>
        </w:rPr>
        <w:t>Fair value measurements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The net carrying amounts of derivative contracts held at December 31, categorised according to the predominant source and nature of inputs used in determining the fair value of each contract,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20" w:type="dxa"/>
            <w:vAlign w:val="bottom"/>
            <w:tcBorders>
              <w:top w:val="single" w:sz="8" w:color="CDCDCD"/>
            </w:tcBorders>
          </w:tcPr>
          <w:p>
            <w:pPr>
              <w:ind w:left="20"/>
              <w:spacing w:after="0"/>
              <w:rPr>
                <w:sz w:val="20"/>
                <w:szCs w:val="20"/>
                <w:color w:val="auto"/>
              </w:rPr>
            </w:pPr>
            <w:r>
              <w:rPr>
                <w:rFonts w:ascii="Arial" w:cs="Arial" w:eastAsia="Arial" w:hAnsi="Arial"/>
                <w:sz w:val="10"/>
                <w:szCs w:val="10"/>
                <w:color w:val="auto"/>
              </w:rPr>
              <w:t>2020</w:t>
            </w:r>
          </w:p>
        </w:tc>
        <w:tc>
          <w:tcPr>
            <w:tcW w:w="2940" w:type="dxa"/>
            <w:vAlign w:val="bottom"/>
            <w:tcBorders>
              <w:top w:val="single" w:sz="8" w:color="CDCDCD"/>
            </w:tcBorders>
          </w:tcPr>
          <w:p>
            <w:pPr>
              <w:spacing w:after="0"/>
              <w:rPr>
                <w:sz w:val="13"/>
                <w:szCs w:val="13"/>
                <w:color w:val="auto"/>
              </w:rPr>
            </w:pPr>
          </w:p>
        </w:tc>
        <w:tc>
          <w:tcPr>
            <w:tcW w:w="1260" w:type="dxa"/>
            <w:vAlign w:val="bottom"/>
            <w:tcBorders>
              <w:top w:val="single" w:sz="8" w:color="CDCDCD"/>
            </w:tcBorders>
          </w:tcPr>
          <w:p>
            <w:pPr>
              <w:spacing w:after="0"/>
              <w:rPr>
                <w:sz w:val="13"/>
                <w:szCs w:val="13"/>
                <w:color w:val="auto"/>
              </w:rPr>
            </w:pPr>
          </w:p>
        </w:tc>
        <w:tc>
          <w:tcPr>
            <w:tcW w:w="1420" w:type="dxa"/>
            <w:vAlign w:val="bottom"/>
            <w:tcBorders>
              <w:top w:val="single" w:sz="8" w:color="CDCDCD"/>
            </w:tcBorders>
          </w:tcPr>
          <w:p>
            <w:pPr>
              <w:spacing w:after="0"/>
              <w:rPr>
                <w:sz w:val="13"/>
                <w:szCs w:val="13"/>
                <w:color w:val="auto"/>
              </w:rPr>
            </w:pPr>
          </w:p>
        </w:tc>
        <w:tc>
          <w:tcPr>
            <w:tcW w:w="84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95"/>
        </w:trPr>
        <w:tc>
          <w:tcPr>
            <w:tcW w:w="4820" w:type="dxa"/>
            <w:vAlign w:val="bottom"/>
          </w:tcPr>
          <w:p>
            <w:pPr>
              <w:spacing w:after="0"/>
              <w:rPr>
                <w:sz w:val="8"/>
                <w:szCs w:val="8"/>
                <w:color w:val="auto"/>
              </w:rPr>
            </w:pPr>
          </w:p>
        </w:tc>
        <w:tc>
          <w:tcPr>
            <w:tcW w:w="2940" w:type="dxa"/>
            <w:vAlign w:val="bottom"/>
            <w:vMerge w:val="restart"/>
          </w:tcPr>
          <w:p>
            <w:pPr>
              <w:jc w:val="right"/>
              <w:ind w:right="412"/>
              <w:spacing w:after="0"/>
              <w:rPr>
                <w:sz w:val="20"/>
                <w:szCs w:val="20"/>
                <w:color w:val="auto"/>
              </w:rPr>
            </w:pPr>
            <w:r>
              <w:rPr>
                <w:rFonts w:ascii="Arial" w:cs="Arial" w:eastAsia="Arial" w:hAnsi="Arial"/>
                <w:sz w:val="10"/>
                <w:szCs w:val="10"/>
                <w:color w:val="auto"/>
              </w:rPr>
              <w:t>Prices in active markets for identical</w:t>
            </w:r>
          </w:p>
        </w:tc>
        <w:tc>
          <w:tcPr>
            <w:tcW w:w="1260" w:type="dxa"/>
            <w:vAlign w:val="bottom"/>
          </w:tcPr>
          <w:p>
            <w:pPr>
              <w:jc w:val="right"/>
              <w:ind w:right="352"/>
              <w:spacing w:after="0" w:line="95" w:lineRule="exact"/>
              <w:rPr>
                <w:sz w:val="20"/>
                <w:szCs w:val="20"/>
                <w:color w:val="auto"/>
              </w:rPr>
            </w:pPr>
            <w:r>
              <w:rPr>
                <w:rFonts w:ascii="Arial" w:cs="Arial" w:eastAsia="Arial" w:hAnsi="Arial"/>
                <w:sz w:val="10"/>
                <w:szCs w:val="10"/>
                <w:color w:val="auto"/>
              </w:rPr>
              <w:t>Other</w:t>
            </w:r>
          </w:p>
        </w:tc>
        <w:tc>
          <w:tcPr>
            <w:tcW w:w="1420" w:type="dxa"/>
            <w:vAlign w:val="bottom"/>
            <w:vMerge w:val="restart"/>
          </w:tcPr>
          <w:p>
            <w:pPr>
              <w:jc w:val="right"/>
              <w:ind w:right="432"/>
              <w:spacing w:after="0"/>
              <w:rPr>
                <w:sz w:val="20"/>
                <w:szCs w:val="20"/>
                <w:color w:val="auto"/>
              </w:rPr>
            </w:pPr>
            <w:r>
              <w:rPr>
                <w:rFonts w:ascii="Arial" w:cs="Arial" w:eastAsia="Arial" w:hAnsi="Arial"/>
                <w:sz w:val="10"/>
                <w:szCs w:val="10"/>
                <w:color w:val="auto"/>
              </w:rPr>
              <w:t>Unobservable</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820" w:type="dxa"/>
            <w:vAlign w:val="bottom"/>
          </w:tcPr>
          <w:p>
            <w:pPr>
              <w:spacing w:after="0"/>
              <w:rPr>
                <w:sz w:val="7"/>
                <w:szCs w:val="7"/>
                <w:color w:val="auto"/>
              </w:rPr>
            </w:pPr>
          </w:p>
        </w:tc>
        <w:tc>
          <w:tcPr>
            <w:tcW w:w="2940" w:type="dxa"/>
            <w:vAlign w:val="bottom"/>
            <w:vMerge w:val="continue"/>
          </w:tcPr>
          <w:p>
            <w:pPr>
              <w:spacing w:after="0"/>
              <w:rPr>
                <w:sz w:val="7"/>
                <w:szCs w:val="7"/>
                <w:color w:val="auto"/>
              </w:rPr>
            </w:pPr>
          </w:p>
        </w:tc>
        <w:tc>
          <w:tcPr>
            <w:tcW w:w="1260" w:type="dxa"/>
            <w:vAlign w:val="bottom"/>
          </w:tcPr>
          <w:p>
            <w:pPr>
              <w:jc w:val="right"/>
              <w:ind w:right="352"/>
              <w:spacing w:after="0" w:line="90" w:lineRule="exact"/>
              <w:rPr>
                <w:sz w:val="20"/>
                <w:szCs w:val="20"/>
                <w:color w:val="auto"/>
              </w:rPr>
            </w:pPr>
            <w:r>
              <w:rPr>
                <w:rFonts w:ascii="Arial" w:cs="Arial" w:eastAsia="Arial" w:hAnsi="Arial"/>
                <w:sz w:val="10"/>
                <w:szCs w:val="10"/>
                <w:color w:val="auto"/>
              </w:rPr>
              <w:t>observable</w:t>
            </w:r>
          </w:p>
        </w:tc>
        <w:tc>
          <w:tcPr>
            <w:tcW w:w="1420" w:type="dxa"/>
            <w:vAlign w:val="bottom"/>
            <w:vMerge w:val="continue"/>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48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assets/liabilities</w:t>
            </w:r>
          </w:p>
        </w:tc>
        <w:tc>
          <w:tcPr>
            <w:tcW w:w="12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inputs</w:t>
            </w:r>
          </w:p>
        </w:tc>
        <w:tc>
          <w:tcPr>
            <w:tcW w:w="142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inputs</w:t>
            </w:r>
          </w:p>
        </w:tc>
        <w:tc>
          <w:tcPr>
            <w:tcW w:w="8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820" w:type="dxa"/>
            <w:vAlign w:val="bottom"/>
          </w:tcPr>
          <w:p>
            <w:pPr>
              <w:ind w:left="20"/>
              <w:spacing w:after="0" w:line="113" w:lineRule="exact"/>
              <w:rPr>
                <w:sz w:val="20"/>
                <w:szCs w:val="20"/>
                <w:color w:val="auto"/>
              </w:rPr>
            </w:pPr>
            <w:r>
              <w:rPr>
                <w:rFonts w:ascii="Arial" w:cs="Arial" w:eastAsia="Arial" w:hAnsi="Arial"/>
                <w:sz w:val="10"/>
                <w:szCs w:val="10"/>
                <w:color w:val="auto"/>
              </w:rPr>
              <w:t>Interest rate swaps</w:t>
            </w:r>
          </w:p>
        </w:tc>
        <w:tc>
          <w:tcPr>
            <w:tcW w:w="2940" w:type="dxa"/>
            <w:vAlign w:val="bottom"/>
          </w:tcPr>
          <w:p>
            <w:pPr>
              <w:ind w:left="2360"/>
              <w:spacing w:after="0" w:line="113" w:lineRule="exact"/>
              <w:rPr>
                <w:sz w:val="20"/>
                <w:szCs w:val="20"/>
                <w:color w:val="auto"/>
              </w:rPr>
            </w:pPr>
            <w:r>
              <w:rPr>
                <w:rFonts w:ascii="Arial" w:cs="Arial" w:eastAsia="Arial" w:hAnsi="Arial"/>
                <w:sz w:val="10"/>
                <w:szCs w:val="10"/>
                <w:color w:val="auto"/>
              </w:rPr>
              <w:t>—</w:t>
            </w:r>
          </w:p>
        </w:tc>
        <w:tc>
          <w:tcPr>
            <w:tcW w:w="1260" w:type="dxa"/>
            <w:vAlign w:val="bottom"/>
          </w:tcPr>
          <w:p>
            <w:pPr>
              <w:jc w:val="right"/>
              <w:ind w:right="372"/>
              <w:spacing w:after="0" w:line="113" w:lineRule="exact"/>
              <w:rPr>
                <w:sz w:val="20"/>
                <w:szCs w:val="20"/>
                <w:color w:val="auto"/>
              </w:rPr>
            </w:pPr>
            <w:r>
              <w:rPr>
                <w:rFonts w:ascii="Arial" w:cs="Arial" w:eastAsia="Arial" w:hAnsi="Arial"/>
                <w:sz w:val="10"/>
                <w:szCs w:val="10"/>
                <w:color w:val="auto"/>
              </w:rPr>
              <w:t>403</w:t>
            </w:r>
          </w:p>
        </w:tc>
        <w:tc>
          <w:tcPr>
            <w:tcW w:w="1420" w:type="dxa"/>
            <w:vAlign w:val="bottom"/>
          </w:tcPr>
          <w:p>
            <w:pPr>
              <w:jc w:val="right"/>
              <w:ind w:right="472"/>
              <w:spacing w:after="0" w:line="113" w:lineRule="exact"/>
              <w:rPr>
                <w:sz w:val="20"/>
                <w:szCs w:val="20"/>
                <w:color w:val="auto"/>
              </w:rPr>
            </w:pPr>
            <w:r>
              <w:rPr>
                <w:rFonts w:ascii="Arial" w:cs="Arial" w:eastAsia="Arial" w:hAnsi="Arial"/>
                <w:sz w:val="10"/>
                <w:szCs w:val="10"/>
                <w:color w:val="auto"/>
              </w:rPr>
              <w:t>—</w:t>
            </w: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403</w:t>
            </w:r>
          </w:p>
        </w:tc>
        <w:tc>
          <w:tcPr>
            <w:tcW w:w="0" w:type="dxa"/>
            <w:vAlign w:val="bottom"/>
          </w:tcPr>
          <w:p>
            <w:pPr>
              <w:spacing w:after="0"/>
              <w:rPr>
                <w:sz w:val="1"/>
                <w:szCs w:val="1"/>
                <w:color w:val="auto"/>
              </w:rPr>
            </w:pPr>
          </w:p>
        </w:tc>
      </w:tr>
      <w:tr>
        <w:trPr>
          <w:trHeight w:val="123"/>
        </w:trPr>
        <w:tc>
          <w:tcPr>
            <w:tcW w:w="4820" w:type="dxa"/>
            <w:vAlign w:val="bottom"/>
          </w:tcPr>
          <w:p>
            <w:pPr>
              <w:ind w:left="20"/>
              <w:spacing w:after="0"/>
              <w:rPr>
                <w:sz w:val="20"/>
                <w:szCs w:val="20"/>
                <w:color w:val="auto"/>
              </w:rPr>
            </w:pPr>
            <w:r>
              <w:rPr>
                <w:rFonts w:ascii="Arial" w:cs="Arial" w:eastAsia="Arial" w:hAnsi="Arial"/>
                <w:sz w:val="10"/>
                <w:szCs w:val="10"/>
                <w:color w:val="auto"/>
              </w:rPr>
              <w:t>Forward foreign exchange contracts</w:t>
            </w:r>
          </w:p>
        </w:tc>
        <w:tc>
          <w:tcPr>
            <w:tcW w:w="2940" w:type="dxa"/>
            <w:vAlign w:val="bottom"/>
          </w:tcPr>
          <w:p>
            <w:pPr>
              <w:ind w:left="2360"/>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352"/>
              <w:spacing w:after="0"/>
              <w:rPr>
                <w:sz w:val="20"/>
                <w:szCs w:val="20"/>
                <w:color w:val="auto"/>
              </w:rPr>
            </w:pPr>
            <w:r>
              <w:rPr>
                <w:rFonts w:ascii="Arial" w:cs="Arial" w:eastAsia="Arial" w:hAnsi="Arial"/>
                <w:sz w:val="10"/>
                <w:szCs w:val="10"/>
                <w:color w:val="auto"/>
              </w:rPr>
              <w:t>(375)</w:t>
            </w:r>
          </w:p>
        </w:tc>
        <w:tc>
          <w:tcPr>
            <w:tcW w:w="142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(375)</w:t>
            </w:r>
          </w:p>
        </w:tc>
        <w:tc>
          <w:tcPr>
            <w:tcW w:w="0" w:type="dxa"/>
            <w:vAlign w:val="bottom"/>
          </w:tcPr>
          <w:p>
            <w:pPr>
              <w:spacing w:after="0"/>
              <w:rPr>
                <w:sz w:val="1"/>
                <w:szCs w:val="1"/>
                <w:color w:val="auto"/>
              </w:rPr>
            </w:pPr>
          </w:p>
        </w:tc>
      </w:tr>
      <w:tr>
        <w:trPr>
          <w:trHeight w:val="126"/>
        </w:trPr>
        <w:tc>
          <w:tcPr>
            <w:tcW w:w="4820" w:type="dxa"/>
            <w:vAlign w:val="bottom"/>
          </w:tcPr>
          <w:p>
            <w:pPr>
              <w:ind w:left="20"/>
              <w:spacing w:after="0"/>
              <w:rPr>
                <w:sz w:val="20"/>
                <w:szCs w:val="20"/>
                <w:color w:val="auto"/>
              </w:rPr>
            </w:pPr>
            <w:r>
              <w:rPr>
                <w:rFonts w:ascii="Arial" w:cs="Arial" w:eastAsia="Arial" w:hAnsi="Arial"/>
                <w:sz w:val="10"/>
                <w:szCs w:val="10"/>
                <w:color w:val="auto"/>
              </w:rPr>
              <w:t>Currency swaps and options</w:t>
            </w:r>
          </w:p>
        </w:tc>
        <w:tc>
          <w:tcPr>
            <w:tcW w:w="2940" w:type="dxa"/>
            <w:vAlign w:val="bottom"/>
          </w:tcPr>
          <w:p>
            <w:pPr>
              <w:ind w:left="2360"/>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372"/>
              <w:spacing w:after="0"/>
              <w:rPr>
                <w:sz w:val="20"/>
                <w:szCs w:val="20"/>
                <w:color w:val="auto"/>
              </w:rPr>
            </w:pPr>
            <w:r>
              <w:rPr>
                <w:rFonts w:ascii="Arial" w:cs="Arial" w:eastAsia="Arial" w:hAnsi="Arial"/>
                <w:sz w:val="10"/>
                <w:szCs w:val="10"/>
                <w:color w:val="auto"/>
              </w:rPr>
              <w:t>1,560</w:t>
            </w:r>
          </w:p>
        </w:tc>
        <w:tc>
          <w:tcPr>
            <w:tcW w:w="142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1,560</w:t>
            </w:r>
          </w:p>
        </w:tc>
        <w:tc>
          <w:tcPr>
            <w:tcW w:w="0" w:type="dxa"/>
            <w:vAlign w:val="bottom"/>
          </w:tcPr>
          <w:p>
            <w:pPr>
              <w:spacing w:after="0"/>
              <w:rPr>
                <w:sz w:val="1"/>
                <w:szCs w:val="1"/>
                <w:color w:val="auto"/>
              </w:rPr>
            </w:pPr>
          </w:p>
        </w:tc>
      </w:tr>
      <w:tr>
        <w:trPr>
          <w:trHeight w:val="126"/>
        </w:trPr>
        <w:tc>
          <w:tcPr>
            <w:tcW w:w="4820" w:type="dxa"/>
            <w:vAlign w:val="bottom"/>
          </w:tcPr>
          <w:p>
            <w:pPr>
              <w:ind w:left="20"/>
              <w:spacing w:after="0"/>
              <w:rPr>
                <w:sz w:val="20"/>
                <w:szCs w:val="20"/>
                <w:color w:val="auto"/>
              </w:rPr>
            </w:pPr>
            <w:r>
              <w:rPr>
                <w:rFonts w:ascii="Arial" w:cs="Arial" w:eastAsia="Arial" w:hAnsi="Arial"/>
                <w:sz w:val="10"/>
                <w:szCs w:val="10"/>
                <w:color w:val="auto"/>
              </w:rPr>
              <w:t>Commodity derivatives</w:t>
            </w:r>
          </w:p>
        </w:tc>
        <w:tc>
          <w:tcPr>
            <w:tcW w:w="2940" w:type="dxa"/>
            <w:vAlign w:val="bottom"/>
          </w:tcPr>
          <w:p>
            <w:pPr>
              <w:ind w:left="2360"/>
              <w:spacing w:after="0"/>
              <w:rPr>
                <w:sz w:val="20"/>
                <w:szCs w:val="20"/>
                <w:color w:val="auto"/>
              </w:rPr>
            </w:pPr>
            <w:r>
              <w:rPr>
                <w:rFonts w:ascii="Arial" w:cs="Arial" w:eastAsia="Arial" w:hAnsi="Arial"/>
                <w:sz w:val="10"/>
                <w:szCs w:val="10"/>
                <w:color w:val="auto"/>
              </w:rPr>
              <w:t>37</w:t>
            </w:r>
          </w:p>
        </w:tc>
        <w:tc>
          <w:tcPr>
            <w:tcW w:w="1260" w:type="dxa"/>
            <w:vAlign w:val="bottom"/>
          </w:tcPr>
          <w:p>
            <w:pPr>
              <w:jc w:val="right"/>
              <w:ind w:right="352"/>
              <w:spacing w:after="0"/>
              <w:rPr>
                <w:sz w:val="20"/>
                <w:szCs w:val="20"/>
                <w:color w:val="auto"/>
              </w:rPr>
            </w:pPr>
            <w:r>
              <w:rPr>
                <w:rFonts w:ascii="Arial" w:cs="Arial" w:eastAsia="Arial" w:hAnsi="Arial"/>
                <w:sz w:val="10"/>
                <w:szCs w:val="10"/>
                <w:color w:val="auto"/>
              </w:rPr>
              <w:t>(237)</w:t>
            </w:r>
          </w:p>
        </w:tc>
        <w:tc>
          <w:tcPr>
            <w:tcW w:w="1420" w:type="dxa"/>
            <w:vAlign w:val="bottom"/>
          </w:tcPr>
          <w:p>
            <w:pPr>
              <w:jc w:val="right"/>
              <w:ind w:right="472"/>
              <w:spacing w:after="0"/>
              <w:rPr>
                <w:sz w:val="20"/>
                <w:szCs w:val="20"/>
                <w:color w:val="auto"/>
              </w:rPr>
            </w:pPr>
            <w:r>
              <w:rPr>
                <w:rFonts w:ascii="Arial" w:cs="Arial" w:eastAsia="Arial" w:hAnsi="Arial"/>
                <w:sz w:val="10"/>
                <w:szCs w:val="10"/>
                <w:color w:val="auto"/>
              </w:rPr>
              <w:t>1,077</w:t>
            </w:r>
          </w:p>
        </w:tc>
        <w:tc>
          <w:tcPr>
            <w:tcW w:w="840" w:type="dxa"/>
            <w:vAlign w:val="bottom"/>
          </w:tcPr>
          <w:p>
            <w:pPr>
              <w:jc w:val="right"/>
              <w:spacing w:after="0"/>
              <w:rPr>
                <w:sz w:val="20"/>
                <w:szCs w:val="20"/>
                <w:color w:val="auto"/>
              </w:rPr>
            </w:pPr>
            <w:r>
              <w:rPr>
                <w:rFonts w:ascii="Arial" w:cs="Arial" w:eastAsia="Arial" w:hAnsi="Arial"/>
                <w:sz w:val="10"/>
                <w:szCs w:val="10"/>
                <w:color w:val="auto"/>
              </w:rPr>
              <w:t>877</w:t>
            </w:r>
          </w:p>
        </w:tc>
        <w:tc>
          <w:tcPr>
            <w:tcW w:w="0" w:type="dxa"/>
            <w:vAlign w:val="bottom"/>
          </w:tcPr>
          <w:p>
            <w:pPr>
              <w:spacing w:after="0"/>
              <w:rPr>
                <w:sz w:val="1"/>
                <w:szCs w:val="1"/>
                <w:color w:val="auto"/>
              </w:rPr>
            </w:pPr>
          </w:p>
        </w:tc>
      </w:tr>
      <w:tr>
        <w:trPr>
          <w:trHeight w:val="13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Other contracts</w:t>
            </w:r>
          </w:p>
        </w:tc>
        <w:tc>
          <w:tcPr>
            <w:tcW w:w="2940" w:type="dxa"/>
            <w:vAlign w:val="bottom"/>
            <w:tcBorders>
              <w:bottom w:val="single" w:sz="8" w:color="auto"/>
            </w:tcBorders>
          </w:tcPr>
          <w:p>
            <w:pPr>
              <w:ind w:left="2360"/>
              <w:spacing w:after="0"/>
              <w:rPr>
                <w:sz w:val="20"/>
                <w:szCs w:val="20"/>
                <w:color w:val="auto"/>
              </w:rPr>
            </w:pPr>
            <w:r>
              <w:rPr>
                <w:rFonts w:ascii="Arial" w:cs="Arial" w:eastAsia="Arial" w:hAnsi="Arial"/>
                <w:sz w:val="10"/>
                <w:szCs w:val="10"/>
                <w:color w:val="auto"/>
              </w:rPr>
              <w:t>20</w:t>
            </w: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375</w:t>
            </w: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395</w:t>
            </w:r>
          </w:p>
        </w:tc>
        <w:tc>
          <w:tcPr>
            <w:tcW w:w="0" w:type="dxa"/>
            <w:vAlign w:val="bottom"/>
          </w:tcPr>
          <w:p>
            <w:pPr>
              <w:spacing w:after="0"/>
              <w:rPr>
                <w:sz w:val="1"/>
                <w:szCs w:val="1"/>
                <w:color w:val="auto"/>
              </w:rPr>
            </w:pPr>
          </w:p>
        </w:tc>
      </w:tr>
      <w:tr>
        <w:trPr>
          <w:trHeight w:val="117"/>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2940" w:type="dxa"/>
            <w:vAlign w:val="bottom"/>
            <w:tcBorders>
              <w:bottom w:val="single" w:sz="8" w:color="auto"/>
            </w:tcBorders>
          </w:tcPr>
          <w:p>
            <w:pPr>
              <w:ind w:left="2360"/>
              <w:spacing w:after="0"/>
              <w:rPr>
                <w:sz w:val="20"/>
                <w:szCs w:val="20"/>
                <w:color w:val="auto"/>
              </w:rPr>
            </w:pPr>
            <w:r>
              <w:rPr>
                <w:rFonts w:ascii="Arial" w:cs="Arial" w:eastAsia="Arial" w:hAnsi="Arial"/>
                <w:sz w:val="10"/>
                <w:szCs w:val="10"/>
                <w:color w:val="auto"/>
              </w:rPr>
              <w:t>57</w:t>
            </w: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1,726</w:t>
            </w: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1,077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2,860</w:t>
            </w:r>
          </w:p>
        </w:tc>
        <w:tc>
          <w:tcPr>
            <w:tcW w:w="0" w:type="dxa"/>
            <w:vAlign w:val="bottom"/>
          </w:tcPr>
          <w:p>
            <w:pPr>
              <w:spacing w:after="0"/>
              <w:rPr>
                <w:sz w:val="1"/>
                <w:szCs w:val="1"/>
                <w:color w:val="auto"/>
              </w:rPr>
            </w:pPr>
          </w:p>
        </w:tc>
      </w:tr>
      <w:tr>
        <w:trPr>
          <w:trHeight w:val="79"/>
        </w:trPr>
        <w:tc>
          <w:tcPr>
            <w:tcW w:w="4820" w:type="dxa"/>
            <w:vAlign w:val="bottom"/>
            <w:tcBorders>
              <w:bottom w:val="single" w:sz="8" w:color="CDCDCD"/>
            </w:tcBorders>
          </w:tcPr>
          <w:p>
            <w:pPr>
              <w:spacing w:after="0"/>
              <w:rPr>
                <w:sz w:val="6"/>
                <w:szCs w:val="6"/>
                <w:color w:val="auto"/>
              </w:rPr>
            </w:pPr>
          </w:p>
        </w:tc>
        <w:tc>
          <w:tcPr>
            <w:tcW w:w="2940" w:type="dxa"/>
            <w:vAlign w:val="bottom"/>
            <w:tcBorders>
              <w:bottom w:val="single" w:sz="8" w:color="CDCDCD"/>
            </w:tcBorders>
          </w:tcPr>
          <w:p>
            <w:pPr>
              <w:spacing w:after="0"/>
              <w:rPr>
                <w:sz w:val="6"/>
                <w:szCs w:val="6"/>
                <w:color w:val="auto"/>
              </w:rPr>
            </w:pPr>
          </w:p>
        </w:tc>
        <w:tc>
          <w:tcPr>
            <w:tcW w:w="1260" w:type="dxa"/>
            <w:vAlign w:val="bottom"/>
            <w:tcBorders>
              <w:bottom w:val="single" w:sz="8" w:color="CDCDCD"/>
            </w:tcBorders>
          </w:tcPr>
          <w:p>
            <w:pPr>
              <w:spacing w:after="0"/>
              <w:rPr>
                <w:sz w:val="6"/>
                <w:szCs w:val="6"/>
                <w:color w:val="auto"/>
              </w:rPr>
            </w:pPr>
          </w:p>
        </w:tc>
        <w:tc>
          <w:tcPr>
            <w:tcW w:w="1420" w:type="dxa"/>
            <w:vAlign w:val="bottom"/>
            <w:tcBorders>
              <w:bottom w:val="single" w:sz="8" w:color="CDCDCD"/>
            </w:tcBorders>
          </w:tcPr>
          <w:p>
            <w:pPr>
              <w:spacing w:after="0"/>
              <w:rPr>
                <w:sz w:val="6"/>
                <w:szCs w:val="6"/>
                <w:color w:val="auto"/>
              </w:rPr>
            </w:pPr>
          </w:p>
        </w:tc>
        <w:tc>
          <w:tcPr>
            <w:tcW w:w="840" w:type="dxa"/>
            <w:vAlign w:val="bottom"/>
            <w:tcBorders>
              <w:bottom w:val="single" w:sz="8" w:color="CDCDCD"/>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820" w:type="dxa"/>
            <w:vAlign w:val="bottom"/>
          </w:tcPr>
          <w:p>
            <w:pPr>
              <w:ind w:left="20"/>
              <w:spacing w:after="0"/>
              <w:rPr>
                <w:sz w:val="20"/>
                <w:szCs w:val="20"/>
                <w:color w:val="auto"/>
              </w:rPr>
            </w:pPr>
            <w:r>
              <w:rPr>
                <w:rFonts w:ascii="Arial" w:cs="Arial" w:eastAsia="Arial" w:hAnsi="Arial"/>
                <w:sz w:val="10"/>
                <w:szCs w:val="10"/>
                <w:color w:val="auto"/>
              </w:rPr>
              <w:t>2019</w:t>
            </w:r>
          </w:p>
        </w:tc>
        <w:tc>
          <w:tcPr>
            <w:tcW w:w="2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95"/>
        </w:trPr>
        <w:tc>
          <w:tcPr>
            <w:tcW w:w="4820" w:type="dxa"/>
            <w:vAlign w:val="bottom"/>
          </w:tcPr>
          <w:p>
            <w:pPr>
              <w:spacing w:after="0"/>
              <w:rPr>
                <w:sz w:val="8"/>
                <w:szCs w:val="8"/>
                <w:color w:val="auto"/>
              </w:rPr>
            </w:pPr>
          </w:p>
        </w:tc>
        <w:tc>
          <w:tcPr>
            <w:tcW w:w="2940" w:type="dxa"/>
            <w:vAlign w:val="bottom"/>
            <w:vMerge w:val="restart"/>
          </w:tcPr>
          <w:p>
            <w:pPr>
              <w:jc w:val="right"/>
              <w:ind w:right="412"/>
              <w:spacing w:after="0"/>
              <w:rPr>
                <w:sz w:val="20"/>
                <w:szCs w:val="20"/>
                <w:color w:val="auto"/>
              </w:rPr>
            </w:pPr>
            <w:r>
              <w:rPr>
                <w:rFonts w:ascii="Arial" w:cs="Arial" w:eastAsia="Arial" w:hAnsi="Arial"/>
                <w:sz w:val="10"/>
                <w:szCs w:val="10"/>
                <w:color w:val="auto"/>
              </w:rPr>
              <w:t>Prices in active markets for identical</w:t>
            </w:r>
          </w:p>
        </w:tc>
        <w:tc>
          <w:tcPr>
            <w:tcW w:w="1260" w:type="dxa"/>
            <w:vAlign w:val="bottom"/>
          </w:tcPr>
          <w:p>
            <w:pPr>
              <w:jc w:val="right"/>
              <w:ind w:right="352"/>
              <w:spacing w:after="0" w:line="95" w:lineRule="exact"/>
              <w:rPr>
                <w:sz w:val="20"/>
                <w:szCs w:val="20"/>
                <w:color w:val="auto"/>
              </w:rPr>
            </w:pPr>
            <w:r>
              <w:rPr>
                <w:rFonts w:ascii="Arial" w:cs="Arial" w:eastAsia="Arial" w:hAnsi="Arial"/>
                <w:sz w:val="10"/>
                <w:szCs w:val="10"/>
                <w:color w:val="auto"/>
              </w:rPr>
              <w:t>Other</w:t>
            </w:r>
          </w:p>
        </w:tc>
        <w:tc>
          <w:tcPr>
            <w:tcW w:w="1420" w:type="dxa"/>
            <w:vAlign w:val="bottom"/>
            <w:vMerge w:val="restart"/>
          </w:tcPr>
          <w:p>
            <w:pPr>
              <w:jc w:val="right"/>
              <w:ind w:right="432"/>
              <w:spacing w:after="0"/>
              <w:rPr>
                <w:sz w:val="20"/>
                <w:szCs w:val="20"/>
                <w:color w:val="auto"/>
              </w:rPr>
            </w:pPr>
            <w:r>
              <w:rPr>
                <w:rFonts w:ascii="Arial" w:cs="Arial" w:eastAsia="Arial" w:hAnsi="Arial"/>
                <w:sz w:val="10"/>
                <w:szCs w:val="10"/>
                <w:color w:val="auto"/>
              </w:rPr>
              <w:t>Unobservable</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820" w:type="dxa"/>
            <w:vAlign w:val="bottom"/>
          </w:tcPr>
          <w:p>
            <w:pPr>
              <w:spacing w:after="0"/>
              <w:rPr>
                <w:sz w:val="7"/>
                <w:szCs w:val="7"/>
                <w:color w:val="auto"/>
              </w:rPr>
            </w:pPr>
          </w:p>
        </w:tc>
        <w:tc>
          <w:tcPr>
            <w:tcW w:w="2940" w:type="dxa"/>
            <w:vAlign w:val="bottom"/>
            <w:vMerge w:val="continue"/>
          </w:tcPr>
          <w:p>
            <w:pPr>
              <w:spacing w:after="0"/>
              <w:rPr>
                <w:sz w:val="7"/>
                <w:szCs w:val="7"/>
                <w:color w:val="auto"/>
              </w:rPr>
            </w:pPr>
          </w:p>
        </w:tc>
        <w:tc>
          <w:tcPr>
            <w:tcW w:w="1260" w:type="dxa"/>
            <w:vAlign w:val="bottom"/>
          </w:tcPr>
          <w:p>
            <w:pPr>
              <w:jc w:val="right"/>
              <w:ind w:right="352"/>
              <w:spacing w:after="0" w:line="90" w:lineRule="exact"/>
              <w:rPr>
                <w:sz w:val="20"/>
                <w:szCs w:val="20"/>
                <w:color w:val="auto"/>
              </w:rPr>
            </w:pPr>
            <w:r>
              <w:rPr>
                <w:rFonts w:ascii="Arial" w:cs="Arial" w:eastAsia="Arial" w:hAnsi="Arial"/>
                <w:sz w:val="10"/>
                <w:szCs w:val="10"/>
                <w:color w:val="auto"/>
              </w:rPr>
              <w:t>observable</w:t>
            </w:r>
          </w:p>
        </w:tc>
        <w:tc>
          <w:tcPr>
            <w:tcW w:w="1420" w:type="dxa"/>
            <w:vAlign w:val="bottom"/>
            <w:vMerge w:val="continue"/>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48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assets/liabilities</w:t>
            </w:r>
          </w:p>
        </w:tc>
        <w:tc>
          <w:tcPr>
            <w:tcW w:w="12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inputs</w:t>
            </w:r>
          </w:p>
        </w:tc>
        <w:tc>
          <w:tcPr>
            <w:tcW w:w="142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inputs</w:t>
            </w:r>
          </w:p>
        </w:tc>
        <w:tc>
          <w:tcPr>
            <w:tcW w:w="8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820" w:type="dxa"/>
            <w:vAlign w:val="bottom"/>
          </w:tcPr>
          <w:p>
            <w:pPr>
              <w:ind w:left="20"/>
              <w:spacing w:after="0" w:line="113" w:lineRule="exact"/>
              <w:rPr>
                <w:sz w:val="20"/>
                <w:szCs w:val="20"/>
                <w:color w:val="auto"/>
              </w:rPr>
            </w:pPr>
            <w:r>
              <w:rPr>
                <w:rFonts w:ascii="Arial" w:cs="Arial" w:eastAsia="Arial" w:hAnsi="Arial"/>
                <w:sz w:val="10"/>
                <w:szCs w:val="10"/>
                <w:color w:val="auto"/>
              </w:rPr>
              <w:t>Interest rate swaps</w:t>
            </w:r>
          </w:p>
        </w:tc>
        <w:tc>
          <w:tcPr>
            <w:tcW w:w="2940" w:type="dxa"/>
            <w:vAlign w:val="bottom"/>
          </w:tcPr>
          <w:p>
            <w:pPr>
              <w:ind w:left="2360"/>
              <w:spacing w:after="0" w:line="113" w:lineRule="exact"/>
              <w:rPr>
                <w:sz w:val="20"/>
                <w:szCs w:val="20"/>
                <w:color w:val="auto"/>
              </w:rPr>
            </w:pPr>
            <w:r>
              <w:rPr>
                <w:rFonts w:ascii="Arial" w:cs="Arial" w:eastAsia="Arial" w:hAnsi="Arial"/>
                <w:sz w:val="10"/>
                <w:szCs w:val="10"/>
                <w:color w:val="auto"/>
              </w:rPr>
              <w:t>—</w:t>
            </w:r>
          </w:p>
        </w:tc>
        <w:tc>
          <w:tcPr>
            <w:tcW w:w="1260" w:type="dxa"/>
            <w:vAlign w:val="bottom"/>
          </w:tcPr>
          <w:p>
            <w:pPr>
              <w:jc w:val="right"/>
              <w:ind w:right="372"/>
              <w:spacing w:after="0" w:line="113" w:lineRule="exact"/>
              <w:rPr>
                <w:sz w:val="20"/>
                <w:szCs w:val="20"/>
                <w:color w:val="auto"/>
              </w:rPr>
            </w:pPr>
            <w:r>
              <w:rPr>
                <w:rFonts w:ascii="Arial" w:cs="Arial" w:eastAsia="Arial" w:hAnsi="Arial"/>
                <w:sz w:val="10"/>
                <w:szCs w:val="10"/>
                <w:color w:val="auto"/>
              </w:rPr>
              <w:t>177</w:t>
            </w:r>
          </w:p>
        </w:tc>
        <w:tc>
          <w:tcPr>
            <w:tcW w:w="1420" w:type="dxa"/>
            <w:vAlign w:val="bottom"/>
          </w:tcPr>
          <w:p>
            <w:pPr>
              <w:jc w:val="right"/>
              <w:ind w:right="472"/>
              <w:spacing w:after="0" w:line="113" w:lineRule="exact"/>
              <w:rPr>
                <w:sz w:val="20"/>
                <w:szCs w:val="20"/>
                <w:color w:val="auto"/>
              </w:rPr>
            </w:pPr>
            <w:r>
              <w:rPr>
                <w:rFonts w:ascii="Arial" w:cs="Arial" w:eastAsia="Arial" w:hAnsi="Arial"/>
                <w:sz w:val="10"/>
                <w:szCs w:val="10"/>
                <w:color w:val="auto"/>
              </w:rPr>
              <w:t>—</w:t>
            </w: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177</w:t>
            </w:r>
          </w:p>
        </w:tc>
        <w:tc>
          <w:tcPr>
            <w:tcW w:w="0" w:type="dxa"/>
            <w:vAlign w:val="bottom"/>
          </w:tcPr>
          <w:p>
            <w:pPr>
              <w:spacing w:after="0"/>
              <w:rPr>
                <w:sz w:val="1"/>
                <w:szCs w:val="1"/>
                <w:color w:val="auto"/>
              </w:rPr>
            </w:pPr>
          </w:p>
        </w:tc>
      </w:tr>
      <w:tr>
        <w:trPr>
          <w:trHeight w:val="123"/>
        </w:trPr>
        <w:tc>
          <w:tcPr>
            <w:tcW w:w="4820" w:type="dxa"/>
            <w:vAlign w:val="bottom"/>
          </w:tcPr>
          <w:p>
            <w:pPr>
              <w:ind w:left="20"/>
              <w:spacing w:after="0"/>
              <w:rPr>
                <w:sz w:val="20"/>
                <w:szCs w:val="20"/>
                <w:color w:val="auto"/>
              </w:rPr>
            </w:pPr>
            <w:r>
              <w:rPr>
                <w:rFonts w:ascii="Arial" w:cs="Arial" w:eastAsia="Arial" w:hAnsi="Arial"/>
                <w:sz w:val="10"/>
                <w:szCs w:val="10"/>
                <w:color w:val="auto"/>
              </w:rPr>
              <w:t>Forward foreign exchange contracts</w:t>
            </w:r>
          </w:p>
        </w:tc>
        <w:tc>
          <w:tcPr>
            <w:tcW w:w="2940" w:type="dxa"/>
            <w:vAlign w:val="bottom"/>
          </w:tcPr>
          <w:p>
            <w:pPr>
              <w:ind w:left="2360"/>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352"/>
              <w:spacing w:after="0"/>
              <w:rPr>
                <w:sz w:val="20"/>
                <w:szCs w:val="20"/>
                <w:color w:val="auto"/>
              </w:rPr>
            </w:pPr>
            <w:r>
              <w:rPr>
                <w:rFonts w:ascii="Arial" w:cs="Arial" w:eastAsia="Arial" w:hAnsi="Arial"/>
                <w:sz w:val="10"/>
                <w:szCs w:val="10"/>
                <w:color w:val="auto"/>
              </w:rPr>
              <w:t>(68)</w:t>
            </w:r>
          </w:p>
        </w:tc>
        <w:tc>
          <w:tcPr>
            <w:tcW w:w="142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(68)</w:t>
            </w:r>
          </w:p>
        </w:tc>
        <w:tc>
          <w:tcPr>
            <w:tcW w:w="0" w:type="dxa"/>
            <w:vAlign w:val="bottom"/>
          </w:tcPr>
          <w:p>
            <w:pPr>
              <w:spacing w:after="0"/>
              <w:rPr>
                <w:sz w:val="1"/>
                <w:szCs w:val="1"/>
                <w:color w:val="auto"/>
              </w:rPr>
            </w:pPr>
          </w:p>
        </w:tc>
      </w:tr>
      <w:tr>
        <w:trPr>
          <w:trHeight w:val="126"/>
        </w:trPr>
        <w:tc>
          <w:tcPr>
            <w:tcW w:w="4820" w:type="dxa"/>
            <w:vAlign w:val="bottom"/>
          </w:tcPr>
          <w:p>
            <w:pPr>
              <w:ind w:left="20"/>
              <w:spacing w:after="0"/>
              <w:rPr>
                <w:sz w:val="20"/>
                <w:szCs w:val="20"/>
                <w:color w:val="auto"/>
              </w:rPr>
            </w:pPr>
            <w:r>
              <w:rPr>
                <w:rFonts w:ascii="Arial" w:cs="Arial" w:eastAsia="Arial" w:hAnsi="Arial"/>
                <w:sz w:val="10"/>
                <w:szCs w:val="10"/>
                <w:color w:val="auto"/>
              </w:rPr>
              <w:t>Currency swaps and options</w:t>
            </w:r>
          </w:p>
        </w:tc>
        <w:tc>
          <w:tcPr>
            <w:tcW w:w="2940" w:type="dxa"/>
            <w:vAlign w:val="bottom"/>
          </w:tcPr>
          <w:p>
            <w:pPr>
              <w:ind w:left="2360"/>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352"/>
              <w:spacing w:after="0"/>
              <w:rPr>
                <w:sz w:val="20"/>
                <w:szCs w:val="20"/>
                <w:color w:val="auto"/>
              </w:rPr>
            </w:pPr>
            <w:r>
              <w:rPr>
                <w:rFonts w:ascii="Arial" w:cs="Arial" w:eastAsia="Arial" w:hAnsi="Arial"/>
                <w:sz w:val="10"/>
                <w:szCs w:val="10"/>
                <w:color w:val="auto"/>
              </w:rPr>
              <w:t>(883)</w:t>
            </w:r>
          </w:p>
        </w:tc>
        <w:tc>
          <w:tcPr>
            <w:tcW w:w="142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(883)</w:t>
            </w:r>
          </w:p>
        </w:tc>
        <w:tc>
          <w:tcPr>
            <w:tcW w:w="0" w:type="dxa"/>
            <w:vAlign w:val="bottom"/>
          </w:tcPr>
          <w:p>
            <w:pPr>
              <w:spacing w:after="0"/>
              <w:rPr>
                <w:sz w:val="1"/>
                <w:szCs w:val="1"/>
                <w:color w:val="auto"/>
              </w:rPr>
            </w:pPr>
          </w:p>
        </w:tc>
      </w:tr>
      <w:tr>
        <w:trPr>
          <w:trHeight w:val="126"/>
        </w:trPr>
        <w:tc>
          <w:tcPr>
            <w:tcW w:w="4820" w:type="dxa"/>
            <w:vAlign w:val="bottom"/>
          </w:tcPr>
          <w:p>
            <w:pPr>
              <w:ind w:left="20"/>
              <w:spacing w:after="0"/>
              <w:rPr>
                <w:sz w:val="20"/>
                <w:szCs w:val="20"/>
                <w:color w:val="auto"/>
              </w:rPr>
            </w:pPr>
            <w:r>
              <w:rPr>
                <w:rFonts w:ascii="Arial" w:cs="Arial" w:eastAsia="Arial" w:hAnsi="Arial"/>
                <w:sz w:val="10"/>
                <w:szCs w:val="10"/>
                <w:color w:val="auto"/>
              </w:rPr>
              <w:t>Commodity derivatives</w:t>
            </w:r>
          </w:p>
        </w:tc>
        <w:tc>
          <w:tcPr>
            <w:tcW w:w="2940" w:type="dxa"/>
            <w:vAlign w:val="bottom"/>
          </w:tcPr>
          <w:p>
            <w:pPr>
              <w:ind w:left="2360"/>
              <w:spacing w:after="0"/>
              <w:rPr>
                <w:sz w:val="20"/>
                <w:szCs w:val="20"/>
                <w:color w:val="auto"/>
              </w:rPr>
            </w:pPr>
            <w:r>
              <w:rPr>
                <w:rFonts w:ascii="Arial" w:cs="Arial" w:eastAsia="Arial" w:hAnsi="Arial"/>
                <w:sz w:val="10"/>
                <w:szCs w:val="10"/>
                <w:color w:val="auto"/>
              </w:rPr>
              <w:t>(6)</w:t>
            </w:r>
          </w:p>
        </w:tc>
        <w:tc>
          <w:tcPr>
            <w:tcW w:w="1260" w:type="dxa"/>
            <w:vAlign w:val="bottom"/>
          </w:tcPr>
          <w:p>
            <w:pPr>
              <w:jc w:val="right"/>
              <w:ind w:right="372"/>
              <w:spacing w:after="0"/>
              <w:rPr>
                <w:sz w:val="20"/>
                <w:szCs w:val="20"/>
                <w:color w:val="auto"/>
              </w:rPr>
            </w:pPr>
            <w:r>
              <w:rPr>
                <w:rFonts w:ascii="Arial" w:cs="Arial" w:eastAsia="Arial" w:hAnsi="Arial"/>
                <w:sz w:val="10"/>
                <w:szCs w:val="10"/>
                <w:color w:val="auto"/>
              </w:rPr>
              <w:t>895</w:t>
            </w:r>
          </w:p>
        </w:tc>
        <w:tc>
          <w:tcPr>
            <w:tcW w:w="1420" w:type="dxa"/>
            <w:vAlign w:val="bottom"/>
          </w:tcPr>
          <w:p>
            <w:pPr>
              <w:jc w:val="right"/>
              <w:ind w:right="472"/>
              <w:spacing w:after="0"/>
              <w:rPr>
                <w:sz w:val="20"/>
                <w:szCs w:val="20"/>
                <w:color w:val="auto"/>
              </w:rPr>
            </w:pPr>
            <w:r>
              <w:rPr>
                <w:rFonts w:ascii="Arial" w:cs="Arial" w:eastAsia="Arial" w:hAnsi="Arial"/>
                <w:sz w:val="10"/>
                <w:szCs w:val="10"/>
                <w:color w:val="auto"/>
              </w:rPr>
              <w:t>744</w:t>
            </w:r>
          </w:p>
        </w:tc>
        <w:tc>
          <w:tcPr>
            <w:tcW w:w="840" w:type="dxa"/>
            <w:vAlign w:val="bottom"/>
          </w:tcPr>
          <w:p>
            <w:pPr>
              <w:jc w:val="right"/>
              <w:spacing w:after="0"/>
              <w:rPr>
                <w:sz w:val="20"/>
                <w:szCs w:val="20"/>
                <w:color w:val="auto"/>
              </w:rPr>
            </w:pPr>
            <w:r>
              <w:rPr>
                <w:rFonts w:ascii="Arial" w:cs="Arial" w:eastAsia="Arial" w:hAnsi="Arial"/>
                <w:sz w:val="10"/>
                <w:szCs w:val="10"/>
                <w:color w:val="auto"/>
              </w:rPr>
              <w:t>1,633</w:t>
            </w:r>
          </w:p>
        </w:tc>
        <w:tc>
          <w:tcPr>
            <w:tcW w:w="0" w:type="dxa"/>
            <w:vAlign w:val="bottom"/>
          </w:tcPr>
          <w:p>
            <w:pPr>
              <w:spacing w:after="0"/>
              <w:rPr>
                <w:sz w:val="1"/>
                <w:szCs w:val="1"/>
                <w:color w:val="auto"/>
              </w:rPr>
            </w:pPr>
          </w:p>
        </w:tc>
      </w:tr>
      <w:tr>
        <w:trPr>
          <w:trHeight w:val="13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Other contracts</w:t>
            </w:r>
          </w:p>
        </w:tc>
        <w:tc>
          <w:tcPr>
            <w:tcW w:w="2940" w:type="dxa"/>
            <w:vAlign w:val="bottom"/>
            <w:tcBorders>
              <w:bottom w:val="single" w:sz="8" w:color="auto"/>
            </w:tcBorders>
          </w:tcPr>
          <w:p>
            <w:pPr>
              <w:ind w:left="2360"/>
              <w:spacing w:after="0"/>
              <w:rPr>
                <w:sz w:val="20"/>
                <w:szCs w:val="20"/>
                <w:color w:val="auto"/>
              </w:rPr>
            </w:pPr>
            <w:r>
              <w:rPr>
                <w:rFonts w:ascii="Arial" w:cs="Arial" w:eastAsia="Arial" w:hAnsi="Arial"/>
                <w:sz w:val="10"/>
                <w:szCs w:val="10"/>
                <w:color w:val="auto"/>
              </w:rPr>
              <w:t>27</w:t>
            </w: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304</w:t>
            </w: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341</w:t>
            </w:r>
          </w:p>
        </w:tc>
        <w:tc>
          <w:tcPr>
            <w:tcW w:w="0" w:type="dxa"/>
            <w:vAlign w:val="bottom"/>
          </w:tcPr>
          <w:p>
            <w:pPr>
              <w:spacing w:after="0"/>
              <w:rPr>
                <w:sz w:val="1"/>
                <w:szCs w:val="1"/>
                <w:color w:val="auto"/>
              </w:rPr>
            </w:pPr>
          </w:p>
        </w:tc>
      </w:tr>
      <w:tr>
        <w:trPr>
          <w:trHeight w:val="117"/>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2940" w:type="dxa"/>
            <w:vAlign w:val="bottom"/>
            <w:tcBorders>
              <w:bottom w:val="single" w:sz="8" w:color="auto"/>
            </w:tcBorders>
          </w:tcPr>
          <w:p>
            <w:pPr>
              <w:ind w:left="2360"/>
              <w:spacing w:after="0"/>
              <w:rPr>
                <w:sz w:val="20"/>
                <w:szCs w:val="20"/>
                <w:color w:val="auto"/>
              </w:rPr>
            </w:pPr>
            <w:r>
              <w:rPr>
                <w:rFonts w:ascii="Arial" w:cs="Arial" w:eastAsia="Arial" w:hAnsi="Arial"/>
                <w:sz w:val="10"/>
                <w:szCs w:val="10"/>
                <w:color w:val="auto"/>
              </w:rPr>
              <w:t>21</w:t>
            </w: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425</w:t>
            </w: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754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1,200</w:t>
            </w:r>
          </w:p>
        </w:tc>
        <w:tc>
          <w:tcPr>
            <w:tcW w:w="0" w:type="dxa"/>
            <w:vAlign w:val="bottom"/>
          </w:tcPr>
          <w:p>
            <w:pPr>
              <w:spacing w:after="0"/>
              <w:rPr>
                <w:sz w:val="1"/>
                <w:szCs w:val="1"/>
                <w:color w:val="auto"/>
              </w:rPr>
            </w:pPr>
          </w:p>
        </w:tc>
      </w:tr>
      <w:tr>
        <w:trPr>
          <w:trHeight w:val="313"/>
        </w:trPr>
        <w:tc>
          <w:tcPr>
            <w:tcW w:w="4820" w:type="dxa"/>
            <w:vAlign w:val="bottom"/>
            <w:tcBorders>
              <w:bottom w:val="single" w:sz="8" w:color="CDCDCD"/>
            </w:tcBorders>
          </w:tcPr>
          <w:p>
            <w:pPr>
              <w:spacing w:after="0"/>
              <w:rPr>
                <w:sz w:val="24"/>
                <w:szCs w:val="24"/>
                <w:color w:val="auto"/>
              </w:rPr>
            </w:pPr>
          </w:p>
        </w:tc>
        <w:tc>
          <w:tcPr>
            <w:tcW w:w="2940" w:type="dxa"/>
            <w:vAlign w:val="bottom"/>
            <w:tcBorders>
              <w:bottom w:val="single" w:sz="8" w:color="CDCDCD"/>
            </w:tcBorders>
          </w:tcPr>
          <w:p>
            <w:pPr>
              <w:spacing w:after="0"/>
              <w:rPr>
                <w:sz w:val="24"/>
                <w:szCs w:val="24"/>
                <w:color w:val="auto"/>
              </w:rPr>
            </w:pPr>
          </w:p>
        </w:tc>
        <w:tc>
          <w:tcPr>
            <w:tcW w:w="1260" w:type="dxa"/>
            <w:vAlign w:val="bottom"/>
            <w:tcBorders>
              <w:bottom w:val="single" w:sz="8" w:color="CDCDCD"/>
            </w:tcBorders>
          </w:tcPr>
          <w:p>
            <w:pPr>
              <w:spacing w:after="0"/>
              <w:rPr>
                <w:sz w:val="24"/>
                <w:szCs w:val="24"/>
                <w:color w:val="auto"/>
              </w:rPr>
            </w:pPr>
          </w:p>
        </w:tc>
        <w:tc>
          <w:tcPr>
            <w:tcW w:w="1420" w:type="dxa"/>
            <w:vAlign w:val="bottom"/>
            <w:tcBorders>
              <w:bottom w:val="single" w:sz="8" w:color="CDCDCD"/>
            </w:tcBorders>
          </w:tcPr>
          <w:p>
            <w:pPr>
              <w:spacing w:after="0"/>
              <w:rPr>
                <w:sz w:val="24"/>
                <w:szCs w:val="24"/>
                <w:color w:val="auto"/>
              </w:rPr>
            </w:pPr>
          </w:p>
        </w:tc>
        <w:tc>
          <w:tcPr>
            <w:tcW w:w="840" w:type="dxa"/>
            <w:vAlign w:val="bottom"/>
            <w:tcBorders>
              <w:bottom w:val="single" w:sz="8" w:color="CDCDCD"/>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820" w:type="dxa"/>
            <w:vAlign w:val="bottom"/>
          </w:tcPr>
          <w:p>
            <w:pPr>
              <w:ind w:left="20"/>
              <w:spacing w:after="0"/>
              <w:rPr>
                <w:sz w:val="20"/>
                <w:szCs w:val="20"/>
                <w:color w:val="auto"/>
              </w:rPr>
            </w:pPr>
            <w:r>
              <w:rPr>
                <w:rFonts w:ascii="Arial" w:cs="Arial" w:eastAsia="Arial" w:hAnsi="Arial"/>
                <w:sz w:val="10"/>
                <w:szCs w:val="10"/>
                <w:color w:val="auto"/>
              </w:rPr>
              <w:t>Net carrying amounts of derivative contracts measured using predominantly unobservable inputs</w:t>
            </w:r>
          </w:p>
        </w:tc>
        <w:tc>
          <w:tcPr>
            <w:tcW w:w="2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7"/>
        </w:trPr>
        <w:tc>
          <w:tcPr>
            <w:tcW w:w="482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0" w:type="dxa"/>
            <w:vAlign w:val="bottom"/>
          </w:tcPr>
          <w:p>
            <w:pPr>
              <w:spacing w:after="0"/>
              <w:rPr>
                <w:sz w:val="1"/>
                <w:szCs w:val="1"/>
                <w:color w:val="auto"/>
              </w:rPr>
            </w:pPr>
          </w:p>
        </w:tc>
      </w:tr>
      <w:tr>
        <w:trPr>
          <w:trHeight w:val="114"/>
        </w:trPr>
        <w:tc>
          <w:tcPr>
            <w:tcW w:w="4820" w:type="dxa"/>
            <w:vAlign w:val="bottom"/>
          </w:tcPr>
          <w:p>
            <w:pPr>
              <w:ind w:left="20"/>
              <w:spacing w:after="0"/>
              <w:rPr>
                <w:sz w:val="20"/>
                <w:szCs w:val="20"/>
                <w:color w:val="auto"/>
              </w:rPr>
            </w:pPr>
            <w:r>
              <w:rPr>
                <w:rFonts w:ascii="Arial" w:cs="Arial" w:eastAsia="Arial" w:hAnsi="Arial"/>
                <w:sz w:val="10"/>
                <w:szCs w:val="10"/>
                <w:color w:val="auto"/>
              </w:rPr>
              <w:t>At January 1</w:t>
            </w:r>
          </w:p>
        </w:tc>
        <w:tc>
          <w:tcPr>
            <w:tcW w:w="2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20" w:type="dxa"/>
            <w:vAlign w:val="bottom"/>
          </w:tcPr>
          <w:p>
            <w:pPr>
              <w:jc w:val="right"/>
              <w:ind w:right="472"/>
              <w:spacing w:after="0"/>
              <w:rPr>
                <w:sz w:val="20"/>
                <w:szCs w:val="20"/>
                <w:color w:val="auto"/>
              </w:rPr>
            </w:pPr>
            <w:r>
              <w:rPr>
                <w:rFonts w:ascii="Arial" w:cs="Arial" w:eastAsia="Arial" w:hAnsi="Arial"/>
                <w:sz w:val="10"/>
                <w:szCs w:val="10"/>
                <w:color w:val="auto"/>
              </w:rPr>
              <w:t>754</w:t>
            </w:r>
          </w:p>
        </w:tc>
        <w:tc>
          <w:tcPr>
            <w:tcW w:w="840" w:type="dxa"/>
            <w:vAlign w:val="bottom"/>
          </w:tcPr>
          <w:p>
            <w:pPr>
              <w:jc w:val="right"/>
              <w:spacing w:after="0"/>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123"/>
        </w:trPr>
        <w:tc>
          <w:tcPr>
            <w:tcW w:w="4820" w:type="dxa"/>
            <w:vAlign w:val="bottom"/>
          </w:tcPr>
          <w:p>
            <w:pPr>
              <w:ind w:left="20"/>
              <w:spacing w:after="0"/>
              <w:rPr>
                <w:sz w:val="20"/>
                <w:szCs w:val="20"/>
                <w:color w:val="auto"/>
              </w:rPr>
            </w:pPr>
            <w:r>
              <w:rPr>
                <w:rFonts w:ascii="Arial" w:cs="Arial" w:eastAsia="Arial" w:hAnsi="Arial"/>
                <w:sz w:val="10"/>
                <w:szCs w:val="10"/>
                <w:color w:val="auto"/>
              </w:rPr>
              <w:t>Net gains recognised in revenue</w:t>
            </w:r>
          </w:p>
        </w:tc>
        <w:tc>
          <w:tcPr>
            <w:tcW w:w="2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tcPr>
          <w:p>
            <w:pPr>
              <w:jc w:val="right"/>
              <w:ind w:right="472"/>
              <w:spacing w:after="0"/>
              <w:rPr>
                <w:sz w:val="20"/>
                <w:szCs w:val="20"/>
                <w:color w:val="auto"/>
              </w:rPr>
            </w:pPr>
            <w:r>
              <w:rPr>
                <w:rFonts w:ascii="Arial" w:cs="Arial" w:eastAsia="Arial" w:hAnsi="Arial"/>
                <w:sz w:val="10"/>
                <w:szCs w:val="10"/>
                <w:color w:val="auto"/>
              </w:rPr>
              <w:t>564</w:t>
            </w:r>
          </w:p>
        </w:tc>
        <w:tc>
          <w:tcPr>
            <w:tcW w:w="840" w:type="dxa"/>
            <w:vAlign w:val="bottom"/>
          </w:tcPr>
          <w:p>
            <w:pPr>
              <w:jc w:val="right"/>
              <w:spacing w:after="0"/>
              <w:rPr>
                <w:sz w:val="20"/>
                <w:szCs w:val="20"/>
                <w:color w:val="auto"/>
              </w:rPr>
            </w:pPr>
            <w:r>
              <w:rPr>
                <w:rFonts w:ascii="Arial" w:cs="Arial" w:eastAsia="Arial" w:hAnsi="Arial"/>
                <w:sz w:val="10"/>
                <w:szCs w:val="10"/>
                <w:color w:val="auto"/>
              </w:rPr>
              <w:t>1,085</w:t>
            </w:r>
          </w:p>
        </w:tc>
        <w:tc>
          <w:tcPr>
            <w:tcW w:w="0" w:type="dxa"/>
            <w:vAlign w:val="bottom"/>
          </w:tcPr>
          <w:p>
            <w:pPr>
              <w:spacing w:after="0"/>
              <w:rPr>
                <w:sz w:val="1"/>
                <w:szCs w:val="1"/>
                <w:color w:val="auto"/>
              </w:rPr>
            </w:pPr>
          </w:p>
        </w:tc>
      </w:tr>
      <w:tr>
        <w:trPr>
          <w:trHeight w:val="126"/>
        </w:trPr>
        <w:tc>
          <w:tcPr>
            <w:tcW w:w="4820" w:type="dxa"/>
            <w:vAlign w:val="bottom"/>
          </w:tcPr>
          <w:p>
            <w:pPr>
              <w:ind w:left="20"/>
              <w:spacing w:after="0"/>
              <w:rPr>
                <w:sz w:val="20"/>
                <w:szCs w:val="20"/>
                <w:color w:val="auto"/>
              </w:rPr>
            </w:pPr>
            <w:r>
              <w:rPr>
                <w:rFonts w:ascii="Arial" w:cs="Arial" w:eastAsia="Arial" w:hAnsi="Arial"/>
                <w:sz w:val="10"/>
                <w:szCs w:val="10"/>
                <w:color w:val="auto"/>
              </w:rPr>
              <w:t>Purchases</w:t>
            </w:r>
          </w:p>
        </w:tc>
        <w:tc>
          <w:tcPr>
            <w:tcW w:w="2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tcPr>
          <w:p>
            <w:pPr>
              <w:jc w:val="right"/>
              <w:ind w:right="472"/>
              <w:spacing w:after="0"/>
              <w:rPr>
                <w:sz w:val="20"/>
                <w:szCs w:val="20"/>
                <w:color w:val="auto"/>
              </w:rPr>
            </w:pPr>
            <w:r>
              <w:rPr>
                <w:rFonts w:ascii="Arial" w:cs="Arial" w:eastAsia="Arial" w:hAnsi="Arial"/>
                <w:sz w:val="10"/>
                <w:szCs w:val="10"/>
                <w:color w:val="auto"/>
              </w:rPr>
              <w:t>217</w:t>
            </w:r>
          </w:p>
        </w:tc>
        <w:tc>
          <w:tcPr>
            <w:tcW w:w="840" w:type="dxa"/>
            <w:vAlign w:val="bottom"/>
          </w:tcPr>
          <w:p>
            <w:pPr>
              <w:jc w:val="right"/>
              <w:spacing w:after="0"/>
              <w:rPr>
                <w:sz w:val="20"/>
                <w:szCs w:val="20"/>
                <w:color w:val="auto"/>
              </w:rPr>
            </w:pPr>
            <w:r>
              <w:rPr>
                <w:rFonts w:ascii="Arial" w:cs="Arial" w:eastAsia="Arial" w:hAnsi="Arial"/>
                <w:sz w:val="10"/>
                <w:szCs w:val="10"/>
                <w:color w:val="auto"/>
              </w:rPr>
              <w:t>453</w:t>
            </w:r>
          </w:p>
        </w:tc>
        <w:tc>
          <w:tcPr>
            <w:tcW w:w="0" w:type="dxa"/>
            <w:vAlign w:val="bottom"/>
          </w:tcPr>
          <w:p>
            <w:pPr>
              <w:spacing w:after="0"/>
              <w:rPr>
                <w:sz w:val="1"/>
                <w:szCs w:val="1"/>
                <w:color w:val="auto"/>
              </w:rPr>
            </w:pPr>
          </w:p>
        </w:tc>
      </w:tr>
      <w:tr>
        <w:trPr>
          <w:trHeight w:val="126"/>
        </w:trPr>
        <w:tc>
          <w:tcPr>
            <w:tcW w:w="4820" w:type="dxa"/>
            <w:vAlign w:val="bottom"/>
          </w:tcPr>
          <w:p>
            <w:pPr>
              <w:ind w:left="20"/>
              <w:spacing w:after="0"/>
              <w:rPr>
                <w:sz w:val="20"/>
                <w:szCs w:val="20"/>
                <w:color w:val="auto"/>
              </w:rPr>
            </w:pPr>
            <w:r>
              <w:rPr>
                <w:rFonts w:ascii="Arial" w:cs="Arial" w:eastAsia="Arial" w:hAnsi="Arial"/>
                <w:sz w:val="10"/>
                <w:szCs w:val="10"/>
                <w:color w:val="auto"/>
              </w:rPr>
              <w:t>Sales</w:t>
            </w:r>
          </w:p>
        </w:tc>
        <w:tc>
          <w:tcPr>
            <w:tcW w:w="2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tcPr>
          <w:p>
            <w:pPr>
              <w:jc w:val="right"/>
              <w:ind w:right="452"/>
              <w:spacing w:after="0"/>
              <w:rPr>
                <w:sz w:val="20"/>
                <w:szCs w:val="20"/>
                <w:color w:val="auto"/>
              </w:rPr>
            </w:pPr>
            <w:r>
              <w:rPr>
                <w:rFonts w:ascii="Arial" w:cs="Arial" w:eastAsia="Arial" w:hAnsi="Arial"/>
                <w:sz w:val="10"/>
                <w:szCs w:val="10"/>
                <w:color w:val="auto"/>
              </w:rPr>
              <w:t>(450)</w:t>
            </w:r>
          </w:p>
        </w:tc>
        <w:tc>
          <w:tcPr>
            <w:tcW w:w="840" w:type="dxa"/>
            <w:vAlign w:val="bottom"/>
          </w:tcPr>
          <w:p>
            <w:pPr>
              <w:jc w:val="right"/>
              <w:spacing w:after="0"/>
              <w:rPr>
                <w:sz w:val="20"/>
                <w:szCs w:val="20"/>
                <w:color w:val="auto"/>
              </w:rPr>
            </w:pPr>
            <w:r>
              <w:rPr>
                <w:rFonts w:ascii="Arial" w:cs="Arial" w:eastAsia="Arial" w:hAnsi="Arial"/>
                <w:sz w:val="10"/>
                <w:szCs w:val="10"/>
                <w:color w:val="auto"/>
              </w:rPr>
              <w:t>(633)</w:t>
            </w:r>
          </w:p>
        </w:tc>
        <w:tc>
          <w:tcPr>
            <w:tcW w:w="0" w:type="dxa"/>
            <w:vAlign w:val="bottom"/>
          </w:tcPr>
          <w:p>
            <w:pPr>
              <w:spacing w:after="0"/>
              <w:rPr>
                <w:sz w:val="1"/>
                <w:szCs w:val="1"/>
                <w:color w:val="auto"/>
              </w:rPr>
            </w:pPr>
          </w:p>
        </w:tc>
      </w:tr>
      <w:tr>
        <w:trPr>
          <w:trHeight w:val="126"/>
        </w:trPr>
        <w:tc>
          <w:tcPr>
            <w:tcW w:w="4820" w:type="dxa"/>
            <w:vAlign w:val="bottom"/>
          </w:tcPr>
          <w:p>
            <w:pPr>
              <w:ind w:left="20"/>
              <w:spacing w:after="0"/>
              <w:rPr>
                <w:sz w:val="20"/>
                <w:szCs w:val="20"/>
                <w:color w:val="auto"/>
              </w:rPr>
            </w:pPr>
            <w:r>
              <w:rPr>
                <w:rFonts w:ascii="Arial" w:cs="Arial" w:eastAsia="Arial" w:hAnsi="Arial"/>
                <w:sz w:val="10"/>
                <w:szCs w:val="10"/>
                <w:color w:val="auto"/>
              </w:rPr>
              <w:t>Settlements</w:t>
            </w:r>
          </w:p>
        </w:tc>
        <w:tc>
          <w:tcPr>
            <w:tcW w:w="2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tcPr>
          <w:p>
            <w:pPr>
              <w:jc w:val="right"/>
              <w:ind w:right="452"/>
              <w:spacing w:after="0"/>
              <w:rPr>
                <w:sz w:val="20"/>
                <w:szCs w:val="20"/>
                <w:color w:val="auto"/>
              </w:rPr>
            </w:pPr>
            <w:r>
              <w:rPr>
                <w:rFonts w:ascii="Arial" w:cs="Arial" w:eastAsia="Arial" w:hAnsi="Arial"/>
                <w:sz w:val="10"/>
                <w:szCs w:val="10"/>
                <w:color w:val="auto"/>
              </w:rPr>
              <w:t>(9)</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4820" w:type="dxa"/>
            <w:vAlign w:val="bottom"/>
          </w:tcPr>
          <w:p>
            <w:pPr>
              <w:ind w:left="20"/>
              <w:spacing w:after="0"/>
              <w:rPr>
                <w:sz w:val="20"/>
                <w:szCs w:val="20"/>
                <w:color w:val="auto"/>
              </w:rPr>
            </w:pPr>
            <w:r>
              <w:rPr>
                <w:rFonts w:ascii="Arial" w:cs="Arial" w:eastAsia="Arial" w:hAnsi="Arial"/>
                <w:sz w:val="10"/>
                <w:szCs w:val="10"/>
                <w:color w:val="auto"/>
              </w:rPr>
              <w:t>Recategorisations (net)</w:t>
            </w:r>
          </w:p>
        </w:tc>
        <w:tc>
          <w:tcPr>
            <w:tcW w:w="2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tcPr>
          <w:p>
            <w:pPr>
              <w:jc w:val="right"/>
              <w:ind w:right="452"/>
              <w:spacing w:after="0"/>
              <w:rPr>
                <w:sz w:val="20"/>
                <w:szCs w:val="20"/>
                <w:color w:val="auto"/>
              </w:rPr>
            </w:pPr>
            <w:r>
              <w:rPr>
                <w:rFonts w:ascii="Arial" w:cs="Arial" w:eastAsia="Arial" w:hAnsi="Arial"/>
                <w:sz w:val="10"/>
                <w:szCs w:val="10"/>
                <w:color w:val="auto"/>
              </w:rPr>
              <w:t>(12)</w:t>
            </w:r>
          </w:p>
        </w:tc>
        <w:tc>
          <w:tcPr>
            <w:tcW w:w="840" w:type="dxa"/>
            <w:vAlign w:val="bottom"/>
          </w:tcPr>
          <w:p>
            <w:pPr>
              <w:jc w:val="right"/>
              <w:spacing w:after="0"/>
              <w:rPr>
                <w:sz w:val="20"/>
                <w:szCs w:val="20"/>
                <w:color w:val="auto"/>
              </w:rPr>
            </w:pPr>
            <w:r>
              <w:rPr>
                <w:rFonts w:ascii="Arial" w:cs="Arial" w:eastAsia="Arial" w:hAnsi="Arial"/>
                <w:sz w:val="10"/>
                <w:szCs w:val="10"/>
                <w:color w:val="auto"/>
              </w:rPr>
              <w:t>(125)</w:t>
            </w:r>
          </w:p>
        </w:tc>
        <w:tc>
          <w:tcPr>
            <w:tcW w:w="0" w:type="dxa"/>
            <w:vAlign w:val="bottom"/>
          </w:tcPr>
          <w:p>
            <w:pPr>
              <w:spacing w:after="0"/>
              <w:rPr>
                <w:sz w:val="1"/>
                <w:szCs w:val="1"/>
                <w:color w:val="auto"/>
              </w:rPr>
            </w:pPr>
          </w:p>
        </w:tc>
      </w:tr>
      <w:tr>
        <w:trPr>
          <w:trHeight w:val="13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Currency translation differences</w:t>
            </w:r>
          </w:p>
        </w:tc>
        <w:tc>
          <w:tcPr>
            <w:tcW w:w="29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17"/>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At December 31</w:t>
            </w:r>
          </w:p>
        </w:tc>
        <w:tc>
          <w:tcPr>
            <w:tcW w:w="29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1,077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754</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0"/>
          <w:szCs w:val="10"/>
          <w:color w:val="auto"/>
        </w:rPr>
        <w:t>Included in net gains recognised in revenue in 2020 were unrealised net gains totalling $743 million relating to assets and liabilities held at December 31, 2020 (2019: $612 million gains).</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b w:val="1"/>
          <w:bCs w:val="1"/>
          <w:color w:val="666666"/>
        </w:rPr>
        <w:t>Unrecognised day one gains or losses</w:t>
      </w:r>
    </w:p>
    <w:p>
      <w:pPr>
        <w:spacing w:after="0" w:line="3" w:lineRule="exact"/>
        <w:rPr>
          <w:sz w:val="20"/>
          <w:szCs w:val="20"/>
          <w:color w:val="auto"/>
        </w:rPr>
      </w:pPr>
    </w:p>
    <w:p>
      <w:pPr>
        <w:spacing w:after="0"/>
        <w:rPr>
          <w:sz w:val="20"/>
          <w:szCs w:val="20"/>
          <w:color w:val="auto"/>
        </w:rPr>
      </w:pPr>
      <w:r>
        <w:rPr>
          <w:rFonts w:ascii="Arial" w:cs="Arial" w:eastAsia="Arial" w:hAnsi="Arial"/>
          <w:sz w:val="8"/>
          <w:szCs w:val="8"/>
          <w:color w:val="auto"/>
        </w:rPr>
        <w:t>Certain long-term commodity purchase contracts extend to periods where observable pricing data are limited and so their value may include estimates for a portion of the value. Where this is more than an insignificant part of the overall contract valuation, any gains or losses will be deferred.</w:t>
      </w:r>
    </w:p>
    <w:p>
      <w:pPr>
        <w:spacing w:after="0" w:line="14" w:lineRule="exact"/>
        <w:rPr>
          <w:sz w:val="20"/>
          <w:szCs w:val="20"/>
          <w:color w:val="auto"/>
        </w:rPr>
      </w:pPr>
    </w:p>
    <w:p>
      <w:pPr>
        <w:spacing w:after="0"/>
        <w:rPr>
          <w:sz w:val="20"/>
          <w:szCs w:val="20"/>
          <w:color w:val="auto"/>
        </w:rPr>
      </w:pPr>
      <w:r>
        <w:rPr>
          <w:rFonts w:ascii="Arial" w:cs="Arial" w:eastAsia="Arial" w:hAnsi="Arial"/>
          <w:sz w:val="10"/>
          <w:szCs w:val="10"/>
          <w:color w:val="auto"/>
        </w:rPr>
        <w:t>Valuation techniques are further described in Note 2. The unrecognised gains on these derivative contracts at December 31, 2020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64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ind w:left="960"/>
              <w:spacing w:after="0"/>
              <w:rPr>
                <w:sz w:val="20"/>
                <w:szCs w:val="20"/>
                <w:color w:val="auto"/>
              </w:rPr>
            </w:pPr>
            <w:r>
              <w:rPr>
                <w:rFonts w:ascii="Arial" w:cs="Arial" w:eastAsia="Arial" w:hAnsi="Arial"/>
                <w:sz w:val="10"/>
                <w:szCs w:val="10"/>
                <w:color w:val="auto"/>
                <w:w w:val="92"/>
              </w:rPr>
              <w:t>$ million</w:t>
            </w:r>
          </w:p>
        </w:tc>
      </w:tr>
      <w:tr>
        <w:trPr>
          <w:trHeight w:val="127"/>
        </w:trPr>
        <w:tc>
          <w:tcPr>
            <w:tcW w:w="8640" w:type="dxa"/>
            <w:vAlign w:val="bottom"/>
            <w:tcBorders>
              <w:bottom w:val="single" w:sz="8" w:color="auto"/>
            </w:tcBorders>
          </w:tcPr>
          <w:p>
            <w:pPr>
              <w:spacing w:after="0"/>
              <w:rPr>
                <w:sz w:val="11"/>
                <w:szCs w:val="11"/>
                <w:color w:val="auto"/>
              </w:rPr>
            </w:pPr>
          </w:p>
        </w:tc>
        <w:tc>
          <w:tcPr>
            <w:tcW w:w="1320" w:type="dxa"/>
            <w:vAlign w:val="bottom"/>
            <w:tcBorders>
              <w:bottom w:val="single" w:sz="8" w:color="CDCDCD"/>
            </w:tcBorders>
          </w:tcPr>
          <w:p>
            <w:pPr>
              <w:jc w:val="right"/>
              <w:spacing w:after="0"/>
              <w:rPr>
                <w:sz w:val="20"/>
                <w:szCs w:val="20"/>
                <w:color w:val="auto"/>
              </w:rPr>
            </w:pPr>
            <w:r>
              <w:rPr>
                <w:rFonts w:ascii="Arial" w:cs="Arial" w:eastAsia="Arial" w:hAnsi="Arial"/>
                <w:sz w:val="10"/>
                <w:szCs w:val="10"/>
                <w:color w:val="auto"/>
              </w:rPr>
              <w:t>2020</w:t>
            </w:r>
          </w:p>
        </w:tc>
        <w:tc>
          <w:tcPr>
            <w:tcW w:w="1320" w:type="dxa"/>
            <w:vAlign w:val="bottom"/>
            <w:tcBorders>
              <w:bottom w:val="single" w:sz="8" w:color="auto"/>
            </w:tcBorders>
          </w:tcPr>
          <w:p>
            <w:pPr>
              <w:jc w:val="center"/>
              <w:ind w:left="1052"/>
              <w:spacing w:after="0"/>
              <w:rPr>
                <w:sz w:val="20"/>
                <w:szCs w:val="20"/>
                <w:color w:val="auto"/>
              </w:rPr>
            </w:pPr>
            <w:r>
              <w:rPr>
                <w:rFonts w:ascii="Arial" w:cs="Arial" w:eastAsia="Arial" w:hAnsi="Arial"/>
                <w:sz w:val="10"/>
                <w:szCs w:val="10"/>
                <w:color w:val="auto"/>
                <w:w w:val="80"/>
              </w:rPr>
              <w:t>2019</w:t>
            </w:r>
          </w:p>
        </w:tc>
      </w:tr>
      <w:tr>
        <w:trPr>
          <w:trHeight w:val="114"/>
        </w:trPr>
        <w:tc>
          <w:tcPr>
            <w:tcW w:w="8640" w:type="dxa"/>
            <w:vAlign w:val="bottom"/>
          </w:tcPr>
          <w:p>
            <w:pPr>
              <w:spacing w:after="0"/>
              <w:rPr>
                <w:sz w:val="20"/>
                <w:szCs w:val="20"/>
                <w:color w:val="auto"/>
              </w:rPr>
            </w:pPr>
            <w:r>
              <w:rPr>
                <w:rFonts w:ascii="Arial" w:cs="Arial" w:eastAsia="Arial" w:hAnsi="Arial"/>
                <w:sz w:val="10"/>
                <w:szCs w:val="10"/>
                <w:color w:val="auto"/>
              </w:rPr>
              <w:t>At January 1</w:t>
            </w:r>
          </w:p>
        </w:tc>
        <w:tc>
          <w:tcPr>
            <w:tcW w:w="1320" w:type="dxa"/>
            <w:vAlign w:val="bottom"/>
            <w:shd w:val="clear" w:color="auto" w:fill="CDCDCD"/>
          </w:tcPr>
          <w:p>
            <w:pPr>
              <w:jc w:val="right"/>
              <w:spacing w:after="0" w:line="111" w:lineRule="exact"/>
              <w:rPr>
                <w:sz w:val="20"/>
                <w:szCs w:val="20"/>
                <w:color w:val="auto"/>
              </w:rPr>
            </w:pPr>
            <w:r>
              <w:rPr>
                <w:rFonts w:ascii="Arial" w:cs="Arial" w:eastAsia="Arial" w:hAnsi="Arial"/>
                <w:sz w:val="10"/>
                <w:szCs w:val="10"/>
                <w:color w:val="auto"/>
              </w:rPr>
              <w:t>929</w:t>
            </w:r>
          </w:p>
        </w:tc>
        <w:tc>
          <w:tcPr>
            <w:tcW w:w="1320" w:type="dxa"/>
            <w:vAlign w:val="bottom"/>
          </w:tcPr>
          <w:p>
            <w:pPr>
              <w:jc w:val="center"/>
              <w:ind w:left="1052"/>
              <w:spacing w:after="0"/>
              <w:rPr>
                <w:sz w:val="20"/>
                <w:szCs w:val="20"/>
                <w:color w:val="auto"/>
              </w:rPr>
            </w:pPr>
            <w:r>
              <w:rPr>
                <w:rFonts w:ascii="Arial" w:cs="Arial" w:eastAsia="Arial" w:hAnsi="Arial"/>
                <w:sz w:val="10"/>
                <w:szCs w:val="10"/>
                <w:color w:val="auto"/>
                <w:w w:val="83"/>
              </w:rPr>
              <w:t>388</w:t>
            </w:r>
          </w:p>
        </w:tc>
      </w:tr>
      <w:tr>
        <w:trPr>
          <w:trHeight w:val="127"/>
        </w:trPr>
        <w:tc>
          <w:tcPr>
            <w:tcW w:w="86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Movements</w:t>
            </w: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39</w:t>
            </w:r>
          </w:p>
        </w:tc>
        <w:tc>
          <w:tcPr>
            <w:tcW w:w="1320" w:type="dxa"/>
            <w:vAlign w:val="bottom"/>
            <w:tcBorders>
              <w:bottom w:val="single" w:sz="8" w:color="auto"/>
            </w:tcBorders>
          </w:tcPr>
          <w:p>
            <w:pPr>
              <w:jc w:val="center"/>
              <w:ind w:left="1052"/>
              <w:spacing w:after="0"/>
              <w:rPr>
                <w:sz w:val="20"/>
                <w:szCs w:val="20"/>
                <w:color w:val="auto"/>
              </w:rPr>
            </w:pPr>
            <w:r>
              <w:rPr>
                <w:rFonts w:ascii="Arial" w:cs="Arial" w:eastAsia="Arial" w:hAnsi="Arial"/>
                <w:sz w:val="10"/>
                <w:szCs w:val="10"/>
                <w:color w:val="auto"/>
                <w:w w:val="83"/>
              </w:rPr>
              <w:t>541</w:t>
            </w:r>
          </w:p>
        </w:tc>
      </w:tr>
      <w:tr>
        <w:trPr>
          <w:trHeight w:val="117"/>
        </w:trPr>
        <w:tc>
          <w:tcPr>
            <w:tcW w:w="86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132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968</w:t>
            </w:r>
          </w:p>
        </w:tc>
        <w:tc>
          <w:tcPr>
            <w:tcW w:w="1320" w:type="dxa"/>
            <w:vAlign w:val="bottom"/>
            <w:tcBorders>
              <w:bottom w:val="single" w:sz="8" w:color="auto"/>
            </w:tcBorders>
          </w:tcPr>
          <w:p>
            <w:pPr>
              <w:jc w:val="center"/>
              <w:ind w:left="1052"/>
              <w:spacing w:after="0"/>
              <w:rPr>
                <w:sz w:val="20"/>
                <w:szCs w:val="20"/>
                <w:color w:val="auto"/>
              </w:rPr>
            </w:pPr>
            <w:r>
              <w:rPr>
                <w:rFonts w:ascii="Arial" w:cs="Arial" w:eastAsia="Arial" w:hAnsi="Arial"/>
                <w:sz w:val="10"/>
                <w:szCs w:val="10"/>
                <w:color w:val="auto"/>
                <w:w w:val="83"/>
              </w:rPr>
              <w:t>929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203</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sectPr>
      </w:pPr>
    </w:p>
    <w:bookmarkStart w:id="206" w:name="page207"/>
    <w:bookmarkEnd w:id="206"/>
    <w:p>
      <w:pPr>
        <w:spacing w:after="0"/>
        <w:rPr>
          <w:sz w:val="20"/>
          <w:szCs w:val="20"/>
          <w:color w:val="auto"/>
        </w:rPr>
      </w:pPr>
      <w:r>
        <w:rPr>
          <w:rFonts w:ascii="Arial" w:cs="Arial" w:eastAsia="Arial" w:hAnsi="Arial"/>
          <w:sz w:val="11"/>
          <w:szCs w:val="11"/>
          <w:color w:val="auto"/>
        </w:rPr>
        <w:t>20 –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66610" cy="228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66610" cy="2286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0"/>
          <w:szCs w:val="10"/>
          <w:color w:val="auto"/>
        </w:rPr>
        <w:t>Issued and fully paid ordinary shares of €0.07 each [A]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34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7"/>
                <w:szCs w:val="7"/>
                <w:color w:val="auto"/>
              </w:rPr>
              <w:t>Number of shares</w:t>
            </w:r>
          </w:p>
        </w:tc>
        <w:tc>
          <w:tcPr>
            <w:tcW w:w="1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Nominal value ($ million)</w:t>
            </w:r>
          </w:p>
        </w:tc>
      </w:tr>
      <w:tr>
        <w:trPr>
          <w:trHeight w:val="97"/>
        </w:trPr>
        <w:tc>
          <w:tcPr>
            <w:tcW w:w="53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7"/>
                <w:szCs w:val="7"/>
                <w:color w:val="auto"/>
              </w:rPr>
              <w:t>A</w:t>
            </w:r>
          </w:p>
        </w:tc>
        <w:tc>
          <w:tcPr>
            <w:tcW w:w="1360" w:type="dxa"/>
            <w:vAlign w:val="bottom"/>
            <w:tcBorders>
              <w:bottom w:val="single" w:sz="8" w:color="auto"/>
            </w:tcBorders>
          </w:tcPr>
          <w:p>
            <w:pPr>
              <w:ind w:left="800"/>
              <w:spacing w:after="0"/>
              <w:rPr>
                <w:sz w:val="20"/>
                <w:szCs w:val="20"/>
                <w:color w:val="auto"/>
              </w:rPr>
            </w:pPr>
            <w:r>
              <w:rPr>
                <w:rFonts w:ascii="Arial" w:cs="Arial" w:eastAsia="Arial" w:hAnsi="Arial"/>
                <w:sz w:val="7"/>
                <w:szCs w:val="7"/>
                <w:color w:val="auto"/>
              </w:rPr>
              <w:t>B</w:t>
            </w: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7"/>
                <w:szCs w:val="7"/>
                <w:color w:val="auto"/>
              </w:rPr>
              <w:t>A</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7"/>
                <w:szCs w:val="7"/>
                <w:color w:val="auto"/>
              </w:rPr>
              <w:t>B</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Total</w:t>
            </w:r>
          </w:p>
        </w:tc>
      </w:tr>
      <w:tr>
        <w:trPr>
          <w:trHeight w:val="118"/>
        </w:trPr>
        <w:tc>
          <w:tcPr>
            <w:tcW w:w="5340" w:type="dxa"/>
            <w:vAlign w:val="bottom"/>
          </w:tcPr>
          <w:p>
            <w:pPr>
              <w:spacing w:after="0"/>
              <w:rPr>
                <w:sz w:val="20"/>
                <w:szCs w:val="20"/>
                <w:color w:val="auto"/>
              </w:rPr>
            </w:pPr>
            <w:r>
              <w:rPr>
                <w:rFonts w:ascii="Arial" w:cs="Arial" w:eastAsia="Arial" w:hAnsi="Arial"/>
                <w:sz w:val="10"/>
                <w:szCs w:val="10"/>
                <w:color w:val="auto"/>
              </w:rPr>
              <w:t>At January 1, 2020</w:t>
            </w:r>
          </w:p>
        </w:tc>
        <w:tc>
          <w:tcPr>
            <w:tcW w:w="1520" w:type="dxa"/>
            <w:vAlign w:val="bottom"/>
          </w:tcPr>
          <w:p>
            <w:pPr>
              <w:jc w:val="right"/>
              <w:ind w:right="339"/>
              <w:spacing w:after="0"/>
              <w:rPr>
                <w:sz w:val="20"/>
                <w:szCs w:val="20"/>
                <w:color w:val="auto"/>
              </w:rPr>
            </w:pPr>
            <w:r>
              <w:rPr>
                <w:rFonts w:ascii="Arial" w:cs="Arial" w:eastAsia="Arial" w:hAnsi="Arial"/>
                <w:sz w:val="8"/>
                <w:szCs w:val="8"/>
                <w:color w:val="auto"/>
              </w:rPr>
              <w:t>4,151,787,517</w:t>
            </w:r>
          </w:p>
        </w:tc>
        <w:tc>
          <w:tcPr>
            <w:tcW w:w="1360" w:type="dxa"/>
            <w:vAlign w:val="bottom"/>
          </w:tcPr>
          <w:p>
            <w:pPr>
              <w:ind w:left="340"/>
              <w:spacing w:after="0"/>
              <w:rPr>
                <w:sz w:val="20"/>
                <w:szCs w:val="20"/>
                <w:color w:val="auto"/>
              </w:rPr>
            </w:pPr>
            <w:r>
              <w:rPr>
                <w:rFonts w:ascii="Arial" w:cs="Arial" w:eastAsia="Arial" w:hAnsi="Arial"/>
                <w:sz w:val="8"/>
                <w:szCs w:val="8"/>
                <w:color w:val="auto"/>
              </w:rPr>
              <w:t>3,729,407,107</w:t>
            </w:r>
          </w:p>
        </w:tc>
        <w:tc>
          <w:tcPr>
            <w:tcW w:w="1180" w:type="dxa"/>
            <w:vAlign w:val="bottom"/>
          </w:tcPr>
          <w:p>
            <w:pPr>
              <w:jc w:val="right"/>
              <w:ind w:right="499"/>
              <w:spacing w:after="0"/>
              <w:rPr>
                <w:sz w:val="20"/>
                <w:szCs w:val="20"/>
                <w:color w:val="auto"/>
              </w:rPr>
            </w:pPr>
            <w:r>
              <w:rPr>
                <w:rFonts w:ascii="Arial" w:cs="Arial" w:eastAsia="Arial" w:hAnsi="Arial"/>
                <w:sz w:val="8"/>
                <w:szCs w:val="8"/>
                <w:color w:val="auto"/>
              </w:rPr>
              <w:t>349</w:t>
            </w:r>
          </w:p>
        </w:tc>
        <w:tc>
          <w:tcPr>
            <w:tcW w:w="900" w:type="dxa"/>
            <w:vAlign w:val="bottom"/>
          </w:tcPr>
          <w:p>
            <w:pPr>
              <w:jc w:val="right"/>
              <w:ind w:right="199"/>
              <w:spacing w:after="0"/>
              <w:rPr>
                <w:sz w:val="20"/>
                <w:szCs w:val="20"/>
                <w:color w:val="auto"/>
              </w:rPr>
            </w:pPr>
            <w:r>
              <w:rPr>
                <w:rFonts w:ascii="Arial" w:cs="Arial" w:eastAsia="Arial" w:hAnsi="Arial"/>
                <w:sz w:val="8"/>
                <w:szCs w:val="8"/>
                <w:color w:val="auto"/>
              </w:rPr>
              <w:t>308</w:t>
            </w:r>
          </w:p>
        </w:tc>
        <w:tc>
          <w:tcPr>
            <w:tcW w:w="980" w:type="dxa"/>
            <w:vAlign w:val="bottom"/>
          </w:tcPr>
          <w:p>
            <w:pPr>
              <w:jc w:val="right"/>
              <w:spacing w:after="0"/>
              <w:rPr>
                <w:sz w:val="20"/>
                <w:szCs w:val="20"/>
                <w:color w:val="auto"/>
              </w:rPr>
            </w:pPr>
            <w:r>
              <w:rPr>
                <w:rFonts w:ascii="Arial" w:cs="Arial" w:eastAsia="Arial" w:hAnsi="Arial"/>
                <w:sz w:val="8"/>
                <w:szCs w:val="8"/>
                <w:color w:val="auto"/>
              </w:rPr>
              <w:t>657</w:t>
            </w:r>
          </w:p>
        </w:tc>
      </w:tr>
      <w:tr>
        <w:trPr>
          <w:trHeight w:val="127"/>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Repurchases of shares</w:t>
            </w: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8"/>
                <w:szCs w:val="8"/>
                <w:color w:val="auto"/>
              </w:rPr>
              <w:t>(50,548,018)</w:t>
            </w:r>
          </w:p>
        </w:tc>
        <w:tc>
          <w:tcPr>
            <w:tcW w:w="1360" w:type="dxa"/>
            <w:vAlign w:val="bottom"/>
            <w:tcBorders>
              <w:bottom w:val="single" w:sz="8" w:color="auto"/>
            </w:tcBorders>
          </w:tcPr>
          <w:p>
            <w:pPr>
              <w:ind w:left="400"/>
              <w:spacing w:after="0"/>
              <w:rPr>
                <w:sz w:val="20"/>
                <w:szCs w:val="20"/>
                <w:color w:val="auto"/>
              </w:rPr>
            </w:pPr>
            <w:r>
              <w:rPr>
                <w:rFonts w:ascii="Arial" w:cs="Arial" w:eastAsia="Arial" w:hAnsi="Arial"/>
                <w:sz w:val="8"/>
                <w:szCs w:val="8"/>
                <w:color w:val="auto"/>
              </w:rPr>
              <w:t>(23,223,271)</w:t>
            </w: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8"/>
                <w:szCs w:val="8"/>
                <w:color w:val="auto"/>
              </w:rPr>
              <w:t>(4)</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8"/>
                <w:szCs w:val="8"/>
                <w:color w:val="auto"/>
              </w:rPr>
              <w:t>(2)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w:t>
            </w:r>
          </w:p>
        </w:tc>
      </w:tr>
      <w:tr>
        <w:trPr>
          <w:trHeight w:val="117"/>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2020</w:t>
            </w:r>
          </w:p>
        </w:tc>
        <w:tc>
          <w:tcPr>
            <w:tcW w:w="1520" w:type="dxa"/>
            <w:vAlign w:val="bottom"/>
            <w:tcBorders>
              <w:bottom w:val="single" w:sz="8" w:color="auto"/>
            </w:tcBorders>
          </w:tcPr>
          <w:p>
            <w:pPr>
              <w:jc w:val="right"/>
              <w:ind w:right="339"/>
              <w:spacing w:after="0"/>
              <w:rPr>
                <w:sz w:val="20"/>
                <w:szCs w:val="20"/>
                <w:color w:val="auto"/>
              </w:rPr>
            </w:pPr>
            <w:r>
              <w:rPr>
                <w:rFonts w:ascii="Arial" w:cs="Arial" w:eastAsia="Arial" w:hAnsi="Arial"/>
                <w:sz w:val="8"/>
                <w:szCs w:val="8"/>
                <w:color w:val="auto"/>
              </w:rPr>
              <w:t>4,101,239,499</w:t>
            </w: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rPr>
              <w:t>3,706,183,836</w:t>
            </w: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8"/>
                <w:szCs w:val="8"/>
                <w:color w:val="auto"/>
              </w:rPr>
              <w:t>345</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8"/>
                <w:szCs w:val="8"/>
                <w:color w:val="auto"/>
              </w:rPr>
              <w:t>306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651</w:t>
            </w:r>
          </w:p>
        </w:tc>
      </w:tr>
      <w:tr>
        <w:trPr>
          <w:trHeight w:val="113"/>
        </w:trPr>
        <w:tc>
          <w:tcPr>
            <w:tcW w:w="5340" w:type="dxa"/>
            <w:vAlign w:val="bottom"/>
          </w:tcPr>
          <w:p>
            <w:pPr>
              <w:spacing w:after="0" w:line="113" w:lineRule="exact"/>
              <w:rPr>
                <w:sz w:val="20"/>
                <w:szCs w:val="20"/>
                <w:color w:val="auto"/>
              </w:rPr>
            </w:pPr>
            <w:r>
              <w:rPr>
                <w:rFonts w:ascii="Arial" w:cs="Arial" w:eastAsia="Arial" w:hAnsi="Arial"/>
                <w:sz w:val="10"/>
                <w:szCs w:val="10"/>
                <w:color w:val="auto"/>
              </w:rPr>
              <w:t>At January 1, 2019</w:t>
            </w:r>
          </w:p>
        </w:tc>
        <w:tc>
          <w:tcPr>
            <w:tcW w:w="1520" w:type="dxa"/>
            <w:vAlign w:val="bottom"/>
          </w:tcPr>
          <w:p>
            <w:pPr>
              <w:jc w:val="right"/>
              <w:ind w:right="339"/>
              <w:spacing w:after="0"/>
              <w:rPr>
                <w:sz w:val="20"/>
                <w:szCs w:val="20"/>
                <w:color w:val="auto"/>
              </w:rPr>
            </w:pPr>
            <w:r>
              <w:rPr>
                <w:rFonts w:ascii="Arial" w:cs="Arial" w:eastAsia="Arial" w:hAnsi="Arial"/>
                <w:sz w:val="8"/>
                <w:szCs w:val="8"/>
                <w:color w:val="auto"/>
              </w:rPr>
              <w:t>4,471,889,296</w:t>
            </w:r>
          </w:p>
        </w:tc>
        <w:tc>
          <w:tcPr>
            <w:tcW w:w="1360" w:type="dxa"/>
            <w:vAlign w:val="bottom"/>
          </w:tcPr>
          <w:p>
            <w:pPr>
              <w:ind w:left="340"/>
              <w:spacing w:after="0"/>
              <w:rPr>
                <w:sz w:val="20"/>
                <w:szCs w:val="20"/>
                <w:color w:val="auto"/>
              </w:rPr>
            </w:pPr>
            <w:r>
              <w:rPr>
                <w:rFonts w:ascii="Arial" w:cs="Arial" w:eastAsia="Arial" w:hAnsi="Arial"/>
                <w:sz w:val="8"/>
                <w:szCs w:val="8"/>
                <w:color w:val="auto"/>
              </w:rPr>
              <w:t>3,745,486,731</w:t>
            </w:r>
          </w:p>
        </w:tc>
        <w:tc>
          <w:tcPr>
            <w:tcW w:w="1180" w:type="dxa"/>
            <w:vAlign w:val="bottom"/>
          </w:tcPr>
          <w:p>
            <w:pPr>
              <w:jc w:val="right"/>
              <w:ind w:right="499"/>
              <w:spacing w:after="0"/>
              <w:rPr>
                <w:sz w:val="20"/>
                <w:szCs w:val="20"/>
                <w:color w:val="auto"/>
              </w:rPr>
            </w:pPr>
            <w:r>
              <w:rPr>
                <w:rFonts w:ascii="Arial" w:cs="Arial" w:eastAsia="Arial" w:hAnsi="Arial"/>
                <w:sz w:val="8"/>
                <w:szCs w:val="8"/>
                <w:color w:val="auto"/>
              </w:rPr>
              <w:t>376</w:t>
            </w:r>
          </w:p>
        </w:tc>
        <w:tc>
          <w:tcPr>
            <w:tcW w:w="900" w:type="dxa"/>
            <w:vAlign w:val="bottom"/>
          </w:tcPr>
          <w:p>
            <w:pPr>
              <w:jc w:val="right"/>
              <w:ind w:right="199"/>
              <w:spacing w:after="0"/>
              <w:rPr>
                <w:sz w:val="20"/>
                <w:szCs w:val="20"/>
                <w:color w:val="auto"/>
              </w:rPr>
            </w:pPr>
            <w:r>
              <w:rPr>
                <w:rFonts w:ascii="Arial" w:cs="Arial" w:eastAsia="Arial" w:hAnsi="Arial"/>
                <w:sz w:val="8"/>
                <w:szCs w:val="8"/>
                <w:color w:val="auto"/>
              </w:rPr>
              <w:t>309</w:t>
            </w:r>
          </w:p>
        </w:tc>
        <w:tc>
          <w:tcPr>
            <w:tcW w:w="980" w:type="dxa"/>
            <w:vAlign w:val="bottom"/>
          </w:tcPr>
          <w:p>
            <w:pPr>
              <w:jc w:val="right"/>
              <w:spacing w:after="0"/>
              <w:rPr>
                <w:sz w:val="20"/>
                <w:szCs w:val="20"/>
                <w:color w:val="auto"/>
              </w:rPr>
            </w:pPr>
            <w:r>
              <w:rPr>
                <w:rFonts w:ascii="Arial" w:cs="Arial" w:eastAsia="Arial" w:hAnsi="Arial"/>
                <w:sz w:val="8"/>
                <w:szCs w:val="8"/>
                <w:color w:val="auto"/>
              </w:rPr>
              <w:t>685</w:t>
            </w:r>
          </w:p>
        </w:tc>
      </w:tr>
      <w:tr>
        <w:trPr>
          <w:trHeight w:val="127"/>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Repurchases of shares</w:t>
            </w: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8"/>
                <w:szCs w:val="8"/>
                <w:color w:val="auto"/>
              </w:rPr>
              <w:t>(320,101,779)</w:t>
            </w:r>
          </w:p>
        </w:tc>
        <w:tc>
          <w:tcPr>
            <w:tcW w:w="1360" w:type="dxa"/>
            <w:vAlign w:val="bottom"/>
            <w:tcBorders>
              <w:bottom w:val="single" w:sz="8" w:color="auto"/>
            </w:tcBorders>
          </w:tcPr>
          <w:p>
            <w:pPr>
              <w:ind w:left="400"/>
              <w:spacing w:after="0"/>
              <w:rPr>
                <w:sz w:val="20"/>
                <w:szCs w:val="20"/>
                <w:color w:val="auto"/>
              </w:rPr>
            </w:pPr>
            <w:r>
              <w:rPr>
                <w:rFonts w:ascii="Arial" w:cs="Arial" w:eastAsia="Arial" w:hAnsi="Arial"/>
                <w:sz w:val="8"/>
                <w:szCs w:val="8"/>
                <w:color w:val="auto"/>
              </w:rPr>
              <w:t>(16,079,624)</w:t>
            </w: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8"/>
                <w:szCs w:val="8"/>
                <w:color w:val="auto"/>
              </w:rPr>
              <w:t>(27)</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8"/>
                <w:szCs w:val="8"/>
                <w:color w:val="auto"/>
              </w:rPr>
              <w:t>(1)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(28)</w:t>
            </w:r>
          </w:p>
        </w:tc>
      </w:tr>
      <w:tr>
        <w:trPr>
          <w:trHeight w:val="117"/>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2019</w:t>
            </w:r>
          </w:p>
        </w:tc>
        <w:tc>
          <w:tcPr>
            <w:tcW w:w="1520" w:type="dxa"/>
            <w:vAlign w:val="bottom"/>
            <w:tcBorders>
              <w:bottom w:val="single" w:sz="8" w:color="auto"/>
            </w:tcBorders>
          </w:tcPr>
          <w:p>
            <w:pPr>
              <w:jc w:val="right"/>
              <w:ind w:right="339"/>
              <w:spacing w:after="0"/>
              <w:rPr>
                <w:sz w:val="20"/>
                <w:szCs w:val="20"/>
                <w:color w:val="auto"/>
              </w:rPr>
            </w:pPr>
            <w:r>
              <w:rPr>
                <w:rFonts w:ascii="Arial" w:cs="Arial" w:eastAsia="Arial" w:hAnsi="Arial"/>
                <w:sz w:val="8"/>
                <w:szCs w:val="8"/>
                <w:color w:val="auto"/>
              </w:rPr>
              <w:t>4,151,787,517</w:t>
            </w: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rPr>
              <w:t>3,729,407,107</w:t>
            </w: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8"/>
                <w:szCs w:val="8"/>
                <w:color w:val="auto"/>
              </w:rPr>
              <w:t>349</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8"/>
                <w:szCs w:val="8"/>
                <w:color w:val="auto"/>
              </w:rPr>
              <w:t>308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657</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7"/>
          <w:szCs w:val="7"/>
          <w:color w:val="auto"/>
        </w:rPr>
        <w:t xml:space="preserve">[A] Share capital at December 31, 2020, and 2019, also included 50,000 issued and fully paid sterling deferred shares of </w:t>
      </w:r>
      <w:r>
        <w:rPr>
          <w:rFonts w:ascii="Arial" w:cs="Arial" w:eastAsia="Arial" w:hAnsi="Arial"/>
          <w:sz w:val="8"/>
          <w:szCs w:val="8"/>
          <w:color w:val="auto"/>
        </w:rPr>
        <w:t>£</w:t>
      </w:r>
      <w:r>
        <w:rPr>
          <w:rFonts w:ascii="Arial" w:cs="Arial" w:eastAsia="Arial" w:hAnsi="Arial"/>
          <w:sz w:val="7"/>
          <w:szCs w:val="7"/>
          <w:color w:val="auto"/>
        </w:rPr>
        <w:t>1 each.</w:t>
      </w:r>
    </w:p>
    <w:p>
      <w:pPr>
        <w:spacing w:after="0" w:line="165" w:lineRule="exact"/>
        <w:rPr>
          <w:sz w:val="20"/>
          <w:szCs w:val="20"/>
          <w:color w:val="auto"/>
        </w:rPr>
      </w:pPr>
    </w:p>
    <w:p>
      <w:pPr>
        <w:ind w:right="100"/>
        <w:spacing w:after="0" w:line="234" w:lineRule="auto"/>
        <w:rPr>
          <w:sz w:val="20"/>
          <w:szCs w:val="20"/>
          <w:color w:val="auto"/>
        </w:rPr>
      </w:pPr>
      <w:r>
        <w:rPr>
          <w:rFonts w:ascii="Arial" w:cs="Arial" w:eastAsia="Arial" w:hAnsi="Arial"/>
          <w:sz w:val="10"/>
          <w:szCs w:val="10"/>
          <w:color w:val="auto"/>
        </w:rPr>
        <w:t>At the Company’s Annual General Meeting (AGM) on May 19, 2020, the Board was authorised to allot ordinary shares in the Company, and to grant rights to subscribe for or to convert any security into ordinary shares in the Company, up to an aggregate nominal amount of €182.7 million (representing 2,611 million ordinary shares of €0.07 each), and to list such shares or rights on any stock exchange. This authority expires at the earlier of the close of business on August 19, 2021, and the end of the AGM to be held in 2021, unless previously renewed, revoked or varied by the Company in a general meeting.</w:t>
      </w:r>
    </w:p>
    <w:p>
      <w:pPr>
        <w:spacing w:after="0" w:line="150" w:lineRule="exact"/>
        <w:rPr>
          <w:sz w:val="20"/>
          <w:szCs w:val="20"/>
          <w:color w:val="auto"/>
        </w:rPr>
      </w:pPr>
    </w:p>
    <w:p>
      <w:pPr>
        <w:ind w:right="40"/>
        <w:spacing w:after="0" w:line="307" w:lineRule="auto"/>
        <w:rPr>
          <w:sz w:val="20"/>
          <w:szCs w:val="20"/>
          <w:color w:val="auto"/>
        </w:rPr>
      </w:pPr>
      <w:r>
        <w:rPr>
          <w:rFonts w:ascii="Arial" w:cs="Arial" w:eastAsia="Arial" w:hAnsi="Arial"/>
          <w:sz w:val="8"/>
          <w:szCs w:val="8"/>
          <w:color w:val="auto"/>
        </w:rPr>
        <w:t>At the May 19, 2020 AGM, shareholders granted the Company the authority to repurchase up to 783 million ordinary shares (excluding any treasury shares), renewing the authority granted by the shareholders at previous AGMs. The authority will expire at the earlier of the close of business on August 19, 2021, and the end of the AGM of the Company to be held in 2021. Ordinary shares purchased by the Company pursuant to this authority will either be cancelled or held in treasury. Treasury shares are shares in the Company which are owned by the Company itself. The minimum price, exclusive of expenses, which may be paid for an ordinary share is €0.07. The maximum price, exclusive of expenses, which may be paid for an ordinary share is the higher of: (i) an amount equal to 5% above the average market value for an ordinary share for the five business days immediately preceding the date of the purchase; and (ii) the higher of the price of the last independent trade and the highest current independent bid on the trading venues where the purchase is carried out.</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On March 23, 2020, in light of the economic and oil price environment, the Board decided not to continue with the next tranche of the share buyback programme following the completion of the tranche announced on January 30, 2020.</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21 – SHARE-BASED COMPENSATION PLANS AND SHARES HELD IN TRUST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Share-based compensation expense</w:t>
            </w:r>
          </w:p>
        </w:tc>
        <w:tc>
          <w:tcPr>
            <w:tcW w:w="1240" w:type="dxa"/>
            <w:vAlign w:val="bottom"/>
            <w:tcBorders>
              <w:top w:val="single" w:sz="8" w:color="CDCDCD"/>
            </w:tcBorders>
          </w:tcPr>
          <w:p>
            <w:pPr>
              <w:spacing w:after="0"/>
              <w:rPr>
                <w:sz w:val="13"/>
                <w:szCs w:val="13"/>
                <w:color w:val="auto"/>
              </w:rPr>
            </w:pPr>
          </w:p>
        </w:tc>
        <w:tc>
          <w:tcPr>
            <w:tcW w:w="1660" w:type="dxa"/>
            <w:vAlign w:val="bottom"/>
            <w:tcBorders>
              <w:top w:val="single" w:sz="8" w:color="CDCDCD"/>
            </w:tcBorders>
          </w:tcPr>
          <w:p>
            <w:pPr>
              <w:spacing w:after="0"/>
              <w:rPr>
                <w:sz w:val="13"/>
                <w:szCs w:val="13"/>
                <w:color w:val="auto"/>
              </w:rPr>
            </w:pPr>
          </w:p>
        </w:tc>
        <w:tc>
          <w:tcPr>
            <w:tcW w:w="820" w:type="dxa"/>
            <w:vAlign w:val="bottom"/>
            <w:tcBorders>
              <w:top w:val="single" w:sz="8" w:color="CDCDCD"/>
            </w:tcBorders>
          </w:tcPr>
          <w:p>
            <w:pPr>
              <w:ind w:left="460"/>
              <w:spacing w:after="0"/>
              <w:rPr>
                <w:sz w:val="20"/>
                <w:szCs w:val="20"/>
                <w:color w:val="auto"/>
              </w:rPr>
            </w:pPr>
            <w:r>
              <w:rPr>
                <w:rFonts w:ascii="Arial" w:cs="Arial" w:eastAsia="Arial" w:hAnsi="Arial"/>
                <w:sz w:val="10"/>
                <w:szCs w:val="10"/>
                <w:color w:val="auto"/>
                <w:w w:val="92"/>
              </w:rPr>
              <w:t>$ million</w:t>
            </w:r>
          </w:p>
        </w:tc>
      </w:tr>
      <w:tr>
        <w:trPr>
          <w:trHeight w:val="127"/>
        </w:trPr>
        <w:tc>
          <w:tcPr>
            <w:tcW w:w="75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left="972"/>
              <w:spacing w:after="0"/>
              <w:rPr>
                <w:sz w:val="20"/>
                <w:szCs w:val="20"/>
                <w:color w:val="auto"/>
              </w:rPr>
            </w:pPr>
            <w:r>
              <w:rPr>
                <w:rFonts w:ascii="Arial" w:cs="Arial" w:eastAsia="Arial" w:hAnsi="Arial"/>
                <w:sz w:val="10"/>
                <w:szCs w:val="10"/>
                <w:color w:val="auto"/>
                <w:w w:val="80"/>
              </w:rPr>
              <w:t>2020</w:t>
            </w:r>
          </w:p>
        </w:tc>
        <w:tc>
          <w:tcPr>
            <w:tcW w:w="1660" w:type="dxa"/>
            <w:vAlign w:val="bottom"/>
            <w:tcBorders>
              <w:bottom w:val="single" w:sz="8" w:color="auto"/>
            </w:tcBorders>
          </w:tcPr>
          <w:p>
            <w:pPr>
              <w:jc w:val="center"/>
              <w:ind w:left="552"/>
              <w:spacing w:after="0"/>
              <w:rPr>
                <w:sz w:val="20"/>
                <w:szCs w:val="20"/>
                <w:color w:val="auto"/>
              </w:rPr>
            </w:pPr>
            <w:r>
              <w:rPr>
                <w:rFonts w:ascii="Arial" w:cs="Arial" w:eastAsia="Arial" w:hAnsi="Arial"/>
                <w:sz w:val="10"/>
                <w:szCs w:val="10"/>
                <w:color w:val="auto"/>
                <w:w w:val="80"/>
              </w:rPr>
              <w:t>2019</w:t>
            </w: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0"/>
                <w:szCs w:val="10"/>
                <w:color w:val="auto"/>
                <w:w w:val="80"/>
              </w:rPr>
              <w:t>2018</w:t>
            </w:r>
          </w:p>
        </w:tc>
      </w:tr>
      <w:tr>
        <w:trPr>
          <w:trHeight w:val="117"/>
        </w:trPr>
        <w:tc>
          <w:tcPr>
            <w:tcW w:w="75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Equity-settled [A]</w:t>
            </w:r>
          </w:p>
        </w:tc>
        <w:tc>
          <w:tcPr>
            <w:tcW w:w="1240" w:type="dxa"/>
            <w:vAlign w:val="bottom"/>
            <w:tcBorders>
              <w:bottom w:val="single" w:sz="8" w:color="auto"/>
            </w:tcBorders>
            <w:shd w:val="clear" w:color="auto" w:fill="CDCDCD"/>
          </w:tcPr>
          <w:p>
            <w:pPr>
              <w:jc w:val="center"/>
              <w:ind w:left="972"/>
              <w:spacing w:after="0"/>
              <w:rPr>
                <w:sz w:val="20"/>
                <w:szCs w:val="20"/>
                <w:color w:val="auto"/>
              </w:rPr>
            </w:pPr>
            <w:r>
              <w:rPr>
                <w:rFonts w:ascii="Arial" w:cs="Arial" w:eastAsia="Arial" w:hAnsi="Arial"/>
                <w:sz w:val="10"/>
                <w:szCs w:val="10"/>
                <w:color w:val="auto"/>
                <w:w w:val="83"/>
              </w:rPr>
              <w:t>359</w:t>
            </w:r>
          </w:p>
        </w:tc>
        <w:tc>
          <w:tcPr>
            <w:tcW w:w="1660" w:type="dxa"/>
            <w:vAlign w:val="bottom"/>
            <w:tcBorders>
              <w:bottom w:val="single" w:sz="8" w:color="auto"/>
            </w:tcBorders>
          </w:tcPr>
          <w:p>
            <w:pPr>
              <w:jc w:val="center"/>
              <w:ind w:left="532"/>
              <w:spacing w:after="0"/>
              <w:rPr>
                <w:sz w:val="20"/>
                <w:szCs w:val="20"/>
                <w:color w:val="auto"/>
              </w:rPr>
            </w:pPr>
            <w:r>
              <w:rPr>
                <w:rFonts w:ascii="Arial" w:cs="Arial" w:eastAsia="Arial" w:hAnsi="Arial"/>
                <w:sz w:val="10"/>
                <w:szCs w:val="10"/>
                <w:color w:val="auto"/>
                <w:w w:val="95"/>
              </w:rPr>
              <w:t>537</w:t>
            </w: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0"/>
                <w:szCs w:val="10"/>
                <w:color w:val="auto"/>
              </w:rPr>
              <w:t>531</w:t>
            </w:r>
          </w:p>
        </w:tc>
      </w:tr>
      <w:tr>
        <w:trPr>
          <w:trHeight w:val="115"/>
        </w:trPr>
        <w:tc>
          <w:tcPr>
            <w:tcW w:w="75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240" w:type="dxa"/>
            <w:vAlign w:val="bottom"/>
            <w:tcBorders>
              <w:bottom w:val="single" w:sz="8" w:color="auto"/>
            </w:tcBorders>
            <w:shd w:val="clear" w:color="auto" w:fill="CDCDCD"/>
          </w:tcPr>
          <w:p>
            <w:pPr>
              <w:jc w:val="center"/>
              <w:ind w:left="972"/>
              <w:spacing w:after="0"/>
              <w:rPr>
                <w:sz w:val="20"/>
                <w:szCs w:val="20"/>
                <w:color w:val="auto"/>
              </w:rPr>
            </w:pPr>
            <w:r>
              <w:rPr>
                <w:rFonts w:ascii="Arial" w:cs="Arial" w:eastAsia="Arial" w:hAnsi="Arial"/>
                <w:sz w:val="10"/>
                <w:szCs w:val="10"/>
                <w:color w:val="auto"/>
                <w:w w:val="83"/>
              </w:rPr>
              <w:t>359</w:t>
            </w:r>
          </w:p>
        </w:tc>
        <w:tc>
          <w:tcPr>
            <w:tcW w:w="1660" w:type="dxa"/>
            <w:vAlign w:val="bottom"/>
            <w:tcBorders>
              <w:bottom w:val="single" w:sz="8" w:color="auto"/>
            </w:tcBorders>
          </w:tcPr>
          <w:p>
            <w:pPr>
              <w:jc w:val="center"/>
              <w:ind w:left="532"/>
              <w:spacing w:after="0"/>
              <w:rPr>
                <w:sz w:val="20"/>
                <w:szCs w:val="20"/>
                <w:color w:val="auto"/>
              </w:rPr>
            </w:pPr>
            <w:r>
              <w:rPr>
                <w:rFonts w:ascii="Arial" w:cs="Arial" w:eastAsia="Arial" w:hAnsi="Arial"/>
                <w:sz w:val="10"/>
                <w:szCs w:val="10"/>
                <w:color w:val="auto"/>
                <w:w w:val="95"/>
              </w:rPr>
              <w:t>537</w:t>
            </w: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0"/>
                <w:szCs w:val="10"/>
                <w:color w:val="auto"/>
              </w:rPr>
              <w:t>531</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0"/>
          <w:szCs w:val="10"/>
          <w:color w:val="auto"/>
        </w:rPr>
        <w:t>[A] On an incidental basis awards may be cash-settled, where an equity settlement is not possible under local regulations.</w:t>
      </w:r>
    </w:p>
    <w:p>
      <w:pPr>
        <w:spacing w:after="0" w:line="155" w:lineRule="exact"/>
        <w:rPr>
          <w:sz w:val="20"/>
          <w:szCs w:val="20"/>
          <w:color w:val="auto"/>
        </w:rPr>
      </w:pPr>
    </w:p>
    <w:p>
      <w:pPr>
        <w:ind w:right="60"/>
        <w:spacing w:after="0" w:line="239" w:lineRule="auto"/>
        <w:rPr>
          <w:sz w:val="20"/>
          <w:szCs w:val="20"/>
          <w:color w:val="auto"/>
        </w:rPr>
      </w:pPr>
      <w:r>
        <w:rPr>
          <w:rFonts w:ascii="Arial" w:cs="Arial" w:eastAsia="Arial" w:hAnsi="Arial"/>
          <w:sz w:val="10"/>
          <w:szCs w:val="10"/>
          <w:color w:val="auto"/>
        </w:rPr>
        <w:t>The principal share-based employee compensation plans are the PSP and LTIP. Awards of shares and American Depositary Shares (ADS) of the Company under the PSP and LTIP are granted upon certain conditions to eligible employees. The actual amount of shares that may vest ranges from 0% to 200%of the awards, depending on the outcomes of prescribed performance conditions over a three-year period beginning on January 1 of the award year. Shares and ADSs vest for nil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7166610" cy="228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66610" cy="2286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Share awards under the PSP and LTIP</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4000" w:type="dxa"/>
            <w:vAlign w:val="bottom"/>
          </w:tcPr>
          <w:p>
            <w:pPr>
              <w:spacing w:after="0"/>
              <w:rPr>
                <w:sz w:val="7"/>
                <w:szCs w:val="7"/>
                <w:color w:val="auto"/>
              </w:rPr>
            </w:pPr>
          </w:p>
        </w:tc>
        <w:tc>
          <w:tcPr>
            <w:tcW w:w="4040" w:type="dxa"/>
            <w:vAlign w:val="bottom"/>
          </w:tcPr>
          <w:p>
            <w:pPr>
              <w:jc w:val="right"/>
              <w:ind w:right="213"/>
              <w:spacing w:after="0"/>
              <w:rPr>
                <w:sz w:val="20"/>
                <w:szCs w:val="20"/>
                <w:color w:val="auto"/>
              </w:rPr>
            </w:pPr>
            <w:r>
              <w:rPr>
                <w:rFonts w:ascii="Arial" w:cs="Arial" w:eastAsia="Arial" w:hAnsi="Arial"/>
                <w:sz w:val="8"/>
                <w:szCs w:val="8"/>
                <w:color w:val="auto"/>
              </w:rPr>
              <w:t>Number of A shares</w:t>
            </w:r>
          </w:p>
        </w:tc>
        <w:tc>
          <w:tcPr>
            <w:tcW w:w="1140" w:type="dxa"/>
            <w:vAlign w:val="bottom"/>
          </w:tcPr>
          <w:p>
            <w:pPr>
              <w:jc w:val="right"/>
              <w:ind w:right="173"/>
              <w:spacing w:after="0"/>
              <w:rPr>
                <w:sz w:val="20"/>
                <w:szCs w:val="20"/>
                <w:color w:val="auto"/>
              </w:rPr>
            </w:pPr>
            <w:r>
              <w:rPr>
                <w:rFonts w:ascii="Arial" w:cs="Arial" w:eastAsia="Arial" w:hAnsi="Arial"/>
                <w:sz w:val="8"/>
                <w:szCs w:val="8"/>
                <w:color w:val="auto"/>
              </w:rPr>
              <w:t>Number of B shares</w:t>
            </w:r>
          </w:p>
        </w:tc>
        <w:tc>
          <w:tcPr>
            <w:tcW w:w="1000" w:type="dxa"/>
            <w:vAlign w:val="bottom"/>
          </w:tcPr>
          <w:p>
            <w:pPr>
              <w:jc w:val="right"/>
              <w:ind w:right="53"/>
              <w:spacing w:after="0"/>
              <w:rPr>
                <w:sz w:val="20"/>
                <w:szCs w:val="20"/>
                <w:color w:val="auto"/>
              </w:rPr>
            </w:pPr>
            <w:r>
              <w:rPr>
                <w:rFonts w:ascii="Arial" w:cs="Arial" w:eastAsia="Arial" w:hAnsi="Arial"/>
                <w:sz w:val="8"/>
                <w:szCs w:val="8"/>
                <w:color w:val="auto"/>
              </w:rPr>
              <w:t>Number of A ADSs</w:t>
            </w:r>
          </w:p>
        </w:tc>
        <w:tc>
          <w:tcPr>
            <w:tcW w:w="1100" w:type="dxa"/>
            <w:vAlign w:val="bottom"/>
          </w:tcPr>
          <w:p>
            <w:pPr>
              <w:jc w:val="right"/>
              <w:spacing w:after="0"/>
              <w:rPr>
                <w:sz w:val="20"/>
                <w:szCs w:val="20"/>
                <w:color w:val="auto"/>
              </w:rPr>
            </w:pPr>
            <w:r>
              <w:rPr>
                <w:rFonts w:ascii="Arial" w:cs="Arial" w:eastAsia="Arial" w:hAnsi="Arial"/>
                <w:sz w:val="8"/>
                <w:szCs w:val="8"/>
                <w:color w:val="auto"/>
              </w:rPr>
              <w:t>Weighted Average remaining</w:t>
            </w:r>
          </w:p>
        </w:tc>
      </w:tr>
      <w:tr>
        <w:trPr>
          <w:trHeight w:val="111"/>
        </w:trPr>
        <w:tc>
          <w:tcPr>
            <w:tcW w:w="4000" w:type="dxa"/>
            <w:vAlign w:val="bottom"/>
            <w:tcBorders>
              <w:bottom w:val="single" w:sz="8" w:color="auto"/>
            </w:tcBorders>
          </w:tcPr>
          <w:p>
            <w:pPr>
              <w:spacing w:after="0"/>
              <w:rPr>
                <w:sz w:val="9"/>
                <w:szCs w:val="9"/>
                <w:color w:val="auto"/>
              </w:rPr>
            </w:pPr>
          </w:p>
        </w:tc>
        <w:tc>
          <w:tcPr>
            <w:tcW w:w="4040" w:type="dxa"/>
            <w:vAlign w:val="bottom"/>
            <w:tcBorders>
              <w:bottom w:val="single" w:sz="8" w:color="auto"/>
            </w:tcBorders>
          </w:tcPr>
          <w:p>
            <w:pPr>
              <w:jc w:val="right"/>
              <w:ind w:right="213"/>
              <w:spacing w:after="0"/>
              <w:rPr>
                <w:sz w:val="20"/>
                <w:szCs w:val="20"/>
                <w:color w:val="auto"/>
              </w:rPr>
            </w:pPr>
            <w:r>
              <w:rPr>
                <w:rFonts w:ascii="Arial" w:cs="Arial" w:eastAsia="Arial" w:hAnsi="Arial"/>
                <w:sz w:val="8"/>
                <w:szCs w:val="8"/>
                <w:color w:val="auto"/>
              </w:rPr>
              <w:t>(million)</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8"/>
                <w:szCs w:val="8"/>
                <w:color w:val="auto"/>
              </w:rPr>
              <w:t>(million)</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8"/>
                <w:szCs w:val="8"/>
                <w:color w:val="auto"/>
              </w:rPr>
              <w:t>(million)</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contractual life (years)</w:t>
            </w:r>
          </w:p>
        </w:tc>
      </w:tr>
      <w:tr>
        <w:trPr>
          <w:trHeight w:val="116"/>
        </w:trPr>
        <w:tc>
          <w:tcPr>
            <w:tcW w:w="4000" w:type="dxa"/>
            <w:vAlign w:val="bottom"/>
          </w:tcPr>
          <w:p>
            <w:pPr>
              <w:spacing w:after="0"/>
              <w:rPr>
                <w:sz w:val="20"/>
                <w:szCs w:val="20"/>
                <w:color w:val="auto"/>
              </w:rPr>
            </w:pPr>
            <w:r>
              <w:rPr>
                <w:rFonts w:ascii="Arial" w:cs="Arial" w:eastAsia="Arial" w:hAnsi="Arial"/>
                <w:sz w:val="10"/>
                <w:szCs w:val="10"/>
                <w:color w:val="auto"/>
              </w:rPr>
              <w:t>At January 1, 2020</w:t>
            </w:r>
          </w:p>
        </w:tc>
        <w:tc>
          <w:tcPr>
            <w:tcW w:w="4040" w:type="dxa"/>
            <w:vAlign w:val="bottom"/>
          </w:tcPr>
          <w:p>
            <w:pPr>
              <w:ind w:left="3660"/>
              <w:spacing w:after="0"/>
              <w:rPr>
                <w:sz w:val="20"/>
                <w:szCs w:val="20"/>
                <w:color w:val="auto"/>
              </w:rPr>
            </w:pPr>
            <w:r>
              <w:rPr>
                <w:rFonts w:ascii="Arial" w:cs="Arial" w:eastAsia="Arial" w:hAnsi="Arial"/>
                <w:sz w:val="10"/>
                <w:szCs w:val="10"/>
                <w:color w:val="auto"/>
              </w:rPr>
              <w:t>29</w:t>
            </w:r>
          </w:p>
        </w:tc>
        <w:tc>
          <w:tcPr>
            <w:tcW w:w="1140" w:type="dxa"/>
            <w:vAlign w:val="bottom"/>
          </w:tcPr>
          <w:p>
            <w:pPr>
              <w:jc w:val="right"/>
              <w:ind w:right="213"/>
              <w:spacing w:after="0"/>
              <w:rPr>
                <w:sz w:val="20"/>
                <w:szCs w:val="20"/>
                <w:color w:val="auto"/>
              </w:rPr>
            </w:pPr>
            <w:r>
              <w:rPr>
                <w:rFonts w:ascii="Arial" w:cs="Arial" w:eastAsia="Arial" w:hAnsi="Arial"/>
                <w:sz w:val="10"/>
                <w:szCs w:val="10"/>
                <w:color w:val="auto"/>
              </w:rPr>
              <w:t>10</w:t>
            </w:r>
          </w:p>
        </w:tc>
        <w:tc>
          <w:tcPr>
            <w:tcW w:w="1000" w:type="dxa"/>
            <w:vAlign w:val="bottom"/>
          </w:tcPr>
          <w:p>
            <w:pPr>
              <w:jc w:val="right"/>
              <w:ind w:right="73"/>
              <w:spacing w:after="0"/>
              <w:rPr>
                <w:sz w:val="20"/>
                <w:szCs w:val="20"/>
                <w:color w:val="auto"/>
              </w:rPr>
            </w:pPr>
            <w:r>
              <w:rPr>
                <w:rFonts w:ascii="Arial" w:cs="Arial" w:eastAsia="Arial" w:hAnsi="Arial"/>
                <w:sz w:val="10"/>
                <w:szCs w:val="10"/>
                <w:color w:val="auto"/>
              </w:rPr>
              <w:t>8</w:t>
            </w:r>
          </w:p>
        </w:tc>
        <w:tc>
          <w:tcPr>
            <w:tcW w:w="1100" w:type="dxa"/>
            <w:vAlign w:val="bottom"/>
          </w:tcPr>
          <w:p>
            <w:pPr>
              <w:jc w:val="right"/>
              <w:spacing w:after="0"/>
              <w:rPr>
                <w:sz w:val="20"/>
                <w:szCs w:val="20"/>
                <w:color w:val="auto"/>
              </w:rPr>
            </w:pPr>
            <w:r>
              <w:rPr>
                <w:rFonts w:ascii="Arial" w:cs="Arial" w:eastAsia="Arial" w:hAnsi="Arial"/>
                <w:sz w:val="10"/>
                <w:szCs w:val="10"/>
                <w:color w:val="auto"/>
              </w:rPr>
              <w:t>1.0</w:t>
            </w:r>
          </w:p>
        </w:tc>
      </w:tr>
      <w:tr>
        <w:trPr>
          <w:trHeight w:val="123"/>
        </w:trPr>
        <w:tc>
          <w:tcPr>
            <w:tcW w:w="4000" w:type="dxa"/>
            <w:vAlign w:val="bottom"/>
          </w:tcPr>
          <w:p>
            <w:pPr>
              <w:spacing w:after="0"/>
              <w:rPr>
                <w:sz w:val="20"/>
                <w:szCs w:val="20"/>
                <w:color w:val="auto"/>
              </w:rPr>
            </w:pPr>
            <w:r>
              <w:rPr>
                <w:rFonts w:ascii="Arial" w:cs="Arial" w:eastAsia="Arial" w:hAnsi="Arial"/>
                <w:sz w:val="10"/>
                <w:szCs w:val="10"/>
                <w:color w:val="auto"/>
              </w:rPr>
              <w:t>Granted</w:t>
            </w:r>
          </w:p>
        </w:tc>
        <w:tc>
          <w:tcPr>
            <w:tcW w:w="4040" w:type="dxa"/>
            <w:vAlign w:val="bottom"/>
          </w:tcPr>
          <w:p>
            <w:pPr>
              <w:ind w:left="3660"/>
              <w:spacing w:after="0"/>
              <w:rPr>
                <w:sz w:val="20"/>
                <w:szCs w:val="20"/>
                <w:color w:val="auto"/>
              </w:rPr>
            </w:pPr>
            <w:r>
              <w:rPr>
                <w:rFonts w:ascii="Arial" w:cs="Arial" w:eastAsia="Arial" w:hAnsi="Arial"/>
                <w:sz w:val="10"/>
                <w:szCs w:val="10"/>
                <w:color w:val="auto"/>
              </w:rPr>
              <w:t>10</w:t>
            </w:r>
          </w:p>
        </w:tc>
        <w:tc>
          <w:tcPr>
            <w:tcW w:w="1140" w:type="dxa"/>
            <w:vAlign w:val="bottom"/>
          </w:tcPr>
          <w:p>
            <w:pPr>
              <w:jc w:val="right"/>
              <w:ind w:right="213"/>
              <w:spacing w:after="0"/>
              <w:rPr>
                <w:sz w:val="20"/>
                <w:szCs w:val="20"/>
                <w:color w:val="auto"/>
              </w:rPr>
            </w:pPr>
            <w:r>
              <w:rPr>
                <w:rFonts w:ascii="Arial" w:cs="Arial" w:eastAsia="Arial" w:hAnsi="Arial"/>
                <w:sz w:val="10"/>
                <w:szCs w:val="10"/>
                <w:color w:val="auto"/>
              </w:rPr>
              <w:t>4</w:t>
            </w:r>
          </w:p>
        </w:tc>
        <w:tc>
          <w:tcPr>
            <w:tcW w:w="1000" w:type="dxa"/>
            <w:vAlign w:val="bottom"/>
          </w:tcPr>
          <w:p>
            <w:pPr>
              <w:jc w:val="right"/>
              <w:ind w:right="73"/>
              <w:spacing w:after="0"/>
              <w:rPr>
                <w:sz w:val="20"/>
                <w:szCs w:val="20"/>
                <w:color w:val="auto"/>
              </w:rPr>
            </w:pPr>
            <w:r>
              <w:rPr>
                <w:rFonts w:ascii="Arial" w:cs="Arial" w:eastAsia="Arial" w:hAnsi="Arial"/>
                <w:sz w:val="10"/>
                <w:szCs w:val="10"/>
                <w:color w:val="auto"/>
              </w:rPr>
              <w:t>3</w:t>
            </w:r>
          </w:p>
        </w:tc>
        <w:tc>
          <w:tcPr>
            <w:tcW w:w="1100" w:type="dxa"/>
            <w:vAlign w:val="bottom"/>
          </w:tcPr>
          <w:p>
            <w:pPr>
              <w:spacing w:after="0"/>
              <w:rPr>
                <w:sz w:val="10"/>
                <w:szCs w:val="10"/>
                <w:color w:val="auto"/>
              </w:rPr>
            </w:pPr>
          </w:p>
        </w:tc>
      </w:tr>
      <w:tr>
        <w:trPr>
          <w:trHeight w:val="126"/>
        </w:trPr>
        <w:tc>
          <w:tcPr>
            <w:tcW w:w="4000" w:type="dxa"/>
            <w:vAlign w:val="bottom"/>
          </w:tcPr>
          <w:p>
            <w:pPr>
              <w:spacing w:after="0"/>
              <w:rPr>
                <w:sz w:val="20"/>
                <w:szCs w:val="20"/>
                <w:color w:val="auto"/>
              </w:rPr>
            </w:pPr>
            <w:r>
              <w:rPr>
                <w:rFonts w:ascii="Arial" w:cs="Arial" w:eastAsia="Arial" w:hAnsi="Arial"/>
                <w:sz w:val="10"/>
                <w:szCs w:val="10"/>
                <w:color w:val="auto"/>
              </w:rPr>
              <w:t>Vested</w:t>
            </w:r>
          </w:p>
        </w:tc>
        <w:tc>
          <w:tcPr>
            <w:tcW w:w="4040" w:type="dxa"/>
            <w:vAlign w:val="bottom"/>
          </w:tcPr>
          <w:p>
            <w:pPr>
              <w:ind w:left="3660"/>
              <w:spacing w:after="0"/>
              <w:rPr>
                <w:sz w:val="20"/>
                <w:szCs w:val="20"/>
                <w:color w:val="auto"/>
              </w:rPr>
            </w:pPr>
            <w:r>
              <w:rPr>
                <w:rFonts w:ascii="Arial" w:cs="Arial" w:eastAsia="Arial" w:hAnsi="Arial"/>
                <w:sz w:val="10"/>
                <w:szCs w:val="10"/>
                <w:color w:val="auto"/>
              </w:rPr>
              <w:t>(9)</w:t>
            </w:r>
          </w:p>
        </w:tc>
        <w:tc>
          <w:tcPr>
            <w:tcW w:w="1140" w:type="dxa"/>
            <w:vAlign w:val="bottom"/>
          </w:tcPr>
          <w:p>
            <w:pPr>
              <w:jc w:val="right"/>
              <w:ind w:right="193"/>
              <w:spacing w:after="0"/>
              <w:rPr>
                <w:sz w:val="20"/>
                <w:szCs w:val="20"/>
                <w:color w:val="auto"/>
              </w:rPr>
            </w:pPr>
            <w:r>
              <w:rPr>
                <w:rFonts w:ascii="Arial" w:cs="Arial" w:eastAsia="Arial" w:hAnsi="Arial"/>
                <w:sz w:val="10"/>
                <w:szCs w:val="10"/>
                <w:color w:val="auto"/>
              </w:rPr>
              <w:t>(4)</w:t>
            </w:r>
          </w:p>
        </w:tc>
        <w:tc>
          <w:tcPr>
            <w:tcW w:w="1000" w:type="dxa"/>
            <w:vAlign w:val="bottom"/>
          </w:tcPr>
          <w:p>
            <w:pPr>
              <w:jc w:val="right"/>
              <w:ind w:right="53"/>
              <w:spacing w:after="0"/>
              <w:rPr>
                <w:sz w:val="20"/>
                <w:szCs w:val="20"/>
                <w:color w:val="auto"/>
              </w:rPr>
            </w:pPr>
            <w:r>
              <w:rPr>
                <w:rFonts w:ascii="Arial" w:cs="Arial" w:eastAsia="Arial" w:hAnsi="Arial"/>
                <w:sz w:val="10"/>
                <w:szCs w:val="10"/>
                <w:color w:val="auto"/>
              </w:rPr>
              <w:t>(3)</w:t>
            </w:r>
          </w:p>
        </w:tc>
        <w:tc>
          <w:tcPr>
            <w:tcW w:w="1100" w:type="dxa"/>
            <w:vAlign w:val="bottom"/>
          </w:tcPr>
          <w:p>
            <w:pPr>
              <w:spacing w:after="0"/>
              <w:rPr>
                <w:sz w:val="10"/>
                <w:szCs w:val="10"/>
                <w:color w:val="auto"/>
              </w:rPr>
            </w:pPr>
          </w:p>
        </w:tc>
      </w:tr>
      <w:tr>
        <w:trPr>
          <w:trHeight w:val="130"/>
        </w:trPr>
        <w:tc>
          <w:tcPr>
            <w:tcW w:w="40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Forfeited</w:t>
            </w:r>
          </w:p>
        </w:tc>
        <w:tc>
          <w:tcPr>
            <w:tcW w:w="4040" w:type="dxa"/>
            <w:vAlign w:val="bottom"/>
            <w:tcBorders>
              <w:bottom w:val="single" w:sz="8" w:color="auto"/>
            </w:tcBorders>
          </w:tcPr>
          <w:p>
            <w:pPr>
              <w:ind w:left="3660"/>
              <w:spacing w:after="0"/>
              <w:rPr>
                <w:sz w:val="20"/>
                <w:szCs w:val="20"/>
                <w:color w:val="auto"/>
              </w:rPr>
            </w:pPr>
            <w:r>
              <w:rPr>
                <w:rFonts w:ascii="Arial" w:cs="Arial" w:eastAsia="Arial" w:hAnsi="Arial"/>
                <w:sz w:val="10"/>
                <w:szCs w:val="10"/>
                <w:color w:val="auto"/>
              </w:rPr>
              <w:t>(1)</w:t>
            </w: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spacing w:after="0"/>
              <w:rPr>
                <w:sz w:val="11"/>
                <w:szCs w:val="11"/>
                <w:color w:val="auto"/>
              </w:rPr>
            </w:pPr>
          </w:p>
        </w:tc>
      </w:tr>
      <w:tr>
        <w:trPr>
          <w:trHeight w:val="117"/>
        </w:trPr>
        <w:tc>
          <w:tcPr>
            <w:tcW w:w="40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2020</w:t>
            </w:r>
          </w:p>
        </w:tc>
        <w:tc>
          <w:tcPr>
            <w:tcW w:w="4040" w:type="dxa"/>
            <w:vAlign w:val="bottom"/>
            <w:tcBorders>
              <w:bottom w:val="single" w:sz="8" w:color="auto"/>
            </w:tcBorders>
          </w:tcPr>
          <w:p>
            <w:pPr>
              <w:ind w:left="3660"/>
              <w:spacing w:after="0"/>
              <w:rPr>
                <w:sz w:val="20"/>
                <w:szCs w:val="20"/>
                <w:color w:val="auto"/>
              </w:rPr>
            </w:pPr>
            <w:r>
              <w:rPr>
                <w:rFonts w:ascii="Arial" w:cs="Arial" w:eastAsia="Arial" w:hAnsi="Arial"/>
                <w:sz w:val="10"/>
                <w:szCs w:val="10"/>
                <w:color w:val="auto"/>
              </w:rPr>
              <w:t>29</w:t>
            </w: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0"/>
                <w:szCs w:val="10"/>
                <w:color w:val="auto"/>
              </w:rPr>
              <w:t>10</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r>
      <w:tr>
        <w:trPr>
          <w:trHeight w:val="113"/>
        </w:trPr>
        <w:tc>
          <w:tcPr>
            <w:tcW w:w="4000" w:type="dxa"/>
            <w:vAlign w:val="bottom"/>
          </w:tcPr>
          <w:p>
            <w:pPr>
              <w:spacing w:after="0" w:line="113" w:lineRule="exact"/>
              <w:rPr>
                <w:sz w:val="20"/>
                <w:szCs w:val="20"/>
                <w:color w:val="auto"/>
              </w:rPr>
            </w:pPr>
            <w:r>
              <w:rPr>
                <w:rFonts w:ascii="Arial" w:cs="Arial" w:eastAsia="Arial" w:hAnsi="Arial"/>
                <w:sz w:val="10"/>
                <w:szCs w:val="10"/>
                <w:color w:val="auto"/>
              </w:rPr>
              <w:t>At January 1, 2019</w:t>
            </w:r>
          </w:p>
        </w:tc>
        <w:tc>
          <w:tcPr>
            <w:tcW w:w="4040" w:type="dxa"/>
            <w:vAlign w:val="bottom"/>
          </w:tcPr>
          <w:p>
            <w:pPr>
              <w:ind w:left="3660"/>
              <w:spacing w:after="0" w:line="113" w:lineRule="exact"/>
              <w:rPr>
                <w:sz w:val="20"/>
                <w:szCs w:val="20"/>
                <w:color w:val="auto"/>
              </w:rPr>
            </w:pPr>
            <w:r>
              <w:rPr>
                <w:rFonts w:ascii="Arial" w:cs="Arial" w:eastAsia="Arial" w:hAnsi="Arial"/>
                <w:sz w:val="10"/>
                <w:szCs w:val="10"/>
                <w:color w:val="auto"/>
              </w:rPr>
              <w:t>30</w:t>
            </w:r>
          </w:p>
        </w:tc>
        <w:tc>
          <w:tcPr>
            <w:tcW w:w="1140" w:type="dxa"/>
            <w:vAlign w:val="bottom"/>
          </w:tcPr>
          <w:p>
            <w:pPr>
              <w:jc w:val="right"/>
              <w:ind w:right="213"/>
              <w:spacing w:after="0" w:line="113" w:lineRule="exact"/>
              <w:rPr>
                <w:sz w:val="20"/>
                <w:szCs w:val="20"/>
                <w:color w:val="auto"/>
              </w:rPr>
            </w:pPr>
            <w:r>
              <w:rPr>
                <w:rFonts w:ascii="Arial" w:cs="Arial" w:eastAsia="Arial" w:hAnsi="Arial"/>
                <w:sz w:val="10"/>
                <w:szCs w:val="10"/>
                <w:color w:val="auto"/>
              </w:rPr>
              <w:t>12</w:t>
            </w:r>
          </w:p>
        </w:tc>
        <w:tc>
          <w:tcPr>
            <w:tcW w:w="1000" w:type="dxa"/>
            <w:vAlign w:val="bottom"/>
          </w:tcPr>
          <w:p>
            <w:pPr>
              <w:jc w:val="right"/>
              <w:ind w:right="73"/>
              <w:spacing w:after="0" w:line="113" w:lineRule="exact"/>
              <w:rPr>
                <w:sz w:val="20"/>
                <w:szCs w:val="20"/>
                <w:color w:val="auto"/>
              </w:rPr>
            </w:pPr>
            <w:r>
              <w:rPr>
                <w:rFonts w:ascii="Arial" w:cs="Arial" w:eastAsia="Arial" w:hAnsi="Arial"/>
                <w:sz w:val="10"/>
                <w:szCs w:val="10"/>
                <w:color w:val="auto"/>
              </w:rPr>
              <w:t>8</w:t>
            </w:r>
          </w:p>
        </w:tc>
        <w:tc>
          <w:tcPr>
            <w:tcW w:w="1100" w:type="dxa"/>
            <w:vAlign w:val="bottom"/>
          </w:tcPr>
          <w:p>
            <w:pPr>
              <w:jc w:val="right"/>
              <w:spacing w:after="0" w:line="113" w:lineRule="exact"/>
              <w:rPr>
                <w:sz w:val="20"/>
                <w:szCs w:val="20"/>
                <w:color w:val="auto"/>
              </w:rPr>
            </w:pPr>
            <w:r>
              <w:rPr>
                <w:rFonts w:ascii="Arial" w:cs="Arial" w:eastAsia="Arial" w:hAnsi="Arial"/>
                <w:sz w:val="10"/>
                <w:szCs w:val="10"/>
                <w:color w:val="auto"/>
              </w:rPr>
              <w:t>1.0</w:t>
            </w:r>
          </w:p>
        </w:tc>
      </w:tr>
      <w:tr>
        <w:trPr>
          <w:trHeight w:val="123"/>
        </w:trPr>
        <w:tc>
          <w:tcPr>
            <w:tcW w:w="4000" w:type="dxa"/>
            <w:vAlign w:val="bottom"/>
          </w:tcPr>
          <w:p>
            <w:pPr>
              <w:spacing w:after="0"/>
              <w:rPr>
                <w:sz w:val="20"/>
                <w:szCs w:val="20"/>
                <w:color w:val="auto"/>
              </w:rPr>
            </w:pPr>
            <w:r>
              <w:rPr>
                <w:rFonts w:ascii="Arial" w:cs="Arial" w:eastAsia="Arial" w:hAnsi="Arial"/>
                <w:sz w:val="10"/>
                <w:szCs w:val="10"/>
                <w:color w:val="auto"/>
              </w:rPr>
              <w:t>Granted</w:t>
            </w:r>
          </w:p>
        </w:tc>
        <w:tc>
          <w:tcPr>
            <w:tcW w:w="4040" w:type="dxa"/>
            <w:vAlign w:val="bottom"/>
          </w:tcPr>
          <w:p>
            <w:pPr>
              <w:ind w:left="3660"/>
              <w:spacing w:after="0"/>
              <w:rPr>
                <w:sz w:val="20"/>
                <w:szCs w:val="20"/>
                <w:color w:val="auto"/>
              </w:rPr>
            </w:pPr>
            <w:r>
              <w:rPr>
                <w:rFonts w:ascii="Arial" w:cs="Arial" w:eastAsia="Arial" w:hAnsi="Arial"/>
                <w:sz w:val="10"/>
                <w:szCs w:val="10"/>
                <w:color w:val="auto"/>
              </w:rPr>
              <w:t>11</w:t>
            </w:r>
          </w:p>
        </w:tc>
        <w:tc>
          <w:tcPr>
            <w:tcW w:w="1140" w:type="dxa"/>
            <w:vAlign w:val="bottom"/>
          </w:tcPr>
          <w:p>
            <w:pPr>
              <w:jc w:val="right"/>
              <w:ind w:right="213"/>
              <w:spacing w:after="0"/>
              <w:rPr>
                <w:sz w:val="20"/>
                <w:szCs w:val="20"/>
                <w:color w:val="auto"/>
              </w:rPr>
            </w:pPr>
            <w:r>
              <w:rPr>
                <w:rFonts w:ascii="Arial" w:cs="Arial" w:eastAsia="Arial" w:hAnsi="Arial"/>
                <w:sz w:val="10"/>
                <w:szCs w:val="10"/>
                <w:color w:val="auto"/>
              </w:rPr>
              <w:t>3</w:t>
            </w:r>
          </w:p>
        </w:tc>
        <w:tc>
          <w:tcPr>
            <w:tcW w:w="1000" w:type="dxa"/>
            <w:vAlign w:val="bottom"/>
          </w:tcPr>
          <w:p>
            <w:pPr>
              <w:jc w:val="right"/>
              <w:ind w:right="73"/>
              <w:spacing w:after="0"/>
              <w:rPr>
                <w:sz w:val="20"/>
                <w:szCs w:val="20"/>
                <w:color w:val="auto"/>
              </w:rPr>
            </w:pPr>
            <w:r>
              <w:rPr>
                <w:rFonts w:ascii="Arial" w:cs="Arial" w:eastAsia="Arial" w:hAnsi="Arial"/>
                <w:sz w:val="10"/>
                <w:szCs w:val="10"/>
                <w:color w:val="auto"/>
              </w:rPr>
              <w:t>3</w:t>
            </w:r>
          </w:p>
        </w:tc>
        <w:tc>
          <w:tcPr>
            <w:tcW w:w="1100" w:type="dxa"/>
            <w:vAlign w:val="bottom"/>
          </w:tcPr>
          <w:p>
            <w:pPr>
              <w:spacing w:after="0"/>
              <w:rPr>
                <w:sz w:val="10"/>
                <w:szCs w:val="10"/>
                <w:color w:val="auto"/>
              </w:rPr>
            </w:pPr>
          </w:p>
        </w:tc>
      </w:tr>
      <w:tr>
        <w:trPr>
          <w:trHeight w:val="126"/>
        </w:trPr>
        <w:tc>
          <w:tcPr>
            <w:tcW w:w="4000" w:type="dxa"/>
            <w:vAlign w:val="bottom"/>
          </w:tcPr>
          <w:p>
            <w:pPr>
              <w:spacing w:after="0"/>
              <w:rPr>
                <w:sz w:val="20"/>
                <w:szCs w:val="20"/>
                <w:color w:val="auto"/>
              </w:rPr>
            </w:pPr>
            <w:r>
              <w:rPr>
                <w:rFonts w:ascii="Arial" w:cs="Arial" w:eastAsia="Arial" w:hAnsi="Arial"/>
                <w:sz w:val="10"/>
                <w:szCs w:val="10"/>
                <w:color w:val="auto"/>
              </w:rPr>
              <w:t>Vested</w:t>
            </w:r>
          </w:p>
        </w:tc>
        <w:tc>
          <w:tcPr>
            <w:tcW w:w="4040" w:type="dxa"/>
            <w:vAlign w:val="bottom"/>
          </w:tcPr>
          <w:p>
            <w:pPr>
              <w:jc w:val="right"/>
              <w:ind w:right="213"/>
              <w:spacing w:after="0"/>
              <w:rPr>
                <w:sz w:val="20"/>
                <w:szCs w:val="20"/>
                <w:color w:val="auto"/>
              </w:rPr>
            </w:pPr>
            <w:r>
              <w:rPr>
                <w:rFonts w:ascii="Arial" w:cs="Arial" w:eastAsia="Arial" w:hAnsi="Arial"/>
                <w:sz w:val="10"/>
                <w:szCs w:val="10"/>
                <w:color w:val="auto"/>
              </w:rPr>
              <w:t>(11)</w:t>
            </w:r>
          </w:p>
        </w:tc>
        <w:tc>
          <w:tcPr>
            <w:tcW w:w="1140" w:type="dxa"/>
            <w:vAlign w:val="bottom"/>
          </w:tcPr>
          <w:p>
            <w:pPr>
              <w:jc w:val="right"/>
              <w:ind w:right="193"/>
              <w:spacing w:after="0"/>
              <w:rPr>
                <w:sz w:val="20"/>
                <w:szCs w:val="20"/>
                <w:color w:val="auto"/>
              </w:rPr>
            </w:pPr>
            <w:r>
              <w:rPr>
                <w:rFonts w:ascii="Arial" w:cs="Arial" w:eastAsia="Arial" w:hAnsi="Arial"/>
                <w:sz w:val="10"/>
                <w:szCs w:val="10"/>
                <w:color w:val="auto"/>
              </w:rPr>
              <w:t>(5)</w:t>
            </w:r>
          </w:p>
        </w:tc>
        <w:tc>
          <w:tcPr>
            <w:tcW w:w="1000" w:type="dxa"/>
            <w:vAlign w:val="bottom"/>
          </w:tcPr>
          <w:p>
            <w:pPr>
              <w:jc w:val="right"/>
              <w:ind w:right="53"/>
              <w:spacing w:after="0"/>
              <w:rPr>
                <w:sz w:val="20"/>
                <w:szCs w:val="20"/>
                <w:color w:val="auto"/>
              </w:rPr>
            </w:pPr>
            <w:r>
              <w:rPr>
                <w:rFonts w:ascii="Arial" w:cs="Arial" w:eastAsia="Arial" w:hAnsi="Arial"/>
                <w:sz w:val="10"/>
                <w:szCs w:val="10"/>
                <w:color w:val="auto"/>
              </w:rPr>
              <w:t>(3)</w:t>
            </w:r>
          </w:p>
        </w:tc>
        <w:tc>
          <w:tcPr>
            <w:tcW w:w="1100" w:type="dxa"/>
            <w:vAlign w:val="bottom"/>
          </w:tcPr>
          <w:p>
            <w:pPr>
              <w:spacing w:after="0"/>
              <w:rPr>
                <w:sz w:val="10"/>
                <w:szCs w:val="10"/>
                <w:color w:val="auto"/>
              </w:rPr>
            </w:pPr>
          </w:p>
        </w:tc>
      </w:tr>
      <w:tr>
        <w:trPr>
          <w:trHeight w:val="130"/>
        </w:trPr>
        <w:tc>
          <w:tcPr>
            <w:tcW w:w="40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Forfeited</w:t>
            </w:r>
          </w:p>
        </w:tc>
        <w:tc>
          <w:tcPr>
            <w:tcW w:w="4040" w:type="dxa"/>
            <w:vAlign w:val="bottom"/>
            <w:tcBorders>
              <w:bottom w:val="single" w:sz="8" w:color="auto"/>
            </w:tcBorders>
          </w:tcPr>
          <w:p>
            <w:pPr>
              <w:ind w:left="3660"/>
              <w:spacing w:after="0"/>
              <w:rPr>
                <w:sz w:val="20"/>
                <w:szCs w:val="20"/>
                <w:color w:val="auto"/>
              </w:rPr>
            </w:pPr>
            <w:r>
              <w:rPr>
                <w:rFonts w:ascii="Arial" w:cs="Arial" w:eastAsia="Arial" w:hAnsi="Arial"/>
                <w:sz w:val="10"/>
                <w:szCs w:val="10"/>
                <w:color w:val="auto"/>
              </w:rPr>
              <w:t>(1)</w:t>
            </w: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spacing w:after="0"/>
              <w:rPr>
                <w:sz w:val="11"/>
                <w:szCs w:val="11"/>
                <w:color w:val="auto"/>
              </w:rPr>
            </w:pPr>
          </w:p>
        </w:tc>
      </w:tr>
      <w:tr>
        <w:trPr>
          <w:trHeight w:val="117"/>
        </w:trPr>
        <w:tc>
          <w:tcPr>
            <w:tcW w:w="40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2019</w:t>
            </w:r>
          </w:p>
        </w:tc>
        <w:tc>
          <w:tcPr>
            <w:tcW w:w="4040" w:type="dxa"/>
            <w:vAlign w:val="bottom"/>
            <w:tcBorders>
              <w:bottom w:val="single" w:sz="8" w:color="auto"/>
            </w:tcBorders>
          </w:tcPr>
          <w:p>
            <w:pPr>
              <w:ind w:left="3660"/>
              <w:spacing w:after="0"/>
              <w:rPr>
                <w:sz w:val="20"/>
                <w:szCs w:val="20"/>
                <w:color w:val="auto"/>
              </w:rPr>
            </w:pPr>
            <w:r>
              <w:rPr>
                <w:rFonts w:ascii="Arial" w:cs="Arial" w:eastAsia="Arial" w:hAnsi="Arial"/>
                <w:sz w:val="10"/>
                <w:szCs w:val="10"/>
                <w:color w:val="auto"/>
              </w:rPr>
              <w:t>29</w:t>
            </w: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0"/>
                <w:szCs w:val="10"/>
                <w:color w:val="auto"/>
              </w:rPr>
              <w:t>10</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0"/>
          <w:szCs w:val="10"/>
          <w:color w:val="auto"/>
        </w:rPr>
        <w:t>Other plans offer eligible employees opportunities to acquire shares and ADSs of the Company or receive cash benefits measured by reference to the Company’s share price.</w:t>
      </w:r>
    </w:p>
    <w:p>
      <w:pPr>
        <w:spacing w:after="0" w:line="155" w:lineRule="exact"/>
        <w:rPr>
          <w:sz w:val="20"/>
          <w:szCs w:val="20"/>
          <w:color w:val="auto"/>
        </w:rPr>
      </w:pPr>
    </w:p>
    <w:p>
      <w:pPr>
        <w:spacing w:after="0"/>
        <w:rPr>
          <w:sz w:val="20"/>
          <w:szCs w:val="20"/>
          <w:color w:val="auto"/>
        </w:rPr>
      </w:pPr>
      <w:r>
        <w:rPr>
          <w:rFonts w:ascii="Arial" w:cs="Arial" w:eastAsia="Arial" w:hAnsi="Arial"/>
          <w:sz w:val="8"/>
          <w:szCs w:val="8"/>
          <w:color w:val="auto"/>
        </w:rPr>
        <w:t>Shell employee share ownership trusts and trust-like entities purchase the Company’s shares in the open market to meet delivery commitments under employee share plans. At December 31, 2020, they held 14.3 million A shares (2019: 17.4 million), 5.2 million B shares (2019: 6.5 million) and</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5.1 million A ADSs (2019: 5.3 million).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204</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07" w:name="page208"/>
    <w:bookmarkEnd w:id="207"/>
    <w:p>
      <w:pPr>
        <w:spacing w:after="0"/>
        <w:rPr>
          <w:sz w:val="20"/>
          <w:szCs w:val="20"/>
          <w:color w:val="auto"/>
        </w:rPr>
      </w:pPr>
      <w:r>
        <w:rPr>
          <w:rFonts w:ascii="Arial" w:cs="Arial" w:eastAsia="Arial" w:hAnsi="Arial"/>
          <w:sz w:val="11"/>
          <w:szCs w:val="11"/>
          <w:color w:val="auto"/>
        </w:rPr>
        <w:t>22 – OTHER RESERVES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4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Other reserves attributable to Royal Dutch Shell plc shareholders</w:t>
            </w:r>
          </w:p>
        </w:tc>
        <w:tc>
          <w:tcPr>
            <w:tcW w:w="1600" w:type="dxa"/>
            <w:vAlign w:val="bottom"/>
            <w:tcBorders>
              <w:top w:val="single" w:sz="8" w:color="D9D9D9"/>
            </w:tcBorders>
          </w:tcPr>
          <w:p>
            <w:pPr>
              <w:spacing w:after="0"/>
              <w:rPr>
                <w:sz w:val="13"/>
                <w:szCs w:val="13"/>
                <w:color w:val="auto"/>
              </w:rPr>
            </w:pPr>
          </w:p>
        </w:tc>
        <w:tc>
          <w:tcPr>
            <w:tcW w:w="1160" w:type="dxa"/>
            <w:vAlign w:val="bottom"/>
            <w:tcBorders>
              <w:top w:val="single" w:sz="8" w:color="D9D9D9"/>
            </w:tcBorders>
          </w:tcPr>
          <w:p>
            <w:pPr>
              <w:spacing w:after="0"/>
              <w:rPr>
                <w:sz w:val="13"/>
                <w:szCs w:val="13"/>
                <w:color w:val="auto"/>
              </w:rPr>
            </w:pPr>
          </w:p>
        </w:tc>
        <w:tc>
          <w:tcPr>
            <w:tcW w:w="1220" w:type="dxa"/>
            <w:vAlign w:val="bottom"/>
            <w:tcBorders>
              <w:top w:val="single" w:sz="8" w:color="D9D9D9"/>
            </w:tcBorders>
          </w:tcPr>
          <w:p>
            <w:pPr>
              <w:spacing w:after="0"/>
              <w:rPr>
                <w:sz w:val="13"/>
                <w:szCs w:val="13"/>
                <w:color w:val="auto"/>
              </w:rPr>
            </w:pPr>
          </w:p>
        </w:tc>
        <w:tc>
          <w:tcPr>
            <w:tcW w:w="1120" w:type="dxa"/>
            <w:vAlign w:val="bottom"/>
            <w:tcBorders>
              <w:top w:val="single" w:sz="8" w:color="D9D9D9"/>
            </w:tcBorders>
          </w:tcPr>
          <w:p>
            <w:pPr>
              <w:spacing w:after="0"/>
              <w:rPr>
                <w:sz w:val="13"/>
                <w:szCs w:val="13"/>
                <w:color w:val="auto"/>
              </w:rPr>
            </w:pPr>
          </w:p>
        </w:tc>
        <w:tc>
          <w:tcPr>
            <w:tcW w:w="1320" w:type="dxa"/>
            <w:vAlign w:val="bottom"/>
            <w:tcBorders>
              <w:top w:val="single" w:sz="8" w:color="D9D9D9"/>
            </w:tcBorders>
          </w:tcPr>
          <w:p>
            <w:pPr>
              <w:spacing w:after="0"/>
              <w:rPr>
                <w:sz w:val="13"/>
                <w:szCs w:val="13"/>
                <w:color w:val="auto"/>
              </w:rPr>
            </w:pPr>
          </w:p>
        </w:tc>
        <w:tc>
          <w:tcPr>
            <w:tcW w:w="78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60" w:type="dxa"/>
            <w:vAlign w:val="bottom"/>
            <w:vMerge w:val="restart"/>
          </w:tcPr>
          <w:p>
            <w:pPr>
              <w:jc w:val="right"/>
              <w:ind w:right="351"/>
              <w:spacing w:after="0"/>
              <w:rPr>
                <w:sz w:val="20"/>
                <w:szCs w:val="20"/>
                <w:color w:val="auto"/>
              </w:rPr>
            </w:pPr>
            <w:r>
              <w:rPr>
                <w:rFonts w:ascii="Arial" w:cs="Arial" w:eastAsia="Arial" w:hAnsi="Arial"/>
                <w:sz w:val="10"/>
                <w:szCs w:val="10"/>
                <w:color w:val="auto"/>
              </w:rPr>
              <w:t>Share</w:t>
            </w:r>
          </w:p>
        </w:tc>
        <w:tc>
          <w:tcPr>
            <w:tcW w:w="1220" w:type="dxa"/>
            <w:vAlign w:val="bottom"/>
            <w:vMerge w:val="restart"/>
          </w:tcPr>
          <w:p>
            <w:pPr>
              <w:jc w:val="right"/>
              <w:ind w:right="351"/>
              <w:spacing w:after="0"/>
              <w:rPr>
                <w:sz w:val="20"/>
                <w:szCs w:val="20"/>
                <w:color w:val="auto"/>
              </w:rPr>
            </w:pPr>
            <w:r>
              <w:rPr>
                <w:rFonts w:ascii="Arial" w:cs="Arial" w:eastAsia="Arial" w:hAnsi="Arial"/>
                <w:sz w:val="10"/>
                <w:szCs w:val="10"/>
                <w:color w:val="auto"/>
              </w:rPr>
              <w:t>Capital</w:t>
            </w:r>
          </w:p>
        </w:tc>
        <w:tc>
          <w:tcPr>
            <w:tcW w:w="1120" w:type="dxa"/>
            <w:vAlign w:val="bottom"/>
          </w:tcPr>
          <w:p>
            <w:pPr>
              <w:spacing w:after="0"/>
              <w:rPr>
                <w:sz w:val="8"/>
                <w:szCs w:val="8"/>
                <w:color w:val="auto"/>
              </w:rPr>
            </w:pPr>
          </w:p>
        </w:tc>
        <w:tc>
          <w:tcPr>
            <w:tcW w:w="1320" w:type="dxa"/>
            <w:vAlign w:val="bottom"/>
          </w:tcPr>
          <w:p>
            <w:pPr>
              <w:jc w:val="right"/>
              <w:ind w:right="391"/>
              <w:spacing w:after="0" w:line="95" w:lineRule="exact"/>
              <w:rPr>
                <w:sz w:val="20"/>
                <w:szCs w:val="20"/>
                <w:color w:val="auto"/>
              </w:rPr>
            </w:pPr>
            <w:r>
              <w:rPr>
                <w:rFonts w:ascii="Arial" w:cs="Arial" w:eastAsia="Arial" w:hAnsi="Arial"/>
                <w:sz w:val="10"/>
                <w:szCs w:val="10"/>
                <w:color w:val="auto"/>
              </w:rPr>
              <w:t>Accumulated</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040" w:type="dxa"/>
            <w:vAlign w:val="bottom"/>
          </w:tcPr>
          <w:p>
            <w:pPr>
              <w:spacing w:after="0"/>
              <w:rPr>
                <w:sz w:val="7"/>
                <w:szCs w:val="7"/>
                <w:color w:val="auto"/>
              </w:rPr>
            </w:pPr>
          </w:p>
        </w:tc>
        <w:tc>
          <w:tcPr>
            <w:tcW w:w="1600" w:type="dxa"/>
            <w:vAlign w:val="bottom"/>
            <w:vMerge w:val="restart"/>
          </w:tcPr>
          <w:p>
            <w:pPr>
              <w:jc w:val="right"/>
              <w:ind w:right="391"/>
              <w:spacing w:after="0"/>
              <w:rPr>
                <w:sz w:val="20"/>
                <w:szCs w:val="20"/>
                <w:color w:val="auto"/>
              </w:rPr>
            </w:pPr>
            <w:r>
              <w:rPr>
                <w:rFonts w:ascii="Arial" w:cs="Arial" w:eastAsia="Arial" w:hAnsi="Arial"/>
                <w:sz w:val="10"/>
                <w:szCs w:val="10"/>
                <w:color w:val="auto"/>
              </w:rPr>
              <w:t>Merger</w:t>
            </w:r>
          </w:p>
        </w:tc>
        <w:tc>
          <w:tcPr>
            <w:tcW w:w="11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20" w:type="dxa"/>
            <w:vAlign w:val="bottom"/>
            <w:vMerge w:val="restart"/>
          </w:tcPr>
          <w:p>
            <w:pPr>
              <w:jc w:val="right"/>
              <w:ind w:right="271"/>
              <w:spacing w:after="0"/>
              <w:rPr>
                <w:sz w:val="20"/>
                <w:szCs w:val="20"/>
                <w:color w:val="auto"/>
              </w:rPr>
            </w:pPr>
            <w:r>
              <w:rPr>
                <w:rFonts w:ascii="Arial" w:cs="Arial" w:eastAsia="Arial" w:hAnsi="Arial"/>
                <w:sz w:val="10"/>
                <w:szCs w:val="10"/>
                <w:color w:val="auto"/>
              </w:rPr>
              <w:t>Share plan</w:t>
            </w:r>
          </w:p>
        </w:tc>
        <w:tc>
          <w:tcPr>
            <w:tcW w:w="1320" w:type="dxa"/>
            <w:vAlign w:val="bottom"/>
          </w:tcPr>
          <w:p>
            <w:pPr>
              <w:jc w:val="right"/>
              <w:ind w:right="391"/>
              <w:spacing w:after="0" w:line="90" w:lineRule="exact"/>
              <w:rPr>
                <w:sz w:val="20"/>
                <w:szCs w:val="20"/>
                <w:color w:val="auto"/>
              </w:rPr>
            </w:pPr>
            <w:r>
              <w:rPr>
                <w:rFonts w:ascii="Arial" w:cs="Arial" w:eastAsia="Arial" w:hAnsi="Arial"/>
                <w:sz w:val="10"/>
                <w:szCs w:val="10"/>
                <w:color w:val="auto"/>
              </w:rPr>
              <w:t>other</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4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160" w:type="dxa"/>
            <w:vAlign w:val="bottom"/>
          </w:tcPr>
          <w:p>
            <w:pPr>
              <w:jc w:val="right"/>
              <w:ind w:right="351"/>
              <w:spacing w:after="0" w:line="90" w:lineRule="exact"/>
              <w:rPr>
                <w:sz w:val="20"/>
                <w:szCs w:val="20"/>
                <w:color w:val="auto"/>
              </w:rPr>
            </w:pPr>
            <w:r>
              <w:rPr>
                <w:rFonts w:ascii="Arial" w:cs="Arial" w:eastAsia="Arial" w:hAnsi="Arial"/>
                <w:sz w:val="10"/>
                <w:szCs w:val="10"/>
                <w:color w:val="auto"/>
              </w:rPr>
              <w:t>premium</w:t>
            </w:r>
          </w:p>
        </w:tc>
        <w:tc>
          <w:tcPr>
            <w:tcW w:w="1220" w:type="dxa"/>
            <w:vAlign w:val="bottom"/>
          </w:tcPr>
          <w:p>
            <w:pPr>
              <w:jc w:val="right"/>
              <w:ind w:right="351"/>
              <w:spacing w:after="0" w:line="90" w:lineRule="exact"/>
              <w:rPr>
                <w:sz w:val="20"/>
                <w:szCs w:val="20"/>
                <w:color w:val="auto"/>
              </w:rPr>
            </w:pPr>
            <w:r>
              <w:rPr>
                <w:rFonts w:ascii="Arial" w:cs="Arial" w:eastAsia="Arial" w:hAnsi="Arial"/>
                <w:sz w:val="10"/>
                <w:szCs w:val="10"/>
                <w:color w:val="auto"/>
              </w:rPr>
              <w:t>redemption</w:t>
            </w:r>
          </w:p>
        </w:tc>
        <w:tc>
          <w:tcPr>
            <w:tcW w:w="1120" w:type="dxa"/>
            <w:vAlign w:val="bottom"/>
            <w:vMerge w:val="continue"/>
          </w:tcPr>
          <w:p>
            <w:pPr>
              <w:spacing w:after="0"/>
              <w:rPr>
                <w:sz w:val="7"/>
                <w:szCs w:val="7"/>
                <w:color w:val="auto"/>
              </w:rPr>
            </w:pPr>
          </w:p>
        </w:tc>
        <w:tc>
          <w:tcPr>
            <w:tcW w:w="1320" w:type="dxa"/>
            <w:vAlign w:val="bottom"/>
          </w:tcPr>
          <w:p>
            <w:pPr>
              <w:jc w:val="right"/>
              <w:ind w:right="391"/>
              <w:spacing w:after="0" w:line="90" w:lineRule="exact"/>
              <w:rPr>
                <w:sz w:val="20"/>
                <w:szCs w:val="20"/>
                <w:color w:val="auto"/>
              </w:rPr>
            </w:pPr>
            <w:r>
              <w:rPr>
                <w:rFonts w:ascii="Arial" w:cs="Arial" w:eastAsia="Arial" w:hAnsi="Arial"/>
                <w:sz w:val="10"/>
                <w:szCs w:val="10"/>
                <w:color w:val="auto"/>
              </w:rPr>
              <w:t>comprehensive</w:t>
            </w: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40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reserve</w:t>
            </w: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0"/>
                <w:szCs w:val="10"/>
                <w:color w:val="auto"/>
              </w:rPr>
              <w:t>reserve</w:t>
            </w:r>
          </w:p>
        </w:tc>
        <w:tc>
          <w:tcPr>
            <w:tcW w:w="1220" w:type="dxa"/>
            <w:vAlign w:val="bottom"/>
            <w:tcBorders>
              <w:bottom w:val="single" w:sz="8" w:color="auto"/>
            </w:tcBorders>
          </w:tcPr>
          <w:p>
            <w:pPr>
              <w:jc w:val="right"/>
              <w:ind w:right="351"/>
              <w:spacing w:after="0"/>
              <w:rPr>
                <w:sz w:val="20"/>
                <w:szCs w:val="20"/>
                <w:color w:val="auto"/>
              </w:rPr>
            </w:pPr>
            <w:r>
              <w:rPr>
                <w:rFonts w:ascii="Arial" w:cs="Arial" w:eastAsia="Arial" w:hAnsi="Arial"/>
                <w:sz w:val="10"/>
                <w:szCs w:val="10"/>
                <w:color w:val="auto"/>
              </w:rPr>
              <w:t>reserve</w:t>
            </w: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color w:val="auto"/>
              </w:rPr>
              <w:t>reserve</w:t>
            </w:r>
          </w:p>
        </w:tc>
        <w:tc>
          <w:tcPr>
            <w:tcW w:w="13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income</w:t>
            </w:r>
          </w:p>
        </w:tc>
        <w:tc>
          <w:tcPr>
            <w:tcW w:w="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040" w:type="dxa"/>
            <w:vAlign w:val="bottom"/>
          </w:tcPr>
          <w:p>
            <w:pPr>
              <w:spacing w:after="0" w:line="113" w:lineRule="exact"/>
              <w:rPr>
                <w:sz w:val="20"/>
                <w:szCs w:val="20"/>
                <w:color w:val="auto"/>
              </w:rPr>
            </w:pPr>
            <w:r>
              <w:rPr>
                <w:rFonts w:ascii="Arial" w:cs="Arial" w:eastAsia="Arial" w:hAnsi="Arial"/>
                <w:sz w:val="10"/>
                <w:szCs w:val="10"/>
                <w:color w:val="auto"/>
              </w:rPr>
              <w:t>At January 1, 2020</w:t>
            </w:r>
          </w:p>
        </w:tc>
        <w:tc>
          <w:tcPr>
            <w:tcW w:w="1600" w:type="dxa"/>
            <w:vAlign w:val="bottom"/>
          </w:tcPr>
          <w:p>
            <w:pPr>
              <w:jc w:val="right"/>
              <w:ind w:right="411"/>
              <w:spacing w:after="0" w:line="113" w:lineRule="exact"/>
              <w:rPr>
                <w:sz w:val="20"/>
                <w:szCs w:val="20"/>
                <w:color w:val="auto"/>
              </w:rPr>
            </w:pPr>
            <w:r>
              <w:rPr>
                <w:rFonts w:ascii="Arial" w:cs="Arial" w:eastAsia="Arial" w:hAnsi="Arial"/>
                <w:sz w:val="10"/>
                <w:szCs w:val="10"/>
                <w:color w:val="auto"/>
              </w:rPr>
              <w:t>37,298</w:t>
            </w:r>
          </w:p>
        </w:tc>
        <w:tc>
          <w:tcPr>
            <w:tcW w:w="1160" w:type="dxa"/>
            <w:vAlign w:val="bottom"/>
          </w:tcPr>
          <w:p>
            <w:pPr>
              <w:jc w:val="right"/>
              <w:ind w:right="371"/>
              <w:spacing w:after="0" w:line="113" w:lineRule="exact"/>
              <w:rPr>
                <w:sz w:val="20"/>
                <w:szCs w:val="20"/>
                <w:color w:val="auto"/>
              </w:rPr>
            </w:pPr>
            <w:r>
              <w:rPr>
                <w:rFonts w:ascii="Arial" w:cs="Arial" w:eastAsia="Arial" w:hAnsi="Arial"/>
                <w:sz w:val="10"/>
                <w:szCs w:val="10"/>
                <w:color w:val="auto"/>
              </w:rPr>
              <w:t>154</w:t>
            </w:r>
          </w:p>
        </w:tc>
        <w:tc>
          <w:tcPr>
            <w:tcW w:w="1220" w:type="dxa"/>
            <w:vAlign w:val="bottom"/>
          </w:tcPr>
          <w:p>
            <w:pPr>
              <w:jc w:val="right"/>
              <w:ind w:right="391"/>
              <w:spacing w:after="0" w:line="113" w:lineRule="exact"/>
              <w:rPr>
                <w:sz w:val="20"/>
                <w:szCs w:val="20"/>
                <w:color w:val="auto"/>
              </w:rPr>
            </w:pPr>
            <w:r>
              <w:rPr>
                <w:rFonts w:ascii="Arial" w:cs="Arial" w:eastAsia="Arial" w:hAnsi="Arial"/>
                <w:sz w:val="10"/>
                <w:szCs w:val="10"/>
                <w:color w:val="auto"/>
              </w:rPr>
              <w:t>123</w:t>
            </w:r>
          </w:p>
        </w:tc>
        <w:tc>
          <w:tcPr>
            <w:tcW w:w="1120" w:type="dxa"/>
            <w:vAlign w:val="bottom"/>
          </w:tcPr>
          <w:p>
            <w:pPr>
              <w:jc w:val="right"/>
              <w:ind w:right="311"/>
              <w:spacing w:after="0" w:line="113" w:lineRule="exact"/>
              <w:rPr>
                <w:sz w:val="20"/>
                <w:szCs w:val="20"/>
                <w:color w:val="auto"/>
              </w:rPr>
            </w:pPr>
            <w:r>
              <w:rPr>
                <w:rFonts w:ascii="Arial" w:cs="Arial" w:eastAsia="Arial" w:hAnsi="Arial"/>
                <w:sz w:val="10"/>
                <w:szCs w:val="10"/>
                <w:color w:val="auto"/>
              </w:rPr>
              <w:t>1,049</w:t>
            </w:r>
          </w:p>
        </w:tc>
        <w:tc>
          <w:tcPr>
            <w:tcW w:w="1320" w:type="dxa"/>
            <w:vAlign w:val="bottom"/>
          </w:tcPr>
          <w:p>
            <w:pPr>
              <w:jc w:val="right"/>
              <w:ind w:right="391"/>
              <w:spacing w:after="0" w:line="113" w:lineRule="exact"/>
              <w:rPr>
                <w:sz w:val="20"/>
                <w:szCs w:val="20"/>
                <w:color w:val="auto"/>
              </w:rPr>
            </w:pPr>
            <w:r>
              <w:rPr>
                <w:rFonts w:ascii="Arial" w:cs="Arial" w:eastAsia="Arial" w:hAnsi="Arial"/>
                <w:sz w:val="10"/>
                <w:szCs w:val="10"/>
                <w:color w:val="auto"/>
              </w:rPr>
              <w:t>(24,173)</w:t>
            </w:r>
          </w:p>
        </w:tc>
        <w:tc>
          <w:tcPr>
            <w:tcW w:w="780" w:type="dxa"/>
            <w:vAlign w:val="bottom"/>
          </w:tcPr>
          <w:p>
            <w:pPr>
              <w:jc w:val="right"/>
              <w:spacing w:after="0" w:line="113" w:lineRule="exact"/>
              <w:rPr>
                <w:sz w:val="20"/>
                <w:szCs w:val="20"/>
                <w:color w:val="auto"/>
              </w:rPr>
            </w:pPr>
            <w:r>
              <w:rPr>
                <w:rFonts w:ascii="Arial" w:cs="Arial" w:eastAsia="Arial" w:hAnsi="Arial"/>
                <w:sz w:val="10"/>
                <w:szCs w:val="10"/>
                <w:color w:val="auto"/>
              </w:rPr>
              <w:t>14,451</w:t>
            </w:r>
          </w:p>
        </w:tc>
        <w:tc>
          <w:tcPr>
            <w:tcW w:w="0" w:type="dxa"/>
            <w:vAlign w:val="bottom"/>
          </w:tcPr>
          <w:p>
            <w:pPr>
              <w:spacing w:after="0"/>
              <w:rPr>
                <w:sz w:val="1"/>
                <w:szCs w:val="1"/>
                <w:color w:val="auto"/>
              </w:rPr>
            </w:pPr>
          </w:p>
        </w:tc>
      </w:tr>
      <w:tr>
        <w:trPr>
          <w:trHeight w:val="123"/>
        </w:trPr>
        <w:tc>
          <w:tcPr>
            <w:tcW w:w="4040" w:type="dxa"/>
            <w:vAlign w:val="bottom"/>
          </w:tcPr>
          <w:p>
            <w:pPr>
              <w:spacing w:after="0"/>
              <w:rPr>
                <w:sz w:val="20"/>
                <w:szCs w:val="20"/>
                <w:color w:val="auto"/>
              </w:rPr>
            </w:pPr>
            <w:r>
              <w:rPr>
                <w:rFonts w:ascii="Arial" w:cs="Arial" w:eastAsia="Arial" w:hAnsi="Arial"/>
                <w:sz w:val="10"/>
                <w:szCs w:val="10"/>
                <w:color w:val="auto"/>
              </w:rPr>
              <w:t>Other comprehensive loss attributable to Royal Dutch Shell plc shareholders</w:t>
            </w:r>
          </w:p>
        </w:tc>
        <w:tc>
          <w:tcPr>
            <w:tcW w:w="1600" w:type="dxa"/>
            <w:vAlign w:val="bottom"/>
          </w:tcPr>
          <w:p>
            <w:pPr>
              <w:jc w:val="right"/>
              <w:ind w:right="411"/>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391"/>
              <w:spacing w:after="0"/>
              <w:rPr>
                <w:sz w:val="20"/>
                <w:szCs w:val="20"/>
                <w:color w:val="auto"/>
              </w:rPr>
            </w:pPr>
            <w:r>
              <w:rPr>
                <w:rFonts w:ascii="Arial" w:cs="Arial" w:eastAsia="Arial" w:hAnsi="Arial"/>
                <w:sz w:val="10"/>
                <w:szCs w:val="10"/>
                <w:color w:val="auto"/>
              </w:rPr>
              <w:t>(1,832)</w:t>
            </w:r>
          </w:p>
        </w:tc>
        <w:tc>
          <w:tcPr>
            <w:tcW w:w="780" w:type="dxa"/>
            <w:vAlign w:val="bottom"/>
          </w:tcPr>
          <w:p>
            <w:pPr>
              <w:jc w:val="right"/>
              <w:spacing w:after="0"/>
              <w:rPr>
                <w:sz w:val="20"/>
                <w:szCs w:val="20"/>
                <w:color w:val="auto"/>
              </w:rPr>
            </w:pPr>
            <w:r>
              <w:rPr>
                <w:rFonts w:ascii="Arial" w:cs="Arial" w:eastAsia="Arial" w:hAnsi="Arial"/>
                <w:sz w:val="10"/>
                <w:szCs w:val="10"/>
                <w:color w:val="auto"/>
              </w:rPr>
              <w:t>(1,832)</w:t>
            </w:r>
          </w:p>
        </w:tc>
        <w:tc>
          <w:tcPr>
            <w:tcW w:w="0" w:type="dxa"/>
            <w:vAlign w:val="bottom"/>
          </w:tcPr>
          <w:p>
            <w:pPr>
              <w:spacing w:after="0"/>
              <w:rPr>
                <w:sz w:val="1"/>
                <w:szCs w:val="1"/>
                <w:color w:val="auto"/>
              </w:rPr>
            </w:pPr>
          </w:p>
        </w:tc>
      </w:tr>
      <w:tr>
        <w:trPr>
          <w:trHeight w:val="158"/>
        </w:trPr>
        <w:tc>
          <w:tcPr>
            <w:tcW w:w="4040" w:type="dxa"/>
            <w:vAlign w:val="bottom"/>
          </w:tcPr>
          <w:p>
            <w:pPr>
              <w:spacing w:after="0"/>
              <w:rPr>
                <w:sz w:val="20"/>
                <w:szCs w:val="20"/>
                <w:color w:val="auto"/>
              </w:rPr>
            </w:pPr>
            <w:r>
              <w:rPr>
                <w:rFonts w:ascii="Arial" w:cs="Arial" w:eastAsia="Arial" w:hAnsi="Arial"/>
                <w:sz w:val="10"/>
                <w:szCs w:val="10"/>
                <w:color w:val="auto"/>
              </w:rPr>
              <w:t>Transfer from other comprehensive income</w:t>
            </w:r>
          </w:p>
        </w:tc>
        <w:tc>
          <w:tcPr>
            <w:tcW w:w="1600" w:type="dxa"/>
            <w:vAlign w:val="bottom"/>
          </w:tcPr>
          <w:p>
            <w:pPr>
              <w:jc w:val="right"/>
              <w:ind w:right="431"/>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371"/>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391"/>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311"/>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431"/>
              <w:spacing w:after="0"/>
              <w:rPr>
                <w:sz w:val="20"/>
                <w:szCs w:val="20"/>
                <w:color w:val="auto"/>
              </w:rPr>
            </w:pPr>
            <w:r>
              <w:rPr>
                <w:rFonts w:ascii="Arial" w:cs="Arial" w:eastAsia="Arial" w:hAnsi="Arial"/>
                <w:sz w:val="12"/>
                <w:szCs w:val="12"/>
                <w:color w:val="auto"/>
              </w:rPr>
              <w:t>270</w:t>
            </w:r>
          </w:p>
        </w:tc>
        <w:tc>
          <w:tcPr>
            <w:tcW w:w="780" w:type="dxa"/>
            <w:vAlign w:val="bottom"/>
          </w:tcPr>
          <w:p>
            <w:pPr>
              <w:jc w:val="right"/>
              <w:spacing w:after="0"/>
              <w:rPr>
                <w:sz w:val="20"/>
                <w:szCs w:val="20"/>
                <w:color w:val="auto"/>
              </w:rPr>
            </w:pPr>
            <w:r>
              <w:rPr>
                <w:rFonts w:ascii="Arial" w:cs="Arial" w:eastAsia="Arial" w:hAnsi="Arial"/>
                <w:sz w:val="12"/>
                <w:szCs w:val="12"/>
                <w:color w:val="auto"/>
              </w:rPr>
              <w:t>270</w:t>
            </w:r>
          </w:p>
        </w:tc>
        <w:tc>
          <w:tcPr>
            <w:tcW w:w="0" w:type="dxa"/>
            <w:vAlign w:val="bottom"/>
          </w:tcPr>
          <w:p>
            <w:pPr>
              <w:spacing w:after="0"/>
              <w:rPr>
                <w:sz w:val="1"/>
                <w:szCs w:val="1"/>
                <w:color w:val="auto"/>
              </w:rPr>
            </w:pPr>
          </w:p>
        </w:tc>
      </w:tr>
      <w:tr>
        <w:trPr>
          <w:trHeight w:val="121"/>
        </w:trPr>
        <w:tc>
          <w:tcPr>
            <w:tcW w:w="4040" w:type="dxa"/>
            <w:vAlign w:val="bottom"/>
          </w:tcPr>
          <w:p>
            <w:pPr>
              <w:spacing w:after="0"/>
              <w:rPr>
                <w:sz w:val="20"/>
                <w:szCs w:val="20"/>
                <w:color w:val="auto"/>
              </w:rPr>
            </w:pPr>
            <w:r>
              <w:rPr>
                <w:rFonts w:ascii="Arial" w:cs="Arial" w:eastAsia="Arial" w:hAnsi="Arial"/>
                <w:sz w:val="10"/>
                <w:szCs w:val="10"/>
                <w:color w:val="auto"/>
              </w:rPr>
              <w:t>Repurchases of shares</w:t>
            </w:r>
          </w:p>
        </w:tc>
        <w:tc>
          <w:tcPr>
            <w:tcW w:w="1600" w:type="dxa"/>
            <w:vAlign w:val="bottom"/>
          </w:tcPr>
          <w:p>
            <w:pPr>
              <w:jc w:val="right"/>
              <w:ind w:right="411"/>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391"/>
              <w:spacing w:after="0"/>
              <w:rPr>
                <w:sz w:val="20"/>
                <w:szCs w:val="20"/>
                <w:color w:val="auto"/>
              </w:rPr>
            </w:pPr>
            <w:r>
              <w:rPr>
                <w:rFonts w:ascii="Arial" w:cs="Arial" w:eastAsia="Arial" w:hAnsi="Arial"/>
                <w:sz w:val="10"/>
                <w:szCs w:val="10"/>
                <w:color w:val="auto"/>
              </w:rPr>
              <w:t>6</w:t>
            </w:r>
          </w:p>
        </w:tc>
        <w:tc>
          <w:tcPr>
            <w:tcW w:w="112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41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30"/>
        </w:trPr>
        <w:tc>
          <w:tcPr>
            <w:tcW w:w="40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Share-based compensation</w:t>
            </w:r>
          </w:p>
        </w:tc>
        <w:tc>
          <w:tcPr>
            <w:tcW w:w="160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color w:val="auto"/>
              </w:rPr>
              <w:t>(143)</w:t>
            </w:r>
          </w:p>
        </w:tc>
        <w:tc>
          <w:tcPr>
            <w:tcW w:w="132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w:t>
            </w:r>
          </w:p>
        </w:tc>
        <w:tc>
          <w:tcPr>
            <w:tcW w:w="0" w:type="dxa"/>
            <w:vAlign w:val="bottom"/>
          </w:tcPr>
          <w:p>
            <w:pPr>
              <w:spacing w:after="0"/>
              <w:rPr>
                <w:sz w:val="1"/>
                <w:szCs w:val="1"/>
                <w:color w:val="auto"/>
              </w:rPr>
            </w:pPr>
          </w:p>
        </w:tc>
      </w:tr>
      <w:tr>
        <w:trPr>
          <w:trHeight w:val="117"/>
        </w:trPr>
        <w:tc>
          <w:tcPr>
            <w:tcW w:w="40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2020</w:t>
            </w:r>
          </w:p>
        </w:tc>
        <w:tc>
          <w:tcPr>
            <w:tcW w:w="160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rPr>
              <w:t>37,298</w:t>
            </w: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rPr>
              <w:t>154</w:t>
            </w:r>
          </w:p>
        </w:tc>
        <w:tc>
          <w:tcPr>
            <w:tcW w:w="12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129</w:t>
            </w: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rPr>
              <w:t>906</w:t>
            </w:r>
          </w:p>
        </w:tc>
        <w:tc>
          <w:tcPr>
            <w:tcW w:w="13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(25,735)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12,752</w:t>
            </w:r>
          </w:p>
        </w:tc>
        <w:tc>
          <w:tcPr>
            <w:tcW w:w="0" w:type="dxa"/>
            <w:vAlign w:val="bottom"/>
          </w:tcPr>
          <w:p>
            <w:pPr>
              <w:spacing w:after="0"/>
              <w:rPr>
                <w:sz w:val="1"/>
                <w:szCs w:val="1"/>
                <w:color w:val="auto"/>
              </w:rPr>
            </w:pPr>
          </w:p>
        </w:tc>
      </w:tr>
      <w:tr>
        <w:trPr>
          <w:trHeight w:val="113"/>
        </w:trPr>
        <w:tc>
          <w:tcPr>
            <w:tcW w:w="4040" w:type="dxa"/>
            <w:vAlign w:val="bottom"/>
          </w:tcPr>
          <w:p>
            <w:pPr>
              <w:spacing w:after="0" w:line="113" w:lineRule="exact"/>
              <w:rPr>
                <w:sz w:val="20"/>
                <w:szCs w:val="20"/>
                <w:color w:val="auto"/>
              </w:rPr>
            </w:pPr>
            <w:r>
              <w:rPr>
                <w:rFonts w:ascii="Arial" w:cs="Arial" w:eastAsia="Arial" w:hAnsi="Arial"/>
                <w:sz w:val="10"/>
                <w:szCs w:val="10"/>
                <w:color w:val="auto"/>
              </w:rPr>
              <w:t>At January 1, 2019</w:t>
            </w:r>
          </w:p>
        </w:tc>
        <w:tc>
          <w:tcPr>
            <w:tcW w:w="1600" w:type="dxa"/>
            <w:vAlign w:val="bottom"/>
          </w:tcPr>
          <w:p>
            <w:pPr>
              <w:jc w:val="right"/>
              <w:ind w:right="411"/>
              <w:spacing w:after="0" w:line="113" w:lineRule="exact"/>
              <w:rPr>
                <w:sz w:val="20"/>
                <w:szCs w:val="20"/>
                <w:color w:val="auto"/>
              </w:rPr>
            </w:pPr>
            <w:r>
              <w:rPr>
                <w:rFonts w:ascii="Arial" w:cs="Arial" w:eastAsia="Arial" w:hAnsi="Arial"/>
                <w:sz w:val="10"/>
                <w:szCs w:val="10"/>
                <w:color w:val="auto"/>
              </w:rPr>
              <w:t>37,298</w:t>
            </w:r>
          </w:p>
        </w:tc>
        <w:tc>
          <w:tcPr>
            <w:tcW w:w="1160" w:type="dxa"/>
            <w:vAlign w:val="bottom"/>
          </w:tcPr>
          <w:p>
            <w:pPr>
              <w:jc w:val="right"/>
              <w:ind w:right="371"/>
              <w:spacing w:after="0" w:line="113" w:lineRule="exact"/>
              <w:rPr>
                <w:sz w:val="20"/>
                <w:szCs w:val="20"/>
                <w:color w:val="auto"/>
              </w:rPr>
            </w:pPr>
            <w:r>
              <w:rPr>
                <w:rFonts w:ascii="Arial" w:cs="Arial" w:eastAsia="Arial" w:hAnsi="Arial"/>
                <w:sz w:val="10"/>
                <w:szCs w:val="10"/>
                <w:color w:val="auto"/>
              </w:rPr>
              <w:t>154</w:t>
            </w:r>
          </w:p>
        </w:tc>
        <w:tc>
          <w:tcPr>
            <w:tcW w:w="1220" w:type="dxa"/>
            <w:vAlign w:val="bottom"/>
          </w:tcPr>
          <w:p>
            <w:pPr>
              <w:jc w:val="right"/>
              <w:ind w:right="391"/>
              <w:spacing w:after="0" w:line="113" w:lineRule="exact"/>
              <w:rPr>
                <w:sz w:val="20"/>
                <w:szCs w:val="20"/>
                <w:color w:val="auto"/>
              </w:rPr>
            </w:pPr>
            <w:r>
              <w:rPr>
                <w:rFonts w:ascii="Arial" w:cs="Arial" w:eastAsia="Arial" w:hAnsi="Arial"/>
                <w:sz w:val="10"/>
                <w:szCs w:val="10"/>
                <w:color w:val="auto"/>
              </w:rPr>
              <w:t>95</w:t>
            </w:r>
          </w:p>
        </w:tc>
        <w:tc>
          <w:tcPr>
            <w:tcW w:w="1120" w:type="dxa"/>
            <w:vAlign w:val="bottom"/>
          </w:tcPr>
          <w:p>
            <w:pPr>
              <w:jc w:val="right"/>
              <w:ind w:right="311"/>
              <w:spacing w:after="0" w:line="113" w:lineRule="exact"/>
              <w:rPr>
                <w:sz w:val="20"/>
                <w:szCs w:val="20"/>
                <w:color w:val="auto"/>
              </w:rPr>
            </w:pPr>
            <w:r>
              <w:rPr>
                <w:rFonts w:ascii="Arial" w:cs="Arial" w:eastAsia="Arial" w:hAnsi="Arial"/>
                <w:sz w:val="10"/>
                <w:szCs w:val="10"/>
                <w:color w:val="auto"/>
              </w:rPr>
              <w:t>1,098</w:t>
            </w:r>
          </w:p>
        </w:tc>
        <w:tc>
          <w:tcPr>
            <w:tcW w:w="1320" w:type="dxa"/>
            <w:vAlign w:val="bottom"/>
          </w:tcPr>
          <w:p>
            <w:pPr>
              <w:jc w:val="right"/>
              <w:ind w:right="391"/>
              <w:spacing w:after="0" w:line="113" w:lineRule="exact"/>
              <w:rPr>
                <w:sz w:val="20"/>
                <w:szCs w:val="20"/>
                <w:color w:val="auto"/>
              </w:rPr>
            </w:pPr>
            <w:r>
              <w:rPr>
                <w:rFonts w:ascii="Arial" w:cs="Arial" w:eastAsia="Arial" w:hAnsi="Arial"/>
                <w:sz w:val="10"/>
                <w:szCs w:val="10"/>
                <w:color w:val="auto"/>
              </w:rPr>
              <w:t>(22,030)</w:t>
            </w:r>
          </w:p>
        </w:tc>
        <w:tc>
          <w:tcPr>
            <w:tcW w:w="780" w:type="dxa"/>
            <w:vAlign w:val="bottom"/>
          </w:tcPr>
          <w:p>
            <w:pPr>
              <w:jc w:val="right"/>
              <w:spacing w:after="0" w:line="113" w:lineRule="exact"/>
              <w:rPr>
                <w:sz w:val="20"/>
                <w:szCs w:val="20"/>
                <w:color w:val="auto"/>
              </w:rPr>
            </w:pPr>
            <w:r>
              <w:rPr>
                <w:rFonts w:ascii="Arial" w:cs="Arial" w:eastAsia="Arial" w:hAnsi="Arial"/>
                <w:sz w:val="10"/>
                <w:szCs w:val="10"/>
                <w:color w:val="auto"/>
              </w:rPr>
              <w:t>16,615</w:t>
            </w:r>
          </w:p>
        </w:tc>
        <w:tc>
          <w:tcPr>
            <w:tcW w:w="0" w:type="dxa"/>
            <w:vAlign w:val="bottom"/>
          </w:tcPr>
          <w:p>
            <w:pPr>
              <w:spacing w:after="0"/>
              <w:rPr>
                <w:sz w:val="1"/>
                <w:szCs w:val="1"/>
                <w:color w:val="auto"/>
              </w:rPr>
            </w:pPr>
          </w:p>
        </w:tc>
      </w:tr>
      <w:tr>
        <w:trPr>
          <w:trHeight w:val="123"/>
        </w:trPr>
        <w:tc>
          <w:tcPr>
            <w:tcW w:w="4040" w:type="dxa"/>
            <w:vAlign w:val="bottom"/>
          </w:tcPr>
          <w:p>
            <w:pPr>
              <w:ind w:left="120"/>
              <w:spacing w:after="0"/>
              <w:rPr>
                <w:sz w:val="20"/>
                <w:szCs w:val="20"/>
                <w:color w:val="auto"/>
              </w:rPr>
            </w:pPr>
            <w:r>
              <w:rPr>
                <w:rFonts w:ascii="Arial" w:cs="Arial" w:eastAsia="Arial" w:hAnsi="Arial"/>
                <w:sz w:val="10"/>
                <w:szCs w:val="10"/>
                <w:color w:val="auto"/>
              </w:rPr>
              <w:t>Other comprehensive loss attributable to Royal Dutch Shell plc shareholders</w:t>
            </w:r>
          </w:p>
        </w:tc>
        <w:tc>
          <w:tcPr>
            <w:tcW w:w="1600" w:type="dxa"/>
            <w:vAlign w:val="bottom"/>
          </w:tcPr>
          <w:p>
            <w:pPr>
              <w:jc w:val="right"/>
              <w:ind w:right="411"/>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391"/>
              <w:spacing w:after="0"/>
              <w:rPr>
                <w:sz w:val="20"/>
                <w:szCs w:val="20"/>
                <w:color w:val="auto"/>
              </w:rPr>
            </w:pPr>
            <w:r>
              <w:rPr>
                <w:rFonts w:ascii="Arial" w:cs="Arial" w:eastAsia="Arial" w:hAnsi="Arial"/>
                <w:sz w:val="10"/>
                <w:szCs w:val="10"/>
                <w:color w:val="auto"/>
              </w:rPr>
              <w:t>(2,069)</w:t>
            </w:r>
          </w:p>
        </w:tc>
        <w:tc>
          <w:tcPr>
            <w:tcW w:w="780" w:type="dxa"/>
            <w:vAlign w:val="bottom"/>
          </w:tcPr>
          <w:p>
            <w:pPr>
              <w:jc w:val="right"/>
              <w:spacing w:after="0"/>
              <w:rPr>
                <w:sz w:val="20"/>
                <w:szCs w:val="20"/>
                <w:color w:val="auto"/>
              </w:rPr>
            </w:pPr>
            <w:r>
              <w:rPr>
                <w:rFonts w:ascii="Arial" w:cs="Arial" w:eastAsia="Arial" w:hAnsi="Arial"/>
                <w:sz w:val="10"/>
                <w:szCs w:val="10"/>
                <w:color w:val="auto"/>
              </w:rPr>
              <w:t>(2,069)</w:t>
            </w:r>
          </w:p>
        </w:tc>
        <w:tc>
          <w:tcPr>
            <w:tcW w:w="0" w:type="dxa"/>
            <w:vAlign w:val="bottom"/>
          </w:tcPr>
          <w:p>
            <w:pPr>
              <w:spacing w:after="0"/>
              <w:rPr>
                <w:sz w:val="1"/>
                <w:szCs w:val="1"/>
                <w:color w:val="auto"/>
              </w:rPr>
            </w:pPr>
          </w:p>
        </w:tc>
      </w:tr>
      <w:tr>
        <w:trPr>
          <w:trHeight w:val="126"/>
        </w:trPr>
        <w:tc>
          <w:tcPr>
            <w:tcW w:w="4040" w:type="dxa"/>
            <w:vAlign w:val="bottom"/>
          </w:tcPr>
          <w:p>
            <w:pPr>
              <w:spacing w:after="0"/>
              <w:rPr>
                <w:sz w:val="20"/>
                <w:szCs w:val="20"/>
                <w:color w:val="auto"/>
              </w:rPr>
            </w:pPr>
            <w:r>
              <w:rPr>
                <w:rFonts w:ascii="Arial" w:cs="Arial" w:eastAsia="Arial" w:hAnsi="Arial"/>
                <w:sz w:val="10"/>
                <w:szCs w:val="10"/>
                <w:color w:val="auto"/>
              </w:rPr>
              <w:t>Transfer from other comprehensive income</w:t>
            </w:r>
          </w:p>
        </w:tc>
        <w:tc>
          <w:tcPr>
            <w:tcW w:w="1600" w:type="dxa"/>
            <w:vAlign w:val="bottom"/>
          </w:tcPr>
          <w:p>
            <w:pPr>
              <w:jc w:val="right"/>
              <w:ind w:right="411"/>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391"/>
              <w:spacing w:after="0"/>
              <w:rPr>
                <w:sz w:val="20"/>
                <w:szCs w:val="20"/>
                <w:color w:val="auto"/>
              </w:rPr>
            </w:pPr>
            <w:r>
              <w:rPr>
                <w:rFonts w:ascii="Arial" w:cs="Arial" w:eastAsia="Arial" w:hAnsi="Arial"/>
                <w:sz w:val="10"/>
                <w:szCs w:val="10"/>
                <w:color w:val="auto"/>
              </w:rPr>
              <w:t>(74)</w:t>
            </w:r>
          </w:p>
        </w:tc>
        <w:tc>
          <w:tcPr>
            <w:tcW w:w="780" w:type="dxa"/>
            <w:vAlign w:val="bottom"/>
          </w:tcPr>
          <w:p>
            <w:pPr>
              <w:jc w:val="right"/>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126"/>
        </w:trPr>
        <w:tc>
          <w:tcPr>
            <w:tcW w:w="4040" w:type="dxa"/>
            <w:vAlign w:val="bottom"/>
          </w:tcPr>
          <w:p>
            <w:pPr>
              <w:spacing w:after="0"/>
              <w:rPr>
                <w:sz w:val="20"/>
                <w:szCs w:val="20"/>
                <w:color w:val="auto"/>
              </w:rPr>
            </w:pPr>
            <w:r>
              <w:rPr>
                <w:rFonts w:ascii="Arial" w:cs="Arial" w:eastAsia="Arial" w:hAnsi="Arial"/>
                <w:sz w:val="10"/>
                <w:szCs w:val="10"/>
                <w:color w:val="auto"/>
              </w:rPr>
              <w:t>Repurchases of shares</w:t>
            </w:r>
          </w:p>
        </w:tc>
        <w:tc>
          <w:tcPr>
            <w:tcW w:w="1600" w:type="dxa"/>
            <w:vAlign w:val="bottom"/>
          </w:tcPr>
          <w:p>
            <w:pPr>
              <w:jc w:val="right"/>
              <w:ind w:right="411"/>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391"/>
              <w:spacing w:after="0"/>
              <w:rPr>
                <w:sz w:val="20"/>
                <w:szCs w:val="20"/>
                <w:color w:val="auto"/>
              </w:rPr>
            </w:pPr>
            <w:r>
              <w:rPr>
                <w:rFonts w:ascii="Arial" w:cs="Arial" w:eastAsia="Arial" w:hAnsi="Arial"/>
                <w:sz w:val="10"/>
                <w:szCs w:val="10"/>
                <w:color w:val="auto"/>
              </w:rPr>
              <w:t>28</w:t>
            </w:r>
          </w:p>
        </w:tc>
        <w:tc>
          <w:tcPr>
            <w:tcW w:w="112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41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30"/>
        </w:trPr>
        <w:tc>
          <w:tcPr>
            <w:tcW w:w="40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Share-based compensation</w:t>
            </w:r>
          </w:p>
        </w:tc>
        <w:tc>
          <w:tcPr>
            <w:tcW w:w="160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color w:val="auto"/>
              </w:rPr>
              <w:t>(49)</w:t>
            </w:r>
          </w:p>
        </w:tc>
        <w:tc>
          <w:tcPr>
            <w:tcW w:w="132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17"/>
        </w:trPr>
        <w:tc>
          <w:tcPr>
            <w:tcW w:w="40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2019</w:t>
            </w:r>
          </w:p>
        </w:tc>
        <w:tc>
          <w:tcPr>
            <w:tcW w:w="160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rPr>
              <w:t>37,298</w:t>
            </w: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rPr>
              <w:t>154</w:t>
            </w:r>
          </w:p>
        </w:tc>
        <w:tc>
          <w:tcPr>
            <w:tcW w:w="12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123</w:t>
            </w: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rPr>
              <w:t>1,049</w:t>
            </w:r>
          </w:p>
        </w:tc>
        <w:tc>
          <w:tcPr>
            <w:tcW w:w="13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(24,173)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14,451</w:t>
            </w:r>
          </w:p>
        </w:tc>
        <w:tc>
          <w:tcPr>
            <w:tcW w:w="0" w:type="dxa"/>
            <w:vAlign w:val="bottom"/>
          </w:tcPr>
          <w:p>
            <w:pPr>
              <w:spacing w:after="0"/>
              <w:rPr>
                <w:sz w:val="1"/>
                <w:szCs w:val="1"/>
                <w:color w:val="auto"/>
              </w:rPr>
            </w:pPr>
          </w:p>
        </w:tc>
      </w:tr>
      <w:tr>
        <w:trPr>
          <w:trHeight w:val="113"/>
        </w:trPr>
        <w:tc>
          <w:tcPr>
            <w:tcW w:w="4040" w:type="dxa"/>
            <w:vAlign w:val="bottom"/>
          </w:tcPr>
          <w:p>
            <w:pPr>
              <w:spacing w:after="0" w:line="113" w:lineRule="exact"/>
              <w:rPr>
                <w:sz w:val="20"/>
                <w:szCs w:val="20"/>
                <w:color w:val="auto"/>
              </w:rPr>
            </w:pPr>
            <w:r>
              <w:rPr>
                <w:rFonts w:ascii="Arial" w:cs="Arial" w:eastAsia="Arial" w:hAnsi="Arial"/>
                <w:sz w:val="10"/>
                <w:szCs w:val="10"/>
                <w:color w:val="auto"/>
              </w:rPr>
              <w:t>At January 1, 2018</w:t>
            </w:r>
          </w:p>
        </w:tc>
        <w:tc>
          <w:tcPr>
            <w:tcW w:w="1600" w:type="dxa"/>
            <w:vAlign w:val="bottom"/>
          </w:tcPr>
          <w:p>
            <w:pPr>
              <w:jc w:val="right"/>
              <w:ind w:right="411"/>
              <w:spacing w:after="0" w:line="113" w:lineRule="exact"/>
              <w:rPr>
                <w:sz w:val="20"/>
                <w:szCs w:val="20"/>
                <w:color w:val="auto"/>
              </w:rPr>
            </w:pPr>
            <w:r>
              <w:rPr>
                <w:rFonts w:ascii="Arial" w:cs="Arial" w:eastAsia="Arial" w:hAnsi="Arial"/>
                <w:sz w:val="10"/>
                <w:szCs w:val="10"/>
                <w:color w:val="auto"/>
              </w:rPr>
              <w:t>37,298</w:t>
            </w:r>
          </w:p>
        </w:tc>
        <w:tc>
          <w:tcPr>
            <w:tcW w:w="1160" w:type="dxa"/>
            <w:vAlign w:val="bottom"/>
          </w:tcPr>
          <w:p>
            <w:pPr>
              <w:jc w:val="right"/>
              <w:ind w:right="371"/>
              <w:spacing w:after="0" w:line="113" w:lineRule="exact"/>
              <w:rPr>
                <w:sz w:val="20"/>
                <w:szCs w:val="20"/>
                <w:color w:val="auto"/>
              </w:rPr>
            </w:pPr>
            <w:r>
              <w:rPr>
                <w:rFonts w:ascii="Arial" w:cs="Arial" w:eastAsia="Arial" w:hAnsi="Arial"/>
                <w:sz w:val="10"/>
                <w:szCs w:val="10"/>
                <w:color w:val="auto"/>
              </w:rPr>
              <w:t>154</w:t>
            </w:r>
          </w:p>
        </w:tc>
        <w:tc>
          <w:tcPr>
            <w:tcW w:w="1220" w:type="dxa"/>
            <w:vAlign w:val="bottom"/>
          </w:tcPr>
          <w:p>
            <w:pPr>
              <w:jc w:val="right"/>
              <w:ind w:right="391"/>
              <w:spacing w:after="0" w:line="113" w:lineRule="exact"/>
              <w:rPr>
                <w:sz w:val="20"/>
                <w:szCs w:val="20"/>
                <w:color w:val="auto"/>
              </w:rPr>
            </w:pPr>
            <w:r>
              <w:rPr>
                <w:rFonts w:ascii="Arial" w:cs="Arial" w:eastAsia="Arial" w:hAnsi="Arial"/>
                <w:sz w:val="10"/>
                <w:szCs w:val="10"/>
                <w:color w:val="auto"/>
              </w:rPr>
              <w:t>84</w:t>
            </w:r>
          </w:p>
        </w:tc>
        <w:tc>
          <w:tcPr>
            <w:tcW w:w="1120" w:type="dxa"/>
            <w:vAlign w:val="bottom"/>
          </w:tcPr>
          <w:p>
            <w:pPr>
              <w:jc w:val="right"/>
              <w:ind w:right="311"/>
              <w:spacing w:after="0" w:line="113" w:lineRule="exact"/>
              <w:rPr>
                <w:sz w:val="20"/>
                <w:szCs w:val="20"/>
                <w:color w:val="auto"/>
              </w:rPr>
            </w:pPr>
            <w:r>
              <w:rPr>
                <w:rFonts w:ascii="Arial" w:cs="Arial" w:eastAsia="Arial" w:hAnsi="Arial"/>
                <w:sz w:val="10"/>
                <w:szCs w:val="10"/>
                <w:color w:val="auto"/>
              </w:rPr>
              <w:t>1,440</w:t>
            </w:r>
          </w:p>
        </w:tc>
        <w:tc>
          <w:tcPr>
            <w:tcW w:w="1320" w:type="dxa"/>
            <w:vAlign w:val="bottom"/>
          </w:tcPr>
          <w:p>
            <w:pPr>
              <w:jc w:val="right"/>
              <w:ind w:right="391"/>
              <w:spacing w:after="0" w:line="113" w:lineRule="exact"/>
              <w:rPr>
                <w:sz w:val="20"/>
                <w:szCs w:val="20"/>
                <w:color w:val="auto"/>
              </w:rPr>
            </w:pPr>
            <w:r>
              <w:rPr>
                <w:rFonts w:ascii="Arial" w:cs="Arial" w:eastAsia="Arial" w:hAnsi="Arial"/>
                <w:sz w:val="10"/>
                <w:szCs w:val="10"/>
                <w:color w:val="auto"/>
              </w:rPr>
              <w:t>(22,182)</w:t>
            </w:r>
          </w:p>
        </w:tc>
        <w:tc>
          <w:tcPr>
            <w:tcW w:w="780" w:type="dxa"/>
            <w:vAlign w:val="bottom"/>
          </w:tcPr>
          <w:p>
            <w:pPr>
              <w:jc w:val="right"/>
              <w:spacing w:after="0" w:line="113" w:lineRule="exact"/>
              <w:rPr>
                <w:sz w:val="20"/>
                <w:szCs w:val="20"/>
                <w:color w:val="auto"/>
              </w:rPr>
            </w:pPr>
            <w:r>
              <w:rPr>
                <w:rFonts w:ascii="Arial" w:cs="Arial" w:eastAsia="Arial" w:hAnsi="Arial"/>
                <w:sz w:val="10"/>
                <w:szCs w:val="10"/>
                <w:color w:val="auto"/>
              </w:rPr>
              <w:t>16,794</w:t>
            </w:r>
          </w:p>
        </w:tc>
        <w:tc>
          <w:tcPr>
            <w:tcW w:w="0" w:type="dxa"/>
            <w:vAlign w:val="bottom"/>
          </w:tcPr>
          <w:p>
            <w:pPr>
              <w:spacing w:after="0"/>
              <w:rPr>
                <w:sz w:val="1"/>
                <w:szCs w:val="1"/>
                <w:color w:val="auto"/>
              </w:rPr>
            </w:pPr>
          </w:p>
        </w:tc>
      </w:tr>
      <w:tr>
        <w:trPr>
          <w:trHeight w:val="123"/>
        </w:trPr>
        <w:tc>
          <w:tcPr>
            <w:tcW w:w="4040" w:type="dxa"/>
            <w:vAlign w:val="bottom"/>
          </w:tcPr>
          <w:p>
            <w:pPr>
              <w:ind w:left="120"/>
              <w:spacing w:after="0"/>
              <w:rPr>
                <w:sz w:val="20"/>
                <w:szCs w:val="20"/>
                <w:color w:val="auto"/>
              </w:rPr>
            </w:pPr>
            <w:r>
              <w:rPr>
                <w:rFonts w:ascii="Arial" w:cs="Arial" w:eastAsia="Arial" w:hAnsi="Arial"/>
                <w:sz w:val="10"/>
                <w:szCs w:val="10"/>
                <w:color w:val="auto"/>
              </w:rPr>
              <w:t>Other comprehensive income attributable to Royal Dutch Shell plc shareholders</w:t>
            </w:r>
          </w:p>
        </w:tc>
        <w:tc>
          <w:tcPr>
            <w:tcW w:w="1600" w:type="dxa"/>
            <w:vAlign w:val="bottom"/>
          </w:tcPr>
          <w:p>
            <w:pPr>
              <w:jc w:val="right"/>
              <w:ind w:right="411"/>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411"/>
              <w:spacing w:after="0"/>
              <w:rPr>
                <w:sz w:val="20"/>
                <w:szCs w:val="20"/>
                <w:color w:val="auto"/>
              </w:rPr>
            </w:pPr>
            <w:r>
              <w:rPr>
                <w:rFonts w:ascii="Arial" w:cs="Arial" w:eastAsia="Arial" w:hAnsi="Arial"/>
                <w:sz w:val="10"/>
                <w:szCs w:val="10"/>
                <w:color w:val="auto"/>
              </w:rPr>
              <w:t>1,123</w:t>
            </w:r>
          </w:p>
        </w:tc>
        <w:tc>
          <w:tcPr>
            <w:tcW w:w="780" w:type="dxa"/>
            <w:vAlign w:val="bottom"/>
          </w:tcPr>
          <w:p>
            <w:pPr>
              <w:jc w:val="right"/>
              <w:spacing w:after="0"/>
              <w:rPr>
                <w:sz w:val="20"/>
                <w:szCs w:val="20"/>
                <w:color w:val="auto"/>
              </w:rPr>
            </w:pPr>
            <w:r>
              <w:rPr>
                <w:rFonts w:ascii="Arial" w:cs="Arial" w:eastAsia="Arial" w:hAnsi="Arial"/>
                <w:sz w:val="10"/>
                <w:szCs w:val="10"/>
                <w:color w:val="auto"/>
              </w:rPr>
              <w:t>1,123</w:t>
            </w:r>
          </w:p>
        </w:tc>
        <w:tc>
          <w:tcPr>
            <w:tcW w:w="0" w:type="dxa"/>
            <w:vAlign w:val="bottom"/>
          </w:tcPr>
          <w:p>
            <w:pPr>
              <w:spacing w:after="0"/>
              <w:rPr>
                <w:sz w:val="1"/>
                <w:szCs w:val="1"/>
                <w:color w:val="auto"/>
              </w:rPr>
            </w:pPr>
          </w:p>
        </w:tc>
      </w:tr>
      <w:tr>
        <w:trPr>
          <w:trHeight w:val="126"/>
        </w:trPr>
        <w:tc>
          <w:tcPr>
            <w:tcW w:w="4040" w:type="dxa"/>
            <w:vAlign w:val="bottom"/>
          </w:tcPr>
          <w:p>
            <w:pPr>
              <w:spacing w:after="0"/>
              <w:rPr>
                <w:sz w:val="20"/>
                <w:szCs w:val="20"/>
                <w:color w:val="auto"/>
              </w:rPr>
            </w:pPr>
            <w:r>
              <w:rPr>
                <w:rFonts w:ascii="Arial" w:cs="Arial" w:eastAsia="Arial" w:hAnsi="Arial"/>
                <w:sz w:val="10"/>
                <w:szCs w:val="10"/>
                <w:color w:val="auto"/>
              </w:rPr>
              <w:t>Transfer from other comprehensive income</w:t>
            </w:r>
          </w:p>
        </w:tc>
        <w:tc>
          <w:tcPr>
            <w:tcW w:w="1600" w:type="dxa"/>
            <w:vAlign w:val="bottom"/>
          </w:tcPr>
          <w:p>
            <w:pPr>
              <w:jc w:val="right"/>
              <w:ind w:right="411"/>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391"/>
              <w:spacing w:after="0"/>
              <w:rPr>
                <w:sz w:val="20"/>
                <w:szCs w:val="20"/>
                <w:color w:val="auto"/>
              </w:rPr>
            </w:pPr>
            <w:r>
              <w:rPr>
                <w:rFonts w:ascii="Arial" w:cs="Arial" w:eastAsia="Arial" w:hAnsi="Arial"/>
                <w:sz w:val="10"/>
                <w:szCs w:val="10"/>
                <w:color w:val="auto"/>
              </w:rPr>
              <w:t>(971)</w:t>
            </w:r>
          </w:p>
        </w:tc>
        <w:tc>
          <w:tcPr>
            <w:tcW w:w="780" w:type="dxa"/>
            <w:vAlign w:val="bottom"/>
          </w:tcPr>
          <w:p>
            <w:pPr>
              <w:jc w:val="right"/>
              <w:spacing w:after="0"/>
              <w:rPr>
                <w:sz w:val="20"/>
                <w:szCs w:val="20"/>
                <w:color w:val="auto"/>
              </w:rPr>
            </w:pPr>
            <w:r>
              <w:rPr>
                <w:rFonts w:ascii="Arial" w:cs="Arial" w:eastAsia="Arial" w:hAnsi="Arial"/>
                <w:sz w:val="10"/>
                <w:szCs w:val="10"/>
                <w:color w:val="auto"/>
              </w:rPr>
              <w:t>(971)</w:t>
            </w:r>
          </w:p>
        </w:tc>
        <w:tc>
          <w:tcPr>
            <w:tcW w:w="0" w:type="dxa"/>
            <w:vAlign w:val="bottom"/>
          </w:tcPr>
          <w:p>
            <w:pPr>
              <w:spacing w:after="0"/>
              <w:rPr>
                <w:sz w:val="1"/>
                <w:szCs w:val="1"/>
                <w:color w:val="auto"/>
              </w:rPr>
            </w:pPr>
          </w:p>
        </w:tc>
      </w:tr>
      <w:tr>
        <w:trPr>
          <w:trHeight w:val="126"/>
        </w:trPr>
        <w:tc>
          <w:tcPr>
            <w:tcW w:w="4040" w:type="dxa"/>
            <w:vAlign w:val="bottom"/>
          </w:tcPr>
          <w:p>
            <w:pPr>
              <w:spacing w:after="0"/>
              <w:rPr>
                <w:sz w:val="20"/>
                <w:szCs w:val="20"/>
                <w:color w:val="auto"/>
              </w:rPr>
            </w:pPr>
            <w:r>
              <w:rPr>
                <w:rFonts w:ascii="Arial" w:cs="Arial" w:eastAsia="Arial" w:hAnsi="Arial"/>
                <w:sz w:val="10"/>
                <w:szCs w:val="10"/>
                <w:color w:val="auto"/>
              </w:rPr>
              <w:t>Repurchases of shares</w:t>
            </w:r>
          </w:p>
        </w:tc>
        <w:tc>
          <w:tcPr>
            <w:tcW w:w="1600" w:type="dxa"/>
            <w:vAlign w:val="bottom"/>
          </w:tcPr>
          <w:p>
            <w:pPr>
              <w:jc w:val="right"/>
              <w:ind w:right="411"/>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391"/>
              <w:spacing w:after="0"/>
              <w:rPr>
                <w:sz w:val="20"/>
                <w:szCs w:val="20"/>
                <w:color w:val="auto"/>
              </w:rPr>
            </w:pPr>
            <w:r>
              <w:rPr>
                <w:rFonts w:ascii="Arial" w:cs="Arial" w:eastAsia="Arial" w:hAnsi="Arial"/>
                <w:sz w:val="10"/>
                <w:szCs w:val="10"/>
                <w:color w:val="auto"/>
              </w:rPr>
              <w:t>11</w:t>
            </w:r>
          </w:p>
        </w:tc>
        <w:tc>
          <w:tcPr>
            <w:tcW w:w="112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41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30"/>
        </w:trPr>
        <w:tc>
          <w:tcPr>
            <w:tcW w:w="40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Share-based compensation</w:t>
            </w:r>
          </w:p>
        </w:tc>
        <w:tc>
          <w:tcPr>
            <w:tcW w:w="160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color w:val="auto"/>
              </w:rPr>
              <w:t>(342)</w:t>
            </w:r>
          </w:p>
        </w:tc>
        <w:tc>
          <w:tcPr>
            <w:tcW w:w="132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(342)</w:t>
            </w:r>
          </w:p>
        </w:tc>
        <w:tc>
          <w:tcPr>
            <w:tcW w:w="0" w:type="dxa"/>
            <w:vAlign w:val="bottom"/>
          </w:tcPr>
          <w:p>
            <w:pPr>
              <w:spacing w:after="0"/>
              <w:rPr>
                <w:sz w:val="1"/>
                <w:szCs w:val="1"/>
                <w:color w:val="auto"/>
              </w:rPr>
            </w:pPr>
          </w:p>
        </w:tc>
      </w:tr>
      <w:tr>
        <w:trPr>
          <w:trHeight w:val="117"/>
        </w:trPr>
        <w:tc>
          <w:tcPr>
            <w:tcW w:w="40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2018</w:t>
            </w:r>
          </w:p>
        </w:tc>
        <w:tc>
          <w:tcPr>
            <w:tcW w:w="160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rPr>
              <w:t>37,298</w:t>
            </w: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rPr>
              <w:t>154</w:t>
            </w:r>
          </w:p>
        </w:tc>
        <w:tc>
          <w:tcPr>
            <w:tcW w:w="12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95</w:t>
            </w: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rPr>
              <w:t>1,098</w:t>
            </w:r>
          </w:p>
        </w:tc>
        <w:tc>
          <w:tcPr>
            <w:tcW w:w="13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(22,030)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16,615</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right="40"/>
        <w:spacing w:after="0" w:line="234" w:lineRule="auto"/>
        <w:rPr>
          <w:sz w:val="20"/>
          <w:szCs w:val="20"/>
          <w:color w:val="auto"/>
        </w:rPr>
      </w:pPr>
      <w:r>
        <w:rPr>
          <w:rFonts w:ascii="Arial" w:cs="Arial" w:eastAsia="Arial" w:hAnsi="Arial"/>
          <w:sz w:val="10"/>
          <w:szCs w:val="10"/>
          <w:color w:val="auto"/>
        </w:rPr>
        <w:t>The merger reserve and share premium reserve were established as a consequence of the Company becoming the single parent company of Royal Dutch Petroleum Company and The “Shell” Transport and Trading Company, plc, now The Shell Transport and Trading Company Limited, in 2005. The merger reserve increased in 2016 following the issuance of shares for the acquisition of BG Group plc. The capital redemption reserve was established in connection with repurchases of shares of Royal Dutch Shell plc. The share plan reserve is in respect of equity-settled share-based compensation plans.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The capital redemption reserve was established in connection with repurchases of shares of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8"/>
          <w:szCs w:val="8"/>
          <w:color w:val="auto"/>
        </w:rPr>
        <w:t>The share plan reserve is in respect of equity-settled share-based compensation plans (see Note 21). The movement comprises the net of the charge for the year and the release as a result of vested awards and is after deduction of tax of $4 million in 2020 (2019: $45 million; 2018: $71 million).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940" w:type="dxa"/>
            <w:vAlign w:val="bottom"/>
          </w:tcPr>
          <w:p>
            <w:pPr>
              <w:spacing w:after="0"/>
              <w:rPr>
                <w:sz w:val="20"/>
                <w:szCs w:val="20"/>
                <w:color w:val="auto"/>
              </w:rPr>
            </w:pPr>
            <w:r>
              <w:rPr>
                <w:rFonts w:ascii="Arial" w:cs="Arial" w:eastAsia="Arial" w:hAnsi="Arial"/>
                <w:sz w:val="7"/>
                <w:szCs w:val="7"/>
                <w:color w:val="auto"/>
              </w:rPr>
              <w:t>FINANCIAL STATEMENTS AND SUPPLEMENTS SHELL FORM 20-F 2020</w:t>
            </w:r>
          </w:p>
        </w:tc>
        <w:tc>
          <w:tcPr>
            <w:tcW w:w="7360" w:type="dxa"/>
            <w:vAlign w:val="bottom"/>
          </w:tcPr>
          <w:p>
            <w:pPr>
              <w:jc w:val="right"/>
              <w:ind w:right="5624"/>
              <w:spacing w:after="0"/>
              <w:rPr>
                <w:sz w:val="20"/>
                <w:szCs w:val="20"/>
                <w:color w:val="auto"/>
              </w:rPr>
            </w:pPr>
            <w:r>
              <w:rPr>
                <w:rFonts w:ascii="Arial" w:cs="Arial" w:eastAsia="Arial" w:hAnsi="Arial"/>
                <w:sz w:val="7"/>
                <w:szCs w:val="7"/>
                <w:color w:val="auto"/>
              </w:rPr>
              <w:t>205</w:t>
            </w:r>
          </w:p>
        </w:tc>
      </w:tr>
      <w:tr>
        <w:trPr>
          <w:trHeight w:val="151"/>
        </w:trPr>
        <w:tc>
          <w:tcPr>
            <w:tcW w:w="3940" w:type="dxa"/>
            <w:vAlign w:val="bottom"/>
            <w:tcBorders>
              <w:bottom w:val="single" w:sz="8" w:color="9A9A9A"/>
            </w:tcBorders>
          </w:tcPr>
          <w:p>
            <w:pPr>
              <w:spacing w:after="0"/>
              <w:rPr>
                <w:sz w:val="13"/>
                <w:szCs w:val="13"/>
                <w:color w:val="auto"/>
              </w:rPr>
            </w:pPr>
          </w:p>
        </w:tc>
        <w:tc>
          <w:tcPr>
            <w:tcW w:w="73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08" w:name="page209"/>
    <w:bookmarkEnd w:id="208"/>
    <w:p>
      <w:pPr>
        <w:spacing w:after="0"/>
        <w:rPr>
          <w:sz w:val="20"/>
          <w:szCs w:val="20"/>
          <w:color w:val="auto"/>
        </w:rPr>
      </w:pPr>
      <w:r>
        <w:rPr>
          <w:rFonts w:ascii="Arial" w:cs="Arial" w:eastAsia="Arial" w:hAnsi="Arial"/>
          <w:sz w:val="11"/>
          <w:szCs w:val="11"/>
          <w:color w:val="auto"/>
        </w:rPr>
        <w:t>Accumulated other comprehensive income comprises the following: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20" w:type="dxa"/>
            <w:vAlign w:val="bottom"/>
            <w:tcBorders>
              <w:top w:val="single" w:sz="8" w:color="D9D9D9"/>
            </w:tcBorders>
          </w:tcPr>
          <w:p>
            <w:pPr>
              <w:spacing w:after="0"/>
              <w:rPr>
                <w:sz w:val="20"/>
                <w:szCs w:val="20"/>
                <w:color w:val="auto"/>
              </w:rPr>
            </w:pPr>
            <w:r>
              <w:rPr>
                <w:rFonts w:ascii="Arial" w:cs="Arial" w:eastAsia="Arial" w:hAnsi="Arial"/>
                <w:sz w:val="10"/>
                <w:szCs w:val="10"/>
                <w:color w:val="auto"/>
                <w:w w:val="87"/>
              </w:rPr>
              <w:t>Accumulated other comprehensive income attributable to Royal Dutch Shell plc shareholders</w:t>
            </w:r>
          </w:p>
        </w:tc>
        <w:tc>
          <w:tcPr>
            <w:tcW w:w="800" w:type="dxa"/>
            <w:vAlign w:val="bottom"/>
            <w:tcBorders>
              <w:top w:val="single" w:sz="8" w:color="D9D9D9"/>
            </w:tcBorders>
          </w:tcPr>
          <w:p>
            <w:pPr>
              <w:spacing w:after="0"/>
              <w:rPr>
                <w:sz w:val="13"/>
                <w:szCs w:val="13"/>
                <w:color w:val="auto"/>
              </w:rPr>
            </w:pPr>
          </w:p>
        </w:tc>
        <w:tc>
          <w:tcPr>
            <w:tcW w:w="960" w:type="dxa"/>
            <w:vAlign w:val="bottom"/>
            <w:tcBorders>
              <w:top w:val="single" w:sz="8" w:color="D9D9D9"/>
            </w:tcBorders>
          </w:tcPr>
          <w:p>
            <w:pPr>
              <w:spacing w:after="0"/>
              <w:rPr>
                <w:sz w:val="13"/>
                <w:szCs w:val="13"/>
                <w:color w:val="auto"/>
              </w:rPr>
            </w:pPr>
          </w:p>
        </w:tc>
        <w:tc>
          <w:tcPr>
            <w:tcW w:w="940" w:type="dxa"/>
            <w:vAlign w:val="bottom"/>
            <w:tcBorders>
              <w:top w:val="single" w:sz="8" w:color="D9D9D9"/>
            </w:tcBorders>
          </w:tcPr>
          <w:p>
            <w:pPr>
              <w:spacing w:after="0"/>
              <w:rPr>
                <w:sz w:val="13"/>
                <w:szCs w:val="13"/>
                <w:color w:val="auto"/>
              </w:rPr>
            </w:pPr>
          </w:p>
        </w:tc>
        <w:tc>
          <w:tcPr>
            <w:tcW w:w="1000" w:type="dxa"/>
            <w:vAlign w:val="bottom"/>
            <w:tcBorders>
              <w:top w:val="single" w:sz="8" w:color="D9D9D9"/>
            </w:tcBorders>
          </w:tcPr>
          <w:p>
            <w:pPr>
              <w:spacing w:after="0"/>
              <w:rPr>
                <w:sz w:val="13"/>
                <w:szCs w:val="13"/>
                <w:color w:val="auto"/>
              </w:rPr>
            </w:pPr>
          </w:p>
        </w:tc>
        <w:tc>
          <w:tcPr>
            <w:tcW w:w="1600" w:type="dxa"/>
            <w:vAlign w:val="bottom"/>
            <w:tcBorders>
              <w:top w:val="single" w:sz="8" w:color="D9D9D9"/>
            </w:tcBorders>
          </w:tcPr>
          <w:p>
            <w:pPr>
              <w:spacing w:after="0"/>
              <w:rPr>
                <w:sz w:val="13"/>
                <w:szCs w:val="13"/>
                <w:color w:val="auto"/>
              </w:rPr>
            </w:pPr>
          </w:p>
        </w:tc>
        <w:tc>
          <w:tcPr>
            <w:tcW w:w="540" w:type="dxa"/>
            <w:vAlign w:val="bottom"/>
            <w:tcBorders>
              <w:top w:val="single" w:sz="8" w:color="D9D9D9"/>
            </w:tcBorders>
          </w:tcPr>
          <w:p>
            <w:pPr>
              <w:spacing w:after="0"/>
              <w:rPr>
                <w:sz w:val="13"/>
                <w:szCs w:val="13"/>
                <w:color w:val="auto"/>
              </w:rPr>
            </w:pPr>
          </w:p>
        </w:tc>
        <w:tc>
          <w:tcPr>
            <w:tcW w:w="1140" w:type="dxa"/>
            <w:vAlign w:val="bottom"/>
            <w:tcBorders>
              <w:top w:val="single" w:sz="8" w:color="D9D9D9"/>
            </w:tcBorders>
          </w:tcPr>
          <w:p>
            <w:pPr>
              <w:spacing w:after="0"/>
              <w:rPr>
                <w:sz w:val="13"/>
                <w:szCs w:val="13"/>
                <w:color w:val="auto"/>
              </w:rPr>
            </w:pPr>
          </w:p>
        </w:tc>
        <w:tc>
          <w:tcPr>
            <w:tcW w:w="70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95"/>
        </w:trPr>
        <w:tc>
          <w:tcPr>
            <w:tcW w:w="3620" w:type="dxa"/>
            <w:vAlign w:val="bottom"/>
          </w:tcPr>
          <w:p>
            <w:pPr>
              <w:spacing w:after="0"/>
              <w:rPr>
                <w:sz w:val="8"/>
                <w:szCs w:val="8"/>
                <w:color w:val="auto"/>
              </w:rPr>
            </w:pPr>
          </w:p>
        </w:tc>
        <w:tc>
          <w:tcPr>
            <w:tcW w:w="800" w:type="dxa"/>
            <w:vAlign w:val="bottom"/>
          </w:tcPr>
          <w:p>
            <w:pPr>
              <w:jc w:val="right"/>
              <w:ind w:right="152"/>
              <w:spacing w:after="0" w:line="95" w:lineRule="exact"/>
              <w:rPr>
                <w:sz w:val="20"/>
                <w:szCs w:val="20"/>
                <w:color w:val="auto"/>
              </w:rPr>
            </w:pPr>
            <w:r>
              <w:rPr>
                <w:rFonts w:ascii="Arial" w:cs="Arial" w:eastAsia="Arial" w:hAnsi="Arial"/>
                <w:sz w:val="10"/>
                <w:szCs w:val="10"/>
                <w:color w:val="auto"/>
              </w:rPr>
              <w:t>Currency</w:t>
            </w:r>
          </w:p>
        </w:tc>
        <w:tc>
          <w:tcPr>
            <w:tcW w:w="960" w:type="dxa"/>
            <w:vAlign w:val="bottom"/>
          </w:tcPr>
          <w:p>
            <w:pPr>
              <w:jc w:val="right"/>
              <w:ind w:right="92"/>
              <w:spacing w:after="0" w:line="95" w:lineRule="exact"/>
              <w:rPr>
                <w:sz w:val="20"/>
                <w:szCs w:val="20"/>
                <w:color w:val="auto"/>
              </w:rPr>
            </w:pPr>
            <w:r>
              <w:rPr>
                <w:rFonts w:ascii="Arial" w:cs="Arial" w:eastAsia="Arial" w:hAnsi="Arial"/>
                <w:sz w:val="10"/>
                <w:szCs w:val="10"/>
                <w:color w:val="auto"/>
              </w:rPr>
              <w:t>Equity</w:t>
            </w:r>
          </w:p>
        </w:tc>
        <w:tc>
          <w:tcPr>
            <w:tcW w:w="940" w:type="dxa"/>
            <w:vAlign w:val="bottom"/>
          </w:tcPr>
          <w:p>
            <w:pPr>
              <w:jc w:val="right"/>
              <w:ind w:right="32"/>
              <w:spacing w:after="0" w:line="95" w:lineRule="exact"/>
              <w:rPr>
                <w:sz w:val="20"/>
                <w:szCs w:val="20"/>
                <w:color w:val="auto"/>
              </w:rPr>
            </w:pPr>
            <w:r>
              <w:rPr>
                <w:rFonts w:ascii="Arial" w:cs="Arial" w:eastAsia="Arial" w:hAnsi="Arial"/>
                <w:sz w:val="10"/>
                <w:szCs w:val="10"/>
                <w:color w:val="auto"/>
              </w:rPr>
              <w:t>Debt</w:t>
            </w:r>
          </w:p>
        </w:tc>
        <w:tc>
          <w:tcPr>
            <w:tcW w:w="1000" w:type="dxa"/>
            <w:vAlign w:val="bottom"/>
          </w:tcPr>
          <w:p>
            <w:pPr>
              <w:jc w:val="right"/>
              <w:ind w:right="12"/>
              <w:spacing w:after="0" w:line="95" w:lineRule="exact"/>
              <w:rPr>
                <w:sz w:val="20"/>
                <w:szCs w:val="20"/>
                <w:color w:val="auto"/>
              </w:rPr>
            </w:pPr>
            <w:r>
              <w:rPr>
                <w:rFonts w:ascii="Arial" w:cs="Arial" w:eastAsia="Arial" w:hAnsi="Arial"/>
                <w:sz w:val="10"/>
                <w:szCs w:val="10"/>
                <w:color w:val="auto"/>
              </w:rPr>
              <w:t>Cash flow</w:t>
            </w:r>
          </w:p>
        </w:tc>
        <w:tc>
          <w:tcPr>
            <w:tcW w:w="1600" w:type="dxa"/>
            <w:vAlign w:val="bottom"/>
          </w:tcPr>
          <w:p>
            <w:pPr>
              <w:jc w:val="right"/>
              <w:ind w:right="612"/>
              <w:spacing w:after="0" w:line="95" w:lineRule="exact"/>
              <w:rPr>
                <w:sz w:val="20"/>
                <w:szCs w:val="20"/>
                <w:color w:val="auto"/>
              </w:rPr>
            </w:pPr>
            <w:r>
              <w:rPr>
                <w:rFonts w:ascii="Arial" w:cs="Arial" w:eastAsia="Arial" w:hAnsi="Arial"/>
                <w:sz w:val="10"/>
                <w:szCs w:val="10"/>
                <w:color w:val="auto"/>
              </w:rPr>
              <w:t>Net investment</w:t>
            </w:r>
          </w:p>
        </w:tc>
        <w:tc>
          <w:tcPr>
            <w:tcW w:w="540" w:type="dxa"/>
            <w:vAlign w:val="bottom"/>
          </w:tcPr>
          <w:p>
            <w:pPr>
              <w:jc w:val="right"/>
              <w:ind w:right="152"/>
              <w:spacing w:after="0" w:line="95" w:lineRule="exact"/>
              <w:rPr>
                <w:sz w:val="20"/>
                <w:szCs w:val="20"/>
                <w:color w:val="auto"/>
              </w:rPr>
            </w:pPr>
            <w:r>
              <w:rPr>
                <w:rFonts w:ascii="Arial" w:cs="Arial" w:eastAsia="Arial" w:hAnsi="Arial"/>
                <w:sz w:val="10"/>
                <w:szCs w:val="10"/>
                <w:color w:val="auto"/>
                <w:w w:val="82"/>
              </w:rPr>
              <w:t>Deferred</w:t>
            </w:r>
          </w:p>
        </w:tc>
        <w:tc>
          <w:tcPr>
            <w:tcW w:w="1140" w:type="dxa"/>
            <w:vAlign w:val="bottom"/>
          </w:tcPr>
          <w:p>
            <w:pPr>
              <w:jc w:val="right"/>
              <w:ind w:right="272"/>
              <w:spacing w:after="0" w:line="95" w:lineRule="exact"/>
              <w:rPr>
                <w:sz w:val="20"/>
                <w:szCs w:val="20"/>
                <w:color w:val="auto"/>
              </w:rPr>
            </w:pPr>
            <w:r>
              <w:rPr>
                <w:rFonts w:ascii="Arial" w:cs="Arial" w:eastAsia="Arial" w:hAnsi="Arial"/>
                <w:sz w:val="10"/>
                <w:szCs w:val="10"/>
                <w:color w:val="auto"/>
              </w:rPr>
              <w:t>Retirement</w:t>
            </w: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620" w:type="dxa"/>
            <w:vAlign w:val="bottom"/>
          </w:tcPr>
          <w:p>
            <w:pPr>
              <w:spacing w:after="0"/>
              <w:rPr>
                <w:sz w:val="7"/>
                <w:szCs w:val="7"/>
                <w:color w:val="auto"/>
              </w:rPr>
            </w:pPr>
          </w:p>
        </w:tc>
        <w:tc>
          <w:tcPr>
            <w:tcW w:w="800" w:type="dxa"/>
            <w:vAlign w:val="bottom"/>
          </w:tcPr>
          <w:p>
            <w:pPr>
              <w:jc w:val="right"/>
              <w:ind w:right="152"/>
              <w:spacing w:after="0" w:line="90" w:lineRule="exact"/>
              <w:rPr>
                <w:sz w:val="20"/>
                <w:szCs w:val="20"/>
                <w:color w:val="auto"/>
              </w:rPr>
            </w:pPr>
            <w:r>
              <w:rPr>
                <w:rFonts w:ascii="Arial" w:cs="Arial" w:eastAsia="Arial" w:hAnsi="Arial"/>
                <w:sz w:val="10"/>
                <w:szCs w:val="10"/>
                <w:color w:val="auto"/>
              </w:rPr>
              <w:t>translation</w:t>
            </w:r>
          </w:p>
        </w:tc>
        <w:tc>
          <w:tcPr>
            <w:tcW w:w="960" w:type="dxa"/>
            <w:vAlign w:val="bottom"/>
          </w:tcPr>
          <w:p>
            <w:pPr>
              <w:jc w:val="right"/>
              <w:ind w:right="92"/>
              <w:spacing w:after="0" w:line="90" w:lineRule="exact"/>
              <w:rPr>
                <w:sz w:val="20"/>
                <w:szCs w:val="20"/>
                <w:color w:val="auto"/>
              </w:rPr>
            </w:pPr>
            <w:r>
              <w:rPr>
                <w:rFonts w:ascii="Arial" w:cs="Arial" w:eastAsia="Arial" w:hAnsi="Arial"/>
                <w:sz w:val="10"/>
                <w:szCs w:val="10"/>
                <w:color w:val="auto"/>
              </w:rPr>
              <w:t>instruments</w:t>
            </w:r>
          </w:p>
        </w:tc>
        <w:tc>
          <w:tcPr>
            <w:tcW w:w="940" w:type="dxa"/>
            <w:vAlign w:val="bottom"/>
          </w:tcPr>
          <w:p>
            <w:pPr>
              <w:jc w:val="right"/>
              <w:ind w:right="32"/>
              <w:spacing w:after="0" w:line="90" w:lineRule="exact"/>
              <w:rPr>
                <w:sz w:val="20"/>
                <w:szCs w:val="20"/>
                <w:color w:val="auto"/>
              </w:rPr>
            </w:pPr>
            <w:r>
              <w:rPr>
                <w:rFonts w:ascii="Arial" w:cs="Arial" w:eastAsia="Arial" w:hAnsi="Arial"/>
                <w:sz w:val="10"/>
                <w:szCs w:val="10"/>
                <w:color w:val="auto"/>
              </w:rPr>
              <w:t>instruments</w:t>
            </w:r>
          </w:p>
        </w:tc>
        <w:tc>
          <w:tcPr>
            <w:tcW w:w="1000" w:type="dxa"/>
            <w:vAlign w:val="bottom"/>
          </w:tcPr>
          <w:p>
            <w:pPr>
              <w:jc w:val="right"/>
              <w:ind w:right="12"/>
              <w:spacing w:after="0" w:line="90" w:lineRule="exact"/>
              <w:rPr>
                <w:sz w:val="20"/>
                <w:szCs w:val="20"/>
                <w:color w:val="auto"/>
              </w:rPr>
            </w:pPr>
            <w:r>
              <w:rPr>
                <w:rFonts w:ascii="Arial" w:cs="Arial" w:eastAsia="Arial" w:hAnsi="Arial"/>
                <w:sz w:val="10"/>
                <w:szCs w:val="10"/>
                <w:color w:val="auto"/>
                <w:w w:val="91"/>
              </w:rPr>
              <w:t>hedging (losses)/gains</w:t>
            </w:r>
          </w:p>
        </w:tc>
        <w:tc>
          <w:tcPr>
            <w:tcW w:w="1600" w:type="dxa"/>
            <w:vAlign w:val="bottom"/>
          </w:tcPr>
          <w:p>
            <w:pPr>
              <w:jc w:val="right"/>
              <w:ind w:right="612"/>
              <w:spacing w:after="0" w:line="90" w:lineRule="exact"/>
              <w:rPr>
                <w:sz w:val="20"/>
                <w:szCs w:val="20"/>
                <w:color w:val="auto"/>
              </w:rPr>
            </w:pPr>
            <w:r>
              <w:rPr>
                <w:rFonts w:ascii="Arial" w:cs="Arial" w:eastAsia="Arial" w:hAnsi="Arial"/>
                <w:sz w:val="10"/>
                <w:szCs w:val="10"/>
                <w:color w:val="auto"/>
                <w:w w:val="91"/>
              </w:rPr>
              <w:t>hedging (losses)/gains</w:t>
            </w:r>
          </w:p>
        </w:tc>
        <w:tc>
          <w:tcPr>
            <w:tcW w:w="540" w:type="dxa"/>
            <w:vAlign w:val="bottom"/>
          </w:tcPr>
          <w:p>
            <w:pPr>
              <w:jc w:val="right"/>
              <w:ind w:right="152"/>
              <w:spacing w:after="0" w:line="90" w:lineRule="exact"/>
              <w:rPr>
                <w:sz w:val="20"/>
                <w:szCs w:val="20"/>
                <w:color w:val="auto"/>
              </w:rPr>
            </w:pPr>
            <w:r>
              <w:rPr>
                <w:rFonts w:ascii="Arial" w:cs="Arial" w:eastAsia="Arial" w:hAnsi="Arial"/>
                <w:sz w:val="10"/>
                <w:szCs w:val="10"/>
                <w:color w:val="auto"/>
              </w:rPr>
              <w:t>cost of</w:t>
            </w:r>
          </w:p>
        </w:tc>
        <w:tc>
          <w:tcPr>
            <w:tcW w:w="1140" w:type="dxa"/>
            <w:vAlign w:val="bottom"/>
          </w:tcPr>
          <w:p>
            <w:pPr>
              <w:jc w:val="right"/>
              <w:ind w:right="272"/>
              <w:spacing w:after="0" w:line="90" w:lineRule="exact"/>
              <w:rPr>
                <w:sz w:val="20"/>
                <w:szCs w:val="20"/>
                <w:color w:val="auto"/>
              </w:rPr>
            </w:pPr>
            <w:r>
              <w:rPr>
                <w:rFonts w:ascii="Arial" w:cs="Arial" w:eastAsia="Arial" w:hAnsi="Arial"/>
                <w:sz w:val="10"/>
                <w:szCs w:val="10"/>
                <w:color w:val="auto"/>
              </w:rPr>
              <w:t>benefits</w:t>
            </w: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36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90"/>
              </w:rPr>
              <w:t>differences [A]</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remeasurements</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remeasurements</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[A]</w:t>
            </w:r>
          </w:p>
        </w:tc>
        <w:tc>
          <w:tcPr>
            <w:tcW w:w="16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[A]</w:t>
            </w: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89"/>
              </w:rPr>
              <w:t>hedging</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remeasurements</w:t>
            </w:r>
          </w:p>
        </w:tc>
        <w:tc>
          <w:tcPr>
            <w:tcW w:w="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620" w:type="dxa"/>
            <w:vAlign w:val="bottom"/>
          </w:tcPr>
          <w:p>
            <w:pPr>
              <w:spacing w:after="0" w:line="113" w:lineRule="exact"/>
              <w:rPr>
                <w:sz w:val="20"/>
                <w:szCs w:val="20"/>
                <w:color w:val="auto"/>
              </w:rPr>
            </w:pPr>
            <w:r>
              <w:rPr>
                <w:rFonts w:ascii="Arial" w:cs="Arial" w:eastAsia="Arial" w:hAnsi="Arial"/>
                <w:sz w:val="10"/>
                <w:szCs w:val="10"/>
                <w:color w:val="auto"/>
              </w:rPr>
              <w:t>At January 1, 2020</w:t>
            </w:r>
          </w:p>
        </w:tc>
        <w:tc>
          <w:tcPr>
            <w:tcW w:w="800" w:type="dxa"/>
            <w:vAlign w:val="bottom"/>
          </w:tcPr>
          <w:p>
            <w:pPr>
              <w:jc w:val="right"/>
              <w:ind w:right="152"/>
              <w:spacing w:after="0" w:line="113" w:lineRule="exact"/>
              <w:rPr>
                <w:sz w:val="20"/>
                <w:szCs w:val="20"/>
                <w:color w:val="auto"/>
              </w:rPr>
            </w:pPr>
            <w:r>
              <w:rPr>
                <w:rFonts w:ascii="Arial" w:cs="Arial" w:eastAsia="Arial" w:hAnsi="Arial"/>
                <w:sz w:val="10"/>
                <w:szCs w:val="10"/>
                <w:color w:val="auto"/>
              </w:rPr>
              <w:t>(9,415)</w:t>
            </w:r>
          </w:p>
        </w:tc>
        <w:tc>
          <w:tcPr>
            <w:tcW w:w="960" w:type="dxa"/>
            <w:vAlign w:val="bottom"/>
          </w:tcPr>
          <w:p>
            <w:pPr>
              <w:jc w:val="right"/>
              <w:ind w:right="132"/>
              <w:spacing w:after="0" w:line="113" w:lineRule="exact"/>
              <w:rPr>
                <w:sz w:val="20"/>
                <w:szCs w:val="20"/>
                <w:color w:val="auto"/>
              </w:rPr>
            </w:pPr>
            <w:r>
              <w:rPr>
                <w:rFonts w:ascii="Arial" w:cs="Arial" w:eastAsia="Arial" w:hAnsi="Arial"/>
                <w:sz w:val="10"/>
                <w:szCs w:val="10"/>
                <w:color w:val="auto"/>
              </w:rPr>
              <w:t>793</w:t>
            </w:r>
          </w:p>
        </w:tc>
        <w:tc>
          <w:tcPr>
            <w:tcW w:w="940" w:type="dxa"/>
            <w:vAlign w:val="bottom"/>
          </w:tcPr>
          <w:p>
            <w:pPr>
              <w:jc w:val="right"/>
              <w:ind w:right="52"/>
              <w:spacing w:after="0" w:line="113" w:lineRule="exact"/>
              <w:rPr>
                <w:sz w:val="20"/>
                <w:szCs w:val="20"/>
                <w:color w:val="auto"/>
              </w:rPr>
            </w:pPr>
            <w:r>
              <w:rPr>
                <w:rFonts w:ascii="Arial" w:cs="Arial" w:eastAsia="Arial" w:hAnsi="Arial"/>
                <w:sz w:val="10"/>
                <w:szCs w:val="10"/>
                <w:color w:val="auto"/>
              </w:rPr>
              <w:t>8</w:t>
            </w:r>
          </w:p>
        </w:tc>
        <w:tc>
          <w:tcPr>
            <w:tcW w:w="1000" w:type="dxa"/>
            <w:vAlign w:val="bottom"/>
          </w:tcPr>
          <w:p>
            <w:pPr>
              <w:jc w:val="right"/>
              <w:ind w:right="32"/>
              <w:spacing w:after="0" w:line="113" w:lineRule="exact"/>
              <w:rPr>
                <w:sz w:val="20"/>
                <w:szCs w:val="20"/>
                <w:color w:val="auto"/>
              </w:rPr>
            </w:pPr>
            <w:r>
              <w:rPr>
                <w:rFonts w:ascii="Arial" w:cs="Arial" w:eastAsia="Arial" w:hAnsi="Arial"/>
                <w:sz w:val="10"/>
                <w:szCs w:val="10"/>
                <w:color w:val="auto"/>
              </w:rPr>
              <w:t>(233)</w:t>
            </w:r>
          </w:p>
        </w:tc>
        <w:tc>
          <w:tcPr>
            <w:tcW w:w="1600" w:type="dxa"/>
            <w:vAlign w:val="bottom"/>
          </w:tcPr>
          <w:p>
            <w:pPr>
              <w:jc w:val="right"/>
              <w:ind w:right="612"/>
              <w:spacing w:after="0" w:line="113" w:lineRule="exact"/>
              <w:rPr>
                <w:sz w:val="20"/>
                <w:szCs w:val="20"/>
                <w:color w:val="auto"/>
              </w:rPr>
            </w:pPr>
            <w:r>
              <w:rPr>
                <w:rFonts w:ascii="Arial" w:cs="Arial" w:eastAsia="Arial" w:hAnsi="Arial"/>
                <w:sz w:val="10"/>
                <w:szCs w:val="10"/>
                <w:color w:val="auto"/>
              </w:rPr>
              <w:t>(2,016)</w:t>
            </w:r>
          </w:p>
        </w:tc>
        <w:tc>
          <w:tcPr>
            <w:tcW w:w="540" w:type="dxa"/>
            <w:vAlign w:val="bottom"/>
          </w:tcPr>
          <w:p>
            <w:pPr>
              <w:jc w:val="right"/>
              <w:ind w:right="152"/>
              <w:spacing w:after="0" w:line="113" w:lineRule="exact"/>
              <w:rPr>
                <w:sz w:val="20"/>
                <w:szCs w:val="20"/>
                <w:color w:val="auto"/>
              </w:rPr>
            </w:pPr>
            <w:r>
              <w:rPr>
                <w:rFonts w:ascii="Arial" w:cs="Arial" w:eastAsia="Arial" w:hAnsi="Arial"/>
                <w:sz w:val="10"/>
                <w:szCs w:val="10"/>
                <w:color w:val="auto"/>
              </w:rPr>
              <w:t>(287)</w:t>
            </w:r>
          </w:p>
        </w:tc>
        <w:tc>
          <w:tcPr>
            <w:tcW w:w="1140" w:type="dxa"/>
            <w:vAlign w:val="bottom"/>
          </w:tcPr>
          <w:p>
            <w:pPr>
              <w:jc w:val="right"/>
              <w:ind w:right="272"/>
              <w:spacing w:after="0" w:line="113" w:lineRule="exact"/>
              <w:rPr>
                <w:sz w:val="20"/>
                <w:szCs w:val="20"/>
                <w:color w:val="auto"/>
              </w:rPr>
            </w:pPr>
            <w:r>
              <w:rPr>
                <w:rFonts w:ascii="Arial" w:cs="Arial" w:eastAsia="Arial" w:hAnsi="Arial"/>
                <w:sz w:val="10"/>
                <w:szCs w:val="10"/>
                <w:color w:val="auto"/>
              </w:rPr>
              <w:t>(13,023)</w:t>
            </w:r>
          </w:p>
        </w:tc>
        <w:tc>
          <w:tcPr>
            <w:tcW w:w="700" w:type="dxa"/>
            <w:vAlign w:val="bottom"/>
          </w:tcPr>
          <w:p>
            <w:pPr>
              <w:jc w:val="right"/>
              <w:spacing w:after="0" w:line="113" w:lineRule="exact"/>
              <w:rPr>
                <w:sz w:val="20"/>
                <w:szCs w:val="20"/>
                <w:color w:val="auto"/>
              </w:rPr>
            </w:pPr>
            <w:r>
              <w:rPr>
                <w:rFonts w:ascii="Arial" w:cs="Arial" w:eastAsia="Arial" w:hAnsi="Arial"/>
                <w:sz w:val="10"/>
                <w:szCs w:val="10"/>
                <w:color w:val="auto"/>
              </w:rPr>
              <w:t>(24,173)</w:t>
            </w:r>
          </w:p>
        </w:tc>
        <w:tc>
          <w:tcPr>
            <w:tcW w:w="0" w:type="dxa"/>
            <w:vAlign w:val="bottom"/>
          </w:tcPr>
          <w:p>
            <w:pPr>
              <w:spacing w:after="0"/>
              <w:rPr>
                <w:sz w:val="1"/>
                <w:szCs w:val="1"/>
                <w:color w:val="auto"/>
              </w:rPr>
            </w:pPr>
          </w:p>
        </w:tc>
      </w:tr>
      <w:tr>
        <w:trPr>
          <w:trHeight w:val="123"/>
        </w:trPr>
        <w:tc>
          <w:tcPr>
            <w:tcW w:w="3620" w:type="dxa"/>
            <w:vAlign w:val="bottom"/>
          </w:tcPr>
          <w:p>
            <w:pPr>
              <w:spacing w:after="0"/>
              <w:rPr>
                <w:sz w:val="20"/>
                <w:szCs w:val="20"/>
                <w:color w:val="auto"/>
              </w:rPr>
            </w:pPr>
            <w:r>
              <w:rPr>
                <w:rFonts w:ascii="Arial" w:cs="Arial" w:eastAsia="Arial" w:hAnsi="Arial"/>
                <w:sz w:val="10"/>
                <w:szCs w:val="10"/>
                <w:color w:val="auto"/>
              </w:rPr>
              <w:t>Recognised in other comprehensive income</w:t>
            </w:r>
          </w:p>
        </w:tc>
        <w:tc>
          <w:tcPr>
            <w:tcW w:w="800" w:type="dxa"/>
            <w:vAlign w:val="bottom"/>
          </w:tcPr>
          <w:p>
            <w:pPr>
              <w:jc w:val="right"/>
              <w:ind w:right="172"/>
              <w:spacing w:after="0"/>
              <w:rPr>
                <w:sz w:val="20"/>
                <w:szCs w:val="20"/>
                <w:color w:val="auto"/>
              </w:rPr>
            </w:pPr>
            <w:r>
              <w:rPr>
                <w:rFonts w:ascii="Arial" w:cs="Arial" w:eastAsia="Arial" w:hAnsi="Arial"/>
                <w:sz w:val="10"/>
                <w:szCs w:val="10"/>
                <w:color w:val="auto"/>
              </w:rPr>
              <w:t>1,204</w:t>
            </w:r>
          </w:p>
        </w:tc>
        <w:tc>
          <w:tcPr>
            <w:tcW w:w="960" w:type="dxa"/>
            <w:vAlign w:val="bottom"/>
          </w:tcPr>
          <w:p>
            <w:pPr>
              <w:jc w:val="right"/>
              <w:ind w:right="132"/>
              <w:spacing w:after="0"/>
              <w:rPr>
                <w:sz w:val="20"/>
                <w:szCs w:val="20"/>
                <w:color w:val="auto"/>
              </w:rPr>
            </w:pPr>
            <w:r>
              <w:rPr>
                <w:rFonts w:ascii="Arial" w:cs="Arial" w:eastAsia="Arial" w:hAnsi="Arial"/>
                <w:sz w:val="10"/>
                <w:szCs w:val="10"/>
                <w:color w:val="auto"/>
              </w:rPr>
              <w:t>68</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31</w:t>
            </w: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(9)</w:t>
            </w:r>
          </w:p>
        </w:tc>
        <w:tc>
          <w:tcPr>
            <w:tcW w:w="1600" w:type="dxa"/>
            <w:vAlign w:val="bottom"/>
          </w:tcPr>
          <w:p>
            <w:pPr>
              <w:jc w:val="right"/>
              <w:ind w:right="612"/>
              <w:spacing w:after="0"/>
              <w:rPr>
                <w:sz w:val="20"/>
                <w:szCs w:val="20"/>
                <w:color w:val="auto"/>
              </w:rPr>
            </w:pPr>
            <w:r>
              <w:rPr>
                <w:rFonts w:ascii="Arial" w:cs="Arial" w:eastAsia="Arial" w:hAnsi="Arial"/>
                <w:sz w:val="10"/>
                <w:szCs w:val="10"/>
                <w:color w:val="auto"/>
              </w:rPr>
              <w:t>(423)</w:t>
            </w:r>
          </w:p>
        </w:tc>
        <w:tc>
          <w:tcPr>
            <w:tcW w:w="540" w:type="dxa"/>
            <w:vAlign w:val="bottom"/>
          </w:tcPr>
          <w:p>
            <w:pPr>
              <w:jc w:val="right"/>
              <w:ind w:right="172"/>
              <w:spacing w:after="0"/>
              <w:rPr>
                <w:sz w:val="20"/>
                <w:szCs w:val="20"/>
                <w:color w:val="auto"/>
              </w:rPr>
            </w:pPr>
            <w:r>
              <w:rPr>
                <w:rFonts w:ascii="Arial" w:cs="Arial" w:eastAsia="Arial" w:hAnsi="Arial"/>
                <w:sz w:val="10"/>
                <w:szCs w:val="10"/>
                <w:color w:val="auto"/>
              </w:rPr>
              <w:t>17</w:t>
            </w:r>
          </w:p>
        </w:tc>
        <w:tc>
          <w:tcPr>
            <w:tcW w:w="1140" w:type="dxa"/>
            <w:vAlign w:val="bottom"/>
          </w:tcPr>
          <w:p>
            <w:pPr>
              <w:jc w:val="right"/>
              <w:ind w:right="272"/>
              <w:spacing w:after="0"/>
              <w:rPr>
                <w:sz w:val="20"/>
                <w:szCs w:val="20"/>
                <w:color w:val="auto"/>
              </w:rPr>
            </w:pPr>
            <w:r>
              <w:rPr>
                <w:rFonts w:ascii="Arial" w:cs="Arial" w:eastAsia="Arial" w:hAnsi="Arial"/>
                <w:sz w:val="10"/>
                <w:szCs w:val="10"/>
                <w:color w:val="auto"/>
              </w:rPr>
              <w:t>(3,455)</w:t>
            </w:r>
          </w:p>
        </w:tc>
        <w:tc>
          <w:tcPr>
            <w:tcW w:w="700" w:type="dxa"/>
            <w:vAlign w:val="bottom"/>
          </w:tcPr>
          <w:p>
            <w:pPr>
              <w:jc w:val="right"/>
              <w:spacing w:after="0"/>
              <w:rPr>
                <w:sz w:val="20"/>
                <w:szCs w:val="20"/>
                <w:color w:val="auto"/>
              </w:rPr>
            </w:pPr>
            <w:r>
              <w:rPr>
                <w:rFonts w:ascii="Arial" w:cs="Arial" w:eastAsia="Arial" w:hAnsi="Arial"/>
                <w:sz w:val="10"/>
                <w:szCs w:val="10"/>
                <w:color w:val="auto"/>
              </w:rPr>
              <w:t>(2,567)</w:t>
            </w:r>
          </w:p>
        </w:tc>
        <w:tc>
          <w:tcPr>
            <w:tcW w:w="0" w:type="dxa"/>
            <w:vAlign w:val="bottom"/>
          </w:tcPr>
          <w:p>
            <w:pPr>
              <w:spacing w:after="0"/>
              <w:rPr>
                <w:sz w:val="1"/>
                <w:szCs w:val="1"/>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Reclassified to income</w:t>
            </w:r>
          </w:p>
        </w:tc>
        <w:tc>
          <w:tcPr>
            <w:tcW w:w="800" w:type="dxa"/>
            <w:vAlign w:val="bottom"/>
          </w:tcPr>
          <w:p>
            <w:pPr>
              <w:jc w:val="right"/>
              <w:ind w:right="152"/>
              <w:spacing w:after="0"/>
              <w:rPr>
                <w:sz w:val="20"/>
                <w:szCs w:val="20"/>
                <w:color w:val="auto"/>
              </w:rPr>
            </w:pPr>
            <w:r>
              <w:rPr>
                <w:rFonts w:ascii="Arial" w:cs="Arial" w:eastAsia="Arial" w:hAnsi="Arial"/>
                <w:sz w:val="10"/>
                <w:szCs w:val="10"/>
                <w:color w:val="auto"/>
              </w:rPr>
              <w:t>(28)</w:t>
            </w:r>
          </w:p>
        </w:tc>
        <w:tc>
          <w:tcPr>
            <w:tcW w:w="9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w:t>
            </w: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(173)</w:t>
            </w:r>
          </w:p>
        </w:tc>
        <w:tc>
          <w:tcPr>
            <w:tcW w:w="1600" w:type="dxa"/>
            <w:vAlign w:val="bottom"/>
          </w:tcPr>
          <w:p>
            <w:pPr>
              <w:jc w:val="right"/>
              <w:ind w:right="632"/>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72"/>
              <w:spacing w:after="0"/>
              <w:rPr>
                <w:sz w:val="20"/>
                <w:szCs w:val="20"/>
                <w:color w:val="auto"/>
              </w:rPr>
            </w:pPr>
            <w:r>
              <w:rPr>
                <w:rFonts w:ascii="Arial" w:cs="Arial" w:eastAsia="Arial" w:hAnsi="Arial"/>
                <w:sz w:val="10"/>
                <w:szCs w:val="10"/>
                <w:color w:val="auto"/>
              </w:rPr>
              <w:t>94</w:t>
            </w:r>
          </w:p>
        </w:tc>
        <w:tc>
          <w:tcPr>
            <w:tcW w:w="114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(115)</w:t>
            </w:r>
          </w:p>
        </w:tc>
        <w:tc>
          <w:tcPr>
            <w:tcW w:w="0" w:type="dxa"/>
            <w:vAlign w:val="bottom"/>
          </w:tcPr>
          <w:p>
            <w:pPr>
              <w:spacing w:after="0"/>
              <w:rPr>
                <w:sz w:val="1"/>
                <w:szCs w:val="1"/>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Reclassified to the balance sheet</w:t>
            </w:r>
          </w:p>
        </w:tc>
        <w:tc>
          <w:tcPr>
            <w:tcW w:w="8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52"/>
              <w:spacing w:after="0"/>
              <w:rPr>
                <w:sz w:val="20"/>
                <w:szCs w:val="20"/>
                <w:color w:val="auto"/>
              </w:rPr>
            </w:pPr>
            <w:r>
              <w:rPr>
                <w:rFonts w:ascii="Arial" w:cs="Arial" w:eastAsia="Arial" w:hAnsi="Arial"/>
                <w:sz w:val="10"/>
                <w:szCs w:val="10"/>
                <w:color w:val="auto"/>
              </w:rPr>
              <w:t>16</w:t>
            </w:r>
          </w:p>
        </w:tc>
        <w:tc>
          <w:tcPr>
            <w:tcW w:w="1600" w:type="dxa"/>
            <w:vAlign w:val="bottom"/>
          </w:tcPr>
          <w:p>
            <w:pPr>
              <w:spacing w:after="0"/>
              <w:rPr>
                <w:sz w:val="10"/>
                <w:szCs w:val="10"/>
                <w:color w:val="auto"/>
              </w:rPr>
            </w:pPr>
          </w:p>
        </w:tc>
        <w:tc>
          <w:tcPr>
            <w:tcW w:w="54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Reclassified to retained earnings</w:t>
            </w:r>
          </w:p>
        </w:tc>
        <w:tc>
          <w:tcPr>
            <w:tcW w:w="8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32"/>
              <w:spacing w:after="0"/>
              <w:rPr>
                <w:sz w:val="20"/>
                <w:szCs w:val="20"/>
                <w:color w:val="auto"/>
              </w:rPr>
            </w:pPr>
            <w:r>
              <w:rPr>
                <w:rFonts w:ascii="Arial" w:cs="Arial" w:eastAsia="Arial" w:hAnsi="Arial"/>
                <w:sz w:val="10"/>
                <w:szCs w:val="10"/>
                <w:color w:val="auto"/>
              </w:rPr>
              <w:t>169</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54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312"/>
              <w:spacing w:after="0"/>
              <w:rPr>
                <w:sz w:val="20"/>
                <w:szCs w:val="20"/>
                <w:color w:val="auto"/>
              </w:rPr>
            </w:pPr>
            <w:r>
              <w:rPr>
                <w:rFonts w:ascii="Arial" w:cs="Arial" w:eastAsia="Arial" w:hAnsi="Arial"/>
                <w:sz w:val="10"/>
                <w:szCs w:val="10"/>
                <w:color w:val="auto"/>
              </w:rPr>
              <w:t>101</w:t>
            </w:r>
          </w:p>
        </w:tc>
        <w:tc>
          <w:tcPr>
            <w:tcW w:w="700" w:type="dxa"/>
            <w:vAlign w:val="bottom"/>
          </w:tcPr>
          <w:p>
            <w:pPr>
              <w:jc w:val="right"/>
              <w:spacing w:after="0"/>
              <w:rPr>
                <w:sz w:val="20"/>
                <w:szCs w:val="20"/>
                <w:color w:val="auto"/>
              </w:rPr>
            </w:pPr>
            <w:r>
              <w:rPr>
                <w:rFonts w:ascii="Arial" w:cs="Arial" w:eastAsia="Arial" w:hAnsi="Arial"/>
                <w:sz w:val="10"/>
                <w:szCs w:val="10"/>
                <w:color w:val="auto"/>
              </w:rPr>
              <w:t>270</w:t>
            </w:r>
          </w:p>
        </w:tc>
        <w:tc>
          <w:tcPr>
            <w:tcW w:w="0" w:type="dxa"/>
            <w:vAlign w:val="bottom"/>
          </w:tcPr>
          <w:p>
            <w:pPr>
              <w:spacing w:after="0"/>
              <w:rPr>
                <w:sz w:val="1"/>
                <w:szCs w:val="1"/>
                <w:color w:val="auto"/>
              </w:rPr>
            </w:pPr>
          </w:p>
        </w:tc>
      </w:tr>
      <w:tr>
        <w:trPr>
          <w:trHeight w:val="130"/>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Tax on amounts recognised/reclassified</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3</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6</w:t>
            </w:r>
          </w:p>
        </w:tc>
        <w:tc>
          <w:tcPr>
            <w:tcW w:w="16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(11)</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753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747</w:t>
            </w:r>
          </w:p>
        </w:tc>
        <w:tc>
          <w:tcPr>
            <w:tcW w:w="0" w:type="dxa"/>
            <w:vAlign w:val="bottom"/>
          </w:tcPr>
          <w:p>
            <w:pPr>
              <w:spacing w:after="0"/>
              <w:rPr>
                <w:sz w:val="1"/>
                <w:szCs w:val="1"/>
                <w:color w:val="auto"/>
              </w:rPr>
            </w:pPr>
          </w:p>
        </w:tc>
      </w:tr>
      <w:tr>
        <w:trPr>
          <w:trHeight w:val="117"/>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net of tax</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1,179</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233</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23</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(160)</w:t>
            </w:r>
          </w:p>
        </w:tc>
        <w:tc>
          <w:tcPr>
            <w:tcW w:w="16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(423)</w:t>
            </w: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100</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(2,601)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(1,649)</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Share of joint ventures and associates</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51</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118</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(92)</w:t>
            </w:r>
          </w:p>
        </w:tc>
        <w:tc>
          <w:tcPr>
            <w:tcW w:w="16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comprehensive income/(loss) for the period</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1,230</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351</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23</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(252)</w:t>
            </w:r>
          </w:p>
        </w:tc>
        <w:tc>
          <w:tcPr>
            <w:tcW w:w="16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(423)</w:t>
            </w: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100</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(2,601)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(1,572)</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Less: non-controlling interest</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10</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Attributable to Royal Dutch Shell plc shareholders</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1,240</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351</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23</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(252)</w:t>
            </w:r>
          </w:p>
        </w:tc>
        <w:tc>
          <w:tcPr>
            <w:tcW w:w="16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(423)</w:t>
            </w: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100</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(2,601)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(1,562)</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2020</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(8,175)</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1,144</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31</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(485)</w:t>
            </w:r>
          </w:p>
        </w:tc>
        <w:tc>
          <w:tcPr>
            <w:tcW w:w="16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(2,439)</w:t>
            </w: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(187)</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(15,624)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(25,735)</w:t>
            </w:r>
          </w:p>
        </w:tc>
        <w:tc>
          <w:tcPr>
            <w:tcW w:w="0" w:type="dxa"/>
            <w:vAlign w:val="bottom"/>
          </w:tcPr>
          <w:p>
            <w:pPr>
              <w:spacing w:after="0"/>
              <w:rPr>
                <w:sz w:val="1"/>
                <w:szCs w:val="1"/>
                <w:color w:val="auto"/>
              </w:rPr>
            </w:pPr>
          </w:p>
        </w:tc>
      </w:tr>
      <w:tr>
        <w:trPr>
          <w:trHeight w:val="113"/>
        </w:trPr>
        <w:tc>
          <w:tcPr>
            <w:tcW w:w="3620" w:type="dxa"/>
            <w:vAlign w:val="bottom"/>
          </w:tcPr>
          <w:p>
            <w:pPr>
              <w:spacing w:after="0" w:line="113" w:lineRule="exact"/>
              <w:rPr>
                <w:sz w:val="20"/>
                <w:szCs w:val="20"/>
                <w:color w:val="auto"/>
              </w:rPr>
            </w:pPr>
            <w:r>
              <w:rPr>
                <w:rFonts w:ascii="Arial" w:cs="Arial" w:eastAsia="Arial" w:hAnsi="Arial"/>
                <w:sz w:val="10"/>
                <w:szCs w:val="10"/>
                <w:color w:val="auto"/>
              </w:rPr>
              <w:t>At January 1, 2019</w:t>
            </w:r>
          </w:p>
        </w:tc>
        <w:tc>
          <w:tcPr>
            <w:tcW w:w="800" w:type="dxa"/>
            <w:vAlign w:val="bottom"/>
          </w:tcPr>
          <w:p>
            <w:pPr>
              <w:jc w:val="right"/>
              <w:ind w:right="152"/>
              <w:spacing w:after="0" w:line="113" w:lineRule="exact"/>
              <w:rPr>
                <w:sz w:val="20"/>
                <w:szCs w:val="20"/>
                <w:color w:val="auto"/>
              </w:rPr>
            </w:pPr>
            <w:r>
              <w:rPr>
                <w:rFonts w:ascii="Arial" w:cs="Arial" w:eastAsia="Arial" w:hAnsi="Arial"/>
                <w:sz w:val="10"/>
                <w:szCs w:val="10"/>
                <w:color w:val="auto"/>
              </w:rPr>
              <w:t>(9,722)</w:t>
            </w:r>
          </w:p>
        </w:tc>
        <w:tc>
          <w:tcPr>
            <w:tcW w:w="960" w:type="dxa"/>
            <w:vAlign w:val="bottom"/>
          </w:tcPr>
          <w:p>
            <w:pPr>
              <w:jc w:val="right"/>
              <w:ind w:right="132"/>
              <w:spacing w:after="0" w:line="113" w:lineRule="exact"/>
              <w:rPr>
                <w:sz w:val="20"/>
                <w:szCs w:val="20"/>
                <w:color w:val="auto"/>
              </w:rPr>
            </w:pPr>
            <w:r>
              <w:rPr>
                <w:rFonts w:ascii="Arial" w:cs="Arial" w:eastAsia="Arial" w:hAnsi="Arial"/>
                <w:sz w:val="10"/>
                <w:szCs w:val="10"/>
                <w:color w:val="auto"/>
              </w:rPr>
              <w:t>906</w:t>
            </w:r>
          </w:p>
        </w:tc>
        <w:tc>
          <w:tcPr>
            <w:tcW w:w="940" w:type="dxa"/>
            <w:vAlign w:val="bottom"/>
          </w:tcPr>
          <w:p>
            <w:pPr>
              <w:jc w:val="right"/>
              <w:ind w:right="32"/>
              <w:spacing w:after="0" w:line="113" w:lineRule="exact"/>
              <w:rPr>
                <w:sz w:val="20"/>
                <w:szCs w:val="20"/>
                <w:color w:val="auto"/>
              </w:rPr>
            </w:pPr>
            <w:r>
              <w:rPr>
                <w:rFonts w:ascii="Arial" w:cs="Arial" w:eastAsia="Arial" w:hAnsi="Arial"/>
                <w:sz w:val="10"/>
                <w:szCs w:val="10"/>
                <w:color w:val="auto"/>
              </w:rPr>
              <w:t>(21)</w:t>
            </w:r>
          </w:p>
        </w:tc>
        <w:tc>
          <w:tcPr>
            <w:tcW w:w="1000" w:type="dxa"/>
            <w:vAlign w:val="bottom"/>
          </w:tcPr>
          <w:p>
            <w:pPr>
              <w:jc w:val="right"/>
              <w:ind w:right="52"/>
              <w:spacing w:after="0" w:line="113" w:lineRule="exact"/>
              <w:rPr>
                <w:sz w:val="20"/>
                <w:szCs w:val="20"/>
                <w:color w:val="auto"/>
              </w:rPr>
            </w:pPr>
            <w:r>
              <w:rPr>
                <w:rFonts w:ascii="Arial" w:cs="Arial" w:eastAsia="Arial" w:hAnsi="Arial"/>
                <w:sz w:val="10"/>
                <w:szCs w:val="10"/>
                <w:color w:val="auto"/>
              </w:rPr>
              <w:t>117</w:t>
            </w:r>
          </w:p>
        </w:tc>
        <w:tc>
          <w:tcPr>
            <w:tcW w:w="1600" w:type="dxa"/>
            <w:vAlign w:val="bottom"/>
          </w:tcPr>
          <w:p>
            <w:pPr>
              <w:jc w:val="right"/>
              <w:ind w:right="612"/>
              <w:spacing w:after="0" w:line="113" w:lineRule="exact"/>
              <w:rPr>
                <w:sz w:val="20"/>
                <w:szCs w:val="20"/>
                <w:color w:val="auto"/>
              </w:rPr>
            </w:pPr>
            <w:r>
              <w:rPr>
                <w:rFonts w:ascii="Arial" w:cs="Arial" w:eastAsia="Arial" w:hAnsi="Arial"/>
                <w:sz w:val="10"/>
                <w:szCs w:val="10"/>
                <w:color w:val="auto"/>
              </w:rPr>
              <w:t>(2,025)</w:t>
            </w:r>
          </w:p>
        </w:tc>
        <w:tc>
          <w:tcPr>
            <w:tcW w:w="540" w:type="dxa"/>
            <w:vAlign w:val="bottom"/>
          </w:tcPr>
          <w:p>
            <w:pPr>
              <w:jc w:val="right"/>
              <w:ind w:right="152"/>
              <w:spacing w:after="0" w:line="113" w:lineRule="exact"/>
              <w:rPr>
                <w:sz w:val="20"/>
                <w:szCs w:val="20"/>
                <w:color w:val="auto"/>
              </w:rPr>
            </w:pPr>
            <w:r>
              <w:rPr>
                <w:rFonts w:ascii="Arial" w:cs="Arial" w:eastAsia="Arial" w:hAnsi="Arial"/>
                <w:sz w:val="10"/>
                <w:szCs w:val="10"/>
                <w:color w:val="auto"/>
              </w:rPr>
              <w:t>(353)</w:t>
            </w:r>
          </w:p>
        </w:tc>
        <w:tc>
          <w:tcPr>
            <w:tcW w:w="1140" w:type="dxa"/>
            <w:vAlign w:val="bottom"/>
          </w:tcPr>
          <w:p>
            <w:pPr>
              <w:jc w:val="right"/>
              <w:ind w:right="272"/>
              <w:spacing w:after="0" w:line="113" w:lineRule="exact"/>
              <w:rPr>
                <w:sz w:val="20"/>
                <w:szCs w:val="20"/>
                <w:color w:val="auto"/>
              </w:rPr>
            </w:pPr>
            <w:r>
              <w:rPr>
                <w:rFonts w:ascii="Arial" w:cs="Arial" w:eastAsia="Arial" w:hAnsi="Arial"/>
                <w:sz w:val="10"/>
                <w:szCs w:val="10"/>
                <w:color w:val="auto"/>
              </w:rPr>
              <w:t>(10,932)</w:t>
            </w:r>
          </w:p>
        </w:tc>
        <w:tc>
          <w:tcPr>
            <w:tcW w:w="700" w:type="dxa"/>
            <w:vAlign w:val="bottom"/>
          </w:tcPr>
          <w:p>
            <w:pPr>
              <w:jc w:val="right"/>
              <w:spacing w:after="0" w:line="113" w:lineRule="exact"/>
              <w:rPr>
                <w:sz w:val="20"/>
                <w:szCs w:val="20"/>
                <w:color w:val="auto"/>
              </w:rPr>
            </w:pPr>
            <w:r>
              <w:rPr>
                <w:rFonts w:ascii="Arial" w:cs="Arial" w:eastAsia="Arial" w:hAnsi="Arial"/>
                <w:sz w:val="10"/>
                <w:szCs w:val="10"/>
                <w:color w:val="auto"/>
              </w:rPr>
              <w:t>(22,030)</w:t>
            </w:r>
          </w:p>
        </w:tc>
        <w:tc>
          <w:tcPr>
            <w:tcW w:w="0" w:type="dxa"/>
            <w:vAlign w:val="bottom"/>
          </w:tcPr>
          <w:p>
            <w:pPr>
              <w:spacing w:after="0"/>
              <w:rPr>
                <w:sz w:val="1"/>
                <w:szCs w:val="1"/>
                <w:color w:val="auto"/>
              </w:rPr>
            </w:pPr>
          </w:p>
        </w:tc>
      </w:tr>
      <w:tr>
        <w:trPr>
          <w:trHeight w:val="123"/>
        </w:trPr>
        <w:tc>
          <w:tcPr>
            <w:tcW w:w="3620" w:type="dxa"/>
            <w:vAlign w:val="bottom"/>
          </w:tcPr>
          <w:p>
            <w:pPr>
              <w:spacing w:after="0"/>
              <w:rPr>
                <w:sz w:val="20"/>
                <w:szCs w:val="20"/>
                <w:color w:val="auto"/>
              </w:rPr>
            </w:pPr>
            <w:r>
              <w:rPr>
                <w:rFonts w:ascii="Arial" w:cs="Arial" w:eastAsia="Arial" w:hAnsi="Arial"/>
                <w:sz w:val="10"/>
                <w:szCs w:val="10"/>
                <w:color w:val="auto"/>
              </w:rPr>
              <w:t>Recognised in other comprehensive income</w:t>
            </w:r>
          </w:p>
        </w:tc>
        <w:tc>
          <w:tcPr>
            <w:tcW w:w="800" w:type="dxa"/>
            <w:vAlign w:val="bottom"/>
          </w:tcPr>
          <w:p>
            <w:pPr>
              <w:jc w:val="right"/>
              <w:ind w:right="172"/>
              <w:spacing w:after="0"/>
              <w:rPr>
                <w:sz w:val="20"/>
                <w:szCs w:val="20"/>
                <w:color w:val="auto"/>
              </w:rPr>
            </w:pPr>
            <w:r>
              <w:rPr>
                <w:rFonts w:ascii="Arial" w:cs="Arial" w:eastAsia="Arial" w:hAnsi="Arial"/>
                <w:sz w:val="10"/>
                <w:szCs w:val="10"/>
                <w:color w:val="auto"/>
              </w:rPr>
              <w:t>302</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(17)</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24</w:t>
            </w: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(592)</w:t>
            </w:r>
          </w:p>
        </w:tc>
        <w:tc>
          <w:tcPr>
            <w:tcW w:w="1600" w:type="dxa"/>
            <w:vAlign w:val="bottom"/>
          </w:tcPr>
          <w:p>
            <w:pPr>
              <w:jc w:val="right"/>
              <w:ind w:right="632"/>
              <w:spacing w:after="0"/>
              <w:rPr>
                <w:sz w:val="20"/>
                <w:szCs w:val="20"/>
                <w:color w:val="auto"/>
              </w:rPr>
            </w:pPr>
            <w:r>
              <w:rPr>
                <w:rFonts w:ascii="Arial" w:cs="Arial" w:eastAsia="Arial" w:hAnsi="Arial"/>
                <w:sz w:val="10"/>
                <w:szCs w:val="10"/>
                <w:color w:val="auto"/>
              </w:rPr>
              <w:t>13</w:t>
            </w:r>
          </w:p>
        </w:tc>
        <w:tc>
          <w:tcPr>
            <w:tcW w:w="540" w:type="dxa"/>
            <w:vAlign w:val="bottom"/>
          </w:tcPr>
          <w:p>
            <w:pPr>
              <w:jc w:val="right"/>
              <w:ind w:right="172"/>
              <w:spacing w:after="0"/>
              <w:rPr>
                <w:sz w:val="20"/>
                <w:szCs w:val="20"/>
                <w:color w:val="auto"/>
              </w:rPr>
            </w:pPr>
            <w:r>
              <w:rPr>
                <w:rFonts w:ascii="Arial" w:cs="Arial" w:eastAsia="Arial" w:hAnsi="Arial"/>
                <w:sz w:val="10"/>
                <w:szCs w:val="10"/>
                <w:color w:val="auto"/>
              </w:rPr>
              <w:t>9</w:t>
            </w:r>
          </w:p>
        </w:tc>
        <w:tc>
          <w:tcPr>
            <w:tcW w:w="1140" w:type="dxa"/>
            <w:vAlign w:val="bottom"/>
          </w:tcPr>
          <w:p>
            <w:pPr>
              <w:jc w:val="right"/>
              <w:ind w:right="272"/>
              <w:spacing w:after="0"/>
              <w:rPr>
                <w:sz w:val="20"/>
                <w:szCs w:val="20"/>
                <w:color w:val="auto"/>
              </w:rPr>
            </w:pPr>
            <w:r>
              <w:rPr>
                <w:rFonts w:ascii="Arial" w:cs="Arial" w:eastAsia="Arial" w:hAnsi="Arial"/>
                <w:sz w:val="10"/>
                <w:szCs w:val="10"/>
                <w:color w:val="auto"/>
              </w:rPr>
              <w:t>(3,106)</w:t>
            </w:r>
          </w:p>
        </w:tc>
        <w:tc>
          <w:tcPr>
            <w:tcW w:w="700" w:type="dxa"/>
            <w:vAlign w:val="bottom"/>
          </w:tcPr>
          <w:p>
            <w:pPr>
              <w:jc w:val="right"/>
              <w:spacing w:after="0"/>
              <w:rPr>
                <w:sz w:val="20"/>
                <w:szCs w:val="20"/>
                <w:color w:val="auto"/>
              </w:rPr>
            </w:pPr>
            <w:r>
              <w:rPr>
                <w:rFonts w:ascii="Arial" w:cs="Arial" w:eastAsia="Arial" w:hAnsi="Arial"/>
                <w:sz w:val="10"/>
                <w:szCs w:val="10"/>
                <w:color w:val="auto"/>
              </w:rPr>
              <w:t>(3,367)</w:t>
            </w:r>
          </w:p>
        </w:tc>
        <w:tc>
          <w:tcPr>
            <w:tcW w:w="0" w:type="dxa"/>
            <w:vAlign w:val="bottom"/>
          </w:tcPr>
          <w:p>
            <w:pPr>
              <w:spacing w:after="0"/>
              <w:rPr>
                <w:sz w:val="1"/>
                <w:szCs w:val="1"/>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Reclassified to income</w:t>
            </w:r>
          </w:p>
        </w:tc>
        <w:tc>
          <w:tcPr>
            <w:tcW w:w="800" w:type="dxa"/>
            <w:vAlign w:val="bottom"/>
          </w:tcPr>
          <w:p>
            <w:pPr>
              <w:jc w:val="right"/>
              <w:ind w:right="172"/>
              <w:spacing w:after="0"/>
              <w:rPr>
                <w:sz w:val="20"/>
                <w:szCs w:val="20"/>
                <w:color w:val="auto"/>
              </w:rPr>
            </w:pPr>
            <w:r>
              <w:rPr>
                <w:rFonts w:ascii="Arial" w:cs="Arial" w:eastAsia="Arial" w:hAnsi="Arial"/>
                <w:sz w:val="10"/>
                <w:szCs w:val="10"/>
                <w:color w:val="auto"/>
              </w:rPr>
              <w:t>38</w:t>
            </w:r>
          </w:p>
        </w:tc>
        <w:tc>
          <w:tcPr>
            <w:tcW w:w="9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5</w:t>
            </w:r>
          </w:p>
        </w:tc>
        <w:tc>
          <w:tcPr>
            <w:tcW w:w="1000" w:type="dxa"/>
            <w:vAlign w:val="bottom"/>
          </w:tcPr>
          <w:p>
            <w:pPr>
              <w:jc w:val="right"/>
              <w:ind w:right="52"/>
              <w:spacing w:after="0"/>
              <w:rPr>
                <w:sz w:val="20"/>
                <w:szCs w:val="20"/>
                <w:color w:val="auto"/>
              </w:rPr>
            </w:pPr>
            <w:r>
              <w:rPr>
                <w:rFonts w:ascii="Arial" w:cs="Arial" w:eastAsia="Arial" w:hAnsi="Arial"/>
                <w:sz w:val="10"/>
                <w:szCs w:val="10"/>
                <w:color w:val="auto"/>
              </w:rPr>
              <w:t>268</w:t>
            </w:r>
          </w:p>
        </w:tc>
        <w:tc>
          <w:tcPr>
            <w:tcW w:w="1600" w:type="dxa"/>
            <w:vAlign w:val="bottom"/>
          </w:tcPr>
          <w:p>
            <w:pPr>
              <w:jc w:val="right"/>
              <w:ind w:right="632"/>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72"/>
              <w:spacing w:after="0"/>
              <w:rPr>
                <w:sz w:val="20"/>
                <w:szCs w:val="20"/>
                <w:color w:val="auto"/>
              </w:rPr>
            </w:pPr>
            <w:r>
              <w:rPr>
                <w:rFonts w:ascii="Arial" w:cs="Arial" w:eastAsia="Arial" w:hAnsi="Arial"/>
                <w:sz w:val="10"/>
                <w:szCs w:val="10"/>
                <w:color w:val="auto"/>
              </w:rPr>
              <w:t>86</w:t>
            </w:r>
          </w:p>
        </w:tc>
        <w:tc>
          <w:tcPr>
            <w:tcW w:w="114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397</w:t>
            </w:r>
          </w:p>
        </w:tc>
        <w:tc>
          <w:tcPr>
            <w:tcW w:w="0" w:type="dxa"/>
            <w:vAlign w:val="bottom"/>
          </w:tcPr>
          <w:p>
            <w:pPr>
              <w:spacing w:after="0"/>
              <w:rPr>
                <w:sz w:val="1"/>
                <w:szCs w:val="1"/>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Reclassified to the balance sheet</w:t>
            </w:r>
          </w:p>
        </w:tc>
        <w:tc>
          <w:tcPr>
            <w:tcW w:w="8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52"/>
              <w:spacing w:after="0"/>
              <w:rPr>
                <w:sz w:val="20"/>
                <w:szCs w:val="20"/>
                <w:color w:val="auto"/>
              </w:rPr>
            </w:pPr>
            <w:r>
              <w:rPr>
                <w:rFonts w:ascii="Arial" w:cs="Arial" w:eastAsia="Arial" w:hAnsi="Arial"/>
                <w:sz w:val="10"/>
                <w:szCs w:val="10"/>
                <w:color w:val="auto"/>
              </w:rPr>
              <w:t>11</w:t>
            </w:r>
          </w:p>
        </w:tc>
        <w:tc>
          <w:tcPr>
            <w:tcW w:w="1600" w:type="dxa"/>
            <w:vAlign w:val="bottom"/>
          </w:tcPr>
          <w:p>
            <w:pPr>
              <w:spacing w:after="0"/>
              <w:rPr>
                <w:sz w:val="10"/>
                <w:szCs w:val="10"/>
                <w:color w:val="auto"/>
              </w:rPr>
            </w:pPr>
          </w:p>
        </w:tc>
        <w:tc>
          <w:tcPr>
            <w:tcW w:w="54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Reclassified to retained earnings</w:t>
            </w:r>
          </w:p>
        </w:tc>
        <w:tc>
          <w:tcPr>
            <w:tcW w:w="8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(85)</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54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312"/>
              <w:spacing w:after="0"/>
              <w:rPr>
                <w:sz w:val="20"/>
                <w:szCs w:val="20"/>
                <w:color w:val="auto"/>
              </w:rPr>
            </w:pPr>
            <w:r>
              <w:rPr>
                <w:rFonts w:ascii="Arial" w:cs="Arial" w:eastAsia="Arial" w:hAnsi="Arial"/>
                <w:sz w:val="10"/>
                <w:szCs w:val="10"/>
                <w:color w:val="auto"/>
              </w:rPr>
              <w:t>11</w:t>
            </w:r>
          </w:p>
        </w:tc>
        <w:tc>
          <w:tcPr>
            <w:tcW w:w="700" w:type="dxa"/>
            <w:vAlign w:val="bottom"/>
          </w:tcPr>
          <w:p>
            <w:pPr>
              <w:jc w:val="right"/>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130"/>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Tax on amounts recognised/reclassified</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4</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(13)</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37</w:t>
            </w:r>
          </w:p>
        </w:tc>
        <w:tc>
          <w:tcPr>
            <w:tcW w:w="16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(4)</w:t>
            </w: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(29)</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1,004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999</w:t>
            </w:r>
          </w:p>
        </w:tc>
        <w:tc>
          <w:tcPr>
            <w:tcW w:w="0" w:type="dxa"/>
            <w:vAlign w:val="bottom"/>
          </w:tcPr>
          <w:p>
            <w:pPr>
              <w:spacing w:after="0"/>
              <w:rPr>
                <w:sz w:val="1"/>
                <w:szCs w:val="1"/>
                <w:color w:val="auto"/>
              </w:rPr>
            </w:pPr>
          </w:p>
        </w:tc>
      </w:tr>
      <w:tr>
        <w:trPr>
          <w:trHeight w:val="117"/>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net of tax</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344</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(115)</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29</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(276)</w:t>
            </w:r>
          </w:p>
        </w:tc>
        <w:tc>
          <w:tcPr>
            <w:tcW w:w="160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color w:val="auto"/>
              </w:rPr>
              <w:t>9</w:t>
            </w: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66</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(2,091)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(2,034)</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Share of joint ventures and associates</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2</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(74)</w:t>
            </w:r>
          </w:p>
        </w:tc>
        <w:tc>
          <w:tcPr>
            <w:tcW w:w="16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comprehensive loss for the period</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342</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(113)</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29</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(350)</w:t>
            </w:r>
          </w:p>
        </w:tc>
        <w:tc>
          <w:tcPr>
            <w:tcW w:w="160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color w:val="auto"/>
              </w:rPr>
              <w:t>9</w:t>
            </w: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66</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(2,091)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(2,108)</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Less: non-controlling interest</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(35)</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Attributable to Royal Dutch Shell plc shareholders</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307</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(113)</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29</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(350)</w:t>
            </w:r>
          </w:p>
        </w:tc>
        <w:tc>
          <w:tcPr>
            <w:tcW w:w="160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color w:val="auto"/>
              </w:rPr>
              <w:t>9</w:t>
            </w: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66</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(2,091)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(2,143)</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2019</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(9,415)</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793</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8</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(233)</w:t>
            </w:r>
          </w:p>
        </w:tc>
        <w:tc>
          <w:tcPr>
            <w:tcW w:w="16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(2,016)</w:t>
            </w: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(287)</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(13,023)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(24,173)</w:t>
            </w:r>
          </w:p>
        </w:tc>
        <w:tc>
          <w:tcPr>
            <w:tcW w:w="0" w:type="dxa"/>
            <w:vAlign w:val="bottom"/>
          </w:tcPr>
          <w:p>
            <w:pPr>
              <w:spacing w:after="0"/>
              <w:rPr>
                <w:sz w:val="1"/>
                <w:szCs w:val="1"/>
                <w:color w:val="auto"/>
              </w:rPr>
            </w:pPr>
          </w:p>
        </w:tc>
      </w:tr>
      <w:tr>
        <w:trPr>
          <w:trHeight w:val="113"/>
        </w:trPr>
        <w:tc>
          <w:tcPr>
            <w:tcW w:w="3620" w:type="dxa"/>
            <w:vAlign w:val="bottom"/>
          </w:tcPr>
          <w:p>
            <w:pPr>
              <w:spacing w:after="0" w:line="113" w:lineRule="exact"/>
              <w:rPr>
                <w:sz w:val="20"/>
                <w:szCs w:val="20"/>
                <w:color w:val="auto"/>
              </w:rPr>
            </w:pPr>
            <w:r>
              <w:rPr>
                <w:rFonts w:ascii="Arial" w:cs="Arial" w:eastAsia="Arial" w:hAnsi="Arial"/>
                <w:sz w:val="10"/>
                <w:szCs w:val="10"/>
                <w:color w:val="auto"/>
              </w:rPr>
              <w:t>At January 1, 2018</w:t>
            </w:r>
          </w:p>
        </w:tc>
        <w:tc>
          <w:tcPr>
            <w:tcW w:w="800" w:type="dxa"/>
            <w:vAlign w:val="bottom"/>
          </w:tcPr>
          <w:p>
            <w:pPr>
              <w:jc w:val="right"/>
              <w:ind w:right="152"/>
              <w:spacing w:after="0" w:line="113" w:lineRule="exact"/>
              <w:rPr>
                <w:sz w:val="20"/>
                <w:szCs w:val="20"/>
                <w:color w:val="auto"/>
              </w:rPr>
            </w:pPr>
            <w:r>
              <w:rPr>
                <w:rFonts w:ascii="Arial" w:cs="Arial" w:eastAsia="Arial" w:hAnsi="Arial"/>
                <w:sz w:val="10"/>
                <w:szCs w:val="10"/>
                <w:color w:val="auto"/>
              </w:rPr>
              <w:t>(6,711)</w:t>
            </w:r>
          </w:p>
        </w:tc>
        <w:tc>
          <w:tcPr>
            <w:tcW w:w="960" w:type="dxa"/>
            <w:vAlign w:val="bottom"/>
          </w:tcPr>
          <w:p>
            <w:pPr>
              <w:jc w:val="right"/>
              <w:ind w:right="132"/>
              <w:spacing w:after="0" w:line="113" w:lineRule="exact"/>
              <w:rPr>
                <w:sz w:val="20"/>
                <w:szCs w:val="20"/>
                <w:color w:val="auto"/>
              </w:rPr>
            </w:pPr>
            <w:r>
              <w:rPr>
                <w:rFonts w:ascii="Arial" w:cs="Arial" w:eastAsia="Arial" w:hAnsi="Arial"/>
                <w:sz w:val="10"/>
                <w:szCs w:val="10"/>
                <w:color w:val="auto"/>
              </w:rPr>
              <w:t>1,975</w:t>
            </w:r>
          </w:p>
        </w:tc>
        <w:tc>
          <w:tcPr>
            <w:tcW w:w="940" w:type="dxa"/>
            <w:vAlign w:val="bottom"/>
          </w:tcPr>
          <w:p>
            <w:pPr>
              <w:jc w:val="right"/>
              <w:ind w:right="32"/>
              <w:spacing w:after="0" w:line="113" w:lineRule="exact"/>
              <w:rPr>
                <w:sz w:val="20"/>
                <w:szCs w:val="20"/>
                <w:color w:val="auto"/>
              </w:rPr>
            </w:pPr>
            <w:r>
              <w:rPr>
                <w:rFonts w:ascii="Arial" w:cs="Arial" w:eastAsia="Arial" w:hAnsi="Arial"/>
                <w:sz w:val="10"/>
                <w:szCs w:val="10"/>
                <w:color w:val="auto"/>
              </w:rPr>
              <w:t>(6)</w:t>
            </w:r>
          </w:p>
        </w:tc>
        <w:tc>
          <w:tcPr>
            <w:tcW w:w="1000" w:type="dxa"/>
            <w:vAlign w:val="bottom"/>
          </w:tcPr>
          <w:p>
            <w:pPr>
              <w:jc w:val="right"/>
              <w:ind w:right="32"/>
              <w:spacing w:after="0" w:line="113" w:lineRule="exact"/>
              <w:rPr>
                <w:sz w:val="20"/>
                <w:szCs w:val="20"/>
                <w:color w:val="auto"/>
              </w:rPr>
            </w:pPr>
            <w:r>
              <w:rPr>
                <w:rFonts w:ascii="Arial" w:cs="Arial" w:eastAsia="Arial" w:hAnsi="Arial"/>
                <w:sz w:val="10"/>
                <w:szCs w:val="10"/>
                <w:color w:val="auto"/>
              </w:rPr>
              <w:t>(627)</w:t>
            </w:r>
          </w:p>
        </w:tc>
        <w:tc>
          <w:tcPr>
            <w:tcW w:w="1600" w:type="dxa"/>
            <w:vAlign w:val="bottom"/>
          </w:tcPr>
          <w:p>
            <w:pPr>
              <w:jc w:val="right"/>
              <w:ind w:right="612"/>
              <w:spacing w:after="0" w:line="113" w:lineRule="exact"/>
              <w:rPr>
                <w:sz w:val="20"/>
                <w:szCs w:val="20"/>
                <w:color w:val="auto"/>
              </w:rPr>
            </w:pPr>
            <w:r>
              <w:rPr>
                <w:rFonts w:ascii="Arial" w:cs="Arial" w:eastAsia="Arial" w:hAnsi="Arial"/>
                <w:sz w:val="10"/>
                <w:szCs w:val="10"/>
                <w:color w:val="auto"/>
              </w:rPr>
              <w:t>(2,024)</w:t>
            </w:r>
          </w:p>
        </w:tc>
        <w:tc>
          <w:tcPr>
            <w:tcW w:w="540" w:type="dxa"/>
            <w:vAlign w:val="bottom"/>
          </w:tcPr>
          <w:p>
            <w:pPr>
              <w:jc w:val="right"/>
              <w:ind w:right="152"/>
              <w:spacing w:after="0" w:line="113" w:lineRule="exact"/>
              <w:rPr>
                <w:sz w:val="20"/>
                <w:szCs w:val="20"/>
                <w:color w:val="auto"/>
              </w:rPr>
            </w:pPr>
            <w:r>
              <w:rPr>
                <w:rFonts w:ascii="Arial" w:cs="Arial" w:eastAsia="Arial" w:hAnsi="Arial"/>
                <w:sz w:val="10"/>
                <w:szCs w:val="10"/>
                <w:color w:val="auto"/>
              </w:rPr>
              <w:t>(144)</w:t>
            </w:r>
          </w:p>
        </w:tc>
        <w:tc>
          <w:tcPr>
            <w:tcW w:w="1140" w:type="dxa"/>
            <w:vAlign w:val="bottom"/>
          </w:tcPr>
          <w:p>
            <w:pPr>
              <w:jc w:val="right"/>
              <w:ind w:right="272"/>
              <w:spacing w:after="0" w:line="113" w:lineRule="exact"/>
              <w:rPr>
                <w:sz w:val="20"/>
                <w:szCs w:val="20"/>
                <w:color w:val="auto"/>
              </w:rPr>
            </w:pPr>
            <w:r>
              <w:rPr>
                <w:rFonts w:ascii="Arial" w:cs="Arial" w:eastAsia="Arial" w:hAnsi="Arial"/>
                <w:sz w:val="10"/>
                <w:szCs w:val="10"/>
                <w:color w:val="auto"/>
              </w:rPr>
              <w:t>(14,645)</w:t>
            </w:r>
          </w:p>
        </w:tc>
        <w:tc>
          <w:tcPr>
            <w:tcW w:w="700" w:type="dxa"/>
            <w:vAlign w:val="bottom"/>
          </w:tcPr>
          <w:p>
            <w:pPr>
              <w:jc w:val="right"/>
              <w:spacing w:after="0" w:line="113" w:lineRule="exact"/>
              <w:rPr>
                <w:sz w:val="20"/>
                <w:szCs w:val="20"/>
                <w:color w:val="auto"/>
              </w:rPr>
            </w:pPr>
            <w:r>
              <w:rPr>
                <w:rFonts w:ascii="Arial" w:cs="Arial" w:eastAsia="Arial" w:hAnsi="Arial"/>
                <w:sz w:val="10"/>
                <w:szCs w:val="10"/>
                <w:color w:val="auto"/>
              </w:rPr>
              <w:t>(22,182)</w:t>
            </w:r>
          </w:p>
        </w:tc>
        <w:tc>
          <w:tcPr>
            <w:tcW w:w="0" w:type="dxa"/>
            <w:vAlign w:val="bottom"/>
          </w:tcPr>
          <w:p>
            <w:pPr>
              <w:spacing w:after="0"/>
              <w:rPr>
                <w:sz w:val="1"/>
                <w:szCs w:val="1"/>
                <w:color w:val="auto"/>
              </w:rPr>
            </w:pPr>
          </w:p>
        </w:tc>
      </w:tr>
      <w:tr>
        <w:trPr>
          <w:trHeight w:val="123"/>
        </w:trPr>
        <w:tc>
          <w:tcPr>
            <w:tcW w:w="3620" w:type="dxa"/>
            <w:vAlign w:val="bottom"/>
          </w:tcPr>
          <w:p>
            <w:pPr>
              <w:spacing w:after="0"/>
              <w:rPr>
                <w:sz w:val="20"/>
                <w:szCs w:val="20"/>
                <w:color w:val="auto"/>
              </w:rPr>
            </w:pPr>
            <w:r>
              <w:rPr>
                <w:rFonts w:ascii="Arial" w:cs="Arial" w:eastAsia="Arial" w:hAnsi="Arial"/>
                <w:sz w:val="10"/>
                <w:szCs w:val="10"/>
                <w:color w:val="auto"/>
              </w:rPr>
              <w:t>Recognised in other comprehensive income</w:t>
            </w:r>
          </w:p>
        </w:tc>
        <w:tc>
          <w:tcPr>
            <w:tcW w:w="800" w:type="dxa"/>
            <w:vAlign w:val="bottom"/>
          </w:tcPr>
          <w:p>
            <w:pPr>
              <w:jc w:val="right"/>
              <w:ind w:right="152"/>
              <w:spacing w:after="0"/>
              <w:rPr>
                <w:sz w:val="20"/>
                <w:szCs w:val="20"/>
                <w:color w:val="auto"/>
              </w:rPr>
            </w:pPr>
            <w:r>
              <w:rPr>
                <w:rFonts w:ascii="Arial" w:cs="Arial" w:eastAsia="Arial" w:hAnsi="Arial"/>
                <w:sz w:val="10"/>
                <w:szCs w:val="10"/>
                <w:color w:val="auto"/>
              </w:rPr>
              <w:t>(3,793)</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(147)</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(15)</w:t>
            </w:r>
          </w:p>
        </w:tc>
        <w:tc>
          <w:tcPr>
            <w:tcW w:w="1000" w:type="dxa"/>
            <w:vAlign w:val="bottom"/>
          </w:tcPr>
          <w:p>
            <w:pPr>
              <w:jc w:val="right"/>
              <w:ind w:right="52"/>
              <w:spacing w:after="0"/>
              <w:rPr>
                <w:sz w:val="20"/>
                <w:szCs w:val="20"/>
                <w:color w:val="auto"/>
              </w:rPr>
            </w:pPr>
            <w:r>
              <w:rPr>
                <w:rFonts w:ascii="Arial" w:cs="Arial" w:eastAsia="Arial" w:hAnsi="Arial"/>
                <w:sz w:val="10"/>
                <w:szCs w:val="10"/>
                <w:color w:val="auto"/>
              </w:rPr>
              <w:t>50</w:t>
            </w:r>
          </w:p>
        </w:tc>
        <w:tc>
          <w:tcPr>
            <w:tcW w:w="1600" w:type="dxa"/>
            <w:vAlign w:val="bottom"/>
          </w:tcPr>
          <w:p>
            <w:pPr>
              <w:jc w:val="right"/>
              <w:ind w:right="612"/>
              <w:spacing w:after="0"/>
              <w:rPr>
                <w:sz w:val="20"/>
                <w:szCs w:val="20"/>
                <w:color w:val="auto"/>
              </w:rPr>
            </w:pPr>
            <w:r>
              <w:rPr>
                <w:rFonts w:ascii="Arial" w:cs="Arial" w:eastAsia="Arial" w:hAnsi="Arial"/>
                <w:sz w:val="10"/>
                <w:szCs w:val="10"/>
                <w:color w:val="auto"/>
              </w:rPr>
              <w:t>(1)</w:t>
            </w:r>
          </w:p>
        </w:tc>
        <w:tc>
          <w:tcPr>
            <w:tcW w:w="540" w:type="dxa"/>
            <w:vAlign w:val="bottom"/>
          </w:tcPr>
          <w:p>
            <w:pPr>
              <w:jc w:val="right"/>
              <w:ind w:right="152"/>
              <w:spacing w:after="0"/>
              <w:rPr>
                <w:sz w:val="20"/>
                <w:szCs w:val="20"/>
                <w:color w:val="auto"/>
              </w:rPr>
            </w:pPr>
            <w:r>
              <w:rPr>
                <w:rFonts w:ascii="Arial" w:cs="Arial" w:eastAsia="Arial" w:hAnsi="Arial"/>
                <w:sz w:val="10"/>
                <w:szCs w:val="10"/>
                <w:color w:val="auto"/>
              </w:rPr>
              <w:t>(362)</w:t>
            </w:r>
          </w:p>
        </w:tc>
        <w:tc>
          <w:tcPr>
            <w:tcW w:w="1140" w:type="dxa"/>
            <w:vAlign w:val="bottom"/>
          </w:tcPr>
          <w:p>
            <w:pPr>
              <w:jc w:val="right"/>
              <w:ind w:right="312"/>
              <w:spacing w:after="0"/>
              <w:rPr>
                <w:sz w:val="20"/>
                <w:szCs w:val="20"/>
                <w:color w:val="auto"/>
              </w:rPr>
            </w:pPr>
            <w:r>
              <w:rPr>
                <w:rFonts w:ascii="Arial" w:cs="Arial" w:eastAsia="Arial" w:hAnsi="Arial"/>
                <w:sz w:val="10"/>
                <w:szCs w:val="10"/>
                <w:color w:val="auto"/>
              </w:rPr>
              <w:t>5,213</w:t>
            </w:r>
          </w:p>
        </w:tc>
        <w:tc>
          <w:tcPr>
            <w:tcW w:w="700" w:type="dxa"/>
            <w:vAlign w:val="bottom"/>
          </w:tcPr>
          <w:p>
            <w:pPr>
              <w:jc w:val="right"/>
              <w:spacing w:after="0"/>
              <w:rPr>
                <w:sz w:val="20"/>
                <w:szCs w:val="20"/>
                <w:color w:val="auto"/>
              </w:rPr>
            </w:pPr>
            <w:r>
              <w:rPr>
                <w:rFonts w:ascii="Arial" w:cs="Arial" w:eastAsia="Arial" w:hAnsi="Arial"/>
                <w:sz w:val="10"/>
                <w:szCs w:val="10"/>
                <w:color w:val="auto"/>
              </w:rPr>
              <w:t>945</w:t>
            </w:r>
          </w:p>
        </w:tc>
        <w:tc>
          <w:tcPr>
            <w:tcW w:w="0" w:type="dxa"/>
            <w:vAlign w:val="bottom"/>
          </w:tcPr>
          <w:p>
            <w:pPr>
              <w:spacing w:after="0"/>
              <w:rPr>
                <w:sz w:val="1"/>
                <w:szCs w:val="1"/>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Reclassified to income</w:t>
            </w:r>
          </w:p>
        </w:tc>
        <w:tc>
          <w:tcPr>
            <w:tcW w:w="800" w:type="dxa"/>
            <w:vAlign w:val="bottom"/>
          </w:tcPr>
          <w:p>
            <w:pPr>
              <w:jc w:val="right"/>
              <w:ind w:right="172"/>
              <w:spacing w:after="0"/>
              <w:rPr>
                <w:sz w:val="20"/>
                <w:szCs w:val="20"/>
                <w:color w:val="auto"/>
              </w:rPr>
            </w:pPr>
            <w:r>
              <w:rPr>
                <w:rFonts w:ascii="Arial" w:cs="Arial" w:eastAsia="Arial" w:hAnsi="Arial"/>
                <w:sz w:val="10"/>
                <w:szCs w:val="10"/>
                <w:color w:val="auto"/>
              </w:rPr>
              <w:t>651</w:t>
            </w:r>
          </w:p>
        </w:tc>
        <w:tc>
          <w:tcPr>
            <w:tcW w:w="9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52"/>
              <w:spacing w:after="0"/>
              <w:rPr>
                <w:sz w:val="20"/>
                <w:szCs w:val="20"/>
                <w:color w:val="auto"/>
              </w:rPr>
            </w:pPr>
            <w:r>
              <w:rPr>
                <w:rFonts w:ascii="Arial" w:cs="Arial" w:eastAsia="Arial" w:hAnsi="Arial"/>
                <w:sz w:val="10"/>
                <w:szCs w:val="10"/>
                <w:color w:val="auto"/>
              </w:rPr>
              <w:t>722</w:t>
            </w:r>
          </w:p>
        </w:tc>
        <w:tc>
          <w:tcPr>
            <w:tcW w:w="1600" w:type="dxa"/>
            <w:vAlign w:val="bottom"/>
          </w:tcPr>
          <w:p>
            <w:pPr>
              <w:jc w:val="right"/>
              <w:ind w:right="632"/>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72"/>
              <w:spacing w:after="0"/>
              <w:rPr>
                <w:sz w:val="20"/>
                <w:szCs w:val="20"/>
                <w:color w:val="auto"/>
              </w:rPr>
            </w:pPr>
            <w:r>
              <w:rPr>
                <w:rFonts w:ascii="Arial" w:cs="Arial" w:eastAsia="Arial" w:hAnsi="Arial"/>
                <w:sz w:val="10"/>
                <w:szCs w:val="10"/>
                <w:color w:val="auto"/>
              </w:rPr>
              <w:t>95</w:t>
            </w:r>
          </w:p>
        </w:tc>
        <w:tc>
          <w:tcPr>
            <w:tcW w:w="114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1,468</w:t>
            </w:r>
          </w:p>
        </w:tc>
        <w:tc>
          <w:tcPr>
            <w:tcW w:w="0" w:type="dxa"/>
            <w:vAlign w:val="bottom"/>
          </w:tcPr>
          <w:p>
            <w:pPr>
              <w:spacing w:after="0"/>
              <w:rPr>
                <w:sz w:val="1"/>
                <w:szCs w:val="1"/>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Reclassified to the balance sheet</w:t>
            </w:r>
          </w:p>
        </w:tc>
        <w:tc>
          <w:tcPr>
            <w:tcW w:w="8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(30)</w:t>
            </w:r>
          </w:p>
        </w:tc>
        <w:tc>
          <w:tcPr>
            <w:tcW w:w="1600" w:type="dxa"/>
            <w:vAlign w:val="bottom"/>
          </w:tcPr>
          <w:p>
            <w:pPr>
              <w:spacing w:after="0"/>
              <w:rPr>
                <w:sz w:val="10"/>
                <w:szCs w:val="10"/>
                <w:color w:val="auto"/>
              </w:rPr>
            </w:pPr>
          </w:p>
        </w:tc>
        <w:tc>
          <w:tcPr>
            <w:tcW w:w="54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0"/>
                <w:szCs w:val="10"/>
                <w:color w:val="auto"/>
              </w:rPr>
              <w:t>Reclassified to retained earnings</w:t>
            </w:r>
          </w:p>
        </w:tc>
        <w:tc>
          <w:tcPr>
            <w:tcW w:w="8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(1,108)</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54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312"/>
              <w:spacing w:after="0"/>
              <w:rPr>
                <w:sz w:val="20"/>
                <w:szCs w:val="20"/>
                <w:color w:val="auto"/>
              </w:rPr>
            </w:pPr>
            <w:r>
              <w:rPr>
                <w:rFonts w:ascii="Arial" w:cs="Arial" w:eastAsia="Arial" w:hAnsi="Arial"/>
                <w:sz w:val="10"/>
                <w:szCs w:val="10"/>
                <w:color w:val="auto"/>
              </w:rPr>
              <w:t>137</w:t>
            </w:r>
          </w:p>
        </w:tc>
        <w:tc>
          <w:tcPr>
            <w:tcW w:w="700" w:type="dxa"/>
            <w:vAlign w:val="bottom"/>
          </w:tcPr>
          <w:p>
            <w:pPr>
              <w:jc w:val="right"/>
              <w:spacing w:after="0"/>
              <w:rPr>
                <w:sz w:val="20"/>
                <w:szCs w:val="20"/>
                <w:color w:val="auto"/>
              </w:rPr>
            </w:pPr>
            <w:r>
              <w:rPr>
                <w:rFonts w:ascii="Arial" w:cs="Arial" w:eastAsia="Arial" w:hAnsi="Arial"/>
                <w:sz w:val="10"/>
                <w:szCs w:val="10"/>
                <w:color w:val="auto"/>
              </w:rPr>
              <w:t>(971)</w:t>
            </w:r>
          </w:p>
        </w:tc>
        <w:tc>
          <w:tcPr>
            <w:tcW w:w="0" w:type="dxa"/>
            <w:vAlign w:val="bottom"/>
          </w:tcPr>
          <w:p>
            <w:pPr>
              <w:spacing w:after="0"/>
              <w:rPr>
                <w:sz w:val="1"/>
                <w:szCs w:val="1"/>
                <w:color w:val="auto"/>
              </w:rPr>
            </w:pPr>
          </w:p>
        </w:tc>
      </w:tr>
      <w:tr>
        <w:trPr>
          <w:trHeight w:val="130"/>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Tax on amounts recognised/reclassified</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(29)</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(6)</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(12)</w:t>
            </w:r>
          </w:p>
        </w:tc>
        <w:tc>
          <w:tcPr>
            <w:tcW w:w="16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58</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(1,625)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(1,614)</w:t>
            </w:r>
          </w:p>
        </w:tc>
        <w:tc>
          <w:tcPr>
            <w:tcW w:w="0" w:type="dxa"/>
            <w:vAlign w:val="bottom"/>
          </w:tcPr>
          <w:p>
            <w:pPr>
              <w:spacing w:after="0"/>
              <w:rPr>
                <w:sz w:val="1"/>
                <w:szCs w:val="1"/>
                <w:color w:val="auto"/>
              </w:rPr>
            </w:pPr>
          </w:p>
        </w:tc>
      </w:tr>
      <w:tr>
        <w:trPr>
          <w:trHeight w:val="117"/>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net of tax</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(3,171)</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(1,261)</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(15)</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730</w:t>
            </w:r>
          </w:p>
        </w:tc>
        <w:tc>
          <w:tcPr>
            <w:tcW w:w="16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(1)</w:t>
            </w: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(209)</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3,725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Share of joint ventures and associates</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(25)</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193</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14</w:t>
            </w:r>
          </w:p>
        </w:tc>
        <w:tc>
          <w:tcPr>
            <w:tcW w:w="16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183</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comprehensive loss/income for the period</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(3,196)</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(1,068)</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(15)</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744</w:t>
            </w:r>
          </w:p>
        </w:tc>
        <w:tc>
          <w:tcPr>
            <w:tcW w:w="16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(1)</w:t>
            </w: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(209)</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3,726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Less: non-controlling interest</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185</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171</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Attributable to Royal Dutch Shell plc shareholders</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(3,011)</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(1,069)</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(15)</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744</w:t>
            </w:r>
          </w:p>
        </w:tc>
        <w:tc>
          <w:tcPr>
            <w:tcW w:w="16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(1)</w:t>
            </w: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(209)</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3,713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152</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 2018</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(9,722)</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906</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(21)</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117</w:t>
            </w:r>
          </w:p>
        </w:tc>
        <w:tc>
          <w:tcPr>
            <w:tcW w:w="16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(2,025)</w:t>
            </w: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(353)</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(10,932)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(22,030)</w:t>
            </w:r>
          </w:p>
        </w:tc>
        <w:tc>
          <w:tcPr>
            <w:tcW w:w="0" w:type="dxa"/>
            <w:vAlign w:val="bottom"/>
          </w:tcPr>
          <w:p>
            <w:pPr>
              <w:spacing w:after="0"/>
              <w:rPr>
                <w:sz w:val="1"/>
                <w:szCs w:val="1"/>
                <w:color w:val="auto"/>
              </w:rPr>
            </w:pPr>
          </w:p>
        </w:tc>
      </w:tr>
      <w:tr>
        <w:trPr>
          <w:trHeight w:val="128"/>
        </w:trPr>
        <w:tc>
          <w:tcPr>
            <w:tcW w:w="8920" w:type="dxa"/>
            <w:vAlign w:val="bottom"/>
            <w:gridSpan w:val="6"/>
          </w:tcPr>
          <w:p>
            <w:pPr>
              <w:spacing w:after="0"/>
              <w:rPr>
                <w:sz w:val="20"/>
                <w:szCs w:val="20"/>
                <w:color w:val="auto"/>
              </w:rPr>
            </w:pPr>
            <w:r>
              <w:rPr>
                <w:rFonts w:ascii="Arial" w:cs="Arial" w:eastAsia="Arial" w:hAnsi="Arial"/>
                <w:sz w:val="7"/>
                <w:szCs w:val="7"/>
                <w:color w:val="auto"/>
                <w:w w:val="92"/>
              </w:rPr>
              <w:t>[A] As from 2020, 'Net investment hedging (losses)/gains" are presented separately. Prior to 2020, these were aggregated within 'Currency translation differences' and 'Cash flow hedging (losses)/gains'. Prior period comparatives for these categories have been revised to conform with current year presentation.</w:t>
            </w: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1"/>
        </w:trPr>
        <w:tc>
          <w:tcPr>
            <w:tcW w:w="3620" w:type="dxa"/>
            <w:vAlign w:val="bottom"/>
          </w:tcPr>
          <w:p>
            <w:pPr>
              <w:spacing w:after="0"/>
              <w:rPr>
                <w:sz w:val="20"/>
                <w:szCs w:val="20"/>
                <w:color w:val="auto"/>
              </w:rPr>
            </w:pPr>
            <w:r>
              <w:rPr>
                <w:rFonts w:ascii="Arial" w:cs="Arial" w:eastAsia="Arial" w:hAnsi="Arial"/>
                <w:sz w:val="7"/>
                <w:szCs w:val="7"/>
                <w:color w:val="auto"/>
              </w:rPr>
              <w:t>FINANCIAL STATEMENTS AND SUPPLEMENTS SHELL FORM 20-F 2020</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jc w:val="right"/>
              <w:ind w:right="632"/>
              <w:spacing w:after="0"/>
              <w:rPr>
                <w:sz w:val="20"/>
                <w:szCs w:val="20"/>
                <w:color w:val="auto"/>
              </w:rPr>
            </w:pPr>
            <w:r>
              <w:rPr>
                <w:rFonts w:ascii="Arial" w:cs="Arial" w:eastAsia="Arial" w:hAnsi="Arial"/>
                <w:sz w:val="7"/>
                <w:szCs w:val="7"/>
                <w:color w:val="auto"/>
              </w:rPr>
              <w:t>206</w:t>
            </w: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09" w:name="page210"/>
    <w:bookmarkEnd w:id="209"/>
    <w:p>
      <w:pPr>
        <w:spacing w:after="0"/>
        <w:rPr>
          <w:sz w:val="20"/>
          <w:szCs w:val="20"/>
          <w:color w:val="auto"/>
        </w:rPr>
      </w:pPr>
      <w:r>
        <w:rPr>
          <w:rFonts w:ascii="Arial" w:cs="Arial" w:eastAsia="Arial" w:hAnsi="Arial"/>
          <w:sz w:val="11"/>
          <w:szCs w:val="11"/>
          <w:color w:val="auto"/>
        </w:rPr>
        <w:t>23 – DIVIDENDS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6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Interim dividends</w:t>
            </w:r>
          </w:p>
        </w:tc>
        <w:tc>
          <w:tcPr>
            <w:tcW w:w="1140" w:type="dxa"/>
            <w:vAlign w:val="bottom"/>
            <w:tcBorders>
              <w:top w:val="single" w:sz="8" w:color="CDCDCD"/>
            </w:tcBorders>
          </w:tcPr>
          <w:p>
            <w:pPr>
              <w:spacing w:after="0"/>
              <w:rPr>
                <w:sz w:val="13"/>
                <w:szCs w:val="13"/>
                <w:color w:val="auto"/>
              </w:rPr>
            </w:pPr>
          </w:p>
        </w:tc>
        <w:tc>
          <w:tcPr>
            <w:tcW w:w="1480" w:type="dxa"/>
            <w:vAlign w:val="bottom"/>
            <w:tcBorders>
              <w:top w:val="single" w:sz="8" w:color="CDCDCD"/>
            </w:tcBorders>
          </w:tcPr>
          <w:p>
            <w:pPr>
              <w:spacing w:after="0"/>
              <w:rPr>
                <w:sz w:val="13"/>
                <w:szCs w:val="13"/>
                <w:color w:val="auto"/>
              </w:rPr>
            </w:pPr>
          </w:p>
        </w:tc>
        <w:tc>
          <w:tcPr>
            <w:tcW w:w="860" w:type="dxa"/>
            <w:vAlign w:val="bottom"/>
            <w:tcBorders>
              <w:top w:val="single" w:sz="8" w:color="CDCDCD"/>
            </w:tcBorders>
          </w:tcPr>
          <w:p>
            <w:pPr>
              <w:ind w:left="360"/>
              <w:spacing w:after="0"/>
              <w:rPr>
                <w:sz w:val="20"/>
                <w:szCs w:val="20"/>
                <w:color w:val="auto"/>
              </w:rPr>
            </w:pPr>
            <w:r>
              <w:rPr>
                <w:rFonts w:ascii="Arial" w:cs="Arial" w:eastAsia="Arial" w:hAnsi="Arial"/>
                <w:sz w:val="10"/>
                <w:szCs w:val="10"/>
                <w:color w:val="auto"/>
                <w:w w:val="90"/>
              </w:rPr>
              <w:t>$ per share</w:t>
            </w:r>
          </w:p>
        </w:tc>
        <w:tc>
          <w:tcPr>
            <w:tcW w:w="1440" w:type="dxa"/>
            <w:vAlign w:val="bottom"/>
            <w:tcBorders>
              <w:top w:val="single" w:sz="8" w:color="CDCDCD"/>
            </w:tcBorders>
          </w:tcPr>
          <w:p>
            <w:pPr>
              <w:spacing w:after="0"/>
              <w:rPr>
                <w:sz w:val="13"/>
                <w:szCs w:val="13"/>
                <w:color w:val="auto"/>
              </w:rPr>
            </w:pPr>
          </w:p>
        </w:tc>
        <w:tc>
          <w:tcPr>
            <w:tcW w:w="1960" w:type="dxa"/>
            <w:vAlign w:val="bottom"/>
            <w:tcBorders>
              <w:top w:val="single" w:sz="8" w:color="CDCDCD"/>
            </w:tcBorders>
          </w:tcPr>
          <w:p>
            <w:pPr>
              <w:spacing w:after="0"/>
              <w:rPr>
                <w:sz w:val="13"/>
                <w:szCs w:val="13"/>
                <w:color w:val="auto"/>
              </w:rPr>
            </w:pPr>
          </w:p>
        </w:tc>
        <w:tc>
          <w:tcPr>
            <w:tcW w:w="2360" w:type="dxa"/>
            <w:vAlign w:val="bottom"/>
            <w:tcBorders>
              <w:top w:val="single" w:sz="8" w:color="CDCDCD"/>
            </w:tcBorders>
            <w:gridSpan w:val="2"/>
          </w:tcPr>
          <w:p>
            <w:pPr>
              <w:jc w:val="right"/>
              <w:ind w:right="1460"/>
              <w:spacing w:after="0"/>
              <w:rPr>
                <w:sz w:val="20"/>
                <w:szCs w:val="20"/>
                <w:color w:val="auto"/>
              </w:rPr>
            </w:pPr>
            <w:r>
              <w:rPr>
                <w:rFonts w:ascii="Arial" w:cs="Arial" w:eastAsia="Arial" w:hAnsi="Arial"/>
                <w:sz w:val="10"/>
                <w:szCs w:val="10"/>
                <w:color w:val="auto"/>
              </w:rPr>
              <w:t>$ million</w:t>
            </w:r>
          </w:p>
        </w:tc>
      </w:tr>
      <w:tr>
        <w:trPr>
          <w:trHeight w:val="115"/>
        </w:trPr>
        <w:tc>
          <w:tcPr>
            <w:tcW w:w="2060" w:type="dxa"/>
            <w:vAlign w:val="bottom"/>
            <w:tcBorders>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4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0"/>
                <w:szCs w:val="10"/>
                <w:color w:val="auto"/>
              </w:rPr>
              <w:t>2019</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0"/>
                <w:szCs w:val="10"/>
                <w:color w:val="auto"/>
                <w:w w:val="98"/>
              </w:rPr>
              <w:t>2018</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9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0"/>
                <w:szCs w:val="10"/>
                <w:color w:val="auto"/>
              </w:rPr>
              <w:t>2019</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1460" w:type="dxa"/>
            <w:vAlign w:val="bottom"/>
          </w:tcPr>
          <w:p>
            <w:pPr>
              <w:spacing w:after="0"/>
              <w:rPr>
                <w:sz w:val="10"/>
                <w:szCs w:val="10"/>
                <w:color w:val="auto"/>
              </w:rPr>
            </w:pPr>
          </w:p>
        </w:tc>
      </w:tr>
      <w:tr>
        <w:trPr>
          <w:trHeight w:val="113"/>
        </w:trPr>
        <w:tc>
          <w:tcPr>
            <w:tcW w:w="2060" w:type="dxa"/>
            <w:vAlign w:val="bottom"/>
          </w:tcPr>
          <w:p>
            <w:pPr>
              <w:spacing w:after="0" w:line="113" w:lineRule="exact"/>
              <w:rPr>
                <w:sz w:val="20"/>
                <w:szCs w:val="20"/>
                <w:color w:val="auto"/>
              </w:rPr>
            </w:pPr>
            <w:r>
              <w:rPr>
                <w:rFonts w:ascii="Arial" w:cs="Arial" w:eastAsia="Arial" w:hAnsi="Arial"/>
                <w:sz w:val="10"/>
                <w:szCs w:val="10"/>
                <w:color w:val="auto"/>
              </w:rPr>
              <w:t>A shares:</w:t>
            </w:r>
          </w:p>
        </w:tc>
        <w:tc>
          <w:tcPr>
            <w:tcW w:w="1140" w:type="dxa"/>
            <w:vAlign w:val="bottom"/>
            <w:shd w:val="clear" w:color="auto" w:fill="D9D9D9"/>
          </w:tcPr>
          <w:p>
            <w:pPr>
              <w:spacing w:after="0"/>
              <w:rPr>
                <w:sz w:val="9"/>
                <w:szCs w:val="9"/>
                <w:color w:val="auto"/>
              </w:rPr>
            </w:pPr>
          </w:p>
        </w:tc>
        <w:tc>
          <w:tcPr>
            <w:tcW w:w="1480" w:type="dxa"/>
            <w:vAlign w:val="bottom"/>
          </w:tcPr>
          <w:p>
            <w:pPr>
              <w:spacing w:after="0"/>
              <w:rPr>
                <w:sz w:val="9"/>
                <w:szCs w:val="9"/>
                <w:color w:val="auto"/>
              </w:rPr>
            </w:pPr>
          </w:p>
        </w:tc>
        <w:tc>
          <w:tcPr>
            <w:tcW w:w="860" w:type="dxa"/>
            <w:vAlign w:val="bottom"/>
            <w:tcBorders>
              <w:right w:val="single" w:sz="8" w:color="D9D9D9"/>
            </w:tcBorders>
          </w:tcPr>
          <w:p>
            <w:pPr>
              <w:spacing w:after="0"/>
              <w:rPr>
                <w:sz w:val="9"/>
                <w:szCs w:val="9"/>
                <w:color w:val="auto"/>
              </w:rPr>
            </w:pPr>
          </w:p>
        </w:tc>
        <w:tc>
          <w:tcPr>
            <w:tcW w:w="1440" w:type="dxa"/>
            <w:vAlign w:val="bottom"/>
            <w:shd w:val="clear" w:color="auto" w:fill="D9D9D9"/>
          </w:tcPr>
          <w:p>
            <w:pPr>
              <w:spacing w:after="0"/>
              <w:rPr>
                <w:sz w:val="9"/>
                <w:szCs w:val="9"/>
                <w:color w:val="auto"/>
              </w:rPr>
            </w:pPr>
          </w:p>
        </w:tc>
        <w:tc>
          <w:tcPr>
            <w:tcW w:w="1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123"/>
        </w:trPr>
        <w:tc>
          <w:tcPr>
            <w:tcW w:w="2060" w:type="dxa"/>
            <w:vAlign w:val="bottom"/>
          </w:tcPr>
          <w:p>
            <w:pPr>
              <w:ind w:left="100"/>
              <w:spacing w:after="0"/>
              <w:rPr>
                <w:sz w:val="20"/>
                <w:szCs w:val="20"/>
                <w:color w:val="auto"/>
              </w:rPr>
            </w:pPr>
            <w:r>
              <w:rPr>
                <w:rFonts w:ascii="Arial" w:cs="Arial" w:eastAsia="Arial" w:hAnsi="Arial"/>
                <w:sz w:val="10"/>
                <w:szCs w:val="10"/>
                <w:color w:val="auto"/>
              </w:rPr>
              <w:t>Cash:</w:t>
            </w:r>
          </w:p>
        </w:tc>
        <w:tc>
          <w:tcPr>
            <w:tcW w:w="1140" w:type="dxa"/>
            <w:vAlign w:val="bottom"/>
            <w:shd w:val="clear" w:color="auto" w:fill="D9D9D9"/>
          </w:tcPr>
          <w:p>
            <w:pPr>
              <w:spacing w:after="0"/>
              <w:rPr>
                <w:sz w:val="10"/>
                <w:szCs w:val="10"/>
                <w:color w:val="auto"/>
              </w:rPr>
            </w:pPr>
          </w:p>
        </w:tc>
        <w:tc>
          <w:tcPr>
            <w:tcW w:w="1480" w:type="dxa"/>
            <w:vAlign w:val="bottom"/>
          </w:tcPr>
          <w:p>
            <w:pPr>
              <w:spacing w:after="0"/>
              <w:rPr>
                <w:sz w:val="10"/>
                <w:szCs w:val="10"/>
                <w:color w:val="auto"/>
              </w:rPr>
            </w:pPr>
          </w:p>
        </w:tc>
        <w:tc>
          <w:tcPr>
            <w:tcW w:w="860" w:type="dxa"/>
            <w:vAlign w:val="bottom"/>
            <w:tcBorders>
              <w:right w:val="single" w:sz="8" w:color="D9D9D9"/>
            </w:tcBorders>
          </w:tcPr>
          <w:p>
            <w:pPr>
              <w:spacing w:after="0"/>
              <w:rPr>
                <w:sz w:val="10"/>
                <w:szCs w:val="10"/>
                <w:color w:val="auto"/>
              </w:rPr>
            </w:pPr>
          </w:p>
        </w:tc>
        <w:tc>
          <w:tcPr>
            <w:tcW w:w="1440" w:type="dxa"/>
            <w:vAlign w:val="bottom"/>
            <w:shd w:val="clear" w:color="auto" w:fill="D9D9D9"/>
          </w:tcPr>
          <w:p>
            <w:pPr>
              <w:spacing w:after="0"/>
              <w:rPr>
                <w:sz w:val="10"/>
                <w:szCs w:val="10"/>
                <w:color w:val="auto"/>
              </w:rPr>
            </w:pPr>
          </w:p>
        </w:tc>
        <w:tc>
          <w:tcPr>
            <w:tcW w:w="1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126"/>
        </w:trPr>
        <w:tc>
          <w:tcPr>
            <w:tcW w:w="2060" w:type="dxa"/>
            <w:vAlign w:val="bottom"/>
          </w:tcPr>
          <w:p>
            <w:pPr>
              <w:ind w:left="160"/>
              <w:spacing w:after="0"/>
              <w:rPr>
                <w:sz w:val="20"/>
                <w:szCs w:val="20"/>
                <w:color w:val="auto"/>
              </w:rPr>
            </w:pPr>
            <w:r>
              <w:rPr>
                <w:rFonts w:ascii="Arial" w:cs="Arial" w:eastAsia="Arial" w:hAnsi="Arial"/>
                <w:sz w:val="10"/>
                <w:szCs w:val="10"/>
                <w:color w:val="auto"/>
              </w:rPr>
              <w:t>March</w:t>
            </w:r>
          </w:p>
        </w:tc>
        <w:tc>
          <w:tcPr>
            <w:tcW w:w="11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0.47</w:t>
            </w:r>
          </w:p>
        </w:tc>
        <w:tc>
          <w:tcPr>
            <w:tcW w:w="1480" w:type="dxa"/>
            <w:vAlign w:val="bottom"/>
          </w:tcPr>
          <w:p>
            <w:pPr>
              <w:ind w:left="920"/>
              <w:spacing w:after="0"/>
              <w:rPr>
                <w:sz w:val="20"/>
                <w:szCs w:val="20"/>
                <w:color w:val="auto"/>
              </w:rPr>
            </w:pPr>
            <w:r>
              <w:rPr>
                <w:rFonts w:ascii="Arial" w:cs="Arial" w:eastAsia="Arial" w:hAnsi="Arial"/>
                <w:sz w:val="10"/>
                <w:szCs w:val="10"/>
                <w:color w:val="auto"/>
              </w:rPr>
              <w:t>0.47</w:t>
            </w:r>
          </w:p>
        </w:tc>
        <w:tc>
          <w:tcPr>
            <w:tcW w:w="860" w:type="dxa"/>
            <w:vAlign w:val="bottom"/>
            <w:tcBorders>
              <w:right w:val="single" w:sz="8" w:color="D9D9D9"/>
            </w:tcBorders>
          </w:tcPr>
          <w:p>
            <w:pPr>
              <w:ind w:left="600"/>
              <w:spacing w:after="0"/>
              <w:rPr>
                <w:sz w:val="20"/>
                <w:szCs w:val="20"/>
                <w:color w:val="auto"/>
              </w:rPr>
            </w:pPr>
            <w:r>
              <w:rPr>
                <w:rFonts w:ascii="Arial" w:cs="Arial" w:eastAsia="Arial" w:hAnsi="Arial"/>
                <w:sz w:val="10"/>
                <w:szCs w:val="10"/>
                <w:color w:val="auto"/>
              </w:rPr>
              <w:t>0.47</w:t>
            </w:r>
          </w:p>
        </w:tc>
        <w:tc>
          <w:tcPr>
            <w:tcW w:w="14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1,862</w:t>
            </w:r>
          </w:p>
        </w:tc>
        <w:tc>
          <w:tcPr>
            <w:tcW w:w="1960" w:type="dxa"/>
            <w:vAlign w:val="bottom"/>
          </w:tcPr>
          <w:p>
            <w:pPr>
              <w:jc w:val="right"/>
              <w:ind w:right="532"/>
              <w:spacing w:after="0"/>
              <w:rPr>
                <w:sz w:val="20"/>
                <w:szCs w:val="20"/>
                <w:color w:val="auto"/>
              </w:rPr>
            </w:pPr>
            <w:r>
              <w:rPr>
                <w:rFonts w:ascii="Arial" w:cs="Arial" w:eastAsia="Arial" w:hAnsi="Arial"/>
                <w:sz w:val="10"/>
                <w:szCs w:val="10"/>
                <w:color w:val="auto"/>
              </w:rPr>
              <w:t>2,100</w:t>
            </w:r>
          </w:p>
        </w:tc>
        <w:tc>
          <w:tcPr>
            <w:tcW w:w="900" w:type="dxa"/>
            <w:vAlign w:val="bottom"/>
          </w:tcPr>
          <w:p>
            <w:pPr>
              <w:jc w:val="right"/>
              <w:spacing w:after="0"/>
              <w:rPr>
                <w:sz w:val="20"/>
                <w:szCs w:val="20"/>
                <w:color w:val="auto"/>
              </w:rPr>
            </w:pPr>
            <w:r>
              <w:rPr>
                <w:rFonts w:ascii="Arial" w:cs="Arial" w:eastAsia="Arial" w:hAnsi="Arial"/>
                <w:sz w:val="10"/>
                <w:szCs w:val="10"/>
                <w:color w:val="auto"/>
              </w:rPr>
              <w:t>2,176</w:t>
            </w:r>
          </w:p>
        </w:tc>
        <w:tc>
          <w:tcPr>
            <w:tcW w:w="1460" w:type="dxa"/>
            <w:vAlign w:val="bottom"/>
          </w:tcPr>
          <w:p>
            <w:pPr>
              <w:spacing w:after="0"/>
              <w:rPr>
                <w:sz w:val="10"/>
                <w:szCs w:val="10"/>
                <w:color w:val="auto"/>
              </w:rPr>
            </w:pPr>
          </w:p>
        </w:tc>
      </w:tr>
      <w:tr>
        <w:trPr>
          <w:trHeight w:val="126"/>
        </w:trPr>
        <w:tc>
          <w:tcPr>
            <w:tcW w:w="2060" w:type="dxa"/>
            <w:vAlign w:val="bottom"/>
          </w:tcPr>
          <w:p>
            <w:pPr>
              <w:ind w:left="160"/>
              <w:spacing w:after="0"/>
              <w:rPr>
                <w:sz w:val="20"/>
                <w:szCs w:val="20"/>
                <w:color w:val="auto"/>
              </w:rPr>
            </w:pPr>
            <w:r>
              <w:rPr>
                <w:rFonts w:ascii="Arial" w:cs="Arial" w:eastAsia="Arial" w:hAnsi="Arial"/>
                <w:sz w:val="10"/>
                <w:szCs w:val="10"/>
                <w:color w:val="auto"/>
              </w:rPr>
              <w:t>June</w:t>
            </w:r>
          </w:p>
        </w:tc>
        <w:tc>
          <w:tcPr>
            <w:tcW w:w="11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0.16</w:t>
            </w:r>
          </w:p>
        </w:tc>
        <w:tc>
          <w:tcPr>
            <w:tcW w:w="1480" w:type="dxa"/>
            <w:vAlign w:val="bottom"/>
          </w:tcPr>
          <w:p>
            <w:pPr>
              <w:ind w:left="920"/>
              <w:spacing w:after="0"/>
              <w:rPr>
                <w:sz w:val="20"/>
                <w:szCs w:val="20"/>
                <w:color w:val="auto"/>
              </w:rPr>
            </w:pPr>
            <w:r>
              <w:rPr>
                <w:rFonts w:ascii="Arial" w:cs="Arial" w:eastAsia="Arial" w:hAnsi="Arial"/>
                <w:sz w:val="10"/>
                <w:szCs w:val="10"/>
                <w:color w:val="auto"/>
              </w:rPr>
              <w:t>0.47</w:t>
            </w:r>
          </w:p>
        </w:tc>
        <w:tc>
          <w:tcPr>
            <w:tcW w:w="860" w:type="dxa"/>
            <w:vAlign w:val="bottom"/>
            <w:tcBorders>
              <w:right w:val="single" w:sz="8" w:color="D9D9D9"/>
            </w:tcBorders>
          </w:tcPr>
          <w:p>
            <w:pPr>
              <w:ind w:left="600"/>
              <w:spacing w:after="0"/>
              <w:rPr>
                <w:sz w:val="20"/>
                <w:szCs w:val="20"/>
                <w:color w:val="auto"/>
              </w:rPr>
            </w:pPr>
            <w:r>
              <w:rPr>
                <w:rFonts w:ascii="Arial" w:cs="Arial" w:eastAsia="Arial" w:hAnsi="Arial"/>
                <w:sz w:val="10"/>
                <w:szCs w:val="10"/>
                <w:color w:val="auto"/>
              </w:rPr>
              <w:t>0.47</w:t>
            </w:r>
          </w:p>
        </w:tc>
        <w:tc>
          <w:tcPr>
            <w:tcW w:w="14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653</w:t>
            </w:r>
          </w:p>
        </w:tc>
        <w:tc>
          <w:tcPr>
            <w:tcW w:w="1960" w:type="dxa"/>
            <w:vAlign w:val="bottom"/>
          </w:tcPr>
          <w:p>
            <w:pPr>
              <w:jc w:val="right"/>
              <w:ind w:right="532"/>
              <w:spacing w:after="0"/>
              <w:rPr>
                <w:sz w:val="20"/>
                <w:szCs w:val="20"/>
                <w:color w:val="auto"/>
              </w:rPr>
            </w:pPr>
            <w:r>
              <w:rPr>
                <w:rFonts w:ascii="Arial" w:cs="Arial" w:eastAsia="Arial" w:hAnsi="Arial"/>
                <w:sz w:val="10"/>
                <w:szCs w:val="10"/>
                <w:color w:val="auto"/>
              </w:rPr>
              <w:t>2,062</w:t>
            </w:r>
          </w:p>
        </w:tc>
        <w:tc>
          <w:tcPr>
            <w:tcW w:w="900" w:type="dxa"/>
            <w:vAlign w:val="bottom"/>
          </w:tcPr>
          <w:p>
            <w:pPr>
              <w:jc w:val="right"/>
              <w:spacing w:after="0"/>
              <w:rPr>
                <w:sz w:val="20"/>
                <w:szCs w:val="20"/>
                <w:color w:val="auto"/>
              </w:rPr>
            </w:pPr>
            <w:r>
              <w:rPr>
                <w:rFonts w:ascii="Arial" w:cs="Arial" w:eastAsia="Arial" w:hAnsi="Arial"/>
                <w:sz w:val="10"/>
                <w:szCs w:val="10"/>
                <w:color w:val="auto"/>
              </w:rPr>
              <w:t>2,140</w:t>
            </w:r>
          </w:p>
        </w:tc>
        <w:tc>
          <w:tcPr>
            <w:tcW w:w="1460" w:type="dxa"/>
            <w:vAlign w:val="bottom"/>
          </w:tcPr>
          <w:p>
            <w:pPr>
              <w:spacing w:after="0"/>
              <w:rPr>
                <w:sz w:val="10"/>
                <w:szCs w:val="10"/>
                <w:color w:val="auto"/>
              </w:rPr>
            </w:pPr>
          </w:p>
        </w:tc>
      </w:tr>
      <w:tr>
        <w:trPr>
          <w:trHeight w:val="126"/>
        </w:trPr>
        <w:tc>
          <w:tcPr>
            <w:tcW w:w="2060" w:type="dxa"/>
            <w:vAlign w:val="bottom"/>
          </w:tcPr>
          <w:p>
            <w:pPr>
              <w:ind w:left="160"/>
              <w:spacing w:after="0"/>
              <w:rPr>
                <w:sz w:val="20"/>
                <w:szCs w:val="20"/>
                <w:color w:val="auto"/>
              </w:rPr>
            </w:pPr>
            <w:r>
              <w:rPr>
                <w:rFonts w:ascii="Arial" w:cs="Arial" w:eastAsia="Arial" w:hAnsi="Arial"/>
                <w:sz w:val="10"/>
                <w:szCs w:val="10"/>
                <w:color w:val="auto"/>
              </w:rPr>
              <w:t>September</w:t>
            </w:r>
          </w:p>
        </w:tc>
        <w:tc>
          <w:tcPr>
            <w:tcW w:w="11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0.16</w:t>
            </w:r>
          </w:p>
        </w:tc>
        <w:tc>
          <w:tcPr>
            <w:tcW w:w="1480" w:type="dxa"/>
            <w:vAlign w:val="bottom"/>
          </w:tcPr>
          <w:p>
            <w:pPr>
              <w:ind w:left="920"/>
              <w:spacing w:after="0"/>
              <w:rPr>
                <w:sz w:val="20"/>
                <w:szCs w:val="20"/>
                <w:color w:val="auto"/>
              </w:rPr>
            </w:pPr>
            <w:r>
              <w:rPr>
                <w:rFonts w:ascii="Arial" w:cs="Arial" w:eastAsia="Arial" w:hAnsi="Arial"/>
                <w:sz w:val="10"/>
                <w:szCs w:val="10"/>
                <w:color w:val="auto"/>
              </w:rPr>
              <w:t>0.47</w:t>
            </w:r>
          </w:p>
        </w:tc>
        <w:tc>
          <w:tcPr>
            <w:tcW w:w="860" w:type="dxa"/>
            <w:vAlign w:val="bottom"/>
            <w:tcBorders>
              <w:right w:val="single" w:sz="8" w:color="D9D9D9"/>
            </w:tcBorders>
          </w:tcPr>
          <w:p>
            <w:pPr>
              <w:ind w:left="600"/>
              <w:spacing w:after="0"/>
              <w:rPr>
                <w:sz w:val="20"/>
                <w:szCs w:val="20"/>
                <w:color w:val="auto"/>
              </w:rPr>
            </w:pPr>
            <w:r>
              <w:rPr>
                <w:rFonts w:ascii="Arial" w:cs="Arial" w:eastAsia="Arial" w:hAnsi="Arial"/>
                <w:sz w:val="10"/>
                <w:szCs w:val="10"/>
                <w:color w:val="auto"/>
              </w:rPr>
              <w:t>0.47</w:t>
            </w:r>
          </w:p>
        </w:tc>
        <w:tc>
          <w:tcPr>
            <w:tcW w:w="14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654</w:t>
            </w:r>
          </w:p>
        </w:tc>
        <w:tc>
          <w:tcPr>
            <w:tcW w:w="1960" w:type="dxa"/>
            <w:vAlign w:val="bottom"/>
          </w:tcPr>
          <w:p>
            <w:pPr>
              <w:jc w:val="right"/>
              <w:ind w:right="532"/>
              <w:spacing w:after="0"/>
              <w:rPr>
                <w:sz w:val="20"/>
                <w:szCs w:val="20"/>
                <w:color w:val="auto"/>
              </w:rPr>
            </w:pPr>
            <w:r>
              <w:rPr>
                <w:rFonts w:ascii="Arial" w:cs="Arial" w:eastAsia="Arial" w:hAnsi="Arial"/>
                <w:sz w:val="10"/>
                <w:szCs w:val="10"/>
                <w:color w:val="auto"/>
              </w:rPr>
              <w:t>2,007</w:t>
            </w:r>
          </w:p>
        </w:tc>
        <w:tc>
          <w:tcPr>
            <w:tcW w:w="900" w:type="dxa"/>
            <w:vAlign w:val="bottom"/>
          </w:tcPr>
          <w:p>
            <w:pPr>
              <w:jc w:val="right"/>
              <w:spacing w:after="0"/>
              <w:rPr>
                <w:sz w:val="20"/>
                <w:szCs w:val="20"/>
                <w:color w:val="auto"/>
              </w:rPr>
            </w:pPr>
            <w:r>
              <w:rPr>
                <w:rFonts w:ascii="Arial" w:cs="Arial" w:eastAsia="Arial" w:hAnsi="Arial"/>
                <w:sz w:val="10"/>
                <w:szCs w:val="10"/>
                <w:color w:val="auto"/>
              </w:rPr>
              <w:t>2,165</w:t>
            </w:r>
          </w:p>
        </w:tc>
        <w:tc>
          <w:tcPr>
            <w:tcW w:w="1460" w:type="dxa"/>
            <w:vAlign w:val="bottom"/>
          </w:tcPr>
          <w:p>
            <w:pPr>
              <w:spacing w:after="0"/>
              <w:rPr>
                <w:sz w:val="10"/>
                <w:szCs w:val="10"/>
                <w:color w:val="auto"/>
              </w:rPr>
            </w:pPr>
          </w:p>
        </w:tc>
      </w:tr>
      <w:tr>
        <w:trPr>
          <w:trHeight w:val="130"/>
        </w:trPr>
        <w:tc>
          <w:tcPr>
            <w:tcW w:w="2060" w:type="dxa"/>
            <w:vAlign w:val="bottom"/>
            <w:tcBorders>
              <w:bottom w:val="single" w:sz="8" w:color="auto"/>
            </w:tcBorders>
          </w:tcPr>
          <w:p>
            <w:pPr>
              <w:ind w:left="160"/>
              <w:spacing w:after="0"/>
              <w:rPr>
                <w:sz w:val="20"/>
                <w:szCs w:val="20"/>
                <w:color w:val="auto"/>
              </w:rPr>
            </w:pPr>
            <w:r>
              <w:rPr>
                <w:rFonts w:ascii="Arial" w:cs="Arial" w:eastAsia="Arial" w:hAnsi="Arial"/>
                <w:sz w:val="10"/>
                <w:szCs w:val="10"/>
                <w:color w:val="auto"/>
              </w:rPr>
              <w:t>December</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0.1665</w:t>
            </w:r>
          </w:p>
        </w:tc>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0"/>
                <w:szCs w:val="10"/>
                <w:color w:val="auto"/>
              </w:rPr>
              <w:t>0.47</w:t>
            </w:r>
          </w:p>
        </w:tc>
        <w:tc>
          <w:tcPr>
            <w:tcW w:w="860" w:type="dxa"/>
            <w:vAlign w:val="bottom"/>
            <w:tcBorders>
              <w:bottom w:val="single" w:sz="8" w:color="auto"/>
              <w:right w:val="single" w:sz="8" w:color="D9D9D9"/>
            </w:tcBorders>
          </w:tcPr>
          <w:p>
            <w:pPr>
              <w:ind w:left="600"/>
              <w:spacing w:after="0"/>
              <w:rPr>
                <w:sz w:val="20"/>
                <w:szCs w:val="20"/>
                <w:color w:val="auto"/>
              </w:rPr>
            </w:pPr>
            <w:r>
              <w:rPr>
                <w:rFonts w:ascii="Arial" w:cs="Arial" w:eastAsia="Arial" w:hAnsi="Arial"/>
                <w:sz w:val="10"/>
                <w:szCs w:val="10"/>
                <w:color w:val="auto"/>
              </w:rPr>
              <w:t>0.47</w:t>
            </w:r>
          </w:p>
        </w:tc>
        <w:tc>
          <w:tcPr>
            <w:tcW w:w="14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691</w:t>
            </w:r>
          </w:p>
        </w:tc>
        <w:tc>
          <w:tcPr>
            <w:tcW w:w="19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1,978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2,124</w:t>
            </w:r>
          </w:p>
        </w:tc>
        <w:tc>
          <w:tcPr>
            <w:tcW w:w="1460" w:type="dxa"/>
            <w:vAlign w:val="bottom"/>
          </w:tcPr>
          <w:p>
            <w:pPr>
              <w:spacing w:after="0"/>
              <w:rPr>
                <w:sz w:val="11"/>
                <w:szCs w:val="11"/>
                <w:color w:val="auto"/>
              </w:rPr>
            </w:pPr>
          </w:p>
        </w:tc>
      </w:tr>
      <w:tr>
        <w:trPr>
          <w:trHeight w:val="117"/>
        </w:trPr>
        <w:tc>
          <w:tcPr>
            <w:tcW w:w="2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 A shares</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0.9565</w:t>
            </w:r>
          </w:p>
        </w:tc>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0"/>
                <w:szCs w:val="10"/>
                <w:color w:val="auto"/>
              </w:rPr>
              <w:t>1.88</w:t>
            </w:r>
          </w:p>
        </w:tc>
        <w:tc>
          <w:tcPr>
            <w:tcW w:w="860" w:type="dxa"/>
            <w:vAlign w:val="bottom"/>
            <w:tcBorders>
              <w:bottom w:val="single" w:sz="8" w:color="auto"/>
              <w:right w:val="single" w:sz="8" w:color="D9D9D9"/>
            </w:tcBorders>
          </w:tcPr>
          <w:p>
            <w:pPr>
              <w:ind w:left="600"/>
              <w:spacing w:after="0"/>
              <w:rPr>
                <w:sz w:val="20"/>
                <w:szCs w:val="20"/>
                <w:color w:val="auto"/>
              </w:rPr>
            </w:pPr>
            <w:r>
              <w:rPr>
                <w:rFonts w:ascii="Arial" w:cs="Arial" w:eastAsia="Arial" w:hAnsi="Arial"/>
                <w:sz w:val="10"/>
                <w:szCs w:val="10"/>
                <w:color w:val="auto"/>
              </w:rPr>
              <w:t>1.88</w:t>
            </w:r>
          </w:p>
        </w:tc>
        <w:tc>
          <w:tcPr>
            <w:tcW w:w="14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3,860</w:t>
            </w:r>
          </w:p>
        </w:tc>
        <w:tc>
          <w:tcPr>
            <w:tcW w:w="19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8,147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8,605</w:t>
            </w:r>
          </w:p>
        </w:tc>
        <w:tc>
          <w:tcPr>
            <w:tcW w:w="1460" w:type="dxa"/>
            <w:vAlign w:val="bottom"/>
          </w:tcPr>
          <w:p>
            <w:pPr>
              <w:spacing w:after="0"/>
              <w:rPr>
                <w:sz w:val="10"/>
                <w:szCs w:val="10"/>
                <w:color w:val="auto"/>
              </w:rPr>
            </w:pPr>
          </w:p>
        </w:tc>
      </w:tr>
      <w:tr>
        <w:trPr>
          <w:trHeight w:val="113"/>
        </w:trPr>
        <w:tc>
          <w:tcPr>
            <w:tcW w:w="2060" w:type="dxa"/>
            <w:vAlign w:val="bottom"/>
          </w:tcPr>
          <w:p>
            <w:pPr>
              <w:spacing w:after="0" w:line="113" w:lineRule="exact"/>
              <w:rPr>
                <w:sz w:val="20"/>
                <w:szCs w:val="20"/>
                <w:color w:val="auto"/>
              </w:rPr>
            </w:pPr>
            <w:r>
              <w:rPr>
                <w:rFonts w:ascii="Arial" w:cs="Arial" w:eastAsia="Arial" w:hAnsi="Arial"/>
                <w:sz w:val="10"/>
                <w:szCs w:val="10"/>
                <w:color w:val="auto"/>
              </w:rPr>
              <w:t>B shares:</w:t>
            </w:r>
          </w:p>
        </w:tc>
        <w:tc>
          <w:tcPr>
            <w:tcW w:w="1140" w:type="dxa"/>
            <w:vAlign w:val="bottom"/>
            <w:shd w:val="clear" w:color="auto" w:fill="D9D9D9"/>
          </w:tcPr>
          <w:p>
            <w:pPr>
              <w:spacing w:after="0"/>
              <w:rPr>
                <w:sz w:val="9"/>
                <w:szCs w:val="9"/>
                <w:color w:val="auto"/>
              </w:rPr>
            </w:pPr>
          </w:p>
        </w:tc>
        <w:tc>
          <w:tcPr>
            <w:tcW w:w="1480" w:type="dxa"/>
            <w:vAlign w:val="bottom"/>
          </w:tcPr>
          <w:p>
            <w:pPr>
              <w:spacing w:after="0"/>
              <w:rPr>
                <w:sz w:val="9"/>
                <w:szCs w:val="9"/>
                <w:color w:val="auto"/>
              </w:rPr>
            </w:pPr>
          </w:p>
        </w:tc>
        <w:tc>
          <w:tcPr>
            <w:tcW w:w="860" w:type="dxa"/>
            <w:vAlign w:val="bottom"/>
            <w:tcBorders>
              <w:right w:val="single" w:sz="8" w:color="D9D9D9"/>
            </w:tcBorders>
          </w:tcPr>
          <w:p>
            <w:pPr>
              <w:spacing w:after="0"/>
              <w:rPr>
                <w:sz w:val="9"/>
                <w:szCs w:val="9"/>
                <w:color w:val="auto"/>
              </w:rPr>
            </w:pPr>
          </w:p>
        </w:tc>
        <w:tc>
          <w:tcPr>
            <w:tcW w:w="1440" w:type="dxa"/>
            <w:vAlign w:val="bottom"/>
            <w:shd w:val="clear" w:color="auto" w:fill="D9D9D9"/>
          </w:tcPr>
          <w:p>
            <w:pPr>
              <w:spacing w:after="0"/>
              <w:rPr>
                <w:sz w:val="9"/>
                <w:szCs w:val="9"/>
                <w:color w:val="auto"/>
              </w:rPr>
            </w:pPr>
          </w:p>
        </w:tc>
        <w:tc>
          <w:tcPr>
            <w:tcW w:w="1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123"/>
        </w:trPr>
        <w:tc>
          <w:tcPr>
            <w:tcW w:w="2060" w:type="dxa"/>
            <w:vAlign w:val="bottom"/>
          </w:tcPr>
          <w:p>
            <w:pPr>
              <w:ind w:left="80"/>
              <w:spacing w:after="0"/>
              <w:rPr>
                <w:sz w:val="20"/>
                <w:szCs w:val="20"/>
                <w:color w:val="auto"/>
              </w:rPr>
            </w:pPr>
            <w:r>
              <w:rPr>
                <w:rFonts w:ascii="Arial" w:cs="Arial" w:eastAsia="Arial" w:hAnsi="Arial"/>
                <w:sz w:val="10"/>
                <w:szCs w:val="10"/>
                <w:color w:val="auto"/>
              </w:rPr>
              <w:t>Cash:</w:t>
            </w:r>
          </w:p>
        </w:tc>
        <w:tc>
          <w:tcPr>
            <w:tcW w:w="1140" w:type="dxa"/>
            <w:vAlign w:val="bottom"/>
            <w:shd w:val="clear" w:color="auto" w:fill="D9D9D9"/>
          </w:tcPr>
          <w:p>
            <w:pPr>
              <w:spacing w:after="0"/>
              <w:rPr>
                <w:sz w:val="10"/>
                <w:szCs w:val="10"/>
                <w:color w:val="auto"/>
              </w:rPr>
            </w:pPr>
          </w:p>
        </w:tc>
        <w:tc>
          <w:tcPr>
            <w:tcW w:w="1480" w:type="dxa"/>
            <w:vAlign w:val="bottom"/>
          </w:tcPr>
          <w:p>
            <w:pPr>
              <w:spacing w:after="0"/>
              <w:rPr>
                <w:sz w:val="10"/>
                <w:szCs w:val="10"/>
                <w:color w:val="auto"/>
              </w:rPr>
            </w:pPr>
          </w:p>
        </w:tc>
        <w:tc>
          <w:tcPr>
            <w:tcW w:w="860" w:type="dxa"/>
            <w:vAlign w:val="bottom"/>
            <w:tcBorders>
              <w:right w:val="single" w:sz="8" w:color="D9D9D9"/>
            </w:tcBorders>
          </w:tcPr>
          <w:p>
            <w:pPr>
              <w:spacing w:after="0"/>
              <w:rPr>
                <w:sz w:val="10"/>
                <w:szCs w:val="10"/>
                <w:color w:val="auto"/>
              </w:rPr>
            </w:pPr>
          </w:p>
        </w:tc>
        <w:tc>
          <w:tcPr>
            <w:tcW w:w="1440" w:type="dxa"/>
            <w:vAlign w:val="bottom"/>
            <w:shd w:val="clear" w:color="auto" w:fill="D9D9D9"/>
          </w:tcPr>
          <w:p>
            <w:pPr>
              <w:spacing w:after="0"/>
              <w:rPr>
                <w:sz w:val="10"/>
                <w:szCs w:val="10"/>
                <w:color w:val="auto"/>
              </w:rPr>
            </w:pPr>
          </w:p>
        </w:tc>
        <w:tc>
          <w:tcPr>
            <w:tcW w:w="1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126"/>
        </w:trPr>
        <w:tc>
          <w:tcPr>
            <w:tcW w:w="2060" w:type="dxa"/>
            <w:vAlign w:val="bottom"/>
          </w:tcPr>
          <w:p>
            <w:pPr>
              <w:ind w:left="160"/>
              <w:spacing w:after="0"/>
              <w:rPr>
                <w:sz w:val="20"/>
                <w:szCs w:val="20"/>
                <w:color w:val="auto"/>
              </w:rPr>
            </w:pPr>
            <w:r>
              <w:rPr>
                <w:rFonts w:ascii="Arial" w:cs="Arial" w:eastAsia="Arial" w:hAnsi="Arial"/>
                <w:sz w:val="10"/>
                <w:szCs w:val="10"/>
                <w:color w:val="auto"/>
              </w:rPr>
              <w:t>March</w:t>
            </w:r>
          </w:p>
        </w:tc>
        <w:tc>
          <w:tcPr>
            <w:tcW w:w="11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0.47</w:t>
            </w:r>
          </w:p>
        </w:tc>
        <w:tc>
          <w:tcPr>
            <w:tcW w:w="1480" w:type="dxa"/>
            <w:vAlign w:val="bottom"/>
          </w:tcPr>
          <w:p>
            <w:pPr>
              <w:ind w:left="920"/>
              <w:spacing w:after="0"/>
              <w:rPr>
                <w:sz w:val="20"/>
                <w:szCs w:val="20"/>
                <w:color w:val="auto"/>
              </w:rPr>
            </w:pPr>
            <w:r>
              <w:rPr>
                <w:rFonts w:ascii="Arial" w:cs="Arial" w:eastAsia="Arial" w:hAnsi="Arial"/>
                <w:sz w:val="10"/>
                <w:szCs w:val="10"/>
                <w:color w:val="auto"/>
              </w:rPr>
              <w:t>0.47</w:t>
            </w:r>
          </w:p>
        </w:tc>
        <w:tc>
          <w:tcPr>
            <w:tcW w:w="860" w:type="dxa"/>
            <w:vAlign w:val="bottom"/>
            <w:tcBorders>
              <w:right w:val="single" w:sz="8" w:color="D9D9D9"/>
            </w:tcBorders>
          </w:tcPr>
          <w:p>
            <w:pPr>
              <w:ind w:left="600"/>
              <w:spacing w:after="0"/>
              <w:rPr>
                <w:sz w:val="20"/>
                <w:szCs w:val="20"/>
                <w:color w:val="auto"/>
              </w:rPr>
            </w:pPr>
            <w:r>
              <w:rPr>
                <w:rFonts w:ascii="Arial" w:cs="Arial" w:eastAsia="Arial" w:hAnsi="Arial"/>
                <w:sz w:val="10"/>
                <w:szCs w:val="10"/>
                <w:color w:val="auto"/>
              </w:rPr>
              <w:t>0.47</w:t>
            </w:r>
          </w:p>
        </w:tc>
        <w:tc>
          <w:tcPr>
            <w:tcW w:w="14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1,620</w:t>
            </w:r>
          </w:p>
        </w:tc>
        <w:tc>
          <w:tcPr>
            <w:tcW w:w="1960" w:type="dxa"/>
            <w:vAlign w:val="bottom"/>
          </w:tcPr>
          <w:p>
            <w:pPr>
              <w:jc w:val="right"/>
              <w:ind w:right="532"/>
              <w:spacing w:after="0"/>
              <w:rPr>
                <w:sz w:val="20"/>
                <w:szCs w:val="20"/>
                <w:color w:val="auto"/>
              </w:rPr>
            </w:pPr>
            <w:r>
              <w:rPr>
                <w:rFonts w:ascii="Arial" w:cs="Arial" w:eastAsia="Arial" w:hAnsi="Arial"/>
                <w:sz w:val="10"/>
                <w:szCs w:val="10"/>
                <w:color w:val="auto"/>
              </w:rPr>
              <w:t>1,775</w:t>
            </w:r>
          </w:p>
        </w:tc>
        <w:tc>
          <w:tcPr>
            <w:tcW w:w="900" w:type="dxa"/>
            <w:vAlign w:val="bottom"/>
          </w:tcPr>
          <w:p>
            <w:pPr>
              <w:jc w:val="right"/>
              <w:spacing w:after="0"/>
              <w:rPr>
                <w:sz w:val="20"/>
                <w:szCs w:val="20"/>
                <w:color w:val="auto"/>
              </w:rPr>
            </w:pPr>
            <w:r>
              <w:rPr>
                <w:rFonts w:ascii="Arial" w:cs="Arial" w:eastAsia="Arial" w:hAnsi="Arial"/>
                <w:sz w:val="10"/>
                <w:szCs w:val="10"/>
                <w:color w:val="auto"/>
              </w:rPr>
              <w:t>1,794</w:t>
            </w:r>
          </w:p>
        </w:tc>
        <w:tc>
          <w:tcPr>
            <w:tcW w:w="1460" w:type="dxa"/>
            <w:vAlign w:val="bottom"/>
          </w:tcPr>
          <w:p>
            <w:pPr>
              <w:spacing w:after="0"/>
              <w:rPr>
                <w:sz w:val="10"/>
                <w:szCs w:val="10"/>
                <w:color w:val="auto"/>
              </w:rPr>
            </w:pPr>
          </w:p>
        </w:tc>
      </w:tr>
      <w:tr>
        <w:trPr>
          <w:trHeight w:val="126"/>
        </w:trPr>
        <w:tc>
          <w:tcPr>
            <w:tcW w:w="2060" w:type="dxa"/>
            <w:vAlign w:val="bottom"/>
          </w:tcPr>
          <w:p>
            <w:pPr>
              <w:ind w:left="160"/>
              <w:spacing w:after="0"/>
              <w:rPr>
                <w:sz w:val="20"/>
                <w:szCs w:val="20"/>
                <w:color w:val="auto"/>
              </w:rPr>
            </w:pPr>
            <w:r>
              <w:rPr>
                <w:rFonts w:ascii="Arial" w:cs="Arial" w:eastAsia="Arial" w:hAnsi="Arial"/>
                <w:sz w:val="10"/>
                <w:szCs w:val="10"/>
                <w:color w:val="auto"/>
              </w:rPr>
              <w:t>June</w:t>
            </w:r>
          </w:p>
        </w:tc>
        <w:tc>
          <w:tcPr>
            <w:tcW w:w="11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0.16</w:t>
            </w:r>
          </w:p>
        </w:tc>
        <w:tc>
          <w:tcPr>
            <w:tcW w:w="1480" w:type="dxa"/>
            <w:vAlign w:val="bottom"/>
          </w:tcPr>
          <w:p>
            <w:pPr>
              <w:ind w:left="920"/>
              <w:spacing w:after="0"/>
              <w:rPr>
                <w:sz w:val="20"/>
                <w:szCs w:val="20"/>
                <w:color w:val="auto"/>
              </w:rPr>
            </w:pPr>
            <w:r>
              <w:rPr>
                <w:rFonts w:ascii="Arial" w:cs="Arial" w:eastAsia="Arial" w:hAnsi="Arial"/>
                <w:sz w:val="10"/>
                <w:szCs w:val="10"/>
                <w:color w:val="auto"/>
              </w:rPr>
              <w:t>0.47</w:t>
            </w:r>
          </w:p>
        </w:tc>
        <w:tc>
          <w:tcPr>
            <w:tcW w:w="860" w:type="dxa"/>
            <w:vAlign w:val="bottom"/>
            <w:tcBorders>
              <w:right w:val="single" w:sz="8" w:color="D9D9D9"/>
            </w:tcBorders>
          </w:tcPr>
          <w:p>
            <w:pPr>
              <w:ind w:left="600"/>
              <w:spacing w:after="0"/>
              <w:rPr>
                <w:sz w:val="20"/>
                <w:szCs w:val="20"/>
                <w:color w:val="auto"/>
              </w:rPr>
            </w:pPr>
            <w:r>
              <w:rPr>
                <w:rFonts w:ascii="Arial" w:cs="Arial" w:eastAsia="Arial" w:hAnsi="Arial"/>
                <w:sz w:val="10"/>
                <w:szCs w:val="10"/>
                <w:color w:val="auto"/>
              </w:rPr>
              <w:t>0.47</w:t>
            </w:r>
          </w:p>
        </w:tc>
        <w:tc>
          <w:tcPr>
            <w:tcW w:w="14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586</w:t>
            </w:r>
          </w:p>
        </w:tc>
        <w:tc>
          <w:tcPr>
            <w:tcW w:w="1960" w:type="dxa"/>
            <w:vAlign w:val="bottom"/>
          </w:tcPr>
          <w:p>
            <w:pPr>
              <w:jc w:val="right"/>
              <w:ind w:right="532"/>
              <w:spacing w:after="0"/>
              <w:rPr>
                <w:sz w:val="20"/>
                <w:szCs w:val="20"/>
                <w:color w:val="auto"/>
              </w:rPr>
            </w:pPr>
            <w:r>
              <w:rPr>
                <w:rFonts w:ascii="Arial" w:cs="Arial" w:eastAsia="Arial" w:hAnsi="Arial"/>
                <w:sz w:val="10"/>
                <w:szCs w:val="10"/>
                <w:color w:val="auto"/>
              </w:rPr>
              <w:t>1,762</w:t>
            </w:r>
          </w:p>
        </w:tc>
        <w:tc>
          <w:tcPr>
            <w:tcW w:w="900" w:type="dxa"/>
            <w:vAlign w:val="bottom"/>
          </w:tcPr>
          <w:p>
            <w:pPr>
              <w:jc w:val="right"/>
              <w:spacing w:after="0"/>
              <w:rPr>
                <w:sz w:val="20"/>
                <w:szCs w:val="20"/>
                <w:color w:val="auto"/>
              </w:rPr>
            </w:pPr>
            <w:r>
              <w:rPr>
                <w:rFonts w:ascii="Arial" w:cs="Arial" w:eastAsia="Arial" w:hAnsi="Arial"/>
                <w:sz w:val="10"/>
                <w:szCs w:val="10"/>
                <w:color w:val="auto"/>
              </w:rPr>
              <w:t>1,746</w:t>
            </w:r>
          </w:p>
        </w:tc>
        <w:tc>
          <w:tcPr>
            <w:tcW w:w="1460" w:type="dxa"/>
            <w:vAlign w:val="bottom"/>
          </w:tcPr>
          <w:p>
            <w:pPr>
              <w:spacing w:after="0"/>
              <w:rPr>
                <w:sz w:val="10"/>
                <w:szCs w:val="10"/>
                <w:color w:val="auto"/>
              </w:rPr>
            </w:pPr>
          </w:p>
        </w:tc>
      </w:tr>
      <w:tr>
        <w:trPr>
          <w:trHeight w:val="126"/>
        </w:trPr>
        <w:tc>
          <w:tcPr>
            <w:tcW w:w="2060" w:type="dxa"/>
            <w:vAlign w:val="bottom"/>
          </w:tcPr>
          <w:p>
            <w:pPr>
              <w:ind w:left="160"/>
              <w:spacing w:after="0"/>
              <w:rPr>
                <w:sz w:val="20"/>
                <w:szCs w:val="20"/>
                <w:color w:val="auto"/>
              </w:rPr>
            </w:pPr>
            <w:r>
              <w:rPr>
                <w:rFonts w:ascii="Arial" w:cs="Arial" w:eastAsia="Arial" w:hAnsi="Arial"/>
                <w:sz w:val="10"/>
                <w:szCs w:val="10"/>
                <w:color w:val="auto"/>
              </w:rPr>
              <w:t>September</w:t>
            </w:r>
          </w:p>
        </w:tc>
        <w:tc>
          <w:tcPr>
            <w:tcW w:w="11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0.16</w:t>
            </w:r>
          </w:p>
        </w:tc>
        <w:tc>
          <w:tcPr>
            <w:tcW w:w="1480" w:type="dxa"/>
            <w:vAlign w:val="bottom"/>
          </w:tcPr>
          <w:p>
            <w:pPr>
              <w:ind w:left="920"/>
              <w:spacing w:after="0"/>
              <w:rPr>
                <w:sz w:val="20"/>
                <w:szCs w:val="20"/>
                <w:color w:val="auto"/>
              </w:rPr>
            </w:pPr>
            <w:r>
              <w:rPr>
                <w:rFonts w:ascii="Arial" w:cs="Arial" w:eastAsia="Arial" w:hAnsi="Arial"/>
                <w:sz w:val="10"/>
                <w:szCs w:val="10"/>
                <w:color w:val="auto"/>
              </w:rPr>
              <w:t>0.47</w:t>
            </w:r>
          </w:p>
        </w:tc>
        <w:tc>
          <w:tcPr>
            <w:tcW w:w="860" w:type="dxa"/>
            <w:vAlign w:val="bottom"/>
            <w:tcBorders>
              <w:right w:val="single" w:sz="8" w:color="D9D9D9"/>
            </w:tcBorders>
          </w:tcPr>
          <w:p>
            <w:pPr>
              <w:ind w:left="600"/>
              <w:spacing w:after="0"/>
              <w:rPr>
                <w:sz w:val="20"/>
                <w:szCs w:val="20"/>
                <w:color w:val="auto"/>
              </w:rPr>
            </w:pPr>
            <w:r>
              <w:rPr>
                <w:rFonts w:ascii="Arial" w:cs="Arial" w:eastAsia="Arial" w:hAnsi="Arial"/>
                <w:sz w:val="10"/>
                <w:szCs w:val="10"/>
                <w:color w:val="auto"/>
              </w:rPr>
              <w:t>0.47</w:t>
            </w:r>
          </w:p>
        </w:tc>
        <w:tc>
          <w:tcPr>
            <w:tcW w:w="14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582</w:t>
            </w:r>
          </w:p>
        </w:tc>
        <w:tc>
          <w:tcPr>
            <w:tcW w:w="1960" w:type="dxa"/>
            <w:vAlign w:val="bottom"/>
          </w:tcPr>
          <w:p>
            <w:pPr>
              <w:jc w:val="right"/>
              <w:ind w:right="532"/>
              <w:spacing w:after="0"/>
              <w:rPr>
                <w:sz w:val="20"/>
                <w:szCs w:val="20"/>
                <w:color w:val="auto"/>
              </w:rPr>
            </w:pPr>
            <w:r>
              <w:rPr>
                <w:rFonts w:ascii="Arial" w:cs="Arial" w:eastAsia="Arial" w:hAnsi="Arial"/>
                <w:sz w:val="10"/>
                <w:szCs w:val="10"/>
                <w:color w:val="auto"/>
              </w:rPr>
              <w:t>1,765</w:t>
            </w:r>
          </w:p>
        </w:tc>
        <w:tc>
          <w:tcPr>
            <w:tcW w:w="900" w:type="dxa"/>
            <w:vAlign w:val="bottom"/>
          </w:tcPr>
          <w:p>
            <w:pPr>
              <w:jc w:val="right"/>
              <w:spacing w:after="0"/>
              <w:rPr>
                <w:sz w:val="20"/>
                <w:szCs w:val="20"/>
                <w:color w:val="auto"/>
              </w:rPr>
            </w:pPr>
            <w:r>
              <w:rPr>
                <w:rFonts w:ascii="Arial" w:cs="Arial" w:eastAsia="Arial" w:hAnsi="Arial"/>
                <w:sz w:val="10"/>
                <w:szCs w:val="10"/>
                <w:color w:val="auto"/>
              </w:rPr>
              <w:t>1,784</w:t>
            </w:r>
          </w:p>
        </w:tc>
        <w:tc>
          <w:tcPr>
            <w:tcW w:w="1460" w:type="dxa"/>
            <w:vAlign w:val="bottom"/>
          </w:tcPr>
          <w:p>
            <w:pPr>
              <w:spacing w:after="0"/>
              <w:rPr>
                <w:sz w:val="10"/>
                <w:szCs w:val="10"/>
                <w:color w:val="auto"/>
              </w:rPr>
            </w:pPr>
          </w:p>
        </w:tc>
      </w:tr>
      <w:tr>
        <w:trPr>
          <w:trHeight w:val="130"/>
        </w:trPr>
        <w:tc>
          <w:tcPr>
            <w:tcW w:w="2060" w:type="dxa"/>
            <w:vAlign w:val="bottom"/>
            <w:tcBorders>
              <w:bottom w:val="single" w:sz="8" w:color="auto"/>
            </w:tcBorders>
          </w:tcPr>
          <w:p>
            <w:pPr>
              <w:ind w:left="160"/>
              <w:spacing w:after="0"/>
              <w:rPr>
                <w:sz w:val="20"/>
                <w:szCs w:val="20"/>
                <w:color w:val="auto"/>
              </w:rPr>
            </w:pPr>
            <w:r>
              <w:rPr>
                <w:rFonts w:ascii="Arial" w:cs="Arial" w:eastAsia="Arial" w:hAnsi="Arial"/>
                <w:sz w:val="10"/>
                <w:szCs w:val="10"/>
                <w:color w:val="auto"/>
              </w:rPr>
              <w:t>December</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0.1665</w:t>
            </w:r>
          </w:p>
        </w:tc>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0"/>
                <w:szCs w:val="10"/>
                <w:color w:val="auto"/>
              </w:rPr>
              <w:t>0.47</w:t>
            </w:r>
          </w:p>
        </w:tc>
        <w:tc>
          <w:tcPr>
            <w:tcW w:w="860" w:type="dxa"/>
            <w:vAlign w:val="bottom"/>
            <w:tcBorders>
              <w:bottom w:val="single" w:sz="8" w:color="auto"/>
              <w:right w:val="single" w:sz="8" w:color="D9D9D9"/>
            </w:tcBorders>
          </w:tcPr>
          <w:p>
            <w:pPr>
              <w:ind w:left="600"/>
              <w:spacing w:after="0"/>
              <w:rPr>
                <w:sz w:val="20"/>
                <w:szCs w:val="20"/>
                <w:color w:val="auto"/>
              </w:rPr>
            </w:pPr>
            <w:r>
              <w:rPr>
                <w:rFonts w:ascii="Arial" w:cs="Arial" w:eastAsia="Arial" w:hAnsi="Arial"/>
                <w:sz w:val="10"/>
                <w:szCs w:val="10"/>
                <w:color w:val="auto"/>
              </w:rPr>
              <w:t>0.47</w:t>
            </w:r>
          </w:p>
        </w:tc>
        <w:tc>
          <w:tcPr>
            <w:tcW w:w="14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622</w:t>
            </w:r>
          </w:p>
        </w:tc>
        <w:tc>
          <w:tcPr>
            <w:tcW w:w="19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1,749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1,746</w:t>
            </w:r>
          </w:p>
        </w:tc>
        <w:tc>
          <w:tcPr>
            <w:tcW w:w="1460" w:type="dxa"/>
            <w:vAlign w:val="bottom"/>
          </w:tcPr>
          <w:p>
            <w:pPr>
              <w:spacing w:after="0"/>
              <w:rPr>
                <w:sz w:val="11"/>
                <w:szCs w:val="11"/>
                <w:color w:val="auto"/>
              </w:rPr>
            </w:pPr>
          </w:p>
        </w:tc>
      </w:tr>
      <w:tr>
        <w:trPr>
          <w:trHeight w:val="117"/>
        </w:trPr>
        <w:tc>
          <w:tcPr>
            <w:tcW w:w="2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 B shares</w:t>
            </w: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0.9565</w:t>
            </w:r>
          </w:p>
        </w:tc>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0"/>
                <w:szCs w:val="10"/>
                <w:color w:val="auto"/>
              </w:rPr>
              <w:t>1.88</w:t>
            </w:r>
          </w:p>
        </w:tc>
        <w:tc>
          <w:tcPr>
            <w:tcW w:w="860" w:type="dxa"/>
            <w:vAlign w:val="bottom"/>
            <w:tcBorders>
              <w:bottom w:val="single" w:sz="8" w:color="auto"/>
              <w:right w:val="single" w:sz="8" w:color="D9D9D9"/>
            </w:tcBorders>
          </w:tcPr>
          <w:p>
            <w:pPr>
              <w:ind w:left="600"/>
              <w:spacing w:after="0"/>
              <w:rPr>
                <w:sz w:val="20"/>
                <w:szCs w:val="20"/>
                <w:color w:val="auto"/>
              </w:rPr>
            </w:pPr>
            <w:r>
              <w:rPr>
                <w:rFonts w:ascii="Arial" w:cs="Arial" w:eastAsia="Arial" w:hAnsi="Arial"/>
                <w:sz w:val="10"/>
                <w:szCs w:val="10"/>
                <w:color w:val="auto"/>
              </w:rPr>
              <w:t>1.88</w:t>
            </w:r>
          </w:p>
        </w:tc>
        <w:tc>
          <w:tcPr>
            <w:tcW w:w="14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3,410</w:t>
            </w:r>
          </w:p>
        </w:tc>
        <w:tc>
          <w:tcPr>
            <w:tcW w:w="19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7,051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7,070</w:t>
            </w:r>
          </w:p>
        </w:tc>
        <w:tc>
          <w:tcPr>
            <w:tcW w:w="1460" w:type="dxa"/>
            <w:vAlign w:val="bottom"/>
          </w:tcPr>
          <w:p>
            <w:pPr>
              <w:spacing w:after="0"/>
              <w:rPr>
                <w:sz w:val="10"/>
                <w:szCs w:val="10"/>
                <w:color w:val="auto"/>
              </w:rPr>
            </w:pPr>
          </w:p>
        </w:tc>
      </w:tr>
      <w:tr>
        <w:trPr>
          <w:trHeight w:val="115"/>
        </w:trPr>
        <w:tc>
          <w:tcPr>
            <w:tcW w:w="2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140" w:type="dxa"/>
            <w:vAlign w:val="bottom"/>
            <w:tcBorders>
              <w:bottom w:val="single" w:sz="8" w:color="auto"/>
            </w:tcBorders>
            <w:shd w:val="clear" w:color="auto" w:fill="D9D9D9"/>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D9D9D9"/>
            </w:tcBorders>
          </w:tcPr>
          <w:p>
            <w:pPr>
              <w:spacing w:after="0"/>
              <w:rPr>
                <w:sz w:val="10"/>
                <w:szCs w:val="10"/>
                <w:color w:val="auto"/>
              </w:rPr>
            </w:pPr>
          </w:p>
        </w:tc>
        <w:tc>
          <w:tcPr>
            <w:tcW w:w="14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7,270</w:t>
            </w:r>
          </w:p>
        </w:tc>
        <w:tc>
          <w:tcPr>
            <w:tcW w:w="19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15,198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15,675</w:t>
            </w:r>
          </w:p>
        </w:tc>
        <w:tc>
          <w:tcPr>
            <w:tcW w:w="1460" w:type="dxa"/>
            <w:vAlign w:val="bottom"/>
          </w:tcPr>
          <w:p>
            <w:pPr>
              <w:spacing w:after="0"/>
              <w:rPr>
                <w:sz w:val="10"/>
                <w:szCs w:val="10"/>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8"/>
          <w:szCs w:val="8"/>
          <w:color w:val="auto"/>
        </w:rPr>
        <w:t>In addition, on February 4, 2021, the Directors announced a further interim dividend in respect of 2020 of $0.1665 per A share and $0.1665 per B share. The total dividend is estimated to be $1,300 million and is payable on March 29, 2021, to shareholders on the register at February 19, 2021.</w:t>
      </w:r>
    </w:p>
    <w:p>
      <w:pPr>
        <w:spacing w:after="0" w:line="178" w:lineRule="exact"/>
        <w:rPr>
          <w:sz w:val="20"/>
          <w:szCs w:val="20"/>
          <w:color w:val="auto"/>
        </w:rPr>
      </w:pPr>
    </w:p>
    <w:p>
      <w:pPr>
        <w:ind w:right="280"/>
        <w:spacing w:after="0" w:line="239" w:lineRule="auto"/>
        <w:rPr>
          <w:sz w:val="20"/>
          <w:szCs w:val="20"/>
          <w:color w:val="auto"/>
        </w:rPr>
      </w:pPr>
      <w:r>
        <w:rPr>
          <w:rFonts w:ascii="Arial" w:cs="Arial" w:eastAsia="Arial" w:hAnsi="Arial"/>
          <w:sz w:val="10"/>
          <w:szCs w:val="10"/>
          <w:color w:val="auto"/>
        </w:rPr>
        <w:t>Dividends on A shares are by default paid in euros, although holders may elect to receive dividends in US dollars or in sterling. Dividends on B shares are by default paid in sterling, although holders may elect to receive dividends in US dollars or in euros. Dividends on ADSs are paid in dollars.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24 – EARNINGS PER SHARE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72"/>
        </w:trPr>
        <w:tc>
          <w:tcPr>
            <w:tcW w:w="5620" w:type="dxa"/>
            <w:vAlign w:val="bottom"/>
            <w:shd w:val="clear" w:color="auto" w:fill="D9D9D9"/>
          </w:tcPr>
          <w:p>
            <w:pPr>
              <w:spacing w:after="0"/>
              <w:rPr>
                <w:sz w:val="6"/>
                <w:szCs w:val="6"/>
                <w:color w:val="auto"/>
              </w:rPr>
            </w:pPr>
          </w:p>
        </w:tc>
        <w:tc>
          <w:tcPr>
            <w:tcW w:w="3520" w:type="dxa"/>
            <w:vAlign w:val="bottom"/>
            <w:shd w:val="clear" w:color="auto" w:fill="D9D9D9"/>
          </w:tcPr>
          <w:p>
            <w:pPr>
              <w:spacing w:after="0"/>
              <w:rPr>
                <w:sz w:val="6"/>
                <w:szCs w:val="6"/>
                <w:color w:val="auto"/>
              </w:rPr>
            </w:pPr>
          </w:p>
        </w:tc>
        <w:tc>
          <w:tcPr>
            <w:tcW w:w="1320" w:type="dxa"/>
            <w:vAlign w:val="bottom"/>
            <w:shd w:val="clear" w:color="auto" w:fill="D9D9D9"/>
          </w:tcPr>
          <w:p>
            <w:pPr>
              <w:spacing w:after="0"/>
              <w:rPr>
                <w:sz w:val="6"/>
                <w:szCs w:val="6"/>
                <w:color w:val="auto"/>
              </w:rPr>
            </w:pPr>
          </w:p>
        </w:tc>
        <w:tc>
          <w:tcPr>
            <w:tcW w:w="820" w:type="dxa"/>
            <w:vAlign w:val="bottom"/>
            <w:shd w:val="clear" w:color="auto" w:fill="D9D9D9"/>
          </w:tcPr>
          <w:p>
            <w:pPr>
              <w:spacing w:after="0"/>
              <w:rPr>
                <w:sz w:val="6"/>
                <w:szCs w:val="6"/>
                <w:color w:val="auto"/>
              </w:rPr>
            </w:pPr>
          </w:p>
        </w:tc>
      </w:tr>
      <w:tr>
        <w:trPr>
          <w:trHeight w:val="124"/>
        </w:trPr>
        <w:tc>
          <w:tcPr>
            <w:tcW w:w="562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2020</w:t>
            </w: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5"/>
        </w:trPr>
        <w:tc>
          <w:tcPr>
            <w:tcW w:w="5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(Loss)/income attributable to Royal Dutch Shell plc shareholders ($ million)</w:t>
            </w:r>
          </w:p>
        </w:tc>
        <w:tc>
          <w:tcPr>
            <w:tcW w:w="35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(21,680)</w:t>
            </w:r>
          </w:p>
        </w:tc>
        <w:tc>
          <w:tcPr>
            <w:tcW w:w="13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15,842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23,352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66610" cy="3429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66610" cy="342900"/>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7300" w:type="dxa"/>
            <w:vAlign w:val="bottom"/>
          </w:tcPr>
          <w:p>
            <w:pPr>
              <w:spacing w:after="0"/>
              <w:rPr>
                <w:sz w:val="20"/>
                <w:szCs w:val="20"/>
                <w:color w:val="auto"/>
              </w:rPr>
            </w:pPr>
            <w:r>
              <w:rPr>
                <w:rFonts w:ascii="Arial" w:cs="Arial" w:eastAsia="Arial" w:hAnsi="Arial"/>
                <w:sz w:val="10"/>
                <w:szCs w:val="10"/>
                <w:color w:val="auto"/>
              </w:rPr>
              <w:t>Weighted average number of A and B shares used as the basis for determining:</w:t>
            </w: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7300" w:type="dxa"/>
            <w:vAlign w:val="bottom"/>
          </w:tcPr>
          <w:p>
            <w:pPr>
              <w:ind w:left="220"/>
              <w:spacing w:after="0"/>
              <w:rPr>
                <w:sz w:val="20"/>
                <w:szCs w:val="20"/>
                <w:color w:val="auto"/>
              </w:rPr>
            </w:pPr>
            <w:r>
              <w:rPr>
                <w:rFonts w:ascii="Arial" w:cs="Arial" w:eastAsia="Arial" w:hAnsi="Arial"/>
                <w:sz w:val="10"/>
                <w:szCs w:val="10"/>
                <w:color w:val="auto"/>
              </w:rPr>
              <w:t>Basic earnings per share (million of shares)</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7,795.6</w:t>
            </w:r>
          </w:p>
        </w:tc>
        <w:tc>
          <w:tcPr>
            <w:tcW w:w="20" w:type="dxa"/>
            <w:vAlign w:val="bottom"/>
          </w:tcPr>
          <w:p>
            <w:pPr>
              <w:spacing w:after="0"/>
              <w:rPr>
                <w:sz w:val="11"/>
                <w:szCs w:val="11"/>
                <w:color w:val="auto"/>
              </w:rPr>
            </w:pPr>
          </w:p>
        </w:tc>
      </w:tr>
      <w:tr>
        <w:trPr>
          <w:trHeight w:val="131"/>
        </w:trPr>
        <w:tc>
          <w:tcPr>
            <w:tcW w:w="7300" w:type="dxa"/>
            <w:vAlign w:val="bottom"/>
          </w:tcPr>
          <w:p>
            <w:pPr>
              <w:ind w:left="220"/>
              <w:spacing w:after="0"/>
              <w:rPr>
                <w:sz w:val="20"/>
                <w:szCs w:val="20"/>
                <w:color w:val="auto"/>
              </w:rPr>
            </w:pPr>
            <w:r>
              <w:rPr>
                <w:rFonts w:ascii="Arial" w:cs="Arial" w:eastAsia="Arial" w:hAnsi="Arial"/>
                <w:sz w:val="10"/>
                <w:szCs w:val="10"/>
                <w:color w:val="auto"/>
              </w:rPr>
              <w:t>Diluted earnings per share (million of shares)</w:t>
            </w:r>
          </w:p>
        </w:tc>
        <w:tc>
          <w:tcPr>
            <w:tcW w:w="1320" w:type="dxa"/>
            <w:vAlign w:val="bottom"/>
            <w:shd w:val="clear" w:color="auto" w:fill="CDCDCD"/>
          </w:tcPr>
          <w:p>
            <w:pPr>
              <w:jc w:val="right"/>
              <w:spacing w:after="0"/>
              <w:rPr>
                <w:sz w:val="20"/>
                <w:szCs w:val="20"/>
                <w:color w:val="auto"/>
              </w:rPr>
            </w:pPr>
            <w:r>
              <w:rPr>
                <w:rFonts w:ascii="Arial" w:cs="Arial" w:eastAsia="Arial" w:hAnsi="Arial"/>
                <w:sz w:val="10"/>
                <w:szCs w:val="10"/>
                <w:color w:val="auto"/>
              </w:rPr>
              <w:t>7,795.6</w:t>
            </w:r>
          </w:p>
        </w:tc>
        <w:tc>
          <w:tcPr>
            <w:tcW w:w="20" w:type="dxa"/>
            <w:vAlign w:val="bottom"/>
            <w:shd w:val="clear" w:color="auto" w:fill="CDCDCD"/>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66610"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tabs>
          <w:tab w:leader="none" w:pos="1300" w:val="left"/>
        </w:tabs>
        <w:rPr>
          <w:sz w:val="20"/>
          <w:szCs w:val="20"/>
          <w:color w:val="auto"/>
        </w:rPr>
      </w:pPr>
      <w:r>
        <w:rPr>
          <w:rFonts w:ascii="Arial" w:cs="Arial" w:eastAsia="Arial" w:hAnsi="Arial"/>
          <w:sz w:val="10"/>
          <w:szCs w:val="10"/>
          <w:color w:val="auto"/>
        </w:rPr>
        <w:t>8,058.3</w:t>
      </w:r>
      <w:r>
        <w:rPr>
          <w:sz w:val="20"/>
          <w:szCs w:val="20"/>
          <w:color w:val="auto"/>
        </w:rPr>
        <w:tab/>
      </w:r>
      <w:r>
        <w:rPr>
          <w:rFonts w:ascii="Arial" w:cs="Arial" w:eastAsia="Arial" w:hAnsi="Arial"/>
          <w:sz w:val="8"/>
          <w:szCs w:val="8"/>
          <w:color w:val="auto"/>
        </w:rPr>
        <w:t>8,282.8</w:t>
      </w:r>
    </w:p>
    <w:p>
      <w:pPr>
        <w:spacing w:after="0" w:line="11" w:lineRule="exact"/>
        <w:rPr>
          <w:sz w:val="20"/>
          <w:szCs w:val="20"/>
          <w:color w:val="auto"/>
        </w:rPr>
      </w:pPr>
    </w:p>
    <w:p>
      <w:pPr>
        <w:spacing w:after="0"/>
        <w:tabs>
          <w:tab w:leader="none" w:pos="1300" w:val="left"/>
        </w:tabs>
        <w:rPr>
          <w:sz w:val="20"/>
          <w:szCs w:val="20"/>
          <w:color w:val="auto"/>
        </w:rPr>
      </w:pPr>
      <w:r>
        <w:rPr>
          <w:rFonts w:ascii="Arial" w:cs="Arial" w:eastAsia="Arial" w:hAnsi="Arial"/>
          <w:sz w:val="10"/>
          <w:szCs w:val="10"/>
          <w:color w:val="auto"/>
        </w:rPr>
        <w:t>8,112.5</w:t>
      </w:r>
      <w:r>
        <w:rPr>
          <w:sz w:val="20"/>
          <w:szCs w:val="20"/>
          <w:color w:val="auto"/>
        </w:rPr>
        <w:tab/>
      </w:r>
      <w:r>
        <w:rPr>
          <w:rFonts w:ascii="Arial" w:cs="Arial" w:eastAsia="Arial" w:hAnsi="Arial"/>
          <w:sz w:val="8"/>
          <w:szCs w:val="8"/>
          <w:color w:val="auto"/>
        </w:rPr>
        <w:t>8,348.7</w:t>
      </w:r>
    </w:p>
    <w:p>
      <w:pPr>
        <w:spacing w:after="0" w:line="214" w:lineRule="exact"/>
        <w:rPr>
          <w:sz w:val="20"/>
          <w:szCs w:val="20"/>
          <w:color w:val="auto"/>
        </w:rPr>
      </w:pPr>
    </w:p>
    <w:p>
      <w:pPr>
        <w:sectPr>
          <w:pgSz w:w="11900" w:h="16838" w:orient="portrait"/>
          <w:cols w:equalWidth="0" w:num="2">
            <w:col w:w="8900" w:space="720"/>
            <w:col w:w="1680"/>
          </w:cols>
          <w:pgMar w:left="300" w:top="647" w:right="29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8"/>
          <w:szCs w:val="8"/>
          <w:color w:val="auto"/>
        </w:rPr>
        <w:t>Basic earnings per share are calculated by dividing the income attributable to Royal Dutch Shell plc shareholders for the year by the weighted average number of A and B shares outstanding during the year. The weighted average number of shares outstanding excludes shares held in trust.</w:t>
      </w:r>
    </w:p>
    <w:p>
      <w:pPr>
        <w:spacing w:after="0" w:line="178" w:lineRule="exact"/>
        <w:rPr>
          <w:sz w:val="20"/>
          <w:szCs w:val="20"/>
          <w:color w:val="auto"/>
        </w:rPr>
      </w:pPr>
    </w:p>
    <w:p>
      <w:pPr>
        <w:ind w:right="160"/>
        <w:spacing w:after="0" w:line="358" w:lineRule="auto"/>
        <w:rPr>
          <w:sz w:val="20"/>
          <w:szCs w:val="20"/>
          <w:color w:val="auto"/>
        </w:rPr>
      </w:pPr>
      <w:r>
        <w:rPr>
          <w:rFonts w:ascii="Arial" w:cs="Arial" w:eastAsia="Arial" w:hAnsi="Arial"/>
          <w:sz w:val="8"/>
          <w:szCs w:val="8"/>
          <w:color w:val="auto"/>
        </w:rPr>
        <w:t>Diluted earnings per share are based on the same income/(loss) figures. The weighted average number of shares outstanding during the year is increased by dilutive shares related to share-based compensation plans. If the inclusion of potentially issuable shares could decrease diluted loss per share, the potentially issuable shares are excluded from the weighted average number of shares outstanding used to calculate diluted earnings per share. The number of potentially issuable shares that has been excluded from the calculation for 2020 is 36.0 million shares.</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Earnings per share are identical for A and B shares.</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25 – LEGAL PROCEEDINGS AND OTHER CONTINGENCIES</w:t>
      </w:r>
    </w:p>
    <w:p>
      <w:pPr>
        <w:spacing w:after="0" w:line="225" w:lineRule="auto"/>
        <w:rPr>
          <w:sz w:val="20"/>
          <w:szCs w:val="20"/>
          <w:color w:val="auto"/>
        </w:rPr>
      </w:pPr>
      <w:r>
        <w:rPr>
          <w:rFonts w:ascii="Arial" w:cs="Arial" w:eastAsia="Arial" w:hAnsi="Arial"/>
          <w:sz w:val="10"/>
          <w:szCs w:val="10"/>
          <w:b w:val="1"/>
          <w:bCs w:val="1"/>
          <w:color w:val="auto"/>
        </w:rPr>
        <w:t>General</w:t>
      </w:r>
    </w:p>
    <w:p>
      <w:pPr>
        <w:jc w:val="both"/>
        <w:spacing w:after="0" w:line="229" w:lineRule="auto"/>
        <w:rPr>
          <w:sz w:val="20"/>
          <w:szCs w:val="20"/>
          <w:color w:val="auto"/>
        </w:rPr>
      </w:pPr>
      <w:r>
        <w:rPr>
          <w:rFonts w:ascii="Arial" w:cs="Arial" w:eastAsia="Arial" w:hAnsi="Arial"/>
          <w:sz w:val="10"/>
          <w:szCs w:val="10"/>
          <w:color w:val="auto"/>
        </w:rPr>
        <w:t>In the ordinary course of business, Shell subsidiaries are subject to a number of contingencies arising from litigation and claims brought by governmental authorities, including tax authorities, and private parties. The operations and earnings of Shell subsidiaries continue, from time to time, to be affected to varying degrees by political, legislative, fiscal and regulatory developments, including those relating to the protection of the environment and indigenous groups in the countries in which they operate. The industries in which Shell subsidiaries are engaged are also subject to physical risks of various types.</w:t>
      </w:r>
    </w:p>
    <w:p>
      <w:pPr>
        <w:spacing w:after="0" w:line="149" w:lineRule="exact"/>
        <w:rPr>
          <w:sz w:val="20"/>
          <w:szCs w:val="20"/>
          <w:color w:val="auto"/>
        </w:rPr>
      </w:pPr>
    </w:p>
    <w:p>
      <w:pPr>
        <w:ind w:right="140"/>
        <w:spacing w:after="0" w:line="234" w:lineRule="auto"/>
        <w:rPr>
          <w:sz w:val="20"/>
          <w:szCs w:val="20"/>
          <w:color w:val="auto"/>
        </w:rPr>
      </w:pPr>
      <w:r>
        <w:rPr>
          <w:rFonts w:ascii="Arial" w:cs="Arial" w:eastAsia="Arial" w:hAnsi="Arial"/>
          <w:sz w:val="10"/>
          <w:szCs w:val="10"/>
          <w:color w:val="auto"/>
        </w:rPr>
        <w:t>The amounts claimed in relation to such events and, if such claims against Shell were successful, the costs of implementing the remedies sought in the various cases could be substantial. Based on information available to date and taking into account that in some cases it is not practicable to estimate the possible magnitude or timing of any resultant payments, management believes that the foregoing are not expected to have a material adverse impact on Shell’s Consolidated Financial Statements. However, there remains a high degree of uncertainty around these contingencies, as well as their potential effect on future operations, earnings, cash flows and Shell’s financial condition.</w:t>
      </w:r>
    </w:p>
    <w:p>
      <w:pPr>
        <w:spacing w:after="0" w:line="150" w:lineRule="exact"/>
        <w:rPr>
          <w:sz w:val="20"/>
          <w:szCs w:val="20"/>
          <w:color w:val="auto"/>
        </w:rPr>
      </w:pPr>
    </w:p>
    <w:p>
      <w:pPr>
        <w:ind w:right="60"/>
        <w:spacing w:after="0" w:line="239" w:lineRule="auto"/>
        <w:rPr>
          <w:sz w:val="20"/>
          <w:szCs w:val="20"/>
          <w:color w:val="auto"/>
        </w:rPr>
      </w:pPr>
      <w:r>
        <w:rPr>
          <w:rFonts w:ascii="Arial" w:cs="Arial" w:eastAsia="Arial" w:hAnsi="Arial"/>
          <w:sz w:val="10"/>
          <w:szCs w:val="10"/>
          <w:color w:val="auto"/>
        </w:rPr>
        <w:t>In certain divestment transactions, liabilities related to decommissioning and restoration are de-recognised upon transfer of these obligations to the buyer. For certain of these obligations Shell has issued guarantees to third parties and continues to be liable in case the primary obligor is not able to meet its obligation. These potential obligations arising from issuance of these guarantees are assessed to be remote.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940" w:type="dxa"/>
            <w:vAlign w:val="bottom"/>
          </w:tcPr>
          <w:p>
            <w:pPr>
              <w:spacing w:after="0"/>
              <w:rPr>
                <w:sz w:val="20"/>
                <w:szCs w:val="20"/>
                <w:color w:val="auto"/>
              </w:rPr>
            </w:pPr>
            <w:r>
              <w:rPr>
                <w:rFonts w:ascii="Arial" w:cs="Arial" w:eastAsia="Arial" w:hAnsi="Arial"/>
                <w:sz w:val="7"/>
                <w:szCs w:val="7"/>
                <w:color w:val="auto"/>
              </w:rPr>
              <w:t>FINANCIAL STATEMENTS AND SUPPLEMENTS SHELL FORM 20-F 2020</w:t>
            </w:r>
          </w:p>
        </w:tc>
        <w:tc>
          <w:tcPr>
            <w:tcW w:w="7360" w:type="dxa"/>
            <w:vAlign w:val="bottom"/>
          </w:tcPr>
          <w:p>
            <w:pPr>
              <w:jc w:val="right"/>
              <w:ind w:right="5624"/>
              <w:spacing w:after="0"/>
              <w:rPr>
                <w:sz w:val="20"/>
                <w:szCs w:val="20"/>
                <w:color w:val="auto"/>
              </w:rPr>
            </w:pPr>
            <w:r>
              <w:rPr>
                <w:rFonts w:ascii="Arial" w:cs="Arial" w:eastAsia="Arial" w:hAnsi="Arial"/>
                <w:sz w:val="7"/>
                <w:szCs w:val="7"/>
                <w:color w:val="auto"/>
              </w:rPr>
              <w:t>207</w:t>
            </w:r>
          </w:p>
        </w:tc>
      </w:tr>
      <w:tr>
        <w:trPr>
          <w:trHeight w:val="151"/>
        </w:trPr>
        <w:tc>
          <w:tcPr>
            <w:tcW w:w="3940" w:type="dxa"/>
            <w:vAlign w:val="bottom"/>
            <w:tcBorders>
              <w:bottom w:val="single" w:sz="8" w:color="9A9A9A"/>
            </w:tcBorders>
          </w:tcPr>
          <w:p>
            <w:pPr>
              <w:spacing w:after="0"/>
              <w:rPr>
                <w:sz w:val="13"/>
                <w:szCs w:val="13"/>
                <w:color w:val="auto"/>
              </w:rPr>
            </w:pPr>
          </w:p>
        </w:tc>
        <w:tc>
          <w:tcPr>
            <w:tcW w:w="73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type w:val="continuous"/>
        </w:sectPr>
      </w:pPr>
    </w:p>
    <w:bookmarkStart w:id="210" w:name="page211"/>
    <w:bookmarkEnd w:id="210"/>
    <w:p>
      <w:pPr>
        <w:ind w:left="8"/>
        <w:spacing w:after="0"/>
        <w:rPr>
          <w:sz w:val="20"/>
          <w:szCs w:val="20"/>
          <w:color w:val="auto"/>
        </w:rPr>
      </w:pPr>
      <w:r>
        <w:rPr>
          <w:rFonts w:ascii="Arial" w:cs="Arial" w:eastAsia="Arial" w:hAnsi="Arial"/>
          <w:sz w:val="10"/>
          <w:szCs w:val="10"/>
          <w:b w:val="1"/>
          <w:bCs w:val="1"/>
          <w:color w:val="auto"/>
        </w:rPr>
        <w:t>Decommissioning and restoration of manufacturing facilities</w:t>
      </w:r>
    </w:p>
    <w:p>
      <w:pPr>
        <w:spacing w:after="0" w:line="3" w:lineRule="exact"/>
        <w:rPr>
          <w:sz w:val="20"/>
          <w:szCs w:val="20"/>
          <w:color w:val="auto"/>
        </w:rPr>
      </w:pPr>
    </w:p>
    <w:p>
      <w:pPr>
        <w:ind w:left="8" w:right="140"/>
        <w:spacing w:after="0" w:line="231" w:lineRule="auto"/>
        <w:rPr>
          <w:sz w:val="20"/>
          <w:szCs w:val="20"/>
          <w:color w:val="auto"/>
        </w:rPr>
      </w:pPr>
      <w:r>
        <w:rPr>
          <w:rFonts w:ascii="Arial" w:cs="Arial" w:eastAsia="Arial" w:hAnsi="Arial"/>
          <w:sz w:val="10"/>
          <w:szCs w:val="10"/>
          <w:color w:val="auto"/>
        </w:rPr>
        <w:t>Industry practice has been not to recognise decommissioning and restoration provisions associated with manufacturing facilities in Oil Products and Chemicals. This was on the basis that these assets were considered to have indefinite lives and, therefore, that it was considered remote that an outflow of economic benefits would be required.</w:t>
      </w:r>
    </w:p>
    <w:p>
      <w:pPr>
        <w:spacing w:after="0" w:line="149" w:lineRule="exact"/>
        <w:rPr>
          <w:sz w:val="20"/>
          <w:szCs w:val="20"/>
          <w:color w:val="auto"/>
        </w:rPr>
      </w:pPr>
    </w:p>
    <w:p>
      <w:pPr>
        <w:ind w:left="8" w:right="360"/>
        <w:spacing w:after="0" w:line="239" w:lineRule="auto"/>
        <w:rPr>
          <w:sz w:val="20"/>
          <w:szCs w:val="20"/>
          <w:color w:val="auto"/>
        </w:rPr>
      </w:pPr>
      <w:r>
        <w:rPr>
          <w:rFonts w:ascii="Arial" w:cs="Arial" w:eastAsia="Arial" w:hAnsi="Arial"/>
          <w:sz w:val="10"/>
          <w:szCs w:val="10"/>
          <w:color w:val="auto"/>
        </w:rPr>
        <w:t>In 2020, the changed macroeconomic fundamentals were considered, together with Shell’s plans to rationalise the Group’s manufacturing portfolio. It was also reconsidered whether it remained appropriate not to recognise decommissioning and restoration provisions for manufacturing facilities.</w:t>
      </w:r>
    </w:p>
    <w:p>
      <w:pPr>
        <w:spacing w:after="0" w:line="149" w:lineRule="exact"/>
        <w:rPr>
          <w:sz w:val="20"/>
          <w:szCs w:val="20"/>
          <w:color w:val="auto"/>
        </w:rPr>
      </w:pPr>
    </w:p>
    <w:p>
      <w:pPr>
        <w:ind w:left="8" w:right="60"/>
        <w:spacing w:after="0" w:line="232" w:lineRule="auto"/>
        <w:rPr>
          <w:sz w:val="20"/>
          <w:szCs w:val="20"/>
          <w:color w:val="auto"/>
        </w:rPr>
      </w:pPr>
      <w:r>
        <w:rPr>
          <w:rFonts w:ascii="Arial" w:cs="Arial" w:eastAsia="Arial" w:hAnsi="Arial"/>
          <w:sz w:val="10"/>
          <w:szCs w:val="10"/>
          <w:color w:val="auto"/>
        </w:rPr>
        <w:t>It was concluded that the assumption of indefinite lives for manufacturing facilities is no longer appropriate, and the need for either recognition of decommissioning and restoration provisions or contingent liability disclosure was reviewed. In 2020, provisions have been recognised for certain shorter-lived manufacturing facilities (See Note 18). For the remaining longer-lived facilities, where decommissioning would generally be more than 50 years away, it was concluded that, while there is a present obligation that has arisen from past events, the amount of the obligation cannot be measured with sufficient reliability. This conclusion was reached on the basis that the settlement dates are indeterminate; and that other estimates, such as extremely long-term discount rates for which there is no observable measure, are not reliable. Consequently, a decommissioning and restoration obligation exists that cannot be recognised or quantified and that is disclosed as a contingent liability.</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Pesticide litigation</w:t>
      </w:r>
    </w:p>
    <w:p>
      <w:pPr>
        <w:spacing w:after="0" w:line="3" w:lineRule="exact"/>
        <w:rPr>
          <w:sz w:val="20"/>
          <w:szCs w:val="20"/>
          <w:color w:val="auto"/>
        </w:rPr>
      </w:pPr>
    </w:p>
    <w:p>
      <w:pPr>
        <w:ind w:left="8" w:right="100"/>
        <w:spacing w:after="0" w:line="292" w:lineRule="auto"/>
        <w:rPr>
          <w:sz w:val="20"/>
          <w:szCs w:val="20"/>
          <w:color w:val="auto"/>
        </w:rPr>
      </w:pPr>
      <w:r>
        <w:rPr>
          <w:rFonts w:ascii="Arial" w:cs="Arial" w:eastAsia="Arial" w:hAnsi="Arial"/>
          <w:sz w:val="8"/>
          <w:szCs w:val="8"/>
          <w:color w:val="auto"/>
        </w:rPr>
        <w:t>Shell Oil Company (SOC), along with another agricultural chemical pesticide manufacturer and several distributors, has been sued by public and quasi-public water purveyors, water storage districts, and private landowners alleging responsibility for groundwater contamination caused by applications of chemical pesticides. There are approximately 60 such cases currently pending. These suits assert various theories of strict liability and negligence, and seek to recover actual damages, including drinking well treatment and remediation costs. Most assert claims for punitive damages. While the Company continues to vigorously defend these lawsuits, a new environmental regulatory standard became effective in the State of California, where a majority of the suits are pending. Effective January 2018, the new standard requires public water systems state-wide to perform quarterly or monthly sampling of their drinking water sources for a chemical contained in certain pesticides. Water systems deemed out of compliance with the five parts per trillion regulatory standard must take corrective action to resolve the exceedance or take the potable water source out of service. In response to this new regulatory standard, the Company is monitoring the sampling results to determine the number of wells potentially impacted. Based on the claims asserted and SOC’s track record, with regard to amounts paid to resolve varying claims, management does not expect the outcome of these lawsuits pending at December 31, 2020, to have a material adverse impact on Shell. However, there remains a high degree of uncertainty regarding the potential outcome of some of these pending lawsuits, as well as their potential effect on future operations, earnings, cash flows and Shell’s financial condition.</w:t>
      </w:r>
    </w:p>
    <w:p>
      <w:pPr>
        <w:spacing w:after="0" w:line="236"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Climate change litigation</w:t>
      </w:r>
    </w:p>
    <w:p>
      <w:pPr>
        <w:spacing w:after="0" w:line="3" w:lineRule="exact"/>
        <w:rPr>
          <w:sz w:val="20"/>
          <w:szCs w:val="20"/>
          <w:color w:val="auto"/>
        </w:rPr>
      </w:pPr>
    </w:p>
    <w:p>
      <w:pPr>
        <w:jc w:val="both"/>
        <w:ind w:left="8"/>
        <w:spacing w:after="0" w:line="231" w:lineRule="auto"/>
        <w:rPr>
          <w:sz w:val="20"/>
          <w:szCs w:val="20"/>
          <w:color w:val="auto"/>
        </w:rPr>
      </w:pPr>
      <w:r>
        <w:rPr>
          <w:rFonts w:ascii="Arial" w:cs="Arial" w:eastAsia="Arial" w:hAnsi="Arial"/>
          <w:sz w:val="10"/>
          <w:szCs w:val="10"/>
          <w:color w:val="auto"/>
        </w:rPr>
        <w:t>In the USA, 18 lawsuits have been filed by several municipalities and/or states against oil and gas companies, including Royal Dutch Shell plc. The plaintiffs seek damages for a variety of claims including harm to their public and private infrastructure from rising sea levels and other alleged impacts of climate change caused by the defendants’ fossil fuel products. A similar suit has been filed by a crab-fishing industry group claiming harm to their fisheries as a result of alleged ocean-related impacts of climate change. In the Netherlands a case has been filed against Shell by a group of environmental non-governmental organisations (eNGOs) and individual claimants seeking a court order that emission levels from Shell’s activities and sold energy products are unlawful and that by 2030 it should reduce those emissions by least (net) 45%, alternatively 35% or 25% (as compared with 2019 levels). Management believes the outcome of these matters should be resolved in a manner favourable to Shell, but there remains a high degree of uncertainty regarding the ultimate outcome of these lawsuits, as well as their potential effect on future operations, earnings, cash flows and Shell’s financial condition.</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Brazil tax</w:t>
      </w:r>
    </w:p>
    <w:p>
      <w:pPr>
        <w:spacing w:after="0" w:line="3" w:lineRule="exact"/>
        <w:rPr>
          <w:sz w:val="20"/>
          <w:szCs w:val="20"/>
          <w:color w:val="auto"/>
        </w:rPr>
      </w:pPr>
    </w:p>
    <w:p>
      <w:pPr>
        <w:ind w:left="8" w:right="80"/>
        <w:spacing w:after="0" w:line="227" w:lineRule="auto"/>
        <w:rPr>
          <w:sz w:val="20"/>
          <w:szCs w:val="20"/>
          <w:color w:val="auto"/>
        </w:rPr>
      </w:pPr>
      <w:r>
        <w:rPr>
          <w:rFonts w:ascii="Arial" w:cs="Arial" w:eastAsia="Arial" w:hAnsi="Arial"/>
          <w:sz w:val="10"/>
          <w:szCs w:val="10"/>
          <w:color w:val="auto"/>
        </w:rPr>
        <w:t>Pursuant to Law 7.183/2015 issued by the State of Rio de Janeiro (RJ State) and effective March 2016, a value-added levy has been imposed on oil extraction in the RJ State. The Company understands that the obligations arising from this law are not legally sustainable and Shell obtained favourable injunctions suspending the enforcement of the law in two separate lawsuits, one filed to cover year 2016 and the other covering year 2017 onwards. The injunctions remain in effect and Shell received favourable decisions on the subject matter from the RJ State Court. The RJ State has appealed against both decisions and one is pending confirmation by the State Court while the other is pending final decisions by the Brazilian Superior and Supreme Courts. In addition, and as this is an industry-wide issue, the Brazilian Association of Oil and Gas Exploration and Production Companies, of which Shell is a member, filed a suit in February 2016 before the Brazilian Supreme Court, challenging the constitutionality of the law. This matter is currently pending with the Supreme Court. Should Shell be required to pay such a levy, it could result in a potential total liability of approximately $5,473 million as of end 2020.</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Louisiana coast litigation</w:t>
      </w:r>
    </w:p>
    <w:p>
      <w:pPr>
        <w:spacing w:after="0" w:line="3" w:lineRule="exact"/>
        <w:rPr>
          <w:sz w:val="20"/>
          <w:szCs w:val="20"/>
          <w:color w:val="auto"/>
        </w:rPr>
      </w:pPr>
    </w:p>
    <w:p>
      <w:pPr>
        <w:jc w:val="both"/>
        <w:ind w:left="8" w:right="60"/>
        <w:spacing w:after="0" w:line="228" w:lineRule="auto"/>
        <w:rPr>
          <w:sz w:val="20"/>
          <w:szCs w:val="20"/>
          <w:color w:val="auto"/>
        </w:rPr>
      </w:pPr>
      <w:r>
        <w:rPr>
          <w:rFonts w:ascii="Arial" w:cs="Arial" w:eastAsia="Arial" w:hAnsi="Arial"/>
          <w:sz w:val="10"/>
          <w:szCs w:val="10"/>
          <w:color w:val="auto"/>
        </w:rPr>
        <w:t>The State of Louisiana and multiple local governments have initiated 43 lawsuits against 200 oil and gas companies, claiming either current or historical oil and gas operations caused or contributed to contamination, land loss and the erosion of the Louisiana coastline. Shell entities are named in 14 of the suits. Although the State and local parishes fail to claim specified amounts, these claims represent potentially material matters. The cases are of first impression, arise out of an untested 1980 Louisiana statute and represent a novel attempt to render illegal operations that federal and state agencies permitted and authorised at the time. Management believes the outcome of these matters should ultimately be resolved in a manner favourable to Shell; there remains a high degree of uncertainty, however, concerning the scope of the claims and the ultimate outcomes, as well as their potential effects on future operations, earnings, cash flows, reputation and Shell’s financial condition.</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NAM (Groningen gas field) litigation</w:t>
      </w:r>
    </w:p>
    <w:p>
      <w:pPr>
        <w:spacing w:after="0" w:line="3" w:lineRule="exact"/>
        <w:rPr>
          <w:sz w:val="20"/>
          <w:szCs w:val="20"/>
          <w:color w:val="auto"/>
        </w:rPr>
      </w:pPr>
    </w:p>
    <w:p>
      <w:pPr>
        <w:ind w:left="8" w:right="20"/>
        <w:spacing w:after="0" w:line="225" w:lineRule="auto"/>
        <w:rPr>
          <w:sz w:val="20"/>
          <w:szCs w:val="20"/>
          <w:color w:val="auto"/>
        </w:rPr>
      </w:pPr>
      <w:r>
        <w:rPr>
          <w:rFonts w:ascii="Arial" w:cs="Arial" w:eastAsia="Arial" w:hAnsi="Arial"/>
          <w:sz w:val="10"/>
          <w:szCs w:val="10"/>
          <w:color w:val="auto"/>
        </w:rPr>
        <w:t>Since 1963 NAM – a joint venture between Shell and ExxonMobil (50%—50%) – has been producing gas from the Groningen field, the largest gas field in Western Europe. After smaller tremors in the 1990s and the late 2000s, an earthquake measuring 3.6 on the Richter scale occurred in 2012, causing damage to properties in the affected area, and the area continues to experience tremor/earthquake-type events. NAM has received more than 100,000 claims for physical damage to property – the majority of which have been successfully settled. The Dutch State has taken over the damage-claim-handling from NAM for all claim categories (physical damage to property, housing value loss, emotional damages and loss of living enjoyment) while NAM remains financially responsible. NAM still faces claims in civil litigation from claimants who elect not to use the government arrangement or from claims pre-dating the governmental arrangements. These claims include, but are not limited to:</w:t>
      </w:r>
    </w:p>
    <w:p>
      <w:pPr>
        <w:ind w:left="428" w:hanging="428"/>
        <w:spacing w:after="0" w:line="227" w:lineRule="auto"/>
        <w:tabs>
          <w:tab w:leader="none" w:pos="428" w:val="left"/>
        </w:tabs>
        <w:numPr>
          <w:ilvl w:val="0"/>
          <w:numId w:val="182"/>
        </w:numPr>
        <w:rPr>
          <w:rFonts w:ascii="Arial" w:cs="Arial" w:eastAsia="Arial" w:hAnsi="Arial"/>
          <w:sz w:val="10"/>
          <w:szCs w:val="10"/>
          <w:color w:val="auto"/>
        </w:rPr>
      </w:pPr>
      <w:r>
        <w:rPr>
          <w:rFonts w:ascii="Arial" w:cs="Arial" w:eastAsia="Arial" w:hAnsi="Arial"/>
          <w:sz w:val="10"/>
          <w:szCs w:val="10"/>
          <w:color w:val="auto"/>
        </w:rPr>
        <w:t>housing claims where NAM was found liable for value loss;</w:t>
      </w:r>
    </w:p>
    <w:p>
      <w:pPr>
        <w:ind w:left="428" w:hanging="428"/>
        <w:spacing w:after="0" w:line="225" w:lineRule="auto"/>
        <w:tabs>
          <w:tab w:leader="none" w:pos="428" w:val="left"/>
        </w:tabs>
        <w:numPr>
          <w:ilvl w:val="0"/>
          <w:numId w:val="182"/>
        </w:numPr>
        <w:rPr>
          <w:rFonts w:ascii="Arial" w:cs="Arial" w:eastAsia="Arial" w:hAnsi="Arial"/>
          <w:sz w:val="10"/>
          <w:szCs w:val="10"/>
          <w:color w:val="auto"/>
        </w:rPr>
      </w:pPr>
      <w:r>
        <w:rPr>
          <w:rFonts w:ascii="Arial" w:cs="Arial" w:eastAsia="Arial" w:hAnsi="Arial"/>
          <w:sz w:val="10"/>
          <w:szCs w:val="10"/>
          <w:color w:val="auto"/>
        </w:rPr>
        <w:t>emotional damages and loss of living enjoyment, ~5,000 claimants; and</w:t>
      </w:r>
    </w:p>
    <w:p>
      <w:pPr>
        <w:ind w:left="428" w:hanging="428"/>
        <w:spacing w:after="0" w:line="236" w:lineRule="auto"/>
        <w:tabs>
          <w:tab w:leader="none" w:pos="428" w:val="left"/>
        </w:tabs>
        <w:numPr>
          <w:ilvl w:val="0"/>
          <w:numId w:val="182"/>
        </w:numPr>
        <w:rPr>
          <w:rFonts w:ascii="Arial" w:cs="Arial" w:eastAsia="Arial" w:hAnsi="Arial"/>
          <w:sz w:val="10"/>
          <w:szCs w:val="10"/>
          <w:color w:val="auto"/>
        </w:rPr>
      </w:pPr>
      <w:r>
        <w:rPr>
          <w:rFonts w:ascii="Arial" w:cs="Arial" w:eastAsia="Arial" w:hAnsi="Arial"/>
          <w:sz w:val="10"/>
          <w:szCs w:val="10"/>
          <w:color w:val="auto"/>
        </w:rPr>
        <w:t>other civil litigation matters.</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There remains a high degree of uncertainty concerning the ultimate outcomes and their potential effects on future operations, earnings, cash flows, reputation and Shell’s financial condition.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208</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38" w:right="299" w:bottom="1440" w:gutter="0" w:footer="0" w:header="0"/>
        </w:sectPr>
      </w:pPr>
    </w:p>
    <w:bookmarkStart w:id="211" w:name="page212"/>
    <w:bookmarkEnd w:id="211"/>
    <w:p>
      <w:pPr>
        <w:spacing w:after="0"/>
        <w:rPr>
          <w:sz w:val="20"/>
          <w:szCs w:val="20"/>
          <w:color w:val="auto"/>
        </w:rPr>
      </w:pPr>
      <w:r>
        <w:rPr>
          <w:rFonts w:ascii="Arial" w:cs="Arial" w:eastAsia="Arial" w:hAnsi="Arial"/>
          <w:sz w:val="10"/>
          <w:szCs w:val="10"/>
          <w:b w:val="1"/>
          <w:bCs w:val="1"/>
          <w:color w:val="auto"/>
        </w:rPr>
        <w:t>Nigerian litigation</w:t>
      </w:r>
    </w:p>
    <w:p>
      <w:pPr>
        <w:spacing w:after="0" w:line="3" w:lineRule="exact"/>
        <w:rPr>
          <w:sz w:val="20"/>
          <w:szCs w:val="20"/>
          <w:color w:val="auto"/>
        </w:rPr>
      </w:pPr>
    </w:p>
    <w:p>
      <w:pPr>
        <w:ind w:right="140"/>
        <w:spacing w:after="0" w:line="229" w:lineRule="auto"/>
        <w:rPr>
          <w:sz w:val="20"/>
          <w:szCs w:val="20"/>
          <w:color w:val="auto"/>
        </w:rPr>
      </w:pPr>
      <w:r>
        <w:rPr>
          <w:rFonts w:ascii="Arial" w:cs="Arial" w:eastAsia="Arial" w:hAnsi="Arial"/>
          <w:sz w:val="10"/>
          <w:szCs w:val="10"/>
          <w:color w:val="auto"/>
        </w:rPr>
        <w:t>Shell subsidiaries and associates operating in Nigeria are parties to various environmental and contractual disputes brought in the courts of Nigeria, England and the Netherlands. These disputes are at different stages in litigation, including at the appellate stage, where judgements have been rendered against Shell entities. If taken at face value, the aggregate amount of these judgements could be seen as material. Management, however, believes that the outcomes of these matters will ultimately be resolved in a manner favourable to Shell. However, there remains a high degree of uncertainty regarding these cases, as well as their potential effect on future operations, earnings, cash flows and Shell’s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OPL 245</w:t>
      </w:r>
    </w:p>
    <w:p>
      <w:pPr>
        <w:spacing w:after="0" w:line="3" w:lineRule="exact"/>
        <w:rPr>
          <w:sz w:val="20"/>
          <w:szCs w:val="20"/>
          <w:color w:val="auto"/>
        </w:rPr>
      </w:pPr>
    </w:p>
    <w:p>
      <w:pPr>
        <w:spacing w:after="0"/>
        <w:rPr>
          <w:sz w:val="20"/>
          <w:szCs w:val="20"/>
          <w:color w:val="auto"/>
        </w:rPr>
      </w:pPr>
      <w:r>
        <w:rPr>
          <w:rFonts w:ascii="Arial" w:cs="Arial" w:eastAsia="Arial" w:hAnsi="Arial"/>
          <w:sz w:val="8"/>
          <w:szCs w:val="8"/>
          <w:color w:val="auto"/>
        </w:rPr>
        <w:t>Authorities are investigating Shell Nigeria Exploration and Production Company Ltd.’s (SNEPCO’s) investment in Nigerian oil block OPL 245 and the 2011 settlement of litigation pertaining to that block with regard to potential anti-bribery and anti-corruption laws.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8"/>
          <w:szCs w:val="8"/>
          <w:color w:val="auto"/>
        </w:rPr>
        <w:t xml:space="preserve">On January 27, 2017, the Nigeria Federal High Court issued an Interim Order of Attachment for Oil Prospecting Licence 245 (OPL 245), pending the conclusion of the investigation. SNEPCO applied for and was granted a discharge of this order on constitutional and procedural grounds. Also in Nigeria, in March 2017 criminal charges alleging official corruption and conspiracy to commit official corruption were filed against SNEPCO, one current Shell employee and third parties including ENI SpA and one of its subsidiaries. Those proceedings are ongoing. In January 2020, criminal charges alleging disobeying direction of law were filed in Nigeria against Shell Nigeria Ultra Deep Ltd., SNEPCO, and third parties including Nigeria Agip Exploration Limited (NAE). Those proceedings are ongoing. In March 2017, parties alleging to be shareholders of Malabu Oil and Gas Company Ltd. (Malabu) filed two actions to challenge the 2011 settlement and the award of OPL 245 to SNEPCO and an ENI SpA subsidiary by the Federal Government of Nigeria. Those proceedings are also ongoing. On May 8, 2018, Human Environmental Development Agenda (HEDA) sought permission from the Federal High Court of Nigeria to apply for an order to direct the Attorney General of the Federation to revoke OPL 245 on grounds that the entire Malabu transaction in relation to the OPL is unconstitutional, illegal and void as it was obtained through fraudulent and corrupt practice. On October 4, 2018, SNEPCO was joined as a defendant in the HEDA action. Those proceedings are ongoing. </w:t>
      </w:r>
      <w:r>
        <w:rPr>
          <w:rFonts w:ascii="Arial" w:cs="Arial" w:eastAsia="Arial" w:hAnsi="Arial"/>
          <w:sz w:val="8"/>
          <w:szCs w:val="8"/>
          <w:color w:val="333333"/>
        </w:rPr>
        <w:t>On July 3, 2019, the Nigerian Federal High Court upheld objections from SNEPCO and NAE and struck the lawsuit filed by HEDA. The suit was</w:t>
      </w:r>
      <w:r>
        <w:rPr>
          <w:rFonts w:ascii="Arial" w:cs="Arial" w:eastAsia="Arial" w:hAnsi="Arial"/>
          <w:sz w:val="8"/>
          <w:szCs w:val="8"/>
          <w:color w:val="auto"/>
        </w:rPr>
        <w:t xml:space="preserve"> </w:t>
      </w:r>
      <w:r>
        <w:rPr>
          <w:rFonts w:ascii="Arial" w:cs="Arial" w:eastAsia="Arial" w:hAnsi="Arial"/>
          <w:sz w:val="8"/>
          <w:szCs w:val="8"/>
          <w:color w:val="333333"/>
        </w:rPr>
        <w:t>struck because of the statute of limitations and the determination by the court that it lacked jurisdiction to hear the matter. HEDA has appealed the judgement.</w:t>
      </w:r>
    </w:p>
    <w:p>
      <w:pPr>
        <w:spacing w:after="0" w:line="237" w:lineRule="exact"/>
        <w:rPr>
          <w:sz w:val="20"/>
          <w:szCs w:val="20"/>
          <w:color w:val="auto"/>
        </w:rPr>
      </w:pPr>
    </w:p>
    <w:p>
      <w:pPr>
        <w:jc w:val="both"/>
        <w:spacing w:after="0" w:line="320" w:lineRule="auto"/>
        <w:rPr>
          <w:sz w:val="20"/>
          <w:szCs w:val="20"/>
          <w:color w:val="auto"/>
        </w:rPr>
      </w:pPr>
      <w:r>
        <w:rPr>
          <w:rFonts w:ascii="Arial" w:cs="Arial" w:eastAsia="Arial" w:hAnsi="Arial"/>
          <w:sz w:val="8"/>
          <w:szCs w:val="8"/>
          <w:color w:val="auto"/>
        </w:rPr>
        <w:t>On December 12, 2018, the Federal Republic of Nigeria (FRN) issued a claim form in the UK against Shell and six of its subsidiaries, ENI SpA and two of its subsidiaries, Malabu as well as two other entities for the amount of $1,092 million plus damages for having participated in a fraudulent and corrupt scheme leading to the acquisition by Shell and ENI corporate defendants in 2011 of OPL 245. The Shell entities were served with proceedings in April and May 2019, following which they, and other defendants, challenged the jurisdiction of the English courts. Following a hearing in April 2020, the English High Court rendered judgement in May 2020, dismissing the claims in England and refusing the FRN’s request for permission to appeal. In September 2020, the UK Court of Appeal also refused the FRN’s permission to appeal, meaning the case is now concluded.</w:t>
      </w:r>
    </w:p>
    <w:p>
      <w:pPr>
        <w:spacing w:after="0" w:line="118" w:lineRule="exact"/>
        <w:rPr>
          <w:sz w:val="20"/>
          <w:szCs w:val="20"/>
          <w:color w:val="auto"/>
        </w:rPr>
      </w:pPr>
    </w:p>
    <w:p>
      <w:pPr>
        <w:jc w:val="both"/>
        <w:spacing w:after="0" w:line="231" w:lineRule="auto"/>
        <w:rPr>
          <w:sz w:val="20"/>
          <w:szCs w:val="20"/>
          <w:color w:val="auto"/>
        </w:rPr>
      </w:pPr>
      <w:r>
        <w:rPr>
          <w:rFonts w:ascii="Arial" w:cs="Arial" w:eastAsia="Arial" w:hAnsi="Arial"/>
          <w:sz w:val="10"/>
          <w:szCs w:val="10"/>
          <w:color w:val="auto"/>
        </w:rPr>
        <w:t>On February 14, 2017, Royal Dutch Shell plc received a notice of request for indictment from the Milan public prosecutor with respect to this matter. On December 20, 2017, Royal Dutch Shell plc and four former Shell employees including one former executive were remanded to trial in Milan. On May 14, 2018, a trial commenced in the Court of Milan. The FRN was admitted as a civil claimant by a court decision on July 20, 2018. On September 18, 2018, Shell was joined to the proceedings as the civilly responsible party for the damages caused by the alleged illegal acts of the four former Shell employees. Three other Shell entities (Shell UK Ltd, Shell Petroleum Development Company of Nigeria Ltd. and Shell Exploration and Production Africa Ltd.) also joined the proceedings as responsabile civile for their respective former employees at that phase of the proceedings. The trial is ongoing with closing arguments completed in January and rebuttals scheduled for February. Based on Shell’s review of the Milan public prosecutor’s file and the information and facts currently available to Shell, management does not believe there is a basis to convict Shell or the four former Shell employees.</w:t>
      </w:r>
    </w:p>
    <w:p>
      <w:pPr>
        <w:spacing w:after="0" w:line="149" w:lineRule="exact"/>
        <w:rPr>
          <w:sz w:val="20"/>
          <w:szCs w:val="20"/>
          <w:color w:val="auto"/>
        </w:rPr>
      </w:pPr>
    </w:p>
    <w:p>
      <w:pPr>
        <w:ind w:right="100"/>
        <w:spacing w:after="0" w:line="239" w:lineRule="auto"/>
        <w:rPr>
          <w:sz w:val="20"/>
          <w:szCs w:val="20"/>
          <w:color w:val="auto"/>
        </w:rPr>
      </w:pPr>
      <w:r>
        <w:rPr>
          <w:rFonts w:ascii="Arial" w:cs="Arial" w:eastAsia="Arial" w:hAnsi="Arial"/>
          <w:sz w:val="10"/>
          <w:szCs w:val="10"/>
          <w:color w:val="auto"/>
        </w:rPr>
        <w:t>On September 20, 2018, a guilty judgement was filed by the Milan Judge of the Preliminary Hearing in a separate OPL 245 fast-track trial of two individuals, neither of whom worked for or on behalf of Shell. That decision is under appeal. Separate OPL 245 pre-trial criminal proceedings are pending against another individual who also did not work for or on behalf of Shell.</w:t>
      </w:r>
    </w:p>
    <w:p>
      <w:pPr>
        <w:spacing w:after="0" w:line="149" w:lineRule="exact"/>
        <w:rPr>
          <w:sz w:val="20"/>
          <w:szCs w:val="20"/>
          <w:color w:val="auto"/>
        </w:rPr>
      </w:pPr>
    </w:p>
    <w:p>
      <w:pPr>
        <w:spacing w:after="0" w:line="231" w:lineRule="auto"/>
        <w:rPr>
          <w:sz w:val="20"/>
          <w:szCs w:val="20"/>
          <w:color w:val="auto"/>
        </w:rPr>
      </w:pPr>
      <w:r>
        <w:rPr>
          <w:rFonts w:ascii="Arial" w:cs="Arial" w:eastAsia="Arial" w:hAnsi="Arial"/>
          <w:sz w:val="10"/>
          <w:szCs w:val="10"/>
          <w:color w:val="auto"/>
        </w:rPr>
        <w:t>In February 2019, we were informed by the Dutch Public Prosecutor’s Office (DPP) that they were nearing the conclusion of their investigation and preparing to prosecute Royal Dutch Shell plc for criminal charges directly or indirectly related to the 2011 settlement of disputes over OPL 245 in Nigeria. On October 2, 2019, the US Department of Justice (DOJ) informed Shell that it was closing its inquiry into Shell in relation to OPL 245. We understand that the decision was based on the facts available to the DOJ, including ongoing legal proceedings in Europe. On April 22, 2020, the United States Securities and Exchange Commission notified us that it had also closed its inquiry into Shell in relation to OPL 245. There remains a high degree of uncertainty around the OPL 245 matters and contingencies discussed above, as well as their potential effect on future operations, earnings, cash flows and Shell’s financial condition. Accordingly, at this time, it is not practicable to estimate the magnitude and timing of any possible obligations or payments. Any violation of anti-bribery, anti-corruption or anti-money laundering legislation could have a material adverse effect on Royal Dutch Shell plc’s earnings, cash flows and financial condition.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1"/>
          <w:szCs w:val="11"/>
          <w:color w:val="auto"/>
        </w:rPr>
        <w:t>26 – EMPLOYEES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32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Employee costs</w:t>
            </w:r>
          </w:p>
        </w:tc>
        <w:tc>
          <w:tcPr>
            <w:tcW w:w="2980" w:type="dxa"/>
            <w:vAlign w:val="bottom"/>
            <w:tcBorders>
              <w:top w:val="single" w:sz="8" w:color="D9D9D9"/>
            </w:tcBorders>
          </w:tcPr>
          <w:p>
            <w:pPr>
              <w:spacing w:after="0"/>
              <w:rPr>
                <w:sz w:val="13"/>
                <w:szCs w:val="13"/>
                <w:color w:val="auto"/>
              </w:rPr>
            </w:pPr>
          </w:p>
        </w:tc>
        <w:tc>
          <w:tcPr>
            <w:tcW w:w="1340" w:type="dxa"/>
            <w:vAlign w:val="bottom"/>
            <w:tcBorders>
              <w:top w:val="single" w:sz="8" w:color="D9D9D9"/>
            </w:tcBorders>
          </w:tcPr>
          <w:p>
            <w:pPr>
              <w:spacing w:after="0"/>
              <w:rPr>
                <w:sz w:val="13"/>
                <w:szCs w:val="13"/>
                <w:color w:val="auto"/>
              </w:rPr>
            </w:pPr>
          </w:p>
        </w:tc>
        <w:tc>
          <w:tcPr>
            <w:tcW w:w="1800" w:type="dxa"/>
            <w:vAlign w:val="bottom"/>
            <w:tcBorders>
              <w:top w:val="single" w:sz="8" w:color="D9D9D9"/>
            </w:tcBorders>
          </w:tcPr>
          <w:p>
            <w:pPr>
              <w:spacing w:after="0"/>
              <w:rPr>
                <w:sz w:val="13"/>
                <w:szCs w:val="13"/>
                <w:color w:val="auto"/>
              </w:rPr>
            </w:pPr>
          </w:p>
        </w:tc>
        <w:tc>
          <w:tcPr>
            <w:tcW w:w="84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c>
          <w:tcPr>
            <w:tcW w:w="20" w:type="dxa"/>
            <w:vAlign w:val="bottom"/>
          </w:tcPr>
          <w:p>
            <w:pPr>
              <w:spacing w:after="0"/>
              <w:rPr>
                <w:sz w:val="13"/>
                <w:szCs w:val="13"/>
                <w:color w:val="auto"/>
              </w:rPr>
            </w:pPr>
          </w:p>
        </w:tc>
      </w:tr>
      <w:tr>
        <w:trPr>
          <w:trHeight w:val="127"/>
        </w:trPr>
        <w:tc>
          <w:tcPr>
            <w:tcW w:w="4320" w:type="dxa"/>
            <w:vAlign w:val="bottom"/>
            <w:tcBorders>
              <w:bottom w:val="single" w:sz="8" w:color="auto"/>
            </w:tcBorders>
          </w:tcPr>
          <w:p>
            <w:pPr>
              <w:spacing w:after="0"/>
              <w:rPr>
                <w:sz w:val="11"/>
                <w:szCs w:val="11"/>
                <w:color w:val="auto"/>
              </w:rPr>
            </w:pPr>
          </w:p>
        </w:tc>
        <w:tc>
          <w:tcPr>
            <w:tcW w:w="4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2020</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20" w:type="dxa"/>
            <w:vAlign w:val="bottom"/>
          </w:tcPr>
          <w:p>
            <w:pPr>
              <w:spacing w:after="0"/>
              <w:rPr>
                <w:sz w:val="11"/>
                <w:szCs w:val="11"/>
                <w:color w:val="auto"/>
              </w:rPr>
            </w:pPr>
          </w:p>
        </w:tc>
      </w:tr>
      <w:tr>
        <w:trPr>
          <w:trHeight w:val="114"/>
        </w:trPr>
        <w:tc>
          <w:tcPr>
            <w:tcW w:w="4320" w:type="dxa"/>
            <w:vAlign w:val="bottom"/>
          </w:tcPr>
          <w:p>
            <w:pPr>
              <w:spacing w:after="0"/>
              <w:rPr>
                <w:sz w:val="20"/>
                <w:szCs w:val="20"/>
                <w:color w:val="auto"/>
              </w:rPr>
            </w:pPr>
            <w:r>
              <w:rPr>
                <w:rFonts w:ascii="Arial" w:cs="Arial" w:eastAsia="Arial" w:hAnsi="Arial"/>
                <w:sz w:val="10"/>
                <w:szCs w:val="10"/>
                <w:color w:val="auto"/>
              </w:rPr>
              <w:t>Remuneration</w:t>
            </w:r>
          </w:p>
        </w:tc>
        <w:tc>
          <w:tcPr>
            <w:tcW w:w="2980" w:type="dxa"/>
            <w:vAlign w:val="bottom"/>
          </w:tcPr>
          <w:p>
            <w:pPr>
              <w:spacing w:after="0"/>
              <w:rPr>
                <w:sz w:val="9"/>
                <w:szCs w:val="9"/>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9,128</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10,075</w:t>
            </w:r>
          </w:p>
        </w:tc>
        <w:tc>
          <w:tcPr>
            <w:tcW w:w="840" w:type="dxa"/>
            <w:vAlign w:val="bottom"/>
          </w:tcPr>
          <w:p>
            <w:pPr>
              <w:jc w:val="right"/>
              <w:spacing w:after="0"/>
              <w:rPr>
                <w:sz w:val="20"/>
                <w:szCs w:val="20"/>
                <w:color w:val="auto"/>
              </w:rPr>
            </w:pPr>
            <w:r>
              <w:rPr>
                <w:rFonts w:ascii="Arial" w:cs="Arial" w:eastAsia="Arial" w:hAnsi="Arial"/>
                <w:sz w:val="10"/>
                <w:szCs w:val="10"/>
                <w:color w:val="auto"/>
              </w:rPr>
              <w:t>10,167</w:t>
            </w:r>
          </w:p>
        </w:tc>
        <w:tc>
          <w:tcPr>
            <w:tcW w:w="20" w:type="dxa"/>
            <w:vAlign w:val="bottom"/>
          </w:tcPr>
          <w:p>
            <w:pPr>
              <w:spacing w:after="0"/>
              <w:rPr>
                <w:sz w:val="9"/>
                <w:szCs w:val="9"/>
                <w:color w:val="auto"/>
              </w:rPr>
            </w:pPr>
          </w:p>
        </w:tc>
      </w:tr>
      <w:tr>
        <w:trPr>
          <w:trHeight w:val="123"/>
        </w:trPr>
        <w:tc>
          <w:tcPr>
            <w:tcW w:w="4320" w:type="dxa"/>
            <w:vAlign w:val="bottom"/>
          </w:tcPr>
          <w:p>
            <w:pPr>
              <w:spacing w:after="0"/>
              <w:rPr>
                <w:sz w:val="20"/>
                <w:szCs w:val="20"/>
                <w:color w:val="auto"/>
              </w:rPr>
            </w:pPr>
            <w:r>
              <w:rPr>
                <w:rFonts w:ascii="Arial" w:cs="Arial" w:eastAsia="Arial" w:hAnsi="Arial"/>
                <w:sz w:val="10"/>
                <w:szCs w:val="10"/>
                <w:color w:val="auto"/>
              </w:rPr>
              <w:t>Social security contributions</w:t>
            </w:r>
          </w:p>
        </w:tc>
        <w:tc>
          <w:tcPr>
            <w:tcW w:w="2980" w:type="dxa"/>
            <w:vAlign w:val="bottom"/>
          </w:tcPr>
          <w:p>
            <w:pPr>
              <w:spacing w:after="0"/>
              <w:rPr>
                <w:sz w:val="10"/>
                <w:szCs w:val="10"/>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793</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844</w:t>
            </w:r>
          </w:p>
        </w:tc>
        <w:tc>
          <w:tcPr>
            <w:tcW w:w="840" w:type="dxa"/>
            <w:vAlign w:val="bottom"/>
          </w:tcPr>
          <w:p>
            <w:pPr>
              <w:jc w:val="right"/>
              <w:spacing w:after="0"/>
              <w:rPr>
                <w:sz w:val="20"/>
                <w:szCs w:val="20"/>
                <w:color w:val="auto"/>
              </w:rPr>
            </w:pPr>
            <w:r>
              <w:rPr>
                <w:rFonts w:ascii="Arial" w:cs="Arial" w:eastAsia="Arial" w:hAnsi="Arial"/>
                <w:sz w:val="10"/>
                <w:szCs w:val="10"/>
                <w:color w:val="auto"/>
              </w:rPr>
              <w:t>810</w:t>
            </w:r>
          </w:p>
        </w:tc>
        <w:tc>
          <w:tcPr>
            <w:tcW w:w="20" w:type="dxa"/>
            <w:vAlign w:val="bottom"/>
          </w:tcPr>
          <w:p>
            <w:pPr>
              <w:spacing w:after="0"/>
              <w:rPr>
                <w:sz w:val="10"/>
                <w:szCs w:val="10"/>
                <w:color w:val="auto"/>
              </w:rPr>
            </w:pPr>
          </w:p>
        </w:tc>
      </w:tr>
      <w:tr>
        <w:trPr>
          <w:trHeight w:val="126"/>
        </w:trPr>
        <w:tc>
          <w:tcPr>
            <w:tcW w:w="4320" w:type="dxa"/>
            <w:vAlign w:val="bottom"/>
          </w:tcPr>
          <w:p>
            <w:pPr>
              <w:spacing w:after="0"/>
              <w:rPr>
                <w:sz w:val="20"/>
                <w:szCs w:val="20"/>
                <w:color w:val="auto"/>
              </w:rPr>
            </w:pPr>
            <w:r>
              <w:rPr>
                <w:rFonts w:ascii="Arial" w:cs="Arial" w:eastAsia="Arial" w:hAnsi="Arial"/>
                <w:sz w:val="10"/>
                <w:szCs w:val="10"/>
                <w:color w:val="auto"/>
              </w:rPr>
              <w:t>Retirement benefits (see Note 17)</w:t>
            </w:r>
          </w:p>
        </w:tc>
        <w:tc>
          <w:tcPr>
            <w:tcW w:w="2980" w:type="dxa"/>
            <w:vAlign w:val="bottom"/>
          </w:tcPr>
          <w:p>
            <w:pPr>
              <w:spacing w:after="0"/>
              <w:rPr>
                <w:sz w:val="10"/>
                <w:szCs w:val="10"/>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1,851</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1,753</w:t>
            </w:r>
          </w:p>
        </w:tc>
        <w:tc>
          <w:tcPr>
            <w:tcW w:w="840" w:type="dxa"/>
            <w:vAlign w:val="bottom"/>
          </w:tcPr>
          <w:p>
            <w:pPr>
              <w:jc w:val="right"/>
              <w:spacing w:after="0"/>
              <w:rPr>
                <w:sz w:val="20"/>
                <w:szCs w:val="20"/>
                <w:color w:val="auto"/>
              </w:rPr>
            </w:pPr>
            <w:r>
              <w:rPr>
                <w:rFonts w:ascii="Arial" w:cs="Arial" w:eastAsia="Arial" w:hAnsi="Arial"/>
                <w:sz w:val="10"/>
                <w:szCs w:val="10"/>
                <w:color w:val="auto"/>
              </w:rPr>
              <w:t>1,878</w:t>
            </w:r>
          </w:p>
        </w:tc>
        <w:tc>
          <w:tcPr>
            <w:tcW w:w="20" w:type="dxa"/>
            <w:vAlign w:val="bottom"/>
          </w:tcPr>
          <w:p>
            <w:pPr>
              <w:spacing w:after="0"/>
              <w:rPr>
                <w:sz w:val="10"/>
                <w:szCs w:val="10"/>
                <w:color w:val="auto"/>
              </w:rPr>
            </w:pPr>
          </w:p>
        </w:tc>
      </w:tr>
      <w:tr>
        <w:trPr>
          <w:trHeight w:val="130"/>
        </w:trPr>
        <w:tc>
          <w:tcPr>
            <w:tcW w:w="4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Share-based compensation (see Note 21)</w:t>
            </w:r>
          </w:p>
        </w:tc>
        <w:tc>
          <w:tcPr>
            <w:tcW w:w="29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359</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537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531</w:t>
            </w:r>
          </w:p>
        </w:tc>
        <w:tc>
          <w:tcPr>
            <w:tcW w:w="20" w:type="dxa"/>
            <w:vAlign w:val="bottom"/>
          </w:tcPr>
          <w:p>
            <w:pPr>
              <w:spacing w:after="0"/>
              <w:rPr>
                <w:sz w:val="11"/>
                <w:szCs w:val="11"/>
                <w:color w:val="auto"/>
              </w:rPr>
            </w:pPr>
          </w:p>
        </w:tc>
      </w:tr>
      <w:tr>
        <w:trPr>
          <w:trHeight w:val="117"/>
        </w:trPr>
        <w:tc>
          <w:tcPr>
            <w:tcW w:w="4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[A]</w:t>
            </w:r>
          </w:p>
        </w:tc>
        <w:tc>
          <w:tcPr>
            <w:tcW w:w="29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12,131</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13,209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13,386</w:t>
            </w:r>
          </w:p>
        </w:tc>
        <w:tc>
          <w:tcPr>
            <w:tcW w:w="20" w:type="dxa"/>
            <w:vAlign w:val="bottom"/>
          </w:tcPr>
          <w:p>
            <w:pPr>
              <w:spacing w:after="0"/>
              <w:rPr>
                <w:sz w:val="10"/>
                <w:szCs w:val="10"/>
                <w:color w:val="auto"/>
              </w:rPr>
            </w:pPr>
          </w:p>
        </w:tc>
      </w:tr>
      <w:tr>
        <w:trPr>
          <w:trHeight w:val="128"/>
        </w:trPr>
        <w:tc>
          <w:tcPr>
            <w:tcW w:w="4320" w:type="dxa"/>
            <w:vAlign w:val="bottom"/>
          </w:tcPr>
          <w:p>
            <w:pPr>
              <w:spacing w:after="0"/>
              <w:rPr>
                <w:sz w:val="20"/>
                <w:szCs w:val="20"/>
                <w:color w:val="auto"/>
              </w:rPr>
            </w:pPr>
            <w:r>
              <w:rPr>
                <w:rFonts w:ascii="Arial" w:cs="Arial" w:eastAsia="Arial" w:hAnsi="Arial"/>
                <w:sz w:val="7"/>
                <w:szCs w:val="7"/>
                <w:color w:val="auto"/>
              </w:rPr>
              <w:t>[A] Excludes employees seconded to joint ventures and associates.</w:t>
            </w:r>
          </w:p>
        </w:tc>
        <w:tc>
          <w:tcPr>
            <w:tcW w:w="2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603"/>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2980" w:type="dxa"/>
            <w:vAlign w:val="bottom"/>
          </w:tcPr>
          <w:p>
            <w:pPr>
              <w:jc w:val="right"/>
              <w:ind w:right="1618"/>
              <w:spacing w:after="0"/>
              <w:rPr>
                <w:sz w:val="20"/>
                <w:szCs w:val="20"/>
                <w:color w:val="auto"/>
              </w:rPr>
            </w:pPr>
            <w:r>
              <w:rPr>
                <w:rFonts w:ascii="Arial" w:cs="Arial" w:eastAsia="Arial" w:hAnsi="Arial"/>
                <w:sz w:val="7"/>
                <w:szCs w:val="7"/>
                <w:color w:val="auto"/>
              </w:rPr>
              <w:t>209</w:t>
            </w: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4320" w:type="dxa"/>
            <w:vAlign w:val="bottom"/>
            <w:tcBorders>
              <w:bottom w:val="single" w:sz="8" w:color="9A9A9A"/>
            </w:tcBorders>
          </w:tcPr>
          <w:p>
            <w:pPr>
              <w:spacing w:after="0"/>
              <w:rPr>
                <w:sz w:val="12"/>
                <w:szCs w:val="12"/>
                <w:color w:val="auto"/>
              </w:rPr>
            </w:pPr>
          </w:p>
        </w:tc>
        <w:tc>
          <w:tcPr>
            <w:tcW w:w="29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12" w:name="page213"/>
    <w:bookmarkEnd w:id="212"/>
    <w:tbl>
      <w:tblPr>
        <w:tblLayout w:type="fixed"/>
        <w:tblInd w:w="8" w:type="dxa"/>
        <w:tblCellMar>
          <w:top w:w="0" w:type="dxa"/>
          <w:left w:w="0" w:type="dxa"/>
          <w:bottom w:w="0" w:type="dxa"/>
          <w:right w:w="0" w:type="dxa"/>
        </w:tblCellMar>
      </w:tblPr>
      <w:tr>
        <w:trPr>
          <w:trHeight w:val="157"/>
        </w:trPr>
        <w:tc>
          <w:tcPr>
            <w:tcW w:w="730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Average employee numbers</w:t>
            </w:r>
          </w:p>
        </w:tc>
        <w:tc>
          <w:tcPr>
            <w:tcW w:w="1340" w:type="dxa"/>
            <w:vAlign w:val="bottom"/>
            <w:tcBorders>
              <w:top w:val="single" w:sz="8" w:color="D9D9D9"/>
            </w:tcBorders>
          </w:tcPr>
          <w:p>
            <w:pPr>
              <w:spacing w:after="0"/>
              <w:rPr>
                <w:sz w:val="13"/>
                <w:szCs w:val="13"/>
                <w:color w:val="auto"/>
              </w:rPr>
            </w:pPr>
          </w:p>
        </w:tc>
        <w:tc>
          <w:tcPr>
            <w:tcW w:w="1780" w:type="dxa"/>
            <w:vAlign w:val="bottom"/>
            <w:tcBorders>
              <w:top w:val="single" w:sz="8" w:color="D9D9D9"/>
            </w:tcBorders>
          </w:tcPr>
          <w:p>
            <w:pPr>
              <w:spacing w:after="0"/>
              <w:rPr>
                <w:sz w:val="13"/>
                <w:szCs w:val="13"/>
                <w:color w:val="auto"/>
              </w:rPr>
            </w:pPr>
          </w:p>
        </w:tc>
        <w:tc>
          <w:tcPr>
            <w:tcW w:w="86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Thousand</w:t>
            </w:r>
          </w:p>
        </w:tc>
      </w:tr>
      <w:tr>
        <w:trPr>
          <w:trHeight w:val="127"/>
        </w:trPr>
        <w:tc>
          <w:tcPr>
            <w:tcW w:w="73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78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2019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7300" w:type="dxa"/>
            <w:vAlign w:val="bottom"/>
          </w:tcPr>
          <w:p>
            <w:pPr>
              <w:spacing w:after="0"/>
              <w:rPr>
                <w:sz w:val="20"/>
                <w:szCs w:val="20"/>
                <w:color w:val="auto"/>
              </w:rPr>
            </w:pPr>
            <w:r>
              <w:rPr>
                <w:rFonts w:ascii="Arial" w:cs="Arial" w:eastAsia="Arial" w:hAnsi="Arial"/>
                <w:sz w:val="10"/>
                <w:szCs w:val="10"/>
                <w:color w:val="auto"/>
              </w:rPr>
              <w:t>Integrated Gas</w:t>
            </w:r>
          </w:p>
        </w:tc>
        <w:tc>
          <w:tcPr>
            <w:tcW w:w="13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11</w:t>
            </w:r>
          </w:p>
        </w:tc>
        <w:tc>
          <w:tcPr>
            <w:tcW w:w="1780" w:type="dxa"/>
            <w:vAlign w:val="bottom"/>
          </w:tcPr>
          <w:p>
            <w:pPr>
              <w:jc w:val="right"/>
              <w:ind w:right="432"/>
              <w:spacing w:after="0"/>
              <w:rPr>
                <w:sz w:val="20"/>
                <w:szCs w:val="20"/>
                <w:color w:val="auto"/>
              </w:rPr>
            </w:pPr>
            <w:r>
              <w:rPr>
                <w:rFonts w:ascii="Arial" w:cs="Arial" w:eastAsia="Arial" w:hAnsi="Arial"/>
                <w:sz w:val="10"/>
                <w:szCs w:val="10"/>
                <w:color w:val="auto"/>
              </w:rPr>
              <w:t>10</w:t>
            </w:r>
          </w:p>
        </w:tc>
        <w:tc>
          <w:tcPr>
            <w:tcW w:w="860" w:type="dxa"/>
            <w:vAlign w:val="bottom"/>
          </w:tcPr>
          <w:p>
            <w:pPr>
              <w:jc w:val="right"/>
              <w:spacing w:after="0"/>
              <w:rPr>
                <w:sz w:val="20"/>
                <w:szCs w:val="20"/>
                <w:color w:val="auto"/>
              </w:rPr>
            </w:pPr>
            <w:r>
              <w:rPr>
                <w:rFonts w:ascii="Arial" w:cs="Arial" w:eastAsia="Arial" w:hAnsi="Arial"/>
                <w:sz w:val="10"/>
                <w:szCs w:val="10"/>
                <w:color w:val="auto"/>
              </w:rPr>
              <w:t>9</w:t>
            </w:r>
          </w:p>
        </w:tc>
      </w:tr>
      <w:tr>
        <w:trPr>
          <w:trHeight w:val="123"/>
        </w:trPr>
        <w:tc>
          <w:tcPr>
            <w:tcW w:w="7300" w:type="dxa"/>
            <w:vAlign w:val="bottom"/>
          </w:tcPr>
          <w:p>
            <w:pPr>
              <w:spacing w:after="0"/>
              <w:rPr>
                <w:sz w:val="20"/>
                <w:szCs w:val="20"/>
                <w:color w:val="auto"/>
              </w:rPr>
            </w:pPr>
            <w:r>
              <w:rPr>
                <w:rFonts w:ascii="Arial" w:cs="Arial" w:eastAsia="Arial" w:hAnsi="Arial"/>
                <w:sz w:val="10"/>
                <w:szCs w:val="10"/>
                <w:color w:val="auto"/>
              </w:rPr>
              <w:t>Upstream [A]</w:t>
            </w:r>
          </w:p>
        </w:tc>
        <w:tc>
          <w:tcPr>
            <w:tcW w:w="13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14</w:t>
            </w:r>
          </w:p>
        </w:tc>
        <w:tc>
          <w:tcPr>
            <w:tcW w:w="1780" w:type="dxa"/>
            <w:vAlign w:val="bottom"/>
          </w:tcPr>
          <w:p>
            <w:pPr>
              <w:jc w:val="right"/>
              <w:ind w:right="432"/>
              <w:spacing w:after="0"/>
              <w:rPr>
                <w:sz w:val="20"/>
                <w:szCs w:val="20"/>
                <w:color w:val="auto"/>
              </w:rPr>
            </w:pPr>
            <w:r>
              <w:rPr>
                <w:rFonts w:ascii="Arial" w:cs="Arial" w:eastAsia="Arial" w:hAnsi="Arial"/>
                <w:sz w:val="10"/>
                <w:szCs w:val="10"/>
                <w:color w:val="auto"/>
              </w:rPr>
              <w:t>14</w:t>
            </w:r>
          </w:p>
        </w:tc>
        <w:tc>
          <w:tcPr>
            <w:tcW w:w="860" w:type="dxa"/>
            <w:vAlign w:val="bottom"/>
          </w:tcPr>
          <w:p>
            <w:pPr>
              <w:jc w:val="right"/>
              <w:spacing w:after="0"/>
              <w:rPr>
                <w:sz w:val="20"/>
                <w:szCs w:val="20"/>
                <w:color w:val="auto"/>
              </w:rPr>
            </w:pPr>
            <w:r>
              <w:rPr>
                <w:rFonts w:ascii="Arial" w:cs="Arial" w:eastAsia="Arial" w:hAnsi="Arial"/>
                <w:sz w:val="10"/>
                <w:szCs w:val="10"/>
                <w:color w:val="auto"/>
              </w:rPr>
              <w:t>14</w:t>
            </w:r>
          </w:p>
        </w:tc>
      </w:tr>
      <w:tr>
        <w:trPr>
          <w:trHeight w:val="126"/>
        </w:trPr>
        <w:tc>
          <w:tcPr>
            <w:tcW w:w="7300" w:type="dxa"/>
            <w:vAlign w:val="bottom"/>
          </w:tcPr>
          <w:p>
            <w:pPr>
              <w:spacing w:after="0"/>
              <w:rPr>
                <w:sz w:val="20"/>
                <w:szCs w:val="20"/>
                <w:color w:val="auto"/>
              </w:rPr>
            </w:pPr>
            <w:r>
              <w:rPr>
                <w:rFonts w:ascii="Arial" w:cs="Arial" w:eastAsia="Arial" w:hAnsi="Arial"/>
                <w:sz w:val="10"/>
                <w:szCs w:val="10"/>
                <w:color w:val="auto"/>
              </w:rPr>
              <w:t>Oil Products [A]</w:t>
            </w:r>
          </w:p>
        </w:tc>
        <w:tc>
          <w:tcPr>
            <w:tcW w:w="13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34</w:t>
            </w:r>
          </w:p>
        </w:tc>
        <w:tc>
          <w:tcPr>
            <w:tcW w:w="1780" w:type="dxa"/>
            <w:vAlign w:val="bottom"/>
          </w:tcPr>
          <w:p>
            <w:pPr>
              <w:jc w:val="right"/>
              <w:ind w:right="432"/>
              <w:spacing w:after="0"/>
              <w:rPr>
                <w:sz w:val="20"/>
                <w:szCs w:val="20"/>
                <w:color w:val="auto"/>
              </w:rPr>
            </w:pPr>
            <w:r>
              <w:rPr>
                <w:rFonts w:ascii="Arial" w:cs="Arial" w:eastAsia="Arial" w:hAnsi="Arial"/>
                <w:sz w:val="10"/>
                <w:szCs w:val="10"/>
                <w:color w:val="auto"/>
              </w:rPr>
              <w:t>32</w:t>
            </w:r>
          </w:p>
        </w:tc>
        <w:tc>
          <w:tcPr>
            <w:tcW w:w="860" w:type="dxa"/>
            <w:vAlign w:val="bottom"/>
          </w:tcPr>
          <w:p>
            <w:pPr>
              <w:jc w:val="right"/>
              <w:spacing w:after="0"/>
              <w:rPr>
                <w:sz w:val="20"/>
                <w:szCs w:val="20"/>
                <w:color w:val="auto"/>
              </w:rPr>
            </w:pPr>
            <w:r>
              <w:rPr>
                <w:rFonts w:ascii="Arial" w:cs="Arial" w:eastAsia="Arial" w:hAnsi="Arial"/>
                <w:sz w:val="10"/>
                <w:szCs w:val="10"/>
                <w:color w:val="auto"/>
              </w:rPr>
              <w:t>35</w:t>
            </w:r>
          </w:p>
        </w:tc>
      </w:tr>
      <w:tr>
        <w:trPr>
          <w:trHeight w:val="126"/>
        </w:trPr>
        <w:tc>
          <w:tcPr>
            <w:tcW w:w="7300" w:type="dxa"/>
            <w:vAlign w:val="bottom"/>
          </w:tcPr>
          <w:p>
            <w:pPr>
              <w:spacing w:after="0"/>
              <w:rPr>
                <w:sz w:val="20"/>
                <w:szCs w:val="20"/>
                <w:color w:val="auto"/>
              </w:rPr>
            </w:pPr>
            <w:r>
              <w:rPr>
                <w:rFonts w:ascii="Arial" w:cs="Arial" w:eastAsia="Arial" w:hAnsi="Arial"/>
                <w:sz w:val="10"/>
                <w:szCs w:val="10"/>
                <w:color w:val="auto"/>
              </w:rPr>
              <w:t>Chemicals [A]</w:t>
            </w:r>
          </w:p>
        </w:tc>
        <w:tc>
          <w:tcPr>
            <w:tcW w:w="13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w:t>
            </w:r>
          </w:p>
        </w:tc>
        <w:tc>
          <w:tcPr>
            <w:tcW w:w="1780" w:type="dxa"/>
            <w:vAlign w:val="bottom"/>
          </w:tcPr>
          <w:p>
            <w:pPr>
              <w:jc w:val="right"/>
              <w:ind w:right="432"/>
              <w:spacing w:after="0"/>
              <w:rPr>
                <w:sz w:val="20"/>
                <w:szCs w:val="20"/>
                <w:color w:val="auto"/>
              </w:rPr>
            </w:pPr>
            <w:r>
              <w:rPr>
                <w:rFonts w:ascii="Arial" w:cs="Arial" w:eastAsia="Arial" w:hAnsi="Arial"/>
                <w:sz w:val="10"/>
                <w:szCs w:val="10"/>
                <w:color w:val="auto"/>
              </w:rPr>
              <w:t>4</w:t>
            </w:r>
          </w:p>
        </w:tc>
        <w:tc>
          <w:tcPr>
            <w:tcW w:w="860" w:type="dxa"/>
            <w:vAlign w:val="bottom"/>
          </w:tcPr>
          <w:p>
            <w:pPr>
              <w:jc w:val="right"/>
              <w:spacing w:after="0"/>
              <w:rPr>
                <w:sz w:val="20"/>
                <w:szCs w:val="20"/>
                <w:color w:val="auto"/>
              </w:rPr>
            </w:pPr>
            <w:r>
              <w:rPr>
                <w:rFonts w:ascii="Arial" w:cs="Arial" w:eastAsia="Arial" w:hAnsi="Arial"/>
                <w:sz w:val="10"/>
                <w:szCs w:val="10"/>
                <w:color w:val="auto"/>
              </w:rPr>
              <w:t>4</w:t>
            </w:r>
          </w:p>
        </w:tc>
      </w:tr>
      <w:tr>
        <w:trPr>
          <w:trHeight w:val="130"/>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Corporate [B]</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25</w:t>
            </w:r>
          </w:p>
        </w:tc>
        <w:tc>
          <w:tcPr>
            <w:tcW w:w="178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w:t>
            </w:r>
          </w:p>
        </w:tc>
      </w:tr>
      <w:tr>
        <w:trPr>
          <w:trHeight w:val="119"/>
        </w:trPr>
        <w:tc>
          <w:tcPr>
            <w:tcW w:w="7300" w:type="dxa"/>
            <w:vAlign w:val="bottom"/>
          </w:tcPr>
          <w:p>
            <w:pPr>
              <w:spacing w:after="0"/>
              <w:rPr>
                <w:sz w:val="20"/>
                <w:szCs w:val="20"/>
                <w:color w:val="auto"/>
              </w:rPr>
            </w:pPr>
            <w:r>
              <w:rPr>
                <w:rFonts w:ascii="Arial" w:cs="Arial" w:eastAsia="Arial" w:hAnsi="Arial"/>
                <w:sz w:val="10"/>
                <w:szCs w:val="10"/>
                <w:color w:val="auto"/>
              </w:rPr>
              <w:t>Total [C]</w:t>
            </w:r>
          </w:p>
        </w:tc>
        <w:tc>
          <w:tcPr>
            <w:tcW w:w="13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86</w:t>
            </w:r>
          </w:p>
        </w:tc>
        <w:tc>
          <w:tcPr>
            <w:tcW w:w="1780" w:type="dxa"/>
            <w:vAlign w:val="bottom"/>
          </w:tcPr>
          <w:p>
            <w:pPr>
              <w:jc w:val="right"/>
              <w:ind w:right="432"/>
              <w:spacing w:after="0"/>
              <w:rPr>
                <w:sz w:val="20"/>
                <w:szCs w:val="20"/>
                <w:color w:val="auto"/>
              </w:rPr>
            </w:pPr>
            <w:r>
              <w:rPr>
                <w:rFonts w:ascii="Arial" w:cs="Arial" w:eastAsia="Arial" w:hAnsi="Arial"/>
                <w:sz w:val="10"/>
                <w:szCs w:val="10"/>
                <w:color w:val="auto"/>
              </w:rPr>
              <w:t>83</w:t>
            </w:r>
          </w:p>
        </w:tc>
        <w:tc>
          <w:tcPr>
            <w:tcW w:w="860" w:type="dxa"/>
            <w:vAlign w:val="bottom"/>
          </w:tcPr>
          <w:p>
            <w:pPr>
              <w:jc w:val="right"/>
              <w:spacing w:after="0"/>
              <w:rPr>
                <w:sz w:val="20"/>
                <w:szCs w:val="20"/>
                <w:color w:val="auto"/>
              </w:rPr>
            </w:pPr>
            <w:r>
              <w:rPr>
                <w:rFonts w:ascii="Arial" w:cs="Arial" w:eastAsia="Arial" w:hAnsi="Arial"/>
                <w:sz w:val="10"/>
                <w:szCs w:val="10"/>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6661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ind w:left="128" w:hanging="128"/>
        <w:spacing w:after="0"/>
        <w:tabs>
          <w:tab w:leader="none" w:pos="128" w:val="left"/>
        </w:tabs>
        <w:numPr>
          <w:ilvl w:val="0"/>
          <w:numId w:val="183"/>
        </w:numPr>
        <w:rPr>
          <w:rFonts w:ascii="Arial" w:cs="Arial" w:eastAsia="Arial" w:hAnsi="Arial"/>
          <w:sz w:val="7"/>
          <w:szCs w:val="7"/>
          <w:color w:val="auto"/>
        </w:rPr>
      </w:pPr>
      <w:r>
        <w:rPr>
          <w:rFonts w:ascii="Arial" w:cs="Arial" w:eastAsia="Arial" w:hAnsi="Arial"/>
          <w:sz w:val="7"/>
          <w:szCs w:val="7"/>
          <w:color w:val="auto"/>
        </w:rPr>
        <w:t>Due to the resegmentations. (See Note 4)</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83"/>
        </w:numPr>
        <w:rPr>
          <w:rFonts w:ascii="Arial" w:cs="Arial" w:eastAsia="Arial" w:hAnsi="Arial"/>
          <w:sz w:val="7"/>
          <w:szCs w:val="7"/>
          <w:color w:val="auto"/>
        </w:rPr>
      </w:pPr>
      <w:r>
        <w:rPr>
          <w:rFonts w:ascii="Arial" w:cs="Arial" w:eastAsia="Arial" w:hAnsi="Arial"/>
          <w:sz w:val="7"/>
          <w:szCs w:val="7"/>
          <w:color w:val="auto"/>
        </w:rPr>
        <w:t>Includes all employees working in business service centres irrespective of the segment they support.</w:t>
      </w:r>
    </w:p>
    <w:p>
      <w:pPr>
        <w:ind w:left="108" w:hanging="108"/>
        <w:spacing w:after="0"/>
        <w:tabs>
          <w:tab w:leader="none" w:pos="108" w:val="left"/>
        </w:tabs>
        <w:numPr>
          <w:ilvl w:val="0"/>
          <w:numId w:val="183"/>
        </w:numPr>
        <w:rPr>
          <w:rFonts w:ascii="Arial" w:cs="Arial" w:eastAsia="Arial" w:hAnsi="Arial"/>
          <w:sz w:val="7"/>
          <w:szCs w:val="7"/>
          <w:color w:val="auto"/>
        </w:rPr>
      </w:pPr>
      <w:r>
        <w:rPr>
          <w:rFonts w:ascii="Arial" w:cs="Arial" w:eastAsia="Arial" w:hAnsi="Arial"/>
          <w:sz w:val="7"/>
          <w:szCs w:val="7"/>
          <w:color w:val="auto"/>
        </w:rPr>
        <w:t>Excludes employees seconded to joint ventures and associates (2020: 2,000 employees; 2019: 3,000 employees; 2018: 3,000 employees).</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1"/>
          <w:szCs w:val="11"/>
          <w:color w:val="auto"/>
        </w:rPr>
        <w:t>27 – DIRECTORS AND SENIOR MANAGEMENT</w:t>
      </w:r>
    </w:p>
    <w:p>
      <w:pPr>
        <w:spacing w:after="0" w:line="6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730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Remuneration of Directors of the Company</w:t>
            </w:r>
          </w:p>
        </w:tc>
        <w:tc>
          <w:tcPr>
            <w:tcW w:w="1340" w:type="dxa"/>
            <w:vAlign w:val="bottom"/>
            <w:tcBorders>
              <w:top w:val="single" w:sz="8" w:color="CDCDCD"/>
            </w:tcBorders>
          </w:tcPr>
          <w:p>
            <w:pPr>
              <w:spacing w:after="0"/>
              <w:rPr>
                <w:sz w:val="13"/>
                <w:szCs w:val="13"/>
                <w:color w:val="auto"/>
              </w:rPr>
            </w:pPr>
          </w:p>
        </w:tc>
        <w:tc>
          <w:tcPr>
            <w:tcW w:w="1800" w:type="dxa"/>
            <w:vAlign w:val="bottom"/>
            <w:tcBorders>
              <w:top w:val="single" w:sz="8" w:color="CDCDCD"/>
            </w:tcBorders>
          </w:tcPr>
          <w:p>
            <w:pPr>
              <w:spacing w:after="0"/>
              <w:rPr>
                <w:sz w:val="13"/>
                <w:szCs w:val="13"/>
                <w:color w:val="auto"/>
              </w:rPr>
            </w:pPr>
          </w:p>
        </w:tc>
        <w:tc>
          <w:tcPr>
            <w:tcW w:w="84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73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7300" w:type="dxa"/>
            <w:vAlign w:val="bottom"/>
          </w:tcPr>
          <w:p>
            <w:pPr>
              <w:spacing w:after="0"/>
              <w:rPr>
                <w:sz w:val="20"/>
                <w:szCs w:val="20"/>
                <w:color w:val="auto"/>
              </w:rPr>
            </w:pPr>
            <w:r>
              <w:rPr>
                <w:rFonts w:ascii="Arial" w:cs="Arial" w:eastAsia="Arial" w:hAnsi="Arial"/>
                <w:sz w:val="10"/>
                <w:szCs w:val="10"/>
                <w:color w:val="auto"/>
              </w:rPr>
              <w:t>Emoluments</w:t>
            </w:r>
          </w:p>
        </w:tc>
        <w:tc>
          <w:tcPr>
            <w:tcW w:w="13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8</w:t>
            </w:r>
          </w:p>
        </w:tc>
        <w:tc>
          <w:tcPr>
            <w:tcW w:w="840" w:type="dxa"/>
            <w:vAlign w:val="bottom"/>
          </w:tcPr>
          <w:p>
            <w:pPr>
              <w:jc w:val="right"/>
              <w:spacing w:after="0"/>
              <w:rPr>
                <w:sz w:val="20"/>
                <w:szCs w:val="20"/>
                <w:color w:val="auto"/>
              </w:rPr>
            </w:pPr>
            <w:r>
              <w:rPr>
                <w:rFonts w:ascii="Arial" w:cs="Arial" w:eastAsia="Arial" w:hAnsi="Arial"/>
                <w:sz w:val="10"/>
                <w:szCs w:val="10"/>
                <w:color w:val="auto"/>
              </w:rPr>
              <w:t>12</w:t>
            </w:r>
          </w:p>
        </w:tc>
      </w:tr>
      <w:tr>
        <w:trPr>
          <w:trHeight w:val="123"/>
        </w:trPr>
        <w:tc>
          <w:tcPr>
            <w:tcW w:w="7300" w:type="dxa"/>
            <w:vAlign w:val="bottom"/>
          </w:tcPr>
          <w:p>
            <w:pPr>
              <w:spacing w:after="0"/>
              <w:rPr>
                <w:sz w:val="20"/>
                <w:szCs w:val="20"/>
                <w:color w:val="auto"/>
              </w:rPr>
            </w:pPr>
            <w:r>
              <w:rPr>
                <w:rFonts w:ascii="Arial" w:cs="Arial" w:eastAsia="Arial" w:hAnsi="Arial"/>
                <w:sz w:val="10"/>
                <w:szCs w:val="10"/>
                <w:color w:val="auto"/>
              </w:rPr>
              <w:t>Value of released awards under long-term incentive plans</w:t>
            </w:r>
          </w:p>
        </w:tc>
        <w:tc>
          <w:tcPr>
            <w:tcW w:w="13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12</w:t>
            </w:r>
          </w:p>
        </w:tc>
        <w:tc>
          <w:tcPr>
            <w:tcW w:w="840" w:type="dxa"/>
            <w:vAlign w:val="bottom"/>
          </w:tcPr>
          <w:p>
            <w:pPr>
              <w:jc w:val="right"/>
              <w:spacing w:after="0"/>
              <w:rPr>
                <w:sz w:val="20"/>
                <w:szCs w:val="20"/>
                <w:color w:val="auto"/>
              </w:rPr>
            </w:pPr>
            <w:r>
              <w:rPr>
                <w:rFonts w:ascii="Arial" w:cs="Arial" w:eastAsia="Arial" w:hAnsi="Arial"/>
                <w:sz w:val="10"/>
                <w:szCs w:val="10"/>
                <w:color w:val="auto"/>
              </w:rPr>
              <w:t>20</w:t>
            </w:r>
          </w:p>
        </w:tc>
      </w:tr>
      <w:tr>
        <w:trPr>
          <w:trHeight w:val="130"/>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Employer contributions to pension plans</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r>
    </w:tbl>
    <w:p>
      <w:pPr>
        <w:spacing w:after="0" w:line="204" w:lineRule="exact"/>
        <w:rPr>
          <w:sz w:val="20"/>
          <w:szCs w:val="20"/>
          <w:color w:val="auto"/>
        </w:rPr>
      </w:pPr>
    </w:p>
    <w:p>
      <w:pPr>
        <w:ind w:left="8" w:right="220"/>
        <w:spacing w:after="0" w:line="239" w:lineRule="auto"/>
        <w:rPr>
          <w:sz w:val="20"/>
          <w:szCs w:val="20"/>
          <w:color w:val="auto"/>
        </w:rPr>
      </w:pPr>
      <w:r>
        <w:rPr>
          <w:rFonts w:ascii="Arial" w:cs="Arial" w:eastAsia="Arial" w:hAnsi="Arial"/>
          <w:sz w:val="10"/>
          <w:szCs w:val="10"/>
          <w:color w:val="auto"/>
        </w:rPr>
        <w:t>Emoluments comprise salaries and fees, annual bonuses (for the period for which performance is assessed) and other benefits. The value of released awards under long-term incentive plans for the period is in respect of the performance period ending in that year. In 2020 retirement benefits were accrued in respect of qualifying services under defined benefit plans by two Directors.</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8060" w:type="dxa"/>
            <w:vAlign w:val="bottom"/>
            <w:gridSpan w:val="2"/>
          </w:tcPr>
          <w:p>
            <w:pPr>
              <w:spacing w:after="0"/>
              <w:rPr>
                <w:sz w:val="20"/>
                <w:szCs w:val="20"/>
                <w:color w:val="auto"/>
              </w:rPr>
            </w:pPr>
            <w:r>
              <w:rPr>
                <w:rFonts w:ascii="Arial" w:cs="Arial" w:eastAsia="Arial" w:hAnsi="Arial"/>
                <w:sz w:val="10"/>
                <w:szCs w:val="10"/>
                <w:color w:val="auto"/>
              </w:rPr>
              <w:t>Further information on the remuneration of the Directors can be found in the Directors’ Remuneration Report on pages 116-119.</w:t>
            </w:r>
          </w:p>
        </w:tc>
        <w:tc>
          <w:tcPr>
            <w:tcW w:w="5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80"/>
        </w:trPr>
        <w:tc>
          <w:tcPr>
            <w:tcW w:w="7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126"/>
        </w:trPr>
        <w:tc>
          <w:tcPr>
            <w:tcW w:w="7300" w:type="dxa"/>
            <w:vAlign w:val="bottom"/>
            <w:shd w:val="clear" w:color="auto" w:fill="D9D9D9"/>
          </w:tcPr>
          <w:p>
            <w:pPr>
              <w:spacing w:after="0"/>
              <w:rPr>
                <w:sz w:val="10"/>
                <w:szCs w:val="10"/>
                <w:color w:val="auto"/>
              </w:rPr>
            </w:pPr>
          </w:p>
        </w:tc>
        <w:tc>
          <w:tcPr>
            <w:tcW w:w="760" w:type="dxa"/>
            <w:vAlign w:val="bottom"/>
            <w:shd w:val="clear" w:color="auto" w:fill="D9D9D9"/>
          </w:tcPr>
          <w:p>
            <w:pPr>
              <w:spacing w:after="0"/>
              <w:rPr>
                <w:sz w:val="10"/>
                <w:szCs w:val="10"/>
                <w:color w:val="auto"/>
              </w:rPr>
            </w:pPr>
          </w:p>
        </w:tc>
        <w:tc>
          <w:tcPr>
            <w:tcW w:w="580" w:type="dxa"/>
            <w:vAlign w:val="bottom"/>
            <w:shd w:val="clear" w:color="auto" w:fill="D9D9D9"/>
          </w:tcPr>
          <w:p>
            <w:pPr>
              <w:spacing w:after="0"/>
              <w:rPr>
                <w:sz w:val="10"/>
                <w:szCs w:val="10"/>
                <w:color w:val="auto"/>
              </w:rPr>
            </w:pPr>
          </w:p>
        </w:tc>
        <w:tc>
          <w:tcPr>
            <w:tcW w:w="1800" w:type="dxa"/>
            <w:vAlign w:val="bottom"/>
            <w:shd w:val="clear" w:color="auto" w:fill="D9D9D9"/>
          </w:tcPr>
          <w:p>
            <w:pPr>
              <w:spacing w:after="0"/>
              <w:rPr>
                <w:sz w:val="10"/>
                <w:szCs w:val="10"/>
                <w:color w:val="auto"/>
              </w:rPr>
            </w:pPr>
          </w:p>
        </w:tc>
        <w:tc>
          <w:tcPr>
            <w:tcW w:w="840" w:type="dxa"/>
            <w:vAlign w:val="bottom"/>
            <w:shd w:val="clear" w:color="auto" w:fill="D9D9D9"/>
          </w:tcPr>
          <w:p>
            <w:pPr>
              <w:spacing w:after="0"/>
              <w:rPr>
                <w:sz w:val="10"/>
                <w:szCs w:val="10"/>
                <w:color w:val="auto"/>
              </w:rPr>
            </w:pPr>
          </w:p>
        </w:tc>
      </w:tr>
      <w:tr>
        <w:trPr>
          <w:trHeight w:val="121"/>
        </w:trPr>
        <w:tc>
          <w:tcPr>
            <w:tcW w:w="8060" w:type="dxa"/>
            <w:vAlign w:val="bottom"/>
            <w:gridSpan w:val="2"/>
          </w:tcPr>
          <w:p>
            <w:pPr>
              <w:spacing w:after="0"/>
              <w:rPr>
                <w:sz w:val="20"/>
                <w:szCs w:val="20"/>
                <w:color w:val="auto"/>
              </w:rPr>
            </w:pPr>
            <w:r>
              <w:rPr>
                <w:rFonts w:ascii="Arial" w:cs="Arial" w:eastAsia="Arial" w:hAnsi="Arial"/>
                <w:sz w:val="10"/>
                <w:szCs w:val="10"/>
                <w:color w:val="auto"/>
              </w:rPr>
              <w:t>Directors and Senior Management expense</w:t>
            </w:r>
          </w:p>
        </w:tc>
        <w:tc>
          <w:tcPr>
            <w:tcW w:w="5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73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7300" w:type="dxa"/>
            <w:vAlign w:val="bottom"/>
          </w:tcPr>
          <w:p>
            <w:pPr>
              <w:spacing w:after="0"/>
              <w:rPr>
                <w:sz w:val="20"/>
                <w:szCs w:val="20"/>
                <w:color w:val="auto"/>
              </w:rPr>
            </w:pPr>
            <w:r>
              <w:rPr>
                <w:rFonts w:ascii="Arial" w:cs="Arial" w:eastAsia="Arial" w:hAnsi="Arial"/>
                <w:sz w:val="10"/>
                <w:szCs w:val="10"/>
                <w:color w:val="auto"/>
              </w:rPr>
              <w:t>Short-term benefits</w:t>
            </w:r>
          </w:p>
        </w:tc>
        <w:tc>
          <w:tcPr>
            <w:tcW w:w="760" w:type="dxa"/>
            <w:vAlign w:val="bottom"/>
            <w:shd w:val="clear" w:color="auto" w:fill="CDCDCD"/>
          </w:tcPr>
          <w:p>
            <w:pPr>
              <w:spacing w:after="0"/>
              <w:rPr>
                <w:sz w:val="9"/>
                <w:szCs w:val="9"/>
                <w:color w:val="auto"/>
              </w:rPr>
            </w:pPr>
          </w:p>
        </w:tc>
        <w:tc>
          <w:tcPr>
            <w:tcW w:w="5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14</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18</w:t>
            </w:r>
          </w:p>
        </w:tc>
        <w:tc>
          <w:tcPr>
            <w:tcW w:w="840" w:type="dxa"/>
            <w:vAlign w:val="bottom"/>
          </w:tcPr>
          <w:p>
            <w:pPr>
              <w:jc w:val="right"/>
              <w:spacing w:after="0"/>
              <w:rPr>
                <w:sz w:val="20"/>
                <w:szCs w:val="20"/>
                <w:color w:val="auto"/>
              </w:rPr>
            </w:pPr>
            <w:r>
              <w:rPr>
                <w:rFonts w:ascii="Arial" w:cs="Arial" w:eastAsia="Arial" w:hAnsi="Arial"/>
                <w:sz w:val="10"/>
                <w:szCs w:val="10"/>
                <w:color w:val="auto"/>
              </w:rPr>
              <w:t>26</w:t>
            </w:r>
          </w:p>
        </w:tc>
      </w:tr>
      <w:tr>
        <w:trPr>
          <w:trHeight w:val="123"/>
        </w:trPr>
        <w:tc>
          <w:tcPr>
            <w:tcW w:w="7300" w:type="dxa"/>
            <w:vAlign w:val="bottom"/>
          </w:tcPr>
          <w:p>
            <w:pPr>
              <w:spacing w:after="0"/>
              <w:rPr>
                <w:sz w:val="20"/>
                <w:szCs w:val="20"/>
                <w:color w:val="auto"/>
              </w:rPr>
            </w:pPr>
            <w:r>
              <w:rPr>
                <w:rFonts w:ascii="Arial" w:cs="Arial" w:eastAsia="Arial" w:hAnsi="Arial"/>
                <w:sz w:val="10"/>
                <w:szCs w:val="10"/>
                <w:color w:val="auto"/>
              </w:rPr>
              <w:t>Retirement benefits</w:t>
            </w:r>
          </w:p>
        </w:tc>
        <w:tc>
          <w:tcPr>
            <w:tcW w:w="760" w:type="dxa"/>
            <w:vAlign w:val="bottom"/>
            <w:shd w:val="clear" w:color="auto" w:fill="CDCDCD"/>
          </w:tcPr>
          <w:p>
            <w:pPr>
              <w:spacing w:after="0"/>
              <w:rPr>
                <w:sz w:val="10"/>
                <w:szCs w:val="10"/>
                <w:color w:val="auto"/>
              </w:rPr>
            </w:pPr>
          </w:p>
        </w:tc>
        <w:tc>
          <w:tcPr>
            <w:tcW w:w="5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3</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3</w:t>
            </w:r>
          </w:p>
        </w:tc>
        <w:tc>
          <w:tcPr>
            <w:tcW w:w="840" w:type="dxa"/>
            <w:vAlign w:val="bottom"/>
          </w:tcPr>
          <w:p>
            <w:pPr>
              <w:jc w:val="right"/>
              <w:spacing w:after="0"/>
              <w:rPr>
                <w:sz w:val="20"/>
                <w:szCs w:val="20"/>
                <w:color w:val="auto"/>
              </w:rPr>
            </w:pPr>
            <w:r>
              <w:rPr>
                <w:rFonts w:ascii="Arial" w:cs="Arial" w:eastAsia="Arial" w:hAnsi="Arial"/>
                <w:sz w:val="10"/>
                <w:szCs w:val="10"/>
                <w:color w:val="auto"/>
              </w:rPr>
              <w:t>3</w:t>
            </w:r>
          </w:p>
        </w:tc>
      </w:tr>
      <w:tr>
        <w:trPr>
          <w:trHeight w:val="126"/>
        </w:trPr>
        <w:tc>
          <w:tcPr>
            <w:tcW w:w="7300" w:type="dxa"/>
            <w:vAlign w:val="bottom"/>
          </w:tcPr>
          <w:p>
            <w:pPr>
              <w:spacing w:after="0"/>
              <w:rPr>
                <w:sz w:val="20"/>
                <w:szCs w:val="20"/>
                <w:color w:val="auto"/>
              </w:rPr>
            </w:pPr>
            <w:r>
              <w:rPr>
                <w:rFonts w:ascii="Arial" w:cs="Arial" w:eastAsia="Arial" w:hAnsi="Arial"/>
                <w:sz w:val="10"/>
                <w:szCs w:val="10"/>
                <w:color w:val="auto"/>
              </w:rPr>
              <w:t>Share-based compensation</w:t>
            </w:r>
          </w:p>
        </w:tc>
        <w:tc>
          <w:tcPr>
            <w:tcW w:w="760" w:type="dxa"/>
            <w:vAlign w:val="bottom"/>
            <w:shd w:val="clear" w:color="auto" w:fill="CDCDCD"/>
          </w:tcPr>
          <w:p>
            <w:pPr>
              <w:spacing w:after="0"/>
              <w:rPr>
                <w:sz w:val="10"/>
                <w:szCs w:val="10"/>
                <w:color w:val="auto"/>
              </w:rPr>
            </w:pPr>
          </w:p>
        </w:tc>
        <w:tc>
          <w:tcPr>
            <w:tcW w:w="5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17</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15</w:t>
            </w:r>
          </w:p>
        </w:tc>
        <w:tc>
          <w:tcPr>
            <w:tcW w:w="840" w:type="dxa"/>
            <w:vAlign w:val="bottom"/>
          </w:tcPr>
          <w:p>
            <w:pPr>
              <w:jc w:val="right"/>
              <w:spacing w:after="0"/>
              <w:rPr>
                <w:sz w:val="20"/>
                <w:szCs w:val="20"/>
                <w:color w:val="auto"/>
              </w:rPr>
            </w:pPr>
            <w:r>
              <w:rPr>
                <w:rFonts w:ascii="Arial" w:cs="Arial" w:eastAsia="Arial" w:hAnsi="Arial"/>
                <w:sz w:val="10"/>
                <w:szCs w:val="10"/>
                <w:color w:val="auto"/>
              </w:rPr>
              <w:t>14</w:t>
            </w:r>
          </w:p>
        </w:tc>
      </w:tr>
      <w:tr>
        <w:trPr>
          <w:trHeight w:val="130"/>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Termination and related amounts</w:t>
            </w:r>
          </w:p>
        </w:tc>
        <w:tc>
          <w:tcPr>
            <w:tcW w:w="760" w:type="dxa"/>
            <w:vAlign w:val="bottom"/>
            <w:tcBorders>
              <w:bottom w:val="single" w:sz="8" w:color="auto"/>
            </w:tcBorders>
            <w:shd w:val="clear" w:color="auto" w:fill="CDCDCD"/>
          </w:tcPr>
          <w:p>
            <w:pPr>
              <w:spacing w:after="0"/>
              <w:rPr>
                <w:sz w:val="11"/>
                <w:szCs w:val="11"/>
                <w:color w:val="auto"/>
              </w:rPr>
            </w:pPr>
          </w:p>
        </w:tc>
        <w:tc>
          <w:tcPr>
            <w:tcW w:w="58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2</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760" w:type="dxa"/>
            <w:vAlign w:val="bottom"/>
            <w:tcBorders>
              <w:bottom w:val="single" w:sz="8" w:color="auto"/>
            </w:tcBorders>
            <w:shd w:val="clear" w:color="auto" w:fill="CDCDCD"/>
          </w:tcPr>
          <w:p>
            <w:pPr>
              <w:spacing w:after="0"/>
              <w:rPr>
                <w:sz w:val="10"/>
                <w:szCs w:val="10"/>
                <w:color w:val="auto"/>
              </w:rPr>
            </w:pPr>
          </w:p>
        </w:tc>
        <w:tc>
          <w:tcPr>
            <w:tcW w:w="580" w:type="dxa"/>
            <w:vAlign w:val="bottom"/>
            <w:tcBorders>
              <w:bottom w:val="single" w:sz="8" w:color="auto"/>
            </w:tcBorders>
            <w:shd w:val="clear" w:color="auto" w:fill="CDCDCD"/>
          </w:tcPr>
          <w:p>
            <w:pPr>
              <w:jc w:val="right"/>
              <w:spacing w:after="0"/>
              <w:rPr>
                <w:sz w:val="20"/>
                <w:szCs w:val="20"/>
                <w:color w:val="auto"/>
              </w:rPr>
            </w:pPr>
            <w:r>
              <w:rPr>
                <w:rFonts w:ascii="Arial" w:cs="Arial" w:eastAsia="Arial" w:hAnsi="Arial"/>
                <w:sz w:val="10"/>
                <w:szCs w:val="10"/>
                <w:color w:val="auto"/>
              </w:rPr>
              <w:t>36</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38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w:t>
            </w:r>
          </w:p>
        </w:tc>
      </w:tr>
      <w:tr>
        <w:trPr>
          <w:trHeight w:val="325"/>
        </w:trPr>
        <w:tc>
          <w:tcPr>
            <w:tcW w:w="8060" w:type="dxa"/>
            <w:vAlign w:val="bottom"/>
            <w:gridSpan w:val="2"/>
          </w:tcPr>
          <w:p>
            <w:pPr>
              <w:spacing w:after="0"/>
              <w:rPr>
                <w:sz w:val="20"/>
                <w:szCs w:val="20"/>
                <w:color w:val="auto"/>
              </w:rPr>
            </w:pPr>
            <w:r>
              <w:rPr>
                <w:rFonts w:ascii="Arial" w:cs="Arial" w:eastAsia="Arial" w:hAnsi="Arial"/>
                <w:sz w:val="10"/>
                <w:szCs w:val="10"/>
                <w:color w:val="auto"/>
              </w:rPr>
              <w:t>Directors and Senior Management comprise members of the Executive Committee and the Non-executive Directors of the Company.</w:t>
            </w: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8060" w:type="dxa"/>
            <w:vAlign w:val="bottom"/>
            <w:gridSpan w:val="2"/>
          </w:tcPr>
          <w:p>
            <w:pPr>
              <w:spacing w:after="0"/>
              <w:rPr>
                <w:sz w:val="20"/>
                <w:szCs w:val="20"/>
                <w:color w:val="auto"/>
              </w:rPr>
            </w:pPr>
            <w:r>
              <w:rPr>
                <w:rFonts w:ascii="Arial" w:cs="Arial" w:eastAsia="Arial" w:hAnsi="Arial"/>
                <w:sz w:val="10"/>
                <w:szCs w:val="10"/>
                <w:color w:val="auto"/>
                <w:w w:val="89"/>
              </w:rPr>
              <w:t>Short-term benefits comprise salaries and fees, annual bonuses delivered in cash and shares (for the period for which performance is assessed), other benefits and employer social security contributions.</w:t>
            </w:r>
          </w:p>
        </w:tc>
        <w:tc>
          <w:tcPr>
            <w:tcW w:w="5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92"/>
        </w:trPr>
        <w:tc>
          <w:tcPr>
            <w:tcW w:w="8060" w:type="dxa"/>
            <w:vAlign w:val="bottom"/>
            <w:gridSpan w:val="2"/>
          </w:tcPr>
          <w:p>
            <w:pPr>
              <w:spacing w:after="0"/>
              <w:rPr>
                <w:sz w:val="20"/>
                <w:szCs w:val="20"/>
                <w:color w:val="auto"/>
              </w:rPr>
            </w:pPr>
            <w:r>
              <w:rPr>
                <w:rFonts w:ascii="Arial" w:cs="Arial" w:eastAsia="Arial" w:hAnsi="Arial"/>
                <w:sz w:val="11"/>
                <w:szCs w:val="11"/>
                <w:color w:val="auto"/>
              </w:rPr>
              <w:t>28 – AUDITOR’S REMUNERATION</w:t>
            </w: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3"/>
        </w:trPr>
        <w:tc>
          <w:tcPr>
            <w:tcW w:w="7300" w:type="dxa"/>
            <w:vAlign w:val="bottom"/>
            <w:tcBorders>
              <w:bottom w:val="single" w:sz="8" w:color="D9D9D9"/>
            </w:tcBorders>
          </w:tcPr>
          <w:p>
            <w:pPr>
              <w:spacing w:after="0"/>
              <w:rPr>
                <w:sz w:val="7"/>
                <w:szCs w:val="7"/>
                <w:color w:val="auto"/>
              </w:rPr>
            </w:pPr>
          </w:p>
        </w:tc>
        <w:tc>
          <w:tcPr>
            <w:tcW w:w="760" w:type="dxa"/>
            <w:vAlign w:val="bottom"/>
            <w:tcBorders>
              <w:bottom w:val="single" w:sz="8" w:color="D9D9D9"/>
            </w:tcBorders>
          </w:tcPr>
          <w:p>
            <w:pPr>
              <w:spacing w:after="0"/>
              <w:rPr>
                <w:sz w:val="7"/>
                <w:szCs w:val="7"/>
                <w:color w:val="auto"/>
              </w:rPr>
            </w:pPr>
          </w:p>
        </w:tc>
        <w:tc>
          <w:tcPr>
            <w:tcW w:w="580" w:type="dxa"/>
            <w:vAlign w:val="bottom"/>
            <w:tcBorders>
              <w:bottom w:val="single" w:sz="8" w:color="D9D9D9"/>
            </w:tcBorders>
          </w:tcPr>
          <w:p>
            <w:pPr>
              <w:spacing w:after="0"/>
              <w:rPr>
                <w:sz w:val="7"/>
                <w:szCs w:val="7"/>
                <w:color w:val="auto"/>
              </w:rPr>
            </w:pPr>
          </w:p>
        </w:tc>
        <w:tc>
          <w:tcPr>
            <w:tcW w:w="1800" w:type="dxa"/>
            <w:vAlign w:val="bottom"/>
            <w:tcBorders>
              <w:bottom w:val="single" w:sz="8" w:color="D9D9D9"/>
            </w:tcBorders>
          </w:tcPr>
          <w:p>
            <w:pPr>
              <w:spacing w:after="0"/>
              <w:rPr>
                <w:sz w:val="7"/>
                <w:szCs w:val="7"/>
                <w:color w:val="auto"/>
              </w:rPr>
            </w:pPr>
          </w:p>
        </w:tc>
        <w:tc>
          <w:tcPr>
            <w:tcW w:w="840" w:type="dxa"/>
            <w:vAlign w:val="bottom"/>
            <w:tcBorders>
              <w:bottom w:val="single" w:sz="8" w:color="D9D9D9"/>
            </w:tcBorders>
          </w:tcPr>
          <w:p>
            <w:pPr>
              <w:spacing w:after="0"/>
              <w:rPr>
                <w:sz w:val="7"/>
                <w:szCs w:val="7"/>
                <w:color w:val="auto"/>
              </w:rPr>
            </w:pPr>
          </w:p>
        </w:tc>
      </w:tr>
      <w:tr>
        <w:trPr>
          <w:trHeight w:val="121"/>
        </w:trPr>
        <w:tc>
          <w:tcPr>
            <w:tcW w:w="7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73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7300" w:type="dxa"/>
            <w:vAlign w:val="bottom"/>
          </w:tcPr>
          <w:p>
            <w:pPr>
              <w:spacing w:after="0"/>
              <w:rPr>
                <w:sz w:val="20"/>
                <w:szCs w:val="20"/>
                <w:color w:val="auto"/>
              </w:rPr>
            </w:pPr>
            <w:r>
              <w:rPr>
                <w:rFonts w:ascii="Arial" w:cs="Arial" w:eastAsia="Arial" w:hAnsi="Arial"/>
                <w:sz w:val="10"/>
                <w:szCs w:val="10"/>
                <w:color w:val="auto"/>
              </w:rPr>
              <w:t>Fees in respect of the audit of the Consolidated and Parent Company Financial Statements, including audit of consolidation returns</w:t>
            </w:r>
          </w:p>
        </w:tc>
        <w:tc>
          <w:tcPr>
            <w:tcW w:w="760" w:type="dxa"/>
            <w:vAlign w:val="bottom"/>
            <w:shd w:val="clear" w:color="auto" w:fill="D9D9D9"/>
          </w:tcPr>
          <w:p>
            <w:pPr>
              <w:spacing w:after="0"/>
              <w:rPr>
                <w:sz w:val="9"/>
                <w:szCs w:val="9"/>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36</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32</w:t>
            </w:r>
          </w:p>
        </w:tc>
        <w:tc>
          <w:tcPr>
            <w:tcW w:w="840" w:type="dxa"/>
            <w:vAlign w:val="bottom"/>
          </w:tcPr>
          <w:p>
            <w:pPr>
              <w:jc w:val="right"/>
              <w:spacing w:after="0"/>
              <w:rPr>
                <w:sz w:val="20"/>
                <w:szCs w:val="20"/>
                <w:color w:val="auto"/>
              </w:rPr>
            </w:pPr>
            <w:r>
              <w:rPr>
                <w:rFonts w:ascii="Arial" w:cs="Arial" w:eastAsia="Arial" w:hAnsi="Arial"/>
                <w:sz w:val="10"/>
                <w:szCs w:val="10"/>
                <w:color w:val="auto"/>
              </w:rPr>
              <w:t>31</w:t>
            </w:r>
          </w:p>
        </w:tc>
      </w:tr>
      <w:tr>
        <w:trPr>
          <w:trHeight w:val="127"/>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audit fees, principally in respect of audits of accounts of subsidiaries</w:t>
            </w:r>
          </w:p>
        </w:tc>
        <w:tc>
          <w:tcPr>
            <w:tcW w:w="760" w:type="dxa"/>
            <w:vAlign w:val="bottom"/>
            <w:tcBorders>
              <w:bottom w:val="single" w:sz="8" w:color="auto"/>
            </w:tcBorders>
            <w:shd w:val="clear" w:color="auto" w:fill="D9D9D9"/>
          </w:tcPr>
          <w:p>
            <w:pPr>
              <w:spacing w:after="0"/>
              <w:rPr>
                <w:sz w:val="11"/>
                <w:szCs w:val="11"/>
                <w:color w:val="auto"/>
              </w:rPr>
            </w:pPr>
          </w:p>
        </w:tc>
        <w:tc>
          <w:tcPr>
            <w:tcW w:w="5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17</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w:t>
            </w:r>
          </w:p>
        </w:tc>
      </w:tr>
      <w:tr>
        <w:trPr>
          <w:trHeight w:val="117"/>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audit fees</w:t>
            </w:r>
          </w:p>
        </w:tc>
        <w:tc>
          <w:tcPr>
            <w:tcW w:w="760" w:type="dxa"/>
            <w:vAlign w:val="bottom"/>
            <w:tcBorders>
              <w:bottom w:val="single" w:sz="8" w:color="auto"/>
            </w:tcBorders>
            <w:shd w:val="clear" w:color="auto" w:fill="D9D9D9"/>
          </w:tcPr>
          <w:p>
            <w:pPr>
              <w:spacing w:after="0"/>
              <w:rPr>
                <w:sz w:val="10"/>
                <w:szCs w:val="10"/>
                <w:color w:val="auto"/>
              </w:rPr>
            </w:pPr>
          </w:p>
        </w:tc>
        <w:tc>
          <w:tcPr>
            <w:tcW w:w="5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53</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50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w:t>
            </w:r>
          </w:p>
        </w:tc>
      </w:tr>
      <w:tr>
        <w:trPr>
          <w:trHeight w:val="113"/>
        </w:trPr>
        <w:tc>
          <w:tcPr>
            <w:tcW w:w="7300" w:type="dxa"/>
            <w:vAlign w:val="bottom"/>
          </w:tcPr>
          <w:p>
            <w:pPr>
              <w:spacing w:after="0" w:line="113" w:lineRule="exact"/>
              <w:rPr>
                <w:sz w:val="20"/>
                <w:szCs w:val="20"/>
                <w:color w:val="auto"/>
              </w:rPr>
            </w:pPr>
            <w:r>
              <w:rPr>
                <w:rFonts w:ascii="Arial" w:cs="Arial" w:eastAsia="Arial" w:hAnsi="Arial"/>
                <w:sz w:val="10"/>
                <w:szCs w:val="10"/>
                <w:color w:val="auto"/>
              </w:rPr>
              <w:t>Audit-related fees</w:t>
            </w:r>
          </w:p>
        </w:tc>
        <w:tc>
          <w:tcPr>
            <w:tcW w:w="760" w:type="dxa"/>
            <w:vAlign w:val="bottom"/>
            <w:shd w:val="clear" w:color="auto" w:fill="D9D9D9"/>
          </w:tcPr>
          <w:p>
            <w:pPr>
              <w:spacing w:after="0"/>
              <w:rPr>
                <w:sz w:val="9"/>
                <w:szCs w:val="9"/>
                <w:color w:val="auto"/>
              </w:rPr>
            </w:pPr>
          </w:p>
        </w:tc>
        <w:tc>
          <w:tcPr>
            <w:tcW w:w="580" w:type="dxa"/>
            <w:vAlign w:val="bottom"/>
            <w:shd w:val="clear" w:color="auto" w:fill="D9D9D9"/>
          </w:tcPr>
          <w:p>
            <w:pPr>
              <w:jc w:val="right"/>
              <w:spacing w:after="0" w:line="113" w:lineRule="exact"/>
              <w:rPr>
                <w:sz w:val="20"/>
                <w:szCs w:val="20"/>
                <w:color w:val="auto"/>
              </w:rPr>
            </w:pPr>
            <w:r>
              <w:rPr>
                <w:rFonts w:ascii="Arial" w:cs="Arial" w:eastAsia="Arial" w:hAnsi="Arial"/>
                <w:sz w:val="10"/>
                <w:szCs w:val="10"/>
                <w:color w:val="auto"/>
              </w:rPr>
              <w:t>3</w:t>
            </w:r>
          </w:p>
        </w:tc>
        <w:tc>
          <w:tcPr>
            <w:tcW w:w="1800" w:type="dxa"/>
            <w:vAlign w:val="bottom"/>
          </w:tcPr>
          <w:p>
            <w:pPr>
              <w:jc w:val="right"/>
              <w:ind w:right="472"/>
              <w:spacing w:after="0" w:line="113" w:lineRule="exact"/>
              <w:rPr>
                <w:sz w:val="20"/>
                <w:szCs w:val="20"/>
                <w:color w:val="auto"/>
              </w:rPr>
            </w:pPr>
            <w:r>
              <w:rPr>
                <w:rFonts w:ascii="Arial" w:cs="Arial" w:eastAsia="Arial" w:hAnsi="Arial"/>
                <w:sz w:val="10"/>
                <w:szCs w:val="10"/>
                <w:color w:val="auto"/>
              </w:rPr>
              <w:t>4</w:t>
            </w: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5</w:t>
            </w:r>
          </w:p>
        </w:tc>
      </w:tr>
      <w:tr>
        <w:trPr>
          <w:trHeight w:val="127"/>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Fees in respect of other non-audit services [A]</w:t>
            </w:r>
          </w:p>
        </w:tc>
        <w:tc>
          <w:tcPr>
            <w:tcW w:w="760" w:type="dxa"/>
            <w:vAlign w:val="bottom"/>
            <w:tcBorders>
              <w:bottom w:val="single" w:sz="8" w:color="auto"/>
            </w:tcBorders>
            <w:shd w:val="clear" w:color="auto" w:fill="D9D9D9"/>
          </w:tcPr>
          <w:p>
            <w:pPr>
              <w:spacing w:after="0"/>
              <w:rPr>
                <w:sz w:val="11"/>
                <w:szCs w:val="11"/>
                <w:color w:val="auto"/>
              </w:rPr>
            </w:pPr>
          </w:p>
        </w:tc>
        <w:tc>
          <w:tcPr>
            <w:tcW w:w="5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r>
      <w:tr>
        <w:trPr>
          <w:trHeight w:val="117"/>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760" w:type="dxa"/>
            <w:vAlign w:val="bottom"/>
            <w:tcBorders>
              <w:bottom w:val="single" w:sz="8" w:color="auto"/>
            </w:tcBorders>
            <w:shd w:val="clear" w:color="auto" w:fill="D9D9D9"/>
          </w:tcPr>
          <w:p>
            <w:pPr>
              <w:spacing w:after="0"/>
              <w:rPr>
                <w:sz w:val="10"/>
                <w:szCs w:val="10"/>
                <w:color w:val="auto"/>
              </w:rPr>
            </w:pPr>
          </w:p>
        </w:tc>
        <w:tc>
          <w:tcPr>
            <w:tcW w:w="5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58</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54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r>
    </w:tbl>
    <w:p>
      <w:pPr>
        <w:spacing w:after="0" w:line="56" w:lineRule="exact"/>
        <w:rPr>
          <w:sz w:val="20"/>
          <w:szCs w:val="20"/>
          <w:color w:val="auto"/>
        </w:rPr>
      </w:pPr>
    </w:p>
    <w:p>
      <w:pPr>
        <w:ind w:left="8"/>
        <w:spacing w:after="0"/>
        <w:rPr>
          <w:sz w:val="20"/>
          <w:szCs w:val="20"/>
          <w:color w:val="auto"/>
        </w:rPr>
      </w:pPr>
      <w:r>
        <w:rPr>
          <w:rFonts w:ascii="Arial" w:cs="Arial" w:eastAsia="Arial" w:hAnsi="Arial"/>
          <w:sz w:val="7"/>
          <w:szCs w:val="7"/>
          <w:color w:val="auto"/>
        </w:rPr>
        <w:t>[A] Various services that were classified as ‘Audit-related’ in the past are classified as ‘Other non-audit services’ under the revised UK auditor rules that apply since March 15, 2020</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0"/>
          <w:szCs w:val="10"/>
          <w:color w:val="auto"/>
        </w:rPr>
        <w:t>In addition, the auditor provided audit services to retirement benefit plans for employees of subsidiaries. Remuneration paid by those benefit plans amounted to $1 million in 2020 (2019: $1 million; 2018: $1 million).</w:t>
      </w:r>
    </w:p>
    <w:p>
      <w:pPr>
        <w:spacing w:after="0" w:line="324" w:lineRule="exact"/>
        <w:rPr>
          <w:sz w:val="20"/>
          <w:szCs w:val="20"/>
          <w:color w:val="auto"/>
        </w:rPr>
      </w:pPr>
    </w:p>
    <w:p>
      <w:pPr>
        <w:ind w:left="8"/>
        <w:spacing w:after="0"/>
        <w:rPr>
          <w:sz w:val="20"/>
          <w:szCs w:val="20"/>
          <w:color w:val="auto"/>
        </w:rPr>
      </w:pPr>
      <w:r>
        <w:rPr>
          <w:rFonts w:ascii="Arial" w:cs="Arial" w:eastAsia="Arial" w:hAnsi="Arial"/>
          <w:sz w:val="11"/>
          <w:szCs w:val="11"/>
          <w:color w:val="auto"/>
        </w:rPr>
        <w:t>29 – EMISSION SCHEMES AND RELATED ENVIRONMENTAL PLANS</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Emission trading schemes</w:t>
      </w:r>
    </w:p>
    <w:p>
      <w:pPr>
        <w:spacing w:after="0" w:line="3" w:lineRule="exact"/>
        <w:rPr>
          <w:sz w:val="20"/>
          <w:szCs w:val="20"/>
          <w:color w:val="auto"/>
        </w:rPr>
      </w:pPr>
    </w:p>
    <w:p>
      <w:pPr>
        <w:ind w:left="8" w:right="100"/>
        <w:spacing w:after="0" w:line="314" w:lineRule="auto"/>
        <w:rPr>
          <w:sz w:val="20"/>
          <w:szCs w:val="20"/>
          <w:color w:val="auto"/>
        </w:rPr>
      </w:pPr>
      <w:r>
        <w:rPr>
          <w:rFonts w:ascii="Arial" w:cs="Arial" w:eastAsia="Arial" w:hAnsi="Arial"/>
          <w:sz w:val="8"/>
          <w:szCs w:val="8"/>
          <w:color w:val="auto"/>
        </w:rPr>
        <w:t>Generally, emission trading schemes (ETS) are mandated governmental schemes to control emission levels and enhance clean energy transition, allowing for the trading of emission certificates. In most ETS, governments set an emission cap for one or more sectors. Generally, entities in scope of the scheme are allowed to buy emission certificates to cover shortages or sell surplus emission certificates. In certain countries emissions are priced through a carbon tax. For Shell, the most significant carbon pricing mechanisms are established in the EU, Canada, Singapore and the USA.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210</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13" w:name="page214"/>
    <w:bookmarkEnd w:id="213"/>
    <w:p>
      <w:pPr>
        <w:ind w:left="8"/>
        <w:spacing w:after="0"/>
        <w:rPr>
          <w:sz w:val="20"/>
          <w:szCs w:val="20"/>
          <w:color w:val="auto"/>
        </w:rPr>
      </w:pPr>
      <w:r>
        <w:rPr>
          <w:rFonts w:ascii="Arial" w:cs="Arial" w:eastAsia="Arial" w:hAnsi="Arial"/>
          <w:sz w:val="10"/>
          <w:szCs w:val="10"/>
          <w:b w:val="1"/>
          <w:bCs w:val="1"/>
          <w:color w:val="auto"/>
        </w:rPr>
        <w:t>Biofuel schemes</w:t>
      </w:r>
    </w:p>
    <w:p>
      <w:pPr>
        <w:spacing w:after="0" w:line="3" w:lineRule="exact"/>
        <w:rPr>
          <w:sz w:val="20"/>
          <w:szCs w:val="20"/>
          <w:color w:val="auto"/>
        </w:rPr>
      </w:pPr>
    </w:p>
    <w:p>
      <w:pPr>
        <w:ind w:left="8" w:right="80"/>
        <w:spacing w:after="0" w:line="216" w:lineRule="auto"/>
        <w:rPr>
          <w:sz w:val="20"/>
          <w:szCs w:val="20"/>
          <w:color w:val="auto"/>
        </w:rPr>
      </w:pPr>
      <w:r>
        <w:rPr>
          <w:rFonts w:ascii="Arial" w:cs="Arial" w:eastAsia="Arial" w:hAnsi="Arial"/>
          <w:sz w:val="10"/>
          <w:szCs w:val="10"/>
          <w:color w:val="auto"/>
        </w:rPr>
        <w:t>Biofuel schemes are mandated schemes that set binding national targets on the share of renewables in fuel consumption or measures on reducing GHG emissions by fuel suppliers. Biofuels are blended with existing fuels such as gasoline and diesel to reduce net emissions. The share of biofuel in the total sales mix of fuel is used to comply with regulatory requirements. This can be achieved by biofuel production through ‘selfblending’ in jurisdictions that grant the biofuel certificates at blending stage or through purchase of renewable, certified feedstock like ethanol used subsequently in the manufacturing process.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Renewable power schemes</w:t>
      </w:r>
    </w:p>
    <w:p>
      <w:pPr>
        <w:ind w:left="8" w:right="180"/>
        <w:spacing w:after="0" w:line="216" w:lineRule="auto"/>
        <w:rPr>
          <w:sz w:val="20"/>
          <w:szCs w:val="20"/>
          <w:color w:val="auto"/>
        </w:rPr>
      </w:pPr>
      <w:r>
        <w:rPr>
          <w:rFonts w:ascii="Arial" w:cs="Arial" w:eastAsia="Arial" w:hAnsi="Arial"/>
          <w:sz w:val="10"/>
          <w:szCs w:val="10"/>
          <w:color w:val="auto"/>
        </w:rPr>
        <w:t>Renewable power schemes create a financial incentive to consume power that is sourced from renewable origins or requires that a minimum percentage of power sold meets the green definition of the relevant standard. These regulations are typically accompanied by schemes supporting investments in the renewable technology. Renewable power schemes generally use certificates to monitor compliance, where renewable power credits are granted for each MWh of energy generated that meets the predefined renewable criteria. Shell’s compliance obligation under renewable power schemes comes primarily from energy supply and results from regulations applying in Europe, North America and Australia.</w:t>
      </w:r>
    </w:p>
    <w:p>
      <w:pPr>
        <w:spacing w:after="0" w:line="15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200" w:type="dxa"/>
            <w:vAlign w:val="bottom"/>
            <w:tcBorders>
              <w:top w:val="single" w:sz="8" w:color="D9D9D9"/>
            </w:tcBorders>
          </w:tcPr>
          <w:p>
            <w:pPr>
              <w:spacing w:after="0"/>
              <w:rPr>
                <w:sz w:val="20"/>
                <w:szCs w:val="20"/>
                <w:color w:val="auto"/>
              </w:rPr>
            </w:pPr>
            <w:r>
              <w:rPr>
                <w:rFonts w:ascii="Arial" w:cs="Arial" w:eastAsia="Arial" w:hAnsi="Arial"/>
                <w:sz w:val="10"/>
                <w:szCs w:val="10"/>
                <w:color w:val="auto"/>
              </w:rPr>
              <w:t>2020</w:t>
            </w:r>
          </w:p>
        </w:tc>
        <w:tc>
          <w:tcPr>
            <w:tcW w:w="1480" w:type="dxa"/>
            <w:vAlign w:val="bottom"/>
            <w:tcBorders>
              <w:top w:val="single" w:sz="8" w:color="D9D9D9"/>
            </w:tcBorders>
          </w:tcPr>
          <w:p>
            <w:pPr>
              <w:spacing w:after="0"/>
              <w:rPr>
                <w:sz w:val="13"/>
                <w:szCs w:val="13"/>
                <w:color w:val="auto"/>
              </w:rPr>
            </w:pPr>
          </w:p>
        </w:tc>
        <w:tc>
          <w:tcPr>
            <w:tcW w:w="820" w:type="dxa"/>
            <w:vAlign w:val="bottom"/>
            <w:tcBorders>
              <w:top w:val="single" w:sz="8" w:color="D9D9D9"/>
            </w:tcBorders>
          </w:tcPr>
          <w:p>
            <w:pPr>
              <w:spacing w:after="0"/>
              <w:rPr>
                <w:sz w:val="13"/>
                <w:szCs w:val="13"/>
                <w:color w:val="auto"/>
              </w:rPr>
            </w:pPr>
          </w:p>
        </w:tc>
        <w:tc>
          <w:tcPr>
            <w:tcW w:w="1420" w:type="dxa"/>
            <w:vAlign w:val="bottom"/>
            <w:tcBorders>
              <w:top w:val="single" w:sz="8" w:color="D9D9D9"/>
            </w:tcBorders>
          </w:tcPr>
          <w:p>
            <w:pPr>
              <w:spacing w:after="0"/>
              <w:rPr>
                <w:sz w:val="13"/>
                <w:szCs w:val="13"/>
                <w:color w:val="auto"/>
              </w:rPr>
            </w:pPr>
          </w:p>
        </w:tc>
        <w:tc>
          <w:tcPr>
            <w:tcW w:w="1040" w:type="dxa"/>
            <w:vAlign w:val="bottom"/>
            <w:tcBorders>
              <w:top w:val="single" w:sz="8" w:color="D9D9D9"/>
            </w:tcBorders>
          </w:tcPr>
          <w:p>
            <w:pPr>
              <w:spacing w:after="0"/>
              <w:rPr>
                <w:sz w:val="13"/>
                <w:szCs w:val="13"/>
                <w:color w:val="auto"/>
              </w:rPr>
            </w:pPr>
          </w:p>
        </w:tc>
        <w:tc>
          <w:tcPr>
            <w:tcW w:w="1480" w:type="dxa"/>
            <w:vAlign w:val="bottom"/>
            <w:tcBorders>
              <w:top w:val="single" w:sz="8" w:color="D9D9D9"/>
            </w:tcBorders>
          </w:tcPr>
          <w:p>
            <w:pPr>
              <w:spacing w:after="0"/>
              <w:rPr>
                <w:sz w:val="13"/>
                <w:szCs w:val="13"/>
                <w:color w:val="auto"/>
              </w:rPr>
            </w:pPr>
          </w:p>
        </w:tc>
        <w:tc>
          <w:tcPr>
            <w:tcW w:w="860" w:type="dxa"/>
            <w:vAlign w:val="bottom"/>
            <w:tcBorders>
              <w:top w:val="single" w:sz="8" w:color="D9D9D9"/>
            </w:tcBorders>
          </w:tcPr>
          <w:p>
            <w:pPr>
              <w:jc w:val="right"/>
              <w:spacing w:after="0"/>
              <w:rPr>
                <w:sz w:val="20"/>
                <w:szCs w:val="20"/>
                <w:color w:val="auto"/>
              </w:rPr>
            </w:pPr>
            <w:r>
              <w:rPr>
                <w:rFonts w:ascii="Arial" w:cs="Arial" w:eastAsia="Arial" w:hAnsi="Arial"/>
                <w:sz w:val="10"/>
                <w:szCs w:val="10"/>
                <w:color w:val="auto"/>
              </w:rPr>
              <w:t>$ million</w:t>
            </w:r>
          </w:p>
        </w:tc>
      </w:tr>
      <w:tr>
        <w:trPr>
          <w:trHeight w:val="123"/>
        </w:trPr>
        <w:tc>
          <w:tcPr>
            <w:tcW w:w="4200" w:type="dxa"/>
            <w:vAlign w:val="bottom"/>
          </w:tcPr>
          <w:p>
            <w:pPr>
              <w:spacing w:after="0"/>
              <w:rPr>
                <w:sz w:val="10"/>
                <w:szCs w:val="10"/>
                <w:color w:val="auto"/>
              </w:rPr>
            </w:pP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ETS and related schemes</w:t>
            </w:r>
          </w:p>
        </w:tc>
        <w:tc>
          <w:tcPr>
            <w:tcW w:w="8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Biofuels</w:t>
            </w:r>
          </w:p>
        </w:tc>
        <w:tc>
          <w:tcPr>
            <w:tcW w:w="10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Renewable power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r>
      <w:tr>
        <w:trPr>
          <w:trHeight w:val="121"/>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Emission and related cost recognised in the Income Statement</w:t>
            </w: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150</w:t>
            </w:r>
          </w:p>
        </w:tc>
        <w:tc>
          <w:tcPr>
            <w:tcW w:w="8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[A]</w:t>
            </w:r>
          </w:p>
        </w:tc>
        <w:tc>
          <w:tcPr>
            <w:tcW w:w="142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1,137</w:t>
            </w:r>
          </w:p>
        </w:tc>
        <w:tc>
          <w:tcPr>
            <w:tcW w:w="1040" w:type="dxa"/>
            <w:vAlign w:val="bottom"/>
            <w:tcBorders>
              <w:bottom w:val="single" w:sz="8" w:color="auto"/>
            </w:tcBorders>
          </w:tcPr>
          <w:p>
            <w:pPr>
              <w:ind w:left="600"/>
              <w:spacing w:after="0"/>
              <w:rPr>
                <w:sz w:val="20"/>
                <w:szCs w:val="20"/>
                <w:color w:val="auto"/>
              </w:rPr>
            </w:pPr>
            <w:r>
              <w:rPr>
                <w:rFonts w:ascii="Arial" w:cs="Arial" w:eastAsia="Arial" w:hAnsi="Arial"/>
                <w:sz w:val="10"/>
                <w:szCs w:val="10"/>
                <w:color w:val="auto"/>
              </w:rPr>
              <w:t>[B]</w:t>
            </w:r>
          </w:p>
        </w:tc>
        <w:tc>
          <w:tcPr>
            <w:tcW w:w="14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364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1,651</w:t>
            </w:r>
          </w:p>
        </w:tc>
      </w:tr>
      <w:tr>
        <w:trPr>
          <w:trHeight w:val="307"/>
        </w:trPr>
        <w:tc>
          <w:tcPr>
            <w:tcW w:w="4200" w:type="dxa"/>
            <w:vAlign w:val="bottom"/>
          </w:tcPr>
          <w:p>
            <w:pPr>
              <w:spacing w:after="0"/>
              <w:rPr>
                <w:sz w:val="20"/>
                <w:szCs w:val="20"/>
                <w:color w:val="auto"/>
              </w:rPr>
            </w:pPr>
            <w:r>
              <w:rPr>
                <w:rFonts w:ascii="Arial" w:cs="Arial" w:eastAsia="Arial" w:hAnsi="Arial"/>
                <w:sz w:val="10"/>
                <w:szCs w:val="10"/>
                <w:color w:val="auto"/>
              </w:rPr>
              <w:t>Purchased certificates presented under intangible assets</w:t>
            </w:r>
          </w:p>
        </w:tc>
        <w:tc>
          <w:tcPr>
            <w:tcW w:w="1480" w:type="dxa"/>
            <w:vAlign w:val="bottom"/>
          </w:tcPr>
          <w:p>
            <w:pPr>
              <w:jc w:val="right"/>
              <w:ind w:right="152"/>
              <w:spacing w:after="0"/>
              <w:rPr>
                <w:sz w:val="20"/>
                <w:szCs w:val="20"/>
                <w:color w:val="auto"/>
              </w:rPr>
            </w:pPr>
            <w:r>
              <w:rPr>
                <w:rFonts w:ascii="Arial" w:cs="Arial" w:eastAsia="Arial" w:hAnsi="Arial"/>
                <w:sz w:val="10"/>
                <w:szCs w:val="10"/>
                <w:color w:val="auto"/>
              </w:rPr>
              <w:t>157</w:t>
            </w:r>
          </w:p>
        </w:tc>
        <w:tc>
          <w:tcPr>
            <w:tcW w:w="82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Arial" w:cs="Arial" w:eastAsia="Arial" w:hAnsi="Arial"/>
                <w:sz w:val="10"/>
                <w:szCs w:val="10"/>
                <w:color w:val="auto"/>
              </w:rPr>
              <w:t>780</w:t>
            </w:r>
          </w:p>
        </w:tc>
        <w:tc>
          <w:tcPr>
            <w:tcW w:w="1040" w:type="dxa"/>
            <w:vAlign w:val="bottom"/>
          </w:tcPr>
          <w:p>
            <w:pPr>
              <w:spacing w:after="0"/>
              <w:rPr>
                <w:sz w:val="24"/>
                <w:szCs w:val="24"/>
                <w:color w:val="auto"/>
              </w:rPr>
            </w:pP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76</w:t>
            </w:r>
          </w:p>
        </w:tc>
        <w:tc>
          <w:tcPr>
            <w:tcW w:w="860" w:type="dxa"/>
            <w:vAlign w:val="bottom"/>
          </w:tcPr>
          <w:p>
            <w:pPr>
              <w:jc w:val="right"/>
              <w:spacing w:after="0"/>
              <w:rPr>
                <w:sz w:val="20"/>
                <w:szCs w:val="20"/>
                <w:color w:val="auto"/>
              </w:rPr>
            </w:pPr>
            <w:r>
              <w:rPr>
                <w:rFonts w:ascii="Arial" w:cs="Arial" w:eastAsia="Arial" w:hAnsi="Arial"/>
                <w:sz w:val="10"/>
                <w:szCs w:val="10"/>
                <w:color w:val="auto"/>
              </w:rPr>
              <w:t>1,013</w:t>
            </w: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Obligation at the end of the period presented under other liabilities</w:t>
            </w:r>
          </w:p>
        </w:tc>
        <w:tc>
          <w:tcPr>
            <w:tcW w:w="1480" w:type="dxa"/>
            <w:vAlign w:val="bottom"/>
          </w:tcPr>
          <w:p>
            <w:pPr>
              <w:jc w:val="right"/>
              <w:ind w:right="132"/>
              <w:spacing w:after="0"/>
              <w:rPr>
                <w:sz w:val="20"/>
                <w:szCs w:val="20"/>
                <w:color w:val="auto"/>
              </w:rPr>
            </w:pPr>
            <w:r>
              <w:rPr>
                <w:rFonts w:ascii="Arial" w:cs="Arial" w:eastAsia="Arial" w:hAnsi="Arial"/>
                <w:sz w:val="10"/>
                <w:szCs w:val="10"/>
                <w:color w:val="auto"/>
              </w:rPr>
              <w:t>(154)</w:t>
            </w:r>
          </w:p>
        </w:tc>
        <w:tc>
          <w:tcPr>
            <w:tcW w:w="820" w:type="dxa"/>
            <w:vAlign w:val="bottom"/>
          </w:tcPr>
          <w:p>
            <w:pPr>
              <w:jc w:val="right"/>
              <w:ind w:right="452"/>
              <w:spacing w:after="0"/>
              <w:rPr>
                <w:sz w:val="20"/>
                <w:szCs w:val="20"/>
                <w:color w:val="auto"/>
              </w:rPr>
            </w:pPr>
            <w:r>
              <w:rPr>
                <w:rFonts w:ascii="Arial" w:cs="Arial" w:eastAsia="Arial" w:hAnsi="Arial"/>
                <w:sz w:val="10"/>
                <w:szCs w:val="10"/>
                <w:color w:val="auto"/>
              </w:rPr>
              <w:t>[C]</w:t>
            </w:r>
          </w:p>
        </w:tc>
        <w:tc>
          <w:tcPr>
            <w:tcW w:w="1420" w:type="dxa"/>
            <w:vAlign w:val="bottom"/>
          </w:tcPr>
          <w:p>
            <w:pPr>
              <w:jc w:val="right"/>
              <w:ind w:right="572"/>
              <w:spacing w:after="0"/>
              <w:rPr>
                <w:sz w:val="20"/>
                <w:szCs w:val="20"/>
                <w:color w:val="auto"/>
              </w:rPr>
            </w:pPr>
            <w:r>
              <w:rPr>
                <w:rFonts w:ascii="Arial" w:cs="Arial" w:eastAsia="Arial" w:hAnsi="Arial"/>
                <w:sz w:val="10"/>
                <w:szCs w:val="10"/>
                <w:color w:val="auto"/>
              </w:rPr>
              <w:t>(1,603)</w:t>
            </w:r>
          </w:p>
        </w:tc>
        <w:tc>
          <w:tcPr>
            <w:tcW w:w="1040" w:type="dxa"/>
            <w:vAlign w:val="bottom"/>
          </w:tcPr>
          <w:p>
            <w:pPr>
              <w:spacing w:after="0"/>
              <w:rPr>
                <w:sz w:val="10"/>
                <w:szCs w:val="10"/>
                <w:color w:val="auto"/>
              </w:rPr>
            </w:pPr>
          </w:p>
        </w:tc>
        <w:tc>
          <w:tcPr>
            <w:tcW w:w="1480" w:type="dxa"/>
            <w:vAlign w:val="bottom"/>
          </w:tcPr>
          <w:p>
            <w:pPr>
              <w:jc w:val="right"/>
              <w:ind w:right="432"/>
              <w:spacing w:after="0"/>
              <w:rPr>
                <w:sz w:val="20"/>
                <w:szCs w:val="20"/>
                <w:color w:val="auto"/>
              </w:rPr>
            </w:pPr>
            <w:r>
              <w:rPr>
                <w:rFonts w:ascii="Arial" w:cs="Arial" w:eastAsia="Arial" w:hAnsi="Arial"/>
                <w:sz w:val="10"/>
                <w:szCs w:val="10"/>
                <w:color w:val="auto"/>
              </w:rPr>
              <w:t>(296)</w:t>
            </w:r>
          </w:p>
        </w:tc>
        <w:tc>
          <w:tcPr>
            <w:tcW w:w="860" w:type="dxa"/>
            <w:vAlign w:val="bottom"/>
          </w:tcPr>
          <w:p>
            <w:pPr>
              <w:jc w:val="right"/>
              <w:spacing w:after="0"/>
              <w:rPr>
                <w:sz w:val="20"/>
                <w:szCs w:val="20"/>
                <w:color w:val="auto"/>
              </w:rPr>
            </w:pPr>
            <w:r>
              <w:rPr>
                <w:rFonts w:ascii="Arial" w:cs="Arial" w:eastAsia="Arial" w:hAnsi="Arial"/>
                <w:sz w:val="10"/>
                <w:szCs w:val="10"/>
                <w:color w:val="auto"/>
              </w:rPr>
              <w:t>(2,053)</w:t>
            </w: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Of which:</w:t>
            </w:r>
          </w:p>
        </w:tc>
        <w:tc>
          <w:tcPr>
            <w:tcW w:w="1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6"/>
        </w:trPr>
        <w:tc>
          <w:tcPr>
            <w:tcW w:w="4200" w:type="dxa"/>
            <w:vAlign w:val="bottom"/>
          </w:tcPr>
          <w:p>
            <w:pPr>
              <w:spacing w:after="0"/>
              <w:rPr>
                <w:sz w:val="20"/>
                <w:szCs w:val="20"/>
                <w:color w:val="auto"/>
              </w:rPr>
            </w:pPr>
            <w:r>
              <w:rPr>
                <w:rFonts w:ascii="Arial" w:cs="Arial" w:eastAsia="Arial" w:hAnsi="Arial"/>
                <w:sz w:val="10"/>
                <w:szCs w:val="10"/>
                <w:color w:val="auto"/>
              </w:rPr>
              <w:t>Short term</w:t>
            </w:r>
          </w:p>
        </w:tc>
        <w:tc>
          <w:tcPr>
            <w:tcW w:w="1480" w:type="dxa"/>
            <w:vAlign w:val="bottom"/>
          </w:tcPr>
          <w:p>
            <w:pPr>
              <w:jc w:val="right"/>
              <w:ind w:right="132"/>
              <w:spacing w:after="0"/>
              <w:rPr>
                <w:sz w:val="20"/>
                <w:szCs w:val="20"/>
                <w:color w:val="auto"/>
              </w:rPr>
            </w:pPr>
            <w:r>
              <w:rPr>
                <w:rFonts w:ascii="Arial" w:cs="Arial" w:eastAsia="Arial" w:hAnsi="Arial"/>
                <w:sz w:val="10"/>
                <w:szCs w:val="10"/>
                <w:color w:val="auto"/>
              </w:rPr>
              <w:t>(154)</w:t>
            </w:r>
          </w:p>
        </w:tc>
        <w:tc>
          <w:tcPr>
            <w:tcW w:w="820" w:type="dxa"/>
            <w:vAlign w:val="bottom"/>
          </w:tcPr>
          <w:p>
            <w:pPr>
              <w:spacing w:after="0"/>
              <w:rPr>
                <w:sz w:val="10"/>
                <w:szCs w:val="10"/>
                <w:color w:val="auto"/>
              </w:rPr>
            </w:pPr>
          </w:p>
        </w:tc>
        <w:tc>
          <w:tcPr>
            <w:tcW w:w="1420" w:type="dxa"/>
            <w:vAlign w:val="bottom"/>
          </w:tcPr>
          <w:p>
            <w:pPr>
              <w:jc w:val="right"/>
              <w:ind w:right="572"/>
              <w:spacing w:after="0"/>
              <w:rPr>
                <w:sz w:val="20"/>
                <w:szCs w:val="20"/>
                <w:color w:val="auto"/>
              </w:rPr>
            </w:pPr>
            <w:r>
              <w:rPr>
                <w:rFonts w:ascii="Arial" w:cs="Arial" w:eastAsia="Arial" w:hAnsi="Arial"/>
                <w:sz w:val="10"/>
                <w:szCs w:val="10"/>
                <w:color w:val="auto"/>
              </w:rPr>
              <w:t>(1,549)</w:t>
            </w:r>
          </w:p>
        </w:tc>
        <w:tc>
          <w:tcPr>
            <w:tcW w:w="1040" w:type="dxa"/>
            <w:vAlign w:val="bottom"/>
          </w:tcPr>
          <w:p>
            <w:pPr>
              <w:spacing w:after="0"/>
              <w:rPr>
                <w:sz w:val="10"/>
                <w:szCs w:val="10"/>
                <w:color w:val="auto"/>
              </w:rPr>
            </w:pPr>
          </w:p>
        </w:tc>
        <w:tc>
          <w:tcPr>
            <w:tcW w:w="1480" w:type="dxa"/>
            <w:vAlign w:val="bottom"/>
          </w:tcPr>
          <w:p>
            <w:pPr>
              <w:jc w:val="right"/>
              <w:ind w:right="432"/>
              <w:spacing w:after="0"/>
              <w:rPr>
                <w:sz w:val="20"/>
                <w:szCs w:val="20"/>
                <w:color w:val="auto"/>
              </w:rPr>
            </w:pPr>
            <w:r>
              <w:rPr>
                <w:rFonts w:ascii="Arial" w:cs="Arial" w:eastAsia="Arial" w:hAnsi="Arial"/>
                <w:sz w:val="10"/>
                <w:szCs w:val="10"/>
                <w:color w:val="auto"/>
              </w:rPr>
              <w:t>(290)</w:t>
            </w:r>
          </w:p>
        </w:tc>
        <w:tc>
          <w:tcPr>
            <w:tcW w:w="860" w:type="dxa"/>
            <w:vAlign w:val="bottom"/>
          </w:tcPr>
          <w:p>
            <w:pPr>
              <w:jc w:val="right"/>
              <w:spacing w:after="0"/>
              <w:rPr>
                <w:sz w:val="20"/>
                <w:szCs w:val="20"/>
                <w:color w:val="auto"/>
              </w:rPr>
            </w:pPr>
            <w:r>
              <w:rPr>
                <w:rFonts w:ascii="Arial" w:cs="Arial" w:eastAsia="Arial" w:hAnsi="Arial"/>
                <w:sz w:val="10"/>
                <w:szCs w:val="10"/>
                <w:color w:val="auto"/>
              </w:rPr>
              <w:t>(1,993)</w:t>
            </w:r>
          </w:p>
        </w:tc>
      </w:tr>
      <w:tr>
        <w:trPr>
          <w:trHeight w:val="130"/>
        </w:trPr>
        <w:tc>
          <w:tcPr>
            <w:tcW w:w="4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Long term</w:t>
            </w: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color w:val="auto"/>
              </w:rPr>
              <w:t>(54)</w:t>
            </w:r>
          </w:p>
        </w:tc>
        <w:tc>
          <w:tcPr>
            <w:tcW w:w="10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w:t>
            </w:r>
          </w:p>
        </w:tc>
      </w:tr>
      <w:tr>
        <w:trPr>
          <w:trHeight w:val="191"/>
        </w:trPr>
        <w:tc>
          <w:tcPr>
            <w:tcW w:w="4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13"/>
        </w:trPr>
        <w:tc>
          <w:tcPr>
            <w:tcW w:w="420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color w:val="auto"/>
              </w:rPr>
              <w:t>Net asset/(liability) at the end of the period</w:t>
            </w:r>
          </w:p>
        </w:tc>
        <w:tc>
          <w:tcPr>
            <w:tcW w:w="1480" w:type="dxa"/>
            <w:vAlign w:val="bottom"/>
            <w:tcBorders>
              <w:bottom w:val="single" w:sz="8" w:color="auto"/>
            </w:tcBorders>
          </w:tcPr>
          <w:p>
            <w:pPr>
              <w:jc w:val="right"/>
              <w:ind w:right="152"/>
              <w:spacing w:after="0" w:line="113" w:lineRule="exact"/>
              <w:rPr>
                <w:sz w:val="20"/>
                <w:szCs w:val="20"/>
                <w:color w:val="auto"/>
              </w:rPr>
            </w:pPr>
            <w:r>
              <w:rPr>
                <w:rFonts w:ascii="Arial" w:cs="Arial" w:eastAsia="Arial" w:hAnsi="Arial"/>
                <w:sz w:val="10"/>
                <w:szCs w:val="10"/>
                <w:color w:val="auto"/>
              </w:rPr>
              <w:t>3</w:t>
            </w:r>
          </w:p>
        </w:tc>
        <w:tc>
          <w:tcPr>
            <w:tcW w:w="8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jc w:val="right"/>
              <w:ind w:right="572"/>
              <w:spacing w:after="0" w:line="113" w:lineRule="exact"/>
              <w:rPr>
                <w:sz w:val="20"/>
                <w:szCs w:val="20"/>
                <w:color w:val="auto"/>
              </w:rPr>
            </w:pPr>
            <w:r>
              <w:rPr>
                <w:rFonts w:ascii="Arial" w:cs="Arial" w:eastAsia="Arial" w:hAnsi="Arial"/>
                <w:sz w:val="10"/>
                <w:szCs w:val="10"/>
                <w:color w:val="auto"/>
              </w:rPr>
              <w:t>(823)</w:t>
            </w:r>
          </w:p>
        </w:tc>
        <w:tc>
          <w:tcPr>
            <w:tcW w:w="10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jc w:val="right"/>
              <w:ind w:right="432"/>
              <w:spacing w:after="0" w:line="113" w:lineRule="exact"/>
              <w:rPr>
                <w:sz w:val="20"/>
                <w:szCs w:val="20"/>
                <w:color w:val="auto"/>
              </w:rPr>
            </w:pPr>
            <w:r>
              <w:rPr>
                <w:rFonts w:ascii="Arial" w:cs="Arial" w:eastAsia="Arial" w:hAnsi="Arial"/>
                <w:sz w:val="10"/>
                <w:szCs w:val="10"/>
                <w:color w:val="auto"/>
              </w:rPr>
              <w:t>(220)</w:t>
            </w:r>
          </w:p>
        </w:tc>
        <w:tc>
          <w:tcPr>
            <w:tcW w:w="8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(1,040)</w:t>
            </w:r>
          </w:p>
        </w:tc>
      </w:tr>
    </w:tbl>
    <w:p>
      <w:pPr>
        <w:spacing w:after="0" w:line="44" w:lineRule="exact"/>
        <w:rPr>
          <w:sz w:val="20"/>
          <w:szCs w:val="20"/>
          <w:color w:val="auto"/>
        </w:rPr>
      </w:pPr>
    </w:p>
    <w:p>
      <w:pPr>
        <w:ind w:left="128" w:hanging="128"/>
        <w:spacing w:after="0"/>
        <w:tabs>
          <w:tab w:leader="none" w:pos="128" w:val="left"/>
        </w:tabs>
        <w:numPr>
          <w:ilvl w:val="0"/>
          <w:numId w:val="184"/>
        </w:numPr>
        <w:rPr>
          <w:rFonts w:ascii="Arial" w:cs="Arial" w:eastAsia="Arial" w:hAnsi="Arial"/>
          <w:sz w:val="7"/>
          <w:szCs w:val="7"/>
          <w:color w:val="auto"/>
        </w:rPr>
      </w:pPr>
      <w:r>
        <w:rPr>
          <w:rFonts w:ascii="Arial" w:cs="Arial" w:eastAsia="Arial" w:hAnsi="Arial"/>
          <w:sz w:val="7"/>
          <w:szCs w:val="7"/>
          <w:color w:val="auto"/>
        </w:rPr>
        <w:t>Includes cost of emission certificates that were allocated free of charge, with an equivalent fair value at grant date of $377 million.</w:t>
      </w:r>
    </w:p>
    <w:p>
      <w:pPr>
        <w:ind w:left="108" w:hanging="108"/>
        <w:spacing w:after="0" w:line="187" w:lineRule="auto"/>
        <w:tabs>
          <w:tab w:leader="none" w:pos="108" w:val="left"/>
        </w:tabs>
        <w:numPr>
          <w:ilvl w:val="0"/>
          <w:numId w:val="184"/>
        </w:numPr>
        <w:rPr>
          <w:rFonts w:ascii="Arial" w:cs="Arial" w:eastAsia="Arial" w:hAnsi="Arial"/>
          <w:sz w:val="7"/>
          <w:szCs w:val="7"/>
          <w:color w:val="auto"/>
        </w:rPr>
      </w:pPr>
      <w:r>
        <w:rPr>
          <w:rFonts w:ascii="Arial" w:cs="Arial" w:eastAsia="Arial" w:hAnsi="Arial"/>
          <w:sz w:val="7"/>
          <w:szCs w:val="7"/>
          <w:color w:val="auto"/>
        </w:rPr>
        <w:t>Represents the cost of biofuel certificates required in addition to own blending activities performed.</w:t>
      </w:r>
    </w:p>
    <w:p>
      <w:pPr>
        <w:ind w:left="108" w:hanging="108"/>
        <w:spacing w:after="0"/>
        <w:tabs>
          <w:tab w:leader="none" w:pos="108" w:val="left"/>
        </w:tabs>
        <w:numPr>
          <w:ilvl w:val="0"/>
          <w:numId w:val="184"/>
        </w:numPr>
        <w:rPr>
          <w:rFonts w:ascii="Arial" w:cs="Arial" w:eastAsia="Arial" w:hAnsi="Arial"/>
          <w:sz w:val="7"/>
          <w:szCs w:val="7"/>
          <w:color w:val="auto"/>
        </w:rPr>
      </w:pPr>
      <w:r>
        <w:rPr>
          <w:rFonts w:ascii="Arial" w:cs="Arial" w:eastAsia="Arial" w:hAnsi="Arial"/>
          <w:sz w:val="7"/>
          <w:szCs w:val="7"/>
          <w:color w:val="auto"/>
        </w:rPr>
        <w:t>Includes emission certificates that were allocated free of charge with a carrying amount of zero and an equivalent fair value at grant date of $398 million.</w:t>
      </w:r>
    </w:p>
    <w:p>
      <w:pPr>
        <w:spacing w:after="0" w:line="304" w:lineRule="exact"/>
        <w:rPr>
          <w:sz w:val="20"/>
          <w:szCs w:val="20"/>
          <w:color w:val="auto"/>
        </w:rPr>
      </w:pPr>
    </w:p>
    <w:p>
      <w:pPr>
        <w:ind w:left="8"/>
        <w:spacing w:after="0"/>
        <w:rPr>
          <w:sz w:val="20"/>
          <w:szCs w:val="20"/>
          <w:color w:val="auto"/>
        </w:rPr>
      </w:pPr>
      <w:r>
        <w:rPr>
          <w:rFonts w:ascii="Arial" w:cs="Arial" w:eastAsia="Arial" w:hAnsi="Arial"/>
          <w:sz w:val="10"/>
          <w:szCs w:val="10"/>
          <w:color w:val="auto"/>
        </w:rPr>
        <w:t>Emission certificates acquired that are held for compliance purposes are recognised at cost under intangible assets. In addition, a portfolio of emission certificates is held for trading purposes and classified under inventory (see Notes 2 and Note 12).</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8"/>
          <w:szCs w:val="8"/>
          <w:color w:val="auto"/>
        </w:rPr>
        <w:t>Cost recognised in the Consolidated Statement of Income represents the compliance cost associated with emissions or with products sold during the year. The liability at year-end represents the compliance cost recognised over current and past compliance periods to the extent not settled to date.</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0"/>
          <w:szCs w:val="10"/>
          <w:color w:val="auto"/>
        </w:rPr>
        <w:t>Liabilities are settled in line with compliance periods, which depend on the scheme and may not coincide with the calendar year.</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0"/>
          <w:szCs w:val="10"/>
          <w:color w:val="auto"/>
        </w:rPr>
        <w:t>Due to the increasing importance of emission schemes and related environmental plans, this Note is newly included in 2020 and comparatives are not provided. The figures present compliance schemes only, excluding voluntary activities.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1"/>
          <w:szCs w:val="11"/>
          <w:color w:val="auto"/>
        </w:rPr>
        <w:t>30 – POST-BALANCE SHEET EVENTS</w:t>
      </w:r>
    </w:p>
    <w:p>
      <w:pPr>
        <w:spacing w:after="0" w:line="154" w:lineRule="exact"/>
        <w:rPr>
          <w:sz w:val="20"/>
          <w:szCs w:val="20"/>
          <w:color w:val="auto"/>
        </w:rPr>
      </w:pPr>
    </w:p>
    <w:p>
      <w:pPr>
        <w:jc w:val="both"/>
        <w:ind w:left="8" w:right="100"/>
        <w:spacing w:after="0" w:line="320" w:lineRule="auto"/>
        <w:rPr>
          <w:sz w:val="20"/>
          <w:szCs w:val="20"/>
          <w:color w:val="auto"/>
        </w:rPr>
      </w:pPr>
      <w:r>
        <w:rPr>
          <w:rFonts w:ascii="Arial" w:cs="Arial" w:eastAsia="Arial" w:hAnsi="Arial"/>
          <w:sz w:val="8"/>
          <w:szCs w:val="8"/>
          <w:color w:val="auto"/>
        </w:rPr>
        <w:t>A restructuring plan named Reshape was announced in the third quarter 2020. Under Reshape, between 7,000 and 9,000 job reductions are expected by the end of 2022, including around 1,500 people who have already elected to take selective voluntary severance in 2020. In January 2021 the impact of Reshape was communicated to employees, establishing for some employees, a constructive obligation that satisfies the IFRS criteria for recognising a provision. This represents a non-adjusting post-balance sheet event under IFRS. The costs for this phase of the plan, and where the IFRS recognition criteria have been satisfied, are in the range of $650 million to $850 million (Shell share pre-tax) and will be recognised in the first quarter of 2021. Further redundancy costs will be recognised once the IFRS recognition criteria are met during 2021 and 2022.</w:t>
      </w:r>
    </w:p>
    <w:p>
      <w:pPr>
        <w:spacing w:after="0" w:line="118" w:lineRule="exact"/>
        <w:rPr>
          <w:sz w:val="20"/>
          <w:szCs w:val="20"/>
          <w:color w:val="auto"/>
        </w:rPr>
      </w:pPr>
    </w:p>
    <w:p>
      <w:pPr>
        <w:ind w:left="8" w:right="260"/>
        <w:spacing w:after="0" w:line="358" w:lineRule="auto"/>
        <w:rPr>
          <w:sz w:val="20"/>
          <w:szCs w:val="20"/>
          <w:color w:val="auto"/>
        </w:rPr>
      </w:pPr>
      <w:r>
        <w:rPr>
          <w:rFonts w:ascii="Arial" w:cs="Arial" w:eastAsia="Arial" w:hAnsi="Arial"/>
          <w:sz w:val="8"/>
          <w:szCs w:val="8"/>
          <w:color w:val="auto"/>
        </w:rPr>
        <w:t>On February 17, 2021, an agreement was reached with publicly listed Canadian energy company Crescent Point Energy Corp. to sell the Duvernay shale light oil position in Alberta, Canada, for a total consideration of $707 million (C$900 million). The transaction has an effective date of January 1, 2021. The consideration is comprised of $550 million in cash and 50 million shares (valued at $157 million) in Crescent Point Energy common stock (TSX: CPG). Subject to regulatory approvals, the transaction is expected to close in April 2021.</w:t>
      </w:r>
    </w:p>
    <w:p>
      <w:pPr>
        <w:spacing w:after="0" w:line="104" w:lineRule="exact"/>
        <w:rPr>
          <w:sz w:val="20"/>
          <w:szCs w:val="20"/>
          <w:color w:val="auto"/>
        </w:rPr>
      </w:pPr>
    </w:p>
    <w:p>
      <w:pPr>
        <w:ind w:left="8" w:right="240"/>
        <w:spacing w:after="0" w:line="358" w:lineRule="auto"/>
        <w:rPr>
          <w:sz w:val="20"/>
          <w:szCs w:val="20"/>
          <w:color w:val="auto"/>
        </w:rPr>
      </w:pPr>
      <w:r>
        <w:rPr>
          <w:rFonts w:ascii="Arial" w:cs="Arial" w:eastAsia="Arial" w:hAnsi="Arial"/>
          <w:sz w:val="8"/>
          <w:szCs w:val="8"/>
          <w:color w:val="auto"/>
        </w:rPr>
        <w:t>On March 9, 2021, we announced that Shell Egypt and one of its affiliates have signed an agreement with a consortium made up of subsidiaries of Cheiron Petroleum Corporation and Cairn Energy plc to acquire Shell’s upstream assets in Egypt’s Western Desert for a base consideration of $646 million and additional payments of up to $280 million between 2021 and 2024, contingent on the oil price and the results of further exploration. The transaction is subject to government and regulatory approvals and is expected to complete in the second half of 2021.</w:t>
      </w:r>
    </w:p>
    <w:p>
      <w:pPr>
        <w:spacing w:after="0" w:line="298"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44"/>
              <w:spacing w:after="0"/>
              <w:rPr>
                <w:sz w:val="20"/>
                <w:szCs w:val="20"/>
                <w:color w:val="auto"/>
              </w:rPr>
            </w:pPr>
            <w:r>
              <w:rPr>
                <w:rFonts w:ascii="Arial" w:cs="Arial" w:eastAsia="Arial" w:hAnsi="Arial"/>
                <w:sz w:val="7"/>
                <w:szCs w:val="7"/>
                <w:color w:val="auto"/>
              </w:rPr>
              <w:t>211</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38" w:right="29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SUPPLEMENTARY INFORMATION – OIL AND GAS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51485" cy="2286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51485" cy="2286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0"/>
          <w:szCs w:val="10"/>
          <w:color w:val="auto"/>
        </w:rPr>
        <w:t>ABOUT THIS SECTION</w:t>
      </w:r>
    </w:p>
    <w:p>
      <w:pPr>
        <w:spacing w:after="0" w:line="1" w:lineRule="exact"/>
        <w:rPr>
          <w:sz w:val="20"/>
          <w:szCs w:val="20"/>
          <w:color w:val="auto"/>
        </w:rPr>
      </w:pPr>
    </w:p>
    <w:p>
      <w:pPr>
        <w:ind w:right="240"/>
        <w:spacing w:after="0" w:line="231" w:lineRule="auto"/>
        <w:rPr>
          <w:sz w:val="20"/>
          <w:szCs w:val="20"/>
          <w:color w:val="auto"/>
        </w:rPr>
      </w:pPr>
      <w:r>
        <w:rPr>
          <w:rFonts w:ascii="Arial" w:cs="Arial" w:eastAsia="Arial" w:hAnsi="Arial"/>
          <w:sz w:val="10"/>
          <w:szCs w:val="10"/>
          <w:color w:val="auto"/>
        </w:rPr>
        <w:t>The purpose of this section is to comply with the requirements of the Financial Accounting Standards Board (FASB) “Extractive Activities – Oil and Gas (Topic 932)”. Extractive activities for this purpose include exploration and production activities to extract oil, condensates, natural gas liquids, oil sands and natural gas from their natural reservoirs.</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0"/>
          <w:szCs w:val="10"/>
          <w:color w:val="auto"/>
        </w:rPr>
        <w:t>In Shell, extractive activities, or oil and gas exploration and production activities, are undertaken within the Upstream segment, Integrated Gas segment and Oil Products segment (oil sands). Shell’s extractive activities do not represent the full extent of the Upstream, Integrated Gas and Oil Products activities and exclude downstream GTL, some LNG activities, Marketing business in Oil Products, Power and New Energies, trading and optimisation, as well as other non-extractive activities. The information in this "extractive activities" section is therefore not suitable for modelling Shell’s integrated businesses for which we refer to the segment information. Full segment information to the Consolidated Financial Statements is available on pages 177-180.</w:t>
      </w:r>
    </w:p>
    <w:p>
      <w:pPr>
        <w:spacing w:after="0" w:line="150" w:lineRule="exact"/>
        <w:rPr>
          <w:sz w:val="20"/>
          <w:szCs w:val="20"/>
          <w:color w:val="auto"/>
        </w:rPr>
      </w:pPr>
    </w:p>
    <w:p>
      <w:pPr>
        <w:spacing w:after="0"/>
        <w:rPr>
          <w:sz w:val="20"/>
          <w:szCs w:val="20"/>
          <w:color w:val="auto"/>
        </w:rPr>
      </w:pPr>
      <w:r>
        <w:rPr>
          <w:rFonts w:ascii="Arial" w:cs="Arial" w:eastAsia="Arial" w:hAnsi="Arial"/>
          <w:sz w:val="8"/>
          <w:szCs w:val="8"/>
          <w:color w:val="auto"/>
        </w:rPr>
        <w:t>The information set out on pages 211-228 is referred to as “unaudited” as a means of clarifying that it is not covered by the audit opinion of the independent registered public accounting firm that has audited and reported on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PROVED RESERVES</w:t>
      </w:r>
    </w:p>
    <w:p>
      <w:pPr>
        <w:ind w:right="280"/>
        <w:spacing w:after="0" w:line="231" w:lineRule="auto"/>
        <w:rPr>
          <w:sz w:val="20"/>
          <w:szCs w:val="20"/>
          <w:color w:val="auto"/>
        </w:rPr>
      </w:pPr>
      <w:r>
        <w:rPr>
          <w:rFonts w:ascii="Arial" w:cs="Arial" w:eastAsia="Arial" w:hAnsi="Arial"/>
          <w:sz w:val="10"/>
          <w:szCs w:val="10"/>
          <w:color w:val="auto"/>
        </w:rPr>
        <w:t>Proved reserves estimates are calculated pursuant to the US Securities and Exchange Commission (SEC) Rules and the FASB’s Topic 932. Proved reserves can be either developed or undeveloped. The definitions used are in accordance with the SEC Rule 4–10 (a) of Regulation S-X. We include proved reserves associated with future production that will be consumed in operations.</w:t>
      </w:r>
    </w:p>
    <w:p>
      <w:pPr>
        <w:spacing w:after="0" w:line="149" w:lineRule="exact"/>
        <w:rPr>
          <w:sz w:val="20"/>
          <w:szCs w:val="20"/>
          <w:color w:val="auto"/>
        </w:rPr>
      </w:pPr>
    </w:p>
    <w:p>
      <w:pPr>
        <w:ind w:right="120"/>
        <w:spacing w:after="0" w:line="239" w:lineRule="auto"/>
        <w:rPr>
          <w:sz w:val="20"/>
          <w:szCs w:val="20"/>
          <w:color w:val="auto"/>
        </w:rPr>
      </w:pPr>
      <w:r>
        <w:rPr>
          <w:rFonts w:ascii="Arial" w:cs="Arial" w:eastAsia="Arial" w:hAnsi="Arial"/>
          <w:sz w:val="10"/>
          <w:szCs w:val="10"/>
          <w:color w:val="auto"/>
        </w:rPr>
        <w:t>Proved reserves shown are net of any quantities of crude oil or natural gas that are expected to be (or could be) taken as royalties in kind. Proved reserves outside North America include quantities that will be settled as royalties in cash. Proved reserves include certain quantities of crude oil or natural gas that will be produced under arrangements that involve Shell subsidiaries, joint ventures and associates in risks and rewards but do not transfer title of the product to those entities.</w:t>
      </w:r>
    </w:p>
    <w:p>
      <w:pPr>
        <w:spacing w:after="0" w:line="149" w:lineRule="exact"/>
        <w:rPr>
          <w:sz w:val="20"/>
          <w:szCs w:val="20"/>
          <w:color w:val="auto"/>
        </w:rPr>
      </w:pPr>
    </w:p>
    <w:p>
      <w:pPr>
        <w:ind w:right="440"/>
        <w:spacing w:after="0" w:line="239" w:lineRule="auto"/>
        <w:rPr>
          <w:sz w:val="20"/>
          <w:szCs w:val="20"/>
          <w:color w:val="auto"/>
        </w:rPr>
      </w:pPr>
      <w:r>
        <w:rPr>
          <w:rFonts w:ascii="Arial" w:cs="Arial" w:eastAsia="Arial" w:hAnsi="Arial"/>
          <w:sz w:val="10"/>
          <w:szCs w:val="10"/>
          <w:color w:val="auto"/>
        </w:rPr>
        <w:t>Subsidiaries’ proved reserves at December 31, 2020, were divided into 85% developed and 15% undeveloped on a barrel of oil equivalent basis. For the Shell share of joint ventures and associates, the proved reserves at December 31, 2020, were divided into 88% developed and 12% undeveloped on a barrel of oil equivalent basis.</w:t>
      </w:r>
    </w:p>
    <w:p>
      <w:pPr>
        <w:spacing w:after="0" w:line="149" w:lineRule="exact"/>
        <w:rPr>
          <w:sz w:val="20"/>
          <w:szCs w:val="20"/>
          <w:color w:val="auto"/>
        </w:rPr>
      </w:pPr>
    </w:p>
    <w:p>
      <w:pPr>
        <w:ind w:right="100"/>
        <w:spacing w:after="0" w:line="239" w:lineRule="auto"/>
        <w:rPr>
          <w:sz w:val="20"/>
          <w:szCs w:val="20"/>
          <w:color w:val="auto"/>
        </w:rPr>
      </w:pPr>
      <w:r>
        <w:rPr>
          <w:rFonts w:ascii="Arial" w:cs="Arial" w:eastAsia="Arial" w:hAnsi="Arial"/>
          <w:sz w:val="10"/>
          <w:szCs w:val="10"/>
          <w:color w:val="auto"/>
        </w:rPr>
        <w:t>Proved reserves are recognised under various forms of contractual agreements. Shell’s proved reserves volumes at December 31, 2020, present in agreements such as production-sharing contracts (PSC), tax/variable royalty contracts or other forms of economic entitlement contracts, where the Shell share of reserves can vary with commodity prices, were 2,044 million barrels of crude oil and natural gas liquids, and 12,133 thousand million standard cubic feet (scf) of natural gas.</w:t>
      </w:r>
    </w:p>
    <w:p>
      <w:pPr>
        <w:spacing w:after="0" w:line="149" w:lineRule="exact"/>
        <w:rPr>
          <w:sz w:val="20"/>
          <w:szCs w:val="20"/>
          <w:color w:val="auto"/>
        </w:rPr>
      </w:pPr>
    </w:p>
    <w:p>
      <w:pPr>
        <w:spacing w:after="0"/>
        <w:rPr>
          <w:sz w:val="20"/>
          <w:szCs w:val="20"/>
          <w:color w:val="auto"/>
        </w:rPr>
      </w:pPr>
      <w:r>
        <w:rPr>
          <w:rFonts w:ascii="Arial" w:cs="Arial" w:eastAsia="Arial" w:hAnsi="Arial"/>
          <w:sz w:val="8"/>
          <w:szCs w:val="8"/>
          <w:color w:val="auto"/>
        </w:rPr>
        <w:t>Proved reserves cannot be measured exactly because estimation of reserves involves subjective judgement (see “Risk factors” on page 19 and our “Proved reserves assurance process” below). These estimates remain subject to revision and are unaudited supplementary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PROVED RESERVES ASSURANCE PROCESS</w:t>
      </w:r>
    </w:p>
    <w:p>
      <w:pPr>
        <w:ind w:right="60"/>
        <w:spacing w:after="0" w:line="295" w:lineRule="auto"/>
        <w:rPr>
          <w:sz w:val="20"/>
          <w:szCs w:val="20"/>
          <w:color w:val="auto"/>
        </w:rPr>
      </w:pPr>
      <w:r>
        <w:rPr>
          <w:rFonts w:ascii="Arial" w:cs="Arial" w:eastAsia="Arial" w:hAnsi="Arial"/>
          <w:sz w:val="8"/>
          <w:szCs w:val="8"/>
          <w:color w:val="auto"/>
        </w:rPr>
        <w:t>A central group of reserves experts, who on average have around 25 years’ experience in the oil and gas industry, undertake the primary assurance of the proved reserves bookings. This group of experts is part of the Resources Assurance and Reporting (RAR) organisation within Shell. A Vice President with 35 years’ experience in the oil and gas industry currently heads the RAR organisation. He is a member of the Society of Petroleum Engineers, Society of Petroleum Evaluation Engineers and holds a BA in mathematics from Oxford University and an MEng in Petroleum Engineering from Heriot-Watt University. The RAR organisation reports directly to an Executive Vice President of Finance, who is a member of the Upstream Reserves Committee (URC). The URC is a multidisciplinary committee consisting of senior representatives from the Finance, Legal, Projects &amp; Technology and Upstream organisations. The URC reviews and endorses all major (larger than 20 million barrels of oil equivalent) proved reserves bookings and de-bookings and endorses the total aggregated proved reserves. Final approval of all proved reserves bookings remains with Shell’s Executive Committee, and all proved reserves bookings are reviewed by Shell’s Audit Committee. The Internal Audit function also provides secondary assurance through audits of the control framework.</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CRUDE OIL, NATURAL GAS LIQUIDS, SYNTHETIC CRUDE OIL AND BITUMEN</w:t>
      </w:r>
    </w:p>
    <w:p>
      <w:pPr>
        <w:ind w:right="80"/>
        <w:spacing w:after="0" w:line="337" w:lineRule="auto"/>
        <w:rPr>
          <w:sz w:val="20"/>
          <w:szCs w:val="20"/>
          <w:color w:val="auto"/>
        </w:rPr>
      </w:pPr>
      <w:r>
        <w:rPr>
          <w:rFonts w:ascii="Arial" w:cs="Arial" w:eastAsia="Arial" w:hAnsi="Arial"/>
          <w:sz w:val="8"/>
          <w:szCs w:val="8"/>
          <w:color w:val="auto"/>
        </w:rPr>
        <w:t>Shell subsidiaries’ proved reserves of crude oil, natural gas liquids (NGLs), synthetic crude oil and bitumen at the end of the year; their share of the proved reserves of joint ventures and associates at the end of the year; and the changes in such reserves during the year are set out on pages 212-215. Significant changes in these proved reserves are discussed below, where "revisions and reclassifications" are changes based on new information that resulted from development drilling, production history, and changes in economic factors.</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PROVED RESERVES 2020–2019</w:t>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Shell subsidiaries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Asia</w:t>
      </w:r>
    </w:p>
    <w:p>
      <w:pPr>
        <w:spacing w:after="0" w:line="237" w:lineRule="auto"/>
        <w:rPr>
          <w:sz w:val="20"/>
          <w:szCs w:val="20"/>
          <w:color w:val="auto"/>
        </w:rPr>
      </w:pPr>
      <w:r>
        <w:rPr>
          <w:rFonts w:ascii="Arial" w:cs="Arial" w:eastAsia="Arial" w:hAnsi="Arial"/>
          <w:sz w:val="10"/>
          <w:szCs w:val="10"/>
          <w:color w:val="auto"/>
        </w:rPr>
        <w:t>The net increase of 181 million barrels in revisions and reclassifications was mainly in Kazakhstan and Oman.</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USA</w:t>
      </w:r>
    </w:p>
    <w:p>
      <w:pPr>
        <w:spacing w:after="0" w:line="237" w:lineRule="auto"/>
        <w:rPr>
          <w:sz w:val="20"/>
          <w:szCs w:val="20"/>
          <w:color w:val="auto"/>
        </w:rPr>
      </w:pPr>
      <w:r>
        <w:rPr>
          <w:rFonts w:ascii="Arial" w:cs="Arial" w:eastAsia="Arial" w:hAnsi="Arial"/>
          <w:sz w:val="10"/>
          <w:szCs w:val="10"/>
          <w:color w:val="auto"/>
        </w:rPr>
        <w:t>The net decrease of 116 million barrels in revisions and reclassifications of which half was mainly in Permian and Belridge Light Oil.</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Canada</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212</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215" w:name="page216"/>
    <w:bookmarkEnd w:id="215"/>
    <w:p>
      <w:pPr>
        <w:spacing w:after="0"/>
        <w:rPr>
          <w:sz w:val="20"/>
          <w:szCs w:val="20"/>
          <w:color w:val="auto"/>
        </w:rPr>
      </w:pPr>
      <w:r>
        <w:rPr>
          <w:rFonts w:ascii="Arial" w:cs="Arial" w:eastAsia="Arial" w:hAnsi="Arial"/>
          <w:sz w:val="10"/>
          <w:szCs w:val="10"/>
          <w:color w:val="auto"/>
        </w:rPr>
        <w:t>The net increase of 55 million barrels in revisions and reclassifications was mainly in Jackpine Mine and Muskeg River mine.</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South America</w:t>
      </w:r>
    </w:p>
    <w:p>
      <w:pPr>
        <w:spacing w:after="0" w:line="237" w:lineRule="auto"/>
        <w:rPr>
          <w:sz w:val="20"/>
          <w:szCs w:val="20"/>
          <w:color w:val="auto"/>
        </w:rPr>
      </w:pPr>
      <w:r>
        <w:rPr>
          <w:rFonts w:ascii="Arial" w:cs="Arial" w:eastAsia="Arial" w:hAnsi="Arial"/>
          <w:sz w:val="10"/>
          <w:szCs w:val="10"/>
          <w:color w:val="auto"/>
        </w:rPr>
        <w:t>The net decrease of 82 million barrels in revisions and reclassifications was mainly in Brazil.</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PROVED RESERVES 2019–2018</w:t>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Shell subsidiaries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Europe</w:t>
      </w:r>
    </w:p>
    <w:p>
      <w:pPr>
        <w:spacing w:after="0" w:line="237" w:lineRule="auto"/>
        <w:rPr>
          <w:sz w:val="20"/>
          <w:szCs w:val="20"/>
          <w:color w:val="auto"/>
        </w:rPr>
      </w:pPr>
      <w:r>
        <w:rPr>
          <w:rFonts w:ascii="Arial" w:cs="Arial" w:eastAsia="Arial" w:hAnsi="Arial"/>
          <w:sz w:val="10"/>
          <w:szCs w:val="10"/>
          <w:color w:val="auto"/>
        </w:rPr>
        <w:t>The net decrease of 65 million barrels in sales and purchases resulted from divestments carried out in Denmark.</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Asia</w:t>
      </w:r>
    </w:p>
    <w:p>
      <w:pPr>
        <w:spacing w:after="0" w:line="237" w:lineRule="auto"/>
        <w:rPr>
          <w:sz w:val="20"/>
          <w:szCs w:val="20"/>
          <w:color w:val="auto"/>
        </w:rPr>
      </w:pPr>
      <w:r>
        <w:rPr>
          <w:rFonts w:ascii="Arial" w:cs="Arial" w:eastAsia="Arial" w:hAnsi="Arial"/>
          <w:sz w:val="10"/>
          <w:szCs w:val="10"/>
          <w:color w:val="auto"/>
        </w:rPr>
        <w:t>The net increase of 226 million barrels in revisions and reclassifications was mainly in Oman and Kazakhstan.</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USA</w:t>
      </w:r>
    </w:p>
    <w:p>
      <w:pPr>
        <w:ind w:right="40"/>
        <w:spacing w:after="0" w:line="231" w:lineRule="auto"/>
        <w:rPr>
          <w:sz w:val="20"/>
          <w:szCs w:val="20"/>
          <w:color w:val="auto"/>
        </w:rPr>
      </w:pPr>
      <w:r>
        <w:rPr>
          <w:rFonts w:ascii="Arial" w:cs="Arial" w:eastAsia="Arial" w:hAnsi="Arial"/>
          <w:sz w:val="10"/>
          <w:szCs w:val="10"/>
          <w:color w:val="auto"/>
        </w:rPr>
        <w:t>The increase of 86 million barrels in revisions and reclassifications mainly resulted from field performance studies and development activities in the Permian Basin and in the Mars and Ursa fields in the Gulf of Mexico. The increase of 74 million barrels in extensions and discoveries was in the Permian Basin and PowerNap.</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South America</w:t>
      </w:r>
    </w:p>
    <w:p>
      <w:pPr>
        <w:ind w:right="100"/>
        <w:spacing w:after="0" w:line="225" w:lineRule="auto"/>
        <w:rPr>
          <w:sz w:val="20"/>
          <w:szCs w:val="20"/>
          <w:color w:val="auto"/>
        </w:rPr>
      </w:pPr>
      <w:r>
        <w:rPr>
          <w:rFonts w:ascii="Arial" w:cs="Arial" w:eastAsia="Arial" w:hAnsi="Arial"/>
          <w:sz w:val="10"/>
          <w:szCs w:val="10"/>
          <w:color w:val="auto"/>
        </w:rPr>
        <w:t>The increase of 72 million barrels in revisions and reclassifications mainly resulted from field performance studies and development activities in the Lula (recently renamed Tupi) and Lapa fields (Brazil). The net increase of 60 million barrels in extensions and discoveries was mainly in Mero (Brazil).</w:t>
      </w:r>
    </w:p>
    <w:p>
      <w:pPr>
        <w:spacing w:after="0" w:line="237" w:lineRule="auto"/>
        <w:rPr>
          <w:sz w:val="20"/>
          <w:szCs w:val="20"/>
          <w:color w:val="auto"/>
        </w:rPr>
      </w:pPr>
      <w:r>
        <w:rPr>
          <w:rFonts w:ascii="Arial" w:cs="Arial" w:eastAsia="Arial" w:hAnsi="Arial"/>
          <w:sz w:val="10"/>
          <w:szCs w:val="10"/>
          <w:color w:val="auto"/>
        </w:rPr>
        <w:t>Proved developed and undeveloped reserves 2020</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700" w:type="dxa"/>
            <w:vAlign w:val="bottom"/>
            <w:tcBorders>
              <w:top w:val="single" w:sz="8" w:color="CDCDCD"/>
            </w:tcBorders>
          </w:tcPr>
          <w:p>
            <w:pPr>
              <w:spacing w:after="0"/>
              <w:rPr>
                <w:sz w:val="20"/>
                <w:szCs w:val="20"/>
                <w:color w:val="auto"/>
              </w:rPr>
            </w:pPr>
            <w:r>
              <w:rPr>
                <w:rFonts w:ascii="Arial" w:cs="Arial" w:eastAsia="Arial" w:hAnsi="Arial"/>
                <w:sz w:val="8"/>
                <w:szCs w:val="8"/>
                <w:color w:val="auto"/>
              </w:rPr>
              <w:t>Proved developed and undeveloped reserves 2020</w:t>
            </w:r>
          </w:p>
        </w:tc>
        <w:tc>
          <w:tcPr>
            <w:tcW w:w="700" w:type="dxa"/>
            <w:vAlign w:val="bottom"/>
            <w:tcBorders>
              <w:top w:val="single" w:sz="8" w:color="CDCDCD"/>
            </w:tcBorders>
          </w:tcPr>
          <w:p>
            <w:pPr>
              <w:spacing w:after="0"/>
              <w:rPr>
                <w:sz w:val="12"/>
                <w:szCs w:val="12"/>
                <w:color w:val="auto"/>
              </w:rPr>
            </w:pPr>
          </w:p>
        </w:tc>
        <w:tc>
          <w:tcPr>
            <w:tcW w:w="660" w:type="dxa"/>
            <w:vAlign w:val="bottom"/>
            <w:tcBorders>
              <w:top w:val="single" w:sz="8" w:color="CDCDCD"/>
            </w:tcBorders>
          </w:tcPr>
          <w:p>
            <w:pPr>
              <w:spacing w:after="0"/>
              <w:rPr>
                <w:sz w:val="12"/>
                <w:szCs w:val="12"/>
                <w:color w:val="auto"/>
              </w:rPr>
            </w:pPr>
          </w:p>
        </w:tc>
        <w:tc>
          <w:tcPr>
            <w:tcW w:w="660" w:type="dxa"/>
            <w:vAlign w:val="bottom"/>
            <w:tcBorders>
              <w:top w:val="single" w:sz="8" w:color="CDCDCD"/>
            </w:tcBorders>
          </w:tcPr>
          <w:p>
            <w:pPr>
              <w:spacing w:after="0"/>
              <w:rPr>
                <w:sz w:val="12"/>
                <w:szCs w:val="12"/>
                <w:color w:val="auto"/>
              </w:rPr>
            </w:pPr>
          </w:p>
        </w:tc>
        <w:tc>
          <w:tcPr>
            <w:tcW w:w="600" w:type="dxa"/>
            <w:vAlign w:val="bottom"/>
            <w:tcBorders>
              <w:top w:val="single" w:sz="8" w:color="CDCDCD"/>
            </w:tcBorders>
          </w:tcPr>
          <w:p>
            <w:pPr>
              <w:spacing w:after="0"/>
              <w:rPr>
                <w:sz w:val="12"/>
                <w:szCs w:val="12"/>
                <w:color w:val="auto"/>
              </w:rPr>
            </w:pPr>
          </w:p>
        </w:tc>
        <w:tc>
          <w:tcPr>
            <w:tcW w:w="660" w:type="dxa"/>
            <w:vAlign w:val="bottom"/>
            <w:tcBorders>
              <w:top w:val="single" w:sz="8" w:color="CDCDCD"/>
            </w:tcBorders>
          </w:tcPr>
          <w:p>
            <w:pPr>
              <w:spacing w:after="0"/>
              <w:rPr>
                <w:sz w:val="12"/>
                <w:szCs w:val="12"/>
                <w:color w:val="auto"/>
              </w:rPr>
            </w:pPr>
          </w:p>
        </w:tc>
        <w:tc>
          <w:tcPr>
            <w:tcW w:w="680" w:type="dxa"/>
            <w:vAlign w:val="bottom"/>
            <w:tcBorders>
              <w:top w:val="single" w:sz="8" w:color="CDCDCD"/>
            </w:tcBorders>
          </w:tcPr>
          <w:p>
            <w:pPr>
              <w:spacing w:after="0"/>
              <w:rPr>
                <w:sz w:val="12"/>
                <w:szCs w:val="12"/>
                <w:color w:val="auto"/>
              </w:rPr>
            </w:pPr>
          </w:p>
        </w:tc>
        <w:tc>
          <w:tcPr>
            <w:tcW w:w="720" w:type="dxa"/>
            <w:vAlign w:val="bottom"/>
            <w:tcBorders>
              <w:top w:val="single" w:sz="8" w:color="CDCDCD"/>
            </w:tcBorders>
          </w:tcPr>
          <w:p>
            <w:pPr>
              <w:spacing w:after="0"/>
              <w:rPr>
                <w:sz w:val="12"/>
                <w:szCs w:val="12"/>
                <w:color w:val="auto"/>
              </w:rPr>
            </w:pPr>
          </w:p>
        </w:tc>
        <w:tc>
          <w:tcPr>
            <w:tcW w:w="560" w:type="dxa"/>
            <w:vAlign w:val="bottom"/>
            <w:tcBorders>
              <w:top w:val="single" w:sz="8" w:color="CDCDCD"/>
            </w:tcBorders>
          </w:tcPr>
          <w:p>
            <w:pPr>
              <w:spacing w:after="0"/>
              <w:rPr>
                <w:sz w:val="12"/>
                <w:szCs w:val="12"/>
                <w:color w:val="auto"/>
              </w:rPr>
            </w:pPr>
          </w:p>
        </w:tc>
        <w:tc>
          <w:tcPr>
            <w:tcW w:w="720" w:type="dxa"/>
            <w:vAlign w:val="bottom"/>
            <w:tcBorders>
              <w:top w:val="single" w:sz="8" w:color="CDCDCD"/>
            </w:tcBorders>
          </w:tcPr>
          <w:p>
            <w:pPr>
              <w:spacing w:after="0"/>
              <w:rPr>
                <w:sz w:val="12"/>
                <w:szCs w:val="12"/>
                <w:color w:val="auto"/>
              </w:rPr>
            </w:pPr>
          </w:p>
        </w:tc>
        <w:tc>
          <w:tcPr>
            <w:tcW w:w="620" w:type="dxa"/>
            <w:vAlign w:val="bottom"/>
            <w:tcBorders>
              <w:top w:val="single" w:sz="8" w:color="CDCDCD"/>
            </w:tcBorders>
          </w:tcPr>
          <w:p>
            <w:pPr>
              <w:spacing w:after="0"/>
              <w:rPr>
                <w:sz w:val="12"/>
                <w:szCs w:val="12"/>
                <w:color w:val="auto"/>
              </w:rPr>
            </w:pPr>
          </w:p>
        </w:tc>
        <w:tc>
          <w:tcPr>
            <w:tcW w:w="1180" w:type="dxa"/>
            <w:vAlign w:val="bottom"/>
            <w:tcBorders>
              <w:top w:val="single" w:sz="8" w:color="CDCDCD"/>
            </w:tcBorders>
          </w:tcPr>
          <w:p>
            <w:pPr>
              <w:spacing w:after="0"/>
              <w:rPr>
                <w:sz w:val="12"/>
                <w:szCs w:val="12"/>
                <w:color w:val="auto"/>
              </w:rPr>
            </w:pPr>
          </w:p>
        </w:tc>
        <w:tc>
          <w:tcPr>
            <w:tcW w:w="200" w:type="dxa"/>
            <w:vAlign w:val="bottom"/>
            <w:tcBorders>
              <w:top w:val="single" w:sz="8" w:color="CDCDCD"/>
            </w:tcBorders>
          </w:tcPr>
          <w:p>
            <w:pPr>
              <w:spacing w:after="0"/>
              <w:rPr>
                <w:sz w:val="12"/>
                <w:szCs w:val="12"/>
                <w:color w:val="auto"/>
              </w:rPr>
            </w:pPr>
          </w:p>
        </w:tc>
        <w:tc>
          <w:tcPr>
            <w:tcW w:w="620" w:type="dxa"/>
            <w:vAlign w:val="bottom"/>
            <w:tcBorders>
              <w:top w:val="single" w:sz="8" w:color="CDCDCD"/>
            </w:tcBorders>
          </w:tcPr>
          <w:p>
            <w:pPr>
              <w:jc w:val="right"/>
              <w:spacing w:after="0"/>
              <w:rPr>
                <w:sz w:val="20"/>
                <w:szCs w:val="20"/>
                <w:color w:val="auto"/>
              </w:rPr>
            </w:pPr>
            <w:r>
              <w:rPr>
                <w:rFonts w:ascii="Arial" w:cs="Arial" w:eastAsia="Arial" w:hAnsi="Arial"/>
                <w:sz w:val="8"/>
                <w:szCs w:val="8"/>
                <w:color w:val="auto"/>
              </w:rPr>
              <w:t>Million barrels</w:t>
            </w:r>
          </w:p>
        </w:tc>
        <w:tc>
          <w:tcPr>
            <w:tcW w:w="0" w:type="dxa"/>
            <w:vAlign w:val="bottom"/>
          </w:tcPr>
          <w:p>
            <w:pPr>
              <w:spacing w:after="0"/>
              <w:rPr>
                <w:sz w:val="1"/>
                <w:szCs w:val="1"/>
                <w:color w:val="auto"/>
              </w:rPr>
            </w:pPr>
          </w:p>
        </w:tc>
      </w:tr>
      <w:tr>
        <w:trPr>
          <w:trHeight w:val="118"/>
        </w:trPr>
        <w:tc>
          <w:tcPr>
            <w:tcW w:w="2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right"/>
              <w:ind w:right="458"/>
              <w:spacing w:after="0"/>
              <w:rPr>
                <w:sz w:val="20"/>
                <w:szCs w:val="20"/>
                <w:color w:val="auto"/>
              </w:rPr>
            </w:pPr>
            <w:r>
              <w:rPr>
                <w:rFonts w:ascii="Arial" w:cs="Arial" w:eastAsia="Arial" w:hAnsi="Arial"/>
                <w:sz w:val="8"/>
                <w:szCs w:val="8"/>
                <w:color w:val="auto"/>
              </w:rPr>
              <w:t>North America</w:t>
            </w:r>
          </w:p>
        </w:tc>
        <w:tc>
          <w:tcPr>
            <w:tcW w:w="56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700" w:type="dxa"/>
            <w:vAlign w:val="bottom"/>
          </w:tcPr>
          <w:p>
            <w:pPr>
              <w:spacing w:after="0"/>
              <w:rPr>
                <w:sz w:val="9"/>
                <w:szCs w:val="9"/>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color w:val="auto"/>
              </w:rPr>
              <w:t>Europe</w:t>
            </w:r>
          </w:p>
        </w:tc>
        <w:tc>
          <w:tcPr>
            <w:tcW w:w="660" w:type="dxa"/>
            <w:vAlign w:val="bottom"/>
            <w:tcBorders>
              <w:bottom w:val="single" w:sz="8" w:color="auto"/>
            </w:tcBorders>
          </w:tcPr>
          <w:p>
            <w:pPr>
              <w:jc w:val="right"/>
              <w:ind w:right="258"/>
              <w:spacing w:after="0"/>
              <w:rPr>
                <w:sz w:val="20"/>
                <w:szCs w:val="20"/>
                <w:color w:val="auto"/>
              </w:rPr>
            </w:pPr>
            <w:r>
              <w:rPr>
                <w:rFonts w:ascii="Arial" w:cs="Arial" w:eastAsia="Arial" w:hAnsi="Arial"/>
                <w:sz w:val="8"/>
                <w:szCs w:val="8"/>
                <w:color w:val="auto"/>
              </w:rPr>
              <w:t>Asia</w:t>
            </w: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color w:val="auto"/>
              </w:rPr>
              <w:t>Oceania</w:t>
            </w: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rPr>
              <w:t>Africa</w:t>
            </w: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color w:val="auto"/>
              </w:rPr>
              <w:t>USA</w:t>
            </w:r>
          </w:p>
        </w:tc>
        <w:tc>
          <w:tcPr>
            <w:tcW w:w="6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color w:val="auto"/>
                <w:w w:val="85"/>
              </w:rPr>
              <w:t>Canada</w:t>
            </w:r>
          </w:p>
        </w:tc>
        <w:tc>
          <w:tcPr>
            <w:tcW w:w="7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South America</w:t>
            </w:r>
          </w:p>
        </w:tc>
        <w:tc>
          <w:tcPr>
            <w:tcW w:w="6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8"/>
                <w:szCs w:val="8"/>
                <w:color w:val="auto"/>
              </w:rPr>
              <w:t>Total</w:t>
            </w: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700" w:type="dxa"/>
            <w:vAlign w:val="bottom"/>
          </w:tcPr>
          <w:p>
            <w:pPr>
              <w:spacing w:after="0"/>
              <w:rPr>
                <w:sz w:val="6"/>
                <w:szCs w:val="6"/>
                <w:color w:val="auto"/>
              </w:rPr>
            </w:pPr>
          </w:p>
        </w:tc>
        <w:tc>
          <w:tcPr>
            <w:tcW w:w="700" w:type="dxa"/>
            <w:vAlign w:val="bottom"/>
            <w:vMerge w:val="restart"/>
          </w:tcPr>
          <w:p>
            <w:pPr>
              <w:jc w:val="right"/>
              <w:ind w:right="118"/>
              <w:spacing w:after="0"/>
              <w:rPr>
                <w:sz w:val="20"/>
                <w:szCs w:val="20"/>
                <w:color w:val="auto"/>
              </w:rPr>
            </w:pPr>
            <w:r>
              <w:rPr>
                <w:rFonts w:ascii="Arial" w:cs="Arial" w:eastAsia="Arial" w:hAnsi="Arial"/>
                <w:sz w:val="8"/>
                <w:szCs w:val="8"/>
                <w:color w:val="auto"/>
              </w:rPr>
              <w:t>Oil and NGL</w:t>
            </w:r>
          </w:p>
        </w:tc>
        <w:tc>
          <w:tcPr>
            <w:tcW w:w="660" w:type="dxa"/>
            <w:vAlign w:val="bottom"/>
            <w:vMerge w:val="restart"/>
          </w:tcPr>
          <w:p>
            <w:pPr>
              <w:jc w:val="right"/>
              <w:ind w:right="118"/>
              <w:spacing w:after="0"/>
              <w:rPr>
                <w:sz w:val="20"/>
                <w:szCs w:val="20"/>
                <w:color w:val="auto"/>
              </w:rPr>
            </w:pPr>
            <w:r>
              <w:rPr>
                <w:rFonts w:ascii="Arial" w:cs="Arial" w:eastAsia="Arial" w:hAnsi="Arial"/>
                <w:sz w:val="8"/>
                <w:szCs w:val="8"/>
                <w:color w:val="auto"/>
              </w:rPr>
              <w:t>Oil and NGL</w:t>
            </w:r>
          </w:p>
        </w:tc>
        <w:tc>
          <w:tcPr>
            <w:tcW w:w="660" w:type="dxa"/>
            <w:vAlign w:val="bottom"/>
            <w:vMerge w:val="restart"/>
          </w:tcPr>
          <w:p>
            <w:pPr>
              <w:jc w:val="right"/>
              <w:ind w:right="118"/>
              <w:spacing w:after="0"/>
              <w:rPr>
                <w:sz w:val="20"/>
                <w:szCs w:val="20"/>
                <w:color w:val="auto"/>
              </w:rPr>
            </w:pPr>
            <w:r>
              <w:rPr>
                <w:rFonts w:ascii="Arial" w:cs="Arial" w:eastAsia="Arial" w:hAnsi="Arial"/>
                <w:sz w:val="8"/>
                <w:szCs w:val="8"/>
                <w:color w:val="auto"/>
              </w:rPr>
              <w:t>Oil and NGL</w:t>
            </w:r>
          </w:p>
        </w:tc>
        <w:tc>
          <w:tcPr>
            <w:tcW w:w="600" w:type="dxa"/>
            <w:vAlign w:val="bottom"/>
            <w:vMerge w:val="restart"/>
          </w:tcPr>
          <w:p>
            <w:pPr>
              <w:jc w:val="right"/>
              <w:ind w:right="58"/>
              <w:spacing w:after="0"/>
              <w:rPr>
                <w:sz w:val="20"/>
                <w:szCs w:val="20"/>
                <w:color w:val="auto"/>
              </w:rPr>
            </w:pPr>
            <w:r>
              <w:rPr>
                <w:rFonts w:ascii="Arial" w:cs="Arial" w:eastAsia="Arial" w:hAnsi="Arial"/>
                <w:sz w:val="8"/>
                <w:szCs w:val="8"/>
                <w:color w:val="auto"/>
              </w:rPr>
              <w:t>Oil and NGL</w:t>
            </w:r>
          </w:p>
        </w:tc>
        <w:tc>
          <w:tcPr>
            <w:tcW w:w="660" w:type="dxa"/>
            <w:vAlign w:val="bottom"/>
            <w:vMerge w:val="restart"/>
          </w:tcPr>
          <w:p>
            <w:pPr>
              <w:jc w:val="right"/>
              <w:ind w:right="58"/>
              <w:spacing w:after="0"/>
              <w:rPr>
                <w:sz w:val="20"/>
                <w:szCs w:val="20"/>
                <w:color w:val="auto"/>
              </w:rPr>
            </w:pPr>
            <w:r>
              <w:rPr>
                <w:rFonts w:ascii="Arial" w:cs="Arial" w:eastAsia="Arial" w:hAnsi="Arial"/>
                <w:sz w:val="8"/>
                <w:szCs w:val="8"/>
                <w:color w:val="auto"/>
              </w:rPr>
              <w:t>Oil and NGL</w:t>
            </w:r>
          </w:p>
        </w:tc>
        <w:tc>
          <w:tcPr>
            <w:tcW w:w="680" w:type="dxa"/>
            <w:vAlign w:val="bottom"/>
            <w:vMerge w:val="restart"/>
          </w:tcPr>
          <w:p>
            <w:pPr>
              <w:jc w:val="right"/>
              <w:ind w:right="98"/>
              <w:spacing w:after="0"/>
              <w:rPr>
                <w:sz w:val="20"/>
                <w:szCs w:val="20"/>
                <w:color w:val="auto"/>
              </w:rPr>
            </w:pPr>
            <w:r>
              <w:rPr>
                <w:rFonts w:ascii="Arial" w:cs="Arial" w:eastAsia="Arial" w:hAnsi="Arial"/>
                <w:sz w:val="8"/>
                <w:szCs w:val="8"/>
                <w:color w:val="auto"/>
              </w:rPr>
              <w:t>Oil and NGL</w:t>
            </w:r>
          </w:p>
        </w:tc>
        <w:tc>
          <w:tcPr>
            <w:tcW w:w="720" w:type="dxa"/>
            <w:vAlign w:val="bottom"/>
          </w:tcPr>
          <w:p>
            <w:pPr>
              <w:jc w:val="right"/>
              <w:ind w:right="118"/>
              <w:spacing w:after="0" w:line="76" w:lineRule="exact"/>
              <w:rPr>
                <w:sz w:val="20"/>
                <w:szCs w:val="20"/>
                <w:color w:val="auto"/>
              </w:rPr>
            </w:pPr>
            <w:r>
              <w:rPr>
                <w:rFonts w:ascii="Arial" w:cs="Arial" w:eastAsia="Arial" w:hAnsi="Arial"/>
                <w:sz w:val="8"/>
                <w:szCs w:val="8"/>
                <w:color w:val="auto"/>
                <w:w w:val="97"/>
              </w:rPr>
              <w:t>Synthetic crude</w:t>
            </w:r>
          </w:p>
        </w:tc>
        <w:tc>
          <w:tcPr>
            <w:tcW w:w="560" w:type="dxa"/>
            <w:vAlign w:val="bottom"/>
            <w:vMerge w:val="restart"/>
          </w:tcPr>
          <w:p>
            <w:pPr>
              <w:ind w:left="100"/>
              <w:spacing w:after="0"/>
              <w:rPr>
                <w:sz w:val="20"/>
                <w:szCs w:val="20"/>
                <w:color w:val="auto"/>
              </w:rPr>
            </w:pPr>
            <w:r>
              <w:rPr>
                <w:rFonts w:ascii="Arial" w:cs="Arial" w:eastAsia="Arial" w:hAnsi="Arial"/>
                <w:sz w:val="8"/>
                <w:szCs w:val="8"/>
                <w:color w:val="auto"/>
              </w:rPr>
              <w:t>Bitumen</w:t>
            </w:r>
          </w:p>
        </w:tc>
        <w:tc>
          <w:tcPr>
            <w:tcW w:w="720" w:type="dxa"/>
            <w:vAlign w:val="bottom"/>
            <w:vMerge w:val="restart"/>
          </w:tcPr>
          <w:p>
            <w:pPr>
              <w:jc w:val="right"/>
              <w:ind w:right="118"/>
              <w:spacing w:after="0"/>
              <w:rPr>
                <w:sz w:val="20"/>
                <w:szCs w:val="20"/>
                <w:color w:val="auto"/>
              </w:rPr>
            </w:pPr>
            <w:r>
              <w:rPr>
                <w:rFonts w:ascii="Arial" w:cs="Arial" w:eastAsia="Arial" w:hAnsi="Arial"/>
                <w:sz w:val="8"/>
                <w:szCs w:val="8"/>
                <w:color w:val="auto"/>
              </w:rPr>
              <w:t>Oil and NGL</w:t>
            </w:r>
          </w:p>
        </w:tc>
        <w:tc>
          <w:tcPr>
            <w:tcW w:w="620" w:type="dxa"/>
            <w:vAlign w:val="bottom"/>
            <w:vMerge w:val="restart"/>
          </w:tcPr>
          <w:p>
            <w:pPr>
              <w:jc w:val="right"/>
              <w:ind w:right="78"/>
              <w:spacing w:after="0"/>
              <w:rPr>
                <w:sz w:val="20"/>
                <w:szCs w:val="20"/>
                <w:color w:val="auto"/>
              </w:rPr>
            </w:pPr>
            <w:r>
              <w:rPr>
                <w:rFonts w:ascii="Arial" w:cs="Arial" w:eastAsia="Arial" w:hAnsi="Arial"/>
                <w:sz w:val="8"/>
                <w:szCs w:val="8"/>
                <w:color w:val="auto"/>
              </w:rPr>
              <w:t>Oil and NGL</w:t>
            </w:r>
          </w:p>
        </w:tc>
        <w:tc>
          <w:tcPr>
            <w:tcW w:w="1180" w:type="dxa"/>
            <w:vAlign w:val="bottom"/>
            <w:vMerge w:val="restart"/>
          </w:tcPr>
          <w:p>
            <w:pPr>
              <w:jc w:val="right"/>
              <w:spacing w:after="0"/>
              <w:rPr>
                <w:sz w:val="20"/>
                <w:szCs w:val="20"/>
                <w:color w:val="auto"/>
              </w:rPr>
            </w:pPr>
            <w:r>
              <w:rPr>
                <w:rFonts w:ascii="Arial" w:cs="Arial" w:eastAsia="Arial" w:hAnsi="Arial"/>
                <w:sz w:val="8"/>
                <w:szCs w:val="8"/>
                <w:color w:val="auto"/>
              </w:rPr>
              <w:t>Synthetic crude oilBitumen</w:t>
            </w:r>
          </w:p>
        </w:tc>
        <w:tc>
          <w:tcPr>
            <w:tcW w:w="200" w:type="dxa"/>
            <w:vAlign w:val="bottom"/>
          </w:tcPr>
          <w:p>
            <w:pPr>
              <w:spacing w:after="0"/>
              <w:rPr>
                <w:sz w:val="6"/>
                <w:szCs w:val="6"/>
                <w:color w:val="auto"/>
              </w:rPr>
            </w:pPr>
          </w:p>
        </w:tc>
        <w:tc>
          <w:tcPr>
            <w:tcW w:w="620" w:type="dxa"/>
            <w:vAlign w:val="bottom"/>
            <w:vMerge w:val="restart"/>
          </w:tcPr>
          <w:p>
            <w:pPr>
              <w:jc w:val="right"/>
              <w:ind w:right="98"/>
              <w:spacing w:after="0"/>
              <w:rPr>
                <w:sz w:val="20"/>
                <w:szCs w:val="20"/>
                <w:color w:val="auto"/>
              </w:rPr>
            </w:pPr>
            <w:r>
              <w:rPr>
                <w:rFonts w:ascii="Arial" w:cs="Arial" w:eastAsia="Arial" w:hAnsi="Arial"/>
                <w:sz w:val="8"/>
                <w:szCs w:val="8"/>
                <w:color w:val="auto"/>
              </w:rPr>
              <w:t>All products</w:t>
            </w:r>
          </w:p>
        </w:tc>
        <w:tc>
          <w:tcPr>
            <w:tcW w:w="0" w:type="dxa"/>
            <w:vAlign w:val="bottom"/>
          </w:tcPr>
          <w:p>
            <w:pPr>
              <w:spacing w:after="0"/>
              <w:rPr>
                <w:sz w:val="1"/>
                <w:szCs w:val="1"/>
                <w:color w:val="auto"/>
              </w:rPr>
            </w:pPr>
          </w:p>
        </w:tc>
      </w:tr>
      <w:tr>
        <w:trPr>
          <w:trHeight w:val="105"/>
        </w:trPr>
        <w:tc>
          <w:tcPr>
            <w:tcW w:w="2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jc w:val="right"/>
              <w:ind w:right="338"/>
              <w:spacing w:after="0"/>
              <w:rPr>
                <w:sz w:val="20"/>
                <w:szCs w:val="20"/>
                <w:color w:val="auto"/>
              </w:rPr>
            </w:pPr>
            <w:r>
              <w:rPr>
                <w:rFonts w:ascii="Arial" w:cs="Arial" w:eastAsia="Arial" w:hAnsi="Arial"/>
                <w:sz w:val="8"/>
                <w:szCs w:val="8"/>
                <w:color w:val="auto"/>
              </w:rPr>
              <w:t>oil</w:t>
            </w:r>
          </w:p>
        </w:tc>
        <w:tc>
          <w:tcPr>
            <w:tcW w:w="5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00" w:type="dxa"/>
            <w:vAlign w:val="bottom"/>
          </w:tcPr>
          <w:p>
            <w:pPr>
              <w:spacing w:after="0"/>
              <w:rPr>
                <w:sz w:val="20"/>
                <w:szCs w:val="20"/>
                <w:color w:val="auto"/>
              </w:rPr>
            </w:pPr>
            <w:r>
              <w:rPr>
                <w:rFonts w:ascii="Arial" w:cs="Arial" w:eastAsia="Arial" w:hAnsi="Arial"/>
                <w:sz w:val="8"/>
                <w:szCs w:val="8"/>
                <w:b w:val="1"/>
                <w:bCs w:val="1"/>
                <w:color w:val="auto"/>
              </w:rPr>
              <w:t>Shell subsidiaries</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spacing w:after="0"/>
              <w:rPr>
                <w:sz w:val="20"/>
                <w:szCs w:val="20"/>
                <w:color w:val="auto"/>
              </w:rPr>
            </w:pPr>
            <w:r>
              <w:rPr>
                <w:rFonts w:ascii="Arial" w:cs="Arial" w:eastAsia="Arial" w:hAnsi="Arial"/>
                <w:sz w:val="8"/>
                <w:szCs w:val="8"/>
                <w:color w:val="auto"/>
              </w:rPr>
              <w:t>At January 1</w:t>
            </w:r>
          </w:p>
        </w:tc>
        <w:tc>
          <w:tcPr>
            <w:tcW w:w="700" w:type="dxa"/>
            <w:vAlign w:val="bottom"/>
          </w:tcPr>
          <w:p>
            <w:pPr>
              <w:jc w:val="right"/>
              <w:ind w:right="18"/>
              <w:spacing w:after="0"/>
              <w:rPr>
                <w:sz w:val="20"/>
                <w:szCs w:val="20"/>
                <w:color w:val="auto"/>
              </w:rPr>
            </w:pPr>
            <w:r>
              <w:rPr>
                <w:rFonts w:ascii="Arial" w:cs="Arial" w:eastAsia="Arial" w:hAnsi="Arial"/>
                <w:sz w:val="8"/>
                <w:szCs w:val="8"/>
                <w:color w:val="auto"/>
              </w:rPr>
              <w:t>274</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1,551</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121</w:t>
            </w:r>
          </w:p>
        </w:tc>
        <w:tc>
          <w:tcPr>
            <w:tcW w:w="600" w:type="dxa"/>
            <w:vAlign w:val="bottom"/>
          </w:tcPr>
          <w:p>
            <w:pPr>
              <w:jc w:val="right"/>
              <w:spacing w:after="0"/>
              <w:rPr>
                <w:sz w:val="20"/>
                <w:szCs w:val="20"/>
                <w:color w:val="auto"/>
              </w:rPr>
            </w:pPr>
            <w:r>
              <w:rPr>
                <w:rFonts w:ascii="Arial" w:cs="Arial" w:eastAsia="Arial" w:hAnsi="Arial"/>
                <w:sz w:val="8"/>
                <w:szCs w:val="8"/>
                <w:color w:val="auto"/>
              </w:rPr>
              <w:t>395</w:t>
            </w:r>
          </w:p>
        </w:tc>
        <w:tc>
          <w:tcPr>
            <w:tcW w:w="660" w:type="dxa"/>
            <w:vAlign w:val="bottom"/>
          </w:tcPr>
          <w:p>
            <w:pPr>
              <w:jc w:val="right"/>
              <w:spacing w:after="0"/>
              <w:rPr>
                <w:sz w:val="20"/>
                <w:szCs w:val="20"/>
                <w:color w:val="auto"/>
              </w:rPr>
            </w:pPr>
            <w:r>
              <w:rPr>
                <w:rFonts w:ascii="Arial" w:cs="Arial" w:eastAsia="Arial" w:hAnsi="Arial"/>
                <w:sz w:val="8"/>
                <w:szCs w:val="8"/>
                <w:color w:val="auto"/>
              </w:rPr>
              <w:t>982</w:t>
            </w:r>
          </w:p>
        </w:tc>
        <w:tc>
          <w:tcPr>
            <w:tcW w:w="680" w:type="dxa"/>
            <w:vAlign w:val="bottom"/>
          </w:tcPr>
          <w:p>
            <w:pPr>
              <w:jc w:val="right"/>
              <w:spacing w:after="0"/>
              <w:rPr>
                <w:sz w:val="20"/>
                <w:szCs w:val="20"/>
                <w:color w:val="auto"/>
              </w:rPr>
            </w:pPr>
            <w:r>
              <w:rPr>
                <w:rFonts w:ascii="Arial" w:cs="Arial" w:eastAsia="Arial" w:hAnsi="Arial"/>
                <w:sz w:val="8"/>
                <w:szCs w:val="8"/>
                <w:color w:val="auto"/>
              </w:rPr>
              <w:t>18</w:t>
            </w:r>
          </w:p>
        </w:tc>
        <w:tc>
          <w:tcPr>
            <w:tcW w:w="720" w:type="dxa"/>
            <w:vAlign w:val="bottom"/>
          </w:tcPr>
          <w:p>
            <w:pPr>
              <w:jc w:val="right"/>
              <w:ind w:right="58"/>
              <w:spacing w:after="0"/>
              <w:rPr>
                <w:sz w:val="20"/>
                <w:szCs w:val="20"/>
                <w:color w:val="auto"/>
              </w:rPr>
            </w:pPr>
            <w:r>
              <w:rPr>
                <w:rFonts w:ascii="Arial" w:cs="Arial" w:eastAsia="Arial" w:hAnsi="Arial"/>
                <w:sz w:val="8"/>
                <w:szCs w:val="8"/>
                <w:color w:val="auto"/>
              </w:rPr>
              <w:t>607</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1,033</w:t>
            </w:r>
          </w:p>
        </w:tc>
        <w:tc>
          <w:tcPr>
            <w:tcW w:w="620" w:type="dxa"/>
            <w:vAlign w:val="bottom"/>
          </w:tcPr>
          <w:p>
            <w:pPr>
              <w:jc w:val="right"/>
              <w:spacing w:after="0"/>
              <w:rPr>
                <w:sz w:val="20"/>
                <w:szCs w:val="20"/>
                <w:color w:val="auto"/>
              </w:rPr>
            </w:pPr>
            <w:r>
              <w:rPr>
                <w:rFonts w:ascii="Arial" w:cs="Arial" w:eastAsia="Arial" w:hAnsi="Arial"/>
                <w:sz w:val="8"/>
                <w:szCs w:val="8"/>
                <w:color w:val="auto"/>
              </w:rPr>
              <w:t>4,374</w:t>
            </w:r>
          </w:p>
        </w:tc>
        <w:tc>
          <w:tcPr>
            <w:tcW w:w="1180" w:type="dxa"/>
            <w:vAlign w:val="bottom"/>
          </w:tcPr>
          <w:p>
            <w:pPr>
              <w:jc w:val="right"/>
              <w:ind w:right="500"/>
              <w:spacing w:after="0"/>
              <w:rPr>
                <w:sz w:val="20"/>
                <w:szCs w:val="20"/>
                <w:color w:val="auto"/>
              </w:rPr>
            </w:pPr>
            <w:r>
              <w:rPr>
                <w:rFonts w:ascii="Arial" w:cs="Arial" w:eastAsia="Arial" w:hAnsi="Arial"/>
                <w:sz w:val="8"/>
                <w:szCs w:val="8"/>
                <w:color w:val="auto"/>
              </w:rPr>
              <w:t>607</w:t>
            </w:r>
          </w:p>
        </w:tc>
        <w:tc>
          <w:tcPr>
            <w:tcW w:w="200" w:type="dxa"/>
            <w:vAlign w:val="bottom"/>
          </w:tcPr>
          <w:p>
            <w:pPr>
              <w:ind w:lef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4,981</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20"/>
                <w:szCs w:val="20"/>
                <w:color w:val="auto"/>
              </w:rPr>
            </w:pPr>
            <w:r>
              <w:rPr>
                <w:rFonts w:ascii="Arial" w:cs="Arial" w:eastAsia="Arial" w:hAnsi="Arial"/>
                <w:sz w:val="8"/>
                <w:szCs w:val="8"/>
                <w:color w:val="auto"/>
              </w:rPr>
              <w:t>Revisions and reclassifications</w:t>
            </w:r>
          </w:p>
        </w:tc>
        <w:tc>
          <w:tcPr>
            <w:tcW w:w="700" w:type="dxa"/>
            <w:vAlign w:val="bottom"/>
          </w:tcPr>
          <w:p>
            <w:pPr>
              <w:jc w:val="right"/>
              <w:ind w:right="18"/>
              <w:spacing w:after="0"/>
              <w:rPr>
                <w:sz w:val="20"/>
                <w:szCs w:val="20"/>
                <w:color w:val="auto"/>
              </w:rPr>
            </w:pPr>
            <w:r>
              <w:rPr>
                <w:rFonts w:ascii="Arial" w:cs="Arial" w:eastAsia="Arial" w:hAnsi="Arial"/>
                <w:sz w:val="8"/>
                <w:szCs w:val="8"/>
                <w:color w:val="auto"/>
              </w:rPr>
              <w:t>(46)</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181</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(41)</w:t>
            </w:r>
          </w:p>
        </w:tc>
        <w:tc>
          <w:tcPr>
            <w:tcW w:w="600" w:type="dxa"/>
            <w:vAlign w:val="bottom"/>
          </w:tcPr>
          <w:p>
            <w:pPr>
              <w:jc w:val="right"/>
              <w:spacing w:after="0"/>
              <w:rPr>
                <w:sz w:val="20"/>
                <w:szCs w:val="20"/>
                <w:color w:val="auto"/>
              </w:rPr>
            </w:pPr>
            <w:r>
              <w:rPr>
                <w:rFonts w:ascii="Arial" w:cs="Arial" w:eastAsia="Arial" w:hAnsi="Arial"/>
                <w:sz w:val="8"/>
                <w:szCs w:val="8"/>
                <w:color w:val="auto"/>
              </w:rPr>
              <w:t>42</w:t>
            </w:r>
          </w:p>
        </w:tc>
        <w:tc>
          <w:tcPr>
            <w:tcW w:w="660" w:type="dxa"/>
            <w:vAlign w:val="bottom"/>
          </w:tcPr>
          <w:p>
            <w:pPr>
              <w:jc w:val="right"/>
              <w:spacing w:after="0"/>
              <w:rPr>
                <w:sz w:val="20"/>
                <w:szCs w:val="20"/>
                <w:color w:val="auto"/>
              </w:rPr>
            </w:pPr>
            <w:r>
              <w:rPr>
                <w:rFonts w:ascii="Arial" w:cs="Arial" w:eastAsia="Arial" w:hAnsi="Arial"/>
                <w:sz w:val="8"/>
                <w:szCs w:val="8"/>
                <w:color w:val="auto"/>
              </w:rPr>
              <w:t>(116)</w:t>
            </w:r>
          </w:p>
        </w:tc>
        <w:tc>
          <w:tcPr>
            <w:tcW w:w="680" w:type="dxa"/>
            <w:vAlign w:val="bottom"/>
          </w:tcPr>
          <w:p>
            <w:pPr>
              <w:jc w:val="right"/>
              <w:spacing w:after="0"/>
              <w:rPr>
                <w:sz w:val="20"/>
                <w:szCs w:val="20"/>
                <w:color w:val="auto"/>
              </w:rPr>
            </w:pPr>
            <w:r>
              <w:rPr>
                <w:rFonts w:ascii="Arial" w:cs="Arial" w:eastAsia="Arial" w:hAnsi="Arial"/>
                <w:sz w:val="8"/>
                <w:szCs w:val="8"/>
                <w:color w:val="auto"/>
              </w:rPr>
              <w:t>(2)</w:t>
            </w:r>
          </w:p>
        </w:tc>
        <w:tc>
          <w:tcPr>
            <w:tcW w:w="720" w:type="dxa"/>
            <w:vAlign w:val="bottom"/>
          </w:tcPr>
          <w:p>
            <w:pPr>
              <w:jc w:val="right"/>
              <w:ind w:right="58"/>
              <w:spacing w:after="0"/>
              <w:rPr>
                <w:sz w:val="20"/>
                <w:szCs w:val="20"/>
                <w:color w:val="auto"/>
              </w:rPr>
            </w:pPr>
            <w:r>
              <w:rPr>
                <w:rFonts w:ascii="Arial" w:cs="Arial" w:eastAsia="Arial" w:hAnsi="Arial"/>
                <w:sz w:val="8"/>
                <w:szCs w:val="8"/>
                <w:color w:val="auto"/>
              </w:rPr>
              <w:t>57</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(82)</w:t>
            </w:r>
          </w:p>
        </w:tc>
        <w:tc>
          <w:tcPr>
            <w:tcW w:w="620" w:type="dxa"/>
            <w:vAlign w:val="bottom"/>
          </w:tcPr>
          <w:p>
            <w:pPr>
              <w:jc w:val="right"/>
              <w:spacing w:after="0"/>
              <w:rPr>
                <w:sz w:val="20"/>
                <w:szCs w:val="20"/>
                <w:color w:val="auto"/>
              </w:rPr>
            </w:pPr>
            <w:r>
              <w:rPr>
                <w:rFonts w:ascii="Arial" w:cs="Arial" w:eastAsia="Arial" w:hAnsi="Arial"/>
                <w:sz w:val="8"/>
                <w:szCs w:val="8"/>
                <w:color w:val="auto"/>
              </w:rPr>
              <w:t>(63)</w:t>
            </w:r>
          </w:p>
        </w:tc>
        <w:tc>
          <w:tcPr>
            <w:tcW w:w="1180" w:type="dxa"/>
            <w:vAlign w:val="bottom"/>
          </w:tcPr>
          <w:p>
            <w:pPr>
              <w:jc w:val="right"/>
              <w:ind w:right="500"/>
              <w:spacing w:after="0"/>
              <w:rPr>
                <w:sz w:val="20"/>
                <w:szCs w:val="20"/>
                <w:color w:val="auto"/>
              </w:rPr>
            </w:pPr>
            <w:r>
              <w:rPr>
                <w:rFonts w:ascii="Arial" w:cs="Arial" w:eastAsia="Arial" w:hAnsi="Arial"/>
                <w:sz w:val="8"/>
                <w:szCs w:val="8"/>
                <w:color w:val="auto"/>
              </w:rPr>
              <w:t>57</w:t>
            </w:r>
          </w:p>
        </w:tc>
        <w:tc>
          <w:tcPr>
            <w:tcW w:w="200" w:type="dxa"/>
            <w:vAlign w:val="bottom"/>
          </w:tcPr>
          <w:p>
            <w:pPr>
              <w:ind w:lef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20"/>
                <w:szCs w:val="20"/>
                <w:color w:val="auto"/>
              </w:rPr>
            </w:pPr>
            <w:r>
              <w:rPr>
                <w:rFonts w:ascii="Arial" w:cs="Arial" w:eastAsia="Arial" w:hAnsi="Arial"/>
                <w:sz w:val="8"/>
                <w:szCs w:val="8"/>
                <w:color w:val="auto"/>
              </w:rPr>
              <w:t>Improved recovery</w:t>
            </w:r>
          </w:p>
        </w:tc>
        <w:tc>
          <w:tcPr>
            <w:tcW w:w="7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1180" w:type="dxa"/>
            <w:vAlign w:val="bottom"/>
          </w:tcPr>
          <w:p>
            <w:pPr>
              <w:jc w:val="right"/>
              <w:ind w:right="500"/>
              <w:spacing w:after="0"/>
              <w:rPr>
                <w:sz w:val="20"/>
                <w:szCs w:val="20"/>
                <w:color w:val="auto"/>
              </w:rPr>
            </w:pPr>
            <w:r>
              <w:rPr>
                <w:rFonts w:ascii="Arial" w:cs="Arial" w:eastAsia="Arial" w:hAnsi="Arial"/>
                <w:sz w:val="8"/>
                <w:szCs w:val="8"/>
                <w:color w:val="auto"/>
              </w:rPr>
              <w:t>—</w:t>
            </w:r>
          </w:p>
        </w:tc>
        <w:tc>
          <w:tcPr>
            <w:tcW w:w="200" w:type="dxa"/>
            <w:vAlign w:val="bottom"/>
          </w:tcPr>
          <w:p>
            <w:pPr>
              <w:ind w:lef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20"/>
                <w:szCs w:val="20"/>
                <w:color w:val="auto"/>
              </w:rPr>
            </w:pPr>
            <w:r>
              <w:rPr>
                <w:rFonts w:ascii="Arial" w:cs="Arial" w:eastAsia="Arial" w:hAnsi="Arial"/>
                <w:sz w:val="8"/>
                <w:szCs w:val="8"/>
                <w:color w:val="auto"/>
              </w:rPr>
              <w:t>Extensions and discoveries</w:t>
            </w:r>
          </w:p>
        </w:tc>
        <w:tc>
          <w:tcPr>
            <w:tcW w:w="7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14</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27</w:t>
            </w:r>
          </w:p>
        </w:tc>
        <w:tc>
          <w:tcPr>
            <w:tcW w:w="680" w:type="dxa"/>
            <w:vAlign w:val="bottom"/>
          </w:tcPr>
          <w:p>
            <w:pPr>
              <w:jc w:val="right"/>
              <w:spacing w:after="0"/>
              <w:rPr>
                <w:sz w:val="20"/>
                <w:szCs w:val="20"/>
                <w:color w:val="auto"/>
              </w:rPr>
            </w:pPr>
            <w:r>
              <w:rPr>
                <w:rFonts w:ascii="Arial" w:cs="Arial" w:eastAsia="Arial" w:hAnsi="Arial"/>
                <w:sz w:val="8"/>
                <w:szCs w:val="8"/>
                <w:color w:val="auto"/>
              </w:rPr>
              <w:t>7</w:t>
            </w:r>
          </w:p>
        </w:tc>
        <w:tc>
          <w:tcPr>
            <w:tcW w:w="7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48</w:t>
            </w:r>
          </w:p>
        </w:tc>
        <w:tc>
          <w:tcPr>
            <w:tcW w:w="1180" w:type="dxa"/>
            <w:vAlign w:val="bottom"/>
          </w:tcPr>
          <w:p>
            <w:pPr>
              <w:jc w:val="right"/>
              <w:ind w:right="500"/>
              <w:spacing w:after="0"/>
              <w:rPr>
                <w:sz w:val="20"/>
                <w:szCs w:val="20"/>
                <w:color w:val="auto"/>
              </w:rPr>
            </w:pPr>
            <w:r>
              <w:rPr>
                <w:rFonts w:ascii="Arial" w:cs="Arial" w:eastAsia="Arial" w:hAnsi="Arial"/>
                <w:sz w:val="8"/>
                <w:szCs w:val="8"/>
                <w:color w:val="auto"/>
              </w:rPr>
              <w:t>—</w:t>
            </w:r>
          </w:p>
        </w:tc>
        <w:tc>
          <w:tcPr>
            <w:tcW w:w="200" w:type="dxa"/>
            <w:vAlign w:val="bottom"/>
          </w:tcPr>
          <w:p>
            <w:pPr>
              <w:ind w:lef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48</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20"/>
                <w:szCs w:val="20"/>
                <w:color w:val="auto"/>
              </w:rPr>
            </w:pPr>
            <w:r>
              <w:rPr>
                <w:rFonts w:ascii="Arial" w:cs="Arial" w:eastAsia="Arial" w:hAnsi="Arial"/>
                <w:sz w:val="8"/>
                <w:szCs w:val="8"/>
                <w:color w:val="auto"/>
              </w:rPr>
              <w:t>Purchases of minerals in place</w:t>
            </w:r>
          </w:p>
        </w:tc>
        <w:tc>
          <w:tcPr>
            <w:tcW w:w="7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9</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9</w:t>
            </w:r>
          </w:p>
        </w:tc>
        <w:tc>
          <w:tcPr>
            <w:tcW w:w="1180" w:type="dxa"/>
            <w:vAlign w:val="bottom"/>
          </w:tcPr>
          <w:p>
            <w:pPr>
              <w:jc w:val="right"/>
              <w:ind w:right="500"/>
              <w:spacing w:after="0"/>
              <w:rPr>
                <w:sz w:val="20"/>
                <w:szCs w:val="20"/>
                <w:color w:val="auto"/>
              </w:rPr>
            </w:pPr>
            <w:r>
              <w:rPr>
                <w:rFonts w:ascii="Arial" w:cs="Arial" w:eastAsia="Arial" w:hAnsi="Arial"/>
                <w:sz w:val="8"/>
                <w:szCs w:val="8"/>
                <w:color w:val="auto"/>
              </w:rPr>
              <w:t>—</w:t>
            </w:r>
          </w:p>
        </w:tc>
        <w:tc>
          <w:tcPr>
            <w:tcW w:w="200" w:type="dxa"/>
            <w:vAlign w:val="bottom"/>
          </w:tcPr>
          <w:p>
            <w:pPr>
              <w:ind w:lef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9</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20"/>
                <w:szCs w:val="20"/>
                <w:color w:val="auto"/>
              </w:rPr>
            </w:pPr>
            <w:r>
              <w:rPr>
                <w:rFonts w:ascii="Arial" w:cs="Arial" w:eastAsia="Arial" w:hAnsi="Arial"/>
                <w:sz w:val="8"/>
                <w:szCs w:val="8"/>
                <w:color w:val="auto"/>
              </w:rPr>
              <w:t>Sales of minerals in place</w:t>
            </w:r>
          </w:p>
        </w:tc>
        <w:tc>
          <w:tcPr>
            <w:tcW w:w="700" w:type="dxa"/>
            <w:vAlign w:val="bottom"/>
          </w:tcPr>
          <w:p>
            <w:pPr>
              <w:jc w:val="right"/>
              <w:ind w:right="18"/>
              <w:spacing w:after="0"/>
              <w:rPr>
                <w:sz w:val="20"/>
                <w:szCs w:val="20"/>
                <w:color w:val="auto"/>
              </w:rPr>
            </w:pPr>
            <w:r>
              <w:rPr>
                <w:rFonts w:ascii="Arial" w:cs="Arial" w:eastAsia="Arial" w:hAnsi="Arial"/>
                <w:sz w:val="8"/>
                <w:szCs w:val="8"/>
                <w:color w:val="auto"/>
              </w:rPr>
              <w:t>(1)</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(1)</w:t>
            </w:r>
          </w:p>
        </w:tc>
        <w:tc>
          <w:tcPr>
            <w:tcW w:w="1180" w:type="dxa"/>
            <w:vAlign w:val="bottom"/>
          </w:tcPr>
          <w:p>
            <w:pPr>
              <w:jc w:val="right"/>
              <w:ind w:right="500"/>
              <w:spacing w:after="0"/>
              <w:rPr>
                <w:sz w:val="20"/>
                <w:szCs w:val="20"/>
                <w:color w:val="auto"/>
              </w:rPr>
            </w:pPr>
            <w:r>
              <w:rPr>
                <w:rFonts w:ascii="Arial" w:cs="Arial" w:eastAsia="Arial" w:hAnsi="Arial"/>
                <w:sz w:val="8"/>
                <w:szCs w:val="8"/>
                <w:color w:val="auto"/>
              </w:rPr>
              <w:t>—</w:t>
            </w:r>
          </w:p>
        </w:tc>
        <w:tc>
          <w:tcPr>
            <w:tcW w:w="200" w:type="dxa"/>
            <w:vAlign w:val="bottom"/>
          </w:tcPr>
          <w:p>
            <w:pPr>
              <w:ind w:lef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23"/>
        </w:trPr>
        <w:tc>
          <w:tcPr>
            <w:tcW w:w="27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Production [A]</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(49)</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(182)</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(165)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w:t>
            </w: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(20)</w:t>
            </w: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(136)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(606)</w:t>
            </w: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8"/>
                <w:szCs w:val="8"/>
                <w:color w:val="auto"/>
              </w:rPr>
              <w:t>(20)</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(626)</w:t>
            </w:r>
          </w:p>
        </w:tc>
        <w:tc>
          <w:tcPr>
            <w:tcW w:w="0" w:type="dxa"/>
            <w:vAlign w:val="bottom"/>
          </w:tcPr>
          <w:p>
            <w:pPr>
              <w:spacing w:after="0"/>
              <w:rPr>
                <w:sz w:val="1"/>
                <w:szCs w:val="1"/>
                <w:color w:val="auto"/>
              </w:rPr>
            </w:pPr>
          </w:p>
        </w:tc>
      </w:tr>
      <w:tr>
        <w:trPr>
          <w:trHeight w:val="106"/>
        </w:trPr>
        <w:tc>
          <w:tcPr>
            <w:tcW w:w="27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At December 31</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178</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1,573</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73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379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728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w:t>
            </w: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644</w:t>
            </w: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815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3,761</w:t>
            </w: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8"/>
                <w:szCs w:val="8"/>
                <w:color w:val="auto"/>
              </w:rPr>
              <w:t>644</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4,405</w:t>
            </w:r>
          </w:p>
        </w:tc>
        <w:tc>
          <w:tcPr>
            <w:tcW w:w="0" w:type="dxa"/>
            <w:vAlign w:val="bottom"/>
          </w:tcPr>
          <w:p>
            <w:pPr>
              <w:spacing w:after="0"/>
              <w:rPr>
                <w:sz w:val="1"/>
                <w:szCs w:val="1"/>
                <w:color w:val="auto"/>
              </w:rPr>
            </w:pPr>
          </w:p>
        </w:tc>
      </w:tr>
      <w:tr>
        <w:trPr>
          <w:trHeight w:val="102"/>
        </w:trPr>
        <w:tc>
          <w:tcPr>
            <w:tcW w:w="2700" w:type="dxa"/>
            <w:vAlign w:val="bottom"/>
          </w:tcPr>
          <w:p>
            <w:pPr>
              <w:spacing w:after="0"/>
              <w:rPr>
                <w:sz w:val="20"/>
                <w:szCs w:val="20"/>
                <w:color w:val="auto"/>
              </w:rPr>
            </w:pPr>
            <w:r>
              <w:rPr>
                <w:rFonts w:ascii="Arial" w:cs="Arial" w:eastAsia="Arial" w:hAnsi="Arial"/>
                <w:sz w:val="8"/>
                <w:szCs w:val="8"/>
                <w:b w:val="1"/>
                <w:bCs w:val="1"/>
                <w:color w:val="auto"/>
              </w:rPr>
              <w:t>Shell share of joint ventures and associates</w:t>
            </w: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700" w:type="dxa"/>
            <w:vAlign w:val="bottom"/>
          </w:tcPr>
          <w:p>
            <w:pPr>
              <w:spacing w:after="0"/>
              <w:rPr>
                <w:sz w:val="20"/>
                <w:szCs w:val="20"/>
                <w:color w:val="auto"/>
              </w:rPr>
            </w:pPr>
            <w:r>
              <w:rPr>
                <w:rFonts w:ascii="Arial" w:cs="Arial" w:eastAsia="Arial" w:hAnsi="Arial"/>
                <w:sz w:val="8"/>
                <w:szCs w:val="8"/>
                <w:color w:val="auto"/>
              </w:rPr>
              <w:t>At January 1</w:t>
            </w:r>
          </w:p>
        </w:tc>
        <w:tc>
          <w:tcPr>
            <w:tcW w:w="700" w:type="dxa"/>
            <w:vAlign w:val="bottom"/>
          </w:tcPr>
          <w:p>
            <w:pPr>
              <w:jc w:val="right"/>
              <w:ind w:right="18"/>
              <w:spacing w:after="0"/>
              <w:rPr>
                <w:sz w:val="20"/>
                <w:szCs w:val="20"/>
                <w:color w:val="auto"/>
              </w:rPr>
            </w:pPr>
            <w:r>
              <w:rPr>
                <w:rFonts w:ascii="Arial" w:cs="Arial" w:eastAsia="Arial" w:hAnsi="Arial"/>
                <w:sz w:val="8"/>
                <w:szCs w:val="8"/>
                <w:color w:val="auto"/>
              </w:rPr>
              <w:t>12</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271</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283</w:t>
            </w:r>
          </w:p>
        </w:tc>
        <w:tc>
          <w:tcPr>
            <w:tcW w:w="1180" w:type="dxa"/>
            <w:vAlign w:val="bottom"/>
          </w:tcPr>
          <w:p>
            <w:pPr>
              <w:jc w:val="right"/>
              <w:ind w:right="500"/>
              <w:spacing w:after="0"/>
              <w:rPr>
                <w:sz w:val="20"/>
                <w:szCs w:val="20"/>
                <w:color w:val="auto"/>
              </w:rPr>
            </w:pPr>
            <w:r>
              <w:rPr>
                <w:rFonts w:ascii="Arial" w:cs="Arial" w:eastAsia="Arial" w:hAnsi="Arial"/>
                <w:sz w:val="8"/>
                <w:szCs w:val="8"/>
                <w:color w:val="auto"/>
              </w:rPr>
              <w:t>—</w:t>
            </w:r>
          </w:p>
        </w:tc>
        <w:tc>
          <w:tcPr>
            <w:tcW w:w="200" w:type="dxa"/>
            <w:vAlign w:val="bottom"/>
          </w:tcPr>
          <w:p>
            <w:pPr>
              <w:ind w:lef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283</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20"/>
                <w:szCs w:val="20"/>
                <w:color w:val="auto"/>
              </w:rPr>
            </w:pPr>
            <w:r>
              <w:rPr>
                <w:rFonts w:ascii="Arial" w:cs="Arial" w:eastAsia="Arial" w:hAnsi="Arial"/>
                <w:sz w:val="8"/>
                <w:szCs w:val="8"/>
                <w:color w:val="auto"/>
              </w:rPr>
              <w:t>Revisions and reclassifications</w:t>
            </w:r>
          </w:p>
        </w:tc>
        <w:tc>
          <w:tcPr>
            <w:tcW w:w="700" w:type="dxa"/>
            <w:vAlign w:val="bottom"/>
          </w:tcPr>
          <w:p>
            <w:pPr>
              <w:jc w:val="right"/>
              <w:ind w:right="18"/>
              <w:spacing w:after="0"/>
              <w:rPr>
                <w:sz w:val="20"/>
                <w:szCs w:val="20"/>
                <w:color w:val="auto"/>
              </w:rPr>
            </w:pPr>
            <w:r>
              <w:rPr>
                <w:rFonts w:ascii="Arial" w:cs="Arial" w:eastAsia="Arial" w:hAnsi="Arial"/>
                <w:sz w:val="8"/>
                <w:szCs w:val="8"/>
                <w:color w:val="auto"/>
              </w:rPr>
              <w:t>(5)</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(27)</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(32)</w:t>
            </w:r>
          </w:p>
        </w:tc>
        <w:tc>
          <w:tcPr>
            <w:tcW w:w="1180" w:type="dxa"/>
            <w:vAlign w:val="bottom"/>
          </w:tcPr>
          <w:p>
            <w:pPr>
              <w:jc w:val="right"/>
              <w:ind w:right="500"/>
              <w:spacing w:after="0"/>
              <w:rPr>
                <w:sz w:val="20"/>
                <w:szCs w:val="20"/>
                <w:color w:val="auto"/>
              </w:rPr>
            </w:pPr>
            <w:r>
              <w:rPr>
                <w:rFonts w:ascii="Arial" w:cs="Arial" w:eastAsia="Arial" w:hAnsi="Arial"/>
                <w:sz w:val="8"/>
                <w:szCs w:val="8"/>
                <w:color w:val="auto"/>
              </w:rPr>
              <w:t>—</w:t>
            </w:r>
          </w:p>
        </w:tc>
        <w:tc>
          <w:tcPr>
            <w:tcW w:w="200" w:type="dxa"/>
            <w:vAlign w:val="bottom"/>
          </w:tcPr>
          <w:p>
            <w:pPr>
              <w:ind w:lef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(32)</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20"/>
                <w:szCs w:val="20"/>
                <w:color w:val="auto"/>
              </w:rPr>
            </w:pPr>
            <w:r>
              <w:rPr>
                <w:rFonts w:ascii="Arial" w:cs="Arial" w:eastAsia="Arial" w:hAnsi="Arial"/>
                <w:sz w:val="8"/>
                <w:szCs w:val="8"/>
                <w:color w:val="auto"/>
              </w:rPr>
              <w:t>Improved recovery</w:t>
            </w:r>
          </w:p>
        </w:tc>
        <w:tc>
          <w:tcPr>
            <w:tcW w:w="7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1180" w:type="dxa"/>
            <w:vAlign w:val="bottom"/>
          </w:tcPr>
          <w:p>
            <w:pPr>
              <w:jc w:val="right"/>
              <w:ind w:right="500"/>
              <w:spacing w:after="0"/>
              <w:rPr>
                <w:sz w:val="20"/>
                <w:szCs w:val="20"/>
                <w:color w:val="auto"/>
              </w:rPr>
            </w:pPr>
            <w:r>
              <w:rPr>
                <w:rFonts w:ascii="Arial" w:cs="Arial" w:eastAsia="Arial" w:hAnsi="Arial"/>
                <w:sz w:val="8"/>
                <w:szCs w:val="8"/>
                <w:color w:val="auto"/>
              </w:rPr>
              <w:t>—</w:t>
            </w:r>
          </w:p>
        </w:tc>
        <w:tc>
          <w:tcPr>
            <w:tcW w:w="200" w:type="dxa"/>
            <w:vAlign w:val="bottom"/>
          </w:tcPr>
          <w:p>
            <w:pPr>
              <w:ind w:lef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20"/>
                <w:szCs w:val="20"/>
                <w:color w:val="auto"/>
              </w:rPr>
            </w:pPr>
            <w:r>
              <w:rPr>
                <w:rFonts w:ascii="Arial" w:cs="Arial" w:eastAsia="Arial" w:hAnsi="Arial"/>
                <w:sz w:val="8"/>
                <w:szCs w:val="8"/>
                <w:color w:val="auto"/>
              </w:rPr>
              <w:t>Extensions and discoveries</w:t>
            </w:r>
          </w:p>
        </w:tc>
        <w:tc>
          <w:tcPr>
            <w:tcW w:w="7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1</w:t>
            </w:r>
          </w:p>
        </w:tc>
        <w:tc>
          <w:tcPr>
            <w:tcW w:w="620" w:type="dxa"/>
            <w:vAlign w:val="bottom"/>
          </w:tcPr>
          <w:p>
            <w:pPr>
              <w:jc w:val="right"/>
              <w:spacing w:after="0"/>
              <w:rPr>
                <w:sz w:val="20"/>
                <w:szCs w:val="20"/>
                <w:color w:val="auto"/>
              </w:rPr>
            </w:pPr>
            <w:r>
              <w:rPr>
                <w:rFonts w:ascii="Arial" w:cs="Arial" w:eastAsia="Arial" w:hAnsi="Arial"/>
                <w:sz w:val="8"/>
                <w:szCs w:val="8"/>
                <w:color w:val="auto"/>
              </w:rPr>
              <w:t>1</w:t>
            </w:r>
          </w:p>
        </w:tc>
        <w:tc>
          <w:tcPr>
            <w:tcW w:w="1180" w:type="dxa"/>
            <w:vAlign w:val="bottom"/>
          </w:tcPr>
          <w:p>
            <w:pPr>
              <w:jc w:val="right"/>
              <w:ind w:right="500"/>
              <w:spacing w:after="0"/>
              <w:rPr>
                <w:sz w:val="20"/>
                <w:szCs w:val="20"/>
                <w:color w:val="auto"/>
              </w:rPr>
            </w:pPr>
            <w:r>
              <w:rPr>
                <w:rFonts w:ascii="Arial" w:cs="Arial" w:eastAsia="Arial" w:hAnsi="Arial"/>
                <w:sz w:val="8"/>
                <w:szCs w:val="8"/>
                <w:color w:val="auto"/>
              </w:rPr>
              <w:t>—</w:t>
            </w:r>
          </w:p>
        </w:tc>
        <w:tc>
          <w:tcPr>
            <w:tcW w:w="200" w:type="dxa"/>
            <w:vAlign w:val="bottom"/>
          </w:tcPr>
          <w:p>
            <w:pPr>
              <w:ind w:lef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20"/>
                <w:szCs w:val="20"/>
                <w:color w:val="auto"/>
              </w:rPr>
            </w:pPr>
            <w:r>
              <w:rPr>
                <w:rFonts w:ascii="Arial" w:cs="Arial" w:eastAsia="Arial" w:hAnsi="Arial"/>
                <w:sz w:val="8"/>
                <w:szCs w:val="8"/>
                <w:color w:val="auto"/>
              </w:rPr>
              <w:t>Purchases of minerals in place</w:t>
            </w:r>
          </w:p>
        </w:tc>
        <w:tc>
          <w:tcPr>
            <w:tcW w:w="7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1180" w:type="dxa"/>
            <w:vAlign w:val="bottom"/>
          </w:tcPr>
          <w:p>
            <w:pPr>
              <w:jc w:val="right"/>
              <w:ind w:right="500"/>
              <w:spacing w:after="0"/>
              <w:rPr>
                <w:sz w:val="20"/>
                <w:szCs w:val="20"/>
                <w:color w:val="auto"/>
              </w:rPr>
            </w:pPr>
            <w:r>
              <w:rPr>
                <w:rFonts w:ascii="Arial" w:cs="Arial" w:eastAsia="Arial" w:hAnsi="Arial"/>
                <w:sz w:val="8"/>
                <w:szCs w:val="8"/>
                <w:color w:val="auto"/>
              </w:rPr>
              <w:t>—</w:t>
            </w:r>
          </w:p>
        </w:tc>
        <w:tc>
          <w:tcPr>
            <w:tcW w:w="200" w:type="dxa"/>
            <w:vAlign w:val="bottom"/>
          </w:tcPr>
          <w:p>
            <w:pPr>
              <w:ind w:lef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20"/>
                <w:szCs w:val="20"/>
                <w:color w:val="auto"/>
              </w:rPr>
            </w:pPr>
            <w:r>
              <w:rPr>
                <w:rFonts w:ascii="Arial" w:cs="Arial" w:eastAsia="Arial" w:hAnsi="Arial"/>
                <w:sz w:val="8"/>
                <w:szCs w:val="8"/>
                <w:color w:val="auto"/>
              </w:rPr>
              <w:t>Sales of minerals in place</w:t>
            </w:r>
          </w:p>
        </w:tc>
        <w:tc>
          <w:tcPr>
            <w:tcW w:w="7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1180" w:type="dxa"/>
            <w:vAlign w:val="bottom"/>
          </w:tcPr>
          <w:p>
            <w:pPr>
              <w:jc w:val="right"/>
              <w:ind w:right="500"/>
              <w:spacing w:after="0"/>
              <w:rPr>
                <w:sz w:val="20"/>
                <w:szCs w:val="20"/>
                <w:color w:val="auto"/>
              </w:rPr>
            </w:pPr>
            <w:r>
              <w:rPr>
                <w:rFonts w:ascii="Arial" w:cs="Arial" w:eastAsia="Arial" w:hAnsi="Arial"/>
                <w:sz w:val="8"/>
                <w:szCs w:val="8"/>
                <w:color w:val="auto"/>
              </w:rPr>
              <w:t>—</w:t>
            </w:r>
          </w:p>
        </w:tc>
        <w:tc>
          <w:tcPr>
            <w:tcW w:w="200" w:type="dxa"/>
            <w:vAlign w:val="bottom"/>
          </w:tcPr>
          <w:p>
            <w:pPr>
              <w:ind w:lef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3"/>
        </w:trPr>
        <w:tc>
          <w:tcPr>
            <w:tcW w:w="27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Production</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(34)</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(36)</w:t>
            </w: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8"/>
                <w:szCs w:val="8"/>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(36)</w:t>
            </w:r>
          </w:p>
        </w:tc>
        <w:tc>
          <w:tcPr>
            <w:tcW w:w="0" w:type="dxa"/>
            <w:vAlign w:val="bottom"/>
          </w:tcPr>
          <w:p>
            <w:pPr>
              <w:spacing w:after="0"/>
              <w:rPr>
                <w:sz w:val="1"/>
                <w:szCs w:val="1"/>
                <w:color w:val="auto"/>
              </w:rPr>
            </w:pPr>
          </w:p>
        </w:tc>
      </w:tr>
      <w:tr>
        <w:trPr>
          <w:trHeight w:val="106"/>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At December 31</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6</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210</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216</w:t>
            </w: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8"/>
                <w:szCs w:val="8"/>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216</w:t>
            </w:r>
          </w:p>
        </w:tc>
        <w:tc>
          <w:tcPr>
            <w:tcW w:w="0" w:type="dxa"/>
            <w:vAlign w:val="bottom"/>
          </w:tcPr>
          <w:p>
            <w:pPr>
              <w:spacing w:after="0"/>
              <w:rPr>
                <w:sz w:val="1"/>
                <w:szCs w:val="1"/>
                <w:color w:val="auto"/>
              </w:rPr>
            </w:pPr>
          </w:p>
        </w:tc>
      </w:tr>
      <w:tr>
        <w:trPr>
          <w:trHeight w:val="130"/>
        </w:trPr>
        <w:tc>
          <w:tcPr>
            <w:tcW w:w="27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70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Total</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184</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1,783</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73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379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728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w:t>
            </w: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644</w:t>
            </w: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815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3,977</w:t>
            </w: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8"/>
                <w:szCs w:val="8"/>
                <w:color w:val="auto"/>
              </w:rPr>
              <w:t>644</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4,621</w:t>
            </w:r>
          </w:p>
        </w:tc>
        <w:tc>
          <w:tcPr>
            <w:tcW w:w="0" w:type="dxa"/>
            <w:vAlign w:val="bottom"/>
          </w:tcPr>
          <w:p>
            <w:pPr>
              <w:spacing w:after="0"/>
              <w:rPr>
                <w:sz w:val="1"/>
                <w:szCs w:val="1"/>
                <w:color w:val="auto"/>
              </w:rPr>
            </w:pPr>
          </w:p>
        </w:tc>
      </w:tr>
      <w:tr>
        <w:trPr>
          <w:trHeight w:val="75"/>
        </w:trPr>
        <w:tc>
          <w:tcPr>
            <w:tcW w:w="2700" w:type="dxa"/>
            <w:vAlign w:val="bottom"/>
          </w:tcPr>
          <w:p>
            <w:pPr>
              <w:spacing w:after="0" w:line="75" w:lineRule="exact"/>
              <w:rPr>
                <w:sz w:val="20"/>
                <w:szCs w:val="20"/>
                <w:color w:val="auto"/>
              </w:rPr>
            </w:pPr>
            <w:r>
              <w:rPr>
                <w:rFonts w:ascii="Arial" w:cs="Arial" w:eastAsia="Arial" w:hAnsi="Arial"/>
                <w:sz w:val="8"/>
                <w:szCs w:val="8"/>
                <w:b w:val="1"/>
                <w:bCs w:val="1"/>
                <w:color w:val="auto"/>
                <w:w w:val="98"/>
              </w:rPr>
              <w:t>Reserves attributable to non-controlling interest in Shell subsidiaries at</w:t>
            </w:r>
          </w:p>
        </w:tc>
        <w:tc>
          <w:tcPr>
            <w:tcW w:w="700" w:type="dxa"/>
            <w:vAlign w:val="bottom"/>
            <w:vMerge w:val="restart"/>
          </w:tcPr>
          <w:p>
            <w:pPr>
              <w:jc w:val="right"/>
              <w:ind w:right="18"/>
              <w:spacing w:after="0"/>
              <w:rPr>
                <w:sz w:val="20"/>
                <w:szCs w:val="20"/>
                <w:color w:val="auto"/>
              </w:rPr>
            </w:pPr>
            <w:r>
              <w:rPr>
                <w:rFonts w:ascii="Arial" w:cs="Arial" w:eastAsia="Arial" w:hAnsi="Arial"/>
                <w:sz w:val="8"/>
                <w:szCs w:val="8"/>
                <w:color w:val="auto"/>
              </w:rPr>
              <w:t>0</w:t>
            </w:r>
          </w:p>
        </w:tc>
        <w:tc>
          <w:tcPr>
            <w:tcW w:w="660" w:type="dxa"/>
            <w:vAlign w:val="bottom"/>
            <w:vMerge w:val="restart"/>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vMerge w:val="restart"/>
          </w:tcPr>
          <w:p>
            <w:pPr>
              <w:jc w:val="right"/>
              <w:ind w:right="18"/>
              <w:spacing w:after="0"/>
              <w:rPr>
                <w:sz w:val="20"/>
                <w:szCs w:val="20"/>
                <w:color w:val="auto"/>
              </w:rPr>
            </w:pPr>
            <w:r>
              <w:rPr>
                <w:rFonts w:ascii="Arial" w:cs="Arial" w:eastAsia="Arial" w:hAnsi="Arial"/>
                <w:sz w:val="8"/>
                <w:szCs w:val="8"/>
                <w:color w:val="auto"/>
              </w:rPr>
              <w:t>—</w:t>
            </w:r>
          </w:p>
        </w:tc>
        <w:tc>
          <w:tcPr>
            <w:tcW w:w="60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66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68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720" w:type="dxa"/>
            <w:vAlign w:val="bottom"/>
            <w:vMerge w:val="restart"/>
          </w:tcPr>
          <w:p>
            <w:pPr>
              <w:jc w:val="right"/>
              <w:ind w:right="58"/>
              <w:spacing w:after="0"/>
              <w:rPr>
                <w:sz w:val="20"/>
                <w:szCs w:val="20"/>
                <w:color w:val="auto"/>
              </w:rPr>
            </w:pPr>
            <w:r>
              <w:rPr>
                <w:rFonts w:ascii="Arial" w:cs="Arial" w:eastAsia="Arial" w:hAnsi="Arial"/>
                <w:sz w:val="8"/>
                <w:szCs w:val="8"/>
                <w:color w:val="auto"/>
              </w:rPr>
              <w:t>322</w:t>
            </w:r>
          </w:p>
        </w:tc>
        <w:tc>
          <w:tcPr>
            <w:tcW w:w="560" w:type="dxa"/>
            <w:vAlign w:val="bottom"/>
            <w:vMerge w:val="restart"/>
          </w:tcPr>
          <w:p>
            <w:pPr>
              <w:ind w:left="480"/>
              <w:spacing w:after="0"/>
              <w:rPr>
                <w:sz w:val="20"/>
                <w:szCs w:val="20"/>
                <w:color w:val="auto"/>
              </w:rPr>
            </w:pPr>
            <w:r>
              <w:rPr>
                <w:rFonts w:ascii="Arial" w:cs="Arial" w:eastAsia="Arial" w:hAnsi="Arial"/>
                <w:sz w:val="8"/>
                <w:szCs w:val="8"/>
                <w:color w:val="auto"/>
                <w:w w:val="74"/>
              </w:rPr>
              <w:t>—</w:t>
            </w:r>
          </w:p>
        </w:tc>
        <w:tc>
          <w:tcPr>
            <w:tcW w:w="720" w:type="dxa"/>
            <w:vAlign w:val="bottom"/>
            <w:vMerge w:val="restart"/>
          </w:tcPr>
          <w:p>
            <w:pPr>
              <w:jc w:val="right"/>
              <w:ind w:right="18"/>
              <w:spacing w:after="0"/>
              <w:rPr>
                <w:sz w:val="20"/>
                <w:szCs w:val="20"/>
                <w:color w:val="auto"/>
              </w:rPr>
            </w:pPr>
            <w:r>
              <w:rPr>
                <w:rFonts w:ascii="Arial" w:cs="Arial" w:eastAsia="Arial" w:hAnsi="Arial"/>
                <w:sz w:val="8"/>
                <w:szCs w:val="8"/>
                <w:color w:val="auto"/>
              </w:rPr>
              <w:t>—</w:t>
            </w: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1180" w:type="dxa"/>
            <w:vAlign w:val="bottom"/>
            <w:vMerge w:val="restart"/>
          </w:tcPr>
          <w:p>
            <w:pPr>
              <w:jc w:val="right"/>
              <w:ind w:right="500"/>
              <w:spacing w:after="0"/>
              <w:rPr>
                <w:sz w:val="20"/>
                <w:szCs w:val="20"/>
                <w:color w:val="auto"/>
              </w:rPr>
            </w:pPr>
            <w:r>
              <w:rPr>
                <w:rFonts w:ascii="Arial" w:cs="Arial" w:eastAsia="Arial" w:hAnsi="Arial"/>
                <w:sz w:val="8"/>
                <w:szCs w:val="8"/>
                <w:color w:val="auto"/>
              </w:rPr>
              <w:t>322</w:t>
            </w:r>
          </w:p>
        </w:tc>
        <w:tc>
          <w:tcPr>
            <w:tcW w:w="200" w:type="dxa"/>
            <w:vAlign w:val="bottom"/>
            <w:vMerge w:val="restart"/>
          </w:tcPr>
          <w:p>
            <w:pPr>
              <w:ind w:left="40"/>
              <w:spacing w:after="0"/>
              <w:rPr>
                <w:sz w:val="20"/>
                <w:szCs w:val="20"/>
                <w:color w:val="auto"/>
              </w:rPr>
            </w:pPr>
            <w:r>
              <w:rPr>
                <w:rFonts w:ascii="Arial" w:cs="Arial" w:eastAsia="Arial" w:hAnsi="Arial"/>
                <w:sz w:val="8"/>
                <w:szCs w:val="8"/>
                <w:color w:val="auto"/>
              </w:rPr>
              <w:t>—</w:t>
            </w: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322</w:t>
            </w:r>
          </w:p>
        </w:tc>
        <w:tc>
          <w:tcPr>
            <w:tcW w:w="0" w:type="dxa"/>
            <w:vAlign w:val="bottom"/>
          </w:tcPr>
          <w:p>
            <w:pPr>
              <w:spacing w:after="0"/>
              <w:rPr>
                <w:sz w:val="1"/>
                <w:szCs w:val="1"/>
                <w:color w:val="auto"/>
              </w:rPr>
            </w:pPr>
          </w:p>
        </w:tc>
      </w:tr>
      <w:tr>
        <w:trPr>
          <w:trHeight w:val="107"/>
        </w:trPr>
        <w:tc>
          <w:tcPr>
            <w:tcW w:w="2700" w:type="dxa"/>
            <w:vAlign w:val="bottom"/>
          </w:tcPr>
          <w:p>
            <w:pPr>
              <w:spacing w:after="0"/>
              <w:rPr>
                <w:sz w:val="20"/>
                <w:szCs w:val="20"/>
                <w:color w:val="auto"/>
              </w:rPr>
            </w:pPr>
            <w:r>
              <w:rPr>
                <w:rFonts w:ascii="Arial" w:cs="Arial" w:eastAsia="Arial" w:hAnsi="Arial"/>
                <w:sz w:val="8"/>
                <w:szCs w:val="8"/>
                <w:b w:val="1"/>
                <w:bCs w:val="1"/>
                <w:color w:val="auto"/>
              </w:rPr>
              <w:t>December 31</w:t>
            </w: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7"/>
          <w:szCs w:val="7"/>
          <w:color w:val="auto"/>
        </w:rPr>
        <w:t>[A] Includes 1 million barrels consumed in operations for synthetic crude oil.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213</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157"/>
        </w:trPr>
        <w:tc>
          <w:tcPr>
            <w:tcW w:w="270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Proved developed reserves 2020</w:t>
            </w:r>
          </w:p>
        </w:tc>
        <w:tc>
          <w:tcPr>
            <w:tcW w:w="780" w:type="dxa"/>
            <w:vAlign w:val="bottom"/>
            <w:tcBorders>
              <w:top w:val="single" w:sz="8" w:color="CDCDCD"/>
            </w:tcBorders>
          </w:tcPr>
          <w:p>
            <w:pPr>
              <w:spacing w:after="0"/>
              <w:rPr>
                <w:sz w:val="13"/>
                <w:szCs w:val="13"/>
                <w:color w:val="auto"/>
              </w:rPr>
            </w:pPr>
          </w:p>
        </w:tc>
        <w:tc>
          <w:tcPr>
            <w:tcW w:w="620" w:type="dxa"/>
            <w:vAlign w:val="bottom"/>
            <w:tcBorders>
              <w:top w:val="single" w:sz="8" w:color="CDCDCD"/>
            </w:tcBorders>
          </w:tcPr>
          <w:p>
            <w:pPr>
              <w:spacing w:after="0"/>
              <w:rPr>
                <w:sz w:val="13"/>
                <w:szCs w:val="13"/>
                <w:color w:val="auto"/>
              </w:rPr>
            </w:pPr>
          </w:p>
        </w:tc>
        <w:tc>
          <w:tcPr>
            <w:tcW w:w="680" w:type="dxa"/>
            <w:vAlign w:val="bottom"/>
            <w:tcBorders>
              <w:top w:val="single" w:sz="8" w:color="CDCDCD"/>
            </w:tcBorders>
          </w:tcPr>
          <w:p>
            <w:pPr>
              <w:spacing w:after="0"/>
              <w:rPr>
                <w:sz w:val="13"/>
                <w:szCs w:val="13"/>
                <w:color w:val="auto"/>
              </w:rPr>
            </w:pPr>
          </w:p>
        </w:tc>
        <w:tc>
          <w:tcPr>
            <w:tcW w:w="540" w:type="dxa"/>
            <w:vAlign w:val="bottom"/>
            <w:tcBorders>
              <w:top w:val="single" w:sz="8" w:color="CDCDCD"/>
            </w:tcBorders>
          </w:tcPr>
          <w:p>
            <w:pPr>
              <w:spacing w:after="0"/>
              <w:rPr>
                <w:sz w:val="13"/>
                <w:szCs w:val="13"/>
                <w:color w:val="auto"/>
              </w:rPr>
            </w:pPr>
          </w:p>
        </w:tc>
        <w:tc>
          <w:tcPr>
            <w:tcW w:w="780" w:type="dxa"/>
            <w:vAlign w:val="bottom"/>
            <w:tcBorders>
              <w:top w:val="single" w:sz="8" w:color="CDCDCD"/>
            </w:tcBorders>
          </w:tcPr>
          <w:p>
            <w:pPr>
              <w:spacing w:after="0"/>
              <w:rPr>
                <w:sz w:val="13"/>
                <w:szCs w:val="13"/>
                <w:color w:val="auto"/>
              </w:rPr>
            </w:pPr>
          </w:p>
        </w:tc>
        <w:tc>
          <w:tcPr>
            <w:tcW w:w="580" w:type="dxa"/>
            <w:vAlign w:val="bottom"/>
            <w:tcBorders>
              <w:top w:val="single" w:sz="8" w:color="CDCDCD"/>
            </w:tcBorders>
          </w:tcPr>
          <w:p>
            <w:pPr>
              <w:spacing w:after="0"/>
              <w:rPr>
                <w:sz w:val="13"/>
                <w:szCs w:val="13"/>
                <w:color w:val="auto"/>
              </w:rPr>
            </w:pPr>
          </w:p>
        </w:tc>
        <w:tc>
          <w:tcPr>
            <w:tcW w:w="720" w:type="dxa"/>
            <w:vAlign w:val="bottom"/>
            <w:tcBorders>
              <w:top w:val="single" w:sz="8" w:color="CDCDCD"/>
            </w:tcBorders>
          </w:tcPr>
          <w:p>
            <w:pPr>
              <w:spacing w:after="0"/>
              <w:rPr>
                <w:sz w:val="13"/>
                <w:szCs w:val="13"/>
                <w:color w:val="auto"/>
              </w:rPr>
            </w:pPr>
          </w:p>
        </w:tc>
        <w:tc>
          <w:tcPr>
            <w:tcW w:w="540" w:type="dxa"/>
            <w:vAlign w:val="bottom"/>
            <w:tcBorders>
              <w:top w:val="single" w:sz="8" w:color="CDCDCD"/>
            </w:tcBorders>
          </w:tcPr>
          <w:p>
            <w:pPr>
              <w:spacing w:after="0"/>
              <w:rPr>
                <w:sz w:val="13"/>
                <w:szCs w:val="13"/>
                <w:color w:val="auto"/>
              </w:rPr>
            </w:pPr>
          </w:p>
        </w:tc>
        <w:tc>
          <w:tcPr>
            <w:tcW w:w="800" w:type="dxa"/>
            <w:vAlign w:val="bottom"/>
            <w:tcBorders>
              <w:top w:val="single" w:sz="8" w:color="CDCDCD"/>
            </w:tcBorders>
          </w:tcPr>
          <w:p>
            <w:pPr>
              <w:spacing w:after="0"/>
              <w:rPr>
                <w:sz w:val="13"/>
                <w:szCs w:val="13"/>
                <w:color w:val="auto"/>
              </w:rPr>
            </w:pPr>
          </w:p>
        </w:tc>
        <w:tc>
          <w:tcPr>
            <w:tcW w:w="540" w:type="dxa"/>
            <w:vAlign w:val="bottom"/>
            <w:tcBorders>
              <w:top w:val="single" w:sz="8" w:color="CDCDCD"/>
            </w:tcBorders>
          </w:tcPr>
          <w:p>
            <w:pPr>
              <w:spacing w:after="0"/>
              <w:rPr>
                <w:sz w:val="13"/>
                <w:szCs w:val="13"/>
                <w:color w:val="auto"/>
              </w:rPr>
            </w:pPr>
          </w:p>
        </w:tc>
        <w:tc>
          <w:tcPr>
            <w:tcW w:w="860" w:type="dxa"/>
            <w:vAlign w:val="bottom"/>
            <w:tcBorders>
              <w:top w:val="single" w:sz="8" w:color="CDCDCD"/>
            </w:tcBorders>
          </w:tcPr>
          <w:p>
            <w:pPr>
              <w:jc w:val="right"/>
              <w:ind w:right="238"/>
              <w:spacing w:after="0"/>
              <w:rPr>
                <w:sz w:val="20"/>
                <w:szCs w:val="20"/>
                <w:color w:val="auto"/>
              </w:rPr>
            </w:pPr>
            <w:r>
              <w:rPr>
                <w:rFonts w:ascii="Arial" w:cs="Arial" w:eastAsia="Arial" w:hAnsi="Arial"/>
                <w:sz w:val="10"/>
                <w:szCs w:val="10"/>
                <w:color w:val="auto"/>
                <w:w w:val="90"/>
              </w:rPr>
              <w:t>Million barrels</w:t>
            </w:r>
          </w:p>
        </w:tc>
        <w:tc>
          <w:tcPr>
            <w:tcW w:w="600" w:type="dxa"/>
            <w:vAlign w:val="bottom"/>
            <w:tcBorders>
              <w:top w:val="single" w:sz="8" w:color="CDCDCD"/>
            </w:tcBorders>
          </w:tcPr>
          <w:p>
            <w:pPr>
              <w:spacing w:after="0"/>
              <w:rPr>
                <w:sz w:val="13"/>
                <w:szCs w:val="13"/>
                <w:color w:val="auto"/>
              </w:rPr>
            </w:pPr>
          </w:p>
        </w:tc>
        <w:tc>
          <w:tcPr>
            <w:tcW w:w="540" w:type="dxa"/>
            <w:vAlign w:val="bottom"/>
            <w:tcBorders>
              <w:top w:val="single" w:sz="8" w:color="CDCDCD"/>
            </w:tcBorders>
          </w:tcPr>
          <w:p>
            <w:pPr>
              <w:spacing w:after="0"/>
              <w:rPr>
                <w:sz w:val="13"/>
                <w:szCs w:val="13"/>
                <w:color w:val="auto"/>
              </w:rPr>
            </w:pPr>
          </w:p>
        </w:tc>
      </w:tr>
      <w:tr>
        <w:trPr>
          <w:trHeight w:val="102"/>
        </w:trPr>
        <w:tc>
          <w:tcPr>
            <w:tcW w:w="2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7"/>
                <w:szCs w:val="7"/>
                <w:color w:val="auto"/>
              </w:rPr>
              <w:t>North America</w:t>
            </w:r>
          </w:p>
        </w:tc>
        <w:tc>
          <w:tcPr>
            <w:tcW w:w="5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00"/>
        </w:trPr>
        <w:tc>
          <w:tcPr>
            <w:tcW w:w="2700" w:type="dxa"/>
            <w:vAlign w:val="bottom"/>
          </w:tcPr>
          <w:p>
            <w:pPr>
              <w:spacing w:after="0"/>
              <w:rPr>
                <w:sz w:val="8"/>
                <w:szCs w:val="8"/>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7"/>
                <w:szCs w:val="7"/>
                <w:color w:val="auto"/>
              </w:rPr>
              <w:t>Europe</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7"/>
                <w:szCs w:val="7"/>
                <w:color w:val="auto"/>
              </w:rPr>
              <w:t>Asia</w:t>
            </w: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7"/>
                <w:szCs w:val="7"/>
                <w:color w:val="auto"/>
              </w:rPr>
              <w:t>Oceania</w:t>
            </w:r>
          </w:p>
        </w:tc>
        <w:tc>
          <w:tcPr>
            <w:tcW w:w="540" w:type="dxa"/>
            <w:vAlign w:val="bottom"/>
            <w:tcBorders>
              <w:bottom w:val="single" w:sz="8" w:color="auto"/>
            </w:tcBorders>
          </w:tcPr>
          <w:p>
            <w:pPr>
              <w:jc w:val="right"/>
              <w:ind w:right="200"/>
              <w:spacing w:after="0"/>
              <w:rPr>
                <w:sz w:val="20"/>
                <w:szCs w:val="20"/>
                <w:color w:val="auto"/>
              </w:rPr>
            </w:pPr>
            <w:r>
              <w:rPr>
                <w:rFonts w:ascii="Arial" w:cs="Arial" w:eastAsia="Arial" w:hAnsi="Arial"/>
                <w:sz w:val="7"/>
                <w:szCs w:val="7"/>
                <w:color w:val="auto"/>
              </w:rPr>
              <w:t>Africa</w:t>
            </w: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7"/>
                <w:szCs w:val="7"/>
                <w:color w:val="auto"/>
              </w:rPr>
              <w:t>USA</w:t>
            </w:r>
          </w:p>
        </w:tc>
        <w:tc>
          <w:tcPr>
            <w:tcW w:w="5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0"/>
              <w:spacing w:after="0"/>
              <w:rPr>
                <w:sz w:val="20"/>
                <w:szCs w:val="20"/>
                <w:color w:val="auto"/>
              </w:rPr>
            </w:pPr>
            <w:r>
              <w:rPr>
                <w:rFonts w:ascii="Arial" w:cs="Arial" w:eastAsia="Arial" w:hAnsi="Arial"/>
                <w:sz w:val="7"/>
                <w:szCs w:val="7"/>
                <w:color w:val="auto"/>
              </w:rPr>
              <w:t>Canada</w:t>
            </w: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7"/>
                <w:szCs w:val="7"/>
                <w:color w:val="auto"/>
              </w:rPr>
              <w:t>South America</w:t>
            </w:r>
          </w:p>
        </w:tc>
        <w:tc>
          <w:tcPr>
            <w:tcW w:w="5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Total</w:t>
            </w:r>
          </w:p>
        </w:tc>
      </w:tr>
      <w:tr>
        <w:trPr>
          <w:trHeight w:val="97"/>
        </w:trPr>
        <w:tc>
          <w:tcPr>
            <w:tcW w:w="27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7"/>
                <w:szCs w:val="7"/>
                <w:color w:val="auto"/>
              </w:rPr>
              <w:t>Oil and NGL</w:t>
            </w: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7"/>
                <w:szCs w:val="7"/>
                <w:color w:val="auto"/>
              </w:rPr>
              <w:t>Oil and NGL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Oil and NGL</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7"/>
                <w:szCs w:val="7"/>
                <w:color w:val="auto"/>
              </w:rPr>
              <w:t>Oil and NGL</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7"/>
                <w:szCs w:val="7"/>
                <w:color w:val="auto"/>
              </w:rPr>
              <w:t>Synthetic crude oil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Bitumen</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Oil and NGL</w:t>
            </w: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7"/>
                <w:szCs w:val="7"/>
                <w:color w:val="auto"/>
              </w:rPr>
              <w:t>Synthetic crude oil</w:t>
            </w: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7"/>
                <w:szCs w:val="7"/>
                <w:color w:val="auto"/>
              </w:rPr>
              <w:t>Bitumen</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All products</w:t>
            </w:r>
          </w:p>
        </w:tc>
      </w:tr>
      <w:tr>
        <w:trPr>
          <w:trHeight w:val="102"/>
        </w:trPr>
        <w:tc>
          <w:tcPr>
            <w:tcW w:w="2700" w:type="dxa"/>
            <w:vAlign w:val="bottom"/>
          </w:tcPr>
          <w:p>
            <w:pPr>
              <w:spacing w:after="0"/>
              <w:rPr>
                <w:sz w:val="20"/>
                <w:szCs w:val="20"/>
                <w:color w:val="auto"/>
              </w:rPr>
            </w:pPr>
            <w:r>
              <w:rPr>
                <w:rFonts w:ascii="Arial" w:cs="Arial" w:eastAsia="Arial" w:hAnsi="Arial"/>
                <w:sz w:val="8"/>
                <w:szCs w:val="8"/>
                <w:color w:val="auto"/>
              </w:rPr>
              <w:t>Shell subsidiaries</w:t>
            </w: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At January 1</w:t>
            </w:r>
          </w:p>
        </w:tc>
        <w:tc>
          <w:tcPr>
            <w:tcW w:w="780" w:type="dxa"/>
            <w:vAlign w:val="bottom"/>
          </w:tcPr>
          <w:p>
            <w:pPr>
              <w:jc w:val="right"/>
              <w:ind w:right="100"/>
              <w:spacing w:after="0"/>
              <w:rPr>
                <w:sz w:val="20"/>
                <w:szCs w:val="20"/>
                <w:color w:val="auto"/>
              </w:rPr>
            </w:pPr>
            <w:r>
              <w:rPr>
                <w:rFonts w:ascii="Arial" w:cs="Arial" w:eastAsia="Arial" w:hAnsi="Arial"/>
                <w:sz w:val="8"/>
                <w:szCs w:val="8"/>
                <w:color w:val="auto"/>
              </w:rPr>
              <w:t>156</w:t>
            </w:r>
          </w:p>
        </w:tc>
        <w:tc>
          <w:tcPr>
            <w:tcW w:w="620" w:type="dxa"/>
            <w:vAlign w:val="bottom"/>
          </w:tcPr>
          <w:p>
            <w:pPr>
              <w:jc w:val="right"/>
              <w:ind w:right="60"/>
              <w:spacing w:after="0"/>
              <w:rPr>
                <w:sz w:val="20"/>
                <w:szCs w:val="20"/>
                <w:color w:val="auto"/>
              </w:rPr>
            </w:pPr>
            <w:r>
              <w:rPr>
                <w:rFonts w:ascii="Arial" w:cs="Arial" w:eastAsia="Arial" w:hAnsi="Arial"/>
                <w:sz w:val="8"/>
                <w:szCs w:val="8"/>
                <w:color w:val="auto"/>
              </w:rPr>
              <w:t>1,403</w:t>
            </w:r>
          </w:p>
        </w:tc>
        <w:tc>
          <w:tcPr>
            <w:tcW w:w="680" w:type="dxa"/>
            <w:vAlign w:val="bottom"/>
          </w:tcPr>
          <w:p>
            <w:pPr>
              <w:jc w:val="right"/>
              <w:ind w:right="80"/>
              <w:spacing w:after="0"/>
              <w:rPr>
                <w:sz w:val="20"/>
                <w:szCs w:val="20"/>
                <w:color w:val="auto"/>
              </w:rPr>
            </w:pPr>
            <w:r>
              <w:rPr>
                <w:rFonts w:ascii="Arial" w:cs="Arial" w:eastAsia="Arial" w:hAnsi="Arial"/>
                <w:sz w:val="8"/>
                <w:szCs w:val="8"/>
                <w:color w:val="auto"/>
              </w:rPr>
              <w:t>106</w:t>
            </w:r>
          </w:p>
        </w:tc>
        <w:tc>
          <w:tcPr>
            <w:tcW w:w="540" w:type="dxa"/>
            <w:vAlign w:val="bottom"/>
          </w:tcPr>
          <w:p>
            <w:pPr>
              <w:jc w:val="right"/>
              <w:spacing w:after="0"/>
              <w:rPr>
                <w:sz w:val="20"/>
                <w:szCs w:val="20"/>
                <w:color w:val="auto"/>
              </w:rPr>
            </w:pPr>
            <w:r>
              <w:rPr>
                <w:rFonts w:ascii="Arial" w:cs="Arial" w:eastAsia="Arial" w:hAnsi="Arial"/>
                <w:sz w:val="8"/>
                <w:szCs w:val="8"/>
                <w:color w:val="auto"/>
              </w:rPr>
              <w:t>314</w:t>
            </w:r>
          </w:p>
        </w:tc>
        <w:tc>
          <w:tcPr>
            <w:tcW w:w="780" w:type="dxa"/>
            <w:vAlign w:val="bottom"/>
          </w:tcPr>
          <w:p>
            <w:pPr>
              <w:jc w:val="right"/>
              <w:ind w:right="100"/>
              <w:spacing w:after="0"/>
              <w:rPr>
                <w:sz w:val="20"/>
                <w:szCs w:val="20"/>
                <w:color w:val="auto"/>
              </w:rPr>
            </w:pPr>
            <w:r>
              <w:rPr>
                <w:rFonts w:ascii="Arial" w:cs="Arial" w:eastAsia="Arial" w:hAnsi="Arial"/>
                <w:sz w:val="8"/>
                <w:szCs w:val="8"/>
                <w:color w:val="auto"/>
              </w:rPr>
              <w:t>641</w:t>
            </w:r>
          </w:p>
        </w:tc>
        <w:tc>
          <w:tcPr>
            <w:tcW w:w="580" w:type="dxa"/>
            <w:vAlign w:val="bottom"/>
          </w:tcPr>
          <w:p>
            <w:pPr>
              <w:jc w:val="right"/>
              <w:ind w:right="20"/>
              <w:spacing w:after="0"/>
              <w:rPr>
                <w:sz w:val="20"/>
                <w:szCs w:val="20"/>
                <w:color w:val="auto"/>
              </w:rPr>
            </w:pPr>
            <w:r>
              <w:rPr>
                <w:rFonts w:ascii="Arial" w:cs="Arial" w:eastAsia="Arial" w:hAnsi="Arial"/>
                <w:sz w:val="8"/>
                <w:szCs w:val="8"/>
                <w:color w:val="auto"/>
              </w:rPr>
              <w:t>15</w:t>
            </w:r>
          </w:p>
        </w:tc>
        <w:tc>
          <w:tcPr>
            <w:tcW w:w="720" w:type="dxa"/>
            <w:vAlign w:val="bottom"/>
          </w:tcPr>
          <w:p>
            <w:pPr>
              <w:jc w:val="right"/>
              <w:ind w:right="79"/>
              <w:spacing w:after="0"/>
              <w:rPr>
                <w:sz w:val="20"/>
                <w:szCs w:val="20"/>
                <w:color w:val="auto"/>
              </w:rPr>
            </w:pPr>
            <w:r>
              <w:rPr>
                <w:rFonts w:ascii="Arial" w:cs="Arial" w:eastAsia="Arial" w:hAnsi="Arial"/>
                <w:sz w:val="8"/>
                <w:szCs w:val="8"/>
                <w:color w:val="auto"/>
              </w:rPr>
              <w:t>607</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00"/>
              <w:spacing w:after="0"/>
              <w:rPr>
                <w:sz w:val="20"/>
                <w:szCs w:val="20"/>
                <w:color w:val="auto"/>
              </w:rPr>
            </w:pPr>
            <w:r>
              <w:rPr>
                <w:rFonts w:ascii="Arial" w:cs="Arial" w:eastAsia="Arial" w:hAnsi="Arial"/>
                <w:sz w:val="8"/>
                <w:szCs w:val="8"/>
                <w:color w:val="auto"/>
              </w:rPr>
              <w:t>675</w:t>
            </w:r>
          </w:p>
        </w:tc>
        <w:tc>
          <w:tcPr>
            <w:tcW w:w="540" w:type="dxa"/>
            <w:vAlign w:val="bottom"/>
          </w:tcPr>
          <w:p>
            <w:pPr>
              <w:jc w:val="right"/>
              <w:spacing w:after="0"/>
              <w:rPr>
                <w:sz w:val="20"/>
                <w:szCs w:val="20"/>
                <w:color w:val="auto"/>
              </w:rPr>
            </w:pPr>
            <w:r>
              <w:rPr>
                <w:rFonts w:ascii="Arial" w:cs="Arial" w:eastAsia="Arial" w:hAnsi="Arial"/>
                <w:sz w:val="8"/>
                <w:szCs w:val="8"/>
                <w:color w:val="auto"/>
              </w:rPr>
              <w:t>3,310</w:t>
            </w:r>
          </w:p>
        </w:tc>
        <w:tc>
          <w:tcPr>
            <w:tcW w:w="860" w:type="dxa"/>
            <w:vAlign w:val="bottom"/>
          </w:tcPr>
          <w:p>
            <w:pPr>
              <w:jc w:val="right"/>
              <w:ind w:right="178"/>
              <w:spacing w:after="0"/>
              <w:rPr>
                <w:sz w:val="20"/>
                <w:szCs w:val="20"/>
                <w:color w:val="auto"/>
              </w:rPr>
            </w:pPr>
            <w:r>
              <w:rPr>
                <w:rFonts w:ascii="Arial" w:cs="Arial" w:eastAsia="Arial" w:hAnsi="Arial"/>
                <w:sz w:val="8"/>
                <w:szCs w:val="8"/>
                <w:color w:val="auto"/>
              </w:rPr>
              <w:t>607</w:t>
            </w:r>
          </w:p>
        </w:tc>
        <w:tc>
          <w:tcPr>
            <w:tcW w:w="600" w:type="dxa"/>
            <w:vAlign w:val="bottom"/>
          </w:tcPr>
          <w:p>
            <w:pPr>
              <w:jc w:val="right"/>
              <w:ind w:right="99"/>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3,917</w:t>
            </w:r>
          </w:p>
        </w:tc>
      </w:tr>
      <w:tr>
        <w:trPr>
          <w:trHeight w:val="123"/>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At December 31</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8"/>
                <w:szCs w:val="8"/>
                <w:color w:val="auto"/>
              </w:rPr>
              <w:t>103</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rPr>
              <w:t>1,417</w:t>
            </w: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8"/>
                <w:szCs w:val="8"/>
                <w:color w:val="auto"/>
              </w:rPr>
              <w:t>69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316</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8"/>
                <w:szCs w:val="8"/>
                <w:color w:val="auto"/>
              </w:rPr>
              <w:t>539</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8"/>
                <w:szCs w:val="8"/>
                <w:color w:val="auto"/>
              </w:rPr>
              <w:t>12</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644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8"/>
                <w:szCs w:val="8"/>
                <w:color w:val="auto"/>
              </w:rPr>
              <w:t>674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3,130</w:t>
            </w: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rPr>
              <w:t>644</w:t>
            </w: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3,774</w:t>
            </w:r>
          </w:p>
        </w:tc>
      </w:tr>
      <w:tr>
        <w:trPr>
          <w:trHeight w:val="100"/>
        </w:trPr>
        <w:tc>
          <w:tcPr>
            <w:tcW w:w="2700" w:type="dxa"/>
            <w:vAlign w:val="bottom"/>
          </w:tcPr>
          <w:p>
            <w:pPr>
              <w:spacing w:after="0"/>
              <w:rPr>
                <w:sz w:val="20"/>
                <w:szCs w:val="20"/>
                <w:color w:val="auto"/>
              </w:rPr>
            </w:pPr>
            <w:r>
              <w:rPr>
                <w:rFonts w:ascii="Arial" w:cs="Arial" w:eastAsia="Arial" w:hAnsi="Arial"/>
                <w:sz w:val="8"/>
                <w:szCs w:val="8"/>
                <w:color w:val="auto"/>
              </w:rPr>
              <w:t>Shell share of joint ventures and associates</w:t>
            </w: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At January 1</w:t>
            </w:r>
          </w:p>
        </w:tc>
        <w:tc>
          <w:tcPr>
            <w:tcW w:w="780" w:type="dxa"/>
            <w:vAlign w:val="bottom"/>
          </w:tcPr>
          <w:p>
            <w:pPr>
              <w:jc w:val="right"/>
              <w:ind w:right="100"/>
              <w:spacing w:after="0"/>
              <w:rPr>
                <w:sz w:val="20"/>
                <w:szCs w:val="20"/>
                <w:color w:val="auto"/>
              </w:rPr>
            </w:pPr>
            <w:r>
              <w:rPr>
                <w:rFonts w:ascii="Arial" w:cs="Arial" w:eastAsia="Arial" w:hAnsi="Arial"/>
                <w:sz w:val="8"/>
                <w:szCs w:val="8"/>
                <w:color w:val="auto"/>
              </w:rPr>
              <w:t>11</w:t>
            </w:r>
          </w:p>
        </w:tc>
        <w:tc>
          <w:tcPr>
            <w:tcW w:w="620" w:type="dxa"/>
            <w:vAlign w:val="bottom"/>
          </w:tcPr>
          <w:p>
            <w:pPr>
              <w:jc w:val="right"/>
              <w:ind w:right="60"/>
              <w:spacing w:after="0"/>
              <w:rPr>
                <w:sz w:val="20"/>
                <w:szCs w:val="20"/>
                <w:color w:val="auto"/>
              </w:rPr>
            </w:pPr>
            <w:r>
              <w:rPr>
                <w:rFonts w:ascii="Arial" w:cs="Arial" w:eastAsia="Arial" w:hAnsi="Arial"/>
                <w:sz w:val="8"/>
                <w:szCs w:val="8"/>
                <w:color w:val="auto"/>
              </w:rPr>
              <w:t>240</w:t>
            </w:r>
          </w:p>
        </w:tc>
        <w:tc>
          <w:tcPr>
            <w:tcW w:w="680" w:type="dxa"/>
            <w:vAlign w:val="bottom"/>
          </w:tcPr>
          <w:p>
            <w:pPr>
              <w:jc w:val="right"/>
              <w:ind w:right="80"/>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780" w:type="dxa"/>
            <w:vAlign w:val="bottom"/>
          </w:tcPr>
          <w:p>
            <w:pPr>
              <w:jc w:val="right"/>
              <w:ind w:right="100"/>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2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79"/>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00"/>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251</w:t>
            </w:r>
          </w:p>
        </w:tc>
        <w:tc>
          <w:tcPr>
            <w:tcW w:w="86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600" w:type="dxa"/>
            <w:vAlign w:val="bottom"/>
          </w:tcPr>
          <w:p>
            <w:pPr>
              <w:jc w:val="right"/>
              <w:ind w:right="99"/>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251</w:t>
            </w:r>
          </w:p>
        </w:tc>
      </w:tr>
      <w:tr>
        <w:trPr>
          <w:trHeight w:val="123"/>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At December 31</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8"/>
                <w:szCs w:val="8"/>
                <w:color w:val="auto"/>
              </w:rPr>
              <w:t>6</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rPr>
              <w:t>192</w:t>
            </w: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8"/>
                <w:szCs w:val="8"/>
                <w:color w:val="auto"/>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8"/>
                <w:szCs w:val="8"/>
                <w:color w:val="auto"/>
              </w:rPr>
              <w:t>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199</w:t>
            </w: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199</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20" w:type="dxa"/>
            <w:vAlign w:val="bottom"/>
            <w:tcBorders>
              <w:top w:val="single" w:sz="8" w:color="CDCDCD"/>
            </w:tcBorders>
            <w:gridSpan w:val="2"/>
          </w:tcPr>
          <w:p>
            <w:pPr>
              <w:spacing w:after="0"/>
              <w:rPr>
                <w:sz w:val="20"/>
                <w:szCs w:val="20"/>
                <w:color w:val="auto"/>
              </w:rPr>
            </w:pPr>
            <w:r>
              <w:rPr>
                <w:rFonts w:ascii="Arial" w:cs="Arial" w:eastAsia="Arial" w:hAnsi="Arial"/>
                <w:sz w:val="10"/>
                <w:szCs w:val="10"/>
                <w:color w:val="auto"/>
              </w:rPr>
              <w:t>Proved undeveloped reserves 2020</w:t>
            </w:r>
          </w:p>
        </w:tc>
        <w:tc>
          <w:tcPr>
            <w:tcW w:w="200" w:type="dxa"/>
            <w:vAlign w:val="bottom"/>
            <w:tcBorders>
              <w:top w:val="single" w:sz="8" w:color="CDCDCD"/>
            </w:tcBorders>
          </w:tcPr>
          <w:p>
            <w:pPr>
              <w:spacing w:after="0"/>
              <w:rPr>
                <w:sz w:val="13"/>
                <w:szCs w:val="13"/>
                <w:color w:val="auto"/>
              </w:rPr>
            </w:pPr>
          </w:p>
        </w:tc>
        <w:tc>
          <w:tcPr>
            <w:tcW w:w="640" w:type="dxa"/>
            <w:vAlign w:val="bottom"/>
            <w:tcBorders>
              <w:top w:val="single" w:sz="8" w:color="CDCDCD"/>
            </w:tcBorders>
          </w:tcPr>
          <w:p>
            <w:pPr>
              <w:spacing w:after="0"/>
              <w:rPr>
                <w:sz w:val="13"/>
                <w:szCs w:val="13"/>
                <w:color w:val="auto"/>
              </w:rPr>
            </w:pPr>
          </w:p>
        </w:tc>
        <w:tc>
          <w:tcPr>
            <w:tcW w:w="480" w:type="dxa"/>
            <w:vAlign w:val="bottom"/>
            <w:tcBorders>
              <w:top w:val="single" w:sz="8" w:color="CDCDCD"/>
            </w:tcBorders>
          </w:tcPr>
          <w:p>
            <w:pPr>
              <w:spacing w:after="0"/>
              <w:rPr>
                <w:sz w:val="13"/>
                <w:szCs w:val="13"/>
                <w:color w:val="auto"/>
              </w:rPr>
            </w:pPr>
          </w:p>
        </w:tc>
        <w:tc>
          <w:tcPr>
            <w:tcW w:w="660" w:type="dxa"/>
            <w:vAlign w:val="bottom"/>
            <w:tcBorders>
              <w:top w:val="single" w:sz="8" w:color="CDCDCD"/>
            </w:tcBorders>
          </w:tcPr>
          <w:p>
            <w:pPr>
              <w:spacing w:after="0"/>
              <w:rPr>
                <w:sz w:val="13"/>
                <w:szCs w:val="13"/>
                <w:color w:val="auto"/>
              </w:rPr>
            </w:pPr>
          </w:p>
        </w:tc>
        <w:tc>
          <w:tcPr>
            <w:tcW w:w="120" w:type="dxa"/>
            <w:vAlign w:val="bottom"/>
            <w:tcBorders>
              <w:top w:val="single" w:sz="8" w:color="CDCDCD"/>
            </w:tcBorders>
          </w:tcPr>
          <w:p>
            <w:pPr>
              <w:spacing w:after="0"/>
              <w:rPr>
                <w:sz w:val="13"/>
                <w:szCs w:val="13"/>
                <w:color w:val="auto"/>
              </w:rPr>
            </w:pPr>
          </w:p>
        </w:tc>
        <w:tc>
          <w:tcPr>
            <w:tcW w:w="720" w:type="dxa"/>
            <w:vAlign w:val="bottom"/>
            <w:tcBorders>
              <w:top w:val="single" w:sz="8" w:color="CDCDCD"/>
            </w:tcBorders>
          </w:tcPr>
          <w:p>
            <w:pPr>
              <w:spacing w:after="0"/>
              <w:rPr>
                <w:sz w:val="13"/>
                <w:szCs w:val="13"/>
                <w:color w:val="auto"/>
              </w:rPr>
            </w:pPr>
          </w:p>
        </w:tc>
        <w:tc>
          <w:tcPr>
            <w:tcW w:w="620" w:type="dxa"/>
            <w:vAlign w:val="bottom"/>
            <w:tcBorders>
              <w:top w:val="single" w:sz="8" w:color="CDCDCD"/>
            </w:tcBorders>
          </w:tcPr>
          <w:p>
            <w:pPr>
              <w:spacing w:after="0"/>
              <w:rPr>
                <w:sz w:val="13"/>
                <w:szCs w:val="13"/>
                <w:color w:val="auto"/>
              </w:rPr>
            </w:pPr>
          </w:p>
        </w:tc>
        <w:tc>
          <w:tcPr>
            <w:tcW w:w="720" w:type="dxa"/>
            <w:vAlign w:val="bottom"/>
            <w:tcBorders>
              <w:top w:val="single" w:sz="8" w:color="CDCDCD"/>
            </w:tcBorders>
          </w:tcPr>
          <w:p>
            <w:pPr>
              <w:spacing w:after="0"/>
              <w:rPr>
                <w:sz w:val="13"/>
                <w:szCs w:val="13"/>
                <w:color w:val="auto"/>
              </w:rPr>
            </w:pPr>
          </w:p>
        </w:tc>
        <w:tc>
          <w:tcPr>
            <w:tcW w:w="420" w:type="dxa"/>
            <w:vAlign w:val="bottom"/>
            <w:tcBorders>
              <w:top w:val="single" w:sz="8" w:color="CDCDCD"/>
            </w:tcBorders>
          </w:tcPr>
          <w:p>
            <w:pPr>
              <w:spacing w:after="0"/>
              <w:rPr>
                <w:sz w:val="13"/>
                <w:szCs w:val="13"/>
                <w:color w:val="auto"/>
              </w:rPr>
            </w:pPr>
          </w:p>
        </w:tc>
        <w:tc>
          <w:tcPr>
            <w:tcW w:w="140" w:type="dxa"/>
            <w:vAlign w:val="bottom"/>
            <w:tcBorders>
              <w:top w:val="single" w:sz="8" w:color="CDCDCD"/>
            </w:tcBorders>
          </w:tcPr>
          <w:p>
            <w:pPr>
              <w:spacing w:after="0"/>
              <w:rPr>
                <w:sz w:val="13"/>
                <w:szCs w:val="13"/>
                <w:color w:val="auto"/>
              </w:rPr>
            </w:pPr>
          </w:p>
        </w:tc>
        <w:tc>
          <w:tcPr>
            <w:tcW w:w="740" w:type="dxa"/>
            <w:vAlign w:val="bottom"/>
            <w:tcBorders>
              <w:top w:val="single" w:sz="8" w:color="CDCDCD"/>
            </w:tcBorders>
          </w:tcPr>
          <w:p>
            <w:pPr>
              <w:spacing w:after="0"/>
              <w:rPr>
                <w:sz w:val="13"/>
                <w:szCs w:val="13"/>
                <w:color w:val="auto"/>
              </w:rPr>
            </w:pPr>
          </w:p>
        </w:tc>
        <w:tc>
          <w:tcPr>
            <w:tcW w:w="620" w:type="dxa"/>
            <w:vAlign w:val="bottom"/>
            <w:tcBorders>
              <w:top w:val="single" w:sz="8" w:color="CDCDCD"/>
            </w:tcBorders>
          </w:tcPr>
          <w:p>
            <w:pPr>
              <w:spacing w:after="0"/>
              <w:rPr>
                <w:sz w:val="13"/>
                <w:szCs w:val="13"/>
                <w:color w:val="auto"/>
              </w:rPr>
            </w:pPr>
          </w:p>
        </w:tc>
        <w:tc>
          <w:tcPr>
            <w:tcW w:w="740" w:type="dxa"/>
            <w:vAlign w:val="bottom"/>
            <w:tcBorders>
              <w:top w:val="single" w:sz="8" w:color="CDCDCD"/>
            </w:tcBorders>
          </w:tcPr>
          <w:p>
            <w:pPr>
              <w:spacing w:after="0"/>
              <w:rPr>
                <w:sz w:val="13"/>
                <w:szCs w:val="13"/>
                <w:color w:val="auto"/>
              </w:rPr>
            </w:pPr>
          </w:p>
        </w:tc>
        <w:tc>
          <w:tcPr>
            <w:tcW w:w="600" w:type="dxa"/>
            <w:vAlign w:val="bottom"/>
            <w:tcBorders>
              <w:top w:val="single" w:sz="8" w:color="CDCDCD"/>
            </w:tcBorders>
          </w:tcPr>
          <w:p>
            <w:pPr>
              <w:spacing w:after="0"/>
              <w:rPr>
                <w:sz w:val="13"/>
                <w:szCs w:val="13"/>
                <w:color w:val="auto"/>
              </w:rPr>
            </w:pPr>
          </w:p>
        </w:tc>
        <w:tc>
          <w:tcPr>
            <w:tcW w:w="64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w w:val="97"/>
              </w:rPr>
              <w:t>Million barrels</w:t>
            </w:r>
          </w:p>
        </w:tc>
      </w:tr>
      <w:tr>
        <w:trPr>
          <w:trHeight w:val="102"/>
        </w:trPr>
        <w:tc>
          <w:tcPr>
            <w:tcW w:w="2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2"/>
          </w:tcPr>
          <w:p>
            <w:pPr>
              <w:ind w:left="380"/>
              <w:spacing w:after="0"/>
              <w:rPr>
                <w:sz w:val="20"/>
                <w:szCs w:val="20"/>
                <w:color w:val="auto"/>
              </w:rPr>
            </w:pPr>
            <w:r>
              <w:rPr>
                <w:rFonts w:ascii="Arial" w:cs="Arial" w:eastAsia="Arial" w:hAnsi="Arial"/>
                <w:sz w:val="7"/>
                <w:szCs w:val="7"/>
                <w:color w:val="auto"/>
              </w:rPr>
              <w:t>North America</w:t>
            </w: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0"/>
        </w:trPr>
        <w:tc>
          <w:tcPr>
            <w:tcW w:w="2700" w:type="dxa"/>
            <w:vAlign w:val="bottom"/>
          </w:tcPr>
          <w:p>
            <w:pPr>
              <w:spacing w:after="0"/>
              <w:rPr>
                <w:sz w:val="8"/>
                <w:szCs w:val="8"/>
                <w:color w:val="auto"/>
              </w:rPr>
            </w:pPr>
          </w:p>
        </w:tc>
        <w:tc>
          <w:tcPr>
            <w:tcW w:w="520" w:type="dxa"/>
            <w:vAlign w:val="bottom"/>
            <w:tcBorders>
              <w:bottom w:val="single" w:sz="8" w:color="auto"/>
            </w:tcBorders>
          </w:tcPr>
          <w:p>
            <w:pPr>
              <w:jc w:val="center"/>
              <w:ind w:left="84"/>
              <w:spacing w:after="0"/>
              <w:rPr>
                <w:sz w:val="20"/>
                <w:szCs w:val="20"/>
                <w:color w:val="auto"/>
              </w:rPr>
            </w:pPr>
            <w:r>
              <w:rPr>
                <w:rFonts w:ascii="Arial" w:cs="Arial" w:eastAsia="Arial" w:hAnsi="Arial"/>
                <w:sz w:val="7"/>
                <w:szCs w:val="7"/>
                <w:color w:val="auto"/>
                <w:w w:val="88"/>
              </w:rPr>
              <w:t>Europe</w:t>
            </w: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80"/>
              <w:spacing w:after="0"/>
              <w:rPr>
                <w:sz w:val="20"/>
                <w:szCs w:val="20"/>
                <w:color w:val="auto"/>
              </w:rPr>
            </w:pPr>
            <w:r>
              <w:rPr>
                <w:rFonts w:ascii="Arial" w:cs="Arial" w:eastAsia="Arial" w:hAnsi="Arial"/>
                <w:sz w:val="7"/>
                <w:szCs w:val="7"/>
                <w:color w:val="auto"/>
              </w:rPr>
              <w:t>Asia</w:t>
            </w:r>
          </w:p>
        </w:tc>
        <w:tc>
          <w:tcPr>
            <w:tcW w:w="480" w:type="dxa"/>
            <w:vAlign w:val="bottom"/>
            <w:tcBorders>
              <w:bottom w:val="single" w:sz="8" w:color="auto"/>
            </w:tcBorders>
          </w:tcPr>
          <w:p>
            <w:pPr>
              <w:jc w:val="center"/>
              <w:ind w:left="44"/>
              <w:spacing w:after="0"/>
              <w:rPr>
                <w:sz w:val="20"/>
                <w:szCs w:val="20"/>
                <w:color w:val="auto"/>
              </w:rPr>
            </w:pPr>
            <w:r>
              <w:rPr>
                <w:rFonts w:ascii="Arial" w:cs="Arial" w:eastAsia="Arial" w:hAnsi="Arial"/>
                <w:sz w:val="7"/>
                <w:szCs w:val="7"/>
                <w:color w:val="auto"/>
                <w:w w:val="91"/>
              </w:rPr>
              <w:t>Oceania</w:t>
            </w: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7"/>
                <w:szCs w:val="7"/>
                <w:color w:val="auto"/>
              </w:rPr>
              <w:t>Africa</w:t>
            </w: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7"/>
                <w:szCs w:val="7"/>
                <w:color w:val="auto"/>
              </w:rPr>
              <w:t>USA</w:t>
            </w:r>
          </w:p>
        </w:tc>
        <w:tc>
          <w:tcPr>
            <w:tcW w:w="6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center"/>
              <w:ind w:left="24"/>
              <w:spacing w:after="0"/>
              <w:rPr>
                <w:sz w:val="20"/>
                <w:szCs w:val="20"/>
                <w:color w:val="auto"/>
              </w:rPr>
            </w:pPr>
            <w:r>
              <w:rPr>
                <w:rFonts w:ascii="Arial" w:cs="Arial" w:eastAsia="Arial" w:hAnsi="Arial"/>
                <w:sz w:val="7"/>
                <w:szCs w:val="7"/>
                <w:color w:val="auto"/>
                <w:w w:val="81"/>
              </w:rPr>
              <w:t>Canada</w:t>
            </w: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7"/>
                <w:szCs w:val="7"/>
                <w:color w:val="auto"/>
              </w:rPr>
              <w:t>South America</w:t>
            </w:r>
          </w:p>
        </w:tc>
        <w:tc>
          <w:tcPr>
            <w:tcW w:w="6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19"/>
              <w:spacing w:after="0"/>
              <w:rPr>
                <w:sz w:val="20"/>
                <w:szCs w:val="20"/>
                <w:color w:val="auto"/>
              </w:rPr>
            </w:pPr>
            <w:r>
              <w:rPr>
                <w:rFonts w:ascii="Arial" w:cs="Arial" w:eastAsia="Arial" w:hAnsi="Arial"/>
                <w:sz w:val="7"/>
                <w:szCs w:val="7"/>
                <w:color w:val="auto"/>
              </w:rPr>
              <w:t>Total</w:t>
            </w:r>
          </w:p>
        </w:tc>
      </w:tr>
      <w:tr>
        <w:trPr>
          <w:trHeight w:val="97"/>
        </w:trPr>
        <w:tc>
          <w:tcPr>
            <w:tcW w:w="27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104"/>
              <w:spacing w:after="0"/>
              <w:rPr>
                <w:sz w:val="20"/>
                <w:szCs w:val="20"/>
                <w:color w:val="auto"/>
              </w:rPr>
            </w:pPr>
            <w:r>
              <w:rPr>
                <w:rFonts w:ascii="Arial" w:cs="Arial" w:eastAsia="Arial" w:hAnsi="Arial"/>
                <w:sz w:val="7"/>
                <w:szCs w:val="7"/>
                <w:color w:val="auto"/>
                <w:w w:val="98"/>
              </w:rPr>
              <w:t>Oil and NGL</w:t>
            </w: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7"/>
                <w:szCs w:val="7"/>
                <w:color w:val="auto"/>
              </w:rPr>
              <w:t>Oil and NGL</w:t>
            </w:r>
          </w:p>
        </w:tc>
        <w:tc>
          <w:tcPr>
            <w:tcW w:w="480" w:type="dxa"/>
            <w:vAlign w:val="bottom"/>
            <w:tcBorders>
              <w:bottom w:val="single" w:sz="8" w:color="auto"/>
            </w:tcBorders>
          </w:tcPr>
          <w:p>
            <w:pPr>
              <w:jc w:val="center"/>
              <w:ind w:left="24"/>
              <w:spacing w:after="0"/>
              <w:rPr>
                <w:sz w:val="20"/>
                <w:szCs w:val="20"/>
                <w:color w:val="auto"/>
              </w:rPr>
            </w:pPr>
            <w:r>
              <w:rPr>
                <w:rFonts w:ascii="Arial" w:cs="Arial" w:eastAsia="Arial" w:hAnsi="Arial"/>
                <w:sz w:val="7"/>
                <w:szCs w:val="7"/>
                <w:color w:val="auto"/>
                <w:w w:val="98"/>
              </w:rPr>
              <w:t>Oil and NGL</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Oil and NGL</w:t>
            </w: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7"/>
                <w:szCs w:val="7"/>
                <w:color w:val="auto"/>
              </w:rPr>
              <w:t>Oil and NGL</w:t>
            </w: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7"/>
                <w:szCs w:val="7"/>
                <w:color w:val="auto"/>
              </w:rPr>
              <w:t>Oil and NGL</w:t>
            </w: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7"/>
                <w:szCs w:val="7"/>
                <w:color w:val="auto"/>
              </w:rPr>
              <w:t>Synthetic crude oil</w:t>
            </w:r>
          </w:p>
        </w:tc>
        <w:tc>
          <w:tcPr>
            <w:tcW w:w="420" w:type="dxa"/>
            <w:vAlign w:val="bottom"/>
            <w:tcBorders>
              <w:bottom w:val="single" w:sz="8" w:color="auto"/>
            </w:tcBorders>
          </w:tcPr>
          <w:p>
            <w:pPr>
              <w:jc w:val="center"/>
              <w:ind w:left="24"/>
              <w:spacing w:after="0"/>
              <w:rPr>
                <w:sz w:val="20"/>
                <w:szCs w:val="20"/>
                <w:color w:val="auto"/>
              </w:rPr>
            </w:pPr>
            <w:r>
              <w:rPr>
                <w:rFonts w:ascii="Arial" w:cs="Arial" w:eastAsia="Arial" w:hAnsi="Arial"/>
                <w:sz w:val="7"/>
                <w:szCs w:val="7"/>
                <w:color w:val="auto"/>
                <w:w w:val="93"/>
              </w:rPr>
              <w:t>Bitumen</w:t>
            </w: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7"/>
                <w:szCs w:val="7"/>
                <w:color w:val="auto"/>
              </w:rPr>
              <w:t>Oil and NGL</w:t>
            </w: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7"/>
                <w:szCs w:val="7"/>
                <w:color w:val="auto"/>
              </w:rPr>
              <w:t>Oil and NGL</w:t>
            </w: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7"/>
                <w:szCs w:val="7"/>
                <w:color w:val="auto"/>
              </w:rPr>
              <w:t>Synthetic crude oil</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7"/>
                <w:szCs w:val="7"/>
                <w:color w:val="auto"/>
              </w:rPr>
              <w:t>Bitumen</w:t>
            </w: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7"/>
                <w:szCs w:val="7"/>
                <w:color w:val="auto"/>
              </w:rPr>
              <w:t>All products</w:t>
            </w:r>
          </w:p>
        </w:tc>
      </w:tr>
      <w:tr>
        <w:trPr>
          <w:trHeight w:val="102"/>
        </w:trPr>
        <w:tc>
          <w:tcPr>
            <w:tcW w:w="3220" w:type="dxa"/>
            <w:vAlign w:val="bottom"/>
            <w:gridSpan w:val="2"/>
          </w:tcPr>
          <w:p>
            <w:pPr>
              <w:spacing w:after="0"/>
              <w:rPr>
                <w:sz w:val="20"/>
                <w:szCs w:val="20"/>
                <w:color w:val="auto"/>
              </w:rPr>
            </w:pPr>
            <w:r>
              <w:rPr>
                <w:rFonts w:ascii="Arial" w:cs="Arial" w:eastAsia="Arial" w:hAnsi="Arial"/>
                <w:sz w:val="8"/>
                <w:szCs w:val="8"/>
                <w:color w:val="auto"/>
              </w:rPr>
              <w:t>Shell subsidiaries</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17"/>
        </w:trPr>
        <w:tc>
          <w:tcPr>
            <w:tcW w:w="3220" w:type="dxa"/>
            <w:vAlign w:val="bottom"/>
            <w:gridSpan w:val="2"/>
          </w:tcPr>
          <w:p>
            <w:pPr>
              <w:ind w:left="220"/>
              <w:spacing w:after="0"/>
              <w:rPr>
                <w:sz w:val="20"/>
                <w:szCs w:val="20"/>
                <w:color w:val="auto"/>
              </w:rPr>
            </w:pPr>
            <w:r>
              <w:rPr>
                <w:rFonts w:ascii="Arial" w:cs="Arial" w:eastAsia="Arial" w:hAnsi="Arial"/>
                <w:sz w:val="8"/>
                <w:szCs w:val="8"/>
                <w:color w:val="auto"/>
              </w:rPr>
              <w:t>At January 1</w:t>
            </w:r>
          </w:p>
        </w:tc>
        <w:tc>
          <w:tcPr>
            <w:tcW w:w="200" w:type="dxa"/>
            <w:vAlign w:val="bottom"/>
          </w:tcPr>
          <w:p>
            <w:pPr>
              <w:jc w:val="right"/>
              <w:ind w:right="38"/>
              <w:spacing w:after="0"/>
              <w:rPr>
                <w:sz w:val="20"/>
                <w:szCs w:val="20"/>
                <w:color w:val="auto"/>
              </w:rPr>
            </w:pPr>
            <w:r>
              <w:rPr>
                <w:rFonts w:ascii="Arial" w:cs="Arial" w:eastAsia="Arial" w:hAnsi="Arial"/>
                <w:sz w:val="8"/>
                <w:szCs w:val="8"/>
                <w:color w:val="auto"/>
                <w:w w:val="74"/>
              </w:rPr>
              <w:t>118</w:t>
            </w:r>
          </w:p>
        </w:tc>
        <w:tc>
          <w:tcPr>
            <w:tcW w:w="640" w:type="dxa"/>
            <w:vAlign w:val="bottom"/>
          </w:tcPr>
          <w:p>
            <w:pPr>
              <w:jc w:val="right"/>
              <w:ind w:right="20"/>
              <w:spacing w:after="0"/>
              <w:rPr>
                <w:sz w:val="20"/>
                <w:szCs w:val="20"/>
                <w:color w:val="auto"/>
              </w:rPr>
            </w:pPr>
            <w:r>
              <w:rPr>
                <w:rFonts w:ascii="Arial" w:cs="Arial" w:eastAsia="Arial" w:hAnsi="Arial"/>
                <w:sz w:val="8"/>
                <w:szCs w:val="8"/>
                <w:color w:val="auto"/>
              </w:rPr>
              <w:t>149</w:t>
            </w:r>
          </w:p>
        </w:tc>
        <w:tc>
          <w:tcPr>
            <w:tcW w:w="480" w:type="dxa"/>
            <w:vAlign w:val="bottom"/>
          </w:tcPr>
          <w:p>
            <w:pPr>
              <w:spacing w:after="0"/>
              <w:rPr>
                <w:sz w:val="10"/>
                <w:szCs w:val="10"/>
                <w:color w:val="auto"/>
              </w:rPr>
            </w:pPr>
          </w:p>
        </w:tc>
        <w:tc>
          <w:tcPr>
            <w:tcW w:w="660" w:type="dxa"/>
            <w:vAlign w:val="bottom"/>
          </w:tcPr>
          <w:p>
            <w:pPr>
              <w:jc w:val="right"/>
              <w:ind w:right="500"/>
              <w:spacing w:after="0"/>
              <w:rPr>
                <w:sz w:val="20"/>
                <w:szCs w:val="20"/>
                <w:color w:val="auto"/>
              </w:rPr>
            </w:pPr>
            <w:r>
              <w:rPr>
                <w:rFonts w:ascii="Arial" w:cs="Arial" w:eastAsia="Arial" w:hAnsi="Arial"/>
                <w:sz w:val="8"/>
                <w:szCs w:val="8"/>
                <w:color w:val="auto"/>
              </w:rPr>
              <w:t>15</w:t>
            </w:r>
          </w:p>
        </w:tc>
        <w:tc>
          <w:tcPr>
            <w:tcW w:w="120" w:type="dxa"/>
            <w:vAlign w:val="bottom"/>
          </w:tcPr>
          <w:p>
            <w:pPr>
              <w:jc w:val="right"/>
              <w:spacing w:after="0"/>
              <w:rPr>
                <w:sz w:val="20"/>
                <w:szCs w:val="20"/>
                <w:color w:val="auto"/>
              </w:rPr>
            </w:pPr>
            <w:r>
              <w:rPr>
                <w:rFonts w:ascii="Arial" w:cs="Arial" w:eastAsia="Arial" w:hAnsi="Arial"/>
                <w:sz w:val="8"/>
                <w:szCs w:val="8"/>
                <w:color w:val="auto"/>
                <w:w w:val="89"/>
              </w:rPr>
              <w:t>80</w:t>
            </w:r>
          </w:p>
        </w:tc>
        <w:tc>
          <w:tcPr>
            <w:tcW w:w="720" w:type="dxa"/>
            <w:vAlign w:val="bottom"/>
          </w:tcPr>
          <w:p>
            <w:pPr>
              <w:jc w:val="right"/>
              <w:ind w:right="40"/>
              <w:spacing w:after="0"/>
              <w:rPr>
                <w:sz w:val="20"/>
                <w:szCs w:val="20"/>
                <w:color w:val="auto"/>
              </w:rPr>
            </w:pPr>
            <w:r>
              <w:rPr>
                <w:rFonts w:ascii="Arial" w:cs="Arial" w:eastAsia="Arial" w:hAnsi="Arial"/>
                <w:sz w:val="8"/>
                <w:szCs w:val="8"/>
                <w:color w:val="auto"/>
              </w:rPr>
              <w:t>341</w:t>
            </w:r>
          </w:p>
        </w:tc>
        <w:tc>
          <w:tcPr>
            <w:tcW w:w="620" w:type="dxa"/>
            <w:vAlign w:val="bottom"/>
          </w:tcPr>
          <w:p>
            <w:pPr>
              <w:jc w:val="right"/>
              <w:spacing w:after="0"/>
              <w:rPr>
                <w:sz w:val="20"/>
                <w:szCs w:val="20"/>
                <w:color w:val="auto"/>
              </w:rPr>
            </w:pPr>
            <w:r>
              <w:rPr>
                <w:rFonts w:ascii="Arial" w:cs="Arial" w:eastAsia="Arial" w:hAnsi="Arial"/>
                <w:sz w:val="8"/>
                <w:szCs w:val="8"/>
                <w:color w:val="auto"/>
              </w:rPr>
              <w:t>3</w:t>
            </w:r>
          </w:p>
        </w:tc>
        <w:tc>
          <w:tcPr>
            <w:tcW w:w="720" w:type="dxa"/>
            <w:vAlign w:val="bottom"/>
          </w:tcPr>
          <w:p>
            <w:pPr>
              <w:ind w:left="540"/>
              <w:spacing w:after="0"/>
              <w:rPr>
                <w:sz w:val="20"/>
                <w:szCs w:val="20"/>
                <w:color w:val="auto"/>
              </w:rPr>
            </w:pPr>
            <w:r>
              <w:rPr>
                <w:rFonts w:ascii="Arial" w:cs="Arial" w:eastAsia="Arial" w:hAnsi="Arial"/>
                <w:sz w:val="8"/>
                <w:szCs w:val="8"/>
                <w:color w:val="auto"/>
              </w:rPr>
              <w:t>—</w:t>
            </w:r>
          </w:p>
        </w:tc>
        <w:tc>
          <w:tcPr>
            <w:tcW w:w="420" w:type="dxa"/>
            <w:vAlign w:val="bottom"/>
          </w:tcPr>
          <w:p>
            <w:pPr>
              <w:spacing w:after="0"/>
              <w:rPr>
                <w:sz w:val="10"/>
                <w:szCs w:val="10"/>
                <w:color w:val="auto"/>
              </w:rPr>
            </w:pPr>
          </w:p>
        </w:tc>
        <w:tc>
          <w:tcPr>
            <w:tcW w:w="140" w:type="dxa"/>
            <w:vAlign w:val="bottom"/>
          </w:tcPr>
          <w:p>
            <w:pPr>
              <w:ind w:left="60"/>
              <w:spacing w:after="0"/>
              <w:rPr>
                <w:sz w:val="20"/>
                <w:szCs w:val="20"/>
                <w:color w:val="auto"/>
              </w:rPr>
            </w:pPr>
            <w:r>
              <w:rPr>
                <w:rFonts w:ascii="Arial" w:cs="Arial" w:eastAsia="Arial" w:hAnsi="Arial"/>
                <w:sz w:val="8"/>
                <w:szCs w:val="8"/>
                <w:color w:val="auto"/>
                <w:w w:val="74"/>
              </w:rPr>
              <w:t>—</w:t>
            </w:r>
          </w:p>
        </w:tc>
        <w:tc>
          <w:tcPr>
            <w:tcW w:w="740" w:type="dxa"/>
            <w:vAlign w:val="bottom"/>
          </w:tcPr>
          <w:p>
            <w:pPr>
              <w:jc w:val="right"/>
              <w:ind w:right="40"/>
              <w:spacing w:after="0"/>
              <w:rPr>
                <w:sz w:val="20"/>
                <w:szCs w:val="20"/>
                <w:color w:val="auto"/>
              </w:rPr>
            </w:pPr>
            <w:r>
              <w:rPr>
                <w:rFonts w:ascii="Arial" w:cs="Arial" w:eastAsia="Arial" w:hAnsi="Arial"/>
                <w:sz w:val="8"/>
                <w:szCs w:val="8"/>
                <w:color w:val="auto"/>
              </w:rPr>
              <w:t>358</w:t>
            </w:r>
          </w:p>
        </w:tc>
        <w:tc>
          <w:tcPr>
            <w:tcW w:w="620" w:type="dxa"/>
            <w:vAlign w:val="bottom"/>
          </w:tcPr>
          <w:p>
            <w:pPr>
              <w:jc w:val="right"/>
              <w:spacing w:after="0"/>
              <w:rPr>
                <w:sz w:val="20"/>
                <w:szCs w:val="20"/>
                <w:color w:val="auto"/>
              </w:rPr>
            </w:pPr>
            <w:r>
              <w:rPr>
                <w:rFonts w:ascii="Arial" w:cs="Arial" w:eastAsia="Arial" w:hAnsi="Arial"/>
                <w:sz w:val="8"/>
                <w:szCs w:val="8"/>
                <w:color w:val="auto"/>
              </w:rPr>
              <w:t>1,064</w:t>
            </w:r>
          </w:p>
        </w:tc>
        <w:tc>
          <w:tcPr>
            <w:tcW w:w="740" w:type="dxa"/>
            <w:vAlign w:val="bottom"/>
          </w:tcPr>
          <w:p>
            <w:pPr>
              <w:ind w:left="540"/>
              <w:spacing w:after="0"/>
              <w:rPr>
                <w:sz w:val="20"/>
                <w:szCs w:val="20"/>
                <w:color w:val="auto"/>
              </w:rPr>
            </w:pPr>
            <w:r>
              <w:rPr>
                <w:rFonts w:ascii="Arial" w:cs="Arial" w:eastAsia="Arial" w:hAnsi="Arial"/>
                <w:sz w:val="8"/>
                <w:szCs w:val="8"/>
                <w:color w:val="auto"/>
              </w:rPr>
              <w:t>—</w:t>
            </w:r>
          </w:p>
        </w:tc>
        <w:tc>
          <w:tcPr>
            <w:tcW w:w="600" w:type="dxa"/>
            <w:vAlign w:val="bottom"/>
          </w:tcPr>
          <w:p>
            <w:pPr>
              <w:ind w:left="46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1,064</w:t>
            </w:r>
          </w:p>
        </w:tc>
      </w:tr>
      <w:tr>
        <w:trPr>
          <w:trHeight w:val="123"/>
        </w:trPr>
        <w:tc>
          <w:tcPr>
            <w:tcW w:w="3220" w:type="dxa"/>
            <w:vAlign w:val="bottom"/>
            <w:tcBorders>
              <w:bottom w:val="single" w:sz="8" w:color="auto"/>
            </w:tcBorders>
            <w:gridSpan w:val="2"/>
          </w:tcPr>
          <w:p>
            <w:pPr>
              <w:ind w:left="220"/>
              <w:spacing w:after="0"/>
              <w:rPr>
                <w:sz w:val="20"/>
                <w:szCs w:val="20"/>
                <w:color w:val="auto"/>
              </w:rPr>
            </w:pPr>
            <w:r>
              <w:rPr>
                <w:rFonts w:ascii="Arial" w:cs="Arial" w:eastAsia="Arial" w:hAnsi="Arial"/>
                <w:sz w:val="8"/>
                <w:szCs w:val="8"/>
                <w:color w:val="auto"/>
              </w:rPr>
              <w:t>At December 31</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76</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8"/>
                <w:szCs w:val="8"/>
                <w:color w:val="auto"/>
              </w:rPr>
              <w:t>156</w:t>
            </w: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500"/>
              <w:spacing w:after="0"/>
              <w:rPr>
                <w:sz w:val="20"/>
                <w:szCs w:val="20"/>
                <w:color w:val="auto"/>
              </w:rPr>
            </w:pPr>
            <w:r>
              <w:rPr>
                <w:rFonts w:ascii="Arial" w:cs="Arial" w:eastAsia="Arial" w:hAnsi="Arial"/>
                <w:sz w:val="8"/>
                <w:szCs w:val="8"/>
                <w:color w:val="auto"/>
              </w:rPr>
              <w:t>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89"/>
              </w:rPr>
              <w:t>63</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8"/>
                <w:szCs w:val="8"/>
                <w:color w:val="auto"/>
              </w:rPr>
              <w:t>189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w:t>
            </w: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8"/>
                <w:szCs w:val="8"/>
                <w:color w:val="auto"/>
              </w:rPr>
              <w:t>—</w:t>
            </w: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w w:val="74"/>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8"/>
                <w:szCs w:val="8"/>
                <w:color w:val="auto"/>
              </w:rPr>
              <w:t>141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633</w:t>
            </w: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tcPr>
          <w:p>
            <w:pPr>
              <w:ind w:left="46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633</w:t>
            </w:r>
          </w:p>
        </w:tc>
      </w:tr>
      <w:tr>
        <w:trPr>
          <w:trHeight w:val="100"/>
        </w:trPr>
        <w:tc>
          <w:tcPr>
            <w:tcW w:w="3220" w:type="dxa"/>
            <w:vAlign w:val="bottom"/>
            <w:gridSpan w:val="2"/>
          </w:tcPr>
          <w:p>
            <w:pPr>
              <w:spacing w:after="0"/>
              <w:rPr>
                <w:sz w:val="20"/>
                <w:szCs w:val="20"/>
                <w:color w:val="auto"/>
              </w:rPr>
            </w:pPr>
            <w:r>
              <w:rPr>
                <w:rFonts w:ascii="Arial" w:cs="Arial" w:eastAsia="Arial" w:hAnsi="Arial"/>
                <w:sz w:val="8"/>
                <w:szCs w:val="8"/>
                <w:color w:val="auto"/>
              </w:rPr>
              <w:t>Shell share of joint ventures and associates</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17"/>
        </w:trPr>
        <w:tc>
          <w:tcPr>
            <w:tcW w:w="3220" w:type="dxa"/>
            <w:vAlign w:val="bottom"/>
            <w:gridSpan w:val="2"/>
          </w:tcPr>
          <w:p>
            <w:pPr>
              <w:ind w:left="220"/>
              <w:spacing w:after="0"/>
              <w:rPr>
                <w:sz w:val="20"/>
                <w:szCs w:val="20"/>
                <w:color w:val="auto"/>
              </w:rPr>
            </w:pPr>
            <w:r>
              <w:rPr>
                <w:rFonts w:ascii="Arial" w:cs="Arial" w:eastAsia="Arial" w:hAnsi="Arial"/>
                <w:sz w:val="8"/>
                <w:szCs w:val="8"/>
                <w:color w:val="auto"/>
              </w:rPr>
              <w:t>At January 1</w:t>
            </w:r>
          </w:p>
        </w:tc>
        <w:tc>
          <w:tcPr>
            <w:tcW w:w="200" w:type="dxa"/>
            <w:vAlign w:val="bottom"/>
          </w:tcPr>
          <w:p>
            <w:pPr>
              <w:jc w:val="right"/>
              <w:ind w:right="38"/>
              <w:spacing w:after="0"/>
              <w:rPr>
                <w:sz w:val="20"/>
                <w:szCs w:val="20"/>
                <w:color w:val="auto"/>
              </w:rPr>
            </w:pPr>
            <w:r>
              <w:rPr>
                <w:rFonts w:ascii="Arial" w:cs="Arial" w:eastAsia="Arial" w:hAnsi="Arial"/>
                <w:sz w:val="8"/>
                <w:szCs w:val="8"/>
                <w:color w:val="auto"/>
              </w:rPr>
              <w:t>1</w:t>
            </w:r>
          </w:p>
        </w:tc>
        <w:tc>
          <w:tcPr>
            <w:tcW w:w="640" w:type="dxa"/>
            <w:vAlign w:val="bottom"/>
          </w:tcPr>
          <w:p>
            <w:pPr>
              <w:jc w:val="right"/>
              <w:ind w:right="20"/>
              <w:spacing w:after="0"/>
              <w:rPr>
                <w:sz w:val="20"/>
                <w:szCs w:val="20"/>
                <w:color w:val="auto"/>
              </w:rPr>
            </w:pPr>
            <w:r>
              <w:rPr>
                <w:rFonts w:ascii="Arial" w:cs="Arial" w:eastAsia="Arial" w:hAnsi="Arial"/>
                <w:sz w:val="8"/>
                <w:szCs w:val="8"/>
                <w:color w:val="auto"/>
              </w:rPr>
              <w:t>31</w:t>
            </w:r>
          </w:p>
        </w:tc>
        <w:tc>
          <w:tcPr>
            <w:tcW w:w="480" w:type="dxa"/>
            <w:vAlign w:val="bottom"/>
          </w:tcPr>
          <w:p>
            <w:pPr>
              <w:spacing w:after="0"/>
              <w:rPr>
                <w:sz w:val="10"/>
                <w:szCs w:val="10"/>
                <w:color w:val="auto"/>
              </w:rPr>
            </w:pPr>
          </w:p>
        </w:tc>
        <w:tc>
          <w:tcPr>
            <w:tcW w:w="660" w:type="dxa"/>
            <w:vAlign w:val="bottom"/>
          </w:tcPr>
          <w:p>
            <w:pPr>
              <w:jc w:val="right"/>
              <w:ind w:right="500"/>
              <w:spacing w:after="0"/>
              <w:rPr>
                <w:sz w:val="20"/>
                <w:szCs w:val="20"/>
                <w:color w:val="auto"/>
              </w:rPr>
            </w:pPr>
            <w:r>
              <w:rPr>
                <w:rFonts w:ascii="Arial" w:cs="Arial" w:eastAsia="Arial" w:hAnsi="Arial"/>
                <w:sz w:val="8"/>
                <w:szCs w:val="8"/>
                <w:color w:val="auto"/>
              </w:rPr>
              <w:t>—</w:t>
            </w:r>
          </w:p>
        </w:tc>
        <w:tc>
          <w:tcPr>
            <w:tcW w:w="120" w:type="dxa"/>
            <w:vAlign w:val="bottom"/>
          </w:tcPr>
          <w:p>
            <w:pPr>
              <w:jc w:val="right"/>
              <w:spacing w:after="0"/>
              <w:rPr>
                <w:sz w:val="20"/>
                <w:szCs w:val="20"/>
                <w:color w:val="auto"/>
              </w:rPr>
            </w:pPr>
            <w:r>
              <w:rPr>
                <w:rFonts w:ascii="Arial" w:cs="Arial" w:eastAsia="Arial" w:hAnsi="Arial"/>
                <w:sz w:val="8"/>
                <w:szCs w:val="8"/>
                <w:color w:val="auto"/>
                <w:w w:val="99"/>
              </w:rPr>
              <w:t>—</w:t>
            </w:r>
          </w:p>
        </w:tc>
        <w:tc>
          <w:tcPr>
            <w:tcW w:w="720" w:type="dxa"/>
            <w:vAlign w:val="bottom"/>
          </w:tcPr>
          <w:p>
            <w:pPr>
              <w:jc w:val="right"/>
              <w:ind w:righ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ind w:left="540"/>
              <w:spacing w:after="0"/>
              <w:rPr>
                <w:sz w:val="20"/>
                <w:szCs w:val="20"/>
                <w:color w:val="auto"/>
              </w:rPr>
            </w:pPr>
            <w:r>
              <w:rPr>
                <w:rFonts w:ascii="Arial" w:cs="Arial" w:eastAsia="Arial" w:hAnsi="Arial"/>
                <w:sz w:val="8"/>
                <w:szCs w:val="8"/>
                <w:color w:val="auto"/>
              </w:rPr>
              <w:t>—</w:t>
            </w:r>
          </w:p>
        </w:tc>
        <w:tc>
          <w:tcPr>
            <w:tcW w:w="420" w:type="dxa"/>
            <w:vAlign w:val="bottom"/>
          </w:tcPr>
          <w:p>
            <w:pPr>
              <w:spacing w:after="0"/>
              <w:rPr>
                <w:sz w:val="10"/>
                <w:szCs w:val="10"/>
                <w:color w:val="auto"/>
              </w:rPr>
            </w:pPr>
          </w:p>
        </w:tc>
        <w:tc>
          <w:tcPr>
            <w:tcW w:w="140" w:type="dxa"/>
            <w:vAlign w:val="bottom"/>
          </w:tcPr>
          <w:p>
            <w:pPr>
              <w:ind w:left="60"/>
              <w:spacing w:after="0"/>
              <w:rPr>
                <w:sz w:val="20"/>
                <w:szCs w:val="20"/>
                <w:color w:val="auto"/>
              </w:rPr>
            </w:pPr>
            <w:r>
              <w:rPr>
                <w:rFonts w:ascii="Arial" w:cs="Arial" w:eastAsia="Arial" w:hAnsi="Arial"/>
                <w:sz w:val="8"/>
                <w:szCs w:val="8"/>
                <w:color w:val="auto"/>
                <w:w w:val="74"/>
              </w:rPr>
              <w:t>—</w:t>
            </w:r>
          </w:p>
        </w:tc>
        <w:tc>
          <w:tcPr>
            <w:tcW w:w="740" w:type="dxa"/>
            <w:vAlign w:val="bottom"/>
          </w:tcPr>
          <w:p>
            <w:pPr>
              <w:jc w:val="right"/>
              <w:ind w:righ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32</w:t>
            </w:r>
          </w:p>
        </w:tc>
        <w:tc>
          <w:tcPr>
            <w:tcW w:w="740" w:type="dxa"/>
            <w:vAlign w:val="bottom"/>
          </w:tcPr>
          <w:p>
            <w:pPr>
              <w:ind w:left="540"/>
              <w:spacing w:after="0"/>
              <w:rPr>
                <w:sz w:val="20"/>
                <w:szCs w:val="20"/>
                <w:color w:val="auto"/>
              </w:rPr>
            </w:pPr>
            <w:r>
              <w:rPr>
                <w:rFonts w:ascii="Arial" w:cs="Arial" w:eastAsia="Arial" w:hAnsi="Arial"/>
                <w:sz w:val="8"/>
                <w:szCs w:val="8"/>
                <w:color w:val="auto"/>
              </w:rPr>
              <w:t>—</w:t>
            </w:r>
          </w:p>
        </w:tc>
        <w:tc>
          <w:tcPr>
            <w:tcW w:w="600" w:type="dxa"/>
            <w:vAlign w:val="bottom"/>
          </w:tcPr>
          <w:p>
            <w:pPr>
              <w:ind w:left="46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32</w:t>
            </w:r>
          </w:p>
        </w:tc>
      </w:tr>
      <w:tr>
        <w:trPr>
          <w:trHeight w:val="123"/>
        </w:trPr>
        <w:tc>
          <w:tcPr>
            <w:tcW w:w="3220" w:type="dxa"/>
            <w:vAlign w:val="bottom"/>
            <w:tcBorders>
              <w:bottom w:val="single" w:sz="8" w:color="auto"/>
            </w:tcBorders>
            <w:gridSpan w:val="2"/>
          </w:tcPr>
          <w:p>
            <w:pPr>
              <w:ind w:left="220"/>
              <w:spacing w:after="0"/>
              <w:rPr>
                <w:sz w:val="20"/>
                <w:szCs w:val="20"/>
                <w:color w:val="auto"/>
              </w:rPr>
            </w:pPr>
            <w:r>
              <w:rPr>
                <w:rFonts w:ascii="Arial" w:cs="Arial" w:eastAsia="Arial" w:hAnsi="Arial"/>
                <w:sz w:val="8"/>
                <w:szCs w:val="8"/>
                <w:color w:val="auto"/>
              </w:rPr>
              <w:t>At December 31</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8"/>
                <w:szCs w:val="8"/>
                <w:color w:val="auto"/>
              </w:rPr>
              <w:t>18</w:t>
            </w: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500"/>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99"/>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8"/>
                <w:szCs w:val="8"/>
                <w:color w:val="auto"/>
              </w:rPr>
              <w:t>—</w:t>
            </w: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w w:val="74"/>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18</w:t>
            </w: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tcPr>
          <w:p>
            <w:pPr>
              <w:ind w:left="46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18</w:t>
            </w:r>
          </w:p>
        </w:tc>
      </w:tr>
      <w:tr>
        <w:trPr>
          <w:trHeight w:val="92"/>
        </w:trPr>
        <w:tc>
          <w:tcPr>
            <w:tcW w:w="2700" w:type="dxa"/>
            <w:vAlign w:val="bottom"/>
            <w:tcBorders>
              <w:bottom w:val="single" w:sz="8" w:color="CDCDCD"/>
            </w:tcBorders>
          </w:tcPr>
          <w:p>
            <w:pPr>
              <w:spacing w:after="0"/>
              <w:rPr>
                <w:sz w:val="8"/>
                <w:szCs w:val="8"/>
                <w:color w:val="auto"/>
              </w:rPr>
            </w:pPr>
          </w:p>
        </w:tc>
        <w:tc>
          <w:tcPr>
            <w:tcW w:w="520" w:type="dxa"/>
            <w:vAlign w:val="bottom"/>
            <w:tcBorders>
              <w:bottom w:val="single" w:sz="8" w:color="CDCDCD"/>
            </w:tcBorders>
          </w:tcPr>
          <w:p>
            <w:pPr>
              <w:spacing w:after="0"/>
              <w:rPr>
                <w:sz w:val="8"/>
                <w:szCs w:val="8"/>
                <w:color w:val="auto"/>
              </w:rPr>
            </w:pPr>
          </w:p>
        </w:tc>
        <w:tc>
          <w:tcPr>
            <w:tcW w:w="200" w:type="dxa"/>
            <w:vAlign w:val="bottom"/>
            <w:tcBorders>
              <w:bottom w:val="single" w:sz="8" w:color="CDCDCD"/>
            </w:tcBorders>
          </w:tcPr>
          <w:p>
            <w:pPr>
              <w:spacing w:after="0"/>
              <w:rPr>
                <w:sz w:val="8"/>
                <w:szCs w:val="8"/>
                <w:color w:val="auto"/>
              </w:rPr>
            </w:pPr>
          </w:p>
        </w:tc>
        <w:tc>
          <w:tcPr>
            <w:tcW w:w="640" w:type="dxa"/>
            <w:vAlign w:val="bottom"/>
            <w:tcBorders>
              <w:bottom w:val="single" w:sz="8" w:color="CDCDCD"/>
            </w:tcBorders>
          </w:tcPr>
          <w:p>
            <w:pPr>
              <w:spacing w:after="0"/>
              <w:rPr>
                <w:sz w:val="8"/>
                <w:szCs w:val="8"/>
                <w:color w:val="auto"/>
              </w:rPr>
            </w:pPr>
          </w:p>
        </w:tc>
        <w:tc>
          <w:tcPr>
            <w:tcW w:w="480" w:type="dxa"/>
            <w:vAlign w:val="bottom"/>
            <w:tcBorders>
              <w:bottom w:val="single" w:sz="8" w:color="CDCDCD"/>
            </w:tcBorders>
          </w:tcPr>
          <w:p>
            <w:pPr>
              <w:spacing w:after="0"/>
              <w:rPr>
                <w:sz w:val="8"/>
                <w:szCs w:val="8"/>
                <w:color w:val="auto"/>
              </w:rPr>
            </w:pPr>
          </w:p>
        </w:tc>
        <w:tc>
          <w:tcPr>
            <w:tcW w:w="660" w:type="dxa"/>
            <w:vAlign w:val="bottom"/>
            <w:tcBorders>
              <w:bottom w:val="single" w:sz="8" w:color="CDCDCD"/>
            </w:tcBorders>
          </w:tcPr>
          <w:p>
            <w:pPr>
              <w:spacing w:after="0"/>
              <w:rPr>
                <w:sz w:val="8"/>
                <w:szCs w:val="8"/>
                <w:color w:val="auto"/>
              </w:rPr>
            </w:pPr>
          </w:p>
        </w:tc>
        <w:tc>
          <w:tcPr>
            <w:tcW w:w="120" w:type="dxa"/>
            <w:vAlign w:val="bottom"/>
            <w:tcBorders>
              <w:bottom w:val="single" w:sz="8" w:color="CDCDCD"/>
            </w:tcBorders>
          </w:tcPr>
          <w:p>
            <w:pPr>
              <w:spacing w:after="0"/>
              <w:rPr>
                <w:sz w:val="8"/>
                <w:szCs w:val="8"/>
                <w:color w:val="auto"/>
              </w:rPr>
            </w:pPr>
          </w:p>
        </w:tc>
        <w:tc>
          <w:tcPr>
            <w:tcW w:w="720" w:type="dxa"/>
            <w:vAlign w:val="bottom"/>
            <w:tcBorders>
              <w:bottom w:val="single" w:sz="8" w:color="CDCDCD"/>
            </w:tcBorders>
          </w:tcPr>
          <w:p>
            <w:pPr>
              <w:spacing w:after="0"/>
              <w:rPr>
                <w:sz w:val="8"/>
                <w:szCs w:val="8"/>
                <w:color w:val="auto"/>
              </w:rPr>
            </w:pPr>
          </w:p>
        </w:tc>
        <w:tc>
          <w:tcPr>
            <w:tcW w:w="620" w:type="dxa"/>
            <w:vAlign w:val="bottom"/>
            <w:tcBorders>
              <w:bottom w:val="single" w:sz="8" w:color="CDCDCD"/>
            </w:tcBorders>
          </w:tcPr>
          <w:p>
            <w:pPr>
              <w:spacing w:after="0"/>
              <w:rPr>
                <w:sz w:val="8"/>
                <w:szCs w:val="8"/>
                <w:color w:val="auto"/>
              </w:rPr>
            </w:pPr>
          </w:p>
        </w:tc>
        <w:tc>
          <w:tcPr>
            <w:tcW w:w="720" w:type="dxa"/>
            <w:vAlign w:val="bottom"/>
            <w:tcBorders>
              <w:bottom w:val="single" w:sz="8" w:color="CDCDCD"/>
            </w:tcBorders>
          </w:tcPr>
          <w:p>
            <w:pPr>
              <w:spacing w:after="0"/>
              <w:rPr>
                <w:sz w:val="8"/>
                <w:szCs w:val="8"/>
                <w:color w:val="auto"/>
              </w:rPr>
            </w:pPr>
          </w:p>
        </w:tc>
        <w:tc>
          <w:tcPr>
            <w:tcW w:w="420" w:type="dxa"/>
            <w:vAlign w:val="bottom"/>
            <w:tcBorders>
              <w:bottom w:val="single" w:sz="8" w:color="CDCDCD"/>
            </w:tcBorders>
          </w:tcPr>
          <w:p>
            <w:pPr>
              <w:spacing w:after="0"/>
              <w:rPr>
                <w:sz w:val="8"/>
                <w:szCs w:val="8"/>
                <w:color w:val="auto"/>
              </w:rPr>
            </w:pPr>
          </w:p>
        </w:tc>
        <w:tc>
          <w:tcPr>
            <w:tcW w:w="140" w:type="dxa"/>
            <w:vAlign w:val="bottom"/>
            <w:tcBorders>
              <w:bottom w:val="single" w:sz="8" w:color="CDCDCD"/>
            </w:tcBorders>
          </w:tcPr>
          <w:p>
            <w:pPr>
              <w:spacing w:after="0"/>
              <w:rPr>
                <w:sz w:val="8"/>
                <w:szCs w:val="8"/>
                <w:color w:val="auto"/>
              </w:rPr>
            </w:pPr>
          </w:p>
        </w:tc>
        <w:tc>
          <w:tcPr>
            <w:tcW w:w="740" w:type="dxa"/>
            <w:vAlign w:val="bottom"/>
            <w:tcBorders>
              <w:bottom w:val="single" w:sz="8" w:color="CDCDCD"/>
            </w:tcBorders>
          </w:tcPr>
          <w:p>
            <w:pPr>
              <w:spacing w:after="0"/>
              <w:rPr>
                <w:sz w:val="8"/>
                <w:szCs w:val="8"/>
                <w:color w:val="auto"/>
              </w:rPr>
            </w:pPr>
          </w:p>
        </w:tc>
        <w:tc>
          <w:tcPr>
            <w:tcW w:w="620" w:type="dxa"/>
            <w:vAlign w:val="bottom"/>
            <w:tcBorders>
              <w:bottom w:val="single" w:sz="8" w:color="CDCDCD"/>
            </w:tcBorders>
          </w:tcPr>
          <w:p>
            <w:pPr>
              <w:spacing w:after="0"/>
              <w:rPr>
                <w:sz w:val="8"/>
                <w:szCs w:val="8"/>
                <w:color w:val="auto"/>
              </w:rPr>
            </w:pPr>
          </w:p>
        </w:tc>
        <w:tc>
          <w:tcPr>
            <w:tcW w:w="740" w:type="dxa"/>
            <w:vAlign w:val="bottom"/>
            <w:tcBorders>
              <w:bottom w:val="single" w:sz="8" w:color="CDCDCD"/>
            </w:tcBorders>
          </w:tcPr>
          <w:p>
            <w:pPr>
              <w:spacing w:after="0"/>
              <w:rPr>
                <w:sz w:val="8"/>
                <w:szCs w:val="8"/>
                <w:color w:val="auto"/>
              </w:rPr>
            </w:pPr>
          </w:p>
        </w:tc>
        <w:tc>
          <w:tcPr>
            <w:tcW w:w="600" w:type="dxa"/>
            <w:vAlign w:val="bottom"/>
            <w:tcBorders>
              <w:bottom w:val="single" w:sz="8" w:color="CDCDCD"/>
            </w:tcBorders>
          </w:tcPr>
          <w:p>
            <w:pPr>
              <w:spacing w:after="0"/>
              <w:rPr>
                <w:sz w:val="8"/>
                <w:szCs w:val="8"/>
                <w:color w:val="auto"/>
              </w:rPr>
            </w:pPr>
          </w:p>
        </w:tc>
        <w:tc>
          <w:tcPr>
            <w:tcW w:w="640" w:type="dxa"/>
            <w:vAlign w:val="bottom"/>
            <w:tcBorders>
              <w:bottom w:val="single" w:sz="8" w:color="CDCDCD"/>
            </w:tcBorders>
          </w:tcPr>
          <w:p>
            <w:pPr>
              <w:spacing w:after="0"/>
              <w:rPr>
                <w:sz w:val="8"/>
                <w:szCs w:val="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700" w:type="dxa"/>
            <w:vAlign w:val="bottom"/>
          </w:tcPr>
          <w:p>
            <w:pPr>
              <w:spacing w:after="0"/>
              <w:rPr>
                <w:sz w:val="20"/>
                <w:szCs w:val="20"/>
                <w:color w:val="auto"/>
              </w:rPr>
            </w:pPr>
            <w:r>
              <w:rPr>
                <w:rFonts w:ascii="Arial" w:cs="Arial" w:eastAsia="Arial" w:hAnsi="Arial"/>
                <w:sz w:val="10"/>
                <w:szCs w:val="10"/>
                <w:color w:val="auto"/>
              </w:rPr>
              <w:t>Proved developed and undeveloped reserves 2019</w:t>
            </w: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w w:val="97"/>
              </w:rPr>
              <w:t>Million barrels</w:t>
            </w:r>
          </w:p>
        </w:tc>
        <w:tc>
          <w:tcPr>
            <w:tcW w:w="0" w:type="dxa"/>
            <w:vAlign w:val="bottom"/>
          </w:tcPr>
          <w:p>
            <w:pPr>
              <w:spacing w:after="0"/>
              <w:rPr>
                <w:sz w:val="1"/>
                <w:szCs w:val="1"/>
                <w:color w:val="auto"/>
              </w:rPr>
            </w:pPr>
          </w:p>
        </w:tc>
      </w:tr>
      <w:tr>
        <w:trPr>
          <w:trHeight w:val="102"/>
        </w:trPr>
        <w:tc>
          <w:tcPr>
            <w:tcW w:w="2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North America</w:t>
            </w: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700" w:type="dxa"/>
            <w:vAlign w:val="bottom"/>
          </w:tcPr>
          <w:p>
            <w:pPr>
              <w:spacing w:after="0"/>
              <w:rPr>
                <w:sz w:val="8"/>
                <w:szCs w:val="8"/>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7"/>
                <w:szCs w:val="7"/>
                <w:color w:val="auto"/>
              </w:rPr>
              <w:t>Europe</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7"/>
                <w:szCs w:val="7"/>
                <w:color w:val="auto"/>
              </w:rPr>
              <w:t>Asia</w:t>
            </w: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7"/>
                <w:szCs w:val="7"/>
                <w:color w:val="auto"/>
              </w:rPr>
              <w:t>Oceania</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Africa</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7"/>
                <w:szCs w:val="7"/>
                <w:color w:val="auto"/>
              </w:rPr>
              <w:t>USA</w:t>
            </w:r>
          </w:p>
        </w:tc>
        <w:tc>
          <w:tcPr>
            <w:tcW w:w="5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Canada</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7"/>
                <w:szCs w:val="7"/>
                <w:color w:val="auto"/>
              </w:rPr>
              <w:t>South America</w:t>
            </w:r>
          </w:p>
        </w:tc>
        <w:tc>
          <w:tcPr>
            <w:tcW w:w="5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Total</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700" w:type="dxa"/>
            <w:vAlign w:val="bottom"/>
          </w:tcPr>
          <w:p>
            <w:pPr>
              <w:spacing w:after="0"/>
              <w:rPr>
                <w:sz w:val="8"/>
                <w:szCs w:val="8"/>
                <w:color w:val="auto"/>
              </w:rPr>
            </w:pPr>
          </w:p>
        </w:tc>
        <w:tc>
          <w:tcPr>
            <w:tcW w:w="780" w:type="dxa"/>
            <w:vAlign w:val="bottom"/>
          </w:tcPr>
          <w:p>
            <w:pPr>
              <w:jc w:val="right"/>
              <w:ind w:right="99"/>
              <w:spacing w:after="0"/>
              <w:rPr>
                <w:sz w:val="20"/>
                <w:szCs w:val="20"/>
                <w:color w:val="auto"/>
              </w:rPr>
            </w:pPr>
            <w:r>
              <w:rPr>
                <w:rFonts w:ascii="Arial" w:cs="Arial" w:eastAsia="Arial" w:hAnsi="Arial"/>
                <w:sz w:val="7"/>
                <w:szCs w:val="7"/>
                <w:color w:val="auto"/>
              </w:rPr>
              <w:t>Oil and NGL</w:t>
            </w:r>
          </w:p>
        </w:tc>
        <w:tc>
          <w:tcPr>
            <w:tcW w:w="660" w:type="dxa"/>
            <w:vAlign w:val="bottom"/>
          </w:tcPr>
          <w:p>
            <w:pPr>
              <w:jc w:val="right"/>
              <w:ind w:right="99"/>
              <w:spacing w:after="0"/>
              <w:rPr>
                <w:sz w:val="20"/>
                <w:szCs w:val="20"/>
                <w:color w:val="auto"/>
              </w:rPr>
            </w:pPr>
            <w:r>
              <w:rPr>
                <w:rFonts w:ascii="Arial" w:cs="Arial" w:eastAsia="Arial" w:hAnsi="Arial"/>
                <w:sz w:val="7"/>
                <w:szCs w:val="7"/>
                <w:color w:val="auto"/>
              </w:rPr>
              <w:t>Oil and NGL</w:t>
            </w:r>
          </w:p>
        </w:tc>
        <w:tc>
          <w:tcPr>
            <w:tcW w:w="640" w:type="dxa"/>
            <w:vAlign w:val="bottom"/>
          </w:tcPr>
          <w:p>
            <w:pPr>
              <w:jc w:val="right"/>
              <w:ind w:right="79"/>
              <w:spacing w:after="0"/>
              <w:rPr>
                <w:sz w:val="20"/>
                <w:szCs w:val="20"/>
                <w:color w:val="auto"/>
              </w:rPr>
            </w:pPr>
            <w:r>
              <w:rPr>
                <w:rFonts w:ascii="Arial" w:cs="Arial" w:eastAsia="Arial" w:hAnsi="Arial"/>
                <w:sz w:val="7"/>
                <w:szCs w:val="7"/>
                <w:color w:val="auto"/>
              </w:rPr>
              <w:t>Oil and NGL</w:t>
            </w:r>
          </w:p>
        </w:tc>
        <w:tc>
          <w:tcPr>
            <w:tcW w:w="540" w:type="dxa"/>
            <w:vAlign w:val="bottom"/>
          </w:tcPr>
          <w:p>
            <w:pPr>
              <w:jc w:val="right"/>
              <w:spacing w:after="0"/>
              <w:rPr>
                <w:sz w:val="20"/>
                <w:szCs w:val="20"/>
                <w:color w:val="auto"/>
              </w:rPr>
            </w:pPr>
            <w:r>
              <w:rPr>
                <w:rFonts w:ascii="Arial" w:cs="Arial" w:eastAsia="Arial" w:hAnsi="Arial"/>
                <w:sz w:val="7"/>
                <w:szCs w:val="7"/>
                <w:color w:val="auto"/>
              </w:rPr>
              <w:t>Oil and NGL</w:t>
            </w:r>
          </w:p>
        </w:tc>
        <w:tc>
          <w:tcPr>
            <w:tcW w:w="780" w:type="dxa"/>
            <w:vAlign w:val="bottom"/>
          </w:tcPr>
          <w:p>
            <w:pPr>
              <w:jc w:val="right"/>
              <w:ind w:right="99"/>
              <w:spacing w:after="0"/>
              <w:rPr>
                <w:sz w:val="20"/>
                <w:szCs w:val="20"/>
                <w:color w:val="auto"/>
              </w:rPr>
            </w:pPr>
            <w:r>
              <w:rPr>
                <w:rFonts w:ascii="Arial" w:cs="Arial" w:eastAsia="Arial" w:hAnsi="Arial"/>
                <w:sz w:val="7"/>
                <w:szCs w:val="7"/>
                <w:color w:val="auto"/>
              </w:rPr>
              <w:t>Oil and NGL</w:t>
            </w:r>
          </w:p>
        </w:tc>
        <w:tc>
          <w:tcPr>
            <w:tcW w:w="580" w:type="dxa"/>
            <w:vAlign w:val="bottom"/>
          </w:tcPr>
          <w:p>
            <w:pPr>
              <w:jc w:val="right"/>
              <w:ind w:right="18"/>
              <w:spacing w:after="0"/>
              <w:rPr>
                <w:sz w:val="20"/>
                <w:szCs w:val="20"/>
                <w:color w:val="auto"/>
              </w:rPr>
            </w:pPr>
            <w:r>
              <w:rPr>
                <w:rFonts w:ascii="Arial" w:cs="Arial" w:eastAsia="Arial" w:hAnsi="Arial"/>
                <w:sz w:val="7"/>
                <w:szCs w:val="7"/>
                <w:color w:val="auto"/>
              </w:rPr>
              <w:t>Oil and NGL</w:t>
            </w:r>
          </w:p>
        </w:tc>
        <w:tc>
          <w:tcPr>
            <w:tcW w:w="720" w:type="dxa"/>
            <w:vAlign w:val="bottom"/>
          </w:tcPr>
          <w:p>
            <w:pPr>
              <w:jc w:val="right"/>
              <w:ind w:right="78"/>
              <w:spacing w:after="0"/>
              <w:rPr>
                <w:sz w:val="20"/>
                <w:szCs w:val="20"/>
                <w:color w:val="auto"/>
              </w:rPr>
            </w:pPr>
            <w:r>
              <w:rPr>
                <w:rFonts w:ascii="Arial" w:cs="Arial" w:eastAsia="Arial" w:hAnsi="Arial"/>
                <w:sz w:val="7"/>
                <w:szCs w:val="7"/>
                <w:color w:val="auto"/>
              </w:rPr>
              <w:t>Synthetic crude oil</w:t>
            </w:r>
          </w:p>
        </w:tc>
        <w:tc>
          <w:tcPr>
            <w:tcW w:w="540" w:type="dxa"/>
            <w:vAlign w:val="bottom"/>
          </w:tcPr>
          <w:p>
            <w:pPr>
              <w:jc w:val="right"/>
              <w:spacing w:after="0"/>
              <w:rPr>
                <w:sz w:val="20"/>
                <w:szCs w:val="20"/>
                <w:color w:val="auto"/>
              </w:rPr>
            </w:pPr>
            <w:r>
              <w:rPr>
                <w:rFonts w:ascii="Arial" w:cs="Arial" w:eastAsia="Arial" w:hAnsi="Arial"/>
                <w:sz w:val="7"/>
                <w:szCs w:val="7"/>
                <w:color w:val="auto"/>
              </w:rPr>
              <w:t>Bitumen</w:t>
            </w:r>
          </w:p>
        </w:tc>
        <w:tc>
          <w:tcPr>
            <w:tcW w:w="800" w:type="dxa"/>
            <w:vAlign w:val="bottom"/>
          </w:tcPr>
          <w:p>
            <w:pPr>
              <w:jc w:val="right"/>
              <w:ind w:right="99"/>
              <w:spacing w:after="0"/>
              <w:rPr>
                <w:sz w:val="20"/>
                <w:szCs w:val="20"/>
                <w:color w:val="auto"/>
              </w:rPr>
            </w:pPr>
            <w:r>
              <w:rPr>
                <w:rFonts w:ascii="Arial" w:cs="Arial" w:eastAsia="Arial" w:hAnsi="Arial"/>
                <w:sz w:val="7"/>
                <w:szCs w:val="7"/>
                <w:color w:val="auto"/>
              </w:rPr>
              <w:t>Oil and NGL</w:t>
            </w:r>
          </w:p>
        </w:tc>
        <w:tc>
          <w:tcPr>
            <w:tcW w:w="580" w:type="dxa"/>
            <w:vAlign w:val="bottom"/>
          </w:tcPr>
          <w:p>
            <w:pPr>
              <w:jc w:val="right"/>
              <w:ind w:right="18"/>
              <w:spacing w:after="0"/>
              <w:rPr>
                <w:sz w:val="20"/>
                <w:szCs w:val="20"/>
                <w:color w:val="auto"/>
              </w:rPr>
            </w:pPr>
            <w:r>
              <w:rPr>
                <w:rFonts w:ascii="Arial" w:cs="Arial" w:eastAsia="Arial" w:hAnsi="Arial"/>
                <w:sz w:val="7"/>
                <w:szCs w:val="7"/>
                <w:color w:val="auto"/>
              </w:rPr>
              <w:t>Oil and NGL</w:t>
            </w:r>
          </w:p>
        </w:tc>
        <w:tc>
          <w:tcPr>
            <w:tcW w:w="820" w:type="dxa"/>
            <w:vAlign w:val="bottom"/>
          </w:tcPr>
          <w:p>
            <w:pPr>
              <w:jc w:val="right"/>
              <w:ind w:right="178"/>
              <w:spacing w:after="0"/>
              <w:rPr>
                <w:sz w:val="20"/>
                <w:szCs w:val="20"/>
                <w:color w:val="auto"/>
              </w:rPr>
            </w:pPr>
            <w:r>
              <w:rPr>
                <w:rFonts w:ascii="Arial" w:cs="Arial" w:eastAsia="Arial" w:hAnsi="Arial"/>
                <w:sz w:val="7"/>
                <w:szCs w:val="7"/>
                <w:color w:val="auto"/>
              </w:rPr>
              <w:t>Synthetic crude oil</w:t>
            </w:r>
          </w:p>
        </w:tc>
        <w:tc>
          <w:tcPr>
            <w:tcW w:w="500" w:type="dxa"/>
            <w:vAlign w:val="bottom"/>
          </w:tcPr>
          <w:p>
            <w:pPr>
              <w:ind w:left="200"/>
              <w:spacing w:after="0"/>
              <w:rPr>
                <w:sz w:val="20"/>
                <w:szCs w:val="20"/>
                <w:color w:val="auto"/>
              </w:rPr>
            </w:pPr>
            <w:r>
              <w:rPr>
                <w:rFonts w:ascii="Arial" w:cs="Arial" w:eastAsia="Arial" w:hAnsi="Arial"/>
                <w:sz w:val="7"/>
                <w:szCs w:val="7"/>
                <w:color w:val="auto"/>
              </w:rPr>
              <w:t>Bitumen</w:t>
            </w:r>
          </w:p>
        </w:tc>
        <w:tc>
          <w:tcPr>
            <w:tcW w:w="660" w:type="dxa"/>
            <w:vAlign w:val="bottom"/>
            <w:gridSpan w:val="2"/>
          </w:tcPr>
          <w:p>
            <w:pPr>
              <w:jc w:val="right"/>
              <w:ind w:right="40"/>
              <w:spacing w:after="0"/>
              <w:rPr>
                <w:sz w:val="20"/>
                <w:szCs w:val="20"/>
                <w:color w:val="auto"/>
              </w:rPr>
            </w:pPr>
            <w:r>
              <w:rPr>
                <w:rFonts w:ascii="Arial" w:cs="Arial" w:eastAsia="Arial" w:hAnsi="Arial"/>
                <w:sz w:val="7"/>
                <w:szCs w:val="7"/>
                <w:color w:val="auto"/>
              </w:rPr>
              <w:t>All products</w:t>
            </w:r>
          </w:p>
        </w:tc>
        <w:tc>
          <w:tcPr>
            <w:tcW w:w="0" w:type="dxa"/>
            <w:vAlign w:val="bottom"/>
          </w:tcPr>
          <w:p>
            <w:pPr>
              <w:spacing w:after="0"/>
              <w:rPr>
                <w:sz w:val="1"/>
                <w:szCs w:val="1"/>
                <w:color w:val="auto"/>
              </w:rPr>
            </w:pPr>
          </w:p>
        </w:tc>
      </w:tr>
      <w:tr>
        <w:trPr>
          <w:trHeight w:val="102"/>
        </w:trPr>
        <w:tc>
          <w:tcPr>
            <w:tcW w:w="2700" w:type="dxa"/>
            <w:vAlign w:val="bottom"/>
            <w:tcBorders>
              <w:top w:val="single" w:sz="8" w:color="auto"/>
            </w:tcBorders>
          </w:tcPr>
          <w:p>
            <w:pPr>
              <w:spacing w:after="0"/>
              <w:rPr>
                <w:sz w:val="20"/>
                <w:szCs w:val="20"/>
                <w:color w:val="auto"/>
              </w:rPr>
            </w:pPr>
            <w:r>
              <w:rPr>
                <w:rFonts w:ascii="Arial" w:cs="Arial" w:eastAsia="Arial" w:hAnsi="Arial"/>
                <w:sz w:val="8"/>
                <w:szCs w:val="8"/>
                <w:color w:val="auto"/>
              </w:rPr>
              <w:t>Shell subsidiaries</w:t>
            </w:r>
          </w:p>
        </w:tc>
        <w:tc>
          <w:tcPr>
            <w:tcW w:w="7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At January 1</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368</w:t>
            </w:r>
          </w:p>
        </w:tc>
        <w:tc>
          <w:tcPr>
            <w:tcW w:w="660" w:type="dxa"/>
            <w:vAlign w:val="bottom"/>
          </w:tcPr>
          <w:p>
            <w:pPr>
              <w:jc w:val="right"/>
              <w:ind w:right="139"/>
              <w:spacing w:after="0"/>
              <w:rPr>
                <w:sz w:val="20"/>
                <w:szCs w:val="20"/>
                <w:color w:val="auto"/>
              </w:rPr>
            </w:pPr>
            <w:r>
              <w:rPr>
                <w:rFonts w:ascii="Arial" w:cs="Arial" w:eastAsia="Arial" w:hAnsi="Arial"/>
                <w:sz w:val="8"/>
                <w:szCs w:val="8"/>
                <w:color w:val="auto"/>
              </w:rPr>
              <w:t>1,502</w:t>
            </w:r>
          </w:p>
        </w:tc>
        <w:tc>
          <w:tcPr>
            <w:tcW w:w="640" w:type="dxa"/>
            <w:vAlign w:val="bottom"/>
          </w:tcPr>
          <w:p>
            <w:pPr>
              <w:jc w:val="right"/>
              <w:ind w:right="119"/>
              <w:spacing w:after="0"/>
              <w:rPr>
                <w:sz w:val="20"/>
                <w:szCs w:val="20"/>
                <w:color w:val="auto"/>
              </w:rPr>
            </w:pPr>
            <w:r>
              <w:rPr>
                <w:rFonts w:ascii="Arial" w:cs="Arial" w:eastAsia="Arial" w:hAnsi="Arial"/>
                <w:sz w:val="8"/>
                <w:szCs w:val="8"/>
                <w:color w:val="auto"/>
              </w:rPr>
              <w:t>129</w:t>
            </w:r>
          </w:p>
        </w:tc>
        <w:tc>
          <w:tcPr>
            <w:tcW w:w="540" w:type="dxa"/>
            <w:vAlign w:val="bottom"/>
          </w:tcPr>
          <w:p>
            <w:pPr>
              <w:jc w:val="right"/>
              <w:spacing w:after="0"/>
              <w:rPr>
                <w:sz w:val="20"/>
                <w:szCs w:val="20"/>
                <w:color w:val="auto"/>
              </w:rPr>
            </w:pPr>
            <w:r>
              <w:rPr>
                <w:rFonts w:ascii="Arial" w:cs="Arial" w:eastAsia="Arial" w:hAnsi="Arial"/>
                <w:sz w:val="8"/>
                <w:szCs w:val="8"/>
                <w:color w:val="auto"/>
              </w:rPr>
              <w:t>420</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1,017</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23</w:t>
            </w:r>
          </w:p>
        </w:tc>
        <w:tc>
          <w:tcPr>
            <w:tcW w:w="720" w:type="dxa"/>
            <w:vAlign w:val="bottom"/>
          </w:tcPr>
          <w:p>
            <w:pPr>
              <w:jc w:val="right"/>
              <w:ind w:right="98"/>
              <w:spacing w:after="0"/>
              <w:rPr>
                <w:sz w:val="20"/>
                <w:szCs w:val="20"/>
                <w:color w:val="auto"/>
              </w:rPr>
            </w:pPr>
            <w:r>
              <w:rPr>
                <w:rFonts w:ascii="Arial" w:cs="Arial" w:eastAsia="Arial" w:hAnsi="Arial"/>
                <w:sz w:val="8"/>
                <w:szCs w:val="8"/>
                <w:color w:val="auto"/>
              </w:rPr>
              <w:t>661</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39"/>
              <w:spacing w:after="0"/>
              <w:rPr>
                <w:sz w:val="20"/>
                <w:szCs w:val="20"/>
                <w:color w:val="auto"/>
              </w:rPr>
            </w:pPr>
            <w:r>
              <w:rPr>
                <w:rFonts w:ascii="Arial" w:cs="Arial" w:eastAsia="Arial" w:hAnsi="Arial"/>
                <w:sz w:val="8"/>
                <w:szCs w:val="8"/>
                <w:color w:val="auto"/>
              </w:rPr>
              <w:t>1,027</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4,486</w:t>
            </w:r>
          </w:p>
        </w:tc>
        <w:tc>
          <w:tcPr>
            <w:tcW w:w="820" w:type="dxa"/>
            <w:vAlign w:val="bottom"/>
          </w:tcPr>
          <w:p>
            <w:pPr>
              <w:jc w:val="right"/>
              <w:ind w:right="198"/>
              <w:spacing w:after="0"/>
              <w:rPr>
                <w:sz w:val="20"/>
                <w:szCs w:val="20"/>
                <w:color w:val="auto"/>
              </w:rPr>
            </w:pPr>
            <w:r>
              <w:rPr>
                <w:rFonts w:ascii="Arial" w:cs="Arial" w:eastAsia="Arial" w:hAnsi="Arial"/>
                <w:sz w:val="8"/>
                <w:szCs w:val="8"/>
                <w:color w:val="auto"/>
              </w:rPr>
              <w:t>661</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5,147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Revisions and reclassifications</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27</w:t>
            </w:r>
          </w:p>
        </w:tc>
        <w:tc>
          <w:tcPr>
            <w:tcW w:w="660" w:type="dxa"/>
            <w:vAlign w:val="bottom"/>
          </w:tcPr>
          <w:p>
            <w:pPr>
              <w:jc w:val="right"/>
              <w:ind w:right="139"/>
              <w:spacing w:after="0"/>
              <w:rPr>
                <w:sz w:val="20"/>
                <w:szCs w:val="20"/>
                <w:color w:val="auto"/>
              </w:rPr>
            </w:pPr>
            <w:r>
              <w:rPr>
                <w:rFonts w:ascii="Arial" w:cs="Arial" w:eastAsia="Arial" w:hAnsi="Arial"/>
                <w:sz w:val="8"/>
                <w:szCs w:val="8"/>
                <w:color w:val="auto"/>
              </w:rPr>
              <w:t>226</w:t>
            </w:r>
          </w:p>
        </w:tc>
        <w:tc>
          <w:tcPr>
            <w:tcW w:w="640" w:type="dxa"/>
            <w:vAlign w:val="bottom"/>
          </w:tcPr>
          <w:p>
            <w:pPr>
              <w:jc w:val="right"/>
              <w:ind w:right="119"/>
              <w:spacing w:after="0"/>
              <w:rPr>
                <w:sz w:val="20"/>
                <w:szCs w:val="20"/>
                <w:color w:val="auto"/>
              </w:rPr>
            </w:pPr>
            <w:r>
              <w:rPr>
                <w:rFonts w:ascii="Arial" w:cs="Arial" w:eastAsia="Arial" w:hAnsi="Arial"/>
                <w:sz w:val="8"/>
                <w:szCs w:val="8"/>
                <w:color w:val="auto"/>
              </w:rPr>
              <w:t>2</w:t>
            </w:r>
          </w:p>
        </w:tc>
        <w:tc>
          <w:tcPr>
            <w:tcW w:w="540" w:type="dxa"/>
            <w:vAlign w:val="bottom"/>
          </w:tcPr>
          <w:p>
            <w:pPr>
              <w:jc w:val="right"/>
              <w:spacing w:after="0"/>
              <w:rPr>
                <w:sz w:val="20"/>
                <w:szCs w:val="20"/>
                <w:color w:val="auto"/>
              </w:rPr>
            </w:pPr>
            <w:r>
              <w:rPr>
                <w:rFonts w:ascii="Arial" w:cs="Arial" w:eastAsia="Arial" w:hAnsi="Arial"/>
                <w:sz w:val="8"/>
                <w:szCs w:val="8"/>
                <w:color w:val="auto"/>
              </w:rPr>
              <w:t>33</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86</w:t>
            </w:r>
          </w:p>
        </w:tc>
        <w:tc>
          <w:tcPr>
            <w:tcW w:w="580" w:type="dxa"/>
            <w:vAlign w:val="bottom"/>
          </w:tcPr>
          <w:p>
            <w:pPr>
              <w:jc w:val="right"/>
              <w:ind w:right="18"/>
              <w:spacing w:after="0"/>
              <w:rPr>
                <w:sz w:val="20"/>
                <w:szCs w:val="20"/>
                <w:color w:val="auto"/>
              </w:rPr>
            </w:pPr>
            <w:r>
              <w:rPr>
                <w:rFonts w:ascii="Arial" w:cs="Arial" w:eastAsia="Arial" w:hAnsi="Arial"/>
                <w:sz w:val="8"/>
                <w:szCs w:val="8"/>
                <w:color w:val="auto"/>
              </w:rPr>
              <w:t>(2)</w:t>
            </w: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(34)</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39"/>
              <w:spacing w:after="0"/>
              <w:rPr>
                <w:sz w:val="20"/>
                <w:szCs w:val="20"/>
                <w:color w:val="auto"/>
              </w:rPr>
            </w:pPr>
            <w:r>
              <w:rPr>
                <w:rFonts w:ascii="Arial" w:cs="Arial" w:eastAsia="Arial" w:hAnsi="Arial"/>
                <w:sz w:val="8"/>
                <w:szCs w:val="8"/>
                <w:color w:val="auto"/>
              </w:rPr>
              <w:t>72</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444</w:t>
            </w:r>
          </w:p>
        </w:tc>
        <w:tc>
          <w:tcPr>
            <w:tcW w:w="820" w:type="dxa"/>
            <w:vAlign w:val="bottom"/>
          </w:tcPr>
          <w:p>
            <w:pPr>
              <w:jc w:val="right"/>
              <w:ind w:right="178"/>
              <w:spacing w:after="0"/>
              <w:rPr>
                <w:sz w:val="20"/>
                <w:szCs w:val="20"/>
                <w:color w:val="auto"/>
              </w:rPr>
            </w:pPr>
            <w:r>
              <w:rPr>
                <w:rFonts w:ascii="Arial" w:cs="Arial" w:eastAsia="Arial" w:hAnsi="Arial"/>
                <w:sz w:val="8"/>
                <w:szCs w:val="8"/>
                <w:color w:val="auto"/>
              </w:rPr>
              <w:t>(34)</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410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Improved recovery</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39"/>
              <w:spacing w:after="0"/>
              <w:rPr>
                <w:sz w:val="20"/>
                <w:szCs w:val="20"/>
                <w:color w:val="auto"/>
              </w:rPr>
            </w:pPr>
            <w:r>
              <w:rPr>
                <w:rFonts w:ascii="Arial" w:cs="Arial" w:eastAsia="Arial" w:hAnsi="Arial"/>
                <w:sz w:val="8"/>
                <w:szCs w:val="8"/>
                <w:color w:val="auto"/>
              </w:rPr>
              <w:t>4</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4</w:t>
            </w:r>
          </w:p>
        </w:tc>
        <w:tc>
          <w:tcPr>
            <w:tcW w:w="8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Extensions and discoveries</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39"/>
              <w:spacing w:after="0"/>
              <w:rPr>
                <w:sz w:val="20"/>
                <w:szCs w:val="20"/>
                <w:color w:val="auto"/>
              </w:rPr>
            </w:pPr>
            <w:r>
              <w:rPr>
                <w:rFonts w:ascii="Arial" w:cs="Arial" w:eastAsia="Arial" w:hAnsi="Arial"/>
                <w:sz w:val="8"/>
                <w:szCs w:val="8"/>
                <w:color w:val="auto"/>
              </w:rPr>
              <w:t>7</w:t>
            </w:r>
          </w:p>
        </w:tc>
        <w:tc>
          <w:tcPr>
            <w:tcW w:w="64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6</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74</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11</w:t>
            </w:r>
          </w:p>
        </w:tc>
        <w:tc>
          <w:tcPr>
            <w:tcW w:w="72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39"/>
              <w:spacing w:after="0"/>
              <w:rPr>
                <w:sz w:val="20"/>
                <w:szCs w:val="20"/>
                <w:color w:val="auto"/>
              </w:rPr>
            </w:pPr>
            <w:r>
              <w:rPr>
                <w:rFonts w:ascii="Arial" w:cs="Arial" w:eastAsia="Arial" w:hAnsi="Arial"/>
                <w:sz w:val="8"/>
                <w:szCs w:val="8"/>
                <w:color w:val="auto"/>
              </w:rPr>
              <w:t>60</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158</w:t>
            </w:r>
          </w:p>
        </w:tc>
        <w:tc>
          <w:tcPr>
            <w:tcW w:w="8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158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Purchases of minerals in place</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5</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5</w:t>
            </w:r>
          </w:p>
        </w:tc>
        <w:tc>
          <w:tcPr>
            <w:tcW w:w="8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Sales of minerals in place</w:t>
            </w:r>
          </w:p>
        </w:tc>
        <w:tc>
          <w:tcPr>
            <w:tcW w:w="780" w:type="dxa"/>
            <w:vAlign w:val="bottom"/>
          </w:tcPr>
          <w:p>
            <w:pPr>
              <w:jc w:val="right"/>
              <w:ind w:right="99"/>
              <w:spacing w:after="0"/>
              <w:rPr>
                <w:sz w:val="20"/>
                <w:szCs w:val="20"/>
                <w:color w:val="auto"/>
              </w:rPr>
            </w:pPr>
            <w:r>
              <w:rPr>
                <w:rFonts w:ascii="Arial" w:cs="Arial" w:eastAsia="Arial" w:hAnsi="Arial"/>
                <w:sz w:val="8"/>
                <w:szCs w:val="8"/>
                <w:color w:val="auto"/>
              </w:rPr>
              <w:t>(65)</w:t>
            </w:r>
          </w:p>
        </w:tc>
        <w:tc>
          <w:tcPr>
            <w:tcW w:w="66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780" w:type="dxa"/>
            <w:vAlign w:val="bottom"/>
          </w:tcPr>
          <w:p>
            <w:pPr>
              <w:jc w:val="right"/>
              <w:ind w:right="99"/>
              <w:spacing w:after="0"/>
              <w:rPr>
                <w:sz w:val="20"/>
                <w:szCs w:val="20"/>
                <w:color w:val="auto"/>
              </w:rPr>
            </w:pPr>
            <w:r>
              <w:rPr>
                <w:rFonts w:ascii="Arial" w:cs="Arial" w:eastAsia="Arial" w:hAnsi="Arial"/>
                <w:sz w:val="8"/>
                <w:szCs w:val="8"/>
                <w:color w:val="auto"/>
              </w:rPr>
              <w:t>(29)</w:t>
            </w:r>
          </w:p>
        </w:tc>
        <w:tc>
          <w:tcPr>
            <w:tcW w:w="580" w:type="dxa"/>
            <w:vAlign w:val="bottom"/>
          </w:tcPr>
          <w:p>
            <w:pPr>
              <w:jc w:val="right"/>
              <w:ind w:right="18"/>
              <w:spacing w:after="0"/>
              <w:rPr>
                <w:sz w:val="20"/>
                <w:szCs w:val="20"/>
                <w:color w:val="auto"/>
              </w:rPr>
            </w:pPr>
            <w:r>
              <w:rPr>
                <w:rFonts w:ascii="Arial" w:cs="Arial" w:eastAsia="Arial" w:hAnsi="Arial"/>
                <w:sz w:val="8"/>
                <w:szCs w:val="8"/>
                <w:color w:val="auto"/>
              </w:rPr>
              <w:t>(2)</w:t>
            </w:r>
          </w:p>
        </w:tc>
        <w:tc>
          <w:tcPr>
            <w:tcW w:w="72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18"/>
              <w:spacing w:after="0"/>
              <w:rPr>
                <w:sz w:val="20"/>
                <w:szCs w:val="20"/>
                <w:color w:val="auto"/>
              </w:rPr>
            </w:pPr>
            <w:r>
              <w:rPr>
                <w:rFonts w:ascii="Arial" w:cs="Arial" w:eastAsia="Arial" w:hAnsi="Arial"/>
                <w:sz w:val="8"/>
                <w:szCs w:val="8"/>
                <w:color w:val="auto"/>
              </w:rPr>
              <w:t>(96)</w:t>
            </w:r>
          </w:p>
        </w:tc>
        <w:tc>
          <w:tcPr>
            <w:tcW w:w="8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(96)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Production [A]</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8"/>
                <w:szCs w:val="8"/>
                <w:color w:val="auto"/>
              </w:rPr>
              <w:t>(56)</w:t>
            </w: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(184)</w:t>
            </w: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8"/>
                <w:szCs w:val="8"/>
                <w:color w:val="auto"/>
              </w:rPr>
              <w:t>(10)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(64)</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8"/>
                <w:szCs w:val="8"/>
                <w:color w:val="auto"/>
              </w:rPr>
              <w:t>(171)</w:t>
            </w: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(12)</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(20)</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(130)</w:t>
            </w: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(627)</w:t>
            </w: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rPr>
              <w:t>(20)</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(647)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At December 31</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274</w:t>
            </w: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1,551</w:t>
            </w: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121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395</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982</w:t>
            </w: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18</w:t>
            </w: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607</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1,033</w:t>
            </w: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4,374</w:t>
            </w: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color w:val="auto"/>
              </w:rPr>
              <w:t>607</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4,981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700" w:type="dxa"/>
            <w:vAlign w:val="bottom"/>
          </w:tcPr>
          <w:p>
            <w:pPr>
              <w:spacing w:after="0"/>
              <w:rPr>
                <w:sz w:val="20"/>
                <w:szCs w:val="20"/>
                <w:color w:val="auto"/>
              </w:rPr>
            </w:pPr>
            <w:r>
              <w:rPr>
                <w:rFonts w:ascii="Arial" w:cs="Arial" w:eastAsia="Arial" w:hAnsi="Arial"/>
                <w:sz w:val="8"/>
                <w:szCs w:val="8"/>
                <w:color w:val="auto"/>
              </w:rPr>
              <w:t>Shell share of joint ventures and associates</w:t>
            </w: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At January 1</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9</w:t>
            </w:r>
          </w:p>
        </w:tc>
        <w:tc>
          <w:tcPr>
            <w:tcW w:w="660" w:type="dxa"/>
            <w:vAlign w:val="bottom"/>
          </w:tcPr>
          <w:p>
            <w:pPr>
              <w:jc w:val="right"/>
              <w:ind w:right="139"/>
              <w:spacing w:after="0"/>
              <w:rPr>
                <w:sz w:val="20"/>
                <w:szCs w:val="20"/>
                <w:color w:val="auto"/>
              </w:rPr>
            </w:pPr>
            <w:r>
              <w:rPr>
                <w:rFonts w:ascii="Arial" w:cs="Arial" w:eastAsia="Arial" w:hAnsi="Arial"/>
                <w:sz w:val="8"/>
                <w:szCs w:val="8"/>
                <w:color w:val="auto"/>
              </w:rPr>
              <w:t>281</w:t>
            </w:r>
          </w:p>
        </w:tc>
        <w:tc>
          <w:tcPr>
            <w:tcW w:w="64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290</w:t>
            </w:r>
          </w:p>
        </w:tc>
        <w:tc>
          <w:tcPr>
            <w:tcW w:w="8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290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Revisions and reclassifications</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4</w:t>
            </w:r>
          </w:p>
        </w:tc>
        <w:tc>
          <w:tcPr>
            <w:tcW w:w="660" w:type="dxa"/>
            <w:vAlign w:val="bottom"/>
          </w:tcPr>
          <w:p>
            <w:pPr>
              <w:jc w:val="right"/>
              <w:ind w:right="139"/>
              <w:spacing w:after="0"/>
              <w:rPr>
                <w:sz w:val="20"/>
                <w:szCs w:val="20"/>
                <w:color w:val="auto"/>
              </w:rPr>
            </w:pPr>
            <w:r>
              <w:rPr>
                <w:rFonts w:ascii="Arial" w:cs="Arial" w:eastAsia="Arial" w:hAnsi="Arial"/>
                <w:sz w:val="8"/>
                <w:szCs w:val="8"/>
                <w:color w:val="auto"/>
              </w:rPr>
              <w:t>21</w:t>
            </w:r>
          </w:p>
        </w:tc>
        <w:tc>
          <w:tcPr>
            <w:tcW w:w="64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25</w:t>
            </w:r>
          </w:p>
        </w:tc>
        <w:tc>
          <w:tcPr>
            <w:tcW w:w="8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Improved recovery</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39"/>
              <w:spacing w:after="0"/>
              <w:rPr>
                <w:sz w:val="20"/>
                <w:szCs w:val="20"/>
                <w:color w:val="auto"/>
              </w:rPr>
            </w:pPr>
            <w:r>
              <w:rPr>
                <w:rFonts w:ascii="Arial" w:cs="Arial" w:eastAsia="Arial" w:hAnsi="Arial"/>
                <w:sz w:val="8"/>
                <w:szCs w:val="8"/>
                <w:color w:val="auto"/>
              </w:rPr>
              <w:t>4</w:t>
            </w:r>
          </w:p>
        </w:tc>
        <w:tc>
          <w:tcPr>
            <w:tcW w:w="64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4</w:t>
            </w:r>
          </w:p>
        </w:tc>
        <w:tc>
          <w:tcPr>
            <w:tcW w:w="8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Extensions and discoveries</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39"/>
              <w:spacing w:after="0"/>
              <w:rPr>
                <w:sz w:val="20"/>
                <w:szCs w:val="20"/>
                <w:color w:val="auto"/>
              </w:rPr>
            </w:pPr>
            <w:r>
              <w:rPr>
                <w:rFonts w:ascii="Arial" w:cs="Arial" w:eastAsia="Arial" w:hAnsi="Arial"/>
                <w:sz w:val="8"/>
                <w:szCs w:val="8"/>
                <w:color w:val="auto"/>
              </w:rPr>
              <w:t>2</w:t>
            </w:r>
          </w:p>
        </w:tc>
        <w:tc>
          <w:tcPr>
            <w:tcW w:w="64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2</w:t>
            </w:r>
          </w:p>
        </w:tc>
        <w:tc>
          <w:tcPr>
            <w:tcW w:w="8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Purchases of minerals in place</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Sales of minerals in place</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78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3"/>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Production</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8"/>
                <w:szCs w:val="8"/>
                <w:color w:val="auto"/>
              </w:rPr>
              <w:t>(1)</w:t>
            </w: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(37)</w:t>
            </w: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w:t>
            </w: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w:t>
            </w: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(38)</w:t>
            </w: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color w:val="auto"/>
              </w:rPr>
              <w:t>—</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At December 31</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12</w:t>
            </w: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271</w:t>
            </w: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w:t>
            </w: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w:t>
            </w: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283</w:t>
            </w: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color w:val="auto"/>
              </w:rPr>
              <w:t>—</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283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Total</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286</w:t>
            </w: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1,822</w:t>
            </w: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121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395</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982</w:t>
            </w: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18</w:t>
            </w: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607</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1,033</w:t>
            </w: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4,657</w:t>
            </w: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color w:val="auto"/>
              </w:rPr>
              <w:t>607</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5,264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700" w:type="dxa"/>
            <w:vAlign w:val="bottom"/>
          </w:tcPr>
          <w:p>
            <w:pPr>
              <w:spacing w:after="0" w:line="76" w:lineRule="exact"/>
              <w:rPr>
                <w:sz w:val="20"/>
                <w:szCs w:val="20"/>
                <w:color w:val="auto"/>
              </w:rPr>
            </w:pPr>
            <w:r>
              <w:rPr>
                <w:rFonts w:ascii="Arial" w:cs="Arial" w:eastAsia="Arial" w:hAnsi="Arial"/>
                <w:sz w:val="8"/>
                <w:szCs w:val="8"/>
                <w:color w:val="auto"/>
              </w:rPr>
              <w:t>Reserves attributable to non-controlling interest in Shell subsidiaries at</w:t>
            </w:r>
          </w:p>
        </w:tc>
        <w:tc>
          <w:tcPr>
            <w:tcW w:w="780" w:type="dxa"/>
            <w:vAlign w:val="bottom"/>
            <w:vMerge w:val="restart"/>
          </w:tcPr>
          <w:p>
            <w:pPr>
              <w:jc w:val="right"/>
              <w:ind w:right="119"/>
              <w:spacing w:after="0"/>
              <w:rPr>
                <w:sz w:val="20"/>
                <w:szCs w:val="20"/>
                <w:color w:val="auto"/>
              </w:rPr>
            </w:pPr>
            <w:r>
              <w:rPr>
                <w:rFonts w:ascii="Arial" w:cs="Arial" w:eastAsia="Arial" w:hAnsi="Arial"/>
                <w:sz w:val="8"/>
                <w:szCs w:val="8"/>
                <w:color w:val="auto"/>
              </w:rPr>
              <w:t>—</w:t>
            </w:r>
          </w:p>
        </w:tc>
        <w:tc>
          <w:tcPr>
            <w:tcW w:w="660" w:type="dxa"/>
            <w:vAlign w:val="bottom"/>
            <w:vMerge w:val="restart"/>
          </w:tcPr>
          <w:p>
            <w:pPr>
              <w:jc w:val="right"/>
              <w:ind w:right="139"/>
              <w:spacing w:after="0"/>
              <w:rPr>
                <w:sz w:val="20"/>
                <w:szCs w:val="20"/>
                <w:color w:val="auto"/>
              </w:rPr>
            </w:pPr>
            <w:r>
              <w:rPr>
                <w:rFonts w:ascii="Arial" w:cs="Arial" w:eastAsia="Arial" w:hAnsi="Arial"/>
                <w:sz w:val="8"/>
                <w:szCs w:val="8"/>
                <w:color w:val="auto"/>
              </w:rPr>
              <w:t>—</w:t>
            </w:r>
          </w:p>
        </w:tc>
        <w:tc>
          <w:tcPr>
            <w:tcW w:w="640" w:type="dxa"/>
            <w:vAlign w:val="bottom"/>
            <w:vMerge w:val="restart"/>
          </w:tcPr>
          <w:p>
            <w:pPr>
              <w:jc w:val="right"/>
              <w:ind w:right="119"/>
              <w:spacing w:after="0"/>
              <w:rPr>
                <w:sz w:val="20"/>
                <w:szCs w:val="20"/>
                <w:color w:val="auto"/>
              </w:rPr>
            </w:pPr>
            <w:r>
              <w:rPr>
                <w:rFonts w:ascii="Arial" w:cs="Arial" w:eastAsia="Arial" w:hAnsi="Arial"/>
                <w:sz w:val="8"/>
                <w:szCs w:val="8"/>
                <w:color w:val="auto"/>
              </w:rPr>
              <w:t>—</w:t>
            </w:r>
          </w:p>
        </w:tc>
        <w:tc>
          <w:tcPr>
            <w:tcW w:w="54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780" w:type="dxa"/>
            <w:vAlign w:val="bottom"/>
            <w:vMerge w:val="restart"/>
          </w:tcPr>
          <w:p>
            <w:pPr>
              <w:jc w:val="right"/>
              <w:ind w:right="119"/>
              <w:spacing w:after="0"/>
              <w:rPr>
                <w:sz w:val="20"/>
                <w:szCs w:val="20"/>
                <w:color w:val="auto"/>
              </w:rPr>
            </w:pPr>
            <w:r>
              <w:rPr>
                <w:rFonts w:ascii="Arial" w:cs="Arial" w:eastAsia="Arial" w:hAnsi="Arial"/>
                <w:sz w:val="8"/>
                <w:szCs w:val="8"/>
                <w:color w:val="auto"/>
              </w:rPr>
              <w:t>—</w:t>
            </w:r>
          </w:p>
        </w:tc>
        <w:tc>
          <w:tcPr>
            <w:tcW w:w="580" w:type="dxa"/>
            <w:vAlign w:val="bottom"/>
            <w:vMerge w:val="restart"/>
          </w:tcPr>
          <w:p>
            <w:pPr>
              <w:jc w:val="right"/>
              <w:ind w:right="38"/>
              <w:spacing w:after="0"/>
              <w:rPr>
                <w:sz w:val="20"/>
                <w:szCs w:val="20"/>
                <w:color w:val="auto"/>
              </w:rPr>
            </w:pPr>
            <w:r>
              <w:rPr>
                <w:rFonts w:ascii="Arial" w:cs="Arial" w:eastAsia="Arial" w:hAnsi="Arial"/>
                <w:sz w:val="8"/>
                <w:szCs w:val="8"/>
                <w:color w:val="auto"/>
              </w:rPr>
              <w:t>—</w:t>
            </w:r>
          </w:p>
        </w:tc>
        <w:tc>
          <w:tcPr>
            <w:tcW w:w="720" w:type="dxa"/>
            <w:vAlign w:val="bottom"/>
            <w:vMerge w:val="restart"/>
          </w:tcPr>
          <w:p>
            <w:pPr>
              <w:jc w:val="right"/>
              <w:ind w:right="98"/>
              <w:spacing w:after="0"/>
              <w:rPr>
                <w:sz w:val="20"/>
                <w:szCs w:val="20"/>
                <w:color w:val="auto"/>
              </w:rPr>
            </w:pPr>
            <w:r>
              <w:rPr>
                <w:rFonts w:ascii="Arial" w:cs="Arial" w:eastAsia="Arial" w:hAnsi="Arial"/>
                <w:sz w:val="8"/>
                <w:szCs w:val="8"/>
                <w:color w:val="auto"/>
              </w:rPr>
              <w:t>304</w:t>
            </w:r>
          </w:p>
        </w:tc>
        <w:tc>
          <w:tcPr>
            <w:tcW w:w="540" w:type="dxa"/>
            <w:vAlign w:val="bottom"/>
            <w:vMerge w:val="restart"/>
          </w:tcPr>
          <w:p>
            <w:pPr>
              <w:ind w:left="420"/>
              <w:spacing w:after="0"/>
              <w:rPr>
                <w:sz w:val="20"/>
                <w:szCs w:val="20"/>
                <w:color w:val="auto"/>
              </w:rPr>
            </w:pPr>
            <w:r>
              <w:rPr>
                <w:rFonts w:ascii="Arial" w:cs="Arial" w:eastAsia="Arial" w:hAnsi="Arial"/>
                <w:sz w:val="8"/>
                <w:szCs w:val="8"/>
                <w:color w:val="auto"/>
              </w:rPr>
              <w:t>—</w:t>
            </w:r>
          </w:p>
        </w:tc>
        <w:tc>
          <w:tcPr>
            <w:tcW w:w="800" w:type="dxa"/>
            <w:vAlign w:val="bottom"/>
            <w:vMerge w:val="restart"/>
          </w:tcPr>
          <w:p>
            <w:pPr>
              <w:jc w:val="right"/>
              <w:ind w:right="139"/>
              <w:spacing w:after="0"/>
              <w:rPr>
                <w:sz w:val="20"/>
                <w:szCs w:val="20"/>
                <w:color w:val="auto"/>
              </w:rPr>
            </w:pPr>
            <w:r>
              <w:rPr>
                <w:rFonts w:ascii="Arial" w:cs="Arial" w:eastAsia="Arial" w:hAnsi="Arial"/>
                <w:sz w:val="8"/>
                <w:szCs w:val="8"/>
                <w:color w:val="auto"/>
              </w:rPr>
              <w:t>—</w:t>
            </w:r>
          </w:p>
        </w:tc>
        <w:tc>
          <w:tcPr>
            <w:tcW w:w="580" w:type="dxa"/>
            <w:vAlign w:val="bottom"/>
            <w:vMerge w:val="restart"/>
          </w:tcPr>
          <w:p>
            <w:pPr>
              <w:jc w:val="right"/>
              <w:ind w:right="38"/>
              <w:spacing w:after="0"/>
              <w:rPr>
                <w:sz w:val="20"/>
                <w:szCs w:val="20"/>
                <w:color w:val="auto"/>
              </w:rPr>
            </w:pPr>
            <w:r>
              <w:rPr>
                <w:rFonts w:ascii="Arial" w:cs="Arial" w:eastAsia="Arial" w:hAnsi="Arial"/>
                <w:sz w:val="8"/>
                <w:szCs w:val="8"/>
                <w:color w:val="auto"/>
              </w:rPr>
              <w:t>—</w:t>
            </w:r>
          </w:p>
        </w:tc>
        <w:tc>
          <w:tcPr>
            <w:tcW w:w="820" w:type="dxa"/>
            <w:vAlign w:val="bottom"/>
            <w:vMerge w:val="restart"/>
          </w:tcPr>
          <w:p>
            <w:pPr>
              <w:jc w:val="right"/>
              <w:ind w:right="198"/>
              <w:spacing w:after="0"/>
              <w:rPr>
                <w:sz w:val="20"/>
                <w:szCs w:val="20"/>
                <w:color w:val="auto"/>
              </w:rPr>
            </w:pPr>
            <w:r>
              <w:rPr>
                <w:rFonts w:ascii="Arial" w:cs="Arial" w:eastAsia="Arial" w:hAnsi="Arial"/>
                <w:sz w:val="8"/>
                <w:szCs w:val="8"/>
                <w:color w:val="auto"/>
              </w:rPr>
              <w:t>304</w:t>
            </w:r>
          </w:p>
        </w:tc>
        <w:tc>
          <w:tcPr>
            <w:tcW w:w="500" w:type="dxa"/>
            <w:vAlign w:val="bottom"/>
            <w:vMerge w:val="restart"/>
          </w:tcPr>
          <w:p>
            <w:pPr>
              <w:ind w:left="340"/>
              <w:spacing w:after="0"/>
              <w:rPr>
                <w:sz w:val="20"/>
                <w:szCs w:val="20"/>
                <w:color w:val="auto"/>
              </w:rPr>
            </w:pPr>
            <w:r>
              <w:rPr>
                <w:rFonts w:ascii="Arial" w:cs="Arial" w:eastAsia="Arial" w:hAnsi="Arial"/>
                <w:sz w:val="8"/>
                <w:szCs w:val="8"/>
                <w:color w:val="auto"/>
              </w:rPr>
              <w:t>—</w:t>
            </w:r>
          </w:p>
        </w:tc>
        <w:tc>
          <w:tcPr>
            <w:tcW w:w="640" w:type="dxa"/>
            <w:vAlign w:val="bottom"/>
            <w:vMerge w:val="restart"/>
          </w:tcPr>
          <w:p>
            <w:pPr>
              <w:jc w:val="right"/>
              <w:spacing w:after="0"/>
              <w:rPr>
                <w:sz w:val="20"/>
                <w:szCs w:val="20"/>
                <w:color w:val="auto"/>
              </w:rPr>
            </w:pPr>
            <w:r>
              <w:rPr>
                <w:rFonts w:ascii="Arial" w:cs="Arial" w:eastAsia="Arial" w:hAnsi="Arial"/>
                <w:sz w:val="8"/>
                <w:szCs w:val="8"/>
                <w:color w:val="auto"/>
              </w:rPr>
              <w:t>304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7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December 31</w:t>
            </w:r>
          </w:p>
        </w:tc>
        <w:tc>
          <w:tcPr>
            <w:tcW w:w="78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700" w:type="dxa"/>
            <w:vAlign w:val="bottom"/>
          </w:tcPr>
          <w:p>
            <w:pPr>
              <w:spacing w:after="0"/>
              <w:rPr>
                <w:sz w:val="20"/>
                <w:szCs w:val="20"/>
                <w:color w:val="auto"/>
              </w:rPr>
            </w:pPr>
            <w:r>
              <w:rPr>
                <w:rFonts w:ascii="Arial" w:cs="Arial" w:eastAsia="Arial" w:hAnsi="Arial"/>
                <w:sz w:val="7"/>
                <w:szCs w:val="7"/>
                <w:color w:val="auto"/>
              </w:rPr>
              <w:t>[A] Includes 1 million barrels consumed in operations for synthetic crude oil.</w:t>
            </w: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5"/>
        </w:trPr>
        <w:tc>
          <w:tcPr>
            <w:tcW w:w="3480" w:type="dxa"/>
            <w:vAlign w:val="bottom"/>
            <w:gridSpan w:val="2"/>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ind w:right="419"/>
              <w:spacing w:after="0"/>
              <w:rPr>
                <w:sz w:val="20"/>
                <w:szCs w:val="20"/>
                <w:color w:val="auto"/>
              </w:rPr>
            </w:pPr>
            <w:r>
              <w:rPr>
                <w:rFonts w:ascii="Arial" w:cs="Arial" w:eastAsia="Arial" w:hAnsi="Arial"/>
                <w:sz w:val="7"/>
                <w:szCs w:val="7"/>
                <w:color w:val="auto"/>
              </w:rPr>
              <w:t>214</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7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157"/>
        </w:trPr>
        <w:tc>
          <w:tcPr>
            <w:tcW w:w="270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Proved developed reserves 2019</w:t>
            </w:r>
          </w:p>
        </w:tc>
        <w:tc>
          <w:tcPr>
            <w:tcW w:w="780" w:type="dxa"/>
            <w:vAlign w:val="bottom"/>
            <w:tcBorders>
              <w:top w:val="single" w:sz="8" w:color="CDCDCD"/>
            </w:tcBorders>
          </w:tcPr>
          <w:p>
            <w:pPr>
              <w:spacing w:after="0"/>
              <w:rPr>
                <w:sz w:val="13"/>
                <w:szCs w:val="13"/>
                <w:color w:val="auto"/>
              </w:rPr>
            </w:pPr>
          </w:p>
        </w:tc>
        <w:tc>
          <w:tcPr>
            <w:tcW w:w="660" w:type="dxa"/>
            <w:vAlign w:val="bottom"/>
            <w:tcBorders>
              <w:top w:val="single" w:sz="8" w:color="CDCDCD"/>
            </w:tcBorders>
          </w:tcPr>
          <w:p>
            <w:pPr>
              <w:spacing w:after="0"/>
              <w:rPr>
                <w:sz w:val="13"/>
                <w:szCs w:val="13"/>
                <w:color w:val="auto"/>
              </w:rPr>
            </w:pPr>
          </w:p>
        </w:tc>
        <w:tc>
          <w:tcPr>
            <w:tcW w:w="640" w:type="dxa"/>
            <w:vAlign w:val="bottom"/>
            <w:tcBorders>
              <w:top w:val="single" w:sz="8" w:color="CDCDCD"/>
            </w:tcBorders>
          </w:tcPr>
          <w:p>
            <w:pPr>
              <w:spacing w:after="0"/>
              <w:rPr>
                <w:sz w:val="13"/>
                <w:szCs w:val="13"/>
                <w:color w:val="auto"/>
              </w:rPr>
            </w:pPr>
          </w:p>
        </w:tc>
        <w:tc>
          <w:tcPr>
            <w:tcW w:w="540" w:type="dxa"/>
            <w:vAlign w:val="bottom"/>
            <w:tcBorders>
              <w:top w:val="single" w:sz="8" w:color="CDCDCD"/>
            </w:tcBorders>
          </w:tcPr>
          <w:p>
            <w:pPr>
              <w:spacing w:after="0"/>
              <w:rPr>
                <w:sz w:val="13"/>
                <w:szCs w:val="13"/>
                <w:color w:val="auto"/>
              </w:rPr>
            </w:pPr>
          </w:p>
        </w:tc>
        <w:tc>
          <w:tcPr>
            <w:tcW w:w="780" w:type="dxa"/>
            <w:vAlign w:val="bottom"/>
            <w:tcBorders>
              <w:top w:val="single" w:sz="8" w:color="CDCDCD"/>
            </w:tcBorders>
          </w:tcPr>
          <w:p>
            <w:pPr>
              <w:spacing w:after="0"/>
              <w:rPr>
                <w:sz w:val="13"/>
                <w:szCs w:val="13"/>
                <w:color w:val="auto"/>
              </w:rPr>
            </w:pPr>
          </w:p>
        </w:tc>
        <w:tc>
          <w:tcPr>
            <w:tcW w:w="580" w:type="dxa"/>
            <w:vAlign w:val="bottom"/>
            <w:tcBorders>
              <w:top w:val="single" w:sz="8" w:color="CDCDCD"/>
            </w:tcBorders>
          </w:tcPr>
          <w:p>
            <w:pPr>
              <w:spacing w:after="0"/>
              <w:rPr>
                <w:sz w:val="13"/>
                <w:szCs w:val="13"/>
                <w:color w:val="auto"/>
              </w:rPr>
            </w:pPr>
          </w:p>
        </w:tc>
        <w:tc>
          <w:tcPr>
            <w:tcW w:w="720" w:type="dxa"/>
            <w:vAlign w:val="bottom"/>
            <w:tcBorders>
              <w:top w:val="single" w:sz="8" w:color="CDCDCD"/>
            </w:tcBorders>
          </w:tcPr>
          <w:p>
            <w:pPr>
              <w:spacing w:after="0"/>
              <w:rPr>
                <w:sz w:val="13"/>
                <w:szCs w:val="13"/>
                <w:color w:val="auto"/>
              </w:rPr>
            </w:pPr>
          </w:p>
        </w:tc>
        <w:tc>
          <w:tcPr>
            <w:tcW w:w="540" w:type="dxa"/>
            <w:vAlign w:val="bottom"/>
            <w:tcBorders>
              <w:top w:val="single" w:sz="8" w:color="CDCDCD"/>
            </w:tcBorders>
          </w:tcPr>
          <w:p>
            <w:pPr>
              <w:spacing w:after="0"/>
              <w:rPr>
                <w:sz w:val="13"/>
                <w:szCs w:val="13"/>
                <w:color w:val="auto"/>
              </w:rPr>
            </w:pPr>
          </w:p>
        </w:tc>
        <w:tc>
          <w:tcPr>
            <w:tcW w:w="800" w:type="dxa"/>
            <w:vAlign w:val="bottom"/>
            <w:tcBorders>
              <w:top w:val="single" w:sz="8" w:color="CDCDCD"/>
            </w:tcBorders>
          </w:tcPr>
          <w:p>
            <w:pPr>
              <w:spacing w:after="0"/>
              <w:rPr>
                <w:sz w:val="13"/>
                <w:szCs w:val="13"/>
                <w:color w:val="auto"/>
              </w:rPr>
            </w:pPr>
          </w:p>
        </w:tc>
        <w:tc>
          <w:tcPr>
            <w:tcW w:w="580" w:type="dxa"/>
            <w:vAlign w:val="bottom"/>
            <w:tcBorders>
              <w:top w:val="single" w:sz="8" w:color="CDCDCD"/>
            </w:tcBorders>
          </w:tcPr>
          <w:p>
            <w:pPr>
              <w:spacing w:after="0"/>
              <w:rPr>
                <w:sz w:val="13"/>
                <w:szCs w:val="13"/>
                <w:color w:val="auto"/>
              </w:rPr>
            </w:pPr>
          </w:p>
        </w:tc>
        <w:tc>
          <w:tcPr>
            <w:tcW w:w="820" w:type="dxa"/>
            <w:vAlign w:val="bottom"/>
            <w:tcBorders>
              <w:top w:val="single" w:sz="8" w:color="CDCDCD"/>
            </w:tcBorders>
          </w:tcPr>
          <w:p>
            <w:pPr>
              <w:spacing w:after="0"/>
              <w:rPr>
                <w:sz w:val="13"/>
                <w:szCs w:val="13"/>
                <w:color w:val="auto"/>
              </w:rPr>
            </w:pPr>
          </w:p>
        </w:tc>
        <w:tc>
          <w:tcPr>
            <w:tcW w:w="500" w:type="dxa"/>
            <w:vAlign w:val="bottom"/>
            <w:tcBorders>
              <w:top w:val="single" w:sz="8" w:color="CDCDCD"/>
            </w:tcBorders>
          </w:tcPr>
          <w:p>
            <w:pPr>
              <w:spacing w:after="0"/>
              <w:rPr>
                <w:sz w:val="13"/>
                <w:szCs w:val="13"/>
                <w:color w:val="auto"/>
              </w:rPr>
            </w:pPr>
          </w:p>
        </w:tc>
        <w:tc>
          <w:tcPr>
            <w:tcW w:w="64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w w:val="97"/>
              </w:rPr>
              <w:t>Million barrels</w:t>
            </w:r>
          </w:p>
        </w:tc>
      </w:tr>
      <w:tr>
        <w:trPr>
          <w:trHeight w:val="102"/>
        </w:trPr>
        <w:tc>
          <w:tcPr>
            <w:tcW w:w="2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North America</w:t>
            </w: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0"/>
        </w:trPr>
        <w:tc>
          <w:tcPr>
            <w:tcW w:w="2700" w:type="dxa"/>
            <w:vAlign w:val="bottom"/>
          </w:tcPr>
          <w:p>
            <w:pPr>
              <w:spacing w:after="0"/>
              <w:rPr>
                <w:sz w:val="8"/>
                <w:szCs w:val="8"/>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Europe</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Asia</w:t>
            </w: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7"/>
                <w:szCs w:val="7"/>
                <w:color w:val="auto"/>
              </w:rPr>
              <w:t>Oceania</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Africa</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USA</w:t>
            </w:r>
          </w:p>
        </w:tc>
        <w:tc>
          <w:tcPr>
            <w:tcW w:w="5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Canada</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South America</w:t>
            </w:r>
          </w:p>
        </w:tc>
        <w:tc>
          <w:tcPr>
            <w:tcW w:w="5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Total</w:t>
            </w:r>
          </w:p>
        </w:tc>
      </w:tr>
      <w:tr>
        <w:trPr>
          <w:trHeight w:val="97"/>
        </w:trPr>
        <w:tc>
          <w:tcPr>
            <w:tcW w:w="27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7"/>
                <w:szCs w:val="7"/>
                <w:color w:val="auto"/>
              </w:rPr>
              <w:t>Oil and NGL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Oil and NGL</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7"/>
                <w:szCs w:val="7"/>
                <w:color w:val="auto"/>
              </w:rPr>
              <w:t>Oil and NGL</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7"/>
                <w:szCs w:val="7"/>
                <w:color w:val="auto"/>
              </w:rPr>
              <w:t>Synthetic crude oil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Bitumen</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7"/>
                <w:szCs w:val="7"/>
                <w:color w:val="auto"/>
              </w:rPr>
              <w:t>Oil and NGL</w:t>
            </w: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7"/>
                <w:szCs w:val="7"/>
                <w:color w:val="auto"/>
              </w:rPr>
              <w:t>Synthetic crude oil</w:t>
            </w: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7"/>
                <w:szCs w:val="7"/>
                <w:color w:val="auto"/>
              </w:rPr>
              <w:t>Bitumen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All products</w:t>
            </w:r>
          </w:p>
        </w:tc>
      </w:tr>
      <w:tr>
        <w:trPr>
          <w:trHeight w:val="102"/>
        </w:trPr>
        <w:tc>
          <w:tcPr>
            <w:tcW w:w="2700" w:type="dxa"/>
            <w:vAlign w:val="bottom"/>
          </w:tcPr>
          <w:p>
            <w:pPr>
              <w:spacing w:after="0"/>
              <w:rPr>
                <w:sz w:val="20"/>
                <w:szCs w:val="20"/>
                <w:color w:val="auto"/>
              </w:rPr>
            </w:pPr>
            <w:r>
              <w:rPr>
                <w:rFonts w:ascii="Arial" w:cs="Arial" w:eastAsia="Arial" w:hAnsi="Arial"/>
                <w:sz w:val="8"/>
                <w:szCs w:val="8"/>
                <w:color w:val="auto"/>
              </w:rPr>
              <w:t>Shell subsidiaries</w:t>
            </w: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At January 1</w:t>
            </w:r>
          </w:p>
        </w:tc>
        <w:tc>
          <w:tcPr>
            <w:tcW w:w="780" w:type="dxa"/>
            <w:vAlign w:val="bottom"/>
          </w:tcPr>
          <w:p>
            <w:pPr>
              <w:jc w:val="right"/>
              <w:ind w:right="120"/>
              <w:spacing w:after="0"/>
              <w:rPr>
                <w:sz w:val="20"/>
                <w:szCs w:val="20"/>
                <w:color w:val="auto"/>
              </w:rPr>
            </w:pPr>
            <w:r>
              <w:rPr>
                <w:rFonts w:ascii="Arial" w:cs="Arial" w:eastAsia="Arial" w:hAnsi="Arial"/>
                <w:sz w:val="8"/>
                <w:szCs w:val="8"/>
                <w:color w:val="auto"/>
              </w:rPr>
              <w:t>243</w:t>
            </w:r>
          </w:p>
        </w:tc>
        <w:tc>
          <w:tcPr>
            <w:tcW w:w="660" w:type="dxa"/>
            <w:vAlign w:val="bottom"/>
          </w:tcPr>
          <w:p>
            <w:pPr>
              <w:jc w:val="right"/>
              <w:ind w:right="140"/>
              <w:spacing w:after="0"/>
              <w:rPr>
                <w:sz w:val="20"/>
                <w:szCs w:val="20"/>
                <w:color w:val="auto"/>
              </w:rPr>
            </w:pPr>
            <w:r>
              <w:rPr>
                <w:rFonts w:ascii="Arial" w:cs="Arial" w:eastAsia="Arial" w:hAnsi="Arial"/>
                <w:sz w:val="8"/>
                <w:szCs w:val="8"/>
                <w:color w:val="auto"/>
              </w:rPr>
              <w:t>1,318</w:t>
            </w:r>
          </w:p>
        </w:tc>
        <w:tc>
          <w:tcPr>
            <w:tcW w:w="640" w:type="dxa"/>
            <w:vAlign w:val="bottom"/>
          </w:tcPr>
          <w:p>
            <w:pPr>
              <w:jc w:val="right"/>
              <w:ind w:right="120"/>
              <w:spacing w:after="0"/>
              <w:rPr>
                <w:sz w:val="20"/>
                <w:szCs w:val="20"/>
                <w:color w:val="auto"/>
              </w:rPr>
            </w:pPr>
            <w:r>
              <w:rPr>
                <w:rFonts w:ascii="Arial" w:cs="Arial" w:eastAsia="Arial" w:hAnsi="Arial"/>
                <w:sz w:val="8"/>
                <w:szCs w:val="8"/>
                <w:color w:val="auto"/>
              </w:rPr>
              <w:t>108</w:t>
            </w:r>
          </w:p>
        </w:tc>
        <w:tc>
          <w:tcPr>
            <w:tcW w:w="540" w:type="dxa"/>
            <w:vAlign w:val="bottom"/>
          </w:tcPr>
          <w:p>
            <w:pPr>
              <w:jc w:val="right"/>
              <w:spacing w:after="0"/>
              <w:rPr>
                <w:sz w:val="20"/>
                <w:szCs w:val="20"/>
                <w:color w:val="auto"/>
              </w:rPr>
            </w:pPr>
            <w:r>
              <w:rPr>
                <w:rFonts w:ascii="Arial" w:cs="Arial" w:eastAsia="Arial" w:hAnsi="Arial"/>
                <w:sz w:val="8"/>
                <w:szCs w:val="8"/>
                <w:color w:val="auto"/>
              </w:rPr>
              <w:t>335</w:t>
            </w:r>
          </w:p>
        </w:tc>
        <w:tc>
          <w:tcPr>
            <w:tcW w:w="780" w:type="dxa"/>
            <w:vAlign w:val="bottom"/>
          </w:tcPr>
          <w:p>
            <w:pPr>
              <w:jc w:val="right"/>
              <w:ind w:right="120"/>
              <w:spacing w:after="0"/>
              <w:rPr>
                <w:sz w:val="20"/>
                <w:szCs w:val="20"/>
                <w:color w:val="auto"/>
              </w:rPr>
            </w:pPr>
            <w:r>
              <w:rPr>
                <w:rFonts w:ascii="Arial" w:cs="Arial" w:eastAsia="Arial" w:hAnsi="Arial"/>
                <w:sz w:val="8"/>
                <w:szCs w:val="8"/>
                <w:color w:val="auto"/>
              </w:rPr>
              <w:t>629</w:t>
            </w:r>
          </w:p>
        </w:tc>
        <w:tc>
          <w:tcPr>
            <w:tcW w:w="580" w:type="dxa"/>
            <w:vAlign w:val="bottom"/>
          </w:tcPr>
          <w:p>
            <w:pPr>
              <w:jc w:val="right"/>
              <w:ind w:right="39"/>
              <w:spacing w:after="0"/>
              <w:rPr>
                <w:sz w:val="20"/>
                <w:szCs w:val="20"/>
                <w:color w:val="auto"/>
              </w:rPr>
            </w:pPr>
            <w:r>
              <w:rPr>
                <w:rFonts w:ascii="Arial" w:cs="Arial" w:eastAsia="Arial" w:hAnsi="Arial"/>
                <w:sz w:val="8"/>
                <w:szCs w:val="8"/>
                <w:color w:val="auto"/>
              </w:rPr>
              <w:t>21</w:t>
            </w:r>
          </w:p>
        </w:tc>
        <w:tc>
          <w:tcPr>
            <w:tcW w:w="720" w:type="dxa"/>
            <w:vAlign w:val="bottom"/>
          </w:tcPr>
          <w:p>
            <w:pPr>
              <w:jc w:val="right"/>
              <w:ind w:right="99"/>
              <w:spacing w:after="0"/>
              <w:rPr>
                <w:sz w:val="20"/>
                <w:szCs w:val="20"/>
                <w:color w:val="auto"/>
              </w:rPr>
            </w:pPr>
            <w:r>
              <w:rPr>
                <w:rFonts w:ascii="Arial" w:cs="Arial" w:eastAsia="Arial" w:hAnsi="Arial"/>
                <w:sz w:val="8"/>
                <w:szCs w:val="8"/>
                <w:color w:val="auto"/>
              </w:rPr>
              <w:t>661</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40"/>
              <w:spacing w:after="0"/>
              <w:rPr>
                <w:sz w:val="20"/>
                <w:szCs w:val="20"/>
                <w:color w:val="auto"/>
              </w:rPr>
            </w:pPr>
            <w:r>
              <w:rPr>
                <w:rFonts w:ascii="Arial" w:cs="Arial" w:eastAsia="Arial" w:hAnsi="Arial"/>
                <w:sz w:val="8"/>
                <w:szCs w:val="8"/>
                <w:color w:val="auto"/>
              </w:rPr>
              <w:t>634</w:t>
            </w:r>
          </w:p>
        </w:tc>
        <w:tc>
          <w:tcPr>
            <w:tcW w:w="580" w:type="dxa"/>
            <w:vAlign w:val="bottom"/>
          </w:tcPr>
          <w:p>
            <w:pPr>
              <w:jc w:val="right"/>
              <w:ind w:right="39"/>
              <w:spacing w:after="0"/>
              <w:rPr>
                <w:sz w:val="20"/>
                <w:szCs w:val="20"/>
                <w:color w:val="auto"/>
              </w:rPr>
            </w:pPr>
            <w:r>
              <w:rPr>
                <w:rFonts w:ascii="Arial" w:cs="Arial" w:eastAsia="Arial" w:hAnsi="Arial"/>
                <w:sz w:val="8"/>
                <w:szCs w:val="8"/>
                <w:color w:val="auto"/>
              </w:rPr>
              <w:t>3,288</w:t>
            </w:r>
          </w:p>
        </w:tc>
        <w:tc>
          <w:tcPr>
            <w:tcW w:w="820" w:type="dxa"/>
            <w:vAlign w:val="bottom"/>
          </w:tcPr>
          <w:p>
            <w:pPr>
              <w:jc w:val="right"/>
              <w:ind w:right="199"/>
              <w:spacing w:after="0"/>
              <w:rPr>
                <w:sz w:val="20"/>
                <w:szCs w:val="20"/>
                <w:color w:val="auto"/>
              </w:rPr>
            </w:pPr>
            <w:r>
              <w:rPr>
                <w:rFonts w:ascii="Arial" w:cs="Arial" w:eastAsia="Arial" w:hAnsi="Arial"/>
                <w:sz w:val="8"/>
                <w:szCs w:val="8"/>
                <w:color w:val="auto"/>
              </w:rPr>
              <w:t>661</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3,949</w:t>
            </w:r>
          </w:p>
        </w:tc>
      </w:tr>
      <w:tr>
        <w:trPr>
          <w:trHeight w:val="123"/>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At December 31</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8"/>
                <w:szCs w:val="8"/>
                <w:color w:val="auto"/>
              </w:rPr>
              <w:t>156</w:t>
            </w: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8"/>
                <w:szCs w:val="8"/>
                <w:color w:val="auto"/>
              </w:rPr>
              <w:t>1,403</w:t>
            </w:r>
          </w:p>
        </w:tc>
        <w:tc>
          <w:tcPr>
            <w:tcW w:w="640" w:type="dxa"/>
            <w:vAlign w:val="bottom"/>
            <w:tcBorders>
              <w:bottom w:val="single" w:sz="8" w:color="auto"/>
            </w:tcBorders>
          </w:tcPr>
          <w:p>
            <w:pPr>
              <w:jc w:val="right"/>
              <w:ind w:right="120"/>
              <w:spacing w:after="0"/>
              <w:rPr>
                <w:sz w:val="20"/>
                <w:szCs w:val="20"/>
                <w:color w:val="auto"/>
              </w:rPr>
            </w:pPr>
            <w:r>
              <w:rPr>
                <w:rFonts w:ascii="Arial" w:cs="Arial" w:eastAsia="Arial" w:hAnsi="Arial"/>
                <w:sz w:val="8"/>
                <w:szCs w:val="8"/>
                <w:color w:val="auto"/>
              </w:rPr>
              <w:t>106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314</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8"/>
                <w:szCs w:val="8"/>
                <w:color w:val="auto"/>
              </w:rPr>
              <w:t>641</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15</w:t>
            </w: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8"/>
                <w:szCs w:val="8"/>
                <w:color w:val="auto"/>
              </w:rPr>
              <w:t>607</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8"/>
                <w:szCs w:val="8"/>
                <w:color w:val="auto"/>
              </w:rPr>
              <w:t>675</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3,310</w:t>
            </w: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8"/>
                <w:szCs w:val="8"/>
                <w:color w:val="auto"/>
              </w:rPr>
              <w:t>607</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3,917</w:t>
            </w:r>
          </w:p>
        </w:tc>
      </w:tr>
      <w:tr>
        <w:trPr>
          <w:trHeight w:val="100"/>
        </w:trPr>
        <w:tc>
          <w:tcPr>
            <w:tcW w:w="2700" w:type="dxa"/>
            <w:vAlign w:val="bottom"/>
          </w:tcPr>
          <w:p>
            <w:pPr>
              <w:spacing w:after="0"/>
              <w:rPr>
                <w:sz w:val="20"/>
                <w:szCs w:val="20"/>
                <w:color w:val="auto"/>
              </w:rPr>
            </w:pPr>
            <w:r>
              <w:rPr>
                <w:rFonts w:ascii="Arial" w:cs="Arial" w:eastAsia="Arial" w:hAnsi="Arial"/>
                <w:sz w:val="8"/>
                <w:szCs w:val="8"/>
                <w:color w:val="auto"/>
              </w:rPr>
              <w:t>Shell share of joint ventures and associates</w:t>
            </w: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At January 1</w:t>
            </w:r>
          </w:p>
        </w:tc>
        <w:tc>
          <w:tcPr>
            <w:tcW w:w="780" w:type="dxa"/>
            <w:vAlign w:val="bottom"/>
          </w:tcPr>
          <w:p>
            <w:pPr>
              <w:jc w:val="right"/>
              <w:ind w:right="120"/>
              <w:spacing w:after="0"/>
              <w:rPr>
                <w:sz w:val="20"/>
                <w:szCs w:val="20"/>
                <w:color w:val="auto"/>
              </w:rPr>
            </w:pPr>
            <w:r>
              <w:rPr>
                <w:rFonts w:ascii="Arial" w:cs="Arial" w:eastAsia="Arial" w:hAnsi="Arial"/>
                <w:sz w:val="8"/>
                <w:szCs w:val="8"/>
                <w:color w:val="auto"/>
              </w:rPr>
              <w:t>8</w:t>
            </w:r>
          </w:p>
        </w:tc>
        <w:tc>
          <w:tcPr>
            <w:tcW w:w="660" w:type="dxa"/>
            <w:vAlign w:val="bottom"/>
          </w:tcPr>
          <w:p>
            <w:pPr>
              <w:jc w:val="right"/>
              <w:ind w:right="140"/>
              <w:spacing w:after="0"/>
              <w:rPr>
                <w:sz w:val="20"/>
                <w:szCs w:val="20"/>
                <w:color w:val="auto"/>
              </w:rPr>
            </w:pPr>
            <w:r>
              <w:rPr>
                <w:rFonts w:ascii="Arial" w:cs="Arial" w:eastAsia="Arial" w:hAnsi="Arial"/>
                <w:sz w:val="8"/>
                <w:szCs w:val="8"/>
                <w:color w:val="auto"/>
              </w:rPr>
              <w:t>251</w:t>
            </w:r>
          </w:p>
        </w:tc>
        <w:tc>
          <w:tcPr>
            <w:tcW w:w="640" w:type="dxa"/>
            <w:vAlign w:val="bottom"/>
          </w:tcPr>
          <w:p>
            <w:pPr>
              <w:jc w:val="right"/>
              <w:ind w:right="120"/>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780" w:type="dxa"/>
            <w:vAlign w:val="bottom"/>
          </w:tcPr>
          <w:p>
            <w:pPr>
              <w:jc w:val="right"/>
              <w:ind w:right="120"/>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99"/>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40"/>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9"/>
              <w:spacing w:after="0"/>
              <w:rPr>
                <w:sz w:val="20"/>
                <w:szCs w:val="20"/>
                <w:color w:val="auto"/>
              </w:rPr>
            </w:pPr>
            <w:r>
              <w:rPr>
                <w:rFonts w:ascii="Arial" w:cs="Arial" w:eastAsia="Arial" w:hAnsi="Arial"/>
                <w:sz w:val="8"/>
                <w:szCs w:val="8"/>
                <w:color w:val="auto"/>
              </w:rPr>
              <w:t>259</w:t>
            </w:r>
          </w:p>
        </w:tc>
        <w:tc>
          <w:tcPr>
            <w:tcW w:w="820" w:type="dxa"/>
            <w:vAlign w:val="bottom"/>
          </w:tcPr>
          <w:p>
            <w:pPr>
              <w:jc w:val="right"/>
              <w:ind w:right="199"/>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259</w:t>
            </w:r>
          </w:p>
        </w:tc>
      </w:tr>
      <w:tr>
        <w:trPr>
          <w:trHeight w:val="123"/>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At December 31</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8"/>
                <w:szCs w:val="8"/>
                <w:color w:val="auto"/>
              </w:rPr>
              <w:t>11</w:t>
            </w: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8"/>
                <w:szCs w:val="8"/>
                <w:color w:val="auto"/>
              </w:rPr>
              <w:t>240</w:t>
            </w:r>
          </w:p>
        </w:tc>
        <w:tc>
          <w:tcPr>
            <w:tcW w:w="640" w:type="dxa"/>
            <w:vAlign w:val="bottom"/>
            <w:tcBorders>
              <w:bottom w:val="single" w:sz="8" w:color="auto"/>
            </w:tcBorders>
          </w:tcPr>
          <w:p>
            <w:pPr>
              <w:jc w:val="right"/>
              <w:ind w:right="120"/>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8"/>
                <w:szCs w:val="8"/>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8"/>
                <w:szCs w:val="8"/>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251</w:t>
            </w: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8"/>
                <w:szCs w:val="8"/>
                <w:color w:val="auto"/>
              </w:rPr>
              <w:t>—</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251</w:t>
            </w:r>
          </w:p>
        </w:tc>
      </w:tr>
      <w:tr>
        <w:trPr>
          <w:trHeight w:val="83"/>
        </w:trPr>
        <w:tc>
          <w:tcPr>
            <w:tcW w:w="2700" w:type="dxa"/>
            <w:vAlign w:val="bottom"/>
            <w:tcBorders>
              <w:bottom w:val="single" w:sz="8" w:color="CDCDCD"/>
            </w:tcBorders>
          </w:tcPr>
          <w:p>
            <w:pPr>
              <w:spacing w:after="0"/>
              <w:rPr>
                <w:sz w:val="7"/>
                <w:szCs w:val="7"/>
                <w:color w:val="auto"/>
              </w:rPr>
            </w:pPr>
          </w:p>
        </w:tc>
        <w:tc>
          <w:tcPr>
            <w:tcW w:w="780" w:type="dxa"/>
            <w:vAlign w:val="bottom"/>
            <w:tcBorders>
              <w:bottom w:val="single" w:sz="8" w:color="CDCDCD"/>
            </w:tcBorders>
          </w:tcPr>
          <w:p>
            <w:pPr>
              <w:spacing w:after="0"/>
              <w:rPr>
                <w:sz w:val="7"/>
                <w:szCs w:val="7"/>
                <w:color w:val="auto"/>
              </w:rPr>
            </w:pPr>
          </w:p>
        </w:tc>
        <w:tc>
          <w:tcPr>
            <w:tcW w:w="660" w:type="dxa"/>
            <w:vAlign w:val="bottom"/>
            <w:tcBorders>
              <w:bottom w:val="single" w:sz="8" w:color="CDCDCD"/>
            </w:tcBorders>
          </w:tcPr>
          <w:p>
            <w:pPr>
              <w:spacing w:after="0"/>
              <w:rPr>
                <w:sz w:val="7"/>
                <w:szCs w:val="7"/>
                <w:color w:val="auto"/>
              </w:rPr>
            </w:pPr>
          </w:p>
        </w:tc>
        <w:tc>
          <w:tcPr>
            <w:tcW w:w="640" w:type="dxa"/>
            <w:vAlign w:val="bottom"/>
            <w:tcBorders>
              <w:bottom w:val="single" w:sz="8" w:color="CDCDCD"/>
            </w:tcBorders>
          </w:tcPr>
          <w:p>
            <w:pPr>
              <w:spacing w:after="0"/>
              <w:rPr>
                <w:sz w:val="7"/>
                <w:szCs w:val="7"/>
                <w:color w:val="auto"/>
              </w:rPr>
            </w:pPr>
          </w:p>
        </w:tc>
        <w:tc>
          <w:tcPr>
            <w:tcW w:w="540" w:type="dxa"/>
            <w:vAlign w:val="bottom"/>
            <w:tcBorders>
              <w:bottom w:val="single" w:sz="8" w:color="CDCDCD"/>
            </w:tcBorders>
          </w:tcPr>
          <w:p>
            <w:pPr>
              <w:spacing w:after="0"/>
              <w:rPr>
                <w:sz w:val="7"/>
                <w:szCs w:val="7"/>
                <w:color w:val="auto"/>
              </w:rPr>
            </w:pPr>
          </w:p>
        </w:tc>
        <w:tc>
          <w:tcPr>
            <w:tcW w:w="780" w:type="dxa"/>
            <w:vAlign w:val="bottom"/>
            <w:tcBorders>
              <w:bottom w:val="single" w:sz="8" w:color="CDCDCD"/>
            </w:tcBorders>
          </w:tcPr>
          <w:p>
            <w:pPr>
              <w:spacing w:after="0"/>
              <w:rPr>
                <w:sz w:val="7"/>
                <w:szCs w:val="7"/>
                <w:color w:val="auto"/>
              </w:rPr>
            </w:pPr>
          </w:p>
        </w:tc>
        <w:tc>
          <w:tcPr>
            <w:tcW w:w="580" w:type="dxa"/>
            <w:vAlign w:val="bottom"/>
            <w:tcBorders>
              <w:bottom w:val="single" w:sz="8" w:color="CDCDCD"/>
            </w:tcBorders>
          </w:tcPr>
          <w:p>
            <w:pPr>
              <w:spacing w:after="0"/>
              <w:rPr>
                <w:sz w:val="7"/>
                <w:szCs w:val="7"/>
                <w:color w:val="auto"/>
              </w:rPr>
            </w:pPr>
          </w:p>
        </w:tc>
        <w:tc>
          <w:tcPr>
            <w:tcW w:w="720" w:type="dxa"/>
            <w:vAlign w:val="bottom"/>
            <w:tcBorders>
              <w:bottom w:val="single" w:sz="8" w:color="CDCDCD"/>
            </w:tcBorders>
          </w:tcPr>
          <w:p>
            <w:pPr>
              <w:spacing w:after="0"/>
              <w:rPr>
                <w:sz w:val="7"/>
                <w:szCs w:val="7"/>
                <w:color w:val="auto"/>
              </w:rPr>
            </w:pPr>
          </w:p>
        </w:tc>
        <w:tc>
          <w:tcPr>
            <w:tcW w:w="540" w:type="dxa"/>
            <w:vAlign w:val="bottom"/>
            <w:tcBorders>
              <w:bottom w:val="single" w:sz="8" w:color="CDCDCD"/>
            </w:tcBorders>
          </w:tcPr>
          <w:p>
            <w:pPr>
              <w:spacing w:after="0"/>
              <w:rPr>
                <w:sz w:val="7"/>
                <w:szCs w:val="7"/>
                <w:color w:val="auto"/>
              </w:rPr>
            </w:pPr>
          </w:p>
        </w:tc>
        <w:tc>
          <w:tcPr>
            <w:tcW w:w="800" w:type="dxa"/>
            <w:vAlign w:val="bottom"/>
            <w:tcBorders>
              <w:bottom w:val="single" w:sz="8" w:color="CDCDCD"/>
            </w:tcBorders>
          </w:tcPr>
          <w:p>
            <w:pPr>
              <w:spacing w:after="0"/>
              <w:rPr>
                <w:sz w:val="7"/>
                <w:szCs w:val="7"/>
                <w:color w:val="auto"/>
              </w:rPr>
            </w:pPr>
          </w:p>
        </w:tc>
        <w:tc>
          <w:tcPr>
            <w:tcW w:w="580" w:type="dxa"/>
            <w:vAlign w:val="bottom"/>
            <w:tcBorders>
              <w:bottom w:val="single" w:sz="8" w:color="CDCDCD"/>
            </w:tcBorders>
          </w:tcPr>
          <w:p>
            <w:pPr>
              <w:spacing w:after="0"/>
              <w:rPr>
                <w:sz w:val="7"/>
                <w:szCs w:val="7"/>
                <w:color w:val="auto"/>
              </w:rPr>
            </w:pPr>
          </w:p>
        </w:tc>
        <w:tc>
          <w:tcPr>
            <w:tcW w:w="820" w:type="dxa"/>
            <w:vAlign w:val="bottom"/>
            <w:tcBorders>
              <w:bottom w:val="single" w:sz="8" w:color="CDCDCD"/>
            </w:tcBorders>
          </w:tcPr>
          <w:p>
            <w:pPr>
              <w:spacing w:after="0"/>
              <w:rPr>
                <w:sz w:val="7"/>
                <w:szCs w:val="7"/>
                <w:color w:val="auto"/>
              </w:rPr>
            </w:pPr>
          </w:p>
        </w:tc>
        <w:tc>
          <w:tcPr>
            <w:tcW w:w="500" w:type="dxa"/>
            <w:vAlign w:val="bottom"/>
            <w:tcBorders>
              <w:bottom w:val="single" w:sz="8" w:color="CDCDCD"/>
            </w:tcBorders>
          </w:tcPr>
          <w:p>
            <w:pPr>
              <w:spacing w:after="0"/>
              <w:rPr>
                <w:sz w:val="7"/>
                <w:szCs w:val="7"/>
                <w:color w:val="auto"/>
              </w:rPr>
            </w:pPr>
          </w:p>
        </w:tc>
        <w:tc>
          <w:tcPr>
            <w:tcW w:w="640" w:type="dxa"/>
            <w:vAlign w:val="bottom"/>
            <w:tcBorders>
              <w:bottom w:val="single" w:sz="8" w:color="CDCDCD"/>
            </w:tcBorders>
          </w:tcPr>
          <w:p>
            <w:pPr>
              <w:spacing w:after="0"/>
              <w:rPr>
                <w:sz w:val="7"/>
                <w:szCs w:val="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700" w:type="dxa"/>
            <w:vAlign w:val="bottom"/>
          </w:tcPr>
          <w:p>
            <w:pPr>
              <w:spacing w:after="0"/>
              <w:rPr>
                <w:sz w:val="20"/>
                <w:szCs w:val="20"/>
                <w:color w:val="auto"/>
              </w:rPr>
            </w:pPr>
            <w:r>
              <w:rPr>
                <w:rFonts w:ascii="Arial" w:cs="Arial" w:eastAsia="Arial" w:hAnsi="Arial"/>
                <w:sz w:val="10"/>
                <w:szCs w:val="10"/>
                <w:color w:val="auto"/>
              </w:rPr>
              <w:t>Proved undeveloped reserves 2019</w:t>
            </w: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w w:val="97"/>
              </w:rPr>
              <w:t>Million barrels</w:t>
            </w:r>
          </w:p>
        </w:tc>
      </w:tr>
      <w:tr>
        <w:trPr>
          <w:trHeight w:val="102"/>
        </w:trPr>
        <w:tc>
          <w:tcPr>
            <w:tcW w:w="2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North America</w:t>
            </w: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0"/>
        </w:trPr>
        <w:tc>
          <w:tcPr>
            <w:tcW w:w="2700" w:type="dxa"/>
            <w:vAlign w:val="bottom"/>
          </w:tcPr>
          <w:p>
            <w:pPr>
              <w:spacing w:after="0"/>
              <w:rPr>
                <w:sz w:val="8"/>
                <w:szCs w:val="8"/>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Europe</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Asia</w:t>
            </w: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7"/>
                <w:szCs w:val="7"/>
                <w:color w:val="auto"/>
              </w:rPr>
              <w:t>Oceania</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Africa</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USA</w:t>
            </w:r>
          </w:p>
        </w:tc>
        <w:tc>
          <w:tcPr>
            <w:tcW w:w="5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Canada</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South America</w:t>
            </w:r>
          </w:p>
        </w:tc>
        <w:tc>
          <w:tcPr>
            <w:tcW w:w="5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Total</w:t>
            </w:r>
          </w:p>
        </w:tc>
      </w:tr>
      <w:tr>
        <w:trPr>
          <w:trHeight w:val="97"/>
        </w:trPr>
        <w:tc>
          <w:tcPr>
            <w:tcW w:w="27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7"/>
                <w:szCs w:val="7"/>
                <w:color w:val="auto"/>
              </w:rPr>
              <w:t>Oil and NGL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Oil and NGL</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7"/>
                <w:szCs w:val="7"/>
                <w:color w:val="auto"/>
              </w:rPr>
              <w:t>Oil and NGL</w:t>
            </w: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7"/>
                <w:szCs w:val="7"/>
                <w:color w:val="auto"/>
              </w:rPr>
              <w:t>Synthetic crude oil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Bitumen</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7"/>
                <w:szCs w:val="7"/>
                <w:color w:val="auto"/>
              </w:rPr>
              <w:t>Oil and NGL</w:t>
            </w: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7"/>
                <w:szCs w:val="7"/>
                <w:color w:val="auto"/>
              </w:rPr>
              <w:t>Synthetic crude oil</w:t>
            </w: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7"/>
                <w:szCs w:val="7"/>
                <w:color w:val="auto"/>
              </w:rPr>
              <w:t>Bitumen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All products</w:t>
            </w:r>
          </w:p>
        </w:tc>
      </w:tr>
      <w:tr>
        <w:trPr>
          <w:trHeight w:val="102"/>
        </w:trPr>
        <w:tc>
          <w:tcPr>
            <w:tcW w:w="2700" w:type="dxa"/>
            <w:vAlign w:val="bottom"/>
          </w:tcPr>
          <w:p>
            <w:pPr>
              <w:spacing w:after="0"/>
              <w:rPr>
                <w:sz w:val="20"/>
                <w:szCs w:val="20"/>
                <w:color w:val="auto"/>
              </w:rPr>
            </w:pPr>
            <w:r>
              <w:rPr>
                <w:rFonts w:ascii="Arial" w:cs="Arial" w:eastAsia="Arial" w:hAnsi="Arial"/>
                <w:sz w:val="8"/>
                <w:szCs w:val="8"/>
                <w:color w:val="auto"/>
              </w:rPr>
              <w:t>Shell subsidiaries</w:t>
            </w: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At January 1</w:t>
            </w:r>
          </w:p>
        </w:tc>
        <w:tc>
          <w:tcPr>
            <w:tcW w:w="780" w:type="dxa"/>
            <w:vAlign w:val="bottom"/>
          </w:tcPr>
          <w:p>
            <w:pPr>
              <w:jc w:val="right"/>
              <w:ind w:right="120"/>
              <w:spacing w:after="0"/>
              <w:rPr>
                <w:sz w:val="20"/>
                <w:szCs w:val="20"/>
                <w:color w:val="auto"/>
              </w:rPr>
            </w:pPr>
            <w:r>
              <w:rPr>
                <w:rFonts w:ascii="Arial" w:cs="Arial" w:eastAsia="Arial" w:hAnsi="Arial"/>
                <w:sz w:val="8"/>
                <w:szCs w:val="8"/>
                <w:color w:val="auto"/>
              </w:rPr>
              <w:t>124</w:t>
            </w:r>
          </w:p>
        </w:tc>
        <w:tc>
          <w:tcPr>
            <w:tcW w:w="660" w:type="dxa"/>
            <w:vAlign w:val="bottom"/>
          </w:tcPr>
          <w:p>
            <w:pPr>
              <w:jc w:val="right"/>
              <w:ind w:right="140"/>
              <w:spacing w:after="0"/>
              <w:rPr>
                <w:sz w:val="20"/>
                <w:szCs w:val="20"/>
                <w:color w:val="auto"/>
              </w:rPr>
            </w:pPr>
            <w:r>
              <w:rPr>
                <w:rFonts w:ascii="Arial" w:cs="Arial" w:eastAsia="Arial" w:hAnsi="Arial"/>
                <w:sz w:val="8"/>
                <w:szCs w:val="8"/>
                <w:color w:val="auto"/>
              </w:rPr>
              <w:t>185</w:t>
            </w:r>
          </w:p>
        </w:tc>
        <w:tc>
          <w:tcPr>
            <w:tcW w:w="640" w:type="dxa"/>
            <w:vAlign w:val="bottom"/>
          </w:tcPr>
          <w:p>
            <w:pPr>
              <w:jc w:val="right"/>
              <w:ind w:right="120"/>
              <w:spacing w:after="0"/>
              <w:rPr>
                <w:sz w:val="20"/>
                <w:szCs w:val="20"/>
                <w:color w:val="auto"/>
              </w:rPr>
            </w:pPr>
            <w:r>
              <w:rPr>
                <w:rFonts w:ascii="Arial" w:cs="Arial" w:eastAsia="Arial" w:hAnsi="Arial"/>
                <w:sz w:val="8"/>
                <w:szCs w:val="8"/>
                <w:color w:val="auto"/>
              </w:rPr>
              <w:t>21</w:t>
            </w:r>
          </w:p>
        </w:tc>
        <w:tc>
          <w:tcPr>
            <w:tcW w:w="540" w:type="dxa"/>
            <w:vAlign w:val="bottom"/>
          </w:tcPr>
          <w:p>
            <w:pPr>
              <w:jc w:val="right"/>
              <w:spacing w:after="0"/>
              <w:rPr>
                <w:sz w:val="20"/>
                <w:szCs w:val="20"/>
                <w:color w:val="auto"/>
              </w:rPr>
            </w:pPr>
            <w:r>
              <w:rPr>
                <w:rFonts w:ascii="Arial" w:cs="Arial" w:eastAsia="Arial" w:hAnsi="Arial"/>
                <w:sz w:val="8"/>
                <w:szCs w:val="8"/>
                <w:color w:val="auto"/>
              </w:rPr>
              <w:t>85</w:t>
            </w:r>
          </w:p>
        </w:tc>
        <w:tc>
          <w:tcPr>
            <w:tcW w:w="780" w:type="dxa"/>
            <w:vAlign w:val="bottom"/>
          </w:tcPr>
          <w:p>
            <w:pPr>
              <w:jc w:val="right"/>
              <w:ind w:right="120"/>
              <w:spacing w:after="0"/>
              <w:rPr>
                <w:sz w:val="20"/>
                <w:szCs w:val="20"/>
                <w:color w:val="auto"/>
              </w:rPr>
            </w:pPr>
            <w:r>
              <w:rPr>
                <w:rFonts w:ascii="Arial" w:cs="Arial" w:eastAsia="Arial" w:hAnsi="Arial"/>
                <w:sz w:val="8"/>
                <w:szCs w:val="8"/>
                <w:color w:val="auto"/>
              </w:rPr>
              <w:t>388</w:t>
            </w:r>
          </w:p>
        </w:tc>
        <w:tc>
          <w:tcPr>
            <w:tcW w:w="580" w:type="dxa"/>
            <w:vAlign w:val="bottom"/>
          </w:tcPr>
          <w:p>
            <w:pPr>
              <w:jc w:val="right"/>
              <w:ind w:right="39"/>
              <w:spacing w:after="0"/>
              <w:rPr>
                <w:sz w:val="20"/>
                <w:szCs w:val="20"/>
                <w:color w:val="auto"/>
              </w:rPr>
            </w:pPr>
            <w:r>
              <w:rPr>
                <w:rFonts w:ascii="Arial" w:cs="Arial" w:eastAsia="Arial" w:hAnsi="Arial"/>
                <w:sz w:val="8"/>
                <w:szCs w:val="8"/>
                <w:color w:val="auto"/>
              </w:rPr>
              <w:t>2</w:t>
            </w:r>
          </w:p>
        </w:tc>
        <w:tc>
          <w:tcPr>
            <w:tcW w:w="720" w:type="dxa"/>
            <w:vAlign w:val="bottom"/>
          </w:tcPr>
          <w:p>
            <w:pPr>
              <w:ind w:left="480"/>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40"/>
              <w:spacing w:after="0"/>
              <w:rPr>
                <w:sz w:val="20"/>
                <w:szCs w:val="20"/>
                <w:color w:val="auto"/>
              </w:rPr>
            </w:pPr>
            <w:r>
              <w:rPr>
                <w:rFonts w:ascii="Arial" w:cs="Arial" w:eastAsia="Arial" w:hAnsi="Arial"/>
                <w:sz w:val="8"/>
                <w:szCs w:val="8"/>
                <w:color w:val="auto"/>
              </w:rPr>
              <w:t>394</w:t>
            </w:r>
          </w:p>
        </w:tc>
        <w:tc>
          <w:tcPr>
            <w:tcW w:w="580" w:type="dxa"/>
            <w:vAlign w:val="bottom"/>
          </w:tcPr>
          <w:p>
            <w:pPr>
              <w:jc w:val="right"/>
              <w:ind w:right="39"/>
              <w:spacing w:after="0"/>
              <w:rPr>
                <w:sz w:val="20"/>
                <w:szCs w:val="20"/>
                <w:color w:val="auto"/>
              </w:rPr>
            </w:pPr>
            <w:r>
              <w:rPr>
                <w:rFonts w:ascii="Arial" w:cs="Arial" w:eastAsia="Arial" w:hAnsi="Arial"/>
                <w:sz w:val="8"/>
                <w:szCs w:val="8"/>
                <w:color w:val="auto"/>
              </w:rPr>
              <w:t>1,199</w:t>
            </w:r>
          </w:p>
        </w:tc>
        <w:tc>
          <w:tcPr>
            <w:tcW w:w="820" w:type="dxa"/>
            <w:vAlign w:val="bottom"/>
          </w:tcPr>
          <w:p>
            <w:pPr>
              <w:ind w:left="500"/>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1,199</w:t>
            </w:r>
          </w:p>
        </w:tc>
      </w:tr>
      <w:tr>
        <w:trPr>
          <w:trHeight w:val="123"/>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At December 31</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8"/>
                <w:szCs w:val="8"/>
                <w:color w:val="auto"/>
              </w:rPr>
              <w:t>118</w:t>
            </w: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8"/>
                <w:szCs w:val="8"/>
                <w:color w:val="auto"/>
              </w:rPr>
              <w:t>149</w:t>
            </w:r>
          </w:p>
        </w:tc>
        <w:tc>
          <w:tcPr>
            <w:tcW w:w="640" w:type="dxa"/>
            <w:vAlign w:val="bottom"/>
            <w:tcBorders>
              <w:bottom w:val="single" w:sz="8" w:color="auto"/>
            </w:tcBorders>
          </w:tcPr>
          <w:p>
            <w:pPr>
              <w:jc w:val="right"/>
              <w:ind w:right="120"/>
              <w:spacing w:after="0"/>
              <w:rPr>
                <w:sz w:val="20"/>
                <w:szCs w:val="20"/>
                <w:color w:val="auto"/>
              </w:rPr>
            </w:pPr>
            <w:r>
              <w:rPr>
                <w:rFonts w:ascii="Arial" w:cs="Arial" w:eastAsia="Arial" w:hAnsi="Arial"/>
                <w:sz w:val="8"/>
                <w:szCs w:val="8"/>
                <w:color w:val="auto"/>
              </w:rPr>
              <w:t>15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80</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8"/>
                <w:szCs w:val="8"/>
                <w:color w:val="auto"/>
              </w:rPr>
              <w:t>341</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3</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8"/>
                <w:szCs w:val="8"/>
                <w:color w:val="auto"/>
              </w:rPr>
              <w:t>358</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1,064</w:t>
            </w: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8"/>
                <w:szCs w:val="8"/>
                <w:color w:val="auto"/>
              </w:rPr>
              <w:t>—</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1,064</w:t>
            </w:r>
          </w:p>
        </w:tc>
      </w:tr>
      <w:tr>
        <w:trPr>
          <w:trHeight w:val="100"/>
        </w:trPr>
        <w:tc>
          <w:tcPr>
            <w:tcW w:w="2700" w:type="dxa"/>
            <w:vAlign w:val="bottom"/>
          </w:tcPr>
          <w:p>
            <w:pPr>
              <w:spacing w:after="0"/>
              <w:rPr>
                <w:sz w:val="20"/>
                <w:szCs w:val="20"/>
                <w:color w:val="auto"/>
              </w:rPr>
            </w:pPr>
            <w:r>
              <w:rPr>
                <w:rFonts w:ascii="Arial" w:cs="Arial" w:eastAsia="Arial" w:hAnsi="Arial"/>
                <w:sz w:val="8"/>
                <w:szCs w:val="8"/>
                <w:color w:val="auto"/>
              </w:rPr>
              <w:t>Shell share of joint ventures and associates</w:t>
            </w: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At January 1</w:t>
            </w:r>
          </w:p>
        </w:tc>
        <w:tc>
          <w:tcPr>
            <w:tcW w:w="780" w:type="dxa"/>
            <w:vAlign w:val="bottom"/>
          </w:tcPr>
          <w:p>
            <w:pPr>
              <w:jc w:val="right"/>
              <w:ind w:right="120"/>
              <w:spacing w:after="0"/>
              <w:rPr>
                <w:sz w:val="20"/>
                <w:szCs w:val="20"/>
                <w:color w:val="auto"/>
              </w:rPr>
            </w:pPr>
            <w:r>
              <w:rPr>
                <w:rFonts w:ascii="Arial" w:cs="Arial" w:eastAsia="Arial" w:hAnsi="Arial"/>
                <w:sz w:val="8"/>
                <w:szCs w:val="8"/>
                <w:color w:val="auto"/>
              </w:rPr>
              <w:t>1</w:t>
            </w:r>
          </w:p>
        </w:tc>
        <w:tc>
          <w:tcPr>
            <w:tcW w:w="660" w:type="dxa"/>
            <w:vAlign w:val="bottom"/>
          </w:tcPr>
          <w:p>
            <w:pPr>
              <w:jc w:val="right"/>
              <w:ind w:right="140"/>
              <w:spacing w:after="0"/>
              <w:rPr>
                <w:sz w:val="20"/>
                <w:szCs w:val="20"/>
                <w:color w:val="auto"/>
              </w:rPr>
            </w:pPr>
            <w:r>
              <w:rPr>
                <w:rFonts w:ascii="Arial" w:cs="Arial" w:eastAsia="Arial" w:hAnsi="Arial"/>
                <w:sz w:val="8"/>
                <w:szCs w:val="8"/>
                <w:color w:val="auto"/>
              </w:rPr>
              <w:t>30</w:t>
            </w:r>
          </w:p>
        </w:tc>
        <w:tc>
          <w:tcPr>
            <w:tcW w:w="640" w:type="dxa"/>
            <w:vAlign w:val="bottom"/>
          </w:tcPr>
          <w:p>
            <w:pPr>
              <w:jc w:val="right"/>
              <w:ind w:right="120"/>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780" w:type="dxa"/>
            <w:vAlign w:val="bottom"/>
          </w:tcPr>
          <w:p>
            <w:pPr>
              <w:jc w:val="right"/>
              <w:ind w:right="120"/>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720" w:type="dxa"/>
            <w:vAlign w:val="bottom"/>
          </w:tcPr>
          <w:p>
            <w:pPr>
              <w:ind w:left="480"/>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40"/>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9"/>
              <w:spacing w:after="0"/>
              <w:rPr>
                <w:sz w:val="20"/>
                <w:szCs w:val="20"/>
                <w:color w:val="auto"/>
              </w:rPr>
            </w:pPr>
            <w:r>
              <w:rPr>
                <w:rFonts w:ascii="Arial" w:cs="Arial" w:eastAsia="Arial" w:hAnsi="Arial"/>
                <w:sz w:val="8"/>
                <w:szCs w:val="8"/>
                <w:color w:val="auto"/>
              </w:rPr>
              <w:t>31</w:t>
            </w:r>
          </w:p>
        </w:tc>
        <w:tc>
          <w:tcPr>
            <w:tcW w:w="820" w:type="dxa"/>
            <w:vAlign w:val="bottom"/>
          </w:tcPr>
          <w:p>
            <w:pPr>
              <w:ind w:left="500"/>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31</w:t>
            </w:r>
          </w:p>
        </w:tc>
      </w:tr>
      <w:tr>
        <w:trPr>
          <w:trHeight w:val="123"/>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At December 31</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8"/>
                <w:szCs w:val="8"/>
                <w:color w:val="auto"/>
              </w:rPr>
              <w:t>1</w:t>
            </w: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8"/>
                <w:szCs w:val="8"/>
                <w:color w:val="auto"/>
              </w:rPr>
              <w:t>31</w:t>
            </w:r>
          </w:p>
        </w:tc>
        <w:tc>
          <w:tcPr>
            <w:tcW w:w="640" w:type="dxa"/>
            <w:vAlign w:val="bottom"/>
            <w:tcBorders>
              <w:bottom w:val="single" w:sz="8" w:color="auto"/>
            </w:tcBorders>
          </w:tcPr>
          <w:p>
            <w:pPr>
              <w:jc w:val="right"/>
              <w:ind w:right="120"/>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8"/>
                <w:szCs w:val="8"/>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8"/>
                <w:szCs w:val="8"/>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32</w:t>
            </w: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8"/>
                <w:szCs w:val="8"/>
                <w:color w:val="auto"/>
              </w:rPr>
              <w:t>—</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32</w:t>
            </w:r>
          </w:p>
        </w:tc>
      </w:tr>
      <w:tr>
        <w:trPr>
          <w:trHeight w:val="92"/>
        </w:trPr>
        <w:tc>
          <w:tcPr>
            <w:tcW w:w="2700" w:type="dxa"/>
            <w:vAlign w:val="bottom"/>
            <w:tcBorders>
              <w:bottom w:val="single" w:sz="8" w:color="CDCDCD"/>
            </w:tcBorders>
          </w:tcPr>
          <w:p>
            <w:pPr>
              <w:spacing w:after="0"/>
              <w:rPr>
                <w:sz w:val="8"/>
                <w:szCs w:val="8"/>
                <w:color w:val="auto"/>
              </w:rPr>
            </w:pPr>
          </w:p>
        </w:tc>
        <w:tc>
          <w:tcPr>
            <w:tcW w:w="780" w:type="dxa"/>
            <w:vAlign w:val="bottom"/>
            <w:tcBorders>
              <w:bottom w:val="single" w:sz="8" w:color="CDCDCD"/>
            </w:tcBorders>
          </w:tcPr>
          <w:p>
            <w:pPr>
              <w:spacing w:after="0"/>
              <w:rPr>
                <w:sz w:val="8"/>
                <w:szCs w:val="8"/>
                <w:color w:val="auto"/>
              </w:rPr>
            </w:pPr>
          </w:p>
        </w:tc>
        <w:tc>
          <w:tcPr>
            <w:tcW w:w="660" w:type="dxa"/>
            <w:vAlign w:val="bottom"/>
            <w:tcBorders>
              <w:bottom w:val="single" w:sz="8" w:color="CDCDCD"/>
            </w:tcBorders>
          </w:tcPr>
          <w:p>
            <w:pPr>
              <w:spacing w:after="0"/>
              <w:rPr>
                <w:sz w:val="8"/>
                <w:szCs w:val="8"/>
                <w:color w:val="auto"/>
              </w:rPr>
            </w:pPr>
          </w:p>
        </w:tc>
        <w:tc>
          <w:tcPr>
            <w:tcW w:w="640" w:type="dxa"/>
            <w:vAlign w:val="bottom"/>
            <w:tcBorders>
              <w:bottom w:val="single" w:sz="8" w:color="CDCDCD"/>
            </w:tcBorders>
          </w:tcPr>
          <w:p>
            <w:pPr>
              <w:spacing w:after="0"/>
              <w:rPr>
                <w:sz w:val="8"/>
                <w:szCs w:val="8"/>
                <w:color w:val="auto"/>
              </w:rPr>
            </w:pPr>
          </w:p>
        </w:tc>
        <w:tc>
          <w:tcPr>
            <w:tcW w:w="540" w:type="dxa"/>
            <w:vAlign w:val="bottom"/>
            <w:tcBorders>
              <w:bottom w:val="single" w:sz="8" w:color="CDCDCD"/>
            </w:tcBorders>
          </w:tcPr>
          <w:p>
            <w:pPr>
              <w:spacing w:after="0"/>
              <w:rPr>
                <w:sz w:val="8"/>
                <w:szCs w:val="8"/>
                <w:color w:val="auto"/>
              </w:rPr>
            </w:pPr>
          </w:p>
        </w:tc>
        <w:tc>
          <w:tcPr>
            <w:tcW w:w="780" w:type="dxa"/>
            <w:vAlign w:val="bottom"/>
            <w:tcBorders>
              <w:bottom w:val="single" w:sz="8" w:color="CDCDCD"/>
            </w:tcBorders>
          </w:tcPr>
          <w:p>
            <w:pPr>
              <w:spacing w:after="0"/>
              <w:rPr>
                <w:sz w:val="8"/>
                <w:szCs w:val="8"/>
                <w:color w:val="auto"/>
              </w:rPr>
            </w:pPr>
          </w:p>
        </w:tc>
        <w:tc>
          <w:tcPr>
            <w:tcW w:w="580" w:type="dxa"/>
            <w:vAlign w:val="bottom"/>
            <w:tcBorders>
              <w:bottom w:val="single" w:sz="8" w:color="CDCDCD"/>
            </w:tcBorders>
          </w:tcPr>
          <w:p>
            <w:pPr>
              <w:spacing w:after="0"/>
              <w:rPr>
                <w:sz w:val="8"/>
                <w:szCs w:val="8"/>
                <w:color w:val="auto"/>
              </w:rPr>
            </w:pPr>
          </w:p>
        </w:tc>
        <w:tc>
          <w:tcPr>
            <w:tcW w:w="720" w:type="dxa"/>
            <w:vAlign w:val="bottom"/>
            <w:tcBorders>
              <w:bottom w:val="single" w:sz="8" w:color="CDCDCD"/>
            </w:tcBorders>
          </w:tcPr>
          <w:p>
            <w:pPr>
              <w:spacing w:after="0"/>
              <w:rPr>
                <w:sz w:val="8"/>
                <w:szCs w:val="8"/>
                <w:color w:val="auto"/>
              </w:rPr>
            </w:pPr>
          </w:p>
        </w:tc>
        <w:tc>
          <w:tcPr>
            <w:tcW w:w="540" w:type="dxa"/>
            <w:vAlign w:val="bottom"/>
            <w:tcBorders>
              <w:bottom w:val="single" w:sz="8" w:color="CDCDCD"/>
            </w:tcBorders>
          </w:tcPr>
          <w:p>
            <w:pPr>
              <w:spacing w:after="0"/>
              <w:rPr>
                <w:sz w:val="8"/>
                <w:szCs w:val="8"/>
                <w:color w:val="auto"/>
              </w:rPr>
            </w:pPr>
          </w:p>
        </w:tc>
        <w:tc>
          <w:tcPr>
            <w:tcW w:w="800" w:type="dxa"/>
            <w:vAlign w:val="bottom"/>
            <w:tcBorders>
              <w:bottom w:val="single" w:sz="8" w:color="CDCDCD"/>
            </w:tcBorders>
          </w:tcPr>
          <w:p>
            <w:pPr>
              <w:spacing w:after="0"/>
              <w:rPr>
                <w:sz w:val="8"/>
                <w:szCs w:val="8"/>
                <w:color w:val="auto"/>
              </w:rPr>
            </w:pPr>
          </w:p>
        </w:tc>
        <w:tc>
          <w:tcPr>
            <w:tcW w:w="580" w:type="dxa"/>
            <w:vAlign w:val="bottom"/>
            <w:tcBorders>
              <w:bottom w:val="single" w:sz="8" w:color="CDCDCD"/>
            </w:tcBorders>
          </w:tcPr>
          <w:p>
            <w:pPr>
              <w:spacing w:after="0"/>
              <w:rPr>
                <w:sz w:val="8"/>
                <w:szCs w:val="8"/>
                <w:color w:val="auto"/>
              </w:rPr>
            </w:pPr>
          </w:p>
        </w:tc>
        <w:tc>
          <w:tcPr>
            <w:tcW w:w="820" w:type="dxa"/>
            <w:vAlign w:val="bottom"/>
            <w:tcBorders>
              <w:bottom w:val="single" w:sz="8" w:color="CDCDCD"/>
            </w:tcBorders>
          </w:tcPr>
          <w:p>
            <w:pPr>
              <w:spacing w:after="0"/>
              <w:rPr>
                <w:sz w:val="8"/>
                <w:szCs w:val="8"/>
                <w:color w:val="auto"/>
              </w:rPr>
            </w:pPr>
          </w:p>
        </w:tc>
        <w:tc>
          <w:tcPr>
            <w:tcW w:w="500" w:type="dxa"/>
            <w:vAlign w:val="bottom"/>
            <w:tcBorders>
              <w:bottom w:val="single" w:sz="8" w:color="CDCDCD"/>
            </w:tcBorders>
          </w:tcPr>
          <w:p>
            <w:pPr>
              <w:spacing w:after="0"/>
              <w:rPr>
                <w:sz w:val="8"/>
                <w:szCs w:val="8"/>
                <w:color w:val="auto"/>
              </w:rPr>
            </w:pPr>
          </w:p>
        </w:tc>
        <w:tc>
          <w:tcPr>
            <w:tcW w:w="640" w:type="dxa"/>
            <w:vAlign w:val="bottom"/>
            <w:tcBorders>
              <w:bottom w:val="single" w:sz="8" w:color="CDCDCD"/>
            </w:tcBorders>
          </w:tcPr>
          <w:p>
            <w:pPr>
              <w:spacing w:after="0"/>
              <w:rPr>
                <w:sz w:val="8"/>
                <w:szCs w:val="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700" w:type="dxa"/>
            <w:vAlign w:val="bottom"/>
          </w:tcPr>
          <w:p>
            <w:pPr>
              <w:spacing w:after="0"/>
              <w:rPr>
                <w:sz w:val="20"/>
                <w:szCs w:val="20"/>
                <w:color w:val="auto"/>
              </w:rPr>
            </w:pPr>
            <w:r>
              <w:rPr>
                <w:rFonts w:ascii="Arial" w:cs="Arial" w:eastAsia="Arial" w:hAnsi="Arial"/>
                <w:sz w:val="10"/>
                <w:szCs w:val="10"/>
                <w:color w:val="auto"/>
              </w:rPr>
              <w:t>Proved developed and undeveloped reserves 2018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gridSpan w:val="2"/>
          </w:tcPr>
          <w:p>
            <w:pPr>
              <w:ind w:left="80"/>
              <w:spacing w:after="0"/>
              <w:rPr>
                <w:sz w:val="20"/>
                <w:szCs w:val="20"/>
                <w:color w:val="auto"/>
              </w:rPr>
            </w:pPr>
            <w:r>
              <w:rPr>
                <w:rFonts w:ascii="Arial" w:cs="Arial" w:eastAsia="Arial" w:hAnsi="Arial"/>
                <w:sz w:val="10"/>
                <w:szCs w:val="10"/>
                <w:color w:val="auto"/>
                <w:w w:val="93"/>
              </w:rPr>
              <w:t>Million barrels</w:t>
            </w:r>
          </w:p>
        </w:tc>
        <w:tc>
          <w:tcPr>
            <w:tcW w:w="0" w:type="dxa"/>
            <w:vAlign w:val="bottom"/>
          </w:tcPr>
          <w:p>
            <w:pPr>
              <w:spacing w:after="0"/>
              <w:rPr>
                <w:sz w:val="1"/>
                <w:szCs w:val="1"/>
                <w:color w:val="auto"/>
              </w:rPr>
            </w:pPr>
          </w:p>
        </w:tc>
      </w:tr>
      <w:tr>
        <w:trPr>
          <w:trHeight w:val="102"/>
        </w:trPr>
        <w:tc>
          <w:tcPr>
            <w:tcW w:w="2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2"/>
          </w:tcPr>
          <w:p>
            <w:pPr>
              <w:jc w:val="right"/>
              <w:ind w:right="478"/>
              <w:spacing w:after="0"/>
              <w:rPr>
                <w:sz w:val="20"/>
                <w:szCs w:val="20"/>
                <w:color w:val="auto"/>
              </w:rPr>
            </w:pPr>
            <w:r>
              <w:rPr>
                <w:rFonts w:ascii="Arial" w:cs="Arial" w:eastAsia="Arial" w:hAnsi="Arial"/>
                <w:sz w:val="7"/>
                <w:szCs w:val="7"/>
                <w:color w:val="auto"/>
              </w:rPr>
              <w:t>North America</w:t>
            </w: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700" w:type="dxa"/>
            <w:vAlign w:val="bottom"/>
          </w:tcPr>
          <w:p>
            <w:pPr>
              <w:spacing w:after="0"/>
              <w:rPr>
                <w:sz w:val="8"/>
                <w:szCs w:val="8"/>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7"/>
                <w:szCs w:val="7"/>
                <w:color w:val="auto"/>
              </w:rPr>
              <w:t>Europe</w:t>
            </w:r>
          </w:p>
        </w:tc>
        <w:tc>
          <w:tcPr>
            <w:tcW w:w="660" w:type="dxa"/>
            <w:vAlign w:val="bottom"/>
            <w:tcBorders>
              <w:bottom w:val="single" w:sz="8" w:color="auto"/>
            </w:tcBorders>
          </w:tcPr>
          <w:p>
            <w:pPr>
              <w:jc w:val="right"/>
              <w:ind w:right="279"/>
              <w:spacing w:after="0"/>
              <w:rPr>
                <w:sz w:val="20"/>
                <w:szCs w:val="20"/>
                <w:color w:val="auto"/>
              </w:rPr>
            </w:pPr>
            <w:r>
              <w:rPr>
                <w:rFonts w:ascii="Arial" w:cs="Arial" w:eastAsia="Arial" w:hAnsi="Arial"/>
                <w:sz w:val="7"/>
                <w:szCs w:val="7"/>
                <w:color w:val="auto"/>
              </w:rPr>
              <w:t>Asia</w:t>
            </w: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7"/>
                <w:szCs w:val="7"/>
                <w:color w:val="auto"/>
              </w:rPr>
              <w:t>Oceania</w:t>
            </w: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7"/>
                <w:szCs w:val="7"/>
                <w:color w:val="auto"/>
              </w:rPr>
              <w:t>Africa</w:t>
            </w: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7"/>
                <w:szCs w:val="7"/>
                <w:color w:val="auto"/>
              </w:rPr>
              <w:t>USA</w:t>
            </w:r>
          </w:p>
        </w:tc>
        <w:tc>
          <w:tcPr>
            <w:tcW w:w="6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7"/>
                <w:szCs w:val="7"/>
                <w:color w:val="auto"/>
              </w:rPr>
              <w:t>Canada</w:t>
            </w: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7"/>
                <w:szCs w:val="7"/>
                <w:color w:val="auto"/>
              </w:rPr>
              <w:t>South America</w:t>
            </w:r>
          </w:p>
        </w:tc>
        <w:tc>
          <w:tcPr>
            <w:tcW w:w="6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7"/>
                <w:szCs w:val="7"/>
                <w:color w:val="auto"/>
              </w:rPr>
              <w:t>Total</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700" w:type="dxa"/>
            <w:vAlign w:val="bottom"/>
          </w:tcPr>
          <w:p>
            <w:pPr>
              <w:spacing w:after="0"/>
              <w:rPr>
                <w:sz w:val="8"/>
                <w:szCs w:val="8"/>
                <w:color w:val="auto"/>
              </w:rPr>
            </w:pPr>
          </w:p>
        </w:tc>
        <w:tc>
          <w:tcPr>
            <w:tcW w:w="700" w:type="dxa"/>
            <w:vAlign w:val="bottom"/>
          </w:tcPr>
          <w:p>
            <w:pPr>
              <w:jc w:val="right"/>
              <w:ind w:right="139"/>
              <w:spacing w:after="0"/>
              <w:rPr>
                <w:sz w:val="20"/>
                <w:szCs w:val="20"/>
                <w:color w:val="auto"/>
              </w:rPr>
            </w:pPr>
            <w:r>
              <w:rPr>
                <w:rFonts w:ascii="Arial" w:cs="Arial" w:eastAsia="Arial" w:hAnsi="Arial"/>
                <w:sz w:val="7"/>
                <w:szCs w:val="7"/>
                <w:color w:val="auto"/>
              </w:rPr>
              <w:t>Oil and NGL</w:t>
            </w:r>
          </w:p>
        </w:tc>
        <w:tc>
          <w:tcPr>
            <w:tcW w:w="660" w:type="dxa"/>
            <w:vAlign w:val="bottom"/>
          </w:tcPr>
          <w:p>
            <w:pPr>
              <w:jc w:val="right"/>
              <w:ind w:right="159"/>
              <w:spacing w:after="0"/>
              <w:rPr>
                <w:sz w:val="20"/>
                <w:szCs w:val="20"/>
                <w:color w:val="auto"/>
              </w:rPr>
            </w:pPr>
            <w:r>
              <w:rPr>
                <w:rFonts w:ascii="Arial" w:cs="Arial" w:eastAsia="Arial" w:hAnsi="Arial"/>
                <w:sz w:val="7"/>
                <w:szCs w:val="7"/>
                <w:color w:val="auto"/>
              </w:rPr>
              <w:t>Oil and NGL</w:t>
            </w:r>
          </w:p>
        </w:tc>
        <w:tc>
          <w:tcPr>
            <w:tcW w:w="660" w:type="dxa"/>
            <w:vAlign w:val="bottom"/>
          </w:tcPr>
          <w:p>
            <w:pPr>
              <w:jc w:val="right"/>
              <w:ind w:right="159"/>
              <w:spacing w:after="0"/>
              <w:rPr>
                <w:sz w:val="20"/>
                <w:szCs w:val="20"/>
                <w:color w:val="auto"/>
              </w:rPr>
            </w:pPr>
            <w:r>
              <w:rPr>
                <w:rFonts w:ascii="Arial" w:cs="Arial" w:eastAsia="Arial" w:hAnsi="Arial"/>
                <w:sz w:val="7"/>
                <w:szCs w:val="7"/>
                <w:color w:val="auto"/>
              </w:rPr>
              <w:t>Oil and NGL</w:t>
            </w:r>
          </w:p>
        </w:tc>
        <w:tc>
          <w:tcPr>
            <w:tcW w:w="600" w:type="dxa"/>
            <w:vAlign w:val="bottom"/>
          </w:tcPr>
          <w:p>
            <w:pPr>
              <w:jc w:val="right"/>
              <w:ind w:right="99"/>
              <w:spacing w:after="0"/>
              <w:rPr>
                <w:sz w:val="20"/>
                <w:szCs w:val="20"/>
                <w:color w:val="auto"/>
              </w:rPr>
            </w:pPr>
            <w:r>
              <w:rPr>
                <w:rFonts w:ascii="Arial" w:cs="Arial" w:eastAsia="Arial" w:hAnsi="Arial"/>
                <w:sz w:val="7"/>
                <w:szCs w:val="7"/>
                <w:color w:val="auto"/>
              </w:rPr>
              <w:t>Oil and NGL</w:t>
            </w:r>
          </w:p>
        </w:tc>
        <w:tc>
          <w:tcPr>
            <w:tcW w:w="720" w:type="dxa"/>
            <w:vAlign w:val="bottom"/>
          </w:tcPr>
          <w:p>
            <w:pPr>
              <w:jc w:val="right"/>
              <w:ind w:right="159"/>
              <w:spacing w:after="0"/>
              <w:rPr>
                <w:sz w:val="20"/>
                <w:szCs w:val="20"/>
                <w:color w:val="auto"/>
              </w:rPr>
            </w:pPr>
            <w:r>
              <w:rPr>
                <w:rFonts w:ascii="Arial" w:cs="Arial" w:eastAsia="Arial" w:hAnsi="Arial"/>
                <w:sz w:val="7"/>
                <w:szCs w:val="7"/>
                <w:color w:val="auto"/>
              </w:rPr>
              <w:t>Oil and NGL</w:t>
            </w:r>
          </w:p>
        </w:tc>
        <w:tc>
          <w:tcPr>
            <w:tcW w:w="620" w:type="dxa"/>
            <w:vAlign w:val="bottom"/>
          </w:tcPr>
          <w:p>
            <w:pPr>
              <w:jc w:val="right"/>
              <w:ind w:right="119"/>
              <w:spacing w:after="0"/>
              <w:rPr>
                <w:sz w:val="20"/>
                <w:szCs w:val="20"/>
                <w:color w:val="auto"/>
              </w:rPr>
            </w:pPr>
            <w:r>
              <w:rPr>
                <w:rFonts w:ascii="Arial" w:cs="Arial" w:eastAsia="Arial" w:hAnsi="Arial"/>
                <w:sz w:val="7"/>
                <w:szCs w:val="7"/>
                <w:color w:val="auto"/>
              </w:rPr>
              <w:t>Oil and NGL</w:t>
            </w:r>
          </w:p>
        </w:tc>
        <w:tc>
          <w:tcPr>
            <w:tcW w:w="720" w:type="dxa"/>
            <w:vAlign w:val="bottom"/>
          </w:tcPr>
          <w:p>
            <w:pPr>
              <w:jc w:val="right"/>
              <w:ind w:right="98"/>
              <w:spacing w:after="0"/>
              <w:rPr>
                <w:sz w:val="20"/>
                <w:szCs w:val="20"/>
                <w:color w:val="auto"/>
              </w:rPr>
            </w:pPr>
            <w:r>
              <w:rPr>
                <w:rFonts w:ascii="Arial" w:cs="Arial" w:eastAsia="Arial" w:hAnsi="Arial"/>
                <w:sz w:val="7"/>
                <w:szCs w:val="7"/>
                <w:color w:val="auto"/>
                <w:w w:val="97"/>
              </w:rPr>
              <w:t>Synthetic crude oil</w:t>
            </w:r>
          </w:p>
        </w:tc>
        <w:tc>
          <w:tcPr>
            <w:tcW w:w="560" w:type="dxa"/>
            <w:vAlign w:val="bottom"/>
          </w:tcPr>
          <w:p>
            <w:pPr>
              <w:ind w:left="120"/>
              <w:spacing w:after="0"/>
              <w:rPr>
                <w:sz w:val="20"/>
                <w:szCs w:val="20"/>
                <w:color w:val="auto"/>
              </w:rPr>
            </w:pPr>
            <w:r>
              <w:rPr>
                <w:rFonts w:ascii="Arial" w:cs="Arial" w:eastAsia="Arial" w:hAnsi="Arial"/>
                <w:sz w:val="7"/>
                <w:szCs w:val="7"/>
                <w:color w:val="auto"/>
              </w:rPr>
              <w:t>Bitumen</w:t>
            </w:r>
          </w:p>
        </w:tc>
        <w:tc>
          <w:tcPr>
            <w:tcW w:w="720" w:type="dxa"/>
            <w:vAlign w:val="bottom"/>
          </w:tcPr>
          <w:p>
            <w:pPr>
              <w:jc w:val="right"/>
              <w:ind w:right="159"/>
              <w:spacing w:after="0"/>
              <w:rPr>
                <w:sz w:val="20"/>
                <w:szCs w:val="20"/>
                <w:color w:val="auto"/>
              </w:rPr>
            </w:pPr>
            <w:r>
              <w:rPr>
                <w:rFonts w:ascii="Arial" w:cs="Arial" w:eastAsia="Arial" w:hAnsi="Arial"/>
                <w:sz w:val="7"/>
                <w:szCs w:val="7"/>
                <w:color w:val="auto"/>
              </w:rPr>
              <w:t>Oil and NGL</w:t>
            </w:r>
          </w:p>
        </w:tc>
        <w:tc>
          <w:tcPr>
            <w:tcW w:w="640" w:type="dxa"/>
            <w:vAlign w:val="bottom"/>
          </w:tcPr>
          <w:p>
            <w:pPr>
              <w:jc w:val="right"/>
              <w:ind w:right="138"/>
              <w:spacing w:after="0"/>
              <w:rPr>
                <w:sz w:val="20"/>
                <w:szCs w:val="20"/>
                <w:color w:val="auto"/>
              </w:rPr>
            </w:pPr>
            <w:r>
              <w:rPr>
                <w:rFonts w:ascii="Arial" w:cs="Arial" w:eastAsia="Arial" w:hAnsi="Arial"/>
                <w:sz w:val="7"/>
                <w:szCs w:val="7"/>
                <w:color w:val="auto"/>
              </w:rPr>
              <w:t>Oil and NGL</w:t>
            </w:r>
          </w:p>
        </w:tc>
        <w:tc>
          <w:tcPr>
            <w:tcW w:w="740" w:type="dxa"/>
            <w:vAlign w:val="bottom"/>
          </w:tcPr>
          <w:p>
            <w:pPr>
              <w:jc w:val="right"/>
              <w:ind w:right="118"/>
              <w:spacing w:after="0"/>
              <w:rPr>
                <w:sz w:val="20"/>
                <w:szCs w:val="20"/>
                <w:color w:val="auto"/>
              </w:rPr>
            </w:pPr>
            <w:r>
              <w:rPr>
                <w:rFonts w:ascii="Arial" w:cs="Arial" w:eastAsia="Arial" w:hAnsi="Arial"/>
                <w:sz w:val="7"/>
                <w:szCs w:val="7"/>
                <w:color w:val="auto"/>
                <w:w w:val="97"/>
              </w:rPr>
              <w:t>Synthetic crude oil</w:t>
            </w:r>
          </w:p>
        </w:tc>
        <w:tc>
          <w:tcPr>
            <w:tcW w:w="580" w:type="dxa"/>
            <w:vAlign w:val="bottom"/>
          </w:tcPr>
          <w:p>
            <w:pPr>
              <w:ind w:left="100"/>
              <w:spacing w:after="0"/>
              <w:rPr>
                <w:sz w:val="20"/>
                <w:szCs w:val="20"/>
                <w:color w:val="auto"/>
              </w:rPr>
            </w:pPr>
            <w:r>
              <w:rPr>
                <w:rFonts w:ascii="Arial" w:cs="Arial" w:eastAsia="Arial" w:hAnsi="Arial"/>
                <w:sz w:val="7"/>
                <w:szCs w:val="7"/>
                <w:color w:val="auto"/>
              </w:rPr>
              <w:t>Bitumen</w:t>
            </w:r>
          </w:p>
        </w:tc>
        <w:tc>
          <w:tcPr>
            <w:tcW w:w="680" w:type="dxa"/>
            <w:vAlign w:val="bottom"/>
            <w:gridSpan w:val="2"/>
          </w:tcPr>
          <w:p>
            <w:pPr>
              <w:jc w:val="center"/>
              <w:ind w:right="40"/>
              <w:spacing w:after="0"/>
              <w:rPr>
                <w:sz w:val="20"/>
                <w:szCs w:val="20"/>
                <w:color w:val="auto"/>
              </w:rPr>
            </w:pPr>
            <w:r>
              <w:rPr>
                <w:rFonts w:ascii="Arial" w:cs="Arial" w:eastAsia="Arial" w:hAnsi="Arial"/>
                <w:sz w:val="7"/>
                <w:szCs w:val="7"/>
                <w:color w:val="auto"/>
                <w:w w:val="98"/>
              </w:rPr>
              <w:t>All products</w:t>
            </w:r>
          </w:p>
        </w:tc>
        <w:tc>
          <w:tcPr>
            <w:tcW w:w="0" w:type="dxa"/>
            <w:vAlign w:val="bottom"/>
          </w:tcPr>
          <w:p>
            <w:pPr>
              <w:spacing w:after="0"/>
              <w:rPr>
                <w:sz w:val="1"/>
                <w:szCs w:val="1"/>
                <w:color w:val="auto"/>
              </w:rPr>
            </w:pPr>
          </w:p>
        </w:tc>
      </w:tr>
      <w:tr>
        <w:trPr>
          <w:trHeight w:val="102"/>
        </w:trPr>
        <w:tc>
          <w:tcPr>
            <w:tcW w:w="2700" w:type="dxa"/>
            <w:vAlign w:val="bottom"/>
            <w:tcBorders>
              <w:top w:val="single" w:sz="8" w:color="auto"/>
            </w:tcBorders>
          </w:tcPr>
          <w:p>
            <w:pPr>
              <w:spacing w:after="0"/>
              <w:rPr>
                <w:sz w:val="20"/>
                <w:szCs w:val="20"/>
                <w:color w:val="auto"/>
              </w:rPr>
            </w:pPr>
            <w:r>
              <w:rPr>
                <w:rFonts w:ascii="Arial" w:cs="Arial" w:eastAsia="Arial" w:hAnsi="Arial"/>
                <w:sz w:val="8"/>
                <w:szCs w:val="8"/>
                <w:color w:val="auto"/>
              </w:rPr>
              <w:t>Shell subsidiaries</w:t>
            </w:r>
          </w:p>
        </w:tc>
        <w:tc>
          <w:tcPr>
            <w:tcW w:w="7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At January 1</w:t>
            </w: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356</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1,482</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132</w:t>
            </w:r>
          </w:p>
        </w:tc>
        <w:tc>
          <w:tcPr>
            <w:tcW w:w="600" w:type="dxa"/>
            <w:vAlign w:val="bottom"/>
          </w:tcPr>
          <w:p>
            <w:pPr>
              <w:jc w:val="right"/>
              <w:spacing w:after="0"/>
              <w:rPr>
                <w:sz w:val="20"/>
                <w:szCs w:val="20"/>
                <w:color w:val="auto"/>
              </w:rPr>
            </w:pPr>
            <w:r>
              <w:rPr>
                <w:rFonts w:ascii="Arial" w:cs="Arial" w:eastAsia="Arial" w:hAnsi="Arial"/>
                <w:sz w:val="8"/>
                <w:szCs w:val="8"/>
                <w:color w:val="auto"/>
              </w:rPr>
              <w:t>463</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899</w:t>
            </w:r>
          </w:p>
        </w:tc>
        <w:tc>
          <w:tcPr>
            <w:tcW w:w="620" w:type="dxa"/>
            <w:vAlign w:val="bottom"/>
          </w:tcPr>
          <w:p>
            <w:pPr>
              <w:jc w:val="right"/>
              <w:ind w:right="19"/>
              <w:spacing w:after="0"/>
              <w:rPr>
                <w:sz w:val="20"/>
                <w:szCs w:val="20"/>
                <w:color w:val="auto"/>
              </w:rPr>
            </w:pPr>
            <w:r>
              <w:rPr>
                <w:rFonts w:ascii="Arial" w:cs="Arial" w:eastAsia="Arial" w:hAnsi="Arial"/>
                <w:sz w:val="8"/>
                <w:szCs w:val="8"/>
                <w:color w:val="auto"/>
              </w:rPr>
              <w:t>22</w:t>
            </w: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649</w:t>
            </w:r>
          </w:p>
        </w:tc>
        <w:tc>
          <w:tcPr>
            <w:tcW w:w="560" w:type="dxa"/>
            <w:vAlign w:val="bottom"/>
          </w:tcPr>
          <w:p>
            <w:pPr>
              <w:ind w:left="4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946</w:t>
            </w:r>
          </w:p>
        </w:tc>
        <w:tc>
          <w:tcPr>
            <w:tcW w:w="640" w:type="dxa"/>
            <w:vAlign w:val="bottom"/>
          </w:tcPr>
          <w:p>
            <w:pPr>
              <w:jc w:val="right"/>
              <w:ind w:right="18"/>
              <w:spacing w:after="0"/>
              <w:rPr>
                <w:sz w:val="20"/>
                <w:szCs w:val="20"/>
                <w:color w:val="auto"/>
              </w:rPr>
            </w:pPr>
            <w:r>
              <w:rPr>
                <w:rFonts w:ascii="Arial" w:cs="Arial" w:eastAsia="Arial" w:hAnsi="Arial"/>
                <w:sz w:val="8"/>
                <w:szCs w:val="8"/>
                <w:color w:val="auto"/>
              </w:rPr>
              <w:t>4,300</w:t>
            </w:r>
          </w:p>
        </w:tc>
        <w:tc>
          <w:tcPr>
            <w:tcW w:w="740" w:type="dxa"/>
            <w:vAlign w:val="bottom"/>
          </w:tcPr>
          <w:p>
            <w:pPr>
              <w:jc w:val="right"/>
              <w:ind w:right="98"/>
              <w:spacing w:after="0"/>
              <w:rPr>
                <w:sz w:val="20"/>
                <w:szCs w:val="20"/>
                <w:color w:val="auto"/>
              </w:rPr>
            </w:pPr>
            <w:r>
              <w:rPr>
                <w:rFonts w:ascii="Arial" w:cs="Arial" w:eastAsia="Arial" w:hAnsi="Arial"/>
                <w:sz w:val="8"/>
                <w:szCs w:val="8"/>
                <w:color w:val="auto"/>
              </w:rPr>
              <w:t>649</w:t>
            </w:r>
          </w:p>
        </w:tc>
        <w:tc>
          <w:tcPr>
            <w:tcW w:w="580" w:type="dxa"/>
            <w:vAlign w:val="bottom"/>
          </w:tcPr>
          <w:p>
            <w:pPr>
              <w:ind w:left="440"/>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4,949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Revisions and reclassifications</w:t>
            </w: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94</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227</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14</w:t>
            </w:r>
          </w:p>
        </w:tc>
        <w:tc>
          <w:tcPr>
            <w:tcW w:w="600" w:type="dxa"/>
            <w:vAlign w:val="bottom"/>
          </w:tcPr>
          <w:p>
            <w:pPr>
              <w:jc w:val="right"/>
              <w:spacing w:after="0"/>
              <w:rPr>
                <w:sz w:val="20"/>
                <w:szCs w:val="20"/>
                <w:color w:val="auto"/>
              </w:rPr>
            </w:pPr>
            <w:r>
              <w:rPr>
                <w:rFonts w:ascii="Arial" w:cs="Arial" w:eastAsia="Arial" w:hAnsi="Arial"/>
                <w:sz w:val="8"/>
                <w:szCs w:val="8"/>
                <w:color w:val="auto"/>
              </w:rPr>
              <w:t>18</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81</w:t>
            </w:r>
          </w:p>
        </w:tc>
        <w:tc>
          <w:tcPr>
            <w:tcW w:w="620" w:type="dxa"/>
            <w:vAlign w:val="bottom"/>
          </w:tcPr>
          <w:p>
            <w:pPr>
              <w:jc w:val="right"/>
              <w:ind w:right="19"/>
              <w:spacing w:after="0"/>
              <w:rPr>
                <w:sz w:val="20"/>
                <w:szCs w:val="20"/>
                <w:color w:val="auto"/>
              </w:rPr>
            </w:pPr>
            <w:r>
              <w:rPr>
                <w:rFonts w:ascii="Arial" w:cs="Arial" w:eastAsia="Arial" w:hAnsi="Arial"/>
                <w:sz w:val="8"/>
                <w:szCs w:val="8"/>
                <w:color w:val="auto"/>
              </w:rPr>
              <w:t>7</w:t>
            </w: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32</w:t>
            </w:r>
          </w:p>
        </w:tc>
        <w:tc>
          <w:tcPr>
            <w:tcW w:w="560" w:type="dxa"/>
            <w:vAlign w:val="bottom"/>
          </w:tcPr>
          <w:p>
            <w:pPr>
              <w:ind w:left="4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48</w:t>
            </w:r>
          </w:p>
        </w:tc>
        <w:tc>
          <w:tcPr>
            <w:tcW w:w="640" w:type="dxa"/>
            <w:vAlign w:val="bottom"/>
          </w:tcPr>
          <w:p>
            <w:pPr>
              <w:jc w:val="right"/>
              <w:ind w:right="18"/>
              <w:spacing w:after="0"/>
              <w:rPr>
                <w:sz w:val="20"/>
                <w:szCs w:val="20"/>
                <w:color w:val="auto"/>
              </w:rPr>
            </w:pPr>
            <w:r>
              <w:rPr>
                <w:rFonts w:ascii="Arial" w:cs="Arial" w:eastAsia="Arial" w:hAnsi="Arial"/>
                <w:sz w:val="8"/>
                <w:szCs w:val="8"/>
                <w:color w:val="auto"/>
              </w:rPr>
              <w:t>489</w:t>
            </w:r>
          </w:p>
        </w:tc>
        <w:tc>
          <w:tcPr>
            <w:tcW w:w="740" w:type="dxa"/>
            <w:vAlign w:val="bottom"/>
          </w:tcPr>
          <w:p>
            <w:pPr>
              <w:jc w:val="right"/>
              <w:ind w:right="98"/>
              <w:spacing w:after="0"/>
              <w:rPr>
                <w:sz w:val="20"/>
                <w:szCs w:val="20"/>
                <w:color w:val="auto"/>
              </w:rPr>
            </w:pPr>
            <w:r>
              <w:rPr>
                <w:rFonts w:ascii="Arial" w:cs="Arial" w:eastAsia="Arial" w:hAnsi="Arial"/>
                <w:sz w:val="8"/>
                <w:szCs w:val="8"/>
                <w:color w:val="auto"/>
              </w:rPr>
              <w:t>32</w:t>
            </w:r>
          </w:p>
        </w:tc>
        <w:tc>
          <w:tcPr>
            <w:tcW w:w="580" w:type="dxa"/>
            <w:vAlign w:val="bottom"/>
          </w:tcPr>
          <w:p>
            <w:pPr>
              <w:ind w:left="440"/>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521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Improved recovery</w:t>
            </w: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27</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560" w:type="dxa"/>
            <w:vAlign w:val="bottom"/>
          </w:tcPr>
          <w:p>
            <w:pPr>
              <w:ind w:left="4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14</w:t>
            </w:r>
          </w:p>
        </w:tc>
        <w:tc>
          <w:tcPr>
            <w:tcW w:w="640" w:type="dxa"/>
            <w:vAlign w:val="bottom"/>
          </w:tcPr>
          <w:p>
            <w:pPr>
              <w:jc w:val="right"/>
              <w:ind w:right="18"/>
              <w:spacing w:after="0"/>
              <w:rPr>
                <w:sz w:val="20"/>
                <w:szCs w:val="20"/>
                <w:color w:val="auto"/>
              </w:rPr>
            </w:pPr>
            <w:r>
              <w:rPr>
                <w:rFonts w:ascii="Arial" w:cs="Arial" w:eastAsia="Arial" w:hAnsi="Arial"/>
                <w:sz w:val="8"/>
                <w:szCs w:val="8"/>
                <w:color w:val="auto"/>
              </w:rPr>
              <w:t>41</w:t>
            </w:r>
          </w:p>
        </w:tc>
        <w:tc>
          <w:tcPr>
            <w:tcW w:w="74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80" w:type="dxa"/>
            <w:vAlign w:val="bottom"/>
          </w:tcPr>
          <w:p>
            <w:pPr>
              <w:ind w:left="440"/>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Extensions and discoveries</w:t>
            </w: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2</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3</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179</w:t>
            </w:r>
          </w:p>
        </w:tc>
        <w:tc>
          <w:tcPr>
            <w:tcW w:w="620" w:type="dxa"/>
            <w:vAlign w:val="bottom"/>
          </w:tcPr>
          <w:p>
            <w:pPr>
              <w:jc w:val="right"/>
              <w:ind w:right="19"/>
              <w:spacing w:after="0"/>
              <w:rPr>
                <w:sz w:val="20"/>
                <w:szCs w:val="20"/>
                <w:color w:val="auto"/>
              </w:rPr>
            </w:pPr>
            <w:r>
              <w:rPr>
                <w:rFonts w:ascii="Arial" w:cs="Arial" w:eastAsia="Arial" w:hAnsi="Arial"/>
                <w:sz w:val="8"/>
                <w:szCs w:val="8"/>
                <w:color w:val="auto"/>
              </w:rPr>
              <w:t>6</w:t>
            </w: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560" w:type="dxa"/>
            <w:vAlign w:val="bottom"/>
          </w:tcPr>
          <w:p>
            <w:pPr>
              <w:ind w:left="4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139</w:t>
            </w:r>
          </w:p>
        </w:tc>
        <w:tc>
          <w:tcPr>
            <w:tcW w:w="640" w:type="dxa"/>
            <w:vAlign w:val="bottom"/>
          </w:tcPr>
          <w:p>
            <w:pPr>
              <w:jc w:val="right"/>
              <w:ind w:right="18"/>
              <w:spacing w:after="0"/>
              <w:rPr>
                <w:sz w:val="20"/>
                <w:szCs w:val="20"/>
                <w:color w:val="auto"/>
              </w:rPr>
            </w:pPr>
            <w:r>
              <w:rPr>
                <w:rFonts w:ascii="Arial" w:cs="Arial" w:eastAsia="Arial" w:hAnsi="Arial"/>
                <w:sz w:val="8"/>
                <w:szCs w:val="8"/>
                <w:color w:val="auto"/>
              </w:rPr>
              <w:t>329</w:t>
            </w:r>
          </w:p>
        </w:tc>
        <w:tc>
          <w:tcPr>
            <w:tcW w:w="74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80" w:type="dxa"/>
            <w:vAlign w:val="bottom"/>
          </w:tcPr>
          <w:p>
            <w:pPr>
              <w:ind w:left="440"/>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329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Purchases of minerals in place</w:t>
            </w: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560" w:type="dxa"/>
            <w:vAlign w:val="bottom"/>
          </w:tcPr>
          <w:p>
            <w:pPr>
              <w:ind w:left="4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3</w:t>
            </w:r>
          </w:p>
        </w:tc>
        <w:tc>
          <w:tcPr>
            <w:tcW w:w="640" w:type="dxa"/>
            <w:vAlign w:val="bottom"/>
          </w:tcPr>
          <w:p>
            <w:pPr>
              <w:jc w:val="right"/>
              <w:ind w:right="18"/>
              <w:spacing w:after="0"/>
              <w:rPr>
                <w:sz w:val="20"/>
                <w:szCs w:val="20"/>
                <w:color w:val="auto"/>
              </w:rPr>
            </w:pPr>
            <w:r>
              <w:rPr>
                <w:rFonts w:ascii="Arial" w:cs="Arial" w:eastAsia="Arial" w:hAnsi="Arial"/>
                <w:sz w:val="8"/>
                <w:szCs w:val="8"/>
                <w:color w:val="auto"/>
              </w:rPr>
              <w:t>3</w:t>
            </w:r>
          </w:p>
        </w:tc>
        <w:tc>
          <w:tcPr>
            <w:tcW w:w="74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80" w:type="dxa"/>
            <w:vAlign w:val="bottom"/>
          </w:tcPr>
          <w:p>
            <w:pPr>
              <w:ind w:left="440"/>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Sales of minerals in place</w:t>
            </w:r>
          </w:p>
        </w:tc>
        <w:tc>
          <w:tcPr>
            <w:tcW w:w="700" w:type="dxa"/>
            <w:vAlign w:val="bottom"/>
          </w:tcPr>
          <w:p>
            <w:pPr>
              <w:jc w:val="right"/>
              <w:ind w:right="19"/>
              <w:spacing w:after="0"/>
              <w:rPr>
                <w:sz w:val="20"/>
                <w:szCs w:val="20"/>
                <w:color w:val="auto"/>
              </w:rPr>
            </w:pPr>
            <w:r>
              <w:rPr>
                <w:rFonts w:ascii="Arial" w:cs="Arial" w:eastAsia="Arial" w:hAnsi="Arial"/>
                <w:sz w:val="8"/>
                <w:szCs w:val="8"/>
                <w:color w:val="auto"/>
              </w:rPr>
              <w:t>(14)</w:t>
            </w:r>
          </w:p>
        </w:tc>
        <w:tc>
          <w:tcPr>
            <w:tcW w:w="660" w:type="dxa"/>
            <w:vAlign w:val="bottom"/>
          </w:tcPr>
          <w:p>
            <w:pPr>
              <w:jc w:val="right"/>
              <w:ind w:right="39"/>
              <w:spacing w:after="0"/>
              <w:rPr>
                <w:sz w:val="20"/>
                <w:szCs w:val="20"/>
                <w:color w:val="auto"/>
              </w:rPr>
            </w:pPr>
            <w:r>
              <w:rPr>
                <w:rFonts w:ascii="Arial" w:cs="Arial" w:eastAsia="Arial" w:hAnsi="Arial"/>
                <w:sz w:val="8"/>
                <w:szCs w:val="8"/>
                <w:color w:val="auto"/>
              </w:rPr>
              <w:t>(52)</w:t>
            </w:r>
          </w:p>
        </w:tc>
        <w:tc>
          <w:tcPr>
            <w:tcW w:w="660" w:type="dxa"/>
            <w:vAlign w:val="bottom"/>
          </w:tcPr>
          <w:p>
            <w:pPr>
              <w:jc w:val="right"/>
              <w:ind w:right="39"/>
              <w:spacing w:after="0"/>
              <w:rPr>
                <w:sz w:val="20"/>
                <w:szCs w:val="20"/>
                <w:color w:val="auto"/>
              </w:rPr>
            </w:pPr>
            <w:r>
              <w:rPr>
                <w:rFonts w:ascii="Arial" w:cs="Arial" w:eastAsia="Arial" w:hAnsi="Arial"/>
                <w:sz w:val="8"/>
                <w:szCs w:val="8"/>
                <w:color w:val="auto"/>
              </w:rPr>
              <w:t>(8)</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39"/>
              <w:spacing w:after="0"/>
              <w:rPr>
                <w:sz w:val="20"/>
                <w:szCs w:val="20"/>
                <w:color w:val="auto"/>
              </w:rPr>
            </w:pPr>
            <w:r>
              <w:rPr>
                <w:rFonts w:ascii="Arial" w:cs="Arial" w:eastAsia="Arial" w:hAnsi="Arial"/>
                <w:sz w:val="8"/>
                <w:szCs w:val="8"/>
                <w:color w:val="auto"/>
              </w:rPr>
              <w:t>(2)</w:t>
            </w:r>
          </w:p>
        </w:tc>
        <w:tc>
          <w:tcPr>
            <w:tcW w:w="62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560" w:type="dxa"/>
            <w:vAlign w:val="bottom"/>
          </w:tcPr>
          <w:p>
            <w:pPr>
              <w:ind w:left="4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(76)</w:t>
            </w:r>
          </w:p>
        </w:tc>
        <w:tc>
          <w:tcPr>
            <w:tcW w:w="74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80" w:type="dxa"/>
            <w:vAlign w:val="bottom"/>
          </w:tcPr>
          <w:p>
            <w:pPr>
              <w:ind w:left="440"/>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Production [A]</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8"/>
                <w:szCs w:val="8"/>
                <w:color w:val="auto"/>
              </w:rPr>
              <w:t>(70)</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(185)</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(61)</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(140)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(13)</w:t>
            </w: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(20)</w:t>
            </w:r>
          </w:p>
        </w:tc>
        <w:tc>
          <w:tcPr>
            <w:tcW w:w="560" w:type="dxa"/>
            <w:vAlign w:val="bottom"/>
            <w:tcBorders>
              <w:bottom w:val="single" w:sz="8" w:color="auto"/>
            </w:tcBorders>
          </w:tcPr>
          <w:p>
            <w:pPr>
              <w:ind w:left="440"/>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(122)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(600)</w:t>
            </w:r>
          </w:p>
        </w:tc>
        <w:tc>
          <w:tcPr>
            <w:tcW w:w="7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(20)</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7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At December 31</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368</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1,502</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129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420</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1,017</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8"/>
                <w:szCs w:val="8"/>
                <w:color w:val="auto"/>
              </w:rPr>
              <w:t>23</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661</w:t>
            </w:r>
          </w:p>
        </w:tc>
        <w:tc>
          <w:tcPr>
            <w:tcW w:w="560" w:type="dxa"/>
            <w:vAlign w:val="bottom"/>
            <w:tcBorders>
              <w:bottom w:val="single" w:sz="8" w:color="auto"/>
            </w:tcBorders>
          </w:tcPr>
          <w:p>
            <w:pPr>
              <w:ind w:left="440"/>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1,027</w:t>
            </w: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4,486</w:t>
            </w:r>
          </w:p>
        </w:tc>
        <w:tc>
          <w:tcPr>
            <w:tcW w:w="74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661</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5,147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700" w:type="dxa"/>
            <w:vAlign w:val="bottom"/>
          </w:tcPr>
          <w:p>
            <w:pPr>
              <w:spacing w:after="0"/>
              <w:rPr>
                <w:sz w:val="20"/>
                <w:szCs w:val="20"/>
                <w:color w:val="auto"/>
              </w:rPr>
            </w:pPr>
            <w:r>
              <w:rPr>
                <w:rFonts w:ascii="Arial" w:cs="Arial" w:eastAsia="Arial" w:hAnsi="Arial"/>
                <w:sz w:val="8"/>
                <w:szCs w:val="8"/>
                <w:color w:val="auto"/>
              </w:rPr>
              <w:t>Shell share of joint ventures and associates</w:t>
            </w: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At January 1</w:t>
            </w: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12</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301</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560" w:type="dxa"/>
            <w:vAlign w:val="bottom"/>
          </w:tcPr>
          <w:p>
            <w:pPr>
              <w:ind w:left="4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8"/>
              <w:spacing w:after="0"/>
              <w:rPr>
                <w:sz w:val="20"/>
                <w:szCs w:val="20"/>
                <w:color w:val="auto"/>
              </w:rPr>
            </w:pPr>
            <w:r>
              <w:rPr>
                <w:rFonts w:ascii="Arial" w:cs="Arial" w:eastAsia="Arial" w:hAnsi="Arial"/>
                <w:sz w:val="8"/>
                <w:szCs w:val="8"/>
                <w:color w:val="auto"/>
              </w:rPr>
              <w:t>313</w:t>
            </w:r>
          </w:p>
        </w:tc>
        <w:tc>
          <w:tcPr>
            <w:tcW w:w="74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80" w:type="dxa"/>
            <w:vAlign w:val="bottom"/>
          </w:tcPr>
          <w:p>
            <w:pPr>
              <w:ind w:left="440"/>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313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Revisions and reclassifications</w:t>
            </w:r>
          </w:p>
        </w:tc>
        <w:tc>
          <w:tcPr>
            <w:tcW w:w="700" w:type="dxa"/>
            <w:vAlign w:val="bottom"/>
          </w:tcPr>
          <w:p>
            <w:pPr>
              <w:jc w:val="right"/>
              <w:ind w:right="19"/>
              <w:spacing w:after="0"/>
              <w:rPr>
                <w:sz w:val="20"/>
                <w:szCs w:val="20"/>
                <w:color w:val="auto"/>
              </w:rPr>
            </w:pPr>
            <w:r>
              <w:rPr>
                <w:rFonts w:ascii="Arial" w:cs="Arial" w:eastAsia="Arial" w:hAnsi="Arial"/>
                <w:sz w:val="8"/>
                <w:szCs w:val="8"/>
                <w:color w:val="auto"/>
              </w:rPr>
              <w:t>(2)</w:t>
            </w:r>
          </w:p>
        </w:tc>
        <w:tc>
          <w:tcPr>
            <w:tcW w:w="660" w:type="dxa"/>
            <w:vAlign w:val="bottom"/>
          </w:tcPr>
          <w:p>
            <w:pPr>
              <w:jc w:val="right"/>
              <w:ind w:right="39"/>
              <w:spacing w:after="0"/>
              <w:rPr>
                <w:sz w:val="20"/>
                <w:szCs w:val="20"/>
                <w:color w:val="auto"/>
              </w:rPr>
            </w:pPr>
            <w:r>
              <w:rPr>
                <w:rFonts w:ascii="Arial" w:cs="Arial" w:eastAsia="Arial" w:hAnsi="Arial"/>
                <w:sz w:val="8"/>
                <w:szCs w:val="8"/>
                <w:color w:val="auto"/>
              </w:rPr>
              <w:t>(2)</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560" w:type="dxa"/>
            <w:vAlign w:val="bottom"/>
          </w:tcPr>
          <w:p>
            <w:pPr>
              <w:ind w:left="4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(4)</w:t>
            </w:r>
          </w:p>
        </w:tc>
        <w:tc>
          <w:tcPr>
            <w:tcW w:w="74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80" w:type="dxa"/>
            <w:vAlign w:val="bottom"/>
          </w:tcPr>
          <w:p>
            <w:pPr>
              <w:ind w:left="440"/>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Improved recovery</w:t>
            </w: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560" w:type="dxa"/>
            <w:vAlign w:val="bottom"/>
          </w:tcPr>
          <w:p>
            <w:pPr>
              <w:ind w:left="4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74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80" w:type="dxa"/>
            <w:vAlign w:val="bottom"/>
          </w:tcPr>
          <w:p>
            <w:pPr>
              <w:ind w:left="44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Extensions and discoveries</w:t>
            </w: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18</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560" w:type="dxa"/>
            <w:vAlign w:val="bottom"/>
          </w:tcPr>
          <w:p>
            <w:pPr>
              <w:ind w:left="4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8"/>
              <w:spacing w:after="0"/>
              <w:rPr>
                <w:sz w:val="20"/>
                <w:szCs w:val="20"/>
                <w:color w:val="auto"/>
              </w:rPr>
            </w:pPr>
            <w:r>
              <w:rPr>
                <w:rFonts w:ascii="Arial" w:cs="Arial" w:eastAsia="Arial" w:hAnsi="Arial"/>
                <w:sz w:val="8"/>
                <w:szCs w:val="8"/>
                <w:color w:val="auto"/>
              </w:rPr>
              <w:t>18</w:t>
            </w:r>
          </w:p>
        </w:tc>
        <w:tc>
          <w:tcPr>
            <w:tcW w:w="74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80" w:type="dxa"/>
            <w:vAlign w:val="bottom"/>
          </w:tcPr>
          <w:p>
            <w:pPr>
              <w:ind w:left="440"/>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Purchases of minerals in place</w:t>
            </w: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560" w:type="dxa"/>
            <w:vAlign w:val="bottom"/>
          </w:tcPr>
          <w:p>
            <w:pPr>
              <w:ind w:left="4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74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80" w:type="dxa"/>
            <w:vAlign w:val="bottom"/>
          </w:tcPr>
          <w:p>
            <w:pPr>
              <w:ind w:left="44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Sales of minerals in place</w:t>
            </w: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560" w:type="dxa"/>
            <w:vAlign w:val="bottom"/>
          </w:tcPr>
          <w:p>
            <w:pPr>
              <w:ind w:left="4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74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580" w:type="dxa"/>
            <w:vAlign w:val="bottom"/>
          </w:tcPr>
          <w:p>
            <w:pPr>
              <w:ind w:left="44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3"/>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Production</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8"/>
                <w:szCs w:val="8"/>
                <w:color w:val="auto"/>
              </w:rPr>
              <w:t>(1)</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(37)</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auto"/>
            </w:tcBorders>
          </w:tcPr>
          <w:p>
            <w:pPr>
              <w:ind w:left="440"/>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(38)</w:t>
            </w:r>
          </w:p>
        </w:tc>
        <w:tc>
          <w:tcPr>
            <w:tcW w:w="74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At December 31</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9</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281</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auto"/>
            </w:tcBorders>
          </w:tcPr>
          <w:p>
            <w:pPr>
              <w:ind w:left="440"/>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290</w:t>
            </w:r>
          </w:p>
        </w:tc>
        <w:tc>
          <w:tcPr>
            <w:tcW w:w="74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290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Total</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377</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1,783</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129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420</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1,017</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8"/>
                <w:szCs w:val="8"/>
                <w:color w:val="auto"/>
              </w:rPr>
              <w:t>23</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661</w:t>
            </w:r>
          </w:p>
        </w:tc>
        <w:tc>
          <w:tcPr>
            <w:tcW w:w="560" w:type="dxa"/>
            <w:vAlign w:val="bottom"/>
            <w:tcBorders>
              <w:bottom w:val="single" w:sz="8" w:color="auto"/>
            </w:tcBorders>
          </w:tcPr>
          <w:p>
            <w:pPr>
              <w:ind w:left="440"/>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1,027</w:t>
            </w: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4,776</w:t>
            </w:r>
          </w:p>
        </w:tc>
        <w:tc>
          <w:tcPr>
            <w:tcW w:w="74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661</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5,437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700" w:type="dxa"/>
            <w:vAlign w:val="bottom"/>
          </w:tcPr>
          <w:p>
            <w:pPr>
              <w:spacing w:after="0" w:line="76" w:lineRule="exact"/>
              <w:rPr>
                <w:sz w:val="20"/>
                <w:szCs w:val="20"/>
                <w:color w:val="auto"/>
              </w:rPr>
            </w:pPr>
            <w:r>
              <w:rPr>
                <w:rFonts w:ascii="Arial" w:cs="Arial" w:eastAsia="Arial" w:hAnsi="Arial"/>
                <w:sz w:val="8"/>
                <w:szCs w:val="8"/>
                <w:color w:val="auto"/>
              </w:rPr>
              <w:t>Reserves attributable to non-controlling interest in Shell subsidiaries at</w:t>
            </w:r>
          </w:p>
        </w:tc>
        <w:tc>
          <w:tcPr>
            <w:tcW w:w="700" w:type="dxa"/>
            <w:vAlign w:val="bottom"/>
            <w:vMerge w:val="restart"/>
          </w:tcPr>
          <w:p>
            <w:pPr>
              <w:jc w:val="right"/>
              <w:ind w:right="39"/>
              <w:spacing w:after="0"/>
              <w:rPr>
                <w:sz w:val="20"/>
                <w:szCs w:val="20"/>
                <w:color w:val="auto"/>
              </w:rPr>
            </w:pPr>
            <w:r>
              <w:rPr>
                <w:rFonts w:ascii="Arial" w:cs="Arial" w:eastAsia="Arial" w:hAnsi="Arial"/>
                <w:sz w:val="8"/>
                <w:szCs w:val="8"/>
                <w:color w:val="auto"/>
              </w:rPr>
              <w:t>—</w:t>
            </w:r>
          </w:p>
        </w:tc>
        <w:tc>
          <w:tcPr>
            <w:tcW w:w="660" w:type="dxa"/>
            <w:vAlign w:val="bottom"/>
            <w:vMerge w:val="restart"/>
          </w:tcPr>
          <w:p>
            <w:pPr>
              <w:jc w:val="right"/>
              <w:ind w:right="59"/>
              <w:spacing w:after="0"/>
              <w:rPr>
                <w:sz w:val="20"/>
                <w:szCs w:val="20"/>
                <w:color w:val="auto"/>
              </w:rPr>
            </w:pPr>
            <w:r>
              <w:rPr>
                <w:rFonts w:ascii="Arial" w:cs="Arial" w:eastAsia="Arial" w:hAnsi="Arial"/>
                <w:sz w:val="8"/>
                <w:szCs w:val="8"/>
                <w:color w:val="auto"/>
              </w:rPr>
              <w:t>—</w:t>
            </w:r>
          </w:p>
        </w:tc>
        <w:tc>
          <w:tcPr>
            <w:tcW w:w="660" w:type="dxa"/>
            <w:vAlign w:val="bottom"/>
            <w:vMerge w:val="restart"/>
          </w:tcPr>
          <w:p>
            <w:pPr>
              <w:jc w:val="right"/>
              <w:ind w:right="59"/>
              <w:spacing w:after="0"/>
              <w:rPr>
                <w:sz w:val="20"/>
                <w:szCs w:val="20"/>
                <w:color w:val="auto"/>
              </w:rPr>
            </w:pPr>
            <w:r>
              <w:rPr>
                <w:rFonts w:ascii="Arial" w:cs="Arial" w:eastAsia="Arial" w:hAnsi="Arial"/>
                <w:sz w:val="8"/>
                <w:szCs w:val="8"/>
                <w:color w:val="auto"/>
              </w:rPr>
              <w:t>—</w:t>
            </w:r>
          </w:p>
        </w:tc>
        <w:tc>
          <w:tcPr>
            <w:tcW w:w="60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720" w:type="dxa"/>
            <w:vAlign w:val="bottom"/>
            <w:vMerge w:val="restart"/>
          </w:tcPr>
          <w:p>
            <w:pPr>
              <w:jc w:val="right"/>
              <w:ind w:right="59"/>
              <w:spacing w:after="0"/>
              <w:rPr>
                <w:sz w:val="20"/>
                <w:szCs w:val="20"/>
                <w:color w:val="auto"/>
              </w:rPr>
            </w:pPr>
            <w:r>
              <w:rPr>
                <w:rFonts w:ascii="Arial" w:cs="Arial" w:eastAsia="Arial" w:hAnsi="Arial"/>
                <w:sz w:val="8"/>
                <w:szCs w:val="8"/>
                <w:color w:val="auto"/>
              </w:rPr>
              <w:t>—</w:t>
            </w:r>
          </w:p>
        </w:tc>
        <w:tc>
          <w:tcPr>
            <w:tcW w:w="620" w:type="dxa"/>
            <w:vAlign w:val="bottom"/>
            <w:vMerge w:val="restart"/>
          </w:tcPr>
          <w:p>
            <w:pPr>
              <w:jc w:val="right"/>
              <w:ind w:right="19"/>
              <w:spacing w:after="0"/>
              <w:rPr>
                <w:sz w:val="20"/>
                <w:szCs w:val="20"/>
                <w:color w:val="auto"/>
              </w:rPr>
            </w:pPr>
            <w:r>
              <w:rPr>
                <w:rFonts w:ascii="Arial" w:cs="Arial" w:eastAsia="Arial" w:hAnsi="Arial"/>
                <w:sz w:val="8"/>
                <w:szCs w:val="8"/>
                <w:color w:val="auto"/>
              </w:rPr>
              <w:t>—</w:t>
            </w:r>
          </w:p>
        </w:tc>
        <w:tc>
          <w:tcPr>
            <w:tcW w:w="720" w:type="dxa"/>
            <w:vAlign w:val="bottom"/>
            <w:vMerge w:val="restart"/>
          </w:tcPr>
          <w:p>
            <w:pPr>
              <w:jc w:val="right"/>
              <w:ind w:right="78"/>
              <w:spacing w:after="0"/>
              <w:rPr>
                <w:sz w:val="20"/>
                <w:szCs w:val="20"/>
                <w:color w:val="auto"/>
              </w:rPr>
            </w:pPr>
            <w:r>
              <w:rPr>
                <w:rFonts w:ascii="Arial" w:cs="Arial" w:eastAsia="Arial" w:hAnsi="Arial"/>
                <w:sz w:val="8"/>
                <w:szCs w:val="8"/>
                <w:color w:val="auto"/>
              </w:rPr>
              <w:t>331</w:t>
            </w:r>
          </w:p>
        </w:tc>
        <w:tc>
          <w:tcPr>
            <w:tcW w:w="560" w:type="dxa"/>
            <w:vAlign w:val="bottom"/>
            <w:vMerge w:val="restart"/>
          </w:tcPr>
          <w:p>
            <w:pPr>
              <w:ind w:left="440"/>
              <w:spacing w:after="0"/>
              <w:rPr>
                <w:sz w:val="20"/>
                <w:szCs w:val="20"/>
                <w:color w:val="auto"/>
              </w:rPr>
            </w:pPr>
            <w:r>
              <w:rPr>
                <w:rFonts w:ascii="Arial" w:cs="Arial" w:eastAsia="Arial" w:hAnsi="Arial"/>
                <w:sz w:val="8"/>
                <w:szCs w:val="8"/>
                <w:color w:val="auto"/>
              </w:rPr>
              <w:t>—</w:t>
            </w:r>
          </w:p>
        </w:tc>
        <w:tc>
          <w:tcPr>
            <w:tcW w:w="720" w:type="dxa"/>
            <w:vAlign w:val="bottom"/>
            <w:vMerge w:val="restart"/>
          </w:tcPr>
          <w:p>
            <w:pPr>
              <w:jc w:val="right"/>
              <w:ind w:right="59"/>
              <w:spacing w:after="0"/>
              <w:rPr>
                <w:sz w:val="20"/>
                <w:szCs w:val="20"/>
                <w:color w:val="auto"/>
              </w:rPr>
            </w:pPr>
            <w:r>
              <w:rPr>
                <w:rFonts w:ascii="Arial" w:cs="Arial" w:eastAsia="Arial" w:hAnsi="Arial"/>
                <w:sz w:val="8"/>
                <w:szCs w:val="8"/>
                <w:color w:val="auto"/>
              </w:rPr>
              <w:t>—</w:t>
            </w:r>
          </w:p>
        </w:tc>
        <w:tc>
          <w:tcPr>
            <w:tcW w:w="640" w:type="dxa"/>
            <w:vAlign w:val="bottom"/>
            <w:vMerge w:val="restart"/>
          </w:tcPr>
          <w:p>
            <w:pPr>
              <w:jc w:val="right"/>
              <w:ind w:right="18"/>
              <w:spacing w:after="0"/>
              <w:rPr>
                <w:sz w:val="20"/>
                <w:szCs w:val="20"/>
                <w:color w:val="auto"/>
              </w:rPr>
            </w:pPr>
            <w:r>
              <w:rPr>
                <w:rFonts w:ascii="Arial" w:cs="Arial" w:eastAsia="Arial" w:hAnsi="Arial"/>
                <w:sz w:val="8"/>
                <w:szCs w:val="8"/>
                <w:color w:val="auto"/>
              </w:rPr>
              <w:t>—</w:t>
            </w:r>
          </w:p>
        </w:tc>
        <w:tc>
          <w:tcPr>
            <w:tcW w:w="740" w:type="dxa"/>
            <w:vAlign w:val="bottom"/>
            <w:vMerge w:val="restart"/>
          </w:tcPr>
          <w:p>
            <w:pPr>
              <w:jc w:val="right"/>
              <w:ind w:right="98"/>
              <w:spacing w:after="0"/>
              <w:rPr>
                <w:sz w:val="20"/>
                <w:szCs w:val="20"/>
                <w:color w:val="auto"/>
              </w:rPr>
            </w:pPr>
            <w:r>
              <w:rPr>
                <w:rFonts w:ascii="Arial" w:cs="Arial" w:eastAsia="Arial" w:hAnsi="Arial"/>
                <w:sz w:val="8"/>
                <w:szCs w:val="8"/>
                <w:color w:val="auto"/>
              </w:rPr>
              <w:t>331</w:t>
            </w:r>
          </w:p>
        </w:tc>
        <w:tc>
          <w:tcPr>
            <w:tcW w:w="580" w:type="dxa"/>
            <w:vAlign w:val="bottom"/>
            <w:vMerge w:val="restart"/>
          </w:tcPr>
          <w:p>
            <w:pPr>
              <w:ind w:left="440"/>
              <w:spacing w:after="0"/>
              <w:rPr>
                <w:sz w:val="20"/>
                <w:szCs w:val="20"/>
                <w:color w:val="auto"/>
              </w:rPr>
            </w:pPr>
            <w:r>
              <w:rPr>
                <w:rFonts w:ascii="Arial" w:cs="Arial" w:eastAsia="Arial" w:hAnsi="Arial"/>
                <w:sz w:val="8"/>
                <w:szCs w:val="8"/>
                <w:color w:val="auto"/>
              </w:rPr>
              <w:t>—</w:t>
            </w:r>
          </w:p>
        </w:tc>
        <w:tc>
          <w:tcPr>
            <w:tcW w:w="660" w:type="dxa"/>
            <w:vAlign w:val="bottom"/>
            <w:vMerge w:val="restart"/>
          </w:tcPr>
          <w:p>
            <w:pPr>
              <w:jc w:val="right"/>
              <w:spacing w:after="0"/>
              <w:rPr>
                <w:sz w:val="20"/>
                <w:szCs w:val="20"/>
                <w:color w:val="auto"/>
              </w:rPr>
            </w:pPr>
            <w:r>
              <w:rPr>
                <w:rFonts w:ascii="Arial" w:cs="Arial" w:eastAsia="Arial" w:hAnsi="Arial"/>
                <w:sz w:val="8"/>
                <w:szCs w:val="8"/>
                <w:color w:val="auto"/>
              </w:rPr>
              <w:t>331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7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December 31</w:t>
            </w:r>
          </w:p>
        </w:tc>
        <w:tc>
          <w:tcPr>
            <w:tcW w:w="70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700" w:type="dxa"/>
            <w:vAlign w:val="bottom"/>
          </w:tcPr>
          <w:p>
            <w:pPr>
              <w:spacing w:after="0"/>
              <w:rPr>
                <w:sz w:val="20"/>
                <w:szCs w:val="20"/>
                <w:color w:val="auto"/>
              </w:rPr>
            </w:pPr>
            <w:r>
              <w:rPr>
                <w:rFonts w:ascii="Arial" w:cs="Arial" w:eastAsia="Arial" w:hAnsi="Arial"/>
                <w:sz w:val="7"/>
                <w:szCs w:val="7"/>
                <w:color w:val="auto"/>
              </w:rPr>
              <w:t>[A] Includes 1 million barrels consumed in operations for synthetic crude oil.</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400" w:type="dxa"/>
            <w:vAlign w:val="bottom"/>
            <w:gridSpan w:val="2"/>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jc w:val="right"/>
              <w:ind w:right="359"/>
              <w:spacing w:after="0"/>
              <w:rPr>
                <w:sz w:val="20"/>
                <w:szCs w:val="20"/>
                <w:color w:val="auto"/>
              </w:rPr>
            </w:pPr>
            <w:r>
              <w:rPr>
                <w:rFonts w:ascii="Arial" w:cs="Arial" w:eastAsia="Arial" w:hAnsi="Arial"/>
                <w:sz w:val="7"/>
                <w:szCs w:val="7"/>
                <w:color w:val="auto"/>
              </w:rPr>
              <w:t>215</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7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157"/>
        </w:trPr>
        <w:tc>
          <w:tcPr>
            <w:tcW w:w="270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Proved developed reserves 2018</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Million barrels</w:t>
            </w:r>
          </w:p>
        </w:tc>
      </w:tr>
      <w:tr>
        <w:trPr>
          <w:trHeight w:val="102"/>
        </w:trPr>
        <w:tc>
          <w:tcPr>
            <w:tcW w:w="2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7"/>
                <w:szCs w:val="7"/>
                <w:color w:val="auto"/>
              </w:rPr>
              <w:t>North America</w:t>
            </w: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100"/>
        </w:trPr>
        <w:tc>
          <w:tcPr>
            <w:tcW w:w="2700" w:type="dxa"/>
            <w:vAlign w:val="bottom"/>
          </w:tcPr>
          <w:p>
            <w:pPr>
              <w:spacing w:after="0"/>
              <w:rPr>
                <w:sz w:val="8"/>
                <w:szCs w:val="8"/>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7"/>
                <w:szCs w:val="7"/>
                <w:color w:val="auto"/>
              </w:rPr>
              <w:t>Europe</w:t>
            </w:r>
          </w:p>
        </w:tc>
        <w:tc>
          <w:tcPr>
            <w:tcW w:w="660" w:type="dxa"/>
            <w:vAlign w:val="bottom"/>
            <w:tcBorders>
              <w:bottom w:val="single" w:sz="8" w:color="auto"/>
            </w:tcBorders>
          </w:tcPr>
          <w:p>
            <w:pPr>
              <w:jc w:val="right"/>
              <w:ind w:right="280"/>
              <w:spacing w:after="0"/>
              <w:rPr>
                <w:sz w:val="20"/>
                <w:szCs w:val="20"/>
                <w:color w:val="auto"/>
              </w:rPr>
            </w:pPr>
            <w:r>
              <w:rPr>
                <w:rFonts w:ascii="Arial" w:cs="Arial" w:eastAsia="Arial" w:hAnsi="Arial"/>
                <w:sz w:val="7"/>
                <w:szCs w:val="7"/>
                <w:color w:val="auto"/>
              </w:rPr>
              <w:t>Asia</w:t>
            </w: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7"/>
                <w:szCs w:val="7"/>
                <w:color w:val="auto"/>
              </w:rPr>
              <w:t>Oceania</w:t>
            </w:r>
          </w:p>
        </w:tc>
        <w:tc>
          <w:tcPr>
            <w:tcW w:w="600" w:type="dxa"/>
            <w:vAlign w:val="bottom"/>
            <w:tcBorders>
              <w:bottom w:val="single" w:sz="8" w:color="auto"/>
            </w:tcBorders>
          </w:tcPr>
          <w:p>
            <w:pPr>
              <w:jc w:val="right"/>
              <w:ind w:right="200"/>
              <w:spacing w:after="0"/>
              <w:rPr>
                <w:sz w:val="20"/>
                <w:szCs w:val="20"/>
                <w:color w:val="auto"/>
              </w:rPr>
            </w:pPr>
            <w:r>
              <w:rPr>
                <w:rFonts w:ascii="Arial" w:cs="Arial" w:eastAsia="Arial" w:hAnsi="Arial"/>
                <w:sz w:val="7"/>
                <w:szCs w:val="7"/>
                <w:color w:val="auto"/>
              </w:rPr>
              <w:t>Africa</w:t>
            </w: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7"/>
                <w:szCs w:val="7"/>
                <w:color w:val="auto"/>
              </w:rPr>
              <w:t>USA</w:t>
            </w:r>
          </w:p>
        </w:tc>
        <w:tc>
          <w:tcPr>
            <w:tcW w:w="6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7"/>
                <w:szCs w:val="7"/>
                <w:color w:val="auto"/>
              </w:rPr>
              <w:t>Canada</w:t>
            </w:r>
          </w:p>
        </w:tc>
        <w:tc>
          <w:tcPr>
            <w:tcW w:w="5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7"/>
                <w:szCs w:val="7"/>
                <w:color w:val="auto"/>
              </w:rPr>
              <w:t>South America</w:t>
            </w:r>
          </w:p>
        </w:tc>
        <w:tc>
          <w:tcPr>
            <w:tcW w:w="6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7"/>
                <w:szCs w:val="7"/>
                <w:color w:val="auto"/>
              </w:rPr>
              <w:t>Total</w:t>
            </w:r>
          </w:p>
        </w:tc>
      </w:tr>
      <w:tr>
        <w:trPr>
          <w:trHeight w:val="97"/>
        </w:trPr>
        <w:tc>
          <w:tcPr>
            <w:tcW w:w="27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7"/>
                <w:szCs w:val="7"/>
                <w:color w:val="auto"/>
              </w:rPr>
              <w:t>Oil and NGL</w:t>
            </w: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7"/>
                <w:szCs w:val="7"/>
                <w:color w:val="auto"/>
              </w:rPr>
              <w:t>Oil and NGL</w:t>
            </w: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7"/>
                <w:szCs w:val="7"/>
                <w:color w:val="auto"/>
              </w:rPr>
              <w:t>Oil and NGL</w:t>
            </w: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7"/>
                <w:szCs w:val="7"/>
                <w:color w:val="auto"/>
              </w:rPr>
              <w:t>Oil and NGL</w:t>
            </w: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Synthetic crude oil</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7"/>
                <w:szCs w:val="7"/>
                <w:color w:val="auto"/>
              </w:rPr>
              <w:t>Bitumen</w:t>
            </w: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7"/>
                <w:szCs w:val="7"/>
                <w:color w:val="auto"/>
              </w:rPr>
              <w:t>Oil and NGL</w:t>
            </w: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7"/>
                <w:szCs w:val="7"/>
                <w:color w:val="auto"/>
              </w:rPr>
              <w:t>Oil and NGL</w:t>
            </w: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7"/>
                <w:szCs w:val="7"/>
                <w:color w:val="auto"/>
              </w:rPr>
              <w:t>Synthetic crude oil</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7"/>
                <w:szCs w:val="7"/>
                <w:color w:val="auto"/>
              </w:rPr>
              <w:t>Bitumen</w:t>
            </w: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7"/>
                <w:szCs w:val="7"/>
                <w:color w:val="auto"/>
              </w:rPr>
              <w:t>All products</w:t>
            </w:r>
          </w:p>
        </w:tc>
      </w:tr>
      <w:tr>
        <w:trPr>
          <w:trHeight w:val="102"/>
        </w:trPr>
        <w:tc>
          <w:tcPr>
            <w:tcW w:w="2700" w:type="dxa"/>
            <w:vAlign w:val="bottom"/>
          </w:tcPr>
          <w:p>
            <w:pPr>
              <w:spacing w:after="0"/>
              <w:rPr>
                <w:sz w:val="20"/>
                <w:szCs w:val="20"/>
                <w:color w:val="auto"/>
              </w:rPr>
            </w:pPr>
            <w:r>
              <w:rPr>
                <w:rFonts w:ascii="Arial" w:cs="Arial" w:eastAsia="Arial" w:hAnsi="Arial"/>
                <w:sz w:val="8"/>
                <w:szCs w:val="8"/>
                <w:color w:val="auto"/>
              </w:rPr>
              <w:t>Shell subsidiaries</w:t>
            </w: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At January 1</w:t>
            </w:r>
          </w:p>
        </w:tc>
        <w:tc>
          <w:tcPr>
            <w:tcW w:w="700" w:type="dxa"/>
            <w:vAlign w:val="bottom"/>
          </w:tcPr>
          <w:p>
            <w:pPr>
              <w:jc w:val="right"/>
              <w:ind w:right="40"/>
              <w:spacing w:after="0"/>
              <w:rPr>
                <w:sz w:val="20"/>
                <w:szCs w:val="20"/>
                <w:color w:val="auto"/>
              </w:rPr>
            </w:pPr>
            <w:r>
              <w:rPr>
                <w:rFonts w:ascii="Arial" w:cs="Arial" w:eastAsia="Arial" w:hAnsi="Arial"/>
                <w:sz w:val="8"/>
                <w:szCs w:val="8"/>
                <w:color w:val="auto"/>
              </w:rPr>
              <w:t>250</w:t>
            </w:r>
          </w:p>
        </w:tc>
        <w:tc>
          <w:tcPr>
            <w:tcW w:w="660" w:type="dxa"/>
            <w:vAlign w:val="bottom"/>
          </w:tcPr>
          <w:p>
            <w:pPr>
              <w:jc w:val="right"/>
              <w:ind w:right="60"/>
              <w:spacing w:after="0"/>
              <w:rPr>
                <w:sz w:val="20"/>
                <w:szCs w:val="20"/>
                <w:color w:val="auto"/>
              </w:rPr>
            </w:pPr>
            <w:r>
              <w:rPr>
                <w:rFonts w:ascii="Arial" w:cs="Arial" w:eastAsia="Arial" w:hAnsi="Arial"/>
                <w:sz w:val="8"/>
                <w:szCs w:val="8"/>
                <w:color w:val="auto"/>
              </w:rPr>
              <w:t>1,364</w:t>
            </w:r>
          </w:p>
        </w:tc>
        <w:tc>
          <w:tcPr>
            <w:tcW w:w="660" w:type="dxa"/>
            <w:vAlign w:val="bottom"/>
          </w:tcPr>
          <w:p>
            <w:pPr>
              <w:jc w:val="right"/>
              <w:ind w:right="60"/>
              <w:spacing w:after="0"/>
              <w:rPr>
                <w:sz w:val="20"/>
                <w:szCs w:val="20"/>
                <w:color w:val="auto"/>
              </w:rPr>
            </w:pPr>
            <w:r>
              <w:rPr>
                <w:rFonts w:ascii="Arial" w:cs="Arial" w:eastAsia="Arial" w:hAnsi="Arial"/>
                <w:sz w:val="8"/>
                <w:szCs w:val="8"/>
                <w:color w:val="auto"/>
              </w:rPr>
              <w:t>46</w:t>
            </w:r>
          </w:p>
        </w:tc>
        <w:tc>
          <w:tcPr>
            <w:tcW w:w="600" w:type="dxa"/>
            <w:vAlign w:val="bottom"/>
          </w:tcPr>
          <w:p>
            <w:pPr>
              <w:jc w:val="right"/>
              <w:spacing w:after="0"/>
              <w:rPr>
                <w:sz w:val="20"/>
                <w:szCs w:val="20"/>
                <w:color w:val="auto"/>
              </w:rPr>
            </w:pPr>
            <w:r>
              <w:rPr>
                <w:rFonts w:ascii="Arial" w:cs="Arial" w:eastAsia="Arial" w:hAnsi="Arial"/>
                <w:sz w:val="8"/>
                <w:szCs w:val="8"/>
                <w:color w:val="auto"/>
              </w:rPr>
              <w:t>373</w:t>
            </w:r>
          </w:p>
        </w:tc>
        <w:tc>
          <w:tcPr>
            <w:tcW w:w="700" w:type="dxa"/>
            <w:vAlign w:val="bottom"/>
          </w:tcPr>
          <w:p>
            <w:pPr>
              <w:jc w:val="right"/>
              <w:ind w:right="40"/>
              <w:spacing w:after="0"/>
              <w:rPr>
                <w:sz w:val="20"/>
                <w:szCs w:val="20"/>
                <w:color w:val="auto"/>
              </w:rPr>
            </w:pPr>
            <w:r>
              <w:rPr>
                <w:rFonts w:ascii="Arial" w:cs="Arial" w:eastAsia="Arial" w:hAnsi="Arial"/>
                <w:sz w:val="8"/>
                <w:szCs w:val="8"/>
                <w:color w:val="auto"/>
              </w:rPr>
              <w:t>569</w:t>
            </w:r>
          </w:p>
        </w:tc>
        <w:tc>
          <w:tcPr>
            <w:tcW w:w="620" w:type="dxa"/>
            <w:vAlign w:val="bottom"/>
          </w:tcPr>
          <w:p>
            <w:pPr>
              <w:jc w:val="right"/>
              <w:spacing w:after="0"/>
              <w:rPr>
                <w:sz w:val="20"/>
                <w:szCs w:val="20"/>
                <w:color w:val="auto"/>
              </w:rPr>
            </w:pPr>
            <w:r>
              <w:rPr>
                <w:rFonts w:ascii="Arial" w:cs="Arial" w:eastAsia="Arial" w:hAnsi="Arial"/>
                <w:sz w:val="8"/>
                <w:szCs w:val="8"/>
                <w:color w:val="auto"/>
              </w:rPr>
              <w:t>21</w:t>
            </w:r>
          </w:p>
        </w:tc>
        <w:tc>
          <w:tcPr>
            <w:tcW w:w="740" w:type="dxa"/>
            <w:vAlign w:val="bottom"/>
          </w:tcPr>
          <w:p>
            <w:pPr>
              <w:jc w:val="right"/>
              <w:ind w:right="80"/>
              <w:spacing w:after="0"/>
              <w:rPr>
                <w:sz w:val="20"/>
                <w:szCs w:val="20"/>
                <w:color w:val="auto"/>
              </w:rPr>
            </w:pPr>
            <w:r>
              <w:rPr>
                <w:rFonts w:ascii="Arial" w:cs="Arial" w:eastAsia="Arial" w:hAnsi="Arial"/>
                <w:sz w:val="8"/>
                <w:szCs w:val="8"/>
                <w:color w:val="auto"/>
              </w:rPr>
              <w:t>649</w:t>
            </w:r>
          </w:p>
        </w:tc>
        <w:tc>
          <w:tcPr>
            <w:tcW w:w="560" w:type="dxa"/>
            <w:vAlign w:val="bottom"/>
          </w:tcPr>
          <w:p>
            <w:pPr>
              <w:ind w:left="4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60"/>
              <w:spacing w:after="0"/>
              <w:rPr>
                <w:sz w:val="20"/>
                <w:szCs w:val="20"/>
                <w:color w:val="auto"/>
              </w:rPr>
            </w:pPr>
            <w:r>
              <w:rPr>
                <w:rFonts w:ascii="Arial" w:cs="Arial" w:eastAsia="Arial" w:hAnsi="Arial"/>
                <w:sz w:val="8"/>
                <w:szCs w:val="8"/>
                <w:color w:val="auto"/>
              </w:rPr>
              <w:t>651</w:t>
            </w:r>
          </w:p>
        </w:tc>
        <w:tc>
          <w:tcPr>
            <w:tcW w:w="620" w:type="dxa"/>
            <w:vAlign w:val="bottom"/>
          </w:tcPr>
          <w:p>
            <w:pPr>
              <w:jc w:val="right"/>
              <w:spacing w:after="0"/>
              <w:rPr>
                <w:sz w:val="20"/>
                <w:szCs w:val="20"/>
                <w:color w:val="auto"/>
              </w:rPr>
            </w:pPr>
            <w:r>
              <w:rPr>
                <w:rFonts w:ascii="Arial" w:cs="Arial" w:eastAsia="Arial" w:hAnsi="Arial"/>
                <w:sz w:val="8"/>
                <w:szCs w:val="8"/>
                <w:color w:val="auto"/>
              </w:rPr>
              <w:t>3,274</w:t>
            </w:r>
          </w:p>
        </w:tc>
        <w:tc>
          <w:tcPr>
            <w:tcW w:w="740" w:type="dxa"/>
            <w:vAlign w:val="bottom"/>
          </w:tcPr>
          <w:p>
            <w:pPr>
              <w:jc w:val="right"/>
              <w:ind w:right="79"/>
              <w:spacing w:after="0"/>
              <w:rPr>
                <w:sz w:val="20"/>
                <w:szCs w:val="20"/>
                <w:color w:val="auto"/>
              </w:rPr>
            </w:pPr>
            <w:r>
              <w:rPr>
                <w:rFonts w:ascii="Arial" w:cs="Arial" w:eastAsia="Arial" w:hAnsi="Arial"/>
                <w:sz w:val="8"/>
                <w:szCs w:val="8"/>
                <w:color w:val="auto"/>
              </w:rPr>
              <w:t>649</w:t>
            </w:r>
          </w:p>
        </w:tc>
        <w:tc>
          <w:tcPr>
            <w:tcW w:w="600" w:type="dxa"/>
            <w:vAlign w:val="bottom"/>
          </w:tcPr>
          <w:p>
            <w:pPr>
              <w:ind w:left="460"/>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3,923</w:t>
            </w:r>
          </w:p>
        </w:tc>
      </w:tr>
      <w:tr>
        <w:trPr>
          <w:trHeight w:val="123"/>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At December 31</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8"/>
                <w:szCs w:val="8"/>
                <w:color w:val="auto"/>
              </w:rPr>
              <w:t>243</w:t>
            </w: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rPr>
              <w:t>1,318</w:t>
            </w: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rPr>
              <w:t>108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335</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8"/>
                <w:szCs w:val="8"/>
                <w:color w:val="auto"/>
              </w:rPr>
              <w:t>629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21</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8"/>
                <w:szCs w:val="8"/>
                <w:color w:val="auto"/>
              </w:rPr>
              <w:t>661</w:t>
            </w:r>
          </w:p>
        </w:tc>
        <w:tc>
          <w:tcPr>
            <w:tcW w:w="560" w:type="dxa"/>
            <w:vAlign w:val="bottom"/>
            <w:tcBorders>
              <w:bottom w:val="single" w:sz="8" w:color="auto"/>
            </w:tcBorders>
          </w:tcPr>
          <w:p>
            <w:pPr>
              <w:ind w:left="440"/>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rPr>
              <w:t>634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3,288</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661</w:t>
            </w:r>
          </w:p>
        </w:tc>
        <w:tc>
          <w:tcPr>
            <w:tcW w:w="600" w:type="dxa"/>
            <w:vAlign w:val="bottom"/>
            <w:tcBorders>
              <w:bottom w:val="single" w:sz="8" w:color="auto"/>
            </w:tcBorders>
          </w:tcPr>
          <w:p>
            <w:pPr>
              <w:ind w:left="460"/>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3,949</w:t>
            </w:r>
          </w:p>
        </w:tc>
      </w:tr>
      <w:tr>
        <w:trPr>
          <w:trHeight w:val="100"/>
        </w:trPr>
        <w:tc>
          <w:tcPr>
            <w:tcW w:w="2700" w:type="dxa"/>
            <w:vAlign w:val="bottom"/>
          </w:tcPr>
          <w:p>
            <w:pPr>
              <w:spacing w:after="0"/>
              <w:rPr>
                <w:sz w:val="20"/>
                <w:szCs w:val="20"/>
                <w:color w:val="auto"/>
              </w:rPr>
            </w:pPr>
            <w:r>
              <w:rPr>
                <w:rFonts w:ascii="Arial" w:cs="Arial" w:eastAsia="Arial" w:hAnsi="Arial"/>
                <w:sz w:val="8"/>
                <w:szCs w:val="8"/>
                <w:color w:val="auto"/>
              </w:rPr>
              <w:t>Shell share of joint ventures and associates</w:t>
            </w: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At January 1</w:t>
            </w:r>
          </w:p>
        </w:tc>
        <w:tc>
          <w:tcPr>
            <w:tcW w:w="700" w:type="dxa"/>
            <w:vAlign w:val="bottom"/>
          </w:tcPr>
          <w:p>
            <w:pPr>
              <w:jc w:val="right"/>
              <w:ind w:right="40"/>
              <w:spacing w:after="0"/>
              <w:rPr>
                <w:sz w:val="20"/>
                <w:szCs w:val="20"/>
                <w:color w:val="auto"/>
              </w:rPr>
            </w:pPr>
            <w:r>
              <w:rPr>
                <w:rFonts w:ascii="Arial" w:cs="Arial" w:eastAsia="Arial" w:hAnsi="Arial"/>
                <w:sz w:val="8"/>
                <w:szCs w:val="8"/>
                <w:color w:val="auto"/>
              </w:rPr>
              <w:t>11</w:t>
            </w:r>
          </w:p>
        </w:tc>
        <w:tc>
          <w:tcPr>
            <w:tcW w:w="660" w:type="dxa"/>
            <w:vAlign w:val="bottom"/>
          </w:tcPr>
          <w:p>
            <w:pPr>
              <w:jc w:val="right"/>
              <w:ind w:right="60"/>
              <w:spacing w:after="0"/>
              <w:rPr>
                <w:sz w:val="20"/>
                <w:szCs w:val="20"/>
                <w:color w:val="auto"/>
              </w:rPr>
            </w:pPr>
            <w:r>
              <w:rPr>
                <w:rFonts w:ascii="Arial" w:cs="Arial" w:eastAsia="Arial" w:hAnsi="Arial"/>
                <w:sz w:val="8"/>
                <w:szCs w:val="8"/>
                <w:color w:val="auto"/>
              </w:rPr>
              <w:t>253</w:t>
            </w:r>
          </w:p>
        </w:tc>
        <w:tc>
          <w:tcPr>
            <w:tcW w:w="660" w:type="dxa"/>
            <w:vAlign w:val="bottom"/>
          </w:tcPr>
          <w:p>
            <w:pPr>
              <w:jc w:val="right"/>
              <w:ind w:right="6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4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740" w:type="dxa"/>
            <w:vAlign w:val="bottom"/>
          </w:tcPr>
          <w:p>
            <w:pPr>
              <w:jc w:val="right"/>
              <w:ind w:right="80"/>
              <w:spacing w:after="0"/>
              <w:rPr>
                <w:sz w:val="20"/>
                <w:szCs w:val="20"/>
                <w:color w:val="auto"/>
              </w:rPr>
            </w:pPr>
            <w:r>
              <w:rPr>
                <w:rFonts w:ascii="Arial" w:cs="Arial" w:eastAsia="Arial" w:hAnsi="Arial"/>
                <w:sz w:val="8"/>
                <w:szCs w:val="8"/>
                <w:color w:val="auto"/>
              </w:rPr>
              <w:t>—</w:t>
            </w:r>
          </w:p>
        </w:tc>
        <w:tc>
          <w:tcPr>
            <w:tcW w:w="560" w:type="dxa"/>
            <w:vAlign w:val="bottom"/>
          </w:tcPr>
          <w:p>
            <w:pPr>
              <w:ind w:left="4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6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264</w:t>
            </w:r>
          </w:p>
        </w:tc>
        <w:tc>
          <w:tcPr>
            <w:tcW w:w="740" w:type="dxa"/>
            <w:vAlign w:val="bottom"/>
          </w:tcPr>
          <w:p>
            <w:pPr>
              <w:jc w:val="right"/>
              <w:ind w:right="79"/>
              <w:spacing w:after="0"/>
              <w:rPr>
                <w:sz w:val="20"/>
                <w:szCs w:val="20"/>
                <w:color w:val="auto"/>
              </w:rPr>
            </w:pPr>
            <w:r>
              <w:rPr>
                <w:rFonts w:ascii="Arial" w:cs="Arial" w:eastAsia="Arial" w:hAnsi="Arial"/>
                <w:sz w:val="8"/>
                <w:szCs w:val="8"/>
                <w:color w:val="auto"/>
              </w:rPr>
              <w:t>—</w:t>
            </w:r>
          </w:p>
        </w:tc>
        <w:tc>
          <w:tcPr>
            <w:tcW w:w="600" w:type="dxa"/>
            <w:vAlign w:val="bottom"/>
          </w:tcPr>
          <w:p>
            <w:pPr>
              <w:ind w:left="460"/>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264</w:t>
            </w:r>
          </w:p>
        </w:tc>
      </w:tr>
      <w:tr>
        <w:trPr>
          <w:trHeight w:val="123"/>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At December 31</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8"/>
                <w:szCs w:val="8"/>
                <w:color w:val="auto"/>
              </w:rPr>
              <w:t>8</w:t>
            </w: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rPr>
              <w:t>251</w:t>
            </w: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auto"/>
            </w:tcBorders>
          </w:tcPr>
          <w:p>
            <w:pPr>
              <w:ind w:left="440"/>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259</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tcPr>
          <w:p>
            <w:pPr>
              <w:ind w:left="460"/>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259</w:t>
            </w:r>
          </w:p>
        </w:tc>
      </w:tr>
      <w:tr>
        <w:trPr>
          <w:trHeight w:val="83"/>
        </w:trPr>
        <w:tc>
          <w:tcPr>
            <w:tcW w:w="2700" w:type="dxa"/>
            <w:vAlign w:val="bottom"/>
            <w:tcBorders>
              <w:bottom w:val="single" w:sz="8" w:color="CDCDCD"/>
            </w:tcBorders>
          </w:tcPr>
          <w:p>
            <w:pPr>
              <w:spacing w:after="0"/>
              <w:rPr>
                <w:sz w:val="7"/>
                <w:szCs w:val="7"/>
                <w:color w:val="auto"/>
              </w:rPr>
            </w:pPr>
          </w:p>
        </w:tc>
        <w:tc>
          <w:tcPr>
            <w:tcW w:w="700" w:type="dxa"/>
            <w:vAlign w:val="bottom"/>
            <w:tcBorders>
              <w:bottom w:val="single" w:sz="8" w:color="CDCDCD"/>
            </w:tcBorders>
          </w:tcPr>
          <w:p>
            <w:pPr>
              <w:spacing w:after="0"/>
              <w:rPr>
                <w:sz w:val="7"/>
                <w:szCs w:val="7"/>
                <w:color w:val="auto"/>
              </w:rPr>
            </w:pPr>
          </w:p>
        </w:tc>
        <w:tc>
          <w:tcPr>
            <w:tcW w:w="660" w:type="dxa"/>
            <w:vAlign w:val="bottom"/>
            <w:tcBorders>
              <w:bottom w:val="single" w:sz="8" w:color="CDCDCD"/>
            </w:tcBorders>
          </w:tcPr>
          <w:p>
            <w:pPr>
              <w:spacing w:after="0"/>
              <w:rPr>
                <w:sz w:val="7"/>
                <w:szCs w:val="7"/>
                <w:color w:val="auto"/>
              </w:rPr>
            </w:pPr>
          </w:p>
        </w:tc>
        <w:tc>
          <w:tcPr>
            <w:tcW w:w="660" w:type="dxa"/>
            <w:vAlign w:val="bottom"/>
            <w:tcBorders>
              <w:bottom w:val="single" w:sz="8" w:color="CDCDCD"/>
            </w:tcBorders>
          </w:tcPr>
          <w:p>
            <w:pPr>
              <w:spacing w:after="0"/>
              <w:rPr>
                <w:sz w:val="7"/>
                <w:szCs w:val="7"/>
                <w:color w:val="auto"/>
              </w:rPr>
            </w:pPr>
          </w:p>
        </w:tc>
        <w:tc>
          <w:tcPr>
            <w:tcW w:w="600" w:type="dxa"/>
            <w:vAlign w:val="bottom"/>
            <w:tcBorders>
              <w:bottom w:val="single" w:sz="8" w:color="CDCDCD"/>
            </w:tcBorders>
          </w:tcPr>
          <w:p>
            <w:pPr>
              <w:spacing w:after="0"/>
              <w:rPr>
                <w:sz w:val="7"/>
                <w:szCs w:val="7"/>
                <w:color w:val="auto"/>
              </w:rPr>
            </w:pPr>
          </w:p>
        </w:tc>
        <w:tc>
          <w:tcPr>
            <w:tcW w:w="700" w:type="dxa"/>
            <w:vAlign w:val="bottom"/>
            <w:tcBorders>
              <w:bottom w:val="single" w:sz="8" w:color="CDCDCD"/>
            </w:tcBorders>
          </w:tcPr>
          <w:p>
            <w:pPr>
              <w:spacing w:after="0"/>
              <w:rPr>
                <w:sz w:val="7"/>
                <w:szCs w:val="7"/>
                <w:color w:val="auto"/>
              </w:rPr>
            </w:pPr>
          </w:p>
        </w:tc>
        <w:tc>
          <w:tcPr>
            <w:tcW w:w="620" w:type="dxa"/>
            <w:vAlign w:val="bottom"/>
            <w:tcBorders>
              <w:bottom w:val="single" w:sz="8" w:color="CDCDCD"/>
            </w:tcBorders>
          </w:tcPr>
          <w:p>
            <w:pPr>
              <w:spacing w:after="0"/>
              <w:rPr>
                <w:sz w:val="7"/>
                <w:szCs w:val="7"/>
                <w:color w:val="auto"/>
              </w:rPr>
            </w:pPr>
          </w:p>
        </w:tc>
        <w:tc>
          <w:tcPr>
            <w:tcW w:w="740" w:type="dxa"/>
            <w:vAlign w:val="bottom"/>
            <w:tcBorders>
              <w:bottom w:val="single" w:sz="8" w:color="CDCDCD"/>
            </w:tcBorders>
          </w:tcPr>
          <w:p>
            <w:pPr>
              <w:spacing w:after="0"/>
              <w:rPr>
                <w:sz w:val="7"/>
                <w:szCs w:val="7"/>
                <w:color w:val="auto"/>
              </w:rPr>
            </w:pPr>
          </w:p>
        </w:tc>
        <w:tc>
          <w:tcPr>
            <w:tcW w:w="560" w:type="dxa"/>
            <w:vAlign w:val="bottom"/>
            <w:tcBorders>
              <w:bottom w:val="single" w:sz="8" w:color="CDCDCD"/>
            </w:tcBorders>
          </w:tcPr>
          <w:p>
            <w:pPr>
              <w:spacing w:after="0"/>
              <w:rPr>
                <w:sz w:val="7"/>
                <w:szCs w:val="7"/>
                <w:color w:val="auto"/>
              </w:rPr>
            </w:pPr>
          </w:p>
        </w:tc>
        <w:tc>
          <w:tcPr>
            <w:tcW w:w="720" w:type="dxa"/>
            <w:vAlign w:val="bottom"/>
            <w:tcBorders>
              <w:bottom w:val="single" w:sz="8" w:color="CDCDCD"/>
            </w:tcBorders>
          </w:tcPr>
          <w:p>
            <w:pPr>
              <w:spacing w:after="0"/>
              <w:rPr>
                <w:sz w:val="7"/>
                <w:szCs w:val="7"/>
                <w:color w:val="auto"/>
              </w:rPr>
            </w:pPr>
          </w:p>
        </w:tc>
        <w:tc>
          <w:tcPr>
            <w:tcW w:w="620" w:type="dxa"/>
            <w:vAlign w:val="bottom"/>
            <w:tcBorders>
              <w:bottom w:val="single" w:sz="8" w:color="CDCDCD"/>
            </w:tcBorders>
          </w:tcPr>
          <w:p>
            <w:pPr>
              <w:spacing w:after="0"/>
              <w:rPr>
                <w:sz w:val="7"/>
                <w:szCs w:val="7"/>
                <w:color w:val="auto"/>
              </w:rPr>
            </w:pPr>
          </w:p>
        </w:tc>
        <w:tc>
          <w:tcPr>
            <w:tcW w:w="740" w:type="dxa"/>
            <w:vAlign w:val="bottom"/>
            <w:tcBorders>
              <w:bottom w:val="single" w:sz="8" w:color="CDCDCD"/>
            </w:tcBorders>
          </w:tcPr>
          <w:p>
            <w:pPr>
              <w:spacing w:after="0"/>
              <w:rPr>
                <w:sz w:val="7"/>
                <w:szCs w:val="7"/>
                <w:color w:val="auto"/>
              </w:rPr>
            </w:pPr>
          </w:p>
        </w:tc>
        <w:tc>
          <w:tcPr>
            <w:tcW w:w="600" w:type="dxa"/>
            <w:vAlign w:val="bottom"/>
            <w:tcBorders>
              <w:bottom w:val="single" w:sz="8" w:color="CDCDCD"/>
            </w:tcBorders>
          </w:tcPr>
          <w:p>
            <w:pPr>
              <w:spacing w:after="0"/>
              <w:rPr>
                <w:sz w:val="7"/>
                <w:szCs w:val="7"/>
                <w:color w:val="auto"/>
              </w:rPr>
            </w:pPr>
          </w:p>
        </w:tc>
        <w:tc>
          <w:tcPr>
            <w:tcW w:w="660" w:type="dxa"/>
            <w:vAlign w:val="bottom"/>
            <w:tcBorders>
              <w:bottom w:val="single" w:sz="8" w:color="CDCDCD"/>
            </w:tcBorders>
          </w:tcPr>
          <w:p>
            <w:pPr>
              <w:spacing w:after="0"/>
              <w:rPr>
                <w:sz w:val="7"/>
                <w:szCs w:val="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700" w:type="dxa"/>
            <w:vAlign w:val="bottom"/>
          </w:tcPr>
          <w:p>
            <w:pPr>
              <w:spacing w:after="0"/>
              <w:rPr>
                <w:sz w:val="20"/>
                <w:szCs w:val="20"/>
                <w:color w:val="auto"/>
              </w:rPr>
            </w:pPr>
            <w:r>
              <w:rPr>
                <w:rFonts w:ascii="Arial" w:cs="Arial" w:eastAsia="Arial" w:hAnsi="Arial"/>
                <w:sz w:val="10"/>
                <w:szCs w:val="10"/>
                <w:color w:val="auto"/>
              </w:rPr>
              <w:t>Proved undeveloped reserves 2018</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w w:val="97"/>
              </w:rPr>
              <w:t>Million barrels</w:t>
            </w:r>
          </w:p>
        </w:tc>
      </w:tr>
      <w:tr>
        <w:trPr>
          <w:trHeight w:val="102"/>
        </w:trPr>
        <w:tc>
          <w:tcPr>
            <w:tcW w:w="2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North America</w:t>
            </w: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0"/>
        </w:trPr>
        <w:tc>
          <w:tcPr>
            <w:tcW w:w="2700" w:type="dxa"/>
            <w:vAlign w:val="bottom"/>
          </w:tcPr>
          <w:p>
            <w:pPr>
              <w:spacing w:after="0"/>
              <w:rPr>
                <w:sz w:val="8"/>
                <w:szCs w:val="8"/>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7"/>
                <w:szCs w:val="7"/>
                <w:color w:val="auto"/>
              </w:rPr>
              <w:t>Europe</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7"/>
                <w:szCs w:val="7"/>
                <w:color w:val="auto"/>
              </w:rPr>
              <w:t>Asia</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7"/>
                <w:szCs w:val="7"/>
                <w:color w:val="auto"/>
              </w:rPr>
              <w:t>Oceania</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Africa</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USA</w:t>
            </w:r>
          </w:p>
        </w:tc>
        <w:tc>
          <w:tcPr>
            <w:tcW w:w="5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Canada</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South America</w:t>
            </w:r>
          </w:p>
        </w:tc>
        <w:tc>
          <w:tcPr>
            <w:tcW w:w="5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Total</w:t>
            </w:r>
          </w:p>
        </w:tc>
      </w:tr>
      <w:tr>
        <w:trPr>
          <w:trHeight w:val="97"/>
        </w:trPr>
        <w:tc>
          <w:tcPr>
            <w:tcW w:w="27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7"/>
                <w:szCs w:val="7"/>
                <w:color w:val="auto"/>
              </w:rPr>
              <w:t>Oil and NGL</w:t>
            </w: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7"/>
                <w:szCs w:val="7"/>
                <w:color w:val="auto"/>
              </w:rPr>
              <w:t>Oil and NGL</w:t>
            </w: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7"/>
                <w:szCs w:val="7"/>
                <w:color w:val="auto"/>
              </w:rPr>
              <w:t>Oil and NGL</w:t>
            </w: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7"/>
                <w:szCs w:val="7"/>
                <w:color w:val="auto"/>
              </w:rPr>
              <w:t>Oil and NGL</w:t>
            </w: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7"/>
                <w:szCs w:val="7"/>
                <w:color w:val="auto"/>
              </w:rPr>
              <w:t>Synthetic crude oil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Bitumen</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7"/>
                <w:szCs w:val="7"/>
                <w:color w:val="auto"/>
              </w:rPr>
              <w:t>Oil and NGL</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7"/>
                <w:szCs w:val="7"/>
                <w:color w:val="auto"/>
              </w:rPr>
              <w:t>Oil and NGL</w:t>
            </w: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7"/>
                <w:szCs w:val="7"/>
                <w:color w:val="auto"/>
              </w:rPr>
              <w:t>Synthetic crude oil</w:t>
            </w: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7"/>
                <w:szCs w:val="7"/>
                <w:color w:val="auto"/>
              </w:rPr>
              <w:t>Bitumen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All products</w:t>
            </w:r>
          </w:p>
        </w:tc>
      </w:tr>
      <w:tr>
        <w:trPr>
          <w:trHeight w:val="102"/>
        </w:trPr>
        <w:tc>
          <w:tcPr>
            <w:tcW w:w="2700" w:type="dxa"/>
            <w:vAlign w:val="bottom"/>
          </w:tcPr>
          <w:p>
            <w:pPr>
              <w:spacing w:after="0"/>
              <w:rPr>
                <w:sz w:val="20"/>
                <w:szCs w:val="20"/>
                <w:color w:val="auto"/>
              </w:rPr>
            </w:pPr>
            <w:r>
              <w:rPr>
                <w:rFonts w:ascii="Arial" w:cs="Arial" w:eastAsia="Arial" w:hAnsi="Arial"/>
                <w:sz w:val="8"/>
                <w:szCs w:val="8"/>
                <w:color w:val="auto"/>
              </w:rPr>
              <w:t>Shell subsidiaries</w:t>
            </w: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At January 1</w:t>
            </w:r>
          </w:p>
        </w:tc>
        <w:tc>
          <w:tcPr>
            <w:tcW w:w="720" w:type="dxa"/>
            <w:vAlign w:val="bottom"/>
          </w:tcPr>
          <w:p>
            <w:pPr>
              <w:jc w:val="right"/>
              <w:ind w:right="60"/>
              <w:spacing w:after="0"/>
              <w:rPr>
                <w:sz w:val="20"/>
                <w:szCs w:val="20"/>
                <w:color w:val="auto"/>
              </w:rPr>
            </w:pPr>
            <w:r>
              <w:rPr>
                <w:rFonts w:ascii="Arial" w:cs="Arial" w:eastAsia="Arial" w:hAnsi="Arial"/>
                <w:sz w:val="8"/>
                <w:szCs w:val="8"/>
                <w:color w:val="auto"/>
              </w:rPr>
              <w:t>106</w:t>
            </w:r>
          </w:p>
        </w:tc>
        <w:tc>
          <w:tcPr>
            <w:tcW w:w="640" w:type="dxa"/>
            <w:vAlign w:val="bottom"/>
          </w:tcPr>
          <w:p>
            <w:pPr>
              <w:jc w:val="right"/>
              <w:ind w:right="60"/>
              <w:spacing w:after="0"/>
              <w:rPr>
                <w:sz w:val="20"/>
                <w:szCs w:val="20"/>
                <w:color w:val="auto"/>
              </w:rPr>
            </w:pPr>
            <w:r>
              <w:rPr>
                <w:rFonts w:ascii="Arial" w:cs="Arial" w:eastAsia="Arial" w:hAnsi="Arial"/>
                <w:sz w:val="8"/>
                <w:szCs w:val="8"/>
                <w:color w:val="auto"/>
              </w:rPr>
              <w:t>118</w:t>
            </w:r>
          </w:p>
        </w:tc>
        <w:tc>
          <w:tcPr>
            <w:tcW w:w="660" w:type="dxa"/>
            <w:vAlign w:val="bottom"/>
          </w:tcPr>
          <w:p>
            <w:pPr>
              <w:jc w:val="right"/>
              <w:ind w:right="60"/>
              <w:spacing w:after="0"/>
              <w:rPr>
                <w:sz w:val="20"/>
                <w:szCs w:val="20"/>
                <w:color w:val="auto"/>
              </w:rPr>
            </w:pPr>
            <w:r>
              <w:rPr>
                <w:rFonts w:ascii="Arial" w:cs="Arial" w:eastAsia="Arial" w:hAnsi="Arial"/>
                <w:sz w:val="8"/>
                <w:szCs w:val="8"/>
                <w:color w:val="auto"/>
              </w:rPr>
              <w:t>86</w:t>
            </w:r>
          </w:p>
        </w:tc>
        <w:tc>
          <w:tcPr>
            <w:tcW w:w="600" w:type="dxa"/>
            <w:vAlign w:val="bottom"/>
          </w:tcPr>
          <w:p>
            <w:pPr>
              <w:jc w:val="right"/>
              <w:spacing w:after="0"/>
              <w:rPr>
                <w:sz w:val="20"/>
                <w:szCs w:val="20"/>
                <w:color w:val="auto"/>
              </w:rPr>
            </w:pPr>
            <w:r>
              <w:rPr>
                <w:rFonts w:ascii="Arial" w:cs="Arial" w:eastAsia="Arial" w:hAnsi="Arial"/>
                <w:sz w:val="8"/>
                <w:szCs w:val="8"/>
                <w:color w:val="auto"/>
              </w:rPr>
              <w:t>90</w:t>
            </w:r>
          </w:p>
        </w:tc>
        <w:tc>
          <w:tcPr>
            <w:tcW w:w="780" w:type="dxa"/>
            <w:vAlign w:val="bottom"/>
          </w:tcPr>
          <w:p>
            <w:pPr>
              <w:jc w:val="right"/>
              <w:ind w:right="120"/>
              <w:spacing w:after="0"/>
              <w:rPr>
                <w:sz w:val="20"/>
                <w:szCs w:val="20"/>
                <w:color w:val="auto"/>
              </w:rPr>
            </w:pPr>
            <w:r>
              <w:rPr>
                <w:rFonts w:ascii="Arial" w:cs="Arial" w:eastAsia="Arial" w:hAnsi="Arial"/>
                <w:sz w:val="8"/>
                <w:szCs w:val="8"/>
                <w:color w:val="auto"/>
              </w:rPr>
              <w:t>330</w:t>
            </w:r>
          </w:p>
        </w:tc>
        <w:tc>
          <w:tcPr>
            <w:tcW w:w="580" w:type="dxa"/>
            <w:vAlign w:val="bottom"/>
          </w:tcPr>
          <w:p>
            <w:pPr>
              <w:jc w:val="right"/>
              <w:ind w:right="39"/>
              <w:spacing w:after="0"/>
              <w:rPr>
                <w:sz w:val="20"/>
                <w:szCs w:val="20"/>
                <w:color w:val="auto"/>
              </w:rPr>
            </w:pPr>
            <w:r>
              <w:rPr>
                <w:rFonts w:ascii="Arial" w:cs="Arial" w:eastAsia="Arial" w:hAnsi="Arial"/>
                <w:sz w:val="8"/>
                <w:szCs w:val="8"/>
                <w:color w:val="auto"/>
              </w:rPr>
              <w:t>1</w:t>
            </w:r>
          </w:p>
        </w:tc>
        <w:tc>
          <w:tcPr>
            <w:tcW w:w="720" w:type="dxa"/>
            <w:vAlign w:val="bottom"/>
          </w:tcPr>
          <w:p>
            <w:pPr>
              <w:ind w:left="480"/>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40"/>
              <w:spacing w:after="0"/>
              <w:rPr>
                <w:sz w:val="20"/>
                <w:szCs w:val="20"/>
                <w:color w:val="auto"/>
              </w:rPr>
            </w:pPr>
            <w:r>
              <w:rPr>
                <w:rFonts w:ascii="Arial" w:cs="Arial" w:eastAsia="Arial" w:hAnsi="Arial"/>
                <w:sz w:val="8"/>
                <w:szCs w:val="8"/>
                <w:color w:val="auto"/>
              </w:rPr>
              <w:t>295</w:t>
            </w:r>
          </w:p>
        </w:tc>
        <w:tc>
          <w:tcPr>
            <w:tcW w:w="580" w:type="dxa"/>
            <w:vAlign w:val="bottom"/>
          </w:tcPr>
          <w:p>
            <w:pPr>
              <w:jc w:val="right"/>
              <w:ind w:right="39"/>
              <w:spacing w:after="0"/>
              <w:rPr>
                <w:sz w:val="20"/>
                <w:szCs w:val="20"/>
                <w:color w:val="auto"/>
              </w:rPr>
            </w:pPr>
            <w:r>
              <w:rPr>
                <w:rFonts w:ascii="Arial" w:cs="Arial" w:eastAsia="Arial" w:hAnsi="Arial"/>
                <w:sz w:val="8"/>
                <w:szCs w:val="8"/>
                <w:color w:val="auto"/>
              </w:rPr>
              <w:t>1,026</w:t>
            </w:r>
          </w:p>
        </w:tc>
        <w:tc>
          <w:tcPr>
            <w:tcW w:w="820" w:type="dxa"/>
            <w:vAlign w:val="bottom"/>
          </w:tcPr>
          <w:p>
            <w:pPr>
              <w:ind w:left="500"/>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1,026</w:t>
            </w:r>
          </w:p>
        </w:tc>
      </w:tr>
      <w:tr>
        <w:trPr>
          <w:trHeight w:val="123"/>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At December 31</w:t>
            </w: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rPr>
              <w:t>124</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rPr>
              <w:t>185</w:t>
            </w: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rPr>
              <w:t>21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85</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8"/>
                <w:szCs w:val="8"/>
                <w:color w:val="auto"/>
              </w:rPr>
              <w:t>388</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2</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8"/>
                <w:szCs w:val="8"/>
                <w:color w:val="auto"/>
              </w:rPr>
              <w:t>394</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1,199</w:t>
            </w: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8"/>
                <w:szCs w:val="8"/>
                <w:color w:val="auto"/>
              </w:rPr>
              <w:t>—</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1,199</w:t>
            </w:r>
          </w:p>
        </w:tc>
      </w:tr>
      <w:tr>
        <w:trPr>
          <w:trHeight w:val="100"/>
        </w:trPr>
        <w:tc>
          <w:tcPr>
            <w:tcW w:w="2700" w:type="dxa"/>
            <w:vAlign w:val="bottom"/>
          </w:tcPr>
          <w:p>
            <w:pPr>
              <w:spacing w:after="0"/>
              <w:rPr>
                <w:sz w:val="20"/>
                <w:szCs w:val="20"/>
                <w:color w:val="auto"/>
              </w:rPr>
            </w:pPr>
            <w:r>
              <w:rPr>
                <w:rFonts w:ascii="Arial" w:cs="Arial" w:eastAsia="Arial" w:hAnsi="Arial"/>
                <w:sz w:val="8"/>
                <w:szCs w:val="8"/>
                <w:color w:val="auto"/>
              </w:rPr>
              <w:t>Shell share of joint ventures and associates</w:t>
            </w: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17"/>
        </w:trPr>
        <w:tc>
          <w:tcPr>
            <w:tcW w:w="2700" w:type="dxa"/>
            <w:vAlign w:val="bottom"/>
          </w:tcPr>
          <w:p>
            <w:pPr>
              <w:ind w:left="220"/>
              <w:spacing w:after="0"/>
              <w:rPr>
                <w:sz w:val="20"/>
                <w:szCs w:val="20"/>
                <w:color w:val="auto"/>
              </w:rPr>
            </w:pPr>
            <w:r>
              <w:rPr>
                <w:rFonts w:ascii="Arial" w:cs="Arial" w:eastAsia="Arial" w:hAnsi="Arial"/>
                <w:sz w:val="8"/>
                <w:szCs w:val="8"/>
                <w:color w:val="auto"/>
              </w:rPr>
              <w:t>At January 1</w:t>
            </w:r>
          </w:p>
        </w:tc>
        <w:tc>
          <w:tcPr>
            <w:tcW w:w="720" w:type="dxa"/>
            <w:vAlign w:val="bottom"/>
          </w:tcPr>
          <w:p>
            <w:pPr>
              <w:jc w:val="right"/>
              <w:ind w:right="60"/>
              <w:spacing w:after="0"/>
              <w:rPr>
                <w:sz w:val="20"/>
                <w:szCs w:val="20"/>
                <w:color w:val="auto"/>
              </w:rPr>
            </w:pPr>
            <w:r>
              <w:rPr>
                <w:rFonts w:ascii="Arial" w:cs="Arial" w:eastAsia="Arial" w:hAnsi="Arial"/>
                <w:sz w:val="8"/>
                <w:szCs w:val="8"/>
                <w:color w:val="auto"/>
              </w:rPr>
              <w:t>1</w:t>
            </w:r>
          </w:p>
        </w:tc>
        <w:tc>
          <w:tcPr>
            <w:tcW w:w="640" w:type="dxa"/>
            <w:vAlign w:val="bottom"/>
          </w:tcPr>
          <w:p>
            <w:pPr>
              <w:jc w:val="right"/>
              <w:ind w:right="60"/>
              <w:spacing w:after="0"/>
              <w:rPr>
                <w:sz w:val="20"/>
                <w:szCs w:val="20"/>
                <w:color w:val="auto"/>
              </w:rPr>
            </w:pPr>
            <w:r>
              <w:rPr>
                <w:rFonts w:ascii="Arial" w:cs="Arial" w:eastAsia="Arial" w:hAnsi="Arial"/>
                <w:sz w:val="8"/>
                <w:szCs w:val="8"/>
                <w:color w:val="auto"/>
              </w:rPr>
              <w:t>48</w:t>
            </w:r>
          </w:p>
        </w:tc>
        <w:tc>
          <w:tcPr>
            <w:tcW w:w="660" w:type="dxa"/>
            <w:vAlign w:val="bottom"/>
          </w:tcPr>
          <w:p>
            <w:pPr>
              <w:jc w:val="right"/>
              <w:ind w:right="6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780" w:type="dxa"/>
            <w:vAlign w:val="bottom"/>
          </w:tcPr>
          <w:p>
            <w:pPr>
              <w:jc w:val="right"/>
              <w:ind w:right="120"/>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720" w:type="dxa"/>
            <w:vAlign w:val="bottom"/>
          </w:tcPr>
          <w:p>
            <w:pPr>
              <w:ind w:left="480"/>
              <w:spacing w:after="0"/>
              <w:rPr>
                <w:sz w:val="20"/>
                <w:szCs w:val="20"/>
                <w:color w:val="auto"/>
              </w:rPr>
            </w:pPr>
            <w:r>
              <w:rPr>
                <w:rFonts w:ascii="Arial" w:cs="Arial" w:eastAsia="Arial" w:hAnsi="Arial"/>
                <w:sz w:val="8"/>
                <w:szCs w:val="8"/>
                <w:color w:val="auto"/>
              </w:rPr>
              <w:t>—</w:t>
            </w:r>
          </w:p>
        </w:tc>
        <w:tc>
          <w:tcPr>
            <w:tcW w:w="540" w:type="dxa"/>
            <w:vAlign w:val="bottom"/>
          </w:tcPr>
          <w:p>
            <w:pPr>
              <w:ind w:left="42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40"/>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39"/>
              <w:spacing w:after="0"/>
              <w:rPr>
                <w:sz w:val="20"/>
                <w:szCs w:val="20"/>
                <w:color w:val="auto"/>
              </w:rPr>
            </w:pPr>
            <w:r>
              <w:rPr>
                <w:rFonts w:ascii="Arial" w:cs="Arial" w:eastAsia="Arial" w:hAnsi="Arial"/>
                <w:sz w:val="8"/>
                <w:szCs w:val="8"/>
                <w:color w:val="auto"/>
              </w:rPr>
              <w:t>49</w:t>
            </w:r>
          </w:p>
        </w:tc>
        <w:tc>
          <w:tcPr>
            <w:tcW w:w="820" w:type="dxa"/>
            <w:vAlign w:val="bottom"/>
          </w:tcPr>
          <w:p>
            <w:pPr>
              <w:ind w:left="500"/>
              <w:spacing w:after="0"/>
              <w:rPr>
                <w:sz w:val="20"/>
                <w:szCs w:val="20"/>
                <w:color w:val="auto"/>
              </w:rPr>
            </w:pPr>
            <w:r>
              <w:rPr>
                <w:rFonts w:ascii="Arial" w:cs="Arial" w:eastAsia="Arial" w:hAnsi="Arial"/>
                <w:sz w:val="8"/>
                <w:szCs w:val="8"/>
                <w:color w:val="auto"/>
              </w:rPr>
              <w:t>—</w:t>
            </w:r>
          </w:p>
        </w:tc>
        <w:tc>
          <w:tcPr>
            <w:tcW w:w="500" w:type="dxa"/>
            <w:vAlign w:val="bottom"/>
          </w:tcPr>
          <w:p>
            <w:pPr>
              <w:ind w:left="34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49</w:t>
            </w:r>
          </w:p>
        </w:tc>
      </w:tr>
      <w:tr>
        <w:trPr>
          <w:trHeight w:val="123"/>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At December 31</w:t>
            </w: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rPr>
              <w:t>1</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rPr>
              <w:t>30</w:t>
            </w: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8"/>
                <w:szCs w:val="8"/>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8"/>
                <w:szCs w:val="8"/>
                <w:color w:val="auto"/>
              </w:rPr>
              <w:t>—</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8"/>
                <w:szCs w:val="8"/>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31</w:t>
            </w: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8"/>
                <w:szCs w:val="8"/>
                <w:color w:val="auto"/>
              </w:rPr>
              <w:t>—</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31</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NATURAL GAS</w:t>
      </w:r>
    </w:p>
    <w:p>
      <w:pPr>
        <w:ind w:right="100"/>
        <w:spacing w:after="0" w:line="309" w:lineRule="auto"/>
        <w:rPr>
          <w:sz w:val="20"/>
          <w:szCs w:val="20"/>
          <w:color w:val="auto"/>
        </w:rPr>
      </w:pPr>
      <w:r>
        <w:rPr>
          <w:rFonts w:ascii="Arial" w:cs="Arial" w:eastAsia="Arial" w:hAnsi="Arial"/>
          <w:sz w:val="8"/>
          <w:szCs w:val="8"/>
          <w:color w:val="auto"/>
        </w:rPr>
        <w:t>Shell subsidiaries’ proved reserves of natural gas at the end of the year, their share of the proved reserves of joint ventures and associates at the end of the year, and the changes in such reserves during the years are set out on pages 216-218. Significant changes in these proved reserves are discussed below. Volumes are not adjusted to standard heat content. Apart from integrated projects, volumes of gas are reported on an “as-sold” basis. The price used to calculate future revenue and cash flows from proved gas reserves is the contract price or the 12-month average on “as-sold” volumes. Volumes associated with integrated projects are those measured at a designated transfer point between the upstream and downstream portions of the integrated project. Natural gas volumes are converted into oil equivalent using a factor of 5,800 scf per barrel.</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PROVED RESERVES 2020–2019</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Shell subsidiaries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Oceania</w:t>
      </w:r>
    </w:p>
    <w:p>
      <w:pPr>
        <w:spacing w:after="0" w:line="237" w:lineRule="auto"/>
        <w:rPr>
          <w:sz w:val="20"/>
          <w:szCs w:val="20"/>
          <w:color w:val="auto"/>
        </w:rPr>
      </w:pPr>
      <w:r>
        <w:rPr>
          <w:rFonts w:ascii="Arial" w:cs="Arial" w:eastAsia="Arial" w:hAnsi="Arial"/>
          <w:sz w:val="10"/>
          <w:szCs w:val="10"/>
          <w:color w:val="auto"/>
        </w:rPr>
        <w:t>The net decrease of 3,512 thousand million scf in revisions and reclassifications was mainly in Gorgon, Jansz-Io and Surat QGC.</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USA</w:t>
      </w:r>
    </w:p>
    <w:p>
      <w:pPr>
        <w:spacing w:after="0" w:line="237" w:lineRule="auto"/>
        <w:rPr>
          <w:sz w:val="20"/>
          <w:szCs w:val="20"/>
          <w:color w:val="auto"/>
        </w:rPr>
      </w:pPr>
      <w:r>
        <w:rPr>
          <w:rFonts w:ascii="Arial" w:cs="Arial" w:eastAsia="Arial" w:hAnsi="Arial"/>
          <w:sz w:val="10"/>
          <w:szCs w:val="10"/>
          <w:color w:val="auto"/>
        </w:rPr>
        <w:t>The net decrease of 319 thousand million scf in revisions and reclassifications was mainly in Permian. The 542 thousand million scf of Sales of minerals in place are mainly in Tioga.</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PROVED RESERVES 2019–2018</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Shell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Asia</w:t>
      </w:r>
    </w:p>
    <w:p>
      <w:pPr>
        <w:spacing w:after="0" w:line="237" w:lineRule="auto"/>
        <w:rPr>
          <w:sz w:val="20"/>
          <w:szCs w:val="20"/>
          <w:color w:val="auto"/>
        </w:rPr>
      </w:pPr>
      <w:r>
        <w:rPr>
          <w:rFonts w:ascii="Arial" w:cs="Arial" w:eastAsia="Arial" w:hAnsi="Arial"/>
          <w:sz w:val="10"/>
          <w:szCs w:val="10"/>
          <w:color w:val="auto"/>
        </w:rPr>
        <w:t>The net increase of 859 thousand million scf in revisions and reclassifications was mainly in Qatar and Malaysia (Sabah and Sarawak).</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Oceania</w:t>
      </w:r>
    </w:p>
    <w:p>
      <w:pPr>
        <w:spacing w:after="0" w:line="237" w:lineRule="auto"/>
        <w:rPr>
          <w:sz w:val="20"/>
          <w:szCs w:val="20"/>
          <w:color w:val="auto"/>
        </w:rPr>
      </w:pPr>
      <w:r>
        <w:rPr>
          <w:rFonts w:ascii="Arial" w:cs="Arial" w:eastAsia="Arial" w:hAnsi="Arial"/>
          <w:sz w:val="10"/>
          <w:szCs w:val="10"/>
          <w:color w:val="auto"/>
        </w:rPr>
        <w:t>The net increase of 699 thousand million scf in revisions and reclassifications was mainly in Surat, Gorgon and Jansz-lo.</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Africa</w:t>
      </w:r>
    </w:p>
    <w:p>
      <w:pPr>
        <w:spacing w:after="0" w:line="237" w:lineRule="auto"/>
        <w:rPr>
          <w:sz w:val="20"/>
          <w:szCs w:val="20"/>
          <w:color w:val="auto"/>
        </w:rPr>
      </w:pPr>
      <w:r>
        <w:rPr>
          <w:rFonts w:ascii="Arial" w:cs="Arial" w:eastAsia="Arial" w:hAnsi="Arial"/>
          <w:sz w:val="10"/>
          <w:szCs w:val="10"/>
          <w:color w:val="auto"/>
        </w:rPr>
        <w:t>The net increase of 290 thousand million scf in revisions and reclassifications was mainly in Bonny and Gbaran (Nigeria).</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Canada</w:t>
      </w:r>
    </w:p>
    <w:p>
      <w:pPr>
        <w:spacing w:after="0" w:line="237" w:lineRule="auto"/>
        <w:rPr>
          <w:sz w:val="20"/>
          <w:szCs w:val="20"/>
          <w:color w:val="auto"/>
        </w:rPr>
      </w:pPr>
      <w:r>
        <w:rPr>
          <w:rFonts w:ascii="Arial" w:cs="Arial" w:eastAsia="Arial" w:hAnsi="Arial"/>
          <w:sz w:val="10"/>
          <w:szCs w:val="10"/>
          <w:color w:val="auto"/>
        </w:rPr>
        <w:t>The net increase of 317 thousand million scf in extensions and discoveries was mainly in Groundbirch.</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Shell share of joint ventures and associates</w:t>
      </w:r>
    </w:p>
    <w:p>
      <w:pPr>
        <w:spacing w:after="0"/>
        <w:rPr>
          <w:sz w:val="20"/>
          <w:szCs w:val="20"/>
          <w:color w:val="auto"/>
        </w:rPr>
      </w:pPr>
      <w:r>
        <w:rPr>
          <w:rFonts w:ascii="Arial" w:cs="Arial" w:eastAsia="Arial" w:hAnsi="Arial"/>
          <w:sz w:val="11"/>
          <w:szCs w:val="11"/>
          <w:color w:val="auto"/>
        </w:rPr>
        <w:t>Europe</w:t>
      </w:r>
    </w:p>
    <w:p>
      <w:pPr>
        <w:spacing w:after="0" w:line="236" w:lineRule="auto"/>
        <w:rPr>
          <w:sz w:val="20"/>
          <w:szCs w:val="20"/>
          <w:color w:val="auto"/>
        </w:rPr>
      </w:pPr>
      <w:r>
        <w:rPr>
          <w:rFonts w:ascii="Arial" w:cs="Arial" w:eastAsia="Arial" w:hAnsi="Arial"/>
          <w:sz w:val="10"/>
          <w:szCs w:val="10"/>
          <w:color w:val="auto"/>
        </w:rPr>
        <w:t>The net decrease of 322 thousand million scf in revisions and reclassifications was mainly in Groningen (Netherlands).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216</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219" w:name="page220"/>
    <w:bookmarkEnd w:id="219"/>
    <w:tbl>
      <w:tblPr>
        <w:tblLayout w:type="fixed"/>
        <w:tblInd w:w="8" w:type="dxa"/>
        <w:tblCellMar>
          <w:top w:w="0" w:type="dxa"/>
          <w:left w:w="0" w:type="dxa"/>
          <w:bottom w:w="0" w:type="dxa"/>
          <w:right w:w="0" w:type="dxa"/>
        </w:tblCellMar>
      </w:tblPr>
      <w:tr>
        <w:trPr>
          <w:trHeight w:val="157"/>
        </w:trPr>
        <w:tc>
          <w:tcPr>
            <w:tcW w:w="270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Proved developed and undeveloped reserves 2020</w:t>
            </w:r>
          </w:p>
        </w:tc>
        <w:tc>
          <w:tcPr>
            <w:tcW w:w="1240" w:type="dxa"/>
            <w:vAlign w:val="bottom"/>
            <w:tcBorders>
              <w:top w:val="single" w:sz="8" w:color="CDCDCD"/>
            </w:tcBorders>
          </w:tcPr>
          <w:p>
            <w:pPr>
              <w:spacing w:after="0"/>
              <w:rPr>
                <w:sz w:val="13"/>
                <w:szCs w:val="13"/>
                <w:color w:val="auto"/>
              </w:rPr>
            </w:pPr>
          </w:p>
        </w:tc>
        <w:tc>
          <w:tcPr>
            <w:tcW w:w="1100" w:type="dxa"/>
            <w:vAlign w:val="bottom"/>
            <w:tcBorders>
              <w:top w:val="single" w:sz="8" w:color="CDCDCD"/>
            </w:tcBorders>
          </w:tcPr>
          <w:p>
            <w:pPr>
              <w:spacing w:after="0"/>
              <w:rPr>
                <w:sz w:val="13"/>
                <w:szCs w:val="13"/>
                <w:color w:val="auto"/>
              </w:rPr>
            </w:pPr>
          </w:p>
        </w:tc>
        <w:tc>
          <w:tcPr>
            <w:tcW w:w="1140" w:type="dxa"/>
            <w:vAlign w:val="bottom"/>
            <w:tcBorders>
              <w:top w:val="single" w:sz="8" w:color="CDCDCD"/>
            </w:tcBorders>
          </w:tcPr>
          <w:p>
            <w:pPr>
              <w:spacing w:after="0"/>
              <w:rPr>
                <w:sz w:val="13"/>
                <w:szCs w:val="13"/>
                <w:color w:val="auto"/>
              </w:rPr>
            </w:pPr>
          </w:p>
        </w:tc>
        <w:tc>
          <w:tcPr>
            <w:tcW w:w="680" w:type="dxa"/>
            <w:vAlign w:val="bottom"/>
            <w:tcBorders>
              <w:top w:val="single" w:sz="8" w:color="CDCDCD"/>
            </w:tcBorders>
          </w:tcPr>
          <w:p>
            <w:pPr>
              <w:spacing w:after="0"/>
              <w:rPr>
                <w:sz w:val="13"/>
                <w:szCs w:val="13"/>
                <w:color w:val="auto"/>
              </w:rPr>
            </w:pPr>
          </w:p>
        </w:tc>
        <w:tc>
          <w:tcPr>
            <w:tcW w:w="1360" w:type="dxa"/>
            <w:vAlign w:val="bottom"/>
            <w:tcBorders>
              <w:top w:val="single" w:sz="8" w:color="CDCDCD"/>
            </w:tcBorders>
          </w:tcPr>
          <w:p>
            <w:pPr>
              <w:spacing w:after="0"/>
              <w:rPr>
                <w:sz w:val="13"/>
                <w:szCs w:val="13"/>
                <w:color w:val="auto"/>
              </w:rPr>
            </w:pPr>
          </w:p>
        </w:tc>
        <w:tc>
          <w:tcPr>
            <w:tcW w:w="860" w:type="dxa"/>
            <w:vAlign w:val="bottom"/>
            <w:tcBorders>
              <w:top w:val="single" w:sz="8" w:color="CDCDCD"/>
            </w:tcBorders>
          </w:tcPr>
          <w:p>
            <w:pPr>
              <w:spacing w:after="0"/>
              <w:rPr>
                <w:sz w:val="13"/>
                <w:szCs w:val="13"/>
                <w:color w:val="auto"/>
              </w:rPr>
            </w:pPr>
          </w:p>
        </w:tc>
        <w:tc>
          <w:tcPr>
            <w:tcW w:w="2220" w:type="dxa"/>
            <w:vAlign w:val="bottom"/>
            <w:tcBorders>
              <w:top w:val="single" w:sz="8" w:color="CDCDCD"/>
            </w:tcBorders>
            <w:gridSpan w:val="2"/>
          </w:tcPr>
          <w:p>
            <w:pPr>
              <w:jc w:val="right"/>
              <w:spacing w:after="0"/>
              <w:rPr>
                <w:sz w:val="20"/>
                <w:szCs w:val="20"/>
                <w:color w:val="auto"/>
              </w:rPr>
            </w:pPr>
            <w:r>
              <w:rPr>
                <w:rFonts w:ascii="Arial" w:cs="Arial" w:eastAsia="Arial" w:hAnsi="Arial"/>
                <w:sz w:val="10"/>
                <w:szCs w:val="10"/>
                <w:color w:val="auto"/>
              </w:rPr>
              <w:t>Thousand million standard cubic feet</w:t>
            </w:r>
          </w:p>
        </w:tc>
        <w:tc>
          <w:tcPr>
            <w:tcW w:w="0" w:type="dxa"/>
            <w:vAlign w:val="bottom"/>
          </w:tcPr>
          <w:p>
            <w:pPr>
              <w:spacing w:after="0"/>
              <w:rPr>
                <w:sz w:val="1"/>
                <w:szCs w:val="1"/>
                <w:color w:val="auto"/>
              </w:rPr>
            </w:pPr>
          </w:p>
        </w:tc>
      </w:tr>
      <w:tr>
        <w:trPr>
          <w:trHeight w:val="145"/>
        </w:trPr>
        <w:tc>
          <w:tcPr>
            <w:tcW w:w="2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7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Europe</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Asia</w:t>
            </w: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Oceania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Africa</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USA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Canada</w:t>
            </w:r>
          </w:p>
        </w:tc>
        <w:tc>
          <w:tcPr>
            <w:tcW w:w="15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South America</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14"/>
        </w:trPr>
        <w:tc>
          <w:tcPr>
            <w:tcW w:w="2700" w:type="dxa"/>
            <w:vAlign w:val="bottom"/>
          </w:tcPr>
          <w:p>
            <w:pPr>
              <w:spacing w:after="0"/>
              <w:rPr>
                <w:sz w:val="20"/>
                <w:szCs w:val="20"/>
                <w:color w:val="auto"/>
              </w:rPr>
            </w:pPr>
            <w:r>
              <w:rPr>
                <w:rFonts w:ascii="Arial" w:cs="Arial" w:eastAsia="Arial" w:hAnsi="Arial"/>
                <w:sz w:val="10"/>
                <w:szCs w:val="10"/>
                <w:color w:val="auto"/>
              </w:rPr>
              <w:t>Shell subsidiaries</w:t>
            </w: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70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2,998</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10,618</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8,360</w:t>
            </w:r>
          </w:p>
        </w:tc>
        <w:tc>
          <w:tcPr>
            <w:tcW w:w="680" w:type="dxa"/>
            <w:vAlign w:val="bottom"/>
          </w:tcPr>
          <w:p>
            <w:pPr>
              <w:jc w:val="right"/>
              <w:spacing w:after="0"/>
              <w:rPr>
                <w:sz w:val="20"/>
                <w:szCs w:val="20"/>
                <w:color w:val="auto"/>
              </w:rPr>
            </w:pPr>
            <w:r>
              <w:rPr>
                <w:rFonts w:ascii="Arial" w:cs="Arial" w:eastAsia="Arial" w:hAnsi="Arial"/>
                <w:sz w:val="10"/>
                <w:szCs w:val="10"/>
                <w:color w:val="auto"/>
              </w:rPr>
              <w:t>2,608</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1,868</w:t>
            </w:r>
          </w:p>
        </w:tc>
        <w:tc>
          <w:tcPr>
            <w:tcW w:w="860" w:type="dxa"/>
            <w:vAlign w:val="bottom"/>
          </w:tcPr>
          <w:p>
            <w:pPr>
              <w:jc w:val="right"/>
              <w:spacing w:after="0"/>
              <w:rPr>
                <w:sz w:val="20"/>
                <w:szCs w:val="20"/>
                <w:color w:val="auto"/>
              </w:rPr>
            </w:pPr>
            <w:r>
              <w:rPr>
                <w:rFonts w:ascii="Arial" w:cs="Arial" w:eastAsia="Arial" w:hAnsi="Arial"/>
                <w:sz w:val="10"/>
                <w:szCs w:val="10"/>
                <w:color w:val="auto"/>
              </w:rPr>
              <w:t>1,281</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1,259</w:t>
            </w:r>
          </w:p>
        </w:tc>
        <w:tc>
          <w:tcPr>
            <w:tcW w:w="720" w:type="dxa"/>
            <w:vAlign w:val="bottom"/>
          </w:tcPr>
          <w:p>
            <w:pPr>
              <w:jc w:val="right"/>
              <w:spacing w:after="0"/>
              <w:rPr>
                <w:sz w:val="20"/>
                <w:szCs w:val="20"/>
                <w:color w:val="auto"/>
              </w:rPr>
            </w:pPr>
            <w:r>
              <w:rPr>
                <w:rFonts w:ascii="Arial" w:cs="Arial" w:eastAsia="Arial" w:hAnsi="Arial"/>
                <w:sz w:val="10"/>
                <w:szCs w:val="10"/>
                <w:color w:val="auto"/>
              </w:rPr>
              <w:t>28,992</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Revisions and reclassifications</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(209)</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249</w:t>
            </w:r>
          </w:p>
        </w:tc>
        <w:tc>
          <w:tcPr>
            <w:tcW w:w="1140" w:type="dxa"/>
            <w:vAlign w:val="bottom"/>
          </w:tcPr>
          <w:p>
            <w:pPr>
              <w:jc w:val="right"/>
              <w:ind w:right="392"/>
              <w:spacing w:after="0"/>
              <w:rPr>
                <w:sz w:val="20"/>
                <w:szCs w:val="20"/>
                <w:color w:val="auto"/>
              </w:rPr>
            </w:pPr>
            <w:r>
              <w:rPr>
                <w:rFonts w:ascii="Arial" w:cs="Arial" w:eastAsia="Arial" w:hAnsi="Arial"/>
                <w:sz w:val="10"/>
                <w:szCs w:val="10"/>
                <w:color w:val="auto"/>
              </w:rPr>
              <w:t>(3,512)</w:t>
            </w:r>
          </w:p>
        </w:tc>
        <w:tc>
          <w:tcPr>
            <w:tcW w:w="680" w:type="dxa"/>
            <w:vAlign w:val="bottom"/>
          </w:tcPr>
          <w:p>
            <w:pPr>
              <w:jc w:val="right"/>
              <w:spacing w:after="0"/>
              <w:rPr>
                <w:sz w:val="20"/>
                <w:szCs w:val="20"/>
                <w:color w:val="auto"/>
              </w:rPr>
            </w:pPr>
            <w:r>
              <w:rPr>
                <w:rFonts w:ascii="Arial" w:cs="Arial" w:eastAsia="Arial" w:hAnsi="Arial"/>
                <w:sz w:val="10"/>
                <w:szCs w:val="10"/>
                <w:color w:val="auto"/>
              </w:rPr>
              <w:t>93</w:t>
            </w:r>
          </w:p>
        </w:tc>
        <w:tc>
          <w:tcPr>
            <w:tcW w:w="1360" w:type="dxa"/>
            <w:vAlign w:val="bottom"/>
          </w:tcPr>
          <w:p>
            <w:pPr>
              <w:jc w:val="right"/>
              <w:ind w:right="212"/>
              <w:spacing w:after="0"/>
              <w:rPr>
                <w:sz w:val="20"/>
                <w:szCs w:val="20"/>
                <w:color w:val="auto"/>
              </w:rPr>
            </w:pPr>
            <w:r>
              <w:rPr>
                <w:rFonts w:ascii="Arial" w:cs="Arial" w:eastAsia="Arial" w:hAnsi="Arial"/>
                <w:sz w:val="10"/>
                <w:szCs w:val="10"/>
                <w:color w:val="auto"/>
              </w:rPr>
              <w:t>(319)</w:t>
            </w:r>
          </w:p>
        </w:tc>
        <w:tc>
          <w:tcPr>
            <w:tcW w:w="860" w:type="dxa"/>
            <w:vAlign w:val="bottom"/>
          </w:tcPr>
          <w:p>
            <w:pPr>
              <w:jc w:val="right"/>
              <w:spacing w:after="0"/>
              <w:rPr>
                <w:sz w:val="20"/>
                <w:szCs w:val="20"/>
                <w:color w:val="auto"/>
              </w:rPr>
            </w:pPr>
            <w:r>
              <w:rPr>
                <w:rFonts w:ascii="Arial" w:cs="Arial" w:eastAsia="Arial" w:hAnsi="Arial"/>
                <w:sz w:val="10"/>
                <w:szCs w:val="10"/>
                <w:color w:val="auto"/>
              </w:rPr>
              <w:t>59</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162</w:t>
            </w:r>
          </w:p>
        </w:tc>
        <w:tc>
          <w:tcPr>
            <w:tcW w:w="720" w:type="dxa"/>
            <w:vAlign w:val="bottom"/>
          </w:tcPr>
          <w:p>
            <w:pPr>
              <w:jc w:val="right"/>
              <w:spacing w:after="0"/>
              <w:rPr>
                <w:sz w:val="20"/>
                <w:szCs w:val="20"/>
                <w:color w:val="auto"/>
              </w:rPr>
            </w:pPr>
            <w:r>
              <w:rPr>
                <w:rFonts w:ascii="Arial" w:cs="Arial" w:eastAsia="Arial" w:hAnsi="Arial"/>
                <w:sz w:val="10"/>
                <w:szCs w:val="10"/>
                <w:color w:val="auto"/>
              </w:rPr>
              <w:t>(3,477)</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Improved recovery</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Extensions and discoveries</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2</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33</w:t>
            </w:r>
          </w:p>
        </w:tc>
        <w:tc>
          <w:tcPr>
            <w:tcW w:w="680" w:type="dxa"/>
            <w:vAlign w:val="bottom"/>
          </w:tcPr>
          <w:p>
            <w:pPr>
              <w:jc w:val="right"/>
              <w:spacing w:after="0"/>
              <w:rPr>
                <w:sz w:val="20"/>
                <w:szCs w:val="20"/>
                <w:color w:val="auto"/>
              </w:rPr>
            </w:pPr>
            <w:r>
              <w:rPr>
                <w:rFonts w:ascii="Arial" w:cs="Arial" w:eastAsia="Arial" w:hAnsi="Arial"/>
                <w:sz w:val="10"/>
                <w:szCs w:val="10"/>
                <w:color w:val="auto"/>
              </w:rPr>
              <w:t>5</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66</w:t>
            </w:r>
          </w:p>
        </w:tc>
        <w:tc>
          <w:tcPr>
            <w:tcW w:w="860" w:type="dxa"/>
            <w:vAlign w:val="bottom"/>
          </w:tcPr>
          <w:p>
            <w:pPr>
              <w:jc w:val="right"/>
              <w:spacing w:after="0"/>
              <w:rPr>
                <w:sz w:val="20"/>
                <w:szCs w:val="20"/>
                <w:color w:val="auto"/>
              </w:rPr>
            </w:pPr>
            <w:r>
              <w:rPr>
                <w:rFonts w:ascii="Arial" w:cs="Arial" w:eastAsia="Arial" w:hAnsi="Arial"/>
                <w:sz w:val="10"/>
                <w:szCs w:val="10"/>
                <w:color w:val="auto"/>
              </w:rPr>
              <w:t>122</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228</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Purchases of minerals in place</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Sales of minerals in place</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(28)</w:t>
            </w:r>
          </w:p>
        </w:tc>
        <w:tc>
          <w:tcPr>
            <w:tcW w:w="1100" w:type="dxa"/>
            <w:vAlign w:val="bottom"/>
          </w:tcPr>
          <w:p>
            <w:pPr>
              <w:jc w:val="right"/>
              <w:ind w:right="352"/>
              <w:spacing w:after="0"/>
              <w:rPr>
                <w:sz w:val="20"/>
                <w:szCs w:val="20"/>
                <w:color w:val="auto"/>
              </w:rPr>
            </w:pPr>
            <w:r>
              <w:rPr>
                <w:rFonts w:ascii="Arial" w:cs="Arial" w:eastAsia="Arial" w:hAnsi="Arial"/>
                <w:sz w:val="10"/>
                <w:szCs w:val="10"/>
                <w:color w:val="auto"/>
              </w:rPr>
              <w:t>(29)</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12"/>
              <w:spacing w:after="0"/>
              <w:rPr>
                <w:sz w:val="20"/>
                <w:szCs w:val="20"/>
                <w:color w:val="auto"/>
              </w:rPr>
            </w:pPr>
            <w:r>
              <w:rPr>
                <w:rFonts w:ascii="Arial" w:cs="Arial" w:eastAsia="Arial" w:hAnsi="Arial"/>
                <w:sz w:val="10"/>
                <w:szCs w:val="10"/>
                <w:color w:val="auto"/>
              </w:rPr>
              <w:t>(542)</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(599)</w:t>
            </w:r>
          </w:p>
        </w:tc>
        <w:tc>
          <w:tcPr>
            <w:tcW w:w="0" w:type="dxa"/>
            <w:vAlign w:val="bottom"/>
          </w:tcPr>
          <w:p>
            <w:pPr>
              <w:spacing w:after="0"/>
              <w:rPr>
                <w:sz w:val="1"/>
                <w:szCs w:val="1"/>
                <w:color w:val="auto"/>
              </w:rPr>
            </w:pPr>
          </w:p>
        </w:tc>
      </w:tr>
      <w:tr>
        <w:trPr>
          <w:trHeight w:val="130"/>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Production [A]</w:t>
            </w: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(319)</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(913)</w:t>
            </w: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(705)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(343)</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(272)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(167)</w:t>
            </w:r>
          </w:p>
        </w:tc>
        <w:tc>
          <w:tcPr>
            <w:tcW w:w="15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(293)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(3,012)</w:t>
            </w:r>
          </w:p>
        </w:tc>
        <w:tc>
          <w:tcPr>
            <w:tcW w:w="0" w:type="dxa"/>
            <w:vAlign w:val="bottom"/>
          </w:tcPr>
          <w:p>
            <w:pPr>
              <w:spacing w:after="0"/>
              <w:rPr>
                <w:sz w:val="1"/>
                <w:szCs w:val="1"/>
                <w:color w:val="auto"/>
              </w:rPr>
            </w:pPr>
          </w:p>
        </w:tc>
      </w:tr>
      <w:tr>
        <w:trPr>
          <w:trHeight w:val="117"/>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2,442</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9,927</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4,176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2,363</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801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1,295</w:t>
            </w: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1,128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22,132</w:t>
            </w:r>
          </w:p>
        </w:tc>
        <w:tc>
          <w:tcPr>
            <w:tcW w:w="0" w:type="dxa"/>
            <w:vAlign w:val="bottom"/>
          </w:tcPr>
          <w:p>
            <w:pPr>
              <w:spacing w:after="0"/>
              <w:rPr>
                <w:sz w:val="1"/>
                <w:szCs w:val="1"/>
                <w:color w:val="auto"/>
              </w:rPr>
            </w:pPr>
          </w:p>
        </w:tc>
      </w:tr>
      <w:tr>
        <w:trPr>
          <w:trHeight w:val="113"/>
        </w:trPr>
        <w:tc>
          <w:tcPr>
            <w:tcW w:w="2700" w:type="dxa"/>
            <w:vAlign w:val="bottom"/>
          </w:tcPr>
          <w:p>
            <w:pPr>
              <w:spacing w:after="0" w:line="113" w:lineRule="exact"/>
              <w:rPr>
                <w:sz w:val="20"/>
                <w:szCs w:val="20"/>
                <w:color w:val="auto"/>
              </w:rPr>
            </w:pPr>
            <w:r>
              <w:rPr>
                <w:rFonts w:ascii="Arial" w:cs="Arial" w:eastAsia="Arial" w:hAnsi="Arial"/>
                <w:sz w:val="10"/>
                <w:szCs w:val="10"/>
                <w:color w:val="auto"/>
              </w:rPr>
              <w:t>Shell share of joint ventures and associates</w:t>
            </w: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70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595</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4,198</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36</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4,829</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Revisions and reclassifications</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(200)</w:t>
            </w:r>
          </w:p>
        </w:tc>
        <w:tc>
          <w:tcPr>
            <w:tcW w:w="1100" w:type="dxa"/>
            <w:vAlign w:val="bottom"/>
          </w:tcPr>
          <w:p>
            <w:pPr>
              <w:jc w:val="right"/>
              <w:ind w:right="352"/>
              <w:spacing w:after="0"/>
              <w:rPr>
                <w:sz w:val="20"/>
                <w:szCs w:val="20"/>
                <w:color w:val="auto"/>
              </w:rPr>
            </w:pPr>
            <w:r>
              <w:rPr>
                <w:rFonts w:ascii="Arial" w:cs="Arial" w:eastAsia="Arial" w:hAnsi="Arial"/>
                <w:sz w:val="10"/>
                <w:szCs w:val="10"/>
                <w:color w:val="auto"/>
              </w:rPr>
              <w:t>(62)</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27</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1</w:t>
            </w:r>
          </w:p>
        </w:tc>
        <w:tc>
          <w:tcPr>
            <w:tcW w:w="720" w:type="dxa"/>
            <w:vAlign w:val="bottom"/>
          </w:tcPr>
          <w:p>
            <w:pPr>
              <w:jc w:val="right"/>
              <w:spacing w:after="0"/>
              <w:rPr>
                <w:sz w:val="20"/>
                <w:szCs w:val="20"/>
                <w:color w:val="auto"/>
              </w:rPr>
            </w:pPr>
            <w:r>
              <w:rPr>
                <w:rFonts w:ascii="Arial" w:cs="Arial" w:eastAsia="Arial" w:hAnsi="Arial"/>
                <w:sz w:val="10"/>
                <w:szCs w:val="10"/>
                <w:color w:val="auto"/>
              </w:rPr>
              <w:t>(234)</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Improved recovery</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Extensions and discoveries</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1</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1</w:t>
            </w:r>
          </w:p>
        </w:tc>
        <w:tc>
          <w:tcPr>
            <w:tcW w:w="720" w:type="dxa"/>
            <w:vAlign w:val="bottom"/>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Purchases of minerals in place</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Sales of minerals in place</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Production [B]</w:t>
            </w: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(133)</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(459)</w:t>
            </w: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(615)</w:t>
            </w:r>
          </w:p>
        </w:tc>
        <w:tc>
          <w:tcPr>
            <w:tcW w:w="0" w:type="dxa"/>
            <w:vAlign w:val="bottom"/>
          </w:tcPr>
          <w:p>
            <w:pPr>
              <w:spacing w:after="0"/>
              <w:rPr>
                <w:sz w:val="1"/>
                <w:szCs w:val="1"/>
                <w:color w:val="auto"/>
              </w:rPr>
            </w:pPr>
          </w:p>
        </w:tc>
      </w:tr>
      <w:tr>
        <w:trPr>
          <w:trHeight w:val="117"/>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262</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3,678</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41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3,982</w:t>
            </w:r>
          </w:p>
        </w:tc>
        <w:tc>
          <w:tcPr>
            <w:tcW w:w="0" w:type="dxa"/>
            <w:vAlign w:val="bottom"/>
          </w:tcPr>
          <w:p>
            <w:pPr>
              <w:spacing w:after="0"/>
              <w:rPr>
                <w:sz w:val="1"/>
                <w:szCs w:val="1"/>
                <w:color w:val="auto"/>
              </w:rPr>
            </w:pPr>
          </w:p>
        </w:tc>
      </w:tr>
      <w:tr>
        <w:trPr>
          <w:trHeight w:val="115"/>
        </w:trPr>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2,703</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13,605</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4,219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2,363</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801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1,295</w:t>
            </w: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1,128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26,114</w:t>
            </w:r>
          </w:p>
        </w:tc>
        <w:tc>
          <w:tcPr>
            <w:tcW w:w="0" w:type="dxa"/>
            <w:vAlign w:val="bottom"/>
          </w:tcPr>
          <w:p>
            <w:pPr>
              <w:spacing w:after="0"/>
              <w:rPr>
                <w:sz w:val="1"/>
                <w:szCs w:val="1"/>
                <w:color w:val="auto"/>
              </w:rPr>
            </w:pPr>
          </w:p>
        </w:tc>
      </w:tr>
      <w:tr>
        <w:trPr>
          <w:trHeight w:val="81"/>
        </w:trPr>
        <w:tc>
          <w:tcPr>
            <w:tcW w:w="2700" w:type="dxa"/>
            <w:vAlign w:val="bottom"/>
          </w:tcPr>
          <w:p>
            <w:pPr>
              <w:spacing w:after="0" w:line="81" w:lineRule="exact"/>
              <w:rPr>
                <w:sz w:val="20"/>
                <w:szCs w:val="20"/>
                <w:color w:val="auto"/>
              </w:rPr>
            </w:pPr>
            <w:r>
              <w:rPr>
                <w:rFonts w:ascii="Arial" w:cs="Arial" w:eastAsia="Arial" w:hAnsi="Arial"/>
                <w:sz w:val="8"/>
                <w:szCs w:val="8"/>
                <w:color w:val="auto"/>
              </w:rPr>
              <w:t>Reserves attributable to non-controlling interest in Shell</w:t>
            </w:r>
          </w:p>
        </w:tc>
        <w:tc>
          <w:tcPr>
            <w:tcW w:w="1240" w:type="dxa"/>
            <w:vAlign w:val="bottom"/>
            <w:vMerge w:val="restart"/>
          </w:tcPr>
          <w:p>
            <w:pPr>
              <w:jc w:val="right"/>
              <w:ind w:right="392"/>
              <w:spacing w:after="0"/>
              <w:rPr>
                <w:sz w:val="20"/>
                <w:szCs w:val="20"/>
                <w:color w:val="auto"/>
              </w:rPr>
            </w:pPr>
            <w:r>
              <w:rPr>
                <w:rFonts w:ascii="Arial" w:cs="Arial" w:eastAsia="Arial" w:hAnsi="Arial"/>
                <w:sz w:val="10"/>
                <w:szCs w:val="10"/>
                <w:color w:val="auto"/>
              </w:rPr>
              <w:t>—</w:t>
            </w:r>
          </w:p>
        </w:tc>
        <w:tc>
          <w:tcPr>
            <w:tcW w:w="1100" w:type="dxa"/>
            <w:vAlign w:val="bottom"/>
            <w:vMerge w:val="restart"/>
          </w:tcPr>
          <w:p>
            <w:pPr>
              <w:jc w:val="right"/>
              <w:ind w:right="372"/>
              <w:spacing w:after="0"/>
              <w:rPr>
                <w:sz w:val="20"/>
                <w:szCs w:val="20"/>
                <w:color w:val="auto"/>
              </w:rPr>
            </w:pPr>
            <w:r>
              <w:rPr>
                <w:rFonts w:ascii="Arial" w:cs="Arial" w:eastAsia="Arial" w:hAnsi="Arial"/>
                <w:sz w:val="10"/>
                <w:szCs w:val="10"/>
                <w:color w:val="auto"/>
              </w:rPr>
              <w:t>—</w:t>
            </w:r>
          </w:p>
        </w:tc>
        <w:tc>
          <w:tcPr>
            <w:tcW w:w="1140" w:type="dxa"/>
            <w:vAlign w:val="bottom"/>
            <w:vMerge w:val="restart"/>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360" w:type="dxa"/>
            <w:vAlign w:val="bottom"/>
            <w:vMerge w:val="restart"/>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500" w:type="dxa"/>
            <w:vAlign w:val="bottom"/>
            <w:vMerge w:val="restart"/>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subsidiaries at December 31</w:t>
            </w:r>
          </w:p>
        </w:tc>
        <w:tc>
          <w:tcPr>
            <w:tcW w:w="1240" w:type="dxa"/>
            <w:vAlign w:val="bottom"/>
            <w:tcBorders>
              <w:bottom w:val="single" w:sz="8" w:color="auto"/>
            </w:tcBorders>
            <w:vMerge w:val="continue"/>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50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8" w:hanging="128"/>
        <w:spacing w:after="0"/>
        <w:tabs>
          <w:tab w:leader="none" w:pos="128" w:val="left"/>
        </w:tabs>
        <w:numPr>
          <w:ilvl w:val="0"/>
          <w:numId w:val="185"/>
        </w:numPr>
        <w:rPr>
          <w:rFonts w:ascii="Arial" w:cs="Arial" w:eastAsia="Arial" w:hAnsi="Arial"/>
          <w:sz w:val="7"/>
          <w:szCs w:val="7"/>
          <w:color w:val="auto"/>
        </w:rPr>
      </w:pPr>
      <w:r>
        <w:rPr>
          <w:rFonts w:ascii="Arial" w:cs="Arial" w:eastAsia="Arial" w:hAnsi="Arial"/>
          <w:sz w:val="7"/>
          <w:szCs w:val="7"/>
          <w:color w:val="auto"/>
        </w:rPr>
        <w:t>Includes 225 thousand million standard cubic feet consumed in operations.</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85"/>
        </w:numPr>
        <w:rPr>
          <w:rFonts w:ascii="Arial" w:cs="Arial" w:eastAsia="Arial" w:hAnsi="Arial"/>
          <w:sz w:val="7"/>
          <w:szCs w:val="7"/>
          <w:color w:val="auto"/>
        </w:rPr>
      </w:pPr>
      <w:r>
        <w:rPr>
          <w:rFonts w:ascii="Arial" w:cs="Arial" w:eastAsia="Arial" w:hAnsi="Arial"/>
          <w:sz w:val="7"/>
          <w:szCs w:val="7"/>
          <w:color w:val="auto"/>
        </w:rPr>
        <w:t>Includes 42 thousand million standard cubic feet consumed in operations.</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63"/>
        </w:trPr>
        <w:tc>
          <w:tcPr>
            <w:tcW w:w="3200" w:type="dxa"/>
            <w:vAlign w:val="bottom"/>
            <w:shd w:val="clear" w:color="auto" w:fill="CDCDCD"/>
          </w:tcPr>
          <w:p>
            <w:pPr>
              <w:spacing w:after="0"/>
              <w:rPr>
                <w:sz w:val="5"/>
                <w:szCs w:val="5"/>
                <w:color w:val="auto"/>
              </w:rPr>
            </w:pPr>
          </w:p>
        </w:tc>
        <w:tc>
          <w:tcPr>
            <w:tcW w:w="740" w:type="dxa"/>
            <w:vAlign w:val="bottom"/>
            <w:shd w:val="clear" w:color="auto" w:fill="CDCDCD"/>
          </w:tcPr>
          <w:p>
            <w:pPr>
              <w:spacing w:after="0"/>
              <w:rPr>
                <w:sz w:val="5"/>
                <w:szCs w:val="5"/>
                <w:color w:val="auto"/>
              </w:rPr>
            </w:pPr>
          </w:p>
        </w:tc>
        <w:tc>
          <w:tcPr>
            <w:tcW w:w="1100" w:type="dxa"/>
            <w:vAlign w:val="bottom"/>
            <w:shd w:val="clear" w:color="auto" w:fill="CDCDCD"/>
          </w:tcPr>
          <w:p>
            <w:pPr>
              <w:spacing w:after="0"/>
              <w:rPr>
                <w:sz w:val="5"/>
                <w:szCs w:val="5"/>
                <w:color w:val="auto"/>
              </w:rPr>
            </w:pPr>
          </w:p>
        </w:tc>
        <w:tc>
          <w:tcPr>
            <w:tcW w:w="1140" w:type="dxa"/>
            <w:vAlign w:val="bottom"/>
            <w:shd w:val="clear" w:color="auto" w:fill="CDCDCD"/>
          </w:tcPr>
          <w:p>
            <w:pPr>
              <w:spacing w:after="0"/>
              <w:rPr>
                <w:sz w:val="5"/>
                <w:szCs w:val="5"/>
                <w:color w:val="auto"/>
              </w:rPr>
            </w:pPr>
          </w:p>
        </w:tc>
        <w:tc>
          <w:tcPr>
            <w:tcW w:w="680" w:type="dxa"/>
            <w:vAlign w:val="bottom"/>
            <w:shd w:val="clear" w:color="auto" w:fill="CDCDCD"/>
          </w:tcPr>
          <w:p>
            <w:pPr>
              <w:spacing w:after="0"/>
              <w:rPr>
                <w:sz w:val="5"/>
                <w:szCs w:val="5"/>
                <w:color w:val="auto"/>
              </w:rPr>
            </w:pPr>
          </w:p>
        </w:tc>
        <w:tc>
          <w:tcPr>
            <w:tcW w:w="1360" w:type="dxa"/>
            <w:vAlign w:val="bottom"/>
            <w:shd w:val="clear" w:color="auto" w:fill="CDCDCD"/>
          </w:tcPr>
          <w:p>
            <w:pPr>
              <w:spacing w:after="0"/>
              <w:rPr>
                <w:sz w:val="5"/>
                <w:szCs w:val="5"/>
                <w:color w:val="auto"/>
              </w:rPr>
            </w:pPr>
          </w:p>
        </w:tc>
        <w:tc>
          <w:tcPr>
            <w:tcW w:w="860" w:type="dxa"/>
            <w:vAlign w:val="bottom"/>
            <w:shd w:val="clear" w:color="auto" w:fill="CDCDCD"/>
          </w:tcPr>
          <w:p>
            <w:pPr>
              <w:spacing w:after="0"/>
              <w:rPr>
                <w:sz w:val="5"/>
                <w:szCs w:val="5"/>
                <w:color w:val="auto"/>
              </w:rPr>
            </w:pPr>
          </w:p>
        </w:tc>
        <w:tc>
          <w:tcPr>
            <w:tcW w:w="1480" w:type="dxa"/>
            <w:vAlign w:val="bottom"/>
            <w:shd w:val="clear" w:color="auto" w:fill="CDCDCD"/>
          </w:tcPr>
          <w:p>
            <w:pPr>
              <w:spacing w:after="0"/>
              <w:rPr>
                <w:sz w:val="5"/>
                <w:szCs w:val="5"/>
                <w:color w:val="auto"/>
              </w:rPr>
            </w:pPr>
          </w:p>
        </w:tc>
        <w:tc>
          <w:tcPr>
            <w:tcW w:w="740" w:type="dxa"/>
            <w:vAlign w:val="bottom"/>
            <w:shd w:val="clear" w:color="auto" w:fill="CDCDCD"/>
          </w:tcPr>
          <w:p>
            <w:pPr>
              <w:spacing w:after="0"/>
              <w:rPr>
                <w:sz w:val="5"/>
                <w:szCs w:val="5"/>
                <w:color w:val="auto"/>
              </w:rPr>
            </w:pPr>
          </w:p>
        </w:tc>
      </w:t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Proved developed reserves 2020</w:t>
            </w: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20" w:type="dxa"/>
            <w:vAlign w:val="bottom"/>
            <w:gridSpan w:val="2"/>
          </w:tcPr>
          <w:p>
            <w:pPr>
              <w:jc w:val="right"/>
              <w:spacing w:after="0"/>
              <w:rPr>
                <w:sz w:val="20"/>
                <w:szCs w:val="20"/>
                <w:color w:val="auto"/>
              </w:rPr>
            </w:pPr>
            <w:r>
              <w:rPr>
                <w:rFonts w:ascii="Arial" w:cs="Arial" w:eastAsia="Arial" w:hAnsi="Arial"/>
                <w:sz w:val="10"/>
                <w:szCs w:val="10"/>
                <w:color w:val="auto"/>
              </w:rPr>
              <w:t>Thousand million standard cubic feet</w:t>
            </w:r>
          </w:p>
        </w:tc>
      </w:tr>
      <w:tr>
        <w:trPr>
          <w:trHeight w:val="145"/>
        </w:trPr>
        <w:tc>
          <w:tcPr>
            <w:tcW w:w="3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4"/>
        </w:trPr>
        <w:tc>
          <w:tcPr>
            <w:tcW w:w="3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99"/>
              </w:rPr>
              <w:t>Europe</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Asia</w:t>
            </w: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color w:val="auto"/>
              </w:rPr>
              <w:t>Oceania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Africa</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USA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Canada</w:t>
            </w:r>
          </w:p>
        </w:tc>
        <w:tc>
          <w:tcPr>
            <w:tcW w:w="148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South America</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r>
      <w:tr>
        <w:trPr>
          <w:trHeight w:val="114"/>
        </w:trPr>
        <w:tc>
          <w:tcPr>
            <w:tcW w:w="3200" w:type="dxa"/>
            <w:vAlign w:val="bottom"/>
          </w:tcPr>
          <w:p>
            <w:pPr>
              <w:spacing w:after="0"/>
              <w:rPr>
                <w:sz w:val="20"/>
                <w:szCs w:val="20"/>
                <w:color w:val="auto"/>
              </w:rPr>
            </w:pPr>
            <w:r>
              <w:rPr>
                <w:rFonts w:ascii="Arial" w:cs="Arial" w:eastAsia="Arial" w:hAnsi="Arial"/>
                <w:sz w:val="10"/>
                <w:szCs w:val="10"/>
                <w:color w:val="auto"/>
              </w:rPr>
              <w:t>Shell subsidiaries</w:t>
            </w: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3"/>
        </w:trPr>
        <w:tc>
          <w:tcPr>
            <w:tcW w:w="320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740" w:type="dxa"/>
            <w:vAlign w:val="bottom"/>
          </w:tcPr>
          <w:p>
            <w:pPr>
              <w:jc w:val="right"/>
              <w:ind w:right="392"/>
              <w:spacing w:after="0"/>
              <w:rPr>
                <w:sz w:val="20"/>
                <w:szCs w:val="20"/>
                <w:color w:val="auto"/>
              </w:rPr>
            </w:pPr>
            <w:r>
              <w:rPr>
                <w:rFonts w:ascii="Arial" w:cs="Arial" w:eastAsia="Arial" w:hAnsi="Arial"/>
                <w:sz w:val="10"/>
                <w:szCs w:val="10"/>
                <w:color w:val="auto"/>
              </w:rPr>
              <w:t>2,060</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10,091</w:t>
            </w:r>
          </w:p>
        </w:tc>
        <w:tc>
          <w:tcPr>
            <w:tcW w:w="1140" w:type="dxa"/>
            <w:vAlign w:val="bottom"/>
          </w:tcPr>
          <w:p>
            <w:pPr>
              <w:jc w:val="right"/>
              <w:ind w:right="413"/>
              <w:spacing w:after="0"/>
              <w:rPr>
                <w:sz w:val="20"/>
                <w:szCs w:val="20"/>
                <w:color w:val="auto"/>
              </w:rPr>
            </w:pPr>
            <w:r>
              <w:rPr>
                <w:rFonts w:ascii="Arial" w:cs="Arial" w:eastAsia="Arial" w:hAnsi="Arial"/>
                <w:sz w:val="10"/>
                <w:szCs w:val="10"/>
                <w:color w:val="auto"/>
              </w:rPr>
              <w:t>5,769</w:t>
            </w:r>
          </w:p>
        </w:tc>
        <w:tc>
          <w:tcPr>
            <w:tcW w:w="680" w:type="dxa"/>
            <w:vAlign w:val="bottom"/>
          </w:tcPr>
          <w:p>
            <w:pPr>
              <w:jc w:val="right"/>
              <w:spacing w:after="0"/>
              <w:rPr>
                <w:sz w:val="20"/>
                <w:szCs w:val="20"/>
                <w:color w:val="auto"/>
              </w:rPr>
            </w:pPr>
            <w:r>
              <w:rPr>
                <w:rFonts w:ascii="Arial" w:cs="Arial" w:eastAsia="Arial" w:hAnsi="Arial"/>
                <w:sz w:val="10"/>
                <w:szCs w:val="10"/>
                <w:color w:val="auto"/>
              </w:rPr>
              <w:t>1,523</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1,615</w:t>
            </w:r>
          </w:p>
        </w:tc>
        <w:tc>
          <w:tcPr>
            <w:tcW w:w="860" w:type="dxa"/>
            <w:vAlign w:val="bottom"/>
          </w:tcPr>
          <w:p>
            <w:pPr>
              <w:jc w:val="right"/>
              <w:spacing w:after="0"/>
              <w:rPr>
                <w:sz w:val="20"/>
                <w:szCs w:val="20"/>
                <w:color w:val="auto"/>
              </w:rPr>
            </w:pPr>
            <w:r>
              <w:rPr>
                <w:rFonts w:ascii="Arial" w:cs="Arial" w:eastAsia="Arial" w:hAnsi="Arial"/>
                <w:sz w:val="10"/>
                <w:szCs w:val="10"/>
                <w:color w:val="auto"/>
              </w:rPr>
              <w:t>781</w:t>
            </w:r>
          </w:p>
        </w:tc>
        <w:tc>
          <w:tcPr>
            <w:tcW w:w="1480" w:type="dxa"/>
            <w:vAlign w:val="bottom"/>
          </w:tcPr>
          <w:p>
            <w:pPr>
              <w:jc w:val="right"/>
              <w:ind w:right="372"/>
              <w:spacing w:after="0"/>
              <w:rPr>
                <w:sz w:val="20"/>
                <w:szCs w:val="20"/>
                <w:color w:val="auto"/>
              </w:rPr>
            </w:pPr>
            <w:r>
              <w:rPr>
                <w:rFonts w:ascii="Arial" w:cs="Arial" w:eastAsia="Arial" w:hAnsi="Arial"/>
                <w:sz w:val="10"/>
                <w:szCs w:val="10"/>
                <w:color w:val="auto"/>
              </w:rPr>
              <w:t>968</w:t>
            </w:r>
          </w:p>
        </w:tc>
        <w:tc>
          <w:tcPr>
            <w:tcW w:w="740" w:type="dxa"/>
            <w:vAlign w:val="bottom"/>
          </w:tcPr>
          <w:p>
            <w:pPr>
              <w:jc w:val="right"/>
              <w:spacing w:after="0"/>
              <w:rPr>
                <w:sz w:val="20"/>
                <w:szCs w:val="20"/>
                <w:color w:val="auto"/>
              </w:rPr>
            </w:pPr>
            <w:r>
              <w:rPr>
                <w:rFonts w:ascii="Arial" w:cs="Arial" w:eastAsia="Arial" w:hAnsi="Arial"/>
                <w:sz w:val="10"/>
                <w:szCs w:val="10"/>
                <w:color w:val="auto"/>
              </w:rPr>
              <w:t>22,807</w:t>
            </w:r>
          </w:p>
        </w:tc>
      </w:tr>
      <w:tr>
        <w:trPr>
          <w:trHeight w:val="130"/>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1,590</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9,675</w:t>
            </w: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0"/>
                <w:szCs w:val="10"/>
                <w:color w:val="auto"/>
              </w:rPr>
              <w:t>3,656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1,341</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670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720</w:t>
            </w: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924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18,576</w:t>
            </w:r>
          </w:p>
        </w:tc>
      </w:tr>
      <w:tr>
        <w:trPr>
          <w:trHeight w:val="114"/>
        </w:trPr>
        <w:tc>
          <w:tcPr>
            <w:tcW w:w="3200" w:type="dxa"/>
            <w:vAlign w:val="bottom"/>
          </w:tcPr>
          <w:p>
            <w:pPr>
              <w:spacing w:after="0"/>
              <w:rPr>
                <w:sz w:val="20"/>
                <w:szCs w:val="20"/>
                <w:color w:val="auto"/>
              </w:rPr>
            </w:pPr>
            <w:r>
              <w:rPr>
                <w:rFonts w:ascii="Arial" w:cs="Arial" w:eastAsia="Arial" w:hAnsi="Arial"/>
                <w:sz w:val="10"/>
                <w:szCs w:val="10"/>
                <w:color w:val="auto"/>
              </w:rPr>
              <w:t>Shell share of joint ventures and associates</w:t>
            </w: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3"/>
        </w:trPr>
        <w:tc>
          <w:tcPr>
            <w:tcW w:w="320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740" w:type="dxa"/>
            <w:vAlign w:val="bottom"/>
          </w:tcPr>
          <w:p>
            <w:pPr>
              <w:jc w:val="right"/>
              <w:ind w:right="392"/>
              <w:spacing w:after="0"/>
              <w:rPr>
                <w:sz w:val="20"/>
                <w:szCs w:val="20"/>
                <w:color w:val="auto"/>
              </w:rPr>
            </w:pPr>
            <w:r>
              <w:rPr>
                <w:rFonts w:ascii="Arial" w:cs="Arial" w:eastAsia="Arial" w:hAnsi="Arial"/>
                <w:sz w:val="10"/>
                <w:szCs w:val="10"/>
                <w:color w:val="auto"/>
              </w:rPr>
              <w:t>555</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3,519</w:t>
            </w:r>
          </w:p>
        </w:tc>
        <w:tc>
          <w:tcPr>
            <w:tcW w:w="1140" w:type="dxa"/>
            <w:vAlign w:val="bottom"/>
          </w:tcPr>
          <w:p>
            <w:pPr>
              <w:jc w:val="right"/>
              <w:ind w:right="413"/>
              <w:spacing w:after="0"/>
              <w:rPr>
                <w:sz w:val="20"/>
                <w:szCs w:val="20"/>
                <w:color w:val="auto"/>
              </w:rPr>
            </w:pPr>
            <w:r>
              <w:rPr>
                <w:rFonts w:ascii="Arial" w:cs="Arial" w:eastAsia="Arial" w:hAnsi="Arial"/>
                <w:sz w:val="10"/>
                <w:szCs w:val="10"/>
                <w:color w:val="auto"/>
              </w:rPr>
              <w:t>36</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48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4,110</w:t>
            </w:r>
          </w:p>
        </w:tc>
      </w:tr>
      <w:tr>
        <w:trPr>
          <w:trHeight w:val="130"/>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227</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3,175</w:t>
            </w: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0"/>
                <w:szCs w:val="10"/>
                <w:color w:val="auto"/>
              </w:rPr>
              <w:t>42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3,445</w:t>
            </w:r>
          </w:p>
        </w:tc>
      </w:tr>
      <w:tr>
        <w:trPr>
          <w:trHeight w:val="90"/>
        </w:trPr>
        <w:tc>
          <w:tcPr>
            <w:tcW w:w="3200" w:type="dxa"/>
            <w:vAlign w:val="bottom"/>
            <w:tcBorders>
              <w:bottom w:val="single" w:sz="8" w:color="CDCDCD"/>
            </w:tcBorders>
          </w:tcPr>
          <w:p>
            <w:pPr>
              <w:spacing w:after="0"/>
              <w:rPr>
                <w:sz w:val="7"/>
                <w:szCs w:val="7"/>
                <w:color w:val="auto"/>
              </w:rPr>
            </w:pPr>
          </w:p>
        </w:tc>
        <w:tc>
          <w:tcPr>
            <w:tcW w:w="740" w:type="dxa"/>
            <w:vAlign w:val="bottom"/>
            <w:tcBorders>
              <w:bottom w:val="single" w:sz="8" w:color="CDCDCD"/>
            </w:tcBorders>
          </w:tcPr>
          <w:p>
            <w:pPr>
              <w:spacing w:after="0"/>
              <w:rPr>
                <w:sz w:val="7"/>
                <w:szCs w:val="7"/>
                <w:color w:val="auto"/>
              </w:rPr>
            </w:pPr>
          </w:p>
        </w:tc>
        <w:tc>
          <w:tcPr>
            <w:tcW w:w="1100" w:type="dxa"/>
            <w:vAlign w:val="bottom"/>
            <w:tcBorders>
              <w:bottom w:val="single" w:sz="8" w:color="CDCDCD"/>
            </w:tcBorders>
          </w:tcPr>
          <w:p>
            <w:pPr>
              <w:spacing w:after="0"/>
              <w:rPr>
                <w:sz w:val="7"/>
                <w:szCs w:val="7"/>
                <w:color w:val="auto"/>
              </w:rPr>
            </w:pPr>
          </w:p>
        </w:tc>
        <w:tc>
          <w:tcPr>
            <w:tcW w:w="1140" w:type="dxa"/>
            <w:vAlign w:val="bottom"/>
            <w:tcBorders>
              <w:bottom w:val="single" w:sz="8" w:color="CDCDCD"/>
            </w:tcBorders>
          </w:tcPr>
          <w:p>
            <w:pPr>
              <w:spacing w:after="0"/>
              <w:rPr>
                <w:sz w:val="7"/>
                <w:szCs w:val="7"/>
                <w:color w:val="auto"/>
              </w:rPr>
            </w:pPr>
          </w:p>
        </w:tc>
        <w:tc>
          <w:tcPr>
            <w:tcW w:w="680" w:type="dxa"/>
            <w:vAlign w:val="bottom"/>
            <w:tcBorders>
              <w:bottom w:val="single" w:sz="8" w:color="CDCDCD"/>
            </w:tcBorders>
          </w:tcPr>
          <w:p>
            <w:pPr>
              <w:spacing w:after="0"/>
              <w:rPr>
                <w:sz w:val="7"/>
                <w:szCs w:val="7"/>
                <w:color w:val="auto"/>
              </w:rPr>
            </w:pPr>
          </w:p>
        </w:tc>
        <w:tc>
          <w:tcPr>
            <w:tcW w:w="1360" w:type="dxa"/>
            <w:vAlign w:val="bottom"/>
            <w:tcBorders>
              <w:bottom w:val="single" w:sz="8" w:color="CDCDCD"/>
            </w:tcBorders>
          </w:tcPr>
          <w:p>
            <w:pPr>
              <w:spacing w:after="0"/>
              <w:rPr>
                <w:sz w:val="7"/>
                <w:szCs w:val="7"/>
                <w:color w:val="auto"/>
              </w:rPr>
            </w:pPr>
          </w:p>
        </w:tc>
        <w:tc>
          <w:tcPr>
            <w:tcW w:w="860" w:type="dxa"/>
            <w:vAlign w:val="bottom"/>
            <w:tcBorders>
              <w:bottom w:val="single" w:sz="8" w:color="CDCDCD"/>
            </w:tcBorders>
          </w:tcPr>
          <w:p>
            <w:pPr>
              <w:spacing w:after="0"/>
              <w:rPr>
                <w:sz w:val="7"/>
                <w:szCs w:val="7"/>
                <w:color w:val="auto"/>
              </w:rPr>
            </w:pPr>
          </w:p>
        </w:tc>
        <w:tc>
          <w:tcPr>
            <w:tcW w:w="2220" w:type="dxa"/>
            <w:vAlign w:val="bottom"/>
            <w:tcBorders>
              <w:bottom w:val="single" w:sz="8" w:color="CDCDCD"/>
            </w:tcBorders>
            <w:gridSpan w:val="2"/>
          </w:tcPr>
          <w:p>
            <w:pPr>
              <w:spacing w:after="0"/>
              <w:rPr>
                <w:sz w:val="7"/>
                <w:szCs w:val="7"/>
                <w:color w:val="auto"/>
              </w:rPr>
            </w:pPr>
          </w:p>
        </w:tc>
      </w:t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Proved undeveloped reserves 2020</w:t>
            </w: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20" w:type="dxa"/>
            <w:vAlign w:val="bottom"/>
            <w:gridSpan w:val="2"/>
          </w:tcPr>
          <w:p>
            <w:pPr>
              <w:jc w:val="right"/>
              <w:spacing w:after="0"/>
              <w:rPr>
                <w:sz w:val="20"/>
                <w:szCs w:val="20"/>
                <w:color w:val="auto"/>
              </w:rPr>
            </w:pPr>
            <w:r>
              <w:rPr>
                <w:rFonts w:ascii="Arial" w:cs="Arial" w:eastAsia="Arial" w:hAnsi="Arial"/>
                <w:sz w:val="10"/>
                <w:szCs w:val="10"/>
                <w:color w:val="auto"/>
              </w:rPr>
              <w:t>Thousand million standard cubic feet</w:t>
            </w:r>
          </w:p>
        </w:tc>
      </w:tr>
      <w:tr>
        <w:trPr>
          <w:trHeight w:val="145"/>
        </w:trPr>
        <w:tc>
          <w:tcPr>
            <w:tcW w:w="3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4"/>
        </w:trPr>
        <w:tc>
          <w:tcPr>
            <w:tcW w:w="3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99"/>
              </w:rPr>
              <w:t>Europe</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Asia</w:t>
            </w: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color w:val="auto"/>
              </w:rPr>
              <w:t>Oceania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Africa</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USA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Canada</w:t>
            </w:r>
          </w:p>
        </w:tc>
        <w:tc>
          <w:tcPr>
            <w:tcW w:w="148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South America</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r>
      <w:tr>
        <w:trPr>
          <w:trHeight w:val="114"/>
        </w:trPr>
        <w:tc>
          <w:tcPr>
            <w:tcW w:w="3200" w:type="dxa"/>
            <w:vAlign w:val="bottom"/>
          </w:tcPr>
          <w:p>
            <w:pPr>
              <w:spacing w:after="0"/>
              <w:rPr>
                <w:sz w:val="20"/>
                <w:szCs w:val="20"/>
                <w:color w:val="auto"/>
              </w:rPr>
            </w:pPr>
            <w:r>
              <w:rPr>
                <w:rFonts w:ascii="Arial" w:cs="Arial" w:eastAsia="Arial" w:hAnsi="Arial"/>
                <w:sz w:val="10"/>
                <w:szCs w:val="10"/>
                <w:color w:val="auto"/>
              </w:rPr>
              <w:t>Shell subsidiaries</w:t>
            </w: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3"/>
        </w:trPr>
        <w:tc>
          <w:tcPr>
            <w:tcW w:w="320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740" w:type="dxa"/>
            <w:vAlign w:val="bottom"/>
          </w:tcPr>
          <w:p>
            <w:pPr>
              <w:jc w:val="right"/>
              <w:ind w:right="392"/>
              <w:spacing w:after="0"/>
              <w:rPr>
                <w:sz w:val="20"/>
                <w:szCs w:val="20"/>
                <w:color w:val="auto"/>
              </w:rPr>
            </w:pPr>
            <w:r>
              <w:rPr>
                <w:rFonts w:ascii="Arial" w:cs="Arial" w:eastAsia="Arial" w:hAnsi="Arial"/>
                <w:sz w:val="10"/>
                <w:szCs w:val="10"/>
                <w:color w:val="auto"/>
              </w:rPr>
              <w:t>937</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528</w:t>
            </w:r>
          </w:p>
        </w:tc>
        <w:tc>
          <w:tcPr>
            <w:tcW w:w="1140" w:type="dxa"/>
            <w:vAlign w:val="bottom"/>
          </w:tcPr>
          <w:p>
            <w:pPr>
              <w:jc w:val="right"/>
              <w:ind w:right="413"/>
              <w:spacing w:after="0"/>
              <w:rPr>
                <w:sz w:val="20"/>
                <w:szCs w:val="20"/>
                <w:color w:val="auto"/>
              </w:rPr>
            </w:pPr>
            <w:r>
              <w:rPr>
                <w:rFonts w:ascii="Arial" w:cs="Arial" w:eastAsia="Arial" w:hAnsi="Arial"/>
                <w:sz w:val="10"/>
                <w:szCs w:val="10"/>
                <w:color w:val="auto"/>
              </w:rPr>
              <w:t>2,591</w:t>
            </w:r>
          </w:p>
        </w:tc>
        <w:tc>
          <w:tcPr>
            <w:tcW w:w="680" w:type="dxa"/>
            <w:vAlign w:val="bottom"/>
          </w:tcPr>
          <w:p>
            <w:pPr>
              <w:jc w:val="right"/>
              <w:spacing w:after="0"/>
              <w:rPr>
                <w:sz w:val="20"/>
                <w:szCs w:val="20"/>
                <w:color w:val="auto"/>
              </w:rPr>
            </w:pPr>
            <w:r>
              <w:rPr>
                <w:rFonts w:ascii="Arial" w:cs="Arial" w:eastAsia="Arial" w:hAnsi="Arial"/>
                <w:sz w:val="10"/>
                <w:szCs w:val="10"/>
                <w:color w:val="auto"/>
              </w:rPr>
              <w:t>1,085</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254</w:t>
            </w:r>
          </w:p>
        </w:tc>
        <w:tc>
          <w:tcPr>
            <w:tcW w:w="860" w:type="dxa"/>
            <w:vAlign w:val="bottom"/>
          </w:tcPr>
          <w:p>
            <w:pPr>
              <w:jc w:val="right"/>
              <w:spacing w:after="0"/>
              <w:rPr>
                <w:sz w:val="20"/>
                <w:szCs w:val="20"/>
                <w:color w:val="auto"/>
              </w:rPr>
            </w:pPr>
            <w:r>
              <w:rPr>
                <w:rFonts w:ascii="Arial" w:cs="Arial" w:eastAsia="Arial" w:hAnsi="Arial"/>
                <w:sz w:val="10"/>
                <w:szCs w:val="10"/>
                <w:color w:val="auto"/>
              </w:rPr>
              <w:t>499</w:t>
            </w:r>
          </w:p>
        </w:tc>
        <w:tc>
          <w:tcPr>
            <w:tcW w:w="1480" w:type="dxa"/>
            <w:vAlign w:val="bottom"/>
          </w:tcPr>
          <w:p>
            <w:pPr>
              <w:jc w:val="right"/>
              <w:ind w:right="372"/>
              <w:spacing w:after="0"/>
              <w:rPr>
                <w:sz w:val="20"/>
                <w:szCs w:val="20"/>
                <w:color w:val="auto"/>
              </w:rPr>
            </w:pPr>
            <w:r>
              <w:rPr>
                <w:rFonts w:ascii="Arial" w:cs="Arial" w:eastAsia="Arial" w:hAnsi="Arial"/>
                <w:sz w:val="10"/>
                <w:szCs w:val="10"/>
                <w:color w:val="auto"/>
              </w:rPr>
              <w:t>291</w:t>
            </w:r>
          </w:p>
        </w:tc>
        <w:tc>
          <w:tcPr>
            <w:tcW w:w="740" w:type="dxa"/>
            <w:vAlign w:val="bottom"/>
          </w:tcPr>
          <w:p>
            <w:pPr>
              <w:jc w:val="right"/>
              <w:spacing w:after="0"/>
              <w:rPr>
                <w:sz w:val="20"/>
                <w:szCs w:val="20"/>
                <w:color w:val="auto"/>
              </w:rPr>
            </w:pPr>
            <w:r>
              <w:rPr>
                <w:rFonts w:ascii="Arial" w:cs="Arial" w:eastAsia="Arial" w:hAnsi="Arial"/>
                <w:sz w:val="10"/>
                <w:szCs w:val="10"/>
                <w:color w:val="auto"/>
              </w:rPr>
              <w:t>6,185</w:t>
            </w:r>
          </w:p>
        </w:tc>
      </w:tr>
      <w:tr>
        <w:trPr>
          <w:trHeight w:val="130"/>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852</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252</w:t>
            </w: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0"/>
                <w:szCs w:val="10"/>
                <w:color w:val="auto"/>
              </w:rPr>
              <w:t>520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1,022</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132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575</w:t>
            </w: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203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3,556</w:t>
            </w:r>
          </w:p>
        </w:tc>
      </w:tr>
      <w:tr>
        <w:trPr>
          <w:trHeight w:val="114"/>
        </w:trPr>
        <w:tc>
          <w:tcPr>
            <w:tcW w:w="3200" w:type="dxa"/>
            <w:vAlign w:val="bottom"/>
          </w:tcPr>
          <w:p>
            <w:pPr>
              <w:spacing w:after="0"/>
              <w:rPr>
                <w:sz w:val="20"/>
                <w:szCs w:val="20"/>
                <w:color w:val="auto"/>
              </w:rPr>
            </w:pPr>
            <w:r>
              <w:rPr>
                <w:rFonts w:ascii="Arial" w:cs="Arial" w:eastAsia="Arial" w:hAnsi="Arial"/>
                <w:sz w:val="10"/>
                <w:szCs w:val="10"/>
                <w:color w:val="auto"/>
              </w:rPr>
              <w:t>Shell share of joint ventures and associates</w:t>
            </w: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3"/>
        </w:trPr>
        <w:tc>
          <w:tcPr>
            <w:tcW w:w="320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740" w:type="dxa"/>
            <w:vAlign w:val="bottom"/>
          </w:tcPr>
          <w:p>
            <w:pPr>
              <w:jc w:val="right"/>
              <w:ind w:right="392"/>
              <w:spacing w:after="0"/>
              <w:rPr>
                <w:sz w:val="20"/>
                <w:szCs w:val="20"/>
                <w:color w:val="auto"/>
              </w:rPr>
            </w:pPr>
            <w:r>
              <w:rPr>
                <w:rFonts w:ascii="Arial" w:cs="Arial" w:eastAsia="Arial" w:hAnsi="Arial"/>
                <w:sz w:val="10"/>
                <w:szCs w:val="10"/>
                <w:color w:val="auto"/>
              </w:rPr>
              <w:t>39</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680</w:t>
            </w:r>
          </w:p>
        </w:tc>
        <w:tc>
          <w:tcPr>
            <w:tcW w:w="1140" w:type="dxa"/>
            <w:vAlign w:val="bottom"/>
          </w:tcPr>
          <w:p>
            <w:pPr>
              <w:jc w:val="right"/>
              <w:ind w:right="413"/>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48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719</w:t>
            </w:r>
          </w:p>
        </w:tc>
      </w:tr>
      <w:tr>
        <w:trPr>
          <w:trHeight w:val="130"/>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35</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502</w:t>
            </w: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537</w:t>
            </w:r>
          </w:p>
        </w:tc>
      </w:tr>
      <w:tr>
        <w:trPr>
          <w:trHeight w:val="490"/>
        </w:trPr>
        <w:tc>
          <w:tcPr>
            <w:tcW w:w="320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jc w:val="right"/>
              <w:ind w:right="493"/>
              <w:spacing w:after="0"/>
              <w:rPr>
                <w:sz w:val="20"/>
                <w:szCs w:val="20"/>
                <w:color w:val="auto"/>
              </w:rPr>
            </w:pPr>
            <w:r>
              <w:rPr>
                <w:rFonts w:ascii="Arial" w:cs="Arial" w:eastAsia="Arial" w:hAnsi="Arial"/>
                <w:sz w:val="7"/>
                <w:szCs w:val="7"/>
                <w:color w:val="auto"/>
              </w:rPr>
              <w:t>217</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2"/>
        </w:trPr>
        <w:tc>
          <w:tcPr>
            <w:tcW w:w="3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14" w:right="299" w:bottom="1440" w:gutter="0" w:footer="0" w:header="0"/>
        </w:sectPr>
      </w:pPr>
    </w:p>
    <w:bookmarkStart w:id="220" w:name="page221"/>
    <w:bookmarkEnd w:id="220"/>
    <w:tbl>
      <w:tblPr>
        <w:tblLayout w:type="fixed"/>
        <w:tblInd w:w="8" w:type="dxa"/>
        <w:tblCellMar>
          <w:top w:w="0" w:type="dxa"/>
          <w:left w:w="0" w:type="dxa"/>
          <w:bottom w:w="0" w:type="dxa"/>
          <w:right w:w="0" w:type="dxa"/>
        </w:tblCellMar>
      </w:tblPr>
      <w:tr>
        <w:trPr>
          <w:trHeight w:val="157"/>
        </w:trPr>
        <w:tc>
          <w:tcPr>
            <w:tcW w:w="322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Proved developed and undeveloped reserves 2019</w:t>
            </w:r>
          </w:p>
        </w:tc>
        <w:tc>
          <w:tcPr>
            <w:tcW w:w="560" w:type="dxa"/>
            <w:vAlign w:val="bottom"/>
            <w:tcBorders>
              <w:top w:val="single" w:sz="8" w:color="CDCDCD"/>
            </w:tcBorders>
          </w:tcPr>
          <w:p>
            <w:pPr>
              <w:spacing w:after="0"/>
              <w:rPr>
                <w:sz w:val="13"/>
                <w:szCs w:val="13"/>
                <w:color w:val="auto"/>
              </w:rPr>
            </w:pPr>
          </w:p>
        </w:tc>
        <w:tc>
          <w:tcPr>
            <w:tcW w:w="1060" w:type="dxa"/>
            <w:vAlign w:val="bottom"/>
            <w:tcBorders>
              <w:top w:val="single" w:sz="8" w:color="CDCDCD"/>
            </w:tcBorders>
          </w:tcPr>
          <w:p>
            <w:pPr>
              <w:spacing w:after="0"/>
              <w:rPr>
                <w:sz w:val="13"/>
                <w:szCs w:val="13"/>
                <w:color w:val="auto"/>
              </w:rPr>
            </w:pPr>
          </w:p>
        </w:tc>
        <w:tc>
          <w:tcPr>
            <w:tcW w:w="1120" w:type="dxa"/>
            <w:vAlign w:val="bottom"/>
            <w:tcBorders>
              <w:top w:val="single" w:sz="8" w:color="CDCDCD"/>
            </w:tcBorders>
          </w:tcPr>
          <w:p>
            <w:pPr>
              <w:spacing w:after="0"/>
              <w:rPr>
                <w:sz w:val="13"/>
                <w:szCs w:val="13"/>
                <w:color w:val="auto"/>
              </w:rPr>
            </w:pPr>
          </w:p>
        </w:tc>
        <w:tc>
          <w:tcPr>
            <w:tcW w:w="90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spacing w:after="0"/>
              <w:rPr>
                <w:sz w:val="13"/>
                <w:szCs w:val="13"/>
                <w:color w:val="auto"/>
              </w:rPr>
            </w:pPr>
          </w:p>
        </w:tc>
        <w:tc>
          <w:tcPr>
            <w:tcW w:w="900" w:type="dxa"/>
            <w:vAlign w:val="bottom"/>
            <w:tcBorders>
              <w:top w:val="single" w:sz="8" w:color="CDCDCD"/>
            </w:tcBorders>
          </w:tcPr>
          <w:p>
            <w:pPr>
              <w:spacing w:after="0"/>
              <w:rPr>
                <w:sz w:val="13"/>
                <w:szCs w:val="13"/>
                <w:color w:val="auto"/>
              </w:rPr>
            </w:pPr>
          </w:p>
        </w:tc>
        <w:tc>
          <w:tcPr>
            <w:tcW w:w="2220" w:type="dxa"/>
            <w:vAlign w:val="bottom"/>
            <w:tcBorders>
              <w:top w:val="single" w:sz="8" w:color="CDCDCD"/>
            </w:tcBorders>
            <w:gridSpan w:val="2"/>
          </w:tcPr>
          <w:p>
            <w:pPr>
              <w:jc w:val="right"/>
              <w:spacing w:after="0"/>
              <w:rPr>
                <w:sz w:val="20"/>
                <w:szCs w:val="20"/>
                <w:color w:val="auto"/>
              </w:rPr>
            </w:pPr>
            <w:r>
              <w:rPr>
                <w:rFonts w:ascii="Arial" w:cs="Arial" w:eastAsia="Arial" w:hAnsi="Arial"/>
                <w:sz w:val="10"/>
                <w:szCs w:val="10"/>
                <w:color w:val="auto"/>
              </w:rPr>
              <w:t>Thousand million standard cubic feet</w:t>
            </w:r>
          </w:p>
        </w:tc>
        <w:tc>
          <w:tcPr>
            <w:tcW w:w="0" w:type="dxa"/>
            <w:vAlign w:val="bottom"/>
          </w:tcPr>
          <w:p>
            <w:pPr>
              <w:spacing w:after="0"/>
              <w:rPr>
                <w:sz w:val="1"/>
                <w:szCs w:val="1"/>
                <w:color w:val="auto"/>
              </w:rPr>
            </w:pPr>
          </w:p>
        </w:tc>
      </w:tr>
      <w:tr>
        <w:trPr>
          <w:trHeight w:val="145"/>
        </w:trPr>
        <w:tc>
          <w:tcPr>
            <w:tcW w:w="3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220" w:type="dxa"/>
            <w:vAlign w:val="bottom"/>
            <w:tcBorders>
              <w:bottom w:val="single" w:sz="8" w:color="auto"/>
            </w:tcBorders>
          </w:tcPr>
          <w:p>
            <w:pPr>
              <w:ind w:left="2860"/>
              <w:spacing w:after="0"/>
              <w:rPr>
                <w:sz w:val="20"/>
                <w:szCs w:val="20"/>
                <w:color w:val="auto"/>
              </w:rPr>
            </w:pPr>
            <w:r>
              <w:rPr>
                <w:rFonts w:ascii="Arial" w:cs="Arial" w:eastAsia="Arial" w:hAnsi="Arial"/>
                <w:sz w:val="10"/>
                <w:szCs w:val="10"/>
                <w:color w:val="auto"/>
              </w:rPr>
              <w:t>Europe</w:t>
            </w:r>
          </w:p>
        </w:tc>
        <w:tc>
          <w:tcPr>
            <w:tcW w:w="5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Asia</w:t>
            </w: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Oceania</w:t>
            </w: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Africa</w:t>
            </w: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USA</w:t>
            </w: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Canada</w:t>
            </w:r>
          </w:p>
        </w:tc>
        <w:tc>
          <w:tcPr>
            <w:tcW w:w="132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South America</w:t>
            </w: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14"/>
        </w:trPr>
        <w:tc>
          <w:tcPr>
            <w:tcW w:w="3220" w:type="dxa"/>
            <w:vAlign w:val="bottom"/>
          </w:tcPr>
          <w:p>
            <w:pPr>
              <w:spacing w:after="0"/>
              <w:rPr>
                <w:sz w:val="20"/>
                <w:szCs w:val="20"/>
                <w:color w:val="auto"/>
              </w:rPr>
            </w:pPr>
            <w:r>
              <w:rPr>
                <w:rFonts w:ascii="Arial" w:cs="Arial" w:eastAsia="Arial" w:hAnsi="Arial"/>
                <w:sz w:val="10"/>
                <w:szCs w:val="10"/>
                <w:color w:val="auto"/>
              </w:rPr>
              <w:t>Shell subsidiaries</w:t>
            </w: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22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560" w:type="dxa"/>
            <w:vAlign w:val="bottom"/>
          </w:tcPr>
          <w:p>
            <w:pPr>
              <w:jc w:val="right"/>
              <w:ind w:right="232"/>
              <w:spacing w:after="0"/>
              <w:rPr>
                <w:sz w:val="20"/>
                <w:szCs w:val="20"/>
                <w:color w:val="auto"/>
              </w:rPr>
            </w:pPr>
            <w:r>
              <w:rPr>
                <w:rFonts w:ascii="Arial" w:cs="Arial" w:eastAsia="Arial" w:hAnsi="Arial"/>
                <w:sz w:val="10"/>
                <w:szCs w:val="10"/>
                <w:color w:val="auto"/>
              </w:rPr>
              <w:t>3,600</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10,631</w:t>
            </w:r>
          </w:p>
        </w:tc>
        <w:tc>
          <w:tcPr>
            <w:tcW w:w="1120" w:type="dxa"/>
            <w:vAlign w:val="bottom"/>
          </w:tcPr>
          <w:p>
            <w:pPr>
              <w:jc w:val="right"/>
              <w:ind w:right="192"/>
              <w:spacing w:after="0"/>
              <w:rPr>
                <w:sz w:val="20"/>
                <w:szCs w:val="20"/>
                <w:color w:val="auto"/>
              </w:rPr>
            </w:pPr>
            <w:r>
              <w:rPr>
                <w:rFonts w:ascii="Arial" w:cs="Arial" w:eastAsia="Arial" w:hAnsi="Arial"/>
                <w:sz w:val="10"/>
                <w:szCs w:val="10"/>
                <w:color w:val="auto"/>
              </w:rPr>
              <w:t>8,427</w:t>
            </w:r>
          </w:p>
        </w:tc>
        <w:tc>
          <w:tcPr>
            <w:tcW w:w="900" w:type="dxa"/>
            <w:vAlign w:val="bottom"/>
          </w:tcPr>
          <w:p>
            <w:pPr>
              <w:jc w:val="right"/>
              <w:spacing w:after="0"/>
              <w:rPr>
                <w:sz w:val="20"/>
                <w:szCs w:val="20"/>
                <w:color w:val="auto"/>
              </w:rPr>
            </w:pPr>
            <w:r>
              <w:rPr>
                <w:rFonts w:ascii="Arial" w:cs="Arial" w:eastAsia="Arial" w:hAnsi="Arial"/>
                <w:sz w:val="10"/>
                <w:szCs w:val="10"/>
                <w:color w:val="auto"/>
              </w:rPr>
              <w:t>2,544</w:t>
            </w:r>
          </w:p>
        </w:tc>
        <w:tc>
          <w:tcPr>
            <w:tcW w:w="1320" w:type="dxa"/>
            <w:vAlign w:val="bottom"/>
          </w:tcPr>
          <w:p>
            <w:pPr>
              <w:jc w:val="right"/>
              <w:ind w:right="192"/>
              <w:spacing w:after="0"/>
              <w:rPr>
                <w:sz w:val="20"/>
                <w:szCs w:val="20"/>
                <w:color w:val="auto"/>
              </w:rPr>
            </w:pPr>
            <w:r>
              <w:rPr>
                <w:rFonts w:ascii="Arial" w:cs="Arial" w:eastAsia="Arial" w:hAnsi="Arial"/>
                <w:sz w:val="10"/>
                <w:szCs w:val="10"/>
                <w:color w:val="auto"/>
              </w:rPr>
              <w:t>2,147</w:t>
            </w:r>
          </w:p>
        </w:tc>
        <w:tc>
          <w:tcPr>
            <w:tcW w:w="900" w:type="dxa"/>
            <w:vAlign w:val="bottom"/>
          </w:tcPr>
          <w:p>
            <w:pPr>
              <w:jc w:val="right"/>
              <w:spacing w:after="0"/>
              <w:rPr>
                <w:sz w:val="20"/>
                <w:szCs w:val="20"/>
                <w:color w:val="auto"/>
              </w:rPr>
            </w:pPr>
            <w:r>
              <w:rPr>
                <w:rFonts w:ascii="Arial" w:cs="Arial" w:eastAsia="Arial" w:hAnsi="Arial"/>
                <w:sz w:val="10"/>
                <w:szCs w:val="10"/>
                <w:color w:val="auto"/>
              </w:rPr>
              <w:t>989</w:t>
            </w:r>
          </w:p>
        </w:tc>
        <w:tc>
          <w:tcPr>
            <w:tcW w:w="1320" w:type="dxa"/>
            <w:vAlign w:val="bottom"/>
          </w:tcPr>
          <w:p>
            <w:pPr>
              <w:jc w:val="right"/>
              <w:ind w:right="212"/>
              <w:spacing w:after="0"/>
              <w:rPr>
                <w:sz w:val="20"/>
                <w:szCs w:val="20"/>
                <w:color w:val="auto"/>
              </w:rPr>
            </w:pPr>
            <w:r>
              <w:rPr>
                <w:rFonts w:ascii="Arial" w:cs="Arial" w:eastAsia="Arial" w:hAnsi="Arial"/>
                <w:sz w:val="10"/>
                <w:szCs w:val="10"/>
                <w:color w:val="auto"/>
              </w:rPr>
              <w:t>1,509</w:t>
            </w:r>
          </w:p>
        </w:tc>
        <w:tc>
          <w:tcPr>
            <w:tcW w:w="900" w:type="dxa"/>
            <w:vAlign w:val="bottom"/>
          </w:tcPr>
          <w:p>
            <w:pPr>
              <w:jc w:val="right"/>
              <w:spacing w:after="0"/>
              <w:rPr>
                <w:sz w:val="20"/>
                <w:szCs w:val="20"/>
                <w:color w:val="auto"/>
              </w:rPr>
            </w:pPr>
            <w:r>
              <w:rPr>
                <w:rFonts w:ascii="Arial" w:cs="Arial" w:eastAsia="Arial" w:hAnsi="Arial"/>
                <w:sz w:val="10"/>
                <w:szCs w:val="10"/>
                <w:color w:val="auto"/>
              </w:rPr>
              <w:t>29,847</w:t>
            </w:r>
          </w:p>
        </w:tc>
        <w:tc>
          <w:tcPr>
            <w:tcW w:w="0" w:type="dxa"/>
            <w:vAlign w:val="bottom"/>
          </w:tcPr>
          <w:p>
            <w:pPr>
              <w:spacing w:after="0"/>
              <w:rPr>
                <w:sz w:val="1"/>
                <w:szCs w:val="1"/>
                <w:color w:val="auto"/>
              </w:rPr>
            </w:pPr>
          </w:p>
        </w:tc>
      </w:tr>
      <w:tr>
        <w:trPr>
          <w:trHeight w:val="126"/>
        </w:trPr>
        <w:tc>
          <w:tcPr>
            <w:tcW w:w="3220" w:type="dxa"/>
            <w:vAlign w:val="bottom"/>
          </w:tcPr>
          <w:p>
            <w:pPr>
              <w:ind w:left="220"/>
              <w:spacing w:after="0"/>
              <w:rPr>
                <w:sz w:val="20"/>
                <w:szCs w:val="20"/>
                <w:color w:val="auto"/>
              </w:rPr>
            </w:pPr>
            <w:r>
              <w:rPr>
                <w:rFonts w:ascii="Arial" w:cs="Arial" w:eastAsia="Arial" w:hAnsi="Arial"/>
                <w:sz w:val="10"/>
                <w:szCs w:val="10"/>
                <w:color w:val="auto"/>
              </w:rPr>
              <w:t>Revisions and reclassifications</w:t>
            </w:r>
          </w:p>
        </w:tc>
        <w:tc>
          <w:tcPr>
            <w:tcW w:w="560" w:type="dxa"/>
            <w:vAlign w:val="bottom"/>
          </w:tcPr>
          <w:p>
            <w:pPr>
              <w:jc w:val="right"/>
              <w:ind w:right="212"/>
              <w:spacing w:after="0"/>
              <w:rPr>
                <w:sz w:val="20"/>
                <w:szCs w:val="20"/>
                <w:color w:val="auto"/>
              </w:rPr>
            </w:pPr>
            <w:r>
              <w:rPr>
                <w:rFonts w:ascii="Arial" w:cs="Arial" w:eastAsia="Arial" w:hAnsi="Arial"/>
                <w:sz w:val="10"/>
                <w:szCs w:val="10"/>
                <w:color w:val="auto"/>
              </w:rPr>
              <w:t>(46)</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859</w:t>
            </w:r>
          </w:p>
        </w:tc>
        <w:tc>
          <w:tcPr>
            <w:tcW w:w="1120" w:type="dxa"/>
            <w:vAlign w:val="bottom"/>
          </w:tcPr>
          <w:p>
            <w:pPr>
              <w:jc w:val="right"/>
              <w:ind w:right="192"/>
              <w:spacing w:after="0"/>
              <w:rPr>
                <w:sz w:val="20"/>
                <w:szCs w:val="20"/>
                <w:color w:val="auto"/>
              </w:rPr>
            </w:pPr>
            <w:r>
              <w:rPr>
                <w:rFonts w:ascii="Arial" w:cs="Arial" w:eastAsia="Arial" w:hAnsi="Arial"/>
                <w:sz w:val="10"/>
                <w:szCs w:val="10"/>
                <w:color w:val="auto"/>
              </w:rPr>
              <w:t>699</w:t>
            </w:r>
          </w:p>
        </w:tc>
        <w:tc>
          <w:tcPr>
            <w:tcW w:w="900" w:type="dxa"/>
            <w:vAlign w:val="bottom"/>
          </w:tcPr>
          <w:p>
            <w:pPr>
              <w:jc w:val="right"/>
              <w:spacing w:after="0"/>
              <w:rPr>
                <w:sz w:val="20"/>
                <w:szCs w:val="20"/>
                <w:color w:val="auto"/>
              </w:rPr>
            </w:pPr>
            <w:r>
              <w:rPr>
                <w:rFonts w:ascii="Arial" w:cs="Arial" w:eastAsia="Arial" w:hAnsi="Arial"/>
                <w:sz w:val="10"/>
                <w:szCs w:val="10"/>
                <w:color w:val="auto"/>
              </w:rPr>
              <w:t>290</w:t>
            </w:r>
          </w:p>
        </w:tc>
        <w:tc>
          <w:tcPr>
            <w:tcW w:w="1320" w:type="dxa"/>
            <w:vAlign w:val="bottom"/>
          </w:tcPr>
          <w:p>
            <w:pPr>
              <w:jc w:val="right"/>
              <w:ind w:right="192"/>
              <w:spacing w:after="0"/>
              <w:rPr>
                <w:sz w:val="20"/>
                <w:szCs w:val="20"/>
                <w:color w:val="auto"/>
              </w:rPr>
            </w:pPr>
            <w:r>
              <w:rPr>
                <w:rFonts w:ascii="Arial" w:cs="Arial" w:eastAsia="Arial" w:hAnsi="Arial"/>
                <w:sz w:val="10"/>
                <w:szCs w:val="10"/>
                <w:color w:val="auto"/>
              </w:rPr>
              <w:t>114</w:t>
            </w:r>
          </w:p>
        </w:tc>
        <w:tc>
          <w:tcPr>
            <w:tcW w:w="900" w:type="dxa"/>
            <w:vAlign w:val="bottom"/>
          </w:tcPr>
          <w:p>
            <w:pPr>
              <w:jc w:val="right"/>
              <w:spacing w:after="0"/>
              <w:rPr>
                <w:sz w:val="20"/>
                <w:szCs w:val="20"/>
                <w:color w:val="auto"/>
              </w:rPr>
            </w:pPr>
            <w:r>
              <w:rPr>
                <w:rFonts w:ascii="Arial" w:cs="Arial" w:eastAsia="Arial" w:hAnsi="Arial"/>
                <w:sz w:val="10"/>
                <w:szCs w:val="10"/>
                <w:color w:val="auto"/>
              </w:rPr>
              <w:t>235</w:t>
            </w:r>
          </w:p>
        </w:tc>
        <w:tc>
          <w:tcPr>
            <w:tcW w:w="1320" w:type="dxa"/>
            <w:vAlign w:val="bottom"/>
          </w:tcPr>
          <w:p>
            <w:pPr>
              <w:jc w:val="right"/>
              <w:ind w:right="212"/>
              <w:spacing w:after="0"/>
              <w:rPr>
                <w:sz w:val="20"/>
                <w:szCs w:val="20"/>
                <w:color w:val="auto"/>
              </w:rPr>
            </w:pPr>
            <w:r>
              <w:rPr>
                <w:rFonts w:ascii="Arial" w:cs="Arial" w:eastAsia="Arial" w:hAnsi="Arial"/>
                <w:sz w:val="10"/>
                <w:szCs w:val="10"/>
                <w:color w:val="auto"/>
              </w:rPr>
              <w:t>29</w:t>
            </w:r>
          </w:p>
        </w:tc>
        <w:tc>
          <w:tcPr>
            <w:tcW w:w="900" w:type="dxa"/>
            <w:vAlign w:val="bottom"/>
          </w:tcPr>
          <w:p>
            <w:pPr>
              <w:jc w:val="right"/>
              <w:spacing w:after="0"/>
              <w:rPr>
                <w:sz w:val="20"/>
                <w:szCs w:val="20"/>
                <w:color w:val="auto"/>
              </w:rPr>
            </w:pPr>
            <w:r>
              <w:rPr>
                <w:rFonts w:ascii="Arial" w:cs="Arial" w:eastAsia="Arial" w:hAnsi="Arial"/>
                <w:sz w:val="10"/>
                <w:szCs w:val="10"/>
                <w:color w:val="auto"/>
              </w:rPr>
              <w:t>2,180</w:t>
            </w:r>
          </w:p>
        </w:tc>
        <w:tc>
          <w:tcPr>
            <w:tcW w:w="0" w:type="dxa"/>
            <w:vAlign w:val="bottom"/>
          </w:tcPr>
          <w:p>
            <w:pPr>
              <w:spacing w:after="0"/>
              <w:rPr>
                <w:sz w:val="1"/>
                <w:szCs w:val="1"/>
                <w:color w:val="auto"/>
              </w:rPr>
            </w:pPr>
          </w:p>
        </w:tc>
      </w:tr>
      <w:tr>
        <w:trPr>
          <w:trHeight w:val="126"/>
        </w:trPr>
        <w:tc>
          <w:tcPr>
            <w:tcW w:w="3220" w:type="dxa"/>
            <w:vAlign w:val="bottom"/>
          </w:tcPr>
          <w:p>
            <w:pPr>
              <w:ind w:left="220"/>
              <w:spacing w:after="0"/>
              <w:rPr>
                <w:sz w:val="20"/>
                <w:szCs w:val="20"/>
                <w:color w:val="auto"/>
              </w:rPr>
            </w:pPr>
            <w:r>
              <w:rPr>
                <w:rFonts w:ascii="Arial" w:cs="Arial" w:eastAsia="Arial" w:hAnsi="Arial"/>
                <w:sz w:val="10"/>
                <w:szCs w:val="10"/>
                <w:color w:val="auto"/>
              </w:rPr>
              <w:t>Improved recovery</w:t>
            </w:r>
          </w:p>
        </w:tc>
        <w:tc>
          <w:tcPr>
            <w:tcW w:w="5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212"/>
              <w:spacing w:after="0"/>
              <w:rPr>
                <w:sz w:val="20"/>
                <w:szCs w:val="20"/>
                <w:color w:val="auto"/>
              </w:rPr>
            </w:pPr>
            <w:r>
              <w:rPr>
                <w:rFonts w:ascii="Arial" w:cs="Arial" w:eastAsia="Arial" w:hAnsi="Arial"/>
                <w:sz w:val="10"/>
                <w:szCs w:val="10"/>
                <w:color w:val="auto"/>
              </w:rPr>
              <w:t>3</w:t>
            </w:r>
          </w:p>
        </w:tc>
        <w:tc>
          <w:tcPr>
            <w:tcW w:w="900" w:type="dxa"/>
            <w:vAlign w:val="bottom"/>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26"/>
        </w:trPr>
        <w:tc>
          <w:tcPr>
            <w:tcW w:w="3220" w:type="dxa"/>
            <w:vAlign w:val="bottom"/>
          </w:tcPr>
          <w:p>
            <w:pPr>
              <w:ind w:left="220"/>
              <w:spacing w:after="0"/>
              <w:rPr>
                <w:sz w:val="20"/>
                <w:szCs w:val="20"/>
                <w:color w:val="auto"/>
              </w:rPr>
            </w:pPr>
            <w:r>
              <w:rPr>
                <w:rFonts w:ascii="Arial" w:cs="Arial" w:eastAsia="Arial" w:hAnsi="Arial"/>
                <w:sz w:val="10"/>
                <w:szCs w:val="10"/>
                <w:color w:val="auto"/>
              </w:rPr>
              <w:t>Extensions and discoveries</w:t>
            </w:r>
          </w:p>
        </w:tc>
        <w:tc>
          <w:tcPr>
            <w:tcW w:w="5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36</w:t>
            </w:r>
          </w:p>
        </w:tc>
        <w:tc>
          <w:tcPr>
            <w:tcW w:w="11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152</w:t>
            </w:r>
          </w:p>
        </w:tc>
        <w:tc>
          <w:tcPr>
            <w:tcW w:w="1320" w:type="dxa"/>
            <w:vAlign w:val="bottom"/>
          </w:tcPr>
          <w:p>
            <w:pPr>
              <w:jc w:val="right"/>
              <w:ind w:right="192"/>
              <w:spacing w:after="0"/>
              <w:rPr>
                <w:sz w:val="20"/>
                <w:szCs w:val="20"/>
                <w:color w:val="auto"/>
              </w:rPr>
            </w:pPr>
            <w:r>
              <w:rPr>
                <w:rFonts w:ascii="Arial" w:cs="Arial" w:eastAsia="Arial" w:hAnsi="Arial"/>
                <w:sz w:val="10"/>
                <w:szCs w:val="10"/>
                <w:color w:val="auto"/>
              </w:rPr>
              <w:t>142</w:t>
            </w:r>
          </w:p>
        </w:tc>
        <w:tc>
          <w:tcPr>
            <w:tcW w:w="900" w:type="dxa"/>
            <w:vAlign w:val="bottom"/>
          </w:tcPr>
          <w:p>
            <w:pPr>
              <w:jc w:val="right"/>
              <w:spacing w:after="0"/>
              <w:rPr>
                <w:sz w:val="20"/>
                <w:szCs w:val="20"/>
                <w:color w:val="auto"/>
              </w:rPr>
            </w:pPr>
            <w:r>
              <w:rPr>
                <w:rFonts w:ascii="Arial" w:cs="Arial" w:eastAsia="Arial" w:hAnsi="Arial"/>
                <w:sz w:val="10"/>
                <w:szCs w:val="10"/>
                <w:color w:val="auto"/>
              </w:rPr>
              <w:t>317</w:t>
            </w:r>
          </w:p>
        </w:tc>
        <w:tc>
          <w:tcPr>
            <w:tcW w:w="1320" w:type="dxa"/>
            <w:vAlign w:val="bottom"/>
          </w:tcPr>
          <w:p>
            <w:pPr>
              <w:jc w:val="right"/>
              <w:ind w:right="212"/>
              <w:spacing w:after="0"/>
              <w:rPr>
                <w:sz w:val="20"/>
                <w:szCs w:val="20"/>
                <w:color w:val="auto"/>
              </w:rPr>
            </w:pPr>
            <w:r>
              <w:rPr>
                <w:rFonts w:ascii="Arial" w:cs="Arial" w:eastAsia="Arial" w:hAnsi="Arial"/>
                <w:sz w:val="10"/>
                <w:szCs w:val="10"/>
                <w:color w:val="auto"/>
              </w:rPr>
              <w:t>37</w:t>
            </w:r>
          </w:p>
        </w:tc>
        <w:tc>
          <w:tcPr>
            <w:tcW w:w="900" w:type="dxa"/>
            <w:vAlign w:val="bottom"/>
          </w:tcPr>
          <w:p>
            <w:pPr>
              <w:jc w:val="right"/>
              <w:spacing w:after="0"/>
              <w:rPr>
                <w:sz w:val="20"/>
                <w:szCs w:val="20"/>
                <w:color w:val="auto"/>
              </w:rPr>
            </w:pPr>
            <w:r>
              <w:rPr>
                <w:rFonts w:ascii="Arial" w:cs="Arial" w:eastAsia="Arial" w:hAnsi="Arial"/>
                <w:sz w:val="10"/>
                <w:szCs w:val="10"/>
                <w:color w:val="auto"/>
              </w:rPr>
              <w:t>684</w:t>
            </w:r>
          </w:p>
        </w:tc>
        <w:tc>
          <w:tcPr>
            <w:tcW w:w="0" w:type="dxa"/>
            <w:vAlign w:val="bottom"/>
          </w:tcPr>
          <w:p>
            <w:pPr>
              <w:spacing w:after="0"/>
              <w:rPr>
                <w:sz w:val="1"/>
                <w:szCs w:val="1"/>
                <w:color w:val="auto"/>
              </w:rPr>
            </w:pPr>
          </w:p>
        </w:tc>
      </w:tr>
      <w:tr>
        <w:trPr>
          <w:trHeight w:val="126"/>
        </w:trPr>
        <w:tc>
          <w:tcPr>
            <w:tcW w:w="3220" w:type="dxa"/>
            <w:vAlign w:val="bottom"/>
          </w:tcPr>
          <w:p>
            <w:pPr>
              <w:ind w:left="220"/>
              <w:spacing w:after="0"/>
              <w:rPr>
                <w:sz w:val="20"/>
                <w:szCs w:val="20"/>
                <w:color w:val="auto"/>
              </w:rPr>
            </w:pPr>
            <w:r>
              <w:rPr>
                <w:rFonts w:ascii="Arial" w:cs="Arial" w:eastAsia="Arial" w:hAnsi="Arial"/>
                <w:sz w:val="10"/>
                <w:szCs w:val="10"/>
                <w:color w:val="auto"/>
              </w:rPr>
              <w:t>Purchases of minerals in place</w:t>
            </w:r>
          </w:p>
        </w:tc>
        <w:tc>
          <w:tcPr>
            <w:tcW w:w="5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92"/>
              <w:spacing w:after="0"/>
              <w:rPr>
                <w:sz w:val="20"/>
                <w:szCs w:val="20"/>
                <w:color w:val="auto"/>
              </w:rPr>
            </w:pPr>
            <w:r>
              <w:rPr>
                <w:rFonts w:ascii="Arial" w:cs="Arial" w:eastAsia="Arial" w:hAnsi="Arial"/>
                <w:sz w:val="10"/>
                <w:szCs w:val="10"/>
                <w:color w:val="auto"/>
              </w:rPr>
              <w:t>5</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26"/>
        </w:trPr>
        <w:tc>
          <w:tcPr>
            <w:tcW w:w="3220" w:type="dxa"/>
            <w:vAlign w:val="bottom"/>
          </w:tcPr>
          <w:p>
            <w:pPr>
              <w:ind w:left="220"/>
              <w:spacing w:after="0"/>
              <w:rPr>
                <w:sz w:val="20"/>
                <w:szCs w:val="20"/>
                <w:color w:val="auto"/>
              </w:rPr>
            </w:pPr>
            <w:r>
              <w:rPr>
                <w:rFonts w:ascii="Arial" w:cs="Arial" w:eastAsia="Arial" w:hAnsi="Arial"/>
                <w:sz w:val="10"/>
                <w:szCs w:val="10"/>
                <w:color w:val="auto"/>
              </w:rPr>
              <w:t>Sales of minerals in place</w:t>
            </w:r>
          </w:p>
        </w:tc>
        <w:tc>
          <w:tcPr>
            <w:tcW w:w="560" w:type="dxa"/>
            <w:vAlign w:val="bottom"/>
          </w:tcPr>
          <w:p>
            <w:pPr>
              <w:jc w:val="right"/>
              <w:ind w:right="212"/>
              <w:spacing w:after="0"/>
              <w:rPr>
                <w:sz w:val="20"/>
                <w:szCs w:val="20"/>
                <w:color w:val="auto"/>
              </w:rPr>
            </w:pPr>
            <w:r>
              <w:rPr>
                <w:rFonts w:ascii="Arial" w:cs="Arial" w:eastAsia="Arial" w:hAnsi="Arial"/>
                <w:sz w:val="10"/>
                <w:szCs w:val="10"/>
                <w:color w:val="auto"/>
              </w:rPr>
              <w:t>(210)</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72"/>
              <w:spacing w:after="0"/>
              <w:rPr>
                <w:sz w:val="20"/>
                <w:szCs w:val="20"/>
                <w:color w:val="auto"/>
              </w:rPr>
            </w:pPr>
            <w:r>
              <w:rPr>
                <w:rFonts w:ascii="Arial" w:cs="Arial" w:eastAsia="Arial" w:hAnsi="Arial"/>
                <w:sz w:val="10"/>
                <w:szCs w:val="10"/>
                <w:color w:val="auto"/>
              </w:rPr>
              <w:t>(132)</w:t>
            </w:r>
          </w:p>
        </w:tc>
        <w:tc>
          <w:tcPr>
            <w:tcW w:w="900" w:type="dxa"/>
            <w:vAlign w:val="bottom"/>
          </w:tcPr>
          <w:p>
            <w:pPr>
              <w:jc w:val="right"/>
              <w:spacing w:after="0"/>
              <w:rPr>
                <w:sz w:val="20"/>
                <w:szCs w:val="20"/>
                <w:color w:val="auto"/>
              </w:rPr>
            </w:pPr>
            <w:r>
              <w:rPr>
                <w:rFonts w:ascii="Arial" w:cs="Arial" w:eastAsia="Arial" w:hAnsi="Arial"/>
                <w:sz w:val="10"/>
                <w:szCs w:val="10"/>
                <w:color w:val="auto"/>
              </w:rPr>
              <w:t>(30)</w:t>
            </w:r>
          </w:p>
        </w:tc>
        <w:tc>
          <w:tcPr>
            <w:tcW w:w="13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(372)</w:t>
            </w:r>
          </w:p>
        </w:tc>
        <w:tc>
          <w:tcPr>
            <w:tcW w:w="0" w:type="dxa"/>
            <w:vAlign w:val="bottom"/>
          </w:tcPr>
          <w:p>
            <w:pPr>
              <w:spacing w:after="0"/>
              <w:rPr>
                <w:sz w:val="1"/>
                <w:szCs w:val="1"/>
                <w:color w:val="auto"/>
              </w:rPr>
            </w:pPr>
          </w:p>
        </w:tc>
      </w:tr>
      <w:tr>
        <w:trPr>
          <w:trHeight w:val="130"/>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Production [A]</w:t>
            </w: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(346)</w:t>
            </w: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(908)</w:t>
            </w: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(766)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(378)</w:t>
            </w: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(408)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(230)</w:t>
            </w: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(319)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(3,355)</w:t>
            </w:r>
          </w:p>
        </w:tc>
        <w:tc>
          <w:tcPr>
            <w:tcW w:w="0" w:type="dxa"/>
            <w:vAlign w:val="bottom"/>
          </w:tcPr>
          <w:p>
            <w:pPr>
              <w:spacing w:after="0"/>
              <w:rPr>
                <w:sz w:val="1"/>
                <w:szCs w:val="1"/>
                <w:color w:val="auto"/>
              </w:rPr>
            </w:pPr>
          </w:p>
        </w:tc>
      </w:tr>
      <w:tr>
        <w:trPr>
          <w:trHeight w:val="117"/>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5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2,998</w:t>
            </w: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10,618</w:t>
            </w: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8,360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2,608</w:t>
            </w: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1,868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1,281</w:t>
            </w: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1,259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28,992</w:t>
            </w:r>
          </w:p>
        </w:tc>
        <w:tc>
          <w:tcPr>
            <w:tcW w:w="0" w:type="dxa"/>
            <w:vAlign w:val="bottom"/>
          </w:tcPr>
          <w:p>
            <w:pPr>
              <w:spacing w:after="0"/>
              <w:rPr>
                <w:sz w:val="1"/>
                <w:szCs w:val="1"/>
                <w:color w:val="auto"/>
              </w:rPr>
            </w:pPr>
          </w:p>
        </w:tc>
      </w:tr>
      <w:tr>
        <w:trPr>
          <w:trHeight w:val="113"/>
        </w:trPr>
        <w:tc>
          <w:tcPr>
            <w:tcW w:w="3220" w:type="dxa"/>
            <w:vAlign w:val="bottom"/>
          </w:tcPr>
          <w:p>
            <w:pPr>
              <w:spacing w:after="0" w:line="113" w:lineRule="exact"/>
              <w:rPr>
                <w:sz w:val="20"/>
                <w:szCs w:val="20"/>
                <w:color w:val="auto"/>
              </w:rPr>
            </w:pPr>
            <w:r>
              <w:rPr>
                <w:rFonts w:ascii="Arial" w:cs="Arial" w:eastAsia="Arial" w:hAnsi="Arial"/>
                <w:sz w:val="10"/>
                <w:szCs w:val="10"/>
                <w:color w:val="auto"/>
              </w:rPr>
              <w:t>Shell share of joint ventures and associates</w:t>
            </w: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22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560" w:type="dxa"/>
            <w:vAlign w:val="bottom"/>
          </w:tcPr>
          <w:p>
            <w:pPr>
              <w:jc w:val="right"/>
              <w:ind w:right="232"/>
              <w:spacing w:after="0"/>
              <w:rPr>
                <w:sz w:val="20"/>
                <w:szCs w:val="20"/>
                <w:color w:val="auto"/>
              </w:rPr>
            </w:pPr>
            <w:r>
              <w:rPr>
                <w:rFonts w:ascii="Arial" w:cs="Arial" w:eastAsia="Arial" w:hAnsi="Arial"/>
                <w:sz w:val="10"/>
                <w:szCs w:val="10"/>
                <w:color w:val="auto"/>
              </w:rPr>
              <w:t>1,163</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4,581</w:t>
            </w:r>
          </w:p>
        </w:tc>
        <w:tc>
          <w:tcPr>
            <w:tcW w:w="1120" w:type="dxa"/>
            <w:vAlign w:val="bottom"/>
          </w:tcPr>
          <w:p>
            <w:pPr>
              <w:jc w:val="right"/>
              <w:ind w:right="192"/>
              <w:spacing w:after="0"/>
              <w:rPr>
                <w:sz w:val="20"/>
                <w:szCs w:val="20"/>
                <w:color w:val="auto"/>
              </w:rPr>
            </w:pPr>
            <w:r>
              <w:rPr>
                <w:rFonts w:ascii="Arial" w:cs="Arial" w:eastAsia="Arial" w:hAnsi="Arial"/>
                <w:sz w:val="10"/>
                <w:szCs w:val="10"/>
                <w:color w:val="auto"/>
              </w:rPr>
              <w:t>24</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5,768</w:t>
            </w:r>
          </w:p>
        </w:tc>
        <w:tc>
          <w:tcPr>
            <w:tcW w:w="0" w:type="dxa"/>
            <w:vAlign w:val="bottom"/>
          </w:tcPr>
          <w:p>
            <w:pPr>
              <w:spacing w:after="0"/>
              <w:rPr>
                <w:sz w:val="1"/>
                <w:szCs w:val="1"/>
                <w:color w:val="auto"/>
              </w:rPr>
            </w:pPr>
          </w:p>
        </w:tc>
      </w:tr>
      <w:tr>
        <w:trPr>
          <w:trHeight w:val="126"/>
        </w:trPr>
        <w:tc>
          <w:tcPr>
            <w:tcW w:w="3220" w:type="dxa"/>
            <w:vAlign w:val="bottom"/>
          </w:tcPr>
          <w:p>
            <w:pPr>
              <w:ind w:left="220"/>
              <w:spacing w:after="0"/>
              <w:rPr>
                <w:sz w:val="20"/>
                <w:szCs w:val="20"/>
                <w:color w:val="auto"/>
              </w:rPr>
            </w:pPr>
            <w:r>
              <w:rPr>
                <w:rFonts w:ascii="Arial" w:cs="Arial" w:eastAsia="Arial" w:hAnsi="Arial"/>
                <w:sz w:val="10"/>
                <w:szCs w:val="10"/>
                <w:color w:val="auto"/>
              </w:rPr>
              <w:t>Revisions and reclassifications</w:t>
            </w:r>
          </w:p>
        </w:tc>
        <w:tc>
          <w:tcPr>
            <w:tcW w:w="560" w:type="dxa"/>
            <w:vAlign w:val="bottom"/>
          </w:tcPr>
          <w:p>
            <w:pPr>
              <w:jc w:val="right"/>
              <w:ind w:right="212"/>
              <w:spacing w:after="0"/>
              <w:rPr>
                <w:sz w:val="20"/>
                <w:szCs w:val="20"/>
                <w:color w:val="auto"/>
              </w:rPr>
            </w:pPr>
            <w:r>
              <w:rPr>
                <w:rFonts w:ascii="Arial" w:cs="Arial" w:eastAsia="Arial" w:hAnsi="Arial"/>
                <w:sz w:val="10"/>
                <w:szCs w:val="10"/>
                <w:color w:val="auto"/>
              </w:rPr>
              <w:t>(322)</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64</w:t>
            </w:r>
          </w:p>
        </w:tc>
        <w:tc>
          <w:tcPr>
            <w:tcW w:w="1120" w:type="dxa"/>
            <w:vAlign w:val="bottom"/>
          </w:tcPr>
          <w:p>
            <w:pPr>
              <w:jc w:val="right"/>
              <w:ind w:right="192"/>
              <w:spacing w:after="0"/>
              <w:rPr>
                <w:sz w:val="20"/>
                <w:szCs w:val="20"/>
                <w:color w:val="auto"/>
              </w:rPr>
            </w:pPr>
            <w:r>
              <w:rPr>
                <w:rFonts w:ascii="Arial" w:cs="Arial" w:eastAsia="Arial" w:hAnsi="Arial"/>
                <w:sz w:val="10"/>
                <w:szCs w:val="10"/>
                <w:color w:val="auto"/>
              </w:rPr>
              <w:t>34</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(224)</w:t>
            </w:r>
          </w:p>
        </w:tc>
        <w:tc>
          <w:tcPr>
            <w:tcW w:w="0" w:type="dxa"/>
            <w:vAlign w:val="bottom"/>
          </w:tcPr>
          <w:p>
            <w:pPr>
              <w:spacing w:after="0"/>
              <w:rPr>
                <w:sz w:val="1"/>
                <w:szCs w:val="1"/>
                <w:color w:val="auto"/>
              </w:rPr>
            </w:pPr>
          </w:p>
        </w:tc>
      </w:tr>
      <w:tr>
        <w:trPr>
          <w:trHeight w:val="126"/>
        </w:trPr>
        <w:tc>
          <w:tcPr>
            <w:tcW w:w="3220" w:type="dxa"/>
            <w:vAlign w:val="bottom"/>
          </w:tcPr>
          <w:p>
            <w:pPr>
              <w:ind w:left="220"/>
              <w:spacing w:after="0"/>
              <w:rPr>
                <w:sz w:val="20"/>
                <w:szCs w:val="20"/>
                <w:color w:val="auto"/>
              </w:rPr>
            </w:pPr>
            <w:r>
              <w:rPr>
                <w:rFonts w:ascii="Arial" w:cs="Arial" w:eastAsia="Arial" w:hAnsi="Arial"/>
                <w:sz w:val="10"/>
                <w:szCs w:val="10"/>
                <w:color w:val="auto"/>
              </w:rPr>
              <w:t>Improved recovery</w:t>
            </w:r>
          </w:p>
        </w:tc>
        <w:tc>
          <w:tcPr>
            <w:tcW w:w="5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1</w:t>
            </w:r>
          </w:p>
        </w:tc>
        <w:tc>
          <w:tcPr>
            <w:tcW w:w="11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6"/>
        </w:trPr>
        <w:tc>
          <w:tcPr>
            <w:tcW w:w="3220" w:type="dxa"/>
            <w:vAlign w:val="bottom"/>
          </w:tcPr>
          <w:p>
            <w:pPr>
              <w:ind w:left="220"/>
              <w:spacing w:after="0"/>
              <w:rPr>
                <w:sz w:val="20"/>
                <w:szCs w:val="20"/>
                <w:color w:val="auto"/>
              </w:rPr>
            </w:pPr>
            <w:r>
              <w:rPr>
                <w:rFonts w:ascii="Arial" w:cs="Arial" w:eastAsia="Arial" w:hAnsi="Arial"/>
                <w:sz w:val="10"/>
                <w:szCs w:val="10"/>
                <w:color w:val="auto"/>
              </w:rPr>
              <w:t>Extensions and discoveries</w:t>
            </w:r>
          </w:p>
        </w:tc>
        <w:tc>
          <w:tcPr>
            <w:tcW w:w="5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5</w:t>
            </w:r>
          </w:p>
        </w:tc>
        <w:tc>
          <w:tcPr>
            <w:tcW w:w="11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26"/>
        </w:trPr>
        <w:tc>
          <w:tcPr>
            <w:tcW w:w="3220" w:type="dxa"/>
            <w:vAlign w:val="bottom"/>
          </w:tcPr>
          <w:p>
            <w:pPr>
              <w:ind w:left="220"/>
              <w:spacing w:after="0"/>
              <w:rPr>
                <w:sz w:val="20"/>
                <w:szCs w:val="20"/>
                <w:color w:val="auto"/>
              </w:rPr>
            </w:pPr>
            <w:r>
              <w:rPr>
                <w:rFonts w:ascii="Arial" w:cs="Arial" w:eastAsia="Arial" w:hAnsi="Arial"/>
                <w:sz w:val="10"/>
                <w:szCs w:val="10"/>
                <w:color w:val="auto"/>
              </w:rPr>
              <w:t>Purchases of minerals in place</w:t>
            </w:r>
          </w:p>
        </w:tc>
        <w:tc>
          <w:tcPr>
            <w:tcW w:w="5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220" w:type="dxa"/>
            <w:vAlign w:val="bottom"/>
          </w:tcPr>
          <w:p>
            <w:pPr>
              <w:ind w:left="220"/>
              <w:spacing w:after="0"/>
              <w:rPr>
                <w:sz w:val="20"/>
                <w:szCs w:val="20"/>
                <w:color w:val="auto"/>
              </w:rPr>
            </w:pPr>
            <w:r>
              <w:rPr>
                <w:rFonts w:ascii="Arial" w:cs="Arial" w:eastAsia="Arial" w:hAnsi="Arial"/>
                <w:sz w:val="10"/>
                <w:szCs w:val="10"/>
                <w:color w:val="auto"/>
              </w:rPr>
              <w:t>Sales of minerals in place</w:t>
            </w:r>
          </w:p>
        </w:tc>
        <w:tc>
          <w:tcPr>
            <w:tcW w:w="5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Production [B]</w:t>
            </w: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(246)</w:t>
            </w: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(453)</w:t>
            </w: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(22)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(721)</w:t>
            </w:r>
          </w:p>
        </w:tc>
        <w:tc>
          <w:tcPr>
            <w:tcW w:w="0" w:type="dxa"/>
            <w:vAlign w:val="bottom"/>
          </w:tcPr>
          <w:p>
            <w:pPr>
              <w:spacing w:after="0"/>
              <w:rPr>
                <w:sz w:val="1"/>
                <w:szCs w:val="1"/>
                <w:color w:val="auto"/>
              </w:rPr>
            </w:pPr>
          </w:p>
        </w:tc>
      </w:tr>
      <w:tr>
        <w:trPr>
          <w:trHeight w:val="117"/>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5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595</w:t>
            </w: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4,198</w:t>
            </w: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36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4,829</w:t>
            </w:r>
          </w:p>
        </w:tc>
        <w:tc>
          <w:tcPr>
            <w:tcW w:w="0" w:type="dxa"/>
            <w:vAlign w:val="bottom"/>
          </w:tcPr>
          <w:p>
            <w:pPr>
              <w:spacing w:after="0"/>
              <w:rPr>
                <w:sz w:val="1"/>
                <w:szCs w:val="1"/>
                <w:color w:val="auto"/>
              </w:rPr>
            </w:pPr>
          </w:p>
        </w:tc>
      </w:tr>
      <w:tr>
        <w:trPr>
          <w:trHeight w:val="115"/>
        </w:trPr>
        <w:tc>
          <w:tcPr>
            <w:tcW w:w="32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5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3,593</w:t>
            </w: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14,816</w:t>
            </w: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8,396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2,608</w:t>
            </w: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1,868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1,281</w:t>
            </w: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1,259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33,821</w:t>
            </w:r>
          </w:p>
        </w:tc>
        <w:tc>
          <w:tcPr>
            <w:tcW w:w="0" w:type="dxa"/>
            <w:vAlign w:val="bottom"/>
          </w:tcPr>
          <w:p>
            <w:pPr>
              <w:spacing w:after="0"/>
              <w:rPr>
                <w:sz w:val="1"/>
                <w:szCs w:val="1"/>
                <w:color w:val="auto"/>
              </w:rPr>
            </w:pPr>
          </w:p>
        </w:tc>
      </w:tr>
      <w:tr>
        <w:trPr>
          <w:trHeight w:val="81"/>
        </w:trPr>
        <w:tc>
          <w:tcPr>
            <w:tcW w:w="3220" w:type="dxa"/>
            <w:vAlign w:val="bottom"/>
          </w:tcPr>
          <w:p>
            <w:pPr>
              <w:spacing w:after="0" w:line="81" w:lineRule="exact"/>
              <w:rPr>
                <w:sz w:val="20"/>
                <w:szCs w:val="20"/>
                <w:color w:val="auto"/>
              </w:rPr>
            </w:pPr>
            <w:r>
              <w:rPr>
                <w:rFonts w:ascii="Arial" w:cs="Arial" w:eastAsia="Arial" w:hAnsi="Arial"/>
                <w:sz w:val="8"/>
                <w:szCs w:val="8"/>
                <w:color w:val="auto"/>
              </w:rPr>
              <w:t>Reserves attributable to non-controlling interest in shell</w:t>
            </w:r>
          </w:p>
        </w:tc>
        <w:tc>
          <w:tcPr>
            <w:tcW w:w="560" w:type="dxa"/>
            <w:vAlign w:val="bottom"/>
            <w:vMerge w:val="restart"/>
          </w:tcPr>
          <w:p>
            <w:pPr>
              <w:jc w:val="right"/>
              <w:ind w:right="232"/>
              <w:spacing w:after="0"/>
              <w:rPr>
                <w:sz w:val="20"/>
                <w:szCs w:val="20"/>
                <w:color w:val="auto"/>
              </w:rPr>
            </w:pPr>
            <w:r>
              <w:rPr>
                <w:rFonts w:ascii="Arial" w:cs="Arial" w:eastAsia="Arial" w:hAnsi="Arial"/>
                <w:sz w:val="10"/>
                <w:szCs w:val="10"/>
                <w:color w:val="auto"/>
              </w:rPr>
              <w:t>—</w:t>
            </w:r>
          </w:p>
        </w:tc>
        <w:tc>
          <w:tcPr>
            <w:tcW w:w="106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1120" w:type="dxa"/>
            <w:vAlign w:val="bottom"/>
            <w:vMerge w:val="restart"/>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320" w:type="dxa"/>
            <w:vAlign w:val="bottom"/>
            <w:vMerge w:val="restart"/>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320" w:type="dxa"/>
            <w:vAlign w:val="bottom"/>
            <w:vMerge w:val="restart"/>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32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subsidiaries at December 31</w:t>
            </w:r>
          </w:p>
        </w:tc>
        <w:tc>
          <w:tcPr>
            <w:tcW w:w="560" w:type="dxa"/>
            <w:vAlign w:val="bottom"/>
            <w:tcBorders>
              <w:bottom w:val="single" w:sz="8" w:color="auto"/>
            </w:tcBorders>
            <w:vMerge w:val="continue"/>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8" w:hanging="128"/>
        <w:spacing w:after="0"/>
        <w:tabs>
          <w:tab w:leader="none" w:pos="128" w:val="left"/>
        </w:tabs>
        <w:numPr>
          <w:ilvl w:val="0"/>
          <w:numId w:val="186"/>
        </w:numPr>
        <w:rPr>
          <w:rFonts w:ascii="Arial" w:cs="Arial" w:eastAsia="Arial" w:hAnsi="Arial"/>
          <w:sz w:val="7"/>
          <w:szCs w:val="7"/>
          <w:color w:val="auto"/>
        </w:rPr>
      </w:pPr>
      <w:r>
        <w:rPr>
          <w:rFonts w:ascii="Arial" w:cs="Arial" w:eastAsia="Arial" w:hAnsi="Arial"/>
          <w:sz w:val="7"/>
          <w:szCs w:val="7"/>
          <w:color w:val="auto"/>
        </w:rPr>
        <w:t>Includes 247 thousand million standard cubic feet consumed in operations.</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86"/>
        </w:numPr>
        <w:rPr>
          <w:rFonts w:ascii="Arial" w:cs="Arial" w:eastAsia="Arial" w:hAnsi="Arial"/>
          <w:sz w:val="7"/>
          <w:szCs w:val="7"/>
          <w:color w:val="auto"/>
        </w:rPr>
      </w:pPr>
      <w:r>
        <w:rPr>
          <w:rFonts w:ascii="Arial" w:cs="Arial" w:eastAsia="Arial" w:hAnsi="Arial"/>
          <w:sz w:val="7"/>
          <w:szCs w:val="7"/>
          <w:color w:val="auto"/>
        </w:rPr>
        <w:t>Includes 42 thousand million standard cubic feet consumed in operations.</w:t>
      </w:r>
    </w:p>
    <w:p>
      <w:pPr>
        <w:spacing w:after="0" w:line="6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20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Proved developed reserves 2019</w:t>
            </w:r>
          </w:p>
        </w:tc>
        <w:tc>
          <w:tcPr>
            <w:tcW w:w="740" w:type="dxa"/>
            <w:vAlign w:val="bottom"/>
            <w:tcBorders>
              <w:top w:val="single" w:sz="8" w:color="CDCDCD"/>
            </w:tcBorders>
          </w:tcPr>
          <w:p>
            <w:pPr>
              <w:spacing w:after="0"/>
              <w:rPr>
                <w:sz w:val="13"/>
                <w:szCs w:val="13"/>
                <w:color w:val="auto"/>
              </w:rPr>
            </w:pPr>
          </w:p>
        </w:tc>
        <w:tc>
          <w:tcPr>
            <w:tcW w:w="1100" w:type="dxa"/>
            <w:vAlign w:val="bottom"/>
            <w:tcBorders>
              <w:top w:val="single" w:sz="8" w:color="CDCDCD"/>
            </w:tcBorders>
          </w:tcPr>
          <w:p>
            <w:pPr>
              <w:spacing w:after="0"/>
              <w:rPr>
                <w:sz w:val="13"/>
                <w:szCs w:val="13"/>
                <w:color w:val="auto"/>
              </w:rPr>
            </w:pPr>
          </w:p>
        </w:tc>
        <w:tc>
          <w:tcPr>
            <w:tcW w:w="1140" w:type="dxa"/>
            <w:vAlign w:val="bottom"/>
            <w:tcBorders>
              <w:top w:val="single" w:sz="8" w:color="CDCDCD"/>
            </w:tcBorders>
          </w:tcPr>
          <w:p>
            <w:pPr>
              <w:spacing w:after="0"/>
              <w:rPr>
                <w:sz w:val="13"/>
                <w:szCs w:val="13"/>
                <w:color w:val="auto"/>
              </w:rPr>
            </w:pPr>
          </w:p>
        </w:tc>
        <w:tc>
          <w:tcPr>
            <w:tcW w:w="680" w:type="dxa"/>
            <w:vAlign w:val="bottom"/>
            <w:tcBorders>
              <w:top w:val="single" w:sz="8" w:color="CDCDCD"/>
            </w:tcBorders>
          </w:tcPr>
          <w:p>
            <w:pPr>
              <w:spacing w:after="0"/>
              <w:rPr>
                <w:sz w:val="13"/>
                <w:szCs w:val="13"/>
                <w:color w:val="auto"/>
              </w:rPr>
            </w:pPr>
          </w:p>
        </w:tc>
        <w:tc>
          <w:tcPr>
            <w:tcW w:w="1360" w:type="dxa"/>
            <w:vAlign w:val="bottom"/>
            <w:tcBorders>
              <w:top w:val="single" w:sz="8" w:color="CDCDCD"/>
            </w:tcBorders>
          </w:tcPr>
          <w:p>
            <w:pPr>
              <w:spacing w:after="0"/>
              <w:rPr>
                <w:sz w:val="13"/>
                <w:szCs w:val="13"/>
                <w:color w:val="auto"/>
              </w:rPr>
            </w:pPr>
          </w:p>
        </w:tc>
        <w:tc>
          <w:tcPr>
            <w:tcW w:w="860" w:type="dxa"/>
            <w:vAlign w:val="bottom"/>
            <w:tcBorders>
              <w:top w:val="single" w:sz="8" w:color="CDCDCD"/>
            </w:tcBorders>
          </w:tcPr>
          <w:p>
            <w:pPr>
              <w:spacing w:after="0"/>
              <w:rPr>
                <w:sz w:val="13"/>
                <w:szCs w:val="13"/>
                <w:color w:val="auto"/>
              </w:rPr>
            </w:pPr>
          </w:p>
        </w:tc>
        <w:tc>
          <w:tcPr>
            <w:tcW w:w="2220" w:type="dxa"/>
            <w:vAlign w:val="bottom"/>
            <w:tcBorders>
              <w:top w:val="single" w:sz="8" w:color="CDCDCD"/>
            </w:tcBorders>
            <w:gridSpan w:val="2"/>
          </w:tcPr>
          <w:p>
            <w:pPr>
              <w:jc w:val="right"/>
              <w:spacing w:after="0"/>
              <w:rPr>
                <w:sz w:val="20"/>
                <w:szCs w:val="20"/>
                <w:color w:val="auto"/>
              </w:rPr>
            </w:pPr>
            <w:r>
              <w:rPr>
                <w:rFonts w:ascii="Arial" w:cs="Arial" w:eastAsia="Arial" w:hAnsi="Arial"/>
                <w:sz w:val="10"/>
                <w:szCs w:val="10"/>
                <w:color w:val="auto"/>
              </w:rPr>
              <w:t>Thousand million standard cubic feet</w:t>
            </w:r>
          </w:p>
        </w:tc>
      </w:tr>
      <w:tr>
        <w:trPr>
          <w:trHeight w:val="145"/>
        </w:trPr>
        <w:tc>
          <w:tcPr>
            <w:tcW w:w="3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4"/>
        </w:trPr>
        <w:tc>
          <w:tcPr>
            <w:tcW w:w="3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99"/>
              </w:rPr>
              <w:t>Europe</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Asia</w:t>
            </w: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color w:val="auto"/>
              </w:rPr>
              <w:t>Oceania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Africa</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USA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Canada</w:t>
            </w:r>
          </w:p>
        </w:tc>
        <w:tc>
          <w:tcPr>
            <w:tcW w:w="148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South America</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r>
      <w:tr>
        <w:trPr>
          <w:trHeight w:val="114"/>
        </w:trPr>
        <w:tc>
          <w:tcPr>
            <w:tcW w:w="3200" w:type="dxa"/>
            <w:vAlign w:val="bottom"/>
          </w:tcPr>
          <w:p>
            <w:pPr>
              <w:spacing w:after="0"/>
              <w:rPr>
                <w:sz w:val="20"/>
                <w:szCs w:val="20"/>
                <w:color w:val="auto"/>
              </w:rPr>
            </w:pPr>
            <w:r>
              <w:rPr>
                <w:rFonts w:ascii="Arial" w:cs="Arial" w:eastAsia="Arial" w:hAnsi="Arial"/>
                <w:sz w:val="10"/>
                <w:szCs w:val="10"/>
                <w:color w:val="auto"/>
              </w:rPr>
              <w:t>Shell subsidiaries</w:t>
            </w: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3"/>
        </w:trPr>
        <w:tc>
          <w:tcPr>
            <w:tcW w:w="320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740" w:type="dxa"/>
            <w:vAlign w:val="bottom"/>
          </w:tcPr>
          <w:p>
            <w:pPr>
              <w:jc w:val="right"/>
              <w:ind w:right="392"/>
              <w:spacing w:after="0"/>
              <w:rPr>
                <w:sz w:val="20"/>
                <w:szCs w:val="20"/>
                <w:color w:val="auto"/>
              </w:rPr>
            </w:pPr>
            <w:r>
              <w:rPr>
                <w:rFonts w:ascii="Arial" w:cs="Arial" w:eastAsia="Arial" w:hAnsi="Arial"/>
                <w:sz w:val="10"/>
                <w:szCs w:val="10"/>
                <w:color w:val="auto"/>
              </w:rPr>
              <w:t>2,658</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10,092</w:t>
            </w:r>
          </w:p>
        </w:tc>
        <w:tc>
          <w:tcPr>
            <w:tcW w:w="1140" w:type="dxa"/>
            <w:vAlign w:val="bottom"/>
          </w:tcPr>
          <w:p>
            <w:pPr>
              <w:jc w:val="right"/>
              <w:ind w:right="413"/>
              <w:spacing w:after="0"/>
              <w:rPr>
                <w:sz w:val="20"/>
                <w:szCs w:val="20"/>
                <w:color w:val="auto"/>
              </w:rPr>
            </w:pPr>
            <w:r>
              <w:rPr>
                <w:rFonts w:ascii="Arial" w:cs="Arial" w:eastAsia="Arial" w:hAnsi="Arial"/>
                <w:sz w:val="10"/>
                <w:szCs w:val="10"/>
                <w:color w:val="auto"/>
              </w:rPr>
              <w:t>5,820</w:t>
            </w:r>
          </w:p>
        </w:tc>
        <w:tc>
          <w:tcPr>
            <w:tcW w:w="680" w:type="dxa"/>
            <w:vAlign w:val="bottom"/>
          </w:tcPr>
          <w:p>
            <w:pPr>
              <w:jc w:val="right"/>
              <w:spacing w:after="0"/>
              <w:rPr>
                <w:sz w:val="20"/>
                <w:szCs w:val="20"/>
                <w:color w:val="auto"/>
              </w:rPr>
            </w:pPr>
            <w:r>
              <w:rPr>
                <w:rFonts w:ascii="Arial" w:cs="Arial" w:eastAsia="Arial" w:hAnsi="Arial"/>
                <w:sz w:val="10"/>
                <w:szCs w:val="10"/>
                <w:color w:val="auto"/>
              </w:rPr>
              <w:t>1,573</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1,706</w:t>
            </w:r>
          </w:p>
        </w:tc>
        <w:tc>
          <w:tcPr>
            <w:tcW w:w="860" w:type="dxa"/>
            <w:vAlign w:val="bottom"/>
          </w:tcPr>
          <w:p>
            <w:pPr>
              <w:jc w:val="right"/>
              <w:spacing w:after="0"/>
              <w:rPr>
                <w:sz w:val="20"/>
                <w:szCs w:val="20"/>
                <w:color w:val="auto"/>
              </w:rPr>
            </w:pPr>
            <w:r>
              <w:rPr>
                <w:rFonts w:ascii="Arial" w:cs="Arial" w:eastAsia="Arial" w:hAnsi="Arial"/>
                <w:sz w:val="10"/>
                <w:szCs w:val="10"/>
                <w:color w:val="auto"/>
              </w:rPr>
              <w:t>721</w:t>
            </w:r>
          </w:p>
        </w:tc>
        <w:tc>
          <w:tcPr>
            <w:tcW w:w="1480" w:type="dxa"/>
            <w:vAlign w:val="bottom"/>
          </w:tcPr>
          <w:p>
            <w:pPr>
              <w:jc w:val="right"/>
              <w:ind w:right="372"/>
              <w:spacing w:after="0"/>
              <w:rPr>
                <w:sz w:val="20"/>
                <w:szCs w:val="20"/>
                <w:color w:val="auto"/>
              </w:rPr>
            </w:pPr>
            <w:r>
              <w:rPr>
                <w:rFonts w:ascii="Arial" w:cs="Arial" w:eastAsia="Arial" w:hAnsi="Arial"/>
                <w:sz w:val="10"/>
                <w:szCs w:val="10"/>
                <w:color w:val="auto"/>
              </w:rPr>
              <w:t>1,238</w:t>
            </w:r>
          </w:p>
        </w:tc>
        <w:tc>
          <w:tcPr>
            <w:tcW w:w="740" w:type="dxa"/>
            <w:vAlign w:val="bottom"/>
          </w:tcPr>
          <w:p>
            <w:pPr>
              <w:jc w:val="right"/>
              <w:spacing w:after="0"/>
              <w:rPr>
                <w:sz w:val="20"/>
                <w:szCs w:val="20"/>
                <w:color w:val="auto"/>
              </w:rPr>
            </w:pPr>
            <w:r>
              <w:rPr>
                <w:rFonts w:ascii="Arial" w:cs="Arial" w:eastAsia="Arial" w:hAnsi="Arial"/>
                <w:sz w:val="10"/>
                <w:szCs w:val="10"/>
                <w:color w:val="auto"/>
              </w:rPr>
              <w:t>23,808</w:t>
            </w:r>
          </w:p>
        </w:tc>
      </w:tr>
      <w:tr>
        <w:trPr>
          <w:trHeight w:val="130"/>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2,060</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10,091</w:t>
            </w: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0"/>
                <w:szCs w:val="10"/>
                <w:color w:val="auto"/>
              </w:rPr>
              <w:t>5,769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1,523</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1,615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781</w:t>
            </w: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968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22,807</w:t>
            </w:r>
          </w:p>
        </w:tc>
      </w:tr>
      <w:tr>
        <w:trPr>
          <w:trHeight w:val="114"/>
        </w:trPr>
        <w:tc>
          <w:tcPr>
            <w:tcW w:w="3200" w:type="dxa"/>
            <w:vAlign w:val="bottom"/>
          </w:tcPr>
          <w:p>
            <w:pPr>
              <w:spacing w:after="0"/>
              <w:rPr>
                <w:sz w:val="20"/>
                <w:szCs w:val="20"/>
                <w:color w:val="auto"/>
              </w:rPr>
            </w:pPr>
            <w:r>
              <w:rPr>
                <w:rFonts w:ascii="Arial" w:cs="Arial" w:eastAsia="Arial" w:hAnsi="Arial"/>
                <w:sz w:val="10"/>
                <w:szCs w:val="10"/>
                <w:color w:val="auto"/>
              </w:rPr>
              <w:t>Shell share of joint ventures and associates</w:t>
            </w: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3"/>
        </w:trPr>
        <w:tc>
          <w:tcPr>
            <w:tcW w:w="320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740" w:type="dxa"/>
            <w:vAlign w:val="bottom"/>
          </w:tcPr>
          <w:p>
            <w:pPr>
              <w:jc w:val="right"/>
              <w:ind w:right="392"/>
              <w:spacing w:after="0"/>
              <w:rPr>
                <w:sz w:val="20"/>
                <w:szCs w:val="20"/>
                <w:color w:val="auto"/>
              </w:rPr>
            </w:pPr>
            <w:r>
              <w:rPr>
                <w:rFonts w:ascii="Arial" w:cs="Arial" w:eastAsia="Arial" w:hAnsi="Arial"/>
                <w:sz w:val="10"/>
                <w:szCs w:val="10"/>
                <w:color w:val="auto"/>
              </w:rPr>
              <w:t>1,136</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3,938</w:t>
            </w:r>
          </w:p>
        </w:tc>
        <w:tc>
          <w:tcPr>
            <w:tcW w:w="1140" w:type="dxa"/>
            <w:vAlign w:val="bottom"/>
          </w:tcPr>
          <w:p>
            <w:pPr>
              <w:jc w:val="right"/>
              <w:ind w:right="413"/>
              <w:spacing w:after="0"/>
              <w:rPr>
                <w:sz w:val="20"/>
                <w:szCs w:val="20"/>
                <w:color w:val="auto"/>
              </w:rPr>
            </w:pPr>
            <w:r>
              <w:rPr>
                <w:rFonts w:ascii="Arial" w:cs="Arial" w:eastAsia="Arial" w:hAnsi="Arial"/>
                <w:sz w:val="10"/>
                <w:szCs w:val="10"/>
                <w:color w:val="auto"/>
              </w:rPr>
              <w:t>24</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48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5,099</w:t>
            </w:r>
          </w:p>
        </w:tc>
      </w:tr>
      <w:tr>
        <w:trPr>
          <w:trHeight w:val="130"/>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555</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3,519</w:t>
            </w: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0"/>
                <w:szCs w:val="10"/>
                <w:color w:val="auto"/>
              </w:rPr>
              <w:t>36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4,110</w:t>
            </w:r>
          </w:p>
        </w:tc>
      </w:tr>
      <w:tr>
        <w:trPr>
          <w:trHeight w:val="90"/>
        </w:trPr>
        <w:tc>
          <w:tcPr>
            <w:tcW w:w="3200" w:type="dxa"/>
            <w:vAlign w:val="bottom"/>
            <w:tcBorders>
              <w:bottom w:val="single" w:sz="8" w:color="CDCDCD"/>
            </w:tcBorders>
          </w:tcPr>
          <w:p>
            <w:pPr>
              <w:spacing w:after="0"/>
              <w:rPr>
                <w:sz w:val="7"/>
                <w:szCs w:val="7"/>
                <w:color w:val="auto"/>
              </w:rPr>
            </w:pPr>
          </w:p>
        </w:tc>
        <w:tc>
          <w:tcPr>
            <w:tcW w:w="740" w:type="dxa"/>
            <w:vAlign w:val="bottom"/>
            <w:tcBorders>
              <w:bottom w:val="single" w:sz="8" w:color="CDCDCD"/>
            </w:tcBorders>
          </w:tcPr>
          <w:p>
            <w:pPr>
              <w:spacing w:after="0"/>
              <w:rPr>
                <w:sz w:val="7"/>
                <w:szCs w:val="7"/>
                <w:color w:val="auto"/>
              </w:rPr>
            </w:pPr>
          </w:p>
        </w:tc>
        <w:tc>
          <w:tcPr>
            <w:tcW w:w="1100" w:type="dxa"/>
            <w:vAlign w:val="bottom"/>
            <w:tcBorders>
              <w:bottom w:val="single" w:sz="8" w:color="CDCDCD"/>
            </w:tcBorders>
          </w:tcPr>
          <w:p>
            <w:pPr>
              <w:spacing w:after="0"/>
              <w:rPr>
                <w:sz w:val="7"/>
                <w:szCs w:val="7"/>
                <w:color w:val="auto"/>
              </w:rPr>
            </w:pPr>
          </w:p>
        </w:tc>
        <w:tc>
          <w:tcPr>
            <w:tcW w:w="1140" w:type="dxa"/>
            <w:vAlign w:val="bottom"/>
            <w:tcBorders>
              <w:bottom w:val="single" w:sz="8" w:color="CDCDCD"/>
            </w:tcBorders>
          </w:tcPr>
          <w:p>
            <w:pPr>
              <w:spacing w:after="0"/>
              <w:rPr>
                <w:sz w:val="7"/>
                <w:szCs w:val="7"/>
                <w:color w:val="auto"/>
              </w:rPr>
            </w:pPr>
          </w:p>
        </w:tc>
        <w:tc>
          <w:tcPr>
            <w:tcW w:w="680" w:type="dxa"/>
            <w:vAlign w:val="bottom"/>
            <w:tcBorders>
              <w:bottom w:val="single" w:sz="8" w:color="CDCDCD"/>
            </w:tcBorders>
          </w:tcPr>
          <w:p>
            <w:pPr>
              <w:spacing w:after="0"/>
              <w:rPr>
                <w:sz w:val="7"/>
                <w:szCs w:val="7"/>
                <w:color w:val="auto"/>
              </w:rPr>
            </w:pPr>
          </w:p>
        </w:tc>
        <w:tc>
          <w:tcPr>
            <w:tcW w:w="1360" w:type="dxa"/>
            <w:vAlign w:val="bottom"/>
            <w:tcBorders>
              <w:bottom w:val="single" w:sz="8" w:color="CDCDCD"/>
            </w:tcBorders>
          </w:tcPr>
          <w:p>
            <w:pPr>
              <w:spacing w:after="0"/>
              <w:rPr>
                <w:sz w:val="7"/>
                <w:szCs w:val="7"/>
                <w:color w:val="auto"/>
              </w:rPr>
            </w:pPr>
          </w:p>
        </w:tc>
        <w:tc>
          <w:tcPr>
            <w:tcW w:w="860" w:type="dxa"/>
            <w:vAlign w:val="bottom"/>
            <w:tcBorders>
              <w:bottom w:val="single" w:sz="8" w:color="CDCDCD"/>
            </w:tcBorders>
          </w:tcPr>
          <w:p>
            <w:pPr>
              <w:spacing w:after="0"/>
              <w:rPr>
                <w:sz w:val="7"/>
                <w:szCs w:val="7"/>
                <w:color w:val="auto"/>
              </w:rPr>
            </w:pPr>
          </w:p>
        </w:tc>
        <w:tc>
          <w:tcPr>
            <w:tcW w:w="2220" w:type="dxa"/>
            <w:vAlign w:val="bottom"/>
            <w:tcBorders>
              <w:bottom w:val="single" w:sz="8" w:color="CDCDCD"/>
            </w:tcBorders>
            <w:gridSpan w:val="2"/>
          </w:tcPr>
          <w:p>
            <w:pPr>
              <w:spacing w:after="0"/>
              <w:rPr>
                <w:sz w:val="7"/>
                <w:szCs w:val="7"/>
                <w:color w:val="auto"/>
              </w:rPr>
            </w:pPr>
          </w:p>
        </w:tc>
      </w:t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Proved undeveloped reserves 2019</w:t>
            </w: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20" w:type="dxa"/>
            <w:vAlign w:val="bottom"/>
            <w:gridSpan w:val="2"/>
          </w:tcPr>
          <w:p>
            <w:pPr>
              <w:jc w:val="right"/>
              <w:spacing w:after="0"/>
              <w:rPr>
                <w:sz w:val="20"/>
                <w:szCs w:val="20"/>
                <w:color w:val="auto"/>
              </w:rPr>
            </w:pPr>
            <w:r>
              <w:rPr>
                <w:rFonts w:ascii="Arial" w:cs="Arial" w:eastAsia="Arial" w:hAnsi="Arial"/>
                <w:sz w:val="10"/>
                <w:szCs w:val="10"/>
                <w:color w:val="auto"/>
              </w:rPr>
              <w:t>Thousand million standard cubic feet</w:t>
            </w:r>
          </w:p>
        </w:tc>
      </w:tr>
      <w:tr>
        <w:trPr>
          <w:trHeight w:val="145"/>
        </w:trPr>
        <w:tc>
          <w:tcPr>
            <w:tcW w:w="3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4"/>
        </w:trPr>
        <w:tc>
          <w:tcPr>
            <w:tcW w:w="3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99"/>
              </w:rPr>
              <w:t>Europe</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Asia</w:t>
            </w: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color w:val="auto"/>
              </w:rPr>
              <w:t>Oceania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Africa</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USA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Canada</w:t>
            </w:r>
          </w:p>
        </w:tc>
        <w:tc>
          <w:tcPr>
            <w:tcW w:w="148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South America</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r>
      <w:tr>
        <w:trPr>
          <w:trHeight w:val="114"/>
        </w:trPr>
        <w:tc>
          <w:tcPr>
            <w:tcW w:w="3200" w:type="dxa"/>
            <w:vAlign w:val="bottom"/>
          </w:tcPr>
          <w:p>
            <w:pPr>
              <w:spacing w:after="0"/>
              <w:rPr>
                <w:sz w:val="20"/>
                <w:szCs w:val="20"/>
                <w:color w:val="auto"/>
              </w:rPr>
            </w:pPr>
            <w:r>
              <w:rPr>
                <w:rFonts w:ascii="Arial" w:cs="Arial" w:eastAsia="Arial" w:hAnsi="Arial"/>
                <w:sz w:val="10"/>
                <w:szCs w:val="10"/>
                <w:color w:val="auto"/>
              </w:rPr>
              <w:t>Shell subsidiaries</w:t>
            </w: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3"/>
        </w:trPr>
        <w:tc>
          <w:tcPr>
            <w:tcW w:w="320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740" w:type="dxa"/>
            <w:vAlign w:val="bottom"/>
          </w:tcPr>
          <w:p>
            <w:pPr>
              <w:jc w:val="right"/>
              <w:ind w:right="392"/>
              <w:spacing w:after="0"/>
              <w:rPr>
                <w:sz w:val="20"/>
                <w:szCs w:val="20"/>
                <w:color w:val="auto"/>
              </w:rPr>
            </w:pPr>
            <w:r>
              <w:rPr>
                <w:rFonts w:ascii="Arial" w:cs="Arial" w:eastAsia="Arial" w:hAnsi="Arial"/>
                <w:sz w:val="10"/>
                <w:szCs w:val="10"/>
                <w:color w:val="auto"/>
              </w:rPr>
              <w:t>942</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539</w:t>
            </w:r>
          </w:p>
        </w:tc>
        <w:tc>
          <w:tcPr>
            <w:tcW w:w="1140" w:type="dxa"/>
            <w:vAlign w:val="bottom"/>
          </w:tcPr>
          <w:p>
            <w:pPr>
              <w:jc w:val="right"/>
              <w:ind w:right="413"/>
              <w:spacing w:after="0"/>
              <w:rPr>
                <w:sz w:val="20"/>
                <w:szCs w:val="20"/>
                <w:color w:val="auto"/>
              </w:rPr>
            </w:pPr>
            <w:r>
              <w:rPr>
                <w:rFonts w:ascii="Arial" w:cs="Arial" w:eastAsia="Arial" w:hAnsi="Arial"/>
                <w:sz w:val="10"/>
                <w:szCs w:val="10"/>
                <w:color w:val="auto"/>
              </w:rPr>
              <w:t>2,607</w:t>
            </w:r>
          </w:p>
        </w:tc>
        <w:tc>
          <w:tcPr>
            <w:tcW w:w="680" w:type="dxa"/>
            <w:vAlign w:val="bottom"/>
          </w:tcPr>
          <w:p>
            <w:pPr>
              <w:jc w:val="right"/>
              <w:spacing w:after="0"/>
              <w:rPr>
                <w:sz w:val="20"/>
                <w:szCs w:val="20"/>
                <w:color w:val="auto"/>
              </w:rPr>
            </w:pPr>
            <w:r>
              <w:rPr>
                <w:rFonts w:ascii="Arial" w:cs="Arial" w:eastAsia="Arial" w:hAnsi="Arial"/>
                <w:sz w:val="10"/>
                <w:szCs w:val="10"/>
                <w:color w:val="auto"/>
              </w:rPr>
              <w:t>971</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441</w:t>
            </w:r>
          </w:p>
        </w:tc>
        <w:tc>
          <w:tcPr>
            <w:tcW w:w="860" w:type="dxa"/>
            <w:vAlign w:val="bottom"/>
          </w:tcPr>
          <w:p>
            <w:pPr>
              <w:jc w:val="right"/>
              <w:spacing w:after="0"/>
              <w:rPr>
                <w:sz w:val="20"/>
                <w:szCs w:val="20"/>
                <w:color w:val="auto"/>
              </w:rPr>
            </w:pPr>
            <w:r>
              <w:rPr>
                <w:rFonts w:ascii="Arial" w:cs="Arial" w:eastAsia="Arial" w:hAnsi="Arial"/>
                <w:sz w:val="10"/>
                <w:szCs w:val="10"/>
                <w:color w:val="auto"/>
              </w:rPr>
              <w:t>268</w:t>
            </w:r>
          </w:p>
        </w:tc>
        <w:tc>
          <w:tcPr>
            <w:tcW w:w="1480" w:type="dxa"/>
            <w:vAlign w:val="bottom"/>
          </w:tcPr>
          <w:p>
            <w:pPr>
              <w:jc w:val="right"/>
              <w:ind w:right="372"/>
              <w:spacing w:after="0"/>
              <w:rPr>
                <w:sz w:val="20"/>
                <w:szCs w:val="20"/>
                <w:color w:val="auto"/>
              </w:rPr>
            </w:pPr>
            <w:r>
              <w:rPr>
                <w:rFonts w:ascii="Arial" w:cs="Arial" w:eastAsia="Arial" w:hAnsi="Arial"/>
                <w:sz w:val="10"/>
                <w:szCs w:val="10"/>
                <w:color w:val="auto"/>
              </w:rPr>
              <w:t>271</w:t>
            </w:r>
          </w:p>
        </w:tc>
        <w:tc>
          <w:tcPr>
            <w:tcW w:w="740" w:type="dxa"/>
            <w:vAlign w:val="bottom"/>
          </w:tcPr>
          <w:p>
            <w:pPr>
              <w:jc w:val="right"/>
              <w:spacing w:after="0"/>
              <w:rPr>
                <w:sz w:val="20"/>
                <w:szCs w:val="20"/>
                <w:color w:val="auto"/>
              </w:rPr>
            </w:pPr>
            <w:r>
              <w:rPr>
                <w:rFonts w:ascii="Arial" w:cs="Arial" w:eastAsia="Arial" w:hAnsi="Arial"/>
                <w:sz w:val="10"/>
                <w:szCs w:val="10"/>
                <w:color w:val="auto"/>
              </w:rPr>
              <w:t>6,039</w:t>
            </w:r>
          </w:p>
        </w:tc>
      </w:tr>
      <w:tr>
        <w:trPr>
          <w:trHeight w:val="130"/>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937</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528</w:t>
            </w: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0"/>
                <w:szCs w:val="10"/>
                <w:color w:val="auto"/>
              </w:rPr>
              <w:t>2,591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1,085</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254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499</w:t>
            </w: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291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6,185</w:t>
            </w:r>
          </w:p>
        </w:tc>
      </w:tr>
      <w:tr>
        <w:trPr>
          <w:trHeight w:val="114"/>
        </w:trPr>
        <w:tc>
          <w:tcPr>
            <w:tcW w:w="3200" w:type="dxa"/>
            <w:vAlign w:val="bottom"/>
          </w:tcPr>
          <w:p>
            <w:pPr>
              <w:spacing w:after="0"/>
              <w:rPr>
                <w:sz w:val="20"/>
                <w:szCs w:val="20"/>
                <w:color w:val="auto"/>
              </w:rPr>
            </w:pPr>
            <w:r>
              <w:rPr>
                <w:rFonts w:ascii="Arial" w:cs="Arial" w:eastAsia="Arial" w:hAnsi="Arial"/>
                <w:sz w:val="10"/>
                <w:szCs w:val="10"/>
                <w:color w:val="auto"/>
              </w:rPr>
              <w:t>Shell share of joint ventures and associates</w:t>
            </w: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3"/>
        </w:trPr>
        <w:tc>
          <w:tcPr>
            <w:tcW w:w="320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740" w:type="dxa"/>
            <w:vAlign w:val="bottom"/>
          </w:tcPr>
          <w:p>
            <w:pPr>
              <w:jc w:val="right"/>
              <w:ind w:right="392"/>
              <w:spacing w:after="0"/>
              <w:rPr>
                <w:sz w:val="20"/>
                <w:szCs w:val="20"/>
                <w:color w:val="auto"/>
              </w:rPr>
            </w:pPr>
            <w:r>
              <w:rPr>
                <w:rFonts w:ascii="Arial" w:cs="Arial" w:eastAsia="Arial" w:hAnsi="Arial"/>
                <w:sz w:val="10"/>
                <w:szCs w:val="10"/>
                <w:color w:val="auto"/>
              </w:rPr>
              <w:t>27</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643</w:t>
            </w:r>
          </w:p>
        </w:tc>
        <w:tc>
          <w:tcPr>
            <w:tcW w:w="1140" w:type="dxa"/>
            <w:vAlign w:val="bottom"/>
          </w:tcPr>
          <w:p>
            <w:pPr>
              <w:jc w:val="right"/>
              <w:ind w:right="413"/>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48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670</w:t>
            </w:r>
          </w:p>
        </w:tc>
      </w:tr>
      <w:tr>
        <w:trPr>
          <w:trHeight w:val="130"/>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39</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680</w:t>
            </w: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719</w:t>
            </w:r>
          </w:p>
        </w:tc>
      </w:tr>
      <w:tr>
        <w:trPr>
          <w:trHeight w:val="490"/>
        </w:trPr>
        <w:tc>
          <w:tcPr>
            <w:tcW w:w="320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jc w:val="right"/>
              <w:ind w:right="493"/>
              <w:spacing w:after="0"/>
              <w:rPr>
                <w:sz w:val="20"/>
                <w:szCs w:val="20"/>
                <w:color w:val="auto"/>
              </w:rPr>
            </w:pPr>
            <w:r>
              <w:rPr>
                <w:rFonts w:ascii="Arial" w:cs="Arial" w:eastAsia="Arial" w:hAnsi="Arial"/>
                <w:sz w:val="7"/>
                <w:szCs w:val="7"/>
                <w:color w:val="auto"/>
              </w:rPr>
              <w:t>218</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2"/>
        </w:trPr>
        <w:tc>
          <w:tcPr>
            <w:tcW w:w="3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14" w:right="299" w:bottom="1440" w:gutter="0" w:footer="0" w:header="0"/>
        </w:sectPr>
      </w:pPr>
    </w:p>
    <w:bookmarkStart w:id="221" w:name="page222"/>
    <w:bookmarkEnd w:id="221"/>
    <w:tbl>
      <w:tblPr>
        <w:tblLayout w:type="fixed"/>
        <w:tblInd w:w="8" w:type="dxa"/>
        <w:tblCellMar>
          <w:top w:w="0" w:type="dxa"/>
          <w:left w:w="0" w:type="dxa"/>
          <w:bottom w:w="0" w:type="dxa"/>
          <w:right w:w="0" w:type="dxa"/>
        </w:tblCellMar>
      </w:tblPr>
      <w:tr>
        <w:trPr>
          <w:trHeight w:val="157"/>
        </w:trPr>
        <w:tc>
          <w:tcPr>
            <w:tcW w:w="270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Proved developed and undeveloped reserves 2018</w:t>
            </w:r>
          </w:p>
        </w:tc>
        <w:tc>
          <w:tcPr>
            <w:tcW w:w="1240" w:type="dxa"/>
            <w:vAlign w:val="bottom"/>
            <w:tcBorders>
              <w:top w:val="single" w:sz="8" w:color="CDCDCD"/>
            </w:tcBorders>
          </w:tcPr>
          <w:p>
            <w:pPr>
              <w:spacing w:after="0"/>
              <w:rPr>
                <w:sz w:val="13"/>
                <w:szCs w:val="13"/>
                <w:color w:val="auto"/>
              </w:rPr>
            </w:pPr>
          </w:p>
        </w:tc>
        <w:tc>
          <w:tcPr>
            <w:tcW w:w="1100" w:type="dxa"/>
            <w:vAlign w:val="bottom"/>
            <w:tcBorders>
              <w:top w:val="single" w:sz="8" w:color="CDCDCD"/>
            </w:tcBorders>
          </w:tcPr>
          <w:p>
            <w:pPr>
              <w:spacing w:after="0"/>
              <w:rPr>
                <w:sz w:val="13"/>
                <w:szCs w:val="13"/>
                <w:color w:val="auto"/>
              </w:rPr>
            </w:pPr>
          </w:p>
        </w:tc>
        <w:tc>
          <w:tcPr>
            <w:tcW w:w="1140" w:type="dxa"/>
            <w:vAlign w:val="bottom"/>
            <w:tcBorders>
              <w:top w:val="single" w:sz="8" w:color="CDCDCD"/>
            </w:tcBorders>
          </w:tcPr>
          <w:p>
            <w:pPr>
              <w:spacing w:after="0"/>
              <w:rPr>
                <w:sz w:val="13"/>
                <w:szCs w:val="13"/>
                <w:color w:val="auto"/>
              </w:rPr>
            </w:pPr>
          </w:p>
        </w:tc>
        <w:tc>
          <w:tcPr>
            <w:tcW w:w="680" w:type="dxa"/>
            <w:vAlign w:val="bottom"/>
            <w:tcBorders>
              <w:top w:val="single" w:sz="8" w:color="CDCDCD"/>
            </w:tcBorders>
          </w:tcPr>
          <w:p>
            <w:pPr>
              <w:spacing w:after="0"/>
              <w:rPr>
                <w:sz w:val="13"/>
                <w:szCs w:val="13"/>
                <w:color w:val="auto"/>
              </w:rPr>
            </w:pPr>
          </w:p>
        </w:tc>
        <w:tc>
          <w:tcPr>
            <w:tcW w:w="1360" w:type="dxa"/>
            <w:vAlign w:val="bottom"/>
            <w:tcBorders>
              <w:top w:val="single" w:sz="8" w:color="CDCDCD"/>
            </w:tcBorders>
          </w:tcPr>
          <w:p>
            <w:pPr>
              <w:spacing w:after="0"/>
              <w:rPr>
                <w:sz w:val="13"/>
                <w:szCs w:val="13"/>
                <w:color w:val="auto"/>
              </w:rPr>
            </w:pPr>
          </w:p>
        </w:tc>
        <w:tc>
          <w:tcPr>
            <w:tcW w:w="860" w:type="dxa"/>
            <w:vAlign w:val="bottom"/>
            <w:tcBorders>
              <w:top w:val="single" w:sz="8" w:color="CDCDCD"/>
            </w:tcBorders>
          </w:tcPr>
          <w:p>
            <w:pPr>
              <w:spacing w:after="0"/>
              <w:rPr>
                <w:sz w:val="13"/>
                <w:szCs w:val="13"/>
                <w:color w:val="auto"/>
              </w:rPr>
            </w:pPr>
          </w:p>
        </w:tc>
        <w:tc>
          <w:tcPr>
            <w:tcW w:w="2220" w:type="dxa"/>
            <w:vAlign w:val="bottom"/>
            <w:tcBorders>
              <w:top w:val="single" w:sz="8" w:color="CDCDCD"/>
            </w:tcBorders>
            <w:gridSpan w:val="2"/>
          </w:tcPr>
          <w:p>
            <w:pPr>
              <w:jc w:val="right"/>
              <w:spacing w:after="0"/>
              <w:rPr>
                <w:sz w:val="20"/>
                <w:szCs w:val="20"/>
                <w:color w:val="auto"/>
              </w:rPr>
            </w:pPr>
            <w:r>
              <w:rPr>
                <w:rFonts w:ascii="Arial" w:cs="Arial" w:eastAsia="Arial" w:hAnsi="Arial"/>
                <w:sz w:val="10"/>
                <w:szCs w:val="10"/>
                <w:color w:val="auto"/>
              </w:rPr>
              <w:t>Thousand million standard cubic feet</w:t>
            </w:r>
          </w:p>
        </w:tc>
        <w:tc>
          <w:tcPr>
            <w:tcW w:w="0" w:type="dxa"/>
            <w:vAlign w:val="bottom"/>
          </w:tcPr>
          <w:p>
            <w:pPr>
              <w:spacing w:after="0"/>
              <w:rPr>
                <w:sz w:val="1"/>
                <w:szCs w:val="1"/>
                <w:color w:val="auto"/>
              </w:rPr>
            </w:pPr>
          </w:p>
        </w:tc>
      </w:tr>
      <w:tr>
        <w:trPr>
          <w:trHeight w:val="145"/>
        </w:trPr>
        <w:tc>
          <w:tcPr>
            <w:tcW w:w="2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7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Europe</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Asia</w:t>
            </w: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Oceania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Africa</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USA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Canada</w:t>
            </w:r>
          </w:p>
        </w:tc>
        <w:tc>
          <w:tcPr>
            <w:tcW w:w="15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South America</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14"/>
        </w:trPr>
        <w:tc>
          <w:tcPr>
            <w:tcW w:w="2700" w:type="dxa"/>
            <w:vAlign w:val="bottom"/>
          </w:tcPr>
          <w:p>
            <w:pPr>
              <w:spacing w:after="0"/>
              <w:rPr>
                <w:sz w:val="20"/>
                <w:szCs w:val="20"/>
                <w:color w:val="auto"/>
              </w:rPr>
            </w:pPr>
            <w:r>
              <w:rPr>
                <w:rFonts w:ascii="Arial" w:cs="Arial" w:eastAsia="Arial" w:hAnsi="Arial"/>
                <w:sz w:val="10"/>
                <w:szCs w:val="10"/>
                <w:color w:val="auto"/>
              </w:rPr>
              <w:t>Shell subsidiaries</w:t>
            </w: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70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3,100</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11,822</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7,978</w:t>
            </w:r>
          </w:p>
        </w:tc>
        <w:tc>
          <w:tcPr>
            <w:tcW w:w="680" w:type="dxa"/>
            <w:vAlign w:val="bottom"/>
          </w:tcPr>
          <w:p>
            <w:pPr>
              <w:jc w:val="right"/>
              <w:spacing w:after="0"/>
              <w:rPr>
                <w:sz w:val="20"/>
                <w:szCs w:val="20"/>
                <w:color w:val="auto"/>
              </w:rPr>
            </w:pPr>
            <w:r>
              <w:rPr>
                <w:rFonts w:ascii="Arial" w:cs="Arial" w:eastAsia="Arial" w:hAnsi="Arial"/>
                <w:sz w:val="10"/>
                <w:szCs w:val="10"/>
                <w:color w:val="auto"/>
              </w:rPr>
              <w:t>2,082</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2,569</w:t>
            </w:r>
          </w:p>
        </w:tc>
        <w:tc>
          <w:tcPr>
            <w:tcW w:w="860" w:type="dxa"/>
            <w:vAlign w:val="bottom"/>
          </w:tcPr>
          <w:p>
            <w:pPr>
              <w:jc w:val="right"/>
              <w:spacing w:after="0"/>
              <w:rPr>
                <w:sz w:val="20"/>
                <w:szCs w:val="20"/>
                <w:color w:val="auto"/>
              </w:rPr>
            </w:pPr>
            <w:r>
              <w:rPr>
                <w:rFonts w:ascii="Arial" w:cs="Arial" w:eastAsia="Arial" w:hAnsi="Arial"/>
                <w:sz w:val="10"/>
                <w:szCs w:val="10"/>
                <w:color w:val="auto"/>
              </w:rPr>
              <w:t>1,272</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1,501</w:t>
            </w:r>
          </w:p>
        </w:tc>
        <w:tc>
          <w:tcPr>
            <w:tcW w:w="720" w:type="dxa"/>
            <w:vAlign w:val="bottom"/>
          </w:tcPr>
          <w:p>
            <w:pPr>
              <w:jc w:val="right"/>
              <w:spacing w:after="0"/>
              <w:rPr>
                <w:sz w:val="20"/>
                <w:szCs w:val="20"/>
                <w:color w:val="auto"/>
              </w:rPr>
            </w:pPr>
            <w:r>
              <w:rPr>
                <w:rFonts w:ascii="Arial" w:cs="Arial" w:eastAsia="Arial" w:hAnsi="Arial"/>
                <w:sz w:val="10"/>
                <w:szCs w:val="10"/>
                <w:color w:val="auto"/>
              </w:rPr>
              <w:t>30,324</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Revisions and reclassifications</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1,183</w:t>
            </w:r>
          </w:p>
        </w:tc>
        <w:tc>
          <w:tcPr>
            <w:tcW w:w="1100" w:type="dxa"/>
            <w:vAlign w:val="bottom"/>
          </w:tcPr>
          <w:p>
            <w:pPr>
              <w:jc w:val="right"/>
              <w:ind w:right="352"/>
              <w:spacing w:after="0"/>
              <w:rPr>
                <w:sz w:val="20"/>
                <w:szCs w:val="20"/>
                <w:color w:val="auto"/>
              </w:rPr>
            </w:pPr>
            <w:r>
              <w:rPr>
                <w:rFonts w:ascii="Arial" w:cs="Arial" w:eastAsia="Arial" w:hAnsi="Arial"/>
                <w:sz w:val="10"/>
                <w:szCs w:val="10"/>
                <w:color w:val="auto"/>
              </w:rPr>
              <w:t>(483)</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1,438</w:t>
            </w:r>
          </w:p>
        </w:tc>
        <w:tc>
          <w:tcPr>
            <w:tcW w:w="680" w:type="dxa"/>
            <w:vAlign w:val="bottom"/>
          </w:tcPr>
          <w:p>
            <w:pPr>
              <w:jc w:val="right"/>
              <w:spacing w:after="0"/>
              <w:rPr>
                <w:sz w:val="20"/>
                <w:szCs w:val="20"/>
                <w:color w:val="auto"/>
              </w:rPr>
            </w:pPr>
            <w:r>
              <w:rPr>
                <w:rFonts w:ascii="Arial" w:cs="Arial" w:eastAsia="Arial" w:hAnsi="Arial"/>
                <w:sz w:val="10"/>
                <w:szCs w:val="10"/>
                <w:color w:val="auto"/>
              </w:rPr>
              <w:t>896</w:t>
            </w:r>
          </w:p>
        </w:tc>
        <w:tc>
          <w:tcPr>
            <w:tcW w:w="1360" w:type="dxa"/>
            <w:vAlign w:val="bottom"/>
          </w:tcPr>
          <w:p>
            <w:pPr>
              <w:jc w:val="right"/>
              <w:ind w:right="212"/>
              <w:spacing w:after="0"/>
              <w:rPr>
                <w:sz w:val="20"/>
                <w:szCs w:val="20"/>
                <w:color w:val="auto"/>
              </w:rPr>
            </w:pPr>
            <w:r>
              <w:rPr>
                <w:rFonts w:ascii="Arial" w:cs="Arial" w:eastAsia="Arial" w:hAnsi="Arial"/>
                <w:sz w:val="10"/>
                <w:szCs w:val="10"/>
                <w:color w:val="auto"/>
              </w:rPr>
              <w:t>(296)</w:t>
            </w:r>
          </w:p>
        </w:tc>
        <w:tc>
          <w:tcPr>
            <w:tcW w:w="860" w:type="dxa"/>
            <w:vAlign w:val="bottom"/>
          </w:tcPr>
          <w:p>
            <w:pPr>
              <w:jc w:val="right"/>
              <w:spacing w:after="0"/>
              <w:rPr>
                <w:sz w:val="20"/>
                <w:szCs w:val="20"/>
                <w:color w:val="auto"/>
              </w:rPr>
            </w:pPr>
            <w:r>
              <w:rPr>
                <w:rFonts w:ascii="Arial" w:cs="Arial" w:eastAsia="Arial" w:hAnsi="Arial"/>
                <w:sz w:val="10"/>
                <w:szCs w:val="10"/>
                <w:color w:val="auto"/>
              </w:rPr>
              <w:t>(153)</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181</w:t>
            </w:r>
          </w:p>
        </w:tc>
        <w:tc>
          <w:tcPr>
            <w:tcW w:w="720" w:type="dxa"/>
            <w:vAlign w:val="bottom"/>
          </w:tcPr>
          <w:p>
            <w:pPr>
              <w:jc w:val="right"/>
              <w:spacing w:after="0"/>
              <w:rPr>
                <w:sz w:val="20"/>
                <w:szCs w:val="20"/>
                <w:color w:val="auto"/>
              </w:rPr>
            </w:pPr>
            <w:r>
              <w:rPr>
                <w:rFonts w:ascii="Arial" w:cs="Arial" w:eastAsia="Arial" w:hAnsi="Arial"/>
                <w:sz w:val="10"/>
                <w:szCs w:val="10"/>
                <w:color w:val="auto"/>
              </w:rPr>
              <w:t>2,766</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Improved recovery</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7</w:t>
            </w:r>
          </w:p>
        </w:tc>
        <w:tc>
          <w:tcPr>
            <w:tcW w:w="720" w:type="dxa"/>
            <w:vAlign w:val="bottom"/>
          </w:tcPr>
          <w:p>
            <w:pPr>
              <w:jc w:val="right"/>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Extensions and discoveries</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3</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354</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283</w:t>
            </w:r>
          </w:p>
        </w:tc>
        <w:tc>
          <w:tcPr>
            <w:tcW w:w="860" w:type="dxa"/>
            <w:vAlign w:val="bottom"/>
          </w:tcPr>
          <w:p>
            <w:pPr>
              <w:jc w:val="right"/>
              <w:spacing w:after="0"/>
              <w:rPr>
                <w:sz w:val="20"/>
                <w:szCs w:val="20"/>
                <w:color w:val="auto"/>
              </w:rPr>
            </w:pPr>
            <w:r>
              <w:rPr>
                <w:rFonts w:ascii="Arial" w:cs="Arial" w:eastAsia="Arial" w:hAnsi="Arial"/>
                <w:sz w:val="10"/>
                <w:szCs w:val="10"/>
                <w:color w:val="auto"/>
              </w:rPr>
              <w:t>131</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65</w:t>
            </w:r>
          </w:p>
        </w:tc>
        <w:tc>
          <w:tcPr>
            <w:tcW w:w="720" w:type="dxa"/>
            <w:vAlign w:val="bottom"/>
          </w:tcPr>
          <w:p>
            <w:pPr>
              <w:jc w:val="right"/>
              <w:spacing w:after="0"/>
              <w:rPr>
                <w:sz w:val="20"/>
                <w:szCs w:val="20"/>
                <w:color w:val="auto"/>
              </w:rPr>
            </w:pPr>
            <w:r>
              <w:rPr>
                <w:rFonts w:ascii="Arial" w:cs="Arial" w:eastAsia="Arial" w:hAnsi="Arial"/>
                <w:sz w:val="10"/>
                <w:szCs w:val="10"/>
                <w:color w:val="auto"/>
              </w:rPr>
              <w:t>836</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Purchases of minerals in place</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14</w:t>
            </w:r>
          </w:p>
        </w:tc>
        <w:tc>
          <w:tcPr>
            <w:tcW w:w="720" w:type="dxa"/>
            <w:vAlign w:val="bottom"/>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Sales of minerals in place</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(192)</w:t>
            </w:r>
          </w:p>
        </w:tc>
        <w:tc>
          <w:tcPr>
            <w:tcW w:w="1100" w:type="dxa"/>
            <w:vAlign w:val="bottom"/>
          </w:tcPr>
          <w:p>
            <w:pPr>
              <w:jc w:val="right"/>
              <w:ind w:right="352"/>
              <w:spacing w:after="0"/>
              <w:rPr>
                <w:sz w:val="20"/>
                <w:szCs w:val="20"/>
                <w:color w:val="auto"/>
              </w:rPr>
            </w:pPr>
            <w:r>
              <w:rPr>
                <w:rFonts w:ascii="Arial" w:cs="Arial" w:eastAsia="Arial" w:hAnsi="Arial"/>
                <w:sz w:val="10"/>
                <w:szCs w:val="10"/>
                <w:color w:val="auto"/>
              </w:rPr>
              <w:t>(157)</w:t>
            </w:r>
          </w:p>
        </w:tc>
        <w:tc>
          <w:tcPr>
            <w:tcW w:w="1140" w:type="dxa"/>
            <w:vAlign w:val="bottom"/>
          </w:tcPr>
          <w:p>
            <w:pPr>
              <w:jc w:val="right"/>
              <w:ind w:right="392"/>
              <w:spacing w:after="0"/>
              <w:rPr>
                <w:sz w:val="20"/>
                <w:szCs w:val="20"/>
                <w:color w:val="auto"/>
              </w:rPr>
            </w:pPr>
            <w:r>
              <w:rPr>
                <w:rFonts w:ascii="Arial" w:cs="Arial" w:eastAsia="Arial" w:hAnsi="Arial"/>
                <w:sz w:val="10"/>
                <w:szCs w:val="10"/>
                <w:color w:val="auto"/>
              </w:rPr>
              <w:t>(232)</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12"/>
              <w:spacing w:after="0"/>
              <w:rPr>
                <w:sz w:val="20"/>
                <w:szCs w:val="20"/>
                <w:color w:val="auto"/>
              </w:rPr>
            </w:pPr>
            <w:r>
              <w:rPr>
                <w:rFonts w:ascii="Arial" w:cs="Arial" w:eastAsia="Arial" w:hAnsi="Arial"/>
                <w:sz w:val="10"/>
                <w:szCs w:val="10"/>
                <w:color w:val="auto"/>
              </w:rPr>
              <w:t>(32)</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(613)</w:t>
            </w:r>
          </w:p>
        </w:tc>
        <w:tc>
          <w:tcPr>
            <w:tcW w:w="0" w:type="dxa"/>
            <w:vAlign w:val="bottom"/>
          </w:tcPr>
          <w:p>
            <w:pPr>
              <w:spacing w:after="0"/>
              <w:rPr>
                <w:sz w:val="1"/>
                <w:szCs w:val="1"/>
                <w:color w:val="auto"/>
              </w:rPr>
            </w:pPr>
          </w:p>
        </w:tc>
      </w:tr>
      <w:tr>
        <w:trPr>
          <w:trHeight w:val="130"/>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Production [A]</w:t>
            </w: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(494)</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(906)</w:t>
            </w: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(757)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(434)</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(377)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(261)</w:t>
            </w:r>
          </w:p>
        </w:tc>
        <w:tc>
          <w:tcPr>
            <w:tcW w:w="15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(258)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(3,487)</w:t>
            </w:r>
          </w:p>
        </w:tc>
        <w:tc>
          <w:tcPr>
            <w:tcW w:w="0" w:type="dxa"/>
            <w:vAlign w:val="bottom"/>
          </w:tcPr>
          <w:p>
            <w:pPr>
              <w:spacing w:after="0"/>
              <w:rPr>
                <w:sz w:val="1"/>
                <w:szCs w:val="1"/>
                <w:color w:val="auto"/>
              </w:rPr>
            </w:pPr>
          </w:p>
        </w:tc>
      </w:tr>
      <w:tr>
        <w:trPr>
          <w:trHeight w:val="117"/>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3,600</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10,631</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8,427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2,544</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2,147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989</w:t>
            </w: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1,509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29,847</w:t>
            </w:r>
          </w:p>
        </w:tc>
        <w:tc>
          <w:tcPr>
            <w:tcW w:w="0" w:type="dxa"/>
            <w:vAlign w:val="bottom"/>
          </w:tcPr>
          <w:p>
            <w:pPr>
              <w:spacing w:after="0"/>
              <w:rPr>
                <w:sz w:val="1"/>
                <w:szCs w:val="1"/>
                <w:color w:val="auto"/>
              </w:rPr>
            </w:pPr>
          </w:p>
        </w:tc>
      </w:tr>
      <w:tr>
        <w:trPr>
          <w:trHeight w:val="113"/>
        </w:trPr>
        <w:tc>
          <w:tcPr>
            <w:tcW w:w="2700" w:type="dxa"/>
            <w:vAlign w:val="bottom"/>
          </w:tcPr>
          <w:p>
            <w:pPr>
              <w:spacing w:after="0" w:line="113" w:lineRule="exact"/>
              <w:rPr>
                <w:sz w:val="20"/>
                <w:szCs w:val="20"/>
                <w:color w:val="auto"/>
              </w:rPr>
            </w:pPr>
            <w:r>
              <w:rPr>
                <w:rFonts w:ascii="Arial" w:cs="Arial" w:eastAsia="Arial" w:hAnsi="Arial"/>
                <w:sz w:val="10"/>
                <w:szCs w:val="10"/>
                <w:color w:val="auto"/>
              </w:rPr>
              <w:t>Shell share of joint ventures and associates</w:t>
            </w: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70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5,125</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4,964</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19</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10,108</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Revisions and reclassifications</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(3,653)</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62</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25</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(3,566)</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Improved recovery</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Extensions and discoveries</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5</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Purchases of minerals in place</w:t>
            </w:r>
          </w:p>
        </w:tc>
        <w:tc>
          <w:tcPr>
            <w:tcW w:w="124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700" w:type="dxa"/>
            <w:vAlign w:val="bottom"/>
          </w:tcPr>
          <w:p>
            <w:pPr>
              <w:ind w:left="220"/>
              <w:spacing w:after="0"/>
              <w:rPr>
                <w:sz w:val="20"/>
                <w:szCs w:val="20"/>
                <w:color w:val="auto"/>
              </w:rPr>
            </w:pPr>
            <w:r>
              <w:rPr>
                <w:rFonts w:ascii="Arial" w:cs="Arial" w:eastAsia="Arial" w:hAnsi="Arial"/>
                <w:sz w:val="10"/>
                <w:szCs w:val="10"/>
                <w:color w:val="auto"/>
              </w:rPr>
              <w:t>Sales of minerals in place</w:t>
            </w:r>
          </w:p>
        </w:tc>
        <w:tc>
          <w:tcPr>
            <w:tcW w:w="1240" w:type="dxa"/>
            <w:vAlign w:val="bottom"/>
          </w:tcPr>
          <w:p>
            <w:pPr>
              <w:jc w:val="right"/>
              <w:ind w:right="372"/>
              <w:spacing w:after="0"/>
              <w:rPr>
                <w:sz w:val="20"/>
                <w:szCs w:val="20"/>
                <w:color w:val="auto"/>
              </w:rPr>
            </w:pPr>
            <w:r>
              <w:rPr>
                <w:rFonts w:ascii="Arial" w:cs="Arial" w:eastAsia="Arial" w:hAnsi="Arial"/>
                <w:sz w:val="10"/>
                <w:szCs w:val="10"/>
                <w:color w:val="auto"/>
              </w:rPr>
              <w:t>(37)</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(37)</w:t>
            </w:r>
          </w:p>
        </w:tc>
        <w:tc>
          <w:tcPr>
            <w:tcW w:w="0" w:type="dxa"/>
            <w:vAlign w:val="bottom"/>
          </w:tcPr>
          <w:p>
            <w:pPr>
              <w:spacing w:after="0"/>
              <w:rPr>
                <w:sz w:val="1"/>
                <w:szCs w:val="1"/>
                <w:color w:val="auto"/>
              </w:rPr>
            </w:pPr>
          </w:p>
        </w:tc>
      </w:tr>
      <w:tr>
        <w:trPr>
          <w:trHeight w:val="130"/>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Production [B]</w:t>
            </w: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(273)</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(450)</w:t>
            </w: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(743)</w:t>
            </w:r>
          </w:p>
        </w:tc>
        <w:tc>
          <w:tcPr>
            <w:tcW w:w="0" w:type="dxa"/>
            <w:vAlign w:val="bottom"/>
          </w:tcPr>
          <w:p>
            <w:pPr>
              <w:spacing w:after="0"/>
              <w:rPr>
                <w:sz w:val="1"/>
                <w:szCs w:val="1"/>
                <w:color w:val="auto"/>
              </w:rPr>
            </w:pPr>
          </w:p>
        </w:tc>
      </w:tr>
      <w:tr>
        <w:trPr>
          <w:trHeight w:val="117"/>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1,163</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4,581</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24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5,768</w:t>
            </w:r>
          </w:p>
        </w:tc>
        <w:tc>
          <w:tcPr>
            <w:tcW w:w="0" w:type="dxa"/>
            <w:vAlign w:val="bottom"/>
          </w:tcPr>
          <w:p>
            <w:pPr>
              <w:spacing w:after="0"/>
              <w:rPr>
                <w:sz w:val="1"/>
                <w:szCs w:val="1"/>
                <w:color w:val="auto"/>
              </w:rPr>
            </w:pPr>
          </w:p>
        </w:tc>
      </w:tr>
      <w:tr>
        <w:trPr>
          <w:trHeight w:val="115"/>
        </w:trPr>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4,763</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15,212</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8,451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2,544</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2,147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989</w:t>
            </w: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1,509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35,615</w:t>
            </w:r>
          </w:p>
        </w:tc>
        <w:tc>
          <w:tcPr>
            <w:tcW w:w="0" w:type="dxa"/>
            <w:vAlign w:val="bottom"/>
          </w:tcPr>
          <w:p>
            <w:pPr>
              <w:spacing w:after="0"/>
              <w:rPr>
                <w:sz w:val="1"/>
                <w:szCs w:val="1"/>
                <w:color w:val="auto"/>
              </w:rPr>
            </w:pPr>
          </w:p>
        </w:tc>
      </w:tr>
      <w:tr>
        <w:trPr>
          <w:trHeight w:val="81"/>
        </w:trPr>
        <w:tc>
          <w:tcPr>
            <w:tcW w:w="2700" w:type="dxa"/>
            <w:vAlign w:val="bottom"/>
          </w:tcPr>
          <w:p>
            <w:pPr>
              <w:spacing w:after="0" w:line="81" w:lineRule="exact"/>
              <w:rPr>
                <w:sz w:val="20"/>
                <w:szCs w:val="20"/>
                <w:color w:val="auto"/>
              </w:rPr>
            </w:pPr>
            <w:r>
              <w:rPr>
                <w:rFonts w:ascii="Arial" w:cs="Arial" w:eastAsia="Arial" w:hAnsi="Arial"/>
                <w:sz w:val="8"/>
                <w:szCs w:val="8"/>
                <w:color w:val="auto"/>
              </w:rPr>
              <w:t>Reserves attributable to non-controlling interest in Shell</w:t>
            </w:r>
          </w:p>
        </w:tc>
        <w:tc>
          <w:tcPr>
            <w:tcW w:w="1240" w:type="dxa"/>
            <w:vAlign w:val="bottom"/>
            <w:vMerge w:val="restart"/>
          </w:tcPr>
          <w:p>
            <w:pPr>
              <w:jc w:val="right"/>
              <w:ind w:right="392"/>
              <w:spacing w:after="0"/>
              <w:rPr>
                <w:sz w:val="20"/>
                <w:szCs w:val="20"/>
                <w:color w:val="auto"/>
              </w:rPr>
            </w:pPr>
            <w:r>
              <w:rPr>
                <w:rFonts w:ascii="Arial" w:cs="Arial" w:eastAsia="Arial" w:hAnsi="Arial"/>
                <w:sz w:val="10"/>
                <w:szCs w:val="10"/>
                <w:color w:val="auto"/>
              </w:rPr>
              <w:t>—</w:t>
            </w:r>
          </w:p>
        </w:tc>
        <w:tc>
          <w:tcPr>
            <w:tcW w:w="1100" w:type="dxa"/>
            <w:vAlign w:val="bottom"/>
            <w:vMerge w:val="restart"/>
          </w:tcPr>
          <w:p>
            <w:pPr>
              <w:jc w:val="right"/>
              <w:ind w:right="372"/>
              <w:spacing w:after="0"/>
              <w:rPr>
                <w:sz w:val="20"/>
                <w:szCs w:val="20"/>
                <w:color w:val="auto"/>
              </w:rPr>
            </w:pPr>
            <w:r>
              <w:rPr>
                <w:rFonts w:ascii="Arial" w:cs="Arial" w:eastAsia="Arial" w:hAnsi="Arial"/>
                <w:sz w:val="10"/>
                <w:szCs w:val="10"/>
                <w:color w:val="auto"/>
              </w:rPr>
              <w:t>—</w:t>
            </w:r>
          </w:p>
        </w:tc>
        <w:tc>
          <w:tcPr>
            <w:tcW w:w="1140" w:type="dxa"/>
            <w:vAlign w:val="bottom"/>
            <w:vMerge w:val="restart"/>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360" w:type="dxa"/>
            <w:vAlign w:val="bottom"/>
            <w:vMerge w:val="restart"/>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500" w:type="dxa"/>
            <w:vAlign w:val="bottom"/>
            <w:vMerge w:val="restart"/>
          </w:tcPr>
          <w:p>
            <w:pPr>
              <w:jc w:val="right"/>
              <w:ind w:right="392"/>
              <w:spacing w:after="0"/>
              <w:rPr>
                <w:sz w:val="20"/>
                <w:szCs w:val="20"/>
                <w:color w:val="auto"/>
              </w:rPr>
            </w:pPr>
            <w:r>
              <w:rPr>
                <w:rFonts w:ascii="Arial" w:cs="Arial" w:eastAsia="Arial" w:hAnsi="Arial"/>
                <w:sz w:val="10"/>
                <w:szCs w:val="10"/>
                <w:color w:val="auto"/>
              </w:rPr>
              <w:t>—</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subsidiaries at December 31</w:t>
            </w:r>
          </w:p>
        </w:tc>
        <w:tc>
          <w:tcPr>
            <w:tcW w:w="1240" w:type="dxa"/>
            <w:vAlign w:val="bottom"/>
            <w:tcBorders>
              <w:bottom w:val="single" w:sz="8" w:color="auto"/>
            </w:tcBorders>
            <w:vMerge w:val="continue"/>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50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8" w:hanging="128"/>
        <w:spacing w:after="0"/>
        <w:tabs>
          <w:tab w:leader="none" w:pos="128" w:val="left"/>
        </w:tabs>
        <w:numPr>
          <w:ilvl w:val="0"/>
          <w:numId w:val="187"/>
        </w:numPr>
        <w:rPr>
          <w:rFonts w:ascii="Arial" w:cs="Arial" w:eastAsia="Arial" w:hAnsi="Arial"/>
          <w:sz w:val="7"/>
          <w:szCs w:val="7"/>
          <w:color w:val="auto"/>
        </w:rPr>
      </w:pPr>
      <w:r>
        <w:rPr>
          <w:rFonts w:ascii="Arial" w:cs="Arial" w:eastAsia="Arial" w:hAnsi="Arial"/>
          <w:sz w:val="7"/>
          <w:szCs w:val="7"/>
          <w:color w:val="auto"/>
        </w:rPr>
        <w:t>Includes 245 thousand million standard cubic feet consumed in operations.</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87"/>
        </w:numPr>
        <w:rPr>
          <w:rFonts w:ascii="Arial" w:cs="Arial" w:eastAsia="Arial" w:hAnsi="Arial"/>
          <w:sz w:val="7"/>
          <w:szCs w:val="7"/>
          <w:color w:val="auto"/>
        </w:rPr>
      </w:pPr>
      <w:r>
        <w:rPr>
          <w:rFonts w:ascii="Arial" w:cs="Arial" w:eastAsia="Arial" w:hAnsi="Arial"/>
          <w:sz w:val="7"/>
          <w:szCs w:val="7"/>
          <w:color w:val="auto"/>
        </w:rPr>
        <w:t>Includes 41 thousand million standard cubic feet consumed in operations.</w:t>
      </w:r>
    </w:p>
    <w:p>
      <w:pPr>
        <w:spacing w:after="0" w:line="6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46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Proved developed reserves 2018</w:t>
            </w:r>
          </w:p>
        </w:tc>
        <w:tc>
          <w:tcPr>
            <w:tcW w:w="1480" w:type="dxa"/>
            <w:vAlign w:val="bottom"/>
            <w:tcBorders>
              <w:top w:val="single" w:sz="8" w:color="CDCDCD"/>
            </w:tcBorders>
          </w:tcPr>
          <w:p>
            <w:pPr>
              <w:spacing w:after="0"/>
              <w:rPr>
                <w:sz w:val="13"/>
                <w:szCs w:val="13"/>
                <w:color w:val="auto"/>
              </w:rPr>
            </w:pPr>
          </w:p>
        </w:tc>
        <w:tc>
          <w:tcPr>
            <w:tcW w:w="1100" w:type="dxa"/>
            <w:vAlign w:val="bottom"/>
            <w:tcBorders>
              <w:top w:val="single" w:sz="8" w:color="CDCDCD"/>
            </w:tcBorders>
          </w:tcPr>
          <w:p>
            <w:pPr>
              <w:spacing w:after="0"/>
              <w:rPr>
                <w:sz w:val="13"/>
                <w:szCs w:val="13"/>
                <w:color w:val="auto"/>
              </w:rPr>
            </w:pPr>
          </w:p>
        </w:tc>
        <w:tc>
          <w:tcPr>
            <w:tcW w:w="1140" w:type="dxa"/>
            <w:vAlign w:val="bottom"/>
            <w:tcBorders>
              <w:top w:val="single" w:sz="8" w:color="CDCDCD"/>
            </w:tcBorders>
          </w:tcPr>
          <w:p>
            <w:pPr>
              <w:spacing w:after="0"/>
              <w:rPr>
                <w:sz w:val="13"/>
                <w:szCs w:val="13"/>
                <w:color w:val="auto"/>
              </w:rPr>
            </w:pPr>
          </w:p>
        </w:tc>
        <w:tc>
          <w:tcPr>
            <w:tcW w:w="680" w:type="dxa"/>
            <w:vAlign w:val="bottom"/>
            <w:tcBorders>
              <w:top w:val="single" w:sz="8" w:color="CDCDCD"/>
            </w:tcBorders>
          </w:tcPr>
          <w:p>
            <w:pPr>
              <w:spacing w:after="0"/>
              <w:rPr>
                <w:sz w:val="13"/>
                <w:szCs w:val="13"/>
                <w:color w:val="auto"/>
              </w:rPr>
            </w:pPr>
          </w:p>
        </w:tc>
        <w:tc>
          <w:tcPr>
            <w:tcW w:w="1360" w:type="dxa"/>
            <w:vAlign w:val="bottom"/>
            <w:tcBorders>
              <w:top w:val="single" w:sz="8" w:color="CDCDCD"/>
            </w:tcBorders>
          </w:tcPr>
          <w:p>
            <w:pPr>
              <w:spacing w:after="0"/>
              <w:rPr>
                <w:sz w:val="13"/>
                <w:szCs w:val="13"/>
                <w:color w:val="auto"/>
              </w:rPr>
            </w:pPr>
          </w:p>
        </w:tc>
        <w:tc>
          <w:tcPr>
            <w:tcW w:w="860" w:type="dxa"/>
            <w:vAlign w:val="bottom"/>
            <w:tcBorders>
              <w:top w:val="single" w:sz="8" w:color="CDCDCD"/>
            </w:tcBorders>
          </w:tcPr>
          <w:p>
            <w:pPr>
              <w:spacing w:after="0"/>
              <w:rPr>
                <w:sz w:val="13"/>
                <w:szCs w:val="13"/>
                <w:color w:val="auto"/>
              </w:rPr>
            </w:pPr>
          </w:p>
        </w:tc>
        <w:tc>
          <w:tcPr>
            <w:tcW w:w="2220" w:type="dxa"/>
            <w:vAlign w:val="bottom"/>
            <w:tcBorders>
              <w:top w:val="single" w:sz="8" w:color="CDCDCD"/>
            </w:tcBorders>
            <w:gridSpan w:val="2"/>
          </w:tcPr>
          <w:p>
            <w:pPr>
              <w:jc w:val="right"/>
              <w:spacing w:after="0"/>
              <w:rPr>
                <w:sz w:val="20"/>
                <w:szCs w:val="20"/>
                <w:color w:val="auto"/>
              </w:rPr>
            </w:pPr>
            <w:r>
              <w:rPr>
                <w:rFonts w:ascii="Arial" w:cs="Arial" w:eastAsia="Arial" w:hAnsi="Arial"/>
                <w:sz w:val="10"/>
                <w:szCs w:val="10"/>
                <w:color w:val="auto"/>
              </w:rPr>
              <w:t>Thousand million standard cubic feet</w:t>
            </w:r>
          </w:p>
        </w:tc>
      </w:tr>
      <w:tr>
        <w:trPr>
          <w:trHeight w:val="145"/>
        </w:trPr>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4"/>
        </w:trPr>
        <w:tc>
          <w:tcPr>
            <w:tcW w:w="24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Europe</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Asia</w:t>
            </w: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Oceania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Africa</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USA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Canada</w:t>
            </w:r>
          </w:p>
        </w:tc>
        <w:tc>
          <w:tcPr>
            <w:tcW w:w="148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South America</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r>
      <w:tr>
        <w:trPr>
          <w:trHeight w:val="114"/>
        </w:trPr>
        <w:tc>
          <w:tcPr>
            <w:tcW w:w="2460" w:type="dxa"/>
            <w:vAlign w:val="bottom"/>
          </w:tcPr>
          <w:p>
            <w:pPr>
              <w:spacing w:after="0"/>
              <w:rPr>
                <w:sz w:val="20"/>
                <w:szCs w:val="20"/>
                <w:color w:val="auto"/>
              </w:rPr>
            </w:pPr>
            <w:r>
              <w:rPr>
                <w:rFonts w:ascii="Arial" w:cs="Arial" w:eastAsia="Arial" w:hAnsi="Arial"/>
                <w:sz w:val="10"/>
                <w:szCs w:val="10"/>
                <w:color w:val="auto"/>
              </w:rPr>
              <w:t>Shell subsidiaries</w:t>
            </w: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3"/>
        </w:trPr>
        <w:tc>
          <w:tcPr>
            <w:tcW w:w="246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1480" w:type="dxa"/>
            <w:vAlign w:val="bottom"/>
          </w:tcPr>
          <w:p>
            <w:pPr>
              <w:jc w:val="right"/>
              <w:ind w:right="392"/>
              <w:spacing w:after="0"/>
              <w:rPr>
                <w:sz w:val="20"/>
                <w:szCs w:val="20"/>
                <w:color w:val="auto"/>
              </w:rPr>
            </w:pPr>
            <w:r>
              <w:rPr>
                <w:rFonts w:ascii="Arial" w:cs="Arial" w:eastAsia="Arial" w:hAnsi="Arial"/>
                <w:sz w:val="10"/>
                <w:szCs w:val="10"/>
                <w:color w:val="auto"/>
              </w:rPr>
              <w:t>2,978</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11,460</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5,026</w:t>
            </w:r>
          </w:p>
        </w:tc>
        <w:tc>
          <w:tcPr>
            <w:tcW w:w="680" w:type="dxa"/>
            <w:vAlign w:val="bottom"/>
          </w:tcPr>
          <w:p>
            <w:pPr>
              <w:jc w:val="right"/>
              <w:spacing w:after="0"/>
              <w:rPr>
                <w:sz w:val="20"/>
                <w:szCs w:val="20"/>
                <w:color w:val="auto"/>
              </w:rPr>
            </w:pPr>
            <w:r>
              <w:rPr>
                <w:rFonts w:ascii="Arial" w:cs="Arial" w:eastAsia="Arial" w:hAnsi="Arial"/>
                <w:sz w:val="10"/>
                <w:szCs w:val="10"/>
                <w:color w:val="auto"/>
              </w:rPr>
              <w:t>1,493</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1,652</w:t>
            </w:r>
          </w:p>
        </w:tc>
        <w:tc>
          <w:tcPr>
            <w:tcW w:w="860" w:type="dxa"/>
            <w:vAlign w:val="bottom"/>
          </w:tcPr>
          <w:p>
            <w:pPr>
              <w:jc w:val="right"/>
              <w:spacing w:after="0"/>
              <w:rPr>
                <w:sz w:val="20"/>
                <w:szCs w:val="20"/>
                <w:color w:val="auto"/>
              </w:rPr>
            </w:pPr>
            <w:r>
              <w:rPr>
                <w:rFonts w:ascii="Arial" w:cs="Arial" w:eastAsia="Arial" w:hAnsi="Arial"/>
                <w:sz w:val="10"/>
                <w:szCs w:val="10"/>
                <w:color w:val="auto"/>
              </w:rPr>
              <w:t>859</w:t>
            </w:r>
          </w:p>
        </w:tc>
        <w:tc>
          <w:tcPr>
            <w:tcW w:w="1480" w:type="dxa"/>
            <w:vAlign w:val="bottom"/>
          </w:tcPr>
          <w:p>
            <w:pPr>
              <w:jc w:val="right"/>
              <w:ind w:right="372"/>
              <w:spacing w:after="0"/>
              <w:rPr>
                <w:sz w:val="20"/>
                <w:szCs w:val="20"/>
                <w:color w:val="auto"/>
              </w:rPr>
            </w:pPr>
            <w:r>
              <w:rPr>
                <w:rFonts w:ascii="Arial" w:cs="Arial" w:eastAsia="Arial" w:hAnsi="Arial"/>
                <w:sz w:val="10"/>
                <w:szCs w:val="10"/>
                <w:color w:val="auto"/>
              </w:rPr>
              <w:t>1,225</w:t>
            </w:r>
          </w:p>
        </w:tc>
        <w:tc>
          <w:tcPr>
            <w:tcW w:w="740" w:type="dxa"/>
            <w:vAlign w:val="bottom"/>
          </w:tcPr>
          <w:p>
            <w:pPr>
              <w:jc w:val="right"/>
              <w:spacing w:after="0"/>
              <w:rPr>
                <w:sz w:val="20"/>
                <w:szCs w:val="20"/>
                <w:color w:val="auto"/>
              </w:rPr>
            </w:pPr>
            <w:r>
              <w:rPr>
                <w:rFonts w:ascii="Arial" w:cs="Arial" w:eastAsia="Arial" w:hAnsi="Arial"/>
                <w:sz w:val="10"/>
                <w:szCs w:val="10"/>
                <w:color w:val="auto"/>
              </w:rPr>
              <w:t>24,693</w:t>
            </w:r>
          </w:p>
        </w:tc>
      </w:tr>
      <w:tr>
        <w:trPr>
          <w:trHeight w:val="130"/>
        </w:trPr>
        <w:tc>
          <w:tcPr>
            <w:tcW w:w="246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148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2,658</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10,092</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5,820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1,573</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1,706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721</w:t>
            </w: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1,238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23,808</w:t>
            </w:r>
          </w:p>
        </w:tc>
      </w:tr>
      <w:tr>
        <w:trPr>
          <w:trHeight w:val="114"/>
        </w:trPr>
        <w:tc>
          <w:tcPr>
            <w:tcW w:w="2460" w:type="dxa"/>
            <w:vAlign w:val="bottom"/>
          </w:tcPr>
          <w:p>
            <w:pPr>
              <w:spacing w:after="0"/>
              <w:rPr>
                <w:sz w:val="20"/>
                <w:szCs w:val="20"/>
                <w:color w:val="auto"/>
              </w:rPr>
            </w:pPr>
            <w:r>
              <w:rPr>
                <w:rFonts w:ascii="Arial" w:cs="Arial" w:eastAsia="Arial" w:hAnsi="Arial"/>
                <w:sz w:val="10"/>
                <w:szCs w:val="10"/>
                <w:color w:val="auto"/>
              </w:rPr>
              <w:t>Shell share of joint ventures and associates</w:t>
            </w: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3"/>
        </w:trPr>
        <w:tc>
          <w:tcPr>
            <w:tcW w:w="246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1480" w:type="dxa"/>
            <w:vAlign w:val="bottom"/>
          </w:tcPr>
          <w:p>
            <w:pPr>
              <w:jc w:val="right"/>
              <w:ind w:right="392"/>
              <w:spacing w:after="0"/>
              <w:rPr>
                <w:sz w:val="20"/>
                <w:szCs w:val="20"/>
                <w:color w:val="auto"/>
              </w:rPr>
            </w:pPr>
            <w:r>
              <w:rPr>
                <w:rFonts w:ascii="Arial" w:cs="Arial" w:eastAsia="Arial" w:hAnsi="Arial"/>
                <w:sz w:val="10"/>
                <w:szCs w:val="10"/>
                <w:color w:val="auto"/>
              </w:rPr>
              <w:t>5,055</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4,275</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19</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48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9,349</w:t>
            </w:r>
          </w:p>
        </w:tc>
      </w:tr>
      <w:tr>
        <w:trPr>
          <w:trHeight w:val="130"/>
        </w:trPr>
        <w:tc>
          <w:tcPr>
            <w:tcW w:w="246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148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1,136</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3,938</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24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5,099</w:t>
            </w:r>
          </w:p>
        </w:tc>
      </w:tr>
      <w:tr>
        <w:trPr>
          <w:trHeight w:val="90"/>
        </w:trPr>
        <w:tc>
          <w:tcPr>
            <w:tcW w:w="2460" w:type="dxa"/>
            <w:vAlign w:val="bottom"/>
            <w:tcBorders>
              <w:bottom w:val="single" w:sz="8" w:color="CDCDCD"/>
            </w:tcBorders>
          </w:tcPr>
          <w:p>
            <w:pPr>
              <w:spacing w:after="0"/>
              <w:rPr>
                <w:sz w:val="7"/>
                <w:szCs w:val="7"/>
                <w:color w:val="auto"/>
              </w:rPr>
            </w:pPr>
          </w:p>
        </w:tc>
        <w:tc>
          <w:tcPr>
            <w:tcW w:w="1480" w:type="dxa"/>
            <w:vAlign w:val="bottom"/>
            <w:tcBorders>
              <w:bottom w:val="single" w:sz="8" w:color="CDCDCD"/>
            </w:tcBorders>
          </w:tcPr>
          <w:p>
            <w:pPr>
              <w:spacing w:after="0"/>
              <w:rPr>
                <w:sz w:val="7"/>
                <w:szCs w:val="7"/>
                <w:color w:val="auto"/>
              </w:rPr>
            </w:pPr>
          </w:p>
        </w:tc>
        <w:tc>
          <w:tcPr>
            <w:tcW w:w="1100" w:type="dxa"/>
            <w:vAlign w:val="bottom"/>
            <w:tcBorders>
              <w:bottom w:val="single" w:sz="8" w:color="CDCDCD"/>
            </w:tcBorders>
          </w:tcPr>
          <w:p>
            <w:pPr>
              <w:spacing w:after="0"/>
              <w:rPr>
                <w:sz w:val="7"/>
                <w:szCs w:val="7"/>
                <w:color w:val="auto"/>
              </w:rPr>
            </w:pPr>
          </w:p>
        </w:tc>
        <w:tc>
          <w:tcPr>
            <w:tcW w:w="1140" w:type="dxa"/>
            <w:vAlign w:val="bottom"/>
            <w:tcBorders>
              <w:bottom w:val="single" w:sz="8" w:color="CDCDCD"/>
            </w:tcBorders>
          </w:tcPr>
          <w:p>
            <w:pPr>
              <w:spacing w:after="0"/>
              <w:rPr>
                <w:sz w:val="7"/>
                <w:szCs w:val="7"/>
                <w:color w:val="auto"/>
              </w:rPr>
            </w:pPr>
          </w:p>
        </w:tc>
        <w:tc>
          <w:tcPr>
            <w:tcW w:w="680" w:type="dxa"/>
            <w:vAlign w:val="bottom"/>
            <w:tcBorders>
              <w:bottom w:val="single" w:sz="8" w:color="CDCDCD"/>
            </w:tcBorders>
          </w:tcPr>
          <w:p>
            <w:pPr>
              <w:spacing w:after="0"/>
              <w:rPr>
                <w:sz w:val="7"/>
                <w:szCs w:val="7"/>
                <w:color w:val="auto"/>
              </w:rPr>
            </w:pPr>
          </w:p>
        </w:tc>
        <w:tc>
          <w:tcPr>
            <w:tcW w:w="1360" w:type="dxa"/>
            <w:vAlign w:val="bottom"/>
            <w:tcBorders>
              <w:bottom w:val="single" w:sz="8" w:color="CDCDCD"/>
            </w:tcBorders>
          </w:tcPr>
          <w:p>
            <w:pPr>
              <w:spacing w:after="0"/>
              <w:rPr>
                <w:sz w:val="7"/>
                <w:szCs w:val="7"/>
                <w:color w:val="auto"/>
              </w:rPr>
            </w:pPr>
          </w:p>
        </w:tc>
        <w:tc>
          <w:tcPr>
            <w:tcW w:w="860" w:type="dxa"/>
            <w:vAlign w:val="bottom"/>
            <w:tcBorders>
              <w:bottom w:val="single" w:sz="8" w:color="CDCDCD"/>
            </w:tcBorders>
          </w:tcPr>
          <w:p>
            <w:pPr>
              <w:spacing w:after="0"/>
              <w:rPr>
                <w:sz w:val="7"/>
                <w:szCs w:val="7"/>
                <w:color w:val="auto"/>
              </w:rPr>
            </w:pPr>
          </w:p>
        </w:tc>
        <w:tc>
          <w:tcPr>
            <w:tcW w:w="2220" w:type="dxa"/>
            <w:vAlign w:val="bottom"/>
            <w:tcBorders>
              <w:bottom w:val="single" w:sz="8" w:color="CDCDCD"/>
            </w:tcBorders>
            <w:gridSpan w:val="2"/>
          </w:tcPr>
          <w:p>
            <w:pPr>
              <w:spacing w:after="0"/>
              <w:rPr>
                <w:sz w:val="7"/>
                <w:szCs w:val="7"/>
                <w:color w:val="auto"/>
              </w:rPr>
            </w:pPr>
          </w:p>
        </w:tc>
      </w:tr>
      <w:tr>
        <w:trPr>
          <w:trHeight w:val="121"/>
        </w:trPr>
        <w:tc>
          <w:tcPr>
            <w:tcW w:w="2460" w:type="dxa"/>
            <w:vAlign w:val="bottom"/>
          </w:tcPr>
          <w:p>
            <w:pPr>
              <w:spacing w:after="0"/>
              <w:rPr>
                <w:sz w:val="20"/>
                <w:szCs w:val="20"/>
                <w:color w:val="auto"/>
              </w:rPr>
            </w:pPr>
            <w:r>
              <w:rPr>
                <w:rFonts w:ascii="Arial" w:cs="Arial" w:eastAsia="Arial" w:hAnsi="Arial"/>
                <w:sz w:val="10"/>
                <w:szCs w:val="10"/>
                <w:color w:val="auto"/>
              </w:rPr>
              <w:t>Proved undeveloped reserves 2018</w:t>
            </w:r>
          </w:p>
        </w:tc>
        <w:tc>
          <w:tcPr>
            <w:tcW w:w="1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20" w:type="dxa"/>
            <w:vAlign w:val="bottom"/>
            <w:gridSpan w:val="2"/>
          </w:tcPr>
          <w:p>
            <w:pPr>
              <w:jc w:val="right"/>
              <w:spacing w:after="0"/>
              <w:rPr>
                <w:sz w:val="20"/>
                <w:szCs w:val="20"/>
                <w:color w:val="auto"/>
              </w:rPr>
            </w:pPr>
            <w:r>
              <w:rPr>
                <w:rFonts w:ascii="Arial" w:cs="Arial" w:eastAsia="Arial" w:hAnsi="Arial"/>
                <w:sz w:val="10"/>
                <w:szCs w:val="10"/>
                <w:color w:val="auto"/>
              </w:rPr>
              <w:t>Thousand million standard cubic feet</w:t>
            </w:r>
          </w:p>
        </w:tc>
      </w:tr>
      <w:tr>
        <w:trPr>
          <w:trHeight w:val="145"/>
        </w:trPr>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4"/>
        </w:trPr>
        <w:tc>
          <w:tcPr>
            <w:tcW w:w="24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Europe</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Asia</w:t>
            </w: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Oceania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Africa</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USA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Canada</w:t>
            </w:r>
          </w:p>
        </w:tc>
        <w:tc>
          <w:tcPr>
            <w:tcW w:w="148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South America</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r>
      <w:tr>
        <w:trPr>
          <w:trHeight w:val="114"/>
        </w:trPr>
        <w:tc>
          <w:tcPr>
            <w:tcW w:w="2460" w:type="dxa"/>
            <w:vAlign w:val="bottom"/>
          </w:tcPr>
          <w:p>
            <w:pPr>
              <w:spacing w:after="0"/>
              <w:rPr>
                <w:sz w:val="20"/>
                <w:szCs w:val="20"/>
                <w:color w:val="auto"/>
              </w:rPr>
            </w:pPr>
            <w:r>
              <w:rPr>
                <w:rFonts w:ascii="Arial" w:cs="Arial" w:eastAsia="Arial" w:hAnsi="Arial"/>
                <w:sz w:val="10"/>
                <w:szCs w:val="10"/>
                <w:color w:val="auto"/>
              </w:rPr>
              <w:t>Shell subsidiaries</w:t>
            </w: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3"/>
        </w:trPr>
        <w:tc>
          <w:tcPr>
            <w:tcW w:w="246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1480" w:type="dxa"/>
            <w:vAlign w:val="bottom"/>
          </w:tcPr>
          <w:p>
            <w:pPr>
              <w:jc w:val="right"/>
              <w:ind w:right="392"/>
              <w:spacing w:after="0"/>
              <w:rPr>
                <w:sz w:val="20"/>
                <w:szCs w:val="20"/>
                <w:color w:val="auto"/>
              </w:rPr>
            </w:pPr>
            <w:r>
              <w:rPr>
                <w:rFonts w:ascii="Arial" w:cs="Arial" w:eastAsia="Arial" w:hAnsi="Arial"/>
                <w:sz w:val="10"/>
                <w:szCs w:val="10"/>
                <w:color w:val="auto"/>
              </w:rPr>
              <w:t>122</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362</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2,952</w:t>
            </w:r>
          </w:p>
        </w:tc>
        <w:tc>
          <w:tcPr>
            <w:tcW w:w="680" w:type="dxa"/>
            <w:vAlign w:val="bottom"/>
          </w:tcPr>
          <w:p>
            <w:pPr>
              <w:jc w:val="right"/>
              <w:spacing w:after="0"/>
              <w:rPr>
                <w:sz w:val="20"/>
                <w:szCs w:val="20"/>
                <w:color w:val="auto"/>
              </w:rPr>
            </w:pPr>
            <w:r>
              <w:rPr>
                <w:rFonts w:ascii="Arial" w:cs="Arial" w:eastAsia="Arial" w:hAnsi="Arial"/>
                <w:sz w:val="10"/>
                <w:szCs w:val="10"/>
                <w:color w:val="auto"/>
              </w:rPr>
              <w:t>589</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917</w:t>
            </w:r>
          </w:p>
        </w:tc>
        <w:tc>
          <w:tcPr>
            <w:tcW w:w="860" w:type="dxa"/>
            <w:vAlign w:val="bottom"/>
          </w:tcPr>
          <w:p>
            <w:pPr>
              <w:jc w:val="right"/>
              <w:spacing w:after="0"/>
              <w:rPr>
                <w:sz w:val="20"/>
                <w:szCs w:val="20"/>
                <w:color w:val="auto"/>
              </w:rPr>
            </w:pPr>
            <w:r>
              <w:rPr>
                <w:rFonts w:ascii="Arial" w:cs="Arial" w:eastAsia="Arial" w:hAnsi="Arial"/>
                <w:sz w:val="10"/>
                <w:szCs w:val="10"/>
                <w:color w:val="auto"/>
              </w:rPr>
              <w:t>413</w:t>
            </w:r>
          </w:p>
        </w:tc>
        <w:tc>
          <w:tcPr>
            <w:tcW w:w="1480" w:type="dxa"/>
            <w:vAlign w:val="bottom"/>
          </w:tcPr>
          <w:p>
            <w:pPr>
              <w:jc w:val="right"/>
              <w:ind w:right="372"/>
              <w:spacing w:after="0"/>
              <w:rPr>
                <w:sz w:val="20"/>
                <w:szCs w:val="20"/>
                <w:color w:val="auto"/>
              </w:rPr>
            </w:pPr>
            <w:r>
              <w:rPr>
                <w:rFonts w:ascii="Arial" w:cs="Arial" w:eastAsia="Arial" w:hAnsi="Arial"/>
                <w:sz w:val="10"/>
                <w:szCs w:val="10"/>
                <w:color w:val="auto"/>
              </w:rPr>
              <w:t>276</w:t>
            </w:r>
          </w:p>
        </w:tc>
        <w:tc>
          <w:tcPr>
            <w:tcW w:w="740" w:type="dxa"/>
            <w:vAlign w:val="bottom"/>
          </w:tcPr>
          <w:p>
            <w:pPr>
              <w:jc w:val="right"/>
              <w:spacing w:after="0"/>
              <w:rPr>
                <w:sz w:val="20"/>
                <w:szCs w:val="20"/>
                <w:color w:val="auto"/>
              </w:rPr>
            </w:pPr>
            <w:r>
              <w:rPr>
                <w:rFonts w:ascii="Arial" w:cs="Arial" w:eastAsia="Arial" w:hAnsi="Arial"/>
                <w:sz w:val="10"/>
                <w:szCs w:val="10"/>
                <w:color w:val="auto"/>
              </w:rPr>
              <w:t>5,631</w:t>
            </w:r>
          </w:p>
        </w:tc>
      </w:tr>
      <w:tr>
        <w:trPr>
          <w:trHeight w:val="130"/>
        </w:trPr>
        <w:tc>
          <w:tcPr>
            <w:tcW w:w="246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148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942</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539</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2,607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971</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441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268</w:t>
            </w: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271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6,039</w:t>
            </w:r>
          </w:p>
        </w:tc>
      </w:tr>
      <w:tr>
        <w:trPr>
          <w:trHeight w:val="114"/>
        </w:trPr>
        <w:tc>
          <w:tcPr>
            <w:tcW w:w="2460" w:type="dxa"/>
            <w:vAlign w:val="bottom"/>
          </w:tcPr>
          <w:p>
            <w:pPr>
              <w:spacing w:after="0"/>
              <w:rPr>
                <w:sz w:val="20"/>
                <w:szCs w:val="20"/>
                <w:color w:val="auto"/>
              </w:rPr>
            </w:pPr>
            <w:r>
              <w:rPr>
                <w:rFonts w:ascii="Arial" w:cs="Arial" w:eastAsia="Arial" w:hAnsi="Arial"/>
                <w:sz w:val="10"/>
                <w:szCs w:val="10"/>
                <w:color w:val="auto"/>
              </w:rPr>
              <w:t>Shell share of joint ventures and associates</w:t>
            </w: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3"/>
        </w:trPr>
        <w:tc>
          <w:tcPr>
            <w:tcW w:w="2460" w:type="dxa"/>
            <w:vAlign w:val="bottom"/>
          </w:tcPr>
          <w:p>
            <w:pPr>
              <w:ind w:left="220"/>
              <w:spacing w:after="0"/>
              <w:rPr>
                <w:sz w:val="20"/>
                <w:szCs w:val="20"/>
                <w:color w:val="auto"/>
              </w:rPr>
            </w:pPr>
            <w:r>
              <w:rPr>
                <w:rFonts w:ascii="Arial" w:cs="Arial" w:eastAsia="Arial" w:hAnsi="Arial"/>
                <w:sz w:val="10"/>
                <w:szCs w:val="10"/>
                <w:color w:val="auto"/>
              </w:rPr>
              <w:t>At January 1</w:t>
            </w:r>
          </w:p>
        </w:tc>
        <w:tc>
          <w:tcPr>
            <w:tcW w:w="1480" w:type="dxa"/>
            <w:vAlign w:val="bottom"/>
          </w:tcPr>
          <w:p>
            <w:pPr>
              <w:jc w:val="right"/>
              <w:ind w:right="392"/>
              <w:spacing w:after="0"/>
              <w:rPr>
                <w:sz w:val="20"/>
                <w:szCs w:val="20"/>
                <w:color w:val="auto"/>
              </w:rPr>
            </w:pPr>
            <w:r>
              <w:rPr>
                <w:rFonts w:ascii="Arial" w:cs="Arial" w:eastAsia="Arial" w:hAnsi="Arial"/>
                <w:sz w:val="10"/>
                <w:szCs w:val="10"/>
                <w:color w:val="auto"/>
              </w:rPr>
              <w:t>70</w:t>
            </w:r>
          </w:p>
        </w:tc>
        <w:tc>
          <w:tcPr>
            <w:tcW w:w="1100" w:type="dxa"/>
            <w:vAlign w:val="bottom"/>
          </w:tcPr>
          <w:p>
            <w:pPr>
              <w:jc w:val="right"/>
              <w:ind w:right="372"/>
              <w:spacing w:after="0"/>
              <w:rPr>
                <w:sz w:val="20"/>
                <w:szCs w:val="20"/>
                <w:color w:val="auto"/>
              </w:rPr>
            </w:pPr>
            <w:r>
              <w:rPr>
                <w:rFonts w:ascii="Arial" w:cs="Arial" w:eastAsia="Arial" w:hAnsi="Arial"/>
                <w:sz w:val="10"/>
                <w:szCs w:val="10"/>
                <w:color w:val="auto"/>
              </w:rPr>
              <w:t>689</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48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759</w:t>
            </w:r>
          </w:p>
        </w:tc>
      </w:tr>
      <w:tr>
        <w:trPr>
          <w:trHeight w:val="130"/>
        </w:trPr>
        <w:tc>
          <w:tcPr>
            <w:tcW w:w="246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At December 31</w:t>
            </w:r>
          </w:p>
        </w:tc>
        <w:tc>
          <w:tcPr>
            <w:tcW w:w="148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27</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643</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670</w:t>
            </w:r>
          </w:p>
        </w:tc>
      </w:tr>
    </w:tbl>
    <w:p>
      <w:pPr>
        <w:spacing w:after="0" w:line="211" w:lineRule="exact"/>
        <w:rPr>
          <w:sz w:val="20"/>
          <w:szCs w:val="20"/>
          <w:color w:val="auto"/>
        </w:rPr>
      </w:pPr>
    </w:p>
    <w:p>
      <w:pPr>
        <w:ind w:left="8"/>
        <w:spacing w:after="0"/>
        <w:rPr>
          <w:sz w:val="20"/>
          <w:szCs w:val="20"/>
          <w:color w:val="auto"/>
        </w:rPr>
      </w:pPr>
      <w:r>
        <w:rPr>
          <w:rFonts w:ascii="Arial" w:cs="Arial" w:eastAsia="Arial" w:hAnsi="Arial"/>
          <w:sz w:val="11"/>
          <w:szCs w:val="11"/>
          <w:color w:val="auto"/>
        </w:rPr>
        <w:t>STANDARDISED MEASURE OF DISCOUNTED FUTURE CASH FLOWS</w:t>
      </w:r>
    </w:p>
    <w:p>
      <w:pPr>
        <w:ind w:left="8" w:right="80"/>
        <w:spacing w:after="0" w:line="229" w:lineRule="auto"/>
        <w:rPr>
          <w:sz w:val="20"/>
          <w:szCs w:val="20"/>
          <w:color w:val="auto"/>
        </w:rPr>
      </w:pPr>
      <w:r>
        <w:rPr>
          <w:rFonts w:ascii="Arial" w:cs="Arial" w:eastAsia="Arial" w:hAnsi="Arial"/>
          <w:sz w:val="10"/>
          <w:szCs w:val="10"/>
          <w:color w:val="auto"/>
        </w:rPr>
        <w:t>The SEC Form 20-F requires the disclosure of a standardised measure of discounted future net cash flows, relating to proved reserves quantities and based on a 12-month unweighted arithmetic average sales price, calculated on a first-day-of-the-month basis, with cost factors based on those at the end of each year, currently enacted tax rates and a 10% annual discount factor. In our view, the information so calculated does not provide a reliable measure of future cash flows from proved reserves, nor does it permit a realistic comparison to be made of one entity with another because the assumptions used cannot reflect the varying</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219</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14" w:right="299" w:bottom="1440" w:gutter="0" w:footer="0" w:header="0"/>
        </w:sectPr>
      </w:pPr>
    </w:p>
    <w:bookmarkStart w:id="222" w:name="page223"/>
    <w:bookmarkEnd w:id="222"/>
    <w:p>
      <w:pPr>
        <w:spacing w:after="0"/>
        <w:rPr>
          <w:sz w:val="20"/>
          <w:szCs w:val="20"/>
          <w:color w:val="auto"/>
        </w:rPr>
      </w:pPr>
      <w:r>
        <w:rPr>
          <w:rFonts w:ascii="Arial" w:cs="Arial" w:eastAsia="Arial" w:hAnsi="Arial"/>
          <w:sz w:val="8"/>
          <w:szCs w:val="8"/>
          <w:color w:val="auto"/>
        </w:rPr>
        <w:t>circumstances within each entity. In addition, a substantial but unknown proportion of future real cash flows from oil and gas production activities is expected to derive from reserves which have already been discovered, but which cannot yet be regarded as proved.</w:t>
      </w:r>
    </w:p>
    <w:p>
      <w:pPr>
        <w:spacing w:after="0" w:line="178" w:lineRule="exact"/>
        <w:rPr>
          <w:sz w:val="20"/>
          <w:szCs w:val="20"/>
          <w:color w:val="auto"/>
        </w:rPr>
      </w:pPr>
    </w:p>
    <w:p>
      <w:pPr>
        <w:spacing w:after="0"/>
        <w:rPr>
          <w:sz w:val="20"/>
          <w:szCs w:val="20"/>
          <w:color w:val="auto"/>
        </w:rPr>
      </w:pPr>
      <w:r>
        <w:rPr>
          <w:rFonts w:ascii="Arial" w:cs="Arial" w:eastAsia="Arial" w:hAnsi="Arial"/>
          <w:sz w:val="10"/>
          <w:szCs w:val="10"/>
          <w:color w:val="auto"/>
        </w:rPr>
        <w:t>STANDARDISED MEASURE OF DISCOUNTED FUTURE CASH FLOWS RELATING TO PROVED RESERVES AT DECEMBER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700" w:type="dxa"/>
            <w:vAlign w:val="bottom"/>
            <w:shd w:val="clear" w:color="auto" w:fill="CDCDCD"/>
          </w:tcPr>
          <w:p>
            <w:pPr>
              <w:spacing w:after="0"/>
              <w:rPr>
                <w:sz w:val="12"/>
                <w:szCs w:val="12"/>
                <w:color w:val="auto"/>
              </w:rPr>
            </w:pPr>
          </w:p>
        </w:tc>
        <w:tc>
          <w:tcPr>
            <w:tcW w:w="1440" w:type="dxa"/>
            <w:vAlign w:val="bottom"/>
            <w:shd w:val="clear" w:color="auto" w:fill="CDCDCD"/>
          </w:tcPr>
          <w:p>
            <w:pPr>
              <w:spacing w:after="0"/>
              <w:rPr>
                <w:sz w:val="12"/>
                <w:szCs w:val="12"/>
                <w:color w:val="auto"/>
              </w:rPr>
            </w:pPr>
          </w:p>
        </w:tc>
        <w:tc>
          <w:tcPr>
            <w:tcW w:w="1020" w:type="dxa"/>
            <w:vAlign w:val="bottom"/>
            <w:shd w:val="clear" w:color="auto" w:fill="CDCDCD"/>
          </w:tcPr>
          <w:p>
            <w:pPr>
              <w:spacing w:after="0"/>
              <w:rPr>
                <w:sz w:val="12"/>
                <w:szCs w:val="12"/>
                <w:color w:val="auto"/>
              </w:rPr>
            </w:pPr>
          </w:p>
        </w:tc>
        <w:tc>
          <w:tcPr>
            <w:tcW w:w="1100" w:type="dxa"/>
            <w:vAlign w:val="bottom"/>
            <w:shd w:val="clear" w:color="auto" w:fill="CDCDCD"/>
          </w:tcPr>
          <w:p>
            <w:pPr>
              <w:spacing w:after="0"/>
              <w:rPr>
                <w:sz w:val="12"/>
                <w:szCs w:val="12"/>
                <w:color w:val="auto"/>
              </w:rPr>
            </w:pPr>
          </w:p>
        </w:tc>
        <w:tc>
          <w:tcPr>
            <w:tcW w:w="560" w:type="dxa"/>
            <w:vAlign w:val="bottom"/>
            <w:shd w:val="clear" w:color="auto" w:fill="CDCDCD"/>
          </w:tcPr>
          <w:p>
            <w:pPr>
              <w:spacing w:after="0"/>
              <w:rPr>
                <w:sz w:val="12"/>
                <w:szCs w:val="12"/>
                <w:color w:val="auto"/>
              </w:rPr>
            </w:pPr>
          </w:p>
        </w:tc>
        <w:tc>
          <w:tcPr>
            <w:tcW w:w="220" w:type="dxa"/>
            <w:vAlign w:val="bottom"/>
            <w:shd w:val="clear" w:color="auto" w:fill="CDCDCD"/>
          </w:tcPr>
          <w:p>
            <w:pPr>
              <w:spacing w:after="0"/>
              <w:rPr>
                <w:sz w:val="12"/>
                <w:szCs w:val="12"/>
                <w:color w:val="auto"/>
              </w:rPr>
            </w:pPr>
          </w:p>
        </w:tc>
        <w:tc>
          <w:tcPr>
            <w:tcW w:w="1460" w:type="dxa"/>
            <w:vAlign w:val="bottom"/>
            <w:shd w:val="clear" w:color="auto" w:fill="CDCDCD"/>
          </w:tcPr>
          <w:p>
            <w:pPr>
              <w:spacing w:after="0"/>
              <w:rPr>
                <w:sz w:val="12"/>
                <w:szCs w:val="12"/>
                <w:color w:val="auto"/>
              </w:rPr>
            </w:pPr>
          </w:p>
        </w:tc>
        <w:tc>
          <w:tcPr>
            <w:tcW w:w="500" w:type="dxa"/>
            <w:vAlign w:val="bottom"/>
            <w:shd w:val="clear" w:color="auto" w:fill="CDCDCD"/>
          </w:tcPr>
          <w:p>
            <w:pPr>
              <w:spacing w:after="0"/>
              <w:rPr>
                <w:sz w:val="12"/>
                <w:szCs w:val="12"/>
                <w:color w:val="auto"/>
              </w:rPr>
            </w:pPr>
          </w:p>
        </w:tc>
        <w:tc>
          <w:tcPr>
            <w:tcW w:w="120" w:type="dxa"/>
            <w:vAlign w:val="bottom"/>
            <w:shd w:val="clear" w:color="auto" w:fill="CDCDCD"/>
          </w:tcPr>
          <w:p>
            <w:pPr>
              <w:spacing w:after="0"/>
              <w:rPr>
                <w:sz w:val="12"/>
                <w:szCs w:val="12"/>
                <w:color w:val="auto"/>
              </w:rPr>
            </w:pPr>
          </w:p>
        </w:tc>
        <w:tc>
          <w:tcPr>
            <w:tcW w:w="1360" w:type="dxa"/>
            <w:vAlign w:val="bottom"/>
            <w:shd w:val="clear" w:color="auto" w:fill="CDCDCD"/>
          </w:tcPr>
          <w:p>
            <w:pPr>
              <w:spacing w:after="0"/>
              <w:rPr>
                <w:sz w:val="12"/>
                <w:szCs w:val="12"/>
                <w:color w:val="auto"/>
              </w:rPr>
            </w:pPr>
          </w:p>
        </w:tc>
        <w:tc>
          <w:tcPr>
            <w:tcW w:w="700" w:type="dxa"/>
            <w:vAlign w:val="bottom"/>
            <w:shd w:val="clear" w:color="auto" w:fill="CDCDCD"/>
          </w:tcPr>
          <w:p>
            <w:pPr>
              <w:spacing w:after="0"/>
              <w:rPr>
                <w:sz w:val="12"/>
                <w:szCs w:val="12"/>
                <w:color w:val="auto"/>
              </w:rPr>
            </w:pPr>
          </w:p>
        </w:tc>
        <w:tc>
          <w:tcPr>
            <w:tcW w:w="40" w:type="dxa"/>
            <w:vAlign w:val="bottom"/>
          </w:tcPr>
          <w:p>
            <w:pPr>
              <w:spacing w:after="0"/>
              <w:rPr>
                <w:sz w:val="12"/>
                <w:szCs w:val="12"/>
                <w:color w:val="auto"/>
              </w:rPr>
            </w:pPr>
          </w:p>
        </w:tc>
      </w:tr>
      <w:tr>
        <w:trPr>
          <w:trHeight w:val="121"/>
        </w:trPr>
        <w:tc>
          <w:tcPr>
            <w:tcW w:w="2700" w:type="dxa"/>
            <w:vAlign w:val="bottom"/>
          </w:tcPr>
          <w:p>
            <w:pPr>
              <w:spacing w:after="0"/>
              <w:rPr>
                <w:sz w:val="20"/>
                <w:szCs w:val="20"/>
                <w:color w:val="auto"/>
              </w:rPr>
            </w:pPr>
            <w:r>
              <w:rPr>
                <w:rFonts w:ascii="Arial" w:cs="Arial" w:eastAsia="Arial" w:hAnsi="Arial"/>
                <w:sz w:val="10"/>
                <w:szCs w:val="10"/>
                <w:color w:val="auto"/>
              </w:rPr>
              <w:t>2020 - Shell subsidiaries</w:t>
            </w:r>
          </w:p>
        </w:tc>
        <w:tc>
          <w:tcPr>
            <w:tcW w:w="1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0"/>
                <w:szCs w:val="10"/>
                <w:color w:val="auto"/>
              </w:rPr>
              <w:t>$ million</w:t>
            </w:r>
          </w:p>
        </w:tc>
      </w:tr>
      <w:tr>
        <w:trPr>
          <w:trHeight w:val="141"/>
        </w:trPr>
        <w:tc>
          <w:tcPr>
            <w:tcW w:w="2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North America</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2"/>
        </w:trPr>
        <w:tc>
          <w:tcPr>
            <w:tcW w:w="2700" w:type="dxa"/>
            <w:vAlign w:val="bottom"/>
          </w:tcPr>
          <w:p>
            <w:pPr>
              <w:spacing w:after="0"/>
              <w:rPr>
                <w:sz w:val="11"/>
                <w:szCs w:val="11"/>
                <w:color w:val="auto"/>
              </w:rPr>
            </w:pPr>
          </w:p>
        </w:tc>
        <w:tc>
          <w:tcPr>
            <w:tcW w:w="1440" w:type="dxa"/>
            <w:vAlign w:val="bottom"/>
          </w:tcPr>
          <w:p>
            <w:pPr>
              <w:jc w:val="right"/>
              <w:ind w:right="552"/>
              <w:spacing w:after="0"/>
              <w:rPr>
                <w:sz w:val="20"/>
                <w:szCs w:val="20"/>
                <w:color w:val="auto"/>
              </w:rPr>
            </w:pPr>
            <w:r>
              <w:rPr>
                <w:rFonts w:ascii="Arial" w:cs="Arial" w:eastAsia="Arial" w:hAnsi="Arial"/>
                <w:sz w:val="10"/>
                <w:szCs w:val="10"/>
                <w:b w:val="1"/>
                <w:bCs w:val="1"/>
                <w:color w:val="auto"/>
              </w:rPr>
              <w:t>Europe</w:t>
            </w:r>
          </w:p>
        </w:tc>
        <w:tc>
          <w:tcPr>
            <w:tcW w:w="1020" w:type="dxa"/>
            <w:vAlign w:val="bottom"/>
          </w:tcPr>
          <w:p>
            <w:pPr>
              <w:jc w:val="right"/>
              <w:ind w:right="492"/>
              <w:spacing w:after="0"/>
              <w:rPr>
                <w:sz w:val="20"/>
                <w:szCs w:val="20"/>
                <w:color w:val="auto"/>
              </w:rPr>
            </w:pPr>
            <w:r>
              <w:rPr>
                <w:rFonts w:ascii="Arial" w:cs="Arial" w:eastAsia="Arial" w:hAnsi="Arial"/>
                <w:sz w:val="10"/>
                <w:szCs w:val="10"/>
                <w:b w:val="1"/>
                <w:bCs w:val="1"/>
                <w:color w:val="auto"/>
              </w:rPr>
              <w:t>Asia</w:t>
            </w:r>
          </w:p>
        </w:tc>
        <w:tc>
          <w:tcPr>
            <w:tcW w:w="1100" w:type="dxa"/>
            <w:vAlign w:val="bottom"/>
          </w:tcPr>
          <w:p>
            <w:pPr>
              <w:jc w:val="right"/>
              <w:ind w:right="492"/>
              <w:spacing w:after="0"/>
              <w:rPr>
                <w:sz w:val="20"/>
                <w:szCs w:val="20"/>
                <w:color w:val="auto"/>
              </w:rPr>
            </w:pPr>
            <w:r>
              <w:rPr>
                <w:rFonts w:ascii="Arial" w:cs="Arial" w:eastAsia="Arial" w:hAnsi="Arial"/>
                <w:sz w:val="10"/>
                <w:szCs w:val="10"/>
                <w:b w:val="1"/>
                <w:bCs w:val="1"/>
                <w:color w:val="auto"/>
              </w:rPr>
              <w:t>Oceania</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Africa</w:t>
            </w:r>
          </w:p>
        </w:tc>
        <w:tc>
          <w:tcPr>
            <w:tcW w:w="1460" w:type="dxa"/>
            <w:vAlign w:val="bottom"/>
          </w:tcPr>
          <w:p>
            <w:pPr>
              <w:jc w:val="right"/>
              <w:ind w:right="552"/>
              <w:spacing w:after="0"/>
              <w:rPr>
                <w:sz w:val="20"/>
                <w:szCs w:val="20"/>
                <w:color w:val="auto"/>
              </w:rPr>
            </w:pPr>
            <w:r>
              <w:rPr>
                <w:rFonts w:ascii="Arial" w:cs="Arial" w:eastAsia="Arial" w:hAnsi="Arial"/>
                <w:sz w:val="10"/>
                <w:szCs w:val="10"/>
                <w:b w:val="1"/>
                <w:bCs w:val="1"/>
                <w:color w:val="auto"/>
              </w:rPr>
              <w:t>USA</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Canada</w:t>
            </w:r>
          </w:p>
        </w:tc>
        <w:tc>
          <w:tcPr>
            <w:tcW w:w="1360" w:type="dxa"/>
            <w:vAlign w:val="bottom"/>
          </w:tcPr>
          <w:p>
            <w:pPr>
              <w:jc w:val="right"/>
              <w:ind w:right="612"/>
              <w:spacing w:after="0"/>
              <w:rPr>
                <w:sz w:val="20"/>
                <w:szCs w:val="20"/>
                <w:color w:val="auto"/>
              </w:rPr>
            </w:pPr>
            <w:r>
              <w:rPr>
                <w:rFonts w:ascii="Arial" w:cs="Arial" w:eastAsia="Arial" w:hAnsi="Arial"/>
                <w:sz w:val="10"/>
                <w:szCs w:val="10"/>
                <w:color w:val="auto"/>
              </w:rPr>
              <w:t>South America</w:t>
            </w:r>
          </w:p>
        </w:tc>
        <w:tc>
          <w:tcPr>
            <w:tcW w:w="740" w:type="dxa"/>
            <w:vAlign w:val="bottom"/>
            <w:gridSpan w:val="2"/>
          </w:tcPr>
          <w:p>
            <w:pPr>
              <w:jc w:val="right"/>
              <w:ind w:right="60"/>
              <w:spacing w:after="0"/>
              <w:rPr>
                <w:sz w:val="20"/>
                <w:szCs w:val="20"/>
                <w:color w:val="auto"/>
              </w:rPr>
            </w:pPr>
            <w:r>
              <w:rPr>
                <w:rFonts w:ascii="Arial" w:cs="Arial" w:eastAsia="Arial" w:hAnsi="Arial"/>
                <w:sz w:val="10"/>
                <w:szCs w:val="10"/>
                <w:color w:val="auto"/>
              </w:rPr>
              <w:t>Total</w:t>
            </w:r>
          </w:p>
        </w:tc>
      </w:tr>
      <w:tr>
        <w:trPr>
          <w:trHeight w:val="110"/>
        </w:trPr>
        <w:tc>
          <w:tcPr>
            <w:tcW w:w="2700" w:type="dxa"/>
            <w:vAlign w:val="bottom"/>
            <w:tcBorders>
              <w:top w:val="single" w:sz="8" w:color="auto"/>
            </w:tcBorders>
          </w:tcPr>
          <w:p>
            <w:pPr>
              <w:spacing w:after="0" w:line="111" w:lineRule="exact"/>
              <w:rPr>
                <w:sz w:val="20"/>
                <w:szCs w:val="20"/>
                <w:color w:val="auto"/>
              </w:rPr>
            </w:pPr>
            <w:r>
              <w:rPr>
                <w:rFonts w:ascii="Arial" w:cs="Arial" w:eastAsia="Arial" w:hAnsi="Arial"/>
                <w:sz w:val="10"/>
                <w:szCs w:val="10"/>
                <w:color w:val="auto"/>
              </w:rPr>
              <w:t>Future cash inflows</w:t>
            </w:r>
          </w:p>
        </w:tc>
        <w:tc>
          <w:tcPr>
            <w:tcW w:w="1440" w:type="dxa"/>
            <w:vAlign w:val="bottom"/>
            <w:tcBorders>
              <w:top w:val="single" w:sz="8" w:color="auto"/>
            </w:tcBorders>
          </w:tcPr>
          <w:p>
            <w:pPr>
              <w:jc w:val="right"/>
              <w:ind w:right="552"/>
              <w:spacing w:after="0" w:line="111" w:lineRule="exact"/>
              <w:rPr>
                <w:sz w:val="20"/>
                <w:szCs w:val="20"/>
                <w:color w:val="auto"/>
              </w:rPr>
            </w:pPr>
            <w:r>
              <w:rPr>
                <w:rFonts w:ascii="Arial" w:cs="Arial" w:eastAsia="Arial" w:hAnsi="Arial"/>
                <w:sz w:val="10"/>
                <w:szCs w:val="10"/>
                <w:color w:val="auto"/>
              </w:rPr>
              <w:t>16,581</w:t>
            </w:r>
          </w:p>
        </w:tc>
        <w:tc>
          <w:tcPr>
            <w:tcW w:w="1020" w:type="dxa"/>
            <w:vAlign w:val="bottom"/>
            <w:tcBorders>
              <w:top w:val="single" w:sz="8" w:color="auto"/>
            </w:tcBorders>
          </w:tcPr>
          <w:p>
            <w:pPr>
              <w:jc w:val="right"/>
              <w:ind w:right="492"/>
              <w:spacing w:after="0" w:line="111" w:lineRule="exact"/>
              <w:rPr>
                <w:sz w:val="20"/>
                <w:szCs w:val="20"/>
                <w:color w:val="auto"/>
              </w:rPr>
            </w:pPr>
            <w:r>
              <w:rPr>
                <w:rFonts w:ascii="Arial" w:cs="Arial" w:eastAsia="Arial" w:hAnsi="Arial"/>
                <w:sz w:val="10"/>
                <w:szCs w:val="10"/>
                <w:color w:val="auto"/>
              </w:rPr>
              <w:t>75,128</w:t>
            </w:r>
          </w:p>
        </w:tc>
        <w:tc>
          <w:tcPr>
            <w:tcW w:w="1100" w:type="dxa"/>
            <w:vAlign w:val="bottom"/>
            <w:tcBorders>
              <w:top w:val="single" w:sz="8" w:color="auto"/>
            </w:tcBorders>
          </w:tcPr>
          <w:p>
            <w:pPr>
              <w:jc w:val="right"/>
              <w:ind w:right="492"/>
              <w:spacing w:after="0" w:line="111" w:lineRule="exact"/>
              <w:rPr>
                <w:sz w:val="20"/>
                <w:szCs w:val="20"/>
                <w:color w:val="auto"/>
              </w:rPr>
            </w:pPr>
            <w:r>
              <w:rPr>
                <w:rFonts w:ascii="Arial" w:cs="Arial" w:eastAsia="Arial" w:hAnsi="Arial"/>
                <w:sz w:val="10"/>
                <w:szCs w:val="10"/>
                <w:color w:val="auto"/>
              </w:rPr>
              <w:t>25,970</w:t>
            </w:r>
          </w:p>
        </w:tc>
        <w:tc>
          <w:tcPr>
            <w:tcW w:w="56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0"/>
                <w:szCs w:val="10"/>
                <w:color w:val="auto"/>
              </w:rPr>
              <w:t>19,743</w:t>
            </w:r>
          </w:p>
        </w:tc>
        <w:tc>
          <w:tcPr>
            <w:tcW w:w="22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tcPr>
          <w:p>
            <w:pPr>
              <w:jc w:val="right"/>
              <w:ind w:right="552"/>
              <w:spacing w:after="0" w:line="111" w:lineRule="exact"/>
              <w:rPr>
                <w:sz w:val="20"/>
                <w:szCs w:val="20"/>
                <w:color w:val="auto"/>
              </w:rPr>
            </w:pPr>
            <w:r>
              <w:rPr>
                <w:rFonts w:ascii="Arial" w:cs="Arial" w:eastAsia="Arial" w:hAnsi="Arial"/>
                <w:sz w:val="10"/>
                <w:szCs w:val="10"/>
                <w:color w:val="auto"/>
              </w:rPr>
              <w:t>27,891</w:t>
            </w:r>
          </w:p>
        </w:tc>
        <w:tc>
          <w:tcPr>
            <w:tcW w:w="5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0"/>
                <w:szCs w:val="10"/>
                <w:color w:val="auto"/>
              </w:rPr>
              <w:t>22,447</w:t>
            </w:r>
          </w:p>
        </w:tc>
        <w:tc>
          <w:tcPr>
            <w:tcW w:w="12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tcPr>
          <w:p>
            <w:pPr>
              <w:jc w:val="right"/>
              <w:ind w:right="372"/>
              <w:spacing w:after="0" w:line="111" w:lineRule="exact"/>
              <w:rPr>
                <w:sz w:val="20"/>
                <w:szCs w:val="20"/>
                <w:color w:val="auto"/>
              </w:rPr>
            </w:pPr>
            <w:r>
              <w:rPr>
                <w:rFonts w:ascii="Arial" w:cs="Arial" w:eastAsia="Arial" w:hAnsi="Arial"/>
                <w:sz w:val="10"/>
                <w:szCs w:val="10"/>
                <w:color w:val="auto"/>
              </w:rPr>
              <w:t>34,502</w:t>
            </w:r>
          </w:p>
        </w:tc>
        <w:tc>
          <w:tcPr>
            <w:tcW w:w="7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0"/>
                <w:szCs w:val="10"/>
                <w:color w:val="auto"/>
              </w:rPr>
              <w:t>222,262</w:t>
            </w:r>
          </w:p>
        </w:tc>
        <w:tc>
          <w:tcPr>
            <w:tcW w:w="40" w:type="dxa"/>
            <w:vAlign w:val="bottom"/>
          </w:tcPr>
          <w:p>
            <w:pPr>
              <w:spacing w:after="0"/>
              <w:rPr>
                <w:sz w:val="9"/>
                <w:szCs w:val="9"/>
                <w:color w:val="auto"/>
              </w:rPr>
            </w:pPr>
          </w:p>
        </w:tc>
      </w:tr>
      <w:tr>
        <w:trPr>
          <w:trHeight w:val="123"/>
        </w:trPr>
        <w:tc>
          <w:tcPr>
            <w:tcW w:w="2700" w:type="dxa"/>
            <w:vAlign w:val="bottom"/>
          </w:tcPr>
          <w:p>
            <w:pPr>
              <w:spacing w:after="0"/>
              <w:rPr>
                <w:sz w:val="20"/>
                <w:szCs w:val="20"/>
                <w:color w:val="auto"/>
              </w:rPr>
            </w:pPr>
            <w:r>
              <w:rPr>
                <w:rFonts w:ascii="Arial" w:cs="Arial" w:eastAsia="Arial" w:hAnsi="Arial"/>
                <w:sz w:val="10"/>
                <w:szCs w:val="10"/>
                <w:color w:val="auto"/>
              </w:rPr>
              <w:t>Future production costs</w:t>
            </w:r>
          </w:p>
        </w:tc>
        <w:tc>
          <w:tcPr>
            <w:tcW w:w="1440" w:type="dxa"/>
            <w:vAlign w:val="bottom"/>
          </w:tcPr>
          <w:p>
            <w:pPr>
              <w:jc w:val="right"/>
              <w:ind w:right="552"/>
              <w:spacing w:after="0"/>
              <w:rPr>
                <w:sz w:val="20"/>
                <w:szCs w:val="20"/>
                <w:color w:val="auto"/>
              </w:rPr>
            </w:pPr>
            <w:r>
              <w:rPr>
                <w:rFonts w:ascii="Arial" w:cs="Arial" w:eastAsia="Arial" w:hAnsi="Arial"/>
                <w:sz w:val="10"/>
                <w:szCs w:val="10"/>
                <w:color w:val="auto"/>
              </w:rPr>
              <w:t>6,776</w:t>
            </w:r>
          </w:p>
        </w:tc>
        <w:tc>
          <w:tcPr>
            <w:tcW w:w="1020" w:type="dxa"/>
            <w:vAlign w:val="bottom"/>
          </w:tcPr>
          <w:p>
            <w:pPr>
              <w:jc w:val="right"/>
              <w:ind w:right="492"/>
              <w:spacing w:after="0"/>
              <w:rPr>
                <w:sz w:val="20"/>
                <w:szCs w:val="20"/>
                <w:color w:val="auto"/>
              </w:rPr>
            </w:pPr>
            <w:r>
              <w:rPr>
                <w:rFonts w:ascii="Arial" w:cs="Arial" w:eastAsia="Arial" w:hAnsi="Arial"/>
                <w:sz w:val="10"/>
                <w:szCs w:val="10"/>
                <w:color w:val="auto"/>
              </w:rPr>
              <w:t>26,896</w:t>
            </w:r>
          </w:p>
        </w:tc>
        <w:tc>
          <w:tcPr>
            <w:tcW w:w="1100" w:type="dxa"/>
            <w:vAlign w:val="bottom"/>
          </w:tcPr>
          <w:p>
            <w:pPr>
              <w:jc w:val="right"/>
              <w:ind w:right="492"/>
              <w:spacing w:after="0"/>
              <w:rPr>
                <w:sz w:val="20"/>
                <w:szCs w:val="20"/>
                <w:color w:val="auto"/>
              </w:rPr>
            </w:pPr>
            <w:r>
              <w:rPr>
                <w:rFonts w:ascii="Arial" w:cs="Arial" w:eastAsia="Arial" w:hAnsi="Arial"/>
                <w:sz w:val="10"/>
                <w:szCs w:val="10"/>
                <w:color w:val="auto"/>
              </w:rPr>
              <w:t>10,240</w:t>
            </w:r>
          </w:p>
        </w:tc>
        <w:tc>
          <w:tcPr>
            <w:tcW w:w="560" w:type="dxa"/>
            <w:vAlign w:val="bottom"/>
          </w:tcPr>
          <w:p>
            <w:pPr>
              <w:jc w:val="right"/>
              <w:spacing w:after="0"/>
              <w:rPr>
                <w:sz w:val="20"/>
                <w:szCs w:val="20"/>
                <w:color w:val="auto"/>
              </w:rPr>
            </w:pPr>
            <w:r>
              <w:rPr>
                <w:rFonts w:ascii="Arial" w:cs="Arial" w:eastAsia="Arial" w:hAnsi="Arial"/>
                <w:sz w:val="10"/>
                <w:szCs w:val="10"/>
                <w:color w:val="auto"/>
              </w:rPr>
              <w:t>9,837</w:t>
            </w:r>
          </w:p>
        </w:tc>
        <w:tc>
          <w:tcPr>
            <w:tcW w:w="220" w:type="dxa"/>
            <w:vAlign w:val="bottom"/>
          </w:tcPr>
          <w:p>
            <w:pPr>
              <w:spacing w:after="0"/>
              <w:rPr>
                <w:sz w:val="10"/>
                <w:szCs w:val="10"/>
                <w:color w:val="auto"/>
              </w:rPr>
            </w:pPr>
          </w:p>
        </w:tc>
        <w:tc>
          <w:tcPr>
            <w:tcW w:w="1460" w:type="dxa"/>
            <w:vAlign w:val="bottom"/>
          </w:tcPr>
          <w:p>
            <w:pPr>
              <w:jc w:val="right"/>
              <w:ind w:right="552"/>
              <w:spacing w:after="0"/>
              <w:rPr>
                <w:sz w:val="20"/>
                <w:szCs w:val="20"/>
                <w:color w:val="auto"/>
              </w:rPr>
            </w:pPr>
            <w:r>
              <w:rPr>
                <w:rFonts w:ascii="Arial" w:cs="Arial" w:eastAsia="Arial" w:hAnsi="Arial"/>
                <w:sz w:val="10"/>
                <w:szCs w:val="10"/>
                <w:color w:val="auto"/>
              </w:rPr>
              <w:t>20,341</w:t>
            </w:r>
          </w:p>
        </w:tc>
        <w:tc>
          <w:tcPr>
            <w:tcW w:w="500" w:type="dxa"/>
            <w:vAlign w:val="bottom"/>
          </w:tcPr>
          <w:p>
            <w:pPr>
              <w:jc w:val="right"/>
              <w:spacing w:after="0"/>
              <w:rPr>
                <w:sz w:val="20"/>
                <w:szCs w:val="20"/>
                <w:color w:val="auto"/>
              </w:rPr>
            </w:pPr>
            <w:r>
              <w:rPr>
                <w:rFonts w:ascii="Arial" w:cs="Arial" w:eastAsia="Arial" w:hAnsi="Arial"/>
                <w:sz w:val="10"/>
                <w:szCs w:val="10"/>
                <w:color w:val="auto"/>
              </w:rPr>
              <w:t>15,475</w:t>
            </w:r>
          </w:p>
        </w:tc>
        <w:tc>
          <w:tcPr>
            <w:tcW w:w="120" w:type="dxa"/>
            <w:vAlign w:val="bottom"/>
          </w:tcPr>
          <w:p>
            <w:pPr>
              <w:spacing w:after="0"/>
              <w:rPr>
                <w:sz w:val="10"/>
                <w:szCs w:val="10"/>
                <w:color w:val="auto"/>
              </w:rPr>
            </w:pPr>
          </w:p>
        </w:tc>
        <w:tc>
          <w:tcPr>
            <w:tcW w:w="1360" w:type="dxa"/>
            <w:vAlign w:val="bottom"/>
          </w:tcPr>
          <w:p>
            <w:pPr>
              <w:jc w:val="right"/>
              <w:ind w:right="372"/>
              <w:spacing w:after="0"/>
              <w:rPr>
                <w:sz w:val="20"/>
                <w:szCs w:val="20"/>
                <w:color w:val="auto"/>
              </w:rPr>
            </w:pPr>
            <w:r>
              <w:rPr>
                <w:rFonts w:ascii="Arial" w:cs="Arial" w:eastAsia="Arial" w:hAnsi="Arial"/>
                <w:sz w:val="10"/>
                <w:szCs w:val="10"/>
                <w:color w:val="auto"/>
              </w:rPr>
              <w:t>19,137</w:t>
            </w:r>
          </w:p>
        </w:tc>
        <w:tc>
          <w:tcPr>
            <w:tcW w:w="700" w:type="dxa"/>
            <w:vAlign w:val="bottom"/>
          </w:tcPr>
          <w:p>
            <w:pPr>
              <w:jc w:val="right"/>
              <w:spacing w:after="0"/>
              <w:rPr>
                <w:sz w:val="20"/>
                <w:szCs w:val="20"/>
                <w:color w:val="auto"/>
              </w:rPr>
            </w:pPr>
            <w:r>
              <w:rPr>
                <w:rFonts w:ascii="Arial" w:cs="Arial" w:eastAsia="Arial" w:hAnsi="Arial"/>
                <w:sz w:val="10"/>
                <w:szCs w:val="10"/>
                <w:color w:val="auto"/>
              </w:rPr>
              <w:t>108,702</w:t>
            </w:r>
          </w:p>
        </w:tc>
        <w:tc>
          <w:tcPr>
            <w:tcW w:w="40" w:type="dxa"/>
            <w:vAlign w:val="bottom"/>
          </w:tcPr>
          <w:p>
            <w:pPr>
              <w:spacing w:after="0"/>
              <w:rPr>
                <w:sz w:val="10"/>
                <w:szCs w:val="10"/>
                <w:color w:val="auto"/>
              </w:rPr>
            </w:pPr>
          </w:p>
        </w:tc>
      </w:tr>
      <w:tr>
        <w:trPr>
          <w:trHeight w:val="126"/>
        </w:trPr>
        <w:tc>
          <w:tcPr>
            <w:tcW w:w="2700" w:type="dxa"/>
            <w:vAlign w:val="bottom"/>
          </w:tcPr>
          <w:p>
            <w:pPr>
              <w:spacing w:after="0"/>
              <w:rPr>
                <w:sz w:val="20"/>
                <w:szCs w:val="20"/>
                <w:color w:val="auto"/>
              </w:rPr>
            </w:pPr>
            <w:r>
              <w:rPr>
                <w:rFonts w:ascii="Arial" w:cs="Arial" w:eastAsia="Arial" w:hAnsi="Arial"/>
                <w:sz w:val="10"/>
                <w:szCs w:val="10"/>
                <w:color w:val="auto"/>
              </w:rPr>
              <w:t>Future development costs</w:t>
            </w:r>
          </w:p>
        </w:tc>
        <w:tc>
          <w:tcPr>
            <w:tcW w:w="1440" w:type="dxa"/>
            <w:vAlign w:val="bottom"/>
          </w:tcPr>
          <w:p>
            <w:pPr>
              <w:jc w:val="right"/>
              <w:ind w:right="552"/>
              <w:spacing w:after="0"/>
              <w:rPr>
                <w:sz w:val="20"/>
                <w:szCs w:val="20"/>
                <w:color w:val="auto"/>
              </w:rPr>
            </w:pPr>
            <w:r>
              <w:rPr>
                <w:rFonts w:ascii="Arial" w:cs="Arial" w:eastAsia="Arial" w:hAnsi="Arial"/>
                <w:sz w:val="10"/>
                <w:szCs w:val="10"/>
                <w:color w:val="auto"/>
              </w:rPr>
              <w:t>4,352</w:t>
            </w:r>
          </w:p>
        </w:tc>
        <w:tc>
          <w:tcPr>
            <w:tcW w:w="1020" w:type="dxa"/>
            <w:vAlign w:val="bottom"/>
          </w:tcPr>
          <w:p>
            <w:pPr>
              <w:jc w:val="right"/>
              <w:ind w:right="492"/>
              <w:spacing w:after="0"/>
              <w:rPr>
                <w:sz w:val="20"/>
                <w:szCs w:val="20"/>
                <w:color w:val="auto"/>
              </w:rPr>
            </w:pPr>
            <w:r>
              <w:rPr>
                <w:rFonts w:ascii="Arial" w:cs="Arial" w:eastAsia="Arial" w:hAnsi="Arial"/>
                <w:sz w:val="10"/>
                <w:szCs w:val="10"/>
                <w:color w:val="auto"/>
              </w:rPr>
              <w:t>12,416</w:t>
            </w:r>
          </w:p>
        </w:tc>
        <w:tc>
          <w:tcPr>
            <w:tcW w:w="1100" w:type="dxa"/>
            <w:vAlign w:val="bottom"/>
          </w:tcPr>
          <w:p>
            <w:pPr>
              <w:jc w:val="right"/>
              <w:ind w:right="492"/>
              <w:spacing w:after="0"/>
              <w:rPr>
                <w:sz w:val="20"/>
                <w:szCs w:val="20"/>
                <w:color w:val="auto"/>
              </w:rPr>
            </w:pPr>
            <w:r>
              <w:rPr>
                <w:rFonts w:ascii="Arial" w:cs="Arial" w:eastAsia="Arial" w:hAnsi="Arial"/>
                <w:sz w:val="10"/>
                <w:szCs w:val="10"/>
                <w:color w:val="auto"/>
              </w:rPr>
              <w:t>7,441</w:t>
            </w:r>
          </w:p>
        </w:tc>
        <w:tc>
          <w:tcPr>
            <w:tcW w:w="560" w:type="dxa"/>
            <w:vAlign w:val="bottom"/>
          </w:tcPr>
          <w:p>
            <w:pPr>
              <w:jc w:val="right"/>
              <w:spacing w:after="0"/>
              <w:rPr>
                <w:sz w:val="20"/>
                <w:szCs w:val="20"/>
                <w:color w:val="auto"/>
              </w:rPr>
            </w:pPr>
            <w:r>
              <w:rPr>
                <w:rFonts w:ascii="Arial" w:cs="Arial" w:eastAsia="Arial" w:hAnsi="Arial"/>
                <w:sz w:val="10"/>
                <w:szCs w:val="10"/>
                <w:color w:val="auto"/>
              </w:rPr>
              <w:t>3,354</w:t>
            </w:r>
          </w:p>
        </w:tc>
        <w:tc>
          <w:tcPr>
            <w:tcW w:w="220" w:type="dxa"/>
            <w:vAlign w:val="bottom"/>
          </w:tcPr>
          <w:p>
            <w:pPr>
              <w:spacing w:after="0"/>
              <w:rPr>
                <w:sz w:val="10"/>
                <w:szCs w:val="10"/>
                <w:color w:val="auto"/>
              </w:rPr>
            </w:pPr>
          </w:p>
        </w:tc>
        <w:tc>
          <w:tcPr>
            <w:tcW w:w="1460" w:type="dxa"/>
            <w:vAlign w:val="bottom"/>
          </w:tcPr>
          <w:p>
            <w:pPr>
              <w:jc w:val="right"/>
              <w:ind w:right="552"/>
              <w:spacing w:after="0"/>
              <w:rPr>
                <w:sz w:val="20"/>
                <w:szCs w:val="20"/>
                <w:color w:val="auto"/>
              </w:rPr>
            </w:pPr>
            <w:r>
              <w:rPr>
                <w:rFonts w:ascii="Arial" w:cs="Arial" w:eastAsia="Arial" w:hAnsi="Arial"/>
                <w:sz w:val="10"/>
                <w:szCs w:val="10"/>
                <w:color w:val="auto"/>
              </w:rPr>
              <w:t>7,274</w:t>
            </w:r>
          </w:p>
        </w:tc>
        <w:tc>
          <w:tcPr>
            <w:tcW w:w="500" w:type="dxa"/>
            <w:vAlign w:val="bottom"/>
          </w:tcPr>
          <w:p>
            <w:pPr>
              <w:jc w:val="right"/>
              <w:spacing w:after="0"/>
              <w:rPr>
                <w:sz w:val="20"/>
                <w:szCs w:val="20"/>
                <w:color w:val="auto"/>
              </w:rPr>
            </w:pPr>
            <w:r>
              <w:rPr>
                <w:rFonts w:ascii="Arial" w:cs="Arial" w:eastAsia="Arial" w:hAnsi="Arial"/>
                <w:sz w:val="10"/>
                <w:szCs w:val="10"/>
                <w:color w:val="auto"/>
              </w:rPr>
              <w:t>4,559</w:t>
            </w:r>
          </w:p>
        </w:tc>
        <w:tc>
          <w:tcPr>
            <w:tcW w:w="120" w:type="dxa"/>
            <w:vAlign w:val="bottom"/>
          </w:tcPr>
          <w:p>
            <w:pPr>
              <w:spacing w:after="0"/>
              <w:rPr>
                <w:sz w:val="10"/>
                <w:szCs w:val="10"/>
                <w:color w:val="auto"/>
              </w:rPr>
            </w:pPr>
          </w:p>
        </w:tc>
        <w:tc>
          <w:tcPr>
            <w:tcW w:w="1360" w:type="dxa"/>
            <w:vAlign w:val="bottom"/>
          </w:tcPr>
          <w:p>
            <w:pPr>
              <w:jc w:val="right"/>
              <w:ind w:right="372"/>
              <w:spacing w:after="0"/>
              <w:rPr>
                <w:sz w:val="20"/>
                <w:szCs w:val="20"/>
                <w:color w:val="auto"/>
              </w:rPr>
            </w:pPr>
            <w:r>
              <w:rPr>
                <w:rFonts w:ascii="Arial" w:cs="Arial" w:eastAsia="Arial" w:hAnsi="Arial"/>
                <w:sz w:val="10"/>
                <w:szCs w:val="10"/>
                <w:color w:val="auto"/>
              </w:rPr>
              <w:t>7,440</w:t>
            </w:r>
          </w:p>
        </w:tc>
        <w:tc>
          <w:tcPr>
            <w:tcW w:w="700" w:type="dxa"/>
            <w:vAlign w:val="bottom"/>
          </w:tcPr>
          <w:p>
            <w:pPr>
              <w:jc w:val="right"/>
              <w:spacing w:after="0"/>
              <w:rPr>
                <w:sz w:val="20"/>
                <w:szCs w:val="20"/>
                <w:color w:val="auto"/>
              </w:rPr>
            </w:pPr>
            <w:r>
              <w:rPr>
                <w:rFonts w:ascii="Arial" w:cs="Arial" w:eastAsia="Arial" w:hAnsi="Arial"/>
                <w:sz w:val="10"/>
                <w:szCs w:val="10"/>
                <w:color w:val="auto"/>
              </w:rPr>
              <w:t>46,836</w:t>
            </w:r>
          </w:p>
        </w:tc>
        <w:tc>
          <w:tcPr>
            <w:tcW w:w="40" w:type="dxa"/>
            <w:vAlign w:val="bottom"/>
          </w:tcPr>
          <w:p>
            <w:pPr>
              <w:spacing w:after="0"/>
              <w:rPr>
                <w:sz w:val="10"/>
                <w:szCs w:val="10"/>
                <w:color w:val="auto"/>
              </w:rPr>
            </w:pPr>
          </w:p>
        </w:tc>
      </w:tr>
      <w:tr>
        <w:trPr>
          <w:trHeight w:val="130"/>
        </w:trPr>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Future tax expenses</w:t>
            </w: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4,525</w:t>
            </w: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12,585</w:t>
            </w: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254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4,713</w:t>
            </w:r>
          </w:p>
        </w:tc>
        <w:tc>
          <w:tcPr>
            <w:tcW w:w="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54</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407</w:t>
            </w: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1,847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24,385</w:t>
            </w:r>
          </w:p>
        </w:tc>
        <w:tc>
          <w:tcPr>
            <w:tcW w:w="40" w:type="dxa"/>
            <w:vAlign w:val="bottom"/>
          </w:tcPr>
          <w:p>
            <w:pPr>
              <w:spacing w:after="0"/>
              <w:rPr>
                <w:sz w:val="11"/>
                <w:szCs w:val="11"/>
                <w:color w:val="auto"/>
              </w:rPr>
            </w:pPr>
          </w:p>
        </w:tc>
      </w:tr>
      <w:tr>
        <w:trPr>
          <w:trHeight w:val="114"/>
        </w:trPr>
        <w:tc>
          <w:tcPr>
            <w:tcW w:w="2700" w:type="dxa"/>
            <w:vAlign w:val="bottom"/>
          </w:tcPr>
          <w:p>
            <w:pPr>
              <w:spacing w:after="0"/>
              <w:rPr>
                <w:sz w:val="20"/>
                <w:szCs w:val="20"/>
                <w:color w:val="auto"/>
              </w:rPr>
            </w:pPr>
            <w:r>
              <w:rPr>
                <w:rFonts w:ascii="Arial" w:cs="Arial" w:eastAsia="Arial" w:hAnsi="Arial"/>
                <w:sz w:val="10"/>
                <w:szCs w:val="10"/>
                <w:color w:val="auto"/>
              </w:rPr>
              <w:t>Future net cash flows</w:t>
            </w:r>
          </w:p>
        </w:tc>
        <w:tc>
          <w:tcPr>
            <w:tcW w:w="1440" w:type="dxa"/>
            <w:vAlign w:val="bottom"/>
          </w:tcPr>
          <w:p>
            <w:pPr>
              <w:jc w:val="right"/>
              <w:ind w:right="552"/>
              <w:spacing w:after="0"/>
              <w:rPr>
                <w:sz w:val="20"/>
                <w:szCs w:val="20"/>
                <w:color w:val="auto"/>
              </w:rPr>
            </w:pPr>
            <w:r>
              <w:rPr>
                <w:rFonts w:ascii="Arial" w:cs="Arial" w:eastAsia="Arial" w:hAnsi="Arial"/>
                <w:sz w:val="10"/>
                <w:szCs w:val="10"/>
                <w:color w:val="auto"/>
              </w:rPr>
              <w:t>928</w:t>
            </w:r>
          </w:p>
        </w:tc>
        <w:tc>
          <w:tcPr>
            <w:tcW w:w="1020" w:type="dxa"/>
            <w:vAlign w:val="bottom"/>
          </w:tcPr>
          <w:p>
            <w:pPr>
              <w:jc w:val="right"/>
              <w:ind w:right="492"/>
              <w:spacing w:after="0"/>
              <w:rPr>
                <w:sz w:val="20"/>
                <w:szCs w:val="20"/>
                <w:color w:val="auto"/>
              </w:rPr>
            </w:pPr>
            <w:r>
              <w:rPr>
                <w:rFonts w:ascii="Arial" w:cs="Arial" w:eastAsia="Arial" w:hAnsi="Arial"/>
                <w:sz w:val="10"/>
                <w:szCs w:val="10"/>
                <w:color w:val="auto"/>
              </w:rPr>
              <w:t>23,231</w:t>
            </w:r>
          </w:p>
        </w:tc>
        <w:tc>
          <w:tcPr>
            <w:tcW w:w="1100" w:type="dxa"/>
            <w:vAlign w:val="bottom"/>
          </w:tcPr>
          <w:p>
            <w:pPr>
              <w:jc w:val="right"/>
              <w:ind w:right="492"/>
              <w:spacing w:after="0"/>
              <w:rPr>
                <w:sz w:val="20"/>
                <w:szCs w:val="20"/>
                <w:color w:val="auto"/>
              </w:rPr>
            </w:pPr>
            <w:r>
              <w:rPr>
                <w:rFonts w:ascii="Arial" w:cs="Arial" w:eastAsia="Arial" w:hAnsi="Arial"/>
                <w:sz w:val="10"/>
                <w:szCs w:val="10"/>
                <w:color w:val="auto"/>
              </w:rPr>
              <w:t>8,035</w:t>
            </w:r>
          </w:p>
        </w:tc>
        <w:tc>
          <w:tcPr>
            <w:tcW w:w="560" w:type="dxa"/>
            <w:vAlign w:val="bottom"/>
          </w:tcPr>
          <w:p>
            <w:pPr>
              <w:jc w:val="right"/>
              <w:spacing w:after="0"/>
              <w:rPr>
                <w:sz w:val="20"/>
                <w:szCs w:val="20"/>
                <w:color w:val="auto"/>
              </w:rPr>
            </w:pPr>
            <w:r>
              <w:rPr>
                <w:rFonts w:ascii="Arial" w:cs="Arial" w:eastAsia="Arial" w:hAnsi="Arial"/>
                <w:sz w:val="10"/>
                <w:szCs w:val="10"/>
                <w:color w:val="auto"/>
              </w:rPr>
              <w:t>1,839</w:t>
            </w:r>
          </w:p>
        </w:tc>
        <w:tc>
          <w:tcPr>
            <w:tcW w:w="220" w:type="dxa"/>
            <w:vAlign w:val="bottom"/>
          </w:tcPr>
          <w:p>
            <w:pPr>
              <w:spacing w:after="0"/>
              <w:rPr>
                <w:sz w:val="9"/>
                <w:szCs w:val="9"/>
                <w:color w:val="auto"/>
              </w:rPr>
            </w:pPr>
          </w:p>
        </w:tc>
        <w:tc>
          <w:tcPr>
            <w:tcW w:w="1460" w:type="dxa"/>
            <w:vAlign w:val="bottom"/>
          </w:tcPr>
          <w:p>
            <w:pPr>
              <w:jc w:val="right"/>
              <w:ind w:right="552"/>
              <w:spacing w:after="0"/>
              <w:rPr>
                <w:sz w:val="20"/>
                <w:szCs w:val="20"/>
                <w:color w:val="auto"/>
              </w:rPr>
            </w:pPr>
            <w:r>
              <w:rPr>
                <w:rFonts w:ascii="Arial" w:cs="Arial" w:eastAsia="Arial" w:hAnsi="Arial"/>
                <w:sz w:val="10"/>
                <w:szCs w:val="10"/>
                <w:color w:val="auto"/>
              </w:rPr>
              <w:t>222</w:t>
            </w:r>
          </w:p>
        </w:tc>
        <w:tc>
          <w:tcPr>
            <w:tcW w:w="500" w:type="dxa"/>
            <w:vAlign w:val="bottom"/>
          </w:tcPr>
          <w:p>
            <w:pPr>
              <w:jc w:val="right"/>
              <w:spacing w:after="0"/>
              <w:rPr>
                <w:sz w:val="20"/>
                <w:szCs w:val="20"/>
                <w:color w:val="auto"/>
              </w:rPr>
            </w:pPr>
            <w:r>
              <w:rPr>
                <w:rFonts w:ascii="Arial" w:cs="Arial" w:eastAsia="Arial" w:hAnsi="Arial"/>
                <w:sz w:val="10"/>
                <w:szCs w:val="10"/>
                <w:color w:val="auto"/>
              </w:rPr>
              <w:t>2,006</w:t>
            </w:r>
          </w:p>
        </w:tc>
        <w:tc>
          <w:tcPr>
            <w:tcW w:w="120" w:type="dxa"/>
            <w:vAlign w:val="bottom"/>
          </w:tcPr>
          <w:p>
            <w:pPr>
              <w:spacing w:after="0"/>
              <w:rPr>
                <w:sz w:val="9"/>
                <w:szCs w:val="9"/>
                <w:color w:val="auto"/>
              </w:rPr>
            </w:pPr>
          </w:p>
        </w:tc>
        <w:tc>
          <w:tcPr>
            <w:tcW w:w="1360" w:type="dxa"/>
            <w:vAlign w:val="bottom"/>
          </w:tcPr>
          <w:p>
            <w:pPr>
              <w:jc w:val="right"/>
              <w:ind w:right="372"/>
              <w:spacing w:after="0"/>
              <w:rPr>
                <w:sz w:val="20"/>
                <w:szCs w:val="20"/>
                <w:color w:val="auto"/>
              </w:rPr>
            </w:pPr>
            <w:r>
              <w:rPr>
                <w:rFonts w:ascii="Arial" w:cs="Arial" w:eastAsia="Arial" w:hAnsi="Arial"/>
                <w:sz w:val="10"/>
                <w:szCs w:val="10"/>
                <w:color w:val="auto"/>
              </w:rPr>
              <w:t>6,078</w:t>
            </w:r>
          </w:p>
        </w:tc>
        <w:tc>
          <w:tcPr>
            <w:tcW w:w="700" w:type="dxa"/>
            <w:vAlign w:val="bottom"/>
          </w:tcPr>
          <w:p>
            <w:pPr>
              <w:jc w:val="right"/>
              <w:spacing w:after="0"/>
              <w:rPr>
                <w:sz w:val="20"/>
                <w:szCs w:val="20"/>
                <w:color w:val="auto"/>
              </w:rPr>
            </w:pPr>
            <w:r>
              <w:rPr>
                <w:rFonts w:ascii="Arial" w:cs="Arial" w:eastAsia="Arial" w:hAnsi="Arial"/>
                <w:sz w:val="10"/>
                <w:szCs w:val="10"/>
                <w:color w:val="auto"/>
              </w:rPr>
              <w:t>42,339</w:t>
            </w:r>
          </w:p>
        </w:tc>
        <w:tc>
          <w:tcPr>
            <w:tcW w:w="40" w:type="dxa"/>
            <w:vAlign w:val="bottom"/>
          </w:tcPr>
          <w:p>
            <w:pPr>
              <w:spacing w:after="0"/>
              <w:rPr>
                <w:sz w:val="9"/>
                <w:szCs w:val="9"/>
                <w:color w:val="auto"/>
              </w:rPr>
            </w:pPr>
          </w:p>
        </w:tc>
      </w:tr>
      <w:tr>
        <w:trPr>
          <w:trHeight w:val="127"/>
        </w:trPr>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Effect of discounting cash flows at 10%</w:t>
            </w: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338</w:t>
            </w: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9,791</w:t>
            </w: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1,316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w:t>
            </w:r>
          </w:p>
        </w:tc>
        <w:tc>
          <w:tcPr>
            <w:tcW w:w="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-1,469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1,231</w:t>
            </w: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1,369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12,526</w:t>
            </w:r>
          </w:p>
        </w:tc>
        <w:tc>
          <w:tcPr>
            <w:tcW w:w="40" w:type="dxa"/>
            <w:vAlign w:val="bottom"/>
          </w:tcPr>
          <w:p>
            <w:pPr>
              <w:spacing w:after="0"/>
              <w:rPr>
                <w:sz w:val="11"/>
                <w:szCs w:val="11"/>
                <w:color w:val="auto"/>
              </w:rPr>
            </w:pPr>
          </w:p>
        </w:tc>
      </w:tr>
      <w:tr>
        <w:trPr>
          <w:trHeight w:val="117"/>
        </w:trPr>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Standardised measure of discounted future net cash flows</w:t>
            </w: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590</w:t>
            </w: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13,440</w:t>
            </w: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6,719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1,889</w:t>
            </w:r>
          </w:p>
        </w:tc>
        <w:tc>
          <w:tcPr>
            <w:tcW w:w="2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1,691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775</w:t>
            </w: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4,709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29,813</w:t>
            </w:r>
          </w:p>
        </w:tc>
        <w:tc>
          <w:tcPr>
            <w:tcW w:w="40" w:type="dxa"/>
            <w:vAlign w:val="bottom"/>
          </w:tcPr>
          <w:p>
            <w:pPr>
              <w:spacing w:after="0"/>
              <w:rPr>
                <w:sz w:val="10"/>
                <w:szCs w:val="10"/>
                <w:color w:val="auto"/>
              </w:rPr>
            </w:pPr>
          </w:p>
        </w:tc>
      </w:tr>
      <w:tr>
        <w:trPr>
          <w:trHeight w:val="115"/>
        </w:trPr>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Non Controlling Interest Included</w:t>
            </w: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0</w:t>
            </w: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0</w:t>
            </w: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w:t>
            </w:r>
          </w:p>
        </w:tc>
        <w:tc>
          <w:tcPr>
            <w:tcW w:w="2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398</w:t>
            </w: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398</w:t>
            </w:r>
          </w:p>
        </w:tc>
        <w:tc>
          <w:tcPr>
            <w:tcW w:w="40" w:type="dxa"/>
            <w:vAlign w:val="bottom"/>
          </w:tcPr>
          <w:p>
            <w:pPr>
              <w:spacing w:after="0"/>
              <w:rPr>
                <w:sz w:val="10"/>
                <w:szCs w:val="10"/>
                <w:color w:val="auto"/>
              </w:rPr>
            </w:pPr>
          </w:p>
        </w:tc>
      </w:tr>
      <w:tr>
        <w:trPr>
          <w:trHeight w:val="63"/>
        </w:trPr>
        <w:tc>
          <w:tcPr>
            <w:tcW w:w="27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740" w:type="dxa"/>
            <w:vAlign w:val="bottom"/>
            <w:gridSpan w:val="2"/>
          </w:tcPr>
          <w:p>
            <w:pPr>
              <w:spacing w:after="0"/>
              <w:rPr>
                <w:sz w:val="5"/>
                <w:szCs w:val="5"/>
                <w:color w:val="auto"/>
              </w:rPr>
            </w:pPr>
          </w:p>
        </w:tc>
      </w:tr>
      <w:tr>
        <w:trPr>
          <w:trHeight w:val="144"/>
        </w:trPr>
        <w:tc>
          <w:tcPr>
            <w:tcW w:w="2700" w:type="dxa"/>
            <w:vAlign w:val="bottom"/>
            <w:shd w:val="clear" w:color="auto" w:fill="CDCDCD"/>
          </w:tcPr>
          <w:p>
            <w:pPr>
              <w:spacing w:after="0"/>
              <w:rPr>
                <w:sz w:val="12"/>
                <w:szCs w:val="12"/>
                <w:color w:val="auto"/>
              </w:rPr>
            </w:pPr>
          </w:p>
        </w:tc>
        <w:tc>
          <w:tcPr>
            <w:tcW w:w="1440" w:type="dxa"/>
            <w:vAlign w:val="bottom"/>
            <w:shd w:val="clear" w:color="auto" w:fill="CDCDCD"/>
          </w:tcPr>
          <w:p>
            <w:pPr>
              <w:spacing w:after="0"/>
              <w:rPr>
                <w:sz w:val="12"/>
                <w:szCs w:val="12"/>
                <w:color w:val="auto"/>
              </w:rPr>
            </w:pPr>
          </w:p>
        </w:tc>
        <w:tc>
          <w:tcPr>
            <w:tcW w:w="1020" w:type="dxa"/>
            <w:vAlign w:val="bottom"/>
            <w:shd w:val="clear" w:color="auto" w:fill="CDCDCD"/>
          </w:tcPr>
          <w:p>
            <w:pPr>
              <w:spacing w:after="0"/>
              <w:rPr>
                <w:sz w:val="12"/>
                <w:szCs w:val="12"/>
                <w:color w:val="auto"/>
              </w:rPr>
            </w:pPr>
          </w:p>
        </w:tc>
        <w:tc>
          <w:tcPr>
            <w:tcW w:w="1100" w:type="dxa"/>
            <w:vAlign w:val="bottom"/>
            <w:shd w:val="clear" w:color="auto" w:fill="CDCDCD"/>
          </w:tcPr>
          <w:p>
            <w:pPr>
              <w:spacing w:after="0"/>
              <w:rPr>
                <w:sz w:val="12"/>
                <w:szCs w:val="12"/>
                <w:color w:val="auto"/>
              </w:rPr>
            </w:pPr>
          </w:p>
        </w:tc>
        <w:tc>
          <w:tcPr>
            <w:tcW w:w="560" w:type="dxa"/>
            <w:vAlign w:val="bottom"/>
            <w:shd w:val="clear" w:color="auto" w:fill="CDCDCD"/>
          </w:tcPr>
          <w:p>
            <w:pPr>
              <w:spacing w:after="0"/>
              <w:rPr>
                <w:sz w:val="12"/>
                <w:szCs w:val="12"/>
                <w:color w:val="auto"/>
              </w:rPr>
            </w:pPr>
          </w:p>
        </w:tc>
        <w:tc>
          <w:tcPr>
            <w:tcW w:w="220" w:type="dxa"/>
            <w:vAlign w:val="bottom"/>
            <w:shd w:val="clear" w:color="auto" w:fill="CDCDCD"/>
          </w:tcPr>
          <w:p>
            <w:pPr>
              <w:spacing w:after="0"/>
              <w:rPr>
                <w:sz w:val="12"/>
                <w:szCs w:val="12"/>
                <w:color w:val="auto"/>
              </w:rPr>
            </w:pPr>
          </w:p>
        </w:tc>
        <w:tc>
          <w:tcPr>
            <w:tcW w:w="1460" w:type="dxa"/>
            <w:vAlign w:val="bottom"/>
            <w:shd w:val="clear" w:color="auto" w:fill="CDCDCD"/>
          </w:tcPr>
          <w:p>
            <w:pPr>
              <w:spacing w:after="0"/>
              <w:rPr>
                <w:sz w:val="12"/>
                <w:szCs w:val="12"/>
                <w:color w:val="auto"/>
              </w:rPr>
            </w:pPr>
          </w:p>
        </w:tc>
        <w:tc>
          <w:tcPr>
            <w:tcW w:w="500" w:type="dxa"/>
            <w:vAlign w:val="bottom"/>
            <w:shd w:val="clear" w:color="auto" w:fill="CDCDCD"/>
          </w:tcPr>
          <w:p>
            <w:pPr>
              <w:spacing w:after="0"/>
              <w:rPr>
                <w:sz w:val="12"/>
                <w:szCs w:val="12"/>
                <w:color w:val="auto"/>
              </w:rPr>
            </w:pPr>
          </w:p>
        </w:tc>
        <w:tc>
          <w:tcPr>
            <w:tcW w:w="120" w:type="dxa"/>
            <w:vAlign w:val="bottom"/>
            <w:shd w:val="clear" w:color="auto" w:fill="CDCDCD"/>
          </w:tcPr>
          <w:p>
            <w:pPr>
              <w:spacing w:after="0"/>
              <w:rPr>
                <w:sz w:val="12"/>
                <w:szCs w:val="12"/>
                <w:color w:val="auto"/>
              </w:rPr>
            </w:pPr>
          </w:p>
        </w:tc>
        <w:tc>
          <w:tcPr>
            <w:tcW w:w="1360" w:type="dxa"/>
            <w:vAlign w:val="bottom"/>
            <w:shd w:val="clear" w:color="auto" w:fill="CDCDCD"/>
          </w:tcPr>
          <w:p>
            <w:pPr>
              <w:spacing w:after="0"/>
              <w:rPr>
                <w:sz w:val="12"/>
                <w:szCs w:val="12"/>
                <w:color w:val="auto"/>
              </w:rPr>
            </w:pPr>
          </w:p>
        </w:tc>
        <w:tc>
          <w:tcPr>
            <w:tcW w:w="740" w:type="dxa"/>
            <w:vAlign w:val="bottom"/>
            <w:gridSpan w:val="2"/>
            <w:shd w:val="clear" w:color="auto" w:fill="CDCDCD"/>
          </w:tcPr>
          <w:p>
            <w:pPr>
              <w:spacing w:after="0"/>
              <w:rPr>
                <w:sz w:val="12"/>
                <w:szCs w:val="12"/>
                <w:color w:val="auto"/>
              </w:rPr>
            </w:pPr>
          </w:p>
        </w:tc>
      </w:tr>
      <w:tr>
        <w:trPr>
          <w:trHeight w:val="121"/>
        </w:trPr>
        <w:tc>
          <w:tcPr>
            <w:tcW w:w="2700" w:type="dxa"/>
            <w:vAlign w:val="bottom"/>
          </w:tcPr>
          <w:p>
            <w:pPr>
              <w:spacing w:after="0"/>
              <w:rPr>
                <w:sz w:val="20"/>
                <w:szCs w:val="20"/>
                <w:color w:val="auto"/>
              </w:rPr>
            </w:pPr>
            <w:r>
              <w:rPr>
                <w:rFonts w:ascii="Arial" w:cs="Arial" w:eastAsia="Arial" w:hAnsi="Arial"/>
                <w:sz w:val="10"/>
                <w:szCs w:val="10"/>
                <w:color w:val="auto"/>
              </w:rPr>
              <w:t>2020 - Shell share of joint ventures and associates</w:t>
            </w:r>
          </w:p>
        </w:tc>
        <w:tc>
          <w:tcPr>
            <w:tcW w:w="1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 million</w:t>
            </w:r>
          </w:p>
        </w:tc>
      </w:tr>
      <w:tr>
        <w:trPr>
          <w:trHeight w:val="136"/>
        </w:trPr>
        <w:tc>
          <w:tcPr>
            <w:tcW w:w="2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North America</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6"/>
        </w:trPr>
        <w:tc>
          <w:tcPr>
            <w:tcW w:w="27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Europe</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Asia</w:t>
            </w: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Oceania</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Africa</w:t>
            </w:r>
          </w:p>
        </w:tc>
        <w:tc>
          <w:tcPr>
            <w:tcW w:w="14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USA</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Canada</w:t>
            </w:r>
          </w:p>
        </w:tc>
        <w:tc>
          <w:tcPr>
            <w:tcW w:w="136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South America</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Total</w:t>
            </w:r>
          </w:p>
        </w:tc>
      </w:tr>
      <w:tr>
        <w:trPr>
          <w:trHeight w:val="114"/>
        </w:trPr>
        <w:tc>
          <w:tcPr>
            <w:tcW w:w="2700" w:type="dxa"/>
            <w:vAlign w:val="bottom"/>
          </w:tcPr>
          <w:p>
            <w:pPr>
              <w:spacing w:after="0"/>
              <w:rPr>
                <w:sz w:val="20"/>
                <w:szCs w:val="20"/>
                <w:color w:val="auto"/>
              </w:rPr>
            </w:pPr>
            <w:r>
              <w:rPr>
                <w:rFonts w:ascii="Arial" w:cs="Arial" w:eastAsia="Arial" w:hAnsi="Arial"/>
                <w:sz w:val="10"/>
                <w:szCs w:val="10"/>
                <w:color w:val="auto"/>
              </w:rPr>
              <w:t>Future cash inflows</w:t>
            </w:r>
          </w:p>
        </w:tc>
        <w:tc>
          <w:tcPr>
            <w:tcW w:w="1440" w:type="dxa"/>
            <w:vAlign w:val="bottom"/>
          </w:tcPr>
          <w:p>
            <w:pPr>
              <w:jc w:val="right"/>
              <w:ind w:right="152"/>
              <w:spacing w:after="0"/>
              <w:rPr>
                <w:sz w:val="20"/>
                <w:szCs w:val="20"/>
                <w:color w:val="auto"/>
              </w:rPr>
            </w:pPr>
            <w:r>
              <w:rPr>
                <w:rFonts w:ascii="Arial" w:cs="Arial" w:eastAsia="Arial" w:hAnsi="Arial"/>
                <w:sz w:val="10"/>
                <w:szCs w:val="10"/>
                <w:color w:val="auto"/>
              </w:rPr>
              <w:t>1,209</w:t>
            </w:r>
          </w:p>
        </w:tc>
        <w:tc>
          <w:tcPr>
            <w:tcW w:w="1020" w:type="dxa"/>
            <w:vAlign w:val="bottom"/>
          </w:tcPr>
          <w:p>
            <w:pPr>
              <w:jc w:val="right"/>
              <w:ind w:right="152"/>
              <w:spacing w:after="0"/>
              <w:rPr>
                <w:sz w:val="20"/>
                <w:szCs w:val="20"/>
                <w:color w:val="auto"/>
              </w:rPr>
            </w:pPr>
            <w:r>
              <w:rPr>
                <w:rFonts w:ascii="Arial" w:cs="Arial" w:eastAsia="Arial" w:hAnsi="Arial"/>
                <w:sz w:val="10"/>
                <w:szCs w:val="10"/>
                <w:color w:val="auto"/>
              </w:rPr>
              <w:t>22,209</w:t>
            </w:r>
          </w:p>
        </w:tc>
        <w:tc>
          <w:tcPr>
            <w:tcW w:w="1100" w:type="dxa"/>
            <w:vAlign w:val="bottom"/>
          </w:tcPr>
          <w:p>
            <w:pPr>
              <w:jc w:val="right"/>
              <w:ind w:right="212"/>
              <w:spacing w:after="0"/>
              <w:rPr>
                <w:sz w:val="20"/>
                <w:szCs w:val="20"/>
                <w:color w:val="auto"/>
              </w:rPr>
            </w:pPr>
            <w:r>
              <w:rPr>
                <w:rFonts w:ascii="Arial" w:cs="Arial" w:eastAsia="Arial" w:hAnsi="Arial"/>
                <w:sz w:val="10"/>
                <w:szCs w:val="10"/>
                <w:color w:val="auto"/>
              </w:rPr>
              <w:t>139</w:t>
            </w:r>
          </w:p>
        </w:tc>
        <w:tc>
          <w:tcPr>
            <w:tcW w:w="78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460" w:type="dxa"/>
            <w:vAlign w:val="bottom"/>
          </w:tcPr>
          <w:p>
            <w:pPr>
              <w:jc w:val="right"/>
              <w:ind w:right="372"/>
              <w:spacing w:after="0"/>
              <w:rPr>
                <w:sz w:val="20"/>
                <w:szCs w:val="20"/>
                <w:color w:val="auto"/>
              </w:rPr>
            </w:pPr>
            <w:r>
              <w:rPr>
                <w:rFonts w:ascii="Arial" w:cs="Arial" w:eastAsia="Arial" w:hAnsi="Arial"/>
                <w:sz w:val="10"/>
                <w:szCs w:val="10"/>
                <w:color w:val="auto"/>
              </w:rPr>
              <w:t>0</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360" w:type="dxa"/>
            <w:vAlign w:val="bottom"/>
          </w:tcPr>
          <w:p>
            <w:pPr>
              <w:jc w:val="right"/>
              <w:ind w:right="272"/>
              <w:spacing w:after="0"/>
              <w:rPr>
                <w:sz w:val="20"/>
                <w:szCs w:val="20"/>
                <w:color w:val="auto"/>
              </w:rPr>
            </w:pPr>
            <w:r>
              <w:rPr>
                <w:rFonts w:ascii="Arial" w:cs="Arial" w:eastAsia="Arial" w:hAnsi="Arial"/>
                <w:sz w:val="10"/>
                <w:szCs w:val="10"/>
                <w:color w:val="auto"/>
              </w:rPr>
              <w:t>21</w:t>
            </w: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23,578</w:t>
            </w:r>
          </w:p>
        </w:tc>
      </w:tr>
      <w:tr>
        <w:trPr>
          <w:trHeight w:val="123"/>
        </w:trPr>
        <w:tc>
          <w:tcPr>
            <w:tcW w:w="2700" w:type="dxa"/>
            <w:vAlign w:val="bottom"/>
          </w:tcPr>
          <w:p>
            <w:pPr>
              <w:spacing w:after="0"/>
              <w:rPr>
                <w:sz w:val="20"/>
                <w:szCs w:val="20"/>
                <w:color w:val="auto"/>
              </w:rPr>
            </w:pPr>
            <w:r>
              <w:rPr>
                <w:rFonts w:ascii="Arial" w:cs="Arial" w:eastAsia="Arial" w:hAnsi="Arial"/>
                <w:sz w:val="10"/>
                <w:szCs w:val="10"/>
                <w:color w:val="auto"/>
              </w:rPr>
              <w:t>Future production costs</w:t>
            </w:r>
          </w:p>
        </w:tc>
        <w:tc>
          <w:tcPr>
            <w:tcW w:w="1440" w:type="dxa"/>
            <w:vAlign w:val="bottom"/>
          </w:tcPr>
          <w:p>
            <w:pPr>
              <w:jc w:val="right"/>
              <w:ind w:right="152"/>
              <w:spacing w:after="0"/>
              <w:rPr>
                <w:sz w:val="20"/>
                <w:szCs w:val="20"/>
                <w:color w:val="auto"/>
              </w:rPr>
            </w:pPr>
            <w:r>
              <w:rPr>
                <w:rFonts w:ascii="Arial" w:cs="Arial" w:eastAsia="Arial" w:hAnsi="Arial"/>
                <w:sz w:val="10"/>
                <w:szCs w:val="10"/>
                <w:color w:val="auto"/>
              </w:rPr>
              <w:t>2,801</w:t>
            </w:r>
          </w:p>
        </w:tc>
        <w:tc>
          <w:tcPr>
            <w:tcW w:w="1020" w:type="dxa"/>
            <w:vAlign w:val="bottom"/>
          </w:tcPr>
          <w:p>
            <w:pPr>
              <w:jc w:val="right"/>
              <w:ind w:right="152"/>
              <w:spacing w:after="0"/>
              <w:rPr>
                <w:sz w:val="20"/>
                <w:szCs w:val="20"/>
                <w:color w:val="auto"/>
              </w:rPr>
            </w:pPr>
            <w:r>
              <w:rPr>
                <w:rFonts w:ascii="Arial" w:cs="Arial" w:eastAsia="Arial" w:hAnsi="Arial"/>
                <w:sz w:val="10"/>
                <w:szCs w:val="10"/>
                <w:color w:val="auto"/>
              </w:rPr>
              <w:t>11,472</w:t>
            </w:r>
          </w:p>
        </w:tc>
        <w:tc>
          <w:tcPr>
            <w:tcW w:w="1100" w:type="dxa"/>
            <w:vAlign w:val="bottom"/>
          </w:tcPr>
          <w:p>
            <w:pPr>
              <w:jc w:val="right"/>
              <w:ind w:right="212"/>
              <w:spacing w:after="0"/>
              <w:rPr>
                <w:sz w:val="20"/>
                <w:szCs w:val="20"/>
                <w:color w:val="auto"/>
              </w:rPr>
            </w:pPr>
            <w:r>
              <w:rPr>
                <w:rFonts w:ascii="Arial" w:cs="Arial" w:eastAsia="Arial" w:hAnsi="Arial"/>
                <w:sz w:val="10"/>
                <w:szCs w:val="10"/>
                <w:color w:val="auto"/>
              </w:rPr>
              <w:t>136</w:t>
            </w:r>
          </w:p>
        </w:tc>
        <w:tc>
          <w:tcPr>
            <w:tcW w:w="78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460" w:type="dxa"/>
            <w:vAlign w:val="bottom"/>
          </w:tcPr>
          <w:p>
            <w:pPr>
              <w:jc w:val="right"/>
              <w:ind w:right="372"/>
              <w:spacing w:after="0"/>
              <w:rPr>
                <w:sz w:val="20"/>
                <w:szCs w:val="20"/>
                <w:color w:val="auto"/>
              </w:rPr>
            </w:pPr>
            <w:r>
              <w:rPr>
                <w:rFonts w:ascii="Arial" w:cs="Arial" w:eastAsia="Arial" w:hAnsi="Arial"/>
                <w:sz w:val="10"/>
                <w:szCs w:val="10"/>
                <w:color w:val="auto"/>
              </w:rPr>
              <w:t>0</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360" w:type="dxa"/>
            <w:vAlign w:val="bottom"/>
          </w:tcPr>
          <w:p>
            <w:pPr>
              <w:jc w:val="right"/>
              <w:ind w:right="272"/>
              <w:spacing w:after="0"/>
              <w:rPr>
                <w:sz w:val="20"/>
                <w:szCs w:val="20"/>
                <w:color w:val="auto"/>
              </w:rPr>
            </w:pPr>
            <w:r>
              <w:rPr>
                <w:rFonts w:ascii="Arial" w:cs="Arial" w:eastAsia="Arial" w:hAnsi="Arial"/>
                <w:sz w:val="10"/>
                <w:szCs w:val="10"/>
                <w:color w:val="auto"/>
              </w:rPr>
              <w:t>17</w:t>
            </w: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14,426</w:t>
            </w:r>
          </w:p>
        </w:tc>
      </w:tr>
      <w:tr>
        <w:trPr>
          <w:trHeight w:val="126"/>
        </w:trPr>
        <w:tc>
          <w:tcPr>
            <w:tcW w:w="2700" w:type="dxa"/>
            <w:vAlign w:val="bottom"/>
          </w:tcPr>
          <w:p>
            <w:pPr>
              <w:spacing w:after="0"/>
              <w:rPr>
                <w:sz w:val="20"/>
                <w:szCs w:val="20"/>
                <w:color w:val="auto"/>
              </w:rPr>
            </w:pPr>
            <w:r>
              <w:rPr>
                <w:rFonts w:ascii="Arial" w:cs="Arial" w:eastAsia="Arial" w:hAnsi="Arial"/>
                <w:sz w:val="10"/>
                <w:szCs w:val="10"/>
                <w:color w:val="auto"/>
              </w:rPr>
              <w:t>Future development costs</w:t>
            </w:r>
          </w:p>
        </w:tc>
        <w:tc>
          <w:tcPr>
            <w:tcW w:w="1440" w:type="dxa"/>
            <w:vAlign w:val="bottom"/>
          </w:tcPr>
          <w:p>
            <w:pPr>
              <w:jc w:val="right"/>
              <w:ind w:right="152"/>
              <w:spacing w:after="0"/>
              <w:rPr>
                <w:sz w:val="20"/>
                <w:szCs w:val="20"/>
                <w:color w:val="auto"/>
              </w:rPr>
            </w:pPr>
            <w:r>
              <w:rPr>
                <w:rFonts w:ascii="Arial" w:cs="Arial" w:eastAsia="Arial" w:hAnsi="Arial"/>
                <w:sz w:val="10"/>
                <w:szCs w:val="10"/>
                <w:color w:val="auto"/>
              </w:rPr>
              <w:t>948</w:t>
            </w:r>
          </w:p>
        </w:tc>
        <w:tc>
          <w:tcPr>
            <w:tcW w:w="1020" w:type="dxa"/>
            <w:vAlign w:val="bottom"/>
          </w:tcPr>
          <w:p>
            <w:pPr>
              <w:jc w:val="right"/>
              <w:ind w:right="152"/>
              <w:spacing w:after="0"/>
              <w:rPr>
                <w:sz w:val="20"/>
                <w:szCs w:val="20"/>
                <w:color w:val="auto"/>
              </w:rPr>
            </w:pPr>
            <w:r>
              <w:rPr>
                <w:rFonts w:ascii="Arial" w:cs="Arial" w:eastAsia="Arial" w:hAnsi="Arial"/>
                <w:sz w:val="10"/>
                <w:szCs w:val="10"/>
                <w:color w:val="auto"/>
              </w:rPr>
              <w:t>5,165</w:t>
            </w:r>
          </w:p>
        </w:tc>
        <w:tc>
          <w:tcPr>
            <w:tcW w:w="1100" w:type="dxa"/>
            <w:vAlign w:val="bottom"/>
          </w:tcPr>
          <w:p>
            <w:pPr>
              <w:jc w:val="right"/>
              <w:ind w:right="212"/>
              <w:spacing w:after="0"/>
              <w:rPr>
                <w:sz w:val="20"/>
                <w:szCs w:val="20"/>
                <w:color w:val="auto"/>
              </w:rPr>
            </w:pPr>
            <w:r>
              <w:rPr>
                <w:rFonts w:ascii="Arial" w:cs="Arial" w:eastAsia="Arial" w:hAnsi="Arial"/>
                <w:sz w:val="10"/>
                <w:szCs w:val="10"/>
                <w:color w:val="auto"/>
              </w:rPr>
              <w:t>111</w:t>
            </w:r>
          </w:p>
        </w:tc>
        <w:tc>
          <w:tcPr>
            <w:tcW w:w="78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460" w:type="dxa"/>
            <w:vAlign w:val="bottom"/>
          </w:tcPr>
          <w:p>
            <w:pPr>
              <w:jc w:val="right"/>
              <w:ind w:right="372"/>
              <w:spacing w:after="0"/>
              <w:rPr>
                <w:sz w:val="20"/>
                <w:szCs w:val="20"/>
                <w:color w:val="auto"/>
              </w:rPr>
            </w:pPr>
            <w:r>
              <w:rPr>
                <w:rFonts w:ascii="Arial" w:cs="Arial" w:eastAsia="Arial" w:hAnsi="Arial"/>
                <w:sz w:val="10"/>
                <w:szCs w:val="10"/>
                <w:color w:val="auto"/>
              </w:rPr>
              <w:t>0</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360" w:type="dxa"/>
            <w:vAlign w:val="bottom"/>
          </w:tcPr>
          <w:p>
            <w:pPr>
              <w:jc w:val="right"/>
              <w:ind w:right="272"/>
              <w:spacing w:after="0"/>
              <w:rPr>
                <w:sz w:val="20"/>
                <w:szCs w:val="20"/>
                <w:color w:val="auto"/>
              </w:rPr>
            </w:pPr>
            <w:r>
              <w:rPr>
                <w:rFonts w:ascii="Arial" w:cs="Arial" w:eastAsia="Arial" w:hAnsi="Arial"/>
                <w:sz w:val="10"/>
                <w:szCs w:val="10"/>
                <w:color w:val="auto"/>
              </w:rPr>
              <w:t>2</w:t>
            </w: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6,226</w:t>
            </w:r>
          </w:p>
        </w:tc>
      </w:tr>
      <w:tr>
        <w:trPr>
          <w:trHeight w:val="130"/>
        </w:trPr>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Future tax expenses</w:t>
            </w:r>
          </w:p>
        </w:tc>
        <w:tc>
          <w:tcPr>
            <w:tcW w:w="14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0</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3,026</w:t>
            </w: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0</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w:t>
            </w:r>
          </w:p>
        </w:tc>
        <w:tc>
          <w:tcPr>
            <w:tcW w:w="14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0</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w:t>
            </w: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0</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3,026</w:t>
            </w:r>
          </w:p>
        </w:tc>
      </w:tr>
      <w:tr>
        <w:trPr>
          <w:trHeight w:val="114"/>
        </w:trPr>
        <w:tc>
          <w:tcPr>
            <w:tcW w:w="2700" w:type="dxa"/>
            <w:vAlign w:val="bottom"/>
          </w:tcPr>
          <w:p>
            <w:pPr>
              <w:spacing w:after="0"/>
              <w:rPr>
                <w:sz w:val="20"/>
                <w:szCs w:val="20"/>
                <w:color w:val="auto"/>
              </w:rPr>
            </w:pPr>
            <w:r>
              <w:rPr>
                <w:rFonts w:ascii="Arial" w:cs="Arial" w:eastAsia="Arial" w:hAnsi="Arial"/>
                <w:sz w:val="10"/>
                <w:szCs w:val="10"/>
                <w:color w:val="auto"/>
              </w:rPr>
              <w:t>Future net cash flows</w:t>
            </w:r>
          </w:p>
        </w:tc>
        <w:tc>
          <w:tcPr>
            <w:tcW w:w="1440" w:type="dxa"/>
            <w:vAlign w:val="bottom"/>
          </w:tcPr>
          <w:p>
            <w:pPr>
              <w:jc w:val="right"/>
              <w:ind w:right="152"/>
              <w:spacing w:after="0"/>
              <w:rPr>
                <w:sz w:val="20"/>
                <w:szCs w:val="20"/>
                <w:color w:val="auto"/>
              </w:rPr>
            </w:pPr>
            <w:r>
              <w:rPr>
                <w:rFonts w:ascii="Arial" w:cs="Arial" w:eastAsia="Arial" w:hAnsi="Arial"/>
                <w:sz w:val="10"/>
                <w:szCs w:val="10"/>
                <w:color w:val="auto"/>
              </w:rPr>
              <w:t>(2,540)</w:t>
            </w:r>
          </w:p>
        </w:tc>
        <w:tc>
          <w:tcPr>
            <w:tcW w:w="1020" w:type="dxa"/>
            <w:vAlign w:val="bottom"/>
          </w:tcPr>
          <w:p>
            <w:pPr>
              <w:jc w:val="right"/>
              <w:ind w:right="152"/>
              <w:spacing w:after="0"/>
              <w:rPr>
                <w:sz w:val="20"/>
                <w:szCs w:val="20"/>
                <w:color w:val="auto"/>
              </w:rPr>
            </w:pPr>
            <w:r>
              <w:rPr>
                <w:rFonts w:ascii="Arial" w:cs="Arial" w:eastAsia="Arial" w:hAnsi="Arial"/>
                <w:sz w:val="10"/>
                <w:szCs w:val="10"/>
                <w:color w:val="auto"/>
              </w:rPr>
              <w:t>2,546</w:t>
            </w:r>
          </w:p>
        </w:tc>
        <w:tc>
          <w:tcPr>
            <w:tcW w:w="1100" w:type="dxa"/>
            <w:vAlign w:val="bottom"/>
          </w:tcPr>
          <w:p>
            <w:pPr>
              <w:jc w:val="right"/>
              <w:ind w:right="212"/>
              <w:spacing w:after="0"/>
              <w:rPr>
                <w:sz w:val="20"/>
                <w:szCs w:val="20"/>
                <w:color w:val="auto"/>
              </w:rPr>
            </w:pPr>
            <w:r>
              <w:rPr>
                <w:rFonts w:ascii="Arial" w:cs="Arial" w:eastAsia="Arial" w:hAnsi="Arial"/>
                <w:sz w:val="10"/>
                <w:szCs w:val="10"/>
                <w:color w:val="auto"/>
              </w:rPr>
              <w:t>(108)</w:t>
            </w:r>
          </w:p>
        </w:tc>
        <w:tc>
          <w:tcPr>
            <w:tcW w:w="78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460" w:type="dxa"/>
            <w:vAlign w:val="bottom"/>
          </w:tcPr>
          <w:p>
            <w:pPr>
              <w:jc w:val="right"/>
              <w:ind w:right="372"/>
              <w:spacing w:after="0"/>
              <w:rPr>
                <w:sz w:val="20"/>
                <w:szCs w:val="20"/>
                <w:color w:val="auto"/>
              </w:rPr>
            </w:pPr>
            <w:r>
              <w:rPr>
                <w:rFonts w:ascii="Arial" w:cs="Arial" w:eastAsia="Arial" w:hAnsi="Arial"/>
                <w:sz w:val="10"/>
                <w:szCs w:val="10"/>
                <w:color w:val="auto"/>
              </w:rPr>
              <w:t>0</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1360" w:type="dxa"/>
            <w:vAlign w:val="bottom"/>
          </w:tcPr>
          <w:p>
            <w:pPr>
              <w:jc w:val="right"/>
              <w:ind w:right="272"/>
              <w:spacing w:after="0"/>
              <w:rPr>
                <w:sz w:val="20"/>
                <w:szCs w:val="20"/>
                <w:color w:val="auto"/>
              </w:rPr>
            </w:pPr>
            <w:r>
              <w:rPr>
                <w:rFonts w:ascii="Arial" w:cs="Arial" w:eastAsia="Arial" w:hAnsi="Arial"/>
                <w:sz w:val="10"/>
                <w:szCs w:val="10"/>
                <w:color w:val="auto"/>
              </w:rPr>
              <w:t>2</w:t>
            </w: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27"/>
        </w:trPr>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Effect of discounting cash flows at 10%</w:t>
            </w:r>
          </w:p>
        </w:tc>
        <w:tc>
          <w:tcPr>
            <w:tcW w:w="14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(583)</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412</w:t>
            </w: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(35)</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w:t>
            </w:r>
          </w:p>
        </w:tc>
        <w:tc>
          <w:tcPr>
            <w:tcW w:w="14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0</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w:t>
            </w: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0</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(206)</w:t>
            </w:r>
          </w:p>
        </w:tc>
      </w:tr>
      <w:tr>
        <w:trPr>
          <w:trHeight w:val="117"/>
        </w:trPr>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Standardised measure of discounted future net cash flows</w:t>
            </w:r>
          </w:p>
        </w:tc>
        <w:tc>
          <w:tcPr>
            <w:tcW w:w="14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(1,957)[A]</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2,134</w:t>
            </w: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(73)[A]</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w:t>
            </w:r>
          </w:p>
        </w:tc>
        <w:tc>
          <w:tcPr>
            <w:tcW w:w="14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0</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w:t>
            </w: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106</w:t>
            </w:r>
          </w:p>
        </w:tc>
      </w:tr>
    </w:tbl>
    <w:p>
      <w:pPr>
        <w:spacing w:after="0" w:line="56" w:lineRule="exact"/>
        <w:rPr>
          <w:sz w:val="20"/>
          <w:szCs w:val="20"/>
          <w:color w:val="auto"/>
        </w:rPr>
      </w:pPr>
    </w:p>
    <w:p>
      <w:pPr>
        <w:spacing w:after="0"/>
        <w:rPr>
          <w:sz w:val="20"/>
          <w:szCs w:val="20"/>
          <w:color w:val="auto"/>
        </w:rPr>
      </w:pPr>
      <w:r>
        <w:rPr>
          <w:rFonts w:ascii="Arial" w:cs="Arial" w:eastAsia="Arial" w:hAnsi="Arial"/>
          <w:sz w:val="7"/>
          <w:szCs w:val="7"/>
          <w:color w:val="auto"/>
        </w:rPr>
        <w:t>[A] While proved reserves are economically producible at the 2020 yearly average price, the standardised measure of discounted future net cash flows was negative for those proved reserves at December 31, 2020, due to addition of overhead, tax and abandonment costs and ongoing commitments post production of proved reserves.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18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2019 - Shell subsidiaries</w:t>
            </w:r>
          </w:p>
        </w:tc>
        <w:tc>
          <w:tcPr>
            <w:tcW w:w="740" w:type="dxa"/>
            <w:vAlign w:val="bottom"/>
            <w:tcBorders>
              <w:top w:val="single" w:sz="8" w:color="CDCDCD"/>
            </w:tcBorders>
          </w:tcPr>
          <w:p>
            <w:pPr>
              <w:spacing w:after="0"/>
              <w:rPr>
                <w:sz w:val="13"/>
                <w:szCs w:val="13"/>
                <w:color w:val="auto"/>
              </w:rPr>
            </w:pPr>
          </w:p>
        </w:tc>
        <w:tc>
          <w:tcPr>
            <w:tcW w:w="1120" w:type="dxa"/>
            <w:vAlign w:val="bottom"/>
            <w:tcBorders>
              <w:top w:val="single" w:sz="8" w:color="CDCDCD"/>
            </w:tcBorders>
          </w:tcPr>
          <w:p>
            <w:pPr>
              <w:spacing w:after="0"/>
              <w:rPr>
                <w:sz w:val="13"/>
                <w:szCs w:val="13"/>
                <w:color w:val="auto"/>
              </w:rPr>
            </w:pPr>
          </w:p>
        </w:tc>
        <w:tc>
          <w:tcPr>
            <w:tcW w:w="1120" w:type="dxa"/>
            <w:vAlign w:val="bottom"/>
            <w:tcBorders>
              <w:top w:val="single" w:sz="8" w:color="CDCDCD"/>
            </w:tcBorders>
          </w:tcPr>
          <w:p>
            <w:pPr>
              <w:spacing w:after="0"/>
              <w:rPr>
                <w:sz w:val="13"/>
                <w:szCs w:val="13"/>
                <w:color w:val="auto"/>
              </w:rPr>
            </w:pPr>
          </w:p>
        </w:tc>
        <w:tc>
          <w:tcPr>
            <w:tcW w:w="700" w:type="dxa"/>
            <w:vAlign w:val="bottom"/>
            <w:tcBorders>
              <w:top w:val="single" w:sz="8" w:color="CDCDCD"/>
            </w:tcBorders>
          </w:tcPr>
          <w:p>
            <w:pPr>
              <w:spacing w:after="0"/>
              <w:rPr>
                <w:sz w:val="13"/>
                <w:szCs w:val="13"/>
                <w:color w:val="auto"/>
              </w:rPr>
            </w:pPr>
          </w:p>
        </w:tc>
        <w:tc>
          <w:tcPr>
            <w:tcW w:w="1660" w:type="dxa"/>
            <w:vAlign w:val="bottom"/>
            <w:tcBorders>
              <w:top w:val="single" w:sz="8" w:color="CDCDCD"/>
            </w:tcBorders>
          </w:tcPr>
          <w:p>
            <w:pPr>
              <w:spacing w:after="0"/>
              <w:rPr>
                <w:sz w:val="13"/>
                <w:szCs w:val="13"/>
                <w:color w:val="auto"/>
              </w:rPr>
            </w:pPr>
          </w:p>
        </w:tc>
        <w:tc>
          <w:tcPr>
            <w:tcW w:w="560" w:type="dxa"/>
            <w:vAlign w:val="bottom"/>
            <w:tcBorders>
              <w:top w:val="single" w:sz="8" w:color="CDCDCD"/>
            </w:tcBorders>
          </w:tcPr>
          <w:p>
            <w:pPr>
              <w:spacing w:after="0"/>
              <w:rPr>
                <w:sz w:val="13"/>
                <w:szCs w:val="13"/>
                <w:color w:val="auto"/>
              </w:rPr>
            </w:pPr>
          </w:p>
        </w:tc>
        <w:tc>
          <w:tcPr>
            <w:tcW w:w="1460" w:type="dxa"/>
            <w:vAlign w:val="bottom"/>
            <w:tcBorders>
              <w:top w:val="single" w:sz="8" w:color="CDCDCD"/>
            </w:tcBorders>
          </w:tcPr>
          <w:p>
            <w:pPr>
              <w:spacing w:after="0"/>
              <w:rPr>
                <w:sz w:val="13"/>
                <w:szCs w:val="13"/>
                <w:color w:val="auto"/>
              </w:rPr>
            </w:pPr>
          </w:p>
        </w:tc>
        <w:tc>
          <w:tcPr>
            <w:tcW w:w="76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45"/>
        </w:trPr>
        <w:tc>
          <w:tcPr>
            <w:tcW w:w="3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North America</w:t>
            </w:r>
          </w:p>
        </w:tc>
        <w:tc>
          <w:tcPr>
            <w:tcW w:w="560" w:type="dxa"/>
            <w:vAlign w:val="bottom"/>
            <w:tcBorders>
              <w:bottom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24"/>
        </w:trPr>
        <w:tc>
          <w:tcPr>
            <w:tcW w:w="3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Europe</w:t>
            </w: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Asia</w:t>
            </w: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0"/>
                <w:szCs w:val="10"/>
                <w:color w:val="auto"/>
              </w:rPr>
              <w:t>Oceania</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Africa</w:t>
            </w:r>
          </w:p>
        </w:tc>
        <w:tc>
          <w:tcPr>
            <w:tcW w:w="166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USA</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Canada</w:t>
            </w:r>
          </w:p>
        </w:tc>
        <w:tc>
          <w:tcPr>
            <w:tcW w:w="146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color w:val="auto"/>
              </w:rPr>
              <w:t>South America</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r>
      <w:tr>
        <w:trPr>
          <w:trHeight w:val="114"/>
        </w:trPr>
        <w:tc>
          <w:tcPr>
            <w:tcW w:w="3180" w:type="dxa"/>
            <w:vAlign w:val="bottom"/>
          </w:tcPr>
          <w:p>
            <w:pPr>
              <w:spacing w:after="0"/>
              <w:rPr>
                <w:sz w:val="20"/>
                <w:szCs w:val="20"/>
                <w:color w:val="auto"/>
              </w:rPr>
            </w:pPr>
            <w:r>
              <w:rPr>
                <w:rFonts w:ascii="Arial" w:cs="Arial" w:eastAsia="Arial" w:hAnsi="Arial"/>
                <w:sz w:val="10"/>
                <w:szCs w:val="10"/>
                <w:color w:val="auto"/>
              </w:rPr>
              <w:t>Future cash inflows</w:t>
            </w:r>
          </w:p>
        </w:tc>
        <w:tc>
          <w:tcPr>
            <w:tcW w:w="740" w:type="dxa"/>
            <w:vAlign w:val="bottom"/>
          </w:tcPr>
          <w:p>
            <w:pPr>
              <w:jc w:val="right"/>
              <w:ind w:right="372"/>
              <w:spacing w:after="0"/>
              <w:rPr>
                <w:sz w:val="20"/>
                <w:szCs w:val="20"/>
                <w:color w:val="auto"/>
              </w:rPr>
            </w:pPr>
            <w:r>
              <w:rPr>
                <w:rFonts w:ascii="Arial" w:cs="Arial" w:eastAsia="Arial" w:hAnsi="Arial"/>
                <w:sz w:val="10"/>
                <w:szCs w:val="10"/>
                <w:color w:val="auto"/>
                <w:w w:val="97"/>
              </w:rPr>
              <w:t>33,762</w:t>
            </w:r>
          </w:p>
        </w:tc>
        <w:tc>
          <w:tcPr>
            <w:tcW w:w="1120" w:type="dxa"/>
            <w:vAlign w:val="bottom"/>
          </w:tcPr>
          <w:p>
            <w:pPr>
              <w:jc w:val="right"/>
              <w:ind w:right="372"/>
              <w:spacing w:after="0"/>
              <w:rPr>
                <w:sz w:val="20"/>
                <w:szCs w:val="20"/>
                <w:color w:val="auto"/>
              </w:rPr>
            </w:pPr>
            <w:r>
              <w:rPr>
                <w:rFonts w:ascii="Arial" w:cs="Arial" w:eastAsia="Arial" w:hAnsi="Arial"/>
                <w:sz w:val="10"/>
                <w:szCs w:val="10"/>
                <w:color w:val="auto"/>
              </w:rPr>
              <w:t>111,802</w:t>
            </w:r>
          </w:p>
        </w:tc>
        <w:tc>
          <w:tcPr>
            <w:tcW w:w="1120" w:type="dxa"/>
            <w:vAlign w:val="bottom"/>
          </w:tcPr>
          <w:p>
            <w:pPr>
              <w:jc w:val="right"/>
              <w:ind w:right="393"/>
              <w:spacing w:after="0"/>
              <w:rPr>
                <w:sz w:val="20"/>
                <w:szCs w:val="20"/>
                <w:color w:val="auto"/>
              </w:rPr>
            </w:pPr>
            <w:r>
              <w:rPr>
                <w:rFonts w:ascii="Arial" w:cs="Arial" w:eastAsia="Arial" w:hAnsi="Arial"/>
                <w:sz w:val="10"/>
                <w:szCs w:val="10"/>
                <w:color w:val="auto"/>
              </w:rPr>
              <w:t>71,775</w:t>
            </w:r>
          </w:p>
        </w:tc>
        <w:tc>
          <w:tcPr>
            <w:tcW w:w="700" w:type="dxa"/>
            <w:vAlign w:val="bottom"/>
          </w:tcPr>
          <w:p>
            <w:pPr>
              <w:jc w:val="right"/>
              <w:spacing w:after="0"/>
              <w:rPr>
                <w:sz w:val="20"/>
                <w:szCs w:val="20"/>
                <w:color w:val="auto"/>
              </w:rPr>
            </w:pPr>
            <w:r>
              <w:rPr>
                <w:rFonts w:ascii="Arial" w:cs="Arial" w:eastAsia="Arial" w:hAnsi="Arial"/>
                <w:sz w:val="10"/>
                <w:szCs w:val="10"/>
                <w:color w:val="auto"/>
              </w:rPr>
              <w:t>31,046</w:t>
            </w:r>
          </w:p>
        </w:tc>
        <w:tc>
          <w:tcPr>
            <w:tcW w:w="1660" w:type="dxa"/>
            <w:vAlign w:val="bottom"/>
          </w:tcPr>
          <w:p>
            <w:pPr>
              <w:jc w:val="right"/>
              <w:ind w:right="532"/>
              <w:spacing w:after="0"/>
              <w:rPr>
                <w:sz w:val="20"/>
                <w:szCs w:val="20"/>
                <w:color w:val="auto"/>
              </w:rPr>
            </w:pPr>
            <w:r>
              <w:rPr>
                <w:rFonts w:ascii="Arial" w:cs="Arial" w:eastAsia="Arial" w:hAnsi="Arial"/>
                <w:sz w:val="10"/>
                <w:szCs w:val="10"/>
                <w:color w:val="auto"/>
              </w:rPr>
              <w:t>55,800</w:t>
            </w:r>
          </w:p>
        </w:tc>
        <w:tc>
          <w:tcPr>
            <w:tcW w:w="560" w:type="dxa"/>
            <w:vAlign w:val="bottom"/>
          </w:tcPr>
          <w:p>
            <w:pPr>
              <w:jc w:val="right"/>
              <w:spacing w:after="0"/>
              <w:rPr>
                <w:sz w:val="20"/>
                <w:szCs w:val="20"/>
                <w:color w:val="auto"/>
              </w:rPr>
            </w:pPr>
            <w:r>
              <w:rPr>
                <w:rFonts w:ascii="Arial" w:cs="Arial" w:eastAsia="Arial" w:hAnsi="Arial"/>
                <w:sz w:val="10"/>
                <w:szCs w:val="10"/>
                <w:color w:val="auto"/>
              </w:rPr>
              <w:t>31,522</w:t>
            </w:r>
          </w:p>
        </w:tc>
        <w:tc>
          <w:tcPr>
            <w:tcW w:w="1460" w:type="dxa"/>
            <w:vAlign w:val="bottom"/>
          </w:tcPr>
          <w:p>
            <w:pPr>
              <w:jc w:val="right"/>
              <w:ind w:right="352"/>
              <w:spacing w:after="0"/>
              <w:rPr>
                <w:sz w:val="20"/>
                <w:szCs w:val="20"/>
                <w:color w:val="auto"/>
              </w:rPr>
            </w:pPr>
            <w:r>
              <w:rPr>
                <w:rFonts w:ascii="Arial" w:cs="Arial" w:eastAsia="Arial" w:hAnsi="Arial"/>
                <w:sz w:val="10"/>
                <w:szCs w:val="10"/>
                <w:color w:val="auto"/>
              </w:rPr>
              <w:t>64,957</w:t>
            </w:r>
          </w:p>
        </w:tc>
        <w:tc>
          <w:tcPr>
            <w:tcW w:w="760" w:type="dxa"/>
            <w:vAlign w:val="bottom"/>
          </w:tcPr>
          <w:p>
            <w:pPr>
              <w:jc w:val="right"/>
              <w:spacing w:after="0"/>
              <w:rPr>
                <w:sz w:val="20"/>
                <w:szCs w:val="20"/>
                <w:color w:val="auto"/>
              </w:rPr>
            </w:pPr>
            <w:r>
              <w:rPr>
                <w:rFonts w:ascii="Arial" w:cs="Arial" w:eastAsia="Arial" w:hAnsi="Arial"/>
                <w:sz w:val="10"/>
                <w:szCs w:val="10"/>
                <w:color w:val="auto"/>
              </w:rPr>
              <w:t>400,664</w:t>
            </w:r>
          </w:p>
        </w:tc>
      </w:tr>
      <w:tr>
        <w:trPr>
          <w:trHeight w:val="123"/>
        </w:trPr>
        <w:tc>
          <w:tcPr>
            <w:tcW w:w="3180" w:type="dxa"/>
            <w:vAlign w:val="bottom"/>
          </w:tcPr>
          <w:p>
            <w:pPr>
              <w:spacing w:after="0"/>
              <w:rPr>
                <w:sz w:val="20"/>
                <w:szCs w:val="20"/>
                <w:color w:val="auto"/>
              </w:rPr>
            </w:pPr>
            <w:r>
              <w:rPr>
                <w:rFonts w:ascii="Arial" w:cs="Arial" w:eastAsia="Arial" w:hAnsi="Arial"/>
                <w:sz w:val="10"/>
                <w:szCs w:val="10"/>
                <w:color w:val="auto"/>
              </w:rPr>
              <w:t>Future production costs</w:t>
            </w:r>
          </w:p>
        </w:tc>
        <w:tc>
          <w:tcPr>
            <w:tcW w:w="740" w:type="dxa"/>
            <w:vAlign w:val="bottom"/>
          </w:tcPr>
          <w:p>
            <w:pPr>
              <w:jc w:val="right"/>
              <w:ind w:right="372"/>
              <w:spacing w:after="0"/>
              <w:rPr>
                <w:sz w:val="20"/>
                <w:szCs w:val="20"/>
                <w:color w:val="auto"/>
              </w:rPr>
            </w:pPr>
            <w:r>
              <w:rPr>
                <w:rFonts w:ascii="Arial" w:cs="Arial" w:eastAsia="Arial" w:hAnsi="Arial"/>
                <w:sz w:val="10"/>
                <w:szCs w:val="10"/>
                <w:color w:val="auto"/>
                <w:w w:val="97"/>
              </w:rPr>
              <w:t>11,818</w:t>
            </w:r>
          </w:p>
        </w:tc>
        <w:tc>
          <w:tcPr>
            <w:tcW w:w="1120" w:type="dxa"/>
            <w:vAlign w:val="bottom"/>
          </w:tcPr>
          <w:p>
            <w:pPr>
              <w:jc w:val="right"/>
              <w:ind w:right="372"/>
              <w:spacing w:after="0"/>
              <w:rPr>
                <w:sz w:val="20"/>
                <w:szCs w:val="20"/>
                <w:color w:val="auto"/>
              </w:rPr>
            </w:pPr>
            <w:r>
              <w:rPr>
                <w:rFonts w:ascii="Arial" w:cs="Arial" w:eastAsia="Arial" w:hAnsi="Arial"/>
                <w:sz w:val="10"/>
                <w:szCs w:val="10"/>
                <w:color w:val="auto"/>
              </w:rPr>
              <w:t>32,581</w:t>
            </w:r>
          </w:p>
        </w:tc>
        <w:tc>
          <w:tcPr>
            <w:tcW w:w="1120" w:type="dxa"/>
            <w:vAlign w:val="bottom"/>
          </w:tcPr>
          <w:p>
            <w:pPr>
              <w:jc w:val="right"/>
              <w:ind w:right="393"/>
              <w:spacing w:after="0"/>
              <w:rPr>
                <w:sz w:val="20"/>
                <w:szCs w:val="20"/>
                <w:color w:val="auto"/>
              </w:rPr>
            </w:pPr>
            <w:r>
              <w:rPr>
                <w:rFonts w:ascii="Arial" w:cs="Arial" w:eastAsia="Arial" w:hAnsi="Arial"/>
                <w:sz w:val="10"/>
                <w:szCs w:val="10"/>
                <w:color w:val="auto"/>
              </w:rPr>
              <w:t>21,589</w:t>
            </w:r>
          </w:p>
        </w:tc>
        <w:tc>
          <w:tcPr>
            <w:tcW w:w="700" w:type="dxa"/>
            <w:vAlign w:val="bottom"/>
          </w:tcPr>
          <w:p>
            <w:pPr>
              <w:jc w:val="right"/>
              <w:spacing w:after="0"/>
              <w:rPr>
                <w:sz w:val="20"/>
                <w:szCs w:val="20"/>
                <w:color w:val="auto"/>
              </w:rPr>
            </w:pPr>
            <w:r>
              <w:rPr>
                <w:rFonts w:ascii="Arial" w:cs="Arial" w:eastAsia="Arial" w:hAnsi="Arial"/>
                <w:sz w:val="10"/>
                <w:szCs w:val="10"/>
                <w:color w:val="auto"/>
              </w:rPr>
              <w:t>12,158</w:t>
            </w:r>
          </w:p>
        </w:tc>
        <w:tc>
          <w:tcPr>
            <w:tcW w:w="1660" w:type="dxa"/>
            <w:vAlign w:val="bottom"/>
          </w:tcPr>
          <w:p>
            <w:pPr>
              <w:jc w:val="right"/>
              <w:ind w:right="532"/>
              <w:spacing w:after="0"/>
              <w:rPr>
                <w:sz w:val="20"/>
                <w:szCs w:val="20"/>
                <w:color w:val="auto"/>
              </w:rPr>
            </w:pPr>
            <w:r>
              <w:rPr>
                <w:rFonts w:ascii="Arial" w:cs="Arial" w:eastAsia="Arial" w:hAnsi="Arial"/>
                <w:sz w:val="10"/>
                <w:szCs w:val="10"/>
                <w:color w:val="auto"/>
              </w:rPr>
              <w:t>30,139</w:t>
            </w:r>
          </w:p>
        </w:tc>
        <w:tc>
          <w:tcPr>
            <w:tcW w:w="560" w:type="dxa"/>
            <w:vAlign w:val="bottom"/>
          </w:tcPr>
          <w:p>
            <w:pPr>
              <w:jc w:val="right"/>
              <w:spacing w:after="0"/>
              <w:rPr>
                <w:sz w:val="20"/>
                <w:szCs w:val="20"/>
                <w:color w:val="auto"/>
              </w:rPr>
            </w:pPr>
            <w:r>
              <w:rPr>
                <w:rFonts w:ascii="Arial" w:cs="Arial" w:eastAsia="Arial" w:hAnsi="Arial"/>
                <w:sz w:val="10"/>
                <w:szCs w:val="10"/>
                <w:color w:val="auto"/>
              </w:rPr>
              <w:t>16,651</w:t>
            </w:r>
          </w:p>
        </w:tc>
        <w:tc>
          <w:tcPr>
            <w:tcW w:w="1460" w:type="dxa"/>
            <w:vAlign w:val="bottom"/>
          </w:tcPr>
          <w:p>
            <w:pPr>
              <w:jc w:val="right"/>
              <w:ind w:right="352"/>
              <w:spacing w:after="0"/>
              <w:rPr>
                <w:sz w:val="20"/>
                <w:szCs w:val="20"/>
                <w:color w:val="auto"/>
              </w:rPr>
            </w:pPr>
            <w:r>
              <w:rPr>
                <w:rFonts w:ascii="Arial" w:cs="Arial" w:eastAsia="Arial" w:hAnsi="Arial"/>
                <w:sz w:val="10"/>
                <w:szCs w:val="10"/>
                <w:color w:val="auto"/>
              </w:rPr>
              <w:t>32,362</w:t>
            </w:r>
          </w:p>
        </w:tc>
        <w:tc>
          <w:tcPr>
            <w:tcW w:w="760" w:type="dxa"/>
            <w:vAlign w:val="bottom"/>
          </w:tcPr>
          <w:p>
            <w:pPr>
              <w:jc w:val="right"/>
              <w:spacing w:after="0"/>
              <w:rPr>
                <w:sz w:val="20"/>
                <w:szCs w:val="20"/>
                <w:color w:val="auto"/>
              </w:rPr>
            </w:pPr>
            <w:r>
              <w:rPr>
                <w:rFonts w:ascii="Arial" w:cs="Arial" w:eastAsia="Arial" w:hAnsi="Arial"/>
                <w:sz w:val="10"/>
                <w:szCs w:val="10"/>
                <w:color w:val="auto"/>
              </w:rPr>
              <w:t>157,298</w:t>
            </w:r>
          </w:p>
        </w:tc>
      </w:tr>
      <w:tr>
        <w:trPr>
          <w:trHeight w:val="126"/>
        </w:trPr>
        <w:tc>
          <w:tcPr>
            <w:tcW w:w="3180" w:type="dxa"/>
            <w:vAlign w:val="bottom"/>
          </w:tcPr>
          <w:p>
            <w:pPr>
              <w:spacing w:after="0"/>
              <w:rPr>
                <w:sz w:val="20"/>
                <w:szCs w:val="20"/>
                <w:color w:val="auto"/>
              </w:rPr>
            </w:pPr>
            <w:r>
              <w:rPr>
                <w:rFonts w:ascii="Arial" w:cs="Arial" w:eastAsia="Arial" w:hAnsi="Arial"/>
                <w:sz w:val="10"/>
                <w:szCs w:val="10"/>
                <w:color w:val="auto"/>
              </w:rPr>
              <w:t>Future development costs</w:t>
            </w:r>
          </w:p>
        </w:tc>
        <w:tc>
          <w:tcPr>
            <w:tcW w:w="740" w:type="dxa"/>
            <w:vAlign w:val="bottom"/>
          </w:tcPr>
          <w:p>
            <w:pPr>
              <w:jc w:val="right"/>
              <w:ind w:right="372"/>
              <w:spacing w:after="0"/>
              <w:rPr>
                <w:sz w:val="20"/>
                <w:szCs w:val="20"/>
                <w:color w:val="auto"/>
              </w:rPr>
            </w:pPr>
            <w:r>
              <w:rPr>
                <w:rFonts w:ascii="Arial" w:cs="Arial" w:eastAsia="Arial" w:hAnsi="Arial"/>
                <w:sz w:val="10"/>
                <w:szCs w:val="10"/>
                <w:color w:val="auto"/>
              </w:rPr>
              <w:t>6,047</w:t>
            </w:r>
          </w:p>
        </w:tc>
        <w:tc>
          <w:tcPr>
            <w:tcW w:w="1120" w:type="dxa"/>
            <w:vAlign w:val="bottom"/>
          </w:tcPr>
          <w:p>
            <w:pPr>
              <w:jc w:val="right"/>
              <w:ind w:right="372"/>
              <w:spacing w:after="0"/>
              <w:rPr>
                <w:sz w:val="20"/>
                <w:szCs w:val="20"/>
                <w:color w:val="auto"/>
              </w:rPr>
            </w:pPr>
            <w:r>
              <w:rPr>
                <w:rFonts w:ascii="Arial" w:cs="Arial" w:eastAsia="Arial" w:hAnsi="Arial"/>
                <w:sz w:val="10"/>
                <w:szCs w:val="10"/>
                <w:color w:val="auto"/>
              </w:rPr>
              <w:t>13,449</w:t>
            </w:r>
          </w:p>
        </w:tc>
        <w:tc>
          <w:tcPr>
            <w:tcW w:w="1120" w:type="dxa"/>
            <w:vAlign w:val="bottom"/>
          </w:tcPr>
          <w:p>
            <w:pPr>
              <w:jc w:val="right"/>
              <w:ind w:right="393"/>
              <w:spacing w:after="0"/>
              <w:rPr>
                <w:sz w:val="20"/>
                <w:szCs w:val="20"/>
                <w:color w:val="auto"/>
              </w:rPr>
            </w:pPr>
            <w:r>
              <w:rPr>
                <w:rFonts w:ascii="Arial" w:cs="Arial" w:eastAsia="Arial" w:hAnsi="Arial"/>
                <w:sz w:val="10"/>
                <w:szCs w:val="10"/>
                <w:color w:val="auto"/>
              </w:rPr>
              <w:t>10,103</w:t>
            </w:r>
          </w:p>
        </w:tc>
        <w:tc>
          <w:tcPr>
            <w:tcW w:w="700" w:type="dxa"/>
            <w:vAlign w:val="bottom"/>
          </w:tcPr>
          <w:p>
            <w:pPr>
              <w:jc w:val="right"/>
              <w:spacing w:after="0"/>
              <w:rPr>
                <w:sz w:val="20"/>
                <w:szCs w:val="20"/>
                <w:color w:val="auto"/>
              </w:rPr>
            </w:pPr>
            <w:r>
              <w:rPr>
                <w:rFonts w:ascii="Arial" w:cs="Arial" w:eastAsia="Arial" w:hAnsi="Arial"/>
                <w:sz w:val="10"/>
                <w:szCs w:val="10"/>
                <w:color w:val="auto"/>
              </w:rPr>
              <w:t>4,081</w:t>
            </w:r>
          </w:p>
        </w:tc>
        <w:tc>
          <w:tcPr>
            <w:tcW w:w="1660" w:type="dxa"/>
            <w:vAlign w:val="bottom"/>
          </w:tcPr>
          <w:p>
            <w:pPr>
              <w:jc w:val="right"/>
              <w:ind w:right="532"/>
              <w:spacing w:after="0"/>
              <w:rPr>
                <w:sz w:val="20"/>
                <w:szCs w:val="20"/>
                <w:color w:val="auto"/>
              </w:rPr>
            </w:pPr>
            <w:r>
              <w:rPr>
                <w:rFonts w:ascii="Arial" w:cs="Arial" w:eastAsia="Arial" w:hAnsi="Arial"/>
                <w:sz w:val="10"/>
                <w:szCs w:val="10"/>
                <w:color w:val="auto"/>
              </w:rPr>
              <w:t>11,137</w:t>
            </w:r>
          </w:p>
        </w:tc>
        <w:tc>
          <w:tcPr>
            <w:tcW w:w="560" w:type="dxa"/>
            <w:vAlign w:val="bottom"/>
          </w:tcPr>
          <w:p>
            <w:pPr>
              <w:jc w:val="right"/>
              <w:spacing w:after="0"/>
              <w:rPr>
                <w:sz w:val="20"/>
                <w:szCs w:val="20"/>
                <w:color w:val="auto"/>
              </w:rPr>
            </w:pPr>
            <w:r>
              <w:rPr>
                <w:rFonts w:ascii="Arial" w:cs="Arial" w:eastAsia="Arial" w:hAnsi="Arial"/>
                <w:sz w:val="10"/>
                <w:szCs w:val="10"/>
                <w:color w:val="auto"/>
              </w:rPr>
              <w:t>4,603</w:t>
            </w:r>
          </w:p>
        </w:tc>
        <w:tc>
          <w:tcPr>
            <w:tcW w:w="1460" w:type="dxa"/>
            <w:vAlign w:val="bottom"/>
          </w:tcPr>
          <w:p>
            <w:pPr>
              <w:jc w:val="right"/>
              <w:ind w:right="352"/>
              <w:spacing w:after="0"/>
              <w:rPr>
                <w:sz w:val="20"/>
                <w:szCs w:val="20"/>
                <w:color w:val="auto"/>
              </w:rPr>
            </w:pPr>
            <w:r>
              <w:rPr>
                <w:rFonts w:ascii="Arial" w:cs="Arial" w:eastAsia="Arial" w:hAnsi="Arial"/>
                <w:sz w:val="10"/>
                <w:szCs w:val="10"/>
                <w:color w:val="auto"/>
              </w:rPr>
              <w:t>13,219</w:t>
            </w:r>
          </w:p>
        </w:tc>
        <w:tc>
          <w:tcPr>
            <w:tcW w:w="760" w:type="dxa"/>
            <w:vAlign w:val="bottom"/>
          </w:tcPr>
          <w:p>
            <w:pPr>
              <w:jc w:val="right"/>
              <w:spacing w:after="0"/>
              <w:rPr>
                <w:sz w:val="20"/>
                <w:szCs w:val="20"/>
                <w:color w:val="auto"/>
              </w:rPr>
            </w:pPr>
            <w:r>
              <w:rPr>
                <w:rFonts w:ascii="Arial" w:cs="Arial" w:eastAsia="Arial" w:hAnsi="Arial"/>
                <w:sz w:val="10"/>
                <w:szCs w:val="10"/>
                <w:color w:val="auto"/>
              </w:rPr>
              <w:t>62,639</w:t>
            </w:r>
          </w:p>
        </w:tc>
      </w:tr>
      <w:tr>
        <w:trPr>
          <w:trHeight w:val="130"/>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Future tax expenses</w:t>
            </w:r>
          </w:p>
        </w:tc>
        <w:tc>
          <w:tcPr>
            <w:tcW w:w="7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9,285</w:t>
            </w: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25,938</w:t>
            </w: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color w:val="auto"/>
              </w:rPr>
              <w:t>7,016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10,542</w:t>
            </w:r>
          </w:p>
        </w:tc>
        <w:tc>
          <w:tcPr>
            <w:tcW w:w="16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2,397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2,313</w:t>
            </w:r>
          </w:p>
        </w:tc>
        <w:tc>
          <w:tcPr>
            <w:tcW w:w="1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5,429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62,920</w:t>
            </w:r>
          </w:p>
        </w:tc>
      </w:tr>
      <w:tr>
        <w:trPr>
          <w:trHeight w:val="114"/>
        </w:trPr>
        <w:tc>
          <w:tcPr>
            <w:tcW w:w="3180" w:type="dxa"/>
            <w:vAlign w:val="bottom"/>
          </w:tcPr>
          <w:p>
            <w:pPr>
              <w:spacing w:after="0"/>
              <w:rPr>
                <w:sz w:val="20"/>
                <w:szCs w:val="20"/>
                <w:color w:val="auto"/>
              </w:rPr>
            </w:pPr>
            <w:r>
              <w:rPr>
                <w:rFonts w:ascii="Arial" w:cs="Arial" w:eastAsia="Arial" w:hAnsi="Arial"/>
                <w:sz w:val="10"/>
                <w:szCs w:val="10"/>
                <w:color w:val="auto"/>
              </w:rPr>
              <w:t>Future net cash flows</w:t>
            </w:r>
          </w:p>
        </w:tc>
        <w:tc>
          <w:tcPr>
            <w:tcW w:w="740" w:type="dxa"/>
            <w:vAlign w:val="bottom"/>
          </w:tcPr>
          <w:p>
            <w:pPr>
              <w:jc w:val="right"/>
              <w:ind w:right="372"/>
              <w:spacing w:after="0"/>
              <w:rPr>
                <w:sz w:val="20"/>
                <w:szCs w:val="20"/>
                <w:color w:val="auto"/>
              </w:rPr>
            </w:pPr>
            <w:r>
              <w:rPr>
                <w:rFonts w:ascii="Arial" w:cs="Arial" w:eastAsia="Arial" w:hAnsi="Arial"/>
                <w:sz w:val="10"/>
                <w:szCs w:val="10"/>
                <w:color w:val="auto"/>
              </w:rPr>
              <w:t>6,612</w:t>
            </w:r>
          </w:p>
        </w:tc>
        <w:tc>
          <w:tcPr>
            <w:tcW w:w="1120" w:type="dxa"/>
            <w:vAlign w:val="bottom"/>
          </w:tcPr>
          <w:p>
            <w:pPr>
              <w:jc w:val="right"/>
              <w:ind w:right="372"/>
              <w:spacing w:after="0"/>
              <w:rPr>
                <w:sz w:val="20"/>
                <w:szCs w:val="20"/>
                <w:color w:val="auto"/>
              </w:rPr>
            </w:pPr>
            <w:r>
              <w:rPr>
                <w:rFonts w:ascii="Arial" w:cs="Arial" w:eastAsia="Arial" w:hAnsi="Arial"/>
                <w:sz w:val="10"/>
                <w:szCs w:val="10"/>
                <w:color w:val="auto"/>
              </w:rPr>
              <w:t>39,834</w:t>
            </w:r>
          </w:p>
        </w:tc>
        <w:tc>
          <w:tcPr>
            <w:tcW w:w="1120" w:type="dxa"/>
            <w:vAlign w:val="bottom"/>
          </w:tcPr>
          <w:p>
            <w:pPr>
              <w:jc w:val="right"/>
              <w:ind w:right="393"/>
              <w:spacing w:after="0"/>
              <w:rPr>
                <w:sz w:val="20"/>
                <w:szCs w:val="20"/>
                <w:color w:val="auto"/>
              </w:rPr>
            </w:pPr>
            <w:r>
              <w:rPr>
                <w:rFonts w:ascii="Arial" w:cs="Arial" w:eastAsia="Arial" w:hAnsi="Arial"/>
                <w:sz w:val="10"/>
                <w:szCs w:val="10"/>
                <w:color w:val="auto"/>
              </w:rPr>
              <w:t>33,067</w:t>
            </w:r>
          </w:p>
        </w:tc>
        <w:tc>
          <w:tcPr>
            <w:tcW w:w="700" w:type="dxa"/>
            <w:vAlign w:val="bottom"/>
          </w:tcPr>
          <w:p>
            <w:pPr>
              <w:jc w:val="right"/>
              <w:spacing w:after="0"/>
              <w:rPr>
                <w:sz w:val="20"/>
                <w:szCs w:val="20"/>
                <w:color w:val="auto"/>
              </w:rPr>
            </w:pPr>
            <w:r>
              <w:rPr>
                <w:rFonts w:ascii="Arial" w:cs="Arial" w:eastAsia="Arial" w:hAnsi="Arial"/>
                <w:sz w:val="10"/>
                <w:szCs w:val="10"/>
                <w:color w:val="auto"/>
              </w:rPr>
              <w:t>4,265</w:t>
            </w:r>
          </w:p>
        </w:tc>
        <w:tc>
          <w:tcPr>
            <w:tcW w:w="1660" w:type="dxa"/>
            <w:vAlign w:val="bottom"/>
          </w:tcPr>
          <w:p>
            <w:pPr>
              <w:jc w:val="right"/>
              <w:ind w:right="532"/>
              <w:spacing w:after="0"/>
              <w:rPr>
                <w:sz w:val="20"/>
                <w:szCs w:val="20"/>
                <w:color w:val="auto"/>
              </w:rPr>
            </w:pPr>
            <w:r>
              <w:rPr>
                <w:rFonts w:ascii="Arial" w:cs="Arial" w:eastAsia="Arial" w:hAnsi="Arial"/>
                <w:sz w:val="10"/>
                <w:szCs w:val="10"/>
                <w:color w:val="auto"/>
              </w:rPr>
              <w:t>12,127</w:t>
            </w:r>
          </w:p>
        </w:tc>
        <w:tc>
          <w:tcPr>
            <w:tcW w:w="560" w:type="dxa"/>
            <w:vAlign w:val="bottom"/>
          </w:tcPr>
          <w:p>
            <w:pPr>
              <w:jc w:val="right"/>
              <w:spacing w:after="0"/>
              <w:rPr>
                <w:sz w:val="20"/>
                <w:szCs w:val="20"/>
                <w:color w:val="auto"/>
              </w:rPr>
            </w:pPr>
            <w:r>
              <w:rPr>
                <w:rFonts w:ascii="Arial" w:cs="Arial" w:eastAsia="Arial" w:hAnsi="Arial"/>
                <w:sz w:val="10"/>
                <w:szCs w:val="10"/>
                <w:color w:val="auto"/>
              </w:rPr>
              <w:t>7,955</w:t>
            </w:r>
          </w:p>
        </w:tc>
        <w:tc>
          <w:tcPr>
            <w:tcW w:w="1460" w:type="dxa"/>
            <w:vAlign w:val="bottom"/>
          </w:tcPr>
          <w:p>
            <w:pPr>
              <w:jc w:val="right"/>
              <w:ind w:right="352"/>
              <w:spacing w:after="0"/>
              <w:rPr>
                <w:sz w:val="20"/>
                <w:szCs w:val="20"/>
                <w:color w:val="auto"/>
              </w:rPr>
            </w:pPr>
            <w:r>
              <w:rPr>
                <w:rFonts w:ascii="Arial" w:cs="Arial" w:eastAsia="Arial" w:hAnsi="Arial"/>
                <w:sz w:val="10"/>
                <w:szCs w:val="10"/>
                <w:color w:val="auto"/>
              </w:rPr>
              <w:t>13,947</w:t>
            </w:r>
          </w:p>
        </w:tc>
        <w:tc>
          <w:tcPr>
            <w:tcW w:w="760" w:type="dxa"/>
            <w:vAlign w:val="bottom"/>
          </w:tcPr>
          <w:p>
            <w:pPr>
              <w:jc w:val="right"/>
              <w:spacing w:after="0"/>
              <w:rPr>
                <w:sz w:val="20"/>
                <w:szCs w:val="20"/>
                <w:color w:val="auto"/>
              </w:rPr>
            </w:pPr>
            <w:r>
              <w:rPr>
                <w:rFonts w:ascii="Arial" w:cs="Arial" w:eastAsia="Arial" w:hAnsi="Arial"/>
                <w:sz w:val="10"/>
                <w:szCs w:val="10"/>
                <w:color w:val="auto"/>
              </w:rPr>
              <w:t>117,807</w:t>
            </w:r>
          </w:p>
        </w:tc>
      </w:tr>
      <w:tr>
        <w:trPr>
          <w:trHeight w:val="127"/>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Effect of discounting cash flows at 10%</w:t>
            </w:r>
          </w:p>
        </w:tc>
        <w:tc>
          <w:tcPr>
            <w:tcW w:w="7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1,917</w:t>
            </w: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17,851</w:t>
            </w: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color w:val="auto"/>
              </w:rPr>
              <w:t>13,328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377</w:t>
            </w:r>
          </w:p>
        </w:tc>
        <w:tc>
          <w:tcPr>
            <w:tcW w:w="16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1,815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5,571</w:t>
            </w:r>
          </w:p>
        </w:tc>
        <w:tc>
          <w:tcPr>
            <w:tcW w:w="1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4,094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44,953</w:t>
            </w:r>
          </w:p>
        </w:tc>
      </w:tr>
      <w:tr>
        <w:trPr>
          <w:trHeight w:val="117"/>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Standardised measure of discounted future net cash flows</w:t>
            </w:r>
          </w:p>
        </w:tc>
        <w:tc>
          <w:tcPr>
            <w:tcW w:w="7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4,695</w:t>
            </w: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21,983</w:t>
            </w: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color w:val="auto"/>
              </w:rPr>
              <w:t>19,739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3,888</w:t>
            </w:r>
          </w:p>
        </w:tc>
        <w:tc>
          <w:tcPr>
            <w:tcW w:w="16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10,312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2,384</w:t>
            </w:r>
          </w:p>
        </w:tc>
        <w:tc>
          <w:tcPr>
            <w:tcW w:w="1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9,853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72,854</w:t>
            </w:r>
          </w:p>
        </w:tc>
      </w:tr>
      <w:tr>
        <w:trPr>
          <w:trHeight w:val="115"/>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Non-controlling interest included</w:t>
            </w:r>
          </w:p>
        </w:tc>
        <w:tc>
          <w:tcPr>
            <w:tcW w:w="7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6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1,371</w:t>
            </w:r>
          </w:p>
        </w:tc>
        <w:tc>
          <w:tcPr>
            <w:tcW w:w="1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1,371</w:t>
            </w:r>
          </w:p>
        </w:tc>
      </w:tr>
      <w:tr>
        <w:trPr>
          <w:trHeight w:val="488"/>
        </w:trPr>
        <w:tc>
          <w:tcPr>
            <w:tcW w:w="318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jc w:val="right"/>
              <w:ind w:right="473"/>
              <w:spacing w:after="0"/>
              <w:rPr>
                <w:sz w:val="20"/>
                <w:szCs w:val="20"/>
                <w:color w:val="auto"/>
              </w:rPr>
            </w:pPr>
            <w:r>
              <w:rPr>
                <w:rFonts w:ascii="Arial" w:cs="Arial" w:eastAsia="Arial" w:hAnsi="Arial"/>
                <w:sz w:val="7"/>
                <w:szCs w:val="7"/>
                <w:color w:val="auto"/>
              </w:rPr>
              <w:t>220</w:t>
            </w: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42"/>
        </w:trPr>
        <w:tc>
          <w:tcPr>
            <w:tcW w:w="31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44"/>
        </w:trPr>
        <w:tc>
          <w:tcPr>
            <w:tcW w:w="3060" w:type="dxa"/>
            <w:vAlign w:val="bottom"/>
            <w:shd w:val="clear" w:color="auto" w:fill="CDCDCD"/>
          </w:tcPr>
          <w:p>
            <w:pPr>
              <w:spacing w:after="0"/>
              <w:rPr>
                <w:sz w:val="12"/>
                <w:szCs w:val="12"/>
                <w:color w:val="auto"/>
              </w:rPr>
            </w:pPr>
          </w:p>
        </w:tc>
        <w:tc>
          <w:tcPr>
            <w:tcW w:w="1260" w:type="dxa"/>
            <w:vAlign w:val="bottom"/>
            <w:shd w:val="clear" w:color="auto" w:fill="CDCDCD"/>
          </w:tcPr>
          <w:p>
            <w:pPr>
              <w:spacing w:after="0"/>
              <w:rPr>
                <w:sz w:val="12"/>
                <w:szCs w:val="12"/>
                <w:color w:val="auto"/>
              </w:rPr>
            </w:pPr>
          </w:p>
        </w:tc>
        <w:tc>
          <w:tcPr>
            <w:tcW w:w="620" w:type="dxa"/>
            <w:vAlign w:val="bottom"/>
            <w:shd w:val="clear" w:color="auto" w:fill="CDCDCD"/>
          </w:tcPr>
          <w:p>
            <w:pPr>
              <w:spacing w:after="0"/>
              <w:rPr>
                <w:sz w:val="12"/>
                <w:szCs w:val="12"/>
                <w:color w:val="auto"/>
              </w:rPr>
            </w:pPr>
          </w:p>
        </w:tc>
        <w:tc>
          <w:tcPr>
            <w:tcW w:w="920" w:type="dxa"/>
            <w:vAlign w:val="bottom"/>
            <w:shd w:val="clear" w:color="auto" w:fill="CDCDCD"/>
          </w:tcPr>
          <w:p>
            <w:pPr>
              <w:spacing w:after="0"/>
              <w:rPr>
                <w:sz w:val="12"/>
                <w:szCs w:val="12"/>
                <w:color w:val="auto"/>
              </w:rPr>
            </w:pPr>
          </w:p>
        </w:tc>
        <w:tc>
          <w:tcPr>
            <w:tcW w:w="980" w:type="dxa"/>
            <w:vAlign w:val="bottom"/>
            <w:shd w:val="clear" w:color="auto" w:fill="CDCDCD"/>
          </w:tcPr>
          <w:p>
            <w:pPr>
              <w:spacing w:after="0"/>
              <w:rPr>
                <w:sz w:val="12"/>
                <w:szCs w:val="12"/>
                <w:color w:val="auto"/>
              </w:rPr>
            </w:pPr>
          </w:p>
        </w:tc>
        <w:tc>
          <w:tcPr>
            <w:tcW w:w="600" w:type="dxa"/>
            <w:vAlign w:val="bottom"/>
            <w:shd w:val="clear" w:color="auto" w:fill="CDCDCD"/>
          </w:tcPr>
          <w:p>
            <w:pPr>
              <w:spacing w:after="0"/>
              <w:rPr>
                <w:sz w:val="12"/>
                <w:szCs w:val="12"/>
                <w:color w:val="auto"/>
              </w:rPr>
            </w:pPr>
          </w:p>
        </w:tc>
        <w:tc>
          <w:tcPr>
            <w:tcW w:w="1400" w:type="dxa"/>
            <w:vAlign w:val="bottom"/>
            <w:shd w:val="clear" w:color="auto" w:fill="CDCDCD"/>
          </w:tcPr>
          <w:p>
            <w:pPr>
              <w:spacing w:after="0"/>
              <w:rPr>
                <w:sz w:val="12"/>
                <w:szCs w:val="12"/>
                <w:color w:val="auto"/>
              </w:rPr>
            </w:pPr>
          </w:p>
        </w:tc>
        <w:tc>
          <w:tcPr>
            <w:tcW w:w="480" w:type="dxa"/>
            <w:vAlign w:val="bottom"/>
            <w:shd w:val="clear" w:color="auto" w:fill="CDCDCD"/>
          </w:tcPr>
          <w:p>
            <w:pPr>
              <w:spacing w:after="0"/>
              <w:rPr>
                <w:sz w:val="12"/>
                <w:szCs w:val="12"/>
                <w:color w:val="auto"/>
              </w:rPr>
            </w:pPr>
          </w:p>
        </w:tc>
        <w:tc>
          <w:tcPr>
            <w:tcW w:w="1220" w:type="dxa"/>
            <w:vAlign w:val="bottom"/>
            <w:shd w:val="clear" w:color="auto" w:fill="CDCDCD"/>
          </w:tcPr>
          <w:p>
            <w:pPr>
              <w:spacing w:after="0"/>
              <w:rPr>
                <w:sz w:val="12"/>
                <w:szCs w:val="12"/>
                <w:color w:val="auto"/>
              </w:rPr>
            </w:pPr>
          </w:p>
        </w:tc>
        <w:tc>
          <w:tcPr>
            <w:tcW w:w="680" w:type="dxa"/>
            <w:vAlign w:val="bottom"/>
            <w:shd w:val="clear" w:color="auto" w:fill="CDCDCD"/>
          </w:tcPr>
          <w:p>
            <w:pPr>
              <w:spacing w:after="0"/>
              <w:rPr>
                <w:sz w:val="12"/>
                <w:szCs w:val="12"/>
                <w:color w:val="auto"/>
              </w:rPr>
            </w:pPr>
          </w:p>
        </w:tc>
      </w:tr>
      <w:tr>
        <w:trPr>
          <w:trHeight w:val="121"/>
        </w:trPr>
        <w:tc>
          <w:tcPr>
            <w:tcW w:w="3060" w:type="dxa"/>
            <w:vAlign w:val="bottom"/>
          </w:tcPr>
          <w:p>
            <w:pPr>
              <w:spacing w:after="0"/>
              <w:rPr>
                <w:sz w:val="20"/>
                <w:szCs w:val="20"/>
                <w:color w:val="auto"/>
              </w:rPr>
            </w:pPr>
            <w:r>
              <w:rPr>
                <w:rFonts w:ascii="Arial" w:cs="Arial" w:eastAsia="Arial" w:hAnsi="Arial"/>
                <w:sz w:val="10"/>
                <w:szCs w:val="10"/>
                <w:color w:val="auto"/>
              </w:rPr>
              <w:t>2019 - Shell share of joint ventures and associates</w:t>
            </w:r>
          </w:p>
        </w:tc>
        <w:tc>
          <w:tcPr>
            <w:tcW w:w="1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 million</w:t>
            </w:r>
          </w:p>
        </w:tc>
      </w:tr>
      <w:tr>
        <w:trPr>
          <w:trHeight w:val="325"/>
        </w:trPr>
        <w:tc>
          <w:tcPr>
            <w:tcW w:w="3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tcBorders>
              <w:bottom w:val="single" w:sz="8" w:color="auto"/>
            </w:tcBorders>
          </w:tcPr>
          <w:p>
            <w:pPr>
              <w:ind w:left="660"/>
              <w:spacing w:after="0"/>
              <w:rPr>
                <w:sz w:val="20"/>
                <w:szCs w:val="20"/>
                <w:color w:val="auto"/>
              </w:rPr>
            </w:pPr>
            <w:r>
              <w:rPr>
                <w:rFonts w:ascii="Arial" w:cs="Arial" w:eastAsia="Arial" w:hAnsi="Arial"/>
                <w:sz w:val="10"/>
                <w:szCs w:val="10"/>
                <w:color w:val="auto"/>
              </w:rPr>
              <w:t>North America</w:t>
            </w:r>
          </w:p>
        </w:tc>
        <w:tc>
          <w:tcPr>
            <w:tcW w:w="48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30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Europe</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Asia</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Oceania</w:t>
            </w: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0"/>
                <w:szCs w:val="10"/>
                <w:color w:val="auto"/>
                <w:w w:val="93"/>
              </w:rPr>
              <w:t>Africa</w:t>
            </w:r>
          </w:p>
        </w:tc>
        <w:tc>
          <w:tcPr>
            <w:tcW w:w="1400" w:type="dxa"/>
            <w:vAlign w:val="bottom"/>
            <w:tcBorders>
              <w:bottom w:val="single" w:sz="8" w:color="auto"/>
            </w:tcBorders>
          </w:tcPr>
          <w:p>
            <w:pPr>
              <w:ind w:left="740"/>
              <w:spacing w:after="0"/>
              <w:rPr>
                <w:sz w:val="20"/>
                <w:szCs w:val="20"/>
                <w:color w:val="auto"/>
              </w:rPr>
            </w:pPr>
            <w:r>
              <w:rPr>
                <w:rFonts w:ascii="Arial" w:cs="Arial" w:eastAsia="Arial" w:hAnsi="Arial"/>
                <w:sz w:val="10"/>
                <w:szCs w:val="10"/>
                <w:color w:val="auto"/>
              </w:rPr>
              <w:t>USA</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0"/>
                <w:szCs w:val="10"/>
                <w:color w:val="auto"/>
                <w:w w:val="79"/>
              </w:rPr>
              <w:t>Canada</w:t>
            </w: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0"/>
                <w:szCs w:val="10"/>
                <w:color w:val="auto"/>
              </w:rPr>
              <w:t>South America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r>
      <w:tr>
        <w:trPr>
          <w:trHeight w:val="114"/>
        </w:trPr>
        <w:tc>
          <w:tcPr>
            <w:tcW w:w="3060" w:type="dxa"/>
            <w:vAlign w:val="bottom"/>
          </w:tcPr>
          <w:p>
            <w:pPr>
              <w:spacing w:after="0"/>
              <w:rPr>
                <w:sz w:val="20"/>
                <w:szCs w:val="20"/>
                <w:color w:val="auto"/>
              </w:rPr>
            </w:pPr>
            <w:r>
              <w:rPr>
                <w:rFonts w:ascii="Arial" w:cs="Arial" w:eastAsia="Arial" w:hAnsi="Arial"/>
                <w:sz w:val="10"/>
                <w:szCs w:val="10"/>
                <w:color w:val="auto"/>
              </w:rPr>
              <w:t>Future cash inflows</w:t>
            </w:r>
          </w:p>
        </w:tc>
        <w:tc>
          <w:tcPr>
            <w:tcW w:w="1260" w:type="dxa"/>
            <w:vAlign w:val="bottom"/>
          </w:tcPr>
          <w:p>
            <w:pPr>
              <w:jc w:val="right"/>
              <w:ind w:right="132"/>
              <w:spacing w:after="0"/>
              <w:rPr>
                <w:sz w:val="20"/>
                <w:szCs w:val="20"/>
                <w:color w:val="auto"/>
              </w:rPr>
            </w:pPr>
            <w:r>
              <w:rPr>
                <w:rFonts w:ascii="Arial" w:cs="Arial" w:eastAsia="Arial" w:hAnsi="Arial"/>
                <w:sz w:val="10"/>
                <w:szCs w:val="10"/>
                <w:color w:val="auto"/>
              </w:rPr>
              <w:t>3,615</w:t>
            </w:r>
          </w:p>
        </w:tc>
        <w:tc>
          <w:tcPr>
            <w:tcW w:w="620" w:type="dxa"/>
            <w:vAlign w:val="bottom"/>
          </w:tcPr>
          <w:p>
            <w:pPr>
              <w:spacing w:after="0"/>
              <w:rPr>
                <w:sz w:val="9"/>
                <w:szCs w:val="9"/>
                <w:color w:val="auto"/>
              </w:rPr>
            </w:pPr>
          </w:p>
        </w:tc>
        <w:tc>
          <w:tcPr>
            <w:tcW w:w="920" w:type="dxa"/>
            <w:vAlign w:val="bottom"/>
          </w:tcPr>
          <w:p>
            <w:pPr>
              <w:jc w:val="right"/>
              <w:ind w:right="292"/>
              <w:spacing w:after="0"/>
              <w:rPr>
                <w:sz w:val="20"/>
                <w:szCs w:val="20"/>
                <w:color w:val="auto"/>
              </w:rPr>
            </w:pPr>
            <w:r>
              <w:rPr>
                <w:rFonts w:ascii="Arial" w:cs="Arial" w:eastAsia="Arial" w:hAnsi="Arial"/>
                <w:sz w:val="10"/>
                <w:szCs w:val="10"/>
                <w:color w:val="auto"/>
              </w:rPr>
              <w:t>38,099</w:t>
            </w: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122</w:t>
            </w:r>
          </w:p>
        </w:tc>
        <w:tc>
          <w:tcPr>
            <w:tcW w:w="600" w:type="dxa"/>
            <w:vAlign w:val="bottom"/>
          </w:tcPr>
          <w:p>
            <w:pPr>
              <w:ind w:left="460"/>
              <w:spacing w:after="0"/>
              <w:rPr>
                <w:sz w:val="20"/>
                <w:szCs w:val="20"/>
                <w:color w:val="auto"/>
              </w:rPr>
            </w:pPr>
            <w:r>
              <w:rPr>
                <w:rFonts w:ascii="Arial" w:cs="Arial" w:eastAsia="Arial" w:hAnsi="Arial"/>
                <w:sz w:val="10"/>
                <w:szCs w:val="10"/>
                <w:color w:val="auto"/>
              </w:rPr>
              <w:t>—</w:t>
            </w:r>
          </w:p>
        </w:tc>
        <w:tc>
          <w:tcPr>
            <w:tcW w:w="1400" w:type="dxa"/>
            <w:vAlign w:val="bottom"/>
          </w:tcPr>
          <w:p>
            <w:pPr>
              <w:ind w:left="800"/>
              <w:spacing w:after="0"/>
              <w:rPr>
                <w:sz w:val="20"/>
                <w:szCs w:val="20"/>
                <w:color w:val="auto"/>
              </w:rPr>
            </w:pPr>
            <w:r>
              <w:rPr>
                <w:rFonts w:ascii="Arial" w:cs="Arial" w:eastAsia="Arial" w:hAnsi="Arial"/>
                <w:sz w:val="10"/>
                <w:szCs w:val="10"/>
                <w:color w:val="auto"/>
              </w:rPr>
              <w:t>—</w:t>
            </w:r>
          </w:p>
        </w:tc>
        <w:tc>
          <w:tcPr>
            <w:tcW w:w="480" w:type="dxa"/>
            <w:vAlign w:val="bottom"/>
          </w:tcPr>
          <w:p>
            <w:pPr>
              <w:ind w:left="340"/>
              <w:spacing w:after="0"/>
              <w:rPr>
                <w:sz w:val="20"/>
                <w:szCs w:val="20"/>
                <w:color w:val="auto"/>
              </w:rPr>
            </w:pPr>
            <w:r>
              <w:rPr>
                <w:rFonts w:ascii="Arial" w:cs="Arial" w:eastAsia="Arial" w:hAnsi="Arial"/>
                <w:sz w:val="10"/>
                <w:szCs w:val="10"/>
                <w:color w:val="auto"/>
              </w:rPr>
              <w:t>—</w:t>
            </w:r>
          </w:p>
        </w:tc>
        <w:tc>
          <w:tcPr>
            <w:tcW w:w="1220" w:type="dxa"/>
            <w:vAlign w:val="bottom"/>
          </w:tcPr>
          <w:p>
            <w:pPr>
              <w:ind w:left="820"/>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41,836</w:t>
            </w:r>
          </w:p>
        </w:tc>
      </w:tr>
      <w:tr>
        <w:trPr>
          <w:trHeight w:val="123"/>
        </w:trPr>
        <w:tc>
          <w:tcPr>
            <w:tcW w:w="3060" w:type="dxa"/>
            <w:vAlign w:val="bottom"/>
          </w:tcPr>
          <w:p>
            <w:pPr>
              <w:spacing w:after="0"/>
              <w:rPr>
                <w:sz w:val="20"/>
                <w:szCs w:val="20"/>
                <w:color w:val="auto"/>
              </w:rPr>
            </w:pPr>
            <w:r>
              <w:rPr>
                <w:rFonts w:ascii="Arial" w:cs="Arial" w:eastAsia="Arial" w:hAnsi="Arial"/>
                <w:sz w:val="10"/>
                <w:szCs w:val="10"/>
                <w:color w:val="auto"/>
              </w:rPr>
              <w:t>Future production costs</w:t>
            </w:r>
          </w:p>
        </w:tc>
        <w:tc>
          <w:tcPr>
            <w:tcW w:w="1260" w:type="dxa"/>
            <w:vAlign w:val="bottom"/>
          </w:tcPr>
          <w:p>
            <w:pPr>
              <w:jc w:val="right"/>
              <w:ind w:right="132"/>
              <w:spacing w:after="0"/>
              <w:rPr>
                <w:sz w:val="20"/>
                <w:szCs w:val="20"/>
                <w:color w:val="auto"/>
              </w:rPr>
            </w:pPr>
            <w:r>
              <w:rPr>
                <w:rFonts w:ascii="Arial" w:cs="Arial" w:eastAsia="Arial" w:hAnsi="Arial"/>
                <w:sz w:val="10"/>
                <w:szCs w:val="10"/>
                <w:color w:val="auto"/>
              </w:rPr>
              <w:t>2,810</w:t>
            </w:r>
          </w:p>
        </w:tc>
        <w:tc>
          <w:tcPr>
            <w:tcW w:w="620" w:type="dxa"/>
            <w:vAlign w:val="bottom"/>
          </w:tcPr>
          <w:p>
            <w:pPr>
              <w:spacing w:after="0"/>
              <w:rPr>
                <w:sz w:val="10"/>
                <w:szCs w:val="10"/>
                <w:color w:val="auto"/>
              </w:rPr>
            </w:pPr>
          </w:p>
        </w:tc>
        <w:tc>
          <w:tcPr>
            <w:tcW w:w="920" w:type="dxa"/>
            <w:vAlign w:val="bottom"/>
          </w:tcPr>
          <w:p>
            <w:pPr>
              <w:jc w:val="right"/>
              <w:ind w:right="292"/>
              <w:spacing w:after="0"/>
              <w:rPr>
                <w:sz w:val="20"/>
                <w:szCs w:val="20"/>
                <w:color w:val="auto"/>
              </w:rPr>
            </w:pPr>
            <w:r>
              <w:rPr>
                <w:rFonts w:ascii="Arial" w:cs="Arial" w:eastAsia="Arial" w:hAnsi="Arial"/>
                <w:sz w:val="10"/>
                <w:szCs w:val="10"/>
                <w:color w:val="auto"/>
              </w:rPr>
              <w:t>18,336</w:t>
            </w: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81</w:t>
            </w:r>
          </w:p>
        </w:tc>
        <w:tc>
          <w:tcPr>
            <w:tcW w:w="600" w:type="dxa"/>
            <w:vAlign w:val="bottom"/>
          </w:tcPr>
          <w:p>
            <w:pPr>
              <w:ind w:left="460"/>
              <w:spacing w:after="0"/>
              <w:rPr>
                <w:sz w:val="20"/>
                <w:szCs w:val="20"/>
                <w:color w:val="auto"/>
              </w:rPr>
            </w:pPr>
            <w:r>
              <w:rPr>
                <w:rFonts w:ascii="Arial" w:cs="Arial" w:eastAsia="Arial" w:hAnsi="Arial"/>
                <w:sz w:val="10"/>
                <w:szCs w:val="10"/>
                <w:color w:val="auto"/>
              </w:rPr>
              <w:t>—</w:t>
            </w:r>
          </w:p>
        </w:tc>
        <w:tc>
          <w:tcPr>
            <w:tcW w:w="1400" w:type="dxa"/>
            <w:vAlign w:val="bottom"/>
          </w:tcPr>
          <w:p>
            <w:pPr>
              <w:ind w:left="800"/>
              <w:spacing w:after="0"/>
              <w:rPr>
                <w:sz w:val="20"/>
                <w:szCs w:val="20"/>
                <w:color w:val="auto"/>
              </w:rPr>
            </w:pPr>
            <w:r>
              <w:rPr>
                <w:rFonts w:ascii="Arial" w:cs="Arial" w:eastAsia="Arial" w:hAnsi="Arial"/>
                <w:sz w:val="10"/>
                <w:szCs w:val="10"/>
                <w:color w:val="auto"/>
              </w:rPr>
              <w:t>—</w:t>
            </w:r>
          </w:p>
        </w:tc>
        <w:tc>
          <w:tcPr>
            <w:tcW w:w="480" w:type="dxa"/>
            <w:vAlign w:val="bottom"/>
          </w:tcPr>
          <w:p>
            <w:pPr>
              <w:ind w:left="340"/>
              <w:spacing w:after="0"/>
              <w:rPr>
                <w:sz w:val="20"/>
                <w:szCs w:val="20"/>
                <w:color w:val="auto"/>
              </w:rPr>
            </w:pPr>
            <w:r>
              <w:rPr>
                <w:rFonts w:ascii="Arial" w:cs="Arial" w:eastAsia="Arial" w:hAnsi="Arial"/>
                <w:sz w:val="10"/>
                <w:szCs w:val="10"/>
                <w:color w:val="auto"/>
              </w:rPr>
              <w:t>—</w:t>
            </w:r>
          </w:p>
        </w:tc>
        <w:tc>
          <w:tcPr>
            <w:tcW w:w="1220" w:type="dxa"/>
            <w:vAlign w:val="bottom"/>
          </w:tcPr>
          <w:p>
            <w:pPr>
              <w:ind w:left="820"/>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21,227</w:t>
            </w:r>
          </w:p>
        </w:tc>
      </w:tr>
      <w:tr>
        <w:trPr>
          <w:trHeight w:val="126"/>
        </w:trPr>
        <w:tc>
          <w:tcPr>
            <w:tcW w:w="3060" w:type="dxa"/>
            <w:vAlign w:val="bottom"/>
          </w:tcPr>
          <w:p>
            <w:pPr>
              <w:spacing w:after="0"/>
              <w:rPr>
                <w:sz w:val="20"/>
                <w:szCs w:val="20"/>
                <w:color w:val="auto"/>
              </w:rPr>
            </w:pPr>
            <w:r>
              <w:rPr>
                <w:rFonts w:ascii="Arial" w:cs="Arial" w:eastAsia="Arial" w:hAnsi="Arial"/>
                <w:sz w:val="10"/>
                <w:szCs w:val="10"/>
                <w:color w:val="auto"/>
              </w:rPr>
              <w:t>Future development costs</w:t>
            </w:r>
          </w:p>
        </w:tc>
        <w:tc>
          <w:tcPr>
            <w:tcW w:w="1260" w:type="dxa"/>
            <w:vAlign w:val="bottom"/>
          </w:tcPr>
          <w:p>
            <w:pPr>
              <w:jc w:val="right"/>
              <w:ind w:right="132"/>
              <w:spacing w:after="0"/>
              <w:rPr>
                <w:sz w:val="20"/>
                <w:szCs w:val="20"/>
                <w:color w:val="auto"/>
              </w:rPr>
            </w:pPr>
            <w:r>
              <w:rPr>
                <w:rFonts w:ascii="Arial" w:cs="Arial" w:eastAsia="Arial" w:hAnsi="Arial"/>
                <w:sz w:val="10"/>
                <w:szCs w:val="10"/>
                <w:color w:val="auto"/>
              </w:rPr>
              <w:t>935</w:t>
            </w:r>
          </w:p>
        </w:tc>
        <w:tc>
          <w:tcPr>
            <w:tcW w:w="620" w:type="dxa"/>
            <w:vAlign w:val="bottom"/>
          </w:tcPr>
          <w:p>
            <w:pPr>
              <w:spacing w:after="0"/>
              <w:rPr>
                <w:sz w:val="10"/>
                <w:szCs w:val="10"/>
                <w:color w:val="auto"/>
              </w:rPr>
            </w:pPr>
          </w:p>
        </w:tc>
        <w:tc>
          <w:tcPr>
            <w:tcW w:w="920" w:type="dxa"/>
            <w:vAlign w:val="bottom"/>
          </w:tcPr>
          <w:p>
            <w:pPr>
              <w:jc w:val="right"/>
              <w:ind w:right="292"/>
              <w:spacing w:after="0"/>
              <w:rPr>
                <w:sz w:val="20"/>
                <w:szCs w:val="20"/>
                <w:color w:val="auto"/>
              </w:rPr>
            </w:pPr>
            <w:r>
              <w:rPr>
                <w:rFonts w:ascii="Arial" w:cs="Arial" w:eastAsia="Arial" w:hAnsi="Arial"/>
                <w:sz w:val="10"/>
                <w:szCs w:val="10"/>
                <w:color w:val="auto"/>
              </w:rPr>
              <w:t>6,946</w:t>
            </w: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36</w:t>
            </w:r>
          </w:p>
        </w:tc>
        <w:tc>
          <w:tcPr>
            <w:tcW w:w="600" w:type="dxa"/>
            <w:vAlign w:val="bottom"/>
          </w:tcPr>
          <w:p>
            <w:pPr>
              <w:ind w:left="460"/>
              <w:spacing w:after="0"/>
              <w:rPr>
                <w:sz w:val="20"/>
                <w:szCs w:val="20"/>
                <w:color w:val="auto"/>
              </w:rPr>
            </w:pPr>
            <w:r>
              <w:rPr>
                <w:rFonts w:ascii="Arial" w:cs="Arial" w:eastAsia="Arial" w:hAnsi="Arial"/>
                <w:sz w:val="10"/>
                <w:szCs w:val="10"/>
                <w:color w:val="auto"/>
              </w:rPr>
              <w:t>—</w:t>
            </w:r>
          </w:p>
        </w:tc>
        <w:tc>
          <w:tcPr>
            <w:tcW w:w="1400" w:type="dxa"/>
            <w:vAlign w:val="bottom"/>
          </w:tcPr>
          <w:p>
            <w:pPr>
              <w:ind w:left="800"/>
              <w:spacing w:after="0"/>
              <w:rPr>
                <w:sz w:val="20"/>
                <w:szCs w:val="20"/>
                <w:color w:val="auto"/>
              </w:rPr>
            </w:pPr>
            <w:r>
              <w:rPr>
                <w:rFonts w:ascii="Arial" w:cs="Arial" w:eastAsia="Arial" w:hAnsi="Arial"/>
                <w:sz w:val="10"/>
                <w:szCs w:val="10"/>
                <w:color w:val="auto"/>
              </w:rPr>
              <w:t>—</w:t>
            </w:r>
          </w:p>
        </w:tc>
        <w:tc>
          <w:tcPr>
            <w:tcW w:w="480" w:type="dxa"/>
            <w:vAlign w:val="bottom"/>
          </w:tcPr>
          <w:p>
            <w:pPr>
              <w:ind w:left="340"/>
              <w:spacing w:after="0"/>
              <w:rPr>
                <w:sz w:val="20"/>
                <w:szCs w:val="20"/>
                <w:color w:val="auto"/>
              </w:rPr>
            </w:pPr>
            <w:r>
              <w:rPr>
                <w:rFonts w:ascii="Arial" w:cs="Arial" w:eastAsia="Arial" w:hAnsi="Arial"/>
                <w:sz w:val="10"/>
                <w:szCs w:val="10"/>
                <w:color w:val="auto"/>
              </w:rPr>
              <w:t>—</w:t>
            </w:r>
          </w:p>
        </w:tc>
        <w:tc>
          <w:tcPr>
            <w:tcW w:w="1220" w:type="dxa"/>
            <w:vAlign w:val="bottom"/>
          </w:tcPr>
          <w:p>
            <w:pPr>
              <w:ind w:left="820"/>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7,917</w:t>
            </w:r>
          </w:p>
        </w:tc>
      </w:tr>
      <w:tr>
        <w:trPr>
          <w:trHeight w:val="130"/>
        </w:trPr>
        <w:tc>
          <w:tcPr>
            <w:tcW w:w="3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Future tax expenses</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718</w:t>
            </w:r>
          </w:p>
        </w:tc>
        <w:tc>
          <w:tcPr>
            <w:tcW w:w="6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6,160</w:t>
            </w: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4</w:t>
            </w:r>
          </w:p>
        </w:tc>
        <w:tc>
          <w:tcPr>
            <w:tcW w:w="600" w:type="dxa"/>
            <w:vAlign w:val="bottom"/>
            <w:tcBorders>
              <w:bottom w:val="single" w:sz="8" w:color="auto"/>
            </w:tcBorders>
          </w:tcPr>
          <w:p>
            <w:pPr>
              <w:ind w:left="460"/>
              <w:spacing w:after="0"/>
              <w:rPr>
                <w:sz w:val="20"/>
                <w:szCs w:val="20"/>
                <w:color w:val="auto"/>
              </w:rPr>
            </w:pPr>
            <w:r>
              <w:rPr>
                <w:rFonts w:ascii="Arial" w:cs="Arial" w:eastAsia="Arial" w:hAnsi="Arial"/>
                <w:sz w:val="10"/>
                <w:szCs w:val="10"/>
                <w:color w:val="auto"/>
              </w:rPr>
              <w:t>—</w:t>
            </w:r>
          </w:p>
        </w:tc>
        <w:tc>
          <w:tcPr>
            <w:tcW w:w="1400" w:type="dxa"/>
            <w:vAlign w:val="bottom"/>
            <w:tcBorders>
              <w:bottom w:val="single" w:sz="8" w:color="auto"/>
            </w:tcBorders>
          </w:tcPr>
          <w:p>
            <w:pPr>
              <w:ind w:left="80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ind w:left="8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6,882</w:t>
            </w:r>
          </w:p>
        </w:tc>
      </w:tr>
      <w:tr>
        <w:trPr>
          <w:trHeight w:val="114"/>
        </w:trPr>
        <w:tc>
          <w:tcPr>
            <w:tcW w:w="3060" w:type="dxa"/>
            <w:vAlign w:val="bottom"/>
          </w:tcPr>
          <w:p>
            <w:pPr>
              <w:spacing w:after="0"/>
              <w:rPr>
                <w:sz w:val="20"/>
                <w:szCs w:val="20"/>
                <w:color w:val="auto"/>
              </w:rPr>
            </w:pPr>
            <w:r>
              <w:rPr>
                <w:rFonts w:ascii="Arial" w:cs="Arial" w:eastAsia="Arial" w:hAnsi="Arial"/>
                <w:sz w:val="10"/>
                <w:szCs w:val="10"/>
                <w:color w:val="auto"/>
              </w:rPr>
              <w:t>Future net cash flows</w:t>
            </w:r>
          </w:p>
        </w:tc>
        <w:tc>
          <w:tcPr>
            <w:tcW w:w="1260" w:type="dxa"/>
            <w:vAlign w:val="bottom"/>
          </w:tcPr>
          <w:p>
            <w:pPr>
              <w:jc w:val="right"/>
              <w:ind w:right="112"/>
              <w:spacing w:after="0"/>
              <w:rPr>
                <w:sz w:val="20"/>
                <w:szCs w:val="20"/>
                <w:color w:val="auto"/>
              </w:rPr>
            </w:pPr>
            <w:r>
              <w:rPr>
                <w:rFonts w:ascii="Arial" w:cs="Arial" w:eastAsia="Arial" w:hAnsi="Arial"/>
                <w:sz w:val="10"/>
                <w:szCs w:val="10"/>
                <w:color w:val="auto"/>
              </w:rPr>
              <w:t>(848)</w:t>
            </w:r>
          </w:p>
        </w:tc>
        <w:tc>
          <w:tcPr>
            <w:tcW w:w="620" w:type="dxa"/>
            <w:vAlign w:val="bottom"/>
          </w:tcPr>
          <w:p>
            <w:pPr>
              <w:spacing w:after="0"/>
              <w:rPr>
                <w:sz w:val="9"/>
                <w:szCs w:val="9"/>
                <w:color w:val="auto"/>
              </w:rPr>
            </w:pPr>
          </w:p>
        </w:tc>
        <w:tc>
          <w:tcPr>
            <w:tcW w:w="920" w:type="dxa"/>
            <w:vAlign w:val="bottom"/>
          </w:tcPr>
          <w:p>
            <w:pPr>
              <w:jc w:val="right"/>
              <w:ind w:right="292"/>
              <w:spacing w:after="0"/>
              <w:rPr>
                <w:sz w:val="20"/>
                <w:szCs w:val="20"/>
                <w:color w:val="auto"/>
              </w:rPr>
            </w:pPr>
            <w:r>
              <w:rPr>
                <w:rFonts w:ascii="Arial" w:cs="Arial" w:eastAsia="Arial" w:hAnsi="Arial"/>
                <w:sz w:val="10"/>
                <w:szCs w:val="10"/>
                <w:color w:val="auto"/>
              </w:rPr>
              <w:t>6,657</w:t>
            </w: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w:t>
            </w:r>
          </w:p>
        </w:tc>
        <w:tc>
          <w:tcPr>
            <w:tcW w:w="600" w:type="dxa"/>
            <w:vAlign w:val="bottom"/>
          </w:tcPr>
          <w:p>
            <w:pPr>
              <w:ind w:left="460"/>
              <w:spacing w:after="0"/>
              <w:rPr>
                <w:sz w:val="20"/>
                <w:szCs w:val="20"/>
                <w:color w:val="auto"/>
              </w:rPr>
            </w:pPr>
            <w:r>
              <w:rPr>
                <w:rFonts w:ascii="Arial" w:cs="Arial" w:eastAsia="Arial" w:hAnsi="Arial"/>
                <w:sz w:val="10"/>
                <w:szCs w:val="10"/>
                <w:color w:val="auto"/>
              </w:rPr>
              <w:t>—</w:t>
            </w:r>
          </w:p>
        </w:tc>
        <w:tc>
          <w:tcPr>
            <w:tcW w:w="1400" w:type="dxa"/>
            <w:vAlign w:val="bottom"/>
          </w:tcPr>
          <w:p>
            <w:pPr>
              <w:ind w:left="800"/>
              <w:spacing w:after="0"/>
              <w:rPr>
                <w:sz w:val="20"/>
                <w:szCs w:val="20"/>
                <w:color w:val="auto"/>
              </w:rPr>
            </w:pPr>
            <w:r>
              <w:rPr>
                <w:rFonts w:ascii="Arial" w:cs="Arial" w:eastAsia="Arial" w:hAnsi="Arial"/>
                <w:sz w:val="10"/>
                <w:szCs w:val="10"/>
                <w:color w:val="auto"/>
              </w:rPr>
              <w:t>—</w:t>
            </w:r>
          </w:p>
        </w:tc>
        <w:tc>
          <w:tcPr>
            <w:tcW w:w="480" w:type="dxa"/>
            <w:vAlign w:val="bottom"/>
          </w:tcPr>
          <w:p>
            <w:pPr>
              <w:ind w:left="340"/>
              <w:spacing w:after="0"/>
              <w:rPr>
                <w:sz w:val="20"/>
                <w:szCs w:val="20"/>
                <w:color w:val="auto"/>
              </w:rPr>
            </w:pPr>
            <w:r>
              <w:rPr>
                <w:rFonts w:ascii="Arial" w:cs="Arial" w:eastAsia="Arial" w:hAnsi="Arial"/>
                <w:sz w:val="10"/>
                <w:szCs w:val="10"/>
                <w:color w:val="auto"/>
              </w:rPr>
              <w:t>—</w:t>
            </w:r>
          </w:p>
        </w:tc>
        <w:tc>
          <w:tcPr>
            <w:tcW w:w="1220" w:type="dxa"/>
            <w:vAlign w:val="bottom"/>
          </w:tcPr>
          <w:p>
            <w:pPr>
              <w:ind w:left="820"/>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5,812</w:t>
            </w:r>
          </w:p>
        </w:tc>
      </w:tr>
      <w:tr>
        <w:trPr>
          <w:trHeight w:val="127"/>
        </w:trPr>
        <w:tc>
          <w:tcPr>
            <w:tcW w:w="3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Effect of discounting cash flows at 10%</w:t>
            </w: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(266)</w:t>
            </w:r>
          </w:p>
        </w:tc>
        <w:tc>
          <w:tcPr>
            <w:tcW w:w="6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1,190</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(7)</w:t>
            </w:r>
          </w:p>
        </w:tc>
        <w:tc>
          <w:tcPr>
            <w:tcW w:w="600" w:type="dxa"/>
            <w:vAlign w:val="bottom"/>
            <w:tcBorders>
              <w:bottom w:val="single" w:sz="8" w:color="auto"/>
            </w:tcBorders>
          </w:tcPr>
          <w:p>
            <w:pPr>
              <w:ind w:left="460"/>
              <w:spacing w:after="0"/>
              <w:rPr>
                <w:sz w:val="20"/>
                <w:szCs w:val="20"/>
                <w:color w:val="auto"/>
              </w:rPr>
            </w:pPr>
            <w:r>
              <w:rPr>
                <w:rFonts w:ascii="Arial" w:cs="Arial" w:eastAsia="Arial" w:hAnsi="Arial"/>
                <w:sz w:val="10"/>
                <w:szCs w:val="10"/>
                <w:color w:val="auto"/>
              </w:rPr>
              <w:t>—</w:t>
            </w:r>
          </w:p>
        </w:tc>
        <w:tc>
          <w:tcPr>
            <w:tcW w:w="1400" w:type="dxa"/>
            <w:vAlign w:val="bottom"/>
            <w:tcBorders>
              <w:bottom w:val="single" w:sz="8" w:color="auto"/>
            </w:tcBorders>
          </w:tcPr>
          <w:p>
            <w:pPr>
              <w:ind w:left="80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ind w:left="8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917</w:t>
            </w:r>
          </w:p>
        </w:tc>
      </w:tr>
      <w:tr>
        <w:trPr>
          <w:trHeight w:val="117"/>
        </w:trPr>
        <w:tc>
          <w:tcPr>
            <w:tcW w:w="3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Standardised measure of discounted future net cash flows</w:t>
            </w: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(582)</w:t>
            </w: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0"/>
                <w:szCs w:val="10"/>
                <w:color w:val="auto"/>
              </w:rPr>
              <w:t>[A]</w:t>
            </w: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5,467</w:t>
            </w: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8</w:t>
            </w:r>
          </w:p>
        </w:tc>
        <w:tc>
          <w:tcPr>
            <w:tcW w:w="600" w:type="dxa"/>
            <w:vAlign w:val="bottom"/>
            <w:tcBorders>
              <w:bottom w:val="single" w:sz="8" w:color="auto"/>
            </w:tcBorders>
          </w:tcPr>
          <w:p>
            <w:pPr>
              <w:ind w:left="460"/>
              <w:spacing w:after="0"/>
              <w:rPr>
                <w:sz w:val="20"/>
                <w:szCs w:val="20"/>
                <w:color w:val="auto"/>
              </w:rPr>
            </w:pPr>
            <w:r>
              <w:rPr>
                <w:rFonts w:ascii="Arial" w:cs="Arial" w:eastAsia="Arial" w:hAnsi="Arial"/>
                <w:sz w:val="10"/>
                <w:szCs w:val="10"/>
                <w:color w:val="auto"/>
              </w:rPr>
              <w:t>—</w:t>
            </w:r>
          </w:p>
        </w:tc>
        <w:tc>
          <w:tcPr>
            <w:tcW w:w="1400" w:type="dxa"/>
            <w:vAlign w:val="bottom"/>
            <w:tcBorders>
              <w:bottom w:val="single" w:sz="8" w:color="auto"/>
            </w:tcBorders>
          </w:tcPr>
          <w:p>
            <w:pPr>
              <w:ind w:left="80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ind w:left="8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4,893</w:t>
            </w:r>
          </w:p>
        </w:tc>
      </w:tr>
    </w:tbl>
    <w:p>
      <w:pPr>
        <w:spacing w:after="0" w:line="47" w:lineRule="exact"/>
        <w:rPr>
          <w:sz w:val="20"/>
          <w:szCs w:val="20"/>
          <w:color w:val="auto"/>
        </w:rPr>
      </w:pPr>
    </w:p>
    <w:p>
      <w:pPr>
        <w:spacing w:after="0"/>
        <w:rPr>
          <w:sz w:val="20"/>
          <w:szCs w:val="20"/>
          <w:color w:val="auto"/>
        </w:rPr>
      </w:pPr>
      <w:r>
        <w:rPr>
          <w:rFonts w:ascii="Arial" w:cs="Arial" w:eastAsia="Arial" w:hAnsi="Arial"/>
          <w:sz w:val="7"/>
          <w:szCs w:val="7"/>
          <w:color w:val="auto"/>
        </w:rPr>
        <w:t>[A] While proved reserves are economically producible at the 2019 yearly average price, the standardised measure of discounted future net cash flows was negative for those proved reserves at December 31, 2019, due to addition of overhead, tax and abandonment costs and ongoing commitments post production of proved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2286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660" w:type="dxa"/>
            <w:vAlign w:val="bottom"/>
          </w:tcPr>
          <w:p>
            <w:pPr>
              <w:spacing w:after="0"/>
              <w:rPr>
                <w:sz w:val="20"/>
                <w:szCs w:val="20"/>
                <w:color w:val="auto"/>
              </w:rPr>
            </w:pPr>
            <w:r>
              <w:rPr>
                <w:rFonts w:ascii="Arial" w:cs="Arial" w:eastAsia="Arial" w:hAnsi="Arial"/>
                <w:sz w:val="10"/>
                <w:szCs w:val="10"/>
                <w:color w:val="auto"/>
              </w:rPr>
              <w:t>2018 - Shell subsidiaries</w:t>
            </w:r>
          </w:p>
        </w:tc>
        <w:tc>
          <w:tcPr>
            <w:tcW w:w="1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 million</w:t>
            </w:r>
          </w:p>
        </w:tc>
      </w:tr>
      <w:tr>
        <w:trPr>
          <w:trHeight w:val="148"/>
        </w:trPr>
        <w:tc>
          <w:tcPr>
            <w:tcW w:w="2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North America</w:t>
            </w:r>
          </w:p>
        </w:tc>
        <w:tc>
          <w:tcPr>
            <w:tcW w:w="4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24"/>
        </w:trPr>
        <w:tc>
          <w:tcPr>
            <w:tcW w:w="26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Europe</w:t>
            </w: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Asia</w:t>
            </w: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0"/>
                <w:szCs w:val="10"/>
                <w:color w:val="auto"/>
              </w:rPr>
              <w:t>Oceania</w:t>
            </w:r>
          </w:p>
        </w:tc>
        <w:tc>
          <w:tcPr>
            <w:tcW w:w="940" w:type="dxa"/>
            <w:vAlign w:val="bottom"/>
            <w:tcBorders>
              <w:bottom w:val="single" w:sz="8" w:color="auto"/>
            </w:tcBorders>
            <w:gridSpan w:val="2"/>
          </w:tcPr>
          <w:p>
            <w:pPr>
              <w:ind w:left="460"/>
              <w:spacing w:after="0"/>
              <w:rPr>
                <w:sz w:val="20"/>
                <w:szCs w:val="20"/>
                <w:color w:val="auto"/>
              </w:rPr>
            </w:pPr>
            <w:r>
              <w:rPr>
                <w:rFonts w:ascii="Arial" w:cs="Arial" w:eastAsia="Arial" w:hAnsi="Arial"/>
                <w:sz w:val="10"/>
                <w:szCs w:val="10"/>
                <w:color w:val="auto"/>
              </w:rPr>
              <w:t>Africa</w:t>
            </w:r>
          </w:p>
        </w:tc>
        <w:tc>
          <w:tcPr>
            <w:tcW w:w="154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color w:val="auto"/>
              </w:rPr>
              <w:t>USA</w:t>
            </w:r>
          </w:p>
        </w:tc>
        <w:tc>
          <w:tcPr>
            <w:tcW w:w="68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color w:val="auto"/>
              </w:rPr>
              <w:t>Canada</w:t>
            </w:r>
          </w:p>
        </w:tc>
        <w:tc>
          <w:tcPr>
            <w:tcW w:w="134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w w:val="88"/>
              </w:rPr>
              <w:t>South America</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r>
      <w:tr>
        <w:trPr>
          <w:trHeight w:val="114"/>
        </w:trPr>
        <w:tc>
          <w:tcPr>
            <w:tcW w:w="2660" w:type="dxa"/>
            <w:vAlign w:val="bottom"/>
          </w:tcPr>
          <w:p>
            <w:pPr>
              <w:spacing w:after="0"/>
              <w:rPr>
                <w:sz w:val="20"/>
                <w:szCs w:val="20"/>
                <w:color w:val="auto"/>
              </w:rPr>
            </w:pPr>
            <w:r>
              <w:rPr>
                <w:rFonts w:ascii="Arial" w:cs="Arial" w:eastAsia="Arial" w:hAnsi="Arial"/>
                <w:sz w:val="10"/>
                <w:szCs w:val="10"/>
                <w:color w:val="auto"/>
              </w:rPr>
              <w:t>Future cash inflows</w:t>
            </w:r>
          </w:p>
        </w:tc>
        <w:tc>
          <w:tcPr>
            <w:tcW w:w="1200" w:type="dxa"/>
            <w:vAlign w:val="bottom"/>
          </w:tcPr>
          <w:p>
            <w:pPr>
              <w:jc w:val="right"/>
              <w:ind w:right="312"/>
              <w:spacing w:after="0"/>
              <w:rPr>
                <w:sz w:val="20"/>
                <w:szCs w:val="20"/>
                <w:color w:val="auto"/>
              </w:rPr>
            </w:pPr>
            <w:r>
              <w:rPr>
                <w:rFonts w:ascii="Arial" w:cs="Arial" w:eastAsia="Arial" w:hAnsi="Arial"/>
                <w:sz w:val="10"/>
                <w:szCs w:val="10"/>
                <w:color w:val="auto"/>
              </w:rPr>
              <w:t>50,392</w:t>
            </w:r>
          </w:p>
        </w:tc>
        <w:tc>
          <w:tcPr>
            <w:tcW w:w="1100" w:type="dxa"/>
            <w:vAlign w:val="bottom"/>
          </w:tcPr>
          <w:p>
            <w:pPr>
              <w:jc w:val="right"/>
              <w:ind w:right="292"/>
              <w:spacing w:after="0"/>
              <w:rPr>
                <w:sz w:val="20"/>
                <w:szCs w:val="20"/>
                <w:color w:val="auto"/>
              </w:rPr>
            </w:pPr>
            <w:r>
              <w:rPr>
                <w:rFonts w:ascii="Arial" w:cs="Arial" w:eastAsia="Arial" w:hAnsi="Arial"/>
                <w:sz w:val="10"/>
                <w:szCs w:val="10"/>
                <w:color w:val="auto"/>
              </w:rPr>
              <w:t>122,037</w:t>
            </w:r>
          </w:p>
        </w:tc>
        <w:tc>
          <w:tcPr>
            <w:tcW w:w="1200" w:type="dxa"/>
            <w:vAlign w:val="bottom"/>
          </w:tcPr>
          <w:p>
            <w:pPr>
              <w:jc w:val="right"/>
              <w:ind w:right="393"/>
              <w:spacing w:after="0"/>
              <w:rPr>
                <w:sz w:val="20"/>
                <w:szCs w:val="20"/>
                <w:color w:val="auto"/>
              </w:rPr>
            </w:pPr>
            <w:r>
              <w:rPr>
                <w:rFonts w:ascii="Arial" w:cs="Arial" w:eastAsia="Arial" w:hAnsi="Arial"/>
                <w:sz w:val="10"/>
                <w:szCs w:val="10"/>
                <w:color w:val="auto"/>
              </w:rPr>
              <w:t>72,355</w:t>
            </w:r>
          </w:p>
        </w:tc>
        <w:tc>
          <w:tcPr>
            <w:tcW w:w="700" w:type="dxa"/>
            <w:vAlign w:val="bottom"/>
          </w:tcPr>
          <w:p>
            <w:pPr>
              <w:jc w:val="right"/>
              <w:spacing w:after="0"/>
              <w:rPr>
                <w:sz w:val="20"/>
                <w:szCs w:val="20"/>
                <w:color w:val="auto"/>
              </w:rPr>
            </w:pPr>
            <w:r>
              <w:rPr>
                <w:rFonts w:ascii="Arial" w:cs="Arial" w:eastAsia="Arial" w:hAnsi="Arial"/>
                <w:sz w:val="10"/>
                <w:szCs w:val="10"/>
                <w:color w:val="auto"/>
              </w:rPr>
              <w:t>36,080</w:t>
            </w:r>
          </w:p>
        </w:tc>
        <w:tc>
          <w:tcPr>
            <w:tcW w:w="240" w:type="dxa"/>
            <w:vAlign w:val="bottom"/>
          </w:tcPr>
          <w:p>
            <w:pPr>
              <w:spacing w:after="0"/>
              <w:rPr>
                <w:sz w:val="9"/>
                <w:szCs w:val="9"/>
                <w:color w:val="auto"/>
              </w:rPr>
            </w:pPr>
          </w:p>
        </w:tc>
        <w:tc>
          <w:tcPr>
            <w:tcW w:w="1540" w:type="dxa"/>
            <w:vAlign w:val="bottom"/>
          </w:tcPr>
          <w:p>
            <w:pPr>
              <w:jc w:val="right"/>
              <w:ind w:right="652"/>
              <w:spacing w:after="0"/>
              <w:rPr>
                <w:sz w:val="20"/>
                <w:szCs w:val="20"/>
                <w:color w:val="auto"/>
              </w:rPr>
            </w:pPr>
            <w:r>
              <w:rPr>
                <w:rFonts w:ascii="Arial" w:cs="Arial" w:eastAsia="Arial" w:hAnsi="Arial"/>
                <w:sz w:val="10"/>
                <w:szCs w:val="10"/>
                <w:color w:val="auto"/>
              </w:rPr>
              <w:t>68,546</w:t>
            </w:r>
          </w:p>
        </w:tc>
        <w:tc>
          <w:tcPr>
            <w:tcW w:w="440" w:type="dxa"/>
            <w:vAlign w:val="bottom"/>
          </w:tcPr>
          <w:p>
            <w:pPr>
              <w:jc w:val="right"/>
              <w:spacing w:after="0"/>
              <w:rPr>
                <w:sz w:val="20"/>
                <w:szCs w:val="20"/>
                <w:color w:val="auto"/>
              </w:rPr>
            </w:pPr>
            <w:r>
              <w:rPr>
                <w:rFonts w:ascii="Arial" w:cs="Arial" w:eastAsia="Arial" w:hAnsi="Arial"/>
                <w:sz w:val="10"/>
                <w:szCs w:val="10"/>
                <w:color w:val="auto"/>
              </w:rPr>
              <w:t>34,719</w:t>
            </w:r>
          </w:p>
        </w:tc>
        <w:tc>
          <w:tcPr>
            <w:tcW w:w="240" w:type="dxa"/>
            <w:vAlign w:val="bottom"/>
          </w:tcPr>
          <w:p>
            <w:pPr>
              <w:spacing w:after="0"/>
              <w:rPr>
                <w:sz w:val="9"/>
                <w:szCs w:val="9"/>
                <w:color w:val="auto"/>
              </w:rPr>
            </w:pP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74,417</w:t>
            </w:r>
          </w:p>
        </w:tc>
        <w:tc>
          <w:tcPr>
            <w:tcW w:w="640" w:type="dxa"/>
            <w:vAlign w:val="bottom"/>
          </w:tcPr>
          <w:p>
            <w:pPr>
              <w:jc w:val="right"/>
              <w:spacing w:after="0"/>
              <w:rPr>
                <w:sz w:val="20"/>
                <w:szCs w:val="20"/>
                <w:color w:val="auto"/>
              </w:rPr>
            </w:pPr>
            <w:r>
              <w:rPr>
                <w:rFonts w:ascii="Arial" w:cs="Arial" w:eastAsia="Arial" w:hAnsi="Arial"/>
                <w:sz w:val="10"/>
                <w:szCs w:val="10"/>
                <w:color w:val="auto"/>
              </w:rPr>
              <w:t>458,545</w:t>
            </w:r>
          </w:p>
        </w:tc>
      </w:tr>
      <w:tr>
        <w:trPr>
          <w:trHeight w:val="123"/>
        </w:trPr>
        <w:tc>
          <w:tcPr>
            <w:tcW w:w="2660" w:type="dxa"/>
            <w:vAlign w:val="bottom"/>
          </w:tcPr>
          <w:p>
            <w:pPr>
              <w:spacing w:after="0"/>
              <w:rPr>
                <w:sz w:val="20"/>
                <w:szCs w:val="20"/>
                <w:color w:val="auto"/>
              </w:rPr>
            </w:pPr>
            <w:r>
              <w:rPr>
                <w:rFonts w:ascii="Arial" w:cs="Arial" w:eastAsia="Arial" w:hAnsi="Arial"/>
                <w:sz w:val="10"/>
                <w:szCs w:val="10"/>
                <w:color w:val="auto"/>
              </w:rPr>
              <w:t>Future production costs</w:t>
            </w:r>
          </w:p>
        </w:tc>
        <w:tc>
          <w:tcPr>
            <w:tcW w:w="1200" w:type="dxa"/>
            <w:vAlign w:val="bottom"/>
          </w:tcPr>
          <w:p>
            <w:pPr>
              <w:jc w:val="right"/>
              <w:ind w:right="312"/>
              <w:spacing w:after="0"/>
              <w:rPr>
                <w:sz w:val="20"/>
                <w:szCs w:val="20"/>
                <w:color w:val="auto"/>
              </w:rPr>
            </w:pPr>
            <w:r>
              <w:rPr>
                <w:rFonts w:ascii="Arial" w:cs="Arial" w:eastAsia="Arial" w:hAnsi="Arial"/>
                <w:sz w:val="10"/>
                <w:szCs w:val="10"/>
                <w:color w:val="auto"/>
              </w:rPr>
              <w:t>18,400</w:t>
            </w:r>
          </w:p>
        </w:tc>
        <w:tc>
          <w:tcPr>
            <w:tcW w:w="1100" w:type="dxa"/>
            <w:vAlign w:val="bottom"/>
          </w:tcPr>
          <w:p>
            <w:pPr>
              <w:jc w:val="right"/>
              <w:ind w:right="292"/>
              <w:spacing w:after="0"/>
              <w:rPr>
                <w:sz w:val="20"/>
                <w:szCs w:val="20"/>
                <w:color w:val="auto"/>
              </w:rPr>
            </w:pPr>
            <w:r>
              <w:rPr>
                <w:rFonts w:ascii="Arial" w:cs="Arial" w:eastAsia="Arial" w:hAnsi="Arial"/>
                <w:sz w:val="10"/>
                <w:szCs w:val="10"/>
                <w:color w:val="auto"/>
              </w:rPr>
              <w:t>32,773</w:t>
            </w:r>
          </w:p>
        </w:tc>
        <w:tc>
          <w:tcPr>
            <w:tcW w:w="1200" w:type="dxa"/>
            <w:vAlign w:val="bottom"/>
          </w:tcPr>
          <w:p>
            <w:pPr>
              <w:jc w:val="right"/>
              <w:ind w:right="393"/>
              <w:spacing w:after="0"/>
              <w:rPr>
                <w:sz w:val="20"/>
                <w:szCs w:val="20"/>
                <w:color w:val="auto"/>
              </w:rPr>
            </w:pPr>
            <w:r>
              <w:rPr>
                <w:rFonts w:ascii="Arial" w:cs="Arial" w:eastAsia="Arial" w:hAnsi="Arial"/>
                <w:sz w:val="10"/>
                <w:szCs w:val="10"/>
                <w:color w:val="auto"/>
              </w:rPr>
              <w:t>22,219</w:t>
            </w:r>
          </w:p>
        </w:tc>
        <w:tc>
          <w:tcPr>
            <w:tcW w:w="700" w:type="dxa"/>
            <w:vAlign w:val="bottom"/>
          </w:tcPr>
          <w:p>
            <w:pPr>
              <w:jc w:val="right"/>
              <w:spacing w:after="0"/>
              <w:rPr>
                <w:sz w:val="20"/>
                <w:szCs w:val="20"/>
                <w:color w:val="auto"/>
              </w:rPr>
            </w:pPr>
            <w:r>
              <w:rPr>
                <w:rFonts w:ascii="Arial" w:cs="Arial" w:eastAsia="Arial" w:hAnsi="Arial"/>
                <w:sz w:val="10"/>
                <w:szCs w:val="10"/>
                <w:color w:val="auto"/>
              </w:rPr>
              <w:t>13,237</w:t>
            </w:r>
          </w:p>
        </w:tc>
        <w:tc>
          <w:tcPr>
            <w:tcW w:w="240" w:type="dxa"/>
            <w:vAlign w:val="bottom"/>
          </w:tcPr>
          <w:p>
            <w:pPr>
              <w:spacing w:after="0"/>
              <w:rPr>
                <w:sz w:val="10"/>
                <w:szCs w:val="10"/>
                <w:color w:val="auto"/>
              </w:rPr>
            </w:pPr>
          </w:p>
        </w:tc>
        <w:tc>
          <w:tcPr>
            <w:tcW w:w="1540" w:type="dxa"/>
            <w:vAlign w:val="bottom"/>
          </w:tcPr>
          <w:p>
            <w:pPr>
              <w:jc w:val="right"/>
              <w:ind w:right="652"/>
              <w:spacing w:after="0"/>
              <w:rPr>
                <w:sz w:val="20"/>
                <w:szCs w:val="20"/>
                <w:color w:val="auto"/>
              </w:rPr>
            </w:pPr>
            <w:r>
              <w:rPr>
                <w:rFonts w:ascii="Arial" w:cs="Arial" w:eastAsia="Arial" w:hAnsi="Arial"/>
                <w:sz w:val="10"/>
                <w:szCs w:val="10"/>
                <w:color w:val="auto"/>
              </w:rPr>
              <w:t>32,533</w:t>
            </w:r>
          </w:p>
        </w:tc>
        <w:tc>
          <w:tcPr>
            <w:tcW w:w="440" w:type="dxa"/>
            <w:vAlign w:val="bottom"/>
          </w:tcPr>
          <w:p>
            <w:pPr>
              <w:jc w:val="right"/>
              <w:spacing w:after="0"/>
              <w:rPr>
                <w:sz w:val="20"/>
                <w:szCs w:val="20"/>
                <w:color w:val="auto"/>
              </w:rPr>
            </w:pPr>
            <w:r>
              <w:rPr>
                <w:rFonts w:ascii="Arial" w:cs="Arial" w:eastAsia="Arial" w:hAnsi="Arial"/>
                <w:sz w:val="10"/>
                <w:szCs w:val="10"/>
                <w:color w:val="auto"/>
              </w:rPr>
              <w:t>17,378</w:t>
            </w:r>
          </w:p>
        </w:tc>
        <w:tc>
          <w:tcPr>
            <w:tcW w:w="240" w:type="dxa"/>
            <w:vAlign w:val="bottom"/>
          </w:tcPr>
          <w:p>
            <w:pPr>
              <w:spacing w:after="0"/>
              <w:rPr>
                <w:sz w:val="10"/>
                <w:szCs w:val="10"/>
                <w:color w:val="auto"/>
              </w:rPr>
            </w:pP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42,301</w:t>
            </w:r>
          </w:p>
        </w:tc>
        <w:tc>
          <w:tcPr>
            <w:tcW w:w="640" w:type="dxa"/>
            <w:vAlign w:val="bottom"/>
          </w:tcPr>
          <w:p>
            <w:pPr>
              <w:jc w:val="right"/>
              <w:spacing w:after="0"/>
              <w:rPr>
                <w:sz w:val="20"/>
                <w:szCs w:val="20"/>
                <w:color w:val="auto"/>
              </w:rPr>
            </w:pPr>
            <w:r>
              <w:rPr>
                <w:rFonts w:ascii="Arial" w:cs="Arial" w:eastAsia="Arial" w:hAnsi="Arial"/>
                <w:sz w:val="10"/>
                <w:szCs w:val="10"/>
                <w:color w:val="auto"/>
              </w:rPr>
              <w:t>178,842</w:t>
            </w:r>
          </w:p>
        </w:tc>
      </w:tr>
      <w:tr>
        <w:trPr>
          <w:trHeight w:val="126"/>
        </w:trPr>
        <w:tc>
          <w:tcPr>
            <w:tcW w:w="2660" w:type="dxa"/>
            <w:vAlign w:val="bottom"/>
          </w:tcPr>
          <w:p>
            <w:pPr>
              <w:spacing w:after="0"/>
              <w:rPr>
                <w:sz w:val="20"/>
                <w:szCs w:val="20"/>
                <w:color w:val="auto"/>
              </w:rPr>
            </w:pPr>
            <w:r>
              <w:rPr>
                <w:rFonts w:ascii="Arial" w:cs="Arial" w:eastAsia="Arial" w:hAnsi="Arial"/>
                <w:sz w:val="10"/>
                <w:szCs w:val="10"/>
                <w:color w:val="auto"/>
              </w:rPr>
              <w:t>Future development costs</w:t>
            </w:r>
          </w:p>
        </w:tc>
        <w:tc>
          <w:tcPr>
            <w:tcW w:w="1200" w:type="dxa"/>
            <w:vAlign w:val="bottom"/>
          </w:tcPr>
          <w:p>
            <w:pPr>
              <w:jc w:val="right"/>
              <w:ind w:right="312"/>
              <w:spacing w:after="0"/>
              <w:rPr>
                <w:sz w:val="20"/>
                <w:szCs w:val="20"/>
                <w:color w:val="auto"/>
              </w:rPr>
            </w:pPr>
            <w:r>
              <w:rPr>
                <w:rFonts w:ascii="Arial" w:cs="Arial" w:eastAsia="Arial" w:hAnsi="Arial"/>
                <w:sz w:val="10"/>
                <w:szCs w:val="10"/>
                <w:color w:val="auto"/>
              </w:rPr>
              <w:t>8,649</w:t>
            </w:r>
          </w:p>
        </w:tc>
        <w:tc>
          <w:tcPr>
            <w:tcW w:w="1100" w:type="dxa"/>
            <w:vAlign w:val="bottom"/>
          </w:tcPr>
          <w:p>
            <w:pPr>
              <w:jc w:val="right"/>
              <w:ind w:right="292"/>
              <w:spacing w:after="0"/>
              <w:rPr>
                <w:sz w:val="20"/>
                <w:szCs w:val="20"/>
                <w:color w:val="auto"/>
              </w:rPr>
            </w:pPr>
            <w:r>
              <w:rPr>
                <w:rFonts w:ascii="Arial" w:cs="Arial" w:eastAsia="Arial" w:hAnsi="Arial"/>
                <w:sz w:val="10"/>
                <w:szCs w:val="10"/>
                <w:color w:val="auto"/>
              </w:rPr>
              <w:t>12,301</w:t>
            </w:r>
          </w:p>
        </w:tc>
        <w:tc>
          <w:tcPr>
            <w:tcW w:w="1200" w:type="dxa"/>
            <w:vAlign w:val="bottom"/>
          </w:tcPr>
          <w:p>
            <w:pPr>
              <w:jc w:val="right"/>
              <w:ind w:right="393"/>
              <w:spacing w:after="0"/>
              <w:rPr>
                <w:sz w:val="20"/>
                <w:szCs w:val="20"/>
                <w:color w:val="auto"/>
              </w:rPr>
            </w:pPr>
            <w:r>
              <w:rPr>
                <w:rFonts w:ascii="Arial" w:cs="Arial" w:eastAsia="Arial" w:hAnsi="Arial"/>
                <w:sz w:val="10"/>
                <w:szCs w:val="10"/>
                <w:color w:val="auto"/>
              </w:rPr>
              <w:t>11,598</w:t>
            </w:r>
          </w:p>
        </w:tc>
        <w:tc>
          <w:tcPr>
            <w:tcW w:w="700" w:type="dxa"/>
            <w:vAlign w:val="bottom"/>
          </w:tcPr>
          <w:p>
            <w:pPr>
              <w:jc w:val="right"/>
              <w:spacing w:after="0"/>
              <w:rPr>
                <w:sz w:val="20"/>
                <w:szCs w:val="20"/>
                <w:color w:val="auto"/>
              </w:rPr>
            </w:pPr>
            <w:r>
              <w:rPr>
                <w:rFonts w:ascii="Arial" w:cs="Arial" w:eastAsia="Arial" w:hAnsi="Arial"/>
                <w:sz w:val="10"/>
                <w:szCs w:val="10"/>
                <w:color w:val="auto"/>
              </w:rPr>
              <w:t>4,672</w:t>
            </w:r>
          </w:p>
        </w:tc>
        <w:tc>
          <w:tcPr>
            <w:tcW w:w="240" w:type="dxa"/>
            <w:vAlign w:val="bottom"/>
          </w:tcPr>
          <w:p>
            <w:pPr>
              <w:spacing w:after="0"/>
              <w:rPr>
                <w:sz w:val="10"/>
                <w:szCs w:val="10"/>
                <w:color w:val="auto"/>
              </w:rPr>
            </w:pPr>
          </w:p>
        </w:tc>
        <w:tc>
          <w:tcPr>
            <w:tcW w:w="1540" w:type="dxa"/>
            <w:vAlign w:val="bottom"/>
          </w:tcPr>
          <w:p>
            <w:pPr>
              <w:jc w:val="right"/>
              <w:ind w:right="652"/>
              <w:spacing w:after="0"/>
              <w:rPr>
                <w:sz w:val="20"/>
                <w:szCs w:val="20"/>
                <w:color w:val="auto"/>
              </w:rPr>
            </w:pPr>
            <w:r>
              <w:rPr>
                <w:rFonts w:ascii="Arial" w:cs="Arial" w:eastAsia="Arial" w:hAnsi="Arial"/>
                <w:sz w:val="10"/>
                <w:szCs w:val="10"/>
                <w:color w:val="auto"/>
              </w:rPr>
              <w:t>11,486</w:t>
            </w:r>
          </w:p>
        </w:tc>
        <w:tc>
          <w:tcPr>
            <w:tcW w:w="440" w:type="dxa"/>
            <w:vAlign w:val="bottom"/>
          </w:tcPr>
          <w:p>
            <w:pPr>
              <w:jc w:val="right"/>
              <w:spacing w:after="0"/>
              <w:rPr>
                <w:sz w:val="20"/>
                <w:szCs w:val="20"/>
                <w:color w:val="auto"/>
              </w:rPr>
            </w:pPr>
            <w:r>
              <w:rPr>
                <w:rFonts w:ascii="Arial" w:cs="Arial" w:eastAsia="Arial" w:hAnsi="Arial"/>
                <w:sz w:val="10"/>
                <w:szCs w:val="10"/>
                <w:color w:val="auto"/>
              </w:rPr>
              <w:t>4,674</w:t>
            </w:r>
          </w:p>
        </w:tc>
        <w:tc>
          <w:tcPr>
            <w:tcW w:w="240" w:type="dxa"/>
            <w:vAlign w:val="bottom"/>
          </w:tcPr>
          <w:p>
            <w:pPr>
              <w:spacing w:after="0"/>
              <w:rPr>
                <w:sz w:val="10"/>
                <w:szCs w:val="10"/>
                <w:color w:val="auto"/>
              </w:rPr>
            </w:pP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6,991</w:t>
            </w:r>
          </w:p>
        </w:tc>
        <w:tc>
          <w:tcPr>
            <w:tcW w:w="640" w:type="dxa"/>
            <w:vAlign w:val="bottom"/>
          </w:tcPr>
          <w:p>
            <w:pPr>
              <w:jc w:val="right"/>
              <w:spacing w:after="0"/>
              <w:rPr>
                <w:sz w:val="20"/>
                <w:szCs w:val="20"/>
                <w:color w:val="auto"/>
              </w:rPr>
            </w:pPr>
            <w:r>
              <w:rPr>
                <w:rFonts w:ascii="Arial" w:cs="Arial" w:eastAsia="Arial" w:hAnsi="Arial"/>
                <w:sz w:val="10"/>
                <w:szCs w:val="10"/>
                <w:color w:val="auto"/>
              </w:rPr>
              <w:t>60,370</w:t>
            </w:r>
          </w:p>
        </w:tc>
      </w:tr>
      <w:tr>
        <w:trPr>
          <w:trHeight w:val="130"/>
        </w:trPr>
        <w:tc>
          <w:tcPr>
            <w:tcW w:w="2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Future tax expenses</w:t>
            </w: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12,603</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30,994</w:t>
            </w:r>
          </w:p>
        </w:tc>
        <w:tc>
          <w:tcPr>
            <w:tcW w:w="120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color w:val="auto"/>
              </w:rPr>
              <w:t>5,899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12,805</w:t>
            </w:r>
          </w:p>
        </w:tc>
        <w:tc>
          <w:tcPr>
            <w:tcW w:w="2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rPr>
              <w:t>1,948</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3,257</w:t>
            </w: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7,764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75,271</w:t>
            </w:r>
          </w:p>
        </w:tc>
      </w:tr>
      <w:tr>
        <w:trPr>
          <w:trHeight w:val="114"/>
        </w:trPr>
        <w:tc>
          <w:tcPr>
            <w:tcW w:w="2660" w:type="dxa"/>
            <w:vAlign w:val="bottom"/>
          </w:tcPr>
          <w:p>
            <w:pPr>
              <w:spacing w:after="0"/>
              <w:rPr>
                <w:sz w:val="20"/>
                <w:szCs w:val="20"/>
                <w:color w:val="auto"/>
              </w:rPr>
            </w:pPr>
            <w:r>
              <w:rPr>
                <w:rFonts w:ascii="Arial" w:cs="Arial" w:eastAsia="Arial" w:hAnsi="Arial"/>
                <w:sz w:val="10"/>
                <w:szCs w:val="10"/>
                <w:color w:val="auto"/>
              </w:rPr>
              <w:t>Future net cash flows</w:t>
            </w:r>
          </w:p>
        </w:tc>
        <w:tc>
          <w:tcPr>
            <w:tcW w:w="1200" w:type="dxa"/>
            <w:vAlign w:val="bottom"/>
          </w:tcPr>
          <w:p>
            <w:pPr>
              <w:jc w:val="right"/>
              <w:ind w:right="312"/>
              <w:spacing w:after="0"/>
              <w:rPr>
                <w:sz w:val="20"/>
                <w:szCs w:val="20"/>
                <w:color w:val="auto"/>
              </w:rPr>
            </w:pPr>
            <w:r>
              <w:rPr>
                <w:rFonts w:ascii="Arial" w:cs="Arial" w:eastAsia="Arial" w:hAnsi="Arial"/>
                <w:sz w:val="10"/>
                <w:szCs w:val="10"/>
                <w:color w:val="auto"/>
              </w:rPr>
              <w:t>10,739</w:t>
            </w:r>
          </w:p>
        </w:tc>
        <w:tc>
          <w:tcPr>
            <w:tcW w:w="1100" w:type="dxa"/>
            <w:vAlign w:val="bottom"/>
          </w:tcPr>
          <w:p>
            <w:pPr>
              <w:jc w:val="right"/>
              <w:ind w:right="292"/>
              <w:spacing w:after="0"/>
              <w:rPr>
                <w:sz w:val="20"/>
                <w:szCs w:val="20"/>
                <w:color w:val="auto"/>
              </w:rPr>
            </w:pPr>
            <w:r>
              <w:rPr>
                <w:rFonts w:ascii="Arial" w:cs="Arial" w:eastAsia="Arial" w:hAnsi="Arial"/>
                <w:sz w:val="10"/>
                <w:szCs w:val="10"/>
                <w:color w:val="auto"/>
              </w:rPr>
              <w:t>45,969</w:t>
            </w:r>
          </w:p>
        </w:tc>
        <w:tc>
          <w:tcPr>
            <w:tcW w:w="1200" w:type="dxa"/>
            <w:vAlign w:val="bottom"/>
          </w:tcPr>
          <w:p>
            <w:pPr>
              <w:jc w:val="right"/>
              <w:ind w:right="393"/>
              <w:spacing w:after="0"/>
              <w:rPr>
                <w:sz w:val="20"/>
                <w:szCs w:val="20"/>
                <w:color w:val="auto"/>
              </w:rPr>
            </w:pPr>
            <w:r>
              <w:rPr>
                <w:rFonts w:ascii="Arial" w:cs="Arial" w:eastAsia="Arial" w:hAnsi="Arial"/>
                <w:sz w:val="10"/>
                <w:szCs w:val="10"/>
                <w:color w:val="auto"/>
              </w:rPr>
              <w:t>32,639</w:t>
            </w:r>
          </w:p>
        </w:tc>
        <w:tc>
          <w:tcPr>
            <w:tcW w:w="700" w:type="dxa"/>
            <w:vAlign w:val="bottom"/>
          </w:tcPr>
          <w:p>
            <w:pPr>
              <w:jc w:val="right"/>
              <w:spacing w:after="0"/>
              <w:rPr>
                <w:sz w:val="20"/>
                <w:szCs w:val="20"/>
                <w:color w:val="auto"/>
              </w:rPr>
            </w:pPr>
            <w:r>
              <w:rPr>
                <w:rFonts w:ascii="Arial" w:cs="Arial" w:eastAsia="Arial" w:hAnsi="Arial"/>
                <w:sz w:val="10"/>
                <w:szCs w:val="10"/>
                <w:color w:val="auto"/>
              </w:rPr>
              <w:t>5,366</w:t>
            </w:r>
          </w:p>
        </w:tc>
        <w:tc>
          <w:tcPr>
            <w:tcW w:w="240" w:type="dxa"/>
            <w:vAlign w:val="bottom"/>
          </w:tcPr>
          <w:p>
            <w:pPr>
              <w:spacing w:after="0"/>
              <w:rPr>
                <w:sz w:val="9"/>
                <w:szCs w:val="9"/>
                <w:color w:val="auto"/>
              </w:rPr>
            </w:pPr>
          </w:p>
        </w:tc>
        <w:tc>
          <w:tcPr>
            <w:tcW w:w="1540" w:type="dxa"/>
            <w:vAlign w:val="bottom"/>
          </w:tcPr>
          <w:p>
            <w:pPr>
              <w:jc w:val="right"/>
              <w:ind w:right="652"/>
              <w:spacing w:after="0"/>
              <w:rPr>
                <w:sz w:val="20"/>
                <w:szCs w:val="20"/>
                <w:color w:val="auto"/>
              </w:rPr>
            </w:pPr>
            <w:r>
              <w:rPr>
                <w:rFonts w:ascii="Arial" w:cs="Arial" w:eastAsia="Arial" w:hAnsi="Arial"/>
                <w:sz w:val="10"/>
                <w:szCs w:val="10"/>
                <w:color w:val="auto"/>
              </w:rPr>
              <w:t>22,578</w:t>
            </w:r>
          </w:p>
        </w:tc>
        <w:tc>
          <w:tcPr>
            <w:tcW w:w="440" w:type="dxa"/>
            <w:vAlign w:val="bottom"/>
          </w:tcPr>
          <w:p>
            <w:pPr>
              <w:jc w:val="right"/>
              <w:spacing w:after="0"/>
              <w:rPr>
                <w:sz w:val="20"/>
                <w:szCs w:val="20"/>
                <w:color w:val="auto"/>
              </w:rPr>
            </w:pPr>
            <w:r>
              <w:rPr>
                <w:rFonts w:ascii="Arial" w:cs="Arial" w:eastAsia="Arial" w:hAnsi="Arial"/>
                <w:sz w:val="10"/>
                <w:szCs w:val="10"/>
                <w:color w:val="auto"/>
              </w:rPr>
              <w:t>9,411</w:t>
            </w:r>
          </w:p>
        </w:tc>
        <w:tc>
          <w:tcPr>
            <w:tcW w:w="240" w:type="dxa"/>
            <w:vAlign w:val="bottom"/>
          </w:tcPr>
          <w:p>
            <w:pPr>
              <w:spacing w:after="0"/>
              <w:rPr>
                <w:sz w:val="9"/>
                <w:szCs w:val="9"/>
                <w:color w:val="auto"/>
              </w:rPr>
            </w:pP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17,360</w:t>
            </w:r>
          </w:p>
        </w:tc>
        <w:tc>
          <w:tcPr>
            <w:tcW w:w="640" w:type="dxa"/>
            <w:vAlign w:val="bottom"/>
          </w:tcPr>
          <w:p>
            <w:pPr>
              <w:jc w:val="right"/>
              <w:spacing w:after="0"/>
              <w:rPr>
                <w:sz w:val="20"/>
                <w:szCs w:val="20"/>
                <w:color w:val="auto"/>
              </w:rPr>
            </w:pPr>
            <w:r>
              <w:rPr>
                <w:rFonts w:ascii="Arial" w:cs="Arial" w:eastAsia="Arial" w:hAnsi="Arial"/>
                <w:sz w:val="10"/>
                <w:szCs w:val="10"/>
                <w:color w:val="auto"/>
              </w:rPr>
              <w:t>144,062</w:t>
            </w:r>
          </w:p>
        </w:tc>
      </w:tr>
      <w:tr>
        <w:trPr>
          <w:trHeight w:val="127"/>
        </w:trPr>
        <w:tc>
          <w:tcPr>
            <w:tcW w:w="2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Effect of discounting cash flows at 10%</w:t>
            </w: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3,024</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20,957</w:t>
            </w:r>
          </w:p>
        </w:tc>
        <w:tc>
          <w:tcPr>
            <w:tcW w:w="120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color w:val="auto"/>
              </w:rPr>
              <w:t>12,130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572</w:t>
            </w:r>
          </w:p>
        </w:tc>
        <w:tc>
          <w:tcPr>
            <w:tcW w:w="2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rPr>
              <w:t>5,039</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6,446</w:t>
            </w: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6,048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54,217</w:t>
            </w:r>
          </w:p>
        </w:tc>
      </w:tr>
      <w:tr>
        <w:trPr>
          <w:trHeight w:val="117"/>
        </w:trPr>
        <w:tc>
          <w:tcPr>
            <w:tcW w:w="2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Standardised measure of discounted future net cash flows</w:t>
            </w: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7,715</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25,012</w:t>
            </w:r>
          </w:p>
        </w:tc>
        <w:tc>
          <w:tcPr>
            <w:tcW w:w="120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color w:val="auto"/>
              </w:rPr>
              <w:t>20,509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4,794</w:t>
            </w:r>
          </w:p>
        </w:tc>
        <w:tc>
          <w:tcPr>
            <w:tcW w:w="2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rPr>
              <w:t>17,539</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2,964</w:t>
            </w: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11,312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89,845</w:t>
            </w:r>
          </w:p>
        </w:tc>
      </w:tr>
      <w:tr>
        <w:trPr>
          <w:trHeight w:val="115"/>
        </w:trPr>
        <w:tc>
          <w:tcPr>
            <w:tcW w:w="2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Non-controlling interest included</w:t>
            </w: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w:t>
            </w:r>
          </w:p>
        </w:tc>
        <w:tc>
          <w:tcPr>
            <w:tcW w:w="120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1,638</w:t>
            </w: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1,639</w:t>
            </w:r>
          </w:p>
        </w:tc>
      </w:tr>
      <w:tr>
        <w:trPr>
          <w:trHeight w:val="88"/>
        </w:trPr>
        <w:tc>
          <w:tcPr>
            <w:tcW w:w="2660" w:type="dxa"/>
            <w:vAlign w:val="bottom"/>
            <w:tcBorders>
              <w:bottom w:val="single" w:sz="8" w:color="CDCDCD"/>
            </w:tcBorders>
          </w:tcPr>
          <w:p>
            <w:pPr>
              <w:spacing w:after="0"/>
              <w:rPr>
                <w:sz w:val="7"/>
                <w:szCs w:val="7"/>
                <w:color w:val="auto"/>
              </w:rPr>
            </w:pPr>
          </w:p>
        </w:tc>
        <w:tc>
          <w:tcPr>
            <w:tcW w:w="1200" w:type="dxa"/>
            <w:vAlign w:val="bottom"/>
            <w:tcBorders>
              <w:bottom w:val="single" w:sz="8" w:color="CDCDCD"/>
            </w:tcBorders>
          </w:tcPr>
          <w:p>
            <w:pPr>
              <w:spacing w:after="0"/>
              <w:rPr>
                <w:sz w:val="7"/>
                <w:szCs w:val="7"/>
                <w:color w:val="auto"/>
              </w:rPr>
            </w:pPr>
          </w:p>
        </w:tc>
        <w:tc>
          <w:tcPr>
            <w:tcW w:w="1100" w:type="dxa"/>
            <w:vAlign w:val="bottom"/>
            <w:tcBorders>
              <w:bottom w:val="single" w:sz="8" w:color="CDCDCD"/>
            </w:tcBorders>
          </w:tcPr>
          <w:p>
            <w:pPr>
              <w:spacing w:after="0"/>
              <w:rPr>
                <w:sz w:val="7"/>
                <w:szCs w:val="7"/>
                <w:color w:val="auto"/>
              </w:rPr>
            </w:pPr>
          </w:p>
        </w:tc>
        <w:tc>
          <w:tcPr>
            <w:tcW w:w="1200" w:type="dxa"/>
            <w:vAlign w:val="bottom"/>
            <w:tcBorders>
              <w:bottom w:val="single" w:sz="8" w:color="CDCDCD"/>
            </w:tcBorders>
          </w:tcPr>
          <w:p>
            <w:pPr>
              <w:spacing w:after="0"/>
              <w:rPr>
                <w:sz w:val="7"/>
                <w:szCs w:val="7"/>
                <w:color w:val="auto"/>
              </w:rPr>
            </w:pPr>
          </w:p>
        </w:tc>
        <w:tc>
          <w:tcPr>
            <w:tcW w:w="700" w:type="dxa"/>
            <w:vAlign w:val="bottom"/>
            <w:tcBorders>
              <w:bottom w:val="single" w:sz="8" w:color="CDCDCD"/>
            </w:tcBorders>
          </w:tcPr>
          <w:p>
            <w:pPr>
              <w:spacing w:after="0"/>
              <w:rPr>
                <w:sz w:val="7"/>
                <w:szCs w:val="7"/>
                <w:color w:val="auto"/>
              </w:rPr>
            </w:pPr>
          </w:p>
        </w:tc>
        <w:tc>
          <w:tcPr>
            <w:tcW w:w="240" w:type="dxa"/>
            <w:vAlign w:val="bottom"/>
            <w:tcBorders>
              <w:bottom w:val="single" w:sz="8" w:color="CDCDCD"/>
            </w:tcBorders>
          </w:tcPr>
          <w:p>
            <w:pPr>
              <w:spacing w:after="0"/>
              <w:rPr>
                <w:sz w:val="7"/>
                <w:szCs w:val="7"/>
                <w:color w:val="auto"/>
              </w:rPr>
            </w:pPr>
          </w:p>
        </w:tc>
        <w:tc>
          <w:tcPr>
            <w:tcW w:w="1540" w:type="dxa"/>
            <w:vAlign w:val="bottom"/>
            <w:tcBorders>
              <w:bottom w:val="single" w:sz="8" w:color="CDCDCD"/>
            </w:tcBorders>
          </w:tcPr>
          <w:p>
            <w:pPr>
              <w:spacing w:after="0"/>
              <w:rPr>
                <w:sz w:val="7"/>
                <w:szCs w:val="7"/>
                <w:color w:val="auto"/>
              </w:rPr>
            </w:pPr>
          </w:p>
        </w:tc>
        <w:tc>
          <w:tcPr>
            <w:tcW w:w="440" w:type="dxa"/>
            <w:vAlign w:val="bottom"/>
            <w:tcBorders>
              <w:bottom w:val="single" w:sz="8" w:color="CDCDCD"/>
            </w:tcBorders>
          </w:tcPr>
          <w:p>
            <w:pPr>
              <w:spacing w:after="0"/>
              <w:rPr>
                <w:sz w:val="7"/>
                <w:szCs w:val="7"/>
                <w:color w:val="auto"/>
              </w:rPr>
            </w:pPr>
          </w:p>
        </w:tc>
        <w:tc>
          <w:tcPr>
            <w:tcW w:w="240" w:type="dxa"/>
            <w:vAlign w:val="bottom"/>
            <w:tcBorders>
              <w:bottom w:val="single" w:sz="8" w:color="CDCDCD"/>
            </w:tcBorders>
          </w:tcPr>
          <w:p>
            <w:pPr>
              <w:spacing w:after="0"/>
              <w:rPr>
                <w:sz w:val="7"/>
                <w:szCs w:val="7"/>
                <w:color w:val="auto"/>
              </w:rPr>
            </w:pPr>
          </w:p>
        </w:tc>
        <w:tc>
          <w:tcPr>
            <w:tcW w:w="1340" w:type="dxa"/>
            <w:vAlign w:val="bottom"/>
            <w:tcBorders>
              <w:bottom w:val="single" w:sz="8" w:color="CDCDCD"/>
            </w:tcBorders>
          </w:tcPr>
          <w:p>
            <w:pPr>
              <w:spacing w:after="0"/>
              <w:rPr>
                <w:sz w:val="7"/>
                <w:szCs w:val="7"/>
                <w:color w:val="auto"/>
              </w:rPr>
            </w:pPr>
          </w:p>
        </w:tc>
        <w:tc>
          <w:tcPr>
            <w:tcW w:w="640" w:type="dxa"/>
            <w:vAlign w:val="bottom"/>
            <w:tcBorders>
              <w:bottom w:val="single" w:sz="8" w:color="CDCDCD"/>
            </w:tcBorders>
          </w:tcPr>
          <w:p>
            <w:pPr>
              <w:spacing w:after="0"/>
              <w:rPr>
                <w:sz w:val="7"/>
                <w:szCs w:val="7"/>
                <w:color w:val="auto"/>
              </w:rPr>
            </w:pPr>
          </w:p>
        </w:tc>
      </w:tr>
      <w:tr>
        <w:trPr>
          <w:trHeight w:val="121"/>
        </w:trPr>
        <w:tc>
          <w:tcPr>
            <w:tcW w:w="2660" w:type="dxa"/>
            <w:vAlign w:val="bottom"/>
          </w:tcPr>
          <w:p>
            <w:pPr>
              <w:spacing w:after="0"/>
              <w:rPr>
                <w:sz w:val="20"/>
                <w:szCs w:val="20"/>
                <w:color w:val="auto"/>
              </w:rPr>
            </w:pPr>
            <w:r>
              <w:rPr>
                <w:rFonts w:ascii="Arial" w:cs="Arial" w:eastAsia="Arial" w:hAnsi="Arial"/>
                <w:sz w:val="10"/>
                <w:szCs w:val="10"/>
                <w:color w:val="auto"/>
              </w:rPr>
              <w:t>2018 - Shell share of joint ventures and associates</w:t>
            </w:r>
          </w:p>
        </w:tc>
        <w:tc>
          <w:tcPr>
            <w:tcW w:w="1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 million</w:t>
            </w:r>
          </w:p>
        </w:tc>
      </w:tr>
      <w:tr>
        <w:trPr>
          <w:trHeight w:val="145"/>
        </w:trPr>
        <w:tc>
          <w:tcPr>
            <w:tcW w:w="2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North America</w:t>
            </w: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24"/>
        </w:trPr>
        <w:tc>
          <w:tcPr>
            <w:tcW w:w="26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Europe</w:t>
            </w: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Asia</w:t>
            </w: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0"/>
                <w:szCs w:val="10"/>
                <w:color w:val="auto"/>
              </w:rPr>
              <w:t>Oceania</w:t>
            </w:r>
          </w:p>
        </w:tc>
        <w:tc>
          <w:tcPr>
            <w:tcW w:w="940" w:type="dxa"/>
            <w:vAlign w:val="bottom"/>
            <w:tcBorders>
              <w:bottom w:val="single" w:sz="8" w:color="auto"/>
            </w:tcBorders>
            <w:gridSpan w:val="2"/>
          </w:tcPr>
          <w:p>
            <w:pPr>
              <w:ind w:left="680"/>
              <w:spacing w:after="0"/>
              <w:rPr>
                <w:sz w:val="20"/>
                <w:szCs w:val="20"/>
                <w:color w:val="auto"/>
              </w:rPr>
            </w:pPr>
            <w:r>
              <w:rPr>
                <w:rFonts w:ascii="Arial" w:cs="Arial" w:eastAsia="Arial" w:hAnsi="Arial"/>
                <w:sz w:val="10"/>
                <w:szCs w:val="10"/>
                <w:color w:val="auto"/>
                <w:w w:val="93"/>
              </w:rPr>
              <w:t>Africa</w:t>
            </w:r>
          </w:p>
        </w:tc>
        <w:tc>
          <w:tcPr>
            <w:tcW w:w="15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USA</w:t>
            </w:r>
          </w:p>
        </w:tc>
        <w:tc>
          <w:tcPr>
            <w:tcW w:w="680" w:type="dxa"/>
            <w:vAlign w:val="bottom"/>
            <w:tcBorders>
              <w:bottom w:val="single" w:sz="8" w:color="auto"/>
            </w:tcBorders>
            <w:gridSpan w:val="2"/>
          </w:tcPr>
          <w:p>
            <w:pPr>
              <w:ind w:left="380"/>
              <w:spacing w:after="0"/>
              <w:rPr>
                <w:sz w:val="20"/>
                <w:szCs w:val="20"/>
                <w:color w:val="auto"/>
              </w:rPr>
            </w:pPr>
            <w:r>
              <w:rPr>
                <w:rFonts w:ascii="Arial" w:cs="Arial" w:eastAsia="Arial" w:hAnsi="Arial"/>
                <w:sz w:val="10"/>
                <w:szCs w:val="10"/>
                <w:color w:val="auto"/>
                <w:w w:val="79"/>
              </w:rPr>
              <w:t>Canada</w:t>
            </w: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South America</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r>
      <w:tr>
        <w:trPr>
          <w:trHeight w:val="114"/>
        </w:trPr>
        <w:tc>
          <w:tcPr>
            <w:tcW w:w="2660" w:type="dxa"/>
            <w:vAlign w:val="bottom"/>
          </w:tcPr>
          <w:p>
            <w:pPr>
              <w:spacing w:after="0"/>
              <w:rPr>
                <w:sz w:val="20"/>
                <w:szCs w:val="20"/>
                <w:color w:val="auto"/>
              </w:rPr>
            </w:pPr>
            <w:r>
              <w:rPr>
                <w:rFonts w:ascii="Arial" w:cs="Arial" w:eastAsia="Arial" w:hAnsi="Arial"/>
                <w:sz w:val="10"/>
                <w:szCs w:val="10"/>
                <w:color w:val="auto"/>
              </w:rPr>
              <w:t>Future cash inflows</w:t>
            </w:r>
          </w:p>
        </w:tc>
        <w:tc>
          <w:tcPr>
            <w:tcW w:w="1200" w:type="dxa"/>
            <w:vAlign w:val="bottom"/>
          </w:tcPr>
          <w:p>
            <w:pPr>
              <w:jc w:val="right"/>
              <w:ind w:right="472"/>
              <w:spacing w:after="0"/>
              <w:rPr>
                <w:sz w:val="20"/>
                <w:szCs w:val="20"/>
                <w:color w:val="auto"/>
              </w:rPr>
            </w:pPr>
            <w:r>
              <w:rPr>
                <w:rFonts w:ascii="Arial" w:cs="Arial" w:eastAsia="Arial" w:hAnsi="Arial"/>
                <w:sz w:val="10"/>
                <w:szCs w:val="10"/>
                <w:color w:val="auto"/>
              </w:rPr>
              <w:t>5,260</w:t>
            </w:r>
          </w:p>
        </w:tc>
        <w:tc>
          <w:tcPr>
            <w:tcW w:w="1100" w:type="dxa"/>
            <w:vAlign w:val="bottom"/>
          </w:tcPr>
          <w:p>
            <w:pPr>
              <w:jc w:val="right"/>
              <w:ind w:right="452"/>
              <w:spacing w:after="0"/>
              <w:rPr>
                <w:sz w:val="20"/>
                <w:szCs w:val="20"/>
                <w:color w:val="auto"/>
              </w:rPr>
            </w:pPr>
            <w:r>
              <w:rPr>
                <w:rFonts w:ascii="Arial" w:cs="Arial" w:eastAsia="Arial" w:hAnsi="Arial"/>
                <w:sz w:val="10"/>
                <w:szCs w:val="10"/>
                <w:color w:val="auto"/>
              </w:rPr>
              <w:t>44,327</w:t>
            </w:r>
          </w:p>
        </w:tc>
        <w:tc>
          <w:tcPr>
            <w:tcW w:w="1200" w:type="dxa"/>
            <w:vAlign w:val="bottom"/>
          </w:tcPr>
          <w:p>
            <w:pPr>
              <w:jc w:val="right"/>
              <w:ind w:right="553"/>
              <w:spacing w:after="0"/>
              <w:rPr>
                <w:sz w:val="20"/>
                <w:szCs w:val="20"/>
                <w:color w:val="auto"/>
              </w:rPr>
            </w:pPr>
            <w:r>
              <w:rPr>
                <w:rFonts w:ascii="Arial" w:cs="Arial" w:eastAsia="Arial" w:hAnsi="Arial"/>
                <w:sz w:val="10"/>
                <w:szCs w:val="10"/>
                <w:color w:val="auto"/>
              </w:rPr>
              <w:t>104</w:t>
            </w:r>
          </w:p>
        </w:tc>
        <w:tc>
          <w:tcPr>
            <w:tcW w:w="700" w:type="dxa"/>
            <w:vAlign w:val="bottom"/>
          </w:tcPr>
          <w:p>
            <w:pPr>
              <w:spacing w:after="0"/>
              <w:rPr>
                <w:sz w:val="9"/>
                <w:szCs w:val="9"/>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432"/>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49,691</w:t>
            </w:r>
          </w:p>
        </w:tc>
      </w:tr>
      <w:tr>
        <w:trPr>
          <w:trHeight w:val="123"/>
        </w:trPr>
        <w:tc>
          <w:tcPr>
            <w:tcW w:w="2660" w:type="dxa"/>
            <w:vAlign w:val="bottom"/>
          </w:tcPr>
          <w:p>
            <w:pPr>
              <w:spacing w:after="0"/>
              <w:rPr>
                <w:sz w:val="20"/>
                <w:szCs w:val="20"/>
                <w:color w:val="auto"/>
              </w:rPr>
            </w:pPr>
            <w:r>
              <w:rPr>
                <w:rFonts w:ascii="Arial" w:cs="Arial" w:eastAsia="Arial" w:hAnsi="Arial"/>
                <w:sz w:val="10"/>
                <w:szCs w:val="10"/>
                <w:color w:val="auto"/>
              </w:rPr>
              <w:t>Future production costs</w:t>
            </w:r>
          </w:p>
        </w:tc>
        <w:tc>
          <w:tcPr>
            <w:tcW w:w="1200" w:type="dxa"/>
            <w:vAlign w:val="bottom"/>
          </w:tcPr>
          <w:p>
            <w:pPr>
              <w:jc w:val="right"/>
              <w:ind w:right="472"/>
              <w:spacing w:after="0"/>
              <w:rPr>
                <w:sz w:val="20"/>
                <w:szCs w:val="20"/>
                <w:color w:val="auto"/>
              </w:rPr>
            </w:pPr>
            <w:r>
              <w:rPr>
                <w:rFonts w:ascii="Arial" w:cs="Arial" w:eastAsia="Arial" w:hAnsi="Arial"/>
                <w:sz w:val="10"/>
                <w:szCs w:val="10"/>
                <w:color w:val="auto"/>
              </w:rPr>
              <w:t>2,712</w:t>
            </w:r>
          </w:p>
        </w:tc>
        <w:tc>
          <w:tcPr>
            <w:tcW w:w="1100" w:type="dxa"/>
            <w:vAlign w:val="bottom"/>
          </w:tcPr>
          <w:p>
            <w:pPr>
              <w:jc w:val="right"/>
              <w:ind w:right="452"/>
              <w:spacing w:after="0"/>
              <w:rPr>
                <w:sz w:val="20"/>
                <w:szCs w:val="20"/>
                <w:color w:val="auto"/>
              </w:rPr>
            </w:pPr>
            <w:r>
              <w:rPr>
                <w:rFonts w:ascii="Arial" w:cs="Arial" w:eastAsia="Arial" w:hAnsi="Arial"/>
                <w:sz w:val="10"/>
                <w:szCs w:val="10"/>
                <w:color w:val="auto"/>
              </w:rPr>
              <w:t>20,886</w:t>
            </w:r>
          </w:p>
        </w:tc>
        <w:tc>
          <w:tcPr>
            <w:tcW w:w="1200" w:type="dxa"/>
            <w:vAlign w:val="bottom"/>
          </w:tcPr>
          <w:p>
            <w:pPr>
              <w:jc w:val="right"/>
              <w:ind w:right="553"/>
              <w:spacing w:after="0"/>
              <w:rPr>
                <w:sz w:val="20"/>
                <w:szCs w:val="20"/>
                <w:color w:val="auto"/>
              </w:rPr>
            </w:pPr>
            <w:r>
              <w:rPr>
                <w:rFonts w:ascii="Arial" w:cs="Arial" w:eastAsia="Arial" w:hAnsi="Arial"/>
                <w:sz w:val="10"/>
                <w:szCs w:val="10"/>
                <w:color w:val="auto"/>
              </w:rPr>
              <w:t>80</w:t>
            </w:r>
          </w:p>
        </w:tc>
        <w:tc>
          <w:tcPr>
            <w:tcW w:w="700" w:type="dxa"/>
            <w:vAlign w:val="bottom"/>
          </w:tcPr>
          <w:p>
            <w:pPr>
              <w:spacing w:after="0"/>
              <w:rPr>
                <w:sz w:val="10"/>
                <w:szCs w:val="10"/>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432"/>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0"/>
                <w:szCs w:val="10"/>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23,677</w:t>
            </w:r>
          </w:p>
        </w:tc>
      </w:tr>
      <w:tr>
        <w:trPr>
          <w:trHeight w:val="126"/>
        </w:trPr>
        <w:tc>
          <w:tcPr>
            <w:tcW w:w="2660" w:type="dxa"/>
            <w:vAlign w:val="bottom"/>
          </w:tcPr>
          <w:p>
            <w:pPr>
              <w:spacing w:after="0"/>
              <w:rPr>
                <w:sz w:val="20"/>
                <w:szCs w:val="20"/>
                <w:color w:val="auto"/>
              </w:rPr>
            </w:pPr>
            <w:r>
              <w:rPr>
                <w:rFonts w:ascii="Arial" w:cs="Arial" w:eastAsia="Arial" w:hAnsi="Arial"/>
                <w:sz w:val="10"/>
                <w:szCs w:val="10"/>
                <w:color w:val="auto"/>
              </w:rPr>
              <w:t>Future development costs</w:t>
            </w:r>
          </w:p>
        </w:tc>
        <w:tc>
          <w:tcPr>
            <w:tcW w:w="1200" w:type="dxa"/>
            <w:vAlign w:val="bottom"/>
          </w:tcPr>
          <w:p>
            <w:pPr>
              <w:jc w:val="right"/>
              <w:ind w:right="472"/>
              <w:spacing w:after="0"/>
              <w:rPr>
                <w:sz w:val="20"/>
                <w:szCs w:val="20"/>
                <w:color w:val="auto"/>
              </w:rPr>
            </w:pPr>
            <w:r>
              <w:rPr>
                <w:rFonts w:ascii="Arial" w:cs="Arial" w:eastAsia="Arial" w:hAnsi="Arial"/>
                <w:sz w:val="10"/>
                <w:szCs w:val="10"/>
                <w:color w:val="auto"/>
              </w:rPr>
              <w:t>1,083</w:t>
            </w:r>
          </w:p>
        </w:tc>
        <w:tc>
          <w:tcPr>
            <w:tcW w:w="1100" w:type="dxa"/>
            <w:vAlign w:val="bottom"/>
          </w:tcPr>
          <w:p>
            <w:pPr>
              <w:jc w:val="right"/>
              <w:ind w:right="452"/>
              <w:spacing w:after="0"/>
              <w:rPr>
                <w:sz w:val="20"/>
                <w:szCs w:val="20"/>
                <w:color w:val="auto"/>
              </w:rPr>
            </w:pPr>
            <w:r>
              <w:rPr>
                <w:rFonts w:ascii="Arial" w:cs="Arial" w:eastAsia="Arial" w:hAnsi="Arial"/>
                <w:sz w:val="10"/>
                <w:szCs w:val="10"/>
                <w:color w:val="auto"/>
              </w:rPr>
              <w:t>6,726</w:t>
            </w:r>
          </w:p>
        </w:tc>
        <w:tc>
          <w:tcPr>
            <w:tcW w:w="1200" w:type="dxa"/>
            <w:vAlign w:val="bottom"/>
          </w:tcPr>
          <w:p>
            <w:pPr>
              <w:jc w:val="right"/>
              <w:ind w:right="553"/>
              <w:spacing w:after="0"/>
              <w:rPr>
                <w:sz w:val="20"/>
                <w:szCs w:val="20"/>
                <w:color w:val="auto"/>
              </w:rPr>
            </w:pPr>
            <w:r>
              <w:rPr>
                <w:rFonts w:ascii="Arial" w:cs="Arial" w:eastAsia="Arial" w:hAnsi="Arial"/>
                <w:sz w:val="10"/>
                <w:szCs w:val="10"/>
                <w:color w:val="auto"/>
              </w:rPr>
              <w:t>36</w:t>
            </w:r>
          </w:p>
        </w:tc>
        <w:tc>
          <w:tcPr>
            <w:tcW w:w="700" w:type="dxa"/>
            <w:vAlign w:val="bottom"/>
          </w:tcPr>
          <w:p>
            <w:pPr>
              <w:spacing w:after="0"/>
              <w:rPr>
                <w:sz w:val="10"/>
                <w:szCs w:val="10"/>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432"/>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0"/>
                <w:szCs w:val="10"/>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7,844</w:t>
            </w:r>
          </w:p>
        </w:tc>
      </w:tr>
      <w:tr>
        <w:trPr>
          <w:trHeight w:val="130"/>
        </w:trPr>
        <w:tc>
          <w:tcPr>
            <w:tcW w:w="2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Future tax expenses</w:t>
            </w: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1,136</w:t>
            </w: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7,128</w:t>
            </w: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0"/>
                <w:szCs w:val="10"/>
                <w:color w:val="auto"/>
              </w:rPr>
              <w:t>1</w:t>
            </w:r>
          </w:p>
        </w:tc>
        <w:tc>
          <w:tcPr>
            <w:tcW w:w="7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0"/>
                <w:szCs w:val="10"/>
                <w:color w:val="auto"/>
              </w:rPr>
              <w:t>—</w:t>
            </w:r>
          </w:p>
        </w:tc>
        <w:tc>
          <w:tcPr>
            <w:tcW w:w="1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8,265</w:t>
            </w:r>
          </w:p>
        </w:tc>
      </w:tr>
      <w:tr>
        <w:trPr>
          <w:trHeight w:val="114"/>
        </w:trPr>
        <w:tc>
          <w:tcPr>
            <w:tcW w:w="2660" w:type="dxa"/>
            <w:vAlign w:val="bottom"/>
          </w:tcPr>
          <w:p>
            <w:pPr>
              <w:spacing w:after="0"/>
              <w:rPr>
                <w:sz w:val="20"/>
                <w:szCs w:val="20"/>
                <w:color w:val="auto"/>
              </w:rPr>
            </w:pPr>
            <w:r>
              <w:rPr>
                <w:rFonts w:ascii="Arial" w:cs="Arial" w:eastAsia="Arial" w:hAnsi="Arial"/>
                <w:sz w:val="10"/>
                <w:szCs w:val="10"/>
                <w:color w:val="auto"/>
              </w:rPr>
              <w:t>Future net cash flows</w:t>
            </w:r>
          </w:p>
        </w:tc>
        <w:tc>
          <w:tcPr>
            <w:tcW w:w="1200" w:type="dxa"/>
            <w:vAlign w:val="bottom"/>
          </w:tcPr>
          <w:p>
            <w:pPr>
              <w:jc w:val="right"/>
              <w:ind w:right="472"/>
              <w:spacing w:after="0"/>
              <w:rPr>
                <w:sz w:val="20"/>
                <w:szCs w:val="20"/>
                <w:color w:val="auto"/>
              </w:rPr>
            </w:pPr>
            <w:r>
              <w:rPr>
                <w:rFonts w:ascii="Arial" w:cs="Arial" w:eastAsia="Arial" w:hAnsi="Arial"/>
                <w:sz w:val="10"/>
                <w:szCs w:val="10"/>
                <w:color w:val="auto"/>
              </w:rPr>
              <w:t>329</w:t>
            </w:r>
          </w:p>
        </w:tc>
        <w:tc>
          <w:tcPr>
            <w:tcW w:w="1100" w:type="dxa"/>
            <w:vAlign w:val="bottom"/>
          </w:tcPr>
          <w:p>
            <w:pPr>
              <w:jc w:val="right"/>
              <w:ind w:right="452"/>
              <w:spacing w:after="0"/>
              <w:rPr>
                <w:sz w:val="20"/>
                <w:szCs w:val="20"/>
                <w:color w:val="auto"/>
              </w:rPr>
            </w:pPr>
            <w:r>
              <w:rPr>
                <w:rFonts w:ascii="Arial" w:cs="Arial" w:eastAsia="Arial" w:hAnsi="Arial"/>
                <w:sz w:val="10"/>
                <w:szCs w:val="10"/>
                <w:color w:val="auto"/>
              </w:rPr>
              <w:t>9,588</w:t>
            </w:r>
          </w:p>
        </w:tc>
        <w:tc>
          <w:tcPr>
            <w:tcW w:w="1200" w:type="dxa"/>
            <w:vAlign w:val="bottom"/>
          </w:tcPr>
          <w:p>
            <w:pPr>
              <w:jc w:val="right"/>
              <w:ind w:right="533"/>
              <w:spacing w:after="0"/>
              <w:rPr>
                <w:sz w:val="20"/>
                <w:szCs w:val="20"/>
                <w:color w:val="auto"/>
              </w:rPr>
            </w:pPr>
            <w:r>
              <w:rPr>
                <w:rFonts w:ascii="Arial" w:cs="Arial" w:eastAsia="Arial" w:hAnsi="Arial"/>
                <w:sz w:val="10"/>
                <w:szCs w:val="10"/>
                <w:color w:val="auto"/>
              </w:rPr>
              <w:t>(13)</w:t>
            </w:r>
          </w:p>
        </w:tc>
        <w:tc>
          <w:tcPr>
            <w:tcW w:w="700" w:type="dxa"/>
            <w:vAlign w:val="bottom"/>
          </w:tcPr>
          <w:p>
            <w:pPr>
              <w:spacing w:after="0"/>
              <w:rPr>
                <w:sz w:val="9"/>
                <w:szCs w:val="9"/>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432"/>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9,904</w:t>
            </w:r>
          </w:p>
        </w:tc>
      </w:tr>
      <w:tr>
        <w:trPr>
          <w:trHeight w:val="127"/>
        </w:trPr>
        <w:tc>
          <w:tcPr>
            <w:tcW w:w="2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Effect of discounting cash flows at 10%</w:t>
            </w: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(76)</w:t>
            </w: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2,759</w:t>
            </w: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0"/>
                <w:szCs w:val="10"/>
                <w:color w:val="auto"/>
              </w:rPr>
              <w:t>(8)</w:t>
            </w:r>
          </w:p>
        </w:tc>
        <w:tc>
          <w:tcPr>
            <w:tcW w:w="7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0"/>
                <w:szCs w:val="10"/>
                <w:color w:val="auto"/>
              </w:rPr>
              <w:t>—</w:t>
            </w:r>
          </w:p>
        </w:tc>
        <w:tc>
          <w:tcPr>
            <w:tcW w:w="1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2,675</w:t>
            </w:r>
          </w:p>
        </w:tc>
      </w:tr>
      <w:tr>
        <w:trPr>
          <w:trHeight w:val="117"/>
        </w:trPr>
        <w:tc>
          <w:tcPr>
            <w:tcW w:w="2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Standardised measure of discounted future net cash flows</w:t>
            </w: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405</w:t>
            </w: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6,829</w:t>
            </w: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0"/>
                <w:szCs w:val="10"/>
                <w:color w:val="auto"/>
              </w:rPr>
              <w:t>(5) [A]</w:t>
            </w: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0"/>
                <w:szCs w:val="10"/>
                <w:color w:val="auto"/>
              </w:rPr>
              <w:t>—</w:t>
            </w:r>
          </w:p>
        </w:tc>
        <w:tc>
          <w:tcPr>
            <w:tcW w:w="1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7,229</w:t>
            </w:r>
          </w:p>
        </w:tc>
      </w:tr>
      <w:tr>
        <w:trPr>
          <w:trHeight w:val="128"/>
        </w:trPr>
        <w:tc>
          <w:tcPr>
            <w:tcW w:w="10660" w:type="dxa"/>
            <w:vAlign w:val="bottom"/>
            <w:gridSpan w:val="10"/>
          </w:tcPr>
          <w:p>
            <w:pPr>
              <w:spacing w:after="0"/>
              <w:rPr>
                <w:sz w:val="20"/>
                <w:szCs w:val="20"/>
                <w:color w:val="auto"/>
              </w:rPr>
            </w:pPr>
            <w:r>
              <w:rPr>
                <w:rFonts w:ascii="Arial" w:cs="Arial" w:eastAsia="Arial" w:hAnsi="Arial"/>
                <w:sz w:val="7"/>
                <w:szCs w:val="7"/>
                <w:color w:val="auto"/>
              </w:rPr>
              <w:t>[A] While proved reserves are economically producible at the 2018 yearly average price, the standardised measure of discounted future net cash flows was negative for those proved reserves at December 31, 2018, due to addition of overhead, tax and abandonment costs and ongoing commitments post production of proved reserves.</w:t>
            </w:r>
          </w:p>
        </w:tc>
        <w:tc>
          <w:tcPr>
            <w:tcW w:w="640" w:type="dxa"/>
            <w:vAlign w:val="bottom"/>
          </w:tcPr>
          <w:p>
            <w:pPr>
              <w:spacing w:after="0"/>
              <w:rPr>
                <w:sz w:val="11"/>
                <w:szCs w:val="11"/>
                <w:color w:val="auto"/>
              </w:rPr>
            </w:pPr>
          </w:p>
        </w:tc>
      </w:tr>
      <w:tr>
        <w:trPr>
          <w:trHeight w:val="441"/>
        </w:trPr>
        <w:tc>
          <w:tcPr>
            <w:tcW w:w="3860" w:type="dxa"/>
            <w:vAlign w:val="bottom"/>
            <w:gridSpan w:val="2"/>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1100" w:type="dxa"/>
            <w:vAlign w:val="bottom"/>
          </w:tcPr>
          <w:p>
            <w:pPr>
              <w:spacing w:after="0"/>
              <w:rPr>
                <w:sz w:val="24"/>
                <w:szCs w:val="24"/>
                <w:color w:val="auto"/>
              </w:rPr>
            </w:pPr>
          </w:p>
        </w:tc>
        <w:tc>
          <w:tcPr>
            <w:tcW w:w="1200" w:type="dxa"/>
            <w:vAlign w:val="bottom"/>
          </w:tcPr>
          <w:p>
            <w:pPr>
              <w:jc w:val="right"/>
              <w:ind w:right="473"/>
              <w:spacing w:after="0"/>
              <w:rPr>
                <w:sz w:val="20"/>
                <w:szCs w:val="20"/>
                <w:color w:val="auto"/>
              </w:rPr>
            </w:pPr>
            <w:r>
              <w:rPr>
                <w:rFonts w:ascii="Arial" w:cs="Arial" w:eastAsia="Arial" w:hAnsi="Arial"/>
                <w:sz w:val="7"/>
                <w:szCs w:val="7"/>
                <w:color w:val="auto"/>
              </w:rPr>
              <w:t>221</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2"/>
        </w:trPr>
        <w:tc>
          <w:tcPr>
            <w:tcW w:w="2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34" w:right="29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130"/>
        </w:trPr>
        <w:tc>
          <w:tcPr>
            <w:tcW w:w="6220" w:type="dxa"/>
            <w:vAlign w:val="bottom"/>
          </w:tcPr>
          <w:p>
            <w:pPr>
              <w:spacing w:after="0"/>
              <w:rPr>
                <w:sz w:val="20"/>
                <w:szCs w:val="20"/>
                <w:color w:val="auto"/>
              </w:rPr>
            </w:pPr>
            <w:r>
              <w:rPr>
                <w:rFonts w:ascii="Arial" w:cs="Arial" w:eastAsia="Arial" w:hAnsi="Arial"/>
                <w:sz w:val="10"/>
                <w:szCs w:val="10"/>
                <w:color w:val="auto"/>
              </w:rPr>
              <w:t>CHANGE IN STANDARDISED MEASURE OF DISCOUNTED FUTURE NET CASH FLOWS RELATING TO PROVED RESERVES</w:t>
            </w:r>
          </w:p>
        </w:tc>
        <w:tc>
          <w:tcPr>
            <w:tcW w:w="27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220" w:type="dxa"/>
            <w:vAlign w:val="bottom"/>
            <w:shd w:val="clear" w:color="auto" w:fill="CDCDCD"/>
          </w:tcPr>
          <w:p>
            <w:pPr>
              <w:spacing w:after="0"/>
              <w:rPr>
                <w:sz w:val="13"/>
                <w:szCs w:val="13"/>
                <w:color w:val="auto"/>
              </w:rPr>
            </w:pPr>
          </w:p>
        </w:tc>
        <w:tc>
          <w:tcPr>
            <w:tcW w:w="2740" w:type="dxa"/>
            <w:vAlign w:val="bottom"/>
            <w:shd w:val="clear" w:color="auto" w:fill="CDCDCD"/>
          </w:tcPr>
          <w:p>
            <w:pPr>
              <w:spacing w:after="0"/>
              <w:rPr>
                <w:sz w:val="13"/>
                <w:szCs w:val="13"/>
                <w:color w:val="auto"/>
              </w:rPr>
            </w:pPr>
          </w:p>
        </w:tc>
        <w:tc>
          <w:tcPr>
            <w:tcW w:w="1480" w:type="dxa"/>
            <w:vAlign w:val="bottom"/>
            <w:shd w:val="clear" w:color="auto" w:fill="CDCDCD"/>
          </w:tcPr>
          <w:p>
            <w:pPr>
              <w:spacing w:after="0"/>
              <w:rPr>
                <w:sz w:val="13"/>
                <w:szCs w:val="13"/>
                <w:color w:val="auto"/>
              </w:rPr>
            </w:pPr>
          </w:p>
        </w:tc>
        <w:tc>
          <w:tcPr>
            <w:tcW w:w="840" w:type="dxa"/>
            <w:vAlign w:val="bottom"/>
            <w:shd w:val="clear" w:color="auto" w:fill="CDCDCD"/>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220" w:type="dxa"/>
            <w:vAlign w:val="bottom"/>
          </w:tcPr>
          <w:p>
            <w:pPr>
              <w:spacing w:after="0"/>
              <w:rPr>
                <w:sz w:val="10"/>
                <w:szCs w:val="10"/>
                <w:color w:val="auto"/>
              </w:rPr>
            </w:pPr>
          </w:p>
        </w:tc>
        <w:tc>
          <w:tcPr>
            <w:tcW w:w="2740" w:type="dxa"/>
            <w:vAlign w:val="bottom"/>
          </w:tcPr>
          <w:p>
            <w:pPr>
              <w:jc w:val="right"/>
              <w:ind w:right="1612"/>
              <w:spacing w:after="0"/>
              <w:rPr>
                <w:sz w:val="20"/>
                <w:szCs w:val="20"/>
                <w:color w:val="auto"/>
              </w:rPr>
            </w:pPr>
            <w:r>
              <w:rPr>
                <w:rFonts w:ascii="Arial" w:cs="Arial" w:eastAsia="Arial" w:hAnsi="Arial"/>
                <w:sz w:val="10"/>
                <w:szCs w:val="10"/>
                <w:color w:val="auto"/>
              </w:rPr>
              <w:t>2020</w:t>
            </w:r>
          </w:p>
        </w:tc>
        <w:tc>
          <w:tcPr>
            <w:tcW w:w="14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95"/>
        </w:trPr>
        <w:tc>
          <w:tcPr>
            <w:tcW w:w="6220" w:type="dxa"/>
            <w:vAlign w:val="bottom"/>
          </w:tcPr>
          <w:p>
            <w:pPr>
              <w:spacing w:after="0"/>
              <w:rPr>
                <w:sz w:val="8"/>
                <w:szCs w:val="8"/>
                <w:color w:val="auto"/>
              </w:rPr>
            </w:pPr>
          </w:p>
        </w:tc>
        <w:tc>
          <w:tcPr>
            <w:tcW w:w="2740" w:type="dxa"/>
            <w:vAlign w:val="bottom"/>
            <w:vMerge w:val="restart"/>
          </w:tcPr>
          <w:p>
            <w:pPr>
              <w:jc w:val="right"/>
              <w:ind w:right="292"/>
              <w:spacing w:after="0"/>
              <w:rPr>
                <w:sz w:val="20"/>
                <w:szCs w:val="20"/>
                <w:color w:val="auto"/>
              </w:rPr>
            </w:pPr>
            <w:r>
              <w:rPr>
                <w:rFonts w:ascii="Arial" w:cs="Arial" w:eastAsia="Arial" w:hAnsi="Arial"/>
                <w:sz w:val="10"/>
                <w:szCs w:val="10"/>
                <w:color w:val="auto"/>
              </w:rPr>
              <w:t>Shell</w:t>
            </w:r>
          </w:p>
        </w:tc>
        <w:tc>
          <w:tcPr>
            <w:tcW w:w="1480" w:type="dxa"/>
            <w:vAlign w:val="bottom"/>
          </w:tcPr>
          <w:p>
            <w:pPr>
              <w:jc w:val="right"/>
              <w:ind w:right="452"/>
              <w:spacing w:after="0" w:line="95" w:lineRule="exact"/>
              <w:rPr>
                <w:sz w:val="20"/>
                <w:szCs w:val="20"/>
                <w:color w:val="auto"/>
              </w:rPr>
            </w:pPr>
            <w:r>
              <w:rPr>
                <w:rFonts w:ascii="Arial" w:cs="Arial" w:eastAsia="Arial" w:hAnsi="Arial"/>
                <w:sz w:val="10"/>
                <w:szCs w:val="10"/>
                <w:color w:val="auto"/>
              </w:rPr>
              <w:t>Shell share</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22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1480" w:type="dxa"/>
            <w:vAlign w:val="bottom"/>
          </w:tcPr>
          <w:p>
            <w:pPr>
              <w:jc w:val="right"/>
              <w:ind w:right="452"/>
              <w:spacing w:after="0" w:line="90" w:lineRule="exact"/>
              <w:rPr>
                <w:sz w:val="20"/>
                <w:szCs w:val="20"/>
                <w:color w:val="auto"/>
              </w:rPr>
            </w:pPr>
            <w:r>
              <w:rPr>
                <w:rFonts w:ascii="Arial" w:cs="Arial" w:eastAsia="Arial" w:hAnsi="Arial"/>
                <w:sz w:val="10"/>
                <w:szCs w:val="10"/>
                <w:color w:val="auto"/>
              </w:rPr>
              <w:t>of joint ventures</w:t>
            </w: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622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subsidiaries</w:t>
            </w:r>
          </w:p>
        </w:tc>
        <w:tc>
          <w:tcPr>
            <w:tcW w:w="14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and associates</w:t>
            </w:r>
          </w:p>
        </w:tc>
        <w:tc>
          <w:tcPr>
            <w:tcW w:w="8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220" w:type="dxa"/>
            <w:vAlign w:val="bottom"/>
          </w:tcPr>
          <w:p>
            <w:pPr>
              <w:spacing w:after="0" w:line="113" w:lineRule="exact"/>
              <w:rPr>
                <w:sz w:val="20"/>
                <w:szCs w:val="20"/>
                <w:color w:val="auto"/>
              </w:rPr>
            </w:pPr>
            <w:r>
              <w:rPr>
                <w:rFonts w:ascii="Arial" w:cs="Arial" w:eastAsia="Arial" w:hAnsi="Arial"/>
                <w:sz w:val="10"/>
                <w:szCs w:val="10"/>
                <w:color w:val="auto"/>
              </w:rPr>
              <w:t>At January 1</w:t>
            </w:r>
          </w:p>
        </w:tc>
        <w:tc>
          <w:tcPr>
            <w:tcW w:w="2740" w:type="dxa"/>
            <w:vAlign w:val="bottom"/>
          </w:tcPr>
          <w:p>
            <w:pPr>
              <w:jc w:val="right"/>
              <w:ind w:right="292"/>
              <w:spacing w:after="0" w:line="113" w:lineRule="exact"/>
              <w:rPr>
                <w:sz w:val="20"/>
                <w:szCs w:val="20"/>
                <w:color w:val="auto"/>
              </w:rPr>
            </w:pPr>
            <w:r>
              <w:rPr>
                <w:rFonts w:ascii="Arial" w:cs="Arial" w:eastAsia="Arial" w:hAnsi="Arial"/>
                <w:sz w:val="10"/>
                <w:szCs w:val="10"/>
                <w:color w:val="auto"/>
              </w:rPr>
              <w:t>72,854</w:t>
            </w:r>
          </w:p>
        </w:tc>
        <w:tc>
          <w:tcPr>
            <w:tcW w:w="1480" w:type="dxa"/>
            <w:vAlign w:val="bottom"/>
          </w:tcPr>
          <w:p>
            <w:pPr>
              <w:jc w:val="right"/>
              <w:ind w:right="452"/>
              <w:spacing w:after="0" w:line="113" w:lineRule="exact"/>
              <w:rPr>
                <w:sz w:val="20"/>
                <w:szCs w:val="20"/>
                <w:color w:val="auto"/>
              </w:rPr>
            </w:pPr>
            <w:r>
              <w:rPr>
                <w:rFonts w:ascii="Arial" w:cs="Arial" w:eastAsia="Arial" w:hAnsi="Arial"/>
                <w:sz w:val="10"/>
                <w:szCs w:val="10"/>
                <w:color w:val="auto"/>
              </w:rPr>
              <w:t>4,893</w:t>
            </w: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77,747</w:t>
            </w:r>
          </w:p>
        </w:tc>
        <w:tc>
          <w:tcPr>
            <w:tcW w:w="0" w:type="dxa"/>
            <w:vAlign w:val="bottom"/>
          </w:tcPr>
          <w:p>
            <w:pPr>
              <w:spacing w:after="0"/>
              <w:rPr>
                <w:sz w:val="1"/>
                <w:szCs w:val="1"/>
                <w:color w:val="auto"/>
              </w:rPr>
            </w:pPr>
          </w:p>
        </w:tc>
      </w:tr>
      <w:tr>
        <w:trPr>
          <w:trHeight w:val="123"/>
        </w:trPr>
        <w:tc>
          <w:tcPr>
            <w:tcW w:w="6220" w:type="dxa"/>
            <w:vAlign w:val="bottom"/>
          </w:tcPr>
          <w:p>
            <w:pPr>
              <w:spacing w:after="0"/>
              <w:rPr>
                <w:sz w:val="20"/>
                <w:szCs w:val="20"/>
                <w:color w:val="auto"/>
              </w:rPr>
            </w:pPr>
            <w:r>
              <w:rPr>
                <w:rFonts w:ascii="Arial" w:cs="Arial" w:eastAsia="Arial" w:hAnsi="Arial"/>
                <w:sz w:val="10"/>
                <w:szCs w:val="10"/>
                <w:color w:val="auto"/>
              </w:rPr>
              <w:t>Net changes in prices and production costs</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(69,363)</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(6,097)</w:t>
            </w:r>
          </w:p>
        </w:tc>
        <w:tc>
          <w:tcPr>
            <w:tcW w:w="840" w:type="dxa"/>
            <w:vAlign w:val="bottom"/>
          </w:tcPr>
          <w:p>
            <w:pPr>
              <w:jc w:val="right"/>
              <w:spacing w:after="0"/>
              <w:rPr>
                <w:sz w:val="20"/>
                <w:szCs w:val="20"/>
                <w:color w:val="auto"/>
              </w:rPr>
            </w:pPr>
            <w:r>
              <w:rPr>
                <w:rFonts w:ascii="Arial" w:cs="Arial" w:eastAsia="Arial" w:hAnsi="Arial"/>
                <w:sz w:val="10"/>
                <w:szCs w:val="10"/>
                <w:color w:val="auto"/>
              </w:rPr>
              <w:t>(75,460)</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Revisions of previous reserves estimates</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695</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17</w:t>
            </w:r>
          </w:p>
        </w:tc>
        <w:tc>
          <w:tcPr>
            <w:tcW w:w="840" w:type="dxa"/>
            <w:vAlign w:val="bottom"/>
          </w:tcPr>
          <w:p>
            <w:pPr>
              <w:jc w:val="right"/>
              <w:spacing w:after="0"/>
              <w:rPr>
                <w:sz w:val="20"/>
                <w:szCs w:val="20"/>
                <w:color w:val="auto"/>
              </w:rPr>
            </w:pPr>
            <w:r>
              <w:rPr>
                <w:rFonts w:ascii="Arial" w:cs="Arial" w:eastAsia="Arial" w:hAnsi="Arial"/>
                <w:sz w:val="10"/>
                <w:szCs w:val="10"/>
                <w:color w:val="auto"/>
              </w:rPr>
              <w:t>712</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Extensions, discoveries and improved recovery</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(540)</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0</w:t>
            </w:r>
          </w:p>
        </w:tc>
        <w:tc>
          <w:tcPr>
            <w:tcW w:w="840" w:type="dxa"/>
            <w:vAlign w:val="bottom"/>
          </w:tcPr>
          <w:p>
            <w:pPr>
              <w:jc w:val="right"/>
              <w:spacing w:after="0"/>
              <w:rPr>
                <w:sz w:val="20"/>
                <w:szCs w:val="20"/>
                <w:color w:val="auto"/>
              </w:rPr>
            </w:pPr>
            <w:r>
              <w:rPr>
                <w:rFonts w:ascii="Arial" w:cs="Arial" w:eastAsia="Arial" w:hAnsi="Arial"/>
                <w:sz w:val="10"/>
                <w:szCs w:val="10"/>
                <w:color w:val="auto"/>
              </w:rPr>
              <w:t>(540)</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Purchases and sales of minerals in place</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24</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(459)</w:t>
            </w:r>
          </w:p>
        </w:tc>
        <w:tc>
          <w:tcPr>
            <w:tcW w:w="840" w:type="dxa"/>
            <w:vAlign w:val="bottom"/>
          </w:tcPr>
          <w:p>
            <w:pPr>
              <w:jc w:val="right"/>
              <w:spacing w:after="0"/>
              <w:rPr>
                <w:sz w:val="20"/>
                <w:szCs w:val="20"/>
                <w:color w:val="auto"/>
              </w:rPr>
            </w:pPr>
            <w:r>
              <w:rPr>
                <w:rFonts w:ascii="Arial" w:cs="Arial" w:eastAsia="Arial" w:hAnsi="Arial"/>
                <w:sz w:val="10"/>
                <w:szCs w:val="10"/>
                <w:color w:val="auto"/>
              </w:rPr>
              <w:t>(435)</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Development cost related to future production</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2,906</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(426)</w:t>
            </w:r>
          </w:p>
        </w:tc>
        <w:tc>
          <w:tcPr>
            <w:tcW w:w="840" w:type="dxa"/>
            <w:vAlign w:val="bottom"/>
          </w:tcPr>
          <w:p>
            <w:pPr>
              <w:jc w:val="right"/>
              <w:spacing w:after="0"/>
              <w:rPr>
                <w:sz w:val="20"/>
                <w:szCs w:val="20"/>
                <w:color w:val="auto"/>
              </w:rPr>
            </w:pPr>
            <w:r>
              <w:rPr>
                <w:rFonts w:ascii="Arial" w:cs="Arial" w:eastAsia="Arial" w:hAnsi="Arial"/>
                <w:sz w:val="10"/>
                <w:szCs w:val="10"/>
                <w:color w:val="auto"/>
              </w:rPr>
              <w:t>2,480</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Sales and transfers of oil and gas, net of production costs</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(16,904)</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(1,954)</w:t>
            </w:r>
          </w:p>
        </w:tc>
        <w:tc>
          <w:tcPr>
            <w:tcW w:w="840" w:type="dxa"/>
            <w:vAlign w:val="bottom"/>
          </w:tcPr>
          <w:p>
            <w:pPr>
              <w:jc w:val="right"/>
              <w:spacing w:after="0"/>
              <w:rPr>
                <w:sz w:val="20"/>
                <w:szCs w:val="20"/>
                <w:color w:val="auto"/>
              </w:rPr>
            </w:pPr>
            <w:r>
              <w:rPr>
                <w:rFonts w:ascii="Arial" w:cs="Arial" w:eastAsia="Arial" w:hAnsi="Arial"/>
                <w:sz w:val="10"/>
                <w:szCs w:val="10"/>
                <w:color w:val="auto"/>
              </w:rPr>
              <w:t>(18,858)</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Development cost incurred during the year</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8,197</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759</w:t>
            </w:r>
          </w:p>
        </w:tc>
        <w:tc>
          <w:tcPr>
            <w:tcW w:w="840" w:type="dxa"/>
            <w:vAlign w:val="bottom"/>
          </w:tcPr>
          <w:p>
            <w:pPr>
              <w:jc w:val="right"/>
              <w:spacing w:after="0"/>
              <w:rPr>
                <w:sz w:val="20"/>
                <w:szCs w:val="20"/>
                <w:color w:val="auto"/>
              </w:rPr>
            </w:pPr>
            <w:r>
              <w:rPr>
                <w:rFonts w:ascii="Arial" w:cs="Arial" w:eastAsia="Arial" w:hAnsi="Arial"/>
                <w:sz w:val="10"/>
                <w:szCs w:val="10"/>
                <w:color w:val="auto"/>
              </w:rPr>
              <w:t>8,956</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Accretion of discount</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9,881</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832</w:t>
            </w:r>
          </w:p>
        </w:tc>
        <w:tc>
          <w:tcPr>
            <w:tcW w:w="840" w:type="dxa"/>
            <w:vAlign w:val="bottom"/>
          </w:tcPr>
          <w:p>
            <w:pPr>
              <w:jc w:val="right"/>
              <w:spacing w:after="0"/>
              <w:rPr>
                <w:sz w:val="20"/>
                <w:szCs w:val="20"/>
                <w:color w:val="auto"/>
              </w:rPr>
            </w:pPr>
            <w:r>
              <w:rPr>
                <w:rFonts w:ascii="Arial" w:cs="Arial" w:eastAsia="Arial" w:hAnsi="Arial"/>
                <w:sz w:val="10"/>
                <w:szCs w:val="10"/>
                <w:color w:val="auto"/>
              </w:rPr>
              <w:t>10,713</w:t>
            </w:r>
          </w:p>
        </w:tc>
        <w:tc>
          <w:tcPr>
            <w:tcW w:w="0" w:type="dxa"/>
            <w:vAlign w:val="bottom"/>
          </w:tcPr>
          <w:p>
            <w:pPr>
              <w:spacing w:after="0"/>
              <w:rPr>
                <w:sz w:val="1"/>
                <w:szCs w:val="1"/>
                <w:color w:val="auto"/>
              </w:rPr>
            </w:pPr>
          </w:p>
        </w:tc>
      </w:tr>
      <w:tr>
        <w:trPr>
          <w:trHeight w:val="130"/>
        </w:trPr>
        <w:tc>
          <w:tcPr>
            <w:tcW w:w="62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change in income tax</w:t>
            </w:r>
          </w:p>
        </w:tc>
        <w:tc>
          <w:tcPr>
            <w:tcW w:w="27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22,063</w:t>
            </w:r>
          </w:p>
        </w:tc>
        <w:tc>
          <w:tcPr>
            <w:tcW w:w="14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2,541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24,604</w:t>
            </w:r>
          </w:p>
        </w:tc>
        <w:tc>
          <w:tcPr>
            <w:tcW w:w="0" w:type="dxa"/>
            <w:vAlign w:val="bottom"/>
          </w:tcPr>
          <w:p>
            <w:pPr>
              <w:spacing w:after="0"/>
              <w:rPr>
                <w:sz w:val="1"/>
                <w:szCs w:val="1"/>
                <w:color w:val="auto"/>
              </w:rPr>
            </w:pPr>
          </w:p>
        </w:tc>
      </w:tr>
      <w:tr>
        <w:trPr>
          <w:trHeight w:val="117"/>
        </w:trPr>
        <w:tc>
          <w:tcPr>
            <w:tcW w:w="62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27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29,813</w:t>
            </w:r>
          </w:p>
        </w:tc>
        <w:tc>
          <w:tcPr>
            <w:tcW w:w="14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106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29,919</w:t>
            </w:r>
          </w:p>
        </w:tc>
        <w:tc>
          <w:tcPr>
            <w:tcW w:w="0" w:type="dxa"/>
            <w:vAlign w:val="bottom"/>
          </w:tcPr>
          <w:p>
            <w:pPr>
              <w:spacing w:after="0"/>
              <w:rPr>
                <w:sz w:val="1"/>
                <w:szCs w:val="1"/>
                <w:color w:val="auto"/>
              </w:rPr>
            </w:pPr>
          </w:p>
        </w:tc>
      </w:tr>
      <w:tr>
        <w:trPr>
          <w:trHeight w:val="81"/>
        </w:trPr>
        <w:tc>
          <w:tcPr>
            <w:tcW w:w="62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6220" w:type="dxa"/>
            <w:vAlign w:val="bottom"/>
            <w:shd w:val="clear" w:color="auto" w:fill="CDCDCD"/>
          </w:tcPr>
          <w:p>
            <w:pPr>
              <w:spacing w:after="0"/>
              <w:rPr>
                <w:sz w:val="12"/>
                <w:szCs w:val="12"/>
                <w:color w:val="auto"/>
              </w:rPr>
            </w:pPr>
          </w:p>
        </w:tc>
        <w:tc>
          <w:tcPr>
            <w:tcW w:w="2740" w:type="dxa"/>
            <w:vAlign w:val="bottom"/>
            <w:shd w:val="clear" w:color="auto" w:fill="CDCDCD"/>
          </w:tcPr>
          <w:p>
            <w:pPr>
              <w:spacing w:after="0"/>
              <w:rPr>
                <w:sz w:val="12"/>
                <w:szCs w:val="12"/>
                <w:color w:val="auto"/>
              </w:rPr>
            </w:pPr>
          </w:p>
        </w:tc>
        <w:tc>
          <w:tcPr>
            <w:tcW w:w="1480" w:type="dxa"/>
            <w:vAlign w:val="bottom"/>
            <w:shd w:val="clear" w:color="auto" w:fill="CDCDCD"/>
          </w:tcPr>
          <w:p>
            <w:pPr>
              <w:spacing w:after="0"/>
              <w:rPr>
                <w:sz w:val="12"/>
                <w:szCs w:val="12"/>
                <w:color w:val="auto"/>
              </w:rPr>
            </w:pPr>
          </w:p>
        </w:tc>
        <w:tc>
          <w:tcPr>
            <w:tcW w:w="840" w:type="dxa"/>
            <w:vAlign w:val="bottom"/>
            <w:shd w:val="clear" w:color="auto" w:fill="CDCDCD"/>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220" w:type="dxa"/>
            <w:vAlign w:val="bottom"/>
          </w:tcPr>
          <w:p>
            <w:pPr>
              <w:spacing w:after="0"/>
              <w:rPr>
                <w:sz w:val="10"/>
                <w:szCs w:val="10"/>
                <w:color w:val="auto"/>
              </w:rPr>
            </w:pPr>
          </w:p>
        </w:tc>
        <w:tc>
          <w:tcPr>
            <w:tcW w:w="2740" w:type="dxa"/>
            <w:vAlign w:val="bottom"/>
          </w:tcPr>
          <w:p>
            <w:pPr>
              <w:jc w:val="right"/>
              <w:ind w:right="1612"/>
              <w:spacing w:after="0"/>
              <w:rPr>
                <w:sz w:val="20"/>
                <w:szCs w:val="20"/>
                <w:color w:val="auto"/>
              </w:rPr>
            </w:pPr>
            <w:r>
              <w:rPr>
                <w:rFonts w:ascii="Arial" w:cs="Arial" w:eastAsia="Arial" w:hAnsi="Arial"/>
                <w:sz w:val="10"/>
                <w:szCs w:val="10"/>
                <w:color w:val="auto"/>
              </w:rPr>
              <w:t>2019</w:t>
            </w:r>
          </w:p>
        </w:tc>
        <w:tc>
          <w:tcPr>
            <w:tcW w:w="14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95"/>
        </w:trPr>
        <w:tc>
          <w:tcPr>
            <w:tcW w:w="6220" w:type="dxa"/>
            <w:vAlign w:val="bottom"/>
          </w:tcPr>
          <w:p>
            <w:pPr>
              <w:spacing w:after="0"/>
              <w:rPr>
                <w:sz w:val="8"/>
                <w:szCs w:val="8"/>
                <w:color w:val="auto"/>
              </w:rPr>
            </w:pPr>
          </w:p>
        </w:tc>
        <w:tc>
          <w:tcPr>
            <w:tcW w:w="2740" w:type="dxa"/>
            <w:vAlign w:val="bottom"/>
            <w:vMerge w:val="restart"/>
          </w:tcPr>
          <w:p>
            <w:pPr>
              <w:jc w:val="right"/>
              <w:ind w:right="292"/>
              <w:spacing w:after="0"/>
              <w:rPr>
                <w:sz w:val="20"/>
                <w:szCs w:val="20"/>
                <w:color w:val="auto"/>
              </w:rPr>
            </w:pPr>
            <w:r>
              <w:rPr>
                <w:rFonts w:ascii="Arial" w:cs="Arial" w:eastAsia="Arial" w:hAnsi="Arial"/>
                <w:sz w:val="10"/>
                <w:szCs w:val="10"/>
                <w:color w:val="auto"/>
              </w:rPr>
              <w:t>Shell</w:t>
            </w:r>
          </w:p>
        </w:tc>
        <w:tc>
          <w:tcPr>
            <w:tcW w:w="1480" w:type="dxa"/>
            <w:vAlign w:val="bottom"/>
          </w:tcPr>
          <w:p>
            <w:pPr>
              <w:jc w:val="right"/>
              <w:ind w:right="452"/>
              <w:spacing w:after="0" w:line="95" w:lineRule="exact"/>
              <w:rPr>
                <w:sz w:val="20"/>
                <w:szCs w:val="20"/>
                <w:color w:val="auto"/>
              </w:rPr>
            </w:pPr>
            <w:r>
              <w:rPr>
                <w:rFonts w:ascii="Arial" w:cs="Arial" w:eastAsia="Arial" w:hAnsi="Arial"/>
                <w:sz w:val="10"/>
                <w:szCs w:val="10"/>
                <w:color w:val="auto"/>
              </w:rPr>
              <w:t>Shell share</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22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1480" w:type="dxa"/>
            <w:vAlign w:val="bottom"/>
          </w:tcPr>
          <w:p>
            <w:pPr>
              <w:jc w:val="right"/>
              <w:ind w:right="452"/>
              <w:spacing w:after="0" w:line="90" w:lineRule="exact"/>
              <w:rPr>
                <w:sz w:val="20"/>
                <w:szCs w:val="20"/>
                <w:color w:val="auto"/>
              </w:rPr>
            </w:pPr>
            <w:r>
              <w:rPr>
                <w:rFonts w:ascii="Arial" w:cs="Arial" w:eastAsia="Arial" w:hAnsi="Arial"/>
                <w:sz w:val="10"/>
                <w:szCs w:val="10"/>
                <w:color w:val="auto"/>
              </w:rPr>
              <w:t>of joint ventures</w:t>
            </w: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622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subsidiaries</w:t>
            </w:r>
          </w:p>
        </w:tc>
        <w:tc>
          <w:tcPr>
            <w:tcW w:w="14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and associates</w:t>
            </w:r>
          </w:p>
        </w:tc>
        <w:tc>
          <w:tcPr>
            <w:tcW w:w="8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220" w:type="dxa"/>
            <w:vAlign w:val="bottom"/>
          </w:tcPr>
          <w:p>
            <w:pPr>
              <w:spacing w:after="0" w:line="113" w:lineRule="exact"/>
              <w:rPr>
                <w:sz w:val="20"/>
                <w:szCs w:val="20"/>
                <w:color w:val="auto"/>
              </w:rPr>
            </w:pPr>
            <w:r>
              <w:rPr>
                <w:rFonts w:ascii="Arial" w:cs="Arial" w:eastAsia="Arial" w:hAnsi="Arial"/>
                <w:sz w:val="10"/>
                <w:szCs w:val="10"/>
                <w:color w:val="auto"/>
              </w:rPr>
              <w:t>At January 1</w:t>
            </w:r>
          </w:p>
        </w:tc>
        <w:tc>
          <w:tcPr>
            <w:tcW w:w="2740" w:type="dxa"/>
            <w:vAlign w:val="bottom"/>
          </w:tcPr>
          <w:p>
            <w:pPr>
              <w:jc w:val="right"/>
              <w:ind w:right="312"/>
              <w:spacing w:after="0" w:line="113" w:lineRule="exact"/>
              <w:rPr>
                <w:sz w:val="20"/>
                <w:szCs w:val="20"/>
                <w:color w:val="auto"/>
              </w:rPr>
            </w:pPr>
            <w:r>
              <w:rPr>
                <w:rFonts w:ascii="Arial" w:cs="Arial" w:eastAsia="Arial" w:hAnsi="Arial"/>
                <w:sz w:val="10"/>
                <w:szCs w:val="10"/>
                <w:color w:val="auto"/>
              </w:rPr>
              <w:t>89,845</w:t>
            </w:r>
          </w:p>
        </w:tc>
        <w:tc>
          <w:tcPr>
            <w:tcW w:w="1480" w:type="dxa"/>
            <w:vAlign w:val="bottom"/>
          </w:tcPr>
          <w:p>
            <w:pPr>
              <w:jc w:val="right"/>
              <w:ind w:right="472"/>
              <w:spacing w:after="0" w:line="113" w:lineRule="exact"/>
              <w:rPr>
                <w:sz w:val="20"/>
                <w:szCs w:val="20"/>
                <w:color w:val="auto"/>
              </w:rPr>
            </w:pPr>
            <w:r>
              <w:rPr>
                <w:rFonts w:ascii="Arial" w:cs="Arial" w:eastAsia="Arial" w:hAnsi="Arial"/>
                <w:sz w:val="10"/>
                <w:szCs w:val="10"/>
                <w:color w:val="auto"/>
              </w:rPr>
              <w:t>7,229</w:t>
            </w: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97,074</w:t>
            </w:r>
          </w:p>
        </w:tc>
        <w:tc>
          <w:tcPr>
            <w:tcW w:w="0" w:type="dxa"/>
            <w:vAlign w:val="bottom"/>
          </w:tcPr>
          <w:p>
            <w:pPr>
              <w:spacing w:after="0"/>
              <w:rPr>
                <w:sz w:val="1"/>
                <w:szCs w:val="1"/>
                <w:color w:val="auto"/>
              </w:rPr>
            </w:pPr>
          </w:p>
        </w:tc>
      </w:tr>
      <w:tr>
        <w:trPr>
          <w:trHeight w:val="123"/>
        </w:trPr>
        <w:tc>
          <w:tcPr>
            <w:tcW w:w="6220" w:type="dxa"/>
            <w:vAlign w:val="bottom"/>
          </w:tcPr>
          <w:p>
            <w:pPr>
              <w:spacing w:after="0"/>
              <w:rPr>
                <w:sz w:val="20"/>
                <w:szCs w:val="20"/>
                <w:color w:val="auto"/>
              </w:rPr>
            </w:pPr>
            <w:r>
              <w:rPr>
                <w:rFonts w:ascii="Arial" w:cs="Arial" w:eastAsia="Arial" w:hAnsi="Arial"/>
                <w:sz w:val="10"/>
                <w:szCs w:val="10"/>
                <w:color w:val="auto"/>
              </w:rPr>
              <w:t>Net changes in prices and production costs</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(18,759)</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(1,017)</w:t>
            </w:r>
          </w:p>
        </w:tc>
        <w:tc>
          <w:tcPr>
            <w:tcW w:w="840" w:type="dxa"/>
            <w:vAlign w:val="bottom"/>
          </w:tcPr>
          <w:p>
            <w:pPr>
              <w:jc w:val="right"/>
              <w:spacing w:after="0"/>
              <w:rPr>
                <w:sz w:val="20"/>
                <w:szCs w:val="20"/>
                <w:color w:val="auto"/>
              </w:rPr>
            </w:pPr>
            <w:r>
              <w:rPr>
                <w:rFonts w:ascii="Arial" w:cs="Arial" w:eastAsia="Arial" w:hAnsi="Arial"/>
                <w:sz w:val="10"/>
                <w:szCs w:val="10"/>
                <w:color w:val="auto"/>
              </w:rPr>
              <w:t>(19,776)</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Revisions of previous reserves estimates</w:t>
            </w:r>
          </w:p>
        </w:tc>
        <w:tc>
          <w:tcPr>
            <w:tcW w:w="2740" w:type="dxa"/>
            <w:vAlign w:val="bottom"/>
          </w:tcPr>
          <w:p>
            <w:pPr>
              <w:jc w:val="right"/>
              <w:ind w:right="312"/>
              <w:spacing w:after="0"/>
              <w:rPr>
                <w:sz w:val="20"/>
                <w:szCs w:val="20"/>
                <w:color w:val="auto"/>
              </w:rPr>
            </w:pPr>
            <w:r>
              <w:rPr>
                <w:rFonts w:ascii="Arial" w:cs="Arial" w:eastAsia="Arial" w:hAnsi="Arial"/>
                <w:sz w:val="10"/>
                <w:szCs w:val="10"/>
                <w:color w:val="auto"/>
              </w:rPr>
              <w:t>13,777</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(293)</w:t>
            </w:r>
          </w:p>
        </w:tc>
        <w:tc>
          <w:tcPr>
            <w:tcW w:w="840" w:type="dxa"/>
            <w:vAlign w:val="bottom"/>
          </w:tcPr>
          <w:p>
            <w:pPr>
              <w:jc w:val="right"/>
              <w:spacing w:after="0"/>
              <w:rPr>
                <w:sz w:val="20"/>
                <w:szCs w:val="20"/>
                <w:color w:val="auto"/>
              </w:rPr>
            </w:pPr>
            <w:r>
              <w:rPr>
                <w:rFonts w:ascii="Arial" w:cs="Arial" w:eastAsia="Arial" w:hAnsi="Arial"/>
                <w:sz w:val="10"/>
                <w:szCs w:val="10"/>
                <w:color w:val="auto"/>
              </w:rPr>
              <w:t>13,484</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Extensions, discoveries and improved recovery</w:t>
            </w:r>
          </w:p>
        </w:tc>
        <w:tc>
          <w:tcPr>
            <w:tcW w:w="2740" w:type="dxa"/>
            <w:vAlign w:val="bottom"/>
          </w:tcPr>
          <w:p>
            <w:pPr>
              <w:jc w:val="right"/>
              <w:ind w:right="312"/>
              <w:spacing w:after="0"/>
              <w:rPr>
                <w:sz w:val="20"/>
                <w:szCs w:val="20"/>
                <w:color w:val="auto"/>
              </w:rPr>
            </w:pPr>
            <w:r>
              <w:rPr>
                <w:rFonts w:ascii="Arial" w:cs="Arial" w:eastAsia="Arial" w:hAnsi="Arial"/>
                <w:sz w:val="10"/>
                <w:szCs w:val="10"/>
                <w:color w:val="auto"/>
              </w:rPr>
              <w:t>5,193</w:t>
            </w:r>
          </w:p>
        </w:tc>
        <w:tc>
          <w:tcPr>
            <w:tcW w:w="1480" w:type="dxa"/>
            <w:vAlign w:val="bottom"/>
          </w:tcPr>
          <w:p>
            <w:pPr>
              <w:jc w:val="right"/>
              <w:ind w:right="472"/>
              <w:spacing w:after="0"/>
              <w:rPr>
                <w:sz w:val="20"/>
                <w:szCs w:val="20"/>
                <w:color w:val="auto"/>
              </w:rPr>
            </w:pPr>
            <w:r>
              <w:rPr>
                <w:rFonts w:ascii="Arial" w:cs="Arial" w:eastAsia="Arial" w:hAnsi="Arial"/>
                <w:sz w:val="10"/>
                <w:szCs w:val="10"/>
                <w:color w:val="auto"/>
              </w:rPr>
              <w:t>93</w:t>
            </w:r>
          </w:p>
        </w:tc>
        <w:tc>
          <w:tcPr>
            <w:tcW w:w="840" w:type="dxa"/>
            <w:vAlign w:val="bottom"/>
          </w:tcPr>
          <w:p>
            <w:pPr>
              <w:jc w:val="right"/>
              <w:spacing w:after="0"/>
              <w:rPr>
                <w:sz w:val="20"/>
                <w:szCs w:val="20"/>
                <w:color w:val="auto"/>
              </w:rPr>
            </w:pPr>
            <w:r>
              <w:rPr>
                <w:rFonts w:ascii="Arial" w:cs="Arial" w:eastAsia="Arial" w:hAnsi="Arial"/>
                <w:sz w:val="10"/>
                <w:szCs w:val="10"/>
                <w:color w:val="auto"/>
              </w:rPr>
              <w:t>5,286</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Purchases and sales of minerals in place</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(2,831)</w:t>
            </w:r>
          </w:p>
        </w:tc>
        <w:tc>
          <w:tcPr>
            <w:tcW w:w="148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(2,831)</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Development cost related to future production</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(9,417)</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(2)</w:t>
            </w:r>
          </w:p>
        </w:tc>
        <w:tc>
          <w:tcPr>
            <w:tcW w:w="840" w:type="dxa"/>
            <w:vAlign w:val="bottom"/>
          </w:tcPr>
          <w:p>
            <w:pPr>
              <w:jc w:val="right"/>
              <w:spacing w:after="0"/>
              <w:rPr>
                <w:sz w:val="20"/>
                <w:szCs w:val="20"/>
                <w:color w:val="auto"/>
              </w:rPr>
            </w:pPr>
            <w:r>
              <w:rPr>
                <w:rFonts w:ascii="Arial" w:cs="Arial" w:eastAsia="Arial" w:hAnsi="Arial"/>
                <w:sz w:val="10"/>
                <w:szCs w:val="10"/>
                <w:color w:val="auto"/>
              </w:rPr>
              <w:t>(9,419)</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Sales and transfers of oil and gas, net of production costs</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(33,319)</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(3,918)</w:t>
            </w:r>
          </w:p>
        </w:tc>
        <w:tc>
          <w:tcPr>
            <w:tcW w:w="840" w:type="dxa"/>
            <w:vAlign w:val="bottom"/>
          </w:tcPr>
          <w:p>
            <w:pPr>
              <w:jc w:val="right"/>
              <w:spacing w:after="0"/>
              <w:rPr>
                <w:sz w:val="20"/>
                <w:szCs w:val="20"/>
                <w:color w:val="auto"/>
              </w:rPr>
            </w:pPr>
            <w:r>
              <w:rPr>
                <w:rFonts w:ascii="Arial" w:cs="Arial" w:eastAsia="Arial" w:hAnsi="Arial"/>
                <w:sz w:val="10"/>
                <w:szCs w:val="10"/>
                <w:color w:val="auto"/>
              </w:rPr>
              <w:t>(37,237)</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Development cost incurred during the year</w:t>
            </w:r>
          </w:p>
        </w:tc>
        <w:tc>
          <w:tcPr>
            <w:tcW w:w="2740" w:type="dxa"/>
            <w:vAlign w:val="bottom"/>
          </w:tcPr>
          <w:p>
            <w:pPr>
              <w:jc w:val="right"/>
              <w:ind w:right="312"/>
              <w:spacing w:after="0"/>
              <w:rPr>
                <w:sz w:val="20"/>
                <w:szCs w:val="20"/>
                <w:color w:val="auto"/>
              </w:rPr>
            </w:pPr>
            <w:r>
              <w:rPr>
                <w:rFonts w:ascii="Arial" w:cs="Arial" w:eastAsia="Arial" w:hAnsi="Arial"/>
                <w:sz w:val="10"/>
                <w:szCs w:val="10"/>
                <w:color w:val="auto"/>
              </w:rPr>
              <w:t>10,430</w:t>
            </w:r>
          </w:p>
        </w:tc>
        <w:tc>
          <w:tcPr>
            <w:tcW w:w="1480" w:type="dxa"/>
            <w:vAlign w:val="bottom"/>
          </w:tcPr>
          <w:p>
            <w:pPr>
              <w:jc w:val="right"/>
              <w:ind w:right="472"/>
              <w:spacing w:after="0"/>
              <w:rPr>
                <w:sz w:val="20"/>
                <w:szCs w:val="20"/>
                <w:color w:val="auto"/>
              </w:rPr>
            </w:pPr>
            <w:r>
              <w:rPr>
                <w:rFonts w:ascii="Arial" w:cs="Arial" w:eastAsia="Arial" w:hAnsi="Arial"/>
                <w:sz w:val="10"/>
                <w:szCs w:val="10"/>
                <w:color w:val="auto"/>
              </w:rPr>
              <w:t>702</w:t>
            </w:r>
          </w:p>
        </w:tc>
        <w:tc>
          <w:tcPr>
            <w:tcW w:w="840" w:type="dxa"/>
            <w:vAlign w:val="bottom"/>
          </w:tcPr>
          <w:p>
            <w:pPr>
              <w:jc w:val="right"/>
              <w:spacing w:after="0"/>
              <w:rPr>
                <w:sz w:val="20"/>
                <w:szCs w:val="20"/>
                <w:color w:val="auto"/>
              </w:rPr>
            </w:pPr>
            <w:r>
              <w:rPr>
                <w:rFonts w:ascii="Arial" w:cs="Arial" w:eastAsia="Arial" w:hAnsi="Arial"/>
                <w:sz w:val="10"/>
                <w:szCs w:val="10"/>
                <w:color w:val="auto"/>
              </w:rPr>
              <w:t>11,132</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Accretion of discount</w:t>
            </w:r>
          </w:p>
        </w:tc>
        <w:tc>
          <w:tcPr>
            <w:tcW w:w="2740" w:type="dxa"/>
            <w:vAlign w:val="bottom"/>
          </w:tcPr>
          <w:p>
            <w:pPr>
              <w:jc w:val="right"/>
              <w:ind w:right="312"/>
              <w:spacing w:after="0"/>
              <w:rPr>
                <w:sz w:val="20"/>
                <w:szCs w:val="20"/>
                <w:color w:val="auto"/>
              </w:rPr>
            </w:pPr>
            <w:r>
              <w:rPr>
                <w:rFonts w:ascii="Arial" w:cs="Arial" w:eastAsia="Arial" w:hAnsi="Arial"/>
                <w:sz w:val="10"/>
                <w:szCs w:val="10"/>
                <w:color w:val="auto"/>
              </w:rPr>
              <w:t>12,004</w:t>
            </w:r>
          </w:p>
        </w:tc>
        <w:tc>
          <w:tcPr>
            <w:tcW w:w="1480" w:type="dxa"/>
            <w:vAlign w:val="bottom"/>
          </w:tcPr>
          <w:p>
            <w:pPr>
              <w:jc w:val="right"/>
              <w:ind w:right="472"/>
              <w:spacing w:after="0"/>
              <w:rPr>
                <w:sz w:val="20"/>
                <w:szCs w:val="20"/>
                <w:color w:val="auto"/>
              </w:rPr>
            </w:pPr>
            <w:r>
              <w:rPr>
                <w:rFonts w:ascii="Arial" w:cs="Arial" w:eastAsia="Arial" w:hAnsi="Arial"/>
                <w:sz w:val="10"/>
                <w:szCs w:val="10"/>
                <w:color w:val="auto"/>
              </w:rPr>
              <w:t>1,133</w:t>
            </w:r>
          </w:p>
        </w:tc>
        <w:tc>
          <w:tcPr>
            <w:tcW w:w="840" w:type="dxa"/>
            <w:vAlign w:val="bottom"/>
          </w:tcPr>
          <w:p>
            <w:pPr>
              <w:jc w:val="right"/>
              <w:spacing w:after="0"/>
              <w:rPr>
                <w:sz w:val="20"/>
                <w:szCs w:val="20"/>
                <w:color w:val="auto"/>
              </w:rPr>
            </w:pPr>
            <w:r>
              <w:rPr>
                <w:rFonts w:ascii="Arial" w:cs="Arial" w:eastAsia="Arial" w:hAnsi="Arial"/>
                <w:sz w:val="10"/>
                <w:szCs w:val="10"/>
                <w:color w:val="auto"/>
              </w:rPr>
              <w:t>13,137</w:t>
            </w:r>
          </w:p>
        </w:tc>
        <w:tc>
          <w:tcPr>
            <w:tcW w:w="0" w:type="dxa"/>
            <w:vAlign w:val="bottom"/>
          </w:tcPr>
          <w:p>
            <w:pPr>
              <w:spacing w:after="0"/>
              <w:rPr>
                <w:sz w:val="1"/>
                <w:szCs w:val="1"/>
                <w:color w:val="auto"/>
              </w:rPr>
            </w:pPr>
          </w:p>
        </w:tc>
      </w:tr>
      <w:tr>
        <w:trPr>
          <w:trHeight w:val="130"/>
        </w:trPr>
        <w:tc>
          <w:tcPr>
            <w:tcW w:w="62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change in income tax</w:t>
            </w:r>
          </w:p>
        </w:tc>
        <w:tc>
          <w:tcPr>
            <w:tcW w:w="27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5,931</w:t>
            </w: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966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6,897</w:t>
            </w:r>
          </w:p>
        </w:tc>
        <w:tc>
          <w:tcPr>
            <w:tcW w:w="0" w:type="dxa"/>
            <w:vAlign w:val="bottom"/>
          </w:tcPr>
          <w:p>
            <w:pPr>
              <w:spacing w:after="0"/>
              <w:rPr>
                <w:sz w:val="1"/>
                <w:szCs w:val="1"/>
                <w:color w:val="auto"/>
              </w:rPr>
            </w:pPr>
          </w:p>
        </w:tc>
      </w:tr>
      <w:tr>
        <w:trPr>
          <w:trHeight w:val="117"/>
        </w:trPr>
        <w:tc>
          <w:tcPr>
            <w:tcW w:w="62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27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72,854</w:t>
            </w: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4,893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77,747</w:t>
            </w:r>
          </w:p>
        </w:tc>
        <w:tc>
          <w:tcPr>
            <w:tcW w:w="0" w:type="dxa"/>
            <w:vAlign w:val="bottom"/>
          </w:tcPr>
          <w:p>
            <w:pPr>
              <w:spacing w:after="0"/>
              <w:rPr>
                <w:sz w:val="1"/>
                <w:szCs w:val="1"/>
                <w:color w:val="auto"/>
              </w:rPr>
            </w:pPr>
          </w:p>
        </w:tc>
      </w:tr>
      <w:tr>
        <w:trPr>
          <w:trHeight w:val="72"/>
        </w:trPr>
        <w:tc>
          <w:tcPr>
            <w:tcW w:w="62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6220" w:type="dxa"/>
            <w:vAlign w:val="bottom"/>
            <w:shd w:val="clear" w:color="auto" w:fill="CDCDCD"/>
          </w:tcPr>
          <w:p>
            <w:pPr>
              <w:spacing w:after="0"/>
              <w:rPr>
                <w:sz w:val="10"/>
                <w:szCs w:val="10"/>
                <w:color w:val="auto"/>
              </w:rPr>
            </w:pPr>
          </w:p>
        </w:tc>
        <w:tc>
          <w:tcPr>
            <w:tcW w:w="2740" w:type="dxa"/>
            <w:vAlign w:val="bottom"/>
            <w:shd w:val="clear" w:color="auto" w:fill="CDCDCD"/>
          </w:tcPr>
          <w:p>
            <w:pPr>
              <w:spacing w:after="0"/>
              <w:rPr>
                <w:sz w:val="10"/>
                <w:szCs w:val="10"/>
                <w:color w:val="auto"/>
              </w:rPr>
            </w:pPr>
          </w:p>
        </w:tc>
        <w:tc>
          <w:tcPr>
            <w:tcW w:w="1480" w:type="dxa"/>
            <w:vAlign w:val="bottom"/>
            <w:shd w:val="clear" w:color="auto" w:fill="CDCDCD"/>
          </w:tcPr>
          <w:p>
            <w:pPr>
              <w:spacing w:after="0"/>
              <w:rPr>
                <w:sz w:val="10"/>
                <w:szCs w:val="10"/>
                <w:color w:val="auto"/>
              </w:rPr>
            </w:pPr>
          </w:p>
        </w:tc>
        <w:tc>
          <w:tcPr>
            <w:tcW w:w="840" w:type="dxa"/>
            <w:vAlign w:val="bottom"/>
            <w:shd w:val="clear" w:color="auto" w:fill="CDCDCD"/>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220" w:type="dxa"/>
            <w:vAlign w:val="bottom"/>
          </w:tcPr>
          <w:p>
            <w:pPr>
              <w:spacing w:after="0"/>
              <w:rPr>
                <w:sz w:val="10"/>
                <w:szCs w:val="10"/>
                <w:color w:val="auto"/>
              </w:rPr>
            </w:pPr>
          </w:p>
        </w:tc>
        <w:tc>
          <w:tcPr>
            <w:tcW w:w="2740" w:type="dxa"/>
            <w:vAlign w:val="bottom"/>
          </w:tcPr>
          <w:p>
            <w:pPr>
              <w:jc w:val="right"/>
              <w:ind w:right="1612"/>
              <w:spacing w:after="0"/>
              <w:rPr>
                <w:sz w:val="20"/>
                <w:szCs w:val="20"/>
                <w:color w:val="auto"/>
              </w:rPr>
            </w:pPr>
            <w:r>
              <w:rPr>
                <w:rFonts w:ascii="Arial" w:cs="Arial" w:eastAsia="Arial" w:hAnsi="Arial"/>
                <w:sz w:val="10"/>
                <w:szCs w:val="10"/>
                <w:color w:val="auto"/>
              </w:rPr>
              <w:t>2018</w:t>
            </w:r>
          </w:p>
        </w:tc>
        <w:tc>
          <w:tcPr>
            <w:tcW w:w="14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95"/>
        </w:trPr>
        <w:tc>
          <w:tcPr>
            <w:tcW w:w="6220" w:type="dxa"/>
            <w:vAlign w:val="bottom"/>
          </w:tcPr>
          <w:p>
            <w:pPr>
              <w:spacing w:after="0"/>
              <w:rPr>
                <w:sz w:val="8"/>
                <w:szCs w:val="8"/>
                <w:color w:val="auto"/>
              </w:rPr>
            </w:pPr>
          </w:p>
        </w:tc>
        <w:tc>
          <w:tcPr>
            <w:tcW w:w="2740" w:type="dxa"/>
            <w:vAlign w:val="bottom"/>
            <w:vMerge w:val="restart"/>
          </w:tcPr>
          <w:p>
            <w:pPr>
              <w:jc w:val="right"/>
              <w:ind w:right="292"/>
              <w:spacing w:after="0"/>
              <w:rPr>
                <w:sz w:val="20"/>
                <w:szCs w:val="20"/>
                <w:color w:val="auto"/>
              </w:rPr>
            </w:pPr>
            <w:r>
              <w:rPr>
                <w:rFonts w:ascii="Arial" w:cs="Arial" w:eastAsia="Arial" w:hAnsi="Arial"/>
                <w:sz w:val="10"/>
                <w:szCs w:val="10"/>
                <w:color w:val="auto"/>
              </w:rPr>
              <w:t>Shell</w:t>
            </w:r>
          </w:p>
        </w:tc>
        <w:tc>
          <w:tcPr>
            <w:tcW w:w="1480" w:type="dxa"/>
            <w:vAlign w:val="bottom"/>
          </w:tcPr>
          <w:p>
            <w:pPr>
              <w:jc w:val="right"/>
              <w:ind w:right="452"/>
              <w:spacing w:after="0" w:line="95" w:lineRule="exact"/>
              <w:rPr>
                <w:sz w:val="20"/>
                <w:szCs w:val="20"/>
                <w:color w:val="auto"/>
              </w:rPr>
            </w:pPr>
            <w:r>
              <w:rPr>
                <w:rFonts w:ascii="Arial" w:cs="Arial" w:eastAsia="Arial" w:hAnsi="Arial"/>
                <w:sz w:val="10"/>
                <w:szCs w:val="10"/>
                <w:color w:val="auto"/>
              </w:rPr>
              <w:t>Shell share</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22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1480" w:type="dxa"/>
            <w:vAlign w:val="bottom"/>
          </w:tcPr>
          <w:p>
            <w:pPr>
              <w:jc w:val="right"/>
              <w:ind w:right="452"/>
              <w:spacing w:after="0" w:line="90" w:lineRule="exact"/>
              <w:rPr>
                <w:sz w:val="20"/>
                <w:szCs w:val="20"/>
                <w:color w:val="auto"/>
              </w:rPr>
            </w:pPr>
            <w:r>
              <w:rPr>
                <w:rFonts w:ascii="Arial" w:cs="Arial" w:eastAsia="Arial" w:hAnsi="Arial"/>
                <w:sz w:val="10"/>
                <w:szCs w:val="10"/>
                <w:color w:val="auto"/>
              </w:rPr>
              <w:t>of joint ventures</w:t>
            </w: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4"/>
        </w:trPr>
        <w:tc>
          <w:tcPr>
            <w:tcW w:w="622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subsidiaries</w:t>
            </w:r>
          </w:p>
        </w:tc>
        <w:tc>
          <w:tcPr>
            <w:tcW w:w="14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and associates</w:t>
            </w:r>
          </w:p>
        </w:tc>
        <w:tc>
          <w:tcPr>
            <w:tcW w:w="8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220" w:type="dxa"/>
            <w:vAlign w:val="bottom"/>
          </w:tcPr>
          <w:p>
            <w:pPr>
              <w:spacing w:after="0" w:line="113" w:lineRule="exact"/>
              <w:rPr>
                <w:sz w:val="20"/>
                <w:szCs w:val="20"/>
                <w:color w:val="auto"/>
              </w:rPr>
            </w:pPr>
            <w:r>
              <w:rPr>
                <w:rFonts w:ascii="Arial" w:cs="Arial" w:eastAsia="Arial" w:hAnsi="Arial"/>
                <w:sz w:val="10"/>
                <w:szCs w:val="10"/>
                <w:color w:val="auto"/>
              </w:rPr>
              <w:t>At January 1</w:t>
            </w:r>
          </w:p>
        </w:tc>
        <w:tc>
          <w:tcPr>
            <w:tcW w:w="2740" w:type="dxa"/>
            <w:vAlign w:val="bottom"/>
          </w:tcPr>
          <w:p>
            <w:pPr>
              <w:jc w:val="right"/>
              <w:ind w:right="312"/>
              <w:spacing w:after="0" w:line="113" w:lineRule="exact"/>
              <w:rPr>
                <w:sz w:val="20"/>
                <w:szCs w:val="20"/>
                <w:color w:val="auto"/>
              </w:rPr>
            </w:pPr>
            <w:r>
              <w:rPr>
                <w:rFonts w:ascii="Arial" w:cs="Arial" w:eastAsia="Arial" w:hAnsi="Arial"/>
                <w:sz w:val="10"/>
                <w:szCs w:val="10"/>
                <w:color w:val="auto"/>
              </w:rPr>
              <w:t>50,524</w:t>
            </w:r>
          </w:p>
        </w:tc>
        <w:tc>
          <w:tcPr>
            <w:tcW w:w="1480" w:type="dxa"/>
            <w:vAlign w:val="bottom"/>
          </w:tcPr>
          <w:p>
            <w:pPr>
              <w:jc w:val="right"/>
              <w:ind w:right="472"/>
              <w:spacing w:after="0" w:line="113" w:lineRule="exact"/>
              <w:rPr>
                <w:sz w:val="20"/>
                <w:szCs w:val="20"/>
                <w:color w:val="auto"/>
              </w:rPr>
            </w:pPr>
            <w:r>
              <w:rPr>
                <w:rFonts w:ascii="Arial" w:cs="Arial" w:eastAsia="Arial" w:hAnsi="Arial"/>
                <w:sz w:val="10"/>
                <w:szCs w:val="10"/>
                <w:color w:val="auto"/>
              </w:rPr>
              <w:t>7,109</w:t>
            </w: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57,633</w:t>
            </w:r>
          </w:p>
        </w:tc>
        <w:tc>
          <w:tcPr>
            <w:tcW w:w="0" w:type="dxa"/>
            <w:vAlign w:val="bottom"/>
          </w:tcPr>
          <w:p>
            <w:pPr>
              <w:spacing w:after="0"/>
              <w:rPr>
                <w:sz w:val="1"/>
                <w:szCs w:val="1"/>
                <w:color w:val="auto"/>
              </w:rPr>
            </w:pPr>
          </w:p>
        </w:tc>
      </w:tr>
      <w:tr>
        <w:trPr>
          <w:trHeight w:val="123"/>
        </w:trPr>
        <w:tc>
          <w:tcPr>
            <w:tcW w:w="6220" w:type="dxa"/>
            <w:vAlign w:val="bottom"/>
          </w:tcPr>
          <w:p>
            <w:pPr>
              <w:spacing w:after="0"/>
              <w:rPr>
                <w:sz w:val="20"/>
                <w:szCs w:val="20"/>
                <w:color w:val="auto"/>
              </w:rPr>
            </w:pPr>
            <w:r>
              <w:rPr>
                <w:rFonts w:ascii="Arial" w:cs="Arial" w:eastAsia="Arial" w:hAnsi="Arial"/>
                <w:sz w:val="10"/>
                <w:szCs w:val="10"/>
                <w:color w:val="auto"/>
              </w:rPr>
              <w:t>Net changes in prices and production costs</w:t>
            </w:r>
          </w:p>
        </w:tc>
        <w:tc>
          <w:tcPr>
            <w:tcW w:w="2740" w:type="dxa"/>
            <w:vAlign w:val="bottom"/>
          </w:tcPr>
          <w:p>
            <w:pPr>
              <w:jc w:val="right"/>
              <w:ind w:right="312"/>
              <w:spacing w:after="0"/>
              <w:rPr>
                <w:sz w:val="20"/>
                <w:szCs w:val="20"/>
                <w:color w:val="auto"/>
              </w:rPr>
            </w:pPr>
            <w:r>
              <w:rPr>
                <w:rFonts w:ascii="Arial" w:cs="Arial" w:eastAsia="Arial" w:hAnsi="Arial"/>
                <w:sz w:val="10"/>
                <w:szCs w:val="10"/>
                <w:color w:val="auto"/>
              </w:rPr>
              <w:t>58,128</w:t>
            </w:r>
          </w:p>
        </w:tc>
        <w:tc>
          <w:tcPr>
            <w:tcW w:w="1480" w:type="dxa"/>
            <w:vAlign w:val="bottom"/>
          </w:tcPr>
          <w:p>
            <w:pPr>
              <w:jc w:val="right"/>
              <w:ind w:right="472"/>
              <w:spacing w:after="0"/>
              <w:rPr>
                <w:sz w:val="20"/>
                <w:szCs w:val="20"/>
                <w:color w:val="auto"/>
              </w:rPr>
            </w:pPr>
            <w:r>
              <w:rPr>
                <w:rFonts w:ascii="Arial" w:cs="Arial" w:eastAsia="Arial" w:hAnsi="Arial"/>
                <w:sz w:val="10"/>
                <w:szCs w:val="10"/>
                <w:color w:val="auto"/>
              </w:rPr>
              <w:t>6,156</w:t>
            </w:r>
          </w:p>
        </w:tc>
        <w:tc>
          <w:tcPr>
            <w:tcW w:w="840" w:type="dxa"/>
            <w:vAlign w:val="bottom"/>
          </w:tcPr>
          <w:p>
            <w:pPr>
              <w:jc w:val="right"/>
              <w:spacing w:after="0"/>
              <w:rPr>
                <w:sz w:val="20"/>
                <w:szCs w:val="20"/>
                <w:color w:val="auto"/>
              </w:rPr>
            </w:pPr>
            <w:r>
              <w:rPr>
                <w:rFonts w:ascii="Arial" w:cs="Arial" w:eastAsia="Arial" w:hAnsi="Arial"/>
                <w:sz w:val="10"/>
                <w:szCs w:val="10"/>
                <w:color w:val="auto"/>
              </w:rPr>
              <w:t>64,284</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Revisions of previous reserves estimates</w:t>
            </w:r>
          </w:p>
        </w:tc>
        <w:tc>
          <w:tcPr>
            <w:tcW w:w="2740" w:type="dxa"/>
            <w:vAlign w:val="bottom"/>
          </w:tcPr>
          <w:p>
            <w:pPr>
              <w:jc w:val="right"/>
              <w:ind w:right="312"/>
              <w:spacing w:after="0"/>
              <w:rPr>
                <w:sz w:val="20"/>
                <w:szCs w:val="20"/>
                <w:color w:val="auto"/>
              </w:rPr>
            </w:pPr>
            <w:r>
              <w:rPr>
                <w:rFonts w:ascii="Arial" w:cs="Arial" w:eastAsia="Arial" w:hAnsi="Arial"/>
                <w:sz w:val="10"/>
                <w:szCs w:val="10"/>
                <w:color w:val="auto"/>
              </w:rPr>
              <w:t>15,265</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(1,447)</w:t>
            </w:r>
          </w:p>
        </w:tc>
        <w:tc>
          <w:tcPr>
            <w:tcW w:w="840" w:type="dxa"/>
            <w:vAlign w:val="bottom"/>
          </w:tcPr>
          <w:p>
            <w:pPr>
              <w:jc w:val="right"/>
              <w:spacing w:after="0"/>
              <w:rPr>
                <w:sz w:val="20"/>
                <w:szCs w:val="20"/>
                <w:color w:val="auto"/>
              </w:rPr>
            </w:pPr>
            <w:r>
              <w:rPr>
                <w:rFonts w:ascii="Arial" w:cs="Arial" w:eastAsia="Arial" w:hAnsi="Arial"/>
                <w:sz w:val="10"/>
                <w:szCs w:val="10"/>
                <w:color w:val="auto"/>
              </w:rPr>
              <w:t>13,818</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Extensions, discoveries and improved recovery</w:t>
            </w:r>
          </w:p>
        </w:tc>
        <w:tc>
          <w:tcPr>
            <w:tcW w:w="2740" w:type="dxa"/>
            <w:vAlign w:val="bottom"/>
          </w:tcPr>
          <w:p>
            <w:pPr>
              <w:jc w:val="right"/>
              <w:ind w:right="312"/>
              <w:spacing w:after="0"/>
              <w:rPr>
                <w:sz w:val="20"/>
                <w:szCs w:val="20"/>
                <w:color w:val="auto"/>
              </w:rPr>
            </w:pPr>
            <w:r>
              <w:rPr>
                <w:rFonts w:ascii="Arial" w:cs="Arial" w:eastAsia="Arial" w:hAnsi="Arial"/>
                <w:sz w:val="10"/>
                <w:szCs w:val="10"/>
                <w:color w:val="auto"/>
              </w:rPr>
              <w:t>8,936</w:t>
            </w:r>
          </w:p>
        </w:tc>
        <w:tc>
          <w:tcPr>
            <w:tcW w:w="1480" w:type="dxa"/>
            <w:vAlign w:val="bottom"/>
          </w:tcPr>
          <w:p>
            <w:pPr>
              <w:jc w:val="right"/>
              <w:ind w:right="472"/>
              <w:spacing w:after="0"/>
              <w:rPr>
                <w:sz w:val="20"/>
                <w:szCs w:val="20"/>
                <w:color w:val="auto"/>
              </w:rPr>
            </w:pPr>
            <w:r>
              <w:rPr>
                <w:rFonts w:ascii="Arial" w:cs="Arial" w:eastAsia="Arial" w:hAnsi="Arial"/>
                <w:sz w:val="10"/>
                <w:szCs w:val="10"/>
                <w:color w:val="auto"/>
              </w:rPr>
              <w:t>532</w:t>
            </w:r>
          </w:p>
        </w:tc>
        <w:tc>
          <w:tcPr>
            <w:tcW w:w="840" w:type="dxa"/>
            <w:vAlign w:val="bottom"/>
          </w:tcPr>
          <w:p>
            <w:pPr>
              <w:jc w:val="right"/>
              <w:spacing w:after="0"/>
              <w:rPr>
                <w:sz w:val="20"/>
                <w:szCs w:val="20"/>
                <w:color w:val="auto"/>
              </w:rPr>
            </w:pPr>
            <w:r>
              <w:rPr>
                <w:rFonts w:ascii="Arial" w:cs="Arial" w:eastAsia="Arial" w:hAnsi="Arial"/>
                <w:sz w:val="10"/>
                <w:szCs w:val="10"/>
                <w:color w:val="auto"/>
              </w:rPr>
              <w:t>9,468</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Purchases and sales of minerals in place</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(3,401)</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(20)</w:t>
            </w:r>
          </w:p>
        </w:tc>
        <w:tc>
          <w:tcPr>
            <w:tcW w:w="840" w:type="dxa"/>
            <w:vAlign w:val="bottom"/>
          </w:tcPr>
          <w:p>
            <w:pPr>
              <w:jc w:val="right"/>
              <w:spacing w:after="0"/>
              <w:rPr>
                <w:sz w:val="20"/>
                <w:szCs w:val="20"/>
                <w:color w:val="auto"/>
              </w:rPr>
            </w:pPr>
            <w:r>
              <w:rPr>
                <w:rFonts w:ascii="Arial" w:cs="Arial" w:eastAsia="Arial" w:hAnsi="Arial"/>
                <w:sz w:val="10"/>
                <w:szCs w:val="10"/>
                <w:color w:val="auto"/>
              </w:rPr>
              <w:t>(3,421)</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Development cost related to future production</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(3,876)</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(308)</w:t>
            </w:r>
          </w:p>
        </w:tc>
        <w:tc>
          <w:tcPr>
            <w:tcW w:w="840" w:type="dxa"/>
            <w:vAlign w:val="bottom"/>
          </w:tcPr>
          <w:p>
            <w:pPr>
              <w:jc w:val="right"/>
              <w:spacing w:after="0"/>
              <w:rPr>
                <w:sz w:val="20"/>
                <w:szCs w:val="20"/>
                <w:color w:val="auto"/>
              </w:rPr>
            </w:pPr>
            <w:r>
              <w:rPr>
                <w:rFonts w:ascii="Arial" w:cs="Arial" w:eastAsia="Arial" w:hAnsi="Arial"/>
                <w:sz w:val="10"/>
                <w:szCs w:val="10"/>
                <w:color w:val="auto"/>
              </w:rPr>
              <w:t>(4,184)</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Sales and transfers of oil and gas, net of production costs</w:t>
            </w:r>
          </w:p>
        </w:tc>
        <w:tc>
          <w:tcPr>
            <w:tcW w:w="2740" w:type="dxa"/>
            <w:vAlign w:val="bottom"/>
          </w:tcPr>
          <w:p>
            <w:pPr>
              <w:jc w:val="right"/>
              <w:ind w:right="292"/>
              <w:spacing w:after="0"/>
              <w:rPr>
                <w:sz w:val="20"/>
                <w:szCs w:val="20"/>
                <w:color w:val="auto"/>
              </w:rPr>
            </w:pPr>
            <w:r>
              <w:rPr>
                <w:rFonts w:ascii="Arial" w:cs="Arial" w:eastAsia="Arial" w:hAnsi="Arial"/>
                <w:sz w:val="10"/>
                <w:szCs w:val="10"/>
                <w:color w:val="auto"/>
              </w:rPr>
              <w:t>(38,014)</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(4,858)</w:t>
            </w:r>
          </w:p>
        </w:tc>
        <w:tc>
          <w:tcPr>
            <w:tcW w:w="840" w:type="dxa"/>
            <w:vAlign w:val="bottom"/>
          </w:tcPr>
          <w:p>
            <w:pPr>
              <w:jc w:val="right"/>
              <w:spacing w:after="0"/>
              <w:rPr>
                <w:sz w:val="20"/>
                <w:szCs w:val="20"/>
                <w:color w:val="auto"/>
              </w:rPr>
            </w:pPr>
            <w:r>
              <w:rPr>
                <w:rFonts w:ascii="Arial" w:cs="Arial" w:eastAsia="Arial" w:hAnsi="Arial"/>
                <w:sz w:val="10"/>
                <w:szCs w:val="10"/>
                <w:color w:val="auto"/>
              </w:rPr>
              <w:t>(42,872)</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Development cost incurred during the year</w:t>
            </w:r>
          </w:p>
        </w:tc>
        <w:tc>
          <w:tcPr>
            <w:tcW w:w="2740" w:type="dxa"/>
            <w:vAlign w:val="bottom"/>
          </w:tcPr>
          <w:p>
            <w:pPr>
              <w:jc w:val="right"/>
              <w:ind w:right="312"/>
              <w:spacing w:after="0"/>
              <w:rPr>
                <w:sz w:val="20"/>
                <w:szCs w:val="20"/>
                <w:color w:val="auto"/>
              </w:rPr>
            </w:pPr>
            <w:r>
              <w:rPr>
                <w:rFonts w:ascii="Arial" w:cs="Arial" w:eastAsia="Arial" w:hAnsi="Arial"/>
                <w:sz w:val="10"/>
                <w:szCs w:val="10"/>
                <w:color w:val="auto"/>
              </w:rPr>
              <w:t>10,724</w:t>
            </w:r>
          </w:p>
        </w:tc>
        <w:tc>
          <w:tcPr>
            <w:tcW w:w="1480" w:type="dxa"/>
            <w:vAlign w:val="bottom"/>
          </w:tcPr>
          <w:p>
            <w:pPr>
              <w:jc w:val="right"/>
              <w:ind w:right="472"/>
              <w:spacing w:after="0"/>
              <w:rPr>
                <w:sz w:val="20"/>
                <w:szCs w:val="20"/>
                <w:color w:val="auto"/>
              </w:rPr>
            </w:pPr>
            <w:r>
              <w:rPr>
                <w:rFonts w:ascii="Arial" w:cs="Arial" w:eastAsia="Arial" w:hAnsi="Arial"/>
                <w:sz w:val="10"/>
                <w:szCs w:val="10"/>
                <w:color w:val="auto"/>
              </w:rPr>
              <w:t>666</w:t>
            </w:r>
          </w:p>
        </w:tc>
        <w:tc>
          <w:tcPr>
            <w:tcW w:w="840" w:type="dxa"/>
            <w:vAlign w:val="bottom"/>
          </w:tcPr>
          <w:p>
            <w:pPr>
              <w:jc w:val="right"/>
              <w:spacing w:after="0"/>
              <w:rPr>
                <w:sz w:val="20"/>
                <w:szCs w:val="20"/>
                <w:color w:val="auto"/>
              </w:rPr>
            </w:pPr>
            <w:r>
              <w:rPr>
                <w:rFonts w:ascii="Arial" w:cs="Arial" w:eastAsia="Arial" w:hAnsi="Arial"/>
                <w:sz w:val="10"/>
                <w:szCs w:val="10"/>
                <w:color w:val="auto"/>
              </w:rPr>
              <w:t>11,390</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20"/>
                <w:szCs w:val="20"/>
                <w:color w:val="auto"/>
              </w:rPr>
            </w:pPr>
            <w:r>
              <w:rPr>
                <w:rFonts w:ascii="Arial" w:cs="Arial" w:eastAsia="Arial" w:hAnsi="Arial"/>
                <w:sz w:val="10"/>
                <w:szCs w:val="10"/>
                <w:color w:val="auto"/>
              </w:rPr>
              <w:t>Accretion of discount</w:t>
            </w:r>
          </w:p>
        </w:tc>
        <w:tc>
          <w:tcPr>
            <w:tcW w:w="2740" w:type="dxa"/>
            <w:vAlign w:val="bottom"/>
          </w:tcPr>
          <w:p>
            <w:pPr>
              <w:jc w:val="right"/>
              <w:ind w:right="312"/>
              <w:spacing w:after="0"/>
              <w:rPr>
                <w:sz w:val="20"/>
                <w:szCs w:val="20"/>
                <w:color w:val="auto"/>
              </w:rPr>
            </w:pPr>
            <w:r>
              <w:rPr>
                <w:rFonts w:ascii="Arial" w:cs="Arial" w:eastAsia="Arial" w:hAnsi="Arial"/>
                <w:sz w:val="10"/>
                <w:szCs w:val="10"/>
                <w:color w:val="auto"/>
              </w:rPr>
              <w:t>7,060</w:t>
            </w:r>
          </w:p>
        </w:tc>
        <w:tc>
          <w:tcPr>
            <w:tcW w:w="1480" w:type="dxa"/>
            <w:vAlign w:val="bottom"/>
          </w:tcPr>
          <w:p>
            <w:pPr>
              <w:jc w:val="right"/>
              <w:ind w:right="472"/>
              <w:spacing w:after="0"/>
              <w:rPr>
                <w:sz w:val="20"/>
                <w:szCs w:val="20"/>
                <w:color w:val="auto"/>
              </w:rPr>
            </w:pPr>
            <w:r>
              <w:rPr>
                <w:rFonts w:ascii="Arial" w:cs="Arial" w:eastAsia="Arial" w:hAnsi="Arial"/>
                <w:sz w:val="10"/>
                <w:szCs w:val="10"/>
                <w:color w:val="auto"/>
              </w:rPr>
              <w:t>994</w:t>
            </w:r>
          </w:p>
        </w:tc>
        <w:tc>
          <w:tcPr>
            <w:tcW w:w="840" w:type="dxa"/>
            <w:vAlign w:val="bottom"/>
          </w:tcPr>
          <w:p>
            <w:pPr>
              <w:jc w:val="right"/>
              <w:spacing w:after="0"/>
              <w:rPr>
                <w:sz w:val="20"/>
                <w:szCs w:val="20"/>
                <w:color w:val="auto"/>
              </w:rPr>
            </w:pPr>
            <w:r>
              <w:rPr>
                <w:rFonts w:ascii="Arial" w:cs="Arial" w:eastAsia="Arial" w:hAnsi="Arial"/>
                <w:sz w:val="10"/>
                <w:szCs w:val="10"/>
                <w:color w:val="auto"/>
              </w:rPr>
              <w:t>8,054</w:t>
            </w:r>
          </w:p>
        </w:tc>
        <w:tc>
          <w:tcPr>
            <w:tcW w:w="0" w:type="dxa"/>
            <w:vAlign w:val="bottom"/>
          </w:tcPr>
          <w:p>
            <w:pPr>
              <w:spacing w:after="0"/>
              <w:rPr>
                <w:sz w:val="1"/>
                <w:szCs w:val="1"/>
                <w:color w:val="auto"/>
              </w:rPr>
            </w:pPr>
          </w:p>
        </w:tc>
      </w:tr>
      <w:tr>
        <w:trPr>
          <w:trHeight w:val="130"/>
        </w:trPr>
        <w:tc>
          <w:tcPr>
            <w:tcW w:w="62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change in income tax</w:t>
            </w:r>
          </w:p>
        </w:tc>
        <w:tc>
          <w:tcPr>
            <w:tcW w:w="27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(15,501)</w:t>
            </w:r>
          </w:p>
        </w:tc>
        <w:tc>
          <w:tcPr>
            <w:tcW w:w="14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(1,595)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(17,096)</w:t>
            </w:r>
          </w:p>
        </w:tc>
        <w:tc>
          <w:tcPr>
            <w:tcW w:w="0" w:type="dxa"/>
            <w:vAlign w:val="bottom"/>
          </w:tcPr>
          <w:p>
            <w:pPr>
              <w:spacing w:after="0"/>
              <w:rPr>
                <w:sz w:val="1"/>
                <w:szCs w:val="1"/>
                <w:color w:val="auto"/>
              </w:rPr>
            </w:pPr>
          </w:p>
        </w:tc>
      </w:tr>
      <w:tr>
        <w:trPr>
          <w:trHeight w:val="117"/>
        </w:trPr>
        <w:tc>
          <w:tcPr>
            <w:tcW w:w="62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At December 31</w:t>
            </w:r>
          </w:p>
        </w:tc>
        <w:tc>
          <w:tcPr>
            <w:tcW w:w="27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89,845</w:t>
            </w: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7,229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97,074</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OIL AND GAS EXPLORATION AND PRODUCTION ACTIVITIES CAPITALISED COSTS</w:t>
      </w:r>
    </w:p>
    <w:p>
      <w:pPr>
        <w:spacing w:after="0"/>
        <w:rPr>
          <w:sz w:val="20"/>
          <w:szCs w:val="20"/>
          <w:color w:val="auto"/>
        </w:rPr>
      </w:pPr>
      <w:r>
        <w:rPr>
          <w:rFonts w:ascii="Arial" w:cs="Arial" w:eastAsia="Arial" w:hAnsi="Arial"/>
          <w:sz w:val="8"/>
          <w:szCs w:val="8"/>
          <w:color w:val="auto"/>
        </w:rPr>
        <w:t>The aggregate amount of property, plant and equipment and intangible assets, excluding goodwill, relating to oil and gas exploration and production activities, and the aggregate amount of the related depreciation, depletion and amortisation at December 31, are shown in the tables below.</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222</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225" w:name="page226"/>
    <w:bookmarkEnd w:id="225"/>
    <w:tbl>
      <w:tblPr>
        <w:tblLayout w:type="fixed"/>
        <w:tblInd w:w="8" w:type="dxa"/>
        <w:tblCellMar>
          <w:top w:w="0" w:type="dxa"/>
          <w:left w:w="0" w:type="dxa"/>
          <w:bottom w:w="0" w:type="dxa"/>
          <w:right w:w="0" w:type="dxa"/>
        </w:tblCellMar>
      </w:tblPr>
      <w:tr>
        <w:trPr>
          <w:trHeight w:val="121"/>
        </w:trPr>
        <w:tc>
          <w:tcPr>
            <w:tcW w:w="8180" w:type="dxa"/>
            <w:vAlign w:val="bottom"/>
          </w:tcPr>
          <w:p>
            <w:pPr>
              <w:spacing w:after="0"/>
              <w:rPr>
                <w:sz w:val="20"/>
                <w:szCs w:val="20"/>
                <w:color w:val="auto"/>
              </w:rPr>
            </w:pPr>
            <w:r>
              <w:rPr>
                <w:rFonts w:ascii="Arial" w:cs="Arial" w:eastAsia="Arial" w:hAnsi="Arial"/>
                <w:sz w:val="10"/>
                <w:szCs w:val="10"/>
                <w:color w:val="auto"/>
              </w:rPr>
              <w:t>Shell subsidiaries</w:t>
            </w:r>
          </w:p>
        </w:tc>
        <w:tc>
          <w:tcPr>
            <w:tcW w:w="1320" w:type="dxa"/>
            <w:vAlign w:val="bottom"/>
          </w:tcPr>
          <w:p>
            <w:pPr>
              <w:spacing w:after="0"/>
              <w:rPr>
                <w:sz w:val="10"/>
                <w:szCs w:val="10"/>
                <w:color w:val="auto"/>
              </w:rPr>
            </w:pPr>
          </w:p>
        </w:tc>
        <w:tc>
          <w:tcPr>
            <w:tcW w:w="1780" w:type="dxa"/>
            <w:vAlign w:val="bottom"/>
          </w:tcPr>
          <w:p>
            <w:pPr>
              <w:spacing w:after="0"/>
              <w:rPr>
                <w:sz w:val="10"/>
                <w:szCs w:val="10"/>
                <w:color w:val="auto"/>
              </w:rPr>
            </w:pPr>
          </w:p>
        </w:tc>
      </w:tr>
      <w:tr>
        <w:trPr>
          <w:trHeight w:val="80"/>
        </w:trPr>
        <w:tc>
          <w:tcPr>
            <w:tcW w:w="81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780" w:type="dxa"/>
            <w:vAlign w:val="bottom"/>
          </w:tcPr>
          <w:p>
            <w:pPr>
              <w:spacing w:after="0"/>
              <w:rPr>
                <w:sz w:val="6"/>
                <w:szCs w:val="6"/>
                <w:color w:val="auto"/>
              </w:rPr>
            </w:pPr>
          </w:p>
        </w:tc>
      </w:tr>
      <w:tr>
        <w:trPr>
          <w:trHeight w:val="144"/>
        </w:trPr>
        <w:tc>
          <w:tcPr>
            <w:tcW w:w="8180" w:type="dxa"/>
            <w:vAlign w:val="bottom"/>
            <w:shd w:val="clear" w:color="auto" w:fill="CDCDCD"/>
          </w:tcPr>
          <w:p>
            <w:pPr>
              <w:spacing w:after="0"/>
              <w:rPr>
                <w:sz w:val="12"/>
                <w:szCs w:val="12"/>
                <w:color w:val="auto"/>
              </w:rPr>
            </w:pPr>
          </w:p>
        </w:tc>
        <w:tc>
          <w:tcPr>
            <w:tcW w:w="1320" w:type="dxa"/>
            <w:vAlign w:val="bottom"/>
            <w:shd w:val="clear" w:color="auto" w:fill="CDCDCD"/>
          </w:tcPr>
          <w:p>
            <w:pPr>
              <w:spacing w:after="0"/>
              <w:rPr>
                <w:sz w:val="12"/>
                <w:szCs w:val="12"/>
                <w:color w:val="auto"/>
              </w:rPr>
            </w:pPr>
          </w:p>
        </w:tc>
        <w:tc>
          <w:tcPr>
            <w:tcW w:w="1780" w:type="dxa"/>
            <w:vAlign w:val="bottom"/>
            <w:shd w:val="clear" w:color="auto" w:fill="CDCDCD"/>
          </w:tcPr>
          <w:p>
            <w:pPr>
              <w:spacing w:after="0"/>
              <w:rPr>
                <w:sz w:val="12"/>
                <w:szCs w:val="12"/>
                <w:color w:val="auto"/>
              </w:rPr>
            </w:pPr>
          </w:p>
        </w:tc>
      </w:tr>
      <w:tr>
        <w:trPr>
          <w:trHeight w:val="121"/>
        </w:trPr>
        <w:tc>
          <w:tcPr>
            <w:tcW w:w="8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780" w:type="dxa"/>
            <w:vAlign w:val="bottom"/>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81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78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2019</w:t>
            </w:r>
          </w:p>
        </w:tc>
      </w:tr>
      <w:tr>
        <w:trPr>
          <w:trHeight w:val="114"/>
        </w:trPr>
        <w:tc>
          <w:tcPr>
            <w:tcW w:w="8180" w:type="dxa"/>
            <w:vAlign w:val="bottom"/>
          </w:tcPr>
          <w:p>
            <w:pPr>
              <w:spacing w:after="0"/>
              <w:rPr>
                <w:sz w:val="20"/>
                <w:szCs w:val="20"/>
                <w:color w:val="auto"/>
              </w:rPr>
            </w:pPr>
            <w:r>
              <w:rPr>
                <w:rFonts w:ascii="Arial" w:cs="Arial" w:eastAsia="Arial" w:hAnsi="Arial"/>
                <w:sz w:val="10"/>
                <w:szCs w:val="10"/>
                <w:color w:val="auto"/>
              </w:rPr>
              <w:t>Cost</w:t>
            </w:r>
          </w:p>
        </w:tc>
        <w:tc>
          <w:tcPr>
            <w:tcW w:w="1320" w:type="dxa"/>
            <w:vAlign w:val="bottom"/>
            <w:shd w:val="clear" w:color="auto" w:fill="D9D9D9"/>
          </w:tcPr>
          <w:p>
            <w:pPr>
              <w:spacing w:after="0"/>
              <w:rPr>
                <w:sz w:val="9"/>
                <w:szCs w:val="9"/>
                <w:color w:val="auto"/>
              </w:rPr>
            </w:pPr>
          </w:p>
        </w:tc>
        <w:tc>
          <w:tcPr>
            <w:tcW w:w="1780" w:type="dxa"/>
            <w:vAlign w:val="bottom"/>
          </w:tcPr>
          <w:p>
            <w:pPr>
              <w:spacing w:after="0"/>
              <w:rPr>
                <w:sz w:val="9"/>
                <w:szCs w:val="9"/>
                <w:color w:val="auto"/>
              </w:rPr>
            </w:pPr>
          </w:p>
        </w:tc>
      </w:tr>
      <w:tr>
        <w:trPr>
          <w:trHeight w:val="123"/>
        </w:trPr>
        <w:tc>
          <w:tcPr>
            <w:tcW w:w="8180" w:type="dxa"/>
            <w:vAlign w:val="bottom"/>
          </w:tcPr>
          <w:p>
            <w:pPr>
              <w:ind w:left="140"/>
              <w:spacing w:after="0"/>
              <w:rPr>
                <w:sz w:val="20"/>
                <w:szCs w:val="20"/>
                <w:color w:val="auto"/>
              </w:rPr>
            </w:pPr>
            <w:r>
              <w:rPr>
                <w:rFonts w:ascii="Arial" w:cs="Arial" w:eastAsia="Arial" w:hAnsi="Arial"/>
                <w:sz w:val="10"/>
                <w:szCs w:val="10"/>
                <w:color w:val="auto"/>
              </w:rPr>
              <w:t>Proved properties [A]</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276,762</w:t>
            </w:r>
          </w:p>
        </w:tc>
        <w:tc>
          <w:tcPr>
            <w:tcW w:w="1780" w:type="dxa"/>
            <w:vAlign w:val="bottom"/>
          </w:tcPr>
          <w:p>
            <w:pPr>
              <w:jc w:val="right"/>
              <w:ind w:right="452"/>
              <w:spacing w:after="0"/>
              <w:rPr>
                <w:sz w:val="20"/>
                <w:szCs w:val="20"/>
                <w:color w:val="auto"/>
              </w:rPr>
            </w:pPr>
            <w:r>
              <w:rPr>
                <w:rFonts w:ascii="Arial" w:cs="Arial" w:eastAsia="Arial" w:hAnsi="Arial"/>
                <w:sz w:val="10"/>
                <w:szCs w:val="10"/>
                <w:color w:val="auto"/>
              </w:rPr>
              <w:t>265,700</w:t>
            </w:r>
          </w:p>
        </w:tc>
      </w:tr>
      <w:tr>
        <w:trPr>
          <w:trHeight w:val="126"/>
        </w:trPr>
        <w:tc>
          <w:tcPr>
            <w:tcW w:w="8180" w:type="dxa"/>
            <w:vAlign w:val="bottom"/>
          </w:tcPr>
          <w:p>
            <w:pPr>
              <w:ind w:left="140"/>
              <w:spacing w:after="0"/>
              <w:rPr>
                <w:sz w:val="20"/>
                <w:szCs w:val="20"/>
                <w:color w:val="auto"/>
              </w:rPr>
            </w:pPr>
            <w:r>
              <w:rPr>
                <w:rFonts w:ascii="Arial" w:cs="Arial" w:eastAsia="Arial" w:hAnsi="Arial"/>
                <w:sz w:val="10"/>
                <w:szCs w:val="10"/>
                <w:color w:val="auto"/>
              </w:rPr>
              <w:t>Unproved properties</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14,563</w:t>
            </w:r>
          </w:p>
        </w:tc>
        <w:tc>
          <w:tcPr>
            <w:tcW w:w="1780" w:type="dxa"/>
            <w:vAlign w:val="bottom"/>
          </w:tcPr>
          <w:p>
            <w:pPr>
              <w:jc w:val="right"/>
              <w:ind w:right="452"/>
              <w:spacing w:after="0"/>
              <w:rPr>
                <w:sz w:val="20"/>
                <w:szCs w:val="20"/>
                <w:color w:val="auto"/>
              </w:rPr>
            </w:pPr>
            <w:r>
              <w:rPr>
                <w:rFonts w:ascii="Arial" w:cs="Arial" w:eastAsia="Arial" w:hAnsi="Arial"/>
                <w:sz w:val="10"/>
                <w:szCs w:val="10"/>
                <w:color w:val="auto"/>
              </w:rPr>
              <w:t>18,669</w:t>
            </w:r>
          </w:p>
        </w:tc>
      </w:tr>
      <w:tr>
        <w:trPr>
          <w:trHeight w:val="130"/>
        </w:trPr>
        <w:tc>
          <w:tcPr>
            <w:tcW w:w="818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Support equipment and facilities</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10,803</w:t>
            </w:r>
          </w:p>
        </w:tc>
        <w:tc>
          <w:tcPr>
            <w:tcW w:w="17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11,043</w:t>
            </w:r>
          </w:p>
        </w:tc>
      </w:tr>
      <w:tr>
        <w:trPr>
          <w:trHeight w:val="117"/>
        </w:trPr>
        <w:tc>
          <w:tcPr>
            <w:tcW w:w="8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302,128</w:t>
            </w:r>
          </w:p>
        </w:tc>
        <w:tc>
          <w:tcPr>
            <w:tcW w:w="17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295,412</w:t>
            </w:r>
          </w:p>
        </w:tc>
      </w:tr>
      <w:tr>
        <w:trPr>
          <w:trHeight w:val="113"/>
        </w:trPr>
        <w:tc>
          <w:tcPr>
            <w:tcW w:w="8180" w:type="dxa"/>
            <w:vAlign w:val="bottom"/>
          </w:tcPr>
          <w:p>
            <w:pPr>
              <w:spacing w:after="0" w:line="113" w:lineRule="exact"/>
              <w:rPr>
                <w:sz w:val="20"/>
                <w:szCs w:val="20"/>
                <w:color w:val="auto"/>
              </w:rPr>
            </w:pPr>
            <w:r>
              <w:rPr>
                <w:rFonts w:ascii="Arial" w:cs="Arial" w:eastAsia="Arial" w:hAnsi="Arial"/>
                <w:sz w:val="10"/>
                <w:szCs w:val="10"/>
                <w:color w:val="auto"/>
              </w:rPr>
              <w:t>Depreciation, depletion and amortisation</w:t>
            </w:r>
          </w:p>
        </w:tc>
        <w:tc>
          <w:tcPr>
            <w:tcW w:w="1320" w:type="dxa"/>
            <w:vAlign w:val="bottom"/>
            <w:shd w:val="clear" w:color="auto" w:fill="D9D9D9"/>
          </w:tcPr>
          <w:p>
            <w:pPr>
              <w:spacing w:after="0"/>
              <w:rPr>
                <w:sz w:val="9"/>
                <w:szCs w:val="9"/>
                <w:color w:val="auto"/>
              </w:rPr>
            </w:pPr>
          </w:p>
        </w:tc>
        <w:tc>
          <w:tcPr>
            <w:tcW w:w="1780" w:type="dxa"/>
            <w:vAlign w:val="bottom"/>
          </w:tcPr>
          <w:p>
            <w:pPr>
              <w:spacing w:after="0"/>
              <w:rPr>
                <w:sz w:val="9"/>
                <w:szCs w:val="9"/>
                <w:color w:val="auto"/>
              </w:rPr>
            </w:pPr>
          </w:p>
        </w:tc>
      </w:tr>
      <w:tr>
        <w:trPr>
          <w:trHeight w:val="123"/>
        </w:trPr>
        <w:tc>
          <w:tcPr>
            <w:tcW w:w="8180" w:type="dxa"/>
            <w:vAlign w:val="bottom"/>
          </w:tcPr>
          <w:p>
            <w:pPr>
              <w:ind w:left="140"/>
              <w:spacing w:after="0"/>
              <w:rPr>
                <w:sz w:val="20"/>
                <w:szCs w:val="20"/>
                <w:color w:val="auto"/>
              </w:rPr>
            </w:pPr>
            <w:r>
              <w:rPr>
                <w:rFonts w:ascii="Arial" w:cs="Arial" w:eastAsia="Arial" w:hAnsi="Arial"/>
                <w:sz w:val="10"/>
                <w:szCs w:val="10"/>
                <w:color w:val="auto"/>
              </w:rPr>
              <w:t>Proved properties [A]</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158,149</w:t>
            </w:r>
          </w:p>
        </w:tc>
        <w:tc>
          <w:tcPr>
            <w:tcW w:w="1780" w:type="dxa"/>
            <w:vAlign w:val="bottom"/>
          </w:tcPr>
          <w:p>
            <w:pPr>
              <w:jc w:val="right"/>
              <w:ind w:right="452"/>
              <w:spacing w:after="0"/>
              <w:rPr>
                <w:sz w:val="20"/>
                <w:szCs w:val="20"/>
                <w:color w:val="auto"/>
              </w:rPr>
            </w:pPr>
            <w:r>
              <w:rPr>
                <w:rFonts w:ascii="Arial" w:cs="Arial" w:eastAsia="Arial" w:hAnsi="Arial"/>
                <w:sz w:val="10"/>
                <w:szCs w:val="10"/>
                <w:color w:val="auto"/>
              </w:rPr>
              <w:t>129,809</w:t>
            </w:r>
          </w:p>
        </w:tc>
      </w:tr>
      <w:tr>
        <w:trPr>
          <w:trHeight w:val="126"/>
        </w:trPr>
        <w:tc>
          <w:tcPr>
            <w:tcW w:w="8180" w:type="dxa"/>
            <w:vAlign w:val="bottom"/>
          </w:tcPr>
          <w:p>
            <w:pPr>
              <w:ind w:left="140"/>
              <w:spacing w:after="0"/>
              <w:rPr>
                <w:sz w:val="20"/>
                <w:szCs w:val="20"/>
                <w:color w:val="auto"/>
              </w:rPr>
            </w:pPr>
            <w:r>
              <w:rPr>
                <w:rFonts w:ascii="Arial" w:cs="Arial" w:eastAsia="Arial" w:hAnsi="Arial"/>
                <w:sz w:val="10"/>
                <w:szCs w:val="10"/>
                <w:color w:val="auto"/>
              </w:rPr>
              <w:t>Unproved properties</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5,342</w:t>
            </w:r>
          </w:p>
        </w:tc>
        <w:tc>
          <w:tcPr>
            <w:tcW w:w="1780" w:type="dxa"/>
            <w:vAlign w:val="bottom"/>
          </w:tcPr>
          <w:p>
            <w:pPr>
              <w:jc w:val="right"/>
              <w:ind w:right="452"/>
              <w:spacing w:after="0"/>
              <w:rPr>
                <w:sz w:val="20"/>
                <w:szCs w:val="20"/>
                <w:color w:val="auto"/>
              </w:rPr>
            </w:pPr>
            <w:r>
              <w:rPr>
                <w:rFonts w:ascii="Arial" w:cs="Arial" w:eastAsia="Arial" w:hAnsi="Arial"/>
                <w:sz w:val="10"/>
                <w:szCs w:val="10"/>
                <w:color w:val="auto"/>
              </w:rPr>
              <w:t>4,089</w:t>
            </w:r>
          </w:p>
        </w:tc>
      </w:tr>
      <w:tr>
        <w:trPr>
          <w:trHeight w:val="130"/>
        </w:trPr>
        <w:tc>
          <w:tcPr>
            <w:tcW w:w="818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Support equipment and facilities</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5,031</w:t>
            </w:r>
          </w:p>
        </w:tc>
        <w:tc>
          <w:tcPr>
            <w:tcW w:w="17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4,078</w:t>
            </w:r>
          </w:p>
        </w:tc>
      </w:tr>
      <w:tr>
        <w:trPr>
          <w:trHeight w:val="117"/>
        </w:trPr>
        <w:tc>
          <w:tcPr>
            <w:tcW w:w="8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168,522</w:t>
            </w:r>
          </w:p>
        </w:tc>
        <w:tc>
          <w:tcPr>
            <w:tcW w:w="17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137,976</w:t>
            </w:r>
          </w:p>
        </w:tc>
      </w:tr>
      <w:tr>
        <w:trPr>
          <w:trHeight w:val="115"/>
        </w:trPr>
        <w:tc>
          <w:tcPr>
            <w:tcW w:w="8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capitalised costs</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133,606</w:t>
            </w:r>
          </w:p>
        </w:tc>
        <w:tc>
          <w:tcPr>
            <w:tcW w:w="17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157,436</w:t>
            </w:r>
          </w:p>
        </w:tc>
      </w:tr>
    </w:tbl>
    <w:p>
      <w:pPr>
        <w:spacing w:after="0" w:line="47" w:lineRule="exact"/>
        <w:rPr>
          <w:sz w:val="20"/>
          <w:szCs w:val="20"/>
          <w:color w:val="auto"/>
        </w:rPr>
      </w:pPr>
    </w:p>
    <w:p>
      <w:pPr>
        <w:ind w:left="8"/>
        <w:spacing w:after="0"/>
        <w:rPr>
          <w:sz w:val="20"/>
          <w:szCs w:val="20"/>
          <w:color w:val="auto"/>
        </w:rPr>
      </w:pPr>
      <w:r>
        <w:rPr>
          <w:rFonts w:ascii="Arial" w:cs="Arial" w:eastAsia="Arial" w:hAnsi="Arial"/>
          <w:sz w:val="7"/>
          <w:szCs w:val="7"/>
          <w:color w:val="auto"/>
        </w:rPr>
        <w:t>[A] Includes capitalised asset decommissioning and restoration costs and related depreciation.</w:t>
      </w:r>
    </w:p>
    <w:p>
      <w:pPr>
        <w:spacing w:after="0" w:line="200" w:lineRule="exact"/>
        <w:rPr>
          <w:sz w:val="20"/>
          <w:szCs w:val="20"/>
          <w:color w:val="auto"/>
        </w:rPr>
      </w:pPr>
    </w:p>
    <w:p>
      <w:pPr>
        <w:spacing w:after="0" w:line="281" w:lineRule="exact"/>
        <w:rPr>
          <w:sz w:val="20"/>
          <w:szCs w:val="20"/>
          <w:color w:val="auto"/>
        </w:rPr>
      </w:pPr>
    </w:p>
    <w:p>
      <w:pPr>
        <w:ind w:left="8"/>
        <w:spacing w:after="0"/>
        <w:rPr>
          <w:sz w:val="20"/>
          <w:szCs w:val="20"/>
          <w:color w:val="auto"/>
        </w:rPr>
      </w:pPr>
      <w:r>
        <w:rPr>
          <w:rFonts w:ascii="Arial" w:cs="Arial" w:eastAsia="Arial" w:hAnsi="Arial"/>
          <w:sz w:val="10"/>
          <w:szCs w:val="10"/>
          <w:color w:val="auto"/>
        </w:rPr>
        <w:t>Shell share of joint ventures and associates</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54"/>
        </w:trPr>
        <w:tc>
          <w:tcPr>
            <w:tcW w:w="818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spacing w:after="0"/>
              <w:rPr>
                <w:sz w:val="13"/>
                <w:szCs w:val="13"/>
                <w:color w:val="auto"/>
              </w:rPr>
            </w:pPr>
          </w:p>
        </w:tc>
        <w:tc>
          <w:tcPr>
            <w:tcW w:w="178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81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78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2019</w:t>
            </w:r>
          </w:p>
        </w:tc>
      </w:tr>
      <w:tr>
        <w:trPr>
          <w:trHeight w:val="114"/>
        </w:trPr>
        <w:tc>
          <w:tcPr>
            <w:tcW w:w="8180" w:type="dxa"/>
            <w:vAlign w:val="bottom"/>
          </w:tcPr>
          <w:p>
            <w:pPr>
              <w:spacing w:after="0"/>
              <w:rPr>
                <w:sz w:val="20"/>
                <w:szCs w:val="20"/>
                <w:color w:val="auto"/>
              </w:rPr>
            </w:pPr>
            <w:r>
              <w:rPr>
                <w:rFonts w:ascii="Arial" w:cs="Arial" w:eastAsia="Arial" w:hAnsi="Arial"/>
                <w:sz w:val="10"/>
                <w:szCs w:val="10"/>
                <w:color w:val="auto"/>
              </w:rPr>
              <w:t>Cost</w:t>
            </w:r>
          </w:p>
        </w:tc>
        <w:tc>
          <w:tcPr>
            <w:tcW w:w="1320" w:type="dxa"/>
            <w:vAlign w:val="bottom"/>
            <w:shd w:val="clear" w:color="auto" w:fill="D9D9D9"/>
          </w:tcPr>
          <w:p>
            <w:pPr>
              <w:spacing w:after="0"/>
              <w:rPr>
                <w:sz w:val="9"/>
                <w:szCs w:val="9"/>
                <w:color w:val="auto"/>
              </w:rPr>
            </w:pPr>
          </w:p>
        </w:tc>
        <w:tc>
          <w:tcPr>
            <w:tcW w:w="1780" w:type="dxa"/>
            <w:vAlign w:val="bottom"/>
          </w:tcPr>
          <w:p>
            <w:pPr>
              <w:spacing w:after="0"/>
              <w:rPr>
                <w:sz w:val="9"/>
                <w:szCs w:val="9"/>
                <w:color w:val="auto"/>
              </w:rPr>
            </w:pPr>
          </w:p>
        </w:tc>
      </w:tr>
      <w:tr>
        <w:trPr>
          <w:trHeight w:val="123"/>
        </w:trPr>
        <w:tc>
          <w:tcPr>
            <w:tcW w:w="8180" w:type="dxa"/>
            <w:vAlign w:val="bottom"/>
          </w:tcPr>
          <w:p>
            <w:pPr>
              <w:ind w:left="140"/>
              <w:spacing w:after="0"/>
              <w:rPr>
                <w:sz w:val="20"/>
                <w:szCs w:val="20"/>
                <w:color w:val="auto"/>
              </w:rPr>
            </w:pPr>
            <w:r>
              <w:rPr>
                <w:rFonts w:ascii="Arial" w:cs="Arial" w:eastAsia="Arial" w:hAnsi="Arial"/>
                <w:sz w:val="10"/>
                <w:szCs w:val="10"/>
                <w:color w:val="auto"/>
              </w:rPr>
              <w:t>Proved properties [A]</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50,592</w:t>
            </w:r>
          </w:p>
        </w:tc>
        <w:tc>
          <w:tcPr>
            <w:tcW w:w="1780" w:type="dxa"/>
            <w:vAlign w:val="bottom"/>
          </w:tcPr>
          <w:p>
            <w:pPr>
              <w:jc w:val="right"/>
              <w:ind w:right="452"/>
              <w:spacing w:after="0"/>
              <w:rPr>
                <w:sz w:val="20"/>
                <w:szCs w:val="20"/>
                <w:color w:val="auto"/>
              </w:rPr>
            </w:pPr>
            <w:r>
              <w:rPr>
                <w:rFonts w:ascii="Arial" w:cs="Arial" w:eastAsia="Arial" w:hAnsi="Arial"/>
                <w:sz w:val="10"/>
                <w:szCs w:val="10"/>
                <w:color w:val="auto"/>
              </w:rPr>
              <w:t>46,895</w:t>
            </w:r>
          </w:p>
        </w:tc>
      </w:tr>
      <w:tr>
        <w:trPr>
          <w:trHeight w:val="126"/>
        </w:trPr>
        <w:tc>
          <w:tcPr>
            <w:tcW w:w="8180" w:type="dxa"/>
            <w:vAlign w:val="bottom"/>
          </w:tcPr>
          <w:p>
            <w:pPr>
              <w:ind w:left="140"/>
              <w:spacing w:after="0"/>
              <w:rPr>
                <w:sz w:val="20"/>
                <w:szCs w:val="20"/>
                <w:color w:val="auto"/>
              </w:rPr>
            </w:pPr>
            <w:r>
              <w:rPr>
                <w:rFonts w:ascii="Arial" w:cs="Arial" w:eastAsia="Arial" w:hAnsi="Arial"/>
                <w:sz w:val="10"/>
                <w:szCs w:val="10"/>
                <w:color w:val="auto"/>
              </w:rPr>
              <w:t>Unproved properties</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2,512</w:t>
            </w:r>
          </w:p>
        </w:tc>
        <w:tc>
          <w:tcPr>
            <w:tcW w:w="1780" w:type="dxa"/>
            <w:vAlign w:val="bottom"/>
          </w:tcPr>
          <w:p>
            <w:pPr>
              <w:jc w:val="right"/>
              <w:ind w:right="452"/>
              <w:spacing w:after="0"/>
              <w:rPr>
                <w:sz w:val="20"/>
                <w:szCs w:val="20"/>
                <w:color w:val="auto"/>
              </w:rPr>
            </w:pPr>
            <w:r>
              <w:rPr>
                <w:rFonts w:ascii="Arial" w:cs="Arial" w:eastAsia="Arial" w:hAnsi="Arial"/>
                <w:sz w:val="10"/>
                <w:szCs w:val="10"/>
                <w:color w:val="auto"/>
              </w:rPr>
              <w:t>2,428</w:t>
            </w:r>
          </w:p>
        </w:tc>
      </w:tr>
      <w:tr>
        <w:trPr>
          <w:trHeight w:val="130"/>
        </w:trPr>
        <w:tc>
          <w:tcPr>
            <w:tcW w:w="818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Support equipment and facilities</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5,037</w:t>
            </w:r>
          </w:p>
        </w:tc>
        <w:tc>
          <w:tcPr>
            <w:tcW w:w="17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4,882</w:t>
            </w:r>
          </w:p>
        </w:tc>
      </w:tr>
      <w:tr>
        <w:trPr>
          <w:trHeight w:val="117"/>
        </w:trPr>
        <w:tc>
          <w:tcPr>
            <w:tcW w:w="8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58,141</w:t>
            </w:r>
          </w:p>
        </w:tc>
        <w:tc>
          <w:tcPr>
            <w:tcW w:w="17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54,205</w:t>
            </w:r>
          </w:p>
        </w:tc>
      </w:tr>
      <w:tr>
        <w:trPr>
          <w:trHeight w:val="113"/>
        </w:trPr>
        <w:tc>
          <w:tcPr>
            <w:tcW w:w="8180" w:type="dxa"/>
            <w:vAlign w:val="bottom"/>
          </w:tcPr>
          <w:p>
            <w:pPr>
              <w:spacing w:after="0" w:line="113" w:lineRule="exact"/>
              <w:rPr>
                <w:sz w:val="20"/>
                <w:szCs w:val="20"/>
                <w:color w:val="auto"/>
              </w:rPr>
            </w:pPr>
            <w:r>
              <w:rPr>
                <w:rFonts w:ascii="Arial" w:cs="Arial" w:eastAsia="Arial" w:hAnsi="Arial"/>
                <w:sz w:val="10"/>
                <w:szCs w:val="10"/>
                <w:color w:val="auto"/>
              </w:rPr>
              <w:t>Depreciation, depletion and amortisation</w:t>
            </w:r>
          </w:p>
        </w:tc>
        <w:tc>
          <w:tcPr>
            <w:tcW w:w="1320" w:type="dxa"/>
            <w:vAlign w:val="bottom"/>
            <w:shd w:val="clear" w:color="auto" w:fill="D9D9D9"/>
          </w:tcPr>
          <w:p>
            <w:pPr>
              <w:spacing w:after="0"/>
              <w:rPr>
                <w:sz w:val="9"/>
                <w:szCs w:val="9"/>
                <w:color w:val="auto"/>
              </w:rPr>
            </w:pPr>
          </w:p>
        </w:tc>
        <w:tc>
          <w:tcPr>
            <w:tcW w:w="1780" w:type="dxa"/>
            <w:vAlign w:val="bottom"/>
          </w:tcPr>
          <w:p>
            <w:pPr>
              <w:spacing w:after="0"/>
              <w:rPr>
                <w:sz w:val="9"/>
                <w:szCs w:val="9"/>
                <w:color w:val="auto"/>
              </w:rPr>
            </w:pPr>
          </w:p>
        </w:tc>
      </w:tr>
      <w:tr>
        <w:trPr>
          <w:trHeight w:val="123"/>
        </w:trPr>
        <w:tc>
          <w:tcPr>
            <w:tcW w:w="8180" w:type="dxa"/>
            <w:vAlign w:val="bottom"/>
          </w:tcPr>
          <w:p>
            <w:pPr>
              <w:ind w:left="140"/>
              <w:spacing w:after="0"/>
              <w:rPr>
                <w:sz w:val="20"/>
                <w:szCs w:val="20"/>
                <w:color w:val="auto"/>
              </w:rPr>
            </w:pPr>
            <w:r>
              <w:rPr>
                <w:rFonts w:ascii="Arial" w:cs="Arial" w:eastAsia="Arial" w:hAnsi="Arial"/>
                <w:sz w:val="10"/>
                <w:szCs w:val="10"/>
                <w:color w:val="auto"/>
              </w:rPr>
              <w:t>Proved properties [A]</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36,876</w:t>
            </w:r>
          </w:p>
        </w:tc>
        <w:tc>
          <w:tcPr>
            <w:tcW w:w="1780" w:type="dxa"/>
            <w:vAlign w:val="bottom"/>
          </w:tcPr>
          <w:p>
            <w:pPr>
              <w:jc w:val="right"/>
              <w:ind w:right="452"/>
              <w:spacing w:after="0"/>
              <w:rPr>
                <w:sz w:val="20"/>
                <w:szCs w:val="20"/>
                <w:color w:val="auto"/>
              </w:rPr>
            </w:pPr>
            <w:r>
              <w:rPr>
                <w:rFonts w:ascii="Arial" w:cs="Arial" w:eastAsia="Arial" w:hAnsi="Arial"/>
                <w:sz w:val="10"/>
                <w:szCs w:val="10"/>
                <w:color w:val="auto"/>
              </w:rPr>
              <w:t>34,120</w:t>
            </w:r>
          </w:p>
        </w:tc>
      </w:tr>
      <w:tr>
        <w:trPr>
          <w:trHeight w:val="126"/>
        </w:trPr>
        <w:tc>
          <w:tcPr>
            <w:tcW w:w="8180" w:type="dxa"/>
            <w:vAlign w:val="bottom"/>
          </w:tcPr>
          <w:p>
            <w:pPr>
              <w:ind w:left="140"/>
              <w:spacing w:after="0"/>
              <w:rPr>
                <w:sz w:val="20"/>
                <w:szCs w:val="20"/>
                <w:color w:val="auto"/>
              </w:rPr>
            </w:pPr>
            <w:r>
              <w:rPr>
                <w:rFonts w:ascii="Arial" w:cs="Arial" w:eastAsia="Arial" w:hAnsi="Arial"/>
                <w:sz w:val="10"/>
                <w:szCs w:val="10"/>
                <w:color w:val="auto"/>
              </w:rPr>
              <w:t>Unproved properties</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473</w:t>
            </w:r>
            <w:r>
              <w:rPr>
                <w:rFonts w:ascii="Arial" w:cs="Arial" w:eastAsia="Arial" w:hAnsi="Arial"/>
                <w:sz w:val="6"/>
                <w:szCs w:val="6"/>
                <w:color w:val="auto"/>
              </w:rPr>
              <w:t>[B]</w:t>
            </w:r>
          </w:p>
        </w:tc>
        <w:tc>
          <w:tcPr>
            <w:tcW w:w="1780" w:type="dxa"/>
            <w:vAlign w:val="bottom"/>
          </w:tcPr>
          <w:p>
            <w:pPr>
              <w:jc w:val="right"/>
              <w:ind w:right="452"/>
              <w:spacing w:after="0"/>
              <w:rPr>
                <w:sz w:val="20"/>
                <w:szCs w:val="20"/>
                <w:color w:val="auto"/>
              </w:rPr>
            </w:pPr>
            <w:r>
              <w:rPr>
                <w:rFonts w:ascii="Arial" w:cs="Arial" w:eastAsia="Arial" w:hAnsi="Arial"/>
                <w:sz w:val="10"/>
                <w:szCs w:val="10"/>
                <w:color w:val="auto"/>
              </w:rPr>
              <w:t>—</w:t>
            </w:r>
          </w:p>
        </w:tc>
      </w:tr>
      <w:tr>
        <w:trPr>
          <w:trHeight w:val="130"/>
        </w:trPr>
        <w:tc>
          <w:tcPr>
            <w:tcW w:w="818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Support equipment and facilities</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3,070</w:t>
            </w:r>
          </w:p>
        </w:tc>
        <w:tc>
          <w:tcPr>
            <w:tcW w:w="17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2,817</w:t>
            </w:r>
          </w:p>
        </w:tc>
      </w:tr>
      <w:tr>
        <w:trPr>
          <w:trHeight w:val="117"/>
        </w:trPr>
        <w:tc>
          <w:tcPr>
            <w:tcW w:w="8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40,419</w:t>
            </w:r>
          </w:p>
        </w:tc>
        <w:tc>
          <w:tcPr>
            <w:tcW w:w="17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36,937</w:t>
            </w:r>
          </w:p>
        </w:tc>
      </w:tr>
      <w:tr>
        <w:trPr>
          <w:trHeight w:val="117"/>
        </w:trPr>
        <w:tc>
          <w:tcPr>
            <w:tcW w:w="8180" w:type="dxa"/>
            <w:vAlign w:val="bottom"/>
          </w:tcPr>
          <w:p>
            <w:pPr>
              <w:spacing w:after="0"/>
              <w:rPr>
                <w:sz w:val="20"/>
                <w:szCs w:val="20"/>
                <w:color w:val="auto"/>
              </w:rPr>
            </w:pPr>
            <w:r>
              <w:rPr>
                <w:rFonts w:ascii="Arial" w:cs="Arial" w:eastAsia="Arial" w:hAnsi="Arial"/>
                <w:sz w:val="10"/>
                <w:szCs w:val="10"/>
                <w:color w:val="auto"/>
              </w:rPr>
              <w:t>Net capitalised costs</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17,722</w:t>
            </w:r>
          </w:p>
        </w:tc>
        <w:tc>
          <w:tcPr>
            <w:tcW w:w="1780" w:type="dxa"/>
            <w:vAlign w:val="bottom"/>
          </w:tcPr>
          <w:p>
            <w:pPr>
              <w:jc w:val="right"/>
              <w:ind w:right="452"/>
              <w:spacing w:after="0"/>
              <w:rPr>
                <w:sz w:val="20"/>
                <w:szCs w:val="20"/>
                <w:color w:val="auto"/>
              </w:rPr>
            </w:pPr>
            <w:r>
              <w:rPr>
                <w:rFonts w:ascii="Arial" w:cs="Arial" w:eastAsia="Arial" w:hAnsi="Arial"/>
                <w:sz w:val="10"/>
                <w:szCs w:val="10"/>
                <w:color w:val="auto"/>
              </w:rPr>
              <w:t>17,268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66610"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ind w:left="128" w:hanging="128"/>
        <w:spacing w:after="0"/>
        <w:tabs>
          <w:tab w:leader="none" w:pos="128" w:val="left"/>
        </w:tabs>
        <w:numPr>
          <w:ilvl w:val="0"/>
          <w:numId w:val="188"/>
        </w:numPr>
        <w:rPr>
          <w:rFonts w:ascii="Arial" w:cs="Arial" w:eastAsia="Arial" w:hAnsi="Arial"/>
          <w:sz w:val="7"/>
          <w:szCs w:val="7"/>
          <w:color w:val="auto"/>
        </w:rPr>
      </w:pPr>
      <w:r>
        <w:rPr>
          <w:rFonts w:ascii="Arial" w:cs="Arial" w:eastAsia="Arial" w:hAnsi="Arial"/>
          <w:sz w:val="7"/>
          <w:szCs w:val="7"/>
          <w:color w:val="auto"/>
        </w:rPr>
        <w:t>Includes capitalised asset decommissioning and restoration costs and related depreciation.</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88"/>
        </w:numPr>
        <w:rPr>
          <w:rFonts w:ascii="Arial" w:cs="Arial" w:eastAsia="Arial" w:hAnsi="Arial"/>
          <w:sz w:val="7"/>
          <w:szCs w:val="7"/>
          <w:color w:val="auto"/>
        </w:rPr>
      </w:pPr>
      <w:r>
        <w:rPr>
          <w:rFonts w:ascii="Arial" w:cs="Arial" w:eastAsia="Arial" w:hAnsi="Arial"/>
          <w:sz w:val="7"/>
          <w:szCs w:val="7"/>
          <w:color w:val="auto"/>
        </w:rPr>
        <w:t>The major part of this cost consists of an impairment charge for the year.</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1"/>
          <w:szCs w:val="11"/>
          <w:color w:val="auto"/>
        </w:rPr>
        <w:t>OIL AND GAS EXPLORATION AND PRODUCTION ACTIVITIES COSTS INCURRED</w:t>
      </w:r>
    </w:p>
    <w:p>
      <w:pPr>
        <w:jc w:val="both"/>
        <w:ind w:left="8" w:right="120"/>
        <w:spacing w:after="0" w:line="229" w:lineRule="auto"/>
        <w:rPr>
          <w:sz w:val="20"/>
          <w:szCs w:val="20"/>
          <w:color w:val="auto"/>
        </w:rPr>
      </w:pPr>
      <w:r>
        <w:rPr>
          <w:rFonts w:ascii="Arial" w:cs="Arial" w:eastAsia="Arial" w:hAnsi="Arial"/>
          <w:sz w:val="10"/>
          <w:szCs w:val="10"/>
          <w:color w:val="auto"/>
        </w:rPr>
        <w:t xml:space="preserve">Costs incurred during the year in oil and gas property acquisition, exploration and development activities, whether capitalised or charged to income currently, are shown in the tables below. As a result of the adoption of IFRS 16 </w:t>
      </w:r>
      <w:r>
        <w:rPr>
          <w:rFonts w:ascii="Arial" w:cs="Arial" w:eastAsia="Arial" w:hAnsi="Arial"/>
          <w:sz w:val="10"/>
          <w:szCs w:val="10"/>
          <w:i w:val="1"/>
          <w:iCs w:val="1"/>
          <w:color w:val="auto"/>
        </w:rPr>
        <w:t>Leases</w:t>
      </w:r>
      <w:r>
        <w:rPr>
          <w:rFonts w:ascii="Arial" w:cs="Arial" w:eastAsia="Arial" w:hAnsi="Arial"/>
          <w:sz w:val="10"/>
          <w:szCs w:val="10"/>
          <w:color w:val="auto"/>
        </w:rPr>
        <w:t xml:space="preserve"> as of January 1, 2019, leases are included in years 2020 and 2019. Development costs include capitalised asset decommissioning and restoration costs (including increases or decreases arising from changes to cost estimates or to the discount rate applied to the obligations) and exclude costs of acquiring support equipment and facilities, but include depreciation thereon.</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Shell subsidiaries</w:t>
      </w:r>
    </w:p>
    <w:p>
      <w:pPr>
        <w:spacing w:after="0" w:line="6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96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2020</w:t>
            </w:r>
          </w:p>
        </w:tc>
        <w:tc>
          <w:tcPr>
            <w:tcW w:w="1640" w:type="dxa"/>
            <w:vAlign w:val="bottom"/>
            <w:tcBorders>
              <w:top w:val="single" w:sz="8" w:color="CDCDCD"/>
            </w:tcBorders>
          </w:tcPr>
          <w:p>
            <w:pPr>
              <w:spacing w:after="0"/>
              <w:rPr>
                <w:sz w:val="13"/>
                <w:szCs w:val="13"/>
                <w:color w:val="auto"/>
              </w:rPr>
            </w:pPr>
          </w:p>
        </w:tc>
        <w:tc>
          <w:tcPr>
            <w:tcW w:w="960" w:type="dxa"/>
            <w:vAlign w:val="bottom"/>
            <w:tcBorders>
              <w:top w:val="single" w:sz="8" w:color="CDCDCD"/>
            </w:tcBorders>
          </w:tcPr>
          <w:p>
            <w:pPr>
              <w:spacing w:after="0"/>
              <w:rPr>
                <w:sz w:val="13"/>
                <w:szCs w:val="13"/>
                <w:color w:val="auto"/>
              </w:rPr>
            </w:pPr>
          </w:p>
        </w:tc>
        <w:tc>
          <w:tcPr>
            <w:tcW w:w="1040" w:type="dxa"/>
            <w:vAlign w:val="bottom"/>
            <w:tcBorders>
              <w:top w:val="single" w:sz="8" w:color="CDCDCD"/>
            </w:tcBorders>
          </w:tcPr>
          <w:p>
            <w:pPr>
              <w:spacing w:after="0"/>
              <w:rPr>
                <w:sz w:val="13"/>
                <w:szCs w:val="13"/>
                <w:color w:val="auto"/>
              </w:rPr>
            </w:pPr>
          </w:p>
        </w:tc>
        <w:tc>
          <w:tcPr>
            <w:tcW w:w="640" w:type="dxa"/>
            <w:vAlign w:val="bottom"/>
            <w:tcBorders>
              <w:top w:val="single" w:sz="8" w:color="CDCDCD"/>
            </w:tcBorders>
          </w:tcPr>
          <w:p>
            <w:pPr>
              <w:spacing w:after="0"/>
              <w:rPr>
                <w:sz w:val="13"/>
                <w:szCs w:val="13"/>
                <w:color w:val="auto"/>
              </w:rPr>
            </w:pPr>
          </w:p>
        </w:tc>
        <w:tc>
          <w:tcPr>
            <w:tcW w:w="1200" w:type="dxa"/>
            <w:vAlign w:val="bottom"/>
            <w:tcBorders>
              <w:top w:val="single" w:sz="8" w:color="CDCDCD"/>
            </w:tcBorders>
          </w:tcPr>
          <w:p>
            <w:pPr>
              <w:spacing w:after="0"/>
              <w:rPr>
                <w:sz w:val="13"/>
                <w:szCs w:val="13"/>
                <w:color w:val="auto"/>
              </w:rPr>
            </w:pPr>
          </w:p>
        </w:tc>
        <w:tc>
          <w:tcPr>
            <w:tcW w:w="800" w:type="dxa"/>
            <w:vAlign w:val="bottom"/>
            <w:tcBorders>
              <w:top w:val="single" w:sz="8" w:color="CDCDCD"/>
            </w:tcBorders>
          </w:tcPr>
          <w:p>
            <w:pPr>
              <w:spacing w:after="0"/>
              <w:rPr>
                <w:sz w:val="13"/>
                <w:szCs w:val="13"/>
                <w:color w:val="auto"/>
              </w:rPr>
            </w:pPr>
          </w:p>
        </w:tc>
        <w:tc>
          <w:tcPr>
            <w:tcW w:w="1280" w:type="dxa"/>
            <w:vAlign w:val="bottom"/>
            <w:tcBorders>
              <w:top w:val="single" w:sz="8" w:color="CDCDCD"/>
            </w:tcBorders>
          </w:tcPr>
          <w:p>
            <w:pPr>
              <w:spacing w:after="0"/>
              <w:rPr>
                <w:sz w:val="13"/>
                <w:szCs w:val="13"/>
                <w:color w:val="auto"/>
              </w:rPr>
            </w:pPr>
          </w:p>
        </w:tc>
        <w:tc>
          <w:tcPr>
            <w:tcW w:w="72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1000" w:type="dxa"/>
            <w:vAlign w:val="bottom"/>
            <w:tcBorders>
              <w:top w:val="single" w:sz="8" w:color="CDCDCD"/>
            </w:tcBorders>
          </w:tcPr>
          <w:p>
            <w:pPr>
              <w:spacing w:after="0"/>
              <w:rPr>
                <w:sz w:val="13"/>
                <w:szCs w:val="13"/>
                <w:color w:val="auto"/>
              </w:rPr>
            </w:pPr>
          </w:p>
        </w:tc>
      </w:tr>
      <w:tr>
        <w:trPr>
          <w:trHeight w:val="145"/>
        </w:trPr>
        <w:tc>
          <w:tcPr>
            <w:tcW w:w="19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24"/>
        </w:trPr>
        <w:tc>
          <w:tcPr>
            <w:tcW w:w="19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Europe</w:t>
            </w: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Asia</w:t>
            </w: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Oceania</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Africa</w:t>
            </w: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USA</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Other [A]</w:t>
            </w: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South America</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c>
          <w:tcPr>
            <w:tcW w:w="1000" w:type="dxa"/>
            <w:vAlign w:val="bottom"/>
            <w:tcBorders>
              <w:bottom w:val="single" w:sz="8" w:color="auto"/>
            </w:tcBorders>
          </w:tcPr>
          <w:p>
            <w:pPr>
              <w:spacing w:after="0"/>
              <w:rPr>
                <w:sz w:val="10"/>
                <w:szCs w:val="10"/>
                <w:color w:val="auto"/>
              </w:rPr>
            </w:pPr>
          </w:p>
        </w:tc>
      </w:tr>
      <w:tr>
        <w:trPr>
          <w:trHeight w:val="114"/>
        </w:trPr>
        <w:tc>
          <w:tcPr>
            <w:tcW w:w="1960" w:type="dxa"/>
            <w:vAlign w:val="bottom"/>
          </w:tcPr>
          <w:p>
            <w:pPr>
              <w:spacing w:after="0"/>
              <w:rPr>
                <w:sz w:val="20"/>
                <w:szCs w:val="20"/>
                <w:color w:val="auto"/>
              </w:rPr>
            </w:pPr>
            <w:r>
              <w:rPr>
                <w:rFonts w:ascii="Arial" w:cs="Arial" w:eastAsia="Arial" w:hAnsi="Arial"/>
                <w:sz w:val="10"/>
                <w:szCs w:val="10"/>
                <w:color w:val="auto"/>
              </w:rPr>
              <w:t>Acquisition of properties</w:t>
            </w:r>
          </w:p>
        </w:tc>
        <w:tc>
          <w:tcPr>
            <w:tcW w:w="1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23"/>
        </w:trPr>
        <w:tc>
          <w:tcPr>
            <w:tcW w:w="1960" w:type="dxa"/>
            <w:vAlign w:val="bottom"/>
          </w:tcPr>
          <w:p>
            <w:pPr>
              <w:ind w:left="140"/>
              <w:spacing w:after="0"/>
              <w:rPr>
                <w:sz w:val="20"/>
                <w:szCs w:val="20"/>
                <w:color w:val="auto"/>
              </w:rPr>
            </w:pPr>
            <w:r>
              <w:rPr>
                <w:rFonts w:ascii="Arial" w:cs="Arial" w:eastAsia="Arial" w:hAnsi="Arial"/>
                <w:sz w:val="10"/>
                <w:szCs w:val="10"/>
                <w:color w:val="auto"/>
              </w:rPr>
              <w:t>Proved</w:t>
            </w:r>
          </w:p>
        </w:tc>
        <w:tc>
          <w:tcPr>
            <w:tcW w:w="1640" w:type="dxa"/>
            <w:vAlign w:val="bottom"/>
          </w:tcPr>
          <w:p>
            <w:pPr>
              <w:jc w:val="right"/>
              <w:ind w:right="352"/>
              <w:spacing w:after="0"/>
              <w:rPr>
                <w:sz w:val="20"/>
                <w:szCs w:val="20"/>
                <w:color w:val="auto"/>
              </w:rPr>
            </w:pPr>
            <w:r>
              <w:rPr>
                <w:rFonts w:ascii="Arial" w:cs="Arial" w:eastAsia="Arial" w:hAnsi="Arial"/>
                <w:sz w:val="10"/>
                <w:szCs w:val="10"/>
                <w:color w:val="auto"/>
              </w:rPr>
              <w:t>4</w:t>
            </w:r>
          </w:p>
        </w:tc>
        <w:tc>
          <w:tcPr>
            <w:tcW w:w="960" w:type="dxa"/>
            <w:vAlign w:val="bottom"/>
          </w:tcPr>
          <w:p>
            <w:pPr>
              <w:jc w:val="right"/>
              <w:ind w:right="332"/>
              <w:spacing w:after="0"/>
              <w:rPr>
                <w:sz w:val="20"/>
                <w:szCs w:val="20"/>
                <w:color w:val="auto"/>
              </w:rPr>
            </w:pPr>
            <w:r>
              <w:rPr>
                <w:rFonts w:ascii="Arial" w:cs="Arial" w:eastAsia="Arial" w:hAnsi="Arial"/>
                <w:sz w:val="10"/>
                <w:szCs w:val="10"/>
                <w:color w:val="auto"/>
              </w:rPr>
              <w:t>156</w:t>
            </w:r>
          </w:p>
        </w:tc>
        <w:tc>
          <w:tcPr>
            <w:tcW w:w="104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5</w:t>
            </w:r>
          </w:p>
        </w:tc>
        <w:tc>
          <w:tcPr>
            <w:tcW w:w="120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165</w:t>
            </w:r>
          </w:p>
        </w:tc>
        <w:tc>
          <w:tcPr>
            <w:tcW w:w="1000" w:type="dxa"/>
            <w:vAlign w:val="bottom"/>
          </w:tcPr>
          <w:p>
            <w:pPr>
              <w:spacing w:after="0"/>
              <w:rPr>
                <w:sz w:val="10"/>
                <w:szCs w:val="10"/>
                <w:color w:val="auto"/>
              </w:rPr>
            </w:pPr>
          </w:p>
        </w:tc>
      </w:tr>
      <w:tr>
        <w:trPr>
          <w:trHeight w:val="126"/>
        </w:trPr>
        <w:tc>
          <w:tcPr>
            <w:tcW w:w="1960" w:type="dxa"/>
            <w:vAlign w:val="bottom"/>
          </w:tcPr>
          <w:p>
            <w:pPr>
              <w:ind w:left="140"/>
              <w:spacing w:after="0"/>
              <w:rPr>
                <w:sz w:val="20"/>
                <w:szCs w:val="20"/>
                <w:color w:val="auto"/>
              </w:rPr>
            </w:pPr>
            <w:r>
              <w:rPr>
                <w:rFonts w:ascii="Arial" w:cs="Arial" w:eastAsia="Arial" w:hAnsi="Arial"/>
                <w:sz w:val="10"/>
                <w:szCs w:val="10"/>
                <w:color w:val="auto"/>
              </w:rPr>
              <w:t>Unproved</w:t>
            </w:r>
          </w:p>
        </w:tc>
        <w:tc>
          <w:tcPr>
            <w:tcW w:w="1640" w:type="dxa"/>
            <w:vAlign w:val="bottom"/>
          </w:tcPr>
          <w:p>
            <w:pPr>
              <w:jc w:val="right"/>
              <w:ind w:right="352"/>
              <w:spacing w:after="0"/>
              <w:rPr>
                <w:sz w:val="20"/>
                <w:szCs w:val="20"/>
                <w:color w:val="auto"/>
              </w:rPr>
            </w:pPr>
            <w:r>
              <w:rPr>
                <w:rFonts w:ascii="Arial" w:cs="Arial" w:eastAsia="Arial" w:hAnsi="Arial"/>
                <w:sz w:val="10"/>
                <w:szCs w:val="10"/>
                <w:color w:val="auto"/>
              </w:rPr>
              <w:t>115</w:t>
            </w:r>
          </w:p>
        </w:tc>
        <w:tc>
          <w:tcPr>
            <w:tcW w:w="960" w:type="dxa"/>
            <w:vAlign w:val="bottom"/>
          </w:tcPr>
          <w:p>
            <w:pPr>
              <w:jc w:val="right"/>
              <w:ind w:right="332"/>
              <w:spacing w:after="0"/>
              <w:rPr>
                <w:sz w:val="20"/>
                <w:szCs w:val="20"/>
                <w:color w:val="auto"/>
              </w:rPr>
            </w:pPr>
            <w:r>
              <w:rPr>
                <w:rFonts w:ascii="Arial" w:cs="Arial" w:eastAsia="Arial" w:hAnsi="Arial"/>
                <w:sz w:val="10"/>
                <w:szCs w:val="10"/>
                <w:color w:val="auto"/>
              </w:rPr>
              <w:t>19</w:t>
            </w:r>
          </w:p>
        </w:tc>
        <w:tc>
          <w:tcPr>
            <w:tcW w:w="104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48</w:t>
            </w:r>
          </w:p>
        </w:tc>
        <w:tc>
          <w:tcPr>
            <w:tcW w:w="1200" w:type="dxa"/>
            <w:vAlign w:val="bottom"/>
          </w:tcPr>
          <w:p>
            <w:pPr>
              <w:jc w:val="right"/>
              <w:ind w:right="212"/>
              <w:spacing w:after="0"/>
              <w:rPr>
                <w:sz w:val="20"/>
                <w:szCs w:val="20"/>
                <w:color w:val="auto"/>
              </w:rPr>
            </w:pPr>
            <w:r>
              <w:rPr>
                <w:rFonts w:ascii="Arial" w:cs="Arial" w:eastAsia="Arial" w:hAnsi="Arial"/>
                <w:sz w:val="10"/>
                <w:szCs w:val="10"/>
                <w:color w:val="auto"/>
              </w:rPr>
              <w:t>80</w:t>
            </w:r>
          </w:p>
        </w:tc>
        <w:tc>
          <w:tcPr>
            <w:tcW w:w="800" w:type="dxa"/>
            <w:vAlign w:val="bottom"/>
          </w:tcPr>
          <w:p>
            <w:pPr>
              <w:jc w:val="right"/>
              <w:spacing w:after="0"/>
              <w:rPr>
                <w:sz w:val="20"/>
                <w:szCs w:val="20"/>
                <w:color w:val="auto"/>
              </w:rPr>
            </w:pPr>
            <w:r>
              <w:rPr>
                <w:rFonts w:ascii="Arial" w:cs="Arial" w:eastAsia="Arial" w:hAnsi="Arial"/>
                <w:sz w:val="10"/>
                <w:szCs w:val="10"/>
                <w:color w:val="auto"/>
              </w:rPr>
              <w:t>6</w:t>
            </w:r>
          </w:p>
        </w:tc>
        <w:tc>
          <w:tcPr>
            <w:tcW w:w="1280" w:type="dxa"/>
            <w:vAlign w:val="bottom"/>
          </w:tcPr>
          <w:p>
            <w:pPr>
              <w:jc w:val="right"/>
              <w:ind w:right="292"/>
              <w:spacing w:after="0"/>
              <w:rPr>
                <w:sz w:val="20"/>
                <w:szCs w:val="20"/>
                <w:color w:val="auto"/>
              </w:rPr>
            </w:pPr>
            <w:r>
              <w:rPr>
                <w:rFonts w:ascii="Arial" w:cs="Arial" w:eastAsia="Arial" w:hAnsi="Arial"/>
                <w:sz w:val="10"/>
                <w:szCs w:val="10"/>
                <w:color w:val="auto"/>
              </w:rPr>
              <w:t>180</w:t>
            </w:r>
          </w:p>
        </w:tc>
        <w:tc>
          <w:tcPr>
            <w:tcW w:w="720" w:type="dxa"/>
            <w:vAlign w:val="bottom"/>
          </w:tcPr>
          <w:p>
            <w:pPr>
              <w:jc w:val="right"/>
              <w:spacing w:after="0"/>
              <w:rPr>
                <w:sz w:val="20"/>
                <w:szCs w:val="20"/>
                <w:color w:val="auto"/>
              </w:rPr>
            </w:pPr>
            <w:r>
              <w:rPr>
                <w:rFonts w:ascii="Arial" w:cs="Arial" w:eastAsia="Arial" w:hAnsi="Arial"/>
                <w:sz w:val="10"/>
                <w:szCs w:val="10"/>
                <w:color w:val="auto"/>
              </w:rPr>
              <w:t>448</w:t>
            </w:r>
          </w:p>
        </w:tc>
        <w:tc>
          <w:tcPr>
            <w:tcW w:w="1000" w:type="dxa"/>
            <w:vAlign w:val="bottom"/>
          </w:tcPr>
          <w:p>
            <w:pPr>
              <w:spacing w:after="0"/>
              <w:rPr>
                <w:sz w:val="10"/>
                <w:szCs w:val="10"/>
                <w:color w:val="auto"/>
              </w:rPr>
            </w:pPr>
          </w:p>
        </w:tc>
      </w:tr>
      <w:tr>
        <w:trPr>
          <w:trHeight w:val="126"/>
        </w:trPr>
        <w:tc>
          <w:tcPr>
            <w:tcW w:w="1960" w:type="dxa"/>
            <w:vAlign w:val="bottom"/>
          </w:tcPr>
          <w:p>
            <w:pPr>
              <w:spacing w:after="0"/>
              <w:rPr>
                <w:sz w:val="20"/>
                <w:szCs w:val="20"/>
                <w:color w:val="auto"/>
              </w:rPr>
            </w:pPr>
            <w:r>
              <w:rPr>
                <w:rFonts w:ascii="Arial" w:cs="Arial" w:eastAsia="Arial" w:hAnsi="Arial"/>
                <w:sz w:val="10"/>
                <w:szCs w:val="10"/>
                <w:color w:val="auto"/>
              </w:rPr>
              <w:t>Exploration</w:t>
            </w:r>
          </w:p>
        </w:tc>
        <w:tc>
          <w:tcPr>
            <w:tcW w:w="1640" w:type="dxa"/>
            <w:vAlign w:val="bottom"/>
          </w:tcPr>
          <w:p>
            <w:pPr>
              <w:jc w:val="right"/>
              <w:ind w:right="352"/>
              <w:spacing w:after="0"/>
              <w:rPr>
                <w:sz w:val="20"/>
                <w:szCs w:val="20"/>
                <w:color w:val="auto"/>
              </w:rPr>
            </w:pPr>
            <w:r>
              <w:rPr>
                <w:rFonts w:ascii="Arial" w:cs="Arial" w:eastAsia="Arial" w:hAnsi="Arial"/>
                <w:sz w:val="10"/>
                <w:szCs w:val="10"/>
                <w:color w:val="auto"/>
              </w:rPr>
              <w:t>287</w:t>
            </w:r>
          </w:p>
        </w:tc>
        <w:tc>
          <w:tcPr>
            <w:tcW w:w="960" w:type="dxa"/>
            <w:vAlign w:val="bottom"/>
          </w:tcPr>
          <w:p>
            <w:pPr>
              <w:jc w:val="right"/>
              <w:ind w:right="332"/>
              <w:spacing w:after="0"/>
              <w:rPr>
                <w:sz w:val="20"/>
                <w:szCs w:val="20"/>
                <w:color w:val="auto"/>
              </w:rPr>
            </w:pPr>
            <w:r>
              <w:rPr>
                <w:rFonts w:ascii="Arial" w:cs="Arial" w:eastAsia="Arial" w:hAnsi="Arial"/>
                <w:sz w:val="10"/>
                <w:szCs w:val="10"/>
                <w:color w:val="auto"/>
              </w:rPr>
              <w:t>102</w:t>
            </w:r>
          </w:p>
        </w:tc>
        <w:tc>
          <w:tcPr>
            <w:tcW w:w="1040" w:type="dxa"/>
            <w:vAlign w:val="bottom"/>
          </w:tcPr>
          <w:p>
            <w:pPr>
              <w:jc w:val="right"/>
              <w:ind w:right="372"/>
              <w:spacing w:after="0"/>
              <w:rPr>
                <w:sz w:val="20"/>
                <w:szCs w:val="20"/>
                <w:color w:val="auto"/>
              </w:rPr>
            </w:pPr>
            <w:r>
              <w:rPr>
                <w:rFonts w:ascii="Arial" w:cs="Arial" w:eastAsia="Arial" w:hAnsi="Arial"/>
                <w:sz w:val="10"/>
                <w:szCs w:val="10"/>
                <w:color w:val="auto"/>
              </w:rPr>
              <w:t>33</w:t>
            </w:r>
          </w:p>
        </w:tc>
        <w:tc>
          <w:tcPr>
            <w:tcW w:w="640" w:type="dxa"/>
            <w:vAlign w:val="bottom"/>
          </w:tcPr>
          <w:p>
            <w:pPr>
              <w:jc w:val="right"/>
              <w:spacing w:after="0"/>
              <w:rPr>
                <w:sz w:val="20"/>
                <w:szCs w:val="20"/>
                <w:color w:val="auto"/>
              </w:rPr>
            </w:pPr>
            <w:r>
              <w:rPr>
                <w:rFonts w:ascii="Arial" w:cs="Arial" w:eastAsia="Arial" w:hAnsi="Arial"/>
                <w:sz w:val="10"/>
                <w:szCs w:val="10"/>
                <w:color w:val="auto"/>
              </w:rPr>
              <w:t>168</w:t>
            </w:r>
          </w:p>
        </w:tc>
        <w:tc>
          <w:tcPr>
            <w:tcW w:w="1200" w:type="dxa"/>
            <w:vAlign w:val="bottom"/>
          </w:tcPr>
          <w:p>
            <w:pPr>
              <w:jc w:val="right"/>
              <w:ind w:right="212"/>
              <w:spacing w:after="0"/>
              <w:rPr>
                <w:sz w:val="20"/>
                <w:szCs w:val="20"/>
                <w:color w:val="auto"/>
              </w:rPr>
            </w:pPr>
            <w:r>
              <w:rPr>
                <w:rFonts w:ascii="Arial" w:cs="Arial" w:eastAsia="Arial" w:hAnsi="Arial"/>
                <w:sz w:val="10"/>
                <w:szCs w:val="10"/>
                <w:color w:val="auto"/>
              </w:rPr>
              <w:t>951</w:t>
            </w:r>
          </w:p>
        </w:tc>
        <w:tc>
          <w:tcPr>
            <w:tcW w:w="800" w:type="dxa"/>
            <w:vAlign w:val="bottom"/>
          </w:tcPr>
          <w:p>
            <w:pPr>
              <w:jc w:val="right"/>
              <w:spacing w:after="0"/>
              <w:rPr>
                <w:sz w:val="20"/>
                <w:szCs w:val="20"/>
                <w:color w:val="auto"/>
              </w:rPr>
            </w:pPr>
            <w:r>
              <w:rPr>
                <w:rFonts w:ascii="Arial" w:cs="Arial" w:eastAsia="Arial" w:hAnsi="Arial"/>
                <w:sz w:val="10"/>
                <w:szCs w:val="10"/>
                <w:color w:val="auto"/>
              </w:rPr>
              <w:t>275</w:t>
            </w:r>
          </w:p>
        </w:tc>
        <w:tc>
          <w:tcPr>
            <w:tcW w:w="1280" w:type="dxa"/>
            <w:vAlign w:val="bottom"/>
          </w:tcPr>
          <w:p>
            <w:pPr>
              <w:jc w:val="right"/>
              <w:ind w:right="292"/>
              <w:spacing w:after="0"/>
              <w:rPr>
                <w:sz w:val="20"/>
                <w:szCs w:val="20"/>
                <w:color w:val="auto"/>
              </w:rPr>
            </w:pPr>
            <w:r>
              <w:rPr>
                <w:rFonts w:ascii="Arial" w:cs="Arial" w:eastAsia="Arial" w:hAnsi="Arial"/>
                <w:sz w:val="10"/>
                <w:szCs w:val="10"/>
                <w:color w:val="auto"/>
              </w:rPr>
              <w:t>390</w:t>
            </w:r>
          </w:p>
        </w:tc>
        <w:tc>
          <w:tcPr>
            <w:tcW w:w="720" w:type="dxa"/>
            <w:vAlign w:val="bottom"/>
          </w:tcPr>
          <w:p>
            <w:pPr>
              <w:jc w:val="right"/>
              <w:spacing w:after="0"/>
              <w:rPr>
                <w:sz w:val="20"/>
                <w:szCs w:val="20"/>
                <w:color w:val="auto"/>
              </w:rPr>
            </w:pPr>
            <w:r>
              <w:rPr>
                <w:rFonts w:ascii="Arial" w:cs="Arial" w:eastAsia="Arial" w:hAnsi="Arial"/>
                <w:sz w:val="10"/>
                <w:szCs w:val="10"/>
                <w:color w:val="auto"/>
              </w:rPr>
              <w:t>2,206</w:t>
            </w:r>
          </w:p>
        </w:tc>
        <w:tc>
          <w:tcPr>
            <w:tcW w:w="1000" w:type="dxa"/>
            <w:vAlign w:val="bottom"/>
          </w:tcPr>
          <w:p>
            <w:pPr>
              <w:spacing w:after="0"/>
              <w:rPr>
                <w:sz w:val="20"/>
                <w:szCs w:val="20"/>
                <w:color w:val="auto"/>
              </w:rPr>
            </w:pPr>
            <w:r>
              <w:rPr>
                <w:rFonts w:ascii="Arial" w:cs="Arial" w:eastAsia="Arial" w:hAnsi="Arial"/>
                <w:sz w:val="10"/>
                <w:szCs w:val="10"/>
                <w:color w:val="auto"/>
              </w:rPr>
              <w:t>[B]</w:t>
            </w:r>
          </w:p>
        </w:tc>
      </w:tr>
      <w:tr>
        <w:trPr>
          <w:trHeight w:val="130"/>
        </w:trPr>
        <w:tc>
          <w:tcPr>
            <w:tcW w:w="19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Development</w:t>
            </w:r>
          </w:p>
        </w:tc>
        <w:tc>
          <w:tcPr>
            <w:tcW w:w="16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1,612</w:t>
            </w: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1,018</w:t>
            </w: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1,465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807</w:t>
            </w: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4,186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325</w:t>
            </w: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1,930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11,343</w:t>
            </w:r>
          </w:p>
        </w:tc>
        <w:tc>
          <w:tcPr>
            <w:tcW w:w="1000" w:type="dxa"/>
            <w:vAlign w:val="bottom"/>
            <w:tcBorders>
              <w:bottom w:val="single" w:sz="8" w:color="auto"/>
            </w:tcBorders>
          </w:tcPr>
          <w:p>
            <w:pPr>
              <w:spacing w:after="0"/>
              <w:rPr>
                <w:sz w:val="11"/>
                <w:szCs w:val="11"/>
                <w:color w:val="auto"/>
              </w:rPr>
            </w:pPr>
          </w:p>
        </w:tc>
      </w:tr>
    </w:tbl>
    <w:p>
      <w:pPr>
        <w:spacing w:after="0" w:line="56" w:lineRule="exact"/>
        <w:rPr>
          <w:sz w:val="20"/>
          <w:szCs w:val="20"/>
          <w:color w:val="auto"/>
        </w:rPr>
      </w:pPr>
    </w:p>
    <w:p>
      <w:pPr>
        <w:ind w:left="128" w:hanging="128"/>
        <w:spacing w:after="0"/>
        <w:tabs>
          <w:tab w:leader="none" w:pos="128" w:val="left"/>
        </w:tabs>
        <w:numPr>
          <w:ilvl w:val="0"/>
          <w:numId w:val="189"/>
        </w:numPr>
        <w:rPr>
          <w:rFonts w:ascii="Arial" w:cs="Arial" w:eastAsia="Arial" w:hAnsi="Arial"/>
          <w:sz w:val="7"/>
          <w:szCs w:val="7"/>
          <w:color w:val="auto"/>
        </w:rPr>
      </w:pPr>
      <w:r>
        <w:rPr>
          <w:rFonts w:ascii="Arial" w:cs="Arial" w:eastAsia="Arial" w:hAnsi="Arial"/>
          <w:sz w:val="7"/>
          <w:szCs w:val="7"/>
          <w:color w:val="auto"/>
        </w:rPr>
        <w:t>Comprises Canada and Mexico.</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89"/>
        </w:numPr>
        <w:rPr>
          <w:rFonts w:ascii="Arial" w:cs="Arial" w:eastAsia="Arial" w:hAnsi="Arial"/>
          <w:sz w:val="7"/>
          <w:szCs w:val="7"/>
          <w:color w:val="auto"/>
        </w:rPr>
      </w:pPr>
      <w:r>
        <w:rPr>
          <w:rFonts w:ascii="Arial" w:cs="Arial" w:eastAsia="Arial" w:hAnsi="Arial"/>
          <w:sz w:val="7"/>
          <w:szCs w:val="7"/>
          <w:color w:val="auto"/>
        </w:rPr>
        <w:t>Includes $504 million of Shales-related exploration activities. In 2020, we participated in 161 Shales productive exploratory wells with proved reserves allocated (Shell share: 77 wells).</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223</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226" w:name="page227"/>
    <w:bookmarkEnd w:id="226"/>
    <w:tbl>
      <w:tblPr>
        <w:tblLayout w:type="fixed"/>
        <w:tblInd w:w="8" w:type="dxa"/>
        <w:tblCellMar>
          <w:top w:w="0" w:type="dxa"/>
          <w:left w:w="0" w:type="dxa"/>
          <w:bottom w:w="0" w:type="dxa"/>
          <w:right w:w="0" w:type="dxa"/>
        </w:tblCellMar>
      </w:tblPr>
      <w:tr>
        <w:trPr>
          <w:trHeight w:val="126"/>
        </w:trPr>
        <w:tc>
          <w:tcPr>
            <w:tcW w:w="2280" w:type="dxa"/>
            <w:vAlign w:val="bottom"/>
            <w:shd w:val="clear" w:color="auto" w:fill="CDCDCD"/>
          </w:tcPr>
          <w:p>
            <w:pPr>
              <w:spacing w:after="0"/>
              <w:rPr>
                <w:sz w:val="10"/>
                <w:szCs w:val="10"/>
                <w:color w:val="auto"/>
              </w:rPr>
            </w:pPr>
          </w:p>
        </w:tc>
        <w:tc>
          <w:tcPr>
            <w:tcW w:w="1960" w:type="dxa"/>
            <w:vAlign w:val="bottom"/>
            <w:shd w:val="clear" w:color="auto" w:fill="CDCDCD"/>
          </w:tcPr>
          <w:p>
            <w:pPr>
              <w:spacing w:after="0"/>
              <w:rPr>
                <w:sz w:val="10"/>
                <w:szCs w:val="10"/>
                <w:color w:val="auto"/>
              </w:rPr>
            </w:pPr>
          </w:p>
        </w:tc>
        <w:tc>
          <w:tcPr>
            <w:tcW w:w="980" w:type="dxa"/>
            <w:vAlign w:val="bottom"/>
            <w:shd w:val="clear" w:color="auto" w:fill="CDCDCD"/>
          </w:tcPr>
          <w:p>
            <w:pPr>
              <w:spacing w:after="0"/>
              <w:rPr>
                <w:sz w:val="10"/>
                <w:szCs w:val="10"/>
                <w:color w:val="auto"/>
              </w:rPr>
            </w:pPr>
          </w:p>
        </w:tc>
        <w:tc>
          <w:tcPr>
            <w:tcW w:w="1040" w:type="dxa"/>
            <w:vAlign w:val="bottom"/>
            <w:shd w:val="clear" w:color="auto" w:fill="CDCDCD"/>
          </w:tcPr>
          <w:p>
            <w:pPr>
              <w:spacing w:after="0"/>
              <w:rPr>
                <w:sz w:val="10"/>
                <w:szCs w:val="10"/>
                <w:color w:val="auto"/>
              </w:rPr>
            </w:pPr>
          </w:p>
        </w:tc>
        <w:tc>
          <w:tcPr>
            <w:tcW w:w="640" w:type="dxa"/>
            <w:vAlign w:val="bottom"/>
            <w:shd w:val="clear" w:color="auto" w:fill="CDCDCD"/>
          </w:tcPr>
          <w:p>
            <w:pPr>
              <w:spacing w:after="0"/>
              <w:rPr>
                <w:sz w:val="10"/>
                <w:szCs w:val="10"/>
                <w:color w:val="auto"/>
              </w:rPr>
            </w:pPr>
          </w:p>
        </w:tc>
        <w:tc>
          <w:tcPr>
            <w:tcW w:w="1180" w:type="dxa"/>
            <w:vAlign w:val="bottom"/>
            <w:shd w:val="clear" w:color="auto" w:fill="CDCDCD"/>
          </w:tcPr>
          <w:p>
            <w:pPr>
              <w:spacing w:after="0"/>
              <w:rPr>
                <w:sz w:val="10"/>
                <w:szCs w:val="10"/>
                <w:color w:val="auto"/>
              </w:rPr>
            </w:pPr>
          </w:p>
        </w:tc>
        <w:tc>
          <w:tcPr>
            <w:tcW w:w="820" w:type="dxa"/>
            <w:vAlign w:val="bottom"/>
            <w:shd w:val="clear" w:color="auto" w:fill="CDCDCD"/>
          </w:tcPr>
          <w:p>
            <w:pPr>
              <w:spacing w:after="0"/>
              <w:rPr>
                <w:sz w:val="10"/>
                <w:szCs w:val="10"/>
                <w:color w:val="auto"/>
              </w:rPr>
            </w:pPr>
          </w:p>
        </w:tc>
        <w:tc>
          <w:tcPr>
            <w:tcW w:w="1280" w:type="dxa"/>
            <w:vAlign w:val="bottom"/>
            <w:shd w:val="clear" w:color="auto" w:fill="CDCDCD"/>
          </w:tcPr>
          <w:p>
            <w:pPr>
              <w:spacing w:after="0"/>
              <w:rPr>
                <w:sz w:val="10"/>
                <w:szCs w:val="10"/>
                <w:color w:val="auto"/>
              </w:rPr>
            </w:pPr>
          </w:p>
        </w:tc>
        <w:tc>
          <w:tcPr>
            <w:tcW w:w="720" w:type="dxa"/>
            <w:vAlign w:val="bottom"/>
            <w:shd w:val="clear" w:color="auto" w:fill="CDCDCD"/>
          </w:tcPr>
          <w:p>
            <w:pPr>
              <w:spacing w:after="0"/>
              <w:rPr>
                <w:sz w:val="10"/>
                <w:szCs w:val="10"/>
                <w:color w:val="auto"/>
              </w:rPr>
            </w:pPr>
          </w:p>
        </w:tc>
        <w:tc>
          <w:tcPr>
            <w:tcW w:w="400" w:type="dxa"/>
            <w:vAlign w:val="bottom"/>
            <w:shd w:val="clear" w:color="auto" w:fill="CDCDCD"/>
          </w:tcPr>
          <w:p>
            <w:pPr>
              <w:spacing w:after="0"/>
              <w:rPr>
                <w:sz w:val="10"/>
                <w:szCs w:val="10"/>
                <w:color w:val="auto"/>
              </w:rPr>
            </w:pPr>
          </w:p>
        </w:tc>
      </w:tr>
      <w:tr>
        <w:trPr>
          <w:trHeight w:val="121"/>
        </w:trPr>
        <w:tc>
          <w:tcPr>
            <w:tcW w:w="2280" w:type="dxa"/>
            <w:vAlign w:val="bottom"/>
          </w:tcPr>
          <w:p>
            <w:pPr>
              <w:spacing w:after="0"/>
              <w:rPr>
                <w:sz w:val="20"/>
                <w:szCs w:val="20"/>
                <w:color w:val="auto"/>
              </w:rPr>
            </w:pPr>
            <w:r>
              <w:rPr>
                <w:rFonts w:ascii="Arial" w:cs="Arial" w:eastAsia="Arial" w:hAnsi="Arial"/>
                <w:sz w:val="10"/>
                <w:szCs w:val="10"/>
                <w:color w:val="auto"/>
              </w:rPr>
              <w:t>2019</w:t>
            </w:r>
          </w:p>
        </w:tc>
        <w:tc>
          <w:tcPr>
            <w:tcW w:w="1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 million</w:t>
            </w:r>
          </w:p>
        </w:tc>
        <w:tc>
          <w:tcPr>
            <w:tcW w:w="400" w:type="dxa"/>
            <w:vAlign w:val="bottom"/>
          </w:tcPr>
          <w:p>
            <w:pPr>
              <w:spacing w:after="0"/>
              <w:rPr>
                <w:sz w:val="10"/>
                <w:szCs w:val="10"/>
                <w:color w:val="auto"/>
              </w:rPr>
            </w:pPr>
          </w:p>
        </w:tc>
      </w:tr>
      <w:tr>
        <w:trPr>
          <w:trHeight w:val="145"/>
        </w:trPr>
        <w:tc>
          <w:tcPr>
            <w:tcW w:w="2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96"/>
        </w:trPr>
        <w:tc>
          <w:tcPr>
            <w:tcW w:w="22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Europe</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Asia</w:t>
            </w: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Oceania</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Africa</w:t>
            </w: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USA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Other [A]</w:t>
            </w: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South America</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c>
          <w:tcPr>
            <w:tcW w:w="400" w:type="dxa"/>
            <w:vAlign w:val="bottom"/>
            <w:tcBorders>
              <w:bottom w:val="single" w:sz="8" w:color="auto"/>
            </w:tcBorders>
          </w:tcPr>
          <w:p>
            <w:pPr>
              <w:spacing w:after="0"/>
              <w:rPr>
                <w:sz w:val="17"/>
                <w:szCs w:val="17"/>
                <w:color w:val="auto"/>
              </w:rPr>
            </w:pPr>
          </w:p>
        </w:tc>
      </w:tr>
      <w:tr>
        <w:trPr>
          <w:trHeight w:val="114"/>
        </w:trPr>
        <w:tc>
          <w:tcPr>
            <w:tcW w:w="2280" w:type="dxa"/>
            <w:vAlign w:val="bottom"/>
          </w:tcPr>
          <w:p>
            <w:pPr>
              <w:spacing w:after="0"/>
              <w:rPr>
                <w:sz w:val="20"/>
                <w:szCs w:val="20"/>
                <w:color w:val="auto"/>
              </w:rPr>
            </w:pPr>
            <w:r>
              <w:rPr>
                <w:rFonts w:ascii="Arial" w:cs="Arial" w:eastAsia="Arial" w:hAnsi="Arial"/>
                <w:sz w:val="10"/>
                <w:szCs w:val="10"/>
                <w:color w:val="auto"/>
              </w:rPr>
              <w:t>Acquisition of properties</w:t>
            </w:r>
          </w:p>
        </w:tc>
        <w:tc>
          <w:tcPr>
            <w:tcW w:w="1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123"/>
        </w:trPr>
        <w:tc>
          <w:tcPr>
            <w:tcW w:w="2280" w:type="dxa"/>
            <w:vAlign w:val="bottom"/>
          </w:tcPr>
          <w:p>
            <w:pPr>
              <w:ind w:left="140"/>
              <w:spacing w:after="0"/>
              <w:rPr>
                <w:sz w:val="20"/>
                <w:szCs w:val="20"/>
                <w:color w:val="auto"/>
              </w:rPr>
            </w:pPr>
            <w:r>
              <w:rPr>
                <w:rFonts w:ascii="Arial" w:cs="Arial" w:eastAsia="Arial" w:hAnsi="Arial"/>
                <w:sz w:val="10"/>
                <w:szCs w:val="10"/>
                <w:color w:val="auto"/>
              </w:rPr>
              <w:t>Proved</w:t>
            </w:r>
          </w:p>
        </w:tc>
        <w:tc>
          <w:tcPr>
            <w:tcW w:w="1960" w:type="dxa"/>
            <w:vAlign w:val="bottom"/>
          </w:tcPr>
          <w:p>
            <w:pPr>
              <w:jc w:val="right"/>
              <w:ind w:right="352"/>
              <w:spacing w:after="0"/>
              <w:rPr>
                <w:sz w:val="20"/>
                <w:szCs w:val="20"/>
                <w:color w:val="auto"/>
              </w:rPr>
            </w:pPr>
            <w:r>
              <w:rPr>
                <w:rFonts w:ascii="Arial" w:cs="Arial" w:eastAsia="Arial" w:hAnsi="Arial"/>
                <w:sz w:val="10"/>
                <w:szCs w:val="10"/>
                <w:color w:val="auto"/>
              </w:rPr>
              <w:t>3</w:t>
            </w: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105</w:t>
            </w:r>
          </w:p>
        </w:tc>
        <w:tc>
          <w:tcPr>
            <w:tcW w:w="104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10</w:t>
            </w:r>
          </w:p>
        </w:tc>
        <w:tc>
          <w:tcPr>
            <w:tcW w:w="11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118</w:t>
            </w:r>
          </w:p>
        </w:tc>
        <w:tc>
          <w:tcPr>
            <w:tcW w:w="400" w:type="dxa"/>
            <w:vAlign w:val="bottom"/>
          </w:tcPr>
          <w:p>
            <w:pPr>
              <w:spacing w:after="0"/>
              <w:rPr>
                <w:sz w:val="10"/>
                <w:szCs w:val="10"/>
                <w:color w:val="auto"/>
              </w:rPr>
            </w:pPr>
          </w:p>
        </w:tc>
      </w:tr>
      <w:tr>
        <w:trPr>
          <w:trHeight w:val="126"/>
        </w:trPr>
        <w:tc>
          <w:tcPr>
            <w:tcW w:w="2280" w:type="dxa"/>
            <w:vAlign w:val="bottom"/>
          </w:tcPr>
          <w:p>
            <w:pPr>
              <w:ind w:left="140"/>
              <w:spacing w:after="0"/>
              <w:rPr>
                <w:sz w:val="20"/>
                <w:szCs w:val="20"/>
                <w:color w:val="auto"/>
              </w:rPr>
            </w:pPr>
            <w:r>
              <w:rPr>
                <w:rFonts w:ascii="Arial" w:cs="Arial" w:eastAsia="Arial" w:hAnsi="Arial"/>
                <w:sz w:val="10"/>
                <w:szCs w:val="10"/>
                <w:color w:val="auto"/>
              </w:rPr>
              <w:t>Unproved</w:t>
            </w:r>
          </w:p>
        </w:tc>
        <w:tc>
          <w:tcPr>
            <w:tcW w:w="1960" w:type="dxa"/>
            <w:vAlign w:val="bottom"/>
          </w:tcPr>
          <w:p>
            <w:pPr>
              <w:jc w:val="right"/>
              <w:ind w:right="352"/>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11</w:t>
            </w:r>
          </w:p>
        </w:tc>
        <w:tc>
          <w:tcPr>
            <w:tcW w:w="104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67</w:t>
            </w:r>
          </w:p>
        </w:tc>
        <w:tc>
          <w:tcPr>
            <w:tcW w:w="1180" w:type="dxa"/>
            <w:vAlign w:val="bottom"/>
          </w:tcPr>
          <w:p>
            <w:pPr>
              <w:jc w:val="right"/>
              <w:ind w:right="192"/>
              <w:spacing w:after="0"/>
              <w:rPr>
                <w:sz w:val="20"/>
                <w:szCs w:val="20"/>
                <w:color w:val="auto"/>
              </w:rPr>
            </w:pPr>
            <w:r>
              <w:rPr>
                <w:rFonts w:ascii="Arial" w:cs="Arial" w:eastAsia="Arial" w:hAnsi="Arial"/>
                <w:sz w:val="10"/>
                <w:szCs w:val="10"/>
                <w:color w:val="auto"/>
              </w:rPr>
              <w:t>118</w:t>
            </w:r>
          </w:p>
        </w:tc>
        <w:tc>
          <w:tcPr>
            <w:tcW w:w="820" w:type="dxa"/>
            <w:vAlign w:val="bottom"/>
          </w:tcPr>
          <w:p>
            <w:pPr>
              <w:jc w:val="right"/>
              <w:spacing w:after="0"/>
              <w:rPr>
                <w:sz w:val="20"/>
                <w:szCs w:val="20"/>
                <w:color w:val="auto"/>
              </w:rPr>
            </w:pPr>
            <w:r>
              <w:rPr>
                <w:rFonts w:ascii="Arial" w:cs="Arial" w:eastAsia="Arial" w:hAnsi="Arial"/>
                <w:sz w:val="10"/>
                <w:szCs w:val="10"/>
                <w:color w:val="auto"/>
              </w:rPr>
              <w:t>5</w:t>
            </w:r>
          </w:p>
        </w:tc>
        <w:tc>
          <w:tcPr>
            <w:tcW w:w="1280" w:type="dxa"/>
            <w:vAlign w:val="bottom"/>
          </w:tcPr>
          <w:p>
            <w:pPr>
              <w:jc w:val="right"/>
              <w:ind w:right="292"/>
              <w:spacing w:after="0"/>
              <w:rPr>
                <w:sz w:val="20"/>
                <w:szCs w:val="20"/>
                <w:color w:val="auto"/>
              </w:rPr>
            </w:pPr>
            <w:r>
              <w:rPr>
                <w:rFonts w:ascii="Arial" w:cs="Arial" w:eastAsia="Arial" w:hAnsi="Arial"/>
                <w:sz w:val="10"/>
                <w:szCs w:val="10"/>
                <w:color w:val="auto"/>
              </w:rPr>
              <w:t>3</w:t>
            </w: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204</w:t>
            </w:r>
          </w:p>
        </w:tc>
        <w:tc>
          <w:tcPr>
            <w:tcW w:w="400" w:type="dxa"/>
            <w:vAlign w:val="bottom"/>
          </w:tcPr>
          <w:p>
            <w:pPr>
              <w:spacing w:after="0"/>
              <w:rPr>
                <w:sz w:val="10"/>
                <w:szCs w:val="10"/>
                <w:color w:val="auto"/>
              </w:rPr>
            </w:pPr>
          </w:p>
        </w:tc>
      </w:tr>
      <w:tr>
        <w:trPr>
          <w:trHeight w:val="126"/>
        </w:trPr>
        <w:tc>
          <w:tcPr>
            <w:tcW w:w="2280" w:type="dxa"/>
            <w:vAlign w:val="bottom"/>
          </w:tcPr>
          <w:p>
            <w:pPr>
              <w:spacing w:after="0"/>
              <w:rPr>
                <w:sz w:val="20"/>
                <w:szCs w:val="20"/>
                <w:color w:val="auto"/>
              </w:rPr>
            </w:pPr>
            <w:r>
              <w:rPr>
                <w:rFonts w:ascii="Arial" w:cs="Arial" w:eastAsia="Arial" w:hAnsi="Arial"/>
                <w:sz w:val="10"/>
                <w:szCs w:val="10"/>
                <w:color w:val="auto"/>
              </w:rPr>
              <w:t>Exploration</w:t>
            </w:r>
          </w:p>
        </w:tc>
        <w:tc>
          <w:tcPr>
            <w:tcW w:w="1960" w:type="dxa"/>
            <w:vAlign w:val="bottom"/>
          </w:tcPr>
          <w:p>
            <w:pPr>
              <w:jc w:val="right"/>
              <w:ind w:right="352"/>
              <w:spacing w:after="0"/>
              <w:rPr>
                <w:sz w:val="20"/>
                <w:szCs w:val="20"/>
                <w:color w:val="auto"/>
              </w:rPr>
            </w:pPr>
            <w:r>
              <w:rPr>
                <w:rFonts w:ascii="Arial" w:cs="Arial" w:eastAsia="Arial" w:hAnsi="Arial"/>
                <w:sz w:val="10"/>
                <w:szCs w:val="10"/>
                <w:color w:val="auto"/>
              </w:rPr>
              <w:t>428</w:t>
            </w: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165</w:t>
            </w:r>
          </w:p>
        </w:tc>
        <w:tc>
          <w:tcPr>
            <w:tcW w:w="1040" w:type="dxa"/>
            <w:vAlign w:val="bottom"/>
          </w:tcPr>
          <w:p>
            <w:pPr>
              <w:jc w:val="right"/>
              <w:ind w:right="372"/>
              <w:spacing w:after="0"/>
              <w:rPr>
                <w:sz w:val="20"/>
                <w:szCs w:val="20"/>
                <w:color w:val="auto"/>
              </w:rPr>
            </w:pPr>
            <w:r>
              <w:rPr>
                <w:rFonts w:ascii="Arial" w:cs="Arial" w:eastAsia="Arial" w:hAnsi="Arial"/>
                <w:sz w:val="10"/>
                <w:szCs w:val="10"/>
                <w:color w:val="auto"/>
              </w:rPr>
              <w:t>117</w:t>
            </w:r>
          </w:p>
        </w:tc>
        <w:tc>
          <w:tcPr>
            <w:tcW w:w="640" w:type="dxa"/>
            <w:vAlign w:val="bottom"/>
          </w:tcPr>
          <w:p>
            <w:pPr>
              <w:jc w:val="right"/>
              <w:spacing w:after="0"/>
              <w:rPr>
                <w:sz w:val="20"/>
                <w:szCs w:val="20"/>
                <w:color w:val="auto"/>
              </w:rPr>
            </w:pPr>
            <w:r>
              <w:rPr>
                <w:rFonts w:ascii="Arial" w:cs="Arial" w:eastAsia="Arial" w:hAnsi="Arial"/>
                <w:sz w:val="10"/>
                <w:szCs w:val="10"/>
                <w:color w:val="auto"/>
              </w:rPr>
              <w:t>253</w:t>
            </w:r>
          </w:p>
        </w:tc>
        <w:tc>
          <w:tcPr>
            <w:tcW w:w="1180" w:type="dxa"/>
            <w:vAlign w:val="bottom"/>
          </w:tcPr>
          <w:p>
            <w:pPr>
              <w:jc w:val="right"/>
              <w:ind w:right="192"/>
              <w:spacing w:after="0"/>
              <w:rPr>
                <w:sz w:val="20"/>
                <w:szCs w:val="20"/>
                <w:color w:val="auto"/>
              </w:rPr>
            </w:pPr>
            <w:r>
              <w:rPr>
                <w:rFonts w:ascii="Arial" w:cs="Arial" w:eastAsia="Arial" w:hAnsi="Arial"/>
                <w:sz w:val="10"/>
                <w:szCs w:val="10"/>
                <w:color w:val="auto"/>
              </w:rPr>
              <w:t>1,723</w:t>
            </w:r>
          </w:p>
        </w:tc>
        <w:tc>
          <w:tcPr>
            <w:tcW w:w="820" w:type="dxa"/>
            <w:vAlign w:val="bottom"/>
          </w:tcPr>
          <w:p>
            <w:pPr>
              <w:jc w:val="right"/>
              <w:spacing w:after="0"/>
              <w:rPr>
                <w:sz w:val="20"/>
                <w:szCs w:val="20"/>
                <w:color w:val="auto"/>
              </w:rPr>
            </w:pPr>
            <w:r>
              <w:rPr>
                <w:rFonts w:ascii="Arial" w:cs="Arial" w:eastAsia="Arial" w:hAnsi="Arial"/>
                <w:sz w:val="10"/>
                <w:szCs w:val="10"/>
                <w:color w:val="auto"/>
              </w:rPr>
              <w:t>402</w:t>
            </w:r>
          </w:p>
        </w:tc>
        <w:tc>
          <w:tcPr>
            <w:tcW w:w="1280" w:type="dxa"/>
            <w:vAlign w:val="bottom"/>
          </w:tcPr>
          <w:p>
            <w:pPr>
              <w:jc w:val="right"/>
              <w:ind w:right="292"/>
              <w:spacing w:after="0"/>
              <w:rPr>
                <w:sz w:val="20"/>
                <w:szCs w:val="20"/>
                <w:color w:val="auto"/>
              </w:rPr>
            </w:pPr>
            <w:r>
              <w:rPr>
                <w:rFonts w:ascii="Arial" w:cs="Arial" w:eastAsia="Arial" w:hAnsi="Arial"/>
                <w:sz w:val="10"/>
                <w:szCs w:val="10"/>
                <w:color w:val="auto"/>
              </w:rPr>
              <w:t>500</w:t>
            </w: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3,588</w:t>
            </w:r>
          </w:p>
        </w:tc>
        <w:tc>
          <w:tcPr>
            <w:tcW w:w="400" w:type="dxa"/>
            <w:vAlign w:val="bottom"/>
          </w:tcPr>
          <w:p>
            <w:pPr>
              <w:spacing w:after="0"/>
              <w:rPr>
                <w:sz w:val="20"/>
                <w:szCs w:val="20"/>
                <w:color w:val="auto"/>
              </w:rPr>
            </w:pPr>
            <w:r>
              <w:rPr>
                <w:rFonts w:ascii="Arial" w:cs="Arial" w:eastAsia="Arial" w:hAnsi="Arial"/>
                <w:sz w:val="10"/>
                <w:szCs w:val="10"/>
                <w:color w:val="auto"/>
              </w:rPr>
              <w:t>[B]</w:t>
            </w:r>
          </w:p>
        </w:tc>
      </w:tr>
      <w:tr>
        <w:trPr>
          <w:trHeight w:val="130"/>
        </w:trPr>
        <w:tc>
          <w:tcPr>
            <w:tcW w:w="22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Development</w:t>
            </w:r>
          </w:p>
        </w:tc>
        <w:tc>
          <w:tcPr>
            <w:tcW w:w="19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2,054</w:t>
            </w: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1,434</w:t>
            </w: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1,225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1,480</w:t>
            </w: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4,455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287</w:t>
            </w: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2,418</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13,353</w:t>
            </w:r>
          </w:p>
        </w:tc>
        <w:tc>
          <w:tcPr>
            <w:tcW w:w="400" w:type="dxa"/>
            <w:vAlign w:val="bottom"/>
            <w:tcBorders>
              <w:bottom w:val="single" w:sz="8" w:color="auto"/>
            </w:tcBorders>
          </w:tcPr>
          <w:p>
            <w:pPr>
              <w:spacing w:after="0"/>
              <w:rPr>
                <w:sz w:val="11"/>
                <w:szCs w:val="11"/>
                <w:color w:val="auto"/>
              </w:rPr>
            </w:pPr>
          </w:p>
        </w:tc>
      </w:tr>
    </w:tbl>
    <w:p>
      <w:pPr>
        <w:spacing w:after="0" w:line="47" w:lineRule="exact"/>
        <w:rPr>
          <w:sz w:val="20"/>
          <w:szCs w:val="20"/>
          <w:color w:val="auto"/>
        </w:rPr>
      </w:pPr>
    </w:p>
    <w:p>
      <w:pPr>
        <w:ind w:left="128" w:hanging="128"/>
        <w:spacing w:after="0"/>
        <w:tabs>
          <w:tab w:leader="none" w:pos="128" w:val="left"/>
        </w:tabs>
        <w:numPr>
          <w:ilvl w:val="0"/>
          <w:numId w:val="190"/>
        </w:numPr>
        <w:rPr>
          <w:rFonts w:ascii="Arial" w:cs="Arial" w:eastAsia="Arial" w:hAnsi="Arial"/>
          <w:sz w:val="7"/>
          <w:szCs w:val="7"/>
          <w:color w:val="auto"/>
        </w:rPr>
      </w:pPr>
      <w:r>
        <w:rPr>
          <w:rFonts w:ascii="Arial" w:cs="Arial" w:eastAsia="Arial" w:hAnsi="Arial"/>
          <w:sz w:val="7"/>
          <w:szCs w:val="7"/>
          <w:color w:val="auto"/>
        </w:rPr>
        <w:t>Comprises Canada and Mexico.</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90"/>
        </w:numPr>
        <w:rPr>
          <w:rFonts w:ascii="Arial" w:cs="Arial" w:eastAsia="Arial" w:hAnsi="Arial"/>
          <w:sz w:val="7"/>
          <w:szCs w:val="7"/>
          <w:color w:val="auto"/>
        </w:rPr>
      </w:pPr>
      <w:r>
        <w:rPr>
          <w:rFonts w:ascii="Arial" w:cs="Arial" w:eastAsia="Arial" w:hAnsi="Arial"/>
          <w:sz w:val="7"/>
          <w:szCs w:val="7"/>
          <w:color w:val="auto"/>
        </w:rPr>
        <w:t>Includes $1,195 million of Shales-related exploration activities. In 2019, we participated in 231 Shales productive exploratory wells with proved reserves allocated (Shell share: 117 wells).</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940" w:type="dxa"/>
            <w:vAlign w:val="bottom"/>
            <w:shd w:val="clear" w:color="auto" w:fill="CDCDCD"/>
          </w:tcPr>
          <w:p>
            <w:pPr>
              <w:spacing w:after="0"/>
              <w:rPr>
                <w:sz w:val="12"/>
                <w:szCs w:val="12"/>
                <w:color w:val="auto"/>
              </w:rPr>
            </w:pPr>
          </w:p>
        </w:tc>
        <w:tc>
          <w:tcPr>
            <w:tcW w:w="1680" w:type="dxa"/>
            <w:vAlign w:val="bottom"/>
            <w:shd w:val="clear" w:color="auto" w:fill="CDCDCD"/>
          </w:tcPr>
          <w:p>
            <w:pPr>
              <w:spacing w:after="0"/>
              <w:rPr>
                <w:sz w:val="12"/>
                <w:szCs w:val="12"/>
                <w:color w:val="auto"/>
              </w:rPr>
            </w:pPr>
          </w:p>
        </w:tc>
        <w:tc>
          <w:tcPr>
            <w:tcW w:w="1080" w:type="dxa"/>
            <w:vAlign w:val="bottom"/>
            <w:shd w:val="clear" w:color="auto" w:fill="CDCDCD"/>
          </w:tcPr>
          <w:p>
            <w:pPr>
              <w:spacing w:after="0"/>
              <w:rPr>
                <w:sz w:val="12"/>
                <w:szCs w:val="12"/>
                <w:color w:val="auto"/>
              </w:rPr>
            </w:pPr>
          </w:p>
        </w:tc>
        <w:tc>
          <w:tcPr>
            <w:tcW w:w="1140" w:type="dxa"/>
            <w:vAlign w:val="bottom"/>
            <w:shd w:val="clear" w:color="auto" w:fill="CDCDCD"/>
          </w:tcPr>
          <w:p>
            <w:pPr>
              <w:spacing w:after="0"/>
              <w:rPr>
                <w:sz w:val="12"/>
                <w:szCs w:val="12"/>
                <w:color w:val="auto"/>
              </w:rPr>
            </w:pPr>
          </w:p>
        </w:tc>
        <w:tc>
          <w:tcPr>
            <w:tcW w:w="680" w:type="dxa"/>
            <w:vAlign w:val="bottom"/>
            <w:shd w:val="clear" w:color="auto" w:fill="CDCDCD"/>
          </w:tcPr>
          <w:p>
            <w:pPr>
              <w:spacing w:after="0"/>
              <w:rPr>
                <w:sz w:val="12"/>
                <w:szCs w:val="12"/>
                <w:color w:val="auto"/>
              </w:rPr>
            </w:pPr>
          </w:p>
        </w:tc>
        <w:tc>
          <w:tcPr>
            <w:tcW w:w="1360" w:type="dxa"/>
            <w:vAlign w:val="bottom"/>
            <w:shd w:val="clear" w:color="auto" w:fill="CDCDCD"/>
          </w:tcPr>
          <w:p>
            <w:pPr>
              <w:spacing w:after="0"/>
              <w:rPr>
                <w:sz w:val="12"/>
                <w:szCs w:val="12"/>
                <w:color w:val="auto"/>
              </w:rPr>
            </w:pPr>
          </w:p>
        </w:tc>
        <w:tc>
          <w:tcPr>
            <w:tcW w:w="860" w:type="dxa"/>
            <w:vAlign w:val="bottom"/>
            <w:shd w:val="clear" w:color="auto" w:fill="CDCDCD"/>
          </w:tcPr>
          <w:p>
            <w:pPr>
              <w:spacing w:after="0"/>
              <w:rPr>
                <w:sz w:val="12"/>
                <w:szCs w:val="12"/>
                <w:color w:val="auto"/>
              </w:rPr>
            </w:pPr>
          </w:p>
        </w:tc>
        <w:tc>
          <w:tcPr>
            <w:tcW w:w="1460" w:type="dxa"/>
            <w:vAlign w:val="bottom"/>
            <w:shd w:val="clear" w:color="auto" w:fill="CDCDCD"/>
          </w:tcPr>
          <w:p>
            <w:pPr>
              <w:spacing w:after="0"/>
              <w:rPr>
                <w:sz w:val="12"/>
                <w:szCs w:val="12"/>
                <w:color w:val="auto"/>
              </w:rPr>
            </w:pPr>
          </w:p>
        </w:tc>
        <w:tc>
          <w:tcPr>
            <w:tcW w:w="760" w:type="dxa"/>
            <w:vAlign w:val="bottom"/>
            <w:shd w:val="clear" w:color="auto" w:fill="CDCDCD"/>
          </w:tcPr>
          <w:p>
            <w:pPr>
              <w:spacing w:after="0"/>
              <w:rPr>
                <w:sz w:val="12"/>
                <w:szCs w:val="12"/>
                <w:color w:val="auto"/>
              </w:rPr>
            </w:pPr>
          </w:p>
        </w:tc>
        <w:tc>
          <w:tcPr>
            <w:tcW w:w="340" w:type="dxa"/>
            <w:vAlign w:val="bottom"/>
            <w:shd w:val="clear" w:color="auto" w:fill="CDCDCD"/>
          </w:tcPr>
          <w:p>
            <w:pPr>
              <w:spacing w:after="0"/>
              <w:rPr>
                <w:sz w:val="12"/>
                <w:szCs w:val="12"/>
                <w:color w:val="auto"/>
              </w:rPr>
            </w:pPr>
          </w:p>
        </w:tc>
      </w:tr>
      <w:tr>
        <w:trPr>
          <w:trHeight w:val="121"/>
        </w:trPr>
        <w:tc>
          <w:tcPr>
            <w:tcW w:w="1940" w:type="dxa"/>
            <w:vAlign w:val="bottom"/>
          </w:tcPr>
          <w:p>
            <w:pPr>
              <w:spacing w:after="0"/>
              <w:rPr>
                <w:sz w:val="20"/>
                <w:szCs w:val="20"/>
                <w:color w:val="auto"/>
              </w:rPr>
            </w:pPr>
            <w:r>
              <w:rPr>
                <w:rFonts w:ascii="Arial" w:cs="Arial" w:eastAsia="Arial" w:hAnsi="Arial"/>
                <w:sz w:val="10"/>
                <w:szCs w:val="10"/>
                <w:color w:val="auto"/>
              </w:rPr>
              <w:t>2018</w:t>
            </w:r>
          </w:p>
        </w:tc>
        <w:tc>
          <w:tcPr>
            <w:tcW w:w="1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 million</w:t>
            </w:r>
          </w:p>
        </w:tc>
        <w:tc>
          <w:tcPr>
            <w:tcW w:w="340" w:type="dxa"/>
            <w:vAlign w:val="bottom"/>
          </w:tcPr>
          <w:p>
            <w:pPr>
              <w:spacing w:after="0"/>
              <w:rPr>
                <w:sz w:val="10"/>
                <w:szCs w:val="10"/>
                <w:color w:val="auto"/>
              </w:rPr>
            </w:pPr>
          </w:p>
        </w:tc>
      </w:tr>
      <w:tr>
        <w:trPr>
          <w:trHeight w:val="132"/>
        </w:trPr>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21"/>
        </w:trPr>
        <w:tc>
          <w:tcPr>
            <w:tcW w:w="19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Europe</w:t>
            </w: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Asia</w:t>
            </w: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Oceania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Africa</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USA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Other [A]</w:t>
            </w:r>
          </w:p>
        </w:tc>
        <w:tc>
          <w:tcPr>
            <w:tcW w:w="146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color w:val="auto"/>
              </w:rPr>
              <w:t>South America</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c>
          <w:tcPr>
            <w:tcW w:w="340" w:type="dxa"/>
            <w:vAlign w:val="bottom"/>
          </w:tcPr>
          <w:p>
            <w:pPr>
              <w:spacing w:after="0"/>
              <w:rPr>
                <w:sz w:val="10"/>
                <w:szCs w:val="10"/>
                <w:color w:val="auto"/>
              </w:rPr>
            </w:pPr>
          </w:p>
        </w:tc>
      </w:tr>
      <w:tr>
        <w:trPr>
          <w:trHeight w:val="113"/>
        </w:trPr>
        <w:tc>
          <w:tcPr>
            <w:tcW w:w="1940" w:type="dxa"/>
            <w:vAlign w:val="bottom"/>
          </w:tcPr>
          <w:p>
            <w:pPr>
              <w:spacing w:after="0" w:line="113" w:lineRule="exact"/>
              <w:rPr>
                <w:sz w:val="20"/>
                <w:szCs w:val="20"/>
                <w:color w:val="auto"/>
              </w:rPr>
            </w:pPr>
            <w:r>
              <w:rPr>
                <w:rFonts w:ascii="Arial" w:cs="Arial" w:eastAsia="Arial" w:hAnsi="Arial"/>
                <w:sz w:val="10"/>
                <w:szCs w:val="10"/>
                <w:color w:val="auto"/>
              </w:rPr>
              <w:t>Acquisition of properties</w:t>
            </w:r>
          </w:p>
        </w:tc>
        <w:tc>
          <w:tcPr>
            <w:tcW w:w="1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23"/>
        </w:trPr>
        <w:tc>
          <w:tcPr>
            <w:tcW w:w="1940" w:type="dxa"/>
            <w:vAlign w:val="bottom"/>
          </w:tcPr>
          <w:p>
            <w:pPr>
              <w:ind w:left="140"/>
              <w:spacing w:after="0"/>
              <w:rPr>
                <w:sz w:val="20"/>
                <w:szCs w:val="20"/>
                <w:color w:val="auto"/>
              </w:rPr>
            </w:pPr>
            <w:r>
              <w:rPr>
                <w:rFonts w:ascii="Arial" w:cs="Arial" w:eastAsia="Arial" w:hAnsi="Arial"/>
                <w:sz w:val="10"/>
                <w:szCs w:val="10"/>
                <w:color w:val="auto"/>
              </w:rPr>
              <w:t>Proved</w:t>
            </w:r>
          </w:p>
        </w:tc>
        <w:tc>
          <w:tcPr>
            <w:tcW w:w="1680" w:type="dxa"/>
            <w:vAlign w:val="bottom"/>
          </w:tcPr>
          <w:p>
            <w:pPr>
              <w:jc w:val="right"/>
              <w:ind w:right="412"/>
              <w:spacing w:after="0"/>
              <w:rPr>
                <w:sz w:val="20"/>
                <w:szCs w:val="20"/>
                <w:color w:val="auto"/>
              </w:rPr>
            </w:pPr>
            <w:r>
              <w:rPr>
                <w:rFonts w:ascii="Arial" w:cs="Arial" w:eastAsia="Arial" w:hAnsi="Arial"/>
                <w:sz w:val="10"/>
                <w:szCs w:val="10"/>
                <w:color w:val="auto"/>
              </w:rPr>
              <w:t>3</w:t>
            </w:r>
          </w:p>
        </w:tc>
        <w:tc>
          <w:tcPr>
            <w:tcW w:w="1080" w:type="dxa"/>
            <w:vAlign w:val="bottom"/>
          </w:tcPr>
          <w:p>
            <w:pPr>
              <w:jc w:val="right"/>
              <w:ind w:right="372"/>
              <w:spacing w:after="0"/>
              <w:rPr>
                <w:sz w:val="20"/>
                <w:szCs w:val="20"/>
                <w:color w:val="auto"/>
              </w:rPr>
            </w:pPr>
            <w:r>
              <w:rPr>
                <w:rFonts w:ascii="Arial" w:cs="Arial" w:eastAsia="Arial" w:hAnsi="Arial"/>
                <w:sz w:val="10"/>
                <w:szCs w:val="10"/>
                <w:color w:val="auto"/>
              </w:rPr>
              <w:t>3</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596</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44</w:t>
            </w:r>
          </w:p>
        </w:tc>
        <w:tc>
          <w:tcPr>
            <w:tcW w:w="860" w:type="dxa"/>
            <w:vAlign w:val="bottom"/>
          </w:tcPr>
          <w:p>
            <w:pPr>
              <w:spacing w:after="0"/>
              <w:rPr>
                <w:sz w:val="10"/>
                <w:szCs w:val="10"/>
                <w:color w:val="auto"/>
              </w:rPr>
            </w:pPr>
          </w:p>
        </w:tc>
        <w:tc>
          <w:tcPr>
            <w:tcW w:w="1460" w:type="dxa"/>
            <w:vAlign w:val="bottom"/>
          </w:tcPr>
          <w:p>
            <w:pPr>
              <w:jc w:val="right"/>
              <w:ind w:right="352"/>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646</w:t>
            </w:r>
          </w:p>
        </w:tc>
        <w:tc>
          <w:tcPr>
            <w:tcW w:w="340" w:type="dxa"/>
            <w:vAlign w:val="bottom"/>
          </w:tcPr>
          <w:p>
            <w:pPr>
              <w:spacing w:after="0"/>
              <w:rPr>
                <w:sz w:val="10"/>
                <w:szCs w:val="10"/>
                <w:color w:val="auto"/>
              </w:rPr>
            </w:pPr>
          </w:p>
        </w:tc>
      </w:tr>
      <w:tr>
        <w:trPr>
          <w:trHeight w:val="126"/>
        </w:trPr>
        <w:tc>
          <w:tcPr>
            <w:tcW w:w="1940" w:type="dxa"/>
            <w:vAlign w:val="bottom"/>
          </w:tcPr>
          <w:p>
            <w:pPr>
              <w:ind w:left="140"/>
              <w:spacing w:after="0"/>
              <w:rPr>
                <w:sz w:val="20"/>
                <w:szCs w:val="20"/>
                <w:color w:val="auto"/>
              </w:rPr>
            </w:pPr>
            <w:r>
              <w:rPr>
                <w:rFonts w:ascii="Arial" w:cs="Arial" w:eastAsia="Arial" w:hAnsi="Arial"/>
                <w:sz w:val="10"/>
                <w:szCs w:val="10"/>
                <w:color w:val="auto"/>
              </w:rPr>
              <w:t>Unproved</w:t>
            </w:r>
          </w:p>
        </w:tc>
        <w:tc>
          <w:tcPr>
            <w:tcW w:w="1680" w:type="dxa"/>
            <w:vAlign w:val="bottom"/>
          </w:tcPr>
          <w:p>
            <w:pPr>
              <w:jc w:val="right"/>
              <w:ind w:right="412"/>
              <w:spacing w:after="0"/>
              <w:rPr>
                <w:sz w:val="20"/>
                <w:szCs w:val="20"/>
                <w:color w:val="auto"/>
              </w:rPr>
            </w:pPr>
            <w:r>
              <w:rPr>
                <w:rFonts w:ascii="Arial" w:cs="Arial" w:eastAsia="Arial" w:hAnsi="Arial"/>
                <w:sz w:val="10"/>
                <w:szCs w:val="10"/>
                <w:color w:val="auto"/>
              </w:rPr>
              <w:t>2</w:t>
            </w:r>
          </w:p>
        </w:tc>
        <w:tc>
          <w:tcPr>
            <w:tcW w:w="1080" w:type="dxa"/>
            <w:vAlign w:val="bottom"/>
          </w:tcPr>
          <w:p>
            <w:pPr>
              <w:jc w:val="right"/>
              <w:ind w:right="372"/>
              <w:spacing w:after="0"/>
              <w:rPr>
                <w:sz w:val="20"/>
                <w:szCs w:val="20"/>
                <w:color w:val="auto"/>
              </w:rPr>
            </w:pPr>
            <w:r>
              <w:rPr>
                <w:rFonts w:ascii="Arial" w:cs="Arial" w:eastAsia="Arial" w:hAnsi="Arial"/>
                <w:sz w:val="10"/>
                <w:szCs w:val="10"/>
                <w:color w:val="auto"/>
              </w:rPr>
              <w:t>6</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76</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44</w:t>
            </w:r>
          </w:p>
        </w:tc>
        <w:tc>
          <w:tcPr>
            <w:tcW w:w="860" w:type="dxa"/>
            <w:vAlign w:val="bottom"/>
          </w:tcPr>
          <w:p>
            <w:pPr>
              <w:jc w:val="right"/>
              <w:spacing w:after="0"/>
              <w:rPr>
                <w:sz w:val="20"/>
                <w:szCs w:val="20"/>
                <w:color w:val="auto"/>
              </w:rPr>
            </w:pPr>
            <w:r>
              <w:rPr>
                <w:rFonts w:ascii="Arial" w:cs="Arial" w:eastAsia="Arial" w:hAnsi="Arial"/>
                <w:sz w:val="10"/>
                <w:szCs w:val="10"/>
                <w:color w:val="auto"/>
              </w:rPr>
              <w:t>310</w:t>
            </w:r>
          </w:p>
        </w:tc>
        <w:tc>
          <w:tcPr>
            <w:tcW w:w="1460" w:type="dxa"/>
            <w:vAlign w:val="bottom"/>
          </w:tcPr>
          <w:p>
            <w:pPr>
              <w:jc w:val="right"/>
              <w:ind w:right="352"/>
              <w:spacing w:after="0"/>
              <w:rPr>
                <w:sz w:val="20"/>
                <w:szCs w:val="20"/>
                <w:color w:val="auto"/>
              </w:rPr>
            </w:pPr>
            <w:r>
              <w:rPr>
                <w:rFonts w:ascii="Arial" w:cs="Arial" w:eastAsia="Arial" w:hAnsi="Arial"/>
                <w:sz w:val="10"/>
                <w:szCs w:val="10"/>
                <w:color w:val="auto"/>
              </w:rPr>
              <w:t>486</w:t>
            </w:r>
          </w:p>
        </w:tc>
        <w:tc>
          <w:tcPr>
            <w:tcW w:w="760" w:type="dxa"/>
            <w:vAlign w:val="bottom"/>
          </w:tcPr>
          <w:p>
            <w:pPr>
              <w:jc w:val="right"/>
              <w:spacing w:after="0"/>
              <w:rPr>
                <w:sz w:val="20"/>
                <w:szCs w:val="20"/>
                <w:color w:val="auto"/>
              </w:rPr>
            </w:pPr>
            <w:r>
              <w:rPr>
                <w:rFonts w:ascii="Arial" w:cs="Arial" w:eastAsia="Arial" w:hAnsi="Arial"/>
                <w:sz w:val="10"/>
                <w:szCs w:val="10"/>
                <w:color w:val="auto"/>
              </w:rPr>
              <w:t>924</w:t>
            </w:r>
          </w:p>
        </w:tc>
        <w:tc>
          <w:tcPr>
            <w:tcW w:w="340" w:type="dxa"/>
            <w:vAlign w:val="bottom"/>
          </w:tcPr>
          <w:p>
            <w:pPr>
              <w:spacing w:after="0"/>
              <w:rPr>
                <w:sz w:val="10"/>
                <w:szCs w:val="10"/>
                <w:color w:val="auto"/>
              </w:rPr>
            </w:pPr>
          </w:p>
        </w:tc>
      </w:tr>
      <w:tr>
        <w:trPr>
          <w:trHeight w:val="126"/>
        </w:trPr>
        <w:tc>
          <w:tcPr>
            <w:tcW w:w="1940" w:type="dxa"/>
            <w:vAlign w:val="bottom"/>
          </w:tcPr>
          <w:p>
            <w:pPr>
              <w:spacing w:after="0"/>
              <w:rPr>
                <w:sz w:val="20"/>
                <w:szCs w:val="20"/>
                <w:color w:val="auto"/>
              </w:rPr>
            </w:pPr>
            <w:r>
              <w:rPr>
                <w:rFonts w:ascii="Arial" w:cs="Arial" w:eastAsia="Arial" w:hAnsi="Arial"/>
                <w:sz w:val="10"/>
                <w:szCs w:val="10"/>
                <w:color w:val="auto"/>
              </w:rPr>
              <w:t>Exploration</w:t>
            </w:r>
          </w:p>
        </w:tc>
        <w:tc>
          <w:tcPr>
            <w:tcW w:w="1680" w:type="dxa"/>
            <w:vAlign w:val="bottom"/>
          </w:tcPr>
          <w:p>
            <w:pPr>
              <w:jc w:val="right"/>
              <w:ind w:right="412"/>
              <w:spacing w:after="0"/>
              <w:rPr>
                <w:sz w:val="20"/>
                <w:szCs w:val="20"/>
                <w:color w:val="auto"/>
              </w:rPr>
            </w:pPr>
            <w:r>
              <w:rPr>
                <w:rFonts w:ascii="Arial" w:cs="Arial" w:eastAsia="Arial" w:hAnsi="Arial"/>
                <w:sz w:val="10"/>
                <w:szCs w:val="10"/>
                <w:color w:val="auto"/>
              </w:rPr>
              <w:t>384</w:t>
            </w:r>
          </w:p>
        </w:tc>
        <w:tc>
          <w:tcPr>
            <w:tcW w:w="1080" w:type="dxa"/>
            <w:vAlign w:val="bottom"/>
          </w:tcPr>
          <w:p>
            <w:pPr>
              <w:jc w:val="right"/>
              <w:ind w:right="372"/>
              <w:spacing w:after="0"/>
              <w:rPr>
                <w:sz w:val="20"/>
                <w:szCs w:val="20"/>
                <w:color w:val="auto"/>
              </w:rPr>
            </w:pPr>
            <w:r>
              <w:rPr>
                <w:rFonts w:ascii="Arial" w:cs="Arial" w:eastAsia="Arial" w:hAnsi="Arial"/>
                <w:sz w:val="10"/>
                <w:szCs w:val="10"/>
                <w:color w:val="auto"/>
              </w:rPr>
              <w:t>182</w:t>
            </w:r>
          </w:p>
        </w:tc>
        <w:tc>
          <w:tcPr>
            <w:tcW w:w="1140" w:type="dxa"/>
            <w:vAlign w:val="bottom"/>
          </w:tcPr>
          <w:p>
            <w:pPr>
              <w:jc w:val="right"/>
              <w:ind w:right="412"/>
              <w:spacing w:after="0"/>
              <w:rPr>
                <w:sz w:val="20"/>
                <w:szCs w:val="20"/>
                <w:color w:val="auto"/>
              </w:rPr>
            </w:pPr>
            <w:r>
              <w:rPr>
                <w:rFonts w:ascii="Arial" w:cs="Arial" w:eastAsia="Arial" w:hAnsi="Arial"/>
                <w:sz w:val="10"/>
                <w:szCs w:val="10"/>
                <w:color w:val="auto"/>
              </w:rPr>
              <w:t>49</w:t>
            </w:r>
          </w:p>
        </w:tc>
        <w:tc>
          <w:tcPr>
            <w:tcW w:w="680" w:type="dxa"/>
            <w:vAlign w:val="bottom"/>
          </w:tcPr>
          <w:p>
            <w:pPr>
              <w:jc w:val="right"/>
              <w:spacing w:after="0"/>
              <w:rPr>
                <w:sz w:val="20"/>
                <w:szCs w:val="20"/>
                <w:color w:val="auto"/>
              </w:rPr>
            </w:pPr>
            <w:r>
              <w:rPr>
                <w:rFonts w:ascii="Arial" w:cs="Arial" w:eastAsia="Arial" w:hAnsi="Arial"/>
                <w:sz w:val="10"/>
                <w:szCs w:val="10"/>
                <w:color w:val="auto"/>
              </w:rPr>
              <w:t>188</w:t>
            </w:r>
          </w:p>
        </w:tc>
        <w:tc>
          <w:tcPr>
            <w:tcW w:w="1360" w:type="dxa"/>
            <w:vAlign w:val="bottom"/>
          </w:tcPr>
          <w:p>
            <w:pPr>
              <w:jc w:val="right"/>
              <w:ind w:right="232"/>
              <w:spacing w:after="0"/>
              <w:rPr>
                <w:sz w:val="20"/>
                <w:szCs w:val="20"/>
                <w:color w:val="auto"/>
              </w:rPr>
            </w:pPr>
            <w:r>
              <w:rPr>
                <w:rFonts w:ascii="Arial" w:cs="Arial" w:eastAsia="Arial" w:hAnsi="Arial"/>
                <w:sz w:val="10"/>
                <w:szCs w:val="10"/>
                <w:color w:val="auto"/>
              </w:rPr>
              <w:t>1,912</w:t>
            </w:r>
          </w:p>
        </w:tc>
        <w:tc>
          <w:tcPr>
            <w:tcW w:w="860" w:type="dxa"/>
            <w:vAlign w:val="bottom"/>
          </w:tcPr>
          <w:p>
            <w:pPr>
              <w:jc w:val="right"/>
              <w:spacing w:after="0"/>
              <w:rPr>
                <w:sz w:val="20"/>
                <w:szCs w:val="20"/>
                <w:color w:val="auto"/>
              </w:rPr>
            </w:pPr>
            <w:r>
              <w:rPr>
                <w:rFonts w:ascii="Arial" w:cs="Arial" w:eastAsia="Arial" w:hAnsi="Arial"/>
                <w:sz w:val="10"/>
                <w:szCs w:val="10"/>
                <w:color w:val="auto"/>
              </w:rPr>
              <w:t>251</w:t>
            </w:r>
          </w:p>
        </w:tc>
        <w:tc>
          <w:tcPr>
            <w:tcW w:w="1460" w:type="dxa"/>
            <w:vAlign w:val="bottom"/>
          </w:tcPr>
          <w:p>
            <w:pPr>
              <w:jc w:val="right"/>
              <w:ind w:right="352"/>
              <w:spacing w:after="0"/>
              <w:rPr>
                <w:sz w:val="20"/>
                <w:szCs w:val="20"/>
                <w:color w:val="auto"/>
              </w:rPr>
            </w:pPr>
            <w:r>
              <w:rPr>
                <w:rFonts w:ascii="Arial" w:cs="Arial" w:eastAsia="Arial" w:hAnsi="Arial"/>
                <w:sz w:val="10"/>
                <w:szCs w:val="10"/>
                <w:color w:val="auto"/>
              </w:rPr>
              <w:t>502</w:t>
            </w:r>
          </w:p>
        </w:tc>
        <w:tc>
          <w:tcPr>
            <w:tcW w:w="760" w:type="dxa"/>
            <w:vAlign w:val="bottom"/>
          </w:tcPr>
          <w:p>
            <w:pPr>
              <w:jc w:val="right"/>
              <w:spacing w:after="0"/>
              <w:rPr>
                <w:sz w:val="20"/>
                <w:szCs w:val="20"/>
                <w:color w:val="auto"/>
              </w:rPr>
            </w:pPr>
            <w:r>
              <w:rPr>
                <w:rFonts w:ascii="Arial" w:cs="Arial" w:eastAsia="Arial" w:hAnsi="Arial"/>
                <w:sz w:val="10"/>
                <w:szCs w:val="10"/>
                <w:color w:val="auto"/>
              </w:rPr>
              <w:t>3,468</w:t>
            </w:r>
          </w:p>
        </w:tc>
        <w:tc>
          <w:tcPr>
            <w:tcW w:w="340" w:type="dxa"/>
            <w:vAlign w:val="bottom"/>
          </w:tcPr>
          <w:p>
            <w:pPr>
              <w:ind w:left="200"/>
              <w:spacing w:after="0"/>
              <w:rPr>
                <w:sz w:val="20"/>
                <w:szCs w:val="20"/>
                <w:color w:val="auto"/>
              </w:rPr>
            </w:pPr>
            <w:r>
              <w:rPr>
                <w:rFonts w:ascii="Arial" w:cs="Arial" w:eastAsia="Arial" w:hAnsi="Arial"/>
                <w:sz w:val="10"/>
                <w:szCs w:val="10"/>
                <w:color w:val="auto"/>
                <w:w w:val="97"/>
              </w:rPr>
              <w:t>[B]</w:t>
            </w:r>
          </w:p>
        </w:tc>
      </w:tr>
      <w:tr>
        <w:trPr>
          <w:trHeight w:val="130"/>
        </w:trPr>
        <w:tc>
          <w:tcPr>
            <w:tcW w:w="19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Development</w:t>
            </w:r>
          </w:p>
        </w:tc>
        <w:tc>
          <w:tcPr>
            <w:tcW w:w="168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1,452</w:t>
            </w: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1,102</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1,632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962</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4,052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505</w:t>
            </w:r>
          </w:p>
        </w:tc>
        <w:tc>
          <w:tcPr>
            <w:tcW w:w="1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2,095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11,800</w:t>
            </w:r>
          </w:p>
        </w:tc>
        <w:tc>
          <w:tcPr>
            <w:tcW w:w="340" w:type="dxa"/>
            <w:vAlign w:val="bottom"/>
          </w:tcPr>
          <w:p>
            <w:pPr>
              <w:spacing w:after="0"/>
              <w:rPr>
                <w:sz w:val="11"/>
                <w:szCs w:val="11"/>
                <w:color w:val="auto"/>
              </w:rPr>
            </w:pPr>
          </w:p>
        </w:tc>
      </w:tr>
    </w:tbl>
    <w:p>
      <w:pPr>
        <w:spacing w:after="0" w:line="56" w:lineRule="exact"/>
        <w:rPr>
          <w:sz w:val="20"/>
          <w:szCs w:val="20"/>
          <w:color w:val="auto"/>
        </w:rPr>
      </w:pPr>
    </w:p>
    <w:p>
      <w:pPr>
        <w:ind w:left="128" w:hanging="128"/>
        <w:spacing w:after="0"/>
        <w:tabs>
          <w:tab w:leader="none" w:pos="128" w:val="left"/>
        </w:tabs>
        <w:numPr>
          <w:ilvl w:val="0"/>
          <w:numId w:val="191"/>
        </w:numPr>
        <w:rPr>
          <w:rFonts w:ascii="Arial" w:cs="Arial" w:eastAsia="Arial" w:hAnsi="Arial"/>
          <w:sz w:val="7"/>
          <w:szCs w:val="7"/>
          <w:color w:val="auto"/>
        </w:rPr>
      </w:pPr>
      <w:r>
        <w:rPr>
          <w:rFonts w:ascii="Arial" w:cs="Arial" w:eastAsia="Arial" w:hAnsi="Arial"/>
          <w:sz w:val="7"/>
          <w:szCs w:val="7"/>
          <w:color w:val="auto"/>
        </w:rPr>
        <w:t>Comprises Canada, Honduras and Mexico.</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91"/>
        </w:numPr>
        <w:rPr>
          <w:rFonts w:ascii="Arial" w:cs="Arial" w:eastAsia="Arial" w:hAnsi="Arial"/>
          <w:sz w:val="7"/>
          <w:szCs w:val="7"/>
          <w:color w:val="auto"/>
        </w:rPr>
      </w:pPr>
      <w:r>
        <w:rPr>
          <w:rFonts w:ascii="Arial" w:cs="Arial" w:eastAsia="Arial" w:hAnsi="Arial"/>
          <w:sz w:val="7"/>
          <w:szCs w:val="7"/>
          <w:color w:val="auto"/>
        </w:rPr>
        <w:t>Includes $1,581 million of Shales-related exploration activities. In 2018, we participated in 234 Shales productive exploratory wells with proved reserves allocated (Shell share: 118 wells).</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0"/>
          <w:szCs w:val="10"/>
          <w:color w:val="auto"/>
        </w:rPr>
        <w:t>Shell share of joint ventures and associates</w:t>
      </w:r>
    </w:p>
    <w:p>
      <w:pPr>
        <w:ind w:left="8"/>
        <w:spacing w:after="0"/>
        <w:rPr>
          <w:sz w:val="20"/>
          <w:szCs w:val="20"/>
          <w:color w:val="auto"/>
        </w:rPr>
      </w:pPr>
      <w:r>
        <w:rPr>
          <w:rFonts w:ascii="Arial" w:cs="Arial" w:eastAsia="Arial" w:hAnsi="Arial"/>
          <w:sz w:val="10"/>
          <w:szCs w:val="10"/>
          <w:color w:val="auto"/>
        </w:rPr>
        <w:t>Joint ventures and associates did not incur costs in the acquisition of oil and gas properties in 2019 or 2018.</w:t>
      </w:r>
    </w:p>
    <w:p>
      <w:pPr>
        <w:spacing w:after="0" w:line="7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980" w:type="dxa"/>
            <w:vAlign w:val="bottom"/>
            <w:shd w:val="clear" w:color="auto" w:fill="CDCDCD"/>
          </w:tcPr>
          <w:p>
            <w:pPr>
              <w:spacing w:after="0"/>
              <w:rPr>
                <w:sz w:val="12"/>
                <w:szCs w:val="12"/>
                <w:color w:val="auto"/>
              </w:rPr>
            </w:pPr>
          </w:p>
        </w:tc>
        <w:tc>
          <w:tcPr>
            <w:tcW w:w="2000" w:type="dxa"/>
            <w:vAlign w:val="bottom"/>
            <w:shd w:val="clear" w:color="auto" w:fill="CDCDCD"/>
          </w:tcPr>
          <w:p>
            <w:pPr>
              <w:spacing w:after="0"/>
              <w:rPr>
                <w:sz w:val="12"/>
                <w:szCs w:val="12"/>
                <w:color w:val="auto"/>
              </w:rPr>
            </w:pPr>
          </w:p>
        </w:tc>
        <w:tc>
          <w:tcPr>
            <w:tcW w:w="1160" w:type="dxa"/>
            <w:vAlign w:val="bottom"/>
            <w:shd w:val="clear" w:color="auto" w:fill="CDCDCD"/>
          </w:tcPr>
          <w:p>
            <w:pPr>
              <w:spacing w:after="0"/>
              <w:rPr>
                <w:sz w:val="12"/>
                <w:szCs w:val="12"/>
                <w:color w:val="auto"/>
              </w:rPr>
            </w:pPr>
          </w:p>
        </w:tc>
        <w:tc>
          <w:tcPr>
            <w:tcW w:w="1120" w:type="dxa"/>
            <w:vAlign w:val="bottom"/>
            <w:shd w:val="clear" w:color="auto" w:fill="CDCDCD"/>
          </w:tcPr>
          <w:p>
            <w:pPr>
              <w:spacing w:after="0"/>
              <w:rPr>
                <w:sz w:val="12"/>
                <w:szCs w:val="12"/>
                <w:color w:val="auto"/>
              </w:rPr>
            </w:pPr>
          </w:p>
        </w:tc>
        <w:tc>
          <w:tcPr>
            <w:tcW w:w="600" w:type="dxa"/>
            <w:vAlign w:val="bottom"/>
            <w:shd w:val="clear" w:color="auto" w:fill="CDCDCD"/>
          </w:tcPr>
          <w:p>
            <w:pPr>
              <w:spacing w:after="0"/>
              <w:rPr>
                <w:sz w:val="12"/>
                <w:szCs w:val="12"/>
                <w:color w:val="auto"/>
              </w:rPr>
            </w:pPr>
          </w:p>
        </w:tc>
        <w:tc>
          <w:tcPr>
            <w:tcW w:w="20" w:type="dxa"/>
            <w:vAlign w:val="bottom"/>
            <w:shd w:val="clear" w:color="auto" w:fill="CDCDCD"/>
          </w:tcPr>
          <w:p>
            <w:pPr>
              <w:spacing w:after="0"/>
              <w:rPr>
                <w:sz w:val="12"/>
                <w:szCs w:val="12"/>
                <w:color w:val="auto"/>
              </w:rPr>
            </w:pPr>
          </w:p>
        </w:tc>
        <w:tc>
          <w:tcPr>
            <w:tcW w:w="80" w:type="dxa"/>
            <w:vAlign w:val="bottom"/>
            <w:shd w:val="clear" w:color="auto" w:fill="CDCDCD"/>
          </w:tcPr>
          <w:p>
            <w:pPr>
              <w:spacing w:after="0"/>
              <w:rPr>
                <w:sz w:val="12"/>
                <w:szCs w:val="12"/>
                <w:color w:val="auto"/>
              </w:rPr>
            </w:pPr>
          </w:p>
        </w:tc>
        <w:tc>
          <w:tcPr>
            <w:tcW w:w="1280" w:type="dxa"/>
            <w:vAlign w:val="bottom"/>
            <w:shd w:val="clear" w:color="auto" w:fill="CDCDCD"/>
          </w:tcPr>
          <w:p>
            <w:pPr>
              <w:spacing w:after="0"/>
              <w:rPr>
                <w:sz w:val="12"/>
                <w:szCs w:val="12"/>
                <w:color w:val="auto"/>
              </w:rPr>
            </w:pPr>
          </w:p>
        </w:tc>
        <w:tc>
          <w:tcPr>
            <w:tcW w:w="840" w:type="dxa"/>
            <w:vAlign w:val="bottom"/>
            <w:shd w:val="clear" w:color="auto" w:fill="CDCDCD"/>
          </w:tcPr>
          <w:p>
            <w:pPr>
              <w:spacing w:after="0"/>
              <w:rPr>
                <w:sz w:val="12"/>
                <w:szCs w:val="12"/>
                <w:color w:val="auto"/>
              </w:rPr>
            </w:pPr>
          </w:p>
        </w:tc>
        <w:tc>
          <w:tcPr>
            <w:tcW w:w="20" w:type="dxa"/>
            <w:vAlign w:val="bottom"/>
            <w:shd w:val="clear" w:color="auto" w:fill="CDCDCD"/>
          </w:tcPr>
          <w:p>
            <w:pPr>
              <w:spacing w:after="0"/>
              <w:rPr>
                <w:sz w:val="12"/>
                <w:szCs w:val="12"/>
                <w:color w:val="auto"/>
              </w:rPr>
            </w:pPr>
          </w:p>
        </w:tc>
        <w:tc>
          <w:tcPr>
            <w:tcW w:w="1400" w:type="dxa"/>
            <w:vAlign w:val="bottom"/>
            <w:shd w:val="clear" w:color="auto" w:fill="CDCDCD"/>
          </w:tcPr>
          <w:p>
            <w:pPr>
              <w:spacing w:after="0"/>
              <w:rPr>
                <w:sz w:val="12"/>
                <w:szCs w:val="12"/>
                <w:color w:val="auto"/>
              </w:rPr>
            </w:pPr>
          </w:p>
        </w:tc>
        <w:tc>
          <w:tcPr>
            <w:tcW w:w="700" w:type="dxa"/>
            <w:vAlign w:val="bottom"/>
            <w:shd w:val="clear" w:color="auto" w:fill="CDCDCD"/>
          </w:tcPr>
          <w:p>
            <w:pPr>
              <w:spacing w:after="0"/>
              <w:rPr>
                <w:sz w:val="12"/>
                <w:szCs w:val="12"/>
                <w:color w:val="auto"/>
              </w:rPr>
            </w:pPr>
          </w:p>
        </w:tc>
        <w:tc>
          <w:tcPr>
            <w:tcW w:w="100" w:type="dxa"/>
            <w:vAlign w:val="bottom"/>
            <w:shd w:val="clear" w:color="auto" w:fill="CDCDCD"/>
          </w:tcPr>
          <w:p>
            <w:pPr>
              <w:spacing w:after="0"/>
              <w:rPr>
                <w:sz w:val="12"/>
                <w:szCs w:val="12"/>
                <w:color w:val="auto"/>
              </w:rPr>
            </w:pPr>
          </w:p>
        </w:tc>
      </w:tr>
      <w:tr>
        <w:trPr>
          <w:trHeight w:val="136"/>
        </w:trPr>
        <w:tc>
          <w:tcPr>
            <w:tcW w:w="1980" w:type="dxa"/>
            <w:vAlign w:val="bottom"/>
          </w:tcPr>
          <w:p>
            <w:pPr>
              <w:spacing w:after="0"/>
              <w:rPr>
                <w:sz w:val="20"/>
                <w:szCs w:val="20"/>
                <w:color w:val="auto"/>
              </w:rPr>
            </w:pPr>
            <w:r>
              <w:rPr>
                <w:rFonts w:ascii="Arial" w:cs="Arial" w:eastAsia="Arial" w:hAnsi="Arial"/>
                <w:sz w:val="10"/>
                <w:szCs w:val="10"/>
                <w:color w:val="auto"/>
              </w:rPr>
              <w:t>2020</w:t>
            </w:r>
          </w:p>
        </w:tc>
        <w:tc>
          <w:tcPr>
            <w:tcW w:w="2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0"/>
                <w:szCs w:val="10"/>
                <w:color w:val="auto"/>
              </w:rPr>
              <w:t>$ million</w:t>
            </w:r>
          </w:p>
        </w:tc>
      </w:tr>
      <w:tr>
        <w:trPr>
          <w:trHeight w:val="143"/>
        </w:trPr>
        <w:tc>
          <w:tcPr>
            <w:tcW w:w="19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19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Europe</w:t>
            </w: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0"/>
                <w:szCs w:val="10"/>
                <w:color w:val="auto"/>
              </w:rPr>
              <w:t>Asia</w:t>
            </w: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0"/>
                <w:szCs w:val="10"/>
                <w:color w:val="auto"/>
              </w:rPr>
              <w:t>Oceania</w:t>
            </w:r>
          </w:p>
        </w:tc>
        <w:tc>
          <w:tcPr>
            <w:tcW w:w="700" w:type="dxa"/>
            <w:vAlign w:val="bottom"/>
            <w:tcBorders>
              <w:bottom w:val="single" w:sz="8" w:color="auto"/>
            </w:tcBorders>
            <w:gridSpan w:val="3"/>
          </w:tcPr>
          <w:p>
            <w:pPr>
              <w:ind w:left="360"/>
              <w:spacing w:after="0"/>
              <w:rPr>
                <w:sz w:val="20"/>
                <w:szCs w:val="20"/>
                <w:color w:val="auto"/>
              </w:rPr>
            </w:pPr>
            <w:r>
              <w:rPr>
                <w:rFonts w:ascii="Arial" w:cs="Arial" w:eastAsia="Arial" w:hAnsi="Arial"/>
                <w:sz w:val="10"/>
                <w:szCs w:val="10"/>
                <w:color w:val="auto"/>
              </w:rPr>
              <w:t>Africa</w:t>
            </w:r>
          </w:p>
        </w:tc>
        <w:tc>
          <w:tcPr>
            <w:tcW w:w="1280" w:type="dxa"/>
            <w:vAlign w:val="bottom"/>
            <w:tcBorders>
              <w:bottom w:val="single" w:sz="8" w:color="auto"/>
            </w:tcBorders>
          </w:tcPr>
          <w:p>
            <w:pPr>
              <w:ind w:left="820"/>
              <w:spacing w:after="0"/>
              <w:rPr>
                <w:sz w:val="20"/>
                <w:szCs w:val="20"/>
                <w:color w:val="auto"/>
              </w:rPr>
            </w:pPr>
            <w:r>
              <w:rPr>
                <w:rFonts w:ascii="Arial" w:cs="Arial" w:eastAsia="Arial" w:hAnsi="Arial"/>
                <w:sz w:val="10"/>
                <w:szCs w:val="10"/>
                <w:color w:val="auto"/>
              </w:rPr>
              <w:t>USA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Canada</w:t>
            </w:r>
          </w:p>
        </w:tc>
        <w:tc>
          <w:tcPr>
            <w:tcW w:w="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ind w:left="240"/>
              <w:spacing w:after="0"/>
              <w:rPr>
                <w:sz w:val="20"/>
                <w:szCs w:val="20"/>
                <w:color w:val="auto"/>
              </w:rPr>
            </w:pPr>
            <w:r>
              <w:rPr>
                <w:rFonts w:ascii="Arial" w:cs="Arial" w:eastAsia="Arial" w:hAnsi="Arial"/>
                <w:sz w:val="10"/>
                <w:szCs w:val="10"/>
                <w:color w:val="auto"/>
              </w:rPr>
              <w:t>South America</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Total</w:t>
            </w:r>
          </w:p>
        </w:tc>
      </w:tr>
      <w:tr>
        <w:trPr>
          <w:trHeight w:val="119"/>
        </w:trPr>
        <w:tc>
          <w:tcPr>
            <w:tcW w:w="1980" w:type="dxa"/>
            <w:vAlign w:val="bottom"/>
          </w:tcPr>
          <w:p>
            <w:pPr>
              <w:spacing w:after="0"/>
              <w:rPr>
                <w:sz w:val="20"/>
                <w:szCs w:val="20"/>
                <w:color w:val="auto"/>
              </w:rPr>
            </w:pPr>
            <w:r>
              <w:rPr>
                <w:rFonts w:ascii="Arial" w:cs="Arial" w:eastAsia="Arial" w:hAnsi="Arial"/>
                <w:sz w:val="10"/>
                <w:szCs w:val="10"/>
                <w:color w:val="auto"/>
              </w:rPr>
              <w:t>Acquisition of properties</w:t>
            </w:r>
          </w:p>
        </w:tc>
        <w:tc>
          <w:tcPr>
            <w:tcW w:w="2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4"/>
        </w:trPr>
        <w:tc>
          <w:tcPr>
            <w:tcW w:w="1980" w:type="dxa"/>
            <w:vAlign w:val="bottom"/>
          </w:tcPr>
          <w:p>
            <w:pPr>
              <w:ind w:left="140"/>
              <w:spacing w:after="0"/>
              <w:rPr>
                <w:sz w:val="20"/>
                <w:szCs w:val="20"/>
                <w:color w:val="auto"/>
              </w:rPr>
            </w:pPr>
            <w:r>
              <w:rPr>
                <w:rFonts w:ascii="Arial" w:cs="Arial" w:eastAsia="Arial" w:hAnsi="Arial"/>
                <w:sz w:val="10"/>
                <w:szCs w:val="10"/>
                <w:color w:val="auto"/>
              </w:rPr>
              <w:t>Unproved</w:t>
            </w:r>
          </w:p>
        </w:tc>
        <w:tc>
          <w:tcPr>
            <w:tcW w:w="2000" w:type="dxa"/>
            <w:vAlign w:val="bottom"/>
          </w:tcPr>
          <w:p>
            <w:pPr>
              <w:jc w:val="right"/>
              <w:ind w:right="431"/>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1120" w:type="dxa"/>
            <w:vAlign w:val="bottom"/>
          </w:tcPr>
          <w:p>
            <w:pPr>
              <w:ind w:left="460"/>
              <w:spacing w:after="0"/>
              <w:rPr>
                <w:sz w:val="20"/>
                <w:szCs w:val="20"/>
                <w:color w:val="auto"/>
              </w:rPr>
            </w:pPr>
            <w:r>
              <w:rPr>
                <w:rFonts w:ascii="Arial" w:cs="Arial" w:eastAsia="Arial" w:hAnsi="Arial"/>
                <w:sz w:val="12"/>
                <w:szCs w:val="12"/>
                <w:color w:val="auto"/>
              </w:rPr>
              <w:t>—</w:t>
            </w:r>
          </w:p>
        </w:tc>
        <w:tc>
          <w:tcPr>
            <w:tcW w:w="700" w:type="dxa"/>
            <w:vAlign w:val="bottom"/>
            <w:gridSpan w:val="3"/>
          </w:tcPr>
          <w:p>
            <w:pPr>
              <w:ind w:left="440"/>
              <w:spacing w:after="0"/>
              <w:rPr>
                <w:sz w:val="20"/>
                <w:szCs w:val="20"/>
                <w:color w:val="auto"/>
              </w:rPr>
            </w:pPr>
            <w:r>
              <w:rPr>
                <w:rFonts w:ascii="Arial" w:cs="Arial" w:eastAsia="Arial" w:hAnsi="Arial"/>
                <w:sz w:val="12"/>
                <w:szCs w:val="12"/>
                <w:color w:val="auto"/>
              </w:rPr>
              <w:t>—</w:t>
            </w:r>
          </w:p>
        </w:tc>
        <w:tc>
          <w:tcPr>
            <w:tcW w:w="1280" w:type="dxa"/>
            <w:vAlign w:val="bottom"/>
          </w:tcPr>
          <w:p>
            <w:pPr>
              <w:ind w:left="8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20" w:type="dxa"/>
            <w:vAlign w:val="bottom"/>
            <w:gridSpan w:val="2"/>
          </w:tcPr>
          <w:p>
            <w:pPr>
              <w:ind w:left="880"/>
              <w:spacing w:after="0"/>
              <w:rPr>
                <w:sz w:val="20"/>
                <w:szCs w:val="20"/>
                <w:color w:val="auto"/>
              </w:rPr>
            </w:pPr>
            <w:r>
              <w:rPr>
                <w:rFonts w:ascii="Arial" w:cs="Arial" w:eastAsia="Arial" w:hAnsi="Arial"/>
                <w:sz w:val="12"/>
                <w:szCs w:val="12"/>
                <w:color w:val="auto"/>
              </w:rPr>
              <w:t>128</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128</w:t>
            </w:r>
          </w:p>
        </w:tc>
      </w:tr>
      <w:tr>
        <w:trPr>
          <w:trHeight w:val="121"/>
        </w:trPr>
        <w:tc>
          <w:tcPr>
            <w:tcW w:w="1980" w:type="dxa"/>
            <w:vAlign w:val="bottom"/>
          </w:tcPr>
          <w:p>
            <w:pPr>
              <w:spacing w:after="0"/>
              <w:rPr>
                <w:sz w:val="20"/>
                <w:szCs w:val="20"/>
                <w:color w:val="auto"/>
              </w:rPr>
            </w:pPr>
            <w:r>
              <w:rPr>
                <w:rFonts w:ascii="Arial" w:cs="Arial" w:eastAsia="Arial" w:hAnsi="Arial"/>
                <w:sz w:val="10"/>
                <w:szCs w:val="10"/>
                <w:color w:val="auto"/>
              </w:rPr>
              <w:t>Exploration</w:t>
            </w:r>
          </w:p>
        </w:tc>
        <w:tc>
          <w:tcPr>
            <w:tcW w:w="2000" w:type="dxa"/>
            <w:vAlign w:val="bottom"/>
          </w:tcPr>
          <w:p>
            <w:pPr>
              <w:jc w:val="right"/>
              <w:ind w:right="431"/>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473"/>
              <w:spacing w:after="0"/>
              <w:rPr>
                <w:sz w:val="20"/>
                <w:szCs w:val="20"/>
                <w:color w:val="auto"/>
              </w:rPr>
            </w:pPr>
            <w:r>
              <w:rPr>
                <w:rFonts w:ascii="Arial" w:cs="Arial" w:eastAsia="Arial" w:hAnsi="Arial"/>
                <w:sz w:val="10"/>
                <w:szCs w:val="10"/>
                <w:color w:val="auto"/>
              </w:rPr>
              <w:t>94</w:t>
            </w:r>
          </w:p>
        </w:tc>
        <w:tc>
          <w:tcPr>
            <w:tcW w:w="1120" w:type="dxa"/>
            <w:vAlign w:val="bottom"/>
          </w:tcPr>
          <w:p>
            <w:pPr>
              <w:jc w:val="right"/>
              <w:ind w:right="491"/>
              <w:spacing w:after="0"/>
              <w:rPr>
                <w:sz w:val="20"/>
                <w:szCs w:val="20"/>
                <w:color w:val="auto"/>
              </w:rPr>
            </w:pPr>
            <w:r>
              <w:rPr>
                <w:rFonts w:ascii="Arial" w:cs="Arial" w:eastAsia="Arial" w:hAnsi="Arial"/>
                <w:sz w:val="10"/>
                <w:szCs w:val="10"/>
                <w:color w:val="auto"/>
              </w:rPr>
              <w:t>10</w:t>
            </w:r>
          </w:p>
        </w:tc>
        <w:tc>
          <w:tcPr>
            <w:tcW w:w="700" w:type="dxa"/>
            <w:vAlign w:val="bottom"/>
            <w:gridSpan w:val="3"/>
          </w:tcPr>
          <w:p>
            <w:pPr>
              <w:ind w:left="480"/>
              <w:spacing w:after="0"/>
              <w:rPr>
                <w:sz w:val="20"/>
                <w:szCs w:val="20"/>
                <w:color w:val="auto"/>
              </w:rPr>
            </w:pPr>
            <w:r>
              <w:rPr>
                <w:rFonts w:ascii="Arial" w:cs="Arial" w:eastAsia="Arial" w:hAnsi="Arial"/>
                <w:sz w:val="10"/>
                <w:szCs w:val="10"/>
                <w:color w:val="auto"/>
              </w:rPr>
              <w:t>—</w:t>
            </w:r>
          </w:p>
        </w:tc>
        <w:tc>
          <w:tcPr>
            <w:tcW w:w="1280" w:type="dxa"/>
            <w:vAlign w:val="bottom"/>
          </w:tcPr>
          <w:p>
            <w:pPr>
              <w:jc w:val="center"/>
              <w:ind w:left="531"/>
              <w:spacing w:after="0"/>
              <w:rPr>
                <w:sz w:val="20"/>
                <w:szCs w:val="20"/>
                <w:color w:val="auto"/>
              </w:rPr>
            </w:pPr>
            <w:r>
              <w:rPr>
                <w:rFonts w:ascii="Arial" w:cs="Arial" w:eastAsia="Arial" w:hAnsi="Arial"/>
                <w:sz w:val="10"/>
                <w:szCs w:val="10"/>
                <w:color w:val="auto"/>
                <w:w w:val="99"/>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1420" w:type="dxa"/>
            <w:vAlign w:val="bottom"/>
            <w:gridSpan w:val="2"/>
          </w:tcPr>
          <w:p>
            <w:pPr>
              <w:jc w:val="right"/>
              <w:ind w:right="313"/>
              <w:spacing w:after="0"/>
              <w:rPr>
                <w:sz w:val="20"/>
                <w:szCs w:val="20"/>
                <w:color w:val="auto"/>
              </w:rPr>
            </w:pPr>
            <w:r>
              <w:rPr>
                <w:rFonts w:ascii="Arial" w:cs="Arial" w:eastAsia="Arial" w:hAnsi="Arial"/>
                <w:sz w:val="10"/>
                <w:szCs w:val="10"/>
                <w:color w:val="auto"/>
              </w:rPr>
              <w:t>105</w:t>
            </w: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209</w:t>
            </w:r>
          </w:p>
        </w:tc>
      </w:tr>
      <w:tr>
        <w:trPr>
          <w:trHeight w:val="130"/>
        </w:trPr>
        <w:tc>
          <w:tcPr>
            <w:tcW w:w="19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Development</w:t>
            </w:r>
          </w:p>
        </w:tc>
        <w:tc>
          <w:tcPr>
            <w:tcW w:w="200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color w:val="auto"/>
              </w:rPr>
              <w:t>124</w:t>
            </w: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0"/>
                <w:szCs w:val="10"/>
                <w:color w:val="auto"/>
              </w:rPr>
              <w:t>2,173</w:t>
            </w: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rPr>
              <w:t>67</w:t>
            </w:r>
          </w:p>
        </w:tc>
        <w:tc>
          <w:tcPr>
            <w:tcW w:w="700" w:type="dxa"/>
            <w:vAlign w:val="bottom"/>
            <w:tcBorders>
              <w:bottom w:val="single" w:sz="8" w:color="auto"/>
            </w:tcBorders>
            <w:gridSpan w:val="3"/>
          </w:tcPr>
          <w:p>
            <w:pPr>
              <w:ind w:left="480"/>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tcPr>
          <w:p>
            <w:pPr>
              <w:jc w:val="center"/>
              <w:ind w:left="531"/>
              <w:spacing w:after="0"/>
              <w:rPr>
                <w:sz w:val="20"/>
                <w:szCs w:val="20"/>
                <w:color w:val="auto"/>
              </w:rPr>
            </w:pPr>
            <w:r>
              <w:rPr>
                <w:rFonts w:ascii="Arial" w:cs="Arial" w:eastAsia="Arial" w:hAnsi="Arial"/>
                <w:sz w:val="10"/>
                <w:szCs w:val="10"/>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420" w:type="dxa"/>
            <w:vAlign w:val="bottom"/>
            <w:tcBorders>
              <w:bottom w:val="single" w:sz="8" w:color="auto"/>
            </w:tcBorders>
            <w:gridSpan w:val="2"/>
          </w:tcPr>
          <w:p>
            <w:pPr>
              <w:jc w:val="right"/>
              <w:ind w:right="313"/>
              <w:spacing w:after="0"/>
              <w:rPr>
                <w:sz w:val="20"/>
                <w:szCs w:val="20"/>
                <w:color w:val="auto"/>
              </w:rPr>
            </w:pPr>
            <w:r>
              <w:rPr>
                <w:rFonts w:ascii="Arial" w:cs="Arial" w:eastAsia="Arial" w:hAnsi="Arial"/>
                <w:sz w:val="10"/>
                <w:szCs w:val="10"/>
                <w:color w:val="auto"/>
              </w:rPr>
              <w:t>2</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2,366</w:t>
            </w:r>
          </w:p>
        </w:tc>
      </w:tr>
      <w:tr>
        <w:trPr>
          <w:trHeight w:val="90"/>
        </w:trPr>
        <w:tc>
          <w:tcPr>
            <w:tcW w:w="19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0" w:type="dxa"/>
            <w:vAlign w:val="bottom"/>
            <w:gridSpan w:val="2"/>
          </w:tcPr>
          <w:p>
            <w:pPr>
              <w:spacing w:after="0"/>
              <w:rPr>
                <w:sz w:val="7"/>
                <w:szCs w:val="7"/>
                <w:color w:val="auto"/>
              </w:rPr>
            </w:pPr>
          </w:p>
        </w:tc>
      </w:tr>
      <w:tr>
        <w:trPr>
          <w:trHeight w:val="121"/>
        </w:trPr>
        <w:tc>
          <w:tcPr>
            <w:tcW w:w="198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2019</w:t>
            </w:r>
          </w:p>
        </w:tc>
        <w:tc>
          <w:tcPr>
            <w:tcW w:w="2000" w:type="dxa"/>
            <w:vAlign w:val="bottom"/>
            <w:tcBorders>
              <w:top w:val="single" w:sz="8" w:color="CDCDCD"/>
            </w:tcBorders>
          </w:tcPr>
          <w:p>
            <w:pPr>
              <w:spacing w:after="0"/>
              <w:rPr>
                <w:sz w:val="10"/>
                <w:szCs w:val="10"/>
                <w:color w:val="auto"/>
              </w:rPr>
            </w:pPr>
          </w:p>
        </w:tc>
        <w:tc>
          <w:tcPr>
            <w:tcW w:w="1160" w:type="dxa"/>
            <w:vAlign w:val="bottom"/>
            <w:tcBorders>
              <w:top w:val="single" w:sz="8" w:color="CDCDCD"/>
            </w:tcBorders>
          </w:tcPr>
          <w:p>
            <w:pPr>
              <w:spacing w:after="0"/>
              <w:rPr>
                <w:sz w:val="10"/>
                <w:szCs w:val="10"/>
                <w:color w:val="auto"/>
              </w:rPr>
            </w:pPr>
          </w:p>
        </w:tc>
        <w:tc>
          <w:tcPr>
            <w:tcW w:w="1120" w:type="dxa"/>
            <w:vAlign w:val="bottom"/>
            <w:tcBorders>
              <w:top w:val="single" w:sz="8" w:color="CDCDCD"/>
            </w:tcBorders>
          </w:tcPr>
          <w:p>
            <w:pPr>
              <w:spacing w:after="0"/>
              <w:rPr>
                <w:sz w:val="10"/>
                <w:szCs w:val="10"/>
                <w:color w:val="auto"/>
              </w:rPr>
            </w:pPr>
          </w:p>
        </w:tc>
        <w:tc>
          <w:tcPr>
            <w:tcW w:w="600" w:type="dxa"/>
            <w:vAlign w:val="bottom"/>
            <w:tcBorders>
              <w:top w:val="single" w:sz="8" w:color="CDCDCD"/>
            </w:tcBorders>
          </w:tcPr>
          <w:p>
            <w:pPr>
              <w:spacing w:after="0"/>
              <w:rPr>
                <w:sz w:val="10"/>
                <w:szCs w:val="10"/>
                <w:color w:val="auto"/>
              </w:rPr>
            </w:pPr>
          </w:p>
        </w:tc>
        <w:tc>
          <w:tcPr>
            <w:tcW w:w="20" w:type="dxa"/>
            <w:vAlign w:val="bottom"/>
            <w:tcBorders>
              <w:top w:val="single" w:sz="8" w:color="CDCDCD"/>
            </w:tcBorders>
          </w:tcPr>
          <w:p>
            <w:pPr>
              <w:spacing w:after="0"/>
              <w:rPr>
                <w:sz w:val="10"/>
                <w:szCs w:val="10"/>
                <w:color w:val="auto"/>
              </w:rPr>
            </w:pPr>
          </w:p>
        </w:tc>
        <w:tc>
          <w:tcPr>
            <w:tcW w:w="80" w:type="dxa"/>
            <w:vAlign w:val="bottom"/>
            <w:tcBorders>
              <w:top w:val="single" w:sz="8" w:color="CDCDCD"/>
            </w:tcBorders>
          </w:tcPr>
          <w:p>
            <w:pPr>
              <w:spacing w:after="0"/>
              <w:rPr>
                <w:sz w:val="10"/>
                <w:szCs w:val="10"/>
                <w:color w:val="auto"/>
              </w:rPr>
            </w:pPr>
          </w:p>
        </w:tc>
        <w:tc>
          <w:tcPr>
            <w:tcW w:w="1280" w:type="dxa"/>
            <w:vAlign w:val="bottom"/>
            <w:tcBorders>
              <w:top w:val="single" w:sz="8" w:color="CDCDCD"/>
            </w:tcBorders>
          </w:tcPr>
          <w:p>
            <w:pPr>
              <w:spacing w:after="0"/>
              <w:rPr>
                <w:sz w:val="10"/>
                <w:szCs w:val="10"/>
                <w:color w:val="auto"/>
              </w:rPr>
            </w:pPr>
          </w:p>
        </w:tc>
        <w:tc>
          <w:tcPr>
            <w:tcW w:w="840" w:type="dxa"/>
            <w:vAlign w:val="bottom"/>
            <w:tcBorders>
              <w:top w:val="single" w:sz="8" w:color="CDCDCD"/>
            </w:tcBorders>
          </w:tcPr>
          <w:p>
            <w:pPr>
              <w:spacing w:after="0"/>
              <w:rPr>
                <w:sz w:val="10"/>
                <w:szCs w:val="10"/>
                <w:color w:val="auto"/>
              </w:rPr>
            </w:pPr>
          </w:p>
        </w:tc>
        <w:tc>
          <w:tcPr>
            <w:tcW w:w="20" w:type="dxa"/>
            <w:vAlign w:val="bottom"/>
            <w:tcBorders>
              <w:top w:val="single" w:sz="8" w:color="CDCDCD"/>
            </w:tcBorders>
          </w:tcPr>
          <w:p>
            <w:pPr>
              <w:spacing w:after="0"/>
              <w:rPr>
                <w:sz w:val="10"/>
                <w:szCs w:val="10"/>
                <w:color w:val="auto"/>
              </w:rPr>
            </w:pPr>
          </w:p>
        </w:tc>
        <w:tc>
          <w:tcPr>
            <w:tcW w:w="1400" w:type="dxa"/>
            <w:vAlign w:val="bottom"/>
            <w:tcBorders>
              <w:top w:val="single" w:sz="8" w:color="CDCDCD"/>
            </w:tcBorders>
          </w:tcPr>
          <w:p>
            <w:pPr>
              <w:spacing w:after="0"/>
              <w:rPr>
                <w:sz w:val="10"/>
                <w:szCs w:val="10"/>
                <w:color w:val="auto"/>
              </w:rPr>
            </w:pPr>
          </w:p>
        </w:tc>
        <w:tc>
          <w:tcPr>
            <w:tcW w:w="70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100" w:type="dxa"/>
            <w:vAlign w:val="bottom"/>
          </w:tcPr>
          <w:p>
            <w:pPr>
              <w:spacing w:after="0"/>
              <w:rPr>
                <w:sz w:val="10"/>
                <w:szCs w:val="10"/>
                <w:color w:val="auto"/>
              </w:rPr>
            </w:pPr>
          </w:p>
        </w:tc>
      </w:tr>
      <w:tr>
        <w:trPr>
          <w:trHeight w:val="134"/>
        </w:trPr>
        <w:tc>
          <w:tcPr>
            <w:tcW w:w="19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North America</w:t>
            </w:r>
          </w:p>
        </w:tc>
        <w:tc>
          <w:tcPr>
            <w:tcW w:w="2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4"/>
        </w:trPr>
        <w:tc>
          <w:tcPr>
            <w:tcW w:w="1980" w:type="dxa"/>
            <w:vAlign w:val="bottom"/>
          </w:tcPr>
          <w:p>
            <w:pPr>
              <w:spacing w:after="0"/>
              <w:rPr>
                <w:sz w:val="10"/>
                <w:szCs w:val="10"/>
                <w:color w:val="auto"/>
              </w:rPr>
            </w:pPr>
          </w:p>
        </w:tc>
        <w:tc>
          <w:tcPr>
            <w:tcW w:w="2000" w:type="dxa"/>
            <w:vAlign w:val="bottom"/>
          </w:tcPr>
          <w:p>
            <w:pPr>
              <w:jc w:val="right"/>
              <w:ind w:right="391"/>
              <w:spacing w:after="0"/>
              <w:rPr>
                <w:sz w:val="20"/>
                <w:szCs w:val="20"/>
                <w:color w:val="auto"/>
              </w:rPr>
            </w:pPr>
            <w:r>
              <w:rPr>
                <w:rFonts w:ascii="Arial" w:cs="Arial" w:eastAsia="Arial" w:hAnsi="Arial"/>
                <w:sz w:val="8"/>
                <w:szCs w:val="8"/>
                <w:color w:val="auto"/>
              </w:rPr>
              <w:t>Europe</w:t>
            </w:r>
          </w:p>
        </w:tc>
        <w:tc>
          <w:tcPr>
            <w:tcW w:w="1160" w:type="dxa"/>
            <w:vAlign w:val="bottom"/>
          </w:tcPr>
          <w:p>
            <w:pPr>
              <w:jc w:val="right"/>
              <w:ind w:right="433"/>
              <w:spacing w:after="0"/>
              <w:rPr>
                <w:sz w:val="20"/>
                <w:szCs w:val="20"/>
                <w:color w:val="auto"/>
              </w:rPr>
            </w:pPr>
            <w:r>
              <w:rPr>
                <w:rFonts w:ascii="Arial" w:cs="Arial" w:eastAsia="Arial" w:hAnsi="Arial"/>
                <w:sz w:val="8"/>
                <w:szCs w:val="8"/>
                <w:color w:val="auto"/>
              </w:rPr>
              <w:t>Asia</w:t>
            </w:r>
          </w:p>
        </w:tc>
        <w:tc>
          <w:tcPr>
            <w:tcW w:w="1120" w:type="dxa"/>
            <w:vAlign w:val="bottom"/>
          </w:tcPr>
          <w:p>
            <w:pPr>
              <w:jc w:val="right"/>
              <w:ind w:right="451"/>
              <w:spacing w:after="0"/>
              <w:rPr>
                <w:sz w:val="20"/>
                <w:szCs w:val="20"/>
                <w:color w:val="auto"/>
              </w:rPr>
            </w:pPr>
            <w:r>
              <w:rPr>
                <w:rFonts w:ascii="Arial" w:cs="Arial" w:eastAsia="Arial" w:hAnsi="Arial"/>
                <w:sz w:val="8"/>
                <w:szCs w:val="8"/>
                <w:color w:val="auto"/>
              </w:rPr>
              <w:t>Oceania</w:t>
            </w:r>
          </w:p>
        </w:tc>
        <w:tc>
          <w:tcPr>
            <w:tcW w:w="700" w:type="dxa"/>
            <w:vAlign w:val="bottom"/>
            <w:gridSpan w:val="3"/>
          </w:tcPr>
          <w:p>
            <w:pPr>
              <w:ind w:left="400"/>
              <w:spacing w:after="0"/>
              <w:rPr>
                <w:sz w:val="20"/>
                <w:szCs w:val="20"/>
                <w:color w:val="auto"/>
              </w:rPr>
            </w:pPr>
            <w:r>
              <w:rPr>
                <w:rFonts w:ascii="Arial" w:cs="Arial" w:eastAsia="Arial" w:hAnsi="Arial"/>
                <w:sz w:val="8"/>
                <w:szCs w:val="8"/>
                <w:color w:val="auto"/>
              </w:rPr>
              <w:t>Africa</w:t>
            </w:r>
          </w:p>
        </w:tc>
        <w:tc>
          <w:tcPr>
            <w:tcW w:w="1280" w:type="dxa"/>
            <w:vAlign w:val="bottom"/>
          </w:tcPr>
          <w:p>
            <w:pPr>
              <w:jc w:val="center"/>
              <w:ind w:left="531"/>
              <w:spacing w:after="0"/>
              <w:rPr>
                <w:sz w:val="20"/>
                <w:szCs w:val="20"/>
                <w:color w:val="auto"/>
              </w:rPr>
            </w:pPr>
            <w:r>
              <w:rPr>
                <w:rFonts w:ascii="Arial" w:cs="Arial" w:eastAsia="Arial" w:hAnsi="Arial"/>
                <w:sz w:val="8"/>
                <w:szCs w:val="8"/>
                <w:color w:val="auto"/>
              </w:rPr>
              <w:t>USA</w:t>
            </w:r>
          </w:p>
        </w:tc>
        <w:tc>
          <w:tcPr>
            <w:tcW w:w="840" w:type="dxa"/>
            <w:vAlign w:val="bottom"/>
          </w:tcPr>
          <w:p>
            <w:pPr>
              <w:jc w:val="right"/>
              <w:spacing w:after="0"/>
              <w:rPr>
                <w:sz w:val="20"/>
                <w:szCs w:val="20"/>
                <w:color w:val="auto"/>
              </w:rPr>
            </w:pPr>
            <w:r>
              <w:rPr>
                <w:rFonts w:ascii="Arial" w:cs="Arial" w:eastAsia="Arial" w:hAnsi="Arial"/>
                <w:sz w:val="8"/>
                <w:szCs w:val="8"/>
                <w:color w:val="auto"/>
              </w:rPr>
              <w:t>Canada</w:t>
            </w:r>
          </w:p>
        </w:tc>
        <w:tc>
          <w:tcPr>
            <w:tcW w:w="20" w:type="dxa"/>
            <w:vAlign w:val="bottom"/>
          </w:tcPr>
          <w:p>
            <w:pPr>
              <w:spacing w:after="0"/>
              <w:rPr>
                <w:sz w:val="10"/>
                <w:szCs w:val="10"/>
                <w:color w:val="auto"/>
              </w:rPr>
            </w:pPr>
          </w:p>
        </w:tc>
        <w:tc>
          <w:tcPr>
            <w:tcW w:w="1400" w:type="dxa"/>
            <w:vAlign w:val="bottom"/>
          </w:tcPr>
          <w:p>
            <w:pPr>
              <w:ind w:left="240"/>
              <w:spacing w:after="0"/>
              <w:rPr>
                <w:sz w:val="20"/>
                <w:szCs w:val="20"/>
                <w:color w:val="auto"/>
              </w:rPr>
            </w:pPr>
            <w:r>
              <w:rPr>
                <w:rFonts w:ascii="Arial" w:cs="Arial" w:eastAsia="Arial" w:hAnsi="Arial"/>
                <w:sz w:val="8"/>
                <w:szCs w:val="8"/>
                <w:color w:val="auto"/>
              </w:rPr>
              <w:t>South America</w:t>
            </w:r>
          </w:p>
        </w:tc>
        <w:tc>
          <w:tcPr>
            <w:tcW w:w="800" w:type="dxa"/>
            <w:vAlign w:val="bottom"/>
            <w:gridSpan w:val="2"/>
          </w:tcPr>
          <w:p>
            <w:pPr>
              <w:jc w:val="right"/>
              <w:ind w:right="100"/>
              <w:spacing w:after="0"/>
              <w:rPr>
                <w:sz w:val="20"/>
                <w:szCs w:val="20"/>
                <w:color w:val="auto"/>
              </w:rPr>
            </w:pPr>
            <w:r>
              <w:rPr>
                <w:rFonts w:ascii="Arial" w:cs="Arial" w:eastAsia="Arial" w:hAnsi="Arial"/>
                <w:sz w:val="8"/>
                <w:szCs w:val="8"/>
                <w:color w:val="auto"/>
              </w:rPr>
              <w:t>Total</w:t>
            </w:r>
          </w:p>
        </w:tc>
      </w:tr>
      <w:tr>
        <w:trPr>
          <w:trHeight w:val="116"/>
        </w:trPr>
        <w:tc>
          <w:tcPr>
            <w:tcW w:w="19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Exploration</w:t>
            </w:r>
          </w:p>
        </w:tc>
        <w:tc>
          <w:tcPr>
            <w:tcW w:w="2000" w:type="dxa"/>
            <w:vAlign w:val="bottom"/>
            <w:tcBorders>
              <w:top w:val="single" w:sz="8" w:color="auto"/>
            </w:tcBorders>
          </w:tcPr>
          <w:p>
            <w:pPr>
              <w:jc w:val="right"/>
              <w:ind w:right="411"/>
              <w:spacing w:after="0"/>
              <w:rPr>
                <w:sz w:val="20"/>
                <w:szCs w:val="20"/>
                <w:color w:val="auto"/>
              </w:rPr>
            </w:pPr>
            <w:r>
              <w:rPr>
                <w:rFonts w:ascii="Arial" w:cs="Arial" w:eastAsia="Arial" w:hAnsi="Arial"/>
                <w:sz w:val="10"/>
                <w:szCs w:val="10"/>
                <w:color w:val="auto"/>
              </w:rPr>
              <w:t>1</w:t>
            </w:r>
          </w:p>
        </w:tc>
        <w:tc>
          <w:tcPr>
            <w:tcW w:w="1160" w:type="dxa"/>
            <w:vAlign w:val="bottom"/>
            <w:tcBorders>
              <w:top w:val="single" w:sz="8" w:color="auto"/>
            </w:tcBorders>
          </w:tcPr>
          <w:p>
            <w:pPr>
              <w:jc w:val="right"/>
              <w:ind w:right="473"/>
              <w:spacing w:after="0"/>
              <w:rPr>
                <w:sz w:val="20"/>
                <w:szCs w:val="20"/>
                <w:color w:val="auto"/>
              </w:rPr>
            </w:pPr>
            <w:r>
              <w:rPr>
                <w:rFonts w:ascii="Arial" w:cs="Arial" w:eastAsia="Arial" w:hAnsi="Arial"/>
                <w:sz w:val="10"/>
                <w:szCs w:val="10"/>
                <w:color w:val="auto"/>
              </w:rPr>
              <w:t>116</w:t>
            </w:r>
          </w:p>
        </w:tc>
        <w:tc>
          <w:tcPr>
            <w:tcW w:w="1120" w:type="dxa"/>
            <w:vAlign w:val="bottom"/>
            <w:tcBorders>
              <w:top w:val="single" w:sz="8" w:color="auto"/>
            </w:tcBorders>
          </w:tcPr>
          <w:p>
            <w:pPr>
              <w:jc w:val="right"/>
              <w:ind w:right="491"/>
              <w:spacing w:after="0"/>
              <w:rPr>
                <w:sz w:val="20"/>
                <w:szCs w:val="20"/>
                <w:color w:val="auto"/>
              </w:rPr>
            </w:pPr>
            <w:r>
              <w:rPr>
                <w:rFonts w:ascii="Arial" w:cs="Arial" w:eastAsia="Arial" w:hAnsi="Arial"/>
                <w:sz w:val="10"/>
                <w:szCs w:val="10"/>
                <w:color w:val="auto"/>
              </w:rPr>
              <w:t>12</w:t>
            </w:r>
          </w:p>
        </w:tc>
        <w:tc>
          <w:tcPr>
            <w:tcW w:w="700" w:type="dxa"/>
            <w:vAlign w:val="bottom"/>
            <w:tcBorders>
              <w:top w:val="single" w:sz="8" w:color="auto"/>
            </w:tcBorders>
            <w:gridSpan w:val="3"/>
          </w:tcPr>
          <w:p>
            <w:pPr>
              <w:ind w:left="480"/>
              <w:spacing w:after="0"/>
              <w:rPr>
                <w:sz w:val="20"/>
                <w:szCs w:val="20"/>
                <w:color w:val="auto"/>
              </w:rPr>
            </w:pPr>
            <w:r>
              <w:rPr>
                <w:rFonts w:ascii="Arial" w:cs="Arial" w:eastAsia="Arial" w:hAnsi="Arial"/>
                <w:sz w:val="10"/>
                <w:szCs w:val="10"/>
                <w:color w:val="auto"/>
              </w:rPr>
              <w:t>—</w:t>
            </w:r>
          </w:p>
        </w:tc>
        <w:tc>
          <w:tcPr>
            <w:tcW w:w="1280" w:type="dxa"/>
            <w:vAlign w:val="bottom"/>
            <w:tcBorders>
              <w:top w:val="single" w:sz="8" w:color="auto"/>
            </w:tcBorders>
          </w:tcPr>
          <w:p>
            <w:pPr>
              <w:jc w:val="center"/>
              <w:ind w:left="531"/>
              <w:spacing w:after="0"/>
              <w:rPr>
                <w:sz w:val="20"/>
                <w:szCs w:val="20"/>
                <w:color w:val="auto"/>
              </w:rPr>
            </w:pPr>
            <w:r>
              <w:rPr>
                <w:rFonts w:ascii="Arial" w:cs="Arial" w:eastAsia="Arial" w:hAnsi="Arial"/>
                <w:sz w:val="10"/>
                <w:szCs w:val="10"/>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ind w:left="860"/>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129</w:t>
            </w:r>
          </w:p>
        </w:tc>
        <w:tc>
          <w:tcPr>
            <w:tcW w:w="100" w:type="dxa"/>
            <w:vAlign w:val="bottom"/>
          </w:tcPr>
          <w:p>
            <w:pPr>
              <w:spacing w:after="0"/>
              <w:rPr>
                <w:sz w:val="10"/>
                <w:szCs w:val="10"/>
                <w:color w:val="auto"/>
              </w:rPr>
            </w:pPr>
          </w:p>
        </w:tc>
      </w:tr>
      <w:tr>
        <w:trPr>
          <w:trHeight w:val="127"/>
        </w:trPr>
        <w:tc>
          <w:tcPr>
            <w:tcW w:w="19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Development</w:t>
            </w:r>
          </w:p>
        </w:tc>
        <w:tc>
          <w:tcPr>
            <w:tcW w:w="200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rPr>
              <w:t>94</w:t>
            </w: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0"/>
                <w:szCs w:val="10"/>
                <w:color w:val="auto"/>
              </w:rPr>
              <w:t>1,400</w:t>
            </w: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rPr>
              <w:t>65</w:t>
            </w:r>
          </w:p>
        </w:tc>
        <w:tc>
          <w:tcPr>
            <w:tcW w:w="700" w:type="dxa"/>
            <w:vAlign w:val="bottom"/>
            <w:tcBorders>
              <w:bottom w:val="single" w:sz="8" w:color="auto"/>
            </w:tcBorders>
            <w:gridSpan w:val="3"/>
          </w:tcPr>
          <w:p>
            <w:pPr>
              <w:ind w:left="480"/>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tcPr>
          <w:p>
            <w:pPr>
              <w:jc w:val="center"/>
              <w:ind w:left="531"/>
              <w:spacing w:after="0"/>
              <w:rPr>
                <w:sz w:val="20"/>
                <w:szCs w:val="20"/>
                <w:color w:val="auto"/>
              </w:rPr>
            </w:pPr>
            <w:r>
              <w:rPr>
                <w:rFonts w:ascii="Arial" w:cs="Arial" w:eastAsia="Arial" w:hAnsi="Arial"/>
                <w:sz w:val="10"/>
                <w:szCs w:val="10"/>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ind w:left="86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1,559</w:t>
            </w:r>
          </w:p>
        </w:tc>
        <w:tc>
          <w:tcPr>
            <w:tcW w:w="100" w:type="dxa"/>
            <w:vAlign w:val="bottom"/>
          </w:tcPr>
          <w:p>
            <w:pPr>
              <w:spacing w:after="0"/>
              <w:rPr>
                <w:sz w:val="11"/>
                <w:szCs w:val="11"/>
                <w:color w:val="auto"/>
              </w:rPr>
            </w:pPr>
          </w:p>
        </w:tc>
      </w:tr>
      <w:tr>
        <w:trPr>
          <w:trHeight w:val="90"/>
        </w:trPr>
        <w:tc>
          <w:tcPr>
            <w:tcW w:w="19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0" w:type="dxa"/>
            <w:vAlign w:val="bottom"/>
            <w:gridSpan w:val="2"/>
          </w:tcPr>
          <w:p>
            <w:pPr>
              <w:spacing w:after="0"/>
              <w:rPr>
                <w:sz w:val="7"/>
                <w:szCs w:val="7"/>
                <w:color w:val="auto"/>
              </w:rPr>
            </w:pPr>
          </w:p>
        </w:tc>
      </w:tr>
      <w:tr>
        <w:trPr>
          <w:trHeight w:val="121"/>
        </w:trPr>
        <w:tc>
          <w:tcPr>
            <w:tcW w:w="198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2018</w:t>
            </w:r>
          </w:p>
        </w:tc>
        <w:tc>
          <w:tcPr>
            <w:tcW w:w="2000" w:type="dxa"/>
            <w:vAlign w:val="bottom"/>
            <w:tcBorders>
              <w:top w:val="single" w:sz="8" w:color="CDCDCD"/>
            </w:tcBorders>
          </w:tcPr>
          <w:p>
            <w:pPr>
              <w:spacing w:after="0"/>
              <w:rPr>
                <w:sz w:val="10"/>
                <w:szCs w:val="10"/>
                <w:color w:val="auto"/>
              </w:rPr>
            </w:pPr>
          </w:p>
        </w:tc>
        <w:tc>
          <w:tcPr>
            <w:tcW w:w="1160" w:type="dxa"/>
            <w:vAlign w:val="bottom"/>
            <w:tcBorders>
              <w:top w:val="single" w:sz="8" w:color="CDCDCD"/>
            </w:tcBorders>
          </w:tcPr>
          <w:p>
            <w:pPr>
              <w:spacing w:after="0"/>
              <w:rPr>
                <w:sz w:val="10"/>
                <w:szCs w:val="10"/>
                <w:color w:val="auto"/>
              </w:rPr>
            </w:pPr>
          </w:p>
        </w:tc>
        <w:tc>
          <w:tcPr>
            <w:tcW w:w="1120" w:type="dxa"/>
            <w:vAlign w:val="bottom"/>
            <w:tcBorders>
              <w:top w:val="single" w:sz="8" w:color="CDCDCD"/>
            </w:tcBorders>
          </w:tcPr>
          <w:p>
            <w:pPr>
              <w:spacing w:after="0"/>
              <w:rPr>
                <w:sz w:val="10"/>
                <w:szCs w:val="10"/>
                <w:color w:val="auto"/>
              </w:rPr>
            </w:pPr>
          </w:p>
        </w:tc>
        <w:tc>
          <w:tcPr>
            <w:tcW w:w="600" w:type="dxa"/>
            <w:vAlign w:val="bottom"/>
            <w:tcBorders>
              <w:top w:val="single" w:sz="8" w:color="CDCDCD"/>
            </w:tcBorders>
          </w:tcPr>
          <w:p>
            <w:pPr>
              <w:spacing w:after="0"/>
              <w:rPr>
                <w:sz w:val="10"/>
                <w:szCs w:val="10"/>
                <w:color w:val="auto"/>
              </w:rPr>
            </w:pPr>
          </w:p>
        </w:tc>
        <w:tc>
          <w:tcPr>
            <w:tcW w:w="20" w:type="dxa"/>
            <w:vAlign w:val="bottom"/>
            <w:tcBorders>
              <w:top w:val="single" w:sz="8" w:color="CDCDCD"/>
            </w:tcBorders>
          </w:tcPr>
          <w:p>
            <w:pPr>
              <w:spacing w:after="0"/>
              <w:rPr>
                <w:sz w:val="10"/>
                <w:szCs w:val="10"/>
                <w:color w:val="auto"/>
              </w:rPr>
            </w:pPr>
          </w:p>
        </w:tc>
        <w:tc>
          <w:tcPr>
            <w:tcW w:w="80" w:type="dxa"/>
            <w:vAlign w:val="bottom"/>
            <w:tcBorders>
              <w:top w:val="single" w:sz="8" w:color="CDCDCD"/>
            </w:tcBorders>
          </w:tcPr>
          <w:p>
            <w:pPr>
              <w:spacing w:after="0"/>
              <w:rPr>
                <w:sz w:val="10"/>
                <w:szCs w:val="10"/>
                <w:color w:val="auto"/>
              </w:rPr>
            </w:pPr>
          </w:p>
        </w:tc>
        <w:tc>
          <w:tcPr>
            <w:tcW w:w="1280" w:type="dxa"/>
            <w:vAlign w:val="bottom"/>
            <w:tcBorders>
              <w:top w:val="single" w:sz="8" w:color="CDCDCD"/>
            </w:tcBorders>
          </w:tcPr>
          <w:p>
            <w:pPr>
              <w:spacing w:after="0"/>
              <w:rPr>
                <w:sz w:val="10"/>
                <w:szCs w:val="10"/>
                <w:color w:val="auto"/>
              </w:rPr>
            </w:pPr>
          </w:p>
        </w:tc>
        <w:tc>
          <w:tcPr>
            <w:tcW w:w="840" w:type="dxa"/>
            <w:vAlign w:val="bottom"/>
            <w:tcBorders>
              <w:top w:val="single" w:sz="8" w:color="CDCDCD"/>
            </w:tcBorders>
          </w:tcPr>
          <w:p>
            <w:pPr>
              <w:spacing w:after="0"/>
              <w:rPr>
                <w:sz w:val="10"/>
                <w:szCs w:val="10"/>
                <w:color w:val="auto"/>
              </w:rPr>
            </w:pPr>
          </w:p>
        </w:tc>
        <w:tc>
          <w:tcPr>
            <w:tcW w:w="20" w:type="dxa"/>
            <w:vAlign w:val="bottom"/>
            <w:tcBorders>
              <w:top w:val="single" w:sz="8" w:color="CDCDCD"/>
            </w:tcBorders>
          </w:tcPr>
          <w:p>
            <w:pPr>
              <w:spacing w:after="0"/>
              <w:rPr>
                <w:sz w:val="10"/>
                <w:szCs w:val="10"/>
                <w:color w:val="auto"/>
              </w:rPr>
            </w:pPr>
          </w:p>
        </w:tc>
        <w:tc>
          <w:tcPr>
            <w:tcW w:w="1400" w:type="dxa"/>
            <w:vAlign w:val="bottom"/>
            <w:tcBorders>
              <w:top w:val="single" w:sz="8" w:color="CDCDCD"/>
            </w:tcBorders>
          </w:tcPr>
          <w:p>
            <w:pPr>
              <w:spacing w:after="0"/>
              <w:rPr>
                <w:sz w:val="10"/>
                <w:szCs w:val="10"/>
                <w:color w:val="auto"/>
              </w:rPr>
            </w:pPr>
          </w:p>
        </w:tc>
        <w:tc>
          <w:tcPr>
            <w:tcW w:w="70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100" w:type="dxa"/>
            <w:vAlign w:val="bottom"/>
          </w:tcPr>
          <w:p>
            <w:pPr>
              <w:spacing w:after="0"/>
              <w:rPr>
                <w:sz w:val="10"/>
                <w:szCs w:val="10"/>
                <w:color w:val="auto"/>
              </w:rPr>
            </w:pPr>
          </w:p>
        </w:tc>
      </w:tr>
      <w:tr>
        <w:trPr>
          <w:trHeight w:val="145"/>
        </w:trPr>
        <w:tc>
          <w:tcPr>
            <w:tcW w:w="19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20" w:type="dxa"/>
            <w:vAlign w:val="bottom"/>
          </w:tcPr>
          <w:p>
            <w:pPr>
              <w:spacing w:after="0"/>
              <w:rPr>
                <w:sz w:val="12"/>
                <w:szCs w:val="12"/>
                <w:color w:val="auto"/>
              </w:rPr>
            </w:pPr>
          </w:p>
        </w:tc>
        <w:tc>
          <w:tcPr>
            <w:tcW w:w="1400" w:type="dxa"/>
            <w:vAlign w:val="bottom"/>
          </w:tcPr>
          <w:p>
            <w:pPr>
              <w:jc w:val="right"/>
              <w:ind w:right="333"/>
              <w:spacing w:after="0"/>
              <w:rPr>
                <w:sz w:val="20"/>
                <w:szCs w:val="20"/>
                <w:color w:val="auto"/>
              </w:rPr>
            </w:pPr>
            <w:r>
              <w:rPr>
                <w:rFonts w:ascii="Arial" w:cs="Arial" w:eastAsia="Arial" w:hAnsi="Arial"/>
                <w:sz w:val="10"/>
                <w:szCs w:val="10"/>
                <w:color w:val="auto"/>
              </w:rPr>
              <w:t>South</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1980" w:type="dxa"/>
            <w:vAlign w:val="bottom"/>
          </w:tcPr>
          <w:p>
            <w:pPr>
              <w:spacing w:after="0"/>
              <w:rPr>
                <w:sz w:val="10"/>
                <w:szCs w:val="10"/>
                <w:color w:val="auto"/>
              </w:rPr>
            </w:pPr>
          </w:p>
        </w:tc>
        <w:tc>
          <w:tcPr>
            <w:tcW w:w="2000" w:type="dxa"/>
            <w:vAlign w:val="bottom"/>
          </w:tcPr>
          <w:p>
            <w:pPr>
              <w:jc w:val="right"/>
              <w:ind w:right="671"/>
              <w:spacing w:after="0"/>
              <w:rPr>
                <w:sz w:val="20"/>
                <w:szCs w:val="20"/>
                <w:color w:val="auto"/>
              </w:rPr>
            </w:pPr>
            <w:r>
              <w:rPr>
                <w:rFonts w:ascii="Arial" w:cs="Arial" w:eastAsia="Arial" w:hAnsi="Arial"/>
                <w:sz w:val="10"/>
                <w:szCs w:val="10"/>
                <w:color w:val="auto"/>
              </w:rPr>
              <w:t>Europe</w:t>
            </w:r>
          </w:p>
        </w:tc>
        <w:tc>
          <w:tcPr>
            <w:tcW w:w="1160" w:type="dxa"/>
            <w:vAlign w:val="bottom"/>
          </w:tcPr>
          <w:p>
            <w:pPr>
              <w:jc w:val="right"/>
              <w:ind w:right="253"/>
              <w:spacing w:after="0"/>
              <w:rPr>
                <w:sz w:val="20"/>
                <w:szCs w:val="20"/>
                <w:color w:val="auto"/>
              </w:rPr>
            </w:pPr>
            <w:r>
              <w:rPr>
                <w:rFonts w:ascii="Arial" w:cs="Arial" w:eastAsia="Arial" w:hAnsi="Arial"/>
                <w:sz w:val="10"/>
                <w:szCs w:val="10"/>
                <w:color w:val="auto"/>
              </w:rPr>
              <w:t>Asia</w:t>
            </w:r>
          </w:p>
        </w:tc>
        <w:tc>
          <w:tcPr>
            <w:tcW w:w="1120" w:type="dxa"/>
            <w:vAlign w:val="bottom"/>
          </w:tcPr>
          <w:p>
            <w:pPr>
              <w:ind w:left="440"/>
              <w:spacing w:after="0"/>
              <w:rPr>
                <w:sz w:val="20"/>
                <w:szCs w:val="20"/>
                <w:color w:val="auto"/>
              </w:rPr>
            </w:pPr>
            <w:r>
              <w:rPr>
                <w:rFonts w:ascii="Arial" w:cs="Arial" w:eastAsia="Arial" w:hAnsi="Arial"/>
                <w:sz w:val="10"/>
                <w:szCs w:val="10"/>
                <w:color w:val="auto"/>
              </w:rPr>
              <w:t>Oceania</w:t>
            </w:r>
          </w:p>
        </w:tc>
        <w:tc>
          <w:tcPr>
            <w:tcW w:w="700" w:type="dxa"/>
            <w:vAlign w:val="bottom"/>
            <w:gridSpan w:val="3"/>
          </w:tcPr>
          <w:p>
            <w:pPr>
              <w:ind w:left="460"/>
              <w:spacing w:after="0"/>
              <w:rPr>
                <w:sz w:val="20"/>
                <w:szCs w:val="20"/>
                <w:color w:val="auto"/>
              </w:rPr>
            </w:pPr>
            <w:r>
              <w:rPr>
                <w:rFonts w:ascii="Arial" w:cs="Arial" w:eastAsia="Arial" w:hAnsi="Arial"/>
                <w:sz w:val="10"/>
                <w:szCs w:val="10"/>
                <w:color w:val="auto"/>
                <w:w w:val="85"/>
              </w:rPr>
              <w:t>Africa</w:t>
            </w:r>
          </w:p>
        </w:tc>
        <w:tc>
          <w:tcPr>
            <w:tcW w:w="1280" w:type="dxa"/>
            <w:vAlign w:val="bottom"/>
          </w:tcPr>
          <w:p>
            <w:pPr>
              <w:ind w:left="860"/>
              <w:spacing w:after="0"/>
              <w:rPr>
                <w:sz w:val="20"/>
                <w:szCs w:val="20"/>
                <w:color w:val="auto"/>
              </w:rPr>
            </w:pPr>
            <w:r>
              <w:rPr>
                <w:rFonts w:ascii="Arial" w:cs="Arial" w:eastAsia="Arial" w:hAnsi="Arial"/>
                <w:sz w:val="10"/>
                <w:szCs w:val="10"/>
                <w:color w:val="auto"/>
              </w:rPr>
              <w:t>USA</w:t>
            </w:r>
          </w:p>
        </w:tc>
        <w:tc>
          <w:tcPr>
            <w:tcW w:w="840" w:type="dxa"/>
            <w:vAlign w:val="bottom"/>
          </w:tcPr>
          <w:p>
            <w:pPr>
              <w:jc w:val="right"/>
              <w:spacing w:after="0"/>
              <w:rPr>
                <w:sz w:val="20"/>
                <w:szCs w:val="20"/>
                <w:color w:val="auto"/>
              </w:rPr>
            </w:pPr>
            <w:r>
              <w:rPr>
                <w:rFonts w:ascii="Arial" w:cs="Arial" w:eastAsia="Arial" w:hAnsi="Arial"/>
                <w:sz w:val="10"/>
                <w:szCs w:val="10"/>
                <w:color w:val="auto"/>
              </w:rPr>
              <w:t>Canada</w:t>
            </w:r>
          </w:p>
        </w:tc>
        <w:tc>
          <w:tcPr>
            <w:tcW w:w="20" w:type="dxa"/>
            <w:vAlign w:val="bottom"/>
          </w:tcPr>
          <w:p>
            <w:pPr>
              <w:spacing w:after="0"/>
              <w:rPr>
                <w:sz w:val="10"/>
                <w:szCs w:val="10"/>
                <w:color w:val="auto"/>
              </w:rPr>
            </w:pPr>
          </w:p>
        </w:tc>
        <w:tc>
          <w:tcPr>
            <w:tcW w:w="1400" w:type="dxa"/>
            <w:vAlign w:val="bottom"/>
          </w:tcPr>
          <w:p>
            <w:pPr>
              <w:jc w:val="right"/>
              <w:ind w:right="333"/>
              <w:spacing w:after="0"/>
              <w:rPr>
                <w:sz w:val="20"/>
                <w:szCs w:val="20"/>
                <w:color w:val="auto"/>
              </w:rPr>
            </w:pPr>
            <w:r>
              <w:rPr>
                <w:rFonts w:ascii="Arial" w:cs="Arial" w:eastAsia="Arial" w:hAnsi="Arial"/>
                <w:sz w:val="10"/>
                <w:szCs w:val="10"/>
                <w:color w:val="auto"/>
              </w:rPr>
              <w:t>America</w:t>
            </w: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Total</w:t>
            </w:r>
          </w:p>
        </w:tc>
      </w:tr>
      <w:tr>
        <w:trPr>
          <w:trHeight w:val="113"/>
        </w:trPr>
        <w:tc>
          <w:tcPr>
            <w:tcW w:w="1980" w:type="dxa"/>
            <w:vAlign w:val="bottom"/>
            <w:tcBorders>
              <w:top w:val="single" w:sz="8" w:color="auto"/>
            </w:tcBorders>
          </w:tcPr>
          <w:p>
            <w:pPr>
              <w:spacing w:after="0" w:line="113" w:lineRule="exact"/>
              <w:rPr>
                <w:sz w:val="20"/>
                <w:szCs w:val="20"/>
                <w:color w:val="auto"/>
              </w:rPr>
            </w:pPr>
            <w:r>
              <w:rPr>
                <w:rFonts w:ascii="Arial" w:cs="Arial" w:eastAsia="Arial" w:hAnsi="Arial"/>
                <w:sz w:val="10"/>
                <w:szCs w:val="10"/>
                <w:color w:val="auto"/>
              </w:rPr>
              <w:t>Exploration</w:t>
            </w:r>
          </w:p>
        </w:tc>
        <w:tc>
          <w:tcPr>
            <w:tcW w:w="2000" w:type="dxa"/>
            <w:vAlign w:val="bottom"/>
            <w:tcBorders>
              <w:top w:val="single" w:sz="8" w:color="auto"/>
            </w:tcBorders>
          </w:tcPr>
          <w:p>
            <w:pPr>
              <w:jc w:val="right"/>
              <w:ind w:right="691"/>
              <w:spacing w:after="0" w:line="113" w:lineRule="exact"/>
              <w:rPr>
                <w:sz w:val="20"/>
                <w:szCs w:val="20"/>
                <w:color w:val="auto"/>
              </w:rPr>
            </w:pPr>
            <w:r>
              <w:rPr>
                <w:rFonts w:ascii="Arial" w:cs="Arial" w:eastAsia="Arial" w:hAnsi="Arial"/>
                <w:sz w:val="10"/>
                <w:szCs w:val="10"/>
                <w:color w:val="auto"/>
              </w:rPr>
              <w:t>—</w:t>
            </w:r>
          </w:p>
        </w:tc>
        <w:tc>
          <w:tcPr>
            <w:tcW w:w="1160" w:type="dxa"/>
            <w:vAlign w:val="bottom"/>
            <w:tcBorders>
              <w:top w:val="single" w:sz="8" w:color="auto"/>
            </w:tcBorders>
          </w:tcPr>
          <w:p>
            <w:pPr>
              <w:jc w:val="right"/>
              <w:ind w:right="273"/>
              <w:spacing w:after="0" w:line="113" w:lineRule="exact"/>
              <w:rPr>
                <w:sz w:val="20"/>
                <w:szCs w:val="20"/>
                <w:color w:val="auto"/>
              </w:rPr>
            </w:pPr>
            <w:r>
              <w:rPr>
                <w:rFonts w:ascii="Arial" w:cs="Arial" w:eastAsia="Arial" w:hAnsi="Arial"/>
                <w:sz w:val="10"/>
                <w:szCs w:val="10"/>
                <w:color w:val="auto"/>
              </w:rPr>
              <w:t>90</w:t>
            </w:r>
          </w:p>
        </w:tc>
        <w:tc>
          <w:tcPr>
            <w:tcW w:w="1120" w:type="dxa"/>
            <w:vAlign w:val="bottom"/>
            <w:tcBorders>
              <w:top w:val="single" w:sz="8" w:color="auto"/>
            </w:tcBorders>
          </w:tcPr>
          <w:p>
            <w:pPr>
              <w:jc w:val="right"/>
              <w:ind w:right="331"/>
              <w:spacing w:after="0" w:line="113" w:lineRule="exact"/>
              <w:rPr>
                <w:sz w:val="20"/>
                <w:szCs w:val="20"/>
                <w:color w:val="auto"/>
              </w:rPr>
            </w:pPr>
            <w:r>
              <w:rPr>
                <w:rFonts w:ascii="Arial" w:cs="Arial" w:eastAsia="Arial" w:hAnsi="Arial"/>
                <w:sz w:val="10"/>
                <w:szCs w:val="10"/>
                <w:color w:val="auto"/>
              </w:rPr>
              <w:t>14</w:t>
            </w:r>
          </w:p>
        </w:tc>
        <w:tc>
          <w:tcPr>
            <w:tcW w:w="700" w:type="dxa"/>
            <w:vAlign w:val="bottom"/>
            <w:tcBorders>
              <w:top w:val="single" w:sz="8" w:color="auto"/>
            </w:tcBorders>
            <w:gridSpan w:val="3"/>
          </w:tcPr>
          <w:p>
            <w:pPr>
              <w:ind w:left="560"/>
              <w:spacing w:after="0" w:line="113" w:lineRule="exact"/>
              <w:rPr>
                <w:sz w:val="20"/>
                <w:szCs w:val="20"/>
                <w:color w:val="auto"/>
              </w:rPr>
            </w:pPr>
            <w:r>
              <w:rPr>
                <w:rFonts w:ascii="Arial" w:cs="Arial" w:eastAsia="Arial" w:hAnsi="Arial"/>
                <w:sz w:val="10"/>
                <w:szCs w:val="10"/>
                <w:color w:val="auto"/>
              </w:rPr>
              <w:t>—</w:t>
            </w:r>
          </w:p>
        </w:tc>
        <w:tc>
          <w:tcPr>
            <w:tcW w:w="1280" w:type="dxa"/>
            <w:vAlign w:val="bottom"/>
            <w:tcBorders>
              <w:top w:val="single" w:sz="8" w:color="auto"/>
            </w:tcBorders>
          </w:tcPr>
          <w:p>
            <w:pPr>
              <w:ind w:left="920"/>
              <w:spacing w:after="0" w:line="113" w:lineRule="exact"/>
              <w:rPr>
                <w:sz w:val="20"/>
                <w:szCs w:val="20"/>
                <w:color w:val="auto"/>
              </w:rPr>
            </w:pPr>
            <w:r>
              <w:rPr>
                <w:rFonts w:ascii="Arial" w:cs="Arial" w:eastAsia="Arial" w:hAnsi="Arial"/>
                <w:sz w:val="10"/>
                <w:szCs w:val="10"/>
                <w:color w:val="auto"/>
              </w:rPr>
              <w:t>—</w:t>
            </w:r>
          </w:p>
        </w:tc>
        <w:tc>
          <w:tcPr>
            <w:tcW w:w="8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2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jc w:val="right"/>
              <w:ind w:right="353"/>
              <w:spacing w:after="0" w:line="113" w:lineRule="exact"/>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104</w:t>
            </w:r>
          </w:p>
        </w:tc>
        <w:tc>
          <w:tcPr>
            <w:tcW w:w="100" w:type="dxa"/>
            <w:vAlign w:val="bottom"/>
          </w:tcPr>
          <w:p>
            <w:pPr>
              <w:spacing w:after="0"/>
              <w:rPr>
                <w:sz w:val="9"/>
                <w:szCs w:val="9"/>
                <w:color w:val="auto"/>
              </w:rPr>
            </w:pPr>
          </w:p>
        </w:tc>
      </w:tr>
      <w:tr>
        <w:trPr>
          <w:trHeight w:val="127"/>
        </w:trPr>
        <w:tc>
          <w:tcPr>
            <w:tcW w:w="19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Development</w:t>
            </w:r>
          </w:p>
        </w:tc>
        <w:tc>
          <w:tcPr>
            <w:tcW w:w="2000" w:type="dxa"/>
            <w:vAlign w:val="bottom"/>
            <w:tcBorders>
              <w:bottom w:val="single" w:sz="8" w:color="auto"/>
            </w:tcBorders>
          </w:tcPr>
          <w:p>
            <w:pPr>
              <w:jc w:val="right"/>
              <w:ind w:right="691"/>
              <w:spacing w:after="0"/>
              <w:rPr>
                <w:sz w:val="20"/>
                <w:szCs w:val="20"/>
                <w:color w:val="auto"/>
              </w:rPr>
            </w:pPr>
            <w:r>
              <w:rPr>
                <w:rFonts w:ascii="Arial" w:cs="Arial" w:eastAsia="Arial" w:hAnsi="Arial"/>
                <w:sz w:val="10"/>
                <w:szCs w:val="10"/>
                <w:color w:val="auto"/>
              </w:rPr>
              <w:t>229</w:t>
            </w:r>
          </w:p>
        </w:tc>
        <w:tc>
          <w:tcPr>
            <w:tcW w:w="116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color w:val="auto"/>
              </w:rPr>
              <w:t>1,026</w:t>
            </w: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0"/>
                <w:szCs w:val="10"/>
                <w:color w:val="auto"/>
              </w:rPr>
              <w:t>79</w:t>
            </w:r>
          </w:p>
        </w:tc>
        <w:tc>
          <w:tcPr>
            <w:tcW w:w="70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tcPr>
          <w:p>
            <w:pPr>
              <w:ind w:left="92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353"/>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1,334</w:t>
            </w:r>
          </w:p>
        </w:tc>
        <w:tc>
          <w:tcPr>
            <w:tcW w:w="100" w:type="dxa"/>
            <w:vAlign w:val="bottom"/>
          </w:tcPr>
          <w:p>
            <w:pPr>
              <w:spacing w:after="0"/>
              <w:rPr>
                <w:sz w:val="11"/>
                <w:szCs w:val="11"/>
                <w:color w:val="auto"/>
              </w:rPr>
            </w:pPr>
          </w:p>
        </w:tc>
      </w:tr>
    </w:tbl>
    <w:p>
      <w:pPr>
        <w:spacing w:after="0" w:line="211" w:lineRule="exact"/>
        <w:rPr>
          <w:sz w:val="20"/>
          <w:szCs w:val="20"/>
          <w:color w:val="auto"/>
        </w:rPr>
      </w:pPr>
    </w:p>
    <w:p>
      <w:pPr>
        <w:ind w:left="8"/>
        <w:spacing w:after="0"/>
        <w:rPr>
          <w:sz w:val="20"/>
          <w:szCs w:val="20"/>
          <w:color w:val="auto"/>
        </w:rPr>
      </w:pPr>
      <w:r>
        <w:rPr>
          <w:rFonts w:ascii="Arial" w:cs="Arial" w:eastAsia="Arial" w:hAnsi="Arial"/>
          <w:sz w:val="11"/>
          <w:szCs w:val="11"/>
          <w:color w:val="auto"/>
        </w:rPr>
        <w:t>OIL AND GAS EXPLORATION AND PRODUCTION ACTIVITIES EARNINGS</w:t>
      </w:r>
    </w:p>
    <w:p>
      <w:pPr>
        <w:spacing w:after="0" w:line="154" w:lineRule="exact"/>
        <w:rPr>
          <w:sz w:val="20"/>
          <w:szCs w:val="20"/>
          <w:color w:val="auto"/>
        </w:rPr>
      </w:pPr>
    </w:p>
    <w:p>
      <w:pPr>
        <w:ind w:left="8" w:right="140"/>
        <w:spacing w:after="0" w:line="239" w:lineRule="auto"/>
        <w:rPr>
          <w:sz w:val="20"/>
          <w:szCs w:val="20"/>
          <w:color w:val="auto"/>
        </w:rPr>
      </w:pPr>
      <w:r>
        <w:rPr>
          <w:rFonts w:ascii="Arial" w:cs="Arial" w:eastAsia="Arial" w:hAnsi="Arial"/>
          <w:sz w:val="10"/>
          <w:szCs w:val="10"/>
          <w:color w:val="auto"/>
        </w:rPr>
        <w:t>In Shell, extractive activities, or oil and gas exploration and production activities, are undertaken within the Integrated Gas segment, the Upstream segment and the Oil Products segment. Shell’s extractive activities do not represent the full extent of Integrated Gas, Upstream and Oil Products activities, and exclude downstream GTL, some LNG activities, Marketing business in Oil Products, Power and New Energies, trading and optimisation, as well as other non-extractive activities.</w:t>
      </w:r>
    </w:p>
    <w:p>
      <w:pPr>
        <w:spacing w:after="0" w:line="149" w:lineRule="exact"/>
        <w:rPr>
          <w:sz w:val="20"/>
          <w:szCs w:val="20"/>
          <w:color w:val="auto"/>
        </w:rPr>
      </w:pPr>
    </w:p>
    <w:p>
      <w:pPr>
        <w:ind w:left="8" w:right="200"/>
        <w:spacing w:after="0" w:line="234" w:lineRule="auto"/>
        <w:rPr>
          <w:sz w:val="20"/>
          <w:szCs w:val="20"/>
          <w:color w:val="auto"/>
        </w:rPr>
      </w:pPr>
      <w:r>
        <w:rPr>
          <w:rFonts w:ascii="Arial" w:cs="Arial" w:eastAsia="Arial" w:hAnsi="Arial"/>
          <w:sz w:val="10"/>
          <w:szCs w:val="10"/>
          <w:color w:val="auto"/>
        </w:rPr>
        <w:t>The earnings disclosed in this "extractive activities" section are only a subset of Shell’s total earnings and are therefore not suitable for modelling Shell’s integrated businesses, for which we refer to the full segment earnings and descriptions of the Integrated Gas, Upstream and Oil Products businesses, which are available on pages 30, 36 and 51 respectively. The earnings disclosed in this "extractive activities" section are not adjusted for items such as impairment charges, restructuring charges and charges for onerous contract provisions. Full segment information to the Consolidated Financial Statements is available on pages 177-180.</w:t>
      </w:r>
    </w:p>
    <w:p>
      <w:pPr>
        <w:spacing w:after="0" w:line="200" w:lineRule="exact"/>
        <w:rPr>
          <w:sz w:val="20"/>
          <w:szCs w:val="20"/>
          <w:color w:val="auto"/>
        </w:rPr>
      </w:pPr>
    </w:p>
    <w:p>
      <w:pPr>
        <w:spacing w:after="0" w:line="315"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224</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34" w:right="299" w:bottom="1440" w:gutter="0" w:footer="0" w:header="0"/>
        </w:sectPr>
      </w:pPr>
    </w:p>
    <w:bookmarkStart w:id="227" w:name="page228"/>
    <w:bookmarkEnd w:id="227"/>
    <w:p>
      <w:pPr>
        <w:spacing w:after="0"/>
        <w:rPr>
          <w:sz w:val="20"/>
          <w:szCs w:val="20"/>
          <w:color w:val="auto"/>
        </w:rPr>
      </w:pPr>
      <w:r>
        <w:rPr>
          <w:rFonts w:ascii="Arial" w:cs="Arial" w:eastAsia="Arial" w:hAnsi="Arial"/>
          <w:sz w:val="10"/>
          <w:szCs w:val="10"/>
          <w:color w:val="auto"/>
        </w:rPr>
        <w:t>The results of operations for oil and gas producing activities are shown in the tables below. Taxes other than income tax include cash-paid royalties to governments outside North America.</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Shell subsidiaries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4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2020</w:t>
            </w:r>
          </w:p>
        </w:tc>
        <w:tc>
          <w:tcPr>
            <w:tcW w:w="740" w:type="dxa"/>
            <w:vAlign w:val="bottom"/>
            <w:tcBorders>
              <w:top w:val="single" w:sz="8" w:color="CDCDCD"/>
            </w:tcBorders>
          </w:tcPr>
          <w:p>
            <w:pPr>
              <w:spacing w:after="0"/>
              <w:rPr>
                <w:sz w:val="13"/>
                <w:szCs w:val="13"/>
                <w:color w:val="auto"/>
              </w:rPr>
            </w:pPr>
          </w:p>
        </w:tc>
        <w:tc>
          <w:tcPr>
            <w:tcW w:w="1040" w:type="dxa"/>
            <w:vAlign w:val="bottom"/>
            <w:tcBorders>
              <w:top w:val="single" w:sz="8" w:color="CDCDCD"/>
            </w:tcBorders>
          </w:tcPr>
          <w:p>
            <w:pPr>
              <w:spacing w:after="0"/>
              <w:rPr>
                <w:sz w:val="13"/>
                <w:szCs w:val="13"/>
                <w:color w:val="auto"/>
              </w:rPr>
            </w:pPr>
          </w:p>
        </w:tc>
        <w:tc>
          <w:tcPr>
            <w:tcW w:w="1040" w:type="dxa"/>
            <w:vAlign w:val="bottom"/>
            <w:tcBorders>
              <w:top w:val="single" w:sz="8" w:color="CDCDCD"/>
            </w:tcBorders>
          </w:tcPr>
          <w:p>
            <w:pPr>
              <w:spacing w:after="0"/>
              <w:rPr>
                <w:sz w:val="13"/>
                <w:szCs w:val="13"/>
                <w:color w:val="auto"/>
              </w:rPr>
            </w:pPr>
          </w:p>
        </w:tc>
        <w:tc>
          <w:tcPr>
            <w:tcW w:w="980" w:type="dxa"/>
            <w:vAlign w:val="bottom"/>
            <w:tcBorders>
              <w:top w:val="single" w:sz="8" w:color="CDCDCD"/>
            </w:tcBorders>
          </w:tcPr>
          <w:p>
            <w:pPr>
              <w:spacing w:after="0"/>
              <w:rPr>
                <w:sz w:val="13"/>
                <w:szCs w:val="13"/>
                <w:color w:val="auto"/>
              </w:rPr>
            </w:pPr>
          </w:p>
        </w:tc>
        <w:tc>
          <w:tcPr>
            <w:tcW w:w="620" w:type="dxa"/>
            <w:vAlign w:val="bottom"/>
            <w:tcBorders>
              <w:top w:val="single" w:sz="8" w:color="CDCDCD"/>
            </w:tcBorders>
          </w:tcPr>
          <w:p>
            <w:pPr>
              <w:spacing w:after="0"/>
              <w:rPr>
                <w:sz w:val="13"/>
                <w:szCs w:val="13"/>
                <w:color w:val="auto"/>
              </w:rPr>
            </w:pPr>
          </w:p>
        </w:tc>
        <w:tc>
          <w:tcPr>
            <w:tcW w:w="860" w:type="dxa"/>
            <w:vAlign w:val="bottom"/>
            <w:tcBorders>
              <w:top w:val="single" w:sz="8" w:color="CDCDCD"/>
            </w:tcBorders>
          </w:tcPr>
          <w:p>
            <w:pPr>
              <w:spacing w:after="0"/>
              <w:rPr>
                <w:sz w:val="13"/>
                <w:szCs w:val="13"/>
                <w:color w:val="auto"/>
              </w:rPr>
            </w:pPr>
          </w:p>
        </w:tc>
        <w:tc>
          <w:tcPr>
            <w:tcW w:w="420" w:type="dxa"/>
            <w:vAlign w:val="bottom"/>
            <w:tcBorders>
              <w:top w:val="single" w:sz="8" w:color="CDCDCD"/>
            </w:tcBorders>
          </w:tcPr>
          <w:p>
            <w:pPr>
              <w:spacing w:after="0"/>
              <w:rPr>
                <w:sz w:val="13"/>
                <w:szCs w:val="13"/>
                <w:color w:val="auto"/>
              </w:rPr>
            </w:pPr>
          </w:p>
        </w:tc>
        <w:tc>
          <w:tcPr>
            <w:tcW w:w="940" w:type="dxa"/>
            <w:vAlign w:val="bottom"/>
            <w:tcBorders>
              <w:top w:val="single" w:sz="8" w:color="CDCDCD"/>
            </w:tcBorders>
          </w:tcPr>
          <w:p>
            <w:pPr>
              <w:spacing w:after="0"/>
              <w:rPr>
                <w:sz w:val="13"/>
                <w:szCs w:val="13"/>
                <w:color w:val="auto"/>
              </w:rPr>
            </w:pPr>
          </w:p>
        </w:tc>
        <w:tc>
          <w:tcPr>
            <w:tcW w:w="380" w:type="dxa"/>
            <w:vAlign w:val="bottom"/>
            <w:tcBorders>
              <w:top w:val="single" w:sz="8" w:color="CDCDCD"/>
            </w:tcBorders>
          </w:tcPr>
          <w:p>
            <w:pPr>
              <w:spacing w:after="0"/>
              <w:rPr>
                <w:sz w:val="13"/>
                <w:szCs w:val="13"/>
                <w:color w:val="auto"/>
              </w:rPr>
            </w:pPr>
          </w:p>
        </w:tc>
        <w:tc>
          <w:tcPr>
            <w:tcW w:w="720" w:type="dxa"/>
            <w:vAlign w:val="bottom"/>
            <w:tcBorders>
              <w:top w:val="single" w:sz="8" w:color="CDCDCD"/>
            </w:tcBorders>
          </w:tcPr>
          <w:p>
            <w:pPr>
              <w:spacing w:after="0"/>
              <w:rPr>
                <w:sz w:val="13"/>
                <w:szCs w:val="13"/>
                <w:color w:val="auto"/>
              </w:rPr>
            </w:pPr>
          </w:p>
        </w:tc>
        <w:tc>
          <w:tcPr>
            <w:tcW w:w="160" w:type="dxa"/>
            <w:vAlign w:val="bottom"/>
            <w:tcBorders>
              <w:top w:val="single" w:sz="8" w:color="CDCDCD"/>
            </w:tcBorders>
          </w:tcPr>
          <w:p>
            <w:pPr>
              <w:spacing w:after="0"/>
              <w:rPr>
                <w:sz w:val="13"/>
                <w:szCs w:val="13"/>
                <w:color w:val="auto"/>
              </w:rPr>
            </w:pPr>
          </w:p>
        </w:tc>
        <w:tc>
          <w:tcPr>
            <w:tcW w:w="960" w:type="dxa"/>
            <w:vAlign w:val="bottom"/>
            <w:tcBorders>
              <w:top w:val="single" w:sz="8" w:color="CDCDCD"/>
            </w:tcBorders>
            <w:gridSpan w:val="2"/>
          </w:tcPr>
          <w:p>
            <w:pPr>
              <w:jc w:val="right"/>
              <w:ind w:right="20"/>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253"/>
        </w:trPr>
        <w:tc>
          <w:tcPr>
            <w:tcW w:w="2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3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0"/>
                <w:szCs w:val="10"/>
                <w:color w:val="auto"/>
              </w:rPr>
              <w:t>South</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24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color w:val="auto"/>
              </w:rPr>
              <w:t>Europe</w:t>
            </w:r>
          </w:p>
        </w:tc>
        <w:tc>
          <w:tcPr>
            <w:tcW w:w="104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color w:val="auto"/>
              </w:rPr>
              <w:t>Asia</w:t>
            </w: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Oceania</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Africa</w:t>
            </w:r>
          </w:p>
        </w:tc>
        <w:tc>
          <w:tcPr>
            <w:tcW w:w="8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USA</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Other [A]</w:t>
            </w: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America</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13"/>
        </w:trPr>
        <w:tc>
          <w:tcPr>
            <w:tcW w:w="3180" w:type="dxa"/>
            <w:vAlign w:val="bottom"/>
            <w:gridSpan w:val="2"/>
          </w:tcPr>
          <w:p>
            <w:pPr>
              <w:spacing w:after="0" w:line="113" w:lineRule="exact"/>
              <w:rPr>
                <w:sz w:val="20"/>
                <w:szCs w:val="20"/>
                <w:color w:val="auto"/>
              </w:rPr>
            </w:pPr>
            <w:r>
              <w:rPr>
                <w:rFonts w:ascii="Arial" w:cs="Arial" w:eastAsia="Arial" w:hAnsi="Arial"/>
                <w:sz w:val="10"/>
                <w:szCs w:val="10"/>
                <w:color w:val="auto"/>
              </w:rPr>
              <w:t>Revenue</w:t>
            </w: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180" w:type="dxa"/>
            <w:vAlign w:val="bottom"/>
            <w:gridSpan w:val="2"/>
          </w:tcPr>
          <w:p>
            <w:pPr>
              <w:ind w:left="220"/>
              <w:spacing w:after="0"/>
              <w:rPr>
                <w:sz w:val="20"/>
                <w:szCs w:val="20"/>
                <w:color w:val="auto"/>
              </w:rPr>
            </w:pPr>
            <w:r>
              <w:rPr>
                <w:rFonts w:ascii="Arial" w:cs="Arial" w:eastAsia="Arial" w:hAnsi="Arial"/>
                <w:sz w:val="10"/>
                <w:szCs w:val="10"/>
                <w:color w:val="auto"/>
              </w:rPr>
              <w:t>Third parties</w:t>
            </w:r>
          </w:p>
        </w:tc>
        <w:tc>
          <w:tcPr>
            <w:tcW w:w="1040" w:type="dxa"/>
            <w:vAlign w:val="bottom"/>
          </w:tcPr>
          <w:p>
            <w:pPr>
              <w:jc w:val="right"/>
              <w:ind w:right="672"/>
              <w:spacing w:after="0"/>
              <w:rPr>
                <w:sz w:val="20"/>
                <w:szCs w:val="20"/>
                <w:color w:val="auto"/>
              </w:rPr>
            </w:pPr>
            <w:r>
              <w:rPr>
                <w:rFonts w:ascii="Arial" w:cs="Arial" w:eastAsia="Arial" w:hAnsi="Arial"/>
                <w:sz w:val="10"/>
                <w:szCs w:val="10"/>
                <w:color w:val="auto"/>
              </w:rPr>
              <w:t>767</w:t>
            </w:r>
          </w:p>
        </w:tc>
        <w:tc>
          <w:tcPr>
            <w:tcW w:w="1040" w:type="dxa"/>
            <w:vAlign w:val="bottom"/>
          </w:tcPr>
          <w:p>
            <w:pPr>
              <w:jc w:val="right"/>
              <w:ind w:right="592"/>
              <w:spacing w:after="0"/>
              <w:rPr>
                <w:sz w:val="20"/>
                <w:szCs w:val="20"/>
                <w:color w:val="auto"/>
              </w:rPr>
            </w:pPr>
            <w:r>
              <w:rPr>
                <w:rFonts w:ascii="Arial" w:cs="Arial" w:eastAsia="Arial" w:hAnsi="Arial"/>
                <w:sz w:val="10"/>
                <w:szCs w:val="10"/>
                <w:color w:val="auto"/>
              </w:rPr>
              <w:t>2,104</w:t>
            </w:r>
          </w:p>
        </w:tc>
        <w:tc>
          <w:tcPr>
            <w:tcW w:w="980" w:type="dxa"/>
            <w:vAlign w:val="bottom"/>
          </w:tcPr>
          <w:p>
            <w:pPr>
              <w:jc w:val="right"/>
              <w:ind w:right="472"/>
              <w:spacing w:after="0"/>
              <w:rPr>
                <w:sz w:val="20"/>
                <w:szCs w:val="20"/>
                <w:color w:val="auto"/>
              </w:rPr>
            </w:pPr>
            <w:r>
              <w:rPr>
                <w:rFonts w:ascii="Arial" w:cs="Arial" w:eastAsia="Arial" w:hAnsi="Arial"/>
                <w:sz w:val="10"/>
                <w:szCs w:val="10"/>
                <w:color w:val="auto"/>
              </w:rPr>
              <w:t>589</w:t>
            </w:r>
          </w:p>
        </w:tc>
        <w:tc>
          <w:tcPr>
            <w:tcW w:w="620" w:type="dxa"/>
            <w:vAlign w:val="bottom"/>
          </w:tcPr>
          <w:p>
            <w:pPr>
              <w:jc w:val="right"/>
              <w:spacing w:after="0"/>
              <w:rPr>
                <w:sz w:val="20"/>
                <w:szCs w:val="20"/>
                <w:color w:val="auto"/>
              </w:rPr>
            </w:pPr>
            <w:r>
              <w:rPr>
                <w:rFonts w:ascii="Arial" w:cs="Arial" w:eastAsia="Arial" w:hAnsi="Arial"/>
                <w:sz w:val="10"/>
                <w:szCs w:val="10"/>
                <w:color w:val="auto"/>
              </w:rPr>
              <w:t>1,540</w:t>
            </w:r>
          </w:p>
        </w:tc>
        <w:tc>
          <w:tcPr>
            <w:tcW w:w="1280" w:type="dxa"/>
            <w:vAlign w:val="bottom"/>
            <w:gridSpan w:val="2"/>
          </w:tcPr>
          <w:p>
            <w:pPr>
              <w:jc w:val="right"/>
              <w:ind w:right="152"/>
              <w:spacing w:after="0"/>
              <w:rPr>
                <w:sz w:val="20"/>
                <w:szCs w:val="20"/>
                <w:color w:val="auto"/>
              </w:rPr>
            </w:pPr>
            <w:r>
              <w:rPr>
                <w:rFonts w:ascii="Arial" w:cs="Arial" w:eastAsia="Arial" w:hAnsi="Arial"/>
                <w:sz w:val="10"/>
                <w:szCs w:val="10"/>
                <w:color w:val="auto"/>
              </w:rPr>
              <w:t>1,008</w:t>
            </w:r>
          </w:p>
        </w:tc>
        <w:tc>
          <w:tcPr>
            <w:tcW w:w="940" w:type="dxa"/>
            <w:vAlign w:val="bottom"/>
          </w:tcPr>
          <w:p>
            <w:pPr>
              <w:jc w:val="right"/>
              <w:spacing w:after="0"/>
              <w:rPr>
                <w:sz w:val="20"/>
                <w:szCs w:val="20"/>
                <w:color w:val="auto"/>
              </w:rPr>
            </w:pPr>
            <w:r>
              <w:rPr>
                <w:rFonts w:ascii="Arial" w:cs="Arial" w:eastAsia="Arial" w:hAnsi="Arial"/>
                <w:sz w:val="10"/>
                <w:szCs w:val="10"/>
                <w:color w:val="auto"/>
              </w:rPr>
              <w:t>753</w:t>
            </w:r>
          </w:p>
        </w:tc>
        <w:tc>
          <w:tcPr>
            <w:tcW w:w="3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567</w:t>
            </w:r>
          </w:p>
        </w:tc>
        <w:tc>
          <w:tcPr>
            <w:tcW w:w="160" w:type="dxa"/>
            <w:vAlign w:val="bottom"/>
          </w:tcPr>
          <w:p>
            <w:pPr>
              <w:spacing w:after="0"/>
              <w:rPr>
                <w:sz w:val="10"/>
                <w:szCs w:val="1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0"/>
                <w:szCs w:val="10"/>
                <w:color w:val="auto"/>
              </w:rPr>
              <w:t>7,328</w:t>
            </w:r>
          </w:p>
        </w:tc>
        <w:tc>
          <w:tcPr>
            <w:tcW w:w="0" w:type="dxa"/>
            <w:vAlign w:val="bottom"/>
          </w:tcPr>
          <w:p>
            <w:pPr>
              <w:spacing w:after="0"/>
              <w:rPr>
                <w:sz w:val="1"/>
                <w:szCs w:val="1"/>
                <w:color w:val="auto"/>
              </w:rPr>
            </w:pPr>
          </w:p>
        </w:tc>
      </w:tr>
      <w:tr>
        <w:trPr>
          <w:trHeight w:val="130"/>
        </w:trPr>
        <w:tc>
          <w:tcPr>
            <w:tcW w:w="318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color w:val="auto"/>
              </w:rPr>
              <w:t>Sales between businesses</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color w:val="auto"/>
              </w:rPr>
              <w:t>2,879</w:t>
            </w: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6,360</w:t>
            </w: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1,951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1,816</w:t>
            </w:r>
          </w:p>
        </w:tc>
        <w:tc>
          <w:tcPr>
            <w:tcW w:w="12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0"/>
                <w:szCs w:val="10"/>
                <w:color w:val="auto"/>
              </w:rPr>
              <w:t>5,239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943</w:t>
            </w:r>
          </w:p>
        </w:tc>
        <w:tc>
          <w:tcPr>
            <w:tcW w:w="3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4,656</w:t>
            </w: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23,844</w:t>
            </w:r>
          </w:p>
        </w:tc>
        <w:tc>
          <w:tcPr>
            <w:tcW w:w="0" w:type="dxa"/>
            <w:vAlign w:val="bottom"/>
          </w:tcPr>
          <w:p>
            <w:pPr>
              <w:spacing w:after="0"/>
              <w:rPr>
                <w:sz w:val="1"/>
                <w:szCs w:val="1"/>
                <w:color w:val="auto"/>
              </w:rPr>
            </w:pPr>
          </w:p>
        </w:tc>
      </w:tr>
      <w:tr>
        <w:trPr>
          <w:trHeight w:val="117"/>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Total</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color w:val="auto"/>
              </w:rPr>
              <w:t>3,646</w:t>
            </w: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8,464</w:t>
            </w: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2,540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3,356</w:t>
            </w:r>
          </w:p>
        </w:tc>
        <w:tc>
          <w:tcPr>
            <w:tcW w:w="12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0"/>
                <w:szCs w:val="10"/>
                <w:color w:val="auto"/>
              </w:rPr>
              <w:t>6,247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1,696</w:t>
            </w:r>
          </w:p>
        </w:tc>
        <w:tc>
          <w:tcPr>
            <w:tcW w:w="3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5,223</w:t>
            </w: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31,172</w:t>
            </w:r>
          </w:p>
        </w:tc>
        <w:tc>
          <w:tcPr>
            <w:tcW w:w="0" w:type="dxa"/>
            <w:vAlign w:val="bottom"/>
          </w:tcPr>
          <w:p>
            <w:pPr>
              <w:spacing w:after="0"/>
              <w:rPr>
                <w:sz w:val="1"/>
                <w:szCs w:val="1"/>
                <w:color w:val="auto"/>
              </w:rPr>
            </w:pPr>
          </w:p>
        </w:tc>
      </w:tr>
      <w:tr>
        <w:trPr>
          <w:trHeight w:val="113"/>
        </w:trPr>
        <w:tc>
          <w:tcPr>
            <w:tcW w:w="3180" w:type="dxa"/>
            <w:vAlign w:val="bottom"/>
            <w:gridSpan w:val="2"/>
          </w:tcPr>
          <w:p>
            <w:pPr>
              <w:spacing w:after="0" w:line="113" w:lineRule="exact"/>
              <w:rPr>
                <w:sz w:val="20"/>
                <w:szCs w:val="20"/>
                <w:color w:val="auto"/>
              </w:rPr>
            </w:pPr>
            <w:r>
              <w:rPr>
                <w:rFonts w:ascii="Arial" w:cs="Arial" w:eastAsia="Arial" w:hAnsi="Arial"/>
                <w:sz w:val="10"/>
                <w:szCs w:val="10"/>
                <w:color w:val="auto"/>
              </w:rPr>
              <w:t>Production costs excluding taxes</w:t>
            </w:r>
          </w:p>
        </w:tc>
        <w:tc>
          <w:tcPr>
            <w:tcW w:w="1040" w:type="dxa"/>
            <w:vAlign w:val="bottom"/>
          </w:tcPr>
          <w:p>
            <w:pPr>
              <w:jc w:val="right"/>
              <w:ind w:right="672"/>
              <w:spacing w:after="0" w:line="113" w:lineRule="exact"/>
              <w:rPr>
                <w:sz w:val="20"/>
                <w:szCs w:val="20"/>
                <w:color w:val="auto"/>
              </w:rPr>
            </w:pPr>
            <w:r>
              <w:rPr>
                <w:rFonts w:ascii="Arial" w:cs="Arial" w:eastAsia="Arial" w:hAnsi="Arial"/>
                <w:sz w:val="10"/>
                <w:szCs w:val="10"/>
                <w:color w:val="auto"/>
              </w:rPr>
              <w:t>2,023</w:t>
            </w:r>
          </w:p>
        </w:tc>
        <w:tc>
          <w:tcPr>
            <w:tcW w:w="1040" w:type="dxa"/>
            <w:vAlign w:val="bottom"/>
          </w:tcPr>
          <w:p>
            <w:pPr>
              <w:jc w:val="right"/>
              <w:ind w:right="592"/>
              <w:spacing w:after="0" w:line="113" w:lineRule="exact"/>
              <w:rPr>
                <w:sz w:val="20"/>
                <w:szCs w:val="20"/>
                <w:color w:val="auto"/>
              </w:rPr>
            </w:pPr>
            <w:r>
              <w:rPr>
                <w:rFonts w:ascii="Arial" w:cs="Arial" w:eastAsia="Arial" w:hAnsi="Arial"/>
                <w:sz w:val="10"/>
                <w:szCs w:val="10"/>
                <w:color w:val="auto"/>
              </w:rPr>
              <w:t>1,811</w:t>
            </w:r>
          </w:p>
        </w:tc>
        <w:tc>
          <w:tcPr>
            <w:tcW w:w="980" w:type="dxa"/>
            <w:vAlign w:val="bottom"/>
          </w:tcPr>
          <w:p>
            <w:pPr>
              <w:jc w:val="right"/>
              <w:ind w:right="472"/>
              <w:spacing w:after="0" w:line="113" w:lineRule="exact"/>
              <w:rPr>
                <w:sz w:val="20"/>
                <w:szCs w:val="20"/>
                <w:color w:val="auto"/>
              </w:rPr>
            </w:pPr>
            <w:r>
              <w:rPr>
                <w:rFonts w:ascii="Arial" w:cs="Arial" w:eastAsia="Arial" w:hAnsi="Arial"/>
                <w:sz w:val="10"/>
                <w:szCs w:val="10"/>
                <w:color w:val="auto"/>
              </w:rPr>
              <w:t>1,040</w:t>
            </w:r>
          </w:p>
        </w:tc>
        <w:tc>
          <w:tcPr>
            <w:tcW w:w="620" w:type="dxa"/>
            <w:vAlign w:val="bottom"/>
          </w:tcPr>
          <w:p>
            <w:pPr>
              <w:jc w:val="right"/>
              <w:spacing w:after="0" w:line="113" w:lineRule="exact"/>
              <w:rPr>
                <w:sz w:val="20"/>
                <w:szCs w:val="20"/>
                <w:color w:val="auto"/>
              </w:rPr>
            </w:pPr>
            <w:r>
              <w:rPr>
                <w:rFonts w:ascii="Arial" w:cs="Arial" w:eastAsia="Arial" w:hAnsi="Arial"/>
                <w:sz w:val="10"/>
                <w:szCs w:val="10"/>
                <w:color w:val="auto"/>
              </w:rPr>
              <w:t>1,064</w:t>
            </w:r>
          </w:p>
        </w:tc>
        <w:tc>
          <w:tcPr>
            <w:tcW w:w="1280" w:type="dxa"/>
            <w:vAlign w:val="bottom"/>
            <w:gridSpan w:val="2"/>
          </w:tcPr>
          <w:p>
            <w:pPr>
              <w:jc w:val="right"/>
              <w:ind w:right="152"/>
              <w:spacing w:after="0" w:line="113" w:lineRule="exact"/>
              <w:rPr>
                <w:sz w:val="20"/>
                <w:szCs w:val="20"/>
                <w:color w:val="auto"/>
              </w:rPr>
            </w:pPr>
            <w:r>
              <w:rPr>
                <w:rFonts w:ascii="Arial" w:cs="Arial" w:eastAsia="Arial" w:hAnsi="Arial"/>
                <w:sz w:val="10"/>
                <w:szCs w:val="10"/>
                <w:color w:val="auto"/>
              </w:rPr>
              <w:t>2,615</w:t>
            </w:r>
          </w:p>
        </w:tc>
        <w:tc>
          <w:tcPr>
            <w:tcW w:w="940" w:type="dxa"/>
            <w:vAlign w:val="bottom"/>
          </w:tcPr>
          <w:p>
            <w:pPr>
              <w:jc w:val="right"/>
              <w:spacing w:after="0" w:line="113" w:lineRule="exact"/>
              <w:rPr>
                <w:sz w:val="20"/>
                <w:szCs w:val="20"/>
                <w:color w:val="auto"/>
              </w:rPr>
            </w:pPr>
            <w:r>
              <w:rPr>
                <w:rFonts w:ascii="Arial" w:cs="Arial" w:eastAsia="Arial" w:hAnsi="Arial"/>
                <w:sz w:val="10"/>
                <w:szCs w:val="10"/>
                <w:color w:val="auto"/>
              </w:rPr>
              <w:t>735</w:t>
            </w:r>
          </w:p>
        </w:tc>
        <w:tc>
          <w:tcPr>
            <w:tcW w:w="38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Arial" w:cs="Arial" w:eastAsia="Arial" w:hAnsi="Arial"/>
                <w:sz w:val="10"/>
                <w:szCs w:val="10"/>
                <w:color w:val="auto"/>
              </w:rPr>
              <w:t>936</w:t>
            </w:r>
          </w:p>
        </w:tc>
        <w:tc>
          <w:tcPr>
            <w:tcW w:w="160" w:type="dxa"/>
            <w:vAlign w:val="bottom"/>
          </w:tcPr>
          <w:p>
            <w:pPr>
              <w:spacing w:after="0"/>
              <w:rPr>
                <w:sz w:val="9"/>
                <w:szCs w:val="9"/>
                <w:color w:val="auto"/>
              </w:rPr>
            </w:pPr>
          </w:p>
        </w:tc>
        <w:tc>
          <w:tcPr>
            <w:tcW w:w="96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10,224</w:t>
            </w:r>
          </w:p>
        </w:tc>
        <w:tc>
          <w:tcPr>
            <w:tcW w:w="0" w:type="dxa"/>
            <w:vAlign w:val="bottom"/>
          </w:tcPr>
          <w:p>
            <w:pPr>
              <w:spacing w:after="0"/>
              <w:rPr>
                <w:sz w:val="1"/>
                <w:szCs w:val="1"/>
                <w:color w:val="auto"/>
              </w:rPr>
            </w:pPr>
          </w:p>
        </w:tc>
      </w:tr>
      <w:tr>
        <w:trPr>
          <w:trHeight w:val="123"/>
        </w:trPr>
        <w:tc>
          <w:tcPr>
            <w:tcW w:w="3180" w:type="dxa"/>
            <w:vAlign w:val="bottom"/>
            <w:gridSpan w:val="2"/>
          </w:tcPr>
          <w:p>
            <w:pPr>
              <w:spacing w:after="0"/>
              <w:rPr>
                <w:sz w:val="20"/>
                <w:szCs w:val="20"/>
                <w:color w:val="auto"/>
              </w:rPr>
            </w:pPr>
            <w:r>
              <w:rPr>
                <w:rFonts w:ascii="Arial" w:cs="Arial" w:eastAsia="Arial" w:hAnsi="Arial"/>
                <w:sz w:val="10"/>
                <w:szCs w:val="10"/>
                <w:color w:val="auto"/>
              </w:rPr>
              <w:t>Taxes other than income tax</w:t>
            </w:r>
          </w:p>
        </w:tc>
        <w:tc>
          <w:tcPr>
            <w:tcW w:w="1040" w:type="dxa"/>
            <w:vAlign w:val="bottom"/>
          </w:tcPr>
          <w:p>
            <w:pPr>
              <w:jc w:val="right"/>
              <w:ind w:right="672"/>
              <w:spacing w:after="0"/>
              <w:rPr>
                <w:sz w:val="20"/>
                <w:szCs w:val="20"/>
                <w:color w:val="auto"/>
              </w:rPr>
            </w:pPr>
            <w:r>
              <w:rPr>
                <w:rFonts w:ascii="Arial" w:cs="Arial" w:eastAsia="Arial" w:hAnsi="Arial"/>
                <w:sz w:val="10"/>
                <w:szCs w:val="10"/>
                <w:color w:val="auto"/>
              </w:rPr>
              <w:t>64</w:t>
            </w:r>
          </w:p>
        </w:tc>
        <w:tc>
          <w:tcPr>
            <w:tcW w:w="1040" w:type="dxa"/>
            <w:vAlign w:val="bottom"/>
          </w:tcPr>
          <w:p>
            <w:pPr>
              <w:jc w:val="right"/>
              <w:ind w:right="592"/>
              <w:spacing w:after="0"/>
              <w:rPr>
                <w:sz w:val="20"/>
                <w:szCs w:val="20"/>
                <w:color w:val="auto"/>
              </w:rPr>
            </w:pPr>
            <w:r>
              <w:rPr>
                <w:rFonts w:ascii="Arial" w:cs="Arial" w:eastAsia="Arial" w:hAnsi="Arial"/>
                <w:sz w:val="10"/>
                <w:szCs w:val="10"/>
                <w:color w:val="auto"/>
              </w:rPr>
              <w:t>389</w:t>
            </w:r>
          </w:p>
        </w:tc>
        <w:tc>
          <w:tcPr>
            <w:tcW w:w="980" w:type="dxa"/>
            <w:vAlign w:val="bottom"/>
          </w:tcPr>
          <w:p>
            <w:pPr>
              <w:jc w:val="right"/>
              <w:ind w:right="472"/>
              <w:spacing w:after="0"/>
              <w:rPr>
                <w:sz w:val="20"/>
                <w:szCs w:val="20"/>
                <w:color w:val="auto"/>
              </w:rPr>
            </w:pPr>
            <w:r>
              <w:rPr>
                <w:rFonts w:ascii="Arial" w:cs="Arial" w:eastAsia="Arial" w:hAnsi="Arial"/>
                <w:sz w:val="10"/>
                <w:szCs w:val="10"/>
                <w:color w:val="auto"/>
              </w:rPr>
              <w:t>93</w:t>
            </w:r>
          </w:p>
        </w:tc>
        <w:tc>
          <w:tcPr>
            <w:tcW w:w="620" w:type="dxa"/>
            <w:vAlign w:val="bottom"/>
          </w:tcPr>
          <w:p>
            <w:pPr>
              <w:jc w:val="right"/>
              <w:spacing w:after="0"/>
              <w:rPr>
                <w:sz w:val="20"/>
                <w:szCs w:val="20"/>
                <w:color w:val="auto"/>
              </w:rPr>
            </w:pPr>
            <w:r>
              <w:rPr>
                <w:rFonts w:ascii="Arial" w:cs="Arial" w:eastAsia="Arial" w:hAnsi="Arial"/>
                <w:sz w:val="10"/>
                <w:szCs w:val="10"/>
                <w:color w:val="auto"/>
              </w:rPr>
              <w:t>245</w:t>
            </w:r>
          </w:p>
        </w:tc>
        <w:tc>
          <w:tcPr>
            <w:tcW w:w="1280" w:type="dxa"/>
            <w:vAlign w:val="bottom"/>
            <w:gridSpan w:val="2"/>
          </w:tcPr>
          <w:p>
            <w:pPr>
              <w:jc w:val="right"/>
              <w:ind w:right="152"/>
              <w:spacing w:after="0"/>
              <w:rPr>
                <w:sz w:val="20"/>
                <w:szCs w:val="20"/>
                <w:color w:val="auto"/>
              </w:rPr>
            </w:pPr>
            <w:r>
              <w:rPr>
                <w:rFonts w:ascii="Arial" w:cs="Arial" w:eastAsia="Arial" w:hAnsi="Arial"/>
                <w:sz w:val="10"/>
                <w:szCs w:val="10"/>
                <w:color w:val="auto"/>
              </w:rPr>
              <w:t>64</w:t>
            </w:r>
          </w:p>
        </w:tc>
        <w:tc>
          <w:tcPr>
            <w:tcW w:w="94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1,494</w:t>
            </w:r>
          </w:p>
        </w:tc>
        <w:tc>
          <w:tcPr>
            <w:tcW w:w="160" w:type="dxa"/>
            <w:vAlign w:val="bottom"/>
          </w:tcPr>
          <w:p>
            <w:pPr>
              <w:spacing w:after="0"/>
              <w:rPr>
                <w:sz w:val="10"/>
                <w:szCs w:val="1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0"/>
                <w:szCs w:val="10"/>
                <w:color w:val="auto"/>
              </w:rPr>
              <w:t>2,349</w:t>
            </w:r>
          </w:p>
        </w:tc>
        <w:tc>
          <w:tcPr>
            <w:tcW w:w="0" w:type="dxa"/>
            <w:vAlign w:val="bottom"/>
          </w:tcPr>
          <w:p>
            <w:pPr>
              <w:spacing w:after="0"/>
              <w:rPr>
                <w:sz w:val="1"/>
                <w:szCs w:val="1"/>
                <w:color w:val="auto"/>
              </w:rPr>
            </w:pPr>
          </w:p>
        </w:tc>
      </w:tr>
      <w:tr>
        <w:trPr>
          <w:trHeight w:val="126"/>
        </w:trPr>
        <w:tc>
          <w:tcPr>
            <w:tcW w:w="3180" w:type="dxa"/>
            <w:vAlign w:val="bottom"/>
            <w:gridSpan w:val="2"/>
          </w:tcPr>
          <w:p>
            <w:pPr>
              <w:spacing w:after="0"/>
              <w:rPr>
                <w:sz w:val="20"/>
                <w:szCs w:val="20"/>
                <w:color w:val="auto"/>
              </w:rPr>
            </w:pPr>
            <w:r>
              <w:rPr>
                <w:rFonts w:ascii="Arial" w:cs="Arial" w:eastAsia="Arial" w:hAnsi="Arial"/>
                <w:sz w:val="10"/>
                <w:szCs w:val="10"/>
                <w:color w:val="auto"/>
              </w:rPr>
              <w:t>Exploration</w:t>
            </w:r>
          </w:p>
        </w:tc>
        <w:tc>
          <w:tcPr>
            <w:tcW w:w="1040" w:type="dxa"/>
            <w:vAlign w:val="bottom"/>
          </w:tcPr>
          <w:p>
            <w:pPr>
              <w:jc w:val="right"/>
              <w:ind w:right="672"/>
              <w:spacing w:after="0"/>
              <w:rPr>
                <w:sz w:val="20"/>
                <w:szCs w:val="20"/>
                <w:color w:val="auto"/>
              </w:rPr>
            </w:pPr>
            <w:r>
              <w:rPr>
                <w:rFonts w:ascii="Arial" w:cs="Arial" w:eastAsia="Arial" w:hAnsi="Arial"/>
                <w:sz w:val="10"/>
                <w:szCs w:val="10"/>
                <w:color w:val="auto"/>
              </w:rPr>
              <w:t>256</w:t>
            </w:r>
          </w:p>
        </w:tc>
        <w:tc>
          <w:tcPr>
            <w:tcW w:w="1040" w:type="dxa"/>
            <w:vAlign w:val="bottom"/>
          </w:tcPr>
          <w:p>
            <w:pPr>
              <w:jc w:val="right"/>
              <w:ind w:right="592"/>
              <w:spacing w:after="0"/>
              <w:rPr>
                <w:sz w:val="20"/>
                <w:szCs w:val="20"/>
                <w:color w:val="auto"/>
              </w:rPr>
            </w:pPr>
            <w:r>
              <w:rPr>
                <w:rFonts w:ascii="Arial" w:cs="Arial" w:eastAsia="Arial" w:hAnsi="Arial"/>
                <w:sz w:val="10"/>
                <w:szCs w:val="10"/>
                <w:color w:val="auto"/>
              </w:rPr>
              <w:t>149</w:t>
            </w:r>
          </w:p>
        </w:tc>
        <w:tc>
          <w:tcPr>
            <w:tcW w:w="980" w:type="dxa"/>
            <w:vAlign w:val="bottom"/>
          </w:tcPr>
          <w:p>
            <w:pPr>
              <w:jc w:val="right"/>
              <w:ind w:right="472"/>
              <w:spacing w:after="0"/>
              <w:rPr>
                <w:sz w:val="20"/>
                <w:szCs w:val="20"/>
                <w:color w:val="auto"/>
              </w:rPr>
            </w:pPr>
            <w:r>
              <w:rPr>
                <w:rFonts w:ascii="Arial" w:cs="Arial" w:eastAsia="Arial" w:hAnsi="Arial"/>
                <w:sz w:val="10"/>
                <w:szCs w:val="10"/>
                <w:color w:val="auto"/>
              </w:rPr>
              <w:t>234</w:t>
            </w:r>
          </w:p>
        </w:tc>
        <w:tc>
          <w:tcPr>
            <w:tcW w:w="620" w:type="dxa"/>
            <w:vAlign w:val="bottom"/>
          </w:tcPr>
          <w:p>
            <w:pPr>
              <w:jc w:val="right"/>
              <w:spacing w:after="0"/>
              <w:rPr>
                <w:sz w:val="20"/>
                <w:szCs w:val="20"/>
                <w:color w:val="auto"/>
              </w:rPr>
            </w:pPr>
            <w:r>
              <w:rPr>
                <w:rFonts w:ascii="Arial" w:cs="Arial" w:eastAsia="Arial" w:hAnsi="Arial"/>
                <w:sz w:val="10"/>
                <w:szCs w:val="10"/>
                <w:color w:val="auto"/>
              </w:rPr>
              <w:t>202</w:t>
            </w:r>
          </w:p>
        </w:tc>
        <w:tc>
          <w:tcPr>
            <w:tcW w:w="1280" w:type="dxa"/>
            <w:vAlign w:val="bottom"/>
            <w:gridSpan w:val="2"/>
          </w:tcPr>
          <w:p>
            <w:pPr>
              <w:jc w:val="right"/>
              <w:ind w:right="152"/>
              <w:spacing w:after="0"/>
              <w:rPr>
                <w:sz w:val="20"/>
                <w:szCs w:val="20"/>
                <w:color w:val="auto"/>
              </w:rPr>
            </w:pPr>
            <w:r>
              <w:rPr>
                <w:rFonts w:ascii="Arial" w:cs="Arial" w:eastAsia="Arial" w:hAnsi="Arial"/>
                <w:sz w:val="10"/>
                <w:szCs w:val="10"/>
                <w:color w:val="auto"/>
              </w:rPr>
              <w:t>325</w:t>
            </w:r>
          </w:p>
        </w:tc>
        <w:tc>
          <w:tcPr>
            <w:tcW w:w="940" w:type="dxa"/>
            <w:vAlign w:val="bottom"/>
          </w:tcPr>
          <w:p>
            <w:pPr>
              <w:jc w:val="right"/>
              <w:spacing w:after="0"/>
              <w:rPr>
                <w:sz w:val="20"/>
                <w:szCs w:val="20"/>
                <w:color w:val="auto"/>
              </w:rPr>
            </w:pPr>
            <w:r>
              <w:rPr>
                <w:rFonts w:ascii="Arial" w:cs="Arial" w:eastAsia="Arial" w:hAnsi="Arial"/>
                <w:sz w:val="10"/>
                <w:szCs w:val="10"/>
                <w:color w:val="auto"/>
              </w:rPr>
              <w:t>108</w:t>
            </w:r>
          </w:p>
        </w:tc>
        <w:tc>
          <w:tcPr>
            <w:tcW w:w="3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473</w:t>
            </w:r>
          </w:p>
        </w:tc>
        <w:tc>
          <w:tcPr>
            <w:tcW w:w="160" w:type="dxa"/>
            <w:vAlign w:val="bottom"/>
          </w:tcPr>
          <w:p>
            <w:pPr>
              <w:spacing w:after="0"/>
              <w:rPr>
                <w:sz w:val="10"/>
                <w:szCs w:val="1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0"/>
                <w:szCs w:val="10"/>
                <w:color w:val="auto"/>
              </w:rPr>
              <w:t>1,747</w:t>
            </w:r>
          </w:p>
        </w:tc>
        <w:tc>
          <w:tcPr>
            <w:tcW w:w="0" w:type="dxa"/>
            <w:vAlign w:val="bottom"/>
          </w:tcPr>
          <w:p>
            <w:pPr>
              <w:spacing w:after="0"/>
              <w:rPr>
                <w:sz w:val="1"/>
                <w:szCs w:val="1"/>
                <w:color w:val="auto"/>
              </w:rPr>
            </w:pPr>
          </w:p>
        </w:tc>
      </w:tr>
      <w:tr>
        <w:trPr>
          <w:trHeight w:val="126"/>
        </w:trPr>
        <w:tc>
          <w:tcPr>
            <w:tcW w:w="3180" w:type="dxa"/>
            <w:vAlign w:val="bottom"/>
            <w:gridSpan w:val="2"/>
          </w:tcPr>
          <w:p>
            <w:pPr>
              <w:spacing w:after="0"/>
              <w:rPr>
                <w:sz w:val="20"/>
                <w:szCs w:val="20"/>
                <w:color w:val="auto"/>
              </w:rPr>
            </w:pPr>
            <w:r>
              <w:rPr>
                <w:rFonts w:ascii="Arial" w:cs="Arial" w:eastAsia="Arial" w:hAnsi="Arial"/>
                <w:sz w:val="10"/>
                <w:szCs w:val="10"/>
                <w:color w:val="auto"/>
              </w:rPr>
              <w:t>Depreciation, depletion and amortisation</w:t>
            </w:r>
          </w:p>
        </w:tc>
        <w:tc>
          <w:tcPr>
            <w:tcW w:w="1040" w:type="dxa"/>
            <w:vAlign w:val="bottom"/>
          </w:tcPr>
          <w:p>
            <w:pPr>
              <w:jc w:val="right"/>
              <w:ind w:right="672"/>
              <w:spacing w:after="0"/>
              <w:rPr>
                <w:sz w:val="20"/>
                <w:szCs w:val="20"/>
                <w:color w:val="auto"/>
              </w:rPr>
            </w:pPr>
            <w:r>
              <w:rPr>
                <w:rFonts w:ascii="Arial" w:cs="Arial" w:eastAsia="Arial" w:hAnsi="Arial"/>
                <w:sz w:val="10"/>
                <w:szCs w:val="10"/>
                <w:color w:val="auto"/>
              </w:rPr>
              <w:t>3,618</w:t>
            </w:r>
          </w:p>
        </w:tc>
        <w:tc>
          <w:tcPr>
            <w:tcW w:w="1040" w:type="dxa"/>
            <w:vAlign w:val="bottom"/>
          </w:tcPr>
          <w:p>
            <w:pPr>
              <w:jc w:val="right"/>
              <w:ind w:right="592"/>
              <w:spacing w:after="0"/>
              <w:rPr>
                <w:sz w:val="20"/>
                <w:szCs w:val="20"/>
                <w:color w:val="auto"/>
              </w:rPr>
            </w:pPr>
            <w:r>
              <w:rPr>
                <w:rFonts w:ascii="Arial" w:cs="Arial" w:eastAsia="Arial" w:hAnsi="Arial"/>
                <w:sz w:val="10"/>
                <w:szCs w:val="10"/>
                <w:color w:val="auto"/>
              </w:rPr>
              <w:t>2,120</w:t>
            </w:r>
          </w:p>
        </w:tc>
        <w:tc>
          <w:tcPr>
            <w:tcW w:w="980" w:type="dxa"/>
            <w:vAlign w:val="bottom"/>
          </w:tcPr>
          <w:p>
            <w:pPr>
              <w:jc w:val="right"/>
              <w:ind w:right="472"/>
              <w:spacing w:after="0"/>
              <w:rPr>
                <w:sz w:val="20"/>
                <w:szCs w:val="20"/>
                <w:color w:val="auto"/>
              </w:rPr>
            </w:pPr>
            <w:r>
              <w:rPr>
                <w:rFonts w:ascii="Arial" w:cs="Arial" w:eastAsia="Arial" w:hAnsi="Arial"/>
                <w:sz w:val="10"/>
                <w:szCs w:val="10"/>
                <w:color w:val="auto"/>
              </w:rPr>
              <w:t>10,178</w:t>
            </w:r>
          </w:p>
        </w:tc>
        <w:tc>
          <w:tcPr>
            <w:tcW w:w="620" w:type="dxa"/>
            <w:vAlign w:val="bottom"/>
          </w:tcPr>
          <w:p>
            <w:pPr>
              <w:jc w:val="right"/>
              <w:spacing w:after="0"/>
              <w:rPr>
                <w:sz w:val="20"/>
                <w:szCs w:val="20"/>
                <w:color w:val="auto"/>
              </w:rPr>
            </w:pPr>
            <w:r>
              <w:rPr>
                <w:rFonts w:ascii="Arial" w:cs="Arial" w:eastAsia="Arial" w:hAnsi="Arial"/>
                <w:sz w:val="10"/>
                <w:szCs w:val="10"/>
                <w:color w:val="auto"/>
              </w:rPr>
              <w:t>2,589</w:t>
            </w:r>
          </w:p>
        </w:tc>
        <w:tc>
          <w:tcPr>
            <w:tcW w:w="1280" w:type="dxa"/>
            <w:vAlign w:val="bottom"/>
            <w:gridSpan w:val="2"/>
          </w:tcPr>
          <w:p>
            <w:pPr>
              <w:jc w:val="right"/>
              <w:ind w:right="152"/>
              <w:spacing w:after="0"/>
              <w:rPr>
                <w:sz w:val="20"/>
                <w:szCs w:val="20"/>
                <w:color w:val="auto"/>
              </w:rPr>
            </w:pPr>
            <w:r>
              <w:rPr>
                <w:rFonts w:ascii="Arial" w:cs="Arial" w:eastAsia="Arial" w:hAnsi="Arial"/>
                <w:sz w:val="10"/>
                <w:szCs w:val="10"/>
                <w:color w:val="auto"/>
              </w:rPr>
              <w:t>7,927</w:t>
            </w:r>
          </w:p>
        </w:tc>
        <w:tc>
          <w:tcPr>
            <w:tcW w:w="940" w:type="dxa"/>
            <w:vAlign w:val="bottom"/>
          </w:tcPr>
          <w:p>
            <w:pPr>
              <w:jc w:val="right"/>
              <w:spacing w:after="0"/>
              <w:rPr>
                <w:sz w:val="20"/>
                <w:szCs w:val="20"/>
                <w:color w:val="auto"/>
              </w:rPr>
            </w:pPr>
            <w:r>
              <w:rPr>
                <w:rFonts w:ascii="Arial" w:cs="Arial" w:eastAsia="Arial" w:hAnsi="Arial"/>
                <w:sz w:val="10"/>
                <w:szCs w:val="10"/>
                <w:color w:val="auto"/>
              </w:rPr>
              <w:t>2,147</w:t>
            </w:r>
          </w:p>
        </w:tc>
        <w:tc>
          <w:tcPr>
            <w:tcW w:w="3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6,282</w:t>
            </w:r>
          </w:p>
        </w:tc>
        <w:tc>
          <w:tcPr>
            <w:tcW w:w="160" w:type="dxa"/>
            <w:vAlign w:val="bottom"/>
          </w:tcPr>
          <w:p>
            <w:pPr>
              <w:spacing w:after="0"/>
              <w:rPr>
                <w:sz w:val="10"/>
                <w:szCs w:val="1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0"/>
                <w:szCs w:val="10"/>
                <w:color w:val="auto"/>
              </w:rPr>
              <w:t>34,861</w:t>
            </w:r>
          </w:p>
        </w:tc>
        <w:tc>
          <w:tcPr>
            <w:tcW w:w="0" w:type="dxa"/>
            <w:vAlign w:val="bottom"/>
          </w:tcPr>
          <w:p>
            <w:pPr>
              <w:spacing w:after="0"/>
              <w:rPr>
                <w:sz w:val="1"/>
                <w:szCs w:val="1"/>
                <w:color w:val="auto"/>
              </w:rPr>
            </w:pPr>
          </w:p>
        </w:tc>
      </w:tr>
      <w:tr>
        <w:trPr>
          <w:trHeight w:val="130"/>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 costs/(income)</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color w:val="auto"/>
              </w:rPr>
              <w:t>553</w:t>
            </w: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1,127</w:t>
            </w: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(981)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645</w:t>
            </w:r>
          </w:p>
        </w:tc>
        <w:tc>
          <w:tcPr>
            <w:tcW w:w="12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0"/>
                <w:szCs w:val="10"/>
                <w:color w:val="auto"/>
              </w:rPr>
              <w:t>230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631</w:t>
            </w:r>
          </w:p>
        </w:tc>
        <w:tc>
          <w:tcPr>
            <w:tcW w:w="3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w:t>
            </w: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2,366</w:t>
            </w:r>
          </w:p>
        </w:tc>
        <w:tc>
          <w:tcPr>
            <w:tcW w:w="0" w:type="dxa"/>
            <w:vAlign w:val="bottom"/>
          </w:tcPr>
          <w:p>
            <w:pPr>
              <w:spacing w:after="0"/>
              <w:rPr>
                <w:sz w:val="1"/>
                <w:szCs w:val="1"/>
                <w:color w:val="auto"/>
              </w:rPr>
            </w:pPr>
          </w:p>
        </w:tc>
      </w:tr>
      <w:tr>
        <w:trPr>
          <w:trHeight w:val="117"/>
        </w:trPr>
        <w:tc>
          <w:tcPr>
            <w:tcW w:w="3180" w:type="dxa"/>
            <w:vAlign w:val="bottom"/>
            <w:gridSpan w:val="2"/>
          </w:tcPr>
          <w:p>
            <w:pPr>
              <w:spacing w:after="0"/>
              <w:rPr>
                <w:sz w:val="20"/>
                <w:szCs w:val="20"/>
                <w:color w:val="auto"/>
              </w:rPr>
            </w:pPr>
            <w:r>
              <w:rPr>
                <w:rFonts w:ascii="Arial" w:cs="Arial" w:eastAsia="Arial" w:hAnsi="Arial"/>
                <w:sz w:val="10"/>
                <w:szCs w:val="10"/>
                <w:color w:val="auto"/>
              </w:rPr>
              <w:t>Earnings before taxation</w:t>
            </w:r>
          </w:p>
        </w:tc>
        <w:tc>
          <w:tcPr>
            <w:tcW w:w="1040" w:type="dxa"/>
            <w:vAlign w:val="bottom"/>
          </w:tcPr>
          <w:p>
            <w:pPr>
              <w:jc w:val="right"/>
              <w:ind w:right="652"/>
              <w:spacing w:after="0"/>
              <w:rPr>
                <w:sz w:val="20"/>
                <w:szCs w:val="20"/>
                <w:color w:val="auto"/>
              </w:rPr>
            </w:pPr>
            <w:r>
              <w:rPr>
                <w:rFonts w:ascii="Arial" w:cs="Arial" w:eastAsia="Arial" w:hAnsi="Arial"/>
                <w:sz w:val="10"/>
                <w:szCs w:val="10"/>
                <w:color w:val="auto"/>
              </w:rPr>
              <w:t>(2,868)</w:t>
            </w:r>
          </w:p>
        </w:tc>
        <w:tc>
          <w:tcPr>
            <w:tcW w:w="1040" w:type="dxa"/>
            <w:vAlign w:val="bottom"/>
          </w:tcPr>
          <w:p>
            <w:pPr>
              <w:jc w:val="right"/>
              <w:ind w:right="592"/>
              <w:spacing w:after="0"/>
              <w:rPr>
                <w:sz w:val="20"/>
                <w:szCs w:val="20"/>
                <w:color w:val="auto"/>
              </w:rPr>
            </w:pPr>
            <w:r>
              <w:rPr>
                <w:rFonts w:ascii="Arial" w:cs="Arial" w:eastAsia="Arial" w:hAnsi="Arial"/>
                <w:sz w:val="10"/>
                <w:szCs w:val="10"/>
                <w:color w:val="auto"/>
              </w:rPr>
              <w:t>2,868</w:t>
            </w:r>
          </w:p>
        </w:tc>
        <w:tc>
          <w:tcPr>
            <w:tcW w:w="980" w:type="dxa"/>
            <w:vAlign w:val="bottom"/>
          </w:tcPr>
          <w:p>
            <w:pPr>
              <w:jc w:val="right"/>
              <w:ind w:right="452"/>
              <w:spacing w:after="0"/>
              <w:rPr>
                <w:sz w:val="20"/>
                <w:szCs w:val="20"/>
                <w:color w:val="auto"/>
              </w:rPr>
            </w:pPr>
            <w:r>
              <w:rPr>
                <w:rFonts w:ascii="Arial" w:cs="Arial" w:eastAsia="Arial" w:hAnsi="Arial"/>
                <w:sz w:val="10"/>
                <w:szCs w:val="10"/>
                <w:color w:val="auto"/>
              </w:rPr>
              <w:t>(8,024)</w:t>
            </w:r>
          </w:p>
        </w:tc>
        <w:tc>
          <w:tcPr>
            <w:tcW w:w="620" w:type="dxa"/>
            <w:vAlign w:val="bottom"/>
          </w:tcPr>
          <w:p>
            <w:pPr>
              <w:jc w:val="right"/>
              <w:spacing w:after="0"/>
              <w:rPr>
                <w:sz w:val="20"/>
                <w:szCs w:val="20"/>
                <w:color w:val="auto"/>
              </w:rPr>
            </w:pPr>
            <w:r>
              <w:rPr>
                <w:rFonts w:ascii="Arial" w:cs="Arial" w:eastAsia="Arial" w:hAnsi="Arial"/>
                <w:sz w:val="10"/>
                <w:szCs w:val="10"/>
                <w:color w:val="auto"/>
              </w:rPr>
              <w:t>(1,389)</w:t>
            </w:r>
          </w:p>
        </w:tc>
        <w:tc>
          <w:tcPr>
            <w:tcW w:w="1280" w:type="dxa"/>
            <w:vAlign w:val="bottom"/>
            <w:gridSpan w:val="2"/>
          </w:tcPr>
          <w:p>
            <w:pPr>
              <w:jc w:val="right"/>
              <w:ind w:right="132"/>
              <w:spacing w:after="0"/>
              <w:rPr>
                <w:sz w:val="20"/>
                <w:szCs w:val="20"/>
                <w:color w:val="auto"/>
              </w:rPr>
            </w:pPr>
            <w:r>
              <w:rPr>
                <w:rFonts w:ascii="Arial" w:cs="Arial" w:eastAsia="Arial" w:hAnsi="Arial"/>
                <w:sz w:val="10"/>
                <w:szCs w:val="10"/>
                <w:color w:val="auto"/>
              </w:rPr>
              <w:t>(4,914)</w:t>
            </w:r>
          </w:p>
        </w:tc>
        <w:tc>
          <w:tcPr>
            <w:tcW w:w="940" w:type="dxa"/>
            <w:vAlign w:val="bottom"/>
          </w:tcPr>
          <w:p>
            <w:pPr>
              <w:jc w:val="right"/>
              <w:spacing w:after="0"/>
              <w:rPr>
                <w:sz w:val="20"/>
                <w:szCs w:val="20"/>
                <w:color w:val="auto"/>
              </w:rPr>
            </w:pPr>
            <w:r>
              <w:rPr>
                <w:rFonts w:ascii="Arial" w:cs="Arial" w:eastAsia="Arial" w:hAnsi="Arial"/>
                <w:sz w:val="10"/>
                <w:szCs w:val="10"/>
                <w:color w:val="auto"/>
              </w:rPr>
              <w:t>(1,925)</w:t>
            </w:r>
          </w:p>
        </w:tc>
        <w:tc>
          <w:tcPr>
            <w:tcW w:w="3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(4,123)</w:t>
            </w:r>
          </w:p>
        </w:tc>
        <w:tc>
          <w:tcPr>
            <w:tcW w:w="160" w:type="dxa"/>
            <w:vAlign w:val="bottom"/>
          </w:tcPr>
          <w:p>
            <w:pPr>
              <w:spacing w:after="0"/>
              <w:rPr>
                <w:sz w:val="10"/>
                <w:szCs w:val="1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0"/>
                <w:szCs w:val="10"/>
                <w:color w:val="auto"/>
              </w:rPr>
              <w:t>(20,375)</w:t>
            </w:r>
          </w:p>
        </w:tc>
        <w:tc>
          <w:tcPr>
            <w:tcW w:w="0" w:type="dxa"/>
            <w:vAlign w:val="bottom"/>
          </w:tcPr>
          <w:p>
            <w:pPr>
              <w:spacing w:after="0"/>
              <w:rPr>
                <w:sz w:val="1"/>
                <w:szCs w:val="1"/>
                <w:color w:val="auto"/>
              </w:rPr>
            </w:pPr>
          </w:p>
        </w:tc>
      </w:tr>
      <w:tr>
        <w:trPr>
          <w:trHeight w:val="115"/>
        </w:trPr>
        <w:tc>
          <w:tcPr>
            <w:tcW w:w="2440" w:type="dxa"/>
            <w:vAlign w:val="bottom"/>
            <w:tcBorders>
              <w:bottom w:val="single" w:sz="8" w:color="auto"/>
            </w:tcBorders>
          </w:tcPr>
          <w:p>
            <w:pPr>
              <w:spacing w:after="0" w:line="110" w:lineRule="exact"/>
              <w:rPr>
                <w:sz w:val="20"/>
                <w:szCs w:val="20"/>
                <w:color w:val="auto"/>
              </w:rPr>
            </w:pPr>
            <w:r>
              <w:rPr>
                <w:rFonts w:ascii="Arial" w:cs="Arial" w:eastAsia="Arial" w:hAnsi="Arial"/>
                <w:sz w:val="10"/>
                <w:szCs w:val="10"/>
                <w:color w:val="auto"/>
              </w:rPr>
              <w:t>Taxation charge/(credit)</w:t>
            </w:r>
          </w:p>
        </w:tc>
        <w:tc>
          <w:tcPr>
            <w:tcW w:w="74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0"/>
                <w:szCs w:val="10"/>
                <w:color w:val="auto"/>
              </w:rPr>
              <w:t>(423)</w:t>
            </w:r>
          </w:p>
        </w:tc>
        <w:tc>
          <w:tcPr>
            <w:tcW w:w="10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0"/>
                <w:szCs w:val="10"/>
                <w:color w:val="auto"/>
              </w:rPr>
              <w:t>1,854</w:t>
            </w:r>
          </w:p>
        </w:tc>
        <w:tc>
          <w:tcPr>
            <w:tcW w:w="9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0"/>
                <w:szCs w:val="10"/>
                <w:color w:val="auto"/>
              </w:rPr>
              <w:t>(3,175)</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(104)</w:t>
            </w:r>
          </w:p>
        </w:tc>
        <w:tc>
          <w:tcPr>
            <w:tcW w:w="1280" w:type="dxa"/>
            <w:vAlign w:val="bottom"/>
            <w:tcBorders>
              <w:top w:val="single" w:sz="8" w:color="auto"/>
              <w:bottom w:val="single" w:sz="8" w:color="auto"/>
            </w:tcBorders>
            <w:gridSpan w:val="2"/>
          </w:tcPr>
          <w:p>
            <w:pPr>
              <w:jc w:val="right"/>
              <w:ind w:right="132"/>
              <w:spacing w:after="0"/>
              <w:rPr>
                <w:sz w:val="20"/>
                <w:szCs w:val="20"/>
                <w:color w:val="auto"/>
              </w:rPr>
            </w:pPr>
            <w:r>
              <w:rPr>
                <w:rFonts w:ascii="Arial" w:cs="Arial" w:eastAsia="Arial" w:hAnsi="Arial"/>
                <w:sz w:val="10"/>
                <w:szCs w:val="10"/>
                <w:color w:val="auto"/>
              </w:rPr>
              <w:t>(790)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(449)</w:t>
            </w:r>
          </w:p>
        </w:tc>
        <w:tc>
          <w:tcPr>
            <w:tcW w:w="3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(300)</w:t>
            </w: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20"/>
              <w:spacing w:after="0" w:line="110" w:lineRule="exact"/>
              <w:rPr>
                <w:sz w:val="20"/>
                <w:szCs w:val="20"/>
                <w:color w:val="auto"/>
              </w:rPr>
            </w:pPr>
            <w:r>
              <w:rPr>
                <w:rFonts w:ascii="Arial" w:cs="Arial" w:eastAsia="Arial" w:hAnsi="Arial"/>
                <w:sz w:val="10"/>
                <w:szCs w:val="10"/>
                <w:color w:val="auto"/>
              </w:rPr>
              <w:t>(3,387)</w:t>
            </w:r>
          </w:p>
        </w:tc>
        <w:tc>
          <w:tcPr>
            <w:tcW w:w="0" w:type="dxa"/>
            <w:vAlign w:val="bottom"/>
          </w:tcPr>
          <w:p>
            <w:pPr>
              <w:spacing w:after="0"/>
              <w:rPr>
                <w:sz w:val="1"/>
                <w:szCs w:val="1"/>
                <w:color w:val="auto"/>
              </w:rPr>
            </w:pPr>
          </w:p>
        </w:tc>
      </w:tr>
      <w:tr>
        <w:trPr>
          <w:trHeight w:val="115"/>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Earnings after taxation</w:t>
            </w:r>
          </w:p>
        </w:tc>
        <w:tc>
          <w:tcPr>
            <w:tcW w:w="104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rPr>
              <w:t>(2,445)</w:t>
            </w: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1,014</w:t>
            </w: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(4,849)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(1,285)</w:t>
            </w:r>
          </w:p>
        </w:tc>
        <w:tc>
          <w:tcPr>
            <w:tcW w:w="12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0"/>
                <w:szCs w:val="10"/>
                <w:color w:val="auto"/>
              </w:rPr>
              <w:t>(4,124)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(1,476)</w:t>
            </w:r>
          </w:p>
        </w:tc>
        <w:tc>
          <w:tcPr>
            <w:tcW w:w="3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(3,823)</w:t>
            </w: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(16,988)</w:t>
            </w:r>
          </w:p>
        </w:tc>
        <w:tc>
          <w:tcPr>
            <w:tcW w:w="0" w:type="dxa"/>
            <w:vAlign w:val="bottom"/>
          </w:tcPr>
          <w:p>
            <w:pPr>
              <w:spacing w:after="0"/>
              <w:rPr>
                <w:sz w:val="1"/>
                <w:szCs w:val="1"/>
                <w:color w:val="auto"/>
              </w:rPr>
            </w:pPr>
          </w:p>
        </w:tc>
      </w:tr>
      <w:tr>
        <w:trPr>
          <w:trHeight w:val="128"/>
        </w:trPr>
        <w:tc>
          <w:tcPr>
            <w:tcW w:w="3180" w:type="dxa"/>
            <w:vAlign w:val="bottom"/>
            <w:gridSpan w:val="2"/>
          </w:tcPr>
          <w:p>
            <w:pPr>
              <w:spacing w:after="0"/>
              <w:rPr>
                <w:sz w:val="20"/>
                <w:szCs w:val="20"/>
                <w:color w:val="auto"/>
              </w:rPr>
            </w:pPr>
            <w:r>
              <w:rPr>
                <w:rFonts w:ascii="Arial" w:cs="Arial" w:eastAsia="Arial" w:hAnsi="Arial"/>
                <w:sz w:val="7"/>
                <w:szCs w:val="7"/>
                <w:color w:val="auto"/>
              </w:rPr>
              <w:t>[A] Comprises Canada and Mexico.</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40" w:type="dxa"/>
            <w:vAlign w:val="bottom"/>
            <w:tcBorders>
              <w:bottom w:val="single" w:sz="8" w:color="CDCDCD"/>
            </w:tcBorders>
          </w:tcPr>
          <w:p>
            <w:pPr>
              <w:spacing w:after="0"/>
              <w:rPr>
                <w:sz w:val="8"/>
                <w:szCs w:val="8"/>
                <w:color w:val="auto"/>
              </w:rPr>
            </w:pPr>
          </w:p>
        </w:tc>
        <w:tc>
          <w:tcPr>
            <w:tcW w:w="740" w:type="dxa"/>
            <w:vAlign w:val="bottom"/>
            <w:tcBorders>
              <w:bottom w:val="single" w:sz="8" w:color="CDCDCD"/>
            </w:tcBorders>
          </w:tcPr>
          <w:p>
            <w:pPr>
              <w:spacing w:after="0"/>
              <w:rPr>
                <w:sz w:val="8"/>
                <w:szCs w:val="8"/>
                <w:color w:val="auto"/>
              </w:rPr>
            </w:pPr>
          </w:p>
        </w:tc>
        <w:tc>
          <w:tcPr>
            <w:tcW w:w="1040" w:type="dxa"/>
            <w:vAlign w:val="bottom"/>
            <w:tcBorders>
              <w:bottom w:val="single" w:sz="8" w:color="CDCDCD"/>
            </w:tcBorders>
          </w:tcPr>
          <w:p>
            <w:pPr>
              <w:spacing w:after="0"/>
              <w:rPr>
                <w:sz w:val="8"/>
                <w:szCs w:val="8"/>
                <w:color w:val="auto"/>
              </w:rPr>
            </w:pPr>
          </w:p>
        </w:tc>
        <w:tc>
          <w:tcPr>
            <w:tcW w:w="1040" w:type="dxa"/>
            <w:vAlign w:val="bottom"/>
            <w:tcBorders>
              <w:bottom w:val="single" w:sz="8" w:color="CDCDCD"/>
            </w:tcBorders>
          </w:tcPr>
          <w:p>
            <w:pPr>
              <w:spacing w:after="0"/>
              <w:rPr>
                <w:sz w:val="8"/>
                <w:szCs w:val="8"/>
                <w:color w:val="auto"/>
              </w:rPr>
            </w:pPr>
          </w:p>
        </w:tc>
        <w:tc>
          <w:tcPr>
            <w:tcW w:w="980" w:type="dxa"/>
            <w:vAlign w:val="bottom"/>
            <w:tcBorders>
              <w:bottom w:val="single" w:sz="8" w:color="CDCDCD"/>
            </w:tcBorders>
          </w:tcPr>
          <w:p>
            <w:pPr>
              <w:spacing w:after="0"/>
              <w:rPr>
                <w:sz w:val="8"/>
                <w:szCs w:val="8"/>
                <w:color w:val="auto"/>
              </w:rPr>
            </w:pPr>
          </w:p>
        </w:tc>
        <w:tc>
          <w:tcPr>
            <w:tcW w:w="620" w:type="dxa"/>
            <w:vAlign w:val="bottom"/>
            <w:tcBorders>
              <w:bottom w:val="single" w:sz="8" w:color="CDCDCD"/>
            </w:tcBorders>
          </w:tcPr>
          <w:p>
            <w:pPr>
              <w:spacing w:after="0"/>
              <w:rPr>
                <w:sz w:val="8"/>
                <w:szCs w:val="8"/>
                <w:color w:val="auto"/>
              </w:rPr>
            </w:pPr>
          </w:p>
        </w:tc>
        <w:tc>
          <w:tcPr>
            <w:tcW w:w="860" w:type="dxa"/>
            <w:vAlign w:val="bottom"/>
            <w:tcBorders>
              <w:bottom w:val="single" w:sz="8" w:color="CDCDCD"/>
            </w:tcBorders>
          </w:tcPr>
          <w:p>
            <w:pPr>
              <w:spacing w:after="0"/>
              <w:rPr>
                <w:sz w:val="8"/>
                <w:szCs w:val="8"/>
                <w:color w:val="auto"/>
              </w:rPr>
            </w:pPr>
          </w:p>
        </w:tc>
        <w:tc>
          <w:tcPr>
            <w:tcW w:w="420" w:type="dxa"/>
            <w:vAlign w:val="bottom"/>
            <w:tcBorders>
              <w:bottom w:val="single" w:sz="8" w:color="CDCDCD"/>
            </w:tcBorders>
          </w:tcPr>
          <w:p>
            <w:pPr>
              <w:spacing w:after="0"/>
              <w:rPr>
                <w:sz w:val="8"/>
                <w:szCs w:val="8"/>
                <w:color w:val="auto"/>
              </w:rPr>
            </w:pPr>
          </w:p>
        </w:tc>
        <w:tc>
          <w:tcPr>
            <w:tcW w:w="940" w:type="dxa"/>
            <w:vAlign w:val="bottom"/>
            <w:tcBorders>
              <w:bottom w:val="single" w:sz="8" w:color="CDCDCD"/>
            </w:tcBorders>
          </w:tcPr>
          <w:p>
            <w:pPr>
              <w:spacing w:after="0"/>
              <w:rPr>
                <w:sz w:val="8"/>
                <w:szCs w:val="8"/>
                <w:color w:val="auto"/>
              </w:rPr>
            </w:pPr>
          </w:p>
        </w:tc>
        <w:tc>
          <w:tcPr>
            <w:tcW w:w="380" w:type="dxa"/>
            <w:vAlign w:val="bottom"/>
            <w:tcBorders>
              <w:bottom w:val="single" w:sz="8" w:color="CDCDCD"/>
            </w:tcBorders>
          </w:tcPr>
          <w:p>
            <w:pPr>
              <w:spacing w:after="0"/>
              <w:rPr>
                <w:sz w:val="8"/>
                <w:szCs w:val="8"/>
                <w:color w:val="auto"/>
              </w:rPr>
            </w:pPr>
          </w:p>
        </w:tc>
        <w:tc>
          <w:tcPr>
            <w:tcW w:w="720" w:type="dxa"/>
            <w:vAlign w:val="bottom"/>
            <w:tcBorders>
              <w:bottom w:val="single" w:sz="8" w:color="CDCDCD"/>
            </w:tcBorders>
          </w:tcPr>
          <w:p>
            <w:pPr>
              <w:spacing w:after="0"/>
              <w:rPr>
                <w:sz w:val="8"/>
                <w:szCs w:val="8"/>
                <w:color w:val="auto"/>
              </w:rPr>
            </w:pPr>
          </w:p>
        </w:tc>
        <w:tc>
          <w:tcPr>
            <w:tcW w:w="160" w:type="dxa"/>
            <w:vAlign w:val="bottom"/>
            <w:tcBorders>
              <w:bottom w:val="single" w:sz="8" w:color="CDCDCD"/>
            </w:tcBorders>
          </w:tcPr>
          <w:p>
            <w:pPr>
              <w:spacing w:after="0"/>
              <w:rPr>
                <w:sz w:val="8"/>
                <w:szCs w:val="8"/>
                <w:color w:val="auto"/>
              </w:rPr>
            </w:pPr>
          </w:p>
        </w:tc>
        <w:tc>
          <w:tcPr>
            <w:tcW w:w="880" w:type="dxa"/>
            <w:vAlign w:val="bottom"/>
            <w:tcBorders>
              <w:bottom w:val="single" w:sz="8" w:color="CDCDCD"/>
            </w:tcBorders>
          </w:tcPr>
          <w:p>
            <w:pPr>
              <w:spacing w:after="0"/>
              <w:rPr>
                <w:sz w:val="8"/>
                <w:szCs w:val="8"/>
                <w:color w:val="auto"/>
              </w:rPr>
            </w:pPr>
          </w:p>
        </w:tc>
        <w:tc>
          <w:tcPr>
            <w:tcW w:w="80" w:type="dxa"/>
            <w:vAlign w:val="bottom"/>
            <w:tcBorders>
              <w:bottom w:val="single" w:sz="8" w:color="CDCDCD"/>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440" w:type="dxa"/>
            <w:vAlign w:val="bottom"/>
          </w:tcPr>
          <w:p>
            <w:pPr>
              <w:spacing w:after="0"/>
              <w:rPr>
                <w:sz w:val="20"/>
                <w:szCs w:val="20"/>
                <w:color w:val="auto"/>
              </w:rPr>
            </w:pPr>
            <w:r>
              <w:rPr>
                <w:rFonts w:ascii="Arial" w:cs="Arial" w:eastAsia="Arial" w:hAnsi="Arial"/>
                <w:sz w:val="10"/>
                <w:szCs w:val="10"/>
                <w:color w:val="auto"/>
              </w:rPr>
              <w:t>2019</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77"/>
        </w:trPr>
        <w:tc>
          <w:tcPr>
            <w:tcW w:w="2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North America</w:t>
            </w:r>
          </w:p>
        </w:tc>
        <w:tc>
          <w:tcPr>
            <w:tcW w:w="3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South</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vMerge w:val="restart"/>
          </w:tcPr>
          <w:p>
            <w:pPr>
              <w:jc w:val="right"/>
              <w:ind w:right="632"/>
              <w:spacing w:after="0"/>
              <w:rPr>
                <w:sz w:val="20"/>
                <w:szCs w:val="20"/>
                <w:color w:val="auto"/>
              </w:rPr>
            </w:pPr>
            <w:r>
              <w:rPr>
                <w:rFonts w:ascii="Arial" w:cs="Arial" w:eastAsia="Arial" w:hAnsi="Arial"/>
                <w:sz w:val="10"/>
                <w:szCs w:val="10"/>
                <w:color w:val="auto"/>
              </w:rPr>
              <w:t>Europe</w:t>
            </w:r>
          </w:p>
        </w:tc>
        <w:tc>
          <w:tcPr>
            <w:tcW w:w="1040" w:type="dxa"/>
            <w:vAlign w:val="bottom"/>
            <w:vMerge w:val="restart"/>
          </w:tcPr>
          <w:p>
            <w:pPr>
              <w:jc w:val="right"/>
              <w:ind w:right="572"/>
              <w:spacing w:after="0"/>
              <w:rPr>
                <w:sz w:val="20"/>
                <w:szCs w:val="20"/>
                <w:color w:val="auto"/>
              </w:rPr>
            </w:pPr>
            <w:r>
              <w:rPr>
                <w:rFonts w:ascii="Arial" w:cs="Arial" w:eastAsia="Arial" w:hAnsi="Arial"/>
                <w:sz w:val="10"/>
                <w:szCs w:val="10"/>
                <w:color w:val="auto"/>
              </w:rPr>
              <w:t>Asia</w:t>
            </w:r>
          </w:p>
        </w:tc>
        <w:tc>
          <w:tcPr>
            <w:tcW w:w="980" w:type="dxa"/>
            <w:vAlign w:val="bottom"/>
            <w:vMerge w:val="restart"/>
          </w:tcPr>
          <w:p>
            <w:pPr>
              <w:jc w:val="right"/>
              <w:ind w:right="452"/>
              <w:spacing w:after="0"/>
              <w:rPr>
                <w:sz w:val="20"/>
                <w:szCs w:val="20"/>
                <w:color w:val="auto"/>
              </w:rPr>
            </w:pPr>
            <w:r>
              <w:rPr>
                <w:rFonts w:ascii="Arial" w:cs="Arial" w:eastAsia="Arial" w:hAnsi="Arial"/>
                <w:sz w:val="10"/>
                <w:szCs w:val="10"/>
                <w:color w:val="auto"/>
              </w:rPr>
              <w:t>Oceania</w:t>
            </w: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Africa</w:t>
            </w:r>
          </w:p>
        </w:tc>
        <w:tc>
          <w:tcPr>
            <w:tcW w:w="860" w:type="dxa"/>
            <w:vAlign w:val="bottom"/>
          </w:tcPr>
          <w:p>
            <w:pPr>
              <w:spacing w:after="0"/>
              <w:rPr>
                <w:sz w:val="2"/>
                <w:szCs w:val="2"/>
                <w:color w:val="auto"/>
              </w:rPr>
            </w:pPr>
          </w:p>
        </w:tc>
        <w:tc>
          <w:tcPr>
            <w:tcW w:w="420" w:type="dxa"/>
            <w:vAlign w:val="bottom"/>
            <w:vMerge w:val="restart"/>
          </w:tcPr>
          <w:p>
            <w:pPr>
              <w:jc w:val="right"/>
              <w:ind w:right="132"/>
              <w:spacing w:after="0"/>
              <w:rPr>
                <w:sz w:val="20"/>
                <w:szCs w:val="20"/>
                <w:color w:val="auto"/>
              </w:rPr>
            </w:pPr>
            <w:r>
              <w:rPr>
                <w:rFonts w:ascii="Arial" w:cs="Arial" w:eastAsia="Arial" w:hAnsi="Arial"/>
                <w:sz w:val="10"/>
                <w:szCs w:val="10"/>
                <w:color w:val="auto"/>
              </w:rPr>
              <w:t>USA</w:t>
            </w: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Other [A]</w:t>
            </w:r>
          </w:p>
        </w:tc>
        <w:tc>
          <w:tcPr>
            <w:tcW w:w="3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line="20" w:lineRule="exact"/>
              <w:rPr>
                <w:sz w:val="1"/>
                <w:szCs w:val="1"/>
                <w:color w:val="auto"/>
              </w:rPr>
            </w:pPr>
          </w:p>
        </w:tc>
      </w:tr>
      <w:tr>
        <w:trPr>
          <w:trHeight w:val="124"/>
        </w:trPr>
        <w:tc>
          <w:tcPr>
            <w:tcW w:w="24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America</w:t>
            </w:r>
          </w:p>
        </w:tc>
        <w:tc>
          <w:tcPr>
            <w:tcW w:w="96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180" w:type="dxa"/>
            <w:vAlign w:val="bottom"/>
            <w:gridSpan w:val="2"/>
          </w:tcPr>
          <w:p>
            <w:pPr>
              <w:spacing w:after="0" w:line="113" w:lineRule="exact"/>
              <w:rPr>
                <w:sz w:val="20"/>
                <w:szCs w:val="20"/>
                <w:color w:val="auto"/>
              </w:rPr>
            </w:pPr>
            <w:r>
              <w:rPr>
                <w:rFonts w:ascii="Arial" w:cs="Arial" w:eastAsia="Arial" w:hAnsi="Arial"/>
                <w:sz w:val="10"/>
                <w:szCs w:val="10"/>
                <w:color w:val="auto"/>
              </w:rPr>
              <w:t>Revenue</w:t>
            </w: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180" w:type="dxa"/>
            <w:vAlign w:val="bottom"/>
            <w:gridSpan w:val="2"/>
          </w:tcPr>
          <w:p>
            <w:pPr>
              <w:ind w:left="220"/>
              <w:spacing w:after="0"/>
              <w:rPr>
                <w:sz w:val="20"/>
                <w:szCs w:val="20"/>
                <w:color w:val="auto"/>
              </w:rPr>
            </w:pPr>
            <w:r>
              <w:rPr>
                <w:rFonts w:ascii="Arial" w:cs="Arial" w:eastAsia="Arial" w:hAnsi="Arial"/>
                <w:sz w:val="10"/>
                <w:szCs w:val="10"/>
                <w:color w:val="auto"/>
              </w:rPr>
              <w:t>Third parties</w:t>
            </w:r>
          </w:p>
        </w:tc>
        <w:tc>
          <w:tcPr>
            <w:tcW w:w="1040" w:type="dxa"/>
            <w:vAlign w:val="bottom"/>
          </w:tcPr>
          <w:p>
            <w:pPr>
              <w:jc w:val="right"/>
              <w:ind w:right="672"/>
              <w:spacing w:after="0"/>
              <w:rPr>
                <w:sz w:val="20"/>
                <w:szCs w:val="20"/>
                <w:color w:val="auto"/>
              </w:rPr>
            </w:pPr>
            <w:r>
              <w:rPr>
                <w:rFonts w:ascii="Arial" w:cs="Arial" w:eastAsia="Arial" w:hAnsi="Arial"/>
                <w:sz w:val="10"/>
                <w:szCs w:val="10"/>
                <w:color w:val="auto"/>
              </w:rPr>
              <w:t>1,257</w:t>
            </w:r>
          </w:p>
        </w:tc>
        <w:tc>
          <w:tcPr>
            <w:tcW w:w="1040" w:type="dxa"/>
            <w:vAlign w:val="bottom"/>
          </w:tcPr>
          <w:p>
            <w:pPr>
              <w:jc w:val="right"/>
              <w:ind w:right="592"/>
              <w:spacing w:after="0"/>
              <w:rPr>
                <w:sz w:val="20"/>
                <w:szCs w:val="20"/>
                <w:color w:val="auto"/>
              </w:rPr>
            </w:pPr>
            <w:r>
              <w:rPr>
                <w:rFonts w:ascii="Arial" w:cs="Arial" w:eastAsia="Arial" w:hAnsi="Arial"/>
                <w:sz w:val="10"/>
                <w:szCs w:val="10"/>
                <w:color w:val="auto"/>
              </w:rPr>
              <w:t>3,065</w:t>
            </w:r>
          </w:p>
        </w:tc>
        <w:tc>
          <w:tcPr>
            <w:tcW w:w="980" w:type="dxa"/>
            <w:vAlign w:val="bottom"/>
          </w:tcPr>
          <w:p>
            <w:pPr>
              <w:jc w:val="right"/>
              <w:ind w:right="472"/>
              <w:spacing w:after="0"/>
              <w:rPr>
                <w:sz w:val="20"/>
                <w:szCs w:val="20"/>
                <w:color w:val="auto"/>
              </w:rPr>
            </w:pPr>
            <w:r>
              <w:rPr>
                <w:rFonts w:ascii="Arial" w:cs="Arial" w:eastAsia="Arial" w:hAnsi="Arial"/>
                <w:sz w:val="10"/>
                <w:szCs w:val="10"/>
                <w:color w:val="auto"/>
              </w:rPr>
              <w:t>931</w:t>
            </w:r>
          </w:p>
        </w:tc>
        <w:tc>
          <w:tcPr>
            <w:tcW w:w="620" w:type="dxa"/>
            <w:vAlign w:val="bottom"/>
          </w:tcPr>
          <w:p>
            <w:pPr>
              <w:jc w:val="right"/>
              <w:spacing w:after="0"/>
              <w:rPr>
                <w:sz w:val="20"/>
                <w:szCs w:val="20"/>
                <w:color w:val="auto"/>
              </w:rPr>
            </w:pPr>
            <w:r>
              <w:rPr>
                <w:rFonts w:ascii="Arial" w:cs="Arial" w:eastAsia="Arial" w:hAnsi="Arial"/>
                <w:sz w:val="10"/>
                <w:szCs w:val="10"/>
                <w:color w:val="auto"/>
              </w:rPr>
              <w:t>1,936</w:t>
            </w:r>
          </w:p>
        </w:tc>
        <w:tc>
          <w:tcPr>
            <w:tcW w:w="1280" w:type="dxa"/>
            <w:vAlign w:val="bottom"/>
            <w:gridSpan w:val="2"/>
          </w:tcPr>
          <w:p>
            <w:pPr>
              <w:jc w:val="right"/>
              <w:ind w:right="152"/>
              <w:spacing w:after="0"/>
              <w:rPr>
                <w:sz w:val="20"/>
                <w:szCs w:val="20"/>
                <w:color w:val="auto"/>
              </w:rPr>
            </w:pPr>
            <w:r>
              <w:rPr>
                <w:rFonts w:ascii="Arial" w:cs="Arial" w:eastAsia="Arial" w:hAnsi="Arial"/>
                <w:sz w:val="10"/>
                <w:szCs w:val="10"/>
                <w:color w:val="auto"/>
              </w:rPr>
              <w:t>2,638</w:t>
            </w:r>
          </w:p>
        </w:tc>
        <w:tc>
          <w:tcPr>
            <w:tcW w:w="940" w:type="dxa"/>
            <w:vAlign w:val="bottom"/>
          </w:tcPr>
          <w:p>
            <w:pPr>
              <w:jc w:val="right"/>
              <w:spacing w:after="0"/>
              <w:rPr>
                <w:sz w:val="20"/>
                <w:szCs w:val="20"/>
                <w:color w:val="auto"/>
              </w:rPr>
            </w:pPr>
            <w:r>
              <w:rPr>
                <w:rFonts w:ascii="Arial" w:cs="Arial" w:eastAsia="Arial" w:hAnsi="Arial"/>
                <w:sz w:val="10"/>
                <w:szCs w:val="10"/>
                <w:color w:val="auto"/>
              </w:rPr>
              <w:t>632</w:t>
            </w:r>
          </w:p>
        </w:tc>
        <w:tc>
          <w:tcPr>
            <w:tcW w:w="3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844</w:t>
            </w:r>
          </w:p>
        </w:tc>
        <w:tc>
          <w:tcPr>
            <w:tcW w:w="160" w:type="dxa"/>
            <w:vAlign w:val="bottom"/>
          </w:tcPr>
          <w:p>
            <w:pPr>
              <w:spacing w:after="0"/>
              <w:rPr>
                <w:sz w:val="10"/>
                <w:szCs w:val="1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0"/>
                <w:szCs w:val="10"/>
                <w:color w:val="auto"/>
              </w:rPr>
              <w:t>11,303</w:t>
            </w:r>
          </w:p>
        </w:tc>
        <w:tc>
          <w:tcPr>
            <w:tcW w:w="0" w:type="dxa"/>
            <w:vAlign w:val="bottom"/>
          </w:tcPr>
          <w:p>
            <w:pPr>
              <w:spacing w:after="0"/>
              <w:rPr>
                <w:sz w:val="1"/>
                <w:szCs w:val="1"/>
                <w:color w:val="auto"/>
              </w:rPr>
            </w:pPr>
          </w:p>
        </w:tc>
      </w:tr>
      <w:tr>
        <w:trPr>
          <w:trHeight w:val="130"/>
        </w:trPr>
        <w:tc>
          <w:tcPr>
            <w:tcW w:w="318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color w:val="auto"/>
              </w:rPr>
              <w:t>Sales between businesses</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color w:val="auto"/>
              </w:rPr>
              <w:t>4,911</w:t>
            </w: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10,526</w:t>
            </w: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4,719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3,289</w:t>
            </w:r>
          </w:p>
        </w:tc>
        <w:tc>
          <w:tcPr>
            <w:tcW w:w="12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0"/>
                <w:szCs w:val="10"/>
                <w:color w:val="auto"/>
              </w:rPr>
              <w:t>7,786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1,936</w:t>
            </w:r>
          </w:p>
        </w:tc>
        <w:tc>
          <w:tcPr>
            <w:tcW w:w="3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7,647</w:t>
            </w: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40,814</w:t>
            </w:r>
          </w:p>
        </w:tc>
        <w:tc>
          <w:tcPr>
            <w:tcW w:w="0" w:type="dxa"/>
            <w:vAlign w:val="bottom"/>
          </w:tcPr>
          <w:p>
            <w:pPr>
              <w:spacing w:after="0"/>
              <w:rPr>
                <w:sz w:val="1"/>
                <w:szCs w:val="1"/>
                <w:color w:val="auto"/>
              </w:rPr>
            </w:pPr>
          </w:p>
        </w:tc>
      </w:tr>
      <w:tr>
        <w:trPr>
          <w:trHeight w:val="117"/>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Total</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color w:val="auto"/>
              </w:rPr>
              <w:t>6,168</w:t>
            </w: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13,591</w:t>
            </w: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5,650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5,225</w:t>
            </w:r>
          </w:p>
        </w:tc>
        <w:tc>
          <w:tcPr>
            <w:tcW w:w="12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0"/>
                <w:szCs w:val="10"/>
                <w:color w:val="auto"/>
              </w:rPr>
              <w:t>10,424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2,568</w:t>
            </w:r>
          </w:p>
        </w:tc>
        <w:tc>
          <w:tcPr>
            <w:tcW w:w="3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8,491</w:t>
            </w: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52,117</w:t>
            </w:r>
          </w:p>
        </w:tc>
        <w:tc>
          <w:tcPr>
            <w:tcW w:w="0" w:type="dxa"/>
            <w:vAlign w:val="bottom"/>
          </w:tcPr>
          <w:p>
            <w:pPr>
              <w:spacing w:after="0"/>
              <w:rPr>
                <w:sz w:val="1"/>
                <w:szCs w:val="1"/>
                <w:color w:val="auto"/>
              </w:rPr>
            </w:pPr>
          </w:p>
        </w:tc>
      </w:tr>
      <w:tr>
        <w:trPr>
          <w:trHeight w:val="113"/>
        </w:trPr>
        <w:tc>
          <w:tcPr>
            <w:tcW w:w="3180" w:type="dxa"/>
            <w:vAlign w:val="bottom"/>
            <w:gridSpan w:val="2"/>
          </w:tcPr>
          <w:p>
            <w:pPr>
              <w:spacing w:after="0" w:line="113" w:lineRule="exact"/>
              <w:rPr>
                <w:sz w:val="20"/>
                <w:szCs w:val="20"/>
                <w:color w:val="auto"/>
              </w:rPr>
            </w:pPr>
            <w:r>
              <w:rPr>
                <w:rFonts w:ascii="Arial" w:cs="Arial" w:eastAsia="Arial" w:hAnsi="Arial"/>
                <w:sz w:val="10"/>
                <w:szCs w:val="10"/>
                <w:color w:val="auto"/>
              </w:rPr>
              <w:t>Production costs excluding taxes</w:t>
            </w:r>
          </w:p>
        </w:tc>
        <w:tc>
          <w:tcPr>
            <w:tcW w:w="1040" w:type="dxa"/>
            <w:vAlign w:val="bottom"/>
          </w:tcPr>
          <w:p>
            <w:pPr>
              <w:jc w:val="right"/>
              <w:ind w:right="672"/>
              <w:spacing w:after="0" w:line="113" w:lineRule="exact"/>
              <w:rPr>
                <w:sz w:val="20"/>
                <w:szCs w:val="20"/>
                <w:color w:val="auto"/>
              </w:rPr>
            </w:pPr>
            <w:r>
              <w:rPr>
                <w:rFonts w:ascii="Arial" w:cs="Arial" w:eastAsia="Arial" w:hAnsi="Arial"/>
                <w:sz w:val="10"/>
                <w:szCs w:val="10"/>
                <w:color w:val="auto"/>
              </w:rPr>
              <w:t>1,582</w:t>
            </w:r>
          </w:p>
        </w:tc>
        <w:tc>
          <w:tcPr>
            <w:tcW w:w="1040" w:type="dxa"/>
            <w:vAlign w:val="bottom"/>
          </w:tcPr>
          <w:p>
            <w:pPr>
              <w:jc w:val="right"/>
              <w:ind w:right="592"/>
              <w:spacing w:after="0" w:line="113" w:lineRule="exact"/>
              <w:rPr>
                <w:sz w:val="20"/>
                <w:szCs w:val="20"/>
                <w:color w:val="auto"/>
              </w:rPr>
            </w:pPr>
            <w:r>
              <w:rPr>
                <w:rFonts w:ascii="Arial" w:cs="Arial" w:eastAsia="Arial" w:hAnsi="Arial"/>
                <w:sz w:val="10"/>
                <w:szCs w:val="10"/>
                <w:color w:val="auto"/>
              </w:rPr>
              <w:t>2,065</w:t>
            </w:r>
          </w:p>
        </w:tc>
        <w:tc>
          <w:tcPr>
            <w:tcW w:w="980" w:type="dxa"/>
            <w:vAlign w:val="bottom"/>
          </w:tcPr>
          <w:p>
            <w:pPr>
              <w:jc w:val="right"/>
              <w:ind w:right="472"/>
              <w:spacing w:after="0" w:line="113" w:lineRule="exact"/>
              <w:rPr>
                <w:sz w:val="20"/>
                <w:szCs w:val="20"/>
                <w:color w:val="auto"/>
              </w:rPr>
            </w:pPr>
            <w:r>
              <w:rPr>
                <w:rFonts w:ascii="Arial" w:cs="Arial" w:eastAsia="Arial" w:hAnsi="Arial"/>
                <w:sz w:val="10"/>
                <w:szCs w:val="10"/>
                <w:color w:val="auto"/>
              </w:rPr>
              <w:t>1,178</w:t>
            </w:r>
          </w:p>
        </w:tc>
        <w:tc>
          <w:tcPr>
            <w:tcW w:w="620" w:type="dxa"/>
            <w:vAlign w:val="bottom"/>
          </w:tcPr>
          <w:p>
            <w:pPr>
              <w:jc w:val="right"/>
              <w:spacing w:after="0" w:line="113" w:lineRule="exact"/>
              <w:rPr>
                <w:sz w:val="20"/>
                <w:szCs w:val="20"/>
                <w:color w:val="auto"/>
              </w:rPr>
            </w:pPr>
            <w:r>
              <w:rPr>
                <w:rFonts w:ascii="Arial" w:cs="Arial" w:eastAsia="Arial" w:hAnsi="Arial"/>
                <w:sz w:val="10"/>
                <w:szCs w:val="10"/>
                <w:color w:val="auto"/>
              </w:rPr>
              <w:t>1,062</w:t>
            </w:r>
          </w:p>
        </w:tc>
        <w:tc>
          <w:tcPr>
            <w:tcW w:w="1280" w:type="dxa"/>
            <w:vAlign w:val="bottom"/>
            <w:gridSpan w:val="2"/>
          </w:tcPr>
          <w:p>
            <w:pPr>
              <w:jc w:val="right"/>
              <w:ind w:right="152"/>
              <w:spacing w:after="0" w:line="113" w:lineRule="exact"/>
              <w:rPr>
                <w:sz w:val="20"/>
                <w:szCs w:val="20"/>
                <w:color w:val="auto"/>
              </w:rPr>
            </w:pPr>
            <w:r>
              <w:rPr>
                <w:rFonts w:ascii="Arial" w:cs="Arial" w:eastAsia="Arial" w:hAnsi="Arial"/>
                <w:sz w:val="10"/>
                <w:szCs w:val="10"/>
                <w:color w:val="auto"/>
              </w:rPr>
              <w:t>2,807</w:t>
            </w:r>
          </w:p>
        </w:tc>
        <w:tc>
          <w:tcPr>
            <w:tcW w:w="940" w:type="dxa"/>
            <w:vAlign w:val="bottom"/>
          </w:tcPr>
          <w:p>
            <w:pPr>
              <w:jc w:val="right"/>
              <w:spacing w:after="0" w:line="113" w:lineRule="exact"/>
              <w:rPr>
                <w:sz w:val="20"/>
                <w:szCs w:val="20"/>
                <w:color w:val="auto"/>
              </w:rPr>
            </w:pPr>
            <w:r>
              <w:rPr>
                <w:rFonts w:ascii="Arial" w:cs="Arial" w:eastAsia="Arial" w:hAnsi="Arial"/>
                <w:sz w:val="10"/>
                <w:szCs w:val="10"/>
                <w:color w:val="auto"/>
              </w:rPr>
              <w:t>983</w:t>
            </w:r>
          </w:p>
        </w:tc>
        <w:tc>
          <w:tcPr>
            <w:tcW w:w="38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Arial" w:cs="Arial" w:eastAsia="Arial" w:hAnsi="Arial"/>
                <w:sz w:val="10"/>
                <w:szCs w:val="10"/>
                <w:color w:val="auto"/>
              </w:rPr>
              <w:t>1,135</w:t>
            </w:r>
          </w:p>
        </w:tc>
        <w:tc>
          <w:tcPr>
            <w:tcW w:w="160" w:type="dxa"/>
            <w:vAlign w:val="bottom"/>
          </w:tcPr>
          <w:p>
            <w:pPr>
              <w:spacing w:after="0"/>
              <w:rPr>
                <w:sz w:val="9"/>
                <w:szCs w:val="9"/>
                <w:color w:val="auto"/>
              </w:rPr>
            </w:pPr>
          </w:p>
        </w:tc>
        <w:tc>
          <w:tcPr>
            <w:tcW w:w="96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10,812</w:t>
            </w:r>
          </w:p>
        </w:tc>
        <w:tc>
          <w:tcPr>
            <w:tcW w:w="0" w:type="dxa"/>
            <w:vAlign w:val="bottom"/>
          </w:tcPr>
          <w:p>
            <w:pPr>
              <w:spacing w:after="0"/>
              <w:rPr>
                <w:sz w:val="1"/>
                <w:szCs w:val="1"/>
                <w:color w:val="auto"/>
              </w:rPr>
            </w:pPr>
          </w:p>
        </w:tc>
      </w:tr>
      <w:tr>
        <w:trPr>
          <w:trHeight w:val="123"/>
        </w:trPr>
        <w:tc>
          <w:tcPr>
            <w:tcW w:w="3180" w:type="dxa"/>
            <w:vAlign w:val="bottom"/>
            <w:gridSpan w:val="2"/>
          </w:tcPr>
          <w:p>
            <w:pPr>
              <w:spacing w:after="0"/>
              <w:rPr>
                <w:sz w:val="20"/>
                <w:szCs w:val="20"/>
                <w:color w:val="auto"/>
              </w:rPr>
            </w:pPr>
            <w:r>
              <w:rPr>
                <w:rFonts w:ascii="Arial" w:cs="Arial" w:eastAsia="Arial" w:hAnsi="Arial"/>
                <w:sz w:val="10"/>
                <w:szCs w:val="10"/>
                <w:color w:val="auto"/>
              </w:rPr>
              <w:t>Taxes other than income tax</w:t>
            </w:r>
          </w:p>
        </w:tc>
        <w:tc>
          <w:tcPr>
            <w:tcW w:w="1040" w:type="dxa"/>
            <w:vAlign w:val="bottom"/>
          </w:tcPr>
          <w:p>
            <w:pPr>
              <w:jc w:val="right"/>
              <w:ind w:right="672"/>
              <w:spacing w:after="0"/>
              <w:rPr>
                <w:sz w:val="20"/>
                <w:szCs w:val="20"/>
                <w:color w:val="auto"/>
              </w:rPr>
            </w:pPr>
            <w:r>
              <w:rPr>
                <w:rFonts w:ascii="Arial" w:cs="Arial" w:eastAsia="Arial" w:hAnsi="Arial"/>
                <w:sz w:val="10"/>
                <w:szCs w:val="10"/>
                <w:color w:val="auto"/>
              </w:rPr>
              <w:t>94</w:t>
            </w:r>
          </w:p>
        </w:tc>
        <w:tc>
          <w:tcPr>
            <w:tcW w:w="1040" w:type="dxa"/>
            <w:vAlign w:val="bottom"/>
          </w:tcPr>
          <w:p>
            <w:pPr>
              <w:jc w:val="right"/>
              <w:ind w:right="592"/>
              <w:spacing w:after="0"/>
              <w:rPr>
                <w:sz w:val="20"/>
                <w:szCs w:val="20"/>
                <w:color w:val="auto"/>
              </w:rPr>
            </w:pPr>
            <w:r>
              <w:rPr>
                <w:rFonts w:ascii="Arial" w:cs="Arial" w:eastAsia="Arial" w:hAnsi="Arial"/>
                <w:sz w:val="10"/>
                <w:szCs w:val="10"/>
                <w:color w:val="auto"/>
              </w:rPr>
              <w:t>749</w:t>
            </w:r>
          </w:p>
        </w:tc>
        <w:tc>
          <w:tcPr>
            <w:tcW w:w="980" w:type="dxa"/>
            <w:vAlign w:val="bottom"/>
          </w:tcPr>
          <w:p>
            <w:pPr>
              <w:jc w:val="right"/>
              <w:ind w:right="472"/>
              <w:spacing w:after="0"/>
              <w:rPr>
                <w:sz w:val="20"/>
                <w:szCs w:val="20"/>
                <w:color w:val="auto"/>
              </w:rPr>
            </w:pPr>
            <w:r>
              <w:rPr>
                <w:rFonts w:ascii="Arial" w:cs="Arial" w:eastAsia="Arial" w:hAnsi="Arial"/>
                <w:sz w:val="10"/>
                <w:szCs w:val="10"/>
                <w:color w:val="auto"/>
              </w:rPr>
              <w:t>136</w:t>
            </w:r>
          </w:p>
        </w:tc>
        <w:tc>
          <w:tcPr>
            <w:tcW w:w="620" w:type="dxa"/>
            <w:vAlign w:val="bottom"/>
          </w:tcPr>
          <w:p>
            <w:pPr>
              <w:jc w:val="right"/>
              <w:spacing w:after="0"/>
              <w:rPr>
                <w:sz w:val="20"/>
                <w:szCs w:val="20"/>
                <w:color w:val="auto"/>
              </w:rPr>
            </w:pPr>
            <w:r>
              <w:rPr>
                <w:rFonts w:ascii="Arial" w:cs="Arial" w:eastAsia="Arial" w:hAnsi="Arial"/>
                <w:sz w:val="10"/>
                <w:szCs w:val="10"/>
                <w:color w:val="auto"/>
              </w:rPr>
              <w:t>370</w:t>
            </w:r>
          </w:p>
        </w:tc>
        <w:tc>
          <w:tcPr>
            <w:tcW w:w="1280" w:type="dxa"/>
            <w:vAlign w:val="bottom"/>
            <w:gridSpan w:val="2"/>
          </w:tcPr>
          <w:p>
            <w:pPr>
              <w:jc w:val="right"/>
              <w:ind w:right="152"/>
              <w:spacing w:after="0"/>
              <w:rPr>
                <w:sz w:val="20"/>
                <w:szCs w:val="20"/>
                <w:color w:val="auto"/>
              </w:rPr>
            </w:pPr>
            <w:r>
              <w:rPr>
                <w:rFonts w:ascii="Arial" w:cs="Arial" w:eastAsia="Arial" w:hAnsi="Arial"/>
                <w:sz w:val="10"/>
                <w:szCs w:val="10"/>
                <w:color w:val="auto"/>
              </w:rPr>
              <w:t>103</w:t>
            </w:r>
          </w:p>
        </w:tc>
        <w:tc>
          <w:tcPr>
            <w:tcW w:w="94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2,613</w:t>
            </w:r>
          </w:p>
        </w:tc>
        <w:tc>
          <w:tcPr>
            <w:tcW w:w="160" w:type="dxa"/>
            <w:vAlign w:val="bottom"/>
          </w:tcPr>
          <w:p>
            <w:pPr>
              <w:spacing w:after="0"/>
              <w:rPr>
                <w:sz w:val="10"/>
                <w:szCs w:val="1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0"/>
                <w:szCs w:val="10"/>
                <w:color w:val="auto"/>
              </w:rPr>
              <w:t>4,065</w:t>
            </w:r>
          </w:p>
        </w:tc>
        <w:tc>
          <w:tcPr>
            <w:tcW w:w="0" w:type="dxa"/>
            <w:vAlign w:val="bottom"/>
          </w:tcPr>
          <w:p>
            <w:pPr>
              <w:spacing w:after="0"/>
              <w:rPr>
                <w:sz w:val="1"/>
                <w:szCs w:val="1"/>
                <w:color w:val="auto"/>
              </w:rPr>
            </w:pPr>
          </w:p>
        </w:tc>
      </w:tr>
      <w:tr>
        <w:trPr>
          <w:trHeight w:val="126"/>
        </w:trPr>
        <w:tc>
          <w:tcPr>
            <w:tcW w:w="3180" w:type="dxa"/>
            <w:vAlign w:val="bottom"/>
            <w:gridSpan w:val="2"/>
          </w:tcPr>
          <w:p>
            <w:pPr>
              <w:spacing w:after="0"/>
              <w:rPr>
                <w:sz w:val="20"/>
                <w:szCs w:val="20"/>
                <w:color w:val="auto"/>
              </w:rPr>
            </w:pPr>
            <w:r>
              <w:rPr>
                <w:rFonts w:ascii="Arial" w:cs="Arial" w:eastAsia="Arial" w:hAnsi="Arial"/>
                <w:sz w:val="10"/>
                <w:szCs w:val="10"/>
                <w:color w:val="auto"/>
              </w:rPr>
              <w:t>Exploration</w:t>
            </w:r>
          </w:p>
        </w:tc>
        <w:tc>
          <w:tcPr>
            <w:tcW w:w="1040" w:type="dxa"/>
            <w:vAlign w:val="bottom"/>
          </w:tcPr>
          <w:p>
            <w:pPr>
              <w:jc w:val="right"/>
              <w:ind w:right="672"/>
              <w:spacing w:after="0"/>
              <w:rPr>
                <w:sz w:val="20"/>
                <w:szCs w:val="20"/>
                <w:color w:val="auto"/>
              </w:rPr>
            </w:pPr>
            <w:r>
              <w:rPr>
                <w:rFonts w:ascii="Arial" w:cs="Arial" w:eastAsia="Arial" w:hAnsi="Arial"/>
                <w:sz w:val="10"/>
                <w:szCs w:val="10"/>
                <w:color w:val="auto"/>
              </w:rPr>
              <w:t>619</w:t>
            </w:r>
          </w:p>
        </w:tc>
        <w:tc>
          <w:tcPr>
            <w:tcW w:w="1040" w:type="dxa"/>
            <w:vAlign w:val="bottom"/>
          </w:tcPr>
          <w:p>
            <w:pPr>
              <w:jc w:val="right"/>
              <w:ind w:right="592"/>
              <w:spacing w:after="0"/>
              <w:rPr>
                <w:sz w:val="20"/>
                <w:szCs w:val="20"/>
                <w:color w:val="auto"/>
              </w:rPr>
            </w:pPr>
            <w:r>
              <w:rPr>
                <w:rFonts w:ascii="Arial" w:cs="Arial" w:eastAsia="Arial" w:hAnsi="Arial"/>
                <w:sz w:val="10"/>
                <w:szCs w:val="10"/>
                <w:color w:val="auto"/>
              </w:rPr>
              <w:t>583</w:t>
            </w:r>
          </w:p>
        </w:tc>
        <w:tc>
          <w:tcPr>
            <w:tcW w:w="980" w:type="dxa"/>
            <w:vAlign w:val="bottom"/>
          </w:tcPr>
          <w:p>
            <w:pPr>
              <w:jc w:val="right"/>
              <w:ind w:right="472"/>
              <w:spacing w:after="0"/>
              <w:rPr>
                <w:sz w:val="20"/>
                <w:szCs w:val="20"/>
                <w:color w:val="auto"/>
              </w:rPr>
            </w:pPr>
            <w:r>
              <w:rPr>
                <w:rFonts w:ascii="Arial" w:cs="Arial" w:eastAsia="Arial" w:hAnsi="Arial"/>
                <w:sz w:val="10"/>
                <w:szCs w:val="10"/>
                <w:color w:val="auto"/>
              </w:rPr>
              <w:t>107</w:t>
            </w:r>
          </w:p>
        </w:tc>
        <w:tc>
          <w:tcPr>
            <w:tcW w:w="620" w:type="dxa"/>
            <w:vAlign w:val="bottom"/>
          </w:tcPr>
          <w:p>
            <w:pPr>
              <w:jc w:val="right"/>
              <w:spacing w:after="0"/>
              <w:rPr>
                <w:sz w:val="20"/>
                <w:szCs w:val="20"/>
                <w:color w:val="auto"/>
              </w:rPr>
            </w:pPr>
            <w:r>
              <w:rPr>
                <w:rFonts w:ascii="Arial" w:cs="Arial" w:eastAsia="Arial" w:hAnsi="Arial"/>
                <w:sz w:val="10"/>
                <w:szCs w:val="10"/>
                <w:color w:val="auto"/>
              </w:rPr>
              <w:t>187</w:t>
            </w:r>
          </w:p>
        </w:tc>
        <w:tc>
          <w:tcPr>
            <w:tcW w:w="1280" w:type="dxa"/>
            <w:vAlign w:val="bottom"/>
            <w:gridSpan w:val="2"/>
          </w:tcPr>
          <w:p>
            <w:pPr>
              <w:jc w:val="right"/>
              <w:ind w:right="152"/>
              <w:spacing w:after="0"/>
              <w:rPr>
                <w:sz w:val="20"/>
                <w:szCs w:val="20"/>
                <w:color w:val="auto"/>
              </w:rPr>
            </w:pPr>
            <w:r>
              <w:rPr>
                <w:rFonts w:ascii="Arial" w:cs="Arial" w:eastAsia="Arial" w:hAnsi="Arial"/>
                <w:sz w:val="10"/>
                <w:szCs w:val="10"/>
                <w:color w:val="auto"/>
              </w:rPr>
              <w:t>411</w:t>
            </w:r>
          </w:p>
        </w:tc>
        <w:tc>
          <w:tcPr>
            <w:tcW w:w="940" w:type="dxa"/>
            <w:vAlign w:val="bottom"/>
          </w:tcPr>
          <w:p>
            <w:pPr>
              <w:jc w:val="right"/>
              <w:spacing w:after="0"/>
              <w:rPr>
                <w:sz w:val="20"/>
                <w:szCs w:val="20"/>
                <w:color w:val="auto"/>
              </w:rPr>
            </w:pPr>
            <w:r>
              <w:rPr>
                <w:rFonts w:ascii="Arial" w:cs="Arial" w:eastAsia="Arial" w:hAnsi="Arial"/>
                <w:sz w:val="10"/>
                <w:szCs w:val="10"/>
                <w:color w:val="auto"/>
              </w:rPr>
              <w:t>159</w:t>
            </w:r>
          </w:p>
        </w:tc>
        <w:tc>
          <w:tcPr>
            <w:tcW w:w="3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288</w:t>
            </w:r>
          </w:p>
        </w:tc>
        <w:tc>
          <w:tcPr>
            <w:tcW w:w="160" w:type="dxa"/>
            <w:vAlign w:val="bottom"/>
          </w:tcPr>
          <w:p>
            <w:pPr>
              <w:spacing w:after="0"/>
              <w:rPr>
                <w:sz w:val="10"/>
                <w:szCs w:val="1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0"/>
                <w:szCs w:val="10"/>
                <w:color w:val="auto"/>
              </w:rPr>
              <w:t>2,354</w:t>
            </w:r>
          </w:p>
        </w:tc>
        <w:tc>
          <w:tcPr>
            <w:tcW w:w="0" w:type="dxa"/>
            <w:vAlign w:val="bottom"/>
          </w:tcPr>
          <w:p>
            <w:pPr>
              <w:spacing w:after="0"/>
              <w:rPr>
                <w:sz w:val="1"/>
                <w:szCs w:val="1"/>
                <w:color w:val="auto"/>
              </w:rPr>
            </w:pPr>
          </w:p>
        </w:tc>
      </w:tr>
      <w:tr>
        <w:trPr>
          <w:trHeight w:val="126"/>
        </w:trPr>
        <w:tc>
          <w:tcPr>
            <w:tcW w:w="3180" w:type="dxa"/>
            <w:vAlign w:val="bottom"/>
            <w:gridSpan w:val="2"/>
          </w:tcPr>
          <w:p>
            <w:pPr>
              <w:spacing w:after="0"/>
              <w:rPr>
                <w:sz w:val="20"/>
                <w:szCs w:val="20"/>
                <w:color w:val="auto"/>
              </w:rPr>
            </w:pPr>
            <w:r>
              <w:rPr>
                <w:rFonts w:ascii="Arial" w:cs="Arial" w:eastAsia="Arial" w:hAnsi="Arial"/>
                <w:sz w:val="10"/>
                <w:szCs w:val="10"/>
                <w:color w:val="auto"/>
              </w:rPr>
              <w:t>Depreciation, depletion and amortisation</w:t>
            </w:r>
          </w:p>
        </w:tc>
        <w:tc>
          <w:tcPr>
            <w:tcW w:w="1040" w:type="dxa"/>
            <w:vAlign w:val="bottom"/>
          </w:tcPr>
          <w:p>
            <w:pPr>
              <w:jc w:val="right"/>
              <w:ind w:right="672"/>
              <w:spacing w:after="0"/>
              <w:rPr>
                <w:sz w:val="20"/>
                <w:szCs w:val="20"/>
                <w:color w:val="auto"/>
              </w:rPr>
            </w:pPr>
            <w:r>
              <w:rPr>
                <w:rFonts w:ascii="Arial" w:cs="Arial" w:eastAsia="Arial" w:hAnsi="Arial"/>
                <w:sz w:val="10"/>
                <w:szCs w:val="10"/>
                <w:color w:val="auto"/>
              </w:rPr>
              <w:t>2,604</w:t>
            </w:r>
          </w:p>
        </w:tc>
        <w:tc>
          <w:tcPr>
            <w:tcW w:w="1040" w:type="dxa"/>
            <w:vAlign w:val="bottom"/>
          </w:tcPr>
          <w:p>
            <w:pPr>
              <w:jc w:val="right"/>
              <w:ind w:right="592"/>
              <w:spacing w:after="0"/>
              <w:rPr>
                <w:sz w:val="20"/>
                <w:szCs w:val="20"/>
                <w:color w:val="auto"/>
              </w:rPr>
            </w:pPr>
            <w:r>
              <w:rPr>
                <w:rFonts w:ascii="Arial" w:cs="Arial" w:eastAsia="Arial" w:hAnsi="Arial"/>
                <w:sz w:val="10"/>
                <w:szCs w:val="10"/>
                <w:color w:val="auto"/>
              </w:rPr>
              <w:t>2,130</w:t>
            </w:r>
          </w:p>
        </w:tc>
        <w:tc>
          <w:tcPr>
            <w:tcW w:w="980" w:type="dxa"/>
            <w:vAlign w:val="bottom"/>
          </w:tcPr>
          <w:p>
            <w:pPr>
              <w:jc w:val="right"/>
              <w:ind w:right="472"/>
              <w:spacing w:after="0"/>
              <w:rPr>
                <w:sz w:val="20"/>
                <w:szCs w:val="20"/>
                <w:color w:val="auto"/>
              </w:rPr>
            </w:pPr>
            <w:r>
              <w:rPr>
                <w:rFonts w:ascii="Arial" w:cs="Arial" w:eastAsia="Arial" w:hAnsi="Arial"/>
                <w:sz w:val="10"/>
                <w:szCs w:val="10"/>
                <w:color w:val="auto"/>
              </w:rPr>
              <w:t>1,957</w:t>
            </w:r>
          </w:p>
        </w:tc>
        <w:tc>
          <w:tcPr>
            <w:tcW w:w="620" w:type="dxa"/>
            <w:vAlign w:val="bottom"/>
          </w:tcPr>
          <w:p>
            <w:pPr>
              <w:jc w:val="right"/>
              <w:spacing w:after="0"/>
              <w:rPr>
                <w:sz w:val="20"/>
                <w:szCs w:val="20"/>
                <w:color w:val="auto"/>
              </w:rPr>
            </w:pPr>
            <w:r>
              <w:rPr>
                <w:rFonts w:ascii="Arial" w:cs="Arial" w:eastAsia="Arial" w:hAnsi="Arial"/>
                <w:sz w:val="10"/>
                <w:szCs w:val="10"/>
                <w:color w:val="auto"/>
              </w:rPr>
              <w:t>1,354</w:t>
            </w:r>
          </w:p>
        </w:tc>
        <w:tc>
          <w:tcPr>
            <w:tcW w:w="1280" w:type="dxa"/>
            <w:vAlign w:val="bottom"/>
            <w:gridSpan w:val="2"/>
          </w:tcPr>
          <w:p>
            <w:pPr>
              <w:jc w:val="right"/>
              <w:ind w:right="152"/>
              <w:spacing w:after="0"/>
              <w:rPr>
                <w:sz w:val="20"/>
                <w:szCs w:val="20"/>
                <w:color w:val="auto"/>
              </w:rPr>
            </w:pPr>
            <w:r>
              <w:rPr>
                <w:rFonts w:ascii="Arial" w:cs="Arial" w:eastAsia="Arial" w:hAnsi="Arial"/>
                <w:sz w:val="10"/>
                <w:szCs w:val="10"/>
                <w:color w:val="auto"/>
              </w:rPr>
              <w:t>6,932</w:t>
            </w:r>
          </w:p>
        </w:tc>
        <w:tc>
          <w:tcPr>
            <w:tcW w:w="940" w:type="dxa"/>
            <w:vAlign w:val="bottom"/>
          </w:tcPr>
          <w:p>
            <w:pPr>
              <w:jc w:val="right"/>
              <w:spacing w:after="0"/>
              <w:rPr>
                <w:sz w:val="20"/>
                <w:szCs w:val="20"/>
                <w:color w:val="auto"/>
              </w:rPr>
            </w:pPr>
            <w:r>
              <w:rPr>
                <w:rFonts w:ascii="Arial" w:cs="Arial" w:eastAsia="Arial" w:hAnsi="Arial"/>
                <w:sz w:val="10"/>
                <w:szCs w:val="10"/>
                <w:color w:val="auto"/>
              </w:rPr>
              <w:t>858</w:t>
            </w:r>
          </w:p>
        </w:tc>
        <w:tc>
          <w:tcPr>
            <w:tcW w:w="3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3,929</w:t>
            </w:r>
          </w:p>
        </w:tc>
        <w:tc>
          <w:tcPr>
            <w:tcW w:w="160" w:type="dxa"/>
            <w:vAlign w:val="bottom"/>
          </w:tcPr>
          <w:p>
            <w:pPr>
              <w:spacing w:after="0"/>
              <w:rPr>
                <w:sz w:val="10"/>
                <w:szCs w:val="1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0"/>
                <w:szCs w:val="10"/>
                <w:color w:val="auto"/>
              </w:rPr>
              <w:t>19,764</w:t>
            </w:r>
          </w:p>
        </w:tc>
        <w:tc>
          <w:tcPr>
            <w:tcW w:w="0" w:type="dxa"/>
            <w:vAlign w:val="bottom"/>
          </w:tcPr>
          <w:p>
            <w:pPr>
              <w:spacing w:after="0"/>
              <w:rPr>
                <w:sz w:val="1"/>
                <w:szCs w:val="1"/>
                <w:color w:val="auto"/>
              </w:rPr>
            </w:pPr>
          </w:p>
        </w:tc>
      </w:tr>
      <w:tr>
        <w:trPr>
          <w:trHeight w:val="130"/>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 costs/(income)</w:t>
            </w:r>
          </w:p>
        </w:tc>
        <w:tc>
          <w:tcPr>
            <w:tcW w:w="104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rPr>
              <w:t>(20)</w:t>
            </w: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1,599</w:t>
            </w: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(105)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w:t>
            </w:r>
          </w:p>
        </w:tc>
        <w:tc>
          <w:tcPr>
            <w:tcW w:w="12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0"/>
                <w:szCs w:val="10"/>
                <w:color w:val="auto"/>
              </w:rPr>
              <w:t>(575)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818</w:t>
            </w:r>
          </w:p>
        </w:tc>
        <w:tc>
          <w:tcPr>
            <w:tcW w:w="3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1,379</w:t>
            </w: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3,217</w:t>
            </w:r>
          </w:p>
        </w:tc>
        <w:tc>
          <w:tcPr>
            <w:tcW w:w="0" w:type="dxa"/>
            <w:vAlign w:val="bottom"/>
          </w:tcPr>
          <w:p>
            <w:pPr>
              <w:spacing w:after="0"/>
              <w:rPr>
                <w:sz w:val="1"/>
                <w:szCs w:val="1"/>
                <w:color w:val="auto"/>
              </w:rPr>
            </w:pPr>
          </w:p>
        </w:tc>
      </w:tr>
      <w:tr>
        <w:trPr>
          <w:trHeight w:val="117"/>
        </w:trPr>
        <w:tc>
          <w:tcPr>
            <w:tcW w:w="3180" w:type="dxa"/>
            <w:vAlign w:val="bottom"/>
            <w:gridSpan w:val="2"/>
          </w:tcPr>
          <w:p>
            <w:pPr>
              <w:spacing w:after="0"/>
              <w:rPr>
                <w:sz w:val="20"/>
                <w:szCs w:val="20"/>
                <w:color w:val="auto"/>
              </w:rPr>
            </w:pPr>
            <w:r>
              <w:rPr>
                <w:rFonts w:ascii="Arial" w:cs="Arial" w:eastAsia="Arial" w:hAnsi="Arial"/>
                <w:sz w:val="10"/>
                <w:szCs w:val="10"/>
                <w:color w:val="auto"/>
              </w:rPr>
              <w:t>Earnings before taxation</w:t>
            </w:r>
          </w:p>
        </w:tc>
        <w:tc>
          <w:tcPr>
            <w:tcW w:w="1040" w:type="dxa"/>
            <w:vAlign w:val="bottom"/>
          </w:tcPr>
          <w:p>
            <w:pPr>
              <w:jc w:val="right"/>
              <w:ind w:right="672"/>
              <w:spacing w:after="0"/>
              <w:rPr>
                <w:sz w:val="20"/>
                <w:szCs w:val="20"/>
                <w:color w:val="auto"/>
              </w:rPr>
            </w:pPr>
            <w:r>
              <w:rPr>
                <w:rFonts w:ascii="Arial" w:cs="Arial" w:eastAsia="Arial" w:hAnsi="Arial"/>
                <w:sz w:val="10"/>
                <w:szCs w:val="10"/>
                <w:color w:val="auto"/>
              </w:rPr>
              <w:t>1,289</w:t>
            </w:r>
          </w:p>
        </w:tc>
        <w:tc>
          <w:tcPr>
            <w:tcW w:w="1040" w:type="dxa"/>
            <w:vAlign w:val="bottom"/>
          </w:tcPr>
          <w:p>
            <w:pPr>
              <w:jc w:val="right"/>
              <w:ind w:right="592"/>
              <w:spacing w:after="0"/>
              <w:rPr>
                <w:sz w:val="20"/>
                <w:szCs w:val="20"/>
                <w:color w:val="auto"/>
              </w:rPr>
            </w:pPr>
            <w:r>
              <w:rPr>
                <w:rFonts w:ascii="Arial" w:cs="Arial" w:eastAsia="Arial" w:hAnsi="Arial"/>
                <w:sz w:val="10"/>
                <w:szCs w:val="10"/>
                <w:color w:val="auto"/>
              </w:rPr>
              <w:t>6,465</w:t>
            </w:r>
          </w:p>
        </w:tc>
        <w:tc>
          <w:tcPr>
            <w:tcW w:w="980" w:type="dxa"/>
            <w:vAlign w:val="bottom"/>
          </w:tcPr>
          <w:p>
            <w:pPr>
              <w:jc w:val="right"/>
              <w:ind w:right="472"/>
              <w:spacing w:after="0"/>
              <w:rPr>
                <w:sz w:val="20"/>
                <w:szCs w:val="20"/>
                <w:color w:val="auto"/>
              </w:rPr>
            </w:pPr>
            <w:r>
              <w:rPr>
                <w:rFonts w:ascii="Arial" w:cs="Arial" w:eastAsia="Arial" w:hAnsi="Arial"/>
                <w:sz w:val="10"/>
                <w:szCs w:val="10"/>
                <w:color w:val="auto"/>
              </w:rPr>
              <w:t>2,377</w:t>
            </w:r>
          </w:p>
        </w:tc>
        <w:tc>
          <w:tcPr>
            <w:tcW w:w="620" w:type="dxa"/>
            <w:vAlign w:val="bottom"/>
          </w:tcPr>
          <w:p>
            <w:pPr>
              <w:jc w:val="right"/>
              <w:spacing w:after="0"/>
              <w:rPr>
                <w:sz w:val="20"/>
                <w:szCs w:val="20"/>
                <w:color w:val="auto"/>
              </w:rPr>
            </w:pPr>
            <w:r>
              <w:rPr>
                <w:rFonts w:ascii="Arial" w:cs="Arial" w:eastAsia="Arial" w:hAnsi="Arial"/>
                <w:sz w:val="10"/>
                <w:szCs w:val="10"/>
                <w:color w:val="auto"/>
              </w:rPr>
              <w:t>2,131</w:t>
            </w:r>
          </w:p>
        </w:tc>
        <w:tc>
          <w:tcPr>
            <w:tcW w:w="1280" w:type="dxa"/>
            <w:vAlign w:val="bottom"/>
            <w:gridSpan w:val="2"/>
          </w:tcPr>
          <w:p>
            <w:pPr>
              <w:jc w:val="right"/>
              <w:ind w:right="152"/>
              <w:spacing w:after="0"/>
              <w:rPr>
                <w:sz w:val="20"/>
                <w:szCs w:val="20"/>
                <w:color w:val="auto"/>
              </w:rPr>
            </w:pPr>
            <w:r>
              <w:rPr>
                <w:rFonts w:ascii="Arial" w:cs="Arial" w:eastAsia="Arial" w:hAnsi="Arial"/>
                <w:sz w:val="10"/>
                <w:szCs w:val="10"/>
                <w:color w:val="auto"/>
              </w:rPr>
              <w:t>746</w:t>
            </w:r>
          </w:p>
        </w:tc>
        <w:tc>
          <w:tcPr>
            <w:tcW w:w="940" w:type="dxa"/>
            <w:vAlign w:val="bottom"/>
          </w:tcPr>
          <w:p>
            <w:pPr>
              <w:jc w:val="right"/>
              <w:spacing w:after="0"/>
              <w:rPr>
                <w:sz w:val="20"/>
                <w:szCs w:val="20"/>
                <w:color w:val="auto"/>
              </w:rPr>
            </w:pPr>
            <w:r>
              <w:rPr>
                <w:rFonts w:ascii="Arial" w:cs="Arial" w:eastAsia="Arial" w:hAnsi="Arial"/>
                <w:sz w:val="10"/>
                <w:szCs w:val="10"/>
                <w:color w:val="auto"/>
              </w:rPr>
              <w:t>(250)</w:t>
            </w:r>
          </w:p>
        </w:tc>
        <w:tc>
          <w:tcPr>
            <w:tcW w:w="3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(853)</w:t>
            </w:r>
          </w:p>
        </w:tc>
        <w:tc>
          <w:tcPr>
            <w:tcW w:w="160" w:type="dxa"/>
            <w:vAlign w:val="bottom"/>
          </w:tcPr>
          <w:p>
            <w:pPr>
              <w:spacing w:after="0"/>
              <w:rPr>
                <w:sz w:val="10"/>
                <w:szCs w:val="1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0"/>
                <w:szCs w:val="10"/>
                <w:color w:val="auto"/>
              </w:rPr>
              <w:t>11,905</w:t>
            </w:r>
          </w:p>
        </w:tc>
        <w:tc>
          <w:tcPr>
            <w:tcW w:w="0" w:type="dxa"/>
            <w:vAlign w:val="bottom"/>
          </w:tcPr>
          <w:p>
            <w:pPr>
              <w:spacing w:after="0"/>
              <w:rPr>
                <w:sz w:val="1"/>
                <w:szCs w:val="1"/>
                <w:color w:val="auto"/>
              </w:rPr>
            </w:pPr>
          </w:p>
        </w:tc>
      </w:tr>
      <w:tr>
        <w:trPr>
          <w:trHeight w:val="115"/>
        </w:trPr>
        <w:tc>
          <w:tcPr>
            <w:tcW w:w="2440" w:type="dxa"/>
            <w:vAlign w:val="bottom"/>
            <w:tcBorders>
              <w:bottom w:val="single" w:sz="8" w:color="auto"/>
            </w:tcBorders>
          </w:tcPr>
          <w:p>
            <w:pPr>
              <w:spacing w:after="0" w:line="110" w:lineRule="exact"/>
              <w:rPr>
                <w:sz w:val="20"/>
                <w:szCs w:val="20"/>
                <w:color w:val="auto"/>
              </w:rPr>
            </w:pPr>
            <w:r>
              <w:rPr>
                <w:rFonts w:ascii="Arial" w:cs="Arial" w:eastAsia="Arial" w:hAnsi="Arial"/>
                <w:sz w:val="10"/>
                <w:szCs w:val="10"/>
                <w:color w:val="auto"/>
              </w:rPr>
              <w:t>Taxation charge/(credit)</w:t>
            </w:r>
          </w:p>
        </w:tc>
        <w:tc>
          <w:tcPr>
            <w:tcW w:w="74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0"/>
                <w:szCs w:val="10"/>
                <w:color w:val="auto"/>
              </w:rPr>
              <w:t>848</w:t>
            </w:r>
          </w:p>
        </w:tc>
        <w:tc>
          <w:tcPr>
            <w:tcW w:w="10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0"/>
                <w:szCs w:val="10"/>
                <w:color w:val="auto"/>
              </w:rPr>
              <w:t>4,013</w:t>
            </w:r>
          </w:p>
        </w:tc>
        <w:tc>
          <w:tcPr>
            <w:tcW w:w="9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0"/>
                <w:szCs w:val="10"/>
                <w:color w:val="auto"/>
              </w:rPr>
              <w:t>1,094</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1,431</w:t>
            </w:r>
          </w:p>
        </w:tc>
        <w:tc>
          <w:tcPr>
            <w:tcW w:w="1280" w:type="dxa"/>
            <w:vAlign w:val="bottom"/>
            <w:tcBorders>
              <w:top w:val="single" w:sz="8" w:color="auto"/>
              <w:bottom w:val="single" w:sz="8" w:color="auto"/>
            </w:tcBorders>
            <w:gridSpan w:val="2"/>
          </w:tcPr>
          <w:p>
            <w:pPr>
              <w:jc w:val="right"/>
              <w:ind w:right="152"/>
              <w:spacing w:after="0"/>
              <w:rPr>
                <w:sz w:val="20"/>
                <w:szCs w:val="20"/>
                <w:color w:val="auto"/>
              </w:rPr>
            </w:pPr>
            <w:r>
              <w:rPr>
                <w:rFonts w:ascii="Arial" w:cs="Arial" w:eastAsia="Arial" w:hAnsi="Arial"/>
                <w:sz w:val="10"/>
                <w:szCs w:val="10"/>
                <w:color w:val="auto"/>
              </w:rPr>
              <w:t>154</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(110)</w:t>
            </w:r>
          </w:p>
        </w:tc>
        <w:tc>
          <w:tcPr>
            <w:tcW w:w="3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(78)</w:t>
            </w: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40"/>
              <w:spacing w:after="0" w:line="110" w:lineRule="exact"/>
              <w:rPr>
                <w:sz w:val="20"/>
                <w:szCs w:val="20"/>
                <w:color w:val="auto"/>
              </w:rPr>
            </w:pPr>
            <w:r>
              <w:rPr>
                <w:rFonts w:ascii="Arial" w:cs="Arial" w:eastAsia="Arial" w:hAnsi="Arial"/>
                <w:sz w:val="10"/>
                <w:szCs w:val="10"/>
                <w:color w:val="auto"/>
              </w:rPr>
              <w:t>7,352</w:t>
            </w:r>
          </w:p>
        </w:tc>
        <w:tc>
          <w:tcPr>
            <w:tcW w:w="0" w:type="dxa"/>
            <w:vAlign w:val="bottom"/>
          </w:tcPr>
          <w:p>
            <w:pPr>
              <w:spacing w:after="0"/>
              <w:rPr>
                <w:sz w:val="1"/>
                <w:szCs w:val="1"/>
                <w:color w:val="auto"/>
              </w:rPr>
            </w:pPr>
          </w:p>
        </w:tc>
      </w:tr>
      <w:tr>
        <w:trPr>
          <w:trHeight w:val="115"/>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Earnings after taxation</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color w:val="auto"/>
              </w:rPr>
              <w:t>441</w:t>
            </w: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2,452</w:t>
            </w: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1,283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700</w:t>
            </w:r>
          </w:p>
        </w:tc>
        <w:tc>
          <w:tcPr>
            <w:tcW w:w="12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0"/>
                <w:szCs w:val="10"/>
                <w:color w:val="auto"/>
              </w:rPr>
              <w:t>592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(140)</w:t>
            </w:r>
          </w:p>
        </w:tc>
        <w:tc>
          <w:tcPr>
            <w:tcW w:w="3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(775)</w:t>
            </w: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4,553</w:t>
            </w:r>
          </w:p>
        </w:tc>
        <w:tc>
          <w:tcPr>
            <w:tcW w:w="0" w:type="dxa"/>
            <w:vAlign w:val="bottom"/>
          </w:tcPr>
          <w:p>
            <w:pPr>
              <w:spacing w:after="0"/>
              <w:rPr>
                <w:sz w:val="1"/>
                <w:szCs w:val="1"/>
                <w:color w:val="auto"/>
              </w:rPr>
            </w:pPr>
          </w:p>
        </w:tc>
      </w:tr>
      <w:tr>
        <w:trPr>
          <w:trHeight w:val="137"/>
        </w:trPr>
        <w:tc>
          <w:tcPr>
            <w:tcW w:w="3180" w:type="dxa"/>
            <w:vAlign w:val="bottom"/>
            <w:gridSpan w:val="2"/>
          </w:tcPr>
          <w:p>
            <w:pPr>
              <w:spacing w:after="0"/>
              <w:rPr>
                <w:sz w:val="20"/>
                <w:szCs w:val="20"/>
                <w:color w:val="auto"/>
              </w:rPr>
            </w:pPr>
            <w:r>
              <w:rPr>
                <w:rFonts w:ascii="Arial" w:cs="Arial" w:eastAsia="Arial" w:hAnsi="Arial"/>
                <w:sz w:val="7"/>
                <w:szCs w:val="7"/>
                <w:color w:val="auto"/>
              </w:rPr>
              <w:t>[A] Comprises Canada, Honduras and Mexico.</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44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2018</w:t>
            </w:r>
          </w:p>
        </w:tc>
        <w:tc>
          <w:tcPr>
            <w:tcW w:w="740" w:type="dxa"/>
            <w:vAlign w:val="bottom"/>
            <w:tcBorders>
              <w:top w:val="single" w:sz="8" w:color="CDCDCD"/>
            </w:tcBorders>
          </w:tcPr>
          <w:p>
            <w:pPr>
              <w:spacing w:after="0"/>
              <w:rPr>
                <w:sz w:val="10"/>
                <w:szCs w:val="10"/>
                <w:color w:val="auto"/>
              </w:rPr>
            </w:pPr>
          </w:p>
        </w:tc>
        <w:tc>
          <w:tcPr>
            <w:tcW w:w="1040" w:type="dxa"/>
            <w:vAlign w:val="bottom"/>
            <w:tcBorders>
              <w:top w:val="single" w:sz="8" w:color="CDCDCD"/>
            </w:tcBorders>
          </w:tcPr>
          <w:p>
            <w:pPr>
              <w:spacing w:after="0"/>
              <w:rPr>
                <w:sz w:val="10"/>
                <w:szCs w:val="10"/>
                <w:color w:val="auto"/>
              </w:rPr>
            </w:pPr>
          </w:p>
        </w:tc>
        <w:tc>
          <w:tcPr>
            <w:tcW w:w="1040" w:type="dxa"/>
            <w:vAlign w:val="bottom"/>
            <w:tcBorders>
              <w:top w:val="single" w:sz="8" w:color="CDCDCD"/>
            </w:tcBorders>
          </w:tcPr>
          <w:p>
            <w:pPr>
              <w:spacing w:after="0"/>
              <w:rPr>
                <w:sz w:val="10"/>
                <w:szCs w:val="10"/>
                <w:color w:val="auto"/>
              </w:rPr>
            </w:pPr>
          </w:p>
        </w:tc>
        <w:tc>
          <w:tcPr>
            <w:tcW w:w="980" w:type="dxa"/>
            <w:vAlign w:val="bottom"/>
            <w:tcBorders>
              <w:top w:val="single" w:sz="8" w:color="CDCDCD"/>
            </w:tcBorders>
          </w:tcPr>
          <w:p>
            <w:pPr>
              <w:spacing w:after="0"/>
              <w:rPr>
                <w:sz w:val="10"/>
                <w:szCs w:val="10"/>
                <w:color w:val="auto"/>
              </w:rPr>
            </w:pPr>
          </w:p>
        </w:tc>
        <w:tc>
          <w:tcPr>
            <w:tcW w:w="620" w:type="dxa"/>
            <w:vAlign w:val="bottom"/>
            <w:tcBorders>
              <w:top w:val="single" w:sz="8" w:color="CDCDCD"/>
            </w:tcBorders>
          </w:tcPr>
          <w:p>
            <w:pPr>
              <w:spacing w:after="0"/>
              <w:rPr>
                <w:sz w:val="10"/>
                <w:szCs w:val="10"/>
                <w:color w:val="auto"/>
              </w:rPr>
            </w:pPr>
          </w:p>
        </w:tc>
        <w:tc>
          <w:tcPr>
            <w:tcW w:w="860" w:type="dxa"/>
            <w:vAlign w:val="bottom"/>
            <w:tcBorders>
              <w:top w:val="single" w:sz="8" w:color="CDCDCD"/>
            </w:tcBorders>
          </w:tcPr>
          <w:p>
            <w:pPr>
              <w:spacing w:after="0"/>
              <w:rPr>
                <w:sz w:val="10"/>
                <w:szCs w:val="10"/>
                <w:color w:val="auto"/>
              </w:rPr>
            </w:pPr>
          </w:p>
        </w:tc>
        <w:tc>
          <w:tcPr>
            <w:tcW w:w="420" w:type="dxa"/>
            <w:vAlign w:val="bottom"/>
            <w:tcBorders>
              <w:top w:val="single" w:sz="8" w:color="CDCDCD"/>
            </w:tcBorders>
          </w:tcPr>
          <w:p>
            <w:pPr>
              <w:spacing w:after="0"/>
              <w:rPr>
                <w:sz w:val="10"/>
                <w:szCs w:val="10"/>
                <w:color w:val="auto"/>
              </w:rPr>
            </w:pPr>
          </w:p>
        </w:tc>
        <w:tc>
          <w:tcPr>
            <w:tcW w:w="940" w:type="dxa"/>
            <w:vAlign w:val="bottom"/>
            <w:tcBorders>
              <w:top w:val="single" w:sz="8" w:color="CDCDCD"/>
            </w:tcBorders>
          </w:tcPr>
          <w:p>
            <w:pPr>
              <w:spacing w:after="0"/>
              <w:rPr>
                <w:sz w:val="10"/>
                <w:szCs w:val="10"/>
                <w:color w:val="auto"/>
              </w:rPr>
            </w:pPr>
          </w:p>
        </w:tc>
        <w:tc>
          <w:tcPr>
            <w:tcW w:w="380" w:type="dxa"/>
            <w:vAlign w:val="bottom"/>
            <w:tcBorders>
              <w:top w:val="single" w:sz="8" w:color="CDCDCD"/>
            </w:tcBorders>
          </w:tcPr>
          <w:p>
            <w:pPr>
              <w:spacing w:after="0"/>
              <w:rPr>
                <w:sz w:val="10"/>
                <w:szCs w:val="10"/>
                <w:color w:val="auto"/>
              </w:rPr>
            </w:pPr>
          </w:p>
        </w:tc>
        <w:tc>
          <w:tcPr>
            <w:tcW w:w="720" w:type="dxa"/>
            <w:vAlign w:val="bottom"/>
            <w:tcBorders>
              <w:top w:val="single" w:sz="8" w:color="CDCDCD"/>
            </w:tcBorders>
          </w:tcPr>
          <w:p>
            <w:pPr>
              <w:spacing w:after="0"/>
              <w:rPr>
                <w:sz w:val="10"/>
                <w:szCs w:val="10"/>
                <w:color w:val="auto"/>
              </w:rPr>
            </w:pPr>
          </w:p>
        </w:tc>
        <w:tc>
          <w:tcPr>
            <w:tcW w:w="160" w:type="dxa"/>
            <w:vAlign w:val="bottom"/>
            <w:tcBorders>
              <w:top w:val="single" w:sz="8" w:color="CDCDCD"/>
            </w:tcBorders>
          </w:tcPr>
          <w:p>
            <w:pPr>
              <w:spacing w:after="0"/>
              <w:rPr>
                <w:sz w:val="10"/>
                <w:szCs w:val="10"/>
                <w:color w:val="auto"/>
              </w:rPr>
            </w:pPr>
          </w:p>
        </w:tc>
        <w:tc>
          <w:tcPr>
            <w:tcW w:w="88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North America</w:t>
            </w:r>
          </w:p>
        </w:tc>
        <w:tc>
          <w:tcPr>
            <w:tcW w:w="880" w:type="dxa"/>
            <w:vAlign w:val="bottom"/>
            <w:gridSpan w:val="2"/>
          </w:tcPr>
          <w:p>
            <w:pPr>
              <w:jc w:val="right"/>
              <w:ind w:right="20"/>
              <w:spacing w:after="0"/>
              <w:rPr>
                <w:sz w:val="20"/>
                <w:szCs w:val="20"/>
                <w:color w:val="auto"/>
              </w:rPr>
            </w:pPr>
            <w:r>
              <w:rPr>
                <w:rFonts w:ascii="Arial" w:cs="Arial" w:eastAsia="Arial" w:hAnsi="Arial"/>
                <w:sz w:val="10"/>
                <w:szCs w:val="10"/>
                <w:color w:val="auto"/>
              </w:rPr>
              <w:t>South</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Europe</w:t>
            </w:r>
          </w:p>
        </w:tc>
        <w:tc>
          <w:tcPr>
            <w:tcW w:w="980" w:type="dxa"/>
            <w:vAlign w:val="bottom"/>
          </w:tcPr>
          <w:p>
            <w:pPr>
              <w:jc w:val="right"/>
              <w:ind w:right="232"/>
              <w:spacing w:after="0"/>
              <w:rPr>
                <w:sz w:val="20"/>
                <w:szCs w:val="20"/>
                <w:color w:val="auto"/>
              </w:rPr>
            </w:pPr>
            <w:r>
              <w:rPr>
                <w:rFonts w:ascii="Arial" w:cs="Arial" w:eastAsia="Arial" w:hAnsi="Arial"/>
                <w:sz w:val="10"/>
                <w:szCs w:val="10"/>
                <w:color w:val="auto"/>
              </w:rPr>
              <w:t>Asia</w:t>
            </w:r>
          </w:p>
        </w:tc>
        <w:tc>
          <w:tcPr>
            <w:tcW w:w="620" w:type="dxa"/>
            <w:vAlign w:val="bottom"/>
          </w:tcPr>
          <w:p>
            <w:pPr>
              <w:jc w:val="right"/>
              <w:spacing w:after="0"/>
              <w:rPr>
                <w:sz w:val="20"/>
                <w:szCs w:val="20"/>
                <w:color w:val="auto"/>
              </w:rPr>
            </w:pPr>
            <w:r>
              <w:rPr>
                <w:rFonts w:ascii="Arial" w:cs="Arial" w:eastAsia="Arial" w:hAnsi="Arial"/>
                <w:sz w:val="10"/>
                <w:szCs w:val="10"/>
                <w:color w:val="auto"/>
              </w:rPr>
              <w:t>Oceania</w:t>
            </w:r>
          </w:p>
        </w:tc>
        <w:tc>
          <w:tcPr>
            <w:tcW w:w="1280" w:type="dxa"/>
            <w:vAlign w:val="bottom"/>
            <w:gridSpan w:val="2"/>
          </w:tcPr>
          <w:p>
            <w:pPr>
              <w:jc w:val="right"/>
              <w:ind w:right="392"/>
              <w:spacing w:after="0"/>
              <w:rPr>
                <w:sz w:val="20"/>
                <w:szCs w:val="20"/>
                <w:color w:val="auto"/>
              </w:rPr>
            </w:pPr>
            <w:r>
              <w:rPr>
                <w:rFonts w:ascii="Arial" w:cs="Arial" w:eastAsia="Arial" w:hAnsi="Arial"/>
                <w:sz w:val="10"/>
                <w:szCs w:val="10"/>
                <w:color w:val="auto"/>
              </w:rPr>
              <w:t>Africa</w:t>
            </w:r>
          </w:p>
        </w:tc>
        <w:tc>
          <w:tcPr>
            <w:tcW w:w="940" w:type="dxa"/>
            <w:vAlign w:val="bottom"/>
          </w:tcPr>
          <w:p>
            <w:pPr>
              <w:jc w:val="right"/>
              <w:ind w:right="452"/>
              <w:spacing w:after="0"/>
              <w:rPr>
                <w:sz w:val="20"/>
                <w:szCs w:val="20"/>
                <w:color w:val="auto"/>
              </w:rPr>
            </w:pPr>
            <w:r>
              <w:rPr>
                <w:rFonts w:ascii="Arial" w:cs="Arial" w:eastAsia="Arial" w:hAnsi="Arial"/>
                <w:sz w:val="10"/>
                <w:szCs w:val="10"/>
                <w:color w:val="auto"/>
              </w:rPr>
              <w:t>USA</w:t>
            </w:r>
          </w:p>
        </w:tc>
        <w:tc>
          <w:tcPr>
            <w:tcW w:w="380" w:type="dxa"/>
            <w:vAlign w:val="bottom"/>
          </w:tcPr>
          <w:p>
            <w:pPr>
              <w:jc w:val="right"/>
              <w:spacing w:after="0"/>
              <w:rPr>
                <w:sz w:val="20"/>
                <w:szCs w:val="20"/>
                <w:color w:val="auto"/>
              </w:rPr>
            </w:pPr>
            <w:r>
              <w:rPr>
                <w:rFonts w:ascii="Arial" w:cs="Arial" w:eastAsia="Arial" w:hAnsi="Arial"/>
                <w:sz w:val="10"/>
                <w:szCs w:val="10"/>
                <w:color w:val="auto"/>
                <w:w w:val="84"/>
              </w:rPr>
              <w:t>Other [A]</w:t>
            </w:r>
          </w:p>
        </w:tc>
        <w:tc>
          <w:tcPr>
            <w:tcW w:w="880" w:type="dxa"/>
            <w:vAlign w:val="bottom"/>
            <w:gridSpan w:val="2"/>
          </w:tcPr>
          <w:p>
            <w:pPr>
              <w:jc w:val="right"/>
              <w:ind w:right="20"/>
              <w:spacing w:after="0"/>
              <w:rPr>
                <w:sz w:val="20"/>
                <w:szCs w:val="20"/>
                <w:color w:val="auto"/>
              </w:rPr>
            </w:pPr>
            <w:r>
              <w:rPr>
                <w:rFonts w:ascii="Arial" w:cs="Arial" w:eastAsia="Arial" w:hAnsi="Arial"/>
                <w:sz w:val="10"/>
                <w:szCs w:val="10"/>
                <w:color w:val="auto"/>
              </w:rPr>
              <w:t>America</w:t>
            </w:r>
          </w:p>
        </w:tc>
        <w:tc>
          <w:tcPr>
            <w:tcW w:w="960" w:type="dxa"/>
            <w:vAlign w:val="bottom"/>
            <w:gridSpan w:val="2"/>
          </w:tcPr>
          <w:p>
            <w:pPr>
              <w:jc w:val="right"/>
              <w:ind w:right="80"/>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13"/>
        </w:trPr>
        <w:tc>
          <w:tcPr>
            <w:tcW w:w="3180" w:type="dxa"/>
            <w:vAlign w:val="bottom"/>
            <w:tcBorders>
              <w:top w:val="single" w:sz="8" w:color="auto"/>
            </w:tcBorders>
            <w:gridSpan w:val="2"/>
          </w:tcPr>
          <w:p>
            <w:pPr>
              <w:spacing w:after="0" w:line="113" w:lineRule="exact"/>
              <w:rPr>
                <w:sz w:val="20"/>
                <w:szCs w:val="20"/>
                <w:color w:val="auto"/>
              </w:rPr>
            </w:pPr>
            <w:r>
              <w:rPr>
                <w:rFonts w:ascii="Arial" w:cs="Arial" w:eastAsia="Arial" w:hAnsi="Arial"/>
                <w:sz w:val="10"/>
                <w:szCs w:val="10"/>
                <w:color w:val="auto"/>
              </w:rPr>
              <w:t>Revenue</w:t>
            </w:r>
          </w:p>
        </w:tc>
        <w:tc>
          <w:tcPr>
            <w:tcW w:w="104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180" w:type="dxa"/>
            <w:vAlign w:val="bottom"/>
            <w:gridSpan w:val="2"/>
          </w:tcPr>
          <w:p>
            <w:pPr>
              <w:spacing w:after="0"/>
              <w:rPr>
                <w:sz w:val="20"/>
                <w:szCs w:val="20"/>
                <w:color w:val="auto"/>
              </w:rPr>
            </w:pPr>
            <w:r>
              <w:rPr>
                <w:rFonts w:ascii="Arial" w:cs="Arial" w:eastAsia="Arial" w:hAnsi="Arial"/>
                <w:sz w:val="10"/>
                <w:szCs w:val="10"/>
                <w:color w:val="auto"/>
              </w:rPr>
              <w:t>Third parties</w:t>
            </w:r>
          </w:p>
        </w:tc>
        <w:tc>
          <w:tcPr>
            <w:tcW w:w="1040" w:type="dxa"/>
            <w:vAlign w:val="bottom"/>
          </w:tcPr>
          <w:p>
            <w:pPr>
              <w:spacing w:after="0"/>
              <w:rPr>
                <w:sz w:val="10"/>
                <w:szCs w:val="10"/>
                <w:color w:val="auto"/>
              </w:rPr>
            </w:pPr>
          </w:p>
        </w:tc>
        <w:tc>
          <w:tcPr>
            <w:tcW w:w="1040" w:type="dxa"/>
            <w:vAlign w:val="bottom"/>
          </w:tcPr>
          <w:p>
            <w:pPr>
              <w:jc w:val="right"/>
              <w:ind w:right="152"/>
              <w:spacing w:after="0"/>
              <w:rPr>
                <w:sz w:val="20"/>
                <w:szCs w:val="20"/>
                <w:color w:val="auto"/>
              </w:rPr>
            </w:pPr>
            <w:r>
              <w:rPr>
                <w:rFonts w:ascii="Arial" w:cs="Arial" w:eastAsia="Arial" w:hAnsi="Arial"/>
                <w:sz w:val="10"/>
                <w:szCs w:val="10"/>
                <w:color w:val="auto"/>
              </w:rPr>
              <w:t>1,875</w:t>
            </w:r>
          </w:p>
        </w:tc>
        <w:tc>
          <w:tcPr>
            <w:tcW w:w="980" w:type="dxa"/>
            <w:vAlign w:val="bottom"/>
          </w:tcPr>
          <w:p>
            <w:pPr>
              <w:jc w:val="right"/>
              <w:ind w:right="272"/>
              <w:spacing w:after="0"/>
              <w:rPr>
                <w:sz w:val="20"/>
                <w:szCs w:val="20"/>
                <w:color w:val="auto"/>
              </w:rPr>
            </w:pPr>
            <w:r>
              <w:rPr>
                <w:rFonts w:ascii="Arial" w:cs="Arial" w:eastAsia="Arial" w:hAnsi="Arial"/>
                <w:sz w:val="10"/>
                <w:szCs w:val="10"/>
                <w:color w:val="auto"/>
              </w:rPr>
              <w:t>3,364</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1,389</w:t>
            </w:r>
          </w:p>
        </w:tc>
        <w:tc>
          <w:tcPr>
            <w:tcW w:w="860" w:type="dxa"/>
            <w:vAlign w:val="bottom"/>
          </w:tcPr>
          <w:p>
            <w:pPr>
              <w:jc w:val="right"/>
              <w:spacing w:after="0"/>
              <w:rPr>
                <w:sz w:val="20"/>
                <w:szCs w:val="20"/>
                <w:color w:val="auto"/>
              </w:rPr>
            </w:pPr>
            <w:r>
              <w:rPr>
                <w:rFonts w:ascii="Arial" w:cs="Arial" w:eastAsia="Arial" w:hAnsi="Arial"/>
                <w:sz w:val="10"/>
                <w:szCs w:val="10"/>
                <w:color w:val="auto"/>
              </w:rPr>
              <w:t>2,401</w:t>
            </w:r>
          </w:p>
        </w:tc>
        <w:tc>
          <w:tcPr>
            <w:tcW w:w="420" w:type="dxa"/>
            <w:vAlign w:val="bottom"/>
          </w:tcPr>
          <w:p>
            <w:pPr>
              <w:spacing w:after="0"/>
              <w:rPr>
                <w:sz w:val="10"/>
                <w:szCs w:val="10"/>
                <w:color w:val="auto"/>
              </w:rPr>
            </w:pPr>
          </w:p>
        </w:tc>
        <w:tc>
          <w:tcPr>
            <w:tcW w:w="940" w:type="dxa"/>
            <w:vAlign w:val="bottom"/>
          </w:tcPr>
          <w:p>
            <w:pPr>
              <w:jc w:val="right"/>
              <w:ind w:right="492"/>
              <w:spacing w:after="0"/>
              <w:rPr>
                <w:sz w:val="20"/>
                <w:szCs w:val="20"/>
                <w:color w:val="auto"/>
              </w:rPr>
            </w:pPr>
            <w:r>
              <w:rPr>
                <w:rFonts w:ascii="Arial" w:cs="Arial" w:eastAsia="Arial" w:hAnsi="Arial"/>
                <w:sz w:val="10"/>
                <w:szCs w:val="10"/>
                <w:color w:val="auto"/>
              </w:rPr>
              <w:t>2,165</w:t>
            </w:r>
          </w:p>
        </w:tc>
        <w:tc>
          <w:tcPr>
            <w:tcW w:w="380" w:type="dxa"/>
            <w:vAlign w:val="bottom"/>
          </w:tcPr>
          <w:p>
            <w:pPr>
              <w:jc w:val="right"/>
              <w:spacing w:after="0"/>
              <w:rPr>
                <w:sz w:val="20"/>
                <w:szCs w:val="20"/>
                <w:color w:val="auto"/>
              </w:rPr>
            </w:pPr>
            <w:r>
              <w:rPr>
                <w:rFonts w:ascii="Arial" w:cs="Arial" w:eastAsia="Arial" w:hAnsi="Arial"/>
                <w:sz w:val="10"/>
                <w:szCs w:val="10"/>
                <w:color w:val="auto"/>
              </w:rPr>
              <w:t>507</w:t>
            </w:r>
          </w:p>
        </w:tc>
        <w:tc>
          <w:tcPr>
            <w:tcW w:w="880" w:type="dxa"/>
            <w:vAlign w:val="bottom"/>
            <w:gridSpan w:val="2"/>
          </w:tcPr>
          <w:p>
            <w:pPr>
              <w:jc w:val="right"/>
              <w:ind w:right="40"/>
              <w:spacing w:after="0"/>
              <w:rPr>
                <w:sz w:val="20"/>
                <w:szCs w:val="20"/>
                <w:color w:val="auto"/>
              </w:rPr>
            </w:pPr>
            <w:r>
              <w:rPr>
                <w:rFonts w:ascii="Arial" w:cs="Arial" w:eastAsia="Arial" w:hAnsi="Arial"/>
                <w:sz w:val="10"/>
                <w:szCs w:val="10"/>
                <w:color w:val="auto"/>
              </w:rPr>
              <w:t>1,023</w:t>
            </w:r>
          </w:p>
        </w:tc>
        <w:tc>
          <w:tcPr>
            <w:tcW w:w="880" w:type="dxa"/>
            <w:vAlign w:val="bottom"/>
          </w:tcPr>
          <w:p>
            <w:pPr>
              <w:jc w:val="right"/>
              <w:spacing w:after="0"/>
              <w:rPr>
                <w:sz w:val="20"/>
                <w:szCs w:val="20"/>
                <w:color w:val="auto"/>
              </w:rPr>
            </w:pPr>
            <w:r>
              <w:rPr>
                <w:rFonts w:ascii="Arial" w:cs="Arial" w:eastAsia="Arial" w:hAnsi="Arial"/>
                <w:sz w:val="10"/>
                <w:szCs w:val="10"/>
                <w:color w:val="auto"/>
              </w:rPr>
              <w:t>12,724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Sales between businesses</w:t>
            </w:r>
          </w:p>
        </w:tc>
        <w:tc>
          <w:tcPr>
            <w:tcW w:w="10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6,705</w:t>
            </w: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11,284</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4,683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3,586</w:t>
            </w:r>
          </w:p>
        </w:tc>
        <w:tc>
          <w:tcPr>
            <w:tcW w:w="4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7,716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1,946</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7,154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43,074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Total</w:t>
            </w:r>
          </w:p>
        </w:tc>
        <w:tc>
          <w:tcPr>
            <w:tcW w:w="10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8,580</w:t>
            </w: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14,648</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6,072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5,987</w:t>
            </w:r>
          </w:p>
        </w:tc>
        <w:tc>
          <w:tcPr>
            <w:tcW w:w="4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9,881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2,453</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8,177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55,798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180" w:type="dxa"/>
            <w:vAlign w:val="bottom"/>
            <w:gridSpan w:val="2"/>
          </w:tcPr>
          <w:p>
            <w:pPr>
              <w:spacing w:after="0" w:line="113" w:lineRule="exact"/>
              <w:rPr>
                <w:sz w:val="20"/>
                <w:szCs w:val="20"/>
                <w:color w:val="auto"/>
              </w:rPr>
            </w:pPr>
            <w:r>
              <w:rPr>
                <w:rFonts w:ascii="Arial" w:cs="Arial" w:eastAsia="Arial" w:hAnsi="Arial"/>
                <w:sz w:val="10"/>
                <w:szCs w:val="10"/>
                <w:color w:val="auto"/>
              </w:rPr>
              <w:t>Production costs excluding taxes</w:t>
            </w:r>
          </w:p>
        </w:tc>
        <w:tc>
          <w:tcPr>
            <w:tcW w:w="1040" w:type="dxa"/>
            <w:vAlign w:val="bottom"/>
          </w:tcPr>
          <w:p>
            <w:pPr>
              <w:spacing w:after="0"/>
              <w:rPr>
                <w:sz w:val="9"/>
                <w:szCs w:val="9"/>
                <w:color w:val="auto"/>
              </w:rPr>
            </w:pPr>
          </w:p>
        </w:tc>
        <w:tc>
          <w:tcPr>
            <w:tcW w:w="1040" w:type="dxa"/>
            <w:vAlign w:val="bottom"/>
          </w:tcPr>
          <w:p>
            <w:pPr>
              <w:jc w:val="right"/>
              <w:ind w:right="152"/>
              <w:spacing w:after="0" w:line="113" w:lineRule="exact"/>
              <w:rPr>
                <w:sz w:val="20"/>
                <w:szCs w:val="20"/>
                <w:color w:val="auto"/>
              </w:rPr>
            </w:pPr>
            <w:r>
              <w:rPr>
                <w:rFonts w:ascii="Arial" w:cs="Arial" w:eastAsia="Arial" w:hAnsi="Arial"/>
                <w:sz w:val="10"/>
                <w:szCs w:val="10"/>
                <w:color w:val="auto"/>
              </w:rPr>
              <w:t>2,262</w:t>
            </w:r>
          </w:p>
        </w:tc>
        <w:tc>
          <w:tcPr>
            <w:tcW w:w="980" w:type="dxa"/>
            <w:vAlign w:val="bottom"/>
          </w:tcPr>
          <w:p>
            <w:pPr>
              <w:jc w:val="right"/>
              <w:ind w:right="272"/>
              <w:spacing w:after="0" w:line="113" w:lineRule="exact"/>
              <w:rPr>
                <w:sz w:val="20"/>
                <w:szCs w:val="20"/>
                <w:color w:val="auto"/>
              </w:rPr>
            </w:pPr>
            <w:r>
              <w:rPr>
                <w:rFonts w:ascii="Arial" w:cs="Arial" w:eastAsia="Arial" w:hAnsi="Arial"/>
                <w:sz w:val="10"/>
                <w:szCs w:val="10"/>
                <w:color w:val="auto"/>
              </w:rPr>
              <w:t>2,143</w:t>
            </w:r>
          </w:p>
        </w:tc>
        <w:tc>
          <w:tcPr>
            <w:tcW w:w="620" w:type="dxa"/>
            <w:vAlign w:val="bottom"/>
          </w:tcPr>
          <w:p>
            <w:pPr>
              <w:jc w:val="right"/>
              <w:ind w:right="12"/>
              <w:spacing w:after="0" w:line="113" w:lineRule="exact"/>
              <w:rPr>
                <w:sz w:val="20"/>
                <w:szCs w:val="20"/>
                <w:color w:val="auto"/>
              </w:rPr>
            </w:pPr>
            <w:r>
              <w:rPr>
                <w:rFonts w:ascii="Arial" w:cs="Arial" w:eastAsia="Arial" w:hAnsi="Arial"/>
                <w:sz w:val="10"/>
                <w:szCs w:val="10"/>
                <w:color w:val="auto"/>
              </w:rPr>
              <w:t>1,073</w:t>
            </w:r>
          </w:p>
        </w:tc>
        <w:tc>
          <w:tcPr>
            <w:tcW w:w="860" w:type="dxa"/>
            <w:vAlign w:val="bottom"/>
          </w:tcPr>
          <w:p>
            <w:pPr>
              <w:jc w:val="right"/>
              <w:spacing w:after="0" w:line="113" w:lineRule="exact"/>
              <w:rPr>
                <w:sz w:val="20"/>
                <w:szCs w:val="20"/>
                <w:color w:val="auto"/>
              </w:rPr>
            </w:pPr>
            <w:r>
              <w:rPr>
                <w:rFonts w:ascii="Arial" w:cs="Arial" w:eastAsia="Arial" w:hAnsi="Arial"/>
                <w:sz w:val="10"/>
                <w:szCs w:val="10"/>
                <w:color w:val="auto"/>
              </w:rPr>
              <w:t>1,093</w:t>
            </w:r>
          </w:p>
        </w:tc>
        <w:tc>
          <w:tcPr>
            <w:tcW w:w="420" w:type="dxa"/>
            <w:vAlign w:val="bottom"/>
          </w:tcPr>
          <w:p>
            <w:pPr>
              <w:spacing w:after="0"/>
              <w:rPr>
                <w:sz w:val="9"/>
                <w:szCs w:val="9"/>
                <w:color w:val="auto"/>
              </w:rPr>
            </w:pPr>
          </w:p>
        </w:tc>
        <w:tc>
          <w:tcPr>
            <w:tcW w:w="940" w:type="dxa"/>
            <w:vAlign w:val="bottom"/>
          </w:tcPr>
          <w:p>
            <w:pPr>
              <w:jc w:val="right"/>
              <w:ind w:right="492"/>
              <w:spacing w:after="0" w:line="113" w:lineRule="exact"/>
              <w:rPr>
                <w:sz w:val="20"/>
                <w:szCs w:val="20"/>
                <w:color w:val="auto"/>
              </w:rPr>
            </w:pPr>
            <w:r>
              <w:rPr>
                <w:rFonts w:ascii="Arial" w:cs="Arial" w:eastAsia="Arial" w:hAnsi="Arial"/>
                <w:sz w:val="10"/>
                <w:szCs w:val="10"/>
                <w:color w:val="auto"/>
              </w:rPr>
              <w:t>2,573</w:t>
            </w:r>
          </w:p>
        </w:tc>
        <w:tc>
          <w:tcPr>
            <w:tcW w:w="380" w:type="dxa"/>
            <w:vAlign w:val="bottom"/>
          </w:tcPr>
          <w:p>
            <w:pPr>
              <w:jc w:val="right"/>
              <w:spacing w:after="0" w:line="113" w:lineRule="exact"/>
              <w:rPr>
                <w:sz w:val="20"/>
                <w:szCs w:val="20"/>
                <w:color w:val="auto"/>
              </w:rPr>
            </w:pPr>
            <w:r>
              <w:rPr>
                <w:rFonts w:ascii="Arial" w:cs="Arial" w:eastAsia="Arial" w:hAnsi="Arial"/>
                <w:sz w:val="10"/>
                <w:szCs w:val="10"/>
                <w:color w:val="auto"/>
              </w:rPr>
              <w:t>1,069</w:t>
            </w:r>
          </w:p>
        </w:tc>
        <w:tc>
          <w:tcPr>
            <w:tcW w:w="88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1,401</w:t>
            </w:r>
          </w:p>
        </w:tc>
        <w:tc>
          <w:tcPr>
            <w:tcW w:w="880" w:type="dxa"/>
            <w:vAlign w:val="bottom"/>
          </w:tcPr>
          <w:p>
            <w:pPr>
              <w:jc w:val="right"/>
              <w:spacing w:after="0" w:line="113" w:lineRule="exact"/>
              <w:rPr>
                <w:sz w:val="20"/>
                <w:szCs w:val="20"/>
                <w:color w:val="auto"/>
              </w:rPr>
            </w:pPr>
            <w:r>
              <w:rPr>
                <w:rFonts w:ascii="Arial" w:cs="Arial" w:eastAsia="Arial" w:hAnsi="Arial"/>
                <w:sz w:val="10"/>
                <w:szCs w:val="10"/>
                <w:color w:val="auto"/>
              </w:rPr>
              <w:t>11,614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180" w:type="dxa"/>
            <w:vAlign w:val="bottom"/>
            <w:gridSpan w:val="2"/>
          </w:tcPr>
          <w:p>
            <w:pPr>
              <w:spacing w:after="0"/>
              <w:rPr>
                <w:sz w:val="20"/>
                <w:szCs w:val="20"/>
                <w:color w:val="auto"/>
              </w:rPr>
            </w:pPr>
            <w:r>
              <w:rPr>
                <w:rFonts w:ascii="Arial" w:cs="Arial" w:eastAsia="Arial" w:hAnsi="Arial"/>
                <w:sz w:val="10"/>
                <w:szCs w:val="10"/>
                <w:color w:val="auto"/>
              </w:rPr>
              <w:t>Taxes other than income tax</w:t>
            </w:r>
          </w:p>
        </w:tc>
        <w:tc>
          <w:tcPr>
            <w:tcW w:w="1040" w:type="dxa"/>
            <w:vAlign w:val="bottom"/>
          </w:tcPr>
          <w:p>
            <w:pPr>
              <w:spacing w:after="0"/>
              <w:rPr>
                <w:sz w:val="10"/>
                <w:szCs w:val="10"/>
                <w:color w:val="auto"/>
              </w:rPr>
            </w:pPr>
          </w:p>
        </w:tc>
        <w:tc>
          <w:tcPr>
            <w:tcW w:w="1040" w:type="dxa"/>
            <w:vAlign w:val="bottom"/>
          </w:tcPr>
          <w:p>
            <w:pPr>
              <w:jc w:val="right"/>
              <w:ind w:right="152"/>
              <w:spacing w:after="0"/>
              <w:rPr>
                <w:sz w:val="20"/>
                <w:szCs w:val="20"/>
                <w:color w:val="auto"/>
              </w:rPr>
            </w:pPr>
            <w:r>
              <w:rPr>
                <w:rFonts w:ascii="Arial" w:cs="Arial" w:eastAsia="Arial" w:hAnsi="Arial"/>
                <w:sz w:val="10"/>
                <w:szCs w:val="10"/>
                <w:color w:val="auto"/>
              </w:rPr>
              <w:t>122</w:t>
            </w:r>
          </w:p>
        </w:tc>
        <w:tc>
          <w:tcPr>
            <w:tcW w:w="980" w:type="dxa"/>
            <w:vAlign w:val="bottom"/>
          </w:tcPr>
          <w:p>
            <w:pPr>
              <w:jc w:val="right"/>
              <w:ind w:right="272"/>
              <w:spacing w:after="0"/>
              <w:rPr>
                <w:sz w:val="20"/>
                <w:szCs w:val="20"/>
                <w:color w:val="auto"/>
              </w:rPr>
            </w:pPr>
            <w:r>
              <w:rPr>
                <w:rFonts w:ascii="Arial" w:cs="Arial" w:eastAsia="Arial" w:hAnsi="Arial"/>
                <w:sz w:val="10"/>
                <w:szCs w:val="10"/>
                <w:color w:val="auto"/>
              </w:rPr>
              <w:t>841</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199</w:t>
            </w:r>
          </w:p>
        </w:tc>
        <w:tc>
          <w:tcPr>
            <w:tcW w:w="860" w:type="dxa"/>
            <w:vAlign w:val="bottom"/>
          </w:tcPr>
          <w:p>
            <w:pPr>
              <w:jc w:val="right"/>
              <w:spacing w:after="0"/>
              <w:rPr>
                <w:sz w:val="20"/>
                <w:szCs w:val="20"/>
                <w:color w:val="auto"/>
              </w:rPr>
            </w:pPr>
            <w:r>
              <w:rPr>
                <w:rFonts w:ascii="Arial" w:cs="Arial" w:eastAsia="Arial" w:hAnsi="Arial"/>
                <w:sz w:val="10"/>
                <w:szCs w:val="10"/>
                <w:color w:val="auto"/>
              </w:rPr>
              <w:t>328</w:t>
            </w:r>
          </w:p>
        </w:tc>
        <w:tc>
          <w:tcPr>
            <w:tcW w:w="420" w:type="dxa"/>
            <w:vAlign w:val="bottom"/>
          </w:tcPr>
          <w:p>
            <w:pPr>
              <w:spacing w:after="0"/>
              <w:rPr>
                <w:sz w:val="10"/>
                <w:szCs w:val="10"/>
                <w:color w:val="auto"/>
              </w:rPr>
            </w:pPr>
          </w:p>
        </w:tc>
        <w:tc>
          <w:tcPr>
            <w:tcW w:w="940" w:type="dxa"/>
            <w:vAlign w:val="bottom"/>
          </w:tcPr>
          <w:p>
            <w:pPr>
              <w:jc w:val="right"/>
              <w:ind w:right="492"/>
              <w:spacing w:after="0"/>
              <w:rPr>
                <w:sz w:val="20"/>
                <w:szCs w:val="20"/>
                <w:color w:val="auto"/>
              </w:rPr>
            </w:pPr>
            <w:r>
              <w:rPr>
                <w:rFonts w:ascii="Arial" w:cs="Arial" w:eastAsia="Arial" w:hAnsi="Arial"/>
                <w:sz w:val="10"/>
                <w:szCs w:val="10"/>
                <w:color w:val="auto"/>
              </w:rPr>
              <w:t>83</w:t>
            </w: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0"/>
                <w:szCs w:val="10"/>
                <w:color w:val="auto"/>
              </w:rPr>
              <w:t>2,767</w:t>
            </w:r>
          </w:p>
        </w:tc>
        <w:tc>
          <w:tcPr>
            <w:tcW w:w="880" w:type="dxa"/>
            <w:vAlign w:val="bottom"/>
          </w:tcPr>
          <w:p>
            <w:pPr>
              <w:jc w:val="right"/>
              <w:spacing w:after="0"/>
              <w:rPr>
                <w:sz w:val="20"/>
                <w:szCs w:val="20"/>
                <w:color w:val="auto"/>
              </w:rPr>
            </w:pPr>
            <w:r>
              <w:rPr>
                <w:rFonts w:ascii="Arial" w:cs="Arial" w:eastAsia="Arial" w:hAnsi="Arial"/>
                <w:sz w:val="10"/>
                <w:szCs w:val="10"/>
                <w:color w:val="auto"/>
              </w:rPr>
              <w:t>4,340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180" w:type="dxa"/>
            <w:vAlign w:val="bottom"/>
            <w:gridSpan w:val="2"/>
          </w:tcPr>
          <w:p>
            <w:pPr>
              <w:spacing w:after="0"/>
              <w:rPr>
                <w:sz w:val="20"/>
                <w:szCs w:val="20"/>
                <w:color w:val="auto"/>
              </w:rPr>
            </w:pPr>
            <w:r>
              <w:rPr>
                <w:rFonts w:ascii="Arial" w:cs="Arial" w:eastAsia="Arial" w:hAnsi="Arial"/>
                <w:sz w:val="10"/>
                <w:szCs w:val="10"/>
                <w:color w:val="auto"/>
              </w:rPr>
              <w:t>Exploration</w:t>
            </w:r>
          </w:p>
        </w:tc>
        <w:tc>
          <w:tcPr>
            <w:tcW w:w="1040" w:type="dxa"/>
            <w:vAlign w:val="bottom"/>
          </w:tcPr>
          <w:p>
            <w:pPr>
              <w:spacing w:after="0"/>
              <w:rPr>
                <w:sz w:val="10"/>
                <w:szCs w:val="10"/>
                <w:color w:val="auto"/>
              </w:rPr>
            </w:pPr>
          </w:p>
        </w:tc>
        <w:tc>
          <w:tcPr>
            <w:tcW w:w="1040" w:type="dxa"/>
            <w:vAlign w:val="bottom"/>
          </w:tcPr>
          <w:p>
            <w:pPr>
              <w:jc w:val="right"/>
              <w:ind w:right="152"/>
              <w:spacing w:after="0"/>
              <w:rPr>
                <w:sz w:val="20"/>
                <w:szCs w:val="20"/>
                <w:color w:val="auto"/>
              </w:rPr>
            </w:pPr>
            <w:r>
              <w:rPr>
                <w:rFonts w:ascii="Arial" w:cs="Arial" w:eastAsia="Arial" w:hAnsi="Arial"/>
                <w:sz w:val="10"/>
                <w:szCs w:val="10"/>
                <w:color w:val="auto"/>
              </w:rPr>
              <w:t>277</w:t>
            </w:r>
          </w:p>
        </w:tc>
        <w:tc>
          <w:tcPr>
            <w:tcW w:w="980" w:type="dxa"/>
            <w:vAlign w:val="bottom"/>
          </w:tcPr>
          <w:p>
            <w:pPr>
              <w:jc w:val="right"/>
              <w:ind w:right="272"/>
              <w:spacing w:after="0"/>
              <w:rPr>
                <w:sz w:val="20"/>
                <w:szCs w:val="20"/>
                <w:color w:val="auto"/>
              </w:rPr>
            </w:pPr>
            <w:r>
              <w:rPr>
                <w:rFonts w:ascii="Arial" w:cs="Arial" w:eastAsia="Arial" w:hAnsi="Arial"/>
                <w:sz w:val="10"/>
                <w:szCs w:val="10"/>
                <w:color w:val="auto"/>
              </w:rPr>
              <w:t>149</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78</w:t>
            </w:r>
          </w:p>
        </w:tc>
        <w:tc>
          <w:tcPr>
            <w:tcW w:w="860" w:type="dxa"/>
            <w:vAlign w:val="bottom"/>
          </w:tcPr>
          <w:p>
            <w:pPr>
              <w:jc w:val="right"/>
              <w:spacing w:after="0"/>
              <w:rPr>
                <w:sz w:val="20"/>
                <w:szCs w:val="20"/>
                <w:color w:val="auto"/>
              </w:rPr>
            </w:pPr>
            <w:r>
              <w:rPr>
                <w:rFonts w:ascii="Arial" w:cs="Arial" w:eastAsia="Arial" w:hAnsi="Arial"/>
                <w:sz w:val="10"/>
                <w:szCs w:val="10"/>
                <w:color w:val="auto"/>
              </w:rPr>
              <w:t>144</w:t>
            </w:r>
          </w:p>
        </w:tc>
        <w:tc>
          <w:tcPr>
            <w:tcW w:w="420" w:type="dxa"/>
            <w:vAlign w:val="bottom"/>
          </w:tcPr>
          <w:p>
            <w:pPr>
              <w:spacing w:after="0"/>
              <w:rPr>
                <w:sz w:val="10"/>
                <w:szCs w:val="10"/>
                <w:color w:val="auto"/>
              </w:rPr>
            </w:pPr>
          </w:p>
        </w:tc>
        <w:tc>
          <w:tcPr>
            <w:tcW w:w="940" w:type="dxa"/>
            <w:vAlign w:val="bottom"/>
          </w:tcPr>
          <w:p>
            <w:pPr>
              <w:jc w:val="right"/>
              <w:ind w:right="492"/>
              <w:spacing w:after="0"/>
              <w:rPr>
                <w:sz w:val="20"/>
                <w:szCs w:val="20"/>
                <w:color w:val="auto"/>
              </w:rPr>
            </w:pPr>
            <w:r>
              <w:rPr>
                <w:rFonts w:ascii="Arial" w:cs="Arial" w:eastAsia="Arial" w:hAnsi="Arial"/>
                <w:sz w:val="10"/>
                <w:szCs w:val="10"/>
                <w:color w:val="auto"/>
              </w:rPr>
              <w:t>341</w:t>
            </w:r>
          </w:p>
        </w:tc>
        <w:tc>
          <w:tcPr>
            <w:tcW w:w="380" w:type="dxa"/>
            <w:vAlign w:val="bottom"/>
          </w:tcPr>
          <w:p>
            <w:pPr>
              <w:jc w:val="right"/>
              <w:spacing w:after="0"/>
              <w:rPr>
                <w:sz w:val="20"/>
                <w:szCs w:val="20"/>
                <w:color w:val="auto"/>
              </w:rPr>
            </w:pPr>
            <w:r>
              <w:rPr>
                <w:rFonts w:ascii="Arial" w:cs="Arial" w:eastAsia="Arial" w:hAnsi="Arial"/>
                <w:sz w:val="10"/>
                <w:szCs w:val="10"/>
                <w:color w:val="auto"/>
              </w:rPr>
              <w:t>114</w:t>
            </w:r>
          </w:p>
        </w:tc>
        <w:tc>
          <w:tcPr>
            <w:tcW w:w="880" w:type="dxa"/>
            <w:vAlign w:val="bottom"/>
            <w:gridSpan w:val="2"/>
          </w:tcPr>
          <w:p>
            <w:pPr>
              <w:jc w:val="right"/>
              <w:ind w:right="40"/>
              <w:spacing w:after="0"/>
              <w:rPr>
                <w:sz w:val="20"/>
                <w:szCs w:val="20"/>
                <w:color w:val="auto"/>
              </w:rPr>
            </w:pPr>
            <w:r>
              <w:rPr>
                <w:rFonts w:ascii="Arial" w:cs="Arial" w:eastAsia="Arial" w:hAnsi="Arial"/>
                <w:sz w:val="10"/>
                <w:szCs w:val="10"/>
                <w:color w:val="auto"/>
              </w:rPr>
              <w:t>237</w:t>
            </w:r>
          </w:p>
        </w:tc>
        <w:tc>
          <w:tcPr>
            <w:tcW w:w="880" w:type="dxa"/>
            <w:vAlign w:val="bottom"/>
          </w:tcPr>
          <w:p>
            <w:pPr>
              <w:jc w:val="right"/>
              <w:spacing w:after="0"/>
              <w:rPr>
                <w:sz w:val="20"/>
                <w:szCs w:val="20"/>
                <w:color w:val="auto"/>
              </w:rPr>
            </w:pPr>
            <w:r>
              <w:rPr>
                <w:rFonts w:ascii="Arial" w:cs="Arial" w:eastAsia="Arial" w:hAnsi="Arial"/>
                <w:sz w:val="10"/>
                <w:szCs w:val="10"/>
                <w:color w:val="auto"/>
              </w:rPr>
              <w:t>1,340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180" w:type="dxa"/>
            <w:vAlign w:val="bottom"/>
            <w:gridSpan w:val="2"/>
          </w:tcPr>
          <w:p>
            <w:pPr>
              <w:spacing w:after="0"/>
              <w:rPr>
                <w:sz w:val="20"/>
                <w:szCs w:val="20"/>
                <w:color w:val="auto"/>
              </w:rPr>
            </w:pPr>
            <w:r>
              <w:rPr>
                <w:rFonts w:ascii="Arial" w:cs="Arial" w:eastAsia="Arial" w:hAnsi="Arial"/>
                <w:sz w:val="10"/>
                <w:szCs w:val="10"/>
                <w:color w:val="auto"/>
              </w:rPr>
              <w:t>Depreciation, depletion and amortisation</w:t>
            </w:r>
          </w:p>
        </w:tc>
        <w:tc>
          <w:tcPr>
            <w:tcW w:w="1040" w:type="dxa"/>
            <w:vAlign w:val="bottom"/>
          </w:tcPr>
          <w:p>
            <w:pPr>
              <w:spacing w:after="0"/>
              <w:rPr>
                <w:sz w:val="10"/>
                <w:szCs w:val="10"/>
                <w:color w:val="auto"/>
              </w:rPr>
            </w:pPr>
          </w:p>
        </w:tc>
        <w:tc>
          <w:tcPr>
            <w:tcW w:w="1040" w:type="dxa"/>
            <w:vAlign w:val="bottom"/>
          </w:tcPr>
          <w:p>
            <w:pPr>
              <w:jc w:val="right"/>
              <w:ind w:right="152"/>
              <w:spacing w:after="0"/>
              <w:rPr>
                <w:sz w:val="20"/>
                <w:szCs w:val="20"/>
                <w:color w:val="auto"/>
              </w:rPr>
            </w:pPr>
            <w:r>
              <w:rPr>
                <w:rFonts w:ascii="Arial" w:cs="Arial" w:eastAsia="Arial" w:hAnsi="Arial"/>
                <w:sz w:val="10"/>
                <w:szCs w:val="10"/>
                <w:color w:val="auto"/>
              </w:rPr>
              <w:t>2,684</w:t>
            </w:r>
          </w:p>
        </w:tc>
        <w:tc>
          <w:tcPr>
            <w:tcW w:w="980" w:type="dxa"/>
            <w:vAlign w:val="bottom"/>
          </w:tcPr>
          <w:p>
            <w:pPr>
              <w:jc w:val="right"/>
              <w:ind w:right="272"/>
              <w:spacing w:after="0"/>
              <w:rPr>
                <w:sz w:val="20"/>
                <w:szCs w:val="20"/>
                <w:color w:val="auto"/>
              </w:rPr>
            </w:pPr>
            <w:r>
              <w:rPr>
                <w:rFonts w:ascii="Arial" w:cs="Arial" w:eastAsia="Arial" w:hAnsi="Arial"/>
                <w:sz w:val="10"/>
                <w:szCs w:val="10"/>
                <w:color w:val="auto"/>
              </w:rPr>
              <w:t>2,301</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1,571</w:t>
            </w:r>
          </w:p>
        </w:tc>
        <w:tc>
          <w:tcPr>
            <w:tcW w:w="860" w:type="dxa"/>
            <w:vAlign w:val="bottom"/>
          </w:tcPr>
          <w:p>
            <w:pPr>
              <w:jc w:val="right"/>
              <w:spacing w:after="0"/>
              <w:rPr>
                <w:sz w:val="20"/>
                <w:szCs w:val="20"/>
                <w:color w:val="auto"/>
              </w:rPr>
            </w:pPr>
            <w:r>
              <w:rPr>
                <w:rFonts w:ascii="Arial" w:cs="Arial" w:eastAsia="Arial" w:hAnsi="Arial"/>
                <w:sz w:val="10"/>
                <w:szCs w:val="10"/>
                <w:color w:val="auto"/>
              </w:rPr>
              <w:t>1,394</w:t>
            </w:r>
          </w:p>
        </w:tc>
        <w:tc>
          <w:tcPr>
            <w:tcW w:w="420" w:type="dxa"/>
            <w:vAlign w:val="bottom"/>
          </w:tcPr>
          <w:p>
            <w:pPr>
              <w:spacing w:after="0"/>
              <w:rPr>
                <w:sz w:val="10"/>
                <w:szCs w:val="10"/>
                <w:color w:val="auto"/>
              </w:rPr>
            </w:pPr>
          </w:p>
        </w:tc>
        <w:tc>
          <w:tcPr>
            <w:tcW w:w="940" w:type="dxa"/>
            <w:vAlign w:val="bottom"/>
          </w:tcPr>
          <w:p>
            <w:pPr>
              <w:jc w:val="right"/>
              <w:ind w:right="492"/>
              <w:spacing w:after="0"/>
              <w:rPr>
                <w:sz w:val="20"/>
                <w:szCs w:val="20"/>
                <w:color w:val="auto"/>
              </w:rPr>
            </w:pPr>
            <w:r>
              <w:rPr>
                <w:rFonts w:ascii="Arial" w:cs="Arial" w:eastAsia="Arial" w:hAnsi="Arial"/>
                <w:sz w:val="10"/>
                <w:szCs w:val="10"/>
                <w:color w:val="auto"/>
              </w:rPr>
              <w:t>4,543</w:t>
            </w:r>
          </w:p>
        </w:tc>
        <w:tc>
          <w:tcPr>
            <w:tcW w:w="380" w:type="dxa"/>
            <w:vAlign w:val="bottom"/>
          </w:tcPr>
          <w:p>
            <w:pPr>
              <w:jc w:val="right"/>
              <w:spacing w:after="0"/>
              <w:rPr>
                <w:sz w:val="20"/>
                <w:szCs w:val="20"/>
                <w:color w:val="auto"/>
              </w:rPr>
            </w:pPr>
            <w:r>
              <w:rPr>
                <w:rFonts w:ascii="Arial" w:cs="Arial" w:eastAsia="Arial" w:hAnsi="Arial"/>
                <w:sz w:val="10"/>
                <w:szCs w:val="10"/>
                <w:color w:val="auto"/>
              </w:rPr>
              <w:t>(346)</w:t>
            </w:r>
          </w:p>
        </w:tc>
        <w:tc>
          <w:tcPr>
            <w:tcW w:w="880" w:type="dxa"/>
            <w:vAlign w:val="bottom"/>
            <w:gridSpan w:val="2"/>
          </w:tcPr>
          <w:p>
            <w:pPr>
              <w:jc w:val="right"/>
              <w:ind w:right="40"/>
              <w:spacing w:after="0"/>
              <w:rPr>
                <w:sz w:val="20"/>
                <w:szCs w:val="20"/>
                <w:color w:val="auto"/>
              </w:rPr>
            </w:pPr>
            <w:r>
              <w:rPr>
                <w:rFonts w:ascii="Arial" w:cs="Arial" w:eastAsia="Arial" w:hAnsi="Arial"/>
                <w:sz w:val="10"/>
                <w:szCs w:val="10"/>
                <w:color w:val="auto"/>
              </w:rPr>
              <w:t>3,271</w:t>
            </w:r>
          </w:p>
        </w:tc>
        <w:tc>
          <w:tcPr>
            <w:tcW w:w="880" w:type="dxa"/>
            <w:vAlign w:val="bottom"/>
          </w:tcPr>
          <w:p>
            <w:pPr>
              <w:jc w:val="right"/>
              <w:spacing w:after="0"/>
              <w:rPr>
                <w:sz w:val="20"/>
                <w:szCs w:val="20"/>
                <w:color w:val="auto"/>
              </w:rPr>
            </w:pPr>
            <w:r>
              <w:rPr>
                <w:rFonts w:ascii="Arial" w:cs="Arial" w:eastAsia="Arial" w:hAnsi="Arial"/>
                <w:sz w:val="10"/>
                <w:szCs w:val="10"/>
                <w:color w:val="auto"/>
              </w:rPr>
              <w:t>15,418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 costs/(income)</w:t>
            </w:r>
          </w:p>
        </w:tc>
        <w:tc>
          <w:tcPr>
            <w:tcW w:w="10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947</w:t>
            </w: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(180)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609</w:t>
            </w:r>
          </w:p>
        </w:tc>
        <w:tc>
          <w:tcPr>
            <w:tcW w:w="4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447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667</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849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180" w:type="dxa"/>
            <w:vAlign w:val="bottom"/>
            <w:gridSpan w:val="2"/>
          </w:tcPr>
          <w:p>
            <w:pPr>
              <w:spacing w:after="0"/>
              <w:rPr>
                <w:sz w:val="20"/>
                <w:szCs w:val="20"/>
                <w:color w:val="auto"/>
              </w:rPr>
            </w:pPr>
            <w:r>
              <w:rPr>
                <w:rFonts w:ascii="Arial" w:cs="Arial" w:eastAsia="Arial" w:hAnsi="Arial"/>
                <w:sz w:val="10"/>
                <w:szCs w:val="10"/>
                <w:color w:val="auto"/>
              </w:rPr>
              <w:t>Earnings before taxation</w:t>
            </w:r>
          </w:p>
        </w:tc>
        <w:tc>
          <w:tcPr>
            <w:tcW w:w="1040" w:type="dxa"/>
            <w:vAlign w:val="bottom"/>
          </w:tcPr>
          <w:p>
            <w:pPr>
              <w:spacing w:after="0"/>
              <w:rPr>
                <w:sz w:val="9"/>
                <w:szCs w:val="9"/>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2,288</w:t>
            </w: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9,394</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3,665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2,419</w:t>
            </w:r>
          </w:p>
        </w:tc>
        <w:tc>
          <w:tcPr>
            <w:tcW w:w="4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1,894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949</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(348)</w:t>
            </w:r>
          </w:p>
        </w:tc>
        <w:tc>
          <w:tcPr>
            <w:tcW w:w="880" w:type="dxa"/>
            <w:vAlign w:val="bottom"/>
          </w:tcPr>
          <w:p>
            <w:pPr>
              <w:jc w:val="right"/>
              <w:spacing w:after="0"/>
              <w:rPr>
                <w:sz w:val="20"/>
                <w:szCs w:val="20"/>
                <w:color w:val="auto"/>
              </w:rPr>
            </w:pPr>
            <w:r>
              <w:rPr>
                <w:rFonts w:ascii="Arial" w:cs="Arial" w:eastAsia="Arial" w:hAnsi="Arial"/>
                <w:sz w:val="10"/>
                <w:szCs w:val="10"/>
                <w:color w:val="auto"/>
              </w:rPr>
              <w:t>20,261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180" w:type="dxa"/>
            <w:vAlign w:val="bottom"/>
            <w:tcBorders>
              <w:bottom w:val="single" w:sz="8" w:color="auto"/>
            </w:tcBorders>
            <w:gridSpan w:val="2"/>
          </w:tcPr>
          <w:p>
            <w:pPr>
              <w:spacing w:after="0" w:line="112" w:lineRule="exact"/>
              <w:rPr>
                <w:sz w:val="20"/>
                <w:szCs w:val="20"/>
                <w:color w:val="auto"/>
              </w:rPr>
            </w:pPr>
            <w:r>
              <w:rPr>
                <w:rFonts w:ascii="Arial" w:cs="Arial" w:eastAsia="Arial" w:hAnsi="Arial"/>
                <w:sz w:val="10"/>
                <w:szCs w:val="10"/>
                <w:color w:val="auto"/>
              </w:rPr>
              <w:t>Taxation charge/(credit)</w:t>
            </w:r>
          </w:p>
        </w:tc>
        <w:tc>
          <w:tcPr>
            <w:tcW w:w="10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2,047</w:t>
            </w: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4,851</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893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902</w:t>
            </w:r>
          </w:p>
        </w:tc>
        <w:tc>
          <w:tcPr>
            <w:tcW w:w="4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550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236</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1,162</w:t>
            </w:r>
          </w:p>
        </w:tc>
        <w:tc>
          <w:tcPr>
            <w:tcW w:w="88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color w:val="auto"/>
              </w:rPr>
              <w:t>10,641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Earnings after taxation</w:t>
            </w:r>
          </w:p>
        </w:tc>
        <w:tc>
          <w:tcPr>
            <w:tcW w:w="10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241</w:t>
            </w: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4,543</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2,772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1,517</w:t>
            </w:r>
          </w:p>
        </w:tc>
        <w:tc>
          <w:tcPr>
            <w:tcW w:w="4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1,344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713</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(1,510)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180" w:type="dxa"/>
            <w:vAlign w:val="bottom"/>
            <w:gridSpan w:val="2"/>
          </w:tcPr>
          <w:p>
            <w:pPr>
              <w:spacing w:after="0"/>
              <w:rPr>
                <w:sz w:val="20"/>
                <w:szCs w:val="20"/>
                <w:color w:val="auto"/>
              </w:rPr>
            </w:pPr>
            <w:r>
              <w:rPr>
                <w:rFonts w:ascii="Arial" w:cs="Arial" w:eastAsia="Arial" w:hAnsi="Arial"/>
                <w:sz w:val="7"/>
                <w:szCs w:val="7"/>
                <w:color w:val="auto"/>
              </w:rPr>
              <w:t>[A] Comprises Canada, Honduras and Mexico.</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180" w:type="dxa"/>
            <w:vAlign w:val="bottom"/>
            <w:gridSpan w:val="2"/>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jc w:val="right"/>
              <w:ind w:right="552"/>
              <w:spacing w:after="0"/>
              <w:rPr>
                <w:sz w:val="20"/>
                <w:szCs w:val="20"/>
                <w:color w:val="auto"/>
              </w:rPr>
            </w:pPr>
            <w:r>
              <w:rPr>
                <w:rFonts w:ascii="Arial" w:cs="Arial" w:eastAsia="Arial" w:hAnsi="Arial"/>
                <w:sz w:val="7"/>
                <w:szCs w:val="7"/>
                <w:color w:val="auto"/>
              </w:rPr>
              <w:t>225</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28" w:name="page229"/>
    <w:bookmarkEnd w:id="228"/>
    <w:p>
      <w:pPr>
        <w:spacing w:after="0"/>
        <w:rPr>
          <w:sz w:val="20"/>
          <w:szCs w:val="20"/>
          <w:color w:val="auto"/>
        </w:rPr>
      </w:pPr>
      <w:r>
        <w:rPr>
          <w:rFonts w:ascii="Arial" w:cs="Arial" w:eastAsia="Arial" w:hAnsi="Arial"/>
          <w:sz w:val="10"/>
          <w:szCs w:val="10"/>
          <w:color w:val="auto"/>
        </w:rPr>
        <w:t>Shell share of joint ventures and associates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18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2020</w:t>
            </w:r>
          </w:p>
        </w:tc>
        <w:tc>
          <w:tcPr>
            <w:tcW w:w="2220" w:type="dxa"/>
            <w:vAlign w:val="bottom"/>
            <w:tcBorders>
              <w:top w:val="single" w:sz="8" w:color="CDCDCD"/>
            </w:tcBorders>
          </w:tcPr>
          <w:p>
            <w:pPr>
              <w:spacing w:after="0"/>
              <w:rPr>
                <w:sz w:val="13"/>
                <w:szCs w:val="13"/>
                <w:color w:val="auto"/>
              </w:rPr>
            </w:pPr>
          </w:p>
        </w:tc>
        <w:tc>
          <w:tcPr>
            <w:tcW w:w="840" w:type="dxa"/>
            <w:vAlign w:val="bottom"/>
            <w:tcBorders>
              <w:top w:val="single" w:sz="8" w:color="CDCDCD"/>
            </w:tcBorders>
          </w:tcPr>
          <w:p>
            <w:pPr>
              <w:spacing w:after="0"/>
              <w:rPr>
                <w:sz w:val="13"/>
                <w:szCs w:val="13"/>
                <w:color w:val="auto"/>
              </w:rPr>
            </w:pPr>
          </w:p>
        </w:tc>
        <w:tc>
          <w:tcPr>
            <w:tcW w:w="900" w:type="dxa"/>
            <w:vAlign w:val="bottom"/>
            <w:tcBorders>
              <w:top w:val="single" w:sz="8" w:color="CDCDCD"/>
            </w:tcBorders>
          </w:tcPr>
          <w:p>
            <w:pPr>
              <w:spacing w:after="0"/>
              <w:rPr>
                <w:sz w:val="13"/>
                <w:szCs w:val="13"/>
                <w:color w:val="auto"/>
              </w:rPr>
            </w:pPr>
          </w:p>
        </w:tc>
        <w:tc>
          <w:tcPr>
            <w:tcW w:w="580" w:type="dxa"/>
            <w:vAlign w:val="bottom"/>
            <w:tcBorders>
              <w:top w:val="single" w:sz="8" w:color="CDCDCD"/>
            </w:tcBorders>
          </w:tcPr>
          <w:p>
            <w:pPr>
              <w:spacing w:after="0"/>
              <w:rPr>
                <w:sz w:val="13"/>
                <w:szCs w:val="13"/>
                <w:color w:val="auto"/>
              </w:rPr>
            </w:pPr>
          </w:p>
        </w:tc>
        <w:tc>
          <w:tcPr>
            <w:tcW w:w="1000" w:type="dxa"/>
            <w:vAlign w:val="bottom"/>
            <w:tcBorders>
              <w:top w:val="single" w:sz="8" w:color="CDCDCD"/>
            </w:tcBorders>
          </w:tcPr>
          <w:p>
            <w:pPr>
              <w:spacing w:after="0"/>
              <w:rPr>
                <w:sz w:val="13"/>
                <w:szCs w:val="13"/>
                <w:color w:val="auto"/>
              </w:rPr>
            </w:pPr>
          </w:p>
        </w:tc>
        <w:tc>
          <w:tcPr>
            <w:tcW w:w="740" w:type="dxa"/>
            <w:vAlign w:val="bottom"/>
            <w:tcBorders>
              <w:top w:val="single" w:sz="8" w:color="CDCDCD"/>
            </w:tcBorders>
          </w:tcPr>
          <w:p>
            <w:pPr>
              <w:spacing w:after="0"/>
              <w:rPr>
                <w:sz w:val="13"/>
                <w:szCs w:val="13"/>
                <w:color w:val="auto"/>
              </w:rPr>
            </w:pPr>
          </w:p>
        </w:tc>
        <w:tc>
          <w:tcPr>
            <w:tcW w:w="1140" w:type="dxa"/>
            <w:vAlign w:val="bottom"/>
            <w:tcBorders>
              <w:top w:val="single" w:sz="8" w:color="CDCDCD"/>
            </w:tcBorders>
          </w:tcPr>
          <w:p>
            <w:pPr>
              <w:spacing w:after="0"/>
              <w:rPr>
                <w:sz w:val="13"/>
                <w:szCs w:val="13"/>
                <w:color w:val="auto"/>
              </w:rPr>
            </w:pPr>
          </w:p>
        </w:tc>
        <w:tc>
          <w:tcPr>
            <w:tcW w:w="62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45"/>
        </w:trPr>
        <w:tc>
          <w:tcPr>
            <w:tcW w:w="3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140" w:type="dxa"/>
            <w:vAlign w:val="bottom"/>
          </w:tcPr>
          <w:p>
            <w:pPr>
              <w:jc w:val="right"/>
              <w:ind w:right="232"/>
              <w:spacing w:after="0"/>
              <w:rPr>
                <w:sz w:val="20"/>
                <w:szCs w:val="20"/>
                <w:color w:val="auto"/>
              </w:rPr>
            </w:pPr>
            <w:r>
              <w:rPr>
                <w:rFonts w:ascii="Arial" w:cs="Arial" w:eastAsia="Arial" w:hAnsi="Arial"/>
                <w:sz w:val="10"/>
                <w:szCs w:val="10"/>
                <w:color w:val="auto"/>
              </w:rPr>
              <w:t>South</w:t>
            </w:r>
          </w:p>
        </w:tc>
        <w:tc>
          <w:tcPr>
            <w:tcW w:w="620" w:type="dxa"/>
            <w:vAlign w:val="bottom"/>
          </w:tcPr>
          <w:p>
            <w:pPr>
              <w:spacing w:after="0"/>
              <w:rPr>
                <w:sz w:val="12"/>
                <w:szCs w:val="12"/>
                <w:color w:val="auto"/>
              </w:rPr>
            </w:pPr>
          </w:p>
        </w:tc>
      </w:tr>
      <w:tr>
        <w:trPr>
          <w:trHeight w:val="126"/>
        </w:trPr>
        <w:tc>
          <w:tcPr>
            <w:tcW w:w="318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Europe</w:t>
            </w: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Asia</w:t>
            </w: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Oceania</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0"/>
                <w:szCs w:val="10"/>
                <w:color w:val="auto"/>
                <w:w w:val="93"/>
              </w:rPr>
              <w:t>Africa</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USA</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Canada</w:t>
            </w: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America</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r>
      <w:tr>
        <w:trPr>
          <w:trHeight w:val="115"/>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Third-party revenue</w:t>
            </w:r>
          </w:p>
        </w:tc>
        <w:tc>
          <w:tcPr>
            <w:tcW w:w="2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514</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3,464</w:t>
            </w: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65</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32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4,075</w:t>
            </w:r>
          </w:p>
        </w:tc>
      </w:tr>
      <w:tr>
        <w:trPr>
          <w:trHeight w:val="115"/>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2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514</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3,464</w:t>
            </w: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65</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32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4,075</w:t>
            </w:r>
          </w:p>
        </w:tc>
      </w:tr>
      <w:tr>
        <w:trPr>
          <w:trHeight w:val="113"/>
        </w:trPr>
        <w:tc>
          <w:tcPr>
            <w:tcW w:w="3180" w:type="dxa"/>
            <w:vAlign w:val="bottom"/>
          </w:tcPr>
          <w:p>
            <w:pPr>
              <w:spacing w:after="0" w:line="113" w:lineRule="exact"/>
              <w:rPr>
                <w:sz w:val="20"/>
                <w:szCs w:val="20"/>
                <w:color w:val="auto"/>
              </w:rPr>
            </w:pPr>
            <w:r>
              <w:rPr>
                <w:rFonts w:ascii="Arial" w:cs="Arial" w:eastAsia="Arial" w:hAnsi="Arial"/>
                <w:sz w:val="10"/>
                <w:szCs w:val="10"/>
                <w:color w:val="auto"/>
              </w:rPr>
              <w:t>Production costs excluding taxes</w:t>
            </w:r>
          </w:p>
        </w:tc>
        <w:tc>
          <w:tcPr>
            <w:tcW w:w="2220" w:type="dxa"/>
            <w:vAlign w:val="bottom"/>
          </w:tcPr>
          <w:p>
            <w:pPr>
              <w:jc w:val="right"/>
              <w:ind w:right="292"/>
              <w:spacing w:after="0" w:line="113" w:lineRule="exact"/>
              <w:rPr>
                <w:sz w:val="20"/>
                <w:szCs w:val="20"/>
                <w:color w:val="auto"/>
              </w:rPr>
            </w:pPr>
            <w:r>
              <w:rPr>
                <w:rFonts w:ascii="Arial" w:cs="Arial" w:eastAsia="Arial" w:hAnsi="Arial"/>
                <w:sz w:val="10"/>
                <w:szCs w:val="10"/>
                <w:color w:val="auto"/>
              </w:rPr>
              <w:t>272</w:t>
            </w:r>
          </w:p>
        </w:tc>
        <w:tc>
          <w:tcPr>
            <w:tcW w:w="840" w:type="dxa"/>
            <w:vAlign w:val="bottom"/>
          </w:tcPr>
          <w:p>
            <w:pPr>
              <w:jc w:val="right"/>
              <w:ind w:right="272"/>
              <w:spacing w:after="0" w:line="113" w:lineRule="exact"/>
              <w:rPr>
                <w:sz w:val="20"/>
                <w:szCs w:val="20"/>
                <w:color w:val="auto"/>
              </w:rPr>
            </w:pPr>
            <w:r>
              <w:rPr>
                <w:rFonts w:ascii="Arial" w:cs="Arial" w:eastAsia="Arial" w:hAnsi="Arial"/>
                <w:sz w:val="10"/>
                <w:szCs w:val="10"/>
                <w:color w:val="auto"/>
              </w:rPr>
              <w:t>726</w:t>
            </w:r>
          </w:p>
        </w:tc>
        <w:tc>
          <w:tcPr>
            <w:tcW w:w="900" w:type="dxa"/>
            <w:vAlign w:val="bottom"/>
          </w:tcPr>
          <w:p>
            <w:pPr>
              <w:jc w:val="right"/>
              <w:ind w:right="292"/>
              <w:spacing w:after="0" w:line="113" w:lineRule="exact"/>
              <w:rPr>
                <w:sz w:val="20"/>
                <w:szCs w:val="20"/>
                <w:color w:val="auto"/>
              </w:rPr>
            </w:pPr>
            <w:r>
              <w:rPr>
                <w:rFonts w:ascii="Arial" w:cs="Arial" w:eastAsia="Arial" w:hAnsi="Arial"/>
                <w:sz w:val="10"/>
                <w:szCs w:val="10"/>
                <w:color w:val="auto"/>
              </w:rPr>
              <w:t>72</w:t>
            </w:r>
          </w:p>
        </w:tc>
        <w:tc>
          <w:tcPr>
            <w:tcW w:w="580" w:type="dxa"/>
            <w:vAlign w:val="bottom"/>
          </w:tcPr>
          <w:p>
            <w:pPr>
              <w:ind w:left="440"/>
              <w:spacing w:after="0" w:line="113"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32"/>
              <w:spacing w:after="0" w:line="113" w:lineRule="exact"/>
              <w:rPr>
                <w:sz w:val="20"/>
                <w:szCs w:val="20"/>
                <w:color w:val="auto"/>
              </w:rPr>
            </w:pPr>
            <w:r>
              <w:rPr>
                <w:rFonts w:ascii="Arial" w:cs="Arial" w:eastAsia="Arial" w:hAnsi="Arial"/>
                <w:sz w:val="10"/>
                <w:szCs w:val="10"/>
                <w:color w:val="auto"/>
              </w:rPr>
              <w:t>—</w:t>
            </w:r>
          </w:p>
        </w:tc>
        <w:tc>
          <w:tcPr>
            <w:tcW w:w="7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252"/>
              <w:spacing w:after="0" w:line="113" w:lineRule="exact"/>
              <w:rPr>
                <w:sz w:val="20"/>
                <w:szCs w:val="20"/>
                <w:color w:val="auto"/>
              </w:rPr>
            </w:pPr>
            <w:r>
              <w:rPr>
                <w:rFonts w:ascii="Arial" w:cs="Arial" w:eastAsia="Arial" w:hAnsi="Arial"/>
                <w:sz w:val="10"/>
                <w:szCs w:val="10"/>
                <w:color w:val="auto"/>
              </w:rPr>
              <w:t>8</w:t>
            </w:r>
          </w:p>
        </w:tc>
        <w:tc>
          <w:tcPr>
            <w:tcW w:w="620" w:type="dxa"/>
            <w:vAlign w:val="bottom"/>
          </w:tcPr>
          <w:p>
            <w:pPr>
              <w:jc w:val="right"/>
              <w:spacing w:after="0" w:line="113" w:lineRule="exact"/>
              <w:rPr>
                <w:sz w:val="20"/>
                <w:szCs w:val="20"/>
                <w:color w:val="auto"/>
              </w:rPr>
            </w:pPr>
            <w:r>
              <w:rPr>
                <w:rFonts w:ascii="Arial" w:cs="Arial" w:eastAsia="Arial" w:hAnsi="Arial"/>
                <w:sz w:val="10"/>
                <w:szCs w:val="10"/>
                <w:color w:val="auto"/>
              </w:rPr>
              <w:t>1,078</w:t>
            </w:r>
          </w:p>
        </w:tc>
      </w:tr>
      <w:tr>
        <w:trPr>
          <w:trHeight w:val="123"/>
        </w:trPr>
        <w:tc>
          <w:tcPr>
            <w:tcW w:w="3180" w:type="dxa"/>
            <w:vAlign w:val="bottom"/>
          </w:tcPr>
          <w:p>
            <w:pPr>
              <w:spacing w:after="0"/>
              <w:rPr>
                <w:sz w:val="20"/>
                <w:szCs w:val="20"/>
                <w:color w:val="auto"/>
              </w:rPr>
            </w:pPr>
            <w:r>
              <w:rPr>
                <w:rFonts w:ascii="Arial" w:cs="Arial" w:eastAsia="Arial" w:hAnsi="Arial"/>
                <w:sz w:val="10"/>
                <w:szCs w:val="10"/>
                <w:color w:val="auto"/>
              </w:rPr>
              <w:t>Taxes other than income tax</w:t>
            </w:r>
          </w:p>
        </w:tc>
        <w:tc>
          <w:tcPr>
            <w:tcW w:w="2220" w:type="dxa"/>
            <w:vAlign w:val="bottom"/>
          </w:tcPr>
          <w:p>
            <w:pPr>
              <w:jc w:val="right"/>
              <w:ind w:right="292"/>
              <w:spacing w:after="0"/>
              <w:rPr>
                <w:sz w:val="20"/>
                <w:szCs w:val="20"/>
                <w:color w:val="auto"/>
              </w:rPr>
            </w:pPr>
            <w:r>
              <w:rPr>
                <w:rFonts w:ascii="Arial" w:cs="Arial" w:eastAsia="Arial" w:hAnsi="Arial"/>
                <w:sz w:val="10"/>
                <w:szCs w:val="10"/>
                <w:color w:val="auto"/>
              </w:rPr>
              <w:t>22</w:t>
            </w:r>
          </w:p>
        </w:tc>
        <w:tc>
          <w:tcPr>
            <w:tcW w:w="840" w:type="dxa"/>
            <w:vAlign w:val="bottom"/>
          </w:tcPr>
          <w:p>
            <w:pPr>
              <w:jc w:val="right"/>
              <w:ind w:right="272"/>
              <w:spacing w:after="0"/>
              <w:rPr>
                <w:sz w:val="20"/>
                <w:szCs w:val="20"/>
                <w:color w:val="auto"/>
              </w:rPr>
            </w:pPr>
            <w:r>
              <w:rPr>
                <w:rFonts w:ascii="Arial" w:cs="Arial" w:eastAsia="Arial" w:hAnsi="Arial"/>
                <w:sz w:val="10"/>
                <w:szCs w:val="10"/>
                <w:color w:val="auto"/>
              </w:rPr>
              <w:t>423</w:t>
            </w:r>
          </w:p>
        </w:tc>
        <w:tc>
          <w:tcPr>
            <w:tcW w:w="900" w:type="dxa"/>
            <w:vAlign w:val="bottom"/>
          </w:tcPr>
          <w:p>
            <w:pPr>
              <w:jc w:val="right"/>
              <w:ind w:right="292"/>
              <w:spacing w:after="0"/>
              <w:rPr>
                <w:sz w:val="20"/>
                <w:szCs w:val="20"/>
                <w:color w:val="auto"/>
              </w:rPr>
            </w:pPr>
            <w:r>
              <w:rPr>
                <w:rFonts w:ascii="Arial" w:cs="Arial" w:eastAsia="Arial" w:hAnsi="Arial"/>
                <w:sz w:val="10"/>
                <w:szCs w:val="10"/>
                <w:color w:val="auto"/>
              </w:rPr>
              <w:t>5</w:t>
            </w:r>
          </w:p>
        </w:tc>
        <w:tc>
          <w:tcPr>
            <w:tcW w:w="580" w:type="dxa"/>
            <w:vAlign w:val="bottom"/>
          </w:tcPr>
          <w:p>
            <w:pPr>
              <w:ind w:left="440"/>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4</w:t>
            </w:r>
          </w:p>
        </w:tc>
        <w:tc>
          <w:tcPr>
            <w:tcW w:w="620" w:type="dxa"/>
            <w:vAlign w:val="bottom"/>
          </w:tcPr>
          <w:p>
            <w:pPr>
              <w:jc w:val="right"/>
              <w:spacing w:after="0"/>
              <w:rPr>
                <w:sz w:val="20"/>
                <w:szCs w:val="20"/>
                <w:color w:val="auto"/>
              </w:rPr>
            </w:pPr>
            <w:r>
              <w:rPr>
                <w:rFonts w:ascii="Arial" w:cs="Arial" w:eastAsia="Arial" w:hAnsi="Arial"/>
                <w:sz w:val="10"/>
                <w:szCs w:val="10"/>
                <w:color w:val="auto"/>
              </w:rPr>
              <w:t>454</w:t>
            </w:r>
          </w:p>
        </w:tc>
      </w:tr>
      <w:tr>
        <w:trPr>
          <w:trHeight w:val="126"/>
        </w:trPr>
        <w:tc>
          <w:tcPr>
            <w:tcW w:w="3180" w:type="dxa"/>
            <w:vAlign w:val="bottom"/>
          </w:tcPr>
          <w:p>
            <w:pPr>
              <w:spacing w:after="0"/>
              <w:rPr>
                <w:sz w:val="20"/>
                <w:szCs w:val="20"/>
                <w:color w:val="auto"/>
              </w:rPr>
            </w:pPr>
            <w:r>
              <w:rPr>
                <w:rFonts w:ascii="Arial" w:cs="Arial" w:eastAsia="Arial" w:hAnsi="Arial"/>
                <w:sz w:val="10"/>
                <w:szCs w:val="10"/>
                <w:color w:val="auto"/>
              </w:rPr>
              <w:t>Exploration</w:t>
            </w:r>
          </w:p>
        </w:tc>
        <w:tc>
          <w:tcPr>
            <w:tcW w:w="2220" w:type="dxa"/>
            <w:vAlign w:val="bottom"/>
          </w:tcPr>
          <w:p>
            <w:pPr>
              <w:jc w:val="right"/>
              <w:ind w:right="292"/>
              <w:spacing w:after="0"/>
              <w:rPr>
                <w:sz w:val="20"/>
                <w:szCs w:val="20"/>
                <w:color w:val="auto"/>
              </w:rPr>
            </w:pPr>
            <w:r>
              <w:rPr>
                <w:rFonts w:ascii="Arial" w:cs="Arial" w:eastAsia="Arial" w:hAnsi="Arial"/>
                <w:sz w:val="10"/>
                <w:szCs w:val="10"/>
                <w:color w:val="auto"/>
              </w:rPr>
              <w:t>2</w:t>
            </w:r>
          </w:p>
        </w:tc>
        <w:tc>
          <w:tcPr>
            <w:tcW w:w="840" w:type="dxa"/>
            <w:vAlign w:val="bottom"/>
          </w:tcPr>
          <w:p>
            <w:pPr>
              <w:jc w:val="right"/>
              <w:ind w:right="272"/>
              <w:spacing w:after="0"/>
              <w:rPr>
                <w:sz w:val="20"/>
                <w:szCs w:val="20"/>
                <w:color w:val="auto"/>
              </w:rPr>
            </w:pPr>
            <w:r>
              <w:rPr>
                <w:rFonts w:ascii="Arial" w:cs="Arial" w:eastAsia="Arial" w:hAnsi="Arial"/>
                <w:sz w:val="10"/>
                <w:szCs w:val="10"/>
                <w:color w:val="auto"/>
              </w:rPr>
              <w:t>97</w:t>
            </w:r>
          </w:p>
        </w:tc>
        <w:tc>
          <w:tcPr>
            <w:tcW w:w="90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580" w:type="dxa"/>
            <w:vAlign w:val="bottom"/>
          </w:tcPr>
          <w:p>
            <w:pPr>
              <w:ind w:left="440"/>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99</w:t>
            </w:r>
          </w:p>
        </w:tc>
      </w:tr>
      <w:tr>
        <w:trPr>
          <w:trHeight w:val="126"/>
        </w:trPr>
        <w:tc>
          <w:tcPr>
            <w:tcW w:w="3180" w:type="dxa"/>
            <w:vAlign w:val="bottom"/>
          </w:tcPr>
          <w:p>
            <w:pPr>
              <w:spacing w:after="0"/>
              <w:rPr>
                <w:sz w:val="20"/>
                <w:szCs w:val="20"/>
                <w:color w:val="auto"/>
              </w:rPr>
            </w:pPr>
            <w:r>
              <w:rPr>
                <w:rFonts w:ascii="Arial" w:cs="Arial" w:eastAsia="Arial" w:hAnsi="Arial"/>
                <w:sz w:val="10"/>
                <w:szCs w:val="10"/>
                <w:color w:val="auto"/>
              </w:rPr>
              <w:t>Depreciation, depletion and amortisation</w:t>
            </w:r>
          </w:p>
        </w:tc>
        <w:tc>
          <w:tcPr>
            <w:tcW w:w="2220" w:type="dxa"/>
            <w:vAlign w:val="bottom"/>
          </w:tcPr>
          <w:p>
            <w:pPr>
              <w:jc w:val="right"/>
              <w:ind w:right="292"/>
              <w:spacing w:after="0"/>
              <w:rPr>
                <w:sz w:val="20"/>
                <w:szCs w:val="20"/>
                <w:color w:val="auto"/>
              </w:rPr>
            </w:pPr>
            <w:r>
              <w:rPr>
                <w:rFonts w:ascii="Arial" w:cs="Arial" w:eastAsia="Arial" w:hAnsi="Arial"/>
                <w:sz w:val="10"/>
                <w:szCs w:val="10"/>
                <w:color w:val="auto"/>
              </w:rPr>
              <w:t>366</w:t>
            </w:r>
          </w:p>
        </w:tc>
        <w:tc>
          <w:tcPr>
            <w:tcW w:w="840" w:type="dxa"/>
            <w:vAlign w:val="bottom"/>
          </w:tcPr>
          <w:p>
            <w:pPr>
              <w:jc w:val="right"/>
              <w:ind w:right="272"/>
              <w:spacing w:after="0"/>
              <w:rPr>
                <w:sz w:val="20"/>
                <w:szCs w:val="20"/>
                <w:color w:val="auto"/>
              </w:rPr>
            </w:pPr>
            <w:r>
              <w:rPr>
                <w:rFonts w:ascii="Arial" w:cs="Arial" w:eastAsia="Arial" w:hAnsi="Arial"/>
                <w:sz w:val="10"/>
                <w:szCs w:val="10"/>
                <w:color w:val="auto"/>
              </w:rPr>
              <w:t>1,219</w:t>
            </w:r>
          </w:p>
        </w:tc>
        <w:tc>
          <w:tcPr>
            <w:tcW w:w="900" w:type="dxa"/>
            <w:vAlign w:val="bottom"/>
          </w:tcPr>
          <w:p>
            <w:pPr>
              <w:jc w:val="right"/>
              <w:ind w:right="292"/>
              <w:spacing w:after="0"/>
              <w:rPr>
                <w:sz w:val="20"/>
                <w:szCs w:val="20"/>
                <w:color w:val="auto"/>
              </w:rPr>
            </w:pPr>
            <w:r>
              <w:rPr>
                <w:rFonts w:ascii="Arial" w:cs="Arial" w:eastAsia="Arial" w:hAnsi="Arial"/>
                <w:sz w:val="10"/>
                <w:szCs w:val="10"/>
                <w:color w:val="auto"/>
              </w:rPr>
              <w:t>270</w:t>
            </w:r>
          </w:p>
        </w:tc>
        <w:tc>
          <w:tcPr>
            <w:tcW w:w="580" w:type="dxa"/>
            <w:vAlign w:val="bottom"/>
          </w:tcPr>
          <w:p>
            <w:pPr>
              <w:ind w:left="440"/>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(7)</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23</w:t>
            </w:r>
          </w:p>
        </w:tc>
        <w:tc>
          <w:tcPr>
            <w:tcW w:w="620" w:type="dxa"/>
            <w:vAlign w:val="bottom"/>
          </w:tcPr>
          <w:p>
            <w:pPr>
              <w:jc w:val="right"/>
              <w:spacing w:after="0"/>
              <w:rPr>
                <w:sz w:val="20"/>
                <w:szCs w:val="20"/>
                <w:color w:val="auto"/>
              </w:rPr>
            </w:pPr>
            <w:r>
              <w:rPr>
                <w:rFonts w:ascii="Arial" w:cs="Arial" w:eastAsia="Arial" w:hAnsi="Arial"/>
                <w:sz w:val="10"/>
                <w:szCs w:val="10"/>
                <w:color w:val="auto"/>
              </w:rPr>
              <w:t>1,871</w:t>
            </w:r>
          </w:p>
        </w:tc>
      </w:tr>
      <w:tr>
        <w:trPr>
          <w:trHeight w:val="130"/>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costs/(income)</w:t>
            </w:r>
          </w:p>
        </w:tc>
        <w:tc>
          <w:tcPr>
            <w:tcW w:w="2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296</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365</w:t>
            </w: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(14)</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12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658</w:t>
            </w:r>
          </w:p>
        </w:tc>
      </w:tr>
      <w:tr>
        <w:trPr>
          <w:trHeight w:val="114"/>
        </w:trPr>
        <w:tc>
          <w:tcPr>
            <w:tcW w:w="3180" w:type="dxa"/>
            <w:vAlign w:val="bottom"/>
          </w:tcPr>
          <w:p>
            <w:pPr>
              <w:spacing w:after="0"/>
              <w:rPr>
                <w:sz w:val="20"/>
                <w:szCs w:val="20"/>
                <w:color w:val="auto"/>
              </w:rPr>
            </w:pPr>
            <w:r>
              <w:rPr>
                <w:rFonts w:ascii="Arial" w:cs="Arial" w:eastAsia="Arial" w:hAnsi="Arial"/>
                <w:sz w:val="10"/>
                <w:szCs w:val="10"/>
                <w:color w:val="auto"/>
              </w:rPr>
              <w:t>Earnings before taxation</w:t>
            </w:r>
          </w:p>
        </w:tc>
        <w:tc>
          <w:tcPr>
            <w:tcW w:w="2220" w:type="dxa"/>
            <w:vAlign w:val="bottom"/>
          </w:tcPr>
          <w:p>
            <w:pPr>
              <w:jc w:val="right"/>
              <w:ind w:right="272"/>
              <w:spacing w:after="0"/>
              <w:rPr>
                <w:sz w:val="20"/>
                <w:szCs w:val="20"/>
                <w:color w:val="auto"/>
              </w:rPr>
            </w:pPr>
            <w:r>
              <w:rPr>
                <w:rFonts w:ascii="Arial" w:cs="Arial" w:eastAsia="Arial" w:hAnsi="Arial"/>
                <w:sz w:val="10"/>
                <w:szCs w:val="10"/>
                <w:color w:val="auto"/>
              </w:rPr>
              <w:t>(444)</w:t>
            </w:r>
          </w:p>
        </w:tc>
        <w:tc>
          <w:tcPr>
            <w:tcW w:w="840" w:type="dxa"/>
            <w:vAlign w:val="bottom"/>
          </w:tcPr>
          <w:p>
            <w:pPr>
              <w:jc w:val="right"/>
              <w:ind w:right="272"/>
              <w:spacing w:after="0"/>
              <w:rPr>
                <w:sz w:val="20"/>
                <w:szCs w:val="20"/>
                <w:color w:val="auto"/>
              </w:rPr>
            </w:pPr>
            <w:r>
              <w:rPr>
                <w:rFonts w:ascii="Arial" w:cs="Arial" w:eastAsia="Arial" w:hAnsi="Arial"/>
                <w:sz w:val="10"/>
                <w:szCs w:val="10"/>
                <w:color w:val="auto"/>
              </w:rPr>
              <w:t>634</w:t>
            </w:r>
          </w:p>
        </w:tc>
        <w:tc>
          <w:tcPr>
            <w:tcW w:w="900" w:type="dxa"/>
            <w:vAlign w:val="bottom"/>
          </w:tcPr>
          <w:p>
            <w:pPr>
              <w:jc w:val="right"/>
              <w:ind w:right="272"/>
              <w:spacing w:after="0"/>
              <w:rPr>
                <w:sz w:val="20"/>
                <w:szCs w:val="20"/>
                <w:color w:val="auto"/>
              </w:rPr>
            </w:pPr>
            <w:r>
              <w:rPr>
                <w:rFonts w:ascii="Arial" w:cs="Arial" w:eastAsia="Arial" w:hAnsi="Arial"/>
                <w:sz w:val="10"/>
                <w:szCs w:val="10"/>
                <w:color w:val="auto"/>
              </w:rPr>
              <w:t>(268)</w:t>
            </w:r>
          </w:p>
        </w:tc>
        <w:tc>
          <w:tcPr>
            <w:tcW w:w="580" w:type="dxa"/>
            <w:vAlign w:val="bottom"/>
          </w:tcPr>
          <w:p>
            <w:pPr>
              <w:ind w:left="440"/>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8</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32"/>
              <w:spacing w:after="0"/>
              <w:rPr>
                <w:sz w:val="20"/>
                <w:szCs w:val="20"/>
                <w:color w:val="auto"/>
              </w:rPr>
            </w:pPr>
            <w:r>
              <w:rPr>
                <w:rFonts w:ascii="Arial" w:cs="Arial" w:eastAsia="Arial" w:hAnsi="Arial"/>
                <w:sz w:val="10"/>
                <w:szCs w:val="10"/>
                <w:color w:val="auto"/>
              </w:rPr>
              <w:t>(15)</w:t>
            </w:r>
          </w:p>
        </w:tc>
        <w:tc>
          <w:tcPr>
            <w:tcW w:w="620" w:type="dxa"/>
            <w:vAlign w:val="bottom"/>
          </w:tcPr>
          <w:p>
            <w:pPr>
              <w:jc w:val="right"/>
              <w:spacing w:after="0"/>
              <w:rPr>
                <w:sz w:val="20"/>
                <w:szCs w:val="20"/>
                <w:color w:val="auto"/>
              </w:rPr>
            </w:pPr>
            <w:r>
              <w:rPr>
                <w:rFonts w:ascii="Arial" w:cs="Arial" w:eastAsia="Arial" w:hAnsi="Arial"/>
                <w:sz w:val="10"/>
                <w:szCs w:val="10"/>
                <w:color w:val="auto"/>
              </w:rPr>
              <w:t>(85)</w:t>
            </w:r>
          </w:p>
        </w:tc>
      </w:tr>
      <w:tr>
        <w:trPr>
          <w:trHeight w:val="127"/>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Taxation charge</w:t>
            </w:r>
          </w:p>
        </w:tc>
        <w:tc>
          <w:tcPr>
            <w:tcW w:w="22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(281)</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162</w:t>
            </w: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(126)</w:t>
            </w:r>
          </w:p>
        </w:tc>
      </w:tr>
      <w:tr>
        <w:trPr>
          <w:trHeight w:val="146"/>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Earnings after taxation</w:t>
            </w:r>
          </w:p>
        </w:tc>
        <w:tc>
          <w:tcPr>
            <w:tcW w:w="22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(163)</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472</w:t>
            </w: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(268)</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(6)</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color w:val="auto"/>
              </w:rPr>
              <w:t>41</w:t>
            </w:r>
          </w:p>
        </w:tc>
      </w:tr>
      <w:tr>
        <w:trPr>
          <w:trHeight w:val="149"/>
        </w:trPr>
        <w:tc>
          <w:tcPr>
            <w:tcW w:w="3180" w:type="dxa"/>
            <w:vAlign w:val="bottom"/>
            <w:tcBorders>
              <w:bottom w:val="single" w:sz="8" w:color="CDCDCD"/>
            </w:tcBorders>
          </w:tcPr>
          <w:p>
            <w:pPr>
              <w:spacing w:after="0"/>
              <w:rPr>
                <w:sz w:val="12"/>
                <w:szCs w:val="12"/>
                <w:color w:val="auto"/>
              </w:rPr>
            </w:pPr>
          </w:p>
        </w:tc>
        <w:tc>
          <w:tcPr>
            <w:tcW w:w="2220" w:type="dxa"/>
            <w:vAlign w:val="bottom"/>
            <w:tcBorders>
              <w:bottom w:val="single" w:sz="8" w:color="CDCDCD"/>
            </w:tcBorders>
          </w:tcPr>
          <w:p>
            <w:pPr>
              <w:spacing w:after="0"/>
              <w:rPr>
                <w:sz w:val="12"/>
                <w:szCs w:val="12"/>
                <w:color w:val="auto"/>
              </w:rPr>
            </w:pPr>
          </w:p>
        </w:tc>
        <w:tc>
          <w:tcPr>
            <w:tcW w:w="840" w:type="dxa"/>
            <w:vAlign w:val="bottom"/>
            <w:tcBorders>
              <w:bottom w:val="single" w:sz="8" w:color="CDCDCD"/>
            </w:tcBorders>
          </w:tcPr>
          <w:p>
            <w:pPr>
              <w:spacing w:after="0"/>
              <w:rPr>
                <w:sz w:val="12"/>
                <w:szCs w:val="12"/>
                <w:color w:val="auto"/>
              </w:rPr>
            </w:pPr>
          </w:p>
        </w:tc>
        <w:tc>
          <w:tcPr>
            <w:tcW w:w="900" w:type="dxa"/>
            <w:vAlign w:val="bottom"/>
            <w:tcBorders>
              <w:bottom w:val="single" w:sz="8" w:color="CDCDCD"/>
            </w:tcBorders>
          </w:tcPr>
          <w:p>
            <w:pPr>
              <w:spacing w:after="0"/>
              <w:rPr>
                <w:sz w:val="12"/>
                <w:szCs w:val="12"/>
                <w:color w:val="auto"/>
              </w:rPr>
            </w:pPr>
          </w:p>
        </w:tc>
        <w:tc>
          <w:tcPr>
            <w:tcW w:w="580" w:type="dxa"/>
            <w:vAlign w:val="bottom"/>
            <w:tcBorders>
              <w:bottom w:val="single" w:sz="8" w:color="CDCDCD"/>
            </w:tcBorders>
          </w:tcPr>
          <w:p>
            <w:pPr>
              <w:spacing w:after="0"/>
              <w:rPr>
                <w:sz w:val="12"/>
                <w:szCs w:val="12"/>
                <w:color w:val="auto"/>
              </w:rPr>
            </w:pPr>
          </w:p>
        </w:tc>
        <w:tc>
          <w:tcPr>
            <w:tcW w:w="1000" w:type="dxa"/>
            <w:vAlign w:val="bottom"/>
            <w:tcBorders>
              <w:bottom w:val="single" w:sz="8" w:color="CDCDCD"/>
            </w:tcBorders>
          </w:tcPr>
          <w:p>
            <w:pPr>
              <w:spacing w:after="0"/>
              <w:rPr>
                <w:sz w:val="12"/>
                <w:szCs w:val="12"/>
                <w:color w:val="auto"/>
              </w:rPr>
            </w:pPr>
          </w:p>
        </w:tc>
        <w:tc>
          <w:tcPr>
            <w:tcW w:w="740" w:type="dxa"/>
            <w:vAlign w:val="bottom"/>
            <w:tcBorders>
              <w:bottom w:val="single" w:sz="8" w:color="CDCDCD"/>
            </w:tcBorders>
          </w:tcPr>
          <w:p>
            <w:pPr>
              <w:spacing w:after="0"/>
              <w:rPr>
                <w:sz w:val="12"/>
                <w:szCs w:val="12"/>
                <w:color w:val="auto"/>
              </w:rPr>
            </w:pPr>
          </w:p>
        </w:tc>
        <w:tc>
          <w:tcPr>
            <w:tcW w:w="1140" w:type="dxa"/>
            <w:vAlign w:val="bottom"/>
            <w:tcBorders>
              <w:bottom w:val="single" w:sz="8" w:color="CDCDCD"/>
            </w:tcBorders>
          </w:tcPr>
          <w:p>
            <w:pPr>
              <w:spacing w:after="0"/>
              <w:rPr>
                <w:sz w:val="12"/>
                <w:szCs w:val="12"/>
                <w:color w:val="auto"/>
              </w:rPr>
            </w:pPr>
          </w:p>
        </w:tc>
        <w:tc>
          <w:tcPr>
            <w:tcW w:w="620" w:type="dxa"/>
            <w:vAlign w:val="bottom"/>
            <w:tcBorders>
              <w:bottom w:val="single" w:sz="8" w:color="CDCDCD"/>
            </w:tcBorders>
          </w:tcPr>
          <w:p>
            <w:pPr>
              <w:spacing w:after="0"/>
              <w:rPr>
                <w:sz w:val="12"/>
                <w:szCs w:val="12"/>
                <w:color w:val="auto"/>
              </w:rPr>
            </w:pPr>
          </w:p>
        </w:tc>
      </w:t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2019</w:t>
            </w:r>
          </w:p>
        </w:tc>
        <w:tc>
          <w:tcPr>
            <w:tcW w:w="2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 million</w:t>
            </w:r>
          </w:p>
        </w:tc>
      </w:tr>
      <w:tr>
        <w:trPr>
          <w:trHeight w:val="145"/>
        </w:trPr>
        <w:tc>
          <w:tcPr>
            <w:tcW w:w="3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140" w:type="dxa"/>
            <w:vAlign w:val="bottom"/>
          </w:tcPr>
          <w:p>
            <w:pPr>
              <w:jc w:val="right"/>
              <w:ind w:right="232"/>
              <w:spacing w:after="0"/>
              <w:rPr>
                <w:sz w:val="20"/>
                <w:szCs w:val="20"/>
                <w:color w:val="auto"/>
              </w:rPr>
            </w:pPr>
            <w:r>
              <w:rPr>
                <w:rFonts w:ascii="Arial" w:cs="Arial" w:eastAsia="Arial" w:hAnsi="Arial"/>
                <w:sz w:val="10"/>
                <w:szCs w:val="10"/>
                <w:color w:val="auto"/>
              </w:rPr>
              <w:t>South</w:t>
            </w:r>
          </w:p>
        </w:tc>
        <w:tc>
          <w:tcPr>
            <w:tcW w:w="620" w:type="dxa"/>
            <w:vAlign w:val="bottom"/>
          </w:tcPr>
          <w:p>
            <w:pPr>
              <w:spacing w:after="0"/>
              <w:rPr>
                <w:sz w:val="12"/>
                <w:szCs w:val="12"/>
                <w:color w:val="auto"/>
              </w:rPr>
            </w:pPr>
          </w:p>
        </w:tc>
      </w:tr>
      <w:tr>
        <w:trPr>
          <w:trHeight w:val="126"/>
        </w:trPr>
        <w:tc>
          <w:tcPr>
            <w:tcW w:w="318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Europe</w:t>
            </w: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Asia</w:t>
            </w: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Oceania</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0"/>
                <w:szCs w:val="10"/>
                <w:color w:val="auto"/>
                <w:w w:val="93"/>
              </w:rPr>
              <w:t>Africa</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USA</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Canada</w:t>
            </w: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America</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r>
      <w:tr>
        <w:trPr>
          <w:trHeight w:val="115"/>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Third-party revenue</w:t>
            </w:r>
          </w:p>
        </w:tc>
        <w:tc>
          <w:tcPr>
            <w:tcW w:w="2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1,233</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5,475</w:t>
            </w: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81</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6,789</w:t>
            </w:r>
          </w:p>
        </w:tc>
      </w:tr>
      <w:tr>
        <w:trPr>
          <w:trHeight w:val="115"/>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2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1,233</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5,475</w:t>
            </w: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81</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6,789</w:t>
            </w:r>
          </w:p>
        </w:tc>
      </w:tr>
      <w:tr>
        <w:trPr>
          <w:trHeight w:val="113"/>
        </w:trPr>
        <w:tc>
          <w:tcPr>
            <w:tcW w:w="3180" w:type="dxa"/>
            <w:vAlign w:val="bottom"/>
          </w:tcPr>
          <w:p>
            <w:pPr>
              <w:spacing w:after="0" w:line="113" w:lineRule="exact"/>
              <w:rPr>
                <w:sz w:val="20"/>
                <w:szCs w:val="20"/>
                <w:color w:val="auto"/>
              </w:rPr>
            </w:pPr>
            <w:r>
              <w:rPr>
                <w:rFonts w:ascii="Arial" w:cs="Arial" w:eastAsia="Arial" w:hAnsi="Arial"/>
                <w:sz w:val="10"/>
                <w:szCs w:val="10"/>
                <w:color w:val="auto"/>
              </w:rPr>
              <w:t>Production costs excluding taxes</w:t>
            </w:r>
          </w:p>
        </w:tc>
        <w:tc>
          <w:tcPr>
            <w:tcW w:w="2220" w:type="dxa"/>
            <w:vAlign w:val="bottom"/>
          </w:tcPr>
          <w:p>
            <w:pPr>
              <w:jc w:val="right"/>
              <w:ind w:right="292"/>
              <w:spacing w:after="0" w:line="113" w:lineRule="exact"/>
              <w:rPr>
                <w:sz w:val="20"/>
                <w:szCs w:val="20"/>
                <w:color w:val="auto"/>
              </w:rPr>
            </w:pPr>
            <w:r>
              <w:rPr>
                <w:rFonts w:ascii="Arial" w:cs="Arial" w:eastAsia="Arial" w:hAnsi="Arial"/>
                <w:sz w:val="10"/>
                <w:szCs w:val="10"/>
                <w:color w:val="auto"/>
              </w:rPr>
              <w:t>249</w:t>
            </w:r>
          </w:p>
        </w:tc>
        <w:tc>
          <w:tcPr>
            <w:tcW w:w="840" w:type="dxa"/>
            <w:vAlign w:val="bottom"/>
          </w:tcPr>
          <w:p>
            <w:pPr>
              <w:jc w:val="right"/>
              <w:ind w:right="272"/>
              <w:spacing w:after="0" w:line="113" w:lineRule="exact"/>
              <w:rPr>
                <w:sz w:val="20"/>
                <w:szCs w:val="20"/>
                <w:color w:val="auto"/>
              </w:rPr>
            </w:pPr>
            <w:r>
              <w:rPr>
                <w:rFonts w:ascii="Arial" w:cs="Arial" w:eastAsia="Arial" w:hAnsi="Arial"/>
                <w:sz w:val="10"/>
                <w:szCs w:val="10"/>
                <w:color w:val="auto"/>
              </w:rPr>
              <w:t>669</w:t>
            </w:r>
          </w:p>
        </w:tc>
        <w:tc>
          <w:tcPr>
            <w:tcW w:w="900" w:type="dxa"/>
            <w:vAlign w:val="bottom"/>
          </w:tcPr>
          <w:p>
            <w:pPr>
              <w:jc w:val="right"/>
              <w:ind w:right="292"/>
              <w:spacing w:after="0" w:line="113" w:lineRule="exact"/>
              <w:rPr>
                <w:sz w:val="20"/>
                <w:szCs w:val="20"/>
                <w:color w:val="auto"/>
              </w:rPr>
            </w:pPr>
            <w:r>
              <w:rPr>
                <w:rFonts w:ascii="Arial" w:cs="Arial" w:eastAsia="Arial" w:hAnsi="Arial"/>
                <w:sz w:val="10"/>
                <w:szCs w:val="10"/>
                <w:color w:val="auto"/>
              </w:rPr>
              <w:t>88</w:t>
            </w:r>
          </w:p>
        </w:tc>
        <w:tc>
          <w:tcPr>
            <w:tcW w:w="580" w:type="dxa"/>
            <w:vAlign w:val="bottom"/>
          </w:tcPr>
          <w:p>
            <w:pPr>
              <w:ind w:left="440"/>
              <w:spacing w:after="0" w:line="113"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32"/>
              <w:spacing w:after="0" w:line="113" w:lineRule="exact"/>
              <w:rPr>
                <w:sz w:val="20"/>
                <w:szCs w:val="20"/>
                <w:color w:val="auto"/>
              </w:rPr>
            </w:pPr>
            <w:r>
              <w:rPr>
                <w:rFonts w:ascii="Arial" w:cs="Arial" w:eastAsia="Arial" w:hAnsi="Arial"/>
                <w:sz w:val="10"/>
                <w:szCs w:val="10"/>
                <w:color w:val="auto"/>
              </w:rPr>
              <w:t>—</w:t>
            </w:r>
          </w:p>
        </w:tc>
        <w:tc>
          <w:tcPr>
            <w:tcW w:w="7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252"/>
              <w:spacing w:after="0" w:line="113" w:lineRule="exact"/>
              <w:rPr>
                <w:sz w:val="20"/>
                <w:szCs w:val="20"/>
                <w:color w:val="auto"/>
              </w:rPr>
            </w:pPr>
            <w:r>
              <w:rPr>
                <w:rFonts w:ascii="Arial" w:cs="Arial" w:eastAsia="Arial" w:hAnsi="Arial"/>
                <w:sz w:val="10"/>
                <w:szCs w:val="10"/>
                <w:color w:val="auto"/>
              </w:rPr>
              <w:t>—</w:t>
            </w:r>
          </w:p>
        </w:tc>
        <w:tc>
          <w:tcPr>
            <w:tcW w:w="620" w:type="dxa"/>
            <w:vAlign w:val="bottom"/>
          </w:tcPr>
          <w:p>
            <w:pPr>
              <w:jc w:val="right"/>
              <w:spacing w:after="0" w:line="113" w:lineRule="exact"/>
              <w:rPr>
                <w:sz w:val="20"/>
                <w:szCs w:val="20"/>
                <w:color w:val="auto"/>
              </w:rPr>
            </w:pPr>
            <w:r>
              <w:rPr>
                <w:rFonts w:ascii="Arial" w:cs="Arial" w:eastAsia="Arial" w:hAnsi="Arial"/>
                <w:sz w:val="10"/>
                <w:szCs w:val="10"/>
                <w:color w:val="auto"/>
              </w:rPr>
              <w:t>1,006</w:t>
            </w:r>
          </w:p>
        </w:tc>
      </w:tr>
      <w:tr>
        <w:trPr>
          <w:trHeight w:val="123"/>
        </w:trPr>
        <w:tc>
          <w:tcPr>
            <w:tcW w:w="3180" w:type="dxa"/>
            <w:vAlign w:val="bottom"/>
          </w:tcPr>
          <w:p>
            <w:pPr>
              <w:spacing w:after="0"/>
              <w:rPr>
                <w:sz w:val="20"/>
                <w:szCs w:val="20"/>
                <w:color w:val="auto"/>
              </w:rPr>
            </w:pPr>
            <w:r>
              <w:rPr>
                <w:rFonts w:ascii="Arial" w:cs="Arial" w:eastAsia="Arial" w:hAnsi="Arial"/>
                <w:sz w:val="10"/>
                <w:szCs w:val="10"/>
                <w:color w:val="auto"/>
              </w:rPr>
              <w:t>Taxes other than income tax</w:t>
            </w:r>
          </w:p>
        </w:tc>
        <w:tc>
          <w:tcPr>
            <w:tcW w:w="2220" w:type="dxa"/>
            <w:vAlign w:val="bottom"/>
          </w:tcPr>
          <w:p>
            <w:pPr>
              <w:jc w:val="right"/>
              <w:ind w:right="292"/>
              <w:spacing w:after="0"/>
              <w:rPr>
                <w:sz w:val="20"/>
                <w:szCs w:val="20"/>
                <w:color w:val="auto"/>
              </w:rPr>
            </w:pPr>
            <w:r>
              <w:rPr>
                <w:rFonts w:ascii="Arial" w:cs="Arial" w:eastAsia="Arial" w:hAnsi="Arial"/>
                <w:sz w:val="10"/>
                <w:szCs w:val="10"/>
                <w:color w:val="auto"/>
              </w:rPr>
              <w:t>75</w:t>
            </w:r>
          </w:p>
        </w:tc>
        <w:tc>
          <w:tcPr>
            <w:tcW w:w="840" w:type="dxa"/>
            <w:vAlign w:val="bottom"/>
          </w:tcPr>
          <w:p>
            <w:pPr>
              <w:jc w:val="right"/>
              <w:ind w:right="272"/>
              <w:spacing w:after="0"/>
              <w:rPr>
                <w:sz w:val="20"/>
                <w:szCs w:val="20"/>
                <w:color w:val="auto"/>
              </w:rPr>
            </w:pPr>
            <w:r>
              <w:rPr>
                <w:rFonts w:ascii="Arial" w:cs="Arial" w:eastAsia="Arial" w:hAnsi="Arial"/>
                <w:sz w:val="10"/>
                <w:szCs w:val="10"/>
                <w:color w:val="auto"/>
              </w:rPr>
              <w:t>1,037</w:t>
            </w:r>
          </w:p>
        </w:tc>
        <w:tc>
          <w:tcPr>
            <w:tcW w:w="900" w:type="dxa"/>
            <w:vAlign w:val="bottom"/>
          </w:tcPr>
          <w:p>
            <w:pPr>
              <w:jc w:val="right"/>
              <w:ind w:right="292"/>
              <w:spacing w:after="0"/>
              <w:rPr>
                <w:sz w:val="20"/>
                <w:szCs w:val="20"/>
                <w:color w:val="auto"/>
              </w:rPr>
            </w:pPr>
            <w:r>
              <w:rPr>
                <w:rFonts w:ascii="Arial" w:cs="Arial" w:eastAsia="Arial" w:hAnsi="Arial"/>
                <w:sz w:val="10"/>
                <w:szCs w:val="10"/>
                <w:color w:val="auto"/>
              </w:rPr>
              <w:t>6</w:t>
            </w:r>
          </w:p>
        </w:tc>
        <w:tc>
          <w:tcPr>
            <w:tcW w:w="580" w:type="dxa"/>
            <w:vAlign w:val="bottom"/>
          </w:tcPr>
          <w:p>
            <w:pPr>
              <w:ind w:left="440"/>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1,118</w:t>
            </w:r>
          </w:p>
        </w:tc>
      </w:tr>
      <w:tr>
        <w:trPr>
          <w:trHeight w:val="126"/>
        </w:trPr>
        <w:tc>
          <w:tcPr>
            <w:tcW w:w="3180" w:type="dxa"/>
            <w:vAlign w:val="bottom"/>
          </w:tcPr>
          <w:p>
            <w:pPr>
              <w:spacing w:after="0"/>
              <w:rPr>
                <w:sz w:val="20"/>
                <w:szCs w:val="20"/>
                <w:color w:val="auto"/>
              </w:rPr>
            </w:pPr>
            <w:r>
              <w:rPr>
                <w:rFonts w:ascii="Arial" w:cs="Arial" w:eastAsia="Arial" w:hAnsi="Arial"/>
                <w:sz w:val="10"/>
                <w:szCs w:val="10"/>
                <w:color w:val="auto"/>
              </w:rPr>
              <w:t>Exploration</w:t>
            </w:r>
          </w:p>
        </w:tc>
        <w:tc>
          <w:tcPr>
            <w:tcW w:w="2220" w:type="dxa"/>
            <w:vAlign w:val="bottom"/>
          </w:tcPr>
          <w:p>
            <w:pPr>
              <w:jc w:val="right"/>
              <w:ind w:right="292"/>
              <w:spacing w:after="0"/>
              <w:rPr>
                <w:sz w:val="20"/>
                <w:szCs w:val="20"/>
                <w:color w:val="auto"/>
              </w:rPr>
            </w:pPr>
            <w:r>
              <w:rPr>
                <w:rFonts w:ascii="Arial" w:cs="Arial" w:eastAsia="Arial" w:hAnsi="Arial"/>
                <w:sz w:val="10"/>
                <w:szCs w:val="10"/>
                <w:color w:val="auto"/>
              </w:rPr>
              <w:t>4</w:t>
            </w:r>
          </w:p>
        </w:tc>
        <w:tc>
          <w:tcPr>
            <w:tcW w:w="840" w:type="dxa"/>
            <w:vAlign w:val="bottom"/>
          </w:tcPr>
          <w:p>
            <w:pPr>
              <w:jc w:val="right"/>
              <w:ind w:right="272"/>
              <w:spacing w:after="0"/>
              <w:rPr>
                <w:sz w:val="20"/>
                <w:szCs w:val="20"/>
                <w:color w:val="auto"/>
              </w:rPr>
            </w:pPr>
            <w:r>
              <w:rPr>
                <w:rFonts w:ascii="Arial" w:cs="Arial" w:eastAsia="Arial" w:hAnsi="Arial"/>
                <w:sz w:val="10"/>
                <w:szCs w:val="10"/>
                <w:color w:val="auto"/>
              </w:rPr>
              <w:t>51</w:t>
            </w:r>
          </w:p>
        </w:tc>
        <w:tc>
          <w:tcPr>
            <w:tcW w:w="90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580" w:type="dxa"/>
            <w:vAlign w:val="bottom"/>
          </w:tcPr>
          <w:p>
            <w:pPr>
              <w:ind w:left="440"/>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55</w:t>
            </w:r>
          </w:p>
        </w:tc>
      </w:tr>
      <w:tr>
        <w:trPr>
          <w:trHeight w:val="126"/>
        </w:trPr>
        <w:tc>
          <w:tcPr>
            <w:tcW w:w="3180" w:type="dxa"/>
            <w:vAlign w:val="bottom"/>
          </w:tcPr>
          <w:p>
            <w:pPr>
              <w:spacing w:after="0"/>
              <w:rPr>
                <w:sz w:val="20"/>
                <w:szCs w:val="20"/>
                <w:color w:val="auto"/>
              </w:rPr>
            </w:pPr>
            <w:r>
              <w:rPr>
                <w:rFonts w:ascii="Arial" w:cs="Arial" w:eastAsia="Arial" w:hAnsi="Arial"/>
                <w:sz w:val="10"/>
                <w:szCs w:val="10"/>
                <w:color w:val="auto"/>
              </w:rPr>
              <w:t>Depreciation, depletion and amortisation</w:t>
            </w:r>
          </w:p>
        </w:tc>
        <w:tc>
          <w:tcPr>
            <w:tcW w:w="2220" w:type="dxa"/>
            <w:vAlign w:val="bottom"/>
          </w:tcPr>
          <w:p>
            <w:pPr>
              <w:jc w:val="right"/>
              <w:ind w:right="292"/>
              <w:spacing w:after="0"/>
              <w:rPr>
                <w:sz w:val="20"/>
                <w:szCs w:val="20"/>
                <w:color w:val="auto"/>
              </w:rPr>
            </w:pPr>
            <w:r>
              <w:rPr>
                <w:rFonts w:ascii="Arial" w:cs="Arial" w:eastAsia="Arial" w:hAnsi="Arial"/>
                <w:sz w:val="10"/>
                <w:szCs w:val="10"/>
                <w:color w:val="auto"/>
              </w:rPr>
              <w:t>217</w:t>
            </w:r>
          </w:p>
        </w:tc>
        <w:tc>
          <w:tcPr>
            <w:tcW w:w="840" w:type="dxa"/>
            <w:vAlign w:val="bottom"/>
          </w:tcPr>
          <w:p>
            <w:pPr>
              <w:jc w:val="right"/>
              <w:ind w:right="272"/>
              <w:spacing w:after="0"/>
              <w:rPr>
                <w:sz w:val="20"/>
                <w:szCs w:val="20"/>
                <w:color w:val="auto"/>
              </w:rPr>
            </w:pPr>
            <w:r>
              <w:rPr>
                <w:rFonts w:ascii="Arial" w:cs="Arial" w:eastAsia="Arial" w:hAnsi="Arial"/>
                <w:sz w:val="10"/>
                <w:szCs w:val="10"/>
                <w:color w:val="auto"/>
              </w:rPr>
              <w:t>949</w:t>
            </w:r>
          </w:p>
        </w:tc>
        <w:tc>
          <w:tcPr>
            <w:tcW w:w="900" w:type="dxa"/>
            <w:vAlign w:val="bottom"/>
          </w:tcPr>
          <w:p>
            <w:pPr>
              <w:jc w:val="right"/>
              <w:ind w:right="292"/>
              <w:spacing w:after="0"/>
              <w:rPr>
                <w:sz w:val="20"/>
                <w:szCs w:val="20"/>
                <w:color w:val="auto"/>
              </w:rPr>
            </w:pPr>
            <w:r>
              <w:rPr>
                <w:rFonts w:ascii="Arial" w:cs="Arial" w:eastAsia="Arial" w:hAnsi="Arial"/>
                <w:sz w:val="10"/>
                <w:szCs w:val="10"/>
                <w:color w:val="auto"/>
              </w:rPr>
              <w:t>415</w:t>
            </w:r>
          </w:p>
        </w:tc>
        <w:tc>
          <w:tcPr>
            <w:tcW w:w="580" w:type="dxa"/>
            <w:vAlign w:val="bottom"/>
          </w:tcPr>
          <w:p>
            <w:pPr>
              <w:ind w:left="440"/>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1,581</w:t>
            </w:r>
          </w:p>
        </w:tc>
      </w:tr>
      <w:tr>
        <w:trPr>
          <w:trHeight w:val="130"/>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costs/(income)</w:t>
            </w:r>
          </w:p>
        </w:tc>
        <w:tc>
          <w:tcPr>
            <w:tcW w:w="2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547</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622</w:t>
            </w: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(18)</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1,153</w:t>
            </w:r>
          </w:p>
        </w:tc>
      </w:tr>
      <w:tr>
        <w:trPr>
          <w:trHeight w:val="114"/>
        </w:trPr>
        <w:tc>
          <w:tcPr>
            <w:tcW w:w="3180" w:type="dxa"/>
            <w:vAlign w:val="bottom"/>
          </w:tcPr>
          <w:p>
            <w:pPr>
              <w:spacing w:after="0"/>
              <w:rPr>
                <w:sz w:val="20"/>
                <w:szCs w:val="20"/>
                <w:color w:val="auto"/>
              </w:rPr>
            </w:pPr>
            <w:r>
              <w:rPr>
                <w:rFonts w:ascii="Arial" w:cs="Arial" w:eastAsia="Arial" w:hAnsi="Arial"/>
                <w:sz w:val="10"/>
                <w:szCs w:val="10"/>
                <w:color w:val="auto"/>
              </w:rPr>
              <w:t>Earnings before taxation</w:t>
            </w:r>
          </w:p>
        </w:tc>
        <w:tc>
          <w:tcPr>
            <w:tcW w:w="2220" w:type="dxa"/>
            <w:vAlign w:val="bottom"/>
          </w:tcPr>
          <w:p>
            <w:pPr>
              <w:jc w:val="right"/>
              <w:ind w:right="292"/>
              <w:spacing w:after="0"/>
              <w:rPr>
                <w:sz w:val="20"/>
                <w:szCs w:val="20"/>
                <w:color w:val="auto"/>
              </w:rPr>
            </w:pPr>
            <w:r>
              <w:rPr>
                <w:rFonts w:ascii="Arial" w:cs="Arial" w:eastAsia="Arial" w:hAnsi="Arial"/>
                <w:sz w:val="10"/>
                <w:szCs w:val="10"/>
                <w:color w:val="auto"/>
              </w:rPr>
              <w:t>141</w:t>
            </w:r>
          </w:p>
        </w:tc>
        <w:tc>
          <w:tcPr>
            <w:tcW w:w="840" w:type="dxa"/>
            <w:vAlign w:val="bottom"/>
          </w:tcPr>
          <w:p>
            <w:pPr>
              <w:jc w:val="right"/>
              <w:ind w:right="272"/>
              <w:spacing w:after="0"/>
              <w:rPr>
                <w:sz w:val="20"/>
                <w:szCs w:val="20"/>
                <w:color w:val="auto"/>
              </w:rPr>
            </w:pPr>
            <w:r>
              <w:rPr>
                <w:rFonts w:ascii="Arial" w:cs="Arial" w:eastAsia="Arial" w:hAnsi="Arial"/>
                <w:sz w:val="10"/>
                <w:szCs w:val="10"/>
                <w:color w:val="auto"/>
              </w:rPr>
              <w:t>2,147</w:t>
            </w:r>
          </w:p>
        </w:tc>
        <w:tc>
          <w:tcPr>
            <w:tcW w:w="900" w:type="dxa"/>
            <w:vAlign w:val="bottom"/>
          </w:tcPr>
          <w:p>
            <w:pPr>
              <w:jc w:val="right"/>
              <w:ind w:right="272"/>
              <w:spacing w:after="0"/>
              <w:rPr>
                <w:sz w:val="20"/>
                <w:szCs w:val="20"/>
                <w:color w:val="auto"/>
              </w:rPr>
            </w:pPr>
            <w:r>
              <w:rPr>
                <w:rFonts w:ascii="Arial" w:cs="Arial" w:eastAsia="Arial" w:hAnsi="Arial"/>
                <w:sz w:val="10"/>
                <w:szCs w:val="10"/>
                <w:color w:val="auto"/>
              </w:rPr>
              <w:t>(410)</w:t>
            </w:r>
          </w:p>
        </w:tc>
        <w:tc>
          <w:tcPr>
            <w:tcW w:w="580" w:type="dxa"/>
            <w:vAlign w:val="bottom"/>
          </w:tcPr>
          <w:p>
            <w:pPr>
              <w:ind w:left="440"/>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(1)</w:t>
            </w:r>
          </w:p>
        </w:tc>
        <w:tc>
          <w:tcPr>
            <w:tcW w:w="740" w:type="dxa"/>
            <w:vAlign w:val="bottom"/>
          </w:tcPr>
          <w:p>
            <w:pPr>
              <w:jc w:val="right"/>
              <w:spacing w:after="0"/>
              <w:rPr>
                <w:sz w:val="20"/>
                <w:szCs w:val="20"/>
                <w:color w:val="auto"/>
              </w:rPr>
            </w:pPr>
            <w:r>
              <w:rPr>
                <w:rFonts w:ascii="Arial" w:cs="Arial" w:eastAsia="Arial" w:hAnsi="Arial"/>
                <w:sz w:val="10"/>
                <w:szCs w:val="10"/>
                <w:color w:val="auto"/>
              </w:rPr>
              <w:t>(1)</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1,876</w:t>
            </w:r>
          </w:p>
        </w:tc>
      </w:tr>
      <w:tr>
        <w:trPr>
          <w:trHeight w:val="127"/>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Taxation charge</w:t>
            </w:r>
          </w:p>
        </w:tc>
        <w:tc>
          <w:tcPr>
            <w:tcW w:w="2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39</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957</w:t>
            </w: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996</w:t>
            </w:r>
          </w:p>
        </w:tc>
      </w:tr>
      <w:tr>
        <w:trPr>
          <w:trHeight w:val="117"/>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Earnings after taxation</w:t>
            </w:r>
          </w:p>
        </w:tc>
        <w:tc>
          <w:tcPr>
            <w:tcW w:w="2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102</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1,190</w:t>
            </w: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(410)</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880</w:t>
            </w:r>
          </w:p>
        </w:tc>
      </w:tr>
      <w:tr>
        <w:trPr>
          <w:trHeight w:val="88"/>
        </w:trPr>
        <w:tc>
          <w:tcPr>
            <w:tcW w:w="3180" w:type="dxa"/>
            <w:vAlign w:val="bottom"/>
            <w:tcBorders>
              <w:bottom w:val="single" w:sz="8" w:color="CDCDCD"/>
            </w:tcBorders>
          </w:tcPr>
          <w:p>
            <w:pPr>
              <w:spacing w:after="0"/>
              <w:rPr>
                <w:sz w:val="7"/>
                <w:szCs w:val="7"/>
                <w:color w:val="auto"/>
              </w:rPr>
            </w:pPr>
          </w:p>
        </w:tc>
        <w:tc>
          <w:tcPr>
            <w:tcW w:w="2220" w:type="dxa"/>
            <w:vAlign w:val="bottom"/>
            <w:tcBorders>
              <w:bottom w:val="single" w:sz="8" w:color="CDCDCD"/>
            </w:tcBorders>
          </w:tcPr>
          <w:p>
            <w:pPr>
              <w:spacing w:after="0"/>
              <w:rPr>
                <w:sz w:val="7"/>
                <w:szCs w:val="7"/>
                <w:color w:val="auto"/>
              </w:rPr>
            </w:pPr>
          </w:p>
        </w:tc>
        <w:tc>
          <w:tcPr>
            <w:tcW w:w="840" w:type="dxa"/>
            <w:vAlign w:val="bottom"/>
            <w:tcBorders>
              <w:bottom w:val="single" w:sz="8" w:color="CDCDCD"/>
            </w:tcBorders>
          </w:tcPr>
          <w:p>
            <w:pPr>
              <w:spacing w:after="0"/>
              <w:rPr>
                <w:sz w:val="7"/>
                <w:szCs w:val="7"/>
                <w:color w:val="auto"/>
              </w:rPr>
            </w:pPr>
          </w:p>
        </w:tc>
        <w:tc>
          <w:tcPr>
            <w:tcW w:w="900" w:type="dxa"/>
            <w:vAlign w:val="bottom"/>
            <w:tcBorders>
              <w:bottom w:val="single" w:sz="8" w:color="CDCDCD"/>
            </w:tcBorders>
          </w:tcPr>
          <w:p>
            <w:pPr>
              <w:spacing w:after="0"/>
              <w:rPr>
                <w:sz w:val="7"/>
                <w:szCs w:val="7"/>
                <w:color w:val="auto"/>
              </w:rPr>
            </w:pPr>
          </w:p>
        </w:tc>
        <w:tc>
          <w:tcPr>
            <w:tcW w:w="580" w:type="dxa"/>
            <w:vAlign w:val="bottom"/>
            <w:tcBorders>
              <w:bottom w:val="single" w:sz="8" w:color="CDCDCD"/>
            </w:tcBorders>
          </w:tcPr>
          <w:p>
            <w:pPr>
              <w:spacing w:after="0"/>
              <w:rPr>
                <w:sz w:val="7"/>
                <w:szCs w:val="7"/>
                <w:color w:val="auto"/>
              </w:rPr>
            </w:pPr>
          </w:p>
        </w:tc>
        <w:tc>
          <w:tcPr>
            <w:tcW w:w="1000" w:type="dxa"/>
            <w:vAlign w:val="bottom"/>
            <w:tcBorders>
              <w:bottom w:val="single" w:sz="8" w:color="CDCDCD"/>
            </w:tcBorders>
          </w:tcPr>
          <w:p>
            <w:pPr>
              <w:spacing w:after="0"/>
              <w:rPr>
                <w:sz w:val="7"/>
                <w:szCs w:val="7"/>
                <w:color w:val="auto"/>
              </w:rPr>
            </w:pPr>
          </w:p>
        </w:tc>
        <w:tc>
          <w:tcPr>
            <w:tcW w:w="740" w:type="dxa"/>
            <w:vAlign w:val="bottom"/>
            <w:tcBorders>
              <w:bottom w:val="single" w:sz="8" w:color="CDCDCD"/>
            </w:tcBorders>
          </w:tcPr>
          <w:p>
            <w:pPr>
              <w:spacing w:after="0"/>
              <w:rPr>
                <w:sz w:val="7"/>
                <w:szCs w:val="7"/>
                <w:color w:val="auto"/>
              </w:rPr>
            </w:pPr>
          </w:p>
        </w:tc>
        <w:tc>
          <w:tcPr>
            <w:tcW w:w="1140" w:type="dxa"/>
            <w:vAlign w:val="bottom"/>
            <w:tcBorders>
              <w:bottom w:val="single" w:sz="8" w:color="CDCDCD"/>
            </w:tcBorders>
          </w:tcPr>
          <w:p>
            <w:pPr>
              <w:spacing w:after="0"/>
              <w:rPr>
                <w:sz w:val="7"/>
                <w:szCs w:val="7"/>
                <w:color w:val="auto"/>
              </w:rPr>
            </w:pPr>
          </w:p>
        </w:tc>
        <w:tc>
          <w:tcPr>
            <w:tcW w:w="620" w:type="dxa"/>
            <w:vAlign w:val="bottom"/>
            <w:tcBorders>
              <w:bottom w:val="single" w:sz="8" w:color="CDCDCD"/>
            </w:tcBorders>
          </w:tcPr>
          <w:p>
            <w:pPr>
              <w:spacing w:after="0"/>
              <w:rPr>
                <w:sz w:val="7"/>
                <w:szCs w:val="7"/>
                <w:color w:val="auto"/>
              </w:rPr>
            </w:pPr>
          </w:p>
        </w:tc>
      </w:t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2018</w:t>
            </w:r>
          </w:p>
        </w:tc>
        <w:tc>
          <w:tcPr>
            <w:tcW w:w="2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 million</w:t>
            </w:r>
          </w:p>
        </w:tc>
      </w:tr>
      <w:tr>
        <w:trPr>
          <w:trHeight w:val="145"/>
        </w:trPr>
        <w:tc>
          <w:tcPr>
            <w:tcW w:w="3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North America</w:t>
            </w:r>
          </w:p>
        </w:tc>
        <w:tc>
          <w:tcPr>
            <w:tcW w:w="1140" w:type="dxa"/>
            <w:vAlign w:val="bottom"/>
          </w:tcPr>
          <w:p>
            <w:pPr>
              <w:jc w:val="right"/>
              <w:ind w:right="232"/>
              <w:spacing w:after="0"/>
              <w:rPr>
                <w:sz w:val="20"/>
                <w:szCs w:val="20"/>
                <w:color w:val="auto"/>
              </w:rPr>
            </w:pPr>
            <w:r>
              <w:rPr>
                <w:rFonts w:ascii="Arial" w:cs="Arial" w:eastAsia="Arial" w:hAnsi="Arial"/>
                <w:sz w:val="10"/>
                <w:szCs w:val="10"/>
                <w:color w:val="auto"/>
              </w:rPr>
              <w:t>South</w:t>
            </w:r>
          </w:p>
        </w:tc>
        <w:tc>
          <w:tcPr>
            <w:tcW w:w="620" w:type="dxa"/>
            <w:vAlign w:val="bottom"/>
          </w:tcPr>
          <w:p>
            <w:pPr>
              <w:spacing w:after="0"/>
              <w:rPr>
                <w:sz w:val="12"/>
                <w:szCs w:val="12"/>
                <w:color w:val="auto"/>
              </w:rPr>
            </w:pPr>
          </w:p>
        </w:tc>
      </w:tr>
      <w:tr>
        <w:trPr>
          <w:trHeight w:val="126"/>
        </w:trPr>
        <w:tc>
          <w:tcPr>
            <w:tcW w:w="318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Europe</w:t>
            </w: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Asia</w:t>
            </w: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Oceania</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0"/>
                <w:szCs w:val="10"/>
                <w:color w:val="auto"/>
                <w:w w:val="93"/>
              </w:rPr>
              <w:t>Africa</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USA</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Canada</w:t>
            </w: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America</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Total</w:t>
            </w:r>
          </w:p>
        </w:tc>
      </w:tr>
      <w:tr>
        <w:trPr>
          <w:trHeight w:val="115"/>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Third-party revenue</w:t>
            </w:r>
          </w:p>
        </w:tc>
        <w:tc>
          <w:tcPr>
            <w:tcW w:w="2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1,395</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5,884</w:t>
            </w: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79</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7,358</w:t>
            </w:r>
          </w:p>
        </w:tc>
      </w:tr>
      <w:tr>
        <w:trPr>
          <w:trHeight w:val="115"/>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2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1,395</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5,884</w:t>
            </w: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79</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7,358</w:t>
            </w:r>
          </w:p>
        </w:tc>
      </w:tr>
      <w:tr>
        <w:trPr>
          <w:trHeight w:val="113"/>
        </w:trPr>
        <w:tc>
          <w:tcPr>
            <w:tcW w:w="3180" w:type="dxa"/>
            <w:vAlign w:val="bottom"/>
          </w:tcPr>
          <w:p>
            <w:pPr>
              <w:spacing w:after="0" w:line="113" w:lineRule="exact"/>
              <w:rPr>
                <w:sz w:val="20"/>
                <w:szCs w:val="20"/>
                <w:color w:val="auto"/>
              </w:rPr>
            </w:pPr>
            <w:r>
              <w:rPr>
                <w:rFonts w:ascii="Arial" w:cs="Arial" w:eastAsia="Arial" w:hAnsi="Arial"/>
                <w:sz w:val="10"/>
                <w:szCs w:val="10"/>
                <w:color w:val="auto"/>
              </w:rPr>
              <w:t>Production costs excluding taxes</w:t>
            </w:r>
          </w:p>
        </w:tc>
        <w:tc>
          <w:tcPr>
            <w:tcW w:w="2220" w:type="dxa"/>
            <w:vAlign w:val="bottom"/>
          </w:tcPr>
          <w:p>
            <w:pPr>
              <w:jc w:val="right"/>
              <w:ind w:right="292"/>
              <w:spacing w:after="0" w:line="113" w:lineRule="exact"/>
              <w:rPr>
                <w:sz w:val="20"/>
                <w:szCs w:val="20"/>
                <w:color w:val="auto"/>
              </w:rPr>
            </w:pPr>
            <w:r>
              <w:rPr>
                <w:rFonts w:ascii="Arial" w:cs="Arial" w:eastAsia="Arial" w:hAnsi="Arial"/>
                <w:sz w:val="10"/>
                <w:szCs w:val="10"/>
                <w:color w:val="auto"/>
              </w:rPr>
              <w:t>307</w:t>
            </w:r>
          </w:p>
        </w:tc>
        <w:tc>
          <w:tcPr>
            <w:tcW w:w="840" w:type="dxa"/>
            <w:vAlign w:val="bottom"/>
          </w:tcPr>
          <w:p>
            <w:pPr>
              <w:jc w:val="right"/>
              <w:ind w:right="272"/>
              <w:spacing w:after="0" w:line="113" w:lineRule="exact"/>
              <w:rPr>
                <w:sz w:val="20"/>
                <w:szCs w:val="20"/>
                <w:color w:val="auto"/>
              </w:rPr>
            </w:pPr>
            <w:r>
              <w:rPr>
                <w:rFonts w:ascii="Arial" w:cs="Arial" w:eastAsia="Arial" w:hAnsi="Arial"/>
                <w:sz w:val="10"/>
                <w:szCs w:val="10"/>
                <w:color w:val="auto"/>
              </w:rPr>
              <w:t>674</w:t>
            </w:r>
          </w:p>
        </w:tc>
        <w:tc>
          <w:tcPr>
            <w:tcW w:w="900" w:type="dxa"/>
            <w:vAlign w:val="bottom"/>
          </w:tcPr>
          <w:p>
            <w:pPr>
              <w:jc w:val="right"/>
              <w:ind w:right="292"/>
              <w:spacing w:after="0" w:line="113" w:lineRule="exact"/>
              <w:rPr>
                <w:sz w:val="20"/>
                <w:szCs w:val="20"/>
                <w:color w:val="auto"/>
              </w:rPr>
            </w:pPr>
            <w:r>
              <w:rPr>
                <w:rFonts w:ascii="Arial" w:cs="Arial" w:eastAsia="Arial" w:hAnsi="Arial"/>
                <w:sz w:val="10"/>
                <w:szCs w:val="10"/>
                <w:color w:val="auto"/>
              </w:rPr>
              <w:t>105</w:t>
            </w:r>
          </w:p>
        </w:tc>
        <w:tc>
          <w:tcPr>
            <w:tcW w:w="580" w:type="dxa"/>
            <w:vAlign w:val="bottom"/>
          </w:tcPr>
          <w:p>
            <w:pPr>
              <w:ind w:left="440"/>
              <w:spacing w:after="0" w:line="113"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32"/>
              <w:spacing w:after="0" w:line="113" w:lineRule="exact"/>
              <w:rPr>
                <w:sz w:val="20"/>
                <w:szCs w:val="20"/>
                <w:color w:val="auto"/>
              </w:rPr>
            </w:pPr>
            <w:r>
              <w:rPr>
                <w:rFonts w:ascii="Arial" w:cs="Arial" w:eastAsia="Arial" w:hAnsi="Arial"/>
                <w:sz w:val="10"/>
                <w:szCs w:val="10"/>
                <w:color w:val="auto"/>
              </w:rPr>
              <w:t>—</w:t>
            </w:r>
          </w:p>
        </w:tc>
        <w:tc>
          <w:tcPr>
            <w:tcW w:w="7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252"/>
              <w:spacing w:after="0" w:line="113" w:lineRule="exact"/>
              <w:rPr>
                <w:sz w:val="20"/>
                <w:szCs w:val="20"/>
                <w:color w:val="auto"/>
              </w:rPr>
            </w:pPr>
            <w:r>
              <w:rPr>
                <w:rFonts w:ascii="Arial" w:cs="Arial" w:eastAsia="Arial" w:hAnsi="Arial"/>
                <w:sz w:val="10"/>
                <w:szCs w:val="10"/>
                <w:color w:val="auto"/>
              </w:rPr>
              <w:t>—</w:t>
            </w:r>
          </w:p>
        </w:tc>
        <w:tc>
          <w:tcPr>
            <w:tcW w:w="620" w:type="dxa"/>
            <w:vAlign w:val="bottom"/>
          </w:tcPr>
          <w:p>
            <w:pPr>
              <w:jc w:val="right"/>
              <w:spacing w:after="0" w:line="113" w:lineRule="exact"/>
              <w:rPr>
                <w:sz w:val="20"/>
                <w:szCs w:val="20"/>
                <w:color w:val="auto"/>
              </w:rPr>
            </w:pPr>
            <w:r>
              <w:rPr>
                <w:rFonts w:ascii="Arial" w:cs="Arial" w:eastAsia="Arial" w:hAnsi="Arial"/>
                <w:sz w:val="10"/>
                <w:szCs w:val="10"/>
                <w:color w:val="auto"/>
              </w:rPr>
              <w:t>1,086</w:t>
            </w:r>
          </w:p>
        </w:tc>
      </w:tr>
      <w:tr>
        <w:trPr>
          <w:trHeight w:val="123"/>
        </w:trPr>
        <w:tc>
          <w:tcPr>
            <w:tcW w:w="3180" w:type="dxa"/>
            <w:vAlign w:val="bottom"/>
          </w:tcPr>
          <w:p>
            <w:pPr>
              <w:spacing w:after="0"/>
              <w:rPr>
                <w:sz w:val="20"/>
                <w:szCs w:val="20"/>
                <w:color w:val="auto"/>
              </w:rPr>
            </w:pPr>
            <w:r>
              <w:rPr>
                <w:rFonts w:ascii="Arial" w:cs="Arial" w:eastAsia="Arial" w:hAnsi="Arial"/>
                <w:sz w:val="10"/>
                <w:szCs w:val="10"/>
                <w:color w:val="auto"/>
              </w:rPr>
              <w:t>Taxes other than income tax</w:t>
            </w:r>
          </w:p>
        </w:tc>
        <w:tc>
          <w:tcPr>
            <w:tcW w:w="2220" w:type="dxa"/>
            <w:vAlign w:val="bottom"/>
          </w:tcPr>
          <w:p>
            <w:pPr>
              <w:jc w:val="right"/>
              <w:ind w:right="292"/>
              <w:spacing w:after="0"/>
              <w:rPr>
                <w:sz w:val="20"/>
                <w:szCs w:val="20"/>
                <w:color w:val="auto"/>
              </w:rPr>
            </w:pPr>
            <w:r>
              <w:rPr>
                <w:rFonts w:ascii="Arial" w:cs="Arial" w:eastAsia="Arial" w:hAnsi="Arial"/>
                <w:sz w:val="10"/>
                <w:szCs w:val="10"/>
                <w:color w:val="auto"/>
              </w:rPr>
              <w:t>82</w:t>
            </w:r>
          </w:p>
        </w:tc>
        <w:tc>
          <w:tcPr>
            <w:tcW w:w="840" w:type="dxa"/>
            <w:vAlign w:val="bottom"/>
          </w:tcPr>
          <w:p>
            <w:pPr>
              <w:jc w:val="right"/>
              <w:ind w:right="272"/>
              <w:spacing w:after="0"/>
              <w:rPr>
                <w:sz w:val="20"/>
                <w:szCs w:val="20"/>
                <w:color w:val="auto"/>
              </w:rPr>
            </w:pPr>
            <w:r>
              <w:rPr>
                <w:rFonts w:ascii="Arial" w:cs="Arial" w:eastAsia="Arial" w:hAnsi="Arial"/>
                <w:sz w:val="10"/>
                <w:szCs w:val="10"/>
                <w:color w:val="auto"/>
              </w:rPr>
              <w:t>1,259</w:t>
            </w:r>
          </w:p>
        </w:tc>
        <w:tc>
          <w:tcPr>
            <w:tcW w:w="900" w:type="dxa"/>
            <w:vAlign w:val="bottom"/>
          </w:tcPr>
          <w:p>
            <w:pPr>
              <w:jc w:val="right"/>
              <w:ind w:right="292"/>
              <w:spacing w:after="0"/>
              <w:rPr>
                <w:sz w:val="20"/>
                <w:szCs w:val="20"/>
                <w:color w:val="auto"/>
              </w:rPr>
            </w:pPr>
            <w:r>
              <w:rPr>
                <w:rFonts w:ascii="Arial" w:cs="Arial" w:eastAsia="Arial" w:hAnsi="Arial"/>
                <w:sz w:val="10"/>
                <w:szCs w:val="10"/>
                <w:color w:val="auto"/>
              </w:rPr>
              <w:t>4</w:t>
            </w:r>
          </w:p>
        </w:tc>
        <w:tc>
          <w:tcPr>
            <w:tcW w:w="580" w:type="dxa"/>
            <w:vAlign w:val="bottom"/>
          </w:tcPr>
          <w:p>
            <w:pPr>
              <w:ind w:left="440"/>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1,345</w:t>
            </w:r>
          </w:p>
        </w:tc>
      </w:tr>
      <w:tr>
        <w:trPr>
          <w:trHeight w:val="126"/>
        </w:trPr>
        <w:tc>
          <w:tcPr>
            <w:tcW w:w="3180" w:type="dxa"/>
            <w:vAlign w:val="bottom"/>
          </w:tcPr>
          <w:p>
            <w:pPr>
              <w:spacing w:after="0"/>
              <w:rPr>
                <w:sz w:val="20"/>
                <w:szCs w:val="20"/>
                <w:color w:val="auto"/>
              </w:rPr>
            </w:pPr>
            <w:r>
              <w:rPr>
                <w:rFonts w:ascii="Arial" w:cs="Arial" w:eastAsia="Arial" w:hAnsi="Arial"/>
                <w:sz w:val="10"/>
                <w:szCs w:val="10"/>
                <w:color w:val="auto"/>
              </w:rPr>
              <w:t>Exploration</w:t>
            </w:r>
          </w:p>
        </w:tc>
        <w:tc>
          <w:tcPr>
            <w:tcW w:w="2220" w:type="dxa"/>
            <w:vAlign w:val="bottom"/>
          </w:tcPr>
          <w:p>
            <w:pPr>
              <w:jc w:val="right"/>
              <w:ind w:right="292"/>
              <w:spacing w:after="0"/>
              <w:rPr>
                <w:sz w:val="20"/>
                <w:szCs w:val="20"/>
                <w:color w:val="auto"/>
              </w:rPr>
            </w:pPr>
            <w:r>
              <w:rPr>
                <w:rFonts w:ascii="Arial" w:cs="Arial" w:eastAsia="Arial" w:hAnsi="Arial"/>
                <w:sz w:val="10"/>
                <w:szCs w:val="10"/>
                <w:color w:val="auto"/>
              </w:rPr>
              <w:t>5</w:t>
            </w:r>
          </w:p>
        </w:tc>
        <w:tc>
          <w:tcPr>
            <w:tcW w:w="840" w:type="dxa"/>
            <w:vAlign w:val="bottom"/>
          </w:tcPr>
          <w:p>
            <w:pPr>
              <w:jc w:val="right"/>
              <w:ind w:right="272"/>
              <w:spacing w:after="0"/>
              <w:rPr>
                <w:sz w:val="20"/>
                <w:szCs w:val="20"/>
                <w:color w:val="auto"/>
              </w:rPr>
            </w:pPr>
            <w:r>
              <w:rPr>
                <w:rFonts w:ascii="Arial" w:cs="Arial" w:eastAsia="Arial" w:hAnsi="Arial"/>
                <w:sz w:val="10"/>
                <w:szCs w:val="10"/>
                <w:color w:val="auto"/>
              </w:rPr>
              <w:t>45</w:t>
            </w:r>
          </w:p>
        </w:tc>
        <w:tc>
          <w:tcPr>
            <w:tcW w:w="90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580" w:type="dxa"/>
            <w:vAlign w:val="bottom"/>
          </w:tcPr>
          <w:p>
            <w:pPr>
              <w:ind w:left="440"/>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50</w:t>
            </w:r>
          </w:p>
        </w:tc>
      </w:tr>
      <w:tr>
        <w:trPr>
          <w:trHeight w:val="126"/>
        </w:trPr>
        <w:tc>
          <w:tcPr>
            <w:tcW w:w="3180" w:type="dxa"/>
            <w:vAlign w:val="bottom"/>
          </w:tcPr>
          <w:p>
            <w:pPr>
              <w:spacing w:after="0"/>
              <w:rPr>
                <w:sz w:val="20"/>
                <w:szCs w:val="20"/>
                <w:color w:val="auto"/>
              </w:rPr>
            </w:pPr>
            <w:r>
              <w:rPr>
                <w:rFonts w:ascii="Arial" w:cs="Arial" w:eastAsia="Arial" w:hAnsi="Arial"/>
                <w:sz w:val="10"/>
                <w:szCs w:val="10"/>
                <w:color w:val="auto"/>
              </w:rPr>
              <w:t>Depreciation, depletion and amortisation</w:t>
            </w:r>
          </w:p>
        </w:tc>
        <w:tc>
          <w:tcPr>
            <w:tcW w:w="2220" w:type="dxa"/>
            <w:vAlign w:val="bottom"/>
          </w:tcPr>
          <w:p>
            <w:pPr>
              <w:jc w:val="right"/>
              <w:ind w:right="292"/>
              <w:spacing w:after="0"/>
              <w:rPr>
                <w:sz w:val="20"/>
                <w:szCs w:val="20"/>
                <w:color w:val="auto"/>
              </w:rPr>
            </w:pPr>
            <w:r>
              <w:rPr>
                <w:rFonts w:ascii="Arial" w:cs="Arial" w:eastAsia="Arial" w:hAnsi="Arial"/>
                <w:sz w:val="10"/>
                <w:szCs w:val="10"/>
                <w:color w:val="auto"/>
              </w:rPr>
              <w:t>318</w:t>
            </w:r>
          </w:p>
        </w:tc>
        <w:tc>
          <w:tcPr>
            <w:tcW w:w="840" w:type="dxa"/>
            <w:vAlign w:val="bottom"/>
          </w:tcPr>
          <w:p>
            <w:pPr>
              <w:jc w:val="right"/>
              <w:ind w:right="272"/>
              <w:spacing w:after="0"/>
              <w:rPr>
                <w:sz w:val="20"/>
                <w:szCs w:val="20"/>
                <w:color w:val="auto"/>
              </w:rPr>
            </w:pPr>
            <w:r>
              <w:rPr>
                <w:rFonts w:ascii="Arial" w:cs="Arial" w:eastAsia="Arial" w:hAnsi="Arial"/>
                <w:sz w:val="10"/>
                <w:szCs w:val="10"/>
                <w:color w:val="auto"/>
              </w:rPr>
              <w:t>1,016</w:t>
            </w:r>
          </w:p>
        </w:tc>
        <w:tc>
          <w:tcPr>
            <w:tcW w:w="900" w:type="dxa"/>
            <w:vAlign w:val="bottom"/>
          </w:tcPr>
          <w:p>
            <w:pPr>
              <w:jc w:val="right"/>
              <w:ind w:right="292"/>
              <w:spacing w:after="0"/>
              <w:rPr>
                <w:sz w:val="20"/>
                <w:szCs w:val="20"/>
                <w:color w:val="auto"/>
              </w:rPr>
            </w:pPr>
            <w:r>
              <w:rPr>
                <w:rFonts w:ascii="Arial" w:cs="Arial" w:eastAsia="Arial" w:hAnsi="Arial"/>
                <w:sz w:val="10"/>
                <w:szCs w:val="10"/>
                <w:color w:val="auto"/>
              </w:rPr>
              <w:t>163</w:t>
            </w:r>
          </w:p>
        </w:tc>
        <w:tc>
          <w:tcPr>
            <w:tcW w:w="580" w:type="dxa"/>
            <w:vAlign w:val="bottom"/>
          </w:tcPr>
          <w:p>
            <w:pPr>
              <w:ind w:left="440"/>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1,497</w:t>
            </w:r>
          </w:p>
        </w:tc>
      </w:tr>
      <w:tr>
        <w:trPr>
          <w:trHeight w:val="130"/>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costs/(income)</w:t>
            </w:r>
          </w:p>
        </w:tc>
        <w:tc>
          <w:tcPr>
            <w:tcW w:w="2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595</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615</w:t>
            </w: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(26)</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1,184</w:t>
            </w:r>
          </w:p>
        </w:tc>
      </w:tr>
      <w:tr>
        <w:trPr>
          <w:trHeight w:val="114"/>
        </w:trPr>
        <w:tc>
          <w:tcPr>
            <w:tcW w:w="3180" w:type="dxa"/>
            <w:vAlign w:val="bottom"/>
          </w:tcPr>
          <w:p>
            <w:pPr>
              <w:spacing w:after="0"/>
              <w:rPr>
                <w:sz w:val="20"/>
                <w:szCs w:val="20"/>
                <w:color w:val="auto"/>
              </w:rPr>
            </w:pPr>
            <w:r>
              <w:rPr>
                <w:rFonts w:ascii="Arial" w:cs="Arial" w:eastAsia="Arial" w:hAnsi="Arial"/>
                <w:sz w:val="10"/>
                <w:szCs w:val="10"/>
                <w:color w:val="auto"/>
              </w:rPr>
              <w:t>Earnings before taxation</w:t>
            </w:r>
          </w:p>
        </w:tc>
        <w:tc>
          <w:tcPr>
            <w:tcW w:w="2220" w:type="dxa"/>
            <w:vAlign w:val="bottom"/>
          </w:tcPr>
          <w:p>
            <w:pPr>
              <w:jc w:val="right"/>
              <w:ind w:right="292"/>
              <w:spacing w:after="0"/>
              <w:rPr>
                <w:sz w:val="20"/>
                <w:szCs w:val="20"/>
                <w:color w:val="auto"/>
              </w:rPr>
            </w:pPr>
            <w:r>
              <w:rPr>
                <w:rFonts w:ascii="Arial" w:cs="Arial" w:eastAsia="Arial" w:hAnsi="Arial"/>
                <w:sz w:val="10"/>
                <w:szCs w:val="10"/>
                <w:color w:val="auto"/>
              </w:rPr>
              <w:t>88</w:t>
            </w:r>
          </w:p>
        </w:tc>
        <w:tc>
          <w:tcPr>
            <w:tcW w:w="840" w:type="dxa"/>
            <w:vAlign w:val="bottom"/>
          </w:tcPr>
          <w:p>
            <w:pPr>
              <w:jc w:val="right"/>
              <w:ind w:right="272"/>
              <w:spacing w:after="0"/>
              <w:rPr>
                <w:sz w:val="20"/>
                <w:szCs w:val="20"/>
                <w:color w:val="auto"/>
              </w:rPr>
            </w:pPr>
            <w:r>
              <w:rPr>
                <w:rFonts w:ascii="Arial" w:cs="Arial" w:eastAsia="Arial" w:hAnsi="Arial"/>
                <w:sz w:val="10"/>
                <w:szCs w:val="10"/>
                <w:color w:val="auto"/>
              </w:rPr>
              <w:t>2,275</w:t>
            </w:r>
          </w:p>
        </w:tc>
        <w:tc>
          <w:tcPr>
            <w:tcW w:w="900" w:type="dxa"/>
            <w:vAlign w:val="bottom"/>
          </w:tcPr>
          <w:p>
            <w:pPr>
              <w:jc w:val="right"/>
              <w:ind w:right="272"/>
              <w:spacing w:after="0"/>
              <w:rPr>
                <w:sz w:val="20"/>
                <w:szCs w:val="20"/>
                <w:color w:val="auto"/>
              </w:rPr>
            </w:pPr>
            <w:r>
              <w:rPr>
                <w:rFonts w:ascii="Arial" w:cs="Arial" w:eastAsia="Arial" w:hAnsi="Arial"/>
                <w:sz w:val="10"/>
                <w:szCs w:val="10"/>
                <w:color w:val="auto"/>
              </w:rPr>
              <w:t>(167)</w:t>
            </w:r>
          </w:p>
        </w:tc>
        <w:tc>
          <w:tcPr>
            <w:tcW w:w="580" w:type="dxa"/>
            <w:vAlign w:val="bottom"/>
          </w:tcPr>
          <w:p>
            <w:pPr>
              <w:ind w:left="440"/>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2,196</w:t>
            </w:r>
          </w:p>
        </w:tc>
      </w:tr>
      <w:tr>
        <w:trPr>
          <w:trHeight w:val="127"/>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Taxation charge</w:t>
            </w:r>
          </w:p>
        </w:tc>
        <w:tc>
          <w:tcPr>
            <w:tcW w:w="2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7</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975</w:t>
            </w: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982</w:t>
            </w:r>
          </w:p>
        </w:tc>
      </w:tr>
      <w:tr>
        <w:trPr>
          <w:trHeight w:val="117"/>
        </w:trPr>
        <w:tc>
          <w:tcPr>
            <w:tcW w:w="3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Earnings after taxation</w:t>
            </w:r>
          </w:p>
        </w:tc>
        <w:tc>
          <w:tcPr>
            <w:tcW w:w="22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81</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1,300</w:t>
            </w: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(167)</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1,214</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0"/>
          <w:szCs w:val="10"/>
          <w:color w:val="auto"/>
        </w:rPr>
        <w:t>ACREAGE AND WELLS</w:t>
      </w:r>
    </w:p>
    <w:p>
      <w:pPr>
        <w:spacing w:after="0" w:line="1" w:lineRule="exact"/>
        <w:rPr>
          <w:sz w:val="20"/>
          <w:szCs w:val="20"/>
          <w:color w:val="auto"/>
        </w:rPr>
      </w:pPr>
    </w:p>
    <w:p>
      <w:pPr>
        <w:ind w:right="320"/>
        <w:spacing w:after="0" w:line="231" w:lineRule="auto"/>
        <w:rPr>
          <w:sz w:val="20"/>
          <w:szCs w:val="20"/>
          <w:color w:val="auto"/>
        </w:rPr>
      </w:pPr>
      <w:r>
        <w:rPr>
          <w:rFonts w:ascii="Arial" w:cs="Arial" w:eastAsia="Arial" w:hAnsi="Arial"/>
          <w:sz w:val="10"/>
          <w:szCs w:val="10"/>
          <w:color w:val="auto"/>
        </w:rPr>
        <w:t>The tables below reflect acreage and wells of Shell subsidiaries, joint ventures and associates. The term “gross” refers to the total activity in which Shell subsidiaries, joint ventures and associates have an interest. The term “net” refers to the sum of the fractional interests owned by Shell subsidiaries plus the Shell share of joint ventures and associates’ fractional interests. Data below are rounded to the nearest whole number.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226</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229" w:name="page230"/>
    <w:bookmarkEnd w:id="229"/>
    <w:p>
      <w:pPr>
        <w:ind w:left="8"/>
        <w:spacing w:after="0"/>
        <w:rPr>
          <w:sz w:val="20"/>
          <w:szCs w:val="20"/>
          <w:color w:val="auto"/>
        </w:rPr>
      </w:pPr>
      <w:r>
        <w:rPr>
          <w:rFonts w:ascii="Arial" w:cs="Arial" w:eastAsia="Arial" w:hAnsi="Arial"/>
          <w:sz w:val="12"/>
          <w:szCs w:val="12"/>
          <w:color w:val="auto"/>
        </w:rPr>
        <w:t>Oil and gas acreage (at December 31)</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1280" w:type="dxa"/>
            <w:vAlign w:val="bottom"/>
            <w:tcBorders>
              <w:top w:val="single" w:sz="8" w:color="D9D9D9"/>
            </w:tcBorders>
          </w:tcPr>
          <w:p>
            <w:pPr>
              <w:spacing w:after="0"/>
              <w:rPr>
                <w:sz w:val="11"/>
                <w:szCs w:val="11"/>
                <w:color w:val="auto"/>
              </w:rPr>
            </w:pPr>
          </w:p>
        </w:tc>
        <w:tc>
          <w:tcPr>
            <w:tcW w:w="320" w:type="dxa"/>
            <w:vAlign w:val="bottom"/>
            <w:tcBorders>
              <w:top w:val="single" w:sz="8" w:color="D9D9D9"/>
            </w:tcBorders>
          </w:tcPr>
          <w:p>
            <w:pPr>
              <w:spacing w:after="0"/>
              <w:rPr>
                <w:sz w:val="11"/>
                <w:szCs w:val="11"/>
                <w:color w:val="auto"/>
              </w:rPr>
            </w:pPr>
          </w:p>
        </w:tc>
        <w:tc>
          <w:tcPr>
            <w:tcW w:w="260" w:type="dxa"/>
            <w:vAlign w:val="bottom"/>
            <w:tcBorders>
              <w:top w:val="single" w:sz="8" w:color="D9D9D9"/>
            </w:tcBorders>
          </w:tcPr>
          <w:p>
            <w:pPr>
              <w:spacing w:after="0"/>
              <w:rPr>
                <w:sz w:val="11"/>
                <w:szCs w:val="11"/>
                <w:color w:val="auto"/>
              </w:rPr>
            </w:pPr>
          </w:p>
        </w:tc>
        <w:tc>
          <w:tcPr>
            <w:tcW w:w="540" w:type="dxa"/>
            <w:vAlign w:val="bottom"/>
            <w:tcBorders>
              <w:top w:val="single" w:sz="8" w:color="D9D9D9"/>
            </w:tcBorders>
          </w:tcPr>
          <w:p>
            <w:pPr>
              <w:spacing w:after="0"/>
              <w:rPr>
                <w:sz w:val="11"/>
                <w:szCs w:val="11"/>
                <w:color w:val="auto"/>
              </w:rPr>
            </w:pPr>
          </w:p>
        </w:tc>
        <w:tc>
          <w:tcPr>
            <w:tcW w:w="320" w:type="dxa"/>
            <w:vAlign w:val="bottom"/>
            <w:tcBorders>
              <w:top w:val="single" w:sz="8" w:color="D9D9D9"/>
            </w:tcBorders>
          </w:tcPr>
          <w:p>
            <w:pPr>
              <w:spacing w:after="0"/>
              <w:rPr>
                <w:sz w:val="11"/>
                <w:szCs w:val="11"/>
                <w:color w:val="auto"/>
              </w:rPr>
            </w:pPr>
          </w:p>
        </w:tc>
        <w:tc>
          <w:tcPr>
            <w:tcW w:w="560" w:type="dxa"/>
            <w:vAlign w:val="bottom"/>
            <w:tcBorders>
              <w:top w:val="single" w:sz="8" w:color="D9D9D9"/>
            </w:tcBorders>
          </w:tcPr>
          <w:p>
            <w:pPr>
              <w:spacing w:after="0"/>
              <w:rPr>
                <w:sz w:val="11"/>
                <w:szCs w:val="11"/>
                <w:color w:val="auto"/>
              </w:rPr>
            </w:pPr>
          </w:p>
        </w:tc>
        <w:tc>
          <w:tcPr>
            <w:tcW w:w="300" w:type="dxa"/>
            <w:vAlign w:val="bottom"/>
            <w:tcBorders>
              <w:top w:val="single" w:sz="8" w:color="D9D9D9"/>
            </w:tcBorders>
          </w:tcPr>
          <w:p>
            <w:pPr>
              <w:spacing w:after="0"/>
              <w:rPr>
                <w:sz w:val="11"/>
                <w:szCs w:val="11"/>
                <w:color w:val="auto"/>
              </w:rPr>
            </w:pPr>
          </w:p>
        </w:tc>
        <w:tc>
          <w:tcPr>
            <w:tcW w:w="120" w:type="dxa"/>
            <w:vAlign w:val="bottom"/>
            <w:tcBorders>
              <w:top w:val="single" w:sz="8" w:color="D9D9D9"/>
            </w:tcBorders>
          </w:tcPr>
          <w:p>
            <w:pPr>
              <w:spacing w:after="0"/>
              <w:rPr>
                <w:sz w:val="11"/>
                <w:szCs w:val="11"/>
                <w:color w:val="auto"/>
              </w:rPr>
            </w:pPr>
          </w:p>
        </w:tc>
        <w:tc>
          <w:tcPr>
            <w:tcW w:w="380" w:type="dxa"/>
            <w:vAlign w:val="bottom"/>
            <w:tcBorders>
              <w:top w:val="single" w:sz="8" w:color="D9D9D9"/>
            </w:tcBorders>
          </w:tcPr>
          <w:p>
            <w:pPr>
              <w:spacing w:after="0"/>
              <w:rPr>
                <w:sz w:val="11"/>
                <w:szCs w:val="11"/>
                <w:color w:val="auto"/>
              </w:rPr>
            </w:pPr>
          </w:p>
        </w:tc>
        <w:tc>
          <w:tcPr>
            <w:tcW w:w="500" w:type="dxa"/>
            <w:vAlign w:val="bottom"/>
            <w:tcBorders>
              <w:top w:val="single" w:sz="8" w:color="D9D9D9"/>
            </w:tcBorders>
          </w:tcPr>
          <w:p>
            <w:pPr>
              <w:spacing w:after="0"/>
              <w:rPr>
                <w:sz w:val="11"/>
                <w:szCs w:val="11"/>
                <w:color w:val="auto"/>
              </w:rPr>
            </w:pPr>
          </w:p>
        </w:tc>
        <w:tc>
          <w:tcPr>
            <w:tcW w:w="400" w:type="dxa"/>
            <w:vAlign w:val="bottom"/>
            <w:tcBorders>
              <w:top w:val="single" w:sz="8" w:color="D9D9D9"/>
            </w:tcBorders>
          </w:tcPr>
          <w:p>
            <w:pPr>
              <w:spacing w:after="0"/>
              <w:rPr>
                <w:sz w:val="11"/>
                <w:szCs w:val="11"/>
                <w:color w:val="auto"/>
              </w:rPr>
            </w:pPr>
          </w:p>
        </w:tc>
        <w:tc>
          <w:tcPr>
            <w:tcW w:w="400" w:type="dxa"/>
            <w:vAlign w:val="bottom"/>
            <w:tcBorders>
              <w:top w:val="single" w:sz="8" w:color="D9D9D9"/>
            </w:tcBorders>
          </w:tcPr>
          <w:p>
            <w:pPr>
              <w:spacing w:after="0"/>
              <w:rPr>
                <w:sz w:val="11"/>
                <w:szCs w:val="11"/>
                <w:color w:val="auto"/>
              </w:rPr>
            </w:pPr>
          </w:p>
        </w:tc>
        <w:tc>
          <w:tcPr>
            <w:tcW w:w="500" w:type="dxa"/>
            <w:vAlign w:val="bottom"/>
            <w:tcBorders>
              <w:top w:val="single" w:sz="8" w:color="D9D9D9"/>
            </w:tcBorders>
          </w:tcPr>
          <w:p>
            <w:pPr>
              <w:spacing w:after="0"/>
              <w:rPr>
                <w:sz w:val="11"/>
                <w:szCs w:val="11"/>
                <w:color w:val="auto"/>
              </w:rPr>
            </w:pPr>
          </w:p>
        </w:tc>
        <w:tc>
          <w:tcPr>
            <w:tcW w:w="540" w:type="dxa"/>
            <w:vAlign w:val="bottom"/>
            <w:tcBorders>
              <w:top w:val="single" w:sz="8" w:color="D9D9D9"/>
            </w:tcBorders>
          </w:tcPr>
          <w:p>
            <w:pPr>
              <w:spacing w:after="0"/>
              <w:rPr>
                <w:sz w:val="11"/>
                <w:szCs w:val="11"/>
                <w:color w:val="auto"/>
              </w:rPr>
            </w:pPr>
          </w:p>
        </w:tc>
        <w:tc>
          <w:tcPr>
            <w:tcW w:w="360" w:type="dxa"/>
            <w:vAlign w:val="bottom"/>
            <w:tcBorders>
              <w:top w:val="single" w:sz="8" w:color="D9D9D9"/>
            </w:tcBorders>
          </w:tcPr>
          <w:p>
            <w:pPr>
              <w:spacing w:after="0"/>
              <w:rPr>
                <w:sz w:val="11"/>
                <w:szCs w:val="11"/>
                <w:color w:val="auto"/>
              </w:rPr>
            </w:pPr>
          </w:p>
        </w:tc>
        <w:tc>
          <w:tcPr>
            <w:tcW w:w="260" w:type="dxa"/>
            <w:vAlign w:val="bottom"/>
            <w:tcBorders>
              <w:top w:val="single" w:sz="8" w:color="D9D9D9"/>
            </w:tcBorders>
          </w:tcPr>
          <w:p>
            <w:pPr>
              <w:spacing w:after="0"/>
              <w:rPr>
                <w:sz w:val="11"/>
                <w:szCs w:val="11"/>
                <w:color w:val="auto"/>
              </w:rPr>
            </w:pPr>
          </w:p>
        </w:tc>
        <w:tc>
          <w:tcPr>
            <w:tcW w:w="240" w:type="dxa"/>
            <w:vAlign w:val="bottom"/>
            <w:tcBorders>
              <w:top w:val="single" w:sz="8" w:color="D9D9D9"/>
            </w:tcBorders>
          </w:tcPr>
          <w:p>
            <w:pPr>
              <w:spacing w:after="0"/>
              <w:rPr>
                <w:sz w:val="11"/>
                <w:szCs w:val="11"/>
                <w:color w:val="auto"/>
              </w:rPr>
            </w:pPr>
          </w:p>
        </w:tc>
        <w:tc>
          <w:tcPr>
            <w:tcW w:w="100" w:type="dxa"/>
            <w:vAlign w:val="bottom"/>
            <w:tcBorders>
              <w:top w:val="single" w:sz="8" w:color="D9D9D9"/>
            </w:tcBorders>
          </w:tcPr>
          <w:p>
            <w:pPr>
              <w:spacing w:after="0"/>
              <w:rPr>
                <w:sz w:val="11"/>
                <w:szCs w:val="11"/>
                <w:color w:val="auto"/>
              </w:rPr>
            </w:pPr>
          </w:p>
        </w:tc>
        <w:tc>
          <w:tcPr>
            <w:tcW w:w="380" w:type="dxa"/>
            <w:vAlign w:val="bottom"/>
            <w:tcBorders>
              <w:top w:val="single" w:sz="8" w:color="D9D9D9"/>
            </w:tcBorders>
          </w:tcPr>
          <w:p>
            <w:pPr>
              <w:spacing w:after="0"/>
              <w:rPr>
                <w:sz w:val="11"/>
                <w:szCs w:val="11"/>
                <w:color w:val="auto"/>
              </w:rPr>
            </w:pPr>
          </w:p>
        </w:tc>
        <w:tc>
          <w:tcPr>
            <w:tcW w:w="540" w:type="dxa"/>
            <w:vAlign w:val="bottom"/>
            <w:tcBorders>
              <w:top w:val="single" w:sz="8" w:color="D9D9D9"/>
            </w:tcBorders>
          </w:tcPr>
          <w:p>
            <w:pPr>
              <w:spacing w:after="0"/>
              <w:rPr>
                <w:sz w:val="11"/>
                <w:szCs w:val="11"/>
                <w:color w:val="auto"/>
              </w:rPr>
            </w:pPr>
          </w:p>
        </w:tc>
        <w:tc>
          <w:tcPr>
            <w:tcW w:w="600" w:type="dxa"/>
            <w:vAlign w:val="bottom"/>
            <w:tcBorders>
              <w:top w:val="single" w:sz="8" w:color="D9D9D9"/>
            </w:tcBorders>
          </w:tcPr>
          <w:p>
            <w:pPr>
              <w:spacing w:after="0"/>
              <w:rPr>
                <w:sz w:val="20"/>
                <w:szCs w:val="20"/>
                <w:color w:val="auto"/>
              </w:rPr>
            </w:pPr>
            <w:r>
              <w:rPr>
                <w:rFonts w:ascii="Arial" w:cs="Arial" w:eastAsia="Arial" w:hAnsi="Arial"/>
                <w:sz w:val="10"/>
                <w:szCs w:val="10"/>
                <w:color w:val="auto"/>
                <w:w w:val="80"/>
              </w:rPr>
              <w:t>Thousand acres</w:t>
            </w:r>
          </w:p>
        </w:tc>
        <w:tc>
          <w:tcPr>
            <w:tcW w:w="280" w:type="dxa"/>
            <w:vAlign w:val="bottom"/>
            <w:tcBorders>
              <w:top w:val="single" w:sz="8" w:color="D9D9D9"/>
            </w:tcBorders>
          </w:tcPr>
          <w:p>
            <w:pPr>
              <w:spacing w:after="0"/>
              <w:rPr>
                <w:sz w:val="11"/>
                <w:szCs w:val="11"/>
                <w:color w:val="auto"/>
              </w:rPr>
            </w:pPr>
          </w:p>
        </w:tc>
        <w:tc>
          <w:tcPr>
            <w:tcW w:w="580" w:type="dxa"/>
            <w:vAlign w:val="bottom"/>
            <w:tcBorders>
              <w:top w:val="single" w:sz="8" w:color="D9D9D9"/>
            </w:tcBorders>
          </w:tcPr>
          <w:p>
            <w:pPr>
              <w:spacing w:after="0"/>
              <w:rPr>
                <w:sz w:val="11"/>
                <w:szCs w:val="11"/>
                <w:color w:val="auto"/>
              </w:rPr>
            </w:pPr>
          </w:p>
        </w:tc>
        <w:tc>
          <w:tcPr>
            <w:tcW w:w="320" w:type="dxa"/>
            <w:vAlign w:val="bottom"/>
            <w:tcBorders>
              <w:top w:val="single" w:sz="8" w:color="D9D9D9"/>
            </w:tcBorders>
          </w:tcPr>
          <w:p>
            <w:pPr>
              <w:spacing w:after="0"/>
              <w:rPr>
                <w:sz w:val="11"/>
                <w:szCs w:val="11"/>
                <w:color w:val="auto"/>
              </w:rPr>
            </w:pPr>
          </w:p>
        </w:tc>
        <w:tc>
          <w:tcPr>
            <w:tcW w:w="660" w:type="dxa"/>
            <w:vAlign w:val="bottom"/>
            <w:tcBorders>
              <w:top w:val="single" w:sz="8" w:color="D9D9D9"/>
            </w:tcBorders>
          </w:tcPr>
          <w:p>
            <w:pPr>
              <w:spacing w:after="0"/>
              <w:rPr>
                <w:sz w:val="11"/>
                <w:szCs w:val="11"/>
                <w:color w:val="auto"/>
              </w:rPr>
            </w:pPr>
          </w:p>
        </w:tc>
        <w:tc>
          <w:tcPr>
            <w:tcW w:w="500" w:type="dxa"/>
            <w:vAlign w:val="bottom"/>
            <w:tcBorders>
              <w:top w:val="single" w:sz="8" w:color="D9D9D9"/>
            </w:tcBorders>
          </w:tcPr>
          <w:p>
            <w:pPr>
              <w:spacing w:after="0"/>
              <w:rPr>
                <w:sz w:val="11"/>
                <w:szCs w:val="11"/>
                <w:color w:val="auto"/>
              </w:rPr>
            </w:pPr>
          </w:p>
        </w:tc>
      </w:tr>
      <w:tr>
        <w:trPr>
          <w:trHeight w:val="127"/>
        </w:trPr>
        <w:tc>
          <w:tcPr>
            <w:tcW w:w="12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color w:val="616161"/>
                <w:w w:val="80"/>
              </w:rPr>
              <w:t>2019</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93"/>
        </w:trPr>
        <w:tc>
          <w:tcPr>
            <w:tcW w:w="12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7"/>
                <w:szCs w:val="7"/>
                <w:color w:val="auto"/>
              </w:rPr>
              <w:t>Developed</w:t>
            </w:r>
          </w:p>
        </w:tc>
        <w:tc>
          <w:tcPr>
            <w:tcW w:w="3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7"/>
                <w:szCs w:val="7"/>
                <w:color w:val="auto"/>
              </w:rPr>
              <w:t>Undeveloped</w:t>
            </w: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7"/>
                <w:szCs w:val="7"/>
                <w:color w:val="auto"/>
                <w:w w:val="83"/>
              </w:rPr>
              <w:t>Developed</w:t>
            </w: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7"/>
                <w:szCs w:val="7"/>
                <w:color w:val="auto"/>
                <w:w w:val="92"/>
              </w:rPr>
              <w:t>Undeveloped</w:t>
            </w: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7"/>
                <w:szCs w:val="7"/>
                <w:color w:val="auto"/>
                <w:w w:val="89"/>
              </w:rPr>
              <w:t>Developed</w:t>
            </w:r>
          </w:p>
        </w:tc>
        <w:tc>
          <w:tcPr>
            <w:tcW w:w="6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7"/>
                <w:szCs w:val="7"/>
                <w:color w:val="auto"/>
              </w:rPr>
              <w:t>Undeveloped</w:t>
            </w:r>
          </w:p>
        </w:tc>
        <w:tc>
          <w:tcPr>
            <w:tcW w:w="500" w:type="dxa"/>
            <w:vAlign w:val="bottom"/>
            <w:tcBorders>
              <w:bottom w:val="single" w:sz="8" w:color="auto"/>
            </w:tcBorders>
          </w:tcPr>
          <w:p>
            <w:pPr>
              <w:spacing w:after="0"/>
              <w:rPr>
                <w:sz w:val="8"/>
                <w:szCs w:val="8"/>
                <w:color w:val="auto"/>
              </w:rPr>
            </w:pPr>
          </w:p>
        </w:tc>
      </w:tr>
      <w:tr>
        <w:trPr>
          <w:trHeight w:val="89"/>
        </w:trPr>
        <w:tc>
          <w:tcPr>
            <w:tcW w:w="1280" w:type="dxa"/>
            <w:vAlign w:val="bottom"/>
          </w:tcPr>
          <w:p>
            <w:pPr>
              <w:spacing w:after="0"/>
              <w:rPr>
                <w:sz w:val="7"/>
                <w:szCs w:val="7"/>
                <w:color w:val="auto"/>
              </w:rPr>
            </w:pPr>
          </w:p>
        </w:tc>
        <w:tc>
          <w:tcPr>
            <w:tcW w:w="320" w:type="dxa"/>
            <w:vAlign w:val="bottom"/>
          </w:tcPr>
          <w:p>
            <w:pPr>
              <w:ind w:left="20"/>
              <w:spacing w:after="0"/>
              <w:rPr>
                <w:sz w:val="20"/>
                <w:szCs w:val="20"/>
                <w:color w:val="auto"/>
              </w:rPr>
            </w:pPr>
            <w:r>
              <w:rPr>
                <w:rFonts w:ascii="Arial" w:cs="Arial" w:eastAsia="Arial" w:hAnsi="Arial"/>
                <w:sz w:val="7"/>
                <w:szCs w:val="7"/>
                <w:color w:val="auto"/>
              </w:rPr>
              <w:t>Gross</w:t>
            </w:r>
          </w:p>
        </w:tc>
        <w:tc>
          <w:tcPr>
            <w:tcW w:w="260" w:type="dxa"/>
            <w:vAlign w:val="bottom"/>
          </w:tcPr>
          <w:p>
            <w:pPr>
              <w:spacing w:after="0"/>
              <w:rPr>
                <w:sz w:val="7"/>
                <w:szCs w:val="7"/>
                <w:color w:val="auto"/>
              </w:rPr>
            </w:pPr>
          </w:p>
        </w:tc>
        <w:tc>
          <w:tcPr>
            <w:tcW w:w="540" w:type="dxa"/>
            <w:vAlign w:val="bottom"/>
          </w:tcPr>
          <w:p>
            <w:pPr>
              <w:ind w:left="20"/>
              <w:spacing w:after="0"/>
              <w:rPr>
                <w:sz w:val="20"/>
                <w:szCs w:val="20"/>
                <w:color w:val="auto"/>
              </w:rPr>
            </w:pPr>
            <w:r>
              <w:rPr>
                <w:rFonts w:ascii="Arial" w:cs="Arial" w:eastAsia="Arial" w:hAnsi="Arial"/>
                <w:sz w:val="7"/>
                <w:szCs w:val="7"/>
                <w:color w:val="auto"/>
              </w:rPr>
              <w:t>Net</w:t>
            </w:r>
          </w:p>
        </w:tc>
        <w:tc>
          <w:tcPr>
            <w:tcW w:w="320" w:type="dxa"/>
            <w:vAlign w:val="bottom"/>
          </w:tcPr>
          <w:p>
            <w:pPr>
              <w:ind w:left="20"/>
              <w:spacing w:after="0"/>
              <w:rPr>
                <w:sz w:val="20"/>
                <w:szCs w:val="20"/>
                <w:color w:val="auto"/>
              </w:rPr>
            </w:pPr>
            <w:r>
              <w:rPr>
                <w:rFonts w:ascii="Arial" w:cs="Arial" w:eastAsia="Arial" w:hAnsi="Arial"/>
                <w:sz w:val="7"/>
                <w:szCs w:val="7"/>
                <w:color w:val="auto"/>
              </w:rPr>
              <w:t>Gross</w:t>
            </w:r>
          </w:p>
        </w:tc>
        <w:tc>
          <w:tcPr>
            <w:tcW w:w="560" w:type="dxa"/>
            <w:vAlign w:val="bottom"/>
          </w:tcPr>
          <w:p>
            <w:pPr>
              <w:ind w:left="280"/>
              <w:spacing w:after="0"/>
              <w:rPr>
                <w:sz w:val="20"/>
                <w:szCs w:val="20"/>
                <w:color w:val="auto"/>
              </w:rPr>
            </w:pPr>
            <w:r>
              <w:rPr>
                <w:rFonts w:ascii="Arial" w:cs="Arial" w:eastAsia="Arial" w:hAnsi="Arial"/>
                <w:sz w:val="7"/>
                <w:szCs w:val="7"/>
                <w:color w:val="auto"/>
              </w:rPr>
              <w:t>Net</w:t>
            </w: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ind w:left="20"/>
              <w:spacing w:after="0"/>
              <w:rPr>
                <w:sz w:val="20"/>
                <w:szCs w:val="20"/>
                <w:color w:val="auto"/>
              </w:rPr>
            </w:pPr>
            <w:r>
              <w:rPr>
                <w:rFonts w:ascii="Arial" w:cs="Arial" w:eastAsia="Arial" w:hAnsi="Arial"/>
                <w:sz w:val="7"/>
                <w:szCs w:val="7"/>
                <w:color w:val="auto"/>
              </w:rPr>
              <w:t>Gross</w:t>
            </w:r>
          </w:p>
        </w:tc>
        <w:tc>
          <w:tcPr>
            <w:tcW w:w="500" w:type="dxa"/>
            <w:vAlign w:val="bottom"/>
          </w:tcPr>
          <w:p>
            <w:pPr>
              <w:spacing w:after="0"/>
              <w:rPr>
                <w:sz w:val="7"/>
                <w:szCs w:val="7"/>
                <w:color w:val="auto"/>
              </w:rPr>
            </w:pPr>
          </w:p>
        </w:tc>
        <w:tc>
          <w:tcPr>
            <w:tcW w:w="400" w:type="dxa"/>
            <w:vAlign w:val="bottom"/>
          </w:tcPr>
          <w:p>
            <w:pPr>
              <w:ind w:left="20"/>
              <w:spacing w:after="0"/>
              <w:rPr>
                <w:sz w:val="20"/>
                <w:szCs w:val="20"/>
                <w:color w:val="auto"/>
              </w:rPr>
            </w:pPr>
            <w:r>
              <w:rPr>
                <w:rFonts w:ascii="Arial" w:cs="Arial" w:eastAsia="Arial" w:hAnsi="Arial"/>
                <w:sz w:val="7"/>
                <w:szCs w:val="7"/>
                <w:color w:val="auto"/>
              </w:rPr>
              <w:t>Net</w:t>
            </w:r>
          </w:p>
        </w:tc>
        <w:tc>
          <w:tcPr>
            <w:tcW w:w="400" w:type="dxa"/>
            <w:vAlign w:val="bottom"/>
          </w:tcPr>
          <w:p>
            <w:pPr>
              <w:spacing w:after="0"/>
              <w:rPr>
                <w:sz w:val="7"/>
                <w:szCs w:val="7"/>
                <w:color w:val="auto"/>
              </w:rPr>
            </w:pPr>
          </w:p>
        </w:tc>
        <w:tc>
          <w:tcPr>
            <w:tcW w:w="500" w:type="dxa"/>
            <w:vAlign w:val="bottom"/>
          </w:tcPr>
          <w:p>
            <w:pPr>
              <w:ind w:left="140"/>
              <w:spacing w:after="0"/>
              <w:rPr>
                <w:sz w:val="20"/>
                <w:szCs w:val="20"/>
                <w:color w:val="auto"/>
              </w:rPr>
            </w:pPr>
            <w:r>
              <w:rPr>
                <w:rFonts w:ascii="Arial" w:cs="Arial" w:eastAsia="Arial" w:hAnsi="Arial"/>
                <w:sz w:val="7"/>
                <w:szCs w:val="7"/>
                <w:color w:val="auto"/>
              </w:rPr>
              <w:t>Gross</w:t>
            </w:r>
          </w:p>
        </w:tc>
        <w:tc>
          <w:tcPr>
            <w:tcW w:w="540" w:type="dxa"/>
            <w:vAlign w:val="bottom"/>
          </w:tcPr>
          <w:p>
            <w:pPr>
              <w:spacing w:after="0"/>
              <w:rPr>
                <w:sz w:val="7"/>
                <w:szCs w:val="7"/>
                <w:color w:val="auto"/>
              </w:rPr>
            </w:pPr>
          </w:p>
        </w:tc>
        <w:tc>
          <w:tcPr>
            <w:tcW w:w="360" w:type="dxa"/>
            <w:vAlign w:val="bottom"/>
          </w:tcPr>
          <w:p>
            <w:pPr>
              <w:spacing w:after="0"/>
              <w:rPr>
                <w:sz w:val="20"/>
                <w:szCs w:val="20"/>
                <w:color w:val="auto"/>
              </w:rPr>
            </w:pPr>
            <w:r>
              <w:rPr>
                <w:rFonts w:ascii="Arial" w:cs="Arial" w:eastAsia="Arial" w:hAnsi="Arial"/>
                <w:sz w:val="7"/>
                <w:szCs w:val="7"/>
                <w:color w:val="auto"/>
              </w:rPr>
              <w:t>Net</w:t>
            </w: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20"/>
                <w:szCs w:val="20"/>
                <w:color w:val="auto"/>
              </w:rPr>
            </w:pPr>
            <w:r>
              <w:rPr>
                <w:rFonts w:ascii="Arial" w:cs="Arial" w:eastAsia="Arial" w:hAnsi="Arial"/>
                <w:sz w:val="7"/>
                <w:szCs w:val="7"/>
                <w:color w:val="auto"/>
              </w:rPr>
              <w:t>Gross</w:t>
            </w:r>
          </w:p>
        </w:tc>
        <w:tc>
          <w:tcPr>
            <w:tcW w:w="540" w:type="dxa"/>
            <w:vAlign w:val="bottom"/>
          </w:tcPr>
          <w:p>
            <w:pPr>
              <w:spacing w:after="0"/>
              <w:rPr>
                <w:sz w:val="7"/>
                <w:szCs w:val="7"/>
                <w:color w:val="auto"/>
              </w:rPr>
            </w:pPr>
          </w:p>
        </w:tc>
        <w:tc>
          <w:tcPr>
            <w:tcW w:w="600" w:type="dxa"/>
            <w:vAlign w:val="bottom"/>
          </w:tcPr>
          <w:p>
            <w:pPr>
              <w:spacing w:after="0"/>
              <w:rPr>
                <w:sz w:val="20"/>
                <w:szCs w:val="20"/>
                <w:color w:val="auto"/>
              </w:rPr>
            </w:pPr>
            <w:r>
              <w:rPr>
                <w:rFonts w:ascii="Arial" w:cs="Arial" w:eastAsia="Arial" w:hAnsi="Arial"/>
                <w:sz w:val="7"/>
                <w:szCs w:val="7"/>
                <w:color w:val="auto"/>
              </w:rPr>
              <w:t>Net</w:t>
            </w:r>
          </w:p>
        </w:tc>
        <w:tc>
          <w:tcPr>
            <w:tcW w:w="280" w:type="dxa"/>
            <w:vAlign w:val="bottom"/>
          </w:tcPr>
          <w:p>
            <w:pPr>
              <w:spacing w:after="0"/>
              <w:rPr>
                <w:sz w:val="7"/>
                <w:szCs w:val="7"/>
                <w:color w:val="auto"/>
              </w:rPr>
            </w:pPr>
          </w:p>
        </w:tc>
        <w:tc>
          <w:tcPr>
            <w:tcW w:w="580" w:type="dxa"/>
            <w:vAlign w:val="bottom"/>
          </w:tcPr>
          <w:p>
            <w:pPr>
              <w:ind w:left="160"/>
              <w:spacing w:after="0"/>
              <w:rPr>
                <w:sz w:val="20"/>
                <w:szCs w:val="20"/>
                <w:color w:val="auto"/>
              </w:rPr>
            </w:pPr>
            <w:r>
              <w:rPr>
                <w:rFonts w:ascii="Arial" w:cs="Arial" w:eastAsia="Arial" w:hAnsi="Arial"/>
                <w:sz w:val="7"/>
                <w:szCs w:val="7"/>
                <w:color w:val="auto"/>
              </w:rPr>
              <w:t>Gross</w:t>
            </w:r>
          </w:p>
        </w:tc>
        <w:tc>
          <w:tcPr>
            <w:tcW w:w="320" w:type="dxa"/>
            <w:vAlign w:val="bottom"/>
          </w:tcPr>
          <w:p>
            <w:pPr>
              <w:spacing w:after="0"/>
              <w:rPr>
                <w:sz w:val="7"/>
                <w:szCs w:val="7"/>
                <w:color w:val="auto"/>
              </w:rPr>
            </w:pPr>
          </w:p>
        </w:tc>
        <w:tc>
          <w:tcPr>
            <w:tcW w:w="660" w:type="dxa"/>
            <w:vAlign w:val="bottom"/>
          </w:tcPr>
          <w:p>
            <w:pPr>
              <w:ind w:left="300"/>
              <w:spacing w:after="0"/>
              <w:rPr>
                <w:sz w:val="20"/>
                <w:szCs w:val="20"/>
                <w:color w:val="auto"/>
              </w:rPr>
            </w:pPr>
            <w:r>
              <w:rPr>
                <w:rFonts w:ascii="Arial" w:cs="Arial" w:eastAsia="Arial" w:hAnsi="Arial"/>
                <w:sz w:val="7"/>
                <w:szCs w:val="7"/>
                <w:color w:val="auto"/>
              </w:rPr>
              <w:t>Net</w:t>
            </w:r>
          </w:p>
        </w:tc>
        <w:tc>
          <w:tcPr>
            <w:tcW w:w="500" w:type="dxa"/>
            <w:vAlign w:val="bottom"/>
          </w:tcPr>
          <w:p>
            <w:pPr>
              <w:spacing w:after="0"/>
              <w:rPr>
                <w:sz w:val="7"/>
                <w:szCs w:val="7"/>
                <w:color w:val="auto"/>
              </w:rPr>
            </w:pPr>
          </w:p>
        </w:tc>
      </w:tr>
      <w:tr>
        <w:trPr>
          <w:trHeight w:val="124"/>
        </w:trPr>
        <w:tc>
          <w:tcPr>
            <w:tcW w:w="1280" w:type="dxa"/>
            <w:vAlign w:val="bottom"/>
          </w:tcPr>
          <w:p>
            <w:pPr>
              <w:spacing w:after="0"/>
              <w:rPr>
                <w:sz w:val="20"/>
                <w:szCs w:val="20"/>
                <w:color w:val="auto"/>
              </w:rPr>
            </w:pPr>
            <w:r>
              <w:rPr>
                <w:rFonts w:ascii="Arial" w:cs="Arial" w:eastAsia="Arial" w:hAnsi="Arial"/>
                <w:sz w:val="7"/>
                <w:szCs w:val="7"/>
                <w:color w:val="auto"/>
              </w:rPr>
              <w:t>Europe [A]</w:t>
            </w:r>
          </w:p>
        </w:tc>
        <w:tc>
          <w:tcPr>
            <w:tcW w:w="320" w:type="dxa"/>
            <w:vAlign w:val="bottom"/>
            <w:shd w:val="clear" w:color="auto" w:fill="CDCDCD"/>
          </w:tcPr>
          <w:p>
            <w:pPr>
              <w:ind w:left="20"/>
              <w:spacing w:after="0"/>
              <w:rPr>
                <w:sz w:val="20"/>
                <w:szCs w:val="20"/>
                <w:color w:val="auto"/>
              </w:rPr>
            </w:pPr>
            <w:r>
              <w:rPr>
                <w:rFonts w:ascii="Arial" w:cs="Arial" w:eastAsia="Arial" w:hAnsi="Arial"/>
                <w:sz w:val="7"/>
                <w:szCs w:val="7"/>
                <w:color w:val="auto"/>
              </w:rPr>
              <w:t>6,075</w:t>
            </w:r>
          </w:p>
        </w:tc>
        <w:tc>
          <w:tcPr>
            <w:tcW w:w="800" w:type="dxa"/>
            <w:vAlign w:val="bottom"/>
            <w:gridSpan w:val="2"/>
            <w:shd w:val="clear" w:color="auto" w:fill="CDCDCD"/>
          </w:tcPr>
          <w:p>
            <w:pPr>
              <w:ind w:left="280"/>
              <w:spacing w:after="0"/>
              <w:rPr>
                <w:sz w:val="20"/>
                <w:szCs w:val="20"/>
                <w:color w:val="auto"/>
              </w:rPr>
            </w:pPr>
            <w:r>
              <w:rPr>
                <w:rFonts w:ascii="Arial" w:cs="Arial" w:eastAsia="Arial" w:hAnsi="Arial"/>
                <w:sz w:val="7"/>
                <w:szCs w:val="7"/>
                <w:color w:val="auto"/>
              </w:rPr>
              <w:t>1,900</w:t>
            </w:r>
          </w:p>
        </w:tc>
        <w:tc>
          <w:tcPr>
            <w:tcW w:w="320" w:type="dxa"/>
            <w:vAlign w:val="bottom"/>
            <w:shd w:val="clear" w:color="auto" w:fill="CDCDCD"/>
          </w:tcPr>
          <w:p>
            <w:pPr>
              <w:ind w:left="20"/>
              <w:spacing w:after="0"/>
              <w:rPr>
                <w:sz w:val="20"/>
                <w:szCs w:val="20"/>
                <w:color w:val="auto"/>
              </w:rPr>
            </w:pPr>
            <w:r>
              <w:rPr>
                <w:rFonts w:ascii="Arial" w:cs="Arial" w:eastAsia="Arial" w:hAnsi="Arial"/>
                <w:sz w:val="7"/>
                <w:szCs w:val="7"/>
                <w:color w:val="auto"/>
              </w:rPr>
              <w:t>13,399</w:t>
            </w:r>
          </w:p>
        </w:tc>
        <w:tc>
          <w:tcPr>
            <w:tcW w:w="560" w:type="dxa"/>
            <w:vAlign w:val="bottom"/>
            <w:shd w:val="clear" w:color="auto" w:fill="CDCDCD"/>
          </w:tcPr>
          <w:p>
            <w:pPr>
              <w:ind w:left="280"/>
              <w:spacing w:after="0"/>
              <w:rPr>
                <w:sz w:val="20"/>
                <w:szCs w:val="20"/>
                <w:color w:val="auto"/>
              </w:rPr>
            </w:pPr>
            <w:r>
              <w:rPr>
                <w:rFonts w:ascii="Arial" w:cs="Arial" w:eastAsia="Arial" w:hAnsi="Arial"/>
                <w:sz w:val="7"/>
                <w:szCs w:val="7"/>
                <w:color w:val="auto"/>
              </w:rPr>
              <w:t>5,663</w:t>
            </w:r>
          </w:p>
        </w:tc>
        <w:tc>
          <w:tcPr>
            <w:tcW w:w="300" w:type="dxa"/>
            <w:vAlign w:val="bottom"/>
            <w:shd w:val="clear" w:color="auto" w:fill="CDCDCD"/>
          </w:tcPr>
          <w:p>
            <w:pPr>
              <w:spacing w:after="0"/>
              <w:rPr>
                <w:sz w:val="10"/>
                <w:szCs w:val="10"/>
                <w:color w:val="auto"/>
              </w:rPr>
            </w:pPr>
          </w:p>
        </w:tc>
        <w:tc>
          <w:tcPr>
            <w:tcW w:w="500" w:type="dxa"/>
            <w:vAlign w:val="bottom"/>
            <w:gridSpan w:val="2"/>
          </w:tcPr>
          <w:p>
            <w:pPr>
              <w:ind w:left="140"/>
              <w:spacing w:after="0"/>
              <w:rPr>
                <w:sz w:val="20"/>
                <w:szCs w:val="20"/>
                <w:color w:val="auto"/>
              </w:rPr>
            </w:pPr>
            <w:r>
              <w:rPr>
                <w:rFonts w:ascii="Arial" w:cs="Arial" w:eastAsia="Arial" w:hAnsi="Arial"/>
                <w:sz w:val="7"/>
                <w:szCs w:val="7"/>
                <w:color w:val="auto"/>
              </w:rPr>
              <w:t>6,278</w:t>
            </w:r>
          </w:p>
        </w:tc>
        <w:tc>
          <w:tcPr>
            <w:tcW w:w="500" w:type="dxa"/>
            <w:vAlign w:val="bottom"/>
          </w:tcPr>
          <w:p>
            <w:pPr>
              <w:ind w:left="180"/>
              <w:spacing w:after="0"/>
              <w:rPr>
                <w:sz w:val="20"/>
                <w:szCs w:val="20"/>
                <w:color w:val="auto"/>
              </w:rPr>
            </w:pPr>
            <w:r>
              <w:rPr>
                <w:rFonts w:ascii="Arial" w:cs="Arial" w:eastAsia="Arial" w:hAnsi="Arial"/>
                <w:sz w:val="7"/>
                <w:szCs w:val="7"/>
                <w:color w:val="auto"/>
              </w:rPr>
              <w:t>[B]</w:t>
            </w:r>
          </w:p>
        </w:tc>
        <w:tc>
          <w:tcPr>
            <w:tcW w:w="400" w:type="dxa"/>
            <w:vAlign w:val="bottom"/>
          </w:tcPr>
          <w:p>
            <w:pPr>
              <w:ind w:left="20"/>
              <w:spacing w:after="0"/>
              <w:rPr>
                <w:sz w:val="20"/>
                <w:szCs w:val="20"/>
                <w:color w:val="auto"/>
              </w:rPr>
            </w:pPr>
            <w:r>
              <w:rPr>
                <w:rFonts w:ascii="Arial" w:cs="Arial" w:eastAsia="Arial" w:hAnsi="Arial"/>
                <w:sz w:val="7"/>
                <w:szCs w:val="7"/>
                <w:color w:val="auto"/>
              </w:rPr>
              <w:t>1,910</w:t>
            </w:r>
          </w:p>
        </w:tc>
        <w:tc>
          <w:tcPr>
            <w:tcW w:w="400" w:type="dxa"/>
            <w:vAlign w:val="bottom"/>
          </w:tcPr>
          <w:p>
            <w:pPr>
              <w:ind w:left="200"/>
              <w:spacing w:after="0"/>
              <w:rPr>
                <w:sz w:val="20"/>
                <w:szCs w:val="20"/>
                <w:color w:val="auto"/>
              </w:rPr>
            </w:pPr>
            <w:r>
              <w:rPr>
                <w:rFonts w:ascii="Arial" w:cs="Arial" w:eastAsia="Arial" w:hAnsi="Arial"/>
                <w:sz w:val="7"/>
                <w:szCs w:val="7"/>
                <w:color w:val="auto"/>
              </w:rPr>
              <w:t>[B]</w:t>
            </w:r>
          </w:p>
        </w:tc>
        <w:tc>
          <w:tcPr>
            <w:tcW w:w="500" w:type="dxa"/>
            <w:vAlign w:val="bottom"/>
          </w:tcPr>
          <w:p>
            <w:pPr>
              <w:ind w:left="140"/>
              <w:spacing w:after="0"/>
              <w:rPr>
                <w:sz w:val="20"/>
                <w:szCs w:val="20"/>
                <w:color w:val="auto"/>
              </w:rPr>
            </w:pPr>
            <w:r>
              <w:rPr>
                <w:rFonts w:ascii="Arial" w:cs="Arial" w:eastAsia="Arial" w:hAnsi="Arial"/>
                <w:sz w:val="7"/>
                <w:szCs w:val="7"/>
                <w:color w:val="auto"/>
              </w:rPr>
              <w:t>13,844</w:t>
            </w:r>
          </w:p>
        </w:tc>
        <w:tc>
          <w:tcPr>
            <w:tcW w:w="540" w:type="dxa"/>
            <w:vAlign w:val="bottom"/>
          </w:tcPr>
          <w:p>
            <w:pPr>
              <w:ind w:left="200"/>
              <w:spacing w:after="0"/>
              <w:rPr>
                <w:sz w:val="20"/>
                <w:szCs w:val="20"/>
                <w:color w:val="auto"/>
              </w:rPr>
            </w:pPr>
            <w:r>
              <w:rPr>
                <w:rFonts w:ascii="Arial" w:cs="Arial" w:eastAsia="Arial" w:hAnsi="Arial"/>
                <w:sz w:val="7"/>
                <w:szCs w:val="7"/>
                <w:color w:val="auto"/>
              </w:rPr>
              <w:t>[C]</w:t>
            </w:r>
          </w:p>
        </w:tc>
        <w:tc>
          <w:tcPr>
            <w:tcW w:w="360" w:type="dxa"/>
            <w:vAlign w:val="bottom"/>
          </w:tcPr>
          <w:p>
            <w:pPr>
              <w:spacing w:after="0"/>
              <w:rPr>
                <w:sz w:val="20"/>
                <w:szCs w:val="20"/>
                <w:color w:val="auto"/>
              </w:rPr>
            </w:pPr>
            <w:r>
              <w:rPr>
                <w:rFonts w:ascii="Arial" w:cs="Arial" w:eastAsia="Arial" w:hAnsi="Arial"/>
                <w:sz w:val="7"/>
                <w:szCs w:val="7"/>
                <w:color w:val="auto"/>
              </w:rPr>
              <w:t>6,077</w:t>
            </w:r>
          </w:p>
        </w:tc>
        <w:tc>
          <w:tcPr>
            <w:tcW w:w="260" w:type="dxa"/>
            <w:vAlign w:val="bottom"/>
          </w:tcPr>
          <w:p>
            <w:pPr>
              <w:ind w:left="180"/>
              <w:spacing w:after="0"/>
              <w:rPr>
                <w:sz w:val="20"/>
                <w:szCs w:val="20"/>
                <w:color w:val="auto"/>
              </w:rPr>
            </w:pPr>
            <w:r>
              <w:rPr>
                <w:rFonts w:ascii="Arial" w:cs="Arial" w:eastAsia="Arial" w:hAnsi="Arial"/>
                <w:sz w:val="6"/>
                <w:szCs w:val="6"/>
                <w:color w:val="auto"/>
                <w:w w:val="77"/>
              </w:rPr>
              <w:t>[C]</w:t>
            </w:r>
          </w:p>
        </w:tc>
        <w:tc>
          <w:tcPr>
            <w:tcW w:w="720" w:type="dxa"/>
            <w:vAlign w:val="bottom"/>
            <w:gridSpan w:val="3"/>
          </w:tcPr>
          <w:p>
            <w:pPr>
              <w:ind w:left="340"/>
              <w:spacing w:after="0"/>
              <w:rPr>
                <w:sz w:val="20"/>
                <w:szCs w:val="20"/>
                <w:color w:val="auto"/>
              </w:rPr>
            </w:pPr>
            <w:r>
              <w:rPr>
                <w:rFonts w:ascii="Arial" w:cs="Arial" w:eastAsia="Arial" w:hAnsi="Arial"/>
                <w:sz w:val="7"/>
                <w:szCs w:val="7"/>
                <w:color w:val="auto"/>
              </w:rPr>
              <w:t>6,022</w:t>
            </w:r>
          </w:p>
        </w:tc>
        <w:tc>
          <w:tcPr>
            <w:tcW w:w="5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7"/>
                <w:szCs w:val="7"/>
                <w:color w:val="auto"/>
              </w:rPr>
              <w:t>1,954</w:t>
            </w:r>
          </w:p>
        </w:tc>
        <w:tc>
          <w:tcPr>
            <w:tcW w:w="280" w:type="dxa"/>
            <w:vAlign w:val="bottom"/>
          </w:tcPr>
          <w:p>
            <w:pPr>
              <w:spacing w:after="0"/>
              <w:rPr>
                <w:sz w:val="10"/>
                <w:szCs w:val="10"/>
                <w:color w:val="auto"/>
              </w:rPr>
            </w:pPr>
          </w:p>
        </w:tc>
        <w:tc>
          <w:tcPr>
            <w:tcW w:w="580" w:type="dxa"/>
            <w:vAlign w:val="bottom"/>
          </w:tcPr>
          <w:p>
            <w:pPr>
              <w:ind w:left="160"/>
              <w:spacing w:after="0"/>
              <w:rPr>
                <w:sz w:val="20"/>
                <w:szCs w:val="20"/>
                <w:color w:val="auto"/>
              </w:rPr>
            </w:pPr>
            <w:r>
              <w:rPr>
                <w:rFonts w:ascii="Arial" w:cs="Arial" w:eastAsia="Arial" w:hAnsi="Arial"/>
                <w:sz w:val="7"/>
                <w:szCs w:val="7"/>
                <w:color w:val="auto"/>
              </w:rPr>
              <w:t>13,732</w:t>
            </w:r>
          </w:p>
        </w:tc>
        <w:tc>
          <w:tcPr>
            <w:tcW w:w="320" w:type="dxa"/>
            <w:vAlign w:val="bottom"/>
          </w:tcPr>
          <w:p>
            <w:pPr>
              <w:ind w:left="200"/>
              <w:spacing w:after="0"/>
              <w:rPr>
                <w:sz w:val="20"/>
                <w:szCs w:val="20"/>
                <w:color w:val="auto"/>
              </w:rPr>
            </w:pPr>
            <w:r>
              <w:rPr>
                <w:rFonts w:ascii="Arial" w:cs="Arial" w:eastAsia="Arial" w:hAnsi="Arial"/>
                <w:sz w:val="7"/>
                <w:szCs w:val="7"/>
                <w:color w:val="auto"/>
              </w:rPr>
              <w:t>[D]</w:t>
            </w:r>
          </w:p>
        </w:tc>
        <w:tc>
          <w:tcPr>
            <w:tcW w:w="660" w:type="dxa"/>
            <w:vAlign w:val="bottom"/>
          </w:tcPr>
          <w:p>
            <w:pPr>
              <w:ind w:left="300"/>
              <w:spacing w:after="0"/>
              <w:rPr>
                <w:sz w:val="20"/>
                <w:szCs w:val="20"/>
                <w:color w:val="auto"/>
              </w:rPr>
            </w:pPr>
            <w:r>
              <w:rPr>
                <w:rFonts w:ascii="Arial" w:cs="Arial" w:eastAsia="Arial" w:hAnsi="Arial"/>
                <w:sz w:val="7"/>
                <w:szCs w:val="7"/>
                <w:color w:val="auto"/>
              </w:rPr>
              <w:t>6,322</w:t>
            </w:r>
          </w:p>
        </w:tc>
        <w:tc>
          <w:tcPr>
            <w:tcW w:w="500" w:type="dxa"/>
            <w:vAlign w:val="bottom"/>
          </w:tcPr>
          <w:p>
            <w:pPr>
              <w:ind w:left="180"/>
              <w:spacing w:after="0"/>
              <w:rPr>
                <w:sz w:val="20"/>
                <w:szCs w:val="20"/>
                <w:color w:val="auto"/>
              </w:rPr>
            </w:pPr>
            <w:r>
              <w:rPr>
                <w:rFonts w:ascii="Arial" w:cs="Arial" w:eastAsia="Arial" w:hAnsi="Arial"/>
                <w:sz w:val="7"/>
                <w:szCs w:val="7"/>
                <w:color w:val="auto"/>
              </w:rPr>
              <w:t>[D]</w:t>
            </w:r>
          </w:p>
        </w:tc>
      </w:tr>
      <w:tr>
        <w:trPr>
          <w:trHeight w:val="108"/>
        </w:trPr>
        <w:tc>
          <w:tcPr>
            <w:tcW w:w="1280" w:type="dxa"/>
            <w:vAlign w:val="bottom"/>
          </w:tcPr>
          <w:p>
            <w:pPr>
              <w:spacing w:after="0"/>
              <w:rPr>
                <w:sz w:val="20"/>
                <w:szCs w:val="20"/>
                <w:color w:val="auto"/>
              </w:rPr>
            </w:pPr>
            <w:r>
              <w:rPr>
                <w:rFonts w:ascii="Arial" w:cs="Arial" w:eastAsia="Arial" w:hAnsi="Arial"/>
                <w:sz w:val="7"/>
                <w:szCs w:val="7"/>
                <w:color w:val="auto"/>
              </w:rPr>
              <w:t>Asia</w:t>
            </w:r>
          </w:p>
        </w:tc>
        <w:tc>
          <w:tcPr>
            <w:tcW w:w="320" w:type="dxa"/>
            <w:vAlign w:val="bottom"/>
          </w:tcPr>
          <w:p>
            <w:pPr>
              <w:ind w:left="20"/>
              <w:spacing w:after="0"/>
              <w:rPr>
                <w:sz w:val="20"/>
                <w:szCs w:val="20"/>
                <w:color w:val="auto"/>
              </w:rPr>
            </w:pPr>
            <w:r>
              <w:rPr>
                <w:rFonts w:ascii="Arial" w:cs="Arial" w:eastAsia="Arial" w:hAnsi="Arial"/>
                <w:sz w:val="7"/>
                <w:szCs w:val="7"/>
                <w:color w:val="auto"/>
              </w:rPr>
              <w:t>21,360</w:t>
            </w:r>
          </w:p>
        </w:tc>
        <w:tc>
          <w:tcPr>
            <w:tcW w:w="260" w:type="dxa"/>
            <w:vAlign w:val="bottom"/>
          </w:tcPr>
          <w:p>
            <w:pPr>
              <w:spacing w:after="0"/>
              <w:rPr>
                <w:sz w:val="9"/>
                <w:szCs w:val="9"/>
                <w:color w:val="auto"/>
              </w:rPr>
            </w:pPr>
          </w:p>
        </w:tc>
        <w:tc>
          <w:tcPr>
            <w:tcW w:w="540" w:type="dxa"/>
            <w:vAlign w:val="bottom"/>
            <w:shd w:val="clear" w:color="auto" w:fill="CDCDCD"/>
          </w:tcPr>
          <w:p>
            <w:pPr>
              <w:ind w:left="20"/>
              <w:spacing w:after="0"/>
              <w:rPr>
                <w:sz w:val="20"/>
                <w:szCs w:val="20"/>
                <w:color w:val="auto"/>
              </w:rPr>
            </w:pPr>
            <w:r>
              <w:rPr>
                <w:rFonts w:ascii="Arial" w:cs="Arial" w:eastAsia="Arial" w:hAnsi="Arial"/>
                <w:sz w:val="7"/>
                <w:szCs w:val="7"/>
                <w:color w:val="auto"/>
              </w:rPr>
              <w:t>7,651</w:t>
            </w:r>
          </w:p>
        </w:tc>
        <w:tc>
          <w:tcPr>
            <w:tcW w:w="320" w:type="dxa"/>
            <w:vAlign w:val="bottom"/>
            <w:shd w:val="clear" w:color="auto" w:fill="CDCDCD"/>
          </w:tcPr>
          <w:p>
            <w:pPr>
              <w:ind w:left="20"/>
              <w:spacing w:after="0"/>
              <w:rPr>
                <w:sz w:val="20"/>
                <w:szCs w:val="20"/>
                <w:color w:val="auto"/>
              </w:rPr>
            </w:pPr>
            <w:r>
              <w:rPr>
                <w:rFonts w:ascii="Arial" w:cs="Arial" w:eastAsia="Arial" w:hAnsi="Arial"/>
                <w:sz w:val="7"/>
                <w:szCs w:val="7"/>
                <w:color w:val="auto"/>
              </w:rPr>
              <w:t>34,545</w:t>
            </w:r>
          </w:p>
        </w:tc>
        <w:tc>
          <w:tcPr>
            <w:tcW w:w="560" w:type="dxa"/>
            <w:vAlign w:val="bottom"/>
            <w:shd w:val="clear" w:color="auto" w:fill="CDCDCD"/>
          </w:tcPr>
          <w:p>
            <w:pPr>
              <w:ind w:left="280"/>
              <w:spacing w:after="0"/>
              <w:rPr>
                <w:sz w:val="20"/>
                <w:szCs w:val="20"/>
                <w:color w:val="auto"/>
              </w:rPr>
            </w:pPr>
            <w:r>
              <w:rPr>
                <w:rFonts w:ascii="Arial" w:cs="Arial" w:eastAsia="Arial" w:hAnsi="Arial"/>
                <w:sz w:val="7"/>
                <w:szCs w:val="7"/>
                <w:color w:val="auto"/>
              </w:rPr>
              <w:t>18,003</w:t>
            </w:r>
          </w:p>
        </w:tc>
        <w:tc>
          <w:tcPr>
            <w:tcW w:w="300" w:type="dxa"/>
            <w:vAlign w:val="bottom"/>
            <w:shd w:val="clear" w:color="auto" w:fill="CDCDCD"/>
          </w:tcPr>
          <w:p>
            <w:pPr>
              <w:spacing w:after="0"/>
              <w:rPr>
                <w:sz w:val="9"/>
                <w:szCs w:val="9"/>
                <w:color w:val="auto"/>
              </w:rPr>
            </w:pPr>
          </w:p>
        </w:tc>
        <w:tc>
          <w:tcPr>
            <w:tcW w:w="500" w:type="dxa"/>
            <w:vAlign w:val="bottom"/>
            <w:gridSpan w:val="2"/>
          </w:tcPr>
          <w:p>
            <w:pPr>
              <w:ind w:left="140"/>
              <w:spacing w:after="0"/>
              <w:rPr>
                <w:sz w:val="20"/>
                <w:szCs w:val="20"/>
                <w:color w:val="auto"/>
              </w:rPr>
            </w:pPr>
            <w:r>
              <w:rPr>
                <w:rFonts w:ascii="Arial" w:cs="Arial" w:eastAsia="Arial" w:hAnsi="Arial"/>
                <w:sz w:val="7"/>
                <w:szCs w:val="7"/>
                <w:color w:val="auto"/>
              </w:rPr>
              <w:t>21,387</w:t>
            </w:r>
          </w:p>
        </w:tc>
        <w:tc>
          <w:tcPr>
            <w:tcW w:w="50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7"/>
                <w:szCs w:val="7"/>
                <w:color w:val="auto"/>
              </w:rPr>
              <w:t>7,672</w:t>
            </w:r>
          </w:p>
        </w:tc>
        <w:tc>
          <w:tcPr>
            <w:tcW w:w="400" w:type="dxa"/>
            <w:vAlign w:val="bottom"/>
          </w:tcPr>
          <w:p>
            <w:pPr>
              <w:spacing w:after="0"/>
              <w:rPr>
                <w:sz w:val="9"/>
                <w:szCs w:val="9"/>
                <w:color w:val="auto"/>
              </w:rPr>
            </w:pPr>
          </w:p>
        </w:tc>
        <w:tc>
          <w:tcPr>
            <w:tcW w:w="500" w:type="dxa"/>
            <w:vAlign w:val="bottom"/>
          </w:tcPr>
          <w:p>
            <w:pPr>
              <w:ind w:left="140"/>
              <w:spacing w:after="0"/>
              <w:rPr>
                <w:sz w:val="20"/>
                <w:szCs w:val="20"/>
                <w:color w:val="auto"/>
              </w:rPr>
            </w:pPr>
            <w:r>
              <w:rPr>
                <w:rFonts w:ascii="Arial" w:cs="Arial" w:eastAsia="Arial" w:hAnsi="Arial"/>
                <w:sz w:val="7"/>
                <w:szCs w:val="7"/>
                <w:color w:val="auto"/>
              </w:rPr>
              <w:t>31,486</w:t>
            </w:r>
          </w:p>
        </w:tc>
        <w:tc>
          <w:tcPr>
            <w:tcW w:w="540" w:type="dxa"/>
            <w:vAlign w:val="bottom"/>
          </w:tcPr>
          <w:p>
            <w:pPr>
              <w:spacing w:after="0"/>
              <w:rPr>
                <w:sz w:val="9"/>
                <w:szCs w:val="9"/>
                <w:color w:val="auto"/>
              </w:rPr>
            </w:pPr>
          </w:p>
        </w:tc>
        <w:tc>
          <w:tcPr>
            <w:tcW w:w="360" w:type="dxa"/>
            <w:vAlign w:val="bottom"/>
          </w:tcPr>
          <w:p>
            <w:pPr>
              <w:spacing w:after="0"/>
              <w:rPr>
                <w:sz w:val="20"/>
                <w:szCs w:val="20"/>
                <w:color w:val="auto"/>
              </w:rPr>
            </w:pPr>
            <w:r>
              <w:rPr>
                <w:rFonts w:ascii="Arial" w:cs="Arial" w:eastAsia="Arial" w:hAnsi="Arial"/>
                <w:sz w:val="7"/>
                <w:szCs w:val="7"/>
                <w:color w:val="auto"/>
              </w:rPr>
              <w:t>14,880</w:t>
            </w:r>
          </w:p>
        </w:tc>
        <w:tc>
          <w:tcPr>
            <w:tcW w:w="260" w:type="dxa"/>
            <w:vAlign w:val="bottom"/>
          </w:tcPr>
          <w:p>
            <w:pPr>
              <w:spacing w:after="0"/>
              <w:rPr>
                <w:sz w:val="9"/>
                <w:szCs w:val="9"/>
                <w:color w:val="auto"/>
              </w:rPr>
            </w:pPr>
          </w:p>
        </w:tc>
        <w:tc>
          <w:tcPr>
            <w:tcW w:w="720" w:type="dxa"/>
            <w:vAlign w:val="bottom"/>
            <w:gridSpan w:val="3"/>
          </w:tcPr>
          <w:p>
            <w:pPr>
              <w:ind w:left="340"/>
              <w:spacing w:after="0"/>
              <w:rPr>
                <w:sz w:val="20"/>
                <w:szCs w:val="20"/>
                <w:color w:val="auto"/>
              </w:rPr>
            </w:pPr>
            <w:r>
              <w:rPr>
                <w:rFonts w:ascii="Arial" w:cs="Arial" w:eastAsia="Arial" w:hAnsi="Arial"/>
                <w:sz w:val="7"/>
                <w:szCs w:val="7"/>
                <w:color w:val="auto"/>
              </w:rPr>
              <w:t>22,087</w:t>
            </w:r>
          </w:p>
        </w:tc>
        <w:tc>
          <w:tcPr>
            <w:tcW w:w="540" w:type="dxa"/>
            <w:vAlign w:val="bottom"/>
          </w:tcPr>
          <w:p>
            <w:pPr>
              <w:spacing w:after="0"/>
              <w:rPr>
                <w:sz w:val="9"/>
                <w:szCs w:val="9"/>
                <w:color w:val="auto"/>
              </w:rPr>
            </w:pPr>
          </w:p>
        </w:tc>
        <w:tc>
          <w:tcPr>
            <w:tcW w:w="600" w:type="dxa"/>
            <w:vAlign w:val="bottom"/>
          </w:tcPr>
          <w:p>
            <w:pPr>
              <w:spacing w:after="0"/>
              <w:rPr>
                <w:sz w:val="20"/>
                <w:szCs w:val="20"/>
                <w:color w:val="auto"/>
              </w:rPr>
            </w:pPr>
            <w:r>
              <w:rPr>
                <w:rFonts w:ascii="Arial" w:cs="Arial" w:eastAsia="Arial" w:hAnsi="Arial"/>
                <w:sz w:val="7"/>
                <w:szCs w:val="7"/>
                <w:color w:val="auto"/>
              </w:rPr>
              <w:t>7,885</w:t>
            </w:r>
          </w:p>
        </w:tc>
        <w:tc>
          <w:tcPr>
            <w:tcW w:w="280" w:type="dxa"/>
            <w:vAlign w:val="bottom"/>
          </w:tcPr>
          <w:p>
            <w:pPr>
              <w:spacing w:after="0"/>
              <w:rPr>
                <w:sz w:val="9"/>
                <w:szCs w:val="9"/>
                <w:color w:val="auto"/>
              </w:rPr>
            </w:pPr>
          </w:p>
        </w:tc>
        <w:tc>
          <w:tcPr>
            <w:tcW w:w="580" w:type="dxa"/>
            <w:vAlign w:val="bottom"/>
          </w:tcPr>
          <w:p>
            <w:pPr>
              <w:ind w:left="160"/>
              <w:spacing w:after="0"/>
              <w:rPr>
                <w:sz w:val="20"/>
                <w:szCs w:val="20"/>
                <w:color w:val="auto"/>
              </w:rPr>
            </w:pPr>
            <w:r>
              <w:rPr>
                <w:rFonts w:ascii="Arial" w:cs="Arial" w:eastAsia="Arial" w:hAnsi="Arial"/>
                <w:sz w:val="7"/>
                <w:szCs w:val="7"/>
                <w:color w:val="auto"/>
              </w:rPr>
              <w:t>31,676</w:t>
            </w:r>
          </w:p>
        </w:tc>
        <w:tc>
          <w:tcPr>
            <w:tcW w:w="320" w:type="dxa"/>
            <w:vAlign w:val="bottom"/>
          </w:tcPr>
          <w:p>
            <w:pPr>
              <w:spacing w:after="0"/>
              <w:rPr>
                <w:sz w:val="9"/>
                <w:szCs w:val="9"/>
                <w:color w:val="auto"/>
              </w:rPr>
            </w:pPr>
          </w:p>
        </w:tc>
        <w:tc>
          <w:tcPr>
            <w:tcW w:w="660" w:type="dxa"/>
            <w:vAlign w:val="bottom"/>
          </w:tcPr>
          <w:p>
            <w:pPr>
              <w:ind w:left="300"/>
              <w:spacing w:after="0"/>
              <w:rPr>
                <w:sz w:val="20"/>
                <w:szCs w:val="20"/>
                <w:color w:val="auto"/>
              </w:rPr>
            </w:pPr>
            <w:r>
              <w:rPr>
                <w:rFonts w:ascii="Arial" w:cs="Arial" w:eastAsia="Arial" w:hAnsi="Arial"/>
                <w:sz w:val="7"/>
                <w:szCs w:val="7"/>
                <w:color w:val="auto"/>
              </w:rPr>
              <w:t>15,433</w:t>
            </w:r>
          </w:p>
        </w:tc>
        <w:tc>
          <w:tcPr>
            <w:tcW w:w="500" w:type="dxa"/>
            <w:vAlign w:val="bottom"/>
          </w:tcPr>
          <w:p>
            <w:pPr>
              <w:spacing w:after="0"/>
              <w:rPr>
                <w:sz w:val="9"/>
                <w:szCs w:val="9"/>
                <w:color w:val="auto"/>
              </w:rPr>
            </w:pPr>
          </w:p>
        </w:tc>
      </w:tr>
      <w:tr>
        <w:trPr>
          <w:trHeight w:val="108"/>
        </w:trPr>
        <w:tc>
          <w:tcPr>
            <w:tcW w:w="1280" w:type="dxa"/>
            <w:vAlign w:val="bottom"/>
          </w:tcPr>
          <w:p>
            <w:pPr>
              <w:spacing w:after="0"/>
              <w:rPr>
                <w:sz w:val="20"/>
                <w:szCs w:val="20"/>
                <w:color w:val="auto"/>
              </w:rPr>
            </w:pPr>
            <w:r>
              <w:rPr>
                <w:rFonts w:ascii="Arial" w:cs="Arial" w:eastAsia="Arial" w:hAnsi="Arial"/>
                <w:sz w:val="7"/>
                <w:szCs w:val="7"/>
                <w:color w:val="auto"/>
              </w:rPr>
              <w:t>Oceania</w:t>
            </w:r>
          </w:p>
        </w:tc>
        <w:tc>
          <w:tcPr>
            <w:tcW w:w="320" w:type="dxa"/>
            <w:vAlign w:val="bottom"/>
          </w:tcPr>
          <w:p>
            <w:pPr>
              <w:ind w:left="20"/>
              <w:spacing w:after="0"/>
              <w:rPr>
                <w:sz w:val="20"/>
                <w:szCs w:val="20"/>
                <w:color w:val="auto"/>
              </w:rPr>
            </w:pPr>
            <w:r>
              <w:rPr>
                <w:rFonts w:ascii="Arial" w:cs="Arial" w:eastAsia="Arial" w:hAnsi="Arial"/>
                <w:sz w:val="7"/>
                <w:szCs w:val="7"/>
                <w:color w:val="auto"/>
              </w:rPr>
              <w:t>3,151</w:t>
            </w:r>
          </w:p>
        </w:tc>
        <w:tc>
          <w:tcPr>
            <w:tcW w:w="800" w:type="dxa"/>
            <w:vAlign w:val="bottom"/>
            <w:gridSpan w:val="2"/>
          </w:tcPr>
          <w:p>
            <w:pPr>
              <w:ind w:left="280"/>
              <w:spacing w:after="0"/>
              <w:rPr>
                <w:sz w:val="20"/>
                <w:szCs w:val="20"/>
                <w:color w:val="auto"/>
              </w:rPr>
            </w:pPr>
            <w:r>
              <w:rPr>
                <w:rFonts w:ascii="Arial" w:cs="Arial" w:eastAsia="Arial" w:hAnsi="Arial"/>
                <w:sz w:val="7"/>
                <w:szCs w:val="7"/>
                <w:color w:val="auto"/>
              </w:rPr>
              <w:t>1,275</w:t>
            </w:r>
          </w:p>
        </w:tc>
        <w:tc>
          <w:tcPr>
            <w:tcW w:w="320" w:type="dxa"/>
            <w:vAlign w:val="bottom"/>
            <w:shd w:val="clear" w:color="auto" w:fill="CDCDCD"/>
          </w:tcPr>
          <w:p>
            <w:pPr>
              <w:ind w:left="20"/>
              <w:spacing w:after="0"/>
              <w:rPr>
                <w:sz w:val="20"/>
                <w:szCs w:val="20"/>
                <w:color w:val="auto"/>
              </w:rPr>
            </w:pPr>
            <w:r>
              <w:rPr>
                <w:rFonts w:ascii="Arial" w:cs="Arial" w:eastAsia="Arial" w:hAnsi="Arial"/>
                <w:sz w:val="7"/>
                <w:szCs w:val="7"/>
                <w:color w:val="auto"/>
              </w:rPr>
              <w:t>9,156</w:t>
            </w:r>
          </w:p>
        </w:tc>
        <w:tc>
          <w:tcPr>
            <w:tcW w:w="560" w:type="dxa"/>
            <w:vAlign w:val="bottom"/>
            <w:shd w:val="clear" w:color="auto" w:fill="CDCDCD"/>
          </w:tcPr>
          <w:p>
            <w:pPr>
              <w:ind w:left="280"/>
              <w:spacing w:after="0"/>
              <w:rPr>
                <w:sz w:val="20"/>
                <w:szCs w:val="20"/>
                <w:color w:val="auto"/>
              </w:rPr>
            </w:pPr>
            <w:r>
              <w:rPr>
                <w:rFonts w:ascii="Arial" w:cs="Arial" w:eastAsia="Arial" w:hAnsi="Arial"/>
                <w:sz w:val="7"/>
                <w:szCs w:val="7"/>
                <w:color w:val="auto"/>
              </w:rPr>
              <w:t>4,974</w:t>
            </w:r>
          </w:p>
        </w:tc>
        <w:tc>
          <w:tcPr>
            <w:tcW w:w="300" w:type="dxa"/>
            <w:vAlign w:val="bottom"/>
            <w:shd w:val="clear" w:color="auto" w:fill="CDCDCD"/>
          </w:tcPr>
          <w:p>
            <w:pPr>
              <w:spacing w:after="0"/>
              <w:rPr>
                <w:sz w:val="9"/>
                <w:szCs w:val="9"/>
                <w:color w:val="auto"/>
              </w:rPr>
            </w:pPr>
          </w:p>
        </w:tc>
        <w:tc>
          <w:tcPr>
            <w:tcW w:w="500" w:type="dxa"/>
            <w:vAlign w:val="bottom"/>
            <w:gridSpan w:val="2"/>
          </w:tcPr>
          <w:p>
            <w:pPr>
              <w:ind w:left="140"/>
              <w:spacing w:after="0"/>
              <w:rPr>
                <w:sz w:val="20"/>
                <w:szCs w:val="20"/>
                <w:color w:val="auto"/>
              </w:rPr>
            </w:pPr>
            <w:r>
              <w:rPr>
                <w:rFonts w:ascii="Arial" w:cs="Arial" w:eastAsia="Arial" w:hAnsi="Arial"/>
                <w:sz w:val="7"/>
                <w:szCs w:val="7"/>
                <w:color w:val="auto"/>
              </w:rPr>
              <w:t>3,025</w:t>
            </w:r>
          </w:p>
        </w:tc>
        <w:tc>
          <w:tcPr>
            <w:tcW w:w="50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7"/>
                <w:szCs w:val="7"/>
                <w:color w:val="auto"/>
              </w:rPr>
              <w:t>1,215</w:t>
            </w:r>
          </w:p>
        </w:tc>
        <w:tc>
          <w:tcPr>
            <w:tcW w:w="400" w:type="dxa"/>
            <w:vAlign w:val="bottom"/>
          </w:tcPr>
          <w:p>
            <w:pPr>
              <w:spacing w:after="0"/>
              <w:rPr>
                <w:sz w:val="9"/>
                <w:szCs w:val="9"/>
                <w:color w:val="auto"/>
              </w:rPr>
            </w:pPr>
          </w:p>
        </w:tc>
        <w:tc>
          <w:tcPr>
            <w:tcW w:w="500" w:type="dxa"/>
            <w:vAlign w:val="bottom"/>
          </w:tcPr>
          <w:p>
            <w:pPr>
              <w:ind w:left="140"/>
              <w:spacing w:after="0"/>
              <w:rPr>
                <w:sz w:val="20"/>
                <w:szCs w:val="20"/>
                <w:color w:val="auto"/>
              </w:rPr>
            </w:pPr>
            <w:r>
              <w:rPr>
                <w:rFonts w:ascii="Arial" w:cs="Arial" w:eastAsia="Arial" w:hAnsi="Arial"/>
                <w:sz w:val="7"/>
                <w:szCs w:val="7"/>
                <w:color w:val="auto"/>
              </w:rPr>
              <w:t>11,720</w:t>
            </w:r>
          </w:p>
        </w:tc>
        <w:tc>
          <w:tcPr>
            <w:tcW w:w="540" w:type="dxa"/>
            <w:vAlign w:val="bottom"/>
          </w:tcPr>
          <w:p>
            <w:pPr>
              <w:spacing w:after="0"/>
              <w:rPr>
                <w:sz w:val="9"/>
                <w:szCs w:val="9"/>
                <w:color w:val="auto"/>
              </w:rPr>
            </w:pPr>
          </w:p>
        </w:tc>
        <w:tc>
          <w:tcPr>
            <w:tcW w:w="360" w:type="dxa"/>
            <w:vAlign w:val="bottom"/>
          </w:tcPr>
          <w:p>
            <w:pPr>
              <w:spacing w:after="0"/>
              <w:rPr>
                <w:sz w:val="20"/>
                <w:szCs w:val="20"/>
                <w:color w:val="auto"/>
              </w:rPr>
            </w:pPr>
            <w:r>
              <w:rPr>
                <w:rFonts w:ascii="Arial" w:cs="Arial" w:eastAsia="Arial" w:hAnsi="Arial"/>
                <w:sz w:val="7"/>
                <w:szCs w:val="7"/>
                <w:color w:val="auto"/>
              </w:rPr>
              <w:t>6,260</w:t>
            </w:r>
          </w:p>
        </w:tc>
        <w:tc>
          <w:tcPr>
            <w:tcW w:w="260" w:type="dxa"/>
            <w:vAlign w:val="bottom"/>
          </w:tcPr>
          <w:p>
            <w:pPr>
              <w:spacing w:after="0"/>
              <w:rPr>
                <w:sz w:val="9"/>
                <w:szCs w:val="9"/>
                <w:color w:val="auto"/>
              </w:rPr>
            </w:pPr>
          </w:p>
        </w:tc>
        <w:tc>
          <w:tcPr>
            <w:tcW w:w="720" w:type="dxa"/>
            <w:vAlign w:val="bottom"/>
            <w:gridSpan w:val="3"/>
          </w:tcPr>
          <w:p>
            <w:pPr>
              <w:ind w:left="340"/>
              <w:spacing w:after="0"/>
              <w:rPr>
                <w:sz w:val="20"/>
                <w:szCs w:val="20"/>
                <w:color w:val="auto"/>
              </w:rPr>
            </w:pPr>
            <w:r>
              <w:rPr>
                <w:rFonts w:ascii="Arial" w:cs="Arial" w:eastAsia="Arial" w:hAnsi="Arial"/>
                <w:sz w:val="7"/>
                <w:szCs w:val="7"/>
                <w:color w:val="auto"/>
              </w:rPr>
              <w:t>3,202</w:t>
            </w:r>
          </w:p>
        </w:tc>
        <w:tc>
          <w:tcPr>
            <w:tcW w:w="540" w:type="dxa"/>
            <w:vAlign w:val="bottom"/>
          </w:tcPr>
          <w:p>
            <w:pPr>
              <w:spacing w:after="0"/>
              <w:rPr>
                <w:sz w:val="9"/>
                <w:szCs w:val="9"/>
                <w:color w:val="auto"/>
              </w:rPr>
            </w:pPr>
          </w:p>
        </w:tc>
        <w:tc>
          <w:tcPr>
            <w:tcW w:w="600" w:type="dxa"/>
            <w:vAlign w:val="bottom"/>
          </w:tcPr>
          <w:p>
            <w:pPr>
              <w:spacing w:after="0"/>
              <w:rPr>
                <w:sz w:val="20"/>
                <w:szCs w:val="20"/>
                <w:color w:val="auto"/>
              </w:rPr>
            </w:pPr>
            <w:r>
              <w:rPr>
                <w:rFonts w:ascii="Arial" w:cs="Arial" w:eastAsia="Arial" w:hAnsi="Arial"/>
                <w:sz w:val="7"/>
                <w:szCs w:val="7"/>
                <w:color w:val="auto"/>
              </w:rPr>
              <w:t>1,220</w:t>
            </w:r>
          </w:p>
        </w:tc>
        <w:tc>
          <w:tcPr>
            <w:tcW w:w="280" w:type="dxa"/>
            <w:vAlign w:val="bottom"/>
          </w:tcPr>
          <w:p>
            <w:pPr>
              <w:spacing w:after="0"/>
              <w:rPr>
                <w:sz w:val="9"/>
                <w:szCs w:val="9"/>
                <w:color w:val="auto"/>
              </w:rPr>
            </w:pPr>
          </w:p>
        </w:tc>
        <w:tc>
          <w:tcPr>
            <w:tcW w:w="580" w:type="dxa"/>
            <w:vAlign w:val="bottom"/>
          </w:tcPr>
          <w:p>
            <w:pPr>
              <w:ind w:left="160"/>
              <w:spacing w:after="0"/>
              <w:rPr>
                <w:sz w:val="20"/>
                <w:szCs w:val="20"/>
                <w:color w:val="auto"/>
              </w:rPr>
            </w:pPr>
            <w:r>
              <w:rPr>
                <w:rFonts w:ascii="Arial" w:cs="Arial" w:eastAsia="Arial" w:hAnsi="Arial"/>
                <w:sz w:val="7"/>
                <w:szCs w:val="7"/>
                <w:color w:val="auto"/>
              </w:rPr>
              <w:t>15,319</w:t>
            </w:r>
          </w:p>
        </w:tc>
        <w:tc>
          <w:tcPr>
            <w:tcW w:w="320" w:type="dxa"/>
            <w:vAlign w:val="bottom"/>
          </w:tcPr>
          <w:p>
            <w:pPr>
              <w:spacing w:after="0"/>
              <w:rPr>
                <w:sz w:val="9"/>
                <w:szCs w:val="9"/>
                <w:color w:val="auto"/>
              </w:rPr>
            </w:pPr>
          </w:p>
        </w:tc>
        <w:tc>
          <w:tcPr>
            <w:tcW w:w="660" w:type="dxa"/>
            <w:vAlign w:val="bottom"/>
          </w:tcPr>
          <w:p>
            <w:pPr>
              <w:ind w:left="300"/>
              <w:spacing w:after="0"/>
              <w:rPr>
                <w:sz w:val="20"/>
                <w:szCs w:val="20"/>
                <w:color w:val="auto"/>
              </w:rPr>
            </w:pPr>
            <w:r>
              <w:rPr>
                <w:rFonts w:ascii="Arial" w:cs="Arial" w:eastAsia="Arial" w:hAnsi="Arial"/>
                <w:sz w:val="7"/>
                <w:szCs w:val="7"/>
                <w:color w:val="auto"/>
              </w:rPr>
              <w:t>10,095</w:t>
            </w:r>
          </w:p>
        </w:tc>
        <w:tc>
          <w:tcPr>
            <w:tcW w:w="500" w:type="dxa"/>
            <w:vAlign w:val="bottom"/>
          </w:tcPr>
          <w:p>
            <w:pPr>
              <w:spacing w:after="0"/>
              <w:rPr>
                <w:sz w:val="9"/>
                <w:szCs w:val="9"/>
                <w:color w:val="auto"/>
              </w:rPr>
            </w:pPr>
          </w:p>
        </w:tc>
      </w:tr>
      <w:tr>
        <w:trPr>
          <w:trHeight w:val="92"/>
        </w:trPr>
        <w:tc>
          <w:tcPr>
            <w:tcW w:w="1280" w:type="dxa"/>
            <w:vAlign w:val="bottom"/>
          </w:tcPr>
          <w:p>
            <w:pPr>
              <w:spacing w:after="0"/>
              <w:rPr>
                <w:sz w:val="20"/>
                <w:szCs w:val="20"/>
                <w:color w:val="auto"/>
              </w:rPr>
            </w:pPr>
            <w:r>
              <w:rPr>
                <w:rFonts w:ascii="Arial" w:cs="Arial" w:eastAsia="Arial" w:hAnsi="Arial"/>
                <w:sz w:val="7"/>
                <w:szCs w:val="7"/>
                <w:color w:val="auto"/>
              </w:rPr>
              <w:t>Africa</w:t>
            </w:r>
          </w:p>
        </w:tc>
        <w:tc>
          <w:tcPr>
            <w:tcW w:w="320" w:type="dxa"/>
            <w:vAlign w:val="bottom"/>
          </w:tcPr>
          <w:p>
            <w:pPr>
              <w:ind w:left="20"/>
              <w:spacing w:after="0"/>
              <w:rPr>
                <w:sz w:val="20"/>
                <w:szCs w:val="20"/>
                <w:color w:val="auto"/>
              </w:rPr>
            </w:pPr>
            <w:r>
              <w:rPr>
                <w:rFonts w:ascii="Arial" w:cs="Arial" w:eastAsia="Arial" w:hAnsi="Arial"/>
                <w:sz w:val="7"/>
                <w:szCs w:val="7"/>
                <w:color w:val="auto"/>
              </w:rPr>
              <w:t>4,764</w:t>
            </w:r>
          </w:p>
        </w:tc>
        <w:tc>
          <w:tcPr>
            <w:tcW w:w="800" w:type="dxa"/>
            <w:vAlign w:val="bottom"/>
            <w:gridSpan w:val="2"/>
          </w:tcPr>
          <w:p>
            <w:pPr>
              <w:ind w:left="280"/>
              <w:spacing w:after="0"/>
              <w:rPr>
                <w:sz w:val="20"/>
                <w:szCs w:val="20"/>
                <w:color w:val="auto"/>
              </w:rPr>
            </w:pPr>
            <w:r>
              <w:rPr>
                <w:rFonts w:ascii="Arial" w:cs="Arial" w:eastAsia="Arial" w:hAnsi="Arial"/>
                <w:sz w:val="7"/>
                <w:szCs w:val="7"/>
                <w:color w:val="auto"/>
              </w:rPr>
              <w:t>1,996</w:t>
            </w:r>
          </w:p>
        </w:tc>
        <w:tc>
          <w:tcPr>
            <w:tcW w:w="320" w:type="dxa"/>
            <w:vAlign w:val="bottom"/>
          </w:tcPr>
          <w:p>
            <w:pPr>
              <w:ind w:left="20"/>
              <w:spacing w:after="0"/>
              <w:rPr>
                <w:sz w:val="20"/>
                <w:szCs w:val="20"/>
                <w:color w:val="auto"/>
              </w:rPr>
            </w:pPr>
            <w:r>
              <w:rPr>
                <w:rFonts w:ascii="Arial" w:cs="Arial" w:eastAsia="Arial" w:hAnsi="Arial"/>
                <w:sz w:val="7"/>
                <w:szCs w:val="7"/>
                <w:color w:val="auto"/>
              </w:rPr>
              <w:t>69,194</w:t>
            </w:r>
          </w:p>
        </w:tc>
        <w:tc>
          <w:tcPr>
            <w:tcW w:w="560" w:type="dxa"/>
            <w:vAlign w:val="bottom"/>
          </w:tcPr>
          <w:p>
            <w:pPr>
              <w:ind w:left="280"/>
              <w:spacing w:after="0"/>
              <w:rPr>
                <w:sz w:val="20"/>
                <w:szCs w:val="20"/>
                <w:color w:val="auto"/>
              </w:rPr>
            </w:pPr>
            <w:r>
              <w:rPr>
                <w:rFonts w:ascii="Arial" w:cs="Arial" w:eastAsia="Arial" w:hAnsi="Arial"/>
                <w:sz w:val="7"/>
                <w:szCs w:val="7"/>
                <w:color w:val="auto"/>
              </w:rPr>
              <w:t>37,743</w:t>
            </w:r>
          </w:p>
        </w:tc>
        <w:tc>
          <w:tcPr>
            <w:tcW w:w="800" w:type="dxa"/>
            <w:vAlign w:val="bottom"/>
            <w:gridSpan w:val="3"/>
          </w:tcPr>
          <w:p>
            <w:pPr>
              <w:ind w:left="440"/>
              <w:spacing w:after="0"/>
              <w:rPr>
                <w:sz w:val="20"/>
                <w:szCs w:val="20"/>
                <w:color w:val="auto"/>
              </w:rPr>
            </w:pPr>
            <w:r>
              <w:rPr>
                <w:rFonts w:ascii="Arial" w:cs="Arial" w:eastAsia="Arial" w:hAnsi="Arial"/>
                <w:sz w:val="7"/>
                <w:szCs w:val="7"/>
                <w:color w:val="auto"/>
              </w:rPr>
              <w:t>4,663</w:t>
            </w:r>
          </w:p>
        </w:tc>
        <w:tc>
          <w:tcPr>
            <w:tcW w:w="500" w:type="dxa"/>
            <w:vAlign w:val="bottom"/>
          </w:tcPr>
          <w:p>
            <w:pPr>
              <w:spacing w:after="0"/>
              <w:rPr>
                <w:sz w:val="8"/>
                <w:szCs w:val="8"/>
                <w:color w:val="auto"/>
              </w:rPr>
            </w:pPr>
          </w:p>
        </w:tc>
        <w:tc>
          <w:tcPr>
            <w:tcW w:w="400" w:type="dxa"/>
            <w:vAlign w:val="bottom"/>
          </w:tcPr>
          <w:p>
            <w:pPr>
              <w:ind w:left="20"/>
              <w:spacing w:after="0"/>
              <w:rPr>
                <w:sz w:val="20"/>
                <w:szCs w:val="20"/>
                <w:color w:val="auto"/>
              </w:rPr>
            </w:pPr>
            <w:r>
              <w:rPr>
                <w:rFonts w:ascii="Arial" w:cs="Arial" w:eastAsia="Arial" w:hAnsi="Arial"/>
                <w:sz w:val="7"/>
                <w:szCs w:val="7"/>
                <w:color w:val="auto"/>
              </w:rPr>
              <w:t>1,938</w:t>
            </w:r>
          </w:p>
        </w:tc>
        <w:tc>
          <w:tcPr>
            <w:tcW w:w="400" w:type="dxa"/>
            <w:vAlign w:val="bottom"/>
          </w:tcPr>
          <w:p>
            <w:pPr>
              <w:spacing w:after="0"/>
              <w:rPr>
                <w:sz w:val="8"/>
                <w:szCs w:val="8"/>
                <w:color w:val="auto"/>
              </w:rPr>
            </w:pPr>
          </w:p>
        </w:tc>
        <w:tc>
          <w:tcPr>
            <w:tcW w:w="500" w:type="dxa"/>
            <w:vAlign w:val="bottom"/>
          </w:tcPr>
          <w:p>
            <w:pPr>
              <w:ind w:left="140"/>
              <w:spacing w:after="0"/>
              <w:rPr>
                <w:sz w:val="20"/>
                <w:szCs w:val="20"/>
                <w:color w:val="auto"/>
              </w:rPr>
            </w:pPr>
            <w:r>
              <w:rPr>
                <w:rFonts w:ascii="Arial" w:cs="Arial" w:eastAsia="Arial" w:hAnsi="Arial"/>
                <w:sz w:val="7"/>
                <w:szCs w:val="7"/>
                <w:color w:val="auto"/>
              </w:rPr>
              <w:t>62,965</w:t>
            </w:r>
          </w:p>
        </w:tc>
        <w:tc>
          <w:tcPr>
            <w:tcW w:w="540" w:type="dxa"/>
            <w:vAlign w:val="bottom"/>
          </w:tcPr>
          <w:p>
            <w:pPr>
              <w:spacing w:after="0"/>
              <w:rPr>
                <w:sz w:val="8"/>
                <w:szCs w:val="8"/>
                <w:color w:val="auto"/>
              </w:rPr>
            </w:pPr>
          </w:p>
        </w:tc>
        <w:tc>
          <w:tcPr>
            <w:tcW w:w="360" w:type="dxa"/>
            <w:vAlign w:val="bottom"/>
          </w:tcPr>
          <w:p>
            <w:pPr>
              <w:spacing w:after="0"/>
              <w:rPr>
                <w:sz w:val="20"/>
                <w:szCs w:val="20"/>
                <w:color w:val="auto"/>
              </w:rPr>
            </w:pPr>
            <w:r>
              <w:rPr>
                <w:rFonts w:ascii="Arial" w:cs="Arial" w:eastAsia="Arial" w:hAnsi="Arial"/>
                <w:sz w:val="7"/>
                <w:szCs w:val="7"/>
                <w:color w:val="auto"/>
              </w:rPr>
              <w:t>32,564</w:t>
            </w:r>
          </w:p>
        </w:tc>
        <w:tc>
          <w:tcPr>
            <w:tcW w:w="260" w:type="dxa"/>
            <w:vAlign w:val="bottom"/>
          </w:tcPr>
          <w:p>
            <w:pPr>
              <w:spacing w:after="0"/>
              <w:rPr>
                <w:sz w:val="8"/>
                <w:szCs w:val="8"/>
                <w:color w:val="auto"/>
              </w:rPr>
            </w:pPr>
          </w:p>
        </w:tc>
        <w:tc>
          <w:tcPr>
            <w:tcW w:w="720" w:type="dxa"/>
            <w:vAlign w:val="bottom"/>
            <w:gridSpan w:val="3"/>
          </w:tcPr>
          <w:p>
            <w:pPr>
              <w:ind w:left="340"/>
              <w:spacing w:after="0"/>
              <w:rPr>
                <w:sz w:val="20"/>
                <w:szCs w:val="20"/>
                <w:color w:val="auto"/>
              </w:rPr>
            </w:pPr>
            <w:r>
              <w:rPr>
                <w:rFonts w:ascii="Arial" w:cs="Arial" w:eastAsia="Arial" w:hAnsi="Arial"/>
                <w:sz w:val="7"/>
                <w:szCs w:val="7"/>
                <w:color w:val="auto"/>
              </w:rPr>
              <w:t>4,666</w:t>
            </w:r>
          </w:p>
        </w:tc>
        <w:tc>
          <w:tcPr>
            <w:tcW w:w="540" w:type="dxa"/>
            <w:vAlign w:val="bottom"/>
          </w:tcPr>
          <w:p>
            <w:pPr>
              <w:spacing w:after="0"/>
              <w:rPr>
                <w:sz w:val="8"/>
                <w:szCs w:val="8"/>
                <w:color w:val="auto"/>
              </w:rPr>
            </w:pPr>
          </w:p>
        </w:tc>
        <w:tc>
          <w:tcPr>
            <w:tcW w:w="600" w:type="dxa"/>
            <w:vAlign w:val="bottom"/>
          </w:tcPr>
          <w:p>
            <w:pPr>
              <w:spacing w:after="0"/>
              <w:rPr>
                <w:sz w:val="20"/>
                <w:szCs w:val="20"/>
                <w:color w:val="auto"/>
              </w:rPr>
            </w:pPr>
            <w:r>
              <w:rPr>
                <w:rFonts w:ascii="Arial" w:cs="Arial" w:eastAsia="Arial" w:hAnsi="Arial"/>
                <w:sz w:val="7"/>
                <w:szCs w:val="7"/>
                <w:color w:val="auto"/>
              </w:rPr>
              <w:t>1,940</w:t>
            </w:r>
          </w:p>
        </w:tc>
        <w:tc>
          <w:tcPr>
            <w:tcW w:w="280" w:type="dxa"/>
            <w:vAlign w:val="bottom"/>
          </w:tcPr>
          <w:p>
            <w:pPr>
              <w:spacing w:after="0"/>
              <w:rPr>
                <w:sz w:val="8"/>
                <w:szCs w:val="8"/>
                <w:color w:val="auto"/>
              </w:rPr>
            </w:pPr>
          </w:p>
        </w:tc>
        <w:tc>
          <w:tcPr>
            <w:tcW w:w="580" w:type="dxa"/>
            <w:vAlign w:val="bottom"/>
          </w:tcPr>
          <w:p>
            <w:pPr>
              <w:ind w:left="160"/>
              <w:spacing w:after="0"/>
              <w:rPr>
                <w:sz w:val="20"/>
                <w:szCs w:val="20"/>
                <w:color w:val="auto"/>
              </w:rPr>
            </w:pPr>
            <w:r>
              <w:rPr>
                <w:rFonts w:ascii="Arial" w:cs="Arial" w:eastAsia="Arial" w:hAnsi="Arial"/>
                <w:sz w:val="7"/>
                <w:szCs w:val="7"/>
                <w:color w:val="auto"/>
              </w:rPr>
              <w:t>38,874</w:t>
            </w:r>
          </w:p>
        </w:tc>
        <w:tc>
          <w:tcPr>
            <w:tcW w:w="320" w:type="dxa"/>
            <w:vAlign w:val="bottom"/>
          </w:tcPr>
          <w:p>
            <w:pPr>
              <w:spacing w:after="0"/>
              <w:rPr>
                <w:sz w:val="8"/>
                <w:szCs w:val="8"/>
                <w:color w:val="auto"/>
              </w:rPr>
            </w:pPr>
          </w:p>
        </w:tc>
        <w:tc>
          <w:tcPr>
            <w:tcW w:w="660" w:type="dxa"/>
            <w:vAlign w:val="bottom"/>
          </w:tcPr>
          <w:p>
            <w:pPr>
              <w:ind w:left="300"/>
              <w:spacing w:after="0"/>
              <w:rPr>
                <w:sz w:val="20"/>
                <w:szCs w:val="20"/>
                <w:color w:val="auto"/>
              </w:rPr>
            </w:pPr>
            <w:r>
              <w:rPr>
                <w:rFonts w:ascii="Arial" w:cs="Arial" w:eastAsia="Arial" w:hAnsi="Arial"/>
                <w:sz w:val="7"/>
                <w:szCs w:val="7"/>
                <w:color w:val="auto"/>
              </w:rPr>
              <w:t>22,732</w:t>
            </w:r>
          </w:p>
        </w:tc>
        <w:tc>
          <w:tcPr>
            <w:tcW w:w="500" w:type="dxa"/>
            <w:vAlign w:val="bottom"/>
          </w:tcPr>
          <w:p>
            <w:pPr>
              <w:spacing w:after="0"/>
              <w:rPr>
                <w:sz w:val="8"/>
                <w:szCs w:val="8"/>
                <w:color w:val="auto"/>
              </w:rPr>
            </w:pPr>
          </w:p>
        </w:tc>
      </w:tr>
      <w:tr>
        <w:trPr>
          <w:trHeight w:val="108"/>
        </w:trPr>
        <w:tc>
          <w:tcPr>
            <w:tcW w:w="1280" w:type="dxa"/>
            <w:vAlign w:val="bottom"/>
          </w:tcPr>
          <w:p>
            <w:pPr>
              <w:spacing w:after="0"/>
              <w:rPr>
                <w:sz w:val="20"/>
                <w:szCs w:val="20"/>
                <w:color w:val="auto"/>
              </w:rPr>
            </w:pPr>
            <w:r>
              <w:rPr>
                <w:rFonts w:ascii="Arial" w:cs="Arial" w:eastAsia="Arial" w:hAnsi="Arial"/>
                <w:sz w:val="7"/>
                <w:szCs w:val="7"/>
                <w:color w:val="auto"/>
              </w:rPr>
              <w:t>North America - USA</w:t>
            </w:r>
          </w:p>
        </w:tc>
        <w:tc>
          <w:tcPr>
            <w:tcW w:w="320" w:type="dxa"/>
            <w:vAlign w:val="bottom"/>
          </w:tcPr>
          <w:p>
            <w:pPr>
              <w:ind w:left="20"/>
              <w:spacing w:after="0"/>
              <w:rPr>
                <w:sz w:val="20"/>
                <w:szCs w:val="20"/>
                <w:color w:val="auto"/>
              </w:rPr>
            </w:pPr>
            <w:r>
              <w:rPr>
                <w:rFonts w:ascii="Arial" w:cs="Arial" w:eastAsia="Arial" w:hAnsi="Arial"/>
                <w:sz w:val="7"/>
                <w:szCs w:val="7"/>
                <w:color w:val="auto"/>
              </w:rPr>
              <w:t>1,145</w:t>
            </w:r>
          </w:p>
        </w:tc>
        <w:tc>
          <w:tcPr>
            <w:tcW w:w="800" w:type="dxa"/>
            <w:vAlign w:val="bottom"/>
            <w:gridSpan w:val="2"/>
          </w:tcPr>
          <w:p>
            <w:pPr>
              <w:ind w:left="280"/>
              <w:spacing w:after="0"/>
              <w:rPr>
                <w:sz w:val="20"/>
                <w:szCs w:val="20"/>
                <w:color w:val="auto"/>
              </w:rPr>
            </w:pPr>
            <w:r>
              <w:rPr>
                <w:rFonts w:ascii="Arial" w:cs="Arial" w:eastAsia="Arial" w:hAnsi="Arial"/>
                <w:sz w:val="7"/>
                <w:szCs w:val="7"/>
                <w:color w:val="auto"/>
              </w:rPr>
              <w:t>728</w:t>
            </w:r>
          </w:p>
        </w:tc>
        <w:tc>
          <w:tcPr>
            <w:tcW w:w="320" w:type="dxa"/>
            <w:vAlign w:val="bottom"/>
          </w:tcPr>
          <w:p>
            <w:pPr>
              <w:ind w:left="20"/>
              <w:spacing w:after="0"/>
              <w:rPr>
                <w:sz w:val="20"/>
                <w:szCs w:val="20"/>
                <w:color w:val="auto"/>
              </w:rPr>
            </w:pPr>
            <w:r>
              <w:rPr>
                <w:rFonts w:ascii="Arial" w:cs="Arial" w:eastAsia="Arial" w:hAnsi="Arial"/>
                <w:sz w:val="7"/>
                <w:szCs w:val="7"/>
                <w:color w:val="auto"/>
              </w:rPr>
              <w:t>1,916</w:t>
            </w:r>
          </w:p>
        </w:tc>
        <w:tc>
          <w:tcPr>
            <w:tcW w:w="560" w:type="dxa"/>
            <w:vAlign w:val="bottom"/>
          </w:tcPr>
          <w:p>
            <w:pPr>
              <w:ind w:left="280"/>
              <w:spacing w:after="0"/>
              <w:rPr>
                <w:sz w:val="20"/>
                <w:szCs w:val="20"/>
                <w:color w:val="auto"/>
              </w:rPr>
            </w:pPr>
            <w:r>
              <w:rPr>
                <w:rFonts w:ascii="Arial" w:cs="Arial" w:eastAsia="Arial" w:hAnsi="Arial"/>
                <w:sz w:val="7"/>
                <w:szCs w:val="7"/>
                <w:color w:val="auto"/>
              </w:rPr>
              <w:t>1,408</w:t>
            </w:r>
          </w:p>
        </w:tc>
        <w:tc>
          <w:tcPr>
            <w:tcW w:w="800" w:type="dxa"/>
            <w:vAlign w:val="bottom"/>
            <w:gridSpan w:val="3"/>
          </w:tcPr>
          <w:p>
            <w:pPr>
              <w:ind w:left="440"/>
              <w:spacing w:after="0"/>
              <w:rPr>
                <w:sz w:val="20"/>
                <w:szCs w:val="20"/>
                <w:color w:val="auto"/>
              </w:rPr>
            </w:pPr>
            <w:r>
              <w:rPr>
                <w:rFonts w:ascii="Arial" w:cs="Arial" w:eastAsia="Arial" w:hAnsi="Arial"/>
                <w:sz w:val="7"/>
                <w:szCs w:val="7"/>
                <w:color w:val="auto"/>
              </w:rPr>
              <w:t>1,346</w:t>
            </w:r>
          </w:p>
        </w:tc>
        <w:tc>
          <w:tcPr>
            <w:tcW w:w="500" w:type="dxa"/>
            <w:vAlign w:val="bottom"/>
          </w:tcPr>
          <w:p>
            <w:pPr>
              <w:ind w:left="180"/>
              <w:spacing w:after="0"/>
              <w:rPr>
                <w:sz w:val="20"/>
                <w:szCs w:val="20"/>
                <w:color w:val="auto"/>
              </w:rPr>
            </w:pPr>
            <w:r>
              <w:rPr>
                <w:rFonts w:ascii="Arial" w:cs="Arial" w:eastAsia="Arial" w:hAnsi="Arial"/>
                <w:sz w:val="7"/>
                <w:szCs w:val="7"/>
                <w:color w:val="auto"/>
              </w:rPr>
              <w:t>[E]</w:t>
            </w:r>
          </w:p>
        </w:tc>
        <w:tc>
          <w:tcPr>
            <w:tcW w:w="400" w:type="dxa"/>
            <w:vAlign w:val="bottom"/>
          </w:tcPr>
          <w:p>
            <w:pPr>
              <w:ind w:left="20"/>
              <w:spacing w:after="0"/>
              <w:rPr>
                <w:sz w:val="20"/>
                <w:szCs w:val="20"/>
                <w:color w:val="auto"/>
              </w:rPr>
            </w:pPr>
            <w:r>
              <w:rPr>
                <w:rFonts w:ascii="Arial" w:cs="Arial" w:eastAsia="Arial" w:hAnsi="Arial"/>
                <w:sz w:val="7"/>
                <w:szCs w:val="7"/>
                <w:color w:val="auto"/>
              </w:rPr>
              <w:t>906</w:t>
            </w:r>
          </w:p>
        </w:tc>
        <w:tc>
          <w:tcPr>
            <w:tcW w:w="400" w:type="dxa"/>
            <w:vAlign w:val="bottom"/>
          </w:tcPr>
          <w:p>
            <w:pPr>
              <w:ind w:left="200"/>
              <w:spacing w:after="0"/>
              <w:rPr>
                <w:sz w:val="20"/>
                <w:szCs w:val="20"/>
                <w:color w:val="auto"/>
              </w:rPr>
            </w:pPr>
            <w:r>
              <w:rPr>
                <w:rFonts w:ascii="Arial" w:cs="Arial" w:eastAsia="Arial" w:hAnsi="Arial"/>
                <w:sz w:val="7"/>
                <w:szCs w:val="7"/>
                <w:color w:val="auto"/>
              </w:rPr>
              <w:t>[E]</w:t>
            </w:r>
          </w:p>
        </w:tc>
        <w:tc>
          <w:tcPr>
            <w:tcW w:w="500" w:type="dxa"/>
            <w:vAlign w:val="bottom"/>
          </w:tcPr>
          <w:p>
            <w:pPr>
              <w:ind w:left="140"/>
              <w:spacing w:after="0"/>
              <w:rPr>
                <w:sz w:val="20"/>
                <w:szCs w:val="20"/>
                <w:color w:val="auto"/>
              </w:rPr>
            </w:pPr>
            <w:r>
              <w:rPr>
                <w:rFonts w:ascii="Arial" w:cs="Arial" w:eastAsia="Arial" w:hAnsi="Arial"/>
                <w:sz w:val="7"/>
                <w:szCs w:val="7"/>
                <w:color w:val="auto"/>
              </w:rPr>
              <w:t>2,483</w:t>
            </w:r>
          </w:p>
        </w:tc>
        <w:tc>
          <w:tcPr>
            <w:tcW w:w="540" w:type="dxa"/>
            <w:vAlign w:val="bottom"/>
          </w:tcPr>
          <w:p>
            <w:pPr>
              <w:ind w:left="200"/>
              <w:spacing w:after="0"/>
              <w:rPr>
                <w:sz w:val="20"/>
                <w:szCs w:val="20"/>
                <w:color w:val="auto"/>
              </w:rPr>
            </w:pPr>
            <w:r>
              <w:rPr>
                <w:rFonts w:ascii="Arial" w:cs="Arial" w:eastAsia="Arial" w:hAnsi="Arial"/>
                <w:sz w:val="7"/>
                <w:szCs w:val="7"/>
                <w:color w:val="auto"/>
              </w:rPr>
              <w:t>[F]</w:t>
            </w:r>
          </w:p>
        </w:tc>
        <w:tc>
          <w:tcPr>
            <w:tcW w:w="360" w:type="dxa"/>
            <w:vAlign w:val="bottom"/>
          </w:tcPr>
          <w:p>
            <w:pPr>
              <w:spacing w:after="0"/>
              <w:rPr>
                <w:sz w:val="20"/>
                <w:szCs w:val="20"/>
                <w:color w:val="auto"/>
              </w:rPr>
            </w:pPr>
            <w:r>
              <w:rPr>
                <w:rFonts w:ascii="Arial" w:cs="Arial" w:eastAsia="Arial" w:hAnsi="Arial"/>
                <w:sz w:val="7"/>
                <w:szCs w:val="7"/>
                <w:color w:val="auto"/>
              </w:rPr>
              <w:t>1,911</w:t>
            </w:r>
          </w:p>
        </w:tc>
        <w:tc>
          <w:tcPr>
            <w:tcW w:w="260" w:type="dxa"/>
            <w:vAlign w:val="bottom"/>
          </w:tcPr>
          <w:p>
            <w:pPr>
              <w:ind w:left="180"/>
              <w:spacing w:after="0"/>
              <w:rPr>
                <w:sz w:val="20"/>
                <w:szCs w:val="20"/>
                <w:color w:val="auto"/>
              </w:rPr>
            </w:pPr>
            <w:r>
              <w:rPr>
                <w:rFonts w:ascii="Arial" w:cs="Arial" w:eastAsia="Arial" w:hAnsi="Arial"/>
                <w:sz w:val="7"/>
                <w:szCs w:val="7"/>
                <w:color w:val="auto"/>
                <w:w w:val="72"/>
              </w:rPr>
              <w:t>[F]</w:t>
            </w:r>
          </w:p>
        </w:tc>
        <w:tc>
          <w:tcPr>
            <w:tcW w:w="720" w:type="dxa"/>
            <w:vAlign w:val="bottom"/>
            <w:gridSpan w:val="3"/>
          </w:tcPr>
          <w:p>
            <w:pPr>
              <w:ind w:left="340"/>
              <w:spacing w:after="0"/>
              <w:rPr>
                <w:sz w:val="20"/>
                <w:szCs w:val="20"/>
                <w:color w:val="auto"/>
              </w:rPr>
            </w:pPr>
            <w:r>
              <w:rPr>
                <w:rFonts w:ascii="Arial" w:cs="Arial" w:eastAsia="Arial" w:hAnsi="Arial"/>
                <w:sz w:val="7"/>
                <w:szCs w:val="7"/>
                <w:color w:val="auto"/>
              </w:rPr>
              <w:t>1,548</w:t>
            </w:r>
          </w:p>
        </w:tc>
        <w:tc>
          <w:tcPr>
            <w:tcW w:w="540" w:type="dxa"/>
            <w:vAlign w:val="bottom"/>
          </w:tcPr>
          <w:p>
            <w:pPr>
              <w:ind w:left="160"/>
              <w:spacing w:after="0"/>
              <w:rPr>
                <w:sz w:val="20"/>
                <w:szCs w:val="20"/>
                <w:color w:val="auto"/>
              </w:rPr>
            </w:pPr>
            <w:r>
              <w:rPr>
                <w:rFonts w:ascii="Arial" w:cs="Arial" w:eastAsia="Arial" w:hAnsi="Arial"/>
                <w:sz w:val="7"/>
                <w:szCs w:val="7"/>
                <w:color w:val="auto"/>
              </w:rPr>
              <w:t>[G]</w:t>
            </w:r>
          </w:p>
        </w:tc>
        <w:tc>
          <w:tcPr>
            <w:tcW w:w="600" w:type="dxa"/>
            <w:vAlign w:val="bottom"/>
          </w:tcPr>
          <w:p>
            <w:pPr>
              <w:spacing w:after="0"/>
              <w:rPr>
                <w:sz w:val="20"/>
                <w:szCs w:val="20"/>
                <w:color w:val="auto"/>
              </w:rPr>
            </w:pPr>
            <w:r>
              <w:rPr>
                <w:rFonts w:ascii="Arial" w:cs="Arial" w:eastAsia="Arial" w:hAnsi="Arial"/>
                <w:sz w:val="7"/>
                <w:szCs w:val="7"/>
                <w:color w:val="auto"/>
              </w:rPr>
              <w:t>977</w:t>
            </w:r>
          </w:p>
        </w:tc>
        <w:tc>
          <w:tcPr>
            <w:tcW w:w="280" w:type="dxa"/>
            <w:vAlign w:val="bottom"/>
          </w:tcPr>
          <w:p>
            <w:pPr>
              <w:ind w:left="20"/>
              <w:spacing w:after="0"/>
              <w:rPr>
                <w:sz w:val="20"/>
                <w:szCs w:val="20"/>
                <w:color w:val="auto"/>
              </w:rPr>
            </w:pPr>
            <w:r>
              <w:rPr>
                <w:rFonts w:ascii="Arial" w:cs="Arial" w:eastAsia="Arial" w:hAnsi="Arial"/>
                <w:sz w:val="7"/>
                <w:szCs w:val="7"/>
                <w:color w:val="auto"/>
              </w:rPr>
              <w:t>[G]</w:t>
            </w:r>
          </w:p>
        </w:tc>
        <w:tc>
          <w:tcPr>
            <w:tcW w:w="580" w:type="dxa"/>
            <w:vAlign w:val="bottom"/>
          </w:tcPr>
          <w:p>
            <w:pPr>
              <w:ind w:left="160"/>
              <w:spacing w:after="0"/>
              <w:rPr>
                <w:sz w:val="20"/>
                <w:szCs w:val="20"/>
                <w:color w:val="auto"/>
              </w:rPr>
            </w:pPr>
            <w:r>
              <w:rPr>
                <w:rFonts w:ascii="Arial" w:cs="Arial" w:eastAsia="Arial" w:hAnsi="Arial"/>
                <w:sz w:val="7"/>
                <w:szCs w:val="7"/>
                <w:color w:val="auto"/>
              </w:rPr>
              <w:t>2,133</w:t>
            </w:r>
          </w:p>
        </w:tc>
        <w:tc>
          <w:tcPr>
            <w:tcW w:w="320" w:type="dxa"/>
            <w:vAlign w:val="bottom"/>
          </w:tcPr>
          <w:p>
            <w:pPr>
              <w:spacing w:after="0"/>
              <w:rPr>
                <w:sz w:val="9"/>
                <w:szCs w:val="9"/>
                <w:color w:val="auto"/>
              </w:rPr>
            </w:pPr>
          </w:p>
        </w:tc>
        <w:tc>
          <w:tcPr>
            <w:tcW w:w="660" w:type="dxa"/>
            <w:vAlign w:val="bottom"/>
          </w:tcPr>
          <w:p>
            <w:pPr>
              <w:ind w:left="300"/>
              <w:spacing w:after="0"/>
              <w:rPr>
                <w:sz w:val="20"/>
                <w:szCs w:val="20"/>
                <w:color w:val="auto"/>
              </w:rPr>
            </w:pPr>
            <w:r>
              <w:rPr>
                <w:rFonts w:ascii="Arial" w:cs="Arial" w:eastAsia="Arial" w:hAnsi="Arial"/>
                <w:sz w:val="7"/>
                <w:szCs w:val="7"/>
                <w:color w:val="auto"/>
              </w:rPr>
              <w:t>1,638</w:t>
            </w:r>
          </w:p>
        </w:tc>
        <w:tc>
          <w:tcPr>
            <w:tcW w:w="500" w:type="dxa"/>
            <w:vAlign w:val="bottom"/>
          </w:tcPr>
          <w:p>
            <w:pPr>
              <w:ind w:left="180"/>
              <w:spacing w:after="0"/>
              <w:rPr>
                <w:sz w:val="20"/>
                <w:szCs w:val="20"/>
                <w:color w:val="auto"/>
              </w:rPr>
            </w:pPr>
            <w:r>
              <w:rPr>
                <w:rFonts w:ascii="Arial" w:cs="Arial" w:eastAsia="Arial" w:hAnsi="Arial"/>
                <w:sz w:val="7"/>
                <w:szCs w:val="7"/>
                <w:color w:val="auto"/>
              </w:rPr>
              <w:t>[H]</w:t>
            </w:r>
          </w:p>
        </w:tc>
      </w:tr>
      <w:tr>
        <w:trPr>
          <w:trHeight w:val="108"/>
        </w:trPr>
        <w:tc>
          <w:tcPr>
            <w:tcW w:w="1280" w:type="dxa"/>
            <w:vAlign w:val="bottom"/>
          </w:tcPr>
          <w:p>
            <w:pPr>
              <w:spacing w:after="0"/>
              <w:rPr>
                <w:sz w:val="20"/>
                <w:szCs w:val="20"/>
                <w:color w:val="auto"/>
              </w:rPr>
            </w:pPr>
            <w:r>
              <w:rPr>
                <w:rFonts w:ascii="Arial" w:cs="Arial" w:eastAsia="Arial" w:hAnsi="Arial"/>
                <w:sz w:val="7"/>
                <w:szCs w:val="7"/>
                <w:color w:val="auto"/>
              </w:rPr>
              <w:t>North America - Mexico</w:t>
            </w:r>
          </w:p>
        </w:tc>
        <w:tc>
          <w:tcPr>
            <w:tcW w:w="320" w:type="dxa"/>
            <w:vAlign w:val="bottom"/>
          </w:tcPr>
          <w:p>
            <w:pPr>
              <w:ind w:left="20"/>
              <w:spacing w:after="0"/>
              <w:rPr>
                <w:sz w:val="20"/>
                <w:szCs w:val="20"/>
                <w:color w:val="auto"/>
              </w:rPr>
            </w:pPr>
            <w:r>
              <w:rPr>
                <w:rFonts w:ascii="Arial" w:cs="Arial" w:eastAsia="Arial" w:hAnsi="Arial"/>
                <w:sz w:val="7"/>
                <w:szCs w:val="7"/>
                <w:color w:val="auto"/>
              </w:rPr>
              <w:t>—</w:t>
            </w:r>
          </w:p>
        </w:tc>
        <w:tc>
          <w:tcPr>
            <w:tcW w:w="26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7"/>
                <w:szCs w:val="7"/>
                <w:color w:val="auto"/>
              </w:rPr>
              <w:t>—</w:t>
            </w:r>
          </w:p>
        </w:tc>
        <w:tc>
          <w:tcPr>
            <w:tcW w:w="320" w:type="dxa"/>
            <w:vAlign w:val="bottom"/>
          </w:tcPr>
          <w:p>
            <w:pPr>
              <w:ind w:left="20"/>
              <w:spacing w:after="0"/>
              <w:rPr>
                <w:sz w:val="20"/>
                <w:szCs w:val="20"/>
                <w:color w:val="auto"/>
              </w:rPr>
            </w:pPr>
            <w:r>
              <w:rPr>
                <w:rFonts w:ascii="Arial" w:cs="Arial" w:eastAsia="Arial" w:hAnsi="Arial"/>
                <w:sz w:val="7"/>
                <w:szCs w:val="7"/>
                <w:color w:val="auto"/>
              </w:rPr>
              <w:t>5,178</w:t>
            </w:r>
          </w:p>
        </w:tc>
        <w:tc>
          <w:tcPr>
            <w:tcW w:w="560" w:type="dxa"/>
            <w:vAlign w:val="bottom"/>
          </w:tcPr>
          <w:p>
            <w:pPr>
              <w:ind w:left="280"/>
              <w:spacing w:after="0"/>
              <w:rPr>
                <w:sz w:val="20"/>
                <w:szCs w:val="20"/>
                <w:color w:val="auto"/>
              </w:rPr>
            </w:pPr>
            <w:r>
              <w:rPr>
                <w:rFonts w:ascii="Arial" w:cs="Arial" w:eastAsia="Arial" w:hAnsi="Arial"/>
                <w:sz w:val="7"/>
                <w:szCs w:val="7"/>
                <w:color w:val="auto"/>
              </w:rPr>
              <w:t>3,291</w:t>
            </w:r>
          </w:p>
        </w:tc>
        <w:tc>
          <w:tcPr>
            <w:tcW w:w="800" w:type="dxa"/>
            <w:vAlign w:val="bottom"/>
            <w:gridSpan w:val="3"/>
          </w:tcPr>
          <w:p>
            <w:pPr>
              <w:ind w:left="440"/>
              <w:spacing w:after="0"/>
              <w:rPr>
                <w:sz w:val="20"/>
                <w:szCs w:val="20"/>
                <w:color w:val="auto"/>
              </w:rPr>
            </w:pPr>
            <w:r>
              <w:rPr>
                <w:rFonts w:ascii="Arial" w:cs="Arial" w:eastAsia="Arial" w:hAnsi="Arial"/>
                <w:sz w:val="7"/>
                <w:szCs w:val="7"/>
                <w:color w:val="auto"/>
              </w:rPr>
              <w:t>-</w:t>
            </w:r>
          </w:p>
        </w:tc>
        <w:tc>
          <w:tcPr>
            <w:tcW w:w="50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7"/>
                <w:szCs w:val="7"/>
                <w:color w:val="auto"/>
              </w:rPr>
              <w:t>-</w:t>
            </w:r>
          </w:p>
        </w:tc>
        <w:tc>
          <w:tcPr>
            <w:tcW w:w="400" w:type="dxa"/>
            <w:vAlign w:val="bottom"/>
          </w:tcPr>
          <w:p>
            <w:pPr>
              <w:spacing w:after="0"/>
              <w:rPr>
                <w:sz w:val="9"/>
                <w:szCs w:val="9"/>
                <w:color w:val="auto"/>
              </w:rPr>
            </w:pPr>
          </w:p>
        </w:tc>
        <w:tc>
          <w:tcPr>
            <w:tcW w:w="500" w:type="dxa"/>
            <w:vAlign w:val="bottom"/>
          </w:tcPr>
          <w:p>
            <w:pPr>
              <w:ind w:left="140"/>
              <w:spacing w:after="0"/>
              <w:rPr>
                <w:sz w:val="20"/>
                <w:szCs w:val="20"/>
                <w:color w:val="auto"/>
              </w:rPr>
            </w:pPr>
            <w:r>
              <w:rPr>
                <w:rFonts w:ascii="Arial" w:cs="Arial" w:eastAsia="Arial" w:hAnsi="Arial"/>
                <w:sz w:val="7"/>
                <w:szCs w:val="7"/>
                <w:color w:val="auto"/>
              </w:rPr>
              <w:t>5,178</w:t>
            </w:r>
          </w:p>
        </w:tc>
        <w:tc>
          <w:tcPr>
            <w:tcW w:w="540" w:type="dxa"/>
            <w:vAlign w:val="bottom"/>
          </w:tcPr>
          <w:p>
            <w:pPr>
              <w:spacing w:after="0"/>
              <w:rPr>
                <w:sz w:val="9"/>
                <w:szCs w:val="9"/>
                <w:color w:val="auto"/>
              </w:rPr>
            </w:pPr>
          </w:p>
        </w:tc>
        <w:tc>
          <w:tcPr>
            <w:tcW w:w="360" w:type="dxa"/>
            <w:vAlign w:val="bottom"/>
          </w:tcPr>
          <w:p>
            <w:pPr>
              <w:spacing w:after="0"/>
              <w:rPr>
                <w:sz w:val="20"/>
                <w:szCs w:val="20"/>
                <w:color w:val="auto"/>
              </w:rPr>
            </w:pPr>
            <w:r>
              <w:rPr>
                <w:rFonts w:ascii="Arial" w:cs="Arial" w:eastAsia="Arial" w:hAnsi="Arial"/>
                <w:sz w:val="7"/>
                <w:szCs w:val="7"/>
                <w:color w:val="auto"/>
              </w:rPr>
              <w:t>3,291</w:t>
            </w:r>
          </w:p>
        </w:tc>
        <w:tc>
          <w:tcPr>
            <w:tcW w:w="260" w:type="dxa"/>
            <w:vAlign w:val="bottom"/>
          </w:tcPr>
          <w:p>
            <w:pPr>
              <w:spacing w:after="0"/>
              <w:rPr>
                <w:sz w:val="9"/>
                <w:szCs w:val="9"/>
                <w:color w:val="auto"/>
              </w:rPr>
            </w:pPr>
          </w:p>
        </w:tc>
        <w:tc>
          <w:tcPr>
            <w:tcW w:w="720" w:type="dxa"/>
            <w:vAlign w:val="bottom"/>
            <w:gridSpan w:val="3"/>
          </w:tcPr>
          <w:p>
            <w:pPr>
              <w:ind w:left="340"/>
              <w:spacing w:after="0"/>
              <w:rPr>
                <w:sz w:val="20"/>
                <w:szCs w:val="20"/>
                <w:color w:val="auto"/>
              </w:rPr>
            </w:pPr>
            <w:r>
              <w:rPr>
                <w:rFonts w:ascii="Arial" w:cs="Arial" w:eastAsia="Arial" w:hAnsi="Arial"/>
                <w:sz w:val="7"/>
                <w:szCs w:val="7"/>
                <w:color w:val="auto"/>
              </w:rPr>
              <w:t>-</w:t>
            </w:r>
          </w:p>
        </w:tc>
        <w:tc>
          <w:tcPr>
            <w:tcW w:w="540" w:type="dxa"/>
            <w:vAlign w:val="bottom"/>
          </w:tcPr>
          <w:p>
            <w:pPr>
              <w:spacing w:after="0"/>
              <w:rPr>
                <w:sz w:val="9"/>
                <w:szCs w:val="9"/>
                <w:color w:val="auto"/>
              </w:rPr>
            </w:pPr>
          </w:p>
        </w:tc>
        <w:tc>
          <w:tcPr>
            <w:tcW w:w="600" w:type="dxa"/>
            <w:vAlign w:val="bottom"/>
          </w:tcPr>
          <w:p>
            <w:pPr>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9"/>
                <w:szCs w:val="9"/>
                <w:color w:val="auto"/>
              </w:rPr>
            </w:pPr>
          </w:p>
        </w:tc>
        <w:tc>
          <w:tcPr>
            <w:tcW w:w="580" w:type="dxa"/>
            <w:vAlign w:val="bottom"/>
          </w:tcPr>
          <w:p>
            <w:pPr>
              <w:ind w:left="160"/>
              <w:spacing w:after="0"/>
              <w:rPr>
                <w:sz w:val="20"/>
                <w:szCs w:val="20"/>
                <w:color w:val="auto"/>
              </w:rPr>
            </w:pPr>
            <w:r>
              <w:rPr>
                <w:rFonts w:ascii="Arial" w:cs="Arial" w:eastAsia="Arial" w:hAnsi="Arial"/>
                <w:sz w:val="7"/>
                <w:szCs w:val="7"/>
                <w:color w:val="auto"/>
              </w:rPr>
              <w:t>5,178</w:t>
            </w:r>
          </w:p>
        </w:tc>
        <w:tc>
          <w:tcPr>
            <w:tcW w:w="320" w:type="dxa"/>
            <w:vAlign w:val="bottom"/>
          </w:tcPr>
          <w:p>
            <w:pPr>
              <w:spacing w:after="0"/>
              <w:rPr>
                <w:sz w:val="9"/>
                <w:szCs w:val="9"/>
                <w:color w:val="auto"/>
              </w:rPr>
            </w:pPr>
          </w:p>
        </w:tc>
        <w:tc>
          <w:tcPr>
            <w:tcW w:w="660" w:type="dxa"/>
            <w:vAlign w:val="bottom"/>
          </w:tcPr>
          <w:p>
            <w:pPr>
              <w:ind w:left="300"/>
              <w:spacing w:after="0"/>
              <w:rPr>
                <w:sz w:val="20"/>
                <w:szCs w:val="20"/>
                <w:color w:val="auto"/>
              </w:rPr>
            </w:pPr>
            <w:r>
              <w:rPr>
                <w:rFonts w:ascii="Arial" w:cs="Arial" w:eastAsia="Arial" w:hAnsi="Arial"/>
                <w:sz w:val="7"/>
                <w:szCs w:val="7"/>
                <w:color w:val="auto"/>
              </w:rPr>
              <w:t>3,885</w:t>
            </w:r>
          </w:p>
        </w:tc>
        <w:tc>
          <w:tcPr>
            <w:tcW w:w="500" w:type="dxa"/>
            <w:vAlign w:val="bottom"/>
          </w:tcPr>
          <w:p>
            <w:pPr>
              <w:spacing w:after="0"/>
              <w:rPr>
                <w:sz w:val="9"/>
                <w:szCs w:val="9"/>
                <w:color w:val="auto"/>
              </w:rPr>
            </w:pPr>
          </w:p>
        </w:tc>
      </w:tr>
      <w:tr>
        <w:trPr>
          <w:trHeight w:val="108"/>
        </w:trPr>
        <w:tc>
          <w:tcPr>
            <w:tcW w:w="1280" w:type="dxa"/>
            <w:vAlign w:val="bottom"/>
          </w:tcPr>
          <w:p>
            <w:pPr>
              <w:spacing w:after="0"/>
              <w:rPr>
                <w:sz w:val="20"/>
                <w:szCs w:val="20"/>
                <w:color w:val="auto"/>
              </w:rPr>
            </w:pPr>
            <w:r>
              <w:rPr>
                <w:rFonts w:ascii="Arial" w:cs="Arial" w:eastAsia="Arial" w:hAnsi="Arial"/>
                <w:sz w:val="7"/>
                <w:szCs w:val="7"/>
                <w:color w:val="auto"/>
              </w:rPr>
              <w:t>North America - Canada</w:t>
            </w:r>
          </w:p>
        </w:tc>
        <w:tc>
          <w:tcPr>
            <w:tcW w:w="320" w:type="dxa"/>
            <w:vAlign w:val="bottom"/>
          </w:tcPr>
          <w:p>
            <w:pPr>
              <w:ind w:left="20"/>
              <w:spacing w:after="0"/>
              <w:rPr>
                <w:sz w:val="20"/>
                <w:szCs w:val="20"/>
                <w:color w:val="auto"/>
              </w:rPr>
            </w:pPr>
            <w:r>
              <w:rPr>
                <w:rFonts w:ascii="Arial" w:cs="Arial" w:eastAsia="Arial" w:hAnsi="Arial"/>
                <w:sz w:val="7"/>
                <w:szCs w:val="7"/>
                <w:color w:val="auto"/>
              </w:rPr>
              <w:t>490</w:t>
            </w:r>
          </w:p>
        </w:tc>
        <w:tc>
          <w:tcPr>
            <w:tcW w:w="800" w:type="dxa"/>
            <w:vAlign w:val="bottom"/>
            <w:gridSpan w:val="2"/>
          </w:tcPr>
          <w:p>
            <w:pPr>
              <w:ind w:left="280"/>
              <w:spacing w:after="0"/>
              <w:rPr>
                <w:sz w:val="20"/>
                <w:szCs w:val="20"/>
                <w:color w:val="auto"/>
              </w:rPr>
            </w:pPr>
            <w:r>
              <w:rPr>
                <w:rFonts w:ascii="Arial" w:cs="Arial" w:eastAsia="Arial" w:hAnsi="Arial"/>
                <w:sz w:val="7"/>
                <w:szCs w:val="7"/>
                <w:color w:val="auto"/>
              </w:rPr>
              <w:t>336</w:t>
            </w:r>
          </w:p>
        </w:tc>
        <w:tc>
          <w:tcPr>
            <w:tcW w:w="320" w:type="dxa"/>
            <w:vAlign w:val="bottom"/>
          </w:tcPr>
          <w:p>
            <w:pPr>
              <w:ind w:left="20"/>
              <w:spacing w:after="0"/>
              <w:rPr>
                <w:sz w:val="20"/>
                <w:szCs w:val="20"/>
                <w:color w:val="auto"/>
              </w:rPr>
            </w:pPr>
            <w:r>
              <w:rPr>
                <w:rFonts w:ascii="Arial" w:cs="Arial" w:eastAsia="Arial" w:hAnsi="Arial"/>
                <w:sz w:val="7"/>
                <w:szCs w:val="7"/>
                <w:color w:val="auto"/>
              </w:rPr>
              <w:t>1,689</w:t>
            </w:r>
          </w:p>
        </w:tc>
        <w:tc>
          <w:tcPr>
            <w:tcW w:w="560" w:type="dxa"/>
            <w:vAlign w:val="bottom"/>
          </w:tcPr>
          <w:p>
            <w:pPr>
              <w:ind w:left="280"/>
              <w:spacing w:after="0"/>
              <w:rPr>
                <w:sz w:val="20"/>
                <w:szCs w:val="20"/>
                <w:color w:val="auto"/>
              </w:rPr>
            </w:pPr>
            <w:r>
              <w:rPr>
                <w:rFonts w:ascii="Arial" w:cs="Arial" w:eastAsia="Arial" w:hAnsi="Arial"/>
                <w:sz w:val="7"/>
                <w:szCs w:val="7"/>
                <w:color w:val="auto"/>
              </w:rPr>
              <w:t>1,177</w:t>
            </w:r>
          </w:p>
        </w:tc>
        <w:tc>
          <w:tcPr>
            <w:tcW w:w="800" w:type="dxa"/>
            <w:vAlign w:val="bottom"/>
            <w:gridSpan w:val="3"/>
          </w:tcPr>
          <w:p>
            <w:pPr>
              <w:ind w:left="440"/>
              <w:spacing w:after="0"/>
              <w:rPr>
                <w:sz w:val="20"/>
                <w:szCs w:val="20"/>
                <w:color w:val="auto"/>
              </w:rPr>
            </w:pPr>
            <w:r>
              <w:rPr>
                <w:rFonts w:ascii="Arial" w:cs="Arial" w:eastAsia="Arial" w:hAnsi="Arial"/>
                <w:sz w:val="7"/>
                <w:szCs w:val="7"/>
                <w:color w:val="auto"/>
              </w:rPr>
              <w:t>483</w:t>
            </w:r>
          </w:p>
        </w:tc>
        <w:tc>
          <w:tcPr>
            <w:tcW w:w="50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7"/>
                <w:szCs w:val="7"/>
                <w:color w:val="auto"/>
              </w:rPr>
              <w:t>329</w:t>
            </w:r>
          </w:p>
        </w:tc>
        <w:tc>
          <w:tcPr>
            <w:tcW w:w="400" w:type="dxa"/>
            <w:vAlign w:val="bottom"/>
          </w:tcPr>
          <w:p>
            <w:pPr>
              <w:spacing w:after="0"/>
              <w:rPr>
                <w:sz w:val="9"/>
                <w:szCs w:val="9"/>
                <w:color w:val="auto"/>
              </w:rPr>
            </w:pPr>
          </w:p>
        </w:tc>
        <w:tc>
          <w:tcPr>
            <w:tcW w:w="500" w:type="dxa"/>
            <w:vAlign w:val="bottom"/>
          </w:tcPr>
          <w:p>
            <w:pPr>
              <w:ind w:left="140"/>
              <w:spacing w:after="0"/>
              <w:rPr>
                <w:sz w:val="20"/>
                <w:szCs w:val="20"/>
                <w:color w:val="auto"/>
              </w:rPr>
            </w:pPr>
            <w:r>
              <w:rPr>
                <w:rFonts w:ascii="Arial" w:cs="Arial" w:eastAsia="Arial" w:hAnsi="Arial"/>
                <w:sz w:val="7"/>
                <w:szCs w:val="7"/>
                <w:color w:val="auto"/>
              </w:rPr>
              <w:t>1,783</w:t>
            </w:r>
          </w:p>
        </w:tc>
        <w:tc>
          <w:tcPr>
            <w:tcW w:w="540" w:type="dxa"/>
            <w:vAlign w:val="bottom"/>
          </w:tcPr>
          <w:p>
            <w:pPr>
              <w:spacing w:after="0"/>
              <w:rPr>
                <w:sz w:val="9"/>
                <w:szCs w:val="9"/>
                <w:color w:val="auto"/>
              </w:rPr>
            </w:pPr>
          </w:p>
        </w:tc>
        <w:tc>
          <w:tcPr>
            <w:tcW w:w="360" w:type="dxa"/>
            <w:vAlign w:val="bottom"/>
          </w:tcPr>
          <w:p>
            <w:pPr>
              <w:spacing w:after="0"/>
              <w:rPr>
                <w:sz w:val="20"/>
                <w:szCs w:val="20"/>
                <w:color w:val="auto"/>
              </w:rPr>
            </w:pPr>
            <w:r>
              <w:rPr>
                <w:rFonts w:ascii="Arial" w:cs="Arial" w:eastAsia="Arial" w:hAnsi="Arial"/>
                <w:sz w:val="7"/>
                <w:szCs w:val="7"/>
                <w:color w:val="auto"/>
              </w:rPr>
              <w:t>1,265</w:t>
            </w:r>
          </w:p>
        </w:tc>
        <w:tc>
          <w:tcPr>
            <w:tcW w:w="260" w:type="dxa"/>
            <w:vAlign w:val="bottom"/>
          </w:tcPr>
          <w:p>
            <w:pPr>
              <w:spacing w:after="0"/>
              <w:rPr>
                <w:sz w:val="9"/>
                <w:szCs w:val="9"/>
                <w:color w:val="auto"/>
              </w:rPr>
            </w:pPr>
          </w:p>
        </w:tc>
        <w:tc>
          <w:tcPr>
            <w:tcW w:w="720" w:type="dxa"/>
            <w:vAlign w:val="bottom"/>
            <w:gridSpan w:val="3"/>
          </w:tcPr>
          <w:p>
            <w:pPr>
              <w:ind w:left="340"/>
              <w:spacing w:after="0"/>
              <w:rPr>
                <w:sz w:val="20"/>
                <w:szCs w:val="20"/>
                <w:color w:val="auto"/>
              </w:rPr>
            </w:pPr>
            <w:r>
              <w:rPr>
                <w:rFonts w:ascii="Arial" w:cs="Arial" w:eastAsia="Arial" w:hAnsi="Arial"/>
                <w:sz w:val="7"/>
                <w:szCs w:val="7"/>
                <w:color w:val="auto"/>
              </w:rPr>
              <w:t>1,108</w:t>
            </w:r>
          </w:p>
        </w:tc>
        <w:tc>
          <w:tcPr>
            <w:tcW w:w="540" w:type="dxa"/>
            <w:vAlign w:val="bottom"/>
          </w:tcPr>
          <w:p>
            <w:pPr>
              <w:spacing w:after="0"/>
              <w:rPr>
                <w:sz w:val="9"/>
                <w:szCs w:val="9"/>
                <w:color w:val="auto"/>
              </w:rPr>
            </w:pPr>
          </w:p>
        </w:tc>
        <w:tc>
          <w:tcPr>
            <w:tcW w:w="600" w:type="dxa"/>
            <w:vAlign w:val="bottom"/>
          </w:tcPr>
          <w:p>
            <w:pPr>
              <w:spacing w:after="0"/>
              <w:rPr>
                <w:sz w:val="20"/>
                <w:szCs w:val="20"/>
                <w:color w:val="auto"/>
              </w:rPr>
            </w:pPr>
            <w:r>
              <w:rPr>
                <w:rFonts w:ascii="Arial" w:cs="Arial" w:eastAsia="Arial" w:hAnsi="Arial"/>
                <w:sz w:val="7"/>
                <w:szCs w:val="7"/>
                <w:color w:val="auto"/>
              </w:rPr>
              <w:t>752</w:t>
            </w:r>
          </w:p>
        </w:tc>
        <w:tc>
          <w:tcPr>
            <w:tcW w:w="280" w:type="dxa"/>
            <w:vAlign w:val="bottom"/>
          </w:tcPr>
          <w:p>
            <w:pPr>
              <w:spacing w:after="0"/>
              <w:rPr>
                <w:sz w:val="9"/>
                <w:szCs w:val="9"/>
                <w:color w:val="auto"/>
              </w:rPr>
            </w:pPr>
          </w:p>
        </w:tc>
        <w:tc>
          <w:tcPr>
            <w:tcW w:w="580" w:type="dxa"/>
            <w:vAlign w:val="bottom"/>
          </w:tcPr>
          <w:p>
            <w:pPr>
              <w:ind w:left="160"/>
              <w:spacing w:after="0"/>
              <w:rPr>
                <w:sz w:val="20"/>
                <w:szCs w:val="20"/>
                <w:color w:val="auto"/>
              </w:rPr>
            </w:pPr>
            <w:r>
              <w:rPr>
                <w:rFonts w:ascii="Arial" w:cs="Arial" w:eastAsia="Arial" w:hAnsi="Arial"/>
                <w:sz w:val="7"/>
                <w:szCs w:val="7"/>
                <w:color w:val="auto"/>
              </w:rPr>
              <w:t>1,681</w:t>
            </w:r>
          </w:p>
        </w:tc>
        <w:tc>
          <w:tcPr>
            <w:tcW w:w="320" w:type="dxa"/>
            <w:vAlign w:val="bottom"/>
          </w:tcPr>
          <w:p>
            <w:pPr>
              <w:spacing w:after="0"/>
              <w:rPr>
                <w:sz w:val="9"/>
                <w:szCs w:val="9"/>
                <w:color w:val="auto"/>
              </w:rPr>
            </w:pPr>
          </w:p>
        </w:tc>
        <w:tc>
          <w:tcPr>
            <w:tcW w:w="660" w:type="dxa"/>
            <w:vAlign w:val="bottom"/>
          </w:tcPr>
          <w:p>
            <w:pPr>
              <w:ind w:left="300"/>
              <w:spacing w:after="0"/>
              <w:rPr>
                <w:sz w:val="20"/>
                <w:szCs w:val="20"/>
                <w:color w:val="auto"/>
              </w:rPr>
            </w:pPr>
            <w:r>
              <w:rPr>
                <w:rFonts w:ascii="Arial" w:cs="Arial" w:eastAsia="Arial" w:hAnsi="Arial"/>
                <w:sz w:val="7"/>
                <w:szCs w:val="7"/>
                <w:color w:val="auto"/>
              </w:rPr>
              <w:t>1,193</w:t>
            </w:r>
          </w:p>
        </w:tc>
        <w:tc>
          <w:tcPr>
            <w:tcW w:w="500" w:type="dxa"/>
            <w:vAlign w:val="bottom"/>
          </w:tcPr>
          <w:p>
            <w:pPr>
              <w:spacing w:after="0"/>
              <w:rPr>
                <w:sz w:val="9"/>
                <w:szCs w:val="9"/>
                <w:color w:val="auto"/>
              </w:rPr>
            </w:pPr>
          </w:p>
        </w:tc>
      </w:tr>
      <w:tr>
        <w:trPr>
          <w:trHeight w:val="116"/>
        </w:trPr>
        <w:tc>
          <w:tcPr>
            <w:tcW w:w="1280" w:type="dxa"/>
            <w:vAlign w:val="bottom"/>
            <w:tcBorders>
              <w:bottom w:val="single" w:sz="8" w:color="auto"/>
            </w:tcBorders>
          </w:tcPr>
          <w:p>
            <w:pPr>
              <w:spacing w:after="0"/>
              <w:rPr>
                <w:sz w:val="20"/>
                <w:szCs w:val="20"/>
                <w:color w:val="auto"/>
              </w:rPr>
            </w:pPr>
            <w:r>
              <w:rPr>
                <w:rFonts w:ascii="Arial" w:cs="Arial" w:eastAsia="Arial" w:hAnsi="Arial"/>
                <w:sz w:val="7"/>
                <w:szCs w:val="7"/>
                <w:color w:val="auto"/>
              </w:rPr>
              <w:t>South America</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7"/>
                <w:szCs w:val="7"/>
                <w:color w:val="auto"/>
              </w:rPr>
              <w:t>1,449</w:t>
            </w:r>
          </w:p>
        </w:tc>
        <w:tc>
          <w:tcPr>
            <w:tcW w:w="800" w:type="dxa"/>
            <w:vAlign w:val="bottom"/>
            <w:tcBorders>
              <w:bottom w:val="single" w:sz="8" w:color="auto"/>
            </w:tcBorders>
            <w:gridSpan w:val="2"/>
          </w:tcPr>
          <w:p>
            <w:pPr>
              <w:ind w:left="280"/>
              <w:spacing w:after="0"/>
              <w:rPr>
                <w:sz w:val="20"/>
                <w:szCs w:val="20"/>
                <w:color w:val="auto"/>
              </w:rPr>
            </w:pPr>
            <w:r>
              <w:rPr>
                <w:rFonts w:ascii="Arial" w:cs="Arial" w:eastAsia="Arial" w:hAnsi="Arial"/>
                <w:sz w:val="7"/>
                <w:szCs w:val="7"/>
                <w:color w:val="auto"/>
              </w:rPr>
              <w:t>609</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7"/>
                <w:szCs w:val="7"/>
                <w:color w:val="auto"/>
              </w:rPr>
              <w:t>20,147</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7"/>
                <w:szCs w:val="7"/>
                <w:color w:val="auto"/>
              </w:rPr>
              <w:t>11,731</w:t>
            </w:r>
          </w:p>
        </w:tc>
        <w:tc>
          <w:tcPr>
            <w:tcW w:w="800" w:type="dxa"/>
            <w:vAlign w:val="bottom"/>
            <w:tcBorders>
              <w:bottom w:val="single" w:sz="8" w:color="auto"/>
            </w:tcBorders>
            <w:gridSpan w:val="3"/>
          </w:tcPr>
          <w:p>
            <w:pPr>
              <w:ind w:left="440"/>
              <w:spacing w:after="0"/>
              <w:rPr>
                <w:sz w:val="20"/>
                <w:szCs w:val="20"/>
                <w:color w:val="auto"/>
              </w:rPr>
            </w:pPr>
            <w:r>
              <w:rPr>
                <w:rFonts w:ascii="Arial" w:cs="Arial" w:eastAsia="Arial" w:hAnsi="Arial"/>
                <w:sz w:val="7"/>
                <w:szCs w:val="7"/>
                <w:color w:val="auto"/>
              </w:rPr>
              <w:t>1,393</w:t>
            </w: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7"/>
                <w:szCs w:val="7"/>
                <w:color w:val="auto"/>
              </w:rPr>
              <w:t>595</w:t>
            </w:r>
          </w:p>
        </w:tc>
        <w:tc>
          <w:tcPr>
            <w:tcW w:w="4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7"/>
                <w:szCs w:val="7"/>
                <w:color w:val="auto"/>
              </w:rPr>
              <w:t>16,446</w:t>
            </w:r>
          </w:p>
        </w:tc>
        <w:tc>
          <w:tcPr>
            <w:tcW w:w="5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7"/>
                <w:szCs w:val="7"/>
                <w:color w:val="auto"/>
              </w:rPr>
              <w:t>10,214</w:t>
            </w:r>
          </w:p>
        </w:tc>
        <w:tc>
          <w:tcPr>
            <w:tcW w:w="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3"/>
          </w:tcPr>
          <w:p>
            <w:pPr>
              <w:ind w:left="340"/>
              <w:spacing w:after="0"/>
              <w:rPr>
                <w:sz w:val="20"/>
                <w:szCs w:val="20"/>
                <w:color w:val="auto"/>
              </w:rPr>
            </w:pPr>
            <w:r>
              <w:rPr>
                <w:rFonts w:ascii="Arial" w:cs="Arial" w:eastAsia="Arial" w:hAnsi="Arial"/>
                <w:sz w:val="7"/>
                <w:szCs w:val="7"/>
                <w:color w:val="auto"/>
              </w:rPr>
              <w:t>1,490</w:t>
            </w:r>
          </w:p>
        </w:tc>
        <w:tc>
          <w:tcPr>
            <w:tcW w:w="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7"/>
                <w:szCs w:val="7"/>
                <w:color w:val="auto"/>
              </w:rPr>
              <w:t>710</w:t>
            </w:r>
          </w:p>
        </w:tc>
        <w:tc>
          <w:tcPr>
            <w:tcW w:w="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7"/>
                <w:szCs w:val="7"/>
                <w:color w:val="auto"/>
              </w:rPr>
              <w:t>10,352</w:t>
            </w: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ind w:left="300"/>
              <w:spacing w:after="0"/>
              <w:rPr>
                <w:sz w:val="20"/>
                <w:szCs w:val="20"/>
                <w:color w:val="auto"/>
              </w:rPr>
            </w:pPr>
            <w:r>
              <w:rPr>
                <w:rFonts w:ascii="Arial" w:cs="Arial" w:eastAsia="Arial" w:hAnsi="Arial"/>
                <w:sz w:val="7"/>
                <w:szCs w:val="7"/>
                <w:color w:val="auto"/>
              </w:rPr>
              <w:t>6,725</w:t>
            </w:r>
          </w:p>
        </w:tc>
        <w:tc>
          <w:tcPr>
            <w:tcW w:w="500" w:type="dxa"/>
            <w:vAlign w:val="bottom"/>
            <w:tcBorders>
              <w:bottom w:val="single" w:sz="8" w:color="auto"/>
            </w:tcBorders>
          </w:tcPr>
          <w:p>
            <w:pPr>
              <w:spacing w:after="0"/>
              <w:rPr>
                <w:sz w:val="10"/>
                <w:szCs w:val="10"/>
                <w:color w:val="auto"/>
              </w:rPr>
            </w:pPr>
          </w:p>
        </w:tc>
      </w:tr>
      <w:tr>
        <w:trPr>
          <w:trHeight w:val="89"/>
        </w:trPr>
        <w:tc>
          <w:tcPr>
            <w:tcW w:w="1280" w:type="dxa"/>
            <w:vAlign w:val="bottom"/>
          </w:tcPr>
          <w:p>
            <w:pPr>
              <w:spacing w:after="0"/>
              <w:rPr>
                <w:sz w:val="20"/>
                <w:szCs w:val="20"/>
                <w:color w:val="auto"/>
              </w:rPr>
            </w:pPr>
            <w:r>
              <w:rPr>
                <w:rFonts w:ascii="Arial" w:cs="Arial" w:eastAsia="Arial" w:hAnsi="Arial"/>
                <w:sz w:val="7"/>
                <w:szCs w:val="7"/>
                <w:color w:val="auto"/>
              </w:rPr>
              <w:t>Total</w:t>
            </w:r>
          </w:p>
        </w:tc>
        <w:tc>
          <w:tcPr>
            <w:tcW w:w="320" w:type="dxa"/>
            <w:vAlign w:val="bottom"/>
          </w:tcPr>
          <w:p>
            <w:pPr>
              <w:ind w:left="20"/>
              <w:spacing w:after="0"/>
              <w:rPr>
                <w:sz w:val="20"/>
                <w:szCs w:val="20"/>
                <w:color w:val="auto"/>
              </w:rPr>
            </w:pPr>
            <w:r>
              <w:rPr>
                <w:rFonts w:ascii="Arial" w:cs="Arial" w:eastAsia="Arial" w:hAnsi="Arial"/>
                <w:sz w:val="7"/>
                <w:szCs w:val="7"/>
                <w:color w:val="auto"/>
              </w:rPr>
              <w:t>38,434</w:t>
            </w:r>
          </w:p>
        </w:tc>
        <w:tc>
          <w:tcPr>
            <w:tcW w:w="800" w:type="dxa"/>
            <w:vAlign w:val="bottom"/>
            <w:gridSpan w:val="2"/>
          </w:tcPr>
          <w:p>
            <w:pPr>
              <w:ind w:left="280"/>
              <w:spacing w:after="0"/>
              <w:rPr>
                <w:sz w:val="20"/>
                <w:szCs w:val="20"/>
                <w:color w:val="auto"/>
              </w:rPr>
            </w:pPr>
            <w:r>
              <w:rPr>
                <w:rFonts w:ascii="Arial" w:cs="Arial" w:eastAsia="Arial" w:hAnsi="Arial"/>
                <w:sz w:val="7"/>
                <w:szCs w:val="7"/>
                <w:color w:val="auto"/>
              </w:rPr>
              <w:t>14,495</w:t>
            </w:r>
          </w:p>
        </w:tc>
        <w:tc>
          <w:tcPr>
            <w:tcW w:w="320" w:type="dxa"/>
            <w:vAlign w:val="bottom"/>
          </w:tcPr>
          <w:p>
            <w:pPr>
              <w:ind w:left="20"/>
              <w:spacing w:after="0"/>
              <w:rPr>
                <w:sz w:val="20"/>
                <w:szCs w:val="20"/>
                <w:color w:val="auto"/>
              </w:rPr>
            </w:pPr>
            <w:r>
              <w:rPr>
                <w:rFonts w:ascii="Arial" w:cs="Arial" w:eastAsia="Arial" w:hAnsi="Arial"/>
                <w:sz w:val="7"/>
                <w:szCs w:val="7"/>
                <w:color w:val="auto"/>
              </w:rPr>
              <w:t>155,224</w:t>
            </w:r>
          </w:p>
        </w:tc>
        <w:tc>
          <w:tcPr>
            <w:tcW w:w="560" w:type="dxa"/>
            <w:vAlign w:val="bottom"/>
          </w:tcPr>
          <w:p>
            <w:pPr>
              <w:ind w:left="280"/>
              <w:spacing w:after="0"/>
              <w:rPr>
                <w:sz w:val="20"/>
                <w:szCs w:val="20"/>
                <w:color w:val="auto"/>
              </w:rPr>
            </w:pPr>
            <w:r>
              <w:rPr>
                <w:rFonts w:ascii="Arial" w:cs="Arial" w:eastAsia="Arial" w:hAnsi="Arial"/>
                <w:sz w:val="7"/>
                <w:szCs w:val="7"/>
                <w:color w:val="auto"/>
              </w:rPr>
              <w:t>83,990</w:t>
            </w:r>
          </w:p>
        </w:tc>
        <w:tc>
          <w:tcPr>
            <w:tcW w:w="800" w:type="dxa"/>
            <w:vAlign w:val="bottom"/>
            <w:gridSpan w:val="3"/>
          </w:tcPr>
          <w:p>
            <w:pPr>
              <w:ind w:left="440"/>
              <w:spacing w:after="0"/>
              <w:rPr>
                <w:sz w:val="20"/>
                <w:szCs w:val="20"/>
                <w:color w:val="auto"/>
              </w:rPr>
            </w:pPr>
            <w:r>
              <w:rPr>
                <w:rFonts w:ascii="Arial" w:cs="Arial" w:eastAsia="Arial" w:hAnsi="Arial"/>
                <w:sz w:val="7"/>
                <w:szCs w:val="7"/>
                <w:color w:val="auto"/>
              </w:rPr>
              <w:t>38,575</w:t>
            </w:r>
          </w:p>
        </w:tc>
        <w:tc>
          <w:tcPr>
            <w:tcW w:w="500" w:type="dxa"/>
            <w:vAlign w:val="bottom"/>
          </w:tcPr>
          <w:p>
            <w:pPr>
              <w:spacing w:after="0"/>
              <w:rPr>
                <w:sz w:val="7"/>
                <w:szCs w:val="7"/>
                <w:color w:val="auto"/>
              </w:rPr>
            </w:pPr>
          </w:p>
        </w:tc>
        <w:tc>
          <w:tcPr>
            <w:tcW w:w="400" w:type="dxa"/>
            <w:vAlign w:val="bottom"/>
          </w:tcPr>
          <w:p>
            <w:pPr>
              <w:ind w:left="20"/>
              <w:spacing w:after="0"/>
              <w:rPr>
                <w:sz w:val="20"/>
                <w:szCs w:val="20"/>
                <w:color w:val="auto"/>
              </w:rPr>
            </w:pPr>
            <w:r>
              <w:rPr>
                <w:rFonts w:ascii="Arial" w:cs="Arial" w:eastAsia="Arial" w:hAnsi="Arial"/>
                <w:sz w:val="7"/>
                <w:szCs w:val="7"/>
                <w:color w:val="auto"/>
              </w:rPr>
              <w:t>14,565</w:t>
            </w:r>
          </w:p>
        </w:tc>
        <w:tc>
          <w:tcPr>
            <w:tcW w:w="400" w:type="dxa"/>
            <w:vAlign w:val="bottom"/>
          </w:tcPr>
          <w:p>
            <w:pPr>
              <w:spacing w:after="0"/>
              <w:rPr>
                <w:sz w:val="7"/>
                <w:szCs w:val="7"/>
                <w:color w:val="auto"/>
              </w:rPr>
            </w:pPr>
          </w:p>
        </w:tc>
        <w:tc>
          <w:tcPr>
            <w:tcW w:w="500" w:type="dxa"/>
            <w:vAlign w:val="bottom"/>
          </w:tcPr>
          <w:p>
            <w:pPr>
              <w:ind w:left="140"/>
              <w:spacing w:after="0"/>
              <w:rPr>
                <w:sz w:val="20"/>
                <w:szCs w:val="20"/>
                <w:color w:val="auto"/>
              </w:rPr>
            </w:pPr>
            <w:r>
              <w:rPr>
                <w:rFonts w:ascii="Arial" w:cs="Arial" w:eastAsia="Arial" w:hAnsi="Arial"/>
                <w:sz w:val="7"/>
                <w:szCs w:val="7"/>
                <w:color w:val="auto"/>
              </w:rPr>
              <w:t>145,905</w:t>
            </w:r>
          </w:p>
        </w:tc>
        <w:tc>
          <w:tcPr>
            <w:tcW w:w="540" w:type="dxa"/>
            <w:vAlign w:val="bottom"/>
          </w:tcPr>
          <w:p>
            <w:pPr>
              <w:spacing w:after="0"/>
              <w:rPr>
                <w:sz w:val="7"/>
                <w:szCs w:val="7"/>
                <w:color w:val="auto"/>
              </w:rPr>
            </w:pPr>
          </w:p>
        </w:tc>
        <w:tc>
          <w:tcPr>
            <w:tcW w:w="360" w:type="dxa"/>
            <w:vAlign w:val="bottom"/>
          </w:tcPr>
          <w:p>
            <w:pPr>
              <w:spacing w:after="0"/>
              <w:rPr>
                <w:sz w:val="20"/>
                <w:szCs w:val="20"/>
                <w:color w:val="auto"/>
              </w:rPr>
            </w:pPr>
            <w:r>
              <w:rPr>
                <w:rFonts w:ascii="Arial" w:cs="Arial" w:eastAsia="Arial" w:hAnsi="Arial"/>
                <w:sz w:val="7"/>
                <w:szCs w:val="7"/>
                <w:color w:val="auto"/>
              </w:rPr>
              <w:t>76,462</w:t>
            </w:r>
          </w:p>
        </w:tc>
        <w:tc>
          <w:tcPr>
            <w:tcW w:w="260" w:type="dxa"/>
            <w:vAlign w:val="bottom"/>
          </w:tcPr>
          <w:p>
            <w:pPr>
              <w:spacing w:after="0"/>
              <w:rPr>
                <w:sz w:val="7"/>
                <w:szCs w:val="7"/>
                <w:color w:val="auto"/>
              </w:rPr>
            </w:pPr>
          </w:p>
        </w:tc>
        <w:tc>
          <w:tcPr>
            <w:tcW w:w="720" w:type="dxa"/>
            <w:vAlign w:val="bottom"/>
            <w:gridSpan w:val="3"/>
          </w:tcPr>
          <w:p>
            <w:pPr>
              <w:ind w:left="340"/>
              <w:spacing w:after="0"/>
              <w:rPr>
                <w:sz w:val="20"/>
                <w:szCs w:val="20"/>
                <w:color w:val="auto"/>
              </w:rPr>
            </w:pPr>
            <w:r>
              <w:rPr>
                <w:rFonts w:ascii="Arial" w:cs="Arial" w:eastAsia="Arial" w:hAnsi="Arial"/>
                <w:sz w:val="7"/>
                <w:szCs w:val="7"/>
                <w:color w:val="auto"/>
              </w:rPr>
              <w:t>40,123</w:t>
            </w:r>
          </w:p>
        </w:tc>
        <w:tc>
          <w:tcPr>
            <w:tcW w:w="540" w:type="dxa"/>
            <w:vAlign w:val="bottom"/>
          </w:tcPr>
          <w:p>
            <w:pPr>
              <w:spacing w:after="0"/>
              <w:rPr>
                <w:sz w:val="7"/>
                <w:szCs w:val="7"/>
                <w:color w:val="auto"/>
              </w:rPr>
            </w:pPr>
          </w:p>
        </w:tc>
        <w:tc>
          <w:tcPr>
            <w:tcW w:w="600" w:type="dxa"/>
            <w:vAlign w:val="bottom"/>
          </w:tcPr>
          <w:p>
            <w:pPr>
              <w:spacing w:after="0"/>
              <w:rPr>
                <w:sz w:val="20"/>
                <w:szCs w:val="20"/>
                <w:color w:val="auto"/>
              </w:rPr>
            </w:pPr>
            <w:r>
              <w:rPr>
                <w:rFonts w:ascii="Arial" w:cs="Arial" w:eastAsia="Arial" w:hAnsi="Arial"/>
                <w:sz w:val="7"/>
                <w:szCs w:val="7"/>
                <w:color w:val="auto"/>
              </w:rPr>
              <w:t>15,438</w:t>
            </w:r>
          </w:p>
        </w:tc>
        <w:tc>
          <w:tcPr>
            <w:tcW w:w="280" w:type="dxa"/>
            <w:vAlign w:val="bottom"/>
          </w:tcPr>
          <w:p>
            <w:pPr>
              <w:spacing w:after="0"/>
              <w:rPr>
                <w:sz w:val="7"/>
                <w:szCs w:val="7"/>
                <w:color w:val="auto"/>
              </w:rPr>
            </w:pPr>
          </w:p>
        </w:tc>
        <w:tc>
          <w:tcPr>
            <w:tcW w:w="580" w:type="dxa"/>
            <w:vAlign w:val="bottom"/>
          </w:tcPr>
          <w:p>
            <w:pPr>
              <w:ind w:left="160"/>
              <w:spacing w:after="0"/>
              <w:rPr>
                <w:sz w:val="20"/>
                <w:szCs w:val="20"/>
                <w:color w:val="auto"/>
              </w:rPr>
            </w:pPr>
            <w:r>
              <w:rPr>
                <w:rFonts w:ascii="Arial" w:cs="Arial" w:eastAsia="Arial" w:hAnsi="Arial"/>
                <w:sz w:val="7"/>
                <w:szCs w:val="7"/>
                <w:color w:val="auto"/>
              </w:rPr>
              <w:t>118,945</w:t>
            </w:r>
          </w:p>
        </w:tc>
        <w:tc>
          <w:tcPr>
            <w:tcW w:w="320" w:type="dxa"/>
            <w:vAlign w:val="bottom"/>
          </w:tcPr>
          <w:p>
            <w:pPr>
              <w:spacing w:after="0"/>
              <w:rPr>
                <w:sz w:val="7"/>
                <w:szCs w:val="7"/>
                <w:color w:val="auto"/>
              </w:rPr>
            </w:pPr>
          </w:p>
        </w:tc>
        <w:tc>
          <w:tcPr>
            <w:tcW w:w="660" w:type="dxa"/>
            <w:vAlign w:val="bottom"/>
          </w:tcPr>
          <w:p>
            <w:pPr>
              <w:ind w:left="300"/>
              <w:spacing w:after="0"/>
              <w:rPr>
                <w:sz w:val="20"/>
                <w:szCs w:val="20"/>
                <w:color w:val="auto"/>
              </w:rPr>
            </w:pPr>
            <w:r>
              <w:rPr>
                <w:rFonts w:ascii="Arial" w:cs="Arial" w:eastAsia="Arial" w:hAnsi="Arial"/>
                <w:sz w:val="7"/>
                <w:szCs w:val="7"/>
                <w:color w:val="auto"/>
              </w:rPr>
              <w:t>68,023</w:t>
            </w:r>
          </w:p>
        </w:tc>
        <w:tc>
          <w:tcPr>
            <w:tcW w:w="5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-612140</wp:posOffset>
            </wp:positionV>
            <wp:extent cx="1451610" cy="6229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451610" cy="622935"/>
                    </a:xfrm>
                    <a:prstGeom prst="rect">
                      <a:avLst/>
                    </a:prstGeom>
                    <a:noFill/>
                  </pic:spPr>
                </pic:pic>
              </a:graphicData>
            </a:graphic>
          </wp:anchor>
        </w:drawing>
      </w:r>
    </w:p>
    <w:p>
      <w:pPr>
        <w:ind w:left="128" w:hanging="128"/>
        <w:spacing w:after="0"/>
        <w:tabs>
          <w:tab w:leader="none" w:pos="128" w:val="left"/>
        </w:tabs>
        <w:numPr>
          <w:ilvl w:val="0"/>
          <w:numId w:val="192"/>
        </w:numPr>
        <w:rPr>
          <w:rFonts w:ascii="Arial" w:cs="Arial" w:eastAsia="Arial" w:hAnsi="Arial"/>
          <w:sz w:val="7"/>
          <w:szCs w:val="7"/>
          <w:color w:val="auto"/>
        </w:rPr>
      </w:pPr>
      <w:r>
        <w:rPr>
          <w:rFonts w:ascii="Arial" w:cs="Arial" w:eastAsia="Arial" w:hAnsi="Arial"/>
          <w:sz w:val="7"/>
          <w:szCs w:val="7"/>
          <w:color w:val="auto"/>
        </w:rPr>
        <w:t>Includes Greenland for 2018.</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92"/>
        </w:numPr>
        <w:rPr>
          <w:rFonts w:ascii="Arial" w:cs="Arial" w:eastAsia="Arial" w:hAnsi="Arial"/>
          <w:sz w:val="7"/>
          <w:szCs w:val="7"/>
          <w:color w:val="auto"/>
        </w:rPr>
      </w:pPr>
      <w:r>
        <w:rPr>
          <w:rFonts w:ascii="Arial" w:cs="Arial" w:eastAsia="Arial" w:hAnsi="Arial"/>
          <w:sz w:val="7"/>
          <w:szCs w:val="7"/>
          <w:color w:val="auto"/>
        </w:rPr>
        <w:t>Corrected from 6,289 Gross (1,915 Net)</w:t>
      </w:r>
    </w:p>
    <w:p>
      <w:pPr>
        <w:ind w:left="108" w:hanging="108"/>
        <w:spacing w:after="0"/>
        <w:tabs>
          <w:tab w:leader="none" w:pos="108" w:val="left"/>
        </w:tabs>
        <w:numPr>
          <w:ilvl w:val="0"/>
          <w:numId w:val="192"/>
        </w:numPr>
        <w:rPr>
          <w:rFonts w:ascii="Arial" w:cs="Arial" w:eastAsia="Arial" w:hAnsi="Arial"/>
          <w:sz w:val="7"/>
          <w:szCs w:val="7"/>
          <w:color w:val="auto"/>
        </w:rPr>
      </w:pPr>
      <w:r>
        <w:rPr>
          <w:rFonts w:ascii="Arial" w:cs="Arial" w:eastAsia="Arial" w:hAnsi="Arial"/>
          <w:sz w:val="7"/>
          <w:szCs w:val="7"/>
          <w:color w:val="auto"/>
        </w:rPr>
        <w:t>Corrected from 13,864 Gross (6,082 Net)</w:t>
      </w:r>
    </w:p>
    <w:p>
      <w:pPr>
        <w:ind w:left="128" w:hanging="128"/>
        <w:spacing w:after="0"/>
        <w:tabs>
          <w:tab w:leader="none" w:pos="128" w:val="left"/>
        </w:tabs>
        <w:numPr>
          <w:ilvl w:val="0"/>
          <w:numId w:val="192"/>
        </w:numPr>
        <w:rPr>
          <w:rFonts w:ascii="Arial" w:cs="Arial" w:eastAsia="Arial" w:hAnsi="Arial"/>
          <w:sz w:val="7"/>
          <w:szCs w:val="7"/>
          <w:color w:val="auto"/>
        </w:rPr>
      </w:pPr>
      <w:r>
        <w:rPr>
          <w:rFonts w:ascii="Arial" w:cs="Arial" w:eastAsia="Arial" w:hAnsi="Arial"/>
          <w:sz w:val="7"/>
          <w:szCs w:val="7"/>
          <w:color w:val="auto"/>
        </w:rPr>
        <w:t>Corrected from 14,385 Gross (6,540 Net)</w:t>
      </w:r>
    </w:p>
    <w:p>
      <w:pPr>
        <w:ind w:left="108" w:hanging="108"/>
        <w:spacing w:after="0"/>
        <w:tabs>
          <w:tab w:leader="none" w:pos="108" w:val="left"/>
        </w:tabs>
        <w:numPr>
          <w:ilvl w:val="0"/>
          <w:numId w:val="192"/>
        </w:numPr>
        <w:rPr>
          <w:rFonts w:ascii="Arial" w:cs="Arial" w:eastAsia="Arial" w:hAnsi="Arial"/>
          <w:sz w:val="7"/>
          <w:szCs w:val="7"/>
          <w:color w:val="auto"/>
        </w:rPr>
      </w:pPr>
      <w:r>
        <w:rPr>
          <w:rFonts w:ascii="Arial" w:cs="Arial" w:eastAsia="Arial" w:hAnsi="Arial"/>
          <w:sz w:val="7"/>
          <w:szCs w:val="7"/>
          <w:color w:val="auto"/>
        </w:rPr>
        <w:t>Corrected from 1,333 Gross (877 Net)</w:t>
      </w:r>
    </w:p>
    <w:p>
      <w:pPr>
        <w:ind w:left="108" w:hanging="108"/>
        <w:spacing w:after="0"/>
        <w:tabs>
          <w:tab w:leader="none" w:pos="108" w:val="left"/>
        </w:tabs>
        <w:numPr>
          <w:ilvl w:val="0"/>
          <w:numId w:val="192"/>
        </w:numPr>
        <w:rPr>
          <w:rFonts w:ascii="Arial" w:cs="Arial" w:eastAsia="Arial" w:hAnsi="Arial"/>
          <w:sz w:val="7"/>
          <w:szCs w:val="7"/>
          <w:color w:val="auto"/>
        </w:rPr>
      </w:pPr>
      <w:r>
        <w:rPr>
          <w:rFonts w:ascii="Arial" w:cs="Arial" w:eastAsia="Arial" w:hAnsi="Arial"/>
          <w:sz w:val="7"/>
          <w:szCs w:val="7"/>
          <w:color w:val="auto"/>
        </w:rPr>
        <w:t>Corrected from 2,489 Gross (1,917 Net)</w:t>
      </w:r>
    </w:p>
    <w:p>
      <w:pPr>
        <w:ind w:left="128" w:hanging="128"/>
        <w:spacing w:after="0"/>
        <w:tabs>
          <w:tab w:leader="none" w:pos="128" w:val="left"/>
        </w:tabs>
        <w:numPr>
          <w:ilvl w:val="0"/>
          <w:numId w:val="192"/>
        </w:numPr>
        <w:rPr>
          <w:rFonts w:ascii="Arial" w:cs="Arial" w:eastAsia="Arial" w:hAnsi="Arial"/>
          <w:sz w:val="7"/>
          <w:szCs w:val="7"/>
          <w:color w:val="auto"/>
        </w:rPr>
      </w:pPr>
      <w:r>
        <w:rPr>
          <w:rFonts w:ascii="Arial" w:cs="Arial" w:eastAsia="Arial" w:hAnsi="Arial"/>
          <w:sz w:val="7"/>
          <w:szCs w:val="7"/>
          <w:color w:val="auto"/>
        </w:rPr>
        <w:t>Corrected from 1,541 Gross (952 Net)</w:t>
      </w:r>
    </w:p>
    <w:p>
      <w:pPr>
        <w:ind w:left="128" w:hanging="128"/>
        <w:spacing w:after="0"/>
        <w:tabs>
          <w:tab w:leader="none" w:pos="128" w:val="left"/>
        </w:tabs>
        <w:numPr>
          <w:ilvl w:val="0"/>
          <w:numId w:val="192"/>
        </w:numPr>
        <w:rPr>
          <w:rFonts w:ascii="Arial" w:cs="Arial" w:eastAsia="Arial" w:hAnsi="Arial"/>
          <w:sz w:val="7"/>
          <w:szCs w:val="7"/>
          <w:color w:val="auto"/>
        </w:rPr>
      </w:pPr>
      <w:r>
        <w:rPr>
          <w:rFonts w:ascii="Arial" w:cs="Arial" w:eastAsia="Arial" w:hAnsi="Arial"/>
          <w:sz w:val="7"/>
          <w:szCs w:val="7"/>
          <w:color w:val="auto"/>
        </w:rPr>
        <w:t>Corrected from 1,635 Net</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color w:val="auto"/>
        </w:rPr>
        <w:t>Number of productive wells [A]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78040" cy="2286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6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2019</w:t>
            </w:r>
          </w:p>
        </w:tc>
        <w:tc>
          <w:tcPr>
            <w:tcW w:w="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2018</w:t>
            </w:r>
          </w:p>
        </w:tc>
        <w:tc>
          <w:tcPr>
            <w:tcW w:w="0" w:type="dxa"/>
            <w:vAlign w:val="bottom"/>
          </w:tcPr>
          <w:p>
            <w:pPr>
              <w:spacing w:after="0"/>
              <w:rPr>
                <w:sz w:val="1"/>
                <w:szCs w:val="1"/>
                <w:color w:val="auto"/>
              </w:rPr>
            </w:pPr>
          </w:p>
        </w:tc>
      </w:tr>
      <w:tr>
        <w:trPr>
          <w:trHeight w:val="104"/>
        </w:trPr>
        <w:tc>
          <w:tcPr>
            <w:tcW w:w="6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Oil</w:t>
            </w:r>
          </w:p>
        </w:tc>
        <w:tc>
          <w:tcPr>
            <w:tcW w:w="6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Gas</w:t>
            </w:r>
          </w:p>
        </w:tc>
        <w:tc>
          <w:tcPr>
            <w:tcW w:w="6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8"/>
                <w:szCs w:val="8"/>
                <w:color w:val="auto"/>
              </w:rPr>
              <w:t>Oil</w:t>
            </w:r>
          </w:p>
        </w:tc>
        <w:tc>
          <w:tcPr>
            <w:tcW w:w="5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Gas</w:t>
            </w:r>
          </w:p>
        </w:tc>
        <w:tc>
          <w:tcPr>
            <w:tcW w:w="3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rPr>
              <w:t>Oil</w:t>
            </w:r>
          </w:p>
        </w:tc>
        <w:tc>
          <w:tcPr>
            <w:tcW w:w="4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Gas</w:t>
            </w:r>
          </w:p>
        </w:tc>
        <w:tc>
          <w:tcPr>
            <w:tcW w:w="0" w:type="dxa"/>
            <w:vAlign w:val="bottom"/>
          </w:tcPr>
          <w:p>
            <w:pPr>
              <w:spacing w:after="0"/>
              <w:rPr>
                <w:sz w:val="1"/>
                <w:szCs w:val="1"/>
                <w:color w:val="auto"/>
              </w:rPr>
            </w:pPr>
          </w:p>
        </w:tc>
      </w:tr>
      <w:tr>
        <w:trPr>
          <w:trHeight w:val="106"/>
        </w:trPr>
        <w:tc>
          <w:tcPr>
            <w:tcW w:w="6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Gross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Net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Gross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Net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Gross</w:t>
            </w:r>
          </w:p>
        </w:tc>
        <w:tc>
          <w:tcPr>
            <w:tcW w:w="5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Net</w:t>
            </w:r>
          </w:p>
        </w:tc>
        <w:tc>
          <w:tcPr>
            <w:tcW w:w="5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Gross</w:t>
            </w:r>
          </w:p>
        </w:tc>
        <w:tc>
          <w:tcPr>
            <w:tcW w:w="4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Net</w:t>
            </w:r>
          </w:p>
        </w:tc>
        <w:tc>
          <w:tcPr>
            <w:tcW w:w="3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Gross</w:t>
            </w:r>
          </w:p>
        </w:tc>
        <w:tc>
          <w:tcPr>
            <w:tcW w:w="4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Net</w:t>
            </w:r>
          </w:p>
        </w:tc>
        <w:tc>
          <w:tcPr>
            <w:tcW w:w="4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Gross</w:t>
            </w:r>
          </w:p>
        </w:tc>
        <w:tc>
          <w:tcPr>
            <w:tcW w:w="6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Net</w:t>
            </w:r>
          </w:p>
        </w:tc>
        <w:tc>
          <w:tcPr>
            <w:tcW w:w="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20"/>
                <w:szCs w:val="20"/>
                <w:color w:val="auto"/>
              </w:rPr>
            </w:pPr>
            <w:r>
              <w:rPr>
                <w:rFonts w:ascii="Arial" w:cs="Arial" w:eastAsia="Arial" w:hAnsi="Arial"/>
                <w:sz w:val="8"/>
                <w:szCs w:val="8"/>
                <w:color w:val="auto"/>
              </w:rPr>
              <w:t>Europe</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814</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197</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1,055</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336</w:t>
            </w:r>
          </w:p>
        </w:tc>
        <w:tc>
          <w:tcPr>
            <w:tcW w:w="640" w:type="dxa"/>
            <w:vAlign w:val="bottom"/>
          </w:tcPr>
          <w:p>
            <w:pPr>
              <w:jc w:val="right"/>
              <w:spacing w:after="0"/>
              <w:rPr>
                <w:sz w:val="20"/>
                <w:szCs w:val="20"/>
                <w:color w:val="auto"/>
              </w:rPr>
            </w:pPr>
            <w:r>
              <w:rPr>
                <w:rFonts w:ascii="Arial" w:cs="Arial" w:eastAsia="Arial" w:hAnsi="Arial"/>
                <w:sz w:val="8"/>
                <w:szCs w:val="8"/>
                <w:color w:val="auto"/>
              </w:rPr>
              <w:t>894</w:t>
            </w:r>
          </w:p>
        </w:tc>
        <w:tc>
          <w:tcPr>
            <w:tcW w:w="540" w:type="dxa"/>
            <w:vAlign w:val="bottom"/>
          </w:tcPr>
          <w:p>
            <w:pPr>
              <w:jc w:val="right"/>
              <w:ind w:right="138"/>
              <w:spacing w:after="0"/>
              <w:rPr>
                <w:sz w:val="20"/>
                <w:szCs w:val="20"/>
                <w:color w:val="auto"/>
              </w:rPr>
            </w:pPr>
            <w:r>
              <w:rPr>
                <w:rFonts w:ascii="Arial" w:cs="Arial" w:eastAsia="Arial" w:hAnsi="Arial"/>
                <w:sz w:val="8"/>
                <w:szCs w:val="8"/>
                <w:color w:val="auto"/>
              </w:rPr>
              <w:t>[B]</w:t>
            </w:r>
          </w:p>
        </w:tc>
        <w:tc>
          <w:tcPr>
            <w:tcW w:w="460" w:type="dxa"/>
            <w:vAlign w:val="bottom"/>
          </w:tcPr>
          <w:p>
            <w:pPr>
              <w:jc w:val="right"/>
              <w:spacing w:after="0"/>
              <w:rPr>
                <w:sz w:val="20"/>
                <w:szCs w:val="20"/>
                <w:color w:val="auto"/>
              </w:rPr>
            </w:pPr>
            <w:r>
              <w:rPr>
                <w:rFonts w:ascii="Arial" w:cs="Arial" w:eastAsia="Arial" w:hAnsi="Arial"/>
                <w:sz w:val="8"/>
                <w:szCs w:val="8"/>
                <w:color w:val="auto"/>
              </w:rPr>
              <w:t>217</w:t>
            </w:r>
          </w:p>
        </w:tc>
        <w:tc>
          <w:tcPr>
            <w:tcW w:w="580" w:type="dxa"/>
            <w:vAlign w:val="bottom"/>
          </w:tcPr>
          <w:p>
            <w:pPr>
              <w:spacing w:after="0"/>
              <w:rPr>
                <w:sz w:val="8"/>
                <w:szCs w:val="8"/>
                <w:color w:val="auto"/>
              </w:rPr>
            </w:pPr>
          </w:p>
        </w:tc>
        <w:tc>
          <w:tcPr>
            <w:tcW w:w="560" w:type="dxa"/>
            <w:vAlign w:val="bottom"/>
          </w:tcPr>
          <w:p>
            <w:pPr>
              <w:jc w:val="right"/>
              <w:ind w:right="118"/>
              <w:spacing w:after="0"/>
              <w:rPr>
                <w:sz w:val="20"/>
                <w:szCs w:val="20"/>
                <w:color w:val="auto"/>
              </w:rPr>
            </w:pPr>
            <w:r>
              <w:rPr>
                <w:rFonts w:ascii="Arial" w:cs="Arial" w:eastAsia="Arial" w:hAnsi="Arial"/>
                <w:sz w:val="8"/>
                <w:szCs w:val="8"/>
                <w:color w:val="auto"/>
              </w:rPr>
              <w:t>1,095</w:t>
            </w:r>
          </w:p>
        </w:tc>
        <w:tc>
          <w:tcPr>
            <w:tcW w:w="460" w:type="dxa"/>
            <w:vAlign w:val="bottom"/>
          </w:tcPr>
          <w:p>
            <w:pPr>
              <w:jc w:val="right"/>
              <w:ind w:right="158"/>
              <w:spacing w:after="0"/>
              <w:rPr>
                <w:sz w:val="20"/>
                <w:szCs w:val="20"/>
                <w:color w:val="auto"/>
              </w:rPr>
            </w:pPr>
            <w:r>
              <w:rPr>
                <w:rFonts w:ascii="Arial" w:cs="Arial" w:eastAsia="Arial" w:hAnsi="Arial"/>
                <w:sz w:val="8"/>
                <w:szCs w:val="8"/>
                <w:color w:val="auto"/>
              </w:rPr>
              <w:t>[C]</w:t>
            </w:r>
          </w:p>
        </w:tc>
        <w:tc>
          <w:tcPr>
            <w:tcW w:w="520" w:type="dxa"/>
            <w:vAlign w:val="bottom"/>
          </w:tcPr>
          <w:p>
            <w:pPr>
              <w:jc w:val="right"/>
              <w:ind w:right="78"/>
              <w:spacing w:after="0"/>
              <w:rPr>
                <w:sz w:val="20"/>
                <w:szCs w:val="20"/>
                <w:color w:val="auto"/>
              </w:rPr>
            </w:pPr>
            <w:r>
              <w:rPr>
                <w:rFonts w:ascii="Arial" w:cs="Arial" w:eastAsia="Arial" w:hAnsi="Arial"/>
                <w:sz w:val="8"/>
                <w:szCs w:val="8"/>
                <w:color w:val="auto"/>
              </w:rPr>
              <w:t>345</w:t>
            </w:r>
          </w:p>
        </w:tc>
        <w:tc>
          <w:tcPr>
            <w:tcW w:w="380" w:type="dxa"/>
            <w:vAlign w:val="bottom"/>
          </w:tcPr>
          <w:p>
            <w:pPr>
              <w:spacing w:after="0"/>
              <w:rPr>
                <w:sz w:val="8"/>
                <w:szCs w:val="8"/>
                <w:color w:val="auto"/>
              </w:rPr>
            </w:pP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1,077</w:t>
            </w:r>
          </w:p>
        </w:tc>
        <w:tc>
          <w:tcPr>
            <w:tcW w:w="440" w:type="dxa"/>
            <w:vAlign w:val="bottom"/>
          </w:tcPr>
          <w:p>
            <w:pPr>
              <w:spacing w:after="0"/>
              <w:rPr>
                <w:sz w:val="8"/>
                <w:szCs w:val="8"/>
                <w:color w:val="auto"/>
              </w:rPr>
            </w:pP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277</w:t>
            </w:r>
          </w:p>
        </w:tc>
        <w:tc>
          <w:tcPr>
            <w:tcW w:w="4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1,205</w:t>
            </w:r>
          </w:p>
        </w:tc>
        <w:tc>
          <w:tcPr>
            <w:tcW w:w="640" w:type="dxa"/>
            <w:vAlign w:val="bottom"/>
          </w:tcPr>
          <w:p>
            <w:pPr>
              <w:ind w:left="20"/>
              <w:spacing w:after="0"/>
              <w:rPr>
                <w:sz w:val="20"/>
                <w:szCs w:val="20"/>
                <w:color w:val="auto"/>
              </w:rPr>
            </w:pPr>
            <w:r>
              <w:rPr>
                <w:rFonts w:ascii="Arial" w:cs="Arial" w:eastAsia="Arial" w:hAnsi="Arial"/>
                <w:sz w:val="8"/>
                <w:szCs w:val="8"/>
                <w:color w:val="auto"/>
              </w:rPr>
              <w:t>[D]</w:t>
            </w:r>
          </w:p>
        </w:tc>
        <w:tc>
          <w:tcPr>
            <w:tcW w:w="520" w:type="dxa"/>
            <w:vAlign w:val="bottom"/>
          </w:tcPr>
          <w:p>
            <w:pPr>
              <w:jc w:val="right"/>
              <w:ind w:right="78"/>
              <w:spacing w:after="0"/>
              <w:rPr>
                <w:sz w:val="20"/>
                <w:szCs w:val="20"/>
                <w:color w:val="auto"/>
              </w:rPr>
            </w:pPr>
            <w:r>
              <w:rPr>
                <w:rFonts w:ascii="Arial" w:cs="Arial" w:eastAsia="Arial" w:hAnsi="Arial"/>
                <w:sz w:val="8"/>
                <w:szCs w:val="8"/>
                <w:color w:val="auto"/>
              </w:rPr>
              <w:t>379</w:t>
            </w: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80" w:type="dxa"/>
            <w:vAlign w:val="bottom"/>
          </w:tcPr>
          <w:p>
            <w:pPr>
              <w:spacing w:after="0"/>
              <w:rPr>
                <w:sz w:val="20"/>
                <w:szCs w:val="20"/>
                <w:color w:val="auto"/>
              </w:rPr>
            </w:pPr>
            <w:r>
              <w:rPr>
                <w:rFonts w:ascii="Arial" w:cs="Arial" w:eastAsia="Arial" w:hAnsi="Arial"/>
                <w:sz w:val="8"/>
                <w:szCs w:val="8"/>
                <w:color w:val="auto"/>
              </w:rPr>
              <w:t>Asia</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8,505</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3,105</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342</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193</w:t>
            </w:r>
          </w:p>
        </w:tc>
        <w:tc>
          <w:tcPr>
            <w:tcW w:w="640" w:type="dxa"/>
            <w:vAlign w:val="bottom"/>
          </w:tcPr>
          <w:p>
            <w:pPr>
              <w:jc w:val="right"/>
              <w:spacing w:after="0"/>
              <w:rPr>
                <w:sz w:val="20"/>
                <w:szCs w:val="20"/>
                <w:color w:val="auto"/>
              </w:rPr>
            </w:pPr>
            <w:r>
              <w:rPr>
                <w:rFonts w:ascii="Arial" w:cs="Arial" w:eastAsia="Arial" w:hAnsi="Arial"/>
                <w:sz w:val="8"/>
                <w:szCs w:val="8"/>
                <w:color w:val="auto"/>
              </w:rPr>
              <w:t>7,860</w:t>
            </w:r>
          </w:p>
        </w:tc>
        <w:tc>
          <w:tcPr>
            <w:tcW w:w="540" w:type="dxa"/>
            <w:vAlign w:val="bottom"/>
          </w:tcPr>
          <w:p>
            <w:pPr>
              <w:jc w:val="right"/>
              <w:ind w:right="378"/>
              <w:spacing w:after="0"/>
              <w:rPr>
                <w:sz w:val="20"/>
                <w:szCs w:val="20"/>
                <w:color w:val="auto"/>
              </w:rPr>
            </w:pPr>
            <w:r>
              <w:rPr>
                <w:rFonts w:ascii="Arial" w:cs="Arial" w:eastAsia="Arial" w:hAnsi="Arial"/>
                <w:sz w:val="8"/>
                <w:szCs w:val="8"/>
                <w:color w:val="auto"/>
              </w:rPr>
              <w:t>[E]</w:t>
            </w:r>
          </w:p>
        </w:tc>
        <w:tc>
          <w:tcPr>
            <w:tcW w:w="460" w:type="dxa"/>
            <w:vAlign w:val="bottom"/>
          </w:tcPr>
          <w:p>
            <w:pPr>
              <w:jc w:val="right"/>
              <w:spacing w:after="0"/>
              <w:rPr>
                <w:sz w:val="20"/>
                <w:szCs w:val="20"/>
                <w:color w:val="auto"/>
              </w:rPr>
            </w:pPr>
            <w:r>
              <w:rPr>
                <w:rFonts w:ascii="Arial" w:cs="Arial" w:eastAsia="Arial" w:hAnsi="Arial"/>
                <w:sz w:val="8"/>
                <w:szCs w:val="8"/>
                <w:color w:val="auto"/>
              </w:rPr>
              <w:t>2,874</w:t>
            </w:r>
          </w:p>
        </w:tc>
        <w:tc>
          <w:tcPr>
            <w:tcW w:w="580" w:type="dxa"/>
            <w:vAlign w:val="bottom"/>
          </w:tcPr>
          <w:p>
            <w:pPr>
              <w:ind w:left="20"/>
              <w:spacing w:after="0"/>
              <w:rPr>
                <w:sz w:val="20"/>
                <w:szCs w:val="20"/>
                <w:color w:val="auto"/>
              </w:rPr>
            </w:pPr>
            <w:r>
              <w:rPr>
                <w:rFonts w:ascii="Arial" w:cs="Arial" w:eastAsia="Arial" w:hAnsi="Arial"/>
                <w:sz w:val="8"/>
                <w:szCs w:val="8"/>
                <w:color w:val="auto"/>
              </w:rPr>
              <w:t>[E]</w:t>
            </w:r>
          </w:p>
        </w:tc>
        <w:tc>
          <w:tcPr>
            <w:tcW w:w="560" w:type="dxa"/>
            <w:vAlign w:val="bottom"/>
          </w:tcPr>
          <w:p>
            <w:pPr>
              <w:jc w:val="right"/>
              <w:ind w:right="118"/>
              <w:spacing w:after="0"/>
              <w:rPr>
                <w:sz w:val="20"/>
                <w:szCs w:val="20"/>
                <w:color w:val="auto"/>
              </w:rPr>
            </w:pPr>
            <w:r>
              <w:rPr>
                <w:rFonts w:ascii="Arial" w:cs="Arial" w:eastAsia="Arial" w:hAnsi="Arial"/>
                <w:sz w:val="8"/>
                <w:szCs w:val="8"/>
                <w:color w:val="auto"/>
              </w:rPr>
              <w:t>336</w:t>
            </w:r>
          </w:p>
        </w:tc>
        <w:tc>
          <w:tcPr>
            <w:tcW w:w="460" w:type="dxa"/>
            <w:vAlign w:val="bottom"/>
          </w:tcPr>
          <w:p>
            <w:pPr>
              <w:spacing w:after="0"/>
              <w:rPr>
                <w:sz w:val="10"/>
                <w:szCs w:val="10"/>
                <w:color w:val="auto"/>
              </w:rPr>
            </w:pPr>
          </w:p>
        </w:tc>
        <w:tc>
          <w:tcPr>
            <w:tcW w:w="520" w:type="dxa"/>
            <w:vAlign w:val="bottom"/>
          </w:tcPr>
          <w:p>
            <w:pPr>
              <w:jc w:val="right"/>
              <w:ind w:right="78"/>
              <w:spacing w:after="0"/>
              <w:rPr>
                <w:sz w:val="20"/>
                <w:szCs w:val="20"/>
                <w:color w:val="auto"/>
              </w:rPr>
            </w:pPr>
            <w:r>
              <w:rPr>
                <w:rFonts w:ascii="Arial" w:cs="Arial" w:eastAsia="Arial" w:hAnsi="Arial"/>
                <w:sz w:val="8"/>
                <w:szCs w:val="8"/>
                <w:color w:val="auto"/>
              </w:rPr>
              <w:t>193</w:t>
            </w:r>
          </w:p>
        </w:tc>
        <w:tc>
          <w:tcPr>
            <w:tcW w:w="380" w:type="dxa"/>
            <w:vAlign w:val="bottom"/>
          </w:tcPr>
          <w:p>
            <w:pPr>
              <w:spacing w:after="0"/>
              <w:rPr>
                <w:sz w:val="10"/>
                <w:szCs w:val="10"/>
                <w:color w:val="auto"/>
              </w:rPr>
            </w:pP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7,449</w:t>
            </w:r>
          </w:p>
        </w:tc>
        <w:tc>
          <w:tcPr>
            <w:tcW w:w="440" w:type="dxa"/>
            <w:vAlign w:val="bottom"/>
          </w:tcPr>
          <w:p>
            <w:pPr>
              <w:jc w:val="right"/>
              <w:ind w:right="158"/>
              <w:spacing w:after="0"/>
              <w:rPr>
                <w:sz w:val="20"/>
                <w:szCs w:val="20"/>
                <w:color w:val="auto"/>
              </w:rPr>
            </w:pPr>
            <w:r>
              <w:rPr>
                <w:rFonts w:ascii="Arial" w:cs="Arial" w:eastAsia="Arial" w:hAnsi="Arial"/>
                <w:sz w:val="8"/>
                <w:szCs w:val="8"/>
                <w:color w:val="auto"/>
              </w:rPr>
              <w:t>[F]</w:t>
            </w: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2,728</w:t>
            </w:r>
          </w:p>
        </w:tc>
        <w:tc>
          <w:tcPr>
            <w:tcW w:w="4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331</w:t>
            </w:r>
          </w:p>
        </w:tc>
        <w:tc>
          <w:tcPr>
            <w:tcW w:w="640" w:type="dxa"/>
            <w:vAlign w:val="bottom"/>
          </w:tcPr>
          <w:p>
            <w:pPr>
              <w:spacing w:after="0"/>
              <w:rPr>
                <w:sz w:val="10"/>
                <w:szCs w:val="10"/>
                <w:color w:val="auto"/>
              </w:rPr>
            </w:pPr>
          </w:p>
        </w:tc>
        <w:tc>
          <w:tcPr>
            <w:tcW w:w="520" w:type="dxa"/>
            <w:vAlign w:val="bottom"/>
          </w:tcPr>
          <w:p>
            <w:pPr>
              <w:jc w:val="right"/>
              <w:ind w:right="78"/>
              <w:spacing w:after="0"/>
              <w:rPr>
                <w:sz w:val="20"/>
                <w:szCs w:val="20"/>
                <w:color w:val="auto"/>
              </w:rPr>
            </w:pPr>
            <w:r>
              <w:rPr>
                <w:rFonts w:ascii="Arial" w:cs="Arial" w:eastAsia="Arial" w:hAnsi="Arial"/>
                <w:sz w:val="8"/>
                <w:szCs w:val="8"/>
                <w:color w:val="auto"/>
              </w:rPr>
              <w:t>189</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80" w:type="dxa"/>
            <w:vAlign w:val="bottom"/>
          </w:tcPr>
          <w:p>
            <w:pPr>
              <w:spacing w:after="0"/>
              <w:rPr>
                <w:sz w:val="20"/>
                <w:szCs w:val="20"/>
                <w:color w:val="auto"/>
              </w:rPr>
            </w:pPr>
            <w:r>
              <w:rPr>
                <w:rFonts w:ascii="Arial" w:cs="Arial" w:eastAsia="Arial" w:hAnsi="Arial"/>
                <w:sz w:val="8"/>
                <w:szCs w:val="8"/>
                <w:color w:val="auto"/>
              </w:rPr>
              <w:t>Oceania</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3,394</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1,927</w:t>
            </w:r>
          </w:p>
        </w:tc>
        <w:tc>
          <w:tcPr>
            <w:tcW w:w="640" w:type="dxa"/>
            <w:vAlign w:val="bottom"/>
          </w:tcPr>
          <w:p>
            <w:pPr>
              <w:jc w:val="right"/>
              <w:spacing w:after="0"/>
              <w:rPr>
                <w:sz w:val="20"/>
                <w:szCs w:val="20"/>
                <w:color w:val="auto"/>
              </w:rPr>
            </w:pPr>
            <w:r>
              <w:rPr>
                <w:rFonts w:ascii="Arial" w:cs="Arial" w:eastAsia="Arial" w:hAnsi="Arial"/>
                <w:sz w:val="8"/>
                <w:szCs w:val="8"/>
                <w:color w:val="auto"/>
              </w:rPr>
              <w:t>—</w:t>
            </w:r>
          </w:p>
        </w:tc>
        <w:tc>
          <w:tcPr>
            <w:tcW w:w="5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580" w:type="dxa"/>
            <w:vAlign w:val="bottom"/>
          </w:tcPr>
          <w:p>
            <w:pPr>
              <w:spacing w:after="0"/>
              <w:rPr>
                <w:sz w:val="10"/>
                <w:szCs w:val="10"/>
                <w:color w:val="auto"/>
              </w:rPr>
            </w:pPr>
          </w:p>
        </w:tc>
        <w:tc>
          <w:tcPr>
            <w:tcW w:w="560" w:type="dxa"/>
            <w:vAlign w:val="bottom"/>
          </w:tcPr>
          <w:p>
            <w:pPr>
              <w:jc w:val="right"/>
              <w:ind w:right="118"/>
              <w:spacing w:after="0"/>
              <w:rPr>
                <w:sz w:val="20"/>
                <w:szCs w:val="20"/>
                <w:color w:val="auto"/>
              </w:rPr>
            </w:pPr>
            <w:r>
              <w:rPr>
                <w:rFonts w:ascii="Arial" w:cs="Arial" w:eastAsia="Arial" w:hAnsi="Arial"/>
                <w:sz w:val="8"/>
                <w:szCs w:val="8"/>
                <w:color w:val="auto"/>
              </w:rPr>
              <w:t>3,348</w:t>
            </w:r>
          </w:p>
        </w:tc>
        <w:tc>
          <w:tcPr>
            <w:tcW w:w="460" w:type="dxa"/>
            <w:vAlign w:val="bottom"/>
          </w:tcPr>
          <w:p>
            <w:pPr>
              <w:jc w:val="right"/>
              <w:ind w:right="158"/>
              <w:spacing w:after="0"/>
              <w:rPr>
                <w:sz w:val="20"/>
                <w:szCs w:val="20"/>
                <w:color w:val="auto"/>
              </w:rPr>
            </w:pPr>
            <w:r>
              <w:rPr>
                <w:rFonts w:ascii="Arial" w:cs="Arial" w:eastAsia="Arial" w:hAnsi="Arial"/>
                <w:sz w:val="8"/>
                <w:szCs w:val="8"/>
                <w:color w:val="auto"/>
              </w:rPr>
              <w:t>[G]</w:t>
            </w:r>
          </w:p>
        </w:tc>
        <w:tc>
          <w:tcPr>
            <w:tcW w:w="520" w:type="dxa"/>
            <w:vAlign w:val="bottom"/>
          </w:tcPr>
          <w:p>
            <w:pPr>
              <w:jc w:val="right"/>
              <w:ind w:right="78"/>
              <w:spacing w:after="0"/>
              <w:rPr>
                <w:sz w:val="20"/>
                <w:szCs w:val="20"/>
                <w:color w:val="auto"/>
              </w:rPr>
            </w:pPr>
            <w:r>
              <w:rPr>
                <w:rFonts w:ascii="Arial" w:cs="Arial" w:eastAsia="Arial" w:hAnsi="Arial"/>
                <w:sz w:val="8"/>
                <w:szCs w:val="8"/>
                <w:color w:val="auto"/>
              </w:rPr>
              <w:t>1,891</w:t>
            </w:r>
          </w:p>
        </w:tc>
        <w:tc>
          <w:tcPr>
            <w:tcW w:w="380" w:type="dxa"/>
            <w:vAlign w:val="bottom"/>
          </w:tcPr>
          <w:p>
            <w:pPr>
              <w:jc w:val="right"/>
              <w:ind w:right="164"/>
              <w:spacing w:after="0"/>
              <w:rPr>
                <w:sz w:val="20"/>
                <w:szCs w:val="20"/>
                <w:color w:val="auto"/>
              </w:rPr>
            </w:pPr>
            <w:r>
              <w:rPr>
                <w:rFonts w:ascii="Arial" w:cs="Arial" w:eastAsia="Arial" w:hAnsi="Arial"/>
                <w:sz w:val="7"/>
                <w:szCs w:val="7"/>
                <w:color w:val="auto"/>
              </w:rPr>
              <w:t>[G]</w:t>
            </w: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440" w:type="dxa"/>
            <w:vAlign w:val="bottom"/>
          </w:tcPr>
          <w:p>
            <w:pPr>
              <w:spacing w:after="0"/>
              <w:rPr>
                <w:sz w:val="10"/>
                <w:szCs w:val="10"/>
                <w:color w:val="auto"/>
              </w:rPr>
            </w:pP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4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3,411</w:t>
            </w:r>
          </w:p>
        </w:tc>
        <w:tc>
          <w:tcPr>
            <w:tcW w:w="640" w:type="dxa"/>
            <w:vAlign w:val="bottom"/>
          </w:tcPr>
          <w:p>
            <w:pPr>
              <w:spacing w:after="0"/>
              <w:rPr>
                <w:sz w:val="10"/>
                <w:szCs w:val="10"/>
                <w:color w:val="auto"/>
              </w:rPr>
            </w:pPr>
          </w:p>
        </w:tc>
        <w:tc>
          <w:tcPr>
            <w:tcW w:w="520" w:type="dxa"/>
            <w:vAlign w:val="bottom"/>
          </w:tcPr>
          <w:p>
            <w:pPr>
              <w:jc w:val="right"/>
              <w:ind w:right="78"/>
              <w:spacing w:after="0"/>
              <w:rPr>
                <w:sz w:val="20"/>
                <w:szCs w:val="20"/>
                <w:color w:val="auto"/>
              </w:rPr>
            </w:pPr>
            <w:r>
              <w:rPr>
                <w:rFonts w:ascii="Arial" w:cs="Arial" w:eastAsia="Arial" w:hAnsi="Arial"/>
                <w:sz w:val="8"/>
                <w:szCs w:val="8"/>
                <w:color w:val="auto"/>
              </w:rPr>
              <w:t>1,924</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80" w:type="dxa"/>
            <w:vAlign w:val="bottom"/>
          </w:tcPr>
          <w:p>
            <w:pPr>
              <w:spacing w:after="0"/>
              <w:rPr>
                <w:sz w:val="20"/>
                <w:szCs w:val="20"/>
                <w:color w:val="auto"/>
              </w:rPr>
            </w:pPr>
            <w:r>
              <w:rPr>
                <w:rFonts w:ascii="Arial" w:cs="Arial" w:eastAsia="Arial" w:hAnsi="Arial"/>
                <w:sz w:val="8"/>
                <w:szCs w:val="8"/>
                <w:color w:val="auto"/>
              </w:rPr>
              <w:t>Africa</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567</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235</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209</w:t>
            </w:r>
          </w:p>
        </w:tc>
        <w:tc>
          <w:tcPr>
            <w:tcW w:w="640" w:type="dxa"/>
            <w:vAlign w:val="bottom"/>
            <w:shd w:val="clear" w:color="auto" w:fill="D9D9D9"/>
          </w:tcPr>
          <w:p>
            <w:pPr>
              <w:jc w:val="right"/>
              <w:spacing w:after="0"/>
              <w:rPr>
                <w:sz w:val="20"/>
                <w:szCs w:val="20"/>
                <w:color w:val="auto"/>
              </w:rPr>
            </w:pPr>
            <w:r>
              <w:rPr>
                <w:rFonts w:ascii="Arial" w:cs="Arial" w:eastAsia="Arial" w:hAnsi="Arial"/>
                <w:sz w:val="8"/>
                <w:szCs w:val="8"/>
                <w:color w:val="auto"/>
              </w:rPr>
              <w:t>141</w:t>
            </w:r>
          </w:p>
        </w:tc>
        <w:tc>
          <w:tcPr>
            <w:tcW w:w="640" w:type="dxa"/>
            <w:vAlign w:val="bottom"/>
          </w:tcPr>
          <w:p>
            <w:pPr>
              <w:jc w:val="right"/>
              <w:spacing w:after="0"/>
              <w:rPr>
                <w:sz w:val="20"/>
                <w:szCs w:val="20"/>
                <w:color w:val="auto"/>
              </w:rPr>
            </w:pPr>
            <w:r>
              <w:rPr>
                <w:rFonts w:ascii="Arial" w:cs="Arial" w:eastAsia="Arial" w:hAnsi="Arial"/>
                <w:sz w:val="8"/>
                <w:szCs w:val="8"/>
                <w:color w:val="auto"/>
              </w:rPr>
              <w:t>514</w:t>
            </w:r>
          </w:p>
        </w:tc>
        <w:tc>
          <w:tcPr>
            <w:tcW w:w="5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206</w:t>
            </w:r>
          </w:p>
        </w:tc>
        <w:tc>
          <w:tcPr>
            <w:tcW w:w="580" w:type="dxa"/>
            <w:vAlign w:val="bottom"/>
          </w:tcPr>
          <w:p>
            <w:pPr>
              <w:spacing w:after="0"/>
              <w:rPr>
                <w:sz w:val="10"/>
                <w:szCs w:val="10"/>
                <w:color w:val="auto"/>
              </w:rPr>
            </w:pPr>
          </w:p>
        </w:tc>
        <w:tc>
          <w:tcPr>
            <w:tcW w:w="560" w:type="dxa"/>
            <w:vAlign w:val="bottom"/>
          </w:tcPr>
          <w:p>
            <w:pPr>
              <w:jc w:val="right"/>
              <w:ind w:right="118"/>
              <w:spacing w:after="0"/>
              <w:rPr>
                <w:sz w:val="20"/>
                <w:szCs w:val="20"/>
                <w:color w:val="auto"/>
              </w:rPr>
            </w:pPr>
            <w:r>
              <w:rPr>
                <w:rFonts w:ascii="Arial" w:cs="Arial" w:eastAsia="Arial" w:hAnsi="Arial"/>
                <w:sz w:val="8"/>
                <w:szCs w:val="8"/>
                <w:color w:val="auto"/>
              </w:rPr>
              <w:t>202</w:t>
            </w:r>
          </w:p>
        </w:tc>
        <w:tc>
          <w:tcPr>
            <w:tcW w:w="460" w:type="dxa"/>
            <w:vAlign w:val="bottom"/>
          </w:tcPr>
          <w:p>
            <w:pPr>
              <w:spacing w:after="0"/>
              <w:rPr>
                <w:sz w:val="10"/>
                <w:szCs w:val="10"/>
                <w:color w:val="auto"/>
              </w:rPr>
            </w:pPr>
          </w:p>
        </w:tc>
        <w:tc>
          <w:tcPr>
            <w:tcW w:w="520" w:type="dxa"/>
            <w:vAlign w:val="bottom"/>
          </w:tcPr>
          <w:p>
            <w:pPr>
              <w:jc w:val="right"/>
              <w:ind w:right="78"/>
              <w:spacing w:after="0"/>
              <w:rPr>
                <w:sz w:val="20"/>
                <w:szCs w:val="20"/>
                <w:color w:val="auto"/>
              </w:rPr>
            </w:pPr>
            <w:r>
              <w:rPr>
                <w:rFonts w:ascii="Arial" w:cs="Arial" w:eastAsia="Arial" w:hAnsi="Arial"/>
                <w:sz w:val="8"/>
                <w:szCs w:val="8"/>
                <w:color w:val="auto"/>
              </w:rPr>
              <w:t>139</w:t>
            </w:r>
          </w:p>
        </w:tc>
        <w:tc>
          <w:tcPr>
            <w:tcW w:w="380" w:type="dxa"/>
            <w:vAlign w:val="bottom"/>
          </w:tcPr>
          <w:p>
            <w:pPr>
              <w:spacing w:after="0"/>
              <w:rPr>
                <w:sz w:val="10"/>
                <w:szCs w:val="10"/>
                <w:color w:val="auto"/>
              </w:rPr>
            </w:pP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478</w:t>
            </w:r>
          </w:p>
        </w:tc>
        <w:tc>
          <w:tcPr>
            <w:tcW w:w="440" w:type="dxa"/>
            <w:vAlign w:val="bottom"/>
          </w:tcPr>
          <w:p>
            <w:pPr>
              <w:spacing w:after="0"/>
              <w:rPr>
                <w:sz w:val="10"/>
                <w:szCs w:val="10"/>
                <w:color w:val="auto"/>
              </w:rPr>
            </w:pP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189</w:t>
            </w:r>
          </w:p>
        </w:tc>
        <w:tc>
          <w:tcPr>
            <w:tcW w:w="4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195</w:t>
            </w:r>
          </w:p>
        </w:tc>
        <w:tc>
          <w:tcPr>
            <w:tcW w:w="640" w:type="dxa"/>
            <w:vAlign w:val="bottom"/>
          </w:tcPr>
          <w:p>
            <w:pPr>
              <w:spacing w:after="0"/>
              <w:rPr>
                <w:sz w:val="10"/>
                <w:szCs w:val="10"/>
                <w:color w:val="auto"/>
              </w:rPr>
            </w:pPr>
          </w:p>
        </w:tc>
        <w:tc>
          <w:tcPr>
            <w:tcW w:w="520" w:type="dxa"/>
            <w:vAlign w:val="bottom"/>
          </w:tcPr>
          <w:p>
            <w:pPr>
              <w:jc w:val="right"/>
              <w:ind w:right="78"/>
              <w:spacing w:after="0"/>
              <w:rPr>
                <w:sz w:val="20"/>
                <w:szCs w:val="20"/>
                <w:color w:val="auto"/>
              </w:rPr>
            </w:pPr>
            <w:r>
              <w:rPr>
                <w:rFonts w:ascii="Arial" w:cs="Arial" w:eastAsia="Arial" w:hAnsi="Arial"/>
                <w:sz w:val="8"/>
                <w:szCs w:val="8"/>
                <w:color w:val="auto"/>
              </w:rPr>
              <w:t>132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680" w:type="dxa"/>
            <w:vAlign w:val="bottom"/>
          </w:tcPr>
          <w:p>
            <w:pPr>
              <w:spacing w:after="0"/>
              <w:rPr>
                <w:sz w:val="20"/>
                <w:szCs w:val="20"/>
                <w:color w:val="auto"/>
              </w:rPr>
            </w:pPr>
            <w:r>
              <w:rPr>
                <w:rFonts w:ascii="Arial" w:cs="Arial" w:eastAsia="Arial" w:hAnsi="Arial"/>
                <w:sz w:val="8"/>
                <w:szCs w:val="8"/>
                <w:color w:val="auto"/>
              </w:rPr>
              <w:t>North America –</w:t>
            </w:r>
          </w:p>
        </w:tc>
        <w:tc>
          <w:tcPr>
            <w:tcW w:w="640" w:type="dxa"/>
            <w:vAlign w:val="bottom"/>
            <w:vMerge w:val="restart"/>
            <w:shd w:val="clear" w:color="auto" w:fill="D9D9D9"/>
          </w:tcPr>
          <w:p>
            <w:pPr>
              <w:jc w:val="right"/>
              <w:spacing w:after="0"/>
              <w:rPr>
                <w:sz w:val="20"/>
                <w:szCs w:val="20"/>
                <w:color w:val="auto"/>
              </w:rPr>
            </w:pPr>
            <w:r>
              <w:rPr>
                <w:rFonts w:ascii="Arial" w:cs="Arial" w:eastAsia="Arial" w:hAnsi="Arial"/>
                <w:sz w:val="8"/>
                <w:szCs w:val="8"/>
                <w:color w:val="auto"/>
              </w:rPr>
              <w:t>14,505</w:t>
            </w:r>
          </w:p>
        </w:tc>
        <w:tc>
          <w:tcPr>
            <w:tcW w:w="640" w:type="dxa"/>
            <w:vAlign w:val="bottom"/>
            <w:vMerge w:val="restart"/>
            <w:shd w:val="clear" w:color="auto" w:fill="D9D9D9"/>
          </w:tcPr>
          <w:p>
            <w:pPr>
              <w:jc w:val="right"/>
              <w:spacing w:after="0"/>
              <w:rPr>
                <w:sz w:val="20"/>
                <w:szCs w:val="20"/>
                <w:color w:val="auto"/>
              </w:rPr>
            </w:pPr>
            <w:r>
              <w:rPr>
                <w:rFonts w:ascii="Arial" w:cs="Arial" w:eastAsia="Arial" w:hAnsi="Arial"/>
                <w:sz w:val="8"/>
                <w:szCs w:val="8"/>
                <w:color w:val="auto"/>
              </w:rPr>
              <w:t>7,402</w:t>
            </w:r>
          </w:p>
        </w:tc>
        <w:tc>
          <w:tcPr>
            <w:tcW w:w="640" w:type="dxa"/>
            <w:vAlign w:val="bottom"/>
            <w:vMerge w:val="restart"/>
            <w:shd w:val="clear" w:color="auto" w:fill="D9D9D9"/>
          </w:tcPr>
          <w:p>
            <w:pPr>
              <w:jc w:val="right"/>
              <w:spacing w:after="0"/>
              <w:rPr>
                <w:sz w:val="20"/>
                <w:szCs w:val="20"/>
                <w:color w:val="auto"/>
              </w:rPr>
            </w:pPr>
            <w:r>
              <w:rPr>
                <w:rFonts w:ascii="Arial" w:cs="Arial" w:eastAsia="Arial" w:hAnsi="Arial"/>
                <w:sz w:val="8"/>
                <w:szCs w:val="8"/>
                <w:color w:val="auto"/>
              </w:rPr>
              <w:t>401</w:t>
            </w:r>
          </w:p>
        </w:tc>
        <w:tc>
          <w:tcPr>
            <w:tcW w:w="640" w:type="dxa"/>
            <w:vAlign w:val="bottom"/>
            <w:vMerge w:val="restart"/>
            <w:shd w:val="clear" w:color="auto" w:fill="D9D9D9"/>
          </w:tcPr>
          <w:p>
            <w:pPr>
              <w:jc w:val="right"/>
              <w:spacing w:after="0"/>
              <w:rPr>
                <w:sz w:val="20"/>
                <w:szCs w:val="20"/>
                <w:color w:val="auto"/>
              </w:rPr>
            </w:pPr>
            <w:r>
              <w:rPr>
                <w:rFonts w:ascii="Arial" w:cs="Arial" w:eastAsia="Arial" w:hAnsi="Arial"/>
                <w:sz w:val="8"/>
                <w:szCs w:val="8"/>
                <w:color w:val="auto"/>
              </w:rPr>
              <w:t>223</w:t>
            </w:r>
          </w:p>
        </w:tc>
        <w:tc>
          <w:tcPr>
            <w:tcW w:w="640" w:type="dxa"/>
            <w:vAlign w:val="bottom"/>
            <w:vMerge w:val="restart"/>
          </w:tcPr>
          <w:p>
            <w:pPr>
              <w:jc w:val="right"/>
              <w:spacing w:after="0"/>
              <w:rPr>
                <w:sz w:val="20"/>
                <w:szCs w:val="20"/>
                <w:color w:val="auto"/>
              </w:rPr>
            </w:pPr>
            <w:r>
              <w:rPr>
                <w:rFonts w:ascii="Arial" w:cs="Arial" w:eastAsia="Arial" w:hAnsi="Arial"/>
                <w:sz w:val="8"/>
                <w:szCs w:val="8"/>
                <w:color w:val="auto"/>
              </w:rPr>
              <w:t>14,953</w:t>
            </w:r>
          </w:p>
        </w:tc>
        <w:tc>
          <w:tcPr>
            <w:tcW w:w="540" w:type="dxa"/>
            <w:vAlign w:val="bottom"/>
            <w:vMerge w:val="restart"/>
          </w:tcPr>
          <w:p>
            <w:pPr>
              <w:jc w:val="right"/>
              <w:ind w:right="138"/>
              <w:spacing w:after="0"/>
              <w:rPr>
                <w:sz w:val="20"/>
                <w:szCs w:val="20"/>
                <w:color w:val="auto"/>
              </w:rPr>
            </w:pPr>
            <w:r>
              <w:rPr>
                <w:rFonts w:ascii="Arial" w:cs="Arial" w:eastAsia="Arial" w:hAnsi="Arial"/>
                <w:sz w:val="8"/>
                <w:szCs w:val="8"/>
                <w:color w:val="auto"/>
              </w:rPr>
              <w:t>[H]</w:t>
            </w:r>
          </w:p>
        </w:tc>
        <w:tc>
          <w:tcPr>
            <w:tcW w:w="460" w:type="dxa"/>
            <w:vAlign w:val="bottom"/>
            <w:vMerge w:val="restart"/>
          </w:tcPr>
          <w:p>
            <w:pPr>
              <w:jc w:val="right"/>
              <w:spacing w:after="0"/>
              <w:rPr>
                <w:sz w:val="20"/>
                <w:szCs w:val="20"/>
                <w:color w:val="auto"/>
              </w:rPr>
            </w:pPr>
            <w:r>
              <w:rPr>
                <w:rFonts w:ascii="Arial" w:cs="Arial" w:eastAsia="Arial" w:hAnsi="Arial"/>
                <w:sz w:val="8"/>
                <w:szCs w:val="8"/>
                <w:color w:val="auto"/>
              </w:rPr>
              <w:t>7,650</w:t>
            </w:r>
          </w:p>
        </w:tc>
        <w:tc>
          <w:tcPr>
            <w:tcW w:w="580" w:type="dxa"/>
            <w:vAlign w:val="bottom"/>
            <w:vMerge w:val="restart"/>
          </w:tcPr>
          <w:p>
            <w:pPr>
              <w:ind w:left="20"/>
              <w:spacing w:after="0"/>
              <w:rPr>
                <w:sz w:val="20"/>
                <w:szCs w:val="20"/>
                <w:color w:val="auto"/>
              </w:rPr>
            </w:pPr>
            <w:r>
              <w:rPr>
                <w:rFonts w:ascii="Arial" w:cs="Arial" w:eastAsia="Arial" w:hAnsi="Arial"/>
                <w:sz w:val="8"/>
                <w:szCs w:val="8"/>
                <w:color w:val="auto"/>
              </w:rPr>
              <w:t>[H]</w:t>
            </w:r>
          </w:p>
        </w:tc>
        <w:tc>
          <w:tcPr>
            <w:tcW w:w="560" w:type="dxa"/>
            <w:vAlign w:val="bottom"/>
            <w:vMerge w:val="restart"/>
          </w:tcPr>
          <w:p>
            <w:pPr>
              <w:jc w:val="right"/>
              <w:ind w:right="118"/>
              <w:spacing w:after="0"/>
              <w:rPr>
                <w:sz w:val="20"/>
                <w:szCs w:val="20"/>
                <w:color w:val="auto"/>
              </w:rPr>
            </w:pPr>
            <w:r>
              <w:rPr>
                <w:rFonts w:ascii="Arial" w:cs="Arial" w:eastAsia="Arial" w:hAnsi="Arial"/>
                <w:sz w:val="8"/>
                <w:szCs w:val="8"/>
                <w:color w:val="auto"/>
              </w:rPr>
              <w:t>824</w:t>
            </w:r>
          </w:p>
        </w:tc>
        <w:tc>
          <w:tcPr>
            <w:tcW w:w="460" w:type="dxa"/>
            <w:vAlign w:val="bottom"/>
            <w:vMerge w:val="restart"/>
          </w:tcPr>
          <w:p>
            <w:pPr>
              <w:jc w:val="right"/>
              <w:ind w:right="158"/>
              <w:spacing w:after="0"/>
              <w:rPr>
                <w:sz w:val="20"/>
                <w:szCs w:val="20"/>
                <w:color w:val="auto"/>
              </w:rPr>
            </w:pPr>
            <w:r>
              <w:rPr>
                <w:rFonts w:ascii="Arial" w:cs="Arial" w:eastAsia="Arial" w:hAnsi="Arial"/>
                <w:sz w:val="8"/>
                <w:szCs w:val="8"/>
                <w:color w:val="auto"/>
              </w:rPr>
              <w:t>[I]</w:t>
            </w:r>
          </w:p>
        </w:tc>
        <w:tc>
          <w:tcPr>
            <w:tcW w:w="520" w:type="dxa"/>
            <w:vAlign w:val="bottom"/>
            <w:vMerge w:val="restart"/>
          </w:tcPr>
          <w:p>
            <w:pPr>
              <w:jc w:val="right"/>
              <w:ind w:right="78"/>
              <w:spacing w:after="0"/>
              <w:rPr>
                <w:sz w:val="20"/>
                <w:szCs w:val="20"/>
                <w:color w:val="auto"/>
              </w:rPr>
            </w:pPr>
            <w:r>
              <w:rPr>
                <w:rFonts w:ascii="Arial" w:cs="Arial" w:eastAsia="Arial" w:hAnsi="Arial"/>
                <w:sz w:val="8"/>
                <w:szCs w:val="8"/>
                <w:color w:val="auto"/>
              </w:rPr>
              <w:t>518</w:t>
            </w:r>
          </w:p>
        </w:tc>
        <w:tc>
          <w:tcPr>
            <w:tcW w:w="380" w:type="dxa"/>
            <w:vAlign w:val="bottom"/>
          </w:tcPr>
          <w:p>
            <w:pPr>
              <w:spacing w:after="0"/>
              <w:rPr>
                <w:sz w:val="8"/>
                <w:szCs w:val="8"/>
                <w:color w:val="auto"/>
              </w:rPr>
            </w:pPr>
          </w:p>
        </w:tc>
        <w:tc>
          <w:tcPr>
            <w:tcW w:w="580" w:type="dxa"/>
            <w:vAlign w:val="bottom"/>
            <w:vMerge w:val="restart"/>
          </w:tcPr>
          <w:p>
            <w:pPr>
              <w:jc w:val="right"/>
              <w:ind w:right="118"/>
              <w:spacing w:after="0"/>
              <w:rPr>
                <w:sz w:val="20"/>
                <w:szCs w:val="20"/>
                <w:color w:val="auto"/>
              </w:rPr>
            </w:pPr>
            <w:r>
              <w:rPr>
                <w:rFonts w:ascii="Arial" w:cs="Arial" w:eastAsia="Arial" w:hAnsi="Arial"/>
                <w:sz w:val="8"/>
                <w:szCs w:val="8"/>
                <w:color w:val="auto"/>
              </w:rPr>
              <w:t>15,238</w:t>
            </w:r>
          </w:p>
        </w:tc>
        <w:tc>
          <w:tcPr>
            <w:tcW w:w="440" w:type="dxa"/>
            <w:vAlign w:val="bottom"/>
            <w:vMerge w:val="restart"/>
          </w:tcPr>
          <w:p>
            <w:pPr>
              <w:jc w:val="right"/>
              <w:ind w:right="158"/>
              <w:spacing w:after="0"/>
              <w:rPr>
                <w:sz w:val="20"/>
                <w:szCs w:val="20"/>
                <w:color w:val="auto"/>
              </w:rPr>
            </w:pPr>
            <w:r>
              <w:rPr>
                <w:rFonts w:ascii="Arial" w:cs="Arial" w:eastAsia="Arial" w:hAnsi="Arial"/>
                <w:sz w:val="8"/>
                <w:szCs w:val="8"/>
                <w:color w:val="auto"/>
              </w:rPr>
              <w:t>[J]</w:t>
            </w:r>
          </w:p>
        </w:tc>
        <w:tc>
          <w:tcPr>
            <w:tcW w:w="580" w:type="dxa"/>
            <w:vAlign w:val="bottom"/>
            <w:vMerge w:val="restart"/>
          </w:tcPr>
          <w:p>
            <w:pPr>
              <w:jc w:val="right"/>
              <w:ind w:right="118"/>
              <w:spacing w:after="0"/>
              <w:rPr>
                <w:sz w:val="20"/>
                <w:szCs w:val="20"/>
                <w:color w:val="auto"/>
              </w:rPr>
            </w:pPr>
            <w:r>
              <w:rPr>
                <w:rFonts w:ascii="Arial" w:cs="Arial" w:eastAsia="Arial" w:hAnsi="Arial"/>
                <w:sz w:val="8"/>
                <w:szCs w:val="8"/>
                <w:color w:val="auto"/>
              </w:rPr>
              <w:t>7,755</w:t>
            </w:r>
          </w:p>
        </w:tc>
        <w:tc>
          <w:tcPr>
            <w:tcW w:w="460" w:type="dxa"/>
            <w:vAlign w:val="bottom"/>
            <w:vMerge w:val="restart"/>
          </w:tcPr>
          <w:p>
            <w:pPr>
              <w:jc w:val="right"/>
              <w:ind w:right="178"/>
              <w:spacing w:after="0"/>
              <w:rPr>
                <w:sz w:val="20"/>
                <w:szCs w:val="20"/>
                <w:color w:val="auto"/>
              </w:rPr>
            </w:pPr>
            <w:r>
              <w:rPr>
                <w:rFonts w:ascii="Arial" w:cs="Arial" w:eastAsia="Arial" w:hAnsi="Arial"/>
                <w:sz w:val="8"/>
                <w:szCs w:val="8"/>
                <w:color w:val="auto"/>
              </w:rPr>
              <w:t>[J]</w:t>
            </w:r>
          </w:p>
        </w:tc>
        <w:tc>
          <w:tcPr>
            <w:tcW w:w="440" w:type="dxa"/>
            <w:vAlign w:val="bottom"/>
            <w:vMerge w:val="restart"/>
          </w:tcPr>
          <w:p>
            <w:pPr>
              <w:jc w:val="right"/>
              <w:spacing w:after="0"/>
              <w:rPr>
                <w:sz w:val="20"/>
                <w:szCs w:val="20"/>
                <w:color w:val="auto"/>
              </w:rPr>
            </w:pPr>
            <w:r>
              <w:rPr>
                <w:rFonts w:ascii="Arial" w:cs="Arial" w:eastAsia="Arial" w:hAnsi="Arial"/>
                <w:sz w:val="8"/>
                <w:szCs w:val="8"/>
                <w:color w:val="auto"/>
              </w:rPr>
              <w:t>1,481</w:t>
            </w:r>
          </w:p>
        </w:tc>
        <w:tc>
          <w:tcPr>
            <w:tcW w:w="640" w:type="dxa"/>
            <w:vAlign w:val="bottom"/>
            <w:vMerge w:val="restart"/>
          </w:tcPr>
          <w:p>
            <w:pPr>
              <w:ind w:left="300"/>
              <w:spacing w:after="0"/>
              <w:rPr>
                <w:sz w:val="20"/>
                <w:szCs w:val="20"/>
                <w:color w:val="auto"/>
              </w:rPr>
            </w:pPr>
            <w:r>
              <w:rPr>
                <w:rFonts w:ascii="Arial" w:cs="Arial" w:eastAsia="Arial" w:hAnsi="Arial"/>
                <w:sz w:val="8"/>
                <w:szCs w:val="8"/>
                <w:color w:val="auto"/>
              </w:rPr>
              <w:t>[K]</w:t>
            </w:r>
          </w:p>
        </w:tc>
        <w:tc>
          <w:tcPr>
            <w:tcW w:w="520" w:type="dxa"/>
            <w:vAlign w:val="bottom"/>
            <w:vMerge w:val="restart"/>
          </w:tcPr>
          <w:p>
            <w:pPr>
              <w:jc w:val="right"/>
              <w:ind w:right="78"/>
              <w:spacing w:after="0"/>
              <w:rPr>
                <w:sz w:val="20"/>
                <w:szCs w:val="20"/>
                <w:color w:val="auto"/>
              </w:rPr>
            </w:pPr>
            <w:r>
              <w:rPr>
                <w:rFonts w:ascii="Arial" w:cs="Arial" w:eastAsia="Arial" w:hAnsi="Arial"/>
                <w:sz w:val="8"/>
                <w:szCs w:val="8"/>
                <w:color w:val="auto"/>
              </w:rPr>
              <w:t>674</w:t>
            </w:r>
          </w:p>
        </w:tc>
        <w:tc>
          <w:tcPr>
            <w:tcW w:w="260" w:type="dxa"/>
            <w:vAlign w:val="bottom"/>
            <w:vMerge w:val="restart"/>
          </w:tcPr>
          <w:p>
            <w:pPr>
              <w:jc w:val="right"/>
              <w:spacing w:after="0"/>
              <w:rPr>
                <w:sz w:val="20"/>
                <w:szCs w:val="20"/>
                <w:color w:val="auto"/>
              </w:rPr>
            </w:pPr>
            <w:r>
              <w:rPr>
                <w:rFonts w:ascii="Arial" w:cs="Arial" w:eastAsia="Arial" w:hAnsi="Arial"/>
                <w:sz w:val="8"/>
                <w:szCs w:val="8"/>
                <w:color w:val="auto"/>
              </w:rPr>
              <w:t>[K]</w:t>
            </w:r>
          </w:p>
        </w:tc>
        <w:tc>
          <w:tcPr>
            <w:tcW w:w="0" w:type="dxa"/>
            <w:vAlign w:val="bottom"/>
          </w:tcPr>
          <w:p>
            <w:pPr>
              <w:spacing w:after="0"/>
              <w:rPr>
                <w:sz w:val="1"/>
                <w:szCs w:val="1"/>
                <w:color w:val="auto"/>
              </w:rPr>
            </w:pPr>
          </w:p>
        </w:tc>
      </w:tr>
      <w:tr>
        <w:trPr>
          <w:trHeight w:val="105"/>
        </w:trPr>
        <w:tc>
          <w:tcPr>
            <w:tcW w:w="680" w:type="dxa"/>
            <w:vAlign w:val="bottom"/>
          </w:tcPr>
          <w:p>
            <w:pPr>
              <w:ind w:left="20"/>
              <w:spacing w:after="0"/>
              <w:rPr>
                <w:sz w:val="20"/>
                <w:szCs w:val="20"/>
                <w:color w:val="auto"/>
              </w:rPr>
            </w:pPr>
            <w:r>
              <w:rPr>
                <w:rFonts w:ascii="Arial" w:cs="Arial" w:eastAsia="Arial" w:hAnsi="Arial"/>
                <w:sz w:val="8"/>
                <w:szCs w:val="8"/>
                <w:color w:val="auto"/>
              </w:rPr>
              <w:t>USA</w:t>
            </w:r>
          </w:p>
        </w:tc>
        <w:tc>
          <w:tcPr>
            <w:tcW w:w="640" w:type="dxa"/>
            <w:vAlign w:val="bottom"/>
            <w:vMerge w:val="continue"/>
            <w:shd w:val="clear" w:color="auto" w:fill="D9D9D9"/>
          </w:tcPr>
          <w:p>
            <w:pPr>
              <w:spacing w:after="0"/>
              <w:rPr>
                <w:sz w:val="9"/>
                <w:szCs w:val="9"/>
                <w:color w:val="auto"/>
              </w:rPr>
            </w:pPr>
          </w:p>
        </w:tc>
        <w:tc>
          <w:tcPr>
            <w:tcW w:w="640" w:type="dxa"/>
            <w:vAlign w:val="bottom"/>
            <w:vMerge w:val="continue"/>
            <w:shd w:val="clear" w:color="auto" w:fill="D9D9D9"/>
          </w:tcPr>
          <w:p>
            <w:pPr>
              <w:spacing w:after="0"/>
              <w:rPr>
                <w:sz w:val="9"/>
                <w:szCs w:val="9"/>
                <w:color w:val="auto"/>
              </w:rPr>
            </w:pPr>
          </w:p>
        </w:tc>
        <w:tc>
          <w:tcPr>
            <w:tcW w:w="640" w:type="dxa"/>
            <w:vAlign w:val="bottom"/>
            <w:vMerge w:val="continue"/>
            <w:shd w:val="clear" w:color="auto" w:fill="D9D9D9"/>
          </w:tcPr>
          <w:p>
            <w:pPr>
              <w:spacing w:after="0"/>
              <w:rPr>
                <w:sz w:val="9"/>
                <w:szCs w:val="9"/>
                <w:color w:val="auto"/>
              </w:rPr>
            </w:pPr>
          </w:p>
        </w:tc>
        <w:tc>
          <w:tcPr>
            <w:tcW w:w="640" w:type="dxa"/>
            <w:vAlign w:val="bottom"/>
            <w:vMerge w:val="continue"/>
            <w:shd w:val="clear" w:color="auto" w:fill="D9D9D9"/>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80" w:type="dxa"/>
            <w:vAlign w:val="bottom"/>
          </w:tcPr>
          <w:p>
            <w:pPr>
              <w:jc w:val="right"/>
              <w:ind w:right="164"/>
              <w:spacing w:after="0"/>
              <w:rPr>
                <w:sz w:val="20"/>
                <w:szCs w:val="20"/>
                <w:color w:val="auto"/>
              </w:rPr>
            </w:pPr>
            <w:r>
              <w:rPr>
                <w:rFonts w:ascii="Arial" w:cs="Arial" w:eastAsia="Arial" w:hAnsi="Arial"/>
                <w:sz w:val="7"/>
                <w:szCs w:val="7"/>
                <w:color w:val="auto"/>
              </w:rPr>
              <w:t>[I]</w:t>
            </w:r>
          </w:p>
        </w:tc>
        <w:tc>
          <w:tcPr>
            <w:tcW w:w="5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80" w:type="dxa"/>
            <w:vAlign w:val="bottom"/>
          </w:tcPr>
          <w:p>
            <w:pPr>
              <w:spacing w:after="0"/>
              <w:rPr>
                <w:sz w:val="20"/>
                <w:szCs w:val="20"/>
                <w:color w:val="auto"/>
              </w:rPr>
            </w:pPr>
            <w:r>
              <w:rPr>
                <w:rFonts w:ascii="Arial" w:cs="Arial" w:eastAsia="Arial" w:hAnsi="Arial"/>
                <w:sz w:val="8"/>
                <w:szCs w:val="8"/>
                <w:color w:val="auto"/>
              </w:rPr>
              <w:t>North America –</w:t>
            </w:r>
          </w:p>
        </w:tc>
        <w:tc>
          <w:tcPr>
            <w:tcW w:w="640" w:type="dxa"/>
            <w:vAlign w:val="bottom"/>
            <w:vMerge w:val="restart"/>
            <w:shd w:val="clear" w:color="auto" w:fill="D9D9D9"/>
          </w:tcPr>
          <w:p>
            <w:pPr>
              <w:jc w:val="right"/>
              <w:spacing w:after="0"/>
              <w:rPr>
                <w:sz w:val="20"/>
                <w:szCs w:val="20"/>
                <w:color w:val="auto"/>
              </w:rPr>
            </w:pPr>
            <w:r>
              <w:rPr>
                <w:rFonts w:ascii="Arial" w:cs="Arial" w:eastAsia="Arial" w:hAnsi="Arial"/>
                <w:sz w:val="8"/>
                <w:szCs w:val="8"/>
                <w:color w:val="auto"/>
              </w:rPr>
              <w:t>—</w:t>
            </w:r>
          </w:p>
        </w:tc>
        <w:tc>
          <w:tcPr>
            <w:tcW w:w="640" w:type="dxa"/>
            <w:vAlign w:val="bottom"/>
            <w:vMerge w:val="restart"/>
            <w:shd w:val="clear" w:color="auto" w:fill="D9D9D9"/>
          </w:tcPr>
          <w:p>
            <w:pPr>
              <w:jc w:val="right"/>
              <w:spacing w:after="0"/>
              <w:rPr>
                <w:sz w:val="20"/>
                <w:szCs w:val="20"/>
                <w:color w:val="auto"/>
              </w:rPr>
            </w:pPr>
            <w:r>
              <w:rPr>
                <w:rFonts w:ascii="Arial" w:cs="Arial" w:eastAsia="Arial" w:hAnsi="Arial"/>
                <w:sz w:val="8"/>
                <w:szCs w:val="8"/>
                <w:color w:val="auto"/>
              </w:rPr>
              <w:t>—</w:t>
            </w:r>
          </w:p>
        </w:tc>
        <w:tc>
          <w:tcPr>
            <w:tcW w:w="640" w:type="dxa"/>
            <w:vAlign w:val="bottom"/>
            <w:vMerge w:val="restart"/>
            <w:shd w:val="clear" w:color="auto" w:fill="D9D9D9"/>
          </w:tcPr>
          <w:p>
            <w:pPr>
              <w:jc w:val="right"/>
              <w:spacing w:after="0"/>
              <w:rPr>
                <w:sz w:val="20"/>
                <w:szCs w:val="20"/>
                <w:color w:val="auto"/>
              </w:rPr>
            </w:pPr>
            <w:r>
              <w:rPr>
                <w:rFonts w:ascii="Arial" w:cs="Arial" w:eastAsia="Arial" w:hAnsi="Arial"/>
                <w:sz w:val="8"/>
                <w:szCs w:val="8"/>
                <w:color w:val="auto"/>
              </w:rPr>
              <w:t>757</w:t>
            </w:r>
          </w:p>
        </w:tc>
        <w:tc>
          <w:tcPr>
            <w:tcW w:w="640" w:type="dxa"/>
            <w:vAlign w:val="bottom"/>
            <w:vMerge w:val="restart"/>
            <w:shd w:val="clear" w:color="auto" w:fill="D9D9D9"/>
          </w:tcPr>
          <w:p>
            <w:pPr>
              <w:jc w:val="right"/>
              <w:spacing w:after="0"/>
              <w:rPr>
                <w:sz w:val="20"/>
                <w:szCs w:val="20"/>
                <w:color w:val="auto"/>
              </w:rPr>
            </w:pPr>
            <w:r>
              <w:rPr>
                <w:rFonts w:ascii="Arial" w:cs="Arial" w:eastAsia="Arial" w:hAnsi="Arial"/>
                <w:sz w:val="8"/>
                <w:szCs w:val="8"/>
                <w:color w:val="auto"/>
              </w:rPr>
              <w:t>684</w:t>
            </w:r>
          </w:p>
        </w:tc>
        <w:tc>
          <w:tcPr>
            <w:tcW w:w="64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54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580" w:type="dxa"/>
            <w:vAlign w:val="bottom"/>
          </w:tcPr>
          <w:p>
            <w:pPr>
              <w:spacing w:after="0"/>
              <w:rPr>
                <w:sz w:val="8"/>
                <w:szCs w:val="8"/>
                <w:color w:val="auto"/>
              </w:rPr>
            </w:pPr>
          </w:p>
        </w:tc>
        <w:tc>
          <w:tcPr>
            <w:tcW w:w="560" w:type="dxa"/>
            <w:vAlign w:val="bottom"/>
            <w:vMerge w:val="restart"/>
          </w:tcPr>
          <w:p>
            <w:pPr>
              <w:jc w:val="right"/>
              <w:ind w:right="118"/>
              <w:spacing w:after="0"/>
              <w:rPr>
                <w:sz w:val="20"/>
                <w:szCs w:val="20"/>
                <w:color w:val="auto"/>
              </w:rPr>
            </w:pPr>
            <w:r>
              <w:rPr>
                <w:rFonts w:ascii="Arial" w:cs="Arial" w:eastAsia="Arial" w:hAnsi="Arial"/>
                <w:sz w:val="8"/>
                <w:szCs w:val="8"/>
                <w:color w:val="auto"/>
              </w:rPr>
              <w:t>748</w:t>
            </w:r>
          </w:p>
        </w:tc>
        <w:tc>
          <w:tcPr>
            <w:tcW w:w="460" w:type="dxa"/>
            <w:vAlign w:val="bottom"/>
          </w:tcPr>
          <w:p>
            <w:pPr>
              <w:spacing w:after="0"/>
              <w:rPr>
                <w:sz w:val="8"/>
                <w:szCs w:val="8"/>
                <w:color w:val="auto"/>
              </w:rPr>
            </w:pPr>
          </w:p>
        </w:tc>
        <w:tc>
          <w:tcPr>
            <w:tcW w:w="520" w:type="dxa"/>
            <w:vAlign w:val="bottom"/>
            <w:vMerge w:val="restart"/>
          </w:tcPr>
          <w:p>
            <w:pPr>
              <w:jc w:val="right"/>
              <w:ind w:right="78"/>
              <w:spacing w:after="0"/>
              <w:rPr>
                <w:sz w:val="20"/>
                <w:szCs w:val="20"/>
                <w:color w:val="auto"/>
              </w:rPr>
            </w:pPr>
            <w:r>
              <w:rPr>
                <w:rFonts w:ascii="Arial" w:cs="Arial" w:eastAsia="Arial" w:hAnsi="Arial"/>
                <w:sz w:val="8"/>
                <w:szCs w:val="8"/>
                <w:color w:val="auto"/>
              </w:rPr>
              <w:t>676</w:t>
            </w:r>
          </w:p>
        </w:tc>
        <w:tc>
          <w:tcPr>
            <w:tcW w:w="380" w:type="dxa"/>
            <w:vAlign w:val="bottom"/>
          </w:tcPr>
          <w:p>
            <w:pPr>
              <w:spacing w:after="0"/>
              <w:rPr>
                <w:sz w:val="8"/>
                <w:szCs w:val="8"/>
                <w:color w:val="auto"/>
              </w:rPr>
            </w:pPr>
          </w:p>
        </w:tc>
        <w:tc>
          <w:tcPr>
            <w:tcW w:w="580" w:type="dxa"/>
            <w:vAlign w:val="bottom"/>
            <w:vMerge w:val="restart"/>
          </w:tcPr>
          <w:p>
            <w:pPr>
              <w:jc w:val="right"/>
              <w:ind w:right="118"/>
              <w:spacing w:after="0"/>
              <w:rPr>
                <w:sz w:val="20"/>
                <w:szCs w:val="20"/>
                <w:color w:val="auto"/>
              </w:rPr>
            </w:pPr>
            <w:r>
              <w:rPr>
                <w:rFonts w:ascii="Arial" w:cs="Arial" w:eastAsia="Arial" w:hAnsi="Arial"/>
                <w:sz w:val="8"/>
                <w:szCs w:val="8"/>
                <w:color w:val="auto"/>
              </w:rPr>
              <w:t>1</w:t>
            </w:r>
          </w:p>
        </w:tc>
        <w:tc>
          <w:tcPr>
            <w:tcW w:w="440" w:type="dxa"/>
            <w:vAlign w:val="bottom"/>
          </w:tcPr>
          <w:p>
            <w:pPr>
              <w:spacing w:after="0"/>
              <w:rPr>
                <w:sz w:val="8"/>
                <w:szCs w:val="8"/>
                <w:color w:val="auto"/>
              </w:rPr>
            </w:pPr>
          </w:p>
        </w:tc>
        <w:tc>
          <w:tcPr>
            <w:tcW w:w="580" w:type="dxa"/>
            <w:vAlign w:val="bottom"/>
            <w:vMerge w:val="restart"/>
          </w:tcPr>
          <w:p>
            <w:pPr>
              <w:jc w:val="right"/>
              <w:ind w:right="118"/>
              <w:spacing w:after="0"/>
              <w:rPr>
                <w:sz w:val="20"/>
                <w:szCs w:val="20"/>
                <w:color w:val="auto"/>
              </w:rPr>
            </w:pPr>
            <w:r>
              <w:rPr>
                <w:rFonts w:ascii="Arial" w:cs="Arial" w:eastAsia="Arial" w:hAnsi="Arial"/>
                <w:sz w:val="8"/>
                <w:szCs w:val="8"/>
                <w:color w:val="auto"/>
              </w:rPr>
              <w:t>1</w:t>
            </w:r>
          </w:p>
        </w:tc>
        <w:tc>
          <w:tcPr>
            <w:tcW w:w="46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8"/>
                <w:szCs w:val="8"/>
                <w:color w:val="auto"/>
              </w:rPr>
              <w:t>936</w:t>
            </w:r>
          </w:p>
        </w:tc>
        <w:tc>
          <w:tcPr>
            <w:tcW w:w="640" w:type="dxa"/>
            <w:vAlign w:val="bottom"/>
          </w:tcPr>
          <w:p>
            <w:pPr>
              <w:spacing w:after="0"/>
              <w:rPr>
                <w:sz w:val="8"/>
                <w:szCs w:val="8"/>
                <w:color w:val="auto"/>
              </w:rPr>
            </w:pPr>
          </w:p>
        </w:tc>
        <w:tc>
          <w:tcPr>
            <w:tcW w:w="520" w:type="dxa"/>
            <w:vAlign w:val="bottom"/>
            <w:vMerge w:val="restart"/>
          </w:tcPr>
          <w:p>
            <w:pPr>
              <w:jc w:val="right"/>
              <w:ind w:right="78"/>
              <w:spacing w:after="0"/>
              <w:rPr>
                <w:sz w:val="20"/>
                <w:szCs w:val="20"/>
                <w:color w:val="auto"/>
              </w:rPr>
            </w:pPr>
            <w:r>
              <w:rPr>
                <w:rFonts w:ascii="Arial" w:cs="Arial" w:eastAsia="Arial" w:hAnsi="Arial"/>
                <w:sz w:val="8"/>
                <w:szCs w:val="8"/>
                <w:color w:val="auto"/>
              </w:rPr>
              <w:t>846</w:t>
            </w: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80" w:type="dxa"/>
            <w:vAlign w:val="bottom"/>
          </w:tcPr>
          <w:p>
            <w:pPr>
              <w:ind w:left="20"/>
              <w:spacing w:after="0"/>
              <w:rPr>
                <w:sz w:val="20"/>
                <w:szCs w:val="20"/>
                <w:color w:val="auto"/>
              </w:rPr>
            </w:pPr>
            <w:r>
              <w:rPr>
                <w:rFonts w:ascii="Arial" w:cs="Arial" w:eastAsia="Arial" w:hAnsi="Arial"/>
                <w:sz w:val="8"/>
                <w:szCs w:val="8"/>
                <w:color w:val="auto"/>
              </w:rPr>
              <w:t>Canada</w:t>
            </w:r>
          </w:p>
        </w:tc>
        <w:tc>
          <w:tcPr>
            <w:tcW w:w="640" w:type="dxa"/>
            <w:vAlign w:val="bottom"/>
            <w:vMerge w:val="continue"/>
            <w:shd w:val="clear" w:color="auto" w:fill="D9D9D9"/>
          </w:tcPr>
          <w:p>
            <w:pPr>
              <w:spacing w:after="0"/>
              <w:rPr>
                <w:sz w:val="9"/>
                <w:szCs w:val="9"/>
                <w:color w:val="auto"/>
              </w:rPr>
            </w:pPr>
          </w:p>
        </w:tc>
        <w:tc>
          <w:tcPr>
            <w:tcW w:w="640" w:type="dxa"/>
            <w:vAlign w:val="bottom"/>
            <w:vMerge w:val="continue"/>
            <w:shd w:val="clear" w:color="auto" w:fill="D9D9D9"/>
          </w:tcPr>
          <w:p>
            <w:pPr>
              <w:spacing w:after="0"/>
              <w:rPr>
                <w:sz w:val="9"/>
                <w:szCs w:val="9"/>
                <w:color w:val="auto"/>
              </w:rPr>
            </w:pPr>
          </w:p>
        </w:tc>
        <w:tc>
          <w:tcPr>
            <w:tcW w:w="640" w:type="dxa"/>
            <w:vAlign w:val="bottom"/>
            <w:vMerge w:val="continue"/>
            <w:shd w:val="clear" w:color="auto" w:fill="D9D9D9"/>
          </w:tcPr>
          <w:p>
            <w:pPr>
              <w:spacing w:after="0"/>
              <w:rPr>
                <w:sz w:val="9"/>
                <w:szCs w:val="9"/>
                <w:color w:val="auto"/>
              </w:rPr>
            </w:pPr>
          </w:p>
        </w:tc>
        <w:tc>
          <w:tcPr>
            <w:tcW w:w="640" w:type="dxa"/>
            <w:vAlign w:val="bottom"/>
            <w:vMerge w:val="continue"/>
            <w:shd w:val="clear" w:color="auto" w:fill="D9D9D9"/>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8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South America</w:t>
            </w:r>
          </w:p>
        </w:tc>
        <w:tc>
          <w:tcPr>
            <w:tcW w:w="6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179</w:t>
            </w:r>
          </w:p>
        </w:tc>
        <w:tc>
          <w:tcPr>
            <w:tcW w:w="6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82</w:t>
            </w:r>
          </w:p>
        </w:tc>
        <w:tc>
          <w:tcPr>
            <w:tcW w:w="6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63</w:t>
            </w:r>
          </w:p>
        </w:tc>
        <w:tc>
          <w:tcPr>
            <w:tcW w:w="6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37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137</w:t>
            </w:r>
          </w:p>
        </w:tc>
        <w:tc>
          <w:tcPr>
            <w:tcW w:w="5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63</w:t>
            </w:r>
          </w:p>
        </w:tc>
        <w:tc>
          <w:tcPr>
            <w:tcW w:w="5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58</w:t>
            </w:r>
          </w:p>
        </w:tc>
        <w:tc>
          <w:tcPr>
            <w:tcW w:w="4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36</w:t>
            </w:r>
          </w:p>
        </w:tc>
        <w:tc>
          <w:tcPr>
            <w:tcW w:w="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117</w:t>
            </w:r>
          </w:p>
        </w:tc>
        <w:tc>
          <w:tcPr>
            <w:tcW w:w="4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52</w:t>
            </w:r>
          </w:p>
        </w:tc>
        <w:tc>
          <w:tcPr>
            <w:tcW w:w="4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63</w:t>
            </w:r>
          </w:p>
        </w:tc>
        <w:tc>
          <w:tcPr>
            <w:tcW w:w="6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41</w:t>
            </w:r>
          </w:p>
        </w:tc>
        <w:tc>
          <w:tcPr>
            <w:tcW w:w="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8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Total</w:t>
            </w:r>
          </w:p>
        </w:tc>
        <w:tc>
          <w:tcPr>
            <w:tcW w:w="6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24,570</w:t>
            </w:r>
          </w:p>
        </w:tc>
        <w:tc>
          <w:tcPr>
            <w:tcW w:w="6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11,021</w:t>
            </w:r>
          </w:p>
        </w:tc>
        <w:tc>
          <w:tcPr>
            <w:tcW w:w="6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6,221</w:t>
            </w:r>
          </w:p>
        </w:tc>
        <w:tc>
          <w:tcPr>
            <w:tcW w:w="6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8"/>
                <w:szCs w:val="8"/>
                <w:color w:val="auto"/>
              </w:rPr>
              <w:t>3,541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24,358</w:t>
            </w:r>
          </w:p>
        </w:tc>
        <w:tc>
          <w:tcPr>
            <w:tcW w:w="5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11,010</w:t>
            </w:r>
          </w:p>
        </w:tc>
        <w:tc>
          <w:tcPr>
            <w:tcW w:w="5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6,611</w:t>
            </w:r>
          </w:p>
        </w:tc>
        <w:tc>
          <w:tcPr>
            <w:tcW w:w="4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3,798</w:t>
            </w:r>
          </w:p>
        </w:tc>
        <w:tc>
          <w:tcPr>
            <w:tcW w:w="3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24,360</w:t>
            </w:r>
          </w:p>
        </w:tc>
        <w:tc>
          <w:tcPr>
            <w:tcW w:w="4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11,002</w:t>
            </w:r>
          </w:p>
        </w:tc>
        <w:tc>
          <w:tcPr>
            <w:tcW w:w="4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7,622</w:t>
            </w:r>
          </w:p>
        </w:tc>
        <w:tc>
          <w:tcPr>
            <w:tcW w:w="6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4,185</w:t>
            </w:r>
          </w:p>
        </w:tc>
        <w:tc>
          <w:tcPr>
            <w:tcW w:w="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8" w:hanging="128"/>
        <w:spacing w:after="0"/>
        <w:tabs>
          <w:tab w:leader="none" w:pos="128" w:val="left"/>
        </w:tabs>
        <w:numPr>
          <w:ilvl w:val="0"/>
          <w:numId w:val="193"/>
        </w:numPr>
        <w:rPr>
          <w:rFonts w:ascii="Arial" w:cs="Arial" w:eastAsia="Arial" w:hAnsi="Arial"/>
          <w:sz w:val="7"/>
          <w:szCs w:val="7"/>
          <w:color w:val="auto"/>
        </w:rPr>
      </w:pPr>
      <w:r>
        <w:rPr>
          <w:rFonts w:ascii="Arial" w:cs="Arial" w:eastAsia="Arial" w:hAnsi="Arial"/>
          <w:sz w:val="7"/>
          <w:szCs w:val="7"/>
          <w:color w:val="auto"/>
        </w:rPr>
        <w:t>The number of productive wells with multiple completions at December 31, 2020, was 956 gross (416 Net); December 31, 2019: 950 Gross (418 net) corrected from 955 Gross, December 31, 2018: 1,055 Gross (454 net) corrected from 1,061 Gross</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93"/>
        </w:numPr>
        <w:rPr>
          <w:rFonts w:ascii="Arial" w:cs="Arial" w:eastAsia="Arial" w:hAnsi="Arial"/>
          <w:sz w:val="7"/>
          <w:szCs w:val="7"/>
          <w:color w:val="auto"/>
        </w:rPr>
      </w:pPr>
      <w:r>
        <w:rPr>
          <w:rFonts w:ascii="Arial" w:cs="Arial" w:eastAsia="Arial" w:hAnsi="Arial"/>
          <w:sz w:val="7"/>
          <w:szCs w:val="7"/>
          <w:color w:val="auto"/>
        </w:rPr>
        <w:t>Corrected from 893</w:t>
      </w:r>
    </w:p>
    <w:p>
      <w:pPr>
        <w:ind w:left="108" w:hanging="108"/>
        <w:spacing w:after="0"/>
        <w:tabs>
          <w:tab w:leader="none" w:pos="108" w:val="left"/>
        </w:tabs>
        <w:numPr>
          <w:ilvl w:val="0"/>
          <w:numId w:val="193"/>
        </w:numPr>
        <w:rPr>
          <w:rFonts w:ascii="Arial" w:cs="Arial" w:eastAsia="Arial" w:hAnsi="Arial"/>
          <w:sz w:val="7"/>
          <w:szCs w:val="7"/>
          <w:color w:val="auto"/>
        </w:rPr>
      </w:pPr>
      <w:r>
        <w:rPr>
          <w:rFonts w:ascii="Arial" w:cs="Arial" w:eastAsia="Arial" w:hAnsi="Arial"/>
          <w:sz w:val="7"/>
          <w:szCs w:val="7"/>
          <w:color w:val="auto"/>
        </w:rPr>
        <w:t>Corrected from 1,091 Gross</w:t>
      </w:r>
    </w:p>
    <w:p>
      <w:pPr>
        <w:ind w:left="128" w:hanging="128"/>
        <w:spacing w:after="0"/>
        <w:tabs>
          <w:tab w:leader="none" w:pos="128" w:val="left"/>
        </w:tabs>
        <w:numPr>
          <w:ilvl w:val="0"/>
          <w:numId w:val="193"/>
        </w:numPr>
        <w:rPr>
          <w:rFonts w:ascii="Arial" w:cs="Arial" w:eastAsia="Arial" w:hAnsi="Arial"/>
          <w:sz w:val="7"/>
          <w:szCs w:val="7"/>
          <w:color w:val="auto"/>
        </w:rPr>
      </w:pPr>
      <w:r>
        <w:rPr>
          <w:rFonts w:ascii="Arial" w:cs="Arial" w:eastAsia="Arial" w:hAnsi="Arial"/>
          <w:sz w:val="7"/>
          <w:szCs w:val="7"/>
          <w:color w:val="auto"/>
        </w:rPr>
        <w:t>Corrected from 1,201 Gross</w:t>
      </w:r>
    </w:p>
    <w:p>
      <w:pPr>
        <w:ind w:left="108" w:hanging="108"/>
        <w:spacing w:after="0"/>
        <w:tabs>
          <w:tab w:leader="none" w:pos="108" w:val="left"/>
        </w:tabs>
        <w:numPr>
          <w:ilvl w:val="0"/>
          <w:numId w:val="193"/>
        </w:numPr>
        <w:rPr>
          <w:rFonts w:ascii="Arial" w:cs="Arial" w:eastAsia="Arial" w:hAnsi="Arial"/>
          <w:sz w:val="7"/>
          <w:szCs w:val="7"/>
          <w:color w:val="auto"/>
        </w:rPr>
      </w:pPr>
      <w:r>
        <w:rPr>
          <w:rFonts w:ascii="Arial" w:cs="Arial" w:eastAsia="Arial" w:hAnsi="Arial"/>
          <w:sz w:val="7"/>
          <w:szCs w:val="7"/>
          <w:color w:val="auto"/>
        </w:rPr>
        <w:t>Corrected from 7,767 Gross (2,841 Net)</w:t>
      </w:r>
    </w:p>
    <w:p>
      <w:pPr>
        <w:ind w:left="108" w:hanging="108"/>
        <w:spacing w:after="0"/>
        <w:tabs>
          <w:tab w:leader="none" w:pos="108" w:val="left"/>
        </w:tabs>
        <w:numPr>
          <w:ilvl w:val="0"/>
          <w:numId w:val="193"/>
        </w:numPr>
        <w:rPr>
          <w:rFonts w:ascii="Arial" w:cs="Arial" w:eastAsia="Arial" w:hAnsi="Arial"/>
          <w:sz w:val="7"/>
          <w:szCs w:val="7"/>
          <w:color w:val="auto"/>
        </w:rPr>
      </w:pPr>
      <w:r>
        <w:rPr>
          <w:rFonts w:ascii="Arial" w:cs="Arial" w:eastAsia="Arial" w:hAnsi="Arial"/>
          <w:sz w:val="7"/>
          <w:szCs w:val="7"/>
          <w:color w:val="auto"/>
        </w:rPr>
        <w:t>Corrected from 7,455</w:t>
      </w:r>
    </w:p>
    <w:p>
      <w:pPr>
        <w:ind w:left="128" w:hanging="128"/>
        <w:spacing w:after="0"/>
        <w:tabs>
          <w:tab w:leader="none" w:pos="128" w:val="left"/>
        </w:tabs>
        <w:numPr>
          <w:ilvl w:val="0"/>
          <w:numId w:val="193"/>
        </w:numPr>
        <w:rPr>
          <w:rFonts w:ascii="Arial" w:cs="Arial" w:eastAsia="Arial" w:hAnsi="Arial"/>
          <w:sz w:val="7"/>
          <w:szCs w:val="7"/>
          <w:color w:val="auto"/>
        </w:rPr>
      </w:pPr>
      <w:r>
        <w:rPr>
          <w:rFonts w:ascii="Arial" w:cs="Arial" w:eastAsia="Arial" w:hAnsi="Arial"/>
          <w:sz w:val="7"/>
          <w:szCs w:val="7"/>
          <w:color w:val="auto"/>
        </w:rPr>
        <w:t>Corrected from 3,352 Gross (1,896 Net)</w:t>
      </w:r>
    </w:p>
    <w:p>
      <w:pPr>
        <w:ind w:left="128" w:hanging="128"/>
        <w:spacing w:after="0"/>
        <w:tabs>
          <w:tab w:leader="none" w:pos="128" w:val="left"/>
        </w:tabs>
        <w:numPr>
          <w:ilvl w:val="0"/>
          <w:numId w:val="193"/>
        </w:numPr>
        <w:rPr>
          <w:rFonts w:ascii="Arial" w:cs="Arial" w:eastAsia="Arial" w:hAnsi="Arial"/>
          <w:sz w:val="7"/>
          <w:szCs w:val="7"/>
          <w:color w:val="auto"/>
        </w:rPr>
      </w:pPr>
      <w:r>
        <w:rPr>
          <w:rFonts w:ascii="Arial" w:cs="Arial" w:eastAsia="Arial" w:hAnsi="Arial"/>
          <w:sz w:val="7"/>
          <w:szCs w:val="7"/>
          <w:color w:val="auto"/>
        </w:rPr>
        <w:t>Corrected from 14,935 Gross (7,638 Net)</w:t>
      </w:r>
    </w:p>
    <w:p>
      <w:pPr>
        <w:ind w:left="88" w:hanging="88"/>
        <w:spacing w:after="0"/>
        <w:tabs>
          <w:tab w:leader="none" w:pos="88" w:val="left"/>
        </w:tabs>
        <w:numPr>
          <w:ilvl w:val="0"/>
          <w:numId w:val="193"/>
        </w:numPr>
        <w:rPr>
          <w:rFonts w:ascii="Arial" w:cs="Arial" w:eastAsia="Arial" w:hAnsi="Arial"/>
          <w:sz w:val="7"/>
          <w:szCs w:val="7"/>
          <w:color w:val="auto"/>
        </w:rPr>
      </w:pPr>
      <w:r>
        <w:rPr>
          <w:rFonts w:ascii="Arial" w:cs="Arial" w:eastAsia="Arial" w:hAnsi="Arial"/>
          <w:sz w:val="7"/>
          <w:szCs w:val="7"/>
          <w:color w:val="auto"/>
        </w:rPr>
        <w:t>Corrected from 822 Gross (516 Net)</w:t>
      </w:r>
    </w:p>
    <w:p>
      <w:pPr>
        <w:ind w:left="88" w:hanging="88"/>
        <w:spacing w:after="0"/>
        <w:tabs>
          <w:tab w:leader="none" w:pos="88" w:val="left"/>
        </w:tabs>
        <w:numPr>
          <w:ilvl w:val="0"/>
          <w:numId w:val="193"/>
        </w:numPr>
        <w:rPr>
          <w:rFonts w:ascii="Arial" w:cs="Arial" w:eastAsia="Arial" w:hAnsi="Arial"/>
          <w:sz w:val="7"/>
          <w:szCs w:val="7"/>
          <w:color w:val="auto"/>
        </w:rPr>
      </w:pPr>
      <w:r>
        <w:rPr>
          <w:rFonts w:ascii="Arial" w:cs="Arial" w:eastAsia="Arial" w:hAnsi="Arial"/>
          <w:sz w:val="7"/>
          <w:szCs w:val="7"/>
          <w:color w:val="auto"/>
        </w:rPr>
        <w:t>Corrected from 15,224 Gross (7,745 Net)</w:t>
      </w:r>
    </w:p>
    <w:p>
      <w:pPr>
        <w:ind w:left="128" w:hanging="128"/>
        <w:spacing w:after="0"/>
        <w:tabs>
          <w:tab w:leader="none" w:pos="128" w:val="left"/>
        </w:tabs>
        <w:numPr>
          <w:ilvl w:val="0"/>
          <w:numId w:val="193"/>
        </w:numPr>
        <w:rPr>
          <w:rFonts w:ascii="Arial" w:cs="Arial" w:eastAsia="Arial" w:hAnsi="Arial"/>
          <w:sz w:val="7"/>
          <w:szCs w:val="7"/>
          <w:color w:val="auto"/>
        </w:rPr>
      </w:pPr>
      <w:r>
        <w:rPr>
          <w:rFonts w:ascii="Arial" w:cs="Arial" w:eastAsia="Arial" w:hAnsi="Arial"/>
          <w:sz w:val="7"/>
          <w:szCs w:val="7"/>
          <w:color w:val="auto"/>
        </w:rPr>
        <w:t>Corrected from 1,479 Gross (672 Net)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227</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35" w:right="299" w:bottom="1440" w:gutter="0" w:footer="0" w:header="0"/>
        </w:sectPr>
      </w:pPr>
    </w:p>
    <w:bookmarkStart w:id="230" w:name="page231"/>
    <w:bookmarkEnd w:id="230"/>
    <w:p>
      <w:pPr>
        <w:ind w:left="8"/>
        <w:spacing w:after="0"/>
        <w:rPr>
          <w:sz w:val="20"/>
          <w:szCs w:val="20"/>
          <w:color w:val="auto"/>
        </w:rPr>
      </w:pPr>
      <w:r>
        <w:rPr>
          <w:rFonts w:ascii="Arial" w:cs="Arial" w:eastAsia="Arial" w:hAnsi="Arial"/>
          <w:sz w:val="12"/>
          <w:szCs w:val="12"/>
          <w:color w:val="auto"/>
        </w:rPr>
        <w:t>Number of net productive wells and dry holes drilled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78040" cy="2286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52"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440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6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2019</w:t>
            </w:r>
          </w:p>
        </w:tc>
        <w:tc>
          <w:tcPr>
            <w:tcW w:w="14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7"/>
        </w:trPr>
        <w:tc>
          <w:tcPr>
            <w:tcW w:w="4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Productive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Dry</w:t>
            </w:r>
          </w:p>
        </w:tc>
        <w:tc>
          <w:tcPr>
            <w:tcW w:w="6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Productive</w:t>
            </w: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Dry</w:t>
            </w:r>
          </w:p>
        </w:tc>
        <w:tc>
          <w:tcPr>
            <w:tcW w:w="14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Productive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Dry</w:t>
            </w:r>
          </w:p>
        </w:tc>
      </w:tr>
      <w:tr>
        <w:trPr>
          <w:trHeight w:val="113"/>
        </w:trPr>
        <w:tc>
          <w:tcPr>
            <w:tcW w:w="4400" w:type="dxa"/>
            <w:vAlign w:val="bottom"/>
          </w:tcPr>
          <w:p>
            <w:pPr>
              <w:spacing w:after="0" w:line="113" w:lineRule="exact"/>
              <w:rPr>
                <w:sz w:val="20"/>
                <w:szCs w:val="20"/>
                <w:color w:val="auto"/>
              </w:rPr>
            </w:pPr>
            <w:r>
              <w:rPr>
                <w:rFonts w:ascii="Arial" w:cs="Arial" w:eastAsia="Arial" w:hAnsi="Arial"/>
                <w:sz w:val="10"/>
                <w:szCs w:val="10"/>
                <w:color w:val="auto"/>
              </w:rPr>
              <w:t>Exploratory [A]</w:t>
            </w:r>
          </w:p>
        </w:tc>
        <w:tc>
          <w:tcPr>
            <w:tcW w:w="1020" w:type="dxa"/>
            <w:vAlign w:val="bottom"/>
            <w:shd w:val="clear" w:color="auto" w:fill="D9D9D9"/>
          </w:tcPr>
          <w:p>
            <w:pPr>
              <w:spacing w:after="0"/>
              <w:rPr>
                <w:sz w:val="9"/>
                <w:szCs w:val="9"/>
                <w:color w:val="auto"/>
              </w:rPr>
            </w:pPr>
          </w:p>
        </w:tc>
        <w:tc>
          <w:tcPr>
            <w:tcW w:w="800" w:type="dxa"/>
            <w:vAlign w:val="bottom"/>
            <w:shd w:val="clear" w:color="auto" w:fill="D9D9D9"/>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23"/>
        </w:trPr>
        <w:tc>
          <w:tcPr>
            <w:tcW w:w="4400" w:type="dxa"/>
            <w:vAlign w:val="bottom"/>
          </w:tcPr>
          <w:p>
            <w:pPr>
              <w:ind w:left="140"/>
              <w:spacing w:after="0"/>
              <w:rPr>
                <w:sz w:val="20"/>
                <w:szCs w:val="20"/>
                <w:color w:val="auto"/>
              </w:rPr>
            </w:pPr>
            <w:r>
              <w:rPr>
                <w:rFonts w:ascii="Arial" w:cs="Arial" w:eastAsia="Arial" w:hAnsi="Arial"/>
                <w:sz w:val="10"/>
                <w:szCs w:val="10"/>
                <w:color w:val="auto"/>
              </w:rPr>
              <w:t>Europe</w:t>
            </w:r>
          </w:p>
        </w:tc>
        <w:tc>
          <w:tcPr>
            <w:tcW w:w="10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w:t>
            </w:r>
          </w:p>
        </w:tc>
        <w:tc>
          <w:tcPr>
            <w:tcW w:w="8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w:t>
            </w:r>
          </w:p>
        </w:tc>
        <w:tc>
          <w:tcPr>
            <w:tcW w:w="640" w:type="dxa"/>
            <w:vAlign w:val="bottom"/>
          </w:tcPr>
          <w:p>
            <w:pPr>
              <w:spacing w:after="0"/>
              <w:rPr>
                <w:sz w:val="10"/>
                <w:szCs w:val="10"/>
                <w:color w:val="auto"/>
              </w:rPr>
            </w:pP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0</w:t>
            </w: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4</w:t>
            </w:r>
          </w:p>
        </w:tc>
        <w:tc>
          <w:tcPr>
            <w:tcW w:w="1440" w:type="dxa"/>
            <w:vAlign w:val="bottom"/>
          </w:tcPr>
          <w:p>
            <w:pPr>
              <w:jc w:val="right"/>
              <w:ind w:right="512"/>
              <w:spacing w:after="0"/>
              <w:rPr>
                <w:sz w:val="20"/>
                <w:szCs w:val="20"/>
                <w:color w:val="auto"/>
              </w:rPr>
            </w:pPr>
            <w:r>
              <w:rPr>
                <w:rFonts w:ascii="Arial" w:cs="Arial" w:eastAsia="Arial" w:hAnsi="Arial"/>
                <w:sz w:val="10"/>
                <w:szCs w:val="10"/>
                <w:color w:val="auto"/>
              </w:rPr>
              <w:t>1</w:t>
            </w: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r>
      <w:tr>
        <w:trPr>
          <w:trHeight w:val="126"/>
        </w:trPr>
        <w:tc>
          <w:tcPr>
            <w:tcW w:w="4400" w:type="dxa"/>
            <w:vAlign w:val="bottom"/>
          </w:tcPr>
          <w:p>
            <w:pPr>
              <w:ind w:left="140"/>
              <w:spacing w:after="0"/>
              <w:rPr>
                <w:sz w:val="20"/>
                <w:szCs w:val="20"/>
                <w:color w:val="auto"/>
              </w:rPr>
            </w:pPr>
            <w:r>
              <w:rPr>
                <w:rFonts w:ascii="Arial" w:cs="Arial" w:eastAsia="Arial" w:hAnsi="Arial"/>
                <w:sz w:val="10"/>
                <w:szCs w:val="10"/>
                <w:color w:val="auto"/>
              </w:rPr>
              <w:t>Asia</w:t>
            </w:r>
          </w:p>
        </w:tc>
        <w:tc>
          <w:tcPr>
            <w:tcW w:w="10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10</w:t>
            </w:r>
          </w:p>
        </w:tc>
        <w:tc>
          <w:tcPr>
            <w:tcW w:w="8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8</w:t>
            </w:r>
          </w:p>
        </w:tc>
        <w:tc>
          <w:tcPr>
            <w:tcW w:w="640" w:type="dxa"/>
            <w:vAlign w:val="bottom"/>
          </w:tcPr>
          <w:p>
            <w:pPr>
              <w:spacing w:after="0"/>
              <w:rPr>
                <w:sz w:val="10"/>
                <w:szCs w:val="10"/>
                <w:color w:val="auto"/>
              </w:rPr>
            </w:pP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25</w:t>
            </w: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17</w:t>
            </w:r>
          </w:p>
        </w:tc>
        <w:tc>
          <w:tcPr>
            <w:tcW w:w="1440" w:type="dxa"/>
            <w:vAlign w:val="bottom"/>
          </w:tcPr>
          <w:p>
            <w:pPr>
              <w:jc w:val="right"/>
              <w:ind w:right="512"/>
              <w:spacing w:after="0"/>
              <w:rPr>
                <w:sz w:val="20"/>
                <w:szCs w:val="20"/>
                <w:color w:val="auto"/>
              </w:rPr>
            </w:pPr>
            <w:r>
              <w:rPr>
                <w:rFonts w:ascii="Arial" w:cs="Arial" w:eastAsia="Arial" w:hAnsi="Arial"/>
                <w:sz w:val="10"/>
                <w:szCs w:val="10"/>
                <w:color w:val="auto"/>
              </w:rPr>
              <w:t>22</w:t>
            </w:r>
          </w:p>
        </w:tc>
        <w:tc>
          <w:tcPr>
            <w:tcW w:w="760" w:type="dxa"/>
            <w:vAlign w:val="bottom"/>
          </w:tcPr>
          <w:p>
            <w:pPr>
              <w:jc w:val="right"/>
              <w:spacing w:after="0"/>
              <w:rPr>
                <w:sz w:val="20"/>
                <w:szCs w:val="20"/>
                <w:color w:val="auto"/>
              </w:rPr>
            </w:pPr>
            <w:r>
              <w:rPr>
                <w:rFonts w:ascii="Arial" w:cs="Arial" w:eastAsia="Arial" w:hAnsi="Arial"/>
                <w:sz w:val="10"/>
                <w:szCs w:val="10"/>
                <w:color w:val="auto"/>
              </w:rPr>
              <w:t>11</w:t>
            </w:r>
          </w:p>
        </w:tc>
      </w:tr>
      <w:tr>
        <w:trPr>
          <w:trHeight w:val="126"/>
        </w:trPr>
        <w:tc>
          <w:tcPr>
            <w:tcW w:w="4400" w:type="dxa"/>
            <w:vAlign w:val="bottom"/>
          </w:tcPr>
          <w:p>
            <w:pPr>
              <w:ind w:left="140"/>
              <w:spacing w:after="0"/>
              <w:rPr>
                <w:sz w:val="20"/>
                <w:szCs w:val="20"/>
                <w:color w:val="auto"/>
              </w:rPr>
            </w:pPr>
            <w:r>
              <w:rPr>
                <w:rFonts w:ascii="Arial" w:cs="Arial" w:eastAsia="Arial" w:hAnsi="Arial"/>
                <w:sz w:val="10"/>
                <w:szCs w:val="10"/>
                <w:color w:val="auto"/>
              </w:rPr>
              <w:t>Oceania</w:t>
            </w:r>
          </w:p>
        </w:tc>
        <w:tc>
          <w:tcPr>
            <w:tcW w:w="10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w:t>
            </w:r>
          </w:p>
        </w:tc>
        <w:tc>
          <w:tcPr>
            <w:tcW w:w="8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w:t>
            </w:r>
          </w:p>
        </w:tc>
        <w:tc>
          <w:tcPr>
            <w:tcW w:w="640" w:type="dxa"/>
            <w:vAlign w:val="bottom"/>
          </w:tcPr>
          <w:p>
            <w:pPr>
              <w:ind w:left="260"/>
              <w:spacing w:after="0"/>
              <w:rPr>
                <w:sz w:val="20"/>
                <w:szCs w:val="20"/>
                <w:color w:val="auto"/>
              </w:rPr>
            </w:pPr>
            <w:r>
              <w:rPr>
                <w:rFonts w:ascii="Arial" w:cs="Arial" w:eastAsia="Arial" w:hAnsi="Arial"/>
                <w:sz w:val="10"/>
                <w:szCs w:val="10"/>
                <w:color w:val="auto"/>
              </w:rPr>
              <w:t>[B]</w:t>
            </w: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0</w:t>
            </w: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2</w:t>
            </w:r>
          </w:p>
        </w:tc>
        <w:tc>
          <w:tcPr>
            <w:tcW w:w="1440" w:type="dxa"/>
            <w:vAlign w:val="bottom"/>
          </w:tcPr>
          <w:p>
            <w:pPr>
              <w:jc w:val="right"/>
              <w:ind w:right="512"/>
              <w:spacing w:after="0"/>
              <w:rPr>
                <w:sz w:val="20"/>
                <w:szCs w:val="20"/>
                <w:color w:val="auto"/>
              </w:rPr>
            </w:pPr>
            <w:r>
              <w:rPr>
                <w:rFonts w:ascii="Arial" w:cs="Arial" w:eastAsia="Arial" w:hAnsi="Arial"/>
                <w:sz w:val="10"/>
                <w:szCs w:val="10"/>
                <w:color w:val="auto"/>
              </w:rPr>
              <w:t>0</w:t>
            </w:r>
          </w:p>
        </w:tc>
        <w:tc>
          <w:tcPr>
            <w:tcW w:w="76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126"/>
        </w:trPr>
        <w:tc>
          <w:tcPr>
            <w:tcW w:w="4400" w:type="dxa"/>
            <w:vAlign w:val="bottom"/>
          </w:tcPr>
          <w:p>
            <w:pPr>
              <w:ind w:left="140"/>
              <w:spacing w:after="0"/>
              <w:rPr>
                <w:sz w:val="20"/>
                <w:szCs w:val="20"/>
                <w:color w:val="auto"/>
              </w:rPr>
            </w:pPr>
            <w:r>
              <w:rPr>
                <w:rFonts w:ascii="Arial" w:cs="Arial" w:eastAsia="Arial" w:hAnsi="Arial"/>
                <w:sz w:val="10"/>
                <w:szCs w:val="10"/>
                <w:color w:val="auto"/>
              </w:rPr>
              <w:t>Africa</w:t>
            </w:r>
          </w:p>
        </w:tc>
        <w:tc>
          <w:tcPr>
            <w:tcW w:w="10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w:t>
            </w:r>
          </w:p>
        </w:tc>
        <w:tc>
          <w:tcPr>
            <w:tcW w:w="8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w:t>
            </w:r>
          </w:p>
        </w:tc>
        <w:tc>
          <w:tcPr>
            <w:tcW w:w="640" w:type="dxa"/>
            <w:vAlign w:val="bottom"/>
          </w:tcPr>
          <w:p>
            <w:pPr>
              <w:spacing w:after="0"/>
              <w:rPr>
                <w:sz w:val="10"/>
                <w:szCs w:val="10"/>
                <w:color w:val="auto"/>
              </w:rPr>
            </w:pP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8</w:t>
            </w: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8</w:t>
            </w:r>
          </w:p>
        </w:tc>
        <w:tc>
          <w:tcPr>
            <w:tcW w:w="1440" w:type="dxa"/>
            <w:vAlign w:val="bottom"/>
          </w:tcPr>
          <w:p>
            <w:pPr>
              <w:jc w:val="right"/>
              <w:ind w:right="512"/>
              <w:spacing w:after="0"/>
              <w:rPr>
                <w:sz w:val="20"/>
                <w:szCs w:val="20"/>
                <w:color w:val="auto"/>
              </w:rPr>
            </w:pPr>
            <w:r>
              <w:rPr>
                <w:rFonts w:ascii="Arial" w:cs="Arial" w:eastAsia="Arial" w:hAnsi="Arial"/>
                <w:sz w:val="10"/>
                <w:szCs w:val="10"/>
                <w:color w:val="auto"/>
              </w:rPr>
              <w:t>6</w:t>
            </w:r>
          </w:p>
        </w:tc>
        <w:tc>
          <w:tcPr>
            <w:tcW w:w="760" w:type="dxa"/>
            <w:vAlign w:val="bottom"/>
          </w:tcPr>
          <w:p>
            <w:pPr>
              <w:jc w:val="right"/>
              <w:spacing w:after="0"/>
              <w:rPr>
                <w:sz w:val="20"/>
                <w:szCs w:val="20"/>
                <w:color w:val="auto"/>
              </w:rPr>
            </w:pPr>
            <w:r>
              <w:rPr>
                <w:rFonts w:ascii="Arial" w:cs="Arial" w:eastAsia="Arial" w:hAnsi="Arial"/>
                <w:sz w:val="10"/>
                <w:szCs w:val="10"/>
                <w:color w:val="auto"/>
              </w:rPr>
              <w:t>6</w:t>
            </w:r>
          </w:p>
        </w:tc>
      </w:tr>
      <w:tr>
        <w:trPr>
          <w:trHeight w:val="126"/>
        </w:trPr>
        <w:tc>
          <w:tcPr>
            <w:tcW w:w="4400" w:type="dxa"/>
            <w:vAlign w:val="bottom"/>
          </w:tcPr>
          <w:p>
            <w:pPr>
              <w:ind w:left="140"/>
              <w:spacing w:after="0"/>
              <w:rPr>
                <w:sz w:val="20"/>
                <w:szCs w:val="20"/>
                <w:color w:val="auto"/>
              </w:rPr>
            </w:pPr>
            <w:r>
              <w:rPr>
                <w:rFonts w:ascii="Arial" w:cs="Arial" w:eastAsia="Arial" w:hAnsi="Arial"/>
                <w:sz w:val="10"/>
                <w:szCs w:val="10"/>
                <w:color w:val="auto"/>
              </w:rPr>
              <w:t>North America - USA</w:t>
            </w:r>
          </w:p>
        </w:tc>
        <w:tc>
          <w:tcPr>
            <w:tcW w:w="10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57</w:t>
            </w:r>
          </w:p>
        </w:tc>
        <w:tc>
          <w:tcPr>
            <w:tcW w:w="8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81</w:t>
            </w:r>
          </w:p>
        </w:tc>
        <w:tc>
          <w:tcPr>
            <w:tcW w:w="640" w:type="dxa"/>
            <w:vAlign w:val="bottom"/>
          </w:tcPr>
          <w:p>
            <w:pPr>
              <w:ind w:left="260"/>
              <w:spacing w:after="0"/>
              <w:rPr>
                <w:sz w:val="20"/>
                <w:szCs w:val="20"/>
                <w:color w:val="auto"/>
              </w:rPr>
            </w:pPr>
            <w:r>
              <w:rPr>
                <w:rFonts w:ascii="Arial" w:cs="Arial" w:eastAsia="Arial" w:hAnsi="Arial"/>
                <w:sz w:val="10"/>
                <w:szCs w:val="10"/>
                <w:color w:val="auto"/>
              </w:rPr>
              <w:t>[C]</w:t>
            </w: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89</w:t>
            </w: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9</w:t>
            </w:r>
          </w:p>
        </w:tc>
        <w:tc>
          <w:tcPr>
            <w:tcW w:w="1440" w:type="dxa"/>
            <w:vAlign w:val="bottom"/>
          </w:tcPr>
          <w:p>
            <w:pPr>
              <w:jc w:val="right"/>
              <w:ind w:right="512"/>
              <w:spacing w:after="0"/>
              <w:rPr>
                <w:sz w:val="20"/>
                <w:szCs w:val="20"/>
                <w:color w:val="auto"/>
              </w:rPr>
            </w:pPr>
            <w:r>
              <w:rPr>
                <w:rFonts w:ascii="Arial" w:cs="Arial" w:eastAsia="Arial" w:hAnsi="Arial"/>
                <w:sz w:val="10"/>
                <w:szCs w:val="10"/>
                <w:color w:val="auto"/>
              </w:rPr>
              <w:t>104</w:t>
            </w:r>
          </w:p>
        </w:tc>
        <w:tc>
          <w:tcPr>
            <w:tcW w:w="760" w:type="dxa"/>
            <w:vAlign w:val="bottom"/>
          </w:tcPr>
          <w:p>
            <w:pPr>
              <w:jc w:val="right"/>
              <w:spacing w:after="0"/>
              <w:rPr>
                <w:sz w:val="20"/>
                <w:szCs w:val="20"/>
                <w:color w:val="auto"/>
              </w:rPr>
            </w:pPr>
            <w:r>
              <w:rPr>
                <w:rFonts w:ascii="Arial" w:cs="Arial" w:eastAsia="Arial" w:hAnsi="Arial"/>
                <w:sz w:val="10"/>
                <w:szCs w:val="10"/>
                <w:color w:val="auto"/>
              </w:rPr>
              <w:t>4</w:t>
            </w:r>
          </w:p>
        </w:tc>
      </w:tr>
      <w:tr>
        <w:trPr>
          <w:trHeight w:val="126"/>
        </w:trPr>
        <w:tc>
          <w:tcPr>
            <w:tcW w:w="4400" w:type="dxa"/>
            <w:vAlign w:val="bottom"/>
          </w:tcPr>
          <w:p>
            <w:pPr>
              <w:ind w:left="140"/>
              <w:spacing w:after="0"/>
              <w:rPr>
                <w:sz w:val="20"/>
                <w:szCs w:val="20"/>
                <w:color w:val="auto"/>
              </w:rPr>
            </w:pPr>
            <w:r>
              <w:rPr>
                <w:rFonts w:ascii="Arial" w:cs="Arial" w:eastAsia="Arial" w:hAnsi="Arial"/>
                <w:sz w:val="10"/>
                <w:szCs w:val="10"/>
                <w:color w:val="auto"/>
              </w:rPr>
              <w:t>North America - Canada</w:t>
            </w:r>
          </w:p>
        </w:tc>
        <w:tc>
          <w:tcPr>
            <w:tcW w:w="10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17</w:t>
            </w:r>
          </w:p>
        </w:tc>
        <w:tc>
          <w:tcPr>
            <w:tcW w:w="8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w:t>
            </w:r>
          </w:p>
        </w:tc>
        <w:tc>
          <w:tcPr>
            <w:tcW w:w="640" w:type="dxa"/>
            <w:vAlign w:val="bottom"/>
          </w:tcPr>
          <w:p>
            <w:pPr>
              <w:spacing w:after="0"/>
              <w:rPr>
                <w:sz w:val="10"/>
                <w:szCs w:val="10"/>
                <w:color w:val="auto"/>
              </w:rPr>
            </w:pP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24</w:t>
            </w: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0</w:t>
            </w:r>
          </w:p>
        </w:tc>
        <w:tc>
          <w:tcPr>
            <w:tcW w:w="1440" w:type="dxa"/>
            <w:vAlign w:val="bottom"/>
          </w:tcPr>
          <w:p>
            <w:pPr>
              <w:jc w:val="right"/>
              <w:ind w:right="512"/>
              <w:spacing w:after="0"/>
              <w:rPr>
                <w:sz w:val="20"/>
                <w:szCs w:val="20"/>
                <w:color w:val="auto"/>
              </w:rPr>
            </w:pPr>
            <w:r>
              <w:rPr>
                <w:rFonts w:ascii="Arial" w:cs="Arial" w:eastAsia="Arial" w:hAnsi="Arial"/>
                <w:sz w:val="10"/>
                <w:szCs w:val="10"/>
                <w:color w:val="auto"/>
              </w:rPr>
              <w:t>14</w:t>
            </w:r>
          </w:p>
        </w:tc>
        <w:tc>
          <w:tcPr>
            <w:tcW w:w="76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130"/>
        </w:trPr>
        <w:tc>
          <w:tcPr>
            <w:tcW w:w="440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South America</w:t>
            </w:r>
          </w:p>
        </w:tc>
        <w:tc>
          <w:tcPr>
            <w:tcW w:w="10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5</w:t>
            </w:r>
          </w:p>
        </w:tc>
        <w:tc>
          <w:tcPr>
            <w:tcW w:w="8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w:t>
            </w:r>
          </w:p>
        </w:tc>
        <w:tc>
          <w:tcPr>
            <w:tcW w:w="6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8</w:t>
            </w: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1</w:t>
            </w:r>
          </w:p>
        </w:tc>
        <w:tc>
          <w:tcPr>
            <w:tcW w:w="14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w:t>
            </w:r>
          </w:p>
        </w:tc>
      </w:tr>
      <w:tr>
        <w:trPr>
          <w:trHeight w:val="117"/>
        </w:trPr>
        <w:tc>
          <w:tcPr>
            <w:tcW w:w="44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0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94</w:t>
            </w:r>
          </w:p>
        </w:tc>
        <w:tc>
          <w:tcPr>
            <w:tcW w:w="8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107</w:t>
            </w:r>
          </w:p>
        </w:tc>
        <w:tc>
          <w:tcPr>
            <w:tcW w:w="6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154</w:t>
            </w: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41</w:t>
            </w:r>
          </w:p>
        </w:tc>
        <w:tc>
          <w:tcPr>
            <w:tcW w:w="14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153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w:t>
            </w:r>
          </w:p>
        </w:tc>
      </w:tr>
      <w:tr>
        <w:trPr>
          <w:trHeight w:val="113"/>
        </w:trPr>
        <w:tc>
          <w:tcPr>
            <w:tcW w:w="4400" w:type="dxa"/>
            <w:vAlign w:val="bottom"/>
          </w:tcPr>
          <w:p>
            <w:pPr>
              <w:spacing w:after="0" w:line="113" w:lineRule="exact"/>
              <w:rPr>
                <w:sz w:val="20"/>
                <w:szCs w:val="20"/>
                <w:color w:val="auto"/>
              </w:rPr>
            </w:pPr>
            <w:r>
              <w:rPr>
                <w:rFonts w:ascii="Arial" w:cs="Arial" w:eastAsia="Arial" w:hAnsi="Arial"/>
                <w:sz w:val="10"/>
                <w:szCs w:val="10"/>
                <w:color w:val="auto"/>
              </w:rPr>
              <w:t>Development</w:t>
            </w:r>
          </w:p>
        </w:tc>
        <w:tc>
          <w:tcPr>
            <w:tcW w:w="1020" w:type="dxa"/>
            <w:vAlign w:val="bottom"/>
            <w:shd w:val="clear" w:color="auto" w:fill="D9D9D9"/>
          </w:tcPr>
          <w:p>
            <w:pPr>
              <w:spacing w:after="0"/>
              <w:rPr>
                <w:sz w:val="9"/>
                <w:szCs w:val="9"/>
                <w:color w:val="auto"/>
              </w:rPr>
            </w:pPr>
          </w:p>
        </w:tc>
        <w:tc>
          <w:tcPr>
            <w:tcW w:w="800" w:type="dxa"/>
            <w:vAlign w:val="bottom"/>
            <w:shd w:val="clear" w:color="auto" w:fill="D9D9D9"/>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23"/>
        </w:trPr>
        <w:tc>
          <w:tcPr>
            <w:tcW w:w="4400" w:type="dxa"/>
            <w:vAlign w:val="bottom"/>
          </w:tcPr>
          <w:p>
            <w:pPr>
              <w:ind w:left="140"/>
              <w:spacing w:after="0"/>
              <w:rPr>
                <w:sz w:val="20"/>
                <w:szCs w:val="20"/>
                <w:color w:val="auto"/>
              </w:rPr>
            </w:pPr>
            <w:r>
              <w:rPr>
                <w:rFonts w:ascii="Arial" w:cs="Arial" w:eastAsia="Arial" w:hAnsi="Arial"/>
                <w:sz w:val="10"/>
                <w:szCs w:val="10"/>
                <w:color w:val="auto"/>
              </w:rPr>
              <w:t>Europe</w:t>
            </w:r>
          </w:p>
        </w:tc>
        <w:tc>
          <w:tcPr>
            <w:tcW w:w="10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w:t>
            </w:r>
          </w:p>
        </w:tc>
        <w:tc>
          <w:tcPr>
            <w:tcW w:w="8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w:t>
            </w:r>
          </w:p>
        </w:tc>
        <w:tc>
          <w:tcPr>
            <w:tcW w:w="640" w:type="dxa"/>
            <w:vAlign w:val="bottom"/>
          </w:tcPr>
          <w:p>
            <w:pPr>
              <w:spacing w:after="0"/>
              <w:rPr>
                <w:sz w:val="10"/>
                <w:szCs w:val="10"/>
                <w:color w:val="auto"/>
              </w:rPr>
            </w:pP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4</w:t>
            </w: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1</w:t>
            </w:r>
          </w:p>
        </w:tc>
        <w:tc>
          <w:tcPr>
            <w:tcW w:w="1440" w:type="dxa"/>
            <w:vAlign w:val="bottom"/>
          </w:tcPr>
          <w:p>
            <w:pPr>
              <w:jc w:val="right"/>
              <w:ind w:right="512"/>
              <w:spacing w:after="0"/>
              <w:rPr>
                <w:sz w:val="20"/>
                <w:szCs w:val="20"/>
                <w:color w:val="auto"/>
              </w:rPr>
            </w:pPr>
            <w:r>
              <w:rPr>
                <w:rFonts w:ascii="Arial" w:cs="Arial" w:eastAsia="Arial" w:hAnsi="Arial"/>
                <w:sz w:val="10"/>
                <w:szCs w:val="10"/>
                <w:color w:val="auto"/>
              </w:rPr>
              <w:t>4</w:t>
            </w:r>
          </w:p>
        </w:tc>
        <w:tc>
          <w:tcPr>
            <w:tcW w:w="76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126"/>
        </w:trPr>
        <w:tc>
          <w:tcPr>
            <w:tcW w:w="4400" w:type="dxa"/>
            <w:vAlign w:val="bottom"/>
          </w:tcPr>
          <w:p>
            <w:pPr>
              <w:ind w:left="140"/>
              <w:spacing w:after="0"/>
              <w:rPr>
                <w:sz w:val="20"/>
                <w:szCs w:val="20"/>
                <w:color w:val="auto"/>
              </w:rPr>
            </w:pPr>
            <w:r>
              <w:rPr>
                <w:rFonts w:ascii="Arial" w:cs="Arial" w:eastAsia="Arial" w:hAnsi="Arial"/>
                <w:sz w:val="10"/>
                <w:szCs w:val="10"/>
                <w:color w:val="auto"/>
              </w:rPr>
              <w:t>Asia</w:t>
            </w:r>
          </w:p>
        </w:tc>
        <w:tc>
          <w:tcPr>
            <w:tcW w:w="10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169</w:t>
            </w:r>
          </w:p>
        </w:tc>
        <w:tc>
          <w:tcPr>
            <w:tcW w:w="8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w:t>
            </w:r>
          </w:p>
        </w:tc>
        <w:tc>
          <w:tcPr>
            <w:tcW w:w="640" w:type="dxa"/>
            <w:vAlign w:val="bottom"/>
          </w:tcPr>
          <w:p>
            <w:pPr>
              <w:spacing w:after="0"/>
              <w:rPr>
                <w:sz w:val="10"/>
                <w:szCs w:val="10"/>
                <w:color w:val="auto"/>
              </w:rPr>
            </w:pP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182</w:t>
            </w: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0</w:t>
            </w:r>
          </w:p>
        </w:tc>
        <w:tc>
          <w:tcPr>
            <w:tcW w:w="1440" w:type="dxa"/>
            <w:vAlign w:val="bottom"/>
          </w:tcPr>
          <w:p>
            <w:pPr>
              <w:jc w:val="right"/>
              <w:ind w:right="512"/>
              <w:spacing w:after="0"/>
              <w:rPr>
                <w:sz w:val="20"/>
                <w:szCs w:val="20"/>
                <w:color w:val="auto"/>
              </w:rPr>
            </w:pPr>
            <w:r>
              <w:rPr>
                <w:rFonts w:ascii="Arial" w:cs="Arial" w:eastAsia="Arial" w:hAnsi="Arial"/>
                <w:sz w:val="10"/>
                <w:szCs w:val="10"/>
                <w:color w:val="auto"/>
              </w:rPr>
              <w:t>198</w:t>
            </w:r>
          </w:p>
        </w:tc>
        <w:tc>
          <w:tcPr>
            <w:tcW w:w="76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126"/>
        </w:trPr>
        <w:tc>
          <w:tcPr>
            <w:tcW w:w="4400" w:type="dxa"/>
            <w:vAlign w:val="bottom"/>
          </w:tcPr>
          <w:p>
            <w:pPr>
              <w:ind w:left="140"/>
              <w:spacing w:after="0"/>
              <w:rPr>
                <w:sz w:val="20"/>
                <w:szCs w:val="20"/>
                <w:color w:val="auto"/>
              </w:rPr>
            </w:pPr>
            <w:r>
              <w:rPr>
                <w:rFonts w:ascii="Arial" w:cs="Arial" w:eastAsia="Arial" w:hAnsi="Arial"/>
                <w:sz w:val="10"/>
                <w:szCs w:val="10"/>
                <w:color w:val="auto"/>
              </w:rPr>
              <w:t>Oceania</w:t>
            </w:r>
          </w:p>
        </w:tc>
        <w:tc>
          <w:tcPr>
            <w:tcW w:w="10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22</w:t>
            </w:r>
          </w:p>
        </w:tc>
        <w:tc>
          <w:tcPr>
            <w:tcW w:w="8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w:t>
            </w:r>
          </w:p>
        </w:tc>
        <w:tc>
          <w:tcPr>
            <w:tcW w:w="640" w:type="dxa"/>
            <w:vAlign w:val="bottom"/>
          </w:tcPr>
          <w:p>
            <w:pPr>
              <w:spacing w:after="0"/>
              <w:rPr>
                <w:sz w:val="10"/>
                <w:szCs w:val="10"/>
                <w:color w:val="auto"/>
              </w:rPr>
            </w:pP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16</w:t>
            </w: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0</w:t>
            </w:r>
          </w:p>
        </w:tc>
        <w:tc>
          <w:tcPr>
            <w:tcW w:w="1440" w:type="dxa"/>
            <w:vAlign w:val="bottom"/>
          </w:tcPr>
          <w:p>
            <w:pPr>
              <w:jc w:val="right"/>
              <w:ind w:right="512"/>
              <w:spacing w:after="0"/>
              <w:rPr>
                <w:sz w:val="20"/>
                <w:szCs w:val="20"/>
                <w:color w:val="auto"/>
              </w:rPr>
            </w:pPr>
            <w:r>
              <w:rPr>
                <w:rFonts w:ascii="Arial" w:cs="Arial" w:eastAsia="Arial" w:hAnsi="Arial"/>
                <w:sz w:val="10"/>
                <w:szCs w:val="10"/>
                <w:color w:val="auto"/>
              </w:rPr>
              <w:t>54</w:t>
            </w:r>
          </w:p>
        </w:tc>
        <w:tc>
          <w:tcPr>
            <w:tcW w:w="76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126"/>
        </w:trPr>
        <w:tc>
          <w:tcPr>
            <w:tcW w:w="4400" w:type="dxa"/>
            <w:vAlign w:val="bottom"/>
          </w:tcPr>
          <w:p>
            <w:pPr>
              <w:ind w:left="140"/>
              <w:spacing w:after="0"/>
              <w:rPr>
                <w:sz w:val="20"/>
                <w:szCs w:val="20"/>
                <w:color w:val="auto"/>
              </w:rPr>
            </w:pPr>
            <w:r>
              <w:rPr>
                <w:rFonts w:ascii="Arial" w:cs="Arial" w:eastAsia="Arial" w:hAnsi="Arial"/>
                <w:sz w:val="10"/>
                <w:szCs w:val="10"/>
                <w:color w:val="auto"/>
              </w:rPr>
              <w:t>Africa</w:t>
            </w:r>
          </w:p>
        </w:tc>
        <w:tc>
          <w:tcPr>
            <w:tcW w:w="10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19</w:t>
            </w:r>
          </w:p>
        </w:tc>
        <w:tc>
          <w:tcPr>
            <w:tcW w:w="8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w:t>
            </w:r>
          </w:p>
        </w:tc>
        <w:tc>
          <w:tcPr>
            <w:tcW w:w="640" w:type="dxa"/>
            <w:vAlign w:val="bottom"/>
          </w:tcPr>
          <w:p>
            <w:pPr>
              <w:spacing w:after="0"/>
              <w:rPr>
                <w:sz w:val="10"/>
                <w:szCs w:val="10"/>
                <w:color w:val="auto"/>
              </w:rPr>
            </w:pP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34</w:t>
            </w: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0</w:t>
            </w:r>
          </w:p>
        </w:tc>
        <w:tc>
          <w:tcPr>
            <w:tcW w:w="1440" w:type="dxa"/>
            <w:vAlign w:val="bottom"/>
          </w:tcPr>
          <w:p>
            <w:pPr>
              <w:jc w:val="right"/>
              <w:ind w:right="512"/>
              <w:spacing w:after="0"/>
              <w:rPr>
                <w:sz w:val="20"/>
                <w:szCs w:val="20"/>
                <w:color w:val="auto"/>
              </w:rPr>
            </w:pPr>
            <w:r>
              <w:rPr>
                <w:rFonts w:ascii="Arial" w:cs="Arial" w:eastAsia="Arial" w:hAnsi="Arial"/>
                <w:sz w:val="10"/>
                <w:szCs w:val="10"/>
                <w:color w:val="auto"/>
              </w:rPr>
              <w:t>24</w:t>
            </w:r>
          </w:p>
        </w:tc>
        <w:tc>
          <w:tcPr>
            <w:tcW w:w="76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26"/>
        </w:trPr>
        <w:tc>
          <w:tcPr>
            <w:tcW w:w="4400" w:type="dxa"/>
            <w:vAlign w:val="bottom"/>
          </w:tcPr>
          <w:p>
            <w:pPr>
              <w:ind w:left="140"/>
              <w:spacing w:after="0"/>
              <w:rPr>
                <w:sz w:val="20"/>
                <w:szCs w:val="20"/>
                <w:color w:val="auto"/>
              </w:rPr>
            </w:pPr>
            <w:r>
              <w:rPr>
                <w:rFonts w:ascii="Arial" w:cs="Arial" w:eastAsia="Arial" w:hAnsi="Arial"/>
                <w:sz w:val="10"/>
                <w:szCs w:val="10"/>
                <w:color w:val="auto"/>
              </w:rPr>
              <w:t>North America - USA</w:t>
            </w:r>
          </w:p>
        </w:tc>
        <w:tc>
          <w:tcPr>
            <w:tcW w:w="10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110</w:t>
            </w:r>
          </w:p>
        </w:tc>
        <w:tc>
          <w:tcPr>
            <w:tcW w:w="8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w:t>
            </w:r>
          </w:p>
        </w:tc>
        <w:tc>
          <w:tcPr>
            <w:tcW w:w="640" w:type="dxa"/>
            <w:vAlign w:val="bottom"/>
          </w:tcPr>
          <w:p>
            <w:pPr>
              <w:spacing w:after="0"/>
              <w:rPr>
                <w:sz w:val="10"/>
                <w:szCs w:val="10"/>
                <w:color w:val="auto"/>
              </w:rPr>
            </w:pP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280</w:t>
            </w: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5</w:t>
            </w:r>
          </w:p>
        </w:tc>
        <w:tc>
          <w:tcPr>
            <w:tcW w:w="1440" w:type="dxa"/>
            <w:vAlign w:val="bottom"/>
          </w:tcPr>
          <w:p>
            <w:pPr>
              <w:jc w:val="right"/>
              <w:ind w:right="512"/>
              <w:spacing w:after="0"/>
              <w:rPr>
                <w:sz w:val="20"/>
                <w:szCs w:val="20"/>
                <w:color w:val="auto"/>
              </w:rPr>
            </w:pPr>
            <w:r>
              <w:rPr>
                <w:rFonts w:ascii="Arial" w:cs="Arial" w:eastAsia="Arial" w:hAnsi="Arial"/>
                <w:sz w:val="10"/>
                <w:szCs w:val="10"/>
                <w:color w:val="auto"/>
              </w:rPr>
              <w:t>276</w:t>
            </w:r>
          </w:p>
        </w:tc>
        <w:tc>
          <w:tcPr>
            <w:tcW w:w="76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126"/>
        </w:trPr>
        <w:tc>
          <w:tcPr>
            <w:tcW w:w="4400" w:type="dxa"/>
            <w:vAlign w:val="bottom"/>
          </w:tcPr>
          <w:p>
            <w:pPr>
              <w:ind w:left="140"/>
              <w:spacing w:after="0"/>
              <w:rPr>
                <w:sz w:val="20"/>
                <w:szCs w:val="20"/>
                <w:color w:val="auto"/>
              </w:rPr>
            </w:pPr>
            <w:r>
              <w:rPr>
                <w:rFonts w:ascii="Arial" w:cs="Arial" w:eastAsia="Arial" w:hAnsi="Arial"/>
                <w:sz w:val="10"/>
                <w:szCs w:val="10"/>
                <w:color w:val="auto"/>
              </w:rPr>
              <w:t>North America - Canada</w:t>
            </w:r>
          </w:p>
        </w:tc>
        <w:tc>
          <w:tcPr>
            <w:tcW w:w="10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w:t>
            </w:r>
          </w:p>
        </w:tc>
        <w:tc>
          <w:tcPr>
            <w:tcW w:w="8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w:t>
            </w:r>
          </w:p>
        </w:tc>
        <w:tc>
          <w:tcPr>
            <w:tcW w:w="640" w:type="dxa"/>
            <w:vAlign w:val="bottom"/>
          </w:tcPr>
          <w:p>
            <w:pPr>
              <w:spacing w:after="0"/>
              <w:rPr>
                <w:sz w:val="10"/>
                <w:szCs w:val="10"/>
                <w:color w:val="auto"/>
              </w:rPr>
            </w:pP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6</w:t>
            </w: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0</w:t>
            </w:r>
          </w:p>
        </w:tc>
        <w:tc>
          <w:tcPr>
            <w:tcW w:w="1440" w:type="dxa"/>
            <w:vAlign w:val="bottom"/>
          </w:tcPr>
          <w:p>
            <w:pPr>
              <w:jc w:val="right"/>
              <w:ind w:right="512"/>
              <w:spacing w:after="0"/>
              <w:rPr>
                <w:sz w:val="20"/>
                <w:szCs w:val="20"/>
                <w:color w:val="auto"/>
              </w:rPr>
            </w:pPr>
            <w:r>
              <w:rPr>
                <w:rFonts w:ascii="Arial" w:cs="Arial" w:eastAsia="Arial" w:hAnsi="Arial"/>
                <w:sz w:val="10"/>
                <w:szCs w:val="10"/>
                <w:color w:val="auto"/>
              </w:rPr>
              <w:t>53</w:t>
            </w:r>
          </w:p>
        </w:tc>
        <w:tc>
          <w:tcPr>
            <w:tcW w:w="76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130"/>
        </w:trPr>
        <w:tc>
          <w:tcPr>
            <w:tcW w:w="440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South America</w:t>
            </w:r>
          </w:p>
        </w:tc>
        <w:tc>
          <w:tcPr>
            <w:tcW w:w="10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14</w:t>
            </w:r>
          </w:p>
        </w:tc>
        <w:tc>
          <w:tcPr>
            <w:tcW w:w="8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0</w:t>
            </w:r>
          </w:p>
        </w:tc>
        <w:tc>
          <w:tcPr>
            <w:tcW w:w="6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10</w:t>
            </w: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1</w:t>
            </w:r>
          </w:p>
        </w:tc>
        <w:tc>
          <w:tcPr>
            <w:tcW w:w="14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w:t>
            </w:r>
          </w:p>
        </w:tc>
      </w:tr>
      <w:tr>
        <w:trPr>
          <w:trHeight w:val="117"/>
        </w:trPr>
        <w:tc>
          <w:tcPr>
            <w:tcW w:w="44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0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340</w:t>
            </w:r>
          </w:p>
        </w:tc>
        <w:tc>
          <w:tcPr>
            <w:tcW w:w="8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0</w:t>
            </w:r>
          </w:p>
        </w:tc>
        <w:tc>
          <w:tcPr>
            <w:tcW w:w="6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532</w:t>
            </w: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7</w:t>
            </w:r>
          </w:p>
        </w:tc>
        <w:tc>
          <w:tcPr>
            <w:tcW w:w="14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rPr>
              <w:t>614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r>
    </w:tbl>
    <w:p>
      <w:pPr>
        <w:spacing w:after="0" w:line="35" w:lineRule="exact"/>
        <w:rPr>
          <w:sz w:val="20"/>
          <w:szCs w:val="20"/>
          <w:color w:val="auto"/>
        </w:rPr>
      </w:pPr>
    </w:p>
    <w:p>
      <w:pPr>
        <w:ind w:left="128" w:hanging="128"/>
        <w:spacing w:after="0"/>
        <w:tabs>
          <w:tab w:leader="none" w:pos="128" w:val="left"/>
        </w:tabs>
        <w:numPr>
          <w:ilvl w:val="0"/>
          <w:numId w:val="194"/>
        </w:numPr>
        <w:rPr>
          <w:rFonts w:ascii="Arial" w:cs="Arial" w:eastAsia="Arial" w:hAnsi="Arial"/>
          <w:sz w:val="7"/>
          <w:szCs w:val="7"/>
          <w:color w:val="auto"/>
        </w:rPr>
      </w:pPr>
      <w:r>
        <w:rPr>
          <w:rFonts w:ascii="Arial" w:cs="Arial" w:eastAsia="Arial" w:hAnsi="Arial"/>
          <w:sz w:val="7"/>
          <w:szCs w:val="7"/>
          <w:color w:val="auto"/>
        </w:rPr>
        <w:t>Productive wells are wells with proved reserves allocated. Wells in the process of drilling are excluded and presented separately below.</w:t>
      </w:r>
    </w:p>
    <w:p>
      <w:pPr>
        <w:ind w:left="108" w:hanging="108"/>
        <w:spacing w:after="0" w:line="214" w:lineRule="auto"/>
        <w:tabs>
          <w:tab w:leader="none" w:pos="108" w:val="left"/>
        </w:tabs>
        <w:numPr>
          <w:ilvl w:val="0"/>
          <w:numId w:val="194"/>
        </w:numPr>
        <w:rPr>
          <w:rFonts w:ascii="Arial" w:cs="Arial" w:eastAsia="Arial" w:hAnsi="Arial"/>
          <w:sz w:val="7"/>
          <w:szCs w:val="7"/>
          <w:color w:val="auto"/>
        </w:rPr>
      </w:pPr>
      <w:r>
        <w:rPr>
          <w:rFonts w:ascii="Arial" w:cs="Arial" w:eastAsia="Arial" w:hAnsi="Arial"/>
          <w:sz w:val="7"/>
          <w:szCs w:val="7"/>
          <w:color w:val="auto"/>
        </w:rPr>
        <w:t>Includes 4 Wells in Shell Australia (SAL) which were relinquished in June 2020</w:t>
      </w:r>
    </w:p>
    <w:p>
      <w:pPr>
        <w:ind w:left="108" w:hanging="108"/>
        <w:spacing w:after="0"/>
        <w:tabs>
          <w:tab w:leader="none" w:pos="108" w:val="left"/>
        </w:tabs>
        <w:numPr>
          <w:ilvl w:val="0"/>
          <w:numId w:val="194"/>
        </w:numPr>
        <w:rPr>
          <w:rFonts w:ascii="Arial" w:cs="Arial" w:eastAsia="Arial" w:hAnsi="Arial"/>
          <w:sz w:val="7"/>
          <w:szCs w:val="7"/>
          <w:color w:val="auto"/>
        </w:rPr>
      </w:pPr>
      <w:r>
        <w:rPr>
          <w:rFonts w:ascii="Arial" w:cs="Arial" w:eastAsia="Arial" w:hAnsi="Arial"/>
          <w:sz w:val="7"/>
          <w:szCs w:val="7"/>
          <w:color w:val="auto"/>
        </w:rPr>
        <w:t>Includes 75 sold wells in Tioga that were pending determination at time of sale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color w:val="auto"/>
        </w:rPr>
        <w:t>Number of wells in the process of exploratory drilling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3750" cy="2286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3750" cy="2286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0"/>
                <w:szCs w:val="10"/>
                <w:color w:val="auto"/>
              </w:rPr>
              <w:t>At January 1</w:t>
            </w:r>
          </w:p>
        </w:tc>
        <w:tc>
          <w:tcPr>
            <w:tcW w:w="3720" w:type="dxa"/>
            <w:vAlign w:val="bottom"/>
            <w:gridSpan w:val="4"/>
          </w:tcPr>
          <w:p>
            <w:pPr>
              <w:jc w:val="right"/>
              <w:spacing w:after="0"/>
              <w:rPr>
                <w:sz w:val="20"/>
                <w:szCs w:val="20"/>
                <w:color w:val="auto"/>
              </w:rPr>
            </w:pPr>
            <w:r>
              <w:rPr>
                <w:rFonts w:ascii="Arial" w:cs="Arial" w:eastAsia="Arial" w:hAnsi="Arial"/>
                <w:sz w:val="10"/>
                <w:szCs w:val="10"/>
                <w:color w:val="auto"/>
                <w:w w:val="87"/>
              </w:rPr>
              <w:t>Wells in the process of drilling at January 1 and Wells in the process of drilling at January 1 and</w:t>
            </w:r>
          </w:p>
        </w:tc>
        <w:tc>
          <w:tcPr>
            <w:tcW w:w="1760" w:type="dxa"/>
            <w:vAlign w:val="bottom"/>
            <w:gridSpan w:val="2"/>
          </w:tcPr>
          <w:p>
            <w:pPr>
              <w:jc w:val="right"/>
              <w:ind w:right="232"/>
              <w:spacing w:after="0"/>
              <w:rPr>
                <w:sz w:val="20"/>
                <w:szCs w:val="20"/>
                <w:color w:val="auto"/>
              </w:rPr>
            </w:pPr>
            <w:r>
              <w:rPr>
                <w:rFonts w:ascii="Arial" w:cs="Arial" w:eastAsia="Arial" w:hAnsi="Arial"/>
                <w:sz w:val="10"/>
                <w:szCs w:val="10"/>
                <w:color w:val="auto"/>
                <w:w w:val="89"/>
              </w:rPr>
              <w:t>New wells in the process of drilling at</w:t>
            </w:r>
          </w:p>
        </w:tc>
        <w:tc>
          <w:tcPr>
            <w:tcW w:w="5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w w:val="94"/>
              </w:rPr>
              <w:t>At December 31</w:t>
            </w:r>
          </w:p>
        </w:tc>
        <w:tc>
          <w:tcPr>
            <w:tcW w:w="0" w:type="dxa"/>
            <w:vAlign w:val="bottom"/>
          </w:tcPr>
          <w:p>
            <w:pPr>
              <w:spacing w:after="0"/>
              <w:rPr>
                <w:sz w:val="1"/>
                <w:szCs w:val="1"/>
                <w:color w:val="auto"/>
              </w:rPr>
            </w:pPr>
          </w:p>
        </w:tc>
      </w:tr>
      <w:tr>
        <w:trPr>
          <w:trHeight w:val="124"/>
        </w:trPr>
        <w:tc>
          <w:tcPr>
            <w:tcW w:w="190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vMerge w:val="continue"/>
          </w:tcPr>
          <w:p>
            <w:pPr>
              <w:spacing w:after="0"/>
              <w:rPr>
                <w:sz w:val="10"/>
                <w:szCs w:val="10"/>
                <w:color w:val="auto"/>
              </w:rPr>
            </w:pPr>
          </w:p>
        </w:tc>
        <w:tc>
          <w:tcPr>
            <w:tcW w:w="212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0"/>
                <w:szCs w:val="10"/>
                <w:color w:val="auto"/>
                <w:w w:val="98"/>
              </w:rPr>
              <w:t>allocated proved reserves during the year</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determined as dry during the year</w:t>
            </w:r>
          </w:p>
        </w:tc>
        <w:tc>
          <w:tcPr>
            <w:tcW w:w="8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99"/>
              </w:rPr>
              <w:t>December 31</w:t>
            </w:r>
          </w:p>
        </w:tc>
        <w:tc>
          <w:tcPr>
            <w:tcW w:w="5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Gross</w:t>
            </w:r>
          </w:p>
        </w:tc>
        <w:tc>
          <w:tcPr>
            <w:tcW w:w="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Net</w:t>
            </w: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Gross</w:t>
            </w: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Net</w:t>
            </w: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Gross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Net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Gross</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Net</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Gross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Net</w:t>
            </w:r>
          </w:p>
        </w:tc>
        <w:tc>
          <w:tcPr>
            <w:tcW w:w="0" w:type="dxa"/>
            <w:vAlign w:val="bottom"/>
          </w:tcPr>
          <w:p>
            <w:pPr>
              <w:spacing w:after="0"/>
              <w:rPr>
                <w:sz w:val="1"/>
                <w:szCs w:val="1"/>
                <w:color w:val="auto"/>
              </w:rPr>
            </w:pPr>
          </w:p>
        </w:tc>
      </w:tr>
      <w:tr>
        <w:trPr>
          <w:trHeight w:val="114"/>
        </w:trPr>
        <w:tc>
          <w:tcPr>
            <w:tcW w:w="1900" w:type="dxa"/>
            <w:vAlign w:val="bottom"/>
          </w:tcPr>
          <w:p>
            <w:pPr>
              <w:spacing w:after="0" w:line="114" w:lineRule="exact"/>
              <w:rPr>
                <w:sz w:val="20"/>
                <w:szCs w:val="20"/>
                <w:color w:val="auto"/>
              </w:rPr>
            </w:pPr>
            <w:r>
              <w:rPr>
                <w:rFonts w:ascii="Arial" w:cs="Arial" w:eastAsia="Arial" w:hAnsi="Arial"/>
                <w:sz w:val="10"/>
                <w:szCs w:val="10"/>
                <w:color w:val="auto"/>
              </w:rPr>
              <w:t>Europe</w:t>
            </w:r>
          </w:p>
        </w:tc>
        <w:tc>
          <w:tcPr>
            <w:tcW w:w="1020" w:type="dxa"/>
            <w:vAlign w:val="bottom"/>
          </w:tcPr>
          <w:p>
            <w:pPr>
              <w:jc w:val="right"/>
              <w:ind w:right="72"/>
              <w:spacing w:after="0" w:line="114" w:lineRule="exact"/>
              <w:rPr>
                <w:sz w:val="20"/>
                <w:szCs w:val="20"/>
                <w:color w:val="auto"/>
              </w:rPr>
            </w:pPr>
            <w:r>
              <w:rPr>
                <w:rFonts w:ascii="Arial" w:cs="Arial" w:eastAsia="Arial" w:hAnsi="Arial"/>
                <w:sz w:val="10"/>
                <w:szCs w:val="10"/>
                <w:color w:val="auto"/>
              </w:rPr>
              <w:t>15</w:t>
            </w:r>
          </w:p>
        </w:tc>
        <w:tc>
          <w:tcPr>
            <w:tcW w:w="660" w:type="dxa"/>
            <w:vAlign w:val="bottom"/>
          </w:tcPr>
          <w:p>
            <w:pPr>
              <w:spacing w:after="0"/>
              <w:rPr>
                <w:sz w:val="9"/>
                <w:szCs w:val="9"/>
                <w:color w:val="auto"/>
              </w:rPr>
            </w:pPr>
          </w:p>
        </w:tc>
        <w:tc>
          <w:tcPr>
            <w:tcW w:w="660" w:type="dxa"/>
            <w:vAlign w:val="bottom"/>
          </w:tcPr>
          <w:p>
            <w:pPr>
              <w:jc w:val="right"/>
              <w:ind w:right="72"/>
              <w:spacing w:after="0" w:line="114" w:lineRule="exact"/>
              <w:rPr>
                <w:sz w:val="20"/>
                <w:szCs w:val="20"/>
                <w:color w:val="auto"/>
              </w:rPr>
            </w:pPr>
            <w:r>
              <w:rPr>
                <w:rFonts w:ascii="Arial" w:cs="Arial" w:eastAsia="Arial" w:hAnsi="Arial"/>
                <w:sz w:val="10"/>
                <w:szCs w:val="10"/>
                <w:color w:val="auto"/>
              </w:rPr>
              <w:t>8</w:t>
            </w:r>
          </w:p>
        </w:tc>
        <w:tc>
          <w:tcPr>
            <w:tcW w:w="260" w:type="dxa"/>
            <w:vAlign w:val="bottom"/>
          </w:tcPr>
          <w:p>
            <w:pPr>
              <w:spacing w:after="0"/>
              <w:rPr>
                <w:sz w:val="9"/>
                <w:szCs w:val="9"/>
                <w:color w:val="auto"/>
              </w:rPr>
            </w:pPr>
          </w:p>
        </w:tc>
        <w:tc>
          <w:tcPr>
            <w:tcW w:w="1300" w:type="dxa"/>
            <w:vAlign w:val="bottom"/>
          </w:tcPr>
          <w:p>
            <w:pPr>
              <w:jc w:val="right"/>
              <w:ind w:right="332"/>
              <w:spacing w:after="0" w:line="114" w:lineRule="exact"/>
              <w:rPr>
                <w:sz w:val="20"/>
                <w:szCs w:val="20"/>
                <w:color w:val="auto"/>
              </w:rPr>
            </w:pPr>
            <w:r>
              <w:rPr>
                <w:rFonts w:ascii="Arial" w:cs="Arial" w:eastAsia="Arial" w:hAnsi="Arial"/>
                <w:sz w:val="10"/>
                <w:szCs w:val="10"/>
                <w:color w:val="auto"/>
              </w:rPr>
              <w:t>0</w:t>
            </w:r>
          </w:p>
        </w:tc>
        <w:tc>
          <w:tcPr>
            <w:tcW w:w="820" w:type="dxa"/>
            <w:vAlign w:val="bottom"/>
          </w:tcPr>
          <w:p>
            <w:pPr>
              <w:jc w:val="right"/>
              <w:ind w:right="232"/>
              <w:spacing w:after="0" w:line="114" w:lineRule="exact"/>
              <w:rPr>
                <w:sz w:val="20"/>
                <w:szCs w:val="20"/>
                <w:color w:val="auto"/>
              </w:rPr>
            </w:pPr>
            <w:r>
              <w:rPr>
                <w:rFonts w:ascii="Arial" w:cs="Arial" w:eastAsia="Arial" w:hAnsi="Arial"/>
                <w:sz w:val="10"/>
                <w:szCs w:val="10"/>
                <w:color w:val="auto"/>
              </w:rPr>
              <w:t>0</w:t>
            </w:r>
          </w:p>
        </w:tc>
        <w:tc>
          <w:tcPr>
            <w:tcW w:w="1040" w:type="dxa"/>
            <w:vAlign w:val="bottom"/>
          </w:tcPr>
          <w:p>
            <w:pPr>
              <w:jc w:val="right"/>
              <w:ind w:right="332"/>
              <w:spacing w:after="0" w:line="114" w:lineRule="exact"/>
              <w:rPr>
                <w:sz w:val="20"/>
                <w:szCs w:val="20"/>
                <w:color w:val="auto"/>
              </w:rPr>
            </w:pPr>
            <w:r>
              <w:rPr>
                <w:rFonts w:ascii="Arial" w:cs="Arial" w:eastAsia="Arial" w:hAnsi="Arial"/>
                <w:sz w:val="10"/>
                <w:szCs w:val="10"/>
                <w:color w:val="auto"/>
              </w:rPr>
              <w:t>(3)</w:t>
            </w: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(1)</w:t>
            </w:r>
          </w:p>
        </w:tc>
        <w:tc>
          <w:tcPr>
            <w:tcW w:w="860" w:type="dxa"/>
            <w:vAlign w:val="bottom"/>
          </w:tcPr>
          <w:p>
            <w:pPr>
              <w:jc w:val="right"/>
              <w:ind w:right="72"/>
              <w:spacing w:after="0" w:line="114" w:lineRule="exact"/>
              <w:rPr>
                <w:sz w:val="20"/>
                <w:szCs w:val="20"/>
                <w:color w:val="auto"/>
              </w:rPr>
            </w:pPr>
            <w:r>
              <w:rPr>
                <w:rFonts w:ascii="Arial" w:cs="Arial" w:eastAsia="Arial" w:hAnsi="Arial"/>
                <w:sz w:val="10"/>
                <w:szCs w:val="10"/>
                <w:color w:val="auto"/>
              </w:rPr>
              <w:t>0</w:t>
            </w:r>
          </w:p>
        </w:tc>
        <w:tc>
          <w:tcPr>
            <w:tcW w:w="900" w:type="dxa"/>
            <w:vAlign w:val="bottom"/>
          </w:tcPr>
          <w:p>
            <w:pPr>
              <w:jc w:val="right"/>
              <w:ind w:right="232"/>
              <w:spacing w:after="0" w:line="114" w:lineRule="exact"/>
              <w:rPr>
                <w:sz w:val="20"/>
                <w:szCs w:val="20"/>
                <w:color w:val="auto"/>
              </w:rPr>
            </w:pPr>
            <w:r>
              <w:rPr>
                <w:rFonts w:ascii="Arial" w:cs="Arial" w:eastAsia="Arial" w:hAnsi="Arial"/>
                <w:sz w:val="10"/>
                <w:szCs w:val="10"/>
                <w:color w:val="auto"/>
              </w:rPr>
              <w:t>0</w:t>
            </w:r>
          </w:p>
        </w:tc>
        <w:tc>
          <w:tcPr>
            <w:tcW w:w="560" w:type="dxa"/>
            <w:vAlign w:val="bottom"/>
          </w:tcPr>
          <w:p>
            <w:pPr>
              <w:jc w:val="right"/>
              <w:ind w:right="32"/>
              <w:spacing w:after="0" w:line="114" w:lineRule="exact"/>
              <w:rPr>
                <w:sz w:val="20"/>
                <w:szCs w:val="20"/>
                <w:color w:val="auto"/>
              </w:rPr>
            </w:pPr>
            <w:r>
              <w:rPr>
                <w:rFonts w:ascii="Arial" w:cs="Arial" w:eastAsia="Arial" w:hAnsi="Arial"/>
                <w:sz w:val="10"/>
                <w:szCs w:val="10"/>
                <w:color w:val="auto"/>
              </w:rPr>
              <w:t>12</w:t>
            </w:r>
          </w:p>
        </w:tc>
        <w:tc>
          <w:tcPr>
            <w:tcW w:w="700" w:type="dxa"/>
            <w:vAlign w:val="bottom"/>
          </w:tcPr>
          <w:p>
            <w:pPr>
              <w:jc w:val="right"/>
              <w:spacing w:after="0" w:line="114"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26"/>
        </w:trPr>
        <w:tc>
          <w:tcPr>
            <w:tcW w:w="1900" w:type="dxa"/>
            <w:vAlign w:val="bottom"/>
          </w:tcPr>
          <w:p>
            <w:pPr>
              <w:spacing w:after="0"/>
              <w:rPr>
                <w:sz w:val="20"/>
                <w:szCs w:val="20"/>
                <w:color w:val="auto"/>
              </w:rPr>
            </w:pPr>
            <w:r>
              <w:rPr>
                <w:rFonts w:ascii="Arial" w:cs="Arial" w:eastAsia="Arial" w:hAnsi="Arial"/>
                <w:sz w:val="10"/>
                <w:szCs w:val="10"/>
                <w:color w:val="auto"/>
              </w:rPr>
              <w:t>Asia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53</w:t>
            </w:r>
          </w:p>
        </w:tc>
        <w:tc>
          <w:tcPr>
            <w:tcW w:w="660" w:type="dxa"/>
            <w:vAlign w:val="bottom"/>
          </w:tcPr>
          <w:p>
            <w:pPr>
              <w:spacing w:after="0"/>
              <w:rPr>
                <w:sz w:val="10"/>
                <w:szCs w:val="10"/>
                <w:color w:val="auto"/>
              </w:rPr>
            </w:pPr>
          </w:p>
        </w:tc>
        <w:tc>
          <w:tcPr>
            <w:tcW w:w="660" w:type="dxa"/>
            <w:vAlign w:val="bottom"/>
          </w:tcPr>
          <w:p>
            <w:pPr>
              <w:jc w:val="right"/>
              <w:ind w:right="72"/>
              <w:spacing w:after="0"/>
              <w:rPr>
                <w:sz w:val="20"/>
                <w:szCs w:val="20"/>
                <w:color w:val="auto"/>
              </w:rPr>
            </w:pPr>
            <w:r>
              <w:rPr>
                <w:rFonts w:ascii="Arial" w:cs="Arial" w:eastAsia="Arial" w:hAnsi="Arial"/>
                <w:sz w:val="10"/>
                <w:szCs w:val="10"/>
                <w:color w:val="auto"/>
              </w:rPr>
              <w:t>20</w:t>
            </w:r>
          </w:p>
        </w:tc>
        <w:tc>
          <w:tcPr>
            <w:tcW w:w="260" w:type="dxa"/>
            <w:vAlign w:val="bottom"/>
          </w:tcPr>
          <w:p>
            <w:pPr>
              <w:spacing w:after="0"/>
              <w:rPr>
                <w:sz w:val="10"/>
                <w:szCs w:val="10"/>
                <w:color w:val="auto"/>
              </w:rPr>
            </w:pPr>
          </w:p>
        </w:tc>
        <w:tc>
          <w:tcPr>
            <w:tcW w:w="1300" w:type="dxa"/>
            <w:vAlign w:val="bottom"/>
          </w:tcPr>
          <w:p>
            <w:pPr>
              <w:jc w:val="right"/>
              <w:ind w:right="332"/>
              <w:spacing w:after="0"/>
              <w:rPr>
                <w:sz w:val="20"/>
                <w:szCs w:val="20"/>
                <w:color w:val="auto"/>
              </w:rPr>
            </w:pPr>
            <w:r>
              <w:rPr>
                <w:rFonts w:ascii="Arial" w:cs="Arial" w:eastAsia="Arial" w:hAnsi="Arial"/>
                <w:sz w:val="10"/>
                <w:szCs w:val="10"/>
                <w:color w:val="auto"/>
              </w:rPr>
              <w:t>(7)</w:t>
            </w:r>
          </w:p>
        </w:tc>
        <w:tc>
          <w:tcPr>
            <w:tcW w:w="820" w:type="dxa"/>
            <w:vAlign w:val="bottom"/>
          </w:tcPr>
          <w:p>
            <w:pPr>
              <w:jc w:val="right"/>
              <w:ind w:right="232"/>
              <w:spacing w:after="0"/>
              <w:rPr>
                <w:sz w:val="20"/>
                <w:szCs w:val="20"/>
                <w:color w:val="auto"/>
              </w:rPr>
            </w:pPr>
            <w:r>
              <w:rPr>
                <w:rFonts w:ascii="Arial" w:cs="Arial" w:eastAsia="Arial" w:hAnsi="Arial"/>
                <w:sz w:val="10"/>
                <w:szCs w:val="10"/>
                <w:color w:val="auto"/>
              </w:rPr>
              <w:t>(3)</w:t>
            </w:r>
          </w:p>
        </w:tc>
        <w:tc>
          <w:tcPr>
            <w:tcW w:w="1040" w:type="dxa"/>
            <w:vAlign w:val="bottom"/>
          </w:tcPr>
          <w:p>
            <w:pPr>
              <w:jc w:val="right"/>
              <w:ind w:right="332"/>
              <w:spacing w:after="0"/>
              <w:rPr>
                <w:sz w:val="20"/>
                <w:szCs w:val="20"/>
                <w:color w:val="auto"/>
              </w:rPr>
            </w:pPr>
            <w:r>
              <w:rPr>
                <w:rFonts w:ascii="Arial" w:cs="Arial" w:eastAsia="Arial" w:hAnsi="Arial"/>
                <w:sz w:val="10"/>
                <w:szCs w:val="10"/>
                <w:color w:val="auto"/>
              </w:rPr>
              <w:t>(7)</w:t>
            </w:r>
          </w:p>
        </w:tc>
        <w:tc>
          <w:tcPr>
            <w:tcW w:w="560" w:type="dxa"/>
            <w:vAlign w:val="bottom"/>
          </w:tcPr>
          <w:p>
            <w:pPr>
              <w:jc w:val="right"/>
              <w:spacing w:after="0"/>
              <w:rPr>
                <w:sz w:val="20"/>
                <w:szCs w:val="20"/>
                <w:color w:val="auto"/>
              </w:rPr>
            </w:pPr>
            <w:r>
              <w:rPr>
                <w:rFonts w:ascii="Arial" w:cs="Arial" w:eastAsia="Arial" w:hAnsi="Arial"/>
                <w:sz w:val="10"/>
                <w:szCs w:val="10"/>
                <w:color w:val="auto"/>
              </w:rPr>
              <w:t>(2)</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18</w:t>
            </w:r>
          </w:p>
        </w:tc>
        <w:tc>
          <w:tcPr>
            <w:tcW w:w="900" w:type="dxa"/>
            <w:vAlign w:val="bottom"/>
          </w:tcPr>
          <w:p>
            <w:pPr>
              <w:jc w:val="right"/>
              <w:ind w:right="232"/>
              <w:spacing w:after="0"/>
              <w:rPr>
                <w:sz w:val="20"/>
                <w:szCs w:val="20"/>
                <w:color w:val="auto"/>
              </w:rPr>
            </w:pPr>
            <w:r>
              <w:rPr>
                <w:rFonts w:ascii="Arial" w:cs="Arial" w:eastAsia="Arial" w:hAnsi="Arial"/>
                <w:sz w:val="10"/>
                <w:szCs w:val="10"/>
                <w:color w:val="auto"/>
              </w:rPr>
              <w:t>7</w:t>
            </w:r>
          </w:p>
        </w:tc>
        <w:tc>
          <w:tcPr>
            <w:tcW w:w="560" w:type="dxa"/>
            <w:vAlign w:val="bottom"/>
          </w:tcPr>
          <w:p>
            <w:pPr>
              <w:jc w:val="right"/>
              <w:ind w:right="32"/>
              <w:spacing w:after="0"/>
              <w:rPr>
                <w:sz w:val="20"/>
                <w:szCs w:val="20"/>
                <w:color w:val="auto"/>
              </w:rPr>
            </w:pPr>
            <w:r>
              <w:rPr>
                <w:rFonts w:ascii="Arial" w:cs="Arial" w:eastAsia="Arial" w:hAnsi="Arial"/>
                <w:sz w:val="10"/>
                <w:szCs w:val="10"/>
                <w:color w:val="auto"/>
              </w:rPr>
              <w:t>57</w:t>
            </w:r>
          </w:p>
        </w:tc>
        <w:tc>
          <w:tcPr>
            <w:tcW w:w="700" w:type="dxa"/>
            <w:vAlign w:val="bottom"/>
          </w:tcPr>
          <w:p>
            <w:pPr>
              <w:jc w:val="right"/>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26"/>
        </w:trPr>
        <w:tc>
          <w:tcPr>
            <w:tcW w:w="1900" w:type="dxa"/>
            <w:vAlign w:val="bottom"/>
          </w:tcPr>
          <w:p>
            <w:pPr>
              <w:spacing w:after="0"/>
              <w:rPr>
                <w:sz w:val="20"/>
                <w:szCs w:val="20"/>
                <w:color w:val="auto"/>
              </w:rPr>
            </w:pPr>
            <w:r>
              <w:rPr>
                <w:rFonts w:ascii="Arial" w:cs="Arial" w:eastAsia="Arial" w:hAnsi="Arial"/>
                <w:sz w:val="10"/>
                <w:szCs w:val="10"/>
                <w:color w:val="auto"/>
              </w:rPr>
              <w:t>Oceania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44</w:t>
            </w:r>
          </w:p>
        </w:tc>
        <w:tc>
          <w:tcPr>
            <w:tcW w:w="660" w:type="dxa"/>
            <w:vAlign w:val="bottom"/>
          </w:tcPr>
          <w:p>
            <w:pPr>
              <w:jc w:val="right"/>
              <w:ind w:right="352"/>
              <w:spacing w:after="0"/>
              <w:rPr>
                <w:sz w:val="20"/>
                <w:szCs w:val="20"/>
                <w:color w:val="auto"/>
              </w:rPr>
            </w:pPr>
            <w:r>
              <w:rPr>
                <w:rFonts w:ascii="Arial" w:cs="Arial" w:eastAsia="Arial" w:hAnsi="Arial"/>
                <w:sz w:val="10"/>
                <w:szCs w:val="10"/>
                <w:color w:val="auto"/>
              </w:rPr>
              <w:t>[B]</w:t>
            </w:r>
          </w:p>
        </w:tc>
        <w:tc>
          <w:tcPr>
            <w:tcW w:w="660" w:type="dxa"/>
            <w:vAlign w:val="bottom"/>
          </w:tcPr>
          <w:p>
            <w:pPr>
              <w:jc w:val="right"/>
              <w:ind w:right="72"/>
              <w:spacing w:after="0"/>
              <w:rPr>
                <w:sz w:val="20"/>
                <w:szCs w:val="20"/>
                <w:color w:val="auto"/>
              </w:rPr>
            </w:pPr>
            <w:r>
              <w:rPr>
                <w:rFonts w:ascii="Arial" w:cs="Arial" w:eastAsia="Arial" w:hAnsi="Arial"/>
                <w:sz w:val="10"/>
                <w:szCs w:val="10"/>
                <w:color w:val="auto"/>
              </w:rPr>
              <w:t>17</w:t>
            </w:r>
          </w:p>
        </w:tc>
        <w:tc>
          <w:tcPr>
            <w:tcW w:w="260" w:type="dxa"/>
            <w:vAlign w:val="bottom"/>
          </w:tcPr>
          <w:p>
            <w:pPr>
              <w:jc w:val="right"/>
              <w:spacing w:after="0"/>
              <w:rPr>
                <w:sz w:val="20"/>
                <w:szCs w:val="20"/>
                <w:color w:val="auto"/>
              </w:rPr>
            </w:pPr>
            <w:r>
              <w:rPr>
                <w:rFonts w:ascii="Arial" w:cs="Arial" w:eastAsia="Arial" w:hAnsi="Arial"/>
                <w:sz w:val="10"/>
                <w:szCs w:val="10"/>
                <w:color w:val="auto"/>
              </w:rPr>
              <w:t>[B]</w:t>
            </w:r>
          </w:p>
        </w:tc>
        <w:tc>
          <w:tcPr>
            <w:tcW w:w="1300" w:type="dxa"/>
            <w:vAlign w:val="bottom"/>
          </w:tcPr>
          <w:p>
            <w:pPr>
              <w:jc w:val="right"/>
              <w:ind w:right="332"/>
              <w:spacing w:after="0"/>
              <w:rPr>
                <w:sz w:val="20"/>
                <w:szCs w:val="20"/>
                <w:color w:val="auto"/>
              </w:rPr>
            </w:pPr>
            <w:r>
              <w:rPr>
                <w:rFonts w:ascii="Arial" w:cs="Arial" w:eastAsia="Arial" w:hAnsi="Arial"/>
                <w:sz w:val="10"/>
                <w:szCs w:val="10"/>
                <w:color w:val="auto"/>
              </w:rPr>
              <w:t>(1)</w:t>
            </w:r>
          </w:p>
        </w:tc>
        <w:tc>
          <w:tcPr>
            <w:tcW w:w="820" w:type="dxa"/>
            <w:vAlign w:val="bottom"/>
          </w:tcPr>
          <w:p>
            <w:pPr>
              <w:jc w:val="right"/>
              <w:ind w:right="232"/>
              <w:spacing w:after="0"/>
              <w:rPr>
                <w:sz w:val="20"/>
                <w:szCs w:val="20"/>
                <w:color w:val="auto"/>
              </w:rPr>
            </w:pPr>
            <w:r>
              <w:rPr>
                <w:rFonts w:ascii="Arial" w:cs="Arial" w:eastAsia="Arial" w:hAnsi="Arial"/>
                <w:sz w:val="10"/>
                <w:szCs w:val="10"/>
                <w:color w:val="auto"/>
              </w:rPr>
              <w:t>0</w:t>
            </w:r>
          </w:p>
        </w:tc>
        <w:tc>
          <w:tcPr>
            <w:tcW w:w="1040" w:type="dxa"/>
            <w:vAlign w:val="bottom"/>
          </w:tcPr>
          <w:p>
            <w:pPr>
              <w:jc w:val="right"/>
              <w:ind w:right="332"/>
              <w:spacing w:after="0"/>
              <w:rPr>
                <w:sz w:val="20"/>
                <w:szCs w:val="20"/>
                <w:color w:val="auto"/>
              </w:rPr>
            </w:pPr>
            <w:r>
              <w:rPr>
                <w:rFonts w:ascii="Arial" w:cs="Arial" w:eastAsia="Arial" w:hAnsi="Arial"/>
                <w:sz w:val="10"/>
                <w:szCs w:val="10"/>
                <w:color w:val="auto"/>
              </w:rPr>
              <w:t>(11)</w:t>
            </w:r>
          </w:p>
        </w:tc>
        <w:tc>
          <w:tcPr>
            <w:tcW w:w="560" w:type="dxa"/>
            <w:vAlign w:val="bottom"/>
          </w:tcPr>
          <w:p>
            <w:pPr>
              <w:jc w:val="right"/>
              <w:spacing w:after="0"/>
              <w:rPr>
                <w:sz w:val="20"/>
                <w:szCs w:val="20"/>
                <w:color w:val="auto"/>
              </w:rPr>
            </w:pPr>
            <w:r>
              <w:rPr>
                <w:rFonts w:ascii="Arial" w:cs="Arial" w:eastAsia="Arial" w:hAnsi="Arial"/>
                <w:sz w:val="10"/>
                <w:szCs w:val="10"/>
                <w:color w:val="auto"/>
              </w:rPr>
              <w:t>(6)</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0</w:t>
            </w:r>
          </w:p>
        </w:tc>
        <w:tc>
          <w:tcPr>
            <w:tcW w:w="900" w:type="dxa"/>
            <w:vAlign w:val="bottom"/>
          </w:tcPr>
          <w:p>
            <w:pPr>
              <w:jc w:val="right"/>
              <w:ind w:right="232"/>
              <w:spacing w:after="0"/>
              <w:rPr>
                <w:sz w:val="20"/>
                <w:szCs w:val="20"/>
                <w:color w:val="auto"/>
              </w:rPr>
            </w:pPr>
            <w:r>
              <w:rPr>
                <w:rFonts w:ascii="Arial" w:cs="Arial" w:eastAsia="Arial" w:hAnsi="Arial"/>
                <w:sz w:val="10"/>
                <w:szCs w:val="10"/>
                <w:color w:val="auto"/>
              </w:rPr>
              <w:t>0</w:t>
            </w:r>
          </w:p>
        </w:tc>
        <w:tc>
          <w:tcPr>
            <w:tcW w:w="560" w:type="dxa"/>
            <w:vAlign w:val="bottom"/>
          </w:tcPr>
          <w:p>
            <w:pPr>
              <w:jc w:val="right"/>
              <w:ind w:right="32"/>
              <w:spacing w:after="0"/>
              <w:rPr>
                <w:sz w:val="20"/>
                <w:szCs w:val="20"/>
                <w:color w:val="auto"/>
              </w:rPr>
            </w:pPr>
            <w:r>
              <w:rPr>
                <w:rFonts w:ascii="Arial" w:cs="Arial" w:eastAsia="Arial" w:hAnsi="Arial"/>
                <w:sz w:val="10"/>
                <w:szCs w:val="10"/>
                <w:color w:val="auto"/>
              </w:rPr>
              <w:t>32</w:t>
            </w:r>
          </w:p>
        </w:tc>
        <w:tc>
          <w:tcPr>
            <w:tcW w:w="70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26"/>
        </w:trPr>
        <w:tc>
          <w:tcPr>
            <w:tcW w:w="1900" w:type="dxa"/>
            <w:vAlign w:val="bottom"/>
          </w:tcPr>
          <w:p>
            <w:pPr>
              <w:spacing w:after="0"/>
              <w:rPr>
                <w:sz w:val="20"/>
                <w:szCs w:val="20"/>
                <w:color w:val="auto"/>
              </w:rPr>
            </w:pPr>
            <w:r>
              <w:rPr>
                <w:rFonts w:ascii="Arial" w:cs="Arial" w:eastAsia="Arial" w:hAnsi="Arial"/>
                <w:sz w:val="10"/>
                <w:szCs w:val="10"/>
                <w:color w:val="auto"/>
              </w:rPr>
              <w:t>Africa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36</w:t>
            </w:r>
          </w:p>
        </w:tc>
        <w:tc>
          <w:tcPr>
            <w:tcW w:w="660" w:type="dxa"/>
            <w:vAlign w:val="bottom"/>
          </w:tcPr>
          <w:p>
            <w:pPr>
              <w:jc w:val="right"/>
              <w:ind w:right="352"/>
              <w:spacing w:after="0"/>
              <w:rPr>
                <w:sz w:val="20"/>
                <w:szCs w:val="20"/>
                <w:color w:val="auto"/>
              </w:rPr>
            </w:pPr>
            <w:r>
              <w:rPr>
                <w:rFonts w:ascii="Arial" w:cs="Arial" w:eastAsia="Arial" w:hAnsi="Arial"/>
                <w:sz w:val="10"/>
                <w:szCs w:val="10"/>
                <w:color w:val="auto"/>
              </w:rPr>
              <w:t>[C]</w:t>
            </w:r>
          </w:p>
        </w:tc>
        <w:tc>
          <w:tcPr>
            <w:tcW w:w="660" w:type="dxa"/>
            <w:vAlign w:val="bottom"/>
          </w:tcPr>
          <w:p>
            <w:pPr>
              <w:jc w:val="right"/>
              <w:ind w:right="72"/>
              <w:spacing w:after="0"/>
              <w:rPr>
                <w:sz w:val="20"/>
                <w:szCs w:val="20"/>
                <w:color w:val="auto"/>
              </w:rPr>
            </w:pPr>
            <w:r>
              <w:rPr>
                <w:rFonts w:ascii="Arial" w:cs="Arial" w:eastAsia="Arial" w:hAnsi="Arial"/>
                <w:sz w:val="10"/>
                <w:szCs w:val="10"/>
                <w:color w:val="auto"/>
              </w:rPr>
              <w:t>24</w:t>
            </w:r>
          </w:p>
        </w:tc>
        <w:tc>
          <w:tcPr>
            <w:tcW w:w="260" w:type="dxa"/>
            <w:vAlign w:val="bottom"/>
          </w:tcPr>
          <w:p>
            <w:pPr>
              <w:jc w:val="right"/>
              <w:spacing w:after="0"/>
              <w:rPr>
                <w:sz w:val="20"/>
                <w:szCs w:val="20"/>
                <w:color w:val="auto"/>
              </w:rPr>
            </w:pPr>
            <w:r>
              <w:rPr>
                <w:rFonts w:ascii="Arial" w:cs="Arial" w:eastAsia="Arial" w:hAnsi="Arial"/>
                <w:sz w:val="10"/>
                <w:szCs w:val="10"/>
                <w:color w:val="auto"/>
              </w:rPr>
              <w:t>[C]</w:t>
            </w:r>
          </w:p>
        </w:tc>
        <w:tc>
          <w:tcPr>
            <w:tcW w:w="1300" w:type="dxa"/>
            <w:vAlign w:val="bottom"/>
          </w:tcPr>
          <w:p>
            <w:pPr>
              <w:jc w:val="right"/>
              <w:ind w:right="332"/>
              <w:spacing w:after="0"/>
              <w:rPr>
                <w:sz w:val="20"/>
                <w:szCs w:val="20"/>
                <w:color w:val="auto"/>
              </w:rPr>
            </w:pPr>
            <w:r>
              <w:rPr>
                <w:rFonts w:ascii="Arial" w:cs="Arial" w:eastAsia="Arial" w:hAnsi="Arial"/>
                <w:sz w:val="10"/>
                <w:szCs w:val="10"/>
                <w:color w:val="auto"/>
              </w:rPr>
              <w:t>(1)</w:t>
            </w:r>
          </w:p>
        </w:tc>
        <w:tc>
          <w:tcPr>
            <w:tcW w:w="820" w:type="dxa"/>
            <w:vAlign w:val="bottom"/>
          </w:tcPr>
          <w:p>
            <w:pPr>
              <w:jc w:val="right"/>
              <w:ind w:right="232"/>
              <w:spacing w:after="0"/>
              <w:rPr>
                <w:sz w:val="20"/>
                <w:szCs w:val="20"/>
                <w:color w:val="auto"/>
              </w:rPr>
            </w:pPr>
            <w:r>
              <w:rPr>
                <w:rFonts w:ascii="Arial" w:cs="Arial" w:eastAsia="Arial" w:hAnsi="Arial"/>
                <w:sz w:val="10"/>
                <w:szCs w:val="10"/>
                <w:color w:val="auto"/>
              </w:rPr>
              <w:t>(1)</w:t>
            </w:r>
          </w:p>
        </w:tc>
        <w:tc>
          <w:tcPr>
            <w:tcW w:w="1040" w:type="dxa"/>
            <w:vAlign w:val="bottom"/>
          </w:tcPr>
          <w:p>
            <w:pPr>
              <w:jc w:val="right"/>
              <w:ind w:right="332"/>
              <w:spacing w:after="0"/>
              <w:rPr>
                <w:sz w:val="20"/>
                <w:szCs w:val="20"/>
                <w:color w:val="auto"/>
              </w:rPr>
            </w:pPr>
            <w:r>
              <w:rPr>
                <w:rFonts w:ascii="Arial" w:cs="Arial" w:eastAsia="Arial" w:hAnsi="Arial"/>
                <w:sz w:val="10"/>
                <w:szCs w:val="10"/>
                <w:color w:val="auto"/>
              </w:rPr>
              <w:t>(7)</w:t>
            </w:r>
          </w:p>
        </w:tc>
        <w:tc>
          <w:tcPr>
            <w:tcW w:w="560" w:type="dxa"/>
            <w:vAlign w:val="bottom"/>
          </w:tcPr>
          <w:p>
            <w:pPr>
              <w:jc w:val="right"/>
              <w:spacing w:after="0"/>
              <w:rPr>
                <w:sz w:val="20"/>
                <w:szCs w:val="20"/>
                <w:color w:val="auto"/>
              </w:rPr>
            </w:pPr>
            <w:r>
              <w:rPr>
                <w:rFonts w:ascii="Arial" w:cs="Arial" w:eastAsia="Arial" w:hAnsi="Arial"/>
                <w:sz w:val="10"/>
                <w:szCs w:val="10"/>
                <w:color w:val="auto"/>
              </w:rPr>
              <w:t>(4)</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0</w:t>
            </w:r>
          </w:p>
        </w:tc>
        <w:tc>
          <w:tcPr>
            <w:tcW w:w="900" w:type="dxa"/>
            <w:vAlign w:val="bottom"/>
          </w:tcPr>
          <w:p>
            <w:pPr>
              <w:jc w:val="right"/>
              <w:ind w:right="232"/>
              <w:spacing w:after="0"/>
              <w:rPr>
                <w:sz w:val="20"/>
                <w:szCs w:val="20"/>
                <w:color w:val="auto"/>
              </w:rPr>
            </w:pPr>
            <w:r>
              <w:rPr>
                <w:rFonts w:ascii="Arial" w:cs="Arial" w:eastAsia="Arial" w:hAnsi="Arial"/>
                <w:sz w:val="10"/>
                <w:szCs w:val="10"/>
                <w:color w:val="auto"/>
              </w:rPr>
              <w:t>0</w:t>
            </w:r>
          </w:p>
        </w:tc>
        <w:tc>
          <w:tcPr>
            <w:tcW w:w="560" w:type="dxa"/>
            <w:vAlign w:val="bottom"/>
          </w:tcPr>
          <w:p>
            <w:pPr>
              <w:jc w:val="right"/>
              <w:ind w:right="32"/>
              <w:spacing w:after="0"/>
              <w:rPr>
                <w:sz w:val="20"/>
                <w:szCs w:val="20"/>
                <w:color w:val="auto"/>
              </w:rPr>
            </w:pPr>
            <w:r>
              <w:rPr>
                <w:rFonts w:ascii="Arial" w:cs="Arial" w:eastAsia="Arial" w:hAnsi="Arial"/>
                <w:sz w:val="10"/>
                <w:szCs w:val="10"/>
                <w:color w:val="auto"/>
              </w:rPr>
              <w:t>28</w:t>
            </w:r>
          </w:p>
        </w:tc>
        <w:tc>
          <w:tcPr>
            <w:tcW w:w="700" w:type="dxa"/>
            <w:vAlign w:val="bottom"/>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26"/>
        </w:trPr>
        <w:tc>
          <w:tcPr>
            <w:tcW w:w="1900" w:type="dxa"/>
            <w:vAlign w:val="bottom"/>
          </w:tcPr>
          <w:p>
            <w:pPr>
              <w:spacing w:after="0"/>
              <w:rPr>
                <w:sz w:val="20"/>
                <w:szCs w:val="20"/>
                <w:color w:val="auto"/>
              </w:rPr>
            </w:pPr>
            <w:r>
              <w:rPr>
                <w:rFonts w:ascii="Arial" w:cs="Arial" w:eastAsia="Arial" w:hAnsi="Arial"/>
                <w:sz w:val="10"/>
                <w:szCs w:val="10"/>
                <w:color w:val="auto"/>
              </w:rPr>
              <w:t>North America - USA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219</w:t>
            </w:r>
          </w:p>
        </w:tc>
        <w:tc>
          <w:tcPr>
            <w:tcW w:w="660" w:type="dxa"/>
            <w:vAlign w:val="bottom"/>
          </w:tcPr>
          <w:p>
            <w:pPr>
              <w:jc w:val="right"/>
              <w:ind w:right="352"/>
              <w:spacing w:after="0"/>
              <w:rPr>
                <w:sz w:val="20"/>
                <w:szCs w:val="20"/>
                <w:color w:val="auto"/>
              </w:rPr>
            </w:pPr>
            <w:r>
              <w:rPr>
                <w:rFonts w:ascii="Arial" w:cs="Arial" w:eastAsia="Arial" w:hAnsi="Arial"/>
                <w:sz w:val="10"/>
                <w:szCs w:val="10"/>
                <w:color w:val="auto"/>
              </w:rPr>
              <w:t>[D]</w:t>
            </w:r>
          </w:p>
        </w:tc>
        <w:tc>
          <w:tcPr>
            <w:tcW w:w="660" w:type="dxa"/>
            <w:vAlign w:val="bottom"/>
          </w:tcPr>
          <w:p>
            <w:pPr>
              <w:jc w:val="right"/>
              <w:ind w:right="72"/>
              <w:spacing w:after="0"/>
              <w:rPr>
                <w:sz w:val="20"/>
                <w:szCs w:val="20"/>
                <w:color w:val="auto"/>
              </w:rPr>
            </w:pPr>
            <w:r>
              <w:rPr>
                <w:rFonts w:ascii="Arial" w:cs="Arial" w:eastAsia="Arial" w:hAnsi="Arial"/>
                <w:sz w:val="10"/>
                <w:szCs w:val="10"/>
                <w:color w:val="auto"/>
              </w:rPr>
              <w:t>132</w:t>
            </w:r>
          </w:p>
        </w:tc>
        <w:tc>
          <w:tcPr>
            <w:tcW w:w="260" w:type="dxa"/>
            <w:vAlign w:val="bottom"/>
          </w:tcPr>
          <w:p>
            <w:pPr>
              <w:jc w:val="right"/>
              <w:spacing w:after="0"/>
              <w:rPr>
                <w:sz w:val="20"/>
                <w:szCs w:val="20"/>
                <w:color w:val="auto"/>
              </w:rPr>
            </w:pPr>
            <w:r>
              <w:rPr>
                <w:rFonts w:ascii="Arial" w:cs="Arial" w:eastAsia="Arial" w:hAnsi="Arial"/>
                <w:sz w:val="10"/>
                <w:szCs w:val="10"/>
                <w:color w:val="auto"/>
              </w:rPr>
              <w:t>[D]</w:t>
            </w:r>
          </w:p>
        </w:tc>
        <w:tc>
          <w:tcPr>
            <w:tcW w:w="1300" w:type="dxa"/>
            <w:vAlign w:val="bottom"/>
          </w:tcPr>
          <w:p>
            <w:pPr>
              <w:jc w:val="right"/>
              <w:ind w:right="332"/>
              <w:spacing w:after="0"/>
              <w:rPr>
                <w:sz w:val="20"/>
                <w:szCs w:val="20"/>
                <w:color w:val="auto"/>
              </w:rPr>
            </w:pPr>
            <w:r>
              <w:rPr>
                <w:rFonts w:ascii="Arial" w:cs="Arial" w:eastAsia="Arial" w:hAnsi="Arial"/>
                <w:sz w:val="10"/>
                <w:szCs w:val="10"/>
                <w:color w:val="auto"/>
              </w:rPr>
              <w:t>(101)</w:t>
            </w:r>
          </w:p>
        </w:tc>
        <w:tc>
          <w:tcPr>
            <w:tcW w:w="820" w:type="dxa"/>
            <w:vAlign w:val="bottom"/>
          </w:tcPr>
          <w:p>
            <w:pPr>
              <w:jc w:val="right"/>
              <w:ind w:right="232"/>
              <w:spacing w:after="0"/>
              <w:rPr>
                <w:sz w:val="20"/>
                <w:szCs w:val="20"/>
                <w:color w:val="auto"/>
              </w:rPr>
            </w:pPr>
            <w:r>
              <w:rPr>
                <w:rFonts w:ascii="Arial" w:cs="Arial" w:eastAsia="Arial" w:hAnsi="Arial"/>
                <w:sz w:val="10"/>
                <w:szCs w:val="10"/>
                <w:color w:val="auto"/>
              </w:rPr>
              <w:t>(38)</w:t>
            </w:r>
          </w:p>
        </w:tc>
        <w:tc>
          <w:tcPr>
            <w:tcW w:w="1040" w:type="dxa"/>
            <w:vAlign w:val="bottom"/>
          </w:tcPr>
          <w:p>
            <w:pPr>
              <w:jc w:val="right"/>
              <w:ind w:right="332"/>
              <w:spacing w:after="0"/>
              <w:rPr>
                <w:sz w:val="20"/>
                <w:szCs w:val="20"/>
                <w:color w:val="auto"/>
              </w:rPr>
            </w:pPr>
            <w:r>
              <w:rPr>
                <w:rFonts w:ascii="Arial" w:cs="Arial" w:eastAsia="Arial" w:hAnsi="Arial"/>
                <w:sz w:val="10"/>
                <w:szCs w:val="10"/>
                <w:color w:val="auto"/>
              </w:rPr>
              <w:t>(90)</w:t>
            </w:r>
          </w:p>
        </w:tc>
        <w:tc>
          <w:tcPr>
            <w:tcW w:w="560" w:type="dxa"/>
            <w:vAlign w:val="bottom"/>
          </w:tcPr>
          <w:p>
            <w:pPr>
              <w:jc w:val="right"/>
              <w:spacing w:after="0"/>
              <w:rPr>
                <w:sz w:val="20"/>
                <w:szCs w:val="20"/>
                <w:color w:val="auto"/>
              </w:rPr>
            </w:pPr>
            <w:r>
              <w:rPr>
                <w:rFonts w:ascii="Arial" w:cs="Arial" w:eastAsia="Arial" w:hAnsi="Arial"/>
                <w:sz w:val="10"/>
                <w:szCs w:val="10"/>
                <w:color w:val="auto"/>
              </w:rPr>
              <w:t>(79)</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64</w:t>
            </w:r>
          </w:p>
        </w:tc>
        <w:tc>
          <w:tcPr>
            <w:tcW w:w="900" w:type="dxa"/>
            <w:vAlign w:val="bottom"/>
          </w:tcPr>
          <w:p>
            <w:pPr>
              <w:jc w:val="right"/>
              <w:ind w:right="232"/>
              <w:spacing w:after="0"/>
              <w:rPr>
                <w:sz w:val="20"/>
                <w:szCs w:val="20"/>
                <w:color w:val="auto"/>
              </w:rPr>
            </w:pPr>
            <w:r>
              <w:rPr>
                <w:rFonts w:ascii="Arial" w:cs="Arial" w:eastAsia="Arial" w:hAnsi="Arial"/>
                <w:sz w:val="10"/>
                <w:szCs w:val="10"/>
                <w:color w:val="auto"/>
              </w:rPr>
              <w:t>28</w:t>
            </w:r>
          </w:p>
        </w:tc>
        <w:tc>
          <w:tcPr>
            <w:tcW w:w="560" w:type="dxa"/>
            <w:vAlign w:val="bottom"/>
          </w:tcPr>
          <w:p>
            <w:pPr>
              <w:jc w:val="right"/>
              <w:ind w:right="32"/>
              <w:spacing w:after="0"/>
              <w:rPr>
                <w:sz w:val="20"/>
                <w:szCs w:val="20"/>
                <w:color w:val="auto"/>
              </w:rPr>
            </w:pPr>
            <w:r>
              <w:rPr>
                <w:rFonts w:ascii="Arial" w:cs="Arial" w:eastAsia="Arial" w:hAnsi="Arial"/>
                <w:sz w:val="10"/>
                <w:szCs w:val="10"/>
                <w:color w:val="auto"/>
              </w:rPr>
              <w:t>92</w:t>
            </w:r>
          </w:p>
        </w:tc>
        <w:tc>
          <w:tcPr>
            <w:tcW w:w="700" w:type="dxa"/>
            <w:vAlign w:val="bottom"/>
          </w:tcPr>
          <w:p>
            <w:pPr>
              <w:jc w:val="right"/>
              <w:spacing w:after="0"/>
              <w:rPr>
                <w:sz w:val="20"/>
                <w:szCs w:val="20"/>
                <w:color w:val="auto"/>
              </w:rPr>
            </w:pPr>
            <w:r>
              <w:rPr>
                <w:rFonts w:ascii="Arial" w:cs="Arial" w:eastAsia="Arial" w:hAnsi="Arial"/>
                <w:sz w:val="10"/>
                <w:szCs w:val="10"/>
                <w:color w:val="auto"/>
              </w:rPr>
              <w:t>43</w:t>
            </w:r>
          </w:p>
        </w:tc>
        <w:tc>
          <w:tcPr>
            <w:tcW w:w="0" w:type="dxa"/>
            <w:vAlign w:val="bottom"/>
          </w:tcPr>
          <w:p>
            <w:pPr>
              <w:spacing w:after="0"/>
              <w:rPr>
                <w:sz w:val="1"/>
                <w:szCs w:val="1"/>
                <w:color w:val="auto"/>
              </w:rPr>
            </w:pPr>
          </w:p>
        </w:tc>
      </w:tr>
      <w:tr>
        <w:trPr>
          <w:trHeight w:val="126"/>
        </w:trPr>
        <w:tc>
          <w:tcPr>
            <w:tcW w:w="1900" w:type="dxa"/>
            <w:vAlign w:val="bottom"/>
          </w:tcPr>
          <w:p>
            <w:pPr>
              <w:spacing w:after="0"/>
              <w:rPr>
                <w:sz w:val="20"/>
                <w:szCs w:val="20"/>
                <w:color w:val="auto"/>
              </w:rPr>
            </w:pPr>
            <w:r>
              <w:rPr>
                <w:rFonts w:ascii="Arial" w:cs="Arial" w:eastAsia="Arial" w:hAnsi="Arial"/>
                <w:sz w:val="10"/>
                <w:szCs w:val="10"/>
                <w:color w:val="auto"/>
              </w:rPr>
              <w:t>North America - Canada</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21</w:t>
            </w:r>
          </w:p>
        </w:tc>
        <w:tc>
          <w:tcPr>
            <w:tcW w:w="660" w:type="dxa"/>
            <w:vAlign w:val="bottom"/>
          </w:tcPr>
          <w:p>
            <w:pPr>
              <w:spacing w:after="0"/>
              <w:rPr>
                <w:sz w:val="10"/>
                <w:szCs w:val="10"/>
                <w:color w:val="auto"/>
              </w:rPr>
            </w:pPr>
          </w:p>
        </w:tc>
        <w:tc>
          <w:tcPr>
            <w:tcW w:w="660" w:type="dxa"/>
            <w:vAlign w:val="bottom"/>
          </w:tcPr>
          <w:p>
            <w:pPr>
              <w:jc w:val="right"/>
              <w:ind w:right="72"/>
              <w:spacing w:after="0"/>
              <w:rPr>
                <w:sz w:val="20"/>
                <w:szCs w:val="20"/>
                <w:color w:val="auto"/>
              </w:rPr>
            </w:pPr>
            <w:r>
              <w:rPr>
                <w:rFonts w:ascii="Arial" w:cs="Arial" w:eastAsia="Arial" w:hAnsi="Arial"/>
                <w:sz w:val="10"/>
                <w:szCs w:val="10"/>
                <w:color w:val="auto"/>
              </w:rPr>
              <w:t>21</w:t>
            </w:r>
          </w:p>
        </w:tc>
        <w:tc>
          <w:tcPr>
            <w:tcW w:w="260" w:type="dxa"/>
            <w:vAlign w:val="bottom"/>
          </w:tcPr>
          <w:p>
            <w:pPr>
              <w:spacing w:after="0"/>
              <w:rPr>
                <w:sz w:val="10"/>
                <w:szCs w:val="10"/>
                <w:color w:val="auto"/>
              </w:rPr>
            </w:pPr>
          </w:p>
        </w:tc>
        <w:tc>
          <w:tcPr>
            <w:tcW w:w="1300" w:type="dxa"/>
            <w:vAlign w:val="bottom"/>
          </w:tcPr>
          <w:p>
            <w:pPr>
              <w:jc w:val="right"/>
              <w:ind w:right="332"/>
              <w:spacing w:after="0"/>
              <w:rPr>
                <w:sz w:val="20"/>
                <w:szCs w:val="20"/>
                <w:color w:val="auto"/>
              </w:rPr>
            </w:pPr>
            <w:r>
              <w:rPr>
                <w:rFonts w:ascii="Arial" w:cs="Arial" w:eastAsia="Arial" w:hAnsi="Arial"/>
                <w:sz w:val="10"/>
                <w:szCs w:val="10"/>
                <w:color w:val="auto"/>
              </w:rPr>
              <w:t>(16)</w:t>
            </w:r>
          </w:p>
        </w:tc>
        <w:tc>
          <w:tcPr>
            <w:tcW w:w="820" w:type="dxa"/>
            <w:vAlign w:val="bottom"/>
          </w:tcPr>
          <w:p>
            <w:pPr>
              <w:jc w:val="right"/>
              <w:ind w:right="232"/>
              <w:spacing w:after="0"/>
              <w:rPr>
                <w:sz w:val="20"/>
                <w:szCs w:val="20"/>
                <w:color w:val="auto"/>
              </w:rPr>
            </w:pPr>
            <w:r>
              <w:rPr>
                <w:rFonts w:ascii="Arial" w:cs="Arial" w:eastAsia="Arial" w:hAnsi="Arial"/>
                <w:sz w:val="10"/>
                <w:szCs w:val="10"/>
                <w:color w:val="auto"/>
              </w:rPr>
              <w:t>(16)</w:t>
            </w:r>
          </w:p>
        </w:tc>
        <w:tc>
          <w:tcPr>
            <w:tcW w:w="1040" w:type="dxa"/>
            <w:vAlign w:val="bottom"/>
          </w:tcPr>
          <w:p>
            <w:pPr>
              <w:jc w:val="right"/>
              <w:ind w:right="332"/>
              <w:spacing w:after="0"/>
              <w:rPr>
                <w:sz w:val="20"/>
                <w:szCs w:val="20"/>
                <w:color w:val="auto"/>
              </w:rPr>
            </w:pPr>
            <w:r>
              <w:rPr>
                <w:rFonts w:ascii="Arial" w:cs="Arial" w:eastAsia="Arial" w:hAnsi="Arial"/>
                <w:sz w:val="10"/>
                <w:szCs w:val="10"/>
                <w:color w:val="auto"/>
              </w:rPr>
              <w:t>0</w:t>
            </w:r>
          </w:p>
        </w:tc>
        <w:tc>
          <w:tcPr>
            <w:tcW w:w="56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10</w:t>
            </w:r>
          </w:p>
        </w:tc>
        <w:tc>
          <w:tcPr>
            <w:tcW w:w="900" w:type="dxa"/>
            <w:vAlign w:val="bottom"/>
          </w:tcPr>
          <w:p>
            <w:pPr>
              <w:jc w:val="right"/>
              <w:ind w:right="232"/>
              <w:spacing w:after="0"/>
              <w:rPr>
                <w:sz w:val="20"/>
                <w:szCs w:val="20"/>
                <w:color w:val="auto"/>
              </w:rPr>
            </w:pPr>
            <w:r>
              <w:rPr>
                <w:rFonts w:ascii="Arial" w:cs="Arial" w:eastAsia="Arial" w:hAnsi="Arial"/>
                <w:sz w:val="10"/>
                <w:szCs w:val="10"/>
                <w:color w:val="auto"/>
              </w:rPr>
              <w:t>10</w:t>
            </w:r>
          </w:p>
        </w:tc>
        <w:tc>
          <w:tcPr>
            <w:tcW w:w="560" w:type="dxa"/>
            <w:vAlign w:val="bottom"/>
          </w:tcPr>
          <w:p>
            <w:pPr>
              <w:jc w:val="right"/>
              <w:ind w:right="32"/>
              <w:spacing w:after="0"/>
              <w:rPr>
                <w:sz w:val="20"/>
                <w:szCs w:val="20"/>
                <w:color w:val="auto"/>
              </w:rPr>
            </w:pPr>
            <w:r>
              <w:rPr>
                <w:rFonts w:ascii="Arial" w:cs="Arial" w:eastAsia="Arial" w:hAnsi="Arial"/>
                <w:sz w:val="10"/>
                <w:szCs w:val="10"/>
                <w:color w:val="auto"/>
              </w:rPr>
              <w:t>15</w:t>
            </w:r>
          </w:p>
        </w:tc>
        <w:tc>
          <w:tcPr>
            <w:tcW w:w="700" w:type="dxa"/>
            <w:vAlign w:val="bottom"/>
          </w:tcPr>
          <w:p>
            <w:pPr>
              <w:jc w:val="right"/>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29"/>
        </w:trPr>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South America</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33</w:t>
            </w:r>
          </w:p>
        </w:tc>
        <w:tc>
          <w:tcPr>
            <w:tcW w:w="6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[E]</w:t>
            </w:r>
          </w:p>
        </w:tc>
        <w:tc>
          <w:tcPr>
            <w:tcW w:w="130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(7)</w:t>
            </w: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(3)</w:t>
            </w: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4</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Total</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421</w:t>
            </w:r>
          </w:p>
        </w:tc>
        <w:tc>
          <w:tcPr>
            <w:tcW w:w="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237</w:t>
            </w: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(133)</w:t>
            </w: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(61)</w:t>
            </w: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(123)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(95)</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106</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49</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271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8" w:hanging="128"/>
        <w:spacing w:after="0"/>
        <w:tabs>
          <w:tab w:leader="none" w:pos="128" w:val="left"/>
        </w:tabs>
        <w:numPr>
          <w:ilvl w:val="0"/>
          <w:numId w:val="195"/>
        </w:numPr>
        <w:rPr>
          <w:rFonts w:ascii="Arial" w:cs="Arial" w:eastAsia="Arial" w:hAnsi="Arial"/>
          <w:sz w:val="7"/>
          <w:szCs w:val="7"/>
          <w:color w:val="auto"/>
        </w:rPr>
      </w:pPr>
      <w:r>
        <w:rPr>
          <w:rFonts w:ascii="Arial" w:cs="Arial" w:eastAsia="Arial" w:hAnsi="Arial"/>
          <w:sz w:val="7"/>
          <w:szCs w:val="7"/>
          <w:color w:val="auto"/>
        </w:rPr>
        <w:t>Wells in the process of exploratory drilling includes wells pending further evaluation.</w:t>
      </w:r>
    </w:p>
    <w:p>
      <w:pPr>
        <w:ind w:left="108" w:hanging="108"/>
        <w:spacing w:after="0"/>
        <w:tabs>
          <w:tab w:leader="none" w:pos="108" w:val="left"/>
        </w:tabs>
        <w:numPr>
          <w:ilvl w:val="0"/>
          <w:numId w:val="195"/>
        </w:numPr>
        <w:rPr>
          <w:rFonts w:ascii="Arial" w:cs="Arial" w:eastAsia="Arial" w:hAnsi="Arial"/>
          <w:sz w:val="7"/>
          <w:szCs w:val="7"/>
          <w:color w:val="auto"/>
        </w:rPr>
      </w:pPr>
      <w:r>
        <w:rPr>
          <w:rFonts w:ascii="Arial" w:cs="Arial" w:eastAsia="Arial" w:hAnsi="Arial"/>
          <w:sz w:val="7"/>
          <w:szCs w:val="7"/>
          <w:color w:val="auto"/>
        </w:rPr>
        <w:t>Corrected from 40 Gross (15 Net); Includes 8 Gross (4 Net) in Shell Australia (SAL) which were relinquished in June 2020</w:t>
      </w:r>
    </w:p>
    <w:p>
      <w:pPr>
        <w:ind w:left="108" w:hanging="108"/>
        <w:spacing w:after="0"/>
        <w:tabs>
          <w:tab w:leader="none" w:pos="108" w:val="left"/>
        </w:tabs>
        <w:numPr>
          <w:ilvl w:val="0"/>
          <w:numId w:val="195"/>
        </w:numPr>
        <w:rPr>
          <w:rFonts w:ascii="Arial" w:cs="Arial" w:eastAsia="Arial" w:hAnsi="Arial"/>
          <w:sz w:val="7"/>
          <w:szCs w:val="7"/>
          <w:color w:val="auto"/>
        </w:rPr>
      </w:pPr>
      <w:r>
        <w:rPr>
          <w:rFonts w:ascii="Arial" w:cs="Arial" w:eastAsia="Arial" w:hAnsi="Arial"/>
          <w:sz w:val="7"/>
          <w:szCs w:val="7"/>
          <w:color w:val="auto"/>
        </w:rPr>
        <w:t>Corrected from 45 (28 Net)</w:t>
      </w:r>
    </w:p>
    <w:p>
      <w:pPr>
        <w:ind w:left="128" w:hanging="128"/>
        <w:spacing w:after="0"/>
        <w:tabs>
          <w:tab w:leader="none" w:pos="128" w:val="left"/>
        </w:tabs>
        <w:numPr>
          <w:ilvl w:val="0"/>
          <w:numId w:val="195"/>
        </w:numPr>
        <w:rPr>
          <w:rFonts w:ascii="Arial" w:cs="Arial" w:eastAsia="Arial" w:hAnsi="Arial"/>
          <w:sz w:val="7"/>
          <w:szCs w:val="7"/>
          <w:color w:val="auto"/>
        </w:rPr>
      </w:pPr>
      <w:r>
        <w:rPr>
          <w:rFonts w:ascii="Arial" w:cs="Arial" w:eastAsia="Arial" w:hAnsi="Arial"/>
          <w:sz w:val="7"/>
          <w:szCs w:val="7"/>
          <w:color w:val="auto"/>
        </w:rPr>
        <w:t>Corrected from 197 (126 Net); Includes 75 Gross (75 Net) sold wells in Tioga that were pending determination at time of sale</w:t>
      </w:r>
    </w:p>
    <w:p>
      <w:pPr>
        <w:ind w:left="108" w:hanging="108"/>
        <w:spacing w:after="0"/>
        <w:tabs>
          <w:tab w:leader="none" w:pos="108" w:val="left"/>
        </w:tabs>
        <w:numPr>
          <w:ilvl w:val="0"/>
          <w:numId w:val="195"/>
        </w:numPr>
        <w:rPr>
          <w:rFonts w:ascii="Arial" w:cs="Arial" w:eastAsia="Arial" w:hAnsi="Arial"/>
          <w:sz w:val="7"/>
          <w:szCs w:val="7"/>
          <w:color w:val="auto"/>
        </w:rPr>
      </w:pPr>
      <w:r>
        <w:rPr>
          <w:rFonts w:ascii="Arial" w:cs="Arial" w:eastAsia="Arial" w:hAnsi="Arial"/>
          <w:sz w:val="7"/>
          <w:szCs w:val="7"/>
          <w:color w:val="auto"/>
        </w:rPr>
        <w:t>Corrected from 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228</w:t>
            </w:r>
          </w:p>
        </w:tc>
      </w:tr>
      <w:tr>
        <w:trPr>
          <w:trHeight w:val="151"/>
        </w:trPr>
        <w:tc>
          <w:tcPr>
            <w:tcW w:w="432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4" w:right="299" w:bottom="1440" w:gutter="0" w:footer="0" w:header="0"/>
        </w:sectPr>
      </w:pPr>
    </w:p>
    <w:bookmarkStart w:id="231" w:name="page232"/>
    <w:bookmarkEnd w:id="231"/>
    <w:p>
      <w:pPr>
        <w:ind w:left="8"/>
        <w:spacing w:after="0"/>
        <w:rPr>
          <w:sz w:val="20"/>
          <w:szCs w:val="20"/>
          <w:color w:val="auto"/>
        </w:rPr>
      </w:pPr>
      <w:r>
        <w:rPr>
          <w:rFonts w:ascii="Arial" w:cs="Arial" w:eastAsia="Arial" w:hAnsi="Arial"/>
          <w:sz w:val="12"/>
          <w:szCs w:val="12"/>
          <w:color w:val="auto"/>
        </w:rPr>
        <w:t>Number of wells in the process of development drilling</w:t>
      </w:r>
    </w:p>
    <w:p>
      <w:pPr>
        <w:spacing w:after="0" w:line="7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220" w:type="dxa"/>
            <w:vAlign w:val="bottom"/>
            <w:tcBorders>
              <w:top w:val="single" w:sz="8" w:color="CDCDCD"/>
            </w:tcBorders>
          </w:tcPr>
          <w:p>
            <w:pPr>
              <w:spacing w:after="0"/>
              <w:rPr>
                <w:sz w:val="13"/>
                <w:szCs w:val="13"/>
                <w:color w:val="auto"/>
              </w:rPr>
            </w:pPr>
          </w:p>
        </w:tc>
        <w:tc>
          <w:tcPr>
            <w:tcW w:w="1260" w:type="dxa"/>
            <w:vAlign w:val="bottom"/>
            <w:tcBorders>
              <w:top w:val="single" w:sz="8" w:color="CDCDCD"/>
            </w:tcBorders>
          </w:tcPr>
          <w:p>
            <w:pPr>
              <w:spacing w:after="0"/>
              <w:rPr>
                <w:sz w:val="13"/>
                <w:szCs w:val="13"/>
                <w:color w:val="auto"/>
              </w:rPr>
            </w:pPr>
          </w:p>
        </w:tc>
        <w:tc>
          <w:tcPr>
            <w:tcW w:w="820" w:type="dxa"/>
            <w:vAlign w:val="bottom"/>
            <w:tcBorders>
              <w:top w:val="single" w:sz="8" w:color="CDCDCD"/>
            </w:tcBorders>
          </w:tcPr>
          <w:p>
            <w:pPr>
              <w:spacing w:after="0"/>
              <w:rPr>
                <w:sz w:val="13"/>
                <w:szCs w:val="13"/>
                <w:color w:val="auto"/>
              </w:rPr>
            </w:pPr>
          </w:p>
        </w:tc>
        <w:tc>
          <w:tcPr>
            <w:tcW w:w="1300" w:type="dxa"/>
            <w:vAlign w:val="bottom"/>
            <w:tcBorders>
              <w:top w:val="single" w:sz="8" w:color="CDCDCD"/>
            </w:tcBorders>
          </w:tcPr>
          <w:p>
            <w:pPr>
              <w:spacing w:after="0"/>
              <w:rPr>
                <w:sz w:val="13"/>
                <w:szCs w:val="13"/>
                <w:color w:val="auto"/>
              </w:rPr>
            </w:pPr>
          </w:p>
        </w:tc>
        <w:tc>
          <w:tcPr>
            <w:tcW w:w="100" w:type="dxa"/>
            <w:vAlign w:val="bottom"/>
            <w:tcBorders>
              <w:top w:val="single" w:sz="8" w:color="CDCDCD"/>
            </w:tcBorders>
          </w:tcPr>
          <w:p>
            <w:pPr>
              <w:spacing w:after="0"/>
              <w:rPr>
                <w:sz w:val="13"/>
                <w:szCs w:val="13"/>
                <w:color w:val="auto"/>
              </w:rPr>
            </w:pPr>
          </w:p>
        </w:tc>
        <w:tc>
          <w:tcPr>
            <w:tcW w:w="1580" w:type="dxa"/>
            <w:vAlign w:val="bottom"/>
            <w:tcBorders>
              <w:top w:val="single" w:sz="8" w:color="CDCDCD"/>
            </w:tcBorders>
          </w:tcPr>
          <w:p>
            <w:pPr>
              <w:spacing w:after="0"/>
              <w:rPr>
                <w:sz w:val="13"/>
                <w:szCs w:val="13"/>
                <w:color w:val="auto"/>
              </w:rPr>
            </w:pPr>
          </w:p>
        </w:tc>
        <w:tc>
          <w:tcPr>
            <w:tcW w:w="96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2020</w:t>
            </w:r>
          </w:p>
        </w:tc>
      </w:tr>
      <w:tr>
        <w:trPr>
          <w:trHeight w:val="127"/>
        </w:trPr>
        <w:tc>
          <w:tcPr>
            <w:tcW w:w="5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2"/>
          </w:tcPr>
          <w:p>
            <w:pPr>
              <w:ind w:left="800"/>
              <w:spacing w:after="0"/>
              <w:rPr>
                <w:sz w:val="20"/>
                <w:szCs w:val="20"/>
                <w:color w:val="auto"/>
              </w:rPr>
            </w:pPr>
            <w:r>
              <w:rPr>
                <w:rFonts w:ascii="Arial" w:cs="Arial" w:eastAsia="Arial" w:hAnsi="Arial"/>
                <w:sz w:val="10"/>
                <w:szCs w:val="10"/>
                <w:color w:val="auto"/>
              </w:rPr>
              <w:t>At January 1</w:t>
            </w:r>
          </w:p>
        </w:tc>
        <w:tc>
          <w:tcPr>
            <w:tcW w:w="15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At December 31</w:t>
            </w:r>
          </w:p>
        </w:tc>
      </w:tr>
      <w:tr>
        <w:trPr>
          <w:trHeight w:val="117"/>
        </w:trPr>
        <w:tc>
          <w:tcPr>
            <w:tcW w:w="5220" w:type="dxa"/>
            <w:vAlign w:val="bottom"/>
            <w:tcBorders>
              <w:bottom w:val="single" w:sz="8" w:color="auto"/>
            </w:tcBorders>
          </w:tcPr>
          <w:p>
            <w:pPr>
              <w:spacing w:after="0"/>
              <w:rPr>
                <w:sz w:val="10"/>
                <w:szCs w:val="1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Gross</w:t>
            </w:r>
          </w:p>
        </w:tc>
        <w:tc>
          <w:tcPr>
            <w:tcW w:w="820" w:type="dxa"/>
            <w:vAlign w:val="bottom"/>
            <w:tcBorders>
              <w:top w:val="single" w:sz="8" w:color="auto"/>
              <w:bottom w:val="single" w:sz="8" w:color="auto"/>
            </w:tcBorders>
          </w:tcPr>
          <w:p>
            <w:pPr>
              <w:spacing w:after="0"/>
              <w:rPr>
                <w:sz w:val="10"/>
                <w:szCs w:val="10"/>
                <w:color w:val="auto"/>
              </w:rPr>
            </w:pPr>
          </w:p>
        </w:tc>
        <w:tc>
          <w:tcPr>
            <w:tcW w:w="13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0"/>
                <w:szCs w:val="10"/>
                <w:color w:val="auto"/>
              </w:rPr>
              <w:t>Net</w:t>
            </w:r>
          </w:p>
        </w:tc>
        <w:tc>
          <w:tcPr>
            <w:tcW w:w="100" w:type="dxa"/>
            <w:vAlign w:val="bottom"/>
            <w:tcBorders>
              <w:bottom w:val="single" w:sz="8" w:color="auto"/>
            </w:tcBorders>
          </w:tcPr>
          <w:p>
            <w:pPr>
              <w:spacing w:after="0"/>
              <w:rPr>
                <w:sz w:val="10"/>
                <w:szCs w:val="10"/>
                <w:color w:val="auto"/>
              </w:rPr>
            </w:pPr>
          </w:p>
        </w:tc>
        <w:tc>
          <w:tcPr>
            <w:tcW w:w="15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rPr>
              <w:t>Gross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Net</w:t>
            </w:r>
          </w:p>
        </w:tc>
      </w:tr>
      <w:tr>
        <w:trPr>
          <w:trHeight w:val="113"/>
        </w:trPr>
        <w:tc>
          <w:tcPr>
            <w:tcW w:w="5220" w:type="dxa"/>
            <w:vAlign w:val="bottom"/>
          </w:tcPr>
          <w:p>
            <w:pPr>
              <w:spacing w:after="0" w:line="113" w:lineRule="exact"/>
              <w:rPr>
                <w:sz w:val="20"/>
                <w:szCs w:val="20"/>
                <w:color w:val="auto"/>
              </w:rPr>
            </w:pPr>
            <w:r>
              <w:rPr>
                <w:rFonts w:ascii="Arial" w:cs="Arial" w:eastAsia="Arial" w:hAnsi="Arial"/>
                <w:sz w:val="10"/>
                <w:szCs w:val="10"/>
                <w:color w:val="auto"/>
              </w:rPr>
              <w:t>Europe</w:t>
            </w:r>
          </w:p>
        </w:tc>
        <w:tc>
          <w:tcPr>
            <w:tcW w:w="1260" w:type="dxa"/>
            <w:vAlign w:val="bottom"/>
          </w:tcPr>
          <w:p>
            <w:pPr>
              <w:jc w:val="right"/>
              <w:spacing w:after="0" w:line="113" w:lineRule="exact"/>
              <w:rPr>
                <w:sz w:val="20"/>
                <w:szCs w:val="20"/>
                <w:color w:val="auto"/>
              </w:rPr>
            </w:pPr>
            <w:r>
              <w:rPr>
                <w:rFonts w:ascii="Arial" w:cs="Arial" w:eastAsia="Arial" w:hAnsi="Arial"/>
                <w:sz w:val="10"/>
                <w:szCs w:val="10"/>
                <w:color w:val="auto"/>
              </w:rPr>
              <w:t>9</w:t>
            </w:r>
          </w:p>
        </w:tc>
        <w:tc>
          <w:tcPr>
            <w:tcW w:w="820" w:type="dxa"/>
            <w:vAlign w:val="bottom"/>
          </w:tcPr>
          <w:p>
            <w:pPr>
              <w:ind w:left="20"/>
              <w:spacing w:after="0" w:line="113" w:lineRule="exact"/>
              <w:rPr>
                <w:sz w:val="20"/>
                <w:szCs w:val="20"/>
                <w:color w:val="auto"/>
              </w:rPr>
            </w:pPr>
            <w:r>
              <w:rPr>
                <w:rFonts w:ascii="Arial" w:cs="Arial" w:eastAsia="Arial" w:hAnsi="Arial"/>
                <w:sz w:val="10"/>
                <w:szCs w:val="10"/>
                <w:color w:val="auto"/>
              </w:rPr>
              <w:t>[A]</w:t>
            </w:r>
          </w:p>
        </w:tc>
        <w:tc>
          <w:tcPr>
            <w:tcW w:w="1300" w:type="dxa"/>
            <w:vAlign w:val="bottom"/>
          </w:tcPr>
          <w:p>
            <w:pPr>
              <w:jc w:val="right"/>
              <w:ind w:right="432"/>
              <w:spacing w:after="0" w:line="113" w:lineRule="exact"/>
              <w:rPr>
                <w:sz w:val="20"/>
                <w:szCs w:val="20"/>
                <w:color w:val="auto"/>
              </w:rPr>
            </w:pPr>
            <w:r>
              <w:rPr>
                <w:rFonts w:ascii="Arial" w:cs="Arial" w:eastAsia="Arial" w:hAnsi="Arial"/>
                <w:sz w:val="10"/>
                <w:szCs w:val="10"/>
                <w:color w:val="auto"/>
              </w:rPr>
              <w:t>3</w:t>
            </w:r>
          </w:p>
        </w:tc>
        <w:tc>
          <w:tcPr>
            <w:tcW w:w="100" w:type="dxa"/>
            <w:vAlign w:val="bottom"/>
          </w:tcPr>
          <w:p>
            <w:pPr>
              <w:spacing w:after="0"/>
              <w:rPr>
                <w:sz w:val="9"/>
                <w:szCs w:val="9"/>
                <w:color w:val="auto"/>
              </w:rPr>
            </w:pPr>
          </w:p>
        </w:tc>
        <w:tc>
          <w:tcPr>
            <w:tcW w:w="1580" w:type="dxa"/>
            <w:vAlign w:val="bottom"/>
          </w:tcPr>
          <w:p>
            <w:pPr>
              <w:jc w:val="right"/>
              <w:ind w:right="312"/>
              <w:spacing w:after="0" w:line="113" w:lineRule="exact"/>
              <w:rPr>
                <w:sz w:val="20"/>
                <w:szCs w:val="20"/>
                <w:color w:val="auto"/>
              </w:rPr>
            </w:pPr>
            <w:r>
              <w:rPr>
                <w:rFonts w:ascii="Arial" w:cs="Arial" w:eastAsia="Arial" w:hAnsi="Arial"/>
                <w:sz w:val="10"/>
                <w:szCs w:val="10"/>
                <w:color w:val="auto"/>
              </w:rPr>
              <w:t>7</w:t>
            </w: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2</w:t>
            </w:r>
          </w:p>
        </w:tc>
      </w:tr>
      <w:tr>
        <w:trPr>
          <w:trHeight w:val="123"/>
        </w:trPr>
        <w:tc>
          <w:tcPr>
            <w:tcW w:w="5220" w:type="dxa"/>
            <w:vAlign w:val="bottom"/>
          </w:tcPr>
          <w:p>
            <w:pPr>
              <w:spacing w:after="0"/>
              <w:rPr>
                <w:sz w:val="20"/>
                <w:szCs w:val="20"/>
                <w:color w:val="auto"/>
              </w:rPr>
            </w:pPr>
            <w:r>
              <w:rPr>
                <w:rFonts w:ascii="Arial" w:cs="Arial" w:eastAsia="Arial" w:hAnsi="Arial"/>
                <w:sz w:val="10"/>
                <w:szCs w:val="10"/>
                <w:color w:val="auto"/>
              </w:rPr>
              <w:t>Asia</w:t>
            </w:r>
          </w:p>
        </w:tc>
        <w:tc>
          <w:tcPr>
            <w:tcW w:w="1260" w:type="dxa"/>
            <w:vAlign w:val="bottom"/>
          </w:tcPr>
          <w:p>
            <w:pPr>
              <w:jc w:val="right"/>
              <w:spacing w:after="0"/>
              <w:rPr>
                <w:sz w:val="20"/>
                <w:szCs w:val="20"/>
                <w:color w:val="auto"/>
              </w:rPr>
            </w:pPr>
            <w:r>
              <w:rPr>
                <w:rFonts w:ascii="Arial" w:cs="Arial" w:eastAsia="Arial" w:hAnsi="Arial"/>
                <w:sz w:val="10"/>
                <w:szCs w:val="10"/>
                <w:color w:val="auto"/>
              </w:rPr>
              <w:t>53</w:t>
            </w:r>
          </w:p>
        </w:tc>
        <w:tc>
          <w:tcPr>
            <w:tcW w:w="820" w:type="dxa"/>
            <w:vAlign w:val="bottom"/>
          </w:tcPr>
          <w:p>
            <w:pPr>
              <w:spacing w:after="0"/>
              <w:rPr>
                <w:sz w:val="10"/>
                <w:szCs w:val="10"/>
                <w:color w:val="auto"/>
              </w:rPr>
            </w:pPr>
          </w:p>
        </w:tc>
        <w:tc>
          <w:tcPr>
            <w:tcW w:w="1300" w:type="dxa"/>
            <w:vAlign w:val="bottom"/>
          </w:tcPr>
          <w:p>
            <w:pPr>
              <w:jc w:val="right"/>
              <w:ind w:right="432"/>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0"/>
                <w:szCs w:val="10"/>
                <w:color w:val="auto"/>
              </w:rPr>
            </w:pPr>
          </w:p>
        </w:tc>
        <w:tc>
          <w:tcPr>
            <w:tcW w:w="1580" w:type="dxa"/>
            <w:vAlign w:val="bottom"/>
          </w:tcPr>
          <w:p>
            <w:pPr>
              <w:jc w:val="right"/>
              <w:ind w:right="312"/>
              <w:spacing w:after="0"/>
              <w:rPr>
                <w:sz w:val="20"/>
                <w:szCs w:val="20"/>
                <w:color w:val="auto"/>
              </w:rPr>
            </w:pPr>
            <w:r>
              <w:rPr>
                <w:rFonts w:ascii="Arial" w:cs="Arial" w:eastAsia="Arial" w:hAnsi="Arial"/>
                <w:sz w:val="10"/>
                <w:szCs w:val="10"/>
                <w:color w:val="auto"/>
              </w:rPr>
              <w:t>41</w:t>
            </w:r>
          </w:p>
        </w:tc>
        <w:tc>
          <w:tcPr>
            <w:tcW w:w="960" w:type="dxa"/>
            <w:vAlign w:val="bottom"/>
          </w:tcPr>
          <w:p>
            <w:pPr>
              <w:jc w:val="right"/>
              <w:spacing w:after="0"/>
              <w:rPr>
                <w:sz w:val="20"/>
                <w:szCs w:val="20"/>
                <w:color w:val="auto"/>
              </w:rPr>
            </w:pPr>
            <w:r>
              <w:rPr>
                <w:rFonts w:ascii="Arial" w:cs="Arial" w:eastAsia="Arial" w:hAnsi="Arial"/>
                <w:sz w:val="10"/>
                <w:szCs w:val="10"/>
                <w:color w:val="auto"/>
              </w:rPr>
              <w:t>24</w:t>
            </w:r>
          </w:p>
        </w:tc>
      </w:tr>
      <w:tr>
        <w:trPr>
          <w:trHeight w:val="126"/>
        </w:trPr>
        <w:tc>
          <w:tcPr>
            <w:tcW w:w="5220" w:type="dxa"/>
            <w:vAlign w:val="bottom"/>
          </w:tcPr>
          <w:p>
            <w:pPr>
              <w:spacing w:after="0"/>
              <w:rPr>
                <w:sz w:val="20"/>
                <w:szCs w:val="20"/>
                <w:color w:val="auto"/>
              </w:rPr>
            </w:pPr>
            <w:r>
              <w:rPr>
                <w:rFonts w:ascii="Arial" w:cs="Arial" w:eastAsia="Arial" w:hAnsi="Arial"/>
                <w:sz w:val="10"/>
                <w:szCs w:val="10"/>
                <w:color w:val="auto"/>
              </w:rPr>
              <w:t>Oceania</w:t>
            </w:r>
          </w:p>
        </w:tc>
        <w:tc>
          <w:tcPr>
            <w:tcW w:w="1260" w:type="dxa"/>
            <w:vAlign w:val="bottom"/>
          </w:tcPr>
          <w:p>
            <w:pPr>
              <w:jc w:val="right"/>
              <w:spacing w:after="0"/>
              <w:rPr>
                <w:sz w:val="20"/>
                <w:szCs w:val="20"/>
                <w:color w:val="auto"/>
              </w:rPr>
            </w:pPr>
            <w:r>
              <w:rPr>
                <w:rFonts w:ascii="Arial" w:cs="Arial" w:eastAsia="Arial" w:hAnsi="Arial"/>
                <w:sz w:val="10"/>
                <w:szCs w:val="10"/>
                <w:color w:val="auto"/>
              </w:rPr>
              <w:t>122</w:t>
            </w:r>
          </w:p>
        </w:tc>
        <w:tc>
          <w:tcPr>
            <w:tcW w:w="820" w:type="dxa"/>
            <w:vAlign w:val="bottom"/>
          </w:tcPr>
          <w:p>
            <w:pPr>
              <w:ind w:left="20"/>
              <w:spacing w:after="0"/>
              <w:rPr>
                <w:sz w:val="20"/>
                <w:szCs w:val="20"/>
                <w:color w:val="auto"/>
              </w:rPr>
            </w:pPr>
            <w:r>
              <w:rPr>
                <w:rFonts w:ascii="Arial" w:cs="Arial" w:eastAsia="Arial" w:hAnsi="Arial"/>
                <w:sz w:val="10"/>
                <w:szCs w:val="10"/>
                <w:color w:val="auto"/>
              </w:rPr>
              <w:t>[B]</w:t>
            </w:r>
          </w:p>
        </w:tc>
        <w:tc>
          <w:tcPr>
            <w:tcW w:w="1300" w:type="dxa"/>
            <w:vAlign w:val="bottom"/>
          </w:tcPr>
          <w:p>
            <w:pPr>
              <w:jc w:val="right"/>
              <w:ind w:right="432"/>
              <w:spacing w:after="0"/>
              <w:rPr>
                <w:sz w:val="20"/>
                <w:szCs w:val="20"/>
                <w:color w:val="auto"/>
              </w:rPr>
            </w:pPr>
            <w:r>
              <w:rPr>
                <w:rFonts w:ascii="Arial" w:cs="Arial" w:eastAsia="Arial" w:hAnsi="Arial"/>
                <w:sz w:val="10"/>
                <w:szCs w:val="10"/>
                <w:color w:val="auto"/>
              </w:rPr>
              <w:t>71</w:t>
            </w:r>
          </w:p>
        </w:tc>
        <w:tc>
          <w:tcPr>
            <w:tcW w:w="100" w:type="dxa"/>
            <w:vAlign w:val="bottom"/>
          </w:tcPr>
          <w:p>
            <w:pPr>
              <w:spacing w:after="0"/>
              <w:rPr>
                <w:sz w:val="10"/>
                <w:szCs w:val="10"/>
                <w:color w:val="auto"/>
              </w:rPr>
            </w:pPr>
          </w:p>
        </w:tc>
        <w:tc>
          <w:tcPr>
            <w:tcW w:w="1580" w:type="dxa"/>
            <w:vAlign w:val="bottom"/>
          </w:tcPr>
          <w:p>
            <w:pPr>
              <w:jc w:val="right"/>
              <w:ind w:right="312"/>
              <w:spacing w:after="0"/>
              <w:rPr>
                <w:sz w:val="20"/>
                <w:szCs w:val="20"/>
                <w:color w:val="auto"/>
              </w:rPr>
            </w:pPr>
            <w:r>
              <w:rPr>
                <w:rFonts w:ascii="Arial" w:cs="Arial" w:eastAsia="Arial" w:hAnsi="Arial"/>
                <w:sz w:val="10"/>
                <w:szCs w:val="10"/>
                <w:color w:val="auto"/>
              </w:rPr>
              <w:t>191</w:t>
            </w:r>
          </w:p>
        </w:tc>
        <w:tc>
          <w:tcPr>
            <w:tcW w:w="960" w:type="dxa"/>
            <w:vAlign w:val="bottom"/>
          </w:tcPr>
          <w:p>
            <w:pPr>
              <w:jc w:val="right"/>
              <w:spacing w:after="0"/>
              <w:rPr>
                <w:sz w:val="20"/>
                <w:szCs w:val="20"/>
                <w:color w:val="auto"/>
              </w:rPr>
            </w:pPr>
            <w:r>
              <w:rPr>
                <w:rFonts w:ascii="Arial" w:cs="Arial" w:eastAsia="Arial" w:hAnsi="Arial"/>
                <w:sz w:val="10"/>
                <w:szCs w:val="10"/>
                <w:color w:val="auto"/>
              </w:rPr>
              <w:t>124</w:t>
            </w:r>
          </w:p>
        </w:tc>
      </w:tr>
      <w:tr>
        <w:trPr>
          <w:trHeight w:val="126"/>
        </w:trPr>
        <w:tc>
          <w:tcPr>
            <w:tcW w:w="5220" w:type="dxa"/>
            <w:vAlign w:val="bottom"/>
          </w:tcPr>
          <w:p>
            <w:pPr>
              <w:spacing w:after="0"/>
              <w:rPr>
                <w:sz w:val="20"/>
                <w:szCs w:val="20"/>
                <w:color w:val="auto"/>
              </w:rPr>
            </w:pPr>
            <w:r>
              <w:rPr>
                <w:rFonts w:ascii="Arial" w:cs="Arial" w:eastAsia="Arial" w:hAnsi="Arial"/>
                <w:sz w:val="10"/>
                <w:szCs w:val="10"/>
                <w:color w:val="auto"/>
              </w:rPr>
              <w:t>Africa</w:t>
            </w:r>
          </w:p>
        </w:tc>
        <w:tc>
          <w:tcPr>
            <w:tcW w:w="1260" w:type="dxa"/>
            <w:vAlign w:val="bottom"/>
          </w:tcPr>
          <w:p>
            <w:pPr>
              <w:jc w:val="right"/>
              <w:spacing w:after="0"/>
              <w:rPr>
                <w:sz w:val="20"/>
                <w:szCs w:val="20"/>
                <w:color w:val="auto"/>
              </w:rPr>
            </w:pPr>
            <w:r>
              <w:rPr>
                <w:rFonts w:ascii="Arial" w:cs="Arial" w:eastAsia="Arial" w:hAnsi="Arial"/>
                <w:sz w:val="10"/>
                <w:szCs w:val="10"/>
                <w:color w:val="auto"/>
              </w:rPr>
              <w:t>5</w:t>
            </w:r>
          </w:p>
        </w:tc>
        <w:tc>
          <w:tcPr>
            <w:tcW w:w="820" w:type="dxa"/>
            <w:vAlign w:val="bottom"/>
          </w:tcPr>
          <w:p>
            <w:pPr>
              <w:spacing w:after="0"/>
              <w:rPr>
                <w:sz w:val="10"/>
                <w:szCs w:val="10"/>
                <w:color w:val="auto"/>
              </w:rPr>
            </w:pPr>
          </w:p>
        </w:tc>
        <w:tc>
          <w:tcPr>
            <w:tcW w:w="1300" w:type="dxa"/>
            <w:vAlign w:val="bottom"/>
          </w:tcPr>
          <w:p>
            <w:pPr>
              <w:jc w:val="right"/>
              <w:ind w:right="432"/>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1580" w:type="dxa"/>
            <w:vAlign w:val="bottom"/>
          </w:tcPr>
          <w:p>
            <w:pPr>
              <w:jc w:val="right"/>
              <w:ind w:right="312"/>
              <w:spacing w:after="0"/>
              <w:rPr>
                <w:sz w:val="20"/>
                <w:szCs w:val="20"/>
                <w:color w:val="auto"/>
              </w:rPr>
            </w:pPr>
            <w:r>
              <w:rPr>
                <w:rFonts w:ascii="Arial" w:cs="Arial" w:eastAsia="Arial" w:hAnsi="Arial"/>
                <w:sz w:val="10"/>
                <w:szCs w:val="10"/>
                <w:color w:val="auto"/>
              </w:rPr>
              <w:t>4</w:t>
            </w:r>
          </w:p>
        </w:tc>
        <w:tc>
          <w:tcPr>
            <w:tcW w:w="96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26"/>
        </w:trPr>
        <w:tc>
          <w:tcPr>
            <w:tcW w:w="5220" w:type="dxa"/>
            <w:vAlign w:val="bottom"/>
          </w:tcPr>
          <w:p>
            <w:pPr>
              <w:spacing w:after="0"/>
              <w:rPr>
                <w:sz w:val="20"/>
                <w:szCs w:val="20"/>
                <w:color w:val="auto"/>
              </w:rPr>
            </w:pPr>
            <w:r>
              <w:rPr>
                <w:rFonts w:ascii="Arial" w:cs="Arial" w:eastAsia="Arial" w:hAnsi="Arial"/>
                <w:sz w:val="10"/>
                <w:szCs w:val="10"/>
                <w:color w:val="auto"/>
              </w:rPr>
              <w:t>North America - USA</w:t>
            </w:r>
          </w:p>
        </w:tc>
        <w:tc>
          <w:tcPr>
            <w:tcW w:w="1260" w:type="dxa"/>
            <w:vAlign w:val="bottom"/>
          </w:tcPr>
          <w:p>
            <w:pPr>
              <w:jc w:val="right"/>
              <w:spacing w:after="0"/>
              <w:rPr>
                <w:sz w:val="20"/>
                <w:szCs w:val="20"/>
                <w:color w:val="auto"/>
              </w:rPr>
            </w:pPr>
            <w:r>
              <w:rPr>
                <w:rFonts w:ascii="Arial" w:cs="Arial" w:eastAsia="Arial" w:hAnsi="Arial"/>
                <w:sz w:val="10"/>
                <w:szCs w:val="10"/>
                <w:color w:val="auto"/>
              </w:rPr>
              <w:t>41</w:t>
            </w:r>
          </w:p>
        </w:tc>
        <w:tc>
          <w:tcPr>
            <w:tcW w:w="820" w:type="dxa"/>
            <w:vAlign w:val="bottom"/>
          </w:tcPr>
          <w:p>
            <w:pPr>
              <w:spacing w:after="0"/>
              <w:rPr>
                <w:sz w:val="10"/>
                <w:szCs w:val="10"/>
                <w:color w:val="auto"/>
              </w:rPr>
            </w:pPr>
          </w:p>
        </w:tc>
        <w:tc>
          <w:tcPr>
            <w:tcW w:w="1300" w:type="dxa"/>
            <w:vAlign w:val="bottom"/>
          </w:tcPr>
          <w:p>
            <w:pPr>
              <w:jc w:val="right"/>
              <w:ind w:right="432"/>
              <w:spacing w:after="0"/>
              <w:rPr>
                <w:sz w:val="20"/>
                <w:szCs w:val="20"/>
                <w:color w:val="auto"/>
              </w:rPr>
            </w:pPr>
            <w:r>
              <w:rPr>
                <w:rFonts w:ascii="Arial" w:cs="Arial" w:eastAsia="Arial" w:hAnsi="Arial"/>
                <w:sz w:val="10"/>
                <w:szCs w:val="10"/>
                <w:color w:val="auto"/>
              </w:rPr>
              <w:t>34</w:t>
            </w:r>
          </w:p>
        </w:tc>
        <w:tc>
          <w:tcPr>
            <w:tcW w:w="100" w:type="dxa"/>
            <w:vAlign w:val="bottom"/>
          </w:tcPr>
          <w:p>
            <w:pPr>
              <w:spacing w:after="0"/>
              <w:rPr>
                <w:sz w:val="10"/>
                <w:szCs w:val="10"/>
                <w:color w:val="auto"/>
              </w:rPr>
            </w:pPr>
          </w:p>
        </w:tc>
        <w:tc>
          <w:tcPr>
            <w:tcW w:w="1580" w:type="dxa"/>
            <w:vAlign w:val="bottom"/>
          </w:tcPr>
          <w:p>
            <w:pPr>
              <w:jc w:val="right"/>
              <w:ind w:right="312"/>
              <w:spacing w:after="0"/>
              <w:rPr>
                <w:sz w:val="20"/>
                <w:szCs w:val="20"/>
                <w:color w:val="auto"/>
              </w:rPr>
            </w:pPr>
            <w:r>
              <w:rPr>
                <w:rFonts w:ascii="Arial" w:cs="Arial" w:eastAsia="Arial" w:hAnsi="Arial"/>
                <w:sz w:val="10"/>
                <w:szCs w:val="10"/>
                <w:color w:val="auto"/>
              </w:rPr>
              <w:t>30</w:t>
            </w:r>
          </w:p>
        </w:tc>
        <w:tc>
          <w:tcPr>
            <w:tcW w:w="960" w:type="dxa"/>
            <w:vAlign w:val="bottom"/>
          </w:tcPr>
          <w:p>
            <w:pPr>
              <w:jc w:val="right"/>
              <w:spacing w:after="0"/>
              <w:rPr>
                <w:sz w:val="20"/>
                <w:szCs w:val="20"/>
                <w:color w:val="auto"/>
              </w:rPr>
            </w:pPr>
            <w:r>
              <w:rPr>
                <w:rFonts w:ascii="Arial" w:cs="Arial" w:eastAsia="Arial" w:hAnsi="Arial"/>
                <w:sz w:val="10"/>
                <w:szCs w:val="10"/>
                <w:color w:val="auto"/>
              </w:rPr>
              <w:t>20</w:t>
            </w:r>
          </w:p>
        </w:tc>
      </w:tr>
      <w:tr>
        <w:trPr>
          <w:trHeight w:val="126"/>
        </w:trPr>
        <w:tc>
          <w:tcPr>
            <w:tcW w:w="5220" w:type="dxa"/>
            <w:vAlign w:val="bottom"/>
          </w:tcPr>
          <w:p>
            <w:pPr>
              <w:spacing w:after="0"/>
              <w:rPr>
                <w:sz w:val="20"/>
                <w:szCs w:val="20"/>
                <w:color w:val="auto"/>
              </w:rPr>
            </w:pPr>
            <w:r>
              <w:rPr>
                <w:rFonts w:ascii="Arial" w:cs="Arial" w:eastAsia="Arial" w:hAnsi="Arial"/>
                <w:sz w:val="10"/>
                <w:szCs w:val="10"/>
                <w:color w:val="auto"/>
              </w:rPr>
              <w:t>North America - Canada</w:t>
            </w:r>
          </w:p>
        </w:tc>
        <w:tc>
          <w:tcPr>
            <w:tcW w:w="1260" w:type="dxa"/>
            <w:vAlign w:val="bottom"/>
          </w:tcPr>
          <w:p>
            <w:pPr>
              <w:jc w:val="right"/>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0"/>
                <w:szCs w:val="1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0"/>
                <w:szCs w:val="10"/>
                <w:color w:val="auto"/>
              </w:rPr>
              <w:t>—</w:t>
            </w:r>
          </w:p>
        </w:tc>
        <w:tc>
          <w:tcPr>
            <w:tcW w:w="158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0"/>
        </w:trPr>
        <w:tc>
          <w:tcPr>
            <w:tcW w:w="52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South America</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w:t>
            </w:r>
          </w:p>
        </w:tc>
        <w:tc>
          <w:tcPr>
            <w:tcW w:w="8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8</w:t>
            </w:r>
          </w:p>
        </w:tc>
        <w:tc>
          <w:tcPr>
            <w:tcW w:w="1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30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r>
      <w:tr>
        <w:trPr>
          <w:trHeight w:val="117"/>
        </w:trPr>
        <w:tc>
          <w:tcPr>
            <w:tcW w:w="52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242</w:t>
            </w:r>
          </w:p>
        </w:tc>
        <w:tc>
          <w:tcPr>
            <w:tcW w:w="8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139</w:t>
            </w: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303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192</w:t>
            </w:r>
          </w:p>
        </w:tc>
      </w:tr>
    </w:tbl>
    <w:p>
      <w:pPr>
        <w:spacing w:after="0" w:line="362" w:lineRule="exact"/>
        <w:rPr>
          <w:sz w:val="20"/>
          <w:szCs w:val="20"/>
          <w:color w:val="auto"/>
        </w:rPr>
      </w:pPr>
    </w:p>
    <w:p>
      <w:pPr>
        <w:ind w:left="128" w:hanging="128"/>
        <w:spacing w:after="0"/>
        <w:tabs>
          <w:tab w:leader="none" w:pos="128" w:val="left"/>
        </w:tabs>
        <w:numPr>
          <w:ilvl w:val="0"/>
          <w:numId w:val="196"/>
        </w:numPr>
        <w:rPr>
          <w:rFonts w:ascii="Arial" w:cs="Arial" w:eastAsia="Arial" w:hAnsi="Arial"/>
          <w:sz w:val="7"/>
          <w:szCs w:val="7"/>
          <w:color w:val="auto"/>
        </w:rPr>
      </w:pPr>
      <w:r>
        <w:rPr>
          <w:rFonts w:ascii="Arial" w:cs="Arial" w:eastAsia="Arial" w:hAnsi="Arial"/>
          <w:sz w:val="7"/>
          <w:szCs w:val="7"/>
          <w:color w:val="auto"/>
        </w:rPr>
        <w:t>Corrected from 11</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196"/>
        </w:numPr>
        <w:rPr>
          <w:rFonts w:ascii="Arial" w:cs="Arial" w:eastAsia="Arial" w:hAnsi="Arial"/>
          <w:sz w:val="7"/>
          <w:szCs w:val="7"/>
          <w:color w:val="auto"/>
        </w:rPr>
      </w:pPr>
      <w:r>
        <w:rPr>
          <w:rFonts w:ascii="Arial" w:cs="Arial" w:eastAsia="Arial" w:hAnsi="Arial"/>
          <w:sz w:val="7"/>
          <w:szCs w:val="7"/>
          <w:color w:val="auto"/>
        </w:rPr>
        <w:t>Corrected from 123</w:t>
      </w:r>
    </w:p>
    <w:p>
      <w:pPr>
        <w:spacing w:after="0" w:line="151" w:lineRule="exact"/>
        <w:rPr>
          <w:sz w:val="20"/>
          <w:szCs w:val="20"/>
          <w:color w:val="auto"/>
        </w:rPr>
      </w:pPr>
    </w:p>
    <w:p>
      <w:pPr>
        <w:ind w:left="8" w:right="220"/>
        <w:spacing w:after="0" w:line="239" w:lineRule="auto"/>
        <w:rPr>
          <w:sz w:val="20"/>
          <w:szCs w:val="20"/>
          <w:color w:val="auto"/>
        </w:rPr>
      </w:pPr>
      <w:r>
        <w:rPr>
          <w:rFonts w:ascii="Arial" w:cs="Arial" w:eastAsia="Arial" w:hAnsi="Arial"/>
          <w:sz w:val="10"/>
          <w:szCs w:val="10"/>
          <w:color w:val="auto"/>
        </w:rPr>
        <w:t>In addition to the present activities mentioned above, the following recovery methods are operational in the following countries: water flooding (Brazil (including water alternating gas), Brunei, Egypt, Malaysia, Nigeria, Norway, Oman, Russia, the UK and the USA); gas injection (Brunei, Kazakhstan, Malaysia, Nigeria and Oman); steam injection (the Netherlands, Oman and the USA), and polymer flooding (Oman).</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229</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4" w:right="29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548640" cy="2286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48640" cy="22860"/>
                    </a:xfrm>
                    <a:prstGeom prst="rect">
                      <a:avLst/>
                    </a:prstGeom>
                    <a:noFill/>
                  </pic:spPr>
                </pic:pic>
              </a:graphicData>
            </a:graphic>
          </wp:anchor>
        </w:drawing>
      </w:r>
    </w:p>
    <w:p>
      <w:pPr>
        <w:spacing w:after="0" w:line="229" w:lineRule="exact"/>
        <w:rPr>
          <w:sz w:val="20"/>
          <w:szCs w:val="20"/>
          <w:color w:val="auto"/>
        </w:rPr>
      </w:pPr>
    </w:p>
    <w:p>
      <w:pPr>
        <w:ind w:right="1140"/>
        <w:spacing w:after="0" w:line="258" w:lineRule="auto"/>
        <w:rPr>
          <w:sz w:val="20"/>
          <w:szCs w:val="20"/>
          <w:color w:val="auto"/>
        </w:rPr>
      </w:pPr>
      <w:r>
        <w:rPr>
          <w:rFonts w:ascii="Arial" w:cs="Arial" w:eastAsia="Arial" w:hAnsi="Arial"/>
          <w:sz w:val="13"/>
          <w:szCs w:val="13"/>
          <w:b w:val="1"/>
          <w:bCs w:val="1"/>
          <w:color w:val="auto"/>
        </w:rPr>
        <w:t>TO COMPUTERSHARE TRUSTEES (JERSEY) LIMITED AS TRUSTEE OF ROYAL DUTCH SHELL DIVIDEND ACCESS TRUST AND THE BOARD OF DIRECTORS AND SHAREHOLDERS OF ROYAL DUTCH SHELL PLC</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Opinion on the Financial Statements</w:t>
      </w:r>
    </w:p>
    <w:p>
      <w:pPr>
        <w:spacing w:after="0" w:line="147" w:lineRule="exact"/>
        <w:rPr>
          <w:sz w:val="20"/>
          <w:szCs w:val="20"/>
          <w:color w:val="auto"/>
        </w:rPr>
      </w:pPr>
    </w:p>
    <w:p>
      <w:pPr>
        <w:ind w:right="40"/>
        <w:spacing w:after="0" w:line="320" w:lineRule="auto"/>
        <w:rPr>
          <w:sz w:val="20"/>
          <w:szCs w:val="20"/>
          <w:color w:val="auto"/>
        </w:rPr>
      </w:pPr>
      <w:r>
        <w:rPr>
          <w:rFonts w:ascii="Arial" w:cs="Arial" w:eastAsia="Arial" w:hAnsi="Arial"/>
          <w:sz w:val="8"/>
          <w:szCs w:val="8"/>
          <w:color w:val="auto"/>
        </w:rPr>
        <w:t>We have audited the accompanying balance sheets of Royal Dutch Shell Dividend Access Trust (the Trust) as of December 31, 2020 and 2019, the related statements of income, comprehensive income, changes in equity and cash flows for each of the three years in the period ended December 31, 2020, and the related notes (collectively referred to as the ‘Financial Statements’). In our opinion, the Financial Statements present fairly, in all material respects, the financial position of the Trust at December 31, 2020 and 2019, and the results of its operations and its cash flows for each of the three years in the period ended December 31, 2020, in accordance with International Financial Reporting Standards as issued by the International Accounting Standards Board.</w:t>
      </w:r>
    </w:p>
    <w:p>
      <w:pPr>
        <w:spacing w:after="0" w:line="118" w:lineRule="exact"/>
        <w:rPr>
          <w:sz w:val="20"/>
          <w:szCs w:val="20"/>
          <w:color w:val="auto"/>
        </w:rPr>
      </w:pPr>
    </w:p>
    <w:p>
      <w:pPr>
        <w:ind w:right="40"/>
        <w:spacing w:after="0" w:line="239" w:lineRule="auto"/>
        <w:rPr>
          <w:sz w:val="20"/>
          <w:szCs w:val="20"/>
          <w:color w:val="auto"/>
        </w:rPr>
      </w:pPr>
      <w:r>
        <w:rPr>
          <w:rFonts w:ascii="Arial" w:cs="Arial" w:eastAsia="Arial" w:hAnsi="Arial"/>
          <w:sz w:val="10"/>
          <w:szCs w:val="10"/>
          <w:color w:val="auto"/>
        </w:rPr>
        <w:t>We also have audited, in accordance with the standards of the Public Company Accounting Oversight Board (United States) (PCAOB), the Trust's internal control over financial reporting as of December 31, 2020, based on criteria established in Internal Control-Integrated Framework issued by the Committee of Sponsoring Organizations of the Treadway Commission (2013 framework), and our report dated March 10, 2021, expressed an unqualified opinion thereon.</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Basis for Opinion</w:t>
      </w:r>
    </w:p>
    <w:p>
      <w:pPr>
        <w:spacing w:after="0" w:line="154" w:lineRule="exact"/>
        <w:rPr>
          <w:sz w:val="20"/>
          <w:szCs w:val="20"/>
          <w:color w:val="auto"/>
        </w:rPr>
      </w:pPr>
    </w:p>
    <w:p>
      <w:pPr>
        <w:ind w:right="360"/>
        <w:spacing w:after="0" w:line="358" w:lineRule="auto"/>
        <w:rPr>
          <w:sz w:val="20"/>
          <w:szCs w:val="20"/>
          <w:color w:val="auto"/>
        </w:rPr>
      </w:pPr>
      <w:r>
        <w:rPr>
          <w:rFonts w:ascii="Arial" w:cs="Arial" w:eastAsia="Arial" w:hAnsi="Arial"/>
          <w:sz w:val="8"/>
          <w:szCs w:val="8"/>
          <w:color w:val="auto"/>
        </w:rPr>
        <w:t>These Financial Statements are the responsibility of the trustee of the Trust (the Trustee) and the management of Royal Dutch Shell plc (the management). Our responsibility is to express an opinion on the Trust’s financial statements based on our audits.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104" w:lineRule="exact"/>
        <w:rPr>
          <w:sz w:val="20"/>
          <w:szCs w:val="20"/>
          <w:color w:val="auto"/>
        </w:rPr>
      </w:pPr>
    </w:p>
    <w:p>
      <w:pPr>
        <w:jc w:val="both"/>
        <w:ind w:right="200"/>
        <w:spacing w:after="0" w:line="320" w:lineRule="auto"/>
        <w:rPr>
          <w:sz w:val="20"/>
          <w:szCs w:val="20"/>
          <w:color w:val="auto"/>
        </w:rPr>
      </w:pPr>
      <w:r>
        <w:rPr>
          <w:rFonts w:ascii="Arial" w:cs="Arial" w:eastAsia="Arial" w:hAnsi="Arial"/>
          <w:sz w:val="8"/>
          <w:szCs w:val="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Critical Audit Matters</w:t>
      </w:r>
    </w:p>
    <w:p>
      <w:pPr>
        <w:spacing w:after="0" w:line="136" w:lineRule="exact"/>
        <w:rPr>
          <w:sz w:val="20"/>
          <w:szCs w:val="20"/>
          <w:color w:val="auto"/>
        </w:rPr>
      </w:pPr>
    </w:p>
    <w:p>
      <w:pPr>
        <w:ind w:right="280"/>
        <w:spacing w:after="0" w:line="239" w:lineRule="auto"/>
        <w:rPr>
          <w:sz w:val="20"/>
          <w:szCs w:val="20"/>
          <w:color w:val="auto"/>
        </w:rPr>
      </w:pPr>
      <w:r>
        <w:rPr>
          <w:rFonts w:ascii="Arial" w:cs="Arial" w:eastAsia="Arial" w:hAnsi="Arial"/>
          <w:sz w:val="10"/>
          <w:szCs w:val="10"/>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judgements. We determined that there are no critical audit matters.</w:t>
      </w: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/s/ Ernst &amp; Young LLP</w:t>
      </w:r>
    </w:p>
    <w:p>
      <w:pPr>
        <w:spacing w:after="0" w:line="227" w:lineRule="auto"/>
        <w:rPr>
          <w:sz w:val="20"/>
          <w:szCs w:val="20"/>
          <w:color w:val="auto"/>
        </w:rPr>
      </w:pPr>
      <w:r>
        <w:rPr>
          <w:rFonts w:ascii="Arial" w:cs="Arial" w:eastAsia="Arial" w:hAnsi="Arial"/>
          <w:sz w:val="10"/>
          <w:szCs w:val="10"/>
          <w:color w:val="auto"/>
        </w:rPr>
        <w:t>We have served as the Trust’s auditor since 2016.</w:t>
      </w:r>
    </w:p>
    <w:p>
      <w:pPr>
        <w:spacing w:after="0" w:line="225" w:lineRule="auto"/>
        <w:rPr>
          <w:sz w:val="20"/>
          <w:szCs w:val="20"/>
          <w:color w:val="auto"/>
        </w:rPr>
      </w:pPr>
      <w:r>
        <w:rPr>
          <w:rFonts w:ascii="Arial" w:cs="Arial" w:eastAsia="Arial" w:hAnsi="Arial"/>
          <w:sz w:val="10"/>
          <w:szCs w:val="10"/>
          <w:color w:val="auto"/>
        </w:rPr>
        <w:t>London, United Kingdom</w:t>
      </w:r>
    </w:p>
    <w:p>
      <w:pPr>
        <w:spacing w:after="0" w:line="237" w:lineRule="auto"/>
        <w:rPr>
          <w:sz w:val="20"/>
          <w:szCs w:val="20"/>
          <w:color w:val="auto"/>
        </w:rPr>
      </w:pPr>
      <w:r>
        <w:rPr>
          <w:rFonts w:ascii="Arial" w:cs="Arial" w:eastAsia="Arial" w:hAnsi="Arial"/>
          <w:sz w:val="10"/>
          <w:szCs w:val="10"/>
          <w:color w:val="auto"/>
        </w:rPr>
        <w:t>March 10, 2021</w:t>
      </w:r>
    </w:p>
    <w:p>
      <w:pPr>
        <w:spacing w:after="0" w:line="147" w:lineRule="exact"/>
        <w:rPr>
          <w:sz w:val="20"/>
          <w:szCs w:val="20"/>
          <w:color w:val="auto"/>
        </w:rPr>
      </w:pPr>
    </w:p>
    <w:p>
      <w:pPr>
        <w:ind w:right="1140"/>
        <w:spacing w:after="0" w:line="253" w:lineRule="auto"/>
        <w:rPr>
          <w:sz w:val="20"/>
          <w:szCs w:val="20"/>
          <w:color w:val="auto"/>
        </w:rPr>
      </w:pPr>
      <w:r>
        <w:rPr>
          <w:rFonts w:ascii="Arial" w:cs="Arial" w:eastAsia="Arial" w:hAnsi="Arial"/>
          <w:sz w:val="13"/>
          <w:szCs w:val="13"/>
          <w:b w:val="1"/>
          <w:bCs w:val="1"/>
          <w:color w:val="auto"/>
        </w:rPr>
        <w:t>TO COMPUTERSHARE TRUSTEES (JERSEY) LIMITED AS TRUSTEE OF ROYAL DUTCH SHELL DIVIDEND ACCESS TRUST AND THE BOARD OF DIRECTORS AND SHAREHOLDERS OF ROYAL DUTCH SHELL PLC</w:t>
      </w:r>
    </w:p>
    <w:p>
      <w:pPr>
        <w:spacing w:after="0" w:line="227" w:lineRule="auto"/>
        <w:rPr>
          <w:sz w:val="20"/>
          <w:szCs w:val="20"/>
          <w:color w:val="auto"/>
        </w:rPr>
      </w:pPr>
      <w:r>
        <w:rPr>
          <w:rFonts w:ascii="Arial" w:cs="Arial" w:eastAsia="Arial" w:hAnsi="Arial"/>
          <w:sz w:val="10"/>
          <w:szCs w:val="10"/>
          <w:b w:val="1"/>
          <w:bCs w:val="1"/>
          <w:color w:val="auto"/>
        </w:rPr>
        <w:t>Opinion on Internal Control over Financial Reporting</w:t>
      </w:r>
    </w:p>
    <w:p>
      <w:pPr>
        <w:ind w:right="420"/>
        <w:spacing w:after="0" w:line="337" w:lineRule="auto"/>
        <w:rPr>
          <w:sz w:val="20"/>
          <w:szCs w:val="20"/>
          <w:color w:val="auto"/>
        </w:rPr>
      </w:pPr>
      <w:r>
        <w:rPr>
          <w:rFonts w:ascii="Arial" w:cs="Arial" w:eastAsia="Arial" w:hAnsi="Arial"/>
          <w:sz w:val="8"/>
          <w:szCs w:val="8"/>
          <w:color w:val="auto"/>
        </w:rPr>
        <w:t>We have audited Royal Dutch Shell Dividend Access Trust’s (the Trust) internal control over financial reporting as of December 31, 2020, based on criteria established in Internal Control— Integrated Framework issued by the Committee of Sponsoring Organizations of the Treadway Commission (2013 framework) (the COSO criteria). In our opinion, the Trust maintained, in all material respects, effective internal control over financial reporting as of December 31, 2020, based on the COSO criteria</w:t>
      </w:r>
      <w:r>
        <w:rPr>
          <w:rFonts w:ascii="Arial" w:cs="Arial" w:eastAsia="Arial" w:hAnsi="Arial"/>
          <w:sz w:val="8"/>
          <w:szCs w:val="8"/>
          <w:color w:val="231F20"/>
        </w:rPr>
        <w:t>.</w:t>
      </w:r>
    </w:p>
    <w:p>
      <w:pPr>
        <w:spacing w:after="0" w:line="112" w:lineRule="exact"/>
        <w:rPr>
          <w:sz w:val="20"/>
          <w:szCs w:val="20"/>
          <w:color w:val="auto"/>
        </w:rPr>
      </w:pPr>
    </w:p>
    <w:p>
      <w:pPr>
        <w:spacing w:after="0"/>
        <w:rPr>
          <w:sz w:val="20"/>
          <w:szCs w:val="20"/>
          <w:color w:val="auto"/>
        </w:rPr>
      </w:pPr>
      <w:r>
        <w:rPr>
          <w:rFonts w:ascii="Arial" w:cs="Arial" w:eastAsia="Arial" w:hAnsi="Arial"/>
          <w:sz w:val="10"/>
          <w:szCs w:val="10"/>
          <w:color w:val="auto"/>
        </w:rPr>
        <w:t>We also have audited, in accordance with the standards of the Public Company Accounting Oversight Board (United States) (PCAOB), the Financial Statements of the Trust, and our report dated March 10, 2021, expressed an unqualified opinion thereon</w:t>
      </w:r>
      <w:r>
        <w:rPr>
          <w:rFonts w:ascii="Arial" w:cs="Arial" w:eastAsia="Arial" w:hAnsi="Arial"/>
          <w:sz w:val="10"/>
          <w:szCs w:val="10"/>
          <w:color w:val="231F20"/>
        </w:rPr>
        <w:t>.</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231F20"/>
        </w:rPr>
        <w:t>Basis for Opinion</w:t>
      </w:r>
    </w:p>
    <w:p>
      <w:pPr>
        <w:spacing w:after="0" w:line="1" w:lineRule="exact"/>
        <w:rPr>
          <w:sz w:val="20"/>
          <w:szCs w:val="20"/>
          <w:color w:val="auto"/>
        </w:rPr>
      </w:pPr>
    </w:p>
    <w:p>
      <w:pPr>
        <w:jc w:val="both"/>
        <w:ind w:right="300"/>
        <w:spacing w:after="0" w:line="309" w:lineRule="auto"/>
        <w:rPr>
          <w:sz w:val="20"/>
          <w:szCs w:val="20"/>
          <w:color w:val="auto"/>
        </w:rPr>
      </w:pPr>
      <w:r>
        <w:rPr>
          <w:rFonts w:ascii="Arial" w:cs="Arial" w:eastAsia="Arial" w:hAnsi="Arial"/>
          <w:sz w:val="8"/>
          <w:szCs w:val="8"/>
          <w:color w:val="auto"/>
        </w:rPr>
        <w:t>The trustee of the Trust (the Trustee) and the management of Royal Dutch Shell plc (the Management) are responsible for maintaining effective internal control over financial reporting and for their assessment of the effectiveness of internal control over financial reporting included in the accompanying Trustee’s and Management’s Report on Internal Control over Financial Reporting set out on page 148. Our responsibility is to express an opinion on the Trust’s internal control over financial reporting based on our audit. We are a public accounting firm registered with the PCAOB and are required to be independent with respect to the Trust in accordance with the U.S. federal securities laws and the applicable rules and regulations of the Securities and Exchange Commission and the PCAOB</w:t>
      </w:r>
      <w:r>
        <w:rPr>
          <w:rFonts w:ascii="Arial" w:cs="Arial" w:eastAsia="Arial" w:hAnsi="Arial"/>
          <w:sz w:val="8"/>
          <w:szCs w:val="8"/>
          <w:color w:val="231F20"/>
        </w:rPr>
        <w:t>.</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4180" w:type="dxa"/>
            <w:vAlign w:val="bottom"/>
          </w:tcPr>
          <w:p>
            <w:pPr>
              <w:ind w:left="40"/>
              <w:spacing w:after="0"/>
              <w:rPr>
                <w:sz w:val="20"/>
                <w:szCs w:val="20"/>
                <w:color w:val="auto"/>
              </w:rPr>
            </w:pPr>
            <w:r>
              <w:rPr>
                <w:rFonts w:ascii="Arial" w:cs="Arial" w:eastAsia="Arial" w:hAnsi="Arial"/>
                <w:sz w:val="6"/>
                <w:szCs w:val="6"/>
                <w:color w:val="auto"/>
              </w:rPr>
              <w:t>FINANCIAL STATEMENTS AND SUPPLEMENTS SHELL ANNUAL REPORT AND FORM 20-F 2020</w:t>
            </w:r>
          </w:p>
        </w:tc>
        <w:tc>
          <w:tcPr>
            <w:tcW w:w="7120" w:type="dxa"/>
            <w:vAlign w:val="bottom"/>
          </w:tcPr>
          <w:p>
            <w:pPr>
              <w:jc w:val="right"/>
              <w:ind w:right="5450"/>
              <w:spacing w:after="0"/>
              <w:rPr>
                <w:sz w:val="20"/>
                <w:szCs w:val="20"/>
                <w:color w:val="auto"/>
              </w:rPr>
            </w:pPr>
            <w:r>
              <w:rPr>
                <w:rFonts w:ascii="Arial" w:cs="Arial" w:eastAsia="Arial" w:hAnsi="Arial"/>
                <w:sz w:val="6"/>
                <w:szCs w:val="6"/>
                <w:color w:val="auto"/>
              </w:rPr>
              <w:t>230</w:t>
            </w:r>
          </w:p>
        </w:tc>
      </w:tr>
      <w:tr>
        <w:trPr>
          <w:trHeight w:val="135"/>
        </w:trPr>
        <w:tc>
          <w:tcPr>
            <w:tcW w:w="4180" w:type="dxa"/>
            <w:vAlign w:val="bottom"/>
            <w:tcBorders>
              <w:bottom w:val="single" w:sz="8" w:color="9A9A9A"/>
            </w:tcBorders>
          </w:tcPr>
          <w:p>
            <w:pPr>
              <w:spacing w:after="0"/>
              <w:rPr>
                <w:sz w:val="11"/>
                <w:szCs w:val="11"/>
                <w:color w:val="auto"/>
              </w:rPr>
            </w:pPr>
          </w:p>
        </w:tc>
        <w:tc>
          <w:tcPr>
            <w:tcW w:w="71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33" w:name="page234"/>
    <w:bookmarkEnd w:id="233"/>
    <w:p>
      <w:pPr>
        <w:ind w:right="280"/>
        <w:spacing w:after="0" w:line="234" w:lineRule="auto"/>
        <w:rPr>
          <w:sz w:val="20"/>
          <w:szCs w:val="20"/>
          <w:color w:val="auto"/>
        </w:rPr>
      </w:pPr>
      <w:r>
        <w:rPr>
          <w:rFonts w:ascii="Arial" w:cs="Arial" w:eastAsia="Arial" w:hAnsi="Arial"/>
          <w:sz w:val="10"/>
          <w:szCs w:val="1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r>
        <w:rPr>
          <w:rFonts w:ascii="Arial" w:cs="Arial" w:eastAsia="Arial" w:hAnsi="Arial"/>
          <w:sz w:val="10"/>
          <w:szCs w:val="10"/>
          <w:color w:val="231F20"/>
        </w:rPr>
        <w:t>.</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Definition and Limitations of Internal Control over Financial Reporting</w:t>
      </w:r>
    </w:p>
    <w:p>
      <w:pPr>
        <w:spacing w:after="0" w:line="3" w:lineRule="exact"/>
        <w:rPr>
          <w:sz w:val="20"/>
          <w:szCs w:val="20"/>
          <w:color w:val="auto"/>
        </w:rPr>
      </w:pPr>
    </w:p>
    <w:p>
      <w:pPr>
        <w:ind w:right="20"/>
        <w:spacing w:after="0" w:line="281" w:lineRule="auto"/>
        <w:rPr>
          <w:sz w:val="20"/>
          <w:szCs w:val="20"/>
          <w:color w:val="auto"/>
        </w:rPr>
      </w:pPr>
      <w:r>
        <w:rPr>
          <w:rFonts w:ascii="Arial" w:cs="Arial" w:eastAsia="Arial" w:hAnsi="Arial"/>
          <w:sz w:val="8"/>
          <w:szCs w:val="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rFonts w:ascii="Arial" w:cs="Arial" w:eastAsia="Arial" w:hAnsi="Arial"/>
          <w:sz w:val="8"/>
          <w:szCs w:val="8"/>
          <w:color w:val="231F20"/>
        </w:rPr>
        <w:t>.</w:t>
      </w:r>
    </w:p>
    <w:p>
      <w:pPr>
        <w:spacing w:after="0" w:line="1" w:lineRule="exact"/>
        <w:rPr>
          <w:sz w:val="20"/>
          <w:szCs w:val="20"/>
          <w:color w:val="auto"/>
        </w:rPr>
      </w:pPr>
    </w:p>
    <w:p>
      <w:pPr>
        <w:ind w:right="160"/>
        <w:spacing w:after="0" w:line="231" w:lineRule="auto"/>
        <w:rPr>
          <w:sz w:val="20"/>
          <w:szCs w:val="20"/>
          <w:color w:val="auto"/>
        </w:rPr>
      </w:pPr>
      <w:r>
        <w:rPr>
          <w:rFonts w:ascii="Arial" w:cs="Arial" w:eastAsia="Arial" w:hAnsi="Arial"/>
          <w:sz w:val="10"/>
          <w:szCs w:val="1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231F20"/>
        </w:rPr>
        <w:t>/s/ Ernst &amp; Young LLP</w:t>
      </w:r>
    </w:p>
    <w:p>
      <w:pPr>
        <w:spacing w:after="0" w:line="227" w:lineRule="auto"/>
        <w:rPr>
          <w:sz w:val="20"/>
          <w:szCs w:val="20"/>
          <w:color w:val="auto"/>
        </w:rPr>
      </w:pPr>
      <w:r>
        <w:rPr>
          <w:rFonts w:ascii="Arial" w:cs="Arial" w:eastAsia="Arial" w:hAnsi="Arial"/>
          <w:sz w:val="10"/>
          <w:szCs w:val="10"/>
          <w:color w:val="231F20"/>
        </w:rPr>
        <w:t>London, United Kingdom</w:t>
      </w:r>
    </w:p>
    <w:p>
      <w:pPr>
        <w:spacing w:after="0" w:line="237" w:lineRule="auto"/>
        <w:rPr>
          <w:sz w:val="20"/>
          <w:szCs w:val="20"/>
          <w:color w:val="auto"/>
        </w:rPr>
      </w:pPr>
      <w:r>
        <w:rPr>
          <w:rFonts w:ascii="Arial" w:cs="Arial" w:eastAsia="Arial" w:hAnsi="Arial"/>
          <w:sz w:val="10"/>
          <w:szCs w:val="10"/>
          <w:color w:val="231F20"/>
        </w:rPr>
        <w:t>March 10, 2021</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4180" w:type="dxa"/>
            <w:vAlign w:val="bottom"/>
          </w:tcPr>
          <w:p>
            <w:pPr>
              <w:ind w:left="40"/>
              <w:spacing w:after="0"/>
              <w:rPr>
                <w:sz w:val="20"/>
                <w:szCs w:val="20"/>
                <w:color w:val="auto"/>
              </w:rPr>
            </w:pPr>
            <w:r>
              <w:rPr>
                <w:rFonts w:ascii="Arial" w:cs="Arial" w:eastAsia="Arial" w:hAnsi="Arial"/>
                <w:sz w:val="6"/>
                <w:szCs w:val="6"/>
                <w:color w:val="auto"/>
              </w:rPr>
              <w:t>FINANCIAL STATEMENTS AND SUPPLEMENTS SHELL ANNUAL REPORT AND FORM 20-F 2020</w:t>
            </w:r>
          </w:p>
        </w:tc>
        <w:tc>
          <w:tcPr>
            <w:tcW w:w="7120" w:type="dxa"/>
            <w:vAlign w:val="bottom"/>
          </w:tcPr>
          <w:p>
            <w:pPr>
              <w:jc w:val="right"/>
              <w:ind w:right="5450"/>
              <w:spacing w:after="0"/>
              <w:rPr>
                <w:sz w:val="20"/>
                <w:szCs w:val="20"/>
                <w:color w:val="auto"/>
              </w:rPr>
            </w:pPr>
            <w:r>
              <w:rPr>
                <w:rFonts w:ascii="Arial" w:cs="Arial" w:eastAsia="Arial" w:hAnsi="Arial"/>
                <w:sz w:val="6"/>
                <w:szCs w:val="6"/>
                <w:color w:val="auto"/>
              </w:rPr>
              <w:t>231</w:t>
            </w:r>
          </w:p>
        </w:tc>
      </w:tr>
      <w:tr>
        <w:trPr>
          <w:trHeight w:val="144"/>
        </w:trPr>
        <w:tc>
          <w:tcPr>
            <w:tcW w:w="4180" w:type="dxa"/>
            <w:vAlign w:val="bottom"/>
            <w:tcBorders>
              <w:bottom w:val="single" w:sz="8" w:color="9A9A9A"/>
            </w:tcBorders>
          </w:tcPr>
          <w:p>
            <w:pPr>
              <w:spacing w:after="0"/>
              <w:rPr>
                <w:sz w:val="12"/>
                <w:szCs w:val="12"/>
                <w:color w:val="auto"/>
              </w:rPr>
            </w:pPr>
          </w:p>
        </w:tc>
        <w:tc>
          <w:tcPr>
            <w:tcW w:w="71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234" w:name="page235"/>
    <w:bookmarkEnd w:id="234"/>
    <w:p>
      <w:pPr>
        <w:ind w:left="40"/>
        <w:spacing w:after="0"/>
        <w:rPr>
          <w:sz w:val="20"/>
          <w:szCs w:val="20"/>
          <w:color w:val="auto"/>
        </w:rPr>
      </w:pPr>
      <w:r>
        <w:rPr>
          <w:rFonts w:ascii="Arial" w:cs="Arial" w:eastAsia="Arial" w:hAnsi="Arial"/>
          <w:sz w:val="17"/>
          <w:szCs w:val="17"/>
          <w:color w:val="auto"/>
        </w:rPr>
        <w:t>ROYAL DUTCH SHELL DIVIDEND ACCESS TRUST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8255</wp:posOffset>
            </wp:positionV>
            <wp:extent cx="262890" cy="2286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62890" cy="22860"/>
                    </a:xfrm>
                    <a:prstGeom prst="rect">
                      <a:avLst/>
                    </a:prstGeom>
                    <a:noFill/>
                  </pic:spPr>
                </pic:pic>
              </a:graphicData>
            </a:graphic>
          </wp:anchor>
        </w:drawing>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400" w:type="dxa"/>
            <w:vAlign w:val="bottom"/>
          </w:tcPr>
          <w:p>
            <w:pPr>
              <w:jc w:val="right"/>
              <w:ind w:right="212"/>
              <w:spacing w:after="0"/>
              <w:rPr>
                <w:rFonts w:ascii="Arial" w:cs="Arial" w:eastAsia="Arial" w:hAnsi="Arial"/>
                <w:sz w:val="10"/>
                <w:szCs w:val="10"/>
                <w:color w:val="auto"/>
                <w:w w:val="71"/>
              </w:rPr>
            </w:pPr>
            <w:hyperlink w:anchor="page235">
              <w:r>
                <w:rPr>
                  <w:rFonts w:ascii="Arial" w:cs="Arial" w:eastAsia="Arial" w:hAnsi="Arial"/>
                  <w:sz w:val="10"/>
                  <w:szCs w:val="10"/>
                  <w:color w:val="auto"/>
                  <w:w w:val="71"/>
                </w:rPr>
                <w:t>233</w:t>
              </w:r>
            </w:hyperlink>
          </w:p>
        </w:tc>
        <w:tc>
          <w:tcPr>
            <w:tcW w:w="1680" w:type="dxa"/>
            <w:vAlign w:val="bottom"/>
          </w:tcPr>
          <w:p>
            <w:pPr>
              <w:ind w:left="260"/>
              <w:spacing w:after="0"/>
              <w:rPr>
                <w:rFonts w:ascii="Arial" w:cs="Arial" w:eastAsia="Arial" w:hAnsi="Arial"/>
                <w:sz w:val="10"/>
                <w:szCs w:val="10"/>
                <w:color w:val="auto"/>
              </w:rPr>
            </w:pPr>
            <w:hyperlink w:anchor="page235">
              <w:r>
                <w:rPr>
                  <w:rFonts w:ascii="Arial" w:cs="Arial" w:eastAsia="Arial" w:hAnsi="Arial"/>
                  <w:sz w:val="10"/>
                  <w:szCs w:val="10"/>
                  <w:color w:val="auto"/>
                </w:rPr>
                <w:t>Statement of Income</w:t>
              </w:r>
            </w:hyperlink>
          </w:p>
        </w:tc>
      </w:tr>
      <w:tr>
        <w:trPr>
          <w:trHeight w:val="126"/>
        </w:trPr>
        <w:tc>
          <w:tcPr>
            <w:tcW w:w="400" w:type="dxa"/>
            <w:vAlign w:val="bottom"/>
          </w:tcPr>
          <w:p>
            <w:pPr>
              <w:jc w:val="right"/>
              <w:ind w:right="212"/>
              <w:spacing w:after="0"/>
              <w:rPr>
                <w:rFonts w:ascii="Arial" w:cs="Arial" w:eastAsia="Arial" w:hAnsi="Arial"/>
                <w:sz w:val="10"/>
                <w:szCs w:val="10"/>
                <w:color w:val="auto"/>
                <w:w w:val="71"/>
              </w:rPr>
            </w:pPr>
            <w:hyperlink w:anchor="page236">
              <w:r>
                <w:rPr>
                  <w:rFonts w:ascii="Arial" w:cs="Arial" w:eastAsia="Arial" w:hAnsi="Arial"/>
                  <w:sz w:val="10"/>
                  <w:szCs w:val="10"/>
                  <w:color w:val="auto"/>
                  <w:w w:val="71"/>
                </w:rPr>
                <w:t>233</w:t>
              </w:r>
            </w:hyperlink>
          </w:p>
        </w:tc>
        <w:tc>
          <w:tcPr>
            <w:tcW w:w="1680" w:type="dxa"/>
            <w:vAlign w:val="bottom"/>
          </w:tcPr>
          <w:p>
            <w:pPr>
              <w:ind w:left="260"/>
              <w:spacing w:after="0"/>
              <w:rPr>
                <w:rFonts w:ascii="Arial" w:cs="Arial" w:eastAsia="Arial" w:hAnsi="Arial"/>
                <w:sz w:val="10"/>
                <w:szCs w:val="10"/>
                <w:color w:val="auto"/>
                <w:w w:val="84"/>
              </w:rPr>
            </w:pPr>
            <w:hyperlink w:anchor="page236">
              <w:r>
                <w:rPr>
                  <w:rFonts w:ascii="Arial" w:cs="Arial" w:eastAsia="Arial" w:hAnsi="Arial"/>
                  <w:sz w:val="10"/>
                  <w:szCs w:val="10"/>
                  <w:color w:val="auto"/>
                  <w:w w:val="84"/>
                </w:rPr>
                <w:t>Statement of Comprehensive Income</w:t>
              </w:r>
            </w:hyperlink>
          </w:p>
        </w:tc>
      </w:tr>
      <w:tr>
        <w:trPr>
          <w:trHeight w:val="126"/>
        </w:trPr>
        <w:tc>
          <w:tcPr>
            <w:tcW w:w="400" w:type="dxa"/>
            <w:vAlign w:val="bottom"/>
          </w:tcPr>
          <w:p>
            <w:pPr>
              <w:jc w:val="right"/>
              <w:ind w:right="212"/>
              <w:spacing w:after="0"/>
              <w:rPr>
                <w:rFonts w:ascii="Arial" w:cs="Arial" w:eastAsia="Arial" w:hAnsi="Arial"/>
                <w:sz w:val="10"/>
                <w:szCs w:val="10"/>
                <w:color w:val="auto"/>
                <w:w w:val="71"/>
              </w:rPr>
            </w:pPr>
            <w:hyperlink w:anchor="page236">
              <w:r>
                <w:rPr>
                  <w:rFonts w:ascii="Arial" w:cs="Arial" w:eastAsia="Arial" w:hAnsi="Arial"/>
                  <w:sz w:val="10"/>
                  <w:szCs w:val="10"/>
                  <w:color w:val="auto"/>
                  <w:w w:val="71"/>
                </w:rPr>
                <w:t>233</w:t>
              </w:r>
            </w:hyperlink>
          </w:p>
        </w:tc>
        <w:tc>
          <w:tcPr>
            <w:tcW w:w="1680" w:type="dxa"/>
            <w:vAlign w:val="bottom"/>
          </w:tcPr>
          <w:p>
            <w:pPr>
              <w:ind w:left="260"/>
              <w:spacing w:after="0"/>
              <w:rPr>
                <w:rFonts w:ascii="Arial" w:cs="Arial" w:eastAsia="Arial" w:hAnsi="Arial"/>
                <w:sz w:val="10"/>
                <w:szCs w:val="10"/>
                <w:color w:val="auto"/>
              </w:rPr>
            </w:pPr>
            <w:hyperlink w:anchor="page236">
              <w:r>
                <w:rPr>
                  <w:rFonts w:ascii="Arial" w:cs="Arial" w:eastAsia="Arial" w:hAnsi="Arial"/>
                  <w:sz w:val="10"/>
                  <w:szCs w:val="10"/>
                  <w:color w:val="auto"/>
                </w:rPr>
                <w:t>Balance Sheet</w:t>
              </w:r>
            </w:hyperlink>
          </w:p>
        </w:tc>
      </w:tr>
    </w:tbl>
    <w:p>
      <w:pPr>
        <w:spacing w:after="0" w:line="5" w:lineRule="exact"/>
        <w:rPr>
          <w:sz w:val="20"/>
          <w:szCs w:val="20"/>
          <w:color w:val="auto"/>
        </w:rPr>
      </w:pPr>
    </w:p>
    <w:p>
      <w:pPr>
        <w:ind w:left="680" w:hanging="667"/>
        <w:spacing w:after="0"/>
        <w:tabs>
          <w:tab w:leader="none" w:pos="680" w:val="left"/>
        </w:tabs>
        <w:numPr>
          <w:ilvl w:val="0"/>
          <w:numId w:val="197"/>
        </w:numPr>
        <w:rPr>
          <w:rFonts w:ascii="Arial" w:cs="Arial" w:eastAsia="Arial" w:hAnsi="Arial"/>
          <w:sz w:val="10"/>
          <w:szCs w:val="10"/>
          <w:color w:val="auto"/>
        </w:rPr>
      </w:pPr>
      <w:hyperlink w:anchor="page236">
        <w:r>
          <w:rPr>
            <w:rFonts w:ascii="Arial" w:cs="Arial" w:eastAsia="Arial" w:hAnsi="Arial"/>
            <w:sz w:val="10"/>
            <w:szCs w:val="10"/>
            <w:color w:val="auto"/>
          </w:rPr>
          <w:t>Statement of Changes in Equity</w:t>
        </w:r>
      </w:hyperlink>
    </w:p>
    <w:p>
      <w:pPr>
        <w:spacing w:after="0" w:line="11" w:lineRule="exact"/>
        <w:rPr>
          <w:rFonts w:ascii="Arial" w:cs="Arial" w:eastAsia="Arial" w:hAnsi="Arial"/>
          <w:sz w:val="10"/>
          <w:szCs w:val="10"/>
          <w:color w:val="auto"/>
        </w:rPr>
      </w:pPr>
    </w:p>
    <w:p>
      <w:pPr>
        <w:ind w:left="680" w:hanging="667"/>
        <w:spacing w:after="0"/>
        <w:tabs>
          <w:tab w:leader="none" w:pos="680" w:val="left"/>
        </w:tabs>
        <w:numPr>
          <w:ilvl w:val="0"/>
          <w:numId w:val="197"/>
        </w:numPr>
        <w:rPr>
          <w:rFonts w:ascii="Arial" w:cs="Arial" w:eastAsia="Arial" w:hAnsi="Arial"/>
          <w:sz w:val="10"/>
          <w:szCs w:val="10"/>
          <w:color w:val="auto"/>
        </w:rPr>
      </w:pPr>
      <w:hyperlink w:anchor="page236">
        <w:r>
          <w:rPr>
            <w:rFonts w:ascii="Arial" w:cs="Arial" w:eastAsia="Arial" w:hAnsi="Arial"/>
            <w:sz w:val="10"/>
            <w:szCs w:val="10"/>
            <w:color w:val="auto"/>
          </w:rPr>
          <w:t>Statement of Cash Flows</w:t>
        </w:r>
      </w:hyperlink>
    </w:p>
    <w:p>
      <w:pPr>
        <w:spacing w:after="0" w:line="11" w:lineRule="exact"/>
        <w:rPr>
          <w:rFonts w:ascii="Arial" w:cs="Arial" w:eastAsia="Arial" w:hAnsi="Arial"/>
          <w:sz w:val="10"/>
          <w:szCs w:val="10"/>
          <w:color w:val="auto"/>
        </w:rPr>
      </w:pPr>
    </w:p>
    <w:p>
      <w:pPr>
        <w:ind w:left="680" w:hanging="667"/>
        <w:spacing w:after="0"/>
        <w:tabs>
          <w:tab w:leader="none" w:pos="680" w:val="left"/>
        </w:tabs>
        <w:numPr>
          <w:ilvl w:val="0"/>
          <w:numId w:val="197"/>
        </w:numPr>
        <w:rPr>
          <w:rFonts w:ascii="Arial" w:cs="Arial" w:eastAsia="Arial" w:hAnsi="Arial"/>
          <w:sz w:val="10"/>
          <w:szCs w:val="10"/>
          <w:color w:val="auto"/>
        </w:rPr>
      </w:pPr>
      <w:hyperlink w:anchor="page237">
        <w:r>
          <w:rPr>
            <w:rFonts w:ascii="Arial" w:cs="Arial" w:eastAsia="Arial" w:hAnsi="Arial"/>
            <w:sz w:val="10"/>
            <w:szCs w:val="10"/>
            <w:color w:val="auto"/>
          </w:rPr>
          <w:t>Notes to the Royal Dutch Shell Dividend Access Trust Financial Statements</w:t>
        </w:r>
      </w:hyperlink>
    </w:p>
    <w:p>
      <w:pPr>
        <w:spacing w:after="0" w:line="11" w:lineRule="exact"/>
        <w:rPr>
          <w:rFonts w:ascii="Arial" w:cs="Arial" w:eastAsia="Arial" w:hAnsi="Arial"/>
          <w:sz w:val="10"/>
          <w:szCs w:val="10"/>
          <w:color w:val="auto"/>
        </w:rPr>
      </w:pPr>
    </w:p>
    <w:tbl>
      <w:tblPr>
        <w:tblLayout w:type="fixed"/>
        <w:tblInd w:w="0" w:type="dxa"/>
        <w:tblCellMar>
          <w:top w:w="0" w:type="dxa"/>
          <w:left w:w="0" w:type="dxa"/>
          <w:bottom w:w="0" w:type="dxa"/>
          <w:right w:w="0" w:type="dxa"/>
        </w:tblCellMar>
      </w:tblPr>
      <w:tr>
        <w:trPr>
          <w:trHeight w:val="121"/>
        </w:trPr>
        <w:tc>
          <w:tcPr>
            <w:tcW w:w="420" w:type="dxa"/>
            <w:vAlign w:val="bottom"/>
          </w:tcPr>
          <w:p>
            <w:pPr>
              <w:ind w:left="20"/>
              <w:spacing w:after="0"/>
              <w:rPr>
                <w:rFonts w:ascii="Arial" w:cs="Arial" w:eastAsia="Arial" w:hAnsi="Arial"/>
                <w:sz w:val="10"/>
                <w:szCs w:val="10"/>
                <w:color w:val="auto"/>
              </w:rPr>
            </w:pPr>
            <w:hyperlink w:anchor="page238">
              <w:r>
                <w:rPr>
                  <w:rFonts w:ascii="Arial" w:cs="Arial" w:eastAsia="Arial" w:hAnsi="Arial"/>
                  <w:sz w:val="10"/>
                  <w:szCs w:val="10"/>
                  <w:color w:val="auto"/>
                </w:rPr>
                <w:t>235</w:t>
              </w:r>
            </w:hyperlink>
          </w:p>
        </w:tc>
        <w:tc>
          <w:tcPr>
            <w:tcW w:w="3900" w:type="dxa"/>
            <w:vAlign w:val="bottom"/>
            <w:gridSpan w:val="2"/>
          </w:tcPr>
          <w:p>
            <w:pPr>
              <w:ind w:left="260"/>
              <w:spacing w:after="0"/>
              <w:rPr>
                <w:rFonts w:ascii="Arial" w:cs="Arial" w:eastAsia="Arial" w:hAnsi="Arial"/>
                <w:sz w:val="10"/>
                <w:szCs w:val="10"/>
                <w:color w:val="auto"/>
              </w:rPr>
            </w:pPr>
            <w:hyperlink w:anchor="page238">
              <w:r>
                <w:rPr>
                  <w:rFonts w:ascii="Arial" w:cs="Arial" w:eastAsia="Arial" w:hAnsi="Arial"/>
                  <w:sz w:val="10"/>
                  <w:szCs w:val="10"/>
                  <w:color w:val="auto"/>
                </w:rPr>
                <w:t>Note 1 The Trust</w:t>
              </w:r>
            </w:hyperlink>
          </w:p>
        </w:tc>
        <w:tc>
          <w:tcPr>
            <w:tcW w:w="6980" w:type="dxa"/>
            <w:vAlign w:val="bottom"/>
          </w:tcPr>
          <w:p>
            <w:pPr>
              <w:spacing w:after="0"/>
              <w:rPr>
                <w:sz w:val="10"/>
                <w:szCs w:val="10"/>
                <w:color w:val="auto"/>
              </w:rPr>
            </w:pPr>
          </w:p>
        </w:tc>
      </w:tr>
      <w:tr>
        <w:trPr>
          <w:trHeight w:val="126"/>
        </w:trPr>
        <w:tc>
          <w:tcPr>
            <w:tcW w:w="420" w:type="dxa"/>
            <w:vAlign w:val="bottom"/>
          </w:tcPr>
          <w:p>
            <w:pPr>
              <w:ind w:left="20"/>
              <w:spacing w:after="0"/>
              <w:rPr>
                <w:rFonts w:ascii="Arial" w:cs="Arial" w:eastAsia="Arial" w:hAnsi="Arial"/>
                <w:sz w:val="10"/>
                <w:szCs w:val="10"/>
                <w:color w:val="auto"/>
              </w:rPr>
            </w:pPr>
            <w:hyperlink w:anchor="page238">
              <w:r>
                <w:rPr>
                  <w:rFonts w:ascii="Arial" w:cs="Arial" w:eastAsia="Arial" w:hAnsi="Arial"/>
                  <w:sz w:val="10"/>
                  <w:szCs w:val="10"/>
                  <w:color w:val="auto"/>
                </w:rPr>
                <w:t>235</w:t>
              </w:r>
            </w:hyperlink>
          </w:p>
        </w:tc>
        <w:tc>
          <w:tcPr>
            <w:tcW w:w="3900" w:type="dxa"/>
            <w:vAlign w:val="bottom"/>
            <w:gridSpan w:val="2"/>
          </w:tcPr>
          <w:p>
            <w:pPr>
              <w:ind w:left="260"/>
              <w:spacing w:after="0"/>
              <w:rPr>
                <w:rFonts w:ascii="Arial" w:cs="Arial" w:eastAsia="Arial" w:hAnsi="Arial"/>
                <w:sz w:val="10"/>
                <w:szCs w:val="10"/>
                <w:color w:val="auto"/>
              </w:rPr>
            </w:pPr>
            <w:hyperlink w:anchor="page238">
              <w:r>
                <w:rPr>
                  <w:rFonts w:ascii="Arial" w:cs="Arial" w:eastAsia="Arial" w:hAnsi="Arial"/>
                  <w:sz w:val="10"/>
                  <w:szCs w:val="10"/>
                  <w:color w:val="auto"/>
                </w:rPr>
                <w:t>Note 2 Basis of preparation</w:t>
              </w:r>
            </w:hyperlink>
          </w:p>
        </w:tc>
        <w:tc>
          <w:tcPr>
            <w:tcW w:w="6980" w:type="dxa"/>
            <w:vAlign w:val="bottom"/>
          </w:tcPr>
          <w:p>
            <w:pPr>
              <w:spacing w:after="0"/>
              <w:rPr>
                <w:sz w:val="10"/>
                <w:szCs w:val="10"/>
                <w:color w:val="auto"/>
              </w:rPr>
            </w:pPr>
          </w:p>
        </w:tc>
      </w:tr>
      <w:tr>
        <w:trPr>
          <w:trHeight w:val="126"/>
        </w:trPr>
        <w:tc>
          <w:tcPr>
            <w:tcW w:w="420" w:type="dxa"/>
            <w:vAlign w:val="bottom"/>
          </w:tcPr>
          <w:p>
            <w:pPr>
              <w:ind w:left="20"/>
              <w:spacing w:after="0"/>
              <w:rPr>
                <w:rFonts w:ascii="Arial" w:cs="Arial" w:eastAsia="Arial" w:hAnsi="Arial"/>
                <w:sz w:val="10"/>
                <w:szCs w:val="10"/>
                <w:color w:val="auto"/>
              </w:rPr>
            </w:pPr>
            <w:hyperlink w:anchor="page238">
              <w:r>
                <w:rPr>
                  <w:rFonts w:ascii="Arial" w:cs="Arial" w:eastAsia="Arial" w:hAnsi="Arial"/>
                  <w:sz w:val="10"/>
                  <w:szCs w:val="10"/>
                  <w:color w:val="auto"/>
                </w:rPr>
                <w:t>235</w:t>
              </w:r>
            </w:hyperlink>
          </w:p>
        </w:tc>
        <w:tc>
          <w:tcPr>
            <w:tcW w:w="3900" w:type="dxa"/>
            <w:vAlign w:val="bottom"/>
            <w:gridSpan w:val="2"/>
          </w:tcPr>
          <w:p>
            <w:pPr>
              <w:ind w:left="260"/>
              <w:spacing w:after="0"/>
              <w:rPr>
                <w:rFonts w:ascii="Arial" w:cs="Arial" w:eastAsia="Arial" w:hAnsi="Arial"/>
                <w:sz w:val="10"/>
                <w:szCs w:val="10"/>
                <w:color w:val="auto"/>
              </w:rPr>
            </w:pPr>
            <w:hyperlink w:anchor="page238">
              <w:r>
                <w:rPr>
                  <w:rFonts w:ascii="Arial" w:cs="Arial" w:eastAsia="Arial" w:hAnsi="Arial"/>
                  <w:sz w:val="10"/>
                  <w:szCs w:val="10"/>
                  <w:color w:val="auto"/>
                </w:rPr>
                <w:t>Note 3 Significant accounting policies</w:t>
              </w:r>
            </w:hyperlink>
          </w:p>
        </w:tc>
        <w:tc>
          <w:tcPr>
            <w:tcW w:w="6980" w:type="dxa"/>
            <w:vAlign w:val="bottom"/>
          </w:tcPr>
          <w:p>
            <w:pPr>
              <w:spacing w:after="0"/>
              <w:rPr>
                <w:sz w:val="10"/>
                <w:szCs w:val="10"/>
                <w:color w:val="auto"/>
              </w:rPr>
            </w:pPr>
          </w:p>
        </w:tc>
      </w:tr>
      <w:tr>
        <w:trPr>
          <w:trHeight w:val="126"/>
        </w:trPr>
        <w:tc>
          <w:tcPr>
            <w:tcW w:w="420" w:type="dxa"/>
            <w:vAlign w:val="bottom"/>
          </w:tcPr>
          <w:p>
            <w:pPr>
              <w:ind w:left="20"/>
              <w:spacing w:after="0"/>
              <w:rPr>
                <w:rFonts w:ascii="Arial" w:cs="Arial" w:eastAsia="Arial" w:hAnsi="Arial"/>
                <w:sz w:val="10"/>
                <w:szCs w:val="10"/>
                <w:color w:val="auto"/>
              </w:rPr>
            </w:pPr>
            <w:hyperlink w:anchor="page238">
              <w:r>
                <w:rPr>
                  <w:rFonts w:ascii="Arial" w:cs="Arial" w:eastAsia="Arial" w:hAnsi="Arial"/>
                  <w:sz w:val="10"/>
                  <w:szCs w:val="10"/>
                  <w:color w:val="auto"/>
                </w:rPr>
                <w:t>235</w:t>
              </w:r>
            </w:hyperlink>
          </w:p>
        </w:tc>
        <w:tc>
          <w:tcPr>
            <w:tcW w:w="3900" w:type="dxa"/>
            <w:vAlign w:val="bottom"/>
            <w:gridSpan w:val="2"/>
          </w:tcPr>
          <w:p>
            <w:pPr>
              <w:ind w:left="260"/>
              <w:spacing w:after="0"/>
              <w:rPr>
                <w:rFonts w:ascii="Arial" w:cs="Arial" w:eastAsia="Arial" w:hAnsi="Arial"/>
                <w:sz w:val="10"/>
                <w:szCs w:val="10"/>
                <w:color w:val="auto"/>
              </w:rPr>
            </w:pPr>
            <w:hyperlink w:anchor="page238">
              <w:r>
                <w:rPr>
                  <w:rFonts w:ascii="Arial" w:cs="Arial" w:eastAsia="Arial" w:hAnsi="Arial"/>
                  <w:sz w:val="10"/>
                  <w:szCs w:val="10"/>
                  <w:color w:val="auto"/>
                </w:rPr>
                <w:t>Note 4 Unclaimed dividends</w:t>
              </w:r>
            </w:hyperlink>
          </w:p>
        </w:tc>
        <w:tc>
          <w:tcPr>
            <w:tcW w:w="6980" w:type="dxa"/>
            <w:vAlign w:val="bottom"/>
          </w:tcPr>
          <w:p>
            <w:pPr>
              <w:spacing w:after="0"/>
              <w:rPr>
                <w:sz w:val="10"/>
                <w:szCs w:val="10"/>
                <w:color w:val="auto"/>
              </w:rPr>
            </w:pPr>
          </w:p>
        </w:tc>
      </w:tr>
      <w:tr>
        <w:trPr>
          <w:trHeight w:val="126"/>
        </w:trPr>
        <w:tc>
          <w:tcPr>
            <w:tcW w:w="420" w:type="dxa"/>
            <w:vAlign w:val="bottom"/>
          </w:tcPr>
          <w:p>
            <w:pPr>
              <w:ind w:left="20"/>
              <w:spacing w:after="0"/>
              <w:rPr>
                <w:rFonts w:ascii="Arial" w:cs="Arial" w:eastAsia="Arial" w:hAnsi="Arial"/>
                <w:sz w:val="10"/>
                <w:szCs w:val="10"/>
                <w:color w:val="auto"/>
              </w:rPr>
            </w:pPr>
            <w:hyperlink w:anchor="page238">
              <w:r>
                <w:rPr>
                  <w:rFonts w:ascii="Arial" w:cs="Arial" w:eastAsia="Arial" w:hAnsi="Arial"/>
                  <w:sz w:val="10"/>
                  <w:szCs w:val="10"/>
                  <w:color w:val="auto"/>
                </w:rPr>
                <w:t>235</w:t>
              </w:r>
            </w:hyperlink>
          </w:p>
        </w:tc>
        <w:tc>
          <w:tcPr>
            <w:tcW w:w="520" w:type="dxa"/>
            <w:vAlign w:val="bottom"/>
          </w:tcPr>
          <w:p>
            <w:pPr>
              <w:ind w:left="260"/>
              <w:spacing w:after="0"/>
              <w:rPr>
                <w:rFonts w:ascii="Arial" w:cs="Arial" w:eastAsia="Arial" w:hAnsi="Arial"/>
                <w:sz w:val="10"/>
                <w:szCs w:val="10"/>
                <w:color w:val="auto"/>
                <w:w w:val="81"/>
              </w:rPr>
            </w:pPr>
            <w:hyperlink w:anchor="page238">
              <w:r>
                <w:rPr>
                  <w:rFonts w:ascii="Arial" w:cs="Arial" w:eastAsia="Arial" w:hAnsi="Arial"/>
                  <w:sz w:val="10"/>
                  <w:szCs w:val="10"/>
                  <w:color w:val="auto"/>
                  <w:w w:val="81"/>
                </w:rPr>
                <w:t>Note 5</w:t>
              </w:r>
            </w:hyperlink>
          </w:p>
        </w:tc>
        <w:tc>
          <w:tcPr>
            <w:tcW w:w="3380" w:type="dxa"/>
            <w:vAlign w:val="bottom"/>
          </w:tcPr>
          <w:p>
            <w:pPr>
              <w:ind w:left="20"/>
              <w:spacing w:after="0"/>
              <w:rPr>
                <w:rFonts w:ascii="Arial" w:cs="Arial" w:eastAsia="Arial" w:hAnsi="Arial"/>
                <w:sz w:val="10"/>
                <w:szCs w:val="10"/>
                <w:color w:val="auto"/>
              </w:rPr>
            </w:pPr>
            <w:hyperlink w:anchor="page238">
              <w:r>
                <w:rPr>
                  <w:rFonts w:ascii="Arial" w:cs="Arial" w:eastAsia="Arial" w:hAnsi="Arial"/>
                  <w:sz w:val="10"/>
                  <w:szCs w:val="10"/>
                  <w:color w:val="auto"/>
                </w:rPr>
                <w:t>Capital account</w:t>
              </w:r>
            </w:hyperlink>
          </w:p>
        </w:tc>
        <w:tc>
          <w:tcPr>
            <w:tcW w:w="6980" w:type="dxa"/>
            <w:vAlign w:val="bottom"/>
          </w:tcPr>
          <w:p>
            <w:pPr>
              <w:spacing w:after="0"/>
              <w:rPr>
                <w:sz w:val="10"/>
                <w:szCs w:val="10"/>
                <w:color w:val="auto"/>
              </w:rPr>
            </w:pPr>
          </w:p>
        </w:tc>
      </w:tr>
      <w:tr>
        <w:trPr>
          <w:trHeight w:val="126"/>
        </w:trPr>
        <w:tc>
          <w:tcPr>
            <w:tcW w:w="420" w:type="dxa"/>
            <w:vAlign w:val="bottom"/>
          </w:tcPr>
          <w:p>
            <w:pPr>
              <w:ind w:left="20"/>
              <w:spacing w:after="0"/>
              <w:rPr>
                <w:rFonts w:ascii="Arial" w:cs="Arial" w:eastAsia="Arial" w:hAnsi="Arial"/>
                <w:sz w:val="10"/>
                <w:szCs w:val="10"/>
                <w:color w:val="auto"/>
              </w:rPr>
            </w:pPr>
            <w:hyperlink w:anchor="page238">
              <w:r>
                <w:rPr>
                  <w:rFonts w:ascii="Arial" w:cs="Arial" w:eastAsia="Arial" w:hAnsi="Arial"/>
                  <w:sz w:val="10"/>
                  <w:szCs w:val="10"/>
                  <w:color w:val="auto"/>
                </w:rPr>
                <w:t>235</w:t>
              </w:r>
            </w:hyperlink>
          </w:p>
        </w:tc>
        <w:tc>
          <w:tcPr>
            <w:tcW w:w="520" w:type="dxa"/>
            <w:vAlign w:val="bottom"/>
          </w:tcPr>
          <w:p>
            <w:pPr>
              <w:ind w:left="260"/>
              <w:spacing w:after="0"/>
              <w:rPr>
                <w:rFonts w:ascii="Arial" w:cs="Arial" w:eastAsia="Arial" w:hAnsi="Arial"/>
                <w:sz w:val="10"/>
                <w:szCs w:val="10"/>
                <w:color w:val="auto"/>
                <w:w w:val="81"/>
              </w:rPr>
            </w:pPr>
            <w:hyperlink w:anchor="page238">
              <w:r>
                <w:rPr>
                  <w:rFonts w:ascii="Arial" w:cs="Arial" w:eastAsia="Arial" w:hAnsi="Arial"/>
                  <w:sz w:val="10"/>
                  <w:szCs w:val="10"/>
                  <w:color w:val="auto"/>
                  <w:w w:val="81"/>
                </w:rPr>
                <w:t>Note 6</w:t>
              </w:r>
            </w:hyperlink>
          </w:p>
        </w:tc>
        <w:tc>
          <w:tcPr>
            <w:tcW w:w="3380" w:type="dxa"/>
            <w:vAlign w:val="bottom"/>
          </w:tcPr>
          <w:p>
            <w:pPr>
              <w:ind w:left="20"/>
              <w:spacing w:after="0"/>
              <w:rPr>
                <w:rFonts w:ascii="Arial" w:cs="Arial" w:eastAsia="Arial" w:hAnsi="Arial"/>
                <w:sz w:val="10"/>
                <w:szCs w:val="10"/>
                <w:color w:val="auto"/>
              </w:rPr>
            </w:pPr>
            <w:hyperlink w:anchor="page238">
              <w:r>
                <w:rPr>
                  <w:rFonts w:ascii="Arial" w:cs="Arial" w:eastAsia="Arial" w:hAnsi="Arial"/>
                  <w:sz w:val="10"/>
                  <w:szCs w:val="10"/>
                  <w:color w:val="auto"/>
                </w:rPr>
                <w:t>Distributions made</w:t>
              </w:r>
            </w:hyperlink>
          </w:p>
        </w:tc>
        <w:tc>
          <w:tcPr>
            <w:tcW w:w="6980" w:type="dxa"/>
            <w:vAlign w:val="bottom"/>
          </w:tcPr>
          <w:p>
            <w:pPr>
              <w:spacing w:after="0"/>
              <w:rPr>
                <w:sz w:val="10"/>
                <w:szCs w:val="10"/>
                <w:color w:val="auto"/>
              </w:rPr>
            </w:pPr>
          </w:p>
        </w:tc>
      </w:tr>
      <w:tr>
        <w:trPr>
          <w:trHeight w:val="126"/>
        </w:trPr>
        <w:tc>
          <w:tcPr>
            <w:tcW w:w="420" w:type="dxa"/>
            <w:vAlign w:val="bottom"/>
          </w:tcPr>
          <w:p>
            <w:pPr>
              <w:ind w:left="20"/>
              <w:spacing w:after="0"/>
              <w:rPr>
                <w:rFonts w:ascii="Arial" w:cs="Arial" w:eastAsia="Arial" w:hAnsi="Arial"/>
                <w:sz w:val="10"/>
                <w:szCs w:val="10"/>
                <w:color w:val="auto"/>
              </w:rPr>
            </w:pPr>
            <w:hyperlink w:anchor="page238">
              <w:r>
                <w:rPr>
                  <w:rFonts w:ascii="Arial" w:cs="Arial" w:eastAsia="Arial" w:hAnsi="Arial"/>
                  <w:sz w:val="10"/>
                  <w:szCs w:val="10"/>
                  <w:color w:val="auto"/>
                </w:rPr>
                <w:t>235</w:t>
              </w:r>
            </w:hyperlink>
          </w:p>
        </w:tc>
        <w:tc>
          <w:tcPr>
            <w:tcW w:w="520" w:type="dxa"/>
            <w:vAlign w:val="bottom"/>
          </w:tcPr>
          <w:p>
            <w:pPr>
              <w:ind w:left="260"/>
              <w:spacing w:after="0"/>
              <w:rPr>
                <w:rFonts w:ascii="Arial" w:cs="Arial" w:eastAsia="Arial" w:hAnsi="Arial"/>
                <w:sz w:val="10"/>
                <w:szCs w:val="10"/>
                <w:color w:val="auto"/>
                <w:w w:val="81"/>
              </w:rPr>
            </w:pPr>
            <w:hyperlink w:anchor="page238">
              <w:r>
                <w:rPr>
                  <w:rFonts w:ascii="Arial" w:cs="Arial" w:eastAsia="Arial" w:hAnsi="Arial"/>
                  <w:sz w:val="10"/>
                  <w:szCs w:val="10"/>
                  <w:color w:val="auto"/>
                  <w:w w:val="81"/>
                </w:rPr>
                <w:t>Note 7</w:t>
              </w:r>
            </w:hyperlink>
          </w:p>
        </w:tc>
        <w:tc>
          <w:tcPr>
            <w:tcW w:w="3380" w:type="dxa"/>
            <w:vAlign w:val="bottom"/>
          </w:tcPr>
          <w:p>
            <w:pPr>
              <w:ind w:left="20"/>
              <w:spacing w:after="0"/>
              <w:rPr>
                <w:rFonts w:ascii="Arial" w:cs="Arial" w:eastAsia="Arial" w:hAnsi="Arial"/>
                <w:sz w:val="10"/>
                <w:szCs w:val="10"/>
                <w:color w:val="auto"/>
              </w:rPr>
            </w:pPr>
            <w:hyperlink w:anchor="page238">
              <w:r>
                <w:rPr>
                  <w:rFonts w:ascii="Arial" w:cs="Arial" w:eastAsia="Arial" w:hAnsi="Arial"/>
                  <w:sz w:val="10"/>
                  <w:szCs w:val="10"/>
                  <w:color w:val="auto"/>
                </w:rPr>
                <w:t>Related parties</w:t>
              </w:r>
            </w:hyperlink>
          </w:p>
        </w:tc>
        <w:tc>
          <w:tcPr>
            <w:tcW w:w="6980" w:type="dxa"/>
            <w:vAlign w:val="bottom"/>
          </w:tcPr>
          <w:p>
            <w:pPr>
              <w:spacing w:after="0"/>
              <w:rPr>
                <w:sz w:val="10"/>
                <w:szCs w:val="10"/>
                <w:color w:val="auto"/>
              </w:rPr>
            </w:pPr>
          </w:p>
        </w:tc>
      </w:tr>
      <w:tr>
        <w:trPr>
          <w:trHeight w:val="126"/>
        </w:trPr>
        <w:tc>
          <w:tcPr>
            <w:tcW w:w="420" w:type="dxa"/>
            <w:vAlign w:val="bottom"/>
          </w:tcPr>
          <w:p>
            <w:pPr>
              <w:ind w:left="20"/>
              <w:spacing w:after="0"/>
              <w:rPr>
                <w:rFonts w:ascii="Arial" w:cs="Arial" w:eastAsia="Arial" w:hAnsi="Arial"/>
                <w:sz w:val="10"/>
                <w:szCs w:val="10"/>
                <w:color w:val="auto"/>
              </w:rPr>
            </w:pPr>
            <w:hyperlink w:anchor="page238">
              <w:r>
                <w:rPr>
                  <w:rFonts w:ascii="Arial" w:cs="Arial" w:eastAsia="Arial" w:hAnsi="Arial"/>
                  <w:sz w:val="10"/>
                  <w:szCs w:val="10"/>
                  <w:color w:val="auto"/>
                </w:rPr>
                <w:t>235</w:t>
              </w:r>
            </w:hyperlink>
          </w:p>
        </w:tc>
        <w:tc>
          <w:tcPr>
            <w:tcW w:w="520" w:type="dxa"/>
            <w:vAlign w:val="bottom"/>
          </w:tcPr>
          <w:p>
            <w:pPr>
              <w:ind w:left="260"/>
              <w:spacing w:after="0"/>
              <w:rPr>
                <w:rFonts w:ascii="Arial" w:cs="Arial" w:eastAsia="Arial" w:hAnsi="Arial"/>
                <w:sz w:val="10"/>
                <w:szCs w:val="10"/>
                <w:color w:val="auto"/>
                <w:w w:val="81"/>
              </w:rPr>
            </w:pPr>
            <w:hyperlink w:anchor="page238">
              <w:r>
                <w:rPr>
                  <w:rFonts w:ascii="Arial" w:cs="Arial" w:eastAsia="Arial" w:hAnsi="Arial"/>
                  <w:sz w:val="10"/>
                  <w:szCs w:val="10"/>
                  <w:color w:val="auto"/>
                  <w:w w:val="81"/>
                </w:rPr>
                <w:t>Note 8</w:t>
              </w:r>
            </w:hyperlink>
          </w:p>
        </w:tc>
        <w:tc>
          <w:tcPr>
            <w:tcW w:w="3380" w:type="dxa"/>
            <w:vAlign w:val="bottom"/>
          </w:tcPr>
          <w:p>
            <w:pPr>
              <w:ind w:left="20"/>
              <w:spacing w:after="0"/>
              <w:rPr>
                <w:rFonts w:ascii="Arial" w:cs="Arial" w:eastAsia="Arial" w:hAnsi="Arial"/>
                <w:sz w:val="10"/>
                <w:szCs w:val="10"/>
                <w:color w:val="auto"/>
              </w:rPr>
            </w:pPr>
            <w:hyperlink w:anchor="page238">
              <w:r>
                <w:rPr>
                  <w:rFonts w:ascii="Arial" w:cs="Arial" w:eastAsia="Arial" w:hAnsi="Arial"/>
                  <w:sz w:val="10"/>
                  <w:szCs w:val="10"/>
                  <w:color w:val="auto"/>
                </w:rPr>
                <w:t>Auditor’s remuneration</w:t>
              </w:r>
            </w:hyperlink>
          </w:p>
        </w:tc>
        <w:tc>
          <w:tcPr>
            <w:tcW w:w="6980" w:type="dxa"/>
            <w:vAlign w:val="bottom"/>
          </w:tcPr>
          <w:p>
            <w:pPr>
              <w:spacing w:after="0"/>
              <w:rPr>
                <w:sz w:val="10"/>
                <w:szCs w:val="10"/>
                <w:color w:val="auto"/>
              </w:rPr>
            </w:pPr>
          </w:p>
        </w:tc>
      </w:tr>
      <w:tr>
        <w:trPr>
          <w:trHeight w:val="505"/>
        </w:trPr>
        <w:tc>
          <w:tcPr>
            <w:tcW w:w="4320" w:type="dxa"/>
            <w:vAlign w:val="bottom"/>
            <w:gridSpan w:val="3"/>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232</w:t>
            </w:r>
          </w:p>
        </w:tc>
      </w:tr>
      <w:tr>
        <w:trPr>
          <w:trHeight w:val="151"/>
        </w:trPr>
        <w:tc>
          <w:tcPr>
            <w:tcW w:w="4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380" w:type="dxa"/>
            <w:vAlign w:val="bottom"/>
            <w:tcBorders>
              <w:bottom w:val="single" w:sz="8" w:color="9A9A9A"/>
            </w:tcBorders>
          </w:tcPr>
          <w:p>
            <w:pPr>
              <w:spacing w:after="0"/>
              <w:rPr>
                <w:sz w:val="13"/>
                <w:szCs w:val="13"/>
                <w:color w:val="auto"/>
              </w:rPr>
            </w:pPr>
          </w:p>
        </w:tc>
        <w:tc>
          <w:tcPr>
            <w:tcW w:w="69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186"/>
        </w:trPr>
        <w:tc>
          <w:tcPr>
            <w:tcW w:w="5320" w:type="dxa"/>
            <w:vAlign w:val="bottom"/>
            <w:tcBorders>
              <w:top w:val="single" w:sz="8" w:color="CDCDCD"/>
            </w:tcBorders>
            <w:gridSpan w:val="2"/>
          </w:tcPr>
          <w:p>
            <w:pPr>
              <w:spacing w:after="0"/>
              <w:rPr>
                <w:sz w:val="20"/>
                <w:szCs w:val="20"/>
                <w:color w:val="auto"/>
              </w:rPr>
            </w:pPr>
            <w:r>
              <w:rPr>
                <w:rFonts w:ascii="Arial" w:cs="Arial" w:eastAsia="Arial" w:hAnsi="Arial"/>
                <w:sz w:val="12"/>
                <w:szCs w:val="12"/>
                <w:color w:val="auto"/>
              </w:rPr>
              <w:t>STATEMENT OF INCOME</w:t>
            </w:r>
          </w:p>
        </w:tc>
        <w:tc>
          <w:tcPr>
            <w:tcW w:w="640" w:type="dxa"/>
            <w:vAlign w:val="bottom"/>
            <w:tcBorders>
              <w:top w:val="single" w:sz="8" w:color="CDCDCD"/>
            </w:tcBorders>
          </w:tcPr>
          <w:p>
            <w:pPr>
              <w:spacing w:after="0"/>
              <w:rPr>
                <w:sz w:val="16"/>
                <w:szCs w:val="16"/>
                <w:color w:val="auto"/>
              </w:rPr>
            </w:pPr>
          </w:p>
        </w:tc>
        <w:tc>
          <w:tcPr>
            <w:tcW w:w="1340" w:type="dxa"/>
            <w:vAlign w:val="bottom"/>
            <w:tcBorders>
              <w:top w:val="single" w:sz="8" w:color="CDCDCD"/>
            </w:tcBorders>
          </w:tcPr>
          <w:p>
            <w:pPr>
              <w:spacing w:after="0"/>
              <w:rPr>
                <w:sz w:val="16"/>
                <w:szCs w:val="16"/>
                <w:color w:val="auto"/>
              </w:rPr>
            </w:pPr>
          </w:p>
        </w:tc>
        <w:tc>
          <w:tcPr>
            <w:tcW w:w="1340" w:type="dxa"/>
            <w:vAlign w:val="bottom"/>
            <w:tcBorders>
              <w:top w:val="single" w:sz="8" w:color="CDCDCD"/>
            </w:tcBorders>
          </w:tcPr>
          <w:p>
            <w:pPr>
              <w:spacing w:after="0"/>
              <w:rPr>
                <w:sz w:val="16"/>
                <w:szCs w:val="16"/>
                <w:color w:val="auto"/>
              </w:rPr>
            </w:pPr>
          </w:p>
        </w:tc>
        <w:tc>
          <w:tcPr>
            <w:tcW w:w="1320" w:type="dxa"/>
            <w:vAlign w:val="bottom"/>
            <w:tcBorders>
              <w:top w:val="single" w:sz="8" w:color="CDCDCD"/>
            </w:tcBorders>
          </w:tcPr>
          <w:p>
            <w:pPr>
              <w:spacing w:after="0"/>
              <w:rPr>
                <w:sz w:val="16"/>
                <w:szCs w:val="16"/>
                <w:color w:val="auto"/>
              </w:rPr>
            </w:pPr>
          </w:p>
        </w:tc>
        <w:tc>
          <w:tcPr>
            <w:tcW w:w="132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Dividend income</w:t>
            </w: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2,777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5,484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5,328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Income before taxation and for the period</w:t>
            </w: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2,777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5,484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5,328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34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shd w:val="clear" w:color="auto" w:fill="CDCDCD"/>
          </w:tcPr>
          <w:p>
            <w:pPr>
              <w:spacing w:after="0"/>
              <w:rPr>
                <w:sz w:val="6"/>
                <w:szCs w:val="6"/>
                <w:color w:val="auto"/>
              </w:rPr>
            </w:pPr>
          </w:p>
        </w:tc>
        <w:tc>
          <w:tcPr>
            <w:tcW w:w="5300" w:type="dxa"/>
            <w:vAlign w:val="bottom"/>
            <w:shd w:val="clear" w:color="auto" w:fill="CDCDCD"/>
          </w:tcPr>
          <w:p>
            <w:pPr>
              <w:spacing w:after="0"/>
              <w:rPr>
                <w:sz w:val="6"/>
                <w:szCs w:val="6"/>
                <w:color w:val="auto"/>
              </w:rPr>
            </w:pPr>
          </w:p>
        </w:tc>
        <w:tc>
          <w:tcPr>
            <w:tcW w:w="640" w:type="dxa"/>
            <w:vAlign w:val="bottom"/>
            <w:shd w:val="clear" w:color="auto" w:fill="CDCDCD"/>
          </w:tcPr>
          <w:p>
            <w:pPr>
              <w:spacing w:after="0"/>
              <w:rPr>
                <w:sz w:val="6"/>
                <w:szCs w:val="6"/>
                <w:color w:val="auto"/>
              </w:rPr>
            </w:pPr>
          </w:p>
        </w:tc>
        <w:tc>
          <w:tcPr>
            <w:tcW w:w="1340" w:type="dxa"/>
            <w:vAlign w:val="bottom"/>
            <w:shd w:val="clear" w:color="auto" w:fill="CDCDCD"/>
          </w:tcPr>
          <w:p>
            <w:pPr>
              <w:spacing w:after="0"/>
              <w:rPr>
                <w:sz w:val="6"/>
                <w:szCs w:val="6"/>
                <w:color w:val="auto"/>
              </w:rPr>
            </w:pPr>
          </w:p>
        </w:tc>
        <w:tc>
          <w:tcPr>
            <w:tcW w:w="1340" w:type="dxa"/>
            <w:vAlign w:val="bottom"/>
            <w:shd w:val="clear" w:color="auto" w:fill="CDCDCD"/>
          </w:tcPr>
          <w:p>
            <w:pPr>
              <w:spacing w:after="0"/>
              <w:rPr>
                <w:sz w:val="6"/>
                <w:szCs w:val="6"/>
                <w:color w:val="auto"/>
              </w:rPr>
            </w:pPr>
          </w:p>
        </w:tc>
        <w:tc>
          <w:tcPr>
            <w:tcW w:w="1320" w:type="dxa"/>
            <w:vAlign w:val="bottom"/>
            <w:shd w:val="clear" w:color="auto" w:fill="CDCDCD"/>
          </w:tcPr>
          <w:p>
            <w:pPr>
              <w:spacing w:after="0"/>
              <w:rPr>
                <w:sz w:val="6"/>
                <w:szCs w:val="6"/>
                <w:color w:val="auto"/>
              </w:rPr>
            </w:pPr>
          </w:p>
        </w:tc>
        <w:tc>
          <w:tcPr>
            <w:tcW w:w="1320" w:type="dxa"/>
            <w:vAlign w:val="bottom"/>
            <w:shd w:val="clear" w:color="auto" w:fill="CDCDCD"/>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5320" w:type="dxa"/>
            <w:vAlign w:val="bottom"/>
            <w:gridSpan w:val="2"/>
          </w:tcPr>
          <w:p>
            <w:pPr>
              <w:spacing w:after="0"/>
              <w:rPr>
                <w:sz w:val="20"/>
                <w:szCs w:val="20"/>
                <w:color w:val="auto"/>
              </w:rPr>
            </w:pPr>
            <w:r>
              <w:rPr>
                <w:rFonts w:ascii="Arial" w:cs="Arial" w:eastAsia="Arial" w:hAnsi="Arial"/>
                <w:sz w:val="12"/>
                <w:szCs w:val="12"/>
                <w:color w:val="auto"/>
              </w:rPr>
              <w:t>STATEMENT OF COMPREHENSIVE INCOME</w:t>
            </w: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5"/>
        </w:trPr>
        <w:tc>
          <w:tcPr>
            <w:tcW w:w="2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Income for the period</w:t>
            </w: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2,777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5,484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5,328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Comprehensive income for the period</w:t>
            </w: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2,777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5,484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5,328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60" w:type="dxa"/>
            <w:vAlign w:val="bottom"/>
            <w:gridSpan w:val="3"/>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shd w:val="clear" w:color="auto" w:fill="CDCDCD"/>
          </w:tcPr>
          <w:p>
            <w:pPr>
              <w:spacing w:after="0"/>
              <w:rPr>
                <w:sz w:val="6"/>
                <w:szCs w:val="6"/>
                <w:color w:val="auto"/>
              </w:rPr>
            </w:pPr>
          </w:p>
        </w:tc>
        <w:tc>
          <w:tcPr>
            <w:tcW w:w="5300" w:type="dxa"/>
            <w:vAlign w:val="bottom"/>
            <w:shd w:val="clear" w:color="auto" w:fill="CDCDCD"/>
          </w:tcPr>
          <w:p>
            <w:pPr>
              <w:spacing w:after="0"/>
              <w:rPr>
                <w:sz w:val="6"/>
                <w:szCs w:val="6"/>
                <w:color w:val="auto"/>
              </w:rPr>
            </w:pPr>
          </w:p>
        </w:tc>
        <w:tc>
          <w:tcPr>
            <w:tcW w:w="640" w:type="dxa"/>
            <w:vAlign w:val="bottom"/>
            <w:shd w:val="clear" w:color="auto" w:fill="CDCDCD"/>
          </w:tcPr>
          <w:p>
            <w:pPr>
              <w:spacing w:after="0"/>
              <w:rPr>
                <w:sz w:val="6"/>
                <w:szCs w:val="6"/>
                <w:color w:val="auto"/>
              </w:rPr>
            </w:pPr>
          </w:p>
        </w:tc>
        <w:tc>
          <w:tcPr>
            <w:tcW w:w="1340" w:type="dxa"/>
            <w:vAlign w:val="bottom"/>
            <w:shd w:val="clear" w:color="auto" w:fill="CDCDCD"/>
          </w:tcPr>
          <w:p>
            <w:pPr>
              <w:spacing w:after="0"/>
              <w:rPr>
                <w:sz w:val="6"/>
                <w:szCs w:val="6"/>
                <w:color w:val="auto"/>
              </w:rPr>
            </w:pPr>
          </w:p>
        </w:tc>
        <w:tc>
          <w:tcPr>
            <w:tcW w:w="1340" w:type="dxa"/>
            <w:vAlign w:val="bottom"/>
            <w:shd w:val="clear" w:color="auto" w:fill="CDCDCD"/>
          </w:tcPr>
          <w:p>
            <w:pPr>
              <w:spacing w:after="0"/>
              <w:rPr>
                <w:sz w:val="6"/>
                <w:szCs w:val="6"/>
                <w:color w:val="auto"/>
              </w:rPr>
            </w:pPr>
          </w:p>
        </w:tc>
        <w:tc>
          <w:tcPr>
            <w:tcW w:w="1320" w:type="dxa"/>
            <w:vAlign w:val="bottom"/>
            <w:shd w:val="clear" w:color="auto" w:fill="CDCDCD"/>
          </w:tcPr>
          <w:p>
            <w:pPr>
              <w:spacing w:after="0"/>
              <w:rPr>
                <w:sz w:val="6"/>
                <w:szCs w:val="6"/>
                <w:color w:val="auto"/>
              </w:rPr>
            </w:pPr>
          </w:p>
        </w:tc>
        <w:tc>
          <w:tcPr>
            <w:tcW w:w="1340" w:type="dxa"/>
            <w:vAlign w:val="bottom"/>
            <w:gridSpan w:val="2"/>
            <w:shd w:val="clear" w:color="auto" w:fill="CDCDCD"/>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300" w:type="dxa"/>
            <w:vAlign w:val="bottom"/>
          </w:tcPr>
          <w:p>
            <w:pPr>
              <w:spacing w:after="0"/>
              <w:rPr>
                <w:sz w:val="20"/>
                <w:szCs w:val="20"/>
                <w:color w:val="auto"/>
              </w:rPr>
            </w:pPr>
            <w:r>
              <w:rPr>
                <w:rFonts w:ascii="Arial" w:cs="Arial" w:eastAsia="Arial" w:hAnsi="Arial"/>
                <w:sz w:val="12"/>
                <w:szCs w:val="12"/>
                <w:color w:val="auto"/>
              </w:rPr>
              <w:t>BALANCE SHEET</w:t>
            </w:r>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Notes</w:t>
            </w:r>
          </w:p>
        </w:tc>
        <w:tc>
          <w:tcPr>
            <w:tcW w:w="1320" w:type="dxa"/>
            <w:vAlign w:val="bottom"/>
          </w:tcPr>
          <w:p>
            <w:pPr>
              <w:jc w:val="right"/>
              <w:spacing w:after="0"/>
              <w:rPr>
                <w:sz w:val="20"/>
                <w:szCs w:val="20"/>
                <w:color w:val="auto"/>
              </w:rPr>
            </w:pPr>
            <w:r>
              <w:rPr>
                <w:rFonts w:ascii="Arial" w:cs="Arial" w:eastAsia="Arial" w:hAnsi="Arial"/>
                <w:sz w:val="10"/>
                <w:szCs w:val="10"/>
                <w:color w:val="auto"/>
              </w:rPr>
              <w:t>Dec 31, 2020</w:t>
            </w:r>
          </w:p>
        </w:tc>
        <w:tc>
          <w:tcPr>
            <w:tcW w:w="1360" w:type="dxa"/>
            <w:vAlign w:val="bottom"/>
            <w:gridSpan w:val="3"/>
          </w:tcPr>
          <w:p>
            <w:pPr>
              <w:jc w:val="right"/>
              <w:ind w:right="40"/>
              <w:spacing w:after="0"/>
              <w:rPr>
                <w:sz w:val="20"/>
                <w:szCs w:val="20"/>
                <w:color w:val="auto"/>
              </w:rPr>
            </w:pPr>
            <w:r>
              <w:rPr>
                <w:rFonts w:ascii="Arial" w:cs="Arial" w:eastAsia="Arial" w:hAnsi="Arial"/>
                <w:sz w:val="10"/>
                <w:szCs w:val="10"/>
                <w:color w:val="auto"/>
              </w:rPr>
              <w:t>Dec 31, 2019</w:t>
            </w:r>
          </w:p>
        </w:tc>
        <w:tc>
          <w:tcPr>
            <w:tcW w:w="0" w:type="dxa"/>
            <w:vAlign w:val="bottom"/>
          </w:tcPr>
          <w:p>
            <w:pPr>
              <w:spacing w:after="0"/>
              <w:rPr>
                <w:sz w:val="1"/>
                <w:szCs w:val="1"/>
                <w:color w:val="auto"/>
              </w:rPr>
            </w:pPr>
          </w:p>
        </w:tc>
      </w:tr>
      <w:tr>
        <w:trPr>
          <w:trHeight w:val="116"/>
        </w:trPr>
        <w:tc>
          <w:tcPr>
            <w:tcW w:w="20" w:type="dxa"/>
            <w:vAlign w:val="bottom"/>
            <w:tcBorders>
              <w:top w:val="single" w:sz="8" w:color="auto"/>
            </w:tcBorders>
          </w:tcPr>
          <w:p>
            <w:pPr>
              <w:spacing w:after="0"/>
              <w:rPr>
                <w:sz w:val="10"/>
                <w:szCs w:val="10"/>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Assets</w:t>
            </w:r>
          </w:p>
        </w:tc>
        <w:tc>
          <w:tcPr>
            <w:tcW w:w="6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shd w:val="clear" w:color="auto" w:fill="D9D9D9"/>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00" w:type="dxa"/>
            <w:vAlign w:val="bottom"/>
          </w:tcPr>
          <w:p>
            <w:pPr>
              <w:spacing w:after="0"/>
              <w:rPr>
                <w:sz w:val="20"/>
                <w:szCs w:val="20"/>
                <w:color w:val="auto"/>
              </w:rPr>
            </w:pPr>
            <w:r>
              <w:rPr>
                <w:rFonts w:ascii="Arial" w:cs="Arial" w:eastAsia="Arial" w:hAnsi="Arial"/>
                <w:sz w:val="10"/>
                <w:szCs w:val="10"/>
                <w:color w:val="auto"/>
              </w:rPr>
              <w:t>Other current assets</w:t>
            </w: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w:t>
            </w:r>
          </w:p>
        </w:tc>
        <w:tc>
          <w:tcPr>
            <w:tcW w:w="136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Cash and cash equivalents</w:t>
            </w:r>
          </w:p>
        </w:tc>
        <w:tc>
          <w:tcPr>
            <w:tcW w:w="6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Total assets</w:t>
            </w: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300" w:type="dxa"/>
            <w:vAlign w:val="bottom"/>
          </w:tcPr>
          <w:p>
            <w:pPr>
              <w:spacing w:after="0" w:line="114" w:lineRule="exact"/>
              <w:rPr>
                <w:sz w:val="20"/>
                <w:szCs w:val="20"/>
                <w:color w:val="auto"/>
              </w:rPr>
            </w:pPr>
            <w:r>
              <w:rPr>
                <w:rFonts w:ascii="Arial" w:cs="Arial" w:eastAsia="Arial" w:hAnsi="Arial"/>
                <w:sz w:val="10"/>
                <w:szCs w:val="10"/>
                <w:b w:val="1"/>
                <w:bCs w:val="1"/>
                <w:color w:val="auto"/>
              </w:rPr>
              <w:t>Liabilities</w:t>
            </w:r>
          </w:p>
        </w:tc>
        <w:tc>
          <w:tcPr>
            <w:tcW w:w="6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20" w:type="dxa"/>
            <w:vAlign w:val="bottom"/>
            <w:shd w:val="clear" w:color="auto" w:fill="D9D9D9"/>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Unclaimed dividends</w:t>
            </w: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Total liabilities</w:t>
            </w: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300" w:type="dxa"/>
            <w:vAlign w:val="bottom"/>
          </w:tcPr>
          <w:p>
            <w:pPr>
              <w:spacing w:after="0" w:line="114" w:lineRule="exact"/>
              <w:rPr>
                <w:sz w:val="20"/>
                <w:szCs w:val="20"/>
                <w:color w:val="auto"/>
              </w:rPr>
            </w:pPr>
            <w:r>
              <w:rPr>
                <w:rFonts w:ascii="Arial" w:cs="Arial" w:eastAsia="Arial" w:hAnsi="Arial"/>
                <w:sz w:val="10"/>
                <w:szCs w:val="10"/>
                <w:b w:val="1"/>
                <w:bCs w:val="1"/>
                <w:color w:val="auto"/>
              </w:rPr>
              <w:t>Equity</w:t>
            </w:r>
          </w:p>
        </w:tc>
        <w:tc>
          <w:tcPr>
            <w:tcW w:w="6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20" w:type="dxa"/>
            <w:vAlign w:val="bottom"/>
            <w:shd w:val="clear" w:color="auto" w:fill="D9D9D9"/>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00" w:type="dxa"/>
            <w:vAlign w:val="bottom"/>
          </w:tcPr>
          <w:p>
            <w:pPr>
              <w:spacing w:after="0"/>
              <w:rPr>
                <w:sz w:val="20"/>
                <w:szCs w:val="20"/>
                <w:color w:val="auto"/>
              </w:rPr>
            </w:pPr>
            <w:r>
              <w:rPr>
                <w:rFonts w:ascii="Arial" w:cs="Arial" w:eastAsia="Arial" w:hAnsi="Arial"/>
                <w:sz w:val="10"/>
                <w:szCs w:val="10"/>
                <w:color w:val="auto"/>
              </w:rPr>
              <w:t>Capital account</w:t>
            </w: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5</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tcPr>
          <w:p>
            <w:pPr>
              <w:spacing w:after="0"/>
              <w:rPr>
                <w:sz w:val="20"/>
                <w:szCs w:val="20"/>
                <w:color w:val="auto"/>
              </w:rPr>
            </w:pPr>
            <w:r>
              <w:rPr>
                <w:rFonts w:ascii="Arial" w:cs="Arial" w:eastAsia="Arial" w:hAnsi="Arial"/>
                <w:sz w:val="10"/>
                <w:szCs w:val="10"/>
                <w:color w:val="auto"/>
              </w:rPr>
              <w:t>Revenue account</w:t>
            </w: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 w:type="dxa"/>
            <w:vAlign w:val="bottom"/>
            <w:tcBorders>
              <w:top w:val="single" w:sz="8" w:color="auto"/>
              <w:bottom w:val="single" w:sz="8" w:color="auto"/>
            </w:tcBorders>
          </w:tcPr>
          <w:p>
            <w:pPr>
              <w:spacing w:after="0"/>
              <w:rPr>
                <w:sz w:val="10"/>
                <w:szCs w:val="10"/>
                <w:color w:val="auto"/>
              </w:rPr>
            </w:pPr>
          </w:p>
        </w:tc>
        <w:tc>
          <w:tcPr>
            <w:tcW w:w="5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rPr>
              <w:t>Total equity</w:t>
            </w:r>
          </w:p>
        </w:tc>
        <w:tc>
          <w:tcPr>
            <w:tcW w:w="640" w:type="dxa"/>
            <w:vAlign w:val="bottom"/>
            <w:tcBorders>
              <w:top w:val="single" w:sz="8" w:color="auto"/>
              <w:bottom w:val="single" w:sz="8" w:color="auto"/>
            </w:tcBorders>
          </w:tcPr>
          <w:p>
            <w:pPr>
              <w:spacing w:after="0"/>
              <w:rPr>
                <w:sz w:val="10"/>
                <w:szCs w:val="10"/>
                <w:color w:val="auto"/>
              </w:rPr>
            </w:pPr>
          </w:p>
        </w:tc>
        <w:tc>
          <w:tcPr>
            <w:tcW w:w="1340" w:type="dxa"/>
            <w:vAlign w:val="bottom"/>
            <w:tcBorders>
              <w:top w:val="single" w:sz="8" w:color="auto"/>
              <w:bottom w:val="single" w:sz="8" w:color="auto"/>
            </w:tcBorders>
          </w:tcPr>
          <w:p>
            <w:pPr>
              <w:spacing w:after="0"/>
              <w:rPr>
                <w:sz w:val="10"/>
                <w:szCs w:val="10"/>
                <w:color w:val="auto"/>
              </w:rPr>
            </w:pPr>
          </w:p>
        </w:tc>
        <w:tc>
          <w:tcPr>
            <w:tcW w:w="1340" w:type="dxa"/>
            <w:vAlign w:val="bottom"/>
            <w:tcBorders>
              <w:top w:val="single" w:sz="8" w:color="auto"/>
              <w:bottom w:val="single" w:sz="8" w:color="auto"/>
            </w:tcBorders>
          </w:tcPr>
          <w:p>
            <w:pPr>
              <w:spacing w:after="0"/>
              <w:rPr>
                <w:sz w:val="10"/>
                <w:szCs w:val="10"/>
                <w:color w:val="auto"/>
              </w:rPr>
            </w:pPr>
          </w:p>
        </w:tc>
        <w:tc>
          <w:tcPr>
            <w:tcW w:w="13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w:t>
            </w:r>
          </w:p>
        </w:tc>
        <w:tc>
          <w:tcPr>
            <w:tcW w:w="13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Total liabilities and equity</w:t>
            </w: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0"/>
                <w:szCs w:val="10"/>
                <w:color w:val="auto"/>
              </w:rPr>
              <w:t>Signed on behalf of Computershare Trustees (Jersey) Limited</w:t>
            </w: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00" w:type="dxa"/>
            <w:vAlign w:val="bottom"/>
          </w:tcPr>
          <w:p>
            <w:pPr>
              <w:spacing w:after="0"/>
              <w:rPr>
                <w:sz w:val="20"/>
                <w:szCs w:val="20"/>
                <w:color w:val="auto"/>
              </w:rPr>
            </w:pPr>
            <w:r>
              <w:rPr>
                <w:rFonts w:ascii="Arial" w:cs="Arial" w:eastAsia="Arial" w:hAnsi="Arial"/>
                <w:sz w:val="10"/>
                <w:szCs w:val="10"/>
                <w:color w:val="auto"/>
              </w:rPr>
              <w:t>as Trustee of the Royal Dutch Shell Dividend Access Trust</w:t>
            </w: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300" w:type="dxa"/>
            <w:vAlign w:val="bottom"/>
          </w:tcPr>
          <w:p>
            <w:pPr>
              <w:spacing w:after="0"/>
              <w:rPr>
                <w:sz w:val="20"/>
                <w:szCs w:val="20"/>
                <w:color w:val="auto"/>
              </w:rPr>
            </w:pPr>
            <w:r>
              <w:rPr>
                <w:rFonts w:ascii="Arial" w:cs="Arial" w:eastAsia="Arial" w:hAnsi="Arial"/>
                <w:sz w:val="10"/>
                <w:szCs w:val="10"/>
                <w:color w:val="auto"/>
              </w:rPr>
              <w:t>/s/John Le Marquand</w:t>
            </w:r>
          </w:p>
        </w:tc>
        <w:tc>
          <w:tcPr>
            <w:tcW w:w="64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0"/>
                <w:szCs w:val="10"/>
                <w:color w:val="auto"/>
              </w:rPr>
              <w:t>/s/ Martin Fish</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0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00" w:type="dxa"/>
            <w:vAlign w:val="bottom"/>
          </w:tcPr>
          <w:p>
            <w:pPr>
              <w:spacing w:after="0" w:line="111" w:lineRule="exact"/>
              <w:rPr>
                <w:sz w:val="20"/>
                <w:szCs w:val="20"/>
                <w:color w:val="auto"/>
              </w:rPr>
            </w:pPr>
            <w:r>
              <w:rPr>
                <w:rFonts w:ascii="Arial" w:cs="Arial" w:eastAsia="Arial" w:hAnsi="Arial"/>
                <w:sz w:val="10"/>
                <w:szCs w:val="10"/>
                <w:color w:val="auto"/>
              </w:rPr>
              <w:t>John Le Marquand</w:t>
            </w:r>
          </w:p>
        </w:tc>
        <w:tc>
          <w:tcPr>
            <w:tcW w:w="640" w:type="dxa"/>
            <w:vAlign w:val="bottom"/>
          </w:tcPr>
          <w:p>
            <w:pPr>
              <w:spacing w:after="0"/>
              <w:rPr>
                <w:sz w:val="9"/>
                <w:szCs w:val="9"/>
                <w:color w:val="auto"/>
              </w:rPr>
            </w:pPr>
          </w:p>
        </w:tc>
        <w:tc>
          <w:tcPr>
            <w:tcW w:w="1340" w:type="dxa"/>
            <w:vAlign w:val="bottom"/>
          </w:tcPr>
          <w:p>
            <w:pPr>
              <w:ind w:left="20"/>
              <w:spacing w:after="0" w:line="111" w:lineRule="exact"/>
              <w:rPr>
                <w:sz w:val="20"/>
                <w:szCs w:val="20"/>
                <w:color w:val="auto"/>
              </w:rPr>
            </w:pPr>
            <w:r>
              <w:rPr>
                <w:rFonts w:ascii="Arial" w:cs="Arial" w:eastAsia="Arial" w:hAnsi="Arial"/>
                <w:sz w:val="10"/>
                <w:szCs w:val="10"/>
                <w:color w:val="auto"/>
              </w:rPr>
              <w:t>Martin Fish</w:t>
            </w:r>
          </w:p>
        </w:tc>
        <w:tc>
          <w:tcPr>
            <w:tcW w:w="1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00" w:type="dxa"/>
            <w:vAlign w:val="bottom"/>
          </w:tcPr>
          <w:p>
            <w:pPr>
              <w:spacing w:after="0"/>
              <w:rPr>
                <w:sz w:val="20"/>
                <w:szCs w:val="20"/>
                <w:color w:val="auto"/>
              </w:rPr>
            </w:pPr>
            <w:r>
              <w:rPr>
                <w:rFonts w:ascii="Arial" w:cs="Arial" w:eastAsia="Arial" w:hAnsi="Arial"/>
                <w:sz w:val="10"/>
                <w:szCs w:val="10"/>
                <w:color w:val="auto"/>
              </w:rPr>
              <w:t>March 10, 2021</w:t>
            </w: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532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60" w:type="dxa"/>
            <w:vAlign w:val="bottom"/>
            <w:gridSpan w:val="3"/>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5320" w:type="dxa"/>
            <w:vAlign w:val="bottom"/>
            <w:gridSpan w:val="2"/>
            <w:shd w:val="clear" w:color="auto" w:fill="CDCDCD"/>
          </w:tcPr>
          <w:p>
            <w:pPr>
              <w:spacing w:after="0"/>
              <w:rPr>
                <w:sz w:val="6"/>
                <w:szCs w:val="6"/>
                <w:color w:val="auto"/>
              </w:rPr>
            </w:pPr>
          </w:p>
        </w:tc>
        <w:tc>
          <w:tcPr>
            <w:tcW w:w="640" w:type="dxa"/>
            <w:vAlign w:val="bottom"/>
            <w:shd w:val="clear" w:color="auto" w:fill="CDCDCD"/>
          </w:tcPr>
          <w:p>
            <w:pPr>
              <w:spacing w:after="0"/>
              <w:rPr>
                <w:sz w:val="6"/>
                <w:szCs w:val="6"/>
                <w:color w:val="auto"/>
              </w:rPr>
            </w:pPr>
          </w:p>
        </w:tc>
        <w:tc>
          <w:tcPr>
            <w:tcW w:w="1340" w:type="dxa"/>
            <w:vAlign w:val="bottom"/>
            <w:shd w:val="clear" w:color="auto" w:fill="CDCDCD"/>
          </w:tcPr>
          <w:p>
            <w:pPr>
              <w:spacing w:after="0"/>
              <w:rPr>
                <w:sz w:val="6"/>
                <w:szCs w:val="6"/>
                <w:color w:val="auto"/>
              </w:rPr>
            </w:pPr>
          </w:p>
        </w:tc>
        <w:tc>
          <w:tcPr>
            <w:tcW w:w="1340" w:type="dxa"/>
            <w:vAlign w:val="bottom"/>
            <w:shd w:val="clear" w:color="auto" w:fill="CDCDCD"/>
          </w:tcPr>
          <w:p>
            <w:pPr>
              <w:spacing w:after="0"/>
              <w:rPr>
                <w:sz w:val="6"/>
                <w:szCs w:val="6"/>
                <w:color w:val="auto"/>
              </w:rPr>
            </w:pPr>
          </w:p>
        </w:tc>
        <w:tc>
          <w:tcPr>
            <w:tcW w:w="1320" w:type="dxa"/>
            <w:vAlign w:val="bottom"/>
            <w:shd w:val="clear" w:color="auto" w:fill="CDCDCD"/>
          </w:tcPr>
          <w:p>
            <w:pPr>
              <w:spacing w:after="0"/>
              <w:rPr>
                <w:sz w:val="6"/>
                <w:szCs w:val="6"/>
                <w:color w:val="auto"/>
              </w:rPr>
            </w:pPr>
          </w:p>
        </w:tc>
        <w:tc>
          <w:tcPr>
            <w:tcW w:w="1320" w:type="dxa"/>
            <w:vAlign w:val="bottom"/>
            <w:shd w:val="clear" w:color="auto" w:fill="CDCDCD"/>
          </w:tcPr>
          <w:p>
            <w:pPr>
              <w:spacing w:after="0"/>
              <w:rPr>
                <w:sz w:val="6"/>
                <w:szCs w:val="6"/>
                <w:color w:val="auto"/>
              </w:rPr>
            </w:pPr>
          </w:p>
        </w:tc>
        <w:tc>
          <w:tcPr>
            <w:tcW w:w="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5320" w:type="dxa"/>
            <w:vAlign w:val="bottom"/>
            <w:gridSpan w:val="2"/>
          </w:tcPr>
          <w:p>
            <w:pPr>
              <w:spacing w:after="0"/>
              <w:rPr>
                <w:sz w:val="20"/>
                <w:szCs w:val="20"/>
                <w:color w:val="auto"/>
              </w:rPr>
            </w:pPr>
            <w:r>
              <w:rPr>
                <w:rFonts w:ascii="Arial" w:cs="Arial" w:eastAsia="Arial" w:hAnsi="Arial"/>
                <w:sz w:val="12"/>
                <w:szCs w:val="12"/>
                <w:color w:val="auto"/>
              </w:rPr>
              <w:t>STATEMENT OF CHANGES IN EQUITY</w:t>
            </w:r>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79"/>
        </w:trPr>
        <w:tc>
          <w:tcPr>
            <w:tcW w:w="20" w:type="dxa"/>
            <w:vAlign w:val="bottom"/>
            <w:tcBorders>
              <w:top w:val="single" w:sz="8" w:color="auto"/>
            </w:tcBorders>
          </w:tcPr>
          <w:p>
            <w:pPr>
              <w:spacing w:after="0"/>
              <w:rPr>
                <w:sz w:val="6"/>
                <w:szCs w:val="6"/>
                <w:color w:val="auto"/>
              </w:rPr>
            </w:pPr>
          </w:p>
        </w:tc>
        <w:tc>
          <w:tcPr>
            <w:tcW w:w="53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Notes</w:t>
            </w:r>
          </w:p>
        </w:tc>
        <w:tc>
          <w:tcPr>
            <w:tcW w:w="13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Capital</w:t>
            </w:r>
          </w:p>
        </w:tc>
        <w:tc>
          <w:tcPr>
            <w:tcW w:w="132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Revenue</w:t>
            </w:r>
          </w:p>
        </w:tc>
        <w:tc>
          <w:tcPr>
            <w:tcW w:w="132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Total</w:t>
            </w:r>
          </w:p>
        </w:tc>
        <w:tc>
          <w:tcPr>
            <w:tcW w:w="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5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340" w:type="dxa"/>
            <w:vAlign w:val="bottom"/>
            <w:vMerge w:val="restart"/>
          </w:tcPr>
          <w:p>
            <w:pPr>
              <w:jc w:val="right"/>
              <w:spacing w:after="0"/>
              <w:rPr>
                <w:sz w:val="20"/>
                <w:szCs w:val="20"/>
                <w:color w:val="auto"/>
              </w:rPr>
            </w:pPr>
            <w:r>
              <w:rPr>
                <w:rFonts w:ascii="Arial" w:cs="Arial" w:eastAsia="Arial" w:hAnsi="Arial"/>
                <w:sz w:val="10"/>
                <w:szCs w:val="10"/>
                <w:color w:val="auto"/>
              </w:rPr>
              <w:t>account</w:t>
            </w:r>
          </w:p>
        </w:tc>
        <w:tc>
          <w:tcPr>
            <w:tcW w:w="1320" w:type="dxa"/>
            <w:vAlign w:val="bottom"/>
            <w:vMerge w:val="restart"/>
          </w:tcPr>
          <w:p>
            <w:pPr>
              <w:jc w:val="right"/>
              <w:spacing w:after="0"/>
              <w:rPr>
                <w:sz w:val="20"/>
                <w:szCs w:val="20"/>
                <w:color w:val="auto"/>
              </w:rPr>
            </w:pPr>
            <w:r>
              <w:rPr>
                <w:rFonts w:ascii="Arial" w:cs="Arial" w:eastAsia="Arial" w:hAnsi="Arial"/>
                <w:sz w:val="10"/>
                <w:szCs w:val="10"/>
                <w:color w:val="auto"/>
              </w:rPr>
              <w:t>account</w:t>
            </w:r>
          </w:p>
        </w:tc>
        <w:tc>
          <w:tcPr>
            <w:tcW w:w="1360" w:type="dxa"/>
            <w:vAlign w:val="bottom"/>
            <w:gridSpan w:val="3"/>
            <w:vMerge w:val="restart"/>
          </w:tcPr>
          <w:p>
            <w:pPr>
              <w:jc w:val="right"/>
              <w:ind w:right="60"/>
              <w:spacing w:after="0"/>
              <w:rPr>
                <w:sz w:val="20"/>
                <w:szCs w:val="20"/>
                <w:color w:val="auto"/>
              </w:rPr>
            </w:pPr>
            <w:r>
              <w:rPr>
                <w:rFonts w:ascii="Arial" w:cs="Arial" w:eastAsia="Arial" w:hAnsi="Arial"/>
                <w:sz w:val="10"/>
                <w:szCs w:val="10"/>
                <w:color w:val="auto"/>
              </w:rPr>
              <w:t>equity</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532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0"/>
                <w:szCs w:val="10"/>
                <w:b w:val="1"/>
                <w:bCs w:val="1"/>
                <w:color w:val="auto"/>
              </w:rPr>
              <w:t>At January 1, 2020</w:t>
            </w:r>
          </w:p>
        </w:tc>
        <w:tc>
          <w:tcPr>
            <w:tcW w:w="64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132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132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320" w:type="dxa"/>
            <w:vAlign w:val="bottom"/>
            <w:gridSpan w:val="2"/>
          </w:tcPr>
          <w:p>
            <w:pPr>
              <w:spacing w:after="0"/>
              <w:rPr>
                <w:sz w:val="20"/>
                <w:szCs w:val="20"/>
                <w:color w:val="auto"/>
              </w:rPr>
            </w:pPr>
            <w:r>
              <w:rPr>
                <w:rFonts w:ascii="Arial" w:cs="Arial" w:eastAsia="Arial" w:hAnsi="Arial"/>
                <w:sz w:val="10"/>
                <w:szCs w:val="10"/>
                <w:color w:val="auto"/>
              </w:rPr>
              <w:t>Comprehensive income for the period</w:t>
            </w: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spacing w:after="0"/>
              <w:rPr>
                <w:sz w:val="20"/>
                <w:szCs w:val="20"/>
                <w:color w:val="auto"/>
              </w:rPr>
            </w:pPr>
            <w:r>
              <w:rPr>
                <w:rFonts w:ascii="Arial" w:cs="Arial" w:eastAsia="Arial" w:hAnsi="Arial"/>
                <w:sz w:val="10"/>
                <w:szCs w:val="10"/>
                <w:color w:val="auto"/>
              </w:rPr>
              <w:t>2,777</w:t>
            </w:r>
          </w:p>
        </w:tc>
        <w:tc>
          <w:tcPr>
            <w:tcW w:w="1320" w:type="dxa"/>
            <w:vAlign w:val="bottom"/>
          </w:tcPr>
          <w:p>
            <w:pPr>
              <w:jc w:val="right"/>
              <w:spacing w:after="0"/>
              <w:rPr>
                <w:sz w:val="20"/>
                <w:szCs w:val="20"/>
                <w:color w:val="auto"/>
              </w:rPr>
            </w:pPr>
            <w:r>
              <w:rPr>
                <w:rFonts w:ascii="Arial" w:cs="Arial" w:eastAsia="Arial" w:hAnsi="Arial"/>
                <w:sz w:val="10"/>
                <w:szCs w:val="10"/>
                <w:color w:val="auto"/>
              </w:rPr>
              <w:t>2,777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Distributions made</w:t>
            </w: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(2,777)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(2,777)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At December 31, 2020</w:t>
            </w: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3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At January 1, 2019</w:t>
            </w:r>
          </w:p>
        </w:tc>
        <w:tc>
          <w:tcPr>
            <w:tcW w:w="6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3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3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320" w:type="dxa"/>
            <w:vAlign w:val="bottom"/>
            <w:gridSpan w:val="2"/>
          </w:tcPr>
          <w:p>
            <w:pPr>
              <w:spacing w:after="0"/>
              <w:rPr>
                <w:sz w:val="20"/>
                <w:szCs w:val="20"/>
                <w:color w:val="auto"/>
              </w:rPr>
            </w:pPr>
            <w:r>
              <w:rPr>
                <w:rFonts w:ascii="Arial" w:cs="Arial" w:eastAsia="Arial" w:hAnsi="Arial"/>
                <w:sz w:val="10"/>
                <w:szCs w:val="10"/>
                <w:color w:val="auto"/>
              </w:rPr>
              <w:t>Comprehensive income for the period</w:t>
            </w: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spacing w:after="0"/>
              <w:rPr>
                <w:sz w:val="20"/>
                <w:szCs w:val="20"/>
                <w:color w:val="auto"/>
              </w:rPr>
            </w:pPr>
            <w:r>
              <w:rPr>
                <w:rFonts w:ascii="Arial" w:cs="Arial" w:eastAsia="Arial" w:hAnsi="Arial"/>
                <w:sz w:val="10"/>
                <w:szCs w:val="10"/>
                <w:color w:val="auto"/>
              </w:rPr>
              <w:t>5,484</w:t>
            </w:r>
          </w:p>
        </w:tc>
        <w:tc>
          <w:tcPr>
            <w:tcW w:w="1320" w:type="dxa"/>
            <w:vAlign w:val="bottom"/>
          </w:tcPr>
          <w:p>
            <w:pPr>
              <w:jc w:val="right"/>
              <w:spacing w:after="0"/>
              <w:rPr>
                <w:sz w:val="20"/>
                <w:szCs w:val="20"/>
                <w:color w:val="auto"/>
              </w:rPr>
            </w:pPr>
            <w:r>
              <w:rPr>
                <w:rFonts w:ascii="Arial" w:cs="Arial" w:eastAsia="Arial" w:hAnsi="Arial"/>
                <w:sz w:val="10"/>
                <w:szCs w:val="10"/>
                <w:color w:val="auto"/>
              </w:rPr>
              <w:t>5,484</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Distributions made</w:t>
            </w: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(5,484)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(5,484)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At December 31, 2019</w:t>
            </w: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3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At January 1, 2018</w:t>
            </w:r>
          </w:p>
        </w:tc>
        <w:tc>
          <w:tcPr>
            <w:tcW w:w="6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3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3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320" w:type="dxa"/>
            <w:vAlign w:val="bottom"/>
            <w:gridSpan w:val="2"/>
          </w:tcPr>
          <w:p>
            <w:pPr>
              <w:spacing w:after="0"/>
              <w:rPr>
                <w:sz w:val="20"/>
                <w:szCs w:val="20"/>
                <w:color w:val="auto"/>
              </w:rPr>
            </w:pPr>
            <w:r>
              <w:rPr>
                <w:rFonts w:ascii="Arial" w:cs="Arial" w:eastAsia="Arial" w:hAnsi="Arial"/>
                <w:sz w:val="10"/>
                <w:szCs w:val="10"/>
                <w:color w:val="auto"/>
              </w:rPr>
              <w:t>Comprehensive income for the period</w:t>
            </w: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w:t>
            </w:r>
          </w:p>
        </w:tc>
        <w:tc>
          <w:tcPr>
            <w:tcW w:w="1320" w:type="dxa"/>
            <w:vAlign w:val="bottom"/>
          </w:tcPr>
          <w:p>
            <w:pPr>
              <w:jc w:val="right"/>
              <w:spacing w:after="0"/>
              <w:rPr>
                <w:sz w:val="20"/>
                <w:szCs w:val="20"/>
                <w:color w:val="auto"/>
              </w:rPr>
            </w:pPr>
            <w:r>
              <w:rPr>
                <w:rFonts w:ascii="Arial" w:cs="Arial" w:eastAsia="Arial" w:hAnsi="Arial"/>
                <w:sz w:val="10"/>
                <w:szCs w:val="10"/>
                <w:color w:val="auto"/>
              </w:rPr>
              <w:t>5,328</w:t>
            </w:r>
          </w:p>
        </w:tc>
        <w:tc>
          <w:tcPr>
            <w:tcW w:w="1320" w:type="dxa"/>
            <w:vAlign w:val="bottom"/>
          </w:tcPr>
          <w:p>
            <w:pPr>
              <w:jc w:val="right"/>
              <w:spacing w:after="0"/>
              <w:rPr>
                <w:sz w:val="20"/>
                <w:szCs w:val="20"/>
                <w:color w:val="auto"/>
              </w:rPr>
            </w:pPr>
            <w:r>
              <w:rPr>
                <w:rFonts w:ascii="Arial" w:cs="Arial" w:eastAsia="Arial" w:hAnsi="Arial"/>
                <w:sz w:val="10"/>
                <w:szCs w:val="10"/>
                <w:color w:val="auto"/>
              </w:rPr>
              <w:t>5,328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Distributions made</w:t>
            </w: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(5,328)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(5,328)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At December 31, 2018</w:t>
            </w: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494"/>
        </w:trPr>
        <w:tc>
          <w:tcPr>
            <w:tcW w:w="2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6"/>
                <w:szCs w:val="6"/>
                <w:color w:val="auto"/>
              </w:rPr>
              <w:t>FINANCIAL STATEMENTS AND SUPPLEMENTS SHELL ANNUAL REPORT AND FORM 20-F 2020</w:t>
            </w:r>
          </w:p>
        </w:tc>
        <w:tc>
          <w:tcPr>
            <w:tcW w:w="640" w:type="dxa"/>
            <w:vAlign w:val="bottom"/>
          </w:tcPr>
          <w:p>
            <w:pPr>
              <w:jc w:val="right"/>
              <w:ind w:right="97"/>
              <w:spacing w:after="0"/>
              <w:rPr>
                <w:sz w:val="20"/>
                <w:szCs w:val="20"/>
                <w:color w:val="auto"/>
              </w:rPr>
            </w:pPr>
            <w:r>
              <w:rPr>
                <w:rFonts w:ascii="Arial" w:cs="Arial" w:eastAsia="Arial" w:hAnsi="Arial"/>
                <w:sz w:val="6"/>
                <w:szCs w:val="6"/>
                <w:color w:val="auto"/>
              </w:rPr>
              <w:t>233</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9A9A9A"/>
            </w:tcBorders>
          </w:tcPr>
          <w:p>
            <w:pPr>
              <w:spacing w:after="0"/>
              <w:rPr>
                <w:sz w:val="12"/>
                <w:szCs w:val="12"/>
                <w:color w:val="auto"/>
              </w:rPr>
            </w:pPr>
          </w:p>
        </w:tc>
        <w:tc>
          <w:tcPr>
            <w:tcW w:w="53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72"/>
        </w:trPr>
        <w:tc>
          <w:tcPr>
            <w:tcW w:w="4320" w:type="dxa"/>
            <w:vAlign w:val="bottom"/>
            <w:shd w:val="clear" w:color="auto" w:fill="CDCDCD"/>
          </w:tcPr>
          <w:p>
            <w:pPr>
              <w:spacing w:after="0"/>
              <w:rPr>
                <w:sz w:val="6"/>
                <w:szCs w:val="6"/>
                <w:color w:val="auto"/>
              </w:rPr>
            </w:pPr>
          </w:p>
        </w:tc>
        <w:tc>
          <w:tcPr>
            <w:tcW w:w="2980" w:type="dxa"/>
            <w:vAlign w:val="bottom"/>
            <w:shd w:val="clear" w:color="auto" w:fill="CDCDCD"/>
          </w:tcPr>
          <w:p>
            <w:pPr>
              <w:spacing w:after="0"/>
              <w:rPr>
                <w:sz w:val="6"/>
                <w:szCs w:val="6"/>
                <w:color w:val="auto"/>
              </w:rPr>
            </w:pPr>
          </w:p>
        </w:tc>
        <w:tc>
          <w:tcPr>
            <w:tcW w:w="1340" w:type="dxa"/>
            <w:vAlign w:val="bottom"/>
            <w:shd w:val="clear" w:color="auto" w:fill="CDCDCD"/>
          </w:tcPr>
          <w:p>
            <w:pPr>
              <w:spacing w:after="0"/>
              <w:rPr>
                <w:sz w:val="6"/>
                <w:szCs w:val="6"/>
                <w:color w:val="auto"/>
              </w:rPr>
            </w:pPr>
          </w:p>
        </w:tc>
        <w:tc>
          <w:tcPr>
            <w:tcW w:w="1800" w:type="dxa"/>
            <w:vAlign w:val="bottom"/>
            <w:shd w:val="clear" w:color="auto" w:fill="CDCDCD"/>
          </w:tcPr>
          <w:p>
            <w:pPr>
              <w:spacing w:after="0"/>
              <w:rPr>
                <w:sz w:val="6"/>
                <w:szCs w:val="6"/>
                <w:color w:val="auto"/>
              </w:rPr>
            </w:pPr>
          </w:p>
        </w:tc>
        <w:tc>
          <w:tcPr>
            <w:tcW w:w="840" w:type="dxa"/>
            <w:vAlign w:val="bottom"/>
            <w:shd w:val="clear" w:color="auto" w:fill="CDCDCD"/>
          </w:tcPr>
          <w:p>
            <w:pPr>
              <w:spacing w:after="0"/>
              <w:rPr>
                <w:sz w:val="6"/>
                <w:szCs w:val="6"/>
                <w:color w:val="auto"/>
              </w:rPr>
            </w:pPr>
          </w:p>
        </w:tc>
        <w:tc>
          <w:tcPr>
            <w:tcW w:w="20" w:type="dxa"/>
            <w:vAlign w:val="bottom"/>
          </w:tcPr>
          <w:p>
            <w:pPr>
              <w:spacing w:after="0"/>
              <w:rPr>
                <w:sz w:val="6"/>
                <w:szCs w:val="6"/>
                <w:color w:val="auto"/>
              </w:rPr>
            </w:pPr>
          </w:p>
        </w:tc>
      </w:tr>
      <w:tr>
        <w:trPr>
          <w:trHeight w:val="150"/>
        </w:trPr>
        <w:tc>
          <w:tcPr>
            <w:tcW w:w="4320" w:type="dxa"/>
            <w:vAlign w:val="bottom"/>
          </w:tcPr>
          <w:p>
            <w:pPr>
              <w:spacing w:after="0"/>
              <w:rPr>
                <w:sz w:val="20"/>
                <w:szCs w:val="20"/>
                <w:color w:val="auto"/>
              </w:rPr>
            </w:pPr>
            <w:r>
              <w:rPr>
                <w:rFonts w:ascii="Arial" w:cs="Arial" w:eastAsia="Arial" w:hAnsi="Arial"/>
                <w:sz w:val="12"/>
                <w:szCs w:val="12"/>
                <w:color w:val="auto"/>
              </w:rPr>
              <w:t>STATEMENT OF CASH FLOWS</w:t>
            </w:r>
          </w:p>
        </w:tc>
        <w:tc>
          <w:tcPr>
            <w:tcW w:w="2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60" w:type="dxa"/>
            <w:vAlign w:val="bottom"/>
            <w:gridSpan w:val="2"/>
          </w:tcPr>
          <w:p>
            <w:pPr>
              <w:ind w:left="480"/>
              <w:spacing w:after="0"/>
              <w:rPr>
                <w:sz w:val="20"/>
                <w:szCs w:val="20"/>
                <w:color w:val="auto"/>
              </w:rPr>
            </w:pPr>
            <w:r>
              <w:rPr>
                <w:rFonts w:ascii="Arial" w:cs="Arial" w:eastAsia="Arial" w:hAnsi="Arial"/>
                <w:sz w:val="10"/>
                <w:szCs w:val="10"/>
                <w:color w:val="auto"/>
                <w:w w:val="98"/>
              </w:rPr>
              <w:t>£ million</w:t>
            </w:r>
          </w:p>
        </w:tc>
      </w:tr>
      <w:tr>
        <w:trPr>
          <w:trHeight w:val="125"/>
        </w:trPr>
        <w:tc>
          <w:tcPr>
            <w:tcW w:w="432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2020</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20" w:type="dxa"/>
            <w:vAlign w:val="bottom"/>
          </w:tcPr>
          <w:p>
            <w:pPr>
              <w:spacing w:after="0"/>
              <w:rPr>
                <w:sz w:val="10"/>
                <w:szCs w:val="10"/>
                <w:color w:val="auto"/>
              </w:rPr>
            </w:pPr>
          </w:p>
        </w:tc>
      </w:tr>
      <w:tr>
        <w:trPr>
          <w:trHeight w:val="114"/>
        </w:trPr>
        <w:tc>
          <w:tcPr>
            <w:tcW w:w="4320" w:type="dxa"/>
            <w:vAlign w:val="bottom"/>
          </w:tcPr>
          <w:p>
            <w:pPr>
              <w:spacing w:after="0"/>
              <w:rPr>
                <w:sz w:val="20"/>
                <w:szCs w:val="20"/>
                <w:color w:val="auto"/>
              </w:rPr>
            </w:pPr>
            <w:r>
              <w:rPr>
                <w:rFonts w:ascii="Arial" w:cs="Arial" w:eastAsia="Arial" w:hAnsi="Arial"/>
                <w:sz w:val="10"/>
                <w:szCs w:val="10"/>
                <w:color w:val="auto"/>
              </w:rPr>
              <w:t>Income for the period</w:t>
            </w:r>
          </w:p>
        </w:tc>
        <w:tc>
          <w:tcPr>
            <w:tcW w:w="2980" w:type="dxa"/>
            <w:vAlign w:val="bottom"/>
          </w:tcPr>
          <w:p>
            <w:pPr>
              <w:spacing w:after="0"/>
              <w:rPr>
                <w:sz w:val="9"/>
                <w:szCs w:val="9"/>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2,777</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5,484</w:t>
            </w:r>
          </w:p>
        </w:tc>
        <w:tc>
          <w:tcPr>
            <w:tcW w:w="840" w:type="dxa"/>
            <w:vAlign w:val="bottom"/>
          </w:tcPr>
          <w:p>
            <w:pPr>
              <w:jc w:val="right"/>
              <w:spacing w:after="0"/>
              <w:rPr>
                <w:sz w:val="20"/>
                <w:szCs w:val="20"/>
                <w:color w:val="auto"/>
              </w:rPr>
            </w:pPr>
            <w:r>
              <w:rPr>
                <w:rFonts w:ascii="Arial" w:cs="Arial" w:eastAsia="Arial" w:hAnsi="Arial"/>
                <w:sz w:val="10"/>
                <w:szCs w:val="10"/>
                <w:color w:val="auto"/>
              </w:rPr>
              <w:t>5,328</w:t>
            </w:r>
          </w:p>
        </w:tc>
        <w:tc>
          <w:tcPr>
            <w:tcW w:w="20" w:type="dxa"/>
            <w:vAlign w:val="bottom"/>
          </w:tcPr>
          <w:p>
            <w:pPr>
              <w:spacing w:after="0"/>
              <w:rPr>
                <w:sz w:val="9"/>
                <w:szCs w:val="9"/>
                <w:color w:val="auto"/>
              </w:rPr>
            </w:pPr>
          </w:p>
        </w:tc>
      </w:tr>
      <w:tr>
        <w:trPr>
          <w:trHeight w:val="123"/>
        </w:trPr>
        <w:tc>
          <w:tcPr>
            <w:tcW w:w="4320" w:type="dxa"/>
            <w:vAlign w:val="bottom"/>
          </w:tcPr>
          <w:p>
            <w:pPr>
              <w:spacing w:after="0"/>
              <w:rPr>
                <w:sz w:val="20"/>
                <w:szCs w:val="20"/>
                <w:color w:val="auto"/>
              </w:rPr>
            </w:pPr>
            <w:r>
              <w:rPr>
                <w:rFonts w:ascii="Arial" w:cs="Arial" w:eastAsia="Arial" w:hAnsi="Arial"/>
                <w:sz w:val="10"/>
                <w:szCs w:val="10"/>
                <w:color w:val="auto"/>
              </w:rPr>
              <w:t>Adjustment for:</w:t>
            </w:r>
          </w:p>
        </w:tc>
        <w:tc>
          <w:tcPr>
            <w:tcW w:w="2980" w:type="dxa"/>
            <w:vAlign w:val="bottom"/>
          </w:tcPr>
          <w:p>
            <w:pPr>
              <w:spacing w:after="0"/>
              <w:rPr>
                <w:sz w:val="10"/>
                <w:szCs w:val="10"/>
                <w:color w:val="auto"/>
              </w:rPr>
            </w:pPr>
          </w:p>
        </w:tc>
        <w:tc>
          <w:tcPr>
            <w:tcW w:w="1340" w:type="dxa"/>
            <w:vAlign w:val="bottom"/>
            <w:shd w:val="clear" w:color="auto" w:fill="D9D9D9"/>
          </w:tcPr>
          <w:p>
            <w:pPr>
              <w:spacing w:after="0"/>
              <w:rPr>
                <w:sz w:val="10"/>
                <w:szCs w:val="10"/>
                <w:color w:val="auto"/>
              </w:rPr>
            </w:pP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0"/>
        </w:trPr>
        <w:tc>
          <w:tcPr>
            <w:tcW w:w="432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Dividends received</w:t>
            </w:r>
          </w:p>
        </w:tc>
        <w:tc>
          <w:tcPr>
            <w:tcW w:w="29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(2,777)</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(5,484)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(5,328)</w:t>
            </w:r>
          </w:p>
        </w:tc>
        <w:tc>
          <w:tcPr>
            <w:tcW w:w="20" w:type="dxa"/>
            <w:vAlign w:val="bottom"/>
          </w:tcPr>
          <w:p>
            <w:pPr>
              <w:spacing w:after="0"/>
              <w:rPr>
                <w:sz w:val="11"/>
                <w:szCs w:val="11"/>
                <w:color w:val="auto"/>
              </w:rPr>
            </w:pPr>
          </w:p>
        </w:tc>
      </w:tr>
      <w:tr>
        <w:trPr>
          <w:trHeight w:val="118"/>
        </w:trPr>
        <w:tc>
          <w:tcPr>
            <w:tcW w:w="4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Cash flow from operating activities</w:t>
            </w:r>
          </w:p>
        </w:tc>
        <w:tc>
          <w:tcPr>
            <w:tcW w:w="29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r>
      <w:tr>
        <w:trPr>
          <w:trHeight w:val="114"/>
        </w:trPr>
        <w:tc>
          <w:tcPr>
            <w:tcW w:w="4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Dividends received</w:t>
            </w:r>
          </w:p>
        </w:tc>
        <w:tc>
          <w:tcPr>
            <w:tcW w:w="29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2,772</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5,484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5,328</w:t>
            </w:r>
          </w:p>
        </w:tc>
        <w:tc>
          <w:tcPr>
            <w:tcW w:w="20" w:type="dxa"/>
            <w:vAlign w:val="bottom"/>
          </w:tcPr>
          <w:p>
            <w:pPr>
              <w:spacing w:after="0"/>
              <w:rPr>
                <w:sz w:val="9"/>
                <w:szCs w:val="9"/>
                <w:color w:val="auto"/>
              </w:rPr>
            </w:pPr>
          </w:p>
        </w:tc>
      </w:tr>
      <w:tr>
        <w:trPr>
          <w:trHeight w:val="116"/>
        </w:trPr>
        <w:tc>
          <w:tcPr>
            <w:tcW w:w="4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Cash flow from investing activities</w:t>
            </w:r>
          </w:p>
        </w:tc>
        <w:tc>
          <w:tcPr>
            <w:tcW w:w="29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2,772</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5,484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5,328</w:t>
            </w:r>
          </w:p>
        </w:tc>
        <w:tc>
          <w:tcPr>
            <w:tcW w:w="20" w:type="dxa"/>
            <w:vAlign w:val="bottom"/>
          </w:tcPr>
          <w:p>
            <w:pPr>
              <w:spacing w:after="0"/>
              <w:rPr>
                <w:sz w:val="10"/>
                <w:szCs w:val="10"/>
                <w:color w:val="auto"/>
              </w:rPr>
            </w:pPr>
          </w:p>
        </w:tc>
      </w:tr>
      <w:tr>
        <w:trPr>
          <w:trHeight w:val="114"/>
        </w:trPr>
        <w:tc>
          <w:tcPr>
            <w:tcW w:w="4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Cash distributions made</w:t>
            </w:r>
          </w:p>
        </w:tc>
        <w:tc>
          <w:tcPr>
            <w:tcW w:w="29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(2,775)</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(5,484)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(5,327)</w:t>
            </w:r>
          </w:p>
        </w:tc>
        <w:tc>
          <w:tcPr>
            <w:tcW w:w="20" w:type="dxa"/>
            <w:vAlign w:val="bottom"/>
          </w:tcPr>
          <w:p>
            <w:pPr>
              <w:spacing w:after="0"/>
              <w:rPr>
                <w:sz w:val="9"/>
                <w:szCs w:val="9"/>
                <w:color w:val="auto"/>
              </w:rPr>
            </w:pPr>
          </w:p>
        </w:tc>
      </w:tr>
      <w:tr>
        <w:trPr>
          <w:trHeight w:val="116"/>
        </w:trPr>
        <w:tc>
          <w:tcPr>
            <w:tcW w:w="4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Cash flow from financing activities</w:t>
            </w:r>
          </w:p>
        </w:tc>
        <w:tc>
          <w:tcPr>
            <w:tcW w:w="29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(2,775)</w:t>
            </w: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(5,484)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(5,327)</w:t>
            </w:r>
          </w:p>
        </w:tc>
        <w:tc>
          <w:tcPr>
            <w:tcW w:w="20" w:type="dxa"/>
            <w:vAlign w:val="bottom"/>
          </w:tcPr>
          <w:p>
            <w:pPr>
              <w:spacing w:after="0"/>
              <w:rPr>
                <w:sz w:val="10"/>
                <w:szCs w:val="10"/>
                <w:color w:val="auto"/>
              </w:rPr>
            </w:pPr>
          </w:p>
        </w:tc>
      </w:tr>
      <w:tr>
        <w:trPr>
          <w:trHeight w:val="112"/>
        </w:trPr>
        <w:tc>
          <w:tcPr>
            <w:tcW w:w="4320" w:type="dxa"/>
            <w:vAlign w:val="bottom"/>
          </w:tcPr>
          <w:p>
            <w:pPr>
              <w:spacing w:after="0" w:line="112" w:lineRule="exact"/>
              <w:rPr>
                <w:sz w:val="20"/>
                <w:szCs w:val="20"/>
                <w:color w:val="auto"/>
              </w:rPr>
            </w:pPr>
            <w:r>
              <w:rPr>
                <w:rFonts w:ascii="Arial" w:cs="Arial" w:eastAsia="Arial" w:hAnsi="Arial"/>
                <w:sz w:val="10"/>
                <w:szCs w:val="10"/>
                <w:color w:val="auto"/>
              </w:rPr>
              <w:t>Change in cash and cash equivalents</w:t>
            </w:r>
          </w:p>
        </w:tc>
        <w:tc>
          <w:tcPr>
            <w:tcW w:w="2980" w:type="dxa"/>
            <w:vAlign w:val="bottom"/>
          </w:tcPr>
          <w:p>
            <w:pPr>
              <w:spacing w:after="0"/>
              <w:rPr>
                <w:sz w:val="9"/>
                <w:szCs w:val="9"/>
                <w:color w:val="auto"/>
              </w:rPr>
            </w:pPr>
          </w:p>
        </w:tc>
        <w:tc>
          <w:tcPr>
            <w:tcW w:w="1340" w:type="dxa"/>
            <w:vAlign w:val="bottom"/>
            <w:shd w:val="clear" w:color="auto" w:fill="D9D9D9"/>
          </w:tcPr>
          <w:p>
            <w:pPr>
              <w:jc w:val="right"/>
              <w:spacing w:after="0" w:line="112" w:lineRule="exact"/>
              <w:rPr>
                <w:sz w:val="20"/>
                <w:szCs w:val="20"/>
                <w:color w:val="auto"/>
              </w:rPr>
            </w:pPr>
            <w:r>
              <w:rPr>
                <w:rFonts w:ascii="Arial" w:cs="Arial" w:eastAsia="Arial" w:hAnsi="Arial"/>
                <w:sz w:val="10"/>
                <w:szCs w:val="10"/>
                <w:color w:val="auto"/>
              </w:rPr>
              <w:t>(3)</w:t>
            </w:r>
          </w:p>
        </w:tc>
        <w:tc>
          <w:tcPr>
            <w:tcW w:w="1800" w:type="dxa"/>
            <w:vAlign w:val="bottom"/>
          </w:tcPr>
          <w:p>
            <w:pPr>
              <w:jc w:val="right"/>
              <w:ind w:right="472"/>
              <w:spacing w:after="0" w:line="112" w:lineRule="exact"/>
              <w:rPr>
                <w:sz w:val="20"/>
                <w:szCs w:val="20"/>
                <w:color w:val="auto"/>
              </w:rPr>
            </w:pPr>
            <w:r>
              <w:rPr>
                <w:rFonts w:ascii="Arial" w:cs="Arial" w:eastAsia="Arial" w:hAnsi="Arial"/>
                <w:sz w:val="10"/>
                <w:szCs w:val="10"/>
                <w:color w:val="auto"/>
              </w:rPr>
              <w:t>—</w:t>
            </w:r>
          </w:p>
        </w:tc>
        <w:tc>
          <w:tcPr>
            <w:tcW w:w="840" w:type="dxa"/>
            <w:vAlign w:val="bottom"/>
          </w:tcPr>
          <w:p>
            <w:pPr>
              <w:jc w:val="right"/>
              <w:spacing w:after="0" w:line="112" w:lineRule="exact"/>
              <w:rPr>
                <w:sz w:val="20"/>
                <w:szCs w:val="20"/>
                <w:color w:val="auto"/>
              </w:rPr>
            </w:pPr>
            <w:r>
              <w:rPr>
                <w:rFonts w:ascii="Arial" w:cs="Arial" w:eastAsia="Arial" w:hAnsi="Arial"/>
                <w:sz w:val="10"/>
                <w:szCs w:val="10"/>
                <w:color w:val="auto"/>
              </w:rPr>
              <w:t>1</w:t>
            </w:r>
          </w:p>
        </w:tc>
        <w:tc>
          <w:tcPr>
            <w:tcW w:w="20" w:type="dxa"/>
            <w:vAlign w:val="bottom"/>
          </w:tcPr>
          <w:p>
            <w:pPr>
              <w:spacing w:after="0"/>
              <w:rPr>
                <w:sz w:val="9"/>
                <w:szCs w:val="9"/>
                <w:color w:val="auto"/>
              </w:rPr>
            </w:pPr>
          </w:p>
        </w:tc>
      </w:tr>
      <w:tr>
        <w:trPr>
          <w:trHeight w:val="127"/>
        </w:trPr>
        <w:tc>
          <w:tcPr>
            <w:tcW w:w="4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Cash and cash equivalents at January 1</w:t>
            </w:r>
          </w:p>
        </w:tc>
        <w:tc>
          <w:tcPr>
            <w:tcW w:w="29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20" w:type="dxa"/>
            <w:vAlign w:val="bottom"/>
          </w:tcPr>
          <w:p>
            <w:pPr>
              <w:spacing w:after="0"/>
              <w:rPr>
                <w:sz w:val="11"/>
                <w:szCs w:val="11"/>
                <w:color w:val="auto"/>
              </w:rPr>
            </w:pPr>
          </w:p>
        </w:tc>
      </w:tr>
      <w:tr>
        <w:trPr>
          <w:trHeight w:val="118"/>
        </w:trPr>
        <w:tc>
          <w:tcPr>
            <w:tcW w:w="4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Cash and cash equivalents at December 31</w:t>
            </w:r>
          </w:p>
        </w:tc>
        <w:tc>
          <w:tcPr>
            <w:tcW w:w="29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20" w:type="dxa"/>
            <w:vAlign w:val="bottom"/>
          </w:tcPr>
          <w:p>
            <w:pPr>
              <w:spacing w:after="0"/>
              <w:rPr>
                <w:sz w:val="10"/>
                <w:szCs w:val="10"/>
                <w:color w:val="auto"/>
              </w:rPr>
            </w:pPr>
          </w:p>
        </w:tc>
      </w:tr>
      <w:tr>
        <w:trPr>
          <w:trHeight w:val="487"/>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2980" w:type="dxa"/>
            <w:vAlign w:val="bottom"/>
          </w:tcPr>
          <w:p>
            <w:pPr>
              <w:jc w:val="right"/>
              <w:ind w:right="1618"/>
              <w:spacing w:after="0"/>
              <w:rPr>
                <w:sz w:val="20"/>
                <w:szCs w:val="20"/>
                <w:color w:val="auto"/>
              </w:rPr>
            </w:pPr>
            <w:r>
              <w:rPr>
                <w:rFonts w:ascii="Arial" w:cs="Arial" w:eastAsia="Arial" w:hAnsi="Arial"/>
                <w:sz w:val="7"/>
                <w:szCs w:val="7"/>
                <w:color w:val="auto"/>
              </w:rPr>
              <w:t>234</w:t>
            </w: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4320" w:type="dxa"/>
            <w:vAlign w:val="bottom"/>
            <w:tcBorders>
              <w:bottom w:val="single" w:sz="8" w:color="9A9A9A"/>
            </w:tcBorders>
          </w:tcPr>
          <w:p>
            <w:pPr>
              <w:spacing w:after="0"/>
              <w:rPr>
                <w:sz w:val="12"/>
                <w:szCs w:val="12"/>
                <w:color w:val="auto"/>
              </w:rPr>
            </w:pPr>
          </w:p>
        </w:tc>
        <w:tc>
          <w:tcPr>
            <w:tcW w:w="29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34" w:right="29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NOTES TO THE ROYAL DUTCH SHELL DIVIDEND ACCESS TRUST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1440180" cy="2286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440180" cy="2286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1"/>
          <w:szCs w:val="11"/>
          <w:color w:val="auto"/>
        </w:rPr>
        <w:t>1 THE TRUST</w:t>
      </w:r>
    </w:p>
    <w:p>
      <w:pPr>
        <w:ind w:right="20"/>
        <w:spacing w:after="0" w:line="225" w:lineRule="auto"/>
        <w:rPr>
          <w:sz w:val="20"/>
          <w:szCs w:val="20"/>
          <w:color w:val="auto"/>
        </w:rPr>
      </w:pPr>
      <w:r>
        <w:rPr>
          <w:rFonts w:ascii="Arial" w:cs="Arial" w:eastAsia="Arial" w:hAnsi="Arial"/>
          <w:sz w:val="10"/>
          <w:szCs w:val="10"/>
          <w:color w:val="auto"/>
        </w:rPr>
        <w:t>The Royal Dutch Shell Dividend Access Trust (the "Trust") was established on May 19, 2005, by The “Shell” Transport and Trading Company, plc, now The Shell Transport and Trading Company Limited (Shell Transport), and Royal Dutch Shell plc (the "Company"). The Trust is governed by the applicable laws of England and Wales and is resident and domiciled in Jersey. The Trust is not subject to taxation. The Trustee of the Trust is Computershare Trustees (Jersey) Limited, registration number 92182 (the "Trustee"), 13 Castle Street, St Helier, Jersey, JE1 1ES. The Trust was established as part of a dividend access mechanism.</w:t>
      </w:r>
    </w:p>
    <w:p>
      <w:pPr>
        <w:spacing w:after="0" w:line="1" w:lineRule="exact"/>
        <w:rPr>
          <w:sz w:val="20"/>
          <w:szCs w:val="20"/>
          <w:color w:val="auto"/>
        </w:rPr>
      </w:pPr>
    </w:p>
    <w:p>
      <w:pPr>
        <w:spacing w:after="0"/>
        <w:rPr>
          <w:sz w:val="20"/>
          <w:szCs w:val="20"/>
          <w:color w:val="auto"/>
        </w:rPr>
      </w:pPr>
      <w:r>
        <w:rPr>
          <w:rFonts w:ascii="Arial" w:cs="Arial" w:eastAsia="Arial" w:hAnsi="Arial"/>
          <w:sz w:val="8"/>
          <w:szCs w:val="8"/>
          <w:color w:val="auto"/>
        </w:rPr>
        <w:t>Shell Transport and BG Group Limited (BG), have each issued a dividend access share to the Trustee. Following the announcement of a dividend by the Company on the B shares, Shell Transport and BG may declare a dividend on their dividend access shares.</w:t>
      </w:r>
    </w:p>
    <w:p>
      <w:pPr>
        <w:spacing w:after="0" w:line="16" w:lineRule="exact"/>
        <w:rPr>
          <w:sz w:val="20"/>
          <w:szCs w:val="20"/>
          <w:color w:val="auto"/>
        </w:rPr>
      </w:pPr>
    </w:p>
    <w:p>
      <w:pPr>
        <w:ind w:right="40"/>
        <w:spacing w:after="0" w:line="225" w:lineRule="auto"/>
        <w:rPr>
          <w:sz w:val="20"/>
          <w:szCs w:val="20"/>
          <w:color w:val="auto"/>
        </w:rPr>
      </w:pPr>
      <w:r>
        <w:rPr>
          <w:rFonts w:ascii="Arial" w:cs="Arial" w:eastAsia="Arial" w:hAnsi="Arial"/>
          <w:sz w:val="10"/>
          <w:szCs w:val="10"/>
          <w:color w:val="auto"/>
        </w:rPr>
        <w:t>The primary purposes of the Trust are to receive, on behalf of the B shareholders of the Company and in accordance with their respective holdings of B shares in the Company, any amounts paid by way of dividend on the dividend access shares and to pay such amounts to the B shareholders on the same pro rata basis. The Trust is not subject to significant market risk, credit risk or liquidity risk.</w:t>
      </w:r>
    </w:p>
    <w:p>
      <w:pPr>
        <w:spacing w:after="0" w:line="237" w:lineRule="auto"/>
        <w:rPr>
          <w:sz w:val="20"/>
          <w:szCs w:val="20"/>
          <w:color w:val="auto"/>
        </w:rPr>
      </w:pPr>
      <w:r>
        <w:rPr>
          <w:rFonts w:ascii="Arial" w:cs="Arial" w:eastAsia="Arial" w:hAnsi="Arial"/>
          <w:sz w:val="10"/>
          <w:szCs w:val="10"/>
          <w:color w:val="auto"/>
        </w:rPr>
        <w:t>The Trust shall not endure for a period in excess of 80 years from May 19, 2005, being the date on which the Trust Deed was executed.</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2 BASIS OF PREPARATION</w:t>
      </w:r>
    </w:p>
    <w:p>
      <w:pPr>
        <w:spacing w:after="0" w:line="237" w:lineRule="auto"/>
        <w:rPr>
          <w:sz w:val="20"/>
          <w:szCs w:val="20"/>
          <w:color w:val="auto"/>
        </w:rPr>
      </w:pPr>
      <w:r>
        <w:rPr>
          <w:rFonts w:ascii="Arial" w:cs="Arial" w:eastAsia="Arial" w:hAnsi="Arial"/>
          <w:sz w:val="10"/>
          <w:szCs w:val="10"/>
          <w:color w:val="auto"/>
        </w:rPr>
        <w:t>The Financial Statements of the Trust have been prepared in accordance with International Financial Reporting Standards (IFRS) as issued by the International Accounting Standards Board (IASB).</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The Financial Statements have been prepared under the historical cost convention. The accounting policies described in Note 3 have been applied consistently in all periods presented.</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Financial Statements were approved and authorised for issue by the Trustee on March 10, 2021.</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financial results of the Trust are included in the Consolidated Financial Statements on pages 163-210.</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3 SIGNIFICANT ACCOUNTING POLICIES</w:t>
      </w:r>
    </w:p>
    <w:p>
      <w:pPr>
        <w:spacing w:after="0" w:line="237" w:lineRule="auto"/>
        <w:rPr>
          <w:sz w:val="20"/>
          <w:szCs w:val="20"/>
          <w:color w:val="auto"/>
        </w:rPr>
      </w:pPr>
      <w:r>
        <w:rPr>
          <w:rFonts w:ascii="Arial" w:cs="Arial" w:eastAsia="Arial" w:hAnsi="Arial"/>
          <w:sz w:val="10"/>
          <w:szCs w:val="10"/>
          <w:color w:val="auto"/>
        </w:rPr>
        <w:t>The Trust’s accounting policies follow those of Shell as set out in Note 2 of the Consolidated Financial Statements (see page 169-176). The following are Trust-specific policies.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Presentation and functional currency</w:t>
      </w:r>
    </w:p>
    <w:p>
      <w:pPr>
        <w:spacing w:after="0"/>
        <w:rPr>
          <w:sz w:val="20"/>
          <w:szCs w:val="20"/>
          <w:color w:val="auto"/>
        </w:rPr>
      </w:pPr>
      <w:r>
        <w:rPr>
          <w:rFonts w:ascii="Arial" w:cs="Arial" w:eastAsia="Arial" w:hAnsi="Arial"/>
          <w:sz w:val="10"/>
          <w:szCs w:val="10"/>
          <w:color w:val="auto"/>
        </w:rPr>
        <w:t>The Trust’s presentation and functional currency is sterling. The Trust’s dividend income and dividends paid are principally in sterling.</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Dividend income</w:t>
      </w:r>
    </w:p>
    <w:p>
      <w:pPr>
        <w:spacing w:after="0" w:line="1" w:lineRule="exact"/>
        <w:rPr>
          <w:sz w:val="20"/>
          <w:szCs w:val="20"/>
          <w:color w:val="auto"/>
        </w:rPr>
      </w:pPr>
    </w:p>
    <w:p>
      <w:pPr>
        <w:ind w:right="280"/>
        <w:spacing w:after="0" w:line="231" w:lineRule="auto"/>
        <w:rPr>
          <w:sz w:val="20"/>
          <w:szCs w:val="20"/>
          <w:color w:val="auto"/>
        </w:rPr>
      </w:pPr>
      <w:r>
        <w:rPr>
          <w:rFonts w:ascii="Arial" w:cs="Arial" w:eastAsia="Arial" w:hAnsi="Arial"/>
          <w:sz w:val="10"/>
          <w:szCs w:val="10"/>
          <w:color w:val="auto"/>
        </w:rPr>
        <w:t>Dividends on the dividend access shares are recognised on a paid basis unless the dividend has been confirmed by a general meeting of Shell Transport or BG, in which case income is recognised on the date on which receipt is deemed virtually certain. Dividend income includes amounts receivable from Shell Transport and BG in respect of dividends declared but unclaimed (see Note 4).</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Distributions made</w:t>
      </w:r>
    </w:p>
    <w:p>
      <w:pPr>
        <w:spacing w:after="0" w:line="1" w:lineRule="exact"/>
        <w:rPr>
          <w:sz w:val="20"/>
          <w:szCs w:val="20"/>
          <w:color w:val="auto"/>
        </w:rPr>
      </w:pPr>
    </w:p>
    <w:p>
      <w:pPr>
        <w:ind w:right="200"/>
        <w:spacing w:after="0" w:line="231" w:lineRule="auto"/>
        <w:rPr>
          <w:sz w:val="20"/>
          <w:szCs w:val="20"/>
          <w:color w:val="auto"/>
        </w:rPr>
      </w:pPr>
      <w:r>
        <w:rPr>
          <w:rFonts w:ascii="Arial" w:cs="Arial" w:eastAsia="Arial" w:hAnsi="Arial"/>
          <w:sz w:val="10"/>
          <w:szCs w:val="10"/>
          <w:color w:val="auto"/>
        </w:rPr>
        <w:t>Amounts are recorded as distributed once a payment is made in the appropriate currency using various electronic transfer methods, or an unconditional payment obligation is established. Shell Transport or BG (as appropriate) may, each at their respective discretion, withhold any part of the funding relating to an unpayable dividend until such time as the relevant B shareholder provides accurate or complete details for payment of any such dividend.</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4 UNCLAIMED DIVIDENDS</w:t>
      </w:r>
    </w:p>
    <w:p>
      <w:pPr>
        <w:ind w:right="100"/>
        <w:spacing w:after="0" w:line="241" w:lineRule="auto"/>
        <w:rPr>
          <w:sz w:val="20"/>
          <w:szCs w:val="20"/>
          <w:color w:val="auto"/>
        </w:rPr>
      </w:pPr>
      <w:r>
        <w:rPr>
          <w:rFonts w:ascii="Arial" w:cs="Arial" w:eastAsia="Arial" w:hAnsi="Arial"/>
          <w:sz w:val="10"/>
          <w:szCs w:val="10"/>
          <w:color w:val="auto"/>
        </w:rPr>
        <w:t>Unclaimed dividends of £7 million (2019: £3 million) include any pre-electronic transfer dividend cheque payments that have not been presented within 12 months, have expired or have been returned unpresented. Dividends are also classified as unclaimed where amounts have been withheld due to incomplete or incorrect electronic payment details. Dividends which are unclaimed after 12 years will unconditionally revert to Shell Transport and BG once forfeited.</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5 CAPITAL ACCOUNT</w:t>
      </w:r>
    </w:p>
    <w:p>
      <w:pPr>
        <w:spacing w:after="0"/>
        <w:rPr>
          <w:sz w:val="20"/>
          <w:szCs w:val="20"/>
          <w:color w:val="auto"/>
        </w:rPr>
      </w:pPr>
      <w:r>
        <w:rPr>
          <w:rFonts w:ascii="Arial" w:cs="Arial" w:eastAsia="Arial" w:hAnsi="Arial"/>
          <w:sz w:val="8"/>
          <w:szCs w:val="8"/>
          <w:color w:val="auto"/>
        </w:rPr>
        <w:t>The capital account is represented by the dividend access share of 25 pence settled in the Trust by Shell Transport and the dividend access share of 10 pence settled in the Trust by BG. There have been no changes in the capital account in the current or prior year.</w:t>
      </w:r>
    </w:p>
    <w:p>
      <w:pPr>
        <w:spacing w:after="0" w:line="177" w:lineRule="exact"/>
        <w:rPr>
          <w:sz w:val="20"/>
          <w:szCs w:val="20"/>
          <w:color w:val="auto"/>
        </w:rPr>
      </w:pPr>
    </w:p>
    <w:p>
      <w:pPr>
        <w:spacing w:after="0"/>
        <w:rPr>
          <w:sz w:val="20"/>
          <w:szCs w:val="20"/>
          <w:color w:val="auto"/>
        </w:rPr>
      </w:pPr>
      <w:r>
        <w:rPr>
          <w:rFonts w:ascii="Arial" w:cs="Arial" w:eastAsia="Arial" w:hAnsi="Arial"/>
          <w:sz w:val="11"/>
          <w:szCs w:val="11"/>
          <w:color w:val="auto"/>
        </w:rPr>
        <w:t>6 DISTRIBUTIONS MADE</w:t>
      </w:r>
    </w:p>
    <w:p>
      <w:pPr>
        <w:spacing w:after="0" w:line="237" w:lineRule="auto"/>
        <w:rPr>
          <w:sz w:val="20"/>
          <w:szCs w:val="20"/>
          <w:color w:val="auto"/>
        </w:rPr>
      </w:pPr>
      <w:r>
        <w:rPr>
          <w:rFonts w:ascii="Arial" w:cs="Arial" w:eastAsia="Arial" w:hAnsi="Arial"/>
          <w:sz w:val="10"/>
          <w:szCs w:val="10"/>
          <w:color w:val="auto"/>
        </w:rPr>
        <w:t>Distributions are made to the B shareholders of the Company in accordance with the Trust Deed. See Note 23 of the Consolidated Financial Statements (see page 206) for information about dividends per share.</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7 RELATED PARTIES</w:t>
      </w:r>
    </w:p>
    <w:p>
      <w:pPr>
        <w:spacing w:after="0"/>
        <w:rPr>
          <w:sz w:val="20"/>
          <w:szCs w:val="20"/>
          <w:color w:val="auto"/>
        </w:rPr>
      </w:pPr>
      <w:r>
        <w:rPr>
          <w:rFonts w:ascii="Arial" w:cs="Arial" w:eastAsia="Arial" w:hAnsi="Arial"/>
          <w:sz w:val="8"/>
          <w:szCs w:val="8"/>
          <w:color w:val="auto"/>
        </w:rPr>
        <w:t>The Trust recognised dividend income of £1,805 million (2019: £3,573 million; 2018: £3,470 million) in respect of the dividend access share from Shell Transport and £972 million (2019: £1,911 million; 2018: £1,858 million) in respect of the dividend access share from BG. The Trust made</w:t>
      </w:r>
    </w:p>
    <w:p>
      <w:pPr>
        <w:spacing w:after="0" w:line="14" w:lineRule="exact"/>
        <w:rPr>
          <w:sz w:val="20"/>
          <w:szCs w:val="20"/>
          <w:color w:val="auto"/>
        </w:rPr>
      </w:pPr>
    </w:p>
    <w:p>
      <w:pPr>
        <w:spacing w:after="0"/>
        <w:rPr>
          <w:sz w:val="20"/>
          <w:szCs w:val="20"/>
          <w:color w:val="auto"/>
        </w:rPr>
      </w:pPr>
      <w:r>
        <w:rPr>
          <w:rFonts w:ascii="Arial" w:cs="Arial" w:eastAsia="Arial" w:hAnsi="Arial"/>
          <w:sz w:val="10"/>
          <w:szCs w:val="10"/>
          <w:color w:val="auto"/>
        </w:rPr>
        <w:t>distributions of £2,777 million (2019: £5,484 million; 2018: £5,328 million) to the B shareholders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As at December 31, 2020 the Trust recorded amounts due from Shell Transport of £5 million and BG of £2 million relating to unclaimed dividends, following a move to electronic settlement of dividend payments in the year.</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Company pays the general and administrative expenses of the Trust, including the auditor’s remuneration.</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8 AUDITOR’S REMUNERATION</w:t>
      </w:r>
    </w:p>
    <w:p>
      <w:pPr>
        <w:spacing w:after="0" w:line="237" w:lineRule="auto"/>
        <w:rPr>
          <w:sz w:val="20"/>
          <w:szCs w:val="20"/>
          <w:color w:val="auto"/>
        </w:rPr>
      </w:pPr>
      <w:r>
        <w:rPr>
          <w:rFonts w:ascii="Arial" w:cs="Arial" w:eastAsia="Arial" w:hAnsi="Arial"/>
          <w:sz w:val="10"/>
          <w:szCs w:val="10"/>
          <w:color w:val="auto"/>
        </w:rPr>
        <w:t>Auditor’s remuneration for 2020 audit services was £33,750 (2019: £33,750; 2018: £33,750).</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320" w:type="dxa"/>
            <w:vAlign w:val="bottom"/>
          </w:tcPr>
          <w:p>
            <w:pPr>
              <w:spacing w:after="0"/>
              <w:rPr>
                <w:sz w:val="20"/>
                <w:szCs w:val="20"/>
                <w:color w:val="auto"/>
              </w:rPr>
            </w:pPr>
            <w:r>
              <w:rPr>
                <w:rFonts w:ascii="Arial" w:cs="Arial" w:eastAsia="Arial" w:hAnsi="Arial"/>
                <w:sz w:val="7"/>
                <w:szCs w:val="7"/>
                <w:color w:val="auto"/>
              </w:rPr>
              <w:t>FINANCIAL STATEMENTS AND SUPPLEMENTS SHELL ANNUAL REPORT AND FORM 20-F 2020</w:t>
            </w:r>
          </w:p>
        </w:tc>
        <w:tc>
          <w:tcPr>
            <w:tcW w:w="6980" w:type="dxa"/>
            <w:vAlign w:val="bottom"/>
          </w:tcPr>
          <w:p>
            <w:pPr>
              <w:jc w:val="right"/>
              <w:ind w:right="5624"/>
              <w:spacing w:after="0"/>
              <w:rPr>
                <w:sz w:val="20"/>
                <w:szCs w:val="20"/>
                <w:color w:val="auto"/>
              </w:rPr>
            </w:pPr>
            <w:r>
              <w:rPr>
                <w:rFonts w:ascii="Arial" w:cs="Arial" w:eastAsia="Arial" w:hAnsi="Arial"/>
                <w:sz w:val="7"/>
                <w:szCs w:val="7"/>
                <w:color w:val="auto"/>
              </w:rPr>
              <w:t>235</w:t>
            </w:r>
          </w:p>
        </w:tc>
      </w:tr>
      <w:tr>
        <w:trPr>
          <w:trHeight w:val="142"/>
        </w:trPr>
        <w:tc>
          <w:tcPr>
            <w:tcW w:w="4320" w:type="dxa"/>
            <w:vAlign w:val="bottom"/>
            <w:tcBorders>
              <w:bottom w:val="single" w:sz="8" w:color="9A9A9A"/>
            </w:tcBorders>
          </w:tcPr>
          <w:p>
            <w:pPr>
              <w:spacing w:after="0"/>
              <w:rPr>
                <w:sz w:val="12"/>
                <w:szCs w:val="12"/>
                <w:color w:val="auto"/>
              </w:rPr>
            </w:pPr>
          </w:p>
        </w:tc>
        <w:tc>
          <w:tcPr>
            <w:tcW w:w="6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38" w:name="page239"/>
    <w:bookmarkEnd w:id="238"/>
    <w:p>
      <w:pPr>
        <w:ind w:left="8"/>
        <w:spacing w:after="0"/>
        <w:rPr>
          <w:sz w:val="20"/>
          <w:szCs w:val="20"/>
          <w:color w:val="auto"/>
        </w:rPr>
      </w:pPr>
      <w:r>
        <w:rPr>
          <w:rFonts w:ascii="Arial" w:cs="Arial" w:eastAsia="Arial" w:hAnsi="Arial"/>
          <w:sz w:val="24"/>
          <w:szCs w:val="24"/>
          <w:color w:val="auto"/>
        </w:rPr>
        <w:t>ADDITIONAL INFORMATION</w:t>
      </w:r>
    </w:p>
    <w:p>
      <w:pPr>
        <w:spacing w:after="0" w:line="95" w:lineRule="exact"/>
        <w:rPr>
          <w:sz w:val="20"/>
          <w:szCs w:val="20"/>
          <w:color w:val="auto"/>
        </w:rPr>
      </w:pPr>
    </w:p>
    <w:p>
      <w:pPr>
        <w:ind w:left="28"/>
        <w:spacing w:after="0"/>
        <w:rPr>
          <w:sz w:val="20"/>
          <w:szCs w:val="20"/>
          <w:color w:val="auto"/>
        </w:rPr>
      </w:pPr>
      <w:r>
        <w:rPr>
          <w:rFonts w:ascii="Arial" w:cs="Arial" w:eastAsia="Arial" w:hAnsi="Arial"/>
          <w:sz w:val="19"/>
          <w:szCs w:val="19"/>
          <w:color w:val="auto"/>
        </w:rPr>
        <w:t>SHAREHOLDER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514350" cy="2286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14350" cy="22860"/>
                    </a:xfrm>
                    <a:prstGeom prst="rect">
                      <a:avLst/>
                    </a:prstGeom>
                    <a:noFill/>
                  </pic:spPr>
                </pic:pic>
              </a:graphicData>
            </a:graphic>
          </wp:anchor>
        </w:drawing>
      </w:r>
    </w:p>
    <w:p>
      <w:pPr>
        <w:spacing w:after="0" w:line="89" w:lineRule="exact"/>
        <w:rPr>
          <w:sz w:val="20"/>
          <w:szCs w:val="20"/>
          <w:color w:val="auto"/>
        </w:rPr>
      </w:pPr>
    </w:p>
    <w:p>
      <w:pPr>
        <w:ind w:left="8" w:right="240"/>
        <w:spacing w:after="0" w:line="297" w:lineRule="auto"/>
        <w:rPr>
          <w:sz w:val="20"/>
          <w:szCs w:val="20"/>
          <w:color w:val="auto"/>
        </w:rPr>
      </w:pPr>
      <w:r>
        <w:rPr>
          <w:rFonts w:ascii="Arial" w:cs="Arial" w:eastAsia="Arial" w:hAnsi="Arial"/>
          <w:sz w:val="8"/>
          <w:szCs w:val="8"/>
          <w:color w:val="auto"/>
        </w:rPr>
        <w:t>Royal Dutch Shell plc (the Company) was incorporated in England and Wales on February 5, 2002, as a private company under the Companies Act 1985, as amended. On October 27, 2004, the Company was re-registered as a public company limited by shares and changed its name from Forthdeal Limited to Royal Dutch Shell plc. The Company is registered at Companies House, Cardiff, under company number 4366849, and at the Chamber of Commerce, The Hague, under company number 34179503. The Legal Entity Identifier (LEI) issued by the London Stock Exchange is 21380068P1DRHMJ8KU70. The business address for the Directors and Senior Management is Carel van Bylandtlaan 30, 2596 HR, The Hague, The Netherlands.</w:t>
      </w:r>
    </w:p>
    <w:p>
      <w:pPr>
        <w:spacing w:after="0" w:line="127" w:lineRule="exact"/>
        <w:rPr>
          <w:sz w:val="20"/>
          <w:szCs w:val="20"/>
          <w:color w:val="auto"/>
        </w:rPr>
      </w:pPr>
    </w:p>
    <w:p>
      <w:pPr>
        <w:ind w:left="8" w:right="240"/>
        <w:spacing w:after="0" w:line="234" w:lineRule="auto"/>
        <w:rPr>
          <w:sz w:val="20"/>
          <w:szCs w:val="20"/>
          <w:color w:val="auto"/>
        </w:rPr>
      </w:pPr>
      <w:r>
        <w:rPr>
          <w:rFonts w:ascii="Arial" w:cs="Arial" w:eastAsia="Arial" w:hAnsi="Arial"/>
          <w:sz w:val="10"/>
          <w:szCs w:val="10"/>
          <w:color w:val="auto"/>
        </w:rPr>
        <w:t>The Company is resident in the Netherlands for Dutch and UK tax purposes and its primary objective is to carry on the business of a holding company. It is not directly or indirectly owned or controlled by another corporation or by any government and does not know of any arrangements that may result in a change of control of the Company.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color w:val="auto"/>
        </w:rPr>
        <w:t>NATURE OF TRADING MARKET</w:t>
      </w:r>
    </w:p>
    <w:p>
      <w:pPr>
        <w:spacing w:after="0" w:line="1" w:lineRule="exact"/>
        <w:rPr>
          <w:sz w:val="20"/>
          <w:szCs w:val="20"/>
          <w:color w:val="auto"/>
        </w:rPr>
      </w:pPr>
    </w:p>
    <w:p>
      <w:pPr>
        <w:ind w:left="8" w:right="260"/>
        <w:spacing w:after="0" w:line="337" w:lineRule="auto"/>
        <w:rPr>
          <w:sz w:val="20"/>
          <w:szCs w:val="20"/>
          <w:color w:val="auto"/>
        </w:rPr>
      </w:pPr>
      <w:r>
        <w:rPr>
          <w:rFonts w:ascii="Arial" w:cs="Arial" w:eastAsia="Arial" w:hAnsi="Arial"/>
          <w:sz w:val="8"/>
          <w:szCs w:val="8"/>
          <w:color w:val="auto"/>
        </w:rPr>
        <w:t>The Company has two classes of ordinary shares: A and B shares. The principal trading market for A shares is Euronext Amsterdam and the principal trading market for B shares is the London Stock Exchange. Ordinary shares are traded in registered form.</w:t>
      </w:r>
    </w:p>
    <w:p>
      <w:pPr>
        <w:spacing w:after="0" w:line="112" w:lineRule="exact"/>
        <w:rPr>
          <w:sz w:val="20"/>
          <w:szCs w:val="20"/>
          <w:color w:val="auto"/>
        </w:rPr>
      </w:pPr>
    </w:p>
    <w:p>
      <w:pPr>
        <w:ind w:left="8" w:right="220"/>
        <w:spacing w:after="0" w:line="305" w:lineRule="auto"/>
        <w:rPr>
          <w:sz w:val="20"/>
          <w:szCs w:val="20"/>
          <w:color w:val="auto"/>
        </w:rPr>
      </w:pPr>
      <w:r>
        <w:rPr>
          <w:rFonts w:ascii="Arial" w:cs="Arial" w:eastAsia="Arial" w:hAnsi="Arial"/>
          <w:sz w:val="8"/>
          <w:szCs w:val="8"/>
          <w:color w:val="auto"/>
        </w:rPr>
        <w:t>A and B American Depositary Shares (ADSs) are listed on the New York Stock Exchange [A]. A depositary receipt is a certificate that evidences ADSs. Depositary receipts are issued, cancelled and exchanged at the office of JP Morgan Chase Bank, N.A., 383 Madison Avenue, New York, New York 10179, USA, as depositary (the Depositary), under a deposit agreement between the Company, the Depositary and the holders of ADSs. Each ADS represents two €0.07 shares of Royal Dutch Shell plc deposited under the agreement. More information relating to ADSs is given on pages 237-238.</w:t>
      </w:r>
    </w:p>
    <w:p>
      <w:pPr>
        <w:spacing w:after="0" w:line="240" w:lineRule="exact"/>
        <w:rPr>
          <w:sz w:val="20"/>
          <w:szCs w:val="20"/>
          <w:color w:val="auto"/>
        </w:rPr>
      </w:pPr>
    </w:p>
    <w:p>
      <w:pPr>
        <w:ind w:left="8" w:right="280" w:hanging="8"/>
        <w:spacing w:after="0" w:line="318" w:lineRule="auto"/>
        <w:tabs>
          <w:tab w:leader="none" w:pos="126" w:val="left"/>
        </w:tabs>
        <w:numPr>
          <w:ilvl w:val="0"/>
          <w:numId w:val="198"/>
        </w:numPr>
        <w:rPr>
          <w:rFonts w:ascii="Arial" w:cs="Arial" w:eastAsia="Arial" w:hAnsi="Arial"/>
          <w:sz w:val="6"/>
          <w:szCs w:val="6"/>
          <w:color w:val="auto"/>
        </w:rPr>
      </w:pPr>
      <w:r>
        <w:rPr>
          <w:rFonts w:ascii="Arial" w:cs="Arial" w:eastAsia="Arial" w:hAnsi="Arial"/>
          <w:sz w:val="6"/>
          <w:szCs w:val="6"/>
          <w:color w:val="auto"/>
        </w:rPr>
        <w:t>At February 12, 2021, 307,263,635 A ADSs and 292,034,995 B ADSs were outstanding, representing 14.98% and 15.76% of the respective share capital class, held by 4,872 and 910 holders of record with an address in the USA, respectively. In addition to holders of ADSs, at February 12, 2021, 21,790 A shares and 929,184 B shares of €0.07 each were outstanding, representing 0.0002% and 0.119% of the respective share capital class, held by 299 and 3,063 holders of record registered with an address in the USA, respectively.</w:t>
      </w:r>
    </w:p>
    <w:p>
      <w:pPr>
        <w:spacing w:after="0" w:line="2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240" w:type="dxa"/>
            <w:vAlign w:val="bottom"/>
            <w:tcBorders>
              <w:top w:val="single" w:sz="8" w:color="CDCDCD"/>
            </w:tcBorders>
          </w:tcPr>
          <w:p>
            <w:pPr>
              <w:spacing w:after="0"/>
              <w:rPr>
                <w:sz w:val="20"/>
                <w:szCs w:val="20"/>
                <w:color w:val="auto"/>
              </w:rPr>
            </w:pPr>
            <w:r>
              <w:rPr>
                <w:rFonts w:ascii="Arial" w:cs="Arial" w:eastAsia="Arial" w:hAnsi="Arial"/>
                <w:sz w:val="10"/>
                <w:szCs w:val="10"/>
                <w:color w:val="333333"/>
              </w:rPr>
              <w:t>Listing information</w:t>
            </w:r>
          </w:p>
        </w:tc>
        <w:tc>
          <w:tcPr>
            <w:tcW w:w="1100" w:type="dxa"/>
            <w:vAlign w:val="bottom"/>
            <w:tcBorders>
              <w:top w:val="single" w:sz="8" w:color="CDCDCD"/>
            </w:tcBorders>
          </w:tcPr>
          <w:p>
            <w:pPr>
              <w:spacing w:after="0"/>
              <w:rPr>
                <w:sz w:val="13"/>
                <w:szCs w:val="13"/>
                <w:color w:val="auto"/>
              </w:rPr>
            </w:pPr>
          </w:p>
        </w:tc>
        <w:tc>
          <w:tcPr>
            <w:tcW w:w="1100" w:type="dxa"/>
            <w:vAlign w:val="bottom"/>
            <w:tcBorders>
              <w:top w:val="single" w:sz="8" w:color="CDCDCD"/>
            </w:tcBorders>
          </w:tcPr>
          <w:p>
            <w:pPr>
              <w:spacing w:after="0"/>
              <w:rPr>
                <w:sz w:val="13"/>
                <w:szCs w:val="13"/>
                <w:color w:val="auto"/>
              </w:rPr>
            </w:pPr>
          </w:p>
        </w:tc>
        <w:tc>
          <w:tcPr>
            <w:tcW w:w="200" w:type="dxa"/>
            <w:vAlign w:val="bottom"/>
          </w:tcPr>
          <w:p>
            <w:pPr>
              <w:spacing w:after="0"/>
              <w:rPr>
                <w:sz w:val="13"/>
                <w:szCs w:val="13"/>
                <w:color w:val="auto"/>
              </w:rPr>
            </w:pPr>
          </w:p>
        </w:tc>
      </w:tr>
      <w:tr>
        <w:trPr>
          <w:trHeight w:val="127"/>
        </w:trPr>
        <w:tc>
          <w:tcPr>
            <w:tcW w:w="3240" w:type="dxa"/>
            <w:vAlign w:val="bottom"/>
          </w:tcPr>
          <w:p>
            <w:pPr>
              <w:spacing w:after="0"/>
              <w:rPr>
                <w:sz w:val="11"/>
                <w:szCs w:val="11"/>
                <w:color w:val="auto"/>
              </w:rPr>
            </w:pPr>
          </w:p>
        </w:tc>
        <w:tc>
          <w:tcPr>
            <w:tcW w:w="1100" w:type="dxa"/>
            <w:vAlign w:val="bottom"/>
          </w:tcPr>
          <w:p>
            <w:pPr>
              <w:jc w:val="right"/>
              <w:ind w:right="353"/>
              <w:spacing w:after="0"/>
              <w:rPr>
                <w:sz w:val="20"/>
                <w:szCs w:val="20"/>
                <w:color w:val="auto"/>
              </w:rPr>
            </w:pPr>
            <w:r>
              <w:rPr>
                <w:rFonts w:ascii="Arial" w:cs="Arial" w:eastAsia="Arial" w:hAnsi="Arial"/>
                <w:sz w:val="10"/>
                <w:szCs w:val="10"/>
                <w:color w:val="auto"/>
              </w:rPr>
              <w:t>A shares</w:t>
            </w:r>
          </w:p>
        </w:tc>
        <w:tc>
          <w:tcPr>
            <w:tcW w:w="1300" w:type="dxa"/>
            <w:vAlign w:val="bottom"/>
            <w:gridSpan w:val="2"/>
          </w:tcPr>
          <w:p>
            <w:pPr>
              <w:jc w:val="right"/>
              <w:ind w:right="220"/>
              <w:spacing w:after="0"/>
              <w:rPr>
                <w:sz w:val="20"/>
                <w:szCs w:val="20"/>
                <w:color w:val="auto"/>
              </w:rPr>
            </w:pPr>
            <w:r>
              <w:rPr>
                <w:rFonts w:ascii="Arial" w:cs="Arial" w:eastAsia="Arial" w:hAnsi="Arial"/>
                <w:sz w:val="10"/>
                <w:szCs w:val="10"/>
                <w:color w:val="auto"/>
              </w:rPr>
              <w:t>B shares</w:t>
            </w:r>
          </w:p>
        </w:tc>
      </w:tr>
      <w:tr>
        <w:trPr>
          <w:trHeight w:val="114"/>
        </w:trPr>
        <w:tc>
          <w:tcPr>
            <w:tcW w:w="32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Ticker symbol London</w:t>
            </w:r>
          </w:p>
        </w:tc>
        <w:tc>
          <w:tcPr>
            <w:tcW w:w="1100" w:type="dxa"/>
            <w:vAlign w:val="bottom"/>
            <w:tcBorders>
              <w:top w:val="single" w:sz="8" w:color="auto"/>
            </w:tcBorders>
          </w:tcPr>
          <w:p>
            <w:pPr>
              <w:jc w:val="right"/>
              <w:ind w:right="353"/>
              <w:spacing w:after="0"/>
              <w:rPr>
                <w:sz w:val="20"/>
                <w:szCs w:val="20"/>
                <w:color w:val="auto"/>
              </w:rPr>
            </w:pPr>
            <w:r>
              <w:rPr>
                <w:rFonts w:ascii="Arial" w:cs="Arial" w:eastAsia="Arial" w:hAnsi="Arial"/>
                <w:sz w:val="10"/>
                <w:szCs w:val="10"/>
                <w:color w:val="auto"/>
              </w:rPr>
              <w:t>RDSA</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RDSB</w:t>
            </w:r>
          </w:p>
        </w:tc>
        <w:tc>
          <w:tcPr>
            <w:tcW w:w="200" w:type="dxa"/>
            <w:vAlign w:val="bottom"/>
          </w:tcPr>
          <w:p>
            <w:pPr>
              <w:spacing w:after="0"/>
              <w:rPr>
                <w:sz w:val="9"/>
                <w:szCs w:val="9"/>
                <w:color w:val="auto"/>
              </w:rPr>
            </w:pPr>
          </w:p>
        </w:tc>
      </w:tr>
      <w:tr>
        <w:trPr>
          <w:trHeight w:val="123"/>
        </w:trPr>
        <w:tc>
          <w:tcPr>
            <w:tcW w:w="3240" w:type="dxa"/>
            <w:vAlign w:val="bottom"/>
          </w:tcPr>
          <w:p>
            <w:pPr>
              <w:spacing w:after="0"/>
              <w:rPr>
                <w:sz w:val="20"/>
                <w:szCs w:val="20"/>
                <w:color w:val="auto"/>
              </w:rPr>
            </w:pPr>
            <w:r>
              <w:rPr>
                <w:rFonts w:ascii="Arial" w:cs="Arial" w:eastAsia="Arial" w:hAnsi="Arial"/>
                <w:sz w:val="10"/>
                <w:szCs w:val="10"/>
                <w:color w:val="auto"/>
              </w:rPr>
              <w:t>Ticker symbol Amsterdam</w:t>
            </w:r>
          </w:p>
        </w:tc>
        <w:tc>
          <w:tcPr>
            <w:tcW w:w="1100" w:type="dxa"/>
            <w:vAlign w:val="bottom"/>
          </w:tcPr>
          <w:p>
            <w:pPr>
              <w:jc w:val="right"/>
              <w:ind w:right="353"/>
              <w:spacing w:after="0"/>
              <w:rPr>
                <w:sz w:val="20"/>
                <w:szCs w:val="20"/>
                <w:color w:val="auto"/>
              </w:rPr>
            </w:pPr>
            <w:r>
              <w:rPr>
                <w:rFonts w:ascii="Arial" w:cs="Arial" w:eastAsia="Arial" w:hAnsi="Arial"/>
                <w:sz w:val="10"/>
                <w:szCs w:val="10"/>
                <w:color w:val="auto"/>
              </w:rPr>
              <w:t>RDSA</w:t>
            </w:r>
          </w:p>
        </w:tc>
        <w:tc>
          <w:tcPr>
            <w:tcW w:w="1300" w:type="dxa"/>
            <w:vAlign w:val="bottom"/>
            <w:gridSpan w:val="2"/>
          </w:tcPr>
          <w:p>
            <w:pPr>
              <w:jc w:val="right"/>
              <w:ind w:right="220"/>
              <w:spacing w:after="0"/>
              <w:rPr>
                <w:sz w:val="20"/>
                <w:szCs w:val="20"/>
                <w:color w:val="auto"/>
              </w:rPr>
            </w:pPr>
            <w:r>
              <w:rPr>
                <w:rFonts w:ascii="Arial" w:cs="Arial" w:eastAsia="Arial" w:hAnsi="Arial"/>
                <w:sz w:val="10"/>
                <w:szCs w:val="10"/>
                <w:color w:val="auto"/>
              </w:rPr>
              <w:t>RDSB</w:t>
            </w:r>
          </w:p>
        </w:tc>
      </w:tr>
      <w:tr>
        <w:trPr>
          <w:trHeight w:val="126"/>
        </w:trPr>
        <w:tc>
          <w:tcPr>
            <w:tcW w:w="3240" w:type="dxa"/>
            <w:vAlign w:val="bottom"/>
          </w:tcPr>
          <w:p>
            <w:pPr>
              <w:spacing w:after="0"/>
              <w:rPr>
                <w:sz w:val="20"/>
                <w:szCs w:val="20"/>
                <w:color w:val="auto"/>
              </w:rPr>
            </w:pPr>
            <w:r>
              <w:rPr>
                <w:rFonts w:ascii="Arial" w:cs="Arial" w:eastAsia="Arial" w:hAnsi="Arial"/>
                <w:sz w:val="10"/>
                <w:szCs w:val="10"/>
                <w:color w:val="auto"/>
              </w:rPr>
              <w:t>Ticker symbol New York (ADS [A])</w:t>
            </w:r>
          </w:p>
        </w:tc>
        <w:tc>
          <w:tcPr>
            <w:tcW w:w="1100" w:type="dxa"/>
            <w:vAlign w:val="bottom"/>
          </w:tcPr>
          <w:p>
            <w:pPr>
              <w:jc w:val="right"/>
              <w:ind w:right="353"/>
              <w:spacing w:after="0"/>
              <w:rPr>
                <w:sz w:val="20"/>
                <w:szCs w:val="20"/>
                <w:color w:val="auto"/>
              </w:rPr>
            </w:pPr>
            <w:r>
              <w:rPr>
                <w:rFonts w:ascii="Arial" w:cs="Arial" w:eastAsia="Arial" w:hAnsi="Arial"/>
                <w:sz w:val="10"/>
                <w:szCs w:val="10"/>
                <w:color w:val="auto"/>
              </w:rPr>
              <w:t>RDS.A</w:t>
            </w:r>
          </w:p>
        </w:tc>
        <w:tc>
          <w:tcPr>
            <w:tcW w:w="1300" w:type="dxa"/>
            <w:vAlign w:val="bottom"/>
            <w:gridSpan w:val="2"/>
          </w:tcPr>
          <w:p>
            <w:pPr>
              <w:jc w:val="right"/>
              <w:ind w:right="220"/>
              <w:spacing w:after="0"/>
              <w:rPr>
                <w:sz w:val="20"/>
                <w:szCs w:val="20"/>
                <w:color w:val="auto"/>
              </w:rPr>
            </w:pPr>
            <w:r>
              <w:rPr>
                <w:rFonts w:ascii="Arial" w:cs="Arial" w:eastAsia="Arial" w:hAnsi="Arial"/>
                <w:sz w:val="10"/>
                <w:szCs w:val="10"/>
                <w:color w:val="auto"/>
              </w:rPr>
              <w:t>RDS.B</w:t>
            </w:r>
          </w:p>
        </w:tc>
      </w:tr>
      <w:tr>
        <w:trPr>
          <w:trHeight w:val="126"/>
        </w:trPr>
        <w:tc>
          <w:tcPr>
            <w:tcW w:w="3240" w:type="dxa"/>
            <w:vAlign w:val="bottom"/>
          </w:tcPr>
          <w:p>
            <w:pPr>
              <w:spacing w:after="0"/>
              <w:rPr>
                <w:sz w:val="20"/>
                <w:szCs w:val="20"/>
                <w:color w:val="auto"/>
              </w:rPr>
            </w:pPr>
            <w:r>
              <w:rPr>
                <w:rFonts w:ascii="Arial" w:cs="Arial" w:eastAsia="Arial" w:hAnsi="Arial"/>
                <w:sz w:val="10"/>
                <w:szCs w:val="10"/>
                <w:color w:val="auto"/>
              </w:rPr>
              <w:t>ISIN for shares</w:t>
            </w:r>
          </w:p>
        </w:tc>
        <w:tc>
          <w:tcPr>
            <w:tcW w:w="1100" w:type="dxa"/>
            <w:vAlign w:val="bottom"/>
          </w:tcPr>
          <w:p>
            <w:pPr>
              <w:jc w:val="right"/>
              <w:ind w:right="353"/>
              <w:spacing w:after="0"/>
              <w:rPr>
                <w:sz w:val="20"/>
                <w:szCs w:val="20"/>
                <w:color w:val="auto"/>
              </w:rPr>
            </w:pPr>
            <w:r>
              <w:rPr>
                <w:rFonts w:ascii="Arial" w:cs="Arial" w:eastAsia="Arial" w:hAnsi="Arial"/>
                <w:sz w:val="10"/>
                <w:szCs w:val="10"/>
                <w:color w:val="auto"/>
                <w:w w:val="90"/>
              </w:rPr>
              <w:t>GB00B03MLX29</w:t>
            </w:r>
          </w:p>
        </w:tc>
        <w:tc>
          <w:tcPr>
            <w:tcW w:w="1300" w:type="dxa"/>
            <w:vAlign w:val="bottom"/>
            <w:gridSpan w:val="2"/>
          </w:tcPr>
          <w:p>
            <w:pPr>
              <w:jc w:val="right"/>
              <w:ind w:right="220"/>
              <w:spacing w:after="0"/>
              <w:rPr>
                <w:sz w:val="20"/>
                <w:szCs w:val="20"/>
                <w:color w:val="auto"/>
              </w:rPr>
            </w:pPr>
            <w:r>
              <w:rPr>
                <w:rFonts w:ascii="Arial" w:cs="Arial" w:eastAsia="Arial" w:hAnsi="Arial"/>
                <w:sz w:val="10"/>
                <w:szCs w:val="10"/>
                <w:color w:val="auto"/>
              </w:rPr>
              <w:t>GB00B03MM408</w:t>
            </w:r>
          </w:p>
        </w:tc>
      </w:tr>
      <w:tr>
        <w:trPr>
          <w:trHeight w:val="126"/>
        </w:trPr>
        <w:tc>
          <w:tcPr>
            <w:tcW w:w="3240" w:type="dxa"/>
            <w:vAlign w:val="bottom"/>
          </w:tcPr>
          <w:p>
            <w:pPr>
              <w:spacing w:after="0"/>
              <w:rPr>
                <w:sz w:val="20"/>
                <w:szCs w:val="20"/>
                <w:color w:val="auto"/>
              </w:rPr>
            </w:pPr>
            <w:r>
              <w:rPr>
                <w:rFonts w:ascii="Arial" w:cs="Arial" w:eastAsia="Arial" w:hAnsi="Arial"/>
                <w:sz w:val="10"/>
                <w:szCs w:val="10"/>
                <w:color w:val="auto"/>
              </w:rPr>
              <w:t>ISIN for ADS</w:t>
            </w:r>
          </w:p>
        </w:tc>
        <w:tc>
          <w:tcPr>
            <w:tcW w:w="1100" w:type="dxa"/>
            <w:vAlign w:val="bottom"/>
          </w:tcPr>
          <w:p>
            <w:pPr>
              <w:jc w:val="right"/>
              <w:ind w:right="353"/>
              <w:spacing w:after="0"/>
              <w:rPr>
                <w:sz w:val="20"/>
                <w:szCs w:val="20"/>
                <w:color w:val="auto"/>
              </w:rPr>
            </w:pPr>
            <w:r>
              <w:rPr>
                <w:rFonts w:ascii="Arial" w:cs="Arial" w:eastAsia="Arial" w:hAnsi="Arial"/>
                <w:sz w:val="10"/>
                <w:szCs w:val="10"/>
                <w:color w:val="auto"/>
                <w:w w:val="97"/>
              </w:rPr>
              <w:t>US7802592060</w:t>
            </w:r>
          </w:p>
        </w:tc>
        <w:tc>
          <w:tcPr>
            <w:tcW w:w="1300" w:type="dxa"/>
            <w:vAlign w:val="bottom"/>
            <w:gridSpan w:val="2"/>
          </w:tcPr>
          <w:p>
            <w:pPr>
              <w:jc w:val="right"/>
              <w:ind w:right="220"/>
              <w:spacing w:after="0"/>
              <w:rPr>
                <w:sz w:val="20"/>
                <w:szCs w:val="20"/>
                <w:color w:val="auto"/>
              </w:rPr>
            </w:pPr>
            <w:r>
              <w:rPr>
                <w:rFonts w:ascii="Arial" w:cs="Arial" w:eastAsia="Arial" w:hAnsi="Arial"/>
                <w:sz w:val="10"/>
                <w:szCs w:val="10"/>
                <w:color w:val="auto"/>
              </w:rPr>
              <w:t>US7802591070</w:t>
            </w:r>
          </w:p>
        </w:tc>
      </w:tr>
      <w:tr>
        <w:trPr>
          <w:trHeight w:val="113"/>
        </w:trPr>
        <w:tc>
          <w:tcPr>
            <w:tcW w:w="3240" w:type="dxa"/>
            <w:vAlign w:val="bottom"/>
          </w:tcPr>
          <w:p>
            <w:pPr>
              <w:spacing w:after="0"/>
              <w:rPr>
                <w:sz w:val="20"/>
                <w:szCs w:val="20"/>
                <w:color w:val="auto"/>
              </w:rPr>
            </w:pPr>
            <w:r>
              <w:rPr>
                <w:rFonts w:ascii="Arial" w:cs="Arial" w:eastAsia="Arial" w:hAnsi="Arial"/>
                <w:sz w:val="8"/>
                <w:szCs w:val="8"/>
                <w:color w:val="auto"/>
              </w:rPr>
              <w:t>CUSIP</w:t>
            </w:r>
          </w:p>
        </w:tc>
        <w:tc>
          <w:tcPr>
            <w:tcW w:w="1100" w:type="dxa"/>
            <w:vAlign w:val="bottom"/>
          </w:tcPr>
          <w:p>
            <w:pPr>
              <w:jc w:val="right"/>
              <w:ind w:right="353"/>
              <w:spacing w:after="0"/>
              <w:rPr>
                <w:sz w:val="20"/>
                <w:szCs w:val="20"/>
                <w:color w:val="auto"/>
              </w:rPr>
            </w:pPr>
            <w:r>
              <w:rPr>
                <w:rFonts w:ascii="Arial" w:cs="Arial" w:eastAsia="Arial" w:hAnsi="Arial"/>
                <w:sz w:val="8"/>
                <w:szCs w:val="8"/>
                <w:color w:val="auto"/>
              </w:rPr>
              <w:t>G7690A100</w:t>
            </w:r>
          </w:p>
        </w:tc>
        <w:tc>
          <w:tcPr>
            <w:tcW w:w="1300" w:type="dxa"/>
            <w:vAlign w:val="bottom"/>
            <w:gridSpan w:val="2"/>
          </w:tcPr>
          <w:p>
            <w:pPr>
              <w:jc w:val="right"/>
              <w:ind w:right="220"/>
              <w:spacing w:after="0"/>
              <w:rPr>
                <w:sz w:val="20"/>
                <w:szCs w:val="20"/>
                <w:color w:val="auto"/>
              </w:rPr>
            </w:pPr>
            <w:r>
              <w:rPr>
                <w:rFonts w:ascii="Arial" w:cs="Arial" w:eastAsia="Arial" w:hAnsi="Arial"/>
                <w:sz w:val="8"/>
                <w:szCs w:val="8"/>
                <w:color w:val="auto"/>
              </w:rPr>
              <w:t>G7690A118</w:t>
            </w:r>
          </w:p>
        </w:tc>
      </w:tr>
      <w:tr>
        <w:trPr>
          <w:trHeight w:val="130"/>
        </w:trPr>
        <w:tc>
          <w:tcPr>
            <w:tcW w:w="3240" w:type="dxa"/>
            <w:vAlign w:val="bottom"/>
          </w:tcPr>
          <w:p>
            <w:pPr>
              <w:spacing w:after="0"/>
              <w:rPr>
                <w:sz w:val="20"/>
                <w:szCs w:val="20"/>
                <w:color w:val="auto"/>
              </w:rPr>
            </w:pPr>
            <w:r>
              <w:rPr>
                <w:rFonts w:ascii="Arial" w:cs="Arial" w:eastAsia="Arial" w:hAnsi="Arial"/>
                <w:sz w:val="10"/>
                <w:szCs w:val="10"/>
                <w:color w:val="auto"/>
              </w:rPr>
              <w:t>SEDOL Number Amsterdam</w:t>
            </w:r>
          </w:p>
        </w:tc>
        <w:tc>
          <w:tcPr>
            <w:tcW w:w="1100" w:type="dxa"/>
            <w:vAlign w:val="bottom"/>
          </w:tcPr>
          <w:p>
            <w:pPr>
              <w:jc w:val="right"/>
              <w:ind w:right="353"/>
              <w:spacing w:after="0"/>
              <w:rPr>
                <w:sz w:val="20"/>
                <w:szCs w:val="20"/>
                <w:color w:val="auto"/>
              </w:rPr>
            </w:pPr>
            <w:r>
              <w:rPr>
                <w:rFonts w:ascii="Arial" w:cs="Arial" w:eastAsia="Arial" w:hAnsi="Arial"/>
                <w:sz w:val="10"/>
                <w:szCs w:val="10"/>
                <w:color w:val="auto"/>
              </w:rPr>
              <w:t>B09CBL4</w:t>
            </w:r>
          </w:p>
        </w:tc>
        <w:tc>
          <w:tcPr>
            <w:tcW w:w="1300" w:type="dxa"/>
            <w:vAlign w:val="bottom"/>
            <w:gridSpan w:val="2"/>
          </w:tcPr>
          <w:p>
            <w:pPr>
              <w:jc w:val="right"/>
              <w:ind w:right="220"/>
              <w:spacing w:after="0"/>
              <w:rPr>
                <w:sz w:val="20"/>
                <w:szCs w:val="20"/>
                <w:color w:val="auto"/>
              </w:rPr>
            </w:pPr>
            <w:r>
              <w:rPr>
                <w:rFonts w:ascii="Arial" w:cs="Arial" w:eastAsia="Arial" w:hAnsi="Arial"/>
                <w:sz w:val="10"/>
                <w:szCs w:val="10"/>
                <w:color w:val="auto"/>
              </w:rPr>
              <w:t>B09CBN6</w:t>
            </w:r>
          </w:p>
        </w:tc>
      </w:tr>
      <w:tr>
        <w:trPr>
          <w:trHeight w:val="126"/>
        </w:trPr>
        <w:tc>
          <w:tcPr>
            <w:tcW w:w="3240" w:type="dxa"/>
            <w:vAlign w:val="bottom"/>
          </w:tcPr>
          <w:p>
            <w:pPr>
              <w:spacing w:after="0"/>
              <w:rPr>
                <w:sz w:val="20"/>
                <w:szCs w:val="20"/>
                <w:color w:val="auto"/>
              </w:rPr>
            </w:pPr>
            <w:r>
              <w:rPr>
                <w:rFonts w:ascii="Arial" w:cs="Arial" w:eastAsia="Arial" w:hAnsi="Arial"/>
                <w:sz w:val="10"/>
                <w:szCs w:val="10"/>
                <w:color w:val="auto"/>
              </w:rPr>
              <w:t>SEDOL Number London</w:t>
            </w:r>
          </w:p>
        </w:tc>
        <w:tc>
          <w:tcPr>
            <w:tcW w:w="1100" w:type="dxa"/>
            <w:vAlign w:val="bottom"/>
          </w:tcPr>
          <w:p>
            <w:pPr>
              <w:jc w:val="right"/>
              <w:ind w:right="353"/>
              <w:spacing w:after="0"/>
              <w:rPr>
                <w:sz w:val="20"/>
                <w:szCs w:val="20"/>
                <w:color w:val="auto"/>
              </w:rPr>
            </w:pPr>
            <w:r>
              <w:rPr>
                <w:rFonts w:ascii="Arial" w:cs="Arial" w:eastAsia="Arial" w:hAnsi="Arial"/>
                <w:sz w:val="10"/>
                <w:szCs w:val="10"/>
                <w:color w:val="auto"/>
              </w:rPr>
              <w:t>B03MLX2</w:t>
            </w:r>
          </w:p>
        </w:tc>
        <w:tc>
          <w:tcPr>
            <w:tcW w:w="1300" w:type="dxa"/>
            <w:vAlign w:val="bottom"/>
            <w:gridSpan w:val="2"/>
          </w:tcPr>
          <w:p>
            <w:pPr>
              <w:jc w:val="right"/>
              <w:ind w:right="220"/>
              <w:spacing w:after="0"/>
              <w:rPr>
                <w:sz w:val="20"/>
                <w:szCs w:val="20"/>
                <w:color w:val="auto"/>
              </w:rPr>
            </w:pPr>
            <w:r>
              <w:rPr>
                <w:rFonts w:ascii="Arial" w:cs="Arial" w:eastAsia="Arial" w:hAnsi="Arial"/>
                <w:sz w:val="10"/>
                <w:szCs w:val="10"/>
                <w:color w:val="auto"/>
              </w:rPr>
              <w:t>B03MM40</w:t>
            </w:r>
          </w:p>
        </w:tc>
      </w:tr>
      <w:tr>
        <w:trPr>
          <w:trHeight w:val="126"/>
        </w:trPr>
        <w:tc>
          <w:tcPr>
            <w:tcW w:w="3240" w:type="dxa"/>
            <w:vAlign w:val="bottom"/>
          </w:tcPr>
          <w:p>
            <w:pPr>
              <w:spacing w:after="0"/>
              <w:rPr>
                <w:sz w:val="20"/>
                <w:szCs w:val="20"/>
                <w:color w:val="auto"/>
              </w:rPr>
            </w:pPr>
            <w:r>
              <w:rPr>
                <w:rFonts w:ascii="Arial" w:cs="Arial" w:eastAsia="Arial" w:hAnsi="Arial"/>
                <w:sz w:val="10"/>
                <w:szCs w:val="10"/>
                <w:color w:val="auto"/>
              </w:rPr>
              <w:t>SEDOL Number New York</w:t>
            </w:r>
          </w:p>
        </w:tc>
        <w:tc>
          <w:tcPr>
            <w:tcW w:w="1100" w:type="dxa"/>
            <w:vAlign w:val="bottom"/>
          </w:tcPr>
          <w:p>
            <w:pPr>
              <w:jc w:val="right"/>
              <w:ind w:right="353"/>
              <w:spacing w:after="0"/>
              <w:rPr>
                <w:sz w:val="20"/>
                <w:szCs w:val="20"/>
                <w:color w:val="auto"/>
              </w:rPr>
            </w:pPr>
            <w:r>
              <w:rPr>
                <w:rFonts w:ascii="Arial" w:cs="Arial" w:eastAsia="Arial" w:hAnsi="Arial"/>
                <w:sz w:val="10"/>
                <w:szCs w:val="10"/>
                <w:color w:val="auto"/>
              </w:rPr>
              <w:t>B03MM62</w:t>
            </w:r>
          </w:p>
        </w:tc>
        <w:tc>
          <w:tcPr>
            <w:tcW w:w="1300" w:type="dxa"/>
            <w:vAlign w:val="bottom"/>
            <w:gridSpan w:val="2"/>
          </w:tcPr>
          <w:p>
            <w:pPr>
              <w:jc w:val="right"/>
              <w:ind w:right="220"/>
              <w:spacing w:after="0"/>
              <w:rPr>
                <w:sz w:val="20"/>
                <w:szCs w:val="20"/>
                <w:color w:val="auto"/>
              </w:rPr>
            </w:pPr>
            <w:r>
              <w:rPr>
                <w:rFonts w:ascii="Arial" w:cs="Arial" w:eastAsia="Arial" w:hAnsi="Arial"/>
                <w:sz w:val="10"/>
                <w:szCs w:val="10"/>
                <w:color w:val="auto"/>
              </w:rPr>
              <w:t>B03MM73</w:t>
            </w:r>
          </w:p>
        </w:tc>
      </w:tr>
      <w:tr>
        <w:trPr>
          <w:trHeight w:val="126"/>
        </w:trPr>
        <w:tc>
          <w:tcPr>
            <w:tcW w:w="3240" w:type="dxa"/>
            <w:vAlign w:val="bottom"/>
          </w:tcPr>
          <w:p>
            <w:pPr>
              <w:spacing w:after="0"/>
              <w:rPr>
                <w:sz w:val="20"/>
                <w:szCs w:val="20"/>
                <w:color w:val="auto"/>
              </w:rPr>
            </w:pPr>
            <w:r>
              <w:rPr>
                <w:rFonts w:ascii="Arial" w:cs="Arial" w:eastAsia="Arial" w:hAnsi="Arial"/>
                <w:sz w:val="10"/>
                <w:szCs w:val="10"/>
                <w:color w:val="auto"/>
              </w:rPr>
              <w:t>Weighting on FTSE 100 at 31/12/20</w:t>
            </w:r>
          </w:p>
        </w:tc>
        <w:tc>
          <w:tcPr>
            <w:tcW w:w="1100" w:type="dxa"/>
            <w:vAlign w:val="bottom"/>
          </w:tcPr>
          <w:p>
            <w:pPr>
              <w:jc w:val="right"/>
              <w:ind w:right="353"/>
              <w:spacing w:after="0"/>
              <w:rPr>
                <w:sz w:val="20"/>
                <w:szCs w:val="20"/>
                <w:color w:val="auto"/>
              </w:rPr>
            </w:pPr>
            <w:r>
              <w:rPr>
                <w:rFonts w:ascii="Arial" w:cs="Arial" w:eastAsia="Arial" w:hAnsi="Arial"/>
                <w:sz w:val="10"/>
                <w:szCs w:val="10"/>
                <w:color w:val="auto"/>
              </w:rPr>
              <w:t>3.09 %</w:t>
            </w:r>
          </w:p>
        </w:tc>
        <w:tc>
          <w:tcPr>
            <w:tcW w:w="1100" w:type="dxa"/>
            <w:vAlign w:val="bottom"/>
          </w:tcPr>
          <w:p>
            <w:pPr>
              <w:jc w:val="right"/>
              <w:spacing w:after="0"/>
              <w:rPr>
                <w:sz w:val="20"/>
                <w:szCs w:val="20"/>
                <w:color w:val="auto"/>
              </w:rPr>
            </w:pPr>
            <w:r>
              <w:rPr>
                <w:rFonts w:ascii="Arial" w:cs="Arial" w:eastAsia="Arial" w:hAnsi="Arial"/>
                <w:sz w:val="10"/>
                <w:szCs w:val="10"/>
                <w:color w:val="auto"/>
              </w:rPr>
              <w:t>2.71 %</w:t>
            </w:r>
          </w:p>
        </w:tc>
        <w:tc>
          <w:tcPr>
            <w:tcW w:w="200" w:type="dxa"/>
            <w:vAlign w:val="bottom"/>
          </w:tcPr>
          <w:p>
            <w:pPr>
              <w:spacing w:after="0"/>
              <w:rPr>
                <w:sz w:val="10"/>
                <w:szCs w:val="10"/>
                <w:color w:val="auto"/>
              </w:rPr>
            </w:pPr>
          </w:p>
        </w:tc>
      </w:tr>
      <w:tr>
        <w:trPr>
          <w:trHeight w:val="130"/>
        </w:trPr>
        <w:tc>
          <w:tcPr>
            <w:tcW w:w="3240" w:type="dxa"/>
            <w:vAlign w:val="bottom"/>
          </w:tcPr>
          <w:p>
            <w:pPr>
              <w:spacing w:after="0"/>
              <w:rPr>
                <w:sz w:val="20"/>
                <w:szCs w:val="20"/>
                <w:color w:val="auto"/>
              </w:rPr>
            </w:pPr>
            <w:r>
              <w:rPr>
                <w:rFonts w:ascii="Arial" w:cs="Arial" w:eastAsia="Arial" w:hAnsi="Arial"/>
                <w:sz w:val="10"/>
                <w:szCs w:val="10"/>
                <w:color w:val="auto"/>
              </w:rPr>
              <w:t>Weighting on AEX at 31/12/20</w:t>
            </w:r>
          </w:p>
        </w:tc>
        <w:tc>
          <w:tcPr>
            <w:tcW w:w="1100" w:type="dxa"/>
            <w:vAlign w:val="bottom"/>
          </w:tcPr>
          <w:p>
            <w:pPr>
              <w:jc w:val="right"/>
              <w:ind w:right="353"/>
              <w:spacing w:after="0"/>
              <w:rPr>
                <w:sz w:val="20"/>
                <w:szCs w:val="20"/>
                <w:color w:val="auto"/>
              </w:rPr>
            </w:pPr>
            <w:r>
              <w:rPr>
                <w:rFonts w:ascii="Arial" w:cs="Arial" w:eastAsia="Arial" w:hAnsi="Arial"/>
                <w:sz w:val="10"/>
                <w:szCs w:val="10"/>
                <w:color w:val="auto"/>
              </w:rPr>
              <w:t>10.58 %</w:t>
            </w:r>
          </w:p>
        </w:tc>
        <w:tc>
          <w:tcPr>
            <w:tcW w:w="1300" w:type="dxa"/>
            <w:vAlign w:val="bottom"/>
            <w:gridSpan w:val="2"/>
          </w:tcPr>
          <w:p>
            <w:pPr>
              <w:jc w:val="right"/>
              <w:ind w:right="220"/>
              <w:spacing w:after="0"/>
              <w:rPr>
                <w:sz w:val="20"/>
                <w:szCs w:val="20"/>
                <w:color w:val="auto"/>
              </w:rPr>
            </w:pPr>
            <w:r>
              <w:rPr>
                <w:rFonts w:ascii="Arial" w:cs="Arial" w:eastAsia="Arial" w:hAnsi="Arial"/>
                <w:sz w:val="10"/>
                <w:szCs w:val="10"/>
                <w:color w:val="auto"/>
              </w:rPr>
              <w:t>not included</w:t>
            </w:r>
          </w:p>
        </w:tc>
      </w:tr>
      <w:tr>
        <w:trPr>
          <w:trHeight w:val="139"/>
        </w:trPr>
        <w:tc>
          <w:tcPr>
            <w:tcW w:w="3240" w:type="dxa"/>
            <w:vAlign w:val="bottom"/>
            <w:tcBorders>
              <w:top w:val="single" w:sz="8" w:color="auto"/>
            </w:tcBorders>
          </w:tcPr>
          <w:p>
            <w:pPr>
              <w:spacing w:after="0"/>
              <w:rPr>
                <w:sz w:val="20"/>
                <w:szCs w:val="20"/>
                <w:color w:val="auto"/>
              </w:rPr>
            </w:pPr>
            <w:r>
              <w:rPr>
                <w:rFonts w:ascii="Arial" w:cs="Arial" w:eastAsia="Arial" w:hAnsi="Arial"/>
                <w:sz w:val="7"/>
                <w:szCs w:val="7"/>
                <w:color w:val="auto"/>
                <w:w w:val="92"/>
              </w:rPr>
              <w:t>[A] Each A ADS represents two A shares of €0.07 each and each B ADS represents two B shares of €0.07 each.</w:t>
            </w:r>
          </w:p>
        </w:tc>
        <w:tc>
          <w:tcPr>
            <w:tcW w:w="1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432"/>
        </w:trPr>
        <w:tc>
          <w:tcPr>
            <w:tcW w:w="3240" w:type="dxa"/>
            <w:vAlign w:val="bottom"/>
          </w:tcPr>
          <w:p>
            <w:pPr>
              <w:ind w:left="40"/>
              <w:spacing w:after="0"/>
              <w:rPr>
                <w:sz w:val="20"/>
                <w:szCs w:val="20"/>
                <w:color w:val="auto"/>
              </w:rPr>
            </w:pPr>
            <w:r>
              <w:rPr>
                <w:rFonts w:ascii="Arial" w:cs="Arial" w:eastAsia="Arial" w:hAnsi="Arial"/>
                <w:sz w:val="7"/>
                <w:szCs w:val="7"/>
                <w:color w:val="auto"/>
              </w:rPr>
              <w:t>ADDITIONAL INFORMATION SHELL FORM 20-F 2020</w:t>
            </w:r>
          </w:p>
        </w:tc>
        <w:tc>
          <w:tcPr>
            <w:tcW w:w="110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7"/>
                <w:szCs w:val="7"/>
                <w:color w:val="auto"/>
              </w:rPr>
              <w:t>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178040" cy="1143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0"/>
          <w:szCs w:val="10"/>
          <w:color w:val="auto"/>
        </w:rPr>
        <w:t>SHARE CAPITAL</w:t>
      </w:r>
    </w:p>
    <w:p>
      <w:pPr>
        <w:spacing w:after="0"/>
        <w:rPr>
          <w:sz w:val="20"/>
          <w:szCs w:val="20"/>
          <w:color w:val="auto"/>
        </w:rPr>
      </w:pPr>
      <w:r>
        <w:rPr>
          <w:rFonts w:ascii="Arial" w:cs="Arial" w:eastAsia="Arial" w:hAnsi="Arial"/>
          <w:sz w:val="10"/>
          <w:szCs w:val="10"/>
          <w:color w:val="auto"/>
        </w:rPr>
        <w:t>The issued and fully paid share capital of the Company at February 12, 2021,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3451860" cy="2286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51860" cy="22860"/>
                    </a:xfrm>
                    <a:prstGeom prst="rect">
                      <a:avLst/>
                    </a:prstGeom>
                    <a:noFill/>
                  </pic:spPr>
                </pic:pic>
              </a:graphicData>
            </a:graphic>
          </wp:anchor>
        </w:drawing>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3000" w:type="dxa"/>
            <w:vAlign w:val="bottom"/>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Issued and fully paid</w:t>
            </w:r>
          </w:p>
        </w:tc>
      </w:tr>
      <w:tr>
        <w:trPr>
          <w:trHeight w:val="117"/>
        </w:trPr>
        <w:tc>
          <w:tcPr>
            <w:tcW w:w="30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Number</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Nominal value</w:t>
            </w:r>
          </w:p>
        </w:tc>
      </w:tr>
      <w:tr>
        <w:trPr>
          <w:trHeight w:val="113"/>
        </w:trPr>
        <w:tc>
          <w:tcPr>
            <w:tcW w:w="3000" w:type="dxa"/>
            <w:vAlign w:val="bottom"/>
          </w:tcPr>
          <w:p>
            <w:pPr>
              <w:spacing w:after="0" w:line="113" w:lineRule="exact"/>
              <w:rPr>
                <w:sz w:val="20"/>
                <w:szCs w:val="20"/>
                <w:color w:val="auto"/>
              </w:rPr>
            </w:pPr>
            <w:r>
              <w:rPr>
                <w:rFonts w:ascii="Arial" w:cs="Arial" w:eastAsia="Arial" w:hAnsi="Arial"/>
                <w:sz w:val="10"/>
                <w:szCs w:val="10"/>
                <w:color w:val="auto"/>
              </w:rPr>
              <w:t>Ordinary shares of €0.07 each</w:t>
            </w: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23"/>
        </w:trPr>
        <w:tc>
          <w:tcPr>
            <w:tcW w:w="3000" w:type="dxa"/>
            <w:vAlign w:val="bottom"/>
          </w:tcPr>
          <w:p>
            <w:pPr>
              <w:ind w:left="140"/>
              <w:spacing w:after="0"/>
              <w:rPr>
                <w:sz w:val="20"/>
                <w:szCs w:val="20"/>
                <w:color w:val="auto"/>
              </w:rPr>
            </w:pPr>
            <w:r>
              <w:rPr>
                <w:rFonts w:ascii="Arial" w:cs="Arial" w:eastAsia="Arial" w:hAnsi="Arial"/>
                <w:sz w:val="10"/>
                <w:szCs w:val="10"/>
                <w:color w:val="auto"/>
              </w:rPr>
              <w:t>A shares</w:t>
            </w:r>
          </w:p>
        </w:tc>
        <w:tc>
          <w:tcPr>
            <w:tcW w:w="1420" w:type="dxa"/>
            <w:vAlign w:val="bottom"/>
          </w:tcPr>
          <w:p>
            <w:pPr>
              <w:jc w:val="right"/>
              <w:ind w:right="192"/>
              <w:spacing w:after="0"/>
              <w:rPr>
                <w:sz w:val="20"/>
                <w:szCs w:val="20"/>
                <w:color w:val="auto"/>
              </w:rPr>
            </w:pPr>
            <w:r>
              <w:rPr>
                <w:rFonts w:ascii="Arial" w:cs="Arial" w:eastAsia="Arial" w:hAnsi="Arial"/>
                <w:sz w:val="10"/>
                <w:szCs w:val="10"/>
                <w:color w:val="auto"/>
              </w:rPr>
              <w:t>4,101,239,499</w:t>
            </w:r>
          </w:p>
        </w:tc>
        <w:tc>
          <w:tcPr>
            <w:tcW w:w="1000" w:type="dxa"/>
            <w:vAlign w:val="bottom"/>
          </w:tcPr>
          <w:p>
            <w:pPr>
              <w:jc w:val="right"/>
              <w:spacing w:after="0"/>
              <w:rPr>
                <w:sz w:val="20"/>
                <w:szCs w:val="20"/>
                <w:color w:val="auto"/>
              </w:rPr>
            </w:pPr>
            <w:r>
              <w:rPr>
                <w:rFonts w:ascii="Arial" w:cs="Arial" w:eastAsia="Arial" w:hAnsi="Arial"/>
                <w:sz w:val="10"/>
                <w:szCs w:val="10"/>
                <w:color w:val="auto"/>
              </w:rPr>
              <w:t>€287,086,765</w:t>
            </w:r>
          </w:p>
        </w:tc>
      </w:tr>
      <w:tr>
        <w:trPr>
          <w:trHeight w:val="126"/>
        </w:trPr>
        <w:tc>
          <w:tcPr>
            <w:tcW w:w="3000" w:type="dxa"/>
            <w:vAlign w:val="bottom"/>
          </w:tcPr>
          <w:p>
            <w:pPr>
              <w:ind w:left="140"/>
              <w:spacing w:after="0"/>
              <w:rPr>
                <w:sz w:val="20"/>
                <w:szCs w:val="20"/>
                <w:color w:val="auto"/>
              </w:rPr>
            </w:pPr>
            <w:r>
              <w:rPr>
                <w:rFonts w:ascii="Arial" w:cs="Arial" w:eastAsia="Arial" w:hAnsi="Arial"/>
                <w:sz w:val="10"/>
                <w:szCs w:val="10"/>
                <w:color w:val="auto"/>
              </w:rPr>
              <w:t>B shares</w:t>
            </w:r>
          </w:p>
        </w:tc>
        <w:tc>
          <w:tcPr>
            <w:tcW w:w="1420" w:type="dxa"/>
            <w:vAlign w:val="bottom"/>
          </w:tcPr>
          <w:p>
            <w:pPr>
              <w:jc w:val="right"/>
              <w:ind w:right="192"/>
              <w:spacing w:after="0"/>
              <w:rPr>
                <w:sz w:val="20"/>
                <w:szCs w:val="20"/>
                <w:color w:val="auto"/>
              </w:rPr>
            </w:pPr>
            <w:r>
              <w:rPr>
                <w:rFonts w:ascii="Arial" w:cs="Arial" w:eastAsia="Arial" w:hAnsi="Arial"/>
                <w:sz w:val="10"/>
                <w:szCs w:val="10"/>
                <w:color w:val="auto"/>
              </w:rPr>
              <w:t>3,706,183,836</w:t>
            </w:r>
          </w:p>
        </w:tc>
        <w:tc>
          <w:tcPr>
            <w:tcW w:w="1000" w:type="dxa"/>
            <w:vAlign w:val="bottom"/>
          </w:tcPr>
          <w:p>
            <w:pPr>
              <w:jc w:val="right"/>
              <w:spacing w:after="0"/>
              <w:rPr>
                <w:sz w:val="20"/>
                <w:szCs w:val="20"/>
                <w:color w:val="auto"/>
              </w:rPr>
            </w:pPr>
            <w:r>
              <w:rPr>
                <w:rFonts w:ascii="Arial" w:cs="Arial" w:eastAsia="Arial" w:hAnsi="Arial"/>
                <w:sz w:val="10"/>
                <w:szCs w:val="10"/>
                <w:color w:val="auto"/>
              </w:rPr>
              <w:t>€259,432,869</w:t>
            </w:r>
          </w:p>
        </w:tc>
      </w:tr>
      <w:tr>
        <w:trPr>
          <w:trHeight w:val="130"/>
        </w:trPr>
        <w:tc>
          <w:tcPr>
            <w:tcW w:w="30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Sterling deferred shares of £1 each</w:t>
            </w:r>
          </w:p>
        </w:tc>
        <w:tc>
          <w:tcPr>
            <w:tcW w:w="14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50,000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£50,000</w:t>
            </w:r>
          </w:p>
        </w:tc>
      </w:tr>
    </w:tbl>
    <w:p>
      <w:pPr>
        <w:spacing w:after="0" w:line="213" w:lineRule="exact"/>
        <w:rPr>
          <w:sz w:val="20"/>
          <w:szCs w:val="20"/>
          <w:color w:val="auto"/>
        </w:rPr>
      </w:pPr>
    </w:p>
    <w:p>
      <w:pPr>
        <w:spacing w:after="0" w:line="232" w:lineRule="auto"/>
        <w:rPr>
          <w:sz w:val="20"/>
          <w:szCs w:val="20"/>
          <w:color w:val="auto"/>
        </w:rPr>
      </w:pPr>
      <w:r>
        <w:rPr>
          <w:rFonts w:ascii="Arial" w:cs="Arial" w:eastAsia="Arial" w:hAnsi="Arial"/>
          <w:sz w:val="10"/>
          <w:szCs w:val="10"/>
          <w:color w:val="auto"/>
        </w:rPr>
        <w:t>The Directors may only allot new ordinary shares if they have authority from shareholders to do so. The Company seeks to renew this authority annually at its AGM. Under the resolution passed at the Company’s 2020 AGM, the Directors were granted authority to allot ordinary shares up to an aggregate nominal amount equivalent to approximately one-third of the issued ordinary share capital of the Company (in line with the guidelines issued by institutional investors).</w:t>
      </w:r>
    </w:p>
    <w:p>
      <w:pPr>
        <w:spacing w:after="0" w:line="149" w:lineRule="exact"/>
        <w:rPr>
          <w:sz w:val="20"/>
          <w:szCs w:val="20"/>
          <w:color w:val="auto"/>
        </w:rPr>
      </w:pPr>
    </w:p>
    <w:p>
      <w:pPr>
        <w:jc w:val="both"/>
        <w:ind w:right="60"/>
        <w:spacing w:after="0" w:line="234" w:lineRule="auto"/>
        <w:rPr>
          <w:sz w:val="20"/>
          <w:szCs w:val="20"/>
          <w:color w:val="auto"/>
        </w:rPr>
      </w:pPr>
      <w:r>
        <w:rPr>
          <w:rFonts w:ascii="Arial" w:cs="Arial" w:eastAsia="Arial" w:hAnsi="Arial"/>
          <w:sz w:val="10"/>
          <w:szCs w:val="10"/>
          <w:color w:val="auto"/>
        </w:rPr>
        <w:t>The following is a summary of the material terms of the Company’s ordinary shares, including brief descriptions of the provisions contained in the Articles of Association (the Articles) and applicable laws of England and Wales in effect on the date of this document. This summary does not purport to include complete statements of these provisions:</w:t>
      </w:r>
    </w:p>
    <w:p>
      <w:pPr>
        <w:spacing w:after="0" w:line="150" w:lineRule="exact"/>
        <w:rPr>
          <w:sz w:val="20"/>
          <w:szCs w:val="20"/>
          <w:color w:val="auto"/>
        </w:rPr>
      </w:pPr>
    </w:p>
    <w:p>
      <w:pPr>
        <w:ind w:left="120" w:right="160" w:hanging="111"/>
        <w:spacing w:after="0" w:line="233" w:lineRule="auto"/>
        <w:tabs>
          <w:tab w:leader="none" w:pos="118" w:val="left"/>
        </w:tabs>
        <w:numPr>
          <w:ilvl w:val="0"/>
          <w:numId w:val="199"/>
        </w:numPr>
        <w:rPr>
          <w:rFonts w:ascii="Arial" w:cs="Arial" w:eastAsia="Arial" w:hAnsi="Arial"/>
          <w:sz w:val="10"/>
          <w:szCs w:val="10"/>
          <w:color w:val="auto"/>
        </w:rPr>
      </w:pPr>
      <w:r>
        <w:rPr>
          <w:rFonts w:ascii="Arial" w:cs="Arial" w:eastAsia="Arial" w:hAnsi="Arial"/>
          <w:sz w:val="10"/>
          <w:szCs w:val="10"/>
          <w:color w:val="auto"/>
        </w:rPr>
        <w:t>upon issuance, A and B shares are fully paid and free from all liens, equities, charges, encumbrances and other interest of the Company and not subject to calls of any kind;</w:t>
      </w:r>
    </w:p>
    <w:p>
      <w:pPr>
        <w:ind w:left="120" w:hanging="111"/>
        <w:spacing w:after="0" w:line="225" w:lineRule="auto"/>
        <w:tabs>
          <w:tab w:leader="none" w:pos="120" w:val="left"/>
        </w:tabs>
        <w:numPr>
          <w:ilvl w:val="0"/>
          <w:numId w:val="199"/>
        </w:numPr>
        <w:rPr>
          <w:rFonts w:ascii="Arial" w:cs="Arial" w:eastAsia="Arial" w:hAnsi="Arial"/>
          <w:sz w:val="10"/>
          <w:szCs w:val="10"/>
          <w:color w:val="auto"/>
        </w:rPr>
      </w:pPr>
      <w:r>
        <w:rPr>
          <w:rFonts w:ascii="Arial" w:cs="Arial" w:eastAsia="Arial" w:hAnsi="Arial"/>
          <w:sz w:val="10"/>
          <w:szCs w:val="10"/>
          <w:color w:val="auto"/>
        </w:rPr>
        <w:t>all A and B shares rank equally for all dividends and distributions on ordinary share capital; and</w:t>
      </w:r>
    </w:p>
    <w:p>
      <w:pPr>
        <w:ind w:left="120" w:right="20" w:hanging="111"/>
        <w:spacing w:after="0" w:line="281" w:lineRule="auto"/>
        <w:tabs>
          <w:tab w:leader="none" w:pos="118" w:val="left"/>
        </w:tabs>
        <w:numPr>
          <w:ilvl w:val="0"/>
          <w:numId w:val="199"/>
        </w:numPr>
        <w:rPr>
          <w:rFonts w:ascii="Arial" w:cs="Arial" w:eastAsia="Arial" w:hAnsi="Arial"/>
          <w:sz w:val="8"/>
          <w:szCs w:val="8"/>
          <w:color w:val="auto"/>
        </w:rPr>
      </w:pPr>
      <w:r>
        <w:rPr>
          <w:rFonts w:ascii="Arial" w:cs="Arial" w:eastAsia="Arial" w:hAnsi="Arial"/>
          <w:sz w:val="8"/>
          <w:szCs w:val="8"/>
          <w:color w:val="auto"/>
        </w:rPr>
        <w:t>A and B shares are admitted to the Official List of the UK Financial Conduct Authority and to trading on the market for listed securities of the London Stock Exchange. A and B shares are also admitted to trading on Euronext Amsterdam. A and B ADSs are listed on the</w:t>
      </w:r>
    </w:p>
    <w:p>
      <w:pPr>
        <w:ind w:left="120"/>
        <w:spacing w:after="0" w:line="236" w:lineRule="auto"/>
        <w:rPr>
          <w:rFonts w:ascii="Arial" w:cs="Arial" w:eastAsia="Arial" w:hAnsi="Arial"/>
          <w:sz w:val="8"/>
          <w:szCs w:val="8"/>
          <w:color w:val="auto"/>
        </w:rPr>
      </w:pPr>
      <w:r>
        <w:rPr>
          <w:rFonts w:ascii="Arial" w:cs="Arial" w:eastAsia="Arial" w:hAnsi="Arial"/>
          <w:sz w:val="10"/>
          <w:szCs w:val="10"/>
          <w:color w:val="auto"/>
        </w:rPr>
        <w:t>New York Stock Exchange.</w:t>
      </w:r>
    </w:p>
    <w:p>
      <w:pPr>
        <w:spacing w:after="0" w:line="149" w:lineRule="exact"/>
        <w:rPr>
          <w:sz w:val="20"/>
          <w:szCs w:val="20"/>
          <w:color w:val="auto"/>
        </w:rPr>
      </w:pPr>
    </w:p>
    <w:p>
      <w:pPr>
        <w:ind w:right="80"/>
        <w:spacing w:after="0" w:line="358" w:lineRule="auto"/>
        <w:rPr>
          <w:sz w:val="20"/>
          <w:szCs w:val="20"/>
          <w:color w:val="auto"/>
        </w:rPr>
      </w:pPr>
      <w:r>
        <w:rPr>
          <w:rFonts w:ascii="Arial" w:cs="Arial" w:eastAsia="Arial" w:hAnsi="Arial"/>
          <w:sz w:val="8"/>
          <w:szCs w:val="8"/>
          <w:color w:val="auto"/>
        </w:rPr>
        <w:t>At December 31, 2020, trusts and trust-like entities holding shares for the benefit of employee share plans of Shell held (directly and indirectly) 25 million shares of the Company with an aggregate market value of $526 million and an aggregate nominal value of €2 million.</w:t>
      </w:r>
    </w:p>
    <w:p>
      <w:pPr>
        <w:sectPr>
          <w:pgSz w:w="11900" w:h="16838" w:orient="portrait"/>
          <w:cols w:equalWidth="0" w:num="2">
            <w:col w:w="5648" w:space="80"/>
            <w:col w:w="5460"/>
          </w:cols>
          <w:pgMar w:left="292" w:top="644" w:right="419" w:bottom="1440" w:gutter="0" w:footer="0" w:header="0"/>
        </w:sectPr>
      </w:pPr>
    </w:p>
    <w:bookmarkStart w:id="239" w:name="page240"/>
    <w:bookmarkEnd w:id="239"/>
    <w:p>
      <w:pPr>
        <w:ind w:left="8"/>
        <w:spacing w:after="0"/>
        <w:rPr>
          <w:sz w:val="20"/>
          <w:szCs w:val="20"/>
          <w:color w:val="auto"/>
        </w:rPr>
      </w:pPr>
      <w:r>
        <w:rPr>
          <w:rFonts w:ascii="Arial" w:cs="Arial" w:eastAsia="Arial" w:hAnsi="Arial"/>
          <w:sz w:val="10"/>
          <w:szCs w:val="10"/>
          <w:color w:val="auto"/>
        </w:rPr>
        <w:t>SIGNIFICANT SHAREHOLDINGS</w:t>
      </w:r>
    </w:p>
    <w:p>
      <w:pPr>
        <w:spacing w:after="0" w:line="200" w:lineRule="exact"/>
        <w:rPr>
          <w:sz w:val="20"/>
          <w:szCs w:val="20"/>
          <w:color w:val="auto"/>
        </w:rPr>
      </w:pPr>
    </w:p>
    <w:p>
      <w:pPr>
        <w:spacing w:after="0" w:line="288" w:lineRule="exact"/>
        <w:rPr>
          <w:sz w:val="20"/>
          <w:szCs w:val="20"/>
          <w:color w:val="auto"/>
        </w:rPr>
      </w:pPr>
    </w:p>
    <w:p>
      <w:pPr>
        <w:ind w:left="8"/>
        <w:spacing w:after="0"/>
        <w:rPr>
          <w:sz w:val="20"/>
          <w:szCs w:val="20"/>
          <w:color w:val="auto"/>
        </w:rPr>
      </w:pPr>
      <w:r>
        <w:rPr>
          <w:rFonts w:ascii="Arial" w:cs="Arial" w:eastAsia="Arial" w:hAnsi="Arial"/>
          <w:sz w:val="10"/>
          <w:szCs w:val="10"/>
          <w:color w:val="auto"/>
        </w:rPr>
        <w:t>Significant shareholdings</w:t>
      </w:r>
    </w:p>
    <w:p>
      <w:pPr>
        <w:ind w:left="8"/>
        <w:spacing w:after="0"/>
        <w:rPr>
          <w:sz w:val="20"/>
          <w:szCs w:val="20"/>
          <w:color w:val="auto"/>
        </w:rPr>
      </w:pPr>
      <w:r>
        <w:rPr>
          <w:rFonts w:ascii="Arial" w:cs="Arial" w:eastAsia="Arial" w:hAnsi="Arial"/>
          <w:sz w:val="10"/>
          <w:szCs w:val="10"/>
          <w:color w:val="auto"/>
        </w:rPr>
        <w:t>Interests of investors with 3% or more of A and B shares combined as at February 12, 2021 are given below. The information provided includes the percentage of issued capital as at February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55180" cy="2286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5180" cy="22860"/>
                    </a:xfrm>
                    <a:prstGeom prst="rect">
                      <a:avLst/>
                    </a:prstGeom>
                    <a:noFill/>
                  </pic:spPr>
                </pic:pic>
              </a:graphicData>
            </a:graphic>
          </wp:anchor>
        </w:drawing>
      </w:r>
    </w:p>
    <w:p>
      <w:pPr>
        <w:spacing w:after="0" w:line="236"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31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0"/>
                <w:szCs w:val="10"/>
                <w:color w:val="auto"/>
              </w:rPr>
              <w:t>A shares</w:t>
            </w:r>
          </w:p>
        </w:tc>
        <w:tc>
          <w:tcPr>
            <w:tcW w:w="1800" w:type="dxa"/>
            <w:vAlign w:val="bottom"/>
          </w:tcPr>
          <w:p>
            <w:pPr>
              <w:spacing w:after="0"/>
              <w:rPr>
                <w:sz w:val="10"/>
                <w:szCs w:val="1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0"/>
                <w:szCs w:val="10"/>
                <w:color w:val="auto"/>
              </w:rPr>
              <w:t>B shares</w:t>
            </w:r>
          </w:p>
        </w:tc>
        <w:tc>
          <w:tcPr>
            <w:tcW w:w="1860" w:type="dxa"/>
            <w:vAlign w:val="bottom"/>
          </w:tcPr>
          <w:p>
            <w:pPr>
              <w:spacing w:after="0"/>
              <w:rPr>
                <w:sz w:val="10"/>
                <w:szCs w:val="10"/>
                <w:color w:val="auto"/>
              </w:rPr>
            </w:pPr>
          </w:p>
        </w:tc>
        <w:tc>
          <w:tcPr>
            <w:tcW w:w="780" w:type="dxa"/>
            <w:vAlign w:val="bottom"/>
          </w:tcPr>
          <w:p>
            <w:pPr>
              <w:ind w:left="580"/>
              <w:spacing w:after="0"/>
              <w:rPr>
                <w:sz w:val="20"/>
                <w:szCs w:val="20"/>
                <w:color w:val="auto"/>
              </w:rPr>
            </w:pPr>
            <w:r>
              <w:rPr>
                <w:rFonts w:ascii="Arial" w:cs="Arial" w:eastAsia="Arial" w:hAnsi="Arial"/>
                <w:sz w:val="10"/>
                <w:szCs w:val="10"/>
                <w:color w:val="auto"/>
                <w:w w:val="80"/>
              </w:rPr>
              <w:t>Total</w:t>
            </w:r>
          </w:p>
        </w:tc>
      </w:tr>
      <w:tr>
        <w:trPr>
          <w:trHeight w:val="117"/>
        </w:trPr>
        <w:tc>
          <w:tcPr>
            <w:tcW w:w="3140" w:type="dxa"/>
            <w:vAlign w:val="bottom"/>
            <w:tcBorders>
              <w:bottom w:val="single" w:sz="8" w:color="auto"/>
            </w:tcBorders>
          </w:tcPr>
          <w:p>
            <w:pPr>
              <w:spacing w:after="0"/>
              <w:rPr>
                <w:sz w:val="10"/>
                <w:szCs w:val="10"/>
                <w:color w:val="auto"/>
              </w:rPr>
            </w:pPr>
          </w:p>
        </w:tc>
        <w:tc>
          <w:tcPr>
            <w:tcW w:w="18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0"/>
                <w:szCs w:val="10"/>
                <w:color w:val="auto"/>
              </w:rPr>
              <w:t>Number</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10"/>
                <w:szCs w:val="10"/>
                <w:color w:val="auto"/>
              </w:rPr>
            </w:pPr>
          </w:p>
        </w:tc>
        <w:tc>
          <w:tcPr>
            <w:tcW w:w="18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0"/>
                <w:szCs w:val="10"/>
                <w:color w:val="auto"/>
              </w:rPr>
              <w:t>Number</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10"/>
                <w:szCs w:val="10"/>
                <w:color w:val="auto"/>
              </w:rPr>
            </w:pPr>
          </w:p>
        </w:tc>
        <w:tc>
          <w:tcPr>
            <w:tcW w:w="18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0"/>
                <w:szCs w:val="10"/>
                <w:color w:val="auto"/>
              </w:rPr>
              <w:t>Number</w:t>
            </w:r>
          </w:p>
        </w:tc>
        <w:tc>
          <w:tcPr>
            <w:tcW w:w="7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0"/>
                <w:szCs w:val="10"/>
                <w:color w:val="auto"/>
                <w:w w:val="89"/>
              </w:rPr>
              <w:t>%</w:t>
            </w:r>
          </w:p>
        </w:tc>
      </w:tr>
      <w:tr>
        <w:trPr>
          <w:trHeight w:val="113"/>
        </w:trPr>
        <w:tc>
          <w:tcPr>
            <w:tcW w:w="3140" w:type="dxa"/>
            <w:vAlign w:val="bottom"/>
          </w:tcPr>
          <w:p>
            <w:pPr>
              <w:spacing w:after="0" w:line="113" w:lineRule="exact"/>
              <w:rPr>
                <w:sz w:val="20"/>
                <w:szCs w:val="20"/>
                <w:color w:val="auto"/>
              </w:rPr>
            </w:pPr>
            <w:r>
              <w:rPr>
                <w:rFonts w:ascii="Arial" w:cs="Arial" w:eastAsia="Arial" w:hAnsi="Arial"/>
                <w:sz w:val="10"/>
                <w:szCs w:val="10"/>
                <w:color w:val="auto"/>
              </w:rPr>
              <w:t>BlackRock Inc. [A]</w:t>
            </w:r>
          </w:p>
        </w:tc>
        <w:tc>
          <w:tcPr>
            <w:tcW w:w="1800" w:type="dxa"/>
            <w:vAlign w:val="bottom"/>
          </w:tcPr>
          <w:p>
            <w:pPr>
              <w:jc w:val="right"/>
              <w:ind w:right="472"/>
              <w:spacing w:after="0" w:line="113" w:lineRule="exact"/>
              <w:rPr>
                <w:sz w:val="20"/>
                <w:szCs w:val="20"/>
                <w:color w:val="auto"/>
              </w:rPr>
            </w:pPr>
            <w:r>
              <w:rPr>
                <w:rFonts w:ascii="Arial" w:cs="Arial" w:eastAsia="Arial" w:hAnsi="Arial"/>
                <w:sz w:val="10"/>
                <w:szCs w:val="10"/>
                <w:color w:val="auto"/>
              </w:rPr>
              <w:t>308,886,474</w:t>
            </w: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7.50</w:t>
            </w:r>
          </w:p>
        </w:tc>
        <w:tc>
          <w:tcPr>
            <w:tcW w:w="100" w:type="dxa"/>
            <w:vAlign w:val="bottom"/>
          </w:tcPr>
          <w:p>
            <w:pPr>
              <w:spacing w:after="0"/>
              <w:rPr>
                <w:sz w:val="9"/>
                <w:szCs w:val="9"/>
                <w:color w:val="auto"/>
              </w:rPr>
            </w:pPr>
          </w:p>
        </w:tc>
        <w:tc>
          <w:tcPr>
            <w:tcW w:w="1800" w:type="dxa"/>
            <w:vAlign w:val="bottom"/>
          </w:tcPr>
          <w:p>
            <w:pPr>
              <w:jc w:val="right"/>
              <w:ind w:right="472"/>
              <w:spacing w:after="0" w:line="113" w:lineRule="exact"/>
              <w:rPr>
                <w:sz w:val="20"/>
                <w:szCs w:val="20"/>
                <w:color w:val="auto"/>
              </w:rPr>
            </w:pPr>
            <w:r>
              <w:rPr>
                <w:rFonts w:ascii="Arial" w:cs="Arial" w:eastAsia="Arial" w:hAnsi="Arial"/>
                <w:sz w:val="10"/>
                <w:szCs w:val="10"/>
                <w:color w:val="auto"/>
              </w:rPr>
              <w:t>284,692,962</w:t>
            </w: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7.70</w:t>
            </w:r>
          </w:p>
        </w:tc>
        <w:tc>
          <w:tcPr>
            <w:tcW w:w="100" w:type="dxa"/>
            <w:vAlign w:val="bottom"/>
          </w:tcPr>
          <w:p>
            <w:pPr>
              <w:spacing w:after="0"/>
              <w:rPr>
                <w:sz w:val="9"/>
                <w:szCs w:val="9"/>
                <w:color w:val="auto"/>
              </w:rPr>
            </w:pPr>
          </w:p>
        </w:tc>
        <w:tc>
          <w:tcPr>
            <w:tcW w:w="1860" w:type="dxa"/>
            <w:vAlign w:val="bottom"/>
          </w:tcPr>
          <w:p>
            <w:pPr>
              <w:jc w:val="right"/>
              <w:ind w:right="532"/>
              <w:spacing w:after="0" w:line="113" w:lineRule="exact"/>
              <w:rPr>
                <w:sz w:val="20"/>
                <w:szCs w:val="20"/>
                <w:color w:val="auto"/>
              </w:rPr>
            </w:pPr>
            <w:r>
              <w:rPr>
                <w:rFonts w:ascii="Arial" w:cs="Arial" w:eastAsia="Arial" w:hAnsi="Arial"/>
                <w:sz w:val="10"/>
                <w:szCs w:val="10"/>
                <w:color w:val="auto"/>
              </w:rPr>
              <w:t>593,579,436</w:t>
            </w:r>
          </w:p>
        </w:tc>
        <w:tc>
          <w:tcPr>
            <w:tcW w:w="780" w:type="dxa"/>
            <w:vAlign w:val="bottom"/>
          </w:tcPr>
          <w:p>
            <w:pPr>
              <w:ind w:left="580"/>
              <w:spacing w:after="0" w:line="113" w:lineRule="exact"/>
              <w:rPr>
                <w:sz w:val="20"/>
                <w:szCs w:val="20"/>
                <w:color w:val="auto"/>
              </w:rPr>
            </w:pPr>
            <w:r>
              <w:rPr>
                <w:rFonts w:ascii="Arial" w:cs="Arial" w:eastAsia="Arial" w:hAnsi="Arial"/>
                <w:sz w:val="10"/>
                <w:szCs w:val="10"/>
                <w:color w:val="auto"/>
                <w:w w:val="92"/>
              </w:rPr>
              <w:t>7.60</w:t>
            </w:r>
          </w:p>
        </w:tc>
      </w:tr>
      <w:tr>
        <w:trPr>
          <w:trHeight w:val="141"/>
        </w:trPr>
        <w:tc>
          <w:tcPr>
            <w:tcW w:w="3140" w:type="dxa"/>
            <w:vAlign w:val="bottom"/>
          </w:tcPr>
          <w:p>
            <w:pPr>
              <w:spacing w:after="0"/>
              <w:rPr>
                <w:sz w:val="20"/>
                <w:szCs w:val="20"/>
                <w:color w:val="auto"/>
              </w:rPr>
            </w:pPr>
            <w:r>
              <w:rPr>
                <w:rFonts w:ascii="Arial" w:cs="Arial" w:eastAsia="Arial" w:hAnsi="Arial"/>
                <w:sz w:val="10"/>
                <w:szCs w:val="10"/>
                <w:color w:val="auto"/>
              </w:rPr>
              <w:t>The Capital Group Companies, Inc.</w:t>
            </w: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42,482,002</w:t>
            </w:r>
          </w:p>
        </w:tc>
        <w:tc>
          <w:tcPr>
            <w:tcW w:w="840" w:type="dxa"/>
            <w:vAlign w:val="bottom"/>
          </w:tcPr>
          <w:p>
            <w:pPr>
              <w:jc w:val="right"/>
              <w:spacing w:after="0"/>
              <w:rPr>
                <w:sz w:val="20"/>
                <w:szCs w:val="20"/>
                <w:color w:val="auto"/>
              </w:rPr>
            </w:pPr>
            <w:r>
              <w:rPr>
                <w:rFonts w:ascii="Arial" w:cs="Arial" w:eastAsia="Arial" w:hAnsi="Arial"/>
                <w:sz w:val="10"/>
                <w:szCs w:val="10"/>
                <w:color w:val="auto"/>
              </w:rPr>
              <w:t>1.04</w:t>
            </w:r>
          </w:p>
        </w:tc>
        <w:tc>
          <w:tcPr>
            <w:tcW w:w="100" w:type="dxa"/>
            <w:vAlign w:val="bottom"/>
          </w:tcPr>
          <w:p>
            <w:pPr>
              <w:spacing w:after="0"/>
              <w:rPr>
                <w:sz w:val="12"/>
                <w:szCs w:val="12"/>
                <w:color w:val="auto"/>
              </w:rPr>
            </w:pPr>
          </w:p>
        </w:tc>
        <w:tc>
          <w:tcPr>
            <w:tcW w:w="1800" w:type="dxa"/>
            <w:vAlign w:val="bottom"/>
          </w:tcPr>
          <w:p>
            <w:pPr>
              <w:jc w:val="right"/>
              <w:ind w:right="472"/>
              <w:spacing w:after="0"/>
              <w:rPr>
                <w:sz w:val="20"/>
                <w:szCs w:val="20"/>
                <w:color w:val="auto"/>
              </w:rPr>
            </w:pPr>
            <w:r>
              <w:rPr>
                <w:rFonts w:ascii="Arial" w:cs="Arial" w:eastAsia="Arial" w:hAnsi="Arial"/>
                <w:sz w:val="10"/>
                <w:szCs w:val="10"/>
                <w:color w:val="auto"/>
              </w:rPr>
              <w:t>349,161,475</w:t>
            </w:r>
          </w:p>
        </w:tc>
        <w:tc>
          <w:tcPr>
            <w:tcW w:w="840" w:type="dxa"/>
            <w:vAlign w:val="bottom"/>
          </w:tcPr>
          <w:p>
            <w:pPr>
              <w:jc w:val="right"/>
              <w:spacing w:after="0"/>
              <w:rPr>
                <w:sz w:val="20"/>
                <w:szCs w:val="20"/>
                <w:color w:val="auto"/>
              </w:rPr>
            </w:pPr>
            <w:r>
              <w:rPr>
                <w:rFonts w:ascii="Arial" w:cs="Arial" w:eastAsia="Arial" w:hAnsi="Arial"/>
                <w:sz w:val="10"/>
                <w:szCs w:val="10"/>
                <w:color w:val="auto"/>
              </w:rPr>
              <w:t>9.42</w:t>
            </w:r>
          </w:p>
        </w:tc>
        <w:tc>
          <w:tcPr>
            <w:tcW w:w="100" w:type="dxa"/>
            <w:vAlign w:val="bottom"/>
          </w:tcPr>
          <w:p>
            <w:pPr>
              <w:spacing w:after="0"/>
              <w:rPr>
                <w:sz w:val="12"/>
                <w:szCs w:val="12"/>
                <w:color w:val="auto"/>
              </w:rPr>
            </w:pPr>
          </w:p>
        </w:tc>
        <w:tc>
          <w:tcPr>
            <w:tcW w:w="1860" w:type="dxa"/>
            <w:vAlign w:val="bottom"/>
          </w:tcPr>
          <w:p>
            <w:pPr>
              <w:jc w:val="right"/>
              <w:ind w:right="532"/>
              <w:spacing w:after="0"/>
              <w:rPr>
                <w:sz w:val="20"/>
                <w:szCs w:val="20"/>
                <w:color w:val="auto"/>
              </w:rPr>
            </w:pPr>
            <w:r>
              <w:rPr>
                <w:rFonts w:ascii="Arial" w:cs="Arial" w:eastAsia="Arial" w:hAnsi="Arial"/>
                <w:sz w:val="10"/>
                <w:szCs w:val="10"/>
                <w:color w:val="auto"/>
              </w:rPr>
              <w:t>391,643,477</w:t>
            </w:r>
          </w:p>
        </w:tc>
        <w:tc>
          <w:tcPr>
            <w:tcW w:w="780" w:type="dxa"/>
            <w:vAlign w:val="bottom"/>
          </w:tcPr>
          <w:p>
            <w:pPr>
              <w:ind w:left="580"/>
              <w:spacing w:after="0"/>
              <w:rPr>
                <w:sz w:val="20"/>
                <w:szCs w:val="20"/>
                <w:color w:val="auto"/>
              </w:rPr>
            </w:pPr>
            <w:r>
              <w:rPr>
                <w:rFonts w:ascii="Arial" w:cs="Arial" w:eastAsia="Arial" w:hAnsi="Arial"/>
                <w:sz w:val="10"/>
                <w:szCs w:val="10"/>
                <w:color w:val="auto"/>
                <w:w w:val="92"/>
              </w:rPr>
              <w:t>5.00</w:t>
            </w:r>
          </w:p>
        </w:tc>
      </w:tr>
      <w:tr>
        <w:trPr>
          <w:trHeight w:val="148"/>
        </w:trPr>
        <w:tc>
          <w:tcPr>
            <w:tcW w:w="3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Norges Bank (The Central Bank of Norway) [B]</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239,413,729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6.50</w:t>
            </w:r>
          </w:p>
        </w:tc>
        <w:tc>
          <w:tcPr>
            <w:tcW w:w="1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239,413,729</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0"/>
                <w:szCs w:val="10"/>
                <w:color w:val="auto"/>
                <w:w w:val="92"/>
              </w:rPr>
              <w:t>3.10</w:t>
            </w:r>
          </w:p>
        </w:tc>
      </w:tr>
    </w:tbl>
    <w:p>
      <w:pPr>
        <w:spacing w:after="0" w:line="47" w:lineRule="exact"/>
        <w:rPr>
          <w:sz w:val="20"/>
          <w:szCs w:val="20"/>
          <w:color w:val="auto"/>
        </w:rPr>
      </w:pPr>
    </w:p>
    <w:p>
      <w:pPr>
        <w:ind w:left="128" w:hanging="128"/>
        <w:spacing w:after="0"/>
        <w:tabs>
          <w:tab w:leader="none" w:pos="128" w:val="left"/>
        </w:tabs>
        <w:numPr>
          <w:ilvl w:val="0"/>
          <w:numId w:val="200"/>
        </w:numPr>
        <w:rPr>
          <w:rFonts w:ascii="Arial" w:cs="Arial" w:eastAsia="Arial" w:hAnsi="Arial"/>
          <w:sz w:val="7"/>
          <w:szCs w:val="7"/>
          <w:color w:val="auto"/>
        </w:rPr>
      </w:pPr>
      <w:r>
        <w:rPr>
          <w:rFonts w:ascii="Arial" w:cs="Arial" w:eastAsia="Arial" w:hAnsi="Arial"/>
          <w:sz w:val="7"/>
          <w:szCs w:val="7"/>
          <w:color w:val="auto"/>
        </w:rPr>
        <w:t>Information presented per Schedules 13G/A filed on February 1, 2021 and February 5, 2021.</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200"/>
        </w:numPr>
        <w:rPr>
          <w:rFonts w:ascii="Arial" w:cs="Arial" w:eastAsia="Arial" w:hAnsi="Arial"/>
          <w:sz w:val="7"/>
          <w:szCs w:val="7"/>
          <w:color w:val="auto"/>
        </w:rPr>
      </w:pPr>
      <w:r>
        <w:rPr>
          <w:rFonts w:ascii="Arial" w:cs="Arial" w:eastAsia="Arial" w:hAnsi="Arial"/>
          <w:sz w:val="7"/>
          <w:szCs w:val="7"/>
          <w:color w:val="auto"/>
        </w:rPr>
        <w:t>Information presented per Schedule 13G/A filed on February 10, 2021.</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0"/>
          <w:szCs w:val="10"/>
          <w:color w:val="auto"/>
        </w:rPr>
        <w:t>DIVIDENDS</w:t>
      </w:r>
    </w:p>
    <w:p>
      <w:pPr>
        <w:ind w:left="8"/>
        <w:spacing w:after="0"/>
        <w:rPr>
          <w:sz w:val="20"/>
          <w:szCs w:val="20"/>
          <w:color w:val="auto"/>
        </w:rPr>
      </w:pPr>
      <w:r>
        <w:rPr>
          <w:rFonts w:ascii="Arial" w:cs="Arial" w:eastAsia="Arial" w:hAnsi="Arial"/>
          <w:sz w:val="10"/>
          <w:szCs w:val="10"/>
          <w:color w:val="auto"/>
        </w:rPr>
        <w:t>The following tables show the dividends on each class of share and each class of ADS for the years 2016-2020.</w:t>
      </w:r>
    </w:p>
    <w:p>
      <w:pPr>
        <w:spacing w:after="0" w:line="5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680" w:type="dxa"/>
            <w:vAlign w:val="bottom"/>
            <w:tcBorders>
              <w:top w:val="single" w:sz="8" w:color="CDCDCD"/>
            </w:tcBorders>
          </w:tcPr>
          <w:p>
            <w:pPr>
              <w:ind w:left="20"/>
              <w:spacing w:after="0"/>
              <w:rPr>
                <w:sz w:val="20"/>
                <w:szCs w:val="20"/>
                <w:color w:val="auto"/>
              </w:rPr>
            </w:pPr>
            <w:r>
              <w:rPr>
                <w:rFonts w:ascii="Arial" w:cs="Arial" w:eastAsia="Arial" w:hAnsi="Arial"/>
                <w:sz w:val="10"/>
                <w:szCs w:val="10"/>
                <w:color w:val="auto"/>
              </w:rPr>
              <w:t>A and B shares</w:t>
            </w:r>
          </w:p>
        </w:tc>
        <w:tc>
          <w:tcPr>
            <w:tcW w:w="1320" w:type="dxa"/>
            <w:vAlign w:val="bottom"/>
            <w:tcBorders>
              <w:top w:val="single" w:sz="8" w:color="CDCDCD"/>
            </w:tcBorders>
          </w:tcPr>
          <w:p>
            <w:pPr>
              <w:spacing w:after="0"/>
              <w:rPr>
                <w:sz w:val="13"/>
                <w:szCs w:val="13"/>
                <w:color w:val="auto"/>
              </w:rPr>
            </w:pPr>
          </w:p>
        </w:tc>
        <w:tc>
          <w:tcPr>
            <w:tcW w:w="1860" w:type="dxa"/>
            <w:vAlign w:val="bottom"/>
            <w:tcBorders>
              <w:top w:val="single" w:sz="8" w:color="CDCDCD"/>
            </w:tcBorders>
          </w:tcPr>
          <w:p>
            <w:pPr>
              <w:spacing w:after="0"/>
              <w:rPr>
                <w:sz w:val="13"/>
                <w:szCs w:val="13"/>
                <w:color w:val="auto"/>
              </w:rPr>
            </w:pPr>
          </w:p>
        </w:tc>
        <w:tc>
          <w:tcPr>
            <w:tcW w:w="134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spacing w:after="0"/>
              <w:rPr>
                <w:sz w:val="13"/>
                <w:szCs w:val="13"/>
                <w:color w:val="auto"/>
              </w:rPr>
            </w:pPr>
          </w:p>
        </w:tc>
        <w:tc>
          <w:tcPr>
            <w:tcW w:w="76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w:t>
            </w:r>
          </w:p>
        </w:tc>
      </w:tr>
      <w:tr>
        <w:trPr>
          <w:trHeight w:val="127"/>
        </w:trPr>
        <w:tc>
          <w:tcPr>
            <w:tcW w:w="46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0"/>
                <w:szCs w:val="10"/>
                <w:color w:val="auto"/>
                <w:w w:val="80"/>
              </w:rPr>
              <w:t>2020</w:t>
            </w:r>
          </w:p>
        </w:tc>
        <w:tc>
          <w:tcPr>
            <w:tcW w:w="1860" w:type="dxa"/>
            <w:vAlign w:val="bottom"/>
            <w:tcBorders>
              <w:bottom w:val="single" w:sz="8" w:color="auto"/>
            </w:tcBorders>
          </w:tcPr>
          <w:p>
            <w:pPr>
              <w:ind w:left="1120"/>
              <w:spacing w:after="0"/>
              <w:rPr>
                <w:sz w:val="20"/>
                <w:szCs w:val="20"/>
                <w:color w:val="auto"/>
              </w:rPr>
            </w:pPr>
            <w:r>
              <w:rPr>
                <w:rFonts w:ascii="Arial" w:cs="Arial" w:eastAsia="Arial" w:hAnsi="Arial"/>
                <w:sz w:val="10"/>
                <w:szCs w:val="10"/>
                <w:color w:val="auto"/>
              </w:rPr>
              <w:t>2019</w:t>
            </w: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0"/>
                <w:szCs w:val="10"/>
                <w:color w:val="auto"/>
              </w:rPr>
              <w:t>2018</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2017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2016</w:t>
            </w:r>
          </w:p>
        </w:tc>
      </w:tr>
      <w:tr>
        <w:trPr>
          <w:trHeight w:val="114"/>
        </w:trPr>
        <w:tc>
          <w:tcPr>
            <w:tcW w:w="4680" w:type="dxa"/>
            <w:vAlign w:val="bottom"/>
          </w:tcPr>
          <w:p>
            <w:pPr>
              <w:ind w:left="20"/>
              <w:spacing w:after="0"/>
              <w:rPr>
                <w:sz w:val="20"/>
                <w:szCs w:val="20"/>
                <w:color w:val="auto"/>
              </w:rPr>
            </w:pPr>
            <w:r>
              <w:rPr>
                <w:rFonts w:ascii="Arial" w:cs="Arial" w:eastAsia="Arial" w:hAnsi="Arial"/>
                <w:sz w:val="10"/>
                <w:szCs w:val="10"/>
                <w:color w:val="auto"/>
              </w:rPr>
              <w:t>Q1</w:t>
            </w:r>
          </w:p>
        </w:tc>
        <w:tc>
          <w:tcPr>
            <w:tcW w:w="1320" w:type="dxa"/>
            <w:vAlign w:val="bottom"/>
            <w:shd w:val="clear" w:color="auto" w:fill="D9D9D9"/>
          </w:tcPr>
          <w:p>
            <w:pPr>
              <w:ind w:left="1100"/>
              <w:spacing w:after="0"/>
              <w:rPr>
                <w:sz w:val="20"/>
                <w:szCs w:val="20"/>
                <w:color w:val="auto"/>
              </w:rPr>
            </w:pPr>
            <w:r>
              <w:rPr>
                <w:rFonts w:ascii="Arial" w:cs="Arial" w:eastAsia="Arial" w:hAnsi="Arial"/>
                <w:sz w:val="10"/>
                <w:szCs w:val="10"/>
                <w:color w:val="auto"/>
              </w:rPr>
              <w:t>0.16</w:t>
            </w:r>
          </w:p>
        </w:tc>
        <w:tc>
          <w:tcPr>
            <w:tcW w:w="1860" w:type="dxa"/>
            <w:vAlign w:val="bottom"/>
          </w:tcPr>
          <w:p>
            <w:pPr>
              <w:ind w:left="1100"/>
              <w:spacing w:after="0"/>
              <w:rPr>
                <w:sz w:val="20"/>
                <w:szCs w:val="20"/>
                <w:color w:val="auto"/>
              </w:rPr>
            </w:pPr>
            <w:r>
              <w:rPr>
                <w:rFonts w:ascii="Arial" w:cs="Arial" w:eastAsia="Arial" w:hAnsi="Arial"/>
                <w:sz w:val="10"/>
                <w:szCs w:val="10"/>
                <w:color w:val="auto"/>
              </w:rPr>
              <w:t>0.47</w:t>
            </w:r>
          </w:p>
        </w:tc>
        <w:tc>
          <w:tcPr>
            <w:tcW w:w="1340" w:type="dxa"/>
            <w:vAlign w:val="bottom"/>
          </w:tcPr>
          <w:p>
            <w:pPr>
              <w:ind w:left="580"/>
              <w:spacing w:after="0"/>
              <w:rPr>
                <w:sz w:val="20"/>
                <w:szCs w:val="20"/>
                <w:color w:val="auto"/>
              </w:rPr>
            </w:pPr>
            <w:r>
              <w:rPr>
                <w:rFonts w:ascii="Arial" w:cs="Arial" w:eastAsia="Arial" w:hAnsi="Arial"/>
                <w:sz w:val="10"/>
                <w:szCs w:val="10"/>
                <w:color w:val="auto"/>
              </w:rPr>
              <w:t>0.47</w:t>
            </w:r>
          </w:p>
        </w:tc>
        <w:tc>
          <w:tcPr>
            <w:tcW w:w="1320" w:type="dxa"/>
            <w:vAlign w:val="bottom"/>
          </w:tcPr>
          <w:p>
            <w:pPr>
              <w:ind w:left="560"/>
              <w:spacing w:after="0"/>
              <w:rPr>
                <w:sz w:val="20"/>
                <w:szCs w:val="20"/>
                <w:color w:val="auto"/>
              </w:rPr>
            </w:pPr>
            <w:r>
              <w:rPr>
                <w:rFonts w:ascii="Arial" w:cs="Arial" w:eastAsia="Arial" w:hAnsi="Arial"/>
                <w:sz w:val="10"/>
                <w:szCs w:val="10"/>
                <w:color w:val="auto"/>
              </w:rPr>
              <w:t>0.47</w:t>
            </w:r>
          </w:p>
        </w:tc>
        <w:tc>
          <w:tcPr>
            <w:tcW w:w="760" w:type="dxa"/>
            <w:vAlign w:val="bottom"/>
          </w:tcPr>
          <w:p>
            <w:pPr>
              <w:jc w:val="right"/>
              <w:spacing w:after="0"/>
              <w:rPr>
                <w:sz w:val="20"/>
                <w:szCs w:val="20"/>
                <w:color w:val="auto"/>
              </w:rPr>
            </w:pPr>
            <w:r>
              <w:rPr>
                <w:rFonts w:ascii="Arial" w:cs="Arial" w:eastAsia="Arial" w:hAnsi="Arial"/>
                <w:sz w:val="10"/>
                <w:szCs w:val="10"/>
                <w:color w:val="auto"/>
              </w:rPr>
              <w:t>0.47</w:t>
            </w:r>
          </w:p>
        </w:tc>
      </w:tr>
      <w:tr>
        <w:trPr>
          <w:trHeight w:val="123"/>
        </w:trPr>
        <w:tc>
          <w:tcPr>
            <w:tcW w:w="4680" w:type="dxa"/>
            <w:vAlign w:val="bottom"/>
          </w:tcPr>
          <w:p>
            <w:pPr>
              <w:ind w:left="20"/>
              <w:spacing w:after="0"/>
              <w:rPr>
                <w:sz w:val="20"/>
                <w:szCs w:val="20"/>
                <w:color w:val="auto"/>
              </w:rPr>
            </w:pPr>
            <w:r>
              <w:rPr>
                <w:rFonts w:ascii="Arial" w:cs="Arial" w:eastAsia="Arial" w:hAnsi="Arial"/>
                <w:sz w:val="10"/>
                <w:szCs w:val="10"/>
                <w:color w:val="auto"/>
              </w:rPr>
              <w:t>Q2</w:t>
            </w:r>
          </w:p>
        </w:tc>
        <w:tc>
          <w:tcPr>
            <w:tcW w:w="1320" w:type="dxa"/>
            <w:vAlign w:val="bottom"/>
            <w:shd w:val="clear" w:color="auto" w:fill="D9D9D9"/>
          </w:tcPr>
          <w:p>
            <w:pPr>
              <w:ind w:left="1100"/>
              <w:spacing w:after="0"/>
              <w:rPr>
                <w:sz w:val="20"/>
                <w:szCs w:val="20"/>
                <w:color w:val="auto"/>
              </w:rPr>
            </w:pPr>
            <w:r>
              <w:rPr>
                <w:rFonts w:ascii="Arial" w:cs="Arial" w:eastAsia="Arial" w:hAnsi="Arial"/>
                <w:sz w:val="10"/>
                <w:szCs w:val="10"/>
                <w:color w:val="auto"/>
              </w:rPr>
              <w:t>0.16</w:t>
            </w:r>
          </w:p>
        </w:tc>
        <w:tc>
          <w:tcPr>
            <w:tcW w:w="1860" w:type="dxa"/>
            <w:vAlign w:val="bottom"/>
          </w:tcPr>
          <w:p>
            <w:pPr>
              <w:ind w:left="1100"/>
              <w:spacing w:after="0"/>
              <w:rPr>
                <w:sz w:val="20"/>
                <w:szCs w:val="20"/>
                <w:color w:val="auto"/>
              </w:rPr>
            </w:pPr>
            <w:r>
              <w:rPr>
                <w:rFonts w:ascii="Arial" w:cs="Arial" w:eastAsia="Arial" w:hAnsi="Arial"/>
                <w:sz w:val="10"/>
                <w:szCs w:val="10"/>
                <w:color w:val="auto"/>
              </w:rPr>
              <w:t>0.47</w:t>
            </w:r>
          </w:p>
        </w:tc>
        <w:tc>
          <w:tcPr>
            <w:tcW w:w="1340" w:type="dxa"/>
            <w:vAlign w:val="bottom"/>
          </w:tcPr>
          <w:p>
            <w:pPr>
              <w:ind w:left="580"/>
              <w:spacing w:after="0"/>
              <w:rPr>
                <w:sz w:val="20"/>
                <w:szCs w:val="20"/>
                <w:color w:val="auto"/>
              </w:rPr>
            </w:pPr>
            <w:r>
              <w:rPr>
                <w:rFonts w:ascii="Arial" w:cs="Arial" w:eastAsia="Arial" w:hAnsi="Arial"/>
                <w:sz w:val="10"/>
                <w:szCs w:val="10"/>
                <w:color w:val="auto"/>
              </w:rPr>
              <w:t>0.47</w:t>
            </w:r>
          </w:p>
        </w:tc>
        <w:tc>
          <w:tcPr>
            <w:tcW w:w="1320" w:type="dxa"/>
            <w:vAlign w:val="bottom"/>
          </w:tcPr>
          <w:p>
            <w:pPr>
              <w:ind w:left="560"/>
              <w:spacing w:after="0"/>
              <w:rPr>
                <w:sz w:val="20"/>
                <w:szCs w:val="20"/>
                <w:color w:val="auto"/>
              </w:rPr>
            </w:pPr>
            <w:r>
              <w:rPr>
                <w:rFonts w:ascii="Arial" w:cs="Arial" w:eastAsia="Arial" w:hAnsi="Arial"/>
                <w:sz w:val="10"/>
                <w:szCs w:val="10"/>
                <w:color w:val="auto"/>
              </w:rPr>
              <w:t>0.47</w:t>
            </w:r>
          </w:p>
        </w:tc>
        <w:tc>
          <w:tcPr>
            <w:tcW w:w="760" w:type="dxa"/>
            <w:vAlign w:val="bottom"/>
          </w:tcPr>
          <w:p>
            <w:pPr>
              <w:jc w:val="right"/>
              <w:spacing w:after="0"/>
              <w:rPr>
                <w:sz w:val="20"/>
                <w:szCs w:val="20"/>
                <w:color w:val="auto"/>
              </w:rPr>
            </w:pPr>
            <w:r>
              <w:rPr>
                <w:rFonts w:ascii="Arial" w:cs="Arial" w:eastAsia="Arial" w:hAnsi="Arial"/>
                <w:sz w:val="10"/>
                <w:szCs w:val="10"/>
                <w:color w:val="auto"/>
              </w:rPr>
              <w:t>0.47</w:t>
            </w:r>
          </w:p>
        </w:tc>
      </w:tr>
      <w:tr>
        <w:trPr>
          <w:trHeight w:val="126"/>
        </w:trPr>
        <w:tc>
          <w:tcPr>
            <w:tcW w:w="4680" w:type="dxa"/>
            <w:vAlign w:val="bottom"/>
          </w:tcPr>
          <w:p>
            <w:pPr>
              <w:ind w:left="20"/>
              <w:spacing w:after="0"/>
              <w:rPr>
                <w:sz w:val="20"/>
                <w:szCs w:val="20"/>
                <w:color w:val="auto"/>
              </w:rPr>
            </w:pPr>
            <w:r>
              <w:rPr>
                <w:rFonts w:ascii="Arial" w:cs="Arial" w:eastAsia="Arial" w:hAnsi="Arial"/>
                <w:sz w:val="10"/>
                <w:szCs w:val="10"/>
                <w:color w:val="auto"/>
              </w:rPr>
              <w:t>Q3</w:t>
            </w:r>
          </w:p>
        </w:tc>
        <w:tc>
          <w:tcPr>
            <w:tcW w:w="1320" w:type="dxa"/>
            <w:vAlign w:val="bottom"/>
            <w:shd w:val="clear" w:color="auto" w:fill="D9D9D9"/>
          </w:tcPr>
          <w:p>
            <w:pPr>
              <w:ind w:left="1100"/>
              <w:spacing w:after="0"/>
              <w:rPr>
                <w:sz w:val="20"/>
                <w:szCs w:val="20"/>
                <w:color w:val="auto"/>
              </w:rPr>
            </w:pPr>
            <w:r>
              <w:rPr>
                <w:rFonts w:ascii="Arial" w:cs="Arial" w:eastAsia="Arial" w:hAnsi="Arial"/>
                <w:sz w:val="10"/>
                <w:szCs w:val="10"/>
                <w:color w:val="auto"/>
              </w:rPr>
              <w:t>0.17</w:t>
            </w:r>
          </w:p>
        </w:tc>
        <w:tc>
          <w:tcPr>
            <w:tcW w:w="1860" w:type="dxa"/>
            <w:vAlign w:val="bottom"/>
          </w:tcPr>
          <w:p>
            <w:pPr>
              <w:ind w:left="1100"/>
              <w:spacing w:after="0"/>
              <w:rPr>
                <w:sz w:val="20"/>
                <w:szCs w:val="20"/>
                <w:color w:val="auto"/>
              </w:rPr>
            </w:pPr>
            <w:r>
              <w:rPr>
                <w:rFonts w:ascii="Arial" w:cs="Arial" w:eastAsia="Arial" w:hAnsi="Arial"/>
                <w:sz w:val="10"/>
                <w:szCs w:val="10"/>
                <w:color w:val="auto"/>
              </w:rPr>
              <w:t>0.47</w:t>
            </w:r>
          </w:p>
        </w:tc>
        <w:tc>
          <w:tcPr>
            <w:tcW w:w="1340" w:type="dxa"/>
            <w:vAlign w:val="bottom"/>
          </w:tcPr>
          <w:p>
            <w:pPr>
              <w:ind w:left="580"/>
              <w:spacing w:after="0"/>
              <w:rPr>
                <w:sz w:val="20"/>
                <w:szCs w:val="20"/>
                <w:color w:val="auto"/>
              </w:rPr>
            </w:pPr>
            <w:r>
              <w:rPr>
                <w:rFonts w:ascii="Arial" w:cs="Arial" w:eastAsia="Arial" w:hAnsi="Arial"/>
                <w:sz w:val="10"/>
                <w:szCs w:val="10"/>
                <w:color w:val="auto"/>
              </w:rPr>
              <w:t>0.47</w:t>
            </w:r>
          </w:p>
        </w:tc>
        <w:tc>
          <w:tcPr>
            <w:tcW w:w="1320" w:type="dxa"/>
            <w:vAlign w:val="bottom"/>
          </w:tcPr>
          <w:p>
            <w:pPr>
              <w:ind w:left="560"/>
              <w:spacing w:after="0"/>
              <w:rPr>
                <w:sz w:val="20"/>
                <w:szCs w:val="20"/>
                <w:color w:val="auto"/>
              </w:rPr>
            </w:pPr>
            <w:r>
              <w:rPr>
                <w:rFonts w:ascii="Arial" w:cs="Arial" w:eastAsia="Arial" w:hAnsi="Arial"/>
                <w:sz w:val="10"/>
                <w:szCs w:val="10"/>
                <w:color w:val="auto"/>
              </w:rPr>
              <w:t>0.47</w:t>
            </w:r>
          </w:p>
        </w:tc>
        <w:tc>
          <w:tcPr>
            <w:tcW w:w="760" w:type="dxa"/>
            <w:vAlign w:val="bottom"/>
          </w:tcPr>
          <w:p>
            <w:pPr>
              <w:jc w:val="right"/>
              <w:spacing w:after="0"/>
              <w:rPr>
                <w:sz w:val="20"/>
                <w:szCs w:val="20"/>
                <w:color w:val="auto"/>
              </w:rPr>
            </w:pPr>
            <w:r>
              <w:rPr>
                <w:rFonts w:ascii="Arial" w:cs="Arial" w:eastAsia="Arial" w:hAnsi="Arial"/>
                <w:sz w:val="10"/>
                <w:szCs w:val="10"/>
                <w:color w:val="auto"/>
              </w:rPr>
              <w:t>0.47</w:t>
            </w:r>
          </w:p>
        </w:tc>
      </w:tr>
      <w:tr>
        <w:trPr>
          <w:trHeight w:val="13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Q4</w:t>
            </w:r>
          </w:p>
        </w:tc>
        <w:tc>
          <w:tcPr>
            <w:tcW w:w="1320" w:type="dxa"/>
            <w:vAlign w:val="bottom"/>
            <w:tcBorders>
              <w:bottom w:val="single" w:sz="8" w:color="auto"/>
            </w:tcBorders>
            <w:shd w:val="clear" w:color="auto" w:fill="D9D9D9"/>
          </w:tcPr>
          <w:p>
            <w:pPr>
              <w:ind w:left="1100"/>
              <w:spacing w:after="0"/>
              <w:rPr>
                <w:sz w:val="20"/>
                <w:szCs w:val="20"/>
                <w:color w:val="auto"/>
              </w:rPr>
            </w:pPr>
            <w:r>
              <w:rPr>
                <w:rFonts w:ascii="Arial" w:cs="Arial" w:eastAsia="Arial" w:hAnsi="Arial"/>
                <w:sz w:val="10"/>
                <w:szCs w:val="10"/>
                <w:color w:val="auto"/>
              </w:rPr>
              <w:t>0.17</w:t>
            </w:r>
          </w:p>
        </w:tc>
        <w:tc>
          <w:tcPr>
            <w:tcW w:w="1860" w:type="dxa"/>
            <w:vAlign w:val="bottom"/>
            <w:tcBorders>
              <w:bottom w:val="single" w:sz="8" w:color="auto"/>
            </w:tcBorders>
          </w:tcPr>
          <w:p>
            <w:pPr>
              <w:ind w:left="1100"/>
              <w:spacing w:after="0"/>
              <w:rPr>
                <w:sz w:val="20"/>
                <w:szCs w:val="20"/>
                <w:color w:val="auto"/>
              </w:rPr>
            </w:pPr>
            <w:r>
              <w:rPr>
                <w:rFonts w:ascii="Arial" w:cs="Arial" w:eastAsia="Arial" w:hAnsi="Arial"/>
                <w:sz w:val="10"/>
                <w:szCs w:val="10"/>
                <w:color w:val="auto"/>
              </w:rPr>
              <w:t>0.47</w:t>
            </w: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0"/>
                <w:szCs w:val="10"/>
                <w:color w:val="auto"/>
              </w:rPr>
              <w:t>0.47</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0.47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0.47</w:t>
            </w:r>
          </w:p>
        </w:tc>
      </w:tr>
      <w:tr>
        <w:trPr>
          <w:trHeight w:val="117"/>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announced in respect of the year</w:t>
            </w:r>
          </w:p>
        </w:tc>
        <w:tc>
          <w:tcPr>
            <w:tcW w:w="1320" w:type="dxa"/>
            <w:vAlign w:val="bottom"/>
            <w:tcBorders>
              <w:bottom w:val="single" w:sz="8" w:color="auto"/>
            </w:tcBorders>
            <w:shd w:val="clear" w:color="auto" w:fill="D9D9D9"/>
          </w:tcPr>
          <w:p>
            <w:pPr>
              <w:ind w:left="1100"/>
              <w:spacing w:after="0"/>
              <w:rPr>
                <w:sz w:val="20"/>
                <w:szCs w:val="20"/>
                <w:color w:val="auto"/>
              </w:rPr>
            </w:pPr>
            <w:r>
              <w:rPr>
                <w:rFonts w:ascii="Arial" w:cs="Arial" w:eastAsia="Arial" w:hAnsi="Arial"/>
                <w:sz w:val="10"/>
                <w:szCs w:val="10"/>
                <w:color w:val="auto"/>
              </w:rPr>
              <w:t>0.65</w:t>
            </w:r>
          </w:p>
        </w:tc>
        <w:tc>
          <w:tcPr>
            <w:tcW w:w="1860" w:type="dxa"/>
            <w:vAlign w:val="bottom"/>
            <w:tcBorders>
              <w:bottom w:val="single" w:sz="8" w:color="auto"/>
            </w:tcBorders>
          </w:tcPr>
          <w:p>
            <w:pPr>
              <w:ind w:left="1100"/>
              <w:spacing w:after="0"/>
              <w:rPr>
                <w:sz w:val="20"/>
                <w:szCs w:val="20"/>
                <w:color w:val="auto"/>
              </w:rPr>
            </w:pPr>
            <w:r>
              <w:rPr>
                <w:rFonts w:ascii="Arial" w:cs="Arial" w:eastAsia="Arial" w:hAnsi="Arial"/>
                <w:sz w:val="10"/>
                <w:szCs w:val="10"/>
                <w:color w:val="auto"/>
              </w:rPr>
              <w:t>1.88</w:t>
            </w: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0"/>
                <w:szCs w:val="10"/>
                <w:color w:val="auto"/>
              </w:rPr>
              <w:t>1.88</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1.88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1.88</w:t>
            </w:r>
          </w:p>
        </w:tc>
      </w:tr>
      <w:tr>
        <w:trPr>
          <w:trHeight w:val="88"/>
        </w:trPr>
        <w:tc>
          <w:tcPr>
            <w:tcW w:w="4680" w:type="dxa"/>
            <w:vAlign w:val="bottom"/>
            <w:tcBorders>
              <w:bottom w:val="single" w:sz="8" w:color="CDCDCD"/>
            </w:tcBorders>
          </w:tcPr>
          <w:p>
            <w:pPr>
              <w:spacing w:after="0"/>
              <w:rPr>
                <w:sz w:val="7"/>
                <w:szCs w:val="7"/>
                <w:color w:val="auto"/>
              </w:rPr>
            </w:pPr>
          </w:p>
        </w:tc>
        <w:tc>
          <w:tcPr>
            <w:tcW w:w="1320" w:type="dxa"/>
            <w:vAlign w:val="bottom"/>
            <w:tcBorders>
              <w:bottom w:val="single" w:sz="8" w:color="CDCDCD"/>
            </w:tcBorders>
          </w:tcPr>
          <w:p>
            <w:pPr>
              <w:spacing w:after="0"/>
              <w:rPr>
                <w:sz w:val="7"/>
                <w:szCs w:val="7"/>
                <w:color w:val="auto"/>
              </w:rPr>
            </w:pPr>
          </w:p>
        </w:tc>
        <w:tc>
          <w:tcPr>
            <w:tcW w:w="1860" w:type="dxa"/>
            <w:vAlign w:val="bottom"/>
            <w:tcBorders>
              <w:bottom w:val="single" w:sz="8" w:color="CDCDCD"/>
            </w:tcBorders>
          </w:tcPr>
          <w:p>
            <w:pPr>
              <w:spacing w:after="0"/>
              <w:rPr>
                <w:sz w:val="7"/>
                <w:szCs w:val="7"/>
                <w:color w:val="auto"/>
              </w:rPr>
            </w:pPr>
          </w:p>
        </w:tc>
        <w:tc>
          <w:tcPr>
            <w:tcW w:w="1340" w:type="dxa"/>
            <w:vAlign w:val="bottom"/>
            <w:tcBorders>
              <w:bottom w:val="single" w:sz="8" w:color="CDCDCD"/>
            </w:tcBorders>
          </w:tcPr>
          <w:p>
            <w:pPr>
              <w:spacing w:after="0"/>
              <w:rPr>
                <w:sz w:val="7"/>
                <w:szCs w:val="7"/>
                <w:color w:val="auto"/>
              </w:rPr>
            </w:pPr>
          </w:p>
        </w:tc>
        <w:tc>
          <w:tcPr>
            <w:tcW w:w="1320" w:type="dxa"/>
            <w:vAlign w:val="bottom"/>
            <w:tcBorders>
              <w:bottom w:val="single" w:sz="8" w:color="CDCDCD"/>
            </w:tcBorders>
          </w:tcPr>
          <w:p>
            <w:pPr>
              <w:spacing w:after="0"/>
              <w:rPr>
                <w:sz w:val="7"/>
                <w:szCs w:val="7"/>
                <w:color w:val="auto"/>
              </w:rPr>
            </w:pPr>
          </w:p>
        </w:tc>
        <w:tc>
          <w:tcPr>
            <w:tcW w:w="760" w:type="dxa"/>
            <w:vAlign w:val="bottom"/>
            <w:tcBorders>
              <w:bottom w:val="single" w:sz="8" w:color="CDCDCD"/>
            </w:tcBorders>
          </w:tcPr>
          <w:p>
            <w:pPr>
              <w:spacing w:after="0"/>
              <w:rPr>
                <w:sz w:val="7"/>
                <w:szCs w:val="7"/>
                <w:color w:val="auto"/>
              </w:rPr>
            </w:pPr>
          </w:p>
        </w:tc>
      </w:tr>
      <w:tr>
        <w:trPr>
          <w:trHeight w:val="121"/>
        </w:trPr>
        <w:tc>
          <w:tcPr>
            <w:tcW w:w="4680" w:type="dxa"/>
            <w:vAlign w:val="bottom"/>
          </w:tcPr>
          <w:p>
            <w:pPr>
              <w:ind w:left="20"/>
              <w:spacing w:after="0"/>
              <w:rPr>
                <w:sz w:val="20"/>
                <w:szCs w:val="20"/>
                <w:color w:val="auto"/>
              </w:rPr>
            </w:pPr>
            <w:r>
              <w:rPr>
                <w:rFonts w:ascii="Arial" w:cs="Arial" w:eastAsia="Arial" w:hAnsi="Arial"/>
                <w:sz w:val="10"/>
                <w:szCs w:val="10"/>
                <w:color w:val="auto"/>
              </w:rPr>
              <w:t>A shares</w:t>
            </w:r>
          </w:p>
        </w:tc>
        <w:tc>
          <w:tcPr>
            <w:tcW w:w="13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 [A]</w:t>
            </w:r>
          </w:p>
        </w:tc>
      </w:tr>
      <w:tr>
        <w:trPr>
          <w:trHeight w:val="127"/>
        </w:trPr>
        <w:tc>
          <w:tcPr>
            <w:tcW w:w="46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0"/>
                <w:szCs w:val="10"/>
                <w:color w:val="auto"/>
                <w:w w:val="80"/>
              </w:rPr>
              <w:t>2020</w:t>
            </w:r>
          </w:p>
        </w:tc>
        <w:tc>
          <w:tcPr>
            <w:tcW w:w="1860" w:type="dxa"/>
            <w:vAlign w:val="bottom"/>
            <w:tcBorders>
              <w:bottom w:val="single" w:sz="8" w:color="auto"/>
            </w:tcBorders>
          </w:tcPr>
          <w:p>
            <w:pPr>
              <w:ind w:left="1120"/>
              <w:spacing w:after="0"/>
              <w:rPr>
                <w:sz w:val="20"/>
                <w:szCs w:val="20"/>
                <w:color w:val="auto"/>
              </w:rPr>
            </w:pPr>
            <w:r>
              <w:rPr>
                <w:rFonts w:ascii="Arial" w:cs="Arial" w:eastAsia="Arial" w:hAnsi="Arial"/>
                <w:sz w:val="10"/>
                <w:szCs w:val="10"/>
                <w:color w:val="auto"/>
              </w:rPr>
              <w:t>2019</w:t>
            </w: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0"/>
                <w:szCs w:val="10"/>
                <w:color w:val="auto"/>
              </w:rPr>
              <w:t>2018</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2017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2016</w:t>
            </w:r>
          </w:p>
        </w:tc>
      </w:tr>
      <w:tr>
        <w:trPr>
          <w:trHeight w:val="114"/>
        </w:trPr>
        <w:tc>
          <w:tcPr>
            <w:tcW w:w="4680" w:type="dxa"/>
            <w:vAlign w:val="bottom"/>
          </w:tcPr>
          <w:p>
            <w:pPr>
              <w:ind w:left="20"/>
              <w:spacing w:after="0"/>
              <w:rPr>
                <w:sz w:val="20"/>
                <w:szCs w:val="20"/>
                <w:color w:val="auto"/>
              </w:rPr>
            </w:pPr>
            <w:r>
              <w:rPr>
                <w:rFonts w:ascii="Arial" w:cs="Arial" w:eastAsia="Arial" w:hAnsi="Arial"/>
                <w:sz w:val="10"/>
                <w:szCs w:val="10"/>
                <w:color w:val="auto"/>
              </w:rPr>
              <w:t>Q1</w:t>
            </w:r>
          </w:p>
        </w:tc>
        <w:tc>
          <w:tcPr>
            <w:tcW w:w="1320" w:type="dxa"/>
            <w:vAlign w:val="bottom"/>
            <w:shd w:val="clear" w:color="auto" w:fill="D9D9D9"/>
          </w:tcPr>
          <w:p>
            <w:pPr>
              <w:ind w:left="1100"/>
              <w:spacing w:after="0"/>
              <w:rPr>
                <w:sz w:val="20"/>
                <w:szCs w:val="20"/>
                <w:color w:val="auto"/>
              </w:rPr>
            </w:pPr>
            <w:r>
              <w:rPr>
                <w:rFonts w:ascii="Arial" w:cs="Arial" w:eastAsia="Arial" w:hAnsi="Arial"/>
                <w:sz w:val="10"/>
                <w:szCs w:val="10"/>
                <w:color w:val="auto"/>
              </w:rPr>
              <w:t>0.14</w:t>
            </w:r>
          </w:p>
        </w:tc>
        <w:tc>
          <w:tcPr>
            <w:tcW w:w="1860" w:type="dxa"/>
            <w:vAlign w:val="bottom"/>
          </w:tcPr>
          <w:p>
            <w:pPr>
              <w:ind w:left="1100"/>
              <w:spacing w:after="0"/>
              <w:rPr>
                <w:sz w:val="20"/>
                <w:szCs w:val="20"/>
                <w:color w:val="auto"/>
              </w:rPr>
            </w:pPr>
            <w:r>
              <w:rPr>
                <w:rFonts w:ascii="Arial" w:cs="Arial" w:eastAsia="Arial" w:hAnsi="Arial"/>
                <w:sz w:val="10"/>
                <w:szCs w:val="10"/>
                <w:color w:val="auto"/>
              </w:rPr>
              <w:t>0.42</w:t>
            </w:r>
          </w:p>
        </w:tc>
        <w:tc>
          <w:tcPr>
            <w:tcW w:w="1340" w:type="dxa"/>
            <w:vAlign w:val="bottom"/>
          </w:tcPr>
          <w:p>
            <w:pPr>
              <w:ind w:left="580"/>
              <w:spacing w:after="0"/>
              <w:rPr>
                <w:sz w:val="20"/>
                <w:szCs w:val="20"/>
                <w:color w:val="auto"/>
              </w:rPr>
            </w:pPr>
            <w:r>
              <w:rPr>
                <w:rFonts w:ascii="Arial" w:cs="Arial" w:eastAsia="Arial" w:hAnsi="Arial"/>
                <w:sz w:val="10"/>
                <w:szCs w:val="10"/>
                <w:color w:val="auto"/>
              </w:rPr>
              <w:t>0.40</w:t>
            </w:r>
          </w:p>
        </w:tc>
        <w:tc>
          <w:tcPr>
            <w:tcW w:w="1320" w:type="dxa"/>
            <w:vAlign w:val="bottom"/>
          </w:tcPr>
          <w:p>
            <w:pPr>
              <w:ind w:left="560"/>
              <w:spacing w:after="0"/>
              <w:rPr>
                <w:sz w:val="20"/>
                <w:szCs w:val="20"/>
                <w:color w:val="auto"/>
              </w:rPr>
            </w:pPr>
            <w:r>
              <w:rPr>
                <w:rFonts w:ascii="Arial" w:cs="Arial" w:eastAsia="Arial" w:hAnsi="Arial"/>
                <w:sz w:val="10"/>
                <w:szCs w:val="10"/>
                <w:color w:val="auto"/>
              </w:rPr>
              <w:t>0.42</w:t>
            </w:r>
          </w:p>
        </w:tc>
        <w:tc>
          <w:tcPr>
            <w:tcW w:w="760" w:type="dxa"/>
            <w:vAlign w:val="bottom"/>
          </w:tcPr>
          <w:p>
            <w:pPr>
              <w:jc w:val="right"/>
              <w:spacing w:after="0"/>
              <w:rPr>
                <w:sz w:val="20"/>
                <w:szCs w:val="20"/>
                <w:color w:val="auto"/>
              </w:rPr>
            </w:pPr>
            <w:r>
              <w:rPr>
                <w:rFonts w:ascii="Arial" w:cs="Arial" w:eastAsia="Arial" w:hAnsi="Arial"/>
                <w:sz w:val="10"/>
                <w:szCs w:val="10"/>
                <w:color w:val="auto"/>
              </w:rPr>
              <w:t>0.42</w:t>
            </w:r>
          </w:p>
        </w:tc>
      </w:tr>
      <w:tr>
        <w:trPr>
          <w:trHeight w:val="123"/>
        </w:trPr>
        <w:tc>
          <w:tcPr>
            <w:tcW w:w="4680" w:type="dxa"/>
            <w:vAlign w:val="bottom"/>
          </w:tcPr>
          <w:p>
            <w:pPr>
              <w:ind w:left="20"/>
              <w:spacing w:after="0"/>
              <w:rPr>
                <w:sz w:val="20"/>
                <w:szCs w:val="20"/>
                <w:color w:val="auto"/>
              </w:rPr>
            </w:pPr>
            <w:r>
              <w:rPr>
                <w:rFonts w:ascii="Arial" w:cs="Arial" w:eastAsia="Arial" w:hAnsi="Arial"/>
                <w:sz w:val="10"/>
                <w:szCs w:val="10"/>
                <w:color w:val="auto"/>
              </w:rPr>
              <w:t>Q2</w:t>
            </w:r>
          </w:p>
        </w:tc>
        <w:tc>
          <w:tcPr>
            <w:tcW w:w="1320" w:type="dxa"/>
            <w:vAlign w:val="bottom"/>
            <w:shd w:val="clear" w:color="auto" w:fill="D9D9D9"/>
          </w:tcPr>
          <w:p>
            <w:pPr>
              <w:ind w:left="1100"/>
              <w:spacing w:after="0"/>
              <w:rPr>
                <w:sz w:val="20"/>
                <w:szCs w:val="20"/>
                <w:color w:val="auto"/>
              </w:rPr>
            </w:pPr>
            <w:r>
              <w:rPr>
                <w:rFonts w:ascii="Arial" w:cs="Arial" w:eastAsia="Arial" w:hAnsi="Arial"/>
                <w:sz w:val="10"/>
                <w:szCs w:val="10"/>
                <w:color w:val="auto"/>
              </w:rPr>
              <w:t>0.14</w:t>
            </w:r>
          </w:p>
        </w:tc>
        <w:tc>
          <w:tcPr>
            <w:tcW w:w="1860" w:type="dxa"/>
            <w:vAlign w:val="bottom"/>
          </w:tcPr>
          <w:p>
            <w:pPr>
              <w:ind w:left="1100"/>
              <w:spacing w:after="0"/>
              <w:rPr>
                <w:sz w:val="20"/>
                <w:szCs w:val="20"/>
                <w:color w:val="auto"/>
              </w:rPr>
            </w:pPr>
            <w:r>
              <w:rPr>
                <w:rFonts w:ascii="Arial" w:cs="Arial" w:eastAsia="Arial" w:hAnsi="Arial"/>
                <w:sz w:val="10"/>
                <w:szCs w:val="10"/>
                <w:color w:val="auto"/>
              </w:rPr>
              <w:t>0.43</w:t>
            </w:r>
          </w:p>
        </w:tc>
        <w:tc>
          <w:tcPr>
            <w:tcW w:w="1340" w:type="dxa"/>
            <w:vAlign w:val="bottom"/>
          </w:tcPr>
          <w:p>
            <w:pPr>
              <w:ind w:left="580"/>
              <w:spacing w:after="0"/>
              <w:rPr>
                <w:sz w:val="20"/>
                <w:szCs w:val="20"/>
                <w:color w:val="auto"/>
              </w:rPr>
            </w:pPr>
            <w:r>
              <w:rPr>
                <w:rFonts w:ascii="Arial" w:cs="Arial" w:eastAsia="Arial" w:hAnsi="Arial"/>
                <w:sz w:val="10"/>
                <w:szCs w:val="10"/>
                <w:color w:val="auto"/>
              </w:rPr>
              <w:t>0.40</w:t>
            </w:r>
          </w:p>
        </w:tc>
        <w:tc>
          <w:tcPr>
            <w:tcW w:w="1320" w:type="dxa"/>
            <w:vAlign w:val="bottom"/>
          </w:tcPr>
          <w:p>
            <w:pPr>
              <w:ind w:left="560"/>
              <w:spacing w:after="0"/>
              <w:rPr>
                <w:sz w:val="20"/>
                <w:szCs w:val="20"/>
                <w:color w:val="auto"/>
              </w:rPr>
            </w:pPr>
            <w:r>
              <w:rPr>
                <w:rFonts w:ascii="Arial" w:cs="Arial" w:eastAsia="Arial" w:hAnsi="Arial"/>
                <w:sz w:val="10"/>
                <w:szCs w:val="10"/>
                <w:color w:val="auto"/>
              </w:rPr>
              <w:t>0.39</w:t>
            </w:r>
          </w:p>
        </w:tc>
        <w:tc>
          <w:tcPr>
            <w:tcW w:w="760" w:type="dxa"/>
            <w:vAlign w:val="bottom"/>
          </w:tcPr>
          <w:p>
            <w:pPr>
              <w:jc w:val="right"/>
              <w:spacing w:after="0"/>
              <w:rPr>
                <w:sz w:val="20"/>
                <w:szCs w:val="20"/>
                <w:color w:val="auto"/>
              </w:rPr>
            </w:pPr>
            <w:r>
              <w:rPr>
                <w:rFonts w:ascii="Arial" w:cs="Arial" w:eastAsia="Arial" w:hAnsi="Arial"/>
                <w:sz w:val="10"/>
                <w:szCs w:val="10"/>
                <w:color w:val="auto"/>
              </w:rPr>
              <w:t>0.42</w:t>
            </w:r>
          </w:p>
        </w:tc>
      </w:tr>
      <w:tr>
        <w:trPr>
          <w:trHeight w:val="126"/>
        </w:trPr>
        <w:tc>
          <w:tcPr>
            <w:tcW w:w="4680" w:type="dxa"/>
            <w:vAlign w:val="bottom"/>
          </w:tcPr>
          <w:p>
            <w:pPr>
              <w:ind w:left="20"/>
              <w:spacing w:after="0"/>
              <w:rPr>
                <w:sz w:val="20"/>
                <w:szCs w:val="20"/>
                <w:color w:val="auto"/>
              </w:rPr>
            </w:pPr>
            <w:r>
              <w:rPr>
                <w:rFonts w:ascii="Arial" w:cs="Arial" w:eastAsia="Arial" w:hAnsi="Arial"/>
                <w:sz w:val="10"/>
                <w:szCs w:val="10"/>
                <w:color w:val="auto"/>
              </w:rPr>
              <w:t>Q3</w:t>
            </w:r>
          </w:p>
        </w:tc>
        <w:tc>
          <w:tcPr>
            <w:tcW w:w="1320" w:type="dxa"/>
            <w:vAlign w:val="bottom"/>
            <w:shd w:val="clear" w:color="auto" w:fill="D9D9D9"/>
          </w:tcPr>
          <w:p>
            <w:pPr>
              <w:ind w:left="1100"/>
              <w:spacing w:after="0"/>
              <w:rPr>
                <w:sz w:val="20"/>
                <w:szCs w:val="20"/>
                <w:color w:val="auto"/>
              </w:rPr>
            </w:pPr>
            <w:r>
              <w:rPr>
                <w:rFonts w:ascii="Arial" w:cs="Arial" w:eastAsia="Arial" w:hAnsi="Arial"/>
                <w:sz w:val="10"/>
                <w:szCs w:val="10"/>
                <w:color w:val="auto"/>
              </w:rPr>
              <w:t>0.14</w:t>
            </w:r>
          </w:p>
        </w:tc>
        <w:tc>
          <w:tcPr>
            <w:tcW w:w="1860" w:type="dxa"/>
            <w:vAlign w:val="bottom"/>
          </w:tcPr>
          <w:p>
            <w:pPr>
              <w:ind w:left="1100"/>
              <w:spacing w:after="0"/>
              <w:rPr>
                <w:sz w:val="20"/>
                <w:szCs w:val="20"/>
                <w:color w:val="auto"/>
              </w:rPr>
            </w:pPr>
            <w:r>
              <w:rPr>
                <w:rFonts w:ascii="Arial" w:cs="Arial" w:eastAsia="Arial" w:hAnsi="Arial"/>
                <w:sz w:val="10"/>
                <w:szCs w:val="10"/>
                <w:color w:val="auto"/>
              </w:rPr>
              <w:t>0.42</w:t>
            </w:r>
          </w:p>
        </w:tc>
        <w:tc>
          <w:tcPr>
            <w:tcW w:w="1340" w:type="dxa"/>
            <w:vAlign w:val="bottom"/>
          </w:tcPr>
          <w:p>
            <w:pPr>
              <w:ind w:left="580"/>
              <w:spacing w:after="0"/>
              <w:rPr>
                <w:sz w:val="20"/>
                <w:szCs w:val="20"/>
                <w:color w:val="auto"/>
              </w:rPr>
            </w:pPr>
            <w:r>
              <w:rPr>
                <w:rFonts w:ascii="Arial" w:cs="Arial" w:eastAsia="Arial" w:hAnsi="Arial"/>
                <w:sz w:val="10"/>
                <w:szCs w:val="10"/>
                <w:color w:val="auto"/>
              </w:rPr>
              <w:t>0.41</w:t>
            </w:r>
          </w:p>
        </w:tc>
        <w:tc>
          <w:tcPr>
            <w:tcW w:w="1320" w:type="dxa"/>
            <w:vAlign w:val="bottom"/>
          </w:tcPr>
          <w:p>
            <w:pPr>
              <w:ind w:left="560"/>
              <w:spacing w:after="0"/>
              <w:rPr>
                <w:sz w:val="20"/>
                <w:szCs w:val="20"/>
                <w:color w:val="auto"/>
              </w:rPr>
            </w:pPr>
            <w:r>
              <w:rPr>
                <w:rFonts w:ascii="Arial" w:cs="Arial" w:eastAsia="Arial" w:hAnsi="Arial"/>
                <w:sz w:val="10"/>
                <w:szCs w:val="10"/>
                <w:color w:val="auto"/>
              </w:rPr>
              <w:t>0.40</w:t>
            </w:r>
          </w:p>
        </w:tc>
        <w:tc>
          <w:tcPr>
            <w:tcW w:w="760" w:type="dxa"/>
            <w:vAlign w:val="bottom"/>
          </w:tcPr>
          <w:p>
            <w:pPr>
              <w:jc w:val="right"/>
              <w:spacing w:after="0"/>
              <w:rPr>
                <w:sz w:val="20"/>
                <w:szCs w:val="20"/>
                <w:color w:val="auto"/>
              </w:rPr>
            </w:pPr>
            <w:r>
              <w:rPr>
                <w:rFonts w:ascii="Arial" w:cs="Arial" w:eastAsia="Arial" w:hAnsi="Arial"/>
                <w:sz w:val="10"/>
                <w:szCs w:val="10"/>
                <w:color w:val="auto"/>
              </w:rPr>
              <w:t>0.44</w:t>
            </w:r>
          </w:p>
        </w:tc>
      </w:tr>
      <w:tr>
        <w:trPr>
          <w:trHeight w:val="13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Q4 [B]</w:t>
            </w:r>
          </w:p>
        </w:tc>
        <w:tc>
          <w:tcPr>
            <w:tcW w:w="1320" w:type="dxa"/>
            <w:vAlign w:val="bottom"/>
            <w:tcBorders>
              <w:bottom w:val="single" w:sz="8" w:color="auto"/>
            </w:tcBorders>
            <w:shd w:val="clear" w:color="auto" w:fill="D9D9D9"/>
          </w:tcPr>
          <w:p>
            <w:pPr>
              <w:ind w:left="1120"/>
              <w:spacing w:after="0"/>
              <w:rPr>
                <w:sz w:val="20"/>
                <w:szCs w:val="20"/>
                <w:color w:val="auto"/>
              </w:rPr>
            </w:pPr>
            <w:r>
              <w:rPr>
                <w:rFonts w:ascii="Arial" w:cs="Arial" w:eastAsia="Arial" w:hAnsi="Arial"/>
                <w:sz w:val="10"/>
                <w:szCs w:val="10"/>
                <w:color w:val="auto"/>
                <w:w w:val="92"/>
              </w:rPr>
              <w:t>TBA</w:t>
            </w:r>
          </w:p>
        </w:tc>
        <w:tc>
          <w:tcPr>
            <w:tcW w:w="1860" w:type="dxa"/>
            <w:vAlign w:val="bottom"/>
            <w:tcBorders>
              <w:bottom w:val="single" w:sz="8" w:color="auto"/>
            </w:tcBorders>
          </w:tcPr>
          <w:p>
            <w:pPr>
              <w:ind w:left="1100"/>
              <w:spacing w:after="0"/>
              <w:rPr>
                <w:sz w:val="20"/>
                <w:szCs w:val="20"/>
                <w:color w:val="auto"/>
              </w:rPr>
            </w:pPr>
            <w:r>
              <w:rPr>
                <w:rFonts w:ascii="Arial" w:cs="Arial" w:eastAsia="Arial" w:hAnsi="Arial"/>
                <w:sz w:val="10"/>
                <w:szCs w:val="10"/>
                <w:color w:val="auto"/>
              </w:rPr>
              <w:t>0.42</w:t>
            </w: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0"/>
                <w:szCs w:val="10"/>
                <w:color w:val="auto"/>
              </w:rPr>
              <w:t>0.42</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0.38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0.44</w:t>
            </w:r>
          </w:p>
        </w:tc>
      </w:tr>
      <w:tr>
        <w:trPr>
          <w:trHeight w:val="117"/>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announced in respect of the year [B]</w:t>
            </w:r>
          </w:p>
        </w:tc>
        <w:tc>
          <w:tcPr>
            <w:tcW w:w="1320" w:type="dxa"/>
            <w:vAlign w:val="bottom"/>
            <w:tcBorders>
              <w:bottom w:val="single" w:sz="8" w:color="auto"/>
            </w:tcBorders>
            <w:shd w:val="clear" w:color="auto" w:fill="D9D9D9"/>
          </w:tcPr>
          <w:p>
            <w:pPr>
              <w:ind w:left="1120"/>
              <w:spacing w:after="0"/>
              <w:rPr>
                <w:sz w:val="20"/>
                <w:szCs w:val="20"/>
                <w:color w:val="auto"/>
              </w:rPr>
            </w:pPr>
            <w:r>
              <w:rPr>
                <w:rFonts w:ascii="Arial" w:cs="Arial" w:eastAsia="Arial" w:hAnsi="Arial"/>
                <w:sz w:val="10"/>
                <w:szCs w:val="10"/>
                <w:color w:val="auto"/>
                <w:w w:val="92"/>
              </w:rPr>
              <w:t>TBA</w:t>
            </w:r>
          </w:p>
        </w:tc>
        <w:tc>
          <w:tcPr>
            <w:tcW w:w="1860" w:type="dxa"/>
            <w:vAlign w:val="bottom"/>
            <w:tcBorders>
              <w:bottom w:val="single" w:sz="8" w:color="auto"/>
            </w:tcBorders>
          </w:tcPr>
          <w:p>
            <w:pPr>
              <w:ind w:left="1100"/>
              <w:spacing w:after="0"/>
              <w:rPr>
                <w:sz w:val="20"/>
                <w:szCs w:val="20"/>
                <w:color w:val="auto"/>
              </w:rPr>
            </w:pPr>
            <w:r>
              <w:rPr>
                <w:rFonts w:ascii="Arial" w:cs="Arial" w:eastAsia="Arial" w:hAnsi="Arial"/>
                <w:sz w:val="10"/>
                <w:szCs w:val="10"/>
                <w:color w:val="auto"/>
              </w:rPr>
              <w:t>1.68</w:t>
            </w: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0"/>
                <w:szCs w:val="10"/>
                <w:color w:val="auto"/>
              </w:rPr>
              <w:t>1.64</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1.59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1.72</w:t>
            </w:r>
          </w:p>
        </w:tc>
      </w:tr>
      <w:tr>
        <w:trPr>
          <w:trHeight w:val="11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Amount paid during the year</w:t>
            </w:r>
          </w:p>
        </w:tc>
        <w:tc>
          <w:tcPr>
            <w:tcW w:w="1320" w:type="dxa"/>
            <w:vAlign w:val="bottom"/>
            <w:tcBorders>
              <w:bottom w:val="single" w:sz="8" w:color="auto"/>
            </w:tcBorders>
            <w:shd w:val="clear" w:color="auto" w:fill="D9D9D9"/>
          </w:tcPr>
          <w:p>
            <w:pPr>
              <w:ind w:left="1100"/>
              <w:spacing w:after="0"/>
              <w:rPr>
                <w:sz w:val="20"/>
                <w:szCs w:val="20"/>
                <w:color w:val="auto"/>
              </w:rPr>
            </w:pPr>
            <w:r>
              <w:rPr>
                <w:rFonts w:ascii="Arial" w:cs="Arial" w:eastAsia="Arial" w:hAnsi="Arial"/>
                <w:sz w:val="10"/>
                <w:szCs w:val="10"/>
                <w:color w:val="auto"/>
              </w:rPr>
              <w:t>0.84</w:t>
            </w:r>
          </w:p>
        </w:tc>
        <w:tc>
          <w:tcPr>
            <w:tcW w:w="1860" w:type="dxa"/>
            <w:vAlign w:val="bottom"/>
            <w:tcBorders>
              <w:bottom w:val="single" w:sz="8" w:color="auto"/>
            </w:tcBorders>
          </w:tcPr>
          <w:p>
            <w:pPr>
              <w:ind w:left="1100"/>
              <w:spacing w:after="0"/>
              <w:rPr>
                <w:sz w:val="20"/>
                <w:szCs w:val="20"/>
                <w:color w:val="auto"/>
              </w:rPr>
            </w:pPr>
            <w:r>
              <w:rPr>
                <w:rFonts w:ascii="Arial" w:cs="Arial" w:eastAsia="Arial" w:hAnsi="Arial"/>
                <w:sz w:val="10"/>
                <w:szCs w:val="10"/>
                <w:color w:val="auto"/>
              </w:rPr>
              <w:t>1.68</w:t>
            </w: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0"/>
                <w:szCs w:val="10"/>
                <w:color w:val="auto"/>
              </w:rPr>
              <w:t>1.60</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1.65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1.70</w:t>
            </w:r>
          </w:p>
        </w:tc>
      </w:tr>
    </w:tbl>
    <w:p>
      <w:pPr>
        <w:spacing w:after="0" w:line="47" w:lineRule="exact"/>
        <w:rPr>
          <w:sz w:val="20"/>
          <w:szCs w:val="20"/>
          <w:color w:val="auto"/>
        </w:rPr>
      </w:pPr>
    </w:p>
    <w:p>
      <w:pPr>
        <w:ind w:left="128" w:hanging="128"/>
        <w:spacing w:after="0"/>
        <w:tabs>
          <w:tab w:leader="none" w:pos="128" w:val="left"/>
        </w:tabs>
        <w:numPr>
          <w:ilvl w:val="0"/>
          <w:numId w:val="201"/>
        </w:numPr>
        <w:rPr>
          <w:rFonts w:ascii="Arial" w:cs="Arial" w:eastAsia="Arial" w:hAnsi="Arial"/>
          <w:sz w:val="7"/>
          <w:szCs w:val="7"/>
          <w:color w:val="auto"/>
        </w:rPr>
      </w:pPr>
      <w:r>
        <w:rPr>
          <w:rFonts w:ascii="Arial" w:cs="Arial" w:eastAsia="Arial" w:hAnsi="Arial"/>
          <w:sz w:val="7"/>
          <w:szCs w:val="7"/>
          <w:color w:val="auto"/>
        </w:rPr>
        <w:t>Euro equivalent, rounded to the nearest euro cent.</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201"/>
        </w:numPr>
        <w:rPr>
          <w:rFonts w:ascii="Arial" w:cs="Arial" w:eastAsia="Arial" w:hAnsi="Arial"/>
          <w:sz w:val="7"/>
          <w:szCs w:val="7"/>
          <w:color w:val="auto"/>
        </w:rPr>
      </w:pPr>
      <w:r>
        <w:rPr>
          <w:rFonts w:ascii="Arial" w:cs="Arial" w:eastAsia="Arial" w:hAnsi="Arial"/>
          <w:sz w:val="7"/>
          <w:szCs w:val="7"/>
          <w:color w:val="auto"/>
        </w:rPr>
        <w:t>Q4 2020 euro equivalent will be announced on March 15,2021.</w:t>
      </w:r>
    </w:p>
    <w:p>
      <w:pPr>
        <w:spacing w:after="0" w:line="6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680" w:type="dxa"/>
            <w:vAlign w:val="bottom"/>
            <w:tcBorders>
              <w:top w:val="single" w:sz="8" w:color="CDCDCD"/>
            </w:tcBorders>
          </w:tcPr>
          <w:p>
            <w:pPr>
              <w:ind w:left="20"/>
              <w:spacing w:after="0"/>
              <w:rPr>
                <w:sz w:val="20"/>
                <w:szCs w:val="20"/>
                <w:color w:val="auto"/>
              </w:rPr>
            </w:pPr>
            <w:r>
              <w:rPr>
                <w:rFonts w:ascii="Arial" w:cs="Arial" w:eastAsia="Arial" w:hAnsi="Arial"/>
                <w:sz w:val="10"/>
                <w:szCs w:val="10"/>
                <w:color w:val="333333"/>
              </w:rPr>
              <w:t>B shares</w:t>
            </w:r>
          </w:p>
        </w:tc>
        <w:tc>
          <w:tcPr>
            <w:tcW w:w="1320" w:type="dxa"/>
            <w:vAlign w:val="bottom"/>
            <w:tcBorders>
              <w:top w:val="single" w:sz="8" w:color="CDCDCD"/>
            </w:tcBorders>
          </w:tcPr>
          <w:p>
            <w:pPr>
              <w:spacing w:after="0"/>
              <w:rPr>
                <w:sz w:val="13"/>
                <w:szCs w:val="13"/>
                <w:color w:val="auto"/>
              </w:rPr>
            </w:pPr>
          </w:p>
        </w:tc>
        <w:tc>
          <w:tcPr>
            <w:tcW w:w="182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spacing w:after="0"/>
              <w:rPr>
                <w:sz w:val="13"/>
                <w:szCs w:val="13"/>
                <w:color w:val="auto"/>
              </w:rPr>
            </w:pPr>
          </w:p>
        </w:tc>
        <w:tc>
          <w:tcPr>
            <w:tcW w:w="1280" w:type="dxa"/>
            <w:vAlign w:val="bottom"/>
            <w:tcBorders>
              <w:top w:val="single" w:sz="8" w:color="CDCDCD"/>
            </w:tcBorders>
          </w:tcPr>
          <w:p>
            <w:pPr>
              <w:spacing w:after="0"/>
              <w:rPr>
                <w:sz w:val="13"/>
                <w:szCs w:val="13"/>
                <w:color w:val="auto"/>
              </w:rPr>
            </w:pPr>
          </w:p>
        </w:tc>
        <w:tc>
          <w:tcPr>
            <w:tcW w:w="86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Pence [A]</w:t>
            </w:r>
          </w:p>
        </w:tc>
      </w:tr>
      <w:tr>
        <w:trPr>
          <w:trHeight w:val="127"/>
        </w:trPr>
        <w:tc>
          <w:tcPr>
            <w:tcW w:w="46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8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2019</w:t>
            </w: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2018</w:t>
            </w:r>
          </w:p>
        </w:tc>
        <w:tc>
          <w:tcPr>
            <w:tcW w:w="128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2017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2016</w:t>
            </w:r>
          </w:p>
        </w:tc>
      </w:tr>
      <w:tr>
        <w:trPr>
          <w:trHeight w:val="114"/>
        </w:trPr>
        <w:tc>
          <w:tcPr>
            <w:tcW w:w="4680" w:type="dxa"/>
            <w:vAlign w:val="bottom"/>
          </w:tcPr>
          <w:p>
            <w:pPr>
              <w:ind w:left="20"/>
              <w:spacing w:after="0"/>
              <w:rPr>
                <w:sz w:val="20"/>
                <w:szCs w:val="20"/>
                <w:color w:val="auto"/>
              </w:rPr>
            </w:pPr>
            <w:r>
              <w:rPr>
                <w:rFonts w:ascii="Arial" w:cs="Arial" w:eastAsia="Arial" w:hAnsi="Arial"/>
                <w:sz w:val="10"/>
                <w:szCs w:val="10"/>
                <w:color w:val="auto"/>
              </w:rPr>
              <w:t>Q1</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12.68</w:t>
            </w:r>
          </w:p>
        </w:tc>
        <w:tc>
          <w:tcPr>
            <w:tcW w:w="1820" w:type="dxa"/>
            <w:vAlign w:val="bottom"/>
          </w:tcPr>
          <w:p>
            <w:pPr>
              <w:jc w:val="right"/>
              <w:ind w:right="492"/>
              <w:spacing w:after="0"/>
              <w:rPr>
                <w:sz w:val="20"/>
                <w:szCs w:val="20"/>
                <w:color w:val="auto"/>
              </w:rPr>
            </w:pPr>
            <w:r>
              <w:rPr>
                <w:rFonts w:ascii="Arial" w:cs="Arial" w:eastAsia="Arial" w:hAnsi="Arial"/>
                <w:sz w:val="10"/>
                <w:szCs w:val="10"/>
                <w:color w:val="auto"/>
              </w:rPr>
              <w:t>36.97</w:t>
            </w:r>
          </w:p>
        </w:tc>
        <w:tc>
          <w:tcPr>
            <w:tcW w:w="1320" w:type="dxa"/>
            <w:vAlign w:val="bottom"/>
          </w:tcPr>
          <w:p>
            <w:pPr>
              <w:jc w:val="right"/>
              <w:ind w:right="492"/>
              <w:spacing w:after="0"/>
              <w:rPr>
                <w:sz w:val="20"/>
                <w:szCs w:val="20"/>
                <w:color w:val="auto"/>
              </w:rPr>
            </w:pPr>
            <w:r>
              <w:rPr>
                <w:rFonts w:ascii="Arial" w:cs="Arial" w:eastAsia="Arial" w:hAnsi="Arial"/>
                <w:sz w:val="10"/>
                <w:szCs w:val="10"/>
                <w:color w:val="auto"/>
              </w:rPr>
              <w:t>35.18</w:t>
            </w:r>
          </w:p>
        </w:tc>
        <w:tc>
          <w:tcPr>
            <w:tcW w:w="1280" w:type="dxa"/>
            <w:vAlign w:val="bottom"/>
          </w:tcPr>
          <w:p>
            <w:pPr>
              <w:jc w:val="right"/>
              <w:ind w:right="452"/>
              <w:spacing w:after="0"/>
              <w:rPr>
                <w:sz w:val="20"/>
                <w:szCs w:val="20"/>
                <w:color w:val="auto"/>
              </w:rPr>
            </w:pPr>
            <w:r>
              <w:rPr>
                <w:rFonts w:ascii="Arial" w:cs="Arial" w:eastAsia="Arial" w:hAnsi="Arial"/>
                <w:sz w:val="10"/>
                <w:szCs w:val="10"/>
                <w:color w:val="auto"/>
              </w:rPr>
              <w:t>37.12</w:t>
            </w:r>
          </w:p>
        </w:tc>
        <w:tc>
          <w:tcPr>
            <w:tcW w:w="860" w:type="dxa"/>
            <w:vAlign w:val="bottom"/>
          </w:tcPr>
          <w:p>
            <w:pPr>
              <w:jc w:val="right"/>
              <w:spacing w:after="0"/>
              <w:rPr>
                <w:sz w:val="20"/>
                <w:szCs w:val="20"/>
                <w:color w:val="auto"/>
              </w:rPr>
            </w:pPr>
            <w:r>
              <w:rPr>
                <w:rFonts w:ascii="Arial" w:cs="Arial" w:eastAsia="Arial" w:hAnsi="Arial"/>
                <w:sz w:val="10"/>
                <w:szCs w:val="10"/>
                <w:color w:val="auto"/>
              </w:rPr>
              <w:t>32.98</w:t>
            </w:r>
          </w:p>
        </w:tc>
      </w:tr>
      <w:tr>
        <w:trPr>
          <w:trHeight w:val="123"/>
        </w:trPr>
        <w:tc>
          <w:tcPr>
            <w:tcW w:w="4680" w:type="dxa"/>
            <w:vAlign w:val="bottom"/>
          </w:tcPr>
          <w:p>
            <w:pPr>
              <w:ind w:left="20"/>
              <w:spacing w:after="0"/>
              <w:rPr>
                <w:sz w:val="20"/>
                <w:szCs w:val="20"/>
                <w:color w:val="auto"/>
              </w:rPr>
            </w:pPr>
            <w:r>
              <w:rPr>
                <w:rFonts w:ascii="Arial" w:cs="Arial" w:eastAsia="Arial" w:hAnsi="Arial"/>
                <w:sz w:val="10"/>
                <w:szCs w:val="10"/>
                <w:color w:val="auto"/>
              </w:rPr>
              <w:t>Q2</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12.09</w:t>
            </w:r>
          </w:p>
        </w:tc>
        <w:tc>
          <w:tcPr>
            <w:tcW w:w="1820" w:type="dxa"/>
            <w:vAlign w:val="bottom"/>
          </w:tcPr>
          <w:p>
            <w:pPr>
              <w:jc w:val="right"/>
              <w:ind w:right="492"/>
              <w:spacing w:after="0"/>
              <w:rPr>
                <w:sz w:val="20"/>
                <w:szCs w:val="20"/>
                <w:color w:val="auto"/>
              </w:rPr>
            </w:pPr>
            <w:r>
              <w:rPr>
                <w:rFonts w:ascii="Arial" w:cs="Arial" w:eastAsia="Arial" w:hAnsi="Arial"/>
                <w:sz w:val="10"/>
                <w:szCs w:val="10"/>
                <w:color w:val="auto"/>
              </w:rPr>
              <w:t>38.01</w:t>
            </w:r>
          </w:p>
        </w:tc>
        <w:tc>
          <w:tcPr>
            <w:tcW w:w="1320" w:type="dxa"/>
            <w:vAlign w:val="bottom"/>
          </w:tcPr>
          <w:p>
            <w:pPr>
              <w:jc w:val="right"/>
              <w:ind w:right="492"/>
              <w:spacing w:after="0"/>
              <w:rPr>
                <w:sz w:val="20"/>
                <w:szCs w:val="20"/>
                <w:color w:val="auto"/>
              </w:rPr>
            </w:pPr>
            <w:r>
              <w:rPr>
                <w:rFonts w:ascii="Arial" w:cs="Arial" w:eastAsia="Arial" w:hAnsi="Arial"/>
                <w:sz w:val="10"/>
                <w:szCs w:val="10"/>
                <w:color w:val="auto"/>
              </w:rPr>
              <w:t>36.50</w:t>
            </w:r>
          </w:p>
        </w:tc>
        <w:tc>
          <w:tcPr>
            <w:tcW w:w="1280" w:type="dxa"/>
            <w:vAlign w:val="bottom"/>
          </w:tcPr>
          <w:p>
            <w:pPr>
              <w:jc w:val="right"/>
              <w:ind w:right="452"/>
              <w:spacing w:after="0"/>
              <w:rPr>
                <w:sz w:val="20"/>
                <w:szCs w:val="20"/>
                <w:color w:val="auto"/>
              </w:rPr>
            </w:pPr>
            <w:r>
              <w:rPr>
                <w:rFonts w:ascii="Arial" w:cs="Arial" w:eastAsia="Arial" w:hAnsi="Arial"/>
                <w:sz w:val="10"/>
                <w:szCs w:val="10"/>
                <w:color w:val="auto"/>
              </w:rPr>
              <w:t>36.28</w:t>
            </w:r>
          </w:p>
        </w:tc>
        <w:tc>
          <w:tcPr>
            <w:tcW w:w="860" w:type="dxa"/>
            <w:vAlign w:val="bottom"/>
          </w:tcPr>
          <w:p>
            <w:pPr>
              <w:jc w:val="right"/>
              <w:spacing w:after="0"/>
              <w:rPr>
                <w:sz w:val="20"/>
                <w:szCs w:val="20"/>
                <w:color w:val="auto"/>
              </w:rPr>
            </w:pPr>
            <w:r>
              <w:rPr>
                <w:rFonts w:ascii="Arial" w:cs="Arial" w:eastAsia="Arial" w:hAnsi="Arial"/>
                <w:sz w:val="10"/>
                <w:szCs w:val="10"/>
                <w:color w:val="auto"/>
              </w:rPr>
              <w:t>35.27</w:t>
            </w:r>
          </w:p>
        </w:tc>
      </w:tr>
      <w:tr>
        <w:trPr>
          <w:trHeight w:val="126"/>
        </w:trPr>
        <w:tc>
          <w:tcPr>
            <w:tcW w:w="4680" w:type="dxa"/>
            <w:vAlign w:val="bottom"/>
          </w:tcPr>
          <w:p>
            <w:pPr>
              <w:ind w:left="20"/>
              <w:spacing w:after="0"/>
              <w:rPr>
                <w:sz w:val="20"/>
                <w:szCs w:val="20"/>
                <w:color w:val="auto"/>
              </w:rPr>
            </w:pPr>
            <w:r>
              <w:rPr>
                <w:rFonts w:ascii="Arial" w:cs="Arial" w:eastAsia="Arial" w:hAnsi="Arial"/>
                <w:sz w:val="10"/>
                <w:szCs w:val="10"/>
                <w:color w:val="auto"/>
              </w:rPr>
              <w:t>Q3</w:t>
            </w:r>
          </w:p>
        </w:tc>
        <w:tc>
          <w:tcPr>
            <w:tcW w:w="132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12.48</w:t>
            </w:r>
          </w:p>
        </w:tc>
        <w:tc>
          <w:tcPr>
            <w:tcW w:w="1820" w:type="dxa"/>
            <w:vAlign w:val="bottom"/>
          </w:tcPr>
          <w:p>
            <w:pPr>
              <w:jc w:val="right"/>
              <w:ind w:right="492"/>
              <w:spacing w:after="0"/>
              <w:rPr>
                <w:sz w:val="20"/>
                <w:szCs w:val="20"/>
                <w:color w:val="auto"/>
              </w:rPr>
            </w:pPr>
            <w:r>
              <w:rPr>
                <w:rFonts w:ascii="Arial" w:cs="Arial" w:eastAsia="Arial" w:hAnsi="Arial"/>
                <w:sz w:val="10"/>
                <w:szCs w:val="10"/>
                <w:color w:val="auto"/>
              </w:rPr>
              <w:t>35.73</w:t>
            </w:r>
          </w:p>
        </w:tc>
        <w:tc>
          <w:tcPr>
            <w:tcW w:w="1320" w:type="dxa"/>
            <w:vAlign w:val="bottom"/>
          </w:tcPr>
          <w:p>
            <w:pPr>
              <w:jc w:val="right"/>
              <w:ind w:right="492"/>
              <w:spacing w:after="0"/>
              <w:rPr>
                <w:sz w:val="20"/>
                <w:szCs w:val="20"/>
                <w:color w:val="auto"/>
              </w:rPr>
            </w:pPr>
            <w:r>
              <w:rPr>
                <w:rFonts w:ascii="Arial" w:cs="Arial" w:eastAsia="Arial" w:hAnsi="Arial"/>
                <w:sz w:val="10"/>
                <w:szCs w:val="10"/>
                <w:color w:val="auto"/>
              </w:rPr>
              <w:t>36.77</w:t>
            </w:r>
          </w:p>
        </w:tc>
        <w:tc>
          <w:tcPr>
            <w:tcW w:w="1280" w:type="dxa"/>
            <w:vAlign w:val="bottom"/>
          </w:tcPr>
          <w:p>
            <w:pPr>
              <w:jc w:val="right"/>
              <w:ind w:right="452"/>
              <w:spacing w:after="0"/>
              <w:rPr>
                <w:sz w:val="20"/>
                <w:szCs w:val="20"/>
                <w:color w:val="auto"/>
              </w:rPr>
            </w:pPr>
            <w:r>
              <w:rPr>
                <w:rFonts w:ascii="Arial" w:cs="Arial" w:eastAsia="Arial" w:hAnsi="Arial"/>
                <w:sz w:val="10"/>
                <w:szCs w:val="10"/>
                <w:color w:val="auto"/>
              </w:rPr>
              <w:t>35.02</w:t>
            </w:r>
          </w:p>
        </w:tc>
        <w:tc>
          <w:tcPr>
            <w:tcW w:w="860" w:type="dxa"/>
            <w:vAlign w:val="bottom"/>
          </w:tcPr>
          <w:p>
            <w:pPr>
              <w:jc w:val="right"/>
              <w:spacing w:after="0"/>
              <w:rPr>
                <w:sz w:val="20"/>
                <w:szCs w:val="20"/>
                <w:color w:val="auto"/>
              </w:rPr>
            </w:pPr>
            <w:r>
              <w:rPr>
                <w:rFonts w:ascii="Arial" w:cs="Arial" w:eastAsia="Arial" w:hAnsi="Arial"/>
                <w:sz w:val="10"/>
                <w:szCs w:val="10"/>
                <w:color w:val="auto"/>
              </w:rPr>
              <w:t>37.16</w:t>
            </w:r>
          </w:p>
        </w:tc>
      </w:tr>
      <w:tr>
        <w:trPr>
          <w:trHeight w:val="13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Q4 [B]</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TBA</w:t>
            </w: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36.40</w:t>
            </w:r>
          </w:p>
        </w:tc>
        <w:tc>
          <w:tcPr>
            <w:tcW w:w="13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35.94</w:t>
            </w: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33.91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38.64</w:t>
            </w:r>
          </w:p>
        </w:tc>
      </w:tr>
      <w:tr>
        <w:trPr>
          <w:trHeight w:val="117"/>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announced in respect of the year [B]</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TBA</w:t>
            </w: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147.11</w:t>
            </w:r>
          </w:p>
        </w:tc>
        <w:tc>
          <w:tcPr>
            <w:tcW w:w="13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144.39</w:t>
            </w: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142.33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144.05</w:t>
            </w:r>
          </w:p>
        </w:tc>
      </w:tr>
      <w:tr>
        <w:trPr>
          <w:trHeight w:val="11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Amount paid during the year</w:t>
            </w: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73.65</w:t>
            </w: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146.65</w:t>
            </w:r>
          </w:p>
        </w:tc>
        <w:tc>
          <w:tcPr>
            <w:tcW w:w="13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142.36</w:t>
            </w: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147.06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138.19</w:t>
            </w:r>
          </w:p>
        </w:tc>
      </w:tr>
    </w:tbl>
    <w:p>
      <w:pPr>
        <w:spacing w:after="0" w:line="56" w:lineRule="exact"/>
        <w:rPr>
          <w:sz w:val="20"/>
          <w:szCs w:val="20"/>
          <w:color w:val="auto"/>
        </w:rPr>
      </w:pPr>
    </w:p>
    <w:p>
      <w:pPr>
        <w:ind w:left="128" w:hanging="128"/>
        <w:spacing w:after="0"/>
        <w:tabs>
          <w:tab w:leader="none" w:pos="128" w:val="left"/>
        </w:tabs>
        <w:numPr>
          <w:ilvl w:val="0"/>
          <w:numId w:val="202"/>
        </w:numPr>
        <w:rPr>
          <w:rFonts w:ascii="Arial" w:cs="Arial" w:eastAsia="Arial" w:hAnsi="Arial"/>
          <w:sz w:val="7"/>
          <w:szCs w:val="7"/>
          <w:color w:val="auto"/>
        </w:rPr>
      </w:pPr>
      <w:r>
        <w:rPr>
          <w:rFonts w:ascii="Arial" w:cs="Arial" w:eastAsia="Arial" w:hAnsi="Arial"/>
          <w:sz w:val="7"/>
          <w:szCs w:val="7"/>
          <w:color w:val="auto"/>
        </w:rPr>
        <w:t>Sterling equivalent.</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202"/>
        </w:numPr>
        <w:rPr>
          <w:rFonts w:ascii="Arial" w:cs="Arial" w:eastAsia="Arial" w:hAnsi="Arial"/>
          <w:sz w:val="7"/>
          <w:szCs w:val="7"/>
          <w:color w:val="auto"/>
        </w:rPr>
      </w:pPr>
      <w:r>
        <w:rPr>
          <w:rFonts w:ascii="Arial" w:cs="Arial" w:eastAsia="Arial" w:hAnsi="Arial"/>
          <w:sz w:val="7"/>
          <w:szCs w:val="7"/>
          <w:color w:val="auto"/>
        </w:rPr>
        <w:t>Q4 2020 sterling equivalent will be announced on March 15, 2021</w:t>
      </w:r>
    </w:p>
    <w:p>
      <w:pPr>
        <w:spacing w:after="0" w:line="5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680" w:type="dxa"/>
            <w:vAlign w:val="bottom"/>
            <w:tcBorders>
              <w:top w:val="single" w:sz="8" w:color="CDCDCD"/>
            </w:tcBorders>
          </w:tcPr>
          <w:p>
            <w:pPr>
              <w:ind w:left="20"/>
              <w:spacing w:after="0"/>
              <w:rPr>
                <w:sz w:val="20"/>
                <w:szCs w:val="20"/>
                <w:color w:val="auto"/>
              </w:rPr>
            </w:pPr>
            <w:r>
              <w:rPr>
                <w:rFonts w:ascii="Arial" w:cs="Arial" w:eastAsia="Arial" w:hAnsi="Arial"/>
                <w:sz w:val="10"/>
                <w:szCs w:val="10"/>
                <w:color w:val="auto"/>
              </w:rPr>
              <w:t>A and B ADSs</w:t>
            </w:r>
          </w:p>
        </w:tc>
        <w:tc>
          <w:tcPr>
            <w:tcW w:w="1320" w:type="dxa"/>
            <w:vAlign w:val="bottom"/>
            <w:tcBorders>
              <w:top w:val="single" w:sz="8" w:color="CDCDCD"/>
            </w:tcBorders>
          </w:tcPr>
          <w:p>
            <w:pPr>
              <w:spacing w:after="0"/>
              <w:rPr>
                <w:sz w:val="13"/>
                <w:szCs w:val="13"/>
                <w:color w:val="auto"/>
              </w:rPr>
            </w:pPr>
          </w:p>
        </w:tc>
        <w:tc>
          <w:tcPr>
            <w:tcW w:w="1860" w:type="dxa"/>
            <w:vAlign w:val="bottom"/>
            <w:tcBorders>
              <w:top w:val="single" w:sz="8" w:color="CDCDCD"/>
            </w:tcBorders>
          </w:tcPr>
          <w:p>
            <w:pPr>
              <w:spacing w:after="0"/>
              <w:rPr>
                <w:sz w:val="13"/>
                <w:szCs w:val="13"/>
                <w:color w:val="auto"/>
              </w:rPr>
            </w:pPr>
          </w:p>
        </w:tc>
        <w:tc>
          <w:tcPr>
            <w:tcW w:w="134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spacing w:after="0"/>
              <w:rPr>
                <w:sz w:val="13"/>
                <w:szCs w:val="13"/>
                <w:color w:val="auto"/>
              </w:rPr>
            </w:pPr>
          </w:p>
        </w:tc>
        <w:tc>
          <w:tcPr>
            <w:tcW w:w="760" w:type="dxa"/>
            <w:vAlign w:val="bottom"/>
            <w:tcBorders>
              <w:top w:val="single" w:sz="8" w:color="CDCDCD"/>
            </w:tcBorders>
          </w:tcPr>
          <w:p>
            <w:pPr>
              <w:ind w:left="700"/>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3"/>
                <w:szCs w:val="13"/>
                <w:color w:val="auto"/>
              </w:rPr>
            </w:pPr>
          </w:p>
        </w:tc>
      </w:tr>
      <w:tr>
        <w:trPr>
          <w:trHeight w:val="127"/>
        </w:trPr>
        <w:tc>
          <w:tcPr>
            <w:tcW w:w="46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0"/>
                <w:szCs w:val="10"/>
                <w:color w:val="auto"/>
                <w:w w:val="80"/>
              </w:rPr>
              <w:t>2020</w:t>
            </w:r>
          </w:p>
        </w:tc>
        <w:tc>
          <w:tcPr>
            <w:tcW w:w="1860" w:type="dxa"/>
            <w:vAlign w:val="bottom"/>
            <w:tcBorders>
              <w:bottom w:val="single" w:sz="8" w:color="auto"/>
            </w:tcBorders>
          </w:tcPr>
          <w:p>
            <w:pPr>
              <w:ind w:left="1120"/>
              <w:spacing w:after="0"/>
              <w:rPr>
                <w:sz w:val="20"/>
                <w:szCs w:val="20"/>
                <w:color w:val="auto"/>
              </w:rPr>
            </w:pPr>
            <w:r>
              <w:rPr>
                <w:rFonts w:ascii="Arial" w:cs="Arial" w:eastAsia="Arial" w:hAnsi="Arial"/>
                <w:sz w:val="10"/>
                <w:szCs w:val="10"/>
                <w:color w:val="auto"/>
              </w:rPr>
              <w:t>2019</w:t>
            </w: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0"/>
                <w:szCs w:val="10"/>
                <w:color w:val="auto"/>
              </w:rPr>
              <w:t>2018</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2017</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w w:val="80"/>
              </w:rPr>
              <w:t>2016</w:t>
            </w:r>
          </w:p>
        </w:tc>
        <w:tc>
          <w:tcPr>
            <w:tcW w:w="20" w:type="dxa"/>
            <w:vAlign w:val="bottom"/>
          </w:tcPr>
          <w:p>
            <w:pPr>
              <w:spacing w:after="0"/>
              <w:rPr>
                <w:sz w:val="11"/>
                <w:szCs w:val="11"/>
                <w:color w:val="auto"/>
              </w:rPr>
            </w:pPr>
          </w:p>
        </w:tc>
      </w:tr>
      <w:tr>
        <w:trPr>
          <w:trHeight w:val="114"/>
        </w:trPr>
        <w:tc>
          <w:tcPr>
            <w:tcW w:w="4680" w:type="dxa"/>
            <w:vAlign w:val="bottom"/>
          </w:tcPr>
          <w:p>
            <w:pPr>
              <w:ind w:left="20"/>
              <w:spacing w:after="0"/>
              <w:rPr>
                <w:sz w:val="20"/>
                <w:szCs w:val="20"/>
                <w:color w:val="auto"/>
              </w:rPr>
            </w:pPr>
            <w:r>
              <w:rPr>
                <w:rFonts w:ascii="Arial" w:cs="Arial" w:eastAsia="Arial" w:hAnsi="Arial"/>
                <w:sz w:val="10"/>
                <w:szCs w:val="10"/>
                <w:color w:val="auto"/>
              </w:rPr>
              <w:t>Q1</w:t>
            </w:r>
          </w:p>
        </w:tc>
        <w:tc>
          <w:tcPr>
            <w:tcW w:w="1320" w:type="dxa"/>
            <w:vAlign w:val="bottom"/>
            <w:shd w:val="clear" w:color="auto" w:fill="D9D9D9"/>
          </w:tcPr>
          <w:p>
            <w:pPr>
              <w:ind w:left="1100"/>
              <w:spacing w:after="0"/>
              <w:rPr>
                <w:sz w:val="20"/>
                <w:szCs w:val="20"/>
                <w:color w:val="auto"/>
              </w:rPr>
            </w:pPr>
            <w:r>
              <w:rPr>
                <w:rFonts w:ascii="Arial" w:cs="Arial" w:eastAsia="Arial" w:hAnsi="Arial"/>
                <w:sz w:val="10"/>
                <w:szCs w:val="10"/>
                <w:color w:val="auto"/>
              </w:rPr>
              <w:t>0.32</w:t>
            </w:r>
          </w:p>
        </w:tc>
        <w:tc>
          <w:tcPr>
            <w:tcW w:w="1860" w:type="dxa"/>
            <w:vAlign w:val="bottom"/>
          </w:tcPr>
          <w:p>
            <w:pPr>
              <w:ind w:left="1100"/>
              <w:spacing w:after="0"/>
              <w:rPr>
                <w:sz w:val="20"/>
                <w:szCs w:val="20"/>
                <w:color w:val="auto"/>
              </w:rPr>
            </w:pPr>
            <w:r>
              <w:rPr>
                <w:rFonts w:ascii="Arial" w:cs="Arial" w:eastAsia="Arial" w:hAnsi="Arial"/>
                <w:sz w:val="10"/>
                <w:szCs w:val="10"/>
                <w:color w:val="auto"/>
              </w:rPr>
              <w:t>0.94</w:t>
            </w:r>
          </w:p>
        </w:tc>
        <w:tc>
          <w:tcPr>
            <w:tcW w:w="1340" w:type="dxa"/>
            <w:vAlign w:val="bottom"/>
          </w:tcPr>
          <w:p>
            <w:pPr>
              <w:ind w:left="580"/>
              <w:spacing w:after="0"/>
              <w:rPr>
                <w:sz w:val="20"/>
                <w:szCs w:val="20"/>
                <w:color w:val="auto"/>
              </w:rPr>
            </w:pPr>
            <w:r>
              <w:rPr>
                <w:rFonts w:ascii="Arial" w:cs="Arial" w:eastAsia="Arial" w:hAnsi="Arial"/>
                <w:sz w:val="10"/>
                <w:szCs w:val="10"/>
                <w:color w:val="auto"/>
              </w:rPr>
              <w:t>0.94</w:t>
            </w:r>
          </w:p>
        </w:tc>
        <w:tc>
          <w:tcPr>
            <w:tcW w:w="1320" w:type="dxa"/>
            <w:vAlign w:val="bottom"/>
          </w:tcPr>
          <w:p>
            <w:pPr>
              <w:ind w:left="560"/>
              <w:spacing w:after="0"/>
              <w:rPr>
                <w:sz w:val="20"/>
                <w:szCs w:val="20"/>
                <w:color w:val="auto"/>
              </w:rPr>
            </w:pPr>
            <w:r>
              <w:rPr>
                <w:rFonts w:ascii="Arial" w:cs="Arial" w:eastAsia="Arial" w:hAnsi="Arial"/>
                <w:sz w:val="10"/>
                <w:szCs w:val="10"/>
                <w:color w:val="auto"/>
              </w:rPr>
              <w:t>0.94</w:t>
            </w:r>
          </w:p>
        </w:tc>
        <w:tc>
          <w:tcPr>
            <w:tcW w:w="760" w:type="dxa"/>
            <w:vAlign w:val="bottom"/>
          </w:tcPr>
          <w:p>
            <w:pPr>
              <w:ind w:left="560"/>
              <w:spacing w:after="0"/>
              <w:rPr>
                <w:sz w:val="20"/>
                <w:szCs w:val="20"/>
                <w:color w:val="auto"/>
              </w:rPr>
            </w:pPr>
            <w:r>
              <w:rPr>
                <w:rFonts w:ascii="Arial" w:cs="Arial" w:eastAsia="Arial" w:hAnsi="Arial"/>
                <w:sz w:val="10"/>
                <w:szCs w:val="10"/>
                <w:color w:val="auto"/>
                <w:w w:val="92"/>
              </w:rPr>
              <w:t>0.94</w:t>
            </w:r>
          </w:p>
        </w:tc>
        <w:tc>
          <w:tcPr>
            <w:tcW w:w="20" w:type="dxa"/>
            <w:vAlign w:val="bottom"/>
          </w:tcPr>
          <w:p>
            <w:pPr>
              <w:spacing w:after="0"/>
              <w:rPr>
                <w:sz w:val="9"/>
                <w:szCs w:val="9"/>
                <w:color w:val="auto"/>
              </w:rPr>
            </w:pPr>
          </w:p>
        </w:tc>
      </w:tr>
      <w:tr>
        <w:trPr>
          <w:trHeight w:val="123"/>
        </w:trPr>
        <w:tc>
          <w:tcPr>
            <w:tcW w:w="4680" w:type="dxa"/>
            <w:vAlign w:val="bottom"/>
          </w:tcPr>
          <w:p>
            <w:pPr>
              <w:ind w:left="20"/>
              <w:spacing w:after="0"/>
              <w:rPr>
                <w:sz w:val="20"/>
                <w:szCs w:val="20"/>
                <w:color w:val="auto"/>
              </w:rPr>
            </w:pPr>
            <w:r>
              <w:rPr>
                <w:rFonts w:ascii="Arial" w:cs="Arial" w:eastAsia="Arial" w:hAnsi="Arial"/>
                <w:sz w:val="10"/>
                <w:szCs w:val="10"/>
                <w:color w:val="auto"/>
              </w:rPr>
              <w:t>Q2</w:t>
            </w:r>
          </w:p>
        </w:tc>
        <w:tc>
          <w:tcPr>
            <w:tcW w:w="1320" w:type="dxa"/>
            <w:vAlign w:val="bottom"/>
            <w:shd w:val="clear" w:color="auto" w:fill="D9D9D9"/>
          </w:tcPr>
          <w:p>
            <w:pPr>
              <w:ind w:left="1100"/>
              <w:spacing w:after="0"/>
              <w:rPr>
                <w:sz w:val="20"/>
                <w:szCs w:val="20"/>
                <w:color w:val="auto"/>
              </w:rPr>
            </w:pPr>
            <w:r>
              <w:rPr>
                <w:rFonts w:ascii="Arial" w:cs="Arial" w:eastAsia="Arial" w:hAnsi="Arial"/>
                <w:sz w:val="10"/>
                <w:szCs w:val="10"/>
                <w:color w:val="auto"/>
              </w:rPr>
              <w:t>0.32</w:t>
            </w:r>
          </w:p>
        </w:tc>
        <w:tc>
          <w:tcPr>
            <w:tcW w:w="1860" w:type="dxa"/>
            <w:vAlign w:val="bottom"/>
          </w:tcPr>
          <w:p>
            <w:pPr>
              <w:ind w:left="1100"/>
              <w:spacing w:after="0"/>
              <w:rPr>
                <w:sz w:val="20"/>
                <w:szCs w:val="20"/>
                <w:color w:val="auto"/>
              </w:rPr>
            </w:pPr>
            <w:r>
              <w:rPr>
                <w:rFonts w:ascii="Arial" w:cs="Arial" w:eastAsia="Arial" w:hAnsi="Arial"/>
                <w:sz w:val="10"/>
                <w:szCs w:val="10"/>
                <w:color w:val="auto"/>
              </w:rPr>
              <w:t>0.94</w:t>
            </w:r>
          </w:p>
        </w:tc>
        <w:tc>
          <w:tcPr>
            <w:tcW w:w="1340" w:type="dxa"/>
            <w:vAlign w:val="bottom"/>
          </w:tcPr>
          <w:p>
            <w:pPr>
              <w:ind w:left="580"/>
              <w:spacing w:after="0"/>
              <w:rPr>
                <w:sz w:val="20"/>
                <w:szCs w:val="20"/>
                <w:color w:val="auto"/>
              </w:rPr>
            </w:pPr>
            <w:r>
              <w:rPr>
                <w:rFonts w:ascii="Arial" w:cs="Arial" w:eastAsia="Arial" w:hAnsi="Arial"/>
                <w:sz w:val="10"/>
                <w:szCs w:val="10"/>
                <w:color w:val="auto"/>
              </w:rPr>
              <w:t>0.94</w:t>
            </w:r>
          </w:p>
        </w:tc>
        <w:tc>
          <w:tcPr>
            <w:tcW w:w="1320" w:type="dxa"/>
            <w:vAlign w:val="bottom"/>
          </w:tcPr>
          <w:p>
            <w:pPr>
              <w:ind w:left="560"/>
              <w:spacing w:after="0"/>
              <w:rPr>
                <w:sz w:val="20"/>
                <w:szCs w:val="20"/>
                <w:color w:val="auto"/>
              </w:rPr>
            </w:pPr>
            <w:r>
              <w:rPr>
                <w:rFonts w:ascii="Arial" w:cs="Arial" w:eastAsia="Arial" w:hAnsi="Arial"/>
                <w:sz w:val="10"/>
                <w:szCs w:val="10"/>
                <w:color w:val="auto"/>
              </w:rPr>
              <w:t>0.94</w:t>
            </w:r>
          </w:p>
        </w:tc>
        <w:tc>
          <w:tcPr>
            <w:tcW w:w="760" w:type="dxa"/>
            <w:vAlign w:val="bottom"/>
          </w:tcPr>
          <w:p>
            <w:pPr>
              <w:ind w:left="560"/>
              <w:spacing w:after="0"/>
              <w:rPr>
                <w:sz w:val="20"/>
                <w:szCs w:val="20"/>
                <w:color w:val="auto"/>
              </w:rPr>
            </w:pPr>
            <w:r>
              <w:rPr>
                <w:rFonts w:ascii="Arial" w:cs="Arial" w:eastAsia="Arial" w:hAnsi="Arial"/>
                <w:sz w:val="10"/>
                <w:szCs w:val="10"/>
                <w:color w:val="auto"/>
                <w:w w:val="92"/>
              </w:rPr>
              <w:t>0.94</w:t>
            </w:r>
          </w:p>
        </w:tc>
        <w:tc>
          <w:tcPr>
            <w:tcW w:w="20" w:type="dxa"/>
            <w:vAlign w:val="bottom"/>
          </w:tcPr>
          <w:p>
            <w:pPr>
              <w:spacing w:after="0"/>
              <w:rPr>
                <w:sz w:val="10"/>
                <w:szCs w:val="10"/>
                <w:color w:val="auto"/>
              </w:rPr>
            </w:pPr>
          </w:p>
        </w:tc>
      </w:tr>
      <w:tr>
        <w:trPr>
          <w:trHeight w:val="126"/>
        </w:trPr>
        <w:tc>
          <w:tcPr>
            <w:tcW w:w="4680" w:type="dxa"/>
            <w:vAlign w:val="bottom"/>
          </w:tcPr>
          <w:p>
            <w:pPr>
              <w:ind w:left="20"/>
              <w:spacing w:after="0"/>
              <w:rPr>
                <w:sz w:val="20"/>
                <w:szCs w:val="20"/>
                <w:color w:val="auto"/>
              </w:rPr>
            </w:pPr>
            <w:r>
              <w:rPr>
                <w:rFonts w:ascii="Arial" w:cs="Arial" w:eastAsia="Arial" w:hAnsi="Arial"/>
                <w:sz w:val="10"/>
                <w:szCs w:val="10"/>
                <w:color w:val="auto"/>
              </w:rPr>
              <w:t>Q3</w:t>
            </w:r>
          </w:p>
        </w:tc>
        <w:tc>
          <w:tcPr>
            <w:tcW w:w="1320" w:type="dxa"/>
            <w:vAlign w:val="bottom"/>
            <w:shd w:val="clear" w:color="auto" w:fill="D9D9D9"/>
          </w:tcPr>
          <w:p>
            <w:pPr>
              <w:ind w:left="1100"/>
              <w:spacing w:after="0"/>
              <w:rPr>
                <w:sz w:val="20"/>
                <w:szCs w:val="20"/>
                <w:color w:val="auto"/>
              </w:rPr>
            </w:pPr>
            <w:r>
              <w:rPr>
                <w:rFonts w:ascii="Arial" w:cs="Arial" w:eastAsia="Arial" w:hAnsi="Arial"/>
                <w:sz w:val="10"/>
                <w:szCs w:val="10"/>
                <w:color w:val="auto"/>
              </w:rPr>
              <w:t>0.33</w:t>
            </w:r>
          </w:p>
        </w:tc>
        <w:tc>
          <w:tcPr>
            <w:tcW w:w="1860" w:type="dxa"/>
            <w:vAlign w:val="bottom"/>
          </w:tcPr>
          <w:p>
            <w:pPr>
              <w:ind w:left="1100"/>
              <w:spacing w:after="0"/>
              <w:rPr>
                <w:sz w:val="20"/>
                <w:szCs w:val="20"/>
                <w:color w:val="auto"/>
              </w:rPr>
            </w:pPr>
            <w:r>
              <w:rPr>
                <w:rFonts w:ascii="Arial" w:cs="Arial" w:eastAsia="Arial" w:hAnsi="Arial"/>
                <w:sz w:val="10"/>
                <w:szCs w:val="10"/>
                <w:color w:val="auto"/>
              </w:rPr>
              <w:t>0.94</w:t>
            </w:r>
          </w:p>
        </w:tc>
        <w:tc>
          <w:tcPr>
            <w:tcW w:w="1340" w:type="dxa"/>
            <w:vAlign w:val="bottom"/>
          </w:tcPr>
          <w:p>
            <w:pPr>
              <w:ind w:left="580"/>
              <w:spacing w:after="0"/>
              <w:rPr>
                <w:sz w:val="20"/>
                <w:szCs w:val="20"/>
                <w:color w:val="auto"/>
              </w:rPr>
            </w:pPr>
            <w:r>
              <w:rPr>
                <w:rFonts w:ascii="Arial" w:cs="Arial" w:eastAsia="Arial" w:hAnsi="Arial"/>
                <w:sz w:val="10"/>
                <w:szCs w:val="10"/>
                <w:color w:val="auto"/>
              </w:rPr>
              <w:t>0.94</w:t>
            </w:r>
          </w:p>
        </w:tc>
        <w:tc>
          <w:tcPr>
            <w:tcW w:w="1320" w:type="dxa"/>
            <w:vAlign w:val="bottom"/>
          </w:tcPr>
          <w:p>
            <w:pPr>
              <w:ind w:left="560"/>
              <w:spacing w:after="0"/>
              <w:rPr>
                <w:sz w:val="20"/>
                <w:szCs w:val="20"/>
                <w:color w:val="auto"/>
              </w:rPr>
            </w:pPr>
            <w:r>
              <w:rPr>
                <w:rFonts w:ascii="Arial" w:cs="Arial" w:eastAsia="Arial" w:hAnsi="Arial"/>
                <w:sz w:val="10"/>
                <w:szCs w:val="10"/>
                <w:color w:val="auto"/>
              </w:rPr>
              <w:t>0.94</w:t>
            </w:r>
          </w:p>
        </w:tc>
        <w:tc>
          <w:tcPr>
            <w:tcW w:w="760" w:type="dxa"/>
            <w:vAlign w:val="bottom"/>
          </w:tcPr>
          <w:p>
            <w:pPr>
              <w:ind w:left="560"/>
              <w:spacing w:after="0"/>
              <w:rPr>
                <w:sz w:val="20"/>
                <w:szCs w:val="20"/>
                <w:color w:val="auto"/>
              </w:rPr>
            </w:pPr>
            <w:r>
              <w:rPr>
                <w:rFonts w:ascii="Arial" w:cs="Arial" w:eastAsia="Arial" w:hAnsi="Arial"/>
                <w:sz w:val="10"/>
                <w:szCs w:val="10"/>
                <w:color w:val="auto"/>
                <w:w w:val="92"/>
              </w:rPr>
              <w:t>0.94</w:t>
            </w:r>
          </w:p>
        </w:tc>
        <w:tc>
          <w:tcPr>
            <w:tcW w:w="20" w:type="dxa"/>
            <w:vAlign w:val="bottom"/>
          </w:tcPr>
          <w:p>
            <w:pPr>
              <w:spacing w:after="0"/>
              <w:rPr>
                <w:sz w:val="10"/>
                <w:szCs w:val="10"/>
                <w:color w:val="auto"/>
              </w:rPr>
            </w:pPr>
          </w:p>
        </w:tc>
      </w:tr>
      <w:tr>
        <w:trPr>
          <w:trHeight w:val="13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Q4</w:t>
            </w:r>
          </w:p>
        </w:tc>
        <w:tc>
          <w:tcPr>
            <w:tcW w:w="1320" w:type="dxa"/>
            <w:vAlign w:val="bottom"/>
            <w:tcBorders>
              <w:bottom w:val="single" w:sz="8" w:color="auto"/>
            </w:tcBorders>
            <w:shd w:val="clear" w:color="auto" w:fill="D9D9D9"/>
          </w:tcPr>
          <w:p>
            <w:pPr>
              <w:ind w:left="1100"/>
              <w:spacing w:after="0"/>
              <w:rPr>
                <w:sz w:val="20"/>
                <w:szCs w:val="20"/>
                <w:color w:val="auto"/>
              </w:rPr>
            </w:pPr>
            <w:r>
              <w:rPr>
                <w:rFonts w:ascii="Arial" w:cs="Arial" w:eastAsia="Arial" w:hAnsi="Arial"/>
                <w:sz w:val="10"/>
                <w:szCs w:val="10"/>
                <w:color w:val="auto"/>
              </w:rPr>
              <w:t>0.33</w:t>
            </w:r>
          </w:p>
        </w:tc>
        <w:tc>
          <w:tcPr>
            <w:tcW w:w="1860" w:type="dxa"/>
            <w:vAlign w:val="bottom"/>
            <w:tcBorders>
              <w:bottom w:val="single" w:sz="8" w:color="auto"/>
            </w:tcBorders>
          </w:tcPr>
          <w:p>
            <w:pPr>
              <w:ind w:left="1100"/>
              <w:spacing w:after="0"/>
              <w:rPr>
                <w:sz w:val="20"/>
                <w:szCs w:val="20"/>
                <w:color w:val="auto"/>
              </w:rPr>
            </w:pPr>
            <w:r>
              <w:rPr>
                <w:rFonts w:ascii="Arial" w:cs="Arial" w:eastAsia="Arial" w:hAnsi="Arial"/>
                <w:sz w:val="10"/>
                <w:szCs w:val="10"/>
                <w:color w:val="auto"/>
              </w:rPr>
              <w:t>0.94</w:t>
            </w: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0"/>
                <w:szCs w:val="10"/>
                <w:color w:val="auto"/>
              </w:rPr>
              <w:t>0.94</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0.94</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w w:val="92"/>
              </w:rPr>
              <w:t>0.94</w:t>
            </w:r>
          </w:p>
        </w:tc>
        <w:tc>
          <w:tcPr>
            <w:tcW w:w="20" w:type="dxa"/>
            <w:vAlign w:val="bottom"/>
          </w:tcPr>
          <w:p>
            <w:pPr>
              <w:spacing w:after="0"/>
              <w:rPr>
                <w:sz w:val="11"/>
                <w:szCs w:val="11"/>
                <w:color w:val="auto"/>
              </w:rPr>
            </w:pPr>
          </w:p>
        </w:tc>
      </w:tr>
      <w:tr>
        <w:trPr>
          <w:trHeight w:val="117"/>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announced in respect of the year</w:t>
            </w:r>
          </w:p>
        </w:tc>
        <w:tc>
          <w:tcPr>
            <w:tcW w:w="1320" w:type="dxa"/>
            <w:vAlign w:val="bottom"/>
            <w:tcBorders>
              <w:bottom w:val="single" w:sz="8" w:color="auto"/>
            </w:tcBorders>
            <w:shd w:val="clear" w:color="auto" w:fill="D9D9D9"/>
          </w:tcPr>
          <w:p>
            <w:pPr>
              <w:ind w:left="1100"/>
              <w:spacing w:after="0"/>
              <w:rPr>
                <w:sz w:val="20"/>
                <w:szCs w:val="20"/>
                <w:color w:val="auto"/>
              </w:rPr>
            </w:pPr>
            <w:r>
              <w:rPr>
                <w:rFonts w:ascii="Arial" w:cs="Arial" w:eastAsia="Arial" w:hAnsi="Arial"/>
                <w:sz w:val="10"/>
                <w:szCs w:val="10"/>
                <w:color w:val="auto"/>
              </w:rPr>
              <w:t>1.31</w:t>
            </w:r>
          </w:p>
        </w:tc>
        <w:tc>
          <w:tcPr>
            <w:tcW w:w="1860" w:type="dxa"/>
            <w:vAlign w:val="bottom"/>
            <w:tcBorders>
              <w:bottom w:val="single" w:sz="8" w:color="auto"/>
            </w:tcBorders>
          </w:tcPr>
          <w:p>
            <w:pPr>
              <w:ind w:left="1100"/>
              <w:spacing w:after="0"/>
              <w:rPr>
                <w:sz w:val="20"/>
                <w:szCs w:val="20"/>
                <w:color w:val="auto"/>
              </w:rPr>
            </w:pPr>
            <w:r>
              <w:rPr>
                <w:rFonts w:ascii="Arial" w:cs="Arial" w:eastAsia="Arial" w:hAnsi="Arial"/>
                <w:sz w:val="10"/>
                <w:szCs w:val="10"/>
                <w:color w:val="auto"/>
              </w:rPr>
              <w:t>3.76</w:t>
            </w: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0"/>
                <w:szCs w:val="10"/>
                <w:color w:val="auto"/>
              </w:rPr>
              <w:t>3.76</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3.76</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w w:val="92"/>
              </w:rPr>
              <w:t>3.76</w:t>
            </w:r>
          </w:p>
        </w:tc>
        <w:tc>
          <w:tcPr>
            <w:tcW w:w="20" w:type="dxa"/>
            <w:vAlign w:val="bottom"/>
          </w:tcPr>
          <w:p>
            <w:pPr>
              <w:spacing w:after="0"/>
              <w:rPr>
                <w:sz w:val="10"/>
                <w:szCs w:val="10"/>
                <w:color w:val="auto"/>
              </w:rPr>
            </w:pPr>
          </w:p>
        </w:tc>
      </w:tr>
      <w:tr>
        <w:trPr>
          <w:trHeight w:val="11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Amount paid during the year</w:t>
            </w:r>
          </w:p>
        </w:tc>
        <w:tc>
          <w:tcPr>
            <w:tcW w:w="1320" w:type="dxa"/>
            <w:vAlign w:val="bottom"/>
            <w:tcBorders>
              <w:bottom w:val="single" w:sz="8" w:color="auto"/>
            </w:tcBorders>
            <w:shd w:val="clear" w:color="auto" w:fill="D9D9D9"/>
          </w:tcPr>
          <w:p>
            <w:pPr>
              <w:ind w:left="1100"/>
              <w:spacing w:after="0"/>
              <w:rPr>
                <w:sz w:val="20"/>
                <w:szCs w:val="20"/>
                <w:color w:val="auto"/>
              </w:rPr>
            </w:pPr>
            <w:r>
              <w:rPr>
                <w:rFonts w:ascii="Arial" w:cs="Arial" w:eastAsia="Arial" w:hAnsi="Arial"/>
                <w:sz w:val="10"/>
                <w:szCs w:val="10"/>
                <w:color w:val="auto"/>
              </w:rPr>
              <w:t>1.91</w:t>
            </w:r>
          </w:p>
        </w:tc>
        <w:tc>
          <w:tcPr>
            <w:tcW w:w="1860" w:type="dxa"/>
            <w:vAlign w:val="bottom"/>
            <w:tcBorders>
              <w:bottom w:val="single" w:sz="8" w:color="auto"/>
            </w:tcBorders>
          </w:tcPr>
          <w:p>
            <w:pPr>
              <w:ind w:left="1100"/>
              <w:spacing w:after="0"/>
              <w:rPr>
                <w:sz w:val="20"/>
                <w:szCs w:val="20"/>
                <w:color w:val="auto"/>
              </w:rPr>
            </w:pPr>
            <w:r>
              <w:rPr>
                <w:rFonts w:ascii="Arial" w:cs="Arial" w:eastAsia="Arial" w:hAnsi="Arial"/>
                <w:sz w:val="10"/>
                <w:szCs w:val="10"/>
                <w:color w:val="auto"/>
              </w:rPr>
              <w:t>3.76</w:t>
            </w: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0"/>
                <w:szCs w:val="10"/>
                <w:color w:val="auto"/>
              </w:rPr>
              <w:t>3.76</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3.76</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w w:val="92"/>
              </w:rPr>
              <w:t>3.76</w:t>
            </w:r>
          </w:p>
        </w:tc>
        <w:tc>
          <w:tcPr>
            <w:tcW w:w="20" w:type="dxa"/>
            <w:vAlign w:val="bottom"/>
          </w:tcPr>
          <w:p>
            <w:pPr>
              <w:spacing w:after="0"/>
              <w:rPr>
                <w:sz w:val="10"/>
                <w:szCs w:val="10"/>
                <w:color w:val="auto"/>
              </w:rPr>
            </w:pPr>
          </w:p>
        </w:tc>
      </w:tr>
      <w:tr>
        <w:trPr>
          <w:trHeight w:val="649"/>
        </w:trPr>
        <w:tc>
          <w:tcPr>
            <w:tcW w:w="4680" w:type="dxa"/>
            <w:vAlign w:val="bottom"/>
          </w:tcPr>
          <w:p>
            <w:pPr>
              <w:spacing w:after="0"/>
              <w:rPr>
                <w:sz w:val="20"/>
                <w:szCs w:val="20"/>
                <w:color w:val="auto"/>
              </w:rPr>
            </w:pPr>
            <w:r>
              <w:rPr>
                <w:rFonts w:ascii="Arial" w:cs="Arial" w:eastAsia="Arial" w:hAnsi="Arial"/>
                <w:sz w:val="10"/>
                <w:szCs w:val="10"/>
                <w:color w:val="auto"/>
              </w:rPr>
              <w:t>METHOD OF HOLDING SHARES OR AN INTEREST IN SHARES</w:t>
            </w:r>
          </w:p>
        </w:tc>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1"/>
        </w:trPr>
        <w:tc>
          <w:tcPr>
            <w:tcW w:w="4680" w:type="dxa"/>
            <w:vAlign w:val="bottom"/>
          </w:tcPr>
          <w:p>
            <w:pPr>
              <w:ind w:left="40"/>
              <w:spacing w:after="0"/>
              <w:rPr>
                <w:sz w:val="20"/>
                <w:szCs w:val="20"/>
                <w:color w:val="auto"/>
              </w:rPr>
            </w:pPr>
            <w:r>
              <w:rPr>
                <w:rFonts w:ascii="Arial" w:cs="Arial" w:eastAsia="Arial" w:hAnsi="Arial"/>
                <w:sz w:val="7"/>
                <w:szCs w:val="7"/>
                <w:color w:val="auto"/>
              </w:rPr>
              <w:t>ADDITIONAL INFORMATION SHELL FORM 20-F 2020</w:t>
            </w:r>
          </w:p>
        </w:tc>
        <w:tc>
          <w:tcPr>
            <w:tcW w:w="1320" w:type="dxa"/>
            <w:vAlign w:val="bottom"/>
          </w:tcPr>
          <w:p>
            <w:pPr>
              <w:ind w:left="840"/>
              <w:spacing w:after="0"/>
              <w:rPr>
                <w:sz w:val="20"/>
                <w:szCs w:val="20"/>
                <w:color w:val="auto"/>
              </w:rPr>
            </w:pPr>
            <w:r>
              <w:rPr>
                <w:rFonts w:ascii="Arial" w:cs="Arial" w:eastAsia="Arial" w:hAnsi="Arial"/>
                <w:sz w:val="7"/>
                <w:szCs w:val="7"/>
                <w:color w:val="auto"/>
              </w:rPr>
              <w:t>237</w:t>
            </w:r>
          </w:p>
        </w:tc>
        <w:tc>
          <w:tcPr>
            <w:tcW w:w="18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13"/>
        </w:trPr>
        <w:tc>
          <w:tcPr>
            <w:tcW w:w="46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240" w:name="page241"/>
    <w:bookmarkEnd w:id="240"/>
    <w:p>
      <w:pPr>
        <w:ind w:left="8"/>
        <w:spacing w:after="0"/>
        <w:rPr>
          <w:sz w:val="20"/>
          <w:szCs w:val="20"/>
          <w:color w:val="auto"/>
        </w:rPr>
      </w:pPr>
      <w:r>
        <w:rPr>
          <w:rFonts w:ascii="Arial" w:cs="Arial" w:eastAsia="Arial" w:hAnsi="Arial"/>
          <w:sz w:val="8"/>
          <w:szCs w:val="8"/>
          <w:color w:val="auto"/>
        </w:rPr>
        <w:t>There are several ways in which Royal Dutch Shell plc registered shares or an interest in these shares can be held, including:</w:t>
      </w:r>
    </w:p>
    <w:p>
      <w:pPr>
        <w:spacing w:after="0" w:line="178" w:lineRule="exact"/>
        <w:rPr>
          <w:sz w:val="20"/>
          <w:szCs w:val="20"/>
          <w:color w:val="auto"/>
        </w:rPr>
      </w:pPr>
    </w:p>
    <w:p>
      <w:pPr>
        <w:ind w:left="108" w:hanging="108"/>
        <w:spacing w:after="0"/>
        <w:tabs>
          <w:tab w:leader="none" w:pos="108" w:val="left"/>
        </w:tabs>
        <w:numPr>
          <w:ilvl w:val="0"/>
          <w:numId w:val="203"/>
        </w:numPr>
        <w:rPr>
          <w:rFonts w:ascii="Arial" w:cs="Arial" w:eastAsia="Arial" w:hAnsi="Arial"/>
          <w:sz w:val="10"/>
          <w:szCs w:val="10"/>
          <w:color w:val="auto"/>
        </w:rPr>
      </w:pPr>
      <w:r>
        <w:rPr>
          <w:rFonts w:ascii="Arial" w:cs="Arial" w:eastAsia="Arial" w:hAnsi="Arial"/>
          <w:sz w:val="10"/>
          <w:szCs w:val="10"/>
          <w:color w:val="auto"/>
        </w:rPr>
        <w:t>directly as registered shares either in uncertificated form or in certificated form in a shareholder’s own name;</w:t>
      </w:r>
    </w:p>
    <w:p>
      <w:pPr>
        <w:spacing w:after="0" w:line="1" w:lineRule="exact"/>
        <w:rPr>
          <w:rFonts w:ascii="Arial" w:cs="Arial" w:eastAsia="Arial" w:hAnsi="Arial"/>
          <w:sz w:val="10"/>
          <w:szCs w:val="10"/>
          <w:color w:val="auto"/>
        </w:rPr>
      </w:pPr>
    </w:p>
    <w:p>
      <w:pPr>
        <w:ind w:left="108" w:hanging="108"/>
        <w:spacing w:after="0"/>
        <w:tabs>
          <w:tab w:leader="none" w:pos="108" w:val="left"/>
        </w:tabs>
        <w:numPr>
          <w:ilvl w:val="0"/>
          <w:numId w:val="203"/>
        </w:numPr>
        <w:rPr>
          <w:rFonts w:ascii="Arial" w:cs="Arial" w:eastAsia="Arial" w:hAnsi="Arial"/>
          <w:sz w:val="8"/>
          <w:szCs w:val="8"/>
          <w:color w:val="auto"/>
        </w:rPr>
      </w:pPr>
      <w:r>
        <w:rPr>
          <w:rFonts w:ascii="Arial" w:cs="Arial" w:eastAsia="Arial" w:hAnsi="Arial"/>
          <w:sz w:val="8"/>
          <w:szCs w:val="8"/>
          <w:color w:val="auto"/>
        </w:rPr>
        <w:t>indirectly through Euroclear Nederland (in respect of which the Dutch Securities Giro Act (Wet giraal effectenverkeer) is applicable);</w:t>
      </w:r>
    </w:p>
    <w:p>
      <w:pPr>
        <w:spacing w:after="0" w:line="16" w:lineRule="exact"/>
        <w:rPr>
          <w:rFonts w:ascii="Arial" w:cs="Arial" w:eastAsia="Arial" w:hAnsi="Arial"/>
          <w:sz w:val="8"/>
          <w:szCs w:val="8"/>
          <w:color w:val="auto"/>
        </w:rPr>
      </w:pPr>
    </w:p>
    <w:p>
      <w:pPr>
        <w:ind w:left="108" w:hanging="108"/>
        <w:spacing w:after="0" w:line="225" w:lineRule="auto"/>
        <w:tabs>
          <w:tab w:leader="none" w:pos="108" w:val="left"/>
        </w:tabs>
        <w:numPr>
          <w:ilvl w:val="0"/>
          <w:numId w:val="203"/>
        </w:numPr>
        <w:rPr>
          <w:rFonts w:ascii="Arial" w:cs="Arial" w:eastAsia="Arial" w:hAnsi="Arial"/>
          <w:sz w:val="10"/>
          <w:szCs w:val="10"/>
          <w:color w:val="auto"/>
        </w:rPr>
      </w:pPr>
      <w:r>
        <w:rPr>
          <w:rFonts w:ascii="Arial" w:cs="Arial" w:eastAsia="Arial" w:hAnsi="Arial"/>
          <w:sz w:val="10"/>
          <w:szCs w:val="10"/>
          <w:color w:val="auto"/>
        </w:rPr>
        <w:t>through the Royal Dutch Shell Corporate Nominee Service;</w:t>
      </w:r>
    </w:p>
    <w:p>
      <w:pPr>
        <w:ind w:left="108" w:hanging="108"/>
        <w:spacing w:after="0" w:line="225" w:lineRule="auto"/>
        <w:tabs>
          <w:tab w:leader="none" w:pos="108" w:val="left"/>
        </w:tabs>
        <w:numPr>
          <w:ilvl w:val="0"/>
          <w:numId w:val="203"/>
        </w:numPr>
        <w:rPr>
          <w:rFonts w:ascii="Arial" w:cs="Arial" w:eastAsia="Arial" w:hAnsi="Arial"/>
          <w:sz w:val="10"/>
          <w:szCs w:val="10"/>
          <w:color w:val="auto"/>
        </w:rPr>
      </w:pPr>
      <w:r>
        <w:rPr>
          <w:rFonts w:ascii="Arial" w:cs="Arial" w:eastAsia="Arial" w:hAnsi="Arial"/>
          <w:sz w:val="10"/>
          <w:szCs w:val="10"/>
          <w:color w:val="auto"/>
        </w:rPr>
        <w:t>through another third-party nominee or intermediary company; and</w:t>
      </w:r>
    </w:p>
    <w:p>
      <w:pPr>
        <w:ind w:left="108" w:hanging="108"/>
        <w:spacing w:after="0" w:line="236" w:lineRule="auto"/>
        <w:tabs>
          <w:tab w:leader="none" w:pos="108" w:val="left"/>
        </w:tabs>
        <w:numPr>
          <w:ilvl w:val="0"/>
          <w:numId w:val="203"/>
        </w:numPr>
        <w:rPr>
          <w:rFonts w:ascii="Arial" w:cs="Arial" w:eastAsia="Arial" w:hAnsi="Arial"/>
          <w:sz w:val="10"/>
          <w:szCs w:val="10"/>
          <w:color w:val="auto"/>
        </w:rPr>
      </w:pPr>
      <w:r>
        <w:rPr>
          <w:rFonts w:ascii="Arial" w:cs="Arial" w:eastAsia="Arial" w:hAnsi="Arial"/>
          <w:sz w:val="10"/>
          <w:szCs w:val="10"/>
          <w:color w:val="auto"/>
        </w:rPr>
        <w:t>as a direct or indirect holder of either an A or a B ADS with the Depositary.</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AMERICAN DEPOSITARY SHARES</w:t>
      </w:r>
    </w:p>
    <w:p>
      <w:pPr>
        <w:spacing w:after="0" w:line="1" w:lineRule="exact"/>
        <w:rPr>
          <w:sz w:val="20"/>
          <w:szCs w:val="20"/>
          <w:color w:val="auto"/>
        </w:rPr>
      </w:pPr>
    </w:p>
    <w:p>
      <w:pPr>
        <w:ind w:left="8" w:right="260"/>
        <w:spacing w:after="0" w:line="229" w:lineRule="auto"/>
        <w:rPr>
          <w:sz w:val="20"/>
          <w:szCs w:val="20"/>
          <w:color w:val="auto"/>
        </w:rPr>
      </w:pPr>
      <w:r>
        <w:rPr>
          <w:rFonts w:ascii="Arial" w:cs="Arial" w:eastAsia="Arial" w:hAnsi="Arial"/>
          <w:sz w:val="10"/>
          <w:szCs w:val="10"/>
          <w:color w:val="auto"/>
        </w:rPr>
        <w:t>The Depositary is the registered shareholder of the shares underlying the A or B ADSs and enjoys the rights of a shareholder under the Articles. Holders of ADSs will not have shareholder rights. The rights of the holder of an A or a B ADS are specified in the Deposit Agreement with the Depositary and are summarised below.</w:t>
      </w:r>
    </w:p>
    <w:p>
      <w:pPr>
        <w:spacing w:after="0" w:line="149" w:lineRule="exact"/>
        <w:rPr>
          <w:sz w:val="20"/>
          <w:szCs w:val="20"/>
          <w:color w:val="auto"/>
        </w:rPr>
      </w:pPr>
    </w:p>
    <w:p>
      <w:pPr>
        <w:ind w:left="8"/>
        <w:spacing w:after="0" w:line="296" w:lineRule="auto"/>
        <w:rPr>
          <w:sz w:val="20"/>
          <w:szCs w:val="20"/>
          <w:color w:val="auto"/>
        </w:rPr>
      </w:pPr>
      <w:r>
        <w:rPr>
          <w:rFonts w:ascii="Arial" w:cs="Arial" w:eastAsia="Arial" w:hAnsi="Arial"/>
          <w:sz w:val="8"/>
          <w:szCs w:val="8"/>
          <w:color w:val="auto"/>
        </w:rPr>
        <w:t>The Depositary will receive all cash dividends and other cash distributions made on the deposited shares underlying the ADSs and, where possible and on a reasonable basis, will distribute such dividends and distributions to holders of ADSs. Rights to purchase additional shares will also be made available to the Depositary who may make such rights available to holders of ADSs. All other distributions made on the Company’s shares will be distributed by the Depositary in any means that the Depositary thinks is equitable and practical. The Depositary may deduct its fees and expenses and the amount of any taxes owed from any payments to holders and it may sell a holder’s deposited shares to pay any taxes owed. The Depositary is not responsible if it decides that it is unlawful or impractical to make a distribution available to holders of ADSs.</w:t>
      </w:r>
    </w:p>
    <w:p>
      <w:pPr>
        <w:spacing w:after="0" w:line="237" w:lineRule="exact"/>
        <w:rPr>
          <w:sz w:val="20"/>
          <w:szCs w:val="20"/>
          <w:color w:val="auto"/>
        </w:rPr>
      </w:pPr>
    </w:p>
    <w:p>
      <w:pPr>
        <w:ind w:left="8" w:right="40"/>
        <w:spacing w:after="0" w:line="297" w:lineRule="auto"/>
        <w:rPr>
          <w:sz w:val="20"/>
          <w:szCs w:val="20"/>
          <w:color w:val="auto"/>
        </w:rPr>
      </w:pPr>
      <w:r>
        <w:rPr>
          <w:rFonts w:ascii="Arial" w:cs="Arial" w:eastAsia="Arial" w:hAnsi="Arial"/>
          <w:sz w:val="8"/>
          <w:szCs w:val="8"/>
          <w:color w:val="auto"/>
        </w:rPr>
        <w:t>The Depositary will notify holders of ADSs of shareholders’ meetings of the Company and will arrange to deliver voting materials to such holders of ADSs if requested by the Company. Upon request by a holder, the Depositary will endeavour to appoint such holder as proxy in respect of such holder’s deposited shares entitling such holder to attend and vote at shareholders’ meetings. Holders of ADSs may also instruct the Depositary to vote their deposited securities and the Depositary will try, as far as practical and lawful, to vote deposited shares in accordance with such instructions. The Company cannot ensure that holders will receive voting materials or otherwise learn of an upcoming shareholders’ meeting in time to ensure that holders can instruct the Depositary to vote their shares.</w:t>
      </w:r>
    </w:p>
    <w:p>
      <w:pPr>
        <w:spacing w:after="0" w:line="20" w:lineRule="exact"/>
        <w:rPr>
          <w:sz w:val="20"/>
          <w:szCs w:val="20"/>
          <w:color w:val="auto"/>
        </w:rPr>
      </w:pPr>
      <w:r>
        <w:rPr>
          <w:sz w:val="20"/>
          <w:szCs w:val="20"/>
          <w:color w:val="auto"/>
        </w:rPr>
        <w:br w:type="column"/>
      </w:r>
    </w:p>
    <w:p>
      <w:pPr>
        <w:ind w:right="200"/>
        <w:spacing w:after="0" w:line="234" w:lineRule="auto"/>
        <w:rPr>
          <w:sz w:val="20"/>
          <w:szCs w:val="20"/>
          <w:color w:val="auto"/>
        </w:rPr>
      </w:pPr>
      <w:r>
        <w:rPr>
          <w:rFonts w:ascii="Arial" w:cs="Arial" w:eastAsia="Arial" w:hAnsi="Arial"/>
          <w:sz w:val="10"/>
          <w:szCs w:val="10"/>
          <w:color w:val="auto"/>
        </w:rPr>
        <w:t>Upon payment of appropriate fees, expenses and taxes: (i) shareholders may deposit their shares with the Depositary and receive the corresponding class and amount of ADSs; and (ii) holders of ADSs may surrender their ADSs to the Depositary and have the corresponding class and amount of shares credited to their account.</w:t>
      </w:r>
    </w:p>
    <w:p>
      <w:pPr>
        <w:spacing w:after="0" w:line="150" w:lineRule="exact"/>
        <w:rPr>
          <w:sz w:val="20"/>
          <w:szCs w:val="20"/>
          <w:color w:val="auto"/>
        </w:rPr>
      </w:pPr>
    </w:p>
    <w:p>
      <w:pPr>
        <w:ind w:right="140"/>
        <w:spacing w:after="0" w:line="239" w:lineRule="auto"/>
        <w:rPr>
          <w:sz w:val="20"/>
          <w:szCs w:val="20"/>
          <w:color w:val="auto"/>
        </w:rPr>
      </w:pPr>
      <w:r>
        <w:rPr>
          <w:rFonts w:ascii="Arial" w:cs="Arial" w:eastAsia="Arial" w:hAnsi="Arial"/>
          <w:sz w:val="10"/>
          <w:szCs w:val="10"/>
          <w:color w:val="auto"/>
        </w:rPr>
        <w:t>Further, subject to certain limitations, holders may, at any time, cancel ADSs and withdraw their underlying shares or have the corresponding class and amount of shares credited to their account.</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FEES PAID BY HOLDERS OF ADSs</w:t>
      </w:r>
    </w:p>
    <w:p>
      <w:pPr>
        <w:spacing w:after="0" w:line="1" w:lineRule="exact"/>
        <w:rPr>
          <w:sz w:val="20"/>
          <w:szCs w:val="20"/>
          <w:color w:val="auto"/>
        </w:rPr>
      </w:pPr>
    </w:p>
    <w:p>
      <w:pPr>
        <w:ind w:right="140"/>
        <w:spacing w:after="0" w:line="300" w:lineRule="auto"/>
        <w:rPr>
          <w:sz w:val="20"/>
          <w:szCs w:val="20"/>
          <w:color w:val="auto"/>
        </w:rPr>
      </w:pPr>
      <w:r>
        <w:rPr>
          <w:rFonts w:ascii="Arial" w:cs="Arial" w:eastAsia="Arial" w:hAnsi="Arial"/>
          <w:sz w:val="8"/>
          <w:szCs w:val="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generally refuse to provide fee-attracting services until its fees for those services are paid. See page 236.</w:t>
      </w:r>
    </w:p>
    <w:p>
      <w:pPr>
        <w:spacing w:after="0" w:line="126" w:lineRule="exact"/>
        <w:rPr>
          <w:sz w:val="20"/>
          <w:szCs w:val="20"/>
          <w:color w:val="auto"/>
        </w:rPr>
      </w:pPr>
    </w:p>
    <w:p>
      <w:pPr>
        <w:spacing w:after="0"/>
        <w:rPr>
          <w:sz w:val="20"/>
          <w:szCs w:val="20"/>
          <w:color w:val="auto"/>
        </w:rPr>
      </w:pPr>
      <w:r>
        <w:rPr>
          <w:rFonts w:ascii="Arial" w:cs="Arial" w:eastAsia="Arial" w:hAnsi="Arial"/>
          <w:sz w:val="10"/>
          <w:szCs w:val="10"/>
          <w:color w:val="auto"/>
        </w:rPr>
        <w:t>PAYMENTS BY DEPOSITARY TO THE COMPANY</w:t>
      </w:r>
    </w:p>
    <w:p>
      <w:pPr>
        <w:spacing w:after="0" w:line="1" w:lineRule="exact"/>
        <w:rPr>
          <w:sz w:val="20"/>
          <w:szCs w:val="20"/>
          <w:color w:val="auto"/>
        </w:rPr>
      </w:pPr>
    </w:p>
    <w:p>
      <w:pPr>
        <w:ind w:right="140"/>
        <w:spacing w:after="0" w:line="227" w:lineRule="auto"/>
        <w:rPr>
          <w:sz w:val="20"/>
          <w:szCs w:val="20"/>
          <w:color w:val="auto"/>
        </w:rPr>
      </w:pPr>
      <w:r>
        <w:rPr>
          <w:rFonts w:ascii="Arial" w:cs="Arial" w:eastAsia="Arial" w:hAnsi="Arial"/>
          <w:sz w:val="10"/>
          <w:szCs w:val="10"/>
          <w:color w:val="auto"/>
        </w:rPr>
        <w:t>J.P. Morgan Chase Bank, N.A., as Depositary, has agreed to share with the Company portions of certain fees collected, less ADS programme expenses paid by the Depositary. For example, these expenses include the Depositary’s annual programme fees, transfer agency fees, custody fees, legal expenses, postage and envelopes for mailing annual and interim financial reports, printing and distributing dividend cheques, electronic filing of US federal tax information, mailing required tax forms, stationery, postage, facsimile and telephone calls and the standard out-of-pocket maintenance costs for the ADSs. From January 1, 2020, to February 12, 2021, the Company received $6,418,504.69 from the Depositary.</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DIVIDEND REINVESTMENT PLAN</w:t>
      </w:r>
    </w:p>
    <w:p>
      <w:pPr>
        <w:spacing w:after="0" w:line="1" w:lineRule="exact"/>
        <w:rPr>
          <w:sz w:val="20"/>
          <w:szCs w:val="20"/>
          <w:color w:val="auto"/>
        </w:rPr>
      </w:pPr>
    </w:p>
    <w:p>
      <w:pPr>
        <w:ind w:right="180"/>
        <w:spacing w:after="0" w:line="309" w:lineRule="auto"/>
        <w:rPr>
          <w:sz w:val="20"/>
          <w:szCs w:val="20"/>
          <w:color w:val="auto"/>
        </w:rPr>
      </w:pPr>
      <w:r>
        <w:rPr>
          <w:rFonts w:ascii="Arial" w:cs="Arial" w:eastAsia="Arial" w:hAnsi="Arial"/>
          <w:sz w:val="8"/>
          <w:szCs w:val="8"/>
          <w:color w:val="auto"/>
        </w:rPr>
        <w:t>Equiniti Financial Services Limited, part of the same group of companies as the Company’s Registrar, Equiniti Limited, operates a Dividend Reinvestment Plan (DRIP) which enables RDS shareholders to elect to have their dividend payments used to purchase RDS shares of the same class as those already held by them. More information can be found at www.shareview.co.uk/info/drip or by contacting Equiniti.</w:t>
      </w:r>
    </w:p>
    <w:p>
      <w:pPr>
        <w:spacing w:after="0" w:line="123" w:lineRule="exact"/>
        <w:rPr>
          <w:sz w:val="20"/>
          <w:szCs w:val="20"/>
          <w:color w:val="auto"/>
        </w:rPr>
      </w:pPr>
    </w:p>
    <w:p>
      <w:pPr>
        <w:ind w:right="300"/>
        <w:spacing w:after="0" w:line="239" w:lineRule="auto"/>
        <w:rPr>
          <w:sz w:val="20"/>
          <w:szCs w:val="20"/>
          <w:color w:val="auto"/>
        </w:rPr>
      </w:pPr>
      <w:r>
        <w:rPr>
          <w:rFonts w:ascii="Arial" w:cs="Arial" w:eastAsia="Arial" w:hAnsi="Arial"/>
          <w:sz w:val="10"/>
          <w:szCs w:val="10"/>
          <w:color w:val="auto"/>
        </w:rPr>
        <w:t>ABN AMRO Bank N.V. and JP Morgan Chase Bank N.A. also operate dividend reinvestment options. More information can be found by contacting the relevant provider.</w:t>
      </w:r>
    </w:p>
    <w:p>
      <w:pPr>
        <w:spacing w:after="0" w:line="60" w:lineRule="exact"/>
        <w:rPr>
          <w:sz w:val="20"/>
          <w:szCs w:val="20"/>
          <w:color w:val="auto"/>
        </w:rPr>
      </w:pPr>
    </w:p>
    <w:p>
      <w:pPr>
        <w:sectPr>
          <w:pgSz w:w="11900" w:h="16838" w:orient="portrait"/>
          <w:cols w:equalWidth="0" w:num="2">
            <w:col w:w="5428" w:space="300"/>
            <w:col w:w="5580"/>
          </w:cols>
          <w:pgMar w:left="292" w:top="640" w:right="299" w:bottom="1440" w:gutter="0" w:footer="0" w:header="0"/>
        </w:sectPr>
      </w:pPr>
    </w:p>
    <w:tbl>
      <w:tblPr>
        <w:tblLayout w:type="fixed"/>
        <w:tblInd w:w="8" w:type="dxa"/>
        <w:tblCellMar>
          <w:top w:w="0" w:type="dxa"/>
          <w:left w:w="0" w:type="dxa"/>
          <w:bottom w:w="0" w:type="dxa"/>
          <w:right w:w="0" w:type="dxa"/>
        </w:tblCellMar>
      </w:tblPr>
      <w:tr>
        <w:trPr>
          <w:trHeight w:val="160"/>
        </w:trPr>
        <w:tc>
          <w:tcPr>
            <w:tcW w:w="3940" w:type="dxa"/>
            <w:vAlign w:val="bottom"/>
            <w:tcBorders>
              <w:top w:val="single" w:sz="8" w:color="CDCDCD"/>
              <w:bottom w:val="single" w:sz="8" w:color="auto"/>
            </w:tcBorders>
          </w:tcPr>
          <w:p>
            <w:pPr>
              <w:ind w:left="20"/>
              <w:spacing w:after="0"/>
              <w:rPr>
                <w:sz w:val="20"/>
                <w:szCs w:val="20"/>
                <w:color w:val="auto"/>
              </w:rPr>
            </w:pPr>
            <w:r>
              <w:rPr>
                <w:rFonts w:ascii="Arial" w:cs="Arial" w:eastAsia="Arial" w:hAnsi="Arial"/>
                <w:sz w:val="10"/>
                <w:szCs w:val="10"/>
                <w:color w:val="auto"/>
              </w:rPr>
              <w:t>Persons depositing or withdrawing shares must pay:</w:t>
            </w:r>
          </w:p>
        </w:tc>
        <w:tc>
          <w:tcPr>
            <w:tcW w:w="7340" w:type="dxa"/>
            <w:vAlign w:val="bottom"/>
            <w:tcBorders>
              <w:top w:val="single" w:sz="8" w:color="CDCDCD"/>
              <w:bottom w:val="single" w:sz="8" w:color="auto"/>
            </w:tcBorders>
          </w:tcPr>
          <w:p>
            <w:pPr>
              <w:ind w:left="1880"/>
              <w:spacing w:after="0"/>
              <w:rPr>
                <w:sz w:val="20"/>
                <w:szCs w:val="20"/>
                <w:color w:val="auto"/>
              </w:rPr>
            </w:pPr>
            <w:r>
              <w:rPr>
                <w:rFonts w:ascii="Arial" w:cs="Arial" w:eastAsia="Arial" w:hAnsi="Arial"/>
                <w:sz w:val="10"/>
                <w:szCs w:val="10"/>
                <w:color w:val="auto"/>
              </w:rPr>
              <w:t>For:</w:t>
            </w:r>
          </w:p>
        </w:tc>
      </w:tr>
      <w:tr>
        <w:trPr>
          <w:trHeight w:val="81"/>
        </w:trPr>
        <w:tc>
          <w:tcPr>
            <w:tcW w:w="3940" w:type="dxa"/>
            <w:vAlign w:val="bottom"/>
          </w:tcPr>
          <w:p>
            <w:pPr>
              <w:ind w:left="20"/>
              <w:spacing w:after="0" w:line="81" w:lineRule="exact"/>
              <w:rPr>
                <w:sz w:val="20"/>
                <w:szCs w:val="20"/>
                <w:color w:val="auto"/>
              </w:rPr>
            </w:pPr>
            <w:r>
              <w:rPr>
                <w:rFonts w:ascii="Arial" w:cs="Arial" w:eastAsia="Arial" w:hAnsi="Arial"/>
                <w:sz w:val="8"/>
                <w:szCs w:val="8"/>
                <w:color w:val="auto"/>
              </w:rPr>
              <w:t>$5.00 or less per 100 ADSs (or portion of 100 ADSs)</w:t>
            </w:r>
          </w:p>
        </w:tc>
        <w:tc>
          <w:tcPr>
            <w:tcW w:w="7340" w:type="dxa"/>
            <w:vAlign w:val="bottom"/>
          </w:tcPr>
          <w:p>
            <w:pPr>
              <w:ind w:left="1880"/>
              <w:spacing w:after="0" w:line="81" w:lineRule="exact"/>
              <w:rPr>
                <w:sz w:val="20"/>
                <w:szCs w:val="20"/>
                <w:color w:val="auto"/>
              </w:rPr>
            </w:pPr>
            <w:r>
              <w:rPr>
                <w:rFonts w:ascii="Arial" w:cs="Arial" w:eastAsia="Arial" w:hAnsi="Arial"/>
                <w:sz w:val="8"/>
                <w:szCs w:val="8"/>
                <w:color w:val="auto"/>
              </w:rPr>
              <w:t>Issuance of ADSs, including those resulting from a distribution of shares, rights or other property;</w:t>
            </w:r>
          </w:p>
        </w:tc>
      </w:tr>
      <w:tr>
        <w:trPr>
          <w:trHeight w:val="90"/>
        </w:trPr>
        <w:tc>
          <w:tcPr>
            <w:tcW w:w="3940" w:type="dxa"/>
            <w:vAlign w:val="bottom"/>
          </w:tcPr>
          <w:p>
            <w:pPr>
              <w:spacing w:after="0"/>
              <w:rPr>
                <w:sz w:val="7"/>
                <w:szCs w:val="7"/>
                <w:color w:val="auto"/>
              </w:rPr>
            </w:pPr>
          </w:p>
        </w:tc>
        <w:tc>
          <w:tcPr>
            <w:tcW w:w="7340" w:type="dxa"/>
            <w:vAlign w:val="bottom"/>
          </w:tcPr>
          <w:p>
            <w:pPr>
              <w:ind w:left="1880"/>
              <w:spacing w:after="0" w:line="90" w:lineRule="exact"/>
              <w:rPr>
                <w:sz w:val="20"/>
                <w:szCs w:val="20"/>
                <w:color w:val="auto"/>
              </w:rPr>
            </w:pPr>
            <w:r>
              <w:rPr>
                <w:rFonts w:ascii="Arial" w:cs="Arial" w:eastAsia="Arial" w:hAnsi="Arial"/>
                <w:sz w:val="10"/>
                <w:szCs w:val="10"/>
                <w:color w:val="auto"/>
              </w:rPr>
              <w:t>Cancellation of ADSs for the purpose of their withdrawal, including if the deposit agreement terminates; and</w:t>
            </w:r>
          </w:p>
        </w:tc>
      </w:tr>
      <w:tr>
        <w:trPr>
          <w:trHeight w:val="124"/>
        </w:trPr>
        <w:tc>
          <w:tcPr>
            <w:tcW w:w="3940" w:type="dxa"/>
            <w:vAlign w:val="bottom"/>
            <w:tcBorders>
              <w:bottom w:val="single" w:sz="8" w:color="auto"/>
            </w:tcBorders>
          </w:tcPr>
          <w:p>
            <w:pPr>
              <w:spacing w:after="0"/>
              <w:rPr>
                <w:sz w:val="10"/>
                <w:szCs w:val="10"/>
                <w:color w:val="auto"/>
              </w:rPr>
            </w:pPr>
          </w:p>
        </w:tc>
        <w:tc>
          <w:tcPr>
            <w:tcW w:w="7340" w:type="dxa"/>
            <w:vAlign w:val="bottom"/>
            <w:tcBorders>
              <w:bottom w:val="single" w:sz="8" w:color="auto"/>
            </w:tcBorders>
          </w:tcPr>
          <w:p>
            <w:pPr>
              <w:ind w:left="1880"/>
              <w:spacing w:after="0"/>
              <w:rPr>
                <w:sz w:val="20"/>
                <w:szCs w:val="20"/>
                <w:color w:val="auto"/>
              </w:rPr>
            </w:pPr>
            <w:r>
              <w:rPr>
                <w:rFonts w:ascii="Arial" w:cs="Arial" w:eastAsia="Arial" w:hAnsi="Arial"/>
                <w:sz w:val="10"/>
                <w:szCs w:val="10"/>
                <w:color w:val="auto"/>
              </w:rPr>
              <w:t>Distribution of securities to holders of deposited securities by the Depositary to ADS registered holders.</w:t>
            </w:r>
          </w:p>
        </w:tc>
      </w:tr>
      <w:tr>
        <w:trPr>
          <w:trHeight w:val="81"/>
        </w:trPr>
        <w:tc>
          <w:tcPr>
            <w:tcW w:w="3940" w:type="dxa"/>
            <w:vAlign w:val="bottom"/>
          </w:tcPr>
          <w:p>
            <w:pPr>
              <w:ind w:left="20"/>
              <w:spacing w:after="0" w:line="81" w:lineRule="exact"/>
              <w:rPr>
                <w:sz w:val="20"/>
                <w:szCs w:val="20"/>
                <w:color w:val="auto"/>
              </w:rPr>
            </w:pPr>
            <w:r>
              <w:rPr>
                <w:rFonts w:ascii="Arial" w:cs="Arial" w:eastAsia="Arial" w:hAnsi="Arial"/>
                <w:sz w:val="8"/>
                <w:szCs w:val="8"/>
                <w:color w:val="auto"/>
              </w:rPr>
              <w:t>Registration and transfer fees</w:t>
            </w:r>
          </w:p>
        </w:tc>
        <w:tc>
          <w:tcPr>
            <w:tcW w:w="7340" w:type="dxa"/>
            <w:vAlign w:val="bottom"/>
          </w:tcPr>
          <w:p>
            <w:pPr>
              <w:ind w:left="1880"/>
              <w:spacing w:after="0" w:line="81" w:lineRule="exact"/>
              <w:rPr>
                <w:sz w:val="20"/>
                <w:szCs w:val="20"/>
                <w:color w:val="auto"/>
              </w:rPr>
            </w:pPr>
            <w:r>
              <w:rPr>
                <w:rFonts w:ascii="Arial" w:cs="Arial" w:eastAsia="Arial" w:hAnsi="Arial"/>
                <w:sz w:val="8"/>
                <w:szCs w:val="8"/>
                <w:color w:val="auto"/>
              </w:rPr>
              <w:t>Registration and transfer of shares on the share register to or from the name of the Depositary or its agent when they deposit or withdraw</w:t>
            </w:r>
          </w:p>
        </w:tc>
      </w:tr>
      <w:tr>
        <w:trPr>
          <w:trHeight w:val="124"/>
        </w:trPr>
        <w:tc>
          <w:tcPr>
            <w:tcW w:w="3940" w:type="dxa"/>
            <w:vAlign w:val="bottom"/>
            <w:tcBorders>
              <w:bottom w:val="single" w:sz="8" w:color="auto"/>
            </w:tcBorders>
          </w:tcPr>
          <w:p>
            <w:pPr>
              <w:spacing w:after="0"/>
              <w:rPr>
                <w:sz w:val="10"/>
                <w:szCs w:val="10"/>
                <w:color w:val="auto"/>
              </w:rPr>
            </w:pPr>
          </w:p>
        </w:tc>
        <w:tc>
          <w:tcPr>
            <w:tcW w:w="7340" w:type="dxa"/>
            <w:vAlign w:val="bottom"/>
            <w:tcBorders>
              <w:bottom w:val="single" w:sz="8" w:color="auto"/>
            </w:tcBorders>
          </w:tcPr>
          <w:p>
            <w:pPr>
              <w:ind w:left="1880"/>
              <w:spacing w:after="0"/>
              <w:rPr>
                <w:sz w:val="20"/>
                <w:szCs w:val="20"/>
                <w:color w:val="auto"/>
              </w:rPr>
            </w:pPr>
            <w:r>
              <w:rPr>
                <w:rFonts w:ascii="Arial" w:cs="Arial" w:eastAsia="Arial" w:hAnsi="Arial"/>
                <w:sz w:val="10"/>
                <w:szCs w:val="10"/>
                <w:color w:val="auto"/>
              </w:rPr>
              <w:t>shares.</w:t>
            </w:r>
          </w:p>
        </w:tc>
      </w:tr>
      <w:tr>
        <w:trPr>
          <w:trHeight w:val="81"/>
        </w:trPr>
        <w:tc>
          <w:tcPr>
            <w:tcW w:w="3940" w:type="dxa"/>
            <w:vAlign w:val="bottom"/>
          </w:tcPr>
          <w:p>
            <w:pPr>
              <w:ind w:left="20"/>
              <w:spacing w:after="0" w:line="81" w:lineRule="exact"/>
              <w:rPr>
                <w:sz w:val="20"/>
                <w:szCs w:val="20"/>
                <w:color w:val="auto"/>
              </w:rPr>
            </w:pPr>
            <w:r>
              <w:rPr>
                <w:rFonts w:ascii="Arial" w:cs="Arial" w:eastAsia="Arial" w:hAnsi="Arial"/>
                <w:sz w:val="8"/>
                <w:szCs w:val="8"/>
                <w:color w:val="auto"/>
              </w:rPr>
              <w:t>Expenses of the Depositary</w:t>
            </w:r>
          </w:p>
        </w:tc>
        <w:tc>
          <w:tcPr>
            <w:tcW w:w="7340" w:type="dxa"/>
            <w:vAlign w:val="bottom"/>
          </w:tcPr>
          <w:p>
            <w:pPr>
              <w:ind w:left="1880"/>
              <w:spacing w:after="0" w:line="81" w:lineRule="exact"/>
              <w:rPr>
                <w:sz w:val="20"/>
                <w:szCs w:val="20"/>
                <w:color w:val="auto"/>
              </w:rPr>
            </w:pPr>
            <w:r>
              <w:rPr>
                <w:rFonts w:ascii="Arial" w:cs="Arial" w:eastAsia="Arial" w:hAnsi="Arial"/>
                <w:sz w:val="8"/>
                <w:szCs w:val="8"/>
                <w:color w:val="auto"/>
              </w:rPr>
              <w:t>Cable, telex and facsimile transmissions (when expressly provided in the deposit agreement); and</w:t>
            </w:r>
          </w:p>
        </w:tc>
      </w:tr>
      <w:tr>
        <w:trPr>
          <w:trHeight w:val="121"/>
        </w:trPr>
        <w:tc>
          <w:tcPr>
            <w:tcW w:w="3940" w:type="dxa"/>
            <w:vAlign w:val="bottom"/>
          </w:tcPr>
          <w:p>
            <w:pPr>
              <w:spacing w:after="0"/>
              <w:rPr>
                <w:sz w:val="10"/>
                <w:szCs w:val="10"/>
                <w:color w:val="auto"/>
              </w:rPr>
            </w:pPr>
          </w:p>
        </w:tc>
        <w:tc>
          <w:tcPr>
            <w:tcW w:w="7340" w:type="dxa"/>
            <w:vAlign w:val="bottom"/>
          </w:tcPr>
          <w:p>
            <w:pPr>
              <w:ind w:left="1880"/>
              <w:spacing w:after="0"/>
              <w:rPr>
                <w:sz w:val="20"/>
                <w:szCs w:val="20"/>
                <w:color w:val="auto"/>
              </w:rPr>
            </w:pPr>
            <w:r>
              <w:rPr>
                <w:rFonts w:ascii="Arial" w:cs="Arial" w:eastAsia="Arial" w:hAnsi="Arial"/>
                <w:sz w:val="10"/>
                <w:szCs w:val="10"/>
                <w:color w:val="auto"/>
              </w:rPr>
              <w:t>Converting foreign currency into dollars.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7166610"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ind w:left="28"/>
        <w:spacing w:after="0"/>
        <w:rPr>
          <w:sz w:val="20"/>
          <w:szCs w:val="20"/>
          <w:color w:val="auto"/>
        </w:rPr>
      </w:pPr>
      <w:r>
        <w:rPr>
          <w:rFonts w:ascii="Arial" w:cs="Arial" w:eastAsia="Arial" w:hAnsi="Arial"/>
          <w:sz w:val="10"/>
          <w:szCs w:val="10"/>
          <w:color w:val="auto"/>
        </w:rPr>
        <w:t>Taxes and other governmental charges the Depositary or the custodian has to pay on any ADS or share underlying an ADS, for example, share transfer As necessary.</w:t>
      </w:r>
    </w:p>
    <w:p>
      <w:pPr>
        <w:ind w:left="28"/>
        <w:spacing w:after="0" w:line="236" w:lineRule="auto"/>
        <w:rPr>
          <w:sz w:val="20"/>
          <w:szCs w:val="20"/>
          <w:color w:val="auto"/>
        </w:rPr>
      </w:pPr>
      <w:r>
        <w:rPr>
          <w:rFonts w:ascii="Arial" w:cs="Arial" w:eastAsia="Arial" w:hAnsi="Arial"/>
          <w:sz w:val="10"/>
          <w:szCs w:val="10"/>
          <w:color w:val="auto"/>
        </w:rPr>
        <w:t>taxes, stamp duty or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7166610"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p>
      <w:pPr>
        <w:spacing w:after="0" w:line="68" w:lineRule="exact"/>
        <w:rPr>
          <w:sz w:val="20"/>
          <w:szCs w:val="20"/>
          <w:color w:val="auto"/>
        </w:rPr>
      </w:pPr>
    </w:p>
    <w:p>
      <w:pPr>
        <w:ind w:left="8"/>
        <w:spacing w:after="0" w:line="320" w:lineRule="auto"/>
        <w:rPr>
          <w:sz w:val="20"/>
          <w:szCs w:val="20"/>
          <w:color w:val="auto"/>
        </w:rPr>
      </w:pPr>
      <w:r>
        <w:rPr>
          <w:rFonts w:ascii="Arial" w:cs="Arial" w:eastAsia="Arial" w:hAnsi="Arial"/>
          <w:sz w:val="8"/>
          <w:szCs w:val="8"/>
          <w:color w:val="auto"/>
        </w:rPr>
        <w:t>In addition to the above, the Depositary may charge: (i) a dividend fee of $5.00 or less per 100 ADSs (or portion of 100 ADSs) for cash dividends or issuance of ADSs resulting from share dividends and (ii) an administrative fee of $5.00 or less per 100 ADSs (or portion of 100 ADSs) per calendar year. The Company and Depositary have agreed not to charge these fees at this time.</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0"/>
          <w:szCs w:val="10"/>
          <w:color w:val="auto"/>
        </w:rPr>
        <w:t>EXCHANGE CONTROLS AND OTHER LIMITATIONS AFFECTING SECURITY HOLDERS</w:t>
      </w:r>
    </w:p>
    <w:p>
      <w:pPr>
        <w:spacing w:after="0" w:line="1" w:lineRule="exact"/>
        <w:rPr>
          <w:sz w:val="20"/>
          <w:szCs w:val="20"/>
          <w:color w:val="auto"/>
        </w:rPr>
      </w:pPr>
    </w:p>
    <w:p>
      <w:pPr>
        <w:jc w:val="both"/>
        <w:ind w:left="8" w:right="60"/>
        <w:spacing w:after="0" w:line="309" w:lineRule="auto"/>
        <w:rPr>
          <w:sz w:val="20"/>
          <w:szCs w:val="20"/>
          <w:color w:val="auto"/>
        </w:rPr>
      </w:pPr>
      <w:r>
        <w:rPr>
          <w:rFonts w:ascii="Arial" w:cs="Arial" w:eastAsia="Arial" w:hAnsi="Arial"/>
          <w:sz w:val="8"/>
          <w:szCs w:val="8"/>
          <w:color w:val="auto"/>
        </w:rPr>
        <w:t>Other than restrictions affecting those individuals, entities, government bodies, corporations or agencies that are subject to European Union (EU) sanctions for example, regarding Syria, and those sanctions adopted by the government of the UK, and the general EU prohibition to transfer funds to and from for example, North Korea, we are not aware of any other</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120"/>
        <w:spacing w:after="0" w:line="358" w:lineRule="auto"/>
        <w:rPr>
          <w:sz w:val="20"/>
          <w:szCs w:val="20"/>
          <w:color w:val="auto"/>
        </w:rPr>
      </w:pPr>
      <w:r>
        <w:rPr>
          <w:rFonts w:ascii="Arial" w:cs="Arial" w:eastAsia="Arial" w:hAnsi="Arial"/>
          <w:sz w:val="8"/>
          <w:szCs w:val="8"/>
          <w:color w:val="auto"/>
        </w:rPr>
        <w:t>legislative or other legal provision currently in force in the UK, the Netherlands or arising under the Articles restricting remittances to holders of the Company’s ordinary shares who are non-residents of the UK, or affecting the import or export of capital.</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TAXATION</w:t>
      </w:r>
    </w:p>
    <w:p>
      <w:pPr>
        <w:spacing w:after="0" w:line="227" w:lineRule="auto"/>
        <w:rPr>
          <w:sz w:val="20"/>
          <w:szCs w:val="20"/>
          <w:color w:val="auto"/>
        </w:rPr>
      </w:pPr>
      <w:r>
        <w:rPr>
          <w:rFonts w:ascii="Arial" w:cs="Arial" w:eastAsia="Arial" w:hAnsi="Arial"/>
          <w:sz w:val="10"/>
          <w:szCs w:val="10"/>
          <w:color w:val="auto"/>
        </w:rPr>
        <w:t>General</w:t>
      </w:r>
    </w:p>
    <w:p>
      <w:pPr>
        <w:ind w:right="180"/>
        <w:spacing w:after="0" w:line="300" w:lineRule="auto"/>
        <w:rPr>
          <w:sz w:val="20"/>
          <w:szCs w:val="20"/>
          <w:color w:val="auto"/>
        </w:rPr>
      </w:pPr>
      <w:r>
        <w:rPr>
          <w:rFonts w:ascii="Arial" w:cs="Arial" w:eastAsia="Arial" w:hAnsi="Arial"/>
          <w:sz w:val="8"/>
          <w:szCs w:val="8"/>
          <w:color w:val="auto"/>
        </w:rPr>
        <w:t>The Company is incorporated in England and Wales and tax-resident in the Netherlands. As a tax resident of the Netherlands, it is generally required by Dutch law to withhold tax at a rate of 15% on dividends on its ordinary shares and ADSs, subject to the provisions of any applicable tax convention or domestic law. Depending on their particular circumstances, non-Dutch tax-resident holders may be entitled to a full or partial refund of Dutch withholding tax. The following sets forth the operation of other provisions</w:t>
      </w:r>
    </w:p>
    <w:p>
      <w:pPr>
        <w:spacing w:after="0" w:line="167" w:lineRule="exact"/>
        <w:rPr>
          <w:sz w:val="20"/>
          <w:szCs w:val="20"/>
          <w:color w:val="auto"/>
        </w:rPr>
      </w:pPr>
    </w:p>
    <w:p>
      <w:pPr>
        <w:sectPr>
          <w:pgSz w:w="11900" w:h="16838" w:orient="portrait"/>
          <w:cols w:equalWidth="0" w:num="2">
            <w:col w:w="5408" w:space="320"/>
            <w:col w:w="5580"/>
          </w:cols>
          <w:pgMar w:left="292" w:top="640" w:right="299" w:bottom="1440" w:gutter="0" w:footer="0" w:header="0"/>
          <w:type w:val="continuous"/>
        </w:sectPr>
      </w:pPr>
    </w:p>
    <w:tbl>
      <w:tblPr>
        <w:tblLayout w:type="fixed"/>
        <w:tblInd w:w="8" w:type="dxa"/>
        <w:tblCellMar>
          <w:top w:w="0" w:type="dxa"/>
          <w:left w:w="0" w:type="dxa"/>
          <w:bottom w:w="0" w:type="dxa"/>
          <w:right w:w="0" w:type="dxa"/>
        </w:tblCellMar>
      </w:tblPr>
      <w:tr>
        <w:trPr>
          <w:trHeight w:val="90"/>
        </w:trPr>
        <w:tc>
          <w:tcPr>
            <w:tcW w:w="3640" w:type="dxa"/>
            <w:vAlign w:val="bottom"/>
          </w:tcPr>
          <w:p>
            <w:pPr>
              <w:ind w:left="40"/>
              <w:spacing w:after="0"/>
              <w:rPr>
                <w:sz w:val="20"/>
                <w:szCs w:val="20"/>
                <w:color w:val="auto"/>
              </w:rPr>
            </w:pPr>
            <w:r>
              <w:rPr>
                <w:rFonts w:ascii="Arial" w:cs="Arial" w:eastAsia="Arial" w:hAnsi="Arial"/>
                <w:sz w:val="7"/>
                <w:szCs w:val="7"/>
                <w:color w:val="auto"/>
              </w:rPr>
              <w:t>ADDITIONAL INFORMATION SHELL FORM 20-F 2020</w:t>
            </w:r>
          </w:p>
        </w:tc>
        <w:tc>
          <w:tcPr>
            <w:tcW w:w="7660" w:type="dxa"/>
            <w:vAlign w:val="bottom"/>
          </w:tcPr>
          <w:p>
            <w:pPr>
              <w:jc w:val="right"/>
              <w:ind w:right="5624"/>
              <w:spacing w:after="0"/>
              <w:rPr>
                <w:sz w:val="20"/>
                <w:szCs w:val="20"/>
                <w:color w:val="auto"/>
              </w:rPr>
            </w:pPr>
            <w:r>
              <w:rPr>
                <w:rFonts w:ascii="Arial" w:cs="Arial" w:eastAsia="Arial" w:hAnsi="Arial"/>
                <w:sz w:val="7"/>
                <w:szCs w:val="7"/>
                <w:color w:val="auto"/>
              </w:rPr>
              <w:t>238</w:t>
            </w:r>
          </w:p>
        </w:tc>
      </w:tr>
      <w:tr>
        <w:trPr>
          <w:trHeight w:val="304"/>
        </w:trPr>
        <w:tc>
          <w:tcPr>
            <w:tcW w:w="364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241" w:name="page242"/>
    <w:bookmarkEnd w:id="241"/>
    <w:p>
      <w:pPr>
        <w:ind w:left="8" w:right="280"/>
        <w:spacing w:after="0" w:line="358" w:lineRule="auto"/>
        <w:rPr>
          <w:sz w:val="20"/>
          <w:szCs w:val="20"/>
          <w:color w:val="auto"/>
        </w:rPr>
      </w:pPr>
      <w:r>
        <w:rPr>
          <w:rFonts w:ascii="Arial" w:cs="Arial" w:eastAsia="Arial" w:hAnsi="Arial"/>
          <w:sz w:val="8"/>
          <w:szCs w:val="8"/>
          <w:color w:val="auto"/>
        </w:rPr>
        <w:t>on dividends on the Company’s various ordinary shares and ADSs to UK and US holders, as well as certain other tax rules pertinent to holders. Holders should consult their own tax adviser if they are uncertain as to the tax treatment of any dividend.</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0"/>
          <w:szCs w:val="10"/>
          <w:color w:val="auto"/>
        </w:rPr>
        <w:t>Dividends paid on the dividend access shares</w:t>
      </w:r>
    </w:p>
    <w:p>
      <w:pPr>
        <w:spacing w:after="0" w:line="1" w:lineRule="exact"/>
        <w:rPr>
          <w:sz w:val="20"/>
          <w:szCs w:val="20"/>
          <w:color w:val="auto"/>
        </w:rPr>
      </w:pPr>
    </w:p>
    <w:p>
      <w:pPr>
        <w:ind w:left="8" w:right="60"/>
        <w:spacing w:after="0" w:line="309" w:lineRule="auto"/>
        <w:rPr>
          <w:sz w:val="20"/>
          <w:szCs w:val="20"/>
          <w:color w:val="auto"/>
        </w:rPr>
      </w:pPr>
      <w:r>
        <w:rPr>
          <w:rFonts w:ascii="Arial" w:cs="Arial" w:eastAsia="Arial" w:hAnsi="Arial"/>
          <w:sz w:val="8"/>
          <w:szCs w:val="8"/>
          <w:color w:val="auto"/>
        </w:rPr>
        <w:t>There is no Dutch withholding tax on dividends on B shares or B ADSs, provided that such dividends are paid on the dividend access shares pursuant to the dividend access mechanism (see “Dividend access mechanism for B shares” on page 154). Dividends paid on the dividend access shares are treated as UK-source for tax purposes and there is no UK withholding tax on them.</w:t>
      </w:r>
    </w:p>
    <w:p>
      <w:pPr>
        <w:spacing w:after="0" w:line="123" w:lineRule="exact"/>
        <w:rPr>
          <w:sz w:val="20"/>
          <w:szCs w:val="20"/>
          <w:color w:val="auto"/>
        </w:rPr>
      </w:pPr>
    </w:p>
    <w:p>
      <w:pPr>
        <w:ind w:left="8" w:right="400"/>
        <w:spacing w:after="0" w:line="239" w:lineRule="auto"/>
        <w:rPr>
          <w:sz w:val="20"/>
          <w:szCs w:val="20"/>
          <w:color w:val="auto"/>
        </w:rPr>
      </w:pPr>
      <w:r>
        <w:rPr>
          <w:rFonts w:ascii="Arial" w:cs="Arial" w:eastAsia="Arial" w:hAnsi="Arial"/>
          <w:sz w:val="10"/>
          <w:szCs w:val="10"/>
          <w:color w:val="auto"/>
        </w:rPr>
        <w:t>In 2020, all dividends with respect to B shares and B ADSs were paid on the dividend access shares pursuant to the dividend access mechanism.</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Dutch withholding tax</w:t>
      </w:r>
    </w:p>
    <w:p>
      <w:pPr>
        <w:spacing w:after="0" w:line="1" w:lineRule="exact"/>
        <w:rPr>
          <w:sz w:val="20"/>
          <w:szCs w:val="20"/>
          <w:color w:val="auto"/>
        </w:rPr>
      </w:pPr>
    </w:p>
    <w:p>
      <w:pPr>
        <w:ind w:left="8" w:right="60"/>
        <w:spacing w:after="0" w:line="281" w:lineRule="auto"/>
        <w:rPr>
          <w:sz w:val="20"/>
          <w:szCs w:val="20"/>
          <w:color w:val="auto"/>
        </w:rPr>
      </w:pPr>
      <w:r>
        <w:rPr>
          <w:rFonts w:ascii="Arial" w:cs="Arial" w:eastAsia="Arial" w:hAnsi="Arial"/>
          <w:sz w:val="8"/>
          <w:szCs w:val="8"/>
          <w:color w:val="auto"/>
        </w:rPr>
        <w:t>When Dutch withholding tax applies on dividends paid to a US holder (that is, dividends on A shares or A ADSs, or on B shares or B ADSs that are not paid on the dividend access shares pursuant to the dividend access mechanism), the US holder will be subject to Dutch withholding tax at the rate of 15%. A US holder who is entitled to the benefits of the 1992 Double Taxation Convention (the Convention) between the USA and the Netherlands as amended by the protocol signed on March 8, 2004, will be entitled to a reduction in the Dutch withholding tax, either by way of a full or a partial exemption at source or by way of a partial refund or a credit as follows:</w:t>
      </w:r>
    </w:p>
    <w:p>
      <w:pPr>
        <w:spacing w:after="0" w:line="1" w:lineRule="exact"/>
        <w:rPr>
          <w:sz w:val="20"/>
          <w:szCs w:val="20"/>
          <w:color w:val="auto"/>
        </w:rPr>
      </w:pPr>
    </w:p>
    <w:p>
      <w:pPr>
        <w:ind w:left="108" w:right="100" w:hanging="108"/>
        <w:spacing w:after="0" w:line="225" w:lineRule="auto"/>
        <w:tabs>
          <w:tab w:leader="none" w:pos="106" w:val="left"/>
        </w:tabs>
        <w:numPr>
          <w:ilvl w:val="0"/>
          <w:numId w:val="204"/>
        </w:numPr>
        <w:rPr>
          <w:rFonts w:ascii="Arial" w:cs="Arial" w:eastAsia="Arial" w:hAnsi="Arial"/>
          <w:sz w:val="10"/>
          <w:szCs w:val="10"/>
          <w:color w:val="auto"/>
        </w:rPr>
      </w:pPr>
      <w:r>
        <w:rPr>
          <w:rFonts w:ascii="Arial" w:cs="Arial" w:eastAsia="Arial" w:hAnsi="Arial"/>
          <w:sz w:val="10"/>
          <w:szCs w:val="10"/>
          <w:color w:val="auto"/>
        </w:rPr>
        <w:t>if the US holder is an exempt pension trust as described in article 35 of the Convention, or an exempt organisation as described in article 36 thereof, the US holder will be exempt from Dutch withholding tax; or</w:t>
      </w:r>
    </w:p>
    <w:p>
      <w:pPr>
        <w:ind w:left="108" w:right="60" w:hanging="108"/>
        <w:spacing w:after="0" w:line="231" w:lineRule="auto"/>
        <w:tabs>
          <w:tab w:leader="none" w:pos="106" w:val="left"/>
        </w:tabs>
        <w:numPr>
          <w:ilvl w:val="0"/>
          <w:numId w:val="204"/>
        </w:numPr>
        <w:rPr>
          <w:rFonts w:ascii="Arial" w:cs="Arial" w:eastAsia="Arial" w:hAnsi="Arial"/>
          <w:sz w:val="10"/>
          <w:szCs w:val="10"/>
          <w:color w:val="auto"/>
        </w:rPr>
      </w:pPr>
      <w:r>
        <w:rPr>
          <w:rFonts w:ascii="Arial" w:cs="Arial" w:eastAsia="Arial" w:hAnsi="Arial"/>
          <w:sz w:val="10"/>
          <w:szCs w:val="10"/>
          <w:color w:val="auto"/>
        </w:rPr>
        <w:t>if the US holder is a company that holds directly at least 10% of the voting power in the Company, the US holder will be subject to Dutch withholding tax at a rate not exceeding 5%.</w:t>
      </w:r>
    </w:p>
    <w:p>
      <w:pPr>
        <w:spacing w:after="0" w:line="149" w:lineRule="exact"/>
        <w:rPr>
          <w:sz w:val="20"/>
          <w:szCs w:val="20"/>
          <w:color w:val="auto"/>
        </w:rPr>
      </w:pPr>
    </w:p>
    <w:p>
      <w:pPr>
        <w:ind w:left="8"/>
        <w:spacing w:after="0" w:line="232" w:lineRule="auto"/>
        <w:rPr>
          <w:sz w:val="20"/>
          <w:szCs w:val="20"/>
          <w:color w:val="auto"/>
        </w:rPr>
      </w:pPr>
      <w:r>
        <w:rPr>
          <w:rFonts w:ascii="Arial" w:cs="Arial" w:eastAsia="Arial" w:hAnsi="Arial"/>
          <w:sz w:val="10"/>
          <w:szCs w:val="10"/>
          <w:color w:val="auto"/>
        </w:rPr>
        <w:t>In general, the entire dividend (including any amount withheld) will be dividend income to the US holder and the withholding tax will be treated as a foreign income tax that is eligible for credit against the US holder’s income tax liability or a deduction subject to certain limitations. A “US holder” includes, but is not limited to, a citizen or resident of the USA, or a corporation or other entity organised under the laws of the USA or any of its political subdivisions.</w:t>
      </w:r>
    </w:p>
    <w:p>
      <w:pPr>
        <w:spacing w:after="0" w:line="149" w:lineRule="exact"/>
        <w:rPr>
          <w:sz w:val="20"/>
          <w:szCs w:val="20"/>
          <w:color w:val="auto"/>
        </w:rPr>
      </w:pPr>
    </w:p>
    <w:p>
      <w:pPr>
        <w:ind w:left="8" w:right="20"/>
        <w:spacing w:after="0" w:line="292" w:lineRule="auto"/>
        <w:rPr>
          <w:sz w:val="20"/>
          <w:szCs w:val="20"/>
          <w:color w:val="auto"/>
        </w:rPr>
      </w:pPr>
      <w:r>
        <w:rPr>
          <w:rFonts w:ascii="Arial" w:cs="Arial" w:eastAsia="Arial" w:hAnsi="Arial"/>
          <w:sz w:val="8"/>
          <w:szCs w:val="8"/>
          <w:color w:val="auto"/>
        </w:rPr>
        <w:t>When Dutch withholding tax applies on dividends paid to UK tax-resident holders (that is, dividends on A shares or A ADSs, or on B shares or B ADSs that are not paid on the dividend access shares pursuant to the dividend access mechanism), the dividend will typically be subject to withholding tax at a rate of 15%. Such UK tax-resident holder may be entitled to a credit (not repayable) for withholding tax against their UK tax liability. However, certain corporate shareholders are, subject to conditions, exempt from UK tax on dividends. Withholding tax suffered cannot be offset against such exempt dividends. UK tax-resident holders should also be entitled to claim a refund of one-third of the Dutch withholding tax from the Dutch tax authorities in reliance on the tax convention between the Netherlands and the UK. Pension plans meeting certain defined criteria can, however, be entitled to claim a full refund or exemption at source of the dividend tax withheld. Also, UK tax-resident corporate shareholders holding at least a 5% shareholding and meeting other defined criteria are exempted at source from dividend tax.</w:t>
      </w:r>
    </w:p>
    <w:p>
      <w:pPr>
        <w:spacing w:after="0" w:line="239" w:lineRule="exact"/>
        <w:rPr>
          <w:sz w:val="20"/>
          <w:szCs w:val="20"/>
          <w:color w:val="auto"/>
        </w:rPr>
      </w:pPr>
    </w:p>
    <w:p>
      <w:pPr>
        <w:ind w:left="8" w:right="100"/>
        <w:spacing w:after="0" w:line="358" w:lineRule="auto"/>
        <w:rPr>
          <w:sz w:val="20"/>
          <w:szCs w:val="20"/>
          <w:color w:val="auto"/>
        </w:rPr>
      </w:pPr>
      <w:r>
        <w:rPr>
          <w:rFonts w:ascii="Arial" w:cs="Arial" w:eastAsia="Arial" w:hAnsi="Arial"/>
          <w:sz w:val="8"/>
          <w:szCs w:val="8"/>
          <w:color w:val="auto"/>
        </w:rPr>
        <w:t>For holders who are tax-resident in any other country, the availability of a whole or partial exemption or refund of Dutch withholding tax is governed by Dutch tax law and/or the tax convention, if any, between the Netherlands and the country of the holder’s residence.</w:t>
      </w:r>
    </w:p>
    <w:p>
      <w:pPr>
        <w:spacing w:after="0" w:line="104" w:lineRule="exact"/>
        <w:rPr>
          <w:sz w:val="20"/>
          <w:szCs w:val="20"/>
          <w:color w:val="auto"/>
        </w:rPr>
      </w:pPr>
    </w:p>
    <w:p>
      <w:pPr>
        <w:ind w:left="8"/>
        <w:spacing w:after="0" w:line="358" w:lineRule="auto"/>
        <w:rPr>
          <w:sz w:val="20"/>
          <w:szCs w:val="20"/>
          <w:color w:val="auto"/>
        </w:rPr>
      </w:pPr>
      <w:r>
        <w:rPr>
          <w:rFonts w:ascii="Arial" w:cs="Arial" w:eastAsia="Arial" w:hAnsi="Arial"/>
          <w:sz w:val="8"/>
          <w:szCs w:val="8"/>
          <w:color w:val="auto"/>
        </w:rPr>
        <w:t>There may be other grounds on which holders who are tax-resident in the UK, the USA or any other country can obtain a full or partial refund of the Dutch withholding tax, depending on their particular circumstances; see “Taxation: General” above.</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0"/>
          <w:szCs w:val="10"/>
          <w:color w:val="auto"/>
        </w:rPr>
        <w:t>Dutch capital gains taxation</w:t>
      </w:r>
    </w:p>
    <w:p>
      <w:pPr>
        <w:spacing w:after="0" w:line="1" w:lineRule="exact"/>
        <w:rPr>
          <w:sz w:val="20"/>
          <w:szCs w:val="20"/>
          <w:color w:val="auto"/>
        </w:rPr>
      </w:pPr>
    </w:p>
    <w:p>
      <w:pPr>
        <w:ind w:left="8" w:right="120"/>
        <w:spacing w:after="0" w:line="231" w:lineRule="auto"/>
        <w:rPr>
          <w:sz w:val="20"/>
          <w:szCs w:val="20"/>
          <w:color w:val="auto"/>
        </w:rPr>
      </w:pPr>
      <w:r>
        <w:rPr>
          <w:rFonts w:ascii="Arial" w:cs="Arial" w:eastAsia="Arial" w:hAnsi="Arial"/>
          <w:sz w:val="10"/>
          <w:szCs w:val="10"/>
          <w:color w:val="auto"/>
        </w:rPr>
        <w:t>Capital gains on the sale of shares of a Dutch tax-resident company by a US holder are generally not subject to taxation by the Netherlands unless the US holder has a permanent establishment therein and the capital gain is derived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from the sale of shares that are part of the business property of the permanent establishment.</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Dutch succession duty and gift taxes</w:t>
      </w:r>
    </w:p>
    <w:p>
      <w:pPr>
        <w:spacing w:after="0" w:line="1" w:lineRule="exact"/>
        <w:rPr>
          <w:sz w:val="20"/>
          <w:szCs w:val="20"/>
          <w:color w:val="auto"/>
        </w:rPr>
      </w:pPr>
    </w:p>
    <w:p>
      <w:pPr>
        <w:ind w:right="120"/>
        <w:spacing w:after="0" w:line="231" w:lineRule="auto"/>
        <w:rPr>
          <w:sz w:val="20"/>
          <w:szCs w:val="20"/>
          <w:color w:val="auto"/>
        </w:rPr>
      </w:pPr>
      <w:r>
        <w:rPr>
          <w:rFonts w:ascii="Arial" w:cs="Arial" w:eastAsia="Arial" w:hAnsi="Arial"/>
          <w:sz w:val="10"/>
          <w:szCs w:val="10"/>
          <w:color w:val="auto"/>
        </w:rPr>
        <w:t>Shares of a Dutch tax-resident company held by an individual who is not a resident or a deemed resident of the Netherlands will generally not be subject to succession duty in the Netherlands on the individual’s death.</w:t>
      </w:r>
    </w:p>
    <w:p>
      <w:pPr>
        <w:spacing w:after="0" w:line="149" w:lineRule="exact"/>
        <w:rPr>
          <w:sz w:val="20"/>
          <w:szCs w:val="20"/>
          <w:color w:val="auto"/>
        </w:rPr>
      </w:pPr>
    </w:p>
    <w:p>
      <w:pPr>
        <w:ind w:right="200"/>
        <w:spacing w:after="0" w:line="239" w:lineRule="auto"/>
        <w:rPr>
          <w:sz w:val="20"/>
          <w:szCs w:val="20"/>
          <w:color w:val="auto"/>
        </w:rPr>
      </w:pPr>
      <w:r>
        <w:rPr>
          <w:rFonts w:ascii="Arial" w:cs="Arial" w:eastAsia="Arial" w:hAnsi="Arial"/>
          <w:sz w:val="10"/>
          <w:szCs w:val="10"/>
          <w:color w:val="auto"/>
        </w:rPr>
        <w:t>A gift of shares of a Dutch tax-resident company by an individual who is not a resident or a deemed resident of the Netherlands is generally not subject to Dutch gift tax.</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UK stamp duty and stamp duty reserve tax</w:t>
      </w:r>
    </w:p>
    <w:p>
      <w:pPr>
        <w:spacing w:after="0" w:line="1" w:lineRule="exact"/>
        <w:rPr>
          <w:sz w:val="20"/>
          <w:szCs w:val="20"/>
          <w:color w:val="auto"/>
        </w:rPr>
      </w:pPr>
    </w:p>
    <w:p>
      <w:pPr>
        <w:ind w:right="240"/>
        <w:spacing w:after="0" w:line="229" w:lineRule="auto"/>
        <w:rPr>
          <w:sz w:val="20"/>
          <w:szCs w:val="20"/>
          <w:color w:val="auto"/>
        </w:rPr>
      </w:pPr>
      <w:r>
        <w:rPr>
          <w:rFonts w:ascii="Arial" w:cs="Arial" w:eastAsia="Arial" w:hAnsi="Arial"/>
          <w:sz w:val="10"/>
          <w:szCs w:val="10"/>
          <w:color w:val="auto"/>
        </w:rPr>
        <w:t>Sales or transfers of the Company’s ordinary shares within a clearance service (such as Euroclear Nederland) or of the Company’s ADSs within the ADS depositary receipts system will not give rise to a stamp duty reserve tax (SDRT) liability and should not in practice require the payment of UK stamp duty.</w:t>
      </w:r>
    </w:p>
    <w:p>
      <w:pPr>
        <w:spacing w:after="0" w:line="149" w:lineRule="exact"/>
        <w:rPr>
          <w:sz w:val="20"/>
          <w:szCs w:val="20"/>
          <w:color w:val="auto"/>
        </w:rPr>
      </w:pPr>
    </w:p>
    <w:p>
      <w:pPr>
        <w:ind w:right="160"/>
        <w:spacing w:after="0" w:line="231" w:lineRule="auto"/>
        <w:rPr>
          <w:sz w:val="20"/>
          <w:szCs w:val="20"/>
          <w:color w:val="auto"/>
        </w:rPr>
      </w:pPr>
      <w:r>
        <w:rPr>
          <w:rFonts w:ascii="Arial" w:cs="Arial" w:eastAsia="Arial" w:hAnsi="Arial"/>
          <w:sz w:val="10"/>
          <w:szCs w:val="10"/>
          <w:color w:val="auto"/>
        </w:rPr>
        <w:t>The transfer of the Company’s ordinary shares to a clearance service (such as Euroclear Nederland) or to an issuer of depositary shares (such as ADSs) will generally give rise to a UK stamp duty or SDRT liability at the rate of 1.5% of consideration given or, if none, of the value of the shares. A sale of the Company’s ordinary shares that are not held within a clearance service (for example, settled through the UK’s CREST system of paperless transfers) will generally be subject to UK stamp duty or SDRT at the rate of 0.5% of the amount of the consideration, normally paid by the purchaser.</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Capital gains tax</w:t>
      </w:r>
    </w:p>
    <w:p>
      <w:pPr>
        <w:spacing w:after="0" w:line="1" w:lineRule="exact"/>
        <w:rPr>
          <w:sz w:val="20"/>
          <w:szCs w:val="20"/>
          <w:color w:val="auto"/>
        </w:rPr>
      </w:pPr>
    </w:p>
    <w:p>
      <w:pPr>
        <w:ind w:right="160"/>
        <w:spacing w:after="0" w:line="231" w:lineRule="auto"/>
        <w:rPr>
          <w:sz w:val="20"/>
          <w:szCs w:val="20"/>
          <w:color w:val="auto"/>
        </w:rPr>
      </w:pPr>
      <w:r>
        <w:rPr>
          <w:rFonts w:ascii="Arial" w:cs="Arial" w:eastAsia="Arial" w:hAnsi="Arial"/>
          <w:sz w:val="10"/>
          <w:szCs w:val="10"/>
          <w:color w:val="auto"/>
        </w:rPr>
        <w:t>For the purposes of UK capital gains tax, the market values [A] of the shares of the former public parent companies of the Royal Dutch/Shell Group at the relevant dates were:</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3200" w:type="dxa"/>
            <w:vAlign w:val="bottom"/>
            <w:tcBorders>
              <w:top w:val="single" w:sz="8" w:color="CDCDCD"/>
            </w:tcBorders>
          </w:tcPr>
          <w:p>
            <w:pPr>
              <w:spacing w:after="0"/>
              <w:rPr>
                <w:sz w:val="13"/>
                <w:szCs w:val="13"/>
                <w:color w:val="auto"/>
              </w:rPr>
            </w:pPr>
          </w:p>
        </w:tc>
        <w:tc>
          <w:tcPr>
            <w:tcW w:w="1320" w:type="dxa"/>
            <w:vAlign w:val="bottom"/>
            <w:tcBorders>
              <w:top w:val="single" w:sz="8" w:color="CDCDCD"/>
            </w:tcBorders>
          </w:tcPr>
          <w:p>
            <w:pPr>
              <w:spacing w:after="0"/>
              <w:rPr>
                <w:sz w:val="13"/>
                <w:szCs w:val="13"/>
                <w:color w:val="auto"/>
              </w:rPr>
            </w:pPr>
          </w:p>
        </w:tc>
        <w:tc>
          <w:tcPr>
            <w:tcW w:w="90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March 31, 1982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July 20, 2005</w:t>
            </w:r>
          </w:p>
        </w:tc>
        <w:tc>
          <w:tcPr>
            <w:tcW w:w="0" w:type="dxa"/>
            <w:vAlign w:val="bottom"/>
          </w:tcPr>
          <w:p>
            <w:pPr>
              <w:spacing w:after="0"/>
              <w:rPr>
                <w:sz w:val="1"/>
                <w:szCs w:val="1"/>
                <w:color w:val="auto"/>
              </w:rPr>
            </w:pPr>
          </w:p>
        </w:tc>
      </w:tr>
      <w:tr>
        <w:trPr>
          <w:trHeight w:val="83"/>
        </w:trPr>
        <w:tc>
          <w:tcPr>
            <w:tcW w:w="3200" w:type="dxa"/>
            <w:vAlign w:val="bottom"/>
          </w:tcPr>
          <w:p>
            <w:pPr>
              <w:spacing w:after="0" w:line="83" w:lineRule="exact"/>
              <w:rPr>
                <w:sz w:val="20"/>
                <w:szCs w:val="20"/>
                <w:color w:val="auto"/>
              </w:rPr>
            </w:pPr>
            <w:r>
              <w:rPr>
                <w:rFonts w:ascii="Arial" w:cs="Arial" w:eastAsia="Arial" w:hAnsi="Arial"/>
                <w:sz w:val="8"/>
                <w:szCs w:val="8"/>
                <w:color w:val="auto"/>
              </w:rPr>
              <w:t>Royal Dutch Petroleum Company (N.V. Koninklijke Nederlandsche</w:t>
            </w:r>
          </w:p>
        </w:tc>
        <w:tc>
          <w:tcPr>
            <w:tcW w:w="1320" w:type="dxa"/>
            <w:vAlign w:val="bottom"/>
            <w:vMerge w:val="restart"/>
          </w:tcPr>
          <w:p>
            <w:pPr>
              <w:jc w:val="right"/>
              <w:ind w:right="332"/>
              <w:spacing w:after="0"/>
              <w:rPr>
                <w:sz w:val="20"/>
                <w:szCs w:val="20"/>
                <w:color w:val="auto"/>
              </w:rPr>
            </w:pPr>
            <w:r>
              <w:rPr>
                <w:rFonts w:ascii="Arial" w:cs="Arial" w:eastAsia="Arial" w:hAnsi="Arial"/>
                <w:sz w:val="10"/>
                <w:szCs w:val="10"/>
                <w:color w:val="auto"/>
              </w:rPr>
              <w:t>1.1349</w:t>
            </w: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17.6625</w:t>
            </w:r>
          </w:p>
        </w:tc>
        <w:tc>
          <w:tcPr>
            <w:tcW w:w="0" w:type="dxa"/>
            <w:vAlign w:val="bottom"/>
          </w:tcPr>
          <w:p>
            <w:pPr>
              <w:spacing w:after="0"/>
              <w:rPr>
                <w:sz w:val="1"/>
                <w:szCs w:val="1"/>
                <w:color w:val="auto"/>
              </w:rPr>
            </w:pPr>
          </w:p>
        </w:tc>
      </w:tr>
      <w:tr>
        <w:trPr>
          <w:trHeight w:val="124"/>
        </w:trPr>
        <w:tc>
          <w:tcPr>
            <w:tcW w:w="320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w w:val="97"/>
              </w:rPr>
              <w:t>Petroleum Maatschappij) which ceased to exist on December 21, 2005</w:t>
            </w:r>
          </w:p>
        </w:tc>
        <w:tc>
          <w:tcPr>
            <w:tcW w:w="132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line="81" w:lineRule="exact"/>
              <w:rPr>
                <w:sz w:val="20"/>
                <w:szCs w:val="20"/>
                <w:color w:val="auto"/>
              </w:rPr>
            </w:pPr>
            <w:r>
              <w:rPr>
                <w:rFonts w:ascii="Arial" w:cs="Arial" w:eastAsia="Arial" w:hAnsi="Arial"/>
                <w:sz w:val="8"/>
                <w:szCs w:val="8"/>
                <w:color w:val="auto"/>
              </w:rPr>
              <w:t>The “Shell” Transport and Trading Company, p.l.c. which delisted on July</w:t>
            </w:r>
          </w:p>
        </w:tc>
        <w:tc>
          <w:tcPr>
            <w:tcW w:w="1320" w:type="dxa"/>
            <w:vAlign w:val="bottom"/>
            <w:vMerge w:val="restart"/>
          </w:tcPr>
          <w:p>
            <w:pPr>
              <w:jc w:val="right"/>
              <w:ind w:right="332"/>
              <w:spacing w:after="0"/>
              <w:rPr>
                <w:sz w:val="20"/>
                <w:szCs w:val="20"/>
                <w:color w:val="auto"/>
              </w:rPr>
            </w:pPr>
            <w:r>
              <w:rPr>
                <w:rFonts w:ascii="Arial" w:cs="Arial" w:eastAsia="Arial" w:hAnsi="Arial"/>
                <w:sz w:val="10"/>
                <w:szCs w:val="10"/>
                <w:color w:val="auto"/>
              </w:rPr>
              <w:t>1.4502</w:t>
            </w: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24"/>
        </w:trPr>
        <w:tc>
          <w:tcPr>
            <w:tcW w:w="320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19, 2005</w:t>
            </w:r>
          </w:p>
        </w:tc>
        <w:tc>
          <w:tcPr>
            <w:tcW w:w="132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jc w:val="both"/>
        <w:ind w:right="200" w:firstLine="9"/>
        <w:spacing w:after="0" w:line="251" w:lineRule="auto"/>
        <w:tabs>
          <w:tab w:leader="none" w:pos="118" w:val="left"/>
        </w:tabs>
        <w:numPr>
          <w:ilvl w:val="0"/>
          <w:numId w:val="205"/>
        </w:numPr>
        <w:rPr>
          <w:rFonts w:ascii="Arial" w:cs="Arial" w:eastAsia="Arial" w:hAnsi="Arial"/>
          <w:sz w:val="7"/>
          <w:szCs w:val="7"/>
          <w:color w:val="auto"/>
        </w:rPr>
      </w:pPr>
      <w:r>
        <w:rPr>
          <w:rFonts w:ascii="Arial" w:cs="Arial" w:eastAsia="Arial" w:hAnsi="Arial"/>
          <w:sz w:val="7"/>
          <w:szCs w:val="7"/>
          <w:color w:val="auto"/>
        </w:rPr>
        <w:t>Restated where applicable to reflect all capitalisation issues since the relevant date. This includes the change in the capital structure in 2005, when Royal Dutch Shell plc became the single parent company of Royal Dutch Petroleum Company and of The “Shell” Transport and Trading Company, p.l.c., now The Shell Transport and Trading Company Limited, and one share in Royal Dutch Petroleum Company was exchanged for two Royal Dutch Shell plc A shares and one share in The “Shell” Transport and Trading Company, p.l.c. was exchanged for 0.287333066 Royal Dutch Shell plc B shares.</w:t>
      </w:r>
    </w:p>
    <w:p>
      <w:pPr>
        <w:spacing w:after="0" w:line="1616" w:lineRule="exact"/>
        <w:rPr>
          <w:sz w:val="20"/>
          <w:szCs w:val="20"/>
          <w:color w:val="auto"/>
        </w:rPr>
      </w:pPr>
    </w:p>
    <w:p>
      <w:pPr>
        <w:sectPr>
          <w:pgSz w:w="11900" w:h="16838" w:orient="portrait"/>
          <w:cols w:equalWidth="0" w:num="2">
            <w:col w:w="5448" w:space="280"/>
            <w:col w:w="5580"/>
          </w:cols>
          <w:pgMar w:left="292" w:top="640" w:right="299" w:bottom="1440" w:gutter="0" w:footer="0" w:header="0"/>
        </w:sectPr>
      </w:pPr>
    </w:p>
    <w:tbl>
      <w:tblPr>
        <w:tblLayout w:type="fixed"/>
        <w:tblInd w:w="8" w:type="dxa"/>
        <w:tblCellMar>
          <w:top w:w="0" w:type="dxa"/>
          <w:left w:w="0" w:type="dxa"/>
          <w:bottom w:w="0" w:type="dxa"/>
          <w:right w:w="0" w:type="dxa"/>
        </w:tblCellMar>
      </w:tblPr>
      <w:tr>
        <w:trPr>
          <w:trHeight w:val="90"/>
        </w:trPr>
        <w:tc>
          <w:tcPr>
            <w:tcW w:w="3640" w:type="dxa"/>
            <w:vAlign w:val="bottom"/>
          </w:tcPr>
          <w:p>
            <w:pPr>
              <w:ind w:left="40"/>
              <w:spacing w:after="0"/>
              <w:rPr>
                <w:sz w:val="20"/>
                <w:szCs w:val="20"/>
                <w:color w:val="auto"/>
              </w:rPr>
            </w:pPr>
            <w:r>
              <w:rPr>
                <w:rFonts w:ascii="Arial" w:cs="Arial" w:eastAsia="Arial" w:hAnsi="Arial"/>
                <w:sz w:val="7"/>
                <w:szCs w:val="7"/>
                <w:color w:val="auto"/>
              </w:rPr>
              <w:t>ADDITIONAL INFORMATION SHELL FORM 20-F 2020</w:t>
            </w:r>
          </w:p>
        </w:tc>
        <w:tc>
          <w:tcPr>
            <w:tcW w:w="7660" w:type="dxa"/>
            <w:vAlign w:val="bottom"/>
          </w:tcPr>
          <w:p>
            <w:pPr>
              <w:jc w:val="right"/>
              <w:ind w:right="5624"/>
              <w:spacing w:after="0"/>
              <w:rPr>
                <w:sz w:val="20"/>
                <w:szCs w:val="20"/>
                <w:color w:val="auto"/>
              </w:rPr>
            </w:pPr>
            <w:r>
              <w:rPr>
                <w:rFonts w:ascii="Arial" w:cs="Arial" w:eastAsia="Arial" w:hAnsi="Arial"/>
                <w:sz w:val="7"/>
                <w:szCs w:val="7"/>
                <w:color w:val="auto"/>
              </w:rPr>
              <w:t>239</w:t>
            </w:r>
          </w:p>
        </w:tc>
      </w:tr>
      <w:tr>
        <w:trPr>
          <w:trHeight w:val="313"/>
        </w:trPr>
        <w:tc>
          <w:tcPr>
            <w:tcW w:w="364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type w:val="continuous"/>
        </w:sectPr>
      </w:pPr>
    </w:p>
    <w:bookmarkStart w:id="242" w:name="page243"/>
    <w:bookmarkEnd w:id="242"/>
    <w:p>
      <w:pPr>
        <w:spacing w:after="0"/>
        <w:rPr>
          <w:sz w:val="20"/>
          <w:szCs w:val="20"/>
          <w:color w:val="auto"/>
        </w:rPr>
      </w:pPr>
      <w:r>
        <w:rPr>
          <w:rFonts w:ascii="Arial" w:cs="Arial" w:eastAsia="Arial" w:hAnsi="Arial"/>
          <w:sz w:val="22"/>
          <w:szCs w:val="22"/>
          <w:color w:val="auto"/>
        </w:rPr>
        <w:t>SECTION 13(r) OF THE US SECURITIES EXCHANGE ACT OF 1934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0"/>
          <w:szCs w:val="10"/>
          <w:color w:val="auto"/>
        </w:rPr>
        <w:t>In accordance with our General Business Principles and Code of Conduct, Shell seeks to comply with all applicable international trade</w:t>
      </w:r>
    </w:p>
    <w:p>
      <w:pPr>
        <w:spacing w:after="0"/>
        <w:rPr>
          <w:sz w:val="20"/>
          <w:szCs w:val="20"/>
          <w:color w:val="auto"/>
        </w:rPr>
      </w:pPr>
      <w:r>
        <w:rPr>
          <w:rFonts w:ascii="Arial" w:cs="Arial" w:eastAsia="Arial" w:hAnsi="Arial"/>
          <w:sz w:val="10"/>
          <w:szCs w:val="10"/>
          <w:color w:val="auto"/>
        </w:rPr>
        <w:t>laws including applicable sanctions and embargoes.</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The activities listed below have been conducted outside the USA by non-US affiliates of Royal Dutch Shell plc. None of the payments</w:t>
      </w:r>
    </w:p>
    <w:p>
      <w:pPr>
        <w:spacing w:after="0" w:line="227" w:lineRule="auto"/>
        <w:rPr>
          <w:sz w:val="20"/>
          <w:szCs w:val="20"/>
          <w:color w:val="auto"/>
        </w:rPr>
      </w:pPr>
      <w:r>
        <w:rPr>
          <w:rFonts w:ascii="Arial" w:cs="Arial" w:eastAsia="Arial" w:hAnsi="Arial"/>
          <w:sz w:val="10"/>
          <w:szCs w:val="10"/>
          <w:color w:val="auto"/>
        </w:rPr>
        <w:t>disclosed below were made in US dollars, nor are any of the balances disclosed below held in US dollars; however, for disclosure</w:t>
      </w:r>
    </w:p>
    <w:p>
      <w:pPr>
        <w:spacing w:after="0" w:line="225" w:lineRule="auto"/>
        <w:rPr>
          <w:sz w:val="20"/>
          <w:szCs w:val="20"/>
          <w:color w:val="auto"/>
        </w:rPr>
      </w:pPr>
      <w:r>
        <w:rPr>
          <w:rFonts w:ascii="Arial" w:cs="Arial" w:eastAsia="Arial" w:hAnsi="Arial"/>
          <w:sz w:val="10"/>
          <w:szCs w:val="10"/>
          <w:color w:val="auto"/>
        </w:rPr>
        <w:t>purposes, all have been converted into US dollars at the appropriate exchange rate.</w:t>
      </w:r>
    </w:p>
    <w:p>
      <w:pPr>
        <w:spacing w:after="0" w:line="226" w:lineRule="auto"/>
        <w:rPr>
          <w:sz w:val="20"/>
          <w:szCs w:val="20"/>
          <w:color w:val="auto"/>
        </w:rPr>
      </w:pPr>
      <w:r>
        <w:rPr>
          <w:rFonts w:ascii="Arial" w:cs="Arial" w:eastAsia="Arial" w:hAnsi="Arial"/>
          <w:sz w:val="10"/>
          <w:szCs w:val="10"/>
          <w:color w:val="auto"/>
        </w:rPr>
        <w:t>In 2020, we discovered a 2017 payment of $101 for a meal between a Shell employee and an employee of National Iranian Gas</w:t>
      </w:r>
    </w:p>
    <w:p>
      <w:pPr>
        <w:spacing w:after="0" w:line="237" w:lineRule="auto"/>
        <w:rPr>
          <w:sz w:val="20"/>
          <w:szCs w:val="20"/>
          <w:color w:val="auto"/>
        </w:rPr>
      </w:pPr>
      <w:r>
        <w:rPr>
          <w:rFonts w:ascii="Arial" w:cs="Arial" w:eastAsia="Arial" w:hAnsi="Arial"/>
          <w:sz w:val="10"/>
          <w:szCs w:val="10"/>
          <w:color w:val="auto"/>
        </w:rPr>
        <w:t>Company (NIGC) and the NIGC employee’s wife that was not previously disclosed.</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In 2020, we discovered payments made in 2018 of $22 for an insurance fee to Iran Insurance Company and $122 for passports/visa fees</w:t>
      </w:r>
    </w:p>
    <w:p>
      <w:pPr>
        <w:spacing w:after="0" w:line="227" w:lineRule="auto"/>
        <w:rPr>
          <w:sz w:val="20"/>
          <w:szCs w:val="20"/>
          <w:color w:val="auto"/>
        </w:rPr>
      </w:pPr>
      <w:r>
        <w:rPr>
          <w:rFonts w:ascii="Arial" w:cs="Arial" w:eastAsia="Arial" w:hAnsi="Arial"/>
          <w:sz w:val="10"/>
          <w:szCs w:val="10"/>
          <w:color w:val="auto"/>
        </w:rPr>
        <w:t>to the Consulate General of the Islamic Republic of Iran in Dubai, United Arab Emirates, neither of which were previously disclosed.</w:t>
      </w:r>
    </w:p>
    <w:p>
      <w:pPr>
        <w:spacing w:after="0" w:line="225" w:lineRule="auto"/>
        <w:rPr>
          <w:sz w:val="20"/>
          <w:szCs w:val="20"/>
          <w:color w:val="auto"/>
        </w:rPr>
      </w:pPr>
      <w:r>
        <w:rPr>
          <w:rFonts w:ascii="Arial" w:cs="Arial" w:eastAsia="Arial" w:hAnsi="Arial"/>
          <w:sz w:val="10"/>
          <w:szCs w:val="10"/>
          <w:color w:val="auto"/>
        </w:rPr>
        <w:t>In 2020, Saba &amp; Co. Intellectual Property s.a.l (Offshore) (Saba &amp; Co.) made the following payments on our behalf to the Iranian</w:t>
      </w:r>
    </w:p>
    <w:p>
      <w:pPr>
        <w:spacing w:after="0" w:line="226" w:lineRule="auto"/>
        <w:rPr>
          <w:sz w:val="20"/>
          <w:szCs w:val="20"/>
          <w:color w:val="auto"/>
        </w:rPr>
      </w:pPr>
      <w:r>
        <w:rPr>
          <w:rFonts w:ascii="Arial" w:cs="Arial" w:eastAsia="Arial" w:hAnsi="Arial"/>
          <w:sz w:val="10"/>
          <w:szCs w:val="10"/>
          <w:color w:val="auto"/>
        </w:rPr>
        <w:t>Intellectual Property Office (IIPO): (i) $137 for trademark registration fees and (ii) $195 for filing an opposition against trademark</w:t>
      </w:r>
    </w:p>
    <w:p>
      <w:pPr>
        <w:spacing w:after="0" w:line="225" w:lineRule="auto"/>
        <w:rPr>
          <w:sz w:val="20"/>
          <w:szCs w:val="20"/>
          <w:color w:val="auto"/>
        </w:rPr>
      </w:pPr>
      <w:r>
        <w:rPr>
          <w:rFonts w:ascii="Arial" w:cs="Arial" w:eastAsia="Arial" w:hAnsi="Arial"/>
          <w:sz w:val="10"/>
          <w:szCs w:val="10"/>
          <w:color w:val="auto"/>
        </w:rPr>
        <w:t>SHELL no 139850140001082181 in Iran. In addition, Saba &amp; Co. made payments on our behalf to Abardad International Law Offices</w:t>
      </w:r>
    </w:p>
    <w:p>
      <w:pPr>
        <w:spacing w:after="0" w:line="226" w:lineRule="auto"/>
        <w:rPr>
          <w:sz w:val="20"/>
          <w:szCs w:val="20"/>
          <w:color w:val="auto"/>
        </w:rPr>
      </w:pPr>
      <w:r>
        <w:rPr>
          <w:rFonts w:ascii="Arial" w:cs="Arial" w:eastAsia="Arial" w:hAnsi="Arial"/>
          <w:sz w:val="10"/>
          <w:szCs w:val="10"/>
          <w:color w:val="auto"/>
        </w:rPr>
        <w:t>of $808 for professional, translation and publication services related to our trademark registration and $1,368 for professional,</w:t>
      </w:r>
    </w:p>
    <w:p>
      <w:pPr>
        <w:spacing w:after="0" w:line="225" w:lineRule="auto"/>
        <w:rPr>
          <w:sz w:val="20"/>
          <w:szCs w:val="20"/>
          <w:color w:val="auto"/>
        </w:rPr>
      </w:pPr>
      <w:r>
        <w:rPr>
          <w:rFonts w:ascii="Arial" w:cs="Arial" w:eastAsia="Arial" w:hAnsi="Arial"/>
          <w:sz w:val="10"/>
          <w:szCs w:val="10"/>
          <w:color w:val="auto"/>
        </w:rPr>
        <w:t>translation and legalization services related to the trademark opposition matter before the IIPO. There was no gross revenue or net profit</w:t>
      </w:r>
    </w:p>
    <w:p>
      <w:pPr>
        <w:spacing w:after="0" w:line="237" w:lineRule="auto"/>
        <w:rPr>
          <w:sz w:val="20"/>
          <w:szCs w:val="20"/>
          <w:color w:val="auto"/>
        </w:rPr>
      </w:pPr>
      <w:r>
        <w:rPr>
          <w:rFonts w:ascii="Arial" w:cs="Arial" w:eastAsia="Arial" w:hAnsi="Arial"/>
          <w:sz w:val="10"/>
          <w:szCs w:val="10"/>
          <w:color w:val="auto"/>
        </w:rPr>
        <w:t>associated with these transactions.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During 2020 we paid $7,758 for the clearance of overflight permits for Shell aircraft over Iranian airspace. There was no gross revenue</w:t>
      </w:r>
    </w:p>
    <w:p>
      <w:pPr>
        <w:spacing w:after="0" w:line="227" w:lineRule="auto"/>
        <w:rPr>
          <w:sz w:val="20"/>
          <w:szCs w:val="20"/>
          <w:color w:val="auto"/>
        </w:rPr>
      </w:pPr>
      <w:r>
        <w:rPr>
          <w:rFonts w:ascii="Arial" w:cs="Arial" w:eastAsia="Arial" w:hAnsi="Arial"/>
          <w:sz w:val="10"/>
          <w:szCs w:val="10"/>
          <w:color w:val="auto"/>
        </w:rPr>
        <w:t>or net profit associated with these transactions. On occasion, our aircraft may be routed over Iran and therefore these payments may</w:t>
      </w:r>
    </w:p>
    <w:p>
      <w:pPr>
        <w:spacing w:after="0" w:line="237" w:lineRule="auto"/>
        <w:rPr>
          <w:sz w:val="20"/>
          <w:szCs w:val="20"/>
          <w:color w:val="auto"/>
        </w:rPr>
      </w:pPr>
      <w:r>
        <w:rPr>
          <w:rFonts w:ascii="Arial" w:cs="Arial" w:eastAsia="Arial" w:hAnsi="Arial"/>
          <w:sz w:val="10"/>
          <w:szCs w:val="10"/>
          <w:color w:val="auto"/>
        </w:rPr>
        <w:t>continue in the future.</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We maintain accounts with Karafarin Bank, where our cash deposits (balance of $5,764,076 at December 31, 2020) generated non-</w:t>
      </w:r>
    </w:p>
    <w:p>
      <w:pPr>
        <w:spacing w:after="0"/>
        <w:rPr>
          <w:sz w:val="20"/>
          <w:szCs w:val="20"/>
          <w:color w:val="auto"/>
        </w:rPr>
      </w:pPr>
      <w:r>
        <w:rPr>
          <w:rFonts w:ascii="Arial" w:cs="Arial" w:eastAsia="Arial" w:hAnsi="Arial"/>
          <w:sz w:val="10"/>
          <w:szCs w:val="10"/>
          <w:color w:val="auto"/>
        </w:rPr>
        <w:t>taxable interest income of $232,115 in 2020. In addition, we paid $5 in bank charges in 2020.</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640" w:type="dxa"/>
            <w:vAlign w:val="bottom"/>
          </w:tcPr>
          <w:p>
            <w:pPr>
              <w:ind w:left="40"/>
              <w:spacing w:after="0"/>
              <w:rPr>
                <w:sz w:val="20"/>
                <w:szCs w:val="20"/>
                <w:color w:val="auto"/>
              </w:rPr>
            </w:pPr>
            <w:r>
              <w:rPr>
                <w:rFonts w:ascii="Arial" w:cs="Arial" w:eastAsia="Arial" w:hAnsi="Arial"/>
                <w:sz w:val="7"/>
                <w:szCs w:val="7"/>
                <w:color w:val="auto"/>
              </w:rPr>
              <w:t>ADDITIONAL INFORMATION SHELL FORM 20-F 2020</w:t>
            </w:r>
          </w:p>
        </w:tc>
        <w:tc>
          <w:tcPr>
            <w:tcW w:w="7660" w:type="dxa"/>
            <w:vAlign w:val="bottom"/>
          </w:tcPr>
          <w:p>
            <w:pPr>
              <w:jc w:val="right"/>
              <w:ind w:right="5624"/>
              <w:spacing w:after="0"/>
              <w:rPr>
                <w:sz w:val="20"/>
                <w:szCs w:val="20"/>
                <w:color w:val="auto"/>
              </w:rPr>
            </w:pPr>
            <w:r>
              <w:rPr>
                <w:rFonts w:ascii="Arial" w:cs="Arial" w:eastAsia="Arial" w:hAnsi="Arial"/>
                <w:sz w:val="7"/>
                <w:szCs w:val="7"/>
                <w:color w:val="auto"/>
              </w:rPr>
              <w:t>240</w:t>
            </w:r>
          </w:p>
        </w:tc>
      </w:tr>
      <w:tr>
        <w:trPr>
          <w:trHeight w:val="304"/>
        </w:trPr>
        <w:tc>
          <w:tcPr>
            <w:tcW w:w="364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NON-GAAP MEASURES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231" w:lineRule="exact"/>
        <w:rPr>
          <w:sz w:val="20"/>
          <w:szCs w:val="20"/>
          <w:color w:val="auto"/>
        </w:rPr>
      </w:pPr>
    </w:p>
    <w:p>
      <w:pPr>
        <w:ind w:right="720"/>
        <w:spacing w:after="0" w:line="358" w:lineRule="auto"/>
        <w:rPr>
          <w:sz w:val="20"/>
          <w:szCs w:val="20"/>
          <w:color w:val="auto"/>
        </w:rPr>
      </w:pPr>
      <w:r>
        <w:rPr>
          <w:rFonts w:ascii="Arial" w:cs="Arial" w:eastAsia="Arial" w:hAnsi="Arial"/>
          <w:sz w:val="8"/>
          <w:szCs w:val="8"/>
          <w:color w:val="auto"/>
        </w:rPr>
        <w:t>These non-GAAP measures, also known as alternative performance measures, are financial measures other than those defined in International Financial Reporting Standards, which Shell considers provide useful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EARNINGS ON A CURRENT COST OF SUPPLIES BASIS</w:t>
      </w:r>
    </w:p>
    <w:p>
      <w:pPr>
        <w:ind w:right="440"/>
        <w:spacing w:after="0" w:line="295" w:lineRule="auto"/>
        <w:rPr>
          <w:sz w:val="20"/>
          <w:szCs w:val="20"/>
          <w:color w:val="auto"/>
        </w:rPr>
      </w:pPr>
      <w:r>
        <w:rPr>
          <w:rFonts w:ascii="Arial" w:cs="Arial" w:eastAsia="Arial" w:hAnsi="Arial"/>
          <w:sz w:val="8"/>
          <w:szCs w:val="8"/>
          <w:color w:val="auto"/>
        </w:rPr>
        <w:t>Segment earnings are presented on a current cost of supplies basis (CCS earnings), which is the earnings measure used by the Chief Executive Officer for the purposes of making decisions about allocating resources and assessing performance. On this basis, the purchase price of volumes sold during the period is based on the current cost of supplies during the same period after making allowance for the tax effect. CCS earnings therefore exclude the effect of changes in the oil price on inventory carrying amounts. The current cost of supplies adjustment does not impact cash flow from operating activities in the “Consolidated Statement of Cash Flows”.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92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Reconciliation of income for the period to CCS earnings</w:t>
            </w:r>
          </w:p>
        </w:tc>
        <w:tc>
          <w:tcPr>
            <w:tcW w:w="780" w:type="dxa"/>
            <w:vAlign w:val="bottom"/>
            <w:tcBorders>
              <w:top w:val="single" w:sz="8" w:color="CDCDCD"/>
            </w:tcBorders>
          </w:tcPr>
          <w:p>
            <w:pPr>
              <w:spacing w:after="0"/>
              <w:rPr>
                <w:sz w:val="13"/>
                <w:szCs w:val="13"/>
                <w:color w:val="auto"/>
              </w:rPr>
            </w:pPr>
          </w:p>
        </w:tc>
        <w:tc>
          <w:tcPr>
            <w:tcW w:w="960" w:type="dxa"/>
            <w:vAlign w:val="bottom"/>
            <w:tcBorders>
              <w:top w:val="single" w:sz="8" w:color="CDCDCD"/>
            </w:tcBorders>
          </w:tcPr>
          <w:p>
            <w:pPr>
              <w:spacing w:after="0"/>
              <w:rPr>
                <w:sz w:val="13"/>
                <w:szCs w:val="13"/>
                <w:color w:val="auto"/>
              </w:rPr>
            </w:pPr>
          </w:p>
        </w:tc>
        <w:tc>
          <w:tcPr>
            <w:tcW w:w="58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23"/>
        </w:trPr>
        <w:tc>
          <w:tcPr>
            <w:tcW w:w="29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2020</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2019</w:t>
            </w:r>
          </w:p>
        </w:tc>
        <w:tc>
          <w:tcPr>
            <w:tcW w:w="580" w:type="dxa"/>
            <w:vAlign w:val="bottom"/>
          </w:tcPr>
          <w:p>
            <w:pPr>
              <w:jc w:val="right"/>
              <w:spacing w:after="0"/>
              <w:rPr>
                <w:sz w:val="20"/>
                <w:szCs w:val="20"/>
                <w:color w:val="auto"/>
              </w:rPr>
            </w:pPr>
            <w:r>
              <w:rPr>
                <w:rFonts w:ascii="Arial" w:cs="Arial" w:eastAsia="Arial" w:hAnsi="Arial"/>
                <w:sz w:val="10"/>
                <w:szCs w:val="10"/>
                <w:color w:val="auto"/>
              </w:rPr>
              <w:t>2018</w:t>
            </w:r>
          </w:p>
        </w:tc>
      </w:tr>
      <w:tr>
        <w:trPr>
          <w:trHeight w:val="129"/>
        </w:trPr>
        <w:tc>
          <w:tcPr>
            <w:tcW w:w="2920" w:type="dxa"/>
            <w:vAlign w:val="bottom"/>
          </w:tcPr>
          <w:p>
            <w:pPr>
              <w:spacing w:after="0"/>
              <w:rPr>
                <w:sz w:val="20"/>
                <w:szCs w:val="20"/>
                <w:color w:val="auto"/>
              </w:rPr>
            </w:pPr>
            <w:r>
              <w:rPr>
                <w:rFonts w:ascii="Arial" w:cs="Arial" w:eastAsia="Arial" w:hAnsi="Arial"/>
                <w:sz w:val="10"/>
                <w:szCs w:val="10"/>
                <w:color w:val="auto"/>
              </w:rPr>
              <w:t>Income/(loss) attributable to Royal Dutch Shell plc shareholders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(21,680)</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15,842</w:t>
            </w:r>
          </w:p>
        </w:tc>
        <w:tc>
          <w:tcPr>
            <w:tcW w:w="580" w:type="dxa"/>
            <w:vAlign w:val="bottom"/>
          </w:tcPr>
          <w:p>
            <w:pPr>
              <w:jc w:val="right"/>
              <w:spacing w:after="0"/>
              <w:rPr>
                <w:sz w:val="20"/>
                <w:szCs w:val="20"/>
                <w:color w:val="auto"/>
              </w:rPr>
            </w:pPr>
            <w:r>
              <w:rPr>
                <w:rFonts w:ascii="Arial" w:cs="Arial" w:eastAsia="Arial" w:hAnsi="Arial"/>
                <w:sz w:val="10"/>
                <w:szCs w:val="10"/>
                <w:color w:val="auto"/>
              </w:rPr>
              <w:t>23,352</w:t>
            </w:r>
          </w:p>
        </w:tc>
      </w:tr>
      <w:tr>
        <w:trPr>
          <w:trHeight w:val="123"/>
        </w:trPr>
        <w:tc>
          <w:tcPr>
            <w:tcW w:w="2920" w:type="dxa"/>
            <w:vAlign w:val="bottom"/>
          </w:tcPr>
          <w:p>
            <w:pPr>
              <w:spacing w:after="0"/>
              <w:rPr>
                <w:sz w:val="20"/>
                <w:szCs w:val="20"/>
                <w:color w:val="auto"/>
              </w:rPr>
            </w:pPr>
            <w:r>
              <w:rPr>
                <w:rFonts w:ascii="Arial" w:cs="Arial" w:eastAsia="Arial" w:hAnsi="Arial"/>
                <w:sz w:val="10"/>
                <w:szCs w:val="10"/>
                <w:color w:val="auto"/>
              </w:rPr>
              <w:t>Income/(loss) attributable to non-controlling interest</w:t>
            </w:r>
          </w:p>
        </w:tc>
        <w:tc>
          <w:tcPr>
            <w:tcW w:w="78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0"/>
                <w:szCs w:val="10"/>
                <w:color w:val="auto"/>
              </w:rPr>
              <w:t>146</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590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554</w:t>
            </w:r>
          </w:p>
        </w:tc>
      </w:tr>
      <w:tr>
        <w:trPr>
          <w:trHeight w:val="118"/>
        </w:trPr>
        <w:tc>
          <w:tcPr>
            <w:tcW w:w="2920" w:type="dxa"/>
            <w:vAlign w:val="bottom"/>
          </w:tcPr>
          <w:p>
            <w:pPr>
              <w:spacing w:after="0"/>
              <w:rPr>
                <w:sz w:val="20"/>
                <w:szCs w:val="20"/>
                <w:color w:val="auto"/>
              </w:rPr>
            </w:pPr>
            <w:r>
              <w:rPr>
                <w:rFonts w:ascii="Arial" w:cs="Arial" w:eastAsia="Arial" w:hAnsi="Arial"/>
                <w:sz w:val="10"/>
                <w:szCs w:val="10"/>
                <w:color w:val="auto"/>
              </w:rPr>
              <w:t>Income/(loss) for the period</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(21,534)</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16,432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23,906</w:t>
            </w:r>
          </w:p>
        </w:tc>
      </w:tr>
      <w:tr>
        <w:trPr>
          <w:trHeight w:val="115"/>
        </w:trPr>
        <w:tc>
          <w:tcPr>
            <w:tcW w:w="2920" w:type="dxa"/>
            <w:vAlign w:val="bottom"/>
          </w:tcPr>
          <w:p>
            <w:pPr>
              <w:spacing w:after="0" w:line="112" w:lineRule="exact"/>
              <w:rPr>
                <w:sz w:val="20"/>
                <w:szCs w:val="20"/>
                <w:color w:val="auto"/>
              </w:rPr>
            </w:pPr>
            <w:r>
              <w:rPr>
                <w:rFonts w:ascii="Arial" w:cs="Arial" w:eastAsia="Arial" w:hAnsi="Arial"/>
                <w:sz w:val="10"/>
                <w:szCs w:val="10"/>
                <w:color w:val="auto"/>
              </w:rPr>
              <w:t>Current cost of supplies adjustment</w:t>
            </w:r>
          </w:p>
        </w:tc>
        <w:tc>
          <w:tcPr>
            <w:tcW w:w="780" w:type="dxa"/>
            <w:vAlign w:val="bottom"/>
            <w:shd w:val="clear" w:color="auto" w:fill="D9D9D9"/>
          </w:tcPr>
          <w:p>
            <w:pPr>
              <w:jc w:val="right"/>
              <w:ind w:right="12"/>
              <w:spacing w:after="0"/>
              <w:rPr>
                <w:sz w:val="20"/>
                <w:szCs w:val="20"/>
                <w:color w:val="auto"/>
              </w:rPr>
            </w:pPr>
            <w:r>
              <w:rPr>
                <w:rFonts w:ascii="Arial" w:cs="Arial" w:eastAsia="Arial" w:hAnsi="Arial"/>
                <w:sz w:val="10"/>
                <w:szCs w:val="10"/>
                <w:color w:val="auto"/>
              </w:rPr>
              <w:t>1,833</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(605)</w:t>
            </w:r>
          </w:p>
        </w:tc>
        <w:tc>
          <w:tcPr>
            <w:tcW w:w="580" w:type="dxa"/>
            <w:vAlign w:val="bottom"/>
          </w:tcPr>
          <w:p>
            <w:pPr>
              <w:jc w:val="right"/>
              <w:spacing w:after="0"/>
              <w:rPr>
                <w:sz w:val="20"/>
                <w:szCs w:val="20"/>
                <w:color w:val="auto"/>
              </w:rPr>
            </w:pPr>
            <w:r>
              <w:rPr>
                <w:rFonts w:ascii="Arial" w:cs="Arial" w:eastAsia="Arial" w:hAnsi="Arial"/>
                <w:sz w:val="10"/>
                <w:szCs w:val="10"/>
                <w:color w:val="auto"/>
              </w:rPr>
              <w:t>458</w:t>
            </w:r>
          </w:p>
        </w:tc>
      </w:tr>
      <w:tr>
        <w:trPr>
          <w:trHeight w:val="123"/>
        </w:trPr>
        <w:tc>
          <w:tcPr>
            <w:tcW w:w="2920" w:type="dxa"/>
            <w:vAlign w:val="bottom"/>
          </w:tcPr>
          <w:p>
            <w:pPr>
              <w:spacing w:after="0"/>
              <w:rPr>
                <w:sz w:val="20"/>
                <w:szCs w:val="20"/>
                <w:color w:val="auto"/>
              </w:rPr>
            </w:pPr>
            <w:r>
              <w:rPr>
                <w:rFonts w:ascii="Arial" w:cs="Arial" w:eastAsia="Arial" w:hAnsi="Arial"/>
                <w:sz w:val="10"/>
                <w:szCs w:val="10"/>
                <w:color w:val="auto"/>
              </w:rPr>
              <w:t>Of which:</w:t>
            </w:r>
          </w:p>
        </w:tc>
        <w:tc>
          <w:tcPr>
            <w:tcW w:w="780" w:type="dxa"/>
            <w:vAlign w:val="bottom"/>
            <w:shd w:val="clear" w:color="auto" w:fill="D9D9D9"/>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Attributable to Royal Dutch Shell plc shareholders</w:t>
            </w:r>
          </w:p>
        </w:tc>
        <w:tc>
          <w:tcPr>
            <w:tcW w:w="780" w:type="dxa"/>
            <w:vAlign w:val="bottom"/>
            <w:shd w:val="clear" w:color="auto" w:fill="D9D9D9"/>
          </w:tcPr>
          <w:p>
            <w:pPr>
              <w:jc w:val="right"/>
              <w:ind w:right="12"/>
              <w:spacing w:after="0"/>
              <w:rPr>
                <w:sz w:val="20"/>
                <w:szCs w:val="20"/>
                <w:color w:val="auto"/>
              </w:rPr>
            </w:pPr>
            <w:r>
              <w:rPr>
                <w:rFonts w:ascii="Arial" w:cs="Arial" w:eastAsia="Arial" w:hAnsi="Arial"/>
                <w:sz w:val="10"/>
                <w:szCs w:val="10"/>
                <w:color w:val="auto"/>
              </w:rPr>
              <w:t>1,759</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(572)</w:t>
            </w:r>
          </w:p>
        </w:tc>
        <w:tc>
          <w:tcPr>
            <w:tcW w:w="580" w:type="dxa"/>
            <w:vAlign w:val="bottom"/>
          </w:tcPr>
          <w:p>
            <w:pPr>
              <w:jc w:val="right"/>
              <w:spacing w:after="0"/>
              <w:rPr>
                <w:sz w:val="20"/>
                <w:szCs w:val="20"/>
                <w:color w:val="auto"/>
              </w:rPr>
            </w:pPr>
            <w:r>
              <w:rPr>
                <w:rFonts w:ascii="Arial" w:cs="Arial" w:eastAsia="Arial" w:hAnsi="Arial"/>
                <w:sz w:val="10"/>
                <w:szCs w:val="10"/>
                <w:color w:val="auto"/>
              </w:rPr>
              <w:t>481</w:t>
            </w: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Attributable to non-controlling interest</w:t>
            </w:r>
          </w:p>
        </w:tc>
        <w:tc>
          <w:tcPr>
            <w:tcW w:w="78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0"/>
                <w:szCs w:val="10"/>
                <w:color w:val="auto"/>
              </w:rPr>
              <w:t>74</w:t>
            </w: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(33)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w:t>
            </w:r>
          </w:p>
        </w:tc>
      </w:tr>
      <w:tr>
        <w:trPr>
          <w:trHeight w:val="118"/>
        </w:trPr>
        <w:tc>
          <w:tcPr>
            <w:tcW w:w="2920" w:type="dxa"/>
            <w:vAlign w:val="bottom"/>
          </w:tcPr>
          <w:p>
            <w:pPr>
              <w:spacing w:after="0"/>
              <w:rPr>
                <w:sz w:val="20"/>
                <w:szCs w:val="20"/>
                <w:color w:val="auto"/>
              </w:rPr>
            </w:pPr>
            <w:r>
              <w:rPr>
                <w:rFonts w:ascii="Arial" w:cs="Arial" w:eastAsia="Arial" w:hAnsi="Arial"/>
                <w:sz w:val="10"/>
                <w:szCs w:val="10"/>
                <w:color w:val="auto"/>
              </w:rPr>
              <w:t>CCS earnings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(19,701)</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15,827</w:t>
            </w:r>
          </w:p>
        </w:tc>
        <w:tc>
          <w:tcPr>
            <w:tcW w:w="580" w:type="dxa"/>
            <w:vAlign w:val="bottom"/>
          </w:tcPr>
          <w:p>
            <w:pPr>
              <w:jc w:val="right"/>
              <w:spacing w:after="0"/>
              <w:rPr>
                <w:sz w:val="20"/>
                <w:szCs w:val="20"/>
                <w:color w:val="auto"/>
              </w:rPr>
            </w:pPr>
            <w:r>
              <w:rPr>
                <w:rFonts w:ascii="Arial" w:cs="Arial" w:eastAsia="Arial" w:hAnsi="Arial"/>
                <w:sz w:val="10"/>
                <w:szCs w:val="10"/>
                <w:color w:val="auto"/>
              </w:rPr>
              <w:t>24,364</w:t>
            </w:r>
          </w:p>
        </w:tc>
      </w:tr>
      <w:tr>
        <w:trPr>
          <w:trHeight w:val="123"/>
        </w:trPr>
        <w:tc>
          <w:tcPr>
            <w:tcW w:w="2920" w:type="dxa"/>
            <w:vAlign w:val="bottom"/>
          </w:tcPr>
          <w:p>
            <w:pPr>
              <w:spacing w:after="0"/>
              <w:rPr>
                <w:sz w:val="20"/>
                <w:szCs w:val="20"/>
                <w:color w:val="auto"/>
              </w:rPr>
            </w:pPr>
            <w:r>
              <w:rPr>
                <w:rFonts w:ascii="Arial" w:cs="Arial" w:eastAsia="Arial" w:hAnsi="Arial"/>
                <w:sz w:val="10"/>
                <w:szCs w:val="10"/>
                <w:color w:val="auto"/>
              </w:rPr>
              <w:t>Of which:</w:t>
            </w:r>
          </w:p>
        </w:tc>
        <w:tc>
          <w:tcPr>
            <w:tcW w:w="780" w:type="dxa"/>
            <w:vAlign w:val="bottom"/>
            <w:shd w:val="clear" w:color="auto" w:fill="D9D9D9"/>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Attributable to Royal Dutch Shell plc shareholders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(19,921)</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15,270</w:t>
            </w:r>
          </w:p>
        </w:tc>
        <w:tc>
          <w:tcPr>
            <w:tcW w:w="580" w:type="dxa"/>
            <w:vAlign w:val="bottom"/>
          </w:tcPr>
          <w:p>
            <w:pPr>
              <w:jc w:val="right"/>
              <w:spacing w:after="0"/>
              <w:rPr>
                <w:sz w:val="20"/>
                <w:szCs w:val="20"/>
                <w:color w:val="auto"/>
              </w:rPr>
            </w:pPr>
            <w:r>
              <w:rPr>
                <w:rFonts w:ascii="Arial" w:cs="Arial" w:eastAsia="Arial" w:hAnsi="Arial"/>
                <w:sz w:val="10"/>
                <w:szCs w:val="10"/>
                <w:color w:val="auto"/>
              </w:rPr>
              <w:t>23,833</w:t>
            </w:r>
          </w:p>
        </w:tc>
      </w:tr>
      <w:tr>
        <w:trPr>
          <w:trHeight w:val="134"/>
        </w:trPr>
        <w:tc>
          <w:tcPr>
            <w:tcW w:w="2920" w:type="dxa"/>
            <w:vAlign w:val="bottom"/>
          </w:tcPr>
          <w:p>
            <w:pPr>
              <w:spacing w:after="0"/>
              <w:rPr>
                <w:sz w:val="20"/>
                <w:szCs w:val="20"/>
                <w:color w:val="auto"/>
              </w:rPr>
            </w:pPr>
            <w:r>
              <w:rPr>
                <w:rFonts w:ascii="Arial" w:cs="Arial" w:eastAsia="Arial" w:hAnsi="Arial"/>
                <w:sz w:val="10"/>
                <w:szCs w:val="10"/>
                <w:color w:val="auto"/>
              </w:rPr>
              <w:t>Attributable to non-controlling interest</w:t>
            </w:r>
          </w:p>
        </w:tc>
        <w:tc>
          <w:tcPr>
            <w:tcW w:w="780" w:type="dxa"/>
            <w:vAlign w:val="bottom"/>
            <w:shd w:val="clear" w:color="auto" w:fill="D9D9D9"/>
          </w:tcPr>
          <w:p>
            <w:pPr>
              <w:jc w:val="right"/>
              <w:ind w:right="12"/>
              <w:spacing w:after="0"/>
              <w:rPr>
                <w:sz w:val="20"/>
                <w:szCs w:val="20"/>
                <w:color w:val="auto"/>
              </w:rPr>
            </w:pPr>
            <w:r>
              <w:rPr>
                <w:rFonts w:ascii="Arial" w:cs="Arial" w:eastAsia="Arial" w:hAnsi="Arial"/>
                <w:sz w:val="10"/>
                <w:szCs w:val="10"/>
                <w:color w:val="auto"/>
              </w:rPr>
              <w:t>220</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557</w:t>
            </w:r>
          </w:p>
        </w:tc>
        <w:tc>
          <w:tcPr>
            <w:tcW w:w="580" w:type="dxa"/>
            <w:vAlign w:val="bottom"/>
          </w:tcPr>
          <w:p>
            <w:pPr>
              <w:jc w:val="right"/>
              <w:spacing w:after="0"/>
              <w:rPr>
                <w:sz w:val="20"/>
                <w:szCs w:val="20"/>
                <w:color w:val="auto"/>
              </w:rPr>
            </w:pPr>
            <w:r>
              <w:rPr>
                <w:rFonts w:ascii="Arial" w:cs="Arial" w:eastAsia="Arial" w:hAnsi="Arial"/>
                <w:sz w:val="10"/>
                <w:szCs w:val="10"/>
                <w:color w:val="auto"/>
              </w:rPr>
              <w:t>531</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ADJUSTED EARNINGS</w:t>
      </w:r>
    </w:p>
    <w:p>
      <w:pPr>
        <w:ind w:right="420"/>
        <w:spacing w:after="0" w:line="228" w:lineRule="auto"/>
        <w:rPr>
          <w:sz w:val="20"/>
          <w:szCs w:val="20"/>
          <w:color w:val="auto"/>
        </w:rPr>
      </w:pPr>
      <w:r>
        <w:rPr>
          <w:rFonts w:ascii="Arial" w:cs="Arial" w:eastAsia="Arial" w:hAnsi="Arial"/>
          <w:sz w:val="10"/>
          <w:szCs w:val="10"/>
          <w:color w:val="auto"/>
        </w:rPr>
        <w:t>The “Adjusted Earnings” measure aims to facilitate a comparative understanding of Shell’s financial performance from period to period by removing the effects of oil price changes on inventory carrying amounts and removing the effects of identified items. These items are in some cases driven by external factors and may, either individually or collectively, hinder the comparative understanding of Shell’s financial results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90"/>
        </w:trPr>
        <w:tc>
          <w:tcPr>
            <w:tcW w:w="3600" w:type="dxa"/>
            <w:vAlign w:val="bottom"/>
          </w:tcPr>
          <w:p>
            <w:pPr>
              <w:spacing w:after="0"/>
              <w:rPr>
                <w:sz w:val="20"/>
                <w:szCs w:val="20"/>
                <w:color w:val="auto"/>
              </w:rPr>
            </w:pPr>
            <w:r>
              <w:rPr>
                <w:rFonts w:ascii="Arial" w:cs="Arial" w:eastAsia="Arial" w:hAnsi="Arial"/>
                <w:sz w:val="7"/>
                <w:szCs w:val="7"/>
                <w:color w:val="auto"/>
              </w:rPr>
              <w:t>ADDITIONAL INFORMATION SHELL FORM 20-F 2020</w:t>
            </w:r>
          </w:p>
        </w:tc>
        <w:tc>
          <w:tcPr>
            <w:tcW w:w="2000" w:type="dxa"/>
            <w:vAlign w:val="bottom"/>
          </w:tcPr>
          <w:p>
            <w:pPr>
              <w:jc w:val="right"/>
              <w:spacing w:after="0"/>
              <w:rPr>
                <w:sz w:val="20"/>
                <w:szCs w:val="20"/>
                <w:color w:val="auto"/>
              </w:rPr>
            </w:pPr>
            <w:r>
              <w:rPr>
                <w:rFonts w:ascii="Arial" w:cs="Arial" w:eastAsia="Arial" w:hAnsi="Arial"/>
                <w:sz w:val="7"/>
                <w:szCs w:val="7"/>
                <w:color w:val="auto"/>
              </w:rPr>
              <w:t>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178040" cy="1143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21"/>
        </w:trPr>
        <w:tc>
          <w:tcPr>
            <w:tcW w:w="2900" w:type="dxa"/>
            <w:vAlign w:val="bottom"/>
          </w:tcPr>
          <w:p>
            <w:pPr>
              <w:spacing w:after="0"/>
              <w:rPr>
                <w:sz w:val="20"/>
                <w:szCs w:val="20"/>
                <w:color w:val="auto"/>
              </w:rPr>
            </w:pPr>
            <w:r>
              <w:rPr>
                <w:rFonts w:ascii="Arial" w:cs="Arial" w:eastAsia="Arial" w:hAnsi="Arial"/>
                <w:sz w:val="10"/>
                <w:szCs w:val="10"/>
                <w:color w:val="auto"/>
              </w:rPr>
              <w:t>Adjusted Earnings</w:t>
            </w: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 million</w:t>
            </w:r>
          </w:p>
        </w:tc>
        <w:tc>
          <w:tcPr>
            <w:tcW w:w="0" w:type="dxa"/>
            <w:vAlign w:val="bottom"/>
          </w:tcPr>
          <w:p>
            <w:pPr>
              <w:spacing w:after="0"/>
              <w:rPr>
                <w:sz w:val="1"/>
                <w:szCs w:val="1"/>
                <w:color w:val="auto"/>
              </w:rPr>
            </w:pPr>
          </w:p>
        </w:tc>
      </w:tr>
      <w:tr>
        <w:trPr>
          <w:trHeight w:val="126"/>
        </w:trPr>
        <w:tc>
          <w:tcPr>
            <w:tcW w:w="290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color w:val="auto"/>
              </w:rPr>
              <w:t>2019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0" w:type="dxa"/>
            <w:vAlign w:val="bottom"/>
          </w:tcPr>
          <w:p>
            <w:pPr>
              <w:spacing w:after="0"/>
              <w:rPr>
                <w:sz w:val="1"/>
                <w:szCs w:val="1"/>
                <w:color w:val="auto"/>
              </w:rPr>
            </w:pPr>
          </w:p>
        </w:tc>
      </w:tr>
      <w:tr>
        <w:trPr>
          <w:trHeight w:val="123"/>
        </w:trPr>
        <w:tc>
          <w:tcPr>
            <w:tcW w:w="2900" w:type="dxa"/>
            <w:vAlign w:val="bottom"/>
          </w:tcPr>
          <w:p>
            <w:pPr>
              <w:spacing w:after="0"/>
              <w:rPr>
                <w:sz w:val="20"/>
                <w:szCs w:val="20"/>
                <w:color w:val="auto"/>
              </w:rPr>
            </w:pPr>
            <w:r>
              <w:rPr>
                <w:rFonts w:ascii="Arial" w:cs="Arial" w:eastAsia="Arial" w:hAnsi="Arial"/>
                <w:sz w:val="10"/>
                <w:szCs w:val="10"/>
                <w:color w:val="auto"/>
              </w:rPr>
              <w:t>Income/(loss) attributable to Royal Dutch Shell shareholders</w:t>
            </w:r>
          </w:p>
        </w:tc>
        <w:tc>
          <w:tcPr>
            <w:tcW w:w="7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(21,680)</w:t>
            </w:r>
          </w:p>
        </w:tc>
        <w:tc>
          <w:tcPr>
            <w:tcW w:w="980" w:type="dxa"/>
            <w:vAlign w:val="bottom"/>
          </w:tcPr>
          <w:p>
            <w:pPr>
              <w:jc w:val="right"/>
              <w:ind w:right="193"/>
              <w:spacing w:after="0"/>
              <w:rPr>
                <w:sz w:val="20"/>
                <w:szCs w:val="20"/>
                <w:color w:val="auto"/>
              </w:rPr>
            </w:pPr>
            <w:r>
              <w:rPr>
                <w:rFonts w:ascii="Arial" w:cs="Arial" w:eastAsia="Arial" w:hAnsi="Arial"/>
                <w:sz w:val="10"/>
                <w:szCs w:val="10"/>
                <w:color w:val="auto"/>
              </w:rPr>
              <w:t>15,842</w:t>
            </w:r>
          </w:p>
        </w:tc>
        <w:tc>
          <w:tcPr>
            <w:tcW w:w="560" w:type="dxa"/>
            <w:vAlign w:val="bottom"/>
          </w:tcPr>
          <w:p>
            <w:pPr>
              <w:jc w:val="right"/>
              <w:spacing w:after="0"/>
              <w:rPr>
                <w:sz w:val="20"/>
                <w:szCs w:val="20"/>
                <w:color w:val="auto"/>
              </w:rPr>
            </w:pPr>
            <w:r>
              <w:rPr>
                <w:rFonts w:ascii="Arial" w:cs="Arial" w:eastAsia="Arial" w:hAnsi="Arial"/>
                <w:sz w:val="10"/>
                <w:szCs w:val="10"/>
                <w:color w:val="auto"/>
              </w:rPr>
              <w:t>23,352</w:t>
            </w:r>
          </w:p>
        </w:tc>
        <w:tc>
          <w:tcPr>
            <w:tcW w:w="0" w:type="dxa"/>
            <w:vAlign w:val="bottom"/>
          </w:tcPr>
          <w:p>
            <w:pPr>
              <w:spacing w:after="0"/>
              <w:rPr>
                <w:sz w:val="1"/>
                <w:szCs w:val="1"/>
                <w:color w:val="auto"/>
              </w:rPr>
            </w:pPr>
          </w:p>
        </w:tc>
      </w:tr>
      <w:tr>
        <w:trPr>
          <w:trHeight w:val="90"/>
        </w:trPr>
        <w:tc>
          <w:tcPr>
            <w:tcW w:w="2900" w:type="dxa"/>
            <w:vAlign w:val="bottom"/>
          </w:tcPr>
          <w:p>
            <w:pPr>
              <w:spacing w:after="0" w:line="90" w:lineRule="exact"/>
              <w:rPr>
                <w:sz w:val="20"/>
                <w:szCs w:val="20"/>
                <w:color w:val="auto"/>
              </w:rPr>
            </w:pPr>
            <w:r>
              <w:rPr>
                <w:rFonts w:ascii="Arial" w:cs="Arial" w:eastAsia="Arial" w:hAnsi="Arial"/>
                <w:sz w:val="10"/>
                <w:szCs w:val="10"/>
                <w:color w:val="auto"/>
                <w:w w:val="88"/>
              </w:rPr>
              <w:t>Add: Current cost of supplies adjustment attributable to Royal Dutch Shell</w:t>
            </w:r>
          </w:p>
        </w:tc>
        <w:tc>
          <w:tcPr>
            <w:tcW w:w="780" w:type="dxa"/>
            <w:vAlign w:val="bottom"/>
            <w:vMerge w:val="restart"/>
            <w:shd w:val="clear" w:color="auto" w:fill="D9D9D9"/>
          </w:tcPr>
          <w:p>
            <w:pPr>
              <w:jc w:val="right"/>
              <w:spacing w:after="0"/>
              <w:rPr>
                <w:sz w:val="20"/>
                <w:szCs w:val="20"/>
                <w:color w:val="auto"/>
              </w:rPr>
            </w:pPr>
            <w:r>
              <w:rPr>
                <w:rFonts w:ascii="Arial" w:cs="Arial" w:eastAsia="Arial" w:hAnsi="Arial"/>
                <w:sz w:val="10"/>
                <w:szCs w:val="10"/>
                <w:color w:val="auto"/>
              </w:rPr>
              <w:t>1,759</w:t>
            </w:r>
          </w:p>
        </w:tc>
        <w:tc>
          <w:tcPr>
            <w:tcW w:w="980" w:type="dxa"/>
            <w:vAlign w:val="bottom"/>
            <w:vMerge w:val="restart"/>
          </w:tcPr>
          <w:p>
            <w:pPr>
              <w:jc w:val="right"/>
              <w:ind w:right="173"/>
              <w:spacing w:after="0"/>
              <w:rPr>
                <w:sz w:val="20"/>
                <w:szCs w:val="20"/>
                <w:color w:val="auto"/>
              </w:rPr>
            </w:pPr>
            <w:r>
              <w:rPr>
                <w:rFonts w:ascii="Arial" w:cs="Arial" w:eastAsia="Arial" w:hAnsi="Arial"/>
                <w:sz w:val="10"/>
                <w:szCs w:val="10"/>
                <w:color w:val="auto"/>
              </w:rPr>
              <w:t>(572)</w:t>
            </w: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481</w:t>
            </w:r>
          </w:p>
        </w:tc>
        <w:tc>
          <w:tcPr>
            <w:tcW w:w="0" w:type="dxa"/>
            <w:vAlign w:val="bottom"/>
          </w:tcPr>
          <w:p>
            <w:pPr>
              <w:spacing w:after="0"/>
              <w:rPr>
                <w:sz w:val="1"/>
                <w:szCs w:val="1"/>
                <w:color w:val="auto"/>
              </w:rPr>
            </w:pPr>
          </w:p>
        </w:tc>
      </w:tr>
      <w:tr>
        <w:trPr>
          <w:trHeight w:val="126"/>
        </w:trPr>
        <w:tc>
          <w:tcPr>
            <w:tcW w:w="2900" w:type="dxa"/>
            <w:vAlign w:val="bottom"/>
          </w:tcPr>
          <w:p>
            <w:pPr>
              <w:spacing w:after="0"/>
              <w:rPr>
                <w:sz w:val="20"/>
                <w:szCs w:val="20"/>
                <w:color w:val="auto"/>
              </w:rPr>
            </w:pPr>
            <w:r>
              <w:rPr>
                <w:rFonts w:ascii="Arial" w:cs="Arial" w:eastAsia="Arial" w:hAnsi="Arial"/>
                <w:sz w:val="10"/>
                <w:szCs w:val="10"/>
                <w:color w:val="auto"/>
              </w:rPr>
              <w:t>plc shareholders</w:t>
            </w:r>
          </w:p>
        </w:tc>
        <w:tc>
          <w:tcPr>
            <w:tcW w:w="780" w:type="dxa"/>
            <w:vAlign w:val="bottom"/>
            <w:tcBorders>
              <w:bottom w:val="single" w:sz="8" w:color="auto"/>
            </w:tcBorders>
            <w:vMerge w:val="continue"/>
            <w:shd w:val="clear" w:color="auto" w:fill="D9D9D9"/>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00" w:type="dxa"/>
            <w:vAlign w:val="bottom"/>
          </w:tcPr>
          <w:p>
            <w:pPr>
              <w:spacing w:after="0" w:line="112" w:lineRule="exact"/>
              <w:rPr>
                <w:sz w:val="20"/>
                <w:szCs w:val="20"/>
                <w:color w:val="auto"/>
              </w:rPr>
            </w:pPr>
            <w:r>
              <w:rPr>
                <w:rFonts w:ascii="Arial" w:cs="Arial" w:eastAsia="Arial" w:hAnsi="Arial"/>
                <w:sz w:val="10"/>
                <w:szCs w:val="10"/>
                <w:color w:val="auto"/>
                <w:w w:val="91"/>
              </w:rPr>
              <w:t>Less: Identified items attributable to Royal Dutch Shell plc shareholders</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(24,767)</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color w:val="auto"/>
              </w:rPr>
              <w:t>(1,192)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2,429</w:t>
            </w:r>
          </w:p>
        </w:tc>
        <w:tc>
          <w:tcPr>
            <w:tcW w:w="0" w:type="dxa"/>
            <w:vAlign w:val="bottom"/>
          </w:tcPr>
          <w:p>
            <w:pPr>
              <w:spacing w:after="0"/>
              <w:rPr>
                <w:sz w:val="1"/>
                <w:szCs w:val="1"/>
                <w:color w:val="auto"/>
              </w:rPr>
            </w:pPr>
          </w:p>
        </w:tc>
      </w:tr>
      <w:tr>
        <w:trPr>
          <w:trHeight w:val="115"/>
        </w:trPr>
        <w:tc>
          <w:tcPr>
            <w:tcW w:w="2900" w:type="dxa"/>
            <w:vAlign w:val="bottom"/>
          </w:tcPr>
          <w:p>
            <w:pPr>
              <w:spacing w:after="0" w:line="112" w:lineRule="exact"/>
              <w:rPr>
                <w:sz w:val="20"/>
                <w:szCs w:val="20"/>
                <w:color w:val="auto"/>
              </w:rPr>
            </w:pPr>
            <w:r>
              <w:rPr>
                <w:rFonts w:ascii="Arial" w:cs="Arial" w:eastAsia="Arial" w:hAnsi="Arial"/>
                <w:sz w:val="10"/>
                <w:szCs w:val="10"/>
                <w:color w:val="auto"/>
              </w:rPr>
              <w:t>Adjusted Earnings</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4,846</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color w:val="auto"/>
              </w:rPr>
              <w:t>16,462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21,404</w:t>
            </w:r>
          </w:p>
        </w:tc>
        <w:tc>
          <w:tcPr>
            <w:tcW w:w="0" w:type="dxa"/>
            <w:vAlign w:val="bottom"/>
          </w:tcPr>
          <w:p>
            <w:pPr>
              <w:spacing w:after="0"/>
              <w:rPr>
                <w:sz w:val="1"/>
                <w:szCs w:val="1"/>
                <w:color w:val="auto"/>
              </w:rPr>
            </w:pPr>
          </w:p>
        </w:tc>
      </w:tr>
      <w:tr>
        <w:trPr>
          <w:trHeight w:val="103"/>
        </w:trPr>
        <w:tc>
          <w:tcPr>
            <w:tcW w:w="2900" w:type="dxa"/>
            <w:vAlign w:val="bottom"/>
          </w:tcPr>
          <w:p>
            <w:pPr>
              <w:spacing w:after="0" w:line="103" w:lineRule="exact"/>
              <w:rPr>
                <w:sz w:val="20"/>
                <w:szCs w:val="20"/>
                <w:color w:val="auto"/>
              </w:rPr>
            </w:pPr>
            <w:r>
              <w:rPr>
                <w:rFonts w:ascii="Arial" w:cs="Arial" w:eastAsia="Arial" w:hAnsi="Arial"/>
                <w:sz w:val="10"/>
                <w:szCs w:val="10"/>
                <w:color w:val="auto"/>
              </w:rPr>
              <w:t>Of which:</w:t>
            </w:r>
          </w:p>
        </w:tc>
        <w:tc>
          <w:tcPr>
            <w:tcW w:w="780" w:type="dxa"/>
            <w:vAlign w:val="bottom"/>
            <w:shd w:val="clear" w:color="auto" w:fill="DBDBDB"/>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900" w:type="dxa"/>
            <w:vAlign w:val="bottom"/>
          </w:tcPr>
          <w:p>
            <w:pPr>
              <w:spacing w:after="0"/>
              <w:rPr>
                <w:sz w:val="20"/>
                <w:szCs w:val="20"/>
                <w:color w:val="auto"/>
              </w:rPr>
            </w:pPr>
            <w:r>
              <w:rPr>
                <w:rFonts w:ascii="Arial" w:cs="Arial" w:eastAsia="Arial" w:hAnsi="Arial"/>
                <w:sz w:val="10"/>
                <w:szCs w:val="10"/>
                <w:color w:val="auto"/>
              </w:rPr>
              <w:t>Integrated Gas</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4,383</w:t>
            </w:r>
          </w:p>
        </w:tc>
        <w:tc>
          <w:tcPr>
            <w:tcW w:w="980" w:type="dxa"/>
            <w:vAlign w:val="bottom"/>
          </w:tcPr>
          <w:p>
            <w:pPr>
              <w:jc w:val="right"/>
              <w:ind w:right="193"/>
              <w:spacing w:after="0"/>
              <w:rPr>
                <w:sz w:val="20"/>
                <w:szCs w:val="20"/>
                <w:color w:val="auto"/>
              </w:rPr>
            </w:pPr>
            <w:r>
              <w:rPr>
                <w:rFonts w:ascii="Arial" w:cs="Arial" w:eastAsia="Arial" w:hAnsi="Arial"/>
                <w:sz w:val="10"/>
                <w:szCs w:val="10"/>
                <w:color w:val="auto"/>
              </w:rPr>
              <w:t>8,955</w:t>
            </w:r>
          </w:p>
        </w:tc>
        <w:tc>
          <w:tcPr>
            <w:tcW w:w="560" w:type="dxa"/>
            <w:vAlign w:val="bottom"/>
          </w:tcPr>
          <w:p>
            <w:pPr>
              <w:jc w:val="right"/>
              <w:spacing w:after="0"/>
              <w:rPr>
                <w:sz w:val="20"/>
                <w:szCs w:val="20"/>
                <w:color w:val="auto"/>
              </w:rPr>
            </w:pPr>
            <w:r>
              <w:rPr>
                <w:rFonts w:ascii="Arial" w:cs="Arial" w:eastAsia="Arial" w:hAnsi="Arial"/>
                <w:sz w:val="10"/>
                <w:szCs w:val="10"/>
                <w:color w:val="auto"/>
              </w:rPr>
              <w:t>9,399</w:t>
            </w:r>
          </w:p>
        </w:tc>
        <w:tc>
          <w:tcPr>
            <w:tcW w:w="0" w:type="dxa"/>
            <w:vAlign w:val="bottom"/>
          </w:tcPr>
          <w:p>
            <w:pPr>
              <w:spacing w:after="0"/>
              <w:rPr>
                <w:sz w:val="1"/>
                <w:szCs w:val="1"/>
                <w:color w:val="auto"/>
              </w:rPr>
            </w:pPr>
          </w:p>
        </w:tc>
      </w:tr>
      <w:tr>
        <w:trPr>
          <w:trHeight w:val="126"/>
        </w:trPr>
        <w:tc>
          <w:tcPr>
            <w:tcW w:w="2900" w:type="dxa"/>
            <w:vAlign w:val="bottom"/>
          </w:tcPr>
          <w:p>
            <w:pPr>
              <w:spacing w:after="0"/>
              <w:rPr>
                <w:sz w:val="20"/>
                <w:szCs w:val="20"/>
                <w:color w:val="auto"/>
              </w:rPr>
            </w:pPr>
            <w:r>
              <w:rPr>
                <w:rFonts w:ascii="Arial" w:cs="Arial" w:eastAsia="Arial" w:hAnsi="Arial"/>
                <w:sz w:val="10"/>
                <w:szCs w:val="10"/>
                <w:color w:val="auto"/>
              </w:rPr>
              <w:t>Upstream</w:t>
            </w:r>
          </w:p>
        </w:tc>
        <w:tc>
          <w:tcPr>
            <w:tcW w:w="780" w:type="dxa"/>
            <w:vAlign w:val="bottom"/>
            <w:shd w:val="clear" w:color="auto" w:fill="DBDBDB"/>
          </w:tcPr>
          <w:p>
            <w:pPr>
              <w:jc w:val="right"/>
              <w:spacing w:after="0"/>
              <w:rPr>
                <w:sz w:val="20"/>
                <w:szCs w:val="20"/>
                <w:color w:val="auto"/>
              </w:rPr>
            </w:pPr>
            <w:r>
              <w:rPr>
                <w:rFonts w:ascii="Arial" w:cs="Arial" w:eastAsia="Arial" w:hAnsi="Arial"/>
                <w:sz w:val="8"/>
                <w:szCs w:val="8"/>
                <w:color w:val="auto"/>
              </w:rPr>
              <w:t>(2,852)</w:t>
            </w:r>
          </w:p>
        </w:tc>
        <w:tc>
          <w:tcPr>
            <w:tcW w:w="980" w:type="dxa"/>
            <w:vAlign w:val="bottom"/>
          </w:tcPr>
          <w:p>
            <w:pPr>
              <w:jc w:val="right"/>
              <w:ind w:right="193"/>
              <w:spacing w:after="0"/>
              <w:rPr>
                <w:sz w:val="20"/>
                <w:szCs w:val="20"/>
                <w:color w:val="auto"/>
              </w:rPr>
            </w:pPr>
            <w:r>
              <w:rPr>
                <w:rFonts w:ascii="Arial" w:cs="Arial" w:eastAsia="Arial" w:hAnsi="Arial"/>
                <w:sz w:val="8"/>
                <w:szCs w:val="8"/>
                <w:color w:val="auto"/>
              </w:rPr>
              <w:t>4,452</w:t>
            </w:r>
          </w:p>
        </w:tc>
        <w:tc>
          <w:tcPr>
            <w:tcW w:w="560" w:type="dxa"/>
            <w:vAlign w:val="bottom"/>
          </w:tcPr>
          <w:p>
            <w:pPr>
              <w:jc w:val="right"/>
              <w:spacing w:after="0"/>
              <w:rPr>
                <w:sz w:val="20"/>
                <w:szCs w:val="20"/>
                <w:color w:val="auto"/>
              </w:rPr>
            </w:pPr>
            <w:r>
              <w:rPr>
                <w:rFonts w:ascii="Arial" w:cs="Arial" w:eastAsia="Arial" w:hAnsi="Arial"/>
                <w:sz w:val="8"/>
                <w:szCs w:val="8"/>
                <w:color w:val="auto"/>
              </w:rPr>
              <w:t>6,472</w:t>
            </w:r>
          </w:p>
        </w:tc>
        <w:tc>
          <w:tcPr>
            <w:tcW w:w="0" w:type="dxa"/>
            <w:vAlign w:val="bottom"/>
          </w:tcPr>
          <w:p>
            <w:pPr>
              <w:spacing w:after="0"/>
              <w:rPr>
                <w:sz w:val="1"/>
                <w:szCs w:val="1"/>
                <w:color w:val="auto"/>
              </w:rPr>
            </w:pPr>
          </w:p>
        </w:tc>
      </w:tr>
      <w:tr>
        <w:trPr>
          <w:trHeight w:val="126"/>
        </w:trPr>
        <w:tc>
          <w:tcPr>
            <w:tcW w:w="2900" w:type="dxa"/>
            <w:vAlign w:val="bottom"/>
          </w:tcPr>
          <w:p>
            <w:pPr>
              <w:spacing w:after="0"/>
              <w:rPr>
                <w:sz w:val="20"/>
                <w:szCs w:val="20"/>
                <w:color w:val="auto"/>
              </w:rPr>
            </w:pPr>
            <w:r>
              <w:rPr>
                <w:rFonts w:ascii="Arial" w:cs="Arial" w:eastAsia="Arial" w:hAnsi="Arial"/>
                <w:sz w:val="10"/>
                <w:szCs w:val="10"/>
                <w:color w:val="auto"/>
              </w:rPr>
              <w:t>Oil Products</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5,995</w:t>
            </w:r>
          </w:p>
        </w:tc>
        <w:tc>
          <w:tcPr>
            <w:tcW w:w="980" w:type="dxa"/>
            <w:vAlign w:val="bottom"/>
          </w:tcPr>
          <w:p>
            <w:pPr>
              <w:jc w:val="right"/>
              <w:ind w:right="193"/>
              <w:spacing w:after="0"/>
              <w:rPr>
                <w:sz w:val="20"/>
                <w:szCs w:val="20"/>
                <w:color w:val="auto"/>
              </w:rPr>
            </w:pPr>
            <w:r>
              <w:rPr>
                <w:rFonts w:ascii="Arial" w:cs="Arial" w:eastAsia="Arial" w:hAnsi="Arial"/>
                <w:sz w:val="10"/>
                <w:szCs w:val="10"/>
                <w:color w:val="auto"/>
              </w:rPr>
              <w:t>6,231</w:t>
            </w:r>
          </w:p>
        </w:tc>
        <w:tc>
          <w:tcPr>
            <w:tcW w:w="560" w:type="dxa"/>
            <w:vAlign w:val="bottom"/>
          </w:tcPr>
          <w:p>
            <w:pPr>
              <w:jc w:val="right"/>
              <w:spacing w:after="0"/>
              <w:rPr>
                <w:sz w:val="20"/>
                <w:szCs w:val="20"/>
                <w:color w:val="auto"/>
              </w:rPr>
            </w:pPr>
            <w:r>
              <w:rPr>
                <w:rFonts w:ascii="Arial" w:cs="Arial" w:eastAsia="Arial" w:hAnsi="Arial"/>
                <w:sz w:val="10"/>
                <w:szCs w:val="10"/>
                <w:color w:val="auto"/>
              </w:rPr>
              <w:t>5,794</w:t>
            </w:r>
          </w:p>
        </w:tc>
        <w:tc>
          <w:tcPr>
            <w:tcW w:w="0" w:type="dxa"/>
            <w:vAlign w:val="bottom"/>
          </w:tcPr>
          <w:p>
            <w:pPr>
              <w:spacing w:after="0"/>
              <w:rPr>
                <w:sz w:val="1"/>
                <w:szCs w:val="1"/>
                <w:color w:val="auto"/>
              </w:rPr>
            </w:pPr>
          </w:p>
        </w:tc>
      </w:tr>
      <w:tr>
        <w:trPr>
          <w:trHeight w:val="126"/>
        </w:trPr>
        <w:tc>
          <w:tcPr>
            <w:tcW w:w="2900" w:type="dxa"/>
            <w:vAlign w:val="bottom"/>
          </w:tcPr>
          <w:p>
            <w:pPr>
              <w:spacing w:after="0"/>
              <w:rPr>
                <w:sz w:val="20"/>
                <w:szCs w:val="20"/>
                <w:color w:val="auto"/>
              </w:rPr>
            </w:pPr>
            <w:r>
              <w:rPr>
                <w:rFonts w:ascii="Arial" w:cs="Arial" w:eastAsia="Arial" w:hAnsi="Arial"/>
                <w:sz w:val="10"/>
                <w:szCs w:val="10"/>
                <w:color w:val="auto"/>
              </w:rPr>
              <w:t>Chemicals</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962</w:t>
            </w:r>
          </w:p>
        </w:tc>
        <w:tc>
          <w:tcPr>
            <w:tcW w:w="980" w:type="dxa"/>
            <w:vAlign w:val="bottom"/>
          </w:tcPr>
          <w:p>
            <w:pPr>
              <w:jc w:val="right"/>
              <w:ind w:right="193"/>
              <w:spacing w:after="0"/>
              <w:rPr>
                <w:sz w:val="20"/>
                <w:szCs w:val="20"/>
                <w:color w:val="auto"/>
              </w:rPr>
            </w:pPr>
            <w:r>
              <w:rPr>
                <w:rFonts w:ascii="Arial" w:cs="Arial" w:eastAsia="Arial" w:hAnsi="Arial"/>
                <w:sz w:val="10"/>
                <w:szCs w:val="10"/>
                <w:color w:val="auto"/>
              </w:rPr>
              <w:t>741</w:t>
            </w:r>
          </w:p>
        </w:tc>
        <w:tc>
          <w:tcPr>
            <w:tcW w:w="560" w:type="dxa"/>
            <w:vAlign w:val="bottom"/>
          </w:tcPr>
          <w:p>
            <w:pPr>
              <w:jc w:val="right"/>
              <w:spacing w:after="0"/>
              <w:rPr>
                <w:sz w:val="20"/>
                <w:szCs w:val="20"/>
                <w:color w:val="auto"/>
              </w:rPr>
            </w:pPr>
            <w:r>
              <w:rPr>
                <w:rFonts w:ascii="Arial" w:cs="Arial" w:eastAsia="Arial" w:hAnsi="Arial"/>
                <w:sz w:val="10"/>
                <w:szCs w:val="10"/>
                <w:color w:val="auto"/>
              </w:rPr>
              <w:t>2,076</w:t>
            </w:r>
          </w:p>
        </w:tc>
        <w:tc>
          <w:tcPr>
            <w:tcW w:w="0" w:type="dxa"/>
            <w:vAlign w:val="bottom"/>
          </w:tcPr>
          <w:p>
            <w:pPr>
              <w:spacing w:after="0"/>
              <w:rPr>
                <w:sz w:val="1"/>
                <w:szCs w:val="1"/>
                <w:color w:val="auto"/>
              </w:rPr>
            </w:pPr>
          </w:p>
        </w:tc>
      </w:tr>
      <w:tr>
        <w:trPr>
          <w:trHeight w:val="126"/>
        </w:trPr>
        <w:tc>
          <w:tcPr>
            <w:tcW w:w="2900" w:type="dxa"/>
            <w:vAlign w:val="bottom"/>
          </w:tcPr>
          <w:p>
            <w:pPr>
              <w:spacing w:after="0"/>
              <w:rPr>
                <w:sz w:val="20"/>
                <w:szCs w:val="20"/>
                <w:color w:val="auto"/>
              </w:rPr>
            </w:pPr>
            <w:r>
              <w:rPr>
                <w:rFonts w:ascii="Arial" w:cs="Arial" w:eastAsia="Arial" w:hAnsi="Arial"/>
                <w:sz w:val="10"/>
                <w:szCs w:val="10"/>
                <w:color w:val="auto"/>
              </w:rPr>
              <w:t>Corporate</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(3,412)</w:t>
            </w:r>
          </w:p>
        </w:tc>
        <w:tc>
          <w:tcPr>
            <w:tcW w:w="980" w:type="dxa"/>
            <w:vAlign w:val="bottom"/>
          </w:tcPr>
          <w:p>
            <w:pPr>
              <w:jc w:val="right"/>
              <w:ind w:right="173"/>
              <w:spacing w:after="0"/>
              <w:rPr>
                <w:sz w:val="20"/>
                <w:szCs w:val="20"/>
                <w:color w:val="auto"/>
              </w:rPr>
            </w:pPr>
            <w:r>
              <w:rPr>
                <w:rFonts w:ascii="Arial" w:cs="Arial" w:eastAsia="Arial" w:hAnsi="Arial"/>
                <w:sz w:val="10"/>
                <w:szCs w:val="10"/>
                <w:color w:val="auto"/>
              </w:rPr>
              <w:t>(3,383)</w:t>
            </w:r>
          </w:p>
        </w:tc>
        <w:tc>
          <w:tcPr>
            <w:tcW w:w="560" w:type="dxa"/>
            <w:vAlign w:val="bottom"/>
          </w:tcPr>
          <w:p>
            <w:pPr>
              <w:jc w:val="right"/>
              <w:spacing w:after="0"/>
              <w:rPr>
                <w:sz w:val="20"/>
                <w:szCs w:val="20"/>
                <w:color w:val="auto"/>
              </w:rPr>
            </w:pPr>
            <w:r>
              <w:rPr>
                <w:rFonts w:ascii="Arial" w:cs="Arial" w:eastAsia="Arial" w:hAnsi="Arial"/>
                <w:sz w:val="10"/>
                <w:szCs w:val="10"/>
                <w:color w:val="auto"/>
              </w:rPr>
              <w:t>(1,806)</w:t>
            </w:r>
          </w:p>
        </w:tc>
        <w:tc>
          <w:tcPr>
            <w:tcW w:w="0" w:type="dxa"/>
            <w:vAlign w:val="bottom"/>
          </w:tcPr>
          <w:p>
            <w:pPr>
              <w:spacing w:after="0"/>
              <w:rPr>
                <w:sz w:val="1"/>
                <w:szCs w:val="1"/>
                <w:color w:val="auto"/>
              </w:rPr>
            </w:pPr>
          </w:p>
        </w:tc>
      </w:tr>
      <w:tr>
        <w:trPr>
          <w:trHeight w:val="134"/>
        </w:trPr>
        <w:tc>
          <w:tcPr>
            <w:tcW w:w="2900" w:type="dxa"/>
            <w:vAlign w:val="bottom"/>
          </w:tcPr>
          <w:p>
            <w:pPr>
              <w:ind w:left="100"/>
              <w:spacing w:after="0"/>
              <w:rPr>
                <w:sz w:val="20"/>
                <w:szCs w:val="20"/>
                <w:color w:val="auto"/>
              </w:rPr>
            </w:pPr>
            <w:r>
              <w:rPr>
                <w:rFonts w:ascii="Arial" w:cs="Arial" w:eastAsia="Arial" w:hAnsi="Arial"/>
                <w:sz w:val="10"/>
                <w:szCs w:val="10"/>
                <w:color w:val="auto"/>
              </w:rPr>
              <w:t>less: Non-controlling interest</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(230)</w:t>
            </w:r>
          </w:p>
        </w:tc>
        <w:tc>
          <w:tcPr>
            <w:tcW w:w="980" w:type="dxa"/>
            <w:vAlign w:val="bottom"/>
          </w:tcPr>
          <w:p>
            <w:pPr>
              <w:jc w:val="right"/>
              <w:ind w:right="173"/>
              <w:spacing w:after="0"/>
              <w:rPr>
                <w:sz w:val="20"/>
                <w:szCs w:val="20"/>
                <w:color w:val="auto"/>
              </w:rPr>
            </w:pPr>
            <w:r>
              <w:rPr>
                <w:rFonts w:ascii="Arial" w:cs="Arial" w:eastAsia="Arial" w:hAnsi="Arial"/>
                <w:sz w:val="10"/>
                <w:szCs w:val="10"/>
                <w:color w:val="auto"/>
              </w:rPr>
              <w:t>(535)</w:t>
            </w:r>
          </w:p>
        </w:tc>
        <w:tc>
          <w:tcPr>
            <w:tcW w:w="560" w:type="dxa"/>
            <w:vAlign w:val="bottom"/>
          </w:tcPr>
          <w:p>
            <w:pPr>
              <w:jc w:val="right"/>
              <w:spacing w:after="0"/>
              <w:rPr>
                <w:sz w:val="20"/>
                <w:szCs w:val="20"/>
                <w:color w:val="auto"/>
              </w:rPr>
            </w:pPr>
            <w:r>
              <w:rPr>
                <w:rFonts w:ascii="Arial" w:cs="Arial" w:eastAsia="Arial" w:hAnsi="Arial"/>
                <w:sz w:val="10"/>
                <w:szCs w:val="10"/>
                <w:color w:val="auto"/>
              </w:rPr>
              <w:t>(531)</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2"/>
          <w:szCs w:val="12"/>
          <w:color w:val="auto"/>
        </w:rPr>
        <w:t>Adjusted Earnings per share</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 million</w:t>
            </w:r>
          </w:p>
        </w:tc>
      </w:tr>
      <w:tr>
        <w:trPr>
          <w:trHeight w:val="123"/>
        </w:trPr>
        <w:tc>
          <w:tcPr>
            <w:tcW w:w="29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2020</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2019</w:t>
            </w:r>
          </w:p>
        </w:tc>
        <w:tc>
          <w:tcPr>
            <w:tcW w:w="560" w:type="dxa"/>
            <w:vAlign w:val="bottom"/>
          </w:tcPr>
          <w:p>
            <w:pPr>
              <w:jc w:val="right"/>
              <w:spacing w:after="0"/>
              <w:rPr>
                <w:sz w:val="20"/>
                <w:szCs w:val="20"/>
                <w:color w:val="auto"/>
              </w:rPr>
            </w:pPr>
            <w:r>
              <w:rPr>
                <w:rFonts w:ascii="Arial" w:cs="Arial" w:eastAsia="Arial" w:hAnsi="Arial"/>
                <w:sz w:val="10"/>
                <w:szCs w:val="10"/>
                <w:color w:val="auto"/>
              </w:rPr>
              <w:t>2018</w:t>
            </w:r>
          </w:p>
        </w:tc>
      </w:tr>
      <w:tr>
        <w:trPr>
          <w:trHeight w:val="129"/>
        </w:trPr>
        <w:tc>
          <w:tcPr>
            <w:tcW w:w="2900" w:type="dxa"/>
            <w:vAlign w:val="bottom"/>
          </w:tcPr>
          <w:p>
            <w:pPr>
              <w:spacing w:after="0"/>
              <w:rPr>
                <w:sz w:val="20"/>
                <w:szCs w:val="20"/>
                <w:color w:val="auto"/>
              </w:rPr>
            </w:pPr>
            <w:r>
              <w:rPr>
                <w:rFonts w:ascii="Arial" w:cs="Arial" w:eastAsia="Arial" w:hAnsi="Arial"/>
                <w:sz w:val="10"/>
                <w:szCs w:val="10"/>
                <w:color w:val="auto"/>
              </w:rPr>
              <w:t>Adjusted Earnings</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4,846</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16,462</w:t>
            </w:r>
          </w:p>
        </w:tc>
        <w:tc>
          <w:tcPr>
            <w:tcW w:w="560" w:type="dxa"/>
            <w:vAlign w:val="bottom"/>
          </w:tcPr>
          <w:p>
            <w:pPr>
              <w:jc w:val="right"/>
              <w:spacing w:after="0"/>
              <w:rPr>
                <w:sz w:val="20"/>
                <w:szCs w:val="20"/>
                <w:color w:val="auto"/>
              </w:rPr>
            </w:pPr>
            <w:r>
              <w:rPr>
                <w:rFonts w:ascii="Arial" w:cs="Arial" w:eastAsia="Arial" w:hAnsi="Arial"/>
                <w:sz w:val="10"/>
                <w:szCs w:val="10"/>
                <w:color w:val="auto"/>
              </w:rPr>
              <w:t>21,404</w:t>
            </w:r>
          </w:p>
        </w:tc>
      </w:tr>
      <w:tr>
        <w:trPr>
          <w:trHeight w:val="126"/>
        </w:trPr>
        <w:tc>
          <w:tcPr>
            <w:tcW w:w="2900" w:type="dxa"/>
            <w:vAlign w:val="bottom"/>
          </w:tcPr>
          <w:p>
            <w:pPr>
              <w:spacing w:after="0"/>
              <w:rPr>
                <w:sz w:val="20"/>
                <w:szCs w:val="20"/>
                <w:color w:val="auto"/>
              </w:rPr>
            </w:pPr>
            <w:r>
              <w:rPr>
                <w:rFonts w:ascii="Arial" w:cs="Arial" w:eastAsia="Arial" w:hAnsi="Arial"/>
                <w:sz w:val="10"/>
                <w:szCs w:val="10"/>
                <w:color w:val="auto"/>
              </w:rPr>
              <w:t>Basic weighted average number of shares</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7,795.6</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8,058.3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8,282.8</w:t>
            </w:r>
          </w:p>
        </w:tc>
      </w:tr>
      <w:tr>
        <w:trPr>
          <w:trHeight w:val="120"/>
        </w:trPr>
        <w:tc>
          <w:tcPr>
            <w:tcW w:w="2900" w:type="dxa"/>
            <w:vAlign w:val="bottom"/>
          </w:tcPr>
          <w:p>
            <w:pPr>
              <w:spacing w:after="0" w:line="112" w:lineRule="exact"/>
              <w:rPr>
                <w:sz w:val="20"/>
                <w:szCs w:val="20"/>
                <w:color w:val="auto"/>
              </w:rPr>
            </w:pPr>
            <w:r>
              <w:rPr>
                <w:rFonts w:ascii="Arial" w:cs="Arial" w:eastAsia="Arial" w:hAnsi="Arial"/>
                <w:sz w:val="10"/>
                <w:szCs w:val="10"/>
                <w:color w:val="auto"/>
              </w:rPr>
              <w:t>Adjusted EPS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0.62</w:t>
            </w:r>
          </w:p>
        </w:tc>
        <w:tc>
          <w:tcPr>
            <w:tcW w:w="980" w:type="dxa"/>
            <w:vAlign w:val="bottom"/>
          </w:tcPr>
          <w:p>
            <w:pPr>
              <w:jc w:val="right"/>
              <w:ind w:right="192"/>
              <w:spacing w:after="0"/>
              <w:rPr>
                <w:sz w:val="20"/>
                <w:szCs w:val="20"/>
                <w:color w:val="auto"/>
              </w:rPr>
            </w:pPr>
            <w:r>
              <w:rPr>
                <w:rFonts w:ascii="Arial" w:cs="Arial" w:eastAsia="Arial" w:hAnsi="Arial"/>
                <w:sz w:val="10"/>
                <w:szCs w:val="10"/>
                <w:color w:val="auto"/>
              </w:rPr>
              <w:t>2.04</w:t>
            </w:r>
          </w:p>
        </w:tc>
        <w:tc>
          <w:tcPr>
            <w:tcW w:w="560" w:type="dxa"/>
            <w:vAlign w:val="bottom"/>
          </w:tcPr>
          <w:p>
            <w:pPr>
              <w:jc w:val="right"/>
              <w:spacing w:after="0"/>
              <w:rPr>
                <w:sz w:val="20"/>
                <w:szCs w:val="20"/>
                <w:color w:val="auto"/>
              </w:rPr>
            </w:pPr>
            <w:r>
              <w:rPr>
                <w:rFonts w:ascii="Arial" w:cs="Arial" w:eastAsia="Arial" w:hAnsi="Arial"/>
                <w:sz w:val="10"/>
                <w:szCs w:val="10"/>
                <w:color w:val="auto"/>
              </w:rPr>
              <w:t>2.58</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Identified Items</w:t>
      </w:r>
    </w:p>
    <w:p>
      <w:pPr>
        <w:ind w:right="80"/>
        <w:spacing w:after="0" w:line="309" w:lineRule="auto"/>
        <w:rPr>
          <w:sz w:val="20"/>
          <w:szCs w:val="20"/>
          <w:color w:val="auto"/>
        </w:rPr>
      </w:pPr>
      <w:r>
        <w:rPr>
          <w:rFonts w:ascii="Arial" w:cs="Arial" w:eastAsia="Arial" w:hAnsi="Arial"/>
          <w:sz w:val="8"/>
          <w:szCs w:val="8"/>
          <w:color w:val="auto"/>
        </w:rPr>
        <w:t>The objective of identified items is to remove material impacts on net income/loss arising from transactions which are generally uncontrollable and unusual (infrequent or non-recurring) in nature or giving rise to a mismatch of accounting and economic results, or certain transactions that are generally excluded from underlying results in the industry.</w:t>
      </w:r>
    </w:p>
    <w:p>
      <w:pPr>
        <w:sectPr>
          <w:pgSz w:w="11900" w:h="16838" w:orient="portrait"/>
          <w:cols w:equalWidth="0" w:num="2">
            <w:col w:w="5640" w:space="280"/>
            <w:col w:w="5240"/>
          </w:cols>
          <w:pgMar w:left="300" w:top="721" w:right="43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121"/>
        </w:trPr>
        <w:tc>
          <w:tcPr>
            <w:tcW w:w="2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 million</w:t>
            </w:r>
          </w:p>
        </w:tc>
      </w:tr>
      <w:tr>
        <w:trPr>
          <w:trHeight w:val="130"/>
        </w:trPr>
        <w:tc>
          <w:tcPr>
            <w:tcW w:w="29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2019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9"/>
        </w:trPr>
        <w:tc>
          <w:tcPr>
            <w:tcW w:w="2920" w:type="dxa"/>
            <w:vAlign w:val="bottom"/>
          </w:tcPr>
          <w:p>
            <w:pPr>
              <w:spacing w:after="0"/>
              <w:rPr>
                <w:sz w:val="20"/>
                <w:szCs w:val="20"/>
                <w:color w:val="auto"/>
              </w:rPr>
            </w:pPr>
            <w:r>
              <w:rPr>
                <w:rFonts w:ascii="Arial" w:cs="Arial" w:eastAsia="Arial" w:hAnsi="Arial"/>
                <w:sz w:val="10"/>
                <w:szCs w:val="10"/>
                <w:color w:val="auto"/>
              </w:rPr>
              <w:t>Identified items before tax</w:t>
            </w:r>
          </w:p>
        </w:tc>
        <w:tc>
          <w:tcPr>
            <w:tcW w:w="780" w:type="dxa"/>
            <w:vAlign w:val="bottom"/>
            <w:shd w:val="clear" w:color="auto" w:fill="CDCDCD"/>
          </w:tcPr>
          <w:p>
            <w:pPr>
              <w:jc w:val="right"/>
              <w:spacing w:after="0"/>
              <w:rPr>
                <w:sz w:val="20"/>
                <w:szCs w:val="20"/>
                <w:color w:val="auto"/>
              </w:rPr>
            </w:pPr>
            <w:r>
              <w:rPr>
                <w:rFonts w:ascii="Arial" w:cs="Arial" w:eastAsia="Arial" w:hAnsi="Arial"/>
                <w:sz w:val="10"/>
                <w:szCs w:val="10"/>
                <w:color w:val="auto"/>
              </w:rPr>
              <w:t>(31,877)</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(1,844)</w:t>
            </w:r>
          </w:p>
        </w:tc>
        <w:tc>
          <w:tcPr>
            <w:tcW w:w="580" w:type="dxa"/>
            <w:vAlign w:val="bottom"/>
          </w:tcPr>
          <w:p>
            <w:pPr>
              <w:jc w:val="right"/>
              <w:spacing w:after="0"/>
              <w:rPr>
                <w:sz w:val="20"/>
                <w:szCs w:val="20"/>
                <w:color w:val="auto"/>
              </w:rPr>
            </w:pPr>
            <w:r>
              <w:rPr>
                <w:rFonts w:ascii="Arial" w:cs="Arial" w:eastAsia="Arial" w:hAnsi="Arial"/>
                <w:sz w:val="10"/>
                <w:szCs w:val="10"/>
                <w:color w:val="auto"/>
              </w:rPr>
              <w:t>3,089</w:t>
            </w:r>
          </w:p>
        </w:tc>
      </w:tr>
      <w:tr>
        <w:trPr>
          <w:trHeight w:val="118"/>
        </w:trPr>
        <w:tc>
          <w:tcPr>
            <w:tcW w:w="2920" w:type="dxa"/>
            <w:vAlign w:val="bottom"/>
          </w:tcPr>
          <w:p>
            <w:pPr>
              <w:spacing w:after="0"/>
              <w:rPr>
                <w:sz w:val="20"/>
                <w:szCs w:val="20"/>
                <w:color w:val="auto"/>
              </w:rPr>
            </w:pPr>
            <w:r>
              <w:rPr>
                <w:rFonts w:ascii="Arial" w:cs="Arial" w:eastAsia="Arial" w:hAnsi="Arial"/>
                <w:sz w:val="10"/>
                <w:szCs w:val="10"/>
                <w:color w:val="auto"/>
              </w:rPr>
              <w:t>Of which:</w:t>
            </w:r>
          </w:p>
        </w:tc>
        <w:tc>
          <w:tcPr>
            <w:tcW w:w="780" w:type="dxa"/>
            <w:vAlign w:val="bottom"/>
            <w:shd w:val="clear" w:color="auto" w:fill="DBDBDB"/>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9"/>
        </w:trPr>
        <w:tc>
          <w:tcPr>
            <w:tcW w:w="2920" w:type="dxa"/>
            <w:vAlign w:val="bottom"/>
          </w:tcPr>
          <w:p>
            <w:pPr>
              <w:spacing w:after="0"/>
              <w:rPr>
                <w:sz w:val="20"/>
                <w:szCs w:val="20"/>
                <w:color w:val="auto"/>
              </w:rPr>
            </w:pPr>
            <w:r>
              <w:rPr>
                <w:rFonts w:ascii="Arial" w:cs="Arial" w:eastAsia="Arial" w:hAnsi="Arial"/>
                <w:sz w:val="10"/>
                <w:szCs w:val="10"/>
                <w:color w:val="auto"/>
              </w:rPr>
              <w:t>Divestment gains/(losses)</w:t>
            </w:r>
          </w:p>
        </w:tc>
        <w:tc>
          <w:tcPr>
            <w:tcW w:w="780" w:type="dxa"/>
            <w:vAlign w:val="bottom"/>
            <w:shd w:val="clear" w:color="auto" w:fill="D9D9D9"/>
          </w:tcPr>
          <w:p>
            <w:pPr>
              <w:jc w:val="right"/>
              <w:ind w:right="12"/>
              <w:spacing w:after="0"/>
              <w:rPr>
                <w:sz w:val="20"/>
                <w:szCs w:val="20"/>
                <w:color w:val="auto"/>
              </w:rPr>
            </w:pPr>
            <w:r>
              <w:rPr>
                <w:rFonts w:ascii="Arial" w:cs="Arial" w:eastAsia="Arial" w:hAnsi="Arial"/>
                <w:sz w:val="10"/>
                <w:szCs w:val="10"/>
                <w:color w:val="auto"/>
              </w:rPr>
              <w:t>316</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2,611</w:t>
            </w:r>
          </w:p>
        </w:tc>
        <w:tc>
          <w:tcPr>
            <w:tcW w:w="580" w:type="dxa"/>
            <w:vAlign w:val="bottom"/>
          </w:tcPr>
          <w:p>
            <w:pPr>
              <w:jc w:val="right"/>
              <w:spacing w:after="0"/>
              <w:rPr>
                <w:sz w:val="20"/>
                <w:szCs w:val="20"/>
                <w:color w:val="auto"/>
              </w:rPr>
            </w:pPr>
            <w:r>
              <w:rPr>
                <w:rFonts w:ascii="Arial" w:cs="Arial" w:eastAsia="Arial" w:hAnsi="Arial"/>
                <w:sz w:val="10"/>
                <w:szCs w:val="10"/>
                <w:color w:val="auto"/>
              </w:rPr>
              <w:t>3,283</w:t>
            </w:r>
          </w:p>
        </w:tc>
      </w:tr>
      <w:tr>
        <w:trPr>
          <w:trHeight w:val="123"/>
        </w:trPr>
        <w:tc>
          <w:tcPr>
            <w:tcW w:w="2920" w:type="dxa"/>
            <w:vAlign w:val="bottom"/>
          </w:tcPr>
          <w:p>
            <w:pPr>
              <w:spacing w:after="0"/>
              <w:rPr>
                <w:sz w:val="20"/>
                <w:szCs w:val="20"/>
                <w:color w:val="auto"/>
              </w:rPr>
            </w:pPr>
            <w:r>
              <w:rPr>
                <w:rFonts w:ascii="Arial" w:cs="Arial" w:eastAsia="Arial" w:hAnsi="Arial"/>
                <w:sz w:val="10"/>
                <w:szCs w:val="10"/>
                <w:color w:val="auto"/>
              </w:rPr>
              <w:t>Impairments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(28,061)</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(4,155)</w:t>
            </w:r>
          </w:p>
        </w:tc>
        <w:tc>
          <w:tcPr>
            <w:tcW w:w="580" w:type="dxa"/>
            <w:vAlign w:val="bottom"/>
          </w:tcPr>
          <w:p>
            <w:pPr>
              <w:jc w:val="right"/>
              <w:spacing w:after="0"/>
              <w:rPr>
                <w:sz w:val="20"/>
                <w:szCs w:val="20"/>
                <w:color w:val="auto"/>
              </w:rPr>
            </w:pPr>
            <w:r>
              <w:rPr>
                <w:rFonts w:ascii="Arial" w:cs="Arial" w:eastAsia="Arial" w:hAnsi="Arial"/>
                <w:sz w:val="10"/>
                <w:szCs w:val="10"/>
                <w:color w:val="auto"/>
              </w:rPr>
              <w:t>(1,020)</w:t>
            </w: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w w:val="89"/>
              </w:rPr>
              <w:t>Fair value accounting of commodity derivatives and certain gas contracts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(1,151)</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602</w:t>
            </w:r>
          </w:p>
        </w:tc>
        <w:tc>
          <w:tcPr>
            <w:tcW w:w="580" w:type="dxa"/>
            <w:vAlign w:val="bottom"/>
          </w:tcPr>
          <w:p>
            <w:pPr>
              <w:jc w:val="right"/>
              <w:spacing w:after="0"/>
              <w:rPr>
                <w:sz w:val="20"/>
                <w:szCs w:val="20"/>
                <w:color w:val="auto"/>
              </w:rPr>
            </w:pPr>
            <w:r>
              <w:rPr>
                <w:rFonts w:ascii="Arial" w:cs="Arial" w:eastAsia="Arial" w:hAnsi="Arial"/>
                <w:sz w:val="10"/>
                <w:szCs w:val="10"/>
                <w:color w:val="auto"/>
              </w:rPr>
              <w:t>1,145</w:t>
            </w:r>
          </w:p>
        </w:tc>
      </w:tr>
      <w:tr>
        <w:trPr>
          <w:trHeight w:val="134"/>
        </w:trPr>
        <w:tc>
          <w:tcPr>
            <w:tcW w:w="2920" w:type="dxa"/>
            <w:vAlign w:val="bottom"/>
          </w:tcPr>
          <w:p>
            <w:pPr>
              <w:spacing w:after="0"/>
              <w:rPr>
                <w:sz w:val="20"/>
                <w:szCs w:val="20"/>
                <w:color w:val="auto"/>
              </w:rPr>
            </w:pPr>
            <w:r>
              <w:rPr>
                <w:rFonts w:ascii="Arial" w:cs="Arial" w:eastAsia="Arial" w:hAnsi="Arial"/>
                <w:sz w:val="10"/>
                <w:szCs w:val="10"/>
                <w:color w:val="auto"/>
              </w:rPr>
              <w:t>Redundancy and restructuring</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(883)</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(132)</w:t>
            </w:r>
          </w:p>
        </w:tc>
        <w:tc>
          <w:tcPr>
            <w:tcW w:w="580" w:type="dxa"/>
            <w:vAlign w:val="bottom"/>
          </w:tcPr>
          <w:p>
            <w:pPr>
              <w:jc w:val="right"/>
              <w:spacing w:after="0"/>
              <w:rPr>
                <w:sz w:val="20"/>
                <w:szCs w:val="20"/>
                <w:color w:val="auto"/>
              </w:rPr>
            </w:pPr>
            <w:r>
              <w:rPr>
                <w:rFonts w:ascii="Arial" w:cs="Arial" w:eastAsia="Arial" w:hAnsi="Arial"/>
                <w:sz w:val="10"/>
                <w:szCs w:val="10"/>
                <w:color w:val="auto"/>
              </w:rPr>
              <w:t>(203)</w:t>
            </w:r>
          </w:p>
        </w:tc>
      </w:tr>
      <w:tr>
        <w:trPr>
          <w:trHeight w:val="121"/>
        </w:trPr>
        <w:tc>
          <w:tcPr>
            <w:tcW w:w="2920" w:type="dxa"/>
            <w:vAlign w:val="bottom"/>
          </w:tcPr>
          <w:p>
            <w:pPr>
              <w:spacing w:after="0"/>
              <w:rPr>
                <w:sz w:val="20"/>
                <w:szCs w:val="20"/>
                <w:color w:val="auto"/>
              </w:rPr>
            </w:pPr>
            <w:r>
              <w:rPr>
                <w:rFonts w:ascii="Arial" w:cs="Arial" w:eastAsia="Arial" w:hAnsi="Arial"/>
                <w:sz w:val="10"/>
                <w:szCs w:val="10"/>
                <w:color w:val="auto"/>
              </w:rPr>
              <w:t>Other</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(2,098)</w:t>
            </w: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(770)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(116)</w:t>
            </w:r>
          </w:p>
        </w:tc>
      </w:tr>
      <w:tr>
        <w:trPr>
          <w:trHeight w:val="115"/>
        </w:trPr>
        <w:tc>
          <w:tcPr>
            <w:tcW w:w="2920" w:type="dxa"/>
            <w:vAlign w:val="bottom"/>
          </w:tcPr>
          <w:p>
            <w:pPr>
              <w:spacing w:after="0" w:line="112" w:lineRule="exact"/>
              <w:rPr>
                <w:sz w:val="20"/>
                <w:szCs w:val="20"/>
                <w:color w:val="auto"/>
              </w:rPr>
            </w:pPr>
            <w:r>
              <w:rPr>
                <w:rFonts w:ascii="Arial" w:cs="Arial" w:eastAsia="Arial" w:hAnsi="Arial"/>
                <w:sz w:val="10"/>
                <w:szCs w:val="10"/>
                <w:color w:val="auto"/>
              </w:rPr>
              <w:t>Total identified items before tax</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(31,877)</w:t>
            </w: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(1,844)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3,089</w:t>
            </w:r>
          </w:p>
        </w:tc>
      </w:tr>
      <w:tr>
        <w:trPr>
          <w:trHeight w:val="115"/>
        </w:trPr>
        <w:tc>
          <w:tcPr>
            <w:tcW w:w="2920" w:type="dxa"/>
            <w:vAlign w:val="bottom"/>
          </w:tcPr>
          <w:p>
            <w:pPr>
              <w:spacing w:after="0" w:line="112" w:lineRule="exact"/>
              <w:rPr>
                <w:sz w:val="20"/>
                <w:szCs w:val="20"/>
                <w:color w:val="auto"/>
              </w:rPr>
            </w:pPr>
            <w:r>
              <w:rPr>
                <w:rFonts w:ascii="Arial" w:cs="Arial" w:eastAsia="Arial" w:hAnsi="Arial"/>
                <w:sz w:val="10"/>
                <w:szCs w:val="10"/>
                <w:color w:val="auto"/>
              </w:rPr>
              <w:t>Tax impact</w:t>
            </w:r>
          </w:p>
        </w:tc>
        <w:tc>
          <w:tcPr>
            <w:tcW w:w="78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0"/>
                <w:szCs w:val="10"/>
                <w:color w:val="auto"/>
              </w:rPr>
              <w:t>7,100</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674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(660)</w:t>
            </w:r>
          </w:p>
        </w:tc>
      </w:tr>
      <w:tr>
        <w:trPr>
          <w:trHeight w:val="115"/>
        </w:trPr>
        <w:tc>
          <w:tcPr>
            <w:tcW w:w="2920" w:type="dxa"/>
            <w:vAlign w:val="bottom"/>
          </w:tcPr>
          <w:p>
            <w:pPr>
              <w:spacing w:after="0" w:line="112" w:lineRule="exact"/>
              <w:rPr>
                <w:sz w:val="20"/>
                <w:szCs w:val="20"/>
                <w:color w:val="auto"/>
              </w:rPr>
            </w:pPr>
            <w:r>
              <w:rPr>
                <w:rFonts w:ascii="Arial" w:cs="Arial" w:eastAsia="Arial" w:hAnsi="Arial"/>
                <w:sz w:val="10"/>
                <w:szCs w:val="10"/>
                <w:color w:val="auto"/>
              </w:rPr>
              <w:t>Identified items after tax</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(24,777)</w:t>
            </w: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(1,170)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2,429</w:t>
            </w:r>
          </w:p>
        </w:tc>
      </w:tr>
      <w:tr>
        <w:trPr>
          <w:trHeight w:val="103"/>
        </w:trPr>
        <w:tc>
          <w:tcPr>
            <w:tcW w:w="2920" w:type="dxa"/>
            <w:vAlign w:val="bottom"/>
          </w:tcPr>
          <w:p>
            <w:pPr>
              <w:spacing w:after="0" w:line="103" w:lineRule="exact"/>
              <w:rPr>
                <w:sz w:val="20"/>
                <w:szCs w:val="20"/>
                <w:color w:val="auto"/>
              </w:rPr>
            </w:pPr>
            <w:r>
              <w:rPr>
                <w:rFonts w:ascii="Arial" w:cs="Arial" w:eastAsia="Arial" w:hAnsi="Arial"/>
                <w:sz w:val="10"/>
                <w:szCs w:val="10"/>
                <w:color w:val="auto"/>
              </w:rPr>
              <w:t>Of which:</w:t>
            </w:r>
          </w:p>
        </w:tc>
        <w:tc>
          <w:tcPr>
            <w:tcW w:w="780" w:type="dxa"/>
            <w:vAlign w:val="bottom"/>
            <w:shd w:val="clear" w:color="auto" w:fill="D9D9D9"/>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Divestment gains/(losses)</w:t>
            </w:r>
          </w:p>
        </w:tc>
        <w:tc>
          <w:tcPr>
            <w:tcW w:w="780" w:type="dxa"/>
            <w:vAlign w:val="bottom"/>
            <w:shd w:val="clear" w:color="auto" w:fill="D9D9D9"/>
          </w:tcPr>
          <w:p>
            <w:pPr>
              <w:jc w:val="right"/>
              <w:ind w:right="12"/>
              <w:spacing w:after="0"/>
              <w:rPr>
                <w:sz w:val="20"/>
                <w:szCs w:val="20"/>
                <w:color w:val="auto"/>
              </w:rPr>
            </w:pPr>
            <w:r>
              <w:rPr>
                <w:rFonts w:ascii="Arial" w:cs="Arial" w:eastAsia="Arial" w:hAnsi="Arial"/>
                <w:sz w:val="10"/>
                <w:szCs w:val="10"/>
                <w:color w:val="auto"/>
              </w:rPr>
              <w:t>4</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2,170</w:t>
            </w:r>
          </w:p>
        </w:tc>
        <w:tc>
          <w:tcPr>
            <w:tcW w:w="580" w:type="dxa"/>
            <w:vAlign w:val="bottom"/>
          </w:tcPr>
          <w:p>
            <w:pPr>
              <w:jc w:val="right"/>
              <w:spacing w:after="0"/>
              <w:rPr>
                <w:sz w:val="20"/>
                <w:szCs w:val="20"/>
                <w:color w:val="auto"/>
              </w:rPr>
            </w:pPr>
            <w:r>
              <w:rPr>
                <w:rFonts w:ascii="Arial" w:cs="Arial" w:eastAsia="Arial" w:hAnsi="Arial"/>
                <w:sz w:val="10"/>
                <w:szCs w:val="10"/>
                <w:color w:val="auto"/>
              </w:rPr>
              <w:t>3,064</w:t>
            </w: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Impairments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(21,267)</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(3,162)</w:t>
            </w:r>
          </w:p>
        </w:tc>
        <w:tc>
          <w:tcPr>
            <w:tcW w:w="580" w:type="dxa"/>
            <w:vAlign w:val="bottom"/>
          </w:tcPr>
          <w:p>
            <w:pPr>
              <w:jc w:val="right"/>
              <w:spacing w:after="0"/>
              <w:rPr>
                <w:sz w:val="20"/>
                <w:szCs w:val="20"/>
                <w:color w:val="auto"/>
              </w:rPr>
            </w:pPr>
            <w:r>
              <w:rPr>
                <w:rFonts w:ascii="Arial" w:cs="Arial" w:eastAsia="Arial" w:hAnsi="Arial"/>
                <w:sz w:val="10"/>
                <w:szCs w:val="10"/>
                <w:color w:val="auto"/>
              </w:rPr>
              <w:t>(1,112)</w:t>
            </w: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w w:val="89"/>
              </w:rPr>
              <w:t>Fair value accounting of commodity derivatives and certain gas contracts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(1,034)</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650</w:t>
            </w:r>
          </w:p>
        </w:tc>
        <w:tc>
          <w:tcPr>
            <w:tcW w:w="580" w:type="dxa"/>
            <w:vAlign w:val="bottom"/>
          </w:tcPr>
          <w:p>
            <w:pPr>
              <w:jc w:val="right"/>
              <w:spacing w:after="0"/>
              <w:rPr>
                <w:sz w:val="20"/>
                <w:szCs w:val="20"/>
                <w:color w:val="auto"/>
              </w:rPr>
            </w:pPr>
            <w:r>
              <w:rPr>
                <w:rFonts w:ascii="Arial" w:cs="Arial" w:eastAsia="Arial" w:hAnsi="Arial"/>
                <w:sz w:val="10"/>
                <w:szCs w:val="10"/>
                <w:color w:val="auto"/>
              </w:rPr>
              <w:t>863</w:t>
            </w: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Redundancy and restructuring</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(644)</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(89)</w:t>
            </w:r>
          </w:p>
        </w:tc>
        <w:tc>
          <w:tcPr>
            <w:tcW w:w="580" w:type="dxa"/>
            <w:vAlign w:val="bottom"/>
          </w:tcPr>
          <w:p>
            <w:pPr>
              <w:jc w:val="right"/>
              <w:spacing w:after="0"/>
              <w:rPr>
                <w:sz w:val="20"/>
                <w:szCs w:val="20"/>
                <w:color w:val="auto"/>
              </w:rPr>
            </w:pPr>
            <w:r>
              <w:rPr>
                <w:rFonts w:ascii="Arial" w:cs="Arial" w:eastAsia="Arial" w:hAnsi="Arial"/>
                <w:sz w:val="10"/>
                <w:szCs w:val="10"/>
                <w:color w:val="auto"/>
              </w:rPr>
              <w:t>(150)</w:t>
            </w: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Impact of exchange rate movements on tax balances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(240)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(69)</w:t>
            </w:r>
          </w:p>
        </w:tc>
        <w:tc>
          <w:tcPr>
            <w:tcW w:w="580" w:type="dxa"/>
            <w:vAlign w:val="bottom"/>
          </w:tcPr>
          <w:p>
            <w:pPr>
              <w:jc w:val="right"/>
              <w:spacing w:after="0"/>
              <w:rPr>
                <w:sz w:val="20"/>
                <w:szCs w:val="20"/>
                <w:color w:val="auto"/>
              </w:rPr>
            </w:pPr>
            <w:r>
              <w:rPr>
                <w:rFonts w:ascii="Arial" w:cs="Arial" w:eastAsia="Arial" w:hAnsi="Arial"/>
                <w:sz w:val="10"/>
                <w:szCs w:val="10"/>
                <w:color w:val="auto"/>
              </w:rPr>
              <w:t>(338)</w:t>
            </w: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Other</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(1,596)</w:t>
            </w: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(670)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102</w:t>
            </w:r>
          </w:p>
        </w:tc>
      </w:tr>
      <w:tr>
        <w:trPr>
          <w:trHeight w:val="118"/>
        </w:trPr>
        <w:tc>
          <w:tcPr>
            <w:tcW w:w="2920" w:type="dxa"/>
            <w:vAlign w:val="bottom"/>
          </w:tcPr>
          <w:p>
            <w:pPr>
              <w:spacing w:after="0"/>
              <w:rPr>
                <w:sz w:val="20"/>
                <w:szCs w:val="20"/>
                <w:color w:val="auto"/>
              </w:rPr>
            </w:pPr>
            <w:r>
              <w:rPr>
                <w:rFonts w:ascii="Arial" w:cs="Arial" w:eastAsia="Arial" w:hAnsi="Arial"/>
                <w:sz w:val="10"/>
                <w:szCs w:val="10"/>
                <w:color w:val="auto"/>
              </w:rPr>
              <w:t>Impact on CCS earnings</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(24,777)</w:t>
            </w: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(1,170)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2,429</w:t>
            </w:r>
          </w:p>
        </w:tc>
      </w:tr>
      <w:tr>
        <w:trPr>
          <w:trHeight w:val="111"/>
        </w:trPr>
        <w:tc>
          <w:tcPr>
            <w:tcW w:w="2920" w:type="dxa"/>
            <w:vAlign w:val="bottom"/>
          </w:tcPr>
          <w:p>
            <w:pPr>
              <w:spacing w:after="0" w:line="103" w:lineRule="exact"/>
              <w:rPr>
                <w:sz w:val="20"/>
                <w:szCs w:val="20"/>
                <w:color w:val="auto"/>
              </w:rPr>
            </w:pPr>
            <w:r>
              <w:rPr>
                <w:rFonts w:ascii="Arial" w:cs="Arial" w:eastAsia="Arial" w:hAnsi="Arial"/>
                <w:sz w:val="10"/>
                <w:szCs w:val="10"/>
                <w:color w:val="auto"/>
              </w:rPr>
              <w:t>Of which:</w:t>
            </w:r>
          </w:p>
        </w:tc>
        <w:tc>
          <w:tcPr>
            <w:tcW w:w="780" w:type="dxa"/>
            <w:vAlign w:val="bottom"/>
            <w:shd w:val="clear" w:color="auto" w:fill="D9D9D9"/>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21"/>
        </w:trPr>
        <w:tc>
          <w:tcPr>
            <w:tcW w:w="2920" w:type="dxa"/>
            <w:vAlign w:val="bottom"/>
          </w:tcPr>
          <w:p>
            <w:pPr>
              <w:ind w:left="20"/>
              <w:spacing w:after="0"/>
              <w:rPr>
                <w:sz w:val="20"/>
                <w:szCs w:val="20"/>
                <w:color w:val="auto"/>
              </w:rPr>
            </w:pPr>
            <w:r>
              <w:rPr>
                <w:rFonts w:ascii="Arial" w:cs="Arial" w:eastAsia="Arial" w:hAnsi="Arial"/>
                <w:sz w:val="10"/>
                <w:szCs w:val="10"/>
                <w:color w:val="auto"/>
                <w:w w:val="99"/>
              </w:rPr>
              <w:t>Identified items attributable to Royal Dutch Shell plc shareholders</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(24,767)</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(1,192)</w:t>
            </w:r>
          </w:p>
        </w:tc>
        <w:tc>
          <w:tcPr>
            <w:tcW w:w="580" w:type="dxa"/>
            <w:vAlign w:val="bottom"/>
          </w:tcPr>
          <w:p>
            <w:pPr>
              <w:jc w:val="right"/>
              <w:spacing w:after="0"/>
              <w:rPr>
                <w:sz w:val="20"/>
                <w:szCs w:val="20"/>
                <w:color w:val="auto"/>
              </w:rPr>
            </w:pPr>
            <w:r>
              <w:rPr>
                <w:rFonts w:ascii="Arial" w:cs="Arial" w:eastAsia="Arial" w:hAnsi="Arial"/>
                <w:sz w:val="10"/>
                <w:szCs w:val="10"/>
                <w:color w:val="auto"/>
              </w:rPr>
              <w:t>2,429</w:t>
            </w:r>
          </w:p>
        </w:tc>
      </w:tr>
      <w:tr>
        <w:trPr>
          <w:trHeight w:val="131"/>
        </w:trPr>
        <w:tc>
          <w:tcPr>
            <w:tcW w:w="2920" w:type="dxa"/>
            <w:vAlign w:val="bottom"/>
          </w:tcPr>
          <w:p>
            <w:pPr>
              <w:ind w:left="20"/>
              <w:spacing w:after="0"/>
              <w:rPr>
                <w:sz w:val="20"/>
                <w:szCs w:val="20"/>
                <w:color w:val="auto"/>
              </w:rPr>
            </w:pPr>
            <w:r>
              <w:rPr>
                <w:rFonts w:ascii="Arial" w:cs="Arial" w:eastAsia="Arial" w:hAnsi="Arial"/>
                <w:sz w:val="10"/>
                <w:szCs w:val="10"/>
                <w:color w:val="auto"/>
              </w:rPr>
              <w:t>Identified items attributable to Non-controlling interest</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(10)</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22</w:t>
            </w:r>
          </w:p>
        </w:tc>
        <w:tc>
          <w:tcPr>
            <w:tcW w:w="580" w:type="dxa"/>
            <w:vAlign w:val="bottom"/>
          </w:tcPr>
          <w:p>
            <w:pPr>
              <w:jc w:val="right"/>
              <w:spacing w:after="0"/>
              <w:rPr>
                <w:sz w:val="20"/>
                <w:szCs w:val="20"/>
                <w:color w:val="auto"/>
              </w:rPr>
            </w:pPr>
            <w:r>
              <w:rPr>
                <w:rFonts w:ascii="Arial" w:cs="Arial" w:eastAsia="Arial" w:hAnsi="Arial"/>
                <w:sz w:val="10"/>
                <w:szCs w:val="10"/>
                <w:color w:val="auto"/>
              </w:rPr>
              <w:t>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1"/>
          <w:szCs w:val="11"/>
          <w:color w:val="auto"/>
        </w:rPr>
        <w:t>CASH CAPITAL EXPENDITURE</w:t>
      </w:r>
    </w:p>
    <w:p>
      <w:pPr>
        <w:ind w:right="400"/>
        <w:spacing w:after="0" w:line="309" w:lineRule="auto"/>
        <w:rPr>
          <w:sz w:val="20"/>
          <w:szCs w:val="20"/>
          <w:color w:val="auto"/>
        </w:rPr>
      </w:pPr>
      <w:r>
        <w:rPr>
          <w:rFonts w:ascii="Arial" w:cs="Arial" w:eastAsia="Arial" w:hAnsi="Arial"/>
          <w:sz w:val="8"/>
          <w:szCs w:val="8"/>
          <w:color w:val="auto"/>
        </w:rPr>
        <w:t>Cash capital expenditure monitors investing activities on a cash basis, excluding items such as lease additions which do not necessarily result in cash outflows in the period. The measure comprises the following lines from the Consolidated Statement of Cash flows: Capital expenditure, Investments in joint ventures and associates and Investments in equity securities.</w:t>
      </w:r>
    </w:p>
    <w:p>
      <w:pPr>
        <w:spacing w:after="0" w:line="123" w:lineRule="exact"/>
        <w:rPr>
          <w:sz w:val="20"/>
          <w:szCs w:val="20"/>
          <w:color w:val="auto"/>
        </w:rPr>
      </w:pPr>
    </w:p>
    <w:p>
      <w:pPr>
        <w:ind w:right="540"/>
        <w:spacing w:after="0" w:line="358" w:lineRule="auto"/>
        <w:rPr>
          <w:sz w:val="20"/>
          <w:szCs w:val="20"/>
          <w:color w:val="auto"/>
        </w:rPr>
      </w:pPr>
      <w:r>
        <w:rPr>
          <w:rFonts w:ascii="Arial" w:cs="Arial" w:eastAsia="Arial" w:hAnsi="Arial"/>
          <w:sz w:val="8"/>
          <w:szCs w:val="8"/>
          <w:color w:val="auto"/>
        </w:rPr>
        <w:t>With effect from January 1, 2020, "Capital investment" is no longer presented in this announcement since Cash capital expenditure is considered to be more closely aligned with management's focus on free cash flow generation.</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The reconciliation of “Capital expenditure” to “Cash capital expenditure”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90"/>
        </w:trPr>
        <w:tc>
          <w:tcPr>
            <w:tcW w:w="3600" w:type="dxa"/>
            <w:vAlign w:val="bottom"/>
          </w:tcPr>
          <w:p>
            <w:pPr>
              <w:spacing w:after="0"/>
              <w:rPr>
                <w:sz w:val="20"/>
                <w:szCs w:val="20"/>
                <w:color w:val="auto"/>
              </w:rPr>
            </w:pPr>
            <w:r>
              <w:rPr>
                <w:rFonts w:ascii="Arial" w:cs="Arial" w:eastAsia="Arial" w:hAnsi="Arial"/>
                <w:sz w:val="7"/>
                <w:szCs w:val="7"/>
                <w:color w:val="auto"/>
              </w:rPr>
              <w:t>ADDITIONAL INFORMATION SHELL FORM 20-F 2020</w:t>
            </w:r>
          </w:p>
        </w:tc>
        <w:tc>
          <w:tcPr>
            <w:tcW w:w="2000" w:type="dxa"/>
            <w:vAlign w:val="bottom"/>
          </w:tcPr>
          <w:p>
            <w:pPr>
              <w:jc w:val="right"/>
              <w:spacing w:after="0"/>
              <w:rPr>
                <w:sz w:val="20"/>
                <w:szCs w:val="20"/>
                <w:color w:val="auto"/>
              </w:rPr>
            </w:pPr>
            <w:r>
              <w:rPr>
                <w:rFonts w:ascii="Arial" w:cs="Arial" w:eastAsia="Arial" w:hAnsi="Arial"/>
                <w:sz w:val="7"/>
                <w:szCs w:val="7"/>
                <w:color w:val="auto"/>
              </w:rPr>
              <w:t>242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178040" cy="1143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57"/>
        </w:trPr>
        <w:tc>
          <w:tcPr>
            <w:tcW w:w="292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Cash capital expenditure</w:t>
            </w:r>
          </w:p>
        </w:tc>
        <w:tc>
          <w:tcPr>
            <w:tcW w:w="780" w:type="dxa"/>
            <w:vAlign w:val="bottom"/>
            <w:tcBorders>
              <w:top w:val="single" w:sz="8" w:color="CDCDCD"/>
            </w:tcBorders>
          </w:tcPr>
          <w:p>
            <w:pPr>
              <w:spacing w:after="0"/>
              <w:rPr>
                <w:sz w:val="13"/>
                <w:szCs w:val="13"/>
                <w:color w:val="auto"/>
              </w:rPr>
            </w:pPr>
          </w:p>
        </w:tc>
        <w:tc>
          <w:tcPr>
            <w:tcW w:w="960" w:type="dxa"/>
            <w:vAlign w:val="bottom"/>
            <w:tcBorders>
              <w:top w:val="single" w:sz="8" w:color="CDCDCD"/>
            </w:tcBorders>
          </w:tcPr>
          <w:p>
            <w:pPr>
              <w:spacing w:after="0"/>
              <w:rPr>
                <w:sz w:val="13"/>
                <w:szCs w:val="13"/>
                <w:color w:val="auto"/>
              </w:rPr>
            </w:pPr>
          </w:p>
        </w:tc>
        <w:tc>
          <w:tcPr>
            <w:tcW w:w="58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29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2019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2920" w:type="dxa"/>
            <w:vAlign w:val="bottom"/>
          </w:tcPr>
          <w:p>
            <w:pPr>
              <w:spacing w:after="0"/>
              <w:rPr>
                <w:sz w:val="20"/>
                <w:szCs w:val="20"/>
                <w:color w:val="auto"/>
              </w:rPr>
            </w:pPr>
            <w:r>
              <w:rPr>
                <w:rFonts w:ascii="Arial" w:cs="Arial" w:eastAsia="Arial" w:hAnsi="Arial"/>
                <w:sz w:val="10"/>
                <w:szCs w:val="10"/>
                <w:color w:val="auto"/>
              </w:rPr>
              <w:t>Capital expenditure [A]</w:t>
            </w:r>
          </w:p>
        </w:tc>
        <w:tc>
          <w:tcPr>
            <w:tcW w:w="780" w:type="dxa"/>
            <w:vAlign w:val="bottom"/>
            <w:shd w:val="clear" w:color="auto" w:fill="D9D9D9"/>
          </w:tcPr>
          <w:p>
            <w:pPr>
              <w:jc w:val="right"/>
              <w:ind w:right="12"/>
              <w:spacing w:after="0"/>
              <w:rPr>
                <w:sz w:val="20"/>
                <w:szCs w:val="20"/>
                <w:color w:val="auto"/>
              </w:rPr>
            </w:pPr>
            <w:r>
              <w:rPr>
                <w:rFonts w:ascii="Arial" w:cs="Arial" w:eastAsia="Arial" w:hAnsi="Arial"/>
                <w:sz w:val="10"/>
                <w:szCs w:val="10"/>
                <w:color w:val="auto"/>
              </w:rPr>
              <w:t>16,585</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22,971</w:t>
            </w:r>
          </w:p>
        </w:tc>
        <w:tc>
          <w:tcPr>
            <w:tcW w:w="580" w:type="dxa"/>
            <w:vAlign w:val="bottom"/>
          </w:tcPr>
          <w:p>
            <w:pPr>
              <w:jc w:val="right"/>
              <w:spacing w:after="0"/>
              <w:rPr>
                <w:sz w:val="20"/>
                <w:szCs w:val="20"/>
                <w:color w:val="auto"/>
              </w:rPr>
            </w:pPr>
            <w:r>
              <w:rPr>
                <w:rFonts w:ascii="Arial" w:cs="Arial" w:eastAsia="Arial" w:hAnsi="Arial"/>
                <w:sz w:val="10"/>
                <w:szCs w:val="10"/>
                <w:color w:val="auto"/>
              </w:rPr>
              <w:t>23,011</w:t>
            </w:r>
          </w:p>
        </w:tc>
      </w:tr>
      <w:tr>
        <w:trPr>
          <w:trHeight w:val="123"/>
        </w:trPr>
        <w:tc>
          <w:tcPr>
            <w:tcW w:w="2920" w:type="dxa"/>
            <w:vAlign w:val="bottom"/>
          </w:tcPr>
          <w:p>
            <w:pPr>
              <w:spacing w:after="0"/>
              <w:rPr>
                <w:sz w:val="20"/>
                <w:szCs w:val="20"/>
                <w:color w:val="auto"/>
              </w:rPr>
            </w:pPr>
            <w:r>
              <w:rPr>
                <w:rFonts w:ascii="Arial" w:cs="Arial" w:eastAsia="Arial" w:hAnsi="Arial"/>
                <w:sz w:val="10"/>
                <w:szCs w:val="10"/>
                <w:color w:val="auto"/>
              </w:rPr>
              <w:t>Investments in joint ventures and associates [A]</w:t>
            </w:r>
          </w:p>
        </w:tc>
        <w:tc>
          <w:tcPr>
            <w:tcW w:w="780" w:type="dxa"/>
            <w:vAlign w:val="bottom"/>
            <w:shd w:val="clear" w:color="auto" w:fill="D9D9D9"/>
          </w:tcPr>
          <w:p>
            <w:pPr>
              <w:jc w:val="right"/>
              <w:ind w:right="12"/>
              <w:spacing w:after="0"/>
              <w:rPr>
                <w:sz w:val="20"/>
                <w:szCs w:val="20"/>
                <w:color w:val="auto"/>
              </w:rPr>
            </w:pPr>
            <w:r>
              <w:rPr>
                <w:rFonts w:ascii="Arial" w:cs="Arial" w:eastAsia="Arial" w:hAnsi="Arial"/>
                <w:sz w:val="10"/>
                <w:szCs w:val="10"/>
                <w:color w:val="auto"/>
              </w:rPr>
              <w:t>1,024</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743</w:t>
            </w:r>
          </w:p>
        </w:tc>
        <w:tc>
          <w:tcPr>
            <w:tcW w:w="580" w:type="dxa"/>
            <w:vAlign w:val="bottom"/>
          </w:tcPr>
          <w:p>
            <w:pPr>
              <w:jc w:val="right"/>
              <w:spacing w:after="0"/>
              <w:rPr>
                <w:sz w:val="20"/>
                <w:szCs w:val="20"/>
                <w:color w:val="auto"/>
              </w:rPr>
            </w:pPr>
            <w:r>
              <w:rPr>
                <w:rFonts w:ascii="Arial" w:cs="Arial" w:eastAsia="Arial" w:hAnsi="Arial"/>
                <w:sz w:val="10"/>
                <w:szCs w:val="10"/>
                <w:color w:val="auto"/>
              </w:rPr>
              <w:t>880</w:t>
            </w: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Investments in equity securities [A]</w:t>
            </w:r>
          </w:p>
        </w:tc>
        <w:tc>
          <w:tcPr>
            <w:tcW w:w="780" w:type="dxa"/>
            <w:vAlign w:val="bottom"/>
            <w:shd w:val="clear" w:color="auto" w:fill="D9D9D9"/>
          </w:tcPr>
          <w:p>
            <w:pPr>
              <w:jc w:val="right"/>
              <w:ind w:right="12"/>
              <w:spacing w:after="0"/>
              <w:rPr>
                <w:sz w:val="20"/>
                <w:szCs w:val="20"/>
                <w:color w:val="auto"/>
              </w:rPr>
            </w:pPr>
            <w:r>
              <w:rPr>
                <w:rFonts w:ascii="Arial" w:cs="Arial" w:eastAsia="Arial" w:hAnsi="Arial"/>
                <w:sz w:val="10"/>
                <w:szCs w:val="10"/>
                <w:color w:val="auto"/>
              </w:rPr>
              <w:t>218</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205</w:t>
            </w:r>
          </w:p>
        </w:tc>
        <w:tc>
          <w:tcPr>
            <w:tcW w:w="580" w:type="dxa"/>
            <w:vAlign w:val="bottom"/>
          </w:tcPr>
          <w:p>
            <w:pPr>
              <w:jc w:val="right"/>
              <w:spacing w:after="0"/>
              <w:rPr>
                <w:sz w:val="20"/>
                <w:szCs w:val="20"/>
                <w:color w:val="auto"/>
              </w:rPr>
            </w:pPr>
            <w:r>
              <w:rPr>
                <w:rFonts w:ascii="Arial" w:cs="Arial" w:eastAsia="Arial" w:hAnsi="Arial"/>
                <w:sz w:val="10"/>
                <w:szCs w:val="10"/>
                <w:color w:val="auto"/>
              </w:rPr>
              <w:t>187</w:t>
            </w: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Cash capital expenditure</w:t>
            </w:r>
          </w:p>
        </w:tc>
        <w:tc>
          <w:tcPr>
            <w:tcW w:w="780" w:type="dxa"/>
            <w:vAlign w:val="bottom"/>
            <w:shd w:val="clear" w:color="auto" w:fill="D9D9D9"/>
          </w:tcPr>
          <w:p>
            <w:pPr>
              <w:jc w:val="right"/>
              <w:ind w:right="12"/>
              <w:spacing w:after="0"/>
              <w:rPr>
                <w:sz w:val="20"/>
                <w:szCs w:val="20"/>
                <w:color w:val="auto"/>
              </w:rPr>
            </w:pPr>
            <w:r>
              <w:rPr>
                <w:rFonts w:ascii="Arial" w:cs="Arial" w:eastAsia="Arial" w:hAnsi="Arial"/>
                <w:sz w:val="10"/>
                <w:szCs w:val="10"/>
                <w:color w:val="auto"/>
              </w:rPr>
              <w:t>17,827</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23,919</w:t>
            </w:r>
          </w:p>
        </w:tc>
        <w:tc>
          <w:tcPr>
            <w:tcW w:w="580" w:type="dxa"/>
            <w:vAlign w:val="bottom"/>
          </w:tcPr>
          <w:p>
            <w:pPr>
              <w:jc w:val="right"/>
              <w:spacing w:after="0"/>
              <w:rPr>
                <w:sz w:val="20"/>
                <w:szCs w:val="20"/>
                <w:color w:val="auto"/>
              </w:rPr>
            </w:pPr>
            <w:r>
              <w:rPr>
                <w:rFonts w:ascii="Arial" w:cs="Arial" w:eastAsia="Arial" w:hAnsi="Arial"/>
                <w:sz w:val="10"/>
                <w:szCs w:val="10"/>
                <w:color w:val="auto"/>
              </w:rPr>
              <w:t>24,078</w:t>
            </w: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Of which:</w:t>
            </w:r>
          </w:p>
        </w:tc>
        <w:tc>
          <w:tcPr>
            <w:tcW w:w="780" w:type="dxa"/>
            <w:vAlign w:val="bottom"/>
            <w:shd w:val="clear" w:color="auto" w:fill="D9D9D9"/>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6"/>
        </w:trPr>
        <w:tc>
          <w:tcPr>
            <w:tcW w:w="2920" w:type="dxa"/>
            <w:vAlign w:val="bottom"/>
          </w:tcPr>
          <w:p>
            <w:pPr>
              <w:ind w:left="80"/>
              <w:spacing w:after="0"/>
              <w:rPr>
                <w:sz w:val="20"/>
                <w:szCs w:val="20"/>
                <w:color w:val="auto"/>
              </w:rPr>
            </w:pPr>
            <w:r>
              <w:rPr>
                <w:rFonts w:ascii="Arial" w:cs="Arial" w:eastAsia="Arial" w:hAnsi="Arial"/>
                <w:sz w:val="10"/>
                <w:szCs w:val="10"/>
                <w:color w:val="auto"/>
              </w:rPr>
              <w:t>Integrated Gas</w:t>
            </w:r>
          </w:p>
        </w:tc>
        <w:tc>
          <w:tcPr>
            <w:tcW w:w="780" w:type="dxa"/>
            <w:vAlign w:val="bottom"/>
            <w:shd w:val="clear" w:color="auto" w:fill="D9D9D9"/>
          </w:tcPr>
          <w:p>
            <w:pPr>
              <w:jc w:val="right"/>
              <w:ind w:right="12"/>
              <w:spacing w:after="0"/>
              <w:rPr>
                <w:sz w:val="20"/>
                <w:szCs w:val="20"/>
                <w:color w:val="auto"/>
              </w:rPr>
            </w:pPr>
            <w:r>
              <w:rPr>
                <w:rFonts w:ascii="Arial" w:cs="Arial" w:eastAsia="Arial" w:hAnsi="Arial"/>
                <w:sz w:val="10"/>
                <w:szCs w:val="10"/>
                <w:color w:val="auto"/>
              </w:rPr>
              <w:t>4,301</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4,299</w:t>
            </w:r>
          </w:p>
        </w:tc>
        <w:tc>
          <w:tcPr>
            <w:tcW w:w="580" w:type="dxa"/>
            <w:vAlign w:val="bottom"/>
          </w:tcPr>
          <w:p>
            <w:pPr>
              <w:jc w:val="right"/>
              <w:spacing w:after="0"/>
              <w:rPr>
                <w:sz w:val="20"/>
                <w:szCs w:val="20"/>
                <w:color w:val="auto"/>
              </w:rPr>
            </w:pPr>
            <w:r>
              <w:rPr>
                <w:rFonts w:ascii="Arial" w:cs="Arial" w:eastAsia="Arial" w:hAnsi="Arial"/>
                <w:sz w:val="10"/>
                <w:szCs w:val="10"/>
                <w:color w:val="auto"/>
              </w:rPr>
              <w:t>3,819</w:t>
            </w:r>
          </w:p>
        </w:tc>
      </w:tr>
      <w:tr>
        <w:trPr>
          <w:trHeight w:val="126"/>
        </w:trPr>
        <w:tc>
          <w:tcPr>
            <w:tcW w:w="2920" w:type="dxa"/>
            <w:vAlign w:val="bottom"/>
          </w:tcPr>
          <w:p>
            <w:pPr>
              <w:ind w:left="80"/>
              <w:spacing w:after="0"/>
              <w:rPr>
                <w:sz w:val="20"/>
                <w:szCs w:val="20"/>
                <w:color w:val="auto"/>
              </w:rPr>
            </w:pPr>
            <w:r>
              <w:rPr>
                <w:rFonts w:ascii="Arial" w:cs="Arial" w:eastAsia="Arial" w:hAnsi="Arial"/>
                <w:sz w:val="10"/>
                <w:szCs w:val="10"/>
                <w:color w:val="auto"/>
              </w:rPr>
              <w:t>Upstream</w:t>
            </w:r>
          </w:p>
        </w:tc>
        <w:tc>
          <w:tcPr>
            <w:tcW w:w="780" w:type="dxa"/>
            <w:vAlign w:val="bottom"/>
            <w:shd w:val="clear" w:color="auto" w:fill="D9D9D9"/>
          </w:tcPr>
          <w:p>
            <w:pPr>
              <w:jc w:val="right"/>
              <w:ind w:right="12"/>
              <w:spacing w:after="0"/>
              <w:rPr>
                <w:sz w:val="20"/>
                <w:szCs w:val="20"/>
                <w:color w:val="auto"/>
              </w:rPr>
            </w:pPr>
            <w:r>
              <w:rPr>
                <w:rFonts w:ascii="Arial" w:cs="Arial" w:eastAsia="Arial" w:hAnsi="Arial"/>
                <w:sz w:val="10"/>
                <w:szCs w:val="10"/>
                <w:color w:val="auto"/>
              </w:rPr>
              <w:t>7,296</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10,205</w:t>
            </w:r>
          </w:p>
        </w:tc>
        <w:tc>
          <w:tcPr>
            <w:tcW w:w="580" w:type="dxa"/>
            <w:vAlign w:val="bottom"/>
          </w:tcPr>
          <w:p>
            <w:pPr>
              <w:jc w:val="right"/>
              <w:spacing w:after="0"/>
              <w:rPr>
                <w:sz w:val="20"/>
                <w:szCs w:val="20"/>
                <w:color w:val="auto"/>
              </w:rPr>
            </w:pPr>
            <w:r>
              <w:rPr>
                <w:rFonts w:ascii="Arial" w:cs="Arial" w:eastAsia="Arial" w:hAnsi="Arial"/>
                <w:sz w:val="10"/>
                <w:szCs w:val="10"/>
                <w:color w:val="auto"/>
              </w:rPr>
              <w:t>12,134</w:t>
            </w:r>
          </w:p>
        </w:tc>
      </w:tr>
      <w:tr>
        <w:trPr>
          <w:trHeight w:val="126"/>
        </w:trPr>
        <w:tc>
          <w:tcPr>
            <w:tcW w:w="2920" w:type="dxa"/>
            <w:vAlign w:val="bottom"/>
          </w:tcPr>
          <w:p>
            <w:pPr>
              <w:ind w:left="80"/>
              <w:spacing w:after="0"/>
              <w:rPr>
                <w:sz w:val="20"/>
                <w:szCs w:val="20"/>
                <w:color w:val="auto"/>
              </w:rPr>
            </w:pPr>
            <w:r>
              <w:rPr>
                <w:rFonts w:ascii="Arial" w:cs="Arial" w:eastAsia="Arial" w:hAnsi="Arial"/>
                <w:sz w:val="10"/>
                <w:szCs w:val="10"/>
                <w:color w:val="auto"/>
              </w:rPr>
              <w:t>Oil Products</w:t>
            </w:r>
          </w:p>
        </w:tc>
        <w:tc>
          <w:tcPr>
            <w:tcW w:w="780" w:type="dxa"/>
            <w:vAlign w:val="bottom"/>
            <w:shd w:val="clear" w:color="auto" w:fill="D9D9D9"/>
          </w:tcPr>
          <w:p>
            <w:pPr>
              <w:jc w:val="right"/>
              <w:ind w:right="12"/>
              <w:spacing w:after="0"/>
              <w:rPr>
                <w:sz w:val="20"/>
                <w:szCs w:val="20"/>
                <w:color w:val="auto"/>
              </w:rPr>
            </w:pPr>
            <w:r>
              <w:rPr>
                <w:rFonts w:ascii="Arial" w:cs="Arial" w:eastAsia="Arial" w:hAnsi="Arial"/>
                <w:sz w:val="10"/>
                <w:szCs w:val="10"/>
                <w:color w:val="auto"/>
              </w:rPr>
              <w:t>3,328</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4,907</w:t>
            </w:r>
          </w:p>
        </w:tc>
        <w:tc>
          <w:tcPr>
            <w:tcW w:w="580" w:type="dxa"/>
            <w:vAlign w:val="bottom"/>
          </w:tcPr>
          <w:p>
            <w:pPr>
              <w:jc w:val="right"/>
              <w:spacing w:after="0"/>
              <w:rPr>
                <w:sz w:val="20"/>
                <w:szCs w:val="20"/>
                <w:color w:val="auto"/>
              </w:rPr>
            </w:pPr>
            <w:r>
              <w:rPr>
                <w:rFonts w:ascii="Arial" w:cs="Arial" w:eastAsia="Arial" w:hAnsi="Arial"/>
                <w:sz w:val="10"/>
                <w:szCs w:val="10"/>
                <w:color w:val="auto"/>
              </w:rPr>
              <w:t>4,643</w:t>
            </w:r>
          </w:p>
        </w:tc>
      </w:tr>
      <w:tr>
        <w:trPr>
          <w:trHeight w:val="126"/>
        </w:trPr>
        <w:tc>
          <w:tcPr>
            <w:tcW w:w="2920" w:type="dxa"/>
            <w:vAlign w:val="bottom"/>
          </w:tcPr>
          <w:p>
            <w:pPr>
              <w:ind w:left="80"/>
              <w:spacing w:after="0"/>
              <w:rPr>
                <w:sz w:val="20"/>
                <w:szCs w:val="20"/>
                <w:color w:val="auto"/>
              </w:rPr>
            </w:pPr>
            <w:r>
              <w:rPr>
                <w:rFonts w:ascii="Arial" w:cs="Arial" w:eastAsia="Arial" w:hAnsi="Arial"/>
                <w:sz w:val="10"/>
                <w:szCs w:val="10"/>
                <w:color w:val="auto"/>
              </w:rPr>
              <w:t>Chemicals</w:t>
            </w:r>
          </w:p>
        </w:tc>
        <w:tc>
          <w:tcPr>
            <w:tcW w:w="780" w:type="dxa"/>
            <w:vAlign w:val="bottom"/>
            <w:shd w:val="clear" w:color="auto" w:fill="D9D9D9"/>
          </w:tcPr>
          <w:p>
            <w:pPr>
              <w:jc w:val="right"/>
              <w:ind w:right="12"/>
              <w:spacing w:after="0"/>
              <w:rPr>
                <w:sz w:val="20"/>
                <w:szCs w:val="20"/>
                <w:color w:val="auto"/>
              </w:rPr>
            </w:pPr>
            <w:r>
              <w:rPr>
                <w:rFonts w:ascii="Arial" w:cs="Arial" w:eastAsia="Arial" w:hAnsi="Arial"/>
                <w:sz w:val="10"/>
                <w:szCs w:val="10"/>
                <w:color w:val="auto"/>
              </w:rPr>
              <w:t>2,640</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4,090</w:t>
            </w:r>
          </w:p>
        </w:tc>
        <w:tc>
          <w:tcPr>
            <w:tcW w:w="580" w:type="dxa"/>
            <w:vAlign w:val="bottom"/>
          </w:tcPr>
          <w:p>
            <w:pPr>
              <w:jc w:val="right"/>
              <w:spacing w:after="0"/>
              <w:rPr>
                <w:sz w:val="20"/>
                <w:szCs w:val="20"/>
                <w:color w:val="auto"/>
              </w:rPr>
            </w:pPr>
            <w:r>
              <w:rPr>
                <w:rFonts w:ascii="Arial" w:cs="Arial" w:eastAsia="Arial" w:hAnsi="Arial"/>
                <w:sz w:val="10"/>
                <w:szCs w:val="10"/>
                <w:color w:val="auto"/>
              </w:rPr>
              <w:t>3,212</w:t>
            </w:r>
          </w:p>
        </w:tc>
      </w:tr>
      <w:tr>
        <w:trPr>
          <w:trHeight w:val="134"/>
        </w:trPr>
        <w:tc>
          <w:tcPr>
            <w:tcW w:w="2920" w:type="dxa"/>
            <w:vAlign w:val="bottom"/>
          </w:tcPr>
          <w:p>
            <w:pPr>
              <w:ind w:left="80"/>
              <w:spacing w:after="0"/>
              <w:rPr>
                <w:sz w:val="20"/>
                <w:szCs w:val="20"/>
                <w:color w:val="auto"/>
              </w:rPr>
            </w:pPr>
            <w:r>
              <w:rPr>
                <w:rFonts w:ascii="Arial" w:cs="Arial" w:eastAsia="Arial" w:hAnsi="Arial"/>
                <w:sz w:val="10"/>
                <w:szCs w:val="10"/>
                <w:color w:val="auto"/>
              </w:rPr>
              <w:t>Corporate</w:t>
            </w:r>
          </w:p>
        </w:tc>
        <w:tc>
          <w:tcPr>
            <w:tcW w:w="780" w:type="dxa"/>
            <w:vAlign w:val="bottom"/>
            <w:shd w:val="clear" w:color="auto" w:fill="D9D9D9"/>
          </w:tcPr>
          <w:p>
            <w:pPr>
              <w:jc w:val="right"/>
              <w:ind w:right="12"/>
              <w:spacing w:after="0"/>
              <w:rPr>
                <w:sz w:val="20"/>
                <w:szCs w:val="20"/>
                <w:color w:val="auto"/>
              </w:rPr>
            </w:pPr>
            <w:r>
              <w:rPr>
                <w:rFonts w:ascii="Arial" w:cs="Arial" w:eastAsia="Arial" w:hAnsi="Arial"/>
                <w:sz w:val="10"/>
                <w:szCs w:val="10"/>
                <w:color w:val="auto"/>
              </w:rPr>
              <w:t>262</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418</w:t>
            </w:r>
          </w:p>
        </w:tc>
        <w:tc>
          <w:tcPr>
            <w:tcW w:w="580" w:type="dxa"/>
            <w:vAlign w:val="bottom"/>
          </w:tcPr>
          <w:p>
            <w:pPr>
              <w:jc w:val="right"/>
              <w:spacing w:after="0"/>
              <w:rPr>
                <w:sz w:val="20"/>
                <w:szCs w:val="20"/>
                <w:color w:val="auto"/>
              </w:rPr>
            </w:pPr>
            <w:r>
              <w:rPr>
                <w:rFonts w:ascii="Arial" w:cs="Arial" w:eastAsia="Arial" w:hAnsi="Arial"/>
                <w:sz w:val="10"/>
                <w:szCs w:val="10"/>
                <w:color w:val="auto"/>
              </w:rPr>
              <w:t>269</w:t>
            </w:r>
          </w:p>
        </w:tc>
      </w:tr>
    </w:tbl>
    <w:p>
      <w:pPr>
        <w:spacing w:after="0" w:line="47" w:lineRule="exact"/>
        <w:rPr>
          <w:sz w:val="20"/>
          <w:szCs w:val="20"/>
          <w:color w:val="auto"/>
        </w:rPr>
      </w:pPr>
    </w:p>
    <w:p>
      <w:pPr>
        <w:spacing w:after="0"/>
        <w:rPr>
          <w:sz w:val="20"/>
          <w:szCs w:val="20"/>
          <w:color w:val="auto"/>
        </w:rPr>
      </w:pPr>
      <w:r>
        <w:rPr>
          <w:rFonts w:ascii="Arial" w:cs="Arial" w:eastAsia="Arial" w:hAnsi="Arial"/>
          <w:sz w:val="7"/>
          <w:szCs w:val="7"/>
          <w:color w:val="auto"/>
        </w:rPr>
        <w:t>[A] Included within Cash flow from investing activities in the “Consolidated Statement of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OPERATING EXPENSES</w:t>
      </w:r>
    </w:p>
    <w:p>
      <w:pPr>
        <w:ind w:right="260"/>
        <w:spacing w:after="0" w:line="231" w:lineRule="auto"/>
        <w:rPr>
          <w:sz w:val="20"/>
          <w:szCs w:val="20"/>
          <w:color w:val="auto"/>
        </w:rPr>
      </w:pPr>
      <w:r>
        <w:rPr>
          <w:rFonts w:ascii="Arial" w:cs="Arial" w:eastAsia="Arial" w:hAnsi="Arial"/>
          <w:sz w:val="10"/>
          <w:szCs w:val="10"/>
          <w:color w:val="auto"/>
        </w:rPr>
        <w:t>Operating expenses is a measure of Shell’s cost management performance, comprising items from the “Consolidated Statement of Income”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920" w:type="dxa"/>
            <w:vAlign w:val="bottom"/>
            <w:tcBorders>
              <w:top w:val="single" w:sz="8" w:color="CDCDCD"/>
            </w:tcBorders>
          </w:tcPr>
          <w:p>
            <w:pPr>
              <w:ind w:left="20"/>
              <w:spacing w:after="0"/>
              <w:rPr>
                <w:sz w:val="20"/>
                <w:szCs w:val="20"/>
                <w:color w:val="auto"/>
              </w:rPr>
            </w:pPr>
            <w:r>
              <w:rPr>
                <w:rFonts w:ascii="Arial" w:cs="Arial" w:eastAsia="Arial" w:hAnsi="Arial"/>
                <w:sz w:val="10"/>
                <w:szCs w:val="10"/>
                <w:color w:val="auto"/>
              </w:rPr>
              <w:t>Operating expenses</w:t>
            </w:r>
          </w:p>
        </w:tc>
        <w:tc>
          <w:tcPr>
            <w:tcW w:w="780" w:type="dxa"/>
            <w:vAlign w:val="bottom"/>
            <w:tcBorders>
              <w:top w:val="single" w:sz="8" w:color="CDCDCD"/>
            </w:tcBorders>
          </w:tcPr>
          <w:p>
            <w:pPr>
              <w:spacing w:after="0"/>
              <w:rPr>
                <w:sz w:val="13"/>
                <w:szCs w:val="13"/>
                <w:color w:val="auto"/>
              </w:rPr>
            </w:pPr>
          </w:p>
        </w:tc>
        <w:tc>
          <w:tcPr>
            <w:tcW w:w="980" w:type="dxa"/>
            <w:vAlign w:val="bottom"/>
            <w:tcBorders>
              <w:top w:val="single" w:sz="8" w:color="CDCDCD"/>
            </w:tcBorders>
          </w:tcPr>
          <w:p>
            <w:pPr>
              <w:spacing w:after="0"/>
              <w:rPr>
                <w:sz w:val="13"/>
                <w:szCs w:val="13"/>
                <w:color w:val="auto"/>
              </w:rPr>
            </w:pPr>
          </w:p>
        </w:tc>
        <w:tc>
          <w:tcPr>
            <w:tcW w:w="56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29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2019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2920" w:type="dxa"/>
            <w:vAlign w:val="bottom"/>
          </w:tcPr>
          <w:p>
            <w:pPr>
              <w:ind w:left="20"/>
              <w:spacing w:after="0"/>
              <w:rPr>
                <w:sz w:val="20"/>
                <w:szCs w:val="20"/>
                <w:color w:val="auto"/>
              </w:rPr>
            </w:pPr>
            <w:r>
              <w:rPr>
                <w:rFonts w:ascii="Arial" w:cs="Arial" w:eastAsia="Arial" w:hAnsi="Arial"/>
                <w:sz w:val="10"/>
                <w:szCs w:val="10"/>
                <w:color w:val="auto"/>
              </w:rPr>
              <w:t>Production and manufacturing expenses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24,001</w:t>
            </w:r>
          </w:p>
        </w:tc>
        <w:tc>
          <w:tcPr>
            <w:tcW w:w="980" w:type="dxa"/>
            <w:vAlign w:val="bottom"/>
          </w:tcPr>
          <w:p>
            <w:pPr>
              <w:jc w:val="right"/>
              <w:ind w:right="192"/>
              <w:spacing w:after="0"/>
              <w:rPr>
                <w:sz w:val="20"/>
                <w:szCs w:val="20"/>
                <w:color w:val="auto"/>
              </w:rPr>
            </w:pPr>
            <w:r>
              <w:rPr>
                <w:rFonts w:ascii="Arial" w:cs="Arial" w:eastAsia="Arial" w:hAnsi="Arial"/>
                <w:sz w:val="10"/>
                <w:szCs w:val="10"/>
                <w:color w:val="auto"/>
              </w:rPr>
              <w:t>26,438</w:t>
            </w:r>
          </w:p>
        </w:tc>
        <w:tc>
          <w:tcPr>
            <w:tcW w:w="560" w:type="dxa"/>
            <w:vAlign w:val="bottom"/>
          </w:tcPr>
          <w:p>
            <w:pPr>
              <w:jc w:val="right"/>
              <w:spacing w:after="0"/>
              <w:rPr>
                <w:sz w:val="20"/>
                <w:szCs w:val="20"/>
                <w:color w:val="auto"/>
              </w:rPr>
            </w:pPr>
            <w:r>
              <w:rPr>
                <w:rFonts w:ascii="Arial" w:cs="Arial" w:eastAsia="Arial" w:hAnsi="Arial"/>
                <w:sz w:val="10"/>
                <w:szCs w:val="10"/>
                <w:color w:val="auto"/>
              </w:rPr>
              <w:t>26,970</w:t>
            </w:r>
          </w:p>
        </w:tc>
      </w:tr>
      <w:tr>
        <w:trPr>
          <w:trHeight w:val="123"/>
        </w:trPr>
        <w:tc>
          <w:tcPr>
            <w:tcW w:w="2920" w:type="dxa"/>
            <w:vAlign w:val="bottom"/>
          </w:tcPr>
          <w:p>
            <w:pPr>
              <w:ind w:left="20"/>
              <w:spacing w:after="0"/>
              <w:rPr>
                <w:sz w:val="20"/>
                <w:szCs w:val="20"/>
                <w:color w:val="auto"/>
              </w:rPr>
            </w:pPr>
            <w:r>
              <w:rPr>
                <w:rFonts w:ascii="Arial" w:cs="Arial" w:eastAsia="Arial" w:hAnsi="Arial"/>
                <w:sz w:val="10"/>
                <w:szCs w:val="10"/>
                <w:color w:val="auto"/>
              </w:rPr>
              <w:t>Selling, distribution and administrative expenses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9,881</w:t>
            </w:r>
          </w:p>
        </w:tc>
        <w:tc>
          <w:tcPr>
            <w:tcW w:w="980" w:type="dxa"/>
            <w:vAlign w:val="bottom"/>
          </w:tcPr>
          <w:p>
            <w:pPr>
              <w:jc w:val="right"/>
              <w:ind w:right="192"/>
              <w:spacing w:after="0"/>
              <w:rPr>
                <w:sz w:val="20"/>
                <w:szCs w:val="20"/>
                <w:color w:val="auto"/>
              </w:rPr>
            </w:pPr>
            <w:r>
              <w:rPr>
                <w:rFonts w:ascii="Arial" w:cs="Arial" w:eastAsia="Arial" w:hAnsi="Arial"/>
                <w:sz w:val="10"/>
                <w:szCs w:val="10"/>
                <w:color w:val="auto"/>
              </w:rPr>
              <w:t>10,493</w:t>
            </w:r>
          </w:p>
        </w:tc>
        <w:tc>
          <w:tcPr>
            <w:tcW w:w="560" w:type="dxa"/>
            <w:vAlign w:val="bottom"/>
          </w:tcPr>
          <w:p>
            <w:pPr>
              <w:jc w:val="right"/>
              <w:spacing w:after="0"/>
              <w:rPr>
                <w:sz w:val="20"/>
                <w:szCs w:val="20"/>
                <w:color w:val="auto"/>
              </w:rPr>
            </w:pPr>
            <w:r>
              <w:rPr>
                <w:rFonts w:ascii="Arial" w:cs="Arial" w:eastAsia="Arial" w:hAnsi="Arial"/>
                <w:sz w:val="10"/>
                <w:szCs w:val="10"/>
                <w:color w:val="auto"/>
              </w:rPr>
              <w:t>11,360</w:t>
            </w:r>
          </w:p>
        </w:tc>
      </w:tr>
      <w:tr>
        <w:trPr>
          <w:trHeight w:val="126"/>
        </w:trPr>
        <w:tc>
          <w:tcPr>
            <w:tcW w:w="2920" w:type="dxa"/>
            <w:vAlign w:val="bottom"/>
          </w:tcPr>
          <w:p>
            <w:pPr>
              <w:ind w:left="20"/>
              <w:spacing w:after="0"/>
              <w:rPr>
                <w:sz w:val="20"/>
                <w:szCs w:val="20"/>
                <w:color w:val="auto"/>
              </w:rPr>
            </w:pPr>
            <w:r>
              <w:rPr>
                <w:rFonts w:ascii="Arial" w:cs="Arial" w:eastAsia="Arial" w:hAnsi="Arial"/>
                <w:sz w:val="10"/>
                <w:szCs w:val="10"/>
                <w:color w:val="auto"/>
              </w:rPr>
              <w:t>Research and development</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907</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962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986</w:t>
            </w:r>
          </w:p>
        </w:tc>
      </w:tr>
      <w:tr>
        <w:trPr>
          <w:trHeight w:val="118"/>
        </w:trPr>
        <w:tc>
          <w:tcPr>
            <w:tcW w:w="2920" w:type="dxa"/>
            <w:vAlign w:val="bottom"/>
          </w:tcPr>
          <w:p>
            <w:pPr>
              <w:ind w:left="20"/>
              <w:spacing w:after="0"/>
              <w:rPr>
                <w:sz w:val="20"/>
                <w:szCs w:val="20"/>
                <w:color w:val="auto"/>
              </w:rPr>
            </w:pPr>
            <w:r>
              <w:rPr>
                <w:rFonts w:ascii="Arial" w:cs="Arial" w:eastAsia="Arial" w:hAnsi="Arial"/>
                <w:sz w:val="10"/>
                <w:szCs w:val="10"/>
                <w:color w:val="auto"/>
              </w:rPr>
              <w:t>Total</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34,789</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37,893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39,316</w:t>
            </w:r>
          </w:p>
        </w:tc>
      </w:tr>
      <w:tr>
        <w:trPr>
          <w:trHeight w:val="103"/>
        </w:trPr>
        <w:tc>
          <w:tcPr>
            <w:tcW w:w="2920" w:type="dxa"/>
            <w:vAlign w:val="bottom"/>
          </w:tcPr>
          <w:p>
            <w:pPr>
              <w:ind w:left="20"/>
              <w:spacing w:after="0" w:line="103" w:lineRule="exact"/>
              <w:rPr>
                <w:sz w:val="20"/>
                <w:szCs w:val="20"/>
                <w:color w:val="auto"/>
              </w:rPr>
            </w:pPr>
            <w:r>
              <w:rPr>
                <w:rFonts w:ascii="Arial" w:cs="Arial" w:eastAsia="Arial" w:hAnsi="Arial"/>
                <w:sz w:val="10"/>
                <w:szCs w:val="10"/>
                <w:color w:val="auto"/>
              </w:rPr>
              <w:t>Of which</w:t>
            </w:r>
          </w:p>
        </w:tc>
        <w:tc>
          <w:tcPr>
            <w:tcW w:w="780" w:type="dxa"/>
            <w:vAlign w:val="bottom"/>
            <w:shd w:val="clear" w:color="auto" w:fill="D9D9D9"/>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6"/>
        </w:trPr>
        <w:tc>
          <w:tcPr>
            <w:tcW w:w="2920" w:type="dxa"/>
            <w:vAlign w:val="bottom"/>
          </w:tcPr>
          <w:p>
            <w:pPr>
              <w:ind w:left="120"/>
              <w:spacing w:after="0"/>
              <w:rPr>
                <w:sz w:val="20"/>
                <w:szCs w:val="20"/>
                <w:color w:val="auto"/>
              </w:rPr>
            </w:pPr>
            <w:r>
              <w:rPr>
                <w:rFonts w:ascii="Arial" w:cs="Arial" w:eastAsia="Arial" w:hAnsi="Arial"/>
                <w:sz w:val="10"/>
                <w:szCs w:val="10"/>
                <w:color w:val="auto"/>
              </w:rPr>
              <w:t>Integrated Gas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6,555</w:t>
            </w:r>
          </w:p>
        </w:tc>
        <w:tc>
          <w:tcPr>
            <w:tcW w:w="980" w:type="dxa"/>
            <w:vAlign w:val="bottom"/>
          </w:tcPr>
          <w:p>
            <w:pPr>
              <w:jc w:val="right"/>
              <w:ind w:right="192"/>
              <w:spacing w:after="0"/>
              <w:rPr>
                <w:sz w:val="20"/>
                <w:szCs w:val="20"/>
                <w:color w:val="auto"/>
              </w:rPr>
            </w:pPr>
            <w:r>
              <w:rPr>
                <w:rFonts w:ascii="Arial" w:cs="Arial" w:eastAsia="Arial" w:hAnsi="Arial"/>
                <w:sz w:val="10"/>
                <w:szCs w:val="10"/>
                <w:color w:val="auto"/>
              </w:rPr>
              <w:t>6,667</w:t>
            </w:r>
          </w:p>
        </w:tc>
        <w:tc>
          <w:tcPr>
            <w:tcW w:w="560" w:type="dxa"/>
            <w:vAlign w:val="bottom"/>
          </w:tcPr>
          <w:p>
            <w:pPr>
              <w:jc w:val="right"/>
              <w:spacing w:after="0"/>
              <w:rPr>
                <w:sz w:val="20"/>
                <w:szCs w:val="20"/>
                <w:color w:val="auto"/>
              </w:rPr>
            </w:pPr>
            <w:r>
              <w:rPr>
                <w:rFonts w:ascii="Arial" w:cs="Arial" w:eastAsia="Arial" w:hAnsi="Arial"/>
                <w:sz w:val="10"/>
                <w:szCs w:val="10"/>
                <w:color w:val="auto"/>
              </w:rPr>
              <w:t>6,014</w:t>
            </w:r>
          </w:p>
        </w:tc>
      </w:tr>
      <w:tr>
        <w:trPr>
          <w:trHeight w:val="126"/>
        </w:trPr>
        <w:tc>
          <w:tcPr>
            <w:tcW w:w="2920" w:type="dxa"/>
            <w:vAlign w:val="bottom"/>
          </w:tcPr>
          <w:p>
            <w:pPr>
              <w:ind w:left="120"/>
              <w:spacing w:after="0"/>
              <w:rPr>
                <w:sz w:val="20"/>
                <w:szCs w:val="20"/>
                <w:color w:val="auto"/>
              </w:rPr>
            </w:pPr>
            <w:r>
              <w:rPr>
                <w:rFonts w:ascii="Arial" w:cs="Arial" w:eastAsia="Arial" w:hAnsi="Arial"/>
                <w:sz w:val="10"/>
                <w:szCs w:val="10"/>
                <w:color w:val="auto"/>
              </w:rPr>
              <w:t>Upstream</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10,983</w:t>
            </w:r>
          </w:p>
        </w:tc>
        <w:tc>
          <w:tcPr>
            <w:tcW w:w="980" w:type="dxa"/>
            <w:vAlign w:val="bottom"/>
          </w:tcPr>
          <w:p>
            <w:pPr>
              <w:jc w:val="right"/>
              <w:ind w:right="192"/>
              <w:spacing w:after="0"/>
              <w:rPr>
                <w:sz w:val="20"/>
                <w:szCs w:val="20"/>
                <w:color w:val="auto"/>
              </w:rPr>
            </w:pPr>
            <w:r>
              <w:rPr>
                <w:rFonts w:ascii="Arial" w:cs="Arial" w:eastAsia="Arial" w:hAnsi="Arial"/>
                <w:sz w:val="10"/>
                <w:szCs w:val="10"/>
                <w:color w:val="auto"/>
              </w:rPr>
              <w:t>11,582</w:t>
            </w:r>
          </w:p>
        </w:tc>
        <w:tc>
          <w:tcPr>
            <w:tcW w:w="560" w:type="dxa"/>
            <w:vAlign w:val="bottom"/>
          </w:tcPr>
          <w:p>
            <w:pPr>
              <w:jc w:val="right"/>
              <w:spacing w:after="0"/>
              <w:rPr>
                <w:sz w:val="20"/>
                <w:szCs w:val="20"/>
                <w:color w:val="auto"/>
              </w:rPr>
            </w:pPr>
            <w:r>
              <w:rPr>
                <w:rFonts w:ascii="Arial" w:cs="Arial" w:eastAsia="Arial" w:hAnsi="Arial"/>
                <w:sz w:val="10"/>
                <w:szCs w:val="10"/>
                <w:color w:val="auto"/>
              </w:rPr>
              <w:t>11,690</w:t>
            </w:r>
          </w:p>
        </w:tc>
      </w:tr>
      <w:tr>
        <w:trPr>
          <w:trHeight w:val="126"/>
        </w:trPr>
        <w:tc>
          <w:tcPr>
            <w:tcW w:w="2920" w:type="dxa"/>
            <w:vAlign w:val="bottom"/>
          </w:tcPr>
          <w:p>
            <w:pPr>
              <w:ind w:left="120"/>
              <w:spacing w:after="0"/>
              <w:rPr>
                <w:sz w:val="20"/>
                <w:szCs w:val="20"/>
                <w:color w:val="auto"/>
              </w:rPr>
            </w:pPr>
            <w:r>
              <w:rPr>
                <w:rFonts w:ascii="Arial" w:cs="Arial" w:eastAsia="Arial" w:hAnsi="Arial"/>
                <w:sz w:val="10"/>
                <w:szCs w:val="10"/>
                <w:color w:val="auto"/>
              </w:rPr>
              <w:t>Oil Products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13,511</w:t>
            </w:r>
          </w:p>
        </w:tc>
        <w:tc>
          <w:tcPr>
            <w:tcW w:w="980" w:type="dxa"/>
            <w:vAlign w:val="bottom"/>
          </w:tcPr>
          <w:p>
            <w:pPr>
              <w:jc w:val="right"/>
              <w:ind w:right="192"/>
              <w:spacing w:after="0"/>
              <w:rPr>
                <w:sz w:val="20"/>
                <w:szCs w:val="20"/>
                <w:color w:val="auto"/>
              </w:rPr>
            </w:pPr>
            <w:r>
              <w:rPr>
                <w:rFonts w:ascii="Arial" w:cs="Arial" w:eastAsia="Arial" w:hAnsi="Arial"/>
                <w:sz w:val="10"/>
                <w:szCs w:val="10"/>
                <w:color w:val="auto"/>
              </w:rPr>
              <w:t>15,730</w:t>
            </w:r>
          </w:p>
        </w:tc>
        <w:tc>
          <w:tcPr>
            <w:tcW w:w="560" w:type="dxa"/>
            <w:vAlign w:val="bottom"/>
          </w:tcPr>
          <w:p>
            <w:pPr>
              <w:jc w:val="right"/>
              <w:spacing w:after="0"/>
              <w:rPr>
                <w:sz w:val="20"/>
                <w:szCs w:val="20"/>
                <w:color w:val="auto"/>
              </w:rPr>
            </w:pPr>
            <w:r>
              <w:rPr>
                <w:rFonts w:ascii="Arial" w:cs="Arial" w:eastAsia="Arial" w:hAnsi="Arial"/>
                <w:sz w:val="10"/>
                <w:szCs w:val="10"/>
                <w:color w:val="auto"/>
              </w:rPr>
              <w:t>17,615</w:t>
            </w:r>
          </w:p>
        </w:tc>
      </w:tr>
      <w:tr>
        <w:trPr>
          <w:trHeight w:val="126"/>
        </w:trPr>
        <w:tc>
          <w:tcPr>
            <w:tcW w:w="2920" w:type="dxa"/>
            <w:vAlign w:val="bottom"/>
          </w:tcPr>
          <w:p>
            <w:pPr>
              <w:ind w:left="120"/>
              <w:spacing w:after="0"/>
              <w:rPr>
                <w:sz w:val="20"/>
                <w:szCs w:val="20"/>
                <w:color w:val="auto"/>
              </w:rPr>
            </w:pPr>
            <w:r>
              <w:rPr>
                <w:rFonts w:ascii="Arial" w:cs="Arial" w:eastAsia="Arial" w:hAnsi="Arial"/>
                <w:sz w:val="10"/>
                <w:szCs w:val="10"/>
                <w:color w:val="auto"/>
              </w:rPr>
              <w:t>Chemicals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3,235</w:t>
            </w:r>
          </w:p>
        </w:tc>
        <w:tc>
          <w:tcPr>
            <w:tcW w:w="980" w:type="dxa"/>
            <w:vAlign w:val="bottom"/>
          </w:tcPr>
          <w:p>
            <w:pPr>
              <w:jc w:val="right"/>
              <w:ind w:right="192"/>
              <w:spacing w:after="0"/>
              <w:rPr>
                <w:sz w:val="20"/>
                <w:szCs w:val="20"/>
                <w:color w:val="auto"/>
              </w:rPr>
            </w:pPr>
            <w:r>
              <w:rPr>
                <w:rFonts w:ascii="Arial" w:cs="Arial" w:eastAsia="Arial" w:hAnsi="Arial"/>
                <w:sz w:val="10"/>
                <w:szCs w:val="10"/>
                <w:color w:val="auto"/>
              </w:rPr>
              <w:t>3,430</w:t>
            </w:r>
          </w:p>
        </w:tc>
        <w:tc>
          <w:tcPr>
            <w:tcW w:w="560" w:type="dxa"/>
            <w:vAlign w:val="bottom"/>
          </w:tcPr>
          <w:p>
            <w:pPr>
              <w:jc w:val="right"/>
              <w:spacing w:after="0"/>
              <w:rPr>
                <w:sz w:val="20"/>
                <w:szCs w:val="20"/>
                <w:color w:val="auto"/>
              </w:rPr>
            </w:pPr>
            <w:r>
              <w:rPr>
                <w:rFonts w:ascii="Arial" w:cs="Arial" w:eastAsia="Arial" w:hAnsi="Arial"/>
                <w:sz w:val="10"/>
                <w:szCs w:val="10"/>
                <w:color w:val="auto"/>
              </w:rPr>
              <w:t>3,594</w:t>
            </w:r>
          </w:p>
        </w:tc>
      </w:tr>
      <w:tr>
        <w:trPr>
          <w:trHeight w:val="134"/>
        </w:trPr>
        <w:tc>
          <w:tcPr>
            <w:tcW w:w="2920" w:type="dxa"/>
            <w:vAlign w:val="bottom"/>
          </w:tcPr>
          <w:p>
            <w:pPr>
              <w:ind w:left="120"/>
              <w:spacing w:after="0"/>
              <w:rPr>
                <w:sz w:val="20"/>
                <w:szCs w:val="20"/>
                <w:color w:val="auto"/>
              </w:rPr>
            </w:pPr>
            <w:r>
              <w:rPr>
                <w:rFonts w:ascii="Arial" w:cs="Arial" w:eastAsia="Arial" w:hAnsi="Arial"/>
                <w:sz w:val="10"/>
                <w:szCs w:val="10"/>
                <w:color w:val="auto"/>
              </w:rPr>
              <w:t>Corporate</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505</w:t>
            </w:r>
          </w:p>
        </w:tc>
        <w:tc>
          <w:tcPr>
            <w:tcW w:w="980" w:type="dxa"/>
            <w:vAlign w:val="bottom"/>
          </w:tcPr>
          <w:p>
            <w:pPr>
              <w:jc w:val="right"/>
              <w:ind w:right="192"/>
              <w:spacing w:after="0"/>
              <w:rPr>
                <w:sz w:val="20"/>
                <w:szCs w:val="20"/>
                <w:color w:val="auto"/>
              </w:rPr>
            </w:pPr>
            <w:r>
              <w:rPr>
                <w:rFonts w:ascii="Arial" w:cs="Arial" w:eastAsia="Arial" w:hAnsi="Arial"/>
                <w:sz w:val="10"/>
                <w:szCs w:val="10"/>
                <w:color w:val="auto"/>
              </w:rPr>
              <w:t>486</w:t>
            </w:r>
          </w:p>
        </w:tc>
        <w:tc>
          <w:tcPr>
            <w:tcW w:w="560" w:type="dxa"/>
            <w:vAlign w:val="bottom"/>
          </w:tcPr>
          <w:p>
            <w:pPr>
              <w:jc w:val="right"/>
              <w:spacing w:after="0"/>
              <w:rPr>
                <w:sz w:val="20"/>
                <w:szCs w:val="20"/>
                <w:color w:val="auto"/>
              </w:rPr>
            </w:pPr>
            <w:r>
              <w:rPr>
                <w:rFonts w:ascii="Arial" w:cs="Arial" w:eastAsia="Arial" w:hAnsi="Arial"/>
                <w:sz w:val="10"/>
                <w:szCs w:val="10"/>
                <w:color w:val="auto"/>
              </w:rPr>
              <w:t>402</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RETURN ON AVERAGE CAPITAL EMPLOYED</w:t>
      </w:r>
    </w:p>
    <w:p>
      <w:pPr>
        <w:ind w:right="140"/>
        <w:spacing w:after="0" w:line="309" w:lineRule="auto"/>
        <w:rPr>
          <w:sz w:val="20"/>
          <w:szCs w:val="20"/>
          <w:color w:val="auto"/>
        </w:rPr>
      </w:pPr>
      <w:r>
        <w:rPr>
          <w:rFonts w:ascii="Arial" w:cs="Arial" w:eastAsia="Arial" w:hAnsi="Arial"/>
          <w:sz w:val="8"/>
          <w:szCs w:val="8"/>
          <w:color w:val="auto"/>
        </w:rPr>
        <w:t>Return on average capital employed (ROACE) measures the efficiency of our utilisation of the capital that we employ. In this calculation, ROACE is defined as income for the period, adjusted for after-tax interest expense, as a percentage of the average capital employed for the period. Capital employed consists of total equity, current debt and non-current debt.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640" w:type="dxa"/>
            <w:vAlign w:val="bottom"/>
            <w:tcBorders>
              <w:top w:val="single" w:sz="8" w:color="CDCDCD"/>
            </w:tcBorders>
          </w:tcPr>
          <w:p>
            <w:pPr>
              <w:ind w:left="20"/>
              <w:spacing w:after="0"/>
              <w:rPr>
                <w:sz w:val="20"/>
                <w:szCs w:val="20"/>
                <w:color w:val="auto"/>
              </w:rPr>
            </w:pPr>
            <w:r>
              <w:rPr>
                <w:rFonts w:ascii="Arial" w:cs="Arial" w:eastAsia="Arial" w:hAnsi="Arial"/>
                <w:sz w:val="10"/>
                <w:szCs w:val="10"/>
                <w:color w:val="auto"/>
              </w:rPr>
              <w:t>Calculation of return on average capital employed</w:t>
            </w:r>
          </w:p>
        </w:tc>
        <w:tc>
          <w:tcPr>
            <w:tcW w:w="860" w:type="dxa"/>
            <w:vAlign w:val="bottom"/>
            <w:tcBorders>
              <w:top w:val="single" w:sz="8" w:color="CDCDCD"/>
            </w:tcBorders>
          </w:tcPr>
          <w:p>
            <w:pPr>
              <w:spacing w:after="0"/>
              <w:rPr>
                <w:sz w:val="13"/>
                <w:szCs w:val="13"/>
                <w:color w:val="auto"/>
              </w:rPr>
            </w:pPr>
          </w:p>
        </w:tc>
        <w:tc>
          <w:tcPr>
            <w:tcW w:w="1080" w:type="dxa"/>
            <w:vAlign w:val="bottom"/>
            <w:tcBorders>
              <w:top w:val="single" w:sz="8" w:color="CDCDCD"/>
            </w:tcBorders>
          </w:tcPr>
          <w:p>
            <w:pPr>
              <w:spacing w:after="0"/>
              <w:rPr>
                <w:sz w:val="13"/>
                <w:szCs w:val="13"/>
                <w:color w:val="auto"/>
              </w:rPr>
            </w:pPr>
          </w:p>
        </w:tc>
        <w:tc>
          <w:tcPr>
            <w:tcW w:w="64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26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2019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9"/>
        </w:trPr>
        <w:tc>
          <w:tcPr>
            <w:tcW w:w="2640" w:type="dxa"/>
            <w:vAlign w:val="bottom"/>
          </w:tcPr>
          <w:p>
            <w:pPr>
              <w:ind w:left="20"/>
              <w:spacing w:after="0"/>
              <w:rPr>
                <w:sz w:val="20"/>
                <w:szCs w:val="20"/>
                <w:color w:val="auto"/>
              </w:rPr>
            </w:pPr>
            <w:r>
              <w:rPr>
                <w:rFonts w:ascii="Arial" w:cs="Arial" w:eastAsia="Arial" w:hAnsi="Arial"/>
                <w:sz w:val="10"/>
                <w:szCs w:val="10"/>
                <w:color w:val="auto"/>
              </w:rPr>
              <w:t>Income for the period</w:t>
            </w:r>
          </w:p>
        </w:tc>
        <w:tc>
          <w:tcPr>
            <w:tcW w:w="860" w:type="dxa"/>
            <w:vAlign w:val="bottom"/>
            <w:shd w:val="clear" w:color="auto" w:fill="D9D9D9"/>
          </w:tcPr>
          <w:p>
            <w:pPr>
              <w:jc w:val="right"/>
              <w:ind w:right="52"/>
              <w:spacing w:after="0"/>
              <w:rPr>
                <w:sz w:val="20"/>
                <w:szCs w:val="20"/>
                <w:color w:val="auto"/>
              </w:rPr>
            </w:pPr>
            <w:r>
              <w:rPr>
                <w:rFonts w:ascii="Arial" w:cs="Arial" w:eastAsia="Arial" w:hAnsi="Arial"/>
                <w:sz w:val="10"/>
                <w:szCs w:val="10"/>
                <w:color w:val="auto"/>
              </w:rPr>
              <w:t>(21,534)</w:t>
            </w:r>
          </w:p>
        </w:tc>
        <w:tc>
          <w:tcPr>
            <w:tcW w:w="1080" w:type="dxa"/>
            <w:vAlign w:val="bottom"/>
          </w:tcPr>
          <w:p>
            <w:pPr>
              <w:jc w:val="right"/>
              <w:ind w:right="292"/>
              <w:spacing w:after="0"/>
              <w:rPr>
                <w:sz w:val="20"/>
                <w:szCs w:val="20"/>
                <w:color w:val="auto"/>
              </w:rPr>
            </w:pPr>
            <w:r>
              <w:rPr>
                <w:rFonts w:ascii="Arial" w:cs="Arial" w:eastAsia="Arial" w:hAnsi="Arial"/>
                <w:sz w:val="10"/>
                <w:szCs w:val="10"/>
                <w:color w:val="auto"/>
              </w:rPr>
              <w:t>16,432</w:t>
            </w: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23,906</w:t>
            </w:r>
          </w:p>
        </w:tc>
      </w:tr>
      <w:tr>
        <w:trPr>
          <w:trHeight w:val="124"/>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Interest expense after tax</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2,822</w:t>
            </w: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3,024</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2,513</w:t>
            </w:r>
          </w:p>
        </w:tc>
      </w:tr>
      <w:tr>
        <w:trPr>
          <w:trHeight w:val="115"/>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Income before interest expense</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(18,712)</w:t>
            </w: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19,456</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26,419</w:t>
            </w:r>
          </w:p>
        </w:tc>
      </w:tr>
      <w:tr>
        <w:trPr>
          <w:trHeight w:val="113"/>
        </w:trPr>
        <w:tc>
          <w:tcPr>
            <w:tcW w:w="2640" w:type="dxa"/>
            <w:vAlign w:val="bottom"/>
          </w:tcPr>
          <w:p>
            <w:pPr>
              <w:ind w:left="20"/>
              <w:spacing w:after="0" w:line="113" w:lineRule="exact"/>
              <w:rPr>
                <w:sz w:val="20"/>
                <w:szCs w:val="20"/>
                <w:color w:val="auto"/>
              </w:rPr>
            </w:pPr>
            <w:r>
              <w:rPr>
                <w:rFonts w:ascii="Arial" w:cs="Arial" w:eastAsia="Arial" w:hAnsi="Arial"/>
                <w:sz w:val="10"/>
                <w:szCs w:val="10"/>
                <w:color w:val="auto"/>
              </w:rPr>
              <w:t>Capital employed - opening</w:t>
            </w:r>
          </w:p>
        </w:tc>
        <w:tc>
          <w:tcPr>
            <w:tcW w:w="860" w:type="dxa"/>
            <w:vAlign w:val="bottom"/>
          </w:tcPr>
          <w:p>
            <w:pPr>
              <w:jc w:val="right"/>
              <w:ind w:right="72"/>
              <w:spacing w:after="0" w:line="113" w:lineRule="exact"/>
              <w:rPr>
                <w:sz w:val="20"/>
                <w:szCs w:val="20"/>
                <w:color w:val="auto"/>
              </w:rPr>
            </w:pPr>
            <w:r>
              <w:rPr>
                <w:rFonts w:ascii="Arial" w:cs="Arial" w:eastAsia="Arial" w:hAnsi="Arial"/>
                <w:sz w:val="10"/>
                <w:szCs w:val="10"/>
                <w:color w:val="auto"/>
              </w:rPr>
              <w:t>286,887</w:t>
            </w:r>
          </w:p>
        </w:tc>
        <w:tc>
          <w:tcPr>
            <w:tcW w:w="1080" w:type="dxa"/>
            <w:vAlign w:val="bottom"/>
          </w:tcPr>
          <w:p>
            <w:pPr>
              <w:jc w:val="right"/>
              <w:ind w:right="292"/>
              <w:spacing w:after="0" w:line="113" w:lineRule="exact"/>
              <w:rPr>
                <w:sz w:val="20"/>
                <w:szCs w:val="20"/>
                <w:color w:val="auto"/>
              </w:rPr>
            </w:pPr>
            <w:r>
              <w:rPr>
                <w:rFonts w:ascii="Arial" w:cs="Arial" w:eastAsia="Arial" w:hAnsi="Arial"/>
                <w:sz w:val="10"/>
                <w:szCs w:val="10"/>
                <w:color w:val="auto"/>
              </w:rPr>
              <w:t>295,398</w:t>
            </w:r>
          </w:p>
        </w:tc>
        <w:tc>
          <w:tcPr>
            <w:tcW w:w="640" w:type="dxa"/>
            <w:vAlign w:val="bottom"/>
          </w:tcPr>
          <w:p>
            <w:pPr>
              <w:jc w:val="right"/>
              <w:ind w:right="72"/>
              <w:spacing w:after="0" w:line="113" w:lineRule="exact"/>
              <w:rPr>
                <w:sz w:val="20"/>
                <w:szCs w:val="20"/>
                <w:color w:val="auto"/>
              </w:rPr>
            </w:pPr>
            <w:r>
              <w:rPr>
                <w:rFonts w:ascii="Arial" w:cs="Arial" w:eastAsia="Arial" w:hAnsi="Arial"/>
                <w:sz w:val="10"/>
                <w:szCs w:val="10"/>
                <w:color w:val="auto"/>
              </w:rPr>
              <w:t>283,477</w:t>
            </w:r>
          </w:p>
        </w:tc>
      </w:tr>
      <w:tr>
        <w:trPr>
          <w:trHeight w:val="127"/>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Capital employed - closing</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266,551</w:t>
            </w: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286,887</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279,358</w:t>
            </w:r>
          </w:p>
        </w:tc>
      </w:tr>
      <w:tr>
        <w:trPr>
          <w:trHeight w:val="117"/>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Capital employed - average</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276,719</w:t>
            </w: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291,142</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281,417</w:t>
            </w:r>
          </w:p>
        </w:tc>
      </w:tr>
      <w:tr>
        <w:trPr>
          <w:trHeight w:val="113"/>
        </w:trPr>
        <w:tc>
          <w:tcPr>
            <w:tcW w:w="2640" w:type="dxa"/>
            <w:vAlign w:val="bottom"/>
          </w:tcPr>
          <w:p>
            <w:pPr>
              <w:ind w:left="20"/>
              <w:spacing w:after="0" w:line="113" w:lineRule="exact"/>
              <w:rPr>
                <w:sz w:val="20"/>
                <w:szCs w:val="20"/>
                <w:color w:val="auto"/>
              </w:rPr>
            </w:pPr>
            <w:r>
              <w:rPr>
                <w:rFonts w:ascii="Arial" w:cs="Arial" w:eastAsia="Arial" w:hAnsi="Arial"/>
                <w:sz w:val="10"/>
                <w:szCs w:val="10"/>
                <w:color w:val="auto"/>
              </w:rPr>
              <w:t>ROACE</w:t>
            </w:r>
          </w:p>
        </w:tc>
        <w:tc>
          <w:tcPr>
            <w:tcW w:w="860" w:type="dxa"/>
            <w:vAlign w:val="bottom"/>
          </w:tcPr>
          <w:p>
            <w:pPr>
              <w:jc w:val="right"/>
              <w:spacing w:after="0" w:line="113" w:lineRule="exact"/>
              <w:rPr>
                <w:sz w:val="20"/>
                <w:szCs w:val="20"/>
                <w:color w:val="auto"/>
              </w:rPr>
            </w:pPr>
            <w:r>
              <w:rPr>
                <w:rFonts w:ascii="Arial" w:cs="Arial" w:eastAsia="Arial" w:hAnsi="Arial"/>
                <w:sz w:val="10"/>
                <w:szCs w:val="10"/>
                <w:color w:val="auto"/>
              </w:rPr>
              <w:t>(6.8)%</w:t>
            </w:r>
          </w:p>
        </w:tc>
        <w:tc>
          <w:tcPr>
            <w:tcW w:w="1080" w:type="dxa"/>
            <w:vAlign w:val="bottom"/>
          </w:tcPr>
          <w:p>
            <w:pPr>
              <w:jc w:val="right"/>
              <w:ind w:right="172"/>
              <w:spacing w:after="0" w:line="113" w:lineRule="exact"/>
              <w:rPr>
                <w:sz w:val="20"/>
                <w:szCs w:val="20"/>
                <w:color w:val="auto"/>
              </w:rPr>
            </w:pPr>
            <w:r>
              <w:rPr>
                <w:rFonts w:ascii="Arial" w:cs="Arial" w:eastAsia="Arial" w:hAnsi="Arial"/>
                <w:sz w:val="10"/>
                <w:szCs w:val="10"/>
                <w:color w:val="auto"/>
              </w:rPr>
              <w:t>6.7 %</w:t>
            </w: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9.4 %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-584835</wp:posOffset>
            </wp:positionV>
            <wp:extent cx="548640" cy="5886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48640" cy="5886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FREE CASH FLOW AND ORGANIC FREE CASH FLOW</w:t>
      </w:r>
    </w:p>
    <w:p>
      <w:pPr>
        <w:ind w:right="100"/>
        <w:spacing w:after="0" w:line="231" w:lineRule="auto"/>
        <w:rPr>
          <w:sz w:val="20"/>
          <w:szCs w:val="20"/>
          <w:color w:val="auto"/>
        </w:rPr>
      </w:pPr>
      <w:r>
        <w:rPr>
          <w:rFonts w:ascii="Arial" w:cs="Arial" w:eastAsia="Arial" w:hAnsi="Arial"/>
          <w:sz w:val="10"/>
          <w:szCs w:val="10"/>
          <w:color w:val="auto"/>
        </w:rPr>
        <w:t>Free cash flow is used to evaluate cash available for financing activities, including dividend payments, after investment in maintaining and growing our business.</w:t>
      </w:r>
    </w:p>
    <w:p>
      <w:pPr>
        <w:sectPr>
          <w:pgSz w:w="11900" w:h="16838" w:orient="portrait"/>
          <w:cols w:equalWidth="0" w:num="2">
            <w:col w:w="5640" w:space="280"/>
            <w:col w:w="5260"/>
          </w:cols>
          <w:pgMar w:left="300" w:top="667" w:right="419" w:bottom="1440" w:gutter="0" w:footer="0" w:header="0"/>
        </w:sectPr>
      </w:pPr>
    </w:p>
    <w:bookmarkStart w:id="245" w:name="page246"/>
    <w:bookmarkEnd w:id="245"/>
    <w:p>
      <w:pPr>
        <w:ind w:left="8"/>
        <w:spacing w:after="0"/>
        <w:rPr>
          <w:sz w:val="20"/>
          <w:szCs w:val="20"/>
          <w:color w:val="auto"/>
        </w:rPr>
      </w:pPr>
      <w:r>
        <w:rPr>
          <w:rFonts w:ascii="Arial" w:cs="Arial" w:eastAsia="Arial" w:hAnsi="Arial"/>
          <w:sz w:val="10"/>
          <w:szCs w:val="10"/>
          <w:color w:val="auto"/>
        </w:rPr>
        <w:t>Organic free cash flow is defined as Free cash flow excluding the cash flows from acquisition and divestment activities. It is a measure</w:t>
      </w:r>
    </w:p>
    <w:p>
      <w:pPr>
        <w:ind w:left="8"/>
        <w:spacing w:after="0"/>
        <w:rPr>
          <w:sz w:val="20"/>
          <w:szCs w:val="20"/>
          <w:color w:val="auto"/>
        </w:rPr>
      </w:pPr>
      <w:r>
        <w:rPr>
          <w:rFonts w:ascii="Arial" w:cs="Arial" w:eastAsia="Arial" w:hAnsi="Arial"/>
          <w:sz w:val="10"/>
          <w:szCs w:val="10"/>
          <w:color w:val="auto"/>
        </w:rPr>
        <w:t>used by management to evaluate generation of cash flow without these activities.</w:t>
      </w:r>
    </w:p>
    <w:p>
      <w:pPr>
        <w:spacing w:after="0" w:line="5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92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Free cash flow and Organic free cash flow</w:t>
            </w:r>
          </w:p>
        </w:tc>
        <w:tc>
          <w:tcPr>
            <w:tcW w:w="780" w:type="dxa"/>
            <w:vAlign w:val="bottom"/>
            <w:tcBorders>
              <w:top w:val="single" w:sz="8" w:color="CDCDCD"/>
            </w:tcBorders>
          </w:tcPr>
          <w:p>
            <w:pPr>
              <w:spacing w:after="0"/>
              <w:rPr>
                <w:sz w:val="13"/>
                <w:szCs w:val="13"/>
                <w:color w:val="auto"/>
              </w:rPr>
            </w:pPr>
          </w:p>
        </w:tc>
        <w:tc>
          <w:tcPr>
            <w:tcW w:w="960" w:type="dxa"/>
            <w:vAlign w:val="bottom"/>
            <w:tcBorders>
              <w:top w:val="single" w:sz="8" w:color="CDCDCD"/>
            </w:tcBorders>
          </w:tcPr>
          <w:p>
            <w:pPr>
              <w:spacing w:after="0"/>
              <w:rPr>
                <w:sz w:val="13"/>
                <w:szCs w:val="13"/>
                <w:color w:val="auto"/>
              </w:rPr>
            </w:pPr>
          </w:p>
        </w:tc>
        <w:tc>
          <w:tcPr>
            <w:tcW w:w="58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29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2019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2920" w:type="dxa"/>
            <w:vAlign w:val="bottom"/>
          </w:tcPr>
          <w:p>
            <w:pPr>
              <w:spacing w:after="0"/>
              <w:rPr>
                <w:sz w:val="20"/>
                <w:szCs w:val="20"/>
                <w:color w:val="auto"/>
              </w:rPr>
            </w:pPr>
            <w:r>
              <w:rPr>
                <w:rFonts w:ascii="Arial" w:cs="Arial" w:eastAsia="Arial" w:hAnsi="Arial"/>
                <w:sz w:val="10"/>
                <w:szCs w:val="10"/>
                <w:color w:val="auto"/>
              </w:rPr>
              <w:t>Cash flow from operating activities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34,105</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42,178</w:t>
            </w:r>
          </w:p>
        </w:tc>
        <w:tc>
          <w:tcPr>
            <w:tcW w:w="580" w:type="dxa"/>
            <w:vAlign w:val="bottom"/>
          </w:tcPr>
          <w:p>
            <w:pPr>
              <w:jc w:val="right"/>
              <w:spacing w:after="0"/>
              <w:rPr>
                <w:sz w:val="20"/>
                <w:szCs w:val="20"/>
                <w:color w:val="auto"/>
              </w:rPr>
            </w:pPr>
            <w:r>
              <w:rPr>
                <w:rFonts w:ascii="Arial" w:cs="Arial" w:eastAsia="Arial" w:hAnsi="Arial"/>
                <w:sz w:val="10"/>
                <w:szCs w:val="10"/>
                <w:color w:val="auto"/>
              </w:rPr>
              <w:t>53,085</w:t>
            </w:r>
          </w:p>
        </w:tc>
      </w:tr>
      <w:tr>
        <w:trPr>
          <w:trHeight w:val="123"/>
        </w:trPr>
        <w:tc>
          <w:tcPr>
            <w:tcW w:w="2920" w:type="dxa"/>
            <w:vAlign w:val="bottom"/>
          </w:tcPr>
          <w:p>
            <w:pPr>
              <w:spacing w:after="0"/>
              <w:rPr>
                <w:sz w:val="20"/>
                <w:szCs w:val="20"/>
                <w:color w:val="auto"/>
              </w:rPr>
            </w:pPr>
            <w:r>
              <w:rPr>
                <w:rFonts w:ascii="Arial" w:cs="Arial" w:eastAsia="Arial" w:hAnsi="Arial"/>
                <w:sz w:val="10"/>
                <w:szCs w:val="10"/>
                <w:color w:val="auto"/>
              </w:rPr>
              <w:t>Cash flow from investing activities</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(13,278)</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(15,779)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(13,659)</w:t>
            </w:r>
          </w:p>
        </w:tc>
      </w:tr>
      <w:tr>
        <w:trPr>
          <w:trHeight w:val="118"/>
        </w:trPr>
        <w:tc>
          <w:tcPr>
            <w:tcW w:w="2920" w:type="dxa"/>
            <w:vAlign w:val="bottom"/>
          </w:tcPr>
          <w:p>
            <w:pPr>
              <w:spacing w:after="0"/>
              <w:rPr>
                <w:sz w:val="20"/>
                <w:szCs w:val="20"/>
                <w:color w:val="auto"/>
              </w:rPr>
            </w:pPr>
            <w:r>
              <w:rPr>
                <w:rFonts w:ascii="Arial" w:cs="Arial" w:eastAsia="Arial" w:hAnsi="Arial"/>
                <w:sz w:val="10"/>
                <w:szCs w:val="10"/>
                <w:color w:val="auto"/>
              </w:rPr>
              <w:t>Free cash flow</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20,828</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26,399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39,426</w:t>
            </w:r>
          </w:p>
        </w:tc>
      </w:tr>
      <w:tr>
        <w:trPr>
          <w:trHeight w:val="115"/>
        </w:trPr>
        <w:tc>
          <w:tcPr>
            <w:tcW w:w="2920" w:type="dxa"/>
            <w:vAlign w:val="bottom"/>
          </w:tcPr>
          <w:p>
            <w:pPr>
              <w:spacing w:after="0" w:line="112" w:lineRule="exact"/>
              <w:rPr>
                <w:sz w:val="20"/>
                <w:szCs w:val="20"/>
                <w:color w:val="auto"/>
              </w:rPr>
            </w:pPr>
            <w:r>
              <w:rPr>
                <w:rFonts w:ascii="Arial" w:cs="Arial" w:eastAsia="Arial" w:hAnsi="Arial"/>
                <w:sz w:val="10"/>
                <w:szCs w:val="10"/>
                <w:color w:val="auto"/>
              </w:rPr>
              <w:t>Less: Cash inflows related to divestments [A]</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4,010</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7,871</w:t>
            </w:r>
          </w:p>
        </w:tc>
        <w:tc>
          <w:tcPr>
            <w:tcW w:w="580" w:type="dxa"/>
            <w:vAlign w:val="bottom"/>
          </w:tcPr>
          <w:p>
            <w:pPr>
              <w:jc w:val="right"/>
              <w:spacing w:after="0"/>
              <w:rPr>
                <w:sz w:val="20"/>
                <w:szCs w:val="20"/>
                <w:color w:val="auto"/>
              </w:rPr>
            </w:pPr>
            <w:r>
              <w:rPr>
                <w:rFonts w:ascii="Arial" w:cs="Arial" w:eastAsia="Arial" w:hAnsi="Arial"/>
                <w:sz w:val="10"/>
                <w:szCs w:val="10"/>
                <w:color w:val="auto"/>
              </w:rPr>
              <w:t>10,465</w:t>
            </w:r>
          </w:p>
        </w:tc>
      </w:tr>
      <w:tr>
        <w:trPr>
          <w:trHeight w:val="123"/>
        </w:trPr>
        <w:tc>
          <w:tcPr>
            <w:tcW w:w="2920" w:type="dxa"/>
            <w:vAlign w:val="bottom"/>
          </w:tcPr>
          <w:p>
            <w:pPr>
              <w:spacing w:after="0"/>
              <w:rPr>
                <w:sz w:val="20"/>
                <w:szCs w:val="20"/>
                <w:color w:val="auto"/>
              </w:rPr>
            </w:pPr>
            <w:r>
              <w:rPr>
                <w:rFonts w:ascii="Arial" w:cs="Arial" w:eastAsia="Arial" w:hAnsi="Arial"/>
                <w:sz w:val="10"/>
                <w:szCs w:val="10"/>
                <w:color w:val="auto"/>
              </w:rPr>
              <w:t>Add: Tax paid on divestments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187</w:t>
            </w:r>
          </w:p>
        </w:tc>
        <w:tc>
          <w:tcPr>
            <w:tcW w:w="580" w:type="dxa"/>
            <w:vAlign w:val="bottom"/>
          </w:tcPr>
          <w:p>
            <w:pPr>
              <w:jc w:val="right"/>
              <w:spacing w:after="0"/>
              <w:rPr>
                <w:sz w:val="20"/>
                <w:szCs w:val="20"/>
                <w:color w:val="auto"/>
              </w:rPr>
            </w:pPr>
            <w:r>
              <w:rPr>
                <w:rFonts w:ascii="Arial" w:cs="Arial" w:eastAsia="Arial" w:hAnsi="Arial"/>
                <w:sz w:val="10"/>
                <w:szCs w:val="10"/>
                <w:color w:val="auto"/>
              </w:rPr>
              <w:t>482</w:t>
            </w: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Add: Cash outflows related to inorganic capital expenditure [B]</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817</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1,400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1,740</w:t>
            </w:r>
          </w:p>
        </w:tc>
      </w:tr>
      <w:tr>
        <w:trPr>
          <w:trHeight w:val="123"/>
        </w:trPr>
        <w:tc>
          <w:tcPr>
            <w:tcW w:w="2920" w:type="dxa"/>
            <w:vAlign w:val="bottom"/>
          </w:tcPr>
          <w:p>
            <w:pPr>
              <w:spacing w:after="0"/>
              <w:rPr>
                <w:sz w:val="20"/>
                <w:szCs w:val="20"/>
                <w:color w:val="auto"/>
              </w:rPr>
            </w:pPr>
            <w:r>
              <w:rPr>
                <w:rFonts w:ascii="Arial" w:cs="Arial" w:eastAsia="Arial" w:hAnsi="Arial"/>
                <w:sz w:val="10"/>
                <w:szCs w:val="10"/>
                <w:color w:val="auto"/>
              </w:rPr>
              <w:t>Organic free cash flow</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17,634</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20,116</w:t>
            </w:r>
          </w:p>
        </w:tc>
        <w:tc>
          <w:tcPr>
            <w:tcW w:w="580" w:type="dxa"/>
            <w:vAlign w:val="bottom"/>
          </w:tcPr>
          <w:p>
            <w:pPr>
              <w:jc w:val="right"/>
              <w:spacing w:after="0"/>
              <w:rPr>
                <w:sz w:val="20"/>
                <w:szCs w:val="20"/>
                <w:color w:val="auto"/>
              </w:rPr>
            </w:pPr>
            <w:r>
              <w:rPr>
                <w:rFonts w:ascii="Arial" w:cs="Arial" w:eastAsia="Arial" w:hAnsi="Arial"/>
                <w:sz w:val="10"/>
                <w:szCs w:val="10"/>
                <w:color w:val="auto"/>
              </w:rPr>
              <w:t>31,183</w:t>
            </w:r>
          </w:p>
        </w:tc>
      </w:tr>
    </w:tbl>
    <w:p>
      <w:pPr>
        <w:spacing w:after="0" w:line="47" w:lineRule="exact"/>
        <w:rPr>
          <w:sz w:val="20"/>
          <w:szCs w:val="20"/>
          <w:color w:val="auto"/>
        </w:rPr>
      </w:pPr>
    </w:p>
    <w:p>
      <w:pPr>
        <w:ind w:left="8" w:right="6300" w:hanging="8"/>
        <w:spacing w:after="0" w:line="250" w:lineRule="auto"/>
        <w:tabs>
          <w:tab w:leader="none" w:pos="126" w:val="left"/>
        </w:tabs>
        <w:numPr>
          <w:ilvl w:val="0"/>
          <w:numId w:val="206"/>
        </w:numPr>
        <w:rPr>
          <w:rFonts w:ascii="Arial" w:cs="Arial" w:eastAsia="Arial" w:hAnsi="Arial"/>
          <w:sz w:val="7"/>
          <w:szCs w:val="7"/>
          <w:color w:val="auto"/>
        </w:rPr>
      </w:pPr>
      <w:r>
        <w:rPr>
          <w:rFonts w:ascii="Arial" w:cs="Arial" w:eastAsia="Arial" w:hAnsi="Arial"/>
          <w:sz w:val="7"/>
          <w:szCs w:val="7"/>
          <w:color w:val="auto"/>
        </w:rPr>
        <w:t>Cash inflows related to divestments includes Proceeds from sale of property, plant and equipment and businesses, Proceeds from sale of joint ventures and associates, and Proceeds from sale of equity securities as reported in the "Consolidated Statement of Cash Flows".</w:t>
      </w:r>
    </w:p>
    <w:p>
      <w:pPr>
        <w:ind w:left="8" w:right="6180" w:hanging="8"/>
        <w:spacing w:after="0" w:line="246" w:lineRule="auto"/>
        <w:tabs>
          <w:tab w:leader="none" w:pos="122" w:val="left"/>
        </w:tabs>
        <w:numPr>
          <w:ilvl w:val="0"/>
          <w:numId w:val="206"/>
        </w:numPr>
        <w:rPr>
          <w:rFonts w:ascii="Arial" w:cs="Arial" w:eastAsia="Arial" w:hAnsi="Arial"/>
          <w:sz w:val="7"/>
          <w:szCs w:val="7"/>
          <w:color w:val="auto"/>
        </w:rPr>
      </w:pPr>
      <w:r>
        <w:rPr>
          <w:rFonts w:ascii="Arial" w:cs="Arial" w:eastAsia="Arial" w:hAnsi="Arial"/>
          <w:sz w:val="7"/>
          <w:szCs w:val="7"/>
          <w:color w:val="auto"/>
        </w:rPr>
        <w:t>Cash outflows related to inorganic capital expenditure includes portfolio actions which expand Shell's activities through acquisitions and restructuring activities as reported in capital expenditure lines in the "Consolidated Statement of Cash Flows".</w:t>
      </w:r>
    </w:p>
    <w:p>
      <w:pPr>
        <w:ind w:left="8"/>
        <w:spacing w:after="0" w:line="227" w:lineRule="auto"/>
        <w:rPr>
          <w:sz w:val="20"/>
          <w:szCs w:val="20"/>
          <w:color w:val="auto"/>
        </w:rPr>
      </w:pPr>
      <w:r>
        <w:rPr>
          <w:rFonts w:ascii="Arial" w:cs="Arial" w:eastAsia="Arial" w:hAnsi="Arial"/>
          <w:sz w:val="11"/>
          <w:szCs w:val="11"/>
          <w:color w:val="auto"/>
        </w:rPr>
        <w:t>SHAREHOLDER DISTRIBUTION</w:t>
      </w:r>
    </w:p>
    <w:p>
      <w:pPr>
        <w:ind w:left="8"/>
        <w:spacing w:after="0" w:line="225" w:lineRule="auto"/>
        <w:rPr>
          <w:sz w:val="20"/>
          <w:szCs w:val="20"/>
          <w:color w:val="auto"/>
        </w:rPr>
      </w:pPr>
      <w:r>
        <w:rPr>
          <w:rFonts w:ascii="Arial" w:cs="Arial" w:eastAsia="Arial" w:hAnsi="Arial"/>
          <w:sz w:val="10"/>
          <w:szCs w:val="10"/>
          <w:color w:val="auto"/>
        </w:rPr>
        <w:t>Shareholder distribution is used to evaluate the level of cash distribution to shareholders. It is defined as the sum of Cash dividends paid</w:t>
      </w:r>
    </w:p>
    <w:p>
      <w:pPr>
        <w:ind w:left="8"/>
        <w:spacing w:after="0" w:line="225" w:lineRule="auto"/>
        <w:rPr>
          <w:sz w:val="20"/>
          <w:szCs w:val="20"/>
          <w:color w:val="auto"/>
        </w:rPr>
      </w:pPr>
      <w:r>
        <w:rPr>
          <w:rFonts w:ascii="Arial" w:cs="Arial" w:eastAsia="Arial" w:hAnsi="Arial"/>
          <w:sz w:val="10"/>
          <w:szCs w:val="10"/>
          <w:color w:val="auto"/>
        </w:rPr>
        <w:t>to Royal Dutch Shell plc shareholders and Repurchases of shares, both of which are reported in the Consolidated Statement of Cash</w:t>
      </w:r>
    </w:p>
    <w:p>
      <w:pPr>
        <w:ind w:left="8"/>
        <w:spacing w:after="0" w:line="237" w:lineRule="auto"/>
        <w:rPr>
          <w:sz w:val="20"/>
          <w:szCs w:val="20"/>
          <w:color w:val="auto"/>
        </w:rPr>
      </w:pPr>
      <w:r>
        <w:rPr>
          <w:rFonts w:ascii="Arial" w:cs="Arial" w:eastAsia="Arial" w:hAnsi="Arial"/>
          <w:sz w:val="10"/>
          <w:szCs w:val="10"/>
          <w:color w:val="auto"/>
        </w:rPr>
        <w:t>Flows.</w:t>
      </w:r>
    </w:p>
    <w:p>
      <w:pPr>
        <w:spacing w:after="0" w:line="6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92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Calculation of shareholder distribution</w:t>
            </w:r>
          </w:p>
        </w:tc>
        <w:tc>
          <w:tcPr>
            <w:tcW w:w="780" w:type="dxa"/>
            <w:vAlign w:val="bottom"/>
            <w:tcBorders>
              <w:top w:val="single" w:sz="8" w:color="CDCDCD"/>
            </w:tcBorders>
          </w:tcPr>
          <w:p>
            <w:pPr>
              <w:spacing w:after="0"/>
              <w:rPr>
                <w:sz w:val="13"/>
                <w:szCs w:val="13"/>
                <w:color w:val="auto"/>
              </w:rPr>
            </w:pPr>
          </w:p>
        </w:tc>
        <w:tc>
          <w:tcPr>
            <w:tcW w:w="960" w:type="dxa"/>
            <w:vAlign w:val="bottom"/>
            <w:tcBorders>
              <w:top w:val="single" w:sz="8" w:color="CDCDCD"/>
            </w:tcBorders>
          </w:tcPr>
          <w:p>
            <w:pPr>
              <w:spacing w:after="0"/>
              <w:rPr>
                <w:sz w:val="13"/>
                <w:szCs w:val="13"/>
                <w:color w:val="auto"/>
              </w:rPr>
            </w:pPr>
          </w:p>
        </w:tc>
        <w:tc>
          <w:tcPr>
            <w:tcW w:w="58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29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2019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2920" w:type="dxa"/>
            <w:vAlign w:val="bottom"/>
          </w:tcPr>
          <w:p>
            <w:pPr>
              <w:spacing w:after="0"/>
              <w:rPr>
                <w:sz w:val="20"/>
                <w:szCs w:val="20"/>
                <w:color w:val="auto"/>
              </w:rPr>
            </w:pPr>
            <w:r>
              <w:rPr>
                <w:rFonts w:ascii="Arial" w:cs="Arial" w:eastAsia="Arial" w:hAnsi="Arial"/>
                <w:sz w:val="10"/>
                <w:szCs w:val="10"/>
                <w:color w:val="auto"/>
              </w:rPr>
              <w:t>Cash dividends paid to Royal Dutch Shell plc shareholders</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(7,424)</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(15,198)</w:t>
            </w:r>
          </w:p>
        </w:tc>
        <w:tc>
          <w:tcPr>
            <w:tcW w:w="580" w:type="dxa"/>
            <w:vAlign w:val="bottom"/>
          </w:tcPr>
          <w:p>
            <w:pPr>
              <w:jc w:val="right"/>
              <w:spacing w:after="0"/>
              <w:rPr>
                <w:sz w:val="20"/>
                <w:szCs w:val="20"/>
                <w:color w:val="auto"/>
              </w:rPr>
            </w:pPr>
            <w:r>
              <w:rPr>
                <w:rFonts w:ascii="Arial" w:cs="Arial" w:eastAsia="Arial" w:hAnsi="Arial"/>
                <w:sz w:val="10"/>
                <w:szCs w:val="10"/>
                <w:color w:val="auto"/>
              </w:rPr>
              <w:t>(15,675)</w:t>
            </w:r>
          </w:p>
        </w:tc>
      </w:tr>
      <w:tr>
        <w:trPr>
          <w:trHeight w:val="123"/>
        </w:trPr>
        <w:tc>
          <w:tcPr>
            <w:tcW w:w="2920" w:type="dxa"/>
            <w:vAlign w:val="bottom"/>
          </w:tcPr>
          <w:p>
            <w:pPr>
              <w:spacing w:after="0"/>
              <w:rPr>
                <w:sz w:val="20"/>
                <w:szCs w:val="20"/>
                <w:color w:val="auto"/>
              </w:rPr>
            </w:pPr>
            <w:r>
              <w:rPr>
                <w:rFonts w:ascii="Arial" w:cs="Arial" w:eastAsia="Arial" w:hAnsi="Arial"/>
                <w:sz w:val="10"/>
                <w:szCs w:val="10"/>
                <w:color w:val="auto"/>
              </w:rPr>
              <w:t>Repurchases of shares</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rPr>
              <w:t>(1,702)</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(10,188)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(3,947)</w:t>
            </w:r>
          </w:p>
        </w:tc>
      </w:tr>
      <w:tr>
        <w:trPr>
          <w:trHeight w:val="123"/>
        </w:trPr>
        <w:tc>
          <w:tcPr>
            <w:tcW w:w="2920" w:type="dxa"/>
            <w:vAlign w:val="bottom"/>
          </w:tcPr>
          <w:p>
            <w:pPr>
              <w:spacing w:after="0"/>
              <w:rPr>
                <w:sz w:val="20"/>
                <w:szCs w:val="20"/>
                <w:color w:val="auto"/>
              </w:rPr>
            </w:pPr>
            <w:r>
              <w:rPr>
                <w:rFonts w:ascii="Arial" w:cs="Arial" w:eastAsia="Arial" w:hAnsi="Arial"/>
                <w:sz w:val="10"/>
                <w:szCs w:val="10"/>
                <w:color w:val="auto"/>
              </w:rPr>
              <w:t>Shareholder distribution</w:t>
            </w:r>
          </w:p>
        </w:tc>
        <w:tc>
          <w:tcPr>
            <w:tcW w:w="780" w:type="dxa"/>
            <w:vAlign w:val="bottom"/>
            <w:shd w:val="clear" w:color="auto" w:fill="D9D9D9"/>
          </w:tcPr>
          <w:p>
            <w:pPr>
              <w:jc w:val="right"/>
              <w:spacing w:after="0"/>
              <w:rPr>
                <w:sz w:val="20"/>
                <w:szCs w:val="20"/>
                <w:color w:val="auto"/>
              </w:rPr>
            </w:pPr>
            <w:r>
              <w:rPr>
                <w:rFonts w:ascii="Arial" w:cs="Arial" w:eastAsia="Arial" w:hAnsi="Arial"/>
                <w:sz w:val="10"/>
                <w:szCs w:val="10"/>
                <w:color w:val="auto"/>
              </w:rPr>
              <w:t>(9,126)</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(25,386)</w:t>
            </w:r>
          </w:p>
        </w:tc>
        <w:tc>
          <w:tcPr>
            <w:tcW w:w="580" w:type="dxa"/>
            <w:vAlign w:val="bottom"/>
          </w:tcPr>
          <w:p>
            <w:pPr>
              <w:jc w:val="right"/>
              <w:spacing w:after="0"/>
              <w:rPr>
                <w:sz w:val="20"/>
                <w:szCs w:val="20"/>
                <w:color w:val="auto"/>
              </w:rPr>
            </w:pPr>
            <w:r>
              <w:rPr>
                <w:rFonts w:ascii="Arial" w:cs="Arial" w:eastAsia="Arial" w:hAnsi="Arial"/>
                <w:sz w:val="10"/>
                <w:szCs w:val="10"/>
                <w:color w:val="auto"/>
              </w:rPr>
              <w:t>(19,622)</w:t>
            </w:r>
          </w:p>
        </w:tc>
      </w:tr>
    </w:tbl>
    <w:p>
      <w:pPr>
        <w:spacing w:after="0" w:line="193" w:lineRule="exact"/>
        <w:rPr>
          <w:sz w:val="20"/>
          <w:szCs w:val="20"/>
          <w:color w:val="auto"/>
        </w:rPr>
      </w:pPr>
    </w:p>
    <w:p>
      <w:pPr>
        <w:ind w:left="8"/>
        <w:spacing w:after="0"/>
        <w:rPr>
          <w:sz w:val="20"/>
          <w:szCs w:val="20"/>
          <w:color w:val="auto"/>
        </w:rPr>
      </w:pPr>
      <w:r>
        <w:rPr>
          <w:rFonts w:ascii="Arial" w:cs="Arial" w:eastAsia="Arial" w:hAnsi="Arial"/>
          <w:sz w:val="11"/>
          <w:szCs w:val="11"/>
          <w:color w:val="auto"/>
        </w:rPr>
        <w:t>DIVESTMENT PROCEEDS</w:t>
      </w:r>
    </w:p>
    <w:p>
      <w:pPr>
        <w:ind w:left="8"/>
        <w:spacing w:after="0" w:line="187" w:lineRule="auto"/>
        <w:rPr>
          <w:sz w:val="20"/>
          <w:szCs w:val="20"/>
          <w:color w:val="auto"/>
        </w:rPr>
      </w:pPr>
      <w:r>
        <w:rPr>
          <w:rFonts w:ascii="Arial" w:cs="Arial" w:eastAsia="Arial" w:hAnsi="Arial"/>
          <w:sz w:val="10"/>
          <w:szCs w:val="10"/>
          <w:color w:val="auto"/>
        </w:rPr>
        <w:t>Divestment proceeds represent cash received from divestment activities in the period. Management regularly monitors this measure as a</w:t>
      </w:r>
    </w:p>
    <w:p>
      <w:pPr>
        <w:ind w:left="8"/>
        <w:spacing w:after="0" w:line="237" w:lineRule="auto"/>
        <w:rPr>
          <w:sz w:val="20"/>
          <w:szCs w:val="20"/>
          <w:color w:val="auto"/>
        </w:rPr>
      </w:pPr>
      <w:r>
        <w:rPr>
          <w:rFonts w:ascii="Arial" w:cs="Arial" w:eastAsia="Arial" w:hAnsi="Arial"/>
          <w:sz w:val="10"/>
          <w:szCs w:val="10"/>
          <w:color w:val="auto"/>
        </w:rPr>
        <w:t>key lever to deliver sustainable cash flow.</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920" w:type="dxa"/>
            <w:vAlign w:val="bottom"/>
            <w:tcBorders>
              <w:top w:val="single" w:sz="8" w:color="CDCDCD"/>
            </w:tcBorders>
          </w:tcPr>
          <w:p>
            <w:pPr>
              <w:spacing w:after="0"/>
              <w:rPr>
                <w:sz w:val="20"/>
                <w:szCs w:val="20"/>
                <w:color w:val="auto"/>
              </w:rPr>
            </w:pPr>
            <w:r>
              <w:rPr>
                <w:rFonts w:ascii="Arial" w:cs="Arial" w:eastAsia="Arial" w:hAnsi="Arial"/>
                <w:sz w:val="10"/>
                <w:szCs w:val="10"/>
                <w:color w:val="auto"/>
              </w:rPr>
              <w:t>Calculation of Divestment proceeds</w:t>
            </w:r>
          </w:p>
        </w:tc>
        <w:tc>
          <w:tcPr>
            <w:tcW w:w="780" w:type="dxa"/>
            <w:vAlign w:val="bottom"/>
            <w:tcBorders>
              <w:top w:val="single" w:sz="8" w:color="CDCDCD"/>
            </w:tcBorders>
          </w:tcPr>
          <w:p>
            <w:pPr>
              <w:spacing w:after="0"/>
              <w:rPr>
                <w:sz w:val="13"/>
                <w:szCs w:val="13"/>
                <w:color w:val="auto"/>
              </w:rPr>
            </w:pPr>
          </w:p>
        </w:tc>
        <w:tc>
          <w:tcPr>
            <w:tcW w:w="960" w:type="dxa"/>
            <w:vAlign w:val="bottom"/>
            <w:tcBorders>
              <w:top w:val="single" w:sz="8" w:color="CDCDCD"/>
            </w:tcBorders>
          </w:tcPr>
          <w:p>
            <w:pPr>
              <w:spacing w:after="0"/>
              <w:rPr>
                <w:sz w:val="13"/>
                <w:szCs w:val="13"/>
                <w:color w:val="auto"/>
              </w:rPr>
            </w:pPr>
          </w:p>
        </w:tc>
        <w:tc>
          <w:tcPr>
            <w:tcW w:w="580" w:type="dxa"/>
            <w:vAlign w:val="bottom"/>
            <w:tcBorders>
              <w:top w:val="single" w:sz="8" w:color="CDCDCD"/>
            </w:tcBorders>
          </w:tcPr>
          <w:p>
            <w:pPr>
              <w:jc w:val="right"/>
              <w:spacing w:after="0"/>
              <w:rPr>
                <w:sz w:val="20"/>
                <w:szCs w:val="20"/>
                <w:color w:val="auto"/>
              </w:rPr>
            </w:pPr>
            <w:r>
              <w:rPr>
                <w:rFonts w:ascii="Arial" w:cs="Arial" w:eastAsia="Arial" w:hAnsi="Arial"/>
                <w:sz w:val="10"/>
                <w:szCs w:val="10"/>
                <w:color w:val="auto"/>
              </w:rPr>
              <w:t>$ million</w:t>
            </w:r>
          </w:p>
        </w:tc>
      </w:tr>
      <w:tr>
        <w:trPr>
          <w:trHeight w:val="127"/>
        </w:trPr>
        <w:tc>
          <w:tcPr>
            <w:tcW w:w="29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w:t>
            </w: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0"/>
                <w:szCs w:val="10"/>
                <w:color w:val="auto"/>
              </w:rPr>
              <w:t>2019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r>
      <w:tr>
        <w:trPr>
          <w:trHeight w:val="114"/>
        </w:trPr>
        <w:tc>
          <w:tcPr>
            <w:tcW w:w="2920" w:type="dxa"/>
            <w:vAlign w:val="bottom"/>
          </w:tcPr>
          <w:p>
            <w:pPr>
              <w:spacing w:after="0"/>
              <w:rPr>
                <w:sz w:val="20"/>
                <w:szCs w:val="20"/>
                <w:color w:val="auto"/>
              </w:rPr>
            </w:pPr>
            <w:r>
              <w:rPr>
                <w:rFonts w:ascii="Arial" w:cs="Arial" w:eastAsia="Arial" w:hAnsi="Arial"/>
                <w:sz w:val="10"/>
                <w:szCs w:val="10"/>
                <w:color w:val="auto"/>
                <w:w w:val="95"/>
              </w:rPr>
              <w:t>Proceeds from sale of property, plant and equipment and businesses</w:t>
            </w:r>
          </w:p>
        </w:tc>
        <w:tc>
          <w:tcPr>
            <w:tcW w:w="780" w:type="dxa"/>
            <w:vAlign w:val="bottom"/>
            <w:shd w:val="clear" w:color="auto" w:fill="D9D9D9"/>
          </w:tcPr>
          <w:p>
            <w:pPr>
              <w:jc w:val="right"/>
              <w:ind w:right="13"/>
              <w:spacing w:after="0"/>
              <w:rPr>
                <w:sz w:val="20"/>
                <w:szCs w:val="20"/>
                <w:color w:val="auto"/>
              </w:rPr>
            </w:pPr>
            <w:r>
              <w:rPr>
                <w:rFonts w:ascii="Arial" w:cs="Arial" w:eastAsia="Arial" w:hAnsi="Arial"/>
                <w:sz w:val="10"/>
                <w:szCs w:val="10"/>
                <w:color w:val="auto"/>
              </w:rPr>
              <w:t>2,489</w:t>
            </w:r>
          </w:p>
        </w:tc>
        <w:tc>
          <w:tcPr>
            <w:tcW w:w="960" w:type="dxa"/>
            <w:vAlign w:val="bottom"/>
          </w:tcPr>
          <w:p>
            <w:pPr>
              <w:jc w:val="right"/>
              <w:ind w:right="193"/>
              <w:spacing w:after="0"/>
              <w:rPr>
                <w:sz w:val="20"/>
                <w:szCs w:val="20"/>
                <w:color w:val="auto"/>
              </w:rPr>
            </w:pPr>
            <w:r>
              <w:rPr>
                <w:rFonts w:ascii="Arial" w:cs="Arial" w:eastAsia="Arial" w:hAnsi="Arial"/>
                <w:sz w:val="10"/>
                <w:szCs w:val="10"/>
                <w:color w:val="auto"/>
              </w:rPr>
              <w:t>4,803</w:t>
            </w:r>
          </w:p>
        </w:tc>
        <w:tc>
          <w:tcPr>
            <w:tcW w:w="580" w:type="dxa"/>
            <w:vAlign w:val="bottom"/>
          </w:tcPr>
          <w:p>
            <w:pPr>
              <w:jc w:val="right"/>
              <w:spacing w:after="0"/>
              <w:rPr>
                <w:sz w:val="20"/>
                <w:szCs w:val="20"/>
                <w:color w:val="auto"/>
              </w:rPr>
            </w:pPr>
            <w:r>
              <w:rPr>
                <w:rFonts w:ascii="Arial" w:cs="Arial" w:eastAsia="Arial" w:hAnsi="Arial"/>
                <w:sz w:val="10"/>
                <w:szCs w:val="10"/>
                <w:color w:val="auto"/>
              </w:rPr>
              <w:t>4,366</w:t>
            </w:r>
          </w:p>
        </w:tc>
      </w:tr>
      <w:tr>
        <w:trPr>
          <w:trHeight w:val="123"/>
        </w:trPr>
        <w:tc>
          <w:tcPr>
            <w:tcW w:w="2920" w:type="dxa"/>
            <w:vAlign w:val="bottom"/>
          </w:tcPr>
          <w:p>
            <w:pPr>
              <w:spacing w:after="0"/>
              <w:rPr>
                <w:sz w:val="20"/>
                <w:szCs w:val="20"/>
                <w:color w:val="auto"/>
              </w:rPr>
            </w:pPr>
            <w:r>
              <w:rPr>
                <w:rFonts w:ascii="Arial" w:cs="Arial" w:eastAsia="Arial" w:hAnsi="Arial"/>
                <w:sz w:val="10"/>
                <w:szCs w:val="10"/>
                <w:color w:val="auto"/>
              </w:rPr>
              <w:t>Proceeds from sale of joint ventures and associates [A]</w:t>
            </w:r>
          </w:p>
        </w:tc>
        <w:tc>
          <w:tcPr>
            <w:tcW w:w="780" w:type="dxa"/>
            <w:vAlign w:val="bottom"/>
            <w:shd w:val="clear" w:color="auto" w:fill="D9D9D9"/>
          </w:tcPr>
          <w:p>
            <w:pPr>
              <w:jc w:val="right"/>
              <w:ind w:right="13"/>
              <w:spacing w:after="0"/>
              <w:rPr>
                <w:sz w:val="20"/>
                <w:szCs w:val="20"/>
                <w:color w:val="auto"/>
              </w:rPr>
            </w:pPr>
            <w:r>
              <w:rPr>
                <w:rFonts w:ascii="Arial" w:cs="Arial" w:eastAsia="Arial" w:hAnsi="Arial"/>
                <w:sz w:val="10"/>
                <w:szCs w:val="10"/>
                <w:color w:val="auto"/>
              </w:rPr>
              <w:t>1,240</w:t>
            </w:r>
          </w:p>
        </w:tc>
        <w:tc>
          <w:tcPr>
            <w:tcW w:w="960" w:type="dxa"/>
            <w:vAlign w:val="bottom"/>
          </w:tcPr>
          <w:p>
            <w:pPr>
              <w:jc w:val="right"/>
              <w:ind w:right="193"/>
              <w:spacing w:after="0"/>
              <w:rPr>
                <w:sz w:val="20"/>
                <w:szCs w:val="20"/>
                <w:color w:val="auto"/>
              </w:rPr>
            </w:pPr>
            <w:r>
              <w:rPr>
                <w:rFonts w:ascii="Arial" w:cs="Arial" w:eastAsia="Arial" w:hAnsi="Arial"/>
                <w:sz w:val="10"/>
                <w:szCs w:val="10"/>
                <w:color w:val="auto"/>
              </w:rPr>
              <w:t>2,599</w:t>
            </w:r>
          </w:p>
        </w:tc>
        <w:tc>
          <w:tcPr>
            <w:tcW w:w="580" w:type="dxa"/>
            <w:vAlign w:val="bottom"/>
          </w:tcPr>
          <w:p>
            <w:pPr>
              <w:jc w:val="right"/>
              <w:spacing w:after="0"/>
              <w:rPr>
                <w:sz w:val="20"/>
                <w:szCs w:val="20"/>
                <w:color w:val="auto"/>
              </w:rPr>
            </w:pPr>
            <w:r>
              <w:rPr>
                <w:rFonts w:ascii="Arial" w:cs="Arial" w:eastAsia="Arial" w:hAnsi="Arial"/>
                <w:sz w:val="10"/>
                <w:szCs w:val="10"/>
                <w:color w:val="auto"/>
              </w:rPr>
              <w:t>1,594</w:t>
            </w: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Proceeds from sale of equity securities</w:t>
            </w:r>
          </w:p>
        </w:tc>
        <w:tc>
          <w:tcPr>
            <w:tcW w:w="780" w:type="dxa"/>
            <w:vAlign w:val="bottom"/>
            <w:tcBorders>
              <w:bottom w:val="single" w:sz="8" w:color="auto"/>
            </w:tcBorders>
            <w:shd w:val="clear" w:color="auto" w:fill="D9D9D9"/>
          </w:tcPr>
          <w:p>
            <w:pPr>
              <w:jc w:val="right"/>
              <w:ind w:right="13"/>
              <w:spacing w:after="0"/>
              <w:rPr>
                <w:sz w:val="20"/>
                <w:szCs w:val="20"/>
                <w:color w:val="auto"/>
              </w:rPr>
            </w:pPr>
            <w:r>
              <w:rPr>
                <w:rFonts w:ascii="Arial" w:cs="Arial" w:eastAsia="Arial" w:hAnsi="Arial"/>
                <w:sz w:val="10"/>
                <w:szCs w:val="10"/>
                <w:color w:val="auto"/>
              </w:rPr>
              <w:t>281</w:t>
            </w: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0"/>
                <w:szCs w:val="10"/>
                <w:color w:val="auto"/>
              </w:rPr>
              <w:t>469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4,505</w:t>
            </w:r>
          </w:p>
        </w:tc>
      </w:tr>
      <w:tr>
        <w:trPr>
          <w:trHeight w:val="123"/>
        </w:trPr>
        <w:tc>
          <w:tcPr>
            <w:tcW w:w="2920" w:type="dxa"/>
            <w:vAlign w:val="bottom"/>
          </w:tcPr>
          <w:p>
            <w:pPr>
              <w:spacing w:after="0"/>
              <w:rPr>
                <w:sz w:val="20"/>
                <w:szCs w:val="20"/>
                <w:color w:val="auto"/>
              </w:rPr>
            </w:pPr>
            <w:r>
              <w:rPr>
                <w:rFonts w:ascii="Arial" w:cs="Arial" w:eastAsia="Arial" w:hAnsi="Arial"/>
                <w:sz w:val="10"/>
                <w:szCs w:val="10"/>
                <w:color w:val="auto"/>
              </w:rPr>
              <w:t>Divestment proceeds</w:t>
            </w:r>
          </w:p>
        </w:tc>
        <w:tc>
          <w:tcPr>
            <w:tcW w:w="780" w:type="dxa"/>
            <w:vAlign w:val="bottom"/>
            <w:shd w:val="clear" w:color="auto" w:fill="D9D9D9"/>
          </w:tcPr>
          <w:p>
            <w:pPr>
              <w:jc w:val="right"/>
              <w:ind w:right="13"/>
              <w:spacing w:after="0"/>
              <w:rPr>
                <w:sz w:val="20"/>
                <w:szCs w:val="20"/>
                <w:color w:val="auto"/>
              </w:rPr>
            </w:pPr>
            <w:r>
              <w:rPr>
                <w:rFonts w:ascii="Arial" w:cs="Arial" w:eastAsia="Arial" w:hAnsi="Arial"/>
                <w:sz w:val="10"/>
                <w:szCs w:val="10"/>
                <w:color w:val="auto"/>
              </w:rPr>
              <w:t>4,010</w:t>
            </w:r>
          </w:p>
        </w:tc>
        <w:tc>
          <w:tcPr>
            <w:tcW w:w="960" w:type="dxa"/>
            <w:vAlign w:val="bottom"/>
          </w:tcPr>
          <w:p>
            <w:pPr>
              <w:jc w:val="right"/>
              <w:ind w:right="193"/>
              <w:spacing w:after="0"/>
              <w:rPr>
                <w:sz w:val="20"/>
                <w:szCs w:val="20"/>
                <w:color w:val="auto"/>
              </w:rPr>
            </w:pPr>
            <w:r>
              <w:rPr>
                <w:rFonts w:ascii="Arial" w:cs="Arial" w:eastAsia="Arial" w:hAnsi="Arial"/>
                <w:sz w:val="10"/>
                <w:szCs w:val="10"/>
                <w:color w:val="auto"/>
              </w:rPr>
              <w:t>7,871</w:t>
            </w:r>
          </w:p>
        </w:tc>
        <w:tc>
          <w:tcPr>
            <w:tcW w:w="580" w:type="dxa"/>
            <w:vAlign w:val="bottom"/>
          </w:tcPr>
          <w:p>
            <w:pPr>
              <w:jc w:val="right"/>
              <w:spacing w:after="0"/>
              <w:rPr>
                <w:sz w:val="20"/>
                <w:szCs w:val="20"/>
                <w:color w:val="auto"/>
              </w:rPr>
            </w:pPr>
            <w:r>
              <w:rPr>
                <w:rFonts w:ascii="Arial" w:cs="Arial" w:eastAsia="Arial" w:hAnsi="Arial"/>
                <w:sz w:val="10"/>
                <w:szCs w:val="10"/>
                <w:color w:val="auto"/>
              </w:rPr>
              <w:t>10,465</w:t>
            </w:r>
          </w:p>
        </w:tc>
      </w:tr>
      <w:tr>
        <w:trPr>
          <w:trHeight w:val="118"/>
        </w:trPr>
        <w:tc>
          <w:tcPr>
            <w:tcW w:w="2920" w:type="dxa"/>
            <w:vAlign w:val="bottom"/>
          </w:tcPr>
          <w:p>
            <w:pPr>
              <w:spacing w:after="0"/>
              <w:rPr>
                <w:sz w:val="20"/>
                <w:szCs w:val="20"/>
                <w:color w:val="auto"/>
              </w:rPr>
            </w:pPr>
            <w:r>
              <w:rPr>
                <w:rFonts w:ascii="Arial" w:cs="Arial" w:eastAsia="Arial" w:hAnsi="Arial"/>
                <w:sz w:val="10"/>
                <w:szCs w:val="10"/>
                <w:color w:val="auto"/>
              </w:rPr>
              <w:t>Of which:</w:t>
            </w: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9"/>
        </w:trPr>
        <w:tc>
          <w:tcPr>
            <w:tcW w:w="2920" w:type="dxa"/>
            <w:vAlign w:val="bottom"/>
          </w:tcPr>
          <w:p>
            <w:pPr>
              <w:spacing w:after="0"/>
              <w:rPr>
                <w:sz w:val="20"/>
                <w:szCs w:val="20"/>
                <w:color w:val="auto"/>
              </w:rPr>
            </w:pPr>
            <w:r>
              <w:rPr>
                <w:rFonts w:ascii="Arial" w:cs="Arial" w:eastAsia="Arial" w:hAnsi="Arial"/>
                <w:sz w:val="10"/>
                <w:szCs w:val="10"/>
                <w:color w:val="auto"/>
              </w:rPr>
              <w:t>Integrated Gas</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503</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723</w:t>
            </w:r>
          </w:p>
        </w:tc>
        <w:tc>
          <w:tcPr>
            <w:tcW w:w="580" w:type="dxa"/>
            <w:vAlign w:val="bottom"/>
          </w:tcPr>
          <w:p>
            <w:pPr>
              <w:jc w:val="right"/>
              <w:spacing w:after="0"/>
              <w:rPr>
                <w:sz w:val="20"/>
                <w:szCs w:val="20"/>
                <w:color w:val="auto"/>
              </w:rPr>
            </w:pPr>
            <w:r>
              <w:rPr>
                <w:rFonts w:ascii="Arial" w:cs="Arial" w:eastAsia="Arial" w:hAnsi="Arial"/>
                <w:sz w:val="10"/>
                <w:szCs w:val="10"/>
                <w:color w:val="auto"/>
              </w:rPr>
              <w:t>3156</w:t>
            </w:r>
          </w:p>
        </w:tc>
      </w:tr>
      <w:tr>
        <w:trPr>
          <w:trHeight w:val="123"/>
        </w:trPr>
        <w:tc>
          <w:tcPr>
            <w:tcW w:w="2920" w:type="dxa"/>
            <w:vAlign w:val="bottom"/>
          </w:tcPr>
          <w:p>
            <w:pPr>
              <w:spacing w:after="0"/>
              <w:rPr>
                <w:sz w:val="20"/>
                <w:szCs w:val="20"/>
                <w:color w:val="auto"/>
              </w:rPr>
            </w:pPr>
            <w:r>
              <w:rPr>
                <w:rFonts w:ascii="Arial" w:cs="Arial" w:eastAsia="Arial" w:hAnsi="Arial"/>
                <w:sz w:val="10"/>
                <w:szCs w:val="10"/>
                <w:color w:val="auto"/>
              </w:rPr>
              <w:t>Upstream</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1909</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5384</w:t>
            </w:r>
          </w:p>
        </w:tc>
        <w:tc>
          <w:tcPr>
            <w:tcW w:w="580" w:type="dxa"/>
            <w:vAlign w:val="bottom"/>
          </w:tcPr>
          <w:p>
            <w:pPr>
              <w:jc w:val="right"/>
              <w:spacing w:after="0"/>
              <w:rPr>
                <w:sz w:val="20"/>
                <w:szCs w:val="20"/>
                <w:color w:val="auto"/>
              </w:rPr>
            </w:pPr>
            <w:r>
              <w:rPr>
                <w:rFonts w:ascii="Arial" w:cs="Arial" w:eastAsia="Arial" w:hAnsi="Arial"/>
                <w:sz w:val="10"/>
                <w:szCs w:val="10"/>
                <w:color w:val="auto"/>
              </w:rPr>
              <w:t>3364</w:t>
            </w: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Oil Products</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1368</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1517</w:t>
            </w:r>
          </w:p>
        </w:tc>
        <w:tc>
          <w:tcPr>
            <w:tcW w:w="580" w:type="dxa"/>
            <w:vAlign w:val="bottom"/>
          </w:tcPr>
          <w:p>
            <w:pPr>
              <w:jc w:val="right"/>
              <w:spacing w:after="0"/>
              <w:rPr>
                <w:sz w:val="20"/>
                <w:szCs w:val="20"/>
                <w:color w:val="auto"/>
              </w:rPr>
            </w:pPr>
            <w:r>
              <w:rPr>
                <w:rFonts w:ascii="Arial" w:cs="Arial" w:eastAsia="Arial" w:hAnsi="Arial"/>
                <w:sz w:val="10"/>
                <w:szCs w:val="10"/>
                <w:color w:val="auto"/>
              </w:rPr>
              <w:t>540</w:t>
            </w:r>
          </w:p>
        </w:tc>
      </w:tr>
      <w:tr>
        <w:trPr>
          <w:trHeight w:val="126"/>
        </w:trPr>
        <w:tc>
          <w:tcPr>
            <w:tcW w:w="2920" w:type="dxa"/>
            <w:vAlign w:val="bottom"/>
          </w:tcPr>
          <w:p>
            <w:pPr>
              <w:spacing w:after="0"/>
              <w:rPr>
                <w:sz w:val="20"/>
                <w:szCs w:val="20"/>
                <w:color w:val="auto"/>
              </w:rPr>
            </w:pPr>
            <w:r>
              <w:rPr>
                <w:rFonts w:ascii="Arial" w:cs="Arial" w:eastAsia="Arial" w:hAnsi="Arial"/>
                <w:sz w:val="10"/>
                <w:szCs w:val="10"/>
                <w:color w:val="auto"/>
              </w:rPr>
              <w:t>Chemicals</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26</w:t>
            </w:r>
          </w:p>
        </w:tc>
        <w:tc>
          <w:tcPr>
            <w:tcW w:w="960" w:type="dxa"/>
            <w:vAlign w:val="bottom"/>
          </w:tcPr>
          <w:p>
            <w:pPr>
              <w:jc w:val="right"/>
              <w:ind w:right="153"/>
              <w:spacing w:after="0"/>
              <w:rPr>
                <w:sz w:val="20"/>
                <w:szCs w:val="20"/>
                <w:color w:val="auto"/>
              </w:rPr>
            </w:pPr>
            <w:r>
              <w:rPr>
                <w:rFonts w:ascii="Arial" w:cs="Arial" w:eastAsia="Arial" w:hAnsi="Arial"/>
                <w:sz w:val="10"/>
                <w:szCs w:val="10"/>
                <w:color w:val="auto"/>
              </w:rPr>
              <w:t>22</w:t>
            </w:r>
          </w:p>
        </w:tc>
        <w:tc>
          <w:tcPr>
            <w:tcW w:w="58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34"/>
        </w:trPr>
        <w:tc>
          <w:tcPr>
            <w:tcW w:w="2920" w:type="dxa"/>
            <w:vAlign w:val="bottom"/>
          </w:tcPr>
          <w:p>
            <w:pPr>
              <w:ind w:left="80"/>
              <w:spacing w:after="0"/>
              <w:rPr>
                <w:sz w:val="20"/>
                <w:szCs w:val="20"/>
                <w:color w:val="auto"/>
              </w:rPr>
            </w:pPr>
            <w:r>
              <w:rPr>
                <w:rFonts w:ascii="Arial" w:cs="Arial" w:eastAsia="Arial" w:hAnsi="Arial"/>
                <w:sz w:val="10"/>
                <w:szCs w:val="10"/>
                <w:color w:val="auto"/>
              </w:rPr>
              <w:t>Corporate</w:t>
            </w:r>
          </w:p>
        </w:tc>
        <w:tc>
          <w:tcPr>
            <w:tcW w:w="780" w:type="dxa"/>
            <w:vAlign w:val="bottom"/>
            <w:shd w:val="clear" w:color="auto" w:fill="D9D9D9"/>
          </w:tcPr>
          <w:p>
            <w:pPr>
              <w:jc w:val="right"/>
              <w:spacing w:after="0"/>
              <w:rPr>
                <w:sz w:val="20"/>
                <w:szCs w:val="20"/>
                <w:color w:val="auto"/>
              </w:rPr>
            </w:pPr>
            <w:r>
              <w:rPr>
                <w:rFonts w:ascii="Arial" w:cs="Arial" w:eastAsia="Arial" w:hAnsi="Arial"/>
                <w:sz w:val="8"/>
                <w:szCs w:val="8"/>
                <w:color w:val="auto"/>
              </w:rPr>
              <w:t>205</w:t>
            </w:r>
          </w:p>
        </w:tc>
        <w:tc>
          <w:tcPr>
            <w:tcW w:w="960" w:type="dxa"/>
            <w:vAlign w:val="bottom"/>
          </w:tcPr>
          <w:p>
            <w:pPr>
              <w:jc w:val="right"/>
              <w:ind w:right="193"/>
              <w:spacing w:after="0"/>
              <w:rPr>
                <w:sz w:val="20"/>
                <w:szCs w:val="20"/>
                <w:color w:val="auto"/>
              </w:rPr>
            </w:pPr>
            <w:r>
              <w:rPr>
                <w:rFonts w:ascii="Arial" w:cs="Arial" w:eastAsia="Arial" w:hAnsi="Arial"/>
                <w:sz w:val="8"/>
                <w:szCs w:val="8"/>
                <w:color w:val="auto"/>
              </w:rPr>
              <w:t>225</w:t>
            </w:r>
          </w:p>
        </w:tc>
        <w:tc>
          <w:tcPr>
            <w:tcW w:w="580" w:type="dxa"/>
            <w:vAlign w:val="bottom"/>
          </w:tcPr>
          <w:p>
            <w:pPr>
              <w:jc w:val="right"/>
              <w:spacing w:after="0"/>
              <w:rPr>
                <w:sz w:val="20"/>
                <w:szCs w:val="20"/>
                <w:color w:val="auto"/>
              </w:rPr>
            </w:pPr>
            <w:r>
              <w:rPr>
                <w:rFonts w:ascii="Arial" w:cs="Arial" w:eastAsia="Arial" w:hAnsi="Arial"/>
                <w:sz w:val="8"/>
                <w:szCs w:val="8"/>
                <w:color w:val="auto"/>
              </w:rPr>
              <w:t>3,405</w:t>
            </w:r>
          </w:p>
        </w:tc>
      </w:tr>
    </w:tbl>
    <w:p>
      <w:pPr>
        <w:spacing w:after="0" w:line="65" w:lineRule="exact"/>
        <w:rPr>
          <w:sz w:val="20"/>
          <w:szCs w:val="20"/>
          <w:color w:val="auto"/>
        </w:rPr>
      </w:pPr>
    </w:p>
    <w:p>
      <w:pPr>
        <w:ind w:left="8"/>
        <w:spacing w:after="0"/>
        <w:rPr>
          <w:sz w:val="20"/>
          <w:szCs w:val="20"/>
          <w:color w:val="auto"/>
        </w:rPr>
      </w:pPr>
      <w:r>
        <w:rPr>
          <w:rFonts w:ascii="Arial" w:cs="Arial" w:eastAsia="Arial" w:hAnsi="Arial"/>
          <w:sz w:val="7"/>
          <w:szCs w:val="7"/>
          <w:color w:val="auto"/>
        </w:rPr>
        <w:t>[A] includes $313 million (2019: $155 million) of long-term of loan repayments received from joint ventures and associates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640" w:type="dxa"/>
            <w:vAlign w:val="bottom"/>
          </w:tcPr>
          <w:p>
            <w:pPr>
              <w:ind w:left="40"/>
              <w:spacing w:after="0"/>
              <w:rPr>
                <w:sz w:val="20"/>
                <w:szCs w:val="20"/>
                <w:color w:val="auto"/>
              </w:rPr>
            </w:pPr>
            <w:r>
              <w:rPr>
                <w:rFonts w:ascii="Arial" w:cs="Arial" w:eastAsia="Arial" w:hAnsi="Arial"/>
                <w:sz w:val="7"/>
                <w:szCs w:val="7"/>
                <w:color w:val="auto"/>
              </w:rPr>
              <w:t>ADDITIONAL INFORMATION SHELL FORM 20-F 2020</w:t>
            </w:r>
          </w:p>
        </w:tc>
        <w:tc>
          <w:tcPr>
            <w:tcW w:w="7660" w:type="dxa"/>
            <w:vAlign w:val="bottom"/>
          </w:tcPr>
          <w:p>
            <w:pPr>
              <w:jc w:val="right"/>
              <w:ind w:right="5624"/>
              <w:spacing w:after="0"/>
              <w:rPr>
                <w:sz w:val="20"/>
                <w:szCs w:val="20"/>
                <w:color w:val="auto"/>
              </w:rPr>
            </w:pPr>
            <w:r>
              <w:rPr>
                <w:rFonts w:ascii="Arial" w:cs="Arial" w:eastAsia="Arial" w:hAnsi="Arial"/>
                <w:sz w:val="7"/>
                <w:szCs w:val="7"/>
                <w:color w:val="auto"/>
              </w:rPr>
              <w:t>243</w:t>
            </w:r>
          </w:p>
        </w:tc>
      </w:tr>
      <w:tr>
        <w:trPr>
          <w:trHeight w:val="313"/>
        </w:trPr>
        <w:tc>
          <w:tcPr>
            <w:tcW w:w="364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color w:val="auto"/>
        </w:rPr>
        <w:t>INDEX TO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Exhibit No.</w:t>
            </w:r>
          </w:p>
        </w:tc>
        <w:tc>
          <w:tcPr>
            <w:tcW w:w="4460" w:type="dxa"/>
            <w:vAlign w:val="bottom"/>
            <w:tcBorders>
              <w:bottom w:val="single" w:sz="8" w:color="auto"/>
            </w:tcBorders>
            <w:gridSpan w:val="6"/>
          </w:tcPr>
          <w:p>
            <w:pPr>
              <w:spacing w:after="0"/>
              <w:rPr>
                <w:sz w:val="20"/>
                <w:szCs w:val="20"/>
                <w:color w:val="auto"/>
              </w:rPr>
            </w:pPr>
            <w:r>
              <w:rPr>
                <w:rFonts w:ascii="Arial" w:cs="Arial" w:eastAsia="Arial" w:hAnsi="Arial"/>
                <w:sz w:val="10"/>
                <w:szCs w:val="10"/>
                <w:color w:val="auto"/>
              </w:rPr>
              <w:t>Description</w:t>
            </w: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19"/>
        </w:trPr>
        <w:tc>
          <w:tcPr>
            <w:tcW w:w="1060" w:type="dxa"/>
            <w:vAlign w:val="bottom"/>
          </w:tcPr>
          <w:p>
            <w:pPr>
              <w:spacing w:after="0" w:line="119" w:lineRule="exact"/>
              <w:rPr>
                <w:sz w:val="20"/>
                <w:szCs w:val="20"/>
                <w:color w:val="auto"/>
              </w:rPr>
            </w:pPr>
            <w:r>
              <w:rPr>
                <w:rFonts w:ascii="Arial" w:cs="Arial" w:eastAsia="Arial" w:hAnsi="Arial"/>
                <w:sz w:val="12"/>
                <w:szCs w:val="12"/>
                <w:color w:val="auto"/>
              </w:rPr>
              <w:t>1.1</w:t>
            </w:r>
          </w:p>
        </w:tc>
        <w:tc>
          <w:tcPr>
            <w:tcW w:w="10240" w:type="dxa"/>
            <w:vAlign w:val="bottom"/>
            <w:gridSpan w:val="19"/>
          </w:tcPr>
          <w:p>
            <w:pPr>
              <w:spacing w:after="0" w:line="119" w:lineRule="exact"/>
              <w:rPr>
                <w:rFonts w:ascii="Arial" w:cs="Arial" w:eastAsia="Arial" w:hAnsi="Arial"/>
                <w:sz w:val="12"/>
                <w:szCs w:val="12"/>
                <w:color w:val="auto"/>
                <w:w w:val="93"/>
              </w:rPr>
            </w:pPr>
            <w:hyperlink r:id="rId633">
              <w:r>
                <w:rPr>
                  <w:rFonts w:ascii="Arial" w:cs="Arial" w:eastAsia="Arial" w:hAnsi="Arial"/>
                  <w:sz w:val="12"/>
                  <w:szCs w:val="12"/>
                  <w:color w:val="auto"/>
                  <w:w w:val="93"/>
                </w:rPr>
                <w:t>Memorandum of Association of Royal Dutch Shell plc, together with a special resolution of Royal Dutch Shell plc dated May 18, 2010, (incorporated by reference to Exhibit 4.12 to the Registration Statement</w:t>
              </w:r>
            </w:hyperlink>
          </w:p>
        </w:tc>
      </w:tr>
      <w:tr>
        <w:trPr>
          <w:trHeight w:val="97"/>
        </w:trPr>
        <w:tc>
          <w:tcPr>
            <w:tcW w:w="1060" w:type="dxa"/>
            <w:vAlign w:val="bottom"/>
          </w:tcPr>
          <w:p>
            <w:pPr>
              <w:spacing w:after="0"/>
              <w:rPr>
                <w:sz w:val="8"/>
                <w:szCs w:val="8"/>
                <w:color w:val="auto"/>
              </w:rPr>
            </w:pPr>
          </w:p>
        </w:tc>
        <w:tc>
          <w:tcPr>
            <w:tcW w:w="6720" w:type="dxa"/>
            <w:vAlign w:val="bottom"/>
            <w:tcBorders>
              <w:top w:val="single" w:sz="8" w:color="auto"/>
              <w:bottom w:val="single" w:sz="8" w:color="auto"/>
            </w:tcBorders>
            <w:gridSpan w:val="9"/>
          </w:tcPr>
          <w:p>
            <w:pPr>
              <w:spacing w:after="0" w:line="97" w:lineRule="exact"/>
              <w:rPr>
                <w:rFonts w:ascii="Arial" w:cs="Arial" w:eastAsia="Arial" w:hAnsi="Arial"/>
                <w:sz w:val="11"/>
                <w:szCs w:val="11"/>
                <w:color w:val="auto"/>
                <w:w w:val="99"/>
              </w:rPr>
            </w:pPr>
            <w:hyperlink r:id="rId633">
              <w:r>
                <w:rPr>
                  <w:rFonts w:ascii="Arial" w:cs="Arial" w:eastAsia="Arial" w:hAnsi="Arial"/>
                  <w:sz w:val="11"/>
                  <w:szCs w:val="11"/>
                  <w:color w:val="auto"/>
                  <w:w w:val="99"/>
                </w:rPr>
                <w:t>on Form F-3 (File No. 333-177588) of Royal Dutch Shell plc filed with the US Securities and Exchange Commission on October 28, 2011).</w:t>
              </w:r>
            </w:hyperlink>
          </w:p>
        </w:tc>
        <w:tc>
          <w:tcPr>
            <w:tcW w:w="3280" w:type="dxa"/>
            <w:vAlign w:val="bottom"/>
            <w:tcBorders>
              <w:top w:val="single" w:sz="8" w:color="auto"/>
            </w:tcBorders>
            <w:gridSpan w:val="7"/>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r>
      <w:tr>
        <w:trPr>
          <w:trHeight w:val="169"/>
        </w:trPr>
        <w:tc>
          <w:tcPr>
            <w:tcW w:w="1060" w:type="dxa"/>
            <w:vAlign w:val="bottom"/>
          </w:tcPr>
          <w:p>
            <w:pPr>
              <w:spacing w:after="0"/>
              <w:rPr>
                <w:sz w:val="20"/>
                <w:szCs w:val="20"/>
                <w:color w:val="auto"/>
              </w:rPr>
            </w:pPr>
            <w:r>
              <w:rPr>
                <w:rFonts w:ascii="Arial" w:cs="Arial" w:eastAsia="Arial" w:hAnsi="Arial"/>
                <w:sz w:val="12"/>
                <w:szCs w:val="12"/>
                <w:color w:val="auto"/>
              </w:rPr>
              <w:t>1.2</w:t>
            </w:r>
          </w:p>
        </w:tc>
        <w:tc>
          <w:tcPr>
            <w:tcW w:w="10240" w:type="dxa"/>
            <w:vAlign w:val="bottom"/>
            <w:gridSpan w:val="19"/>
          </w:tcPr>
          <w:p>
            <w:pPr>
              <w:spacing w:after="0"/>
              <w:rPr>
                <w:rFonts w:ascii="Arial" w:cs="Arial" w:eastAsia="Arial" w:hAnsi="Arial"/>
                <w:sz w:val="12"/>
                <w:szCs w:val="12"/>
                <w:color w:val="auto"/>
                <w:w w:val="95"/>
              </w:rPr>
            </w:pPr>
            <w:hyperlink r:id="rId634">
              <w:r>
                <w:rPr>
                  <w:rFonts w:ascii="Arial" w:cs="Arial" w:eastAsia="Arial" w:hAnsi="Arial"/>
                  <w:sz w:val="12"/>
                  <w:szCs w:val="12"/>
                  <w:color w:val="auto"/>
                  <w:w w:val="95"/>
                </w:rPr>
                <w:t>Articles of Association of Royal Dutch Shell plc, dated May 21, 2019 (incorporated by reference to Exhibit 1 to the Form 6-K (File No. 001-32575) of Royal Dutch Shell plc filed with the US Securities and</w:t>
              </w:r>
            </w:hyperlink>
          </w:p>
        </w:tc>
      </w:tr>
      <w:tr>
        <w:trPr>
          <w:trHeight w:val="97"/>
        </w:trPr>
        <w:tc>
          <w:tcPr>
            <w:tcW w:w="1060" w:type="dxa"/>
            <w:vAlign w:val="bottom"/>
          </w:tcPr>
          <w:p>
            <w:pPr>
              <w:spacing w:after="0"/>
              <w:rPr>
                <w:sz w:val="8"/>
                <w:szCs w:val="8"/>
                <w:color w:val="auto"/>
              </w:rPr>
            </w:pPr>
          </w:p>
        </w:tc>
        <w:tc>
          <w:tcPr>
            <w:tcW w:w="2200" w:type="dxa"/>
            <w:vAlign w:val="bottom"/>
            <w:tcBorders>
              <w:top w:val="single" w:sz="8" w:color="auto"/>
              <w:bottom w:val="single" w:sz="8" w:color="auto"/>
            </w:tcBorders>
            <w:gridSpan w:val="2"/>
          </w:tcPr>
          <w:p>
            <w:pPr>
              <w:spacing w:after="0" w:line="97" w:lineRule="exact"/>
              <w:rPr>
                <w:rFonts w:ascii="Arial" w:cs="Arial" w:eastAsia="Arial" w:hAnsi="Arial"/>
                <w:sz w:val="11"/>
                <w:szCs w:val="11"/>
                <w:color w:val="auto"/>
                <w:w w:val="97"/>
              </w:rPr>
            </w:pPr>
            <w:hyperlink r:id="rId634">
              <w:r>
                <w:rPr>
                  <w:rFonts w:ascii="Arial" w:cs="Arial" w:eastAsia="Arial" w:hAnsi="Arial"/>
                  <w:sz w:val="11"/>
                  <w:szCs w:val="11"/>
                  <w:color w:val="auto"/>
                  <w:w w:val="97"/>
                </w:rPr>
                <w:t>Exchange Commission on October 28, 2019).</w:t>
              </w:r>
            </w:hyperlink>
          </w:p>
        </w:tc>
        <w:tc>
          <w:tcPr>
            <w:tcW w:w="2260" w:type="dxa"/>
            <w:vAlign w:val="bottom"/>
            <w:tcBorders>
              <w:top w:val="single" w:sz="8" w:color="auto"/>
            </w:tcBorders>
            <w:gridSpan w:val="4"/>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940" w:type="dxa"/>
            <w:vAlign w:val="bottom"/>
            <w:tcBorders>
              <w:top w:val="single" w:sz="8" w:color="auto"/>
            </w:tcBorders>
          </w:tcPr>
          <w:p>
            <w:pPr>
              <w:spacing w:after="0"/>
              <w:rPr>
                <w:sz w:val="8"/>
                <w:szCs w:val="8"/>
                <w:color w:val="auto"/>
              </w:rPr>
            </w:pPr>
          </w:p>
        </w:tc>
        <w:tc>
          <w:tcPr>
            <w:tcW w:w="28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2"/>
                <w:szCs w:val="12"/>
                <w:color w:val="auto"/>
              </w:rPr>
              <w:t>2.1</w:t>
            </w:r>
          </w:p>
        </w:tc>
        <w:tc>
          <w:tcPr>
            <w:tcW w:w="4460" w:type="dxa"/>
            <w:vAlign w:val="bottom"/>
            <w:gridSpan w:val="6"/>
          </w:tcPr>
          <w:p>
            <w:pPr>
              <w:spacing w:after="0"/>
              <w:rPr>
                <w:rFonts w:ascii="Arial" w:cs="Arial" w:eastAsia="Arial" w:hAnsi="Arial"/>
                <w:sz w:val="13"/>
                <w:szCs w:val="13"/>
                <w:u w:val="single" w:color="auto"/>
                <w:color w:val="auto"/>
              </w:rPr>
            </w:pPr>
            <w:hyperlink w:anchor="page252">
              <w:r>
                <w:rPr>
                  <w:rFonts w:ascii="Arial" w:cs="Arial" w:eastAsia="Arial" w:hAnsi="Arial"/>
                  <w:sz w:val="13"/>
                  <w:szCs w:val="13"/>
                  <w:u w:val="single" w:color="auto"/>
                  <w:color w:val="auto"/>
                </w:rPr>
                <w:t>Amended and Restated Dividend Access Trust Deed, dated March 12, 2020.</w:t>
              </w:r>
            </w:hyperlink>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69"/>
        </w:trPr>
        <w:tc>
          <w:tcPr>
            <w:tcW w:w="1060" w:type="dxa"/>
            <w:vAlign w:val="bottom"/>
          </w:tcPr>
          <w:p>
            <w:pPr>
              <w:spacing w:after="0"/>
              <w:rPr>
                <w:sz w:val="20"/>
                <w:szCs w:val="20"/>
                <w:color w:val="auto"/>
              </w:rPr>
            </w:pPr>
            <w:r>
              <w:rPr>
                <w:rFonts w:ascii="Arial" w:cs="Arial" w:eastAsia="Arial" w:hAnsi="Arial"/>
                <w:sz w:val="12"/>
                <w:szCs w:val="12"/>
                <w:color w:val="auto"/>
              </w:rPr>
              <w:t>2.2</w:t>
            </w:r>
          </w:p>
        </w:tc>
        <w:tc>
          <w:tcPr>
            <w:tcW w:w="10240" w:type="dxa"/>
            <w:vAlign w:val="bottom"/>
            <w:gridSpan w:val="19"/>
          </w:tcPr>
          <w:p>
            <w:pPr>
              <w:spacing w:after="0"/>
              <w:rPr>
                <w:rFonts w:ascii="Arial" w:cs="Arial" w:eastAsia="Arial" w:hAnsi="Arial"/>
                <w:sz w:val="12"/>
                <w:szCs w:val="12"/>
                <w:color w:val="auto"/>
                <w:w w:val="96"/>
              </w:rPr>
            </w:pPr>
            <w:hyperlink r:id="rId635">
              <w:r>
                <w:rPr>
                  <w:rFonts w:ascii="Arial" w:cs="Arial" w:eastAsia="Arial" w:hAnsi="Arial"/>
                  <w:sz w:val="12"/>
                  <w:szCs w:val="12"/>
                  <w:color w:val="auto"/>
                  <w:w w:val="96"/>
                </w:rPr>
                <w:t>Senior Debt Securities Indenture among Shell International Finance B.V., as issuer, Royal Dutch Shell plc, as guarantor, and Deutsche Bank Trust Company Americas, as trustee, dated June 27, 2006,</w:t>
              </w:r>
            </w:hyperlink>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7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97"/>
        </w:trPr>
        <w:tc>
          <w:tcPr>
            <w:tcW w:w="1060" w:type="dxa"/>
            <w:vAlign w:val="bottom"/>
          </w:tcPr>
          <w:p>
            <w:pPr>
              <w:spacing w:after="0"/>
              <w:rPr>
                <w:sz w:val="8"/>
                <w:szCs w:val="8"/>
                <w:color w:val="auto"/>
              </w:rPr>
            </w:pPr>
          </w:p>
        </w:tc>
        <w:tc>
          <w:tcPr>
            <w:tcW w:w="10240" w:type="dxa"/>
            <w:vAlign w:val="bottom"/>
            <w:gridSpan w:val="19"/>
          </w:tcPr>
          <w:p>
            <w:pPr>
              <w:spacing w:after="0" w:line="97" w:lineRule="exact"/>
              <w:rPr>
                <w:rFonts w:ascii="Arial" w:cs="Arial" w:eastAsia="Arial" w:hAnsi="Arial"/>
                <w:sz w:val="11"/>
                <w:szCs w:val="11"/>
                <w:color w:val="auto"/>
              </w:rPr>
            </w:pPr>
            <w:hyperlink r:id="rId635">
              <w:r>
                <w:rPr>
                  <w:rFonts w:ascii="Arial" w:cs="Arial" w:eastAsia="Arial" w:hAnsi="Arial"/>
                  <w:sz w:val="11"/>
                  <w:szCs w:val="11"/>
                  <w:color w:val="auto"/>
                </w:rPr>
                <w:t>(incorporated by reference to Exhibit 4.3 to the Registration Statement on Form F-3ASR (No. 333-222005) of Royal Dutch Shell plc filed with the US Securities and Exchange Commission on December 12,</w:t>
              </w:r>
            </w:hyperlink>
          </w:p>
        </w:tc>
      </w:tr>
      <w:tr>
        <w:trPr>
          <w:trHeight w:val="97"/>
        </w:trPr>
        <w:tc>
          <w:tcPr>
            <w:tcW w:w="1060" w:type="dxa"/>
            <w:vAlign w:val="bottom"/>
          </w:tcPr>
          <w:p>
            <w:pPr>
              <w:spacing w:after="0"/>
              <w:rPr>
                <w:sz w:val="8"/>
                <w:szCs w:val="8"/>
                <w:color w:val="auto"/>
              </w:rPr>
            </w:pPr>
          </w:p>
        </w:tc>
        <w:tc>
          <w:tcPr>
            <w:tcW w:w="300" w:type="dxa"/>
            <w:vAlign w:val="bottom"/>
            <w:tcBorders>
              <w:top w:val="single" w:sz="8" w:color="auto"/>
              <w:bottom w:val="single" w:sz="8" w:color="auto"/>
            </w:tcBorders>
          </w:tcPr>
          <w:p>
            <w:pPr>
              <w:spacing w:after="0" w:line="97" w:lineRule="exact"/>
              <w:rPr>
                <w:rFonts w:ascii="Arial" w:cs="Arial" w:eastAsia="Arial" w:hAnsi="Arial"/>
                <w:sz w:val="11"/>
                <w:szCs w:val="11"/>
                <w:color w:val="auto"/>
                <w:w w:val="89"/>
              </w:rPr>
            </w:pPr>
            <w:hyperlink r:id="rId635">
              <w:r>
                <w:rPr>
                  <w:rFonts w:ascii="Arial" w:cs="Arial" w:eastAsia="Arial" w:hAnsi="Arial"/>
                  <w:sz w:val="11"/>
                  <w:szCs w:val="11"/>
                  <w:color w:val="auto"/>
                  <w:w w:val="89"/>
                </w:rPr>
                <w:t>2017).</w:t>
              </w:r>
            </w:hyperlink>
          </w:p>
        </w:tc>
        <w:tc>
          <w:tcPr>
            <w:tcW w:w="19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940" w:type="dxa"/>
            <w:vAlign w:val="bottom"/>
            <w:tcBorders>
              <w:top w:val="single" w:sz="8" w:color="auto"/>
            </w:tcBorders>
          </w:tcPr>
          <w:p>
            <w:pPr>
              <w:spacing w:after="0"/>
              <w:rPr>
                <w:sz w:val="8"/>
                <w:szCs w:val="8"/>
                <w:color w:val="auto"/>
              </w:rPr>
            </w:pPr>
          </w:p>
        </w:tc>
        <w:tc>
          <w:tcPr>
            <w:tcW w:w="28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2"/>
                <w:szCs w:val="12"/>
                <w:color w:val="auto"/>
              </w:rPr>
              <w:t>2.3</w:t>
            </w:r>
          </w:p>
        </w:tc>
        <w:tc>
          <w:tcPr>
            <w:tcW w:w="10240" w:type="dxa"/>
            <w:vAlign w:val="bottom"/>
            <w:gridSpan w:val="19"/>
          </w:tcPr>
          <w:p>
            <w:pPr>
              <w:spacing w:after="0"/>
              <w:rPr>
                <w:rFonts w:ascii="Arial" w:cs="Arial" w:eastAsia="Arial" w:hAnsi="Arial"/>
                <w:sz w:val="12"/>
                <w:szCs w:val="12"/>
                <w:u w:val="single" w:color="auto"/>
                <w:color w:val="auto"/>
              </w:rPr>
            </w:pPr>
            <w:hyperlink w:anchor="page277">
              <w:r>
                <w:rPr>
                  <w:rFonts w:ascii="Arial" w:cs="Arial" w:eastAsia="Arial" w:hAnsi="Arial"/>
                  <w:sz w:val="12"/>
                  <w:szCs w:val="12"/>
                  <w:u w:val="single" w:color="auto"/>
                  <w:color w:val="auto"/>
                </w:rPr>
                <w:t>Description of the Registrant’s Securities Registered Pursuant to Section 12 of the Securities Exchange Act of 1934.</w:t>
              </w:r>
            </w:hyperlink>
          </w:p>
        </w:tc>
      </w:tr>
      <w:tr>
        <w:trPr>
          <w:trHeight w:val="162"/>
        </w:trPr>
        <w:tc>
          <w:tcPr>
            <w:tcW w:w="1060" w:type="dxa"/>
            <w:vAlign w:val="bottom"/>
          </w:tcPr>
          <w:p>
            <w:pPr>
              <w:spacing w:after="0"/>
              <w:rPr>
                <w:sz w:val="20"/>
                <w:szCs w:val="20"/>
                <w:color w:val="auto"/>
              </w:rPr>
            </w:pPr>
            <w:r>
              <w:rPr>
                <w:rFonts w:ascii="Arial" w:cs="Arial" w:eastAsia="Arial" w:hAnsi="Arial"/>
                <w:sz w:val="12"/>
                <w:szCs w:val="12"/>
                <w:color w:val="auto"/>
              </w:rPr>
              <w:t>4.1</w:t>
            </w:r>
          </w:p>
        </w:tc>
        <w:tc>
          <w:tcPr>
            <w:tcW w:w="10240" w:type="dxa"/>
            <w:vAlign w:val="bottom"/>
            <w:gridSpan w:val="19"/>
          </w:tcPr>
          <w:p>
            <w:pPr>
              <w:spacing w:after="0"/>
              <w:rPr>
                <w:rFonts w:ascii="Arial" w:cs="Arial" w:eastAsia="Arial" w:hAnsi="Arial"/>
                <w:sz w:val="12"/>
                <w:szCs w:val="12"/>
                <w:color w:val="auto"/>
                <w:w w:val="94"/>
              </w:rPr>
            </w:pPr>
            <w:hyperlink r:id="rId636">
              <w:r>
                <w:rPr>
                  <w:rFonts w:ascii="Arial" w:cs="Arial" w:eastAsia="Arial" w:hAnsi="Arial"/>
                  <w:sz w:val="12"/>
                  <w:szCs w:val="12"/>
                  <w:color w:val="auto"/>
                  <w:w w:val="94"/>
                </w:rPr>
                <w:t>Shell Provident Fund Regulations and Trust Agreement, as amended (incorporated by reference to Exhibit 4.7 to the Post-Effective Amendment to Registration Statement on Form S-8 (No. 333-126715) of</w:t>
              </w:r>
            </w:hyperlink>
          </w:p>
        </w:tc>
      </w:tr>
      <w:tr>
        <w:trPr>
          <w:trHeight w:val="97"/>
        </w:trPr>
        <w:tc>
          <w:tcPr>
            <w:tcW w:w="1060" w:type="dxa"/>
            <w:vAlign w:val="bottom"/>
          </w:tcPr>
          <w:p>
            <w:pPr>
              <w:spacing w:after="0"/>
              <w:rPr>
                <w:sz w:val="8"/>
                <w:szCs w:val="8"/>
                <w:color w:val="auto"/>
              </w:rPr>
            </w:pPr>
          </w:p>
        </w:tc>
        <w:tc>
          <w:tcPr>
            <w:tcW w:w="4680" w:type="dxa"/>
            <w:vAlign w:val="bottom"/>
            <w:tcBorders>
              <w:top w:val="single" w:sz="8" w:color="auto"/>
              <w:bottom w:val="single" w:sz="8" w:color="auto"/>
            </w:tcBorders>
            <w:gridSpan w:val="7"/>
          </w:tcPr>
          <w:p>
            <w:pPr>
              <w:spacing w:after="0" w:line="97" w:lineRule="exact"/>
              <w:rPr>
                <w:rFonts w:ascii="Arial" w:cs="Arial" w:eastAsia="Arial" w:hAnsi="Arial"/>
                <w:sz w:val="11"/>
                <w:szCs w:val="11"/>
                <w:color w:val="auto"/>
                <w:w w:val="99"/>
              </w:rPr>
            </w:pPr>
            <w:hyperlink r:id="rId636">
              <w:r>
                <w:rPr>
                  <w:rFonts w:ascii="Arial" w:cs="Arial" w:eastAsia="Arial" w:hAnsi="Arial"/>
                  <w:sz w:val="11"/>
                  <w:szCs w:val="11"/>
                  <w:color w:val="auto"/>
                  <w:w w:val="99"/>
                </w:rPr>
                <w:t>Royal Dutch Shell plc filed with the US Securities and Exchange Commission on June 18, 2007).</w:t>
              </w:r>
            </w:hyperlink>
          </w:p>
        </w:tc>
        <w:tc>
          <w:tcPr>
            <w:tcW w:w="5140" w:type="dxa"/>
            <w:vAlign w:val="bottom"/>
            <w:tcBorders>
              <w:top w:val="single" w:sz="8" w:color="auto"/>
            </w:tcBorders>
            <w:gridSpan w:val="4"/>
          </w:tcPr>
          <w:p>
            <w:pPr>
              <w:spacing w:after="0"/>
              <w:rPr>
                <w:sz w:val="8"/>
                <w:szCs w:val="8"/>
                <w:color w:val="auto"/>
              </w:rPr>
            </w:pPr>
          </w:p>
        </w:tc>
        <w:tc>
          <w:tcPr>
            <w:tcW w:w="12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40" w:type="dxa"/>
            <w:vAlign w:val="bottom"/>
            <w:gridSpan w:val="2"/>
          </w:tcPr>
          <w:p>
            <w:pPr>
              <w:spacing w:after="0"/>
              <w:rPr>
                <w:sz w:val="8"/>
                <w:szCs w:val="8"/>
                <w:color w:val="auto"/>
              </w:rPr>
            </w:pPr>
          </w:p>
        </w:tc>
      </w:tr>
      <w:tr>
        <w:trPr>
          <w:trHeight w:val="169"/>
        </w:trPr>
        <w:tc>
          <w:tcPr>
            <w:tcW w:w="1060" w:type="dxa"/>
            <w:vAlign w:val="bottom"/>
          </w:tcPr>
          <w:p>
            <w:pPr>
              <w:spacing w:after="0"/>
              <w:rPr>
                <w:sz w:val="20"/>
                <w:szCs w:val="20"/>
                <w:color w:val="auto"/>
              </w:rPr>
            </w:pPr>
            <w:r>
              <w:rPr>
                <w:rFonts w:ascii="Arial" w:cs="Arial" w:eastAsia="Arial" w:hAnsi="Arial"/>
                <w:sz w:val="12"/>
                <w:szCs w:val="12"/>
                <w:color w:val="auto"/>
              </w:rPr>
              <w:t>4.2</w:t>
            </w:r>
          </w:p>
        </w:tc>
        <w:tc>
          <w:tcPr>
            <w:tcW w:w="10240" w:type="dxa"/>
            <w:vAlign w:val="bottom"/>
            <w:gridSpan w:val="19"/>
          </w:tcPr>
          <w:p>
            <w:pPr>
              <w:spacing w:after="0"/>
              <w:rPr>
                <w:rFonts w:ascii="Arial" w:cs="Arial" w:eastAsia="Arial" w:hAnsi="Arial"/>
                <w:sz w:val="12"/>
                <w:szCs w:val="12"/>
                <w:color w:val="auto"/>
                <w:w w:val="93"/>
              </w:rPr>
            </w:pPr>
            <w:hyperlink r:id="rId637">
              <w:r>
                <w:rPr>
                  <w:rFonts w:ascii="Arial" w:cs="Arial" w:eastAsia="Arial" w:hAnsi="Arial"/>
                  <w:sz w:val="12"/>
                  <w:szCs w:val="12"/>
                  <w:color w:val="auto"/>
                  <w:w w:val="93"/>
                </w:rPr>
                <w:t>Form of Director Indemnity Agreement (incorporated by reference to Exhibit 4.3 to the Annual Report for the fiscal year ended December 31, 2005, on Form 20-F (File No. 001-32575) of Royal Dutch Shell plc</w:t>
              </w:r>
            </w:hyperlink>
          </w:p>
        </w:tc>
      </w:tr>
      <w:tr>
        <w:trPr>
          <w:trHeight w:val="97"/>
        </w:trPr>
        <w:tc>
          <w:tcPr>
            <w:tcW w:w="1060" w:type="dxa"/>
            <w:vAlign w:val="bottom"/>
          </w:tcPr>
          <w:p>
            <w:pPr>
              <w:spacing w:after="0"/>
              <w:rPr>
                <w:sz w:val="8"/>
                <w:szCs w:val="8"/>
                <w:color w:val="auto"/>
              </w:rPr>
            </w:pPr>
          </w:p>
        </w:tc>
        <w:tc>
          <w:tcPr>
            <w:tcW w:w="3680" w:type="dxa"/>
            <w:vAlign w:val="bottom"/>
            <w:tcBorders>
              <w:top w:val="single" w:sz="8" w:color="auto"/>
              <w:bottom w:val="single" w:sz="8" w:color="auto"/>
            </w:tcBorders>
            <w:gridSpan w:val="5"/>
          </w:tcPr>
          <w:p>
            <w:pPr>
              <w:spacing w:after="0" w:line="97" w:lineRule="exact"/>
              <w:rPr>
                <w:rFonts w:ascii="Arial" w:cs="Arial" w:eastAsia="Arial" w:hAnsi="Arial"/>
                <w:sz w:val="11"/>
                <w:szCs w:val="11"/>
                <w:color w:val="auto"/>
                <w:w w:val="99"/>
              </w:rPr>
            </w:pPr>
            <w:hyperlink r:id="rId637">
              <w:r>
                <w:rPr>
                  <w:rFonts w:ascii="Arial" w:cs="Arial" w:eastAsia="Arial" w:hAnsi="Arial"/>
                  <w:sz w:val="11"/>
                  <w:szCs w:val="11"/>
                  <w:color w:val="auto"/>
                  <w:w w:val="99"/>
                </w:rPr>
                <w:t>filed with the US Securities and Exchange Commission on March 13, 2006).</w:t>
              </w:r>
            </w:hyperlink>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940" w:type="dxa"/>
            <w:vAlign w:val="bottom"/>
            <w:tcBorders>
              <w:top w:val="single" w:sz="8" w:color="auto"/>
            </w:tcBorders>
          </w:tcPr>
          <w:p>
            <w:pPr>
              <w:spacing w:after="0"/>
              <w:rPr>
                <w:sz w:val="8"/>
                <w:szCs w:val="8"/>
                <w:color w:val="auto"/>
              </w:rPr>
            </w:pPr>
          </w:p>
        </w:tc>
        <w:tc>
          <w:tcPr>
            <w:tcW w:w="28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69"/>
        </w:trPr>
        <w:tc>
          <w:tcPr>
            <w:tcW w:w="1060" w:type="dxa"/>
            <w:vAlign w:val="bottom"/>
          </w:tcPr>
          <w:p>
            <w:pPr>
              <w:spacing w:after="0"/>
              <w:rPr>
                <w:sz w:val="20"/>
                <w:szCs w:val="20"/>
                <w:color w:val="auto"/>
              </w:rPr>
            </w:pPr>
            <w:r>
              <w:rPr>
                <w:rFonts w:ascii="Arial" w:cs="Arial" w:eastAsia="Arial" w:hAnsi="Arial"/>
                <w:sz w:val="12"/>
                <w:szCs w:val="12"/>
                <w:color w:val="auto"/>
              </w:rPr>
              <w:t>4.3</w:t>
            </w:r>
          </w:p>
        </w:tc>
        <w:tc>
          <w:tcPr>
            <w:tcW w:w="10240" w:type="dxa"/>
            <w:vAlign w:val="bottom"/>
            <w:gridSpan w:val="19"/>
          </w:tcPr>
          <w:p>
            <w:pPr>
              <w:spacing w:after="0"/>
              <w:rPr>
                <w:rFonts w:ascii="Arial" w:cs="Arial" w:eastAsia="Arial" w:hAnsi="Arial"/>
                <w:sz w:val="12"/>
                <w:szCs w:val="12"/>
                <w:color w:val="auto"/>
                <w:w w:val="94"/>
              </w:rPr>
            </w:pPr>
            <w:hyperlink r:id="rId638">
              <w:r>
                <w:rPr>
                  <w:rFonts w:ascii="Arial" w:cs="Arial" w:eastAsia="Arial" w:hAnsi="Arial"/>
                  <w:sz w:val="12"/>
                  <w:szCs w:val="12"/>
                  <w:color w:val="auto"/>
                  <w:w w:val="94"/>
                </w:rPr>
                <w:t>Form of contract of employment for Executive Directors (incorporated by reference to Exhibit 4.5 to the Annual Report for fiscal year ended December 31, 2013, on Form 20-F (File No. 001-32575) of Royal</w:t>
              </w:r>
            </w:hyperlink>
          </w:p>
        </w:tc>
      </w:tr>
      <w:tr>
        <w:trPr>
          <w:trHeight w:val="97"/>
        </w:trPr>
        <w:tc>
          <w:tcPr>
            <w:tcW w:w="1060" w:type="dxa"/>
            <w:vAlign w:val="bottom"/>
          </w:tcPr>
          <w:p>
            <w:pPr>
              <w:spacing w:after="0"/>
              <w:rPr>
                <w:sz w:val="8"/>
                <w:szCs w:val="8"/>
                <w:color w:val="auto"/>
              </w:rPr>
            </w:pPr>
          </w:p>
        </w:tc>
        <w:tc>
          <w:tcPr>
            <w:tcW w:w="4460" w:type="dxa"/>
            <w:vAlign w:val="bottom"/>
            <w:tcBorders>
              <w:top w:val="single" w:sz="8" w:color="auto"/>
              <w:bottom w:val="single" w:sz="8" w:color="auto"/>
            </w:tcBorders>
            <w:gridSpan w:val="6"/>
          </w:tcPr>
          <w:p>
            <w:pPr>
              <w:spacing w:after="0" w:line="97" w:lineRule="exact"/>
              <w:rPr>
                <w:rFonts w:ascii="Arial" w:cs="Arial" w:eastAsia="Arial" w:hAnsi="Arial"/>
                <w:sz w:val="11"/>
                <w:szCs w:val="11"/>
                <w:color w:val="auto"/>
                <w:w w:val="99"/>
              </w:rPr>
            </w:pPr>
            <w:hyperlink r:id="rId638">
              <w:r>
                <w:rPr>
                  <w:rFonts w:ascii="Arial" w:cs="Arial" w:eastAsia="Arial" w:hAnsi="Arial"/>
                  <w:sz w:val="11"/>
                  <w:szCs w:val="11"/>
                  <w:color w:val="auto"/>
                  <w:w w:val="99"/>
                </w:rPr>
                <w:t>Dutch Shell plc filed with the US Securities and Exchange Commission on March 13, 2014).</w:t>
              </w:r>
            </w:hyperlink>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940" w:type="dxa"/>
            <w:vAlign w:val="bottom"/>
            <w:tcBorders>
              <w:top w:val="single" w:sz="8" w:color="auto"/>
            </w:tcBorders>
          </w:tcPr>
          <w:p>
            <w:pPr>
              <w:spacing w:after="0"/>
              <w:rPr>
                <w:sz w:val="8"/>
                <w:szCs w:val="8"/>
                <w:color w:val="auto"/>
              </w:rPr>
            </w:pPr>
          </w:p>
        </w:tc>
        <w:tc>
          <w:tcPr>
            <w:tcW w:w="28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69"/>
        </w:trPr>
        <w:tc>
          <w:tcPr>
            <w:tcW w:w="1060" w:type="dxa"/>
            <w:vAlign w:val="bottom"/>
          </w:tcPr>
          <w:p>
            <w:pPr>
              <w:spacing w:after="0"/>
              <w:rPr>
                <w:sz w:val="20"/>
                <w:szCs w:val="20"/>
                <w:color w:val="auto"/>
              </w:rPr>
            </w:pPr>
            <w:r>
              <w:rPr>
                <w:rFonts w:ascii="Arial" w:cs="Arial" w:eastAsia="Arial" w:hAnsi="Arial"/>
                <w:sz w:val="12"/>
                <w:szCs w:val="12"/>
                <w:color w:val="auto"/>
              </w:rPr>
              <w:t>4.4</w:t>
            </w:r>
          </w:p>
        </w:tc>
        <w:tc>
          <w:tcPr>
            <w:tcW w:w="10240" w:type="dxa"/>
            <w:vAlign w:val="bottom"/>
            <w:gridSpan w:val="19"/>
          </w:tcPr>
          <w:p>
            <w:pPr>
              <w:spacing w:after="0"/>
              <w:rPr>
                <w:rFonts w:ascii="Arial" w:cs="Arial" w:eastAsia="Arial" w:hAnsi="Arial"/>
                <w:sz w:val="12"/>
                <w:szCs w:val="12"/>
                <w:color w:val="auto"/>
                <w:w w:val="94"/>
              </w:rPr>
            </w:pPr>
            <w:hyperlink r:id="rId639">
              <w:r>
                <w:rPr>
                  <w:rFonts w:ascii="Arial" w:cs="Arial" w:eastAsia="Arial" w:hAnsi="Arial"/>
                  <w:sz w:val="12"/>
                  <w:szCs w:val="12"/>
                  <w:color w:val="auto"/>
                  <w:w w:val="94"/>
                </w:rPr>
                <w:t>Form of Letter of appointment for Non-executive Directors (incorporated by reference to Exhibit 4.4 to the Annual Report for the fiscal year ended December 31, 2018, on Form 20-F (File No. 001-32575) of</w:t>
              </w:r>
            </w:hyperlink>
          </w:p>
        </w:tc>
      </w:tr>
      <w:tr>
        <w:trPr>
          <w:trHeight w:val="97"/>
        </w:trPr>
        <w:tc>
          <w:tcPr>
            <w:tcW w:w="1060" w:type="dxa"/>
            <w:vAlign w:val="bottom"/>
          </w:tcPr>
          <w:p>
            <w:pPr>
              <w:spacing w:after="0"/>
              <w:rPr>
                <w:sz w:val="8"/>
                <w:szCs w:val="8"/>
                <w:color w:val="auto"/>
              </w:rPr>
            </w:pPr>
          </w:p>
        </w:tc>
        <w:tc>
          <w:tcPr>
            <w:tcW w:w="4780" w:type="dxa"/>
            <w:vAlign w:val="bottom"/>
            <w:tcBorders>
              <w:top w:val="single" w:sz="8" w:color="auto"/>
              <w:bottom w:val="single" w:sz="8" w:color="auto"/>
            </w:tcBorders>
            <w:gridSpan w:val="8"/>
          </w:tcPr>
          <w:p>
            <w:pPr>
              <w:spacing w:after="0" w:line="97" w:lineRule="exact"/>
              <w:rPr>
                <w:rFonts w:ascii="Arial" w:cs="Arial" w:eastAsia="Arial" w:hAnsi="Arial"/>
                <w:sz w:val="11"/>
                <w:szCs w:val="11"/>
                <w:color w:val="auto"/>
                <w:w w:val="99"/>
              </w:rPr>
            </w:pPr>
            <w:hyperlink r:id="rId639">
              <w:r>
                <w:rPr>
                  <w:rFonts w:ascii="Arial" w:cs="Arial" w:eastAsia="Arial" w:hAnsi="Arial"/>
                  <w:sz w:val="11"/>
                  <w:szCs w:val="11"/>
                  <w:color w:val="auto"/>
                  <w:w w:val="99"/>
                </w:rPr>
                <w:t>Royal Dutch Shell plc filed with the US Securities and Exchange Commission on March 14, 2019).</w:t>
              </w:r>
            </w:hyperlink>
          </w:p>
        </w:tc>
        <w:tc>
          <w:tcPr>
            <w:tcW w:w="5160" w:type="dxa"/>
            <w:vAlign w:val="bottom"/>
            <w:tcBorders>
              <w:top w:val="single" w:sz="8" w:color="auto"/>
            </w:tcBorders>
            <w:gridSpan w:val="6"/>
          </w:tcPr>
          <w:p>
            <w:pPr>
              <w:spacing w:after="0"/>
              <w:rPr>
                <w:sz w:val="8"/>
                <w:szCs w:val="8"/>
                <w:color w:val="auto"/>
              </w:rPr>
            </w:pPr>
          </w:p>
        </w:tc>
        <w:tc>
          <w:tcPr>
            <w:tcW w:w="300" w:type="dxa"/>
            <w:vAlign w:val="bottom"/>
            <w:gridSpan w:val="5"/>
          </w:tcPr>
          <w:p>
            <w:pPr>
              <w:spacing w:after="0"/>
              <w:rPr>
                <w:sz w:val="8"/>
                <w:szCs w:val="8"/>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2"/>
                <w:szCs w:val="12"/>
                <w:color w:val="auto"/>
              </w:rPr>
              <w:t>7.1</w:t>
            </w:r>
          </w:p>
        </w:tc>
        <w:tc>
          <w:tcPr>
            <w:tcW w:w="10240" w:type="dxa"/>
            <w:vAlign w:val="bottom"/>
            <w:gridSpan w:val="19"/>
          </w:tcPr>
          <w:p>
            <w:pPr>
              <w:spacing w:after="0"/>
              <w:rPr>
                <w:sz w:val="20"/>
                <w:szCs w:val="20"/>
                <w:color w:val="auto"/>
              </w:rPr>
            </w:pPr>
            <w:r>
              <w:rPr>
                <w:rFonts w:ascii="Arial" w:cs="Arial" w:eastAsia="Arial" w:hAnsi="Arial"/>
                <w:sz w:val="12"/>
                <w:szCs w:val="12"/>
                <w:color w:val="auto"/>
              </w:rPr>
              <w:t>Calculation of Return on Average Capital Employed (ROACE) (incorporated by reference to page 241 herein).</w:t>
            </w:r>
          </w:p>
        </w:tc>
      </w:tr>
      <w:tr>
        <w:trPr>
          <w:trHeight w:val="189"/>
        </w:trPr>
        <w:tc>
          <w:tcPr>
            <w:tcW w:w="1060" w:type="dxa"/>
            <w:vAlign w:val="bottom"/>
          </w:tcPr>
          <w:p>
            <w:pPr>
              <w:spacing w:after="0"/>
              <w:rPr>
                <w:sz w:val="20"/>
                <w:szCs w:val="20"/>
                <w:color w:val="auto"/>
              </w:rPr>
            </w:pPr>
            <w:r>
              <w:rPr>
                <w:rFonts w:ascii="Arial" w:cs="Arial" w:eastAsia="Arial" w:hAnsi="Arial"/>
                <w:sz w:val="12"/>
                <w:szCs w:val="12"/>
                <w:color w:val="auto"/>
              </w:rPr>
              <w:t>7.2</w:t>
            </w:r>
          </w:p>
        </w:tc>
        <w:tc>
          <w:tcPr>
            <w:tcW w:w="10240" w:type="dxa"/>
            <w:vAlign w:val="bottom"/>
            <w:gridSpan w:val="19"/>
          </w:tcPr>
          <w:p>
            <w:pPr>
              <w:spacing w:after="0"/>
              <w:rPr>
                <w:sz w:val="20"/>
                <w:szCs w:val="20"/>
                <w:color w:val="auto"/>
              </w:rPr>
            </w:pPr>
            <w:r>
              <w:rPr>
                <w:rFonts w:ascii="Arial" w:cs="Arial" w:eastAsia="Arial" w:hAnsi="Arial"/>
                <w:sz w:val="12"/>
                <w:szCs w:val="12"/>
                <w:color w:val="auto"/>
              </w:rPr>
              <w:t>Calculation of gearing (incorporated by reference to page 26 and Note 14 to the Consolidated Financial Statements on page 188 herein).</w:t>
            </w:r>
          </w:p>
        </w:tc>
      </w:tr>
      <w:tr>
        <w:trPr>
          <w:trHeight w:val="162"/>
        </w:trPr>
        <w:tc>
          <w:tcPr>
            <w:tcW w:w="1060" w:type="dxa"/>
            <w:vAlign w:val="bottom"/>
          </w:tcPr>
          <w:p>
            <w:pPr>
              <w:spacing w:after="0"/>
              <w:rPr>
                <w:sz w:val="20"/>
                <w:szCs w:val="20"/>
                <w:color w:val="auto"/>
              </w:rPr>
            </w:pPr>
            <w:r>
              <w:rPr>
                <w:rFonts w:ascii="Arial" w:cs="Arial" w:eastAsia="Arial" w:hAnsi="Arial"/>
                <w:sz w:val="12"/>
                <w:szCs w:val="12"/>
                <w:color w:val="auto"/>
              </w:rPr>
              <w:t>8.1</w:t>
            </w:r>
          </w:p>
        </w:tc>
        <w:tc>
          <w:tcPr>
            <w:tcW w:w="4460" w:type="dxa"/>
            <w:vAlign w:val="bottom"/>
            <w:gridSpan w:val="6"/>
          </w:tcPr>
          <w:p>
            <w:pPr>
              <w:spacing w:after="0"/>
              <w:rPr>
                <w:rFonts w:ascii="Arial" w:cs="Arial" w:eastAsia="Arial" w:hAnsi="Arial"/>
                <w:sz w:val="12"/>
                <w:szCs w:val="12"/>
                <w:color w:val="auto"/>
              </w:rPr>
            </w:pPr>
            <w:hyperlink w:anchor="page289">
              <w:r>
                <w:rPr>
                  <w:rFonts w:ascii="Arial" w:cs="Arial" w:eastAsia="Arial" w:hAnsi="Arial"/>
                  <w:sz w:val="12"/>
                  <w:szCs w:val="12"/>
                  <w:u w:val="single" w:color="auto"/>
                  <w:color w:val="auto"/>
                </w:rPr>
                <w:t>Significant Shell subsidiaries at December 31,</w:t>
              </w:r>
              <w:r>
                <w:rPr>
                  <w:rFonts w:ascii="Arial" w:cs="Arial" w:eastAsia="Arial" w:hAnsi="Arial"/>
                  <w:sz w:val="12"/>
                  <w:szCs w:val="12"/>
                  <w:color w:val="auto"/>
                </w:rPr>
                <w:t xml:space="preserve"> 20</w:t>
              </w:r>
            </w:hyperlink>
            <w:r>
              <w:rPr>
                <w:rFonts w:ascii="Arial" w:cs="Arial" w:eastAsia="Arial" w:hAnsi="Arial"/>
                <w:sz w:val="12"/>
                <w:szCs w:val="12"/>
                <w:color w:val="auto"/>
              </w:rPr>
              <w:t>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2"/>
                <w:szCs w:val="12"/>
                <w:color w:val="auto"/>
              </w:rPr>
              <w:t>12.1</w:t>
            </w:r>
          </w:p>
        </w:tc>
        <w:tc>
          <w:tcPr>
            <w:tcW w:w="4460" w:type="dxa"/>
            <w:vAlign w:val="bottom"/>
            <w:gridSpan w:val="6"/>
          </w:tcPr>
          <w:p>
            <w:pPr>
              <w:spacing w:after="0"/>
              <w:rPr>
                <w:rFonts w:ascii="Arial" w:cs="Arial" w:eastAsia="Arial" w:hAnsi="Arial"/>
                <w:sz w:val="12"/>
                <w:szCs w:val="12"/>
                <w:u w:val="single" w:color="auto"/>
                <w:color w:val="auto"/>
              </w:rPr>
            </w:pPr>
            <w:hyperlink w:anchor="page312">
              <w:r>
                <w:rPr>
                  <w:rFonts w:ascii="Arial" w:cs="Arial" w:eastAsia="Arial" w:hAnsi="Arial"/>
                  <w:sz w:val="12"/>
                  <w:szCs w:val="12"/>
                  <w:u w:val="single" w:color="auto"/>
                  <w:color w:val="auto"/>
                </w:rPr>
                <w:t>Section 302 Certification of Royal Dutch Shell plc.</w:t>
              </w:r>
            </w:hyperlink>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1060" w:type="dxa"/>
            <w:vAlign w:val="bottom"/>
          </w:tcPr>
          <w:p>
            <w:pPr>
              <w:spacing w:after="0"/>
              <w:rPr>
                <w:sz w:val="20"/>
                <w:szCs w:val="20"/>
                <w:color w:val="auto"/>
              </w:rPr>
            </w:pPr>
            <w:r>
              <w:rPr>
                <w:rFonts w:ascii="Arial" w:cs="Arial" w:eastAsia="Arial" w:hAnsi="Arial"/>
                <w:sz w:val="12"/>
                <w:szCs w:val="12"/>
                <w:color w:val="auto"/>
              </w:rPr>
              <w:t>12.2</w:t>
            </w:r>
          </w:p>
        </w:tc>
        <w:tc>
          <w:tcPr>
            <w:tcW w:w="4460" w:type="dxa"/>
            <w:vAlign w:val="bottom"/>
            <w:gridSpan w:val="6"/>
          </w:tcPr>
          <w:p>
            <w:pPr>
              <w:spacing w:after="0"/>
              <w:rPr>
                <w:rFonts w:ascii="Arial" w:cs="Arial" w:eastAsia="Arial" w:hAnsi="Arial"/>
                <w:sz w:val="12"/>
                <w:szCs w:val="12"/>
                <w:u w:val="single" w:color="auto"/>
                <w:color w:val="auto"/>
              </w:rPr>
            </w:pPr>
            <w:hyperlink w:anchor="page313">
              <w:r>
                <w:rPr>
                  <w:rFonts w:ascii="Arial" w:cs="Arial" w:eastAsia="Arial" w:hAnsi="Arial"/>
                  <w:sz w:val="12"/>
                  <w:szCs w:val="12"/>
                  <w:u w:val="single" w:color="auto"/>
                  <w:color w:val="auto"/>
                </w:rPr>
                <w:t>Section 302 Certification of Royal Dutch Shell plc.</w:t>
              </w:r>
            </w:hyperlink>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1060" w:type="dxa"/>
            <w:vAlign w:val="bottom"/>
          </w:tcPr>
          <w:p>
            <w:pPr>
              <w:spacing w:after="0"/>
              <w:rPr>
                <w:sz w:val="20"/>
                <w:szCs w:val="20"/>
                <w:color w:val="auto"/>
              </w:rPr>
            </w:pPr>
            <w:r>
              <w:rPr>
                <w:rFonts w:ascii="Arial" w:cs="Arial" w:eastAsia="Arial" w:hAnsi="Arial"/>
                <w:sz w:val="12"/>
                <w:szCs w:val="12"/>
                <w:color w:val="auto"/>
              </w:rPr>
              <w:t>13.1</w:t>
            </w:r>
          </w:p>
        </w:tc>
        <w:tc>
          <w:tcPr>
            <w:tcW w:w="4460" w:type="dxa"/>
            <w:vAlign w:val="bottom"/>
            <w:gridSpan w:val="6"/>
          </w:tcPr>
          <w:p>
            <w:pPr>
              <w:spacing w:after="0"/>
              <w:rPr>
                <w:rFonts w:ascii="Arial" w:cs="Arial" w:eastAsia="Arial" w:hAnsi="Arial"/>
                <w:sz w:val="12"/>
                <w:szCs w:val="12"/>
                <w:u w:val="single" w:color="auto"/>
                <w:color w:val="auto"/>
              </w:rPr>
            </w:pPr>
            <w:hyperlink w:anchor="page314">
              <w:r>
                <w:rPr>
                  <w:rFonts w:ascii="Arial" w:cs="Arial" w:eastAsia="Arial" w:hAnsi="Arial"/>
                  <w:sz w:val="12"/>
                  <w:szCs w:val="12"/>
                  <w:u w:val="single" w:color="auto"/>
                  <w:color w:val="auto"/>
                </w:rPr>
                <w:t>Section 906 Certification of Royal Dutch Shell plc.</w:t>
              </w:r>
            </w:hyperlink>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1060" w:type="dxa"/>
            <w:vAlign w:val="bottom"/>
          </w:tcPr>
          <w:p>
            <w:pPr>
              <w:spacing w:after="0"/>
              <w:rPr>
                <w:sz w:val="20"/>
                <w:szCs w:val="20"/>
                <w:color w:val="auto"/>
              </w:rPr>
            </w:pPr>
            <w:r>
              <w:rPr>
                <w:rFonts w:ascii="Arial" w:cs="Arial" w:eastAsia="Arial" w:hAnsi="Arial"/>
                <w:sz w:val="12"/>
                <w:szCs w:val="12"/>
                <w:color w:val="auto"/>
              </w:rPr>
              <w:t>99.1</w:t>
            </w:r>
          </w:p>
        </w:tc>
        <w:tc>
          <w:tcPr>
            <w:tcW w:w="4460" w:type="dxa"/>
            <w:vAlign w:val="bottom"/>
            <w:gridSpan w:val="6"/>
          </w:tcPr>
          <w:p>
            <w:pPr>
              <w:spacing w:after="0"/>
              <w:rPr>
                <w:rFonts w:ascii="Arial" w:cs="Arial" w:eastAsia="Arial" w:hAnsi="Arial"/>
                <w:sz w:val="12"/>
                <w:szCs w:val="12"/>
                <w:color w:val="auto"/>
              </w:rPr>
            </w:pPr>
            <w:hyperlink w:anchor="page315">
              <w:r>
                <w:rPr>
                  <w:rFonts w:ascii="Arial" w:cs="Arial" w:eastAsia="Arial" w:hAnsi="Arial"/>
                  <w:sz w:val="12"/>
                  <w:szCs w:val="12"/>
                  <w:u w:val="single" w:color="auto"/>
                  <w:color w:val="auto"/>
                </w:rPr>
                <w:t>Consent of Ernst &amp; Young LLP, London, United</w:t>
              </w:r>
              <w:r>
                <w:rPr>
                  <w:rFonts w:ascii="Arial" w:cs="Arial" w:eastAsia="Arial" w:hAnsi="Arial"/>
                  <w:sz w:val="12"/>
                  <w:szCs w:val="12"/>
                  <w:color w:val="auto"/>
                </w:rPr>
                <w:t xml:space="preserve"> </w:t>
              </w:r>
            </w:hyperlink>
            <w:r>
              <w:rPr>
                <w:rFonts w:ascii="Arial" w:cs="Arial" w:eastAsia="Arial" w:hAnsi="Arial"/>
                <w:sz w:val="12"/>
                <w:szCs w:val="12"/>
                <w:color w:val="auto"/>
              </w:rPr>
              <w:t>Kingdom</w:t>
            </w:r>
            <w:hyperlink w:anchor="page315">
              <w:r>
                <w:rPr>
                  <w:rFonts w:ascii="Arial" w:cs="Arial" w:eastAsia="Arial" w:hAnsi="Arial"/>
                  <w:sz w:val="12"/>
                  <w:szCs w:val="12"/>
                  <w:u w:val="single" w:color="auto"/>
                  <w:color w:val="auto"/>
                </w:rPr>
                <w:t>.</w:t>
              </w:r>
            </w:hyperlink>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1060" w:type="dxa"/>
            <w:vAlign w:val="bottom"/>
          </w:tcPr>
          <w:p>
            <w:pPr>
              <w:spacing w:after="0"/>
              <w:rPr>
                <w:sz w:val="20"/>
                <w:szCs w:val="20"/>
                <w:color w:val="auto"/>
              </w:rPr>
            </w:pPr>
            <w:r>
              <w:rPr>
                <w:rFonts w:ascii="Arial" w:cs="Arial" w:eastAsia="Arial" w:hAnsi="Arial"/>
                <w:sz w:val="12"/>
                <w:szCs w:val="12"/>
                <w:color w:val="auto"/>
              </w:rPr>
              <w:t>99.2</w:t>
            </w:r>
          </w:p>
        </w:tc>
        <w:tc>
          <w:tcPr>
            <w:tcW w:w="10240" w:type="dxa"/>
            <w:vAlign w:val="bottom"/>
            <w:gridSpan w:val="19"/>
          </w:tcPr>
          <w:p>
            <w:pPr>
              <w:spacing w:after="0"/>
              <w:rPr>
                <w:rFonts w:ascii="Arial" w:cs="Arial" w:eastAsia="Arial" w:hAnsi="Arial"/>
                <w:sz w:val="12"/>
                <w:szCs w:val="12"/>
                <w:u w:val="single" w:color="auto"/>
                <w:color w:val="auto"/>
              </w:rPr>
            </w:pPr>
            <w:hyperlink w:anchor="page316">
              <w:r>
                <w:rPr>
                  <w:rFonts w:ascii="Arial" w:cs="Arial" w:eastAsia="Arial" w:hAnsi="Arial"/>
                  <w:sz w:val="12"/>
                  <w:szCs w:val="12"/>
                  <w:u w:val="single" w:color="auto"/>
                  <w:color w:val="auto"/>
                </w:rPr>
                <w:t>Consent of Ernst &amp; Young LLP, London, United Kingdom, relating to the Royal Dutch Shell Dividend Access Trust.</w:t>
              </w:r>
            </w:hyperlink>
          </w:p>
        </w:tc>
      </w:tr>
      <w:tr>
        <w:trPr>
          <w:trHeight w:val="189"/>
        </w:trPr>
        <w:tc>
          <w:tcPr>
            <w:tcW w:w="1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101</w:t>
            </w:r>
          </w:p>
        </w:tc>
        <w:tc>
          <w:tcPr>
            <w:tcW w:w="4460" w:type="dxa"/>
            <w:vAlign w:val="bottom"/>
            <w:tcBorders>
              <w:bottom w:val="single" w:sz="8" w:color="auto"/>
            </w:tcBorders>
            <w:gridSpan w:val="6"/>
          </w:tcPr>
          <w:p>
            <w:pPr>
              <w:spacing w:after="0"/>
              <w:rPr>
                <w:sz w:val="20"/>
                <w:szCs w:val="20"/>
                <w:color w:val="auto"/>
              </w:rPr>
            </w:pPr>
            <w:r>
              <w:rPr>
                <w:rFonts w:ascii="Arial" w:cs="Arial" w:eastAsia="Arial" w:hAnsi="Arial"/>
                <w:sz w:val="12"/>
                <w:szCs w:val="12"/>
                <w:color w:val="auto"/>
              </w:rPr>
              <w:t>Interactive data files.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324"/>
        </w:trPr>
        <w:tc>
          <w:tcPr>
            <w:tcW w:w="5520" w:type="dxa"/>
            <w:vAlign w:val="bottom"/>
            <w:gridSpan w:val="7"/>
          </w:tcPr>
          <w:p>
            <w:pPr>
              <w:ind w:left="40"/>
              <w:spacing w:after="0"/>
              <w:rPr>
                <w:sz w:val="20"/>
                <w:szCs w:val="20"/>
                <w:color w:val="auto"/>
              </w:rPr>
            </w:pPr>
            <w:r>
              <w:rPr>
                <w:rFonts w:ascii="Arial" w:cs="Arial" w:eastAsia="Arial" w:hAnsi="Arial"/>
                <w:sz w:val="7"/>
                <w:szCs w:val="7"/>
                <w:color w:val="auto"/>
              </w:rPr>
              <w:t>ADDITIONAL INFORMATION SHELL FORM 20-F 2020</w:t>
            </w:r>
          </w:p>
        </w:tc>
        <w:tc>
          <w:tcPr>
            <w:tcW w:w="220" w:type="dxa"/>
            <w:vAlign w:val="bottom"/>
          </w:tcPr>
          <w:p>
            <w:pPr>
              <w:jc w:val="right"/>
              <w:ind w:right="64"/>
              <w:spacing w:after="0"/>
              <w:rPr>
                <w:sz w:val="20"/>
                <w:szCs w:val="20"/>
                <w:color w:val="auto"/>
              </w:rPr>
            </w:pPr>
            <w:r>
              <w:rPr>
                <w:rFonts w:ascii="Arial" w:cs="Arial" w:eastAsia="Arial" w:hAnsi="Arial"/>
                <w:sz w:val="7"/>
                <w:szCs w:val="7"/>
                <w:color w:val="auto"/>
                <w:w w:val="85"/>
              </w:rPr>
              <w:t>244</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3"/>
        </w:trPr>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2286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2">
                      <a:extLst>
                        <a:ext uri="{28A0092B-C50C-407E-A947-70E740481C1C}"/>
                      </a:extLst>
                    </a:blip>
                    <a:srcRect/>
                    <a:stretch>
                      <a:fillRect/>
                    </a:stretch>
                  </pic:blipFill>
                  <pic:spPr bwMode="auto">
                    <a:xfrm>
                      <a:off x="0" y="0"/>
                      <a:ext cx="462915" cy="2286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0"/>
          <w:szCs w:val="10"/>
          <w:color w:val="auto"/>
        </w:rPr>
        <w:t>The registrant hereby certifies that it meets all of the requirements for filing on Form 20-F and that it has duly caused and authorised the undersigned to sign this annual report on its behalf.</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Royal Dutch Shell plc</w:t>
      </w:r>
    </w:p>
    <w:p>
      <w:pPr>
        <w:spacing w:after="0" w:line="83" w:lineRule="exact"/>
        <w:rPr>
          <w:sz w:val="20"/>
          <w:szCs w:val="20"/>
          <w:color w:val="auto"/>
        </w:rPr>
      </w:pPr>
    </w:p>
    <w:p>
      <w:pPr>
        <w:spacing w:after="0"/>
        <w:rPr>
          <w:sz w:val="20"/>
          <w:szCs w:val="20"/>
          <w:color w:val="auto"/>
        </w:rPr>
      </w:pPr>
      <w:r>
        <w:rPr>
          <w:rFonts w:ascii="Arial" w:cs="Arial" w:eastAsia="Arial" w:hAnsi="Arial"/>
          <w:sz w:val="10"/>
          <w:szCs w:val="10"/>
          <w:color w:val="auto"/>
        </w:rPr>
        <w:t>/s/ Ben van Beurden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2651760" cy="57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3">
                      <a:extLst>
                        <a:ext uri="{28A0092B-C50C-407E-A947-70E740481C1C}"/>
                      </a:extLst>
                    </a:blip>
                    <a:srcRect/>
                    <a:stretch>
                      <a:fillRect/>
                    </a:stretch>
                  </pic:blipFill>
                  <pic:spPr bwMode="auto">
                    <a:xfrm>
                      <a:off x="0" y="0"/>
                      <a:ext cx="2651760" cy="571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0"/>
          <w:szCs w:val="10"/>
          <w:color w:val="auto"/>
        </w:rPr>
        <w:t>Ben van Beurden</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Chief Executive Officer</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March 10,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640" w:type="dxa"/>
            <w:vAlign w:val="bottom"/>
          </w:tcPr>
          <w:p>
            <w:pPr>
              <w:ind w:left="40"/>
              <w:spacing w:after="0"/>
              <w:rPr>
                <w:sz w:val="20"/>
                <w:szCs w:val="20"/>
                <w:color w:val="auto"/>
              </w:rPr>
            </w:pPr>
            <w:r>
              <w:rPr>
                <w:rFonts w:ascii="Arial" w:cs="Arial" w:eastAsia="Arial" w:hAnsi="Arial"/>
                <w:sz w:val="7"/>
                <w:szCs w:val="7"/>
                <w:color w:val="auto"/>
              </w:rPr>
              <w:t>ADDITIONAL INFORMATION SHELL FORM 20-F 2020</w:t>
            </w:r>
          </w:p>
        </w:tc>
        <w:tc>
          <w:tcPr>
            <w:tcW w:w="7660" w:type="dxa"/>
            <w:vAlign w:val="bottom"/>
          </w:tcPr>
          <w:p>
            <w:pPr>
              <w:jc w:val="right"/>
              <w:ind w:right="5624"/>
              <w:spacing w:after="0"/>
              <w:rPr>
                <w:sz w:val="20"/>
                <w:szCs w:val="20"/>
                <w:color w:val="auto"/>
              </w:rPr>
            </w:pPr>
            <w:r>
              <w:rPr>
                <w:rFonts w:ascii="Arial" w:cs="Arial" w:eastAsia="Arial" w:hAnsi="Arial"/>
                <w:sz w:val="7"/>
                <w:szCs w:val="7"/>
                <w:color w:val="auto"/>
              </w:rPr>
              <w:t>245</w:t>
            </w:r>
          </w:p>
        </w:tc>
      </w:tr>
      <w:tr>
        <w:trPr>
          <w:trHeight w:val="313"/>
        </w:trPr>
        <w:tc>
          <w:tcPr>
            <w:tcW w:w="364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48" w:name="page249"/>
    <w:bookmarkEnd w:id="248"/>
    <w:p>
      <w:pPr>
        <w:jc w:val="center"/>
        <w:ind w:right="20"/>
        <w:spacing w:after="0"/>
        <w:rPr>
          <w:sz w:val="20"/>
          <w:szCs w:val="20"/>
          <w:color w:val="auto"/>
        </w:rPr>
      </w:pPr>
      <w:r>
        <w:rPr>
          <w:rFonts w:ascii="Arial" w:cs="Arial" w:eastAsia="Arial" w:hAnsi="Arial"/>
          <w:sz w:val="10"/>
          <w:szCs w:val="10"/>
          <w:color w:val="auto"/>
        </w:rPr>
        <w:t>INTENTIONALLY LEFT BLANK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640" w:type="dxa"/>
            <w:vAlign w:val="bottom"/>
          </w:tcPr>
          <w:p>
            <w:pPr>
              <w:ind w:left="40"/>
              <w:spacing w:after="0"/>
              <w:rPr>
                <w:sz w:val="20"/>
                <w:szCs w:val="20"/>
                <w:color w:val="auto"/>
              </w:rPr>
            </w:pPr>
            <w:r>
              <w:rPr>
                <w:rFonts w:ascii="Arial" w:cs="Arial" w:eastAsia="Arial" w:hAnsi="Arial"/>
                <w:sz w:val="7"/>
                <w:szCs w:val="7"/>
                <w:color w:val="auto"/>
              </w:rPr>
              <w:t>ADDITIONAL INFORMATION SHELL FORM 20-F 2020</w:t>
            </w:r>
          </w:p>
        </w:tc>
        <w:tc>
          <w:tcPr>
            <w:tcW w:w="7660" w:type="dxa"/>
            <w:vAlign w:val="bottom"/>
          </w:tcPr>
          <w:p>
            <w:pPr>
              <w:jc w:val="right"/>
              <w:ind w:right="5624"/>
              <w:spacing w:after="0"/>
              <w:rPr>
                <w:sz w:val="20"/>
                <w:szCs w:val="20"/>
                <w:color w:val="auto"/>
              </w:rPr>
            </w:pPr>
            <w:r>
              <w:rPr>
                <w:rFonts w:ascii="Arial" w:cs="Arial" w:eastAsia="Arial" w:hAnsi="Arial"/>
                <w:sz w:val="7"/>
                <w:szCs w:val="7"/>
                <w:color w:val="auto"/>
              </w:rPr>
              <w:t>246</w:t>
            </w:r>
          </w:p>
        </w:tc>
      </w:tr>
      <w:tr>
        <w:trPr>
          <w:trHeight w:val="313"/>
        </w:trPr>
        <w:tc>
          <w:tcPr>
            <w:tcW w:w="364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49" w:name="page250"/>
    <w:bookmarkEnd w:id="249"/>
    <w:p>
      <w:pPr>
        <w:jc w:val="center"/>
        <w:ind w:right="20"/>
        <w:spacing w:after="0"/>
        <w:rPr>
          <w:sz w:val="20"/>
          <w:szCs w:val="20"/>
          <w:color w:val="auto"/>
        </w:rPr>
      </w:pPr>
      <w:r>
        <w:rPr>
          <w:rFonts w:ascii="Arial" w:cs="Arial" w:eastAsia="Arial" w:hAnsi="Arial"/>
          <w:sz w:val="10"/>
          <w:szCs w:val="10"/>
          <w:color w:val="auto"/>
        </w:rPr>
        <w:t>INTENTIONALLY LEFT BLANK</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640" w:type="dxa"/>
            <w:vAlign w:val="bottom"/>
          </w:tcPr>
          <w:p>
            <w:pPr>
              <w:ind w:left="40"/>
              <w:spacing w:after="0"/>
              <w:rPr>
                <w:sz w:val="20"/>
                <w:szCs w:val="20"/>
                <w:color w:val="auto"/>
              </w:rPr>
            </w:pPr>
            <w:r>
              <w:rPr>
                <w:rFonts w:ascii="Arial" w:cs="Arial" w:eastAsia="Arial" w:hAnsi="Arial"/>
                <w:sz w:val="7"/>
                <w:szCs w:val="7"/>
                <w:color w:val="auto"/>
              </w:rPr>
              <w:t>ADDITIONAL INFORMATION SHELL FORM 20-F 2020</w:t>
            </w:r>
          </w:p>
        </w:tc>
        <w:tc>
          <w:tcPr>
            <w:tcW w:w="7660" w:type="dxa"/>
            <w:vAlign w:val="bottom"/>
          </w:tcPr>
          <w:p>
            <w:pPr>
              <w:jc w:val="right"/>
              <w:ind w:right="5624"/>
              <w:spacing w:after="0"/>
              <w:rPr>
                <w:sz w:val="20"/>
                <w:szCs w:val="20"/>
                <w:color w:val="auto"/>
              </w:rPr>
            </w:pPr>
            <w:r>
              <w:rPr>
                <w:rFonts w:ascii="Arial" w:cs="Arial" w:eastAsia="Arial" w:hAnsi="Arial"/>
                <w:sz w:val="7"/>
                <w:szCs w:val="7"/>
                <w:color w:val="auto"/>
              </w:rPr>
              <w:t>247</w:t>
            </w:r>
          </w:p>
        </w:tc>
      </w:tr>
      <w:tr>
        <w:trPr>
          <w:trHeight w:val="313"/>
        </w:trPr>
        <w:tc>
          <w:tcPr>
            <w:tcW w:w="364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50" w:name="page251"/>
    <w:bookmarkEnd w:id="250"/>
    <w:p>
      <w:pPr>
        <w:ind w:left="8"/>
        <w:spacing w:after="0"/>
        <w:rPr>
          <w:sz w:val="20"/>
          <w:szCs w:val="20"/>
          <w:color w:val="auto"/>
        </w:rPr>
      </w:pPr>
      <w:r>
        <w:rPr>
          <w:rFonts w:ascii="Arial" w:cs="Arial" w:eastAsia="Arial" w:hAnsi="Arial"/>
          <w:sz w:val="12"/>
          <w:szCs w:val="12"/>
          <w:b w:val="1"/>
          <w:bCs w:val="1"/>
          <w:color w:val="auto"/>
        </w:rPr>
        <w:t>FINANCIAL CALENDAR IN 2021</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3240" w:type="dxa"/>
            <w:vAlign w:val="bottom"/>
          </w:tcPr>
          <w:p>
            <w:pPr>
              <w:spacing w:after="0"/>
              <w:rPr>
                <w:sz w:val="20"/>
                <w:szCs w:val="20"/>
                <w:color w:val="auto"/>
              </w:rPr>
            </w:pPr>
            <w:r>
              <w:rPr>
                <w:rFonts w:ascii="Arial" w:cs="Arial" w:eastAsia="Arial" w:hAnsi="Arial"/>
                <w:sz w:val="10"/>
                <w:szCs w:val="10"/>
                <w:color w:val="auto"/>
              </w:rPr>
              <w:t>The Annual General Meeting will be held on May 19, 2021.</w:t>
            </w:r>
          </w:p>
        </w:tc>
        <w:tc>
          <w:tcPr>
            <w:tcW w:w="24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98"/>
        </w:trPr>
        <w:tc>
          <w:tcPr>
            <w:tcW w:w="3240" w:type="dxa"/>
            <w:vAlign w:val="bottom"/>
          </w:tcPr>
          <w:p>
            <w:pPr>
              <w:spacing w:after="0"/>
              <w:rPr>
                <w:sz w:val="17"/>
                <w:szCs w:val="17"/>
                <w:color w:val="auto"/>
              </w:rPr>
            </w:pPr>
          </w:p>
        </w:tc>
        <w:tc>
          <w:tcPr>
            <w:tcW w:w="2480" w:type="dxa"/>
            <w:vAlign w:val="bottom"/>
          </w:tcPr>
          <w:p>
            <w:pPr>
              <w:ind w:left="1340"/>
              <w:spacing w:after="0"/>
              <w:rPr>
                <w:sz w:val="20"/>
                <w:szCs w:val="20"/>
                <w:color w:val="auto"/>
              </w:rPr>
            </w:pPr>
            <w:r>
              <w:rPr>
                <w:rFonts w:ascii="Arial" w:cs="Arial" w:eastAsia="Arial" w:hAnsi="Arial"/>
                <w:sz w:val="10"/>
                <w:szCs w:val="10"/>
                <w:color w:val="auto"/>
              </w:rPr>
              <w:t>2020 Fourth quarter [A]</w:t>
            </w:r>
          </w:p>
        </w:tc>
        <w:tc>
          <w:tcPr>
            <w:tcW w:w="1760" w:type="dxa"/>
            <w:vAlign w:val="bottom"/>
          </w:tcPr>
          <w:p>
            <w:pPr>
              <w:ind w:left="680"/>
              <w:spacing w:after="0"/>
              <w:rPr>
                <w:sz w:val="20"/>
                <w:szCs w:val="20"/>
                <w:color w:val="auto"/>
              </w:rPr>
            </w:pPr>
            <w:r>
              <w:rPr>
                <w:rFonts w:ascii="Arial" w:cs="Arial" w:eastAsia="Arial" w:hAnsi="Arial"/>
                <w:sz w:val="10"/>
                <w:szCs w:val="10"/>
                <w:color w:val="auto"/>
              </w:rPr>
              <w:t>2021 First quarter [B]</w:t>
            </w:r>
          </w:p>
        </w:tc>
        <w:tc>
          <w:tcPr>
            <w:tcW w:w="1820" w:type="dxa"/>
            <w:vAlign w:val="bottom"/>
          </w:tcPr>
          <w:p>
            <w:pPr>
              <w:ind w:left="660"/>
              <w:spacing w:after="0"/>
              <w:rPr>
                <w:sz w:val="20"/>
                <w:szCs w:val="20"/>
                <w:color w:val="auto"/>
              </w:rPr>
            </w:pPr>
            <w:r>
              <w:rPr>
                <w:rFonts w:ascii="Arial" w:cs="Arial" w:eastAsia="Arial" w:hAnsi="Arial"/>
                <w:sz w:val="10"/>
                <w:szCs w:val="10"/>
                <w:color w:val="auto"/>
              </w:rPr>
              <w:t>2021 Second quarter [B]</w:t>
            </w:r>
          </w:p>
        </w:tc>
        <w:tc>
          <w:tcPr>
            <w:tcW w:w="1520" w:type="dxa"/>
            <w:vAlign w:val="bottom"/>
          </w:tcPr>
          <w:p>
            <w:pPr>
              <w:ind w:left="660"/>
              <w:spacing w:after="0"/>
              <w:rPr>
                <w:sz w:val="20"/>
                <w:szCs w:val="20"/>
                <w:color w:val="auto"/>
              </w:rPr>
            </w:pPr>
            <w:r>
              <w:rPr>
                <w:rFonts w:ascii="Arial" w:cs="Arial" w:eastAsia="Arial" w:hAnsi="Arial"/>
                <w:sz w:val="10"/>
                <w:szCs w:val="10"/>
                <w:color w:val="auto"/>
                <w:w w:val="86"/>
              </w:rPr>
              <w:t>2021 Third quarter [B]</w:t>
            </w:r>
          </w:p>
        </w:tc>
      </w:tr>
      <w:tr>
        <w:trPr>
          <w:trHeight w:val="113"/>
        </w:trPr>
        <w:tc>
          <w:tcPr>
            <w:tcW w:w="3240" w:type="dxa"/>
            <w:vAlign w:val="bottom"/>
          </w:tcPr>
          <w:p>
            <w:pPr>
              <w:ind w:left="20"/>
              <w:spacing w:after="0"/>
              <w:rPr>
                <w:sz w:val="20"/>
                <w:szCs w:val="20"/>
                <w:color w:val="auto"/>
              </w:rPr>
            </w:pPr>
            <w:r>
              <w:rPr>
                <w:rFonts w:ascii="Arial" w:cs="Arial" w:eastAsia="Arial" w:hAnsi="Arial"/>
                <w:sz w:val="8"/>
                <w:szCs w:val="8"/>
                <w:color w:val="auto"/>
              </w:rPr>
              <w:t>Results announcements</w:t>
            </w:r>
          </w:p>
        </w:tc>
        <w:tc>
          <w:tcPr>
            <w:tcW w:w="2480" w:type="dxa"/>
            <w:vAlign w:val="bottom"/>
          </w:tcPr>
          <w:p>
            <w:pPr>
              <w:ind w:left="920"/>
              <w:spacing w:after="0"/>
              <w:rPr>
                <w:sz w:val="20"/>
                <w:szCs w:val="20"/>
                <w:color w:val="auto"/>
              </w:rPr>
            </w:pPr>
            <w:r>
              <w:rPr>
                <w:rFonts w:ascii="Arial" w:cs="Arial" w:eastAsia="Arial" w:hAnsi="Arial"/>
                <w:sz w:val="8"/>
                <w:szCs w:val="8"/>
                <w:color w:val="auto"/>
              </w:rPr>
              <w:t>February 4</w:t>
            </w:r>
          </w:p>
        </w:tc>
        <w:tc>
          <w:tcPr>
            <w:tcW w:w="1760" w:type="dxa"/>
            <w:vAlign w:val="bottom"/>
          </w:tcPr>
          <w:p>
            <w:pPr>
              <w:ind w:left="220"/>
              <w:spacing w:after="0"/>
              <w:rPr>
                <w:sz w:val="20"/>
                <w:szCs w:val="20"/>
                <w:color w:val="auto"/>
              </w:rPr>
            </w:pPr>
            <w:r>
              <w:rPr>
                <w:rFonts w:ascii="Arial" w:cs="Arial" w:eastAsia="Arial" w:hAnsi="Arial"/>
                <w:sz w:val="8"/>
                <w:szCs w:val="8"/>
                <w:color w:val="auto"/>
              </w:rPr>
              <w:t>April 29</w:t>
            </w:r>
          </w:p>
        </w:tc>
        <w:tc>
          <w:tcPr>
            <w:tcW w:w="1820" w:type="dxa"/>
            <w:vAlign w:val="bottom"/>
          </w:tcPr>
          <w:p>
            <w:pPr>
              <w:ind w:left="240"/>
              <w:spacing w:after="0"/>
              <w:rPr>
                <w:sz w:val="20"/>
                <w:szCs w:val="20"/>
                <w:color w:val="auto"/>
              </w:rPr>
            </w:pPr>
            <w:r>
              <w:rPr>
                <w:rFonts w:ascii="Arial" w:cs="Arial" w:eastAsia="Arial" w:hAnsi="Arial"/>
                <w:sz w:val="8"/>
                <w:szCs w:val="8"/>
                <w:color w:val="auto"/>
              </w:rPr>
              <w:t>July 29</w:t>
            </w:r>
          </w:p>
        </w:tc>
        <w:tc>
          <w:tcPr>
            <w:tcW w:w="1520" w:type="dxa"/>
            <w:vAlign w:val="bottom"/>
          </w:tcPr>
          <w:p>
            <w:pPr>
              <w:ind w:left="200"/>
              <w:spacing w:after="0"/>
              <w:rPr>
                <w:sz w:val="20"/>
                <w:szCs w:val="20"/>
                <w:color w:val="auto"/>
              </w:rPr>
            </w:pPr>
            <w:r>
              <w:rPr>
                <w:rFonts w:ascii="Arial" w:cs="Arial" w:eastAsia="Arial" w:hAnsi="Arial"/>
                <w:sz w:val="8"/>
                <w:szCs w:val="8"/>
                <w:color w:val="auto"/>
              </w:rPr>
              <w:t>October 28</w:t>
            </w:r>
          </w:p>
        </w:tc>
      </w:tr>
      <w:tr>
        <w:trPr>
          <w:trHeight w:val="117"/>
        </w:trPr>
        <w:tc>
          <w:tcPr>
            <w:tcW w:w="3240" w:type="dxa"/>
            <w:vAlign w:val="bottom"/>
          </w:tcPr>
          <w:p>
            <w:pPr>
              <w:ind w:left="20"/>
              <w:spacing w:after="0"/>
              <w:rPr>
                <w:sz w:val="20"/>
                <w:szCs w:val="20"/>
                <w:color w:val="auto"/>
              </w:rPr>
            </w:pPr>
            <w:r>
              <w:rPr>
                <w:rFonts w:ascii="Arial" w:cs="Arial" w:eastAsia="Arial" w:hAnsi="Arial"/>
                <w:sz w:val="8"/>
                <w:szCs w:val="8"/>
                <w:color w:val="auto"/>
              </w:rPr>
              <w:t>Interim dividend timetable</w:t>
            </w:r>
          </w:p>
        </w:tc>
        <w:tc>
          <w:tcPr>
            <w:tcW w:w="24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17"/>
        </w:trPr>
        <w:tc>
          <w:tcPr>
            <w:tcW w:w="3240" w:type="dxa"/>
            <w:vAlign w:val="bottom"/>
          </w:tcPr>
          <w:p>
            <w:pPr>
              <w:ind w:left="20"/>
              <w:spacing w:after="0"/>
              <w:rPr>
                <w:sz w:val="20"/>
                <w:szCs w:val="20"/>
                <w:color w:val="auto"/>
              </w:rPr>
            </w:pPr>
            <w:r>
              <w:rPr>
                <w:rFonts w:ascii="Arial" w:cs="Arial" w:eastAsia="Arial" w:hAnsi="Arial"/>
                <w:sz w:val="8"/>
                <w:szCs w:val="8"/>
                <w:color w:val="auto"/>
              </w:rPr>
              <w:t>Announcement date</w:t>
            </w:r>
          </w:p>
        </w:tc>
        <w:tc>
          <w:tcPr>
            <w:tcW w:w="2480" w:type="dxa"/>
            <w:vAlign w:val="bottom"/>
          </w:tcPr>
          <w:p>
            <w:pPr>
              <w:ind w:left="920"/>
              <w:spacing w:after="0"/>
              <w:rPr>
                <w:sz w:val="20"/>
                <w:szCs w:val="20"/>
                <w:color w:val="auto"/>
              </w:rPr>
            </w:pPr>
            <w:r>
              <w:rPr>
                <w:rFonts w:ascii="Arial" w:cs="Arial" w:eastAsia="Arial" w:hAnsi="Arial"/>
                <w:sz w:val="8"/>
                <w:szCs w:val="8"/>
                <w:color w:val="auto"/>
              </w:rPr>
              <w:t>February 4 [C]</w:t>
            </w:r>
          </w:p>
        </w:tc>
        <w:tc>
          <w:tcPr>
            <w:tcW w:w="1760" w:type="dxa"/>
            <w:vAlign w:val="bottom"/>
          </w:tcPr>
          <w:p>
            <w:pPr>
              <w:ind w:left="220"/>
              <w:spacing w:after="0"/>
              <w:rPr>
                <w:sz w:val="20"/>
                <w:szCs w:val="20"/>
                <w:color w:val="auto"/>
              </w:rPr>
            </w:pPr>
            <w:r>
              <w:rPr>
                <w:rFonts w:ascii="Arial" w:cs="Arial" w:eastAsia="Arial" w:hAnsi="Arial"/>
                <w:sz w:val="8"/>
                <w:szCs w:val="8"/>
                <w:color w:val="auto"/>
              </w:rPr>
              <w:t>April 29</w:t>
            </w:r>
          </w:p>
        </w:tc>
        <w:tc>
          <w:tcPr>
            <w:tcW w:w="1820" w:type="dxa"/>
            <w:vAlign w:val="bottom"/>
          </w:tcPr>
          <w:p>
            <w:pPr>
              <w:ind w:left="240"/>
              <w:spacing w:after="0"/>
              <w:rPr>
                <w:sz w:val="20"/>
                <w:szCs w:val="20"/>
                <w:color w:val="auto"/>
              </w:rPr>
            </w:pPr>
            <w:r>
              <w:rPr>
                <w:rFonts w:ascii="Arial" w:cs="Arial" w:eastAsia="Arial" w:hAnsi="Arial"/>
                <w:sz w:val="8"/>
                <w:szCs w:val="8"/>
                <w:color w:val="auto"/>
              </w:rPr>
              <w:t>July 29</w:t>
            </w:r>
          </w:p>
        </w:tc>
        <w:tc>
          <w:tcPr>
            <w:tcW w:w="1520" w:type="dxa"/>
            <w:vAlign w:val="bottom"/>
          </w:tcPr>
          <w:p>
            <w:pPr>
              <w:ind w:left="200"/>
              <w:spacing w:after="0"/>
              <w:rPr>
                <w:sz w:val="20"/>
                <w:szCs w:val="20"/>
                <w:color w:val="auto"/>
              </w:rPr>
            </w:pPr>
            <w:r>
              <w:rPr>
                <w:rFonts w:ascii="Arial" w:cs="Arial" w:eastAsia="Arial" w:hAnsi="Arial"/>
                <w:sz w:val="8"/>
                <w:szCs w:val="8"/>
                <w:color w:val="auto"/>
              </w:rPr>
              <w:t>October 28</w:t>
            </w:r>
          </w:p>
        </w:tc>
      </w:tr>
      <w:tr>
        <w:trPr>
          <w:trHeight w:val="117"/>
        </w:trPr>
        <w:tc>
          <w:tcPr>
            <w:tcW w:w="3240" w:type="dxa"/>
            <w:vAlign w:val="bottom"/>
          </w:tcPr>
          <w:p>
            <w:pPr>
              <w:ind w:left="20"/>
              <w:spacing w:after="0"/>
              <w:rPr>
                <w:sz w:val="20"/>
                <w:szCs w:val="20"/>
                <w:color w:val="auto"/>
              </w:rPr>
            </w:pPr>
            <w:r>
              <w:rPr>
                <w:rFonts w:ascii="Arial" w:cs="Arial" w:eastAsia="Arial" w:hAnsi="Arial"/>
                <w:sz w:val="8"/>
                <w:szCs w:val="8"/>
                <w:color w:val="auto"/>
              </w:rPr>
              <w:t>Ex-dividend date [D]</w:t>
            </w:r>
          </w:p>
        </w:tc>
        <w:tc>
          <w:tcPr>
            <w:tcW w:w="2480" w:type="dxa"/>
            <w:vAlign w:val="bottom"/>
          </w:tcPr>
          <w:p>
            <w:pPr>
              <w:ind w:left="920"/>
              <w:spacing w:after="0"/>
              <w:rPr>
                <w:sz w:val="20"/>
                <w:szCs w:val="20"/>
                <w:color w:val="auto"/>
              </w:rPr>
            </w:pPr>
            <w:r>
              <w:rPr>
                <w:rFonts w:ascii="Arial" w:cs="Arial" w:eastAsia="Arial" w:hAnsi="Arial"/>
                <w:sz w:val="8"/>
                <w:szCs w:val="8"/>
                <w:color w:val="auto"/>
              </w:rPr>
              <w:t>February 18</w:t>
            </w:r>
          </w:p>
        </w:tc>
        <w:tc>
          <w:tcPr>
            <w:tcW w:w="1760" w:type="dxa"/>
            <w:vAlign w:val="bottom"/>
          </w:tcPr>
          <w:p>
            <w:pPr>
              <w:ind w:left="220"/>
              <w:spacing w:after="0"/>
              <w:rPr>
                <w:sz w:val="20"/>
                <w:szCs w:val="20"/>
                <w:color w:val="auto"/>
              </w:rPr>
            </w:pPr>
            <w:r>
              <w:rPr>
                <w:rFonts w:ascii="Arial" w:cs="Arial" w:eastAsia="Arial" w:hAnsi="Arial"/>
                <w:sz w:val="8"/>
                <w:szCs w:val="8"/>
                <w:color w:val="auto"/>
              </w:rPr>
              <w:t>May 13</w:t>
            </w:r>
          </w:p>
        </w:tc>
        <w:tc>
          <w:tcPr>
            <w:tcW w:w="1820" w:type="dxa"/>
            <w:vAlign w:val="bottom"/>
          </w:tcPr>
          <w:p>
            <w:pPr>
              <w:ind w:left="240"/>
              <w:spacing w:after="0"/>
              <w:rPr>
                <w:sz w:val="20"/>
                <w:szCs w:val="20"/>
                <w:color w:val="auto"/>
              </w:rPr>
            </w:pPr>
            <w:r>
              <w:rPr>
                <w:rFonts w:ascii="Arial" w:cs="Arial" w:eastAsia="Arial" w:hAnsi="Arial"/>
                <w:sz w:val="8"/>
                <w:szCs w:val="8"/>
                <w:color w:val="auto"/>
              </w:rPr>
              <w:t>August 12</w:t>
            </w:r>
          </w:p>
        </w:tc>
        <w:tc>
          <w:tcPr>
            <w:tcW w:w="1520" w:type="dxa"/>
            <w:vAlign w:val="bottom"/>
          </w:tcPr>
          <w:p>
            <w:pPr>
              <w:ind w:left="200"/>
              <w:spacing w:after="0"/>
              <w:rPr>
                <w:sz w:val="20"/>
                <w:szCs w:val="20"/>
                <w:color w:val="auto"/>
              </w:rPr>
            </w:pPr>
            <w:r>
              <w:rPr>
                <w:rFonts w:ascii="Arial" w:cs="Arial" w:eastAsia="Arial" w:hAnsi="Arial"/>
                <w:sz w:val="8"/>
                <w:szCs w:val="8"/>
                <w:color w:val="auto"/>
              </w:rPr>
              <w:t>November 11</w:t>
            </w:r>
          </w:p>
        </w:tc>
      </w:tr>
      <w:tr>
        <w:trPr>
          <w:trHeight w:val="117"/>
        </w:trPr>
        <w:tc>
          <w:tcPr>
            <w:tcW w:w="3240" w:type="dxa"/>
            <w:vAlign w:val="bottom"/>
          </w:tcPr>
          <w:p>
            <w:pPr>
              <w:ind w:left="20"/>
              <w:spacing w:after="0"/>
              <w:rPr>
                <w:sz w:val="20"/>
                <w:szCs w:val="20"/>
                <w:color w:val="auto"/>
              </w:rPr>
            </w:pPr>
            <w:r>
              <w:rPr>
                <w:rFonts w:ascii="Arial" w:cs="Arial" w:eastAsia="Arial" w:hAnsi="Arial"/>
                <w:sz w:val="8"/>
                <w:szCs w:val="8"/>
                <w:color w:val="auto"/>
              </w:rPr>
              <w:t>Record date</w:t>
            </w:r>
          </w:p>
        </w:tc>
        <w:tc>
          <w:tcPr>
            <w:tcW w:w="2480" w:type="dxa"/>
            <w:vAlign w:val="bottom"/>
          </w:tcPr>
          <w:p>
            <w:pPr>
              <w:ind w:left="920"/>
              <w:spacing w:after="0"/>
              <w:rPr>
                <w:sz w:val="20"/>
                <w:szCs w:val="20"/>
                <w:color w:val="auto"/>
              </w:rPr>
            </w:pPr>
            <w:r>
              <w:rPr>
                <w:rFonts w:ascii="Arial" w:cs="Arial" w:eastAsia="Arial" w:hAnsi="Arial"/>
                <w:sz w:val="8"/>
                <w:szCs w:val="8"/>
                <w:color w:val="auto"/>
              </w:rPr>
              <w:t>February 19</w:t>
            </w:r>
          </w:p>
        </w:tc>
        <w:tc>
          <w:tcPr>
            <w:tcW w:w="1760" w:type="dxa"/>
            <w:vAlign w:val="bottom"/>
          </w:tcPr>
          <w:p>
            <w:pPr>
              <w:ind w:left="220"/>
              <w:spacing w:after="0"/>
              <w:rPr>
                <w:sz w:val="20"/>
                <w:szCs w:val="20"/>
                <w:color w:val="auto"/>
              </w:rPr>
            </w:pPr>
            <w:r>
              <w:rPr>
                <w:rFonts w:ascii="Arial" w:cs="Arial" w:eastAsia="Arial" w:hAnsi="Arial"/>
                <w:sz w:val="8"/>
                <w:szCs w:val="8"/>
                <w:color w:val="auto"/>
              </w:rPr>
              <w:t>May 14</w:t>
            </w:r>
          </w:p>
        </w:tc>
        <w:tc>
          <w:tcPr>
            <w:tcW w:w="1820" w:type="dxa"/>
            <w:vAlign w:val="bottom"/>
          </w:tcPr>
          <w:p>
            <w:pPr>
              <w:ind w:left="240"/>
              <w:spacing w:after="0"/>
              <w:rPr>
                <w:sz w:val="20"/>
                <w:szCs w:val="20"/>
                <w:color w:val="auto"/>
              </w:rPr>
            </w:pPr>
            <w:r>
              <w:rPr>
                <w:rFonts w:ascii="Arial" w:cs="Arial" w:eastAsia="Arial" w:hAnsi="Arial"/>
                <w:sz w:val="8"/>
                <w:szCs w:val="8"/>
                <w:color w:val="auto"/>
              </w:rPr>
              <w:t>August 13</w:t>
            </w:r>
          </w:p>
        </w:tc>
        <w:tc>
          <w:tcPr>
            <w:tcW w:w="1520" w:type="dxa"/>
            <w:vAlign w:val="bottom"/>
          </w:tcPr>
          <w:p>
            <w:pPr>
              <w:ind w:left="200"/>
              <w:spacing w:after="0"/>
              <w:rPr>
                <w:sz w:val="20"/>
                <w:szCs w:val="20"/>
                <w:color w:val="auto"/>
              </w:rPr>
            </w:pPr>
            <w:r>
              <w:rPr>
                <w:rFonts w:ascii="Arial" w:cs="Arial" w:eastAsia="Arial" w:hAnsi="Arial"/>
                <w:sz w:val="8"/>
                <w:szCs w:val="8"/>
                <w:color w:val="auto"/>
              </w:rPr>
              <w:t>November 12</w:t>
            </w:r>
          </w:p>
        </w:tc>
      </w:tr>
      <w:tr>
        <w:trPr>
          <w:trHeight w:val="117"/>
        </w:trPr>
        <w:tc>
          <w:tcPr>
            <w:tcW w:w="3240" w:type="dxa"/>
            <w:vAlign w:val="bottom"/>
          </w:tcPr>
          <w:p>
            <w:pPr>
              <w:ind w:left="20"/>
              <w:spacing w:after="0"/>
              <w:rPr>
                <w:sz w:val="20"/>
                <w:szCs w:val="20"/>
                <w:color w:val="auto"/>
              </w:rPr>
            </w:pPr>
            <w:r>
              <w:rPr>
                <w:rFonts w:ascii="Arial" w:cs="Arial" w:eastAsia="Arial" w:hAnsi="Arial"/>
                <w:sz w:val="8"/>
                <w:szCs w:val="8"/>
                <w:color w:val="auto"/>
              </w:rPr>
              <w:t>Closing of currency election date [E]</w:t>
            </w:r>
          </w:p>
        </w:tc>
        <w:tc>
          <w:tcPr>
            <w:tcW w:w="2480" w:type="dxa"/>
            <w:vAlign w:val="bottom"/>
          </w:tcPr>
          <w:p>
            <w:pPr>
              <w:ind w:left="920"/>
              <w:spacing w:after="0"/>
              <w:rPr>
                <w:sz w:val="20"/>
                <w:szCs w:val="20"/>
                <w:color w:val="auto"/>
              </w:rPr>
            </w:pPr>
            <w:r>
              <w:rPr>
                <w:rFonts w:ascii="Arial" w:cs="Arial" w:eastAsia="Arial" w:hAnsi="Arial"/>
                <w:sz w:val="8"/>
                <w:szCs w:val="8"/>
                <w:color w:val="auto"/>
              </w:rPr>
              <w:t>March 5</w:t>
            </w:r>
          </w:p>
        </w:tc>
        <w:tc>
          <w:tcPr>
            <w:tcW w:w="1760" w:type="dxa"/>
            <w:vAlign w:val="bottom"/>
          </w:tcPr>
          <w:p>
            <w:pPr>
              <w:ind w:left="220"/>
              <w:spacing w:after="0"/>
              <w:rPr>
                <w:sz w:val="20"/>
                <w:szCs w:val="20"/>
                <w:color w:val="auto"/>
              </w:rPr>
            </w:pPr>
            <w:r>
              <w:rPr>
                <w:rFonts w:ascii="Arial" w:cs="Arial" w:eastAsia="Arial" w:hAnsi="Arial"/>
                <w:sz w:val="8"/>
                <w:szCs w:val="8"/>
                <w:color w:val="auto"/>
              </w:rPr>
              <w:t>May 28</w:t>
            </w:r>
          </w:p>
        </w:tc>
        <w:tc>
          <w:tcPr>
            <w:tcW w:w="1820" w:type="dxa"/>
            <w:vAlign w:val="bottom"/>
          </w:tcPr>
          <w:p>
            <w:pPr>
              <w:ind w:left="240"/>
              <w:spacing w:after="0"/>
              <w:rPr>
                <w:sz w:val="20"/>
                <w:szCs w:val="20"/>
                <w:color w:val="auto"/>
              </w:rPr>
            </w:pPr>
            <w:r>
              <w:rPr>
                <w:rFonts w:ascii="Arial" w:cs="Arial" w:eastAsia="Arial" w:hAnsi="Arial"/>
                <w:sz w:val="8"/>
                <w:szCs w:val="8"/>
                <w:color w:val="auto"/>
              </w:rPr>
              <w:t>August 27</w:t>
            </w:r>
          </w:p>
        </w:tc>
        <w:tc>
          <w:tcPr>
            <w:tcW w:w="1520" w:type="dxa"/>
            <w:vAlign w:val="bottom"/>
          </w:tcPr>
          <w:p>
            <w:pPr>
              <w:ind w:left="200"/>
              <w:spacing w:after="0"/>
              <w:rPr>
                <w:sz w:val="20"/>
                <w:szCs w:val="20"/>
                <w:color w:val="auto"/>
              </w:rPr>
            </w:pPr>
            <w:r>
              <w:rPr>
                <w:rFonts w:ascii="Arial" w:cs="Arial" w:eastAsia="Arial" w:hAnsi="Arial"/>
                <w:sz w:val="8"/>
                <w:szCs w:val="8"/>
                <w:color w:val="auto"/>
              </w:rPr>
              <w:t>November 26</w:t>
            </w:r>
          </w:p>
        </w:tc>
      </w:tr>
      <w:tr>
        <w:trPr>
          <w:trHeight w:val="117"/>
        </w:trPr>
        <w:tc>
          <w:tcPr>
            <w:tcW w:w="3240" w:type="dxa"/>
            <w:vAlign w:val="bottom"/>
          </w:tcPr>
          <w:p>
            <w:pPr>
              <w:ind w:left="20"/>
              <w:spacing w:after="0"/>
              <w:rPr>
                <w:sz w:val="20"/>
                <w:szCs w:val="20"/>
                <w:color w:val="auto"/>
              </w:rPr>
            </w:pPr>
            <w:r>
              <w:rPr>
                <w:rFonts w:ascii="Arial" w:cs="Arial" w:eastAsia="Arial" w:hAnsi="Arial"/>
                <w:sz w:val="8"/>
                <w:szCs w:val="8"/>
                <w:color w:val="auto"/>
              </w:rPr>
              <w:t>Pounds sterling and euro equivalents announcement date</w:t>
            </w:r>
          </w:p>
        </w:tc>
        <w:tc>
          <w:tcPr>
            <w:tcW w:w="2480" w:type="dxa"/>
            <w:vAlign w:val="bottom"/>
          </w:tcPr>
          <w:p>
            <w:pPr>
              <w:ind w:left="920"/>
              <w:spacing w:after="0"/>
              <w:rPr>
                <w:sz w:val="20"/>
                <w:szCs w:val="20"/>
                <w:color w:val="auto"/>
              </w:rPr>
            </w:pPr>
            <w:r>
              <w:rPr>
                <w:rFonts w:ascii="Arial" w:cs="Arial" w:eastAsia="Arial" w:hAnsi="Arial"/>
                <w:sz w:val="8"/>
                <w:szCs w:val="8"/>
                <w:color w:val="auto"/>
              </w:rPr>
              <w:t>March 15</w:t>
            </w:r>
          </w:p>
        </w:tc>
        <w:tc>
          <w:tcPr>
            <w:tcW w:w="1760" w:type="dxa"/>
            <w:vAlign w:val="bottom"/>
          </w:tcPr>
          <w:p>
            <w:pPr>
              <w:ind w:left="220"/>
              <w:spacing w:after="0"/>
              <w:rPr>
                <w:sz w:val="20"/>
                <w:szCs w:val="20"/>
                <w:color w:val="auto"/>
              </w:rPr>
            </w:pPr>
            <w:r>
              <w:rPr>
                <w:rFonts w:ascii="Arial" w:cs="Arial" w:eastAsia="Arial" w:hAnsi="Arial"/>
                <w:sz w:val="8"/>
                <w:szCs w:val="8"/>
                <w:color w:val="auto"/>
              </w:rPr>
              <w:t>June 7</w:t>
            </w:r>
          </w:p>
        </w:tc>
        <w:tc>
          <w:tcPr>
            <w:tcW w:w="1820" w:type="dxa"/>
            <w:vAlign w:val="bottom"/>
          </w:tcPr>
          <w:p>
            <w:pPr>
              <w:ind w:left="240"/>
              <w:spacing w:after="0"/>
              <w:rPr>
                <w:sz w:val="20"/>
                <w:szCs w:val="20"/>
                <w:color w:val="auto"/>
              </w:rPr>
            </w:pPr>
            <w:r>
              <w:rPr>
                <w:rFonts w:ascii="Arial" w:cs="Arial" w:eastAsia="Arial" w:hAnsi="Arial"/>
                <w:sz w:val="8"/>
                <w:szCs w:val="8"/>
                <w:color w:val="auto"/>
              </w:rPr>
              <w:t>September 6</w:t>
            </w:r>
          </w:p>
        </w:tc>
        <w:tc>
          <w:tcPr>
            <w:tcW w:w="1520" w:type="dxa"/>
            <w:vAlign w:val="bottom"/>
          </w:tcPr>
          <w:p>
            <w:pPr>
              <w:ind w:left="200"/>
              <w:spacing w:after="0"/>
              <w:rPr>
                <w:sz w:val="20"/>
                <w:szCs w:val="20"/>
                <w:color w:val="auto"/>
              </w:rPr>
            </w:pPr>
            <w:r>
              <w:rPr>
                <w:rFonts w:ascii="Arial" w:cs="Arial" w:eastAsia="Arial" w:hAnsi="Arial"/>
                <w:sz w:val="8"/>
                <w:szCs w:val="8"/>
                <w:color w:val="auto"/>
              </w:rPr>
              <w:t>December 6</w:t>
            </w:r>
          </w:p>
        </w:tc>
      </w:tr>
      <w:tr>
        <w:trPr>
          <w:trHeight w:val="117"/>
        </w:trPr>
        <w:tc>
          <w:tcPr>
            <w:tcW w:w="3240" w:type="dxa"/>
            <w:vAlign w:val="bottom"/>
          </w:tcPr>
          <w:p>
            <w:pPr>
              <w:ind w:left="20"/>
              <w:spacing w:after="0"/>
              <w:rPr>
                <w:sz w:val="20"/>
                <w:szCs w:val="20"/>
                <w:color w:val="auto"/>
              </w:rPr>
            </w:pPr>
            <w:r>
              <w:rPr>
                <w:rFonts w:ascii="Arial" w:cs="Arial" w:eastAsia="Arial" w:hAnsi="Arial"/>
                <w:sz w:val="8"/>
                <w:szCs w:val="8"/>
                <w:color w:val="auto"/>
              </w:rPr>
              <w:t>Payment date</w:t>
            </w:r>
          </w:p>
        </w:tc>
        <w:tc>
          <w:tcPr>
            <w:tcW w:w="2480" w:type="dxa"/>
            <w:vAlign w:val="bottom"/>
          </w:tcPr>
          <w:p>
            <w:pPr>
              <w:ind w:left="920"/>
              <w:spacing w:after="0"/>
              <w:rPr>
                <w:sz w:val="20"/>
                <w:szCs w:val="20"/>
                <w:color w:val="auto"/>
              </w:rPr>
            </w:pPr>
            <w:r>
              <w:rPr>
                <w:rFonts w:ascii="Arial" w:cs="Arial" w:eastAsia="Arial" w:hAnsi="Arial"/>
                <w:sz w:val="8"/>
                <w:szCs w:val="8"/>
                <w:color w:val="auto"/>
              </w:rPr>
              <w:t>March 29</w:t>
            </w:r>
          </w:p>
        </w:tc>
        <w:tc>
          <w:tcPr>
            <w:tcW w:w="1760" w:type="dxa"/>
            <w:vAlign w:val="bottom"/>
          </w:tcPr>
          <w:p>
            <w:pPr>
              <w:ind w:left="220"/>
              <w:spacing w:after="0"/>
              <w:rPr>
                <w:sz w:val="20"/>
                <w:szCs w:val="20"/>
                <w:color w:val="auto"/>
              </w:rPr>
            </w:pPr>
            <w:r>
              <w:rPr>
                <w:rFonts w:ascii="Arial" w:cs="Arial" w:eastAsia="Arial" w:hAnsi="Arial"/>
                <w:sz w:val="8"/>
                <w:szCs w:val="8"/>
                <w:color w:val="auto"/>
              </w:rPr>
              <w:t>June 21</w:t>
            </w:r>
          </w:p>
        </w:tc>
        <w:tc>
          <w:tcPr>
            <w:tcW w:w="1820" w:type="dxa"/>
            <w:vAlign w:val="bottom"/>
          </w:tcPr>
          <w:p>
            <w:pPr>
              <w:ind w:left="240"/>
              <w:spacing w:after="0"/>
              <w:rPr>
                <w:sz w:val="20"/>
                <w:szCs w:val="20"/>
                <w:color w:val="auto"/>
              </w:rPr>
            </w:pPr>
            <w:r>
              <w:rPr>
                <w:rFonts w:ascii="Arial" w:cs="Arial" w:eastAsia="Arial" w:hAnsi="Arial"/>
                <w:sz w:val="8"/>
                <w:szCs w:val="8"/>
                <w:color w:val="auto"/>
              </w:rPr>
              <w:t>September 20</w:t>
            </w:r>
          </w:p>
        </w:tc>
        <w:tc>
          <w:tcPr>
            <w:tcW w:w="1520" w:type="dxa"/>
            <w:vAlign w:val="bottom"/>
          </w:tcPr>
          <w:p>
            <w:pPr>
              <w:ind w:left="200"/>
              <w:spacing w:after="0"/>
              <w:rPr>
                <w:sz w:val="20"/>
                <w:szCs w:val="20"/>
                <w:color w:val="auto"/>
              </w:rPr>
            </w:pPr>
            <w:r>
              <w:rPr>
                <w:rFonts w:ascii="Arial" w:cs="Arial" w:eastAsia="Arial" w:hAnsi="Arial"/>
                <w:sz w:val="8"/>
                <w:szCs w:val="8"/>
                <w:color w:val="auto"/>
              </w:rPr>
              <w:t>December 20</w:t>
            </w:r>
          </w:p>
        </w:tc>
      </w:tr>
    </w:tbl>
    <w:p>
      <w:pPr>
        <w:spacing w:after="0" w:line="59" w:lineRule="exact"/>
        <w:rPr>
          <w:sz w:val="20"/>
          <w:szCs w:val="20"/>
          <w:color w:val="auto"/>
        </w:rPr>
      </w:pPr>
    </w:p>
    <w:p>
      <w:pPr>
        <w:ind w:left="128" w:hanging="128"/>
        <w:spacing w:after="0"/>
        <w:tabs>
          <w:tab w:leader="none" w:pos="128" w:val="left"/>
        </w:tabs>
        <w:numPr>
          <w:ilvl w:val="0"/>
          <w:numId w:val="207"/>
        </w:numPr>
        <w:rPr>
          <w:rFonts w:ascii="Arial" w:cs="Arial" w:eastAsia="Arial" w:hAnsi="Arial"/>
          <w:sz w:val="7"/>
          <w:szCs w:val="7"/>
          <w:color w:val="auto"/>
        </w:rPr>
      </w:pPr>
      <w:r>
        <w:rPr>
          <w:rFonts w:ascii="Arial" w:cs="Arial" w:eastAsia="Arial" w:hAnsi="Arial"/>
          <w:sz w:val="7"/>
          <w:szCs w:val="7"/>
          <w:color w:val="auto"/>
        </w:rPr>
        <w:t>In respect of the financial year ended December 31, 2020.</w:t>
      </w:r>
    </w:p>
    <w:p>
      <w:pPr>
        <w:spacing w:after="0" w:line="6" w:lineRule="exact"/>
        <w:rPr>
          <w:rFonts w:ascii="Arial" w:cs="Arial" w:eastAsia="Arial" w:hAnsi="Arial"/>
          <w:sz w:val="7"/>
          <w:szCs w:val="7"/>
          <w:color w:val="auto"/>
        </w:rPr>
      </w:pPr>
    </w:p>
    <w:p>
      <w:pPr>
        <w:ind w:left="108" w:hanging="108"/>
        <w:spacing w:after="0"/>
        <w:tabs>
          <w:tab w:leader="none" w:pos="108" w:val="left"/>
        </w:tabs>
        <w:numPr>
          <w:ilvl w:val="0"/>
          <w:numId w:val="207"/>
        </w:numPr>
        <w:rPr>
          <w:rFonts w:ascii="Arial" w:cs="Arial" w:eastAsia="Arial" w:hAnsi="Arial"/>
          <w:sz w:val="7"/>
          <w:szCs w:val="7"/>
          <w:color w:val="auto"/>
        </w:rPr>
      </w:pPr>
      <w:r>
        <w:rPr>
          <w:rFonts w:ascii="Arial" w:cs="Arial" w:eastAsia="Arial" w:hAnsi="Arial"/>
          <w:sz w:val="7"/>
          <w:szCs w:val="7"/>
          <w:color w:val="auto"/>
        </w:rPr>
        <w:t>In respect of the financial year ending December 31, 2021.</w:t>
      </w:r>
    </w:p>
    <w:p>
      <w:pPr>
        <w:ind w:left="108" w:hanging="108"/>
        <w:spacing w:after="0"/>
        <w:tabs>
          <w:tab w:leader="none" w:pos="108" w:val="left"/>
        </w:tabs>
        <w:numPr>
          <w:ilvl w:val="0"/>
          <w:numId w:val="207"/>
        </w:numPr>
        <w:rPr>
          <w:rFonts w:ascii="Arial" w:cs="Arial" w:eastAsia="Arial" w:hAnsi="Arial"/>
          <w:sz w:val="7"/>
          <w:szCs w:val="7"/>
          <w:color w:val="auto"/>
        </w:rPr>
      </w:pPr>
      <w:r>
        <w:rPr>
          <w:rFonts w:ascii="Arial" w:cs="Arial" w:eastAsia="Arial" w:hAnsi="Arial"/>
          <w:sz w:val="7"/>
          <w:szCs w:val="7"/>
          <w:color w:val="auto"/>
        </w:rPr>
        <w:t>The Directors do not propose to recommend any further distribution in respect of 2020.</w:t>
      </w:r>
    </w:p>
    <w:p>
      <w:pPr>
        <w:jc w:val="both"/>
        <w:ind w:left="8" w:right="5200" w:hanging="8"/>
        <w:spacing w:after="0" w:line="281" w:lineRule="auto"/>
        <w:tabs>
          <w:tab w:leader="none" w:pos="126" w:val="left"/>
        </w:tabs>
        <w:numPr>
          <w:ilvl w:val="0"/>
          <w:numId w:val="207"/>
        </w:numPr>
        <w:rPr>
          <w:rFonts w:ascii="Arial" w:cs="Arial" w:eastAsia="Arial" w:hAnsi="Arial"/>
          <w:sz w:val="6"/>
          <w:szCs w:val="6"/>
          <w:color w:val="auto"/>
        </w:rPr>
      </w:pPr>
      <w:r>
        <w:rPr>
          <w:rFonts w:ascii="Arial" w:cs="Arial" w:eastAsia="Arial" w:hAnsi="Arial"/>
          <w:sz w:val="6"/>
          <w:szCs w:val="6"/>
          <w:color w:val="auto"/>
        </w:rPr>
        <w:t>The New York Stock Exchange (NYSE), with effect from September 5, 2017, reduced the standard settlement cycle in accordance with the SEC amendments to Exchange Act Rule 15c6-1(a). Under these rules, regular settlement will occur on a T+2 basis for trades occurring on or after the SEC’fs implementation date of September 5, 2017. As a result, RDS A ADSs and RDS B ADSs traded on the NYSE markets will now settle in line with RDS A shares and RDS B shares traded on European markets, which moved to a T+2 settlement basis for trades in 2014, resulting in the same ex-dividend date for RDS A shares, RDS B shares, RDS A ADSs and RDS B ADSs. Record dates will not change. The timings of these are detailed above.</w:t>
      </w:r>
    </w:p>
    <w:p>
      <w:pPr>
        <w:ind w:left="108" w:hanging="108"/>
        <w:spacing w:after="0"/>
        <w:tabs>
          <w:tab w:leader="none" w:pos="108" w:val="left"/>
        </w:tabs>
        <w:numPr>
          <w:ilvl w:val="0"/>
          <w:numId w:val="207"/>
        </w:numPr>
        <w:rPr>
          <w:rFonts w:ascii="Arial" w:cs="Arial" w:eastAsia="Arial" w:hAnsi="Arial"/>
          <w:sz w:val="7"/>
          <w:szCs w:val="7"/>
          <w:color w:val="auto"/>
        </w:rPr>
      </w:pPr>
      <w:r>
        <w:rPr>
          <w:rFonts w:ascii="Arial" w:cs="Arial" w:eastAsia="Arial" w:hAnsi="Arial"/>
          <w:sz w:val="7"/>
          <w:szCs w:val="7"/>
          <w:color w:val="auto"/>
        </w:rPr>
        <w:t>A different currency election date may apply to shareholders holding shares in a securities account with a bank or financial institution ultimately through Euroclear Nederland. This may also apply</w:t>
      </w:r>
    </w:p>
    <w:p>
      <w:pPr>
        <w:spacing w:after="0" w:line="1" w:lineRule="exact"/>
        <w:rPr>
          <w:sz w:val="20"/>
          <w:szCs w:val="20"/>
          <w:color w:val="auto"/>
        </w:rPr>
      </w:pPr>
    </w:p>
    <w:p>
      <w:pPr>
        <w:ind w:left="8"/>
        <w:spacing w:after="0"/>
        <w:rPr>
          <w:sz w:val="20"/>
          <w:szCs w:val="20"/>
          <w:color w:val="auto"/>
        </w:rPr>
      </w:pPr>
      <w:r>
        <w:rPr>
          <w:rFonts w:ascii="Arial" w:cs="Arial" w:eastAsia="Arial" w:hAnsi="Arial"/>
          <w:sz w:val="7"/>
          <w:szCs w:val="7"/>
          <w:color w:val="auto"/>
        </w:rPr>
        <w:t>to other shareholders who do not hold their shares either directly on the Register of Members or in the corporate sponsored nominee arrangement. Shareholders can contact their broker, financial intermediary, bank or financial institution for the election deadline that applies.</w:t>
      </w:r>
    </w:p>
    <w:p>
      <w:pPr>
        <w:spacing w:after="0" w:line="83" w:lineRule="exact"/>
        <w:rPr>
          <w:sz w:val="20"/>
          <w:szCs w:val="20"/>
          <w:color w:val="auto"/>
        </w:rPr>
      </w:pPr>
    </w:p>
    <w:tbl>
      <w:tblPr>
        <w:tblLayout w:type="fixed"/>
        <w:tblInd w:w="1048" w:type="dxa"/>
        <w:tblCellMar>
          <w:top w:w="0" w:type="dxa"/>
          <w:left w:w="0" w:type="dxa"/>
          <w:bottom w:w="0" w:type="dxa"/>
          <w:right w:w="0" w:type="dxa"/>
        </w:tblCellMar>
      </w:tblPr>
      <w:tr>
        <w:trPr>
          <w:trHeight w:val="63"/>
        </w:trPr>
        <w:tc>
          <w:tcPr>
            <w:tcW w:w="2840" w:type="dxa"/>
            <w:vAlign w:val="bottom"/>
            <w:shd w:val="clear" w:color="auto" w:fill="424242"/>
          </w:tcPr>
          <w:p>
            <w:pPr>
              <w:spacing w:after="0"/>
              <w:rPr>
                <w:sz w:val="5"/>
                <w:szCs w:val="5"/>
                <w:color w:val="auto"/>
              </w:rPr>
            </w:pPr>
          </w:p>
        </w:tc>
        <w:tc>
          <w:tcPr>
            <w:tcW w:w="320" w:type="dxa"/>
            <w:vAlign w:val="bottom"/>
          </w:tcPr>
          <w:p>
            <w:pPr>
              <w:spacing w:after="0"/>
              <w:rPr>
                <w:sz w:val="5"/>
                <w:szCs w:val="5"/>
                <w:color w:val="auto"/>
              </w:rPr>
            </w:pPr>
          </w:p>
        </w:tc>
        <w:tc>
          <w:tcPr>
            <w:tcW w:w="2840" w:type="dxa"/>
            <w:vAlign w:val="bottom"/>
            <w:shd w:val="clear" w:color="auto" w:fill="424242"/>
          </w:tcPr>
          <w:p>
            <w:pPr>
              <w:spacing w:after="0"/>
              <w:rPr>
                <w:sz w:val="5"/>
                <w:szCs w:val="5"/>
                <w:color w:val="auto"/>
              </w:rPr>
            </w:pPr>
          </w:p>
        </w:tc>
        <w:tc>
          <w:tcPr>
            <w:tcW w:w="360" w:type="dxa"/>
            <w:vAlign w:val="bottom"/>
          </w:tcPr>
          <w:p>
            <w:pPr>
              <w:spacing w:after="0"/>
              <w:rPr>
                <w:sz w:val="5"/>
                <w:szCs w:val="5"/>
                <w:color w:val="auto"/>
              </w:rPr>
            </w:pPr>
          </w:p>
        </w:tc>
        <w:tc>
          <w:tcPr>
            <w:tcW w:w="2840" w:type="dxa"/>
            <w:vAlign w:val="bottom"/>
            <w:shd w:val="clear" w:color="auto" w:fill="424242"/>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REGISTERED OFFICE</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SHAREHOLDER RELATIONS</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INVESTOR RELATIONS</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Royal Dutch Shell plc</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Royal Dutch Shell plc</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Royal Dutch Shell plc</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Shell Centre</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Carel van Bylandtlaan 30</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PO Box 162</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London SE1 7NA</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2596 HR The Hague</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2501 AN The Hague</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United Kingdom</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The Netherlands</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The Netherlands</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Registered in England and Wales</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+31 (0)70 377 1272</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+31 (0)70 377 4540</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Company number 4366849</w:t>
            </w:r>
          </w:p>
        </w:tc>
        <w:tc>
          <w:tcPr>
            <w:tcW w:w="320" w:type="dxa"/>
            <w:vAlign w:val="bottom"/>
          </w:tcPr>
          <w:p>
            <w:pPr>
              <w:spacing w:after="0"/>
              <w:rPr>
                <w:sz w:val="7"/>
                <w:szCs w:val="7"/>
                <w:color w:val="auto"/>
              </w:rPr>
            </w:pPr>
          </w:p>
        </w:tc>
        <w:tc>
          <w:tcPr>
            <w:tcW w:w="2840" w:type="dxa"/>
            <w:vAlign w:val="bottom"/>
            <w:vMerge w:val="restart"/>
            <w:shd w:val="clear" w:color="auto" w:fill="CCCCCC"/>
          </w:tcPr>
          <w:p>
            <w:pPr>
              <w:ind w:left="20"/>
              <w:spacing w:after="0"/>
              <w:rPr>
                <w:sz w:val="20"/>
                <w:szCs w:val="20"/>
                <w:color w:val="auto"/>
              </w:rPr>
            </w:pPr>
            <w:r>
              <w:rPr>
                <w:rFonts w:ascii="Arial" w:cs="Arial" w:eastAsia="Arial" w:hAnsi="Arial"/>
                <w:sz w:val="10"/>
                <w:szCs w:val="10"/>
                <w:color w:val="auto"/>
              </w:rPr>
              <w:t>or</w:t>
            </w:r>
          </w:p>
        </w:tc>
        <w:tc>
          <w:tcPr>
            <w:tcW w:w="360" w:type="dxa"/>
            <w:vAlign w:val="bottom"/>
          </w:tcPr>
          <w:p>
            <w:pPr>
              <w:spacing w:after="0"/>
              <w:rPr>
                <w:sz w:val="7"/>
                <w:szCs w:val="7"/>
                <w:color w:val="auto"/>
              </w:rPr>
            </w:pPr>
          </w:p>
        </w:tc>
        <w:tc>
          <w:tcPr>
            <w:tcW w:w="2840" w:type="dxa"/>
            <w:vAlign w:val="bottom"/>
            <w:vMerge w:val="restart"/>
            <w:shd w:val="clear" w:color="auto" w:fill="CCCCCC"/>
          </w:tcPr>
          <w:p>
            <w:pPr>
              <w:ind w:left="20"/>
              <w:spacing w:after="0"/>
              <w:rPr>
                <w:sz w:val="20"/>
                <w:szCs w:val="20"/>
                <w:color w:val="auto"/>
              </w:rPr>
            </w:pPr>
            <w:r>
              <w:rPr>
                <w:rFonts w:ascii="Arial" w:cs="Arial" w:eastAsia="Arial" w:hAnsi="Arial"/>
                <w:sz w:val="10"/>
                <w:szCs w:val="10"/>
                <w:color w:val="auto"/>
              </w:rPr>
              <w:t>or</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Registered with the Dutch Trade Register</w:t>
            </w:r>
          </w:p>
        </w:tc>
        <w:tc>
          <w:tcPr>
            <w:tcW w:w="320" w:type="dxa"/>
            <w:vAlign w:val="bottom"/>
          </w:tcPr>
          <w:p>
            <w:pPr>
              <w:spacing w:after="0"/>
              <w:rPr>
                <w:sz w:val="7"/>
                <w:szCs w:val="7"/>
                <w:color w:val="auto"/>
              </w:rPr>
            </w:pPr>
          </w:p>
        </w:tc>
        <w:tc>
          <w:tcPr>
            <w:tcW w:w="2840" w:type="dxa"/>
            <w:vAlign w:val="bottom"/>
            <w:vMerge w:val="continue"/>
            <w:shd w:val="clear" w:color="auto" w:fill="CCCCCC"/>
          </w:tcPr>
          <w:p>
            <w:pPr>
              <w:spacing w:after="0"/>
              <w:rPr>
                <w:sz w:val="7"/>
                <w:szCs w:val="7"/>
                <w:color w:val="auto"/>
              </w:rPr>
            </w:pPr>
          </w:p>
        </w:tc>
        <w:tc>
          <w:tcPr>
            <w:tcW w:w="360" w:type="dxa"/>
            <w:vAlign w:val="bottom"/>
          </w:tcPr>
          <w:p>
            <w:pPr>
              <w:spacing w:after="0"/>
              <w:rPr>
                <w:sz w:val="7"/>
                <w:szCs w:val="7"/>
                <w:color w:val="auto"/>
              </w:rPr>
            </w:pPr>
          </w:p>
        </w:tc>
        <w:tc>
          <w:tcPr>
            <w:tcW w:w="284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840" w:type="dxa"/>
            <w:vAlign w:val="bottom"/>
            <w:shd w:val="clear" w:color="auto" w:fill="CCCCCC"/>
          </w:tcPr>
          <w:p>
            <w:pPr>
              <w:ind w:left="20"/>
              <w:spacing w:after="0"/>
              <w:rPr>
                <w:sz w:val="20"/>
                <w:szCs w:val="20"/>
                <w:color w:val="auto"/>
              </w:rPr>
            </w:pPr>
            <w:r>
              <w:rPr>
                <w:rFonts w:ascii="Arial" w:cs="Arial" w:eastAsia="Arial" w:hAnsi="Arial"/>
                <w:sz w:val="10"/>
                <w:szCs w:val="10"/>
                <w:color w:val="auto"/>
              </w:rPr>
              <w:t>under number 34179503</w:t>
            </w:r>
          </w:p>
        </w:tc>
        <w:tc>
          <w:tcPr>
            <w:tcW w:w="320" w:type="dxa"/>
            <w:vAlign w:val="bottom"/>
          </w:tcPr>
          <w:p>
            <w:pPr>
              <w:spacing w:after="0"/>
              <w:rPr>
                <w:sz w:val="10"/>
                <w:szCs w:val="10"/>
                <w:color w:val="auto"/>
              </w:rPr>
            </w:pPr>
          </w:p>
        </w:tc>
        <w:tc>
          <w:tcPr>
            <w:tcW w:w="2840" w:type="dxa"/>
            <w:vAlign w:val="bottom"/>
            <w:vMerge w:val="restart"/>
            <w:shd w:val="clear" w:color="auto" w:fill="CCCCCC"/>
          </w:tcPr>
          <w:p>
            <w:pPr>
              <w:ind w:left="20"/>
              <w:spacing w:after="0"/>
              <w:rPr>
                <w:sz w:val="20"/>
                <w:szCs w:val="20"/>
                <w:color w:val="auto"/>
              </w:rPr>
            </w:pPr>
            <w:r>
              <w:rPr>
                <w:rFonts w:ascii="Arial" w:cs="Arial" w:eastAsia="Arial" w:hAnsi="Arial"/>
                <w:sz w:val="10"/>
                <w:szCs w:val="10"/>
                <w:color w:val="auto"/>
              </w:rPr>
              <w:t>Royal Dutch Shell plc</w:t>
            </w:r>
          </w:p>
        </w:tc>
        <w:tc>
          <w:tcPr>
            <w:tcW w:w="360" w:type="dxa"/>
            <w:vAlign w:val="bottom"/>
          </w:tcPr>
          <w:p>
            <w:pPr>
              <w:spacing w:after="0"/>
              <w:rPr>
                <w:sz w:val="10"/>
                <w:szCs w:val="10"/>
                <w:color w:val="auto"/>
              </w:rPr>
            </w:pPr>
          </w:p>
        </w:tc>
        <w:tc>
          <w:tcPr>
            <w:tcW w:w="2840" w:type="dxa"/>
            <w:vAlign w:val="bottom"/>
            <w:vMerge w:val="restart"/>
            <w:shd w:val="clear" w:color="auto" w:fill="CCCCCC"/>
          </w:tcPr>
          <w:p>
            <w:pPr>
              <w:ind w:left="20"/>
              <w:spacing w:after="0"/>
              <w:rPr>
                <w:sz w:val="20"/>
                <w:szCs w:val="20"/>
                <w:color w:val="auto"/>
              </w:rPr>
            </w:pPr>
            <w:r>
              <w:rPr>
                <w:rFonts w:ascii="Arial" w:cs="Arial" w:eastAsia="Arial" w:hAnsi="Arial"/>
                <w:sz w:val="10"/>
                <w:szCs w:val="10"/>
                <w:color w:val="auto"/>
              </w:rPr>
              <w:t>Shell Oil Company</w:t>
            </w:r>
          </w:p>
        </w:tc>
        <w:tc>
          <w:tcPr>
            <w:tcW w:w="0" w:type="dxa"/>
            <w:vAlign w:val="bottom"/>
          </w:tcPr>
          <w:p>
            <w:pPr>
              <w:spacing w:after="0"/>
              <w:rPr>
                <w:sz w:val="1"/>
                <w:szCs w:val="1"/>
                <w:color w:val="auto"/>
              </w:rPr>
            </w:pPr>
          </w:p>
        </w:tc>
      </w:tr>
      <w:tr>
        <w:trPr>
          <w:trHeight w:val="59"/>
        </w:trPr>
        <w:tc>
          <w:tcPr>
            <w:tcW w:w="2840" w:type="dxa"/>
            <w:vAlign w:val="bottom"/>
            <w:vMerge w:val="restart"/>
            <w:shd w:val="clear" w:color="auto" w:fill="CCCCCC"/>
          </w:tcPr>
          <w:p>
            <w:pPr>
              <w:ind w:left="20"/>
              <w:spacing w:after="0"/>
              <w:rPr>
                <w:sz w:val="20"/>
                <w:szCs w:val="20"/>
                <w:color w:val="auto"/>
              </w:rPr>
            </w:pPr>
            <w:r>
              <w:rPr>
                <w:rFonts w:ascii="Arial" w:cs="Arial" w:eastAsia="Arial" w:hAnsi="Arial"/>
                <w:sz w:val="10"/>
                <w:szCs w:val="10"/>
                <w:color w:val="auto"/>
              </w:rPr>
              <w:t>HEADQUARTERS</w:t>
            </w:r>
          </w:p>
        </w:tc>
        <w:tc>
          <w:tcPr>
            <w:tcW w:w="320" w:type="dxa"/>
            <w:vAlign w:val="bottom"/>
          </w:tcPr>
          <w:p>
            <w:pPr>
              <w:spacing w:after="0"/>
              <w:rPr>
                <w:sz w:val="5"/>
                <w:szCs w:val="5"/>
                <w:color w:val="auto"/>
              </w:rPr>
            </w:pPr>
          </w:p>
        </w:tc>
        <w:tc>
          <w:tcPr>
            <w:tcW w:w="2840" w:type="dxa"/>
            <w:vAlign w:val="bottom"/>
            <w:vMerge w:val="continue"/>
            <w:shd w:val="clear" w:color="auto" w:fill="CCCCCC"/>
          </w:tcPr>
          <w:p>
            <w:pPr>
              <w:spacing w:after="0"/>
              <w:rPr>
                <w:sz w:val="5"/>
                <w:szCs w:val="5"/>
                <w:color w:val="auto"/>
              </w:rPr>
            </w:pPr>
          </w:p>
        </w:tc>
        <w:tc>
          <w:tcPr>
            <w:tcW w:w="360" w:type="dxa"/>
            <w:vAlign w:val="bottom"/>
          </w:tcPr>
          <w:p>
            <w:pPr>
              <w:spacing w:after="0"/>
              <w:rPr>
                <w:sz w:val="5"/>
                <w:szCs w:val="5"/>
                <w:color w:val="auto"/>
              </w:rPr>
            </w:pPr>
          </w:p>
        </w:tc>
        <w:tc>
          <w:tcPr>
            <w:tcW w:w="2840" w:type="dxa"/>
            <w:vAlign w:val="bottom"/>
            <w:vMerge w:val="continue"/>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840" w:type="dxa"/>
            <w:vAlign w:val="bottom"/>
            <w:vMerge w:val="continue"/>
            <w:shd w:val="clear" w:color="auto" w:fill="CCCCCC"/>
          </w:tcPr>
          <w:p>
            <w:pPr>
              <w:spacing w:after="0"/>
              <w:rPr>
                <w:sz w:val="7"/>
                <w:szCs w:val="7"/>
                <w:color w:val="auto"/>
              </w:rPr>
            </w:pP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Shell Centre</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Investor Relations</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Royal Dutch Shell plc</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London SE1 7NA</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150 N Dairy Ashford</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Carel van Bylandtlaan 30</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United Kingdom</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Houston, TX 77079</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2596 HR The Hague</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+44 (0)20 7934 3363</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USA</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The Netherlands</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royaldutchshell.shareholders@shell.com</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+1 832 337 2034</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spacing w:after="0"/>
              <w:rPr>
                <w:sz w:val="7"/>
                <w:szCs w:val="7"/>
                <w:color w:val="auto"/>
              </w:rPr>
            </w:pP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www.shell.com/shareholder</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ir-europe@shell.com</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spacing w:after="0"/>
              <w:rPr>
                <w:sz w:val="7"/>
                <w:szCs w:val="7"/>
                <w:color w:val="auto"/>
              </w:rPr>
            </w:pPr>
          </w:p>
        </w:tc>
        <w:tc>
          <w:tcPr>
            <w:tcW w:w="320" w:type="dxa"/>
            <w:vAlign w:val="bottom"/>
          </w:tcPr>
          <w:p>
            <w:pPr>
              <w:spacing w:after="0"/>
              <w:rPr>
                <w:sz w:val="7"/>
                <w:szCs w:val="7"/>
                <w:color w:val="auto"/>
              </w:rPr>
            </w:pPr>
          </w:p>
        </w:tc>
        <w:tc>
          <w:tcPr>
            <w:tcW w:w="2840" w:type="dxa"/>
            <w:vAlign w:val="bottom"/>
            <w:shd w:val="clear" w:color="auto" w:fill="CCCCCC"/>
          </w:tcPr>
          <w:p>
            <w:pPr>
              <w:spacing w:after="0"/>
              <w:rPr>
                <w:sz w:val="7"/>
                <w:szCs w:val="7"/>
                <w:color w:val="auto"/>
              </w:rPr>
            </w:pP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ir-usa@shell.com</w:t>
            </w:r>
          </w:p>
        </w:tc>
        <w:tc>
          <w:tcPr>
            <w:tcW w:w="0" w:type="dxa"/>
            <w:vAlign w:val="bottom"/>
          </w:tcPr>
          <w:p>
            <w:pPr>
              <w:spacing w:after="0"/>
              <w:rPr>
                <w:sz w:val="1"/>
                <w:szCs w:val="1"/>
                <w:color w:val="auto"/>
              </w:rPr>
            </w:pPr>
          </w:p>
        </w:tc>
      </w:tr>
      <w:tr>
        <w:trPr>
          <w:trHeight w:val="126"/>
        </w:trPr>
        <w:tc>
          <w:tcPr>
            <w:tcW w:w="2840" w:type="dxa"/>
            <w:vAlign w:val="bottom"/>
            <w:shd w:val="clear" w:color="auto" w:fill="CCCCCC"/>
          </w:tcPr>
          <w:p>
            <w:pPr>
              <w:spacing w:after="0"/>
              <w:rPr>
                <w:sz w:val="10"/>
                <w:szCs w:val="10"/>
                <w:color w:val="auto"/>
              </w:rPr>
            </w:pPr>
          </w:p>
        </w:tc>
        <w:tc>
          <w:tcPr>
            <w:tcW w:w="320" w:type="dxa"/>
            <w:vAlign w:val="bottom"/>
          </w:tcPr>
          <w:p>
            <w:pPr>
              <w:spacing w:after="0"/>
              <w:rPr>
                <w:sz w:val="10"/>
                <w:szCs w:val="10"/>
                <w:color w:val="auto"/>
              </w:rPr>
            </w:pPr>
          </w:p>
        </w:tc>
        <w:tc>
          <w:tcPr>
            <w:tcW w:w="2840" w:type="dxa"/>
            <w:vAlign w:val="bottom"/>
            <w:shd w:val="clear" w:color="auto" w:fill="CCCCCC"/>
          </w:tcPr>
          <w:p>
            <w:pPr>
              <w:spacing w:after="0"/>
              <w:rPr>
                <w:sz w:val="10"/>
                <w:szCs w:val="10"/>
                <w:color w:val="auto"/>
              </w:rPr>
            </w:pPr>
          </w:p>
        </w:tc>
        <w:tc>
          <w:tcPr>
            <w:tcW w:w="360" w:type="dxa"/>
            <w:vAlign w:val="bottom"/>
          </w:tcPr>
          <w:p>
            <w:pPr>
              <w:spacing w:after="0"/>
              <w:rPr>
                <w:sz w:val="10"/>
                <w:szCs w:val="10"/>
                <w:color w:val="auto"/>
              </w:rPr>
            </w:pPr>
          </w:p>
        </w:tc>
        <w:tc>
          <w:tcPr>
            <w:tcW w:w="2840" w:type="dxa"/>
            <w:vAlign w:val="bottom"/>
            <w:shd w:val="clear" w:color="auto" w:fill="CCCCCC"/>
          </w:tcPr>
          <w:p>
            <w:pPr>
              <w:ind w:left="20"/>
              <w:spacing w:after="0"/>
              <w:rPr>
                <w:sz w:val="20"/>
                <w:szCs w:val="20"/>
                <w:color w:val="auto"/>
              </w:rPr>
            </w:pPr>
            <w:r>
              <w:rPr>
                <w:rFonts w:ascii="Arial" w:cs="Arial" w:eastAsia="Arial" w:hAnsi="Arial"/>
                <w:sz w:val="10"/>
                <w:szCs w:val="10"/>
                <w:color w:val="auto"/>
              </w:rPr>
              <w:t>www.shell.com/investor</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840" w:type="dxa"/>
            <w:vAlign w:val="bottom"/>
            <w:shd w:val="clear" w:color="auto" w:fill="424242"/>
          </w:tcPr>
          <w:p>
            <w:pPr>
              <w:spacing w:after="0"/>
              <w:rPr>
                <w:sz w:val="5"/>
                <w:szCs w:val="5"/>
                <w:color w:val="auto"/>
              </w:rPr>
            </w:pPr>
          </w:p>
        </w:tc>
        <w:tc>
          <w:tcPr>
            <w:tcW w:w="320" w:type="dxa"/>
            <w:vAlign w:val="bottom"/>
          </w:tcPr>
          <w:p>
            <w:pPr>
              <w:spacing w:after="0"/>
              <w:rPr>
                <w:sz w:val="5"/>
                <w:szCs w:val="5"/>
                <w:color w:val="auto"/>
              </w:rPr>
            </w:pPr>
          </w:p>
        </w:tc>
        <w:tc>
          <w:tcPr>
            <w:tcW w:w="2840" w:type="dxa"/>
            <w:vAlign w:val="bottom"/>
            <w:shd w:val="clear" w:color="auto" w:fill="424242"/>
          </w:tcPr>
          <w:p>
            <w:pPr>
              <w:spacing w:after="0"/>
              <w:rPr>
                <w:sz w:val="5"/>
                <w:szCs w:val="5"/>
                <w:color w:val="auto"/>
              </w:rPr>
            </w:pPr>
          </w:p>
        </w:tc>
        <w:tc>
          <w:tcPr>
            <w:tcW w:w="360" w:type="dxa"/>
            <w:vAlign w:val="bottom"/>
          </w:tcPr>
          <w:p>
            <w:pPr>
              <w:spacing w:after="0"/>
              <w:rPr>
                <w:sz w:val="5"/>
                <w:szCs w:val="5"/>
                <w:color w:val="auto"/>
              </w:rPr>
            </w:pPr>
          </w:p>
        </w:tc>
        <w:tc>
          <w:tcPr>
            <w:tcW w:w="2840" w:type="dxa"/>
            <w:vAlign w:val="bottom"/>
            <w:shd w:val="clear" w:color="auto" w:fill="424242"/>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SHARE REGISTRATION</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AMERICAN DEPOSITARY</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REPORT ORDERING</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Equiniti</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SHARES (ADSS)</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www.shell.com/order</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Aspect House</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JPMorgan Chase Bank, N.A.</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Annual Report/20-F service for</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Spencer Road</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P.O. Box 64504</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US residents</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Lancing</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St. Paul, MN 55164-0504</w:t>
            </w:r>
          </w:p>
        </w:tc>
        <w:tc>
          <w:tcPr>
            <w:tcW w:w="36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+1 888 301 0504</w:t>
            </w: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West Sussex BN99 6DA</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USA</w:t>
            </w:r>
          </w:p>
        </w:tc>
        <w:tc>
          <w:tcPr>
            <w:tcW w:w="360" w:type="dxa"/>
            <w:vAlign w:val="bottom"/>
          </w:tcPr>
          <w:p>
            <w:pPr>
              <w:spacing w:after="0"/>
              <w:rPr>
                <w:sz w:val="7"/>
                <w:szCs w:val="7"/>
                <w:color w:val="auto"/>
              </w:rPr>
            </w:pPr>
          </w:p>
        </w:tc>
        <w:tc>
          <w:tcPr>
            <w:tcW w:w="284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United Kingdom</w:t>
            </w:r>
          </w:p>
        </w:tc>
        <w:tc>
          <w:tcPr>
            <w:tcW w:w="320" w:type="dxa"/>
            <w:vAlign w:val="bottom"/>
          </w:tcPr>
          <w:p>
            <w:pPr>
              <w:spacing w:after="0"/>
              <w:rPr>
                <w:sz w:val="7"/>
                <w:szCs w:val="7"/>
                <w:color w:val="auto"/>
              </w:rPr>
            </w:pPr>
          </w:p>
        </w:tc>
        <w:tc>
          <w:tcPr>
            <w:tcW w:w="2840" w:type="dxa"/>
            <w:vAlign w:val="bottom"/>
            <w:vMerge w:val="restart"/>
            <w:shd w:val="clear" w:color="auto" w:fill="CCCCCC"/>
          </w:tcPr>
          <w:p>
            <w:pPr>
              <w:ind w:left="20"/>
              <w:spacing w:after="0"/>
              <w:rPr>
                <w:sz w:val="20"/>
                <w:szCs w:val="20"/>
                <w:color w:val="auto"/>
              </w:rPr>
            </w:pPr>
            <w:r>
              <w:rPr>
                <w:rFonts w:ascii="Arial" w:cs="Arial" w:eastAsia="Arial" w:hAnsi="Arial"/>
                <w:sz w:val="10"/>
                <w:szCs w:val="10"/>
                <w:color w:val="auto"/>
              </w:rPr>
              <w:t>Overnight correspondence to:</w:t>
            </w:r>
          </w:p>
        </w:tc>
        <w:tc>
          <w:tcPr>
            <w:tcW w:w="360" w:type="dxa"/>
            <w:vAlign w:val="bottom"/>
          </w:tcPr>
          <w:p>
            <w:pPr>
              <w:spacing w:after="0"/>
              <w:rPr>
                <w:sz w:val="7"/>
                <w:szCs w:val="7"/>
                <w:color w:val="auto"/>
              </w:rPr>
            </w:pPr>
          </w:p>
        </w:tc>
        <w:tc>
          <w:tcPr>
            <w:tcW w:w="284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0800 169 1679 (UK)</w:t>
            </w:r>
          </w:p>
        </w:tc>
        <w:tc>
          <w:tcPr>
            <w:tcW w:w="320" w:type="dxa"/>
            <w:vAlign w:val="bottom"/>
          </w:tcPr>
          <w:p>
            <w:pPr>
              <w:spacing w:after="0"/>
              <w:rPr>
                <w:sz w:val="7"/>
                <w:szCs w:val="7"/>
                <w:color w:val="auto"/>
              </w:rPr>
            </w:pPr>
          </w:p>
        </w:tc>
        <w:tc>
          <w:tcPr>
            <w:tcW w:w="2840" w:type="dxa"/>
            <w:vAlign w:val="bottom"/>
            <w:vMerge w:val="continue"/>
            <w:shd w:val="clear" w:color="auto" w:fill="CCCCCC"/>
          </w:tcPr>
          <w:p>
            <w:pPr>
              <w:spacing w:after="0"/>
              <w:rPr>
                <w:sz w:val="7"/>
                <w:szCs w:val="7"/>
                <w:color w:val="auto"/>
              </w:rPr>
            </w:pPr>
          </w:p>
        </w:tc>
        <w:tc>
          <w:tcPr>
            <w:tcW w:w="360" w:type="dxa"/>
            <w:vAlign w:val="bottom"/>
          </w:tcPr>
          <w:p>
            <w:pPr>
              <w:spacing w:after="0"/>
              <w:rPr>
                <w:sz w:val="7"/>
                <w:szCs w:val="7"/>
                <w:color w:val="auto"/>
              </w:rPr>
            </w:pPr>
          </w:p>
        </w:tc>
        <w:tc>
          <w:tcPr>
            <w:tcW w:w="284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+44 (0)121 415 7073</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JPMorgan Chase Bank, N.A.</w:t>
            </w:r>
          </w:p>
        </w:tc>
        <w:tc>
          <w:tcPr>
            <w:tcW w:w="360" w:type="dxa"/>
            <w:vAlign w:val="bottom"/>
          </w:tcPr>
          <w:p>
            <w:pPr>
              <w:spacing w:after="0"/>
              <w:rPr>
                <w:sz w:val="7"/>
                <w:szCs w:val="7"/>
                <w:color w:val="auto"/>
              </w:rPr>
            </w:pPr>
          </w:p>
        </w:tc>
        <w:tc>
          <w:tcPr>
            <w:tcW w:w="284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40" w:type="dxa"/>
            <w:vAlign w:val="bottom"/>
            <w:vMerge w:val="restart"/>
            <w:shd w:val="clear" w:color="auto" w:fill="CCCCCC"/>
          </w:tcPr>
          <w:p>
            <w:pPr>
              <w:ind w:left="20"/>
              <w:spacing w:after="0"/>
              <w:rPr>
                <w:sz w:val="20"/>
                <w:szCs w:val="20"/>
                <w:color w:val="auto"/>
              </w:rPr>
            </w:pPr>
            <w:r>
              <w:rPr>
                <w:rFonts w:ascii="Arial" w:cs="Arial" w:eastAsia="Arial" w:hAnsi="Arial"/>
                <w:sz w:val="10"/>
                <w:szCs w:val="10"/>
                <w:color w:val="auto"/>
              </w:rPr>
              <w:t>For online information about your holding</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1110 Centre Pointe Curve, Suite 101</w:t>
            </w:r>
          </w:p>
        </w:tc>
        <w:tc>
          <w:tcPr>
            <w:tcW w:w="360" w:type="dxa"/>
            <w:vAlign w:val="bottom"/>
          </w:tcPr>
          <w:p>
            <w:pPr>
              <w:spacing w:after="0"/>
              <w:rPr>
                <w:sz w:val="7"/>
                <w:szCs w:val="7"/>
                <w:color w:val="auto"/>
              </w:rPr>
            </w:pPr>
          </w:p>
        </w:tc>
        <w:tc>
          <w:tcPr>
            <w:tcW w:w="284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40" w:type="dxa"/>
            <w:vAlign w:val="bottom"/>
            <w:vMerge w:val="continue"/>
            <w:shd w:val="clear" w:color="auto" w:fill="CCCCCC"/>
          </w:tcPr>
          <w:p>
            <w:pPr>
              <w:spacing w:after="0"/>
              <w:rPr>
                <w:sz w:val="7"/>
                <w:szCs w:val="7"/>
                <w:color w:val="auto"/>
              </w:rPr>
            </w:pP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Mendota Heights, MN 55120-4100</w:t>
            </w:r>
          </w:p>
        </w:tc>
        <w:tc>
          <w:tcPr>
            <w:tcW w:w="360" w:type="dxa"/>
            <w:vAlign w:val="bottom"/>
          </w:tcPr>
          <w:p>
            <w:pPr>
              <w:spacing w:after="0"/>
              <w:rPr>
                <w:sz w:val="7"/>
                <w:szCs w:val="7"/>
                <w:color w:val="auto"/>
              </w:rPr>
            </w:pPr>
          </w:p>
        </w:tc>
        <w:tc>
          <w:tcPr>
            <w:tcW w:w="284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and to change the way you receive your</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USA</w:t>
            </w:r>
          </w:p>
        </w:tc>
        <w:tc>
          <w:tcPr>
            <w:tcW w:w="360" w:type="dxa"/>
            <w:vAlign w:val="bottom"/>
          </w:tcPr>
          <w:p>
            <w:pPr>
              <w:spacing w:after="0"/>
              <w:rPr>
                <w:sz w:val="7"/>
                <w:szCs w:val="7"/>
                <w:color w:val="auto"/>
              </w:rPr>
            </w:pPr>
          </w:p>
        </w:tc>
        <w:tc>
          <w:tcPr>
            <w:tcW w:w="284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company documents:</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+1 888 737 2377 (USA only)</w:t>
            </w:r>
          </w:p>
        </w:tc>
        <w:tc>
          <w:tcPr>
            <w:tcW w:w="360" w:type="dxa"/>
            <w:vAlign w:val="bottom"/>
          </w:tcPr>
          <w:p>
            <w:pPr>
              <w:spacing w:after="0"/>
              <w:rPr>
                <w:sz w:val="7"/>
                <w:szCs w:val="7"/>
                <w:color w:val="auto"/>
              </w:rPr>
            </w:pPr>
          </w:p>
        </w:tc>
        <w:tc>
          <w:tcPr>
            <w:tcW w:w="284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www.shareview.co.uk</w:t>
            </w: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+1 651 453 2128 (International)</w:t>
            </w:r>
          </w:p>
        </w:tc>
        <w:tc>
          <w:tcPr>
            <w:tcW w:w="360" w:type="dxa"/>
            <w:vAlign w:val="bottom"/>
          </w:tcPr>
          <w:p>
            <w:pPr>
              <w:spacing w:after="0"/>
              <w:rPr>
                <w:sz w:val="7"/>
                <w:szCs w:val="7"/>
                <w:color w:val="auto"/>
              </w:rPr>
            </w:pPr>
          </w:p>
        </w:tc>
        <w:tc>
          <w:tcPr>
            <w:tcW w:w="284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40" w:type="dxa"/>
            <w:vAlign w:val="bottom"/>
            <w:shd w:val="clear" w:color="auto" w:fill="CCCCCC"/>
          </w:tcPr>
          <w:p>
            <w:pPr>
              <w:spacing w:after="0"/>
              <w:rPr>
                <w:sz w:val="7"/>
                <w:szCs w:val="7"/>
                <w:color w:val="auto"/>
              </w:rPr>
            </w:pPr>
          </w:p>
        </w:tc>
        <w:tc>
          <w:tcPr>
            <w:tcW w:w="320" w:type="dxa"/>
            <w:vAlign w:val="bottom"/>
          </w:tcPr>
          <w:p>
            <w:pPr>
              <w:spacing w:after="0"/>
              <w:rPr>
                <w:sz w:val="7"/>
                <w:szCs w:val="7"/>
                <w:color w:val="auto"/>
              </w:rPr>
            </w:pPr>
          </w:p>
        </w:tc>
        <w:tc>
          <w:tcPr>
            <w:tcW w:w="2840" w:type="dxa"/>
            <w:vAlign w:val="bottom"/>
            <w:shd w:val="clear" w:color="auto" w:fill="CCCCCC"/>
          </w:tcPr>
          <w:p>
            <w:pPr>
              <w:ind w:left="20"/>
              <w:spacing w:after="0" w:line="90" w:lineRule="exact"/>
              <w:rPr>
                <w:sz w:val="20"/>
                <w:szCs w:val="20"/>
                <w:color w:val="auto"/>
              </w:rPr>
            </w:pPr>
            <w:r>
              <w:rPr>
                <w:rFonts w:ascii="Arial" w:cs="Arial" w:eastAsia="Arial" w:hAnsi="Arial"/>
                <w:sz w:val="10"/>
                <w:szCs w:val="10"/>
                <w:color w:val="auto"/>
              </w:rPr>
              <w:t>jpmorgan.adr@eq-us.com</w:t>
            </w:r>
          </w:p>
        </w:tc>
        <w:tc>
          <w:tcPr>
            <w:tcW w:w="360" w:type="dxa"/>
            <w:vAlign w:val="bottom"/>
          </w:tcPr>
          <w:p>
            <w:pPr>
              <w:spacing w:after="0"/>
              <w:rPr>
                <w:sz w:val="7"/>
                <w:szCs w:val="7"/>
                <w:color w:val="auto"/>
              </w:rPr>
            </w:pPr>
          </w:p>
        </w:tc>
        <w:tc>
          <w:tcPr>
            <w:tcW w:w="284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840" w:type="dxa"/>
            <w:vAlign w:val="bottom"/>
            <w:shd w:val="clear" w:color="auto" w:fill="CCCCCC"/>
          </w:tcPr>
          <w:p>
            <w:pPr>
              <w:spacing w:after="0"/>
              <w:rPr>
                <w:sz w:val="10"/>
                <w:szCs w:val="10"/>
                <w:color w:val="auto"/>
              </w:rPr>
            </w:pPr>
          </w:p>
        </w:tc>
        <w:tc>
          <w:tcPr>
            <w:tcW w:w="320" w:type="dxa"/>
            <w:vAlign w:val="bottom"/>
          </w:tcPr>
          <w:p>
            <w:pPr>
              <w:spacing w:after="0"/>
              <w:rPr>
                <w:sz w:val="10"/>
                <w:szCs w:val="10"/>
                <w:color w:val="auto"/>
              </w:rPr>
            </w:pPr>
          </w:p>
        </w:tc>
        <w:tc>
          <w:tcPr>
            <w:tcW w:w="2840" w:type="dxa"/>
            <w:vAlign w:val="bottom"/>
            <w:shd w:val="clear" w:color="auto" w:fill="CCCCCC"/>
          </w:tcPr>
          <w:p>
            <w:pPr>
              <w:ind w:left="20"/>
              <w:spacing w:after="0"/>
              <w:rPr>
                <w:sz w:val="20"/>
                <w:szCs w:val="20"/>
                <w:color w:val="auto"/>
              </w:rPr>
            </w:pPr>
            <w:r>
              <w:rPr>
                <w:rFonts w:ascii="Arial" w:cs="Arial" w:eastAsia="Arial" w:hAnsi="Arial"/>
                <w:sz w:val="10"/>
                <w:szCs w:val="10"/>
                <w:color w:val="auto"/>
              </w:rPr>
              <w:t>www.adr.com/shareholder</w:t>
            </w:r>
          </w:p>
        </w:tc>
        <w:tc>
          <w:tcPr>
            <w:tcW w:w="360" w:type="dxa"/>
            <w:vAlign w:val="bottom"/>
          </w:tcPr>
          <w:p>
            <w:pPr>
              <w:spacing w:after="0"/>
              <w:rPr>
                <w:sz w:val="10"/>
                <w:szCs w:val="10"/>
                <w:color w:val="auto"/>
              </w:rPr>
            </w:pPr>
          </w:p>
        </w:tc>
        <w:tc>
          <w:tcPr>
            <w:tcW w:w="2840" w:type="dxa"/>
            <w:vAlign w:val="bottom"/>
            <w:shd w:val="clear" w:color="auto" w:fill="CCCCCC"/>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28"/>
          </w:cols>
          <w:pgMar w:left="292" w:top="640" w:right="779" w:bottom="1440" w:gutter="0" w:footer="0" w:header="0"/>
        </w:sectPr>
      </w:pPr>
    </w:p>
    <w:bookmarkStart w:id="251" w:name="page252"/>
    <w:bookmarkEnd w:id="2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337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216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3">
                      <a:extLst>
                        <a:ext uri="{28A0092B-C50C-407E-A947-70E740481C1C}"/>
                      </a:extLst>
                    </a:blip>
                    <a:srcRect/>
                    <a:stretch>
                      <a:fillRect/>
                    </a:stretch>
                  </pic:blipFill>
                  <pic:spPr bwMode="auto">
                    <a:xfrm>
                      <a:off x="0" y="0"/>
                      <a:ext cx="7130415" cy="5621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4">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216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5">
                      <a:extLst>
                        <a:ext uri="{28A0092B-C50C-407E-A947-70E740481C1C}"/>
                      </a:extLst>
                    </a:blip>
                    <a:srcRect/>
                    <a:stretch>
                      <a:fillRect/>
                    </a:stretch>
                  </pic:blipFill>
                  <pic:spPr bwMode="auto">
                    <a:xfrm>
                      <a:off x="0" y="0"/>
                      <a:ext cx="7130415" cy="5621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6" w:name="page277"/>
    <w:bookmarkEnd w:id="276"/>
    <w:p>
      <w:pPr>
        <w:spacing w:after="0"/>
        <w:rPr>
          <w:sz w:val="20"/>
          <w:szCs w:val="20"/>
          <w:color w:val="auto"/>
        </w:rPr>
      </w:pPr>
      <w:r>
        <w:rPr>
          <w:rFonts w:ascii="Arial" w:cs="Arial" w:eastAsia="Arial" w:hAnsi="Arial"/>
          <w:sz w:val="22"/>
          <w:szCs w:val="22"/>
          <w:color w:val="auto"/>
        </w:rPr>
        <w:t>Exhibit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280035" cy="2286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4">
                      <a:extLst>
                        <a:ext uri="{28A0092B-C50C-407E-A947-70E740481C1C}"/>
                      </a:extLst>
                    </a:blip>
                    <a:srcRect/>
                    <a:stretch>
                      <a:fillRect/>
                    </a:stretch>
                  </pic:blipFill>
                  <pic:spPr bwMode="auto">
                    <a:xfrm>
                      <a:off x="0" y="0"/>
                      <a:ext cx="280035" cy="2286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Description of Securities Registered Pursuant to Section 12 of the Securities Exchange Act of 1934</w:t>
      </w:r>
    </w:p>
    <w:p>
      <w:pPr>
        <w:spacing w:after="0" w:line="157" w:lineRule="exact"/>
        <w:rPr>
          <w:sz w:val="20"/>
          <w:szCs w:val="20"/>
          <w:color w:val="auto"/>
        </w:rPr>
      </w:pPr>
    </w:p>
    <w:p>
      <w:pPr>
        <w:ind w:right="20"/>
        <w:spacing w:after="0" w:line="239" w:lineRule="auto"/>
        <w:rPr>
          <w:sz w:val="20"/>
          <w:szCs w:val="20"/>
          <w:color w:val="auto"/>
        </w:rPr>
      </w:pPr>
      <w:r>
        <w:rPr>
          <w:rFonts w:ascii="Arial" w:cs="Arial" w:eastAsia="Arial" w:hAnsi="Arial"/>
          <w:sz w:val="10"/>
          <w:szCs w:val="10"/>
          <w:color w:val="auto"/>
        </w:rPr>
        <w:t>As of December 31, 2020, Royal Dutch Shell plc (“Shell”, “the Company”, “we”, “us” and “our”) had three classes of securities registered under Section 12(b) of the Securities Exchange Act of 1934, as amended: the Company’s A American Depositary Shares (“A ADSs”) representing two A ordinary shares, with a nominal value of €0.07 each, the Company’s B American Depositary Shares (“B ADSs”) representing two B ordinary shares, with a nominal value of €0.07 each, and Senior Debt Securities.</w:t>
      </w:r>
    </w:p>
    <w:p>
      <w:pPr>
        <w:spacing w:after="0" w:line="149" w:lineRule="exact"/>
        <w:rPr>
          <w:sz w:val="20"/>
          <w:szCs w:val="20"/>
          <w:color w:val="auto"/>
        </w:rPr>
      </w:pPr>
    </w:p>
    <w:p>
      <w:pPr>
        <w:ind w:right="20"/>
        <w:spacing w:after="0" w:line="358" w:lineRule="auto"/>
        <w:rPr>
          <w:sz w:val="20"/>
          <w:szCs w:val="20"/>
          <w:color w:val="auto"/>
        </w:rPr>
      </w:pPr>
      <w:r>
        <w:rPr>
          <w:rFonts w:ascii="Arial" w:cs="Arial" w:eastAsia="Arial" w:hAnsi="Arial"/>
          <w:sz w:val="8"/>
          <w:szCs w:val="8"/>
          <w:color w:val="auto"/>
        </w:rPr>
        <w:t>Capitalized terms used herein and not otherwise defined herein, shall have the meaning ascribed to them in the amended and restated deposit agreement among the Company, JPMorgan Chase Bank, N.A. and the Holders from time to time of ADRs (the “Deposit Agreement”), dated November 1, 2018 and the Senior Debt Securities Indenture among Shell International Finance B.V., as issuer, the Company, as guarantor, and Deutsche Bank Trust Company Americas, as trustee, dated June 27, 2006 (the “2006 Indenture”).</w:t>
      </w:r>
    </w:p>
    <w:p>
      <w:pPr>
        <w:spacing w:after="0" w:line="10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Description of A and B American Depositary Shares</w:t>
      </w:r>
    </w:p>
    <w:p>
      <w:pPr>
        <w:spacing w:after="0" w:line="157" w:lineRule="exact"/>
        <w:rPr>
          <w:sz w:val="20"/>
          <w:szCs w:val="20"/>
          <w:color w:val="auto"/>
        </w:rPr>
      </w:pPr>
    </w:p>
    <w:p>
      <w:pPr>
        <w:ind w:right="320"/>
        <w:spacing w:after="0" w:line="239" w:lineRule="auto"/>
        <w:rPr>
          <w:sz w:val="20"/>
          <w:szCs w:val="20"/>
          <w:color w:val="auto"/>
        </w:rPr>
      </w:pPr>
      <w:r>
        <w:rPr>
          <w:rFonts w:ascii="Arial" w:cs="Arial" w:eastAsia="Arial" w:hAnsi="Arial"/>
          <w:sz w:val="10"/>
          <w:szCs w:val="10"/>
          <w:color w:val="auto"/>
        </w:rPr>
        <w:t>The summary below describes some of the general terms and provisions of our A ADSs and B ADSs (collectively, “ADSs”) and is subject to, and qualified in its entirety by reference to the Form F-6, filed on October 19, 2018 (File No. 333-227891), which is incorporated by reference, including the exhibits thereto.</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General</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0"/>
          <w:szCs w:val="10"/>
          <w:color w:val="auto"/>
        </w:rPr>
        <w:t>American Depositary Receipts (“ADRs”) evidencing ADSs are issuable pursuant to the Deposit Agreement. Each A ADS represents the right to receive two A ordinary shares of the Company and each B ADS represents the right to receive two B ordinary shares of the Company. An ADR may evidence any number of ADSs. Holders and owners of interests in ADSs are not shareholders of the Company and have no direct rights of a shareholder against the Company.</w:t>
      </w:r>
    </w:p>
    <w:p>
      <w:pPr>
        <w:spacing w:after="0" w:line="149" w:lineRule="exact"/>
        <w:rPr>
          <w:sz w:val="20"/>
          <w:szCs w:val="20"/>
          <w:color w:val="auto"/>
        </w:rPr>
      </w:pPr>
    </w:p>
    <w:p>
      <w:pPr>
        <w:ind w:right="20"/>
        <w:spacing w:after="0" w:line="358" w:lineRule="auto"/>
        <w:rPr>
          <w:sz w:val="20"/>
          <w:szCs w:val="20"/>
          <w:color w:val="auto"/>
        </w:rPr>
      </w:pPr>
      <w:r>
        <w:rPr>
          <w:rFonts w:ascii="Arial" w:cs="Arial" w:eastAsia="Arial" w:hAnsi="Arial"/>
          <w:sz w:val="8"/>
          <w:szCs w:val="8"/>
          <w:color w:val="auto"/>
        </w:rPr>
        <w:t>JPMorgan Chase Bank, N.A., as depositary (the “Depositary”), is the registered shareholder of the shares underlying the A or B ADSs and enjoys the rights of a shareholder under our Articles of Association (“Articles”). Holders of ADSs do not have shareholder rights. The rights of the holder of an A or a B ADS are specified in the Deposit Agreement with the Depositary and are summarised below. The address of the Depositary’s principal executive offices is 383 Madison Avenue, Floor 11, New York, New York 10179.</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In the following description, a “Holder” is the person in whose name an ADR is registered on the ADR Register.</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Voting</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Upon request by the Company, the Depositary will notify Holders of ADSs of shareholders’ meetings of the Company or of solicitation of consents or proxies from Holders and will arrange to deliver voting materials to such holders of ADSs.</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0"/>
          <w:szCs w:val="10"/>
          <w:color w:val="auto"/>
        </w:rPr>
        <w:t>Upon request by a Holder, the Depositary will endeavour to appoint such holder as proxy in respect of such Holder’s deposited shares entitling such Holder to attend and vote at shareholders’ meetings. Holders of ADSs may also instruct the Depositary to vote their deposited securities and the Depositary will try, as far as practical and lawful, to vote deposited shares in accordance with such instructions.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Collecting and distributing dividends</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0"/>
          <w:szCs w:val="10"/>
          <w:color w:val="auto"/>
        </w:rPr>
        <w:t>The Depositary will receive all cash dividends and other cash distributions made on the deposited shares underlying the ADSs and, where possible and on a reasonable basis, will distribute such dividends and distributions to Holders of ADSs in proportion to their holdings of ADSs. All other distributions made on the Company’s shares will be distributed by the Depositary in any means that the Depositary thinks is equitable and practical.</w:t>
      </w:r>
    </w:p>
    <w:p>
      <w:pPr>
        <w:spacing w:after="0" w:line="149" w:lineRule="exact"/>
        <w:rPr>
          <w:sz w:val="20"/>
          <w:szCs w:val="20"/>
          <w:color w:val="auto"/>
        </w:rPr>
      </w:pPr>
    </w:p>
    <w:p>
      <w:pPr>
        <w:ind w:right="20"/>
        <w:spacing w:after="0" w:line="239" w:lineRule="auto"/>
        <w:rPr>
          <w:sz w:val="20"/>
          <w:szCs w:val="20"/>
          <w:color w:val="auto"/>
        </w:rPr>
      </w:pPr>
      <w:r>
        <w:rPr>
          <w:rFonts w:ascii="Arial" w:cs="Arial" w:eastAsia="Arial" w:hAnsi="Arial"/>
          <w:sz w:val="10"/>
          <w:szCs w:val="10"/>
          <w:color w:val="auto"/>
        </w:rPr>
        <w:t>The Depositary may deduct its fees and expenses and the amount of any taxes owed from any payments to Holders and it may sell a Holder’s deposited shares to pay any taxes owed. The Depositary is not responsible if it decides that it is unlawful or impractical to make a distribution available to Holders of ADSs.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Transmission of notices, reports and proxy soliciting material</w:t>
      </w:r>
    </w:p>
    <w:p>
      <w:pPr>
        <w:spacing w:after="0" w:line="155" w:lineRule="exact"/>
        <w:rPr>
          <w:sz w:val="20"/>
          <w:szCs w:val="20"/>
          <w:color w:val="auto"/>
        </w:rPr>
      </w:pPr>
    </w:p>
    <w:p>
      <w:pPr>
        <w:ind w:right="160"/>
        <w:spacing w:after="0" w:line="320" w:lineRule="auto"/>
        <w:rPr>
          <w:sz w:val="20"/>
          <w:szCs w:val="20"/>
          <w:color w:val="auto"/>
        </w:rPr>
      </w:pPr>
      <w:r>
        <w:rPr>
          <w:rFonts w:ascii="Arial" w:cs="Arial" w:eastAsia="Arial" w:hAnsi="Arial"/>
          <w:sz w:val="8"/>
          <w:szCs w:val="8"/>
          <w:color w:val="auto"/>
        </w:rPr>
        <w:t>In addition to the procedures for transmitting notices discussed above under “</w:t>
      </w:r>
      <w:r>
        <w:rPr>
          <w:rFonts w:ascii="Arial" w:cs="Arial" w:eastAsia="Arial" w:hAnsi="Arial"/>
          <w:sz w:val="8"/>
          <w:szCs w:val="8"/>
          <w:i w:val="1"/>
          <w:iCs w:val="1"/>
          <w:color w:val="auto"/>
        </w:rPr>
        <w:t>Voting</w:t>
      </w:r>
      <w:r>
        <w:rPr>
          <w:rFonts w:ascii="Arial" w:cs="Arial" w:eastAsia="Arial" w:hAnsi="Arial"/>
          <w:sz w:val="8"/>
          <w:szCs w:val="8"/>
          <w:color w:val="auto"/>
        </w:rPr>
        <w:t>,” the Depositary and custodian shall make available for inspection by Holders, at their offices and at any designated transfer offices, any reports and communications, including any proxy material, received from the Company which are both (i) received by the Depositary or the custodian or the nominee of either of them as the Holder of the ordinary shares and (ii) made generally available by the Company to the Holders of such ordinary shares. If requested in writing by the Company, the Depositary shall arrange for the transmittal or mailing of such notices, and any other reports or communications made generally available to Holders of the ordinary shares, to all Holders.</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Sale or exercise of rights</w:t>
      </w:r>
    </w:p>
    <w:p>
      <w:pPr>
        <w:spacing w:after="0" w:line="155" w:lineRule="exact"/>
        <w:rPr>
          <w:sz w:val="20"/>
          <w:szCs w:val="20"/>
          <w:color w:val="auto"/>
        </w:rPr>
      </w:pPr>
    </w:p>
    <w:p>
      <w:pPr>
        <w:ind w:right="140"/>
        <w:spacing w:after="0" w:line="234" w:lineRule="auto"/>
        <w:rPr>
          <w:sz w:val="20"/>
          <w:szCs w:val="20"/>
          <w:color w:val="auto"/>
        </w:rPr>
      </w:pPr>
      <w:r>
        <w:rPr>
          <w:rFonts w:ascii="Arial" w:cs="Arial" w:eastAsia="Arial" w:hAnsi="Arial"/>
          <w:sz w:val="10"/>
          <w:szCs w:val="10"/>
          <w:color w:val="auto"/>
        </w:rPr>
        <w:t>If the Company makes a distribution of warrants or other instruments representing rights to acquire additional ADSs in respect of any rights to subscribe for additional ordinary shares or rights of any nature and offers such rights to Holders of deposited securities, the Depositary, in its discretion, may distribute to Holders, in each case in proportion of their holdings of ADSs (i) the same, (ii) the net proceeds of sales of rights, or (iii) nothing provided that the sale of rights cannot practicably be accomplished by reason of the nontransferability of the Rights, limited markets therefor, their short duration or otherwise (and any rights may lapse).</w:t>
      </w:r>
    </w:p>
    <w:p>
      <w:pPr>
        <w:spacing w:after="0" w:line="96" w:lineRule="exact"/>
        <w:rPr>
          <w:sz w:val="20"/>
          <w:szCs w:val="20"/>
          <w:color w:val="auto"/>
        </w:rPr>
      </w:pPr>
    </w:p>
    <w:p>
      <w:pPr>
        <w:ind w:right="80"/>
        <w:spacing w:after="0" w:line="239" w:lineRule="auto"/>
        <w:rPr>
          <w:sz w:val="20"/>
          <w:szCs w:val="20"/>
          <w:color w:val="auto"/>
        </w:rPr>
      </w:pPr>
      <w:r>
        <w:rPr>
          <w:rFonts w:ascii="Arial" w:cs="Arial" w:eastAsia="Arial" w:hAnsi="Arial"/>
          <w:sz w:val="10"/>
          <w:szCs w:val="10"/>
          <w:color w:val="auto"/>
        </w:rPr>
        <w:t>If a Holder wishes to sell any rights issued by the Company, the Holder may be required (i) pay any applicable fees, taxes and charges, including governmental charges, associated with the sale transaction. Further, the Holder may be asked to provide proof satisfactory to the Depositary of the identity of any signatory, genuineness of any signature and such other information, that the Depositary may deem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75"/>
        </w:trPr>
        <w:tc>
          <w:tcPr>
            <w:tcW w:w="352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100" w:type="dxa"/>
            <w:vAlign w:val="bottom"/>
          </w:tcPr>
          <w:p>
            <w:pPr>
              <w:jc w:val="right"/>
              <w:spacing w:after="0"/>
              <w:rPr>
                <w:sz w:val="20"/>
                <w:szCs w:val="20"/>
                <w:color w:val="auto"/>
              </w:rPr>
            </w:pPr>
            <w:r>
              <w:rPr>
                <w:rFonts w:ascii="Arial" w:cs="Arial" w:eastAsia="Arial" w:hAnsi="Arial"/>
                <w:sz w:val="6"/>
                <w:szCs w:val="6"/>
                <w:color w:val="auto"/>
              </w:rPr>
              <w:t>1</w:t>
            </w:r>
          </w:p>
        </w:tc>
      </w:tr>
    </w:tbl>
    <w:p>
      <w:pPr>
        <w:sectPr>
          <w:pgSz w:w="11900" w:h="16838" w:orient="portrait"/>
          <w:cols w:equalWidth="0" w:num="1">
            <w:col w:w="11260"/>
          </w:cols>
          <w:pgMar w:left="300" w:top="721" w:right="339" w:bottom="1440" w:gutter="0" w:footer="0" w:header="0"/>
        </w:sectPr>
      </w:pPr>
    </w:p>
    <w:bookmarkStart w:id="277" w:name="page278"/>
    <w:bookmarkEnd w:id="277"/>
    <w:p>
      <w:pPr>
        <w:ind w:left="8"/>
        <w:spacing w:after="0"/>
        <w:rPr>
          <w:sz w:val="20"/>
          <w:szCs w:val="20"/>
          <w:color w:val="auto"/>
        </w:rPr>
      </w:pPr>
      <w:r>
        <w:rPr>
          <w:rFonts w:ascii="Arial" w:cs="Arial" w:eastAsia="Arial" w:hAnsi="Arial"/>
          <w:sz w:val="10"/>
          <w:szCs w:val="10"/>
          <w:b w:val="1"/>
          <w:bCs w:val="1"/>
          <w:i w:val="1"/>
          <w:iCs w:val="1"/>
          <w:color w:val="auto"/>
        </w:rPr>
        <w:t>Deposit or sale of securities resulting from dividends, splits or plans of reorganization</w:t>
      </w:r>
    </w:p>
    <w:p>
      <w:pPr>
        <w:spacing w:after="0" w:line="155" w:lineRule="exact"/>
        <w:rPr>
          <w:sz w:val="20"/>
          <w:szCs w:val="20"/>
          <w:color w:val="auto"/>
        </w:rPr>
      </w:pPr>
    </w:p>
    <w:p>
      <w:pPr>
        <w:jc w:val="both"/>
        <w:ind w:left="8" w:right="40"/>
        <w:spacing w:after="0" w:line="234" w:lineRule="auto"/>
        <w:rPr>
          <w:sz w:val="20"/>
          <w:szCs w:val="20"/>
          <w:color w:val="auto"/>
        </w:rPr>
      </w:pPr>
      <w:r>
        <w:rPr>
          <w:rFonts w:ascii="Arial" w:cs="Arial" w:eastAsia="Arial" w:hAnsi="Arial"/>
          <w:sz w:val="10"/>
          <w:szCs w:val="10"/>
          <w:color w:val="auto"/>
        </w:rPr>
        <w:t>If the Company makes a distribution payable at the election of the Holders of A or B ordinary shares in additional A or B ordinary shares and notifies the Depositary in writing of such occurrence, to the extent practicable, the Depositary will, upon request from the Company, distribute to each Holder, in proportion to the number of deposited securities represented by ADSs evidenced by such Holder's ADRs, additional ADRs evidencing whole ADSs representing any shares available to the Depositary resulting from a dividend or free distribution on deposited securities consisting of shares and (ii) cash representing the net proceeds of sales of shares received that would give rise to fractional ADSs.</w:t>
      </w:r>
    </w:p>
    <w:p>
      <w:pPr>
        <w:spacing w:after="0" w:line="150" w:lineRule="exact"/>
        <w:rPr>
          <w:sz w:val="20"/>
          <w:szCs w:val="20"/>
          <w:color w:val="auto"/>
        </w:rPr>
      </w:pPr>
    </w:p>
    <w:p>
      <w:pPr>
        <w:ind w:left="8" w:right="260"/>
        <w:spacing w:after="0" w:line="239" w:lineRule="auto"/>
        <w:rPr>
          <w:sz w:val="20"/>
          <w:szCs w:val="20"/>
          <w:color w:val="auto"/>
        </w:rPr>
      </w:pPr>
      <w:r>
        <w:rPr>
          <w:rFonts w:ascii="Arial" w:cs="Arial" w:eastAsia="Arial" w:hAnsi="Arial"/>
          <w:sz w:val="10"/>
          <w:szCs w:val="10"/>
          <w:color w:val="auto"/>
        </w:rPr>
        <w:t>The Depositary in its discretion will, if reasonably requested by the Company, amend the ADR or distribute additional or amended ADRs (with or without calling this ADR for exchange) or cash, securities or property to reflect any change in par value, split-up, consolidation, unification cancellation or other reclassification of deposited securities, any distribution of shares or other distributions not distributed to Holders.</w:t>
      </w:r>
    </w:p>
    <w:p>
      <w:pPr>
        <w:spacing w:after="0" w:line="149" w:lineRule="exact"/>
        <w:rPr>
          <w:sz w:val="20"/>
          <w:szCs w:val="20"/>
          <w:color w:val="auto"/>
        </w:rPr>
      </w:pPr>
    </w:p>
    <w:p>
      <w:pPr>
        <w:ind w:left="8" w:right="100"/>
        <w:spacing w:after="0" w:line="307" w:lineRule="auto"/>
        <w:rPr>
          <w:sz w:val="20"/>
          <w:szCs w:val="20"/>
          <w:color w:val="auto"/>
        </w:rPr>
      </w:pPr>
      <w:r>
        <w:rPr>
          <w:rFonts w:ascii="Arial" w:cs="Arial" w:eastAsia="Arial" w:hAnsi="Arial"/>
          <w:sz w:val="8"/>
          <w:szCs w:val="8"/>
          <w:color w:val="auto"/>
        </w:rPr>
        <w:t xml:space="preserve">The Depositary in its discretion will, if reasonably requested by the Company, amend the ADR or distribute any additional available cash, securities or property in respect of deposited securities from any recapitalization, reorganization, merger, consolidation, liquidation, receivership, bankruptcy or sale of all or substantially all the assets of the Company. Without derogation of the foregoing, if pursuant to article 5(E) of the Articles or otherwise, the Company undergoes a unification and/or consolidation of the A and B ordinary shares and as a result, the B ordinary shares form one uniform class with the A ordinary shares ranking </w:t>
      </w:r>
      <w:r>
        <w:rPr>
          <w:rFonts w:ascii="Arial" w:cs="Arial" w:eastAsia="Arial" w:hAnsi="Arial"/>
          <w:sz w:val="8"/>
          <w:szCs w:val="8"/>
          <w:i w:val="1"/>
          <w:iCs w:val="1"/>
          <w:color w:val="auto"/>
        </w:rPr>
        <w:t>pari passu</w:t>
      </w:r>
      <w:r>
        <w:rPr>
          <w:rFonts w:ascii="Arial" w:cs="Arial" w:eastAsia="Arial" w:hAnsi="Arial"/>
          <w:sz w:val="8"/>
          <w:szCs w:val="8"/>
          <w:color w:val="auto"/>
        </w:rPr>
        <w:t xml:space="preserve"> in all respect, from the effective date of such unification and/or consolidation, such uniform class of ordinary shares of the Company shall immediately thereafter, without any action on the part of the Company, the Depositary or the Holders, constitute the share class represented by any and all outstanding ADSs (regardless of whether previously designated A ADSs or ADSs).</w:t>
      </w:r>
    </w:p>
    <w:p>
      <w:pPr>
        <w:spacing w:after="0" w:line="123" w:lineRule="exact"/>
        <w:rPr>
          <w:sz w:val="20"/>
          <w:szCs w:val="20"/>
          <w:color w:val="auto"/>
        </w:rPr>
      </w:pPr>
    </w:p>
    <w:p>
      <w:pPr>
        <w:ind w:left="8" w:right="120"/>
        <w:spacing w:after="0" w:line="239" w:lineRule="auto"/>
        <w:rPr>
          <w:sz w:val="20"/>
          <w:szCs w:val="20"/>
          <w:color w:val="auto"/>
        </w:rPr>
      </w:pPr>
      <w:r>
        <w:rPr>
          <w:rFonts w:ascii="Arial" w:cs="Arial" w:eastAsia="Arial" w:hAnsi="Arial"/>
          <w:sz w:val="10"/>
          <w:szCs w:val="10"/>
          <w:color w:val="auto"/>
        </w:rPr>
        <w:t>If the Depositary does not so amend the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Prior to the issue, registration, split-up or combination of any ADR, the delivery of any distribution in respect thereof, the Company, the Depositary or the Custodian may require from the Holder:</w:t>
      </w:r>
    </w:p>
    <w:p>
      <w:pPr>
        <w:spacing w:after="0" w:line="101" w:lineRule="exact"/>
        <w:rPr>
          <w:sz w:val="20"/>
          <w:szCs w:val="20"/>
          <w:color w:val="auto"/>
        </w:rPr>
      </w:pPr>
    </w:p>
    <w:p>
      <w:pPr>
        <w:ind w:left="428" w:hanging="428"/>
        <w:spacing w:after="0"/>
        <w:tabs>
          <w:tab w:leader="none" w:pos="428" w:val="left"/>
        </w:tabs>
        <w:numPr>
          <w:ilvl w:val="0"/>
          <w:numId w:val="208"/>
        </w:numPr>
        <w:rPr>
          <w:rFonts w:ascii="Arial" w:cs="Arial" w:eastAsia="Arial" w:hAnsi="Arial"/>
          <w:sz w:val="10"/>
          <w:szCs w:val="10"/>
          <w:color w:val="auto"/>
        </w:rPr>
      </w:pPr>
      <w:r>
        <w:rPr>
          <w:rFonts w:ascii="Arial" w:cs="Arial" w:eastAsia="Arial" w:hAnsi="Arial"/>
          <w:sz w:val="10"/>
          <w:szCs w:val="10"/>
          <w:color w:val="auto"/>
        </w:rPr>
        <w:t>Payment of (i) any stock transfer, tax or other governmental charge, (ii) registration fees in effect for the registration of transfers of the underlying shares or other deposited securities, and (iii) any applicable depositary fees,</w:t>
      </w:r>
    </w:p>
    <w:p>
      <w:pPr>
        <w:spacing w:after="0" w:line="1" w:lineRule="exact"/>
        <w:rPr>
          <w:rFonts w:ascii="Arial" w:cs="Arial" w:eastAsia="Arial" w:hAnsi="Arial"/>
          <w:sz w:val="10"/>
          <w:szCs w:val="10"/>
          <w:color w:val="auto"/>
        </w:rPr>
      </w:pPr>
    </w:p>
    <w:p>
      <w:pPr>
        <w:ind w:left="428" w:hanging="428"/>
        <w:spacing w:after="0" w:line="225" w:lineRule="auto"/>
        <w:tabs>
          <w:tab w:leader="none" w:pos="428" w:val="left"/>
        </w:tabs>
        <w:numPr>
          <w:ilvl w:val="0"/>
          <w:numId w:val="208"/>
        </w:numPr>
        <w:rPr>
          <w:rFonts w:ascii="Arial" w:cs="Arial" w:eastAsia="Arial" w:hAnsi="Arial"/>
          <w:sz w:val="10"/>
          <w:szCs w:val="10"/>
          <w:color w:val="auto"/>
        </w:rPr>
      </w:pPr>
      <w:r>
        <w:rPr>
          <w:rFonts w:ascii="Arial" w:cs="Arial" w:eastAsia="Arial" w:hAnsi="Arial"/>
          <w:sz w:val="10"/>
          <w:szCs w:val="10"/>
          <w:color w:val="auto"/>
        </w:rPr>
        <w:t>The production of proof satisfactory to the Depositor as to the identity of the signatory and genuineness of any signature,</w:t>
      </w:r>
    </w:p>
    <w:p>
      <w:pPr>
        <w:ind w:left="428" w:right="140" w:hanging="428"/>
        <w:spacing w:after="0" w:line="225" w:lineRule="auto"/>
        <w:tabs>
          <w:tab w:leader="none" w:pos="421" w:val="left"/>
        </w:tabs>
        <w:numPr>
          <w:ilvl w:val="0"/>
          <w:numId w:val="208"/>
        </w:numPr>
        <w:rPr>
          <w:rFonts w:ascii="Arial" w:cs="Arial" w:eastAsia="Arial" w:hAnsi="Arial"/>
          <w:sz w:val="10"/>
          <w:szCs w:val="10"/>
          <w:color w:val="auto"/>
        </w:rPr>
      </w:pPr>
      <w:r>
        <w:rPr>
          <w:rFonts w:ascii="Arial" w:cs="Arial" w:eastAsia="Arial" w:hAnsi="Arial"/>
          <w:sz w:val="10"/>
          <w:szCs w:val="10"/>
          <w:color w:val="auto"/>
        </w:rPr>
        <w:t>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 as may be necessary or proper, and</w:t>
      </w:r>
    </w:p>
    <w:p>
      <w:pPr>
        <w:ind w:left="428" w:hanging="428"/>
        <w:spacing w:after="0" w:line="236" w:lineRule="auto"/>
        <w:tabs>
          <w:tab w:leader="none" w:pos="428" w:val="left"/>
        </w:tabs>
        <w:numPr>
          <w:ilvl w:val="0"/>
          <w:numId w:val="208"/>
        </w:numPr>
        <w:rPr>
          <w:rFonts w:ascii="Arial" w:cs="Arial" w:eastAsia="Arial" w:hAnsi="Arial"/>
          <w:sz w:val="10"/>
          <w:szCs w:val="10"/>
          <w:color w:val="auto"/>
        </w:rPr>
      </w:pPr>
      <w:r>
        <w:rPr>
          <w:rFonts w:ascii="Arial" w:cs="Arial" w:eastAsia="Arial" w:hAnsi="Arial"/>
          <w:sz w:val="10"/>
          <w:szCs w:val="10"/>
          <w:color w:val="auto"/>
        </w:rPr>
        <w:t>Compliance with such regulations as the Depositary may establish consistent with the Deposit Agreement.</w:t>
      </w:r>
    </w:p>
    <w:p>
      <w:pPr>
        <w:spacing w:after="0" w:line="95" w:lineRule="exact"/>
        <w:rPr>
          <w:sz w:val="20"/>
          <w:szCs w:val="20"/>
          <w:color w:val="auto"/>
        </w:rPr>
      </w:pPr>
    </w:p>
    <w:p>
      <w:pPr>
        <w:ind w:left="8" w:right="100"/>
        <w:spacing w:after="0" w:line="239" w:lineRule="auto"/>
        <w:rPr>
          <w:sz w:val="20"/>
          <w:szCs w:val="20"/>
          <w:color w:val="auto"/>
        </w:rPr>
      </w:pPr>
      <w:r>
        <w:rPr>
          <w:rFonts w:ascii="Arial" w:cs="Arial" w:eastAsia="Arial" w:hAnsi="Arial"/>
          <w:sz w:val="10"/>
          <w:szCs w:val="10"/>
          <w:color w:val="auto"/>
        </w:rPr>
        <w:t>The issuance of ADRs, the acceptance of deposits of shares, the registration, split-up or combination of ADRs may be suspended, generally or in particular instances, when the ADR Register or any register for deposited securities is closed or when any such action is deemed advisable by the Depositary.</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auto"/>
        </w:rPr>
        <w:t>Amendment, extension or termination of the Deposit Agreement</w:t>
      </w:r>
    </w:p>
    <w:p>
      <w:pPr>
        <w:spacing w:after="0" w:line="155" w:lineRule="exact"/>
        <w:rPr>
          <w:sz w:val="20"/>
          <w:szCs w:val="20"/>
          <w:color w:val="auto"/>
        </w:rPr>
      </w:pPr>
    </w:p>
    <w:p>
      <w:pPr>
        <w:ind w:left="8" w:right="100"/>
        <w:spacing w:after="0" w:line="232" w:lineRule="auto"/>
        <w:rPr>
          <w:sz w:val="20"/>
          <w:szCs w:val="20"/>
          <w:color w:val="auto"/>
        </w:rPr>
      </w:pPr>
      <w:r>
        <w:rPr>
          <w:rFonts w:ascii="Arial" w:cs="Arial" w:eastAsia="Arial" w:hAnsi="Arial"/>
          <w:sz w:val="10"/>
          <w:szCs w:val="10"/>
          <w:color w:val="auto"/>
        </w:rPr>
        <w:t>The form of ADRs evidencing ADSs and the Deposit Agreement may be amended by agreement between the Company and the Depositary, without the consent of the Holders. Any amendment that imposes or increases any fees or charges, other than taxes and other governmental charges, transfer or registration fees, transmission costs, delivery costs or other such expenses, or that otherwise prejudices any substantial existing right of the Holders, will not take effect as to any ADRs until 30 days after notice of the amendment has been given to the Holders. Every Holder of any ADR, at the time an amendment becomes effective, will be deemed to continue to hold the ADR and to consent and agree to the amendment and to be bound by the Deposit Agreement. No amendment may impair the right of any Holder to surrender ADRs and receive in return the deposited securities ordinary shares represented by the ADSs, except in order to comply with mandatory provisions of applicable law.</w:t>
      </w:r>
    </w:p>
    <w:p>
      <w:pPr>
        <w:spacing w:after="0" w:line="149" w:lineRule="exact"/>
        <w:rPr>
          <w:sz w:val="20"/>
          <w:szCs w:val="20"/>
          <w:color w:val="auto"/>
        </w:rPr>
      </w:pPr>
    </w:p>
    <w:p>
      <w:pPr>
        <w:ind w:left="8"/>
        <w:spacing w:after="0" w:line="307" w:lineRule="auto"/>
        <w:rPr>
          <w:sz w:val="20"/>
          <w:szCs w:val="20"/>
          <w:color w:val="auto"/>
        </w:rPr>
      </w:pPr>
      <w:r>
        <w:rPr>
          <w:rFonts w:ascii="Arial" w:cs="Arial" w:eastAsia="Arial" w:hAnsi="Arial"/>
          <w:sz w:val="8"/>
          <w:szCs w:val="8"/>
          <w:color w:val="auto"/>
        </w:rPr>
        <w:t>Any amendments which are reasonably necessary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However, if any governmental body or regulatory body adopts new laws, rules or regulations or should there be changes to the Articles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w:t>
      </w:r>
    </w:p>
    <w:p>
      <w:pPr>
        <w:spacing w:after="0" w:line="123" w:lineRule="exact"/>
        <w:rPr>
          <w:sz w:val="20"/>
          <w:szCs w:val="20"/>
          <w:color w:val="auto"/>
        </w:rPr>
      </w:pPr>
    </w:p>
    <w:p>
      <w:pPr>
        <w:ind w:left="8" w:right="80"/>
        <w:spacing w:after="0" w:line="358" w:lineRule="auto"/>
        <w:rPr>
          <w:sz w:val="20"/>
          <w:szCs w:val="20"/>
          <w:color w:val="auto"/>
        </w:rPr>
      </w:pPr>
      <w:r>
        <w:rPr>
          <w:rFonts w:ascii="Arial" w:cs="Arial" w:eastAsia="Arial" w:hAnsi="Arial"/>
          <w:sz w:val="8"/>
          <w:szCs w:val="8"/>
          <w:color w:val="auto"/>
        </w:rPr>
        <w:t>Notice of any amendment to the Deposit Agreement or form of ADRs is not required to describe in detail the specific amendments and failure to describe the specific amendments in any such notice shall not render such notice invalid, provided that the notice given to the Holders identifies a means for Holders to retrieve or receive the text of such amendment from, for example, the U.S. Securities and Exchange Commission, the Depositary's or the Company's website or upon request from the Depositary.</w:t>
      </w:r>
    </w:p>
    <w:p>
      <w:pPr>
        <w:spacing w:after="0" w:line="104" w:lineRule="exact"/>
        <w:rPr>
          <w:sz w:val="20"/>
          <w:szCs w:val="20"/>
          <w:color w:val="auto"/>
        </w:rPr>
      </w:pPr>
    </w:p>
    <w:p>
      <w:pPr>
        <w:jc w:val="both"/>
        <w:ind w:left="8" w:right="120"/>
        <w:spacing w:after="0" w:line="234" w:lineRule="auto"/>
        <w:rPr>
          <w:sz w:val="20"/>
          <w:szCs w:val="20"/>
          <w:color w:val="auto"/>
        </w:rPr>
      </w:pPr>
      <w:r>
        <w:rPr>
          <w:rFonts w:ascii="Arial" w:cs="Arial" w:eastAsia="Arial" w:hAnsi="Arial"/>
          <w:sz w:val="10"/>
          <w:szCs w:val="10"/>
          <w:color w:val="auto"/>
        </w:rPr>
        <w:t>At the written direction of the Company, the Depositary has agreed to terminate the Deposit Agreement and the ADRs evidencing ADSs by mailing a notice of such termination to the Holders then outstanding at least 30 days before the date fixed in the notice of termination. The Depositary may likewise resign or be removed as Depositary. However, in such cases, a notice of such resignation or termination by the Depositary shall not be provided to Holders unless a successor depositary will not be operating within 60 days of the date of the Depositary’s resignation or notice of removal was provided by the Company to the Depositary</w:t>
      </w:r>
    </w:p>
    <w:p>
      <w:pPr>
        <w:spacing w:after="0" w:line="150" w:lineRule="exact"/>
        <w:rPr>
          <w:sz w:val="20"/>
          <w:szCs w:val="20"/>
          <w:color w:val="auto"/>
        </w:rPr>
      </w:pPr>
    </w:p>
    <w:p>
      <w:pPr>
        <w:ind w:left="8" w:right="120"/>
        <w:spacing w:after="0" w:line="234" w:lineRule="auto"/>
        <w:rPr>
          <w:sz w:val="20"/>
          <w:szCs w:val="20"/>
          <w:color w:val="auto"/>
        </w:rPr>
      </w:pPr>
      <w:r>
        <w:rPr>
          <w:rFonts w:ascii="Arial" w:cs="Arial" w:eastAsia="Arial" w:hAnsi="Arial"/>
          <w:sz w:val="10"/>
          <w:szCs w:val="10"/>
          <w:color w:val="auto"/>
        </w:rPr>
        <w:t>Further, in the event of (i) the Company’s bankruptcy or insolvency, (ii) the Company’s ordinary shares ceasing to be listed on an internationally recognized stock exchange, (iii) the Company effects or will effect a redemption of all or substantially all of the deposited securities, or a cash or share distribution representing a return of all or substantially all of the value of the deposited securities, or (iv) a merger, consolidation, sale of assets or other transaction as a result of which securities or other property are delivered in exchange for or in lieu of deposited securities, the Depositary may terminate the Deposit Agreement without notice to the Company. Nonetheless, the Depositary will still be required to give 30 days’ notice to the Holders.</w:t>
      </w:r>
    </w:p>
    <w:p>
      <w:pPr>
        <w:spacing w:after="0" w:line="200" w:lineRule="exact"/>
        <w:rPr>
          <w:sz w:val="20"/>
          <w:szCs w:val="20"/>
          <w:color w:val="auto"/>
        </w:rPr>
      </w:pPr>
    </w:p>
    <w:p>
      <w:pPr>
        <w:spacing w:after="0" w:line="328" w:lineRule="exact"/>
        <w:rPr>
          <w:sz w:val="20"/>
          <w:szCs w:val="20"/>
          <w:color w:val="auto"/>
        </w:rPr>
      </w:pPr>
    </w:p>
    <w:tbl>
      <w:tblPr>
        <w:tblLayout w:type="fixed"/>
        <w:tblInd w:w="48" w:type="dxa"/>
        <w:tblCellMar>
          <w:top w:w="0" w:type="dxa"/>
          <w:left w:w="0" w:type="dxa"/>
          <w:bottom w:w="0" w:type="dxa"/>
          <w:right w:w="0" w:type="dxa"/>
        </w:tblCellMar>
      </w:tblPr>
      <w:tr>
        <w:trPr>
          <w:trHeight w:val="75"/>
        </w:trPr>
        <w:tc>
          <w:tcPr>
            <w:tcW w:w="352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100" w:type="dxa"/>
            <w:vAlign w:val="bottom"/>
          </w:tcPr>
          <w:p>
            <w:pPr>
              <w:jc w:val="right"/>
              <w:spacing w:after="0"/>
              <w:rPr>
                <w:sz w:val="20"/>
                <w:szCs w:val="20"/>
                <w:color w:val="auto"/>
              </w:rPr>
            </w:pPr>
            <w:r>
              <w:rPr>
                <w:rFonts w:ascii="Arial" w:cs="Arial" w:eastAsia="Arial" w:hAnsi="Arial"/>
                <w:sz w:val="6"/>
                <w:szCs w:val="6"/>
                <w:color w:val="auto"/>
              </w:rPr>
              <w:t>2</w:t>
            </w:r>
          </w:p>
        </w:tc>
      </w:tr>
    </w:tbl>
    <w:p>
      <w:pPr>
        <w:sectPr>
          <w:pgSz w:w="11900" w:h="16838" w:orient="portrait"/>
          <w:cols w:equalWidth="0" w:num="1">
            <w:col w:w="11248"/>
          </w:cols>
          <w:pgMar w:left="292" w:top="640" w:right="359" w:bottom="1440" w:gutter="0" w:footer="0" w:header="0"/>
        </w:sectPr>
      </w:pPr>
    </w:p>
    <w:bookmarkStart w:id="278" w:name="page279"/>
    <w:bookmarkEnd w:id="278"/>
    <w:p>
      <w:pPr>
        <w:ind w:left="8" w:right="120"/>
        <w:spacing w:after="0" w:line="232" w:lineRule="auto"/>
        <w:rPr>
          <w:sz w:val="20"/>
          <w:szCs w:val="20"/>
          <w:color w:val="auto"/>
        </w:rPr>
      </w:pPr>
      <w:r>
        <w:rPr>
          <w:rFonts w:ascii="Arial" w:cs="Arial" w:eastAsia="Arial" w:hAnsi="Arial"/>
          <w:sz w:val="10"/>
          <w:szCs w:val="10"/>
          <w:color w:val="auto"/>
        </w:rPr>
        <w:t xml:space="preserve">After the date of termination of the Depositary Agreement, the Depositary will perform no further acts except to receive and hold (or sell) distributions on Deposited Securities and deliver deposited securities being withdrawn. As soon as practicable after such termination date, the Depositary will use its reasonable efforts to sell the deposited securities and lawfully hold in an account the net proceeds of such sales, together with any other cash then held by it under the Deposit Agreement, without liability for interest, in trust for the </w:t>
      </w:r>
      <w:r>
        <w:rPr>
          <w:rFonts w:ascii="Arial" w:cs="Arial" w:eastAsia="Arial" w:hAnsi="Arial"/>
          <w:sz w:val="10"/>
          <w:szCs w:val="10"/>
          <w:u w:val="single" w:color="auto"/>
          <w:color w:val="auto"/>
        </w:rPr>
        <w:t>pro rata</w:t>
      </w:r>
      <w:r>
        <w:rPr>
          <w:rFonts w:ascii="Arial" w:cs="Arial" w:eastAsia="Arial" w:hAnsi="Arial"/>
          <w:sz w:val="10"/>
          <w:szCs w:val="10"/>
          <w:color w:val="auto"/>
        </w:rPr>
        <w:t xml:space="preserve"> benefit of the Holders of ADRs that have not previously been surrendered. Following such sale, the Depositary is discharged from all obligations under the Deposit Agreement, with the exception of accounting for such net proceeds and other cash. After the termination of the Deposit Agreement, the Company is discharged from all obligations under the Deposit Agreement except for its obligations to the Depositary.</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auto"/>
        </w:rPr>
        <w:t>Rights of Holders of ADRs to inspect the transfer books of the Depositary and the list of Holders of ADRs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Depositary will keep a register for the registration, transfer, combination and split-up of ADRs. These books will be open for inspection by Holders at all reasonable times.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8"/>
          <w:szCs w:val="8"/>
          <w:color w:val="auto"/>
        </w:rPr>
        <w:t>The Depositary may close the ADR Register at any time or from time to time when deemed expedient by it and it may also close the issuance book portion of the ADR Register when reasonably requested by the Company solely in order to enable the Company to comply with applicable law.</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auto"/>
        </w:rPr>
        <w:t>Restrictions upon the right to transfer or withdraw the underlying securities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0"/>
          <w:szCs w:val="10"/>
          <w:color w:val="auto"/>
        </w:rPr>
        <w:t>Subject to certain limitations described below, Holders may, at any time, cancel ADSs and withdraw their underlying shares, have the corresponding class and number of ordinary shares credited to their account, or request a registration of transfer.</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0"/>
          <w:szCs w:val="10"/>
          <w:color w:val="auto"/>
        </w:rPr>
        <w:t>Prior to acting upon the request for withdrawal of deposited securities or registration of transfer, the Depositary may request the following:</w:t>
      </w:r>
    </w:p>
    <w:p>
      <w:pPr>
        <w:spacing w:after="0" w:line="155" w:lineRule="exact"/>
        <w:rPr>
          <w:sz w:val="20"/>
          <w:szCs w:val="20"/>
          <w:color w:val="auto"/>
        </w:rPr>
      </w:pPr>
    </w:p>
    <w:p>
      <w:pPr>
        <w:ind w:left="428" w:hanging="428"/>
        <w:spacing w:after="0" w:line="233" w:lineRule="auto"/>
        <w:tabs>
          <w:tab w:leader="none" w:pos="426" w:val="left"/>
        </w:tabs>
        <w:numPr>
          <w:ilvl w:val="0"/>
          <w:numId w:val="209"/>
        </w:numPr>
        <w:rPr>
          <w:rFonts w:ascii="Arial" w:cs="Arial" w:eastAsia="Arial" w:hAnsi="Arial"/>
          <w:sz w:val="10"/>
          <w:szCs w:val="10"/>
          <w:color w:val="auto"/>
        </w:rPr>
      </w:pPr>
      <w:r>
        <w:rPr>
          <w:rFonts w:ascii="Arial" w:cs="Arial" w:eastAsia="Arial" w:hAnsi="Arial"/>
          <w:sz w:val="10"/>
          <w:szCs w:val="10"/>
          <w:color w:val="auto"/>
        </w:rPr>
        <w:t>Proper endorsement in blank of such ADR (or duly executed instruments of transfer thereof in blank) and the Holder's written order directing the Depositary to cause the Deposited Securities represented by the ADSs evidenced by such ADR to be withdrawn and delivered to, or upon the written order of, any person designated in such order.</w:t>
      </w:r>
    </w:p>
    <w:p>
      <w:pPr>
        <w:ind w:left="428" w:right="160" w:hanging="428"/>
        <w:spacing w:after="0" w:line="225" w:lineRule="auto"/>
        <w:tabs>
          <w:tab w:leader="none" w:pos="421" w:val="left"/>
        </w:tabs>
        <w:numPr>
          <w:ilvl w:val="0"/>
          <w:numId w:val="209"/>
        </w:numPr>
        <w:rPr>
          <w:rFonts w:ascii="Arial" w:cs="Arial" w:eastAsia="Arial" w:hAnsi="Arial"/>
          <w:sz w:val="10"/>
          <w:szCs w:val="10"/>
          <w:color w:val="auto"/>
        </w:rPr>
      </w:pPr>
      <w:r>
        <w:rPr>
          <w:rFonts w:ascii="Arial" w:cs="Arial" w:eastAsia="Arial" w:hAnsi="Arial"/>
          <w:sz w:val="10"/>
          <w:szCs w:val="10"/>
          <w:color w:val="auto"/>
        </w:rPr>
        <w:t>Payment from the depositor of ADSs or the presenter of the ADRs of a sum sufficient to reimburse it for (i) any stock transfer, tax or other governmental charge, (ii) registration fees in effect for the registration of transfers of the underlying shares or other deposited securities, and (iii) any applicable depositary fees,</w:t>
      </w:r>
    </w:p>
    <w:p>
      <w:pPr>
        <w:ind w:left="428" w:hanging="428"/>
        <w:spacing w:after="0" w:line="225" w:lineRule="auto"/>
        <w:tabs>
          <w:tab w:leader="none" w:pos="428" w:val="left"/>
        </w:tabs>
        <w:numPr>
          <w:ilvl w:val="0"/>
          <w:numId w:val="209"/>
        </w:numPr>
        <w:rPr>
          <w:rFonts w:ascii="Arial" w:cs="Arial" w:eastAsia="Arial" w:hAnsi="Arial"/>
          <w:sz w:val="10"/>
          <w:szCs w:val="10"/>
          <w:color w:val="auto"/>
        </w:rPr>
      </w:pPr>
      <w:r>
        <w:rPr>
          <w:rFonts w:ascii="Arial" w:cs="Arial" w:eastAsia="Arial" w:hAnsi="Arial"/>
          <w:sz w:val="10"/>
          <w:szCs w:val="10"/>
          <w:color w:val="auto"/>
        </w:rPr>
        <w:t>The production of proof satisfactory to the Depositor as to the identity of the signatory and genuineness of any signature,</w:t>
      </w:r>
    </w:p>
    <w:p>
      <w:pPr>
        <w:ind w:left="428" w:right="200" w:hanging="428"/>
        <w:spacing w:after="0" w:line="225" w:lineRule="auto"/>
        <w:tabs>
          <w:tab w:leader="none" w:pos="426" w:val="left"/>
        </w:tabs>
        <w:numPr>
          <w:ilvl w:val="0"/>
          <w:numId w:val="209"/>
        </w:numPr>
        <w:rPr>
          <w:rFonts w:ascii="Arial" w:cs="Arial" w:eastAsia="Arial" w:hAnsi="Arial"/>
          <w:sz w:val="10"/>
          <w:szCs w:val="10"/>
          <w:color w:val="auto"/>
        </w:rPr>
      </w:pPr>
      <w:r>
        <w:rPr>
          <w:rFonts w:ascii="Arial" w:cs="Arial" w:eastAsia="Arial" w:hAnsi="Arial"/>
          <w:sz w:val="10"/>
          <w:szCs w:val="10"/>
          <w:color w:val="auto"/>
        </w:rPr>
        <w:t>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 as may be necessary or proper, and</w:t>
      </w:r>
    </w:p>
    <w:p>
      <w:pPr>
        <w:ind w:left="428" w:hanging="428"/>
        <w:spacing w:after="0" w:line="236" w:lineRule="auto"/>
        <w:tabs>
          <w:tab w:leader="none" w:pos="428" w:val="left"/>
        </w:tabs>
        <w:numPr>
          <w:ilvl w:val="0"/>
          <w:numId w:val="209"/>
        </w:numPr>
        <w:rPr>
          <w:rFonts w:ascii="Arial" w:cs="Arial" w:eastAsia="Arial" w:hAnsi="Arial"/>
          <w:sz w:val="10"/>
          <w:szCs w:val="10"/>
          <w:color w:val="auto"/>
        </w:rPr>
      </w:pPr>
      <w:r>
        <w:rPr>
          <w:rFonts w:ascii="Arial" w:cs="Arial" w:eastAsia="Arial" w:hAnsi="Arial"/>
          <w:sz w:val="10"/>
          <w:szCs w:val="10"/>
          <w:color w:val="auto"/>
        </w:rPr>
        <w:t>Compliance with such regulations as the Depositary may establish consistent with the Deposit Agreement.</w:t>
      </w:r>
    </w:p>
    <w:p>
      <w:pPr>
        <w:spacing w:after="0" w:line="149" w:lineRule="exact"/>
        <w:rPr>
          <w:sz w:val="20"/>
          <w:szCs w:val="20"/>
          <w:color w:val="auto"/>
        </w:rPr>
      </w:pPr>
    </w:p>
    <w:p>
      <w:pPr>
        <w:ind w:left="8" w:right="160"/>
        <w:spacing w:after="0" w:line="239" w:lineRule="auto"/>
        <w:rPr>
          <w:sz w:val="20"/>
          <w:szCs w:val="20"/>
          <w:color w:val="auto"/>
        </w:rPr>
      </w:pPr>
      <w:r>
        <w:rPr>
          <w:rFonts w:ascii="Arial" w:cs="Arial" w:eastAsia="Arial" w:hAnsi="Arial"/>
          <w:sz w:val="10"/>
          <w:szCs w:val="10"/>
          <w:color w:val="auto"/>
        </w:rPr>
        <w:t>Upon surrender of a certificated ADR in a form satisfactory to the Depositary or proper instructions and documentation, the Depositary will deliver to the Custodian's office the deposited securities at the time represented by the ADSs evidenced by the ADR. If requested, the Depositary may deliver such deposited securities at such other place as requested by the Holder, but such delivery is at risk and expense of the Holder.</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withdrawal of deposited securities may be suspended, generally or in particular instances, when the ADR Register or any register for deposited securities is closed or when any such action is deemed advisable by the Depositary.</w:t>
      </w:r>
    </w:p>
    <w:p>
      <w:pPr>
        <w:spacing w:after="0" w:line="155" w:lineRule="exact"/>
        <w:rPr>
          <w:sz w:val="20"/>
          <w:szCs w:val="20"/>
          <w:color w:val="auto"/>
        </w:rPr>
      </w:pPr>
    </w:p>
    <w:p>
      <w:pPr>
        <w:ind w:left="8" w:right="60"/>
        <w:spacing w:after="0" w:line="320" w:lineRule="auto"/>
        <w:rPr>
          <w:sz w:val="20"/>
          <w:szCs w:val="20"/>
          <w:color w:val="auto"/>
        </w:rPr>
      </w:pPr>
      <w:r>
        <w:rPr>
          <w:rFonts w:ascii="Arial" w:cs="Arial" w:eastAsia="Arial" w:hAnsi="Arial"/>
          <w:sz w:val="8"/>
          <w:szCs w:val="8"/>
          <w:color w:val="auto"/>
        </w:rPr>
        <w:t>Notwithstanding any other provision of the Deposit Agreement or the ADR, the withdrawal of deposited securities or the registration of transfer of outstanding ADRs generally may be suspended due to (i) temporary delays caused by closing transfer books of the Depositary or the Company of the deposited securities or the deposit of shares in connection with voting at a shareholders’ meeting, or the payment of dividends, (ii) the payment of fees, taxes, and similar charges, and (iii) compliance with any laws or governmental regulations relating to ADRs or to the withdrawal of deposited securities. Without limitation of the foregoing, the Depositary will not knowingly accept for deposit any shares required to be registered under the provisions of the Securities Act of 1933, unless a registration statement is in effect as to such shares.</w:t>
      </w:r>
    </w:p>
    <w:p>
      <w:pPr>
        <w:spacing w:after="0" w:line="118" w:lineRule="exact"/>
        <w:rPr>
          <w:sz w:val="20"/>
          <w:szCs w:val="20"/>
          <w:color w:val="auto"/>
        </w:rPr>
      </w:pPr>
    </w:p>
    <w:p>
      <w:pPr>
        <w:ind w:left="8" w:right="100"/>
        <w:spacing w:after="0" w:line="320" w:lineRule="auto"/>
        <w:rPr>
          <w:sz w:val="20"/>
          <w:szCs w:val="20"/>
          <w:color w:val="auto"/>
        </w:rPr>
      </w:pPr>
      <w:r>
        <w:rPr>
          <w:rFonts w:ascii="Arial" w:cs="Arial" w:eastAsia="Arial" w:hAnsi="Arial"/>
          <w:sz w:val="8"/>
          <w:szCs w:val="8"/>
          <w:color w:val="auto"/>
        </w:rPr>
        <w:t>The delivery of ADRs against deposits of ADSs generally or against deposits of particular ADSs may be suspended, or the transfer of ADRs in particular instances may be refused, or the registration of transfer of outstanding ADRs generally may be suspended, during any period when the transfer books of the Depositary or Barclays or those maintained by the foreign registrar are closed, or if any such action is deemed necessary or advisable by the Depositary or Barclays at any time or from time to time because of any requirement of law or of any government or governmental body or commission, or under any provision of the Deposit Agreement, or, as long as it would be permitted under the transfer agency rules applicable to the Depositary, for any other reason.</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auto"/>
        </w:rPr>
        <w:t>Limitation upon the liability of the Depositary</w:t>
      </w:r>
    </w:p>
    <w:p>
      <w:pPr>
        <w:spacing w:after="0" w:line="155" w:lineRule="exact"/>
        <w:rPr>
          <w:sz w:val="20"/>
          <w:szCs w:val="20"/>
          <w:color w:val="auto"/>
        </w:rPr>
      </w:pPr>
    </w:p>
    <w:p>
      <w:pPr>
        <w:ind w:left="8" w:right="40"/>
        <w:spacing w:after="0" w:line="294" w:lineRule="auto"/>
        <w:rPr>
          <w:sz w:val="20"/>
          <w:szCs w:val="20"/>
          <w:color w:val="auto"/>
        </w:rPr>
      </w:pPr>
      <w:r>
        <w:rPr>
          <w:rFonts w:ascii="Arial" w:cs="Arial" w:eastAsia="Arial" w:hAnsi="Arial"/>
          <w:sz w:val="8"/>
          <w:szCs w:val="8"/>
          <w:color w:val="auto"/>
        </w:rPr>
        <w:t>The Depositary and the Company are not liable to Holders or beneficial owners of ADSs (A) if any present or future law, rule, regulation, fiat, order or decree of the United States, England, the Netherlands or any other country or jurisdiction, or of any governmental or regulatory authority or any securities exchange or market or automated quotation system, the provisions of or governing any deposited securities or any securities issued or distributed by the Company or any offering or distribution thereof, any present or future provision of the Articles, any act of God, war, terrorism, nationalization, expropriation, currency restrictions, work stoppage, strike, civil unrest, revolutions, rebellions, explosions, computer failure or circumstance beyond its direct and immediate control shall prevent, forbid or delay, or shall cause any of them to be subject to any civil or criminal penalty in connection with, any act which the Deposit Agreement or this ADR provides shall be done or performed by it or them (including, without limitation, voting), or (B) by reason of any non-performance or delay, caused as aforesaid, in the performance of any act or things which by the terms of the Deposit Agreement it is provided shall or may be done or performed or any exercise or failure to exercise any discretion given it in the Deposit Agreement or this ADR (including, without limitation, any failure to determine that any distribution or action may be lawful or reasonably practicable) (C) not be liable to Holders or beneficial owners of ADSs for any action or inaction by it in reliance upon the advice of or information from legal counsel, accountants, any person presenting shares for deposit, any Holder, or any other person believed by it to be competent to give such advice or information. The Depositary shall not be liable for the acts or omissions made by, or the insolvency of, any securities depository, clearing agency or settlement system.</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8"/>
          <w:szCs w:val="8"/>
          <w:color w:val="auto"/>
        </w:rPr>
        <w:t>The Depositary and the Company assume no liability to Holders or beneficial owners of ADSs except to perform their obligations to the extent they are specifically set forth in the ADR and the Deposit Agreement without gross negligence or willful misconduct.</w:t>
      </w:r>
    </w:p>
    <w:p>
      <w:pPr>
        <w:spacing w:after="0" w:line="394" w:lineRule="exact"/>
        <w:rPr>
          <w:sz w:val="20"/>
          <w:szCs w:val="20"/>
          <w:color w:val="auto"/>
        </w:rPr>
      </w:pPr>
    </w:p>
    <w:tbl>
      <w:tblPr>
        <w:tblLayout w:type="fixed"/>
        <w:tblInd w:w="48" w:type="dxa"/>
        <w:tblCellMar>
          <w:top w:w="0" w:type="dxa"/>
          <w:left w:w="0" w:type="dxa"/>
          <w:bottom w:w="0" w:type="dxa"/>
          <w:right w:w="0" w:type="dxa"/>
        </w:tblCellMar>
      </w:tblPr>
      <w:tr>
        <w:trPr>
          <w:trHeight w:val="75"/>
        </w:trPr>
        <w:tc>
          <w:tcPr>
            <w:tcW w:w="352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100" w:type="dxa"/>
            <w:vAlign w:val="bottom"/>
          </w:tcPr>
          <w:p>
            <w:pPr>
              <w:jc w:val="right"/>
              <w:spacing w:after="0"/>
              <w:rPr>
                <w:sz w:val="20"/>
                <w:szCs w:val="20"/>
                <w:color w:val="auto"/>
              </w:rPr>
            </w:pPr>
            <w:r>
              <w:rPr>
                <w:rFonts w:ascii="Arial" w:cs="Arial" w:eastAsia="Arial" w:hAnsi="Arial"/>
                <w:sz w:val="6"/>
                <w:szCs w:val="6"/>
                <w:color w:val="auto"/>
              </w:rPr>
              <w:t>3</w:t>
            </w:r>
          </w:p>
        </w:tc>
      </w:tr>
    </w:tbl>
    <w:p>
      <w:pPr>
        <w:sectPr>
          <w:pgSz w:w="11900" w:h="16838" w:orient="portrait"/>
          <w:cols w:equalWidth="0" w:num="1">
            <w:col w:w="11308"/>
          </w:cols>
          <w:pgMar w:left="292" w:top="640" w:right="299" w:bottom="1440" w:gutter="0" w:footer="0" w:header="0"/>
        </w:sectPr>
      </w:pPr>
    </w:p>
    <w:bookmarkStart w:id="279" w:name="page280"/>
    <w:bookmarkEnd w:id="279"/>
    <w:p>
      <w:pPr>
        <w:ind w:right="220"/>
        <w:spacing w:after="0" w:line="234" w:lineRule="auto"/>
        <w:rPr>
          <w:sz w:val="20"/>
          <w:szCs w:val="20"/>
          <w:color w:val="auto"/>
        </w:rPr>
      </w:pPr>
      <w:r>
        <w:rPr>
          <w:rFonts w:ascii="Arial" w:cs="Arial" w:eastAsia="Arial" w:hAnsi="Arial"/>
          <w:sz w:val="10"/>
          <w:szCs w:val="10"/>
          <w:color w:val="auto"/>
        </w:rPr>
        <w:t>The Depositary and its agents are under no obligation to appear in, prosecute or defend any action, suit or other proceeding in respect of any deposited securities or this ADR. The Company and its agents also are under no obligation to appear in, prosecute or defend any action, suit or other proceeding in respect of any deposited securities or this ADR, which in its opinion may involve it in expense or liability, unless indemnity satisfactory to it in its sole discretion against all expense (including fees and disbursements of counsel) and liability be furnished as often as may be required.</w:t>
      </w:r>
    </w:p>
    <w:p>
      <w:pPr>
        <w:spacing w:after="0" w:line="150" w:lineRule="exact"/>
        <w:rPr>
          <w:sz w:val="20"/>
          <w:szCs w:val="20"/>
          <w:color w:val="auto"/>
        </w:rPr>
      </w:pPr>
    </w:p>
    <w:p>
      <w:pPr>
        <w:spacing w:after="0" w:line="307" w:lineRule="auto"/>
        <w:rPr>
          <w:sz w:val="20"/>
          <w:szCs w:val="20"/>
          <w:color w:val="auto"/>
        </w:rPr>
      </w:pPr>
      <w:r>
        <w:rPr>
          <w:rFonts w:ascii="Arial" w:cs="Arial" w:eastAsia="Arial" w:hAnsi="Arial"/>
          <w:sz w:val="8"/>
          <w:szCs w:val="8"/>
          <w:color w:val="auto"/>
        </w:rPr>
        <w:t>The Depositary is not liable in connection with or arising from the insolvency of any Custodian that is not a branch or affiliate of JPMorgan Chase Bank, N.A. The Depositary are not liable for the price received in connection with any sale of securities, the timing thereof or any delay in action or omission to act nor is it responsible for any error or delay in action, omission to act, default or negligence on the part of the party so retained in connection with any such sale or proposed sale.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The Depositary and its agents are not be responsible for any failure to carry out any instructions to vote any of the deposited securities, for the manner in which any such vote is cast, or for the effect of any such vote.</w:t>
      </w:r>
    </w:p>
    <w:p>
      <w:pPr>
        <w:spacing w:after="0" w:line="155" w:lineRule="exact"/>
        <w:rPr>
          <w:sz w:val="20"/>
          <w:szCs w:val="20"/>
          <w:color w:val="auto"/>
        </w:rPr>
      </w:pPr>
    </w:p>
    <w:p>
      <w:pPr>
        <w:ind w:right="100"/>
        <w:spacing w:after="0" w:line="239" w:lineRule="auto"/>
        <w:rPr>
          <w:sz w:val="20"/>
          <w:szCs w:val="20"/>
          <w:color w:val="auto"/>
        </w:rPr>
      </w:pPr>
      <w:r>
        <w:rPr>
          <w:rFonts w:ascii="Arial" w:cs="Arial" w:eastAsia="Arial" w:hAnsi="Arial"/>
          <w:sz w:val="10"/>
          <w:szCs w:val="10"/>
          <w:color w:val="auto"/>
        </w:rPr>
        <w:t>The Depositary is not liable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The Depositary and the Custodian are not responsible for any errors or omissions made by any selected third party delivery services and local agents providing the relevant information or services.</w:t>
      </w:r>
    </w:p>
    <w:p>
      <w:pPr>
        <w:spacing w:after="0" w:line="101" w:lineRule="exact"/>
        <w:rPr>
          <w:sz w:val="20"/>
          <w:szCs w:val="20"/>
          <w:color w:val="auto"/>
        </w:rPr>
      </w:pPr>
    </w:p>
    <w:p>
      <w:pPr>
        <w:spacing w:after="0"/>
        <w:rPr>
          <w:sz w:val="20"/>
          <w:szCs w:val="20"/>
          <w:color w:val="auto"/>
        </w:rPr>
      </w:pPr>
      <w:r>
        <w:rPr>
          <w:rFonts w:ascii="Arial" w:cs="Arial" w:eastAsia="Arial" w:hAnsi="Arial"/>
          <w:sz w:val="8"/>
          <w:szCs w:val="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w:t>
      </w:r>
    </w:p>
    <w:p>
      <w:pPr>
        <w:spacing w:after="0" w:line="124" w:lineRule="exact"/>
        <w:rPr>
          <w:sz w:val="20"/>
          <w:szCs w:val="20"/>
          <w:color w:val="auto"/>
        </w:rPr>
      </w:pPr>
    </w:p>
    <w:p>
      <w:pPr>
        <w:spacing w:after="0"/>
        <w:rPr>
          <w:sz w:val="20"/>
          <w:szCs w:val="20"/>
          <w:color w:val="auto"/>
        </w:rPr>
      </w:pPr>
      <w:r>
        <w:rPr>
          <w:rFonts w:ascii="Arial" w:cs="Arial" w:eastAsia="Arial" w:hAnsi="Arial"/>
          <w:sz w:val="10"/>
          <w:szCs w:val="10"/>
          <w:color w:val="auto"/>
        </w:rPr>
        <w:t>The Company has agreed to indemnify the Depositary and its agents under certain circumstances and the Depositary has agreed to indemnify the Company under certain circumstances.</w:t>
      </w:r>
    </w:p>
    <w:p>
      <w:pPr>
        <w:spacing w:after="0" w:line="101" w:lineRule="exact"/>
        <w:rPr>
          <w:sz w:val="20"/>
          <w:szCs w:val="20"/>
          <w:color w:val="auto"/>
        </w:rPr>
      </w:pPr>
    </w:p>
    <w:p>
      <w:pPr>
        <w:ind w:right="20"/>
        <w:spacing w:after="0" w:line="239" w:lineRule="auto"/>
        <w:rPr>
          <w:sz w:val="20"/>
          <w:szCs w:val="20"/>
          <w:color w:val="auto"/>
        </w:rPr>
      </w:pPr>
      <w:r>
        <w:rPr>
          <w:rFonts w:ascii="Arial" w:cs="Arial" w:eastAsia="Arial" w:hAnsi="Arial"/>
          <w:sz w:val="10"/>
          <w:szCs w:val="10"/>
          <w:color w:val="auto"/>
        </w:rPr>
        <w:t>Neither the Company, the Depositary nor any of their respective agents shall be liable to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No disclaimer of liability under the Securities Act of 1933 or the Securities Exchange Act of 1934, to the extent applicable, is intended by any provision thereof.</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Arbitration</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Company, the Depositary and each Holder shall be bound by the arbitration and exclusive jurisdiction provisions set forth below in connection with any Share Dispute, as that term is defined below:</w:t>
      </w:r>
    </w:p>
    <w:p>
      <w:pPr>
        <w:spacing w:after="0" w:line="191" w:lineRule="exact"/>
        <w:rPr>
          <w:sz w:val="20"/>
          <w:szCs w:val="20"/>
          <w:color w:val="auto"/>
        </w:rPr>
      </w:pPr>
    </w:p>
    <w:p>
      <w:pPr>
        <w:ind w:left="2880" w:right="520" w:hanging="793"/>
        <w:spacing w:after="0" w:line="260" w:lineRule="auto"/>
        <w:tabs>
          <w:tab w:leader="none" w:pos="2880" w:val="left"/>
        </w:tabs>
        <w:numPr>
          <w:ilvl w:val="0"/>
          <w:numId w:val="210"/>
        </w:numPr>
        <w:rPr>
          <w:rFonts w:ascii="Arial" w:cs="Arial" w:eastAsia="Arial" w:hAnsi="Arial"/>
          <w:sz w:val="8"/>
          <w:szCs w:val="8"/>
          <w:color w:val="auto"/>
        </w:rPr>
      </w:pPr>
      <w:r>
        <w:rPr>
          <w:rFonts w:ascii="Arial" w:cs="Arial" w:eastAsia="Arial" w:hAnsi="Arial"/>
          <w:sz w:val="8"/>
          <w:szCs w:val="8"/>
          <w:color w:val="auto"/>
        </w:rPr>
        <w:t>The term “Share Dispute” is defined as any action, dispute, controversy, claim or cause of action (a) between the Company and Holders and/or owners of interests in ADSs or (b) between and directly involving as named parties each of the Company, the Depositary and one or more Holders and/or owners of interests in ADSs, in each case arising out of, or relating to, this Deposit Agreement, the ADSs or the ADRs or the transactions contemplated hereby or thereby (whether in tort, in contract, under statute, including for the avoidance of doubt, any derivative claim thereunder, or otherwise), including any question regarding existence, validity, interpretation, breach or termination of the Deposit Agreement and any alleged violation of the U.S. federal securities laws.</w:t>
      </w:r>
    </w:p>
    <w:p>
      <w:pPr>
        <w:spacing w:after="0" w:line="69" w:lineRule="exact"/>
        <w:rPr>
          <w:rFonts w:ascii="Arial" w:cs="Arial" w:eastAsia="Arial" w:hAnsi="Arial"/>
          <w:sz w:val="8"/>
          <w:szCs w:val="8"/>
          <w:color w:val="auto"/>
        </w:rPr>
      </w:pPr>
    </w:p>
    <w:p>
      <w:pPr>
        <w:ind w:left="2880" w:right="640" w:hanging="793"/>
        <w:spacing w:after="0" w:line="220" w:lineRule="auto"/>
        <w:tabs>
          <w:tab w:leader="none" w:pos="2880" w:val="left"/>
        </w:tabs>
        <w:numPr>
          <w:ilvl w:val="0"/>
          <w:numId w:val="210"/>
        </w:numPr>
        <w:rPr>
          <w:rFonts w:ascii="Arial" w:cs="Arial" w:eastAsia="Arial" w:hAnsi="Arial"/>
          <w:sz w:val="10"/>
          <w:szCs w:val="10"/>
          <w:color w:val="auto"/>
        </w:rPr>
      </w:pPr>
      <w:r>
        <w:rPr>
          <w:rFonts w:ascii="Arial" w:cs="Arial" w:eastAsia="Arial" w:hAnsi="Arial"/>
          <w:sz w:val="10"/>
          <w:szCs w:val="10"/>
          <w:color w:val="auto"/>
        </w:rPr>
        <w:t>Any and all Share Disputes shall be finally and exclusively resolved by arbitration under the Rules of Arbitration rules of the International Chamber of Commerce (“ICC”) (the "ICC Rules"), as amended from time to time, which ICC Rules are deemed to be incorporated by reference into this Deposit Agreement.</w:t>
      </w:r>
    </w:p>
    <w:p>
      <w:pPr>
        <w:spacing w:after="0" w:line="86" w:lineRule="exact"/>
        <w:rPr>
          <w:rFonts w:ascii="Arial" w:cs="Arial" w:eastAsia="Arial" w:hAnsi="Arial"/>
          <w:sz w:val="10"/>
          <w:szCs w:val="10"/>
          <w:color w:val="auto"/>
        </w:rPr>
      </w:pPr>
    </w:p>
    <w:p>
      <w:pPr>
        <w:ind w:left="2880" w:right="700" w:hanging="793"/>
        <w:spacing w:after="0" w:line="311" w:lineRule="auto"/>
        <w:tabs>
          <w:tab w:leader="none" w:pos="2880" w:val="left"/>
        </w:tabs>
        <w:numPr>
          <w:ilvl w:val="0"/>
          <w:numId w:val="210"/>
        </w:numPr>
        <w:rPr>
          <w:rFonts w:ascii="Arial" w:cs="Arial" w:eastAsia="Arial" w:hAnsi="Arial"/>
          <w:sz w:val="8"/>
          <w:szCs w:val="8"/>
          <w:color w:val="auto"/>
        </w:rPr>
      </w:pPr>
      <w:r>
        <w:rPr>
          <w:rFonts w:ascii="Arial" w:cs="Arial" w:eastAsia="Arial" w:hAnsi="Arial"/>
          <w:sz w:val="8"/>
          <w:szCs w:val="8"/>
          <w:color w:val="auto"/>
        </w:rPr>
        <w:t>The arbitral tribunal (the "Tribunal") shall consist of three arbitrators, to be appointed in accordance with the ICC Rules. The chairman of the tribunal must have at least 20 years’ experience as a lawyer qualified to practise in a common law jurisdiction within the Commonwealth (as constituted on 12 May 2005), and each other arbitrator must have at least 20 years’ experience as a qualified lawyer.</w:t>
      </w:r>
    </w:p>
    <w:p>
      <w:pPr>
        <w:spacing w:after="0" w:line="58" w:lineRule="exact"/>
        <w:rPr>
          <w:rFonts w:ascii="Arial" w:cs="Arial" w:eastAsia="Arial" w:hAnsi="Arial"/>
          <w:sz w:val="8"/>
          <w:szCs w:val="8"/>
          <w:color w:val="auto"/>
        </w:rPr>
      </w:pPr>
    </w:p>
    <w:p>
      <w:pPr>
        <w:ind w:left="2880" w:right="540" w:hanging="793"/>
        <w:spacing w:after="0" w:line="273" w:lineRule="auto"/>
        <w:tabs>
          <w:tab w:leader="none" w:pos="2880" w:val="left"/>
        </w:tabs>
        <w:numPr>
          <w:ilvl w:val="0"/>
          <w:numId w:val="210"/>
        </w:numPr>
        <w:rPr>
          <w:rFonts w:ascii="Arial" w:cs="Arial" w:eastAsia="Arial" w:hAnsi="Arial"/>
          <w:sz w:val="8"/>
          <w:szCs w:val="8"/>
          <w:color w:val="auto"/>
        </w:rPr>
      </w:pPr>
      <w:r>
        <w:rPr>
          <w:rFonts w:ascii="Arial" w:cs="Arial" w:eastAsia="Arial" w:hAnsi="Arial"/>
          <w:sz w:val="8"/>
          <w:szCs w:val="8"/>
          <w:color w:val="auto"/>
        </w:rPr>
        <w:t>If any Share Dispute raises issues which are substantially the same as or connected with issues raised in a Share Dispute which has already been referred to arbitration (an "Existing Share Dispute") or arises out of substantially the same facts as are the subject of an Existing Share Dispute (a "Related Share Dispute"), then the Tribunal appointed or to be appointed in respect of any such Existing Share Dispute shall also be appointed as the Tribunal in respect of any Related Share Dispute, save where the Tribunal considers such appointment would be inappropriate.</w:t>
      </w:r>
    </w:p>
    <w:p>
      <w:pPr>
        <w:spacing w:after="0" w:line="64" w:lineRule="exact"/>
        <w:rPr>
          <w:rFonts w:ascii="Arial" w:cs="Arial" w:eastAsia="Arial" w:hAnsi="Arial"/>
          <w:sz w:val="8"/>
          <w:szCs w:val="8"/>
          <w:color w:val="auto"/>
        </w:rPr>
      </w:pPr>
    </w:p>
    <w:p>
      <w:pPr>
        <w:ind w:left="2880" w:right="600" w:hanging="793"/>
        <w:spacing w:after="0" w:line="220" w:lineRule="auto"/>
        <w:tabs>
          <w:tab w:leader="none" w:pos="2880" w:val="left"/>
        </w:tabs>
        <w:numPr>
          <w:ilvl w:val="0"/>
          <w:numId w:val="210"/>
        </w:numPr>
        <w:rPr>
          <w:rFonts w:ascii="Arial" w:cs="Arial" w:eastAsia="Arial" w:hAnsi="Arial"/>
          <w:sz w:val="10"/>
          <w:szCs w:val="10"/>
          <w:color w:val="auto"/>
        </w:rPr>
      </w:pPr>
      <w:r>
        <w:rPr>
          <w:rFonts w:ascii="Arial" w:cs="Arial" w:eastAsia="Arial" w:hAnsi="Arial"/>
          <w:sz w:val="10"/>
          <w:szCs w:val="10"/>
          <w:color w:val="auto"/>
        </w:rPr>
        <w:t>Where, pursuant to the above provisions, the same Tribunal has been appointed in relation to two or more Related Share Disputes, the Tribunal may order that the whole or part of the matters at issue shall be heard together upon such terms or conditions as the Tribunal thinks fit.</w:t>
      </w:r>
    </w:p>
    <w:p>
      <w:pPr>
        <w:spacing w:after="0" w:line="86" w:lineRule="exact"/>
        <w:rPr>
          <w:rFonts w:ascii="Arial" w:cs="Arial" w:eastAsia="Arial" w:hAnsi="Arial"/>
          <w:sz w:val="10"/>
          <w:szCs w:val="10"/>
          <w:color w:val="auto"/>
        </w:rPr>
      </w:pPr>
    </w:p>
    <w:p>
      <w:pPr>
        <w:ind w:left="2880" w:right="520" w:hanging="793"/>
        <w:spacing w:after="0" w:line="209" w:lineRule="auto"/>
        <w:tabs>
          <w:tab w:leader="none" w:pos="2880" w:val="left"/>
        </w:tabs>
        <w:numPr>
          <w:ilvl w:val="0"/>
          <w:numId w:val="210"/>
        </w:numPr>
        <w:rPr>
          <w:rFonts w:ascii="Arial" w:cs="Arial" w:eastAsia="Arial" w:hAnsi="Arial"/>
          <w:sz w:val="10"/>
          <w:szCs w:val="10"/>
          <w:color w:val="auto"/>
        </w:rPr>
      </w:pPr>
      <w:r>
        <w:rPr>
          <w:rFonts w:ascii="Arial" w:cs="Arial" w:eastAsia="Arial" w:hAnsi="Arial"/>
          <w:sz w:val="10"/>
          <w:szCs w:val="10"/>
          <w:color w:val="auto"/>
        </w:rPr>
        <w:t>The Tribunal shall have power to make such directions and any interim, partial or final awards as it considers just and desirable. The Tribunal, upon the request of a party to a Share Dispute, or another party which itself wishes to be joined in any reference to arbitration commenced in accordance with this Clause, may join any party to the reference to arbitration proceedings and may make a single, final award determining all Share Disputes between them.</w:t>
      </w: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75"/>
        </w:trPr>
        <w:tc>
          <w:tcPr>
            <w:tcW w:w="352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100" w:type="dxa"/>
            <w:vAlign w:val="bottom"/>
          </w:tcPr>
          <w:p>
            <w:pPr>
              <w:jc w:val="right"/>
              <w:spacing w:after="0"/>
              <w:rPr>
                <w:sz w:val="20"/>
                <w:szCs w:val="20"/>
                <w:color w:val="auto"/>
              </w:rPr>
            </w:pPr>
            <w:r>
              <w:rPr>
                <w:rFonts w:ascii="Arial" w:cs="Arial" w:eastAsia="Arial" w:hAnsi="Arial"/>
                <w:sz w:val="6"/>
                <w:szCs w:val="6"/>
                <w:color w:val="auto"/>
              </w:rPr>
              <w:t>4</w:t>
            </w:r>
          </w:p>
        </w:tc>
      </w:tr>
    </w:tbl>
    <w:p>
      <w:pPr>
        <w:sectPr>
          <w:pgSz w:w="11900" w:h="16838" w:orient="portrait"/>
          <w:cols w:equalWidth="0" w:num="1">
            <w:col w:w="11300"/>
          </w:cols>
          <w:pgMar w:left="300" w:top="802" w:right="299" w:bottom="1440" w:gutter="0" w:footer="0" w:header="0"/>
        </w:sectPr>
      </w:pPr>
    </w:p>
    <w:bookmarkStart w:id="280" w:name="page281"/>
    <w:bookmarkEnd w:id="280"/>
    <w:p>
      <w:pPr>
        <w:ind w:left="2880" w:right="400" w:hanging="793"/>
        <w:spacing w:after="0" w:line="220" w:lineRule="auto"/>
        <w:tabs>
          <w:tab w:leader="none" w:pos="2880" w:val="left"/>
        </w:tabs>
        <w:numPr>
          <w:ilvl w:val="0"/>
          <w:numId w:val="211"/>
        </w:numPr>
        <w:rPr>
          <w:rFonts w:ascii="Arial" w:cs="Arial" w:eastAsia="Arial" w:hAnsi="Arial"/>
          <w:sz w:val="10"/>
          <w:szCs w:val="10"/>
          <w:color w:val="auto"/>
        </w:rPr>
      </w:pPr>
      <w:r>
        <w:rPr>
          <w:rFonts w:ascii="Arial" w:cs="Arial" w:eastAsia="Arial" w:hAnsi="Arial"/>
          <w:sz w:val="10"/>
          <w:szCs w:val="10"/>
          <w:color w:val="auto"/>
        </w:rPr>
        <w:t>Each of the parties to the Deposit Agreement hereby agrees to be joined to any reference to arbitration proceedings in relation to any Share Dispute at the request of a party to that Share Dispute, and to accept the joinder of a party requesting to be joined pursuant to this paragraph (14).</w:t>
      </w:r>
    </w:p>
    <w:p>
      <w:pPr>
        <w:spacing w:after="0" w:line="77" w:lineRule="exact"/>
        <w:rPr>
          <w:rFonts w:ascii="Arial" w:cs="Arial" w:eastAsia="Arial" w:hAnsi="Arial"/>
          <w:sz w:val="10"/>
          <w:szCs w:val="10"/>
          <w:color w:val="auto"/>
        </w:rPr>
      </w:pPr>
    </w:p>
    <w:p>
      <w:pPr>
        <w:ind w:left="2880" w:hanging="793"/>
        <w:spacing w:after="0"/>
        <w:tabs>
          <w:tab w:leader="none" w:pos="2880" w:val="left"/>
        </w:tabs>
        <w:numPr>
          <w:ilvl w:val="0"/>
          <w:numId w:val="211"/>
        </w:numPr>
        <w:rPr>
          <w:rFonts w:ascii="Arial" w:cs="Arial" w:eastAsia="Arial" w:hAnsi="Arial"/>
          <w:sz w:val="10"/>
          <w:szCs w:val="10"/>
          <w:color w:val="auto"/>
        </w:rPr>
      </w:pPr>
      <w:r>
        <w:rPr>
          <w:rFonts w:ascii="Arial" w:cs="Arial" w:eastAsia="Arial" w:hAnsi="Arial"/>
          <w:sz w:val="10"/>
          <w:szCs w:val="10"/>
          <w:color w:val="auto"/>
        </w:rPr>
        <w:t>The place of the arbitration shall be The Hague, The Netherlands. The language of the arbitration shall be English.</w:t>
      </w:r>
    </w:p>
    <w:p>
      <w:pPr>
        <w:spacing w:after="0" w:line="92" w:lineRule="exact"/>
        <w:rPr>
          <w:rFonts w:ascii="Arial" w:cs="Arial" w:eastAsia="Arial" w:hAnsi="Arial"/>
          <w:sz w:val="10"/>
          <w:szCs w:val="10"/>
          <w:color w:val="auto"/>
        </w:rPr>
      </w:pPr>
    </w:p>
    <w:p>
      <w:pPr>
        <w:ind w:left="2880" w:right="440" w:hanging="793"/>
        <w:spacing w:after="0" w:line="311" w:lineRule="auto"/>
        <w:tabs>
          <w:tab w:leader="none" w:pos="2880" w:val="left"/>
        </w:tabs>
        <w:numPr>
          <w:ilvl w:val="0"/>
          <w:numId w:val="211"/>
        </w:numPr>
        <w:rPr>
          <w:rFonts w:ascii="Arial" w:cs="Arial" w:eastAsia="Arial" w:hAnsi="Arial"/>
          <w:sz w:val="8"/>
          <w:szCs w:val="8"/>
          <w:color w:val="auto"/>
        </w:rPr>
      </w:pPr>
      <w:r>
        <w:rPr>
          <w:rFonts w:ascii="Arial" w:cs="Arial" w:eastAsia="Arial" w:hAnsi="Arial"/>
          <w:sz w:val="8"/>
          <w:szCs w:val="8"/>
          <w:color w:val="auto"/>
        </w:rPr>
        <w:t>Each person hereby waives, as far as permitted by law: (a) any right under the laws of any jurisdiction to apply to any court of law or other judicial authority to determine any preliminary point of law, and/or (b) any right he or she may otherwise have under the laws of any jurisdiction to appeal or otherwise challenge the award, ruling or decision of the tribunal.</w:t>
      </w:r>
    </w:p>
    <w:p>
      <w:pPr>
        <w:spacing w:after="0" w:line="58" w:lineRule="exact"/>
        <w:rPr>
          <w:rFonts w:ascii="Arial" w:cs="Arial" w:eastAsia="Arial" w:hAnsi="Arial"/>
          <w:sz w:val="8"/>
          <w:szCs w:val="8"/>
          <w:color w:val="auto"/>
        </w:rPr>
      </w:pPr>
    </w:p>
    <w:p>
      <w:pPr>
        <w:ind w:left="2880" w:right="460" w:hanging="793"/>
        <w:spacing w:after="0" w:line="220" w:lineRule="auto"/>
        <w:tabs>
          <w:tab w:leader="none" w:pos="2880" w:val="left"/>
        </w:tabs>
        <w:numPr>
          <w:ilvl w:val="0"/>
          <w:numId w:val="211"/>
        </w:numPr>
        <w:rPr>
          <w:rFonts w:ascii="Arial" w:cs="Arial" w:eastAsia="Arial" w:hAnsi="Arial"/>
          <w:sz w:val="10"/>
          <w:szCs w:val="10"/>
          <w:color w:val="auto"/>
        </w:rPr>
      </w:pPr>
      <w:r>
        <w:rPr>
          <w:rFonts w:ascii="Arial" w:cs="Arial" w:eastAsia="Arial" w:hAnsi="Arial"/>
          <w:sz w:val="10"/>
          <w:szCs w:val="10"/>
          <w:color w:val="auto"/>
        </w:rPr>
        <w:t>The governing law applicable to such Share Dispute, including the submission to arbitration and written arbitration agreement contained in or evidenced by the Articles, shall be the substantive law of England.</w:t>
      </w:r>
    </w:p>
    <w:p>
      <w:pPr>
        <w:spacing w:after="0" w:line="77" w:lineRule="exact"/>
        <w:rPr>
          <w:rFonts w:ascii="Arial" w:cs="Arial" w:eastAsia="Arial" w:hAnsi="Arial"/>
          <w:sz w:val="10"/>
          <w:szCs w:val="10"/>
          <w:color w:val="auto"/>
        </w:rPr>
      </w:pPr>
    </w:p>
    <w:p>
      <w:pPr>
        <w:ind w:left="2880" w:right="240" w:hanging="793"/>
        <w:spacing w:after="0" w:line="273" w:lineRule="auto"/>
        <w:tabs>
          <w:tab w:leader="none" w:pos="2880" w:val="left"/>
        </w:tabs>
        <w:numPr>
          <w:ilvl w:val="0"/>
          <w:numId w:val="211"/>
        </w:numPr>
        <w:rPr>
          <w:rFonts w:ascii="Arial" w:cs="Arial" w:eastAsia="Arial" w:hAnsi="Arial"/>
          <w:sz w:val="8"/>
          <w:szCs w:val="8"/>
          <w:color w:val="auto"/>
        </w:rPr>
      </w:pPr>
      <w:r>
        <w:rPr>
          <w:rFonts w:ascii="Arial" w:cs="Arial" w:eastAsia="Arial" w:hAnsi="Arial"/>
          <w:sz w:val="8"/>
          <w:szCs w:val="8"/>
          <w:color w:val="auto"/>
        </w:rPr>
        <w:t>If any court of competent jurisdiction or other competent authority including for the avoidance of doubt, a court or authority in any jurisdiction which is not a signatory to the New York Convention in any jurisdiction determines that this arbitration provision is invalid or unenforceable in relation to any Share Dispute, the Company and the Holder or owner of interests in ADSs, in each case, irrevocably agree that any related proceeding, suit or action can only be brought in the courts of England and Wales and the governing law applicable to such proceedings shall be the substantive law of England.</w:t>
      </w:r>
    </w:p>
    <w:p>
      <w:pPr>
        <w:spacing w:after="0" w:line="30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Description of Senior Debt Securities</w:t>
      </w:r>
    </w:p>
    <w:p>
      <w:pPr>
        <w:spacing w:after="0" w:line="85" w:lineRule="exact"/>
        <w:rPr>
          <w:sz w:val="20"/>
          <w:szCs w:val="20"/>
          <w:color w:val="auto"/>
        </w:rPr>
      </w:pPr>
    </w:p>
    <w:p>
      <w:pPr>
        <w:spacing w:after="0" w:line="239" w:lineRule="auto"/>
        <w:rPr>
          <w:sz w:val="20"/>
          <w:szCs w:val="20"/>
          <w:color w:val="auto"/>
        </w:rPr>
      </w:pPr>
      <w:r>
        <w:rPr>
          <w:rFonts w:ascii="Arial" w:cs="Arial" w:eastAsia="Arial" w:hAnsi="Arial"/>
          <w:sz w:val="10"/>
          <w:szCs w:val="10"/>
          <w:color w:val="auto"/>
        </w:rPr>
        <w:t>As of December 31, 2020, Shell International Finance B.V. (“Shell Finance”) had the following series of senior debt securities (the “Senior Debt Securities”) registered pursuant to Section 12(b) of the Securities Exchange Act and listed on the New York Stock Exchange, all of which are guaranteed by the Company. The following series of Senior Debt Securities were issued under the 2006 Indenture:</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75"/>
        </w:trPr>
        <w:tc>
          <w:tcPr>
            <w:tcW w:w="352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100" w:type="dxa"/>
            <w:vAlign w:val="bottom"/>
          </w:tcPr>
          <w:p>
            <w:pPr>
              <w:jc w:val="right"/>
              <w:spacing w:after="0"/>
              <w:rPr>
                <w:sz w:val="20"/>
                <w:szCs w:val="20"/>
                <w:color w:val="auto"/>
              </w:rPr>
            </w:pPr>
            <w:r>
              <w:rPr>
                <w:rFonts w:ascii="Arial" w:cs="Arial" w:eastAsia="Arial" w:hAnsi="Arial"/>
                <w:sz w:val="6"/>
                <w:szCs w:val="6"/>
                <w:color w:val="auto"/>
              </w:rPr>
              <w:t>5</w:t>
            </w:r>
          </w:p>
        </w:tc>
      </w:tr>
    </w:tbl>
    <w:p>
      <w:pPr>
        <w:sectPr>
          <w:pgSz w:w="11900" w:h="16838" w:orient="portrait"/>
          <w:cols w:equalWidth="0" w:num="1">
            <w:col w:w="10980"/>
          </w:cols>
          <w:pgMar w:left="300" w:top="730" w:right="619" w:bottom="1440" w:gutter="0" w:footer="0" w:header="0"/>
        </w:sectPr>
      </w:pPr>
    </w:p>
    <w:bookmarkStart w:id="281" w:name="page282"/>
    <w:bookmarkEnd w:id="2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25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Series of Senior Debt Securities (interest rate)</w:t>
            </w:r>
          </w:p>
        </w:tc>
        <w:tc>
          <w:tcPr>
            <w:tcW w:w="1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Principal</w:t>
            </w:r>
          </w:p>
        </w:tc>
        <w:tc>
          <w:tcPr>
            <w:tcW w:w="24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Interest Payment Dates (in arrear)</w:t>
            </w:r>
          </w:p>
        </w:tc>
        <w:tc>
          <w:tcPr>
            <w:tcW w:w="1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Date of Issuance</w:t>
            </w:r>
          </w:p>
        </w:tc>
        <w:tc>
          <w:tcPr>
            <w:tcW w:w="1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Maturity Date</w:t>
            </w:r>
          </w:p>
        </w:tc>
        <w:tc>
          <w:tcPr>
            <w:tcW w:w="20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Prospectus Supplement</w:t>
            </w:r>
          </w:p>
        </w:tc>
      </w:tr>
      <w:tr>
        <w:trPr>
          <w:trHeight w:val="114"/>
        </w:trPr>
        <w:tc>
          <w:tcPr>
            <w:tcW w:w="25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0"/>
                <w:szCs w:val="10"/>
                <w:color w:val="auto"/>
              </w:rPr>
              <w:t>1.75% Guaranteed Notes due 2021</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$1,000,000,000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March 12 and September 12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September 12, 2016</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September 12, 2021</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1"/>
              </w:rPr>
              <w:t>Prospectus Supplement dated September 7, 2016</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82"/>
              </w:rPr>
              <w:t>1.875%</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Guaranteed Notes due 2021</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$1,500,000,000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May 10 and November 10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May 10, 2016</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May 10, 2021</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Prospectus Supplement dated May 5, 2016</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82"/>
              </w:rPr>
              <w:t>2.375%</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Guaranteed Notes due 2022</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$1,000,000,000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February 21 and August 21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August 21, 2012</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August 21, 2022</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7"/>
              </w:rPr>
              <w:t>Prospectus Supplement dated August 14, 2012</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82"/>
              </w:rPr>
              <w:t>0.375%</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Guaranteed Notes due 2023</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1,000,000,000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March 15 and September 15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September 15, 2020</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September 15, 2023</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89"/>
              </w:rPr>
              <w:t>Prospectus Supplement dated September 10, 2020</w:t>
            </w:r>
          </w:p>
        </w:tc>
      </w:tr>
      <w:tr>
        <w:trPr>
          <w:trHeight w:val="115"/>
        </w:trPr>
        <w:tc>
          <w:tcPr>
            <w:tcW w:w="25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0"/>
                <w:szCs w:val="10"/>
                <w:color w:val="auto"/>
              </w:rPr>
              <w:t>2.25% Guaranteed Notes due 2023</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$1,000,000,000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January 6 and July 6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December 6, 2012</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January 6, 2023</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0"/>
              </w:rPr>
              <w:t>Prospectus Supplement dated November 29, 2012</w:t>
            </w:r>
          </w:p>
        </w:tc>
      </w:tr>
      <w:tr>
        <w:trPr>
          <w:trHeight w:val="115"/>
        </w:trPr>
        <w:tc>
          <w:tcPr>
            <w:tcW w:w="25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0"/>
                <w:szCs w:val="10"/>
                <w:color w:val="auto"/>
              </w:rPr>
              <w:t>3.4% Guaranteed Notes due 2023</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$1,000,000,000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February 12 and August 12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August 12, 2013</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August 12, 2023</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9"/>
              </w:rPr>
              <w:t>Prospectus Supplement dated August 7, 2013</w:t>
            </w:r>
          </w:p>
        </w:tc>
      </w:tr>
      <w:tr>
        <w:trPr>
          <w:trHeight w:val="115"/>
        </w:trPr>
        <w:tc>
          <w:tcPr>
            <w:tcW w:w="25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0"/>
                <w:szCs w:val="10"/>
                <w:color w:val="auto"/>
              </w:rPr>
              <w:t>3.5% Guaranteed Notes due 2023</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$1,000,000,000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May 13 and November 13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November 13, 2018</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November 13, 2023</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3"/>
              </w:rPr>
              <w:t>Prospectus Supplement dated November 7, 2018</w:t>
            </w:r>
          </w:p>
        </w:tc>
      </w:tr>
      <w:tr>
        <w:trPr>
          <w:trHeight w:val="81"/>
        </w:trPr>
        <w:tc>
          <w:tcPr>
            <w:tcW w:w="2520" w:type="dxa"/>
            <w:vAlign w:val="bottom"/>
            <w:tcBorders>
              <w:left w:val="single" w:sz="8" w:color="auto"/>
              <w:right w:val="single" w:sz="8" w:color="auto"/>
            </w:tcBorders>
            <w:gridSpan w:val="2"/>
          </w:tcPr>
          <w:p>
            <w:pPr>
              <w:ind w:left="40"/>
              <w:spacing w:after="0" w:line="81" w:lineRule="exact"/>
              <w:rPr>
                <w:sz w:val="20"/>
                <w:szCs w:val="20"/>
                <w:color w:val="auto"/>
              </w:rPr>
            </w:pPr>
            <w:r>
              <w:rPr>
                <w:rFonts w:ascii="Arial" w:cs="Arial" w:eastAsia="Arial" w:hAnsi="Arial"/>
                <w:sz w:val="8"/>
                <w:szCs w:val="8"/>
                <w:color w:val="auto"/>
              </w:rPr>
              <w:t>Floating Rate Guaranteed Notes due 2023</w:t>
            </w:r>
          </w:p>
        </w:tc>
        <w:tc>
          <w:tcPr>
            <w:tcW w:w="1380" w:type="dxa"/>
            <w:vAlign w:val="bottom"/>
            <w:tcBorders>
              <w:right w:val="single" w:sz="8" w:color="auto"/>
            </w:tcBorders>
          </w:tcPr>
          <w:p>
            <w:pPr>
              <w:spacing w:after="0" w:line="81" w:lineRule="exact"/>
              <w:rPr>
                <w:sz w:val="20"/>
                <w:szCs w:val="20"/>
                <w:color w:val="auto"/>
              </w:rPr>
            </w:pPr>
            <w:r>
              <w:rPr>
                <w:rFonts w:ascii="Arial" w:cs="Arial" w:eastAsia="Arial" w:hAnsi="Arial"/>
                <w:sz w:val="8"/>
                <w:szCs w:val="8"/>
                <w:color w:val="auto"/>
              </w:rPr>
              <w:t>$500,000,000</w:t>
            </w:r>
          </w:p>
        </w:tc>
        <w:tc>
          <w:tcPr>
            <w:tcW w:w="2460" w:type="dxa"/>
            <w:vAlign w:val="bottom"/>
            <w:tcBorders>
              <w:right w:val="single" w:sz="8" w:color="auto"/>
            </w:tcBorders>
          </w:tcPr>
          <w:p>
            <w:pPr>
              <w:ind w:left="20"/>
              <w:spacing w:after="0" w:line="81" w:lineRule="exact"/>
              <w:rPr>
                <w:sz w:val="20"/>
                <w:szCs w:val="20"/>
                <w:color w:val="auto"/>
              </w:rPr>
            </w:pPr>
            <w:r>
              <w:rPr>
                <w:rFonts w:ascii="Arial" w:cs="Arial" w:eastAsia="Arial" w:hAnsi="Arial"/>
                <w:sz w:val="8"/>
                <w:szCs w:val="8"/>
                <w:color w:val="auto"/>
              </w:rPr>
              <w:t>February 13, May 13, August 13 and November 13 of each</w:t>
            </w:r>
          </w:p>
        </w:tc>
        <w:tc>
          <w:tcPr>
            <w:tcW w:w="1480" w:type="dxa"/>
            <w:vAlign w:val="bottom"/>
            <w:tcBorders>
              <w:right w:val="single" w:sz="8" w:color="auto"/>
            </w:tcBorders>
          </w:tcPr>
          <w:p>
            <w:pPr>
              <w:spacing w:after="0" w:line="81" w:lineRule="exact"/>
              <w:rPr>
                <w:sz w:val="20"/>
                <w:szCs w:val="20"/>
                <w:color w:val="auto"/>
              </w:rPr>
            </w:pPr>
            <w:r>
              <w:rPr>
                <w:rFonts w:ascii="Arial" w:cs="Arial" w:eastAsia="Arial" w:hAnsi="Arial"/>
                <w:sz w:val="8"/>
                <w:szCs w:val="8"/>
                <w:color w:val="auto"/>
              </w:rPr>
              <w:t>November 13, 2018</w:t>
            </w:r>
          </w:p>
        </w:tc>
        <w:tc>
          <w:tcPr>
            <w:tcW w:w="1380" w:type="dxa"/>
            <w:vAlign w:val="bottom"/>
            <w:tcBorders>
              <w:right w:val="single" w:sz="8" w:color="auto"/>
            </w:tcBorders>
          </w:tcPr>
          <w:p>
            <w:pPr>
              <w:spacing w:after="0" w:line="81" w:lineRule="exact"/>
              <w:rPr>
                <w:sz w:val="20"/>
                <w:szCs w:val="20"/>
                <w:color w:val="auto"/>
              </w:rPr>
            </w:pPr>
            <w:r>
              <w:rPr>
                <w:rFonts w:ascii="Arial" w:cs="Arial" w:eastAsia="Arial" w:hAnsi="Arial"/>
                <w:sz w:val="8"/>
                <w:szCs w:val="8"/>
                <w:color w:val="auto"/>
              </w:rPr>
              <w:t>November 13, 2023</w:t>
            </w:r>
          </w:p>
        </w:tc>
        <w:tc>
          <w:tcPr>
            <w:tcW w:w="2080" w:type="dxa"/>
            <w:vAlign w:val="bottom"/>
            <w:tcBorders>
              <w:right w:val="single" w:sz="8" w:color="auto"/>
            </w:tcBorders>
          </w:tcPr>
          <w:p>
            <w:pPr>
              <w:spacing w:after="0" w:line="81" w:lineRule="exact"/>
              <w:rPr>
                <w:sz w:val="20"/>
                <w:szCs w:val="20"/>
                <w:color w:val="auto"/>
              </w:rPr>
            </w:pPr>
            <w:r>
              <w:rPr>
                <w:rFonts w:ascii="Arial" w:cs="Arial" w:eastAsia="Arial" w:hAnsi="Arial"/>
                <w:sz w:val="8"/>
                <w:szCs w:val="8"/>
                <w:color w:val="auto"/>
              </w:rPr>
              <w:t>Prospectus Supplement dated November 7, 2018</w:t>
            </w:r>
          </w:p>
        </w:tc>
      </w:tr>
      <w:tr>
        <w:trPr>
          <w:trHeight w:val="124"/>
        </w:trPr>
        <w:tc>
          <w:tcPr>
            <w:tcW w:w="340" w:type="dxa"/>
            <w:vAlign w:val="bottom"/>
            <w:tcBorders>
              <w:left w:val="single" w:sz="8" w:color="auto"/>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year*</w:t>
            </w:r>
          </w:p>
        </w:tc>
        <w:tc>
          <w:tcPr>
            <w:tcW w:w="148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r>
      <w:tr>
        <w:trPr>
          <w:trHeight w:val="115"/>
        </w:trPr>
        <w:tc>
          <w:tcPr>
            <w:tcW w:w="25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0"/>
                <w:szCs w:val="10"/>
                <w:color w:val="auto"/>
              </w:rPr>
              <w:t>2% Guaranteed Notes due 2024</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$1,250,000,000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May 7 and November 7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November 7, 2019</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November 7, 2024</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3"/>
              </w:rPr>
              <w:t>Prospectus Supplement dated November 4, 2019</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82"/>
              </w:rPr>
              <w:t>2.375%</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Guaranteed Notes dues 2025</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1,500,000,000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April 6 and October 6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April 6, 2020</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April 6, 2025</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Prospectus Supplement dated April 1, 2020</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82"/>
              </w:rPr>
              <w:t>2.375%</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Guaranteed Notes dues 2025</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750,000,000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April 6 and October 6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September 15, 2020</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April 6, 2025</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89"/>
              </w:rPr>
              <w:t>Prospectus Supplement dated September 10, 2020</w:t>
            </w:r>
          </w:p>
        </w:tc>
      </w:tr>
      <w:tr>
        <w:trPr>
          <w:trHeight w:val="115"/>
        </w:trPr>
        <w:tc>
          <w:tcPr>
            <w:tcW w:w="25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0"/>
                <w:szCs w:val="10"/>
                <w:color w:val="auto"/>
              </w:rPr>
              <w:t>3.25% Guaranteed Notes due 2025</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$2,750,000,000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May 11 and November 11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May 11, 2015</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May 11, 2025</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Prospectus Supplement dated May 6, 2015</w:t>
            </w:r>
          </w:p>
        </w:tc>
      </w:tr>
      <w:tr>
        <w:trPr>
          <w:trHeight w:val="115"/>
        </w:trPr>
        <w:tc>
          <w:tcPr>
            <w:tcW w:w="25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0"/>
                <w:szCs w:val="10"/>
                <w:color w:val="auto"/>
              </w:rPr>
              <w:t>2.5% Guaranteed Notes due 2026</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$1,000,000,000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March 12 and September 12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September 12, 2016</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September 12, 2026</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1"/>
              </w:rPr>
              <w:t>Prospectus Supplement dated September 7, 2016</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82"/>
              </w:rPr>
              <w:t>2.875%</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Guaranteed Notes due 2026</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$1,750,000,000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May 10 and November 10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May 10, 2016</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May 10, 2026</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Prospectus Supplement dated May 5, 2016</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82"/>
              </w:rPr>
              <w:t>3.875%</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Guaranteed Notes due 2028</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$1,500,000,000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May 13 and November 13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November 13, 2018</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November 13, 2028</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3"/>
              </w:rPr>
              <w:t>Prospectus Supplement dated November 7, 2018</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82"/>
              </w:rPr>
              <w:t>2.375%</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Guaranteed Notes due 2029</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$1,500,000,000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May 7 and November 7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November 7, 2019</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November 7, 2029</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3"/>
              </w:rPr>
              <w:t>Prospectus Supplement dated November 4, 2019</w:t>
            </w:r>
          </w:p>
        </w:tc>
      </w:tr>
      <w:tr>
        <w:trPr>
          <w:trHeight w:val="115"/>
        </w:trPr>
        <w:tc>
          <w:tcPr>
            <w:tcW w:w="25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0"/>
                <w:szCs w:val="10"/>
                <w:color w:val="auto"/>
              </w:rPr>
              <w:t>2.75% Guaranteed Notes due 2030</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$1,000,000,000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April 6 and October 6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April 6, 2020</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April 6, 2030</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Prospectus Supplement dated April 1, 2020</w:t>
            </w:r>
          </w:p>
        </w:tc>
      </w:tr>
      <w:tr>
        <w:trPr>
          <w:trHeight w:val="115"/>
        </w:trPr>
        <w:tc>
          <w:tcPr>
            <w:tcW w:w="25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0"/>
                <w:szCs w:val="10"/>
                <w:color w:val="auto"/>
              </w:rPr>
              <w:t>2.75% Guaranteed Notes due 2030</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$750,000,000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April 6 and October 6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September 15, 2020</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April 6, 2030</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89"/>
              </w:rPr>
              <w:t>Prospectus Supplement dated September 10, 2020</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82"/>
              </w:rPr>
              <w:t>4.125%</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Guaranteed Notes due 2035</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$1,500,000,000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May 11 and November 11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May 11, 2015</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May 11, 2035</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Prospectus Supplement dated May 6, 2015</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82"/>
              </w:rPr>
              <w:t>6.375%</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Guaranteed Notes due 2038</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$2,750,000,000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June 15 and December 15</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December 11, 2008</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December 15, 2038</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3"/>
              </w:rPr>
              <w:t>Prospectus Supplement dated December 8, 2008</w:t>
            </w:r>
          </w:p>
        </w:tc>
      </w:tr>
      <w:tr>
        <w:trPr>
          <w:trHeight w:val="115"/>
        </w:trPr>
        <w:tc>
          <w:tcPr>
            <w:tcW w:w="25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0"/>
                <w:szCs w:val="10"/>
                <w:color w:val="auto"/>
              </w:rPr>
              <w:t>5.5% Guaranteed Notes due 2040</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$1,000,000,000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March 25 and September 25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March 25, 2010</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March 25, 2040</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8"/>
              </w:rPr>
              <w:t>Prospectus Supplement dated March 18, 2010</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82"/>
              </w:rPr>
              <w:t>3.625%</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Guaranteed Notes due 2042</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$500,000,000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February 21 and August 21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August 21, 2012</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August 21, 2042</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7"/>
              </w:rPr>
              <w:t>Prospectus Supplement dated August 14, 2012</w:t>
            </w:r>
          </w:p>
        </w:tc>
      </w:tr>
      <w:tr>
        <w:trPr>
          <w:trHeight w:val="115"/>
        </w:trPr>
        <w:tc>
          <w:tcPr>
            <w:tcW w:w="25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0"/>
                <w:szCs w:val="10"/>
                <w:color w:val="auto"/>
              </w:rPr>
              <w:t>4.55% Guaranteed Notes due 2043</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$1,250,000,000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February 12 and August 12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August 12, 2013</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August 12, 2043</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9"/>
              </w:rPr>
              <w:t>Prospectus Supplement dated August 7, 2013</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82"/>
              </w:rPr>
              <w:t>4.375%</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Guaranteed Notes due 2045</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$3,000,000,000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May 11 and November 11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May 11, 2015</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May 11, 2045</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Prospectus Supplement dated May 6, 2015</w:t>
            </w:r>
          </w:p>
        </w:tc>
      </w:tr>
      <w:tr>
        <w:trPr>
          <w:trHeight w:val="115"/>
        </w:trPr>
        <w:tc>
          <w:tcPr>
            <w:tcW w:w="25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0"/>
                <w:szCs w:val="10"/>
                <w:color w:val="auto"/>
              </w:rPr>
              <w:t>3.75% Guaranteed Notes due 2046</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$1,250,000,000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March 12 and September 12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September 12, 2016</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September 12, 2046</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1"/>
              </w:rPr>
              <w:t>Prospectus Supplement dated September 7, 2016</w:t>
            </w:r>
          </w:p>
        </w:tc>
      </w:tr>
      <w:tr>
        <w:trPr>
          <w:trHeight w:val="115"/>
        </w:trPr>
        <w:tc>
          <w:tcPr>
            <w:tcW w:w="25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0"/>
                <w:szCs w:val="10"/>
                <w:color w:val="auto"/>
              </w:rPr>
              <w:t>4.00% Guaranteed Notes due 2046</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$2,250,000,000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May 10 and November 10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May 10, 2016</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May 10, 2046</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Prospectus Supplement dated May 5, 2016</w:t>
            </w:r>
          </w:p>
        </w:tc>
      </w:tr>
      <w:tr>
        <w:trPr>
          <w:trHeight w:val="11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82"/>
              </w:rPr>
              <w:t>3.125%</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Guaranteed Notes due 2049</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$1,250,000,000</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May 7 and November 7 of each year*</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November 7, 2019</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November 7, 2049</w:t>
            </w:r>
          </w:p>
        </w:tc>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w w:val="93"/>
              </w:rPr>
              <w:t>Prospectus Supplement dated November 4, 2019</w:t>
            </w:r>
          </w:p>
        </w:tc>
      </w:tr>
      <w:tr>
        <w:trPr>
          <w:trHeight w:val="115"/>
        </w:trPr>
        <w:tc>
          <w:tcPr>
            <w:tcW w:w="25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color w:val="auto"/>
              </w:rPr>
              <w:t>3.25% Guaranteed Notes dues 2050</w:t>
            </w:r>
          </w:p>
        </w:tc>
        <w:tc>
          <w:tcPr>
            <w:tcW w:w="13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$1,250,000,000</w:t>
            </w:r>
          </w:p>
        </w:tc>
        <w:tc>
          <w:tcPr>
            <w:tcW w:w="24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April 6 and October 6 of each year</w:t>
            </w:r>
          </w:p>
        </w:tc>
        <w:tc>
          <w:tcPr>
            <w:tcW w:w="1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April 6, 2020</w:t>
            </w:r>
          </w:p>
        </w:tc>
        <w:tc>
          <w:tcPr>
            <w:tcW w:w="13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April 6, 2050</w:t>
            </w:r>
          </w:p>
        </w:tc>
        <w:tc>
          <w:tcPr>
            <w:tcW w:w="20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Prospectus Supplement dated April 1, 2020</w:t>
            </w:r>
          </w:p>
        </w:tc>
      </w:tr>
    </w:tbl>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 Subject to the Day Count Convention.</w:t>
      </w:r>
    </w:p>
    <w:p>
      <w:pPr>
        <w:spacing w:after="0" w:line="92" w:lineRule="exact"/>
        <w:rPr>
          <w:sz w:val="20"/>
          <w:szCs w:val="20"/>
          <w:color w:val="auto"/>
        </w:rPr>
      </w:pPr>
    </w:p>
    <w:p>
      <w:pPr>
        <w:jc w:val="both"/>
        <w:ind w:right="140"/>
        <w:spacing w:after="0" w:line="239" w:lineRule="auto"/>
        <w:rPr>
          <w:sz w:val="20"/>
          <w:szCs w:val="20"/>
          <w:color w:val="auto"/>
        </w:rPr>
      </w:pPr>
      <w:r>
        <w:rPr>
          <w:rFonts w:ascii="Arial" w:cs="Arial" w:eastAsia="Arial" w:hAnsi="Arial"/>
          <w:sz w:val="10"/>
          <w:szCs w:val="10"/>
          <w:color w:val="auto"/>
        </w:rPr>
        <w:t>Each of the Senior Debt Securities listed above constitutes a separate series of Senior Debt Securities under the 2006 Indenture. The Senior Debt Securities listed in the table above were issued pursuant to an effective registration statement and a related prospectus and prospectus supplement setting forth the terms of the respective Senior Debt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Description of Certain Provisions contained in the Senior Debt Securities</w:t>
      </w:r>
    </w:p>
    <w:p>
      <w:pPr>
        <w:spacing w:after="0" w:line="157" w:lineRule="exact"/>
        <w:rPr>
          <w:sz w:val="20"/>
          <w:szCs w:val="20"/>
          <w:color w:val="auto"/>
        </w:rPr>
      </w:pPr>
    </w:p>
    <w:p>
      <w:pPr>
        <w:ind w:right="80"/>
        <w:spacing w:after="0" w:line="239" w:lineRule="auto"/>
        <w:rPr>
          <w:sz w:val="20"/>
          <w:szCs w:val="20"/>
          <w:color w:val="auto"/>
        </w:rPr>
      </w:pPr>
      <w:r>
        <w:rPr>
          <w:rFonts w:ascii="Arial" w:cs="Arial" w:eastAsia="Arial" w:hAnsi="Arial"/>
          <w:sz w:val="10"/>
          <w:szCs w:val="10"/>
          <w:color w:val="auto"/>
        </w:rPr>
        <w:t>The terms of the Senior Debt Securities include those stated in the 2006 Indenture, the applicable form of debt security and those terms made part of the 2006 Indenture by reference to the U.S. Trust Indenture Act of 1939, as amended. The summary below describes some of the general terms and provisions of our Senior Debt Securities and is subject to, and qualified in its entirety by reference to the 2006 Indenture filed as Exhibit 4.3 to the Registration Statement on</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75"/>
        </w:trPr>
        <w:tc>
          <w:tcPr>
            <w:tcW w:w="352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100" w:type="dxa"/>
            <w:vAlign w:val="bottom"/>
          </w:tcPr>
          <w:p>
            <w:pPr>
              <w:jc w:val="right"/>
              <w:spacing w:after="0"/>
              <w:rPr>
                <w:sz w:val="20"/>
                <w:szCs w:val="20"/>
                <w:color w:val="auto"/>
              </w:rPr>
            </w:pPr>
            <w:r>
              <w:rPr>
                <w:rFonts w:ascii="Arial" w:cs="Arial" w:eastAsia="Arial" w:hAnsi="Arial"/>
                <w:sz w:val="6"/>
                <w:szCs w:val="6"/>
                <w:color w:val="auto"/>
              </w:rPr>
              <w:t>6</w:t>
            </w:r>
          </w:p>
        </w:tc>
      </w:tr>
    </w:tbl>
    <w:p>
      <w:pPr>
        <w:sectPr>
          <w:pgSz w:w="11900" w:h="16838" w:orient="portrait"/>
          <w:cols w:equalWidth="0" w:num="1">
            <w:col w:w="11280"/>
          </w:cols>
          <w:pgMar w:left="300" w:top="714" w:right="319" w:bottom="1440" w:gutter="0" w:footer="0" w:header="0"/>
        </w:sectPr>
      </w:pPr>
    </w:p>
    <w:bookmarkStart w:id="282" w:name="page283"/>
    <w:bookmarkEnd w:id="282"/>
    <w:p>
      <w:pPr>
        <w:ind w:right="20"/>
        <w:spacing w:after="0" w:line="239" w:lineRule="auto"/>
        <w:rPr>
          <w:sz w:val="20"/>
          <w:szCs w:val="20"/>
          <w:color w:val="auto"/>
        </w:rPr>
      </w:pPr>
      <w:r>
        <w:rPr>
          <w:rFonts w:ascii="Arial" w:cs="Arial" w:eastAsia="Arial" w:hAnsi="Arial"/>
          <w:sz w:val="10"/>
          <w:szCs w:val="10"/>
          <w:color w:val="auto"/>
        </w:rPr>
        <w:t>Form F-3ASR, filed with the Securities and Exchange Commission on December 12, 2017 (File No. 333-222005), the prospectus supplement (as listed in the table above) relating to each Senior Debt Security and the form of the instrument representing each Senior Debt Security. Certain terms, unless otherwise defined here, have the same meaning given to them in the 2006 Indenture.</w:t>
      </w: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General</w:t>
      </w:r>
    </w:p>
    <w:p>
      <w:pPr>
        <w:spacing w:after="0" w:line="155" w:lineRule="exact"/>
        <w:rPr>
          <w:sz w:val="20"/>
          <w:szCs w:val="20"/>
          <w:color w:val="auto"/>
        </w:rPr>
      </w:pPr>
    </w:p>
    <w:p>
      <w:pPr>
        <w:ind w:right="320"/>
        <w:spacing w:after="0" w:line="239" w:lineRule="auto"/>
        <w:rPr>
          <w:sz w:val="20"/>
          <w:szCs w:val="20"/>
          <w:color w:val="auto"/>
        </w:rPr>
      </w:pPr>
      <w:r>
        <w:rPr>
          <w:rFonts w:ascii="Arial" w:cs="Arial" w:eastAsia="Arial" w:hAnsi="Arial"/>
          <w:sz w:val="10"/>
          <w:szCs w:val="10"/>
          <w:color w:val="auto"/>
        </w:rPr>
        <w:t>The 2006 Indenture does not limit the amount of future Senior Debt Securities that may be issued under the indenture, the amount of other unsecured debt or other securities the Company or the Issuer may issue. The Senior Debt Securities are not secured by any assets or property of the Company or any of its subsidiaries or affiliates.</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Interest</w:t>
      </w:r>
    </w:p>
    <w:p>
      <w:pPr>
        <w:ind w:left="420"/>
        <w:spacing w:after="0"/>
        <w:rPr>
          <w:sz w:val="20"/>
          <w:szCs w:val="20"/>
          <w:color w:val="auto"/>
        </w:rPr>
      </w:pPr>
      <w:r>
        <w:rPr>
          <w:rFonts w:ascii="Arial" w:cs="Arial" w:eastAsia="Arial" w:hAnsi="Arial"/>
          <w:sz w:val="10"/>
          <w:szCs w:val="10"/>
          <w:b w:val="1"/>
          <w:bCs w:val="1"/>
          <w:i w:val="1"/>
          <w:iCs w:val="1"/>
          <w:color w:val="auto"/>
        </w:rPr>
        <w:t>Payment</w:t>
      </w:r>
    </w:p>
    <w:p>
      <w:pPr>
        <w:spacing w:after="0" w:line="148" w:lineRule="exact"/>
        <w:rPr>
          <w:sz w:val="20"/>
          <w:szCs w:val="20"/>
          <w:color w:val="auto"/>
        </w:rPr>
      </w:pPr>
    </w:p>
    <w:p>
      <w:pPr>
        <w:ind w:right="260"/>
        <w:spacing w:after="0" w:line="239" w:lineRule="auto"/>
        <w:rPr>
          <w:sz w:val="20"/>
          <w:szCs w:val="20"/>
          <w:color w:val="auto"/>
        </w:rPr>
      </w:pPr>
      <w:r>
        <w:rPr>
          <w:rFonts w:ascii="Arial" w:cs="Arial" w:eastAsia="Arial" w:hAnsi="Arial"/>
          <w:sz w:val="10"/>
          <w:szCs w:val="10"/>
          <w:color w:val="auto"/>
        </w:rPr>
        <w:t>Payments of principal and interest on the Senior Debt Securities are made in U.S. dollars at the office of the trustee and any paying agent. At the option of the Company or Shell Finance, as applicable, however, payments may be made by wire transfer for global debt securities or by check mailed to the address of the person entitled to the payment as it appears in the security register.</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Interest payments are made to the person in whose name the Senior Debt Security is registered at the close of business on the record date for the interest payment.</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If the principal of or any premium or interest on or additional amounts with respect to a series of Senior Debt Securities is payable on a day that is not a business day, the payment will be made on the following business day.</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0"/>
          <w:szCs w:val="10"/>
          <w:b w:val="1"/>
          <w:bCs w:val="1"/>
          <w:i w:val="1"/>
          <w:iCs w:val="1"/>
          <w:color w:val="auto"/>
        </w:rPr>
        <w:t>Floating Rate Interest - LIBOR</w:t>
      </w:r>
    </w:p>
    <w:p>
      <w:pPr>
        <w:spacing w:after="0" w:line="155" w:lineRule="exact"/>
        <w:rPr>
          <w:sz w:val="20"/>
          <w:szCs w:val="20"/>
          <w:color w:val="auto"/>
        </w:rPr>
      </w:pPr>
    </w:p>
    <w:p>
      <w:pPr>
        <w:ind w:right="220"/>
        <w:spacing w:after="0" w:line="239" w:lineRule="auto"/>
        <w:rPr>
          <w:sz w:val="20"/>
          <w:szCs w:val="20"/>
          <w:color w:val="auto"/>
        </w:rPr>
      </w:pPr>
      <w:r>
        <w:rPr>
          <w:rFonts w:ascii="Arial" w:cs="Arial" w:eastAsia="Arial" w:hAnsi="Arial"/>
          <w:sz w:val="10"/>
          <w:szCs w:val="10"/>
          <w:color w:val="auto"/>
        </w:rPr>
        <w:t xml:space="preserve">The interest rate for the two series of floating rate notes is reset quarterly on the first day of each interest period </w:t>
      </w:r>
      <w:r>
        <w:rPr>
          <w:rFonts w:ascii="Arial" w:cs="Arial" w:eastAsia="Arial" w:hAnsi="Arial"/>
          <w:sz w:val="10"/>
          <w:szCs w:val="10"/>
          <w:i w:val="1"/>
          <w:iCs w:val="1"/>
          <w:color w:val="auto"/>
        </w:rPr>
        <w:t>at the</w:t>
      </w:r>
      <w:r>
        <w:rPr>
          <w:rFonts w:ascii="Arial" w:cs="Arial" w:eastAsia="Arial" w:hAnsi="Arial"/>
          <w:sz w:val="10"/>
          <w:szCs w:val="10"/>
          <w:color w:val="auto"/>
        </w:rPr>
        <w:t xml:space="preserve"> U.S. dollar </w:t>
      </w:r>
      <w:r>
        <w:rPr>
          <w:rFonts w:ascii="Arial" w:cs="Arial" w:eastAsia="Arial" w:hAnsi="Arial"/>
          <w:sz w:val="10"/>
          <w:szCs w:val="10"/>
          <w:i w:val="1"/>
          <w:iCs w:val="1"/>
          <w:color w:val="auto"/>
        </w:rPr>
        <w:t>London Interbank Offered Rate (“LIBOR”),</w:t>
      </w:r>
      <w:r>
        <w:rPr>
          <w:rFonts w:ascii="Arial" w:cs="Arial" w:eastAsia="Arial" w:hAnsi="Arial"/>
          <w:sz w:val="10"/>
          <w:szCs w:val="10"/>
          <w:color w:val="auto"/>
        </w:rPr>
        <w:t xml:space="preserve"> or, in the case of the 2023 notes, any Alternative Rate or Successor Rate, plus a fixed percentage or an Adjustment Spread.</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Deutsche Bank Trust Company Americas, acting as Calculation Agent, determines the floating interest rate for each floating rate interest period by reference to the then-current three -month LIBOR on the applicable interest determination date.</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0"/>
          <w:szCs w:val="10"/>
          <w:color w:val="auto"/>
        </w:rPr>
        <w:t>All calculations made by Deutsche Bank Trust Company Americas for the purposes of calculating the Interest Rate on the floating rate notes shall be conclusive and binding on the holders of the floating notes, the Company, Shell International Finance B.V. and the trustee, Deutsche Bank Trust Company Americas, absent manifest error.</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0"/>
          <w:szCs w:val="10"/>
          <w:b w:val="1"/>
          <w:bCs w:val="1"/>
          <w:i w:val="1"/>
          <w:iCs w:val="1"/>
          <w:color w:val="auto"/>
        </w:rPr>
        <w:t>Calculation of LIBOR</w:t>
      </w:r>
    </w:p>
    <w:p>
      <w:pPr>
        <w:spacing w:after="0" w:line="155" w:lineRule="exact"/>
        <w:rPr>
          <w:sz w:val="20"/>
          <w:szCs w:val="20"/>
          <w:color w:val="auto"/>
        </w:rPr>
      </w:pPr>
    </w:p>
    <w:p>
      <w:pPr>
        <w:ind w:right="20"/>
        <w:spacing w:after="0" w:line="294" w:lineRule="auto"/>
        <w:rPr>
          <w:sz w:val="20"/>
          <w:szCs w:val="20"/>
          <w:color w:val="auto"/>
        </w:rPr>
      </w:pPr>
      <w:r>
        <w:rPr>
          <w:rFonts w:ascii="Arial" w:cs="Arial" w:eastAsia="Arial" w:hAnsi="Arial"/>
          <w:sz w:val="8"/>
          <w:szCs w:val="8"/>
          <w:color w:val="auto"/>
        </w:rPr>
        <w:t>With respect to any Interest Determination Date, the U.S. dollar LIBOR will be the rate for deposits in U.S. dollars having a maturity of three months commencing on the Interest Reset Date that appears on the designated LIBOR page as of 11:00 a.m., London time, on that Interest Determination Date. If no rate appears, U.S. dollar LIBOR, in respect of that Interest Determination Date, will be determined as follows: the Calculation Agent will request the principal London offices of each of four major reference banks in the London interbank market, as selected by the Calculation Agent (after consultation with us), to provide the Calculation Agent with its offered quotation for deposits in U.S. dollars for the period of three months, commencing on the Interest Reset Date, to prime banks in the London interbank market at approximately 11:00 a.m., London time, on that Interest Determination Date and in a principal amount that is representative for a single transaction in U.S. dollars in that market at that time. If at least two quotations are provided, then U.S. dollar LIBOR on that Interest Determination Date will be the arithmetic mean of those quotations. If fewer than two quotations are provided, then U.S. dollar LIBOR on the Interest Determination Date will be the arithmetic mean of the rates quoted at approximately 11:00 a.m., New York City time, on the Interest Determination Date by three major banks in The City of New York selected by the Calculation Agent (after consultation with us) for loans in U.S. dollars to leading European banks, having a three-month maturity and in a principal amount that is representative for a single transaction in U.S. dollars in that market at that time; provided, however, that if the banks selected by the Calculation Agent are not providing quotations in the manner described by this sentence, U.S. dollar LIBOR determined as of that Interest Determination Date will be U.S. dollar LIBOR in effect on that Interest Determination Date.</w:t>
      </w:r>
    </w:p>
    <w:p>
      <w:pPr>
        <w:spacing w:after="0" w:line="129" w:lineRule="exact"/>
        <w:rPr>
          <w:sz w:val="20"/>
          <w:szCs w:val="20"/>
          <w:color w:val="auto"/>
        </w:rPr>
      </w:pPr>
    </w:p>
    <w:p>
      <w:pPr>
        <w:ind w:right="100"/>
        <w:spacing w:after="0" w:line="234" w:lineRule="auto"/>
        <w:rPr>
          <w:sz w:val="20"/>
          <w:szCs w:val="20"/>
          <w:color w:val="auto"/>
        </w:rPr>
      </w:pPr>
      <w:r>
        <w:rPr>
          <w:rFonts w:ascii="Arial" w:cs="Arial" w:eastAsia="Arial" w:hAnsi="Arial"/>
          <w:sz w:val="10"/>
          <w:szCs w:val="10"/>
          <w:color w:val="auto"/>
        </w:rPr>
        <w:t>The designated LIBOR page is the Reuters screen “LIBOR01”, or any successor service for the purpose of displaying the London interbank rates of major banks for U.S. dollars. The Reuters screen “LIBOR01” is the display designated as the Reuters screen “LIBOR01”, or such other page as may replace the Reuters screen “LIBOR01” on that service or such other service or services as may be denominated by the ICE Benchmark Administration Limited (the “IBA”) (or any successor administrator of LIBOR) for the purpose of displaying London interbank offered rates for U.S. dollar deposits.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0"/>
          <w:szCs w:val="10"/>
          <w:b w:val="1"/>
          <w:bCs w:val="1"/>
          <w:i w:val="1"/>
          <w:iCs w:val="1"/>
          <w:color w:val="auto"/>
        </w:rPr>
        <w:t>Successor or Alternative Rate, With Respect to 2023 Floating Rate Notes</w:t>
      </w:r>
    </w:p>
    <w:p>
      <w:pPr>
        <w:spacing w:after="0" w:line="155" w:lineRule="exact"/>
        <w:rPr>
          <w:sz w:val="20"/>
          <w:szCs w:val="20"/>
          <w:color w:val="auto"/>
        </w:rPr>
      </w:pPr>
    </w:p>
    <w:p>
      <w:pPr>
        <w:spacing w:after="0" w:line="307" w:lineRule="auto"/>
        <w:rPr>
          <w:sz w:val="20"/>
          <w:szCs w:val="20"/>
          <w:color w:val="auto"/>
        </w:rPr>
      </w:pPr>
      <w:r>
        <w:rPr>
          <w:rFonts w:ascii="Arial" w:cs="Arial" w:eastAsia="Arial" w:hAnsi="Arial"/>
          <w:sz w:val="8"/>
          <w:szCs w:val="8"/>
          <w:color w:val="auto"/>
        </w:rPr>
        <w:t>For purposes of the 2023 floating rate notes, if Shell Finance determines in its sole discretion that a Benchmark Event has occurred in relation to U.S. dollar LIBOR when any rate of interest (or any component part thereof) remains to be determined by reference to U.S. dollar LIBOR, then Shell Finance will use its commercially reasonable efforts to appoint and consult with an Independent Adviser, as soon as reasonably practicable, with a view to Shell Finance’s determining a Successor Rate or, if none, an Alternative Rate and, in either case, any Adjustment Spread and any Benchmark Amendments. An Independent Adviser appointed in such circumstances will act in good faith as an expert and (in the absence of bad faith or fraud) shall have no liability whatsoever to Shell Finance, the Calculation Agent, the trustee, the paying agents or the holders of the 2023 floating rate notes for any determination made by it or for any advice given to Shell Finance in connection with any determination made by Shell Finance, pursuant to these provisions.</w:t>
      </w:r>
    </w:p>
    <w:p>
      <w:pPr>
        <w:spacing w:after="0" w:line="123" w:lineRule="exact"/>
        <w:rPr>
          <w:sz w:val="20"/>
          <w:szCs w:val="20"/>
          <w:color w:val="auto"/>
        </w:rPr>
      </w:pPr>
    </w:p>
    <w:p>
      <w:pPr>
        <w:ind w:right="20"/>
        <w:spacing w:after="0" w:line="232" w:lineRule="auto"/>
        <w:rPr>
          <w:sz w:val="20"/>
          <w:szCs w:val="20"/>
          <w:color w:val="auto"/>
        </w:rPr>
      </w:pPr>
      <w:r>
        <w:rPr>
          <w:rFonts w:ascii="Arial" w:cs="Arial" w:eastAsia="Arial" w:hAnsi="Arial"/>
          <w:sz w:val="10"/>
          <w:szCs w:val="10"/>
          <w:color w:val="auto"/>
        </w:rPr>
        <w:t>If Shell Finance, following consultation with the Independent Adviser and acting in good faith and in a commercially reasonable manner, determines that (i) there is a Successor Rate, then such Successor Rate shall (subject to adjustment as provided below) subsequently be used in place of U.S. dollar LIBOR to determine the rate of interest (or the relevant component part thereof) for all future payments of interest on the 2023 floating rate notes (subject to these LIBOR discontinuation provisions); or (ii) there is no Successor Rate but that there is an Alternative Rate, then such Alternative Rate shall (subject to adjustment as provided below) subsequently be used in place of U.S. dollar LIBOR to determine the rate of interest (or the relevant component part thereof) for all future payments of interest on the 2023 floating rate notes (subject to these LIBOR discontinuation provisions). If Shell Finance is unable to appoint an Independent</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75"/>
        </w:trPr>
        <w:tc>
          <w:tcPr>
            <w:tcW w:w="352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100" w:type="dxa"/>
            <w:vAlign w:val="bottom"/>
          </w:tcPr>
          <w:p>
            <w:pPr>
              <w:jc w:val="right"/>
              <w:spacing w:after="0"/>
              <w:rPr>
                <w:sz w:val="20"/>
                <w:szCs w:val="20"/>
                <w:color w:val="auto"/>
              </w:rPr>
            </w:pPr>
            <w:r>
              <w:rPr>
                <w:rFonts w:ascii="Arial" w:cs="Arial" w:eastAsia="Arial" w:hAnsi="Arial"/>
                <w:sz w:val="6"/>
                <w:szCs w:val="6"/>
                <w:color w:val="auto"/>
              </w:rPr>
              <w:t>7</w:t>
            </w:r>
          </w:p>
        </w:tc>
      </w:tr>
    </w:tbl>
    <w:p>
      <w:pPr>
        <w:sectPr>
          <w:pgSz w:w="11900" w:h="16838" w:orient="portrait"/>
          <w:cols w:equalWidth="0" w:num="1">
            <w:col w:w="11300"/>
          </w:cols>
          <w:pgMar w:left="300" w:top="640" w:right="299" w:bottom="1440" w:gutter="0" w:footer="0" w:header="0"/>
        </w:sectPr>
      </w:pPr>
    </w:p>
    <w:bookmarkStart w:id="283" w:name="page284"/>
    <w:bookmarkEnd w:id="283"/>
    <w:p>
      <w:pPr>
        <w:ind w:right="60"/>
        <w:spacing w:after="0" w:line="239" w:lineRule="auto"/>
        <w:rPr>
          <w:sz w:val="20"/>
          <w:szCs w:val="20"/>
          <w:color w:val="auto"/>
        </w:rPr>
      </w:pPr>
      <w:r>
        <w:rPr>
          <w:rFonts w:ascii="Arial" w:cs="Arial" w:eastAsia="Arial" w:hAnsi="Arial"/>
          <w:sz w:val="10"/>
          <w:szCs w:val="10"/>
          <w:color w:val="auto"/>
        </w:rPr>
        <w:t>Adviser, or the Independent Adviser appointed by Shell Finance is unable to advise Shell Finance in connection with its determination of a Successor Rate or an Alternative Rate, Shell Finance (acting in good faith and in a commercially reasonable manner) may determine a Successor Rate or, if there is no Successor Rate, an Alternative Rate.</w:t>
      </w:r>
    </w:p>
    <w:p>
      <w:pPr>
        <w:spacing w:after="0" w:line="149" w:lineRule="exact"/>
        <w:rPr>
          <w:sz w:val="20"/>
          <w:szCs w:val="20"/>
          <w:color w:val="auto"/>
        </w:rPr>
      </w:pPr>
    </w:p>
    <w:p>
      <w:pPr>
        <w:ind w:right="180"/>
        <w:spacing w:after="0" w:line="320" w:lineRule="auto"/>
        <w:rPr>
          <w:sz w:val="20"/>
          <w:szCs w:val="20"/>
          <w:color w:val="auto"/>
        </w:rPr>
      </w:pPr>
      <w:r>
        <w:rPr>
          <w:rFonts w:ascii="Arial" w:cs="Arial" w:eastAsia="Arial" w:hAnsi="Arial"/>
          <w:sz w:val="8"/>
          <w:szCs w:val="8"/>
          <w:color w:val="auto"/>
        </w:rPr>
        <w:t>If Shell Finance, following consultation with the Independent Adviser, determines in its sole discretion (i) that an Adjustment Spread is required to be applied to the Successor Rate or the Alternative Rate (as the case may be) and (ii) the quantum of, or a formula or methodology for determining, such Adjustment Spread, then such Adjustment Spread shall be applied to the Successor Rate or the Alternative Rate (as the case may be). If Shell Finance, following consultation with the Independent Adviser, is unable to determine (acting in good faith and in a commercially reasonable manner) the quantum of, or a formula or methodology for determining, such Adjustment Spread, then such Successor Rate or Alternative Rate (as applicable) will apply without an Adjustment Spread.</w:t>
      </w:r>
    </w:p>
    <w:p>
      <w:pPr>
        <w:spacing w:after="0" w:line="118" w:lineRule="exact"/>
        <w:rPr>
          <w:sz w:val="20"/>
          <w:szCs w:val="20"/>
          <w:color w:val="auto"/>
        </w:rPr>
      </w:pPr>
    </w:p>
    <w:p>
      <w:pPr>
        <w:ind w:right="80"/>
        <w:spacing w:after="0" w:line="300" w:lineRule="auto"/>
        <w:rPr>
          <w:sz w:val="20"/>
          <w:szCs w:val="20"/>
          <w:color w:val="auto"/>
        </w:rPr>
      </w:pPr>
      <w:r>
        <w:rPr>
          <w:rFonts w:ascii="Arial" w:cs="Arial" w:eastAsia="Arial" w:hAnsi="Arial"/>
          <w:sz w:val="8"/>
          <w:szCs w:val="8"/>
          <w:color w:val="auto"/>
        </w:rPr>
        <w:t>If any Successor Rate, Alternative Rate or Adjustment Spread is determined in accordance with the terms of the 2023 floating rate notes or the 2006 Indenture and Shell Finance, following consultation with the Independent Adviser, determines (i) that amendments to the terms of the 2023 floating rate notes or the 2006 Indenture are necessary to ensure the proper operation of such Successor Rate, Alternative Rate and/or Adjustment Spread (such amendments, the “Benchmark Amendments”) and (ii) the terms of the Benchmark Amendments, then Shell Finance shall, subject to giving notice thereof to the trustee, the Calculation Agent and the holders of the 2023 floating rate notes, in each case, as provided in the 2006 Indenture, without any requirement for the consent or approval of holders of the 2023 floating rate notes, amend the terms of, the 2023 floating rate notes and/or the 2006 Indenture to give effect to such Benchmark Amendments with effect from the date specified in such notice. In connection with any such amendment in accordance with the terms of the 2023 floating rate notes or the 2006 Indenture, Shell Finance shall comply with the rules of the New York Stock Exchange or any stock exchange on which the Notes are then-listed or admitted to trading.</w:t>
      </w:r>
    </w:p>
    <w:p>
      <w:pPr>
        <w:spacing w:after="0" w:line="73" w:lineRule="exact"/>
        <w:rPr>
          <w:sz w:val="20"/>
          <w:szCs w:val="20"/>
          <w:color w:val="auto"/>
        </w:rPr>
      </w:pPr>
    </w:p>
    <w:p>
      <w:pPr>
        <w:spacing w:after="0" w:line="358" w:lineRule="auto"/>
        <w:rPr>
          <w:sz w:val="20"/>
          <w:szCs w:val="20"/>
          <w:color w:val="auto"/>
        </w:rPr>
      </w:pPr>
      <w:r>
        <w:rPr>
          <w:rFonts w:ascii="Arial" w:cs="Arial" w:eastAsia="Arial" w:hAnsi="Arial"/>
          <w:sz w:val="8"/>
          <w:szCs w:val="8"/>
          <w:color w:val="auto"/>
        </w:rPr>
        <w:t>Shell Finance will promptly provide notice to the Calculation Agent, the trustee, the paying agents and, in accordance with notice requirements set forth in the 2006 Indenture, the holders of the 2023 floating rate notes of any Successor Rate, Alternative Rate, Adjustment Spread and the specific terms of any Benchmark Amendments, determined pursuant to the terms of the 2023 floating rate notes and the 2006 Indenture. Such notice shall be irrevocable and shall specify the effective date of the Benchmark Amendments, if any.</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Consolidation, Merger and Sale of Assets; Assumption</w:t>
      </w:r>
    </w:p>
    <w:p>
      <w:pPr>
        <w:spacing w:after="0" w:line="155" w:lineRule="exact"/>
        <w:rPr>
          <w:sz w:val="20"/>
          <w:szCs w:val="20"/>
          <w:color w:val="auto"/>
        </w:rPr>
      </w:pPr>
    </w:p>
    <w:p>
      <w:pPr>
        <w:spacing w:after="0" w:line="320" w:lineRule="auto"/>
        <w:rPr>
          <w:sz w:val="20"/>
          <w:szCs w:val="20"/>
          <w:color w:val="auto"/>
        </w:rPr>
      </w:pPr>
      <w:r>
        <w:rPr>
          <w:rFonts w:ascii="Arial" w:cs="Arial" w:eastAsia="Arial" w:hAnsi="Arial"/>
          <w:sz w:val="8"/>
          <w:szCs w:val="8"/>
          <w:color w:val="auto"/>
        </w:rPr>
        <w:t>The 2006 Indenture generally permits a consolidation, merger or similar transaction involving the Company or Shell Finance. It also permits the Company or Shell Finance, as applicable, to transfer or dispose of all or substantially all of their assets. Each of the Company and Shell Finance has agreed, however, that it will not consolidate with or merge into any entity (other than, with respect to Shell Finance, the Company) or transfer or dispose of all or substantially all of its assets to any entity (other than, with respect to Shell Finance, the Company) if, immediately after giving effect to such transaction or transactions, an event of default, or an event that, after notice or lapse of time or both, would become an event of default, has occurred and is continuing; and unless:</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it is the continuing corporation; or</w:t>
      </w:r>
    </w:p>
    <w:p>
      <w:pPr>
        <w:spacing w:after="0" w:line="83" w:lineRule="exact"/>
        <w:rPr>
          <w:sz w:val="20"/>
          <w:szCs w:val="20"/>
          <w:color w:val="auto"/>
        </w:rPr>
      </w:pPr>
    </w:p>
    <w:p>
      <w:pPr>
        <w:ind w:left="1340" w:right="540"/>
        <w:spacing w:after="0" w:line="220" w:lineRule="auto"/>
        <w:rPr>
          <w:sz w:val="20"/>
          <w:szCs w:val="20"/>
          <w:color w:val="auto"/>
        </w:rPr>
      </w:pPr>
      <w:r>
        <w:rPr>
          <w:rFonts w:ascii="Arial" w:cs="Arial" w:eastAsia="Arial" w:hAnsi="Arial"/>
          <w:sz w:val="10"/>
          <w:szCs w:val="10"/>
          <w:color w:val="auto"/>
        </w:rPr>
        <w:t>if it is not the continuing corporation, the resulting entity or transferee assumes the performance of its covenants and obligations under the 2006 Indenture and, in the case of the Company or Shell Finance as issuer, the due and punctual payments on the Senior Debt Securities or, in the case of the Company with respect to the Senior Debt Securities of Shell Finance, the performance of the related guarantee.</w:t>
      </w:r>
    </w:p>
    <w:p>
      <w:pPr>
        <w:spacing w:after="0" w:line="221" w:lineRule="exact"/>
        <w:rPr>
          <w:sz w:val="20"/>
          <w:szCs w:val="20"/>
          <w:color w:val="auto"/>
        </w:rPr>
      </w:pPr>
    </w:p>
    <w:p>
      <w:pPr>
        <w:ind w:right="200"/>
        <w:spacing w:after="0" w:line="239" w:lineRule="auto"/>
        <w:rPr>
          <w:sz w:val="20"/>
          <w:szCs w:val="20"/>
          <w:color w:val="auto"/>
        </w:rPr>
      </w:pPr>
      <w:r>
        <w:rPr>
          <w:rFonts w:ascii="Arial" w:cs="Arial" w:eastAsia="Arial" w:hAnsi="Arial"/>
          <w:sz w:val="10"/>
          <w:szCs w:val="10"/>
          <w:color w:val="auto"/>
        </w:rPr>
        <w:t>Additionally, in the event that any entity shall become the owner of 100% of the voting stock of the Company, such entity may, but is not obligated to, assume the performance of the Company’s covenants and obligations under the 2006 Indenture, either as issuer and/or as guarantor for the Senior Debt Securities of Shell Finance (a “Voluntary Assumption”).</w:t>
      </w:r>
    </w:p>
    <w:p>
      <w:pPr>
        <w:spacing w:after="0" w:line="149" w:lineRule="exact"/>
        <w:rPr>
          <w:sz w:val="20"/>
          <w:szCs w:val="20"/>
          <w:color w:val="auto"/>
        </w:rPr>
      </w:pPr>
    </w:p>
    <w:p>
      <w:pPr>
        <w:ind w:right="220"/>
        <w:spacing w:after="0" w:line="239" w:lineRule="auto"/>
        <w:rPr>
          <w:sz w:val="20"/>
          <w:szCs w:val="20"/>
          <w:color w:val="auto"/>
        </w:rPr>
      </w:pPr>
      <w:r>
        <w:rPr>
          <w:rFonts w:ascii="Arial" w:cs="Arial" w:eastAsia="Arial" w:hAnsi="Arial"/>
          <w:sz w:val="10"/>
          <w:szCs w:val="10"/>
          <w:color w:val="auto"/>
        </w:rPr>
        <w:t>Upon any such consolidation, merger or similar transaction or asset transfer or disposition involving the Company or Shell Finance, or any such Voluntary Assumption, the resulting entity, transferee or assuming entity, as applicable, will be substituted for the Company or Shell Finance, as applicable, under the 2006 Indenture and Senior Debt Securities. The Company or Shell Finance, as applicable, will thereupon be released from the 2006 Indenture.</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Events of Default</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following are events of default with respect to each series of Senior Debt Securities:</w:t>
      </w:r>
    </w:p>
    <w:p>
      <w:pPr>
        <w:spacing w:after="0" w:line="191"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failure to pay interest or any additional amounts on that series of Senior Debt Securities for 30 days when due;</w:t>
      </w:r>
    </w:p>
    <w:p>
      <w:pPr>
        <w:spacing w:after="0" w:line="83"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failure to pay principal of or any premium on that series of Senior Debt Securities for 14 days when due;</w:t>
      </w:r>
    </w:p>
    <w:p>
      <w:pPr>
        <w:spacing w:after="0" w:line="92"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failure to redeem or purchase Senior Debt Securities of that series for 14 days when required;</w:t>
      </w:r>
    </w:p>
    <w:p>
      <w:pPr>
        <w:spacing w:after="0" w:line="92" w:lineRule="exact"/>
        <w:rPr>
          <w:sz w:val="20"/>
          <w:szCs w:val="20"/>
          <w:color w:val="auto"/>
        </w:rPr>
      </w:pPr>
    </w:p>
    <w:p>
      <w:pPr>
        <w:ind w:left="1340" w:right="640"/>
        <w:spacing w:after="0" w:line="220" w:lineRule="auto"/>
        <w:rPr>
          <w:sz w:val="20"/>
          <w:szCs w:val="20"/>
          <w:color w:val="auto"/>
        </w:rPr>
      </w:pPr>
      <w:r>
        <w:rPr>
          <w:rFonts w:ascii="Arial" w:cs="Arial" w:eastAsia="Arial" w:hAnsi="Arial"/>
          <w:sz w:val="10"/>
          <w:szCs w:val="10"/>
          <w:color w:val="auto"/>
        </w:rPr>
        <w:t>failure to comply with any covenant or agreement in that series of Senior Debt Securities for 90 days after written notice by the trustee or by the holders of at least 25% in principal amount of the outstanding Senior Debt Securities issued under that indenture that are affected by that failure;</w:t>
      </w:r>
    </w:p>
    <w:p>
      <w:pPr>
        <w:spacing w:after="0" w:line="77" w:lineRule="exact"/>
        <w:rPr>
          <w:sz w:val="20"/>
          <w:szCs w:val="20"/>
          <w:color w:val="auto"/>
        </w:rPr>
      </w:pPr>
    </w:p>
    <w:p>
      <w:pPr>
        <w:ind w:left="1340" w:right="3020"/>
        <w:spacing w:after="0" w:line="445" w:lineRule="auto"/>
        <w:rPr>
          <w:sz w:val="20"/>
          <w:szCs w:val="20"/>
          <w:color w:val="auto"/>
        </w:rPr>
      </w:pPr>
      <w:r>
        <w:rPr>
          <w:rFonts w:ascii="Arial" w:cs="Arial" w:eastAsia="Arial" w:hAnsi="Arial"/>
          <w:sz w:val="10"/>
          <w:szCs w:val="10"/>
          <w:color w:val="auto"/>
        </w:rPr>
        <w:t>specified events involving bankruptcy, insolvency or reorganization of the Company and, with respect to Shell Finance’s Senior Debt Securities, the Company or Shell Finance; and any other event of default provided for that series of Senior Debt Securities in the applicable prospectus supplement.</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A default under one series of Senior Debt Securities or any other agreement to which the Company or Shell Finance is a party will not be a default under another series of Senior Debt Securities.</w:t>
      </w:r>
    </w:p>
    <w:p>
      <w:pPr>
        <w:spacing w:after="0" w:line="200" w:lineRule="exact"/>
        <w:rPr>
          <w:sz w:val="20"/>
          <w:szCs w:val="20"/>
          <w:color w:val="auto"/>
        </w:rPr>
      </w:pP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75"/>
        </w:trPr>
        <w:tc>
          <w:tcPr>
            <w:tcW w:w="352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100" w:type="dxa"/>
            <w:vAlign w:val="bottom"/>
          </w:tcPr>
          <w:p>
            <w:pPr>
              <w:jc w:val="right"/>
              <w:spacing w:after="0"/>
              <w:rPr>
                <w:sz w:val="20"/>
                <w:szCs w:val="20"/>
                <w:color w:val="auto"/>
              </w:rPr>
            </w:pPr>
            <w:r>
              <w:rPr>
                <w:rFonts w:ascii="Arial" w:cs="Arial" w:eastAsia="Arial" w:hAnsi="Arial"/>
                <w:sz w:val="6"/>
                <w:szCs w:val="6"/>
                <w:color w:val="auto"/>
              </w:rPr>
              <w:t>8</w:t>
            </w:r>
          </w:p>
        </w:tc>
      </w:tr>
    </w:tbl>
    <w:p>
      <w:pPr>
        <w:sectPr>
          <w:pgSz w:w="11900" w:h="16838" w:orient="portrait"/>
          <w:cols w:equalWidth="0" w:num="1">
            <w:col w:w="11280"/>
          </w:cols>
          <w:pgMar w:left="300" w:top="640" w:right="319" w:bottom="1440" w:gutter="0" w:footer="0" w:header="0"/>
        </w:sectPr>
      </w:pPr>
    </w:p>
    <w:bookmarkStart w:id="284" w:name="page285"/>
    <w:bookmarkEnd w:id="284"/>
    <w:p>
      <w:pPr>
        <w:spacing w:after="0" w:line="358" w:lineRule="auto"/>
        <w:rPr>
          <w:sz w:val="20"/>
          <w:szCs w:val="20"/>
          <w:color w:val="auto"/>
        </w:rPr>
      </w:pPr>
      <w:r>
        <w:rPr>
          <w:rFonts w:ascii="Arial" w:cs="Arial" w:eastAsia="Arial" w:hAnsi="Arial"/>
          <w:sz w:val="8"/>
          <w:szCs w:val="8"/>
          <w:color w:val="auto"/>
        </w:rPr>
        <w:t>If an event of default for any series of Senior Debt Securities occurs and is continuing, Deutsche Bank Trust Company Americas or the holders of at least 25% in principal amount of the outstanding Senior Debt Securities of the series affected by the default may declare the principal of and all accrued and unpaid interest on those Senior Debt Securities to be due and payable. The holders of a majority in principal amount of the outstanding Senior Debt Securities of the series affected by the default may in some cases rescind this accelerated payment requirement.</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A holder of a Senior Debt Security of any series may pursue any remedy only if:</w:t>
      </w:r>
    </w:p>
    <w:p>
      <w:pPr>
        <w:spacing w:after="0" w:line="191"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the holder gives the trustee written notice of a continuing event of default for that series;</w:t>
      </w:r>
    </w:p>
    <w:p>
      <w:pPr>
        <w:spacing w:after="0" w:line="83" w:lineRule="exact"/>
        <w:rPr>
          <w:sz w:val="20"/>
          <w:szCs w:val="20"/>
          <w:color w:val="auto"/>
        </w:rPr>
      </w:pPr>
    </w:p>
    <w:p>
      <w:pPr>
        <w:ind w:left="1340" w:right="2480"/>
        <w:spacing w:after="0" w:line="432" w:lineRule="auto"/>
        <w:rPr>
          <w:sz w:val="20"/>
          <w:szCs w:val="20"/>
          <w:color w:val="auto"/>
        </w:rPr>
      </w:pPr>
      <w:r>
        <w:rPr>
          <w:rFonts w:ascii="Arial" w:cs="Arial" w:eastAsia="Arial" w:hAnsi="Arial"/>
          <w:sz w:val="10"/>
          <w:szCs w:val="10"/>
          <w:color w:val="auto"/>
        </w:rPr>
        <w:t>the holders of at least 25% in principal amount of the outstanding Senior Debt Securities of that series make a written request to Deutsche Bank Trust Company Americas to pursue the remedy; the holders offer to Deutsche Bank Trust Company Americas indemnity satisfactory to it;</w:t>
      </w:r>
    </w:p>
    <w:p>
      <w:pPr>
        <w:ind w:left="1340"/>
        <w:spacing w:after="0"/>
        <w:rPr>
          <w:sz w:val="20"/>
          <w:szCs w:val="20"/>
          <w:color w:val="auto"/>
        </w:rPr>
      </w:pPr>
      <w:r>
        <w:rPr>
          <w:rFonts w:ascii="Arial" w:cs="Arial" w:eastAsia="Arial" w:hAnsi="Arial"/>
          <w:sz w:val="10"/>
          <w:szCs w:val="10"/>
          <w:color w:val="auto"/>
        </w:rPr>
        <w:t>Deutsche Bank Trust Company Americas fails to act for a period of 60 days after receipt of the request and offer of indemnity; and</w:t>
      </w:r>
    </w:p>
    <w:p>
      <w:pPr>
        <w:spacing w:after="0" w:line="83"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during that 60-day period, the holders of a majority in principal amount of the Senior Debt Securities of that series do not give the trustee a direction inconsistent with the request.</w:t>
      </w:r>
    </w:p>
    <w:p>
      <w:pPr>
        <w:spacing w:after="0" w:line="227" w:lineRule="exact"/>
        <w:rPr>
          <w:sz w:val="20"/>
          <w:szCs w:val="20"/>
          <w:color w:val="auto"/>
        </w:rPr>
      </w:pPr>
    </w:p>
    <w:p>
      <w:pPr>
        <w:spacing w:after="0"/>
        <w:rPr>
          <w:sz w:val="20"/>
          <w:szCs w:val="20"/>
          <w:color w:val="auto"/>
        </w:rPr>
      </w:pPr>
      <w:r>
        <w:rPr>
          <w:rFonts w:ascii="Arial" w:cs="Arial" w:eastAsia="Arial" w:hAnsi="Arial"/>
          <w:sz w:val="10"/>
          <w:szCs w:val="10"/>
          <w:color w:val="auto"/>
        </w:rPr>
        <w:t>This provision does not, however, affect the right of a holder of a Senior Debt Security to sue for enforcement of any overdue payment.</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Holders of a majority in principal amount of the outstanding Senior Debt Securities may direct the time, method and place of:</w:t>
      </w:r>
    </w:p>
    <w:p>
      <w:pPr>
        <w:spacing w:after="0" w:line="191"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conducting any proceeding for any remedy available to Deutsche Bank Trust Company Americas; and</w:t>
      </w:r>
    </w:p>
    <w:p>
      <w:pPr>
        <w:spacing w:after="0" w:line="83"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exercising any trust or power conferred on Deutsche Bank Trust Company Americas relating to or arising as a result of an event of default.</w:t>
      </w:r>
    </w:p>
    <w:p>
      <w:pPr>
        <w:spacing w:after="0" w:line="227" w:lineRule="exact"/>
        <w:rPr>
          <w:sz w:val="20"/>
          <w:szCs w:val="20"/>
          <w:color w:val="auto"/>
        </w:rPr>
      </w:pPr>
    </w:p>
    <w:p>
      <w:pPr>
        <w:spacing w:after="0"/>
        <w:rPr>
          <w:sz w:val="20"/>
          <w:szCs w:val="20"/>
          <w:color w:val="auto"/>
        </w:rPr>
      </w:pPr>
      <w:r>
        <w:rPr>
          <w:rFonts w:ascii="Arial" w:cs="Arial" w:eastAsia="Arial" w:hAnsi="Arial"/>
          <w:sz w:val="10"/>
          <w:szCs w:val="10"/>
          <w:color w:val="auto"/>
        </w:rPr>
        <w:t>The 2006 Indenture requires the Company and Shell Finance to file each year with Deutsche Bank Trust Company Americas a written statement as to their compliance with the covenants contained in the indenture.</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Modification and Waiver</w:t>
      </w:r>
    </w:p>
    <w:p>
      <w:pPr>
        <w:spacing w:after="0" w:line="155" w:lineRule="exact"/>
        <w:rPr>
          <w:sz w:val="20"/>
          <w:szCs w:val="20"/>
          <w:color w:val="auto"/>
        </w:rPr>
      </w:pPr>
    </w:p>
    <w:p>
      <w:pPr>
        <w:spacing w:after="0"/>
        <w:rPr>
          <w:sz w:val="20"/>
          <w:szCs w:val="20"/>
          <w:color w:val="auto"/>
        </w:rPr>
      </w:pPr>
      <w:r>
        <w:rPr>
          <w:rFonts w:ascii="Arial" w:cs="Arial" w:eastAsia="Arial" w:hAnsi="Arial"/>
          <w:sz w:val="8"/>
          <w:szCs w:val="8"/>
          <w:color w:val="auto"/>
        </w:rPr>
        <w:t>The 2006 Indenture may be amended or supplemented if the holders of a majority in principal amount of the outstanding Senior Debt Securities of all series issued that are affected by the amendment or supplement (acting as one class) consent to it. Without the consent of the holder of each</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Senior Debt Security affected, however, no modification may:</w:t>
      </w:r>
    </w:p>
    <w:p>
      <w:pPr>
        <w:spacing w:after="0" w:line="185"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reduce the amount of Senior Debt Securities whose holders must consent to an amendment, supplement or waiver;</w:t>
      </w:r>
    </w:p>
    <w:p>
      <w:pPr>
        <w:spacing w:after="0" w:line="83"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reduce the rate of or change the time for payment of interest on the Senior Debt Security;</w:t>
      </w:r>
    </w:p>
    <w:p>
      <w:pPr>
        <w:spacing w:after="0" w:line="92"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reduce the principal of the Senior Debt Security or change its stated maturity;</w:t>
      </w:r>
    </w:p>
    <w:p>
      <w:pPr>
        <w:spacing w:after="0" w:line="92" w:lineRule="exact"/>
        <w:rPr>
          <w:sz w:val="20"/>
          <w:szCs w:val="20"/>
          <w:color w:val="auto"/>
        </w:rPr>
      </w:pPr>
    </w:p>
    <w:p>
      <w:pPr>
        <w:ind w:left="1340" w:right="3860"/>
        <w:spacing w:after="0" w:line="422" w:lineRule="auto"/>
        <w:rPr>
          <w:sz w:val="20"/>
          <w:szCs w:val="20"/>
          <w:color w:val="auto"/>
        </w:rPr>
      </w:pPr>
      <w:r>
        <w:rPr>
          <w:rFonts w:ascii="Arial" w:cs="Arial" w:eastAsia="Arial" w:hAnsi="Arial"/>
          <w:sz w:val="10"/>
          <w:szCs w:val="10"/>
          <w:color w:val="auto"/>
        </w:rPr>
        <w:t>reduce any premium payable on the redemption of the Senior Debt Security or change the time at which the Senior Debt Security may or must be redeemed; change any obligation to pay additional amounts on the Senior Debt Security;</w:t>
      </w:r>
    </w:p>
    <w:p>
      <w:pPr>
        <w:spacing w:after="0" w:line="1" w:lineRule="exact"/>
        <w:rPr>
          <w:sz w:val="20"/>
          <w:szCs w:val="20"/>
          <w:color w:val="auto"/>
        </w:rPr>
      </w:pPr>
    </w:p>
    <w:p>
      <w:pPr>
        <w:ind w:left="1340" w:right="2420"/>
        <w:spacing w:after="0" w:line="422" w:lineRule="auto"/>
        <w:rPr>
          <w:sz w:val="20"/>
          <w:szCs w:val="20"/>
          <w:color w:val="auto"/>
        </w:rPr>
      </w:pPr>
      <w:r>
        <w:rPr>
          <w:rFonts w:ascii="Arial" w:cs="Arial" w:eastAsia="Arial" w:hAnsi="Arial"/>
          <w:sz w:val="10"/>
          <w:szCs w:val="10"/>
          <w:color w:val="auto"/>
        </w:rPr>
        <w:t>make payments on or with respect to the Senior Debt Security payable in currency other than as originally stated in the Senior Debt Security, except as permitted under “Redenomination” below; impair the holder’s right to institute suit for the enforcement of any payment on or with respect to the Senior Debt Security;</w:t>
      </w:r>
    </w:p>
    <w:p>
      <w:pPr>
        <w:spacing w:after="0" w:line="1" w:lineRule="exact"/>
        <w:rPr>
          <w:sz w:val="20"/>
          <w:szCs w:val="20"/>
          <w:color w:val="auto"/>
        </w:rPr>
      </w:pPr>
    </w:p>
    <w:p>
      <w:pPr>
        <w:ind w:left="1340" w:right="1340"/>
        <w:spacing w:after="0" w:line="528" w:lineRule="auto"/>
        <w:rPr>
          <w:sz w:val="20"/>
          <w:szCs w:val="20"/>
          <w:color w:val="auto"/>
        </w:rPr>
      </w:pPr>
      <w:r>
        <w:rPr>
          <w:rFonts w:ascii="Arial" w:cs="Arial" w:eastAsia="Arial" w:hAnsi="Arial"/>
          <w:sz w:val="8"/>
          <w:szCs w:val="8"/>
          <w:color w:val="auto"/>
        </w:rPr>
        <w:t>make any change in the percentage of principal amount of Senior Debt Securities necessary to waive compliance with certain provisions of the 2006 Indenture or to make any change in the provision related to modification; modify the provisions relating to the subordination of any of the Senior Debt Securities in a manner adverse to the rights of holder of that security in any material respect; or</w:t>
      </w:r>
    </w:p>
    <w:p>
      <w:pPr>
        <w:ind w:left="1340"/>
        <w:spacing w:after="0"/>
        <w:rPr>
          <w:sz w:val="20"/>
          <w:szCs w:val="20"/>
          <w:color w:val="auto"/>
        </w:rPr>
      </w:pPr>
      <w:r>
        <w:rPr>
          <w:rFonts w:ascii="Arial" w:cs="Arial" w:eastAsia="Arial" w:hAnsi="Arial"/>
          <w:sz w:val="10"/>
          <w:szCs w:val="10"/>
          <w:color w:val="auto"/>
        </w:rPr>
        <w:t>waive a continuing default or event of default regarding any payment on or with respect to the Senior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0"/>
          <w:szCs w:val="10"/>
          <w:color w:val="auto"/>
        </w:rPr>
        <w:t>Any provision of the 2006 Indenture may be amended without the consent of any holders of Senior Debt Securities in certain circumstances, including:</w:t>
      </w:r>
    </w:p>
    <w:p>
      <w:pPr>
        <w:spacing w:after="0" w:line="191"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to cure any ambiguity, omission, defect or inconsistency;</w:t>
      </w: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75"/>
        </w:trPr>
        <w:tc>
          <w:tcPr>
            <w:tcW w:w="352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100" w:type="dxa"/>
            <w:vAlign w:val="bottom"/>
          </w:tcPr>
          <w:p>
            <w:pPr>
              <w:jc w:val="right"/>
              <w:spacing w:after="0"/>
              <w:rPr>
                <w:sz w:val="20"/>
                <w:szCs w:val="20"/>
                <w:color w:val="auto"/>
              </w:rPr>
            </w:pPr>
            <w:r>
              <w:rPr>
                <w:rFonts w:ascii="Arial" w:cs="Arial" w:eastAsia="Arial" w:hAnsi="Arial"/>
                <w:sz w:val="6"/>
                <w:szCs w:val="6"/>
                <w:color w:val="auto"/>
              </w:rPr>
              <w:t>9</w:t>
            </w:r>
          </w:p>
        </w:tc>
      </w:tr>
    </w:tbl>
    <w:p>
      <w:pPr>
        <w:sectPr>
          <w:pgSz w:w="11900" w:h="16838" w:orient="portrait"/>
          <w:cols w:equalWidth="0" w:num="1">
            <w:col w:w="11200"/>
          </w:cols>
          <w:pgMar w:left="300" w:top="640" w:right="399" w:bottom="1440" w:gutter="0" w:footer="0" w:header="0"/>
        </w:sectPr>
      </w:pPr>
    </w:p>
    <w:bookmarkStart w:id="285" w:name="page286"/>
    <w:bookmarkEnd w:id="285"/>
    <w:p>
      <w:pPr>
        <w:ind w:left="1340" w:right="560"/>
        <w:spacing w:after="0" w:line="220" w:lineRule="auto"/>
        <w:rPr>
          <w:sz w:val="20"/>
          <w:szCs w:val="20"/>
          <w:color w:val="auto"/>
        </w:rPr>
      </w:pPr>
      <w:r>
        <w:rPr>
          <w:rFonts w:ascii="Arial" w:cs="Arial" w:eastAsia="Arial" w:hAnsi="Arial"/>
          <w:sz w:val="10"/>
          <w:szCs w:val="10"/>
          <w:color w:val="auto"/>
        </w:rPr>
        <w:t>to comply with the sections of the 2006 Indenture governing when the Company or Shell Finance may merge (or consummate a similar transaction), transfer their assets or substitute obligors, including any assumption of the obligations of Shell Finance under any series of Senior Debt Securities by the Company or any other subsidiary of the Company or any Voluntary Assumption;</w:t>
      </w:r>
    </w:p>
    <w:p>
      <w:pPr>
        <w:spacing w:after="0" w:line="77" w:lineRule="exact"/>
        <w:rPr>
          <w:sz w:val="20"/>
          <w:szCs w:val="20"/>
          <w:color w:val="auto"/>
        </w:rPr>
      </w:pPr>
    </w:p>
    <w:p>
      <w:pPr>
        <w:ind w:left="1340" w:right="520"/>
        <w:spacing w:after="0" w:line="311" w:lineRule="auto"/>
        <w:rPr>
          <w:sz w:val="20"/>
          <w:szCs w:val="20"/>
          <w:color w:val="auto"/>
        </w:rPr>
      </w:pPr>
      <w:r>
        <w:rPr>
          <w:rFonts w:ascii="Arial" w:cs="Arial" w:eastAsia="Arial" w:hAnsi="Arial"/>
          <w:sz w:val="8"/>
          <w:szCs w:val="8"/>
          <w:color w:val="auto"/>
        </w:rPr>
        <w:t>to provide for uncertificated Senior Debt Securities in addition to or in place of certificated Senior Debt Securities; provided, however, that the uncertificated Senior Debt Securities are issued in a registered form for purposes of Section 163(f) of the Internal Revenue Code of 1986, as amended (the “Code”) or in such a manner that such uncertificated Senior Debt Securities are described in Section 163(f)(2)(B) of the Code;</w:t>
      </w:r>
    </w:p>
    <w:p>
      <w:pPr>
        <w:spacing w:after="0" w:line="59"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to provide any security for, any guarantees of or any additional obligors on any series of Senior Debt Securities or the related guarantees;</w:t>
      </w:r>
    </w:p>
    <w:p>
      <w:pPr>
        <w:spacing w:after="0" w:line="92"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to comply with any requirement to effect or maintain the qualification of the 2006 Indenture under the Trust Indenture Act of 1939, as amended;</w:t>
      </w:r>
    </w:p>
    <w:p>
      <w:pPr>
        <w:spacing w:after="0" w:line="83"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to add covenants that would benefit the holders of any Senior Debt Securities or to surrender any rights the Company or Shell Finance have under the 2006 Indenture;</w:t>
      </w:r>
    </w:p>
    <w:p>
      <w:pPr>
        <w:spacing w:after="0" w:line="92"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to add events of default with respect to any Senior Debt Securities;</w:t>
      </w:r>
    </w:p>
    <w:p>
      <w:pPr>
        <w:spacing w:after="0" w:line="92"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to establish the form or terms of securities of any series as permitted by the 2006 Indenture;</w:t>
      </w:r>
    </w:p>
    <w:p>
      <w:pPr>
        <w:spacing w:after="0" w:line="83" w:lineRule="exact"/>
        <w:rPr>
          <w:sz w:val="20"/>
          <w:szCs w:val="20"/>
          <w:color w:val="auto"/>
        </w:rPr>
      </w:pPr>
    </w:p>
    <w:p>
      <w:pPr>
        <w:ind w:left="1340" w:right="580"/>
        <w:spacing w:after="0" w:line="220" w:lineRule="auto"/>
        <w:rPr>
          <w:sz w:val="20"/>
          <w:szCs w:val="20"/>
          <w:color w:val="auto"/>
        </w:rPr>
      </w:pPr>
      <w:r>
        <w:rPr>
          <w:rFonts w:ascii="Arial" w:cs="Arial" w:eastAsia="Arial" w:hAnsi="Arial"/>
          <w:sz w:val="10"/>
          <w:szCs w:val="10"/>
          <w:color w:val="auto"/>
        </w:rPr>
        <w:t>to supplement any of the provisions of the 2006 Indenture to such extent as shall be necessary to permit or facilitate the defeasance and discharge of any series of securities pursuant to the indenture; provided, however, that any such action shall not adversely affect the interest of the holders of securities of such series or any other series of securities in any material respect;</w:t>
      </w:r>
    </w:p>
    <w:p>
      <w:pPr>
        <w:spacing w:after="0" w:line="86" w:lineRule="exact"/>
        <w:rPr>
          <w:sz w:val="20"/>
          <w:szCs w:val="20"/>
          <w:color w:val="auto"/>
        </w:rPr>
      </w:pPr>
    </w:p>
    <w:p>
      <w:pPr>
        <w:ind w:left="1340" w:right="1940"/>
        <w:spacing w:after="0" w:line="616" w:lineRule="auto"/>
        <w:rPr>
          <w:sz w:val="20"/>
          <w:szCs w:val="20"/>
          <w:color w:val="auto"/>
        </w:rPr>
      </w:pPr>
      <w:r>
        <w:rPr>
          <w:rFonts w:ascii="Arial" w:cs="Arial" w:eastAsia="Arial" w:hAnsi="Arial"/>
          <w:sz w:val="8"/>
          <w:szCs w:val="8"/>
          <w:color w:val="auto"/>
        </w:rPr>
        <w:t>to provide for the appointment of a successor trustee with respect of the securities of one or more series or to provide for the administration of the trusts under the 2006 Indenture by more than one trustee; and to make any change that does not adversely affect the rights of holders of any outstanding Senior Debt Securities of any series issued under that indenture.</w:t>
      </w:r>
    </w:p>
    <w:p>
      <w:pPr>
        <w:spacing w:after="0" w:line="68" w:lineRule="exact"/>
        <w:rPr>
          <w:sz w:val="20"/>
          <w:szCs w:val="20"/>
          <w:color w:val="auto"/>
        </w:rPr>
      </w:pPr>
    </w:p>
    <w:p>
      <w:pPr>
        <w:ind w:right="20"/>
        <w:spacing w:after="0" w:line="358" w:lineRule="auto"/>
        <w:rPr>
          <w:sz w:val="20"/>
          <w:szCs w:val="20"/>
          <w:color w:val="auto"/>
        </w:rPr>
      </w:pPr>
      <w:r>
        <w:rPr>
          <w:rFonts w:ascii="Arial" w:cs="Arial" w:eastAsia="Arial" w:hAnsi="Arial"/>
          <w:sz w:val="8"/>
          <w:szCs w:val="8"/>
          <w:color w:val="auto"/>
        </w:rPr>
        <w:t>The holders of a majority in principal amount of the outstanding Senior Debt Securities of any series (or, in some cases, of all Senior Debt Securities issued under the 2006 Indenture that are affected, voting as one class) may waive any existing or past default or event of default with respect to those Senior Debt Securities. Those holders may not, however, waive any default or event of default in any payment on any Senior Debt Security or compliance with a provision that cannot be amended or supplemented without the consent of each holder affected.</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Defeasance</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0"/>
          <w:szCs w:val="10"/>
          <w:color w:val="auto"/>
        </w:rPr>
        <w:t>If any combination of funds or government securities are deposited with the trustee under an indenture sufficient, in the opinion of an independent firm of certified public accountants, to make payments on the Senior Debt Securities of a series issued under the 2006 Indenture on the dates those payments are due and payable, then, at the option of the Company or Shell Finance, as applicable, either of the following will occur:</w:t>
      </w:r>
    </w:p>
    <w:p>
      <w:pPr>
        <w:spacing w:after="0" w:line="185"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The Company and Shell Finance will be discharged from its or their obligations with respect to the Senior Debt Securities of that series and, if applicable, the related guarantees (“legal defeasance”); or</w:t>
      </w:r>
    </w:p>
    <w:p>
      <w:pPr>
        <w:spacing w:after="0" w:line="92" w:lineRule="exact"/>
        <w:rPr>
          <w:sz w:val="20"/>
          <w:szCs w:val="20"/>
          <w:color w:val="auto"/>
        </w:rPr>
      </w:pPr>
    </w:p>
    <w:p>
      <w:pPr>
        <w:ind w:left="1340"/>
        <w:spacing w:after="0"/>
        <w:rPr>
          <w:sz w:val="20"/>
          <w:szCs w:val="20"/>
          <w:color w:val="auto"/>
        </w:rPr>
      </w:pPr>
      <w:r>
        <w:rPr>
          <w:rFonts w:ascii="Arial" w:cs="Arial" w:eastAsia="Arial" w:hAnsi="Arial"/>
          <w:sz w:val="8"/>
          <w:szCs w:val="8"/>
          <w:color w:val="auto"/>
        </w:rPr>
        <w:t>The Company and Shell Finance will no longer have any obligation to comply with the merger covenant and other specified covenants under the 2006 Indenture, and the related events of default will no longer apply (“covenant defeasance”).</w:t>
      </w:r>
    </w:p>
    <w:p>
      <w:pPr>
        <w:spacing w:after="0" w:line="241" w:lineRule="exact"/>
        <w:rPr>
          <w:sz w:val="20"/>
          <w:szCs w:val="20"/>
          <w:color w:val="auto"/>
        </w:rPr>
      </w:pPr>
    </w:p>
    <w:p>
      <w:pPr>
        <w:ind w:right="80"/>
        <w:spacing w:after="0" w:line="234" w:lineRule="auto"/>
        <w:rPr>
          <w:sz w:val="20"/>
          <w:szCs w:val="20"/>
          <w:color w:val="auto"/>
        </w:rPr>
      </w:pPr>
      <w:r>
        <w:rPr>
          <w:rFonts w:ascii="Arial" w:cs="Arial" w:eastAsia="Arial" w:hAnsi="Arial"/>
          <w:sz w:val="10"/>
          <w:szCs w:val="10"/>
          <w:color w:val="auto"/>
        </w:rPr>
        <w:t>If a series of Senior Debt Securities is defeased, the holders of the Senior Debt Securities of the series affected will not be entitled to the benefits of the 2006 Indenture, except for obligations to register the transfer or exchange of Senior Debt Securities, replace stolen, lost or mutilated Senior Debt Securities or maintain paying agencies and hold moneys for payment in trust. In the case of covenant defeasance, the obligation of the Company or Shell Finance to pay principal, premium and interest on the Senior Debt Securities and, if applicable, the Company guarantees of the payments will also survive.</w:t>
      </w:r>
    </w:p>
    <w:p>
      <w:pPr>
        <w:spacing w:after="0" w:line="150" w:lineRule="exact"/>
        <w:rPr>
          <w:sz w:val="20"/>
          <w:szCs w:val="20"/>
          <w:color w:val="auto"/>
        </w:rPr>
      </w:pPr>
    </w:p>
    <w:p>
      <w:pPr>
        <w:ind w:right="220"/>
        <w:spacing w:after="0" w:line="358" w:lineRule="auto"/>
        <w:rPr>
          <w:sz w:val="20"/>
          <w:szCs w:val="20"/>
          <w:color w:val="auto"/>
        </w:rPr>
      </w:pPr>
      <w:r>
        <w:rPr>
          <w:rFonts w:ascii="Arial" w:cs="Arial" w:eastAsia="Arial" w:hAnsi="Arial"/>
          <w:sz w:val="8"/>
          <w:szCs w:val="8"/>
          <w:color w:val="auto"/>
        </w:rPr>
        <w:t>Unless such defeasance occurs within one year of when the securities would be due and payable or called for redemption, we will be required to deliver to the trustee an opinion of counsel that the deposit and related defeasance would not cause the holders of the Senior Debt Securities to recognize income, gain or loss for U.S. federal income tax purposes. If we elect legal defeasance, that opinion of counsel must be based upon a ruling from the U.S. Internal Revenue Service or a change in law to that effect.</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Substitution of Shell Finance as Issuer</w:t>
      </w:r>
    </w:p>
    <w:p>
      <w:pPr>
        <w:spacing w:after="0" w:line="155" w:lineRule="exact"/>
        <w:rPr>
          <w:sz w:val="20"/>
          <w:szCs w:val="20"/>
          <w:color w:val="auto"/>
        </w:rPr>
      </w:pPr>
    </w:p>
    <w:p>
      <w:pPr>
        <w:ind w:right="300"/>
        <w:spacing w:after="0" w:line="234" w:lineRule="auto"/>
        <w:rPr>
          <w:sz w:val="20"/>
          <w:szCs w:val="20"/>
          <w:color w:val="auto"/>
        </w:rPr>
      </w:pPr>
      <w:r>
        <w:rPr>
          <w:rFonts w:ascii="Arial" w:cs="Arial" w:eastAsia="Arial" w:hAnsi="Arial"/>
          <w:sz w:val="10"/>
          <w:szCs w:val="10"/>
          <w:color w:val="auto"/>
        </w:rPr>
        <w:t>We may at our option at any time, without the consent of any holders of Senior Debt Securities, cause the Company or any other subsidiary of the Company to assume the obligations of Shell Finance under any series of Senior Debt Securities, provided that the new obligor executes a supplemental indenture in which it agrees to be bound by the terms of those Senior Debt Securities and the relevant indenture. To the extent that the Company is not itself the new obligor, its guarantee shall remain in place after the substitution unless another entity assumes the role of a guarantor in respect of the Senior Debt Securities of Shell Finance following a Voluntary Assumption.</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Form, Exchange, Registration and Transfer</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There will be no service charge for any registration of transfer or exchange of the Senior Debt Securities. However, payment of any transfer tax or similar governmental charge payable for that registration may be required.</w:t>
      </w:r>
    </w:p>
    <w:p>
      <w:pPr>
        <w:spacing w:after="0" w:line="155" w:lineRule="exact"/>
        <w:rPr>
          <w:sz w:val="20"/>
          <w:szCs w:val="20"/>
          <w:color w:val="auto"/>
        </w:rPr>
      </w:pPr>
    </w:p>
    <w:p>
      <w:pPr>
        <w:ind w:right="60"/>
        <w:spacing w:after="0" w:line="239" w:lineRule="auto"/>
        <w:rPr>
          <w:sz w:val="20"/>
          <w:szCs w:val="20"/>
          <w:color w:val="auto"/>
        </w:rPr>
      </w:pPr>
      <w:r>
        <w:rPr>
          <w:rFonts w:ascii="Arial" w:cs="Arial" w:eastAsia="Arial" w:hAnsi="Arial"/>
          <w:sz w:val="10"/>
          <w:szCs w:val="10"/>
          <w:color w:val="auto"/>
        </w:rPr>
        <w:t>The Senior Debt Securities of any series are exchangeable for other Senior Debt Securities of the same series, the same total principal amount and the same terms but in different authorized denominations in accordance with the 2006 Indenture. Holders may present Senior Debt Securities for registration of transfer</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75"/>
        </w:trPr>
        <w:tc>
          <w:tcPr>
            <w:tcW w:w="352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120" w:type="dxa"/>
            <w:vAlign w:val="bottom"/>
          </w:tcPr>
          <w:p>
            <w:pPr>
              <w:jc w:val="right"/>
              <w:spacing w:after="0"/>
              <w:rPr>
                <w:sz w:val="20"/>
                <w:szCs w:val="20"/>
                <w:color w:val="auto"/>
              </w:rPr>
            </w:pPr>
            <w:r>
              <w:rPr>
                <w:rFonts w:ascii="Arial" w:cs="Arial" w:eastAsia="Arial" w:hAnsi="Arial"/>
                <w:sz w:val="6"/>
                <w:szCs w:val="6"/>
                <w:color w:val="auto"/>
              </w:rPr>
              <w:t>10</w:t>
            </w:r>
          </w:p>
        </w:tc>
      </w:tr>
    </w:tbl>
    <w:p>
      <w:pPr>
        <w:sectPr>
          <w:pgSz w:w="11900" w:h="16838" w:orient="portrait"/>
          <w:cols w:equalWidth="0" w:num="1">
            <w:col w:w="11240"/>
          </w:cols>
          <w:pgMar w:left="300" w:top="730" w:right="359" w:bottom="1440" w:gutter="0" w:footer="0" w:header="0"/>
        </w:sectPr>
      </w:pPr>
    </w:p>
    <w:bookmarkStart w:id="286" w:name="page287"/>
    <w:bookmarkEnd w:id="286"/>
    <w:p>
      <w:pPr>
        <w:ind w:right="160"/>
        <w:spacing w:after="0" w:line="243" w:lineRule="auto"/>
        <w:rPr>
          <w:sz w:val="20"/>
          <w:szCs w:val="20"/>
          <w:color w:val="auto"/>
        </w:rPr>
      </w:pPr>
      <w:r>
        <w:rPr>
          <w:rFonts w:ascii="Arial" w:cs="Arial" w:eastAsia="Arial" w:hAnsi="Arial"/>
          <w:sz w:val="10"/>
          <w:szCs w:val="10"/>
          <w:color w:val="auto"/>
        </w:rPr>
        <w:t>at the office of the Deutsche Bank Trust Company Americas</w:t>
      </w:r>
      <w:r>
        <w:rPr>
          <w:rFonts w:ascii="Arial" w:cs="Arial" w:eastAsia="Arial" w:hAnsi="Arial"/>
          <w:sz w:val="10"/>
          <w:szCs w:val="10"/>
          <w:b w:val="1"/>
          <w:bCs w:val="1"/>
          <w:color w:val="auto"/>
        </w:rPr>
        <w:t>,</w:t>
      </w:r>
      <w:r>
        <w:rPr>
          <w:rFonts w:ascii="Arial" w:cs="Arial" w:eastAsia="Arial" w:hAnsi="Arial"/>
          <w:sz w:val="10"/>
          <w:szCs w:val="10"/>
          <w:color w:val="auto"/>
        </w:rPr>
        <w:t xml:space="preserve"> or any transfer agent the Company or Shell Finance, as applicable, designates. Deutsche Bank Trust Company Americas or the transfer agent will effect the transfer or exchange if its requirements and the requirements of the 2006 Indenture are met.</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Redemption</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0"/>
          <w:szCs w:val="10"/>
          <w:b w:val="1"/>
          <w:bCs w:val="1"/>
          <w:i w:val="1"/>
          <w:iCs w:val="1"/>
          <w:color w:val="auto"/>
        </w:rPr>
        <w:t>Optional Redemption</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9"/>
          <w:szCs w:val="9"/>
          <w:color w:val="auto"/>
        </w:rPr>
        <w:t>Each series of Senior Debt Securities is redeemable in whole or in part, at the option of Shell Finance at any time or from time to time (or, in the case of the 2023 and 2028 notes, prior to the applicable Par Call Date)</w:t>
      </w:r>
      <w:r>
        <w:rPr>
          <w:rFonts w:ascii="Arial" w:cs="Arial" w:eastAsia="Arial" w:hAnsi="Arial"/>
          <w:sz w:val="11"/>
          <w:szCs w:val="11"/>
          <w:color w:val="auto"/>
          <w:vertAlign w:val="superscript"/>
        </w:rPr>
        <w:t>1</w:t>
      </w:r>
      <w:r>
        <w:rPr>
          <w:rFonts w:ascii="Arial" w:cs="Arial" w:eastAsia="Arial" w:hAnsi="Arial"/>
          <w:sz w:val="9"/>
          <w:szCs w:val="9"/>
          <w:color w:val="auto"/>
        </w:rPr>
        <w:t>, at a redemption price equal to the greater of (i) 100% of the principal amount of the series notes being redeemed and (ii) the sum of the present values of the remaining scheduled payments of principal and interest thereon (exclusive of interest accrued and unpaid to the date of redemption) discounted to the redemption date on a semiannual basis (assuming a 360-day year consisting of twelve 30-day months) at the Treasury Rate plus a specified premium for each series of Senior Debt Securities, plus accrued and unpaid interest thereon to the date of redemption.</w:t>
      </w:r>
    </w:p>
    <w:p>
      <w:pPr>
        <w:spacing w:after="0" w:line="146" w:lineRule="exact"/>
        <w:rPr>
          <w:sz w:val="20"/>
          <w:szCs w:val="20"/>
          <w:color w:val="auto"/>
        </w:rPr>
      </w:pPr>
    </w:p>
    <w:p>
      <w:pPr>
        <w:ind w:right="40"/>
        <w:spacing w:after="0" w:line="239" w:lineRule="auto"/>
        <w:rPr>
          <w:sz w:val="20"/>
          <w:szCs w:val="20"/>
          <w:color w:val="auto"/>
        </w:rPr>
      </w:pPr>
      <w:r>
        <w:rPr>
          <w:rFonts w:ascii="Arial" w:cs="Arial" w:eastAsia="Arial" w:hAnsi="Arial"/>
          <w:sz w:val="10"/>
          <w:szCs w:val="10"/>
          <w:color w:val="auto"/>
        </w:rPr>
        <w:t>In the case of the 2023 and 2028 notes, on or after the applicable Par Call Date, each series note will be redeemable in whole or in part, at the option of Shell Finance at any time or from time to time at a redemption price equal to 100% of the principal amount of the series note being redeemed, plus accrued and unpaid interest thereon to the date of redemption.</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color w:val="auto"/>
        </w:rPr>
        <w:t>Notice of any redemption will be mailed at least 30 days but not more than 60 days before the redemption date to each holder of notes to be redeemed.</w:t>
      </w:r>
    </w:p>
    <w:p>
      <w:pPr>
        <w:spacing w:after="0" w:line="155" w:lineRule="exact"/>
        <w:rPr>
          <w:sz w:val="20"/>
          <w:szCs w:val="20"/>
          <w:color w:val="auto"/>
        </w:rPr>
      </w:pPr>
    </w:p>
    <w:p>
      <w:pPr>
        <w:spacing w:after="0"/>
        <w:rPr>
          <w:sz w:val="20"/>
          <w:szCs w:val="20"/>
          <w:color w:val="auto"/>
        </w:rPr>
      </w:pPr>
      <w:r>
        <w:rPr>
          <w:rFonts w:ascii="Arial" w:cs="Arial" w:eastAsia="Arial" w:hAnsi="Arial"/>
          <w:sz w:val="8"/>
          <w:szCs w:val="8"/>
          <w:color w:val="auto"/>
        </w:rPr>
        <w:t>Unless Shell Finance defaults in payment of the redemption price, and the Company defaults in payment under its guarantee of the notes, on and after the applicable redemption date, interest will cease to accrue on the notes or portions thereof called for redemption.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0"/>
          <w:szCs w:val="10"/>
          <w:b w:val="1"/>
          <w:bCs w:val="1"/>
          <w:i w:val="1"/>
          <w:iCs w:val="1"/>
          <w:color w:val="auto"/>
        </w:rPr>
        <w:t>Optional Tax Redemption.</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Company may have the option to redeem the Senior Debt Securities in the two situations described below.</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first situation is where, as a result of a change in, execution of or amendment to any laws or treaties or the official application or interpretation of any laws or treaties, either:</w:t>
      </w:r>
    </w:p>
    <w:p>
      <w:pPr>
        <w:spacing w:after="0" w:line="191"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The Company or Shell Finance are required to pay additional amounts as described later under “Payment of Additional Amounts”; or</w:t>
      </w:r>
    </w:p>
    <w:p>
      <w:pPr>
        <w:spacing w:after="0" w:line="83"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The Company or any of its subsidiaries would have to deduct or withhold tax on any payment to any of the issuers to enable them to make a payment of principal or interest on a Senior Debt Security.</w:t>
      </w:r>
    </w:p>
    <w:p>
      <w:pPr>
        <w:spacing w:after="0" w:line="227" w:lineRule="exact"/>
        <w:rPr>
          <w:sz w:val="20"/>
          <w:szCs w:val="20"/>
          <w:color w:val="auto"/>
        </w:rPr>
      </w:pPr>
    </w:p>
    <w:p>
      <w:pPr>
        <w:ind w:right="60"/>
        <w:spacing w:after="0" w:line="358" w:lineRule="auto"/>
        <w:rPr>
          <w:sz w:val="20"/>
          <w:szCs w:val="20"/>
          <w:color w:val="auto"/>
        </w:rPr>
      </w:pPr>
      <w:r>
        <w:rPr>
          <w:rFonts w:ascii="Arial" w:cs="Arial" w:eastAsia="Arial" w:hAnsi="Arial"/>
          <w:sz w:val="8"/>
          <w:szCs w:val="8"/>
          <w:color w:val="auto"/>
        </w:rPr>
        <w:t>In this case, the Company and Shell Finance can call all, but not less than all, of each individual series of Senior Debt Securities for redemption and early payment. Holders have no right to require the Company and Shell Finance to call any individual series of Senior Debt Securities. If a series of Senior Debt Securities is called, the Company and Shell Finance must pay 100% of the principal amount, any accrued interest, and any additional amounts, if an interest payment through the redemption has not been paid.</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Notice of any redemption will be mailed at least 15 days but not more than 60 days before the redemption date to each holder of notes to be redeemed.</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This call right applies only in the case of changes, executions or amendments that occur on or after the date specified in the prospectus supplement for the applicable series of Senior Debt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Company and Shell Finance do not have the option to redeem if the payment of additional amounts or the deduction or withholding can be avoided by using reasonable measures available.</w:t>
      </w:r>
    </w:p>
    <w:p>
      <w:pPr>
        <w:spacing w:after="0" w:line="155" w:lineRule="exact"/>
        <w:rPr>
          <w:sz w:val="20"/>
          <w:szCs w:val="20"/>
          <w:color w:val="auto"/>
        </w:rPr>
      </w:pPr>
    </w:p>
    <w:p>
      <w:pPr>
        <w:ind w:right="60"/>
        <w:spacing w:after="0" w:line="232" w:lineRule="auto"/>
        <w:rPr>
          <w:sz w:val="20"/>
          <w:szCs w:val="20"/>
          <w:color w:val="auto"/>
        </w:rPr>
      </w:pPr>
      <w:r>
        <w:rPr>
          <w:rFonts w:ascii="Arial" w:cs="Arial" w:eastAsia="Arial" w:hAnsi="Arial"/>
          <w:sz w:val="10"/>
          <w:szCs w:val="10"/>
          <w:color w:val="auto"/>
        </w:rPr>
        <w:t>The second situation is where a person assumes the obligations of the Company or Shell Finance, as described above under “Consolidation, Merger, Sale of Assets, Assumptions” and “Substitution of Shell Finance as Issuer” and is required to pay additional amounts. The Company and Shell Finance have the option to redeem the Senior Debt Securities even if required to pay additional amounts immediately after such assumption (except in the case of a Voluntary Assumption). Additionally, the Company and Shell Finance are not required to use reasonable measures to avoid the obligation to pay additional amounts in this situation. However, the Company and Shell Finance has the option to redeem the securities in the circumstances described above only if a change in, execution of or amendment to any laws or treaties or official application of any law or treaty occurs after such assumption.</w:t>
      </w:r>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Payment of Additional Amounts</w:t>
      </w:r>
    </w:p>
    <w:p>
      <w:pPr>
        <w:spacing w:after="0" w:line="155" w:lineRule="exact"/>
        <w:rPr>
          <w:sz w:val="20"/>
          <w:szCs w:val="20"/>
          <w:color w:val="auto"/>
        </w:rPr>
      </w:pPr>
    </w:p>
    <w:p>
      <w:pPr>
        <w:ind w:right="40"/>
        <w:spacing w:after="0" w:line="234" w:lineRule="auto"/>
        <w:rPr>
          <w:sz w:val="20"/>
          <w:szCs w:val="20"/>
          <w:color w:val="auto"/>
        </w:rPr>
      </w:pPr>
      <w:r>
        <w:rPr>
          <w:rFonts w:ascii="Arial" w:cs="Arial" w:eastAsia="Arial" w:hAnsi="Arial"/>
          <w:sz w:val="10"/>
          <w:szCs w:val="10"/>
          <w:color w:val="auto"/>
        </w:rPr>
        <w:t>The government of any jurisdiction where the Company or Shell Finance is resident may require the Company or Shell Finance to withhold amounts from payments on the principal or interest on the notes or any amounts to be paid under the guarantee, as the case may be, for taxes or any other governmental charges. If a withholding of this type is required, the Company or Shell Finance, as the case may be, may be required to pay a holder an additional amount so that the net amount received will be the amount specified in the note to which the holder is entitled. This also applies to any taxes or governmental charges imposed by any jurisdiction in which a successor to the Company or Shell Finance is resident.</w:t>
      </w:r>
    </w:p>
    <w:p>
      <w:pPr>
        <w:spacing w:after="0" w:line="150" w:lineRule="exact"/>
        <w:rPr>
          <w:sz w:val="20"/>
          <w:szCs w:val="20"/>
          <w:color w:val="auto"/>
        </w:rPr>
      </w:pPr>
    </w:p>
    <w:p>
      <w:pPr>
        <w:spacing w:after="0"/>
        <w:rPr>
          <w:sz w:val="20"/>
          <w:szCs w:val="20"/>
          <w:color w:val="auto"/>
        </w:rPr>
      </w:pPr>
      <w:r>
        <w:rPr>
          <w:rFonts w:ascii="Arial" w:cs="Arial" w:eastAsia="Arial" w:hAnsi="Arial"/>
          <w:sz w:val="8"/>
          <w:szCs w:val="8"/>
          <w:color w:val="auto"/>
        </w:rPr>
        <w:t>In order for a holder to be entitled to receive the additional amount, the holder must not be resident in the jurisdiction that requires the withholding or deduction. The Company or Shell Finance will not have to pay additional amounts under certain circumstances described in the 2006 Indenture.</w:t>
      </w:r>
    </w:p>
    <w:p>
      <w:pPr>
        <w:spacing w:after="0" w:line="17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Redenomination</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The Company or Shell Finance, as applicable, may without your consent elect that, on the “Redenomination Date” specified in a notice to the trustee, a series of Senior Debt Securities may be redenominated in euro.</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Ranking</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75"/>
        </w:trPr>
        <w:tc>
          <w:tcPr>
            <w:tcW w:w="352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120" w:type="dxa"/>
            <w:vAlign w:val="bottom"/>
          </w:tcPr>
          <w:p>
            <w:pPr>
              <w:jc w:val="right"/>
              <w:spacing w:after="0"/>
              <w:rPr>
                <w:sz w:val="20"/>
                <w:szCs w:val="20"/>
                <w:color w:val="auto"/>
              </w:rPr>
            </w:pPr>
            <w:r>
              <w:rPr>
                <w:rFonts w:ascii="Arial" w:cs="Arial" w:eastAsia="Arial" w:hAnsi="Arial"/>
                <w:sz w:val="6"/>
                <w:szCs w:val="6"/>
                <w:color w:val="auto"/>
              </w:rPr>
              <w:t>11</w:t>
            </w:r>
          </w:p>
        </w:tc>
      </w:tr>
    </w:tbl>
    <w:p>
      <w:pPr>
        <w:sectPr>
          <w:pgSz w:w="11900" w:h="16838" w:orient="portrait"/>
          <w:cols w:equalWidth="0" w:num="1">
            <w:col w:w="11300"/>
          </w:cols>
          <w:pgMar w:left="300" w:top="638" w:right="299" w:bottom="1440" w:gutter="0" w:footer="0" w:header="0"/>
        </w:sectPr>
      </w:pPr>
    </w:p>
    <w:bookmarkStart w:id="287" w:name="page288"/>
    <w:bookmarkEnd w:id="287"/>
    <w:p>
      <w:pPr>
        <w:ind w:left="8"/>
        <w:spacing w:after="0"/>
        <w:rPr>
          <w:sz w:val="20"/>
          <w:szCs w:val="20"/>
          <w:color w:val="auto"/>
        </w:rPr>
      </w:pPr>
      <w:r>
        <w:rPr>
          <w:rFonts w:ascii="Arial" w:cs="Arial" w:eastAsia="Arial" w:hAnsi="Arial"/>
          <w:sz w:val="8"/>
          <w:szCs w:val="8"/>
          <w:color w:val="auto"/>
        </w:rPr>
        <w:t>The notes and the guarantees constitute unsecured and unsubordinated indebtedness of Shell Finance and the Company, respectively, and rank equally with all other unsecured and unsubordinated indebtedness from time to time outstanding of Shell Finance and the Company, respectively.</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0"/>
          <w:szCs w:val="10"/>
          <w:color w:val="auto"/>
        </w:rPr>
        <w:t>Because the Company is a holding company, the guarantee effectively ranks junior to any indebtedness of its subsidiaries.</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auto"/>
        </w:rPr>
        <w:t>Guarantee of Shell Finance Senior Debt Securities</w:t>
      </w:r>
    </w:p>
    <w:p>
      <w:pPr>
        <w:spacing w:after="0" w:line="155" w:lineRule="exact"/>
        <w:rPr>
          <w:sz w:val="20"/>
          <w:szCs w:val="20"/>
          <w:color w:val="auto"/>
        </w:rPr>
      </w:pPr>
    </w:p>
    <w:p>
      <w:pPr>
        <w:ind w:left="8"/>
        <w:spacing w:after="0" w:line="239" w:lineRule="auto"/>
        <w:rPr>
          <w:sz w:val="20"/>
          <w:szCs w:val="20"/>
          <w:color w:val="auto"/>
        </w:rPr>
      </w:pPr>
      <w:r>
        <w:rPr>
          <w:rFonts w:ascii="Arial" w:cs="Arial" w:eastAsia="Arial" w:hAnsi="Arial"/>
          <w:sz w:val="10"/>
          <w:szCs w:val="10"/>
          <w:color w:val="auto"/>
        </w:rPr>
        <w:t>The Company fully and unconditionally guarantees on a senior unsecured basis the full and prompt payment of the principal of, any premium and interest on, and any additional amounts which may be payable in respect of each series of Senior Debt Securities when and as the payment becomes due and payable, whether at maturity, upon redemption or declaration of acceleration, or otherwise.</w:t>
      </w:r>
    </w:p>
    <w:p>
      <w:pPr>
        <w:spacing w:after="0" w:line="149" w:lineRule="exact"/>
        <w:rPr>
          <w:sz w:val="20"/>
          <w:szCs w:val="20"/>
          <w:color w:val="auto"/>
        </w:rPr>
      </w:pPr>
    </w:p>
    <w:p>
      <w:pPr>
        <w:ind w:left="8" w:right="100"/>
        <w:spacing w:after="0" w:line="234" w:lineRule="auto"/>
        <w:rPr>
          <w:sz w:val="20"/>
          <w:szCs w:val="20"/>
          <w:color w:val="auto"/>
        </w:rPr>
      </w:pPr>
      <w:r>
        <w:rPr>
          <w:rFonts w:ascii="Arial" w:cs="Arial" w:eastAsia="Arial" w:hAnsi="Arial"/>
          <w:sz w:val="10"/>
          <w:szCs w:val="10"/>
          <w:color w:val="auto"/>
        </w:rPr>
        <w:t>The guarantees provide that in the event of a default in the payment of principal of, any premium and interest on, and any additional amounts which become payable by Shell Finance in respect of a Senior Debt Security, the holder of that Senior Debt Security may institute legal proceedings directly against the Company to enforce the guarantee without first proceeding against Shell Finance. The guarantee of the notes is unsecured and unsubordinated indebtedness of the Company and rank equally with all of its other unsecured and unsubordinated indebtedness from time to time outstanding.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auto"/>
        </w:rPr>
        <w:t>The Trustee and Paying Agent</w:t>
      </w:r>
    </w:p>
    <w:p>
      <w:pPr>
        <w:spacing w:after="0" w:line="155" w:lineRule="exact"/>
        <w:rPr>
          <w:sz w:val="20"/>
          <w:szCs w:val="20"/>
          <w:color w:val="auto"/>
        </w:rPr>
      </w:pPr>
    </w:p>
    <w:p>
      <w:pPr>
        <w:ind w:left="8"/>
        <w:spacing w:after="0" w:line="358" w:lineRule="auto"/>
        <w:rPr>
          <w:sz w:val="20"/>
          <w:szCs w:val="20"/>
          <w:color w:val="auto"/>
        </w:rPr>
      </w:pPr>
      <w:r>
        <w:rPr>
          <w:rFonts w:ascii="Arial" w:cs="Arial" w:eastAsia="Arial" w:hAnsi="Arial"/>
          <w:sz w:val="8"/>
          <w:szCs w:val="8"/>
          <w:color w:val="auto"/>
        </w:rPr>
        <w:t>Deutsche Bank Trust Company Americas, 60 Wall Street, 16th Floor, New York, New York 10005, Attention: Global Transaction Banking, Trust and Securities Services, act as the Trustee and principal paying agent under the prospectus supplements for each series of Senior Debt Securities and the 2006 Indenture. The Company or Shell Finance, as applicable, may at any time designate additional paying agents or rescind the designation of any paying agent or approve a change in the office through which any paying agent acts.</w:t>
      </w:r>
    </w:p>
    <w:p>
      <w:pPr>
        <w:spacing w:after="0" w:line="104" w:lineRule="exact"/>
        <w:rPr>
          <w:sz w:val="20"/>
          <w:szCs w:val="20"/>
          <w:color w:val="auto"/>
        </w:rPr>
      </w:pPr>
    </w:p>
    <w:p>
      <w:pPr>
        <w:ind w:left="8"/>
        <w:spacing w:after="0" w:line="234" w:lineRule="auto"/>
        <w:rPr>
          <w:sz w:val="20"/>
          <w:szCs w:val="20"/>
          <w:color w:val="auto"/>
        </w:rPr>
      </w:pPr>
      <w:r>
        <w:rPr>
          <w:rFonts w:ascii="Arial" w:cs="Arial" w:eastAsia="Arial" w:hAnsi="Arial"/>
          <w:sz w:val="10"/>
          <w:szCs w:val="10"/>
          <w:color w:val="auto"/>
        </w:rPr>
        <w:t>The Company and Shell Finance may appoint another trustee or a substitute trustee under the 2006 Indenture or appoint an entity qualified under the Trust Indenture Act of 1939 to serve as trustee under the indenture. Deutsche Bank Trust Company Americas has served as trustee, paying agent, auction agent, exchange agent and in similar capacities in transactions involving entities in the Shell Group or relating to the debt or long-term payment obligations of members of the Shell Group. Additionally, Deutsche Bank Trust Company Americas and its affiliates perform certain commercial banking services for us for which they receive customary fees and are lenders under various outstanding credit facilities of subsidiaries of the Company.</w:t>
      </w:r>
    </w:p>
    <w:p>
      <w:pPr>
        <w:spacing w:after="0" w:line="147" w:lineRule="exact"/>
        <w:rPr>
          <w:sz w:val="20"/>
          <w:szCs w:val="20"/>
          <w:color w:val="auto"/>
        </w:rPr>
      </w:pPr>
    </w:p>
    <w:p>
      <w:pPr>
        <w:ind w:left="48" w:hanging="48"/>
        <w:spacing w:after="0"/>
        <w:tabs>
          <w:tab w:leader="none" w:pos="48" w:val="left"/>
        </w:tabs>
        <w:numPr>
          <w:ilvl w:val="0"/>
          <w:numId w:val="212"/>
        </w:numPr>
        <w:rPr>
          <w:rFonts w:ascii="Arial" w:cs="Arial" w:eastAsia="Arial" w:hAnsi="Arial"/>
          <w:sz w:val="8"/>
          <w:szCs w:val="8"/>
          <w:color w:val="auto"/>
          <w:vertAlign w:val="superscript"/>
        </w:rPr>
      </w:pPr>
      <w:r>
        <w:rPr>
          <w:rFonts w:ascii="Arial" w:cs="Arial" w:eastAsia="Arial" w:hAnsi="Arial"/>
          <w:sz w:val="6"/>
          <w:szCs w:val="6"/>
          <w:color w:val="auto"/>
        </w:rPr>
        <w:t>Note to RDS: The older securities would not have the concept of a par call date. The most comprehensive approach to this disclosure would be to include a table with the par call dates and the applicable treasury spread. However, this is not the level of detail that we have seen with other issuers, and so we have revised this disclosure to clarify which securities use the par call feature.</w:t>
      </w:r>
    </w:p>
    <w:p>
      <w:pPr>
        <w:ind w:left="8" w:right="120"/>
        <w:spacing w:after="0" w:line="231" w:lineRule="auto"/>
        <w:rPr>
          <w:sz w:val="20"/>
          <w:szCs w:val="20"/>
          <w:color w:val="auto"/>
        </w:rPr>
      </w:pPr>
      <w:r>
        <w:rPr>
          <w:rFonts w:ascii="Arial" w:cs="Arial" w:eastAsia="Arial" w:hAnsi="Arial"/>
          <w:sz w:val="10"/>
          <w:szCs w:val="10"/>
          <w:color w:val="auto"/>
        </w:rPr>
        <w:t>If an event of default occurs under the 2006 Indenture and is continuing, the trustee under the indenture will be required to use the degree of care and skill of a prudent person in the conduct of that person’s own affairs. The trustee will become obligated to exercise any of its powers under the 2006 Indenture at the request of any of the holders of any Senior Debt Securities issued under that indenture only after those holders have offered the trustee indemnity satisfactory to it.</w:t>
      </w:r>
    </w:p>
    <w:p>
      <w:pPr>
        <w:spacing w:after="0" w:line="149" w:lineRule="exact"/>
        <w:rPr>
          <w:sz w:val="20"/>
          <w:szCs w:val="20"/>
          <w:color w:val="auto"/>
        </w:rPr>
      </w:pPr>
    </w:p>
    <w:p>
      <w:pPr>
        <w:ind w:left="8"/>
        <w:spacing w:after="0" w:line="234" w:lineRule="auto"/>
        <w:rPr>
          <w:sz w:val="20"/>
          <w:szCs w:val="20"/>
          <w:color w:val="auto"/>
        </w:rPr>
      </w:pPr>
      <w:r>
        <w:rPr>
          <w:rFonts w:ascii="Arial" w:cs="Arial" w:eastAsia="Arial" w:hAnsi="Arial"/>
          <w:sz w:val="10"/>
          <w:szCs w:val="10"/>
          <w:color w:val="auto"/>
        </w:rPr>
        <w:t>The 2006 Indenture contains limitations on the right of the trustee, if it becomes a creditor of the Company or, if applicable, the Company or Shell Finance, to obtain payment of claims or to realize on certain property received for any such claim, as security or otherwise. The trustee is permitted to engage in other transactions with the Company and, if applicable, the Company and Shell Finance. If, however, it acquires any conflicting interest, it must eliminate that conflict or resign within 90 days after ascertaining that it has a conflicting interest and after the occurrence of a default under the 2006 Indenture, unless the default has been cured, waived or otherwise eliminated within the 90-day period.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auto"/>
        </w:rPr>
        <w:t>Governing Law</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0"/>
          <w:szCs w:val="10"/>
          <w:color w:val="auto"/>
        </w:rPr>
        <w:t>New York law governs the 2006 Indenture, the Senior Debt Securities and guarantee provided by the Company.</w:t>
      </w:r>
    </w:p>
    <w:p>
      <w:pPr>
        <w:spacing w:after="0" w:line="200" w:lineRule="exact"/>
        <w:rPr>
          <w:sz w:val="20"/>
          <w:szCs w:val="20"/>
          <w:color w:val="auto"/>
        </w:rPr>
      </w:pPr>
    </w:p>
    <w:p>
      <w:pPr>
        <w:spacing w:after="0" w:line="333" w:lineRule="exact"/>
        <w:rPr>
          <w:sz w:val="20"/>
          <w:szCs w:val="20"/>
          <w:color w:val="auto"/>
        </w:rPr>
      </w:pPr>
    </w:p>
    <w:tbl>
      <w:tblPr>
        <w:tblLayout w:type="fixed"/>
        <w:tblInd w:w="48" w:type="dxa"/>
        <w:tblCellMar>
          <w:top w:w="0" w:type="dxa"/>
          <w:left w:w="0" w:type="dxa"/>
          <w:bottom w:w="0" w:type="dxa"/>
          <w:right w:w="0" w:type="dxa"/>
        </w:tblCellMar>
      </w:tblPr>
      <w:tr>
        <w:trPr>
          <w:trHeight w:val="75"/>
        </w:trPr>
        <w:tc>
          <w:tcPr>
            <w:tcW w:w="352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120" w:type="dxa"/>
            <w:vAlign w:val="bottom"/>
          </w:tcPr>
          <w:p>
            <w:pPr>
              <w:jc w:val="right"/>
              <w:spacing w:after="0"/>
              <w:rPr>
                <w:sz w:val="20"/>
                <w:szCs w:val="20"/>
                <w:color w:val="auto"/>
              </w:rPr>
            </w:pPr>
            <w:r>
              <w:rPr>
                <w:rFonts w:ascii="Arial" w:cs="Arial" w:eastAsia="Arial" w:hAnsi="Arial"/>
                <w:sz w:val="6"/>
                <w:szCs w:val="6"/>
                <w:color w:val="auto"/>
              </w:rPr>
              <w:t>12</w:t>
            </w:r>
          </w:p>
        </w:tc>
      </w:tr>
    </w:tbl>
    <w:p>
      <w:pPr>
        <w:sectPr>
          <w:pgSz w:w="11900" w:h="16838" w:orient="portrait"/>
          <w:cols w:equalWidth="0" w:num="1">
            <w:col w:w="11288"/>
          </w:cols>
          <w:pgMar w:left="292" w:top="802" w:right="319" w:bottom="1440" w:gutter="0" w:footer="0" w:header="0"/>
        </w:sectPr>
      </w:pPr>
    </w:p>
    <w:bookmarkStart w:id="288" w:name="page289"/>
    <w:bookmarkEnd w:id="288"/>
    <w:p>
      <w:pPr>
        <w:ind w:left="20"/>
        <w:spacing w:after="0"/>
        <w:rPr>
          <w:sz w:val="20"/>
          <w:szCs w:val="20"/>
          <w:color w:val="auto"/>
        </w:rPr>
      </w:pPr>
      <w:r>
        <w:rPr>
          <w:rFonts w:ascii="Arial" w:cs="Arial" w:eastAsia="Arial" w:hAnsi="Arial"/>
          <w:sz w:val="22"/>
          <w:szCs w:val="22"/>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285750" cy="2286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5">
                      <a:extLst>
                        <a:ext uri="{28A0092B-C50C-407E-A947-70E740481C1C}"/>
                      </a:extLst>
                    </a:blip>
                    <a:srcRect/>
                    <a:stretch>
                      <a:fillRect/>
                    </a:stretch>
                  </pic:blipFill>
                  <pic:spPr bwMode="auto">
                    <a:xfrm>
                      <a:off x="0" y="0"/>
                      <a:ext cx="285750" cy="2286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SIGNIFICANT SUBSIDIARIES </w:t>
      </w:r>
      <w:r>
        <w:rPr>
          <w:rFonts w:ascii="Arial" w:cs="Arial" w:eastAsia="Arial" w:hAnsi="Arial"/>
          <w:sz w:val="10"/>
          <w:szCs w:val="10"/>
          <w:color w:val="auto"/>
        </w:rPr>
        <w:t>AND OTHER RELATED UNDERTAKINGS (AUDITED)</w:t>
      </w:r>
    </w:p>
    <w:p>
      <w:pPr>
        <w:spacing w:after="0" w:line="10" w:lineRule="exact"/>
        <w:rPr>
          <w:sz w:val="20"/>
          <w:szCs w:val="20"/>
          <w:color w:val="auto"/>
        </w:rPr>
      </w:pPr>
    </w:p>
    <w:p>
      <w:pPr>
        <w:ind w:right="20"/>
        <w:spacing w:after="0" w:line="228" w:lineRule="auto"/>
        <w:rPr>
          <w:sz w:val="20"/>
          <w:szCs w:val="20"/>
          <w:color w:val="auto"/>
        </w:rPr>
      </w:pPr>
      <w:r>
        <w:rPr>
          <w:rFonts w:ascii="Arial" w:cs="Arial" w:eastAsia="Arial" w:hAnsi="Arial"/>
          <w:sz w:val="10"/>
          <w:szCs w:val="10"/>
          <w:color w:val="auto"/>
        </w:rPr>
        <w:t>Significant subsidiaries and other related undertakings at December 31, 2020, are set out below. Significant subsidiaries are shaded and each meets the threshold specified under Rule 1-02(w) of Regulation S-X. Shell’s percentage of share capital is shown to the nearest whole number. All subsidiaries have been included in the “Consolidated Financial Statements” on pages 163-210, and those held directly by the Company are marked with the footnote [a]. A number of the entities listed are dormant or not yet operational. Entities that are proportionately consolidated are identified by the footnote [b]. Shell-owned shares are ordinary (voting) shares unless identified with one of the following annotations against the company name: [c] Membership interest; [d] Partnership capital; [e] Non-redeemable; [f] Ordinary, Partnership capital; [g] Ordinary, Redeemable; [h] Ordinary, Redeemable, Non-redeemable; and [i] Redeemable, Non-redeemable.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64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Company by country of incorporation</w:t>
            </w:r>
          </w:p>
        </w:tc>
        <w:tc>
          <w:tcPr>
            <w:tcW w:w="5960" w:type="dxa"/>
            <w:vAlign w:val="bottom"/>
            <w:tcBorders>
              <w:bottom w:val="single" w:sz="8" w:color="auto"/>
            </w:tcBorders>
          </w:tcPr>
          <w:p>
            <w:pPr>
              <w:ind w:left="1120"/>
              <w:spacing w:after="0"/>
              <w:rPr>
                <w:sz w:val="20"/>
                <w:szCs w:val="20"/>
                <w:color w:val="auto"/>
              </w:rPr>
            </w:pPr>
            <w:r>
              <w:rPr>
                <w:rFonts w:ascii="Arial" w:cs="Arial" w:eastAsia="Arial" w:hAnsi="Arial"/>
                <w:sz w:val="8"/>
                <w:szCs w:val="8"/>
                <w:color w:val="auto"/>
              </w:rPr>
              <w:t>Address of registered office</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r>
      <w:tr>
        <w:trPr>
          <w:trHeight w:val="87"/>
        </w:trPr>
        <w:tc>
          <w:tcPr>
            <w:tcW w:w="2640" w:type="dxa"/>
            <w:vAlign w:val="bottom"/>
          </w:tcPr>
          <w:p>
            <w:pPr>
              <w:spacing w:after="0"/>
              <w:rPr>
                <w:sz w:val="20"/>
                <w:szCs w:val="20"/>
                <w:color w:val="auto"/>
              </w:rPr>
            </w:pPr>
            <w:r>
              <w:rPr>
                <w:rFonts w:ascii="Arial" w:cs="Arial" w:eastAsia="Arial" w:hAnsi="Arial"/>
                <w:sz w:val="7"/>
                <w:szCs w:val="7"/>
                <w:color w:val="auto"/>
              </w:rPr>
              <w:t>ARGENTINA</w:t>
            </w:r>
          </w:p>
        </w:tc>
        <w:tc>
          <w:tcPr>
            <w:tcW w:w="5960" w:type="dxa"/>
            <w:vAlign w:val="bottom"/>
          </w:tcPr>
          <w:p>
            <w:pPr>
              <w:spacing w:after="0"/>
              <w:rPr>
                <w:sz w:val="7"/>
                <w:szCs w:val="7"/>
                <w:color w:val="auto"/>
              </w:rPr>
            </w:pPr>
          </w:p>
        </w:tc>
        <w:tc>
          <w:tcPr>
            <w:tcW w:w="2700" w:type="dxa"/>
            <w:vAlign w:val="bottom"/>
          </w:tcPr>
          <w:p>
            <w:pPr>
              <w:spacing w:after="0"/>
              <w:rPr>
                <w:sz w:val="7"/>
                <w:szCs w:val="7"/>
                <w:color w:val="auto"/>
              </w:rPr>
            </w:pP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Bandurria Sur Investments S.A.</w:t>
            </w:r>
          </w:p>
        </w:tc>
        <w:tc>
          <w:tcPr>
            <w:tcW w:w="5960" w:type="dxa"/>
            <w:vAlign w:val="bottom"/>
          </w:tcPr>
          <w:p>
            <w:pPr>
              <w:ind w:left="1120"/>
              <w:spacing w:after="0"/>
              <w:rPr>
                <w:sz w:val="20"/>
                <w:szCs w:val="20"/>
                <w:color w:val="auto"/>
              </w:rPr>
            </w:pPr>
            <w:r>
              <w:rPr>
                <w:rFonts w:ascii="Arial" w:cs="Arial" w:eastAsia="Arial" w:hAnsi="Arial"/>
                <w:sz w:val="7"/>
                <w:szCs w:val="7"/>
                <w:color w:val="auto"/>
              </w:rPr>
              <w:t>Avenida Pte. Roque Sáenz Pena 788, 2nd Floor, Ciudad de Buenos Aires, 1035</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50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Shell Argentina S.A.</w:t>
            </w:r>
          </w:p>
        </w:tc>
        <w:tc>
          <w:tcPr>
            <w:tcW w:w="5960" w:type="dxa"/>
            <w:vAlign w:val="bottom"/>
          </w:tcPr>
          <w:p>
            <w:pPr>
              <w:ind w:left="1120"/>
              <w:spacing w:after="0"/>
              <w:rPr>
                <w:sz w:val="20"/>
                <w:szCs w:val="20"/>
                <w:color w:val="auto"/>
              </w:rPr>
            </w:pPr>
            <w:r>
              <w:rPr>
                <w:rFonts w:ascii="Arial" w:cs="Arial" w:eastAsia="Arial" w:hAnsi="Arial"/>
                <w:sz w:val="7"/>
                <w:szCs w:val="7"/>
                <w:color w:val="auto"/>
              </w:rPr>
              <w:t>Avenida Pte. Roque Sáenz Pena 788, 2nd Floor, Ciudad de Buenos Aires, 1035</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spacing w:after="0"/>
              <w:rPr>
                <w:sz w:val="20"/>
                <w:szCs w:val="20"/>
                <w:color w:val="auto"/>
              </w:rPr>
            </w:pPr>
            <w:r>
              <w:rPr>
                <w:rFonts w:ascii="Arial" w:cs="Arial" w:eastAsia="Arial" w:hAnsi="Arial"/>
                <w:sz w:val="7"/>
                <w:szCs w:val="7"/>
                <w:color w:val="auto"/>
              </w:rPr>
              <w:t>AUSTRALIA</w:t>
            </w:r>
          </w:p>
        </w:tc>
        <w:tc>
          <w:tcPr>
            <w:tcW w:w="5960" w:type="dxa"/>
            <w:vAlign w:val="bottom"/>
          </w:tcPr>
          <w:p>
            <w:pPr>
              <w:spacing w:after="0"/>
              <w:rPr>
                <w:sz w:val="9"/>
                <w:szCs w:val="9"/>
                <w:color w:val="auto"/>
              </w:rPr>
            </w:pPr>
          </w:p>
        </w:tc>
        <w:tc>
          <w:tcPr>
            <w:tcW w:w="2700" w:type="dxa"/>
            <w:vAlign w:val="bottom"/>
          </w:tcPr>
          <w:p>
            <w:pPr>
              <w:spacing w:after="0"/>
              <w:rPr>
                <w:sz w:val="9"/>
                <w:szCs w:val="9"/>
                <w:color w:val="auto"/>
              </w:rPr>
            </w:pP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1st Energy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4, 459 Little Collins Street, Melbourne, VIC 3000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30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Alliance Automation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c/o Alands Accountants, Level 1/293 Queen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50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Arrow Energy Holdings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39,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50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Austen &amp; Butta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Shell House, 562 Wellington Street, Perth, WA 6000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BC 789 Holdings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30, 275 George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BG CPS Pty Limited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30, 275 George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BNG (Surat)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30, 275 George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Braemar 3 Holdings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CCM Energy Solutions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Condamine 1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30, 275 George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Condamine 2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30, 275 George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Condamine 3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30, 275 George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Condamine 4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30, 275 George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Condamine Power Station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30, 275 George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Oakey Power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Braemar 3 Power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Braemar 3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Employee Share Plan Administrator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Energy Solutions Holdings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Financial Services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Gas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Gas WA01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Holdings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Innovation Labs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Land Holdings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Neerabup Power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Neerabup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Oakey Power Holdings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Power Developments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Power Engineering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Power Generation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Power International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Power Investments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Power Limited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30, 275 George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Power Projects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Power Retail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Power Services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Power Utility Systems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ERM Wellington 1 Holdings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ESCO Pacific Holdings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4, 13 Cremorne Street, Richmond, VIC 3121</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49</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Greensense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Lumaled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New South Oil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30, 275 George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NewGen Neerabup Pty Ltd [b]</w:t>
            </w:r>
          </w:p>
        </w:tc>
        <w:tc>
          <w:tcPr>
            <w:tcW w:w="5960" w:type="dxa"/>
            <w:vAlign w:val="bottom"/>
          </w:tcPr>
          <w:p>
            <w:pPr>
              <w:ind w:left="1120"/>
              <w:spacing w:after="0"/>
              <w:rPr>
                <w:sz w:val="20"/>
                <w:szCs w:val="20"/>
                <w:color w:val="auto"/>
              </w:rPr>
            </w:pPr>
            <w:r>
              <w:rPr>
                <w:rFonts w:ascii="Arial" w:cs="Arial" w:eastAsia="Arial" w:hAnsi="Arial"/>
                <w:sz w:val="7"/>
                <w:szCs w:val="7"/>
                <w:color w:val="auto"/>
              </w:rPr>
              <w:t>Infrastructure Capital Group, Level 15 Martin Place, Sydney, NSW 2000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50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NewGen Power Neerabup Pty Ltd [b]</w:t>
            </w:r>
          </w:p>
        </w:tc>
        <w:tc>
          <w:tcPr>
            <w:tcW w:w="5960" w:type="dxa"/>
            <w:vAlign w:val="bottom"/>
          </w:tcPr>
          <w:p>
            <w:pPr>
              <w:ind w:left="1120"/>
              <w:spacing w:after="0"/>
              <w:rPr>
                <w:sz w:val="20"/>
                <w:szCs w:val="20"/>
                <w:color w:val="auto"/>
              </w:rPr>
            </w:pPr>
            <w:r>
              <w:rPr>
                <w:rFonts w:ascii="Arial" w:cs="Arial" w:eastAsia="Arial" w:hAnsi="Arial"/>
                <w:sz w:val="7"/>
                <w:szCs w:val="7"/>
                <w:color w:val="auto"/>
              </w:rPr>
              <w:t>Infrastructure Capital Group, Level 15 Martin Place, Sydney, NSW 2000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50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North West Shelf LNG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Shell House, 562 Wellington Street, Perth, WA 6000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80"/>
              <w:spacing w:after="0"/>
              <w:rPr>
                <w:sz w:val="20"/>
                <w:szCs w:val="20"/>
                <w:color w:val="auto"/>
              </w:rPr>
            </w:pPr>
            <w:r>
              <w:rPr>
                <w:rFonts w:ascii="Arial" w:cs="Arial" w:eastAsia="Arial" w:hAnsi="Arial"/>
                <w:sz w:val="7"/>
                <w:szCs w:val="7"/>
                <w:color w:val="auto"/>
              </w:rPr>
              <w:t>Oakey Power Holdings Pty Ltd</w:t>
            </w:r>
          </w:p>
        </w:tc>
        <w:tc>
          <w:tcPr>
            <w:tcW w:w="5960" w:type="dxa"/>
            <w:vAlign w:val="bottom"/>
          </w:tcPr>
          <w:p>
            <w:pPr>
              <w:ind w:left="1120"/>
              <w:spacing w:after="0"/>
              <w:rPr>
                <w:sz w:val="20"/>
                <w:szCs w:val="20"/>
                <w:color w:val="auto"/>
              </w:rPr>
            </w:pPr>
            <w:r>
              <w:rPr>
                <w:rFonts w:ascii="Arial" w:cs="Arial" w:eastAsia="Arial" w:hAnsi="Arial"/>
                <w:sz w:val="7"/>
                <w:szCs w:val="7"/>
                <w:color w:val="auto"/>
              </w:rPr>
              <w:t>Level 52, 111 Eagle Street, Brisbane, QLD 4000</w:t>
            </w:r>
          </w:p>
        </w:tc>
        <w:tc>
          <w:tcPr>
            <w:tcW w:w="2700" w:type="dxa"/>
            <w:vAlign w:val="bottom"/>
          </w:tcPr>
          <w:p>
            <w:pPr>
              <w:jc w:val="right"/>
              <w:ind w:right="4"/>
              <w:spacing w:after="0"/>
              <w:rPr>
                <w:sz w:val="20"/>
                <w:szCs w:val="20"/>
                <w:color w:val="auto"/>
              </w:rPr>
            </w:pPr>
            <w:r>
              <w:rPr>
                <w:rFonts w:ascii="Arial" w:cs="Arial" w:eastAsia="Arial" w:hAnsi="Arial"/>
                <w:sz w:val="7"/>
                <w:szCs w:val="7"/>
                <w:color w:val="auto"/>
              </w:rPr>
              <w:t>100</w:t>
            </w:r>
          </w:p>
        </w:tc>
      </w:tr>
      <w:tr>
        <w:trPr>
          <w:trHeight w:val="520"/>
        </w:trPr>
        <w:tc>
          <w:tcPr>
            <w:tcW w:w="2640" w:type="dxa"/>
            <w:vAlign w:val="bottom"/>
          </w:tcPr>
          <w:p>
            <w:pPr>
              <w:ind w:left="40"/>
              <w:spacing w:after="0"/>
              <w:rPr>
                <w:sz w:val="20"/>
                <w:szCs w:val="20"/>
                <w:color w:val="auto"/>
              </w:rPr>
            </w:pPr>
            <w:r>
              <w:rPr>
                <w:rFonts w:ascii="Arial" w:cs="Arial" w:eastAsia="Arial" w:hAnsi="Arial"/>
                <w:sz w:val="6"/>
                <w:szCs w:val="6"/>
                <w:color w:val="auto"/>
              </w:rPr>
              <w:t>ADDITIONAL INFORMATION SHELL FORM 20-F 2020</w:t>
            </w:r>
          </w:p>
        </w:tc>
        <w:tc>
          <w:tcPr>
            <w:tcW w:w="5960" w:type="dxa"/>
            <w:vAlign w:val="bottom"/>
          </w:tcPr>
          <w:p>
            <w:pPr>
              <w:ind w:left="2940"/>
              <w:spacing w:after="0"/>
              <w:rPr>
                <w:sz w:val="20"/>
                <w:szCs w:val="20"/>
                <w:color w:val="auto"/>
              </w:rPr>
            </w:pPr>
            <w:r>
              <w:rPr>
                <w:rFonts w:ascii="Arial" w:cs="Arial" w:eastAsia="Arial" w:hAnsi="Arial"/>
                <w:sz w:val="6"/>
                <w:szCs w:val="6"/>
                <w:color w:val="auto"/>
              </w:rPr>
              <w:t>E1</w:t>
            </w:r>
          </w:p>
        </w:tc>
        <w:tc>
          <w:tcPr>
            <w:tcW w:w="2700" w:type="dxa"/>
            <w:vAlign w:val="bottom"/>
          </w:tcPr>
          <w:p>
            <w:pPr>
              <w:spacing w:after="0"/>
              <w:rPr>
                <w:sz w:val="24"/>
                <w:szCs w:val="24"/>
                <w:color w:val="auto"/>
              </w:rPr>
            </w:pPr>
          </w:p>
        </w:tc>
      </w:tr>
    </w:tbl>
    <w:p>
      <w:pPr>
        <w:sectPr>
          <w:pgSz w:w="11900" w:h="16838" w:orient="portrait"/>
          <w:cols w:equalWidth="0" w:num="1">
            <w:col w:w="11300"/>
          </w:cols>
          <w:pgMar w:left="300" w:top="865" w:right="299" w:bottom="1440" w:gutter="0" w:footer="0" w:header="0"/>
        </w:sectPr>
      </w:pPr>
    </w:p>
    <w:bookmarkStart w:id="289" w:name="page290"/>
    <w:bookmarkEnd w:id="2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580" w:type="dxa"/>
            <w:vAlign w:val="bottom"/>
          </w:tcPr>
          <w:p>
            <w:pPr>
              <w:ind w:left="40"/>
              <w:spacing w:after="0"/>
              <w:rPr>
                <w:sz w:val="20"/>
                <w:szCs w:val="20"/>
                <w:color w:val="auto"/>
              </w:rPr>
            </w:pPr>
            <w:r>
              <w:rPr>
                <w:rFonts w:ascii="Arial" w:cs="Arial" w:eastAsia="Arial" w:hAnsi="Arial"/>
                <w:sz w:val="7"/>
                <w:szCs w:val="7"/>
                <w:color w:val="auto"/>
              </w:rPr>
              <w:t>OME Resources Australia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Out Performers Trading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52, 111 Eagle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Petroleum Resources (Thailand) Pty. Limited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Powermetric Metering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52, 111 Eagle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Pure Energy Resources Pty Limited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QCLNG Operating Company Pty Ltd [g]</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75</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QCLNG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(B7)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(Exploration)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(Infrastructure)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Common Facilities Company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Holdings 2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Holdings 3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Holdings 4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Holdings 5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Holdings 6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Holdings 7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Holdings 8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Holdings 9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Midstream Holdings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Midstream Investments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Midstream Land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Midstream Limited Partnership</w:t>
            </w:r>
          </w:p>
        </w:tc>
        <w:tc>
          <w:tcPr>
            <w:tcW w:w="6060" w:type="dxa"/>
            <w:vAlign w:val="bottom"/>
          </w:tcPr>
          <w:p>
            <w:pPr>
              <w:ind w:left="1140"/>
              <w:spacing w:after="0"/>
              <w:rPr>
                <w:sz w:val="20"/>
                <w:szCs w:val="20"/>
                <w:color w:val="auto"/>
              </w:rPr>
            </w:pPr>
            <w:r>
              <w:rPr>
                <w:rFonts w:ascii="Arial" w:cs="Arial" w:eastAsia="Arial" w:hAnsi="Arial"/>
                <w:sz w:val="7"/>
                <w:szCs w:val="7"/>
                <w:color w:val="auto"/>
              </w:rPr>
              <w:t>Level 42, Bourke Place, 600 Bourke Street, Melbourne, VIC 3000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Midstream Services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Northern Forestry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Pty Limited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Sales Qld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Train 1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Train 1 Tolling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Train 1 UJV Manager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Train 2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Train 2 Tolling No.2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Train 2 Tolling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Train 2 UJV Manager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Upstream Finance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Upstream Holdings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Upstream Investments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QGC Upstream Limited Partnership</w:t>
            </w:r>
          </w:p>
        </w:tc>
        <w:tc>
          <w:tcPr>
            <w:tcW w:w="6060" w:type="dxa"/>
            <w:vAlign w:val="bottom"/>
          </w:tcPr>
          <w:p>
            <w:pPr>
              <w:ind w:left="1140"/>
              <w:spacing w:after="0"/>
              <w:rPr>
                <w:sz w:val="20"/>
                <w:szCs w:val="20"/>
                <w:color w:val="auto"/>
              </w:rPr>
            </w:pPr>
            <w:r>
              <w:rPr>
                <w:rFonts w:ascii="Arial" w:cs="Arial" w:eastAsia="Arial" w:hAnsi="Arial"/>
                <w:sz w:val="7"/>
                <w:szCs w:val="7"/>
                <w:color w:val="auto"/>
              </w:rPr>
              <w:t>Level 42, Bourke Place, 600 Bourke Street, Melbourne, VIC 3000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Queensland Electricity Investors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52, 111 Eagle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Queensland Gas Company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Richmond Valley Solar Thermal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52, 111 Eagle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Roma Petroleum Pty Limited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SASF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Shell House, 562 Wellington Street, Perth, WA 6000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Select Carbon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SGA (Queensland)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SGAI Pty Limited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Shell Australia FLNG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Shell House, 562 Wellington Street, Perth, WA 6000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Shell Australia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Shell House, 562 Wellington Street, Perth, WA 6000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Shell Australia Services Company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Shell House, 562 Wellington Street, Perth, WA 6000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Shell Development (PSC19)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Shell House, 562 Wellington Street, Perth, WA 6000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Shell Development (PSC20)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Shell House, 562 Wellington Street, Perth, WA 6000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Shell Energy Australia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Shell Energy Holdings Australia Limited</w:t>
            </w:r>
          </w:p>
        </w:tc>
        <w:tc>
          <w:tcPr>
            <w:tcW w:w="6060" w:type="dxa"/>
            <w:vAlign w:val="bottom"/>
          </w:tcPr>
          <w:p>
            <w:pPr>
              <w:ind w:left="1140"/>
              <w:spacing w:after="0"/>
              <w:rPr>
                <w:sz w:val="20"/>
                <w:szCs w:val="20"/>
                <w:color w:val="auto"/>
              </w:rPr>
            </w:pPr>
            <w:r>
              <w:rPr>
                <w:rFonts w:ascii="Arial" w:cs="Arial" w:eastAsia="Arial" w:hAnsi="Arial"/>
                <w:sz w:val="7"/>
                <w:szCs w:val="7"/>
                <w:color w:val="auto"/>
              </w:rPr>
              <w:t>Shell House, 562 Wellington Street, Perth, WA 6000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Shell Energy Investments Australia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Shell House, 562 Wellington Street, Perth, WA 6000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Shell Global Solutions Australia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Shell House, 562 Wellington Street, Perth, WA 6000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Shell New Energies Australia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Shell QGC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Shell Tankers Australia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Shell House, 562 Wellington Street, Perth, WA 6000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Solpod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c/o Jeffery Zivin, Unit 4, 4 George Street, Camberwell, VIC 3124</w:t>
            </w:r>
          </w:p>
        </w:tc>
        <w:tc>
          <w:tcPr>
            <w:tcW w:w="2580" w:type="dxa"/>
            <w:vAlign w:val="bottom"/>
          </w:tcPr>
          <w:p>
            <w:pPr>
              <w:jc w:val="right"/>
              <w:spacing w:after="0"/>
              <w:rPr>
                <w:sz w:val="20"/>
                <w:szCs w:val="20"/>
                <w:color w:val="auto"/>
              </w:rPr>
            </w:pPr>
            <w:r>
              <w:rPr>
                <w:rFonts w:ascii="Arial" w:cs="Arial" w:eastAsia="Arial" w:hAnsi="Arial"/>
                <w:sz w:val="7"/>
                <w:szCs w:val="7"/>
                <w:color w:val="auto"/>
              </w:rPr>
              <w:t>24</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Sonnen Australia Pty Limited</w:t>
            </w:r>
          </w:p>
        </w:tc>
        <w:tc>
          <w:tcPr>
            <w:tcW w:w="6060" w:type="dxa"/>
            <w:vAlign w:val="bottom"/>
          </w:tcPr>
          <w:p>
            <w:pPr>
              <w:ind w:left="1140"/>
              <w:spacing w:after="0"/>
              <w:rPr>
                <w:sz w:val="20"/>
                <w:szCs w:val="20"/>
                <w:color w:val="auto"/>
              </w:rPr>
            </w:pPr>
            <w:r>
              <w:rPr>
                <w:rFonts w:ascii="Arial" w:cs="Arial" w:eastAsia="Arial" w:hAnsi="Arial"/>
                <w:sz w:val="7"/>
                <w:szCs w:val="7"/>
                <w:color w:val="auto"/>
              </w:rPr>
              <w:t>Tenancy 6, Lionsgate Business Park, 180 Philip Highway, Elizabeth South, SA 5112</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Starzap Pty Ltd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Sunshine 685 Pty Limited</w:t>
            </w:r>
          </w:p>
        </w:tc>
        <w:tc>
          <w:tcPr>
            <w:tcW w:w="6060" w:type="dxa"/>
            <w:vAlign w:val="bottom"/>
          </w:tcPr>
          <w:p>
            <w:pPr>
              <w:ind w:left="1140"/>
              <w:spacing w:after="0"/>
              <w:rPr>
                <w:sz w:val="20"/>
                <w:szCs w:val="20"/>
                <w:color w:val="auto"/>
              </w:rPr>
            </w:pPr>
            <w:r>
              <w:rPr>
                <w:rFonts w:ascii="Arial" w:cs="Arial" w:eastAsia="Arial" w:hAnsi="Arial"/>
                <w:sz w:val="7"/>
                <w:szCs w:val="7"/>
                <w:color w:val="auto"/>
              </w:rPr>
              <w:t>Level 30, 275 George Street, Brisbane, QLD 4000</w:t>
            </w:r>
          </w:p>
        </w:tc>
        <w:tc>
          <w:tcPr>
            <w:tcW w:w="25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520"/>
        </w:trPr>
        <w:tc>
          <w:tcPr>
            <w:tcW w:w="258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6060" w:type="dxa"/>
            <w:vAlign w:val="bottom"/>
          </w:tcPr>
          <w:p>
            <w:pPr>
              <w:ind w:left="2960"/>
              <w:spacing w:after="0"/>
              <w:rPr>
                <w:sz w:val="20"/>
                <w:szCs w:val="20"/>
                <w:color w:val="auto"/>
              </w:rPr>
            </w:pPr>
            <w:r>
              <w:rPr>
                <w:rFonts w:ascii="Arial" w:cs="Arial" w:eastAsia="Arial" w:hAnsi="Arial"/>
                <w:sz w:val="6"/>
                <w:szCs w:val="6"/>
                <w:color w:val="auto"/>
              </w:rPr>
              <w:t>E2</w:t>
            </w:r>
          </w:p>
        </w:tc>
        <w:tc>
          <w:tcPr>
            <w:tcW w:w="2580" w:type="dxa"/>
            <w:vAlign w:val="bottom"/>
          </w:tcPr>
          <w:p>
            <w:pPr>
              <w:spacing w:after="0"/>
              <w:rPr>
                <w:sz w:val="24"/>
                <w:szCs w:val="24"/>
                <w:color w:val="auto"/>
              </w:rPr>
            </w:pPr>
          </w:p>
        </w:tc>
      </w:tr>
    </w:tbl>
    <w:p>
      <w:pPr>
        <w:sectPr>
          <w:pgSz w:w="11900" w:h="16838" w:orient="portrait"/>
          <w:cols w:equalWidth="0" w:num="1">
            <w:col w:w="11220"/>
          </w:cols>
          <w:pgMar w:left="340" w:top="735" w:right="339" w:bottom="1440" w:gutter="0" w:footer="0" w:header="0"/>
        </w:sectPr>
      </w:pPr>
    </w:p>
    <w:bookmarkStart w:id="290" w:name="page291"/>
    <w:bookmarkEnd w:id="2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680" w:type="dxa"/>
            <w:vAlign w:val="bottom"/>
          </w:tcPr>
          <w:p>
            <w:pPr>
              <w:ind w:left="80"/>
              <w:spacing w:after="0"/>
              <w:rPr>
                <w:sz w:val="20"/>
                <w:szCs w:val="20"/>
                <w:color w:val="auto"/>
              </w:rPr>
            </w:pPr>
            <w:r>
              <w:rPr>
                <w:rFonts w:ascii="Arial" w:cs="Arial" w:eastAsia="Arial" w:hAnsi="Arial"/>
                <w:sz w:val="7"/>
                <w:szCs w:val="7"/>
                <w:color w:val="auto"/>
              </w:rPr>
              <w:t>Trident LNG Shipping Services Pty Ltd</w:t>
            </w:r>
          </w:p>
        </w:tc>
        <w:tc>
          <w:tcPr>
            <w:tcW w:w="6740" w:type="dxa"/>
            <w:vAlign w:val="bottom"/>
          </w:tcPr>
          <w:p>
            <w:pPr>
              <w:ind w:left="1080"/>
              <w:spacing w:after="0"/>
              <w:rPr>
                <w:sz w:val="20"/>
                <w:szCs w:val="20"/>
                <w:color w:val="auto"/>
              </w:rPr>
            </w:pPr>
            <w:r>
              <w:rPr>
                <w:rFonts w:ascii="Arial" w:cs="Arial" w:eastAsia="Arial" w:hAnsi="Arial"/>
                <w:sz w:val="7"/>
                <w:szCs w:val="7"/>
                <w:color w:val="auto"/>
              </w:rPr>
              <w:t>Shell House, 562 Wellington Street, Perth, WA 6000</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Walloons Coal Seam Gas Company Pty Limited [g]</w:t>
            </w:r>
          </w:p>
        </w:tc>
        <w:tc>
          <w:tcPr>
            <w:tcW w:w="6740" w:type="dxa"/>
            <w:vAlign w:val="bottom"/>
          </w:tcPr>
          <w:p>
            <w:pPr>
              <w:ind w:left="1080"/>
              <w:spacing w:after="0"/>
              <w:rPr>
                <w:sz w:val="20"/>
                <w:szCs w:val="20"/>
                <w:color w:val="auto"/>
              </w:rPr>
            </w:pPr>
            <w:r>
              <w:rPr>
                <w:rFonts w:ascii="Arial" w:cs="Arial" w:eastAsia="Arial" w:hAnsi="Arial"/>
                <w:sz w:val="7"/>
                <w:szCs w:val="7"/>
                <w:color w:val="auto"/>
              </w:rPr>
              <w:t>Level 30, 275 George Street, Brisbane, QLD 4000</w:t>
            </w:r>
          </w:p>
        </w:tc>
        <w:tc>
          <w:tcPr>
            <w:tcW w:w="1860" w:type="dxa"/>
            <w:vAlign w:val="bottom"/>
          </w:tcPr>
          <w:p>
            <w:pPr>
              <w:jc w:val="right"/>
              <w:spacing w:after="0"/>
              <w:rPr>
                <w:sz w:val="20"/>
                <w:szCs w:val="20"/>
                <w:color w:val="auto"/>
              </w:rPr>
            </w:pPr>
            <w:r>
              <w:rPr>
                <w:rFonts w:ascii="Arial" w:cs="Arial" w:eastAsia="Arial" w:hAnsi="Arial"/>
                <w:sz w:val="7"/>
                <w:szCs w:val="7"/>
                <w:color w:val="auto"/>
              </w:rPr>
              <w:t>75</w:t>
            </w:r>
          </w:p>
        </w:tc>
      </w:tr>
      <w:tr>
        <w:trPr>
          <w:trHeight w:val="108"/>
        </w:trPr>
        <w:tc>
          <w:tcPr>
            <w:tcW w:w="2680" w:type="dxa"/>
            <w:vAlign w:val="bottom"/>
          </w:tcPr>
          <w:p>
            <w:pPr>
              <w:spacing w:after="0"/>
              <w:rPr>
                <w:sz w:val="20"/>
                <w:szCs w:val="20"/>
                <w:color w:val="auto"/>
              </w:rPr>
            </w:pPr>
            <w:r>
              <w:rPr>
                <w:rFonts w:ascii="Arial" w:cs="Arial" w:eastAsia="Arial" w:hAnsi="Arial"/>
                <w:sz w:val="7"/>
                <w:szCs w:val="7"/>
                <w:color w:val="auto"/>
              </w:rPr>
              <w:t>AUSTRIA</w:t>
            </w:r>
          </w:p>
        </w:tc>
        <w:tc>
          <w:tcPr>
            <w:tcW w:w="674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Salzburg Fuelling GmbH</w:t>
            </w:r>
          </w:p>
        </w:tc>
        <w:tc>
          <w:tcPr>
            <w:tcW w:w="6740" w:type="dxa"/>
            <w:vAlign w:val="bottom"/>
          </w:tcPr>
          <w:p>
            <w:pPr>
              <w:ind w:left="1080"/>
              <w:spacing w:after="0"/>
              <w:rPr>
                <w:sz w:val="20"/>
                <w:szCs w:val="20"/>
                <w:color w:val="auto"/>
              </w:rPr>
            </w:pPr>
            <w:r>
              <w:rPr>
                <w:rFonts w:ascii="Arial" w:cs="Arial" w:eastAsia="Arial" w:hAnsi="Arial"/>
                <w:sz w:val="7"/>
                <w:szCs w:val="7"/>
                <w:color w:val="auto"/>
              </w:rPr>
              <w:t>Innsbrucker Bundesstrasse 95, Salzburg, 5020</w:t>
            </w:r>
          </w:p>
        </w:tc>
        <w:tc>
          <w:tcPr>
            <w:tcW w:w="1860" w:type="dxa"/>
            <w:vAlign w:val="bottom"/>
          </w:tcPr>
          <w:p>
            <w:pPr>
              <w:jc w:val="right"/>
              <w:spacing w:after="0"/>
              <w:rPr>
                <w:sz w:val="20"/>
                <w:szCs w:val="20"/>
                <w:color w:val="auto"/>
              </w:rPr>
            </w:pPr>
            <w:r>
              <w:rPr>
                <w:rFonts w:ascii="Arial" w:cs="Arial" w:eastAsia="Arial" w:hAnsi="Arial"/>
                <w:sz w:val="7"/>
                <w:szCs w:val="7"/>
                <w:color w:val="auto"/>
              </w:rPr>
              <w:t>33</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Austria Gesellschaft mbH</w:t>
            </w:r>
          </w:p>
        </w:tc>
        <w:tc>
          <w:tcPr>
            <w:tcW w:w="6740" w:type="dxa"/>
            <w:vAlign w:val="bottom"/>
          </w:tcPr>
          <w:p>
            <w:pPr>
              <w:ind w:left="1080"/>
              <w:spacing w:after="0"/>
              <w:rPr>
                <w:sz w:val="20"/>
                <w:szCs w:val="20"/>
                <w:color w:val="auto"/>
              </w:rPr>
            </w:pPr>
            <w:r>
              <w:rPr>
                <w:rFonts w:ascii="Arial" w:cs="Arial" w:eastAsia="Arial" w:hAnsi="Arial"/>
                <w:sz w:val="7"/>
                <w:szCs w:val="7"/>
                <w:color w:val="auto"/>
              </w:rPr>
              <w:t>Tech Gate, Donau-City-Str. 1, Vienna, 1220</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Brazil Holding GmbH</w:t>
            </w:r>
          </w:p>
        </w:tc>
        <w:tc>
          <w:tcPr>
            <w:tcW w:w="6740" w:type="dxa"/>
            <w:vAlign w:val="bottom"/>
          </w:tcPr>
          <w:p>
            <w:pPr>
              <w:ind w:left="1080"/>
              <w:spacing w:after="0"/>
              <w:rPr>
                <w:sz w:val="20"/>
                <w:szCs w:val="20"/>
                <w:color w:val="auto"/>
              </w:rPr>
            </w:pPr>
            <w:r>
              <w:rPr>
                <w:rFonts w:ascii="Arial" w:cs="Arial" w:eastAsia="Arial" w:hAnsi="Arial"/>
                <w:sz w:val="7"/>
                <w:szCs w:val="7"/>
                <w:color w:val="auto"/>
              </w:rPr>
              <w:t>Tech Gate, Donau-City-Str. 1, Vienna, 1220</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China Holding GmbH</w:t>
            </w:r>
          </w:p>
        </w:tc>
        <w:tc>
          <w:tcPr>
            <w:tcW w:w="6740" w:type="dxa"/>
            <w:vAlign w:val="bottom"/>
          </w:tcPr>
          <w:p>
            <w:pPr>
              <w:ind w:left="1080"/>
              <w:spacing w:after="0"/>
              <w:rPr>
                <w:sz w:val="20"/>
                <w:szCs w:val="20"/>
                <w:color w:val="auto"/>
              </w:rPr>
            </w:pPr>
            <w:r>
              <w:rPr>
                <w:rFonts w:ascii="Arial" w:cs="Arial" w:eastAsia="Arial" w:hAnsi="Arial"/>
                <w:sz w:val="7"/>
                <w:szCs w:val="7"/>
                <w:color w:val="auto"/>
              </w:rPr>
              <w:t>Schulhof 6/1, Vienna, 1010</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TBG Tanklager Betriebsgesellschaft m.b.H.</w:t>
            </w:r>
          </w:p>
        </w:tc>
        <w:tc>
          <w:tcPr>
            <w:tcW w:w="6740" w:type="dxa"/>
            <w:vAlign w:val="bottom"/>
          </w:tcPr>
          <w:p>
            <w:pPr>
              <w:ind w:left="1080"/>
              <w:spacing w:after="0"/>
              <w:rPr>
                <w:sz w:val="20"/>
                <w:szCs w:val="20"/>
                <w:color w:val="auto"/>
              </w:rPr>
            </w:pPr>
            <w:r>
              <w:rPr>
                <w:rFonts w:ascii="Arial" w:cs="Arial" w:eastAsia="Arial" w:hAnsi="Arial"/>
                <w:sz w:val="7"/>
                <w:szCs w:val="7"/>
                <w:color w:val="auto"/>
              </w:rPr>
              <w:t>Rettenlackstrasse 3, Salzburg, 5020</w:t>
            </w:r>
          </w:p>
        </w:tc>
        <w:tc>
          <w:tcPr>
            <w:tcW w:w="18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Transalpine Ölleitung in Österreich GmbH</w:t>
            </w:r>
          </w:p>
        </w:tc>
        <w:tc>
          <w:tcPr>
            <w:tcW w:w="6740" w:type="dxa"/>
            <w:vAlign w:val="bottom"/>
          </w:tcPr>
          <w:p>
            <w:pPr>
              <w:ind w:left="1080"/>
              <w:spacing w:after="0"/>
              <w:rPr>
                <w:sz w:val="20"/>
                <w:szCs w:val="20"/>
                <w:color w:val="auto"/>
              </w:rPr>
            </w:pPr>
            <w:r>
              <w:rPr>
                <w:rFonts w:ascii="Arial" w:cs="Arial" w:eastAsia="Arial" w:hAnsi="Arial"/>
                <w:sz w:val="7"/>
                <w:szCs w:val="7"/>
                <w:color w:val="auto"/>
              </w:rPr>
              <w:t>Kienburg 11, Matrei in Osttirol, 9971</w:t>
            </w:r>
          </w:p>
        </w:tc>
        <w:tc>
          <w:tcPr>
            <w:tcW w:w="1860" w:type="dxa"/>
            <w:vAlign w:val="bottom"/>
          </w:tcPr>
          <w:p>
            <w:pPr>
              <w:jc w:val="right"/>
              <w:spacing w:after="0"/>
              <w:rPr>
                <w:sz w:val="20"/>
                <w:szCs w:val="20"/>
                <w:color w:val="auto"/>
              </w:rPr>
            </w:pPr>
            <w:r>
              <w:rPr>
                <w:rFonts w:ascii="Arial" w:cs="Arial" w:eastAsia="Arial" w:hAnsi="Arial"/>
                <w:sz w:val="7"/>
                <w:szCs w:val="7"/>
                <w:color w:val="auto"/>
              </w:rPr>
              <w:t>19</w:t>
            </w:r>
          </w:p>
        </w:tc>
      </w:tr>
      <w:tr>
        <w:trPr>
          <w:trHeight w:val="108"/>
        </w:trPr>
        <w:tc>
          <w:tcPr>
            <w:tcW w:w="2680" w:type="dxa"/>
            <w:vAlign w:val="bottom"/>
          </w:tcPr>
          <w:p>
            <w:pPr>
              <w:spacing w:after="0"/>
              <w:rPr>
                <w:sz w:val="20"/>
                <w:szCs w:val="20"/>
                <w:color w:val="auto"/>
              </w:rPr>
            </w:pPr>
            <w:r>
              <w:rPr>
                <w:rFonts w:ascii="Arial" w:cs="Arial" w:eastAsia="Arial" w:hAnsi="Arial"/>
                <w:sz w:val="7"/>
                <w:szCs w:val="7"/>
                <w:color w:val="auto"/>
              </w:rPr>
              <w:t>BAHAMAS</w:t>
            </w:r>
          </w:p>
        </w:tc>
        <w:tc>
          <w:tcPr>
            <w:tcW w:w="674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Bahamas Power Company Inc.</w:t>
            </w:r>
          </w:p>
        </w:tc>
        <w:tc>
          <w:tcPr>
            <w:tcW w:w="6740" w:type="dxa"/>
            <w:vAlign w:val="bottom"/>
          </w:tcPr>
          <w:p>
            <w:pPr>
              <w:ind w:left="1080"/>
              <w:spacing w:after="0"/>
              <w:rPr>
                <w:sz w:val="20"/>
                <w:szCs w:val="20"/>
                <w:color w:val="auto"/>
              </w:rPr>
            </w:pPr>
            <w:r>
              <w:rPr>
                <w:rFonts w:ascii="Arial" w:cs="Arial" w:eastAsia="Arial" w:hAnsi="Arial"/>
                <w:sz w:val="7"/>
                <w:szCs w:val="7"/>
                <w:color w:val="auto"/>
              </w:rPr>
              <w:t>P.O. Box N4805, St. Andrew's Court, Frederick Street Steps, Nassau</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Western Supply and Trading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GTC Corporate Services Limited, Sassoon House, Shirley Street &amp; Victoria Avenue, Nassau</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spacing w:after="0"/>
              <w:rPr>
                <w:sz w:val="20"/>
                <w:szCs w:val="20"/>
                <w:color w:val="auto"/>
              </w:rPr>
            </w:pPr>
            <w:r>
              <w:rPr>
                <w:rFonts w:ascii="Arial" w:cs="Arial" w:eastAsia="Arial" w:hAnsi="Arial"/>
                <w:sz w:val="7"/>
                <w:szCs w:val="7"/>
                <w:color w:val="auto"/>
              </w:rPr>
              <w:t>BARBADOS</w:t>
            </w:r>
          </w:p>
        </w:tc>
        <w:tc>
          <w:tcPr>
            <w:tcW w:w="674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Trinidad and Tobago Resources SRL</w:t>
            </w:r>
          </w:p>
        </w:tc>
        <w:tc>
          <w:tcPr>
            <w:tcW w:w="6740" w:type="dxa"/>
            <w:vAlign w:val="bottom"/>
          </w:tcPr>
          <w:p>
            <w:pPr>
              <w:ind w:left="1080"/>
              <w:spacing w:after="0"/>
              <w:rPr>
                <w:sz w:val="20"/>
                <w:szCs w:val="20"/>
                <w:color w:val="auto"/>
              </w:rPr>
            </w:pPr>
            <w:r>
              <w:rPr>
                <w:rFonts w:ascii="Arial" w:cs="Arial" w:eastAsia="Arial" w:hAnsi="Arial"/>
                <w:sz w:val="7"/>
                <w:szCs w:val="7"/>
                <w:color w:val="auto"/>
              </w:rPr>
              <w:t>One Welches, Welches, St. Thomas, BB22025</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spacing w:after="0"/>
              <w:rPr>
                <w:sz w:val="20"/>
                <w:szCs w:val="20"/>
                <w:color w:val="auto"/>
              </w:rPr>
            </w:pPr>
            <w:r>
              <w:rPr>
                <w:rFonts w:ascii="Arial" w:cs="Arial" w:eastAsia="Arial" w:hAnsi="Arial"/>
                <w:sz w:val="7"/>
                <w:szCs w:val="7"/>
                <w:color w:val="auto"/>
              </w:rPr>
              <w:t>BELGIUM</w:t>
            </w:r>
          </w:p>
        </w:tc>
        <w:tc>
          <w:tcPr>
            <w:tcW w:w="674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Belgian Shell S.A.</w:t>
            </w:r>
          </w:p>
        </w:tc>
        <w:tc>
          <w:tcPr>
            <w:tcW w:w="6740" w:type="dxa"/>
            <w:vAlign w:val="bottom"/>
          </w:tcPr>
          <w:p>
            <w:pPr>
              <w:ind w:left="1080"/>
              <w:spacing w:after="0"/>
              <w:rPr>
                <w:sz w:val="20"/>
                <w:szCs w:val="20"/>
                <w:color w:val="auto"/>
              </w:rPr>
            </w:pPr>
            <w:r>
              <w:rPr>
                <w:rFonts w:ascii="Arial" w:cs="Arial" w:eastAsia="Arial" w:hAnsi="Arial"/>
                <w:sz w:val="7"/>
                <w:szCs w:val="7"/>
                <w:color w:val="auto"/>
              </w:rPr>
              <w:t>Cantersteen 47, Brussels, 1000</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New Market Belgium S.A.</w:t>
            </w:r>
          </w:p>
        </w:tc>
        <w:tc>
          <w:tcPr>
            <w:tcW w:w="6740" w:type="dxa"/>
            <w:vAlign w:val="bottom"/>
          </w:tcPr>
          <w:p>
            <w:pPr>
              <w:ind w:left="1080"/>
              <w:spacing w:after="0"/>
              <w:rPr>
                <w:sz w:val="20"/>
                <w:szCs w:val="20"/>
                <w:color w:val="auto"/>
              </w:rPr>
            </w:pPr>
            <w:r>
              <w:rPr>
                <w:rFonts w:ascii="Arial" w:cs="Arial" w:eastAsia="Arial" w:hAnsi="Arial"/>
                <w:sz w:val="7"/>
                <w:szCs w:val="7"/>
                <w:color w:val="auto"/>
              </w:rPr>
              <w:t>Cantersteen 47, Brussels, 1000</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Catalysts &amp; Technologies Belgium N.V.</w:t>
            </w:r>
          </w:p>
        </w:tc>
        <w:tc>
          <w:tcPr>
            <w:tcW w:w="6740" w:type="dxa"/>
            <w:vAlign w:val="bottom"/>
          </w:tcPr>
          <w:p>
            <w:pPr>
              <w:ind w:left="1080"/>
              <w:spacing w:after="0"/>
              <w:rPr>
                <w:sz w:val="20"/>
                <w:szCs w:val="20"/>
                <w:color w:val="auto"/>
              </w:rPr>
            </w:pPr>
            <w:r>
              <w:rPr>
                <w:rFonts w:ascii="Arial" w:cs="Arial" w:eastAsia="Arial" w:hAnsi="Arial"/>
                <w:sz w:val="7"/>
                <w:szCs w:val="7"/>
                <w:color w:val="auto"/>
              </w:rPr>
              <w:t>Pantserschipstraat 331, Gent, 9000</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The New Motion Belgium BV</w:t>
            </w:r>
          </w:p>
        </w:tc>
        <w:tc>
          <w:tcPr>
            <w:tcW w:w="6740" w:type="dxa"/>
            <w:vAlign w:val="bottom"/>
          </w:tcPr>
          <w:p>
            <w:pPr>
              <w:ind w:left="1080"/>
              <w:spacing w:after="0"/>
              <w:rPr>
                <w:sz w:val="20"/>
                <w:szCs w:val="20"/>
                <w:color w:val="auto"/>
              </w:rPr>
            </w:pPr>
            <w:r>
              <w:rPr>
                <w:rFonts w:ascii="Arial" w:cs="Arial" w:eastAsia="Arial" w:hAnsi="Arial"/>
                <w:sz w:val="7"/>
                <w:szCs w:val="7"/>
                <w:color w:val="auto"/>
              </w:rPr>
              <w:t>Borsbeeksebrug 34/1, Antwerpen, 2600</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spacing w:after="0"/>
              <w:rPr>
                <w:sz w:val="20"/>
                <w:szCs w:val="20"/>
                <w:color w:val="auto"/>
              </w:rPr>
            </w:pPr>
            <w:r>
              <w:rPr>
                <w:rFonts w:ascii="Arial" w:cs="Arial" w:eastAsia="Arial" w:hAnsi="Arial"/>
                <w:sz w:val="7"/>
                <w:szCs w:val="7"/>
                <w:color w:val="auto"/>
              </w:rPr>
              <w:t>BERMUDA</w:t>
            </w:r>
          </w:p>
        </w:tc>
        <w:tc>
          <w:tcPr>
            <w:tcW w:w="674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Egypt LNG Shipping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Clarendon House, 2 Church Street, Hamilton, HM 11</w:t>
            </w:r>
          </w:p>
        </w:tc>
        <w:tc>
          <w:tcPr>
            <w:tcW w:w="1860" w:type="dxa"/>
            <w:vAlign w:val="bottom"/>
          </w:tcPr>
          <w:p>
            <w:pPr>
              <w:jc w:val="right"/>
              <w:spacing w:after="0"/>
              <w:rPr>
                <w:sz w:val="20"/>
                <w:szCs w:val="20"/>
                <w:color w:val="auto"/>
              </w:rPr>
            </w:pPr>
            <w:r>
              <w:rPr>
                <w:rFonts w:ascii="Arial" w:cs="Arial" w:eastAsia="Arial" w:hAnsi="Arial"/>
                <w:sz w:val="7"/>
                <w:szCs w:val="7"/>
                <w:color w:val="auto"/>
              </w:rPr>
              <w:t>25</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Gas Investments &amp; Services Company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85</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Pecten Somalia Company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Qatar Shell GTL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Sakhalin Energy Investment Company Ltd</w:t>
            </w:r>
          </w:p>
        </w:tc>
        <w:tc>
          <w:tcPr>
            <w:tcW w:w="6740" w:type="dxa"/>
            <w:vAlign w:val="bottom"/>
          </w:tcPr>
          <w:p>
            <w:pPr>
              <w:ind w:left="1080"/>
              <w:spacing w:after="0"/>
              <w:rPr>
                <w:sz w:val="20"/>
                <w:szCs w:val="20"/>
                <w:color w:val="auto"/>
              </w:rPr>
            </w:pPr>
            <w:r>
              <w:rPr>
                <w:rFonts w:ascii="Arial" w:cs="Arial" w:eastAsia="Arial" w:hAnsi="Arial"/>
                <w:sz w:val="7"/>
                <w:szCs w:val="7"/>
                <w:color w:val="auto"/>
              </w:rPr>
              <w:t>Clarendon House, 2 Church Street, Hamilton, HM 11</w:t>
            </w:r>
          </w:p>
        </w:tc>
        <w:tc>
          <w:tcPr>
            <w:tcW w:w="1860" w:type="dxa"/>
            <w:vAlign w:val="bottom"/>
          </w:tcPr>
          <w:p>
            <w:pPr>
              <w:jc w:val="right"/>
              <w:spacing w:after="0"/>
              <w:rPr>
                <w:sz w:val="20"/>
                <w:szCs w:val="20"/>
                <w:color w:val="auto"/>
              </w:rPr>
            </w:pPr>
            <w:r>
              <w:rPr>
                <w:rFonts w:ascii="Arial" w:cs="Arial" w:eastAsia="Arial" w:hAnsi="Arial"/>
                <w:sz w:val="7"/>
                <w:szCs w:val="7"/>
                <w:color w:val="auto"/>
              </w:rPr>
              <w:t>28</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Australia Natural Gas Shipping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Bermuda (Overseas)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Deepwater Borneo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EP International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Holdings (Bermuda)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International Trading Middle East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Markets (Middle East)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Oman Trading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Petroleum (Malaysia) Ltd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Saudi Arabia (Refining)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Trading (M.E.) Private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Trust (Bermuda)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Solen Life Insurance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3rd Floor Continental Building, 25 Church Street, Hamilton, HM 12</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spacing w:after="0"/>
              <w:rPr>
                <w:sz w:val="20"/>
                <w:szCs w:val="20"/>
                <w:color w:val="auto"/>
              </w:rPr>
            </w:pPr>
            <w:r>
              <w:rPr>
                <w:rFonts w:ascii="Arial" w:cs="Arial" w:eastAsia="Arial" w:hAnsi="Arial"/>
                <w:sz w:val="7"/>
                <w:szCs w:val="7"/>
                <w:color w:val="auto"/>
              </w:rPr>
              <w:t>BRAZIL</w:t>
            </w:r>
          </w:p>
        </w:tc>
        <w:tc>
          <w:tcPr>
            <w:tcW w:w="674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BG Comercio e Importacao Ltda.</w:t>
            </w:r>
          </w:p>
        </w:tc>
        <w:tc>
          <w:tcPr>
            <w:tcW w:w="6740" w:type="dxa"/>
            <w:vAlign w:val="bottom"/>
          </w:tcPr>
          <w:p>
            <w:pPr>
              <w:ind w:left="1080"/>
              <w:spacing w:after="0"/>
              <w:rPr>
                <w:sz w:val="20"/>
                <w:szCs w:val="20"/>
                <w:color w:val="auto"/>
              </w:rPr>
            </w:pPr>
            <w:r>
              <w:rPr>
                <w:rFonts w:ascii="Arial" w:cs="Arial" w:eastAsia="Arial" w:hAnsi="Arial"/>
                <w:sz w:val="7"/>
                <w:szCs w:val="7"/>
                <w:color w:val="auto"/>
              </w:rPr>
              <w:t>Avenida das Republica do Chile 330, 23º Andar, Torre 2, Centro, Rio de Janeiro, 20031-170</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BG Petroleo &amp; Gas Brasil Ltda.</w:t>
            </w:r>
          </w:p>
        </w:tc>
        <w:tc>
          <w:tcPr>
            <w:tcW w:w="6740" w:type="dxa"/>
            <w:vAlign w:val="bottom"/>
          </w:tcPr>
          <w:p>
            <w:pPr>
              <w:ind w:left="1080"/>
              <w:spacing w:after="0"/>
              <w:rPr>
                <w:sz w:val="20"/>
                <w:szCs w:val="20"/>
                <w:color w:val="auto"/>
              </w:rPr>
            </w:pPr>
            <w:r>
              <w:rPr>
                <w:rFonts w:ascii="Arial" w:cs="Arial" w:eastAsia="Arial" w:hAnsi="Arial"/>
                <w:sz w:val="7"/>
                <w:szCs w:val="7"/>
                <w:color w:val="auto"/>
              </w:rPr>
              <w:t>Avenida das Republica do Chile 330, 23º Andar (parte) - Torre 2, Centro, Rio de Janeiro, 20031-170</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Marlim Azul Energia S.A.</w:t>
            </w:r>
          </w:p>
        </w:tc>
        <w:tc>
          <w:tcPr>
            <w:tcW w:w="6740" w:type="dxa"/>
            <w:vAlign w:val="bottom"/>
          </w:tcPr>
          <w:p>
            <w:pPr>
              <w:ind w:left="1080"/>
              <w:spacing w:after="0"/>
              <w:rPr>
                <w:sz w:val="20"/>
                <w:szCs w:val="20"/>
                <w:color w:val="auto"/>
              </w:rPr>
            </w:pPr>
            <w:r>
              <w:rPr>
                <w:rFonts w:ascii="Arial" w:cs="Arial" w:eastAsia="Arial" w:hAnsi="Arial"/>
                <w:sz w:val="7"/>
                <w:szCs w:val="7"/>
                <w:color w:val="auto"/>
              </w:rPr>
              <w:t>Avenida Paulista, 1274, 8º andar, Conjunto 23, Sala B, Bela Vista, São Paulo, 01310-100</w:t>
            </w:r>
          </w:p>
        </w:tc>
        <w:tc>
          <w:tcPr>
            <w:tcW w:w="186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Pecten do Brasil Servicos de Petroleo Ltda.</w:t>
            </w:r>
          </w:p>
        </w:tc>
        <w:tc>
          <w:tcPr>
            <w:tcW w:w="6740" w:type="dxa"/>
            <w:vAlign w:val="bottom"/>
          </w:tcPr>
          <w:p>
            <w:pPr>
              <w:ind w:left="1080"/>
              <w:spacing w:after="0"/>
              <w:rPr>
                <w:sz w:val="20"/>
                <w:szCs w:val="20"/>
                <w:color w:val="auto"/>
              </w:rPr>
            </w:pPr>
            <w:r>
              <w:rPr>
                <w:rFonts w:ascii="Arial" w:cs="Arial" w:eastAsia="Arial" w:hAnsi="Arial"/>
                <w:sz w:val="7"/>
                <w:szCs w:val="7"/>
                <w:color w:val="auto"/>
              </w:rPr>
              <w:t>Avenida República do Chile nº 330, Bloco 2, Sala 2301, Centro, Rio de Janeiro, 20031-170</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Raizen Combustíveis S.A.</w:t>
            </w:r>
          </w:p>
        </w:tc>
        <w:tc>
          <w:tcPr>
            <w:tcW w:w="6740" w:type="dxa"/>
            <w:vAlign w:val="bottom"/>
          </w:tcPr>
          <w:p>
            <w:pPr>
              <w:ind w:left="1080"/>
              <w:spacing w:after="0"/>
              <w:rPr>
                <w:sz w:val="20"/>
                <w:szCs w:val="20"/>
                <w:color w:val="auto"/>
              </w:rPr>
            </w:pPr>
            <w:r>
              <w:rPr>
                <w:rFonts w:ascii="Arial" w:cs="Arial" w:eastAsia="Arial" w:hAnsi="Arial"/>
                <w:sz w:val="7"/>
                <w:szCs w:val="7"/>
                <w:color w:val="auto"/>
              </w:rPr>
              <w:t>Avenida das Almirante Barroso, nº 81, 36º Andar, Sala 36A104, Rio de Janeiro, 20031-004</w:t>
            </w:r>
          </w:p>
        </w:tc>
        <w:tc>
          <w:tcPr>
            <w:tcW w:w="1860" w:type="dxa"/>
            <w:vAlign w:val="bottom"/>
          </w:tcPr>
          <w:p>
            <w:pPr>
              <w:jc w:val="right"/>
              <w:spacing w:after="0"/>
              <w:rPr>
                <w:sz w:val="20"/>
                <w:szCs w:val="20"/>
                <w:color w:val="auto"/>
              </w:rPr>
            </w:pPr>
            <w:r>
              <w:rPr>
                <w:rFonts w:ascii="Arial" w:cs="Arial" w:eastAsia="Arial" w:hAnsi="Arial"/>
                <w:sz w:val="7"/>
                <w:szCs w:val="7"/>
                <w:color w:val="auto"/>
              </w:rPr>
              <w:t>54</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Raizen Energia S.A.</w:t>
            </w:r>
          </w:p>
        </w:tc>
        <w:tc>
          <w:tcPr>
            <w:tcW w:w="6740" w:type="dxa"/>
            <w:vAlign w:val="bottom"/>
          </w:tcPr>
          <w:p>
            <w:pPr>
              <w:ind w:left="1080"/>
              <w:spacing w:after="0"/>
              <w:rPr>
                <w:sz w:val="20"/>
                <w:szCs w:val="20"/>
                <w:color w:val="auto"/>
              </w:rPr>
            </w:pPr>
            <w:r>
              <w:rPr>
                <w:rFonts w:ascii="Arial" w:cs="Arial" w:eastAsia="Arial" w:hAnsi="Arial"/>
                <w:sz w:val="7"/>
                <w:szCs w:val="7"/>
                <w:color w:val="auto"/>
              </w:rPr>
              <w:t>Avenida Brigadeiro Faria Lima, 4100, 11th floor, part V, Itaim Bibi, São Paulo, 04538-132</w:t>
            </w:r>
          </w:p>
        </w:tc>
        <w:tc>
          <w:tcPr>
            <w:tcW w:w="186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Seapos Ltda.</w:t>
            </w:r>
          </w:p>
        </w:tc>
        <w:tc>
          <w:tcPr>
            <w:tcW w:w="6740" w:type="dxa"/>
            <w:vAlign w:val="bottom"/>
          </w:tcPr>
          <w:p>
            <w:pPr>
              <w:ind w:left="1080"/>
              <w:spacing w:after="0"/>
              <w:rPr>
                <w:sz w:val="20"/>
                <w:szCs w:val="20"/>
                <w:color w:val="auto"/>
              </w:rPr>
            </w:pPr>
            <w:r>
              <w:rPr>
                <w:rFonts w:ascii="Arial" w:cs="Arial" w:eastAsia="Arial" w:hAnsi="Arial"/>
                <w:sz w:val="7"/>
                <w:szCs w:val="7"/>
                <w:color w:val="auto"/>
              </w:rPr>
              <w:t>Avenida República do Chile nº 330, Bloco 2, Sala 2401, Centro, Rio de Janeiro, 20031-170</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Brasil Petroleo Ltda.</w:t>
            </w:r>
          </w:p>
        </w:tc>
        <w:tc>
          <w:tcPr>
            <w:tcW w:w="6740" w:type="dxa"/>
            <w:vAlign w:val="bottom"/>
          </w:tcPr>
          <w:p>
            <w:pPr>
              <w:ind w:left="1080"/>
              <w:spacing w:after="0"/>
              <w:rPr>
                <w:sz w:val="20"/>
                <w:szCs w:val="20"/>
                <w:color w:val="auto"/>
              </w:rPr>
            </w:pPr>
            <w:r>
              <w:rPr>
                <w:rFonts w:ascii="Arial" w:cs="Arial" w:eastAsia="Arial" w:hAnsi="Arial"/>
                <w:sz w:val="7"/>
                <w:szCs w:val="7"/>
                <w:color w:val="auto"/>
              </w:rPr>
              <w:t>Avenida República do Chile nº 330, Bloco 2, Salas 2001, 2301, 2401, 2501, 3101, 3201, 3301 e 3401, Centro, Rio de Janeiro, 20031-170</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Energy do Brasil Gás Ltda.</w:t>
            </w:r>
          </w:p>
        </w:tc>
        <w:tc>
          <w:tcPr>
            <w:tcW w:w="6740" w:type="dxa"/>
            <w:vAlign w:val="bottom"/>
          </w:tcPr>
          <w:p>
            <w:pPr>
              <w:ind w:left="1080"/>
              <w:spacing w:after="0"/>
              <w:rPr>
                <w:sz w:val="20"/>
                <w:szCs w:val="20"/>
                <w:color w:val="auto"/>
              </w:rPr>
            </w:pPr>
            <w:r>
              <w:rPr>
                <w:rFonts w:ascii="Arial" w:cs="Arial" w:eastAsia="Arial" w:hAnsi="Arial"/>
                <w:sz w:val="7"/>
                <w:szCs w:val="7"/>
                <w:color w:val="auto"/>
              </w:rPr>
              <w:t>Avenida República do Chile nº 330, Bloco 2, Sala 2001, Centro, Rio de Janeiro, 20031-170</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Energy do Brasil Ltda.</w:t>
            </w:r>
          </w:p>
        </w:tc>
        <w:tc>
          <w:tcPr>
            <w:tcW w:w="6740" w:type="dxa"/>
            <w:vAlign w:val="bottom"/>
          </w:tcPr>
          <w:p>
            <w:pPr>
              <w:ind w:left="1080"/>
              <w:spacing w:after="0"/>
              <w:rPr>
                <w:sz w:val="20"/>
                <w:szCs w:val="20"/>
                <w:color w:val="auto"/>
              </w:rPr>
            </w:pPr>
            <w:r>
              <w:rPr>
                <w:rFonts w:ascii="Arial" w:cs="Arial" w:eastAsia="Arial" w:hAnsi="Arial"/>
                <w:sz w:val="7"/>
                <w:szCs w:val="7"/>
                <w:color w:val="auto"/>
              </w:rPr>
              <w:t>Avenida Brigadeiro Faria Lima nº 3.311, Conjunto 82, Itaim Bibi, São Paulo, 04538-133</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spacing w:after="0"/>
              <w:rPr>
                <w:sz w:val="20"/>
                <w:szCs w:val="20"/>
                <w:color w:val="auto"/>
              </w:rPr>
            </w:pPr>
            <w:r>
              <w:rPr>
                <w:rFonts w:ascii="Arial" w:cs="Arial" w:eastAsia="Arial" w:hAnsi="Arial"/>
                <w:sz w:val="7"/>
                <w:szCs w:val="7"/>
                <w:color w:val="auto"/>
              </w:rPr>
              <w:t>BRUNEI</w:t>
            </w:r>
          </w:p>
        </w:tc>
        <w:tc>
          <w:tcPr>
            <w:tcW w:w="674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Brunei LNG Sendirian Berhad</w:t>
            </w:r>
          </w:p>
        </w:tc>
        <w:tc>
          <w:tcPr>
            <w:tcW w:w="6740" w:type="dxa"/>
            <w:vAlign w:val="bottom"/>
          </w:tcPr>
          <w:p>
            <w:pPr>
              <w:ind w:left="1080"/>
              <w:spacing w:after="0"/>
              <w:rPr>
                <w:sz w:val="20"/>
                <w:szCs w:val="20"/>
                <w:color w:val="auto"/>
              </w:rPr>
            </w:pPr>
            <w:r>
              <w:rPr>
                <w:rFonts w:ascii="Arial" w:cs="Arial" w:eastAsia="Arial" w:hAnsi="Arial"/>
                <w:sz w:val="7"/>
                <w:szCs w:val="7"/>
                <w:color w:val="auto"/>
              </w:rPr>
              <w:t>Lumut, Seria, KC2935</w:t>
            </w:r>
          </w:p>
        </w:tc>
        <w:tc>
          <w:tcPr>
            <w:tcW w:w="1860" w:type="dxa"/>
            <w:vAlign w:val="bottom"/>
          </w:tcPr>
          <w:p>
            <w:pPr>
              <w:jc w:val="right"/>
              <w:spacing w:after="0"/>
              <w:rPr>
                <w:sz w:val="20"/>
                <w:szCs w:val="20"/>
                <w:color w:val="auto"/>
              </w:rPr>
            </w:pPr>
            <w:r>
              <w:rPr>
                <w:rFonts w:ascii="Arial" w:cs="Arial" w:eastAsia="Arial" w:hAnsi="Arial"/>
                <w:sz w:val="7"/>
                <w:szCs w:val="7"/>
                <w:color w:val="auto"/>
              </w:rPr>
              <w:t>25</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Brunei Shell Marketing Company Sendirian Berhad</w:t>
            </w:r>
          </w:p>
        </w:tc>
        <w:tc>
          <w:tcPr>
            <w:tcW w:w="6740" w:type="dxa"/>
            <w:vAlign w:val="bottom"/>
          </w:tcPr>
          <w:p>
            <w:pPr>
              <w:ind w:left="1080"/>
              <w:spacing w:after="0"/>
              <w:rPr>
                <w:sz w:val="20"/>
                <w:szCs w:val="20"/>
                <w:color w:val="auto"/>
              </w:rPr>
            </w:pPr>
            <w:r>
              <w:rPr>
                <w:rFonts w:ascii="Arial" w:cs="Arial" w:eastAsia="Arial" w:hAnsi="Arial"/>
                <w:sz w:val="7"/>
                <w:szCs w:val="7"/>
                <w:color w:val="auto"/>
              </w:rPr>
              <w:t>Brunei Shell Petroleum Company, Sendirian Berhad, Seria, KB2933</w:t>
            </w:r>
          </w:p>
        </w:tc>
        <w:tc>
          <w:tcPr>
            <w:tcW w:w="18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Brunei Shell Petroleum Company Sendirian Berhad</w:t>
            </w:r>
          </w:p>
        </w:tc>
        <w:tc>
          <w:tcPr>
            <w:tcW w:w="6740" w:type="dxa"/>
            <w:vAlign w:val="bottom"/>
          </w:tcPr>
          <w:p>
            <w:pPr>
              <w:ind w:left="1080"/>
              <w:spacing w:after="0"/>
              <w:rPr>
                <w:sz w:val="20"/>
                <w:szCs w:val="20"/>
                <w:color w:val="auto"/>
              </w:rPr>
            </w:pPr>
            <w:r>
              <w:rPr>
                <w:rFonts w:ascii="Arial" w:cs="Arial" w:eastAsia="Arial" w:hAnsi="Arial"/>
                <w:sz w:val="7"/>
                <w:szCs w:val="7"/>
                <w:color w:val="auto"/>
              </w:rPr>
              <w:t>Jalan Utara, Panaga, Seria, KB2933</w:t>
            </w:r>
          </w:p>
        </w:tc>
        <w:tc>
          <w:tcPr>
            <w:tcW w:w="18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Brunei Shell Tankers Sendirian Berhad</w:t>
            </w:r>
          </w:p>
        </w:tc>
        <w:tc>
          <w:tcPr>
            <w:tcW w:w="6740" w:type="dxa"/>
            <w:vAlign w:val="bottom"/>
          </w:tcPr>
          <w:p>
            <w:pPr>
              <w:ind w:left="1080"/>
              <w:spacing w:after="0"/>
              <w:rPr>
                <w:sz w:val="20"/>
                <w:szCs w:val="20"/>
                <w:color w:val="auto"/>
              </w:rPr>
            </w:pPr>
            <w:r>
              <w:rPr>
                <w:rFonts w:ascii="Arial" w:cs="Arial" w:eastAsia="Arial" w:hAnsi="Arial"/>
                <w:sz w:val="7"/>
                <w:szCs w:val="7"/>
                <w:color w:val="auto"/>
              </w:rPr>
              <w:t>Jalan Utara, Panaga, Seria, KB2933</w:t>
            </w:r>
          </w:p>
        </w:tc>
        <w:tc>
          <w:tcPr>
            <w:tcW w:w="1860" w:type="dxa"/>
            <w:vAlign w:val="bottom"/>
          </w:tcPr>
          <w:p>
            <w:pPr>
              <w:jc w:val="right"/>
              <w:spacing w:after="0"/>
              <w:rPr>
                <w:sz w:val="20"/>
                <w:szCs w:val="20"/>
                <w:color w:val="auto"/>
              </w:rPr>
            </w:pPr>
            <w:r>
              <w:rPr>
                <w:rFonts w:ascii="Arial" w:cs="Arial" w:eastAsia="Arial" w:hAnsi="Arial"/>
                <w:sz w:val="7"/>
                <w:szCs w:val="7"/>
                <w:color w:val="auto"/>
              </w:rPr>
              <w:t>25</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Borneo Sendirian Berhad</w:t>
            </w:r>
          </w:p>
        </w:tc>
        <w:tc>
          <w:tcPr>
            <w:tcW w:w="6740" w:type="dxa"/>
            <w:vAlign w:val="bottom"/>
          </w:tcPr>
          <w:p>
            <w:pPr>
              <w:ind w:left="1080"/>
              <w:spacing w:after="0"/>
              <w:rPr>
                <w:sz w:val="20"/>
                <w:szCs w:val="20"/>
                <w:color w:val="auto"/>
              </w:rPr>
            </w:pPr>
            <w:r>
              <w:rPr>
                <w:rFonts w:ascii="Arial" w:cs="Arial" w:eastAsia="Arial" w:hAnsi="Arial"/>
                <w:sz w:val="7"/>
                <w:szCs w:val="7"/>
                <w:color w:val="auto"/>
              </w:rPr>
              <w:t>c/o BSP Head Office, NDCO Block, Ground Floor, Jalan Utara, Panaga Seria, KB3534</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spacing w:after="0"/>
              <w:rPr>
                <w:sz w:val="20"/>
                <w:szCs w:val="20"/>
                <w:color w:val="auto"/>
              </w:rPr>
            </w:pPr>
            <w:r>
              <w:rPr>
                <w:rFonts w:ascii="Arial" w:cs="Arial" w:eastAsia="Arial" w:hAnsi="Arial"/>
                <w:sz w:val="7"/>
                <w:szCs w:val="7"/>
                <w:color w:val="auto"/>
              </w:rPr>
              <w:t>BULGARIA</w:t>
            </w:r>
          </w:p>
        </w:tc>
        <w:tc>
          <w:tcPr>
            <w:tcW w:w="674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Shell Bulgaria Ead</w:t>
            </w:r>
          </w:p>
        </w:tc>
        <w:tc>
          <w:tcPr>
            <w:tcW w:w="6740" w:type="dxa"/>
            <w:vAlign w:val="bottom"/>
          </w:tcPr>
          <w:p>
            <w:pPr>
              <w:ind w:left="1080"/>
              <w:spacing w:after="0"/>
              <w:rPr>
                <w:sz w:val="20"/>
                <w:szCs w:val="20"/>
                <w:color w:val="auto"/>
              </w:rPr>
            </w:pPr>
            <w:r>
              <w:rPr>
                <w:rFonts w:ascii="Arial" w:cs="Arial" w:eastAsia="Arial" w:hAnsi="Arial"/>
                <w:sz w:val="7"/>
                <w:szCs w:val="7"/>
                <w:color w:val="auto"/>
              </w:rPr>
              <w:t>48, Sitnyakovo Blvd., Serdika Offices, 8th floor, Sofia, 1505</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spacing w:after="0"/>
              <w:rPr>
                <w:sz w:val="20"/>
                <w:szCs w:val="20"/>
                <w:color w:val="auto"/>
              </w:rPr>
            </w:pPr>
            <w:r>
              <w:rPr>
                <w:rFonts w:ascii="Arial" w:cs="Arial" w:eastAsia="Arial" w:hAnsi="Arial"/>
                <w:sz w:val="7"/>
                <w:szCs w:val="7"/>
                <w:color w:val="auto"/>
              </w:rPr>
              <w:t>CAMBODIA</w:t>
            </w:r>
          </w:p>
        </w:tc>
        <w:tc>
          <w:tcPr>
            <w:tcW w:w="674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Angkor Resources Company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186C, Street No. 155, N/A - Tuol Tumpung Muoy, Chamkar Mon, Phnom Penh</w:t>
            </w:r>
          </w:p>
        </w:tc>
        <w:tc>
          <w:tcPr>
            <w:tcW w:w="186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2680" w:type="dxa"/>
            <w:vAlign w:val="bottom"/>
          </w:tcPr>
          <w:p>
            <w:pPr>
              <w:spacing w:after="0"/>
              <w:rPr>
                <w:sz w:val="20"/>
                <w:szCs w:val="20"/>
                <w:color w:val="auto"/>
              </w:rPr>
            </w:pPr>
            <w:r>
              <w:rPr>
                <w:rFonts w:ascii="Arial" w:cs="Arial" w:eastAsia="Arial" w:hAnsi="Arial"/>
                <w:sz w:val="7"/>
                <w:szCs w:val="7"/>
                <w:color w:val="auto"/>
              </w:rPr>
              <w:t>CANADA</w:t>
            </w:r>
          </w:p>
        </w:tc>
        <w:tc>
          <w:tcPr>
            <w:tcW w:w="674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10084751 Canada Limited</w:t>
            </w:r>
          </w:p>
        </w:tc>
        <w:tc>
          <w:tcPr>
            <w:tcW w:w="6740" w:type="dxa"/>
            <w:vAlign w:val="bottom"/>
          </w:tcPr>
          <w:p>
            <w:pPr>
              <w:ind w:left="1080"/>
              <w:spacing w:after="0"/>
              <w:rPr>
                <w:sz w:val="20"/>
                <w:szCs w:val="20"/>
                <w:color w:val="auto"/>
              </w:rPr>
            </w:pPr>
            <w:r>
              <w:rPr>
                <w:rFonts w:ascii="Arial" w:cs="Arial" w:eastAsia="Arial" w:hAnsi="Arial"/>
                <w:sz w:val="7"/>
                <w:szCs w:val="7"/>
                <w:color w:val="auto"/>
              </w:rPr>
              <w:t>400 4th Avenue S.W., Calgary, Alberta, T2P 0J4</w:t>
            </w:r>
          </w:p>
        </w:tc>
        <w:tc>
          <w:tcPr>
            <w:tcW w:w="1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80" w:type="dxa"/>
            <w:vAlign w:val="bottom"/>
          </w:tcPr>
          <w:p>
            <w:pPr>
              <w:ind w:left="80"/>
              <w:spacing w:after="0"/>
              <w:rPr>
                <w:sz w:val="20"/>
                <w:szCs w:val="20"/>
                <w:color w:val="auto"/>
              </w:rPr>
            </w:pPr>
            <w:r>
              <w:rPr>
                <w:rFonts w:ascii="Arial" w:cs="Arial" w:eastAsia="Arial" w:hAnsi="Arial"/>
                <w:sz w:val="7"/>
                <w:szCs w:val="7"/>
                <w:color w:val="auto"/>
              </w:rPr>
              <w:t>1745844 Alberta Ltd.</w:t>
            </w:r>
          </w:p>
        </w:tc>
        <w:tc>
          <w:tcPr>
            <w:tcW w:w="6740" w:type="dxa"/>
            <w:vAlign w:val="bottom"/>
          </w:tcPr>
          <w:p>
            <w:pPr>
              <w:ind w:left="1080"/>
              <w:spacing w:after="0"/>
              <w:rPr>
                <w:sz w:val="20"/>
                <w:szCs w:val="20"/>
                <w:color w:val="auto"/>
              </w:rPr>
            </w:pPr>
            <w:r>
              <w:rPr>
                <w:rFonts w:ascii="Arial" w:cs="Arial" w:eastAsia="Arial" w:hAnsi="Arial"/>
                <w:sz w:val="7"/>
                <w:szCs w:val="7"/>
                <w:color w:val="auto"/>
              </w:rPr>
              <w:t>2100, 855 - 2nd Street S.W., Calgary, Alberta, T2P 4J8</w:t>
            </w:r>
          </w:p>
        </w:tc>
        <w:tc>
          <w:tcPr>
            <w:tcW w:w="18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520"/>
        </w:trPr>
        <w:tc>
          <w:tcPr>
            <w:tcW w:w="2680" w:type="dxa"/>
            <w:vAlign w:val="bottom"/>
          </w:tcPr>
          <w:p>
            <w:pPr>
              <w:ind w:left="40"/>
              <w:spacing w:after="0"/>
              <w:rPr>
                <w:sz w:val="20"/>
                <w:szCs w:val="20"/>
                <w:color w:val="auto"/>
              </w:rPr>
            </w:pPr>
            <w:r>
              <w:rPr>
                <w:rFonts w:ascii="Arial" w:cs="Arial" w:eastAsia="Arial" w:hAnsi="Arial"/>
                <w:sz w:val="6"/>
                <w:szCs w:val="6"/>
                <w:color w:val="auto"/>
              </w:rPr>
              <w:t>ADDITIONAL INFORMATION SHELL FORM 20-F 2020</w:t>
            </w:r>
          </w:p>
        </w:tc>
        <w:tc>
          <w:tcPr>
            <w:tcW w:w="6740" w:type="dxa"/>
            <w:vAlign w:val="bottom"/>
          </w:tcPr>
          <w:p>
            <w:pPr>
              <w:ind w:left="2900"/>
              <w:spacing w:after="0"/>
              <w:rPr>
                <w:sz w:val="20"/>
                <w:szCs w:val="20"/>
                <w:color w:val="auto"/>
              </w:rPr>
            </w:pPr>
            <w:r>
              <w:rPr>
                <w:rFonts w:ascii="Arial" w:cs="Arial" w:eastAsia="Arial" w:hAnsi="Arial"/>
                <w:sz w:val="6"/>
                <w:szCs w:val="6"/>
                <w:color w:val="auto"/>
              </w:rPr>
              <w:t>E3</w:t>
            </w:r>
          </w:p>
        </w:tc>
        <w:tc>
          <w:tcPr>
            <w:tcW w:w="1860" w:type="dxa"/>
            <w:vAlign w:val="bottom"/>
          </w:tcPr>
          <w:p>
            <w:pPr>
              <w:spacing w:after="0"/>
              <w:rPr>
                <w:sz w:val="24"/>
                <w:szCs w:val="24"/>
                <w:color w:val="auto"/>
              </w:rPr>
            </w:pPr>
          </w:p>
        </w:tc>
      </w:tr>
    </w:tbl>
    <w:p>
      <w:pPr>
        <w:sectPr>
          <w:pgSz w:w="11900" w:h="16838" w:orient="portrait"/>
          <w:cols w:equalWidth="0" w:num="1">
            <w:col w:w="11280"/>
          </w:cols>
          <w:pgMar w:left="300" w:top="735" w:right="319" w:bottom="1440" w:gutter="0" w:footer="0" w:header="0"/>
        </w:sectPr>
      </w:pPr>
    </w:p>
    <w:bookmarkStart w:id="291" w:name="page292"/>
    <w:bookmarkEnd w:id="2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720" w:type="dxa"/>
            <w:vAlign w:val="bottom"/>
          </w:tcPr>
          <w:p>
            <w:pPr>
              <w:ind w:left="80"/>
              <w:spacing w:after="0"/>
              <w:rPr>
                <w:sz w:val="20"/>
                <w:szCs w:val="20"/>
                <w:color w:val="auto"/>
              </w:rPr>
            </w:pPr>
            <w:r>
              <w:rPr>
                <w:rFonts w:ascii="Arial" w:cs="Arial" w:eastAsia="Arial" w:hAnsi="Arial"/>
                <w:sz w:val="7"/>
                <w:szCs w:val="7"/>
                <w:color w:val="auto"/>
              </w:rPr>
              <w:t>7026609 Canada Inc.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7645929 Canada Limited</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Alberta Products Pipe Line Ltd.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5305 McCall Way N.E., Calgary, Alberta, T2E 7N7</w:t>
            </w:r>
          </w:p>
        </w:tc>
        <w:tc>
          <w:tcPr>
            <w:tcW w:w="180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Cansolv Technologies Inc.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Coral Cibola Canada Inc.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FP Solutions Corporation</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33</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LNG Canada Development Inc. [b]</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Sable Offshore Energy Inc.</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1701 Hollis Street, Suite 1400, Halifax, Nova Scotia, B3J 3M8</w:t>
            </w:r>
          </w:p>
        </w:tc>
        <w:tc>
          <w:tcPr>
            <w:tcW w:w="1800" w:type="dxa"/>
            <w:vAlign w:val="bottom"/>
          </w:tcPr>
          <w:p>
            <w:pPr>
              <w:jc w:val="right"/>
              <w:spacing w:after="0"/>
              <w:rPr>
                <w:sz w:val="20"/>
                <w:szCs w:val="20"/>
                <w:color w:val="auto"/>
              </w:rPr>
            </w:pPr>
            <w:r>
              <w:rPr>
                <w:rFonts w:ascii="Arial" w:cs="Arial" w:eastAsia="Arial" w:hAnsi="Arial"/>
                <w:sz w:val="7"/>
                <w:szCs w:val="7"/>
                <w:color w:val="auto"/>
              </w:rPr>
              <w:t>33</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SCL Pipeline Inc.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SFJ Inc.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199</w:t>
            </w:r>
          </w:p>
        </w:tc>
        <w:tc>
          <w:tcPr>
            <w:tcW w:w="5580" w:type="dxa"/>
            <w:vAlign w:val="bottom"/>
          </w:tcPr>
          <w:p>
            <w:pPr>
              <w:ind w:left="20"/>
              <w:spacing w:after="0"/>
              <w:rPr>
                <w:sz w:val="20"/>
                <w:szCs w:val="20"/>
                <w:color w:val="auto"/>
              </w:rPr>
            </w:pPr>
            <w:r>
              <w:rPr>
                <w:rFonts w:ascii="Arial" w:cs="Arial" w:eastAsia="Arial" w:hAnsi="Arial"/>
                <w:sz w:val="7"/>
                <w:szCs w:val="7"/>
                <w:color w:val="auto"/>
              </w:rPr>
              <w:t>Bay Street, Suite 5300, Commerce Court West, Toronto, Ontario, M5L 1B9</w:t>
            </w:r>
          </w:p>
        </w:tc>
        <w:tc>
          <w:tcPr>
            <w:tcW w:w="18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Americas Funding (Canada) Limited</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Canada BROS Inc.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Canada Energy [c]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Canada Limited</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Canada OP Inc.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Canada Products</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Canada Resources [c]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Canada Services Limited</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Catalysts &amp; Technologies Canada Inc.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Chemicals Canada [c]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Energy Merchants Canada Inc.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Energy North America (Canada) Inc.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Global Solutions Canada Inc.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Quebec Limitée</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Trading Canada [c]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Sun-Canadian Pipe Line Company Limited</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830</w:t>
            </w:r>
          </w:p>
        </w:tc>
        <w:tc>
          <w:tcPr>
            <w:tcW w:w="5580" w:type="dxa"/>
            <w:vAlign w:val="bottom"/>
          </w:tcPr>
          <w:p>
            <w:pPr>
              <w:ind w:left="20"/>
              <w:spacing w:after="0"/>
              <w:rPr>
                <w:sz w:val="20"/>
                <w:szCs w:val="20"/>
                <w:color w:val="auto"/>
              </w:rPr>
            </w:pPr>
            <w:r>
              <w:rPr>
                <w:rFonts w:ascii="Arial" w:cs="Arial" w:eastAsia="Arial" w:hAnsi="Arial"/>
                <w:sz w:val="7"/>
                <w:szCs w:val="7"/>
                <w:color w:val="auto"/>
              </w:rPr>
              <w:t>Highway No. 6 North, Flamborough, Ontario, L0R 2H0</w:t>
            </w:r>
          </w:p>
        </w:tc>
        <w:tc>
          <w:tcPr>
            <w:tcW w:w="1800" w:type="dxa"/>
            <w:vAlign w:val="bottom"/>
          </w:tcPr>
          <w:p>
            <w:pPr>
              <w:jc w:val="right"/>
              <w:spacing w:after="0"/>
              <w:rPr>
                <w:sz w:val="20"/>
                <w:szCs w:val="20"/>
                <w:color w:val="auto"/>
              </w:rPr>
            </w:pPr>
            <w:r>
              <w:rPr>
                <w:rFonts w:ascii="Arial" w:cs="Arial" w:eastAsia="Arial" w:hAnsi="Arial"/>
                <w:sz w:val="7"/>
                <w:szCs w:val="7"/>
                <w:color w:val="auto"/>
              </w:rPr>
              <w:t>45</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Trans-Northern Pipelines Inc.</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45 Vogel Road, Suite 310, Richmond Hill, Ontario, L4B 3P6</w:t>
            </w:r>
          </w:p>
        </w:tc>
        <w:tc>
          <w:tcPr>
            <w:tcW w:w="1800" w:type="dxa"/>
            <w:vAlign w:val="bottom"/>
          </w:tcPr>
          <w:p>
            <w:pPr>
              <w:jc w:val="right"/>
              <w:spacing w:after="0"/>
              <w:rPr>
                <w:sz w:val="20"/>
                <w:szCs w:val="20"/>
                <w:color w:val="auto"/>
              </w:rPr>
            </w:pPr>
            <w:r>
              <w:rPr>
                <w:rFonts w:ascii="Arial" w:cs="Arial" w:eastAsia="Arial" w:hAnsi="Arial"/>
                <w:sz w:val="7"/>
                <w:szCs w:val="7"/>
                <w:color w:val="auto"/>
              </w:rPr>
              <w:t>33</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Zeco Systems (Canada) Inc.</w:t>
            </w:r>
          </w:p>
        </w:tc>
        <w:tc>
          <w:tcPr>
            <w:tcW w:w="1160" w:type="dxa"/>
            <w:vAlign w:val="bottom"/>
          </w:tcPr>
          <w:p>
            <w:pPr>
              <w:ind w:left="1040"/>
              <w:spacing w:after="0"/>
              <w:rPr>
                <w:sz w:val="20"/>
                <w:szCs w:val="20"/>
                <w:color w:val="auto"/>
              </w:rPr>
            </w:pPr>
            <w:r>
              <w:rPr>
                <w:rFonts w:ascii="Arial" w:cs="Arial" w:eastAsia="Arial" w:hAnsi="Arial"/>
                <w:sz w:val="7"/>
                <w:szCs w:val="7"/>
                <w:color w:val="auto"/>
                <w:w w:val="85"/>
              </w:rPr>
              <w:t>400</w:t>
            </w:r>
          </w:p>
        </w:tc>
        <w:tc>
          <w:tcPr>
            <w:tcW w:w="5580" w:type="dxa"/>
            <w:vAlign w:val="bottom"/>
          </w:tcPr>
          <w:p>
            <w:pPr>
              <w:ind w:left="20"/>
              <w:spacing w:after="0"/>
              <w:rPr>
                <w:sz w:val="20"/>
                <w:szCs w:val="20"/>
                <w:color w:val="auto"/>
              </w:rPr>
            </w:pPr>
            <w:r>
              <w:rPr>
                <w:rFonts w:ascii="Arial" w:cs="Arial" w:eastAsia="Arial" w:hAnsi="Arial"/>
                <w:sz w:val="7"/>
                <w:szCs w:val="7"/>
                <w:color w:val="auto"/>
              </w:rPr>
              <w:t>4th Avenue S.W., Calgary, Alberta, T2P 0J4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spacing w:after="0"/>
              <w:rPr>
                <w:sz w:val="20"/>
                <w:szCs w:val="20"/>
                <w:color w:val="auto"/>
              </w:rPr>
            </w:pPr>
            <w:r>
              <w:rPr>
                <w:rFonts w:ascii="Arial" w:cs="Arial" w:eastAsia="Arial" w:hAnsi="Arial"/>
                <w:sz w:val="7"/>
                <w:szCs w:val="7"/>
                <w:color w:val="auto"/>
              </w:rPr>
              <w:t>CAYMAN ISLANDS</w:t>
            </w:r>
          </w:p>
        </w:tc>
        <w:tc>
          <w:tcPr>
            <w:tcW w:w="116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Beryl North Sea Limited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Sterling Trust (Cayman) Limited, Whitehall House, 238 North Church Street, P.O. Box 1043, George Town, Grand Cayman, KY1-1102</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BG Egypt S.A.</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Piccadilly Centre, 28 Elgin Avenue, Suite 201, P.O. Box 2570, George Town, Grand Cayman, KY1-1103</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BG Exploration and Production India Limited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Campbells, Floor 4, Willow House, Cricket Square, George Town, Grand Cayman, KY1-9010</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Gas Resources Limited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Piccadilly Centre, 28 Elgin Avenue, Suite 201, P.O. Box 2570, George Town, Grand Cayman, KY1-1103</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KE Namibia Company</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c/o Appleby Global Services (Cayman) Limited, 71 Fort Street, P.O. Box 500, George Town, Grand Cayman, KY1-1106</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KE STP Company</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c/o Appleby Global Services (Cayman) Limited, 71 Fort Street, P.O. Box 500, George Town, Grand Cayman, KY1-1106</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KE Suriname Company</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c/o Appleby Global Services (Cayman) Limited, 71 Fort Street, P.O. Box 500, George Town, Grand Cayman, KY1-1106</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Portfolio Holdings</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c/o Appleby Global Services (Cayman) Limited, 71 Fort Street, P.O. Box 500, George Town, Grand Cayman, KY1-1106</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Schiehallion Oil &amp; Gas Limited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Caledonian Trust (Cayman) Limited, Caledonian House, 69 Dr Roy's Drive P.O. Box 1043, George Town, Grand Cayman, KY1-1102</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Bolivia Corporation</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Piccadilly Centre, 28 Elgin Avenue, Suite 201, P.O. Box 2570, George Town, Grand Cayman, KY1-1103</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North Sea Holdings Limited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Maples Corporate Services Limited, Ugland House, P.O. Box 309, George Town, Grand Cayman, KY1-1104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spacing w:after="0"/>
              <w:rPr>
                <w:sz w:val="20"/>
                <w:szCs w:val="20"/>
                <w:color w:val="auto"/>
              </w:rPr>
            </w:pPr>
            <w:r>
              <w:rPr>
                <w:rFonts w:ascii="Arial" w:cs="Arial" w:eastAsia="Arial" w:hAnsi="Arial"/>
                <w:sz w:val="7"/>
                <w:szCs w:val="7"/>
                <w:color w:val="auto"/>
              </w:rPr>
              <w:t>CHILE</w:t>
            </w:r>
          </w:p>
        </w:tc>
        <w:tc>
          <w:tcPr>
            <w:tcW w:w="116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Chile S.A.</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c/o Carey y Cia Abogados, Miraflores 222, Piso 28, Santiago</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spacing w:after="0"/>
              <w:rPr>
                <w:sz w:val="20"/>
                <w:szCs w:val="20"/>
                <w:color w:val="auto"/>
              </w:rPr>
            </w:pPr>
            <w:r>
              <w:rPr>
                <w:rFonts w:ascii="Arial" w:cs="Arial" w:eastAsia="Arial" w:hAnsi="Arial"/>
                <w:sz w:val="7"/>
                <w:szCs w:val="7"/>
                <w:color w:val="auto"/>
              </w:rPr>
              <w:t>CHINA</w:t>
            </w:r>
          </w:p>
        </w:tc>
        <w:tc>
          <w:tcPr>
            <w:tcW w:w="116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Anhui Shell Energy Company Limited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Room 2519-2522, 25/F, Greenland Center, Cross-area of Susong Rd and Changqin St, South Erhuan, Baohe District, Hefei, Anhui, 230000</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Beijing Shell Petroleum Company Ltd.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Unit 1101-1104, level 11, Building 1, No. 19 Chaoyang Park Road, Chaoyang District, Beijing, 100125</w:t>
            </w:r>
          </w:p>
        </w:tc>
        <w:tc>
          <w:tcPr>
            <w:tcW w:w="180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Cansolv Technologies (Beijing) Company Limited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Unit 09, Level 31, No. 16 Building, No. 1 Jian Guo Men Wai Avenue, Chaoyang District, Beijing, 100004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Chongqing Shell Energy Company Limited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No. 196, Shuang Yuan Street, Beibei Zone, Chongqing, 400700</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Climate Bridge (Shanghai) Ltd.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Room 609, building No. 1, No. 388 North Mu Hua Road, Fengxian Dist, Shanghai, 200120</w:t>
            </w:r>
          </w:p>
        </w:tc>
        <w:tc>
          <w:tcPr>
            <w:tcW w:w="180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CNOOC and Shell Petrochemicals Company Limited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Dayawan Petrochemical Industrial Park, Huizhou, Guangdong, 516086</w:t>
            </w:r>
          </w:p>
        </w:tc>
        <w:tc>
          <w:tcPr>
            <w:tcW w:w="18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Fujian Xiangyu and Shell Petroleum Company Limited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Unit 604, 6/F, Building C, No. 3 Yunan Fourth Road, FTPZ Xiamen Sub-zone (Tariff-free Zone), Xiamen, 361000</w:t>
            </w:r>
          </w:p>
        </w:tc>
        <w:tc>
          <w:tcPr>
            <w:tcW w:w="180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Hubei Shell Energy Company Limited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No. 4, 5, 12/F, Unit A, Oceanwide International Center Office, 187 Yunxia Road, CBD, Jianhan District, Wuhan, 430000</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Hunan Shell Energy Company Limited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Room 2407-2409, Building 15, Fangmaoyuan (Phase II), No. 1177 Huanhu Road, Yuelu District, Changsha, 410006</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Infineum (China) Co. Ltd.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No. 1 Dongxin Road, Jiangsu Yangtze River International, Chemical Industry Park, Zhangjiagang, Jiangsu, 215600</w:t>
            </w:r>
          </w:p>
        </w:tc>
        <w:tc>
          <w:tcPr>
            <w:tcW w:w="18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Jiangsu Shell Energy Company Limited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Room 1801, Building 1, International Finance Center, No. 347, Jiangdong Middle Road, Jianye District, Nanjing, Jiangsu, 210019</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(Beijing) Real Estate Consulting Ltd.</w:t>
            </w:r>
          </w:p>
        </w:tc>
        <w:tc>
          <w:tcPr>
            <w:tcW w:w="6740" w:type="dxa"/>
            <w:vAlign w:val="bottom"/>
            <w:gridSpan w:val="2"/>
          </w:tcPr>
          <w:p>
            <w:pPr>
              <w:ind w:left="1040"/>
              <w:spacing w:after="0"/>
              <w:rPr>
                <w:sz w:val="20"/>
                <w:szCs w:val="20"/>
                <w:color w:val="auto"/>
              </w:rPr>
            </w:pPr>
            <w:r>
              <w:rPr>
                <w:rFonts w:ascii="Arial" w:cs="Arial" w:eastAsia="Arial" w:hAnsi="Arial"/>
                <w:sz w:val="7"/>
                <w:szCs w:val="7"/>
                <w:color w:val="auto"/>
              </w:rPr>
              <w:t>Unit 01, 32/F, No. 16 Building, No. 1 Courtyard, Jian Guo Men Wai Avenue, Chaoyang District, Beijing, 100004</w:t>
            </w:r>
          </w:p>
        </w:tc>
        <w:tc>
          <w:tcPr>
            <w:tcW w:w="18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520"/>
        </w:trPr>
        <w:tc>
          <w:tcPr>
            <w:tcW w:w="2720" w:type="dxa"/>
            <w:vAlign w:val="bottom"/>
          </w:tcPr>
          <w:p>
            <w:pPr>
              <w:ind w:left="40"/>
              <w:spacing w:after="0"/>
              <w:rPr>
                <w:sz w:val="20"/>
                <w:szCs w:val="20"/>
                <w:color w:val="auto"/>
              </w:rPr>
            </w:pPr>
            <w:r>
              <w:rPr>
                <w:rFonts w:ascii="Arial" w:cs="Arial" w:eastAsia="Arial" w:hAnsi="Arial"/>
                <w:sz w:val="6"/>
                <w:szCs w:val="6"/>
                <w:color w:val="auto"/>
              </w:rPr>
              <w:t>ADDITIONAL INFORMATION SHELL FORM 20-F 2020</w:t>
            </w:r>
          </w:p>
        </w:tc>
        <w:tc>
          <w:tcPr>
            <w:tcW w:w="1160" w:type="dxa"/>
            <w:vAlign w:val="bottom"/>
          </w:tcPr>
          <w:p>
            <w:pPr>
              <w:spacing w:after="0"/>
              <w:rPr>
                <w:sz w:val="24"/>
                <w:szCs w:val="24"/>
                <w:color w:val="auto"/>
              </w:rPr>
            </w:pPr>
          </w:p>
        </w:tc>
        <w:tc>
          <w:tcPr>
            <w:tcW w:w="5580" w:type="dxa"/>
            <w:vAlign w:val="bottom"/>
          </w:tcPr>
          <w:p>
            <w:pPr>
              <w:ind w:left="1700"/>
              <w:spacing w:after="0"/>
              <w:rPr>
                <w:sz w:val="20"/>
                <w:szCs w:val="20"/>
                <w:color w:val="auto"/>
              </w:rPr>
            </w:pPr>
            <w:r>
              <w:rPr>
                <w:rFonts w:ascii="Arial" w:cs="Arial" w:eastAsia="Arial" w:hAnsi="Arial"/>
                <w:sz w:val="6"/>
                <w:szCs w:val="6"/>
                <w:color w:val="auto"/>
              </w:rPr>
              <w:t>E4</w:t>
            </w:r>
          </w:p>
        </w:tc>
        <w:tc>
          <w:tcPr>
            <w:tcW w:w="1800" w:type="dxa"/>
            <w:vAlign w:val="bottom"/>
          </w:tcPr>
          <w:p>
            <w:pPr>
              <w:spacing w:after="0"/>
              <w:rPr>
                <w:sz w:val="24"/>
                <w:szCs w:val="24"/>
                <w:color w:val="auto"/>
              </w:rPr>
            </w:pPr>
          </w:p>
        </w:tc>
      </w:tr>
    </w:tbl>
    <w:p>
      <w:pPr>
        <w:sectPr>
          <w:pgSz w:w="11900" w:h="16838" w:orient="portrait"/>
          <w:cols w:equalWidth="0" w:num="1">
            <w:col w:w="11260"/>
          </w:cols>
          <w:pgMar w:left="300" w:top="735" w:right="339" w:bottom="1440" w:gutter="0" w:footer="0" w:header="0"/>
        </w:sectPr>
      </w:pPr>
    </w:p>
    <w:bookmarkStart w:id="292" w:name="page293"/>
    <w:bookmarkEnd w:id="2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080" w:type="dxa"/>
            <w:vAlign w:val="bottom"/>
          </w:tcPr>
          <w:p>
            <w:pPr>
              <w:ind w:left="80"/>
              <w:spacing w:after="0"/>
              <w:rPr>
                <w:sz w:val="20"/>
                <w:szCs w:val="20"/>
                <w:color w:val="auto"/>
              </w:rPr>
            </w:pPr>
            <w:r>
              <w:rPr>
                <w:rFonts w:ascii="Arial" w:cs="Arial" w:eastAsia="Arial" w:hAnsi="Arial"/>
                <w:sz w:val="7"/>
                <w:szCs w:val="7"/>
                <w:color w:val="auto"/>
              </w:rPr>
              <w:t>Shell (China)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30/F Unit 01-02, No. 16 Building, No. 1 Courtyard, Jian Guo Men Wai Avenue, Chaoyang District, Beijing, 100004</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(China) Projects &amp; Technology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Unit 01-08, Level 31, No. 16 Building, No. 1 Jian Guo Men Wai Avenue, Chaoyang District, Beijing, 100004</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(Shanghai) Petroleum Company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Room 522, The British Road No. 38, China (Shanghai) Pilot Free Trade Zone, Shanghai, 200131</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(Shanghai) Technology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Building 4, Jin Chuang Building, No. 4560, Jin Ke Road, Pilot Free Trade Zone, Shanghai</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(Tianjin) Lubricants Company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North to Gang Bei Road and East to Hai Gang Road, Nangang Industrial Zone, Tianjin Economic-Technological Development Area, Tianjin, 300280</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(Tianjin) Oil and Petrochemical Company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No. 286 Nansan Road, Tianjin Harbour Nanjiang Dev. Zone, Tanggu, Binhai NewDistrict, Tianjin, 300452</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(Zhejiang) Petroleum Trading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No. 1 Wangjiaba, Xinmiaozhi Village, Puyuan Town, Tongxiang, Jiaxing, Zhejiang, 314502</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(Zhuhai) Lubricants Company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Nanjin Wan, Gaolan Dao, Gaolan Harbour Economic Zone, Zhuhai, 519050</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Energy (China)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Room 530, 5th Floor, Building 1, No. 239 Gang'ao Road, China (Shanghai) Free Trade Zone, Shanghai, 200137</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Management and Consulting Company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8/F, Building 1, No. 818 Shenchang Road, Minhang District, Shanghai, 201106</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North China Petroleum Group Co., Ltd.</w:t>
            </w:r>
          </w:p>
        </w:tc>
        <w:tc>
          <w:tcPr>
            <w:tcW w:w="5940" w:type="dxa"/>
            <w:vAlign w:val="bottom"/>
          </w:tcPr>
          <w:p>
            <w:pPr>
              <w:ind w:left="680"/>
              <w:spacing w:after="0"/>
              <w:rPr>
                <w:sz w:val="20"/>
                <w:szCs w:val="20"/>
                <w:color w:val="auto"/>
              </w:rPr>
            </w:pPr>
            <w:r>
              <w:rPr>
                <w:rFonts w:ascii="Arial" w:cs="Arial" w:eastAsia="Arial" w:hAnsi="Arial"/>
                <w:sz w:val="7"/>
                <w:szCs w:val="7"/>
                <w:color w:val="auto"/>
              </w:rPr>
              <w:t>Room 518, 5th Floor, Office Building, Tianjin Food Group Company Ltd, No. 96, Qixiangtai Road, Hexi District, Tianjin, 300074</w:t>
            </w:r>
          </w:p>
        </w:tc>
        <w:tc>
          <w:tcPr>
            <w:tcW w:w="224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Road Solutions (Zhenjiang) Co. Ltd</w:t>
            </w:r>
          </w:p>
        </w:tc>
        <w:tc>
          <w:tcPr>
            <w:tcW w:w="5940" w:type="dxa"/>
            <w:vAlign w:val="bottom"/>
          </w:tcPr>
          <w:p>
            <w:pPr>
              <w:ind w:left="680"/>
              <w:spacing w:after="0"/>
              <w:rPr>
                <w:sz w:val="20"/>
                <w:szCs w:val="20"/>
                <w:color w:val="auto"/>
              </w:rPr>
            </w:pPr>
            <w:r>
              <w:rPr>
                <w:rFonts w:ascii="Arial" w:cs="Arial" w:eastAsia="Arial" w:hAnsi="Arial"/>
                <w:sz w:val="7"/>
                <w:szCs w:val="7"/>
                <w:color w:val="auto"/>
              </w:rPr>
              <w:t>No. 68 Xianiejia, Dagang, Zhenjiang New District, Zhenjiang, 212132</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Road Solutions Xinyue (Foshan) Co. Ltd.</w:t>
            </w:r>
          </w:p>
        </w:tc>
        <w:tc>
          <w:tcPr>
            <w:tcW w:w="5940" w:type="dxa"/>
            <w:vAlign w:val="bottom"/>
          </w:tcPr>
          <w:p>
            <w:pPr>
              <w:ind w:left="680"/>
              <w:spacing w:after="0"/>
              <w:rPr>
                <w:sz w:val="20"/>
                <w:szCs w:val="20"/>
                <w:color w:val="auto"/>
              </w:rPr>
            </w:pPr>
            <w:r>
              <w:rPr>
                <w:rFonts w:ascii="Arial" w:cs="Arial" w:eastAsia="Arial" w:hAnsi="Arial"/>
                <w:sz w:val="7"/>
                <w:szCs w:val="7"/>
                <w:color w:val="auto"/>
              </w:rPr>
              <w:t>Baisha, Hekou, Sanshui District, Foshan, Guangdong, 528133</w:t>
            </w:r>
          </w:p>
        </w:tc>
        <w:tc>
          <w:tcPr>
            <w:tcW w:w="2240" w:type="dxa"/>
            <w:vAlign w:val="bottom"/>
          </w:tcPr>
          <w:p>
            <w:pPr>
              <w:jc w:val="right"/>
              <w:spacing w:after="0"/>
              <w:rPr>
                <w:sz w:val="20"/>
                <w:szCs w:val="20"/>
                <w:color w:val="auto"/>
              </w:rPr>
            </w:pPr>
            <w:r>
              <w:rPr>
                <w:rFonts w:ascii="Arial" w:cs="Arial" w:eastAsia="Arial" w:hAnsi="Arial"/>
                <w:sz w:val="7"/>
                <w:szCs w:val="7"/>
                <w:color w:val="auto"/>
              </w:rPr>
              <w:t>60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Ventures Company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8/F, Building 1, No. 818 Shenchang Road, Minhang District, Shanghai, 201106</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Sinopec and Shell (Jiangsu) Petroleum Marketing Company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No. 100, Xingang Dadao, Nanjing Economic and Technological Development Zone, Nanjing, Jiangsu, 210000</w:t>
            </w:r>
          </w:p>
        </w:tc>
        <w:tc>
          <w:tcPr>
            <w:tcW w:w="224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Suzhou Liyuan Retail Site Management Co., Ltd.</w:t>
            </w:r>
          </w:p>
        </w:tc>
        <w:tc>
          <w:tcPr>
            <w:tcW w:w="5940" w:type="dxa"/>
            <w:vAlign w:val="bottom"/>
          </w:tcPr>
          <w:p>
            <w:pPr>
              <w:ind w:left="680"/>
              <w:spacing w:after="0"/>
              <w:rPr>
                <w:sz w:val="20"/>
                <w:szCs w:val="20"/>
                <w:color w:val="auto"/>
              </w:rPr>
            </w:pPr>
            <w:r>
              <w:rPr>
                <w:rFonts w:ascii="Arial" w:cs="Arial" w:eastAsia="Arial" w:hAnsi="Arial"/>
                <w:sz w:val="7"/>
                <w:szCs w:val="7"/>
                <w:color w:val="auto"/>
              </w:rPr>
              <w:t>No. 358 Zhuhui Road, Suzhou, 215000</w:t>
            </w:r>
          </w:p>
        </w:tc>
        <w:tc>
          <w:tcPr>
            <w:tcW w:w="22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Yanchang and Shell (Guangdong) Petroleum Co., Ltd.</w:t>
            </w:r>
          </w:p>
        </w:tc>
        <w:tc>
          <w:tcPr>
            <w:tcW w:w="5940" w:type="dxa"/>
            <w:vAlign w:val="bottom"/>
          </w:tcPr>
          <w:p>
            <w:pPr>
              <w:ind w:left="680"/>
              <w:spacing w:after="0"/>
              <w:rPr>
                <w:sz w:val="20"/>
                <w:szCs w:val="20"/>
                <w:color w:val="auto"/>
              </w:rPr>
            </w:pPr>
            <w:r>
              <w:rPr>
                <w:rFonts w:ascii="Arial" w:cs="Arial" w:eastAsia="Arial" w:hAnsi="Arial"/>
                <w:sz w:val="7"/>
                <w:szCs w:val="7"/>
                <w:color w:val="auto"/>
              </w:rPr>
              <w:t>39th Floor as Planning-designed (41st Floor as Self-designated), Leatop Plaza, No. 32 East Zhujiang Road, Zhujiang New Town, Tianhe District, Guangzhou</w:t>
            </w:r>
          </w:p>
        </w:tc>
        <w:tc>
          <w:tcPr>
            <w:tcW w:w="224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Yanchang and Shell (Sichuan) Petroleum Company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23F, Yanlord Square, Section 2, Renmin South Road, Chengdu, Sichuan, 610016</w:t>
            </w:r>
          </w:p>
        </w:tc>
        <w:tc>
          <w:tcPr>
            <w:tcW w:w="2240" w:type="dxa"/>
            <w:vAlign w:val="bottom"/>
          </w:tcPr>
          <w:p>
            <w:pPr>
              <w:jc w:val="right"/>
              <w:spacing w:after="0"/>
              <w:rPr>
                <w:sz w:val="20"/>
                <w:szCs w:val="20"/>
                <w:color w:val="auto"/>
              </w:rPr>
            </w:pPr>
            <w:r>
              <w:rPr>
                <w:rFonts w:ascii="Arial" w:cs="Arial" w:eastAsia="Arial" w:hAnsi="Arial"/>
                <w:sz w:val="7"/>
                <w:szCs w:val="7"/>
                <w:color w:val="auto"/>
              </w:rPr>
              <w:t>45</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Yanchang and Shell Petroleum Company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18th Floor, Tower 1, Yongli International Finance Centre, Jinye No. 1 Road, High-tech District, Xi'an, 710075</w:t>
            </w:r>
          </w:p>
        </w:tc>
        <w:tc>
          <w:tcPr>
            <w:tcW w:w="2240" w:type="dxa"/>
            <w:vAlign w:val="bottom"/>
          </w:tcPr>
          <w:p>
            <w:pPr>
              <w:jc w:val="right"/>
              <w:spacing w:after="0"/>
              <w:rPr>
                <w:sz w:val="20"/>
                <w:szCs w:val="20"/>
                <w:color w:val="auto"/>
              </w:rPr>
            </w:pPr>
            <w:r>
              <w:rPr>
                <w:rFonts w:ascii="Arial" w:cs="Arial" w:eastAsia="Arial" w:hAnsi="Arial"/>
                <w:sz w:val="7"/>
                <w:szCs w:val="7"/>
                <w:color w:val="auto"/>
              </w:rPr>
              <w:t>45</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Zhangjiakou City Transport and Shell New Energy Co., Ltd</w:t>
            </w:r>
          </w:p>
        </w:tc>
        <w:tc>
          <w:tcPr>
            <w:tcW w:w="5940" w:type="dxa"/>
            <w:vAlign w:val="bottom"/>
          </w:tcPr>
          <w:p>
            <w:pPr>
              <w:ind w:left="680"/>
              <w:spacing w:after="0"/>
              <w:rPr>
                <w:sz w:val="20"/>
                <w:szCs w:val="20"/>
                <w:color w:val="auto"/>
              </w:rPr>
            </w:pPr>
            <w:r>
              <w:rPr>
                <w:rFonts w:ascii="Arial" w:cs="Arial" w:eastAsia="Arial" w:hAnsi="Arial"/>
                <w:sz w:val="7"/>
                <w:szCs w:val="7"/>
                <w:color w:val="auto"/>
              </w:rPr>
              <w:t>Building No. 2, Hebei Guokong Northern Silicon Valley Hi, No. 28 East Zhanqian Street, Qiaodong Di, Zhangjiakou, 075000</w:t>
            </w:r>
          </w:p>
        </w:tc>
        <w:tc>
          <w:tcPr>
            <w:tcW w:w="2240" w:type="dxa"/>
            <w:vAlign w:val="bottom"/>
          </w:tcPr>
          <w:p>
            <w:pPr>
              <w:jc w:val="right"/>
              <w:spacing w:after="0"/>
              <w:rPr>
                <w:sz w:val="20"/>
                <w:szCs w:val="20"/>
                <w:color w:val="auto"/>
              </w:rPr>
            </w:pPr>
            <w:r>
              <w:rPr>
                <w:rFonts w:ascii="Arial" w:cs="Arial" w:eastAsia="Arial" w:hAnsi="Arial"/>
                <w:sz w:val="7"/>
                <w:szCs w:val="7"/>
                <w:color w:val="auto"/>
              </w:rPr>
              <w:t>48</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Zhejiang Shell Fuels Company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Room 2103, North Tower, Yefeng Modern Center, No. 161, Shaoxing Road, Xiacheng District, Hangzhou, Zhejiang, 310004</w:t>
            </w:r>
          </w:p>
        </w:tc>
        <w:tc>
          <w:tcPr>
            <w:tcW w:w="224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Zhejiang Shell Oil and Petrochemical Company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The Port of Zhapu, Jiaxing Municipality, Zhejiang, 314201</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Zhejiang Transfar and Shell Energy Company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Rm 1503, Building 2, Plaza of ZBA, No. 939 Minhe Road, Ningwei Street, Xiaoshan, Hangzhou, Zhejiang, 311215</w:t>
            </w:r>
          </w:p>
        </w:tc>
        <w:tc>
          <w:tcPr>
            <w:tcW w:w="224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3080" w:type="dxa"/>
            <w:vAlign w:val="bottom"/>
          </w:tcPr>
          <w:p>
            <w:pPr>
              <w:spacing w:after="0"/>
              <w:rPr>
                <w:sz w:val="20"/>
                <w:szCs w:val="20"/>
                <w:color w:val="auto"/>
              </w:rPr>
            </w:pPr>
            <w:r>
              <w:rPr>
                <w:rFonts w:ascii="Arial" w:cs="Arial" w:eastAsia="Arial" w:hAnsi="Arial"/>
                <w:sz w:val="7"/>
                <w:szCs w:val="7"/>
                <w:color w:val="auto"/>
              </w:rPr>
              <w:t>COLOMBIA</w:t>
            </w:r>
          </w:p>
        </w:tc>
        <w:tc>
          <w:tcPr>
            <w:tcW w:w="594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Colombia S.A.</w:t>
            </w:r>
          </w:p>
        </w:tc>
        <w:tc>
          <w:tcPr>
            <w:tcW w:w="5940" w:type="dxa"/>
            <w:vAlign w:val="bottom"/>
          </w:tcPr>
          <w:p>
            <w:pPr>
              <w:ind w:left="680"/>
              <w:spacing w:after="0"/>
              <w:rPr>
                <w:sz w:val="20"/>
                <w:szCs w:val="20"/>
                <w:color w:val="auto"/>
              </w:rPr>
            </w:pPr>
            <w:r>
              <w:rPr>
                <w:rFonts w:ascii="Arial" w:cs="Arial" w:eastAsia="Arial" w:hAnsi="Arial"/>
                <w:sz w:val="7"/>
                <w:szCs w:val="7"/>
                <w:color w:val="auto"/>
              </w:rPr>
              <w:t>Calle 90 No. 19 - 41, Oficina 702- Edificio Quantum, Bogotá, 452</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spacing w:after="0"/>
              <w:rPr>
                <w:sz w:val="20"/>
                <w:szCs w:val="20"/>
                <w:color w:val="auto"/>
              </w:rPr>
            </w:pPr>
            <w:r>
              <w:rPr>
                <w:rFonts w:ascii="Arial" w:cs="Arial" w:eastAsia="Arial" w:hAnsi="Arial"/>
                <w:sz w:val="7"/>
                <w:szCs w:val="7"/>
                <w:color w:val="auto"/>
              </w:rPr>
              <w:t>COOK ISLANDS</w:t>
            </w:r>
          </w:p>
        </w:tc>
        <w:tc>
          <w:tcPr>
            <w:tcW w:w="594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Branstone (International) Limited [g]</w:t>
            </w:r>
          </w:p>
        </w:tc>
        <w:tc>
          <w:tcPr>
            <w:tcW w:w="5940" w:type="dxa"/>
            <w:vAlign w:val="bottom"/>
          </w:tcPr>
          <w:p>
            <w:pPr>
              <w:ind w:left="680"/>
              <w:spacing w:after="0"/>
              <w:rPr>
                <w:sz w:val="20"/>
                <w:szCs w:val="20"/>
                <w:color w:val="auto"/>
              </w:rPr>
            </w:pPr>
            <w:r>
              <w:rPr>
                <w:rFonts w:ascii="Arial" w:cs="Arial" w:eastAsia="Arial" w:hAnsi="Arial"/>
                <w:sz w:val="7"/>
                <w:szCs w:val="7"/>
                <w:color w:val="auto"/>
              </w:rPr>
              <w:t>Bermuda House, Tutakimoa Road, Rarotonga</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spacing w:after="0"/>
              <w:rPr>
                <w:sz w:val="20"/>
                <w:szCs w:val="20"/>
                <w:color w:val="auto"/>
              </w:rPr>
            </w:pPr>
            <w:r>
              <w:rPr>
                <w:rFonts w:ascii="Arial" w:cs="Arial" w:eastAsia="Arial" w:hAnsi="Arial"/>
                <w:sz w:val="7"/>
                <w:szCs w:val="7"/>
                <w:color w:val="auto"/>
              </w:rPr>
              <w:t>CÔTE D'IVOIRE</w:t>
            </w:r>
          </w:p>
        </w:tc>
        <w:tc>
          <w:tcPr>
            <w:tcW w:w="594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Cote d'Ivoire GNL</w:t>
            </w:r>
          </w:p>
        </w:tc>
        <w:tc>
          <w:tcPr>
            <w:tcW w:w="5940" w:type="dxa"/>
            <w:vAlign w:val="bottom"/>
          </w:tcPr>
          <w:p>
            <w:pPr>
              <w:ind w:left="680"/>
              <w:spacing w:after="0"/>
              <w:rPr>
                <w:sz w:val="20"/>
                <w:szCs w:val="20"/>
                <w:color w:val="auto"/>
              </w:rPr>
            </w:pPr>
            <w:r>
              <w:rPr>
                <w:rFonts w:ascii="Arial" w:cs="Arial" w:eastAsia="Arial" w:hAnsi="Arial"/>
                <w:sz w:val="7"/>
                <w:szCs w:val="7"/>
                <w:color w:val="auto"/>
              </w:rPr>
              <w:t>14, Blvd Carde, Imm. Les Heveas, Plateau, Abidjan, BP V 194</w:t>
            </w:r>
          </w:p>
        </w:tc>
        <w:tc>
          <w:tcPr>
            <w:tcW w:w="2240" w:type="dxa"/>
            <w:vAlign w:val="bottom"/>
          </w:tcPr>
          <w:p>
            <w:pPr>
              <w:jc w:val="right"/>
              <w:spacing w:after="0"/>
              <w:rPr>
                <w:sz w:val="20"/>
                <w:szCs w:val="20"/>
                <w:color w:val="auto"/>
              </w:rPr>
            </w:pPr>
            <w:r>
              <w:rPr>
                <w:rFonts w:ascii="Arial" w:cs="Arial" w:eastAsia="Arial" w:hAnsi="Arial"/>
                <w:sz w:val="7"/>
                <w:szCs w:val="7"/>
                <w:color w:val="auto"/>
              </w:rPr>
              <w:t>13</w:t>
            </w:r>
          </w:p>
        </w:tc>
      </w:tr>
      <w:tr>
        <w:trPr>
          <w:trHeight w:val="108"/>
        </w:trPr>
        <w:tc>
          <w:tcPr>
            <w:tcW w:w="3080" w:type="dxa"/>
            <w:vAlign w:val="bottom"/>
          </w:tcPr>
          <w:p>
            <w:pPr>
              <w:spacing w:after="0"/>
              <w:rPr>
                <w:sz w:val="20"/>
                <w:szCs w:val="20"/>
                <w:color w:val="auto"/>
              </w:rPr>
            </w:pPr>
            <w:r>
              <w:rPr>
                <w:rFonts w:ascii="Arial" w:cs="Arial" w:eastAsia="Arial" w:hAnsi="Arial"/>
                <w:sz w:val="7"/>
                <w:szCs w:val="7"/>
                <w:color w:val="auto"/>
              </w:rPr>
              <w:t>CYPRUS</w:t>
            </w:r>
          </w:p>
        </w:tc>
        <w:tc>
          <w:tcPr>
            <w:tcW w:w="594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Rosneft-Shell Caspian Ventures Limited</w:t>
            </w:r>
          </w:p>
        </w:tc>
        <w:tc>
          <w:tcPr>
            <w:tcW w:w="5940" w:type="dxa"/>
            <w:vAlign w:val="bottom"/>
          </w:tcPr>
          <w:p>
            <w:pPr>
              <w:ind w:left="680"/>
              <w:spacing w:after="0"/>
              <w:rPr>
                <w:sz w:val="20"/>
                <w:szCs w:val="20"/>
                <w:color w:val="auto"/>
              </w:rPr>
            </w:pPr>
            <w:r>
              <w:rPr>
                <w:rFonts w:ascii="Arial" w:cs="Arial" w:eastAsia="Arial" w:hAnsi="Arial"/>
                <w:sz w:val="7"/>
                <w:szCs w:val="7"/>
                <w:color w:val="auto"/>
              </w:rPr>
              <w:t>Metochiou str, 37, Agios Andreas, Nicosia, CY-1101</w:t>
            </w:r>
          </w:p>
        </w:tc>
        <w:tc>
          <w:tcPr>
            <w:tcW w:w="224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3080" w:type="dxa"/>
            <w:vAlign w:val="bottom"/>
          </w:tcPr>
          <w:p>
            <w:pPr>
              <w:spacing w:after="0"/>
              <w:rPr>
                <w:sz w:val="20"/>
                <w:szCs w:val="20"/>
                <w:color w:val="auto"/>
              </w:rPr>
            </w:pPr>
            <w:r>
              <w:rPr>
                <w:rFonts w:ascii="Arial" w:cs="Arial" w:eastAsia="Arial" w:hAnsi="Arial"/>
                <w:sz w:val="7"/>
                <w:szCs w:val="7"/>
                <w:color w:val="auto"/>
              </w:rPr>
              <w:t>CZECH REPUBLIC</w:t>
            </w:r>
          </w:p>
        </w:tc>
        <w:tc>
          <w:tcPr>
            <w:tcW w:w="594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Czech Republic a.s.</w:t>
            </w:r>
          </w:p>
        </w:tc>
        <w:tc>
          <w:tcPr>
            <w:tcW w:w="5940" w:type="dxa"/>
            <w:vAlign w:val="bottom"/>
          </w:tcPr>
          <w:p>
            <w:pPr>
              <w:ind w:left="680"/>
              <w:spacing w:after="0"/>
              <w:rPr>
                <w:sz w:val="20"/>
                <w:szCs w:val="20"/>
                <w:color w:val="auto"/>
              </w:rPr>
            </w:pPr>
            <w:r>
              <w:rPr>
                <w:rFonts w:ascii="Arial" w:cs="Arial" w:eastAsia="Arial" w:hAnsi="Arial"/>
                <w:sz w:val="7"/>
                <w:szCs w:val="7"/>
                <w:color w:val="auto"/>
              </w:rPr>
              <w:t>Antala Staška 2027/77, Praha 4, 140 00</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spacing w:after="0"/>
              <w:rPr>
                <w:sz w:val="20"/>
                <w:szCs w:val="20"/>
                <w:color w:val="auto"/>
              </w:rPr>
            </w:pPr>
            <w:r>
              <w:rPr>
                <w:rFonts w:ascii="Arial" w:cs="Arial" w:eastAsia="Arial" w:hAnsi="Arial"/>
                <w:sz w:val="7"/>
                <w:szCs w:val="7"/>
                <w:color w:val="auto"/>
              </w:rPr>
              <w:t>DENMARK</w:t>
            </w:r>
          </w:p>
        </w:tc>
        <w:tc>
          <w:tcPr>
            <w:tcW w:w="594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A/S Dansk Shell</w:t>
            </w:r>
          </w:p>
        </w:tc>
        <w:tc>
          <w:tcPr>
            <w:tcW w:w="5940" w:type="dxa"/>
            <w:vAlign w:val="bottom"/>
          </w:tcPr>
          <w:p>
            <w:pPr>
              <w:ind w:left="680"/>
              <w:spacing w:after="0"/>
              <w:rPr>
                <w:sz w:val="20"/>
                <w:szCs w:val="20"/>
                <w:color w:val="auto"/>
              </w:rPr>
            </w:pPr>
            <w:r>
              <w:rPr>
                <w:rFonts w:ascii="Arial" w:cs="Arial" w:eastAsia="Arial" w:hAnsi="Arial"/>
                <w:sz w:val="7"/>
                <w:szCs w:val="7"/>
                <w:color w:val="auto"/>
              </w:rPr>
              <w:t>Egeskovvej 265, Fredericia, 7000</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DCC &amp; Shell Aviation Denmark A/S</w:t>
            </w:r>
          </w:p>
        </w:tc>
        <w:tc>
          <w:tcPr>
            <w:tcW w:w="5940" w:type="dxa"/>
            <w:vAlign w:val="bottom"/>
          </w:tcPr>
          <w:p>
            <w:pPr>
              <w:ind w:left="680"/>
              <w:spacing w:after="0"/>
              <w:rPr>
                <w:sz w:val="20"/>
                <w:szCs w:val="20"/>
                <w:color w:val="auto"/>
              </w:rPr>
            </w:pPr>
            <w:r>
              <w:rPr>
                <w:rFonts w:ascii="Arial" w:cs="Arial" w:eastAsia="Arial" w:hAnsi="Arial"/>
                <w:sz w:val="7"/>
                <w:szCs w:val="7"/>
                <w:color w:val="auto"/>
              </w:rPr>
              <w:t>Nærum Hovedgade 8, Naerum, 2850</w:t>
            </w:r>
          </w:p>
        </w:tc>
        <w:tc>
          <w:tcPr>
            <w:tcW w:w="224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EP Holdingselskab Danmark ApS</w:t>
            </w:r>
          </w:p>
        </w:tc>
        <w:tc>
          <w:tcPr>
            <w:tcW w:w="5940" w:type="dxa"/>
            <w:vAlign w:val="bottom"/>
          </w:tcPr>
          <w:p>
            <w:pPr>
              <w:ind w:left="680"/>
              <w:spacing w:after="0"/>
              <w:rPr>
                <w:sz w:val="20"/>
                <w:szCs w:val="20"/>
                <w:color w:val="auto"/>
              </w:rPr>
            </w:pPr>
            <w:r>
              <w:rPr>
                <w:rFonts w:ascii="Arial" w:cs="Arial" w:eastAsia="Arial" w:hAnsi="Arial"/>
                <w:sz w:val="7"/>
                <w:szCs w:val="7"/>
                <w:color w:val="auto"/>
              </w:rPr>
              <w:t>Egeskovvej 265, Fredericia, 7000</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TetraSpar Demonstrator ApS</w:t>
            </w:r>
          </w:p>
        </w:tc>
        <w:tc>
          <w:tcPr>
            <w:tcW w:w="5940" w:type="dxa"/>
            <w:vAlign w:val="bottom"/>
          </w:tcPr>
          <w:p>
            <w:pPr>
              <w:ind w:left="680"/>
              <w:spacing w:after="0"/>
              <w:rPr>
                <w:sz w:val="20"/>
                <w:szCs w:val="20"/>
                <w:color w:val="auto"/>
              </w:rPr>
            </w:pPr>
            <w:r>
              <w:rPr>
                <w:rFonts w:ascii="Arial" w:cs="Arial" w:eastAsia="Arial" w:hAnsi="Arial"/>
                <w:sz w:val="7"/>
                <w:szCs w:val="7"/>
                <w:color w:val="auto"/>
              </w:rPr>
              <w:t>Bredgade 30, København K, 1260</w:t>
            </w:r>
          </w:p>
        </w:tc>
        <w:tc>
          <w:tcPr>
            <w:tcW w:w="2240" w:type="dxa"/>
            <w:vAlign w:val="bottom"/>
          </w:tcPr>
          <w:p>
            <w:pPr>
              <w:jc w:val="right"/>
              <w:spacing w:after="0"/>
              <w:rPr>
                <w:sz w:val="20"/>
                <w:szCs w:val="20"/>
                <w:color w:val="auto"/>
              </w:rPr>
            </w:pPr>
            <w:r>
              <w:rPr>
                <w:rFonts w:ascii="Arial" w:cs="Arial" w:eastAsia="Arial" w:hAnsi="Arial"/>
                <w:sz w:val="7"/>
                <w:szCs w:val="7"/>
                <w:color w:val="auto"/>
              </w:rPr>
              <w:t>66</w:t>
            </w:r>
          </w:p>
        </w:tc>
      </w:tr>
      <w:tr>
        <w:trPr>
          <w:trHeight w:val="108"/>
        </w:trPr>
        <w:tc>
          <w:tcPr>
            <w:tcW w:w="3080" w:type="dxa"/>
            <w:vAlign w:val="bottom"/>
          </w:tcPr>
          <w:p>
            <w:pPr>
              <w:spacing w:after="0"/>
              <w:rPr>
                <w:sz w:val="20"/>
                <w:szCs w:val="20"/>
                <w:color w:val="auto"/>
              </w:rPr>
            </w:pPr>
            <w:r>
              <w:rPr>
                <w:rFonts w:ascii="Arial" w:cs="Arial" w:eastAsia="Arial" w:hAnsi="Arial"/>
                <w:sz w:val="7"/>
                <w:szCs w:val="7"/>
                <w:color w:val="auto"/>
              </w:rPr>
              <w:t>EGYPT</w:t>
            </w:r>
          </w:p>
        </w:tc>
        <w:tc>
          <w:tcPr>
            <w:tcW w:w="594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Alam El Shawish Petroleum Company [b]</w:t>
            </w:r>
          </w:p>
        </w:tc>
        <w:tc>
          <w:tcPr>
            <w:tcW w:w="5940" w:type="dxa"/>
            <w:vAlign w:val="bottom"/>
          </w:tcPr>
          <w:p>
            <w:pPr>
              <w:ind w:left="680"/>
              <w:spacing w:after="0"/>
              <w:rPr>
                <w:sz w:val="20"/>
                <w:szCs w:val="20"/>
                <w:color w:val="auto"/>
              </w:rPr>
            </w:pPr>
            <w:r>
              <w:rPr>
                <w:rFonts w:ascii="Arial" w:cs="Arial" w:eastAsia="Arial" w:hAnsi="Arial"/>
                <w:sz w:val="7"/>
                <w:szCs w:val="7"/>
                <w:color w:val="auto"/>
              </w:rPr>
              <w:t>127 Abdel Aziz Fahmy St., Heliopolis, P.O. Box 5958, Cairo, 5958</w:t>
            </w:r>
          </w:p>
        </w:tc>
        <w:tc>
          <w:tcPr>
            <w:tcW w:w="224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Badr Petroleum Company [b]</w:t>
            </w:r>
          </w:p>
        </w:tc>
        <w:tc>
          <w:tcPr>
            <w:tcW w:w="5940" w:type="dxa"/>
            <w:vAlign w:val="bottom"/>
          </w:tcPr>
          <w:p>
            <w:pPr>
              <w:ind w:left="680"/>
              <w:spacing w:after="0"/>
              <w:rPr>
                <w:sz w:val="20"/>
                <w:szCs w:val="20"/>
                <w:color w:val="auto"/>
              </w:rPr>
            </w:pPr>
            <w:r>
              <w:rPr>
                <w:rFonts w:ascii="Arial" w:cs="Arial" w:eastAsia="Arial" w:hAnsi="Arial"/>
                <w:sz w:val="7"/>
                <w:szCs w:val="7"/>
                <w:color w:val="auto"/>
              </w:rPr>
              <w:t>127 Abdel Aziz Fahmy St., Heliopolis, P.O. Box 5958, Cairo, 5958</w:t>
            </w:r>
          </w:p>
        </w:tc>
        <w:tc>
          <w:tcPr>
            <w:tcW w:w="22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Burullus Gas Company S.A.E. [b]</w:t>
            </w:r>
          </w:p>
        </w:tc>
        <w:tc>
          <w:tcPr>
            <w:tcW w:w="5940" w:type="dxa"/>
            <w:vAlign w:val="bottom"/>
          </w:tcPr>
          <w:p>
            <w:pPr>
              <w:ind w:left="680"/>
              <w:spacing w:after="0"/>
              <w:rPr>
                <w:sz w:val="20"/>
                <w:szCs w:val="20"/>
                <w:color w:val="auto"/>
              </w:rPr>
            </w:pPr>
            <w:r>
              <w:rPr>
                <w:rFonts w:ascii="Arial" w:cs="Arial" w:eastAsia="Arial" w:hAnsi="Arial"/>
                <w:sz w:val="7"/>
                <w:szCs w:val="7"/>
                <w:color w:val="auto"/>
              </w:rPr>
              <w:t>28 Road 270, Maadi, Cairo</w:t>
            </w:r>
          </w:p>
        </w:tc>
        <w:tc>
          <w:tcPr>
            <w:tcW w:w="2240" w:type="dxa"/>
            <w:vAlign w:val="bottom"/>
          </w:tcPr>
          <w:p>
            <w:pPr>
              <w:jc w:val="right"/>
              <w:spacing w:after="0"/>
              <w:rPr>
                <w:sz w:val="20"/>
                <w:szCs w:val="20"/>
                <w:color w:val="auto"/>
              </w:rPr>
            </w:pPr>
            <w:r>
              <w:rPr>
                <w:rFonts w:ascii="Arial" w:cs="Arial" w:eastAsia="Arial" w:hAnsi="Arial"/>
                <w:sz w:val="7"/>
                <w:szCs w:val="7"/>
                <w:color w:val="auto"/>
              </w:rPr>
              <w:t>25</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El Behera Natural Gas Liquefaction Company S.A.E.</w:t>
            </w:r>
          </w:p>
        </w:tc>
        <w:tc>
          <w:tcPr>
            <w:tcW w:w="5940" w:type="dxa"/>
            <w:vAlign w:val="bottom"/>
          </w:tcPr>
          <w:p>
            <w:pPr>
              <w:ind w:left="680"/>
              <w:spacing w:after="0"/>
              <w:rPr>
                <w:sz w:val="20"/>
                <w:szCs w:val="20"/>
                <w:color w:val="auto"/>
              </w:rPr>
            </w:pPr>
            <w:r>
              <w:rPr>
                <w:rFonts w:ascii="Arial" w:cs="Arial" w:eastAsia="Arial" w:hAnsi="Arial"/>
                <w:sz w:val="7"/>
                <w:szCs w:val="7"/>
                <w:color w:val="auto"/>
              </w:rPr>
              <w:t>City of Rashid, El Behera Governorate</w:t>
            </w:r>
          </w:p>
        </w:tc>
        <w:tc>
          <w:tcPr>
            <w:tcW w:w="2240" w:type="dxa"/>
            <w:vAlign w:val="bottom"/>
          </w:tcPr>
          <w:p>
            <w:pPr>
              <w:jc w:val="right"/>
              <w:spacing w:after="0"/>
              <w:rPr>
                <w:sz w:val="20"/>
                <w:szCs w:val="20"/>
                <w:color w:val="auto"/>
              </w:rPr>
            </w:pPr>
            <w:r>
              <w:rPr>
                <w:rFonts w:ascii="Arial" w:cs="Arial" w:eastAsia="Arial" w:hAnsi="Arial"/>
                <w:sz w:val="7"/>
                <w:szCs w:val="7"/>
                <w:color w:val="auto"/>
              </w:rPr>
              <w:t>36</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IDKU Natural Gas Liquefaction Company S.A.E.</w:t>
            </w:r>
          </w:p>
        </w:tc>
        <w:tc>
          <w:tcPr>
            <w:tcW w:w="5940" w:type="dxa"/>
            <w:vAlign w:val="bottom"/>
          </w:tcPr>
          <w:p>
            <w:pPr>
              <w:ind w:left="680"/>
              <w:spacing w:after="0"/>
              <w:rPr>
                <w:sz w:val="20"/>
                <w:szCs w:val="20"/>
                <w:color w:val="auto"/>
              </w:rPr>
            </w:pPr>
            <w:r>
              <w:rPr>
                <w:rFonts w:ascii="Arial" w:cs="Arial" w:eastAsia="Arial" w:hAnsi="Arial"/>
                <w:sz w:val="7"/>
                <w:szCs w:val="7"/>
                <w:color w:val="auto"/>
              </w:rPr>
              <w:t>City of Rashid, El Behera Governorate</w:t>
            </w:r>
          </w:p>
        </w:tc>
        <w:tc>
          <w:tcPr>
            <w:tcW w:w="2240" w:type="dxa"/>
            <w:vAlign w:val="bottom"/>
          </w:tcPr>
          <w:p>
            <w:pPr>
              <w:jc w:val="right"/>
              <w:spacing w:after="0"/>
              <w:rPr>
                <w:sz w:val="20"/>
                <w:szCs w:val="20"/>
                <w:color w:val="auto"/>
              </w:rPr>
            </w:pPr>
            <w:r>
              <w:rPr>
                <w:rFonts w:ascii="Arial" w:cs="Arial" w:eastAsia="Arial" w:hAnsi="Arial"/>
                <w:sz w:val="7"/>
                <w:szCs w:val="7"/>
                <w:color w:val="auto"/>
              </w:rPr>
              <w:t>38</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North Alam El-Shawish Petroleum Company [b]</w:t>
            </w:r>
          </w:p>
        </w:tc>
        <w:tc>
          <w:tcPr>
            <w:tcW w:w="5940" w:type="dxa"/>
            <w:vAlign w:val="bottom"/>
          </w:tcPr>
          <w:p>
            <w:pPr>
              <w:ind w:left="680"/>
              <w:spacing w:after="0"/>
              <w:rPr>
                <w:sz w:val="20"/>
                <w:szCs w:val="20"/>
                <w:color w:val="auto"/>
              </w:rPr>
            </w:pPr>
            <w:r>
              <w:rPr>
                <w:rFonts w:ascii="Arial" w:cs="Arial" w:eastAsia="Arial" w:hAnsi="Arial"/>
                <w:sz w:val="7"/>
                <w:szCs w:val="7"/>
                <w:color w:val="auto"/>
              </w:rPr>
              <w:t>127 Abdel Aziz Fahmy St., Heliopolis, P.O. Box 5958, Cairo, 5958</w:t>
            </w:r>
          </w:p>
        </w:tc>
        <w:tc>
          <w:tcPr>
            <w:tcW w:w="22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North Um Baraka Petroleum Company [b]</w:t>
            </w:r>
          </w:p>
        </w:tc>
        <w:tc>
          <w:tcPr>
            <w:tcW w:w="5940" w:type="dxa"/>
            <w:vAlign w:val="bottom"/>
          </w:tcPr>
          <w:p>
            <w:pPr>
              <w:ind w:left="680"/>
              <w:spacing w:after="0"/>
              <w:rPr>
                <w:sz w:val="20"/>
                <w:szCs w:val="20"/>
                <w:color w:val="auto"/>
              </w:rPr>
            </w:pPr>
            <w:r>
              <w:rPr>
                <w:rFonts w:ascii="Arial" w:cs="Arial" w:eastAsia="Arial" w:hAnsi="Arial"/>
                <w:sz w:val="7"/>
                <w:szCs w:val="7"/>
                <w:color w:val="auto"/>
              </w:rPr>
              <w:t>127 Abdel Aziz Fahmy St., Heliopolis, P.O. Box 5958, Cairo, 5958</w:t>
            </w:r>
          </w:p>
        </w:tc>
        <w:tc>
          <w:tcPr>
            <w:tcW w:w="2240" w:type="dxa"/>
            <w:vAlign w:val="bottom"/>
          </w:tcPr>
          <w:p>
            <w:pPr>
              <w:jc w:val="right"/>
              <w:ind w:right="1424"/>
              <w:spacing w:after="0"/>
              <w:rPr>
                <w:sz w:val="20"/>
                <w:szCs w:val="20"/>
                <w:color w:val="auto"/>
              </w:rPr>
            </w:pPr>
            <w:r>
              <w:rPr>
                <w:rFonts w:ascii="Arial" w:cs="Arial" w:eastAsia="Arial" w:hAnsi="Arial"/>
                <w:sz w:val="7"/>
                <w:szCs w:val="7"/>
                <w:color w:val="auto"/>
              </w:rPr>
              <w:t>50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Obaiyed Petroleum Company [b]</w:t>
            </w:r>
          </w:p>
        </w:tc>
        <w:tc>
          <w:tcPr>
            <w:tcW w:w="5940" w:type="dxa"/>
            <w:vAlign w:val="bottom"/>
          </w:tcPr>
          <w:p>
            <w:pPr>
              <w:ind w:left="680"/>
              <w:spacing w:after="0"/>
              <w:rPr>
                <w:sz w:val="20"/>
                <w:szCs w:val="20"/>
                <w:color w:val="auto"/>
              </w:rPr>
            </w:pPr>
            <w:r>
              <w:rPr>
                <w:rFonts w:ascii="Arial" w:cs="Arial" w:eastAsia="Arial" w:hAnsi="Arial"/>
                <w:sz w:val="7"/>
                <w:szCs w:val="7"/>
                <w:color w:val="auto"/>
              </w:rPr>
              <w:t>127 Abdel Aziz Fahmy St., Heliopolis, P.O. Box 5958, Cairo, 5958</w:t>
            </w:r>
          </w:p>
        </w:tc>
        <w:tc>
          <w:tcPr>
            <w:tcW w:w="22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Rashid Petroleum Company S.A.E. [b]</w:t>
            </w:r>
          </w:p>
        </w:tc>
        <w:tc>
          <w:tcPr>
            <w:tcW w:w="5940" w:type="dxa"/>
            <w:vAlign w:val="bottom"/>
          </w:tcPr>
          <w:p>
            <w:pPr>
              <w:ind w:left="680"/>
              <w:spacing w:after="0"/>
              <w:rPr>
                <w:sz w:val="20"/>
                <w:szCs w:val="20"/>
                <w:color w:val="auto"/>
              </w:rPr>
            </w:pPr>
            <w:r>
              <w:rPr>
                <w:rFonts w:ascii="Arial" w:cs="Arial" w:eastAsia="Arial" w:hAnsi="Arial"/>
                <w:sz w:val="7"/>
                <w:szCs w:val="7"/>
                <w:color w:val="auto"/>
              </w:rPr>
              <w:t>38 Street No. 270, Maadi, Cairo</w:t>
            </w:r>
          </w:p>
        </w:tc>
        <w:tc>
          <w:tcPr>
            <w:tcW w:w="22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Egypt Trading</w:t>
            </w:r>
          </w:p>
        </w:tc>
        <w:tc>
          <w:tcPr>
            <w:tcW w:w="5940" w:type="dxa"/>
            <w:vAlign w:val="bottom"/>
          </w:tcPr>
          <w:p>
            <w:pPr>
              <w:ind w:left="680"/>
              <w:spacing w:after="0"/>
              <w:rPr>
                <w:sz w:val="20"/>
                <w:szCs w:val="20"/>
                <w:color w:val="auto"/>
              </w:rPr>
            </w:pPr>
            <w:r>
              <w:rPr>
                <w:rFonts w:ascii="Arial" w:cs="Arial" w:eastAsia="Arial" w:hAnsi="Arial"/>
                <w:sz w:val="7"/>
                <w:szCs w:val="7"/>
                <w:color w:val="auto"/>
              </w:rPr>
              <w:t>Business View Building, No. 79, 90 Street (South), Fifth Settlement- New Cairo, Cairo, 11835</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Lubricants Egypt</w:t>
            </w:r>
          </w:p>
        </w:tc>
        <w:tc>
          <w:tcPr>
            <w:tcW w:w="5940" w:type="dxa"/>
            <w:vAlign w:val="bottom"/>
          </w:tcPr>
          <w:p>
            <w:pPr>
              <w:ind w:left="680"/>
              <w:spacing w:after="0"/>
              <w:rPr>
                <w:sz w:val="20"/>
                <w:szCs w:val="20"/>
                <w:color w:val="auto"/>
              </w:rPr>
            </w:pPr>
            <w:r>
              <w:rPr>
                <w:rFonts w:ascii="Arial" w:cs="Arial" w:eastAsia="Arial" w:hAnsi="Arial"/>
                <w:sz w:val="7"/>
                <w:szCs w:val="7"/>
                <w:color w:val="auto"/>
              </w:rPr>
              <w:t>Business View Building, No. 79, 90 Street (South), Fifth Settlement- New Cairo, Cairo, 11835</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Sitra Petroleum Company [b]</w:t>
            </w:r>
          </w:p>
        </w:tc>
        <w:tc>
          <w:tcPr>
            <w:tcW w:w="5940" w:type="dxa"/>
            <w:vAlign w:val="bottom"/>
          </w:tcPr>
          <w:p>
            <w:pPr>
              <w:ind w:left="680"/>
              <w:spacing w:after="0"/>
              <w:rPr>
                <w:sz w:val="20"/>
                <w:szCs w:val="20"/>
                <w:color w:val="auto"/>
              </w:rPr>
            </w:pPr>
            <w:r>
              <w:rPr>
                <w:rFonts w:ascii="Arial" w:cs="Arial" w:eastAsia="Arial" w:hAnsi="Arial"/>
                <w:sz w:val="7"/>
                <w:szCs w:val="7"/>
                <w:color w:val="auto"/>
              </w:rPr>
              <w:t>127 Abdel Aziz Fahmy St., Heliopolis, P.O. Box 5958, Cairo, 5958</w:t>
            </w:r>
          </w:p>
        </w:tc>
        <w:tc>
          <w:tcPr>
            <w:tcW w:w="22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The Egyptian LNG Company S.A.E.</w:t>
            </w:r>
          </w:p>
        </w:tc>
        <w:tc>
          <w:tcPr>
            <w:tcW w:w="5940" w:type="dxa"/>
            <w:vAlign w:val="bottom"/>
          </w:tcPr>
          <w:p>
            <w:pPr>
              <w:ind w:left="680"/>
              <w:spacing w:after="0"/>
              <w:rPr>
                <w:sz w:val="20"/>
                <w:szCs w:val="20"/>
                <w:color w:val="auto"/>
              </w:rPr>
            </w:pPr>
            <w:r>
              <w:rPr>
                <w:rFonts w:ascii="Arial" w:cs="Arial" w:eastAsia="Arial" w:hAnsi="Arial"/>
                <w:sz w:val="7"/>
                <w:szCs w:val="7"/>
                <w:color w:val="auto"/>
              </w:rPr>
              <w:t>City of Rashid, El Behera Governorate</w:t>
            </w:r>
          </w:p>
        </w:tc>
        <w:tc>
          <w:tcPr>
            <w:tcW w:w="2240" w:type="dxa"/>
            <w:vAlign w:val="bottom"/>
          </w:tcPr>
          <w:p>
            <w:pPr>
              <w:jc w:val="right"/>
              <w:spacing w:after="0"/>
              <w:rPr>
                <w:sz w:val="20"/>
                <w:szCs w:val="20"/>
                <w:color w:val="auto"/>
              </w:rPr>
            </w:pPr>
            <w:r>
              <w:rPr>
                <w:rFonts w:ascii="Arial" w:cs="Arial" w:eastAsia="Arial" w:hAnsi="Arial"/>
                <w:sz w:val="7"/>
                <w:szCs w:val="7"/>
                <w:color w:val="auto"/>
              </w:rPr>
              <w:t>36</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The Egyptian Operating Company for Natural Gas Liquefaction Projects S.A.E.</w:t>
            </w:r>
          </w:p>
        </w:tc>
        <w:tc>
          <w:tcPr>
            <w:tcW w:w="5940" w:type="dxa"/>
            <w:vAlign w:val="bottom"/>
          </w:tcPr>
          <w:p>
            <w:pPr>
              <w:ind w:left="680"/>
              <w:spacing w:after="0"/>
              <w:rPr>
                <w:sz w:val="20"/>
                <w:szCs w:val="20"/>
                <w:color w:val="auto"/>
              </w:rPr>
            </w:pPr>
            <w:r>
              <w:rPr>
                <w:rFonts w:ascii="Arial" w:cs="Arial" w:eastAsia="Arial" w:hAnsi="Arial"/>
                <w:sz w:val="7"/>
                <w:szCs w:val="7"/>
                <w:color w:val="auto"/>
              </w:rPr>
              <w:t>City of Rashid, El Behera Governorate</w:t>
            </w:r>
          </w:p>
        </w:tc>
        <w:tc>
          <w:tcPr>
            <w:tcW w:w="2240" w:type="dxa"/>
            <w:vAlign w:val="bottom"/>
          </w:tcPr>
          <w:p>
            <w:pPr>
              <w:jc w:val="right"/>
              <w:spacing w:after="0"/>
              <w:rPr>
                <w:sz w:val="20"/>
                <w:szCs w:val="20"/>
                <w:color w:val="auto"/>
              </w:rPr>
            </w:pPr>
            <w:r>
              <w:rPr>
                <w:rFonts w:ascii="Arial" w:cs="Arial" w:eastAsia="Arial" w:hAnsi="Arial"/>
                <w:sz w:val="7"/>
                <w:szCs w:val="7"/>
                <w:color w:val="auto"/>
              </w:rPr>
              <w:t>36</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Tiba Petroleum Company [b]</w:t>
            </w:r>
          </w:p>
        </w:tc>
        <w:tc>
          <w:tcPr>
            <w:tcW w:w="5940" w:type="dxa"/>
            <w:vAlign w:val="bottom"/>
          </w:tcPr>
          <w:p>
            <w:pPr>
              <w:ind w:left="680"/>
              <w:spacing w:after="0"/>
              <w:rPr>
                <w:sz w:val="20"/>
                <w:szCs w:val="20"/>
                <w:color w:val="auto"/>
              </w:rPr>
            </w:pPr>
            <w:r>
              <w:rPr>
                <w:rFonts w:ascii="Arial" w:cs="Arial" w:eastAsia="Arial" w:hAnsi="Arial"/>
                <w:sz w:val="7"/>
                <w:szCs w:val="7"/>
                <w:color w:val="auto"/>
              </w:rPr>
              <w:t>127 Abdel Aziz Fahmy St., Heliopolis, P.O. Box 5958, Cairo, 5958</w:t>
            </w:r>
          </w:p>
        </w:tc>
        <w:tc>
          <w:tcPr>
            <w:tcW w:w="2240" w:type="dxa"/>
            <w:vAlign w:val="bottom"/>
          </w:tcPr>
          <w:p>
            <w:pPr>
              <w:jc w:val="right"/>
              <w:spacing w:after="0"/>
              <w:rPr>
                <w:sz w:val="20"/>
                <w:szCs w:val="20"/>
                <w:color w:val="auto"/>
              </w:rPr>
            </w:pPr>
            <w:r>
              <w:rPr>
                <w:rFonts w:ascii="Arial" w:cs="Arial" w:eastAsia="Arial" w:hAnsi="Arial"/>
                <w:sz w:val="7"/>
                <w:szCs w:val="7"/>
                <w:color w:val="auto"/>
              </w:rPr>
              <w:t>26</w:t>
            </w: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West Sitra Petroleum Company [b]</w:t>
            </w:r>
          </w:p>
        </w:tc>
        <w:tc>
          <w:tcPr>
            <w:tcW w:w="5940" w:type="dxa"/>
            <w:vAlign w:val="bottom"/>
          </w:tcPr>
          <w:p>
            <w:pPr>
              <w:ind w:left="680"/>
              <w:spacing w:after="0"/>
              <w:rPr>
                <w:sz w:val="20"/>
                <w:szCs w:val="20"/>
                <w:color w:val="auto"/>
              </w:rPr>
            </w:pPr>
            <w:r>
              <w:rPr>
                <w:rFonts w:ascii="Arial" w:cs="Arial" w:eastAsia="Arial" w:hAnsi="Arial"/>
                <w:sz w:val="7"/>
                <w:szCs w:val="7"/>
                <w:color w:val="auto"/>
              </w:rPr>
              <w:t>127 Abdel Aziz Fahmy St., Heliopolis, P.O. Box 5958, Cairo, 5958</w:t>
            </w:r>
          </w:p>
        </w:tc>
        <w:tc>
          <w:tcPr>
            <w:tcW w:w="22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3080" w:type="dxa"/>
            <w:vAlign w:val="bottom"/>
          </w:tcPr>
          <w:p>
            <w:pPr>
              <w:spacing w:after="0"/>
              <w:rPr>
                <w:sz w:val="20"/>
                <w:szCs w:val="20"/>
                <w:color w:val="auto"/>
              </w:rPr>
            </w:pPr>
            <w:r>
              <w:rPr>
                <w:rFonts w:ascii="Arial" w:cs="Arial" w:eastAsia="Arial" w:hAnsi="Arial"/>
                <w:sz w:val="7"/>
                <w:szCs w:val="7"/>
                <w:color w:val="auto"/>
              </w:rPr>
              <w:t>FINLAND</w:t>
            </w:r>
          </w:p>
        </w:tc>
        <w:tc>
          <w:tcPr>
            <w:tcW w:w="594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108"/>
        </w:trPr>
        <w:tc>
          <w:tcPr>
            <w:tcW w:w="3080" w:type="dxa"/>
            <w:vAlign w:val="bottom"/>
          </w:tcPr>
          <w:p>
            <w:pPr>
              <w:ind w:left="80"/>
              <w:spacing w:after="0"/>
              <w:rPr>
                <w:sz w:val="20"/>
                <w:szCs w:val="20"/>
                <w:color w:val="auto"/>
              </w:rPr>
            </w:pPr>
            <w:r>
              <w:rPr>
                <w:rFonts w:ascii="Arial" w:cs="Arial" w:eastAsia="Arial" w:hAnsi="Arial"/>
                <w:sz w:val="7"/>
                <w:szCs w:val="7"/>
                <w:color w:val="auto"/>
              </w:rPr>
              <w:t>Shell Aviation Finland Oy</w:t>
            </w:r>
          </w:p>
        </w:tc>
        <w:tc>
          <w:tcPr>
            <w:tcW w:w="5940" w:type="dxa"/>
            <w:vAlign w:val="bottom"/>
          </w:tcPr>
          <w:p>
            <w:pPr>
              <w:ind w:left="680"/>
              <w:spacing w:after="0"/>
              <w:rPr>
                <w:sz w:val="20"/>
                <w:szCs w:val="20"/>
                <w:color w:val="auto"/>
              </w:rPr>
            </w:pPr>
            <w:r>
              <w:rPr>
                <w:rFonts w:ascii="Arial" w:cs="Arial" w:eastAsia="Arial" w:hAnsi="Arial"/>
                <w:sz w:val="7"/>
                <w:szCs w:val="7"/>
                <w:color w:val="auto"/>
              </w:rPr>
              <w:t>Teknobulevardi 3-5, Vantaa, 01530</w:t>
            </w:r>
          </w:p>
        </w:tc>
        <w:tc>
          <w:tcPr>
            <w:tcW w:w="22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520"/>
        </w:trPr>
        <w:tc>
          <w:tcPr>
            <w:tcW w:w="3080" w:type="dxa"/>
            <w:vAlign w:val="bottom"/>
          </w:tcPr>
          <w:p>
            <w:pPr>
              <w:ind w:left="40"/>
              <w:spacing w:after="0"/>
              <w:rPr>
                <w:sz w:val="20"/>
                <w:szCs w:val="20"/>
                <w:color w:val="auto"/>
              </w:rPr>
            </w:pPr>
            <w:r>
              <w:rPr>
                <w:rFonts w:ascii="Arial" w:cs="Arial" w:eastAsia="Arial" w:hAnsi="Arial"/>
                <w:sz w:val="6"/>
                <w:szCs w:val="6"/>
                <w:color w:val="auto"/>
              </w:rPr>
              <w:t>ADDITIONAL INFORMATION SHELL FORM 20-F 2020</w:t>
            </w:r>
          </w:p>
        </w:tc>
        <w:tc>
          <w:tcPr>
            <w:tcW w:w="5940" w:type="dxa"/>
            <w:vAlign w:val="bottom"/>
          </w:tcPr>
          <w:p>
            <w:pPr>
              <w:ind w:left="2500"/>
              <w:spacing w:after="0"/>
              <w:rPr>
                <w:sz w:val="20"/>
                <w:szCs w:val="20"/>
                <w:color w:val="auto"/>
              </w:rPr>
            </w:pPr>
            <w:r>
              <w:rPr>
                <w:rFonts w:ascii="Arial" w:cs="Arial" w:eastAsia="Arial" w:hAnsi="Arial"/>
                <w:sz w:val="6"/>
                <w:szCs w:val="6"/>
                <w:color w:val="auto"/>
              </w:rPr>
              <w:t>E5</w:t>
            </w:r>
          </w:p>
        </w:tc>
        <w:tc>
          <w:tcPr>
            <w:tcW w:w="2240" w:type="dxa"/>
            <w:vAlign w:val="bottom"/>
          </w:tcPr>
          <w:p>
            <w:pPr>
              <w:spacing w:after="0"/>
              <w:rPr>
                <w:sz w:val="24"/>
                <w:szCs w:val="24"/>
                <w:color w:val="auto"/>
              </w:rPr>
            </w:pPr>
          </w:p>
        </w:tc>
      </w:tr>
    </w:tbl>
    <w:p>
      <w:pPr>
        <w:sectPr>
          <w:pgSz w:w="11900" w:h="16838" w:orient="portrait"/>
          <w:cols w:equalWidth="0" w:num="1">
            <w:col w:w="11260"/>
          </w:cols>
          <w:pgMar w:left="300" w:top="735" w:right="339" w:bottom="1440" w:gutter="0" w:footer="0" w:header="0"/>
        </w:sectPr>
      </w:pPr>
    </w:p>
    <w:bookmarkStart w:id="293" w:name="page294"/>
    <w:bookmarkEnd w:id="2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840" w:type="dxa"/>
            <w:vAlign w:val="bottom"/>
          </w:tcPr>
          <w:p>
            <w:pPr>
              <w:spacing w:after="0"/>
              <w:rPr>
                <w:sz w:val="20"/>
                <w:szCs w:val="20"/>
                <w:color w:val="auto"/>
              </w:rPr>
            </w:pPr>
            <w:r>
              <w:rPr>
                <w:rFonts w:ascii="Arial" w:cs="Arial" w:eastAsia="Arial" w:hAnsi="Arial"/>
                <w:sz w:val="7"/>
                <w:szCs w:val="7"/>
                <w:color w:val="auto"/>
              </w:rPr>
              <w:t>FRANCE</w:t>
            </w:r>
          </w:p>
        </w:tc>
        <w:tc>
          <w:tcPr>
            <w:tcW w:w="6040" w:type="dxa"/>
            <w:vAlign w:val="bottom"/>
          </w:tcPr>
          <w:p>
            <w:pPr>
              <w:spacing w:after="0"/>
              <w:rPr>
                <w:sz w:val="7"/>
                <w:szCs w:val="7"/>
                <w:color w:val="auto"/>
              </w:rPr>
            </w:pPr>
          </w:p>
        </w:tc>
        <w:tc>
          <w:tcPr>
            <w:tcW w:w="2380" w:type="dxa"/>
            <w:vAlign w:val="bottom"/>
          </w:tcPr>
          <w:p>
            <w:pPr>
              <w:spacing w:after="0"/>
              <w:rPr>
                <w:sz w:val="7"/>
                <w:szCs w:val="7"/>
                <w:color w:val="auto"/>
              </w:rPr>
            </w:pP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Accurasea</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Airefsol Energies</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67</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Airefsol Energies 2</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67</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Airefsol Energies 8</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67</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Airefsol Energies 9</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67</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Avitair SAS</w:t>
            </w:r>
          </w:p>
        </w:tc>
        <w:tc>
          <w:tcPr>
            <w:tcW w:w="6040" w:type="dxa"/>
            <w:vAlign w:val="bottom"/>
          </w:tcPr>
          <w:p>
            <w:pPr>
              <w:ind w:left="920"/>
              <w:spacing w:after="0"/>
              <w:rPr>
                <w:sz w:val="20"/>
                <w:szCs w:val="20"/>
                <w:color w:val="auto"/>
              </w:rPr>
            </w:pPr>
            <w:r>
              <w:rPr>
                <w:rFonts w:ascii="Arial" w:cs="Arial" w:eastAsia="Arial" w:hAnsi="Arial"/>
                <w:sz w:val="7"/>
                <w:szCs w:val="7"/>
                <w:color w:val="auto"/>
              </w:rPr>
              <w:t>Tour Pacific, 11/13 Cours Valmy - La Défense, Puteaux, 92800</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Centrale Photovoltaïque Bouches-du-Rhône 1</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Centrale Photovoltaïque Haute-Vienne 1</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Centrale Photovoltaïque Landes 1</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Centrale Photovoltaïque Var 1</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Eolfi Offshore France</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Eolfi SAS</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Eoliennes du Gentilhomme</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Ferme Eolienne Flottante de Groix &amp; Belle-Ile</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Ferme Eolienne Flottante Stenella Rhône</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Groupement Pétrolier Aviation SNC</w:t>
            </w:r>
          </w:p>
        </w:tc>
        <w:tc>
          <w:tcPr>
            <w:tcW w:w="6040" w:type="dxa"/>
            <w:vAlign w:val="bottom"/>
          </w:tcPr>
          <w:p>
            <w:pPr>
              <w:ind w:left="920"/>
              <w:spacing w:after="0"/>
              <w:rPr>
                <w:sz w:val="20"/>
                <w:szCs w:val="20"/>
                <w:color w:val="auto"/>
              </w:rPr>
            </w:pPr>
            <w:r>
              <w:rPr>
                <w:rFonts w:ascii="Arial" w:cs="Arial" w:eastAsia="Arial" w:hAnsi="Arial"/>
                <w:sz w:val="7"/>
                <w:szCs w:val="7"/>
                <w:color w:val="auto"/>
              </w:rPr>
              <w:t>Aéroport Roissy Charles de Gaulle, Zone de Frêt 1, 3 Rue des Vignes, Tremblay-en-France, 93290</w:t>
            </w:r>
          </w:p>
        </w:tc>
        <w:tc>
          <w:tcPr>
            <w:tcW w:w="238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Infineum France</w:t>
            </w:r>
          </w:p>
        </w:tc>
        <w:tc>
          <w:tcPr>
            <w:tcW w:w="6040" w:type="dxa"/>
            <w:vAlign w:val="bottom"/>
          </w:tcPr>
          <w:p>
            <w:pPr>
              <w:ind w:left="920"/>
              <w:spacing w:after="0"/>
              <w:rPr>
                <w:sz w:val="20"/>
                <w:szCs w:val="20"/>
                <w:color w:val="auto"/>
              </w:rPr>
            </w:pPr>
            <w:r>
              <w:rPr>
                <w:rFonts w:ascii="Arial" w:cs="Arial" w:eastAsia="Arial" w:hAnsi="Arial"/>
                <w:sz w:val="7"/>
                <w:szCs w:val="7"/>
                <w:color w:val="auto"/>
              </w:rPr>
              <w:t>Chemin départemental 54, Berre-L'Etang, 13130</w:t>
            </w:r>
          </w:p>
        </w:tc>
        <w:tc>
          <w:tcPr>
            <w:tcW w:w="23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Parc Eolien Aisne 1</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Parc Eolien Corrèze 1</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Parc Eolien Côtes Armor 1</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Parc Eolien de la Vrine</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Parc Eolien De Mervent</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Parc Eolien Haute-Saône 1</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Parc Eolien HM1</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Parc Eolien Jura 1</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Parc Eolien Marne 1</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Parc Eolien Oise 1</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Parc Eolien Oise 2</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Parc Eolien Somme 1</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Parc Eolien Somme 2</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Parc Eolien Yonne 1</w:t>
            </w:r>
          </w:p>
        </w:tc>
        <w:tc>
          <w:tcPr>
            <w:tcW w:w="6040" w:type="dxa"/>
            <w:vAlign w:val="bottom"/>
          </w:tcPr>
          <w:p>
            <w:pPr>
              <w:ind w:left="920"/>
              <w:spacing w:after="0"/>
              <w:rPr>
                <w:sz w:val="20"/>
                <w:szCs w:val="20"/>
                <w:color w:val="auto"/>
              </w:rPr>
            </w:pPr>
            <w:r>
              <w:rPr>
                <w:rFonts w:ascii="Arial" w:cs="Arial" w:eastAsia="Arial" w:hAnsi="Arial"/>
                <w:sz w:val="7"/>
                <w:szCs w:val="7"/>
                <w:color w:val="auto"/>
              </w:rPr>
              <w:t>10 place de Catalogne, Paris, 75014</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Service Aviation Paris SNC</w:t>
            </w:r>
          </w:p>
        </w:tc>
        <w:tc>
          <w:tcPr>
            <w:tcW w:w="6040" w:type="dxa"/>
            <w:vAlign w:val="bottom"/>
          </w:tcPr>
          <w:p>
            <w:pPr>
              <w:ind w:left="920"/>
              <w:spacing w:after="0"/>
              <w:rPr>
                <w:sz w:val="20"/>
                <w:szCs w:val="20"/>
                <w:color w:val="auto"/>
              </w:rPr>
            </w:pPr>
            <w:r>
              <w:rPr>
                <w:rFonts w:ascii="Arial" w:cs="Arial" w:eastAsia="Arial" w:hAnsi="Arial"/>
                <w:sz w:val="7"/>
                <w:szCs w:val="7"/>
                <w:color w:val="auto"/>
              </w:rPr>
              <w:t>Orly Sud No. 144 - Bat. 438, Orly Aerogares, 94541</w:t>
            </w:r>
          </w:p>
        </w:tc>
        <w:tc>
          <w:tcPr>
            <w:tcW w:w="2380" w:type="dxa"/>
            <w:vAlign w:val="bottom"/>
          </w:tcPr>
          <w:p>
            <w:pPr>
              <w:jc w:val="right"/>
              <w:spacing w:after="0"/>
              <w:rPr>
                <w:sz w:val="20"/>
                <w:szCs w:val="20"/>
                <w:color w:val="auto"/>
              </w:rPr>
            </w:pPr>
            <w:r>
              <w:rPr>
                <w:rFonts w:ascii="Arial" w:cs="Arial" w:eastAsia="Arial" w:hAnsi="Arial"/>
                <w:sz w:val="7"/>
                <w:szCs w:val="7"/>
                <w:color w:val="auto"/>
              </w:rPr>
              <w:t>33</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Shell Retraites SAS</w:t>
            </w:r>
          </w:p>
        </w:tc>
        <w:tc>
          <w:tcPr>
            <w:tcW w:w="6040" w:type="dxa"/>
            <w:vAlign w:val="bottom"/>
          </w:tcPr>
          <w:p>
            <w:pPr>
              <w:ind w:left="920"/>
              <w:spacing w:after="0"/>
              <w:rPr>
                <w:sz w:val="20"/>
                <w:szCs w:val="20"/>
                <w:color w:val="auto"/>
              </w:rPr>
            </w:pPr>
            <w:r>
              <w:rPr>
                <w:rFonts w:ascii="Arial" w:cs="Arial" w:eastAsia="Arial" w:hAnsi="Arial"/>
                <w:sz w:val="7"/>
                <w:szCs w:val="7"/>
                <w:color w:val="auto"/>
              </w:rPr>
              <w:t>Tour Pacific, 11/13 Cours Valmy - La Défense, Puteaux, 92800</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Société de Gestion Mobilière et Immobilière SAS</w:t>
            </w:r>
          </w:p>
        </w:tc>
        <w:tc>
          <w:tcPr>
            <w:tcW w:w="6040" w:type="dxa"/>
            <w:vAlign w:val="bottom"/>
          </w:tcPr>
          <w:p>
            <w:pPr>
              <w:ind w:left="920"/>
              <w:spacing w:after="0"/>
              <w:rPr>
                <w:sz w:val="20"/>
                <w:szCs w:val="20"/>
                <w:color w:val="auto"/>
              </w:rPr>
            </w:pPr>
            <w:r>
              <w:rPr>
                <w:rFonts w:ascii="Arial" w:cs="Arial" w:eastAsia="Arial" w:hAnsi="Arial"/>
                <w:sz w:val="7"/>
                <w:szCs w:val="7"/>
                <w:color w:val="auto"/>
              </w:rPr>
              <w:t>Tour Pacific, 11/13 Cours Valmy - La Défense, Puteaux, 92800</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Société des Pétroles Shell SAS</w:t>
            </w:r>
          </w:p>
        </w:tc>
        <w:tc>
          <w:tcPr>
            <w:tcW w:w="6040" w:type="dxa"/>
            <w:vAlign w:val="bottom"/>
          </w:tcPr>
          <w:p>
            <w:pPr>
              <w:ind w:left="920"/>
              <w:spacing w:after="0"/>
              <w:rPr>
                <w:sz w:val="20"/>
                <w:szCs w:val="20"/>
                <w:color w:val="auto"/>
              </w:rPr>
            </w:pPr>
            <w:r>
              <w:rPr>
                <w:rFonts w:ascii="Arial" w:cs="Arial" w:eastAsia="Arial" w:hAnsi="Arial"/>
                <w:sz w:val="7"/>
                <w:szCs w:val="7"/>
                <w:color w:val="auto"/>
              </w:rPr>
              <w:t>Tour Pacific, 11/13 Cours Valmy - La Défense, Puteaux, 92800</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Ste du Pipeline Sud Européen S.A.</w:t>
            </w:r>
          </w:p>
        </w:tc>
        <w:tc>
          <w:tcPr>
            <w:tcW w:w="6040" w:type="dxa"/>
            <w:vAlign w:val="bottom"/>
          </w:tcPr>
          <w:p>
            <w:pPr>
              <w:ind w:left="920"/>
              <w:spacing w:after="0"/>
              <w:rPr>
                <w:sz w:val="20"/>
                <w:szCs w:val="20"/>
                <w:color w:val="auto"/>
              </w:rPr>
            </w:pPr>
            <w:r>
              <w:rPr>
                <w:rFonts w:ascii="Arial" w:cs="Arial" w:eastAsia="Arial" w:hAnsi="Arial"/>
                <w:sz w:val="7"/>
                <w:szCs w:val="7"/>
                <w:color w:val="auto"/>
              </w:rPr>
              <w:t>route d'Arles, La Fenouillère, Fos-sur-Mer, 13270</w:t>
            </w:r>
          </w:p>
        </w:tc>
        <w:tc>
          <w:tcPr>
            <w:tcW w:w="2380" w:type="dxa"/>
            <w:vAlign w:val="bottom"/>
          </w:tcPr>
          <w:p>
            <w:pPr>
              <w:jc w:val="right"/>
              <w:spacing w:after="0"/>
              <w:rPr>
                <w:sz w:val="20"/>
                <w:szCs w:val="20"/>
                <w:color w:val="auto"/>
              </w:rPr>
            </w:pPr>
            <w:r>
              <w:rPr>
                <w:rFonts w:ascii="Arial" w:cs="Arial" w:eastAsia="Arial" w:hAnsi="Arial"/>
                <w:sz w:val="7"/>
                <w:szCs w:val="7"/>
                <w:color w:val="auto"/>
              </w:rPr>
              <w:t>22</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The New Motion France SAS</w:t>
            </w:r>
          </w:p>
        </w:tc>
        <w:tc>
          <w:tcPr>
            <w:tcW w:w="6040" w:type="dxa"/>
            <w:vAlign w:val="bottom"/>
          </w:tcPr>
          <w:p>
            <w:pPr>
              <w:ind w:left="920"/>
              <w:spacing w:after="0"/>
              <w:rPr>
                <w:sz w:val="20"/>
                <w:szCs w:val="20"/>
                <w:color w:val="auto"/>
              </w:rPr>
            </w:pPr>
            <w:r>
              <w:rPr>
                <w:rFonts w:ascii="Arial" w:cs="Arial" w:eastAsia="Arial" w:hAnsi="Arial"/>
                <w:sz w:val="7"/>
                <w:szCs w:val="7"/>
                <w:color w:val="auto"/>
              </w:rPr>
              <w:t>92 Avenue Charles de Gaulle, CS 30082, Neuilly sur Seine, 92522</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spacing w:after="0"/>
              <w:rPr>
                <w:sz w:val="20"/>
                <w:szCs w:val="20"/>
                <w:color w:val="auto"/>
              </w:rPr>
            </w:pPr>
            <w:r>
              <w:rPr>
                <w:rFonts w:ascii="Arial" w:cs="Arial" w:eastAsia="Arial" w:hAnsi="Arial"/>
                <w:sz w:val="7"/>
                <w:szCs w:val="7"/>
                <w:color w:val="auto"/>
              </w:rPr>
              <w:t>GERMANY</w:t>
            </w:r>
          </w:p>
        </w:tc>
        <w:tc>
          <w:tcPr>
            <w:tcW w:w="6040" w:type="dxa"/>
            <w:vAlign w:val="bottom"/>
          </w:tcPr>
          <w:p>
            <w:pPr>
              <w:spacing w:after="0"/>
              <w:rPr>
                <w:sz w:val="9"/>
                <w:szCs w:val="9"/>
                <w:color w:val="auto"/>
              </w:rPr>
            </w:pPr>
          </w:p>
        </w:tc>
        <w:tc>
          <w:tcPr>
            <w:tcW w:w="2380" w:type="dxa"/>
            <w:vAlign w:val="bottom"/>
          </w:tcPr>
          <w:p>
            <w:pPr>
              <w:spacing w:after="0"/>
              <w:rPr>
                <w:sz w:val="9"/>
                <w:szCs w:val="9"/>
                <w:color w:val="auto"/>
              </w:rPr>
            </w:pP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AGES Maut System GmbH &amp; Co. KG</w:t>
            </w:r>
          </w:p>
        </w:tc>
        <w:tc>
          <w:tcPr>
            <w:tcW w:w="6040" w:type="dxa"/>
            <w:vAlign w:val="bottom"/>
          </w:tcPr>
          <w:p>
            <w:pPr>
              <w:ind w:left="920"/>
              <w:spacing w:after="0"/>
              <w:rPr>
                <w:sz w:val="20"/>
                <w:szCs w:val="20"/>
                <w:color w:val="auto"/>
              </w:rPr>
            </w:pPr>
            <w:r>
              <w:rPr>
                <w:rFonts w:ascii="Arial" w:cs="Arial" w:eastAsia="Arial" w:hAnsi="Arial"/>
                <w:sz w:val="7"/>
                <w:szCs w:val="7"/>
                <w:color w:val="auto"/>
              </w:rPr>
              <w:t>Berghausener Straße 96, Langenfeld, 40764</w:t>
            </w:r>
          </w:p>
        </w:tc>
        <w:tc>
          <w:tcPr>
            <w:tcW w:w="2380" w:type="dxa"/>
            <w:vAlign w:val="bottom"/>
          </w:tcPr>
          <w:p>
            <w:pPr>
              <w:jc w:val="right"/>
              <w:spacing w:after="0"/>
              <w:rPr>
                <w:sz w:val="20"/>
                <w:szCs w:val="20"/>
                <w:color w:val="auto"/>
              </w:rPr>
            </w:pPr>
            <w:r>
              <w:rPr>
                <w:rFonts w:ascii="Arial" w:cs="Arial" w:eastAsia="Arial" w:hAnsi="Arial"/>
                <w:sz w:val="7"/>
                <w:szCs w:val="7"/>
                <w:color w:val="auto"/>
              </w:rPr>
              <w:t>25</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BEB Erdgas und Erdoel GmbH &amp; Co. KG [b]</w:t>
            </w:r>
          </w:p>
        </w:tc>
        <w:tc>
          <w:tcPr>
            <w:tcW w:w="6040" w:type="dxa"/>
            <w:vAlign w:val="bottom"/>
          </w:tcPr>
          <w:p>
            <w:pPr>
              <w:ind w:left="920"/>
              <w:spacing w:after="0"/>
              <w:rPr>
                <w:sz w:val="20"/>
                <w:szCs w:val="20"/>
                <w:color w:val="auto"/>
              </w:rPr>
            </w:pPr>
            <w:r>
              <w:rPr>
                <w:rFonts w:ascii="Arial" w:cs="Arial" w:eastAsia="Arial" w:hAnsi="Arial"/>
                <w:sz w:val="7"/>
                <w:szCs w:val="7"/>
                <w:color w:val="auto"/>
              </w:rPr>
              <w:t>Riethorst 12, Hannover, 30659</w:t>
            </w:r>
          </w:p>
        </w:tc>
        <w:tc>
          <w:tcPr>
            <w:tcW w:w="23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BEB Holding GmbH [b]</w:t>
            </w:r>
          </w:p>
        </w:tc>
        <w:tc>
          <w:tcPr>
            <w:tcW w:w="6040" w:type="dxa"/>
            <w:vAlign w:val="bottom"/>
          </w:tcPr>
          <w:p>
            <w:pPr>
              <w:ind w:left="920"/>
              <w:spacing w:after="0"/>
              <w:rPr>
                <w:sz w:val="20"/>
                <w:szCs w:val="20"/>
                <w:color w:val="auto"/>
              </w:rPr>
            </w:pPr>
            <w:r>
              <w:rPr>
                <w:rFonts w:ascii="Arial" w:cs="Arial" w:eastAsia="Arial" w:hAnsi="Arial"/>
                <w:sz w:val="7"/>
                <w:szCs w:val="7"/>
                <w:color w:val="auto"/>
              </w:rPr>
              <w:t>Caffamacherreihe 5, Hamburg, 20355</w:t>
            </w:r>
          </w:p>
        </w:tc>
        <w:tc>
          <w:tcPr>
            <w:tcW w:w="23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Carissa Einzelhandel- und Tankstellenservice GmbH &amp; Co. KG</w:t>
            </w:r>
          </w:p>
        </w:tc>
        <w:tc>
          <w:tcPr>
            <w:tcW w:w="6040" w:type="dxa"/>
            <w:vAlign w:val="bottom"/>
          </w:tcPr>
          <w:p>
            <w:pPr>
              <w:ind w:left="920"/>
              <w:spacing w:after="0"/>
              <w:rPr>
                <w:sz w:val="20"/>
                <w:szCs w:val="20"/>
                <w:color w:val="auto"/>
              </w:rPr>
            </w:pPr>
            <w:r>
              <w:rPr>
                <w:rFonts w:ascii="Arial" w:cs="Arial" w:eastAsia="Arial" w:hAnsi="Arial"/>
                <w:sz w:val="7"/>
                <w:szCs w:val="7"/>
                <w:color w:val="auto"/>
              </w:rPr>
              <w:t>Willinghusener Weg 5 D-E, Oststeinbek, 22113</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Carissa Verwaltungsgesellschaft mbH</w:t>
            </w:r>
          </w:p>
        </w:tc>
        <w:tc>
          <w:tcPr>
            <w:tcW w:w="6040" w:type="dxa"/>
            <w:vAlign w:val="bottom"/>
          </w:tcPr>
          <w:p>
            <w:pPr>
              <w:ind w:left="920"/>
              <w:spacing w:after="0"/>
              <w:rPr>
                <w:sz w:val="20"/>
                <w:szCs w:val="20"/>
                <w:color w:val="auto"/>
              </w:rPr>
            </w:pPr>
            <w:r>
              <w:rPr>
                <w:rFonts w:ascii="Arial" w:cs="Arial" w:eastAsia="Arial" w:hAnsi="Arial"/>
                <w:sz w:val="7"/>
                <w:szCs w:val="7"/>
                <w:color w:val="auto"/>
              </w:rPr>
              <w:t>Suhrenkamp 71 - 77, Hamburg, 22335</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CRI Deutschland GmbH</w:t>
            </w:r>
          </w:p>
        </w:tc>
        <w:tc>
          <w:tcPr>
            <w:tcW w:w="6040" w:type="dxa"/>
            <w:vAlign w:val="bottom"/>
          </w:tcPr>
          <w:p>
            <w:pPr>
              <w:ind w:left="920"/>
              <w:spacing w:after="0"/>
              <w:rPr>
                <w:sz w:val="20"/>
                <w:szCs w:val="20"/>
                <w:color w:val="auto"/>
              </w:rPr>
            </w:pPr>
            <w:r>
              <w:rPr>
                <w:rFonts w:ascii="Arial" w:cs="Arial" w:eastAsia="Arial" w:hAnsi="Arial"/>
                <w:sz w:val="7"/>
                <w:szCs w:val="7"/>
                <w:color w:val="auto"/>
              </w:rPr>
              <w:t>Am Haupttor, Bau 8322, Leuna, 06237</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Deutsche Infineum GmbH &amp; Co. KG</w:t>
            </w:r>
          </w:p>
        </w:tc>
        <w:tc>
          <w:tcPr>
            <w:tcW w:w="6040" w:type="dxa"/>
            <w:vAlign w:val="bottom"/>
          </w:tcPr>
          <w:p>
            <w:pPr>
              <w:ind w:left="920"/>
              <w:spacing w:after="0"/>
              <w:rPr>
                <w:sz w:val="20"/>
                <w:szCs w:val="20"/>
                <w:color w:val="auto"/>
              </w:rPr>
            </w:pPr>
            <w:r>
              <w:rPr>
                <w:rFonts w:ascii="Arial" w:cs="Arial" w:eastAsia="Arial" w:hAnsi="Arial"/>
                <w:sz w:val="7"/>
                <w:szCs w:val="7"/>
                <w:color w:val="auto"/>
              </w:rPr>
              <w:t>Neusser Landstraße 16, Köln, 50735</w:t>
            </w:r>
          </w:p>
        </w:tc>
        <w:tc>
          <w:tcPr>
            <w:tcW w:w="23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Deutsche Shell GmbH</w:t>
            </w:r>
          </w:p>
        </w:tc>
        <w:tc>
          <w:tcPr>
            <w:tcW w:w="6040" w:type="dxa"/>
            <w:vAlign w:val="bottom"/>
          </w:tcPr>
          <w:p>
            <w:pPr>
              <w:ind w:left="920"/>
              <w:spacing w:after="0"/>
              <w:rPr>
                <w:sz w:val="20"/>
                <w:szCs w:val="20"/>
                <w:color w:val="auto"/>
              </w:rPr>
            </w:pPr>
            <w:r>
              <w:rPr>
                <w:rFonts w:ascii="Arial" w:cs="Arial" w:eastAsia="Arial" w:hAnsi="Arial"/>
                <w:sz w:val="7"/>
                <w:szCs w:val="7"/>
                <w:color w:val="auto"/>
              </w:rPr>
              <w:t>Suhrenkamp 71 - 77, Hamburg, 22335</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Deutsche Shell Holding GmbH</w:t>
            </w:r>
          </w:p>
        </w:tc>
        <w:tc>
          <w:tcPr>
            <w:tcW w:w="6040" w:type="dxa"/>
            <w:vAlign w:val="bottom"/>
          </w:tcPr>
          <w:p>
            <w:pPr>
              <w:ind w:left="920"/>
              <w:spacing w:after="0"/>
              <w:rPr>
                <w:sz w:val="20"/>
                <w:szCs w:val="20"/>
                <w:color w:val="auto"/>
              </w:rPr>
            </w:pPr>
            <w:r>
              <w:rPr>
                <w:rFonts w:ascii="Arial" w:cs="Arial" w:eastAsia="Arial" w:hAnsi="Arial"/>
                <w:sz w:val="7"/>
                <w:szCs w:val="7"/>
                <w:color w:val="auto"/>
              </w:rPr>
              <w:t>Suhrenkamp 71 - 77, Hamburg, 22335</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Deutsche Transalpine Oelleitung GmbH</w:t>
            </w:r>
          </w:p>
        </w:tc>
        <w:tc>
          <w:tcPr>
            <w:tcW w:w="6040" w:type="dxa"/>
            <w:vAlign w:val="bottom"/>
          </w:tcPr>
          <w:p>
            <w:pPr>
              <w:ind w:left="920"/>
              <w:spacing w:after="0"/>
              <w:rPr>
                <w:sz w:val="20"/>
                <w:szCs w:val="20"/>
                <w:color w:val="auto"/>
              </w:rPr>
            </w:pPr>
            <w:r>
              <w:rPr>
                <w:rFonts w:ascii="Arial" w:cs="Arial" w:eastAsia="Arial" w:hAnsi="Arial"/>
                <w:sz w:val="7"/>
                <w:szCs w:val="7"/>
                <w:color w:val="auto"/>
              </w:rPr>
              <w:t>Paul Wassermann Str. 3, Munich, 81829</w:t>
            </w:r>
          </w:p>
        </w:tc>
        <w:tc>
          <w:tcPr>
            <w:tcW w:w="2380" w:type="dxa"/>
            <w:vAlign w:val="bottom"/>
          </w:tcPr>
          <w:p>
            <w:pPr>
              <w:jc w:val="right"/>
              <w:spacing w:after="0"/>
              <w:rPr>
                <w:sz w:val="20"/>
                <w:szCs w:val="20"/>
                <w:color w:val="auto"/>
              </w:rPr>
            </w:pPr>
            <w:r>
              <w:rPr>
                <w:rFonts w:ascii="Arial" w:cs="Arial" w:eastAsia="Arial" w:hAnsi="Arial"/>
                <w:sz w:val="7"/>
                <w:szCs w:val="7"/>
                <w:color w:val="auto"/>
              </w:rPr>
              <w:t>19</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Energeticum Energiesysteme GmbH</w:t>
            </w:r>
          </w:p>
        </w:tc>
        <w:tc>
          <w:tcPr>
            <w:tcW w:w="6040" w:type="dxa"/>
            <w:vAlign w:val="bottom"/>
          </w:tcPr>
          <w:p>
            <w:pPr>
              <w:ind w:left="920"/>
              <w:spacing w:after="0"/>
              <w:rPr>
                <w:sz w:val="20"/>
                <w:szCs w:val="20"/>
                <w:color w:val="auto"/>
              </w:rPr>
            </w:pPr>
            <w:r>
              <w:rPr>
                <w:rFonts w:ascii="Arial" w:cs="Arial" w:eastAsia="Arial" w:hAnsi="Arial"/>
                <w:sz w:val="7"/>
                <w:szCs w:val="7"/>
                <w:color w:val="auto"/>
              </w:rPr>
              <w:t>St.-Leonhard-Straße 26, Balzhausen, 86483</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Enersol GmbH</w:t>
            </w:r>
          </w:p>
        </w:tc>
        <w:tc>
          <w:tcPr>
            <w:tcW w:w="6040" w:type="dxa"/>
            <w:vAlign w:val="bottom"/>
          </w:tcPr>
          <w:p>
            <w:pPr>
              <w:ind w:left="920"/>
              <w:spacing w:after="0"/>
              <w:rPr>
                <w:sz w:val="20"/>
                <w:szCs w:val="20"/>
                <w:color w:val="auto"/>
              </w:rPr>
            </w:pPr>
            <w:r>
              <w:rPr>
                <w:rFonts w:ascii="Arial" w:cs="Arial" w:eastAsia="Arial" w:hAnsi="Arial"/>
                <w:sz w:val="7"/>
                <w:szCs w:val="7"/>
                <w:color w:val="auto"/>
              </w:rPr>
              <w:t>Einsteinstr. 47, Vaihingen an der Enz, 71665</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Erdoel-Raffinerie Deurag-Nerag GmbH</w:t>
            </w:r>
          </w:p>
        </w:tc>
        <w:tc>
          <w:tcPr>
            <w:tcW w:w="6040" w:type="dxa"/>
            <w:vAlign w:val="bottom"/>
          </w:tcPr>
          <w:p>
            <w:pPr>
              <w:ind w:left="920"/>
              <w:spacing w:after="0"/>
              <w:rPr>
                <w:sz w:val="20"/>
                <w:szCs w:val="20"/>
                <w:color w:val="auto"/>
              </w:rPr>
            </w:pPr>
            <w:r>
              <w:rPr>
                <w:rFonts w:ascii="Arial" w:cs="Arial" w:eastAsia="Arial" w:hAnsi="Arial"/>
                <w:sz w:val="7"/>
                <w:szCs w:val="7"/>
                <w:color w:val="auto"/>
              </w:rPr>
              <w:t>Riethorst 12, Hannover, 30659</w:t>
            </w:r>
          </w:p>
        </w:tc>
        <w:tc>
          <w:tcPr>
            <w:tcW w:w="23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euroShell Deutschland GmbH &amp; Co. KG</w:t>
            </w:r>
          </w:p>
        </w:tc>
        <w:tc>
          <w:tcPr>
            <w:tcW w:w="6040" w:type="dxa"/>
            <w:vAlign w:val="bottom"/>
          </w:tcPr>
          <w:p>
            <w:pPr>
              <w:ind w:left="920"/>
              <w:spacing w:after="0"/>
              <w:rPr>
                <w:sz w:val="20"/>
                <w:szCs w:val="20"/>
                <w:color w:val="auto"/>
              </w:rPr>
            </w:pPr>
            <w:r>
              <w:rPr>
                <w:rFonts w:ascii="Arial" w:cs="Arial" w:eastAsia="Arial" w:hAnsi="Arial"/>
                <w:sz w:val="7"/>
                <w:szCs w:val="7"/>
                <w:color w:val="auto"/>
              </w:rPr>
              <w:t>Suhrenkamp 71 - 77, Hamburg, 22335</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euroShell Deutschland Verwaltungsgesellschaft mbH</w:t>
            </w:r>
          </w:p>
        </w:tc>
        <w:tc>
          <w:tcPr>
            <w:tcW w:w="6040" w:type="dxa"/>
            <w:vAlign w:val="bottom"/>
          </w:tcPr>
          <w:p>
            <w:pPr>
              <w:ind w:left="920"/>
              <w:spacing w:after="0"/>
              <w:rPr>
                <w:sz w:val="20"/>
                <w:szCs w:val="20"/>
                <w:color w:val="auto"/>
              </w:rPr>
            </w:pPr>
            <w:r>
              <w:rPr>
                <w:rFonts w:ascii="Arial" w:cs="Arial" w:eastAsia="Arial" w:hAnsi="Arial"/>
                <w:sz w:val="7"/>
                <w:szCs w:val="7"/>
                <w:color w:val="auto"/>
              </w:rPr>
              <w:t>Suhrenkamp 71 - 77, Hamburg, 22335</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H2 Mobility Deutschland GmbH and Co. KG</w:t>
            </w:r>
          </w:p>
        </w:tc>
        <w:tc>
          <w:tcPr>
            <w:tcW w:w="6040" w:type="dxa"/>
            <w:vAlign w:val="bottom"/>
          </w:tcPr>
          <w:p>
            <w:pPr>
              <w:ind w:left="920"/>
              <w:spacing w:after="0"/>
              <w:rPr>
                <w:sz w:val="20"/>
                <w:szCs w:val="20"/>
                <w:color w:val="auto"/>
              </w:rPr>
            </w:pPr>
            <w:r>
              <w:rPr>
                <w:rFonts w:ascii="Arial" w:cs="Arial" w:eastAsia="Arial" w:hAnsi="Arial"/>
                <w:sz w:val="7"/>
                <w:szCs w:val="7"/>
                <w:color w:val="auto"/>
              </w:rPr>
              <w:t>EUREF-Campus 10-11, Berlin, 10829</w:t>
            </w:r>
          </w:p>
        </w:tc>
        <w:tc>
          <w:tcPr>
            <w:tcW w:w="2380" w:type="dxa"/>
            <w:vAlign w:val="bottom"/>
          </w:tcPr>
          <w:p>
            <w:pPr>
              <w:jc w:val="right"/>
              <w:spacing w:after="0"/>
              <w:rPr>
                <w:sz w:val="20"/>
                <w:szCs w:val="20"/>
                <w:color w:val="auto"/>
              </w:rPr>
            </w:pPr>
            <w:r>
              <w:rPr>
                <w:rFonts w:ascii="Arial" w:cs="Arial" w:eastAsia="Arial" w:hAnsi="Arial"/>
                <w:sz w:val="7"/>
                <w:szCs w:val="7"/>
                <w:color w:val="auto"/>
              </w:rPr>
              <w:t>28</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Mineraloelraffinerie Oberrhein Verwaltungs GmbH</w:t>
            </w:r>
          </w:p>
        </w:tc>
        <w:tc>
          <w:tcPr>
            <w:tcW w:w="6040" w:type="dxa"/>
            <w:vAlign w:val="bottom"/>
          </w:tcPr>
          <w:p>
            <w:pPr>
              <w:ind w:left="920"/>
              <w:spacing w:after="0"/>
              <w:rPr>
                <w:sz w:val="20"/>
                <w:szCs w:val="20"/>
                <w:color w:val="auto"/>
              </w:rPr>
            </w:pPr>
            <w:r>
              <w:rPr>
                <w:rFonts w:ascii="Arial" w:cs="Arial" w:eastAsia="Arial" w:hAnsi="Arial"/>
                <w:sz w:val="7"/>
                <w:szCs w:val="7"/>
                <w:color w:val="auto"/>
              </w:rPr>
              <w:t>DEA-Scholven-Str., Karlsruhe, 76187</w:t>
            </w:r>
          </w:p>
        </w:tc>
        <w:tc>
          <w:tcPr>
            <w:tcW w:w="2380" w:type="dxa"/>
            <w:vAlign w:val="bottom"/>
          </w:tcPr>
          <w:p>
            <w:pPr>
              <w:jc w:val="right"/>
              <w:spacing w:after="0"/>
              <w:rPr>
                <w:sz w:val="20"/>
                <w:szCs w:val="20"/>
                <w:color w:val="auto"/>
              </w:rPr>
            </w:pPr>
            <w:r>
              <w:rPr>
                <w:rFonts w:ascii="Arial" w:cs="Arial" w:eastAsia="Arial" w:hAnsi="Arial"/>
                <w:sz w:val="7"/>
                <w:szCs w:val="7"/>
                <w:color w:val="auto"/>
              </w:rPr>
              <w:t>32</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Nord-West Oelleitung GmbH [b]</w:t>
            </w:r>
          </w:p>
        </w:tc>
        <w:tc>
          <w:tcPr>
            <w:tcW w:w="6040" w:type="dxa"/>
            <w:vAlign w:val="bottom"/>
          </w:tcPr>
          <w:p>
            <w:pPr>
              <w:ind w:left="920"/>
              <w:spacing w:after="0"/>
              <w:rPr>
                <w:sz w:val="20"/>
                <w:szCs w:val="20"/>
                <w:color w:val="auto"/>
              </w:rPr>
            </w:pPr>
            <w:r>
              <w:rPr>
                <w:rFonts w:ascii="Arial" w:cs="Arial" w:eastAsia="Arial" w:hAnsi="Arial"/>
                <w:sz w:val="7"/>
                <w:szCs w:val="7"/>
                <w:color w:val="auto"/>
              </w:rPr>
              <w:t>Zum Oelhafen 207, Wilhelmshaven, 26384</w:t>
            </w:r>
          </w:p>
        </w:tc>
        <w:tc>
          <w:tcPr>
            <w:tcW w:w="238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Oberrheinische Mineraloelwerke GmbH [b]</w:t>
            </w:r>
          </w:p>
        </w:tc>
        <w:tc>
          <w:tcPr>
            <w:tcW w:w="6040" w:type="dxa"/>
            <w:vAlign w:val="bottom"/>
          </w:tcPr>
          <w:p>
            <w:pPr>
              <w:ind w:left="920"/>
              <w:spacing w:after="0"/>
              <w:rPr>
                <w:sz w:val="20"/>
                <w:szCs w:val="20"/>
                <w:color w:val="auto"/>
              </w:rPr>
            </w:pPr>
            <w:r>
              <w:rPr>
                <w:rFonts w:ascii="Arial" w:cs="Arial" w:eastAsia="Arial" w:hAnsi="Arial"/>
                <w:sz w:val="7"/>
                <w:szCs w:val="7"/>
                <w:color w:val="auto"/>
              </w:rPr>
              <w:t>DEA-Scholven-Str., Karlsruhe, 76187</w:t>
            </w:r>
          </w:p>
        </w:tc>
        <w:tc>
          <w:tcPr>
            <w:tcW w:w="2380" w:type="dxa"/>
            <w:vAlign w:val="bottom"/>
          </w:tcPr>
          <w:p>
            <w:pPr>
              <w:jc w:val="right"/>
              <w:spacing w:after="0"/>
              <w:rPr>
                <w:sz w:val="20"/>
                <w:szCs w:val="20"/>
                <w:color w:val="auto"/>
              </w:rPr>
            </w:pPr>
            <w:r>
              <w:rPr>
                <w:rFonts w:ascii="Arial" w:cs="Arial" w:eastAsia="Arial" w:hAnsi="Arial"/>
                <w:sz w:val="7"/>
                <w:szCs w:val="7"/>
                <w:color w:val="auto"/>
              </w:rPr>
              <w:t>42</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OLF Deutschland GmbH</w:t>
            </w:r>
          </w:p>
        </w:tc>
        <w:tc>
          <w:tcPr>
            <w:tcW w:w="6040" w:type="dxa"/>
            <w:vAlign w:val="bottom"/>
          </w:tcPr>
          <w:p>
            <w:pPr>
              <w:ind w:left="920"/>
              <w:spacing w:after="0"/>
              <w:rPr>
                <w:sz w:val="20"/>
                <w:szCs w:val="20"/>
                <w:color w:val="auto"/>
              </w:rPr>
            </w:pPr>
            <w:r>
              <w:rPr>
                <w:rFonts w:ascii="Arial" w:cs="Arial" w:eastAsia="Arial" w:hAnsi="Arial"/>
                <w:sz w:val="7"/>
                <w:szCs w:val="7"/>
                <w:color w:val="auto"/>
              </w:rPr>
              <w:t>WeWork Europapassage, Hermannstraße 13, Hamburg, 20095</w:t>
            </w:r>
          </w:p>
        </w:tc>
        <w:tc>
          <w:tcPr>
            <w:tcW w:w="23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PCK Raffinerie GmbH [b]</w:t>
            </w:r>
          </w:p>
        </w:tc>
        <w:tc>
          <w:tcPr>
            <w:tcW w:w="6040" w:type="dxa"/>
            <w:vAlign w:val="bottom"/>
          </w:tcPr>
          <w:p>
            <w:pPr>
              <w:ind w:left="920"/>
              <w:spacing w:after="0"/>
              <w:rPr>
                <w:sz w:val="20"/>
                <w:szCs w:val="20"/>
                <w:color w:val="auto"/>
              </w:rPr>
            </w:pPr>
            <w:r>
              <w:rPr>
                <w:rFonts w:ascii="Arial" w:cs="Arial" w:eastAsia="Arial" w:hAnsi="Arial"/>
                <w:sz w:val="7"/>
                <w:szCs w:val="7"/>
                <w:color w:val="auto"/>
              </w:rPr>
              <w:t>Passower Chaussee 111, Schwedt/Oder, 16303</w:t>
            </w:r>
          </w:p>
        </w:tc>
        <w:tc>
          <w:tcPr>
            <w:tcW w:w="2380" w:type="dxa"/>
            <w:vAlign w:val="bottom"/>
          </w:tcPr>
          <w:p>
            <w:pPr>
              <w:jc w:val="right"/>
              <w:spacing w:after="0"/>
              <w:rPr>
                <w:sz w:val="20"/>
                <w:szCs w:val="20"/>
                <w:color w:val="auto"/>
              </w:rPr>
            </w:pPr>
            <w:r>
              <w:rPr>
                <w:rFonts w:ascii="Arial" w:cs="Arial" w:eastAsia="Arial" w:hAnsi="Arial"/>
                <w:sz w:val="7"/>
                <w:szCs w:val="7"/>
                <w:color w:val="auto"/>
              </w:rPr>
              <w:t>38</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Rheinland Kraftstoff GmbH</w:t>
            </w:r>
          </w:p>
        </w:tc>
        <w:tc>
          <w:tcPr>
            <w:tcW w:w="6040" w:type="dxa"/>
            <w:vAlign w:val="bottom"/>
          </w:tcPr>
          <w:p>
            <w:pPr>
              <w:ind w:left="920"/>
              <w:spacing w:after="0"/>
              <w:rPr>
                <w:sz w:val="20"/>
                <w:szCs w:val="20"/>
                <w:color w:val="auto"/>
              </w:rPr>
            </w:pPr>
            <w:r>
              <w:rPr>
                <w:rFonts w:ascii="Arial" w:cs="Arial" w:eastAsia="Arial" w:hAnsi="Arial"/>
                <w:sz w:val="7"/>
                <w:szCs w:val="7"/>
                <w:color w:val="auto"/>
              </w:rPr>
              <w:t>Auf dem Schollbruch 24-26, Gelsenkirchen, 45899</w:t>
            </w:r>
          </w:p>
        </w:tc>
        <w:tc>
          <w:tcPr>
            <w:tcW w:w="23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40" w:type="dxa"/>
            <w:vAlign w:val="bottom"/>
          </w:tcPr>
          <w:p>
            <w:pPr>
              <w:ind w:left="80"/>
              <w:spacing w:after="0"/>
              <w:rPr>
                <w:sz w:val="20"/>
                <w:szCs w:val="20"/>
                <w:color w:val="auto"/>
              </w:rPr>
            </w:pPr>
            <w:r>
              <w:rPr>
                <w:rFonts w:ascii="Arial" w:cs="Arial" w:eastAsia="Arial" w:hAnsi="Arial"/>
                <w:sz w:val="7"/>
                <w:szCs w:val="7"/>
                <w:color w:val="auto"/>
              </w:rPr>
              <w:t>Rhein-Main-Rohrleitungstransportgesellschaft mbH [b]</w:t>
            </w:r>
          </w:p>
        </w:tc>
        <w:tc>
          <w:tcPr>
            <w:tcW w:w="6040" w:type="dxa"/>
            <w:vAlign w:val="bottom"/>
          </w:tcPr>
          <w:p>
            <w:pPr>
              <w:ind w:left="920"/>
              <w:spacing w:after="0"/>
              <w:rPr>
                <w:sz w:val="20"/>
                <w:szCs w:val="20"/>
                <w:color w:val="auto"/>
              </w:rPr>
            </w:pPr>
            <w:r>
              <w:rPr>
                <w:rFonts w:ascii="Arial" w:cs="Arial" w:eastAsia="Arial" w:hAnsi="Arial"/>
                <w:sz w:val="7"/>
                <w:szCs w:val="7"/>
                <w:color w:val="auto"/>
              </w:rPr>
              <w:t>Godorfer Hauptstrasse 186, Köln, 50997</w:t>
            </w:r>
          </w:p>
        </w:tc>
        <w:tc>
          <w:tcPr>
            <w:tcW w:w="2380" w:type="dxa"/>
            <w:vAlign w:val="bottom"/>
          </w:tcPr>
          <w:p>
            <w:pPr>
              <w:jc w:val="right"/>
              <w:spacing w:after="0"/>
              <w:rPr>
                <w:sz w:val="20"/>
                <w:szCs w:val="20"/>
                <w:color w:val="auto"/>
              </w:rPr>
            </w:pPr>
            <w:r>
              <w:rPr>
                <w:rFonts w:ascii="Arial" w:cs="Arial" w:eastAsia="Arial" w:hAnsi="Arial"/>
                <w:sz w:val="7"/>
                <w:szCs w:val="7"/>
                <w:color w:val="auto"/>
              </w:rPr>
              <w:t>63</w:t>
            </w:r>
          </w:p>
        </w:tc>
      </w:tr>
      <w:tr>
        <w:trPr>
          <w:trHeight w:val="520"/>
        </w:trPr>
        <w:tc>
          <w:tcPr>
            <w:tcW w:w="2840" w:type="dxa"/>
            <w:vAlign w:val="bottom"/>
          </w:tcPr>
          <w:p>
            <w:pPr>
              <w:ind w:left="40"/>
              <w:spacing w:after="0"/>
              <w:rPr>
                <w:sz w:val="20"/>
                <w:szCs w:val="20"/>
                <w:color w:val="auto"/>
              </w:rPr>
            </w:pPr>
            <w:r>
              <w:rPr>
                <w:rFonts w:ascii="Arial" w:cs="Arial" w:eastAsia="Arial" w:hAnsi="Arial"/>
                <w:sz w:val="6"/>
                <w:szCs w:val="6"/>
                <w:color w:val="auto"/>
              </w:rPr>
              <w:t>ADDITIONAL INFORMATION SHELL FORM 20-F 2020</w:t>
            </w:r>
          </w:p>
        </w:tc>
        <w:tc>
          <w:tcPr>
            <w:tcW w:w="6040" w:type="dxa"/>
            <w:vAlign w:val="bottom"/>
          </w:tcPr>
          <w:p>
            <w:pPr>
              <w:ind w:left="2740"/>
              <w:spacing w:after="0"/>
              <w:rPr>
                <w:sz w:val="20"/>
                <w:szCs w:val="20"/>
                <w:color w:val="auto"/>
              </w:rPr>
            </w:pPr>
            <w:r>
              <w:rPr>
                <w:rFonts w:ascii="Arial" w:cs="Arial" w:eastAsia="Arial" w:hAnsi="Arial"/>
                <w:sz w:val="6"/>
                <w:szCs w:val="6"/>
                <w:color w:val="auto"/>
              </w:rPr>
              <w:t>E6</w:t>
            </w:r>
          </w:p>
        </w:tc>
        <w:tc>
          <w:tcPr>
            <w:tcW w:w="2380" w:type="dxa"/>
            <w:vAlign w:val="bottom"/>
          </w:tcPr>
          <w:p>
            <w:pPr>
              <w:spacing w:after="0"/>
              <w:rPr>
                <w:sz w:val="24"/>
                <w:szCs w:val="24"/>
                <w:color w:val="auto"/>
              </w:rPr>
            </w:pPr>
          </w:p>
        </w:tc>
      </w:tr>
    </w:tbl>
    <w:p>
      <w:pPr>
        <w:sectPr>
          <w:pgSz w:w="11900" w:h="16838" w:orient="portrait"/>
          <w:cols w:equalWidth="0" w:num="1">
            <w:col w:w="11260"/>
          </w:cols>
          <w:pgMar w:left="300" w:top="735" w:right="339" w:bottom="1440" w:gutter="0" w:footer="0" w:header="0"/>
        </w:sectPr>
      </w:pPr>
    </w:p>
    <w:bookmarkStart w:id="294" w:name="page295"/>
    <w:bookmarkEnd w:id="2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800" w:type="dxa"/>
            <w:vAlign w:val="bottom"/>
          </w:tcPr>
          <w:p>
            <w:pPr>
              <w:ind w:left="80"/>
              <w:spacing w:after="0"/>
              <w:rPr>
                <w:sz w:val="20"/>
                <w:szCs w:val="20"/>
                <w:color w:val="auto"/>
              </w:rPr>
            </w:pPr>
            <w:r>
              <w:rPr>
                <w:rFonts w:ascii="Arial" w:cs="Arial" w:eastAsia="Arial" w:hAnsi="Arial"/>
                <w:sz w:val="7"/>
                <w:szCs w:val="7"/>
                <w:color w:val="auto"/>
              </w:rPr>
              <w:t>Shell Catalysts &amp; Technologies Leuna GmbH</w:t>
            </w:r>
          </w:p>
        </w:tc>
        <w:tc>
          <w:tcPr>
            <w:tcW w:w="6500" w:type="dxa"/>
            <w:vAlign w:val="bottom"/>
          </w:tcPr>
          <w:p>
            <w:pPr>
              <w:ind w:left="960"/>
              <w:spacing w:after="0"/>
              <w:rPr>
                <w:sz w:val="20"/>
                <w:szCs w:val="20"/>
                <w:color w:val="auto"/>
              </w:rPr>
            </w:pPr>
            <w:r>
              <w:rPr>
                <w:rFonts w:ascii="Arial" w:cs="Arial" w:eastAsia="Arial" w:hAnsi="Arial"/>
                <w:sz w:val="7"/>
                <w:szCs w:val="7"/>
                <w:color w:val="auto"/>
              </w:rPr>
              <w:t>Am Haupttor, Bau 8322, Leuna, 06237</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Deutschland Additive GmbH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Deutschland Oil GmbH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Energy Deutschland GmbH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Energy Retail GmbH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Erdgas Beteiligungsgesellschaft 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Erdgas Marketing GmbH &amp; Co. KG</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75</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Erdoel und Erdgas Exploration GmbH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Exploration and Development Libya GmbH I</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Exploration and Production Colombia GmbH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Exploration and Production Libya GmbH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Exploration et Production du Maroc GmbH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Exploration New Ventures One GmbH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Exploration und Produktion Deutschland GmbH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Global Solutions (Deutschland) GmbH</w:t>
            </w:r>
          </w:p>
        </w:tc>
        <w:tc>
          <w:tcPr>
            <w:tcW w:w="6500" w:type="dxa"/>
            <w:vAlign w:val="bottom"/>
          </w:tcPr>
          <w:p>
            <w:pPr>
              <w:ind w:left="960"/>
              <w:spacing w:after="0"/>
              <w:rPr>
                <w:sz w:val="20"/>
                <w:szCs w:val="20"/>
                <w:color w:val="auto"/>
              </w:rPr>
            </w:pPr>
            <w:r>
              <w:rPr>
                <w:rFonts w:ascii="Arial" w:cs="Arial" w:eastAsia="Arial" w:hAnsi="Arial"/>
                <w:sz w:val="7"/>
                <w:szCs w:val="7"/>
                <w:color w:val="auto"/>
              </w:rPr>
              <w:t>Hohe-Schaar-Straße 36, Hamburg, 21107</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Hydrogen Deutschland GmbH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Tunisia Offshore GmbH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Verwaltungsgesellschaft für Erdgasbeteiligungen 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Sonnen eServices Deutschland GmbH</w:t>
            </w:r>
          </w:p>
        </w:tc>
        <w:tc>
          <w:tcPr>
            <w:tcW w:w="6500" w:type="dxa"/>
            <w:vAlign w:val="bottom"/>
          </w:tcPr>
          <w:p>
            <w:pPr>
              <w:ind w:left="960"/>
              <w:spacing w:after="0"/>
              <w:rPr>
                <w:sz w:val="20"/>
                <w:szCs w:val="20"/>
                <w:color w:val="auto"/>
              </w:rPr>
            </w:pPr>
            <w:r>
              <w:rPr>
                <w:rFonts w:ascii="Arial" w:cs="Arial" w:eastAsia="Arial" w:hAnsi="Arial"/>
                <w:sz w:val="7"/>
                <w:szCs w:val="7"/>
                <w:color w:val="auto"/>
              </w:rPr>
              <w:t>Am Riedbach 1, Wildpoldsried, 87499</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Sonnen eServices GmbH</w:t>
            </w:r>
          </w:p>
        </w:tc>
        <w:tc>
          <w:tcPr>
            <w:tcW w:w="6500" w:type="dxa"/>
            <w:vAlign w:val="bottom"/>
          </w:tcPr>
          <w:p>
            <w:pPr>
              <w:ind w:left="960"/>
              <w:spacing w:after="0"/>
              <w:rPr>
                <w:sz w:val="20"/>
                <w:szCs w:val="20"/>
                <w:color w:val="auto"/>
              </w:rPr>
            </w:pPr>
            <w:r>
              <w:rPr>
                <w:rFonts w:ascii="Arial" w:cs="Arial" w:eastAsia="Arial" w:hAnsi="Arial"/>
                <w:sz w:val="7"/>
                <w:szCs w:val="7"/>
                <w:color w:val="auto"/>
              </w:rPr>
              <w:t>Am Riedbach 1, Wildpoldsried, 87499</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Sonnen GmbH</w:t>
            </w:r>
          </w:p>
        </w:tc>
        <w:tc>
          <w:tcPr>
            <w:tcW w:w="6500" w:type="dxa"/>
            <w:vAlign w:val="bottom"/>
          </w:tcPr>
          <w:p>
            <w:pPr>
              <w:ind w:left="960"/>
              <w:spacing w:after="0"/>
              <w:rPr>
                <w:sz w:val="20"/>
                <w:szCs w:val="20"/>
                <w:color w:val="auto"/>
              </w:rPr>
            </w:pPr>
            <w:r>
              <w:rPr>
                <w:rFonts w:ascii="Arial" w:cs="Arial" w:eastAsia="Arial" w:hAnsi="Arial"/>
                <w:sz w:val="7"/>
                <w:szCs w:val="7"/>
                <w:color w:val="auto"/>
              </w:rPr>
              <w:t>Am Riedbach 1, Wildpoldsried, 87499</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Sonnen Holding GmbH</w:t>
            </w:r>
          </w:p>
        </w:tc>
        <w:tc>
          <w:tcPr>
            <w:tcW w:w="6500" w:type="dxa"/>
            <w:vAlign w:val="bottom"/>
          </w:tcPr>
          <w:p>
            <w:pPr>
              <w:ind w:left="960"/>
              <w:spacing w:after="0"/>
              <w:rPr>
                <w:sz w:val="20"/>
                <w:szCs w:val="20"/>
                <w:color w:val="auto"/>
              </w:rPr>
            </w:pPr>
            <w:r>
              <w:rPr>
                <w:rFonts w:ascii="Arial" w:cs="Arial" w:eastAsia="Arial" w:hAnsi="Arial"/>
                <w:sz w:val="7"/>
                <w:szCs w:val="7"/>
                <w:color w:val="auto"/>
              </w:rPr>
              <w:t>Am Riedbach 1, Wildpoldsried, 87499</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SPNV Deutschland Beteiligungsges. mbH</w:t>
            </w:r>
          </w:p>
        </w:tc>
        <w:tc>
          <w:tcPr>
            <w:tcW w:w="6500" w:type="dxa"/>
            <w:vAlign w:val="bottom"/>
          </w:tcPr>
          <w:p>
            <w:pPr>
              <w:ind w:left="960"/>
              <w:spacing w:after="0"/>
              <w:rPr>
                <w:sz w:val="20"/>
                <w:szCs w:val="20"/>
                <w:color w:val="auto"/>
              </w:rPr>
            </w:pPr>
            <w:r>
              <w:rPr>
                <w:rFonts w:ascii="Arial" w:cs="Arial" w:eastAsia="Arial" w:hAnsi="Arial"/>
                <w:sz w:val="7"/>
                <w:szCs w:val="7"/>
                <w:color w:val="auto"/>
              </w:rPr>
              <w:t>Suhrenkamp 71 - 77, Hamburg, 22335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The New Motion Deutschland GmbH</w:t>
            </w:r>
          </w:p>
        </w:tc>
        <w:tc>
          <w:tcPr>
            <w:tcW w:w="6500" w:type="dxa"/>
            <w:vAlign w:val="bottom"/>
          </w:tcPr>
          <w:p>
            <w:pPr>
              <w:ind w:left="960"/>
              <w:spacing w:after="0"/>
              <w:rPr>
                <w:sz w:val="20"/>
                <w:szCs w:val="20"/>
                <w:color w:val="auto"/>
              </w:rPr>
            </w:pPr>
            <w:r>
              <w:rPr>
                <w:rFonts w:ascii="Arial" w:cs="Arial" w:eastAsia="Arial" w:hAnsi="Arial"/>
                <w:sz w:val="7"/>
                <w:szCs w:val="7"/>
                <w:color w:val="auto"/>
              </w:rPr>
              <w:t>Wattstraße 11, Berlin, 13355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Toll4Europe GmbH</w:t>
            </w:r>
          </w:p>
        </w:tc>
        <w:tc>
          <w:tcPr>
            <w:tcW w:w="6500" w:type="dxa"/>
            <w:vAlign w:val="bottom"/>
          </w:tcPr>
          <w:p>
            <w:pPr>
              <w:ind w:left="960"/>
              <w:spacing w:after="0"/>
              <w:rPr>
                <w:sz w:val="20"/>
                <w:szCs w:val="20"/>
                <w:color w:val="auto"/>
              </w:rPr>
            </w:pPr>
            <w:r>
              <w:rPr>
                <w:rFonts w:ascii="Arial" w:cs="Arial" w:eastAsia="Arial" w:hAnsi="Arial"/>
                <w:sz w:val="7"/>
                <w:szCs w:val="7"/>
                <w:color w:val="auto"/>
              </w:rPr>
              <w:t>Französische Straße 33 a-c, Berlin, 10117</w:t>
            </w:r>
          </w:p>
        </w:tc>
        <w:tc>
          <w:tcPr>
            <w:tcW w:w="1960" w:type="dxa"/>
            <w:vAlign w:val="bottom"/>
          </w:tcPr>
          <w:p>
            <w:pPr>
              <w:jc w:val="right"/>
              <w:spacing w:after="0"/>
              <w:rPr>
                <w:sz w:val="20"/>
                <w:szCs w:val="20"/>
                <w:color w:val="auto"/>
              </w:rPr>
            </w:pPr>
            <w:r>
              <w:rPr>
                <w:rFonts w:ascii="Arial" w:cs="Arial" w:eastAsia="Arial" w:hAnsi="Arial"/>
                <w:sz w:val="7"/>
                <w:szCs w:val="7"/>
                <w:color w:val="auto"/>
              </w:rPr>
              <w:t>15</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Wasserbeschaffungsverband Wesseling-Hersel</w:t>
            </w:r>
          </w:p>
        </w:tc>
        <w:tc>
          <w:tcPr>
            <w:tcW w:w="6500" w:type="dxa"/>
            <w:vAlign w:val="bottom"/>
          </w:tcPr>
          <w:p>
            <w:pPr>
              <w:ind w:left="960"/>
              <w:spacing w:after="0"/>
              <w:rPr>
                <w:sz w:val="20"/>
                <w:szCs w:val="20"/>
                <w:color w:val="auto"/>
              </w:rPr>
            </w:pPr>
            <w:r>
              <w:rPr>
                <w:rFonts w:ascii="Arial" w:cs="Arial" w:eastAsia="Arial" w:hAnsi="Arial"/>
                <w:sz w:val="7"/>
                <w:szCs w:val="7"/>
                <w:color w:val="auto"/>
              </w:rPr>
              <w:t>Bruehler Str. 95, Wesseling, 50389</w:t>
            </w:r>
          </w:p>
        </w:tc>
        <w:tc>
          <w:tcPr>
            <w:tcW w:w="1960" w:type="dxa"/>
            <w:vAlign w:val="bottom"/>
          </w:tcPr>
          <w:p>
            <w:pPr>
              <w:jc w:val="right"/>
              <w:spacing w:after="0"/>
              <w:rPr>
                <w:sz w:val="20"/>
                <w:szCs w:val="20"/>
                <w:color w:val="auto"/>
              </w:rPr>
            </w:pPr>
            <w:r>
              <w:rPr>
                <w:rFonts w:ascii="Arial" w:cs="Arial" w:eastAsia="Arial" w:hAnsi="Arial"/>
                <w:sz w:val="7"/>
                <w:szCs w:val="7"/>
                <w:color w:val="auto"/>
              </w:rPr>
              <w:t>35</w:t>
            </w:r>
          </w:p>
        </w:tc>
      </w:tr>
      <w:tr>
        <w:trPr>
          <w:trHeight w:val="108"/>
        </w:trPr>
        <w:tc>
          <w:tcPr>
            <w:tcW w:w="2800" w:type="dxa"/>
            <w:vAlign w:val="bottom"/>
          </w:tcPr>
          <w:p>
            <w:pPr>
              <w:spacing w:after="0"/>
              <w:rPr>
                <w:sz w:val="20"/>
                <w:szCs w:val="20"/>
                <w:color w:val="auto"/>
              </w:rPr>
            </w:pPr>
            <w:r>
              <w:rPr>
                <w:rFonts w:ascii="Arial" w:cs="Arial" w:eastAsia="Arial" w:hAnsi="Arial"/>
                <w:sz w:val="7"/>
                <w:szCs w:val="7"/>
                <w:color w:val="auto"/>
              </w:rPr>
              <w:t>GHANA</w:t>
            </w:r>
          </w:p>
        </w:tc>
        <w:tc>
          <w:tcPr>
            <w:tcW w:w="6500" w:type="dxa"/>
            <w:vAlign w:val="bottom"/>
          </w:tcPr>
          <w:p>
            <w:pPr>
              <w:spacing w:after="0"/>
              <w:rPr>
                <w:sz w:val="9"/>
                <w:szCs w:val="9"/>
                <w:color w:val="auto"/>
              </w:rPr>
            </w:pPr>
          </w:p>
        </w:tc>
        <w:tc>
          <w:tcPr>
            <w:tcW w:w="1960" w:type="dxa"/>
            <w:vAlign w:val="bottom"/>
          </w:tcPr>
          <w:p>
            <w:pPr>
              <w:spacing w:after="0"/>
              <w:rPr>
                <w:sz w:val="9"/>
                <w:szCs w:val="9"/>
                <w:color w:val="auto"/>
              </w:rPr>
            </w:pP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Energy Ghana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No 4 Momotse Avenue, Adabraka, Accra, GP 1632</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spacing w:after="0"/>
              <w:rPr>
                <w:sz w:val="20"/>
                <w:szCs w:val="20"/>
                <w:color w:val="auto"/>
              </w:rPr>
            </w:pPr>
            <w:r>
              <w:rPr>
                <w:rFonts w:ascii="Arial" w:cs="Arial" w:eastAsia="Arial" w:hAnsi="Arial"/>
                <w:sz w:val="7"/>
                <w:szCs w:val="7"/>
                <w:color w:val="auto"/>
              </w:rPr>
              <w:t>GIBRALTAR</w:t>
            </w:r>
          </w:p>
        </w:tc>
        <w:tc>
          <w:tcPr>
            <w:tcW w:w="6500" w:type="dxa"/>
            <w:vAlign w:val="bottom"/>
          </w:tcPr>
          <w:p>
            <w:pPr>
              <w:spacing w:after="0"/>
              <w:rPr>
                <w:sz w:val="9"/>
                <w:szCs w:val="9"/>
                <w:color w:val="auto"/>
              </w:rPr>
            </w:pPr>
          </w:p>
        </w:tc>
        <w:tc>
          <w:tcPr>
            <w:tcW w:w="1960" w:type="dxa"/>
            <w:vAlign w:val="bottom"/>
          </w:tcPr>
          <w:p>
            <w:pPr>
              <w:spacing w:after="0"/>
              <w:rPr>
                <w:sz w:val="9"/>
                <w:szCs w:val="9"/>
                <w:color w:val="auto"/>
              </w:rPr>
            </w:pP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LNG Gibraltar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57/63 Line Wall Road, P.O. Box 199, Gibraltar</w:t>
            </w:r>
          </w:p>
        </w:tc>
        <w:tc>
          <w:tcPr>
            <w:tcW w:w="1960" w:type="dxa"/>
            <w:vAlign w:val="bottom"/>
          </w:tcPr>
          <w:p>
            <w:pPr>
              <w:jc w:val="right"/>
              <w:spacing w:after="0"/>
              <w:rPr>
                <w:sz w:val="20"/>
                <w:szCs w:val="20"/>
                <w:color w:val="auto"/>
              </w:rPr>
            </w:pPr>
            <w:r>
              <w:rPr>
                <w:rFonts w:ascii="Arial" w:cs="Arial" w:eastAsia="Arial" w:hAnsi="Arial"/>
                <w:sz w:val="7"/>
                <w:szCs w:val="7"/>
                <w:color w:val="auto"/>
              </w:rPr>
              <w:t>51</w:t>
            </w:r>
          </w:p>
        </w:tc>
      </w:tr>
      <w:tr>
        <w:trPr>
          <w:trHeight w:val="108"/>
        </w:trPr>
        <w:tc>
          <w:tcPr>
            <w:tcW w:w="2800" w:type="dxa"/>
            <w:vAlign w:val="bottom"/>
          </w:tcPr>
          <w:p>
            <w:pPr>
              <w:spacing w:after="0"/>
              <w:rPr>
                <w:sz w:val="20"/>
                <w:szCs w:val="20"/>
                <w:color w:val="auto"/>
              </w:rPr>
            </w:pPr>
            <w:r>
              <w:rPr>
                <w:rFonts w:ascii="Arial" w:cs="Arial" w:eastAsia="Arial" w:hAnsi="Arial"/>
                <w:sz w:val="7"/>
                <w:szCs w:val="7"/>
                <w:color w:val="auto"/>
              </w:rPr>
              <w:t>GREECE</w:t>
            </w:r>
          </w:p>
        </w:tc>
        <w:tc>
          <w:tcPr>
            <w:tcW w:w="6500" w:type="dxa"/>
            <w:vAlign w:val="bottom"/>
          </w:tcPr>
          <w:p>
            <w:pPr>
              <w:spacing w:after="0"/>
              <w:rPr>
                <w:sz w:val="9"/>
                <w:szCs w:val="9"/>
                <w:color w:val="auto"/>
              </w:rPr>
            </w:pPr>
          </w:p>
        </w:tc>
        <w:tc>
          <w:tcPr>
            <w:tcW w:w="1960" w:type="dxa"/>
            <w:vAlign w:val="bottom"/>
          </w:tcPr>
          <w:p>
            <w:pPr>
              <w:spacing w:after="0"/>
              <w:rPr>
                <w:sz w:val="9"/>
                <w:szCs w:val="9"/>
                <w:color w:val="auto"/>
              </w:rPr>
            </w:pP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&amp; MOH Aviation Fuels A.E.</w:t>
            </w:r>
          </w:p>
        </w:tc>
        <w:tc>
          <w:tcPr>
            <w:tcW w:w="6500" w:type="dxa"/>
            <w:vAlign w:val="bottom"/>
          </w:tcPr>
          <w:p>
            <w:pPr>
              <w:ind w:left="960"/>
              <w:spacing w:after="0"/>
              <w:rPr>
                <w:sz w:val="20"/>
                <w:szCs w:val="20"/>
                <w:color w:val="auto"/>
              </w:rPr>
            </w:pPr>
            <w:r>
              <w:rPr>
                <w:rFonts w:ascii="Arial" w:cs="Arial" w:eastAsia="Arial" w:hAnsi="Arial"/>
                <w:sz w:val="7"/>
                <w:szCs w:val="7"/>
                <w:color w:val="auto"/>
              </w:rPr>
              <w:t>151 Kifisias Ave., Marousi, Athens, 15124</w:t>
            </w:r>
          </w:p>
        </w:tc>
        <w:tc>
          <w:tcPr>
            <w:tcW w:w="1960" w:type="dxa"/>
            <w:vAlign w:val="bottom"/>
          </w:tcPr>
          <w:p>
            <w:pPr>
              <w:jc w:val="right"/>
              <w:spacing w:after="0"/>
              <w:rPr>
                <w:sz w:val="20"/>
                <w:szCs w:val="20"/>
                <w:color w:val="auto"/>
              </w:rPr>
            </w:pPr>
            <w:r>
              <w:rPr>
                <w:rFonts w:ascii="Arial" w:cs="Arial" w:eastAsia="Arial" w:hAnsi="Arial"/>
                <w:sz w:val="7"/>
                <w:szCs w:val="7"/>
                <w:color w:val="auto"/>
              </w:rPr>
              <w:t>51</w:t>
            </w:r>
          </w:p>
        </w:tc>
      </w:tr>
      <w:tr>
        <w:trPr>
          <w:trHeight w:val="108"/>
        </w:trPr>
        <w:tc>
          <w:tcPr>
            <w:tcW w:w="2800" w:type="dxa"/>
            <w:vAlign w:val="bottom"/>
          </w:tcPr>
          <w:p>
            <w:pPr>
              <w:spacing w:after="0"/>
              <w:rPr>
                <w:sz w:val="20"/>
                <w:szCs w:val="20"/>
                <w:color w:val="auto"/>
              </w:rPr>
            </w:pPr>
            <w:r>
              <w:rPr>
                <w:rFonts w:ascii="Arial" w:cs="Arial" w:eastAsia="Arial" w:hAnsi="Arial"/>
                <w:sz w:val="7"/>
                <w:szCs w:val="7"/>
                <w:color w:val="auto"/>
              </w:rPr>
              <w:t>GREENLAND</w:t>
            </w:r>
          </w:p>
        </w:tc>
        <w:tc>
          <w:tcPr>
            <w:tcW w:w="6500" w:type="dxa"/>
            <w:vAlign w:val="bottom"/>
          </w:tcPr>
          <w:p>
            <w:pPr>
              <w:spacing w:after="0"/>
              <w:rPr>
                <w:sz w:val="9"/>
                <w:szCs w:val="9"/>
                <w:color w:val="auto"/>
              </w:rPr>
            </w:pPr>
          </w:p>
        </w:tc>
        <w:tc>
          <w:tcPr>
            <w:tcW w:w="1960" w:type="dxa"/>
            <w:vAlign w:val="bottom"/>
          </w:tcPr>
          <w:p>
            <w:pPr>
              <w:spacing w:after="0"/>
              <w:rPr>
                <w:sz w:val="9"/>
                <w:szCs w:val="9"/>
                <w:color w:val="auto"/>
              </w:rPr>
            </w:pP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Greenland A/S</w:t>
            </w:r>
          </w:p>
        </w:tc>
        <w:tc>
          <w:tcPr>
            <w:tcW w:w="6500" w:type="dxa"/>
            <w:vAlign w:val="bottom"/>
          </w:tcPr>
          <w:p>
            <w:pPr>
              <w:ind w:left="960"/>
              <w:spacing w:after="0"/>
              <w:rPr>
                <w:sz w:val="20"/>
                <w:szCs w:val="20"/>
                <w:color w:val="auto"/>
              </w:rPr>
            </w:pPr>
            <w:r>
              <w:rPr>
                <w:rFonts w:ascii="Arial" w:cs="Arial" w:eastAsia="Arial" w:hAnsi="Arial"/>
                <w:sz w:val="7"/>
                <w:szCs w:val="7"/>
                <w:color w:val="auto"/>
              </w:rPr>
              <w:t>P.O. Box 510, Issortarfimmut 6, 102, Nuussuaq, 3905</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spacing w:after="0"/>
              <w:rPr>
                <w:sz w:val="20"/>
                <w:szCs w:val="20"/>
                <w:color w:val="auto"/>
              </w:rPr>
            </w:pPr>
            <w:r>
              <w:rPr>
                <w:rFonts w:ascii="Arial" w:cs="Arial" w:eastAsia="Arial" w:hAnsi="Arial"/>
                <w:sz w:val="7"/>
                <w:szCs w:val="7"/>
                <w:color w:val="auto"/>
              </w:rPr>
              <w:t>GUAM</w:t>
            </w:r>
          </w:p>
        </w:tc>
        <w:tc>
          <w:tcPr>
            <w:tcW w:w="6500" w:type="dxa"/>
            <w:vAlign w:val="bottom"/>
          </w:tcPr>
          <w:p>
            <w:pPr>
              <w:spacing w:after="0"/>
              <w:rPr>
                <w:sz w:val="9"/>
                <w:szCs w:val="9"/>
                <w:color w:val="auto"/>
              </w:rPr>
            </w:pPr>
          </w:p>
        </w:tc>
        <w:tc>
          <w:tcPr>
            <w:tcW w:w="1960" w:type="dxa"/>
            <w:vAlign w:val="bottom"/>
          </w:tcPr>
          <w:p>
            <w:pPr>
              <w:spacing w:after="0"/>
              <w:rPr>
                <w:sz w:val="9"/>
                <w:szCs w:val="9"/>
                <w:color w:val="auto"/>
              </w:rPr>
            </w:pP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Guam Inc.</w:t>
            </w:r>
          </w:p>
        </w:tc>
        <w:tc>
          <w:tcPr>
            <w:tcW w:w="6500" w:type="dxa"/>
            <w:vAlign w:val="bottom"/>
          </w:tcPr>
          <w:p>
            <w:pPr>
              <w:ind w:left="960"/>
              <w:spacing w:after="0"/>
              <w:rPr>
                <w:sz w:val="20"/>
                <w:szCs w:val="20"/>
                <w:color w:val="auto"/>
              </w:rPr>
            </w:pPr>
            <w:r>
              <w:rPr>
                <w:rFonts w:ascii="Arial" w:cs="Arial" w:eastAsia="Arial" w:hAnsi="Arial"/>
                <w:sz w:val="7"/>
                <w:szCs w:val="7"/>
                <w:color w:val="auto"/>
              </w:rPr>
              <w:t>643 Chalan San Antonio, Suite 100, Tamuning, GU 96911</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spacing w:after="0"/>
              <w:rPr>
                <w:sz w:val="20"/>
                <w:szCs w:val="20"/>
                <w:color w:val="auto"/>
              </w:rPr>
            </w:pPr>
            <w:r>
              <w:rPr>
                <w:rFonts w:ascii="Arial" w:cs="Arial" w:eastAsia="Arial" w:hAnsi="Arial"/>
                <w:sz w:val="7"/>
                <w:szCs w:val="7"/>
                <w:color w:val="auto"/>
              </w:rPr>
              <w:t>HONG KONG</w:t>
            </w:r>
          </w:p>
        </w:tc>
        <w:tc>
          <w:tcPr>
            <w:tcW w:w="6500" w:type="dxa"/>
            <w:vAlign w:val="bottom"/>
          </w:tcPr>
          <w:p>
            <w:pPr>
              <w:spacing w:after="0"/>
              <w:rPr>
                <w:sz w:val="9"/>
                <w:szCs w:val="9"/>
                <w:color w:val="auto"/>
              </w:rPr>
            </w:pPr>
          </w:p>
        </w:tc>
        <w:tc>
          <w:tcPr>
            <w:tcW w:w="1960" w:type="dxa"/>
            <w:vAlign w:val="bottom"/>
          </w:tcPr>
          <w:p>
            <w:pPr>
              <w:spacing w:after="0"/>
              <w:rPr>
                <w:sz w:val="9"/>
                <w:szCs w:val="9"/>
                <w:color w:val="auto"/>
              </w:rPr>
            </w:pP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AFSC Operations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3 Scenic Road, Chek Lap Kok, Lantau</w:t>
            </w:r>
          </w:p>
        </w:tc>
        <w:tc>
          <w:tcPr>
            <w:tcW w:w="1960" w:type="dxa"/>
            <w:vAlign w:val="bottom"/>
          </w:tcPr>
          <w:p>
            <w:pPr>
              <w:jc w:val="right"/>
              <w:spacing w:after="0"/>
              <w:rPr>
                <w:sz w:val="20"/>
                <w:szCs w:val="20"/>
                <w:color w:val="auto"/>
              </w:rPr>
            </w:pPr>
            <w:r>
              <w:rPr>
                <w:rFonts w:ascii="Arial" w:cs="Arial" w:eastAsia="Arial" w:hAnsi="Arial"/>
                <w:sz w:val="7"/>
                <w:szCs w:val="7"/>
                <w:color w:val="auto"/>
              </w:rPr>
              <w:t>11</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AFSC Refuelling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3 Scenic Road, Chek Lap Kok, Lantau</w:t>
            </w:r>
          </w:p>
        </w:tc>
        <w:tc>
          <w:tcPr>
            <w:tcW w:w="1960" w:type="dxa"/>
            <w:vAlign w:val="bottom"/>
          </w:tcPr>
          <w:p>
            <w:pPr>
              <w:jc w:val="right"/>
              <w:spacing w:after="0"/>
              <w:rPr>
                <w:sz w:val="20"/>
                <w:szCs w:val="20"/>
                <w:color w:val="auto"/>
              </w:rPr>
            </w:pPr>
            <w:r>
              <w:rPr>
                <w:rFonts w:ascii="Arial" w:cs="Arial" w:eastAsia="Arial" w:hAnsi="Arial"/>
                <w:sz w:val="7"/>
                <w:szCs w:val="7"/>
                <w:color w:val="auto"/>
              </w:rPr>
              <w:t>11</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Fulmart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35/F AIA Kowloon Tower, Landmark East, 100 How Ming Street, Kwun Tong, Kowloon</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Hong Kong Response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Esso Tsing Yi Terminal, Lot 46 Tsing Yi Road, Tsing Yi Island, New Territories</w:t>
            </w:r>
          </w:p>
        </w:tc>
        <w:tc>
          <w:tcPr>
            <w:tcW w:w="1960" w:type="dxa"/>
            <w:vAlign w:val="bottom"/>
          </w:tcPr>
          <w:p>
            <w:pPr>
              <w:jc w:val="right"/>
              <w:spacing w:after="0"/>
              <w:rPr>
                <w:sz w:val="20"/>
                <w:szCs w:val="20"/>
                <w:color w:val="auto"/>
              </w:rPr>
            </w:pPr>
            <w:r>
              <w:rPr>
                <w:rFonts w:ascii="Arial" w:cs="Arial" w:eastAsia="Arial" w:hAnsi="Arial"/>
                <w:sz w:val="7"/>
                <w:szCs w:val="7"/>
                <w:color w:val="auto"/>
              </w:rPr>
              <w:t>25</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Ocean Century Tf Limited [g]</w:t>
            </w:r>
          </w:p>
        </w:tc>
        <w:tc>
          <w:tcPr>
            <w:tcW w:w="6500" w:type="dxa"/>
            <w:vAlign w:val="bottom"/>
          </w:tcPr>
          <w:p>
            <w:pPr>
              <w:ind w:left="960"/>
              <w:spacing w:after="0"/>
              <w:rPr>
                <w:sz w:val="20"/>
                <w:szCs w:val="20"/>
                <w:color w:val="auto"/>
              </w:rPr>
            </w:pPr>
            <w:r>
              <w:rPr>
                <w:rFonts w:ascii="Arial" w:cs="Arial" w:eastAsia="Arial" w:hAnsi="Arial"/>
                <w:sz w:val="7"/>
                <w:szCs w:val="7"/>
                <w:color w:val="auto"/>
              </w:rPr>
              <w:t>35/F AIA Kowloon Tower, Landmark East, 100 How Ming Street, Kwun Tong, Kowloon</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Developments (HK) Limited [g]</w:t>
            </w:r>
          </w:p>
        </w:tc>
        <w:tc>
          <w:tcPr>
            <w:tcW w:w="6500" w:type="dxa"/>
            <w:vAlign w:val="bottom"/>
          </w:tcPr>
          <w:p>
            <w:pPr>
              <w:ind w:left="960"/>
              <w:spacing w:after="0"/>
              <w:rPr>
                <w:sz w:val="20"/>
                <w:szCs w:val="20"/>
                <w:color w:val="auto"/>
              </w:rPr>
            </w:pPr>
            <w:r>
              <w:rPr>
                <w:rFonts w:ascii="Arial" w:cs="Arial" w:eastAsia="Arial" w:hAnsi="Arial"/>
                <w:sz w:val="7"/>
                <w:szCs w:val="7"/>
                <w:color w:val="auto"/>
              </w:rPr>
              <w:t>35/F AIA Kowloon Tower, Landmark East, 100 How Ming Street, Kwun Tong, Kowloon</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Hong Kong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35/F AIA Kowloon Tower, Landmark East, 100 How Ming Street, Kwun Tong, Kowloon</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Korea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35/F AIA Kowloon Tower, Landmark East, 100 How Ming Street, Kwun Tong, Kowloon</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Macau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35/F AIA Kowloon Tower, Landmark East, 100 How Ming Street, Kwun Tong, Kowloon</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spacing w:after="0"/>
              <w:rPr>
                <w:sz w:val="20"/>
                <w:szCs w:val="20"/>
                <w:color w:val="auto"/>
              </w:rPr>
            </w:pPr>
            <w:r>
              <w:rPr>
                <w:rFonts w:ascii="Arial" w:cs="Arial" w:eastAsia="Arial" w:hAnsi="Arial"/>
                <w:sz w:val="7"/>
                <w:szCs w:val="7"/>
                <w:color w:val="auto"/>
              </w:rPr>
              <w:t>HUNGARY</w:t>
            </w:r>
          </w:p>
        </w:tc>
        <w:tc>
          <w:tcPr>
            <w:tcW w:w="6500" w:type="dxa"/>
            <w:vAlign w:val="bottom"/>
          </w:tcPr>
          <w:p>
            <w:pPr>
              <w:spacing w:after="0"/>
              <w:rPr>
                <w:sz w:val="9"/>
                <w:szCs w:val="9"/>
                <w:color w:val="auto"/>
              </w:rPr>
            </w:pPr>
          </w:p>
        </w:tc>
        <w:tc>
          <w:tcPr>
            <w:tcW w:w="1960" w:type="dxa"/>
            <w:vAlign w:val="bottom"/>
          </w:tcPr>
          <w:p>
            <w:pPr>
              <w:spacing w:after="0"/>
              <w:rPr>
                <w:sz w:val="9"/>
                <w:szCs w:val="9"/>
                <w:color w:val="auto"/>
              </w:rPr>
            </w:pP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Hungary Trading close Company Limited by shares</w:t>
            </w:r>
          </w:p>
        </w:tc>
        <w:tc>
          <w:tcPr>
            <w:tcW w:w="6500" w:type="dxa"/>
            <w:vAlign w:val="bottom"/>
          </w:tcPr>
          <w:p>
            <w:pPr>
              <w:ind w:left="960"/>
              <w:spacing w:after="0"/>
              <w:rPr>
                <w:sz w:val="20"/>
                <w:szCs w:val="20"/>
                <w:color w:val="auto"/>
              </w:rPr>
            </w:pPr>
            <w:r>
              <w:rPr>
                <w:rFonts w:ascii="Arial" w:cs="Arial" w:eastAsia="Arial" w:hAnsi="Arial"/>
                <w:sz w:val="7"/>
                <w:szCs w:val="7"/>
                <w:color w:val="auto"/>
              </w:rPr>
              <w:t>Bocskai út 134-146., Budapest, 1113</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spacing w:after="0"/>
              <w:rPr>
                <w:sz w:val="20"/>
                <w:szCs w:val="20"/>
                <w:color w:val="auto"/>
              </w:rPr>
            </w:pPr>
            <w:r>
              <w:rPr>
                <w:rFonts w:ascii="Arial" w:cs="Arial" w:eastAsia="Arial" w:hAnsi="Arial"/>
                <w:sz w:val="7"/>
                <w:szCs w:val="7"/>
                <w:color w:val="auto"/>
              </w:rPr>
              <w:t>INDIA</w:t>
            </w:r>
          </w:p>
        </w:tc>
        <w:tc>
          <w:tcPr>
            <w:tcW w:w="6500" w:type="dxa"/>
            <w:vAlign w:val="bottom"/>
          </w:tcPr>
          <w:p>
            <w:pPr>
              <w:spacing w:after="0"/>
              <w:rPr>
                <w:sz w:val="9"/>
                <w:szCs w:val="9"/>
                <w:color w:val="auto"/>
              </w:rPr>
            </w:pPr>
          </w:p>
        </w:tc>
        <w:tc>
          <w:tcPr>
            <w:tcW w:w="1960" w:type="dxa"/>
            <w:vAlign w:val="bottom"/>
          </w:tcPr>
          <w:p>
            <w:pPr>
              <w:spacing w:after="0"/>
              <w:rPr>
                <w:sz w:val="9"/>
                <w:szCs w:val="9"/>
                <w:color w:val="auto"/>
              </w:rPr>
            </w:pP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India Energy Private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3-C World Trade Tower, New Barakhamba Lane, New Delhi, 110001</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India Energy Services Private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3-C World Trade Tower, New Barakhamba Lane, New Delhi, 110001</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India Energy Solutions Private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3-C World Trade Tower, New Barakhamba Lane, New Delhi, 110001</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LNG Regas India Private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3-C World Trade Tower, New Barakhamba Lane, New Delhi, 110001</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Greenlots Technology India LLP</w:t>
            </w:r>
          </w:p>
        </w:tc>
        <w:tc>
          <w:tcPr>
            <w:tcW w:w="6500" w:type="dxa"/>
            <w:vAlign w:val="bottom"/>
          </w:tcPr>
          <w:p>
            <w:pPr>
              <w:ind w:left="960"/>
              <w:spacing w:after="0"/>
              <w:rPr>
                <w:sz w:val="20"/>
                <w:szCs w:val="20"/>
                <w:color w:val="auto"/>
              </w:rPr>
            </w:pPr>
            <w:r>
              <w:rPr>
                <w:rFonts w:ascii="Arial" w:cs="Arial" w:eastAsia="Arial" w:hAnsi="Arial"/>
                <w:sz w:val="7"/>
                <w:szCs w:val="7"/>
                <w:color w:val="auto"/>
              </w:rPr>
              <w:t>Platina Tower MG Road, Near Sikandarpur Metro Station, Section, Haryana, Gurugram, 122001</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Hazira Port Private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Office No 2008, Westgate - D Block, Nr YMCA Club, S.G.Highway, Makarba, Ahmedabad, Gujarat, 380051</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Energy India Private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Office No 2008, Westgate - D Block, Nr YMCA Club, S.G.Highway, Makarba, Ahmedabad, Gujarat, 380051</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Energy Marketing and Trading India Private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2nd floor, Campus 4A, RMZ Millenia Business Park II, 143 Dr MGR Road, Kandhanchavady, Perungudi, Chennai, TN 600096</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India Markets Private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2nd floor, Campus 4A, RMZ Millenia Business Park II, 143 Dr MGR Road, Kandhanchavady, Perungudi, Chennai, TN 600096</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MRPL Aviation Fuels and Services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102, Prestige Sigma, Vittal Mallya Road, Bangalore, 560001</w:t>
            </w:r>
          </w:p>
        </w:tc>
        <w:tc>
          <w:tcPr>
            <w:tcW w:w="19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Tiki Tar and Shell India Private Limited</w:t>
            </w:r>
          </w:p>
        </w:tc>
        <w:tc>
          <w:tcPr>
            <w:tcW w:w="6500" w:type="dxa"/>
            <w:vAlign w:val="bottom"/>
          </w:tcPr>
          <w:p>
            <w:pPr>
              <w:ind w:left="960"/>
              <w:spacing w:after="0"/>
              <w:rPr>
                <w:sz w:val="20"/>
                <w:szCs w:val="20"/>
                <w:color w:val="auto"/>
              </w:rPr>
            </w:pPr>
            <w:r>
              <w:rPr>
                <w:rFonts w:ascii="Arial" w:cs="Arial" w:eastAsia="Arial" w:hAnsi="Arial"/>
                <w:sz w:val="7"/>
                <w:szCs w:val="7"/>
                <w:color w:val="auto"/>
              </w:rPr>
              <w:t>Tiki Tar Industries Village Road, Near Bhandup village, Bhandup West Mumbai, Mumbai, MH 400078</w:t>
            </w:r>
          </w:p>
        </w:tc>
        <w:tc>
          <w:tcPr>
            <w:tcW w:w="19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00" w:type="dxa"/>
            <w:vAlign w:val="bottom"/>
          </w:tcPr>
          <w:p>
            <w:pPr>
              <w:spacing w:after="0"/>
              <w:rPr>
                <w:sz w:val="20"/>
                <w:szCs w:val="20"/>
                <w:color w:val="auto"/>
              </w:rPr>
            </w:pPr>
            <w:r>
              <w:rPr>
                <w:rFonts w:ascii="Arial" w:cs="Arial" w:eastAsia="Arial" w:hAnsi="Arial"/>
                <w:sz w:val="7"/>
                <w:szCs w:val="7"/>
                <w:color w:val="auto"/>
              </w:rPr>
              <w:t>INDONESIA</w:t>
            </w:r>
          </w:p>
        </w:tc>
        <w:tc>
          <w:tcPr>
            <w:tcW w:w="6500" w:type="dxa"/>
            <w:vAlign w:val="bottom"/>
          </w:tcPr>
          <w:p>
            <w:pPr>
              <w:spacing w:after="0"/>
              <w:rPr>
                <w:sz w:val="9"/>
                <w:szCs w:val="9"/>
                <w:color w:val="auto"/>
              </w:rPr>
            </w:pPr>
          </w:p>
        </w:tc>
        <w:tc>
          <w:tcPr>
            <w:tcW w:w="1960" w:type="dxa"/>
            <w:vAlign w:val="bottom"/>
          </w:tcPr>
          <w:p>
            <w:pPr>
              <w:spacing w:after="0"/>
              <w:rPr>
                <w:sz w:val="9"/>
                <w:szCs w:val="9"/>
                <w:color w:val="auto"/>
              </w:rPr>
            </w:pP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PT Shell LNG Indonesia</w:t>
            </w:r>
          </w:p>
        </w:tc>
        <w:tc>
          <w:tcPr>
            <w:tcW w:w="6500" w:type="dxa"/>
            <w:vAlign w:val="bottom"/>
          </w:tcPr>
          <w:p>
            <w:pPr>
              <w:ind w:left="960"/>
              <w:spacing w:after="0"/>
              <w:rPr>
                <w:sz w:val="20"/>
                <w:szCs w:val="20"/>
                <w:color w:val="auto"/>
              </w:rPr>
            </w:pPr>
            <w:r>
              <w:rPr>
                <w:rFonts w:ascii="Arial" w:cs="Arial" w:eastAsia="Arial" w:hAnsi="Arial"/>
                <w:sz w:val="7"/>
                <w:szCs w:val="7"/>
                <w:color w:val="auto"/>
              </w:rPr>
              <w:t>Talavera Office Park 22-26th Floor, Jl. Letjen. TB Simatupang Kav. 22-26, Jakarta Selatan, Jakarta, 12430</w:t>
            </w:r>
          </w:p>
        </w:tc>
        <w:tc>
          <w:tcPr>
            <w:tcW w:w="19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520"/>
        </w:trPr>
        <w:tc>
          <w:tcPr>
            <w:tcW w:w="2800" w:type="dxa"/>
            <w:vAlign w:val="bottom"/>
          </w:tcPr>
          <w:p>
            <w:pPr>
              <w:ind w:left="40"/>
              <w:spacing w:after="0"/>
              <w:rPr>
                <w:sz w:val="20"/>
                <w:szCs w:val="20"/>
                <w:color w:val="auto"/>
              </w:rPr>
            </w:pPr>
            <w:r>
              <w:rPr>
                <w:rFonts w:ascii="Arial" w:cs="Arial" w:eastAsia="Arial" w:hAnsi="Arial"/>
                <w:sz w:val="6"/>
                <w:szCs w:val="6"/>
                <w:color w:val="auto"/>
              </w:rPr>
              <w:t>ADDITIONAL INFORMATION SHELL FORM 20-F 2020</w:t>
            </w:r>
          </w:p>
        </w:tc>
        <w:tc>
          <w:tcPr>
            <w:tcW w:w="6500" w:type="dxa"/>
            <w:vAlign w:val="bottom"/>
          </w:tcPr>
          <w:p>
            <w:pPr>
              <w:ind w:left="2780"/>
              <w:spacing w:after="0"/>
              <w:rPr>
                <w:sz w:val="20"/>
                <w:szCs w:val="20"/>
                <w:color w:val="auto"/>
              </w:rPr>
            </w:pPr>
            <w:r>
              <w:rPr>
                <w:rFonts w:ascii="Arial" w:cs="Arial" w:eastAsia="Arial" w:hAnsi="Arial"/>
                <w:sz w:val="6"/>
                <w:szCs w:val="6"/>
                <w:color w:val="auto"/>
              </w:rPr>
              <w:t>E7</w:t>
            </w:r>
          </w:p>
        </w:tc>
        <w:tc>
          <w:tcPr>
            <w:tcW w:w="1960" w:type="dxa"/>
            <w:vAlign w:val="bottom"/>
          </w:tcPr>
          <w:p>
            <w:pPr>
              <w:spacing w:after="0"/>
              <w:rPr>
                <w:sz w:val="24"/>
                <w:szCs w:val="24"/>
                <w:color w:val="auto"/>
              </w:rPr>
            </w:pPr>
          </w:p>
        </w:tc>
      </w:tr>
    </w:tbl>
    <w:p>
      <w:pPr>
        <w:sectPr>
          <w:pgSz w:w="11900" w:h="16838" w:orient="portrait"/>
          <w:cols w:equalWidth="0" w:num="1">
            <w:col w:w="11260"/>
          </w:cols>
          <w:pgMar w:left="300" w:top="735" w:right="339" w:bottom="1440" w:gutter="0" w:footer="0" w:header="0"/>
        </w:sectPr>
      </w:pPr>
    </w:p>
    <w:bookmarkStart w:id="295" w:name="page296"/>
    <w:bookmarkEnd w:id="2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820" w:type="dxa"/>
            <w:vAlign w:val="bottom"/>
          </w:tcPr>
          <w:p>
            <w:pPr>
              <w:ind w:left="80"/>
              <w:spacing w:after="0"/>
              <w:rPr>
                <w:sz w:val="20"/>
                <w:szCs w:val="20"/>
                <w:color w:val="auto"/>
              </w:rPr>
            </w:pPr>
            <w:r>
              <w:rPr>
                <w:rFonts w:ascii="Arial" w:cs="Arial" w:eastAsia="Arial" w:hAnsi="Arial"/>
                <w:sz w:val="7"/>
                <w:szCs w:val="7"/>
                <w:color w:val="auto"/>
              </w:rPr>
              <w:t>PT. Shell Indonesia</w:t>
            </w:r>
          </w:p>
        </w:tc>
        <w:tc>
          <w:tcPr>
            <w:tcW w:w="6460" w:type="dxa"/>
            <w:vAlign w:val="bottom"/>
          </w:tcPr>
          <w:p>
            <w:pPr>
              <w:ind w:left="940"/>
              <w:spacing w:after="0"/>
              <w:rPr>
                <w:sz w:val="20"/>
                <w:szCs w:val="20"/>
                <w:color w:val="auto"/>
              </w:rPr>
            </w:pPr>
            <w:r>
              <w:rPr>
                <w:rFonts w:ascii="Arial" w:cs="Arial" w:eastAsia="Arial" w:hAnsi="Arial"/>
                <w:sz w:val="7"/>
                <w:szCs w:val="7"/>
                <w:color w:val="auto"/>
              </w:rPr>
              <w:t>Talavera Office Park 22-26th Floor, Jl. Letjen. TB Simatupang Kav. 22-26, Jakarta Selatan, Jakarta, 12430</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PT. Shell Manufacturing Indonesia</w:t>
            </w:r>
          </w:p>
        </w:tc>
        <w:tc>
          <w:tcPr>
            <w:tcW w:w="6460" w:type="dxa"/>
            <w:vAlign w:val="bottom"/>
          </w:tcPr>
          <w:p>
            <w:pPr>
              <w:ind w:left="940"/>
              <w:spacing w:after="0"/>
              <w:rPr>
                <w:sz w:val="20"/>
                <w:szCs w:val="20"/>
                <w:color w:val="auto"/>
              </w:rPr>
            </w:pPr>
            <w:r>
              <w:rPr>
                <w:rFonts w:ascii="Arial" w:cs="Arial" w:eastAsia="Arial" w:hAnsi="Arial"/>
                <w:sz w:val="7"/>
                <w:szCs w:val="7"/>
                <w:color w:val="auto"/>
              </w:rPr>
              <w:t>Talavera Office Park 22-26th Floor, Jl. Letjen. TB Simatupang Kav. 22-26, Jakarta Selatan, Jakarta, 12430</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spacing w:after="0"/>
              <w:rPr>
                <w:sz w:val="20"/>
                <w:szCs w:val="20"/>
                <w:color w:val="auto"/>
              </w:rPr>
            </w:pPr>
            <w:r>
              <w:rPr>
                <w:rFonts w:ascii="Arial" w:cs="Arial" w:eastAsia="Arial" w:hAnsi="Arial"/>
                <w:sz w:val="7"/>
                <w:szCs w:val="7"/>
                <w:color w:val="auto"/>
              </w:rPr>
              <w:t>IRAQ</w:t>
            </w:r>
          </w:p>
        </w:tc>
        <w:tc>
          <w:tcPr>
            <w:tcW w:w="6460" w:type="dxa"/>
            <w:vAlign w:val="bottom"/>
          </w:tcPr>
          <w:p>
            <w:pPr>
              <w:spacing w:after="0"/>
              <w:rPr>
                <w:sz w:val="9"/>
                <w:szCs w:val="9"/>
                <w:color w:val="auto"/>
              </w:rPr>
            </w:pPr>
          </w:p>
        </w:tc>
        <w:tc>
          <w:tcPr>
            <w:tcW w:w="1980" w:type="dxa"/>
            <w:vAlign w:val="bottom"/>
          </w:tcPr>
          <w:p>
            <w:pPr>
              <w:spacing w:after="0"/>
              <w:rPr>
                <w:sz w:val="9"/>
                <w:szCs w:val="9"/>
                <w:color w:val="auto"/>
              </w:rPr>
            </w:pP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Basrah Gas Company</w:t>
            </w:r>
          </w:p>
        </w:tc>
        <w:tc>
          <w:tcPr>
            <w:tcW w:w="6460" w:type="dxa"/>
            <w:vAlign w:val="bottom"/>
          </w:tcPr>
          <w:p>
            <w:pPr>
              <w:ind w:left="940"/>
              <w:spacing w:after="0"/>
              <w:rPr>
                <w:sz w:val="20"/>
                <w:szCs w:val="20"/>
                <w:color w:val="auto"/>
              </w:rPr>
            </w:pPr>
            <w:r>
              <w:rPr>
                <w:rFonts w:ascii="Arial" w:cs="Arial" w:eastAsia="Arial" w:hAnsi="Arial"/>
                <w:sz w:val="7"/>
                <w:szCs w:val="7"/>
                <w:color w:val="auto"/>
              </w:rPr>
              <w:t>Khor Al Zubair, Basrah</w:t>
            </w:r>
          </w:p>
        </w:tc>
        <w:tc>
          <w:tcPr>
            <w:tcW w:w="1980" w:type="dxa"/>
            <w:vAlign w:val="bottom"/>
          </w:tcPr>
          <w:p>
            <w:pPr>
              <w:jc w:val="right"/>
              <w:spacing w:after="0"/>
              <w:rPr>
                <w:sz w:val="20"/>
                <w:szCs w:val="20"/>
                <w:color w:val="auto"/>
              </w:rPr>
            </w:pPr>
            <w:r>
              <w:rPr>
                <w:rFonts w:ascii="Arial" w:cs="Arial" w:eastAsia="Arial" w:hAnsi="Arial"/>
                <w:sz w:val="7"/>
                <w:szCs w:val="7"/>
                <w:color w:val="auto"/>
              </w:rPr>
              <w:t>44</w:t>
            </w:r>
          </w:p>
        </w:tc>
      </w:tr>
      <w:tr>
        <w:trPr>
          <w:trHeight w:val="108"/>
        </w:trPr>
        <w:tc>
          <w:tcPr>
            <w:tcW w:w="2820" w:type="dxa"/>
            <w:vAlign w:val="bottom"/>
          </w:tcPr>
          <w:p>
            <w:pPr>
              <w:spacing w:after="0"/>
              <w:rPr>
                <w:sz w:val="20"/>
                <w:szCs w:val="20"/>
                <w:color w:val="auto"/>
              </w:rPr>
            </w:pPr>
            <w:r>
              <w:rPr>
                <w:rFonts w:ascii="Arial" w:cs="Arial" w:eastAsia="Arial" w:hAnsi="Arial"/>
                <w:sz w:val="7"/>
                <w:szCs w:val="7"/>
                <w:color w:val="auto"/>
              </w:rPr>
              <w:t>IRELAND</w:t>
            </w:r>
          </w:p>
        </w:tc>
        <w:tc>
          <w:tcPr>
            <w:tcW w:w="6460" w:type="dxa"/>
            <w:vAlign w:val="bottom"/>
          </w:tcPr>
          <w:p>
            <w:pPr>
              <w:spacing w:after="0"/>
              <w:rPr>
                <w:sz w:val="9"/>
                <w:szCs w:val="9"/>
                <w:color w:val="auto"/>
              </w:rPr>
            </w:pPr>
          </w:p>
        </w:tc>
        <w:tc>
          <w:tcPr>
            <w:tcW w:w="1980" w:type="dxa"/>
            <w:vAlign w:val="bottom"/>
          </w:tcPr>
          <w:p>
            <w:pPr>
              <w:spacing w:after="0"/>
              <w:rPr>
                <w:sz w:val="9"/>
                <w:szCs w:val="9"/>
                <w:color w:val="auto"/>
              </w:rPr>
            </w:pP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Asiatic Petroleum Company (Dublin) Limited</w:t>
            </w:r>
          </w:p>
        </w:tc>
        <w:tc>
          <w:tcPr>
            <w:tcW w:w="6460" w:type="dxa"/>
            <w:vAlign w:val="bottom"/>
          </w:tcPr>
          <w:p>
            <w:pPr>
              <w:ind w:left="940"/>
              <w:spacing w:after="0"/>
              <w:rPr>
                <w:sz w:val="20"/>
                <w:szCs w:val="20"/>
                <w:color w:val="auto"/>
              </w:rPr>
            </w:pPr>
            <w:r>
              <w:rPr>
                <w:rFonts w:ascii="Arial" w:cs="Arial" w:eastAsia="Arial" w:hAnsi="Arial"/>
                <w:sz w:val="7"/>
                <w:szCs w:val="7"/>
                <w:color w:val="auto"/>
              </w:rPr>
              <w:t>1st Floor, Temple Hall, Temple Road, Blackrock, Co. Dublin, A94 K3K0</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Irish Shell Trust Designated Activity Company</w:t>
            </w:r>
          </w:p>
        </w:tc>
        <w:tc>
          <w:tcPr>
            <w:tcW w:w="6460" w:type="dxa"/>
            <w:vAlign w:val="bottom"/>
          </w:tcPr>
          <w:p>
            <w:pPr>
              <w:ind w:left="940"/>
              <w:spacing w:after="0"/>
              <w:rPr>
                <w:sz w:val="20"/>
                <w:szCs w:val="20"/>
                <w:color w:val="auto"/>
              </w:rPr>
            </w:pPr>
            <w:r>
              <w:rPr>
                <w:rFonts w:ascii="Arial" w:cs="Arial" w:eastAsia="Arial" w:hAnsi="Arial"/>
                <w:sz w:val="7"/>
                <w:szCs w:val="7"/>
                <w:color w:val="auto"/>
              </w:rPr>
              <w:t>1st Floor, Temple Hall, Temple Road, Blackrock, Co. Dublin, A94 K3K0</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and Topaz Aviation Ireland Limited</w:t>
            </w:r>
          </w:p>
        </w:tc>
        <w:tc>
          <w:tcPr>
            <w:tcW w:w="6460" w:type="dxa"/>
            <w:vAlign w:val="bottom"/>
          </w:tcPr>
          <w:p>
            <w:pPr>
              <w:ind w:left="940"/>
              <w:spacing w:after="0"/>
              <w:rPr>
                <w:sz w:val="20"/>
                <w:szCs w:val="20"/>
                <w:color w:val="auto"/>
              </w:rPr>
            </w:pPr>
            <w:r>
              <w:rPr>
                <w:rFonts w:ascii="Arial" w:cs="Arial" w:eastAsia="Arial" w:hAnsi="Arial"/>
                <w:sz w:val="7"/>
                <w:szCs w:val="7"/>
                <w:color w:val="auto"/>
              </w:rPr>
              <w:t>Suite 7 Northwood House, Northwood Business Park, Santry, Dublin, 9</w:t>
            </w:r>
          </w:p>
        </w:tc>
        <w:tc>
          <w:tcPr>
            <w:tcW w:w="19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20" w:type="dxa"/>
            <w:vAlign w:val="bottom"/>
          </w:tcPr>
          <w:p>
            <w:pPr>
              <w:spacing w:after="0"/>
              <w:rPr>
                <w:sz w:val="20"/>
                <w:szCs w:val="20"/>
                <w:color w:val="auto"/>
              </w:rPr>
            </w:pPr>
            <w:r>
              <w:rPr>
                <w:rFonts w:ascii="Arial" w:cs="Arial" w:eastAsia="Arial" w:hAnsi="Arial"/>
                <w:sz w:val="7"/>
                <w:szCs w:val="7"/>
                <w:color w:val="auto"/>
              </w:rPr>
              <w:t>ISLE OF MAN</w:t>
            </w:r>
          </w:p>
        </w:tc>
        <w:tc>
          <w:tcPr>
            <w:tcW w:w="6460" w:type="dxa"/>
            <w:vAlign w:val="bottom"/>
          </w:tcPr>
          <w:p>
            <w:pPr>
              <w:spacing w:after="0"/>
              <w:rPr>
                <w:sz w:val="9"/>
                <w:szCs w:val="9"/>
                <w:color w:val="auto"/>
              </w:rPr>
            </w:pPr>
          </w:p>
        </w:tc>
        <w:tc>
          <w:tcPr>
            <w:tcW w:w="1980" w:type="dxa"/>
            <w:vAlign w:val="bottom"/>
          </w:tcPr>
          <w:p>
            <w:pPr>
              <w:spacing w:after="0"/>
              <w:rPr>
                <w:sz w:val="9"/>
                <w:szCs w:val="9"/>
                <w:color w:val="auto"/>
              </w:rPr>
            </w:pP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Petrolon Europe Limited</w:t>
            </w:r>
          </w:p>
        </w:tc>
        <w:tc>
          <w:tcPr>
            <w:tcW w:w="6460" w:type="dxa"/>
            <w:vAlign w:val="bottom"/>
          </w:tcPr>
          <w:p>
            <w:pPr>
              <w:ind w:left="940"/>
              <w:spacing w:after="0"/>
              <w:rPr>
                <w:sz w:val="20"/>
                <w:szCs w:val="20"/>
                <w:color w:val="auto"/>
              </w:rPr>
            </w:pPr>
            <w:r>
              <w:rPr>
                <w:rFonts w:ascii="Arial" w:cs="Arial" w:eastAsia="Arial" w:hAnsi="Arial"/>
                <w:sz w:val="7"/>
                <w:szCs w:val="7"/>
                <w:color w:val="auto"/>
              </w:rPr>
              <w:t>First Names House, Victoria Road, Douglas, IM2 4DF</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Petrolon International Limited</w:t>
            </w:r>
          </w:p>
        </w:tc>
        <w:tc>
          <w:tcPr>
            <w:tcW w:w="6460" w:type="dxa"/>
            <w:vAlign w:val="bottom"/>
          </w:tcPr>
          <w:p>
            <w:pPr>
              <w:ind w:left="940"/>
              <w:spacing w:after="0"/>
              <w:rPr>
                <w:sz w:val="20"/>
                <w:szCs w:val="20"/>
                <w:color w:val="auto"/>
              </w:rPr>
            </w:pPr>
            <w:r>
              <w:rPr>
                <w:rFonts w:ascii="Arial" w:cs="Arial" w:eastAsia="Arial" w:hAnsi="Arial"/>
                <w:sz w:val="7"/>
                <w:szCs w:val="7"/>
                <w:color w:val="auto"/>
              </w:rPr>
              <w:t>First Names House, Victoria Road, Douglas, IM2 4DF</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Marine Personnel (I.O.M.) Limited</w:t>
            </w:r>
          </w:p>
        </w:tc>
        <w:tc>
          <w:tcPr>
            <w:tcW w:w="6460" w:type="dxa"/>
            <w:vAlign w:val="bottom"/>
          </w:tcPr>
          <w:p>
            <w:pPr>
              <w:ind w:left="940"/>
              <w:spacing w:after="0"/>
              <w:rPr>
                <w:sz w:val="20"/>
                <w:szCs w:val="20"/>
                <w:color w:val="auto"/>
              </w:rPr>
            </w:pPr>
            <w:r>
              <w:rPr>
                <w:rFonts w:ascii="Arial" w:cs="Arial" w:eastAsia="Arial" w:hAnsi="Arial"/>
                <w:sz w:val="7"/>
                <w:szCs w:val="7"/>
                <w:color w:val="auto"/>
              </w:rPr>
              <w:t>Euromanx House, Freeport, Ballasalla, IM9 2AP</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Ship Management Limited</w:t>
            </w:r>
          </w:p>
        </w:tc>
        <w:tc>
          <w:tcPr>
            <w:tcW w:w="6460" w:type="dxa"/>
            <w:vAlign w:val="bottom"/>
          </w:tcPr>
          <w:p>
            <w:pPr>
              <w:ind w:left="940"/>
              <w:spacing w:after="0"/>
              <w:rPr>
                <w:sz w:val="20"/>
                <w:szCs w:val="20"/>
                <w:color w:val="auto"/>
              </w:rPr>
            </w:pPr>
            <w:r>
              <w:rPr>
                <w:rFonts w:ascii="Arial" w:cs="Arial" w:eastAsia="Arial" w:hAnsi="Arial"/>
                <w:sz w:val="7"/>
                <w:szCs w:val="7"/>
                <w:color w:val="auto"/>
              </w:rPr>
              <w:t>Euromanx House, Freeport, Ballasalla, IM9 2AP</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spacing w:after="0"/>
              <w:rPr>
                <w:sz w:val="20"/>
                <w:szCs w:val="20"/>
                <w:color w:val="auto"/>
              </w:rPr>
            </w:pPr>
            <w:r>
              <w:rPr>
                <w:rFonts w:ascii="Arial" w:cs="Arial" w:eastAsia="Arial" w:hAnsi="Arial"/>
                <w:sz w:val="7"/>
                <w:szCs w:val="7"/>
                <w:color w:val="auto"/>
              </w:rPr>
              <w:t>ISRAEL</w:t>
            </w:r>
          </w:p>
        </w:tc>
        <w:tc>
          <w:tcPr>
            <w:tcW w:w="6460" w:type="dxa"/>
            <w:vAlign w:val="bottom"/>
          </w:tcPr>
          <w:p>
            <w:pPr>
              <w:spacing w:after="0"/>
              <w:rPr>
                <w:sz w:val="9"/>
                <w:szCs w:val="9"/>
                <w:color w:val="auto"/>
              </w:rPr>
            </w:pPr>
          </w:p>
        </w:tc>
        <w:tc>
          <w:tcPr>
            <w:tcW w:w="1980" w:type="dxa"/>
            <w:vAlign w:val="bottom"/>
          </w:tcPr>
          <w:p>
            <w:pPr>
              <w:spacing w:after="0"/>
              <w:rPr>
                <w:sz w:val="9"/>
                <w:szCs w:val="9"/>
                <w:color w:val="auto"/>
              </w:rPr>
            </w:pP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Ravin AI Ltd.</w:t>
            </w:r>
          </w:p>
        </w:tc>
        <w:tc>
          <w:tcPr>
            <w:tcW w:w="6460" w:type="dxa"/>
            <w:vAlign w:val="bottom"/>
          </w:tcPr>
          <w:p>
            <w:pPr>
              <w:ind w:left="940"/>
              <w:spacing w:after="0"/>
              <w:rPr>
                <w:sz w:val="20"/>
                <w:szCs w:val="20"/>
                <w:color w:val="auto"/>
              </w:rPr>
            </w:pPr>
            <w:r>
              <w:rPr>
                <w:rFonts w:ascii="Arial" w:cs="Arial" w:eastAsia="Arial" w:hAnsi="Arial"/>
                <w:sz w:val="7"/>
                <w:szCs w:val="7"/>
                <w:color w:val="auto"/>
              </w:rPr>
              <w:t>Derech Aba Hilel 16, Ramat Gan, 5250608</w:t>
            </w:r>
          </w:p>
        </w:tc>
        <w:tc>
          <w:tcPr>
            <w:tcW w:w="1980" w:type="dxa"/>
            <w:vAlign w:val="bottom"/>
          </w:tcPr>
          <w:p>
            <w:pPr>
              <w:jc w:val="right"/>
              <w:spacing w:after="0"/>
              <w:rPr>
                <w:sz w:val="20"/>
                <w:szCs w:val="20"/>
                <w:color w:val="auto"/>
              </w:rPr>
            </w:pPr>
            <w:r>
              <w:rPr>
                <w:rFonts w:ascii="Arial" w:cs="Arial" w:eastAsia="Arial" w:hAnsi="Arial"/>
                <w:sz w:val="7"/>
                <w:szCs w:val="7"/>
                <w:color w:val="auto"/>
              </w:rPr>
              <w:t>36</w:t>
            </w:r>
          </w:p>
        </w:tc>
      </w:tr>
      <w:tr>
        <w:trPr>
          <w:trHeight w:val="108"/>
        </w:trPr>
        <w:tc>
          <w:tcPr>
            <w:tcW w:w="2820" w:type="dxa"/>
            <w:vAlign w:val="bottom"/>
          </w:tcPr>
          <w:p>
            <w:pPr>
              <w:spacing w:after="0"/>
              <w:rPr>
                <w:sz w:val="20"/>
                <w:szCs w:val="20"/>
                <w:color w:val="auto"/>
              </w:rPr>
            </w:pPr>
            <w:r>
              <w:rPr>
                <w:rFonts w:ascii="Arial" w:cs="Arial" w:eastAsia="Arial" w:hAnsi="Arial"/>
                <w:sz w:val="7"/>
                <w:szCs w:val="7"/>
                <w:color w:val="auto"/>
              </w:rPr>
              <w:t>ITALY</w:t>
            </w:r>
          </w:p>
        </w:tc>
        <w:tc>
          <w:tcPr>
            <w:tcW w:w="6460" w:type="dxa"/>
            <w:vAlign w:val="bottom"/>
          </w:tcPr>
          <w:p>
            <w:pPr>
              <w:spacing w:after="0"/>
              <w:rPr>
                <w:sz w:val="9"/>
                <w:szCs w:val="9"/>
                <w:color w:val="auto"/>
              </w:rPr>
            </w:pPr>
          </w:p>
        </w:tc>
        <w:tc>
          <w:tcPr>
            <w:tcW w:w="1980" w:type="dxa"/>
            <w:vAlign w:val="bottom"/>
          </w:tcPr>
          <w:p>
            <w:pPr>
              <w:spacing w:after="0"/>
              <w:rPr>
                <w:sz w:val="9"/>
                <w:szCs w:val="9"/>
                <w:color w:val="auto"/>
              </w:rPr>
            </w:pP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Alle S.R.L.</w:t>
            </w:r>
          </w:p>
        </w:tc>
        <w:tc>
          <w:tcPr>
            <w:tcW w:w="6460" w:type="dxa"/>
            <w:vAlign w:val="bottom"/>
          </w:tcPr>
          <w:p>
            <w:pPr>
              <w:ind w:left="940"/>
              <w:spacing w:after="0"/>
              <w:rPr>
                <w:sz w:val="20"/>
                <w:szCs w:val="20"/>
                <w:color w:val="auto"/>
              </w:rPr>
            </w:pPr>
            <w:r>
              <w:rPr>
                <w:rFonts w:ascii="Arial" w:cs="Arial" w:eastAsia="Arial" w:hAnsi="Arial"/>
                <w:sz w:val="7"/>
                <w:szCs w:val="7"/>
                <w:color w:val="auto"/>
              </w:rPr>
              <w:t>Via Vittor Pisani 16, Milano, 20124</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Aquila S.p.A.</w:t>
            </w:r>
          </w:p>
        </w:tc>
        <w:tc>
          <w:tcPr>
            <w:tcW w:w="6460" w:type="dxa"/>
            <w:vAlign w:val="bottom"/>
          </w:tcPr>
          <w:p>
            <w:pPr>
              <w:ind w:left="940"/>
              <w:spacing w:after="0"/>
              <w:rPr>
                <w:sz w:val="20"/>
                <w:szCs w:val="20"/>
                <w:color w:val="auto"/>
              </w:rPr>
            </w:pPr>
            <w:r>
              <w:rPr>
                <w:rFonts w:ascii="Arial" w:cs="Arial" w:eastAsia="Arial" w:hAnsi="Arial"/>
                <w:sz w:val="7"/>
                <w:szCs w:val="7"/>
                <w:color w:val="auto"/>
              </w:rPr>
              <w:t>Via Vittor Pisani 16, Milano, 20124</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BG Italia Power S.r.l</w:t>
            </w:r>
          </w:p>
        </w:tc>
        <w:tc>
          <w:tcPr>
            <w:tcW w:w="6460" w:type="dxa"/>
            <w:vAlign w:val="bottom"/>
          </w:tcPr>
          <w:p>
            <w:pPr>
              <w:ind w:left="940"/>
              <w:spacing w:after="0"/>
              <w:rPr>
                <w:sz w:val="20"/>
                <w:szCs w:val="20"/>
                <w:color w:val="auto"/>
              </w:rPr>
            </w:pPr>
            <w:r>
              <w:rPr>
                <w:rFonts w:ascii="Arial" w:cs="Arial" w:eastAsia="Arial" w:hAnsi="Arial"/>
                <w:sz w:val="7"/>
                <w:szCs w:val="7"/>
                <w:color w:val="auto"/>
              </w:rPr>
              <w:t>Via Tortona 25, Milano, 20144</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Brindisi LNG S.r.l.</w:t>
            </w:r>
          </w:p>
        </w:tc>
        <w:tc>
          <w:tcPr>
            <w:tcW w:w="6460" w:type="dxa"/>
            <w:vAlign w:val="bottom"/>
          </w:tcPr>
          <w:p>
            <w:pPr>
              <w:ind w:left="940"/>
              <w:spacing w:after="0"/>
              <w:rPr>
                <w:sz w:val="20"/>
                <w:szCs w:val="20"/>
                <w:color w:val="auto"/>
              </w:rPr>
            </w:pPr>
            <w:r>
              <w:rPr>
                <w:rFonts w:ascii="Arial" w:cs="Arial" w:eastAsia="Arial" w:hAnsi="Arial"/>
                <w:sz w:val="7"/>
                <w:szCs w:val="7"/>
                <w:color w:val="auto"/>
              </w:rPr>
              <w:t>Via Tortona 25, Milano, 20144</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Development S.R.L.</w:t>
            </w:r>
          </w:p>
        </w:tc>
        <w:tc>
          <w:tcPr>
            <w:tcW w:w="6460" w:type="dxa"/>
            <w:vAlign w:val="bottom"/>
          </w:tcPr>
          <w:p>
            <w:pPr>
              <w:ind w:left="940"/>
              <w:spacing w:after="0"/>
              <w:rPr>
                <w:sz w:val="20"/>
                <w:szCs w:val="20"/>
                <w:color w:val="auto"/>
              </w:rPr>
            </w:pPr>
            <w:r>
              <w:rPr>
                <w:rFonts w:ascii="Arial" w:cs="Arial" w:eastAsia="Arial" w:hAnsi="Arial"/>
                <w:sz w:val="7"/>
                <w:szCs w:val="7"/>
                <w:color w:val="auto"/>
              </w:rPr>
              <w:t>Via Vittor Pisani 16, Milano, 20124</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Infineum Italia S.R.L.</w:t>
            </w:r>
          </w:p>
        </w:tc>
        <w:tc>
          <w:tcPr>
            <w:tcW w:w="6460" w:type="dxa"/>
            <w:vAlign w:val="bottom"/>
          </w:tcPr>
          <w:p>
            <w:pPr>
              <w:ind w:left="940"/>
              <w:spacing w:after="0"/>
              <w:rPr>
                <w:sz w:val="20"/>
                <w:szCs w:val="20"/>
                <w:color w:val="auto"/>
              </w:rPr>
            </w:pPr>
            <w:r>
              <w:rPr>
                <w:rFonts w:ascii="Arial" w:cs="Arial" w:eastAsia="Arial" w:hAnsi="Arial"/>
                <w:sz w:val="7"/>
                <w:szCs w:val="7"/>
                <w:color w:val="auto"/>
              </w:rPr>
              <w:t>Strada di Scorrimento 2, Vado Ligure, Savona, 17047</w:t>
            </w:r>
          </w:p>
        </w:tc>
        <w:tc>
          <w:tcPr>
            <w:tcW w:w="19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Marco Polo Solar S.R.L.</w:t>
            </w:r>
          </w:p>
        </w:tc>
        <w:tc>
          <w:tcPr>
            <w:tcW w:w="6460" w:type="dxa"/>
            <w:vAlign w:val="bottom"/>
          </w:tcPr>
          <w:p>
            <w:pPr>
              <w:ind w:left="940"/>
              <w:spacing w:after="0"/>
              <w:rPr>
                <w:sz w:val="20"/>
                <w:szCs w:val="20"/>
                <w:color w:val="auto"/>
              </w:rPr>
            </w:pPr>
            <w:r>
              <w:rPr>
                <w:rFonts w:ascii="Arial" w:cs="Arial" w:eastAsia="Arial" w:hAnsi="Arial"/>
                <w:sz w:val="7"/>
                <w:szCs w:val="7"/>
                <w:color w:val="auto"/>
              </w:rPr>
              <w:t>Via Vittor Pisani 16, Milano, 20124</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Ramacca Solar S.R.L</w:t>
            </w:r>
          </w:p>
        </w:tc>
        <w:tc>
          <w:tcPr>
            <w:tcW w:w="6460" w:type="dxa"/>
            <w:vAlign w:val="bottom"/>
          </w:tcPr>
          <w:p>
            <w:pPr>
              <w:ind w:left="940"/>
              <w:spacing w:after="0"/>
              <w:rPr>
                <w:sz w:val="20"/>
                <w:szCs w:val="20"/>
                <w:color w:val="auto"/>
              </w:rPr>
            </w:pPr>
            <w:r>
              <w:rPr>
                <w:rFonts w:ascii="Arial" w:cs="Arial" w:eastAsia="Arial" w:hAnsi="Arial"/>
                <w:sz w:val="7"/>
                <w:szCs w:val="7"/>
                <w:color w:val="auto"/>
              </w:rPr>
              <w:t>Via Vittor Pisani 16, Milano, 20124</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Energy Italia S.R.L.</w:t>
            </w:r>
          </w:p>
        </w:tc>
        <w:tc>
          <w:tcPr>
            <w:tcW w:w="6460" w:type="dxa"/>
            <w:vAlign w:val="bottom"/>
          </w:tcPr>
          <w:p>
            <w:pPr>
              <w:ind w:left="940"/>
              <w:spacing w:after="0"/>
              <w:rPr>
                <w:sz w:val="20"/>
                <w:szCs w:val="20"/>
                <w:color w:val="auto"/>
              </w:rPr>
            </w:pPr>
            <w:r>
              <w:rPr>
                <w:rFonts w:ascii="Arial" w:cs="Arial" w:eastAsia="Arial" w:hAnsi="Arial"/>
                <w:sz w:val="7"/>
                <w:szCs w:val="7"/>
                <w:color w:val="auto"/>
              </w:rPr>
              <w:t>Via Vittor Pisani 16, Milano, 20124</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Fleet Solutions Consorzio</w:t>
            </w:r>
          </w:p>
        </w:tc>
        <w:tc>
          <w:tcPr>
            <w:tcW w:w="6460" w:type="dxa"/>
            <w:vAlign w:val="bottom"/>
          </w:tcPr>
          <w:p>
            <w:pPr>
              <w:ind w:left="940"/>
              <w:spacing w:after="0"/>
              <w:rPr>
                <w:sz w:val="20"/>
                <w:szCs w:val="20"/>
                <w:color w:val="auto"/>
              </w:rPr>
            </w:pPr>
            <w:r>
              <w:rPr>
                <w:rFonts w:ascii="Arial" w:cs="Arial" w:eastAsia="Arial" w:hAnsi="Arial"/>
                <w:sz w:val="7"/>
                <w:szCs w:val="7"/>
                <w:color w:val="auto"/>
              </w:rPr>
              <w:t>Via Susa 40, Torino, 10138</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International Exploration and Development Italia S.p.A.</w:t>
            </w:r>
          </w:p>
        </w:tc>
        <w:tc>
          <w:tcPr>
            <w:tcW w:w="6460" w:type="dxa"/>
            <w:vAlign w:val="bottom"/>
          </w:tcPr>
          <w:p>
            <w:pPr>
              <w:ind w:left="940"/>
              <w:spacing w:after="0"/>
              <w:rPr>
                <w:sz w:val="20"/>
                <w:szCs w:val="20"/>
                <w:color w:val="auto"/>
              </w:rPr>
            </w:pPr>
            <w:r>
              <w:rPr>
                <w:rFonts w:ascii="Arial" w:cs="Arial" w:eastAsia="Arial" w:hAnsi="Arial"/>
                <w:sz w:val="7"/>
                <w:szCs w:val="7"/>
                <w:color w:val="auto"/>
              </w:rPr>
              <w:t>Piazza San Silvestro 8, Rome, 00187</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Italia E&amp;P S.p.A.</w:t>
            </w:r>
          </w:p>
        </w:tc>
        <w:tc>
          <w:tcPr>
            <w:tcW w:w="6460" w:type="dxa"/>
            <w:vAlign w:val="bottom"/>
          </w:tcPr>
          <w:p>
            <w:pPr>
              <w:ind w:left="940"/>
              <w:spacing w:after="0"/>
              <w:rPr>
                <w:sz w:val="20"/>
                <w:szCs w:val="20"/>
                <w:color w:val="auto"/>
              </w:rPr>
            </w:pPr>
            <w:r>
              <w:rPr>
                <w:rFonts w:ascii="Arial" w:cs="Arial" w:eastAsia="Arial" w:hAnsi="Arial"/>
                <w:sz w:val="7"/>
                <w:szCs w:val="7"/>
                <w:color w:val="auto"/>
              </w:rPr>
              <w:t>Piazza San Silvestro 8, Rome, 00187</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Italia Holding S.p.A.</w:t>
            </w:r>
          </w:p>
        </w:tc>
        <w:tc>
          <w:tcPr>
            <w:tcW w:w="6460" w:type="dxa"/>
            <w:vAlign w:val="bottom"/>
          </w:tcPr>
          <w:p>
            <w:pPr>
              <w:ind w:left="940"/>
              <w:spacing w:after="0"/>
              <w:rPr>
                <w:sz w:val="20"/>
                <w:szCs w:val="20"/>
                <w:color w:val="auto"/>
              </w:rPr>
            </w:pPr>
            <w:r>
              <w:rPr>
                <w:rFonts w:ascii="Arial" w:cs="Arial" w:eastAsia="Arial" w:hAnsi="Arial"/>
                <w:sz w:val="7"/>
                <w:szCs w:val="7"/>
                <w:color w:val="auto"/>
              </w:rPr>
              <w:t>Via Vittor Pisani 16, Milano, 20124</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Italia Oil Products S.R.L.</w:t>
            </w:r>
          </w:p>
        </w:tc>
        <w:tc>
          <w:tcPr>
            <w:tcW w:w="6460" w:type="dxa"/>
            <w:vAlign w:val="bottom"/>
          </w:tcPr>
          <w:p>
            <w:pPr>
              <w:ind w:left="940"/>
              <w:spacing w:after="0"/>
              <w:rPr>
                <w:sz w:val="20"/>
                <w:szCs w:val="20"/>
                <w:color w:val="auto"/>
              </w:rPr>
            </w:pPr>
            <w:r>
              <w:rPr>
                <w:rFonts w:ascii="Arial" w:cs="Arial" w:eastAsia="Arial" w:hAnsi="Arial"/>
                <w:sz w:val="7"/>
                <w:szCs w:val="7"/>
                <w:color w:val="auto"/>
              </w:rPr>
              <w:t>Via Vittor Pisani 16, Milano, 20124</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Societa Italiana per l'Oleodotto Transalpino S.p.A.</w:t>
            </w:r>
          </w:p>
        </w:tc>
        <w:tc>
          <w:tcPr>
            <w:tcW w:w="6460" w:type="dxa"/>
            <w:vAlign w:val="bottom"/>
          </w:tcPr>
          <w:p>
            <w:pPr>
              <w:ind w:left="940"/>
              <w:spacing w:after="0"/>
              <w:rPr>
                <w:sz w:val="20"/>
                <w:szCs w:val="20"/>
                <w:color w:val="auto"/>
              </w:rPr>
            </w:pPr>
            <w:r>
              <w:rPr>
                <w:rFonts w:ascii="Arial" w:cs="Arial" w:eastAsia="Arial" w:hAnsi="Arial"/>
                <w:sz w:val="7"/>
                <w:szCs w:val="7"/>
                <w:color w:val="auto"/>
              </w:rPr>
              <w:t>Via Muggia #1, San Dorligo della Valle, Trieste, 34147</w:t>
            </w:r>
          </w:p>
        </w:tc>
        <w:tc>
          <w:tcPr>
            <w:tcW w:w="1980" w:type="dxa"/>
            <w:vAlign w:val="bottom"/>
          </w:tcPr>
          <w:p>
            <w:pPr>
              <w:jc w:val="right"/>
              <w:spacing w:after="0"/>
              <w:rPr>
                <w:sz w:val="20"/>
                <w:szCs w:val="20"/>
                <w:color w:val="auto"/>
              </w:rPr>
            </w:pPr>
            <w:r>
              <w:rPr>
                <w:rFonts w:ascii="Arial" w:cs="Arial" w:eastAsia="Arial" w:hAnsi="Arial"/>
                <w:sz w:val="7"/>
                <w:szCs w:val="7"/>
                <w:color w:val="auto"/>
              </w:rPr>
              <w:t>19</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Societa' Oleodotti Meridionali S.p.A.</w:t>
            </w:r>
          </w:p>
        </w:tc>
        <w:tc>
          <w:tcPr>
            <w:tcW w:w="6460" w:type="dxa"/>
            <w:vAlign w:val="bottom"/>
          </w:tcPr>
          <w:p>
            <w:pPr>
              <w:ind w:left="940"/>
              <w:spacing w:after="0"/>
              <w:rPr>
                <w:sz w:val="20"/>
                <w:szCs w:val="20"/>
                <w:color w:val="auto"/>
              </w:rPr>
            </w:pPr>
            <w:r>
              <w:rPr>
                <w:rFonts w:ascii="Arial" w:cs="Arial" w:eastAsia="Arial" w:hAnsi="Arial"/>
                <w:sz w:val="7"/>
                <w:szCs w:val="7"/>
                <w:color w:val="auto"/>
              </w:rPr>
              <w:t>Via Giorgio Ribotta 51, Rome, 00144</w:t>
            </w:r>
          </w:p>
        </w:tc>
        <w:tc>
          <w:tcPr>
            <w:tcW w:w="198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Sonnen eServices Italia S.R.L.</w:t>
            </w:r>
          </w:p>
        </w:tc>
        <w:tc>
          <w:tcPr>
            <w:tcW w:w="6460" w:type="dxa"/>
            <w:vAlign w:val="bottom"/>
          </w:tcPr>
          <w:p>
            <w:pPr>
              <w:ind w:left="940"/>
              <w:spacing w:after="0"/>
              <w:rPr>
                <w:sz w:val="20"/>
                <w:szCs w:val="20"/>
                <w:color w:val="auto"/>
              </w:rPr>
            </w:pPr>
            <w:r>
              <w:rPr>
                <w:rFonts w:ascii="Arial" w:cs="Arial" w:eastAsia="Arial" w:hAnsi="Arial"/>
                <w:sz w:val="7"/>
                <w:szCs w:val="7"/>
                <w:color w:val="auto"/>
              </w:rPr>
              <w:t>Via Autostrada 32, Bergamo, 24126</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Sonnen S.R.L.</w:t>
            </w:r>
          </w:p>
        </w:tc>
        <w:tc>
          <w:tcPr>
            <w:tcW w:w="6460" w:type="dxa"/>
            <w:vAlign w:val="bottom"/>
          </w:tcPr>
          <w:p>
            <w:pPr>
              <w:ind w:left="940"/>
              <w:spacing w:after="0"/>
              <w:rPr>
                <w:sz w:val="20"/>
                <w:szCs w:val="20"/>
                <w:color w:val="auto"/>
              </w:rPr>
            </w:pPr>
            <w:r>
              <w:rPr>
                <w:rFonts w:ascii="Arial" w:cs="Arial" w:eastAsia="Arial" w:hAnsi="Arial"/>
                <w:sz w:val="7"/>
                <w:szCs w:val="7"/>
                <w:color w:val="auto"/>
              </w:rPr>
              <w:t>Via Autostrada 32, Bergamo, 24126</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spacing w:after="0"/>
              <w:rPr>
                <w:sz w:val="20"/>
                <w:szCs w:val="20"/>
                <w:color w:val="auto"/>
              </w:rPr>
            </w:pPr>
            <w:r>
              <w:rPr>
                <w:rFonts w:ascii="Arial" w:cs="Arial" w:eastAsia="Arial" w:hAnsi="Arial"/>
                <w:sz w:val="7"/>
                <w:szCs w:val="7"/>
                <w:color w:val="auto"/>
              </w:rPr>
              <w:t>JAPAN</w:t>
            </w:r>
          </w:p>
        </w:tc>
        <w:tc>
          <w:tcPr>
            <w:tcW w:w="6460" w:type="dxa"/>
            <w:vAlign w:val="bottom"/>
          </w:tcPr>
          <w:p>
            <w:pPr>
              <w:spacing w:after="0"/>
              <w:rPr>
                <w:sz w:val="9"/>
                <w:szCs w:val="9"/>
                <w:color w:val="auto"/>
              </w:rPr>
            </w:pPr>
          </w:p>
        </w:tc>
        <w:tc>
          <w:tcPr>
            <w:tcW w:w="1980" w:type="dxa"/>
            <w:vAlign w:val="bottom"/>
          </w:tcPr>
          <w:p>
            <w:pPr>
              <w:spacing w:after="0"/>
              <w:rPr>
                <w:sz w:val="9"/>
                <w:szCs w:val="9"/>
                <w:color w:val="auto"/>
              </w:rPr>
            </w:pP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K.K. Red and Yellow</w:t>
            </w:r>
          </w:p>
        </w:tc>
        <w:tc>
          <w:tcPr>
            <w:tcW w:w="6460" w:type="dxa"/>
            <w:vAlign w:val="bottom"/>
          </w:tcPr>
          <w:p>
            <w:pPr>
              <w:ind w:left="940"/>
              <w:spacing w:after="0"/>
              <w:rPr>
                <w:sz w:val="20"/>
                <w:szCs w:val="20"/>
                <w:color w:val="auto"/>
              </w:rPr>
            </w:pPr>
            <w:r>
              <w:rPr>
                <w:rFonts w:ascii="Arial" w:cs="Arial" w:eastAsia="Arial" w:hAnsi="Arial"/>
                <w:sz w:val="7"/>
                <w:szCs w:val="7"/>
                <w:color w:val="auto"/>
              </w:rPr>
              <w:t>Daiba Frontier Building. 2-3-2, Daiba, Minato-ku, Tokyo, 135-8074</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K.K. SVC Tokyo</w:t>
            </w:r>
          </w:p>
        </w:tc>
        <w:tc>
          <w:tcPr>
            <w:tcW w:w="6460" w:type="dxa"/>
            <w:vAlign w:val="bottom"/>
          </w:tcPr>
          <w:p>
            <w:pPr>
              <w:ind w:left="940"/>
              <w:spacing w:after="0"/>
              <w:rPr>
                <w:sz w:val="20"/>
                <w:szCs w:val="20"/>
                <w:color w:val="auto"/>
              </w:rPr>
            </w:pPr>
            <w:r>
              <w:rPr>
                <w:rFonts w:ascii="Arial" w:cs="Arial" w:eastAsia="Arial" w:hAnsi="Arial"/>
                <w:sz w:val="7"/>
                <w:szCs w:val="7"/>
                <w:color w:val="auto"/>
              </w:rPr>
              <w:t>4052-2 Nakatsu, Aikawa-cho, Aiko-gun, Kanagawa, 243-0303</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Sakhalin LNG Services Company Ltd.</w:t>
            </w:r>
          </w:p>
        </w:tc>
        <w:tc>
          <w:tcPr>
            <w:tcW w:w="6460" w:type="dxa"/>
            <w:vAlign w:val="bottom"/>
          </w:tcPr>
          <w:p>
            <w:pPr>
              <w:ind w:left="940"/>
              <w:spacing w:after="0"/>
              <w:rPr>
                <w:sz w:val="20"/>
                <w:szCs w:val="20"/>
                <w:color w:val="auto"/>
              </w:rPr>
            </w:pPr>
            <w:r>
              <w:rPr>
                <w:rFonts w:ascii="Arial" w:cs="Arial" w:eastAsia="Arial" w:hAnsi="Arial"/>
                <w:sz w:val="7"/>
                <w:szCs w:val="7"/>
                <w:color w:val="auto"/>
              </w:rPr>
              <w:t>2-3, Kanda, Awaji-cho, Chiyoda-ku, Tokyo, 101-0063</w:t>
            </w:r>
          </w:p>
        </w:tc>
        <w:tc>
          <w:tcPr>
            <w:tcW w:w="19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Japan Limited</w:t>
            </w:r>
          </w:p>
        </w:tc>
        <w:tc>
          <w:tcPr>
            <w:tcW w:w="6460" w:type="dxa"/>
            <w:vAlign w:val="bottom"/>
          </w:tcPr>
          <w:p>
            <w:pPr>
              <w:ind w:left="940"/>
              <w:spacing w:after="0"/>
              <w:rPr>
                <w:sz w:val="20"/>
                <w:szCs w:val="20"/>
                <w:color w:val="auto"/>
              </w:rPr>
            </w:pPr>
            <w:r>
              <w:rPr>
                <w:rFonts w:ascii="Arial" w:cs="Arial" w:eastAsia="Arial" w:hAnsi="Arial"/>
                <w:sz w:val="7"/>
                <w:szCs w:val="7"/>
                <w:color w:val="auto"/>
              </w:rPr>
              <w:t>16F Pacific Century Place Marunouchi, 1-11-1, Marunouchi, Chiyoda-Ku, Tokyo, 100-6216</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Lubricants Japan K.K.</w:t>
            </w:r>
          </w:p>
        </w:tc>
        <w:tc>
          <w:tcPr>
            <w:tcW w:w="6460" w:type="dxa"/>
            <w:vAlign w:val="bottom"/>
          </w:tcPr>
          <w:p>
            <w:pPr>
              <w:ind w:left="940"/>
              <w:spacing w:after="0"/>
              <w:rPr>
                <w:sz w:val="20"/>
                <w:szCs w:val="20"/>
                <w:color w:val="auto"/>
              </w:rPr>
            </w:pPr>
            <w:r>
              <w:rPr>
                <w:rFonts w:ascii="Arial" w:cs="Arial" w:eastAsia="Arial" w:hAnsi="Arial"/>
                <w:sz w:val="7"/>
                <w:szCs w:val="7"/>
                <w:color w:val="auto"/>
              </w:rPr>
              <w:t>Daiba Frontier Building. 2-3-2, Daiba, Minato-ku, Tokyo, 135-8074</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Sonnen Japan Kabushiki Kaisha</w:t>
            </w:r>
          </w:p>
        </w:tc>
        <w:tc>
          <w:tcPr>
            <w:tcW w:w="6460" w:type="dxa"/>
            <w:vAlign w:val="bottom"/>
          </w:tcPr>
          <w:p>
            <w:pPr>
              <w:ind w:left="940"/>
              <w:spacing w:after="0"/>
              <w:rPr>
                <w:sz w:val="20"/>
                <w:szCs w:val="20"/>
                <w:color w:val="auto"/>
              </w:rPr>
            </w:pPr>
            <w:r>
              <w:rPr>
                <w:rFonts w:ascii="Arial" w:cs="Arial" w:eastAsia="Arial" w:hAnsi="Arial"/>
                <w:sz w:val="7"/>
                <w:szCs w:val="7"/>
                <w:color w:val="auto"/>
              </w:rPr>
              <w:t>16F Pacific Century Place Marunouchi, 1-11-1, Marunouchi, Chiyoda-Ku, Tokyo, 100-6216</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Y.K. Nishi-Kobe Bosai Center</w:t>
            </w:r>
          </w:p>
        </w:tc>
        <w:tc>
          <w:tcPr>
            <w:tcW w:w="6460" w:type="dxa"/>
            <w:vAlign w:val="bottom"/>
          </w:tcPr>
          <w:p>
            <w:pPr>
              <w:ind w:left="940"/>
              <w:spacing w:after="0"/>
              <w:rPr>
                <w:sz w:val="20"/>
                <w:szCs w:val="20"/>
                <w:color w:val="auto"/>
              </w:rPr>
            </w:pPr>
            <w:r>
              <w:rPr>
                <w:rFonts w:ascii="Arial" w:cs="Arial" w:eastAsia="Arial" w:hAnsi="Arial"/>
                <w:sz w:val="7"/>
                <w:szCs w:val="7"/>
                <w:color w:val="auto"/>
              </w:rPr>
              <w:t>1-1-5 Wakamiya-cho, Suma-ku, Kobe-shi, Hyogo, 654-0049</w:t>
            </w:r>
          </w:p>
        </w:tc>
        <w:tc>
          <w:tcPr>
            <w:tcW w:w="1980" w:type="dxa"/>
            <w:vAlign w:val="bottom"/>
          </w:tcPr>
          <w:p>
            <w:pPr>
              <w:jc w:val="right"/>
              <w:spacing w:after="0"/>
              <w:rPr>
                <w:sz w:val="20"/>
                <w:szCs w:val="20"/>
                <w:color w:val="auto"/>
              </w:rPr>
            </w:pPr>
            <w:r>
              <w:rPr>
                <w:rFonts w:ascii="Arial" w:cs="Arial" w:eastAsia="Arial" w:hAnsi="Arial"/>
                <w:sz w:val="7"/>
                <w:szCs w:val="7"/>
                <w:color w:val="auto"/>
              </w:rPr>
              <w:t>33</w:t>
            </w:r>
          </w:p>
        </w:tc>
      </w:tr>
      <w:tr>
        <w:trPr>
          <w:trHeight w:val="108"/>
        </w:trPr>
        <w:tc>
          <w:tcPr>
            <w:tcW w:w="2820" w:type="dxa"/>
            <w:vAlign w:val="bottom"/>
          </w:tcPr>
          <w:p>
            <w:pPr>
              <w:spacing w:after="0"/>
              <w:rPr>
                <w:sz w:val="20"/>
                <w:szCs w:val="20"/>
                <w:color w:val="auto"/>
              </w:rPr>
            </w:pPr>
            <w:r>
              <w:rPr>
                <w:rFonts w:ascii="Arial" w:cs="Arial" w:eastAsia="Arial" w:hAnsi="Arial"/>
                <w:sz w:val="7"/>
                <w:szCs w:val="7"/>
                <w:color w:val="auto"/>
              </w:rPr>
              <w:t>JERSEY</w:t>
            </w:r>
          </w:p>
        </w:tc>
        <w:tc>
          <w:tcPr>
            <w:tcW w:w="6460" w:type="dxa"/>
            <w:vAlign w:val="bottom"/>
          </w:tcPr>
          <w:p>
            <w:pPr>
              <w:spacing w:after="0"/>
              <w:rPr>
                <w:sz w:val="9"/>
                <w:szCs w:val="9"/>
                <w:color w:val="auto"/>
              </w:rPr>
            </w:pPr>
          </w:p>
        </w:tc>
        <w:tc>
          <w:tcPr>
            <w:tcW w:w="1980" w:type="dxa"/>
            <w:vAlign w:val="bottom"/>
          </w:tcPr>
          <w:p>
            <w:pPr>
              <w:spacing w:after="0"/>
              <w:rPr>
                <w:sz w:val="9"/>
                <w:szCs w:val="9"/>
                <w:color w:val="auto"/>
              </w:rPr>
            </w:pP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Service Station Properties Limited</w:t>
            </w:r>
          </w:p>
        </w:tc>
        <w:tc>
          <w:tcPr>
            <w:tcW w:w="6460" w:type="dxa"/>
            <w:vAlign w:val="bottom"/>
          </w:tcPr>
          <w:p>
            <w:pPr>
              <w:ind w:left="940"/>
              <w:spacing w:after="0"/>
              <w:rPr>
                <w:sz w:val="20"/>
                <w:szCs w:val="20"/>
                <w:color w:val="auto"/>
              </w:rPr>
            </w:pPr>
            <w:r>
              <w:rPr>
                <w:rFonts w:ascii="Arial" w:cs="Arial" w:eastAsia="Arial" w:hAnsi="Arial"/>
                <w:sz w:val="7"/>
                <w:szCs w:val="7"/>
                <w:color w:val="auto"/>
              </w:rPr>
              <w:t>13 Castle Street, St. Helier, JE1 1ES</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spacing w:after="0"/>
              <w:rPr>
                <w:sz w:val="20"/>
                <w:szCs w:val="20"/>
                <w:color w:val="auto"/>
              </w:rPr>
            </w:pPr>
            <w:r>
              <w:rPr>
                <w:rFonts w:ascii="Arial" w:cs="Arial" w:eastAsia="Arial" w:hAnsi="Arial"/>
                <w:sz w:val="7"/>
                <w:szCs w:val="7"/>
                <w:color w:val="auto"/>
              </w:rPr>
              <w:t>LUXEMBOURG</w:t>
            </w:r>
          </w:p>
        </w:tc>
        <w:tc>
          <w:tcPr>
            <w:tcW w:w="6460" w:type="dxa"/>
            <w:vAlign w:val="bottom"/>
          </w:tcPr>
          <w:p>
            <w:pPr>
              <w:spacing w:after="0"/>
              <w:rPr>
                <w:sz w:val="9"/>
                <w:szCs w:val="9"/>
                <w:color w:val="auto"/>
              </w:rPr>
            </w:pPr>
          </w:p>
        </w:tc>
        <w:tc>
          <w:tcPr>
            <w:tcW w:w="1980" w:type="dxa"/>
            <w:vAlign w:val="bottom"/>
          </w:tcPr>
          <w:p>
            <w:pPr>
              <w:spacing w:after="0"/>
              <w:rPr>
                <w:sz w:val="9"/>
                <w:szCs w:val="9"/>
                <w:color w:val="auto"/>
              </w:rPr>
            </w:pP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Denham International Power SCSp [d]</w:t>
            </w:r>
          </w:p>
        </w:tc>
        <w:tc>
          <w:tcPr>
            <w:tcW w:w="6460" w:type="dxa"/>
            <w:vAlign w:val="bottom"/>
          </w:tcPr>
          <w:p>
            <w:pPr>
              <w:ind w:left="940"/>
              <w:spacing w:after="0"/>
              <w:rPr>
                <w:sz w:val="20"/>
                <w:szCs w:val="20"/>
                <w:color w:val="auto"/>
              </w:rPr>
            </w:pPr>
            <w:r>
              <w:rPr>
                <w:rFonts w:ascii="Arial" w:cs="Arial" w:eastAsia="Arial" w:hAnsi="Arial"/>
                <w:sz w:val="7"/>
                <w:szCs w:val="7"/>
                <w:color w:val="auto"/>
              </w:rPr>
              <w:t>412F, route d'Esch, Luxembourg, L-2086</w:t>
            </w:r>
          </w:p>
        </w:tc>
        <w:tc>
          <w:tcPr>
            <w:tcW w:w="1980" w:type="dxa"/>
            <w:vAlign w:val="bottom"/>
          </w:tcPr>
          <w:p>
            <w:pPr>
              <w:jc w:val="right"/>
              <w:spacing w:after="0"/>
              <w:rPr>
                <w:sz w:val="20"/>
                <w:szCs w:val="20"/>
                <w:color w:val="auto"/>
              </w:rPr>
            </w:pPr>
            <w:r>
              <w:rPr>
                <w:rFonts w:ascii="Arial" w:cs="Arial" w:eastAsia="Arial" w:hAnsi="Arial"/>
                <w:sz w:val="7"/>
                <w:szCs w:val="7"/>
                <w:color w:val="auto"/>
              </w:rPr>
              <w:t>32</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Finance Luxembourg Sarl</w:t>
            </w:r>
          </w:p>
        </w:tc>
        <w:tc>
          <w:tcPr>
            <w:tcW w:w="6460" w:type="dxa"/>
            <w:vAlign w:val="bottom"/>
          </w:tcPr>
          <w:p>
            <w:pPr>
              <w:ind w:left="940"/>
              <w:spacing w:after="0"/>
              <w:rPr>
                <w:sz w:val="20"/>
                <w:szCs w:val="20"/>
                <w:color w:val="auto"/>
              </w:rPr>
            </w:pPr>
            <w:r>
              <w:rPr>
                <w:rFonts w:ascii="Arial" w:cs="Arial" w:eastAsia="Arial" w:hAnsi="Arial"/>
                <w:sz w:val="7"/>
                <w:szCs w:val="7"/>
                <w:color w:val="auto"/>
              </w:rPr>
              <w:t>7, Rue de l'Industrie, Bertrange, Luxembourg, L-8069</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Luxembourgeoise Sarl</w:t>
            </w:r>
          </w:p>
        </w:tc>
        <w:tc>
          <w:tcPr>
            <w:tcW w:w="6460" w:type="dxa"/>
            <w:vAlign w:val="bottom"/>
          </w:tcPr>
          <w:p>
            <w:pPr>
              <w:ind w:left="940"/>
              <w:spacing w:after="0"/>
              <w:rPr>
                <w:sz w:val="20"/>
                <w:szCs w:val="20"/>
                <w:color w:val="auto"/>
              </w:rPr>
            </w:pPr>
            <w:r>
              <w:rPr>
                <w:rFonts w:ascii="Arial" w:cs="Arial" w:eastAsia="Arial" w:hAnsi="Arial"/>
                <w:sz w:val="7"/>
                <w:szCs w:val="7"/>
                <w:color w:val="auto"/>
              </w:rPr>
              <w:t>7, Rue de l'Industrie, Bertrange, Luxembourg, L-8005</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Treasury Luxembourg Sarl</w:t>
            </w:r>
          </w:p>
        </w:tc>
        <w:tc>
          <w:tcPr>
            <w:tcW w:w="6460" w:type="dxa"/>
            <w:vAlign w:val="bottom"/>
          </w:tcPr>
          <w:p>
            <w:pPr>
              <w:ind w:left="940"/>
              <w:spacing w:after="0"/>
              <w:rPr>
                <w:sz w:val="20"/>
                <w:szCs w:val="20"/>
                <w:color w:val="auto"/>
              </w:rPr>
            </w:pPr>
            <w:r>
              <w:rPr>
                <w:rFonts w:ascii="Arial" w:cs="Arial" w:eastAsia="Arial" w:hAnsi="Arial"/>
                <w:sz w:val="7"/>
                <w:szCs w:val="7"/>
                <w:color w:val="auto"/>
              </w:rPr>
              <w:t>7, Rue de l'Industrie, Bertrange, Luxembourg, L-8069</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spacing w:after="0"/>
              <w:rPr>
                <w:sz w:val="20"/>
                <w:szCs w:val="20"/>
                <w:color w:val="auto"/>
              </w:rPr>
            </w:pPr>
            <w:r>
              <w:rPr>
                <w:rFonts w:ascii="Arial" w:cs="Arial" w:eastAsia="Arial" w:hAnsi="Arial"/>
                <w:sz w:val="7"/>
                <w:szCs w:val="7"/>
                <w:color w:val="auto"/>
              </w:rPr>
              <w:t>MACAU</w:t>
            </w:r>
          </w:p>
        </w:tc>
        <w:tc>
          <w:tcPr>
            <w:tcW w:w="6460" w:type="dxa"/>
            <w:vAlign w:val="bottom"/>
          </w:tcPr>
          <w:p>
            <w:pPr>
              <w:spacing w:after="0"/>
              <w:rPr>
                <w:sz w:val="9"/>
                <w:szCs w:val="9"/>
                <w:color w:val="auto"/>
              </w:rPr>
            </w:pPr>
          </w:p>
        </w:tc>
        <w:tc>
          <w:tcPr>
            <w:tcW w:w="1980" w:type="dxa"/>
            <w:vAlign w:val="bottom"/>
          </w:tcPr>
          <w:p>
            <w:pPr>
              <w:spacing w:after="0"/>
              <w:rPr>
                <w:sz w:val="9"/>
                <w:szCs w:val="9"/>
                <w:color w:val="auto"/>
              </w:rPr>
            </w:pP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Shell Macau Petroleum Company Limited</w:t>
            </w:r>
          </w:p>
        </w:tc>
        <w:tc>
          <w:tcPr>
            <w:tcW w:w="6460" w:type="dxa"/>
            <w:vAlign w:val="bottom"/>
          </w:tcPr>
          <w:p>
            <w:pPr>
              <w:ind w:left="940"/>
              <w:spacing w:after="0"/>
              <w:rPr>
                <w:sz w:val="20"/>
                <w:szCs w:val="20"/>
                <w:color w:val="auto"/>
              </w:rPr>
            </w:pPr>
            <w:r>
              <w:rPr>
                <w:rFonts w:ascii="Arial" w:cs="Arial" w:eastAsia="Arial" w:hAnsi="Arial"/>
                <w:sz w:val="7"/>
                <w:szCs w:val="7"/>
                <w:color w:val="auto"/>
              </w:rPr>
              <w:t>876 Avenida da Amizade, Edificio Marina Gardens, Room 310, 3rd Floor</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spacing w:after="0"/>
              <w:rPr>
                <w:sz w:val="20"/>
                <w:szCs w:val="20"/>
                <w:color w:val="auto"/>
              </w:rPr>
            </w:pPr>
            <w:r>
              <w:rPr>
                <w:rFonts w:ascii="Arial" w:cs="Arial" w:eastAsia="Arial" w:hAnsi="Arial"/>
                <w:sz w:val="7"/>
                <w:szCs w:val="7"/>
                <w:color w:val="auto"/>
              </w:rPr>
              <w:t>MALAYSIA</w:t>
            </w:r>
          </w:p>
        </w:tc>
        <w:tc>
          <w:tcPr>
            <w:tcW w:w="6460" w:type="dxa"/>
            <w:vAlign w:val="bottom"/>
          </w:tcPr>
          <w:p>
            <w:pPr>
              <w:spacing w:after="0"/>
              <w:rPr>
                <w:sz w:val="9"/>
                <w:szCs w:val="9"/>
                <w:color w:val="auto"/>
              </w:rPr>
            </w:pPr>
          </w:p>
        </w:tc>
        <w:tc>
          <w:tcPr>
            <w:tcW w:w="1980" w:type="dxa"/>
            <w:vAlign w:val="bottom"/>
          </w:tcPr>
          <w:p>
            <w:pPr>
              <w:spacing w:after="0"/>
              <w:rPr>
                <w:sz w:val="9"/>
                <w:szCs w:val="9"/>
                <w:color w:val="auto"/>
              </w:rPr>
            </w:pP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Bonuskad Loyalty Sdn. Bhd. [g]</w:t>
            </w:r>
          </w:p>
        </w:tc>
        <w:tc>
          <w:tcPr>
            <w:tcW w:w="6460" w:type="dxa"/>
            <w:vAlign w:val="bottom"/>
          </w:tcPr>
          <w:p>
            <w:pPr>
              <w:ind w:left="940"/>
              <w:spacing w:after="0"/>
              <w:rPr>
                <w:sz w:val="20"/>
                <w:szCs w:val="20"/>
                <w:color w:val="auto"/>
              </w:rPr>
            </w:pPr>
            <w:r>
              <w:rPr>
                <w:rFonts w:ascii="Arial" w:cs="Arial" w:eastAsia="Arial" w:hAnsi="Arial"/>
                <w:sz w:val="7"/>
                <w:szCs w:val="7"/>
                <w:color w:val="auto"/>
              </w:rPr>
              <w:t>Level 8, Symphony House, Block D13, Pusat Dagangan Dana 1, Jalan PJU 1A/46, Petaling Jaya/Selangor Darul Ehsan, 47301</w:t>
            </w:r>
          </w:p>
        </w:tc>
        <w:tc>
          <w:tcPr>
            <w:tcW w:w="1980" w:type="dxa"/>
            <w:vAlign w:val="bottom"/>
          </w:tcPr>
          <w:p>
            <w:pPr>
              <w:jc w:val="right"/>
              <w:spacing w:after="0"/>
              <w:rPr>
                <w:sz w:val="20"/>
                <w:szCs w:val="20"/>
                <w:color w:val="auto"/>
              </w:rPr>
            </w:pPr>
            <w:r>
              <w:rPr>
                <w:rFonts w:ascii="Arial" w:cs="Arial" w:eastAsia="Arial" w:hAnsi="Arial"/>
                <w:sz w:val="7"/>
                <w:szCs w:val="7"/>
                <w:color w:val="auto"/>
              </w:rPr>
              <w:t>33</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IOT Management Sdn. Bhd.</w:t>
            </w:r>
          </w:p>
        </w:tc>
        <w:tc>
          <w:tcPr>
            <w:tcW w:w="6460" w:type="dxa"/>
            <w:vAlign w:val="bottom"/>
          </w:tcPr>
          <w:p>
            <w:pPr>
              <w:ind w:left="940"/>
              <w:spacing w:after="0"/>
              <w:rPr>
                <w:sz w:val="20"/>
                <w:szCs w:val="20"/>
                <w:color w:val="auto"/>
              </w:rPr>
            </w:pPr>
            <w:r>
              <w:rPr>
                <w:rFonts w:ascii="Arial" w:cs="Arial" w:eastAsia="Arial" w:hAnsi="Arial"/>
                <w:sz w:val="7"/>
                <w:szCs w:val="7"/>
                <w:color w:val="auto"/>
              </w:rPr>
              <w:t>Lot 7689 and Lot 7690, Section 64, Kuching Town Land District, Jalan Pending, Kuching, Sarawak, 93450</w:t>
            </w:r>
          </w:p>
        </w:tc>
        <w:tc>
          <w:tcPr>
            <w:tcW w:w="1980" w:type="dxa"/>
            <w:vAlign w:val="bottom"/>
          </w:tcPr>
          <w:p>
            <w:pPr>
              <w:jc w:val="right"/>
              <w:spacing w:after="0"/>
              <w:rPr>
                <w:sz w:val="20"/>
                <w:szCs w:val="20"/>
                <w:color w:val="auto"/>
              </w:rPr>
            </w:pPr>
            <w:r>
              <w:rPr>
                <w:rFonts w:ascii="Arial" w:cs="Arial" w:eastAsia="Arial" w:hAnsi="Arial"/>
                <w:sz w:val="7"/>
                <w:szCs w:val="7"/>
                <w:color w:val="auto"/>
              </w:rPr>
              <w:t>7</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Kebabangan Petroleum Operating Company Sdn. Bhd. [b]</w:t>
            </w:r>
          </w:p>
        </w:tc>
        <w:tc>
          <w:tcPr>
            <w:tcW w:w="6460" w:type="dxa"/>
            <w:vAlign w:val="bottom"/>
          </w:tcPr>
          <w:p>
            <w:pPr>
              <w:ind w:left="940"/>
              <w:spacing w:after="0"/>
              <w:rPr>
                <w:sz w:val="20"/>
                <w:szCs w:val="20"/>
                <w:color w:val="auto"/>
              </w:rPr>
            </w:pPr>
            <w:r>
              <w:rPr>
                <w:rFonts w:ascii="Arial" w:cs="Arial" w:eastAsia="Arial" w:hAnsi="Arial"/>
                <w:sz w:val="7"/>
                <w:szCs w:val="7"/>
                <w:color w:val="auto"/>
              </w:rPr>
              <w:t>Suite 13.03, 13 Floor, Menara Tan &amp; Tan, 207 Tun Razak, Kuala Lumpur/Federal Territory, 50400</w:t>
            </w:r>
          </w:p>
        </w:tc>
        <w:tc>
          <w:tcPr>
            <w:tcW w:w="198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P S Pipeline Sendirian Berhad</w:t>
            </w:r>
          </w:p>
        </w:tc>
        <w:tc>
          <w:tcPr>
            <w:tcW w:w="6460" w:type="dxa"/>
            <w:vAlign w:val="bottom"/>
          </w:tcPr>
          <w:p>
            <w:pPr>
              <w:ind w:left="940"/>
              <w:spacing w:after="0"/>
              <w:rPr>
                <w:sz w:val="20"/>
                <w:szCs w:val="20"/>
                <w:color w:val="auto"/>
              </w:rPr>
            </w:pPr>
            <w:r>
              <w:rPr>
                <w:rFonts w:ascii="Arial" w:cs="Arial" w:eastAsia="Arial" w:hAnsi="Arial"/>
                <w:sz w:val="7"/>
                <w:szCs w:val="7"/>
                <w:color w:val="auto"/>
              </w:rPr>
              <w:t>Level 30, Tower 1, Petronas Twin Towers, KLCC, Kuala Lumpur/Federal Territory, 50088</w:t>
            </w:r>
          </w:p>
        </w:tc>
        <w:tc>
          <w:tcPr>
            <w:tcW w:w="19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P S Terminal Sendirian Berhad</w:t>
            </w:r>
          </w:p>
        </w:tc>
        <w:tc>
          <w:tcPr>
            <w:tcW w:w="6460" w:type="dxa"/>
            <w:vAlign w:val="bottom"/>
          </w:tcPr>
          <w:p>
            <w:pPr>
              <w:ind w:left="940"/>
              <w:spacing w:after="0"/>
              <w:rPr>
                <w:sz w:val="20"/>
                <w:szCs w:val="20"/>
                <w:color w:val="auto"/>
              </w:rPr>
            </w:pPr>
            <w:r>
              <w:rPr>
                <w:rFonts w:ascii="Arial" w:cs="Arial" w:eastAsia="Arial" w:hAnsi="Arial"/>
                <w:sz w:val="7"/>
                <w:szCs w:val="7"/>
                <w:color w:val="auto"/>
              </w:rPr>
              <w:t>12th Floor, Menara Symphony, No. 5, Jalan Prof. Khoo Kay Kim, Seksyen 13, Petaling Jaya/Selangor Darul Ehsan, 46200</w:t>
            </w:r>
          </w:p>
        </w:tc>
        <w:tc>
          <w:tcPr>
            <w:tcW w:w="1980" w:type="dxa"/>
            <w:vAlign w:val="bottom"/>
          </w:tcPr>
          <w:p>
            <w:pPr>
              <w:jc w:val="right"/>
              <w:spacing w:after="0"/>
              <w:rPr>
                <w:sz w:val="20"/>
                <w:szCs w:val="20"/>
                <w:color w:val="auto"/>
              </w:rPr>
            </w:pPr>
            <w:r>
              <w:rPr>
                <w:rFonts w:ascii="Arial" w:cs="Arial" w:eastAsia="Arial" w:hAnsi="Arial"/>
                <w:sz w:val="7"/>
                <w:szCs w:val="7"/>
                <w:color w:val="auto"/>
              </w:rPr>
              <w:t>35</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Pertini Vista Sdn. Bhd.</w:t>
            </w:r>
          </w:p>
        </w:tc>
        <w:tc>
          <w:tcPr>
            <w:tcW w:w="6460" w:type="dxa"/>
            <w:vAlign w:val="bottom"/>
          </w:tcPr>
          <w:p>
            <w:pPr>
              <w:ind w:left="940"/>
              <w:spacing w:after="0"/>
              <w:rPr>
                <w:sz w:val="20"/>
                <w:szCs w:val="20"/>
                <w:color w:val="auto"/>
              </w:rPr>
            </w:pPr>
            <w:r>
              <w:rPr>
                <w:rFonts w:ascii="Arial" w:cs="Arial" w:eastAsia="Arial" w:hAnsi="Arial"/>
                <w:sz w:val="7"/>
                <w:szCs w:val="7"/>
                <w:color w:val="auto"/>
              </w:rPr>
              <w:t>12th Floor, Menara Symphony, No. 5, Jalan Prof. Khoo Kay Kim, Seksyen 13, Petaling Jaya/Selangor Darul Ehsan, 46200</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Provista Ventures Sdn. Bhd.</w:t>
            </w:r>
          </w:p>
        </w:tc>
        <w:tc>
          <w:tcPr>
            <w:tcW w:w="6460" w:type="dxa"/>
            <w:vAlign w:val="bottom"/>
          </w:tcPr>
          <w:p>
            <w:pPr>
              <w:ind w:left="940"/>
              <w:spacing w:after="0"/>
              <w:rPr>
                <w:sz w:val="20"/>
                <w:szCs w:val="20"/>
                <w:color w:val="auto"/>
              </w:rPr>
            </w:pPr>
            <w:r>
              <w:rPr>
                <w:rFonts w:ascii="Arial" w:cs="Arial" w:eastAsia="Arial" w:hAnsi="Arial"/>
                <w:sz w:val="7"/>
                <w:szCs w:val="7"/>
                <w:color w:val="auto"/>
              </w:rPr>
              <w:t>12th Floor, Menara Symphony, No. 5, Jalan Prof. Khoo Kay Kim, Seksyen 13, Petaling Jaya/Selangor Darul Ehsan, 46200</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20" w:type="dxa"/>
            <w:vAlign w:val="bottom"/>
          </w:tcPr>
          <w:p>
            <w:pPr>
              <w:ind w:left="80"/>
              <w:spacing w:after="0"/>
              <w:rPr>
                <w:sz w:val="20"/>
                <w:szCs w:val="20"/>
                <w:color w:val="auto"/>
              </w:rPr>
            </w:pPr>
            <w:r>
              <w:rPr>
                <w:rFonts w:ascii="Arial" w:cs="Arial" w:eastAsia="Arial" w:hAnsi="Arial"/>
                <w:sz w:val="7"/>
                <w:szCs w:val="7"/>
                <w:color w:val="auto"/>
              </w:rPr>
              <w:t>Sarawak Shell Berhad</w:t>
            </w:r>
          </w:p>
        </w:tc>
        <w:tc>
          <w:tcPr>
            <w:tcW w:w="6460" w:type="dxa"/>
            <w:vAlign w:val="bottom"/>
          </w:tcPr>
          <w:p>
            <w:pPr>
              <w:ind w:left="940"/>
              <w:spacing w:after="0"/>
              <w:rPr>
                <w:sz w:val="20"/>
                <w:szCs w:val="20"/>
                <w:color w:val="auto"/>
              </w:rPr>
            </w:pPr>
            <w:r>
              <w:rPr>
                <w:rFonts w:ascii="Arial" w:cs="Arial" w:eastAsia="Arial" w:hAnsi="Arial"/>
                <w:sz w:val="7"/>
                <w:szCs w:val="7"/>
                <w:color w:val="auto"/>
              </w:rPr>
              <w:t>12th Floor, Menara Symphony, No. 5, Jalan Prof. Khoo Kay Kim, Seksyen 13, Petaling Jaya/Selangor Darul Ehsan, 46200</w:t>
            </w:r>
          </w:p>
        </w:tc>
        <w:tc>
          <w:tcPr>
            <w:tcW w:w="19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520"/>
        </w:trPr>
        <w:tc>
          <w:tcPr>
            <w:tcW w:w="2820" w:type="dxa"/>
            <w:vAlign w:val="bottom"/>
          </w:tcPr>
          <w:p>
            <w:pPr>
              <w:ind w:left="40"/>
              <w:spacing w:after="0"/>
              <w:rPr>
                <w:sz w:val="20"/>
                <w:szCs w:val="20"/>
                <w:color w:val="auto"/>
              </w:rPr>
            </w:pPr>
            <w:r>
              <w:rPr>
                <w:rFonts w:ascii="Arial" w:cs="Arial" w:eastAsia="Arial" w:hAnsi="Arial"/>
                <w:sz w:val="6"/>
                <w:szCs w:val="6"/>
                <w:color w:val="auto"/>
              </w:rPr>
              <w:t>ADDITIONAL INFORMATION SHELL FORM 20-F 2020</w:t>
            </w:r>
          </w:p>
        </w:tc>
        <w:tc>
          <w:tcPr>
            <w:tcW w:w="6460" w:type="dxa"/>
            <w:vAlign w:val="bottom"/>
          </w:tcPr>
          <w:p>
            <w:pPr>
              <w:ind w:left="2760"/>
              <w:spacing w:after="0"/>
              <w:rPr>
                <w:sz w:val="20"/>
                <w:szCs w:val="20"/>
                <w:color w:val="auto"/>
              </w:rPr>
            </w:pPr>
            <w:r>
              <w:rPr>
                <w:rFonts w:ascii="Arial" w:cs="Arial" w:eastAsia="Arial" w:hAnsi="Arial"/>
                <w:sz w:val="6"/>
                <w:szCs w:val="6"/>
                <w:color w:val="auto"/>
              </w:rPr>
              <w:t>E8</w:t>
            </w:r>
          </w:p>
        </w:tc>
        <w:tc>
          <w:tcPr>
            <w:tcW w:w="1980" w:type="dxa"/>
            <w:vAlign w:val="bottom"/>
          </w:tcPr>
          <w:p>
            <w:pPr>
              <w:spacing w:after="0"/>
              <w:rPr>
                <w:sz w:val="24"/>
                <w:szCs w:val="24"/>
                <w:color w:val="auto"/>
              </w:rPr>
            </w:pPr>
          </w:p>
        </w:tc>
      </w:tr>
    </w:tbl>
    <w:p>
      <w:pPr>
        <w:sectPr>
          <w:pgSz w:w="11900" w:h="16838" w:orient="portrait"/>
          <w:cols w:equalWidth="0" w:num="1">
            <w:col w:w="11260"/>
          </w:cols>
          <w:pgMar w:left="300" w:top="735" w:right="339" w:bottom="1440" w:gutter="0" w:footer="0" w:header="0"/>
        </w:sectPr>
      </w:pPr>
    </w:p>
    <w:bookmarkStart w:id="296" w:name="page297"/>
    <w:bookmarkEnd w:id="2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760" w:type="dxa"/>
            <w:vAlign w:val="bottom"/>
          </w:tcPr>
          <w:p>
            <w:pPr>
              <w:ind w:left="80"/>
              <w:spacing w:after="0"/>
              <w:rPr>
                <w:sz w:val="20"/>
                <w:szCs w:val="20"/>
                <w:color w:val="auto"/>
              </w:rPr>
            </w:pPr>
            <w:r>
              <w:rPr>
                <w:rFonts w:ascii="Arial" w:cs="Arial" w:eastAsia="Arial" w:hAnsi="Arial"/>
                <w:sz w:val="7"/>
                <w:szCs w:val="7"/>
                <w:color w:val="auto"/>
              </w:rPr>
              <w:t>Shell Business Service Centre Sdn. Bhd.</w:t>
            </w:r>
          </w:p>
        </w:tc>
        <w:tc>
          <w:tcPr>
            <w:tcW w:w="5960" w:type="dxa"/>
            <w:vAlign w:val="bottom"/>
          </w:tcPr>
          <w:p>
            <w:pPr>
              <w:spacing w:after="0"/>
              <w:rPr>
                <w:sz w:val="20"/>
                <w:szCs w:val="20"/>
                <w:color w:val="auto"/>
              </w:rPr>
            </w:pPr>
            <w:r>
              <w:rPr>
                <w:rFonts w:ascii="Arial" w:cs="Arial" w:eastAsia="Arial" w:hAnsi="Arial"/>
                <w:sz w:val="7"/>
                <w:szCs w:val="7"/>
                <w:color w:val="auto"/>
              </w:rPr>
              <w:t>12th Floor, Menara Symphony, No. 5, Jalan Prof. Khoo Kay Kim, Seksyen 13, Petaling Jaya/Selangor Darul Ehsan, 46200</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Global Solutions (Malaysia) Sdn. Bhd.</w:t>
            </w:r>
          </w:p>
        </w:tc>
        <w:tc>
          <w:tcPr>
            <w:tcW w:w="5960" w:type="dxa"/>
            <w:vAlign w:val="bottom"/>
          </w:tcPr>
          <w:p>
            <w:pPr>
              <w:spacing w:after="0"/>
              <w:rPr>
                <w:sz w:val="20"/>
                <w:szCs w:val="20"/>
                <w:color w:val="auto"/>
              </w:rPr>
            </w:pPr>
            <w:r>
              <w:rPr>
                <w:rFonts w:ascii="Arial" w:cs="Arial" w:eastAsia="Arial" w:hAnsi="Arial"/>
                <w:sz w:val="7"/>
                <w:szCs w:val="7"/>
                <w:color w:val="auto"/>
              </w:rPr>
              <w:t>12th Floor, Menara Symphony, No. 5, Jalan Prof. Khoo Kay Kim, Seksyen 13, Petaling Jaya/Selangor Darul Ehsan, 46200</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Malaysia Trading Sendirian Berhad</w:t>
            </w:r>
          </w:p>
        </w:tc>
        <w:tc>
          <w:tcPr>
            <w:tcW w:w="5960" w:type="dxa"/>
            <w:vAlign w:val="bottom"/>
          </w:tcPr>
          <w:p>
            <w:pPr>
              <w:spacing w:after="0"/>
              <w:rPr>
                <w:sz w:val="20"/>
                <w:szCs w:val="20"/>
                <w:color w:val="auto"/>
              </w:rPr>
            </w:pPr>
            <w:r>
              <w:rPr>
                <w:rFonts w:ascii="Arial" w:cs="Arial" w:eastAsia="Arial" w:hAnsi="Arial"/>
                <w:sz w:val="7"/>
                <w:szCs w:val="7"/>
                <w:color w:val="auto"/>
              </w:rPr>
              <w:t>12th Floor, Menara Symphony, No. 5, Jalan Prof. Khoo Kay Kim, Seksyen 13, Petaling Jaya/Selangor Darul Ehsan, 46200</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MDS (Malaysia) Sendirian Berhad</w:t>
            </w:r>
          </w:p>
        </w:tc>
        <w:tc>
          <w:tcPr>
            <w:tcW w:w="5960" w:type="dxa"/>
            <w:vAlign w:val="bottom"/>
          </w:tcPr>
          <w:p>
            <w:pPr>
              <w:spacing w:after="0"/>
              <w:rPr>
                <w:sz w:val="20"/>
                <w:szCs w:val="20"/>
                <w:color w:val="auto"/>
              </w:rPr>
            </w:pPr>
            <w:r>
              <w:rPr>
                <w:rFonts w:ascii="Arial" w:cs="Arial" w:eastAsia="Arial" w:hAnsi="Arial"/>
                <w:sz w:val="7"/>
                <w:szCs w:val="7"/>
                <w:color w:val="auto"/>
              </w:rPr>
              <w:t>12th Floor, Menara Symphony, No. 5, Jalan Prof. Khoo Kay Kim, Seksyen 13, Petaling Jaya/Selangor Darul Ehsan, 46200</w:t>
            </w:r>
          </w:p>
        </w:tc>
        <w:tc>
          <w:tcPr>
            <w:tcW w:w="1540" w:type="dxa"/>
            <w:vAlign w:val="bottom"/>
          </w:tcPr>
          <w:p>
            <w:pPr>
              <w:jc w:val="right"/>
              <w:spacing w:after="0"/>
              <w:rPr>
                <w:sz w:val="20"/>
                <w:szCs w:val="20"/>
                <w:color w:val="auto"/>
              </w:rPr>
            </w:pPr>
            <w:r>
              <w:rPr>
                <w:rFonts w:ascii="Arial" w:cs="Arial" w:eastAsia="Arial" w:hAnsi="Arial"/>
                <w:sz w:val="7"/>
                <w:szCs w:val="7"/>
                <w:color w:val="auto"/>
              </w:rPr>
              <w:t>72</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New Ventures Malaysia Sdn. Bhd. [g]</w:t>
            </w:r>
          </w:p>
        </w:tc>
        <w:tc>
          <w:tcPr>
            <w:tcW w:w="5960" w:type="dxa"/>
            <w:vAlign w:val="bottom"/>
          </w:tcPr>
          <w:p>
            <w:pPr>
              <w:spacing w:after="0"/>
              <w:rPr>
                <w:sz w:val="20"/>
                <w:szCs w:val="20"/>
                <w:color w:val="auto"/>
              </w:rPr>
            </w:pPr>
            <w:r>
              <w:rPr>
                <w:rFonts w:ascii="Arial" w:cs="Arial" w:eastAsia="Arial" w:hAnsi="Arial"/>
                <w:sz w:val="7"/>
                <w:szCs w:val="7"/>
                <w:color w:val="auto"/>
              </w:rPr>
              <w:t>12th Floor, Menara Symphony, No. 5, Jalan Prof. Khoo Kay Kim, Seksyen 13, Petaling Jaya/Selangor Darul Ehsan, 46200</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People Services Asia Sdn. Bhd.</w:t>
            </w:r>
          </w:p>
        </w:tc>
        <w:tc>
          <w:tcPr>
            <w:tcW w:w="5960" w:type="dxa"/>
            <w:vAlign w:val="bottom"/>
          </w:tcPr>
          <w:p>
            <w:pPr>
              <w:spacing w:after="0"/>
              <w:rPr>
                <w:sz w:val="20"/>
                <w:szCs w:val="20"/>
                <w:color w:val="auto"/>
              </w:rPr>
            </w:pPr>
            <w:r>
              <w:rPr>
                <w:rFonts w:ascii="Arial" w:cs="Arial" w:eastAsia="Arial" w:hAnsi="Arial"/>
                <w:sz w:val="7"/>
                <w:szCs w:val="7"/>
                <w:color w:val="auto"/>
              </w:rPr>
              <w:t>12th Floor, Menara Symphony, No. 5, Jalan Prof. Khoo Kay Kim, Seksyen 13, Petaling Jaya/Selangor Darul Ehsan, 46200</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Sabah Selatan Sendirian Berhad</w:t>
            </w:r>
          </w:p>
        </w:tc>
        <w:tc>
          <w:tcPr>
            <w:tcW w:w="5960" w:type="dxa"/>
            <w:vAlign w:val="bottom"/>
          </w:tcPr>
          <w:p>
            <w:pPr>
              <w:spacing w:after="0"/>
              <w:rPr>
                <w:sz w:val="20"/>
                <w:szCs w:val="20"/>
                <w:color w:val="auto"/>
              </w:rPr>
            </w:pPr>
            <w:r>
              <w:rPr>
                <w:rFonts w:ascii="Arial" w:cs="Arial" w:eastAsia="Arial" w:hAnsi="Arial"/>
                <w:sz w:val="7"/>
                <w:szCs w:val="7"/>
                <w:color w:val="auto"/>
              </w:rPr>
              <w:t>12th Floor, Menara Symphony, No. 5, Jalan Prof. Khoo Kay Kim, Seksyen 13, Petaling Jaya/Selangor Darul Ehsan, 46200</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Timur Sdn. Bhd.</w:t>
            </w:r>
          </w:p>
        </w:tc>
        <w:tc>
          <w:tcPr>
            <w:tcW w:w="5960" w:type="dxa"/>
            <w:vAlign w:val="bottom"/>
          </w:tcPr>
          <w:p>
            <w:pPr>
              <w:spacing w:after="0"/>
              <w:rPr>
                <w:sz w:val="20"/>
                <w:szCs w:val="20"/>
                <w:color w:val="auto"/>
              </w:rPr>
            </w:pPr>
            <w:r>
              <w:rPr>
                <w:rFonts w:ascii="Arial" w:cs="Arial" w:eastAsia="Arial" w:hAnsi="Arial"/>
                <w:sz w:val="7"/>
                <w:szCs w:val="7"/>
                <w:color w:val="auto"/>
              </w:rPr>
              <w:t>12th Floor, Menara Symphony, No. 5, Jalan Prof. Khoo Kay Kim, Seksyen 13, Petaling Jaya/Selangor Darul Ehsan, 46200</w:t>
            </w:r>
          </w:p>
        </w:tc>
        <w:tc>
          <w:tcPr>
            <w:tcW w:w="1540" w:type="dxa"/>
            <w:vAlign w:val="bottom"/>
          </w:tcPr>
          <w:p>
            <w:pPr>
              <w:jc w:val="right"/>
              <w:spacing w:after="0"/>
              <w:rPr>
                <w:sz w:val="20"/>
                <w:szCs w:val="20"/>
                <w:color w:val="auto"/>
              </w:rPr>
            </w:pPr>
            <w:r>
              <w:rPr>
                <w:rFonts w:ascii="Arial" w:cs="Arial" w:eastAsia="Arial" w:hAnsi="Arial"/>
                <w:sz w:val="7"/>
                <w:szCs w:val="7"/>
                <w:color w:val="auto"/>
              </w:rPr>
              <w:t>70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Treasury Malaysia (L) Limited</w:t>
            </w:r>
          </w:p>
        </w:tc>
        <w:tc>
          <w:tcPr>
            <w:tcW w:w="5960" w:type="dxa"/>
            <w:vAlign w:val="bottom"/>
          </w:tcPr>
          <w:p>
            <w:pPr>
              <w:spacing w:after="0"/>
              <w:rPr>
                <w:sz w:val="20"/>
                <w:szCs w:val="20"/>
                <w:color w:val="auto"/>
              </w:rPr>
            </w:pPr>
            <w:r>
              <w:rPr>
                <w:rFonts w:ascii="Arial" w:cs="Arial" w:eastAsia="Arial" w:hAnsi="Arial"/>
                <w:sz w:val="7"/>
                <w:szCs w:val="7"/>
                <w:color w:val="auto"/>
              </w:rPr>
              <w:t>Kensington Gardens, No. U1317, Lot 7616, Jalan Jumidar Buyong, Labuan F.T., 87000</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Tanjung Manis Oil Terminal Management Sdn. Bhd.</w:t>
            </w:r>
          </w:p>
        </w:tc>
        <w:tc>
          <w:tcPr>
            <w:tcW w:w="5960" w:type="dxa"/>
            <w:vAlign w:val="bottom"/>
          </w:tcPr>
          <w:p>
            <w:pPr>
              <w:spacing w:after="0"/>
              <w:rPr>
                <w:sz w:val="20"/>
                <w:szCs w:val="20"/>
                <w:color w:val="auto"/>
              </w:rPr>
            </w:pPr>
            <w:r>
              <w:rPr>
                <w:rFonts w:ascii="Arial" w:cs="Arial" w:eastAsia="Arial" w:hAnsi="Arial"/>
                <w:sz w:val="7"/>
                <w:szCs w:val="7"/>
                <w:color w:val="auto"/>
              </w:rPr>
              <w:t>Lot 7689 and Lot 7690, Section 64, Kuching Town Land District, Jalan Pending, Kuching, Sarawak, 93450</w:t>
            </w:r>
          </w:p>
        </w:tc>
        <w:tc>
          <w:tcPr>
            <w:tcW w:w="1540" w:type="dxa"/>
            <w:vAlign w:val="bottom"/>
          </w:tcPr>
          <w:p>
            <w:pPr>
              <w:jc w:val="right"/>
              <w:spacing w:after="0"/>
              <w:rPr>
                <w:sz w:val="20"/>
                <w:szCs w:val="20"/>
                <w:color w:val="auto"/>
              </w:rPr>
            </w:pPr>
            <w:r>
              <w:rPr>
                <w:rFonts w:ascii="Arial" w:cs="Arial" w:eastAsia="Arial" w:hAnsi="Arial"/>
                <w:sz w:val="7"/>
                <w:szCs w:val="7"/>
                <w:color w:val="auto"/>
              </w:rPr>
              <w:t>14</w:t>
            </w:r>
          </w:p>
        </w:tc>
      </w:tr>
      <w:tr>
        <w:trPr>
          <w:trHeight w:val="108"/>
        </w:trPr>
        <w:tc>
          <w:tcPr>
            <w:tcW w:w="3760" w:type="dxa"/>
            <w:vAlign w:val="bottom"/>
          </w:tcPr>
          <w:p>
            <w:pPr>
              <w:spacing w:after="0"/>
              <w:rPr>
                <w:sz w:val="20"/>
                <w:szCs w:val="20"/>
                <w:color w:val="auto"/>
              </w:rPr>
            </w:pPr>
            <w:r>
              <w:rPr>
                <w:rFonts w:ascii="Arial" w:cs="Arial" w:eastAsia="Arial" w:hAnsi="Arial"/>
                <w:sz w:val="7"/>
                <w:szCs w:val="7"/>
                <w:color w:val="auto"/>
              </w:rPr>
              <w:t>MAURITIUS</w:t>
            </w:r>
          </w:p>
        </w:tc>
        <w:tc>
          <w:tcPr>
            <w:tcW w:w="596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BG Mauritius LNG Holdings Ltd</w:t>
            </w:r>
          </w:p>
        </w:tc>
        <w:tc>
          <w:tcPr>
            <w:tcW w:w="5960" w:type="dxa"/>
            <w:vAlign w:val="bottom"/>
          </w:tcPr>
          <w:p>
            <w:pPr>
              <w:spacing w:after="0"/>
              <w:rPr>
                <w:sz w:val="20"/>
                <w:szCs w:val="20"/>
                <w:color w:val="auto"/>
              </w:rPr>
            </w:pPr>
            <w:r>
              <w:rPr>
                <w:rFonts w:ascii="Arial" w:cs="Arial" w:eastAsia="Arial" w:hAnsi="Arial"/>
                <w:sz w:val="7"/>
                <w:szCs w:val="7"/>
                <w:color w:val="auto"/>
              </w:rPr>
              <w:t>6th Floor, Tower A, 1 Cybercity, Ebene, 72201</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BG Mumbai Holdings Limited</w:t>
            </w:r>
          </w:p>
        </w:tc>
        <w:tc>
          <w:tcPr>
            <w:tcW w:w="5960" w:type="dxa"/>
            <w:vAlign w:val="bottom"/>
          </w:tcPr>
          <w:p>
            <w:pPr>
              <w:spacing w:after="0"/>
              <w:rPr>
                <w:sz w:val="20"/>
                <w:szCs w:val="20"/>
                <w:color w:val="auto"/>
              </w:rPr>
            </w:pPr>
            <w:r>
              <w:rPr>
                <w:rFonts w:ascii="Arial" w:cs="Arial" w:eastAsia="Arial" w:hAnsi="Arial"/>
                <w:sz w:val="7"/>
                <w:szCs w:val="7"/>
                <w:color w:val="auto"/>
              </w:rPr>
              <w:t>6th Floor, Tower A, 1 Cybercity, Ebene, 72201</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Pennzoil Products International Company</w:t>
            </w:r>
          </w:p>
        </w:tc>
        <w:tc>
          <w:tcPr>
            <w:tcW w:w="5960" w:type="dxa"/>
            <w:vAlign w:val="bottom"/>
          </w:tcPr>
          <w:p>
            <w:pPr>
              <w:spacing w:after="0"/>
              <w:rPr>
                <w:sz w:val="20"/>
                <w:szCs w:val="20"/>
                <w:color w:val="auto"/>
              </w:rPr>
            </w:pPr>
            <w:r>
              <w:rPr>
                <w:rFonts w:ascii="Arial" w:cs="Arial" w:eastAsia="Arial" w:hAnsi="Arial"/>
                <w:sz w:val="7"/>
                <w:szCs w:val="7"/>
                <w:color w:val="auto"/>
              </w:rPr>
              <w:t>33 Edith Cavell Street, Port Louis, 11324</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13"/>
        </w:trPr>
        <w:tc>
          <w:tcPr>
            <w:tcW w:w="3760" w:type="dxa"/>
            <w:vAlign w:val="bottom"/>
          </w:tcPr>
          <w:p>
            <w:pPr>
              <w:spacing w:after="0"/>
              <w:rPr>
                <w:sz w:val="20"/>
                <w:szCs w:val="20"/>
                <w:color w:val="auto"/>
              </w:rPr>
            </w:pPr>
            <w:r>
              <w:rPr>
                <w:rFonts w:ascii="Arial" w:cs="Arial" w:eastAsia="Arial" w:hAnsi="Arial"/>
                <w:sz w:val="7"/>
                <w:szCs w:val="7"/>
                <w:color w:val="auto"/>
              </w:rPr>
              <w:t>MEXICO</w:t>
            </w:r>
          </w:p>
        </w:tc>
        <w:tc>
          <w:tcPr>
            <w:tcW w:w="5960" w:type="dxa"/>
            <w:vAlign w:val="bottom"/>
            <w:tcBorders>
              <w:bottom w:val="single" w:sz="8" w:color="494949"/>
            </w:tcBorders>
          </w:tcPr>
          <w:p>
            <w:pPr>
              <w:spacing w:after="0"/>
              <w:rPr>
                <w:sz w:val="9"/>
                <w:szCs w:val="9"/>
                <w:color w:val="auto"/>
              </w:rPr>
            </w:pPr>
          </w:p>
        </w:tc>
        <w:tc>
          <w:tcPr>
            <w:tcW w:w="1540" w:type="dxa"/>
            <w:vAlign w:val="bottom"/>
          </w:tcPr>
          <w:p>
            <w:pPr>
              <w:spacing w:after="0"/>
              <w:rPr>
                <w:sz w:val="9"/>
                <w:szCs w:val="9"/>
                <w:color w:val="auto"/>
              </w:rPr>
            </w:pPr>
          </w:p>
        </w:tc>
      </w:tr>
      <w:tr>
        <w:trPr>
          <w:trHeight w:val="92"/>
        </w:trPr>
        <w:tc>
          <w:tcPr>
            <w:tcW w:w="3760" w:type="dxa"/>
            <w:vAlign w:val="bottom"/>
          </w:tcPr>
          <w:p>
            <w:pPr>
              <w:ind w:left="80"/>
              <w:spacing w:after="0"/>
              <w:rPr>
                <w:sz w:val="20"/>
                <w:szCs w:val="20"/>
                <w:color w:val="auto"/>
              </w:rPr>
            </w:pPr>
            <w:r>
              <w:rPr>
                <w:rFonts w:ascii="Arial" w:cs="Arial" w:eastAsia="Arial" w:hAnsi="Arial"/>
                <w:sz w:val="7"/>
                <w:szCs w:val="7"/>
                <w:color w:val="auto"/>
              </w:rPr>
              <w:t>Comercial Importadora S.A. De C.V.</w:t>
            </w:r>
          </w:p>
        </w:tc>
        <w:tc>
          <w:tcPr>
            <w:tcW w:w="5960" w:type="dxa"/>
            <w:vAlign w:val="bottom"/>
          </w:tcPr>
          <w:p>
            <w:pPr>
              <w:spacing w:after="0"/>
              <w:rPr>
                <w:sz w:val="20"/>
                <w:szCs w:val="20"/>
                <w:color w:val="auto"/>
              </w:rPr>
            </w:pPr>
            <w:r>
              <w:rPr>
                <w:rFonts w:ascii="Arial" w:cs="Arial" w:eastAsia="Arial" w:hAnsi="Arial"/>
                <w:sz w:val="7"/>
                <w:szCs w:val="7"/>
                <w:color w:val="auto"/>
              </w:rPr>
              <w:t>Guillermo González Camarena No. 400, Santa Fé, Alvaro Obregón, Ciudad de México, 01210</w:t>
            </w:r>
          </w:p>
        </w:tc>
        <w:tc>
          <w:tcPr>
            <w:tcW w:w="15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Concilia Asesores y Servicios, S.A. de C.V.</w:t>
            </w:r>
          </w:p>
        </w:tc>
        <w:tc>
          <w:tcPr>
            <w:tcW w:w="5960" w:type="dxa"/>
            <w:vAlign w:val="bottom"/>
          </w:tcPr>
          <w:p>
            <w:pPr>
              <w:spacing w:after="0"/>
              <w:rPr>
                <w:sz w:val="20"/>
                <w:szCs w:val="20"/>
                <w:color w:val="auto"/>
              </w:rPr>
            </w:pPr>
            <w:r>
              <w:rPr>
                <w:rFonts w:ascii="Arial" w:cs="Arial" w:eastAsia="Arial" w:hAnsi="Arial"/>
                <w:sz w:val="7"/>
                <w:szCs w:val="7"/>
                <w:color w:val="auto"/>
              </w:rPr>
              <w:t>Guillermo González Camarena No. 400, Santa Fé, Alvaro Obregón, Ciudad de México, 01210</w:t>
            </w:r>
          </w:p>
        </w:tc>
        <w:tc>
          <w:tcPr>
            <w:tcW w:w="15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Gas Del Litoral, S. de R.L. de C.V.</w:t>
            </w:r>
          </w:p>
        </w:tc>
        <w:tc>
          <w:tcPr>
            <w:tcW w:w="5960" w:type="dxa"/>
            <w:vAlign w:val="bottom"/>
          </w:tcPr>
          <w:p>
            <w:pPr>
              <w:spacing w:after="0"/>
              <w:rPr>
                <w:sz w:val="20"/>
                <w:szCs w:val="20"/>
                <w:color w:val="auto"/>
              </w:rPr>
            </w:pPr>
            <w:r>
              <w:rPr>
                <w:rFonts w:ascii="Arial" w:cs="Arial" w:eastAsia="Arial" w:hAnsi="Arial"/>
                <w:sz w:val="7"/>
                <w:szCs w:val="7"/>
                <w:color w:val="auto"/>
              </w:rPr>
              <w:t>Avenida Paseo de las Palmas 340, 1st floor, Colonia Lomas de Chapultepec, Delegación Miguel Hidalgo, Ciudad de México, 11000</w:t>
            </w:r>
          </w:p>
        </w:tc>
        <w:tc>
          <w:tcPr>
            <w:tcW w:w="1540" w:type="dxa"/>
            <w:vAlign w:val="bottom"/>
          </w:tcPr>
          <w:p>
            <w:pPr>
              <w:jc w:val="right"/>
              <w:spacing w:after="0"/>
              <w:rPr>
                <w:sz w:val="20"/>
                <w:szCs w:val="20"/>
                <w:color w:val="auto"/>
              </w:rPr>
            </w:pPr>
            <w:r>
              <w:rPr>
                <w:rFonts w:ascii="Arial" w:cs="Arial" w:eastAsia="Arial" w:hAnsi="Arial"/>
                <w:sz w:val="7"/>
                <w:szCs w:val="7"/>
                <w:color w:val="auto"/>
              </w:rPr>
              <w:t>75</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Mega Gasolineras SA de CV</w:t>
            </w:r>
          </w:p>
        </w:tc>
        <w:tc>
          <w:tcPr>
            <w:tcW w:w="5960" w:type="dxa"/>
            <w:vAlign w:val="bottom"/>
          </w:tcPr>
          <w:p>
            <w:pPr>
              <w:spacing w:after="0"/>
              <w:rPr>
                <w:sz w:val="20"/>
                <w:szCs w:val="20"/>
                <w:color w:val="auto"/>
              </w:rPr>
            </w:pPr>
            <w:r>
              <w:rPr>
                <w:rFonts w:ascii="Arial" w:cs="Arial" w:eastAsia="Arial" w:hAnsi="Arial"/>
                <w:sz w:val="7"/>
                <w:szCs w:val="7"/>
                <w:color w:val="auto"/>
              </w:rPr>
              <w:t>Avenida Cerro Gordo del Campestre, number 201, interior 202, of Colonia Las Quintas, León, Guanajuato, 37125</w:t>
            </w:r>
          </w:p>
        </w:tc>
        <w:tc>
          <w:tcPr>
            <w:tcW w:w="15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Energy Mexico, S.A. de C.V.</w:t>
            </w:r>
          </w:p>
        </w:tc>
        <w:tc>
          <w:tcPr>
            <w:tcW w:w="5960" w:type="dxa"/>
            <w:vAlign w:val="bottom"/>
          </w:tcPr>
          <w:p>
            <w:pPr>
              <w:spacing w:after="0"/>
              <w:rPr>
                <w:sz w:val="20"/>
                <w:szCs w:val="20"/>
                <w:color w:val="auto"/>
              </w:rPr>
            </w:pPr>
            <w:r>
              <w:rPr>
                <w:rFonts w:ascii="Arial" w:cs="Arial" w:eastAsia="Arial" w:hAnsi="Arial"/>
                <w:sz w:val="7"/>
                <w:szCs w:val="7"/>
                <w:color w:val="auto"/>
              </w:rPr>
              <w:t>Avenida Paseo de las Palmas 340, 1st floor, Colonia Lomas de Chapultepec, Delegación Miguel Hidalgo, Ciudad de México, 11000</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Exploración y Extracción de México, S.A. de C.V.</w:t>
            </w:r>
          </w:p>
        </w:tc>
        <w:tc>
          <w:tcPr>
            <w:tcW w:w="5960" w:type="dxa"/>
            <w:vAlign w:val="bottom"/>
          </w:tcPr>
          <w:p>
            <w:pPr>
              <w:spacing w:after="0"/>
              <w:rPr>
                <w:sz w:val="20"/>
                <w:szCs w:val="20"/>
                <w:color w:val="auto"/>
              </w:rPr>
            </w:pPr>
            <w:r>
              <w:rPr>
                <w:rFonts w:ascii="Arial" w:cs="Arial" w:eastAsia="Arial" w:hAnsi="Arial"/>
                <w:sz w:val="7"/>
                <w:szCs w:val="7"/>
                <w:color w:val="auto"/>
              </w:rPr>
              <w:t>Avenida Paseo de las Palmas 340, 1st floor, Colonia Lomas de Chapultepec, Delegación Miguel Hidalgo, Ciudad de México, 11000</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México Gas Natural, S. de R.L. de C.V.</w:t>
            </w:r>
          </w:p>
        </w:tc>
        <w:tc>
          <w:tcPr>
            <w:tcW w:w="5960" w:type="dxa"/>
            <w:vAlign w:val="bottom"/>
          </w:tcPr>
          <w:p>
            <w:pPr>
              <w:spacing w:after="0"/>
              <w:rPr>
                <w:sz w:val="20"/>
                <w:szCs w:val="20"/>
                <w:color w:val="auto"/>
              </w:rPr>
            </w:pPr>
            <w:r>
              <w:rPr>
                <w:rFonts w:ascii="Arial" w:cs="Arial" w:eastAsia="Arial" w:hAnsi="Arial"/>
                <w:sz w:val="7"/>
                <w:szCs w:val="7"/>
                <w:color w:val="auto"/>
              </w:rPr>
              <w:t>Avenida Paseo de las Palmas 340, 1st floor, Colonia Lomas de Chapultepec, Delegación Miguel Hidalgo, Ciudad de México, 11000</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México, S.A. de C.V.</w:t>
            </w:r>
          </w:p>
        </w:tc>
        <w:tc>
          <w:tcPr>
            <w:tcW w:w="5960" w:type="dxa"/>
            <w:vAlign w:val="bottom"/>
          </w:tcPr>
          <w:p>
            <w:pPr>
              <w:spacing w:after="0"/>
              <w:rPr>
                <w:sz w:val="20"/>
                <w:szCs w:val="20"/>
                <w:color w:val="auto"/>
              </w:rPr>
            </w:pPr>
            <w:r>
              <w:rPr>
                <w:rFonts w:ascii="Arial" w:cs="Arial" w:eastAsia="Arial" w:hAnsi="Arial"/>
                <w:sz w:val="7"/>
                <w:szCs w:val="7"/>
                <w:color w:val="auto"/>
              </w:rPr>
              <w:t>Avenida Paseo de las Palmas 340, 1st floor, Colonia Lomas de Chapultepec, Delegación Miguel Hidalgo, Ciudad de México, 11000</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Servicios México, S.A. de C.V.</w:t>
            </w:r>
          </w:p>
        </w:tc>
        <w:tc>
          <w:tcPr>
            <w:tcW w:w="5960" w:type="dxa"/>
            <w:vAlign w:val="bottom"/>
          </w:tcPr>
          <w:p>
            <w:pPr>
              <w:spacing w:after="0"/>
              <w:rPr>
                <w:sz w:val="20"/>
                <w:szCs w:val="20"/>
                <w:color w:val="auto"/>
              </w:rPr>
            </w:pPr>
            <w:r>
              <w:rPr>
                <w:rFonts w:ascii="Arial" w:cs="Arial" w:eastAsia="Arial" w:hAnsi="Arial"/>
                <w:sz w:val="7"/>
                <w:szCs w:val="7"/>
                <w:color w:val="auto"/>
              </w:rPr>
              <w:t>Avenida Paseo de las Palmas 340, 1st floor, Colonia Lomas de Chapultepec, Delegación Miguel Hidalgo, Ciudad de México, 11000</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Solutions Mexico S.A. de C.V.</w:t>
            </w:r>
          </w:p>
        </w:tc>
        <w:tc>
          <w:tcPr>
            <w:tcW w:w="5960" w:type="dxa"/>
            <w:vAlign w:val="bottom"/>
          </w:tcPr>
          <w:p>
            <w:pPr>
              <w:spacing w:after="0"/>
              <w:rPr>
                <w:sz w:val="20"/>
                <w:szCs w:val="20"/>
                <w:color w:val="auto"/>
              </w:rPr>
            </w:pPr>
            <w:r>
              <w:rPr>
                <w:rFonts w:ascii="Arial" w:cs="Arial" w:eastAsia="Arial" w:hAnsi="Arial"/>
                <w:sz w:val="7"/>
                <w:szCs w:val="7"/>
                <w:color w:val="auto"/>
              </w:rPr>
              <w:t>Avenida Paseo de las Palmas 340, 1st floor, Colonia Lomas de Chapultepec, Delegación Miguel Hidalgo, Ciudad de México, 11000</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Shell Trading México, S. de R.L. de C.V.</w:t>
            </w:r>
          </w:p>
        </w:tc>
        <w:tc>
          <w:tcPr>
            <w:tcW w:w="5960" w:type="dxa"/>
            <w:vAlign w:val="bottom"/>
          </w:tcPr>
          <w:p>
            <w:pPr>
              <w:spacing w:after="0"/>
              <w:rPr>
                <w:sz w:val="20"/>
                <w:szCs w:val="20"/>
                <w:color w:val="auto"/>
              </w:rPr>
            </w:pPr>
            <w:r>
              <w:rPr>
                <w:rFonts w:ascii="Arial" w:cs="Arial" w:eastAsia="Arial" w:hAnsi="Arial"/>
                <w:sz w:val="7"/>
                <w:szCs w:val="7"/>
                <w:color w:val="auto"/>
              </w:rPr>
              <w:t>Avenida Paseo de las Palmas 340, 1st floor, Colonia Lomas de Chapultepec, Delegación Miguel Hidalgo, Ciudad de México, 11000</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spacing w:after="0"/>
              <w:rPr>
                <w:sz w:val="20"/>
                <w:szCs w:val="20"/>
                <w:color w:val="auto"/>
              </w:rPr>
            </w:pPr>
            <w:r>
              <w:rPr>
                <w:rFonts w:ascii="Arial" w:cs="Arial" w:eastAsia="Arial" w:hAnsi="Arial"/>
                <w:sz w:val="7"/>
                <w:szCs w:val="7"/>
                <w:color w:val="auto"/>
              </w:rPr>
              <w:t>NETHERLANDS</w:t>
            </w:r>
          </w:p>
        </w:tc>
        <w:tc>
          <w:tcPr>
            <w:tcW w:w="596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Amsterdam Schiphol Pijpleiding Beheer B.V.</w:t>
            </w:r>
          </w:p>
        </w:tc>
        <w:tc>
          <w:tcPr>
            <w:tcW w:w="5960" w:type="dxa"/>
            <w:vAlign w:val="bottom"/>
          </w:tcPr>
          <w:p>
            <w:pPr>
              <w:spacing w:after="0"/>
              <w:rPr>
                <w:sz w:val="20"/>
                <w:szCs w:val="20"/>
                <w:color w:val="auto"/>
              </w:rPr>
            </w:pPr>
            <w:r>
              <w:rPr>
                <w:rFonts w:ascii="Arial" w:cs="Arial" w:eastAsia="Arial" w:hAnsi="Arial"/>
                <w:sz w:val="7"/>
                <w:szCs w:val="7"/>
                <w:color w:val="auto"/>
              </w:rPr>
              <w:t>Amsterdamseweg 55, 1182 GP Amstelveen, P.O. Box 75650, Luchthaven Schiphol, 1118 ZS</w:t>
            </w:r>
          </w:p>
        </w:tc>
        <w:tc>
          <w:tcPr>
            <w:tcW w:w="154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Attiki Gas B.V.</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B.R.E. B.V.</w:t>
            </w:r>
          </w:p>
        </w:tc>
        <w:tc>
          <w:tcPr>
            <w:tcW w:w="5960" w:type="dxa"/>
            <w:vAlign w:val="bottom"/>
          </w:tcPr>
          <w:p>
            <w:pPr>
              <w:spacing w:after="0"/>
              <w:rPr>
                <w:sz w:val="20"/>
                <w:szCs w:val="20"/>
                <w:color w:val="auto"/>
              </w:rPr>
            </w:pPr>
            <w:r>
              <w:rPr>
                <w:rFonts w:ascii="Arial" w:cs="Arial" w:eastAsia="Arial" w:hAnsi="Arial"/>
                <w:sz w:val="7"/>
                <w:szCs w:val="7"/>
                <w:color w:val="auto"/>
              </w:rPr>
              <w:t>Henri Berssenbruggestraat 9, Deventer, 7425 SB</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B.V. Dordtsche Petroleum Maatschappij</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B.V. Petroleum Assurantie Maatschappij</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BG Gas Brazil E&amp;P 12 B.V.</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BG Gas Brazil Holdings B.V.</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BG Gas International B.V.</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BG Gas International Holdings B.V.</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BG Gas Netherlands Holdings B.V.</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BG Gas Sao Paulo Investments B.V.</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BJS Oil Operations B.V.</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80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BJSA Exploration and Production B.V.</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Blauwwind II C.V. [d]</w:t>
            </w:r>
          </w:p>
        </w:tc>
        <w:tc>
          <w:tcPr>
            <w:tcW w:w="5960" w:type="dxa"/>
            <w:vAlign w:val="bottom"/>
          </w:tcPr>
          <w:p>
            <w:pPr>
              <w:spacing w:after="0"/>
              <w:rPr>
                <w:sz w:val="20"/>
                <w:szCs w:val="20"/>
                <w:color w:val="auto"/>
              </w:rPr>
            </w:pPr>
            <w:r>
              <w:rPr>
                <w:rFonts w:ascii="Arial" w:cs="Arial" w:eastAsia="Arial" w:hAnsi="Arial"/>
                <w:sz w:val="7"/>
                <w:szCs w:val="7"/>
                <w:color w:val="auto"/>
              </w:rPr>
              <w:t>Weena 70, Rotterdam, 3012 CM</w:t>
            </w:r>
          </w:p>
        </w:tc>
        <w:tc>
          <w:tcPr>
            <w:tcW w:w="154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Blauwwind Management II B.V.</w:t>
            </w:r>
          </w:p>
        </w:tc>
        <w:tc>
          <w:tcPr>
            <w:tcW w:w="5960" w:type="dxa"/>
            <w:vAlign w:val="bottom"/>
          </w:tcPr>
          <w:p>
            <w:pPr>
              <w:spacing w:after="0"/>
              <w:rPr>
                <w:sz w:val="20"/>
                <w:szCs w:val="20"/>
                <w:color w:val="auto"/>
              </w:rPr>
            </w:pPr>
            <w:r>
              <w:rPr>
                <w:rFonts w:ascii="Arial" w:cs="Arial" w:eastAsia="Arial" w:hAnsi="Arial"/>
                <w:sz w:val="7"/>
                <w:szCs w:val="7"/>
                <w:color w:val="auto"/>
              </w:rPr>
              <w:t>Weena 70, Rotterdam, 3012 CM</w:t>
            </w:r>
          </w:p>
        </w:tc>
        <w:tc>
          <w:tcPr>
            <w:tcW w:w="154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Bogstone Holding B.V.</w:t>
            </w:r>
          </w:p>
        </w:tc>
        <w:tc>
          <w:tcPr>
            <w:tcW w:w="5960" w:type="dxa"/>
            <w:vAlign w:val="bottom"/>
          </w:tcPr>
          <w:p>
            <w:pPr>
              <w:spacing w:after="0"/>
              <w:rPr>
                <w:sz w:val="20"/>
                <w:szCs w:val="20"/>
                <w:color w:val="auto"/>
              </w:rPr>
            </w:pPr>
            <w:r>
              <w:rPr>
                <w:rFonts w:ascii="Arial" w:cs="Arial" w:eastAsia="Arial" w:hAnsi="Arial"/>
                <w:sz w:val="7"/>
                <w:szCs w:val="7"/>
                <w:color w:val="auto"/>
              </w:rPr>
              <w:t>Herikerbergweg 238, Amsterdam, 1101 CM</w:t>
            </w:r>
          </w:p>
        </w:tc>
        <w:tc>
          <w:tcPr>
            <w:tcW w:w="1540" w:type="dxa"/>
            <w:vAlign w:val="bottom"/>
          </w:tcPr>
          <w:p>
            <w:pPr>
              <w:jc w:val="right"/>
              <w:spacing w:after="0"/>
              <w:rPr>
                <w:sz w:val="20"/>
                <w:szCs w:val="20"/>
                <w:color w:val="auto"/>
              </w:rPr>
            </w:pPr>
            <w:r>
              <w:rPr>
                <w:rFonts w:ascii="Arial" w:cs="Arial" w:eastAsia="Arial" w:hAnsi="Arial"/>
                <w:sz w:val="7"/>
                <w:szCs w:val="7"/>
                <w:color w:val="auto"/>
              </w:rPr>
              <w:t>51</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Caspi Meruerty Operating Company B.V. [b]</w:t>
            </w:r>
          </w:p>
        </w:tc>
        <w:tc>
          <w:tcPr>
            <w:tcW w:w="5960" w:type="dxa"/>
            <w:vAlign w:val="bottom"/>
          </w:tcPr>
          <w:p>
            <w:pPr>
              <w:spacing w:after="0"/>
              <w:rPr>
                <w:sz w:val="20"/>
                <w:szCs w:val="20"/>
                <w:color w:val="auto"/>
              </w:rPr>
            </w:pPr>
            <w:r>
              <w:rPr>
                <w:rFonts w:ascii="Arial" w:cs="Arial" w:eastAsia="Arial" w:hAnsi="Arial"/>
                <w:sz w:val="7"/>
                <w:szCs w:val="7"/>
                <w:color w:val="auto"/>
              </w:rPr>
              <w:t>Muiderstraat 1, Amsterdam, 1011 PZ</w:t>
            </w:r>
          </w:p>
        </w:tc>
        <w:tc>
          <w:tcPr>
            <w:tcW w:w="154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Chosun Shell B.V.</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Cicerone Holding B.V.</w:t>
            </w:r>
          </w:p>
        </w:tc>
        <w:tc>
          <w:tcPr>
            <w:tcW w:w="5960" w:type="dxa"/>
            <w:vAlign w:val="bottom"/>
          </w:tcPr>
          <w:p>
            <w:pPr>
              <w:spacing w:after="0"/>
              <w:rPr>
                <w:sz w:val="20"/>
                <w:szCs w:val="20"/>
                <w:color w:val="auto"/>
              </w:rPr>
            </w:pPr>
            <w:r>
              <w:rPr>
                <w:rFonts w:ascii="Arial" w:cs="Arial" w:eastAsia="Arial" w:hAnsi="Arial"/>
                <w:sz w:val="7"/>
                <w:szCs w:val="7"/>
                <w:color w:val="auto"/>
              </w:rPr>
              <w:t>Herikerbergweg 238, Amsterdam, 1101 CM</w:t>
            </w:r>
          </w:p>
        </w:tc>
        <w:tc>
          <w:tcPr>
            <w:tcW w:w="1540" w:type="dxa"/>
            <w:vAlign w:val="bottom"/>
          </w:tcPr>
          <w:p>
            <w:pPr>
              <w:jc w:val="right"/>
              <w:spacing w:after="0"/>
              <w:rPr>
                <w:sz w:val="20"/>
                <w:szCs w:val="20"/>
                <w:color w:val="auto"/>
              </w:rPr>
            </w:pPr>
            <w:r>
              <w:rPr>
                <w:rFonts w:ascii="Arial" w:cs="Arial" w:eastAsia="Arial" w:hAnsi="Arial"/>
                <w:sz w:val="7"/>
                <w:szCs w:val="7"/>
                <w:color w:val="auto"/>
              </w:rPr>
              <w:t>51</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CrossWind Beheer B.V. [b]</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80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Crosswind C.V. [b] [d]</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80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Ellba B.V. [b]</w:t>
            </w:r>
          </w:p>
        </w:tc>
        <w:tc>
          <w:tcPr>
            <w:tcW w:w="5960" w:type="dxa"/>
            <w:vAlign w:val="bottom"/>
          </w:tcPr>
          <w:p>
            <w:pPr>
              <w:spacing w:after="0"/>
              <w:rPr>
                <w:sz w:val="20"/>
                <w:szCs w:val="20"/>
                <w:color w:val="auto"/>
              </w:rPr>
            </w:pPr>
            <w:r>
              <w:rPr>
                <w:rFonts w:ascii="Arial" w:cs="Arial" w:eastAsia="Arial" w:hAnsi="Arial"/>
                <w:sz w:val="7"/>
                <w:szCs w:val="7"/>
                <w:color w:val="auto"/>
              </w:rPr>
              <w:t>Vondelingenweg 601, Vondelingenplaat, Rotterdam, 3196 KK</w:t>
            </w:r>
          </w:p>
        </w:tc>
        <w:tc>
          <w:tcPr>
            <w:tcW w:w="15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Ellba C.V. [b] [d]</w:t>
            </w:r>
          </w:p>
        </w:tc>
        <w:tc>
          <w:tcPr>
            <w:tcW w:w="5960" w:type="dxa"/>
            <w:vAlign w:val="bottom"/>
          </w:tcPr>
          <w:p>
            <w:pPr>
              <w:spacing w:after="0"/>
              <w:rPr>
                <w:sz w:val="20"/>
                <w:szCs w:val="20"/>
                <w:color w:val="auto"/>
              </w:rPr>
            </w:pPr>
            <w:r>
              <w:rPr>
                <w:rFonts w:ascii="Arial" w:cs="Arial" w:eastAsia="Arial" w:hAnsi="Arial"/>
                <w:sz w:val="7"/>
                <w:szCs w:val="7"/>
                <w:color w:val="auto"/>
              </w:rPr>
              <w:t>Vondelingenweg 601, Vondelingenplaat, Rotterdam, 3196 KK</w:t>
            </w:r>
          </w:p>
        </w:tc>
        <w:tc>
          <w:tcPr>
            <w:tcW w:w="15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Energiepark Pottendijk B.V.</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Euroshell Cards B.V.</w:t>
            </w:r>
          </w:p>
        </w:tc>
        <w:tc>
          <w:tcPr>
            <w:tcW w:w="5960" w:type="dxa"/>
            <w:vAlign w:val="bottom"/>
          </w:tcPr>
          <w:p>
            <w:pPr>
              <w:spacing w:after="0"/>
              <w:rPr>
                <w:sz w:val="20"/>
                <w:szCs w:val="20"/>
                <w:color w:val="auto"/>
              </w:rPr>
            </w:pPr>
            <w:r>
              <w:rPr>
                <w:rFonts w:ascii="Arial" w:cs="Arial" w:eastAsia="Arial" w:hAnsi="Arial"/>
                <w:sz w:val="7"/>
                <w:szCs w:val="7"/>
                <w:color w:val="auto"/>
              </w:rPr>
              <w:t>Weena 70, Rotterdam, 3012 CM</w:t>
            </w:r>
          </w:p>
        </w:tc>
        <w:tc>
          <w:tcPr>
            <w:tcW w:w="15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Fitzroy C.V. [d]</w:t>
            </w:r>
          </w:p>
        </w:tc>
        <w:tc>
          <w:tcPr>
            <w:tcW w:w="5960" w:type="dxa"/>
            <w:vAlign w:val="bottom"/>
          </w:tcPr>
          <w:p>
            <w:pPr>
              <w:spacing w:after="0"/>
              <w:rPr>
                <w:sz w:val="20"/>
                <w:szCs w:val="20"/>
                <w:color w:val="auto"/>
              </w:rPr>
            </w:pPr>
            <w:r>
              <w:rPr>
                <w:rFonts w:ascii="Arial" w:cs="Arial" w:eastAsia="Arial" w:hAnsi="Arial"/>
                <w:sz w:val="7"/>
                <w:szCs w:val="7"/>
                <w:color w:val="auto"/>
              </w:rPr>
              <w:t>Stationsplein 45, Rotterdam, 3013 AK</w:t>
            </w:r>
          </w:p>
        </w:tc>
        <w:tc>
          <w:tcPr>
            <w:tcW w:w="154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Gasterra B.V.</w:t>
            </w:r>
          </w:p>
        </w:tc>
        <w:tc>
          <w:tcPr>
            <w:tcW w:w="5960" w:type="dxa"/>
            <w:vAlign w:val="bottom"/>
          </w:tcPr>
          <w:p>
            <w:pPr>
              <w:spacing w:after="0"/>
              <w:rPr>
                <w:sz w:val="20"/>
                <w:szCs w:val="20"/>
                <w:color w:val="auto"/>
              </w:rPr>
            </w:pPr>
            <w:r>
              <w:rPr>
                <w:rFonts w:ascii="Arial" w:cs="Arial" w:eastAsia="Arial" w:hAnsi="Arial"/>
                <w:sz w:val="7"/>
                <w:szCs w:val="7"/>
                <w:color w:val="auto"/>
              </w:rPr>
              <w:t>P.O. Box 477, Groningen, 9700 AL</w:t>
            </w:r>
          </w:p>
        </w:tc>
        <w:tc>
          <w:tcPr>
            <w:tcW w:w="1540" w:type="dxa"/>
            <w:vAlign w:val="bottom"/>
          </w:tcPr>
          <w:p>
            <w:pPr>
              <w:jc w:val="right"/>
              <w:spacing w:after="0"/>
              <w:rPr>
                <w:sz w:val="20"/>
                <w:szCs w:val="20"/>
                <w:color w:val="auto"/>
              </w:rPr>
            </w:pPr>
            <w:r>
              <w:rPr>
                <w:rFonts w:ascii="Arial" w:cs="Arial" w:eastAsia="Arial" w:hAnsi="Arial"/>
                <w:sz w:val="7"/>
                <w:szCs w:val="7"/>
                <w:color w:val="auto"/>
              </w:rPr>
              <w:t>25</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Geocombinatie Leeuwarden B.V.</w:t>
            </w:r>
          </w:p>
        </w:tc>
        <w:tc>
          <w:tcPr>
            <w:tcW w:w="5960" w:type="dxa"/>
            <w:vAlign w:val="bottom"/>
          </w:tcPr>
          <w:p>
            <w:pPr>
              <w:spacing w:after="0"/>
              <w:rPr>
                <w:sz w:val="20"/>
                <w:szCs w:val="20"/>
                <w:color w:val="auto"/>
              </w:rPr>
            </w:pPr>
            <w:r>
              <w:rPr>
                <w:rFonts w:ascii="Arial" w:cs="Arial" w:eastAsia="Arial" w:hAnsi="Arial"/>
                <w:sz w:val="7"/>
                <w:szCs w:val="7"/>
                <w:color w:val="auto"/>
              </w:rPr>
              <w:t>Carel van Bylandtlaan 30, The Hague, 2596 HR</w:t>
            </w:r>
          </w:p>
        </w:tc>
        <w:tc>
          <w:tcPr>
            <w:tcW w:w="154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108"/>
        </w:trPr>
        <w:tc>
          <w:tcPr>
            <w:tcW w:w="3760" w:type="dxa"/>
            <w:vAlign w:val="bottom"/>
          </w:tcPr>
          <w:p>
            <w:pPr>
              <w:ind w:left="80"/>
              <w:spacing w:after="0"/>
              <w:rPr>
                <w:sz w:val="20"/>
                <w:szCs w:val="20"/>
                <w:color w:val="auto"/>
              </w:rPr>
            </w:pPr>
            <w:r>
              <w:rPr>
                <w:rFonts w:ascii="Arial" w:cs="Arial" w:eastAsia="Arial" w:hAnsi="Arial"/>
                <w:sz w:val="7"/>
                <w:szCs w:val="7"/>
                <w:color w:val="auto"/>
              </w:rPr>
              <w:t>Guara B.V.</w:t>
            </w:r>
          </w:p>
        </w:tc>
        <w:tc>
          <w:tcPr>
            <w:tcW w:w="5960" w:type="dxa"/>
            <w:vAlign w:val="bottom"/>
          </w:tcPr>
          <w:p>
            <w:pPr>
              <w:spacing w:after="0"/>
              <w:rPr>
                <w:sz w:val="20"/>
                <w:szCs w:val="20"/>
                <w:color w:val="auto"/>
              </w:rPr>
            </w:pPr>
            <w:r>
              <w:rPr>
                <w:rFonts w:ascii="Arial" w:cs="Arial" w:eastAsia="Arial" w:hAnsi="Arial"/>
                <w:sz w:val="7"/>
                <w:szCs w:val="7"/>
                <w:color w:val="auto"/>
              </w:rPr>
              <w:t>Weena 762, 9e verdieping, Rotterdam, 3014 DA</w:t>
            </w:r>
          </w:p>
        </w:tc>
        <w:tc>
          <w:tcPr>
            <w:tcW w:w="154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520"/>
        </w:trPr>
        <w:tc>
          <w:tcPr>
            <w:tcW w:w="3760" w:type="dxa"/>
            <w:vAlign w:val="bottom"/>
          </w:tcPr>
          <w:p>
            <w:pPr>
              <w:ind w:left="40"/>
              <w:spacing w:after="0"/>
              <w:rPr>
                <w:sz w:val="20"/>
                <w:szCs w:val="20"/>
                <w:color w:val="auto"/>
              </w:rPr>
            </w:pPr>
            <w:r>
              <w:rPr>
                <w:rFonts w:ascii="Arial" w:cs="Arial" w:eastAsia="Arial" w:hAnsi="Arial"/>
                <w:sz w:val="6"/>
                <w:szCs w:val="6"/>
                <w:color w:val="auto"/>
              </w:rPr>
              <w:t>ADDITIONAL INFORMATION SHELL FORM 20-F 2020</w:t>
            </w:r>
          </w:p>
        </w:tc>
        <w:tc>
          <w:tcPr>
            <w:tcW w:w="5960" w:type="dxa"/>
            <w:vAlign w:val="bottom"/>
          </w:tcPr>
          <w:p>
            <w:pPr>
              <w:ind w:left="1820"/>
              <w:spacing w:after="0"/>
              <w:rPr>
                <w:sz w:val="20"/>
                <w:szCs w:val="20"/>
                <w:color w:val="auto"/>
              </w:rPr>
            </w:pPr>
            <w:r>
              <w:rPr>
                <w:rFonts w:ascii="Arial" w:cs="Arial" w:eastAsia="Arial" w:hAnsi="Arial"/>
                <w:sz w:val="6"/>
                <w:szCs w:val="6"/>
                <w:color w:val="auto"/>
              </w:rPr>
              <w:t>E9</w:t>
            </w:r>
          </w:p>
        </w:tc>
        <w:tc>
          <w:tcPr>
            <w:tcW w:w="1540" w:type="dxa"/>
            <w:vAlign w:val="bottom"/>
          </w:tcPr>
          <w:p>
            <w:pPr>
              <w:spacing w:after="0"/>
              <w:rPr>
                <w:sz w:val="24"/>
                <w:szCs w:val="24"/>
                <w:color w:val="auto"/>
              </w:rPr>
            </w:pPr>
          </w:p>
        </w:tc>
      </w:tr>
    </w:tbl>
    <w:p>
      <w:pPr>
        <w:sectPr>
          <w:pgSz w:w="11900" w:h="16838" w:orient="portrait"/>
          <w:cols w:equalWidth="0" w:num="1">
            <w:col w:w="11260"/>
          </w:cols>
          <w:pgMar w:left="300" w:top="735" w:right="339" w:bottom="1440" w:gutter="0" w:footer="0" w:header="0"/>
        </w:sectPr>
      </w:pPr>
    </w:p>
    <w:bookmarkStart w:id="297" w:name="page298"/>
    <w:bookmarkEnd w:id="2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640" w:type="dxa"/>
            <w:vAlign w:val="bottom"/>
          </w:tcPr>
          <w:p>
            <w:pPr>
              <w:ind w:left="40"/>
              <w:spacing w:after="0"/>
              <w:rPr>
                <w:sz w:val="20"/>
                <w:szCs w:val="20"/>
                <w:color w:val="auto"/>
              </w:rPr>
            </w:pPr>
            <w:r>
              <w:rPr>
                <w:rFonts w:ascii="Arial" w:cs="Arial" w:eastAsia="Arial" w:hAnsi="Arial"/>
                <w:sz w:val="7"/>
                <w:szCs w:val="7"/>
                <w:color w:val="auto"/>
              </w:rPr>
              <w:t>HKN LP 1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HKN LP 2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HKN LP 3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HKN LP 4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HKN LP 5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HKN LP 6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Hkz Lp 18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Hkz Lp 19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Hkz Lp 20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Hkz Lp 21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Hkz Lp 22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Iara B.V.</w:t>
            </w:r>
          </w:p>
        </w:tc>
        <w:tc>
          <w:tcPr>
            <w:tcW w:w="5720" w:type="dxa"/>
            <w:vAlign w:val="bottom"/>
          </w:tcPr>
          <w:p>
            <w:pPr>
              <w:ind w:left="1080"/>
              <w:spacing w:after="0"/>
              <w:rPr>
                <w:sz w:val="20"/>
                <w:szCs w:val="20"/>
                <w:color w:val="auto"/>
              </w:rPr>
            </w:pPr>
            <w:r>
              <w:rPr>
                <w:rFonts w:ascii="Arial" w:cs="Arial" w:eastAsia="Arial" w:hAnsi="Arial"/>
                <w:sz w:val="7"/>
                <w:szCs w:val="7"/>
                <w:color w:val="auto"/>
              </w:rPr>
              <w:t>Weena 762, 9e verdieping, Rotterdam, 3014 DA</w:t>
            </w:r>
          </w:p>
        </w:tc>
        <w:tc>
          <w:tcPr>
            <w:tcW w:w="2860" w:type="dxa"/>
            <w:vAlign w:val="bottom"/>
          </w:tcPr>
          <w:p>
            <w:pPr>
              <w:jc w:val="right"/>
              <w:spacing w:after="0"/>
              <w:rPr>
                <w:sz w:val="20"/>
                <w:szCs w:val="20"/>
                <w:color w:val="auto"/>
              </w:rPr>
            </w:pPr>
            <w:r>
              <w:rPr>
                <w:rFonts w:ascii="Arial" w:cs="Arial" w:eastAsia="Arial" w:hAnsi="Arial"/>
                <w:sz w:val="7"/>
                <w:szCs w:val="7"/>
                <w:color w:val="auto"/>
              </w:rPr>
              <w:t>4</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Infineum Holdings B.V.</w:t>
            </w:r>
          </w:p>
        </w:tc>
        <w:tc>
          <w:tcPr>
            <w:tcW w:w="5720" w:type="dxa"/>
            <w:vAlign w:val="bottom"/>
          </w:tcPr>
          <w:p>
            <w:pPr>
              <w:ind w:left="1080"/>
              <w:spacing w:after="0"/>
              <w:rPr>
                <w:sz w:val="20"/>
                <w:szCs w:val="20"/>
                <w:color w:val="auto"/>
              </w:rPr>
            </w:pPr>
            <w:r>
              <w:rPr>
                <w:rFonts w:ascii="Arial" w:cs="Arial" w:eastAsia="Arial" w:hAnsi="Arial"/>
                <w:sz w:val="7"/>
                <w:szCs w:val="7"/>
                <w:color w:val="auto"/>
              </w:rPr>
              <w:t>Herikerbergweg 238, Amsterdam, 1101 CM</w:t>
            </w:r>
          </w:p>
        </w:tc>
        <w:tc>
          <w:tcPr>
            <w:tcW w:w="28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Integral Investments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Jordan Oil Shale Company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Karachaganak Petroleum Operating B.V. [b]</w:t>
            </w:r>
          </w:p>
        </w:tc>
        <w:tc>
          <w:tcPr>
            <w:tcW w:w="5720" w:type="dxa"/>
            <w:vAlign w:val="bottom"/>
          </w:tcPr>
          <w:p>
            <w:pPr>
              <w:ind w:left="1080"/>
              <w:spacing w:after="0"/>
              <w:rPr>
                <w:sz w:val="20"/>
                <w:szCs w:val="20"/>
                <w:color w:val="auto"/>
              </w:rPr>
            </w:pPr>
            <w:r>
              <w:rPr>
                <w:rFonts w:ascii="Arial" w:cs="Arial" w:eastAsia="Arial" w:hAnsi="Arial"/>
                <w:sz w:val="7"/>
                <w:szCs w:val="7"/>
                <w:color w:val="auto"/>
              </w:rPr>
              <w:t>Strawinskylaan 1345, Amsterdam, 1077 XX</w:t>
            </w:r>
          </w:p>
        </w:tc>
        <w:tc>
          <w:tcPr>
            <w:tcW w:w="2860" w:type="dxa"/>
            <w:vAlign w:val="bottom"/>
          </w:tcPr>
          <w:p>
            <w:pPr>
              <w:jc w:val="right"/>
              <w:spacing w:after="0"/>
              <w:rPr>
                <w:sz w:val="20"/>
                <w:szCs w:val="20"/>
                <w:color w:val="auto"/>
              </w:rPr>
            </w:pPr>
            <w:r>
              <w:rPr>
                <w:rFonts w:ascii="Arial" w:cs="Arial" w:eastAsia="Arial" w:hAnsi="Arial"/>
                <w:sz w:val="7"/>
                <w:szCs w:val="7"/>
                <w:color w:val="auto"/>
              </w:rPr>
              <w:t>29</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Lapa Oil &amp; Gas B.V.</w:t>
            </w:r>
          </w:p>
        </w:tc>
        <w:tc>
          <w:tcPr>
            <w:tcW w:w="5720" w:type="dxa"/>
            <w:vAlign w:val="bottom"/>
          </w:tcPr>
          <w:p>
            <w:pPr>
              <w:ind w:left="1080"/>
              <w:spacing w:after="0"/>
              <w:rPr>
                <w:sz w:val="20"/>
                <w:szCs w:val="20"/>
                <w:color w:val="auto"/>
              </w:rPr>
            </w:pPr>
            <w:r>
              <w:rPr>
                <w:rFonts w:ascii="Arial" w:cs="Arial" w:eastAsia="Arial" w:hAnsi="Arial"/>
                <w:sz w:val="7"/>
                <w:szCs w:val="7"/>
                <w:color w:val="auto"/>
              </w:rPr>
              <w:t>Weena 762, 9e verdieping, Rotterdam, 3014 DA</w:t>
            </w:r>
          </w:p>
        </w:tc>
        <w:tc>
          <w:tcPr>
            <w:tcW w:w="286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Libra Oil &amp; Gas B.V.</w:t>
            </w:r>
          </w:p>
        </w:tc>
        <w:tc>
          <w:tcPr>
            <w:tcW w:w="5720" w:type="dxa"/>
            <w:vAlign w:val="bottom"/>
          </w:tcPr>
          <w:p>
            <w:pPr>
              <w:ind w:left="1080"/>
              <w:spacing w:after="0"/>
              <w:rPr>
                <w:sz w:val="20"/>
                <w:szCs w:val="20"/>
                <w:color w:val="auto"/>
              </w:rPr>
            </w:pPr>
            <w:r>
              <w:rPr>
                <w:rFonts w:ascii="Arial" w:cs="Arial" w:eastAsia="Arial" w:hAnsi="Arial"/>
                <w:sz w:val="7"/>
                <w:szCs w:val="7"/>
                <w:color w:val="auto"/>
              </w:rPr>
              <w:t>Weena 762, 9e verdieping, Rotterdam, 3014 DA</w:t>
            </w:r>
          </w:p>
        </w:tc>
        <w:tc>
          <w:tcPr>
            <w:tcW w:w="286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LNG Shipping Operation Services Netherlands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Loyalty Management Netherlands B.V.</w:t>
            </w:r>
          </w:p>
        </w:tc>
        <w:tc>
          <w:tcPr>
            <w:tcW w:w="5720" w:type="dxa"/>
            <w:vAlign w:val="bottom"/>
          </w:tcPr>
          <w:p>
            <w:pPr>
              <w:ind w:left="1080"/>
              <w:spacing w:after="0"/>
              <w:rPr>
                <w:sz w:val="20"/>
                <w:szCs w:val="20"/>
                <w:color w:val="auto"/>
              </w:rPr>
            </w:pPr>
            <w:r>
              <w:rPr>
                <w:rFonts w:ascii="Arial" w:cs="Arial" w:eastAsia="Arial" w:hAnsi="Arial"/>
                <w:sz w:val="7"/>
                <w:szCs w:val="7"/>
                <w:color w:val="auto"/>
              </w:rPr>
              <w:t>Polaris Avenue 81, P.O. Box 2047, 2130 GE, Hoofddorp, 2132 JH</w:t>
            </w:r>
          </w:p>
        </w:tc>
        <w:tc>
          <w:tcPr>
            <w:tcW w:w="286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Maasvlakte Olie Terminal C.V. [d]</w:t>
            </w:r>
          </w:p>
        </w:tc>
        <w:tc>
          <w:tcPr>
            <w:tcW w:w="5720" w:type="dxa"/>
            <w:vAlign w:val="bottom"/>
          </w:tcPr>
          <w:p>
            <w:pPr>
              <w:ind w:left="1080"/>
              <w:spacing w:after="0"/>
              <w:rPr>
                <w:sz w:val="20"/>
                <w:szCs w:val="20"/>
                <w:color w:val="auto"/>
              </w:rPr>
            </w:pPr>
            <w:r>
              <w:rPr>
                <w:rFonts w:ascii="Arial" w:cs="Arial" w:eastAsia="Arial" w:hAnsi="Arial"/>
                <w:sz w:val="7"/>
                <w:szCs w:val="7"/>
                <w:color w:val="auto"/>
              </w:rPr>
              <w:t>Europaweg 975, Maasvlakte, Rotterdam, 3199 LC</w:t>
            </w:r>
          </w:p>
        </w:tc>
        <w:tc>
          <w:tcPr>
            <w:tcW w:w="2860" w:type="dxa"/>
            <w:vAlign w:val="bottom"/>
          </w:tcPr>
          <w:p>
            <w:pPr>
              <w:jc w:val="right"/>
              <w:spacing w:after="0"/>
              <w:rPr>
                <w:sz w:val="20"/>
                <w:szCs w:val="20"/>
                <w:color w:val="auto"/>
              </w:rPr>
            </w:pPr>
            <w:r>
              <w:rPr>
                <w:rFonts w:ascii="Arial" w:cs="Arial" w:eastAsia="Arial" w:hAnsi="Arial"/>
                <w:sz w:val="7"/>
                <w:szCs w:val="7"/>
                <w:color w:val="auto"/>
              </w:rPr>
              <w:t>16</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Multi Tank Card B.V.</w:t>
            </w:r>
          </w:p>
        </w:tc>
        <w:tc>
          <w:tcPr>
            <w:tcW w:w="5720" w:type="dxa"/>
            <w:vAlign w:val="bottom"/>
          </w:tcPr>
          <w:p>
            <w:pPr>
              <w:ind w:left="1080"/>
              <w:spacing w:after="0"/>
              <w:rPr>
                <w:sz w:val="20"/>
                <w:szCs w:val="20"/>
                <w:color w:val="auto"/>
              </w:rPr>
            </w:pPr>
            <w:r>
              <w:rPr>
                <w:rFonts w:ascii="Arial" w:cs="Arial" w:eastAsia="Arial" w:hAnsi="Arial"/>
                <w:sz w:val="7"/>
                <w:szCs w:val="7"/>
                <w:color w:val="auto"/>
              </w:rPr>
              <w:t>Antareslaan 39, P.O. Box 3068, 2130 KB, Hoofddorp, 2132 JE</w:t>
            </w:r>
          </w:p>
        </w:tc>
        <w:tc>
          <w:tcPr>
            <w:tcW w:w="286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N.V. Rotterdam-Rijn Pijpleiding Maatschappij [b]</w:t>
            </w:r>
          </w:p>
        </w:tc>
        <w:tc>
          <w:tcPr>
            <w:tcW w:w="5720" w:type="dxa"/>
            <w:vAlign w:val="bottom"/>
          </w:tcPr>
          <w:p>
            <w:pPr>
              <w:ind w:left="1080"/>
              <w:spacing w:after="0"/>
              <w:rPr>
                <w:sz w:val="20"/>
                <w:szCs w:val="20"/>
                <w:color w:val="auto"/>
              </w:rPr>
            </w:pPr>
            <w:r>
              <w:rPr>
                <w:rFonts w:ascii="Arial" w:cs="Arial" w:eastAsia="Arial" w:hAnsi="Arial"/>
                <w:sz w:val="7"/>
                <w:szCs w:val="7"/>
                <w:color w:val="auto"/>
              </w:rPr>
              <w:t>Butaanweg 215, Vondelingplaat, Rotterdam, 3196 KC</w:t>
            </w:r>
          </w:p>
        </w:tc>
        <w:tc>
          <w:tcPr>
            <w:tcW w:w="2860" w:type="dxa"/>
            <w:vAlign w:val="bottom"/>
          </w:tcPr>
          <w:p>
            <w:pPr>
              <w:jc w:val="right"/>
              <w:spacing w:after="0"/>
              <w:rPr>
                <w:sz w:val="20"/>
                <w:szCs w:val="20"/>
                <w:color w:val="auto"/>
              </w:rPr>
            </w:pPr>
            <w:r>
              <w:rPr>
                <w:rFonts w:ascii="Arial" w:cs="Arial" w:eastAsia="Arial" w:hAnsi="Arial"/>
                <w:sz w:val="7"/>
                <w:szCs w:val="7"/>
                <w:color w:val="auto"/>
              </w:rPr>
              <w:t>56</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Nederlandse Aardolie Maatschappij B.V.</w:t>
            </w:r>
          </w:p>
        </w:tc>
        <w:tc>
          <w:tcPr>
            <w:tcW w:w="5720" w:type="dxa"/>
            <w:vAlign w:val="bottom"/>
          </w:tcPr>
          <w:p>
            <w:pPr>
              <w:ind w:left="1080"/>
              <w:spacing w:after="0"/>
              <w:rPr>
                <w:sz w:val="20"/>
                <w:szCs w:val="20"/>
                <w:color w:val="auto"/>
              </w:rPr>
            </w:pPr>
            <w:r>
              <w:rPr>
                <w:rFonts w:ascii="Arial" w:cs="Arial" w:eastAsia="Arial" w:hAnsi="Arial"/>
                <w:sz w:val="7"/>
                <w:szCs w:val="7"/>
                <w:color w:val="auto"/>
              </w:rPr>
              <w:t>Schepersmaat 2, Assen, 9405 TA</w:t>
            </w:r>
          </w:p>
        </w:tc>
        <w:tc>
          <w:tcPr>
            <w:tcW w:w="28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Netherlands Alng Holding Company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Noordzeewind B.V.</w:t>
            </w:r>
          </w:p>
        </w:tc>
        <w:tc>
          <w:tcPr>
            <w:tcW w:w="5720" w:type="dxa"/>
            <w:vAlign w:val="bottom"/>
          </w:tcPr>
          <w:p>
            <w:pPr>
              <w:ind w:left="1080"/>
              <w:spacing w:after="0"/>
              <w:rPr>
                <w:sz w:val="20"/>
                <w:szCs w:val="20"/>
                <w:color w:val="auto"/>
              </w:rPr>
            </w:pPr>
            <w:r>
              <w:rPr>
                <w:rFonts w:ascii="Arial" w:cs="Arial" w:eastAsia="Arial" w:hAnsi="Arial"/>
                <w:sz w:val="7"/>
                <w:szCs w:val="7"/>
                <w:color w:val="auto"/>
              </w:rPr>
              <w:t>2e Havenstraat 5b, Ijmuiden, 1976 CE</w:t>
            </w:r>
          </w:p>
        </w:tc>
        <w:tc>
          <w:tcPr>
            <w:tcW w:w="28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Noordzeewind C.V. [d]</w:t>
            </w:r>
          </w:p>
        </w:tc>
        <w:tc>
          <w:tcPr>
            <w:tcW w:w="5720" w:type="dxa"/>
            <w:vAlign w:val="bottom"/>
          </w:tcPr>
          <w:p>
            <w:pPr>
              <w:ind w:left="1080"/>
              <w:spacing w:after="0"/>
              <w:rPr>
                <w:sz w:val="20"/>
                <w:szCs w:val="20"/>
                <w:color w:val="auto"/>
              </w:rPr>
            </w:pPr>
            <w:r>
              <w:rPr>
                <w:rFonts w:ascii="Arial" w:cs="Arial" w:eastAsia="Arial" w:hAnsi="Arial"/>
                <w:sz w:val="7"/>
                <w:szCs w:val="7"/>
                <w:color w:val="auto"/>
              </w:rPr>
              <w:t>2e Havenstraat 5b, Ijmuiden, 1976 CE</w:t>
            </w:r>
          </w:p>
        </w:tc>
        <w:tc>
          <w:tcPr>
            <w:tcW w:w="28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North Caspian Operating Company N.V. [b]</w:t>
            </w:r>
          </w:p>
        </w:tc>
        <w:tc>
          <w:tcPr>
            <w:tcW w:w="5720" w:type="dxa"/>
            <w:vAlign w:val="bottom"/>
          </w:tcPr>
          <w:p>
            <w:pPr>
              <w:ind w:left="1080"/>
              <w:spacing w:after="0"/>
              <w:rPr>
                <w:sz w:val="20"/>
                <w:szCs w:val="20"/>
                <w:color w:val="auto"/>
              </w:rPr>
            </w:pPr>
            <w:r>
              <w:rPr>
                <w:rFonts w:ascii="Arial" w:cs="Arial" w:eastAsia="Arial" w:hAnsi="Arial"/>
                <w:sz w:val="7"/>
                <w:szCs w:val="7"/>
                <w:color w:val="auto"/>
              </w:rPr>
              <w:t>Oostduinlaan 2, The Hague, 2596 JM</w:t>
            </w:r>
          </w:p>
        </w:tc>
        <w:tc>
          <w:tcPr>
            <w:tcW w:w="2860" w:type="dxa"/>
            <w:vAlign w:val="bottom"/>
          </w:tcPr>
          <w:p>
            <w:pPr>
              <w:jc w:val="right"/>
              <w:spacing w:after="0"/>
              <w:rPr>
                <w:sz w:val="20"/>
                <w:szCs w:val="20"/>
                <w:color w:val="auto"/>
              </w:rPr>
            </w:pPr>
            <w:r>
              <w:rPr>
                <w:rFonts w:ascii="Arial" w:cs="Arial" w:eastAsia="Arial" w:hAnsi="Arial"/>
                <w:sz w:val="7"/>
                <w:szCs w:val="7"/>
                <w:color w:val="auto"/>
              </w:rPr>
              <w:t>17</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Paqell B.V.</w:t>
            </w:r>
          </w:p>
        </w:tc>
        <w:tc>
          <w:tcPr>
            <w:tcW w:w="5720" w:type="dxa"/>
            <w:vAlign w:val="bottom"/>
          </w:tcPr>
          <w:p>
            <w:pPr>
              <w:ind w:left="1080"/>
              <w:spacing w:after="0"/>
              <w:rPr>
                <w:sz w:val="20"/>
                <w:szCs w:val="20"/>
                <w:color w:val="auto"/>
              </w:rPr>
            </w:pPr>
            <w:r>
              <w:rPr>
                <w:rFonts w:ascii="Arial" w:cs="Arial" w:eastAsia="Arial" w:hAnsi="Arial"/>
                <w:sz w:val="7"/>
                <w:szCs w:val="7"/>
                <w:color w:val="auto"/>
              </w:rPr>
              <w:t>Reactorweg 301, unit 1.3, Utrecht, 3542 AD</w:t>
            </w:r>
          </w:p>
        </w:tc>
        <w:tc>
          <w:tcPr>
            <w:tcW w:w="28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Pottendijk Energie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Pottendijk Wind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Pottendijk Zon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Raffinaderij Shell Mersin N.V.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RESCO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Rotterdam Hydrogen Company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Salym Petroleum Development N.V. [b]</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Salym Petroleum Services B.V. [b]</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&amp; AMG Recycling B.V [d]</w:t>
            </w:r>
          </w:p>
        </w:tc>
        <w:tc>
          <w:tcPr>
            <w:tcW w:w="5720" w:type="dxa"/>
            <w:vAlign w:val="bottom"/>
          </w:tcPr>
          <w:p>
            <w:pPr>
              <w:ind w:left="1080"/>
              <w:spacing w:after="0"/>
              <w:rPr>
                <w:sz w:val="20"/>
                <w:szCs w:val="20"/>
                <w:color w:val="auto"/>
              </w:rPr>
            </w:pPr>
            <w:r>
              <w:rPr>
                <w:rFonts w:ascii="Arial" w:cs="Arial" w:eastAsia="Arial" w:hAnsi="Arial"/>
                <w:sz w:val="7"/>
                <w:szCs w:val="7"/>
                <w:color w:val="auto"/>
              </w:rPr>
              <w:t>Strawinskylaan 1343, Amsterdam, 1077 XX</w:t>
            </w:r>
          </w:p>
        </w:tc>
        <w:tc>
          <w:tcPr>
            <w:tcW w:w="28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Abu Dhabi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Additives Holdings (I)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Additives Holdings (II)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Albania Block 4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and Vivo Lubricants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Brazil Holding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Business Development Central Asia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Caspian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Caspian Pipeline Holdings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Chemicals Europe B.V.</w:t>
            </w:r>
          </w:p>
        </w:tc>
        <w:tc>
          <w:tcPr>
            <w:tcW w:w="5720" w:type="dxa"/>
            <w:vAlign w:val="bottom"/>
          </w:tcPr>
          <w:p>
            <w:pPr>
              <w:ind w:left="1080"/>
              <w:spacing w:after="0"/>
              <w:rPr>
                <w:sz w:val="20"/>
                <w:szCs w:val="20"/>
                <w:color w:val="auto"/>
              </w:rPr>
            </w:pPr>
            <w:r>
              <w:rPr>
                <w:rFonts w:ascii="Arial" w:cs="Arial" w:eastAsia="Arial" w:hAnsi="Arial"/>
                <w:sz w:val="7"/>
                <w:szCs w:val="7"/>
                <w:color w:val="auto"/>
              </w:rPr>
              <w:t>Weena 70, Rotterdam, 3012 CM</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China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China Holdings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Deepwater Tanzania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Development Iran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Downstream Services International B.V.</w:t>
            </w:r>
          </w:p>
        </w:tc>
        <w:tc>
          <w:tcPr>
            <w:tcW w:w="5720" w:type="dxa"/>
            <w:vAlign w:val="bottom"/>
          </w:tcPr>
          <w:p>
            <w:pPr>
              <w:ind w:left="1080"/>
              <w:spacing w:after="0"/>
              <w:rPr>
                <w:sz w:val="20"/>
                <w:szCs w:val="20"/>
                <w:color w:val="auto"/>
              </w:rPr>
            </w:pPr>
            <w:r>
              <w:rPr>
                <w:rFonts w:ascii="Arial" w:cs="Arial" w:eastAsia="Arial" w:hAnsi="Arial"/>
                <w:sz w:val="7"/>
                <w:szCs w:val="7"/>
                <w:color w:val="auto"/>
              </w:rPr>
              <w:t>Weena 70, Rotterdam, 3012 CM</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E and P Offshore Services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Egypt N.V. [e]</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Energy Europe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EP Holdings (EE&amp;ME)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EP Middle East Holdings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EP Oman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EP Russia Investments (III)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40" w:type="dxa"/>
            <w:vAlign w:val="bottom"/>
          </w:tcPr>
          <w:p>
            <w:pPr>
              <w:ind w:left="40"/>
              <w:spacing w:after="0"/>
              <w:rPr>
                <w:sz w:val="20"/>
                <w:szCs w:val="20"/>
                <w:color w:val="auto"/>
              </w:rPr>
            </w:pPr>
            <w:r>
              <w:rPr>
                <w:rFonts w:ascii="Arial" w:cs="Arial" w:eastAsia="Arial" w:hAnsi="Arial"/>
                <w:sz w:val="7"/>
                <w:szCs w:val="7"/>
                <w:color w:val="auto"/>
              </w:rPr>
              <w:t>Shell EP Russia Investments (V) B.V.</w:t>
            </w:r>
          </w:p>
        </w:tc>
        <w:tc>
          <w:tcPr>
            <w:tcW w:w="5720" w:type="dxa"/>
            <w:vAlign w:val="bottom"/>
          </w:tcPr>
          <w:p>
            <w:pPr>
              <w:ind w:left="1080"/>
              <w:spacing w:after="0"/>
              <w:rPr>
                <w:sz w:val="20"/>
                <w:szCs w:val="20"/>
                <w:color w:val="auto"/>
              </w:rPr>
            </w:pPr>
            <w:r>
              <w:rPr>
                <w:rFonts w:ascii="Arial" w:cs="Arial" w:eastAsia="Arial" w:hAnsi="Arial"/>
                <w:sz w:val="7"/>
                <w:szCs w:val="7"/>
                <w:color w:val="auto"/>
              </w:rPr>
              <w:t>Carel van Bylandtlaan 30, The Hague, 2596 HR</w:t>
            </w:r>
          </w:p>
        </w:tc>
        <w:tc>
          <w:tcPr>
            <w:tcW w:w="286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520"/>
        </w:trPr>
        <w:tc>
          <w:tcPr>
            <w:tcW w:w="264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5720" w:type="dxa"/>
            <w:vAlign w:val="bottom"/>
          </w:tcPr>
          <w:p>
            <w:pPr>
              <w:ind w:left="2880"/>
              <w:spacing w:after="0"/>
              <w:rPr>
                <w:sz w:val="20"/>
                <w:szCs w:val="20"/>
                <w:color w:val="auto"/>
              </w:rPr>
            </w:pPr>
            <w:r>
              <w:rPr>
                <w:rFonts w:ascii="Arial" w:cs="Arial" w:eastAsia="Arial" w:hAnsi="Arial"/>
                <w:sz w:val="6"/>
                <w:szCs w:val="6"/>
                <w:color w:val="auto"/>
              </w:rPr>
              <w:t>E10</w:t>
            </w:r>
          </w:p>
        </w:tc>
        <w:tc>
          <w:tcPr>
            <w:tcW w:w="2860" w:type="dxa"/>
            <w:vAlign w:val="bottom"/>
          </w:tcPr>
          <w:p>
            <w:pPr>
              <w:spacing w:after="0"/>
              <w:rPr>
                <w:sz w:val="24"/>
                <w:szCs w:val="24"/>
                <w:color w:val="auto"/>
              </w:rPr>
            </w:pPr>
          </w:p>
        </w:tc>
      </w:tr>
    </w:tbl>
    <w:p>
      <w:pPr>
        <w:sectPr>
          <w:pgSz w:w="11900" w:h="16838" w:orient="portrait"/>
          <w:cols w:equalWidth="0" w:num="1">
            <w:col w:w="11220"/>
          </w:cols>
          <w:pgMar w:left="340" w:top="735" w:right="339" w:bottom="1440" w:gutter="0" w:footer="0" w:header="0"/>
        </w:sectPr>
      </w:pPr>
    </w:p>
    <w:bookmarkStart w:id="298" w:name="page299"/>
    <w:bookmarkEnd w:id="2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800" w:type="dxa"/>
            <w:vAlign w:val="bottom"/>
          </w:tcPr>
          <w:p>
            <w:pPr>
              <w:ind w:left="40"/>
              <w:spacing w:after="0"/>
              <w:rPr>
                <w:sz w:val="20"/>
                <w:szCs w:val="20"/>
                <w:color w:val="auto"/>
              </w:rPr>
            </w:pPr>
            <w:r>
              <w:rPr>
                <w:rFonts w:ascii="Arial" w:cs="Arial" w:eastAsia="Arial" w:hAnsi="Arial"/>
                <w:sz w:val="7"/>
                <w:szCs w:val="7"/>
                <w:color w:val="auto"/>
              </w:rPr>
              <w:t>Shell EP Somalia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EP Wells Equipment Services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(100)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(101)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(102)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(103)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(105)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(106)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(107)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(82)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(84)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(89)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(90)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(91)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(92)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(93)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(94)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(96)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(99)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(LI)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(LVIII)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(LXI)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(LXII)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(LXV)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(LXVI)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(LXXI)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(LXXV)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(XL)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Brunei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Holdings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Investments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Mauritania (C10)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Mauritania (C19)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Services (RF)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South Africa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Ukraine I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Ukraine Investments (I)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Ukraine Investments (II)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and Production West-Siberia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Company (RF)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Company (West)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Company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Exploration Venture Services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Finance (Netherlands)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Gas &amp; Power Developments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Gas (LPG) Holdings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Gas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Gas Iraq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Gas Nigeria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Gas Venezuela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Generating (Holding)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Geothermal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Global Solutions (Eastern Europe)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Global Solutions International B.V.</w:t>
            </w:r>
          </w:p>
        </w:tc>
        <w:tc>
          <w:tcPr>
            <w:tcW w:w="2520" w:type="dxa"/>
            <w:vAlign w:val="bottom"/>
          </w:tcPr>
          <w:p>
            <w:pPr>
              <w:ind w:left="920"/>
              <w:spacing w:after="0"/>
              <w:rPr>
                <w:sz w:val="20"/>
                <w:szCs w:val="20"/>
                <w:color w:val="auto"/>
              </w:rPr>
            </w:pPr>
            <w:r>
              <w:rPr>
                <w:rFonts w:ascii="Arial" w:cs="Arial" w:eastAsia="Arial" w:hAnsi="Arial"/>
                <w:sz w:val="7"/>
                <w:szCs w:val="7"/>
                <w:color w:val="auto"/>
              </w:rPr>
              <w:t>Lange Kleiweg 40, Rijswijk, 2288 GK</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Global Solutions Services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Hydrogen Operations &amp; Production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Information Technology International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Integrated Gas Oman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International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International Exploration and Production B.V.</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16,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40"/>
              <w:spacing w:after="0"/>
              <w:rPr>
                <w:sz w:val="20"/>
                <w:szCs w:val="20"/>
                <w:color w:val="auto"/>
              </w:rPr>
            </w:pPr>
            <w:r>
              <w:rPr>
                <w:rFonts w:ascii="Arial" w:cs="Arial" w:eastAsia="Arial" w:hAnsi="Arial"/>
                <w:sz w:val="7"/>
                <w:szCs w:val="7"/>
                <w:color w:val="auto"/>
              </w:rPr>
              <w:t>Shell International Finance B.V. [a]</w:t>
            </w:r>
          </w:p>
        </w:tc>
        <w:tc>
          <w:tcPr>
            <w:tcW w:w="2520" w:type="dxa"/>
            <w:vAlign w:val="bottom"/>
          </w:tcPr>
          <w:p>
            <w:pPr>
              <w:ind w:left="920"/>
              <w:spacing w:after="0"/>
              <w:rPr>
                <w:sz w:val="20"/>
                <w:szCs w:val="20"/>
                <w:color w:val="auto"/>
              </w:rPr>
            </w:pPr>
            <w:r>
              <w:rPr>
                <w:rFonts w:ascii="Arial" w:cs="Arial" w:eastAsia="Arial" w:hAnsi="Arial"/>
                <w:sz w:val="7"/>
                <w:szCs w:val="7"/>
                <w:color w:val="auto"/>
              </w:rPr>
              <w:t>Carel van Bylandtlaan 30, The Hague, 2596 HR</w:t>
            </w:r>
          </w:p>
        </w:tc>
        <w:tc>
          <w:tcPr>
            <w:tcW w:w="59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520"/>
        </w:trPr>
        <w:tc>
          <w:tcPr>
            <w:tcW w:w="280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520" w:type="dxa"/>
            <w:vAlign w:val="bottom"/>
          </w:tcPr>
          <w:p>
            <w:pPr>
              <w:spacing w:after="0"/>
              <w:rPr>
                <w:sz w:val="24"/>
                <w:szCs w:val="24"/>
                <w:color w:val="auto"/>
              </w:rPr>
            </w:pPr>
          </w:p>
        </w:tc>
        <w:tc>
          <w:tcPr>
            <w:tcW w:w="5920" w:type="dxa"/>
            <w:vAlign w:val="bottom"/>
          </w:tcPr>
          <w:p>
            <w:pPr>
              <w:jc w:val="right"/>
              <w:ind w:right="5584"/>
              <w:spacing w:after="0"/>
              <w:rPr>
                <w:sz w:val="20"/>
                <w:szCs w:val="20"/>
                <w:color w:val="auto"/>
              </w:rPr>
            </w:pPr>
            <w:r>
              <w:rPr>
                <w:rFonts w:ascii="Arial" w:cs="Arial" w:eastAsia="Arial" w:hAnsi="Arial"/>
                <w:sz w:val="6"/>
                <w:szCs w:val="6"/>
                <w:color w:val="auto"/>
              </w:rPr>
              <w:t>E11</w:t>
            </w:r>
          </w:p>
        </w:tc>
      </w:tr>
    </w:tbl>
    <w:p>
      <w:pPr>
        <w:sectPr>
          <w:pgSz w:w="11900" w:h="16838" w:orient="portrait"/>
          <w:cols w:equalWidth="0" w:num="1">
            <w:col w:w="11240"/>
          </w:cols>
          <w:pgMar w:left="340" w:top="735" w:right="319" w:bottom="1440" w:gutter="0" w:footer="0" w:header="0"/>
        </w:sectPr>
      </w:pPr>
    </w:p>
    <w:bookmarkStart w:id="299" w:name="page300"/>
    <w:bookmarkEnd w:id="2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620" w:type="dxa"/>
            <w:vAlign w:val="bottom"/>
          </w:tcPr>
          <w:p>
            <w:pPr>
              <w:ind w:left="40"/>
              <w:spacing w:after="0"/>
              <w:rPr>
                <w:sz w:val="20"/>
                <w:szCs w:val="20"/>
                <w:color w:val="auto"/>
              </w:rPr>
            </w:pPr>
            <w:r>
              <w:rPr>
                <w:rFonts w:ascii="Arial" w:cs="Arial" w:eastAsia="Arial" w:hAnsi="Arial"/>
                <w:sz w:val="7"/>
                <w:szCs w:val="7"/>
                <w:color w:val="auto"/>
              </w:rPr>
              <w:t>Shell Internationale Research Maatschappij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Internet Ventures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Iraq Petroleum Development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Iraq Services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Kazakhstan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Kazakhstan Development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Kuwait Exploration and Production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LNG Bunkering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LNG Port Spain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Lubricants Supply Company B.V.</w:t>
            </w:r>
          </w:p>
        </w:tc>
        <w:tc>
          <w:tcPr>
            <w:tcW w:w="2900" w:type="dxa"/>
            <w:vAlign w:val="bottom"/>
          </w:tcPr>
          <w:p>
            <w:pPr>
              <w:ind w:left="1100"/>
              <w:spacing w:after="0"/>
              <w:rPr>
                <w:sz w:val="20"/>
                <w:szCs w:val="20"/>
                <w:color w:val="auto"/>
              </w:rPr>
            </w:pPr>
            <w:r>
              <w:rPr>
                <w:rFonts w:ascii="Arial" w:cs="Arial" w:eastAsia="Arial" w:hAnsi="Arial"/>
                <w:sz w:val="7"/>
                <w:szCs w:val="7"/>
                <w:color w:val="auto"/>
              </w:rPr>
              <w:t>Weena 70, Rotterdam, 3012 CM</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Manufacturing Services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Mozambique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MSPO 2 Holding B.V.</w:t>
            </w:r>
          </w:p>
        </w:tc>
        <w:tc>
          <w:tcPr>
            <w:tcW w:w="2900" w:type="dxa"/>
            <w:vAlign w:val="bottom"/>
          </w:tcPr>
          <w:p>
            <w:pPr>
              <w:ind w:left="1100"/>
              <w:spacing w:after="0"/>
              <w:rPr>
                <w:sz w:val="20"/>
                <w:szCs w:val="20"/>
                <w:color w:val="auto"/>
              </w:rPr>
            </w:pPr>
            <w:r>
              <w:rPr>
                <w:rFonts w:ascii="Arial" w:cs="Arial" w:eastAsia="Arial" w:hAnsi="Arial"/>
                <w:sz w:val="7"/>
                <w:szCs w:val="7"/>
                <w:color w:val="auto"/>
                <w:w w:val="93"/>
              </w:rPr>
              <w:t>Vondelingenweg 601, Vondelingenplaat, Rotterdam, 3196 KK</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Namibia Upstream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Nanhai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Nederland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Nederland Chemie B.V. [g]</w:t>
            </w:r>
          </w:p>
        </w:tc>
        <w:tc>
          <w:tcPr>
            <w:tcW w:w="2900" w:type="dxa"/>
            <w:vAlign w:val="bottom"/>
          </w:tcPr>
          <w:p>
            <w:pPr>
              <w:ind w:left="1100"/>
              <w:spacing w:after="0"/>
              <w:rPr>
                <w:sz w:val="20"/>
                <w:szCs w:val="20"/>
                <w:color w:val="auto"/>
              </w:rPr>
            </w:pPr>
            <w:r>
              <w:rPr>
                <w:rFonts w:ascii="Arial" w:cs="Arial" w:eastAsia="Arial" w:hAnsi="Arial"/>
                <w:sz w:val="7"/>
                <w:szCs w:val="7"/>
                <w:color w:val="auto"/>
              </w:rPr>
              <w:t>Chemieweg 25, P.O. Box 6060, Moerdijk, 4780 LN</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Nederland Raffinaderij B.V.</w:t>
            </w:r>
          </w:p>
        </w:tc>
        <w:tc>
          <w:tcPr>
            <w:tcW w:w="2900" w:type="dxa"/>
            <w:vAlign w:val="bottom"/>
          </w:tcPr>
          <w:p>
            <w:pPr>
              <w:ind w:left="1100"/>
              <w:spacing w:after="0"/>
              <w:rPr>
                <w:sz w:val="20"/>
                <w:szCs w:val="20"/>
                <w:color w:val="auto"/>
              </w:rPr>
            </w:pPr>
            <w:r>
              <w:rPr>
                <w:rFonts w:ascii="Arial" w:cs="Arial" w:eastAsia="Arial" w:hAnsi="Arial"/>
                <w:sz w:val="7"/>
                <w:szCs w:val="7"/>
                <w:color w:val="auto"/>
                <w:w w:val="93"/>
              </w:rPr>
              <w:t>Vondelingenweg 601, Vondelingenplaat, Rotterdam, 3196 KK</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Nederland Verkoopmaatschappij B.V.</w:t>
            </w:r>
          </w:p>
        </w:tc>
        <w:tc>
          <w:tcPr>
            <w:tcW w:w="2900" w:type="dxa"/>
            <w:vAlign w:val="bottom"/>
          </w:tcPr>
          <w:p>
            <w:pPr>
              <w:ind w:left="1100"/>
              <w:spacing w:after="0"/>
              <w:rPr>
                <w:sz w:val="20"/>
                <w:szCs w:val="20"/>
                <w:color w:val="auto"/>
              </w:rPr>
            </w:pPr>
            <w:r>
              <w:rPr>
                <w:rFonts w:ascii="Arial" w:cs="Arial" w:eastAsia="Arial" w:hAnsi="Arial"/>
                <w:sz w:val="7"/>
                <w:szCs w:val="7"/>
                <w:color w:val="auto"/>
              </w:rPr>
              <w:t>Weena 70, Rotterdam, 3012 CM</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Netherlands Canada Financing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New Energies Holding Europe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New Energies NL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Offshore (Personnel) Services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Offshore Services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Offshore Upstream South Africa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OKLNG Holdings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Olie OG Gas Holding B.V. [i]</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Oman Exploration and Production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Overseas Holdings (Oman)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Overseas Investments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Pensioenbureau Nederland B.V.</w:t>
            </w:r>
          </w:p>
        </w:tc>
        <w:tc>
          <w:tcPr>
            <w:tcW w:w="2900" w:type="dxa"/>
            <w:vAlign w:val="bottom"/>
          </w:tcPr>
          <w:p>
            <w:pPr>
              <w:ind w:left="1100"/>
              <w:spacing w:after="0"/>
              <w:rPr>
                <w:sz w:val="20"/>
                <w:szCs w:val="20"/>
                <w:color w:val="auto"/>
              </w:rPr>
            </w:pPr>
            <w:r>
              <w:rPr>
                <w:rFonts w:ascii="Arial" w:cs="Arial" w:eastAsia="Arial" w:hAnsi="Arial"/>
                <w:sz w:val="7"/>
                <w:szCs w:val="7"/>
                <w:color w:val="auto"/>
              </w:rPr>
              <w:t>Postbus 157, The Hague, 2501 CD</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Petroleum N.V. [a]</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Philippines Exploration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Project Development (VIII)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RDS Holding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Sakhalin Holdings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Sakhalin Services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Salym Development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Sao Tome and Principe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Services Oman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Shared Services (Asia)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South Syria Exploration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TapUp B.V.</w:t>
            </w:r>
          </w:p>
        </w:tc>
        <w:tc>
          <w:tcPr>
            <w:tcW w:w="2900" w:type="dxa"/>
            <w:vAlign w:val="bottom"/>
          </w:tcPr>
          <w:p>
            <w:pPr>
              <w:ind w:left="1100"/>
              <w:spacing w:after="0"/>
              <w:rPr>
                <w:sz w:val="20"/>
                <w:szCs w:val="20"/>
                <w:color w:val="auto"/>
              </w:rPr>
            </w:pPr>
            <w:r>
              <w:rPr>
                <w:rFonts w:ascii="Arial" w:cs="Arial" w:eastAsia="Arial" w:hAnsi="Arial"/>
                <w:sz w:val="7"/>
                <w:szCs w:val="7"/>
                <w:color w:val="auto"/>
              </w:rPr>
              <w:t>Hofplein 20, Rotterdam, 3032 AC</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Technology Ventures Fund 1 B.V.</w:t>
            </w:r>
          </w:p>
        </w:tc>
        <w:tc>
          <w:tcPr>
            <w:tcW w:w="2900" w:type="dxa"/>
            <w:vAlign w:val="bottom"/>
          </w:tcPr>
          <w:p>
            <w:pPr>
              <w:ind w:left="1100"/>
              <w:spacing w:after="0"/>
              <w:rPr>
                <w:sz w:val="20"/>
                <w:szCs w:val="20"/>
                <w:color w:val="auto"/>
              </w:rPr>
            </w:pPr>
            <w:r>
              <w:rPr>
                <w:rFonts w:ascii="Arial" w:cs="Arial" w:eastAsia="Arial" w:hAnsi="Arial"/>
                <w:sz w:val="7"/>
                <w:szCs w:val="7"/>
                <w:color w:val="auto"/>
              </w:rPr>
              <w:t>Strawinskylaan 3127 8e etage, Amsterdam, 1077 ZX</w:t>
            </w:r>
          </w:p>
        </w:tc>
        <w:tc>
          <w:tcPr>
            <w:tcW w:w="5720" w:type="dxa"/>
            <w:vAlign w:val="bottom"/>
          </w:tcPr>
          <w:p>
            <w:pPr>
              <w:jc w:val="right"/>
              <w:spacing w:after="0"/>
              <w:rPr>
                <w:sz w:val="20"/>
                <w:szCs w:val="20"/>
                <w:color w:val="auto"/>
              </w:rPr>
            </w:pPr>
            <w:r>
              <w:rPr>
                <w:rFonts w:ascii="Arial" w:cs="Arial" w:eastAsia="Arial" w:hAnsi="Arial"/>
                <w:sz w:val="7"/>
                <w:szCs w:val="7"/>
                <w:color w:val="auto"/>
              </w:rPr>
              <w:t>52</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Trademark Management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Trading Rotterdam B.V.</w:t>
            </w:r>
          </w:p>
        </w:tc>
        <w:tc>
          <w:tcPr>
            <w:tcW w:w="2900" w:type="dxa"/>
            <w:vAlign w:val="bottom"/>
          </w:tcPr>
          <w:p>
            <w:pPr>
              <w:ind w:left="1100"/>
              <w:spacing w:after="0"/>
              <w:rPr>
                <w:sz w:val="20"/>
                <w:szCs w:val="20"/>
                <w:color w:val="auto"/>
              </w:rPr>
            </w:pPr>
            <w:r>
              <w:rPr>
                <w:rFonts w:ascii="Arial" w:cs="Arial" w:eastAsia="Arial" w:hAnsi="Arial"/>
                <w:sz w:val="7"/>
                <w:szCs w:val="7"/>
                <w:color w:val="auto"/>
              </w:rPr>
              <w:t>Weena 70, Rotterdam, 3012 CM</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Trading Russia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Upstream Albania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Upstream Development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Upstream Indonesia Services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Upstream Turkey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Ventures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Ventures Investments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Western LNG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Windenergy Netherlands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Shell Windenergy NZW I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Snijders Olie B.V.</w:t>
            </w:r>
          </w:p>
        </w:tc>
        <w:tc>
          <w:tcPr>
            <w:tcW w:w="2900" w:type="dxa"/>
            <w:vAlign w:val="bottom"/>
          </w:tcPr>
          <w:p>
            <w:pPr>
              <w:ind w:left="1100"/>
              <w:spacing w:after="0"/>
              <w:rPr>
                <w:sz w:val="20"/>
                <w:szCs w:val="20"/>
                <w:color w:val="auto"/>
              </w:rPr>
            </w:pPr>
            <w:r>
              <w:rPr>
                <w:rFonts w:ascii="Arial" w:cs="Arial" w:eastAsia="Arial" w:hAnsi="Arial"/>
                <w:sz w:val="7"/>
                <w:szCs w:val="7"/>
                <w:color w:val="auto"/>
              </w:rPr>
              <w:t>Weena 70, Rotterdam, 3012 CM</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Solar-EW II B.V.</w:t>
            </w:r>
          </w:p>
        </w:tc>
        <w:tc>
          <w:tcPr>
            <w:tcW w:w="2900" w:type="dxa"/>
            <w:vAlign w:val="bottom"/>
          </w:tcPr>
          <w:p>
            <w:pPr>
              <w:ind w:left="1100"/>
              <w:spacing w:after="0"/>
              <w:rPr>
                <w:sz w:val="20"/>
                <w:szCs w:val="20"/>
                <w:color w:val="auto"/>
              </w:rPr>
            </w:pPr>
            <w:r>
              <w:rPr>
                <w:rFonts w:ascii="Arial" w:cs="Arial" w:eastAsia="Arial" w:hAnsi="Arial"/>
                <w:sz w:val="7"/>
                <w:szCs w:val="7"/>
                <w:color w:val="auto"/>
              </w:rPr>
              <w:t>Winthontlaan 200, Utrecht, 3526 KV</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SolarNow B.V.</w:t>
            </w:r>
          </w:p>
        </w:tc>
        <w:tc>
          <w:tcPr>
            <w:tcW w:w="2900" w:type="dxa"/>
            <w:vAlign w:val="bottom"/>
          </w:tcPr>
          <w:p>
            <w:pPr>
              <w:ind w:left="1100"/>
              <w:spacing w:after="0"/>
              <w:rPr>
                <w:sz w:val="20"/>
                <w:szCs w:val="20"/>
                <w:color w:val="auto"/>
              </w:rPr>
            </w:pPr>
            <w:r>
              <w:rPr>
                <w:rFonts w:ascii="Arial" w:cs="Arial" w:eastAsia="Arial" w:hAnsi="Arial"/>
                <w:sz w:val="7"/>
                <w:szCs w:val="7"/>
                <w:color w:val="auto"/>
              </w:rPr>
              <w:t>Zeelandsestraat 1, Millingen aan de Rijn, 6566 DE</w:t>
            </w:r>
          </w:p>
        </w:tc>
        <w:tc>
          <w:tcPr>
            <w:tcW w:w="5720" w:type="dxa"/>
            <w:vAlign w:val="bottom"/>
          </w:tcPr>
          <w:p>
            <w:pPr>
              <w:jc w:val="right"/>
              <w:spacing w:after="0"/>
              <w:rPr>
                <w:sz w:val="20"/>
                <w:szCs w:val="20"/>
                <w:color w:val="auto"/>
              </w:rPr>
            </w:pPr>
            <w:r>
              <w:rPr>
                <w:rFonts w:ascii="Arial" w:cs="Arial" w:eastAsia="Arial" w:hAnsi="Arial"/>
                <w:sz w:val="7"/>
                <w:szCs w:val="7"/>
                <w:color w:val="auto"/>
              </w:rPr>
              <w:t>23</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Syria Shell Petroleum Development B.V. [h]</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65</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Tamba B.V.</w:t>
            </w:r>
          </w:p>
        </w:tc>
        <w:tc>
          <w:tcPr>
            <w:tcW w:w="2900" w:type="dxa"/>
            <w:vAlign w:val="bottom"/>
          </w:tcPr>
          <w:p>
            <w:pPr>
              <w:ind w:left="1100"/>
              <w:spacing w:after="0"/>
              <w:rPr>
                <w:sz w:val="20"/>
                <w:szCs w:val="20"/>
                <w:color w:val="auto"/>
              </w:rPr>
            </w:pPr>
            <w:r>
              <w:rPr>
                <w:rFonts w:ascii="Arial" w:cs="Arial" w:eastAsia="Arial" w:hAnsi="Arial"/>
                <w:sz w:val="7"/>
                <w:szCs w:val="7"/>
                <w:color w:val="auto"/>
              </w:rPr>
              <w:t>Carel van Bylandtlaan 30, The Hague, 2596 HR</w:t>
            </w:r>
          </w:p>
        </w:tc>
        <w:tc>
          <w:tcPr>
            <w:tcW w:w="57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20" w:type="dxa"/>
            <w:vAlign w:val="bottom"/>
          </w:tcPr>
          <w:p>
            <w:pPr>
              <w:ind w:left="40"/>
              <w:spacing w:after="0"/>
              <w:rPr>
                <w:sz w:val="20"/>
                <w:szCs w:val="20"/>
                <w:color w:val="auto"/>
              </w:rPr>
            </w:pPr>
            <w:r>
              <w:rPr>
                <w:rFonts w:ascii="Arial" w:cs="Arial" w:eastAsia="Arial" w:hAnsi="Arial"/>
                <w:sz w:val="7"/>
                <w:szCs w:val="7"/>
                <w:color w:val="auto"/>
              </w:rPr>
              <w:t>Tankstation Exploitatie Maatschappij Holding B.V.</w:t>
            </w:r>
          </w:p>
        </w:tc>
        <w:tc>
          <w:tcPr>
            <w:tcW w:w="2900" w:type="dxa"/>
            <w:vAlign w:val="bottom"/>
          </w:tcPr>
          <w:p>
            <w:pPr>
              <w:ind w:left="1100"/>
              <w:spacing w:after="0"/>
              <w:rPr>
                <w:sz w:val="20"/>
                <w:szCs w:val="20"/>
                <w:color w:val="auto"/>
              </w:rPr>
            </w:pPr>
            <w:r>
              <w:rPr>
                <w:rFonts w:ascii="Arial" w:cs="Arial" w:eastAsia="Arial" w:hAnsi="Arial"/>
                <w:sz w:val="7"/>
                <w:szCs w:val="7"/>
                <w:color w:val="auto"/>
              </w:rPr>
              <w:t>Weena 70, Rotterdam, 3012 CM</w:t>
            </w:r>
          </w:p>
        </w:tc>
        <w:tc>
          <w:tcPr>
            <w:tcW w:w="5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520"/>
        </w:trPr>
        <w:tc>
          <w:tcPr>
            <w:tcW w:w="262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900" w:type="dxa"/>
            <w:vAlign w:val="bottom"/>
          </w:tcPr>
          <w:p>
            <w:pPr>
              <w:spacing w:after="0"/>
              <w:rPr>
                <w:sz w:val="24"/>
                <w:szCs w:val="24"/>
                <w:color w:val="auto"/>
              </w:rPr>
            </w:pPr>
          </w:p>
        </w:tc>
        <w:tc>
          <w:tcPr>
            <w:tcW w:w="5720" w:type="dxa"/>
            <w:vAlign w:val="bottom"/>
          </w:tcPr>
          <w:p>
            <w:pPr>
              <w:jc w:val="right"/>
              <w:ind w:right="5584"/>
              <w:spacing w:after="0"/>
              <w:rPr>
                <w:sz w:val="20"/>
                <w:szCs w:val="20"/>
                <w:color w:val="auto"/>
              </w:rPr>
            </w:pPr>
            <w:r>
              <w:rPr>
                <w:rFonts w:ascii="Arial" w:cs="Arial" w:eastAsia="Arial" w:hAnsi="Arial"/>
                <w:sz w:val="6"/>
                <w:szCs w:val="6"/>
                <w:color w:val="auto"/>
                <w:w w:val="74"/>
              </w:rPr>
              <w:t>E12</w:t>
            </w:r>
          </w:p>
        </w:tc>
      </w:tr>
    </w:tbl>
    <w:p>
      <w:pPr>
        <w:sectPr>
          <w:pgSz w:w="11900" w:h="16838" w:orient="portrait"/>
          <w:cols w:equalWidth="0" w:num="1">
            <w:col w:w="11240"/>
          </w:cols>
          <w:pgMar w:left="340" w:top="735" w:right="319" w:bottom="1440" w:gutter="0" w:footer="0" w:header="0"/>
        </w:sectPr>
      </w:pPr>
    </w:p>
    <w:bookmarkStart w:id="300" w:name="page301"/>
    <w:bookmarkEnd w:id="3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860" w:type="dxa"/>
            <w:vAlign w:val="bottom"/>
          </w:tcPr>
          <w:p>
            <w:pPr>
              <w:ind w:left="80"/>
              <w:spacing w:after="0"/>
              <w:rPr>
                <w:sz w:val="20"/>
                <w:szCs w:val="20"/>
                <w:color w:val="auto"/>
              </w:rPr>
            </w:pPr>
            <w:r>
              <w:rPr>
                <w:rFonts w:ascii="Arial" w:cs="Arial" w:eastAsia="Arial" w:hAnsi="Arial"/>
                <w:sz w:val="7"/>
                <w:szCs w:val="7"/>
                <w:color w:val="auto"/>
              </w:rPr>
              <w:t>The Green Near Future 5 B.V.</w:t>
            </w:r>
          </w:p>
        </w:tc>
        <w:tc>
          <w:tcPr>
            <w:tcW w:w="5700" w:type="dxa"/>
            <w:vAlign w:val="bottom"/>
          </w:tcPr>
          <w:p>
            <w:pPr>
              <w:ind w:left="900"/>
              <w:spacing w:after="0"/>
              <w:rPr>
                <w:sz w:val="20"/>
                <w:szCs w:val="20"/>
                <w:color w:val="auto"/>
              </w:rPr>
            </w:pPr>
            <w:r>
              <w:rPr>
                <w:rFonts w:ascii="Arial" w:cs="Arial" w:eastAsia="Arial" w:hAnsi="Arial"/>
                <w:sz w:val="7"/>
                <w:szCs w:val="7"/>
                <w:color w:val="auto"/>
              </w:rPr>
              <w:t>Carel van Bylandtlaan 30, The Hague, 2596 HR</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The New Motion B.V.</w:t>
            </w:r>
          </w:p>
        </w:tc>
        <w:tc>
          <w:tcPr>
            <w:tcW w:w="5700" w:type="dxa"/>
            <w:vAlign w:val="bottom"/>
          </w:tcPr>
          <w:p>
            <w:pPr>
              <w:ind w:left="900"/>
              <w:spacing w:after="0"/>
              <w:rPr>
                <w:sz w:val="20"/>
                <w:szCs w:val="20"/>
                <w:color w:val="auto"/>
              </w:rPr>
            </w:pPr>
            <w:r>
              <w:rPr>
                <w:rFonts w:ascii="Arial" w:cs="Arial" w:eastAsia="Arial" w:hAnsi="Arial"/>
                <w:sz w:val="7"/>
                <w:szCs w:val="7"/>
                <w:color w:val="auto"/>
              </w:rPr>
              <w:t>Rigakade 20, Amsterdam, 1013 BC</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Travis Road Services International B.V.</w:t>
            </w:r>
          </w:p>
        </w:tc>
        <w:tc>
          <w:tcPr>
            <w:tcW w:w="5700" w:type="dxa"/>
            <w:vAlign w:val="bottom"/>
          </w:tcPr>
          <w:p>
            <w:pPr>
              <w:ind w:left="900"/>
              <w:spacing w:after="0"/>
              <w:rPr>
                <w:sz w:val="20"/>
                <w:szCs w:val="20"/>
                <w:color w:val="auto"/>
              </w:rPr>
            </w:pPr>
            <w:r>
              <w:rPr>
                <w:rFonts w:ascii="Arial" w:cs="Arial" w:eastAsia="Arial" w:hAnsi="Arial"/>
                <w:sz w:val="7"/>
                <w:szCs w:val="7"/>
                <w:color w:val="auto"/>
              </w:rPr>
              <w:t>Dr. Hub van Doorneweg 183, Tilburg, 5026 RD</w:t>
            </w:r>
          </w:p>
        </w:tc>
        <w:tc>
          <w:tcPr>
            <w:tcW w:w="2700" w:type="dxa"/>
            <w:vAlign w:val="bottom"/>
          </w:tcPr>
          <w:p>
            <w:pPr>
              <w:jc w:val="right"/>
              <w:spacing w:after="0"/>
              <w:rPr>
                <w:sz w:val="20"/>
                <w:szCs w:val="20"/>
                <w:color w:val="auto"/>
              </w:rPr>
            </w:pPr>
            <w:r>
              <w:rPr>
                <w:rFonts w:ascii="Arial" w:cs="Arial" w:eastAsia="Arial" w:hAnsi="Arial"/>
                <w:sz w:val="7"/>
                <w:szCs w:val="7"/>
                <w:color w:val="auto"/>
              </w:rPr>
              <w:t>34</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Tupi B.V.</w:t>
            </w:r>
          </w:p>
        </w:tc>
        <w:tc>
          <w:tcPr>
            <w:tcW w:w="5700" w:type="dxa"/>
            <w:vAlign w:val="bottom"/>
          </w:tcPr>
          <w:p>
            <w:pPr>
              <w:ind w:left="900"/>
              <w:spacing w:after="0"/>
              <w:rPr>
                <w:sz w:val="20"/>
                <w:szCs w:val="20"/>
                <w:color w:val="auto"/>
              </w:rPr>
            </w:pPr>
            <w:r>
              <w:rPr>
                <w:rFonts w:ascii="Arial" w:cs="Arial" w:eastAsia="Arial" w:hAnsi="Arial"/>
                <w:sz w:val="7"/>
                <w:szCs w:val="7"/>
                <w:color w:val="auto"/>
              </w:rPr>
              <w:t>Weena 762, 9e verdieping, Rotterdam, 3014 DA</w:t>
            </w:r>
          </w:p>
        </w:tc>
        <w:tc>
          <w:tcPr>
            <w:tcW w:w="2700" w:type="dxa"/>
            <w:vAlign w:val="bottom"/>
          </w:tcPr>
          <w:p>
            <w:pPr>
              <w:jc w:val="right"/>
              <w:spacing w:after="0"/>
              <w:rPr>
                <w:sz w:val="20"/>
                <w:szCs w:val="20"/>
                <w:color w:val="auto"/>
              </w:rPr>
            </w:pPr>
            <w:r>
              <w:rPr>
                <w:rFonts w:ascii="Arial" w:cs="Arial" w:eastAsia="Arial" w:hAnsi="Arial"/>
                <w:sz w:val="7"/>
                <w:szCs w:val="7"/>
                <w:color w:val="auto"/>
              </w:rPr>
              <w:t>23</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W2C GP B.V.</w:t>
            </w:r>
          </w:p>
        </w:tc>
        <w:tc>
          <w:tcPr>
            <w:tcW w:w="5700" w:type="dxa"/>
            <w:vAlign w:val="bottom"/>
          </w:tcPr>
          <w:p>
            <w:pPr>
              <w:ind w:left="900"/>
              <w:spacing w:after="0"/>
              <w:rPr>
                <w:sz w:val="20"/>
                <w:szCs w:val="20"/>
                <w:color w:val="auto"/>
              </w:rPr>
            </w:pPr>
            <w:r>
              <w:rPr>
                <w:rFonts w:ascii="Arial" w:cs="Arial" w:eastAsia="Arial" w:hAnsi="Arial"/>
                <w:sz w:val="7"/>
                <w:szCs w:val="7"/>
                <w:color w:val="auto"/>
              </w:rPr>
              <w:t>Stationsplein 45, Rotterdam, 3013 AK</w:t>
            </w:r>
          </w:p>
        </w:tc>
        <w:tc>
          <w:tcPr>
            <w:tcW w:w="270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Waalbrug Exploitatie Maatschappij B.V.</w:t>
            </w:r>
          </w:p>
        </w:tc>
        <w:tc>
          <w:tcPr>
            <w:tcW w:w="5700" w:type="dxa"/>
            <w:vAlign w:val="bottom"/>
          </w:tcPr>
          <w:p>
            <w:pPr>
              <w:ind w:left="900"/>
              <w:spacing w:after="0"/>
              <w:rPr>
                <w:sz w:val="20"/>
                <w:szCs w:val="20"/>
                <w:color w:val="auto"/>
              </w:rPr>
            </w:pPr>
            <w:r>
              <w:rPr>
                <w:rFonts w:ascii="Arial" w:cs="Arial" w:eastAsia="Arial" w:hAnsi="Arial"/>
                <w:sz w:val="7"/>
                <w:szCs w:val="7"/>
                <w:color w:val="auto"/>
              </w:rPr>
              <w:t>Henri Berssenbruggestraat 9, Deventer, 7425 SB</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Zeolyst C.V.</w:t>
            </w:r>
          </w:p>
        </w:tc>
        <w:tc>
          <w:tcPr>
            <w:tcW w:w="5700" w:type="dxa"/>
            <w:vAlign w:val="bottom"/>
          </w:tcPr>
          <w:p>
            <w:pPr>
              <w:ind w:left="900"/>
              <w:spacing w:after="0"/>
              <w:rPr>
                <w:sz w:val="20"/>
                <w:szCs w:val="20"/>
                <w:color w:val="auto"/>
              </w:rPr>
            </w:pPr>
            <w:r>
              <w:rPr>
                <w:rFonts w:ascii="Arial" w:cs="Arial" w:eastAsia="Arial" w:hAnsi="Arial"/>
                <w:sz w:val="7"/>
                <w:szCs w:val="7"/>
                <w:color w:val="auto"/>
              </w:rPr>
              <w:t>Oosterhorn 36, Farmsum, 9936 HD</w:t>
            </w:r>
          </w:p>
        </w:tc>
        <w:tc>
          <w:tcPr>
            <w:tcW w:w="27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60" w:type="dxa"/>
            <w:vAlign w:val="bottom"/>
          </w:tcPr>
          <w:p>
            <w:pPr>
              <w:spacing w:after="0"/>
              <w:rPr>
                <w:sz w:val="20"/>
                <w:szCs w:val="20"/>
                <w:color w:val="auto"/>
              </w:rPr>
            </w:pPr>
            <w:r>
              <w:rPr>
                <w:rFonts w:ascii="Arial" w:cs="Arial" w:eastAsia="Arial" w:hAnsi="Arial"/>
                <w:sz w:val="7"/>
                <w:szCs w:val="7"/>
                <w:color w:val="auto"/>
              </w:rPr>
              <w:t>NEW ZEALAND</w:t>
            </w:r>
          </w:p>
        </w:tc>
        <w:tc>
          <w:tcPr>
            <w:tcW w:w="5700" w:type="dxa"/>
            <w:vAlign w:val="bottom"/>
          </w:tcPr>
          <w:p>
            <w:pPr>
              <w:spacing w:after="0"/>
              <w:rPr>
                <w:sz w:val="9"/>
                <w:szCs w:val="9"/>
                <w:color w:val="auto"/>
              </w:rPr>
            </w:pPr>
          </w:p>
        </w:tc>
        <w:tc>
          <w:tcPr>
            <w:tcW w:w="2700" w:type="dxa"/>
            <w:vAlign w:val="bottom"/>
          </w:tcPr>
          <w:p>
            <w:pPr>
              <w:spacing w:after="0"/>
              <w:rPr>
                <w:sz w:val="9"/>
                <w:szCs w:val="9"/>
                <w:color w:val="auto"/>
              </w:rPr>
            </w:pP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Energy Finance NZ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c/o Baker Tilly Staples Rodway Taranaki Limited, 109-113 Powderham Street, P.O. Box 146, New Plymouth, Taranaki, 4340</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Energy Holdings Offshore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c/o Baker Tilly Staples Rodway Taranaki Limited, 109-113 Powderham Street, P.O. Box 146, New Plymouth, Taranaki, 4340</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(Petroleum Mining) Company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c/o Baker Tilly Staples Rodway Taranaki Limited, 109-113 Powderham Street, P.O. Box 146, New Plymouth, Taranaki, 4340</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Energy Asia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c/o Baker Tilly Staples Rodway Taranaki Limited, 109-113 Powderham Street, P.O. Box 146, New Plymouth, Taranaki, 4340</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Investments NZ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c/o Baker Tilly Staples Rodway Taranaki Limited, 109-113 Powderham Street, P.O. Box 146, New Plymouth, Taranaki, 4340</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New Zealand Pensions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Mercer (N.Z.) Limited, Floor 2, 20 Customhouse Quay, Wellington, 6011</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Southern Petroleum No Liability</w:t>
            </w:r>
          </w:p>
        </w:tc>
        <w:tc>
          <w:tcPr>
            <w:tcW w:w="5700" w:type="dxa"/>
            <w:vAlign w:val="bottom"/>
          </w:tcPr>
          <w:p>
            <w:pPr>
              <w:ind w:left="900"/>
              <w:spacing w:after="0"/>
              <w:rPr>
                <w:sz w:val="20"/>
                <w:szCs w:val="20"/>
                <w:color w:val="auto"/>
              </w:rPr>
            </w:pPr>
            <w:r>
              <w:rPr>
                <w:rFonts w:ascii="Arial" w:cs="Arial" w:eastAsia="Arial" w:hAnsi="Arial"/>
                <w:sz w:val="7"/>
                <w:szCs w:val="7"/>
                <w:color w:val="auto"/>
              </w:rPr>
              <w:t>c/o Baker Tilly Staples Rodway Taranaki Limited, 109-113 Powderham Street, P.O. Box 146, New Plymouth, Taranaki, 4340</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spacing w:after="0"/>
              <w:rPr>
                <w:sz w:val="20"/>
                <w:szCs w:val="20"/>
                <w:color w:val="auto"/>
              </w:rPr>
            </w:pPr>
            <w:r>
              <w:rPr>
                <w:rFonts w:ascii="Arial" w:cs="Arial" w:eastAsia="Arial" w:hAnsi="Arial"/>
                <w:sz w:val="7"/>
                <w:szCs w:val="7"/>
                <w:color w:val="auto"/>
              </w:rPr>
              <w:t>NIGERIA</w:t>
            </w:r>
          </w:p>
        </w:tc>
        <w:tc>
          <w:tcPr>
            <w:tcW w:w="5700" w:type="dxa"/>
            <w:vAlign w:val="bottom"/>
          </w:tcPr>
          <w:p>
            <w:pPr>
              <w:spacing w:after="0"/>
              <w:rPr>
                <w:sz w:val="9"/>
                <w:szCs w:val="9"/>
                <w:color w:val="auto"/>
              </w:rPr>
            </w:pPr>
          </w:p>
        </w:tc>
        <w:tc>
          <w:tcPr>
            <w:tcW w:w="2700" w:type="dxa"/>
            <w:vAlign w:val="bottom"/>
          </w:tcPr>
          <w:p>
            <w:pPr>
              <w:spacing w:after="0"/>
              <w:rPr>
                <w:sz w:val="9"/>
                <w:szCs w:val="9"/>
                <w:color w:val="auto"/>
              </w:rPr>
            </w:pP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BG Exploration and Production Nigeria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BG Upstream A Nigeria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Delta Business Development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Nigeria LNG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Corporate Office, Intels Aba Road Estate, Km16 Aba Expressway, Port Harcourt, 500211</w:t>
            </w:r>
          </w:p>
        </w:tc>
        <w:tc>
          <w:tcPr>
            <w:tcW w:w="2700" w:type="dxa"/>
            <w:vAlign w:val="bottom"/>
          </w:tcPr>
          <w:p>
            <w:pPr>
              <w:jc w:val="right"/>
              <w:spacing w:after="0"/>
              <w:rPr>
                <w:sz w:val="20"/>
                <w:szCs w:val="20"/>
                <w:color w:val="auto"/>
              </w:rPr>
            </w:pPr>
            <w:r>
              <w:rPr>
                <w:rFonts w:ascii="Arial" w:cs="Arial" w:eastAsia="Arial" w:hAnsi="Arial"/>
                <w:sz w:val="7"/>
                <w:szCs w:val="7"/>
                <w:color w:val="auto"/>
              </w:rPr>
              <w:t>26</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NLNG Shipping Management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Corporate Office, Intels Aba Road Estate, Km16 Aba Expressway, Port Harcourt, 500211</w:t>
            </w:r>
          </w:p>
        </w:tc>
        <w:tc>
          <w:tcPr>
            <w:tcW w:w="270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Exploration and Production Africa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Nigeria Business Operations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Nigeria Closed Pension Fund Administrator Ltd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Nigeria Exploration and Production Company Ltd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Nigeria Exploration and Production Echo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Nigeria Exploration Properties Alpha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Nigeria Exploration Properties Beta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Nigeria Exploration Properties Charlie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Nigeria Gas Ltd (SNG)</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Nigeria Infrastructure Development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Nigeria Offshore Prospecting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Nigeria Ultra Deep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Nigeria Upstream Ventures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Thrift &amp; Loan Fund Trustees Nig Ltd</w:t>
            </w:r>
          </w:p>
        </w:tc>
        <w:tc>
          <w:tcPr>
            <w:tcW w:w="5700" w:type="dxa"/>
            <w:vAlign w:val="bottom"/>
          </w:tcPr>
          <w:p>
            <w:pPr>
              <w:ind w:left="900"/>
              <w:spacing w:after="0"/>
              <w:rPr>
                <w:sz w:val="20"/>
                <w:szCs w:val="20"/>
                <w:color w:val="auto"/>
              </w:rPr>
            </w:pPr>
            <w:r>
              <w:rPr>
                <w:rFonts w:ascii="Arial" w:cs="Arial" w:eastAsia="Arial" w:hAnsi="Arial"/>
                <w:sz w:val="7"/>
                <w:szCs w:val="7"/>
                <w:color w:val="auto"/>
              </w:rPr>
              <w:t>Freeman House, 21/22 Marina, P.M.B. 2418, Lagos</w:t>
            </w:r>
          </w:p>
        </w:tc>
        <w:tc>
          <w:tcPr>
            <w:tcW w:w="2700" w:type="dxa"/>
            <w:vAlign w:val="bottom"/>
          </w:tcPr>
          <w:p>
            <w:pPr>
              <w:jc w:val="right"/>
              <w:spacing w:after="0"/>
              <w:rPr>
                <w:sz w:val="20"/>
                <w:szCs w:val="20"/>
                <w:color w:val="auto"/>
              </w:rPr>
            </w:pPr>
            <w:r>
              <w:rPr>
                <w:rFonts w:ascii="Arial" w:cs="Arial" w:eastAsia="Arial" w:hAnsi="Arial"/>
                <w:sz w:val="7"/>
                <w:szCs w:val="7"/>
                <w:color w:val="auto"/>
              </w:rPr>
              <w:t>99</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The Shell Petroleum Development Company of Nigeria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Shell Industrial Area, P.O. Box 263, Rivers State, Port Harcourt, 500272</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spacing w:after="0"/>
              <w:rPr>
                <w:sz w:val="20"/>
                <w:szCs w:val="20"/>
                <w:color w:val="auto"/>
              </w:rPr>
            </w:pPr>
            <w:r>
              <w:rPr>
                <w:rFonts w:ascii="Arial" w:cs="Arial" w:eastAsia="Arial" w:hAnsi="Arial"/>
                <w:sz w:val="7"/>
                <w:szCs w:val="7"/>
                <w:color w:val="auto"/>
              </w:rPr>
              <w:t>NORWAY</w:t>
            </w:r>
          </w:p>
        </w:tc>
        <w:tc>
          <w:tcPr>
            <w:tcW w:w="5700" w:type="dxa"/>
            <w:vAlign w:val="bottom"/>
          </w:tcPr>
          <w:p>
            <w:pPr>
              <w:spacing w:after="0"/>
              <w:rPr>
                <w:sz w:val="9"/>
                <w:szCs w:val="9"/>
                <w:color w:val="auto"/>
              </w:rPr>
            </w:pPr>
          </w:p>
        </w:tc>
        <w:tc>
          <w:tcPr>
            <w:tcW w:w="2700" w:type="dxa"/>
            <w:vAlign w:val="bottom"/>
          </w:tcPr>
          <w:p>
            <w:pPr>
              <w:spacing w:after="0"/>
              <w:rPr>
                <w:sz w:val="9"/>
                <w:szCs w:val="9"/>
                <w:color w:val="auto"/>
              </w:rPr>
            </w:pP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A/S Norske Shell</w:t>
            </w:r>
          </w:p>
        </w:tc>
        <w:tc>
          <w:tcPr>
            <w:tcW w:w="5700" w:type="dxa"/>
            <w:vAlign w:val="bottom"/>
          </w:tcPr>
          <w:p>
            <w:pPr>
              <w:ind w:left="900"/>
              <w:spacing w:after="0"/>
              <w:rPr>
                <w:sz w:val="20"/>
                <w:szCs w:val="20"/>
                <w:color w:val="auto"/>
              </w:rPr>
            </w:pPr>
            <w:r>
              <w:rPr>
                <w:rFonts w:ascii="Arial" w:cs="Arial" w:eastAsia="Arial" w:hAnsi="Arial"/>
                <w:sz w:val="7"/>
                <w:szCs w:val="7"/>
                <w:color w:val="auto"/>
              </w:rPr>
              <w:t>Tankvegen 1, Tananger, 4056</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Aviation Fuelling Services Norway AS</w:t>
            </w:r>
          </w:p>
        </w:tc>
        <w:tc>
          <w:tcPr>
            <w:tcW w:w="5700" w:type="dxa"/>
            <w:vAlign w:val="bottom"/>
          </w:tcPr>
          <w:p>
            <w:pPr>
              <w:ind w:left="900"/>
              <w:spacing w:after="0"/>
              <w:rPr>
                <w:sz w:val="20"/>
                <w:szCs w:val="20"/>
                <w:color w:val="auto"/>
              </w:rPr>
            </w:pPr>
            <w:r>
              <w:rPr>
                <w:rFonts w:ascii="Arial" w:cs="Arial" w:eastAsia="Arial" w:hAnsi="Arial"/>
                <w:sz w:val="7"/>
                <w:szCs w:val="7"/>
                <w:color w:val="auto"/>
              </w:rPr>
              <w:t>Bygg 6, Drammensveien 134, Oslo, 0277</w:t>
            </w:r>
          </w:p>
        </w:tc>
        <w:tc>
          <w:tcPr>
            <w:tcW w:w="27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Enhanced Well Technologies Group AS</w:t>
            </w:r>
          </w:p>
        </w:tc>
        <w:tc>
          <w:tcPr>
            <w:tcW w:w="5700" w:type="dxa"/>
            <w:vAlign w:val="bottom"/>
          </w:tcPr>
          <w:p>
            <w:pPr>
              <w:ind w:left="900"/>
              <w:spacing w:after="0"/>
              <w:rPr>
                <w:sz w:val="20"/>
                <w:szCs w:val="20"/>
                <w:color w:val="auto"/>
              </w:rPr>
            </w:pPr>
            <w:r>
              <w:rPr>
                <w:rFonts w:ascii="Arial" w:cs="Arial" w:eastAsia="Arial" w:hAnsi="Arial"/>
                <w:sz w:val="7"/>
                <w:szCs w:val="7"/>
                <w:color w:val="auto"/>
              </w:rPr>
              <w:t>Kongsgårdbakken 1, Stavanger, 4005</w:t>
            </w:r>
          </w:p>
        </w:tc>
        <w:tc>
          <w:tcPr>
            <w:tcW w:w="2700" w:type="dxa"/>
            <w:vAlign w:val="bottom"/>
          </w:tcPr>
          <w:p>
            <w:pPr>
              <w:jc w:val="right"/>
              <w:spacing w:after="0"/>
              <w:rPr>
                <w:sz w:val="20"/>
                <w:szCs w:val="20"/>
                <w:color w:val="auto"/>
              </w:rPr>
            </w:pPr>
            <w:r>
              <w:rPr>
                <w:rFonts w:ascii="Arial" w:cs="Arial" w:eastAsia="Arial" w:hAnsi="Arial"/>
                <w:sz w:val="7"/>
                <w:szCs w:val="7"/>
                <w:color w:val="auto"/>
              </w:rPr>
              <w:t>22</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Gasnor AS</w:t>
            </w:r>
          </w:p>
        </w:tc>
        <w:tc>
          <w:tcPr>
            <w:tcW w:w="5700" w:type="dxa"/>
            <w:vAlign w:val="bottom"/>
          </w:tcPr>
          <w:p>
            <w:pPr>
              <w:ind w:left="900"/>
              <w:spacing w:after="0"/>
              <w:rPr>
                <w:sz w:val="20"/>
                <w:szCs w:val="20"/>
                <w:color w:val="auto"/>
              </w:rPr>
            </w:pPr>
            <w:r>
              <w:rPr>
                <w:rFonts w:ascii="Arial" w:cs="Arial" w:eastAsia="Arial" w:hAnsi="Arial"/>
                <w:sz w:val="7"/>
                <w:szCs w:val="7"/>
                <w:color w:val="auto"/>
              </w:rPr>
              <w:t>Helganesvegen 59, Avaldsnes, Karmøy, 4262</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Ormen Lange Eiendom DA</w:t>
            </w:r>
          </w:p>
        </w:tc>
        <w:tc>
          <w:tcPr>
            <w:tcW w:w="5700" w:type="dxa"/>
            <w:vAlign w:val="bottom"/>
          </w:tcPr>
          <w:p>
            <w:pPr>
              <w:ind w:left="900"/>
              <w:spacing w:after="0"/>
              <w:rPr>
                <w:sz w:val="20"/>
                <w:szCs w:val="20"/>
                <w:color w:val="auto"/>
              </w:rPr>
            </w:pPr>
            <w:r>
              <w:rPr>
                <w:rFonts w:ascii="Arial" w:cs="Arial" w:eastAsia="Arial" w:hAnsi="Arial"/>
                <w:sz w:val="7"/>
                <w:szCs w:val="7"/>
                <w:color w:val="auto"/>
              </w:rPr>
              <w:t>Nyhamna, Aukra, 6480</w:t>
            </w:r>
          </w:p>
        </w:tc>
        <w:tc>
          <w:tcPr>
            <w:tcW w:w="2700" w:type="dxa"/>
            <w:vAlign w:val="bottom"/>
          </w:tcPr>
          <w:p>
            <w:pPr>
              <w:jc w:val="right"/>
              <w:spacing w:after="0"/>
              <w:rPr>
                <w:sz w:val="20"/>
                <w:szCs w:val="20"/>
                <w:color w:val="auto"/>
              </w:rPr>
            </w:pPr>
            <w:r>
              <w:rPr>
                <w:rFonts w:ascii="Arial" w:cs="Arial" w:eastAsia="Arial" w:hAnsi="Arial"/>
                <w:sz w:val="7"/>
                <w:szCs w:val="7"/>
                <w:color w:val="auto"/>
              </w:rPr>
              <w:t>18</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New Energies Norway AS</w:t>
            </w:r>
          </w:p>
        </w:tc>
        <w:tc>
          <w:tcPr>
            <w:tcW w:w="5700" w:type="dxa"/>
            <w:vAlign w:val="bottom"/>
          </w:tcPr>
          <w:p>
            <w:pPr>
              <w:ind w:left="900"/>
              <w:spacing w:after="0"/>
              <w:rPr>
                <w:sz w:val="20"/>
                <w:szCs w:val="20"/>
                <w:color w:val="auto"/>
              </w:rPr>
            </w:pPr>
            <w:r>
              <w:rPr>
                <w:rFonts w:ascii="Arial" w:cs="Arial" w:eastAsia="Arial" w:hAnsi="Arial"/>
                <w:sz w:val="7"/>
                <w:szCs w:val="7"/>
                <w:color w:val="auto"/>
              </w:rPr>
              <w:t>Karenslyst Allé 2, Oslo, 0278</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Technology Centre Mongstad DA</w:t>
            </w:r>
          </w:p>
        </w:tc>
        <w:tc>
          <w:tcPr>
            <w:tcW w:w="5700" w:type="dxa"/>
            <w:vAlign w:val="bottom"/>
          </w:tcPr>
          <w:p>
            <w:pPr>
              <w:ind w:left="900"/>
              <w:spacing w:after="0"/>
              <w:rPr>
                <w:sz w:val="20"/>
                <w:szCs w:val="20"/>
                <w:color w:val="auto"/>
              </w:rPr>
            </w:pPr>
            <w:r>
              <w:rPr>
                <w:rFonts w:ascii="Arial" w:cs="Arial" w:eastAsia="Arial" w:hAnsi="Arial"/>
                <w:sz w:val="7"/>
                <w:szCs w:val="7"/>
                <w:color w:val="auto"/>
              </w:rPr>
              <w:t>Mongstad 71A, Mongstad, 5954</w:t>
            </w:r>
          </w:p>
        </w:tc>
        <w:tc>
          <w:tcPr>
            <w:tcW w:w="2700" w:type="dxa"/>
            <w:vAlign w:val="bottom"/>
          </w:tcPr>
          <w:p>
            <w:pPr>
              <w:jc w:val="right"/>
              <w:spacing w:after="0"/>
              <w:rPr>
                <w:sz w:val="20"/>
                <w:szCs w:val="20"/>
                <w:color w:val="auto"/>
              </w:rPr>
            </w:pPr>
            <w:r>
              <w:rPr>
                <w:rFonts w:ascii="Arial" w:cs="Arial" w:eastAsia="Arial" w:hAnsi="Arial"/>
                <w:sz w:val="7"/>
                <w:szCs w:val="7"/>
                <w:color w:val="auto"/>
              </w:rPr>
              <w:t>9</w:t>
            </w:r>
          </w:p>
        </w:tc>
      </w:tr>
      <w:tr>
        <w:trPr>
          <w:trHeight w:val="108"/>
        </w:trPr>
        <w:tc>
          <w:tcPr>
            <w:tcW w:w="2860" w:type="dxa"/>
            <w:vAlign w:val="bottom"/>
          </w:tcPr>
          <w:p>
            <w:pPr>
              <w:spacing w:after="0"/>
              <w:rPr>
                <w:sz w:val="20"/>
                <w:szCs w:val="20"/>
                <w:color w:val="auto"/>
              </w:rPr>
            </w:pPr>
            <w:r>
              <w:rPr>
                <w:rFonts w:ascii="Arial" w:cs="Arial" w:eastAsia="Arial" w:hAnsi="Arial"/>
                <w:sz w:val="7"/>
                <w:szCs w:val="7"/>
                <w:color w:val="auto"/>
              </w:rPr>
              <w:t>OMAN</w:t>
            </w:r>
          </w:p>
        </w:tc>
        <w:tc>
          <w:tcPr>
            <w:tcW w:w="5700" w:type="dxa"/>
            <w:vAlign w:val="bottom"/>
          </w:tcPr>
          <w:p>
            <w:pPr>
              <w:spacing w:after="0"/>
              <w:rPr>
                <w:sz w:val="9"/>
                <w:szCs w:val="9"/>
                <w:color w:val="auto"/>
              </w:rPr>
            </w:pPr>
          </w:p>
        </w:tc>
        <w:tc>
          <w:tcPr>
            <w:tcW w:w="2700" w:type="dxa"/>
            <w:vAlign w:val="bottom"/>
          </w:tcPr>
          <w:p>
            <w:pPr>
              <w:spacing w:after="0"/>
              <w:rPr>
                <w:sz w:val="9"/>
                <w:szCs w:val="9"/>
                <w:color w:val="auto"/>
              </w:rPr>
            </w:pP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Oman LNG LLC</w:t>
            </w:r>
          </w:p>
        </w:tc>
        <w:tc>
          <w:tcPr>
            <w:tcW w:w="5700" w:type="dxa"/>
            <w:vAlign w:val="bottom"/>
          </w:tcPr>
          <w:p>
            <w:pPr>
              <w:ind w:left="900"/>
              <w:spacing w:after="0"/>
              <w:rPr>
                <w:sz w:val="20"/>
                <w:szCs w:val="20"/>
                <w:color w:val="auto"/>
              </w:rPr>
            </w:pPr>
            <w:r>
              <w:rPr>
                <w:rFonts w:ascii="Arial" w:cs="Arial" w:eastAsia="Arial" w:hAnsi="Arial"/>
                <w:sz w:val="7"/>
                <w:szCs w:val="7"/>
                <w:color w:val="auto"/>
              </w:rPr>
              <w:t>P.O. Box 560, Mina Al Fahal, Muscat, 116</w:t>
            </w:r>
          </w:p>
        </w:tc>
        <w:tc>
          <w:tcPr>
            <w:tcW w:w="270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Petroleum Development Oman LLC</w:t>
            </w:r>
          </w:p>
        </w:tc>
        <w:tc>
          <w:tcPr>
            <w:tcW w:w="5700" w:type="dxa"/>
            <w:vAlign w:val="bottom"/>
          </w:tcPr>
          <w:p>
            <w:pPr>
              <w:ind w:left="900"/>
              <w:spacing w:after="0"/>
              <w:rPr>
                <w:sz w:val="20"/>
                <w:szCs w:val="20"/>
                <w:color w:val="auto"/>
              </w:rPr>
            </w:pPr>
            <w:r>
              <w:rPr>
                <w:rFonts w:ascii="Arial" w:cs="Arial" w:eastAsia="Arial" w:hAnsi="Arial"/>
                <w:sz w:val="7"/>
                <w:szCs w:val="7"/>
                <w:color w:val="auto"/>
              </w:rPr>
              <w:t>P.O. Box 81, Mina Al Fahal, Muscat, 113</w:t>
            </w:r>
          </w:p>
        </w:tc>
        <w:tc>
          <w:tcPr>
            <w:tcW w:w="2700" w:type="dxa"/>
            <w:vAlign w:val="bottom"/>
          </w:tcPr>
          <w:p>
            <w:pPr>
              <w:jc w:val="right"/>
              <w:spacing w:after="0"/>
              <w:rPr>
                <w:sz w:val="20"/>
                <w:szCs w:val="20"/>
                <w:color w:val="auto"/>
              </w:rPr>
            </w:pPr>
            <w:r>
              <w:rPr>
                <w:rFonts w:ascii="Arial" w:cs="Arial" w:eastAsia="Arial" w:hAnsi="Arial"/>
                <w:sz w:val="7"/>
                <w:szCs w:val="7"/>
                <w:color w:val="auto"/>
              </w:rPr>
              <w:t>34</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Development Oman LLC</w:t>
            </w:r>
          </w:p>
        </w:tc>
        <w:tc>
          <w:tcPr>
            <w:tcW w:w="5700" w:type="dxa"/>
            <w:vAlign w:val="bottom"/>
          </w:tcPr>
          <w:p>
            <w:pPr>
              <w:ind w:left="900"/>
              <w:spacing w:after="0"/>
              <w:rPr>
                <w:sz w:val="20"/>
                <w:szCs w:val="20"/>
                <w:color w:val="auto"/>
              </w:rPr>
            </w:pPr>
            <w:r>
              <w:rPr>
                <w:rFonts w:ascii="Arial" w:cs="Arial" w:eastAsia="Arial" w:hAnsi="Arial"/>
                <w:sz w:val="7"/>
                <w:szCs w:val="7"/>
                <w:color w:val="auto"/>
              </w:rPr>
              <w:t>P.O. Box 74, Mina Al Fahal, Muscat, 116</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Oman Marketing Company SAOG</w:t>
            </w:r>
          </w:p>
        </w:tc>
        <w:tc>
          <w:tcPr>
            <w:tcW w:w="5700" w:type="dxa"/>
            <w:vAlign w:val="bottom"/>
          </w:tcPr>
          <w:p>
            <w:pPr>
              <w:ind w:left="900"/>
              <w:spacing w:after="0"/>
              <w:rPr>
                <w:sz w:val="20"/>
                <w:szCs w:val="20"/>
                <w:color w:val="auto"/>
              </w:rPr>
            </w:pPr>
            <w:r>
              <w:rPr>
                <w:rFonts w:ascii="Arial" w:cs="Arial" w:eastAsia="Arial" w:hAnsi="Arial"/>
                <w:sz w:val="7"/>
                <w:szCs w:val="7"/>
                <w:color w:val="auto"/>
              </w:rPr>
              <w:t>P.O. Box 38, Mina Al Fahal, Muscat, 116</w:t>
            </w:r>
          </w:p>
        </w:tc>
        <w:tc>
          <w:tcPr>
            <w:tcW w:w="270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Sohar Solar Qabas (FZC) LLC</w:t>
            </w:r>
          </w:p>
        </w:tc>
        <w:tc>
          <w:tcPr>
            <w:tcW w:w="5700" w:type="dxa"/>
            <w:vAlign w:val="bottom"/>
          </w:tcPr>
          <w:p>
            <w:pPr>
              <w:ind w:left="900"/>
              <w:spacing w:after="0"/>
              <w:rPr>
                <w:sz w:val="20"/>
                <w:szCs w:val="20"/>
                <w:color w:val="auto"/>
              </w:rPr>
            </w:pPr>
            <w:r>
              <w:rPr>
                <w:rFonts w:ascii="Arial" w:cs="Arial" w:eastAsia="Arial" w:hAnsi="Arial"/>
                <w:sz w:val="7"/>
                <w:szCs w:val="7"/>
                <w:color w:val="auto"/>
              </w:rPr>
              <w:t>P.O. Box 398, Sohar Free Zone, North Al Batinah Governorate, Sohar, 322</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spacing w:after="0"/>
              <w:rPr>
                <w:sz w:val="20"/>
                <w:szCs w:val="20"/>
                <w:color w:val="auto"/>
              </w:rPr>
            </w:pPr>
            <w:r>
              <w:rPr>
                <w:rFonts w:ascii="Arial" w:cs="Arial" w:eastAsia="Arial" w:hAnsi="Arial"/>
                <w:sz w:val="7"/>
                <w:szCs w:val="7"/>
                <w:color w:val="auto"/>
              </w:rPr>
              <w:t>PAKISTAN</w:t>
            </w:r>
          </w:p>
        </w:tc>
        <w:tc>
          <w:tcPr>
            <w:tcW w:w="5700" w:type="dxa"/>
            <w:vAlign w:val="bottom"/>
          </w:tcPr>
          <w:p>
            <w:pPr>
              <w:spacing w:after="0"/>
              <w:rPr>
                <w:sz w:val="9"/>
                <w:szCs w:val="9"/>
                <w:color w:val="auto"/>
              </w:rPr>
            </w:pPr>
          </w:p>
        </w:tc>
        <w:tc>
          <w:tcPr>
            <w:tcW w:w="2700" w:type="dxa"/>
            <w:vAlign w:val="bottom"/>
          </w:tcPr>
          <w:p>
            <w:pPr>
              <w:spacing w:after="0"/>
              <w:rPr>
                <w:sz w:val="9"/>
                <w:szCs w:val="9"/>
                <w:color w:val="auto"/>
              </w:rPr>
            </w:pP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Pak Arab Pipeline Company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House No. 2-B, Nazimuddin Road, F-8/1, Islamabad, 75400</w:t>
            </w:r>
          </w:p>
        </w:tc>
        <w:tc>
          <w:tcPr>
            <w:tcW w:w="270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Pakistan Energy Gateway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E110, Khayaban e Jinnah, Lahore Cantonement, Punjab, Cantonement, 54810</w:t>
            </w:r>
          </w:p>
        </w:tc>
        <w:tc>
          <w:tcPr>
            <w:tcW w:w="2700" w:type="dxa"/>
            <w:vAlign w:val="bottom"/>
          </w:tcPr>
          <w:p>
            <w:pPr>
              <w:jc w:val="right"/>
              <w:spacing w:after="0"/>
              <w:rPr>
                <w:sz w:val="20"/>
                <w:szCs w:val="20"/>
                <w:color w:val="auto"/>
              </w:rPr>
            </w:pPr>
            <w:r>
              <w:rPr>
                <w:rFonts w:ascii="Arial" w:cs="Arial" w:eastAsia="Arial" w:hAnsi="Arial"/>
                <w:sz w:val="7"/>
                <w:szCs w:val="7"/>
                <w:color w:val="auto"/>
              </w:rPr>
              <w:t>33</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Energy Pakistan (smc-private)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Shell House, 6 Ch. Khaliquzzaman Road, Karachi, 75530</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Pakistan Limited</w:t>
            </w:r>
          </w:p>
        </w:tc>
        <w:tc>
          <w:tcPr>
            <w:tcW w:w="5700" w:type="dxa"/>
            <w:vAlign w:val="bottom"/>
          </w:tcPr>
          <w:p>
            <w:pPr>
              <w:ind w:left="900"/>
              <w:spacing w:after="0"/>
              <w:rPr>
                <w:sz w:val="20"/>
                <w:szCs w:val="20"/>
                <w:color w:val="auto"/>
              </w:rPr>
            </w:pPr>
            <w:r>
              <w:rPr>
                <w:rFonts w:ascii="Arial" w:cs="Arial" w:eastAsia="Arial" w:hAnsi="Arial"/>
                <w:sz w:val="7"/>
                <w:szCs w:val="7"/>
                <w:color w:val="auto"/>
              </w:rPr>
              <w:t>Shell House, 6 Ch. Khaliquzzaman Road, Karachi, 75530</w:t>
            </w:r>
          </w:p>
        </w:tc>
        <w:tc>
          <w:tcPr>
            <w:tcW w:w="2700" w:type="dxa"/>
            <w:vAlign w:val="bottom"/>
          </w:tcPr>
          <w:p>
            <w:pPr>
              <w:jc w:val="right"/>
              <w:spacing w:after="0"/>
              <w:rPr>
                <w:sz w:val="20"/>
                <w:szCs w:val="20"/>
                <w:color w:val="auto"/>
              </w:rPr>
            </w:pPr>
            <w:r>
              <w:rPr>
                <w:rFonts w:ascii="Arial" w:cs="Arial" w:eastAsia="Arial" w:hAnsi="Arial"/>
                <w:sz w:val="7"/>
                <w:szCs w:val="7"/>
                <w:color w:val="auto"/>
              </w:rPr>
              <w:t>76</w:t>
            </w:r>
          </w:p>
        </w:tc>
      </w:tr>
      <w:tr>
        <w:trPr>
          <w:trHeight w:val="108"/>
        </w:trPr>
        <w:tc>
          <w:tcPr>
            <w:tcW w:w="2860" w:type="dxa"/>
            <w:vAlign w:val="bottom"/>
          </w:tcPr>
          <w:p>
            <w:pPr>
              <w:spacing w:after="0"/>
              <w:rPr>
                <w:sz w:val="20"/>
                <w:szCs w:val="20"/>
                <w:color w:val="auto"/>
              </w:rPr>
            </w:pPr>
            <w:r>
              <w:rPr>
                <w:rFonts w:ascii="Arial" w:cs="Arial" w:eastAsia="Arial" w:hAnsi="Arial"/>
                <w:sz w:val="7"/>
                <w:szCs w:val="7"/>
                <w:color w:val="auto"/>
              </w:rPr>
              <w:t>PERU</w:t>
            </w:r>
          </w:p>
        </w:tc>
        <w:tc>
          <w:tcPr>
            <w:tcW w:w="5700" w:type="dxa"/>
            <w:vAlign w:val="bottom"/>
          </w:tcPr>
          <w:p>
            <w:pPr>
              <w:spacing w:after="0"/>
              <w:rPr>
                <w:sz w:val="9"/>
                <w:szCs w:val="9"/>
                <w:color w:val="auto"/>
              </w:rPr>
            </w:pPr>
          </w:p>
        </w:tc>
        <w:tc>
          <w:tcPr>
            <w:tcW w:w="2700" w:type="dxa"/>
            <w:vAlign w:val="bottom"/>
          </w:tcPr>
          <w:p>
            <w:pPr>
              <w:spacing w:after="0"/>
              <w:rPr>
                <w:sz w:val="9"/>
                <w:szCs w:val="9"/>
                <w:color w:val="auto"/>
              </w:rPr>
            </w:pP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GNL Peru S.A.C.</w:t>
            </w:r>
          </w:p>
        </w:tc>
        <w:tc>
          <w:tcPr>
            <w:tcW w:w="5700" w:type="dxa"/>
            <w:vAlign w:val="bottom"/>
          </w:tcPr>
          <w:p>
            <w:pPr>
              <w:ind w:left="900"/>
              <w:spacing w:after="0"/>
              <w:rPr>
                <w:sz w:val="20"/>
                <w:szCs w:val="20"/>
                <w:color w:val="auto"/>
              </w:rPr>
            </w:pPr>
            <w:r>
              <w:rPr>
                <w:rFonts w:ascii="Arial" w:cs="Arial" w:eastAsia="Arial" w:hAnsi="Arial"/>
                <w:sz w:val="7"/>
                <w:szCs w:val="7"/>
                <w:color w:val="auto"/>
              </w:rPr>
              <w:t>Calle Dean Valdivia 111, Oficina 802, San Isidro, Lima, Lima 27</w:t>
            </w:r>
          </w:p>
        </w:tc>
        <w:tc>
          <w:tcPr>
            <w:tcW w:w="27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Shell Operaciones Peru S.A.C.</w:t>
            </w:r>
          </w:p>
        </w:tc>
        <w:tc>
          <w:tcPr>
            <w:tcW w:w="5700" w:type="dxa"/>
            <w:vAlign w:val="bottom"/>
          </w:tcPr>
          <w:p>
            <w:pPr>
              <w:ind w:left="900"/>
              <w:spacing w:after="0"/>
              <w:rPr>
                <w:sz w:val="20"/>
                <w:szCs w:val="20"/>
                <w:color w:val="auto"/>
              </w:rPr>
            </w:pPr>
            <w:r>
              <w:rPr>
                <w:rFonts w:ascii="Arial" w:cs="Arial" w:eastAsia="Arial" w:hAnsi="Arial"/>
                <w:sz w:val="7"/>
                <w:szCs w:val="7"/>
                <w:color w:val="auto"/>
              </w:rPr>
              <w:t>Calle Dean Valdivia 111, Oficina 802, San Isidro, Lima, Lima 27</w:t>
            </w:r>
          </w:p>
        </w:tc>
        <w:tc>
          <w:tcPr>
            <w:tcW w:w="2700" w:type="dxa"/>
            <w:vAlign w:val="bottom"/>
          </w:tcPr>
          <w:p>
            <w:pPr>
              <w:jc w:val="right"/>
              <w:ind w:right="1384"/>
              <w:spacing w:after="0"/>
              <w:rPr>
                <w:sz w:val="20"/>
                <w:szCs w:val="20"/>
                <w:color w:val="auto"/>
              </w:rPr>
            </w:pPr>
            <w:r>
              <w:rPr>
                <w:rFonts w:ascii="Arial" w:cs="Arial" w:eastAsia="Arial" w:hAnsi="Arial"/>
                <w:sz w:val="7"/>
                <w:szCs w:val="7"/>
                <w:color w:val="auto"/>
              </w:rPr>
              <w:t>100</w:t>
            </w:r>
          </w:p>
        </w:tc>
      </w:tr>
      <w:tr>
        <w:trPr>
          <w:trHeight w:val="108"/>
        </w:trPr>
        <w:tc>
          <w:tcPr>
            <w:tcW w:w="2860" w:type="dxa"/>
            <w:vAlign w:val="bottom"/>
          </w:tcPr>
          <w:p>
            <w:pPr>
              <w:spacing w:after="0"/>
              <w:rPr>
                <w:sz w:val="20"/>
                <w:szCs w:val="20"/>
                <w:color w:val="auto"/>
              </w:rPr>
            </w:pPr>
            <w:r>
              <w:rPr>
                <w:rFonts w:ascii="Arial" w:cs="Arial" w:eastAsia="Arial" w:hAnsi="Arial"/>
                <w:sz w:val="7"/>
                <w:szCs w:val="7"/>
                <w:color w:val="auto"/>
              </w:rPr>
              <w:t>PHILIPPINES</w:t>
            </w:r>
          </w:p>
        </w:tc>
        <w:tc>
          <w:tcPr>
            <w:tcW w:w="5700" w:type="dxa"/>
            <w:vAlign w:val="bottom"/>
          </w:tcPr>
          <w:p>
            <w:pPr>
              <w:spacing w:after="0"/>
              <w:rPr>
                <w:sz w:val="9"/>
                <w:szCs w:val="9"/>
                <w:color w:val="auto"/>
              </w:rPr>
            </w:pPr>
          </w:p>
        </w:tc>
        <w:tc>
          <w:tcPr>
            <w:tcW w:w="2700" w:type="dxa"/>
            <w:vAlign w:val="bottom"/>
          </w:tcPr>
          <w:p>
            <w:pPr>
              <w:spacing w:after="0"/>
              <w:rPr>
                <w:sz w:val="9"/>
                <w:szCs w:val="9"/>
                <w:color w:val="auto"/>
              </w:rPr>
            </w:pPr>
          </w:p>
        </w:tc>
      </w:tr>
      <w:tr>
        <w:trPr>
          <w:trHeight w:val="108"/>
        </w:trPr>
        <w:tc>
          <w:tcPr>
            <w:tcW w:w="2860" w:type="dxa"/>
            <w:vAlign w:val="bottom"/>
          </w:tcPr>
          <w:p>
            <w:pPr>
              <w:ind w:left="80"/>
              <w:spacing w:after="0"/>
              <w:rPr>
                <w:sz w:val="20"/>
                <w:szCs w:val="20"/>
                <w:color w:val="auto"/>
              </w:rPr>
            </w:pPr>
            <w:r>
              <w:rPr>
                <w:rFonts w:ascii="Arial" w:cs="Arial" w:eastAsia="Arial" w:hAnsi="Arial"/>
                <w:sz w:val="7"/>
                <w:szCs w:val="7"/>
                <w:color w:val="auto"/>
              </w:rPr>
              <w:t>Bonifacio Gas Corporation</w:t>
            </w:r>
          </w:p>
        </w:tc>
        <w:tc>
          <w:tcPr>
            <w:tcW w:w="5700" w:type="dxa"/>
            <w:vAlign w:val="bottom"/>
          </w:tcPr>
          <w:p>
            <w:pPr>
              <w:ind w:left="900"/>
              <w:spacing w:after="0"/>
              <w:rPr>
                <w:sz w:val="20"/>
                <w:szCs w:val="20"/>
                <w:color w:val="auto"/>
              </w:rPr>
            </w:pPr>
            <w:r>
              <w:rPr>
                <w:rFonts w:ascii="Arial" w:cs="Arial" w:eastAsia="Arial" w:hAnsi="Arial"/>
                <w:sz w:val="7"/>
                <w:szCs w:val="7"/>
                <w:color w:val="auto"/>
              </w:rPr>
              <w:t>2nd Floor, Bonifacio Technology Center, 31st Street corner 2nd Avenue, Bonifacio Global City, Taguig, Metro Manila, 1635</w:t>
            </w:r>
          </w:p>
        </w:tc>
        <w:tc>
          <w:tcPr>
            <w:tcW w:w="2700" w:type="dxa"/>
            <w:vAlign w:val="bottom"/>
          </w:tcPr>
          <w:p>
            <w:pPr>
              <w:jc w:val="right"/>
              <w:spacing w:after="0"/>
              <w:rPr>
                <w:sz w:val="20"/>
                <w:szCs w:val="20"/>
                <w:color w:val="auto"/>
              </w:rPr>
            </w:pPr>
            <w:r>
              <w:rPr>
                <w:rFonts w:ascii="Arial" w:cs="Arial" w:eastAsia="Arial" w:hAnsi="Arial"/>
                <w:sz w:val="7"/>
                <w:szCs w:val="7"/>
                <w:color w:val="auto"/>
              </w:rPr>
              <w:t>24</w:t>
            </w:r>
          </w:p>
        </w:tc>
      </w:tr>
      <w:tr>
        <w:trPr>
          <w:trHeight w:val="520"/>
        </w:trPr>
        <w:tc>
          <w:tcPr>
            <w:tcW w:w="2860" w:type="dxa"/>
            <w:vAlign w:val="bottom"/>
          </w:tcPr>
          <w:p>
            <w:pPr>
              <w:ind w:left="40"/>
              <w:spacing w:after="0"/>
              <w:rPr>
                <w:sz w:val="20"/>
                <w:szCs w:val="20"/>
                <w:color w:val="auto"/>
              </w:rPr>
            </w:pPr>
            <w:r>
              <w:rPr>
                <w:rFonts w:ascii="Arial" w:cs="Arial" w:eastAsia="Arial" w:hAnsi="Arial"/>
                <w:sz w:val="6"/>
                <w:szCs w:val="6"/>
                <w:color w:val="auto"/>
              </w:rPr>
              <w:t>ADDITIONAL INFORMATION SHELL FORM 20-F 2020</w:t>
            </w:r>
          </w:p>
        </w:tc>
        <w:tc>
          <w:tcPr>
            <w:tcW w:w="5700" w:type="dxa"/>
            <w:vAlign w:val="bottom"/>
          </w:tcPr>
          <w:p>
            <w:pPr>
              <w:ind w:left="2700"/>
              <w:spacing w:after="0"/>
              <w:rPr>
                <w:sz w:val="20"/>
                <w:szCs w:val="20"/>
                <w:color w:val="auto"/>
              </w:rPr>
            </w:pPr>
            <w:r>
              <w:rPr>
                <w:rFonts w:ascii="Arial" w:cs="Arial" w:eastAsia="Arial" w:hAnsi="Arial"/>
                <w:sz w:val="6"/>
                <w:szCs w:val="6"/>
                <w:color w:val="auto"/>
              </w:rPr>
              <w:t>E13</w:t>
            </w:r>
          </w:p>
        </w:tc>
        <w:tc>
          <w:tcPr>
            <w:tcW w:w="2700" w:type="dxa"/>
            <w:vAlign w:val="bottom"/>
          </w:tcPr>
          <w:p>
            <w:pPr>
              <w:spacing w:after="0"/>
              <w:rPr>
                <w:sz w:val="24"/>
                <w:szCs w:val="24"/>
                <w:color w:val="auto"/>
              </w:rPr>
            </w:pPr>
          </w:p>
        </w:tc>
      </w:tr>
    </w:tbl>
    <w:p>
      <w:pPr>
        <w:sectPr>
          <w:pgSz w:w="11900" w:h="16838" w:orient="portrait"/>
          <w:cols w:equalWidth="0" w:num="1">
            <w:col w:w="11260"/>
          </w:cols>
          <w:pgMar w:left="300" w:top="735" w:right="339" w:bottom="1440" w:gutter="0" w:footer="0" w:header="0"/>
        </w:sectPr>
      </w:pPr>
    </w:p>
    <w:bookmarkStart w:id="301" w:name="page302"/>
    <w:bookmarkEnd w:id="3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960" w:type="dxa"/>
            <w:vAlign w:val="bottom"/>
          </w:tcPr>
          <w:p>
            <w:pPr>
              <w:ind w:left="80"/>
              <w:spacing w:after="0"/>
              <w:rPr>
                <w:sz w:val="20"/>
                <w:szCs w:val="20"/>
                <w:color w:val="auto"/>
              </w:rPr>
            </w:pPr>
            <w:r>
              <w:rPr>
                <w:rFonts w:ascii="Arial" w:cs="Arial" w:eastAsia="Arial" w:hAnsi="Arial"/>
                <w:sz w:val="7"/>
                <w:szCs w:val="7"/>
                <w:color w:val="auto"/>
              </w:rPr>
              <w:t>Connected Freight Solutions Philippines, Inc.</w:t>
            </w:r>
          </w:p>
        </w:tc>
        <w:tc>
          <w:tcPr>
            <w:tcW w:w="6140" w:type="dxa"/>
            <w:vAlign w:val="bottom"/>
          </w:tcPr>
          <w:p>
            <w:pPr>
              <w:ind w:left="800"/>
              <w:spacing w:after="0"/>
              <w:rPr>
                <w:sz w:val="20"/>
                <w:szCs w:val="20"/>
                <w:color w:val="auto"/>
              </w:rPr>
            </w:pPr>
            <w:r>
              <w:rPr>
                <w:rFonts w:ascii="Arial" w:cs="Arial" w:eastAsia="Arial" w:hAnsi="Arial"/>
                <w:sz w:val="7"/>
                <w:szCs w:val="7"/>
                <w:color w:val="auto"/>
              </w:rPr>
              <w:t>41st Floor, The Finance Center, 26th Street corner 9th Avenue, Bonifacio Global City, Taguig, Metro Manila, 1635</w:t>
            </w:r>
          </w:p>
        </w:tc>
        <w:tc>
          <w:tcPr>
            <w:tcW w:w="2180" w:type="dxa"/>
            <w:vAlign w:val="bottom"/>
          </w:tcPr>
          <w:p>
            <w:pPr>
              <w:jc w:val="right"/>
              <w:spacing w:after="0"/>
              <w:rPr>
                <w:sz w:val="20"/>
                <w:szCs w:val="20"/>
                <w:color w:val="auto"/>
              </w:rPr>
            </w:pPr>
            <w:r>
              <w:rPr>
                <w:rFonts w:ascii="Arial" w:cs="Arial" w:eastAsia="Arial" w:hAnsi="Arial"/>
                <w:sz w:val="7"/>
                <w:szCs w:val="7"/>
                <w:color w:val="auto"/>
              </w:rPr>
              <w:t>80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Kamayan Realty Corporation</w:t>
            </w:r>
          </w:p>
        </w:tc>
        <w:tc>
          <w:tcPr>
            <w:tcW w:w="6140" w:type="dxa"/>
            <w:vAlign w:val="bottom"/>
          </w:tcPr>
          <w:p>
            <w:pPr>
              <w:ind w:left="800"/>
              <w:spacing w:after="0"/>
              <w:rPr>
                <w:sz w:val="20"/>
                <w:szCs w:val="20"/>
                <w:color w:val="auto"/>
              </w:rPr>
            </w:pPr>
            <w:r>
              <w:rPr>
                <w:rFonts w:ascii="Arial" w:cs="Arial" w:eastAsia="Arial" w:hAnsi="Arial"/>
                <w:sz w:val="7"/>
                <w:szCs w:val="7"/>
                <w:color w:val="auto"/>
              </w:rPr>
              <w:t>NDC Bldg., 116 Tordesillas St., Salcedo Village, Makati City, Metro Manila, 1227</w:t>
            </w:r>
          </w:p>
        </w:tc>
        <w:tc>
          <w:tcPr>
            <w:tcW w:w="2180" w:type="dxa"/>
            <w:vAlign w:val="bottom"/>
          </w:tcPr>
          <w:p>
            <w:pPr>
              <w:jc w:val="right"/>
              <w:spacing w:after="0"/>
              <w:rPr>
                <w:sz w:val="20"/>
                <w:szCs w:val="20"/>
                <w:color w:val="auto"/>
              </w:rPr>
            </w:pPr>
            <w:r>
              <w:rPr>
                <w:rFonts w:ascii="Arial" w:cs="Arial" w:eastAsia="Arial" w:hAnsi="Arial"/>
                <w:sz w:val="7"/>
                <w:szCs w:val="7"/>
                <w:color w:val="auto"/>
              </w:rPr>
              <w:t>22</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Pilipinas Shell Petroleum Corporation</w:t>
            </w:r>
          </w:p>
        </w:tc>
        <w:tc>
          <w:tcPr>
            <w:tcW w:w="6140" w:type="dxa"/>
            <w:vAlign w:val="bottom"/>
          </w:tcPr>
          <w:p>
            <w:pPr>
              <w:ind w:left="800"/>
              <w:spacing w:after="0"/>
              <w:rPr>
                <w:sz w:val="20"/>
                <w:szCs w:val="20"/>
                <w:color w:val="auto"/>
              </w:rPr>
            </w:pPr>
            <w:r>
              <w:rPr>
                <w:rFonts w:ascii="Arial" w:cs="Arial" w:eastAsia="Arial" w:hAnsi="Arial"/>
                <w:sz w:val="7"/>
                <w:szCs w:val="7"/>
                <w:color w:val="auto"/>
              </w:rPr>
              <w:t>41st Floor, The Finance Center, 26th Street corner 9th Avenue, Bonifacio Global City, Taguig, Metro Manila, 1635</w:t>
            </w:r>
          </w:p>
        </w:tc>
        <w:tc>
          <w:tcPr>
            <w:tcW w:w="2180" w:type="dxa"/>
            <w:vAlign w:val="bottom"/>
          </w:tcPr>
          <w:p>
            <w:pPr>
              <w:jc w:val="right"/>
              <w:spacing w:after="0"/>
              <w:rPr>
                <w:sz w:val="20"/>
                <w:szCs w:val="20"/>
                <w:color w:val="auto"/>
              </w:rPr>
            </w:pPr>
            <w:r>
              <w:rPr>
                <w:rFonts w:ascii="Arial" w:cs="Arial" w:eastAsia="Arial" w:hAnsi="Arial"/>
                <w:sz w:val="7"/>
                <w:szCs w:val="7"/>
                <w:color w:val="auto"/>
              </w:rPr>
              <w:t>55</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Chemicals Philippines, Inc.</w:t>
            </w:r>
          </w:p>
        </w:tc>
        <w:tc>
          <w:tcPr>
            <w:tcW w:w="6140" w:type="dxa"/>
            <w:vAlign w:val="bottom"/>
          </w:tcPr>
          <w:p>
            <w:pPr>
              <w:ind w:left="800"/>
              <w:spacing w:after="0"/>
              <w:rPr>
                <w:sz w:val="20"/>
                <w:szCs w:val="20"/>
                <w:color w:val="auto"/>
              </w:rPr>
            </w:pPr>
            <w:r>
              <w:rPr>
                <w:rFonts w:ascii="Arial" w:cs="Arial" w:eastAsia="Arial" w:hAnsi="Arial"/>
                <w:sz w:val="7"/>
                <w:szCs w:val="7"/>
                <w:color w:val="auto"/>
              </w:rPr>
              <w:t>41st Floor, The Finance Center, 26th Street corner 9th Avenue, Bonifacio Global City, Taguig, Metro Manila, 1635</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Energy Philippines Inc</w:t>
            </w:r>
          </w:p>
        </w:tc>
        <w:tc>
          <w:tcPr>
            <w:tcW w:w="6140" w:type="dxa"/>
            <w:vAlign w:val="bottom"/>
          </w:tcPr>
          <w:p>
            <w:pPr>
              <w:ind w:left="800"/>
              <w:spacing w:after="0"/>
              <w:rPr>
                <w:sz w:val="20"/>
                <w:szCs w:val="20"/>
                <w:color w:val="auto"/>
              </w:rPr>
            </w:pPr>
            <w:r>
              <w:rPr>
                <w:rFonts w:ascii="Arial" w:cs="Arial" w:eastAsia="Arial" w:hAnsi="Arial"/>
                <w:sz w:val="7"/>
                <w:szCs w:val="7"/>
                <w:color w:val="auto"/>
              </w:rPr>
              <w:t>41st Floor, The Finance Center, 26th Street corner 9th Avenue, Bonifacio Global City, Taguig, Metro Manila, 1635</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Gas and Energy Philippines Corporation</w:t>
            </w:r>
          </w:p>
        </w:tc>
        <w:tc>
          <w:tcPr>
            <w:tcW w:w="6140" w:type="dxa"/>
            <w:vAlign w:val="bottom"/>
          </w:tcPr>
          <w:p>
            <w:pPr>
              <w:ind w:left="800"/>
              <w:spacing w:after="0"/>
              <w:rPr>
                <w:sz w:val="20"/>
                <w:szCs w:val="20"/>
                <w:color w:val="auto"/>
              </w:rPr>
            </w:pPr>
            <w:r>
              <w:rPr>
                <w:rFonts w:ascii="Arial" w:cs="Arial" w:eastAsia="Arial" w:hAnsi="Arial"/>
                <w:sz w:val="7"/>
                <w:szCs w:val="7"/>
                <w:color w:val="auto"/>
              </w:rPr>
              <w:t>41st Floor, The Finance Center, 26th Street corner 9th Avenue, Bonifacio Global City, Taguig, Metro Manila, 1635</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Gas Trading (Asia Pacific), Inc.</w:t>
            </w:r>
          </w:p>
        </w:tc>
        <w:tc>
          <w:tcPr>
            <w:tcW w:w="6140" w:type="dxa"/>
            <w:vAlign w:val="bottom"/>
          </w:tcPr>
          <w:p>
            <w:pPr>
              <w:ind w:left="800"/>
              <w:spacing w:after="0"/>
              <w:rPr>
                <w:sz w:val="20"/>
                <w:szCs w:val="20"/>
                <w:color w:val="auto"/>
              </w:rPr>
            </w:pPr>
            <w:r>
              <w:rPr>
                <w:rFonts w:ascii="Arial" w:cs="Arial" w:eastAsia="Arial" w:hAnsi="Arial"/>
                <w:sz w:val="7"/>
                <w:szCs w:val="7"/>
                <w:color w:val="auto"/>
              </w:rPr>
              <w:t>Subic Bay Free Port Zone, Olangapo City, 2200</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Solar Philippines Corporation</w:t>
            </w:r>
          </w:p>
        </w:tc>
        <w:tc>
          <w:tcPr>
            <w:tcW w:w="6140" w:type="dxa"/>
            <w:vAlign w:val="bottom"/>
          </w:tcPr>
          <w:p>
            <w:pPr>
              <w:ind w:left="800"/>
              <w:spacing w:after="0"/>
              <w:rPr>
                <w:sz w:val="20"/>
                <w:szCs w:val="20"/>
                <w:color w:val="auto"/>
              </w:rPr>
            </w:pPr>
            <w:r>
              <w:rPr>
                <w:rFonts w:ascii="Arial" w:cs="Arial" w:eastAsia="Arial" w:hAnsi="Arial"/>
                <w:sz w:val="7"/>
                <w:szCs w:val="7"/>
                <w:color w:val="auto"/>
              </w:rPr>
              <w:t>41st Floor, The Finance Center, 26th Street corner 9th Avenue, Bonifacio Global City, Taguig, Metro Manila, 1635</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Tabangao Realty, Inc.</w:t>
            </w:r>
          </w:p>
        </w:tc>
        <w:tc>
          <w:tcPr>
            <w:tcW w:w="6140" w:type="dxa"/>
            <w:vAlign w:val="bottom"/>
          </w:tcPr>
          <w:p>
            <w:pPr>
              <w:ind w:left="800"/>
              <w:spacing w:after="0"/>
              <w:rPr>
                <w:sz w:val="20"/>
                <w:szCs w:val="20"/>
                <w:color w:val="auto"/>
              </w:rPr>
            </w:pPr>
            <w:r>
              <w:rPr>
                <w:rFonts w:ascii="Arial" w:cs="Arial" w:eastAsia="Arial" w:hAnsi="Arial"/>
                <w:sz w:val="7"/>
                <w:szCs w:val="7"/>
                <w:color w:val="auto"/>
              </w:rPr>
              <w:t>Unit D 9th Floor Inoza Tower, 40th Street, North Bonifacio, Bonifacio Global City, Taguig, Metro Manila, 1634</w:t>
            </w:r>
          </w:p>
        </w:tc>
        <w:tc>
          <w:tcPr>
            <w:tcW w:w="218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108"/>
        </w:trPr>
        <w:tc>
          <w:tcPr>
            <w:tcW w:w="2960" w:type="dxa"/>
            <w:vAlign w:val="bottom"/>
          </w:tcPr>
          <w:p>
            <w:pPr>
              <w:spacing w:after="0"/>
              <w:rPr>
                <w:sz w:val="20"/>
                <w:szCs w:val="20"/>
                <w:color w:val="auto"/>
              </w:rPr>
            </w:pPr>
            <w:r>
              <w:rPr>
                <w:rFonts w:ascii="Arial" w:cs="Arial" w:eastAsia="Arial" w:hAnsi="Arial"/>
                <w:sz w:val="7"/>
                <w:szCs w:val="7"/>
                <w:color w:val="auto"/>
              </w:rPr>
              <w:t>POLAND</w:t>
            </w:r>
          </w:p>
        </w:tc>
        <w:tc>
          <w:tcPr>
            <w:tcW w:w="6140" w:type="dxa"/>
            <w:vAlign w:val="bottom"/>
          </w:tcPr>
          <w:p>
            <w:pPr>
              <w:spacing w:after="0"/>
              <w:rPr>
                <w:sz w:val="9"/>
                <w:szCs w:val="9"/>
                <w:color w:val="auto"/>
              </w:rPr>
            </w:pPr>
          </w:p>
        </w:tc>
        <w:tc>
          <w:tcPr>
            <w:tcW w:w="2180" w:type="dxa"/>
            <w:vAlign w:val="bottom"/>
          </w:tcPr>
          <w:p>
            <w:pPr>
              <w:spacing w:after="0"/>
              <w:rPr>
                <w:sz w:val="9"/>
                <w:szCs w:val="9"/>
                <w:color w:val="auto"/>
              </w:rPr>
            </w:pP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Energy Retail Poland Sp. z o.o.</w:t>
            </w:r>
          </w:p>
        </w:tc>
        <w:tc>
          <w:tcPr>
            <w:tcW w:w="6140" w:type="dxa"/>
            <w:vAlign w:val="bottom"/>
          </w:tcPr>
          <w:p>
            <w:pPr>
              <w:ind w:left="800"/>
              <w:spacing w:after="0"/>
              <w:rPr>
                <w:sz w:val="20"/>
                <w:szCs w:val="20"/>
                <w:color w:val="auto"/>
              </w:rPr>
            </w:pPr>
            <w:r>
              <w:rPr>
                <w:rFonts w:ascii="Arial" w:cs="Arial" w:eastAsia="Arial" w:hAnsi="Arial"/>
                <w:sz w:val="7"/>
                <w:szCs w:val="7"/>
                <w:color w:val="auto"/>
              </w:rPr>
              <w:t>ul. Pawia 21, Krakow, 31-154</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Mobility Polska Sp. z o.o.</w:t>
            </w:r>
          </w:p>
        </w:tc>
        <w:tc>
          <w:tcPr>
            <w:tcW w:w="6140" w:type="dxa"/>
            <w:vAlign w:val="bottom"/>
          </w:tcPr>
          <w:p>
            <w:pPr>
              <w:ind w:left="800"/>
              <w:spacing w:after="0"/>
              <w:rPr>
                <w:sz w:val="20"/>
                <w:szCs w:val="20"/>
                <w:color w:val="auto"/>
              </w:rPr>
            </w:pPr>
            <w:r>
              <w:rPr>
                <w:rFonts w:ascii="Arial" w:cs="Arial" w:eastAsia="Arial" w:hAnsi="Arial"/>
                <w:sz w:val="7"/>
                <w:szCs w:val="7"/>
                <w:color w:val="auto"/>
              </w:rPr>
              <w:t>Ul. Bitwy Warszawskiej 1920r. 7a, Warszawa, 02-366</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Polska Sp. z o.o.</w:t>
            </w:r>
          </w:p>
        </w:tc>
        <w:tc>
          <w:tcPr>
            <w:tcW w:w="6140" w:type="dxa"/>
            <w:vAlign w:val="bottom"/>
          </w:tcPr>
          <w:p>
            <w:pPr>
              <w:ind w:left="800"/>
              <w:spacing w:after="0"/>
              <w:rPr>
                <w:sz w:val="20"/>
                <w:szCs w:val="20"/>
                <w:color w:val="auto"/>
              </w:rPr>
            </w:pPr>
            <w:r>
              <w:rPr>
                <w:rFonts w:ascii="Arial" w:cs="Arial" w:eastAsia="Arial" w:hAnsi="Arial"/>
                <w:sz w:val="7"/>
                <w:szCs w:val="7"/>
                <w:color w:val="auto"/>
              </w:rPr>
              <w:t>ul. Bitwy Warszawskiej 1920 r. nr 7A, Warsaw, 02-366</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spacing w:after="0"/>
              <w:rPr>
                <w:sz w:val="20"/>
                <w:szCs w:val="20"/>
                <w:color w:val="auto"/>
              </w:rPr>
            </w:pPr>
            <w:r>
              <w:rPr>
                <w:rFonts w:ascii="Arial" w:cs="Arial" w:eastAsia="Arial" w:hAnsi="Arial"/>
                <w:sz w:val="7"/>
                <w:szCs w:val="7"/>
                <w:color w:val="auto"/>
              </w:rPr>
              <w:t>PUERTO RICO</w:t>
            </w:r>
          </w:p>
        </w:tc>
        <w:tc>
          <w:tcPr>
            <w:tcW w:w="6140" w:type="dxa"/>
            <w:vAlign w:val="bottom"/>
          </w:tcPr>
          <w:p>
            <w:pPr>
              <w:spacing w:after="0"/>
              <w:rPr>
                <w:sz w:val="9"/>
                <w:szCs w:val="9"/>
                <w:color w:val="auto"/>
              </w:rPr>
            </w:pPr>
          </w:p>
        </w:tc>
        <w:tc>
          <w:tcPr>
            <w:tcW w:w="2180" w:type="dxa"/>
            <w:vAlign w:val="bottom"/>
          </w:tcPr>
          <w:p>
            <w:pPr>
              <w:spacing w:after="0"/>
              <w:rPr>
                <w:sz w:val="9"/>
                <w:szCs w:val="9"/>
                <w:color w:val="auto"/>
              </w:rPr>
            </w:pP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Station Managers of Puerto Rico, Inc.</w:t>
            </w:r>
          </w:p>
        </w:tc>
        <w:tc>
          <w:tcPr>
            <w:tcW w:w="6140" w:type="dxa"/>
            <w:vAlign w:val="bottom"/>
          </w:tcPr>
          <w:p>
            <w:pPr>
              <w:ind w:left="800"/>
              <w:spacing w:after="0"/>
              <w:rPr>
                <w:sz w:val="20"/>
                <w:szCs w:val="20"/>
                <w:color w:val="auto"/>
              </w:rPr>
            </w:pPr>
            <w:r>
              <w:rPr>
                <w:rFonts w:ascii="Arial" w:cs="Arial" w:eastAsia="Arial" w:hAnsi="Arial"/>
                <w:sz w:val="7"/>
                <w:szCs w:val="7"/>
                <w:color w:val="auto"/>
              </w:rPr>
              <w:t>P.O. Box 186, Yabucoa, PR 00767-0186</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spacing w:after="0"/>
              <w:rPr>
                <w:sz w:val="20"/>
                <w:szCs w:val="20"/>
                <w:color w:val="auto"/>
              </w:rPr>
            </w:pPr>
            <w:r>
              <w:rPr>
                <w:rFonts w:ascii="Arial" w:cs="Arial" w:eastAsia="Arial" w:hAnsi="Arial"/>
                <w:sz w:val="7"/>
                <w:szCs w:val="7"/>
                <w:color w:val="auto"/>
              </w:rPr>
              <w:t>QATAR</w:t>
            </w:r>
          </w:p>
        </w:tc>
        <w:tc>
          <w:tcPr>
            <w:tcW w:w="6140" w:type="dxa"/>
            <w:vAlign w:val="bottom"/>
          </w:tcPr>
          <w:p>
            <w:pPr>
              <w:spacing w:after="0"/>
              <w:rPr>
                <w:sz w:val="9"/>
                <w:szCs w:val="9"/>
                <w:color w:val="auto"/>
              </w:rPr>
            </w:pPr>
          </w:p>
        </w:tc>
        <w:tc>
          <w:tcPr>
            <w:tcW w:w="2180" w:type="dxa"/>
            <w:vAlign w:val="bottom"/>
          </w:tcPr>
          <w:p>
            <w:pPr>
              <w:spacing w:after="0"/>
              <w:rPr>
                <w:sz w:val="9"/>
                <w:szCs w:val="9"/>
                <w:color w:val="auto"/>
              </w:rPr>
            </w:pP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Marine LNG Solutions LLC [b]</w:t>
            </w:r>
          </w:p>
        </w:tc>
        <w:tc>
          <w:tcPr>
            <w:tcW w:w="6140" w:type="dxa"/>
            <w:vAlign w:val="bottom"/>
          </w:tcPr>
          <w:p>
            <w:pPr>
              <w:ind w:left="800"/>
              <w:spacing w:after="0"/>
              <w:rPr>
                <w:sz w:val="20"/>
                <w:szCs w:val="20"/>
                <w:color w:val="auto"/>
              </w:rPr>
            </w:pPr>
            <w:r>
              <w:rPr>
                <w:rFonts w:ascii="Arial" w:cs="Arial" w:eastAsia="Arial" w:hAnsi="Arial"/>
                <w:sz w:val="7"/>
                <w:szCs w:val="7"/>
                <w:color w:val="auto"/>
              </w:rPr>
              <w:t>1st Floor, Al-Mirqab Tower, Doha</w:t>
            </w:r>
          </w:p>
        </w:tc>
        <w:tc>
          <w:tcPr>
            <w:tcW w:w="21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Qatar Liquefied Gas Company Limited (4)</w:t>
            </w:r>
          </w:p>
        </w:tc>
        <w:tc>
          <w:tcPr>
            <w:tcW w:w="6140" w:type="dxa"/>
            <w:vAlign w:val="bottom"/>
          </w:tcPr>
          <w:p>
            <w:pPr>
              <w:ind w:left="800"/>
              <w:spacing w:after="0"/>
              <w:rPr>
                <w:sz w:val="20"/>
                <w:szCs w:val="20"/>
                <w:color w:val="auto"/>
              </w:rPr>
            </w:pPr>
            <w:r>
              <w:rPr>
                <w:rFonts w:ascii="Arial" w:cs="Arial" w:eastAsia="Arial" w:hAnsi="Arial"/>
                <w:sz w:val="7"/>
                <w:szCs w:val="7"/>
                <w:color w:val="auto"/>
              </w:rPr>
              <w:t>P.O. Box 22666, Doha</w:t>
            </w:r>
          </w:p>
        </w:tc>
        <w:tc>
          <w:tcPr>
            <w:tcW w:w="218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Qatar Shell Research &amp; Technology Centre QSTP-LLC</w:t>
            </w:r>
          </w:p>
        </w:tc>
        <w:tc>
          <w:tcPr>
            <w:tcW w:w="6140" w:type="dxa"/>
            <w:vAlign w:val="bottom"/>
          </w:tcPr>
          <w:p>
            <w:pPr>
              <w:ind w:left="800"/>
              <w:spacing w:after="0"/>
              <w:rPr>
                <w:sz w:val="20"/>
                <w:szCs w:val="20"/>
                <w:color w:val="auto"/>
              </w:rPr>
            </w:pPr>
            <w:r>
              <w:rPr>
                <w:rFonts w:ascii="Arial" w:cs="Arial" w:eastAsia="Arial" w:hAnsi="Arial"/>
                <w:sz w:val="7"/>
                <w:szCs w:val="7"/>
                <w:color w:val="auto"/>
              </w:rPr>
              <w:t>Qatar Science &amp; Technology Park Tech1, Office 101, P.O. Box 3747, Doha</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Qatar Shell Service Company W.L.L.</w:t>
            </w:r>
          </w:p>
        </w:tc>
        <w:tc>
          <w:tcPr>
            <w:tcW w:w="6140" w:type="dxa"/>
            <w:vAlign w:val="bottom"/>
          </w:tcPr>
          <w:p>
            <w:pPr>
              <w:ind w:left="800"/>
              <w:spacing w:after="0"/>
              <w:rPr>
                <w:sz w:val="20"/>
                <w:szCs w:val="20"/>
                <w:color w:val="auto"/>
              </w:rPr>
            </w:pPr>
            <w:r>
              <w:rPr>
                <w:rFonts w:ascii="Arial" w:cs="Arial" w:eastAsia="Arial" w:hAnsi="Arial"/>
                <w:sz w:val="7"/>
                <w:szCs w:val="7"/>
                <w:color w:val="auto"/>
              </w:rPr>
              <w:t>Al Mirqab Tower, West Bay, P.O. Box 3747, Doha</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spacing w:after="0"/>
              <w:rPr>
                <w:sz w:val="20"/>
                <w:szCs w:val="20"/>
                <w:color w:val="auto"/>
              </w:rPr>
            </w:pPr>
            <w:r>
              <w:rPr>
                <w:rFonts w:ascii="Arial" w:cs="Arial" w:eastAsia="Arial" w:hAnsi="Arial"/>
                <w:sz w:val="7"/>
                <w:szCs w:val="7"/>
                <w:color w:val="auto"/>
              </w:rPr>
              <w:t>RUSSIA</w:t>
            </w:r>
          </w:p>
        </w:tc>
        <w:tc>
          <w:tcPr>
            <w:tcW w:w="6140" w:type="dxa"/>
            <w:vAlign w:val="bottom"/>
          </w:tcPr>
          <w:p>
            <w:pPr>
              <w:spacing w:after="0"/>
              <w:rPr>
                <w:sz w:val="9"/>
                <w:szCs w:val="9"/>
                <w:color w:val="auto"/>
              </w:rPr>
            </w:pPr>
          </w:p>
        </w:tc>
        <w:tc>
          <w:tcPr>
            <w:tcW w:w="2180" w:type="dxa"/>
            <w:vAlign w:val="bottom"/>
          </w:tcPr>
          <w:p>
            <w:pPr>
              <w:spacing w:after="0"/>
              <w:rPr>
                <w:sz w:val="9"/>
                <w:szCs w:val="9"/>
                <w:color w:val="auto"/>
              </w:rPr>
            </w:pP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Gazpromneft-Aero Bryansk LLC [b]</w:t>
            </w:r>
          </w:p>
        </w:tc>
        <w:tc>
          <w:tcPr>
            <w:tcW w:w="6140" w:type="dxa"/>
            <w:vAlign w:val="bottom"/>
          </w:tcPr>
          <w:p>
            <w:pPr>
              <w:ind w:left="800"/>
              <w:spacing w:after="0"/>
              <w:rPr>
                <w:sz w:val="20"/>
                <w:szCs w:val="20"/>
                <w:color w:val="auto"/>
              </w:rPr>
            </w:pPr>
            <w:r>
              <w:rPr>
                <w:rFonts w:ascii="Arial" w:cs="Arial" w:eastAsia="Arial" w:hAnsi="Arial"/>
                <w:sz w:val="7"/>
                <w:szCs w:val="7"/>
                <w:color w:val="auto"/>
              </w:rPr>
              <w:t>Sinopskaya Naberezhnaya, 22 A, office 811, Sankt-Peterburg, 191167</w:t>
            </w:r>
          </w:p>
        </w:tc>
        <w:tc>
          <w:tcPr>
            <w:tcW w:w="21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Khanty-Mansiysk Petroleum Alliance Closed Joint Stock Company [b]</w:t>
            </w:r>
          </w:p>
        </w:tc>
        <w:tc>
          <w:tcPr>
            <w:tcW w:w="6140" w:type="dxa"/>
            <w:vAlign w:val="bottom"/>
          </w:tcPr>
          <w:p>
            <w:pPr>
              <w:ind w:left="800"/>
              <w:spacing w:after="0"/>
              <w:rPr>
                <w:sz w:val="20"/>
                <w:szCs w:val="20"/>
                <w:color w:val="auto"/>
              </w:rPr>
            </w:pPr>
            <w:r>
              <w:rPr>
                <w:rFonts w:ascii="Arial" w:cs="Arial" w:eastAsia="Arial" w:hAnsi="Arial"/>
                <w:sz w:val="7"/>
                <w:szCs w:val="7"/>
                <w:color w:val="auto"/>
              </w:rPr>
              <w:t>24 A Yakubovicha ul., Saint Petersburg, 190000</w:t>
            </w:r>
          </w:p>
        </w:tc>
        <w:tc>
          <w:tcPr>
            <w:tcW w:w="21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Limited Liability Company "Shell Neft"</w:t>
            </w:r>
          </w:p>
        </w:tc>
        <w:tc>
          <w:tcPr>
            <w:tcW w:w="6140" w:type="dxa"/>
            <w:vAlign w:val="bottom"/>
          </w:tcPr>
          <w:p>
            <w:pPr>
              <w:ind w:left="800"/>
              <w:spacing w:after="0"/>
              <w:rPr>
                <w:sz w:val="20"/>
                <w:szCs w:val="20"/>
                <w:color w:val="auto"/>
              </w:rPr>
            </w:pPr>
            <w:r>
              <w:rPr>
                <w:rFonts w:ascii="Arial" w:cs="Arial" w:eastAsia="Arial" w:hAnsi="Arial"/>
                <w:sz w:val="7"/>
                <w:szCs w:val="7"/>
                <w:color w:val="auto"/>
              </w:rPr>
              <w:t>9 Lesnaya street, floor 3, Moscow, 125196</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Limited Liability Company "Shell Neftegaz Development (V)"</w:t>
            </w:r>
          </w:p>
        </w:tc>
        <w:tc>
          <w:tcPr>
            <w:tcW w:w="6140" w:type="dxa"/>
            <w:vAlign w:val="bottom"/>
          </w:tcPr>
          <w:p>
            <w:pPr>
              <w:ind w:left="800"/>
              <w:spacing w:after="0"/>
              <w:rPr>
                <w:sz w:val="20"/>
                <w:szCs w:val="20"/>
                <w:color w:val="auto"/>
              </w:rPr>
            </w:pPr>
            <w:r>
              <w:rPr>
                <w:rFonts w:ascii="Arial" w:cs="Arial" w:eastAsia="Arial" w:hAnsi="Arial"/>
                <w:sz w:val="7"/>
                <w:szCs w:val="7"/>
                <w:color w:val="auto"/>
              </w:rPr>
              <w:t>9 Lesnaya street, floor 4, Moscow, 125196</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LLC Shell NefteGaz Development</w:t>
            </w:r>
          </w:p>
        </w:tc>
        <w:tc>
          <w:tcPr>
            <w:tcW w:w="6140" w:type="dxa"/>
            <w:vAlign w:val="bottom"/>
          </w:tcPr>
          <w:p>
            <w:pPr>
              <w:ind w:left="800"/>
              <w:spacing w:after="0"/>
              <w:rPr>
                <w:sz w:val="20"/>
                <w:szCs w:val="20"/>
                <w:color w:val="auto"/>
              </w:rPr>
            </w:pPr>
            <w:r>
              <w:rPr>
                <w:rFonts w:ascii="Arial" w:cs="Arial" w:eastAsia="Arial" w:hAnsi="Arial"/>
                <w:sz w:val="7"/>
                <w:szCs w:val="7"/>
                <w:color w:val="auto"/>
              </w:rPr>
              <w:t>9 Lesnaya street, floor 4, Moscow, 125196</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Syriaga Neftegaz Development LLC</w:t>
            </w:r>
          </w:p>
        </w:tc>
        <w:tc>
          <w:tcPr>
            <w:tcW w:w="6140" w:type="dxa"/>
            <w:vAlign w:val="bottom"/>
          </w:tcPr>
          <w:p>
            <w:pPr>
              <w:ind w:left="800"/>
              <w:spacing w:after="0"/>
              <w:rPr>
                <w:sz w:val="20"/>
                <w:szCs w:val="20"/>
                <w:color w:val="auto"/>
              </w:rPr>
            </w:pPr>
            <w:r>
              <w:rPr>
                <w:rFonts w:ascii="Arial" w:cs="Arial" w:eastAsia="Arial" w:hAnsi="Arial"/>
                <w:sz w:val="7"/>
                <w:szCs w:val="7"/>
                <w:color w:val="auto"/>
              </w:rPr>
              <w:t>9 Lesnaya street, floor 4, Moscow, 125196</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spacing w:after="0"/>
              <w:rPr>
                <w:sz w:val="20"/>
                <w:szCs w:val="20"/>
                <w:color w:val="auto"/>
              </w:rPr>
            </w:pPr>
            <w:r>
              <w:rPr>
                <w:rFonts w:ascii="Arial" w:cs="Arial" w:eastAsia="Arial" w:hAnsi="Arial"/>
                <w:sz w:val="7"/>
                <w:szCs w:val="7"/>
                <w:color w:val="auto"/>
              </w:rPr>
              <w:t>SAINT KITTS AND NEVIS</w:t>
            </w:r>
          </w:p>
        </w:tc>
        <w:tc>
          <w:tcPr>
            <w:tcW w:w="6140" w:type="dxa"/>
            <w:vAlign w:val="bottom"/>
          </w:tcPr>
          <w:p>
            <w:pPr>
              <w:spacing w:after="0"/>
              <w:rPr>
                <w:sz w:val="9"/>
                <w:szCs w:val="9"/>
                <w:color w:val="auto"/>
              </w:rPr>
            </w:pPr>
          </w:p>
        </w:tc>
        <w:tc>
          <w:tcPr>
            <w:tcW w:w="2180" w:type="dxa"/>
            <w:vAlign w:val="bottom"/>
          </w:tcPr>
          <w:p>
            <w:pPr>
              <w:spacing w:after="0"/>
              <w:rPr>
                <w:sz w:val="9"/>
                <w:szCs w:val="9"/>
                <w:color w:val="auto"/>
              </w:rPr>
            </w:pP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Oil &amp; Gas (Malaysia) LLC</w:t>
            </w:r>
          </w:p>
        </w:tc>
        <w:tc>
          <w:tcPr>
            <w:tcW w:w="6140" w:type="dxa"/>
            <w:vAlign w:val="bottom"/>
          </w:tcPr>
          <w:p>
            <w:pPr>
              <w:ind w:left="800"/>
              <w:spacing w:after="0"/>
              <w:rPr>
                <w:sz w:val="20"/>
                <w:szCs w:val="20"/>
                <w:color w:val="auto"/>
              </w:rPr>
            </w:pPr>
            <w:r>
              <w:rPr>
                <w:rFonts w:ascii="Arial" w:cs="Arial" w:eastAsia="Arial" w:hAnsi="Arial"/>
                <w:sz w:val="7"/>
                <w:szCs w:val="7"/>
                <w:color w:val="auto"/>
              </w:rPr>
              <w:t>Morning Star Holdings Limited, Main Street, Suite 556, Charlestown, Nevis, West Indies</w:t>
            </w:r>
          </w:p>
        </w:tc>
        <w:tc>
          <w:tcPr>
            <w:tcW w:w="2180" w:type="dxa"/>
            <w:vAlign w:val="bottom"/>
          </w:tcPr>
          <w:p>
            <w:pPr>
              <w:jc w:val="right"/>
              <w:spacing w:after="0"/>
              <w:rPr>
                <w:sz w:val="20"/>
                <w:szCs w:val="20"/>
                <w:color w:val="auto"/>
              </w:rPr>
            </w:pPr>
            <w:r>
              <w:rPr>
                <w:rFonts w:ascii="Arial" w:cs="Arial" w:eastAsia="Arial" w:hAnsi="Arial"/>
                <w:sz w:val="7"/>
                <w:szCs w:val="7"/>
                <w:color w:val="auto"/>
              </w:rPr>
              <w:t>90</w:t>
            </w:r>
          </w:p>
        </w:tc>
      </w:tr>
      <w:tr>
        <w:trPr>
          <w:trHeight w:val="108"/>
        </w:trPr>
        <w:tc>
          <w:tcPr>
            <w:tcW w:w="2960" w:type="dxa"/>
            <w:vAlign w:val="bottom"/>
          </w:tcPr>
          <w:p>
            <w:pPr>
              <w:spacing w:after="0"/>
              <w:rPr>
                <w:sz w:val="20"/>
                <w:szCs w:val="20"/>
                <w:color w:val="auto"/>
              </w:rPr>
            </w:pPr>
            <w:r>
              <w:rPr>
                <w:rFonts w:ascii="Arial" w:cs="Arial" w:eastAsia="Arial" w:hAnsi="Arial"/>
                <w:sz w:val="7"/>
                <w:szCs w:val="7"/>
                <w:color w:val="auto"/>
              </w:rPr>
              <w:t>SAINT LUCIA</w:t>
            </w:r>
          </w:p>
        </w:tc>
        <w:tc>
          <w:tcPr>
            <w:tcW w:w="6140" w:type="dxa"/>
            <w:vAlign w:val="bottom"/>
          </w:tcPr>
          <w:p>
            <w:pPr>
              <w:spacing w:after="0"/>
              <w:rPr>
                <w:sz w:val="9"/>
                <w:szCs w:val="9"/>
                <w:color w:val="auto"/>
              </w:rPr>
            </w:pPr>
          </w:p>
        </w:tc>
        <w:tc>
          <w:tcPr>
            <w:tcW w:w="2180" w:type="dxa"/>
            <w:vAlign w:val="bottom"/>
          </w:tcPr>
          <w:p>
            <w:pPr>
              <w:spacing w:after="0"/>
              <w:rPr>
                <w:sz w:val="9"/>
                <w:szCs w:val="9"/>
                <w:color w:val="auto"/>
              </w:rPr>
            </w:pP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BG Atlantic 1 Holdings Limited</w:t>
            </w:r>
          </w:p>
        </w:tc>
        <w:tc>
          <w:tcPr>
            <w:tcW w:w="6140" w:type="dxa"/>
            <w:vAlign w:val="bottom"/>
          </w:tcPr>
          <w:p>
            <w:pPr>
              <w:ind w:left="800"/>
              <w:spacing w:after="0"/>
              <w:rPr>
                <w:sz w:val="20"/>
                <w:szCs w:val="20"/>
                <w:color w:val="auto"/>
              </w:rPr>
            </w:pPr>
            <w:r>
              <w:rPr>
                <w:rFonts w:ascii="Arial" w:cs="Arial" w:eastAsia="Arial" w:hAnsi="Arial"/>
                <w:sz w:val="7"/>
                <w:szCs w:val="7"/>
                <w:color w:val="auto"/>
              </w:rPr>
              <w:t>Mercury Court, Choc Estate, Castries</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BG Atlantic 2/3 Holdings Limited</w:t>
            </w:r>
          </w:p>
        </w:tc>
        <w:tc>
          <w:tcPr>
            <w:tcW w:w="6140" w:type="dxa"/>
            <w:vAlign w:val="bottom"/>
          </w:tcPr>
          <w:p>
            <w:pPr>
              <w:ind w:left="800"/>
              <w:spacing w:after="0"/>
              <w:rPr>
                <w:sz w:val="20"/>
                <w:szCs w:val="20"/>
                <w:color w:val="auto"/>
              </w:rPr>
            </w:pPr>
            <w:r>
              <w:rPr>
                <w:rFonts w:ascii="Arial" w:cs="Arial" w:eastAsia="Arial" w:hAnsi="Arial"/>
                <w:sz w:val="7"/>
                <w:szCs w:val="7"/>
                <w:color w:val="auto"/>
              </w:rPr>
              <w:t>Mercury Court, Choc Estate, Castries</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BG Atlantic 4 Holdings Limited</w:t>
            </w:r>
          </w:p>
        </w:tc>
        <w:tc>
          <w:tcPr>
            <w:tcW w:w="6140" w:type="dxa"/>
            <w:vAlign w:val="bottom"/>
          </w:tcPr>
          <w:p>
            <w:pPr>
              <w:ind w:left="800"/>
              <w:spacing w:after="0"/>
              <w:rPr>
                <w:sz w:val="20"/>
                <w:szCs w:val="20"/>
                <w:color w:val="auto"/>
              </w:rPr>
            </w:pPr>
            <w:r>
              <w:rPr>
                <w:rFonts w:ascii="Arial" w:cs="Arial" w:eastAsia="Arial" w:hAnsi="Arial"/>
                <w:sz w:val="7"/>
                <w:szCs w:val="7"/>
                <w:color w:val="auto"/>
              </w:rPr>
              <w:t>Mercury Court, Choc Estate, Castries</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BG Central Holdings Ltd.</w:t>
            </w:r>
          </w:p>
        </w:tc>
        <w:tc>
          <w:tcPr>
            <w:tcW w:w="6140" w:type="dxa"/>
            <w:vAlign w:val="bottom"/>
          </w:tcPr>
          <w:p>
            <w:pPr>
              <w:ind w:left="800"/>
              <w:spacing w:after="0"/>
              <w:rPr>
                <w:sz w:val="20"/>
                <w:szCs w:val="20"/>
                <w:color w:val="auto"/>
              </w:rPr>
            </w:pPr>
            <w:r>
              <w:rPr>
                <w:rFonts w:ascii="Arial" w:cs="Arial" w:eastAsia="Arial" w:hAnsi="Arial"/>
                <w:sz w:val="7"/>
                <w:szCs w:val="7"/>
                <w:color w:val="auto"/>
              </w:rPr>
              <w:t>Mercury Court, Choc Estate, Castries</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BG West Indies No. 2 Limited</w:t>
            </w:r>
          </w:p>
        </w:tc>
        <w:tc>
          <w:tcPr>
            <w:tcW w:w="6140" w:type="dxa"/>
            <w:vAlign w:val="bottom"/>
          </w:tcPr>
          <w:p>
            <w:pPr>
              <w:ind w:left="800"/>
              <w:spacing w:after="0"/>
              <w:rPr>
                <w:sz w:val="20"/>
                <w:szCs w:val="20"/>
                <w:color w:val="auto"/>
              </w:rPr>
            </w:pPr>
            <w:r>
              <w:rPr>
                <w:rFonts w:ascii="Arial" w:cs="Arial" w:eastAsia="Arial" w:hAnsi="Arial"/>
                <w:sz w:val="7"/>
                <w:szCs w:val="7"/>
                <w:color w:val="auto"/>
              </w:rPr>
              <w:t>Mercury Court, Choc Estate, Castries</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spacing w:after="0"/>
              <w:rPr>
                <w:sz w:val="20"/>
                <w:szCs w:val="20"/>
                <w:color w:val="auto"/>
              </w:rPr>
            </w:pPr>
            <w:r>
              <w:rPr>
                <w:rFonts w:ascii="Arial" w:cs="Arial" w:eastAsia="Arial" w:hAnsi="Arial"/>
                <w:sz w:val="7"/>
                <w:szCs w:val="7"/>
                <w:color w:val="auto"/>
              </w:rPr>
              <w:t>SAUDI ARABIA</w:t>
            </w:r>
          </w:p>
        </w:tc>
        <w:tc>
          <w:tcPr>
            <w:tcW w:w="6140" w:type="dxa"/>
            <w:vAlign w:val="bottom"/>
          </w:tcPr>
          <w:p>
            <w:pPr>
              <w:spacing w:after="0"/>
              <w:rPr>
                <w:sz w:val="9"/>
                <w:szCs w:val="9"/>
                <w:color w:val="auto"/>
              </w:rPr>
            </w:pPr>
          </w:p>
        </w:tc>
        <w:tc>
          <w:tcPr>
            <w:tcW w:w="2180" w:type="dxa"/>
            <w:vAlign w:val="bottom"/>
          </w:tcPr>
          <w:p>
            <w:pPr>
              <w:spacing w:after="0"/>
              <w:rPr>
                <w:sz w:val="9"/>
                <w:szCs w:val="9"/>
                <w:color w:val="auto"/>
              </w:rPr>
            </w:pP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Al Jomaih and Shell Lubricating Oil Co.Ltd.</w:t>
            </w:r>
          </w:p>
        </w:tc>
        <w:tc>
          <w:tcPr>
            <w:tcW w:w="6140" w:type="dxa"/>
            <w:vAlign w:val="bottom"/>
          </w:tcPr>
          <w:p>
            <w:pPr>
              <w:ind w:left="800"/>
              <w:spacing w:after="0"/>
              <w:rPr>
                <w:sz w:val="20"/>
                <w:szCs w:val="20"/>
                <w:color w:val="auto"/>
              </w:rPr>
            </w:pPr>
            <w:r>
              <w:rPr>
                <w:rFonts w:ascii="Arial" w:cs="Arial" w:eastAsia="Arial" w:hAnsi="Arial"/>
                <w:sz w:val="7"/>
                <w:szCs w:val="7"/>
                <w:color w:val="auto"/>
              </w:rPr>
              <w:t>P.O. Box 41467, Riyadh, 11521</w:t>
            </w:r>
          </w:p>
        </w:tc>
        <w:tc>
          <w:tcPr>
            <w:tcW w:w="21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960" w:type="dxa"/>
            <w:vAlign w:val="bottom"/>
          </w:tcPr>
          <w:p>
            <w:pPr>
              <w:spacing w:after="0"/>
              <w:rPr>
                <w:sz w:val="20"/>
                <w:szCs w:val="20"/>
                <w:color w:val="auto"/>
              </w:rPr>
            </w:pPr>
            <w:r>
              <w:rPr>
                <w:rFonts w:ascii="Arial" w:cs="Arial" w:eastAsia="Arial" w:hAnsi="Arial"/>
                <w:sz w:val="7"/>
                <w:szCs w:val="7"/>
                <w:color w:val="auto"/>
              </w:rPr>
              <w:t>SINGAPORE</w:t>
            </w:r>
          </w:p>
        </w:tc>
        <w:tc>
          <w:tcPr>
            <w:tcW w:w="6140" w:type="dxa"/>
            <w:vAlign w:val="bottom"/>
          </w:tcPr>
          <w:p>
            <w:pPr>
              <w:spacing w:after="0"/>
              <w:rPr>
                <w:sz w:val="9"/>
                <w:szCs w:val="9"/>
                <w:color w:val="auto"/>
              </w:rPr>
            </w:pPr>
          </w:p>
        </w:tc>
        <w:tc>
          <w:tcPr>
            <w:tcW w:w="2180" w:type="dxa"/>
            <w:vAlign w:val="bottom"/>
          </w:tcPr>
          <w:p>
            <w:pPr>
              <w:spacing w:after="0"/>
              <w:rPr>
                <w:sz w:val="9"/>
                <w:szCs w:val="9"/>
                <w:color w:val="auto"/>
              </w:rPr>
            </w:pP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BG Asia Pacific Holdings Pte. Limited</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BG Asia Pacific Services Pte. Ltd.</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BG Exploration &amp; Production Myanmar Pte. Ltd.</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BG Insurance Company (Singapore) Pte Ltd</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BG Myanmar Pte. Ltd.</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Changi Airport Fuel Hydrant Installation Pte. Ltd.</w:t>
            </w:r>
          </w:p>
        </w:tc>
        <w:tc>
          <w:tcPr>
            <w:tcW w:w="6140" w:type="dxa"/>
            <w:vAlign w:val="bottom"/>
          </w:tcPr>
          <w:p>
            <w:pPr>
              <w:ind w:left="800"/>
              <w:spacing w:after="0"/>
              <w:rPr>
                <w:sz w:val="20"/>
                <w:szCs w:val="20"/>
                <w:color w:val="auto"/>
              </w:rPr>
            </w:pPr>
            <w:r>
              <w:rPr>
                <w:rFonts w:ascii="Arial" w:cs="Arial" w:eastAsia="Arial" w:hAnsi="Arial"/>
                <w:sz w:val="7"/>
                <w:szCs w:val="7"/>
                <w:color w:val="auto"/>
              </w:rPr>
              <w:t>15, Airline Road, Singapore, 819828</w:t>
            </w:r>
          </w:p>
        </w:tc>
        <w:tc>
          <w:tcPr>
            <w:tcW w:w="2180" w:type="dxa"/>
            <w:vAlign w:val="bottom"/>
          </w:tcPr>
          <w:p>
            <w:pPr>
              <w:jc w:val="right"/>
              <w:spacing w:after="0"/>
              <w:rPr>
                <w:sz w:val="20"/>
                <w:szCs w:val="20"/>
                <w:color w:val="auto"/>
              </w:rPr>
            </w:pPr>
            <w:r>
              <w:rPr>
                <w:rFonts w:ascii="Arial" w:cs="Arial" w:eastAsia="Arial" w:hAnsi="Arial"/>
                <w:sz w:val="7"/>
                <w:szCs w:val="7"/>
                <w:color w:val="auto"/>
              </w:rPr>
              <w:t>11</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Cleantech Renewable Assets Pte Ltd</w:t>
            </w:r>
          </w:p>
        </w:tc>
        <w:tc>
          <w:tcPr>
            <w:tcW w:w="6140" w:type="dxa"/>
            <w:vAlign w:val="bottom"/>
          </w:tcPr>
          <w:p>
            <w:pPr>
              <w:ind w:left="800"/>
              <w:spacing w:after="0"/>
              <w:rPr>
                <w:sz w:val="20"/>
                <w:szCs w:val="20"/>
                <w:color w:val="auto"/>
              </w:rPr>
            </w:pPr>
            <w:r>
              <w:rPr>
                <w:rFonts w:ascii="Arial" w:cs="Arial" w:eastAsia="Arial" w:hAnsi="Arial"/>
                <w:sz w:val="7"/>
                <w:szCs w:val="7"/>
                <w:color w:val="auto"/>
              </w:rPr>
              <w:t>25 Church Street, 03-04 Capital Square three, Singapore, 049482</w:t>
            </w:r>
          </w:p>
        </w:tc>
        <w:tc>
          <w:tcPr>
            <w:tcW w:w="218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Connected Freight Pte. Ltd.</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80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Ellba Eastern (Pte) Ltd</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Fuelng Pte. Ltd [b]</w:t>
            </w:r>
          </w:p>
        </w:tc>
        <w:tc>
          <w:tcPr>
            <w:tcW w:w="6140" w:type="dxa"/>
            <w:vAlign w:val="bottom"/>
          </w:tcPr>
          <w:p>
            <w:pPr>
              <w:ind w:left="800"/>
              <w:spacing w:after="0"/>
              <w:rPr>
                <w:sz w:val="20"/>
                <w:szCs w:val="20"/>
                <w:color w:val="auto"/>
              </w:rPr>
            </w:pPr>
            <w:r>
              <w:rPr>
                <w:rFonts w:ascii="Arial" w:cs="Arial" w:eastAsia="Arial" w:hAnsi="Arial"/>
                <w:sz w:val="7"/>
                <w:szCs w:val="7"/>
                <w:color w:val="auto"/>
              </w:rPr>
              <w:t>50 Gul Road, Singapore, 629351</w:t>
            </w:r>
          </w:p>
        </w:tc>
        <w:tc>
          <w:tcPr>
            <w:tcW w:w="21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Infineum Singapore LLP</w:t>
            </w:r>
          </w:p>
        </w:tc>
        <w:tc>
          <w:tcPr>
            <w:tcW w:w="6140" w:type="dxa"/>
            <w:vAlign w:val="bottom"/>
          </w:tcPr>
          <w:p>
            <w:pPr>
              <w:ind w:left="800"/>
              <w:spacing w:after="0"/>
              <w:rPr>
                <w:sz w:val="20"/>
                <w:szCs w:val="20"/>
                <w:color w:val="auto"/>
              </w:rPr>
            </w:pPr>
            <w:r>
              <w:rPr>
                <w:rFonts w:ascii="Arial" w:cs="Arial" w:eastAsia="Arial" w:hAnsi="Arial"/>
                <w:sz w:val="7"/>
                <w:szCs w:val="7"/>
                <w:color w:val="auto"/>
              </w:rPr>
              <w:t>1 Harbourfront Avenue, #08-01/08, Keppel Bay Tower, Singapore, 098632</w:t>
            </w:r>
          </w:p>
        </w:tc>
        <w:tc>
          <w:tcPr>
            <w:tcW w:w="218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Orb Energy Pte Ltd.</w:t>
            </w:r>
          </w:p>
        </w:tc>
        <w:tc>
          <w:tcPr>
            <w:tcW w:w="6140" w:type="dxa"/>
            <w:vAlign w:val="bottom"/>
          </w:tcPr>
          <w:p>
            <w:pPr>
              <w:ind w:left="800"/>
              <w:spacing w:after="0"/>
              <w:rPr>
                <w:sz w:val="20"/>
                <w:szCs w:val="20"/>
                <w:color w:val="auto"/>
              </w:rPr>
            </w:pPr>
            <w:r>
              <w:rPr>
                <w:rFonts w:ascii="Arial" w:cs="Arial" w:eastAsia="Arial" w:hAnsi="Arial"/>
                <w:sz w:val="7"/>
                <w:szCs w:val="7"/>
                <w:color w:val="auto"/>
              </w:rPr>
              <w:t>50 Raffles Place #06-00, Singapore Land Tower, Singapore, 048623</w:t>
            </w:r>
          </w:p>
        </w:tc>
        <w:tc>
          <w:tcPr>
            <w:tcW w:w="2180" w:type="dxa"/>
            <w:vAlign w:val="bottom"/>
          </w:tcPr>
          <w:p>
            <w:pPr>
              <w:jc w:val="right"/>
              <w:spacing w:after="0"/>
              <w:rPr>
                <w:sz w:val="20"/>
                <w:szCs w:val="20"/>
                <w:color w:val="auto"/>
              </w:rPr>
            </w:pPr>
            <w:r>
              <w:rPr>
                <w:rFonts w:ascii="Arial" w:cs="Arial" w:eastAsia="Arial" w:hAnsi="Arial"/>
                <w:sz w:val="7"/>
                <w:szCs w:val="7"/>
                <w:color w:val="auto"/>
              </w:rPr>
              <w:t>24</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QPI and Shell Petrochemicals (Singapore) Pte Ltd</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51</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Catalysts &amp; Technologies Pte. Ltd.</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Chemicals Seraya Pte. Ltd.</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Eastern Petroleum (Pte) Ltd [g]</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Eastern Trading (Pte) Ltd [g]</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Gas Marketing Pte. Ltd.</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Integrated Gas Thailand Pte.Limited</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960" w:type="dxa"/>
            <w:vAlign w:val="bottom"/>
          </w:tcPr>
          <w:p>
            <w:pPr>
              <w:ind w:left="80"/>
              <w:spacing w:after="0"/>
              <w:rPr>
                <w:sz w:val="20"/>
                <w:szCs w:val="20"/>
                <w:color w:val="auto"/>
              </w:rPr>
            </w:pPr>
            <w:r>
              <w:rPr>
                <w:rFonts w:ascii="Arial" w:cs="Arial" w:eastAsia="Arial" w:hAnsi="Arial"/>
                <w:sz w:val="7"/>
                <w:szCs w:val="7"/>
                <w:color w:val="auto"/>
              </w:rPr>
              <w:t>Shell Myanmar Energy Pte. Ltd.</w:t>
            </w:r>
          </w:p>
        </w:tc>
        <w:tc>
          <w:tcPr>
            <w:tcW w:w="6140" w:type="dxa"/>
            <w:vAlign w:val="bottom"/>
          </w:tcPr>
          <w:p>
            <w:pPr>
              <w:ind w:left="80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18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520"/>
        </w:trPr>
        <w:tc>
          <w:tcPr>
            <w:tcW w:w="2960" w:type="dxa"/>
            <w:vAlign w:val="bottom"/>
          </w:tcPr>
          <w:p>
            <w:pPr>
              <w:ind w:left="40"/>
              <w:spacing w:after="0"/>
              <w:rPr>
                <w:sz w:val="20"/>
                <w:szCs w:val="20"/>
                <w:color w:val="auto"/>
              </w:rPr>
            </w:pPr>
            <w:r>
              <w:rPr>
                <w:rFonts w:ascii="Arial" w:cs="Arial" w:eastAsia="Arial" w:hAnsi="Arial"/>
                <w:sz w:val="6"/>
                <w:szCs w:val="6"/>
                <w:color w:val="auto"/>
              </w:rPr>
              <w:t>ADDITIONAL INFORMATION SHELL FORM 20-F 2020</w:t>
            </w:r>
          </w:p>
        </w:tc>
        <w:tc>
          <w:tcPr>
            <w:tcW w:w="6140" w:type="dxa"/>
            <w:vAlign w:val="bottom"/>
          </w:tcPr>
          <w:p>
            <w:pPr>
              <w:ind w:left="2600"/>
              <w:spacing w:after="0"/>
              <w:rPr>
                <w:sz w:val="20"/>
                <w:szCs w:val="20"/>
                <w:color w:val="auto"/>
              </w:rPr>
            </w:pPr>
            <w:r>
              <w:rPr>
                <w:rFonts w:ascii="Arial" w:cs="Arial" w:eastAsia="Arial" w:hAnsi="Arial"/>
                <w:sz w:val="6"/>
                <w:szCs w:val="6"/>
                <w:color w:val="auto"/>
              </w:rPr>
              <w:t>E14</w:t>
            </w:r>
          </w:p>
        </w:tc>
        <w:tc>
          <w:tcPr>
            <w:tcW w:w="2180" w:type="dxa"/>
            <w:vAlign w:val="bottom"/>
          </w:tcPr>
          <w:p>
            <w:pPr>
              <w:spacing w:after="0"/>
              <w:rPr>
                <w:sz w:val="24"/>
                <w:szCs w:val="24"/>
                <w:color w:val="auto"/>
              </w:rPr>
            </w:pPr>
          </w:p>
        </w:tc>
      </w:tr>
    </w:tbl>
    <w:p>
      <w:pPr>
        <w:sectPr>
          <w:pgSz w:w="11900" w:h="16838" w:orient="portrait"/>
          <w:cols w:equalWidth="0" w:num="1">
            <w:col w:w="11280"/>
          </w:cols>
          <w:pgMar w:left="300" w:top="735" w:right="319" w:bottom="1440" w:gutter="0" w:footer="0" w:header="0"/>
        </w:sectPr>
      </w:pPr>
    </w:p>
    <w:bookmarkStart w:id="302" w:name="page303"/>
    <w:bookmarkEnd w:id="3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880" w:type="dxa"/>
            <w:vAlign w:val="bottom"/>
          </w:tcPr>
          <w:p>
            <w:pPr>
              <w:ind w:left="80"/>
              <w:spacing w:after="0"/>
              <w:rPr>
                <w:sz w:val="20"/>
                <w:szCs w:val="20"/>
                <w:color w:val="auto"/>
              </w:rPr>
            </w:pPr>
            <w:r>
              <w:rPr>
                <w:rFonts w:ascii="Arial" w:cs="Arial" w:eastAsia="Arial" w:hAnsi="Arial"/>
                <w:sz w:val="7"/>
                <w:szCs w:val="7"/>
                <w:color w:val="auto"/>
              </w:rPr>
              <w:t>Shell Pulau Moa Pte Ltd</w:t>
            </w:r>
          </w:p>
        </w:tc>
        <w:tc>
          <w:tcPr>
            <w:tcW w:w="6040" w:type="dxa"/>
            <w:vAlign w:val="bottom"/>
          </w:tcPr>
          <w:p>
            <w:pPr>
              <w:ind w:left="88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Seraya Pioneer (Pte) Ltd</w:t>
            </w:r>
          </w:p>
        </w:tc>
        <w:tc>
          <w:tcPr>
            <w:tcW w:w="6040" w:type="dxa"/>
            <w:vAlign w:val="bottom"/>
          </w:tcPr>
          <w:p>
            <w:pPr>
              <w:ind w:left="88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Tankers (Singapore) Private Limited</w:t>
            </w:r>
          </w:p>
        </w:tc>
        <w:tc>
          <w:tcPr>
            <w:tcW w:w="6040" w:type="dxa"/>
            <w:vAlign w:val="bottom"/>
          </w:tcPr>
          <w:p>
            <w:pPr>
              <w:ind w:left="88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Treasury Centre East (Pte) Ltd</w:t>
            </w:r>
          </w:p>
        </w:tc>
        <w:tc>
          <w:tcPr>
            <w:tcW w:w="6040" w:type="dxa"/>
            <w:vAlign w:val="bottom"/>
          </w:tcPr>
          <w:p>
            <w:pPr>
              <w:ind w:left="88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Singapore Lube Park Pte. Ltd. [b]</w:t>
            </w:r>
          </w:p>
        </w:tc>
        <w:tc>
          <w:tcPr>
            <w:tcW w:w="6040" w:type="dxa"/>
            <w:vAlign w:val="bottom"/>
          </w:tcPr>
          <w:p>
            <w:pPr>
              <w:ind w:left="880"/>
              <w:spacing w:after="0"/>
              <w:rPr>
                <w:sz w:val="20"/>
                <w:szCs w:val="20"/>
                <w:color w:val="auto"/>
              </w:rPr>
            </w:pPr>
            <w:r>
              <w:rPr>
                <w:rFonts w:ascii="Arial" w:cs="Arial" w:eastAsia="Arial" w:hAnsi="Arial"/>
                <w:sz w:val="7"/>
                <w:szCs w:val="7"/>
                <w:color w:val="auto"/>
              </w:rPr>
              <w:t>160 Tuas South Avenue 5, Singapore, 637364</w:t>
            </w:r>
          </w:p>
        </w:tc>
        <w:tc>
          <w:tcPr>
            <w:tcW w:w="2340" w:type="dxa"/>
            <w:vAlign w:val="bottom"/>
          </w:tcPr>
          <w:p>
            <w:pPr>
              <w:jc w:val="right"/>
              <w:spacing w:after="0"/>
              <w:rPr>
                <w:sz w:val="20"/>
                <w:szCs w:val="20"/>
                <w:color w:val="auto"/>
              </w:rPr>
            </w:pPr>
            <w:r>
              <w:rPr>
                <w:rFonts w:ascii="Arial" w:cs="Arial" w:eastAsia="Arial" w:hAnsi="Arial"/>
                <w:sz w:val="7"/>
                <w:szCs w:val="7"/>
                <w:color w:val="auto"/>
              </w:rPr>
              <w:t>44</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Sirius Well Manufacturing Services Pte. Ltd. [b]</w:t>
            </w:r>
          </w:p>
        </w:tc>
        <w:tc>
          <w:tcPr>
            <w:tcW w:w="6040" w:type="dxa"/>
            <w:vAlign w:val="bottom"/>
          </w:tcPr>
          <w:p>
            <w:pPr>
              <w:ind w:left="880"/>
              <w:spacing w:after="0"/>
              <w:rPr>
                <w:sz w:val="20"/>
                <w:szCs w:val="20"/>
                <w:color w:val="auto"/>
              </w:rPr>
            </w:pPr>
            <w:r>
              <w:rPr>
                <w:rFonts w:ascii="Arial" w:cs="Arial" w:eastAsia="Arial" w:hAnsi="Arial"/>
                <w:sz w:val="7"/>
                <w:szCs w:val="7"/>
                <w:color w:val="auto"/>
              </w:rPr>
              <w:t>The Metropolis Tower 1, 9 North Buona Vista Drive, #07-01, Singapore, 138588</w:t>
            </w:r>
          </w:p>
        </w:tc>
        <w:tc>
          <w:tcPr>
            <w:tcW w:w="23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Zeco Systems Pte. Ltd.</w:t>
            </w:r>
          </w:p>
        </w:tc>
        <w:tc>
          <w:tcPr>
            <w:tcW w:w="6040" w:type="dxa"/>
            <w:vAlign w:val="bottom"/>
          </w:tcPr>
          <w:p>
            <w:pPr>
              <w:ind w:left="880"/>
              <w:spacing w:after="0"/>
              <w:rPr>
                <w:sz w:val="20"/>
                <w:szCs w:val="20"/>
                <w:color w:val="auto"/>
              </w:rPr>
            </w:pPr>
            <w:r>
              <w:rPr>
                <w:rFonts w:ascii="Arial" w:cs="Arial" w:eastAsia="Arial" w:hAnsi="Arial"/>
                <w:sz w:val="7"/>
                <w:szCs w:val="7"/>
                <w:color w:val="auto"/>
              </w:rPr>
              <w:t>1 Commonwealth Lane, #09-30, One Commonwealth, Singapore, 149544</w:t>
            </w:r>
          </w:p>
        </w:tc>
        <w:tc>
          <w:tcPr>
            <w:tcW w:w="2340" w:type="dxa"/>
            <w:vAlign w:val="bottom"/>
          </w:tcPr>
          <w:p>
            <w:pPr>
              <w:jc w:val="right"/>
              <w:spacing w:after="0"/>
              <w:rPr>
                <w:sz w:val="20"/>
                <w:szCs w:val="20"/>
                <w:color w:val="auto"/>
              </w:rPr>
            </w:pPr>
            <w:r>
              <w:rPr>
                <w:rFonts w:ascii="Arial" w:cs="Arial" w:eastAsia="Arial" w:hAnsi="Arial"/>
                <w:sz w:val="7"/>
                <w:szCs w:val="7"/>
                <w:color w:val="auto"/>
              </w:rPr>
              <w:t>99</w:t>
            </w:r>
          </w:p>
        </w:tc>
      </w:tr>
      <w:tr>
        <w:trPr>
          <w:trHeight w:val="108"/>
        </w:trPr>
        <w:tc>
          <w:tcPr>
            <w:tcW w:w="2880" w:type="dxa"/>
            <w:vAlign w:val="bottom"/>
          </w:tcPr>
          <w:p>
            <w:pPr>
              <w:spacing w:after="0"/>
              <w:rPr>
                <w:sz w:val="20"/>
                <w:szCs w:val="20"/>
                <w:color w:val="auto"/>
              </w:rPr>
            </w:pPr>
            <w:r>
              <w:rPr>
                <w:rFonts w:ascii="Arial" w:cs="Arial" w:eastAsia="Arial" w:hAnsi="Arial"/>
                <w:sz w:val="7"/>
                <w:szCs w:val="7"/>
                <w:color w:val="auto"/>
              </w:rPr>
              <w:t>SLOVAKIA</w:t>
            </w:r>
          </w:p>
        </w:tc>
        <w:tc>
          <w:tcPr>
            <w:tcW w:w="6040" w:type="dxa"/>
            <w:vAlign w:val="bottom"/>
          </w:tcPr>
          <w:p>
            <w:pPr>
              <w:spacing w:after="0"/>
              <w:rPr>
                <w:sz w:val="9"/>
                <w:szCs w:val="9"/>
                <w:color w:val="auto"/>
              </w:rPr>
            </w:pPr>
          </w:p>
        </w:tc>
        <w:tc>
          <w:tcPr>
            <w:tcW w:w="2340" w:type="dxa"/>
            <w:vAlign w:val="bottom"/>
          </w:tcPr>
          <w:p>
            <w:pPr>
              <w:spacing w:after="0"/>
              <w:rPr>
                <w:sz w:val="9"/>
                <w:szCs w:val="9"/>
                <w:color w:val="auto"/>
              </w:rPr>
            </w:pP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Slovakia s.r.o.</w:t>
            </w:r>
          </w:p>
        </w:tc>
        <w:tc>
          <w:tcPr>
            <w:tcW w:w="6040" w:type="dxa"/>
            <w:vAlign w:val="bottom"/>
          </w:tcPr>
          <w:p>
            <w:pPr>
              <w:ind w:left="880"/>
              <w:spacing w:after="0"/>
              <w:rPr>
                <w:sz w:val="20"/>
                <w:szCs w:val="20"/>
                <w:color w:val="auto"/>
              </w:rPr>
            </w:pPr>
            <w:r>
              <w:rPr>
                <w:rFonts w:ascii="Arial" w:cs="Arial" w:eastAsia="Arial" w:hAnsi="Arial"/>
                <w:sz w:val="7"/>
                <w:szCs w:val="7"/>
                <w:color w:val="auto"/>
              </w:rPr>
              <w:t>Einsteinova 23, Bratislava, 851 01</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spacing w:after="0"/>
              <w:rPr>
                <w:sz w:val="20"/>
                <w:szCs w:val="20"/>
                <w:color w:val="auto"/>
              </w:rPr>
            </w:pPr>
            <w:r>
              <w:rPr>
                <w:rFonts w:ascii="Arial" w:cs="Arial" w:eastAsia="Arial" w:hAnsi="Arial"/>
                <w:sz w:val="7"/>
                <w:szCs w:val="7"/>
                <w:color w:val="auto"/>
              </w:rPr>
              <w:t>SLOVENIA</w:t>
            </w:r>
          </w:p>
        </w:tc>
        <w:tc>
          <w:tcPr>
            <w:tcW w:w="6040" w:type="dxa"/>
            <w:vAlign w:val="bottom"/>
          </w:tcPr>
          <w:p>
            <w:pPr>
              <w:spacing w:after="0"/>
              <w:rPr>
                <w:sz w:val="9"/>
                <w:szCs w:val="9"/>
                <w:color w:val="auto"/>
              </w:rPr>
            </w:pPr>
          </w:p>
        </w:tc>
        <w:tc>
          <w:tcPr>
            <w:tcW w:w="2340" w:type="dxa"/>
            <w:vAlign w:val="bottom"/>
          </w:tcPr>
          <w:p>
            <w:pPr>
              <w:spacing w:after="0"/>
              <w:rPr>
                <w:sz w:val="9"/>
                <w:szCs w:val="9"/>
                <w:color w:val="auto"/>
              </w:rPr>
            </w:pP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Adria d.o.o.</w:t>
            </w:r>
          </w:p>
        </w:tc>
        <w:tc>
          <w:tcPr>
            <w:tcW w:w="6040" w:type="dxa"/>
            <w:vAlign w:val="bottom"/>
          </w:tcPr>
          <w:p>
            <w:pPr>
              <w:ind w:left="880"/>
              <w:spacing w:after="0"/>
              <w:rPr>
                <w:sz w:val="20"/>
                <w:szCs w:val="20"/>
                <w:color w:val="auto"/>
              </w:rPr>
            </w:pPr>
            <w:r>
              <w:rPr>
                <w:rFonts w:ascii="Arial" w:cs="Arial" w:eastAsia="Arial" w:hAnsi="Arial"/>
                <w:sz w:val="7"/>
                <w:szCs w:val="7"/>
                <w:color w:val="auto"/>
              </w:rPr>
              <w:t>Bravnicarjeva ulica 13, Ljubljana, 1000</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spacing w:after="0"/>
              <w:rPr>
                <w:sz w:val="20"/>
                <w:szCs w:val="20"/>
                <w:color w:val="auto"/>
              </w:rPr>
            </w:pPr>
            <w:r>
              <w:rPr>
                <w:rFonts w:ascii="Arial" w:cs="Arial" w:eastAsia="Arial" w:hAnsi="Arial"/>
                <w:sz w:val="7"/>
                <w:szCs w:val="7"/>
                <w:color w:val="auto"/>
              </w:rPr>
              <w:t>SOUTH AFRICA</w:t>
            </w:r>
          </w:p>
        </w:tc>
        <w:tc>
          <w:tcPr>
            <w:tcW w:w="6040" w:type="dxa"/>
            <w:vAlign w:val="bottom"/>
          </w:tcPr>
          <w:p>
            <w:pPr>
              <w:spacing w:after="0"/>
              <w:rPr>
                <w:sz w:val="9"/>
                <w:szCs w:val="9"/>
                <w:color w:val="auto"/>
              </w:rPr>
            </w:pPr>
          </w:p>
        </w:tc>
        <w:tc>
          <w:tcPr>
            <w:tcW w:w="2340" w:type="dxa"/>
            <w:vAlign w:val="bottom"/>
          </w:tcPr>
          <w:p>
            <w:pPr>
              <w:spacing w:after="0"/>
              <w:rPr>
                <w:sz w:val="9"/>
                <w:szCs w:val="9"/>
                <w:color w:val="auto"/>
              </w:rPr>
            </w:pP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Bituguard Southern Africa (Pty) Ltd</w:t>
            </w:r>
          </w:p>
        </w:tc>
        <w:tc>
          <w:tcPr>
            <w:tcW w:w="6040" w:type="dxa"/>
            <w:vAlign w:val="bottom"/>
          </w:tcPr>
          <w:p>
            <w:pPr>
              <w:ind w:left="880"/>
              <w:spacing w:after="0"/>
              <w:rPr>
                <w:sz w:val="20"/>
                <w:szCs w:val="20"/>
                <w:color w:val="auto"/>
              </w:rPr>
            </w:pPr>
            <w:r>
              <w:rPr>
                <w:rFonts w:ascii="Arial" w:cs="Arial" w:eastAsia="Arial" w:hAnsi="Arial"/>
                <w:sz w:val="7"/>
                <w:szCs w:val="7"/>
                <w:color w:val="auto"/>
              </w:rPr>
              <w:t>Twickenham, The Campus, 57 Sloan Street, Epsom Downs, Bryanston, 2021</w:t>
            </w:r>
          </w:p>
        </w:tc>
        <w:tc>
          <w:tcPr>
            <w:tcW w:w="2340" w:type="dxa"/>
            <w:vAlign w:val="bottom"/>
          </w:tcPr>
          <w:p>
            <w:pPr>
              <w:jc w:val="right"/>
              <w:spacing w:after="0"/>
              <w:rPr>
                <w:sz w:val="20"/>
                <w:szCs w:val="20"/>
                <w:color w:val="auto"/>
              </w:rPr>
            </w:pPr>
            <w:r>
              <w:rPr>
                <w:rFonts w:ascii="Arial" w:cs="Arial" w:eastAsia="Arial" w:hAnsi="Arial"/>
                <w:sz w:val="7"/>
                <w:szCs w:val="7"/>
                <w:color w:val="auto"/>
              </w:rPr>
              <w:t>36</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Blendcor (Pty) Ltd. [b]</w:t>
            </w:r>
          </w:p>
        </w:tc>
        <w:tc>
          <w:tcPr>
            <w:tcW w:w="6040" w:type="dxa"/>
            <w:vAlign w:val="bottom"/>
          </w:tcPr>
          <w:p>
            <w:pPr>
              <w:ind w:left="880"/>
              <w:spacing w:after="0"/>
              <w:rPr>
                <w:sz w:val="20"/>
                <w:szCs w:val="20"/>
                <w:color w:val="auto"/>
              </w:rPr>
            </w:pPr>
            <w:r>
              <w:rPr>
                <w:rFonts w:ascii="Arial" w:cs="Arial" w:eastAsia="Arial" w:hAnsi="Arial"/>
                <w:sz w:val="7"/>
                <w:szCs w:val="7"/>
                <w:color w:val="auto"/>
              </w:rPr>
              <w:t>Honshu Road, Durban, 4001</w:t>
            </w:r>
          </w:p>
        </w:tc>
        <w:tc>
          <w:tcPr>
            <w:tcW w:w="2340" w:type="dxa"/>
            <w:vAlign w:val="bottom"/>
          </w:tcPr>
          <w:p>
            <w:pPr>
              <w:jc w:val="right"/>
              <w:spacing w:after="0"/>
              <w:rPr>
                <w:sz w:val="20"/>
                <w:szCs w:val="20"/>
                <w:color w:val="auto"/>
              </w:rPr>
            </w:pPr>
            <w:r>
              <w:rPr>
                <w:rFonts w:ascii="Arial" w:cs="Arial" w:eastAsia="Arial" w:hAnsi="Arial"/>
                <w:sz w:val="7"/>
                <w:szCs w:val="7"/>
                <w:color w:val="auto"/>
              </w:rPr>
              <w:t>36</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Sekelo Oil Trading (Pty) Limited</w:t>
            </w:r>
          </w:p>
        </w:tc>
        <w:tc>
          <w:tcPr>
            <w:tcW w:w="6040" w:type="dxa"/>
            <w:vAlign w:val="bottom"/>
          </w:tcPr>
          <w:p>
            <w:pPr>
              <w:ind w:left="880"/>
              <w:spacing w:after="0"/>
              <w:rPr>
                <w:sz w:val="20"/>
                <w:szCs w:val="20"/>
                <w:color w:val="auto"/>
              </w:rPr>
            </w:pPr>
            <w:r>
              <w:rPr>
                <w:rFonts w:ascii="Arial" w:cs="Arial" w:eastAsia="Arial" w:hAnsi="Arial"/>
                <w:sz w:val="7"/>
                <w:szCs w:val="7"/>
                <w:color w:val="auto"/>
              </w:rPr>
              <w:t>1st Floor Oxford Parks, 199 Oxford Road, Dunkeld, Gauteng, 2196</w:t>
            </w:r>
          </w:p>
        </w:tc>
        <w:tc>
          <w:tcPr>
            <w:tcW w:w="2340" w:type="dxa"/>
            <w:vAlign w:val="bottom"/>
          </w:tcPr>
          <w:p>
            <w:pPr>
              <w:jc w:val="right"/>
              <w:spacing w:after="0"/>
              <w:rPr>
                <w:sz w:val="20"/>
                <w:szCs w:val="20"/>
                <w:color w:val="auto"/>
              </w:rPr>
            </w:pPr>
            <w:r>
              <w:rPr>
                <w:rFonts w:ascii="Arial" w:cs="Arial" w:eastAsia="Arial" w:hAnsi="Arial"/>
                <w:sz w:val="7"/>
                <w:szCs w:val="7"/>
                <w:color w:val="auto"/>
              </w:rPr>
              <w:t>43</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&amp; BP South African Petroleum Refineries (Pty) Limited [b]</w:t>
            </w:r>
          </w:p>
        </w:tc>
        <w:tc>
          <w:tcPr>
            <w:tcW w:w="6040" w:type="dxa"/>
            <w:vAlign w:val="bottom"/>
          </w:tcPr>
          <w:p>
            <w:pPr>
              <w:ind w:left="880"/>
              <w:spacing w:after="0"/>
              <w:rPr>
                <w:sz w:val="20"/>
                <w:szCs w:val="20"/>
                <w:color w:val="auto"/>
              </w:rPr>
            </w:pPr>
            <w:r>
              <w:rPr>
                <w:rFonts w:ascii="Arial" w:cs="Arial" w:eastAsia="Arial" w:hAnsi="Arial"/>
                <w:sz w:val="7"/>
                <w:szCs w:val="7"/>
                <w:color w:val="auto"/>
              </w:rPr>
              <w:t>Reunion, Durban, 4001</w:t>
            </w:r>
          </w:p>
        </w:tc>
        <w:tc>
          <w:tcPr>
            <w:tcW w:w="2340" w:type="dxa"/>
            <w:vAlign w:val="bottom"/>
          </w:tcPr>
          <w:p>
            <w:pPr>
              <w:jc w:val="right"/>
              <w:spacing w:after="0"/>
              <w:rPr>
                <w:sz w:val="20"/>
                <w:szCs w:val="20"/>
                <w:color w:val="auto"/>
              </w:rPr>
            </w:pPr>
            <w:r>
              <w:rPr>
                <w:rFonts w:ascii="Arial" w:cs="Arial" w:eastAsia="Arial" w:hAnsi="Arial"/>
                <w:sz w:val="7"/>
                <w:szCs w:val="7"/>
                <w:color w:val="auto"/>
              </w:rPr>
              <w:t>36</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Downstream South Africa (Pty) Ltd</w:t>
            </w:r>
          </w:p>
        </w:tc>
        <w:tc>
          <w:tcPr>
            <w:tcW w:w="6040" w:type="dxa"/>
            <w:vAlign w:val="bottom"/>
          </w:tcPr>
          <w:p>
            <w:pPr>
              <w:ind w:left="880"/>
              <w:spacing w:after="0"/>
              <w:rPr>
                <w:sz w:val="20"/>
                <w:szCs w:val="20"/>
                <w:color w:val="auto"/>
              </w:rPr>
            </w:pPr>
            <w:r>
              <w:rPr>
                <w:rFonts w:ascii="Arial" w:cs="Arial" w:eastAsia="Arial" w:hAnsi="Arial"/>
                <w:sz w:val="7"/>
                <w:szCs w:val="7"/>
                <w:color w:val="auto"/>
              </w:rPr>
              <w:t>Twickenham, The Campus, 57 Sloan Street, Epsom Downs, Bryanston, 2021</w:t>
            </w:r>
          </w:p>
        </w:tc>
        <w:tc>
          <w:tcPr>
            <w:tcW w:w="2340" w:type="dxa"/>
            <w:vAlign w:val="bottom"/>
          </w:tcPr>
          <w:p>
            <w:pPr>
              <w:jc w:val="right"/>
              <w:spacing w:after="0"/>
              <w:rPr>
                <w:sz w:val="20"/>
                <w:szCs w:val="20"/>
                <w:color w:val="auto"/>
              </w:rPr>
            </w:pPr>
            <w:r>
              <w:rPr>
                <w:rFonts w:ascii="Arial" w:cs="Arial" w:eastAsia="Arial" w:hAnsi="Arial"/>
                <w:sz w:val="7"/>
                <w:szCs w:val="7"/>
                <w:color w:val="auto"/>
              </w:rPr>
              <w:t>72</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South Africa Energy (Pty) Ltd</w:t>
            </w:r>
          </w:p>
        </w:tc>
        <w:tc>
          <w:tcPr>
            <w:tcW w:w="6040" w:type="dxa"/>
            <w:vAlign w:val="bottom"/>
          </w:tcPr>
          <w:p>
            <w:pPr>
              <w:ind w:left="880"/>
              <w:spacing w:after="0"/>
              <w:rPr>
                <w:sz w:val="20"/>
                <w:szCs w:val="20"/>
                <w:color w:val="auto"/>
              </w:rPr>
            </w:pPr>
            <w:r>
              <w:rPr>
                <w:rFonts w:ascii="Arial" w:cs="Arial" w:eastAsia="Arial" w:hAnsi="Arial"/>
                <w:sz w:val="7"/>
                <w:szCs w:val="7"/>
                <w:color w:val="auto"/>
              </w:rPr>
              <w:t>Twickenham, The Campus, 57 Sloan Street, Epsom Downs, Bryanston, 2021</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South Africa Exploration (Pty) Limited</w:t>
            </w:r>
          </w:p>
        </w:tc>
        <w:tc>
          <w:tcPr>
            <w:tcW w:w="6040" w:type="dxa"/>
            <w:vAlign w:val="bottom"/>
          </w:tcPr>
          <w:p>
            <w:pPr>
              <w:ind w:left="880"/>
              <w:spacing w:after="0"/>
              <w:rPr>
                <w:sz w:val="20"/>
                <w:szCs w:val="20"/>
                <w:color w:val="auto"/>
              </w:rPr>
            </w:pPr>
            <w:r>
              <w:rPr>
                <w:rFonts w:ascii="Arial" w:cs="Arial" w:eastAsia="Arial" w:hAnsi="Arial"/>
                <w:sz w:val="7"/>
                <w:szCs w:val="7"/>
                <w:color w:val="auto"/>
              </w:rPr>
              <w:t>Twickenham, The Campus, 57 Sloan Street, Epsom Downs, Bryanston, 2021</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South Africa Holdings (Pty) Ltd</w:t>
            </w:r>
          </w:p>
        </w:tc>
        <w:tc>
          <w:tcPr>
            <w:tcW w:w="6040" w:type="dxa"/>
            <w:vAlign w:val="bottom"/>
          </w:tcPr>
          <w:p>
            <w:pPr>
              <w:ind w:left="880"/>
              <w:spacing w:after="0"/>
              <w:rPr>
                <w:sz w:val="20"/>
                <w:szCs w:val="20"/>
                <w:color w:val="auto"/>
              </w:rPr>
            </w:pPr>
            <w:r>
              <w:rPr>
                <w:rFonts w:ascii="Arial" w:cs="Arial" w:eastAsia="Arial" w:hAnsi="Arial"/>
                <w:sz w:val="7"/>
                <w:szCs w:val="7"/>
                <w:color w:val="auto"/>
              </w:rPr>
              <w:t>Twickenham, The Campus, 57 Sloan Street, Epsom Downs, Bryanston, 2021</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STISA (Pty) Limited</w:t>
            </w:r>
          </w:p>
        </w:tc>
        <w:tc>
          <w:tcPr>
            <w:tcW w:w="6040" w:type="dxa"/>
            <w:vAlign w:val="bottom"/>
          </w:tcPr>
          <w:p>
            <w:pPr>
              <w:ind w:left="880"/>
              <w:spacing w:after="0"/>
              <w:rPr>
                <w:sz w:val="20"/>
                <w:szCs w:val="20"/>
                <w:color w:val="auto"/>
              </w:rPr>
            </w:pPr>
            <w:r>
              <w:rPr>
                <w:rFonts w:ascii="Arial" w:cs="Arial" w:eastAsia="Arial" w:hAnsi="Arial"/>
                <w:sz w:val="7"/>
                <w:szCs w:val="7"/>
                <w:color w:val="auto"/>
              </w:rPr>
              <w:t>Suite OE/2, The Nautica, The Waterclub, Beach Road, Granger Bay, Cape Town, 8001</w:t>
            </w:r>
          </w:p>
        </w:tc>
        <w:tc>
          <w:tcPr>
            <w:tcW w:w="2340" w:type="dxa"/>
            <w:vAlign w:val="bottom"/>
          </w:tcPr>
          <w:p>
            <w:pPr>
              <w:jc w:val="right"/>
              <w:spacing w:after="0"/>
              <w:rPr>
                <w:sz w:val="20"/>
                <w:szCs w:val="20"/>
                <w:color w:val="auto"/>
              </w:rPr>
            </w:pPr>
            <w:r>
              <w:rPr>
                <w:rFonts w:ascii="Arial" w:cs="Arial" w:eastAsia="Arial" w:hAnsi="Arial"/>
                <w:sz w:val="7"/>
                <w:szCs w:val="7"/>
                <w:color w:val="auto"/>
              </w:rPr>
              <w:t>72</w:t>
            </w:r>
          </w:p>
        </w:tc>
      </w:tr>
      <w:tr>
        <w:trPr>
          <w:trHeight w:val="108"/>
        </w:trPr>
        <w:tc>
          <w:tcPr>
            <w:tcW w:w="2880" w:type="dxa"/>
            <w:vAlign w:val="bottom"/>
          </w:tcPr>
          <w:p>
            <w:pPr>
              <w:spacing w:after="0"/>
              <w:rPr>
                <w:sz w:val="20"/>
                <w:szCs w:val="20"/>
                <w:color w:val="auto"/>
              </w:rPr>
            </w:pPr>
            <w:r>
              <w:rPr>
                <w:rFonts w:ascii="Arial" w:cs="Arial" w:eastAsia="Arial" w:hAnsi="Arial"/>
                <w:sz w:val="7"/>
                <w:szCs w:val="7"/>
                <w:color w:val="auto"/>
              </w:rPr>
              <w:t>SOUTH KOREA</w:t>
            </w:r>
          </w:p>
        </w:tc>
        <w:tc>
          <w:tcPr>
            <w:tcW w:w="6040" w:type="dxa"/>
            <w:vAlign w:val="bottom"/>
          </w:tcPr>
          <w:p>
            <w:pPr>
              <w:spacing w:after="0"/>
              <w:rPr>
                <w:sz w:val="9"/>
                <w:szCs w:val="9"/>
                <w:color w:val="auto"/>
              </w:rPr>
            </w:pPr>
          </w:p>
        </w:tc>
        <w:tc>
          <w:tcPr>
            <w:tcW w:w="2340" w:type="dxa"/>
            <w:vAlign w:val="bottom"/>
          </w:tcPr>
          <w:p>
            <w:pPr>
              <w:spacing w:after="0"/>
              <w:rPr>
                <w:sz w:val="9"/>
                <w:szCs w:val="9"/>
                <w:color w:val="auto"/>
              </w:rPr>
            </w:pP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Hankook Shell Oil Company</w:t>
            </w:r>
          </w:p>
        </w:tc>
        <w:tc>
          <w:tcPr>
            <w:tcW w:w="6040" w:type="dxa"/>
            <w:vAlign w:val="bottom"/>
          </w:tcPr>
          <w:p>
            <w:pPr>
              <w:ind w:left="880"/>
              <w:spacing w:after="0"/>
              <w:rPr>
                <w:sz w:val="20"/>
                <w:szCs w:val="20"/>
                <w:color w:val="auto"/>
              </w:rPr>
            </w:pPr>
            <w:r>
              <w:rPr>
                <w:rFonts w:ascii="Arial" w:cs="Arial" w:eastAsia="Arial" w:hAnsi="Arial"/>
                <w:sz w:val="7"/>
                <w:szCs w:val="7"/>
                <w:color w:val="auto"/>
              </w:rPr>
              <w:t>No. 250, Sinsun-ro, Nam-gu, Busan, 48561</w:t>
            </w:r>
          </w:p>
        </w:tc>
        <w:tc>
          <w:tcPr>
            <w:tcW w:w="2340" w:type="dxa"/>
            <w:vAlign w:val="bottom"/>
          </w:tcPr>
          <w:p>
            <w:pPr>
              <w:jc w:val="right"/>
              <w:spacing w:after="0"/>
              <w:rPr>
                <w:sz w:val="20"/>
                <w:szCs w:val="20"/>
                <w:color w:val="auto"/>
              </w:rPr>
            </w:pPr>
            <w:r>
              <w:rPr>
                <w:rFonts w:ascii="Arial" w:cs="Arial" w:eastAsia="Arial" w:hAnsi="Arial"/>
                <w:sz w:val="7"/>
                <w:szCs w:val="7"/>
                <w:color w:val="auto"/>
              </w:rPr>
              <w:t>54</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Hyundai and Shell Base Oil Co., Ltd</w:t>
            </w:r>
          </w:p>
        </w:tc>
        <w:tc>
          <w:tcPr>
            <w:tcW w:w="6040" w:type="dxa"/>
            <w:vAlign w:val="bottom"/>
          </w:tcPr>
          <w:p>
            <w:pPr>
              <w:ind w:left="880"/>
              <w:spacing w:after="0"/>
              <w:rPr>
                <w:sz w:val="20"/>
                <w:szCs w:val="20"/>
                <w:color w:val="auto"/>
              </w:rPr>
            </w:pPr>
            <w:r>
              <w:rPr>
                <w:rFonts w:ascii="Arial" w:cs="Arial" w:eastAsia="Arial" w:hAnsi="Arial"/>
                <w:sz w:val="7"/>
                <w:szCs w:val="7"/>
                <w:color w:val="auto"/>
              </w:rPr>
              <w:t>640-6, Daejuk-ri, Daesan-eup, Seosan-shi, Chungchongnam-do, 356-713</w:t>
            </w:r>
          </w:p>
        </w:tc>
        <w:tc>
          <w:tcPr>
            <w:tcW w:w="234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Korea Impact Carbon Corporation</w:t>
            </w:r>
          </w:p>
        </w:tc>
        <w:tc>
          <w:tcPr>
            <w:tcW w:w="6040" w:type="dxa"/>
            <w:vAlign w:val="bottom"/>
          </w:tcPr>
          <w:p>
            <w:pPr>
              <w:ind w:left="880"/>
              <w:spacing w:after="0"/>
              <w:rPr>
                <w:sz w:val="20"/>
                <w:szCs w:val="20"/>
                <w:color w:val="auto"/>
              </w:rPr>
            </w:pPr>
            <w:r>
              <w:rPr>
                <w:rFonts w:ascii="Arial" w:cs="Arial" w:eastAsia="Arial" w:hAnsi="Arial"/>
                <w:sz w:val="7"/>
                <w:szCs w:val="7"/>
                <w:color w:val="auto"/>
              </w:rPr>
              <w:t>#704-3, Tower B. Hyundai Knowledge Industrial Center, 70 Dusan-ro, Geumcheon-gu, Seoul, 08584</w:t>
            </w:r>
          </w:p>
        </w:tc>
        <w:tc>
          <w:tcPr>
            <w:tcW w:w="234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108"/>
        </w:trPr>
        <w:tc>
          <w:tcPr>
            <w:tcW w:w="2880" w:type="dxa"/>
            <w:vAlign w:val="bottom"/>
          </w:tcPr>
          <w:p>
            <w:pPr>
              <w:spacing w:after="0"/>
              <w:rPr>
                <w:sz w:val="20"/>
                <w:szCs w:val="20"/>
                <w:color w:val="auto"/>
              </w:rPr>
            </w:pPr>
            <w:r>
              <w:rPr>
                <w:rFonts w:ascii="Arial" w:cs="Arial" w:eastAsia="Arial" w:hAnsi="Arial"/>
                <w:sz w:val="7"/>
                <w:szCs w:val="7"/>
                <w:color w:val="auto"/>
              </w:rPr>
              <w:t>SPAIN</w:t>
            </w:r>
          </w:p>
        </w:tc>
        <w:tc>
          <w:tcPr>
            <w:tcW w:w="6040" w:type="dxa"/>
            <w:vAlign w:val="bottom"/>
          </w:tcPr>
          <w:p>
            <w:pPr>
              <w:spacing w:after="0"/>
              <w:rPr>
                <w:sz w:val="9"/>
                <w:szCs w:val="9"/>
                <w:color w:val="auto"/>
              </w:rPr>
            </w:pPr>
          </w:p>
        </w:tc>
        <w:tc>
          <w:tcPr>
            <w:tcW w:w="2340" w:type="dxa"/>
            <w:vAlign w:val="bottom"/>
          </w:tcPr>
          <w:p>
            <w:pPr>
              <w:spacing w:after="0"/>
              <w:rPr>
                <w:sz w:val="9"/>
                <w:szCs w:val="9"/>
                <w:color w:val="auto"/>
              </w:rPr>
            </w:pP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BG Energy Iberian Holdings, S.L.</w:t>
            </w:r>
          </w:p>
        </w:tc>
        <w:tc>
          <w:tcPr>
            <w:tcW w:w="6040" w:type="dxa"/>
            <w:vAlign w:val="bottom"/>
          </w:tcPr>
          <w:p>
            <w:pPr>
              <w:ind w:left="880"/>
              <w:spacing w:after="0"/>
              <w:rPr>
                <w:sz w:val="20"/>
                <w:szCs w:val="20"/>
                <w:color w:val="auto"/>
              </w:rPr>
            </w:pPr>
            <w:r>
              <w:rPr>
                <w:rFonts w:ascii="Arial" w:cs="Arial" w:eastAsia="Arial" w:hAnsi="Arial"/>
                <w:sz w:val="7"/>
                <w:szCs w:val="7"/>
                <w:color w:val="auto"/>
              </w:rPr>
              <w:t>Paseo de la Castellana, 257-6º, Madrid, 28046</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&amp; Disa Aviation España, S.L.</w:t>
            </w:r>
          </w:p>
        </w:tc>
        <w:tc>
          <w:tcPr>
            <w:tcW w:w="6040" w:type="dxa"/>
            <w:vAlign w:val="bottom"/>
          </w:tcPr>
          <w:p>
            <w:pPr>
              <w:ind w:left="880"/>
              <w:spacing w:after="0"/>
              <w:rPr>
                <w:sz w:val="20"/>
                <w:szCs w:val="20"/>
                <w:color w:val="auto"/>
              </w:rPr>
            </w:pPr>
            <w:r>
              <w:rPr>
                <w:rFonts w:ascii="Arial" w:cs="Arial" w:eastAsia="Arial" w:hAnsi="Arial"/>
                <w:sz w:val="7"/>
                <w:szCs w:val="7"/>
                <w:color w:val="auto"/>
              </w:rPr>
              <w:t>Rio Bullaque, 2, Madrid, 28034</w:t>
            </w:r>
          </w:p>
        </w:tc>
        <w:tc>
          <w:tcPr>
            <w:tcW w:w="23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España, S.A.</w:t>
            </w:r>
          </w:p>
        </w:tc>
        <w:tc>
          <w:tcPr>
            <w:tcW w:w="6040" w:type="dxa"/>
            <w:vAlign w:val="bottom"/>
          </w:tcPr>
          <w:p>
            <w:pPr>
              <w:ind w:left="880"/>
              <w:spacing w:after="0"/>
              <w:rPr>
                <w:sz w:val="20"/>
                <w:szCs w:val="20"/>
                <w:color w:val="auto"/>
              </w:rPr>
            </w:pPr>
            <w:r>
              <w:rPr>
                <w:rFonts w:ascii="Arial" w:cs="Arial" w:eastAsia="Arial" w:hAnsi="Arial"/>
                <w:sz w:val="7"/>
                <w:szCs w:val="7"/>
                <w:color w:val="auto"/>
              </w:rPr>
              <w:t>Paseo de la Castellana, 257-6º, Madrid, 28046</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Spain LNG, S.A.U.</w:t>
            </w:r>
          </w:p>
        </w:tc>
        <w:tc>
          <w:tcPr>
            <w:tcW w:w="6040" w:type="dxa"/>
            <w:vAlign w:val="bottom"/>
          </w:tcPr>
          <w:p>
            <w:pPr>
              <w:ind w:left="880"/>
              <w:spacing w:after="0"/>
              <w:rPr>
                <w:sz w:val="20"/>
                <w:szCs w:val="20"/>
                <w:color w:val="auto"/>
              </w:rPr>
            </w:pPr>
            <w:r>
              <w:rPr>
                <w:rFonts w:ascii="Arial" w:cs="Arial" w:eastAsia="Arial" w:hAnsi="Arial"/>
                <w:sz w:val="7"/>
                <w:szCs w:val="7"/>
                <w:color w:val="auto"/>
              </w:rPr>
              <w:t>Paseo de la Castellana, 257-6º, Madrid, 28046</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spacing w:after="0"/>
              <w:rPr>
                <w:sz w:val="20"/>
                <w:szCs w:val="20"/>
                <w:color w:val="auto"/>
              </w:rPr>
            </w:pPr>
            <w:r>
              <w:rPr>
                <w:rFonts w:ascii="Arial" w:cs="Arial" w:eastAsia="Arial" w:hAnsi="Arial"/>
                <w:sz w:val="7"/>
                <w:szCs w:val="7"/>
                <w:color w:val="auto"/>
              </w:rPr>
              <w:t>SUDAN</w:t>
            </w:r>
          </w:p>
        </w:tc>
        <w:tc>
          <w:tcPr>
            <w:tcW w:w="6040" w:type="dxa"/>
            <w:vAlign w:val="bottom"/>
          </w:tcPr>
          <w:p>
            <w:pPr>
              <w:spacing w:after="0"/>
              <w:rPr>
                <w:sz w:val="9"/>
                <w:szCs w:val="9"/>
                <w:color w:val="auto"/>
              </w:rPr>
            </w:pPr>
          </w:p>
        </w:tc>
        <w:tc>
          <w:tcPr>
            <w:tcW w:w="2340" w:type="dxa"/>
            <w:vAlign w:val="bottom"/>
          </w:tcPr>
          <w:p>
            <w:pPr>
              <w:spacing w:after="0"/>
              <w:rPr>
                <w:sz w:val="9"/>
                <w:szCs w:val="9"/>
                <w:color w:val="auto"/>
              </w:rPr>
            </w:pP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(Sudan) Petroleum Development Company Limited</w:t>
            </w:r>
          </w:p>
        </w:tc>
        <w:tc>
          <w:tcPr>
            <w:tcW w:w="6040" w:type="dxa"/>
            <w:vAlign w:val="bottom"/>
          </w:tcPr>
          <w:p>
            <w:pPr>
              <w:ind w:left="880"/>
              <w:spacing w:after="0"/>
              <w:rPr>
                <w:sz w:val="20"/>
                <w:szCs w:val="20"/>
                <w:color w:val="auto"/>
              </w:rPr>
            </w:pPr>
            <w:r>
              <w:rPr>
                <w:rFonts w:ascii="Arial" w:cs="Arial" w:eastAsia="Arial" w:hAnsi="Arial"/>
                <w:sz w:val="7"/>
                <w:szCs w:val="7"/>
                <w:color w:val="auto"/>
              </w:rPr>
              <w:t>Shell House, P.O. Box 320, Khartoum</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spacing w:after="0"/>
              <w:rPr>
                <w:sz w:val="20"/>
                <w:szCs w:val="20"/>
                <w:color w:val="auto"/>
              </w:rPr>
            </w:pPr>
            <w:r>
              <w:rPr>
                <w:rFonts w:ascii="Arial" w:cs="Arial" w:eastAsia="Arial" w:hAnsi="Arial"/>
                <w:sz w:val="7"/>
                <w:szCs w:val="7"/>
                <w:color w:val="auto"/>
              </w:rPr>
              <w:t>SWEDEN</w:t>
            </w:r>
          </w:p>
        </w:tc>
        <w:tc>
          <w:tcPr>
            <w:tcW w:w="6040" w:type="dxa"/>
            <w:vAlign w:val="bottom"/>
          </w:tcPr>
          <w:p>
            <w:pPr>
              <w:spacing w:after="0"/>
              <w:rPr>
                <w:sz w:val="9"/>
                <w:szCs w:val="9"/>
                <w:color w:val="auto"/>
              </w:rPr>
            </w:pPr>
          </w:p>
        </w:tc>
        <w:tc>
          <w:tcPr>
            <w:tcW w:w="2340" w:type="dxa"/>
            <w:vAlign w:val="bottom"/>
          </w:tcPr>
          <w:p>
            <w:pPr>
              <w:spacing w:after="0"/>
              <w:rPr>
                <w:sz w:val="9"/>
                <w:szCs w:val="9"/>
                <w:color w:val="auto"/>
              </w:rPr>
            </w:pP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A Flygbränslehantering Aktiebolag</w:t>
            </w:r>
          </w:p>
        </w:tc>
        <w:tc>
          <w:tcPr>
            <w:tcW w:w="6040" w:type="dxa"/>
            <w:vAlign w:val="bottom"/>
          </w:tcPr>
          <w:p>
            <w:pPr>
              <w:ind w:left="880"/>
              <w:spacing w:after="0"/>
              <w:rPr>
                <w:sz w:val="20"/>
                <w:szCs w:val="20"/>
                <w:color w:val="auto"/>
              </w:rPr>
            </w:pPr>
            <w:r>
              <w:rPr>
                <w:rFonts w:ascii="Arial" w:cs="Arial" w:eastAsia="Arial" w:hAnsi="Arial"/>
                <w:sz w:val="7"/>
                <w:szCs w:val="7"/>
                <w:color w:val="auto"/>
              </w:rPr>
              <w:t>P.O. Box 135, Stockholm-Arlanda, 190 46</w:t>
            </w:r>
          </w:p>
        </w:tc>
        <w:tc>
          <w:tcPr>
            <w:tcW w:w="2340" w:type="dxa"/>
            <w:vAlign w:val="bottom"/>
          </w:tcPr>
          <w:p>
            <w:pPr>
              <w:jc w:val="right"/>
              <w:spacing w:after="0"/>
              <w:rPr>
                <w:sz w:val="20"/>
                <w:szCs w:val="20"/>
                <w:color w:val="auto"/>
              </w:rPr>
            </w:pPr>
            <w:r>
              <w:rPr>
                <w:rFonts w:ascii="Arial" w:cs="Arial" w:eastAsia="Arial" w:hAnsi="Arial"/>
                <w:sz w:val="7"/>
                <w:szCs w:val="7"/>
                <w:color w:val="auto"/>
              </w:rPr>
              <w:t>25</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BG International Services AB</w:t>
            </w:r>
          </w:p>
        </w:tc>
        <w:tc>
          <w:tcPr>
            <w:tcW w:w="6040" w:type="dxa"/>
            <w:vAlign w:val="bottom"/>
          </w:tcPr>
          <w:p>
            <w:pPr>
              <w:ind w:left="880"/>
              <w:spacing w:after="0"/>
              <w:rPr>
                <w:sz w:val="20"/>
                <w:szCs w:val="20"/>
                <w:color w:val="auto"/>
              </w:rPr>
            </w:pPr>
            <w:r>
              <w:rPr>
                <w:rFonts w:ascii="Arial" w:cs="Arial" w:eastAsia="Arial" w:hAnsi="Arial"/>
                <w:sz w:val="7"/>
                <w:szCs w:val="7"/>
                <w:color w:val="auto"/>
              </w:rPr>
              <w:t>Deloitte, P.O. Box 450, Östersund, 831 26</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Gothenburg Fuelling Company AB</w:t>
            </w:r>
          </w:p>
        </w:tc>
        <w:tc>
          <w:tcPr>
            <w:tcW w:w="6040" w:type="dxa"/>
            <w:vAlign w:val="bottom"/>
          </w:tcPr>
          <w:p>
            <w:pPr>
              <w:ind w:left="880"/>
              <w:spacing w:after="0"/>
              <w:rPr>
                <w:sz w:val="20"/>
                <w:szCs w:val="20"/>
                <w:color w:val="auto"/>
              </w:rPr>
            </w:pPr>
            <w:r>
              <w:rPr>
                <w:rFonts w:ascii="Arial" w:cs="Arial" w:eastAsia="Arial" w:hAnsi="Arial"/>
                <w:sz w:val="7"/>
                <w:szCs w:val="7"/>
                <w:color w:val="auto"/>
              </w:rPr>
              <w:t>P.O. Box 2154, Gothenburg, 438 14</w:t>
            </w:r>
          </w:p>
        </w:tc>
        <w:tc>
          <w:tcPr>
            <w:tcW w:w="2340" w:type="dxa"/>
            <w:vAlign w:val="bottom"/>
          </w:tcPr>
          <w:p>
            <w:pPr>
              <w:jc w:val="right"/>
              <w:spacing w:after="0"/>
              <w:rPr>
                <w:sz w:val="20"/>
                <w:szCs w:val="20"/>
                <w:color w:val="auto"/>
              </w:rPr>
            </w:pPr>
            <w:r>
              <w:rPr>
                <w:rFonts w:ascii="Arial" w:cs="Arial" w:eastAsia="Arial" w:hAnsi="Arial"/>
                <w:sz w:val="7"/>
                <w:szCs w:val="7"/>
                <w:color w:val="auto"/>
              </w:rPr>
              <w:t>33</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Malmö Fuelling Services AB</w:t>
            </w:r>
          </w:p>
        </w:tc>
        <w:tc>
          <w:tcPr>
            <w:tcW w:w="6040" w:type="dxa"/>
            <w:vAlign w:val="bottom"/>
          </w:tcPr>
          <w:p>
            <w:pPr>
              <w:ind w:left="880"/>
              <w:spacing w:after="0"/>
              <w:rPr>
                <w:sz w:val="20"/>
                <w:szCs w:val="20"/>
                <w:color w:val="auto"/>
              </w:rPr>
            </w:pPr>
            <w:r>
              <w:rPr>
                <w:rFonts w:ascii="Arial" w:cs="Arial" w:eastAsia="Arial" w:hAnsi="Arial"/>
                <w:sz w:val="7"/>
                <w:szCs w:val="7"/>
                <w:color w:val="auto"/>
              </w:rPr>
              <w:t>Sturup Flygplats, P.O. Box 22, Malmö, 230 32</w:t>
            </w:r>
          </w:p>
        </w:tc>
        <w:tc>
          <w:tcPr>
            <w:tcW w:w="2340" w:type="dxa"/>
            <w:vAlign w:val="bottom"/>
          </w:tcPr>
          <w:p>
            <w:pPr>
              <w:jc w:val="right"/>
              <w:spacing w:after="0"/>
              <w:rPr>
                <w:sz w:val="20"/>
                <w:szCs w:val="20"/>
                <w:color w:val="auto"/>
              </w:rPr>
            </w:pPr>
            <w:r>
              <w:rPr>
                <w:rFonts w:ascii="Arial" w:cs="Arial" w:eastAsia="Arial" w:hAnsi="Arial"/>
                <w:sz w:val="7"/>
                <w:szCs w:val="7"/>
                <w:color w:val="auto"/>
              </w:rPr>
              <w:t>33</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Aviation Sweden AB</w:t>
            </w:r>
          </w:p>
        </w:tc>
        <w:tc>
          <w:tcPr>
            <w:tcW w:w="6040" w:type="dxa"/>
            <w:vAlign w:val="bottom"/>
          </w:tcPr>
          <w:p>
            <w:pPr>
              <w:ind w:left="880"/>
              <w:spacing w:after="0"/>
              <w:rPr>
                <w:sz w:val="20"/>
                <w:szCs w:val="20"/>
                <w:color w:val="auto"/>
              </w:rPr>
            </w:pPr>
            <w:r>
              <w:rPr>
                <w:rFonts w:ascii="Arial" w:cs="Arial" w:eastAsia="Arial" w:hAnsi="Arial"/>
                <w:sz w:val="7"/>
                <w:szCs w:val="7"/>
                <w:color w:val="auto"/>
              </w:rPr>
              <w:t>Gustavslundsvägen 22, Bromma, 16751</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Stockholm Fuelling Services AB</w:t>
            </w:r>
          </w:p>
        </w:tc>
        <w:tc>
          <w:tcPr>
            <w:tcW w:w="6040" w:type="dxa"/>
            <w:vAlign w:val="bottom"/>
          </w:tcPr>
          <w:p>
            <w:pPr>
              <w:ind w:left="880"/>
              <w:spacing w:after="0"/>
              <w:rPr>
                <w:sz w:val="20"/>
                <w:szCs w:val="20"/>
                <w:color w:val="auto"/>
              </w:rPr>
            </w:pPr>
            <w:r>
              <w:rPr>
                <w:rFonts w:ascii="Arial" w:cs="Arial" w:eastAsia="Arial" w:hAnsi="Arial"/>
                <w:sz w:val="7"/>
                <w:szCs w:val="7"/>
                <w:color w:val="auto"/>
              </w:rPr>
              <w:t>P.O. Box 85, Stockholm-Arlanda, 190 45</w:t>
            </w:r>
          </w:p>
        </w:tc>
        <w:tc>
          <w:tcPr>
            <w:tcW w:w="2340" w:type="dxa"/>
            <w:vAlign w:val="bottom"/>
          </w:tcPr>
          <w:p>
            <w:pPr>
              <w:jc w:val="right"/>
              <w:spacing w:after="0"/>
              <w:rPr>
                <w:sz w:val="20"/>
                <w:szCs w:val="20"/>
                <w:color w:val="auto"/>
              </w:rPr>
            </w:pPr>
            <w:r>
              <w:rPr>
                <w:rFonts w:ascii="Arial" w:cs="Arial" w:eastAsia="Arial" w:hAnsi="Arial"/>
                <w:sz w:val="7"/>
                <w:szCs w:val="7"/>
                <w:color w:val="auto"/>
              </w:rPr>
              <w:t>25</w:t>
            </w:r>
          </w:p>
        </w:tc>
      </w:tr>
      <w:tr>
        <w:trPr>
          <w:trHeight w:val="108"/>
        </w:trPr>
        <w:tc>
          <w:tcPr>
            <w:tcW w:w="2880" w:type="dxa"/>
            <w:vAlign w:val="bottom"/>
          </w:tcPr>
          <w:p>
            <w:pPr>
              <w:spacing w:after="0"/>
              <w:rPr>
                <w:sz w:val="20"/>
                <w:szCs w:val="20"/>
                <w:color w:val="auto"/>
              </w:rPr>
            </w:pPr>
            <w:r>
              <w:rPr>
                <w:rFonts w:ascii="Arial" w:cs="Arial" w:eastAsia="Arial" w:hAnsi="Arial"/>
                <w:sz w:val="7"/>
                <w:szCs w:val="7"/>
                <w:color w:val="auto"/>
              </w:rPr>
              <w:t>SWITZERLAND</w:t>
            </w:r>
          </w:p>
        </w:tc>
        <w:tc>
          <w:tcPr>
            <w:tcW w:w="6040" w:type="dxa"/>
            <w:vAlign w:val="bottom"/>
          </w:tcPr>
          <w:p>
            <w:pPr>
              <w:spacing w:after="0"/>
              <w:rPr>
                <w:sz w:val="9"/>
                <w:szCs w:val="9"/>
                <w:color w:val="auto"/>
              </w:rPr>
            </w:pPr>
          </w:p>
        </w:tc>
        <w:tc>
          <w:tcPr>
            <w:tcW w:w="2340" w:type="dxa"/>
            <w:vAlign w:val="bottom"/>
          </w:tcPr>
          <w:p>
            <w:pPr>
              <w:spacing w:after="0"/>
              <w:rPr>
                <w:sz w:val="9"/>
                <w:szCs w:val="9"/>
                <w:color w:val="auto"/>
              </w:rPr>
            </w:pP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Saraco SA</w:t>
            </w:r>
          </w:p>
        </w:tc>
        <w:tc>
          <w:tcPr>
            <w:tcW w:w="6040" w:type="dxa"/>
            <w:vAlign w:val="bottom"/>
          </w:tcPr>
          <w:p>
            <w:pPr>
              <w:ind w:left="880"/>
              <w:spacing w:after="0"/>
              <w:rPr>
                <w:sz w:val="20"/>
                <w:szCs w:val="20"/>
                <w:color w:val="auto"/>
              </w:rPr>
            </w:pPr>
            <w:r>
              <w:rPr>
                <w:rFonts w:ascii="Arial" w:cs="Arial" w:eastAsia="Arial" w:hAnsi="Arial"/>
                <w:sz w:val="7"/>
                <w:szCs w:val="7"/>
                <w:color w:val="auto"/>
              </w:rPr>
              <w:t>Route de Pré-Bois 17, Cointrin, 1216</w:t>
            </w:r>
          </w:p>
        </w:tc>
        <w:tc>
          <w:tcPr>
            <w:tcW w:w="234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(Switzerland) AG</w:t>
            </w:r>
          </w:p>
        </w:tc>
        <w:tc>
          <w:tcPr>
            <w:tcW w:w="6040" w:type="dxa"/>
            <w:vAlign w:val="bottom"/>
          </w:tcPr>
          <w:p>
            <w:pPr>
              <w:ind w:left="880"/>
              <w:spacing w:after="0"/>
              <w:rPr>
                <w:sz w:val="20"/>
                <w:szCs w:val="20"/>
                <w:color w:val="auto"/>
              </w:rPr>
            </w:pPr>
            <w:r>
              <w:rPr>
                <w:rFonts w:ascii="Arial" w:cs="Arial" w:eastAsia="Arial" w:hAnsi="Arial"/>
                <w:sz w:val="7"/>
                <w:szCs w:val="7"/>
                <w:color w:val="auto"/>
              </w:rPr>
              <w:t>Baarermatte, Baar, 6340</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Brands International AG</w:t>
            </w:r>
          </w:p>
        </w:tc>
        <w:tc>
          <w:tcPr>
            <w:tcW w:w="6040" w:type="dxa"/>
            <w:vAlign w:val="bottom"/>
          </w:tcPr>
          <w:p>
            <w:pPr>
              <w:ind w:left="880"/>
              <w:spacing w:after="0"/>
              <w:rPr>
                <w:sz w:val="20"/>
                <w:szCs w:val="20"/>
                <w:color w:val="auto"/>
              </w:rPr>
            </w:pPr>
            <w:r>
              <w:rPr>
                <w:rFonts w:ascii="Arial" w:cs="Arial" w:eastAsia="Arial" w:hAnsi="Arial"/>
                <w:sz w:val="7"/>
                <w:szCs w:val="7"/>
                <w:color w:val="auto"/>
              </w:rPr>
              <w:t>Baarermatte, Baar, 6340</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Corporate Services Switzerland AG</w:t>
            </w:r>
          </w:p>
        </w:tc>
        <w:tc>
          <w:tcPr>
            <w:tcW w:w="6040" w:type="dxa"/>
            <w:vAlign w:val="bottom"/>
          </w:tcPr>
          <w:p>
            <w:pPr>
              <w:ind w:left="880"/>
              <w:spacing w:after="0"/>
              <w:rPr>
                <w:sz w:val="20"/>
                <w:szCs w:val="20"/>
                <w:color w:val="auto"/>
              </w:rPr>
            </w:pPr>
            <w:r>
              <w:rPr>
                <w:rFonts w:ascii="Arial" w:cs="Arial" w:eastAsia="Arial" w:hAnsi="Arial"/>
                <w:sz w:val="7"/>
                <w:szCs w:val="7"/>
                <w:color w:val="auto"/>
              </w:rPr>
              <w:t>Baarermatte, Baar, 6340</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Finance Switzerland AG</w:t>
            </w:r>
          </w:p>
        </w:tc>
        <w:tc>
          <w:tcPr>
            <w:tcW w:w="6040" w:type="dxa"/>
            <w:vAlign w:val="bottom"/>
          </w:tcPr>
          <w:p>
            <w:pPr>
              <w:ind w:left="880"/>
              <w:spacing w:after="0"/>
              <w:rPr>
                <w:sz w:val="20"/>
                <w:szCs w:val="20"/>
                <w:color w:val="auto"/>
              </w:rPr>
            </w:pPr>
            <w:r>
              <w:rPr>
                <w:rFonts w:ascii="Arial" w:cs="Arial" w:eastAsia="Arial" w:hAnsi="Arial"/>
                <w:sz w:val="7"/>
                <w:szCs w:val="7"/>
                <w:color w:val="auto"/>
              </w:rPr>
              <w:t>Baarermatte, Baar, 6340</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Holdings Switzerland AG</w:t>
            </w:r>
          </w:p>
        </w:tc>
        <w:tc>
          <w:tcPr>
            <w:tcW w:w="6040" w:type="dxa"/>
            <w:vAlign w:val="bottom"/>
          </w:tcPr>
          <w:p>
            <w:pPr>
              <w:ind w:left="880"/>
              <w:spacing w:after="0"/>
              <w:rPr>
                <w:sz w:val="20"/>
                <w:szCs w:val="20"/>
                <w:color w:val="auto"/>
              </w:rPr>
            </w:pPr>
            <w:r>
              <w:rPr>
                <w:rFonts w:ascii="Arial" w:cs="Arial" w:eastAsia="Arial" w:hAnsi="Arial"/>
                <w:sz w:val="7"/>
                <w:szCs w:val="7"/>
                <w:color w:val="auto"/>
              </w:rPr>
              <w:t>Baarermatte, Baar, 6340</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Lubricants Switzerland AG</w:t>
            </w:r>
          </w:p>
        </w:tc>
        <w:tc>
          <w:tcPr>
            <w:tcW w:w="6040" w:type="dxa"/>
            <w:vAlign w:val="bottom"/>
          </w:tcPr>
          <w:p>
            <w:pPr>
              <w:ind w:left="880"/>
              <w:spacing w:after="0"/>
              <w:rPr>
                <w:sz w:val="20"/>
                <w:szCs w:val="20"/>
                <w:color w:val="auto"/>
              </w:rPr>
            </w:pPr>
            <w:r>
              <w:rPr>
                <w:rFonts w:ascii="Arial" w:cs="Arial" w:eastAsia="Arial" w:hAnsi="Arial"/>
                <w:sz w:val="7"/>
                <w:szCs w:val="7"/>
                <w:color w:val="auto"/>
              </w:rPr>
              <w:t>Steigerhubelstrasse 8, Bern, 3008</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Trading Switzerland AG</w:t>
            </w:r>
          </w:p>
        </w:tc>
        <w:tc>
          <w:tcPr>
            <w:tcW w:w="6040" w:type="dxa"/>
            <w:vAlign w:val="bottom"/>
          </w:tcPr>
          <w:p>
            <w:pPr>
              <w:ind w:left="880"/>
              <w:spacing w:after="0"/>
              <w:rPr>
                <w:sz w:val="20"/>
                <w:szCs w:val="20"/>
                <w:color w:val="auto"/>
              </w:rPr>
            </w:pPr>
            <w:r>
              <w:rPr>
                <w:rFonts w:ascii="Arial" w:cs="Arial" w:eastAsia="Arial" w:hAnsi="Arial"/>
                <w:sz w:val="7"/>
                <w:szCs w:val="7"/>
                <w:color w:val="auto"/>
              </w:rPr>
              <w:t>Baarermatte, Baar, 6340</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Treasury Company Switzerland AG</w:t>
            </w:r>
          </w:p>
        </w:tc>
        <w:tc>
          <w:tcPr>
            <w:tcW w:w="6040" w:type="dxa"/>
            <w:vAlign w:val="bottom"/>
          </w:tcPr>
          <w:p>
            <w:pPr>
              <w:ind w:left="880"/>
              <w:spacing w:after="0"/>
              <w:rPr>
                <w:sz w:val="20"/>
                <w:szCs w:val="20"/>
                <w:color w:val="auto"/>
              </w:rPr>
            </w:pPr>
            <w:r>
              <w:rPr>
                <w:rFonts w:ascii="Arial" w:cs="Arial" w:eastAsia="Arial" w:hAnsi="Arial"/>
                <w:sz w:val="7"/>
                <w:szCs w:val="7"/>
                <w:color w:val="auto"/>
              </w:rPr>
              <w:t>Baarermatte, Baar, 6340</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SOGEP Sociéte Genevoise des Pétroles SA</w:t>
            </w:r>
          </w:p>
        </w:tc>
        <w:tc>
          <w:tcPr>
            <w:tcW w:w="6040" w:type="dxa"/>
            <w:vAlign w:val="bottom"/>
          </w:tcPr>
          <w:p>
            <w:pPr>
              <w:ind w:left="880"/>
              <w:spacing w:after="0"/>
              <w:rPr>
                <w:sz w:val="20"/>
                <w:szCs w:val="20"/>
                <w:color w:val="auto"/>
              </w:rPr>
            </w:pPr>
            <w:r>
              <w:rPr>
                <w:rFonts w:ascii="Arial" w:cs="Arial" w:eastAsia="Arial" w:hAnsi="Arial"/>
                <w:sz w:val="7"/>
                <w:szCs w:val="7"/>
                <w:color w:val="auto"/>
              </w:rPr>
              <w:t>Route de Vernier 132, Vernier, 1214</w:t>
            </w:r>
          </w:p>
        </w:tc>
        <w:tc>
          <w:tcPr>
            <w:tcW w:w="2340" w:type="dxa"/>
            <w:vAlign w:val="bottom"/>
          </w:tcPr>
          <w:p>
            <w:pPr>
              <w:jc w:val="right"/>
              <w:spacing w:after="0"/>
              <w:rPr>
                <w:sz w:val="20"/>
                <w:szCs w:val="20"/>
                <w:color w:val="auto"/>
              </w:rPr>
            </w:pPr>
            <w:r>
              <w:rPr>
                <w:rFonts w:ascii="Arial" w:cs="Arial" w:eastAsia="Arial" w:hAnsi="Arial"/>
                <w:sz w:val="7"/>
                <w:szCs w:val="7"/>
                <w:color w:val="auto"/>
              </w:rPr>
              <w:t>34</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Solen Versicherungen AG</w:t>
            </w:r>
          </w:p>
        </w:tc>
        <w:tc>
          <w:tcPr>
            <w:tcW w:w="6040" w:type="dxa"/>
            <w:vAlign w:val="bottom"/>
          </w:tcPr>
          <w:p>
            <w:pPr>
              <w:ind w:left="880"/>
              <w:spacing w:after="0"/>
              <w:rPr>
                <w:sz w:val="20"/>
                <w:szCs w:val="20"/>
                <w:color w:val="auto"/>
              </w:rPr>
            </w:pPr>
            <w:r>
              <w:rPr>
                <w:rFonts w:ascii="Arial" w:cs="Arial" w:eastAsia="Arial" w:hAnsi="Arial"/>
                <w:sz w:val="7"/>
                <w:szCs w:val="7"/>
                <w:color w:val="auto"/>
              </w:rPr>
              <w:t>Baarermatte, Baar, 6340</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Stazioni Autostradali Bellinzona SA</w:t>
            </w:r>
          </w:p>
        </w:tc>
        <w:tc>
          <w:tcPr>
            <w:tcW w:w="6040" w:type="dxa"/>
            <w:vAlign w:val="bottom"/>
          </w:tcPr>
          <w:p>
            <w:pPr>
              <w:ind w:left="880"/>
              <w:spacing w:after="0"/>
              <w:rPr>
                <w:sz w:val="20"/>
                <w:szCs w:val="20"/>
                <w:color w:val="auto"/>
              </w:rPr>
            </w:pPr>
            <w:r>
              <w:rPr>
                <w:rFonts w:ascii="Arial" w:cs="Arial" w:eastAsia="Arial" w:hAnsi="Arial"/>
                <w:sz w:val="7"/>
                <w:szCs w:val="7"/>
                <w:color w:val="auto"/>
              </w:rPr>
              <w:t>Autostrada A2 (direzione Gottardo), Hotel Bellinzona Sud, Monte Carasso, 6513</w:t>
            </w:r>
          </w:p>
        </w:tc>
        <w:tc>
          <w:tcPr>
            <w:tcW w:w="234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UBAG - Unterflurbetankungsanlage Flughafen Zürich AG</w:t>
            </w:r>
          </w:p>
        </w:tc>
        <w:tc>
          <w:tcPr>
            <w:tcW w:w="6040" w:type="dxa"/>
            <w:vAlign w:val="bottom"/>
          </w:tcPr>
          <w:p>
            <w:pPr>
              <w:ind w:left="880"/>
              <w:spacing w:after="0"/>
              <w:rPr>
                <w:sz w:val="20"/>
                <w:szCs w:val="20"/>
                <w:color w:val="auto"/>
              </w:rPr>
            </w:pPr>
            <w:r>
              <w:rPr>
                <w:rFonts w:ascii="Arial" w:cs="Arial" w:eastAsia="Arial" w:hAnsi="Arial"/>
                <w:sz w:val="7"/>
                <w:szCs w:val="7"/>
                <w:color w:val="auto"/>
              </w:rPr>
              <w:t>Zwüscheteich, Rümlang, 8153</w:t>
            </w:r>
          </w:p>
        </w:tc>
        <w:tc>
          <w:tcPr>
            <w:tcW w:w="234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2880" w:type="dxa"/>
            <w:vAlign w:val="bottom"/>
          </w:tcPr>
          <w:p>
            <w:pPr>
              <w:spacing w:after="0"/>
              <w:rPr>
                <w:sz w:val="20"/>
                <w:szCs w:val="20"/>
                <w:color w:val="auto"/>
              </w:rPr>
            </w:pPr>
            <w:r>
              <w:rPr>
                <w:rFonts w:ascii="Arial" w:cs="Arial" w:eastAsia="Arial" w:hAnsi="Arial"/>
                <w:sz w:val="7"/>
                <w:szCs w:val="7"/>
                <w:color w:val="auto"/>
              </w:rPr>
              <w:t>SYRIA</w:t>
            </w:r>
          </w:p>
        </w:tc>
        <w:tc>
          <w:tcPr>
            <w:tcW w:w="6040" w:type="dxa"/>
            <w:vAlign w:val="bottom"/>
          </w:tcPr>
          <w:p>
            <w:pPr>
              <w:spacing w:after="0"/>
              <w:rPr>
                <w:sz w:val="9"/>
                <w:szCs w:val="9"/>
                <w:color w:val="auto"/>
              </w:rPr>
            </w:pPr>
          </w:p>
        </w:tc>
        <w:tc>
          <w:tcPr>
            <w:tcW w:w="2340" w:type="dxa"/>
            <w:vAlign w:val="bottom"/>
          </w:tcPr>
          <w:p>
            <w:pPr>
              <w:spacing w:after="0"/>
              <w:rPr>
                <w:sz w:val="9"/>
                <w:szCs w:val="9"/>
                <w:color w:val="auto"/>
              </w:rPr>
            </w:pP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Al Badiah Petroleum Company</w:t>
            </w:r>
          </w:p>
        </w:tc>
        <w:tc>
          <w:tcPr>
            <w:tcW w:w="6040" w:type="dxa"/>
            <w:vAlign w:val="bottom"/>
          </w:tcPr>
          <w:p>
            <w:pPr>
              <w:ind w:left="880"/>
              <w:spacing w:after="0"/>
              <w:rPr>
                <w:sz w:val="20"/>
                <w:szCs w:val="20"/>
                <w:color w:val="auto"/>
              </w:rPr>
            </w:pPr>
            <w:r>
              <w:rPr>
                <w:rFonts w:ascii="Arial" w:cs="Arial" w:eastAsia="Arial" w:hAnsi="Arial"/>
                <w:sz w:val="7"/>
                <w:szCs w:val="7"/>
                <w:color w:val="auto"/>
              </w:rPr>
              <w:t>Damascus New Sham Western Dummar, Island No. 1 - Property 2299, P.O. Box 7660, Damascus</w:t>
            </w:r>
          </w:p>
        </w:tc>
        <w:tc>
          <w:tcPr>
            <w:tcW w:w="2340" w:type="dxa"/>
            <w:vAlign w:val="bottom"/>
          </w:tcPr>
          <w:p>
            <w:pPr>
              <w:jc w:val="right"/>
              <w:spacing w:after="0"/>
              <w:rPr>
                <w:sz w:val="20"/>
                <w:szCs w:val="20"/>
                <w:color w:val="auto"/>
              </w:rPr>
            </w:pPr>
            <w:r>
              <w:rPr>
                <w:rFonts w:ascii="Arial" w:cs="Arial" w:eastAsia="Arial" w:hAnsi="Arial"/>
                <w:sz w:val="7"/>
                <w:szCs w:val="7"/>
                <w:color w:val="auto"/>
              </w:rPr>
              <w:t>22</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Al Furat Petroleum Company</w:t>
            </w:r>
          </w:p>
        </w:tc>
        <w:tc>
          <w:tcPr>
            <w:tcW w:w="6040" w:type="dxa"/>
            <w:vAlign w:val="bottom"/>
          </w:tcPr>
          <w:p>
            <w:pPr>
              <w:ind w:left="880"/>
              <w:spacing w:after="0"/>
              <w:rPr>
                <w:sz w:val="20"/>
                <w:szCs w:val="20"/>
                <w:color w:val="auto"/>
              </w:rPr>
            </w:pPr>
            <w:r>
              <w:rPr>
                <w:rFonts w:ascii="Arial" w:cs="Arial" w:eastAsia="Arial" w:hAnsi="Arial"/>
                <w:sz w:val="7"/>
                <w:szCs w:val="7"/>
                <w:color w:val="auto"/>
              </w:rPr>
              <w:t>Damascus New Sham Western Dummar, Island No. 1 - Property 2299, P.O. Box 7660, Damascus</w:t>
            </w:r>
          </w:p>
        </w:tc>
        <w:tc>
          <w:tcPr>
            <w:tcW w:w="234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2880" w:type="dxa"/>
            <w:vAlign w:val="bottom"/>
          </w:tcPr>
          <w:p>
            <w:pPr>
              <w:spacing w:after="0"/>
              <w:rPr>
                <w:sz w:val="20"/>
                <w:szCs w:val="20"/>
                <w:color w:val="auto"/>
              </w:rPr>
            </w:pPr>
            <w:r>
              <w:rPr>
                <w:rFonts w:ascii="Arial" w:cs="Arial" w:eastAsia="Arial" w:hAnsi="Arial"/>
                <w:sz w:val="7"/>
                <w:szCs w:val="7"/>
                <w:color w:val="auto"/>
              </w:rPr>
              <w:t>TAIWAN</w:t>
            </w:r>
          </w:p>
        </w:tc>
        <w:tc>
          <w:tcPr>
            <w:tcW w:w="6040" w:type="dxa"/>
            <w:vAlign w:val="bottom"/>
          </w:tcPr>
          <w:p>
            <w:pPr>
              <w:spacing w:after="0"/>
              <w:rPr>
                <w:sz w:val="9"/>
                <w:szCs w:val="9"/>
                <w:color w:val="auto"/>
              </w:rPr>
            </w:pPr>
          </w:p>
        </w:tc>
        <w:tc>
          <w:tcPr>
            <w:tcW w:w="2340" w:type="dxa"/>
            <w:vAlign w:val="bottom"/>
          </w:tcPr>
          <w:p>
            <w:pPr>
              <w:spacing w:after="0"/>
              <w:rPr>
                <w:sz w:val="9"/>
                <w:szCs w:val="9"/>
                <w:color w:val="auto"/>
              </w:rPr>
            </w:pP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CPC Shell Lubricants Co. Ltd</w:t>
            </w:r>
          </w:p>
        </w:tc>
        <w:tc>
          <w:tcPr>
            <w:tcW w:w="6040" w:type="dxa"/>
            <w:vAlign w:val="bottom"/>
          </w:tcPr>
          <w:p>
            <w:pPr>
              <w:ind w:left="880"/>
              <w:spacing w:after="0"/>
              <w:rPr>
                <w:sz w:val="20"/>
                <w:szCs w:val="20"/>
                <w:color w:val="auto"/>
              </w:rPr>
            </w:pPr>
            <w:r>
              <w:rPr>
                <w:rFonts w:ascii="Arial" w:cs="Arial" w:eastAsia="Arial" w:hAnsi="Arial"/>
                <w:sz w:val="7"/>
                <w:szCs w:val="7"/>
                <w:color w:val="auto"/>
              </w:rPr>
              <w:t>No. 2, Tso-Nan Road, Nan-Tze District, P.O. Box 25-30, Kaohsiung, 811</w:t>
            </w:r>
          </w:p>
        </w:tc>
        <w:tc>
          <w:tcPr>
            <w:tcW w:w="2340" w:type="dxa"/>
            <w:vAlign w:val="bottom"/>
          </w:tcPr>
          <w:p>
            <w:pPr>
              <w:jc w:val="right"/>
              <w:spacing w:after="0"/>
              <w:rPr>
                <w:sz w:val="20"/>
                <w:szCs w:val="20"/>
                <w:color w:val="auto"/>
              </w:rPr>
            </w:pPr>
            <w:r>
              <w:rPr>
                <w:rFonts w:ascii="Arial" w:cs="Arial" w:eastAsia="Arial" w:hAnsi="Arial"/>
                <w:sz w:val="7"/>
                <w:szCs w:val="7"/>
                <w:color w:val="auto"/>
              </w:rPr>
              <w:t>51</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Shell Taiwan Limited</w:t>
            </w:r>
          </w:p>
        </w:tc>
        <w:tc>
          <w:tcPr>
            <w:tcW w:w="6040" w:type="dxa"/>
            <w:vAlign w:val="bottom"/>
          </w:tcPr>
          <w:p>
            <w:pPr>
              <w:ind w:left="880"/>
              <w:spacing w:after="0"/>
              <w:rPr>
                <w:sz w:val="20"/>
                <w:szCs w:val="20"/>
                <w:color w:val="auto"/>
              </w:rPr>
            </w:pPr>
            <w:r>
              <w:rPr>
                <w:rFonts w:ascii="Arial" w:cs="Arial" w:eastAsia="Arial" w:hAnsi="Arial"/>
                <w:sz w:val="7"/>
                <w:szCs w:val="7"/>
                <w:color w:val="auto"/>
              </w:rPr>
              <w:t>International Trade Building, Room 2001, 20th Floor, 333, Keelung Road Section 1, Taipei, 110</w:t>
            </w:r>
          </w:p>
        </w:tc>
        <w:tc>
          <w:tcPr>
            <w:tcW w:w="234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80" w:type="dxa"/>
            <w:vAlign w:val="bottom"/>
          </w:tcPr>
          <w:p>
            <w:pPr>
              <w:spacing w:after="0"/>
              <w:rPr>
                <w:sz w:val="20"/>
                <w:szCs w:val="20"/>
                <w:color w:val="auto"/>
              </w:rPr>
            </w:pPr>
            <w:r>
              <w:rPr>
                <w:rFonts w:ascii="Arial" w:cs="Arial" w:eastAsia="Arial" w:hAnsi="Arial"/>
                <w:sz w:val="7"/>
                <w:szCs w:val="7"/>
                <w:color w:val="auto"/>
              </w:rPr>
              <w:t>TANZANIA</w:t>
            </w:r>
          </w:p>
        </w:tc>
        <w:tc>
          <w:tcPr>
            <w:tcW w:w="6040" w:type="dxa"/>
            <w:vAlign w:val="bottom"/>
          </w:tcPr>
          <w:p>
            <w:pPr>
              <w:spacing w:after="0"/>
              <w:rPr>
                <w:sz w:val="9"/>
                <w:szCs w:val="9"/>
                <w:color w:val="auto"/>
              </w:rPr>
            </w:pPr>
          </w:p>
        </w:tc>
        <w:tc>
          <w:tcPr>
            <w:tcW w:w="2340" w:type="dxa"/>
            <w:vAlign w:val="bottom"/>
          </w:tcPr>
          <w:p>
            <w:pPr>
              <w:spacing w:after="0"/>
              <w:rPr>
                <w:sz w:val="9"/>
                <w:szCs w:val="9"/>
                <w:color w:val="auto"/>
              </w:rPr>
            </w:pP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Fahari Gas Marketing Company Limited</w:t>
            </w:r>
          </w:p>
        </w:tc>
        <w:tc>
          <w:tcPr>
            <w:tcW w:w="6040" w:type="dxa"/>
            <w:vAlign w:val="bottom"/>
          </w:tcPr>
          <w:p>
            <w:pPr>
              <w:ind w:left="880"/>
              <w:spacing w:after="0"/>
              <w:rPr>
                <w:sz w:val="20"/>
                <w:szCs w:val="20"/>
                <w:color w:val="auto"/>
              </w:rPr>
            </w:pPr>
            <w:r>
              <w:rPr>
                <w:rFonts w:ascii="Arial" w:cs="Arial" w:eastAsia="Arial" w:hAnsi="Arial"/>
                <w:sz w:val="7"/>
                <w:szCs w:val="7"/>
                <w:color w:val="auto"/>
              </w:rPr>
              <w:t>1st Floor Kilwa House, Plot 369, Toure Drive, Oyster Bay, P.O. Box 105833, Dar es Salaam</w:t>
            </w:r>
          </w:p>
        </w:tc>
        <w:tc>
          <w:tcPr>
            <w:tcW w:w="2340" w:type="dxa"/>
            <w:vAlign w:val="bottom"/>
          </w:tcPr>
          <w:p>
            <w:pPr>
              <w:jc w:val="right"/>
              <w:spacing w:after="0"/>
              <w:rPr>
                <w:sz w:val="20"/>
                <w:szCs w:val="20"/>
                <w:color w:val="auto"/>
              </w:rPr>
            </w:pPr>
            <w:r>
              <w:rPr>
                <w:rFonts w:ascii="Arial" w:cs="Arial" w:eastAsia="Arial" w:hAnsi="Arial"/>
                <w:sz w:val="7"/>
                <w:szCs w:val="7"/>
                <w:color w:val="auto"/>
              </w:rPr>
              <w:t>53</w:t>
            </w:r>
          </w:p>
        </w:tc>
      </w:tr>
      <w:tr>
        <w:trPr>
          <w:trHeight w:val="108"/>
        </w:trPr>
        <w:tc>
          <w:tcPr>
            <w:tcW w:w="2880" w:type="dxa"/>
            <w:vAlign w:val="bottom"/>
          </w:tcPr>
          <w:p>
            <w:pPr>
              <w:ind w:left="80"/>
              <w:spacing w:after="0"/>
              <w:rPr>
                <w:sz w:val="20"/>
                <w:szCs w:val="20"/>
                <w:color w:val="auto"/>
              </w:rPr>
            </w:pPr>
            <w:r>
              <w:rPr>
                <w:rFonts w:ascii="Arial" w:cs="Arial" w:eastAsia="Arial" w:hAnsi="Arial"/>
                <w:sz w:val="7"/>
                <w:szCs w:val="7"/>
                <w:color w:val="auto"/>
              </w:rPr>
              <w:t>Mzalendo Gas Processing Company Limited</w:t>
            </w:r>
          </w:p>
        </w:tc>
        <w:tc>
          <w:tcPr>
            <w:tcW w:w="6040" w:type="dxa"/>
            <w:vAlign w:val="bottom"/>
          </w:tcPr>
          <w:p>
            <w:pPr>
              <w:ind w:left="880"/>
              <w:spacing w:after="0"/>
              <w:rPr>
                <w:sz w:val="20"/>
                <w:szCs w:val="20"/>
                <w:color w:val="auto"/>
              </w:rPr>
            </w:pPr>
            <w:r>
              <w:rPr>
                <w:rFonts w:ascii="Arial" w:cs="Arial" w:eastAsia="Arial" w:hAnsi="Arial"/>
                <w:sz w:val="7"/>
                <w:szCs w:val="7"/>
                <w:color w:val="auto"/>
              </w:rPr>
              <w:t>1st Floor Kilwa House, Plot 369, Toure Drive, Oyster Bay, P.O. Box 105833, Dar es Salaam</w:t>
            </w:r>
          </w:p>
        </w:tc>
        <w:tc>
          <w:tcPr>
            <w:tcW w:w="2340" w:type="dxa"/>
            <w:vAlign w:val="bottom"/>
          </w:tcPr>
          <w:p>
            <w:pPr>
              <w:jc w:val="right"/>
              <w:spacing w:after="0"/>
              <w:rPr>
                <w:sz w:val="20"/>
                <w:szCs w:val="20"/>
                <w:color w:val="auto"/>
              </w:rPr>
            </w:pPr>
            <w:r>
              <w:rPr>
                <w:rFonts w:ascii="Arial" w:cs="Arial" w:eastAsia="Arial" w:hAnsi="Arial"/>
                <w:sz w:val="7"/>
                <w:szCs w:val="7"/>
                <w:color w:val="auto"/>
              </w:rPr>
              <w:t>53</w:t>
            </w:r>
          </w:p>
        </w:tc>
      </w:tr>
      <w:tr>
        <w:trPr>
          <w:trHeight w:val="520"/>
        </w:trPr>
        <w:tc>
          <w:tcPr>
            <w:tcW w:w="2880" w:type="dxa"/>
            <w:vAlign w:val="bottom"/>
          </w:tcPr>
          <w:p>
            <w:pPr>
              <w:ind w:left="40"/>
              <w:spacing w:after="0"/>
              <w:rPr>
                <w:sz w:val="20"/>
                <w:szCs w:val="20"/>
                <w:color w:val="auto"/>
              </w:rPr>
            </w:pPr>
            <w:r>
              <w:rPr>
                <w:rFonts w:ascii="Arial" w:cs="Arial" w:eastAsia="Arial" w:hAnsi="Arial"/>
                <w:sz w:val="6"/>
                <w:szCs w:val="6"/>
                <w:color w:val="auto"/>
              </w:rPr>
              <w:t>ADDITIONAL INFORMATION SHELL FORM 20-F 2020</w:t>
            </w:r>
          </w:p>
        </w:tc>
        <w:tc>
          <w:tcPr>
            <w:tcW w:w="6040" w:type="dxa"/>
            <w:vAlign w:val="bottom"/>
          </w:tcPr>
          <w:p>
            <w:pPr>
              <w:ind w:left="2680"/>
              <w:spacing w:after="0"/>
              <w:rPr>
                <w:sz w:val="20"/>
                <w:szCs w:val="20"/>
                <w:color w:val="auto"/>
              </w:rPr>
            </w:pPr>
            <w:r>
              <w:rPr>
                <w:rFonts w:ascii="Arial" w:cs="Arial" w:eastAsia="Arial" w:hAnsi="Arial"/>
                <w:sz w:val="6"/>
                <w:szCs w:val="6"/>
                <w:color w:val="auto"/>
              </w:rPr>
              <w:t>E15</w:t>
            </w:r>
          </w:p>
        </w:tc>
        <w:tc>
          <w:tcPr>
            <w:tcW w:w="2340" w:type="dxa"/>
            <w:vAlign w:val="bottom"/>
          </w:tcPr>
          <w:p>
            <w:pPr>
              <w:spacing w:after="0"/>
              <w:rPr>
                <w:sz w:val="24"/>
                <w:szCs w:val="24"/>
                <w:color w:val="auto"/>
              </w:rPr>
            </w:pPr>
          </w:p>
        </w:tc>
      </w:tr>
    </w:tbl>
    <w:p>
      <w:pPr>
        <w:sectPr>
          <w:pgSz w:w="11900" w:h="16838" w:orient="portrait"/>
          <w:cols w:equalWidth="0" w:num="1">
            <w:col w:w="11260"/>
          </w:cols>
          <w:pgMar w:left="300" w:top="735" w:right="339" w:bottom="1440" w:gutter="0" w:footer="0" w:header="0"/>
        </w:sectPr>
      </w:pPr>
    </w:p>
    <w:bookmarkStart w:id="303" w:name="page304"/>
    <w:bookmarkEnd w:id="3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800" w:type="dxa"/>
            <w:vAlign w:val="bottom"/>
          </w:tcPr>
          <w:p>
            <w:pPr>
              <w:ind w:left="80"/>
              <w:spacing w:after="0"/>
              <w:rPr>
                <w:sz w:val="20"/>
                <w:szCs w:val="20"/>
                <w:color w:val="auto"/>
              </w:rPr>
            </w:pPr>
            <w:r>
              <w:rPr>
                <w:rFonts w:ascii="Arial" w:cs="Arial" w:eastAsia="Arial" w:hAnsi="Arial"/>
                <w:sz w:val="7"/>
                <w:szCs w:val="7"/>
                <w:color w:val="auto"/>
              </w:rPr>
              <w:t>Ruvuma Pipeline Company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1st Floor Kilwa House, Plot 369, Toure Drive, Oyster Bay, P.O. Box 105833, Dar es Salaam</w:t>
            </w:r>
          </w:p>
        </w:tc>
        <w:tc>
          <w:tcPr>
            <w:tcW w:w="2300" w:type="dxa"/>
            <w:vAlign w:val="bottom"/>
          </w:tcPr>
          <w:p>
            <w:pPr>
              <w:jc w:val="right"/>
              <w:spacing w:after="0"/>
              <w:rPr>
                <w:sz w:val="20"/>
                <w:szCs w:val="20"/>
                <w:color w:val="auto"/>
              </w:rPr>
            </w:pPr>
            <w:r>
              <w:rPr>
                <w:rFonts w:ascii="Arial" w:cs="Arial" w:eastAsia="Arial" w:hAnsi="Arial"/>
                <w:sz w:val="7"/>
                <w:szCs w:val="7"/>
                <w:color w:val="auto"/>
              </w:rPr>
              <w:t>53</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Tanzania LNG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1st Floor Kilwa House, Plot 369, Toure Drive, Oyster Bay, P.O. Box 105833, Dar es Salaam</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spacing w:after="0"/>
              <w:rPr>
                <w:sz w:val="20"/>
                <w:szCs w:val="20"/>
                <w:color w:val="auto"/>
              </w:rPr>
            </w:pPr>
            <w:r>
              <w:rPr>
                <w:rFonts w:ascii="Arial" w:cs="Arial" w:eastAsia="Arial" w:hAnsi="Arial"/>
                <w:sz w:val="7"/>
                <w:szCs w:val="7"/>
                <w:color w:val="auto"/>
              </w:rPr>
              <w:t>THAILAND</w:t>
            </w:r>
          </w:p>
        </w:tc>
        <w:tc>
          <w:tcPr>
            <w:tcW w:w="6180" w:type="dxa"/>
            <w:vAlign w:val="bottom"/>
          </w:tcPr>
          <w:p>
            <w:pPr>
              <w:spacing w:after="0"/>
              <w:rPr>
                <w:sz w:val="9"/>
                <w:szCs w:val="9"/>
                <w:color w:val="auto"/>
              </w:rPr>
            </w:pPr>
          </w:p>
        </w:tc>
        <w:tc>
          <w:tcPr>
            <w:tcW w:w="2300" w:type="dxa"/>
            <w:vAlign w:val="bottom"/>
          </w:tcPr>
          <w:p>
            <w:pPr>
              <w:spacing w:after="0"/>
              <w:rPr>
                <w:sz w:val="9"/>
                <w:szCs w:val="9"/>
                <w:color w:val="auto"/>
              </w:rPr>
            </w:pP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Pattanadhorn Company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10 Soonthornkosa Road, Klongtoey, Bangkok, 10110</w:t>
            </w:r>
          </w:p>
        </w:tc>
        <w:tc>
          <w:tcPr>
            <w:tcW w:w="2300" w:type="dxa"/>
            <w:vAlign w:val="bottom"/>
          </w:tcPr>
          <w:p>
            <w:pPr>
              <w:jc w:val="right"/>
              <w:spacing w:after="0"/>
              <w:rPr>
                <w:sz w:val="20"/>
                <w:szCs w:val="20"/>
                <w:color w:val="auto"/>
              </w:rPr>
            </w:pPr>
            <w:r>
              <w:rPr>
                <w:rFonts w:ascii="Arial" w:cs="Arial" w:eastAsia="Arial" w:hAnsi="Arial"/>
                <w:sz w:val="7"/>
                <w:szCs w:val="7"/>
                <w:color w:val="auto"/>
              </w:rPr>
              <w:t>42</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Sahapanichkijphun Company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10 Soonthornkosa Road, Klongtoey, Bangkok, 10110</w:t>
            </w:r>
          </w:p>
        </w:tc>
        <w:tc>
          <w:tcPr>
            <w:tcW w:w="2300" w:type="dxa"/>
            <w:vAlign w:val="bottom"/>
          </w:tcPr>
          <w:p>
            <w:pPr>
              <w:jc w:val="right"/>
              <w:spacing w:after="0"/>
              <w:rPr>
                <w:sz w:val="20"/>
                <w:szCs w:val="20"/>
                <w:color w:val="auto"/>
              </w:rPr>
            </w:pPr>
            <w:r>
              <w:rPr>
                <w:rFonts w:ascii="Arial" w:cs="Arial" w:eastAsia="Arial" w:hAnsi="Arial"/>
                <w:sz w:val="7"/>
                <w:szCs w:val="7"/>
                <w:color w:val="auto"/>
              </w:rPr>
              <w:t>42</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Global Solutions (Thailand)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10 Soonthornkosa Road, Klongtoey, Bangkok, 10110</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Global Solutions Holdings (Thailand)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10 Soonthornkosa Road, Klongtoey, Bangkok, 10110</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Global Solutions Service (Thailand) Company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10 Soonthornkosa Road, Klongtoey, Bangkok, 10110</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Thai Energy Company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10 Soonthornkosa Road, Klongtoey, Bangkok, 10110</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Unitas Company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10 Soonthornkosa Road, Klongtoey, Bangkok, 10110</w:t>
            </w:r>
          </w:p>
        </w:tc>
        <w:tc>
          <w:tcPr>
            <w:tcW w:w="2300" w:type="dxa"/>
            <w:vAlign w:val="bottom"/>
          </w:tcPr>
          <w:p>
            <w:pPr>
              <w:jc w:val="right"/>
              <w:spacing w:after="0"/>
              <w:rPr>
                <w:sz w:val="20"/>
                <w:szCs w:val="20"/>
                <w:color w:val="auto"/>
              </w:rPr>
            </w:pPr>
            <w:r>
              <w:rPr>
                <w:rFonts w:ascii="Arial" w:cs="Arial" w:eastAsia="Arial" w:hAnsi="Arial"/>
                <w:sz w:val="7"/>
                <w:szCs w:val="7"/>
                <w:color w:val="auto"/>
              </w:rPr>
              <w:t>42</w:t>
            </w:r>
          </w:p>
        </w:tc>
      </w:tr>
      <w:tr>
        <w:trPr>
          <w:trHeight w:val="108"/>
        </w:trPr>
        <w:tc>
          <w:tcPr>
            <w:tcW w:w="2800" w:type="dxa"/>
            <w:vAlign w:val="bottom"/>
          </w:tcPr>
          <w:p>
            <w:pPr>
              <w:spacing w:after="0"/>
              <w:rPr>
                <w:sz w:val="20"/>
                <w:szCs w:val="20"/>
                <w:color w:val="auto"/>
              </w:rPr>
            </w:pPr>
            <w:r>
              <w:rPr>
                <w:rFonts w:ascii="Arial" w:cs="Arial" w:eastAsia="Arial" w:hAnsi="Arial"/>
                <w:sz w:val="7"/>
                <w:szCs w:val="7"/>
                <w:color w:val="auto"/>
              </w:rPr>
              <w:t>TRINIDAD AND TOBAGO</w:t>
            </w:r>
          </w:p>
        </w:tc>
        <w:tc>
          <w:tcPr>
            <w:tcW w:w="6180" w:type="dxa"/>
            <w:vAlign w:val="bottom"/>
          </w:tcPr>
          <w:p>
            <w:pPr>
              <w:spacing w:after="0"/>
              <w:rPr>
                <w:sz w:val="9"/>
                <w:szCs w:val="9"/>
                <w:color w:val="auto"/>
              </w:rPr>
            </w:pPr>
          </w:p>
        </w:tc>
        <w:tc>
          <w:tcPr>
            <w:tcW w:w="2300" w:type="dxa"/>
            <w:vAlign w:val="bottom"/>
          </w:tcPr>
          <w:p>
            <w:pPr>
              <w:spacing w:after="0"/>
              <w:rPr>
                <w:sz w:val="9"/>
                <w:szCs w:val="9"/>
                <w:color w:val="auto"/>
              </w:rPr>
            </w:pP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2/3 Investments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5 Saint Clair Avenue, Saint Clair, Port of Spain</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Point Fortin LNG Exports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5 Saint Clair Avenue, Saint Clair, Port of Spain</w:t>
            </w:r>
          </w:p>
        </w:tc>
        <w:tc>
          <w:tcPr>
            <w:tcW w:w="2300" w:type="dxa"/>
            <w:vAlign w:val="bottom"/>
          </w:tcPr>
          <w:p>
            <w:pPr>
              <w:jc w:val="right"/>
              <w:spacing w:after="0"/>
              <w:rPr>
                <w:sz w:val="20"/>
                <w:szCs w:val="20"/>
                <w:color w:val="auto"/>
              </w:rPr>
            </w:pPr>
            <w:r>
              <w:rPr>
                <w:rFonts w:ascii="Arial" w:cs="Arial" w:eastAsia="Arial" w:hAnsi="Arial"/>
                <w:sz w:val="7"/>
                <w:szCs w:val="7"/>
                <w:color w:val="auto"/>
              </w:rPr>
              <w:t>81</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Gas Supply Trinidad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5 Saint Clair Avenue, Saint Clair, Port of Spain</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LNG T&amp;T Ltd</w:t>
            </w:r>
          </w:p>
        </w:tc>
        <w:tc>
          <w:tcPr>
            <w:tcW w:w="6180" w:type="dxa"/>
            <w:vAlign w:val="bottom"/>
          </w:tcPr>
          <w:p>
            <w:pPr>
              <w:ind w:left="960"/>
              <w:spacing w:after="0"/>
              <w:rPr>
                <w:sz w:val="20"/>
                <w:szCs w:val="20"/>
                <w:color w:val="auto"/>
              </w:rPr>
            </w:pPr>
            <w:r>
              <w:rPr>
                <w:rFonts w:ascii="Arial" w:cs="Arial" w:eastAsia="Arial" w:hAnsi="Arial"/>
                <w:sz w:val="7"/>
                <w:szCs w:val="7"/>
                <w:color w:val="auto"/>
              </w:rPr>
              <w:t>5 Saint Clair Avenue, Saint Clair, Port of Spain</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Manatee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5 Saint Clair Avenue, Saint Clair, Port of Spain</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Trinidad Central Block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5 Saint Clair Avenue, Saint Clair, Port of Spain</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Trinidad Ltd</w:t>
            </w:r>
          </w:p>
        </w:tc>
        <w:tc>
          <w:tcPr>
            <w:tcW w:w="6180" w:type="dxa"/>
            <w:vAlign w:val="bottom"/>
          </w:tcPr>
          <w:p>
            <w:pPr>
              <w:ind w:left="960"/>
              <w:spacing w:after="0"/>
              <w:rPr>
                <w:sz w:val="20"/>
                <w:szCs w:val="20"/>
                <w:color w:val="auto"/>
              </w:rPr>
            </w:pPr>
            <w:r>
              <w:rPr>
                <w:rFonts w:ascii="Arial" w:cs="Arial" w:eastAsia="Arial" w:hAnsi="Arial"/>
                <w:sz w:val="7"/>
                <w:szCs w:val="7"/>
                <w:color w:val="auto"/>
              </w:rPr>
              <w:t>Shell Energy House, 5 St. Clair Avenue, Port of Spain</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Trinidad North Coast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5 Saint Clair Avenue, Saint Clair, Port of Spain</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The International School of Port of Spain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1 International Drive, Westmoorings</w:t>
            </w:r>
          </w:p>
        </w:tc>
        <w:tc>
          <w:tcPr>
            <w:tcW w:w="2300" w:type="dxa"/>
            <w:vAlign w:val="bottom"/>
          </w:tcPr>
          <w:p>
            <w:pPr>
              <w:jc w:val="right"/>
              <w:spacing w:after="0"/>
              <w:rPr>
                <w:sz w:val="20"/>
                <w:szCs w:val="20"/>
                <w:color w:val="auto"/>
              </w:rPr>
            </w:pPr>
            <w:r>
              <w:rPr>
                <w:rFonts w:ascii="Arial" w:cs="Arial" w:eastAsia="Arial" w:hAnsi="Arial"/>
                <w:sz w:val="7"/>
                <w:szCs w:val="7"/>
                <w:color w:val="auto"/>
              </w:rPr>
              <w:t>25</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TRINLING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5 Saint Clair Avenue, Saint Clair, Port of Spain</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spacing w:after="0"/>
              <w:rPr>
                <w:sz w:val="20"/>
                <w:szCs w:val="20"/>
                <w:color w:val="auto"/>
              </w:rPr>
            </w:pPr>
            <w:r>
              <w:rPr>
                <w:rFonts w:ascii="Arial" w:cs="Arial" w:eastAsia="Arial" w:hAnsi="Arial"/>
                <w:sz w:val="7"/>
                <w:szCs w:val="7"/>
                <w:color w:val="auto"/>
              </w:rPr>
              <w:t>TUNISIA</w:t>
            </w:r>
          </w:p>
        </w:tc>
        <w:tc>
          <w:tcPr>
            <w:tcW w:w="6180" w:type="dxa"/>
            <w:vAlign w:val="bottom"/>
          </w:tcPr>
          <w:p>
            <w:pPr>
              <w:spacing w:after="0"/>
              <w:rPr>
                <w:sz w:val="9"/>
                <w:szCs w:val="9"/>
                <w:color w:val="auto"/>
              </w:rPr>
            </w:pPr>
          </w:p>
        </w:tc>
        <w:tc>
          <w:tcPr>
            <w:tcW w:w="2300" w:type="dxa"/>
            <w:vAlign w:val="bottom"/>
          </w:tcPr>
          <w:p>
            <w:pPr>
              <w:spacing w:after="0"/>
              <w:rPr>
                <w:sz w:val="9"/>
                <w:szCs w:val="9"/>
                <w:color w:val="auto"/>
              </w:rPr>
            </w:pP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Amilcar Petroleum Operations S.A.</w:t>
            </w:r>
          </w:p>
        </w:tc>
        <w:tc>
          <w:tcPr>
            <w:tcW w:w="6180" w:type="dxa"/>
            <w:vAlign w:val="bottom"/>
          </w:tcPr>
          <w:p>
            <w:pPr>
              <w:ind w:left="960"/>
              <w:spacing w:after="0"/>
              <w:rPr>
                <w:sz w:val="20"/>
                <w:szCs w:val="20"/>
                <w:color w:val="auto"/>
              </w:rPr>
            </w:pPr>
            <w:r>
              <w:rPr>
                <w:rFonts w:ascii="Arial" w:cs="Arial" w:eastAsia="Arial" w:hAnsi="Arial"/>
                <w:sz w:val="7"/>
                <w:szCs w:val="7"/>
                <w:color w:val="auto"/>
              </w:rPr>
              <w:t>Immeuble Mezghenni, Rue du Lac Windermere, Les Berges du Lac, Tunis, 1053 - BP 36</w:t>
            </w:r>
          </w:p>
        </w:tc>
        <w:tc>
          <w:tcPr>
            <w:tcW w:w="23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Tunisia LPG S.A.</w:t>
            </w:r>
          </w:p>
        </w:tc>
        <w:tc>
          <w:tcPr>
            <w:tcW w:w="6180" w:type="dxa"/>
            <w:vAlign w:val="bottom"/>
          </w:tcPr>
          <w:p>
            <w:pPr>
              <w:ind w:left="960"/>
              <w:spacing w:after="0"/>
              <w:rPr>
                <w:sz w:val="20"/>
                <w:szCs w:val="20"/>
                <w:color w:val="auto"/>
              </w:rPr>
            </w:pPr>
            <w:r>
              <w:rPr>
                <w:rFonts w:ascii="Arial" w:cs="Arial" w:eastAsia="Arial" w:hAnsi="Arial"/>
                <w:sz w:val="7"/>
                <w:szCs w:val="7"/>
                <w:color w:val="auto"/>
              </w:rPr>
              <w:t>Immeuble Le Tanit du Lac, Rue du Lac Windermere, Les Berges du Lac, Tunis, 1053</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Tunisian Processing S.A.</w:t>
            </w:r>
          </w:p>
        </w:tc>
        <w:tc>
          <w:tcPr>
            <w:tcW w:w="6180" w:type="dxa"/>
            <w:vAlign w:val="bottom"/>
          </w:tcPr>
          <w:p>
            <w:pPr>
              <w:ind w:left="960"/>
              <w:spacing w:after="0"/>
              <w:rPr>
                <w:sz w:val="20"/>
                <w:szCs w:val="20"/>
                <w:color w:val="auto"/>
              </w:rPr>
            </w:pPr>
            <w:r>
              <w:rPr>
                <w:rFonts w:ascii="Arial" w:cs="Arial" w:eastAsia="Arial" w:hAnsi="Arial"/>
                <w:sz w:val="7"/>
                <w:szCs w:val="7"/>
                <w:color w:val="auto"/>
              </w:rPr>
              <w:t>Immeuble Le Tanit du Lac, Rue du Lac Windermere, Les Berges du Lac, Tunis, 1053</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spacing w:after="0"/>
              <w:rPr>
                <w:sz w:val="20"/>
                <w:szCs w:val="20"/>
                <w:color w:val="auto"/>
              </w:rPr>
            </w:pPr>
            <w:r>
              <w:rPr>
                <w:rFonts w:ascii="Arial" w:cs="Arial" w:eastAsia="Arial" w:hAnsi="Arial"/>
                <w:sz w:val="7"/>
                <w:szCs w:val="7"/>
                <w:color w:val="auto"/>
              </w:rPr>
              <w:t>TURKEY</w:t>
            </w:r>
          </w:p>
        </w:tc>
        <w:tc>
          <w:tcPr>
            <w:tcW w:w="6180" w:type="dxa"/>
            <w:vAlign w:val="bottom"/>
          </w:tcPr>
          <w:p>
            <w:pPr>
              <w:spacing w:after="0"/>
              <w:rPr>
                <w:sz w:val="9"/>
                <w:szCs w:val="9"/>
                <w:color w:val="auto"/>
              </w:rPr>
            </w:pPr>
          </w:p>
        </w:tc>
        <w:tc>
          <w:tcPr>
            <w:tcW w:w="2300" w:type="dxa"/>
            <w:vAlign w:val="bottom"/>
          </w:tcPr>
          <w:p>
            <w:pPr>
              <w:spacing w:after="0"/>
              <w:rPr>
                <w:sz w:val="9"/>
                <w:szCs w:val="9"/>
                <w:color w:val="auto"/>
              </w:rPr>
            </w:pP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Ambarli Depolama Hizmetleri Ltd. Sti.</w:t>
            </w:r>
          </w:p>
        </w:tc>
        <w:tc>
          <w:tcPr>
            <w:tcW w:w="6180" w:type="dxa"/>
            <w:vAlign w:val="bottom"/>
          </w:tcPr>
          <w:p>
            <w:pPr>
              <w:ind w:left="960"/>
              <w:spacing w:after="0"/>
              <w:rPr>
                <w:sz w:val="20"/>
                <w:szCs w:val="20"/>
                <w:color w:val="auto"/>
              </w:rPr>
            </w:pPr>
            <w:r>
              <w:rPr>
                <w:rFonts w:ascii="Arial" w:cs="Arial" w:eastAsia="Arial" w:hAnsi="Arial"/>
                <w:sz w:val="7"/>
                <w:szCs w:val="7"/>
                <w:color w:val="auto"/>
              </w:rPr>
              <w:t>Yakuplu Mah. Gencosman Cad. No:7, Beylikduzu, Istanbul, 34524</w:t>
            </w:r>
          </w:p>
        </w:tc>
        <w:tc>
          <w:tcPr>
            <w:tcW w:w="2300" w:type="dxa"/>
            <w:vAlign w:val="bottom"/>
          </w:tcPr>
          <w:p>
            <w:pPr>
              <w:jc w:val="right"/>
              <w:spacing w:after="0"/>
              <w:rPr>
                <w:sz w:val="20"/>
                <w:szCs w:val="20"/>
                <w:color w:val="auto"/>
              </w:rPr>
            </w:pPr>
            <w:r>
              <w:rPr>
                <w:rFonts w:ascii="Arial" w:cs="Arial" w:eastAsia="Arial" w:hAnsi="Arial"/>
                <w:sz w:val="7"/>
                <w:szCs w:val="7"/>
                <w:color w:val="auto"/>
              </w:rPr>
              <w:t>35</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Cekisan Depolama Hizmetleri Ltd. Sti.</w:t>
            </w:r>
          </w:p>
        </w:tc>
        <w:tc>
          <w:tcPr>
            <w:tcW w:w="6180" w:type="dxa"/>
            <w:vAlign w:val="bottom"/>
          </w:tcPr>
          <w:p>
            <w:pPr>
              <w:ind w:left="960"/>
              <w:spacing w:after="0"/>
              <w:rPr>
                <w:sz w:val="20"/>
                <w:szCs w:val="20"/>
                <w:color w:val="auto"/>
              </w:rPr>
            </w:pPr>
            <w:r>
              <w:rPr>
                <w:rFonts w:ascii="Arial" w:cs="Arial" w:eastAsia="Arial" w:hAnsi="Arial"/>
                <w:sz w:val="7"/>
                <w:szCs w:val="7"/>
                <w:color w:val="auto"/>
              </w:rPr>
              <w:t>Liman Mahallesi 60. Sokak No. 25, Konyaalti, Antalya, 07070</w:t>
            </w:r>
          </w:p>
        </w:tc>
        <w:tc>
          <w:tcPr>
            <w:tcW w:w="2300" w:type="dxa"/>
            <w:vAlign w:val="bottom"/>
          </w:tcPr>
          <w:p>
            <w:pPr>
              <w:jc w:val="right"/>
              <w:spacing w:after="0"/>
              <w:rPr>
                <w:sz w:val="20"/>
                <w:szCs w:val="20"/>
                <w:color w:val="auto"/>
              </w:rPr>
            </w:pPr>
            <w:r>
              <w:rPr>
                <w:rFonts w:ascii="Arial" w:cs="Arial" w:eastAsia="Arial" w:hAnsi="Arial"/>
                <w:sz w:val="7"/>
                <w:szCs w:val="7"/>
                <w:color w:val="auto"/>
              </w:rPr>
              <w:t>35</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Marmara Depoculuk Hizmetleri A.S.</w:t>
            </w:r>
          </w:p>
        </w:tc>
        <w:tc>
          <w:tcPr>
            <w:tcW w:w="6180" w:type="dxa"/>
            <w:vAlign w:val="bottom"/>
          </w:tcPr>
          <w:p>
            <w:pPr>
              <w:ind w:left="960"/>
              <w:spacing w:after="0"/>
              <w:rPr>
                <w:sz w:val="20"/>
                <w:szCs w:val="20"/>
                <w:color w:val="auto"/>
              </w:rPr>
            </w:pPr>
            <w:r>
              <w:rPr>
                <w:rFonts w:ascii="Arial" w:cs="Arial" w:eastAsia="Arial" w:hAnsi="Arial"/>
                <w:sz w:val="7"/>
                <w:szCs w:val="7"/>
                <w:color w:val="auto"/>
              </w:rPr>
              <w:t>Sultankoy Mahallesi Maltepe Sokak No:66, Marmara Ereglisi, Tekirdag, 59750</w:t>
            </w:r>
          </w:p>
        </w:tc>
        <w:tc>
          <w:tcPr>
            <w:tcW w:w="2300" w:type="dxa"/>
            <w:vAlign w:val="bottom"/>
          </w:tcPr>
          <w:p>
            <w:pPr>
              <w:jc w:val="right"/>
              <w:spacing w:after="0"/>
              <w:rPr>
                <w:sz w:val="20"/>
                <w:szCs w:val="20"/>
                <w:color w:val="auto"/>
              </w:rPr>
            </w:pPr>
            <w:r>
              <w:rPr>
                <w:rFonts w:ascii="Arial" w:cs="Arial" w:eastAsia="Arial" w:hAnsi="Arial"/>
                <w:sz w:val="7"/>
                <w:szCs w:val="7"/>
                <w:color w:val="auto"/>
              </w:rPr>
              <w:t>32</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Samsun Akaryakit VE Depolama A.S.</w:t>
            </w:r>
          </w:p>
        </w:tc>
        <w:tc>
          <w:tcPr>
            <w:tcW w:w="6180" w:type="dxa"/>
            <w:vAlign w:val="bottom"/>
          </w:tcPr>
          <w:p>
            <w:pPr>
              <w:ind w:left="960"/>
              <w:spacing w:after="0"/>
              <w:rPr>
                <w:sz w:val="20"/>
                <w:szCs w:val="20"/>
                <w:color w:val="auto"/>
              </w:rPr>
            </w:pPr>
            <w:r>
              <w:rPr>
                <w:rFonts w:ascii="Arial" w:cs="Arial" w:eastAsia="Arial" w:hAnsi="Arial"/>
                <w:sz w:val="7"/>
                <w:szCs w:val="7"/>
                <w:color w:val="auto"/>
              </w:rPr>
              <w:t>Dilovasi Organize Sanayi Bolgesi 1.Kisim, 1004 Sokak No:10, Dilovasi, Kocaeli</w:t>
            </w:r>
          </w:p>
        </w:tc>
        <w:tc>
          <w:tcPr>
            <w:tcW w:w="2300" w:type="dxa"/>
            <w:vAlign w:val="bottom"/>
          </w:tcPr>
          <w:p>
            <w:pPr>
              <w:jc w:val="right"/>
              <w:spacing w:after="0"/>
              <w:rPr>
                <w:sz w:val="20"/>
                <w:szCs w:val="20"/>
                <w:color w:val="auto"/>
              </w:rPr>
            </w:pPr>
            <w:r>
              <w:rPr>
                <w:rFonts w:ascii="Arial" w:cs="Arial" w:eastAsia="Arial" w:hAnsi="Arial"/>
                <w:sz w:val="7"/>
                <w:szCs w:val="7"/>
                <w:color w:val="auto"/>
              </w:rPr>
              <w:t>35</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&amp; Turcas Petrol A.S.</w:t>
            </w:r>
          </w:p>
        </w:tc>
        <w:tc>
          <w:tcPr>
            <w:tcW w:w="6180" w:type="dxa"/>
            <w:vAlign w:val="bottom"/>
          </w:tcPr>
          <w:p>
            <w:pPr>
              <w:ind w:left="960"/>
              <w:spacing w:after="0"/>
              <w:rPr>
                <w:sz w:val="20"/>
                <w:szCs w:val="20"/>
                <w:color w:val="auto"/>
              </w:rPr>
            </w:pPr>
            <w:r>
              <w:rPr>
                <w:rFonts w:ascii="Arial" w:cs="Arial" w:eastAsia="Arial" w:hAnsi="Arial"/>
                <w:sz w:val="7"/>
                <w:szCs w:val="7"/>
                <w:color w:val="auto"/>
              </w:rPr>
              <w:t>Gulbahar Mah.Salih Tozan Sok., Karamancilar Is Merkezi B Blok No:18, Esentepe, Sisli, Istanbul, 34394</w:t>
            </w:r>
          </w:p>
        </w:tc>
        <w:tc>
          <w:tcPr>
            <w:tcW w:w="2300" w:type="dxa"/>
            <w:vAlign w:val="bottom"/>
          </w:tcPr>
          <w:p>
            <w:pPr>
              <w:jc w:val="right"/>
              <w:spacing w:after="0"/>
              <w:rPr>
                <w:sz w:val="20"/>
                <w:szCs w:val="20"/>
                <w:color w:val="auto"/>
              </w:rPr>
            </w:pPr>
            <w:r>
              <w:rPr>
                <w:rFonts w:ascii="Arial" w:cs="Arial" w:eastAsia="Arial" w:hAnsi="Arial"/>
                <w:sz w:val="7"/>
                <w:szCs w:val="7"/>
                <w:color w:val="auto"/>
              </w:rPr>
              <w:t>70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Enerji A.S.</w:t>
            </w:r>
          </w:p>
        </w:tc>
        <w:tc>
          <w:tcPr>
            <w:tcW w:w="6180" w:type="dxa"/>
            <w:vAlign w:val="bottom"/>
          </w:tcPr>
          <w:p>
            <w:pPr>
              <w:ind w:left="960"/>
              <w:spacing w:after="0"/>
              <w:rPr>
                <w:sz w:val="20"/>
                <w:szCs w:val="20"/>
                <w:color w:val="auto"/>
              </w:rPr>
            </w:pPr>
            <w:r>
              <w:rPr>
                <w:rFonts w:ascii="Arial" w:cs="Arial" w:eastAsia="Arial" w:hAnsi="Arial"/>
                <w:sz w:val="7"/>
                <w:szCs w:val="7"/>
                <w:color w:val="auto"/>
              </w:rPr>
              <w:t>Gulbahar Mah.Salih Tozan Sok., Karamancilar Is Merkezi B Blok No:18, Esentepe, Sisli, Istanbul, 34394</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Shell Petrol A.S.</w:t>
            </w:r>
          </w:p>
        </w:tc>
        <w:tc>
          <w:tcPr>
            <w:tcW w:w="6180" w:type="dxa"/>
            <w:vAlign w:val="bottom"/>
          </w:tcPr>
          <w:p>
            <w:pPr>
              <w:ind w:left="960"/>
              <w:spacing w:after="0"/>
              <w:rPr>
                <w:sz w:val="20"/>
                <w:szCs w:val="20"/>
                <w:color w:val="auto"/>
              </w:rPr>
            </w:pPr>
            <w:r>
              <w:rPr>
                <w:rFonts w:ascii="Arial" w:cs="Arial" w:eastAsia="Arial" w:hAnsi="Arial"/>
                <w:sz w:val="7"/>
                <w:szCs w:val="7"/>
                <w:color w:val="auto"/>
              </w:rPr>
              <w:t>Gulbahar Mah.Salih Tozan Sok., Karamancilar Is Merkezi B Blok No:18, Esentepe, Sisli, Istanbul, 34394</w:t>
            </w:r>
          </w:p>
        </w:tc>
        <w:tc>
          <w:tcPr>
            <w:tcW w:w="2300" w:type="dxa"/>
            <w:vAlign w:val="bottom"/>
          </w:tcPr>
          <w:p>
            <w:pPr>
              <w:jc w:val="right"/>
              <w:spacing w:after="0"/>
              <w:rPr>
                <w:sz w:val="20"/>
                <w:szCs w:val="20"/>
                <w:color w:val="auto"/>
              </w:rPr>
            </w:pPr>
            <w:r>
              <w:rPr>
                <w:rFonts w:ascii="Arial" w:cs="Arial" w:eastAsia="Arial" w:hAnsi="Arial"/>
                <w:sz w:val="7"/>
                <w:szCs w:val="7"/>
                <w:color w:val="auto"/>
              </w:rPr>
              <w:t>70</w:t>
            </w:r>
          </w:p>
        </w:tc>
      </w:tr>
      <w:tr>
        <w:trPr>
          <w:trHeight w:val="108"/>
        </w:trPr>
        <w:tc>
          <w:tcPr>
            <w:tcW w:w="2800" w:type="dxa"/>
            <w:vAlign w:val="bottom"/>
          </w:tcPr>
          <w:p>
            <w:pPr>
              <w:spacing w:after="0"/>
              <w:rPr>
                <w:sz w:val="20"/>
                <w:szCs w:val="20"/>
                <w:color w:val="auto"/>
              </w:rPr>
            </w:pPr>
            <w:r>
              <w:rPr>
                <w:rFonts w:ascii="Arial" w:cs="Arial" w:eastAsia="Arial" w:hAnsi="Arial"/>
                <w:sz w:val="7"/>
                <w:szCs w:val="7"/>
                <w:color w:val="auto"/>
              </w:rPr>
              <w:t>UK</w:t>
            </w:r>
          </w:p>
        </w:tc>
        <w:tc>
          <w:tcPr>
            <w:tcW w:w="6180" w:type="dxa"/>
            <w:vAlign w:val="bottom"/>
          </w:tcPr>
          <w:p>
            <w:pPr>
              <w:spacing w:after="0"/>
              <w:rPr>
                <w:sz w:val="9"/>
                <w:szCs w:val="9"/>
                <w:color w:val="auto"/>
              </w:rPr>
            </w:pPr>
          </w:p>
        </w:tc>
        <w:tc>
          <w:tcPr>
            <w:tcW w:w="2300" w:type="dxa"/>
            <w:vAlign w:val="bottom"/>
          </w:tcPr>
          <w:p>
            <w:pPr>
              <w:spacing w:after="0"/>
              <w:rPr>
                <w:sz w:val="9"/>
                <w:szCs w:val="9"/>
                <w:color w:val="auto"/>
              </w:rPr>
            </w:pP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Angkor Shell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Applied Blockchain Ltd</w:t>
            </w:r>
          </w:p>
        </w:tc>
        <w:tc>
          <w:tcPr>
            <w:tcW w:w="6180" w:type="dxa"/>
            <w:vAlign w:val="bottom"/>
          </w:tcPr>
          <w:p>
            <w:pPr>
              <w:ind w:left="960"/>
              <w:spacing w:after="0"/>
              <w:rPr>
                <w:sz w:val="20"/>
                <w:szCs w:val="20"/>
                <w:color w:val="auto"/>
              </w:rPr>
            </w:pPr>
            <w:r>
              <w:rPr>
                <w:rFonts w:ascii="Arial" w:cs="Arial" w:eastAsia="Arial" w:hAnsi="Arial"/>
                <w:sz w:val="7"/>
                <w:szCs w:val="7"/>
                <w:color w:val="auto"/>
              </w:rPr>
              <w:t>Level 39, One Canada Square, London, E14 5AB</w:t>
            </w:r>
          </w:p>
        </w:tc>
        <w:tc>
          <w:tcPr>
            <w:tcW w:w="2300" w:type="dxa"/>
            <w:vAlign w:val="bottom"/>
          </w:tcPr>
          <w:p>
            <w:pPr>
              <w:jc w:val="right"/>
              <w:spacing w:after="0"/>
              <w:rPr>
                <w:sz w:val="20"/>
                <w:szCs w:val="20"/>
                <w:color w:val="auto"/>
              </w:rPr>
            </w:pPr>
            <w:r>
              <w:rPr>
                <w:rFonts w:ascii="Arial" w:cs="Arial" w:eastAsia="Arial" w:hAnsi="Arial"/>
                <w:sz w:val="7"/>
                <w:szCs w:val="7"/>
                <w:color w:val="auto"/>
              </w:rPr>
              <w:t>21</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Autogas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Athena House, Athena Drive, Tachbrook Park, Warwick, CV34 6RL</w:t>
            </w:r>
          </w:p>
        </w:tc>
        <w:tc>
          <w:tcPr>
            <w:tcW w:w="23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Central Holdings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Cyprus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Delta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Employee Shares Trustees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Energy Capital Plc</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Energy Holdings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Energy Marketing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Equatorial Guinea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Gas Services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Gas Supply (UK)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General Holdings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General Partner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50 Lothian Road, Festival Square, Edinburgh, EH3 9WJ</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Great Britain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Group Employee Shares Trustees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Group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Group Pension Trustees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Group Trustees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Intellectual Property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International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Karachaganak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Kenya L10A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Kenya L10B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LNG Investments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Mongolia Holdings Limited</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800" w:type="dxa"/>
            <w:vAlign w:val="bottom"/>
          </w:tcPr>
          <w:p>
            <w:pPr>
              <w:ind w:left="80"/>
              <w:spacing w:after="0"/>
              <w:rPr>
                <w:sz w:val="20"/>
                <w:szCs w:val="20"/>
                <w:color w:val="auto"/>
              </w:rPr>
            </w:pPr>
            <w:r>
              <w:rPr>
                <w:rFonts w:ascii="Arial" w:cs="Arial" w:eastAsia="Arial" w:hAnsi="Arial"/>
                <w:sz w:val="7"/>
                <w:szCs w:val="7"/>
                <w:color w:val="auto"/>
              </w:rPr>
              <w:t>BG Netherlands</w:t>
            </w:r>
          </w:p>
        </w:tc>
        <w:tc>
          <w:tcPr>
            <w:tcW w:w="6180" w:type="dxa"/>
            <w:vAlign w:val="bottom"/>
          </w:tcPr>
          <w:p>
            <w:pPr>
              <w:ind w:left="960"/>
              <w:spacing w:after="0"/>
              <w:rPr>
                <w:sz w:val="20"/>
                <w:szCs w:val="20"/>
                <w:color w:val="auto"/>
              </w:rPr>
            </w:pPr>
            <w:r>
              <w:rPr>
                <w:rFonts w:ascii="Arial" w:cs="Arial" w:eastAsia="Arial" w:hAnsi="Arial"/>
                <w:sz w:val="7"/>
                <w:szCs w:val="7"/>
                <w:color w:val="auto"/>
              </w:rPr>
              <w:t>Shell Centre, London, SE1 7NA</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520"/>
        </w:trPr>
        <w:tc>
          <w:tcPr>
            <w:tcW w:w="2800" w:type="dxa"/>
            <w:vAlign w:val="bottom"/>
          </w:tcPr>
          <w:p>
            <w:pPr>
              <w:ind w:left="40"/>
              <w:spacing w:after="0"/>
              <w:rPr>
                <w:sz w:val="20"/>
                <w:szCs w:val="20"/>
                <w:color w:val="auto"/>
              </w:rPr>
            </w:pPr>
            <w:r>
              <w:rPr>
                <w:rFonts w:ascii="Arial" w:cs="Arial" w:eastAsia="Arial" w:hAnsi="Arial"/>
                <w:sz w:val="6"/>
                <w:szCs w:val="6"/>
                <w:color w:val="auto"/>
              </w:rPr>
              <w:t>ADDITIONAL INFORMATION SHELL FORM 20-F 2020</w:t>
            </w:r>
          </w:p>
        </w:tc>
        <w:tc>
          <w:tcPr>
            <w:tcW w:w="6180" w:type="dxa"/>
            <w:vAlign w:val="bottom"/>
          </w:tcPr>
          <w:p>
            <w:pPr>
              <w:ind w:left="2760"/>
              <w:spacing w:after="0"/>
              <w:rPr>
                <w:sz w:val="20"/>
                <w:szCs w:val="20"/>
                <w:color w:val="auto"/>
              </w:rPr>
            </w:pPr>
            <w:r>
              <w:rPr>
                <w:rFonts w:ascii="Arial" w:cs="Arial" w:eastAsia="Arial" w:hAnsi="Arial"/>
                <w:sz w:val="6"/>
                <w:szCs w:val="6"/>
                <w:color w:val="auto"/>
              </w:rPr>
              <w:t>E16</w:t>
            </w:r>
          </w:p>
        </w:tc>
        <w:tc>
          <w:tcPr>
            <w:tcW w:w="2300" w:type="dxa"/>
            <w:vAlign w:val="bottom"/>
          </w:tcPr>
          <w:p>
            <w:pPr>
              <w:spacing w:after="0"/>
              <w:rPr>
                <w:sz w:val="24"/>
                <w:szCs w:val="24"/>
                <w:color w:val="auto"/>
              </w:rPr>
            </w:pPr>
          </w:p>
        </w:tc>
      </w:tr>
    </w:tbl>
    <w:p>
      <w:pPr>
        <w:sectPr>
          <w:pgSz w:w="11900" w:h="16838" w:orient="portrait"/>
          <w:cols w:equalWidth="0" w:num="1">
            <w:col w:w="11280"/>
          </w:cols>
          <w:pgMar w:left="300" w:top="735" w:right="319" w:bottom="1440" w:gutter="0" w:footer="0" w:header="0"/>
        </w:sectPr>
      </w:pPr>
    </w:p>
    <w:bookmarkStart w:id="304" w:name="page305"/>
    <w:bookmarkEnd w:id="3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740" w:type="dxa"/>
            <w:vAlign w:val="bottom"/>
          </w:tcPr>
          <w:p>
            <w:pPr>
              <w:ind w:left="40"/>
              <w:spacing w:after="0"/>
              <w:rPr>
                <w:sz w:val="20"/>
                <w:szCs w:val="20"/>
                <w:color w:val="auto"/>
              </w:rPr>
            </w:pPr>
            <w:r>
              <w:rPr>
                <w:rFonts w:ascii="Arial" w:cs="Arial" w:eastAsia="Arial" w:hAnsi="Arial"/>
                <w:sz w:val="7"/>
                <w:szCs w:val="7"/>
                <w:color w:val="auto"/>
              </w:rPr>
              <w:t>BG Netherlands Financing Unlimited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BG Norge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BG North Sea Holdings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BG OKLNG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BG Overseas Holdings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BG Overseas Investments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BG Overseas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BG Pension Funding Scottish Limited Partnership [j]</w:t>
            </w:r>
          </w:p>
        </w:tc>
        <w:tc>
          <w:tcPr>
            <w:tcW w:w="5960" w:type="dxa"/>
            <w:vAlign w:val="bottom"/>
          </w:tcPr>
          <w:p>
            <w:pPr>
              <w:ind w:left="980"/>
              <w:spacing w:after="0"/>
              <w:rPr>
                <w:sz w:val="20"/>
                <w:szCs w:val="20"/>
                <w:color w:val="auto"/>
              </w:rPr>
            </w:pPr>
            <w:r>
              <w:rPr>
                <w:rFonts w:ascii="Arial" w:cs="Arial" w:eastAsia="Arial" w:hAnsi="Arial"/>
                <w:sz w:val="7"/>
                <w:szCs w:val="7"/>
                <w:color w:val="auto"/>
              </w:rPr>
              <w:t>50 Lothian Road, Festival Square, Edinburgh, EH3 9WJ</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BG Rosetta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BG South East Asia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BG Subsea Well Project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BG Tanzania Holdings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BG Trinidad LNG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BG UK Holdings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Brazil Shipping I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British Pipeline Agency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5-7 Alexandra Road, Hemel Hempstead, Hertfordshire, HP2 5BS</w:t>
            </w:r>
          </w:p>
        </w:tc>
        <w:tc>
          <w:tcPr>
            <w:tcW w:w="25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B-Snug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CRI Catalyst Company Europe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Derivatives Trading Atlantic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Dragon LNG Group Limited [b]</w:t>
            </w:r>
          </w:p>
        </w:tc>
        <w:tc>
          <w:tcPr>
            <w:tcW w:w="5960" w:type="dxa"/>
            <w:vAlign w:val="bottom"/>
          </w:tcPr>
          <w:p>
            <w:pPr>
              <w:ind w:left="980"/>
              <w:spacing w:after="0"/>
              <w:rPr>
                <w:sz w:val="20"/>
                <w:szCs w:val="20"/>
                <w:color w:val="auto"/>
              </w:rPr>
            </w:pPr>
            <w:r>
              <w:rPr>
                <w:rFonts w:ascii="Arial" w:cs="Arial" w:eastAsia="Arial" w:hAnsi="Arial"/>
                <w:sz w:val="7"/>
                <w:szCs w:val="7"/>
                <w:color w:val="auto"/>
              </w:rPr>
              <w:t>Main Road, Waterston, Milford Haven, Pembrokeshire, SA73 1DR</w:t>
            </w:r>
          </w:p>
        </w:tc>
        <w:tc>
          <w:tcPr>
            <w:tcW w:w="25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Eastham Refinery Limited [b]</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Enterprise Oil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Enterprise Oil Middle East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Enterprise Oil Norge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Enterprise Oil U.K.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Eolfi Scotland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15 Atholl Crescent, Edinburgh, EH3 8HA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First Telecommunications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Energy House, Westwood Business Park, Westwood Way, Coventry, CV4 8HS</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First Utility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Energy House, Westwood Business Park, Westwood Way, Coventry, CV4 8HS</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Gainrace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Gatwick Airport Storage and Hydrant Company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13</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Glossop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GOGB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Heathrow Airport Fuel Company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Building 1204, Sandringham Road, Heathrow Airport, Hounslow, Middlesex, TW6 3SH</w:t>
            </w:r>
          </w:p>
        </w:tc>
        <w:tc>
          <w:tcPr>
            <w:tcW w:w="2520" w:type="dxa"/>
            <w:vAlign w:val="bottom"/>
          </w:tcPr>
          <w:p>
            <w:pPr>
              <w:jc w:val="right"/>
              <w:spacing w:after="0"/>
              <w:rPr>
                <w:sz w:val="20"/>
                <w:szCs w:val="20"/>
                <w:color w:val="auto"/>
              </w:rPr>
            </w:pPr>
            <w:r>
              <w:rPr>
                <w:rFonts w:ascii="Arial" w:cs="Arial" w:eastAsia="Arial" w:hAnsi="Arial"/>
                <w:sz w:val="7"/>
                <w:szCs w:val="7"/>
                <w:color w:val="auto"/>
              </w:rPr>
              <w:t>14</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Heathrow Hydrant Operating Company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Building 1204, Sandringham Road, Heathrow Airport, Hounslow, Middlesex, TW6 3SH</w:t>
            </w:r>
          </w:p>
        </w:tc>
        <w:tc>
          <w:tcPr>
            <w:tcW w:w="2520" w:type="dxa"/>
            <w:vAlign w:val="bottom"/>
          </w:tcPr>
          <w:p>
            <w:pPr>
              <w:jc w:val="right"/>
              <w:spacing w:after="0"/>
              <w:rPr>
                <w:sz w:val="20"/>
                <w:szCs w:val="20"/>
                <w:color w:val="auto"/>
              </w:rPr>
            </w:pPr>
            <w:r>
              <w:rPr>
                <w:rFonts w:ascii="Arial" w:cs="Arial" w:eastAsia="Arial" w:hAnsi="Arial"/>
                <w:sz w:val="7"/>
                <w:szCs w:val="7"/>
                <w:color w:val="auto"/>
              </w:rPr>
              <w:t>10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Impello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Energy House, Westwood Business Park, Westwood Way, Coventry, CV4 8HS</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Khmer Shell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Energy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Intermediate 1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Ltd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1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10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11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12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13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14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15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2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3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4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5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6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7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8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Limejump Virtual 9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Canterbury Court, Kennington Park, 1-3 Brixton Road, London, SW9 6DE</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Machine Max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38</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Manchester Airport Storage and Hydrant Company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One Bartholomew Close, London, EC1A 7BL</w:t>
            </w:r>
          </w:p>
        </w:tc>
        <w:tc>
          <w:tcPr>
            <w:tcW w:w="2520" w:type="dxa"/>
            <w:vAlign w:val="bottom"/>
          </w:tcPr>
          <w:p>
            <w:pPr>
              <w:jc w:val="right"/>
              <w:spacing w:after="0"/>
              <w:rPr>
                <w:sz w:val="20"/>
                <w:szCs w:val="20"/>
                <w:color w:val="auto"/>
              </w:rPr>
            </w:pPr>
            <w:r>
              <w:rPr>
                <w:rFonts w:ascii="Arial" w:cs="Arial" w:eastAsia="Arial" w:hAnsi="Arial"/>
                <w:sz w:val="7"/>
                <w:szCs w:val="7"/>
                <w:color w:val="auto"/>
              </w:rPr>
              <w:t>25</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Methane Services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Murphy Schiehallion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Private Oil Holdings Oman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85</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Sabah Shell Petroleum Company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Saxon Oil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Saxon Oil Miller Limited</w:t>
            </w:r>
          </w:p>
        </w:tc>
        <w:tc>
          <w:tcPr>
            <w:tcW w:w="596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5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520"/>
        </w:trPr>
        <w:tc>
          <w:tcPr>
            <w:tcW w:w="274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5960" w:type="dxa"/>
            <w:vAlign w:val="bottom"/>
          </w:tcPr>
          <w:p>
            <w:pPr>
              <w:ind w:left="2780"/>
              <w:spacing w:after="0"/>
              <w:rPr>
                <w:sz w:val="20"/>
                <w:szCs w:val="20"/>
                <w:color w:val="auto"/>
              </w:rPr>
            </w:pPr>
            <w:r>
              <w:rPr>
                <w:rFonts w:ascii="Arial" w:cs="Arial" w:eastAsia="Arial" w:hAnsi="Arial"/>
                <w:sz w:val="6"/>
                <w:szCs w:val="6"/>
                <w:color w:val="auto"/>
              </w:rPr>
              <w:t>E17</w:t>
            </w:r>
          </w:p>
        </w:tc>
        <w:tc>
          <w:tcPr>
            <w:tcW w:w="2520" w:type="dxa"/>
            <w:vAlign w:val="bottom"/>
          </w:tcPr>
          <w:p>
            <w:pPr>
              <w:spacing w:after="0"/>
              <w:rPr>
                <w:sz w:val="24"/>
                <w:szCs w:val="24"/>
                <w:color w:val="auto"/>
              </w:rPr>
            </w:pPr>
          </w:p>
        </w:tc>
      </w:tr>
    </w:tbl>
    <w:p>
      <w:pPr>
        <w:sectPr>
          <w:pgSz w:w="11900" w:h="16838" w:orient="portrait"/>
          <w:cols w:equalWidth="0" w:num="1">
            <w:col w:w="11220"/>
          </w:cols>
          <w:pgMar w:left="340" w:top="735" w:right="339" w:bottom="1440" w:gutter="0" w:footer="0" w:header="0"/>
        </w:sectPr>
      </w:pPr>
    </w:p>
    <w:bookmarkStart w:id="305" w:name="page306"/>
    <w:bookmarkEnd w:id="3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740" w:type="dxa"/>
            <w:vAlign w:val="bottom"/>
          </w:tcPr>
          <w:p>
            <w:pPr>
              <w:ind w:left="40"/>
              <w:spacing w:after="0"/>
              <w:rPr>
                <w:sz w:val="20"/>
                <w:szCs w:val="20"/>
                <w:color w:val="auto"/>
              </w:rPr>
            </w:pPr>
            <w:r>
              <w:rPr>
                <w:rFonts w:ascii="Arial" w:cs="Arial" w:eastAsia="Arial" w:hAnsi="Arial"/>
                <w:sz w:val="7"/>
                <w:szCs w:val="7"/>
                <w:color w:val="auto"/>
              </w:rPr>
              <w:t>SELAP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Aircraft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Aviation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Business Development Middle East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Caribbean Investments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Catalysts &amp; Technologies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Chemical Company of Eastern Africa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Chemicals (Hellas)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Chemicals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Chemicals U.K.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China Exploration and Production Company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Clair UK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Club Corringham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Company (Hellas)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Company (Pacific Islands)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Corporate Director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Corporate Secretary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Distributor (Holdings)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Employee Benefits Trustee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Energy Europe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Energy Investments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Energy Retail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Energy House, Westwood Business Park, Westwood Way, Coventry, CV4 8HS</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Energy Supply UK LTD.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Energy UK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Energy House, Westwood Business Park, Westwood Way, Coventry, CV4 8HS</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EP Offshore Ventures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Exploration and Production Tanzania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Finance GB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Gas Holdings (Malaysia)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Gas Marketing U.K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Global LNG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Hasdrubal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Holdings (U.K.)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Information Technology International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International Gas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International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International Petroleum Company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International Trading and Shipping Company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Malaysia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Marine Products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New Energies UK Ltd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Overseas Holdings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Overseas Services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Pension Reserve Company (SIPF)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Pension Reserve Company (SOCPF)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Pension Reserve Company (UK)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Pensions Trust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Property Company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QGC Holdings Limited [g]</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QGC Midstream 1 Limited [g]</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QGC Midstream 2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QGC Upstream 1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QGC Upstream 2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Research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Response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South Asia LNG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Supplementary Pension Plan Trustees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Tankers (U.K.)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Trading International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Treasury Centre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Treasury Dollar Company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40" w:type="dxa"/>
            <w:vAlign w:val="bottom"/>
          </w:tcPr>
          <w:p>
            <w:pPr>
              <w:ind w:left="40"/>
              <w:spacing w:after="0"/>
              <w:rPr>
                <w:sz w:val="20"/>
                <w:szCs w:val="20"/>
                <w:color w:val="auto"/>
              </w:rPr>
            </w:pPr>
            <w:r>
              <w:rPr>
                <w:rFonts w:ascii="Arial" w:cs="Arial" w:eastAsia="Arial" w:hAnsi="Arial"/>
                <w:sz w:val="7"/>
                <w:szCs w:val="7"/>
                <w:color w:val="auto"/>
              </w:rPr>
              <w:t>Shell Treasury Euro Company Limited</w:t>
            </w:r>
          </w:p>
        </w:tc>
        <w:tc>
          <w:tcPr>
            <w:tcW w:w="5900" w:type="dxa"/>
            <w:vAlign w:val="bottom"/>
          </w:tcPr>
          <w:p>
            <w:pPr>
              <w:ind w:left="980"/>
              <w:spacing w:after="0"/>
              <w:rPr>
                <w:sz w:val="20"/>
                <w:szCs w:val="20"/>
                <w:color w:val="auto"/>
              </w:rPr>
            </w:pPr>
            <w:r>
              <w:rPr>
                <w:rFonts w:ascii="Arial" w:cs="Arial" w:eastAsia="Arial" w:hAnsi="Arial"/>
                <w:sz w:val="7"/>
                <w:szCs w:val="7"/>
                <w:color w:val="auto"/>
              </w:rPr>
              <w:t>Shell Centre, London, SE1 7NA</w:t>
            </w:r>
          </w:p>
        </w:tc>
        <w:tc>
          <w:tcPr>
            <w:tcW w:w="26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520"/>
        </w:trPr>
        <w:tc>
          <w:tcPr>
            <w:tcW w:w="274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5900" w:type="dxa"/>
            <w:vAlign w:val="bottom"/>
          </w:tcPr>
          <w:p>
            <w:pPr>
              <w:ind w:left="2780"/>
              <w:spacing w:after="0"/>
              <w:rPr>
                <w:sz w:val="20"/>
                <w:szCs w:val="20"/>
                <w:color w:val="auto"/>
              </w:rPr>
            </w:pPr>
            <w:r>
              <w:rPr>
                <w:rFonts w:ascii="Arial" w:cs="Arial" w:eastAsia="Arial" w:hAnsi="Arial"/>
                <w:sz w:val="6"/>
                <w:szCs w:val="6"/>
                <w:color w:val="auto"/>
              </w:rPr>
              <w:t>E18</w:t>
            </w:r>
          </w:p>
        </w:tc>
        <w:tc>
          <w:tcPr>
            <w:tcW w:w="2600" w:type="dxa"/>
            <w:vAlign w:val="bottom"/>
          </w:tcPr>
          <w:p>
            <w:pPr>
              <w:spacing w:after="0"/>
              <w:rPr>
                <w:sz w:val="24"/>
                <w:szCs w:val="24"/>
                <w:color w:val="auto"/>
              </w:rPr>
            </w:pPr>
          </w:p>
        </w:tc>
      </w:tr>
    </w:tbl>
    <w:p>
      <w:pPr>
        <w:sectPr>
          <w:pgSz w:w="11900" w:h="16838" w:orient="portrait"/>
          <w:cols w:equalWidth="0" w:num="1">
            <w:col w:w="11240"/>
          </w:cols>
          <w:pgMar w:left="340" w:top="735" w:right="319" w:bottom="1440" w:gutter="0" w:footer="0" w:header="0"/>
        </w:sectPr>
      </w:pPr>
    </w:p>
    <w:bookmarkStart w:id="306" w:name="page307"/>
    <w:bookmarkEnd w:id="3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660" w:type="dxa"/>
            <w:vAlign w:val="bottom"/>
          </w:tcPr>
          <w:p>
            <w:pPr>
              <w:ind w:left="80"/>
              <w:spacing w:after="0"/>
              <w:rPr>
                <w:sz w:val="20"/>
                <w:szCs w:val="20"/>
                <w:color w:val="auto"/>
              </w:rPr>
            </w:pPr>
            <w:r>
              <w:rPr>
                <w:rFonts w:ascii="Arial" w:cs="Arial" w:eastAsia="Arial" w:hAnsi="Arial"/>
                <w:sz w:val="7"/>
                <w:szCs w:val="7"/>
                <w:color w:val="auto"/>
              </w:rPr>
              <w:t>Shell Treasury UK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Shell Trinidad 5(A)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Shell Trinidad and Tobago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Shell Trinidad Block E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Shell Trustee Solutions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1 Altens Farm Road, Nigg, Aberdeen, AB12 3FY</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Shell Tunisia Upstream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Shell U.K.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Shell U.K. North Atlantic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Shell U.K. Oil Products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Shell Upstream Overseas Services (I)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Shell Ventures New Zealand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Shell Ventures U.K.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Shell-Mex and B.P.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60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Steama Company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Pannone Corporate LLP, 378-380 Deansgate, Castlefield, Manchester, M3 4LY</w:t>
            </w:r>
          </w:p>
        </w:tc>
        <w:tc>
          <w:tcPr>
            <w:tcW w:w="3020" w:type="dxa"/>
            <w:vAlign w:val="bottom"/>
          </w:tcPr>
          <w:p>
            <w:pPr>
              <w:jc w:val="right"/>
              <w:spacing w:after="0"/>
              <w:rPr>
                <w:sz w:val="20"/>
                <w:szCs w:val="20"/>
                <w:color w:val="auto"/>
              </w:rPr>
            </w:pPr>
            <w:r>
              <w:rPr>
                <w:rFonts w:ascii="Arial" w:cs="Arial" w:eastAsia="Arial" w:hAnsi="Arial"/>
                <w:sz w:val="7"/>
                <w:szCs w:val="7"/>
                <w:color w:val="auto"/>
              </w:rPr>
              <w:t>33</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STT (Das Beneficiary) Limited [a]</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Synthetic Chemicals (Northern)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Telegraph Service Stations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Anglo-Saxon Petroleum Company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Asiatic Petroleum Company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Consolidated Petroleum Company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Mexican Eagle Oil Company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New Motion EVSE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4th Floor, Davidson Building, 5 Southampton Street, London, WC2E 7HA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Shell Company (W.I.)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Shell Company of Hong Kong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Shell Company of India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Shell Company of Nigeria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Shell Company of Thailand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Shell Company of The Philippines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75</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Shell Company of Turkey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Shell Marketing Company of Borneo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Shell Petroleum Company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 Shell Transport and Trading Company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Thermocomfort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UK Shell Pension Plan Trust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United Kingdom Oil Pipelines Limited [b]</w:t>
            </w:r>
          </w:p>
        </w:tc>
        <w:tc>
          <w:tcPr>
            <w:tcW w:w="5600" w:type="dxa"/>
            <w:vAlign w:val="bottom"/>
          </w:tcPr>
          <w:p>
            <w:pPr>
              <w:ind w:left="1100"/>
              <w:spacing w:after="0"/>
              <w:rPr>
                <w:sz w:val="20"/>
                <w:szCs w:val="20"/>
                <w:color w:val="auto"/>
              </w:rPr>
            </w:pPr>
            <w:r>
              <w:rPr>
                <w:rFonts w:ascii="Arial" w:cs="Arial" w:eastAsia="Arial" w:hAnsi="Arial"/>
                <w:sz w:val="7"/>
                <w:szCs w:val="7"/>
                <w:color w:val="auto"/>
              </w:rPr>
              <w:t>5-7 Alexandra Road, Hemel Hempstead, Hertfordshire, HP2 5BS</w:t>
            </w:r>
          </w:p>
        </w:tc>
        <w:tc>
          <w:tcPr>
            <w:tcW w:w="3020" w:type="dxa"/>
            <w:vAlign w:val="bottom"/>
          </w:tcPr>
          <w:p>
            <w:pPr>
              <w:jc w:val="right"/>
              <w:spacing w:after="0"/>
              <w:rPr>
                <w:sz w:val="20"/>
                <w:szCs w:val="20"/>
                <w:color w:val="auto"/>
              </w:rPr>
            </w:pPr>
            <w:r>
              <w:rPr>
                <w:rFonts w:ascii="Arial" w:cs="Arial" w:eastAsia="Arial" w:hAnsi="Arial"/>
                <w:sz w:val="7"/>
                <w:szCs w:val="7"/>
                <w:color w:val="auto"/>
              </w:rPr>
              <w:t>48</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Walton-Gatwick Pipeline Company Limited [b]</w:t>
            </w:r>
          </w:p>
        </w:tc>
        <w:tc>
          <w:tcPr>
            <w:tcW w:w="5600" w:type="dxa"/>
            <w:vAlign w:val="bottom"/>
          </w:tcPr>
          <w:p>
            <w:pPr>
              <w:ind w:left="1100"/>
              <w:spacing w:after="0"/>
              <w:rPr>
                <w:sz w:val="20"/>
                <w:szCs w:val="20"/>
                <w:color w:val="auto"/>
              </w:rPr>
            </w:pPr>
            <w:r>
              <w:rPr>
                <w:rFonts w:ascii="Arial" w:cs="Arial" w:eastAsia="Arial" w:hAnsi="Arial"/>
                <w:sz w:val="7"/>
                <w:szCs w:val="7"/>
                <w:color w:val="auto"/>
              </w:rPr>
              <w:t>5-7 Alexandra Road, Hemel Hempstead, Hertfordshire, HP2 5BS</w:t>
            </w:r>
          </w:p>
        </w:tc>
        <w:tc>
          <w:tcPr>
            <w:tcW w:w="3020" w:type="dxa"/>
            <w:vAlign w:val="bottom"/>
          </w:tcPr>
          <w:p>
            <w:pPr>
              <w:jc w:val="right"/>
              <w:spacing w:after="0"/>
              <w:rPr>
                <w:sz w:val="20"/>
                <w:szCs w:val="20"/>
                <w:color w:val="auto"/>
              </w:rPr>
            </w:pPr>
            <w:r>
              <w:rPr>
                <w:rFonts w:ascii="Arial" w:cs="Arial" w:eastAsia="Arial" w:hAnsi="Arial"/>
                <w:sz w:val="7"/>
                <w:szCs w:val="7"/>
                <w:color w:val="auto"/>
              </w:rPr>
              <w:t>52</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West London Pipeline and Storage Limited [b]</w:t>
            </w:r>
          </w:p>
        </w:tc>
        <w:tc>
          <w:tcPr>
            <w:tcW w:w="5600" w:type="dxa"/>
            <w:vAlign w:val="bottom"/>
          </w:tcPr>
          <w:p>
            <w:pPr>
              <w:ind w:left="1100"/>
              <w:spacing w:after="0"/>
              <w:rPr>
                <w:sz w:val="20"/>
                <w:szCs w:val="20"/>
                <w:color w:val="auto"/>
              </w:rPr>
            </w:pPr>
            <w:r>
              <w:rPr>
                <w:rFonts w:ascii="Arial" w:cs="Arial" w:eastAsia="Arial" w:hAnsi="Arial"/>
                <w:sz w:val="7"/>
                <w:szCs w:val="7"/>
                <w:color w:val="auto"/>
              </w:rPr>
              <w:t>5-7 Alexandra Road, Hemel Hempstead, Hertfordshire, HP2 5BS</w:t>
            </w:r>
          </w:p>
        </w:tc>
        <w:tc>
          <w:tcPr>
            <w:tcW w:w="3020" w:type="dxa"/>
            <w:vAlign w:val="bottom"/>
          </w:tcPr>
          <w:p>
            <w:pPr>
              <w:jc w:val="right"/>
              <w:spacing w:after="0"/>
              <w:rPr>
                <w:sz w:val="20"/>
                <w:szCs w:val="20"/>
                <w:color w:val="auto"/>
              </w:rPr>
            </w:pPr>
            <w:r>
              <w:rPr>
                <w:rFonts w:ascii="Arial" w:cs="Arial" w:eastAsia="Arial" w:hAnsi="Arial"/>
                <w:sz w:val="7"/>
                <w:szCs w:val="7"/>
                <w:color w:val="auto"/>
              </w:rPr>
              <w:t>38</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Wonderbill Limited</w:t>
            </w:r>
          </w:p>
        </w:tc>
        <w:tc>
          <w:tcPr>
            <w:tcW w:w="5600" w:type="dxa"/>
            <w:vAlign w:val="bottom"/>
          </w:tcPr>
          <w:p>
            <w:pPr>
              <w:ind w:left="1100"/>
              <w:spacing w:after="0"/>
              <w:rPr>
                <w:sz w:val="20"/>
                <w:szCs w:val="20"/>
                <w:color w:val="auto"/>
              </w:rPr>
            </w:pPr>
            <w:r>
              <w:rPr>
                <w:rFonts w:ascii="Arial" w:cs="Arial" w:eastAsia="Arial" w:hAnsi="Arial"/>
                <w:sz w:val="7"/>
                <w:szCs w:val="7"/>
                <w:color w:val="auto"/>
              </w:rPr>
              <w:t>Shell Centre, London, SE1 7NA</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spacing w:after="0"/>
              <w:rPr>
                <w:sz w:val="20"/>
                <w:szCs w:val="20"/>
                <w:color w:val="auto"/>
              </w:rPr>
            </w:pPr>
            <w:r>
              <w:rPr>
                <w:rFonts w:ascii="Arial" w:cs="Arial" w:eastAsia="Arial" w:hAnsi="Arial"/>
                <w:sz w:val="7"/>
                <w:szCs w:val="7"/>
                <w:color w:val="auto"/>
              </w:rPr>
              <w:t>UKRAINE</w:t>
            </w:r>
          </w:p>
        </w:tc>
        <w:tc>
          <w:tcPr>
            <w:tcW w:w="5600" w:type="dxa"/>
            <w:vAlign w:val="bottom"/>
          </w:tcPr>
          <w:p>
            <w:pPr>
              <w:spacing w:after="0"/>
              <w:rPr>
                <w:sz w:val="9"/>
                <w:szCs w:val="9"/>
                <w:color w:val="auto"/>
              </w:rPr>
            </w:pPr>
          </w:p>
        </w:tc>
        <w:tc>
          <w:tcPr>
            <w:tcW w:w="3020" w:type="dxa"/>
            <w:vAlign w:val="bottom"/>
          </w:tcPr>
          <w:p>
            <w:pPr>
              <w:spacing w:after="0"/>
              <w:rPr>
                <w:sz w:val="9"/>
                <w:szCs w:val="9"/>
                <w:color w:val="auto"/>
              </w:rPr>
            </w:pP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Alliance Holding LLC [d]</w:t>
            </w:r>
          </w:p>
        </w:tc>
        <w:tc>
          <w:tcPr>
            <w:tcW w:w="5600" w:type="dxa"/>
            <w:vAlign w:val="bottom"/>
          </w:tcPr>
          <w:p>
            <w:pPr>
              <w:ind w:left="1100"/>
              <w:spacing w:after="0"/>
              <w:rPr>
                <w:sz w:val="20"/>
                <w:szCs w:val="20"/>
                <w:color w:val="auto"/>
              </w:rPr>
            </w:pPr>
            <w:r>
              <w:rPr>
                <w:rFonts w:ascii="Arial" w:cs="Arial" w:eastAsia="Arial" w:hAnsi="Arial"/>
                <w:sz w:val="7"/>
                <w:szCs w:val="7"/>
                <w:color w:val="auto"/>
              </w:rPr>
              <w:t>N. Grinchenko, 4, Kiev, 03038</w:t>
            </w:r>
          </w:p>
        </w:tc>
        <w:tc>
          <w:tcPr>
            <w:tcW w:w="3020" w:type="dxa"/>
            <w:vAlign w:val="bottom"/>
          </w:tcPr>
          <w:p>
            <w:pPr>
              <w:jc w:val="right"/>
              <w:spacing w:after="0"/>
              <w:rPr>
                <w:sz w:val="20"/>
                <w:szCs w:val="20"/>
                <w:color w:val="auto"/>
              </w:rPr>
            </w:pPr>
            <w:r>
              <w:rPr>
                <w:rFonts w:ascii="Arial" w:cs="Arial" w:eastAsia="Arial" w:hAnsi="Arial"/>
                <w:sz w:val="7"/>
                <w:szCs w:val="7"/>
                <w:color w:val="auto"/>
              </w:rPr>
              <w:t>51</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Invest Region LLC [d]</w:t>
            </w:r>
          </w:p>
        </w:tc>
        <w:tc>
          <w:tcPr>
            <w:tcW w:w="5600" w:type="dxa"/>
            <w:vAlign w:val="bottom"/>
          </w:tcPr>
          <w:p>
            <w:pPr>
              <w:ind w:left="1100"/>
              <w:spacing w:after="0"/>
              <w:rPr>
                <w:sz w:val="20"/>
                <w:szCs w:val="20"/>
                <w:color w:val="auto"/>
              </w:rPr>
            </w:pPr>
            <w:r>
              <w:rPr>
                <w:rFonts w:ascii="Arial" w:cs="Arial" w:eastAsia="Arial" w:hAnsi="Arial"/>
                <w:sz w:val="7"/>
                <w:szCs w:val="7"/>
                <w:color w:val="auto"/>
              </w:rPr>
              <w:t>N. Grinchenko, 4, Kiev, 03038</w:t>
            </w:r>
          </w:p>
        </w:tc>
        <w:tc>
          <w:tcPr>
            <w:tcW w:w="3020" w:type="dxa"/>
            <w:vAlign w:val="bottom"/>
          </w:tcPr>
          <w:p>
            <w:pPr>
              <w:jc w:val="right"/>
              <w:spacing w:after="0"/>
              <w:rPr>
                <w:sz w:val="20"/>
                <w:szCs w:val="20"/>
                <w:color w:val="auto"/>
              </w:rPr>
            </w:pPr>
            <w:r>
              <w:rPr>
                <w:rFonts w:ascii="Arial" w:cs="Arial" w:eastAsia="Arial" w:hAnsi="Arial"/>
                <w:sz w:val="7"/>
                <w:szCs w:val="7"/>
                <w:color w:val="auto"/>
              </w:rPr>
              <w:t>51</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Shell Ukraine Exploration and Production I LLC</w:t>
            </w:r>
          </w:p>
        </w:tc>
        <w:tc>
          <w:tcPr>
            <w:tcW w:w="5600" w:type="dxa"/>
            <w:vAlign w:val="bottom"/>
          </w:tcPr>
          <w:p>
            <w:pPr>
              <w:ind w:left="1100"/>
              <w:spacing w:after="0"/>
              <w:rPr>
                <w:sz w:val="20"/>
                <w:szCs w:val="20"/>
                <w:color w:val="auto"/>
              </w:rPr>
            </w:pPr>
            <w:r>
              <w:rPr>
                <w:rFonts w:ascii="Arial" w:cs="Arial" w:eastAsia="Arial" w:hAnsi="Arial"/>
                <w:sz w:val="7"/>
                <w:szCs w:val="7"/>
                <w:color w:val="auto"/>
              </w:rPr>
              <w:t>4 Mykoly Grinchenka street, Kiev, 03038</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spacing w:after="0"/>
              <w:rPr>
                <w:sz w:val="20"/>
                <w:szCs w:val="20"/>
                <w:color w:val="auto"/>
              </w:rPr>
            </w:pPr>
            <w:r>
              <w:rPr>
                <w:rFonts w:ascii="Arial" w:cs="Arial" w:eastAsia="Arial" w:hAnsi="Arial"/>
                <w:sz w:val="7"/>
                <w:szCs w:val="7"/>
                <w:color w:val="auto"/>
              </w:rPr>
              <w:t>UNITED ARAB EMIRATES</w:t>
            </w:r>
          </w:p>
        </w:tc>
        <w:tc>
          <w:tcPr>
            <w:tcW w:w="5600" w:type="dxa"/>
            <w:vAlign w:val="bottom"/>
          </w:tcPr>
          <w:p>
            <w:pPr>
              <w:spacing w:after="0"/>
              <w:rPr>
                <w:sz w:val="9"/>
                <w:szCs w:val="9"/>
                <w:color w:val="auto"/>
              </w:rPr>
            </w:pPr>
          </w:p>
        </w:tc>
        <w:tc>
          <w:tcPr>
            <w:tcW w:w="3020" w:type="dxa"/>
            <w:vAlign w:val="bottom"/>
          </w:tcPr>
          <w:p>
            <w:pPr>
              <w:spacing w:after="0"/>
              <w:rPr>
                <w:sz w:val="9"/>
                <w:szCs w:val="9"/>
                <w:color w:val="auto"/>
              </w:rPr>
            </w:pP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Abu Dhabi Gas Industries Limited (GASCO)</w:t>
            </w:r>
          </w:p>
        </w:tc>
        <w:tc>
          <w:tcPr>
            <w:tcW w:w="5600" w:type="dxa"/>
            <w:vAlign w:val="bottom"/>
          </w:tcPr>
          <w:p>
            <w:pPr>
              <w:ind w:left="1100"/>
              <w:spacing w:after="0"/>
              <w:rPr>
                <w:sz w:val="20"/>
                <w:szCs w:val="20"/>
                <w:color w:val="auto"/>
              </w:rPr>
            </w:pPr>
            <w:r>
              <w:rPr>
                <w:rFonts w:ascii="Arial" w:cs="Arial" w:eastAsia="Arial" w:hAnsi="Arial"/>
                <w:sz w:val="7"/>
                <w:szCs w:val="7"/>
                <w:color w:val="auto"/>
              </w:rPr>
              <w:t>P.O. Box 665, Abu Dhabi</w:t>
            </w:r>
          </w:p>
        </w:tc>
        <w:tc>
          <w:tcPr>
            <w:tcW w:w="3020" w:type="dxa"/>
            <w:vAlign w:val="bottom"/>
          </w:tcPr>
          <w:p>
            <w:pPr>
              <w:jc w:val="right"/>
              <w:spacing w:after="0"/>
              <w:rPr>
                <w:sz w:val="20"/>
                <w:szCs w:val="20"/>
                <w:color w:val="auto"/>
              </w:rPr>
            </w:pPr>
            <w:r>
              <w:rPr>
                <w:rFonts w:ascii="Arial" w:cs="Arial" w:eastAsia="Arial" w:hAnsi="Arial"/>
                <w:sz w:val="7"/>
                <w:szCs w:val="7"/>
                <w:color w:val="auto"/>
              </w:rPr>
              <w:t>15</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Emdad Aviation Fuel Storage FZCO</w:t>
            </w:r>
          </w:p>
        </w:tc>
        <w:tc>
          <w:tcPr>
            <w:tcW w:w="5600" w:type="dxa"/>
            <w:vAlign w:val="bottom"/>
          </w:tcPr>
          <w:p>
            <w:pPr>
              <w:ind w:left="1100"/>
              <w:spacing w:after="0"/>
              <w:rPr>
                <w:sz w:val="20"/>
                <w:szCs w:val="20"/>
                <w:color w:val="auto"/>
              </w:rPr>
            </w:pPr>
            <w:r>
              <w:rPr>
                <w:rFonts w:ascii="Arial" w:cs="Arial" w:eastAsia="Arial" w:hAnsi="Arial"/>
                <w:sz w:val="7"/>
                <w:szCs w:val="7"/>
                <w:color w:val="auto"/>
              </w:rPr>
              <w:t>Emdad Aviation Fuel Storage FZCO, P.O. Box 261781, Jebel Ali, Dubai</w:t>
            </w:r>
          </w:p>
        </w:tc>
        <w:tc>
          <w:tcPr>
            <w:tcW w:w="3020" w:type="dxa"/>
            <w:vAlign w:val="bottom"/>
          </w:tcPr>
          <w:p>
            <w:pPr>
              <w:jc w:val="right"/>
              <w:spacing w:after="0"/>
              <w:rPr>
                <w:sz w:val="20"/>
                <w:szCs w:val="20"/>
                <w:color w:val="auto"/>
              </w:rPr>
            </w:pPr>
            <w:r>
              <w:rPr>
                <w:rFonts w:ascii="Arial" w:cs="Arial" w:eastAsia="Arial" w:hAnsi="Arial"/>
                <w:sz w:val="7"/>
                <w:szCs w:val="7"/>
                <w:color w:val="auto"/>
              </w:rPr>
              <w:t>33</w:t>
            </w:r>
          </w:p>
        </w:tc>
      </w:tr>
      <w:tr>
        <w:trPr>
          <w:trHeight w:val="108"/>
        </w:trPr>
        <w:tc>
          <w:tcPr>
            <w:tcW w:w="2660" w:type="dxa"/>
            <w:vAlign w:val="bottom"/>
          </w:tcPr>
          <w:p>
            <w:pPr>
              <w:spacing w:after="0"/>
              <w:rPr>
                <w:sz w:val="20"/>
                <w:szCs w:val="20"/>
                <w:color w:val="auto"/>
              </w:rPr>
            </w:pPr>
            <w:r>
              <w:rPr>
                <w:rFonts w:ascii="Arial" w:cs="Arial" w:eastAsia="Arial" w:hAnsi="Arial"/>
                <w:sz w:val="7"/>
                <w:szCs w:val="7"/>
                <w:color w:val="auto"/>
              </w:rPr>
              <w:t>URUGUAY</w:t>
            </w:r>
          </w:p>
        </w:tc>
        <w:tc>
          <w:tcPr>
            <w:tcW w:w="5600" w:type="dxa"/>
            <w:vAlign w:val="bottom"/>
          </w:tcPr>
          <w:p>
            <w:pPr>
              <w:spacing w:after="0"/>
              <w:rPr>
                <w:sz w:val="9"/>
                <w:szCs w:val="9"/>
                <w:color w:val="auto"/>
              </w:rPr>
            </w:pPr>
          </w:p>
        </w:tc>
        <w:tc>
          <w:tcPr>
            <w:tcW w:w="3020" w:type="dxa"/>
            <w:vAlign w:val="bottom"/>
          </w:tcPr>
          <w:p>
            <w:pPr>
              <w:spacing w:after="0"/>
              <w:rPr>
                <w:sz w:val="9"/>
                <w:szCs w:val="9"/>
                <w:color w:val="auto"/>
              </w:rPr>
            </w:pP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BG (Uruguay) S.A.</w:t>
            </w:r>
          </w:p>
        </w:tc>
        <w:tc>
          <w:tcPr>
            <w:tcW w:w="5600" w:type="dxa"/>
            <w:vAlign w:val="bottom"/>
          </w:tcPr>
          <w:p>
            <w:pPr>
              <w:ind w:left="1100"/>
              <w:spacing w:after="0"/>
              <w:rPr>
                <w:sz w:val="20"/>
                <w:szCs w:val="20"/>
                <w:color w:val="auto"/>
              </w:rPr>
            </w:pPr>
            <w:r>
              <w:rPr>
                <w:rFonts w:ascii="Arial" w:cs="Arial" w:eastAsia="Arial" w:hAnsi="Arial"/>
                <w:sz w:val="7"/>
                <w:szCs w:val="7"/>
                <w:color w:val="auto"/>
              </w:rPr>
              <w:t>La Cumparsita, 1373 4th Floor, Montevideo, 11200</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Dinarel S.A.</w:t>
            </w:r>
          </w:p>
        </w:tc>
        <w:tc>
          <w:tcPr>
            <w:tcW w:w="5600" w:type="dxa"/>
            <w:vAlign w:val="bottom"/>
          </w:tcPr>
          <w:p>
            <w:pPr>
              <w:ind w:left="1100"/>
              <w:spacing w:after="0"/>
              <w:rPr>
                <w:sz w:val="20"/>
                <w:szCs w:val="20"/>
                <w:color w:val="auto"/>
              </w:rPr>
            </w:pPr>
            <w:r>
              <w:rPr>
                <w:rFonts w:ascii="Arial" w:cs="Arial" w:eastAsia="Arial" w:hAnsi="Arial"/>
                <w:sz w:val="7"/>
                <w:szCs w:val="7"/>
                <w:color w:val="auto"/>
              </w:rPr>
              <w:t>La Cumparsita, 1373 4th Floor, Montevideo, 11200</w:t>
            </w:r>
          </w:p>
        </w:tc>
        <w:tc>
          <w:tcPr>
            <w:tcW w:w="3020" w:type="dxa"/>
            <w:vAlign w:val="bottom"/>
          </w:tcPr>
          <w:p>
            <w:pPr>
              <w:jc w:val="right"/>
              <w:ind w:right="1444"/>
              <w:spacing w:after="0"/>
              <w:rPr>
                <w:sz w:val="20"/>
                <w:szCs w:val="20"/>
                <w:color w:val="auto"/>
              </w:rPr>
            </w:pPr>
            <w:r>
              <w:rPr>
                <w:rFonts w:ascii="Arial" w:cs="Arial" w:eastAsia="Arial" w:hAnsi="Arial"/>
                <w:sz w:val="7"/>
                <w:szCs w:val="7"/>
                <w:color w:val="auto"/>
              </w:rPr>
              <w:t>50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Gasoducto Cruz del Sur S.A.</w:t>
            </w:r>
          </w:p>
        </w:tc>
        <w:tc>
          <w:tcPr>
            <w:tcW w:w="5600" w:type="dxa"/>
            <w:vAlign w:val="bottom"/>
          </w:tcPr>
          <w:p>
            <w:pPr>
              <w:ind w:left="1100"/>
              <w:spacing w:after="0"/>
              <w:rPr>
                <w:sz w:val="20"/>
                <w:szCs w:val="20"/>
                <w:color w:val="auto"/>
              </w:rPr>
            </w:pPr>
            <w:r>
              <w:rPr>
                <w:rFonts w:ascii="Arial" w:cs="Arial" w:eastAsia="Arial" w:hAnsi="Arial"/>
                <w:sz w:val="7"/>
                <w:szCs w:val="7"/>
                <w:color w:val="auto"/>
              </w:rPr>
              <w:t>La Cumparsita, 1373 4th Floor, Montevideo, 11200</w:t>
            </w:r>
          </w:p>
        </w:tc>
        <w:tc>
          <w:tcPr>
            <w:tcW w:w="302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108"/>
        </w:trPr>
        <w:tc>
          <w:tcPr>
            <w:tcW w:w="2660" w:type="dxa"/>
            <w:vAlign w:val="bottom"/>
          </w:tcPr>
          <w:p>
            <w:pPr>
              <w:spacing w:after="0"/>
              <w:rPr>
                <w:sz w:val="20"/>
                <w:szCs w:val="20"/>
                <w:color w:val="auto"/>
              </w:rPr>
            </w:pPr>
            <w:r>
              <w:rPr>
                <w:rFonts w:ascii="Arial" w:cs="Arial" w:eastAsia="Arial" w:hAnsi="Arial"/>
                <w:sz w:val="7"/>
                <w:szCs w:val="7"/>
                <w:color w:val="auto"/>
              </w:rPr>
              <w:t>USA</w:t>
            </w:r>
          </w:p>
        </w:tc>
        <w:tc>
          <w:tcPr>
            <w:tcW w:w="5600" w:type="dxa"/>
            <w:vAlign w:val="bottom"/>
          </w:tcPr>
          <w:p>
            <w:pPr>
              <w:spacing w:after="0"/>
              <w:rPr>
                <w:sz w:val="9"/>
                <w:szCs w:val="9"/>
                <w:color w:val="auto"/>
              </w:rPr>
            </w:pPr>
          </w:p>
        </w:tc>
        <w:tc>
          <w:tcPr>
            <w:tcW w:w="3020" w:type="dxa"/>
            <w:vAlign w:val="bottom"/>
          </w:tcPr>
          <w:p>
            <w:pPr>
              <w:spacing w:after="0"/>
              <w:rPr>
                <w:sz w:val="9"/>
                <w:szCs w:val="9"/>
                <w:color w:val="auto"/>
              </w:rPr>
            </w:pP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Aera Energy LLC [b]</w:t>
            </w:r>
          </w:p>
        </w:tc>
        <w:tc>
          <w:tcPr>
            <w:tcW w:w="5600" w:type="dxa"/>
            <w:vAlign w:val="bottom"/>
          </w:tcPr>
          <w:p>
            <w:pPr>
              <w:ind w:left="1100"/>
              <w:spacing w:after="0"/>
              <w:rPr>
                <w:sz w:val="20"/>
                <w:szCs w:val="20"/>
                <w:color w:val="auto"/>
              </w:rPr>
            </w:pPr>
            <w:r>
              <w:rPr>
                <w:rFonts w:ascii="Arial" w:cs="Arial" w:eastAsia="Arial" w:hAnsi="Arial"/>
                <w:sz w:val="7"/>
                <w:szCs w:val="7"/>
                <w:color w:val="auto"/>
              </w:rPr>
              <w:t>10000 Ming Avenue, Bakersfield, CA 93311</w:t>
            </w:r>
          </w:p>
        </w:tc>
        <w:tc>
          <w:tcPr>
            <w:tcW w:w="3020" w:type="dxa"/>
            <w:vAlign w:val="bottom"/>
          </w:tcPr>
          <w:p>
            <w:pPr>
              <w:jc w:val="right"/>
              <w:spacing w:after="0"/>
              <w:rPr>
                <w:sz w:val="20"/>
                <w:szCs w:val="20"/>
                <w:color w:val="auto"/>
              </w:rPr>
            </w:pPr>
            <w:r>
              <w:rPr>
                <w:rFonts w:ascii="Arial" w:cs="Arial" w:eastAsia="Arial" w:hAnsi="Arial"/>
                <w:sz w:val="7"/>
                <w:szCs w:val="7"/>
                <w:color w:val="auto"/>
              </w:rPr>
              <w:t>52</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Aera Energy Services Company</w:t>
            </w:r>
          </w:p>
        </w:tc>
        <w:tc>
          <w:tcPr>
            <w:tcW w:w="5600" w:type="dxa"/>
            <w:vAlign w:val="bottom"/>
          </w:tcPr>
          <w:p>
            <w:pPr>
              <w:ind w:left="1100"/>
              <w:spacing w:after="0"/>
              <w:rPr>
                <w:sz w:val="20"/>
                <w:szCs w:val="20"/>
                <w:color w:val="auto"/>
              </w:rPr>
            </w:pPr>
            <w:r>
              <w:rPr>
                <w:rFonts w:ascii="Arial" w:cs="Arial" w:eastAsia="Arial" w:hAnsi="Arial"/>
                <w:sz w:val="7"/>
                <w:szCs w:val="7"/>
                <w:color w:val="auto"/>
              </w:rPr>
              <w:t>10000 Ming Avenue, Bakersfield, CA 93311</w:t>
            </w:r>
          </w:p>
        </w:tc>
        <w:tc>
          <w:tcPr>
            <w:tcW w:w="30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Airbiquity Inc.</w:t>
            </w:r>
          </w:p>
        </w:tc>
        <w:tc>
          <w:tcPr>
            <w:tcW w:w="5600" w:type="dxa"/>
            <w:vAlign w:val="bottom"/>
          </w:tcPr>
          <w:p>
            <w:pPr>
              <w:ind w:left="1100"/>
              <w:spacing w:after="0"/>
              <w:rPr>
                <w:sz w:val="20"/>
                <w:szCs w:val="20"/>
                <w:color w:val="auto"/>
              </w:rPr>
            </w:pPr>
            <w:r>
              <w:rPr>
                <w:rFonts w:ascii="Arial" w:cs="Arial" w:eastAsia="Arial" w:hAnsi="Arial"/>
                <w:sz w:val="7"/>
                <w:szCs w:val="7"/>
                <w:color w:val="auto"/>
              </w:rPr>
              <w:t>1191 2nd Avenue, Suite 1900, Seattle, WA 98101</w:t>
            </w:r>
          </w:p>
        </w:tc>
        <w:tc>
          <w:tcPr>
            <w:tcW w:w="3020" w:type="dxa"/>
            <w:vAlign w:val="bottom"/>
          </w:tcPr>
          <w:p>
            <w:pPr>
              <w:jc w:val="right"/>
              <w:spacing w:after="0"/>
              <w:rPr>
                <w:sz w:val="20"/>
                <w:szCs w:val="20"/>
                <w:color w:val="auto"/>
              </w:rPr>
            </w:pPr>
            <w:r>
              <w:rPr>
                <w:rFonts w:ascii="Arial" w:cs="Arial" w:eastAsia="Arial" w:hAnsi="Arial"/>
                <w:sz w:val="7"/>
                <w:szCs w:val="7"/>
                <w:color w:val="auto"/>
              </w:rPr>
              <w:t>26</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Amberjack Pipeline Company LLC [c]</w:t>
            </w:r>
          </w:p>
        </w:tc>
        <w:tc>
          <w:tcPr>
            <w:tcW w:w="5600" w:type="dxa"/>
            <w:vAlign w:val="bottom"/>
          </w:tcPr>
          <w:p>
            <w:pPr>
              <w:ind w:left="110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3020" w:type="dxa"/>
            <w:vAlign w:val="bottom"/>
          </w:tcPr>
          <w:p>
            <w:pPr>
              <w:jc w:val="right"/>
              <w:spacing w:after="0"/>
              <w:rPr>
                <w:sz w:val="20"/>
                <w:szCs w:val="20"/>
                <w:color w:val="auto"/>
              </w:rPr>
            </w:pPr>
            <w:r>
              <w:rPr>
                <w:rFonts w:ascii="Arial" w:cs="Arial" w:eastAsia="Arial" w:hAnsi="Arial"/>
                <w:sz w:val="7"/>
                <w:szCs w:val="7"/>
                <w:color w:val="auto"/>
              </w:rPr>
              <w:t>43</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Arizona A1 LLC [c]</w:t>
            </w:r>
          </w:p>
        </w:tc>
        <w:tc>
          <w:tcPr>
            <w:tcW w:w="5600" w:type="dxa"/>
            <w:vAlign w:val="bottom"/>
          </w:tcPr>
          <w:p>
            <w:pPr>
              <w:ind w:left="110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Arizona B1 LLC [c]</w:t>
            </w:r>
          </w:p>
        </w:tc>
        <w:tc>
          <w:tcPr>
            <w:tcW w:w="5600" w:type="dxa"/>
            <w:vAlign w:val="bottom"/>
          </w:tcPr>
          <w:p>
            <w:pPr>
              <w:ind w:left="110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30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Asset Management and Power Services LLC</w:t>
            </w:r>
          </w:p>
        </w:tc>
        <w:tc>
          <w:tcPr>
            <w:tcW w:w="5600" w:type="dxa"/>
            <w:vAlign w:val="bottom"/>
          </w:tcPr>
          <w:p>
            <w:pPr>
              <w:ind w:left="1100"/>
              <w:spacing w:after="0"/>
              <w:rPr>
                <w:sz w:val="20"/>
                <w:szCs w:val="20"/>
                <w:color w:val="auto"/>
              </w:rPr>
            </w:pPr>
            <w:r>
              <w:rPr>
                <w:rFonts w:ascii="Arial" w:cs="Arial" w:eastAsia="Arial" w:hAnsi="Arial"/>
                <w:sz w:val="7"/>
                <w:szCs w:val="7"/>
                <w:color w:val="auto"/>
              </w:rPr>
              <w:t>2441 High Timbers Drive, Suite 220, The Woodlands, TX 77380</w:t>
            </w:r>
          </w:p>
        </w:tc>
        <w:tc>
          <w:tcPr>
            <w:tcW w:w="30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Atlantic 1 Holdings LLC [c]</w:t>
            </w:r>
          </w:p>
        </w:tc>
        <w:tc>
          <w:tcPr>
            <w:tcW w:w="5600" w:type="dxa"/>
            <w:vAlign w:val="bottom"/>
          </w:tcPr>
          <w:p>
            <w:pPr>
              <w:ind w:left="1100"/>
              <w:spacing w:after="0"/>
              <w:rPr>
                <w:sz w:val="20"/>
                <w:szCs w:val="20"/>
                <w:color w:val="auto"/>
              </w:rPr>
            </w:pPr>
            <w:r>
              <w:rPr>
                <w:rFonts w:ascii="Arial" w:cs="Arial" w:eastAsia="Arial" w:hAnsi="Arial"/>
                <w:sz w:val="7"/>
                <w:szCs w:val="7"/>
                <w:color w:val="auto"/>
              </w:rPr>
              <w:t>RL &amp; F Service Corp, 920 N King St Floor 2, New Castle, Wilmington, DE 19801</w:t>
            </w:r>
          </w:p>
        </w:tc>
        <w:tc>
          <w:tcPr>
            <w:tcW w:w="3020" w:type="dxa"/>
            <w:vAlign w:val="bottom"/>
          </w:tcPr>
          <w:p>
            <w:pPr>
              <w:jc w:val="right"/>
              <w:spacing w:after="0"/>
              <w:rPr>
                <w:sz w:val="20"/>
                <w:szCs w:val="20"/>
                <w:color w:val="auto"/>
              </w:rPr>
            </w:pPr>
            <w:r>
              <w:rPr>
                <w:rFonts w:ascii="Arial" w:cs="Arial" w:eastAsia="Arial" w:hAnsi="Arial"/>
                <w:sz w:val="7"/>
                <w:szCs w:val="7"/>
                <w:color w:val="auto"/>
              </w:rPr>
              <w:t>46</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Atlantic 2/3 Holdings LLC [c]</w:t>
            </w:r>
          </w:p>
        </w:tc>
        <w:tc>
          <w:tcPr>
            <w:tcW w:w="5600" w:type="dxa"/>
            <w:vAlign w:val="bottom"/>
          </w:tcPr>
          <w:p>
            <w:pPr>
              <w:ind w:left="1100"/>
              <w:spacing w:after="0"/>
              <w:rPr>
                <w:sz w:val="20"/>
                <w:szCs w:val="20"/>
                <w:color w:val="auto"/>
              </w:rPr>
            </w:pPr>
            <w:r>
              <w:rPr>
                <w:rFonts w:ascii="Arial" w:cs="Arial" w:eastAsia="Arial" w:hAnsi="Arial"/>
                <w:sz w:val="7"/>
                <w:szCs w:val="7"/>
                <w:color w:val="auto"/>
              </w:rPr>
              <w:t>RL &amp; F Service Corp, 920 N King St Floor 2, New Castle, Wilmington, DE 19801</w:t>
            </w:r>
          </w:p>
        </w:tc>
        <w:tc>
          <w:tcPr>
            <w:tcW w:w="3020" w:type="dxa"/>
            <w:vAlign w:val="bottom"/>
          </w:tcPr>
          <w:p>
            <w:pPr>
              <w:jc w:val="right"/>
              <w:spacing w:after="0"/>
              <w:rPr>
                <w:sz w:val="20"/>
                <w:szCs w:val="20"/>
                <w:color w:val="auto"/>
              </w:rPr>
            </w:pPr>
            <w:r>
              <w:rPr>
                <w:rFonts w:ascii="Arial" w:cs="Arial" w:eastAsia="Arial" w:hAnsi="Arial"/>
                <w:sz w:val="7"/>
                <w:szCs w:val="7"/>
                <w:color w:val="auto"/>
              </w:rPr>
              <w:t>58</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Atlantic 4 Holdings LLC [c]</w:t>
            </w:r>
          </w:p>
        </w:tc>
        <w:tc>
          <w:tcPr>
            <w:tcW w:w="5600" w:type="dxa"/>
            <w:vAlign w:val="bottom"/>
          </w:tcPr>
          <w:p>
            <w:pPr>
              <w:ind w:left="1100"/>
              <w:spacing w:after="0"/>
              <w:rPr>
                <w:sz w:val="20"/>
                <w:szCs w:val="20"/>
                <w:color w:val="auto"/>
              </w:rPr>
            </w:pPr>
            <w:r>
              <w:rPr>
                <w:rFonts w:ascii="Arial" w:cs="Arial" w:eastAsia="Arial" w:hAnsi="Arial"/>
                <w:sz w:val="7"/>
                <w:szCs w:val="7"/>
                <w:color w:val="auto"/>
              </w:rPr>
              <w:t>RL &amp; F Service Corp, 920 N King St Floor 2, New Castle, Wilmington, DE 19801</w:t>
            </w:r>
          </w:p>
        </w:tc>
        <w:tc>
          <w:tcPr>
            <w:tcW w:w="3020" w:type="dxa"/>
            <w:vAlign w:val="bottom"/>
          </w:tcPr>
          <w:p>
            <w:pPr>
              <w:jc w:val="right"/>
              <w:spacing w:after="0"/>
              <w:rPr>
                <w:sz w:val="20"/>
                <w:szCs w:val="20"/>
                <w:color w:val="auto"/>
              </w:rPr>
            </w:pPr>
            <w:r>
              <w:rPr>
                <w:rFonts w:ascii="Arial" w:cs="Arial" w:eastAsia="Arial" w:hAnsi="Arial"/>
                <w:sz w:val="7"/>
                <w:szCs w:val="7"/>
                <w:color w:val="auto"/>
              </w:rPr>
              <w:t>51</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Atlantic Shores Offshore Wind, LLC [c]</w:t>
            </w:r>
          </w:p>
        </w:tc>
        <w:tc>
          <w:tcPr>
            <w:tcW w:w="5600" w:type="dxa"/>
            <w:vAlign w:val="bottom"/>
          </w:tcPr>
          <w:p>
            <w:pPr>
              <w:ind w:left="1100"/>
              <w:spacing w:after="0"/>
              <w:rPr>
                <w:sz w:val="20"/>
                <w:szCs w:val="20"/>
                <w:color w:val="auto"/>
              </w:rPr>
            </w:pPr>
            <w:r>
              <w:rPr>
                <w:rFonts w:ascii="Arial" w:cs="Arial" w:eastAsia="Arial" w:hAnsi="Arial"/>
                <w:sz w:val="7"/>
                <w:szCs w:val="7"/>
                <w:color w:val="auto"/>
              </w:rPr>
              <w:t>Corporation Service Company, 251 Little Falls Drive, Wilmington, DE 19808</w:t>
            </w:r>
          </w:p>
        </w:tc>
        <w:tc>
          <w:tcPr>
            <w:tcW w:w="30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60" w:type="dxa"/>
            <w:vAlign w:val="bottom"/>
          </w:tcPr>
          <w:p>
            <w:pPr>
              <w:ind w:left="80"/>
              <w:spacing w:after="0"/>
              <w:rPr>
                <w:sz w:val="20"/>
                <w:szCs w:val="20"/>
                <w:color w:val="auto"/>
              </w:rPr>
            </w:pPr>
            <w:r>
              <w:rPr>
                <w:rFonts w:ascii="Arial" w:cs="Arial" w:eastAsia="Arial" w:hAnsi="Arial"/>
                <w:sz w:val="7"/>
                <w:szCs w:val="7"/>
                <w:color w:val="auto"/>
              </w:rPr>
              <w:t>Au Energy, LLC</w:t>
            </w:r>
          </w:p>
        </w:tc>
        <w:tc>
          <w:tcPr>
            <w:tcW w:w="5600" w:type="dxa"/>
            <w:vAlign w:val="bottom"/>
          </w:tcPr>
          <w:p>
            <w:pPr>
              <w:ind w:left="1100"/>
              <w:spacing w:after="0"/>
              <w:rPr>
                <w:sz w:val="20"/>
                <w:szCs w:val="20"/>
                <w:color w:val="auto"/>
              </w:rPr>
            </w:pPr>
            <w:r>
              <w:rPr>
                <w:rFonts w:ascii="Arial" w:cs="Arial" w:eastAsia="Arial" w:hAnsi="Arial"/>
                <w:sz w:val="7"/>
                <w:szCs w:val="7"/>
                <w:color w:val="auto"/>
              </w:rPr>
              <w:t>41805 Albrae Street, Fremont, CA 94538</w:t>
            </w:r>
          </w:p>
        </w:tc>
        <w:tc>
          <w:tcPr>
            <w:tcW w:w="30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520"/>
        </w:trPr>
        <w:tc>
          <w:tcPr>
            <w:tcW w:w="2660" w:type="dxa"/>
            <w:vAlign w:val="bottom"/>
          </w:tcPr>
          <w:p>
            <w:pPr>
              <w:ind w:left="40"/>
              <w:spacing w:after="0"/>
              <w:rPr>
                <w:sz w:val="20"/>
                <w:szCs w:val="20"/>
                <w:color w:val="auto"/>
              </w:rPr>
            </w:pPr>
            <w:r>
              <w:rPr>
                <w:rFonts w:ascii="Arial" w:cs="Arial" w:eastAsia="Arial" w:hAnsi="Arial"/>
                <w:sz w:val="6"/>
                <w:szCs w:val="6"/>
                <w:color w:val="auto"/>
              </w:rPr>
              <w:t>ADDITIONAL INFORMATION SHELL FORM 20-F 2020</w:t>
            </w:r>
          </w:p>
        </w:tc>
        <w:tc>
          <w:tcPr>
            <w:tcW w:w="5600" w:type="dxa"/>
            <w:vAlign w:val="bottom"/>
          </w:tcPr>
          <w:p>
            <w:pPr>
              <w:ind w:left="2900"/>
              <w:spacing w:after="0"/>
              <w:rPr>
                <w:sz w:val="20"/>
                <w:szCs w:val="20"/>
                <w:color w:val="auto"/>
              </w:rPr>
            </w:pPr>
            <w:r>
              <w:rPr>
                <w:rFonts w:ascii="Arial" w:cs="Arial" w:eastAsia="Arial" w:hAnsi="Arial"/>
                <w:sz w:val="6"/>
                <w:szCs w:val="6"/>
                <w:color w:val="auto"/>
              </w:rPr>
              <w:t>E19</w:t>
            </w:r>
          </w:p>
        </w:tc>
        <w:tc>
          <w:tcPr>
            <w:tcW w:w="3020" w:type="dxa"/>
            <w:vAlign w:val="bottom"/>
          </w:tcPr>
          <w:p>
            <w:pPr>
              <w:spacing w:after="0"/>
              <w:rPr>
                <w:sz w:val="24"/>
                <w:szCs w:val="24"/>
                <w:color w:val="auto"/>
              </w:rPr>
            </w:pPr>
          </w:p>
        </w:tc>
      </w:tr>
    </w:tbl>
    <w:p>
      <w:pPr>
        <w:sectPr>
          <w:pgSz w:w="11900" w:h="16838" w:orient="portrait"/>
          <w:cols w:equalWidth="0" w:num="1">
            <w:col w:w="11280"/>
          </w:cols>
          <w:pgMar w:left="300" w:top="735" w:right="319" w:bottom="1440" w:gutter="0" w:footer="0" w:header="0"/>
        </w:sectPr>
      </w:pPr>
    </w:p>
    <w:bookmarkStart w:id="307" w:name="page308"/>
    <w:bookmarkEnd w:id="3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580" w:type="dxa"/>
            <w:vAlign w:val="bottom"/>
          </w:tcPr>
          <w:p>
            <w:pPr>
              <w:ind w:left="40"/>
              <w:spacing w:after="0"/>
              <w:rPr>
                <w:sz w:val="20"/>
                <w:szCs w:val="20"/>
                <w:color w:val="auto"/>
              </w:rPr>
            </w:pPr>
            <w:r>
              <w:rPr>
                <w:rFonts w:ascii="Arial" w:cs="Arial" w:eastAsia="Arial" w:hAnsi="Arial"/>
                <w:sz w:val="7"/>
                <w:szCs w:val="7"/>
                <w:color w:val="auto"/>
              </w:rPr>
              <w:t>Baconton Power LLC [c]</w:t>
            </w:r>
          </w:p>
        </w:tc>
        <w:tc>
          <w:tcPr>
            <w:tcW w:w="6340" w:type="dxa"/>
            <w:vAlign w:val="bottom"/>
          </w:tcPr>
          <w:p>
            <w:pPr>
              <w:ind w:left="1140"/>
              <w:spacing w:after="0"/>
              <w:rPr>
                <w:sz w:val="20"/>
                <w:szCs w:val="20"/>
                <w:color w:val="auto"/>
              </w:rPr>
            </w:pPr>
            <w:r>
              <w:rPr>
                <w:rFonts w:ascii="Arial" w:cs="Arial" w:eastAsia="Arial" w:hAnsi="Arial"/>
                <w:sz w:val="7"/>
                <w:szCs w:val="7"/>
                <w:color w:val="auto"/>
              </w:rPr>
              <w:t>2237 Hatcher Hill Road, Baconton, GA 31716</w:t>
            </w:r>
          </w:p>
        </w:tc>
        <w:tc>
          <w:tcPr>
            <w:tcW w:w="2300" w:type="dxa"/>
            <w:vAlign w:val="bottom"/>
          </w:tcPr>
          <w:p>
            <w:pPr>
              <w:jc w:val="right"/>
              <w:spacing w:after="0"/>
              <w:rPr>
                <w:sz w:val="20"/>
                <w:szCs w:val="20"/>
                <w:color w:val="auto"/>
              </w:rPr>
            </w:pPr>
            <w:r>
              <w:rPr>
                <w:rFonts w:ascii="Arial" w:cs="Arial" w:eastAsia="Arial" w:hAnsi="Arial"/>
                <w:sz w:val="7"/>
                <w:szCs w:val="7"/>
                <w:color w:val="auto"/>
              </w:rPr>
              <w:t>35</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Bengal Pipeline Company LLC</w:t>
            </w:r>
          </w:p>
        </w:tc>
        <w:tc>
          <w:tcPr>
            <w:tcW w:w="6340" w:type="dxa"/>
            <w:vAlign w:val="bottom"/>
          </w:tcPr>
          <w:p>
            <w:pPr>
              <w:ind w:left="1140"/>
              <w:spacing w:after="0"/>
              <w:rPr>
                <w:sz w:val="20"/>
                <w:szCs w:val="20"/>
                <w:color w:val="auto"/>
              </w:rPr>
            </w:pPr>
            <w:r>
              <w:rPr>
                <w:rFonts w:ascii="Arial" w:cs="Arial" w:eastAsia="Arial" w:hAnsi="Arial"/>
                <w:sz w:val="7"/>
                <w:szCs w:val="7"/>
                <w:color w:val="auto"/>
              </w:rPr>
              <w:t>Corporation Service Company, 251 Little Falls Drive, Wilmington, DE 19808</w:t>
            </w:r>
          </w:p>
        </w:tc>
        <w:tc>
          <w:tcPr>
            <w:tcW w:w="230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BG Brasilia,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BG Energy Finance, Inc.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BG Energy Merchants,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BG Gulf Coast LNG,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BG LNG Services,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BG LNG Trading, LLC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BG North America,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BG US Services, Inc.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Bluware Headwave Ventures Inc.</w:t>
            </w:r>
          </w:p>
        </w:tc>
        <w:tc>
          <w:tcPr>
            <w:tcW w:w="6340" w:type="dxa"/>
            <w:vAlign w:val="bottom"/>
          </w:tcPr>
          <w:p>
            <w:pPr>
              <w:ind w:left="1140"/>
              <w:spacing w:after="0"/>
              <w:rPr>
                <w:sz w:val="20"/>
                <w:szCs w:val="20"/>
                <w:color w:val="auto"/>
              </w:rPr>
            </w:pPr>
            <w:r>
              <w:rPr>
                <w:rFonts w:ascii="Arial" w:cs="Arial" w:eastAsia="Arial" w:hAnsi="Arial"/>
                <w:sz w:val="7"/>
                <w:szCs w:val="7"/>
                <w:color w:val="auto"/>
              </w:rPr>
              <w:t>16285 Park Ten Place, Suit 300, Houston, TX 77084</w:t>
            </w:r>
          </w:p>
        </w:tc>
        <w:tc>
          <w:tcPr>
            <w:tcW w:w="230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Brazil Crude Services,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Brazos Wind Ventures,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Caesar Oil Pipeline Company,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15</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Colbea Enterprises, LLC</w:t>
            </w:r>
          </w:p>
        </w:tc>
        <w:tc>
          <w:tcPr>
            <w:tcW w:w="6340" w:type="dxa"/>
            <w:vAlign w:val="bottom"/>
          </w:tcPr>
          <w:p>
            <w:pPr>
              <w:ind w:left="1140"/>
              <w:spacing w:after="0"/>
              <w:rPr>
                <w:sz w:val="20"/>
                <w:szCs w:val="20"/>
                <w:color w:val="auto"/>
              </w:rPr>
            </w:pPr>
            <w:r>
              <w:rPr>
                <w:rFonts w:ascii="Arial" w:cs="Arial" w:eastAsia="Arial" w:hAnsi="Arial"/>
                <w:sz w:val="7"/>
                <w:szCs w:val="7"/>
                <w:color w:val="auto"/>
              </w:rPr>
              <w:t>2050 Plainfield Pike, Cranston, RI 02921</w:t>
            </w:r>
          </w:p>
        </w:tc>
        <w:tc>
          <w:tcPr>
            <w:tcW w:w="23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Colonial Pipeline Company</w:t>
            </w:r>
          </w:p>
        </w:tc>
        <w:tc>
          <w:tcPr>
            <w:tcW w:w="6340" w:type="dxa"/>
            <w:vAlign w:val="bottom"/>
          </w:tcPr>
          <w:p>
            <w:pPr>
              <w:ind w:left="1140"/>
              <w:spacing w:after="0"/>
              <w:rPr>
                <w:sz w:val="20"/>
                <w:szCs w:val="20"/>
                <w:color w:val="auto"/>
              </w:rPr>
            </w:pPr>
            <w:r>
              <w:rPr>
                <w:rFonts w:ascii="Arial" w:cs="Arial" w:eastAsia="Arial" w:hAnsi="Arial"/>
                <w:sz w:val="7"/>
                <w:szCs w:val="7"/>
                <w:color w:val="auto"/>
              </w:rPr>
              <w:t>Corporation Service Company, 251 Little Falls Drive, Wilmington, DE 19808</w:t>
            </w:r>
          </w:p>
        </w:tc>
        <w:tc>
          <w:tcPr>
            <w:tcW w:w="2300" w:type="dxa"/>
            <w:vAlign w:val="bottom"/>
          </w:tcPr>
          <w:p>
            <w:pPr>
              <w:jc w:val="right"/>
              <w:spacing w:after="0"/>
              <w:rPr>
                <w:sz w:val="20"/>
                <w:szCs w:val="20"/>
                <w:color w:val="auto"/>
              </w:rPr>
            </w:pPr>
            <w:r>
              <w:rPr>
                <w:rFonts w:ascii="Arial" w:cs="Arial" w:eastAsia="Arial" w:hAnsi="Arial"/>
                <w:sz w:val="7"/>
                <w:szCs w:val="7"/>
                <w:color w:val="auto"/>
              </w:rPr>
              <w:t>11</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Concha Chemical Pipeline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Crestwood Permian Basin LLC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34</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CRI Sales and Services Inc.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CRI Zeolites Inc.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Cumulus Digital Systems, Inc.</w:t>
            </w:r>
          </w:p>
        </w:tc>
        <w:tc>
          <w:tcPr>
            <w:tcW w:w="6340" w:type="dxa"/>
            <w:vAlign w:val="bottom"/>
          </w:tcPr>
          <w:p>
            <w:pPr>
              <w:ind w:left="1140"/>
              <w:spacing w:after="0"/>
              <w:rPr>
                <w:sz w:val="20"/>
                <w:szCs w:val="20"/>
                <w:color w:val="auto"/>
              </w:rPr>
            </w:pPr>
            <w:r>
              <w:rPr>
                <w:rFonts w:ascii="Arial" w:cs="Arial" w:eastAsia="Arial" w:hAnsi="Arial"/>
                <w:sz w:val="7"/>
                <w:szCs w:val="7"/>
                <w:color w:val="auto"/>
              </w:rPr>
              <w:t>Corporation Service Company, 251 Little Falls Drive, Wilmington, DE 19808</w:t>
            </w:r>
          </w:p>
        </w:tc>
        <w:tc>
          <w:tcPr>
            <w:tcW w:w="230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D.Light Design Inc.</w:t>
            </w:r>
          </w:p>
        </w:tc>
        <w:tc>
          <w:tcPr>
            <w:tcW w:w="6340" w:type="dxa"/>
            <w:vAlign w:val="bottom"/>
          </w:tcPr>
          <w:p>
            <w:pPr>
              <w:ind w:left="1140"/>
              <w:spacing w:after="0"/>
              <w:rPr>
                <w:sz w:val="20"/>
                <w:szCs w:val="20"/>
                <w:color w:val="auto"/>
              </w:rPr>
            </w:pPr>
            <w:r>
              <w:rPr>
                <w:rFonts w:ascii="Arial" w:cs="Arial" w:eastAsia="Arial" w:hAnsi="Arial"/>
                <w:sz w:val="7"/>
                <w:szCs w:val="7"/>
                <w:color w:val="auto"/>
              </w:rPr>
              <w:t>2100 Geng Road, Suite 210, Santa Clara, Palo Alto, CA 94303</w:t>
            </w:r>
          </w:p>
        </w:tc>
        <w:tc>
          <w:tcPr>
            <w:tcW w:w="2300" w:type="dxa"/>
            <w:vAlign w:val="bottom"/>
          </w:tcPr>
          <w:p>
            <w:pPr>
              <w:jc w:val="right"/>
              <w:spacing w:after="0"/>
              <w:rPr>
                <w:sz w:val="20"/>
                <w:szCs w:val="20"/>
                <w:color w:val="auto"/>
              </w:rPr>
            </w:pPr>
            <w:r>
              <w:rPr>
                <w:rFonts w:ascii="Arial" w:cs="Arial" w:eastAsia="Arial" w:hAnsi="Arial"/>
                <w:sz w:val="7"/>
                <w:szCs w:val="7"/>
                <w:color w:val="auto"/>
              </w:rPr>
              <w:t>34</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Deer Park Refining Limited Partnership [b] [d]</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Distributed Generation Solutions LLC</w:t>
            </w:r>
          </w:p>
        </w:tc>
        <w:tc>
          <w:tcPr>
            <w:tcW w:w="6340" w:type="dxa"/>
            <w:vAlign w:val="bottom"/>
          </w:tcPr>
          <w:p>
            <w:pPr>
              <w:ind w:left="1140"/>
              <w:spacing w:after="0"/>
              <w:rPr>
                <w:sz w:val="20"/>
                <w:szCs w:val="20"/>
                <w:color w:val="auto"/>
              </w:rPr>
            </w:pPr>
            <w:r>
              <w:rPr>
                <w:rFonts w:ascii="Arial" w:cs="Arial" w:eastAsia="Arial" w:hAnsi="Arial"/>
                <w:sz w:val="7"/>
                <w:szCs w:val="7"/>
                <w:color w:val="auto"/>
              </w:rPr>
              <w:t>2441 High Timbers Drive, Suite 220, The Woodlands, TX 77380</w:t>
            </w:r>
          </w:p>
        </w:tc>
        <w:tc>
          <w:tcPr>
            <w:tcW w:w="2300" w:type="dxa"/>
            <w:vAlign w:val="bottom"/>
          </w:tcPr>
          <w:p>
            <w:pPr>
              <w:jc w:val="right"/>
              <w:spacing w:after="0"/>
              <w:rPr>
                <w:sz w:val="20"/>
                <w:szCs w:val="20"/>
                <w:color w:val="auto"/>
              </w:rPr>
            </w:pPr>
            <w:r>
              <w:rPr>
                <w:rFonts w:ascii="Arial" w:cs="Arial" w:eastAsia="Arial" w:hAnsi="Arial"/>
                <w:sz w:val="7"/>
                <w:szCs w:val="7"/>
                <w:color w:val="auto"/>
              </w:rPr>
              <w:t>33</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EcoSmart Solution LLC</w:t>
            </w:r>
          </w:p>
        </w:tc>
        <w:tc>
          <w:tcPr>
            <w:tcW w:w="6340" w:type="dxa"/>
            <w:vAlign w:val="bottom"/>
          </w:tcPr>
          <w:p>
            <w:pPr>
              <w:ind w:left="1140"/>
              <w:spacing w:after="0"/>
              <w:rPr>
                <w:sz w:val="20"/>
                <w:szCs w:val="20"/>
                <w:color w:val="auto"/>
              </w:rPr>
            </w:pPr>
            <w:r>
              <w:rPr>
                <w:rFonts w:ascii="Arial" w:cs="Arial" w:eastAsia="Arial" w:hAnsi="Arial"/>
                <w:sz w:val="7"/>
                <w:szCs w:val="7"/>
                <w:color w:val="auto"/>
              </w:rPr>
              <w:t>Corporation Service Company, 251 Little Falls Drive, Wilmington, DE 19808</w:t>
            </w:r>
          </w:p>
        </w:tc>
        <w:tc>
          <w:tcPr>
            <w:tcW w:w="2300" w:type="dxa"/>
            <w:vAlign w:val="bottom"/>
          </w:tcPr>
          <w:p>
            <w:pPr>
              <w:jc w:val="right"/>
              <w:spacing w:after="0"/>
              <w:rPr>
                <w:sz w:val="20"/>
                <w:szCs w:val="20"/>
                <w:color w:val="auto"/>
              </w:rPr>
            </w:pPr>
            <w:r>
              <w:rPr>
                <w:rFonts w:ascii="Arial" w:cs="Arial" w:eastAsia="Arial" w:hAnsi="Arial"/>
                <w:sz w:val="7"/>
                <w:szCs w:val="7"/>
                <w:color w:val="auto"/>
              </w:rPr>
              <w:t>35</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Ellwood Land Holdings,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Endymion Oil Pipeline Company,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7</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Enterprise Oil North America Inc.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EPP LLC [c]</w:t>
            </w:r>
          </w:p>
        </w:tc>
        <w:tc>
          <w:tcPr>
            <w:tcW w:w="6340" w:type="dxa"/>
            <w:vAlign w:val="bottom"/>
          </w:tcPr>
          <w:p>
            <w:pPr>
              <w:ind w:left="1140"/>
              <w:spacing w:after="0"/>
              <w:rPr>
                <w:sz w:val="20"/>
                <w:szCs w:val="20"/>
                <w:color w:val="auto"/>
              </w:rPr>
            </w:pPr>
            <w:r>
              <w:rPr>
                <w:rFonts w:ascii="Arial" w:cs="Arial" w:eastAsia="Arial" w:hAnsi="Arial"/>
                <w:sz w:val="7"/>
                <w:szCs w:val="7"/>
                <w:color w:val="auto"/>
              </w:rPr>
              <w:t>C T Corporation System, 1999 Bryan Street, Suite 900, Dallas, TX 75201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Equilon Enterprises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Explorer Pipeline Company</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26</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Gaviota Terminal Company [d]</w:t>
            </w:r>
          </w:p>
        </w:tc>
        <w:tc>
          <w:tcPr>
            <w:tcW w:w="6340" w:type="dxa"/>
            <w:vAlign w:val="bottom"/>
          </w:tcPr>
          <w:p>
            <w:pPr>
              <w:ind w:left="1140"/>
              <w:spacing w:after="0"/>
              <w:rPr>
                <w:sz w:val="20"/>
                <w:szCs w:val="20"/>
                <w:color w:val="auto"/>
              </w:rPr>
            </w:pPr>
            <w:r>
              <w:rPr>
                <w:rFonts w:ascii="Arial" w:cs="Arial" w:eastAsia="Arial" w:hAnsi="Arial"/>
                <w:sz w:val="7"/>
                <w:szCs w:val="7"/>
                <w:color w:val="auto"/>
              </w:rPr>
              <w:t>150 N. Dairy Ashford, Houston, TX 77079</w:t>
            </w:r>
          </w:p>
        </w:tc>
        <w:tc>
          <w:tcPr>
            <w:tcW w:w="230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GI Energy Storage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Husk Power Systems, Inc.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Infineum USA Inc.</w:t>
            </w:r>
          </w:p>
        </w:tc>
        <w:tc>
          <w:tcPr>
            <w:tcW w:w="6340" w:type="dxa"/>
            <w:vAlign w:val="bottom"/>
          </w:tcPr>
          <w:p>
            <w:pPr>
              <w:ind w:left="1140"/>
              <w:spacing w:after="0"/>
              <w:rPr>
                <w:sz w:val="20"/>
                <w:szCs w:val="20"/>
                <w:color w:val="auto"/>
              </w:rPr>
            </w:pPr>
            <w:r>
              <w:rPr>
                <w:rFonts w:ascii="Arial" w:cs="Arial" w:eastAsia="Arial" w:hAnsi="Arial"/>
                <w:sz w:val="7"/>
                <w:szCs w:val="7"/>
                <w:color w:val="auto"/>
              </w:rPr>
              <w:t>1900 East Linden Avenue, Linden, NJ 07036</w:t>
            </w:r>
          </w:p>
        </w:tc>
        <w:tc>
          <w:tcPr>
            <w:tcW w:w="23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Infineum USA L.P. [f]</w:t>
            </w:r>
          </w:p>
        </w:tc>
        <w:tc>
          <w:tcPr>
            <w:tcW w:w="6340" w:type="dxa"/>
            <w:vAlign w:val="bottom"/>
          </w:tcPr>
          <w:p>
            <w:pPr>
              <w:ind w:left="1140"/>
              <w:spacing w:after="0"/>
              <w:rPr>
                <w:sz w:val="20"/>
                <w:szCs w:val="20"/>
                <w:color w:val="auto"/>
              </w:rPr>
            </w:pPr>
            <w:r>
              <w:rPr>
                <w:rFonts w:ascii="Arial" w:cs="Arial" w:eastAsia="Arial" w:hAnsi="Arial"/>
                <w:sz w:val="7"/>
                <w:szCs w:val="7"/>
                <w:color w:val="auto"/>
              </w:rPr>
              <w:t>Corporation Service Company, 2711 Centerville Road, Suite 400, Wilmington, DE 19808</w:t>
            </w:r>
          </w:p>
        </w:tc>
        <w:tc>
          <w:tcPr>
            <w:tcW w:w="23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J &amp; J Lubrication, LLC [c]</w:t>
            </w:r>
          </w:p>
        </w:tc>
        <w:tc>
          <w:tcPr>
            <w:tcW w:w="6340" w:type="dxa"/>
            <w:vAlign w:val="bottom"/>
          </w:tcPr>
          <w:p>
            <w:pPr>
              <w:ind w:left="1140"/>
              <w:spacing w:after="0"/>
              <w:rPr>
                <w:sz w:val="20"/>
                <w:szCs w:val="20"/>
                <w:color w:val="auto"/>
              </w:rPr>
            </w:pPr>
            <w:r>
              <w:rPr>
                <w:rFonts w:ascii="Arial" w:cs="Arial" w:eastAsia="Arial" w:hAnsi="Arial"/>
                <w:sz w:val="7"/>
                <w:szCs w:val="7"/>
                <w:color w:val="auto"/>
              </w:rPr>
              <w:t>C T Corporation System, 1999 Bryan Street, Suite 900, Dallas, TX 75201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Jiffy Lube International, Inc.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Lazlyng Real Estate Company, LLC [c]</w:t>
            </w:r>
          </w:p>
        </w:tc>
        <w:tc>
          <w:tcPr>
            <w:tcW w:w="6340" w:type="dxa"/>
            <w:vAlign w:val="bottom"/>
          </w:tcPr>
          <w:p>
            <w:pPr>
              <w:ind w:left="1140"/>
              <w:spacing w:after="0"/>
              <w:rPr>
                <w:sz w:val="20"/>
                <w:szCs w:val="20"/>
                <w:color w:val="auto"/>
              </w:rPr>
            </w:pPr>
            <w:r>
              <w:rPr>
                <w:rFonts w:ascii="Arial" w:cs="Arial" w:eastAsia="Arial" w:hAnsi="Arial"/>
                <w:sz w:val="7"/>
                <w:szCs w:val="7"/>
                <w:color w:val="auto"/>
              </w:rPr>
              <w:t>C T Corporation System, 1999 Bryan Street, Suite 900, Dallas, TX 75201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LOCAP LLC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28</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LOOP LLC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46</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Maple Power Holdings LLC [b]</w:t>
            </w:r>
          </w:p>
        </w:tc>
        <w:tc>
          <w:tcPr>
            <w:tcW w:w="6340" w:type="dxa"/>
            <w:vAlign w:val="bottom"/>
          </w:tcPr>
          <w:p>
            <w:pPr>
              <w:ind w:left="1140"/>
              <w:spacing w:after="0"/>
              <w:rPr>
                <w:sz w:val="20"/>
                <w:szCs w:val="20"/>
                <w:color w:val="auto"/>
              </w:rPr>
            </w:pPr>
            <w:r>
              <w:rPr>
                <w:rFonts w:ascii="Arial" w:cs="Arial" w:eastAsia="Arial" w:hAnsi="Arial"/>
                <w:sz w:val="7"/>
                <w:szCs w:val="7"/>
                <w:color w:val="auto"/>
              </w:rPr>
              <w:t>Bechtel Enterprises, 12011 Sunset Hills Road, Reston, VA 20190</w:t>
            </w:r>
          </w:p>
        </w:tc>
        <w:tc>
          <w:tcPr>
            <w:tcW w:w="2300" w:type="dxa"/>
            <w:vAlign w:val="bottom"/>
          </w:tcPr>
          <w:p>
            <w:pPr>
              <w:jc w:val="right"/>
              <w:spacing w:after="0"/>
              <w:rPr>
                <w:sz w:val="20"/>
                <w:szCs w:val="20"/>
                <w:color w:val="auto"/>
              </w:rPr>
            </w:pPr>
            <w:r>
              <w:rPr>
                <w:rFonts w:ascii="Arial" w:cs="Arial" w:eastAsia="Arial" w:hAnsi="Arial"/>
                <w:sz w:val="7"/>
                <w:szCs w:val="7"/>
                <w:color w:val="auto"/>
              </w:rPr>
              <w:t>68</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Mars Oil Pipeline Company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Mattox Pipeline Company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54</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Mayflower Wind Energy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MP2 Energy LLC [c]</w:t>
            </w:r>
          </w:p>
        </w:tc>
        <w:tc>
          <w:tcPr>
            <w:tcW w:w="6340" w:type="dxa"/>
            <w:vAlign w:val="bottom"/>
          </w:tcPr>
          <w:p>
            <w:pPr>
              <w:ind w:left="1140"/>
              <w:spacing w:after="0"/>
              <w:rPr>
                <w:sz w:val="20"/>
                <w:szCs w:val="20"/>
                <w:color w:val="auto"/>
              </w:rPr>
            </w:pPr>
            <w:r>
              <w:rPr>
                <w:rFonts w:ascii="Arial" w:cs="Arial" w:eastAsia="Arial" w:hAnsi="Arial"/>
                <w:sz w:val="7"/>
                <w:szCs w:val="7"/>
                <w:color w:val="auto"/>
              </w:rPr>
              <w:t>C T Corporation System, 1999 Bryan Street, Suite 900, Dallas, TX 75201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MP2 Energy NE LLC [c]</w:t>
            </w:r>
          </w:p>
        </w:tc>
        <w:tc>
          <w:tcPr>
            <w:tcW w:w="6340" w:type="dxa"/>
            <w:vAlign w:val="bottom"/>
          </w:tcPr>
          <w:p>
            <w:pPr>
              <w:ind w:left="1140"/>
              <w:spacing w:after="0"/>
              <w:rPr>
                <w:sz w:val="20"/>
                <w:szCs w:val="20"/>
                <w:color w:val="auto"/>
              </w:rPr>
            </w:pPr>
            <w:r>
              <w:rPr>
                <w:rFonts w:ascii="Arial" w:cs="Arial" w:eastAsia="Arial" w:hAnsi="Arial"/>
                <w:sz w:val="7"/>
                <w:szCs w:val="7"/>
                <w:color w:val="auto"/>
              </w:rPr>
              <w:t>C T Corporation System, 1999 Bryan Street, Suite 900, Dallas, TX 75201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MP2 Energy NY LLC [c]</w:t>
            </w:r>
          </w:p>
        </w:tc>
        <w:tc>
          <w:tcPr>
            <w:tcW w:w="6340" w:type="dxa"/>
            <w:vAlign w:val="bottom"/>
          </w:tcPr>
          <w:p>
            <w:pPr>
              <w:ind w:left="1140"/>
              <w:spacing w:after="0"/>
              <w:rPr>
                <w:sz w:val="20"/>
                <w:szCs w:val="20"/>
                <w:color w:val="auto"/>
              </w:rPr>
            </w:pPr>
            <w:r>
              <w:rPr>
                <w:rFonts w:ascii="Arial" w:cs="Arial" w:eastAsia="Arial" w:hAnsi="Arial"/>
                <w:sz w:val="7"/>
                <w:szCs w:val="7"/>
                <w:color w:val="auto"/>
              </w:rPr>
              <w:t>C T Corporation System, 1999 Bryan Street, Suite 900, Dallas, TX 75201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MP2 Energy Retail Holdings LLC [c]</w:t>
            </w:r>
          </w:p>
        </w:tc>
        <w:tc>
          <w:tcPr>
            <w:tcW w:w="6340" w:type="dxa"/>
            <w:vAlign w:val="bottom"/>
          </w:tcPr>
          <w:p>
            <w:pPr>
              <w:ind w:left="1140"/>
              <w:spacing w:after="0"/>
              <w:rPr>
                <w:sz w:val="20"/>
                <w:szCs w:val="20"/>
                <w:color w:val="auto"/>
              </w:rPr>
            </w:pPr>
            <w:r>
              <w:rPr>
                <w:rFonts w:ascii="Arial" w:cs="Arial" w:eastAsia="Arial" w:hAnsi="Arial"/>
                <w:sz w:val="7"/>
                <w:szCs w:val="7"/>
                <w:color w:val="auto"/>
              </w:rPr>
              <w:t>C T Corporation System, 1999 Bryan Street, Suite 900, Dallas, TX 75201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MP2 Energy Texas LLC [c]</w:t>
            </w:r>
          </w:p>
        </w:tc>
        <w:tc>
          <w:tcPr>
            <w:tcW w:w="6340" w:type="dxa"/>
            <w:vAlign w:val="bottom"/>
          </w:tcPr>
          <w:p>
            <w:pPr>
              <w:ind w:left="1140"/>
              <w:spacing w:after="0"/>
              <w:rPr>
                <w:sz w:val="20"/>
                <w:szCs w:val="20"/>
                <w:color w:val="auto"/>
              </w:rPr>
            </w:pPr>
            <w:r>
              <w:rPr>
                <w:rFonts w:ascii="Arial" w:cs="Arial" w:eastAsia="Arial" w:hAnsi="Arial"/>
                <w:sz w:val="7"/>
                <w:szCs w:val="7"/>
                <w:color w:val="auto"/>
              </w:rPr>
              <w:t>C T Corporation System, 1999 Bryan Street, Suite 900, Dallas, TX 75201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MP2 Generation LLC [c]</w:t>
            </w:r>
          </w:p>
        </w:tc>
        <w:tc>
          <w:tcPr>
            <w:tcW w:w="6340" w:type="dxa"/>
            <w:vAlign w:val="bottom"/>
          </w:tcPr>
          <w:p>
            <w:pPr>
              <w:ind w:left="1140"/>
              <w:spacing w:after="0"/>
              <w:rPr>
                <w:sz w:val="20"/>
                <w:szCs w:val="20"/>
                <w:color w:val="auto"/>
              </w:rPr>
            </w:pPr>
            <w:r>
              <w:rPr>
                <w:rFonts w:ascii="Arial" w:cs="Arial" w:eastAsia="Arial" w:hAnsi="Arial"/>
                <w:sz w:val="7"/>
                <w:szCs w:val="7"/>
                <w:color w:val="auto"/>
              </w:rPr>
              <w:t>C T Corporation System, 1999 Bryan Street, Suite 900, Dallas, TX 75201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MP2 Mesquite Creek Wind LLC [c]</w:t>
            </w:r>
          </w:p>
        </w:tc>
        <w:tc>
          <w:tcPr>
            <w:tcW w:w="6340" w:type="dxa"/>
            <w:vAlign w:val="bottom"/>
          </w:tcPr>
          <w:p>
            <w:pPr>
              <w:ind w:left="1140"/>
              <w:spacing w:after="0"/>
              <w:rPr>
                <w:sz w:val="20"/>
                <w:szCs w:val="20"/>
                <w:color w:val="auto"/>
              </w:rPr>
            </w:pPr>
            <w:r>
              <w:rPr>
                <w:rFonts w:ascii="Arial" w:cs="Arial" w:eastAsia="Arial" w:hAnsi="Arial"/>
                <w:sz w:val="7"/>
                <w:szCs w:val="7"/>
                <w:color w:val="auto"/>
              </w:rPr>
              <w:t>C T Corporation System, 1999 Bryan Street, Suite 900, Dallas, TX 75201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Mpower2 LLC [c]</w:t>
            </w:r>
          </w:p>
        </w:tc>
        <w:tc>
          <w:tcPr>
            <w:tcW w:w="6340" w:type="dxa"/>
            <w:vAlign w:val="bottom"/>
          </w:tcPr>
          <w:p>
            <w:pPr>
              <w:ind w:left="1140"/>
              <w:spacing w:after="0"/>
              <w:rPr>
                <w:sz w:val="20"/>
                <w:szCs w:val="20"/>
                <w:color w:val="auto"/>
              </w:rPr>
            </w:pPr>
            <w:r>
              <w:rPr>
                <w:rFonts w:ascii="Arial" w:cs="Arial" w:eastAsia="Arial" w:hAnsi="Arial"/>
                <w:sz w:val="7"/>
                <w:szCs w:val="7"/>
                <w:color w:val="auto"/>
              </w:rPr>
              <w:t>C T Corporation System, 1999 Bryan Street, Suite 900, Dallas, TX 75201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Noble Assurance Company</w:t>
            </w:r>
          </w:p>
        </w:tc>
        <w:tc>
          <w:tcPr>
            <w:tcW w:w="6340" w:type="dxa"/>
            <w:vAlign w:val="bottom"/>
          </w:tcPr>
          <w:p>
            <w:pPr>
              <w:ind w:left="1140"/>
              <w:spacing w:after="0"/>
              <w:rPr>
                <w:sz w:val="20"/>
                <w:szCs w:val="20"/>
                <w:color w:val="auto"/>
              </w:rPr>
            </w:pPr>
            <w:r>
              <w:rPr>
                <w:rFonts w:ascii="Arial" w:cs="Arial" w:eastAsia="Arial" w:hAnsi="Arial"/>
                <w:sz w:val="7"/>
                <w:szCs w:val="7"/>
                <w:color w:val="auto"/>
              </w:rPr>
              <w:t>C T Corporation System, 1999 Bryan Street, Suite 900, Dallas, TX 75201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Odyssey Pipeline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49</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Oryx Caspian Pipeline,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Pacwest Energy, LLC.</w:t>
            </w:r>
          </w:p>
        </w:tc>
        <w:tc>
          <w:tcPr>
            <w:tcW w:w="6340" w:type="dxa"/>
            <w:vAlign w:val="bottom"/>
          </w:tcPr>
          <w:p>
            <w:pPr>
              <w:ind w:left="1140"/>
              <w:spacing w:after="0"/>
              <w:rPr>
                <w:sz w:val="20"/>
                <w:szCs w:val="20"/>
                <w:color w:val="auto"/>
              </w:rPr>
            </w:pPr>
            <w:r>
              <w:rPr>
                <w:rFonts w:ascii="Arial" w:cs="Arial" w:eastAsia="Arial" w:hAnsi="Arial"/>
                <w:sz w:val="7"/>
                <w:szCs w:val="7"/>
                <w:color w:val="auto"/>
              </w:rPr>
              <w:t>3450 E. Commercial Ct., Meridian, ID 83642</w:t>
            </w:r>
          </w:p>
        </w:tc>
        <w:tc>
          <w:tcPr>
            <w:tcW w:w="230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Pecten Arabian Company</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Pecten Brazil Exploration Company</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Pecten Midstream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69</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Pecten Orient Company</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580" w:type="dxa"/>
            <w:vAlign w:val="bottom"/>
          </w:tcPr>
          <w:p>
            <w:pPr>
              <w:ind w:left="40"/>
              <w:spacing w:after="0"/>
              <w:rPr>
                <w:sz w:val="20"/>
                <w:szCs w:val="20"/>
                <w:color w:val="auto"/>
              </w:rPr>
            </w:pPr>
            <w:r>
              <w:rPr>
                <w:rFonts w:ascii="Arial" w:cs="Arial" w:eastAsia="Arial" w:hAnsi="Arial"/>
                <w:sz w:val="7"/>
                <w:szCs w:val="7"/>
                <w:color w:val="auto"/>
              </w:rPr>
              <w:t>Pecten Orient Company LLC [c]</w:t>
            </w:r>
          </w:p>
        </w:tc>
        <w:tc>
          <w:tcPr>
            <w:tcW w:w="6340" w:type="dxa"/>
            <w:vAlign w:val="bottom"/>
          </w:tcPr>
          <w:p>
            <w:pPr>
              <w:ind w:left="11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0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520"/>
        </w:trPr>
        <w:tc>
          <w:tcPr>
            <w:tcW w:w="258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6340" w:type="dxa"/>
            <w:vAlign w:val="bottom"/>
          </w:tcPr>
          <w:p>
            <w:pPr>
              <w:ind w:left="2940"/>
              <w:spacing w:after="0"/>
              <w:rPr>
                <w:sz w:val="20"/>
                <w:szCs w:val="20"/>
                <w:color w:val="auto"/>
              </w:rPr>
            </w:pPr>
            <w:r>
              <w:rPr>
                <w:rFonts w:ascii="Arial" w:cs="Arial" w:eastAsia="Arial" w:hAnsi="Arial"/>
                <w:sz w:val="6"/>
                <w:szCs w:val="6"/>
                <w:color w:val="auto"/>
              </w:rPr>
              <w:t>E20</w:t>
            </w:r>
          </w:p>
        </w:tc>
        <w:tc>
          <w:tcPr>
            <w:tcW w:w="2300" w:type="dxa"/>
            <w:vAlign w:val="bottom"/>
          </w:tcPr>
          <w:p>
            <w:pPr>
              <w:spacing w:after="0"/>
              <w:rPr>
                <w:sz w:val="24"/>
                <w:szCs w:val="24"/>
                <w:color w:val="auto"/>
              </w:rPr>
            </w:pPr>
          </w:p>
        </w:tc>
      </w:tr>
    </w:tbl>
    <w:p>
      <w:pPr>
        <w:sectPr>
          <w:pgSz w:w="11900" w:h="16838" w:orient="portrait"/>
          <w:cols w:equalWidth="0" w:num="1">
            <w:col w:w="11220"/>
          </w:cols>
          <w:pgMar w:left="340" w:top="735" w:right="339" w:bottom="1440" w:gutter="0" w:footer="0" w:header="0"/>
        </w:sectPr>
      </w:pPr>
    </w:p>
    <w:bookmarkStart w:id="308" w:name="page309"/>
    <w:bookmarkEnd w:id="3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660" w:type="dxa"/>
            <w:vAlign w:val="bottom"/>
          </w:tcPr>
          <w:p>
            <w:pPr>
              <w:ind w:left="40"/>
              <w:spacing w:after="0"/>
              <w:rPr>
                <w:sz w:val="20"/>
                <w:szCs w:val="20"/>
                <w:color w:val="auto"/>
              </w:rPr>
            </w:pPr>
            <w:r>
              <w:rPr>
                <w:rFonts w:ascii="Arial" w:cs="Arial" w:eastAsia="Arial" w:hAnsi="Arial"/>
                <w:sz w:val="7"/>
                <w:szCs w:val="7"/>
                <w:color w:val="auto"/>
              </w:rPr>
              <w:t>Pecten Producing Company</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Pecten Trading Company</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Pecten Victoria Company</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Pecten Yemen Masila Company</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Pennzoil-Quaker State Company</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Pennzoil-Quaker State International Corporation</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Pennzoil-Quaker State Nominee Company</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of Nevada, 311 South Division Street, Carson City, NV 89703</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Peru LNG Company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Poseidon Oil Pipeline Company, LLC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25</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Positive Energies, LLC [c]</w:t>
            </w:r>
          </w:p>
        </w:tc>
        <w:tc>
          <w:tcPr>
            <w:tcW w:w="6260" w:type="dxa"/>
            <w:vAlign w:val="bottom"/>
          </w:tcPr>
          <w:p>
            <w:pPr>
              <w:ind w:left="1060"/>
              <w:spacing w:after="0"/>
              <w:rPr>
                <w:sz w:val="20"/>
                <w:szCs w:val="20"/>
                <w:color w:val="auto"/>
              </w:rPr>
            </w:pPr>
            <w:r>
              <w:rPr>
                <w:rFonts w:ascii="Arial" w:cs="Arial" w:eastAsia="Arial" w:hAnsi="Arial"/>
                <w:sz w:val="7"/>
                <w:szCs w:val="7"/>
                <w:color w:val="auto"/>
              </w:rPr>
              <w:t>CT Corporation System, 7700 E Arapahoe Rd, Ste 220, Centennial, CO 80112-1268</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Power Limited Partnership [d]</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PR Microgrids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Premium Velocity Auto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Proteus Oil Pipeline Company,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7</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Quaker State Investment Corporation</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RDK Ventures, LLC</w:t>
            </w:r>
          </w:p>
        </w:tc>
        <w:tc>
          <w:tcPr>
            <w:tcW w:w="6260" w:type="dxa"/>
            <w:vAlign w:val="bottom"/>
          </w:tcPr>
          <w:p>
            <w:pPr>
              <w:ind w:left="1060"/>
              <w:spacing w:after="0"/>
              <w:rPr>
                <w:sz w:val="20"/>
                <w:szCs w:val="20"/>
                <w:color w:val="auto"/>
              </w:rPr>
            </w:pPr>
            <w:r>
              <w:rPr>
                <w:rFonts w:ascii="Arial" w:cs="Arial" w:eastAsia="Arial" w:hAnsi="Arial"/>
                <w:sz w:val="7"/>
                <w:szCs w:val="7"/>
                <w:color w:val="auto"/>
              </w:rPr>
              <w:t>4080 West Jonathan Moore Pike, Columbus, IN 47201</w:t>
            </w:r>
          </w:p>
        </w:tc>
        <w:tc>
          <w:tcPr>
            <w:tcW w:w="23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RK Caspian Shipping Company,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 T Exchange,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Salamander Solutions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28</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Sand Dollar Pipeline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69</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SCOGI GP [d]</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(US) Gas &amp; Power M&amp;T Holdings,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California Pipeline Company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Catalysts &amp; Technologies Americas LP [d]</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Catalysts &amp; Technologies Company</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Catalysts &amp; Technologies Holdings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Catalysts &amp; Technologies LP [d]</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Catalysts &amp; Technologies US LP [d]</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Catalysts Ventures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Chemical Appalachia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Chemical LP [d]</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Chemicals Arabia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Communications,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Deepwater Royalties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Downstream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Energy Company</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Energy Holding GP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Energy North America (US), L.P. [d]</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Energy Resources Company</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EP Holdings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Expatriate Employment US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Exploration &amp; Production Company</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Exploration Company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Frontier Oil &amp; Gas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Gas Gathering Corp. #2</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Global Solutions (US)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GOM Pipeline Company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Gulf of Mexico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Information Technology International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International Exploration and Production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Lake Charles Operations,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Leasing Company</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Marine Products (US) Company</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Midstream LP Holdings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Midstream Operating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69</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Midstream Partners GP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Midstream Partners, L.P.</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69</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NA Gas &amp; Power Holding Company</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NA LNG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New Energies US LLC [c]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North America Gas &amp; Power Services Company</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660" w:type="dxa"/>
            <w:vAlign w:val="bottom"/>
          </w:tcPr>
          <w:p>
            <w:pPr>
              <w:ind w:left="40"/>
              <w:spacing w:after="0"/>
              <w:rPr>
                <w:sz w:val="20"/>
                <w:szCs w:val="20"/>
                <w:color w:val="auto"/>
              </w:rPr>
            </w:pPr>
            <w:r>
              <w:rPr>
                <w:rFonts w:ascii="Arial" w:cs="Arial" w:eastAsia="Arial" w:hAnsi="Arial"/>
                <w:sz w:val="7"/>
                <w:szCs w:val="7"/>
                <w:color w:val="auto"/>
              </w:rPr>
              <w:t>Shell Offshore and Chemical Investments Inc.</w:t>
            </w:r>
          </w:p>
        </w:tc>
        <w:tc>
          <w:tcPr>
            <w:tcW w:w="6260" w:type="dxa"/>
            <w:vAlign w:val="bottom"/>
          </w:tcPr>
          <w:p>
            <w:pPr>
              <w:ind w:left="106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23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520"/>
        </w:trPr>
        <w:tc>
          <w:tcPr>
            <w:tcW w:w="266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6260" w:type="dxa"/>
            <w:vAlign w:val="bottom"/>
          </w:tcPr>
          <w:p>
            <w:pPr>
              <w:ind w:left="2860"/>
              <w:spacing w:after="0"/>
              <w:rPr>
                <w:sz w:val="20"/>
                <w:szCs w:val="20"/>
                <w:color w:val="auto"/>
              </w:rPr>
            </w:pPr>
            <w:r>
              <w:rPr>
                <w:rFonts w:ascii="Arial" w:cs="Arial" w:eastAsia="Arial" w:hAnsi="Arial"/>
                <w:sz w:val="6"/>
                <w:szCs w:val="6"/>
                <w:color w:val="auto"/>
              </w:rPr>
              <w:t>E21</w:t>
            </w:r>
          </w:p>
        </w:tc>
        <w:tc>
          <w:tcPr>
            <w:tcW w:w="2320" w:type="dxa"/>
            <w:vAlign w:val="bottom"/>
          </w:tcPr>
          <w:p>
            <w:pPr>
              <w:spacing w:after="0"/>
              <w:rPr>
                <w:sz w:val="24"/>
                <w:szCs w:val="24"/>
                <w:color w:val="auto"/>
              </w:rPr>
            </w:pPr>
          </w:p>
        </w:tc>
      </w:tr>
    </w:tbl>
    <w:p>
      <w:pPr>
        <w:sectPr>
          <w:pgSz w:w="11900" w:h="16838" w:orient="portrait"/>
          <w:cols w:equalWidth="0" w:num="1">
            <w:col w:w="11240"/>
          </w:cols>
          <w:pgMar w:left="340" w:top="735" w:right="319" w:bottom="1440" w:gutter="0" w:footer="0" w:header="0"/>
        </w:sectPr>
      </w:pPr>
    </w:p>
    <w:bookmarkStart w:id="309" w:name="page310"/>
    <w:bookmarkEnd w:id="3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2720" w:type="dxa"/>
            <w:vAlign w:val="bottom"/>
          </w:tcPr>
          <w:p>
            <w:pPr>
              <w:ind w:left="80"/>
              <w:spacing w:after="0"/>
              <w:rPr>
                <w:sz w:val="20"/>
                <w:szCs w:val="20"/>
                <w:color w:val="auto"/>
              </w:rPr>
            </w:pPr>
            <w:r>
              <w:rPr>
                <w:rFonts w:ascii="Arial" w:cs="Arial" w:eastAsia="Arial" w:hAnsi="Arial"/>
                <w:sz w:val="7"/>
                <w:szCs w:val="7"/>
                <w:color w:val="auto"/>
              </w:rPr>
              <w:t>Shell Offshore Inc.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Offshore Response Company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Oil Company</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Oil Company Investments Inc.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Oil Products Company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Onshore Ventures Inc.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Petroleum Inc.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Pipeline Company LP [d]</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Pipeline GP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Rail Operations Company</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Retail and Convenience Operations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RSC Company</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Thailand E&amp;P Inc.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Trademark Management Inc.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Trading (US) Company</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Trading North America Company</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Trading Risk Management,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Trading Services Company</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Transportation Holdings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Treasury Center (West) Inc.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US E&amp;P Investments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US Gas &amp; Power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US Hosting Company</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Ventures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WindEnergy Inc.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WindEnergy Services Inc.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Ship Shoal Pipeline Company [d]</w:t>
            </w:r>
          </w:p>
        </w:tc>
        <w:tc>
          <w:tcPr>
            <w:tcW w:w="6840" w:type="dxa"/>
            <w:vAlign w:val="bottom"/>
          </w:tcPr>
          <w:p>
            <w:pPr>
              <w:ind w:left="1040"/>
              <w:spacing w:after="0"/>
              <w:rPr>
                <w:sz w:val="20"/>
                <w:szCs w:val="20"/>
                <w:color w:val="auto"/>
              </w:rPr>
            </w:pPr>
            <w:r>
              <w:rPr>
                <w:rFonts w:ascii="Arial" w:cs="Arial" w:eastAsia="Arial" w:hAnsi="Arial"/>
                <w:sz w:val="7"/>
                <w:szCs w:val="7"/>
                <w:color w:val="auto"/>
              </w:rPr>
              <w:t>150 N. Dairy Ashford, Houston, TX 77079</w:t>
            </w:r>
          </w:p>
        </w:tc>
        <w:tc>
          <w:tcPr>
            <w:tcW w:w="1720" w:type="dxa"/>
            <w:vAlign w:val="bottom"/>
          </w:tcPr>
          <w:p>
            <w:pPr>
              <w:jc w:val="right"/>
              <w:spacing w:after="0"/>
              <w:rPr>
                <w:sz w:val="20"/>
                <w:szCs w:val="20"/>
                <w:color w:val="auto"/>
              </w:rPr>
            </w:pPr>
            <w:r>
              <w:rPr>
                <w:rFonts w:ascii="Arial" w:cs="Arial" w:eastAsia="Arial" w:hAnsi="Arial"/>
                <w:sz w:val="7"/>
                <w:szCs w:val="7"/>
                <w:color w:val="auto"/>
              </w:rPr>
              <w:t>43</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Silicon Ranch Corporation</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46</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SOI Finance Inc.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Sonnen Inc.</w:t>
            </w:r>
          </w:p>
        </w:tc>
        <w:tc>
          <w:tcPr>
            <w:tcW w:w="6840" w:type="dxa"/>
            <w:vAlign w:val="bottom"/>
          </w:tcPr>
          <w:p>
            <w:pPr>
              <w:ind w:left="1040"/>
              <w:spacing w:after="0"/>
              <w:rPr>
                <w:sz w:val="20"/>
                <w:szCs w:val="20"/>
                <w:color w:val="auto"/>
              </w:rPr>
            </w:pPr>
            <w:r>
              <w:rPr>
                <w:rFonts w:ascii="Arial" w:cs="Arial" w:eastAsia="Arial" w:hAnsi="Arial"/>
                <w:sz w:val="7"/>
                <w:szCs w:val="7"/>
                <w:color w:val="auto"/>
              </w:rPr>
              <w:t>2048 Weems Road, Bldg C, Tucker, GA 30084</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SOPC Holdings East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SOPC Holdings West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SOPC Southeast Inc.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Studio X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SWEPI LP [d]</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Tejas Coral GP,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Tejas Coral Holding,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Tejas Power Generation,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Texas Petroleum Group LLC</w:t>
            </w:r>
          </w:p>
        </w:tc>
        <w:tc>
          <w:tcPr>
            <w:tcW w:w="6840" w:type="dxa"/>
            <w:vAlign w:val="bottom"/>
          </w:tcPr>
          <w:p>
            <w:pPr>
              <w:ind w:left="1040"/>
              <w:spacing w:after="0"/>
              <w:rPr>
                <w:sz w:val="20"/>
                <w:szCs w:val="20"/>
                <w:color w:val="auto"/>
              </w:rPr>
            </w:pPr>
            <w:r>
              <w:rPr>
                <w:rFonts w:ascii="Arial" w:cs="Arial" w:eastAsia="Arial" w:hAnsi="Arial"/>
                <w:sz w:val="7"/>
                <w:szCs w:val="7"/>
                <w:color w:val="auto"/>
              </w:rPr>
              <w:t>11111 Wilcrest Green, Suite 100, Houston, TX 77042</w:t>
            </w:r>
          </w:p>
        </w:tc>
        <w:tc>
          <w:tcPr>
            <w:tcW w:w="17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Texas-New Mexico Pipe Line Company</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The Valley Camp Coal Company</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Three Wind Holdings,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TMR Company LLC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Tri Star Energy LLC</w:t>
            </w:r>
          </w:p>
        </w:tc>
        <w:tc>
          <w:tcPr>
            <w:tcW w:w="6840" w:type="dxa"/>
            <w:vAlign w:val="bottom"/>
          </w:tcPr>
          <w:p>
            <w:pPr>
              <w:ind w:left="1040"/>
              <w:spacing w:after="0"/>
              <w:rPr>
                <w:sz w:val="20"/>
                <w:szCs w:val="20"/>
                <w:color w:val="auto"/>
              </w:rPr>
            </w:pPr>
            <w:r>
              <w:rPr>
                <w:rFonts w:ascii="Arial" w:cs="Arial" w:eastAsia="Arial" w:hAnsi="Arial"/>
                <w:sz w:val="7"/>
                <w:szCs w:val="7"/>
                <w:color w:val="auto"/>
              </w:rPr>
              <w:t>1740 Ed Temple Blvd, Nashville, TN 37208</w:t>
            </w:r>
          </w:p>
        </w:tc>
        <w:tc>
          <w:tcPr>
            <w:tcW w:w="1720" w:type="dxa"/>
            <w:vAlign w:val="bottom"/>
          </w:tcPr>
          <w:p>
            <w:pPr>
              <w:jc w:val="right"/>
              <w:spacing w:after="0"/>
              <w:rPr>
                <w:sz w:val="20"/>
                <w:szCs w:val="20"/>
                <w:color w:val="auto"/>
              </w:rPr>
            </w:pPr>
            <w:r>
              <w:rPr>
                <w:rFonts w:ascii="Arial" w:cs="Arial" w:eastAsia="Arial" w:hAnsi="Arial"/>
                <w:sz w:val="7"/>
                <w:szCs w:val="7"/>
                <w:color w:val="auto"/>
              </w:rPr>
              <w:t>33</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Triton Diagnostics Inc.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Triton Terminaling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Triton West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69</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True North Energy LLC</w:t>
            </w:r>
          </w:p>
        </w:tc>
        <w:tc>
          <w:tcPr>
            <w:tcW w:w="6840" w:type="dxa"/>
            <w:vAlign w:val="bottom"/>
          </w:tcPr>
          <w:p>
            <w:pPr>
              <w:ind w:left="1040"/>
              <w:spacing w:after="0"/>
              <w:rPr>
                <w:sz w:val="20"/>
                <w:szCs w:val="20"/>
                <w:color w:val="auto"/>
              </w:rPr>
            </w:pPr>
            <w:r>
              <w:rPr>
                <w:rFonts w:ascii="Arial" w:cs="Arial" w:eastAsia="Arial" w:hAnsi="Arial"/>
                <w:sz w:val="7"/>
                <w:szCs w:val="7"/>
                <w:color w:val="auto"/>
              </w:rPr>
              <w:t>10346 Brecksville Rd, Brecksville, OH 44141</w:t>
            </w:r>
          </w:p>
        </w:tc>
        <w:tc>
          <w:tcPr>
            <w:tcW w:w="17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URSA Oil Pipeline Company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45</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West Shore Pipe Line Company</w:t>
            </w:r>
          </w:p>
        </w:tc>
        <w:tc>
          <w:tcPr>
            <w:tcW w:w="6840" w:type="dxa"/>
            <w:vAlign w:val="bottom"/>
          </w:tcPr>
          <w:p>
            <w:pPr>
              <w:ind w:left="1040"/>
              <w:spacing w:after="0"/>
              <w:rPr>
                <w:sz w:val="20"/>
                <w:szCs w:val="20"/>
                <w:color w:val="auto"/>
              </w:rPr>
            </w:pPr>
            <w:r>
              <w:rPr>
                <w:rFonts w:ascii="Arial" w:cs="Arial" w:eastAsia="Arial" w:hAnsi="Arial"/>
                <w:sz w:val="7"/>
                <w:szCs w:val="7"/>
                <w:color w:val="auto"/>
              </w:rPr>
              <w:t>Corporation Service Company, 251 Little Falls Drive, Wilmington, DE 19808</w:t>
            </w:r>
          </w:p>
        </w:tc>
        <w:tc>
          <w:tcPr>
            <w:tcW w:w="1720" w:type="dxa"/>
            <w:vAlign w:val="bottom"/>
          </w:tcPr>
          <w:p>
            <w:pPr>
              <w:jc w:val="right"/>
              <w:spacing w:after="0"/>
              <w:rPr>
                <w:sz w:val="20"/>
                <w:szCs w:val="20"/>
                <w:color w:val="auto"/>
              </w:rPr>
            </w:pPr>
            <w:r>
              <w:rPr>
                <w:rFonts w:ascii="Arial" w:cs="Arial" w:eastAsia="Arial" w:hAnsi="Arial"/>
                <w:sz w:val="7"/>
                <w:szCs w:val="7"/>
                <w:color w:val="auto"/>
              </w:rPr>
              <w:t>19</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Zeco Holdings, Inc.</w:t>
            </w:r>
          </w:p>
        </w:tc>
        <w:tc>
          <w:tcPr>
            <w:tcW w:w="6840" w:type="dxa"/>
            <w:vAlign w:val="bottom"/>
          </w:tcPr>
          <w:p>
            <w:pPr>
              <w:ind w:left="1040"/>
              <w:spacing w:after="0"/>
              <w:rPr>
                <w:sz w:val="20"/>
                <w:szCs w:val="20"/>
                <w:color w:val="auto"/>
              </w:rPr>
            </w:pPr>
            <w:r>
              <w:rPr>
                <w:rFonts w:ascii="Arial" w:cs="Arial" w:eastAsia="Arial" w:hAnsi="Arial"/>
                <w:sz w:val="7"/>
                <w:szCs w:val="7"/>
                <w:color w:val="auto"/>
              </w:rPr>
              <w:t>1013 Centre Road, County of New Castle, Delaware, Wilmington, DE 19805</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Zeco Systems, Inc.</w:t>
            </w:r>
          </w:p>
        </w:tc>
        <w:tc>
          <w:tcPr>
            <w:tcW w:w="6840" w:type="dxa"/>
            <w:vAlign w:val="bottom"/>
          </w:tcPr>
          <w:p>
            <w:pPr>
              <w:ind w:left="1040"/>
              <w:spacing w:after="0"/>
              <w:rPr>
                <w:sz w:val="20"/>
                <w:szCs w:val="20"/>
                <w:color w:val="auto"/>
              </w:rPr>
            </w:pPr>
            <w:r>
              <w:rPr>
                <w:rFonts w:ascii="Arial" w:cs="Arial" w:eastAsia="Arial" w:hAnsi="Arial"/>
                <w:sz w:val="7"/>
                <w:szCs w:val="7"/>
                <w:color w:val="auto"/>
              </w:rPr>
              <w:t>1013 Centre Road, County of New Castle, Delaware, Wilmington, DE 19805</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Zeolyst International</w:t>
            </w:r>
          </w:p>
        </w:tc>
        <w:tc>
          <w:tcPr>
            <w:tcW w:w="6840" w:type="dxa"/>
            <w:vAlign w:val="bottom"/>
          </w:tcPr>
          <w:p>
            <w:pPr>
              <w:ind w:left="1040"/>
              <w:spacing w:after="0"/>
              <w:rPr>
                <w:sz w:val="20"/>
                <w:szCs w:val="20"/>
                <w:color w:val="auto"/>
              </w:rPr>
            </w:pPr>
            <w:r>
              <w:rPr>
                <w:rFonts w:ascii="Arial" w:cs="Arial" w:eastAsia="Arial" w:hAnsi="Arial"/>
                <w:sz w:val="7"/>
                <w:szCs w:val="7"/>
                <w:color w:val="auto"/>
              </w:rPr>
              <w:t>3333 Hwy 6 South, Houston, TX 77082</w:t>
            </w:r>
          </w:p>
        </w:tc>
        <w:tc>
          <w:tcPr>
            <w:tcW w:w="17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Zydeco Pipeline Company LLC [c]</w:t>
            </w:r>
          </w:p>
        </w:tc>
        <w:tc>
          <w:tcPr>
            <w:tcW w:w="6840" w:type="dxa"/>
            <w:vAlign w:val="bottom"/>
          </w:tcPr>
          <w:p>
            <w:pPr>
              <w:ind w:left="1040"/>
              <w:spacing w:after="0"/>
              <w:rPr>
                <w:sz w:val="20"/>
                <w:szCs w:val="20"/>
                <w:color w:val="auto"/>
              </w:rPr>
            </w:pPr>
            <w:r>
              <w:rPr>
                <w:rFonts w:ascii="Arial" w:cs="Arial" w:eastAsia="Arial" w:hAnsi="Arial"/>
                <w:sz w:val="7"/>
                <w:szCs w:val="7"/>
                <w:color w:val="auto"/>
              </w:rPr>
              <w:t>The Corporation Trust Company, Corporation Trust Center, 1209 Orange Street, Wilmington, DE 19801</w:t>
            </w:r>
          </w:p>
        </w:tc>
        <w:tc>
          <w:tcPr>
            <w:tcW w:w="1720" w:type="dxa"/>
            <w:vAlign w:val="bottom"/>
          </w:tcPr>
          <w:p>
            <w:pPr>
              <w:jc w:val="right"/>
              <w:spacing w:after="0"/>
              <w:rPr>
                <w:sz w:val="20"/>
                <w:szCs w:val="20"/>
                <w:color w:val="auto"/>
              </w:rPr>
            </w:pPr>
            <w:r>
              <w:rPr>
                <w:rFonts w:ascii="Arial" w:cs="Arial" w:eastAsia="Arial" w:hAnsi="Arial"/>
                <w:sz w:val="7"/>
                <w:szCs w:val="7"/>
                <w:color w:val="auto"/>
              </w:rPr>
              <w:t>71</w:t>
            </w:r>
          </w:p>
        </w:tc>
      </w:tr>
      <w:tr>
        <w:trPr>
          <w:trHeight w:val="108"/>
        </w:trPr>
        <w:tc>
          <w:tcPr>
            <w:tcW w:w="2720" w:type="dxa"/>
            <w:vAlign w:val="bottom"/>
          </w:tcPr>
          <w:p>
            <w:pPr>
              <w:spacing w:after="0"/>
              <w:rPr>
                <w:sz w:val="20"/>
                <w:szCs w:val="20"/>
                <w:color w:val="auto"/>
              </w:rPr>
            </w:pPr>
            <w:r>
              <w:rPr>
                <w:rFonts w:ascii="Arial" w:cs="Arial" w:eastAsia="Arial" w:hAnsi="Arial"/>
                <w:sz w:val="7"/>
                <w:szCs w:val="7"/>
                <w:color w:val="auto"/>
              </w:rPr>
              <w:t>VENEZUELA</w:t>
            </w:r>
          </w:p>
        </w:tc>
        <w:tc>
          <w:tcPr>
            <w:tcW w:w="6840" w:type="dxa"/>
            <w:vAlign w:val="bottom"/>
          </w:tcPr>
          <w:p>
            <w:pPr>
              <w:spacing w:after="0"/>
              <w:rPr>
                <w:sz w:val="9"/>
                <w:szCs w:val="9"/>
                <w:color w:val="auto"/>
              </w:rPr>
            </w:pPr>
          </w:p>
        </w:tc>
        <w:tc>
          <w:tcPr>
            <w:tcW w:w="1720" w:type="dxa"/>
            <w:vAlign w:val="bottom"/>
          </w:tcPr>
          <w:p>
            <w:pPr>
              <w:spacing w:after="0"/>
              <w:rPr>
                <w:sz w:val="9"/>
                <w:szCs w:val="9"/>
                <w:color w:val="auto"/>
              </w:rPr>
            </w:pP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Venezuela Productos, C.A.</w:t>
            </w:r>
          </w:p>
        </w:tc>
        <w:tc>
          <w:tcPr>
            <w:tcW w:w="6840" w:type="dxa"/>
            <w:vAlign w:val="bottom"/>
          </w:tcPr>
          <w:p>
            <w:pPr>
              <w:ind w:left="1040"/>
              <w:spacing w:after="0"/>
              <w:rPr>
                <w:sz w:val="20"/>
                <w:szCs w:val="20"/>
                <w:color w:val="auto"/>
              </w:rPr>
            </w:pPr>
            <w:r>
              <w:rPr>
                <w:rFonts w:ascii="Arial" w:cs="Arial" w:eastAsia="Arial" w:hAnsi="Arial"/>
                <w:sz w:val="7"/>
                <w:szCs w:val="7"/>
                <w:color w:val="auto"/>
              </w:rPr>
              <w:t>Avenida Orinoco, Edificio Centro Empresarial Premium, Piso 2, Oficinas 2-A y 2-B, Urbanización Las Mercedes, Caracas, Distrito Capital, 1060</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Venezuela, S.A.</w:t>
            </w:r>
          </w:p>
        </w:tc>
        <w:tc>
          <w:tcPr>
            <w:tcW w:w="6840" w:type="dxa"/>
            <w:vAlign w:val="bottom"/>
          </w:tcPr>
          <w:p>
            <w:pPr>
              <w:ind w:left="1040"/>
              <w:spacing w:after="0"/>
              <w:rPr>
                <w:sz w:val="20"/>
                <w:szCs w:val="20"/>
                <w:color w:val="auto"/>
              </w:rPr>
            </w:pPr>
            <w:r>
              <w:rPr>
                <w:rFonts w:ascii="Arial" w:cs="Arial" w:eastAsia="Arial" w:hAnsi="Arial"/>
                <w:sz w:val="7"/>
                <w:szCs w:val="7"/>
                <w:color w:val="auto"/>
              </w:rPr>
              <w:t>Avenida Orinoco, Edificio Centro Empresarial Premium, Piso 2, Oficinas 2-A y 2-B, Urbanización Las Mercedes, Caracas, Distrito Capital, 1060</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Sucre Gas, S.A.</w:t>
            </w:r>
          </w:p>
        </w:tc>
        <w:tc>
          <w:tcPr>
            <w:tcW w:w="6840" w:type="dxa"/>
            <w:vAlign w:val="bottom"/>
          </w:tcPr>
          <w:p>
            <w:pPr>
              <w:ind w:left="1040"/>
              <w:spacing w:after="0"/>
              <w:rPr>
                <w:sz w:val="20"/>
                <w:szCs w:val="20"/>
                <w:color w:val="auto"/>
              </w:rPr>
            </w:pPr>
            <w:r>
              <w:rPr>
                <w:rFonts w:ascii="Arial" w:cs="Arial" w:eastAsia="Arial" w:hAnsi="Arial"/>
                <w:sz w:val="7"/>
                <w:szCs w:val="7"/>
                <w:color w:val="auto"/>
              </w:rPr>
              <w:t>Avenida Leonardo Da Vinci, Edificio PDV Servicios, Caracas, Distrito Capital</w:t>
            </w:r>
          </w:p>
        </w:tc>
        <w:tc>
          <w:tcPr>
            <w:tcW w:w="172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108"/>
        </w:trPr>
        <w:tc>
          <w:tcPr>
            <w:tcW w:w="2720" w:type="dxa"/>
            <w:vAlign w:val="bottom"/>
          </w:tcPr>
          <w:p>
            <w:pPr>
              <w:spacing w:after="0"/>
              <w:rPr>
                <w:sz w:val="20"/>
                <w:szCs w:val="20"/>
                <w:color w:val="auto"/>
              </w:rPr>
            </w:pPr>
            <w:r>
              <w:rPr>
                <w:rFonts w:ascii="Arial" w:cs="Arial" w:eastAsia="Arial" w:hAnsi="Arial"/>
                <w:sz w:val="7"/>
                <w:szCs w:val="7"/>
                <w:color w:val="auto"/>
              </w:rPr>
              <w:t>VIETNAM</w:t>
            </w:r>
          </w:p>
        </w:tc>
        <w:tc>
          <w:tcPr>
            <w:tcW w:w="6840" w:type="dxa"/>
            <w:vAlign w:val="bottom"/>
          </w:tcPr>
          <w:p>
            <w:pPr>
              <w:spacing w:after="0"/>
              <w:rPr>
                <w:sz w:val="9"/>
                <w:szCs w:val="9"/>
                <w:color w:val="auto"/>
              </w:rPr>
            </w:pPr>
          </w:p>
        </w:tc>
        <w:tc>
          <w:tcPr>
            <w:tcW w:w="1720" w:type="dxa"/>
            <w:vAlign w:val="bottom"/>
          </w:tcPr>
          <w:p>
            <w:pPr>
              <w:spacing w:after="0"/>
              <w:rPr>
                <w:sz w:val="9"/>
                <w:szCs w:val="9"/>
                <w:color w:val="auto"/>
              </w:rPr>
            </w:pP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Shell Vietnam Ltd</w:t>
            </w:r>
          </w:p>
        </w:tc>
        <w:tc>
          <w:tcPr>
            <w:tcW w:w="6840" w:type="dxa"/>
            <w:vAlign w:val="bottom"/>
          </w:tcPr>
          <w:p>
            <w:pPr>
              <w:ind w:left="1040"/>
              <w:spacing w:after="0"/>
              <w:rPr>
                <w:sz w:val="20"/>
                <w:szCs w:val="20"/>
                <w:color w:val="auto"/>
              </w:rPr>
            </w:pPr>
            <w:r>
              <w:rPr>
                <w:rFonts w:ascii="Arial" w:cs="Arial" w:eastAsia="Arial" w:hAnsi="Arial"/>
                <w:sz w:val="7"/>
                <w:szCs w:val="7"/>
                <w:color w:val="auto"/>
              </w:rPr>
              <w:t>Go Dau Industrial Zone, Phuoc Thai Commune, Long Thanh District, Dong Nai Province</w:t>
            </w:r>
          </w:p>
        </w:tc>
        <w:tc>
          <w:tcPr>
            <w:tcW w:w="1720" w:type="dxa"/>
            <w:vAlign w:val="bottom"/>
          </w:tcPr>
          <w:p>
            <w:pPr>
              <w:jc w:val="right"/>
              <w:spacing w:after="0"/>
              <w:rPr>
                <w:sz w:val="20"/>
                <w:szCs w:val="20"/>
                <w:color w:val="auto"/>
              </w:rPr>
            </w:pPr>
            <w:r>
              <w:rPr>
                <w:rFonts w:ascii="Arial" w:cs="Arial" w:eastAsia="Arial" w:hAnsi="Arial"/>
                <w:sz w:val="7"/>
                <w:szCs w:val="7"/>
                <w:color w:val="auto"/>
              </w:rPr>
              <w:t>100</w:t>
            </w:r>
          </w:p>
        </w:tc>
      </w:tr>
      <w:tr>
        <w:trPr>
          <w:trHeight w:val="108"/>
        </w:trPr>
        <w:tc>
          <w:tcPr>
            <w:tcW w:w="2720" w:type="dxa"/>
            <w:vAlign w:val="bottom"/>
          </w:tcPr>
          <w:p>
            <w:pPr>
              <w:spacing w:after="0"/>
              <w:rPr>
                <w:sz w:val="20"/>
                <w:szCs w:val="20"/>
                <w:color w:val="auto"/>
              </w:rPr>
            </w:pPr>
            <w:r>
              <w:rPr>
                <w:rFonts w:ascii="Arial" w:cs="Arial" w:eastAsia="Arial" w:hAnsi="Arial"/>
                <w:sz w:val="7"/>
                <w:szCs w:val="7"/>
                <w:color w:val="auto"/>
              </w:rPr>
              <w:t>ZIMBABWE</w:t>
            </w:r>
          </w:p>
        </w:tc>
        <w:tc>
          <w:tcPr>
            <w:tcW w:w="6840" w:type="dxa"/>
            <w:vAlign w:val="bottom"/>
          </w:tcPr>
          <w:p>
            <w:pPr>
              <w:spacing w:after="0"/>
              <w:rPr>
                <w:sz w:val="9"/>
                <w:szCs w:val="9"/>
                <w:color w:val="auto"/>
              </w:rPr>
            </w:pPr>
          </w:p>
        </w:tc>
        <w:tc>
          <w:tcPr>
            <w:tcW w:w="1720" w:type="dxa"/>
            <w:vAlign w:val="bottom"/>
          </w:tcPr>
          <w:p>
            <w:pPr>
              <w:spacing w:after="0"/>
              <w:rPr>
                <w:sz w:val="9"/>
                <w:szCs w:val="9"/>
                <w:color w:val="auto"/>
              </w:rPr>
            </w:pPr>
          </w:p>
        </w:tc>
      </w:tr>
      <w:tr>
        <w:trPr>
          <w:trHeight w:val="108"/>
        </w:trPr>
        <w:tc>
          <w:tcPr>
            <w:tcW w:w="2720" w:type="dxa"/>
            <w:vAlign w:val="bottom"/>
          </w:tcPr>
          <w:p>
            <w:pPr>
              <w:ind w:left="80"/>
              <w:spacing w:after="0"/>
              <w:rPr>
                <w:sz w:val="20"/>
                <w:szCs w:val="20"/>
                <w:color w:val="auto"/>
              </w:rPr>
            </w:pPr>
            <w:r>
              <w:rPr>
                <w:rFonts w:ascii="Arial" w:cs="Arial" w:eastAsia="Arial" w:hAnsi="Arial"/>
                <w:sz w:val="7"/>
                <w:szCs w:val="7"/>
                <w:color w:val="auto"/>
              </w:rPr>
              <w:t>Central African Petroleum Refineries (Private) Limited</w:t>
            </w:r>
          </w:p>
        </w:tc>
        <w:tc>
          <w:tcPr>
            <w:tcW w:w="6840" w:type="dxa"/>
            <w:vAlign w:val="bottom"/>
          </w:tcPr>
          <w:p>
            <w:pPr>
              <w:ind w:left="1040"/>
              <w:spacing w:after="0"/>
              <w:rPr>
                <w:sz w:val="20"/>
                <w:szCs w:val="20"/>
                <w:color w:val="auto"/>
              </w:rPr>
            </w:pPr>
            <w:r>
              <w:rPr>
                <w:rFonts w:ascii="Arial" w:cs="Arial" w:eastAsia="Arial" w:hAnsi="Arial"/>
                <w:sz w:val="7"/>
                <w:szCs w:val="7"/>
                <w:color w:val="auto"/>
              </w:rPr>
              <w:t>Block 1, Tendeseka Office Park, CNR Samora Machel Avenue, Renfrew Road, Harare</w:t>
            </w:r>
          </w:p>
        </w:tc>
        <w:tc>
          <w:tcPr>
            <w:tcW w:w="1720" w:type="dxa"/>
            <w:vAlign w:val="bottom"/>
          </w:tcPr>
          <w:p>
            <w:pPr>
              <w:jc w:val="right"/>
              <w:spacing w:after="0"/>
              <w:rPr>
                <w:sz w:val="20"/>
                <w:szCs w:val="20"/>
                <w:color w:val="auto"/>
              </w:rPr>
            </w:pPr>
            <w:r>
              <w:rPr>
                <w:rFonts w:ascii="Arial" w:cs="Arial" w:eastAsia="Arial" w:hAnsi="Arial"/>
                <w:sz w:val="7"/>
                <w:szCs w:val="7"/>
                <w:color w:val="auto"/>
              </w:rPr>
              <w:t>21</w:t>
            </w:r>
          </w:p>
        </w:tc>
      </w:tr>
      <w:tr>
        <w:trPr>
          <w:trHeight w:val="520"/>
        </w:trPr>
        <w:tc>
          <w:tcPr>
            <w:tcW w:w="2720" w:type="dxa"/>
            <w:vAlign w:val="bottom"/>
          </w:tcPr>
          <w:p>
            <w:pPr>
              <w:ind w:left="40"/>
              <w:spacing w:after="0"/>
              <w:rPr>
                <w:sz w:val="20"/>
                <w:szCs w:val="20"/>
                <w:color w:val="auto"/>
              </w:rPr>
            </w:pPr>
            <w:r>
              <w:rPr>
                <w:rFonts w:ascii="Arial" w:cs="Arial" w:eastAsia="Arial" w:hAnsi="Arial"/>
                <w:sz w:val="6"/>
                <w:szCs w:val="6"/>
                <w:color w:val="auto"/>
              </w:rPr>
              <w:t>ADDITIONAL INFORMATION SHELL FORM 20-F 2020</w:t>
            </w:r>
          </w:p>
        </w:tc>
        <w:tc>
          <w:tcPr>
            <w:tcW w:w="6840" w:type="dxa"/>
            <w:vAlign w:val="bottom"/>
          </w:tcPr>
          <w:p>
            <w:pPr>
              <w:ind w:left="2840"/>
              <w:spacing w:after="0"/>
              <w:rPr>
                <w:sz w:val="20"/>
                <w:szCs w:val="20"/>
                <w:color w:val="auto"/>
              </w:rPr>
            </w:pPr>
            <w:r>
              <w:rPr>
                <w:rFonts w:ascii="Arial" w:cs="Arial" w:eastAsia="Arial" w:hAnsi="Arial"/>
                <w:sz w:val="6"/>
                <w:szCs w:val="6"/>
                <w:color w:val="auto"/>
              </w:rPr>
              <w:t>E22</w:t>
            </w:r>
          </w:p>
        </w:tc>
        <w:tc>
          <w:tcPr>
            <w:tcW w:w="1720" w:type="dxa"/>
            <w:vAlign w:val="bottom"/>
          </w:tcPr>
          <w:p>
            <w:pPr>
              <w:spacing w:after="0"/>
              <w:rPr>
                <w:sz w:val="24"/>
                <w:szCs w:val="24"/>
                <w:color w:val="auto"/>
              </w:rPr>
            </w:pPr>
          </w:p>
        </w:tc>
      </w:tr>
    </w:tbl>
    <w:p>
      <w:pPr>
        <w:sectPr>
          <w:pgSz w:w="11900" w:h="16838" w:orient="portrait"/>
          <w:cols w:equalWidth="0" w:num="1">
            <w:col w:w="11280"/>
          </w:cols>
          <w:pgMar w:left="300" w:top="735" w:right="319" w:bottom="1440" w:gutter="0" w:footer="0" w:header="0"/>
        </w:sectPr>
      </w:pPr>
    </w:p>
    <w:bookmarkStart w:id="310" w:name="page311"/>
    <w:bookmarkEnd w:id="310"/>
    <w:p>
      <w:pPr>
        <w:spacing w:after="0"/>
        <w:rPr>
          <w:sz w:val="20"/>
          <w:szCs w:val="20"/>
          <w:color w:val="auto"/>
        </w:rPr>
      </w:pPr>
      <w:r>
        <w:rPr>
          <w:rFonts w:ascii="Arial" w:cs="Arial" w:eastAsia="Arial" w:hAnsi="Arial"/>
          <w:sz w:val="6"/>
          <w:szCs w:val="6"/>
          <w:color w:val="auto"/>
        </w:rPr>
        <w:t>[j] Established by BG Group plc and the BG Trustee in 2013 as part of the funding agreements associated with the BG pension scheme. Under the exemption conferred by Regulation 7 of the Partnerships (Accounts) Regulations 2008, the accounts of this partnership have not been appended to Shell's Consolidated Financial Statements and have not been filed at the Companies House.</w:t>
      </w:r>
    </w:p>
    <w:p>
      <w:pPr>
        <w:sectPr>
          <w:pgSz w:w="11900" w:h="16838" w:orient="portrait"/>
          <w:cols w:equalWidth="0" w:num="1">
            <w:col w:w="11080"/>
          </w:cols>
          <w:pgMar w:left="300" w:top="645" w:right="519" w:bottom="1440" w:gutter="0" w:footer="0" w:header="0"/>
        </w:sect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75"/>
        </w:trPr>
        <w:tc>
          <w:tcPr>
            <w:tcW w:w="348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140" w:type="dxa"/>
            <w:vAlign w:val="bottom"/>
          </w:tcPr>
          <w:p>
            <w:pPr>
              <w:ind w:left="2040"/>
              <w:spacing w:after="0"/>
              <w:rPr>
                <w:sz w:val="20"/>
                <w:szCs w:val="20"/>
                <w:color w:val="auto"/>
              </w:rPr>
            </w:pPr>
            <w:r>
              <w:rPr>
                <w:rFonts w:ascii="Arial" w:cs="Arial" w:eastAsia="Arial" w:hAnsi="Arial"/>
                <w:sz w:val="6"/>
                <w:szCs w:val="6"/>
                <w:color w:val="auto"/>
                <w:w w:val="74"/>
              </w:rPr>
              <w:t>E23</w:t>
            </w:r>
          </w:p>
        </w:tc>
      </w:tr>
    </w:tbl>
    <w:p>
      <w:pPr>
        <w:sectPr>
          <w:pgSz w:w="11900" w:h="16838" w:orient="portrait"/>
          <w:cols w:equalWidth="0" w:num="1">
            <w:col w:w="11080"/>
          </w:cols>
          <w:pgMar w:left="300" w:top="645" w:right="519" w:bottom="1440" w:gutter="0" w:footer="0" w:header="0"/>
          <w:type w:val="continuous"/>
        </w:sectPr>
      </w:pPr>
    </w:p>
    <w:bookmarkStart w:id="311" w:name="page312"/>
    <w:bookmarkEnd w:id="311"/>
    <w:p>
      <w:pPr>
        <w:ind w:left="8"/>
        <w:spacing w:after="0"/>
        <w:rPr>
          <w:sz w:val="20"/>
          <w:szCs w:val="20"/>
          <w:color w:val="auto"/>
        </w:rPr>
      </w:pPr>
      <w:r>
        <w:rPr>
          <w:rFonts w:ascii="Arial" w:cs="Arial" w:eastAsia="Arial" w:hAnsi="Arial"/>
          <w:sz w:val="22"/>
          <w:szCs w:val="22"/>
          <w:color w:val="auto"/>
        </w:rPr>
        <w:t>Exhibit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85750" cy="2286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6">
                      <a:extLst>
                        <a:ext uri="{28A0092B-C50C-407E-A947-70E740481C1C}"/>
                      </a:extLst>
                    </a:blip>
                    <a:srcRect/>
                    <a:stretch>
                      <a:fillRect/>
                    </a:stretch>
                  </pic:blipFill>
                  <pic:spPr bwMode="auto">
                    <a:xfrm>
                      <a:off x="0" y="0"/>
                      <a:ext cx="285750" cy="22860"/>
                    </a:xfrm>
                    <a:prstGeom prst="rect">
                      <a:avLst/>
                    </a:prstGeom>
                    <a:noFill/>
                  </pic:spPr>
                </pic:pic>
              </a:graphicData>
            </a:graphic>
          </wp:anchor>
        </w:drawing>
      </w:r>
    </w:p>
    <w:p>
      <w:pPr>
        <w:spacing w:after="0" w:line="123" w:lineRule="exact"/>
        <w:rPr>
          <w:sz w:val="20"/>
          <w:szCs w:val="20"/>
          <w:color w:val="auto"/>
        </w:rPr>
      </w:pPr>
    </w:p>
    <w:p>
      <w:pPr>
        <w:ind w:left="8"/>
        <w:spacing w:after="0"/>
        <w:rPr>
          <w:sz w:val="20"/>
          <w:szCs w:val="20"/>
          <w:color w:val="auto"/>
        </w:rPr>
      </w:pPr>
      <w:r>
        <w:rPr>
          <w:rFonts w:ascii="Arial" w:cs="Arial" w:eastAsia="Arial" w:hAnsi="Arial"/>
          <w:sz w:val="10"/>
          <w:szCs w:val="10"/>
          <w:color w:val="auto"/>
        </w:rPr>
        <w:t>I, Ben van Beurden, certify that:</w:t>
      </w:r>
    </w:p>
    <w:p>
      <w:pPr>
        <w:spacing w:after="0" w:line="65" w:lineRule="exact"/>
        <w:rPr>
          <w:sz w:val="20"/>
          <w:szCs w:val="20"/>
          <w:color w:val="auto"/>
        </w:rPr>
      </w:pPr>
    </w:p>
    <w:p>
      <w:pPr>
        <w:ind w:left="428" w:hanging="428"/>
        <w:spacing w:after="0"/>
        <w:tabs>
          <w:tab w:leader="none" w:pos="428" w:val="left"/>
        </w:tabs>
        <w:numPr>
          <w:ilvl w:val="0"/>
          <w:numId w:val="213"/>
        </w:numPr>
        <w:rPr>
          <w:rFonts w:ascii="Arial" w:cs="Arial" w:eastAsia="Arial" w:hAnsi="Arial"/>
          <w:sz w:val="10"/>
          <w:szCs w:val="10"/>
          <w:color w:val="auto"/>
        </w:rPr>
      </w:pPr>
      <w:r>
        <w:rPr>
          <w:rFonts w:ascii="Arial" w:cs="Arial" w:eastAsia="Arial" w:hAnsi="Arial"/>
          <w:sz w:val="10"/>
          <w:szCs w:val="10"/>
          <w:color w:val="auto"/>
        </w:rPr>
        <w:t>I have reviewed this annual report on Form 20-F of Royal Dutch Shell plc (the Company);</w:t>
      </w:r>
    </w:p>
    <w:p>
      <w:pPr>
        <w:spacing w:after="0" w:line="65" w:lineRule="exact"/>
        <w:rPr>
          <w:rFonts w:ascii="Arial" w:cs="Arial" w:eastAsia="Arial" w:hAnsi="Arial"/>
          <w:sz w:val="10"/>
          <w:szCs w:val="10"/>
          <w:color w:val="auto"/>
        </w:rPr>
      </w:pPr>
    </w:p>
    <w:p>
      <w:pPr>
        <w:ind w:left="8" w:right="300" w:hanging="8"/>
        <w:spacing w:after="0" w:line="239" w:lineRule="auto"/>
        <w:tabs>
          <w:tab w:leader="none" w:pos="440" w:val="left"/>
        </w:tabs>
        <w:numPr>
          <w:ilvl w:val="0"/>
          <w:numId w:val="213"/>
        </w:numPr>
        <w:rPr>
          <w:rFonts w:ascii="Arial" w:cs="Arial" w:eastAsia="Arial" w:hAnsi="Arial"/>
          <w:sz w:val="10"/>
          <w:szCs w:val="10"/>
          <w:color w:val="auto"/>
        </w:rPr>
      </w:pPr>
      <w:r>
        <w:rPr>
          <w:rFonts w:ascii="Arial" w:cs="Arial" w:eastAsia="Arial" w:hAnsi="Arial"/>
          <w:sz w:val="10"/>
          <w:szCs w:val="1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0"/>
          <w:szCs w:val="10"/>
          <w:color w:val="auto"/>
        </w:rPr>
      </w:pPr>
    </w:p>
    <w:p>
      <w:pPr>
        <w:ind w:left="428" w:hanging="428"/>
        <w:spacing w:after="0"/>
        <w:tabs>
          <w:tab w:leader="none" w:pos="428" w:val="left"/>
        </w:tabs>
        <w:numPr>
          <w:ilvl w:val="0"/>
          <w:numId w:val="213"/>
        </w:numPr>
        <w:rPr>
          <w:rFonts w:ascii="Arial" w:cs="Arial" w:eastAsia="Arial" w:hAnsi="Arial"/>
          <w:sz w:val="8"/>
          <w:szCs w:val="8"/>
          <w:color w:val="auto"/>
        </w:rPr>
      </w:pPr>
      <w:r>
        <w:rPr>
          <w:rFonts w:ascii="Arial" w:cs="Arial" w:eastAsia="Arial" w:hAnsi="Arial"/>
          <w:sz w:val="8"/>
          <w:szCs w:val="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8" w:lineRule="exact"/>
        <w:rPr>
          <w:rFonts w:ascii="Arial" w:cs="Arial" w:eastAsia="Arial" w:hAnsi="Arial"/>
          <w:sz w:val="8"/>
          <w:szCs w:val="8"/>
          <w:color w:val="auto"/>
        </w:rPr>
      </w:pPr>
    </w:p>
    <w:p>
      <w:pPr>
        <w:ind w:left="8" w:right="120" w:hanging="8"/>
        <w:spacing w:after="0" w:line="239" w:lineRule="auto"/>
        <w:tabs>
          <w:tab w:leader="none" w:pos="440" w:val="left"/>
        </w:tabs>
        <w:numPr>
          <w:ilvl w:val="0"/>
          <w:numId w:val="213"/>
        </w:numPr>
        <w:rPr>
          <w:rFonts w:ascii="Arial" w:cs="Arial" w:eastAsia="Arial" w:hAnsi="Arial"/>
          <w:sz w:val="10"/>
          <w:szCs w:val="10"/>
          <w:color w:val="auto"/>
        </w:rPr>
      </w:pPr>
      <w:r>
        <w:rPr>
          <w:rFonts w:ascii="Arial" w:cs="Arial" w:eastAsia="Arial" w:hAnsi="Arial"/>
          <w:sz w:val="10"/>
          <w:szCs w:val="10"/>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3" w:lineRule="exact"/>
        <w:rPr>
          <w:rFonts w:ascii="Arial" w:cs="Arial" w:eastAsia="Arial" w:hAnsi="Arial"/>
          <w:sz w:val="10"/>
          <w:szCs w:val="10"/>
          <w:color w:val="auto"/>
        </w:rPr>
      </w:pPr>
    </w:p>
    <w:p>
      <w:pPr>
        <w:ind w:left="428" w:right="200" w:hanging="212"/>
        <w:spacing w:after="0" w:line="257" w:lineRule="auto"/>
        <w:tabs>
          <w:tab w:leader="none" w:pos="438" w:val="left"/>
        </w:tabs>
        <w:numPr>
          <w:ilvl w:val="1"/>
          <w:numId w:val="213"/>
        </w:numPr>
        <w:rPr>
          <w:rFonts w:ascii="Arial" w:cs="Arial" w:eastAsia="Arial" w:hAnsi="Arial"/>
          <w:sz w:val="10"/>
          <w:szCs w:val="10"/>
          <w:color w:val="auto"/>
        </w:rPr>
      </w:pPr>
      <w:r>
        <w:rPr>
          <w:rFonts w:ascii="Arial" w:cs="Arial" w:eastAsia="Arial" w:hAnsi="Arial"/>
          <w:sz w:val="10"/>
          <w:szCs w:val="10"/>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 w:lineRule="exact"/>
        <w:rPr>
          <w:rFonts w:ascii="Arial" w:cs="Arial" w:eastAsia="Arial" w:hAnsi="Arial"/>
          <w:sz w:val="10"/>
          <w:szCs w:val="10"/>
          <w:color w:val="auto"/>
        </w:rPr>
      </w:pPr>
    </w:p>
    <w:p>
      <w:pPr>
        <w:ind w:left="428" w:right="320" w:hanging="212"/>
        <w:spacing w:after="0" w:line="257" w:lineRule="auto"/>
        <w:tabs>
          <w:tab w:leader="none" w:pos="444" w:val="left"/>
        </w:tabs>
        <w:numPr>
          <w:ilvl w:val="1"/>
          <w:numId w:val="213"/>
        </w:numPr>
        <w:rPr>
          <w:rFonts w:ascii="Arial" w:cs="Arial" w:eastAsia="Arial" w:hAnsi="Arial"/>
          <w:sz w:val="10"/>
          <w:szCs w:val="10"/>
          <w:color w:val="auto"/>
        </w:rPr>
      </w:pPr>
      <w:r>
        <w:rPr>
          <w:rFonts w:ascii="Arial" w:cs="Arial" w:eastAsia="Arial" w:hAnsi="Arial"/>
          <w:sz w:val="10"/>
          <w:szCs w:val="1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 w:lineRule="exact"/>
        <w:rPr>
          <w:rFonts w:ascii="Arial" w:cs="Arial" w:eastAsia="Arial" w:hAnsi="Arial"/>
          <w:sz w:val="10"/>
          <w:szCs w:val="10"/>
          <w:color w:val="auto"/>
        </w:rPr>
      </w:pPr>
    </w:p>
    <w:p>
      <w:pPr>
        <w:ind w:left="448" w:hanging="232"/>
        <w:spacing w:after="0"/>
        <w:tabs>
          <w:tab w:leader="none" w:pos="448" w:val="left"/>
        </w:tabs>
        <w:numPr>
          <w:ilvl w:val="1"/>
          <w:numId w:val="213"/>
        </w:numPr>
        <w:rPr>
          <w:rFonts w:ascii="Arial" w:cs="Arial" w:eastAsia="Arial" w:hAnsi="Arial"/>
          <w:sz w:val="8"/>
          <w:szCs w:val="8"/>
          <w:color w:val="auto"/>
        </w:rPr>
      </w:pPr>
      <w:r>
        <w:rPr>
          <w:rFonts w:ascii="Arial" w:cs="Arial" w:eastAsia="Arial" w:hAnsi="Arial"/>
          <w:sz w:val="8"/>
          <w:szCs w:val="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8"/>
          <w:szCs w:val="8"/>
          <w:color w:val="auto"/>
        </w:rPr>
      </w:pPr>
    </w:p>
    <w:p>
      <w:pPr>
        <w:ind w:left="428" w:hanging="212"/>
        <w:spacing w:after="0" w:line="257" w:lineRule="auto"/>
        <w:tabs>
          <w:tab w:leader="none" w:pos="444" w:val="left"/>
        </w:tabs>
        <w:numPr>
          <w:ilvl w:val="1"/>
          <w:numId w:val="213"/>
        </w:numPr>
        <w:rPr>
          <w:rFonts w:ascii="Arial" w:cs="Arial" w:eastAsia="Arial" w:hAnsi="Arial"/>
          <w:sz w:val="10"/>
          <w:szCs w:val="10"/>
          <w:color w:val="auto"/>
        </w:rPr>
      </w:pPr>
      <w:r>
        <w:rPr>
          <w:rFonts w:ascii="Arial" w:cs="Arial" w:eastAsia="Arial" w:hAnsi="Arial"/>
          <w:sz w:val="10"/>
          <w:szCs w:val="1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0" w:lineRule="exact"/>
        <w:rPr>
          <w:rFonts w:ascii="Arial" w:cs="Arial" w:eastAsia="Arial" w:hAnsi="Arial"/>
          <w:sz w:val="10"/>
          <w:szCs w:val="10"/>
          <w:color w:val="auto"/>
        </w:rPr>
      </w:pPr>
    </w:p>
    <w:p>
      <w:pPr>
        <w:ind w:left="428" w:hanging="428"/>
        <w:spacing w:after="0"/>
        <w:tabs>
          <w:tab w:leader="none" w:pos="428" w:val="left"/>
        </w:tabs>
        <w:numPr>
          <w:ilvl w:val="0"/>
          <w:numId w:val="213"/>
        </w:numPr>
        <w:rPr>
          <w:rFonts w:ascii="Arial" w:cs="Arial" w:eastAsia="Arial" w:hAnsi="Arial"/>
          <w:sz w:val="8"/>
          <w:szCs w:val="8"/>
          <w:color w:val="auto"/>
        </w:rPr>
      </w:pPr>
      <w:r>
        <w:rPr>
          <w:rFonts w:ascii="Arial" w:cs="Arial" w:eastAsia="Arial" w:hAnsi="Arial"/>
          <w:sz w:val="8"/>
          <w:szCs w:val="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2" w:lineRule="exact"/>
        <w:rPr>
          <w:rFonts w:ascii="Arial" w:cs="Arial" w:eastAsia="Arial" w:hAnsi="Arial"/>
          <w:sz w:val="8"/>
          <w:szCs w:val="8"/>
          <w:color w:val="auto"/>
        </w:rPr>
      </w:pPr>
    </w:p>
    <w:p>
      <w:pPr>
        <w:ind w:left="448" w:hanging="232"/>
        <w:spacing w:after="0"/>
        <w:tabs>
          <w:tab w:leader="none" w:pos="448" w:val="left"/>
        </w:tabs>
        <w:numPr>
          <w:ilvl w:val="1"/>
          <w:numId w:val="213"/>
        </w:numPr>
        <w:rPr>
          <w:rFonts w:ascii="Arial" w:cs="Arial" w:eastAsia="Arial" w:hAnsi="Arial"/>
          <w:sz w:val="8"/>
          <w:szCs w:val="8"/>
          <w:color w:val="auto"/>
        </w:rPr>
      </w:pPr>
      <w:r>
        <w:rPr>
          <w:rFonts w:ascii="Arial" w:cs="Arial" w:eastAsia="Arial" w:hAnsi="Arial"/>
          <w:sz w:val="8"/>
          <w:szCs w:val="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2" w:lineRule="exact"/>
        <w:rPr>
          <w:rFonts w:ascii="Arial" w:cs="Arial" w:eastAsia="Arial" w:hAnsi="Arial"/>
          <w:sz w:val="8"/>
          <w:szCs w:val="8"/>
          <w:color w:val="auto"/>
        </w:rPr>
      </w:pPr>
    </w:p>
    <w:p>
      <w:pPr>
        <w:ind w:left="448" w:hanging="232"/>
        <w:spacing w:after="0"/>
        <w:tabs>
          <w:tab w:leader="none" w:pos="448" w:val="left"/>
        </w:tabs>
        <w:numPr>
          <w:ilvl w:val="1"/>
          <w:numId w:val="213"/>
        </w:numPr>
        <w:rPr>
          <w:rFonts w:ascii="Arial" w:cs="Arial" w:eastAsia="Arial" w:hAnsi="Arial"/>
          <w:sz w:val="10"/>
          <w:szCs w:val="10"/>
          <w:color w:val="auto"/>
        </w:rPr>
      </w:pPr>
      <w:r>
        <w:rPr>
          <w:rFonts w:ascii="Arial" w:cs="Arial" w:eastAsia="Arial" w:hAnsi="Arial"/>
          <w:sz w:val="10"/>
          <w:szCs w:val="10"/>
          <w:color w:val="auto"/>
        </w:rPr>
        <w:t>Any fraud, whether or not material, that involves management or other employees who have a significant role in the Company’s internal control over financial reporting.</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0"/>
          <w:szCs w:val="10"/>
          <w:color w:val="auto"/>
        </w:rPr>
        <w:t>/s/ Ben van Beurden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394460" cy="571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7">
                      <a:extLst>
                        <a:ext uri="{28A0092B-C50C-407E-A947-70E740481C1C}"/>
                      </a:extLst>
                    </a:blip>
                    <a:srcRect/>
                    <a:stretch>
                      <a:fillRect/>
                    </a:stretch>
                  </pic:blipFill>
                  <pic:spPr bwMode="auto">
                    <a:xfrm>
                      <a:off x="0" y="0"/>
                      <a:ext cx="1394460" cy="5715"/>
                    </a:xfrm>
                    <a:prstGeom prst="rect">
                      <a:avLst/>
                    </a:prstGeom>
                    <a:noFill/>
                  </pic:spPr>
                </pic:pic>
              </a:graphicData>
            </a:graphic>
          </wp:anchor>
        </w:drawing>
      </w:r>
    </w:p>
    <w:p>
      <w:pPr>
        <w:spacing w:after="0" w:line="144" w:lineRule="exact"/>
        <w:rPr>
          <w:sz w:val="20"/>
          <w:szCs w:val="20"/>
          <w:color w:val="auto"/>
        </w:rPr>
      </w:pPr>
    </w:p>
    <w:p>
      <w:pPr>
        <w:ind w:left="8"/>
        <w:spacing w:after="0"/>
        <w:rPr>
          <w:sz w:val="20"/>
          <w:szCs w:val="20"/>
          <w:color w:val="auto"/>
        </w:rPr>
      </w:pPr>
      <w:r>
        <w:rPr>
          <w:rFonts w:ascii="Arial" w:cs="Arial" w:eastAsia="Arial" w:hAnsi="Arial"/>
          <w:sz w:val="10"/>
          <w:szCs w:val="10"/>
          <w:color w:val="auto"/>
        </w:rPr>
        <w:t>Ben van Beurden</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0"/>
          <w:szCs w:val="10"/>
          <w:color w:val="auto"/>
        </w:rPr>
        <w:t>Chief Executive Officer</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0"/>
          <w:szCs w:val="10"/>
          <w:color w:val="auto"/>
        </w:rPr>
        <w:t>March 10, 2021</w:t>
      </w:r>
    </w:p>
    <w:p>
      <w:pPr>
        <w:spacing w:after="0" w:line="200" w:lineRule="exact"/>
        <w:rPr>
          <w:sz w:val="20"/>
          <w:szCs w:val="20"/>
          <w:color w:val="auto"/>
        </w:rPr>
      </w:pPr>
    </w:p>
    <w:p>
      <w:pPr>
        <w:spacing w:after="0" w:line="237" w:lineRule="exact"/>
        <w:rPr>
          <w:sz w:val="20"/>
          <w:szCs w:val="20"/>
          <w:color w:val="auto"/>
        </w:rPr>
      </w:pPr>
    </w:p>
    <w:tbl>
      <w:tblPr>
        <w:tblLayout w:type="fixed"/>
        <w:tblInd w:w="48" w:type="dxa"/>
        <w:tblCellMar>
          <w:top w:w="0" w:type="dxa"/>
          <w:left w:w="0" w:type="dxa"/>
          <w:bottom w:w="0" w:type="dxa"/>
          <w:right w:w="0" w:type="dxa"/>
        </w:tblCellMar>
      </w:tblPr>
      <w:tr>
        <w:trPr>
          <w:trHeight w:val="81"/>
        </w:trPr>
        <w:tc>
          <w:tcPr>
            <w:tcW w:w="352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060" w:type="dxa"/>
            <w:vAlign w:val="bottom"/>
          </w:tcPr>
          <w:p>
            <w:pPr>
              <w:jc w:val="right"/>
              <w:spacing w:after="0"/>
              <w:rPr>
                <w:rFonts w:ascii="Arial" w:cs="Arial" w:eastAsia="Arial" w:hAnsi="Arial"/>
                <w:sz w:val="6"/>
                <w:szCs w:val="6"/>
                <w:u w:val="single" w:color="auto"/>
                <w:color w:val="0000FF"/>
              </w:rPr>
            </w:pPr>
            <w:hyperlink w:anchor="page312">
              <w:r>
                <w:rPr>
                  <w:rFonts w:ascii="Arial" w:cs="Arial" w:eastAsia="Arial" w:hAnsi="Arial"/>
                  <w:sz w:val="6"/>
                  <w:szCs w:val="6"/>
                  <w:u w:val="single" w:color="auto"/>
                  <w:color w:val="0000FF"/>
                </w:rPr>
                <w:t>1</w:t>
              </w:r>
            </w:hyperlink>
          </w:p>
        </w:tc>
      </w:tr>
    </w:tbl>
    <w:p>
      <w:pPr>
        <w:sectPr>
          <w:pgSz w:w="11900" w:h="16838" w:orient="portrait"/>
          <w:cols w:equalWidth="0" w:num="1">
            <w:col w:w="11288"/>
          </w:cols>
          <w:pgMar w:left="292" w:top="865" w:right="319" w:bottom="1440" w:gutter="0" w:footer="0" w:header="0"/>
        </w:sectPr>
      </w:pPr>
    </w:p>
    <w:bookmarkStart w:id="312" w:name="page313"/>
    <w:bookmarkEnd w:id="312"/>
    <w:p>
      <w:pPr>
        <w:ind w:left="8"/>
        <w:spacing w:after="0"/>
        <w:rPr>
          <w:sz w:val="20"/>
          <w:szCs w:val="20"/>
          <w:color w:val="auto"/>
        </w:rPr>
      </w:pPr>
      <w:r>
        <w:rPr>
          <w:rFonts w:ascii="Arial" w:cs="Arial" w:eastAsia="Arial" w:hAnsi="Arial"/>
          <w:sz w:val="22"/>
          <w:szCs w:val="22"/>
          <w:color w:val="auto"/>
        </w:rPr>
        <w:t>Exhibit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80035" cy="2286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8">
                      <a:extLst>
                        <a:ext uri="{28A0092B-C50C-407E-A947-70E740481C1C}"/>
                      </a:extLst>
                    </a:blip>
                    <a:srcRect/>
                    <a:stretch>
                      <a:fillRect/>
                    </a:stretch>
                  </pic:blipFill>
                  <pic:spPr bwMode="auto">
                    <a:xfrm>
                      <a:off x="0" y="0"/>
                      <a:ext cx="280035" cy="22860"/>
                    </a:xfrm>
                    <a:prstGeom prst="rect">
                      <a:avLst/>
                    </a:prstGeom>
                    <a:noFill/>
                  </pic:spPr>
                </pic:pic>
              </a:graphicData>
            </a:graphic>
          </wp:anchor>
        </w:drawing>
      </w:r>
    </w:p>
    <w:p>
      <w:pPr>
        <w:spacing w:after="0" w:line="69" w:lineRule="exact"/>
        <w:rPr>
          <w:sz w:val="20"/>
          <w:szCs w:val="20"/>
          <w:color w:val="auto"/>
        </w:rPr>
      </w:pPr>
    </w:p>
    <w:p>
      <w:pPr>
        <w:ind w:left="8"/>
        <w:spacing w:after="0"/>
        <w:rPr>
          <w:sz w:val="20"/>
          <w:szCs w:val="20"/>
          <w:color w:val="auto"/>
        </w:rPr>
      </w:pPr>
      <w:r>
        <w:rPr>
          <w:rFonts w:ascii="Arial" w:cs="Arial" w:eastAsia="Arial" w:hAnsi="Arial"/>
          <w:sz w:val="10"/>
          <w:szCs w:val="10"/>
          <w:color w:val="auto"/>
        </w:rPr>
        <w:t>I, Jessica Uhl, certify that:</w:t>
      </w:r>
    </w:p>
    <w:p>
      <w:pPr>
        <w:spacing w:after="0" w:line="155" w:lineRule="exact"/>
        <w:rPr>
          <w:sz w:val="20"/>
          <w:szCs w:val="20"/>
          <w:color w:val="auto"/>
        </w:rPr>
      </w:pPr>
    </w:p>
    <w:p>
      <w:pPr>
        <w:ind w:left="428" w:hanging="428"/>
        <w:spacing w:after="0"/>
        <w:tabs>
          <w:tab w:leader="none" w:pos="428" w:val="left"/>
        </w:tabs>
        <w:numPr>
          <w:ilvl w:val="0"/>
          <w:numId w:val="214"/>
        </w:numPr>
        <w:rPr>
          <w:rFonts w:ascii="Arial" w:cs="Arial" w:eastAsia="Arial" w:hAnsi="Arial"/>
          <w:sz w:val="10"/>
          <w:szCs w:val="10"/>
          <w:color w:val="auto"/>
        </w:rPr>
      </w:pPr>
      <w:r>
        <w:rPr>
          <w:rFonts w:ascii="Arial" w:cs="Arial" w:eastAsia="Arial" w:hAnsi="Arial"/>
          <w:sz w:val="10"/>
          <w:szCs w:val="10"/>
          <w:color w:val="auto"/>
        </w:rPr>
        <w:t>I have reviewed this annual report on Form 20-F of Royal Dutch Shell plc (the Company);</w:t>
      </w:r>
    </w:p>
    <w:p>
      <w:pPr>
        <w:spacing w:after="0" w:line="155" w:lineRule="exact"/>
        <w:rPr>
          <w:rFonts w:ascii="Arial" w:cs="Arial" w:eastAsia="Arial" w:hAnsi="Arial"/>
          <w:sz w:val="10"/>
          <w:szCs w:val="10"/>
          <w:color w:val="auto"/>
        </w:rPr>
      </w:pPr>
    </w:p>
    <w:p>
      <w:pPr>
        <w:ind w:left="8" w:right="300" w:hanging="8"/>
        <w:spacing w:after="0" w:line="239" w:lineRule="auto"/>
        <w:tabs>
          <w:tab w:leader="none" w:pos="440" w:val="left"/>
        </w:tabs>
        <w:numPr>
          <w:ilvl w:val="0"/>
          <w:numId w:val="214"/>
        </w:numPr>
        <w:rPr>
          <w:rFonts w:ascii="Arial" w:cs="Arial" w:eastAsia="Arial" w:hAnsi="Arial"/>
          <w:sz w:val="10"/>
          <w:szCs w:val="10"/>
          <w:color w:val="auto"/>
        </w:rPr>
      </w:pPr>
      <w:r>
        <w:rPr>
          <w:rFonts w:ascii="Arial" w:cs="Arial" w:eastAsia="Arial" w:hAnsi="Arial"/>
          <w:sz w:val="10"/>
          <w:szCs w:val="1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0"/>
          <w:szCs w:val="10"/>
          <w:color w:val="auto"/>
        </w:rPr>
      </w:pPr>
    </w:p>
    <w:p>
      <w:pPr>
        <w:ind w:left="428" w:hanging="428"/>
        <w:spacing w:after="0"/>
        <w:tabs>
          <w:tab w:leader="none" w:pos="428" w:val="left"/>
        </w:tabs>
        <w:numPr>
          <w:ilvl w:val="0"/>
          <w:numId w:val="214"/>
        </w:numPr>
        <w:rPr>
          <w:rFonts w:ascii="Arial" w:cs="Arial" w:eastAsia="Arial" w:hAnsi="Arial"/>
          <w:sz w:val="8"/>
          <w:szCs w:val="8"/>
          <w:color w:val="auto"/>
        </w:rPr>
      </w:pPr>
      <w:r>
        <w:rPr>
          <w:rFonts w:ascii="Arial" w:cs="Arial" w:eastAsia="Arial" w:hAnsi="Arial"/>
          <w:sz w:val="8"/>
          <w:szCs w:val="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8" w:lineRule="exact"/>
        <w:rPr>
          <w:rFonts w:ascii="Arial" w:cs="Arial" w:eastAsia="Arial" w:hAnsi="Arial"/>
          <w:sz w:val="8"/>
          <w:szCs w:val="8"/>
          <w:color w:val="auto"/>
        </w:rPr>
      </w:pPr>
    </w:p>
    <w:p>
      <w:pPr>
        <w:ind w:left="8" w:right="120" w:hanging="8"/>
        <w:spacing w:after="0" w:line="239" w:lineRule="auto"/>
        <w:tabs>
          <w:tab w:leader="none" w:pos="440" w:val="left"/>
        </w:tabs>
        <w:numPr>
          <w:ilvl w:val="0"/>
          <w:numId w:val="214"/>
        </w:numPr>
        <w:rPr>
          <w:rFonts w:ascii="Arial" w:cs="Arial" w:eastAsia="Arial" w:hAnsi="Arial"/>
          <w:sz w:val="10"/>
          <w:szCs w:val="10"/>
          <w:color w:val="auto"/>
        </w:rPr>
      </w:pPr>
      <w:r>
        <w:rPr>
          <w:rFonts w:ascii="Arial" w:cs="Arial" w:eastAsia="Arial" w:hAnsi="Arial"/>
          <w:sz w:val="10"/>
          <w:szCs w:val="10"/>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8" w:lineRule="exact"/>
        <w:rPr>
          <w:rFonts w:ascii="Arial" w:cs="Arial" w:eastAsia="Arial" w:hAnsi="Arial"/>
          <w:sz w:val="10"/>
          <w:szCs w:val="10"/>
          <w:color w:val="auto"/>
        </w:rPr>
      </w:pPr>
    </w:p>
    <w:p>
      <w:pPr>
        <w:ind w:left="428" w:hanging="212"/>
        <w:spacing w:after="0" w:line="233" w:lineRule="auto"/>
        <w:tabs>
          <w:tab w:leader="none" w:pos="426" w:val="left"/>
        </w:tabs>
        <w:numPr>
          <w:ilvl w:val="1"/>
          <w:numId w:val="214"/>
        </w:numPr>
        <w:rPr>
          <w:rFonts w:ascii="Arial" w:cs="Arial" w:eastAsia="Arial" w:hAnsi="Arial"/>
          <w:sz w:val="10"/>
          <w:szCs w:val="10"/>
          <w:color w:val="auto"/>
        </w:rPr>
      </w:pPr>
      <w:r>
        <w:rPr>
          <w:rFonts w:ascii="Arial" w:cs="Arial" w:eastAsia="Arial" w:hAnsi="Arial"/>
          <w:sz w:val="10"/>
          <w:szCs w:val="10"/>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ind w:left="428" w:hanging="212"/>
        <w:spacing w:after="0" w:line="225" w:lineRule="auto"/>
        <w:tabs>
          <w:tab w:leader="none" w:pos="423" w:val="left"/>
        </w:tabs>
        <w:numPr>
          <w:ilvl w:val="1"/>
          <w:numId w:val="214"/>
        </w:numPr>
        <w:rPr>
          <w:rFonts w:ascii="Arial" w:cs="Arial" w:eastAsia="Arial" w:hAnsi="Arial"/>
          <w:sz w:val="10"/>
          <w:szCs w:val="10"/>
          <w:color w:val="auto"/>
        </w:rPr>
      </w:pPr>
      <w:r>
        <w:rPr>
          <w:rFonts w:ascii="Arial" w:cs="Arial" w:eastAsia="Arial" w:hAnsi="Arial"/>
          <w:sz w:val="10"/>
          <w:szCs w:val="1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428" w:hanging="212"/>
        <w:spacing w:after="0"/>
        <w:tabs>
          <w:tab w:leader="none" w:pos="428" w:val="left"/>
        </w:tabs>
        <w:numPr>
          <w:ilvl w:val="1"/>
          <w:numId w:val="214"/>
        </w:numPr>
        <w:rPr>
          <w:rFonts w:ascii="Arial" w:cs="Arial" w:eastAsia="Arial" w:hAnsi="Arial"/>
          <w:sz w:val="8"/>
          <w:szCs w:val="8"/>
          <w:color w:val="auto"/>
        </w:rPr>
      </w:pPr>
      <w:r>
        <w:rPr>
          <w:rFonts w:ascii="Arial" w:cs="Arial" w:eastAsia="Arial" w:hAnsi="Arial"/>
          <w:sz w:val="8"/>
          <w:szCs w:val="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8"/>
          <w:szCs w:val="8"/>
          <w:color w:val="auto"/>
        </w:rPr>
      </w:pPr>
    </w:p>
    <w:p>
      <w:pPr>
        <w:ind w:left="428" w:right="20" w:hanging="212"/>
        <w:spacing w:after="0" w:line="231" w:lineRule="auto"/>
        <w:tabs>
          <w:tab w:leader="none" w:pos="423" w:val="left"/>
        </w:tabs>
        <w:numPr>
          <w:ilvl w:val="1"/>
          <w:numId w:val="214"/>
        </w:numPr>
        <w:rPr>
          <w:rFonts w:ascii="Arial" w:cs="Arial" w:eastAsia="Arial" w:hAnsi="Arial"/>
          <w:sz w:val="10"/>
          <w:szCs w:val="10"/>
          <w:color w:val="auto"/>
        </w:rPr>
      </w:pPr>
      <w:r>
        <w:rPr>
          <w:rFonts w:ascii="Arial" w:cs="Arial" w:eastAsia="Arial" w:hAnsi="Arial"/>
          <w:sz w:val="10"/>
          <w:szCs w:val="1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8" w:lineRule="exact"/>
        <w:rPr>
          <w:rFonts w:ascii="Arial" w:cs="Arial" w:eastAsia="Arial" w:hAnsi="Arial"/>
          <w:sz w:val="10"/>
          <w:szCs w:val="10"/>
          <w:color w:val="auto"/>
        </w:rPr>
      </w:pPr>
    </w:p>
    <w:p>
      <w:pPr>
        <w:ind w:left="428" w:hanging="428"/>
        <w:spacing w:after="0"/>
        <w:tabs>
          <w:tab w:leader="none" w:pos="428" w:val="left"/>
        </w:tabs>
        <w:numPr>
          <w:ilvl w:val="0"/>
          <w:numId w:val="214"/>
        </w:numPr>
        <w:rPr>
          <w:rFonts w:ascii="Arial" w:cs="Arial" w:eastAsia="Arial" w:hAnsi="Arial"/>
          <w:sz w:val="8"/>
          <w:szCs w:val="8"/>
          <w:color w:val="auto"/>
        </w:rPr>
      </w:pPr>
      <w:r>
        <w:rPr>
          <w:rFonts w:ascii="Arial" w:cs="Arial" w:eastAsia="Arial" w:hAnsi="Arial"/>
          <w:sz w:val="8"/>
          <w:szCs w:val="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8" w:lineRule="exact"/>
        <w:rPr>
          <w:rFonts w:ascii="Arial" w:cs="Arial" w:eastAsia="Arial" w:hAnsi="Arial"/>
          <w:sz w:val="8"/>
          <w:szCs w:val="8"/>
          <w:color w:val="auto"/>
        </w:rPr>
      </w:pPr>
    </w:p>
    <w:p>
      <w:pPr>
        <w:ind w:left="428" w:hanging="212"/>
        <w:spacing w:after="0"/>
        <w:tabs>
          <w:tab w:leader="none" w:pos="428" w:val="left"/>
        </w:tabs>
        <w:numPr>
          <w:ilvl w:val="1"/>
          <w:numId w:val="214"/>
        </w:numPr>
        <w:rPr>
          <w:rFonts w:ascii="Arial" w:cs="Arial" w:eastAsia="Arial" w:hAnsi="Arial"/>
          <w:sz w:val="8"/>
          <w:szCs w:val="8"/>
          <w:color w:val="auto"/>
        </w:rPr>
      </w:pPr>
      <w:r>
        <w:rPr>
          <w:rFonts w:ascii="Arial" w:cs="Arial" w:eastAsia="Arial" w:hAnsi="Arial"/>
          <w:sz w:val="8"/>
          <w:szCs w:val="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4" w:lineRule="exact"/>
        <w:rPr>
          <w:rFonts w:ascii="Arial" w:cs="Arial" w:eastAsia="Arial" w:hAnsi="Arial"/>
          <w:sz w:val="8"/>
          <w:szCs w:val="8"/>
          <w:color w:val="auto"/>
        </w:rPr>
      </w:pPr>
    </w:p>
    <w:p>
      <w:pPr>
        <w:ind w:left="428" w:hanging="212"/>
        <w:spacing w:after="0" w:line="236" w:lineRule="auto"/>
        <w:tabs>
          <w:tab w:leader="none" w:pos="428" w:val="left"/>
        </w:tabs>
        <w:numPr>
          <w:ilvl w:val="1"/>
          <w:numId w:val="214"/>
        </w:numPr>
        <w:rPr>
          <w:rFonts w:ascii="Arial" w:cs="Arial" w:eastAsia="Arial" w:hAnsi="Arial"/>
          <w:sz w:val="10"/>
          <w:szCs w:val="10"/>
          <w:color w:val="auto"/>
        </w:rPr>
      </w:pPr>
      <w:r>
        <w:rPr>
          <w:rFonts w:ascii="Arial" w:cs="Arial" w:eastAsia="Arial" w:hAnsi="Arial"/>
          <w:sz w:val="10"/>
          <w:szCs w:val="10"/>
          <w:color w:val="auto"/>
        </w:rPr>
        <w:t>Any fraud, whether or not material, that involves management or other employees who have a significant role in the Company’s internal control over financial reporting.</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0"/>
          <w:szCs w:val="10"/>
          <w:color w:val="auto"/>
        </w:rPr>
        <w:t>/s/ Jessica Uhl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434465" cy="571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9">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144" w:lineRule="exact"/>
        <w:rPr>
          <w:sz w:val="20"/>
          <w:szCs w:val="20"/>
          <w:color w:val="auto"/>
        </w:rPr>
      </w:pPr>
    </w:p>
    <w:p>
      <w:pPr>
        <w:ind w:left="8"/>
        <w:spacing w:after="0"/>
        <w:rPr>
          <w:sz w:val="20"/>
          <w:szCs w:val="20"/>
          <w:color w:val="auto"/>
        </w:rPr>
      </w:pPr>
      <w:r>
        <w:rPr>
          <w:rFonts w:ascii="Arial" w:cs="Arial" w:eastAsia="Arial" w:hAnsi="Arial"/>
          <w:sz w:val="10"/>
          <w:szCs w:val="10"/>
          <w:color w:val="auto"/>
        </w:rPr>
        <w:t>Jessica Uhl</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0"/>
          <w:szCs w:val="10"/>
          <w:color w:val="auto"/>
        </w:rPr>
        <w:t>Chief Financial Officer</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0"/>
          <w:szCs w:val="10"/>
          <w:color w:val="auto"/>
        </w:rPr>
        <w:t>March 10, 2021</w:t>
      </w:r>
    </w:p>
    <w:p>
      <w:pPr>
        <w:spacing w:after="0" w:line="200" w:lineRule="exact"/>
        <w:rPr>
          <w:sz w:val="20"/>
          <w:szCs w:val="20"/>
          <w:color w:val="auto"/>
        </w:rPr>
      </w:pPr>
    </w:p>
    <w:p>
      <w:pPr>
        <w:spacing w:after="0" w:line="243" w:lineRule="exact"/>
        <w:rPr>
          <w:sz w:val="20"/>
          <w:szCs w:val="20"/>
          <w:color w:val="auto"/>
        </w:rPr>
      </w:pPr>
    </w:p>
    <w:tbl>
      <w:tblPr>
        <w:tblLayout w:type="fixed"/>
        <w:tblInd w:w="48" w:type="dxa"/>
        <w:tblCellMar>
          <w:top w:w="0" w:type="dxa"/>
          <w:left w:w="0" w:type="dxa"/>
          <w:bottom w:w="0" w:type="dxa"/>
          <w:right w:w="0" w:type="dxa"/>
        </w:tblCellMar>
      </w:tblPr>
      <w:tr>
        <w:trPr>
          <w:trHeight w:val="75"/>
        </w:trPr>
        <w:tc>
          <w:tcPr>
            <w:tcW w:w="350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080" w:type="dxa"/>
            <w:vAlign w:val="bottom"/>
          </w:tcPr>
          <w:p>
            <w:pPr>
              <w:jc w:val="right"/>
              <w:spacing w:after="0"/>
              <w:rPr>
                <w:sz w:val="20"/>
                <w:szCs w:val="20"/>
                <w:color w:val="auto"/>
              </w:rPr>
            </w:pPr>
            <w:r>
              <w:rPr>
                <w:rFonts w:ascii="Arial" w:cs="Arial" w:eastAsia="Arial" w:hAnsi="Arial"/>
                <w:sz w:val="6"/>
                <w:szCs w:val="6"/>
                <w:color w:val="auto"/>
              </w:rPr>
              <w:t>1</w:t>
            </w:r>
          </w:p>
        </w:tc>
      </w:tr>
    </w:tbl>
    <w:p>
      <w:pPr>
        <w:sectPr>
          <w:pgSz w:w="11900" w:h="16838" w:orient="portrait"/>
          <w:cols w:equalWidth="0" w:num="1">
            <w:col w:w="11288"/>
          </w:cols>
          <w:pgMar w:left="292" w:top="721" w:right="319" w:bottom="1440" w:gutter="0" w:footer="0" w:header="0"/>
        </w:sectPr>
      </w:pPr>
    </w:p>
    <w:bookmarkStart w:id="313" w:name="page314"/>
    <w:bookmarkEnd w:id="313"/>
    <w:p>
      <w:pPr>
        <w:ind w:left="8"/>
        <w:spacing w:after="0"/>
        <w:rPr>
          <w:sz w:val="20"/>
          <w:szCs w:val="20"/>
          <w:color w:val="auto"/>
        </w:rPr>
      </w:pPr>
      <w:r>
        <w:rPr>
          <w:rFonts w:ascii="Arial" w:cs="Arial" w:eastAsia="Arial" w:hAnsi="Arial"/>
          <w:sz w:val="22"/>
          <w:szCs w:val="22"/>
          <w:color w:val="auto"/>
        </w:rPr>
        <w:t>Exhibit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85750" cy="2286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0">
                      <a:extLst>
                        <a:ext uri="{28A0092B-C50C-407E-A947-70E740481C1C}"/>
                      </a:extLst>
                    </a:blip>
                    <a:srcRect/>
                    <a:stretch>
                      <a:fillRect/>
                    </a:stretch>
                  </pic:blipFill>
                  <pic:spPr bwMode="auto">
                    <a:xfrm>
                      <a:off x="0" y="0"/>
                      <a:ext cx="285750" cy="22860"/>
                    </a:xfrm>
                    <a:prstGeom prst="rect">
                      <a:avLst/>
                    </a:prstGeom>
                    <a:noFill/>
                  </pic:spPr>
                </pic:pic>
              </a:graphicData>
            </a:graphic>
          </wp:anchor>
        </w:drawing>
      </w:r>
    </w:p>
    <w:p>
      <w:pPr>
        <w:spacing w:after="0" w:line="123" w:lineRule="exact"/>
        <w:rPr>
          <w:sz w:val="20"/>
          <w:szCs w:val="20"/>
          <w:color w:val="auto"/>
        </w:rPr>
      </w:pPr>
    </w:p>
    <w:p>
      <w:pPr>
        <w:ind w:left="8"/>
        <w:spacing w:after="0"/>
        <w:rPr>
          <w:sz w:val="20"/>
          <w:szCs w:val="20"/>
          <w:color w:val="auto"/>
        </w:rPr>
      </w:pPr>
      <w:r>
        <w:rPr>
          <w:rFonts w:ascii="Arial" w:cs="Arial" w:eastAsia="Arial" w:hAnsi="Arial"/>
          <w:sz w:val="8"/>
          <w:szCs w:val="8"/>
          <w:color w:val="auto"/>
        </w:rPr>
        <w:t>In connection with this annual report on Form 20-F of Royal Dutch Shell plc, a public limited company organized under the laws of England and Wales (the Company), for the year ended December 31, 2020, as filed with the Securities and Exchange Commission on the date hereof (the</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0"/>
          <w:szCs w:val="10"/>
          <w:color w:val="auto"/>
        </w:rPr>
        <w:t>Report), each of the undersigned officers of the Company certify pursuant to 18 U.S.C. Section 1350, as adopted pursuant to Section 906 of the Sarbanes-Oxley Act of 2002, to such officer’s knowledge, that:</w:t>
      </w:r>
    </w:p>
    <w:p>
      <w:pPr>
        <w:spacing w:after="0" w:line="59" w:lineRule="exact"/>
        <w:rPr>
          <w:sz w:val="20"/>
          <w:szCs w:val="20"/>
          <w:color w:val="auto"/>
        </w:rPr>
      </w:pPr>
    </w:p>
    <w:p>
      <w:pPr>
        <w:ind w:left="88" w:hanging="88"/>
        <w:spacing w:after="0"/>
        <w:tabs>
          <w:tab w:leader="none" w:pos="88" w:val="left"/>
        </w:tabs>
        <w:numPr>
          <w:ilvl w:val="0"/>
          <w:numId w:val="215"/>
        </w:numPr>
        <w:rPr>
          <w:rFonts w:ascii="Arial" w:cs="Arial" w:eastAsia="Arial" w:hAnsi="Arial"/>
          <w:sz w:val="10"/>
          <w:szCs w:val="10"/>
          <w:color w:val="auto"/>
        </w:rPr>
      </w:pPr>
      <w:r>
        <w:rPr>
          <w:rFonts w:ascii="Arial" w:cs="Arial" w:eastAsia="Arial" w:hAnsi="Arial"/>
          <w:sz w:val="10"/>
          <w:szCs w:val="10"/>
          <w:color w:val="auto"/>
        </w:rPr>
        <w:t>The Report fully complies with the requirements of Section 13(a) or 15(d) of the Securities Exchange Act of 1934; and</w:t>
      </w:r>
    </w:p>
    <w:p>
      <w:pPr>
        <w:spacing w:after="0" w:line="65" w:lineRule="exact"/>
        <w:rPr>
          <w:rFonts w:ascii="Arial" w:cs="Arial" w:eastAsia="Arial" w:hAnsi="Arial"/>
          <w:sz w:val="10"/>
          <w:szCs w:val="10"/>
          <w:color w:val="auto"/>
        </w:rPr>
      </w:pPr>
    </w:p>
    <w:p>
      <w:pPr>
        <w:ind w:left="88" w:hanging="88"/>
        <w:spacing w:after="0"/>
        <w:tabs>
          <w:tab w:leader="none" w:pos="88" w:val="left"/>
        </w:tabs>
        <w:numPr>
          <w:ilvl w:val="0"/>
          <w:numId w:val="215"/>
        </w:numPr>
        <w:rPr>
          <w:rFonts w:ascii="Arial" w:cs="Arial" w:eastAsia="Arial" w:hAnsi="Arial"/>
          <w:sz w:val="10"/>
          <w:szCs w:val="10"/>
          <w:color w:val="auto"/>
        </w:rPr>
      </w:pPr>
      <w:r>
        <w:rPr>
          <w:rFonts w:ascii="Arial" w:cs="Arial" w:eastAsia="Arial" w:hAnsi="Arial"/>
          <w:sz w:val="10"/>
          <w:szCs w:val="10"/>
          <w:color w:val="auto"/>
        </w:rPr>
        <w:t>The information contained in the Report fairly presents, in all material respects, the financial condition and results of operations of the Company as of, and for, the periods presented in the Report.</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foregoing certification is provided solely for purposes of complying with the provisions of Section 906 of the Sarbanes-Oxley Act of 2002 and is not intended to be used or relied upon for any other purpose.</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0"/>
          <w:szCs w:val="10"/>
          <w:color w:val="auto"/>
        </w:rPr>
        <w:t>/s/ Ben van Beurden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394460" cy="5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1">
                      <a:extLst>
                        <a:ext uri="{28A0092B-C50C-407E-A947-70E740481C1C}"/>
                      </a:extLst>
                    </a:blip>
                    <a:srcRect/>
                    <a:stretch>
                      <a:fillRect/>
                    </a:stretch>
                  </pic:blipFill>
                  <pic:spPr bwMode="auto">
                    <a:xfrm>
                      <a:off x="0" y="0"/>
                      <a:ext cx="1394460" cy="5715"/>
                    </a:xfrm>
                    <a:prstGeom prst="rect">
                      <a:avLst/>
                    </a:prstGeom>
                    <a:noFill/>
                  </pic:spPr>
                </pic:pic>
              </a:graphicData>
            </a:graphic>
          </wp:anchor>
        </w:drawing>
      </w:r>
    </w:p>
    <w:p>
      <w:pPr>
        <w:spacing w:after="0" w:line="144" w:lineRule="exact"/>
        <w:rPr>
          <w:sz w:val="20"/>
          <w:szCs w:val="20"/>
          <w:color w:val="auto"/>
        </w:rPr>
      </w:pPr>
    </w:p>
    <w:p>
      <w:pPr>
        <w:ind w:left="8"/>
        <w:spacing w:after="0"/>
        <w:rPr>
          <w:sz w:val="20"/>
          <w:szCs w:val="20"/>
          <w:color w:val="auto"/>
        </w:rPr>
      </w:pPr>
      <w:r>
        <w:rPr>
          <w:rFonts w:ascii="Arial" w:cs="Arial" w:eastAsia="Arial" w:hAnsi="Arial"/>
          <w:sz w:val="10"/>
          <w:szCs w:val="10"/>
          <w:color w:val="auto"/>
        </w:rPr>
        <w:t>Ben van Beurden</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0"/>
          <w:szCs w:val="10"/>
          <w:color w:val="auto"/>
        </w:rPr>
        <w:t>Chief Executive Officer</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0"/>
          <w:szCs w:val="10"/>
          <w:color w:val="auto"/>
        </w:rPr>
        <w:t>/s/ Jessica Uhl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394460"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2">
                      <a:extLst>
                        <a:ext uri="{28A0092B-C50C-407E-A947-70E740481C1C}"/>
                      </a:extLst>
                    </a:blip>
                    <a:srcRect/>
                    <a:stretch>
                      <a:fillRect/>
                    </a:stretch>
                  </pic:blipFill>
                  <pic:spPr bwMode="auto">
                    <a:xfrm>
                      <a:off x="0" y="0"/>
                      <a:ext cx="1394460" cy="5715"/>
                    </a:xfrm>
                    <a:prstGeom prst="rect">
                      <a:avLst/>
                    </a:prstGeom>
                    <a:noFill/>
                  </pic:spPr>
                </pic:pic>
              </a:graphicData>
            </a:graphic>
          </wp:anchor>
        </w:drawing>
      </w:r>
    </w:p>
    <w:p>
      <w:pPr>
        <w:spacing w:after="0" w:line="144" w:lineRule="exact"/>
        <w:rPr>
          <w:sz w:val="20"/>
          <w:szCs w:val="20"/>
          <w:color w:val="auto"/>
        </w:rPr>
      </w:pPr>
    </w:p>
    <w:p>
      <w:pPr>
        <w:ind w:left="8"/>
        <w:spacing w:after="0"/>
        <w:rPr>
          <w:sz w:val="20"/>
          <w:szCs w:val="20"/>
          <w:color w:val="auto"/>
        </w:rPr>
      </w:pPr>
      <w:r>
        <w:rPr>
          <w:rFonts w:ascii="Arial" w:cs="Arial" w:eastAsia="Arial" w:hAnsi="Arial"/>
          <w:sz w:val="10"/>
          <w:szCs w:val="10"/>
          <w:color w:val="auto"/>
        </w:rPr>
        <w:t>Jessica Uhl</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0"/>
          <w:szCs w:val="10"/>
          <w:color w:val="auto"/>
        </w:rPr>
        <w:t>Chief Financial Officer</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0"/>
          <w:szCs w:val="10"/>
          <w:color w:val="auto"/>
        </w:rPr>
        <w:t>March 10, 2021</w:t>
      </w:r>
    </w:p>
    <w:p>
      <w:pPr>
        <w:spacing w:after="0" w:line="200" w:lineRule="exact"/>
        <w:rPr>
          <w:sz w:val="20"/>
          <w:szCs w:val="20"/>
          <w:color w:val="auto"/>
        </w:rPr>
      </w:pPr>
    </w:p>
    <w:p>
      <w:pPr>
        <w:spacing w:after="0" w:line="234" w:lineRule="exact"/>
        <w:rPr>
          <w:sz w:val="20"/>
          <w:szCs w:val="20"/>
          <w:color w:val="auto"/>
        </w:rPr>
      </w:pPr>
    </w:p>
    <w:tbl>
      <w:tblPr>
        <w:tblLayout w:type="fixed"/>
        <w:tblInd w:w="48" w:type="dxa"/>
        <w:tblCellMar>
          <w:top w:w="0" w:type="dxa"/>
          <w:left w:w="0" w:type="dxa"/>
          <w:bottom w:w="0" w:type="dxa"/>
          <w:right w:w="0" w:type="dxa"/>
        </w:tblCellMar>
      </w:tblPr>
      <w:tr>
        <w:trPr>
          <w:trHeight w:val="84"/>
        </w:trPr>
        <w:tc>
          <w:tcPr>
            <w:tcW w:w="350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080" w:type="dxa"/>
            <w:vAlign w:val="bottom"/>
          </w:tcPr>
          <w:p>
            <w:pPr>
              <w:jc w:val="right"/>
              <w:spacing w:after="0"/>
              <w:rPr>
                <w:sz w:val="20"/>
                <w:szCs w:val="20"/>
                <w:color w:val="auto"/>
              </w:rPr>
            </w:pPr>
            <w:r>
              <w:rPr>
                <w:rFonts w:ascii="Arial" w:cs="Arial" w:eastAsia="Arial" w:hAnsi="Arial"/>
                <w:sz w:val="6"/>
                <w:szCs w:val="6"/>
                <w:color w:val="auto"/>
              </w:rPr>
              <w:t>1</w:t>
            </w:r>
          </w:p>
        </w:tc>
      </w:tr>
    </w:tbl>
    <w:p>
      <w:pPr>
        <w:sectPr>
          <w:pgSz w:w="11900" w:h="16838" w:orient="portrait"/>
          <w:cols w:equalWidth="0" w:num="1">
            <w:col w:w="10968"/>
          </w:cols>
          <w:pgMar w:left="292" w:top="721" w:right="639" w:bottom="1440" w:gutter="0" w:footer="0" w:header="0"/>
        </w:sectPr>
      </w:pPr>
    </w:p>
    <w:bookmarkStart w:id="314" w:name="page315"/>
    <w:bookmarkEnd w:id="314"/>
    <w:p>
      <w:pPr>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285750" cy="2286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3">
                      <a:extLst>
                        <a:ext uri="{28A0092B-C50C-407E-A947-70E740481C1C}"/>
                      </a:extLst>
                    </a:blip>
                    <a:srcRect/>
                    <a:stretch>
                      <a:fillRect/>
                    </a:stretch>
                  </pic:blipFill>
                  <pic:spPr bwMode="auto">
                    <a:xfrm>
                      <a:off x="0" y="0"/>
                      <a:ext cx="285750" cy="2286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CONSENT OF INDEPENDENT REGISTERED PUBLIC ACCOUNTING FIRM</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0"/>
          <w:szCs w:val="10"/>
          <w:color w:val="auto"/>
        </w:rPr>
        <w:t>We consent to the incorporation by reference in the Registration Statements on Form S-8 (No. 333-126715, 333-141397, 333-171206, 333-192821, 333-200953, 333-215273, 333-222813, and 333-228137) of Royal Dutch Shell plc of our reports dated March 10, 2021, with respect to the Consolidated Financial Statements and the effectiveness of internal control over financial reporting of Royal Dutch Shell plc, included in the Form 20-F for the year ended December 31, 2020.</w:t>
      </w:r>
    </w:p>
    <w:p>
      <w:pPr>
        <w:spacing w:after="0" w:line="68" w:lineRule="exact"/>
        <w:rPr>
          <w:sz w:val="20"/>
          <w:szCs w:val="20"/>
          <w:color w:val="auto"/>
        </w:rPr>
      </w:pPr>
    </w:p>
    <w:p>
      <w:pPr>
        <w:spacing w:after="0"/>
        <w:rPr>
          <w:sz w:val="20"/>
          <w:szCs w:val="20"/>
          <w:color w:val="auto"/>
        </w:rPr>
      </w:pPr>
      <w:r>
        <w:rPr>
          <w:rFonts w:ascii="Arial" w:cs="Arial" w:eastAsia="Arial" w:hAnsi="Arial"/>
          <w:sz w:val="10"/>
          <w:szCs w:val="10"/>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1394460" cy="571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4">
                      <a:extLst>
                        <a:ext uri="{28A0092B-C50C-407E-A947-70E740481C1C}"/>
                      </a:extLst>
                    </a:blip>
                    <a:srcRect/>
                    <a:stretch>
                      <a:fillRect/>
                    </a:stretch>
                  </pic:blipFill>
                  <pic:spPr bwMode="auto">
                    <a:xfrm>
                      <a:off x="0" y="0"/>
                      <a:ext cx="1394460" cy="571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0"/>
          <w:szCs w:val="10"/>
          <w:color w:val="auto"/>
        </w:rPr>
        <w:t>Ernst &amp; Young LLP</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London, United Kingdom</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March 10, 2021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520" w:type="dxa"/>
            <w:vAlign w:val="bottom"/>
          </w:tcPr>
          <w:p>
            <w:pPr>
              <w:spacing w:after="0"/>
              <w:rPr>
                <w:sz w:val="20"/>
                <w:szCs w:val="20"/>
                <w:color w:val="auto"/>
              </w:rPr>
            </w:pPr>
            <w:r>
              <w:rPr>
                <w:rFonts w:ascii="Arial" w:cs="Arial" w:eastAsia="Arial" w:hAnsi="Arial"/>
                <w:sz w:val="7"/>
                <w:szCs w:val="7"/>
                <w:color w:val="auto"/>
              </w:rPr>
              <w:t>ADDITIONAL INFORMATION SHELL FORM 20-F 2020</w:t>
            </w:r>
          </w:p>
        </w:tc>
        <w:tc>
          <w:tcPr>
            <w:tcW w:w="1800" w:type="dxa"/>
            <w:vAlign w:val="bottom"/>
          </w:tcPr>
          <w:p>
            <w:pPr>
              <w:jc w:val="right"/>
              <w:spacing w:after="0"/>
              <w:rPr>
                <w:sz w:val="20"/>
                <w:szCs w:val="20"/>
                <w:color w:val="auto"/>
              </w:rPr>
            </w:pPr>
            <w:r>
              <w:rPr>
                <w:rFonts w:ascii="Arial" w:cs="Arial" w:eastAsia="Arial" w:hAnsi="Arial"/>
                <w:sz w:val="7"/>
                <w:szCs w:val="7"/>
                <w:color w:val="auto"/>
              </w:rPr>
              <w:t>1</w:t>
            </w:r>
          </w:p>
        </w:tc>
      </w:tr>
    </w:tbl>
    <w:p>
      <w:pPr>
        <w:sectPr>
          <w:pgSz w:w="11900" w:h="16838" w:orient="portrait"/>
          <w:cols w:equalWidth="0" w:num="1">
            <w:col w:w="11000"/>
          </w:cols>
          <w:pgMar w:left="300" w:top="748" w:right="599" w:bottom="1440" w:gutter="0" w:footer="0" w:header="0"/>
        </w:sectPr>
      </w:pPr>
    </w:p>
    <w:bookmarkStart w:id="315" w:name="page316"/>
    <w:bookmarkEnd w:id="315"/>
    <w:p>
      <w:pPr>
        <w:spacing w:after="0"/>
        <w:rPr>
          <w:sz w:val="20"/>
          <w:szCs w:val="20"/>
          <w:color w:val="auto"/>
        </w:rPr>
      </w:pPr>
      <w:r>
        <w:rPr>
          <w:rFonts w:ascii="Arial" w:cs="Arial" w:eastAsia="Arial" w:hAnsi="Arial"/>
          <w:sz w:val="22"/>
          <w:szCs w:val="22"/>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280035" cy="2286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5">
                      <a:extLst>
                        <a:ext uri="{28A0092B-C50C-407E-A947-70E740481C1C}"/>
                      </a:extLst>
                    </a:blip>
                    <a:srcRect/>
                    <a:stretch>
                      <a:fillRect/>
                    </a:stretch>
                  </pic:blipFill>
                  <pic:spPr bwMode="auto">
                    <a:xfrm>
                      <a:off x="0" y="0"/>
                      <a:ext cx="280035" cy="2286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CONSENT OF INDEPENDENT REGISTERED PUBLIC ACCOUNTING FIRM</w:t>
      </w:r>
    </w:p>
    <w:p>
      <w:pPr>
        <w:spacing w:after="0" w:line="10" w:lineRule="exact"/>
        <w:rPr>
          <w:sz w:val="20"/>
          <w:szCs w:val="20"/>
          <w:color w:val="auto"/>
        </w:rPr>
      </w:pPr>
    </w:p>
    <w:p>
      <w:pPr>
        <w:spacing w:after="0" w:line="337" w:lineRule="auto"/>
        <w:rPr>
          <w:sz w:val="20"/>
          <w:szCs w:val="20"/>
          <w:color w:val="auto"/>
        </w:rPr>
      </w:pPr>
      <w:r>
        <w:rPr>
          <w:rFonts w:ascii="Arial" w:cs="Arial" w:eastAsia="Arial" w:hAnsi="Arial"/>
          <w:sz w:val="8"/>
          <w:szCs w:val="8"/>
          <w:color w:val="auto"/>
        </w:rPr>
        <w:t>We consent to the incorporation by reference in the Registration Statements on Form S-8 (No. 333-126715, 333-141397, 333-171206, 333-192821, 333-200953, 333-215273, 333-222813, and 333-228137) of Royal Dutch Shell plc of our reports dated March 10, 2021, with respect to the Royal Dutch Shell Dividend Access Trust Financial Statements and the effectiveness of internal control over financial reporting of the Royal Dutch Shell Dividend Access Trust, included in the Form 20-F for the year ended December 31, 2020.</w:t>
      </w:r>
    </w:p>
    <w:p>
      <w:pPr>
        <w:spacing w:after="0" w:line="31" w:lineRule="exact"/>
        <w:rPr>
          <w:sz w:val="20"/>
          <w:szCs w:val="20"/>
          <w:color w:val="auto"/>
        </w:rPr>
      </w:pPr>
    </w:p>
    <w:p>
      <w:pPr>
        <w:spacing w:after="0"/>
        <w:rPr>
          <w:sz w:val="20"/>
          <w:szCs w:val="20"/>
          <w:color w:val="auto"/>
        </w:rPr>
      </w:pPr>
      <w:r>
        <w:rPr>
          <w:rFonts w:ascii="Arial" w:cs="Arial" w:eastAsia="Arial" w:hAnsi="Arial"/>
          <w:sz w:val="10"/>
          <w:szCs w:val="10"/>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1394460" cy="57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6">
                      <a:extLst>
                        <a:ext uri="{28A0092B-C50C-407E-A947-70E740481C1C}"/>
                      </a:extLst>
                    </a:blip>
                    <a:srcRect/>
                    <a:stretch>
                      <a:fillRect/>
                    </a:stretch>
                  </pic:blipFill>
                  <pic:spPr bwMode="auto">
                    <a:xfrm>
                      <a:off x="0" y="0"/>
                      <a:ext cx="1394460" cy="571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0"/>
          <w:szCs w:val="10"/>
          <w:color w:val="auto"/>
        </w:rPr>
        <w:t>Ernst &amp; Young LLP</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London, United Kingdom</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March 11, 2021</w:t>
      </w: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75"/>
        </w:trPr>
        <w:tc>
          <w:tcPr>
            <w:tcW w:w="3400" w:type="dxa"/>
            <w:vAlign w:val="bottom"/>
          </w:tcPr>
          <w:p>
            <w:pPr>
              <w:spacing w:after="0"/>
              <w:rPr>
                <w:sz w:val="20"/>
                <w:szCs w:val="20"/>
                <w:color w:val="auto"/>
              </w:rPr>
            </w:pPr>
            <w:r>
              <w:rPr>
                <w:rFonts w:ascii="Arial" w:cs="Arial" w:eastAsia="Arial" w:hAnsi="Arial"/>
                <w:sz w:val="6"/>
                <w:szCs w:val="6"/>
                <w:color w:val="auto"/>
              </w:rPr>
              <w:t>ADDITIONAL INFORMATION SHELL FORM 20-F 2020</w:t>
            </w:r>
          </w:p>
        </w:tc>
        <w:tc>
          <w:tcPr>
            <w:tcW w:w="2000" w:type="dxa"/>
            <w:vAlign w:val="bottom"/>
          </w:tcPr>
          <w:p>
            <w:pPr>
              <w:jc w:val="right"/>
              <w:spacing w:after="0"/>
              <w:rPr>
                <w:sz w:val="20"/>
                <w:szCs w:val="20"/>
                <w:color w:val="auto"/>
              </w:rPr>
            </w:pPr>
            <w:r>
              <w:rPr>
                <w:rFonts w:ascii="Arial" w:cs="Arial" w:eastAsia="Arial" w:hAnsi="Arial"/>
                <w:sz w:val="6"/>
                <w:szCs w:val="6"/>
                <w:color w:val="auto"/>
              </w:rPr>
              <w:t>1</w:t>
            </w:r>
          </w:p>
        </w:tc>
      </w:tr>
    </w:tbl>
    <w:p>
      <w:pPr>
        <w:spacing w:after="0" w:line="1" w:lineRule="exact"/>
        <w:rPr>
          <w:sz w:val="20"/>
          <w:szCs w:val="20"/>
          <w:color w:val="auto"/>
        </w:rPr>
      </w:pPr>
    </w:p>
    <w:sectPr>
      <w:pgSz w:w="11900" w:h="16838" w:orient="portrait"/>
      <w:cols w:equalWidth="0" w:num="1">
        <w:col w:w="11260"/>
      </w:cols>
      <w:pgMar w:left="300" w:top="7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88F1A34"/>
    <w:multiLevelType w:val="hybridMultilevel"/>
    <w:lvl w:ilvl="0">
      <w:lvlJc w:val="left"/>
      <w:lvlText w:val="%1)"/>
      <w:numFmt w:val="decimal"/>
      <w:start w:val="210"/>
    </w:lvl>
  </w:abstractNum>
  <w:abstractNum w:abstractNumId="1">
    <w:nsid w:val="2A155DBC"/>
    <w:multiLevelType w:val="hybridMultilevel"/>
    <w:lvl w:ilvl="0">
      <w:lvlJc w:val="left"/>
      <w:lvlText w:val="[%1]"/>
      <w:numFmt w:val="upperLetter"/>
      <w:start w:val="1"/>
    </w:lvl>
  </w:abstractNum>
  <w:abstractNum w:abstractNumId="2">
    <w:nsid w:val="1D9F6E5F"/>
    <w:multiLevelType w:val="hybridMultilevel"/>
    <w:lvl w:ilvl="0">
      <w:lvlJc w:val="left"/>
      <w:lvlText w:val="[%1]"/>
      <w:numFmt w:val="upperLetter"/>
      <w:start w:val="1"/>
    </w:lvl>
  </w:abstractNum>
  <w:abstractNum w:abstractNumId="3">
    <w:nsid w:val="97E1B4E"/>
    <w:multiLevelType w:val="hybridMultilevel"/>
    <w:lvl w:ilvl="0">
      <w:lvlJc w:val="left"/>
      <w:lvlText w:val="[%1]"/>
      <w:numFmt w:val="upperLetter"/>
      <w:start w:val="1"/>
    </w:lvl>
  </w:abstractNum>
  <w:abstractNum w:abstractNumId="4">
    <w:nsid w:val="51088277"/>
    <w:multiLevelType w:val="hybridMultilevel"/>
    <w:lvl w:ilvl="0">
      <w:lvlJc w:val="left"/>
      <w:lvlText w:val="[%1]"/>
      <w:numFmt w:val="upperLetter"/>
      <w:start w:val="1"/>
    </w:lvl>
  </w:abstractNum>
  <w:abstractNum w:abstractNumId="5">
    <w:nsid w:val="1CA0C5FA"/>
    <w:multiLevelType w:val="hybridMultilevel"/>
    <w:lvl w:ilvl="0">
      <w:lvlJc w:val="left"/>
      <w:lvlText w:val="▪"/>
      <w:numFmt w:val="bullet"/>
      <w:start w:val="1"/>
    </w:lvl>
  </w:abstractNum>
  <w:abstractNum w:abstractNumId="6">
    <w:nsid w:val="53584BCB"/>
    <w:multiLevelType w:val="hybridMultilevel"/>
    <w:lvl w:ilvl="0">
      <w:lvlJc w:val="left"/>
      <w:lvlText w:val="▪"/>
      <w:numFmt w:val="bullet"/>
      <w:start w:val="1"/>
    </w:lvl>
  </w:abstractNum>
  <w:abstractNum w:abstractNumId="7">
    <w:nsid w:val="415E286C"/>
    <w:multiLevelType w:val="hybridMultilevel"/>
    <w:lvl w:ilvl="0">
      <w:lvlJc w:val="left"/>
      <w:lvlText w:val="▪"/>
      <w:numFmt w:val="bullet"/>
      <w:start w:val="1"/>
    </w:lvl>
  </w:abstractNum>
  <w:abstractNum w:abstractNumId="8">
    <w:nsid w:val="7C58FD05"/>
    <w:multiLevelType w:val="hybridMultilevel"/>
    <w:lvl w:ilvl="0">
      <w:lvlJc w:val="left"/>
      <w:lvlText w:val="▪"/>
      <w:numFmt w:val="bullet"/>
      <w:start w:val="1"/>
    </w:lvl>
  </w:abstractNum>
  <w:abstractNum w:abstractNumId="9">
    <w:nsid w:val="23D86AAC"/>
    <w:multiLevelType w:val="hybridMultilevel"/>
    <w:lvl w:ilvl="0">
      <w:lvlJc w:val="left"/>
      <w:lvlText w:val="[%1]"/>
      <w:numFmt w:val="upperLetter"/>
      <w:start w:val="1"/>
    </w:lvl>
  </w:abstractNum>
  <w:abstractNum w:abstractNumId="10">
    <w:nsid w:val="45E6D486"/>
    <w:multiLevelType w:val="hybridMultilevel"/>
    <w:lvl w:ilvl="0">
      <w:lvlJc w:val="left"/>
      <w:lvlText w:val="[%1]"/>
      <w:numFmt w:val="upperLetter"/>
      <w:start w:val="1"/>
    </w:lvl>
  </w:abstractNum>
  <w:abstractNum w:abstractNumId="11">
    <w:nsid w:val="5C10FE21"/>
    <w:multiLevelType w:val="hybridMultilevel"/>
    <w:lvl w:ilvl="0">
      <w:lvlJc w:val="left"/>
      <w:lvlText w:val="[%1]"/>
      <w:numFmt w:val="upperLetter"/>
      <w:start w:val="1"/>
    </w:lvl>
  </w:abstractNum>
  <w:abstractNum w:abstractNumId="12">
    <w:nsid w:val="E7FFA2B"/>
    <w:multiLevelType w:val="hybridMultilevel"/>
    <w:lvl w:ilvl="0">
      <w:lvlJc w:val="left"/>
      <w:lvlText w:val="[%1]"/>
      <w:numFmt w:val="upperLetter"/>
      <w:start w:val="1"/>
    </w:lvl>
  </w:abstractNum>
  <w:abstractNum w:abstractNumId="13">
    <w:nsid w:val="3C5991AA"/>
    <w:multiLevelType w:val="hybridMultilevel"/>
    <w:lvl w:ilvl="0">
      <w:lvlJc w:val="left"/>
      <w:lvlText w:val="▪"/>
      <w:numFmt w:val="bullet"/>
      <w:start w:val="1"/>
    </w:lvl>
  </w:abstractNum>
  <w:abstractNum w:abstractNumId="14">
    <w:nsid w:val="4BD8591A"/>
    <w:multiLevelType w:val="hybridMultilevel"/>
    <w:lvl w:ilvl="0">
      <w:lvlJc w:val="left"/>
      <w:lvlText w:val="▪"/>
      <w:numFmt w:val="bullet"/>
      <w:start w:val="1"/>
    </w:lvl>
  </w:abstractNum>
  <w:abstractNum w:abstractNumId="15">
    <w:nsid w:val="78DF6A55"/>
    <w:multiLevelType w:val="hybridMultilevel"/>
    <w:lvl w:ilvl="0">
      <w:lvlJc w:val="left"/>
      <w:lvlText w:val="▪"/>
      <w:numFmt w:val="bullet"/>
      <w:start w:val="1"/>
    </w:lvl>
  </w:abstractNum>
  <w:abstractNum w:abstractNumId="16">
    <w:nsid w:val="39B7AAA2"/>
    <w:multiLevelType w:val="hybridMultilevel"/>
    <w:lvl w:ilvl="0">
      <w:lvlJc w:val="left"/>
      <w:lvlText w:val="▪"/>
      <w:numFmt w:val="bullet"/>
      <w:start w:val="1"/>
    </w:lvl>
  </w:abstractNum>
  <w:abstractNum w:abstractNumId="17">
    <w:nsid w:val="2B0D8DBE"/>
    <w:multiLevelType w:val="hybridMultilevel"/>
    <w:lvl w:ilvl="0">
      <w:lvlJc w:val="left"/>
      <w:lvlText w:val="▪"/>
      <w:numFmt w:val="bullet"/>
      <w:start w:val="1"/>
    </w:lvl>
  </w:abstractNum>
  <w:abstractNum w:abstractNumId="18">
    <w:nsid w:val="6C80EC70"/>
    <w:multiLevelType w:val="hybridMultilevel"/>
    <w:lvl w:ilvl="0">
      <w:lvlJc w:val="left"/>
      <w:lvlText w:val="%1)"/>
      <w:numFmt w:val="decimal"/>
      <w:start w:val="118"/>
    </w:lvl>
  </w:abstractNum>
  <w:abstractNum w:abstractNumId="19">
    <w:nsid w:val="379E21B5"/>
    <w:multiLevelType w:val="hybridMultilevel"/>
    <w:lvl w:ilvl="0">
      <w:lvlJc w:val="left"/>
      <w:lvlText w:val="•"/>
      <w:numFmt w:val="bullet"/>
      <w:start w:val="1"/>
    </w:lvl>
    <w:lvl w:ilvl="1">
      <w:lvlJc w:val="left"/>
      <w:lvlText w:val="\endash "/>
      <w:numFmt w:val="bullet"/>
      <w:start w:val="1"/>
    </w:lvl>
  </w:abstractNum>
  <w:abstractNum w:abstractNumId="20">
    <w:nsid w:val="69E373"/>
    <w:multiLevelType w:val="hybridMultilevel"/>
    <w:lvl w:ilvl="0">
      <w:lvlJc w:val="left"/>
      <w:lvlText w:val="•"/>
      <w:numFmt w:val="bullet"/>
      <w:start w:val="1"/>
    </w:lvl>
  </w:abstractNum>
  <w:abstractNum w:abstractNumId="21">
    <w:nsid w:val="2C27173B"/>
    <w:multiLevelType w:val="hybridMultilevel"/>
    <w:lvl w:ilvl="0">
      <w:lvlJc w:val="left"/>
      <w:lvlText w:val="•"/>
      <w:numFmt w:val="bullet"/>
      <w:start w:val="1"/>
    </w:lvl>
  </w:abstractNum>
  <w:abstractNum w:abstractNumId="22">
    <w:nsid w:val="4C9B0904"/>
    <w:multiLevelType w:val="hybridMultilevel"/>
    <w:lvl w:ilvl="0">
      <w:lvlJc w:val="left"/>
      <w:lvlText w:val="•"/>
      <w:numFmt w:val="bullet"/>
      <w:start w:val="1"/>
    </w:lvl>
  </w:abstractNum>
  <w:abstractNum w:abstractNumId="23">
    <w:nsid w:val="6AA7B75C"/>
    <w:multiLevelType w:val="hybridMultilevel"/>
    <w:lvl w:ilvl="0">
      <w:lvlJc w:val="left"/>
      <w:lvlText w:val="[%1]"/>
      <w:numFmt w:val="upperLetter"/>
      <w:start w:val="1"/>
    </w:lvl>
  </w:abstractNum>
  <w:abstractNum w:abstractNumId="24">
    <w:nsid w:val="1DF029D3"/>
    <w:multiLevelType w:val="hybridMultilevel"/>
    <w:lvl w:ilvl="0">
      <w:lvlJc w:val="left"/>
      <w:lvlText w:val="▪"/>
      <w:numFmt w:val="bullet"/>
      <w:start w:val="1"/>
    </w:lvl>
  </w:abstractNum>
  <w:abstractNum w:abstractNumId="25">
    <w:nsid w:val="5675FF36"/>
    <w:multiLevelType w:val="hybridMultilevel"/>
    <w:lvl w:ilvl="0">
      <w:lvlJc w:val="left"/>
      <w:lvlText w:val="[%1]"/>
      <w:numFmt w:val="upperLetter"/>
      <w:start w:val="1"/>
    </w:lvl>
  </w:abstractNum>
  <w:abstractNum w:abstractNumId="26">
    <w:nsid w:val="3DD15094"/>
    <w:multiLevelType w:val="hybridMultilevel"/>
    <w:lvl w:ilvl="0">
      <w:lvlJc w:val="left"/>
      <w:lvlText w:val="[%1]"/>
      <w:numFmt w:val="upperLetter"/>
      <w:start w:val="1"/>
    </w:lvl>
  </w:abstractNum>
  <w:abstractNum w:abstractNumId="27">
    <w:nsid w:val="3DB012B3"/>
    <w:multiLevelType w:val="hybridMultilevel"/>
    <w:lvl w:ilvl="0">
      <w:lvlJc w:val="left"/>
      <w:lvlText w:val="[%1]"/>
      <w:numFmt w:val="upperLetter"/>
      <w:start w:val="1"/>
    </w:lvl>
  </w:abstractNum>
  <w:abstractNum w:abstractNumId="28">
    <w:nsid w:val="2708C9AF"/>
    <w:multiLevelType w:val="hybridMultilevel"/>
    <w:lvl w:ilvl="0">
      <w:lvlJc w:val="left"/>
      <w:lvlText w:val="[%1]"/>
      <w:numFmt w:val="upperLetter"/>
      <w:start w:val="1"/>
    </w:lvl>
  </w:abstractNum>
  <w:abstractNum w:abstractNumId="29">
    <w:nsid w:val="5B25ACE2"/>
    <w:multiLevelType w:val="hybridMultilevel"/>
    <w:lvl w:ilvl="0">
      <w:lvlJc w:val="left"/>
      <w:lvlText w:val="▪"/>
      <w:numFmt w:val="bullet"/>
      <w:start w:val="1"/>
    </w:lvl>
  </w:abstractNum>
  <w:abstractNum w:abstractNumId="30">
    <w:nsid w:val="175DFCF0"/>
    <w:multiLevelType w:val="hybridMultilevel"/>
    <w:lvl w:ilvl="0">
      <w:lvlJc w:val="left"/>
      <w:lvlText w:val="•"/>
      <w:numFmt w:val="bullet"/>
      <w:start w:val="1"/>
    </w:lvl>
  </w:abstractNum>
  <w:abstractNum w:abstractNumId="31">
    <w:nsid w:val="4F97E3E4"/>
    <w:multiLevelType w:val="hybridMultilevel"/>
    <w:lvl w:ilvl="0">
      <w:lvlJc w:val="left"/>
      <w:lvlText w:val="•"/>
      <w:numFmt w:val="bullet"/>
      <w:start w:val="1"/>
    </w:lvl>
  </w:abstractNum>
  <w:abstractNum w:abstractNumId="32">
    <w:nsid w:val="53B0A9E"/>
    <w:multiLevelType w:val="hybridMultilevel"/>
    <w:lvl w:ilvl="0">
      <w:lvlJc w:val="left"/>
      <w:lvlText w:val="•"/>
      <w:numFmt w:val="bullet"/>
      <w:start w:val="1"/>
    </w:lvl>
  </w:abstractNum>
  <w:abstractNum w:abstractNumId="33">
    <w:nsid w:val="34FD6B4F"/>
    <w:multiLevelType w:val="hybridMultilevel"/>
    <w:lvl w:ilvl="0">
      <w:lvlJc w:val="left"/>
      <w:lvlText w:val="•"/>
      <w:numFmt w:val="bullet"/>
      <w:start w:val="1"/>
    </w:lvl>
  </w:abstractNum>
  <w:abstractNum w:abstractNumId="34">
    <w:nsid w:val="5915FF32"/>
    <w:multiLevelType w:val="hybridMultilevel"/>
    <w:lvl w:ilvl="0">
      <w:lvlJc w:val="left"/>
      <w:lvlText w:val="▪"/>
      <w:numFmt w:val="bullet"/>
      <w:start w:val="1"/>
    </w:lvl>
  </w:abstractNum>
  <w:abstractNum w:abstractNumId="35">
    <w:nsid w:val="56438D15"/>
    <w:multiLevelType w:val="hybridMultilevel"/>
    <w:lvl w:ilvl="0">
      <w:lvlJc w:val="left"/>
      <w:lvlText w:val="▪"/>
      <w:numFmt w:val="bullet"/>
      <w:start w:val="1"/>
    </w:lvl>
  </w:abstractNum>
  <w:abstractNum w:abstractNumId="36">
    <w:nsid w:val="519E3149"/>
    <w:multiLevelType w:val="hybridMultilevel"/>
    <w:lvl w:ilvl="0">
      <w:lvlJc w:val="left"/>
      <w:lvlText w:val="[%1]"/>
      <w:numFmt w:val="upperLetter"/>
      <w:start w:val="1"/>
    </w:lvl>
  </w:abstractNum>
  <w:abstractNum w:abstractNumId="37">
    <w:nsid w:val="2C6E4AFD"/>
    <w:multiLevelType w:val="hybridMultilevel"/>
    <w:lvl w:ilvl="0">
      <w:lvlJc w:val="left"/>
      <w:lvlText w:val="[%1]"/>
      <w:numFmt w:val="upperLetter"/>
      <w:start w:val="1"/>
    </w:lvl>
  </w:abstractNum>
  <w:abstractNum w:abstractNumId="38">
    <w:nsid w:val="17A1B582"/>
    <w:multiLevelType w:val="hybridMultilevel"/>
    <w:lvl w:ilvl="0">
      <w:lvlJc w:val="left"/>
      <w:lvlText w:val="[%1]"/>
      <w:numFmt w:val="upperLetter"/>
      <w:start w:val="1"/>
    </w:lvl>
  </w:abstractNum>
  <w:abstractNum w:abstractNumId="39">
    <w:nsid w:val="4DF72E4E"/>
    <w:multiLevelType w:val="hybridMultilevel"/>
    <w:lvl w:ilvl="0">
      <w:lvlJc w:val="left"/>
      <w:lvlText w:val="■"/>
      <w:numFmt w:val="bullet"/>
      <w:start w:val="1"/>
    </w:lvl>
  </w:abstractNum>
  <w:abstractNum w:abstractNumId="40">
    <w:nsid w:val="5046B5A9"/>
    <w:multiLevelType w:val="hybridMultilevel"/>
    <w:lvl w:ilvl="0">
      <w:lvlJc w:val="left"/>
      <w:lvlText w:val="•"/>
      <w:numFmt w:val="bullet"/>
      <w:start w:val="1"/>
    </w:lvl>
  </w:abstractNum>
  <w:abstractNum w:abstractNumId="41">
    <w:nsid w:val="5D888A08"/>
    <w:multiLevelType w:val="hybridMultilevel"/>
    <w:lvl w:ilvl="0">
      <w:lvlJc w:val="left"/>
      <w:lvlText w:val="◆"/>
      <w:numFmt w:val="bullet"/>
      <w:start w:val="1"/>
    </w:lvl>
  </w:abstractNum>
  <w:abstractNum w:abstractNumId="42">
    <w:nsid w:val="2A082C70"/>
    <w:multiLevelType w:val="hybridMultilevel"/>
    <w:lvl w:ilvl="0">
      <w:lvlJc w:val="left"/>
      <w:lvlText w:val="[%1]"/>
      <w:numFmt w:val="upperLetter"/>
      <w:start w:val="1"/>
    </w:lvl>
  </w:abstractNum>
  <w:abstractNum w:abstractNumId="43">
    <w:nsid w:val="5EC6AFD4"/>
    <w:multiLevelType w:val="hybridMultilevel"/>
    <w:lvl w:ilvl="0">
      <w:lvlJc w:val="left"/>
      <w:lvlText w:val="[%1]"/>
      <w:numFmt w:val="upperLetter"/>
      <w:start w:val="1"/>
    </w:lvl>
  </w:abstractNum>
  <w:abstractNum w:abstractNumId="44">
    <w:nsid w:val="19E21BB2"/>
    <w:multiLevelType w:val="hybridMultilevel"/>
    <w:lvl w:ilvl="0">
      <w:lvlJc w:val="left"/>
      <w:lvlText w:val="▪"/>
      <w:numFmt w:val="bullet"/>
      <w:start w:val="1"/>
    </w:lvl>
  </w:abstractNum>
  <w:abstractNum w:abstractNumId="45">
    <w:nsid w:val="75E0858A"/>
    <w:multiLevelType w:val="hybridMultilevel"/>
    <w:lvl w:ilvl="0">
      <w:lvlJc w:val="left"/>
      <w:lvlText w:val="▪"/>
      <w:numFmt w:val="bullet"/>
      <w:start w:val="1"/>
    </w:lvl>
  </w:abstractNum>
  <w:abstractNum w:abstractNumId="46">
    <w:nsid w:val="57A61A29"/>
    <w:multiLevelType w:val="hybridMultilevel"/>
    <w:lvl w:ilvl="0">
      <w:lvlJc w:val="left"/>
      <w:lvlText w:val="▪"/>
      <w:numFmt w:val="bullet"/>
      <w:start w:val="1"/>
    </w:lvl>
  </w:abstractNum>
  <w:abstractNum w:abstractNumId="47">
    <w:nsid w:val="5399C654"/>
    <w:multiLevelType w:val="hybridMultilevel"/>
    <w:lvl w:ilvl="0">
      <w:lvlJc w:val="left"/>
      <w:lvlText w:val="▪"/>
      <w:numFmt w:val="bullet"/>
      <w:start w:val="1"/>
    </w:lvl>
  </w:abstractNum>
  <w:abstractNum w:abstractNumId="48">
    <w:nsid w:val="20EE1348"/>
    <w:multiLevelType w:val="hybridMultilevel"/>
    <w:lvl w:ilvl="0">
      <w:lvlJc w:val="left"/>
      <w:lvlText w:val="[%1]"/>
      <w:numFmt w:val="upperLetter"/>
      <w:start w:val="1"/>
    </w:lvl>
  </w:abstractNum>
  <w:abstractNum w:abstractNumId="49">
    <w:nsid w:val="4427069A"/>
    <w:multiLevelType w:val="hybridMultilevel"/>
    <w:lvl w:ilvl="0">
      <w:lvlJc w:val="left"/>
      <w:lvlText w:val="[%1]"/>
      <w:numFmt w:val="upperLetter"/>
      <w:start w:val="1"/>
    </w:lvl>
  </w:abstractNum>
  <w:abstractNum w:abstractNumId="50">
    <w:nsid w:val="B37E80A"/>
    <w:multiLevelType w:val="hybridMultilevel"/>
    <w:lvl w:ilvl="0">
      <w:lvlJc w:val="left"/>
      <w:lvlText w:val="A"/>
      <w:numFmt w:val="bullet"/>
      <w:start w:val="1"/>
    </w:lvl>
  </w:abstractNum>
  <w:abstractNum w:abstractNumId="51">
    <w:nsid w:val="2157F6BC"/>
    <w:multiLevelType w:val="hybridMultilevel"/>
    <w:lvl w:ilvl="0">
      <w:lvlJc w:val="left"/>
      <w:lvlText w:val="I"/>
      <w:numFmt w:val="bullet"/>
      <w:start w:val="1"/>
    </w:lvl>
  </w:abstractNum>
  <w:abstractNum w:abstractNumId="52">
    <w:nsid w:val="704E1DD5"/>
    <w:multiLevelType w:val="hybridMultilevel"/>
    <w:lvl w:ilvl="0">
      <w:lvlJc w:val="left"/>
      <w:lvlText w:val="P"/>
      <w:numFmt w:val="bullet"/>
      <w:start w:val="1"/>
    </w:lvl>
  </w:abstractNum>
  <w:abstractNum w:abstractNumId="53">
    <w:nsid w:val="57D2F10E"/>
    <w:multiLevelType w:val="hybridMultilevel"/>
    <w:lvl w:ilvl="0">
      <w:lvlJc w:val="left"/>
      <w:lvlText w:val="O"/>
      <w:numFmt w:val="bullet"/>
      <w:start w:val="1"/>
    </w:lvl>
  </w:abstractNum>
  <w:abstractNum w:abstractNumId="54">
    <w:nsid w:val="BFFAE18"/>
    <w:multiLevelType w:val="hybridMultilevel"/>
    <w:lvl w:ilvl="0">
      <w:lvlJc w:val="left"/>
      <w:lvlText w:val="[%1]"/>
      <w:numFmt w:val="upperLetter"/>
      <w:start w:val="1"/>
    </w:lvl>
  </w:abstractNum>
  <w:abstractNum w:abstractNumId="55">
    <w:nsid w:val="E3E47A8"/>
    <w:multiLevelType w:val="hybridMultilevel"/>
    <w:lvl w:ilvl="0">
      <w:lvlJc w:val="left"/>
      <w:lvlText w:val="[%1]"/>
      <w:numFmt w:val="upperLetter"/>
      <w:start w:val="1"/>
    </w:lvl>
  </w:abstractNum>
  <w:abstractNum w:abstractNumId="56">
    <w:nsid w:val="2E48F044"/>
    <w:multiLevelType w:val="hybridMultilevel"/>
    <w:lvl w:ilvl="0">
      <w:lvlJc w:val="left"/>
      <w:lvlText w:val="•"/>
      <w:numFmt w:val="bullet"/>
      <w:start w:val="1"/>
    </w:lvl>
  </w:abstractNum>
  <w:abstractNum w:abstractNumId="57">
    <w:nsid w:val="49D0FEAC"/>
    <w:multiLevelType w:val="hybridMultilevel"/>
    <w:lvl w:ilvl="0">
      <w:lvlJc w:val="left"/>
      <w:lvlText w:val="[%1]"/>
      <w:numFmt w:val="upperLetter"/>
      <w:start w:val="1"/>
    </w:lvl>
  </w:abstractNum>
  <w:abstractNum w:abstractNumId="58">
    <w:nsid w:val="4BEE5A5B"/>
    <w:multiLevelType w:val="hybridMultilevel"/>
    <w:lvl w:ilvl="0">
      <w:lvlJc w:val="left"/>
      <w:lvlText w:val="[%1]"/>
      <w:numFmt w:val="upperLetter"/>
      <w:start w:val="1"/>
    </w:lvl>
  </w:abstractNum>
  <w:abstractNum w:abstractNumId="59">
    <w:nsid w:val="5551B9F3"/>
    <w:multiLevelType w:val="hybridMultilevel"/>
    <w:lvl w:ilvl="0">
      <w:lvlJc w:val="left"/>
      <w:lvlText w:val="[%1]"/>
      <w:numFmt w:val="upperLetter"/>
      <w:start w:val="1"/>
    </w:lvl>
  </w:abstractNum>
  <w:abstractNum w:abstractNumId="60">
    <w:nsid w:val="24F6AB8E"/>
    <w:multiLevelType w:val="hybridMultilevel"/>
    <w:lvl w:ilvl="0">
      <w:lvlJc w:val="left"/>
      <w:lvlText w:val="•"/>
      <w:numFmt w:val="bullet"/>
      <w:start w:val="1"/>
    </w:lvl>
  </w:abstractNum>
  <w:abstractNum w:abstractNumId="61">
    <w:nsid w:val="634C574C"/>
    <w:multiLevelType w:val="hybridMultilevel"/>
    <w:lvl w:ilvl="0">
      <w:lvlJc w:val="left"/>
      <w:lvlText w:val="•"/>
      <w:numFmt w:val="bullet"/>
      <w:start w:val="1"/>
    </w:lvl>
  </w:abstractNum>
  <w:abstractNum w:abstractNumId="62">
    <w:nsid w:val="24E99DD7"/>
    <w:multiLevelType w:val="hybridMultilevel"/>
    <w:lvl w:ilvl="0">
      <w:lvlJc w:val="left"/>
      <w:lvlText w:val="•"/>
      <w:numFmt w:val="bullet"/>
      <w:start w:val="1"/>
    </w:lvl>
  </w:abstractNum>
  <w:abstractNum w:abstractNumId="63">
    <w:nsid w:val="2A31B62D"/>
    <w:multiLevelType w:val="hybridMultilevel"/>
    <w:lvl w:ilvl="0">
      <w:lvlJc w:val="left"/>
      <w:lvlText w:val="%1)"/>
      <w:numFmt w:val="decimal"/>
      <w:start w:val="1"/>
    </w:lvl>
  </w:abstractNum>
  <w:abstractNum w:abstractNumId="64">
    <w:nsid w:val="1849C29B"/>
    <w:multiLevelType w:val="hybridMultilevel"/>
    <w:lvl w:ilvl="0">
      <w:lvlJc w:val="left"/>
      <w:lvlText w:val="•"/>
      <w:numFmt w:val="bullet"/>
      <w:start w:val="1"/>
    </w:lvl>
  </w:abstractNum>
  <w:abstractNum w:abstractNumId="65">
    <w:nsid w:val="7DFF9D09"/>
    <w:multiLevelType w:val="hybridMultilevel"/>
    <w:lvl w:ilvl="0">
      <w:lvlJc w:val="left"/>
      <w:lvlText w:val="•"/>
      <w:numFmt w:val="bullet"/>
      <w:start w:val="1"/>
    </w:lvl>
  </w:abstractNum>
  <w:abstractNum w:abstractNumId="66">
    <w:nsid w:val="754342"/>
    <w:multiLevelType w:val="hybridMultilevel"/>
    <w:lvl w:ilvl="0">
      <w:lvlJc w:val="left"/>
      <w:lvlText w:val="•"/>
      <w:numFmt w:val="bullet"/>
      <w:start w:val="1"/>
    </w:lvl>
  </w:abstractNum>
  <w:abstractNum w:abstractNumId="67">
    <w:nsid w:val="69E7F3E5"/>
    <w:multiLevelType w:val="hybridMultilevel"/>
    <w:lvl w:ilvl="0">
      <w:lvlJc w:val="left"/>
      <w:lvlText w:val="•"/>
      <w:numFmt w:val="bullet"/>
      <w:start w:val="1"/>
    </w:lvl>
  </w:abstractNum>
  <w:abstractNum w:abstractNumId="68">
    <w:nsid w:val="2A6DE806"/>
    <w:multiLevelType w:val="hybridMultilevel"/>
    <w:lvl w:ilvl="0">
      <w:lvlJc w:val="left"/>
      <w:lvlText w:val="•"/>
      <w:numFmt w:val="bullet"/>
      <w:start w:val="1"/>
    </w:lvl>
  </w:abstractNum>
  <w:abstractNum w:abstractNumId="69">
    <w:nsid w:val="1816F8C4"/>
    <w:multiLevelType w:val="hybridMultilevel"/>
    <w:lvl w:ilvl="0">
      <w:lvlJc w:val="left"/>
      <w:lvlText w:val="•"/>
      <w:numFmt w:val="bullet"/>
      <w:start w:val="1"/>
    </w:lvl>
  </w:abstractNum>
  <w:abstractNum w:abstractNumId="70">
    <w:nsid w:val="37DF2233"/>
    <w:multiLevelType w:val="hybridMultilevel"/>
    <w:lvl w:ilvl="0">
      <w:lvlJc w:val="left"/>
      <w:lvlText w:val="•"/>
      <w:numFmt w:val="bullet"/>
      <w:start w:val="1"/>
    </w:lvl>
  </w:abstractNum>
  <w:abstractNum w:abstractNumId="71">
    <w:nsid w:val="7AB49DAF"/>
    <w:multiLevelType w:val="hybridMultilevel"/>
    <w:lvl w:ilvl="0">
      <w:lvlJc w:val="left"/>
      <w:lvlText w:val="•"/>
      <w:numFmt w:val="bullet"/>
      <w:start w:val="1"/>
    </w:lvl>
  </w:abstractNum>
  <w:abstractNum w:abstractNumId="72">
    <w:nsid w:val="759F82CD"/>
    <w:multiLevelType w:val="hybridMultilevel"/>
    <w:lvl w:ilvl="0">
      <w:lvlJc w:val="left"/>
      <w:lvlText w:val="•"/>
      <w:numFmt w:val="bullet"/>
      <w:start w:val="1"/>
    </w:lvl>
  </w:abstractNum>
  <w:abstractNum w:abstractNumId="73">
    <w:nsid w:val="61E74EA3"/>
    <w:multiLevelType w:val="hybridMultilevel"/>
    <w:lvl w:ilvl="0">
      <w:lvlJc w:val="left"/>
      <w:lvlText w:val="•"/>
      <w:numFmt w:val="bullet"/>
      <w:start w:val="1"/>
    </w:lvl>
  </w:abstractNum>
  <w:abstractNum w:abstractNumId="74">
    <w:nsid w:val="597B4D84"/>
    <w:multiLevelType w:val="hybridMultilevel"/>
    <w:lvl w:ilvl="0">
      <w:lvlJc w:val="left"/>
      <w:lvlText w:val="•"/>
      <w:numFmt w:val="bullet"/>
      <w:start w:val="1"/>
    </w:lvl>
  </w:abstractNum>
  <w:abstractNum w:abstractNumId="75">
    <w:nsid w:val="F819E7F"/>
    <w:multiLevelType w:val="hybridMultilevel"/>
    <w:lvl w:ilvl="0">
      <w:lvlJc w:val="left"/>
      <w:lvlText w:val="•"/>
      <w:numFmt w:val="bullet"/>
      <w:start w:val="1"/>
    </w:lvl>
  </w:abstractNum>
  <w:abstractNum w:abstractNumId="76">
    <w:nsid w:val="57C7D42D"/>
    <w:multiLevelType w:val="hybridMultilevel"/>
    <w:lvl w:ilvl="0">
      <w:lvlJc w:val="left"/>
      <w:lvlText w:val="•"/>
      <w:numFmt w:val="bullet"/>
      <w:start w:val="1"/>
    </w:lvl>
  </w:abstractNum>
  <w:abstractNum w:abstractNumId="77">
    <w:nsid w:val="312167AD"/>
    <w:multiLevelType w:val="hybridMultilevel"/>
    <w:lvl w:ilvl="0">
      <w:lvlJc w:val="left"/>
      <w:lvlText w:val="•"/>
      <w:numFmt w:val="bullet"/>
      <w:start w:val="1"/>
    </w:lvl>
  </w:abstractNum>
  <w:abstractNum w:abstractNumId="78">
    <w:nsid w:val="631B64D4"/>
    <w:multiLevelType w:val="hybridMultilevel"/>
    <w:lvl w:ilvl="0">
      <w:lvlJc w:val="left"/>
      <w:lvlText w:val="•"/>
      <w:numFmt w:val="bullet"/>
      <w:start w:val="1"/>
    </w:lvl>
  </w:abstractNum>
  <w:abstractNum w:abstractNumId="79">
    <w:nsid w:val="78B5E776"/>
    <w:multiLevelType w:val="hybridMultilevel"/>
    <w:lvl w:ilvl="0">
      <w:lvlJc w:val="left"/>
      <w:lvlText w:val="•"/>
      <w:numFmt w:val="bullet"/>
      <w:start w:val="1"/>
    </w:lvl>
  </w:abstractNum>
  <w:abstractNum w:abstractNumId="80">
    <w:nsid w:val="75486E47"/>
    <w:multiLevelType w:val="hybridMultilevel"/>
    <w:lvl w:ilvl="0">
      <w:lvlJc w:val="left"/>
      <w:lvlText w:val="•"/>
      <w:numFmt w:val="bullet"/>
      <w:start w:val="1"/>
    </w:lvl>
  </w:abstractNum>
  <w:abstractNum w:abstractNumId="81">
    <w:nsid w:val="6E534CDE"/>
    <w:multiLevelType w:val="hybridMultilevel"/>
    <w:lvl w:ilvl="0">
      <w:lvlJc w:val="left"/>
      <w:lvlText w:val="\endash "/>
      <w:numFmt w:val="bullet"/>
      <w:start w:val="1"/>
    </w:lvl>
  </w:abstractNum>
  <w:abstractNum w:abstractNumId="82">
    <w:nsid w:val="1A0DDE32"/>
    <w:multiLevelType w:val="hybridMultilevel"/>
    <w:lvl w:ilvl="0">
      <w:lvlJc w:val="left"/>
      <w:lvlText w:val="•"/>
      <w:numFmt w:val="bullet"/>
      <w:start w:val="1"/>
    </w:lvl>
  </w:abstractNum>
  <w:abstractNum w:abstractNumId="83">
    <w:nsid w:val="65968C1C"/>
    <w:multiLevelType w:val="hybridMultilevel"/>
    <w:lvl w:ilvl="0">
      <w:lvlJc w:val="left"/>
      <w:lvlText w:val="[%1]"/>
      <w:numFmt w:val="upperLetter"/>
      <w:start w:val="1"/>
    </w:lvl>
  </w:abstractNum>
  <w:abstractNum w:abstractNumId="84">
    <w:nsid w:val="46263DEC"/>
    <w:multiLevelType w:val="hybridMultilevel"/>
    <w:lvl w:ilvl="0">
      <w:lvlJc w:val="left"/>
      <w:lvlText w:val="[%1]"/>
      <w:numFmt w:val="upperLetter"/>
      <w:start w:val="1"/>
    </w:lvl>
  </w:abstractNum>
  <w:abstractNum w:abstractNumId="85">
    <w:nsid w:val="260D8C4A"/>
    <w:multiLevelType w:val="hybridMultilevel"/>
    <w:lvl w:ilvl="0">
      <w:lvlJc w:val="left"/>
      <w:lvlText w:val="[%1]"/>
      <w:numFmt w:val="upperLetter"/>
      <w:start w:val="1"/>
    </w:lvl>
  </w:abstractNum>
  <w:abstractNum w:abstractNumId="86">
    <w:nsid w:val="73D4D3C4"/>
    <w:multiLevelType w:val="hybridMultilevel"/>
    <w:lvl w:ilvl="0">
      <w:lvlJc w:val="left"/>
      <w:lvlText w:val="•"/>
      <w:numFmt w:val="bullet"/>
      <w:start w:val="1"/>
    </w:lvl>
  </w:abstractNum>
  <w:abstractNum w:abstractNumId="87">
    <w:nsid w:val="746F2E30"/>
    <w:multiLevelType w:val="hybridMultilevel"/>
    <w:lvl w:ilvl="0">
      <w:lvlJc w:val="left"/>
      <w:lvlText w:val="•"/>
      <w:numFmt w:val="bullet"/>
      <w:start w:val="1"/>
    </w:lvl>
  </w:abstractNum>
  <w:abstractNum w:abstractNumId="88">
    <w:nsid w:val="6FDE8AF6"/>
    <w:multiLevelType w:val="hybridMultilevel"/>
    <w:lvl w:ilvl="0">
      <w:lvlJc w:val="left"/>
      <w:lvlText w:val="[%1]"/>
      <w:numFmt w:val="upperLetter"/>
      <w:start w:val="1"/>
    </w:lvl>
  </w:abstractNum>
  <w:abstractNum w:abstractNumId="89">
    <w:nsid w:val="3FC32E20"/>
    <w:multiLevelType w:val="hybridMultilevel"/>
    <w:lvl w:ilvl="0">
      <w:lvlJc w:val="left"/>
      <w:lvlText w:val="[%1]"/>
      <w:numFmt w:val="upperLetter"/>
      <w:start w:val="1"/>
    </w:lvl>
  </w:abstractNum>
  <w:abstractNum w:abstractNumId="90">
    <w:nsid w:val="49C0E823"/>
    <w:multiLevelType w:val="hybridMultilevel"/>
    <w:lvl w:ilvl="0">
      <w:lvlJc w:val="left"/>
      <w:lvlText w:val="•"/>
      <w:numFmt w:val="bullet"/>
      <w:start w:val="1"/>
    </w:lvl>
  </w:abstractNum>
  <w:abstractNum w:abstractNumId="91">
    <w:nsid w:val="14D53685"/>
    <w:multiLevelType w:val="hybridMultilevel"/>
    <w:lvl w:ilvl="0">
      <w:lvlJc w:val="left"/>
      <w:lvlText w:val="•"/>
      <w:numFmt w:val="bullet"/>
      <w:start w:val="1"/>
    </w:lvl>
  </w:abstractNum>
  <w:abstractNum w:abstractNumId="92">
    <w:nsid w:val="230F856C"/>
    <w:multiLevelType w:val="hybridMultilevel"/>
    <w:lvl w:ilvl="0">
      <w:lvlJc w:val="left"/>
      <w:lvlText w:val="•"/>
      <w:numFmt w:val="bullet"/>
      <w:start w:val="1"/>
    </w:lvl>
  </w:abstractNum>
  <w:abstractNum w:abstractNumId="93">
    <w:nsid w:val="6EAA85FB"/>
    <w:multiLevelType w:val="hybridMultilevel"/>
    <w:lvl w:ilvl="0">
      <w:lvlJc w:val="left"/>
      <w:lvlText w:val="▪"/>
      <w:numFmt w:val="bullet"/>
      <w:start w:val="1"/>
    </w:lvl>
  </w:abstractNum>
  <w:abstractNum w:abstractNumId="94">
    <w:nsid w:val="3F06ECB2"/>
    <w:multiLevelType w:val="hybridMultilevel"/>
    <w:lvl w:ilvl="0">
      <w:lvlJc w:val="left"/>
      <w:lvlText w:val="▪"/>
      <w:numFmt w:val="bullet"/>
      <w:start w:val="1"/>
    </w:lvl>
  </w:abstractNum>
  <w:abstractNum w:abstractNumId="95">
    <w:nsid w:val="3B594807"/>
    <w:multiLevelType w:val="hybridMultilevel"/>
    <w:lvl w:ilvl="0">
      <w:lvlJc w:val="left"/>
      <w:lvlText w:val="[%1]"/>
      <w:numFmt w:val="upperLetter"/>
      <w:start w:val="1"/>
    </w:lvl>
  </w:abstractNum>
  <w:abstractNum w:abstractNumId="96">
    <w:nsid w:val="6CAA2304"/>
    <w:multiLevelType w:val="hybridMultilevel"/>
    <w:lvl w:ilvl="0">
      <w:lvlJc w:val="left"/>
      <w:lvlText w:val="•"/>
      <w:numFmt w:val="bullet"/>
      <w:start w:val="1"/>
    </w:lvl>
    <w:lvl w:ilvl="1">
      <w:lvlJc w:val="left"/>
      <w:lvlText w:val="◦"/>
      <w:numFmt w:val="bullet"/>
      <w:start w:val="1"/>
    </w:lvl>
  </w:abstractNum>
  <w:abstractNum w:abstractNumId="97">
    <w:nsid w:val="3F7C2FF4"/>
    <w:multiLevelType w:val="hybridMultilevel"/>
    <w:lvl w:ilvl="0">
      <w:lvlJc w:val="left"/>
      <w:lvlText w:val="•"/>
      <w:numFmt w:val="bullet"/>
      <w:start w:val="1"/>
    </w:lvl>
  </w:abstractNum>
  <w:abstractNum w:abstractNumId="98">
    <w:nsid w:val="25413BEC"/>
    <w:multiLevelType w:val="hybridMultilevel"/>
    <w:lvl w:ilvl="0">
      <w:lvlJc w:val="left"/>
      <w:lvlText w:val="▪"/>
      <w:numFmt w:val="bullet"/>
      <w:start w:val="1"/>
    </w:lvl>
  </w:abstractNum>
  <w:abstractNum w:abstractNumId="99">
    <w:nsid w:val="17180B0B"/>
    <w:multiLevelType w:val="hybridMultilevel"/>
    <w:lvl w:ilvl="0">
      <w:lvlJc w:val="left"/>
      <w:lvlText w:val="[%1]"/>
      <w:numFmt w:val="upperLetter"/>
      <w:start w:val="1"/>
    </w:lvl>
  </w:abstractNum>
  <w:abstractNum w:abstractNumId="100">
    <w:nsid w:val="579328B9"/>
    <w:multiLevelType w:val="hybridMultilevel"/>
    <w:lvl w:ilvl="0">
      <w:lvlJc w:val="left"/>
      <w:lvlText w:val="•"/>
      <w:numFmt w:val="bullet"/>
      <w:start w:val="1"/>
    </w:lvl>
  </w:abstractNum>
  <w:abstractNum w:abstractNumId="101">
    <w:nsid w:val="5D205E20"/>
    <w:multiLevelType w:val="hybridMultilevel"/>
    <w:lvl w:ilvl="0">
      <w:lvlJc w:val="left"/>
      <w:lvlText w:val="•"/>
      <w:numFmt w:val="bullet"/>
      <w:start w:val="1"/>
    </w:lvl>
  </w:abstractNum>
  <w:abstractNum w:abstractNumId="102">
    <w:nsid w:val="11CCA8BA"/>
    <w:multiLevelType w:val="hybridMultilevel"/>
    <w:lvl w:ilvl="0">
      <w:lvlJc w:val="left"/>
      <w:lvlText w:val="[%1]"/>
      <w:numFmt w:val="upperLetter"/>
      <w:start w:val="1"/>
    </w:lvl>
  </w:abstractNum>
  <w:abstractNum w:abstractNumId="103">
    <w:nsid w:val="4D32AB86"/>
    <w:multiLevelType w:val="hybridMultilevel"/>
    <w:lvl w:ilvl="0">
      <w:lvlJc w:val="left"/>
      <w:lvlText w:val="•"/>
      <w:numFmt w:val="bullet"/>
      <w:start w:val="1"/>
    </w:lvl>
  </w:abstractNum>
  <w:abstractNum w:abstractNumId="104">
    <w:nsid w:val="3F07ACC3"/>
    <w:multiLevelType w:val="hybridMultilevel"/>
    <w:lvl w:ilvl="0">
      <w:lvlJc w:val="left"/>
      <w:lvlText w:val="•"/>
      <w:numFmt w:val="bullet"/>
      <w:start w:val="1"/>
    </w:lvl>
  </w:abstractNum>
  <w:abstractNum w:abstractNumId="105">
    <w:nsid w:val="6B47F63E"/>
    <w:multiLevelType w:val="hybridMultilevel"/>
    <w:lvl w:ilvl="0">
      <w:lvlJc w:val="left"/>
      <w:lvlText w:val="•"/>
      <w:numFmt w:val="bullet"/>
      <w:start w:val="1"/>
    </w:lvl>
  </w:abstractNum>
  <w:abstractNum w:abstractNumId="106">
    <w:nsid w:val="5CB44A05"/>
    <w:multiLevelType w:val="hybridMultilevel"/>
    <w:lvl w:ilvl="0">
      <w:lvlJc w:val="left"/>
      <w:lvlText w:val="•"/>
      <w:numFmt w:val="bullet"/>
      <w:start w:val="1"/>
    </w:lvl>
  </w:abstractNum>
  <w:abstractNum w:abstractNumId="107">
    <w:nsid w:val="16CF80F1"/>
    <w:multiLevelType w:val="hybridMultilevel"/>
    <w:lvl w:ilvl="0">
      <w:lvlJc w:val="left"/>
      <w:lvlText w:val="•"/>
      <w:numFmt w:val="bullet"/>
      <w:start w:val="1"/>
    </w:lvl>
  </w:abstractNum>
  <w:abstractNum w:abstractNumId="108">
    <w:nsid w:val="1C695DEC"/>
    <w:multiLevelType w:val="hybridMultilevel"/>
    <w:lvl w:ilvl="0">
      <w:lvlJc w:val="left"/>
      <w:lvlText w:val="•"/>
      <w:numFmt w:val="bullet"/>
      <w:start w:val="1"/>
    </w:lvl>
  </w:abstractNum>
  <w:abstractNum w:abstractNumId="109">
    <w:nsid w:val="3FCFAED9"/>
    <w:multiLevelType w:val="hybridMultilevel"/>
    <w:lvl w:ilvl="0">
      <w:lvlJc w:val="left"/>
      <w:lvlText w:val="•"/>
      <w:numFmt w:val="bullet"/>
      <w:start w:val="1"/>
    </w:lvl>
  </w:abstractNum>
  <w:abstractNum w:abstractNumId="110">
    <w:nsid w:val="F856867"/>
    <w:multiLevelType w:val="hybridMultilevel"/>
    <w:lvl w:ilvl="0">
      <w:lvlJc w:val="left"/>
      <w:lvlText w:val="•"/>
      <w:numFmt w:val="bullet"/>
      <w:start w:val="1"/>
    </w:lvl>
  </w:abstractNum>
  <w:abstractNum w:abstractNumId="111">
    <w:nsid w:val="11B1CC33"/>
    <w:multiLevelType w:val="hybridMultilevel"/>
    <w:lvl w:ilvl="0">
      <w:lvlJc w:val="left"/>
      <w:lvlText w:val="•"/>
      <w:numFmt w:val="bullet"/>
      <w:start w:val="1"/>
    </w:lvl>
  </w:abstractNum>
  <w:abstractNum w:abstractNumId="112">
    <w:nsid w:val="2E22FBB7"/>
    <w:multiLevelType w:val="hybridMultilevel"/>
    <w:lvl w:ilvl="0">
      <w:lvlJc w:val="left"/>
      <w:lvlText w:val="•"/>
      <w:numFmt w:val="bullet"/>
      <w:start w:val="1"/>
    </w:lvl>
  </w:abstractNum>
  <w:abstractNum w:abstractNumId="113">
    <w:nsid w:val="29934699"/>
    <w:multiLevelType w:val="hybridMultilevel"/>
    <w:lvl w:ilvl="0">
      <w:lvlJc w:val="left"/>
      <w:lvlText w:val="▪"/>
      <w:numFmt w:val="bullet"/>
      <w:start w:val="1"/>
    </w:lvl>
  </w:abstractNum>
  <w:abstractNum w:abstractNumId="114">
    <w:nsid w:val="77485850"/>
    <w:multiLevelType w:val="hybridMultilevel"/>
    <w:lvl w:ilvl="0">
      <w:lvlJc w:val="left"/>
      <w:lvlText w:val="[%1]"/>
      <w:numFmt w:val="upperLetter"/>
      <w:start w:val="1"/>
    </w:lvl>
  </w:abstractNum>
  <w:abstractNum w:abstractNumId="115">
    <w:nsid w:val="744939A3"/>
    <w:multiLevelType w:val="hybridMultilevel"/>
    <w:lvl w:ilvl="0">
      <w:lvlJc w:val="left"/>
      <w:lvlText w:val="▪"/>
      <w:numFmt w:val="bullet"/>
      <w:start w:val="1"/>
    </w:lvl>
  </w:abstractNum>
  <w:abstractNum w:abstractNumId="116">
    <w:nsid w:val="4FA0D2E3"/>
    <w:multiLevelType w:val="hybridMultilevel"/>
    <w:lvl w:ilvl="0">
      <w:lvlJc w:val="left"/>
      <w:lvlText w:val="▪"/>
      <w:numFmt w:val="bullet"/>
      <w:start w:val="1"/>
    </w:lvl>
  </w:abstractNum>
  <w:abstractNum w:abstractNumId="117">
    <w:nsid w:val="6B1D2C14"/>
    <w:multiLevelType w:val="hybridMultilevel"/>
    <w:lvl w:ilvl="0">
      <w:lvlJc w:val="left"/>
      <w:lvlText w:val="[%1]"/>
      <w:numFmt w:val="upperLetter"/>
      <w:start w:val="1"/>
    </w:lvl>
  </w:abstractNum>
  <w:abstractNum w:abstractNumId="118">
    <w:nsid w:val="68B867D3"/>
    <w:multiLevelType w:val="hybridMultilevel"/>
    <w:lvl w:ilvl="0">
      <w:lvlJc w:val="left"/>
      <w:lvlText w:val="[%1]"/>
      <w:numFmt w:val="upperLetter"/>
      <w:start w:val="1"/>
    </w:lvl>
  </w:abstractNum>
  <w:abstractNum w:abstractNumId="119">
    <w:nsid w:val="3F7F5DD9"/>
    <w:multiLevelType w:val="hybridMultilevel"/>
    <w:lvl w:ilvl="0">
      <w:lvlJc w:val="left"/>
      <w:lvlText w:val="▪"/>
      <w:numFmt w:val="bullet"/>
      <w:start w:val="1"/>
    </w:lvl>
  </w:abstractNum>
  <w:abstractNum w:abstractNumId="120">
    <w:nsid w:val="2AE05A34"/>
    <w:multiLevelType w:val="hybridMultilevel"/>
    <w:lvl w:ilvl="0">
      <w:lvlJc w:val="left"/>
      <w:lvlText w:val="▪"/>
      <w:numFmt w:val="bullet"/>
      <w:start w:val="1"/>
    </w:lvl>
  </w:abstractNum>
  <w:abstractNum w:abstractNumId="121">
    <w:nsid w:val="32794FF7"/>
    <w:multiLevelType w:val="hybridMultilevel"/>
    <w:lvl w:ilvl="0">
      <w:lvlJc w:val="left"/>
      <w:lvlText w:val="[%1]"/>
      <w:numFmt w:val="upperLetter"/>
      <w:start w:val="1"/>
    </w:lvl>
  </w:abstractNum>
  <w:abstractNum w:abstractNumId="122">
    <w:nsid w:val="5454945E"/>
    <w:multiLevelType w:val="hybridMultilevel"/>
    <w:lvl w:ilvl="0">
      <w:lvlJc w:val="left"/>
      <w:lvlText w:val="▪"/>
      <w:numFmt w:val="bullet"/>
      <w:start w:val="1"/>
    </w:lvl>
  </w:abstractNum>
  <w:abstractNum w:abstractNumId="123">
    <w:nsid w:val="4DEFDFA0"/>
    <w:multiLevelType w:val="hybridMultilevel"/>
    <w:lvl w:ilvl="0">
      <w:lvlJc w:val="left"/>
      <w:lvlText w:val="▪"/>
      <w:numFmt w:val="bullet"/>
      <w:start w:val="1"/>
    </w:lvl>
  </w:abstractNum>
  <w:abstractNum w:abstractNumId="124">
    <w:nsid w:val="2123D5F2"/>
    <w:multiLevelType w:val="hybridMultilevel"/>
    <w:lvl w:ilvl="0">
      <w:lvlJc w:val="left"/>
      <w:lvlText w:val="▪"/>
      <w:numFmt w:val="bullet"/>
      <w:start w:val="1"/>
    </w:lvl>
  </w:abstractNum>
  <w:abstractNum w:abstractNumId="125">
    <w:nsid w:val="135B8110"/>
    <w:multiLevelType w:val="hybridMultilevel"/>
    <w:lvl w:ilvl="0">
      <w:lvlJc w:val="left"/>
      <w:lvlText w:val="▪"/>
      <w:numFmt w:val="bullet"/>
      <w:start w:val="1"/>
    </w:lvl>
  </w:abstractNum>
  <w:abstractNum w:abstractNumId="126">
    <w:nsid w:val="94927A8"/>
    <w:multiLevelType w:val="hybridMultilevel"/>
    <w:lvl w:ilvl="0">
      <w:lvlJc w:val="left"/>
      <w:lvlText w:val="▪"/>
      <w:numFmt w:val="bullet"/>
      <w:start w:val="1"/>
    </w:lvl>
  </w:abstractNum>
  <w:abstractNum w:abstractNumId="127">
    <w:nsid w:val="DCDF8F6"/>
    <w:multiLevelType w:val="hybridMultilevel"/>
    <w:lvl w:ilvl="0">
      <w:lvlJc w:val="left"/>
      <w:lvlText w:val="•"/>
      <w:numFmt w:val="bullet"/>
      <w:start w:val="1"/>
    </w:lvl>
  </w:abstractNum>
  <w:abstractNum w:abstractNumId="128">
    <w:nsid w:val="52D7B105"/>
    <w:multiLevelType w:val="hybridMultilevel"/>
    <w:lvl w:ilvl="0">
      <w:lvlJc w:val="left"/>
      <w:lvlText w:val="[%1]"/>
      <w:numFmt w:val="upperLetter"/>
      <w:start w:val="1"/>
    </w:lvl>
  </w:abstractNum>
  <w:abstractNum w:abstractNumId="129">
    <w:nsid w:val="2E8A6394"/>
    <w:multiLevelType w:val="hybridMultilevel"/>
    <w:lvl w:ilvl="0">
      <w:lvlJc w:val="left"/>
      <w:lvlText w:val="•"/>
      <w:numFmt w:val="bullet"/>
      <w:start w:val="1"/>
    </w:lvl>
  </w:abstractNum>
  <w:abstractNum w:abstractNumId="130">
    <w:nsid w:val="24E60401"/>
    <w:multiLevelType w:val="hybridMultilevel"/>
    <w:lvl w:ilvl="0">
      <w:lvlJc w:val="left"/>
      <w:lvlText w:val="[%1]"/>
      <w:numFmt w:val="upperLetter"/>
      <w:start w:val="1"/>
    </w:lvl>
  </w:abstractNum>
  <w:abstractNum w:abstractNumId="131">
    <w:nsid w:val="2A6AD9BE"/>
    <w:multiLevelType w:val="hybridMultilevel"/>
    <w:lvl w:ilvl="0">
      <w:lvlJc w:val="left"/>
      <w:lvlText w:val="[%1]"/>
      <w:numFmt w:val="upperLetter"/>
      <w:start w:val="1"/>
    </w:lvl>
  </w:abstractNum>
  <w:abstractNum w:abstractNumId="132">
    <w:nsid w:val="BAAC1B4"/>
    <w:multiLevelType w:val="hybridMultilevel"/>
    <w:lvl w:ilvl="0">
      <w:lvlJc w:val="left"/>
      <w:lvlText w:val="[%1]"/>
      <w:numFmt w:val="upperLetter"/>
      <w:start w:val="1"/>
    </w:lvl>
  </w:abstractNum>
  <w:abstractNum w:abstractNumId="133">
    <w:nsid w:val="36B2ACBC"/>
    <w:multiLevelType w:val="hybridMultilevel"/>
    <w:lvl w:ilvl="0">
      <w:lvlJc w:val="left"/>
      <w:lvlText w:val="[%1]"/>
      <w:numFmt w:val="upperLetter"/>
      <w:start w:val="1"/>
    </w:lvl>
  </w:abstractNum>
  <w:abstractNum w:abstractNumId="134">
    <w:nsid w:val="779D8544"/>
    <w:multiLevelType w:val="hybridMultilevel"/>
    <w:lvl w:ilvl="0">
      <w:lvlJc w:val="left"/>
      <w:lvlText w:val="▪"/>
      <w:numFmt w:val="bullet"/>
      <w:start w:val="1"/>
    </w:lvl>
  </w:abstractNum>
  <w:abstractNum w:abstractNumId="135">
    <w:nsid w:val="4AB26E78"/>
    <w:multiLevelType w:val="hybridMultilevel"/>
    <w:lvl w:ilvl="0">
      <w:lvlJc w:val="left"/>
      <w:lvlText w:val="▪"/>
      <w:numFmt w:val="bullet"/>
      <w:start w:val="1"/>
    </w:lvl>
  </w:abstractNum>
  <w:abstractNum w:abstractNumId="136">
    <w:nsid w:val="21FAA2FA"/>
    <w:multiLevelType w:val="hybridMultilevel"/>
    <w:lvl w:ilvl="0">
      <w:lvlJc w:val="left"/>
      <w:lvlText w:val="▪"/>
      <w:numFmt w:val="bullet"/>
      <w:start w:val="1"/>
    </w:lvl>
  </w:abstractNum>
  <w:abstractNum w:abstractNumId="137">
    <w:nsid w:val="5451CF49"/>
    <w:multiLevelType w:val="hybridMultilevel"/>
    <w:lvl w:ilvl="0">
      <w:lvlJc w:val="left"/>
      <w:lvlText w:val="•"/>
      <w:numFmt w:val="bullet"/>
      <w:start w:val="1"/>
    </w:lvl>
  </w:abstractNum>
  <w:abstractNum w:abstractNumId="138">
    <w:nsid w:val="6181EF69"/>
    <w:multiLevelType w:val="hybridMultilevel"/>
    <w:lvl w:ilvl="0">
      <w:lvlJc w:val="left"/>
      <w:lvlText w:val="•"/>
      <w:numFmt w:val="bullet"/>
      <w:start w:val="1"/>
    </w:lvl>
  </w:abstractNum>
  <w:abstractNum w:abstractNumId="139">
    <w:nsid w:val="3E6400E6"/>
    <w:multiLevelType w:val="hybridMultilevel"/>
    <w:lvl w:ilvl="0">
      <w:lvlJc w:val="left"/>
      <w:lvlText w:val="•"/>
      <w:numFmt w:val="bullet"/>
      <w:start w:val="1"/>
    </w:lvl>
  </w:abstractNum>
  <w:abstractNum w:abstractNumId="140">
    <w:nsid w:val="14217E23"/>
    <w:multiLevelType w:val="hybridMultilevel"/>
    <w:lvl w:ilvl="0">
      <w:lvlJc w:val="left"/>
      <w:lvlText w:val="•"/>
      <w:numFmt w:val="bullet"/>
      <w:start w:val="1"/>
    </w:lvl>
  </w:abstractNum>
  <w:abstractNum w:abstractNumId="141">
    <w:nsid w:val="710757D0"/>
    <w:multiLevelType w:val="hybridMultilevel"/>
    <w:lvl w:ilvl="0">
      <w:lvlJc w:val="left"/>
      <w:lvlText w:val="▪"/>
      <w:numFmt w:val="bullet"/>
      <w:start w:val="1"/>
    </w:lvl>
  </w:abstractNum>
  <w:abstractNum w:abstractNumId="142">
    <w:nsid w:val="5015CD1A"/>
    <w:multiLevelType w:val="hybridMultilevel"/>
    <w:lvl w:ilvl="0">
      <w:lvlJc w:val="left"/>
      <w:lvlText w:val="▪"/>
      <w:numFmt w:val="bullet"/>
      <w:start w:val="1"/>
    </w:lvl>
  </w:abstractNum>
  <w:abstractNum w:abstractNumId="143">
    <w:nsid w:val="424479DA"/>
    <w:multiLevelType w:val="hybridMultilevel"/>
    <w:lvl w:ilvl="0">
      <w:lvlJc w:val="left"/>
      <w:lvlText w:val="▪"/>
      <w:numFmt w:val="bullet"/>
      <w:start w:val="1"/>
    </w:lvl>
  </w:abstractNum>
  <w:abstractNum w:abstractNumId="144">
    <w:nsid w:val="1A9A9E69"/>
    <w:multiLevelType w:val="hybridMultilevel"/>
    <w:lvl w:ilvl="0">
      <w:lvlJc w:val="left"/>
      <w:lvlText w:val="•"/>
      <w:numFmt w:val="bullet"/>
      <w:start w:val="1"/>
    </w:lvl>
  </w:abstractNum>
  <w:abstractNum w:abstractNumId="145">
    <w:nsid w:val="475E256A"/>
    <w:multiLevelType w:val="hybridMultilevel"/>
    <w:lvl w:ilvl="0">
      <w:lvlJc w:val="left"/>
      <w:lvlText w:val="•"/>
      <w:numFmt w:val="bullet"/>
      <w:start w:val="1"/>
    </w:lvl>
  </w:abstractNum>
  <w:abstractNum w:abstractNumId="146">
    <w:nsid w:val="368DB37E"/>
    <w:multiLevelType w:val="hybridMultilevel"/>
    <w:lvl w:ilvl="0">
      <w:lvlJc w:val="left"/>
      <w:lvlText w:val="•"/>
      <w:numFmt w:val="bullet"/>
      <w:start w:val="1"/>
    </w:lvl>
  </w:abstractNum>
  <w:abstractNum w:abstractNumId="147">
    <w:nsid w:val="6A3B714C"/>
    <w:multiLevelType w:val="hybridMultilevel"/>
    <w:lvl w:ilvl="0">
      <w:lvlJc w:val="left"/>
      <w:lvlText w:val="•"/>
      <w:numFmt w:val="bullet"/>
      <w:start w:val="1"/>
    </w:lvl>
  </w:abstractNum>
  <w:abstractNum w:abstractNumId="148">
    <w:nsid w:val="327B517E"/>
    <w:multiLevelType w:val="hybridMultilevel"/>
    <w:lvl w:ilvl="0">
      <w:lvlJc w:val="left"/>
      <w:lvlText w:val="•"/>
      <w:numFmt w:val="bullet"/>
      <w:start w:val="1"/>
    </w:lvl>
  </w:abstractNum>
  <w:abstractNum w:abstractNumId="149">
    <w:nsid w:val="1F461B51"/>
    <w:multiLevelType w:val="hybridMultilevel"/>
    <w:lvl w:ilvl="0">
      <w:lvlJc w:val="left"/>
      <w:lvlText w:val="•"/>
      <w:numFmt w:val="bullet"/>
      <w:start w:val="1"/>
    </w:lvl>
  </w:abstractNum>
  <w:abstractNum w:abstractNumId="150">
    <w:nsid w:val="29BACF25"/>
    <w:multiLevelType w:val="hybridMultilevel"/>
    <w:lvl w:ilvl="0">
      <w:lvlJc w:val="left"/>
      <w:lvlText w:val="•"/>
      <w:numFmt w:val="bullet"/>
      <w:start w:val="1"/>
    </w:lvl>
  </w:abstractNum>
  <w:abstractNum w:abstractNumId="151">
    <w:nsid w:val="5D5BABB3"/>
    <w:multiLevelType w:val="hybridMultilevel"/>
    <w:lvl w:ilvl="0">
      <w:lvlJc w:val="left"/>
      <w:lvlText w:val="•"/>
      <w:numFmt w:val="bullet"/>
      <w:start w:val="1"/>
    </w:lvl>
  </w:abstractNum>
  <w:abstractNum w:abstractNumId="152">
    <w:nsid w:val="51BF6B48"/>
    <w:multiLevelType w:val="hybridMultilevel"/>
    <w:lvl w:ilvl="0">
      <w:lvlJc w:val="left"/>
      <w:lvlText w:val="•"/>
      <w:numFmt w:val="bullet"/>
      <w:start w:val="1"/>
    </w:lvl>
  </w:abstractNum>
  <w:abstractNum w:abstractNumId="153">
    <w:nsid w:val="7E0F6384"/>
    <w:multiLevelType w:val="hybridMultilevel"/>
    <w:lvl w:ilvl="0">
      <w:lvlJc w:val="left"/>
      <w:lvlText w:val="•"/>
      <w:numFmt w:val="bullet"/>
      <w:start w:val="1"/>
    </w:lvl>
  </w:abstractNum>
  <w:abstractNum w:abstractNumId="154">
    <w:nsid w:val="2B4B8B53"/>
    <w:multiLevelType w:val="hybridMultilevel"/>
    <w:lvl w:ilvl="0">
      <w:lvlJc w:val="left"/>
      <w:lvlText w:val="•"/>
      <w:numFmt w:val="bullet"/>
      <w:start w:val="1"/>
    </w:lvl>
  </w:abstractNum>
  <w:abstractNum w:abstractNumId="155">
    <w:nsid w:val="72E3413A"/>
    <w:multiLevelType w:val="hybridMultilevel"/>
    <w:lvl w:ilvl="0">
      <w:lvlJc w:val="left"/>
      <w:lvlText w:val="[%1]"/>
      <w:numFmt w:val="upperLetter"/>
      <w:start w:val="1"/>
    </w:lvl>
  </w:abstractNum>
  <w:abstractNum w:abstractNumId="156">
    <w:nsid w:val="116AE494"/>
    <w:multiLevelType w:val="hybridMultilevel"/>
    <w:lvl w:ilvl="0">
      <w:lvlJc w:val="left"/>
      <w:lvlText w:val="%1."/>
      <w:numFmt w:val="upperLetter"/>
      <w:start w:val="1"/>
    </w:lvl>
  </w:abstractNum>
  <w:abstractNum w:abstractNumId="157">
    <w:nsid w:val="3494B2FB"/>
    <w:multiLevelType w:val="hybridMultilevel"/>
    <w:lvl w:ilvl="0">
      <w:lvlJc w:val="left"/>
      <w:lvlText w:val="%1"/>
      <w:numFmt w:val="decimal"/>
      <w:start w:val="165"/>
    </w:lvl>
  </w:abstractNum>
  <w:abstractNum w:abstractNumId="158">
    <w:nsid w:val="B13A31"/>
    <w:multiLevelType w:val="hybridMultilevel"/>
    <w:lvl w:ilvl="0">
      <w:lvlJc w:val="left"/>
      <w:lvlText w:val="%1"/>
      <w:numFmt w:val="decimal"/>
      <w:start w:val="182"/>
    </w:lvl>
  </w:abstractNum>
  <w:abstractNum w:abstractNumId="159">
    <w:nsid w:val="64429599"/>
    <w:multiLevelType w:val="hybridMultilevel"/>
    <w:lvl w:ilvl="0">
      <w:lvlJc w:val="left"/>
      <w:lvlText w:val="%1"/>
      <w:numFmt w:val="decimal"/>
      <w:start w:val="186"/>
    </w:lvl>
  </w:abstractNum>
  <w:abstractNum w:abstractNumId="160">
    <w:nsid w:val="631F1690"/>
    <w:multiLevelType w:val="hybridMultilevel"/>
    <w:lvl w:ilvl="0">
      <w:lvlJc w:val="left"/>
      <w:lvlText w:val="%1"/>
      <w:numFmt w:val="decimal"/>
      <w:start w:val="187"/>
    </w:lvl>
  </w:abstractNum>
  <w:abstractNum w:abstractNumId="161">
    <w:nsid w:val="25973E32"/>
    <w:multiLevelType w:val="hybridMultilevel"/>
    <w:lvl w:ilvl="0">
      <w:lvlJc w:val="left"/>
      <w:lvlText w:val="%1"/>
      <w:numFmt w:val="decimal"/>
      <w:start w:val="188"/>
    </w:lvl>
  </w:abstractNum>
  <w:abstractNum w:abstractNumId="162">
    <w:nsid w:val="EAD6F57"/>
    <w:multiLevelType w:val="hybridMultilevel"/>
    <w:lvl w:ilvl="0">
      <w:lvlJc w:val="left"/>
      <w:lvlText w:val="%1"/>
      <w:numFmt w:val="decimal"/>
      <w:start w:val="198"/>
    </w:lvl>
  </w:abstractNum>
  <w:abstractNum w:abstractNumId="163">
    <w:nsid w:val="6EC9D844"/>
    <w:multiLevelType w:val="hybridMultilevel"/>
    <w:lvl w:ilvl="0">
      <w:lvlJc w:val="left"/>
      <w:lvlText w:val="%1"/>
      <w:numFmt w:val="decimal"/>
      <w:start w:val="204"/>
    </w:lvl>
  </w:abstractNum>
  <w:abstractNum w:abstractNumId="164">
    <w:nsid w:val="5C49EAEE"/>
    <w:multiLevelType w:val="hybridMultilevel"/>
    <w:lvl w:ilvl="0">
      <w:lvlJc w:val="left"/>
      <w:lvlText w:val="%1"/>
      <w:numFmt w:val="decimal"/>
      <w:start w:val="209"/>
    </w:lvl>
  </w:abstractNum>
  <w:abstractNum w:abstractNumId="165">
    <w:nsid w:val="64AF49B"/>
    <w:multiLevelType w:val="hybridMultilevel"/>
    <w:lvl w:ilvl="0">
      <w:lvlJc w:val="left"/>
      <w:lvlText w:val="%1"/>
      <w:numFmt w:val="decimal"/>
      <w:start w:val="210"/>
    </w:lvl>
  </w:abstractNum>
  <w:abstractNum w:abstractNumId="166">
    <w:nsid w:val="397C46BC"/>
    <w:multiLevelType w:val="hybridMultilevel"/>
    <w:lvl w:ilvl="0">
      <w:lvlJc w:val="left"/>
      <w:lvlText w:val="[%1]"/>
      <w:numFmt w:val="upperLetter"/>
      <w:start w:val="1"/>
    </w:lvl>
  </w:abstractNum>
  <w:abstractNum w:abstractNumId="167">
    <w:nsid w:val="7E448DE9"/>
    <w:multiLevelType w:val="hybridMultilevel"/>
    <w:lvl w:ilvl="0">
      <w:lvlJc w:val="left"/>
      <w:lvlText w:val="[%1]"/>
      <w:numFmt w:val="upperLetter"/>
      <w:start w:val="1"/>
    </w:lvl>
  </w:abstractNum>
  <w:abstractNum w:abstractNumId="168">
    <w:nsid w:val="5A9CC3E5"/>
    <w:multiLevelType w:val="hybridMultilevel"/>
    <w:lvl w:ilvl="0">
      <w:lvlJc w:val="left"/>
      <w:lvlText w:val="[%1]"/>
      <w:numFmt w:val="upperLetter"/>
      <w:start w:val="1"/>
    </w:lvl>
  </w:abstractNum>
  <w:abstractNum w:abstractNumId="169">
    <w:nsid w:val="1AFE3625"/>
    <w:multiLevelType w:val="hybridMultilevel"/>
    <w:lvl w:ilvl="0">
      <w:lvlJc w:val="left"/>
      <w:lvlText w:val="[%1]"/>
      <w:numFmt w:val="upperLetter"/>
      <w:start w:val="1"/>
    </w:lvl>
  </w:abstractNum>
  <w:abstractNum w:abstractNumId="170">
    <w:nsid w:val="3CA88ECF"/>
    <w:multiLevelType w:val="hybridMultilevel"/>
    <w:lvl w:ilvl="0">
      <w:lvlJc w:val="left"/>
      <w:lvlText w:val="[%1]"/>
      <w:numFmt w:val="upperLetter"/>
      <w:start w:val="1"/>
    </w:lvl>
  </w:abstractNum>
  <w:abstractNum w:abstractNumId="171">
    <w:nsid w:val="6EBE4208"/>
    <w:multiLevelType w:val="hybridMultilevel"/>
    <w:lvl w:ilvl="0">
      <w:lvlJc w:val="left"/>
      <w:lvlText w:val="[%1]"/>
      <w:numFmt w:val="upperLetter"/>
      <w:start w:val="1"/>
    </w:lvl>
  </w:abstractNum>
  <w:abstractNum w:abstractNumId="172">
    <w:nsid w:val="C058DF5"/>
    <w:multiLevelType w:val="hybridMultilevel"/>
    <w:lvl w:ilvl="0">
      <w:lvlJc w:val="left"/>
      <w:lvlText w:val="[%1]"/>
      <w:numFmt w:val="upperLetter"/>
      <w:start w:val="1"/>
    </w:lvl>
  </w:abstractNum>
  <w:abstractNum w:abstractNumId="173">
    <w:nsid w:val="CBE5BE9"/>
    <w:multiLevelType w:val="hybridMultilevel"/>
    <w:lvl w:ilvl="0">
      <w:lvlJc w:val="left"/>
      <w:lvlText w:val="[%1]"/>
      <w:numFmt w:val="upperLetter"/>
      <w:start w:val="1"/>
    </w:lvl>
  </w:abstractNum>
  <w:abstractNum w:abstractNumId="174">
    <w:nsid w:val="3102BBE2"/>
    <w:multiLevelType w:val="hybridMultilevel"/>
    <w:lvl w:ilvl="0">
      <w:lvlJc w:val="left"/>
      <w:lvlText w:val="[%1]"/>
      <w:numFmt w:val="upperLetter"/>
      <w:start w:val="1"/>
    </w:lvl>
  </w:abstractNum>
  <w:abstractNum w:abstractNumId="175">
    <w:nsid w:val="26A02C5E"/>
    <w:multiLevelType w:val="hybridMultilevel"/>
    <w:lvl w:ilvl="0">
      <w:lvlJc w:val="left"/>
      <w:lvlText w:val="[%1]"/>
      <w:numFmt w:val="upperLetter"/>
      <w:start w:val="1"/>
    </w:lvl>
  </w:abstractNum>
  <w:abstractNum w:abstractNumId="176">
    <w:nsid w:val="541C8153"/>
    <w:multiLevelType w:val="hybridMultilevel"/>
    <w:lvl w:ilvl="0">
      <w:lvlJc w:val="left"/>
      <w:lvlText w:val="[%1]"/>
      <w:numFmt w:val="upperLetter"/>
      <w:start w:val="1"/>
    </w:lvl>
  </w:abstractNum>
  <w:abstractNum w:abstractNumId="177">
    <w:nsid w:val="67906F60"/>
    <w:multiLevelType w:val="hybridMultilevel"/>
    <w:lvl w:ilvl="0">
      <w:lvlJc w:val="left"/>
      <w:lvlText w:val="[%1]"/>
      <w:numFmt w:val="upperLetter"/>
      <w:start w:val="1"/>
    </w:lvl>
  </w:abstractNum>
  <w:abstractNum w:abstractNumId="178">
    <w:nsid w:val="10DB9DAA"/>
    <w:multiLevelType w:val="hybridMultilevel"/>
    <w:lvl w:ilvl="0">
      <w:lvlJc w:val="left"/>
      <w:lvlText w:val="•"/>
      <w:numFmt w:val="bullet"/>
      <w:start w:val="1"/>
    </w:lvl>
  </w:abstractNum>
  <w:abstractNum w:abstractNumId="179">
    <w:nsid w:val="697D2D2"/>
    <w:multiLevelType w:val="hybridMultilevel"/>
    <w:lvl w:ilvl="0">
      <w:lvlJc w:val="left"/>
      <w:lvlText w:val="•"/>
      <w:numFmt w:val="bullet"/>
      <w:start w:val="1"/>
    </w:lvl>
  </w:abstractNum>
  <w:abstractNum w:abstractNumId="180">
    <w:nsid w:val="6D68AB2"/>
    <w:multiLevelType w:val="hybridMultilevel"/>
    <w:lvl w:ilvl="0">
      <w:lvlJc w:val="left"/>
      <w:lvlText w:val="[%1]"/>
      <w:numFmt w:val="upperLetter"/>
      <w:start w:val="1"/>
    </w:lvl>
  </w:abstractNum>
  <w:abstractNum w:abstractNumId="181">
    <w:nsid w:val="3A966CD0"/>
    <w:multiLevelType w:val="hybridMultilevel"/>
    <w:lvl w:ilvl="0">
      <w:lvlJc w:val="left"/>
      <w:lvlText w:val="•"/>
      <w:numFmt w:val="bullet"/>
      <w:start w:val="1"/>
    </w:lvl>
  </w:abstractNum>
  <w:abstractNum w:abstractNumId="182">
    <w:nsid w:val="63F37E85"/>
    <w:multiLevelType w:val="hybridMultilevel"/>
    <w:lvl w:ilvl="0">
      <w:lvlJc w:val="left"/>
      <w:lvlText w:val="[%1]"/>
      <w:numFmt w:val="upperLetter"/>
      <w:start w:val="1"/>
    </w:lvl>
  </w:abstractNum>
  <w:abstractNum w:abstractNumId="183">
    <w:nsid w:val="5895F5FA"/>
    <w:multiLevelType w:val="hybridMultilevel"/>
    <w:lvl w:ilvl="0">
      <w:lvlJc w:val="left"/>
      <w:lvlText w:val="[%1]"/>
      <w:numFmt w:val="upperLetter"/>
      <w:start w:val="1"/>
    </w:lvl>
  </w:abstractNum>
  <w:abstractNum w:abstractNumId="184">
    <w:nsid w:val="38A5D054"/>
    <w:multiLevelType w:val="hybridMultilevel"/>
    <w:lvl w:ilvl="0">
      <w:lvlJc w:val="left"/>
      <w:lvlText w:val="[%1]"/>
      <w:numFmt w:val="upperLetter"/>
      <w:start w:val="1"/>
    </w:lvl>
  </w:abstractNum>
  <w:abstractNum w:abstractNumId="185">
    <w:nsid w:val="F3F09D8"/>
    <w:multiLevelType w:val="hybridMultilevel"/>
    <w:lvl w:ilvl="0">
      <w:lvlJc w:val="left"/>
      <w:lvlText w:val="[%1]"/>
      <w:numFmt w:val="upperLetter"/>
      <w:start w:val="1"/>
    </w:lvl>
  </w:abstractNum>
  <w:abstractNum w:abstractNumId="186">
    <w:nsid w:val="4B793735"/>
    <w:multiLevelType w:val="hybridMultilevel"/>
    <w:lvl w:ilvl="0">
      <w:lvlJc w:val="left"/>
      <w:lvlText w:val="[%1]"/>
      <w:numFmt w:val="upperLetter"/>
      <w:start w:val="1"/>
    </w:lvl>
  </w:abstractNum>
  <w:abstractNum w:abstractNumId="187">
    <w:nsid w:val="4A10B4E8"/>
    <w:multiLevelType w:val="hybridMultilevel"/>
    <w:lvl w:ilvl="0">
      <w:lvlJc w:val="left"/>
      <w:lvlText w:val="[%1]"/>
      <w:numFmt w:val="upperLetter"/>
      <w:start w:val="1"/>
    </w:lvl>
  </w:abstractNum>
  <w:abstractNum w:abstractNumId="188">
    <w:nsid w:val="43D3BCD4"/>
    <w:multiLevelType w:val="hybridMultilevel"/>
    <w:lvl w:ilvl="0">
      <w:lvlJc w:val="left"/>
      <w:lvlText w:val="[%1]"/>
      <w:numFmt w:val="upperLetter"/>
      <w:start w:val="1"/>
    </w:lvl>
  </w:abstractNum>
  <w:abstractNum w:abstractNumId="189">
    <w:nsid w:val="4C2A7166"/>
    <w:multiLevelType w:val="hybridMultilevel"/>
    <w:lvl w:ilvl="0">
      <w:lvlJc w:val="left"/>
      <w:lvlText w:val="[%1]"/>
      <w:numFmt w:val="upperLetter"/>
      <w:start w:val="1"/>
    </w:lvl>
  </w:abstractNum>
  <w:abstractNum w:abstractNumId="190">
    <w:nsid w:val="2E534A82"/>
    <w:multiLevelType w:val="hybridMultilevel"/>
    <w:lvl w:ilvl="0">
      <w:lvlJc w:val="left"/>
      <w:lvlText w:val="[%1]"/>
      <w:numFmt w:val="upperLetter"/>
      <w:start w:val="1"/>
    </w:lvl>
  </w:abstractNum>
  <w:abstractNum w:abstractNumId="191">
    <w:nsid w:val="26F2D364"/>
    <w:multiLevelType w:val="hybridMultilevel"/>
    <w:lvl w:ilvl="0">
      <w:lvlJc w:val="left"/>
      <w:lvlText w:val="[%1]"/>
      <w:numFmt w:val="upperLetter"/>
      <w:start w:val="1"/>
    </w:lvl>
  </w:abstractNum>
  <w:abstractNum w:abstractNumId="192">
    <w:nsid w:val="71C1AF98"/>
    <w:multiLevelType w:val="hybridMultilevel"/>
    <w:lvl w:ilvl="0">
      <w:lvlJc w:val="left"/>
      <w:lvlText w:val="[%1]"/>
      <w:numFmt w:val="upperLetter"/>
      <w:start w:val="1"/>
    </w:lvl>
  </w:abstractNum>
  <w:abstractNum w:abstractNumId="193">
    <w:nsid w:val="3D00B9D9"/>
    <w:multiLevelType w:val="hybridMultilevel"/>
    <w:lvl w:ilvl="0">
      <w:lvlJc w:val="left"/>
      <w:lvlText w:val="[%1]"/>
      <w:numFmt w:val="upperLetter"/>
      <w:start w:val="1"/>
    </w:lvl>
  </w:abstractNum>
  <w:abstractNum w:abstractNumId="194">
    <w:nsid w:val="15BCABA8"/>
    <w:multiLevelType w:val="hybridMultilevel"/>
    <w:lvl w:ilvl="0">
      <w:lvlJc w:val="left"/>
      <w:lvlText w:val="[%1]"/>
      <w:numFmt w:val="upperLetter"/>
      <w:start w:val="1"/>
    </w:lvl>
  </w:abstractNum>
  <w:abstractNum w:abstractNumId="195">
    <w:nsid w:val="4E0B9A87"/>
    <w:multiLevelType w:val="hybridMultilevel"/>
    <w:lvl w:ilvl="0">
      <w:lvlJc w:val="left"/>
      <w:lvlText w:val="[%1]"/>
      <w:numFmt w:val="upperLetter"/>
      <w:start w:val="1"/>
    </w:lvl>
  </w:abstractNum>
  <w:abstractNum w:abstractNumId="196">
    <w:nsid w:val="434BAE75"/>
    <w:multiLevelType w:val="hybridMultilevel"/>
    <w:lvl w:ilvl="0">
      <w:lvlJc w:val="left"/>
      <w:lvlText w:val="%1"/>
      <w:numFmt w:val="decimal"/>
      <w:start w:val="233"/>
    </w:lvl>
  </w:abstractNum>
  <w:abstractNum w:abstractNumId="197">
    <w:nsid w:val="4F38F265"/>
    <w:multiLevelType w:val="hybridMultilevel"/>
    <w:lvl w:ilvl="0">
      <w:lvlJc w:val="left"/>
      <w:lvlText w:val="[%1]"/>
      <w:numFmt w:val="upperLetter"/>
      <w:start w:val="1"/>
    </w:lvl>
  </w:abstractNum>
  <w:abstractNum w:abstractNumId="198">
    <w:nsid w:val="4C502870"/>
    <w:multiLevelType w:val="hybridMultilevel"/>
    <w:lvl w:ilvl="0">
      <w:lvlJc w:val="left"/>
      <w:lvlText w:val="▪"/>
      <w:numFmt w:val="bullet"/>
      <w:start w:val="1"/>
    </w:lvl>
  </w:abstractNum>
  <w:abstractNum w:abstractNumId="199">
    <w:nsid w:val="1DE8725A"/>
    <w:multiLevelType w:val="hybridMultilevel"/>
    <w:lvl w:ilvl="0">
      <w:lvlJc w:val="left"/>
      <w:lvlText w:val="[%1]"/>
      <w:numFmt w:val="upperLetter"/>
      <w:start w:val="1"/>
    </w:lvl>
  </w:abstractNum>
  <w:abstractNum w:abstractNumId="200">
    <w:nsid w:val="6A37288A"/>
    <w:multiLevelType w:val="hybridMultilevel"/>
    <w:lvl w:ilvl="0">
      <w:lvlJc w:val="left"/>
      <w:lvlText w:val="[%1]"/>
      <w:numFmt w:val="upperLetter"/>
      <w:start w:val="1"/>
    </w:lvl>
  </w:abstractNum>
  <w:abstractNum w:abstractNumId="201">
    <w:nsid w:val="8F8B73F"/>
    <w:multiLevelType w:val="hybridMultilevel"/>
    <w:lvl w:ilvl="0">
      <w:lvlJc w:val="left"/>
      <w:lvlText w:val="[%1]"/>
      <w:numFmt w:val="upperLetter"/>
      <w:start w:val="1"/>
    </w:lvl>
  </w:abstractNum>
  <w:abstractNum w:abstractNumId="202">
    <w:nsid w:val="CA6B462"/>
    <w:multiLevelType w:val="hybridMultilevel"/>
    <w:lvl w:ilvl="0">
      <w:lvlJc w:val="left"/>
      <w:lvlText w:val="▪"/>
      <w:numFmt w:val="bullet"/>
      <w:start w:val="1"/>
    </w:lvl>
  </w:abstractNum>
  <w:abstractNum w:abstractNumId="203">
    <w:nsid w:val="763CB680"/>
    <w:multiLevelType w:val="hybridMultilevel"/>
    <w:lvl w:ilvl="0">
      <w:lvlJc w:val="left"/>
      <w:lvlText w:val="▪"/>
      <w:numFmt w:val="bullet"/>
      <w:start w:val="1"/>
    </w:lvl>
  </w:abstractNum>
  <w:abstractNum w:abstractNumId="204">
    <w:nsid w:val="15B71329"/>
    <w:multiLevelType w:val="hybridMultilevel"/>
    <w:lvl w:ilvl="0">
      <w:lvlJc w:val="left"/>
      <w:lvlText w:val="[%1]"/>
      <w:numFmt w:val="upperLetter"/>
      <w:start w:val="1"/>
    </w:lvl>
  </w:abstractNum>
  <w:abstractNum w:abstractNumId="205">
    <w:nsid w:val="3DA97044"/>
    <w:multiLevelType w:val="hybridMultilevel"/>
    <w:lvl w:ilvl="0">
      <w:lvlJc w:val="left"/>
      <w:lvlText w:val="[%1]"/>
      <w:numFmt w:val="upperLetter"/>
      <w:start w:val="1"/>
    </w:lvl>
  </w:abstractNum>
  <w:abstractNum w:abstractNumId="206">
    <w:nsid w:val="1CDCE2DE"/>
    <w:multiLevelType w:val="hybridMultilevel"/>
    <w:lvl w:ilvl="0">
      <w:lvlJc w:val="left"/>
      <w:lvlText w:val="[%1]"/>
      <w:numFmt w:val="upperLetter"/>
      <w:start w:val="1"/>
    </w:lvl>
  </w:abstractNum>
  <w:abstractNum w:abstractNumId="207">
    <w:nsid w:val="69D3947C"/>
    <w:multiLevelType w:val="hybridMultilevel"/>
    <w:lvl w:ilvl="0">
      <w:lvlJc w:val="left"/>
      <w:lvlText w:val="(%1)"/>
      <w:numFmt w:val="upperLetter"/>
      <w:start w:val="1"/>
    </w:lvl>
  </w:abstractNum>
  <w:abstractNum w:abstractNumId="208">
    <w:nsid w:val="2539DFA5"/>
    <w:multiLevelType w:val="hybridMultilevel"/>
    <w:lvl w:ilvl="0">
      <w:lvlJc w:val="left"/>
      <w:lvlText w:val="(%1)"/>
      <w:numFmt w:val="upperLetter"/>
      <w:start w:val="1"/>
    </w:lvl>
  </w:abstractNum>
  <w:abstractNum w:abstractNumId="209">
    <w:nsid w:val="2DB88089"/>
    <w:multiLevelType w:val="hybridMultilevel"/>
    <w:lvl w:ilvl="0">
      <w:lvlJc w:val="left"/>
      <w:lvlText w:val="(%1)"/>
      <w:numFmt w:val="lowerRoman"/>
      <w:start w:val="1"/>
    </w:lvl>
  </w:abstractNum>
  <w:abstractNum w:abstractNumId="210">
    <w:nsid w:val="706B674E"/>
    <w:multiLevelType w:val="hybridMultilevel"/>
    <w:lvl w:ilvl="0">
      <w:lvlJc w:val="left"/>
      <w:lvlText w:val="(%1)"/>
      <w:numFmt w:val="lowerRoman"/>
      <w:start w:val="7"/>
    </w:lvl>
  </w:abstractNum>
  <w:abstractNum w:abstractNumId="211">
    <w:nsid w:val="2C106A57"/>
    <w:multiLevelType w:val="hybridMultilevel"/>
    <w:lvl w:ilvl="0">
      <w:lvlJc w:val="left"/>
      <w:lvlText w:val="1"/>
      <w:numFmt w:val="bullet"/>
      <w:start w:val="1"/>
    </w:lvl>
  </w:abstractNum>
  <w:abstractNum w:abstractNumId="212">
    <w:nsid w:val="684EED59"/>
    <w:multiLevelType w:val="hybridMultilevel"/>
    <w:lvl w:ilvl="0">
      <w:lvlJc w:val="left"/>
      <w:lvlText w:val="%1."/>
      <w:numFmt w:val="decimal"/>
      <w:start w:val="1"/>
    </w:lvl>
    <w:lvl w:ilvl="1">
      <w:lvlJc w:val="left"/>
      <w:lvlText w:val="(%2)"/>
      <w:numFmt w:val="lowerLetter"/>
      <w:start w:val="1"/>
    </w:lvl>
  </w:abstractNum>
  <w:abstractNum w:abstractNumId="213">
    <w:nsid w:val="545EE5D3"/>
    <w:multiLevelType w:val="hybridMultilevel"/>
    <w:lvl w:ilvl="0">
      <w:lvlJc w:val="left"/>
      <w:lvlText w:val="%1."/>
      <w:numFmt w:val="decimal"/>
      <w:start w:val="1"/>
    </w:lvl>
    <w:lvl w:ilvl="1">
      <w:lvlJc w:val="left"/>
      <w:lvlText w:val="(%2)"/>
      <w:numFmt w:val="lowerLetter"/>
      <w:start w:val="1"/>
    </w:lvl>
  </w:abstractNum>
  <w:abstractNum w:abstractNumId="214">
    <w:nsid w:val="4A6605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40" Type="http://schemas.openxmlformats.org/officeDocument/2006/relationships/image" Target="media/image626.png"/><Relationship Id="rId641" Type="http://schemas.openxmlformats.org/officeDocument/2006/relationships/image" Target="media/image627.png"/><Relationship Id="rId642" Type="http://schemas.openxmlformats.org/officeDocument/2006/relationships/image" Target="media/image628.png"/><Relationship Id="rId643" Type="http://schemas.openxmlformats.org/officeDocument/2006/relationships/image" Target="media/image629.png"/><Relationship Id="rId644" Type="http://schemas.openxmlformats.org/officeDocument/2006/relationships/image" Target="media/image630.png"/><Relationship Id="rId645" Type="http://schemas.openxmlformats.org/officeDocument/2006/relationships/image" Target="media/image631.png"/><Relationship Id="rId646" Type="http://schemas.openxmlformats.org/officeDocument/2006/relationships/image" Target="media/image632.png"/><Relationship Id="rId647" Type="http://schemas.openxmlformats.org/officeDocument/2006/relationships/image" Target="media/image633.png"/><Relationship Id="rId648" Type="http://schemas.openxmlformats.org/officeDocument/2006/relationships/image" Target="media/image634.png"/><Relationship Id="rId649" Type="http://schemas.openxmlformats.org/officeDocument/2006/relationships/image" Target="media/image635.png"/><Relationship Id="rId650" Type="http://schemas.openxmlformats.org/officeDocument/2006/relationships/image" Target="media/image636.png"/><Relationship Id="rId651" Type="http://schemas.openxmlformats.org/officeDocument/2006/relationships/image" Target="media/image637.png"/><Relationship Id="rId652" Type="http://schemas.openxmlformats.org/officeDocument/2006/relationships/image" Target="media/image638.png"/><Relationship Id="rId653" Type="http://schemas.openxmlformats.org/officeDocument/2006/relationships/image" Target="media/image639.png"/><Relationship Id="rId654" Type="http://schemas.openxmlformats.org/officeDocument/2006/relationships/image" Target="media/image640.png"/><Relationship Id="rId655" Type="http://schemas.openxmlformats.org/officeDocument/2006/relationships/image" Target="media/image641.png"/><Relationship Id="rId656" Type="http://schemas.openxmlformats.org/officeDocument/2006/relationships/image" Target="media/image642.png"/><Relationship Id="rId657" Type="http://schemas.openxmlformats.org/officeDocument/2006/relationships/image" Target="media/image643.png"/><Relationship Id="rId658" Type="http://schemas.openxmlformats.org/officeDocument/2006/relationships/image" Target="media/image644.png"/><Relationship Id="rId659" Type="http://schemas.openxmlformats.org/officeDocument/2006/relationships/image" Target="media/image645.png"/><Relationship Id="rId660" Type="http://schemas.openxmlformats.org/officeDocument/2006/relationships/image" Target="media/image646.png"/><Relationship Id="rId661" Type="http://schemas.openxmlformats.org/officeDocument/2006/relationships/image" Target="media/image647.png"/><Relationship Id="rId662" Type="http://schemas.openxmlformats.org/officeDocument/2006/relationships/image" Target="media/image648.png"/><Relationship Id="rId663" Type="http://schemas.openxmlformats.org/officeDocument/2006/relationships/image" Target="media/image649.png"/><Relationship Id="rId664" Type="http://schemas.openxmlformats.org/officeDocument/2006/relationships/image" Target="media/image650.png"/><Relationship Id="rId665" Type="http://schemas.openxmlformats.org/officeDocument/2006/relationships/image" Target="media/image651.png"/><Relationship Id="rId666" Type="http://schemas.openxmlformats.org/officeDocument/2006/relationships/image" Target="media/image652.png"/><Relationship Id="rId667" Type="http://schemas.openxmlformats.org/officeDocument/2006/relationships/image" Target="media/image653.png"/><Relationship Id="rId668" Type="http://schemas.openxmlformats.org/officeDocument/2006/relationships/image" Target="media/image654.png"/><Relationship Id="rId669" Type="http://schemas.openxmlformats.org/officeDocument/2006/relationships/image" Target="media/image655.png"/><Relationship Id="rId670" Type="http://schemas.openxmlformats.org/officeDocument/2006/relationships/image" Target="media/image656.png"/><Relationship Id="rId671" Type="http://schemas.openxmlformats.org/officeDocument/2006/relationships/image" Target="media/image657.png"/><Relationship Id="rId672" Type="http://schemas.openxmlformats.org/officeDocument/2006/relationships/image" Target="media/image658.png"/><Relationship Id="rId673" Type="http://schemas.openxmlformats.org/officeDocument/2006/relationships/image" Target="media/image659.png"/><Relationship Id="rId674" Type="http://schemas.openxmlformats.org/officeDocument/2006/relationships/image" Target="media/image660.png"/><Relationship Id="rId675" Type="http://schemas.openxmlformats.org/officeDocument/2006/relationships/image" Target="media/image661.png"/><Relationship Id="rId676" Type="http://schemas.openxmlformats.org/officeDocument/2006/relationships/image" Target="media/image662.png"/><Relationship Id="rId677" Type="http://schemas.openxmlformats.org/officeDocument/2006/relationships/image" Target="media/image663.png"/><Relationship Id="rId678" Type="http://schemas.openxmlformats.org/officeDocument/2006/relationships/image" Target="media/image664.png"/><Relationship Id="rId679" Type="http://schemas.openxmlformats.org/officeDocument/2006/relationships/image" Target="media/image665.png"/><Relationship Id="rId680" Type="http://schemas.openxmlformats.org/officeDocument/2006/relationships/image" Target="media/image666.png"/><Relationship Id="rId681" Type="http://schemas.openxmlformats.org/officeDocument/2006/relationships/image" Target="media/image667.png"/><Relationship Id="rId682" Type="http://schemas.openxmlformats.org/officeDocument/2006/relationships/image" Target="media/image668.png"/><Relationship Id="rId683" Type="http://schemas.openxmlformats.org/officeDocument/2006/relationships/image" Target="media/image669.png"/><Relationship Id="rId684" Type="http://schemas.openxmlformats.org/officeDocument/2006/relationships/image" Target="media/image670.png"/><Relationship Id="rId685" Type="http://schemas.openxmlformats.org/officeDocument/2006/relationships/image" Target="media/image671.png"/><Relationship Id="rId686" Type="http://schemas.openxmlformats.org/officeDocument/2006/relationships/image" Target="media/image672.png"/><Relationship Id="rId633" Type="http://schemas.openxmlformats.org/officeDocument/2006/relationships/hyperlink" Target="https://www.sec.gov/Archives/edgar/data/1306965/000095015711000851/ex4-12.htm" TargetMode="External"/><Relationship Id="rId634" Type="http://schemas.openxmlformats.org/officeDocument/2006/relationships/hyperlink" Target="http://www.sec.gov/Archives/edgar/data/1306965/000119312519276250/d787822dex1.htm" TargetMode="External"/><Relationship Id="rId635" Type="http://schemas.openxmlformats.org/officeDocument/2006/relationships/hyperlink" Target="http://www.sec.gov/Archives/edgar/data/1306965/000119312517367508/d491357dex43.htm" TargetMode="External"/><Relationship Id="rId636" Type="http://schemas.openxmlformats.org/officeDocument/2006/relationships/hyperlink" Target="http://www.sec.gov/Archives/edgar/data/1306965/000095015707000794/ex4-7.htm" TargetMode="External"/><Relationship Id="rId637" Type="http://schemas.openxmlformats.org/officeDocument/2006/relationships/hyperlink" Target="http://www.sec.gov/Archives/edgar/data/1306965/000115697306000289/u49747exv4w3.htm" TargetMode="External"/><Relationship Id="rId638" Type="http://schemas.openxmlformats.org/officeDocument/2006/relationships/hyperlink" Target="http://www.sec.gov/Archives/edgar/data/1306965/000119312514096790/d605787dex45.htm" TargetMode="External"/><Relationship Id="rId639" Type="http://schemas.openxmlformats.org/officeDocument/2006/relationships/hyperlink" Target="http://www.sec.gov/Archives/edgar/data/1306965/000156459019007740/rdsa-ex44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2021-03-11T05:44:58Z</dcterms:created>
  <dcterms:modified xsi:type="dcterms:W3CDTF">2021-03-11T05:44:58Z</dcterms:modified>
</cp:coreProperties>
</file>